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41E1A" w14:textId="50B7C180" w:rsidR="006A03BF" w:rsidRPr="001F28EC" w:rsidRDefault="006A03BF" w:rsidP="006A03BF">
      <w:pPr>
        <w:rPr>
          <w:rFonts w:eastAsia="Times New Roman"/>
        </w:rPr>
      </w:pPr>
      <w:r w:rsidRPr="001F28EC">
        <w:rPr>
          <w:noProof/>
        </w:rPr>
        <w:drawing>
          <wp:inline distT="0" distB="0" distL="0" distR="0" wp14:anchorId="4E38CB82" wp14:editId="59DEE8EF">
            <wp:extent cx="1419225" cy="1104900"/>
            <wp:effectExtent l="0" t="0" r="9525" b="0"/>
            <wp:docPr id="558077403" name="Picture 2" descr="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77403" name="Picture 2" descr="The 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163D085" w14:textId="4DF5A5E0" w:rsidR="006A03BF" w:rsidRPr="001F28EC" w:rsidRDefault="006A03BF" w:rsidP="00743767">
      <w:pPr>
        <w:pStyle w:val="Title"/>
        <w:spacing w:before="480" w:after="120"/>
        <w:rPr>
          <w:rFonts w:ascii="Arial" w:hAnsi="Arial" w:cs="Arial"/>
        </w:rPr>
      </w:pPr>
      <w:bookmarkStart w:id="0" w:name="Title"/>
      <w:r w:rsidRPr="001F28EC">
        <w:rPr>
          <w:rFonts w:ascii="Arial" w:hAnsi="Arial" w:cs="Arial"/>
        </w:rPr>
        <w:t xml:space="preserve">Banking (prudential standard) determination No. </w:t>
      </w:r>
      <w:r w:rsidR="00065783" w:rsidRPr="001F28EC">
        <w:rPr>
          <w:rFonts w:ascii="Arial" w:hAnsi="Arial" w:cs="Arial"/>
        </w:rPr>
        <w:t>5</w:t>
      </w:r>
      <w:r w:rsidRPr="001F28EC">
        <w:rPr>
          <w:rFonts w:ascii="Arial" w:hAnsi="Arial" w:cs="Arial"/>
        </w:rPr>
        <w:t xml:space="preserve"> of 20</w:t>
      </w:r>
      <w:bookmarkEnd w:id="0"/>
      <w:r w:rsidR="00EF2CBC" w:rsidRPr="001F28EC">
        <w:rPr>
          <w:rFonts w:ascii="Arial" w:hAnsi="Arial" w:cs="Arial"/>
        </w:rPr>
        <w:t>24</w:t>
      </w:r>
    </w:p>
    <w:p w14:paraId="3D434892" w14:textId="2A0B3632" w:rsidR="006A03BF" w:rsidRPr="001F28EC" w:rsidRDefault="006A03BF" w:rsidP="00743767">
      <w:pPr>
        <w:pStyle w:val="CoverStatRule"/>
        <w:spacing w:before="360" w:after="120"/>
        <w:rPr>
          <w:rFonts w:cs="Arial"/>
          <w:sz w:val="28"/>
          <w:szCs w:val="28"/>
        </w:rPr>
      </w:pPr>
      <w:r w:rsidRPr="001F28EC">
        <w:rPr>
          <w:rFonts w:cs="Arial"/>
          <w:sz w:val="28"/>
          <w:szCs w:val="28"/>
        </w:rPr>
        <w:t>Prudential Standard APS 117 Capital Adequacy: Interest Rate Risk in the Banking Book</w:t>
      </w:r>
    </w:p>
    <w:p w14:paraId="5943E31A" w14:textId="77777777" w:rsidR="006A03BF" w:rsidRPr="001F28EC" w:rsidRDefault="006A03BF" w:rsidP="00743767">
      <w:pPr>
        <w:pStyle w:val="CoverStatRule"/>
        <w:spacing w:after="0"/>
        <w:rPr>
          <w:sz w:val="28"/>
          <w:szCs w:val="28"/>
        </w:rPr>
      </w:pPr>
    </w:p>
    <w:p w14:paraId="1C6C4306" w14:textId="77777777" w:rsidR="006A03BF" w:rsidRPr="001F28EC" w:rsidRDefault="006A03BF" w:rsidP="00F94B50">
      <w:pPr>
        <w:pStyle w:val="CoverAct"/>
        <w:pBdr>
          <w:bottom w:val="single" w:sz="4" w:space="1" w:color="auto"/>
        </w:pBdr>
        <w:spacing w:after="0"/>
        <w:rPr>
          <w:szCs w:val="28"/>
        </w:rPr>
      </w:pPr>
      <w:bookmarkStart w:id="1" w:name="Act"/>
      <w:r w:rsidRPr="001F28EC">
        <w:rPr>
          <w:szCs w:val="28"/>
        </w:rPr>
        <w:t>Banking Act 1959</w:t>
      </w:r>
      <w:bookmarkEnd w:id="1"/>
    </w:p>
    <w:p w14:paraId="3318629B" w14:textId="45976C58" w:rsidR="006A03BF" w:rsidRPr="001F28EC" w:rsidRDefault="006A03BF" w:rsidP="00D94AFB">
      <w:pPr>
        <w:pStyle w:val="IntroTo"/>
        <w:tabs>
          <w:tab w:val="left" w:pos="-142"/>
        </w:tabs>
        <w:spacing w:before="360" w:after="0"/>
        <w:ind w:left="0" w:firstLine="0"/>
        <w:jc w:val="both"/>
        <w:rPr>
          <w:rFonts w:ascii="Arial" w:hAnsi="Arial" w:cs="Arial"/>
          <w:sz w:val="22"/>
          <w:szCs w:val="22"/>
        </w:rPr>
      </w:pPr>
      <w:r w:rsidRPr="001F28EC">
        <w:rPr>
          <w:rFonts w:ascii="Arial" w:hAnsi="Arial" w:cs="Arial"/>
          <w:sz w:val="22"/>
          <w:szCs w:val="22"/>
        </w:rPr>
        <w:t xml:space="preserve">I, </w:t>
      </w:r>
      <w:r w:rsidR="00695F39" w:rsidRPr="001F28EC">
        <w:rPr>
          <w:rFonts w:ascii="Arial" w:hAnsi="Arial" w:cs="Arial"/>
          <w:sz w:val="22"/>
          <w:szCs w:val="22"/>
        </w:rPr>
        <w:t xml:space="preserve">Therese McCarthy Hockey, </w:t>
      </w:r>
      <w:r w:rsidR="00743767" w:rsidRPr="001F28EC">
        <w:rPr>
          <w:rFonts w:ascii="Arial" w:hAnsi="Arial" w:cs="Arial"/>
          <w:sz w:val="22"/>
          <w:szCs w:val="22"/>
        </w:rPr>
        <w:t xml:space="preserve">a </w:t>
      </w:r>
      <w:r w:rsidR="00695F39" w:rsidRPr="001F28EC">
        <w:rPr>
          <w:rFonts w:ascii="Arial" w:hAnsi="Arial" w:cs="Arial"/>
          <w:sz w:val="22"/>
          <w:szCs w:val="22"/>
        </w:rPr>
        <w:t>d</w:t>
      </w:r>
      <w:r w:rsidRPr="001F28EC">
        <w:rPr>
          <w:rFonts w:ascii="Arial" w:hAnsi="Arial" w:cs="Arial"/>
          <w:sz w:val="22"/>
          <w:szCs w:val="22"/>
        </w:rPr>
        <w:t>elegate of APRA:</w:t>
      </w:r>
    </w:p>
    <w:p w14:paraId="456208C9" w14:textId="77777777" w:rsidR="00D94AFB" w:rsidRPr="001F28EC" w:rsidRDefault="00D94AFB" w:rsidP="00D94AFB">
      <w:pPr>
        <w:pStyle w:val="IntroTo"/>
        <w:tabs>
          <w:tab w:val="left" w:pos="567"/>
        </w:tabs>
        <w:spacing w:after="0"/>
        <w:ind w:left="567" w:hanging="567"/>
        <w:jc w:val="both"/>
        <w:rPr>
          <w:rFonts w:ascii="Arial" w:hAnsi="Arial" w:cs="Arial"/>
          <w:sz w:val="22"/>
          <w:szCs w:val="22"/>
        </w:rPr>
      </w:pPr>
    </w:p>
    <w:p w14:paraId="498B957F" w14:textId="5F0E5F11" w:rsidR="006A03BF" w:rsidRPr="001F28EC" w:rsidRDefault="006A03BF" w:rsidP="00D94AFB">
      <w:pPr>
        <w:pStyle w:val="IntroTo"/>
        <w:tabs>
          <w:tab w:val="left" w:pos="567"/>
        </w:tabs>
        <w:spacing w:after="0"/>
        <w:ind w:left="567" w:hanging="567"/>
        <w:jc w:val="both"/>
        <w:rPr>
          <w:rFonts w:ascii="Arial" w:hAnsi="Arial" w:cs="Arial"/>
          <w:sz w:val="22"/>
          <w:szCs w:val="22"/>
        </w:rPr>
      </w:pPr>
      <w:r w:rsidRPr="001F28EC">
        <w:rPr>
          <w:rFonts w:ascii="Arial" w:hAnsi="Arial" w:cs="Arial"/>
          <w:sz w:val="22"/>
          <w:szCs w:val="22"/>
        </w:rPr>
        <w:t>(a)</w:t>
      </w:r>
      <w:r w:rsidRPr="001F28EC">
        <w:rPr>
          <w:rFonts w:ascii="Arial" w:hAnsi="Arial" w:cs="Arial"/>
          <w:sz w:val="22"/>
          <w:szCs w:val="22"/>
        </w:rPr>
        <w:tab/>
        <w:t>under subsection 11</w:t>
      </w:r>
      <w:proofErr w:type="gramStart"/>
      <w:r w:rsidRPr="001F28EC">
        <w:rPr>
          <w:rFonts w:ascii="Arial" w:hAnsi="Arial" w:cs="Arial"/>
          <w:sz w:val="22"/>
          <w:szCs w:val="22"/>
        </w:rPr>
        <w:t>AF(</w:t>
      </w:r>
      <w:proofErr w:type="gramEnd"/>
      <w:r w:rsidRPr="001F28EC">
        <w:rPr>
          <w:rFonts w:ascii="Arial" w:hAnsi="Arial" w:cs="Arial"/>
          <w:sz w:val="22"/>
          <w:szCs w:val="22"/>
        </w:rPr>
        <w:t xml:space="preserve">3) of the </w:t>
      </w:r>
      <w:r w:rsidRPr="001F28EC">
        <w:rPr>
          <w:rFonts w:ascii="Arial" w:hAnsi="Arial" w:cs="Arial"/>
          <w:i/>
          <w:sz w:val="22"/>
          <w:szCs w:val="22"/>
        </w:rPr>
        <w:t>Banking Act 1959</w:t>
      </w:r>
      <w:r w:rsidRPr="001F28EC">
        <w:rPr>
          <w:rFonts w:ascii="Arial" w:hAnsi="Arial" w:cs="Arial"/>
          <w:sz w:val="22"/>
          <w:szCs w:val="22"/>
        </w:rPr>
        <w:t xml:space="preserve"> (the Act) REVOKE Banking (prudential standard) determination No. </w:t>
      </w:r>
      <w:r w:rsidR="00065783" w:rsidRPr="001F28EC">
        <w:rPr>
          <w:rFonts w:ascii="Arial" w:hAnsi="Arial" w:cs="Arial"/>
          <w:sz w:val="22"/>
          <w:szCs w:val="22"/>
        </w:rPr>
        <w:t>4</w:t>
      </w:r>
      <w:r w:rsidRPr="001F28EC">
        <w:rPr>
          <w:rFonts w:ascii="Arial" w:hAnsi="Arial" w:cs="Arial"/>
          <w:sz w:val="22"/>
          <w:szCs w:val="22"/>
        </w:rPr>
        <w:t xml:space="preserve"> of 20</w:t>
      </w:r>
      <w:r w:rsidR="00EF2CBC" w:rsidRPr="001F28EC">
        <w:rPr>
          <w:rFonts w:ascii="Arial" w:hAnsi="Arial" w:cs="Arial"/>
          <w:sz w:val="22"/>
          <w:szCs w:val="22"/>
        </w:rPr>
        <w:t>24</w:t>
      </w:r>
      <w:r w:rsidRPr="001F28EC">
        <w:rPr>
          <w:rFonts w:ascii="Arial" w:hAnsi="Arial" w:cs="Arial"/>
          <w:sz w:val="22"/>
          <w:szCs w:val="22"/>
        </w:rPr>
        <w:t xml:space="preserve"> including </w:t>
      </w:r>
      <w:r w:rsidRPr="001F28EC">
        <w:rPr>
          <w:rFonts w:ascii="Arial" w:hAnsi="Arial" w:cs="Arial"/>
          <w:i/>
          <w:sz w:val="22"/>
          <w:szCs w:val="22"/>
        </w:rPr>
        <w:t>Prudential Standard APS 117 Capital Adequacy: Interest Rate Risk in the Banking Book (Advanced ADIs)</w:t>
      </w:r>
      <w:r w:rsidRPr="001F28EC">
        <w:rPr>
          <w:rFonts w:ascii="Arial" w:hAnsi="Arial" w:cs="Arial"/>
          <w:sz w:val="22"/>
          <w:szCs w:val="22"/>
        </w:rPr>
        <w:t xml:space="preserve"> made under that </w:t>
      </w:r>
      <w:r w:rsidR="00AF3625" w:rsidRPr="001F28EC">
        <w:rPr>
          <w:rFonts w:ascii="Arial" w:hAnsi="Arial" w:cs="Arial"/>
          <w:sz w:val="22"/>
          <w:szCs w:val="22"/>
        </w:rPr>
        <w:t>d</w:t>
      </w:r>
      <w:r w:rsidRPr="001F28EC">
        <w:rPr>
          <w:rFonts w:ascii="Arial" w:hAnsi="Arial" w:cs="Arial"/>
          <w:sz w:val="22"/>
          <w:szCs w:val="22"/>
        </w:rPr>
        <w:t>etermination; and</w:t>
      </w:r>
    </w:p>
    <w:p w14:paraId="1B6D09AB" w14:textId="77777777" w:rsidR="00D94AFB" w:rsidRPr="001F28EC" w:rsidRDefault="00D94AFB" w:rsidP="00D94AFB">
      <w:pPr>
        <w:pStyle w:val="IntroTo"/>
        <w:spacing w:after="0"/>
        <w:ind w:left="567" w:hanging="567"/>
        <w:jc w:val="both"/>
        <w:rPr>
          <w:rFonts w:ascii="Arial" w:hAnsi="Arial" w:cs="Arial"/>
          <w:sz w:val="22"/>
          <w:szCs w:val="22"/>
        </w:rPr>
      </w:pPr>
    </w:p>
    <w:p w14:paraId="0AF3126A" w14:textId="2243BB16" w:rsidR="006A03BF" w:rsidRPr="001F28EC" w:rsidRDefault="006A03BF" w:rsidP="00D94AFB">
      <w:pPr>
        <w:pStyle w:val="IntroTo"/>
        <w:spacing w:after="0"/>
        <w:ind w:left="567" w:hanging="567"/>
        <w:jc w:val="both"/>
        <w:rPr>
          <w:rFonts w:ascii="Arial" w:hAnsi="Arial" w:cs="Arial"/>
          <w:sz w:val="22"/>
          <w:szCs w:val="22"/>
        </w:rPr>
      </w:pPr>
      <w:r w:rsidRPr="001F28EC">
        <w:rPr>
          <w:rFonts w:ascii="Arial" w:hAnsi="Arial" w:cs="Arial"/>
          <w:sz w:val="22"/>
          <w:szCs w:val="22"/>
        </w:rPr>
        <w:t>(b)</w:t>
      </w:r>
      <w:r w:rsidRPr="001F28EC">
        <w:rPr>
          <w:rFonts w:ascii="Arial" w:hAnsi="Arial" w:cs="Arial"/>
          <w:sz w:val="22"/>
          <w:szCs w:val="22"/>
        </w:rPr>
        <w:tab/>
        <w:t>under subsection 11</w:t>
      </w:r>
      <w:proofErr w:type="gramStart"/>
      <w:r w:rsidRPr="001F28EC">
        <w:rPr>
          <w:rFonts w:ascii="Arial" w:hAnsi="Arial" w:cs="Arial"/>
          <w:sz w:val="22"/>
          <w:szCs w:val="22"/>
        </w:rPr>
        <w:t>AF(</w:t>
      </w:r>
      <w:proofErr w:type="gramEnd"/>
      <w:r w:rsidRPr="001F28EC">
        <w:rPr>
          <w:rFonts w:ascii="Arial" w:hAnsi="Arial" w:cs="Arial"/>
          <w:sz w:val="22"/>
          <w:szCs w:val="22"/>
        </w:rPr>
        <w:t xml:space="preserve">1) of the Act DETERMINE </w:t>
      </w:r>
      <w:r w:rsidRPr="001F28EC">
        <w:rPr>
          <w:rFonts w:ascii="Arial" w:hAnsi="Arial" w:cs="Arial"/>
          <w:i/>
          <w:sz w:val="22"/>
          <w:szCs w:val="22"/>
        </w:rPr>
        <w:t>Prudential Standard APS 117 Capital Adequacy: Interest Rate Risk in the Banking Book</w:t>
      </w:r>
      <w:r w:rsidRPr="001F28EC">
        <w:rPr>
          <w:rFonts w:ascii="Arial" w:hAnsi="Arial" w:cs="Arial"/>
          <w:sz w:val="22"/>
          <w:szCs w:val="22"/>
        </w:rPr>
        <w:t xml:space="preserve"> in the form set out in the attached </w:t>
      </w:r>
      <w:r w:rsidR="00AF3625" w:rsidRPr="001F28EC">
        <w:rPr>
          <w:rFonts w:ascii="Arial" w:hAnsi="Arial" w:cs="Arial"/>
          <w:sz w:val="22"/>
          <w:szCs w:val="22"/>
        </w:rPr>
        <w:t>s</w:t>
      </w:r>
      <w:r w:rsidRPr="001F28EC">
        <w:rPr>
          <w:rFonts w:ascii="Arial" w:hAnsi="Arial" w:cs="Arial"/>
          <w:sz w:val="22"/>
          <w:szCs w:val="22"/>
        </w:rPr>
        <w:t xml:space="preserve">chedule, </w:t>
      </w:r>
      <w:r w:rsidRPr="001F28EC">
        <w:rPr>
          <w:rFonts w:ascii="Arial" w:hAnsi="Arial" w:cs="Arial"/>
          <w:bCs/>
          <w:sz w:val="22"/>
          <w:szCs w:val="22"/>
        </w:rPr>
        <w:t>which applies to ADIs and authorised NOHCs to the extent provided in paragraphs 2 to 4 of the prudential standard</w:t>
      </w:r>
      <w:r w:rsidRPr="001F28EC">
        <w:rPr>
          <w:rFonts w:ascii="Arial" w:hAnsi="Arial" w:cs="Arial"/>
          <w:sz w:val="22"/>
          <w:szCs w:val="22"/>
        </w:rPr>
        <w:t>.</w:t>
      </w:r>
    </w:p>
    <w:p w14:paraId="0946A9B1" w14:textId="77777777" w:rsidR="00D94AFB" w:rsidRPr="001F28EC" w:rsidRDefault="00D94AFB" w:rsidP="00D94AFB">
      <w:pPr>
        <w:pStyle w:val="IntroTo"/>
        <w:spacing w:after="0"/>
        <w:ind w:left="0" w:firstLine="0"/>
        <w:jc w:val="both"/>
        <w:rPr>
          <w:rFonts w:ascii="Arial" w:hAnsi="Arial" w:cs="Arial"/>
          <w:sz w:val="22"/>
          <w:szCs w:val="22"/>
        </w:rPr>
      </w:pPr>
    </w:p>
    <w:p w14:paraId="2A1627DA" w14:textId="53B95D8C" w:rsidR="006A03BF" w:rsidRPr="001F28EC" w:rsidRDefault="006A03BF" w:rsidP="00D94AFB">
      <w:pPr>
        <w:pStyle w:val="IntroTo"/>
        <w:spacing w:after="0"/>
        <w:ind w:left="0" w:firstLine="0"/>
        <w:jc w:val="both"/>
        <w:rPr>
          <w:rFonts w:ascii="Arial" w:hAnsi="Arial" w:cs="Arial"/>
          <w:sz w:val="22"/>
          <w:szCs w:val="22"/>
        </w:rPr>
      </w:pPr>
      <w:r w:rsidRPr="001F28EC">
        <w:rPr>
          <w:rFonts w:ascii="Arial" w:hAnsi="Arial" w:cs="Arial"/>
          <w:sz w:val="22"/>
          <w:szCs w:val="22"/>
        </w:rPr>
        <w:t xml:space="preserve">This instrument </w:t>
      </w:r>
      <w:r w:rsidR="00C10DE3" w:rsidRPr="001F28EC">
        <w:rPr>
          <w:rFonts w:ascii="Arial" w:hAnsi="Arial" w:cs="Arial"/>
          <w:sz w:val="22"/>
          <w:szCs w:val="22"/>
        </w:rPr>
        <w:t xml:space="preserve">commences </w:t>
      </w:r>
      <w:r w:rsidRPr="001F28EC">
        <w:rPr>
          <w:rFonts w:ascii="Arial" w:hAnsi="Arial" w:cs="Arial"/>
          <w:sz w:val="22"/>
          <w:szCs w:val="22"/>
        </w:rPr>
        <w:t xml:space="preserve">on 1 </w:t>
      </w:r>
      <w:r w:rsidR="00EF2CBC" w:rsidRPr="001F28EC">
        <w:rPr>
          <w:rFonts w:ascii="Arial" w:hAnsi="Arial" w:cs="Arial"/>
          <w:sz w:val="22"/>
          <w:szCs w:val="22"/>
        </w:rPr>
        <w:t>October</w:t>
      </w:r>
      <w:r w:rsidRPr="001F28EC">
        <w:rPr>
          <w:rFonts w:ascii="Arial" w:hAnsi="Arial" w:cs="Arial"/>
          <w:sz w:val="22"/>
          <w:szCs w:val="22"/>
        </w:rPr>
        <w:t xml:space="preserve"> 20</w:t>
      </w:r>
      <w:r w:rsidR="00EF2CBC" w:rsidRPr="001F28EC">
        <w:rPr>
          <w:rFonts w:ascii="Arial" w:hAnsi="Arial" w:cs="Arial"/>
          <w:sz w:val="22"/>
          <w:szCs w:val="22"/>
        </w:rPr>
        <w:t>25</w:t>
      </w:r>
      <w:r w:rsidRPr="001F28EC">
        <w:rPr>
          <w:rFonts w:ascii="Arial" w:hAnsi="Arial" w:cs="Arial"/>
          <w:sz w:val="22"/>
          <w:szCs w:val="22"/>
        </w:rPr>
        <w:t xml:space="preserve">. </w:t>
      </w:r>
    </w:p>
    <w:p w14:paraId="18D78DBF" w14:textId="77777777" w:rsidR="00D94AFB" w:rsidRPr="001F28EC" w:rsidRDefault="00D94AFB" w:rsidP="00D94AFB">
      <w:pPr>
        <w:spacing w:after="0"/>
        <w:jc w:val="both"/>
        <w:rPr>
          <w:rFonts w:ascii="Arial" w:hAnsi="Arial" w:cs="Arial"/>
          <w:sz w:val="22"/>
          <w:szCs w:val="22"/>
        </w:rPr>
      </w:pPr>
    </w:p>
    <w:p w14:paraId="48FD6308" w14:textId="1A019D33" w:rsidR="00F17283" w:rsidRPr="001F28EC" w:rsidRDefault="00F17283" w:rsidP="00F17283">
      <w:pPr>
        <w:jc w:val="both"/>
        <w:rPr>
          <w:rFonts w:ascii="Arial" w:eastAsia="Times New Roman" w:hAnsi="Arial" w:cs="Arial"/>
        </w:rPr>
      </w:pPr>
      <w:r w:rsidRPr="001F28EC">
        <w:rPr>
          <w:rFonts w:ascii="Arial" w:hAnsi="Arial" w:cs="Arial"/>
        </w:rPr>
        <w:t>Dated:</w:t>
      </w:r>
      <w:r w:rsidR="00D23B96" w:rsidRPr="001F28EC">
        <w:rPr>
          <w:rFonts w:ascii="Arial" w:hAnsi="Arial" w:cs="Arial"/>
        </w:rPr>
        <w:t xml:space="preserve">   17 September 2024</w:t>
      </w:r>
    </w:p>
    <w:p w14:paraId="3AB62441" w14:textId="61604C3A" w:rsidR="006A03BF" w:rsidRPr="001F28EC" w:rsidRDefault="006A03BF" w:rsidP="00D94AFB">
      <w:pPr>
        <w:spacing w:after="0"/>
        <w:jc w:val="both"/>
        <w:rPr>
          <w:rFonts w:ascii="Arial" w:hAnsi="Arial" w:cs="Arial"/>
          <w:sz w:val="22"/>
          <w:szCs w:val="22"/>
        </w:rPr>
      </w:pPr>
    </w:p>
    <w:p w14:paraId="03FA0BEF" w14:textId="77777777" w:rsidR="00D2367B" w:rsidRPr="001F28EC" w:rsidRDefault="00D2367B" w:rsidP="00D94AFB">
      <w:pPr>
        <w:spacing w:after="0"/>
        <w:rPr>
          <w:rFonts w:ascii="Arial" w:hAnsi="Arial" w:cs="Arial"/>
          <w:sz w:val="22"/>
          <w:szCs w:val="22"/>
        </w:rPr>
      </w:pPr>
    </w:p>
    <w:p w14:paraId="2B67B813" w14:textId="4922C00F" w:rsidR="006A03BF" w:rsidRPr="001F28EC" w:rsidRDefault="00695F39" w:rsidP="00D94AFB">
      <w:pPr>
        <w:spacing w:after="0"/>
        <w:jc w:val="both"/>
        <w:rPr>
          <w:rFonts w:ascii="Arial" w:hAnsi="Arial" w:cs="Arial"/>
          <w:sz w:val="22"/>
          <w:szCs w:val="22"/>
        </w:rPr>
      </w:pPr>
      <w:r w:rsidRPr="001F28EC">
        <w:rPr>
          <w:rFonts w:ascii="Arial" w:hAnsi="Arial" w:cs="Arial"/>
          <w:sz w:val="22"/>
          <w:szCs w:val="22"/>
        </w:rPr>
        <w:t>Therese McCarthy Hockey</w:t>
      </w:r>
    </w:p>
    <w:p w14:paraId="450D7E27" w14:textId="145A151A" w:rsidR="006A03BF" w:rsidRPr="001F28EC" w:rsidRDefault="00695F39" w:rsidP="00D94AFB">
      <w:pPr>
        <w:spacing w:after="0"/>
        <w:jc w:val="both"/>
        <w:rPr>
          <w:rFonts w:ascii="Arial" w:hAnsi="Arial" w:cs="Arial"/>
          <w:sz w:val="22"/>
          <w:szCs w:val="22"/>
        </w:rPr>
      </w:pPr>
      <w:r w:rsidRPr="001F28EC">
        <w:rPr>
          <w:rFonts w:ascii="Arial" w:hAnsi="Arial" w:cs="Arial"/>
          <w:sz w:val="22"/>
          <w:szCs w:val="22"/>
        </w:rPr>
        <w:t>APRA Member</w:t>
      </w:r>
    </w:p>
    <w:p w14:paraId="31AD826C" w14:textId="2AA88ADF" w:rsidR="006A03BF" w:rsidRPr="001F28EC" w:rsidRDefault="006A03BF" w:rsidP="00D94AFB">
      <w:pPr>
        <w:pStyle w:val="AS"/>
        <w:spacing w:after="0"/>
        <w:ind w:left="0" w:firstLine="0"/>
        <w:rPr>
          <w:b w:val="0"/>
          <w:sz w:val="22"/>
          <w:szCs w:val="22"/>
        </w:rPr>
      </w:pPr>
      <w:r w:rsidRPr="001F28EC">
        <w:rPr>
          <w:rStyle w:val="CharSchNo"/>
          <w:sz w:val="22"/>
          <w:szCs w:val="22"/>
        </w:rPr>
        <w:t>Interpretation</w:t>
      </w:r>
    </w:p>
    <w:p w14:paraId="6871446C" w14:textId="77777777" w:rsidR="006A03BF" w:rsidRPr="001F28EC" w:rsidRDefault="006A03BF" w:rsidP="00D94AFB">
      <w:pPr>
        <w:pStyle w:val="IP"/>
        <w:spacing w:after="0" w:line="240" w:lineRule="auto"/>
        <w:rPr>
          <w:rFonts w:ascii="Arial" w:hAnsi="Arial" w:cs="Arial"/>
          <w:sz w:val="22"/>
          <w:szCs w:val="22"/>
        </w:rPr>
      </w:pPr>
      <w:r w:rsidRPr="001F28EC">
        <w:rPr>
          <w:rFonts w:ascii="Arial" w:hAnsi="Arial" w:cs="Arial"/>
          <w:sz w:val="22"/>
          <w:szCs w:val="22"/>
        </w:rPr>
        <w:t>In this instrument:</w:t>
      </w:r>
    </w:p>
    <w:p w14:paraId="2067AFD3" w14:textId="77777777" w:rsidR="006A03BF" w:rsidRPr="001F28EC" w:rsidRDefault="006A03BF" w:rsidP="00D94AFB">
      <w:pPr>
        <w:pStyle w:val="definition"/>
        <w:spacing w:before="120" w:after="0" w:line="240" w:lineRule="auto"/>
        <w:jc w:val="left"/>
        <w:rPr>
          <w:rFonts w:ascii="Arial" w:hAnsi="Arial" w:cs="Arial"/>
          <w:sz w:val="22"/>
          <w:szCs w:val="22"/>
        </w:rPr>
      </w:pPr>
      <w:r w:rsidRPr="001F28EC">
        <w:rPr>
          <w:rFonts w:ascii="Arial" w:hAnsi="Arial" w:cs="Arial"/>
          <w:b/>
          <w:i/>
          <w:sz w:val="22"/>
          <w:szCs w:val="22"/>
        </w:rPr>
        <w:t xml:space="preserve">APRA </w:t>
      </w:r>
      <w:r w:rsidRPr="001F28EC">
        <w:rPr>
          <w:rFonts w:ascii="Arial" w:hAnsi="Arial" w:cs="Arial"/>
          <w:sz w:val="22"/>
          <w:szCs w:val="22"/>
        </w:rPr>
        <w:t>means the Australian Prudential Regulation Authority.</w:t>
      </w:r>
    </w:p>
    <w:p w14:paraId="74ECCFF8" w14:textId="05618EE5" w:rsidR="003975A8" w:rsidRPr="001F28EC" w:rsidRDefault="007A26F3" w:rsidP="00D94AFB">
      <w:pPr>
        <w:pStyle w:val="definition"/>
        <w:spacing w:before="120" w:after="0" w:line="240" w:lineRule="auto"/>
        <w:jc w:val="left"/>
        <w:rPr>
          <w:rFonts w:ascii="Arial" w:hAnsi="Arial" w:cs="Arial"/>
          <w:sz w:val="22"/>
          <w:szCs w:val="22"/>
        </w:rPr>
      </w:pPr>
      <w:r w:rsidRPr="001F28EC">
        <w:rPr>
          <w:rFonts w:ascii="Arial" w:hAnsi="Arial" w:cs="Arial"/>
          <w:b/>
          <w:i/>
          <w:sz w:val="22"/>
          <w:szCs w:val="22"/>
        </w:rPr>
        <w:t>ADI</w:t>
      </w:r>
      <w:r w:rsidRPr="001F28EC">
        <w:rPr>
          <w:rFonts w:ascii="Arial" w:hAnsi="Arial" w:cs="Arial"/>
          <w:sz w:val="22"/>
          <w:szCs w:val="22"/>
        </w:rPr>
        <w:t xml:space="preserve"> and </w:t>
      </w:r>
      <w:r w:rsidR="006A03BF" w:rsidRPr="001F28EC">
        <w:rPr>
          <w:rFonts w:ascii="Arial" w:hAnsi="Arial" w:cs="Arial"/>
          <w:b/>
          <w:i/>
          <w:sz w:val="22"/>
          <w:szCs w:val="22"/>
        </w:rPr>
        <w:t>authorised NOHC</w:t>
      </w:r>
      <w:r w:rsidR="006A03BF" w:rsidRPr="001F28EC">
        <w:rPr>
          <w:rFonts w:ascii="Arial" w:hAnsi="Arial" w:cs="Arial"/>
          <w:sz w:val="22"/>
          <w:szCs w:val="22"/>
        </w:rPr>
        <w:t xml:space="preserve"> </w:t>
      </w:r>
      <w:r w:rsidRPr="001F28EC">
        <w:rPr>
          <w:rFonts w:ascii="Arial" w:hAnsi="Arial" w:cs="Arial"/>
          <w:sz w:val="22"/>
          <w:szCs w:val="22"/>
        </w:rPr>
        <w:t xml:space="preserve">have their respective </w:t>
      </w:r>
      <w:r w:rsidR="006A03BF" w:rsidRPr="001F28EC">
        <w:rPr>
          <w:rFonts w:ascii="Arial" w:hAnsi="Arial" w:cs="Arial"/>
          <w:sz w:val="22"/>
          <w:szCs w:val="22"/>
        </w:rPr>
        <w:t>meaning</w:t>
      </w:r>
      <w:r w:rsidRPr="001F28EC">
        <w:rPr>
          <w:rFonts w:ascii="Arial" w:hAnsi="Arial" w:cs="Arial"/>
          <w:sz w:val="22"/>
          <w:szCs w:val="22"/>
        </w:rPr>
        <w:t>s</w:t>
      </w:r>
      <w:r w:rsidR="006A03BF" w:rsidRPr="001F28EC">
        <w:rPr>
          <w:rFonts w:ascii="Arial" w:hAnsi="Arial" w:cs="Arial"/>
          <w:sz w:val="22"/>
          <w:szCs w:val="22"/>
        </w:rPr>
        <w:t xml:space="preserve"> given in the Act.</w:t>
      </w:r>
    </w:p>
    <w:p w14:paraId="271B4D84" w14:textId="77777777" w:rsidR="00F33768" w:rsidRPr="001F28EC" w:rsidRDefault="00F33768">
      <w:pPr>
        <w:spacing w:after="0"/>
        <w:rPr>
          <w:rFonts w:ascii="Arial" w:hAnsi="Arial" w:cs="Arial"/>
          <w:b/>
          <w:sz w:val="28"/>
          <w:szCs w:val="28"/>
          <w:lang w:eastAsia="en-US"/>
        </w:rPr>
      </w:pPr>
      <w:r w:rsidRPr="001F28EC">
        <w:rPr>
          <w:rFonts w:ascii="Arial" w:hAnsi="Arial" w:cs="Arial"/>
          <w:b/>
          <w:sz w:val="28"/>
          <w:szCs w:val="28"/>
        </w:rPr>
        <w:br w:type="page"/>
      </w:r>
    </w:p>
    <w:p w14:paraId="15FF6A80" w14:textId="4E261C5F" w:rsidR="00F5371C" w:rsidRPr="001F28EC" w:rsidRDefault="00F5371C" w:rsidP="002B55AD">
      <w:pPr>
        <w:pStyle w:val="definition"/>
        <w:spacing w:before="0" w:line="240" w:lineRule="auto"/>
        <w:rPr>
          <w:rFonts w:ascii="Arial" w:eastAsia="Times New Roman" w:hAnsi="Arial" w:cs="Arial"/>
          <w:b/>
          <w:sz w:val="32"/>
          <w:szCs w:val="32"/>
        </w:rPr>
      </w:pPr>
      <w:r w:rsidRPr="001F28EC">
        <w:rPr>
          <w:rFonts w:ascii="Arial" w:hAnsi="Arial" w:cs="Arial"/>
          <w:b/>
          <w:sz w:val="32"/>
          <w:szCs w:val="32"/>
        </w:rPr>
        <w:lastRenderedPageBreak/>
        <w:t>Schedule</w:t>
      </w:r>
    </w:p>
    <w:p w14:paraId="02A5621B" w14:textId="3DB6A14C" w:rsidR="00F5371C" w:rsidRPr="001F28EC" w:rsidRDefault="00F5371C" w:rsidP="00F5371C">
      <w:pPr>
        <w:pStyle w:val="definition"/>
        <w:spacing w:before="360"/>
        <w:rPr>
          <w:rFonts w:ascii="Arial" w:hAnsi="Arial" w:cs="Arial"/>
          <w:sz w:val="22"/>
          <w:szCs w:val="22"/>
        </w:rPr>
      </w:pPr>
      <w:r w:rsidRPr="001F28EC">
        <w:rPr>
          <w:rFonts w:ascii="Arial" w:hAnsi="Arial" w:cs="Arial"/>
          <w:i/>
          <w:sz w:val="22"/>
          <w:szCs w:val="22"/>
        </w:rPr>
        <w:t xml:space="preserve">Prudential Standard APS 117 Capital Adequacy: Interest Rate Risk in the Banking Book </w:t>
      </w:r>
      <w:r w:rsidRPr="001F28EC">
        <w:rPr>
          <w:rFonts w:ascii="Arial" w:hAnsi="Arial" w:cs="Arial"/>
          <w:sz w:val="22"/>
          <w:szCs w:val="22"/>
        </w:rPr>
        <w:t xml:space="preserve">comprises the </w:t>
      </w:r>
      <w:r w:rsidR="002B55AD" w:rsidRPr="001F28EC">
        <w:rPr>
          <w:rFonts w:ascii="Arial" w:hAnsi="Arial" w:cs="Arial"/>
          <w:sz w:val="22"/>
          <w:szCs w:val="22"/>
        </w:rPr>
        <w:t xml:space="preserve">document </w:t>
      </w:r>
      <w:r w:rsidRPr="001F28EC">
        <w:rPr>
          <w:rFonts w:ascii="Arial" w:hAnsi="Arial" w:cs="Arial"/>
          <w:sz w:val="22"/>
          <w:szCs w:val="22"/>
        </w:rPr>
        <w:t>commencing on the following page.</w:t>
      </w:r>
      <w:bookmarkStart w:id="2" w:name="_Ref183256332"/>
      <w:bookmarkStart w:id="3" w:name="_Toc168113229"/>
      <w:bookmarkEnd w:id="2"/>
      <w:bookmarkEnd w:id="3"/>
    </w:p>
    <w:p w14:paraId="4D100FBA" w14:textId="318F5226" w:rsidR="007E35C1" w:rsidRPr="001F28EC" w:rsidRDefault="007E35C1" w:rsidP="007E35C1">
      <w:pPr>
        <w:tabs>
          <w:tab w:val="left" w:pos="7275"/>
        </w:tabs>
        <w:rPr>
          <w:rStyle w:val="inlinedefn"/>
        </w:rPr>
      </w:pPr>
      <w:bookmarkStart w:id="4" w:name="bkHideNotes"/>
      <w:bookmarkStart w:id="5" w:name="bkNotes"/>
      <w:bookmarkEnd w:id="4"/>
      <w:bookmarkEnd w:id="5"/>
    </w:p>
    <w:p w14:paraId="010896DA" w14:textId="77777777" w:rsidR="007E35C1" w:rsidRPr="001F28EC" w:rsidRDefault="007E35C1" w:rsidP="007E35C1">
      <w:pPr>
        <w:rPr>
          <w:rStyle w:val="inlinedefn"/>
        </w:rPr>
      </w:pPr>
    </w:p>
    <w:p w14:paraId="61C041D6" w14:textId="77777777" w:rsidR="007E35C1" w:rsidRPr="001F28EC" w:rsidRDefault="007E35C1" w:rsidP="007E35C1">
      <w:pPr>
        <w:sectPr w:rsidR="007E35C1" w:rsidRPr="001F28EC" w:rsidSect="005744DF">
          <w:headerReference w:type="default" r:id="rId12"/>
          <w:footerReference w:type="default" r:id="rId13"/>
          <w:pgSz w:w="11906" w:h="16838"/>
          <w:pgMar w:top="1440" w:right="1800" w:bottom="1440" w:left="1800" w:header="720" w:footer="720" w:gutter="0"/>
          <w:cols w:space="720"/>
          <w:titlePg/>
          <w:docGrid w:linePitch="326"/>
        </w:sectPr>
      </w:pPr>
    </w:p>
    <w:p w14:paraId="0F0BAD2B" w14:textId="77777777" w:rsidR="00BC23BF" w:rsidRPr="001F28EC" w:rsidRDefault="00BC23BF">
      <w:pPr>
        <w:spacing w:after="0"/>
        <w:rPr>
          <w:rStyle w:val="inlinedefn"/>
        </w:rPr>
      </w:pPr>
    </w:p>
    <w:p w14:paraId="1E20ABC5" w14:textId="48342F5C" w:rsidR="00433AA3" w:rsidRPr="001F28EC" w:rsidRDefault="00C37820" w:rsidP="00440A0E">
      <w:pPr>
        <w:rPr>
          <w:rStyle w:val="inlinedefn"/>
        </w:rPr>
      </w:pPr>
      <w:r w:rsidRPr="001F28EC">
        <w:rPr>
          <w:rStyle w:val="inlinedefn"/>
          <w:noProof/>
        </w:rPr>
        <w:drawing>
          <wp:inline distT="0" distB="0" distL="0" distR="0" wp14:anchorId="1509B61D" wp14:editId="309C3A46">
            <wp:extent cx="1419225" cy="1104900"/>
            <wp:effectExtent l="0" t="0" r="0" b="0"/>
            <wp:docPr id="546384870" name="Picture 546384870" descr="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Commonwealth Coat of Arms"/>
                    <pic:cNvPicPr>
                      <a:picLocks noChangeAspect="1" noChangeArrowheads="1"/>
                    </pic:cNvPicPr>
                  </pic:nvPicPr>
                  <pic:blipFill>
                    <a:blip r:embed="rId11"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14:paraId="48ED3410" w14:textId="3E29A0B3" w:rsidR="00433AA3" w:rsidRPr="001F28EC" w:rsidRDefault="00433AA3" w:rsidP="0058759B">
      <w:pPr>
        <w:pStyle w:val="Title"/>
        <w:rPr>
          <w:rFonts w:ascii="Arial" w:hAnsi="Arial" w:cs="Arial"/>
        </w:rPr>
      </w:pPr>
      <w:r w:rsidRPr="001F28EC">
        <w:rPr>
          <w:rFonts w:ascii="Arial" w:hAnsi="Arial" w:cs="Arial"/>
        </w:rPr>
        <w:t xml:space="preserve">Prudential Standard </w:t>
      </w:r>
      <w:smartTag w:uri="urn:schemas-microsoft-com:office:smarttags" w:element="stockticker">
        <w:r w:rsidRPr="001F28EC">
          <w:rPr>
            <w:rFonts w:ascii="Arial" w:hAnsi="Arial" w:cs="Arial"/>
          </w:rPr>
          <w:t>APS</w:t>
        </w:r>
      </w:smartTag>
      <w:r w:rsidRPr="001F28EC">
        <w:rPr>
          <w:rFonts w:ascii="Arial" w:hAnsi="Arial" w:cs="Arial"/>
        </w:rPr>
        <w:t xml:space="preserve"> 117</w:t>
      </w:r>
    </w:p>
    <w:p w14:paraId="4EF3302A" w14:textId="60C09F96" w:rsidR="00433AA3" w:rsidRPr="001F28EC" w:rsidRDefault="00433AA3" w:rsidP="0058759B">
      <w:pPr>
        <w:pStyle w:val="Title"/>
        <w:rPr>
          <w:rFonts w:ascii="Arial" w:hAnsi="Arial" w:cs="Arial"/>
        </w:rPr>
      </w:pPr>
      <w:bookmarkStart w:id="6" w:name="_Toc173901374"/>
      <w:r w:rsidRPr="001F28EC">
        <w:rPr>
          <w:rFonts w:ascii="Arial" w:hAnsi="Arial" w:cs="Arial"/>
        </w:rPr>
        <w:t>Capital Adequacy: Interest Rate Risk in the Banking Book</w:t>
      </w:r>
      <w:bookmarkEnd w:id="6"/>
    </w:p>
    <w:p w14:paraId="628B99BE" w14:textId="77777777" w:rsidR="00433AA3" w:rsidRPr="001F28EC" w:rsidRDefault="00433AA3" w:rsidP="00604BF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360"/>
        <w:jc w:val="both"/>
        <w:rPr>
          <w:rFonts w:ascii="Arial" w:hAnsi="Arial"/>
          <w:b/>
          <w:sz w:val="32"/>
        </w:rPr>
      </w:pPr>
      <w:r w:rsidRPr="001F28EC">
        <w:rPr>
          <w:rFonts w:ascii="Arial" w:hAnsi="Arial"/>
          <w:b/>
          <w:sz w:val="32"/>
        </w:rPr>
        <w:t>Objective and key requirements of this Prudential Standard</w:t>
      </w:r>
    </w:p>
    <w:p w14:paraId="70505C50" w14:textId="09BFEEFA" w:rsidR="00433AA3" w:rsidRPr="001F28EC" w:rsidRDefault="00433AA3" w:rsidP="0A283443">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001F28EC">
        <w:t>This Prudential Standard sets out the requirements that an authorised deposit-taking institution must meet</w:t>
      </w:r>
      <w:r w:rsidR="00AE2574" w:rsidRPr="001F28EC">
        <w:t xml:space="preserve"> </w:t>
      </w:r>
      <w:r w:rsidR="005A6746" w:rsidRPr="001F28EC">
        <w:t>to</w:t>
      </w:r>
      <w:r w:rsidR="00294B54" w:rsidRPr="001F28EC">
        <w:t xml:space="preserve"> ensure it prudently manages</w:t>
      </w:r>
      <w:r w:rsidR="005A6746" w:rsidRPr="001F28EC">
        <w:t xml:space="preserve"> interest rate risk in the banking book</w:t>
      </w:r>
      <w:r w:rsidRPr="001F28EC">
        <w:t>.</w:t>
      </w:r>
    </w:p>
    <w:p w14:paraId="3234B7BA" w14:textId="187F8CFC" w:rsidR="00433AA3" w:rsidRPr="001F28EC" w:rsidRDefault="00433AA3" w:rsidP="00604BFF">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bookmarkStart w:id="7" w:name="_Hlk103690502"/>
      <w:r w:rsidRPr="001F28EC">
        <w:t>The key requirements of this Prudential Standard are that an authorised deposit-taking institution</w:t>
      </w:r>
      <w:r w:rsidR="000F4C14" w:rsidRPr="001F28EC">
        <w:t xml:space="preserve"> must</w:t>
      </w:r>
      <w:r w:rsidRPr="001F28EC">
        <w:t>:</w:t>
      </w:r>
    </w:p>
    <w:p w14:paraId="14C804C2" w14:textId="30627346" w:rsidR="005A6746" w:rsidRPr="001F28EC" w:rsidRDefault="009976AC" w:rsidP="00604BFF">
      <w:pPr>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jc w:val="both"/>
        <w:rPr>
          <w:i/>
        </w:rPr>
      </w:pPr>
      <w:r w:rsidRPr="001F28EC">
        <w:t xml:space="preserve">have </w:t>
      </w:r>
      <w:r w:rsidR="00433AA3" w:rsidRPr="001F28EC">
        <w:t xml:space="preserve">a framework to manage, measure and monitor </w:t>
      </w:r>
      <w:r w:rsidR="00916A3E" w:rsidRPr="001F28EC">
        <w:t>interest rate risk in the banking book</w:t>
      </w:r>
      <w:r w:rsidR="00294B54" w:rsidRPr="001F28EC">
        <w:t>,</w:t>
      </w:r>
      <w:r w:rsidR="00916A3E" w:rsidRPr="001F28EC">
        <w:t xml:space="preserve"> </w:t>
      </w:r>
      <w:r w:rsidR="00433AA3" w:rsidRPr="001F28EC">
        <w:t xml:space="preserve">commensurate with the nature, scale and complexity of </w:t>
      </w:r>
      <w:r w:rsidR="00294B54" w:rsidRPr="001F28EC">
        <w:t>its</w:t>
      </w:r>
      <w:r w:rsidR="001E4664" w:rsidRPr="001F28EC">
        <w:t xml:space="preserve"> </w:t>
      </w:r>
      <w:r w:rsidR="00433AA3" w:rsidRPr="001F28EC">
        <w:t xml:space="preserve">operations; </w:t>
      </w:r>
      <w:r w:rsidR="00604D0B" w:rsidRPr="001F28EC">
        <w:t>and</w:t>
      </w:r>
    </w:p>
    <w:p w14:paraId="4B934BF9" w14:textId="1A46C082" w:rsidR="00D617A8" w:rsidRPr="001F28EC" w:rsidRDefault="00294B54" w:rsidP="00604BFF">
      <w:pPr>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001F28EC">
        <w:t>be</w:t>
      </w:r>
      <w:r w:rsidR="00D617A8" w:rsidRPr="001F28EC">
        <w:t xml:space="preserve"> approv</w:t>
      </w:r>
      <w:r w:rsidRPr="001F28EC">
        <w:t>ed by</w:t>
      </w:r>
      <w:r w:rsidR="00604D0B" w:rsidRPr="001F28EC">
        <w:t xml:space="preserve"> APRA </w:t>
      </w:r>
      <w:r w:rsidR="00D617A8" w:rsidRPr="001F28EC">
        <w:t xml:space="preserve">to use an internal model for determining </w:t>
      </w:r>
      <w:r w:rsidRPr="001F28EC">
        <w:t>its</w:t>
      </w:r>
      <w:r w:rsidR="00D617A8" w:rsidRPr="001F28EC">
        <w:t xml:space="preserve"> </w:t>
      </w:r>
      <w:r w:rsidR="004C7B29" w:rsidRPr="001F28EC">
        <w:t xml:space="preserve">interest rate risk in the banking book </w:t>
      </w:r>
      <w:r w:rsidR="005A6746" w:rsidRPr="001F28EC">
        <w:t>capital charge</w:t>
      </w:r>
      <w:r w:rsidR="00604D0B" w:rsidRPr="001F28EC">
        <w:t>.</w:t>
      </w:r>
    </w:p>
    <w:bookmarkEnd w:id="7"/>
    <w:p w14:paraId="52D58D59" w14:textId="77777777" w:rsidR="00433AA3" w:rsidRPr="001F28EC" w:rsidRDefault="00433AA3" w:rsidP="0038498F">
      <w:pPr>
        <w:spacing w:before="120" w:after="360"/>
        <w:rPr>
          <w:rFonts w:ascii="Arial" w:hAnsi="Arial" w:cs="Arial"/>
          <w:b/>
          <w:sz w:val="32"/>
          <w:szCs w:val="32"/>
        </w:rPr>
      </w:pPr>
      <w:r w:rsidRPr="001F28EC">
        <w:br w:type="page"/>
      </w:r>
      <w:r w:rsidRPr="001F28EC">
        <w:rPr>
          <w:rFonts w:ascii="Arial" w:hAnsi="Arial" w:cs="Arial"/>
          <w:b/>
          <w:sz w:val="32"/>
          <w:szCs w:val="32"/>
        </w:rPr>
        <w:lastRenderedPageBreak/>
        <w:t>Table of contents</w:t>
      </w:r>
    </w:p>
    <w:p w14:paraId="476FC011" w14:textId="441FC8E8" w:rsidR="00DD78FE" w:rsidRPr="001F28EC" w:rsidRDefault="00DD78FE">
      <w:pPr>
        <w:pStyle w:val="TOC1"/>
        <w:rPr>
          <w:rFonts w:asciiTheme="minorHAnsi" w:eastAsiaTheme="minorEastAsia" w:hAnsiTheme="minorHAnsi" w:cstheme="minorBidi"/>
          <w:kern w:val="2"/>
          <w14:ligatures w14:val="standardContextual"/>
        </w:rPr>
      </w:pPr>
      <w:r w:rsidRPr="001F28EC">
        <w:t>Authority</w:t>
      </w:r>
      <w:r w:rsidRPr="001F28EC">
        <w:rPr>
          <w:webHidden/>
        </w:rPr>
        <w:tab/>
      </w:r>
      <w:r w:rsidR="0007681F" w:rsidRPr="001F28EC">
        <w:rPr>
          <w:webHidden/>
        </w:rPr>
        <w:t>3</w:t>
      </w:r>
    </w:p>
    <w:p w14:paraId="25282A23" w14:textId="37AF4517" w:rsidR="00DD78FE" w:rsidRPr="001F28EC" w:rsidRDefault="00DD78FE">
      <w:pPr>
        <w:pStyle w:val="TOC1"/>
        <w:rPr>
          <w:rFonts w:asciiTheme="minorHAnsi" w:eastAsiaTheme="minorEastAsia" w:hAnsiTheme="minorHAnsi" w:cstheme="minorBidi"/>
          <w:kern w:val="2"/>
          <w14:ligatures w14:val="standardContextual"/>
        </w:rPr>
      </w:pPr>
      <w:r w:rsidRPr="001F28EC">
        <w:t>Application</w:t>
      </w:r>
      <w:r w:rsidRPr="001F28EC">
        <w:rPr>
          <w:webHidden/>
        </w:rPr>
        <w:tab/>
      </w:r>
      <w:r w:rsidR="0007681F" w:rsidRPr="001F28EC">
        <w:rPr>
          <w:webHidden/>
        </w:rPr>
        <w:t>3</w:t>
      </w:r>
    </w:p>
    <w:p w14:paraId="10E55204" w14:textId="1630A5EA" w:rsidR="00DD78FE" w:rsidRPr="001F28EC" w:rsidRDefault="00DD78FE">
      <w:pPr>
        <w:pStyle w:val="TOC1"/>
        <w:rPr>
          <w:rFonts w:asciiTheme="minorHAnsi" w:eastAsiaTheme="minorEastAsia" w:hAnsiTheme="minorHAnsi" w:cstheme="minorBidi"/>
          <w:kern w:val="2"/>
          <w14:ligatures w14:val="standardContextual"/>
        </w:rPr>
      </w:pPr>
      <w:r w:rsidRPr="001F28EC">
        <w:t>Interpretation</w:t>
      </w:r>
      <w:r w:rsidRPr="001F28EC">
        <w:rPr>
          <w:webHidden/>
        </w:rPr>
        <w:tab/>
      </w:r>
      <w:r w:rsidR="0007681F" w:rsidRPr="001F28EC">
        <w:rPr>
          <w:webHidden/>
        </w:rPr>
        <w:t>4</w:t>
      </w:r>
    </w:p>
    <w:p w14:paraId="48881A00" w14:textId="755D87CA" w:rsidR="00DD78FE" w:rsidRPr="001F28EC" w:rsidRDefault="00DD78FE">
      <w:pPr>
        <w:pStyle w:val="TOC1"/>
        <w:rPr>
          <w:rFonts w:asciiTheme="minorHAnsi" w:eastAsiaTheme="minorEastAsia" w:hAnsiTheme="minorHAnsi" w:cstheme="minorBidi"/>
          <w:kern w:val="2"/>
          <w14:ligatures w14:val="standardContextual"/>
        </w:rPr>
      </w:pPr>
      <w:r w:rsidRPr="001F28EC">
        <w:t>Definitions</w:t>
      </w:r>
      <w:r w:rsidRPr="001F28EC">
        <w:rPr>
          <w:webHidden/>
        </w:rPr>
        <w:tab/>
      </w:r>
      <w:r w:rsidR="0007681F" w:rsidRPr="001F28EC">
        <w:rPr>
          <w:webHidden/>
        </w:rPr>
        <w:t>4</w:t>
      </w:r>
    </w:p>
    <w:p w14:paraId="285A54D5" w14:textId="5954186A" w:rsidR="00DD78FE" w:rsidRPr="001F28EC" w:rsidRDefault="00DD78FE">
      <w:pPr>
        <w:pStyle w:val="TOC1"/>
        <w:rPr>
          <w:rFonts w:asciiTheme="minorHAnsi" w:eastAsiaTheme="minorEastAsia" w:hAnsiTheme="minorHAnsi" w:cstheme="minorBidi"/>
          <w:kern w:val="2"/>
          <w14:ligatures w14:val="standardContextual"/>
        </w:rPr>
      </w:pPr>
      <w:r w:rsidRPr="001F28EC">
        <w:t>Adjustments and exclusions</w:t>
      </w:r>
      <w:r w:rsidRPr="001F28EC">
        <w:rPr>
          <w:webHidden/>
        </w:rPr>
        <w:tab/>
      </w:r>
      <w:r w:rsidR="0007681F" w:rsidRPr="001F28EC">
        <w:rPr>
          <w:webHidden/>
        </w:rPr>
        <w:t>5</w:t>
      </w:r>
    </w:p>
    <w:p w14:paraId="2C753942" w14:textId="5F6734B4" w:rsidR="00DD78FE" w:rsidRPr="001F28EC" w:rsidRDefault="00DD78FE">
      <w:pPr>
        <w:pStyle w:val="TOC1"/>
        <w:rPr>
          <w:rFonts w:asciiTheme="minorHAnsi" w:eastAsiaTheme="minorEastAsia" w:hAnsiTheme="minorHAnsi" w:cstheme="minorBidi"/>
          <w:kern w:val="2"/>
          <w14:ligatures w14:val="standardContextual"/>
        </w:rPr>
      </w:pPr>
      <w:r w:rsidRPr="001F28EC">
        <w:t>Previous exercise of discretion</w:t>
      </w:r>
      <w:r w:rsidRPr="001F28EC">
        <w:rPr>
          <w:webHidden/>
        </w:rPr>
        <w:tab/>
      </w:r>
      <w:r w:rsidR="0007681F" w:rsidRPr="001F28EC">
        <w:rPr>
          <w:webHidden/>
        </w:rPr>
        <w:t>5</w:t>
      </w:r>
    </w:p>
    <w:p w14:paraId="28227690" w14:textId="01045623" w:rsidR="00DD78FE" w:rsidRPr="001F28EC" w:rsidRDefault="00DD78FE">
      <w:pPr>
        <w:pStyle w:val="TOC1"/>
        <w:rPr>
          <w:rFonts w:asciiTheme="minorHAnsi" w:eastAsiaTheme="minorEastAsia" w:hAnsiTheme="minorHAnsi" w:cstheme="minorBidi"/>
          <w:kern w:val="2"/>
          <w14:ligatures w14:val="standardContextual"/>
        </w:rPr>
      </w:pPr>
      <w:r w:rsidRPr="001F28EC">
        <w:t>Requirements for all ADIs</w:t>
      </w:r>
      <w:r w:rsidRPr="001F28EC">
        <w:rPr>
          <w:webHidden/>
        </w:rPr>
        <w:tab/>
      </w:r>
      <w:r w:rsidR="0007681F" w:rsidRPr="001F28EC">
        <w:rPr>
          <w:webHidden/>
        </w:rPr>
        <w:t>6</w:t>
      </w:r>
    </w:p>
    <w:p w14:paraId="4D2B4721" w14:textId="7D6E6B4A" w:rsidR="00DD78FE" w:rsidRPr="001F28EC" w:rsidRDefault="00DD78FE">
      <w:pPr>
        <w:pStyle w:val="TOC1"/>
        <w:rPr>
          <w:rFonts w:asciiTheme="minorHAnsi" w:eastAsiaTheme="minorEastAsia" w:hAnsiTheme="minorHAnsi" w:cstheme="minorBidi"/>
          <w:kern w:val="2"/>
          <w14:ligatures w14:val="standardContextual"/>
        </w:rPr>
      </w:pPr>
      <w:r w:rsidRPr="001F28EC">
        <w:t>Requirements for SFIs</w:t>
      </w:r>
      <w:r w:rsidRPr="001F28EC">
        <w:rPr>
          <w:webHidden/>
        </w:rPr>
        <w:tab/>
      </w:r>
      <w:r w:rsidR="0007681F" w:rsidRPr="001F28EC">
        <w:rPr>
          <w:webHidden/>
        </w:rPr>
        <w:t>6</w:t>
      </w:r>
    </w:p>
    <w:p w14:paraId="1054AE82" w14:textId="198ED326" w:rsidR="00DD78FE" w:rsidRPr="001F28EC" w:rsidRDefault="00DD78FE">
      <w:pPr>
        <w:pStyle w:val="TOC1"/>
        <w:rPr>
          <w:rFonts w:asciiTheme="minorHAnsi" w:eastAsiaTheme="minorEastAsia" w:hAnsiTheme="minorHAnsi" w:cstheme="minorBidi"/>
          <w:kern w:val="2"/>
          <w14:ligatures w14:val="standardContextual"/>
        </w:rPr>
      </w:pPr>
      <w:r w:rsidRPr="001F28EC">
        <w:t>Internal model approval process</w:t>
      </w:r>
      <w:r w:rsidRPr="001F28EC">
        <w:rPr>
          <w:webHidden/>
        </w:rPr>
        <w:tab/>
      </w:r>
      <w:r w:rsidR="0007681F" w:rsidRPr="001F28EC">
        <w:rPr>
          <w:webHidden/>
        </w:rPr>
        <w:t>6</w:t>
      </w:r>
    </w:p>
    <w:p w14:paraId="1BB76BD3" w14:textId="24692C86" w:rsidR="00DD78FE" w:rsidRPr="001F28EC" w:rsidRDefault="00DD78FE">
      <w:pPr>
        <w:pStyle w:val="TOC1"/>
        <w:rPr>
          <w:rFonts w:asciiTheme="minorHAnsi" w:eastAsiaTheme="minorEastAsia" w:hAnsiTheme="minorHAnsi" w:cstheme="minorBidi"/>
          <w:kern w:val="2"/>
          <w14:ligatures w14:val="standardContextual"/>
        </w:rPr>
      </w:pPr>
      <w:r w:rsidRPr="001F28EC">
        <w:t>Partial use of internal model</w:t>
      </w:r>
      <w:r w:rsidRPr="001F28EC">
        <w:rPr>
          <w:webHidden/>
        </w:rPr>
        <w:tab/>
      </w:r>
      <w:r w:rsidR="0007681F" w:rsidRPr="001F28EC">
        <w:rPr>
          <w:webHidden/>
        </w:rPr>
        <w:t>7</w:t>
      </w:r>
    </w:p>
    <w:p w14:paraId="66B032C6" w14:textId="1880BA56" w:rsidR="00DD78FE" w:rsidRPr="001F28EC" w:rsidRDefault="00DD78FE">
      <w:pPr>
        <w:pStyle w:val="TOC2"/>
        <w:rPr>
          <w:rFonts w:asciiTheme="minorHAnsi" w:eastAsiaTheme="minorEastAsia" w:hAnsiTheme="minorHAnsi" w:cstheme="minorBidi"/>
          <w:kern w:val="2"/>
          <w14:ligatures w14:val="standardContextual"/>
        </w:rPr>
      </w:pPr>
      <w:r w:rsidRPr="001F28EC">
        <w:t xml:space="preserve">Attachment A </w:t>
      </w:r>
      <w:r w:rsidRPr="001F28EC">
        <w:rPr>
          <w:rFonts w:hint="eastAsia"/>
        </w:rPr>
        <w:t>–</w:t>
      </w:r>
      <w:r w:rsidRPr="001F28EC">
        <w:t xml:space="preserve"> Approved IRRBB models</w:t>
      </w:r>
      <w:r w:rsidRPr="001F28EC">
        <w:rPr>
          <w:webHidden/>
        </w:rPr>
        <w:tab/>
      </w:r>
      <w:r w:rsidR="0007681F" w:rsidRPr="001F28EC">
        <w:rPr>
          <w:webHidden/>
        </w:rPr>
        <w:t>14</w:t>
      </w:r>
    </w:p>
    <w:p w14:paraId="60604E0A" w14:textId="5A6DDF63" w:rsidR="00F1091D" w:rsidRPr="001F28EC" w:rsidRDefault="00F1091D" w:rsidP="006C34E5">
      <w:pPr>
        <w:pStyle w:val="TOC2"/>
      </w:pPr>
    </w:p>
    <w:p w14:paraId="092E7614" w14:textId="77777777" w:rsidR="00F1091D" w:rsidRPr="001F28EC" w:rsidRDefault="00F1091D">
      <w:pPr>
        <w:rPr>
          <w:rFonts w:ascii="Arial" w:hAnsi="Arial" w:cs="Arial"/>
          <w:b/>
          <w:bCs/>
          <w:i/>
          <w:iCs/>
          <w:sz w:val="28"/>
          <w:szCs w:val="28"/>
        </w:rPr>
      </w:pPr>
      <w:r w:rsidRPr="001F28EC">
        <w:br w:type="page"/>
      </w:r>
    </w:p>
    <w:p w14:paraId="28F064B9" w14:textId="73DA019F" w:rsidR="00433AA3" w:rsidRPr="001F28EC" w:rsidRDefault="00433AA3" w:rsidP="0058759B">
      <w:pPr>
        <w:pStyle w:val="Heading1"/>
        <w:rPr>
          <w:i/>
        </w:rPr>
      </w:pPr>
      <w:bookmarkStart w:id="8" w:name="_Toc176749304"/>
      <w:bookmarkStart w:id="9" w:name="_Toc177286354"/>
      <w:bookmarkStart w:id="10" w:name="_Toc171007222"/>
      <w:r w:rsidRPr="001F28EC">
        <w:lastRenderedPageBreak/>
        <w:t>Authority</w:t>
      </w:r>
      <w:bookmarkEnd w:id="8"/>
      <w:bookmarkEnd w:id="9"/>
      <w:bookmarkEnd w:id="10"/>
    </w:p>
    <w:p w14:paraId="2954E300" w14:textId="07183615" w:rsidR="00433AA3" w:rsidRPr="001F28EC" w:rsidRDefault="00433AA3" w:rsidP="009A268B">
      <w:pPr>
        <w:pStyle w:val="BodyText1"/>
      </w:pPr>
      <w:bookmarkStart w:id="11" w:name="_Ref165087883"/>
      <w:r w:rsidRPr="001F28EC">
        <w:t>This Prudential Standard is made under section 11AF of</w:t>
      </w:r>
      <w:r w:rsidR="0099388D" w:rsidRPr="001F28EC">
        <w:t xml:space="preserve"> the </w:t>
      </w:r>
      <w:r w:rsidR="007A4014" w:rsidRPr="001F28EC">
        <w:rPr>
          <w:i/>
        </w:rPr>
        <w:t xml:space="preserve">Banking Act 1959 </w:t>
      </w:r>
      <w:r w:rsidR="007A4014" w:rsidRPr="001F28EC">
        <w:t>(</w:t>
      </w:r>
      <w:r w:rsidR="0099388D" w:rsidRPr="001F28EC">
        <w:t>Banking Act</w:t>
      </w:r>
      <w:r w:rsidR="007A4014" w:rsidRPr="001F28EC">
        <w:t>)</w:t>
      </w:r>
      <w:r w:rsidRPr="001F28EC">
        <w:t>.</w:t>
      </w:r>
    </w:p>
    <w:p w14:paraId="38955004" w14:textId="77777777" w:rsidR="00433AA3" w:rsidRPr="001F28EC" w:rsidRDefault="00433AA3" w:rsidP="0058759B">
      <w:pPr>
        <w:pStyle w:val="Heading1"/>
        <w:rPr>
          <w:i/>
        </w:rPr>
      </w:pPr>
      <w:bookmarkStart w:id="12" w:name="_Toc176749305"/>
      <w:bookmarkStart w:id="13" w:name="_Toc177286355"/>
      <w:bookmarkStart w:id="14" w:name="_Toc171007223"/>
      <w:r w:rsidRPr="001F28EC">
        <w:t>Application</w:t>
      </w:r>
      <w:bookmarkEnd w:id="12"/>
      <w:bookmarkEnd w:id="13"/>
      <w:bookmarkEnd w:id="14"/>
    </w:p>
    <w:p w14:paraId="532B7B33" w14:textId="7C39545A" w:rsidR="00433AA3" w:rsidRPr="001F28EC" w:rsidRDefault="00FA043D" w:rsidP="002A38AD">
      <w:pPr>
        <w:pStyle w:val="BodyText1"/>
      </w:pPr>
      <w:r w:rsidRPr="001F28EC">
        <w:t>T</w:t>
      </w:r>
      <w:r w:rsidR="00433AA3" w:rsidRPr="001F28EC">
        <w:t>his Prudential Standard applies to</w:t>
      </w:r>
      <w:r w:rsidR="00E65609" w:rsidRPr="001F28EC">
        <w:t xml:space="preserve"> all</w:t>
      </w:r>
      <w:r w:rsidR="00433AA3" w:rsidRPr="001F28EC">
        <w:t xml:space="preserve"> </w:t>
      </w:r>
      <w:r w:rsidR="007A4014" w:rsidRPr="001F28EC">
        <w:t>authorised deposit-taking institutions (</w:t>
      </w:r>
      <w:r w:rsidR="00433AA3" w:rsidRPr="001F28EC">
        <w:rPr>
          <w:b/>
        </w:rPr>
        <w:t>ADIs</w:t>
      </w:r>
      <w:r w:rsidR="007A4014" w:rsidRPr="001F28EC">
        <w:t>)</w:t>
      </w:r>
      <w:r w:rsidRPr="001F28EC">
        <w:t xml:space="preserve">, other than </w:t>
      </w:r>
      <w:r w:rsidRPr="001F28EC">
        <w:rPr>
          <w:b/>
        </w:rPr>
        <w:t>foreign ADIs</w:t>
      </w:r>
      <w:r w:rsidRPr="001F28EC">
        <w:t xml:space="preserve"> and </w:t>
      </w:r>
      <w:r w:rsidRPr="001F28EC">
        <w:rPr>
          <w:b/>
        </w:rPr>
        <w:t>purchased payment facility providers</w:t>
      </w:r>
      <w:r w:rsidR="00E74DEF" w:rsidRPr="001F28EC">
        <w:t>.</w:t>
      </w:r>
      <w:r w:rsidR="006401BE" w:rsidRPr="001F28EC">
        <w:t xml:space="preserve"> Additionally,</w:t>
      </w:r>
      <w:r w:rsidR="007C2847" w:rsidRPr="001F28EC">
        <w:t xml:space="preserve"> </w:t>
      </w:r>
      <w:r w:rsidR="00A930D6" w:rsidRPr="001F28EC">
        <w:t>APRA may determine that this Prudential Standard</w:t>
      </w:r>
      <w:r w:rsidRPr="001F28EC">
        <w:t xml:space="preserve"> </w:t>
      </w:r>
      <w:r w:rsidR="00A930D6" w:rsidRPr="001F28EC">
        <w:t xml:space="preserve">applies to </w:t>
      </w:r>
      <w:r w:rsidR="006D30D1" w:rsidRPr="001F28EC">
        <w:t xml:space="preserve">a </w:t>
      </w:r>
      <w:r w:rsidR="005742BE" w:rsidRPr="001F28EC">
        <w:t xml:space="preserve">specified </w:t>
      </w:r>
      <w:r w:rsidR="002D7715" w:rsidRPr="001F28EC">
        <w:t xml:space="preserve">foreign </w:t>
      </w:r>
      <w:r w:rsidR="00A930D6" w:rsidRPr="001F28EC">
        <w:t>ADI</w:t>
      </w:r>
      <w:r w:rsidR="00EF10C0" w:rsidRPr="001F28EC">
        <w:t xml:space="preserve"> if APRA </w:t>
      </w:r>
      <w:r w:rsidR="00CA7F6F" w:rsidRPr="001F28EC">
        <w:t>considers</w:t>
      </w:r>
      <w:r w:rsidR="00E015A1" w:rsidRPr="001F28EC">
        <w:t xml:space="preserve"> that </w:t>
      </w:r>
      <w:r w:rsidR="002A37F3" w:rsidRPr="001F28EC">
        <w:t xml:space="preserve">the foreign </w:t>
      </w:r>
      <w:r w:rsidR="00E015A1" w:rsidRPr="001F28EC">
        <w:t xml:space="preserve">ADI is not appropriately managing, measuring or monitoring its </w:t>
      </w:r>
      <w:r w:rsidR="00E015A1" w:rsidRPr="001F28EC">
        <w:rPr>
          <w:b/>
        </w:rPr>
        <w:t>IRRBB</w:t>
      </w:r>
      <w:r w:rsidR="00E015A1" w:rsidRPr="001F28EC">
        <w:t xml:space="preserve"> or is carrying excessive interest rate risk</w:t>
      </w:r>
      <w:r w:rsidR="0039140C" w:rsidRPr="001F28EC">
        <w:t xml:space="preserve">, and require the </w:t>
      </w:r>
      <w:r w:rsidR="00E046C9" w:rsidRPr="001F28EC">
        <w:t xml:space="preserve">foreign ADI to comply with some or </w:t>
      </w:r>
      <w:proofErr w:type="gramStart"/>
      <w:r w:rsidR="00E046C9" w:rsidRPr="001F28EC">
        <w:t>all of</w:t>
      </w:r>
      <w:proofErr w:type="gramEnd"/>
      <w:r w:rsidR="00E046C9" w:rsidRPr="001F28EC">
        <w:t xml:space="preserve"> the requirements in this Prudential Standard</w:t>
      </w:r>
      <w:r w:rsidR="00E65609" w:rsidRPr="001F28EC">
        <w:t>.</w:t>
      </w:r>
      <w:r w:rsidR="00C830DE" w:rsidRPr="001F28EC">
        <w:t xml:space="preserve"> </w:t>
      </w:r>
    </w:p>
    <w:p w14:paraId="462233E3" w14:textId="276C8896" w:rsidR="00433AA3" w:rsidRPr="001F28EC" w:rsidRDefault="00433AA3" w:rsidP="002A38AD">
      <w:pPr>
        <w:pStyle w:val="BodyText1"/>
      </w:pPr>
      <w:bookmarkStart w:id="15" w:name="_Ref147209273"/>
      <w:bookmarkEnd w:id="11"/>
      <w:r w:rsidRPr="001F28EC">
        <w:t xml:space="preserve">A reference to an </w:t>
      </w:r>
      <w:smartTag w:uri="urn:schemas-microsoft-com:office:smarttags" w:element="stockticker">
        <w:r w:rsidRPr="001F28EC">
          <w:t>ADI</w:t>
        </w:r>
      </w:smartTag>
      <w:r w:rsidRPr="001F28EC">
        <w:t xml:space="preserve"> in this Prudential Standard</w:t>
      </w:r>
      <w:r w:rsidR="005A0C84" w:rsidRPr="001F28EC">
        <w:t>, unless otherwise indicated, is</w:t>
      </w:r>
      <w:r w:rsidRPr="001F28EC">
        <w:t xml:space="preserve"> a reference to:</w:t>
      </w:r>
      <w:bookmarkEnd w:id="15"/>
    </w:p>
    <w:p w14:paraId="292D5592" w14:textId="77777777" w:rsidR="00433AA3" w:rsidRPr="001F28EC" w:rsidRDefault="00433AA3" w:rsidP="002A38AD">
      <w:pPr>
        <w:pStyle w:val="BodyText2"/>
      </w:pPr>
      <w:r w:rsidRPr="001F28EC">
        <w:t xml:space="preserve">an </w:t>
      </w:r>
      <w:smartTag w:uri="urn:schemas-microsoft-com:office:smarttags" w:element="stockticker">
        <w:r w:rsidRPr="001F28EC">
          <w:t>ADI</w:t>
        </w:r>
      </w:smartTag>
      <w:r w:rsidRPr="001F28EC">
        <w:t xml:space="preserve"> on a </w:t>
      </w:r>
      <w:r w:rsidRPr="001F28EC">
        <w:rPr>
          <w:b/>
        </w:rPr>
        <w:t>Level 1</w:t>
      </w:r>
      <w:r w:rsidRPr="001F28EC">
        <w:t xml:space="preserve"> basis; and</w:t>
      </w:r>
    </w:p>
    <w:p w14:paraId="4B388E2A" w14:textId="77777777" w:rsidR="00433AA3" w:rsidRPr="001F28EC" w:rsidRDefault="00433AA3" w:rsidP="002A38AD">
      <w:pPr>
        <w:pStyle w:val="BodyText2"/>
      </w:pPr>
      <w:r w:rsidRPr="001F28EC">
        <w:t xml:space="preserve">a </w:t>
      </w:r>
      <w:r w:rsidRPr="001F28EC">
        <w:rPr>
          <w:b/>
        </w:rPr>
        <w:t>group</w:t>
      </w:r>
      <w:r w:rsidRPr="001F28EC">
        <w:t xml:space="preserve"> of which an </w:t>
      </w:r>
      <w:smartTag w:uri="urn:schemas-microsoft-com:office:smarttags" w:element="stockticker">
        <w:r w:rsidRPr="001F28EC">
          <w:t>ADI</w:t>
        </w:r>
      </w:smartTag>
      <w:r w:rsidRPr="001F28EC">
        <w:t xml:space="preserve"> is a member on a </w:t>
      </w:r>
      <w:r w:rsidRPr="001F28EC">
        <w:rPr>
          <w:b/>
        </w:rPr>
        <w:t>Level 2</w:t>
      </w:r>
      <w:r w:rsidRPr="001F28EC">
        <w:t xml:space="preserve"> basis.</w:t>
      </w:r>
    </w:p>
    <w:p w14:paraId="53B2D013" w14:textId="1815846E" w:rsidR="00433AA3" w:rsidRPr="001F28EC" w:rsidRDefault="00433AA3" w:rsidP="002A38AD">
      <w:pPr>
        <w:pStyle w:val="BodyText1"/>
      </w:pPr>
      <w:r w:rsidRPr="001F28EC">
        <w:t>If an ADI to which th</w:t>
      </w:r>
      <w:r w:rsidR="00033FB0" w:rsidRPr="001F28EC">
        <w:t>is</w:t>
      </w:r>
      <w:r w:rsidRPr="001F28EC">
        <w:t xml:space="preserve"> Prudential Standard applies is:</w:t>
      </w:r>
    </w:p>
    <w:p w14:paraId="0DE55B8C" w14:textId="77777777" w:rsidR="00433AA3" w:rsidRPr="001F28EC" w:rsidRDefault="00433AA3" w:rsidP="002A38AD">
      <w:pPr>
        <w:pStyle w:val="BodyText2"/>
      </w:pPr>
      <w:r w:rsidRPr="001F28EC">
        <w:t xml:space="preserve">the holding company for a group, the ADI must ensure that the requirements in this Prudential Standard are met on a Level 2 basis, where </w:t>
      </w:r>
      <w:proofErr w:type="gramStart"/>
      <w:r w:rsidRPr="001F28EC">
        <w:t>applicable;</w:t>
      </w:r>
      <w:proofErr w:type="gramEnd"/>
      <w:r w:rsidRPr="001F28EC">
        <w:t xml:space="preserve"> or </w:t>
      </w:r>
    </w:p>
    <w:p w14:paraId="1835494F" w14:textId="2E84D883" w:rsidR="001D5DB9" w:rsidRPr="001F28EC" w:rsidRDefault="00433AA3" w:rsidP="002A38AD">
      <w:pPr>
        <w:pStyle w:val="BodyText2"/>
      </w:pPr>
      <w:r w:rsidRPr="001F28EC">
        <w:t xml:space="preserve">a </w:t>
      </w:r>
      <w:r w:rsidRPr="001F28EC">
        <w:rPr>
          <w:b/>
        </w:rPr>
        <w:t>subsidiary</w:t>
      </w:r>
      <w:r w:rsidRPr="001F28EC">
        <w:t xml:space="preserve"> of an </w:t>
      </w:r>
      <w:r w:rsidR="005A0C84" w:rsidRPr="001F28EC">
        <w:t xml:space="preserve">authorised </w:t>
      </w:r>
      <w:r w:rsidR="007A4014" w:rsidRPr="001F28EC">
        <w:rPr>
          <w:b/>
        </w:rPr>
        <w:t>non-operating holding company</w:t>
      </w:r>
      <w:r w:rsidR="007A4014" w:rsidRPr="001F28EC">
        <w:t xml:space="preserve"> (</w:t>
      </w:r>
      <w:r w:rsidR="005A0C84" w:rsidRPr="001F28EC">
        <w:rPr>
          <w:b/>
          <w:bCs/>
        </w:rPr>
        <w:t>a</w:t>
      </w:r>
      <w:r w:rsidRPr="001F28EC">
        <w:rPr>
          <w:b/>
          <w:bCs/>
        </w:rPr>
        <w:t>uthorised</w:t>
      </w:r>
      <w:r w:rsidRPr="001F28EC">
        <w:rPr>
          <w:bCs/>
        </w:rPr>
        <w:t xml:space="preserve"> </w:t>
      </w:r>
      <w:r w:rsidRPr="001F28EC">
        <w:rPr>
          <w:b/>
          <w:bCs/>
        </w:rPr>
        <w:t>NOHC</w:t>
      </w:r>
      <w:r w:rsidR="007A4014" w:rsidRPr="001F28EC">
        <w:rPr>
          <w:b/>
          <w:bCs/>
        </w:rPr>
        <w:t>)</w:t>
      </w:r>
      <w:r w:rsidRPr="001F28EC">
        <w:rPr>
          <w:bCs/>
        </w:rPr>
        <w:t>,</w:t>
      </w:r>
      <w:r w:rsidRPr="001F28EC">
        <w:rPr>
          <w:b/>
          <w:bCs/>
        </w:rPr>
        <w:t xml:space="preserve"> </w:t>
      </w:r>
      <w:r w:rsidRPr="001F28EC">
        <w:t xml:space="preserve">the </w:t>
      </w:r>
      <w:r w:rsidR="005A0C84" w:rsidRPr="001F28EC">
        <w:t>a</w:t>
      </w:r>
      <w:r w:rsidRPr="001F28EC">
        <w:t>u</w:t>
      </w:r>
      <w:r w:rsidRPr="001F28EC">
        <w:rPr>
          <w:rStyle w:val="BodyText2Char"/>
        </w:rPr>
        <w:t>t</w:t>
      </w:r>
      <w:r w:rsidRPr="001F28EC">
        <w:t>horised NOHC must ensure that the requirements in this Prudential Standard are met on a Level 2 basis, where applicable.</w:t>
      </w:r>
      <w:r w:rsidR="002C39DF" w:rsidRPr="001F28EC">
        <w:t xml:space="preserve"> </w:t>
      </w:r>
    </w:p>
    <w:p w14:paraId="33028A02" w14:textId="5457C30C" w:rsidR="00981EF8" w:rsidRPr="001F28EC" w:rsidRDefault="00840A94" w:rsidP="00981EF8">
      <w:pPr>
        <w:pStyle w:val="BodyText1"/>
        <w:numPr>
          <w:ilvl w:val="0"/>
          <w:numId w:val="8"/>
        </w:numPr>
      </w:pPr>
      <w:r w:rsidRPr="001F28EC">
        <w:rPr>
          <w:b/>
        </w:rPr>
        <w:t>A n</w:t>
      </w:r>
      <w:r w:rsidR="00981EF8" w:rsidRPr="001F28EC">
        <w:rPr>
          <w:b/>
        </w:rPr>
        <w:t>on-significant financial institution</w:t>
      </w:r>
      <w:r w:rsidR="00981EF8" w:rsidRPr="001F28EC">
        <w:t xml:space="preserve"> (</w:t>
      </w:r>
      <w:r w:rsidR="00981EF8" w:rsidRPr="001F28EC">
        <w:rPr>
          <w:b/>
        </w:rPr>
        <w:t>non-SFI</w:t>
      </w:r>
      <w:r w:rsidR="00981EF8" w:rsidRPr="001F28EC">
        <w:t xml:space="preserve">) </w:t>
      </w:r>
      <w:r w:rsidRPr="001F28EC">
        <w:t>does not</w:t>
      </w:r>
      <w:r w:rsidR="00981EF8" w:rsidRPr="001F28EC">
        <w:t xml:space="preserve"> </w:t>
      </w:r>
      <w:r w:rsidRPr="001F28EC">
        <w:t xml:space="preserve">have to comply with the requirements in </w:t>
      </w:r>
      <w:r w:rsidR="00981EF8" w:rsidRPr="001F28EC">
        <w:t xml:space="preserve">paragraphs </w:t>
      </w:r>
      <w:r w:rsidR="00C86153" w:rsidRPr="001F28EC">
        <w:t>17</w:t>
      </w:r>
      <w:r w:rsidR="004F7841" w:rsidRPr="001F28EC">
        <w:t xml:space="preserve"> </w:t>
      </w:r>
      <w:r w:rsidR="00981EF8" w:rsidRPr="001F28EC">
        <w:t>to</w:t>
      </w:r>
      <w:r w:rsidR="004F7841" w:rsidRPr="001F28EC">
        <w:t xml:space="preserve"> </w:t>
      </w:r>
      <w:r w:rsidR="00D33A2F" w:rsidRPr="001F28EC">
        <w:t>63</w:t>
      </w:r>
      <w:r w:rsidR="00981EF8" w:rsidRPr="001F28EC">
        <w:t>, and Attachment A to this Prudential Standard</w:t>
      </w:r>
      <w:r w:rsidR="002C6C7C" w:rsidRPr="001F28EC">
        <w:t>, unless otherwise required by APRA</w:t>
      </w:r>
      <w:r w:rsidR="00BC51BF" w:rsidRPr="001F28EC">
        <w:t xml:space="preserve"> </w:t>
      </w:r>
      <w:r w:rsidR="0079043F" w:rsidRPr="001F28EC">
        <w:t>under</w:t>
      </w:r>
      <w:r w:rsidR="00BC51BF" w:rsidRPr="001F28EC">
        <w:t xml:space="preserve"> paragraph </w:t>
      </w:r>
      <w:r w:rsidR="0086560F" w:rsidRPr="001F28EC">
        <w:t>16</w:t>
      </w:r>
      <w:r w:rsidR="0079043F" w:rsidRPr="001F28EC">
        <w:t xml:space="preserve"> of this Prudential Standard</w:t>
      </w:r>
      <w:r w:rsidR="002C6C7C" w:rsidRPr="001F28EC">
        <w:t>.</w:t>
      </w:r>
    </w:p>
    <w:p w14:paraId="199E5BB5" w14:textId="2B68DE41" w:rsidR="00981EF8" w:rsidRPr="001F28EC" w:rsidRDefault="00981EF8" w:rsidP="00AC018F">
      <w:pPr>
        <w:pStyle w:val="BodyText1"/>
        <w:numPr>
          <w:ilvl w:val="0"/>
          <w:numId w:val="8"/>
        </w:numPr>
      </w:pPr>
      <w:r w:rsidRPr="001F28EC">
        <w:t xml:space="preserve">An ADI that has IRRBB model approval must satisfy </w:t>
      </w:r>
      <w:proofErr w:type="gramStart"/>
      <w:r w:rsidRPr="001F28EC">
        <w:t>all of</w:t>
      </w:r>
      <w:proofErr w:type="gramEnd"/>
      <w:r w:rsidRPr="001F28EC">
        <w:t xml:space="preserve"> the requirements set out in this Prudential Standard. </w:t>
      </w:r>
      <w:r w:rsidRPr="001F28EC">
        <w:rPr>
          <w:b/>
        </w:rPr>
        <w:t xml:space="preserve">Significant Financial Institutions </w:t>
      </w:r>
      <w:r w:rsidRPr="001F28EC">
        <w:t>(</w:t>
      </w:r>
      <w:r w:rsidRPr="001F28EC">
        <w:rPr>
          <w:b/>
        </w:rPr>
        <w:t>SFIs</w:t>
      </w:r>
      <w:r w:rsidRPr="001F28EC">
        <w:t>)</w:t>
      </w:r>
      <w:r w:rsidRPr="001F28EC">
        <w:rPr>
          <w:b/>
        </w:rPr>
        <w:t xml:space="preserve"> </w:t>
      </w:r>
      <w:r w:rsidRPr="001F28EC">
        <w:t xml:space="preserve">that do not have IRRBB model approval must satisfy </w:t>
      </w:r>
      <w:proofErr w:type="gramStart"/>
      <w:r w:rsidRPr="001F28EC">
        <w:t>all of</w:t>
      </w:r>
      <w:proofErr w:type="gramEnd"/>
      <w:r w:rsidRPr="001F28EC">
        <w:t xml:space="preserve"> the requirements in this Prudential Standard with the exception of paragraphs </w:t>
      </w:r>
      <w:r w:rsidR="000D24FE" w:rsidRPr="001F28EC">
        <w:t>47(b)</w:t>
      </w:r>
      <w:r w:rsidRPr="001F28EC">
        <w:t xml:space="preserve">, </w:t>
      </w:r>
      <w:r w:rsidR="00094BD9" w:rsidRPr="001F28EC">
        <w:t>57</w:t>
      </w:r>
      <w:r w:rsidRPr="001F28EC">
        <w:t xml:space="preserve">, </w:t>
      </w:r>
      <w:r w:rsidR="00094BD9" w:rsidRPr="001F28EC">
        <w:t>60</w:t>
      </w:r>
      <w:r w:rsidRPr="001F28EC">
        <w:t xml:space="preserve">, </w:t>
      </w:r>
      <w:r w:rsidR="00094BD9" w:rsidRPr="001F28EC">
        <w:t>62</w:t>
      </w:r>
      <w:r w:rsidRPr="001F28EC">
        <w:t xml:space="preserve">, </w:t>
      </w:r>
      <w:r w:rsidR="00094BD9" w:rsidRPr="001F28EC">
        <w:t>63</w:t>
      </w:r>
      <w:r w:rsidRPr="001F28EC">
        <w:t xml:space="preserve">, and Attachment A, </w:t>
      </w:r>
      <w:r w:rsidR="00151796" w:rsidRPr="001F28EC">
        <w:t>unless otherwise required by APRA</w:t>
      </w:r>
      <w:r w:rsidR="0079043F" w:rsidRPr="001F28EC">
        <w:t xml:space="preserve"> under</w:t>
      </w:r>
      <w:r w:rsidR="00BC51BF" w:rsidRPr="001F28EC">
        <w:t xml:space="preserve"> paragraph </w:t>
      </w:r>
      <w:r w:rsidR="0086560F" w:rsidRPr="001F28EC">
        <w:t>16</w:t>
      </w:r>
      <w:r w:rsidR="0079043F" w:rsidRPr="001F28EC">
        <w:t xml:space="preserve"> </w:t>
      </w:r>
      <w:r w:rsidR="00CC5645" w:rsidRPr="001F28EC">
        <w:t xml:space="preserve">of this </w:t>
      </w:r>
      <w:r w:rsidR="0079043F" w:rsidRPr="001F28EC">
        <w:t>Prudential Standard</w:t>
      </w:r>
      <w:r w:rsidR="00151796" w:rsidRPr="001F28EC">
        <w:t xml:space="preserve">, </w:t>
      </w:r>
      <w:r w:rsidRPr="001F28EC">
        <w:t>in a way that is commensurate with the nature, scale and complexity of the ADI’s operations</w:t>
      </w:r>
      <w:r w:rsidR="00151796" w:rsidRPr="001F28EC">
        <w:t>.</w:t>
      </w:r>
      <w:r w:rsidR="00BF0E65" w:rsidRPr="001F28EC">
        <w:t xml:space="preserve"> </w:t>
      </w:r>
    </w:p>
    <w:p w14:paraId="60CBC0A3" w14:textId="76C3AAD5" w:rsidR="00F51A97" w:rsidRPr="001F28EC" w:rsidRDefault="00F51A97" w:rsidP="002A38AD">
      <w:pPr>
        <w:pStyle w:val="BodyText1"/>
      </w:pPr>
      <w:r w:rsidRPr="001F28EC">
        <w:t xml:space="preserve">This Prudential Standard commences on 1 </w:t>
      </w:r>
      <w:r w:rsidR="00E6327A" w:rsidRPr="001F28EC">
        <w:t>October</w:t>
      </w:r>
      <w:r w:rsidR="00735629" w:rsidRPr="001F28EC">
        <w:t xml:space="preserve"> </w:t>
      </w:r>
      <w:r w:rsidRPr="001F28EC">
        <w:t>202</w:t>
      </w:r>
      <w:r w:rsidR="001B22C7" w:rsidRPr="001F28EC">
        <w:t>5</w:t>
      </w:r>
      <w:r w:rsidRPr="001F28EC">
        <w:t>.</w:t>
      </w:r>
    </w:p>
    <w:p w14:paraId="17E923DE" w14:textId="77777777" w:rsidR="00433AA3" w:rsidRPr="001F28EC" w:rsidRDefault="00433AA3" w:rsidP="0058759B">
      <w:pPr>
        <w:pStyle w:val="Heading1"/>
        <w:rPr>
          <w:i/>
        </w:rPr>
      </w:pPr>
      <w:bookmarkStart w:id="16" w:name="_Toc171007224"/>
      <w:bookmarkStart w:id="17" w:name="_Toc176749306"/>
      <w:bookmarkStart w:id="18" w:name="_Toc177286356"/>
      <w:r w:rsidRPr="001F28EC">
        <w:lastRenderedPageBreak/>
        <w:t>Interpretation</w:t>
      </w:r>
      <w:bookmarkEnd w:id="16"/>
    </w:p>
    <w:p w14:paraId="6611AC6D" w14:textId="7E669513" w:rsidR="00433AA3" w:rsidRPr="001F28EC" w:rsidRDefault="00433AA3" w:rsidP="002A38AD">
      <w:pPr>
        <w:pStyle w:val="BodyText1"/>
      </w:pPr>
      <w:r w:rsidRPr="001F28EC">
        <w:t xml:space="preserve">Terms that are defined in </w:t>
      </w:r>
      <w:r w:rsidRPr="001F28EC">
        <w:rPr>
          <w:i/>
        </w:rPr>
        <w:t xml:space="preserve">Prudential Standard </w:t>
      </w:r>
      <w:r w:rsidR="0022319C" w:rsidRPr="001F28EC">
        <w:rPr>
          <w:i/>
        </w:rPr>
        <w:t>C</w:t>
      </w:r>
      <w:r w:rsidRPr="001F28EC">
        <w:rPr>
          <w:i/>
        </w:rPr>
        <w:t>PS 001 Defin</w:t>
      </w:r>
      <w:r w:rsidR="008273EA" w:rsidRPr="001F28EC">
        <w:rPr>
          <w:i/>
        </w:rPr>
        <w:t>ed terms</w:t>
      </w:r>
      <w:r w:rsidRPr="001F28EC">
        <w:t xml:space="preserve"> appear in bold the first time they are used in this Prudential Standard</w:t>
      </w:r>
      <w:r w:rsidRPr="001F28EC">
        <w:rPr>
          <w:i/>
        </w:rPr>
        <w:t>.</w:t>
      </w:r>
      <w:r w:rsidRPr="001F28EC">
        <w:t xml:space="preserve"> </w:t>
      </w:r>
    </w:p>
    <w:p w14:paraId="344266ED" w14:textId="5117C561" w:rsidR="00C0442F" w:rsidRPr="001F28EC" w:rsidRDefault="00C0442F" w:rsidP="002A38AD">
      <w:pPr>
        <w:pStyle w:val="BodyText1"/>
      </w:pPr>
      <w:r w:rsidRPr="001F28EC">
        <w:t xml:space="preserve">Where this Prudential Standard provides for APRA to exercise a power or discretion, this power or discretion </w:t>
      </w:r>
      <w:r w:rsidR="005A0C84" w:rsidRPr="001F28EC">
        <w:t xml:space="preserve">is to be </w:t>
      </w:r>
      <w:r w:rsidRPr="001F28EC">
        <w:t>exercised in writing.</w:t>
      </w:r>
    </w:p>
    <w:p w14:paraId="4F10B4F4" w14:textId="09F5BE84" w:rsidR="00433AA3" w:rsidRPr="001F28EC" w:rsidRDefault="00C0442F" w:rsidP="002A38AD">
      <w:pPr>
        <w:pStyle w:val="BodyText1"/>
      </w:pPr>
      <w:r w:rsidRPr="001F28EC">
        <w:t>In this Prudential Standard, unless the contrary intention appears, a reference to an Act, Regulations or Prudential Standard is a reference to the Act, Regulations or Prudential Standard as in force from time to time.</w:t>
      </w:r>
      <w:r w:rsidR="001C5DEE" w:rsidRPr="001F28EC">
        <w:t xml:space="preserve"> </w:t>
      </w:r>
      <w:bookmarkEnd w:id="17"/>
      <w:bookmarkEnd w:id="18"/>
    </w:p>
    <w:p w14:paraId="5FFC96D3" w14:textId="1AFCC657" w:rsidR="00433AA3" w:rsidRPr="001F28EC" w:rsidRDefault="00433AA3" w:rsidP="0058759B">
      <w:pPr>
        <w:pStyle w:val="Heading1"/>
        <w:rPr>
          <w:i/>
        </w:rPr>
      </w:pPr>
      <w:bookmarkStart w:id="19" w:name="_Toc176749307"/>
      <w:bookmarkStart w:id="20" w:name="_Toc177286357"/>
      <w:bookmarkStart w:id="21" w:name="_Toc171007225"/>
      <w:r w:rsidRPr="001F28EC">
        <w:t>Definitions</w:t>
      </w:r>
      <w:bookmarkEnd w:id="19"/>
      <w:bookmarkEnd w:id="20"/>
      <w:bookmarkEnd w:id="21"/>
    </w:p>
    <w:p w14:paraId="7833162F" w14:textId="55B8D96A" w:rsidR="00433AA3" w:rsidRPr="001F28EC" w:rsidRDefault="00433AA3" w:rsidP="002A38AD">
      <w:pPr>
        <w:pStyle w:val="BodyText1"/>
      </w:pPr>
      <w:bookmarkStart w:id="22" w:name="_Ref179261608"/>
      <w:r w:rsidRPr="001F28EC">
        <w:t>The following definitions are used in this Prudential Standard:</w:t>
      </w:r>
      <w:bookmarkEnd w:id="22"/>
    </w:p>
    <w:p w14:paraId="6BA5BFAF" w14:textId="611C8F9B" w:rsidR="00022CDB" w:rsidRPr="001F28EC" w:rsidRDefault="00022CDB" w:rsidP="002A38AD">
      <w:pPr>
        <w:pStyle w:val="BodyText2"/>
      </w:pPr>
      <w:r w:rsidRPr="001F28EC">
        <w:t xml:space="preserve">approved IRRBB model – </w:t>
      </w:r>
      <w:r w:rsidR="005A0C84" w:rsidRPr="001F28EC">
        <w:t xml:space="preserve">means </w:t>
      </w:r>
      <w:r w:rsidRPr="001F28EC">
        <w:t>a</w:t>
      </w:r>
      <w:r w:rsidR="000C2B71" w:rsidRPr="001F28EC">
        <w:t xml:space="preserve"> currently </w:t>
      </w:r>
      <w:r w:rsidR="000226CB" w:rsidRPr="001F28EC">
        <w:t>APRA-</w:t>
      </w:r>
      <w:r w:rsidR="000C2B71" w:rsidRPr="001F28EC">
        <w:t xml:space="preserve">approved </w:t>
      </w:r>
      <w:r w:rsidRPr="001F28EC">
        <w:t xml:space="preserve">internal model for determining </w:t>
      </w:r>
      <w:r w:rsidR="00AE7336" w:rsidRPr="001F28EC">
        <w:t>an ADI’s</w:t>
      </w:r>
      <w:r w:rsidRPr="001F28EC">
        <w:t xml:space="preserve"> </w:t>
      </w:r>
      <w:r w:rsidR="000C2B71" w:rsidRPr="001F28EC">
        <w:t xml:space="preserve">IRRBB </w:t>
      </w:r>
      <w:r w:rsidRPr="001F28EC">
        <w:t xml:space="preserve">capital </w:t>
      </w:r>
      <w:proofErr w:type="gramStart"/>
      <w:r w:rsidRPr="001F28EC">
        <w:t>charge;</w:t>
      </w:r>
      <w:proofErr w:type="gramEnd"/>
    </w:p>
    <w:p w14:paraId="64701985" w14:textId="25A628F0" w:rsidR="00105124" w:rsidRPr="001F28EC" w:rsidRDefault="00130412" w:rsidP="002A38AD">
      <w:pPr>
        <w:pStyle w:val="BodyText2"/>
      </w:pPr>
      <w:r w:rsidRPr="001F28EC">
        <w:t>banking book –</w:t>
      </w:r>
      <w:r w:rsidR="00033818" w:rsidRPr="001F28EC">
        <w:t xml:space="preserve"> </w:t>
      </w:r>
      <w:r w:rsidRPr="001F28EC">
        <w:t xml:space="preserve">an ADI’s banking book </w:t>
      </w:r>
      <w:r w:rsidR="00033818" w:rsidRPr="001F28EC">
        <w:t>is comprised of</w:t>
      </w:r>
      <w:r w:rsidR="00146355" w:rsidRPr="001F28EC">
        <w:t>:</w:t>
      </w:r>
    </w:p>
    <w:p w14:paraId="462C8A34" w14:textId="4A8E7897" w:rsidR="00130412" w:rsidRPr="001F28EC" w:rsidRDefault="00130412" w:rsidP="002A38AD">
      <w:pPr>
        <w:pStyle w:val="BodyText3"/>
      </w:pPr>
      <w:r w:rsidRPr="001F28EC">
        <w:t>on-balance sheet asset, liability or equity item</w:t>
      </w:r>
      <w:r w:rsidR="00294B54" w:rsidRPr="001F28EC">
        <w:t>s</w:t>
      </w:r>
      <w:r w:rsidRPr="001F28EC">
        <w:t xml:space="preserve"> that </w:t>
      </w:r>
      <w:r w:rsidR="00146355" w:rsidRPr="001F28EC">
        <w:t>are</w:t>
      </w:r>
      <w:r w:rsidRPr="001F28EC">
        <w:t>:</w:t>
      </w:r>
    </w:p>
    <w:p w14:paraId="35BEC0BD" w14:textId="2736A593" w:rsidR="00130412" w:rsidRPr="001F28EC" w:rsidRDefault="00C512A9" w:rsidP="002A38AD">
      <w:pPr>
        <w:pStyle w:val="BodyText4"/>
      </w:pPr>
      <w:r w:rsidRPr="001F28EC">
        <w:t xml:space="preserve">not </w:t>
      </w:r>
      <w:r w:rsidR="00130412" w:rsidRPr="001F28EC">
        <w:t xml:space="preserve">part of </w:t>
      </w:r>
      <w:r w:rsidR="005D37EE" w:rsidRPr="001F28EC">
        <w:t xml:space="preserve">an </w:t>
      </w:r>
      <w:r w:rsidR="00130412" w:rsidRPr="001F28EC">
        <w:t xml:space="preserve">ADI’s trading book, as determined under </w:t>
      </w:r>
      <w:r w:rsidR="00130412" w:rsidRPr="001F28EC">
        <w:rPr>
          <w:rStyle w:val="FootnoteReference"/>
          <w:vertAlign w:val="baseline"/>
        </w:rPr>
        <w:t>the ADI’s trading book policy statement (refer</w:t>
      </w:r>
      <w:r w:rsidR="00130412" w:rsidRPr="001F28EC">
        <w:t xml:space="preserve"> to Attachment A to </w:t>
      </w:r>
      <w:r w:rsidR="00130412" w:rsidRPr="001F28EC">
        <w:rPr>
          <w:i/>
        </w:rPr>
        <w:t xml:space="preserve">Prudential Standard APS 116 Capital Adequacy: Market Risk </w:t>
      </w:r>
      <w:r w:rsidR="00130412" w:rsidRPr="001F28EC">
        <w:t>(APS 116)</w:t>
      </w:r>
      <w:proofErr w:type="gramStart"/>
      <w:r w:rsidR="00130412" w:rsidRPr="001F28EC">
        <w:t>);</w:t>
      </w:r>
      <w:proofErr w:type="gramEnd"/>
      <w:r w:rsidR="000E1DCC" w:rsidRPr="001F28EC">
        <w:t xml:space="preserve"> </w:t>
      </w:r>
    </w:p>
    <w:p w14:paraId="71F4CFF3" w14:textId="5EFD7BEC" w:rsidR="00130412" w:rsidRPr="001F28EC" w:rsidRDefault="00C512A9" w:rsidP="002A38AD">
      <w:pPr>
        <w:pStyle w:val="BodyText4"/>
      </w:pPr>
      <w:r w:rsidRPr="001F28EC">
        <w:t xml:space="preserve">not </w:t>
      </w:r>
      <w:r w:rsidR="00130412" w:rsidRPr="001F28EC">
        <w:t xml:space="preserve">deducted from </w:t>
      </w:r>
      <w:r w:rsidR="005D37EE" w:rsidRPr="001F28EC">
        <w:t xml:space="preserve">an </w:t>
      </w:r>
      <w:r w:rsidR="00130412" w:rsidRPr="001F28EC">
        <w:t xml:space="preserve">ADI’s </w:t>
      </w:r>
      <w:r w:rsidR="00130412" w:rsidRPr="001F28EC">
        <w:rPr>
          <w:b/>
        </w:rPr>
        <w:t>Common Equity Tier 1 Capital</w:t>
      </w:r>
      <w:r w:rsidR="00130412" w:rsidRPr="001F28EC">
        <w:t xml:space="preserve"> under </w:t>
      </w:r>
      <w:r w:rsidR="00130412" w:rsidRPr="001F28EC">
        <w:rPr>
          <w:i/>
        </w:rPr>
        <w:t xml:space="preserve">Prudential Standard </w:t>
      </w:r>
      <w:smartTag w:uri="urn:schemas-microsoft-com:office:smarttags" w:element="stockticker">
        <w:r w:rsidR="00130412" w:rsidRPr="001F28EC">
          <w:rPr>
            <w:i/>
          </w:rPr>
          <w:t>APS</w:t>
        </w:r>
      </w:smartTag>
      <w:r w:rsidR="00130412" w:rsidRPr="001F28EC">
        <w:rPr>
          <w:i/>
        </w:rPr>
        <w:t xml:space="preserve"> 111</w:t>
      </w:r>
      <w:r w:rsidR="00130412" w:rsidRPr="001F28EC">
        <w:t xml:space="preserve"> </w:t>
      </w:r>
      <w:r w:rsidR="00130412" w:rsidRPr="001F28EC">
        <w:rPr>
          <w:i/>
        </w:rPr>
        <w:t>Capital Adequacy: Measurement of Capital</w:t>
      </w:r>
      <w:r w:rsidR="00130412" w:rsidRPr="001F28EC">
        <w:t xml:space="preserve"> (</w:t>
      </w:r>
      <w:smartTag w:uri="urn:schemas-microsoft-com:office:smarttags" w:element="stockticker">
        <w:r w:rsidR="00130412" w:rsidRPr="001F28EC">
          <w:t>APS</w:t>
        </w:r>
      </w:smartTag>
      <w:r w:rsidR="00130412" w:rsidRPr="001F28EC">
        <w:t xml:space="preserve"> 111); </w:t>
      </w:r>
      <w:r w:rsidRPr="001F28EC">
        <w:t>and</w:t>
      </w:r>
    </w:p>
    <w:p w14:paraId="57DA8D72" w14:textId="7533210C" w:rsidR="00130412" w:rsidRPr="001F28EC" w:rsidRDefault="00C512A9" w:rsidP="002A38AD">
      <w:pPr>
        <w:pStyle w:val="BodyText4"/>
      </w:pPr>
      <w:r w:rsidRPr="001F28EC">
        <w:t xml:space="preserve">not </w:t>
      </w:r>
      <w:r w:rsidR="00130412" w:rsidRPr="001F28EC">
        <w:t xml:space="preserve">included in </w:t>
      </w:r>
      <w:r w:rsidR="005D37EE" w:rsidRPr="001F28EC">
        <w:t xml:space="preserve">an </w:t>
      </w:r>
      <w:r w:rsidR="00130412" w:rsidRPr="001F28EC">
        <w:t>ADI’s Common Equity Tier 1 Capital</w:t>
      </w:r>
      <w:r w:rsidR="00130412" w:rsidRPr="001F28EC">
        <w:rPr>
          <w:b/>
        </w:rPr>
        <w:t xml:space="preserve"> </w:t>
      </w:r>
      <w:r w:rsidR="00130412" w:rsidRPr="001F28EC">
        <w:t xml:space="preserve">(refer to </w:t>
      </w:r>
      <w:smartTag w:uri="urn:schemas-microsoft-com:office:smarttags" w:element="stockticker">
        <w:r w:rsidR="00130412" w:rsidRPr="001F28EC">
          <w:t>APS</w:t>
        </w:r>
      </w:smartTag>
      <w:r w:rsidR="00130412" w:rsidRPr="001F28EC">
        <w:t xml:space="preserve"> 111</w:t>
      </w:r>
      <w:proofErr w:type="gramStart"/>
      <w:r w:rsidR="00130412" w:rsidRPr="001F28EC">
        <w:t>);</w:t>
      </w:r>
      <w:proofErr w:type="gramEnd"/>
      <w:r w:rsidR="00130412" w:rsidRPr="001F28EC">
        <w:t xml:space="preserve"> </w:t>
      </w:r>
    </w:p>
    <w:p w14:paraId="74CEE2B3" w14:textId="3D87E813" w:rsidR="00130412" w:rsidRPr="001F28EC" w:rsidRDefault="00C512A9" w:rsidP="003F7A42">
      <w:pPr>
        <w:pStyle w:val="BodyText2"/>
        <w:numPr>
          <w:ilvl w:val="0"/>
          <w:numId w:val="0"/>
        </w:numPr>
        <w:ind w:left="1701"/>
      </w:pPr>
      <w:r w:rsidRPr="001F28EC">
        <w:t>or</w:t>
      </w:r>
    </w:p>
    <w:p w14:paraId="4F554FBF" w14:textId="4F45F911" w:rsidR="000E1DCC" w:rsidRPr="001F28EC" w:rsidRDefault="000E1DCC" w:rsidP="002A38AD">
      <w:pPr>
        <w:pStyle w:val="BodyText3"/>
      </w:pPr>
      <w:r w:rsidRPr="001F28EC">
        <w:t xml:space="preserve">an off-balance sheet position that alters </w:t>
      </w:r>
      <w:r w:rsidR="005D37EE" w:rsidRPr="001F28EC">
        <w:t xml:space="preserve">an </w:t>
      </w:r>
      <w:r w:rsidRPr="001F28EC">
        <w:t>ADI’s exposure to interest rate risk and is not part of the ADI’s trading book.</w:t>
      </w:r>
    </w:p>
    <w:p w14:paraId="19FE87CD" w14:textId="13F3BE63" w:rsidR="00FD0547" w:rsidRPr="001F28EC" w:rsidRDefault="00FD0547" w:rsidP="002A38AD">
      <w:pPr>
        <w:pStyle w:val="BodyText2"/>
      </w:pPr>
      <w:r w:rsidRPr="001F28EC">
        <w:t xml:space="preserve">calculation date – </w:t>
      </w:r>
      <w:r w:rsidR="005A0C84" w:rsidRPr="001F28EC">
        <w:t xml:space="preserve">means </w:t>
      </w:r>
      <w:r w:rsidRPr="001F28EC">
        <w:t xml:space="preserve">the date with reference to which </w:t>
      </w:r>
      <w:r w:rsidR="00C50427" w:rsidRPr="001F28EC">
        <w:t>an ADI’s</w:t>
      </w:r>
      <w:r w:rsidRPr="001F28EC">
        <w:t xml:space="preserve"> IRRBB </w:t>
      </w:r>
      <w:r w:rsidR="004A2D17" w:rsidRPr="001F28EC">
        <w:t>capital charge</w:t>
      </w:r>
      <w:r w:rsidRPr="001F28EC">
        <w:t xml:space="preserve"> is calculated, such that the exposures and observations of interest rates used in the calculation are recorded at the close of business on that </w:t>
      </w:r>
      <w:proofErr w:type="gramStart"/>
      <w:r w:rsidRPr="001F28EC">
        <w:t>day;</w:t>
      </w:r>
      <w:proofErr w:type="gramEnd"/>
    </w:p>
    <w:p w14:paraId="6A2E13A0" w14:textId="34BCBECB" w:rsidR="00433AA3" w:rsidRPr="001F28EC" w:rsidRDefault="00433AA3" w:rsidP="002A38AD">
      <w:pPr>
        <w:pStyle w:val="BodyText2"/>
      </w:pPr>
      <w:bookmarkStart w:id="23" w:name="OLE_LINK3"/>
      <w:r w:rsidRPr="001F28EC">
        <w:t>earnings at risk</w:t>
      </w:r>
      <w:r w:rsidR="00F71C8B" w:rsidRPr="001F28EC">
        <w:t xml:space="preserve"> </w:t>
      </w:r>
      <w:r w:rsidR="007C68C5" w:rsidRPr="001F28EC">
        <w:t>–</w:t>
      </w:r>
      <w:r w:rsidR="00F71C8B" w:rsidRPr="001F28EC">
        <w:t xml:space="preserve"> </w:t>
      </w:r>
      <w:r w:rsidR="005A0C84" w:rsidRPr="001F28EC">
        <w:t xml:space="preserve">means </w:t>
      </w:r>
      <w:r w:rsidRPr="001F28EC">
        <w:t xml:space="preserve">the potential impact of interest rate changes on the net interest income earned on the </w:t>
      </w:r>
      <w:smartTag w:uri="urn:schemas-microsoft-com:office:smarttags" w:element="stockticker">
        <w:r w:rsidRPr="001F28EC">
          <w:t>ADI</w:t>
        </w:r>
      </w:smartTag>
      <w:r w:rsidRPr="001F28EC">
        <w:t xml:space="preserve">’s banking </w:t>
      </w:r>
      <w:proofErr w:type="gramStart"/>
      <w:r w:rsidRPr="001F28EC">
        <w:t>book;</w:t>
      </w:r>
      <w:proofErr w:type="gramEnd"/>
    </w:p>
    <w:p w14:paraId="66DCD22E" w14:textId="2D83A58F" w:rsidR="00B935B7" w:rsidRPr="001F28EC" w:rsidRDefault="00CA2BA2" w:rsidP="002A38AD">
      <w:pPr>
        <w:pStyle w:val="BodyText2"/>
      </w:pPr>
      <w:r w:rsidRPr="001F28EC">
        <w:t>economic value –</w:t>
      </w:r>
      <w:r w:rsidR="003C3003" w:rsidRPr="001F28EC">
        <w:t xml:space="preserve"> </w:t>
      </w:r>
      <w:r w:rsidR="005A0C84" w:rsidRPr="001F28EC">
        <w:t>means</w:t>
      </w:r>
      <w:r w:rsidR="00E55651" w:rsidRPr="001F28EC">
        <w:t>:</w:t>
      </w:r>
      <w:r w:rsidR="005A0C84" w:rsidRPr="001F28EC">
        <w:t xml:space="preserve"> </w:t>
      </w:r>
    </w:p>
    <w:p w14:paraId="59AF4602" w14:textId="4A70F1B8" w:rsidR="00B935B7" w:rsidRPr="001F28EC" w:rsidRDefault="003C3003" w:rsidP="002A38AD">
      <w:pPr>
        <w:pStyle w:val="BodyText3"/>
      </w:pPr>
      <w:r w:rsidRPr="001F28EC">
        <w:t xml:space="preserve">fair value, where </w:t>
      </w:r>
      <w:r w:rsidR="00B935B7" w:rsidRPr="001F28EC">
        <w:t>it</w:t>
      </w:r>
      <w:r w:rsidRPr="001F28EC">
        <w:t xml:space="preserve"> can be determined</w:t>
      </w:r>
      <w:r w:rsidR="00B935B7" w:rsidRPr="001F28EC">
        <w:t>; or</w:t>
      </w:r>
    </w:p>
    <w:p w14:paraId="26E77EF8" w14:textId="69F5F2F0" w:rsidR="00CA2BA2" w:rsidRPr="001F28EC" w:rsidRDefault="003C3003" w:rsidP="002A38AD">
      <w:pPr>
        <w:pStyle w:val="BodyText3"/>
      </w:pPr>
      <w:r w:rsidRPr="001F28EC">
        <w:lastRenderedPageBreak/>
        <w:t>the net present value of expected cash flows</w:t>
      </w:r>
      <w:r w:rsidR="00057178" w:rsidRPr="001F28EC">
        <w:t xml:space="preserve">, </w:t>
      </w:r>
      <w:proofErr w:type="gramStart"/>
      <w:r w:rsidR="00057178" w:rsidRPr="001F28EC">
        <w:t>otherwise</w:t>
      </w:r>
      <w:r w:rsidR="00470B64" w:rsidRPr="001F28EC">
        <w:t>;</w:t>
      </w:r>
      <w:proofErr w:type="gramEnd"/>
    </w:p>
    <w:p w14:paraId="04B3E1B5" w14:textId="71DBC374" w:rsidR="00433AA3" w:rsidRPr="001F28EC" w:rsidRDefault="00433AA3" w:rsidP="002A38AD">
      <w:pPr>
        <w:pStyle w:val="BodyText2"/>
      </w:pPr>
      <w:r w:rsidRPr="001F28EC">
        <w:t>economic value sensitivity</w:t>
      </w:r>
      <w:r w:rsidR="00C1492B" w:rsidRPr="001F28EC">
        <w:t xml:space="preserve"> </w:t>
      </w:r>
      <w:r w:rsidR="007C68C5" w:rsidRPr="001F28EC">
        <w:t>–</w:t>
      </w:r>
      <w:r w:rsidR="00C1492B" w:rsidRPr="001F28EC">
        <w:t xml:space="preserve"> </w:t>
      </w:r>
      <w:r w:rsidR="005A0C84" w:rsidRPr="001F28EC">
        <w:t xml:space="preserve">means </w:t>
      </w:r>
      <w:r w:rsidRPr="001F28EC">
        <w:t xml:space="preserve">the potential impact of interest rate changes on the </w:t>
      </w:r>
      <w:r w:rsidR="008C7025" w:rsidRPr="001F28EC">
        <w:t xml:space="preserve">economic value of </w:t>
      </w:r>
      <w:r w:rsidRPr="001F28EC">
        <w:t xml:space="preserve">the </w:t>
      </w:r>
      <w:smartTag w:uri="urn:schemas-microsoft-com:office:smarttags" w:element="stockticker">
        <w:r w:rsidRPr="001F28EC">
          <w:t>ADI</w:t>
        </w:r>
      </w:smartTag>
      <w:r w:rsidRPr="001F28EC">
        <w:t xml:space="preserve">’s banking </w:t>
      </w:r>
      <w:proofErr w:type="gramStart"/>
      <w:r w:rsidRPr="001F28EC">
        <w:t>book;</w:t>
      </w:r>
      <w:proofErr w:type="gramEnd"/>
      <w:r w:rsidRPr="001F28EC">
        <w:t xml:space="preserve"> </w:t>
      </w:r>
    </w:p>
    <w:p w14:paraId="0D776781" w14:textId="3737B414" w:rsidR="001D5DB9" w:rsidRPr="001F28EC" w:rsidRDefault="001D5DB9" w:rsidP="002A38AD">
      <w:pPr>
        <w:pStyle w:val="BodyText2"/>
      </w:pPr>
      <w:bookmarkStart w:id="24" w:name="_Ref180901453"/>
      <w:r w:rsidRPr="001F28EC">
        <w:t xml:space="preserve">IRB ADI – </w:t>
      </w:r>
      <w:r w:rsidR="005A0C84" w:rsidRPr="001F28EC">
        <w:t xml:space="preserve">means </w:t>
      </w:r>
      <w:r w:rsidRPr="001F28EC">
        <w:t xml:space="preserve">an ADI </w:t>
      </w:r>
      <w:r w:rsidR="004F7225" w:rsidRPr="001F28EC">
        <w:t>that</w:t>
      </w:r>
      <w:r w:rsidR="006D1052" w:rsidRPr="001F28EC">
        <w:t xml:space="preserve"> has </w:t>
      </w:r>
      <w:r w:rsidR="00067D6E" w:rsidRPr="001F28EC">
        <w:t xml:space="preserve">been </w:t>
      </w:r>
      <w:r w:rsidR="00B935B7" w:rsidRPr="001F28EC">
        <w:t xml:space="preserve">granted approval </w:t>
      </w:r>
      <w:r w:rsidR="00067D6E" w:rsidRPr="001F28EC">
        <w:t xml:space="preserve">by APRA to use the </w:t>
      </w:r>
      <w:r w:rsidR="00E55651" w:rsidRPr="001F28EC">
        <w:rPr>
          <w:b/>
        </w:rPr>
        <w:t>i</w:t>
      </w:r>
      <w:r w:rsidR="00067D6E" w:rsidRPr="001F28EC">
        <w:rPr>
          <w:b/>
        </w:rPr>
        <w:t xml:space="preserve">nternal </w:t>
      </w:r>
      <w:r w:rsidR="00E55651" w:rsidRPr="001F28EC">
        <w:rPr>
          <w:b/>
        </w:rPr>
        <w:t>r</w:t>
      </w:r>
      <w:r w:rsidR="00067D6E" w:rsidRPr="001F28EC">
        <w:rPr>
          <w:b/>
        </w:rPr>
        <w:t xml:space="preserve">atings-based </w:t>
      </w:r>
      <w:r w:rsidR="00E55651" w:rsidRPr="001F28EC">
        <w:rPr>
          <w:b/>
        </w:rPr>
        <w:t>(IRB) a</w:t>
      </w:r>
      <w:r w:rsidR="00067D6E" w:rsidRPr="001F28EC">
        <w:rPr>
          <w:b/>
        </w:rPr>
        <w:t xml:space="preserve">pproach to credit </w:t>
      </w:r>
      <w:proofErr w:type="gramStart"/>
      <w:r w:rsidR="00067D6E" w:rsidRPr="001F28EC">
        <w:rPr>
          <w:b/>
        </w:rPr>
        <w:t>risk</w:t>
      </w:r>
      <w:r w:rsidRPr="001F28EC">
        <w:t>;</w:t>
      </w:r>
      <w:proofErr w:type="gramEnd"/>
    </w:p>
    <w:bookmarkEnd w:id="24"/>
    <w:p w14:paraId="3D778D48" w14:textId="465E726E" w:rsidR="00433AA3" w:rsidRPr="001F28EC" w:rsidRDefault="00433AA3" w:rsidP="002A38AD">
      <w:pPr>
        <w:pStyle w:val="BodyText2"/>
      </w:pPr>
      <w:r w:rsidRPr="001F28EC">
        <w:t xml:space="preserve">IRRBB capital </w:t>
      </w:r>
      <w:r w:rsidR="004A2D17" w:rsidRPr="001F28EC">
        <w:t xml:space="preserve">charge </w:t>
      </w:r>
      <w:r w:rsidR="007C68C5" w:rsidRPr="001F28EC">
        <w:t>–</w:t>
      </w:r>
      <w:r w:rsidRPr="001F28EC">
        <w:t xml:space="preserve"> </w:t>
      </w:r>
      <w:r w:rsidR="005A0C84" w:rsidRPr="001F28EC">
        <w:t xml:space="preserve">means </w:t>
      </w:r>
      <w:r w:rsidRPr="001F28EC">
        <w:t xml:space="preserve">the </w:t>
      </w:r>
      <w:r w:rsidR="003C769E" w:rsidRPr="001F28EC">
        <w:t>c</w:t>
      </w:r>
      <w:r w:rsidRPr="001F28EC">
        <w:t xml:space="preserve">apital that an ADI is required to </w:t>
      </w:r>
      <w:r w:rsidR="00067D6E" w:rsidRPr="001F28EC">
        <w:t>hold</w:t>
      </w:r>
      <w:r w:rsidR="005A6746" w:rsidRPr="001F28EC">
        <w:t xml:space="preserve"> </w:t>
      </w:r>
      <w:r w:rsidR="00D11AB7" w:rsidRPr="001F28EC">
        <w:t>in relation to</w:t>
      </w:r>
      <w:r w:rsidR="005A6746" w:rsidRPr="001F28EC">
        <w:t xml:space="preserve"> </w:t>
      </w:r>
      <w:proofErr w:type="gramStart"/>
      <w:r w:rsidR="005A6746" w:rsidRPr="001F28EC">
        <w:t>IRRBB</w:t>
      </w:r>
      <w:r w:rsidRPr="001F28EC">
        <w:t>;</w:t>
      </w:r>
      <w:proofErr w:type="gramEnd"/>
    </w:p>
    <w:p w14:paraId="2E73D342" w14:textId="10287AD6" w:rsidR="00433AA3" w:rsidRPr="001F28EC" w:rsidRDefault="00433AA3" w:rsidP="002A38AD">
      <w:pPr>
        <w:pStyle w:val="BodyText2"/>
      </w:pPr>
      <w:r w:rsidRPr="001F28EC">
        <w:t>IRRBB management framework</w:t>
      </w:r>
      <w:r w:rsidR="00C1492B" w:rsidRPr="001F28EC">
        <w:t xml:space="preserve"> </w:t>
      </w:r>
      <w:r w:rsidR="007C68C5" w:rsidRPr="001F28EC">
        <w:t>–</w:t>
      </w:r>
      <w:r w:rsidR="00C1492B" w:rsidRPr="001F28EC">
        <w:t xml:space="preserve"> </w:t>
      </w:r>
      <w:r w:rsidR="005A0C84" w:rsidRPr="001F28EC">
        <w:t xml:space="preserve">means </w:t>
      </w:r>
      <w:r w:rsidRPr="001F28EC">
        <w:t xml:space="preserve">the organisational structures, processes and systems used in identifying, assessing, measuring, monitoring, controlling and mitigating </w:t>
      </w:r>
      <w:proofErr w:type="gramStart"/>
      <w:r w:rsidRPr="001F28EC">
        <w:t>IRRBB;</w:t>
      </w:r>
      <w:proofErr w:type="gramEnd"/>
    </w:p>
    <w:p w14:paraId="2C7C451F" w14:textId="1F0B165E" w:rsidR="00433AA3" w:rsidRPr="001F28EC" w:rsidRDefault="00433AA3" w:rsidP="002A38AD">
      <w:pPr>
        <w:pStyle w:val="BodyText2"/>
      </w:pPr>
      <w:r w:rsidRPr="001F28EC">
        <w:t xml:space="preserve">IRRBB measurement system </w:t>
      </w:r>
      <w:r w:rsidR="007C68C5" w:rsidRPr="001F28EC">
        <w:t>–</w:t>
      </w:r>
      <w:r w:rsidR="00C1492B" w:rsidRPr="001F28EC">
        <w:t xml:space="preserve"> </w:t>
      </w:r>
      <w:r w:rsidR="005A0C84" w:rsidRPr="001F28EC">
        <w:t xml:space="preserve">means </w:t>
      </w:r>
      <w:r w:rsidRPr="001F28EC">
        <w:t>the systems and data used to measure IRRBB</w:t>
      </w:r>
      <w:r w:rsidR="001359F9" w:rsidRPr="001F28EC">
        <w:t xml:space="preserve">. An ADI’s IRRBB measurement system forms part of its IRRBB management framework. For an ADI that has IRRBB model approval, the IRRBB measurement system includes, but is not limited to, its approved IRRBB </w:t>
      </w:r>
      <w:proofErr w:type="gramStart"/>
      <w:r w:rsidR="001359F9" w:rsidRPr="001F28EC">
        <w:t>model</w:t>
      </w:r>
      <w:r w:rsidRPr="001F28EC">
        <w:t>;</w:t>
      </w:r>
      <w:proofErr w:type="gramEnd"/>
    </w:p>
    <w:p w14:paraId="029EC6E1" w14:textId="017764FF" w:rsidR="00022CDB" w:rsidRPr="001F28EC" w:rsidRDefault="00022CDB" w:rsidP="002A38AD">
      <w:pPr>
        <w:pStyle w:val="BodyText2"/>
      </w:pPr>
      <w:r w:rsidRPr="001F28EC">
        <w:t xml:space="preserve">IRRBB model approval </w:t>
      </w:r>
      <w:r w:rsidR="00AE7336" w:rsidRPr="001F28EC">
        <w:t>–</w:t>
      </w:r>
      <w:r w:rsidRPr="001F28EC">
        <w:t xml:space="preserve"> </w:t>
      </w:r>
      <w:r w:rsidR="005A0C84" w:rsidRPr="001F28EC">
        <w:t xml:space="preserve">means </w:t>
      </w:r>
      <w:r w:rsidR="00AE7336" w:rsidRPr="001F28EC">
        <w:t xml:space="preserve">an </w:t>
      </w:r>
      <w:r w:rsidRPr="001F28EC">
        <w:t xml:space="preserve">approval </w:t>
      </w:r>
      <w:r w:rsidR="005A0C84" w:rsidRPr="001F28EC">
        <w:t xml:space="preserve">granted by </w:t>
      </w:r>
      <w:r w:rsidRPr="001F28EC">
        <w:t>APRA</w:t>
      </w:r>
      <w:r w:rsidR="00DE7501" w:rsidRPr="001F28EC">
        <w:t xml:space="preserve">, for an ADI </w:t>
      </w:r>
      <w:r w:rsidRPr="001F28EC">
        <w:t xml:space="preserve">to use an internal model for determining its </w:t>
      </w:r>
      <w:r w:rsidR="005B6370" w:rsidRPr="001F28EC">
        <w:t xml:space="preserve">IRRBB </w:t>
      </w:r>
      <w:r w:rsidR="001B78D7" w:rsidRPr="001F28EC">
        <w:t xml:space="preserve">capital </w:t>
      </w:r>
      <w:proofErr w:type="gramStart"/>
      <w:r w:rsidR="001B78D7" w:rsidRPr="001F28EC">
        <w:t>charge</w:t>
      </w:r>
      <w:r w:rsidRPr="001F28EC">
        <w:t>;</w:t>
      </w:r>
      <w:proofErr w:type="gramEnd"/>
    </w:p>
    <w:bookmarkEnd w:id="23"/>
    <w:p w14:paraId="36748E4E" w14:textId="144F1464" w:rsidR="00433AA3" w:rsidRPr="001F28EC" w:rsidRDefault="00433AA3" w:rsidP="002A38AD">
      <w:pPr>
        <w:pStyle w:val="BodyText2"/>
      </w:pPr>
      <w:r w:rsidRPr="001F28EC">
        <w:t xml:space="preserve">optionality risk </w:t>
      </w:r>
      <w:r w:rsidR="007C68C5" w:rsidRPr="001F28EC">
        <w:t>–</w:t>
      </w:r>
      <w:r w:rsidR="00C62A83" w:rsidRPr="001F28EC">
        <w:t xml:space="preserve"> </w:t>
      </w:r>
      <w:r w:rsidR="005A0C84" w:rsidRPr="001F28EC">
        <w:t xml:space="preserve">means </w:t>
      </w:r>
      <w:r w:rsidRPr="001F28EC">
        <w:t xml:space="preserve">the risk of loss in earnings or value due to </w:t>
      </w:r>
      <w:r w:rsidR="00E15E39" w:rsidRPr="001F28EC">
        <w:t xml:space="preserve">cash flows varying from what an ADI had assumed, </w:t>
      </w:r>
      <w:r w:rsidR="00942285" w:rsidRPr="001F28EC">
        <w:t>caused either by</w:t>
      </w:r>
      <w:r w:rsidR="00E15E39" w:rsidRPr="001F28EC">
        <w:t xml:space="preserve"> </w:t>
      </w:r>
      <w:r w:rsidR="00AB4359" w:rsidRPr="001F28EC">
        <w:t xml:space="preserve">customers exercising </w:t>
      </w:r>
      <w:r w:rsidRPr="001F28EC">
        <w:t>stand-alone or embedded options</w:t>
      </w:r>
      <w:r w:rsidR="00AB4359" w:rsidRPr="001F28EC">
        <w:t xml:space="preserve"> differently from how </w:t>
      </w:r>
      <w:r w:rsidR="00E15E39" w:rsidRPr="001F28EC">
        <w:t xml:space="preserve">the </w:t>
      </w:r>
      <w:r w:rsidR="00AB4359" w:rsidRPr="001F28EC">
        <w:t xml:space="preserve">ADI had </w:t>
      </w:r>
      <w:r w:rsidR="00A1346A" w:rsidRPr="001F28EC">
        <w:t>assumed they would</w:t>
      </w:r>
      <w:r w:rsidR="00E254EF" w:rsidRPr="001F28EC">
        <w:t>,</w:t>
      </w:r>
      <w:r w:rsidR="00E15E39" w:rsidRPr="001F28EC">
        <w:t xml:space="preserve"> or </w:t>
      </w:r>
      <w:r w:rsidR="00942285" w:rsidRPr="001F28EC">
        <w:t>by</w:t>
      </w:r>
      <w:r w:rsidR="00E15E39" w:rsidRPr="001F28EC">
        <w:t xml:space="preserve"> </w:t>
      </w:r>
      <w:r w:rsidR="000628F8" w:rsidRPr="001F28EC">
        <w:t xml:space="preserve">the operation of </w:t>
      </w:r>
      <w:r w:rsidR="00E15E39" w:rsidRPr="001F28EC">
        <w:t xml:space="preserve">caps, floors and similar </w:t>
      </w:r>
      <w:r w:rsidR="000628F8" w:rsidRPr="001F28EC">
        <w:t xml:space="preserve">mechanisms that automatically adjust </w:t>
      </w:r>
      <w:r w:rsidR="00E15E39" w:rsidRPr="001F28EC">
        <w:t xml:space="preserve">interest </w:t>
      </w:r>
      <w:proofErr w:type="gramStart"/>
      <w:r w:rsidR="00E15E39" w:rsidRPr="001F28EC">
        <w:t>payments</w:t>
      </w:r>
      <w:r w:rsidRPr="001F28EC">
        <w:t>;</w:t>
      </w:r>
      <w:proofErr w:type="gramEnd"/>
    </w:p>
    <w:p w14:paraId="62D7F9AB" w14:textId="108292B7" w:rsidR="0037470B" w:rsidRPr="001F28EC" w:rsidRDefault="008C5A4F" w:rsidP="002A38AD">
      <w:pPr>
        <w:pStyle w:val="BodyText2"/>
      </w:pPr>
      <w:bookmarkStart w:id="25" w:name="_Ref179261619"/>
      <w:r w:rsidRPr="001F28EC">
        <w:t xml:space="preserve">rate lock – </w:t>
      </w:r>
      <w:r w:rsidR="005A0C84" w:rsidRPr="001F28EC">
        <w:t xml:space="preserve">means </w:t>
      </w:r>
      <w:r w:rsidRPr="001F28EC">
        <w:t xml:space="preserve">a guarantee by </w:t>
      </w:r>
      <w:r w:rsidR="00445455" w:rsidRPr="001F28EC">
        <w:t>an</w:t>
      </w:r>
      <w:r w:rsidRPr="001F28EC">
        <w:t xml:space="preserve"> </w:t>
      </w:r>
      <w:r w:rsidR="00CC1962" w:rsidRPr="001F28EC">
        <w:t xml:space="preserve">ADI </w:t>
      </w:r>
      <w:r w:rsidRPr="001F28EC">
        <w:t xml:space="preserve">that a customer may draw down a loan </w:t>
      </w:r>
      <w:r w:rsidR="00F72550" w:rsidRPr="001F28EC">
        <w:t>n</w:t>
      </w:r>
      <w:r w:rsidRPr="001F28EC">
        <w:t>o</w:t>
      </w:r>
      <w:r w:rsidR="00F72550" w:rsidRPr="001F28EC">
        <w:t xml:space="preserve"> larger than</w:t>
      </w:r>
      <w:r w:rsidRPr="001F28EC">
        <w:t xml:space="preserve"> a nominated limit</w:t>
      </w:r>
      <w:r w:rsidR="00F72550" w:rsidRPr="001F28EC">
        <w:t>,</w:t>
      </w:r>
      <w:r w:rsidRPr="001F28EC">
        <w:t xml:space="preserve"> at a specified fixed or capped rate, before a nominated expiry date</w:t>
      </w:r>
      <w:bookmarkEnd w:id="25"/>
      <w:r w:rsidR="0037470B" w:rsidRPr="001F28EC">
        <w:t xml:space="preserve">; </w:t>
      </w:r>
      <w:r w:rsidR="00CE494C" w:rsidRPr="001F28EC">
        <w:t>and</w:t>
      </w:r>
    </w:p>
    <w:p w14:paraId="30840A39" w14:textId="3825E7CD" w:rsidR="00433AA3" w:rsidRPr="001F28EC" w:rsidRDefault="0037470B" w:rsidP="002A38AD">
      <w:pPr>
        <w:pStyle w:val="BodyText2"/>
      </w:pPr>
      <w:r w:rsidRPr="001F28EC">
        <w:t>standardised ADI</w:t>
      </w:r>
      <w:r w:rsidR="00CE494C" w:rsidRPr="001F28EC">
        <w:t xml:space="preserve"> – means an ADI which has not been approved by APRA to use the </w:t>
      </w:r>
      <w:r w:rsidR="00386F12" w:rsidRPr="001F28EC">
        <w:t>IRB a</w:t>
      </w:r>
      <w:r w:rsidR="00CE494C" w:rsidRPr="001F28EC">
        <w:t>pproach to credit risk.</w:t>
      </w:r>
    </w:p>
    <w:p w14:paraId="52DCE87D" w14:textId="6675DEDD" w:rsidR="00BE40D3" w:rsidRPr="001F28EC" w:rsidRDefault="00BE40D3" w:rsidP="0058759B">
      <w:pPr>
        <w:pStyle w:val="Heading1"/>
        <w:rPr>
          <w:i/>
        </w:rPr>
      </w:pPr>
      <w:bookmarkStart w:id="26" w:name="_Toc171007226"/>
      <w:bookmarkStart w:id="27" w:name="_Toc176749308"/>
      <w:bookmarkStart w:id="28" w:name="_Toc177286358"/>
      <w:r w:rsidRPr="001F28EC">
        <w:t>Adjustments and exclusions</w:t>
      </w:r>
      <w:bookmarkEnd w:id="26"/>
      <w:r w:rsidRPr="001F28EC">
        <w:t xml:space="preserve"> </w:t>
      </w:r>
    </w:p>
    <w:p w14:paraId="0CBF8FA2" w14:textId="31CCBA3A" w:rsidR="00BE40D3" w:rsidRPr="001F28EC" w:rsidRDefault="00BE40D3" w:rsidP="002A38AD">
      <w:pPr>
        <w:pStyle w:val="BodyText1"/>
      </w:pPr>
      <w:r w:rsidRPr="001F28EC">
        <w:t xml:space="preserve">APRA may adjust or exclude a </w:t>
      </w:r>
      <w:r w:rsidR="00227A62" w:rsidRPr="001F28EC">
        <w:t xml:space="preserve">specific </w:t>
      </w:r>
      <w:r w:rsidRPr="001F28EC">
        <w:t xml:space="preserve">prudential requirement in this Prudential Standard in relation to one or more </w:t>
      </w:r>
      <w:r w:rsidR="00227A62" w:rsidRPr="001F28EC">
        <w:t xml:space="preserve">specified </w:t>
      </w:r>
      <w:r w:rsidRPr="001F28EC">
        <w:t>ADIs or authorised NOHCs</w:t>
      </w:r>
      <w:r w:rsidR="00C561BF" w:rsidRPr="001F28EC">
        <w:t xml:space="preserve">. </w:t>
      </w:r>
    </w:p>
    <w:p w14:paraId="37047352" w14:textId="509887AB" w:rsidR="00523D5E" w:rsidRPr="001F28EC" w:rsidRDefault="00523D5E" w:rsidP="0058759B">
      <w:pPr>
        <w:pStyle w:val="Heading1"/>
        <w:rPr>
          <w:i/>
        </w:rPr>
      </w:pPr>
      <w:bookmarkStart w:id="29" w:name="_Toc171007227"/>
      <w:r w:rsidRPr="001F28EC">
        <w:t>Previous exercise of discretion</w:t>
      </w:r>
      <w:bookmarkEnd w:id="29"/>
    </w:p>
    <w:p w14:paraId="3DFA2E6D" w14:textId="694AEBFB" w:rsidR="00523D5E" w:rsidRPr="001F28EC" w:rsidRDefault="00523D5E" w:rsidP="002A38AD">
      <w:pPr>
        <w:pStyle w:val="BodyText1"/>
      </w:pPr>
      <w:r w:rsidRPr="001F28EC">
        <w:t xml:space="preserve">An ADI must contact APRA if it seeks to place reliance, for the purposes of complying with this Prudential Standard, on a previous exemption or other exercise of discretion by APRA under a previous version of this Prudential Standard. </w:t>
      </w:r>
    </w:p>
    <w:p w14:paraId="244AF84D" w14:textId="0CC7C0DF" w:rsidR="00431ABE" w:rsidRPr="001F28EC" w:rsidRDefault="00431ABE" w:rsidP="00431ABE">
      <w:pPr>
        <w:pStyle w:val="Heading1"/>
        <w:rPr>
          <w:i/>
        </w:rPr>
      </w:pPr>
      <w:bookmarkStart w:id="30" w:name="_Toc171007228"/>
      <w:r w:rsidRPr="001F28EC" w:rsidDel="00292699">
        <w:lastRenderedPageBreak/>
        <w:t xml:space="preserve">Requirements for </w:t>
      </w:r>
      <w:r w:rsidR="007C4AF2" w:rsidRPr="001F28EC">
        <w:t>all ADIs</w:t>
      </w:r>
      <w:bookmarkEnd w:id="30"/>
    </w:p>
    <w:p w14:paraId="1C8888CE" w14:textId="15BB5027" w:rsidR="00A668C8" w:rsidRPr="001F28EC" w:rsidRDefault="00554BCB" w:rsidP="00431ABE">
      <w:pPr>
        <w:pStyle w:val="BodyText1"/>
      </w:pPr>
      <w:r w:rsidRPr="001F28EC">
        <w:t xml:space="preserve">IRRBB is a material risk </w:t>
      </w:r>
      <w:r w:rsidR="000D68E2" w:rsidRPr="001F28EC">
        <w:t xml:space="preserve">and is a category of market and investment risk </w:t>
      </w:r>
      <w:r w:rsidR="00FD4602" w:rsidRPr="001F28EC">
        <w:t>under</w:t>
      </w:r>
      <w:r w:rsidR="000D68E2" w:rsidRPr="001F28EC">
        <w:t xml:space="preserve"> </w:t>
      </w:r>
      <w:r w:rsidRPr="001F28EC">
        <w:rPr>
          <w:i/>
        </w:rPr>
        <w:t xml:space="preserve">Prudential Standard CPS 220 Risk Management </w:t>
      </w:r>
      <w:r w:rsidRPr="001F28EC">
        <w:t>(CPS 220)</w:t>
      </w:r>
      <w:r w:rsidR="00B25F8F" w:rsidRPr="001F28EC">
        <w:t>.</w:t>
      </w:r>
      <w:r w:rsidRPr="001F28EC">
        <w:rPr>
          <w:i/>
        </w:rPr>
        <w:t xml:space="preserve"> </w:t>
      </w:r>
      <w:r w:rsidR="000C7D94" w:rsidRPr="001F28EC">
        <w:t>As part of its risk management framework required under CPS 220</w:t>
      </w:r>
      <w:r w:rsidR="00E01548" w:rsidRPr="001F28EC">
        <w:t xml:space="preserve">, </w:t>
      </w:r>
      <w:r w:rsidR="0022699E" w:rsidRPr="001F28EC">
        <w:t xml:space="preserve">an </w:t>
      </w:r>
      <w:r w:rsidR="00D57BB7" w:rsidRPr="001F28EC">
        <w:t>ADI</w:t>
      </w:r>
      <w:r w:rsidR="003F5DA1" w:rsidRPr="001F28EC">
        <w:t xml:space="preserve"> must ensure that </w:t>
      </w:r>
      <w:r w:rsidR="001901FF" w:rsidRPr="001F28EC">
        <w:t xml:space="preserve">it </w:t>
      </w:r>
      <w:r w:rsidR="003F5DA1" w:rsidRPr="001F28EC">
        <w:t xml:space="preserve">appropriately manages its IRRBB, commensurate with the nature, scale and complexity of its operations. </w:t>
      </w:r>
    </w:p>
    <w:p w14:paraId="5C995D86" w14:textId="095B372E" w:rsidR="007609AC" w:rsidRPr="001F28EC" w:rsidRDefault="007609AC" w:rsidP="007609AC">
      <w:pPr>
        <w:pStyle w:val="BodyText1"/>
      </w:pPr>
      <w:r w:rsidRPr="001F28EC">
        <w:t>A</w:t>
      </w:r>
      <w:r w:rsidR="002835F7" w:rsidRPr="001F28EC">
        <w:t>n</w:t>
      </w:r>
      <w:r w:rsidR="00463CAE" w:rsidRPr="001F28EC">
        <w:t xml:space="preserve"> </w:t>
      </w:r>
      <w:r w:rsidR="00D76509" w:rsidRPr="001F28EC">
        <w:t xml:space="preserve">ADI’s </w:t>
      </w:r>
      <w:r w:rsidR="00463CAE" w:rsidRPr="001F28EC">
        <w:t>senior management</w:t>
      </w:r>
      <w:r w:rsidRPr="001F28EC">
        <w:t xml:space="preserve"> must regularly (at least semi-annually) report its IRRBB exposure to </w:t>
      </w:r>
      <w:r w:rsidR="00830EC0" w:rsidRPr="001F28EC">
        <w:t>its</w:t>
      </w:r>
      <w:r w:rsidRPr="001F28EC">
        <w:t xml:space="preserve"> Board or Board committee.</w:t>
      </w:r>
    </w:p>
    <w:p w14:paraId="42A66BED" w14:textId="2BEFE51C" w:rsidR="00D44B71" w:rsidRPr="001F28EC" w:rsidRDefault="00D44B71" w:rsidP="00104566">
      <w:pPr>
        <w:pStyle w:val="BodyText1"/>
      </w:pPr>
      <w:bookmarkStart w:id="31" w:name="_Ref149835734"/>
      <w:r w:rsidRPr="001F28EC">
        <w:t>Where APRA determines that a</w:t>
      </w:r>
      <w:r w:rsidR="00AE5B13" w:rsidRPr="001F28EC">
        <w:t>n</w:t>
      </w:r>
      <w:r w:rsidRPr="001F28EC">
        <w:t xml:space="preserve"> </w:t>
      </w:r>
      <w:r w:rsidR="00AE5B13" w:rsidRPr="001F28EC">
        <w:t>ADI</w:t>
      </w:r>
      <w:r w:rsidRPr="001F28EC">
        <w:t xml:space="preserve"> is not </w:t>
      </w:r>
      <w:r w:rsidR="00BF3C89" w:rsidRPr="001F28EC">
        <w:t>appropriately</w:t>
      </w:r>
      <w:r w:rsidR="00DE29F4" w:rsidRPr="001F28EC">
        <w:t xml:space="preserve"> </w:t>
      </w:r>
      <w:r w:rsidRPr="001F28EC">
        <w:t>managing</w:t>
      </w:r>
      <w:r w:rsidR="00331CF0" w:rsidRPr="001F28EC">
        <w:t>, measuring or monitoring</w:t>
      </w:r>
      <w:r w:rsidRPr="001F28EC">
        <w:t xml:space="preserve"> its IRRBB</w:t>
      </w:r>
      <w:r w:rsidR="00331CF0" w:rsidRPr="001F28EC">
        <w:t xml:space="preserve"> or is carrying excessive interest rate risk</w:t>
      </w:r>
      <w:r w:rsidRPr="001F28EC">
        <w:t xml:space="preserve">, APRA may </w:t>
      </w:r>
      <w:r w:rsidR="008B640B" w:rsidRPr="001F28EC">
        <w:t>r</w:t>
      </w:r>
      <w:r w:rsidRPr="001F28EC">
        <w:t xml:space="preserve">equire the </w:t>
      </w:r>
      <w:r w:rsidR="00AE5B13" w:rsidRPr="001F28EC">
        <w:t xml:space="preserve">ADI </w:t>
      </w:r>
      <w:r w:rsidRPr="001F28EC">
        <w:t>to hold additional regulatory capital</w:t>
      </w:r>
      <w:r w:rsidR="004C544E" w:rsidRPr="001F28EC">
        <w:t>,</w:t>
      </w:r>
      <w:r w:rsidR="00750C23" w:rsidRPr="001F28EC">
        <w:t xml:space="preserve"> commensurate with </w:t>
      </w:r>
      <w:r w:rsidR="00F9644D" w:rsidRPr="001F28EC">
        <w:t xml:space="preserve">its </w:t>
      </w:r>
      <w:r w:rsidR="004C544E" w:rsidRPr="001F28EC">
        <w:t xml:space="preserve">IRRBB </w:t>
      </w:r>
      <w:r w:rsidR="000C2AEE" w:rsidRPr="001F28EC">
        <w:t>and/or</w:t>
      </w:r>
      <w:r w:rsidR="004F77B6" w:rsidRPr="001F28EC">
        <w:t xml:space="preserve">, </w:t>
      </w:r>
      <w:r w:rsidR="0039284B" w:rsidRPr="001F28EC">
        <w:t xml:space="preserve">in the case of </w:t>
      </w:r>
      <w:r w:rsidR="00AC75F3" w:rsidRPr="001F28EC">
        <w:t xml:space="preserve">a </w:t>
      </w:r>
      <w:r w:rsidR="00F969DF" w:rsidRPr="001F28EC">
        <w:t xml:space="preserve">non-SFI or </w:t>
      </w:r>
      <w:r w:rsidR="00AC75F3" w:rsidRPr="001F28EC">
        <w:t>a</w:t>
      </w:r>
      <w:r w:rsidR="00875A9C" w:rsidRPr="001F28EC">
        <w:t>n</w:t>
      </w:r>
      <w:r w:rsidR="00AC75F3" w:rsidRPr="001F28EC">
        <w:t xml:space="preserve"> </w:t>
      </w:r>
      <w:r w:rsidR="00F969DF" w:rsidRPr="001F28EC">
        <w:t xml:space="preserve">SFI </w:t>
      </w:r>
      <w:r w:rsidR="0039284B" w:rsidRPr="001F28EC">
        <w:t>that does not have IRRBB model approval</w:t>
      </w:r>
      <w:r w:rsidR="00597D8C" w:rsidRPr="001F28EC">
        <w:t xml:space="preserve">, </w:t>
      </w:r>
      <w:r w:rsidR="00143356" w:rsidRPr="001F28EC">
        <w:t>comply with all or additional requirements in this Prudential Standard</w:t>
      </w:r>
      <w:r w:rsidRPr="001F28EC">
        <w:t>.</w:t>
      </w:r>
      <w:bookmarkEnd w:id="31"/>
      <w:r w:rsidR="00140085" w:rsidRPr="001F28EC">
        <w:t xml:space="preserve"> </w:t>
      </w:r>
    </w:p>
    <w:p w14:paraId="254ED73E" w14:textId="3C6B9546" w:rsidR="00433AA3" w:rsidRPr="001F28EC" w:rsidRDefault="00DB133B" w:rsidP="0058759B">
      <w:pPr>
        <w:pStyle w:val="Heading1"/>
        <w:rPr>
          <w:i/>
        </w:rPr>
      </w:pPr>
      <w:bookmarkStart w:id="32" w:name="_Toc171007229"/>
      <w:bookmarkEnd w:id="27"/>
      <w:bookmarkEnd w:id="28"/>
      <w:r w:rsidRPr="001F28EC">
        <w:t>Re</w:t>
      </w:r>
      <w:r w:rsidR="002509A9" w:rsidRPr="001F28EC">
        <w:t>quirements for SFIs</w:t>
      </w:r>
      <w:bookmarkEnd w:id="32"/>
    </w:p>
    <w:p w14:paraId="232E2F53" w14:textId="4766121E" w:rsidR="00433AA3" w:rsidRPr="001F28EC" w:rsidRDefault="00146355">
      <w:pPr>
        <w:pStyle w:val="BodyText1"/>
      </w:pPr>
      <w:bookmarkStart w:id="33" w:name="_Ref147834836"/>
      <w:bookmarkStart w:id="34" w:name="_Ref167972168"/>
      <w:r w:rsidRPr="001F28EC">
        <w:t xml:space="preserve">An </w:t>
      </w:r>
      <w:r w:rsidR="00BB40BE" w:rsidRPr="001F28EC">
        <w:t xml:space="preserve">SFI </w:t>
      </w:r>
      <w:r w:rsidRPr="001F28EC">
        <w:t xml:space="preserve">must </w:t>
      </w:r>
      <w:r w:rsidR="00BA732D" w:rsidRPr="001F28EC">
        <w:t>prudently manage</w:t>
      </w:r>
      <w:r w:rsidR="00AB6A83" w:rsidRPr="001F28EC">
        <w:t xml:space="preserve"> </w:t>
      </w:r>
      <w:r w:rsidR="00BB1424" w:rsidRPr="001F28EC">
        <w:t>IRRBB</w:t>
      </w:r>
      <w:r w:rsidR="002007A1" w:rsidRPr="001F28EC">
        <w:t xml:space="preserve"> with</w:t>
      </w:r>
      <w:bookmarkEnd w:id="33"/>
      <w:r w:rsidR="002007A1" w:rsidRPr="001F28EC">
        <w:t xml:space="preserve"> </w:t>
      </w:r>
      <w:r w:rsidR="005C7253" w:rsidRPr="001F28EC">
        <w:t xml:space="preserve">a </w:t>
      </w:r>
      <w:r w:rsidR="00D04BF6" w:rsidRPr="001F28EC">
        <w:t xml:space="preserve">management </w:t>
      </w:r>
      <w:r w:rsidR="005C7253" w:rsidRPr="001F28EC">
        <w:t xml:space="preserve">framework </w:t>
      </w:r>
      <w:r w:rsidR="00B935B7" w:rsidRPr="001F28EC">
        <w:t xml:space="preserve">and governance </w:t>
      </w:r>
      <w:r w:rsidR="005C7253" w:rsidRPr="001F28EC">
        <w:t xml:space="preserve">arrangements </w:t>
      </w:r>
      <w:r w:rsidR="00743790" w:rsidRPr="001F28EC">
        <w:t>that</w:t>
      </w:r>
      <w:r w:rsidR="008C6E21" w:rsidRPr="001F28EC">
        <w:t xml:space="preserve"> </w:t>
      </w:r>
      <w:r w:rsidR="00BD3CD1" w:rsidRPr="001F28EC">
        <w:t>satisfy</w:t>
      </w:r>
      <w:r w:rsidR="008C6E21" w:rsidRPr="001F28EC">
        <w:t xml:space="preserve"> the requirements set out in </w:t>
      </w:r>
      <w:r w:rsidR="00743790" w:rsidRPr="001F28EC">
        <w:t>th</w:t>
      </w:r>
      <w:r w:rsidR="00BB40BE" w:rsidRPr="001F28EC">
        <w:t>e remainder of th</w:t>
      </w:r>
      <w:r w:rsidR="00743790" w:rsidRPr="001F28EC">
        <w:t>is Prudential Standard</w:t>
      </w:r>
      <w:r w:rsidR="008C6E21" w:rsidRPr="001F28EC">
        <w:t>.</w:t>
      </w:r>
      <w:bookmarkEnd w:id="34"/>
      <w:r w:rsidR="008C6E21" w:rsidRPr="001F28EC" w:rsidDel="008C6E21">
        <w:t xml:space="preserve"> </w:t>
      </w:r>
    </w:p>
    <w:p w14:paraId="3CFD3B91" w14:textId="2223FE20" w:rsidR="00C50427" w:rsidRPr="001F28EC" w:rsidRDefault="00C50427" w:rsidP="002A38AD">
      <w:pPr>
        <w:pStyle w:val="BodyText1"/>
      </w:pPr>
      <w:r w:rsidRPr="001F28EC">
        <w:t xml:space="preserve">An </w:t>
      </w:r>
      <w:r w:rsidR="00E71EC5" w:rsidRPr="001F28EC">
        <w:t xml:space="preserve">SFI </w:t>
      </w:r>
      <w:r w:rsidRPr="001F28EC">
        <w:t xml:space="preserve">that </w:t>
      </w:r>
      <w:r w:rsidR="0058276A" w:rsidRPr="001F28EC">
        <w:t xml:space="preserve">has </w:t>
      </w:r>
      <w:r w:rsidR="00BE7515" w:rsidRPr="001F28EC">
        <w:t>sought</w:t>
      </w:r>
      <w:r w:rsidR="0058276A" w:rsidRPr="001F28EC">
        <w:t xml:space="preserve"> approval from APRA to </w:t>
      </w:r>
      <w:r w:rsidR="00974589" w:rsidRPr="001F28EC">
        <w:t>become an IRB ADI</w:t>
      </w:r>
      <w:r w:rsidR="00D02884" w:rsidRPr="001F28EC">
        <w:t xml:space="preserve"> </w:t>
      </w:r>
      <w:r w:rsidR="00012487" w:rsidRPr="001F28EC">
        <w:t xml:space="preserve">must also apply for </w:t>
      </w:r>
      <w:r w:rsidR="00022CDB" w:rsidRPr="001F28EC">
        <w:t xml:space="preserve">IRRBB model </w:t>
      </w:r>
      <w:r w:rsidR="00012487" w:rsidRPr="001F28EC">
        <w:t>approval</w:t>
      </w:r>
      <w:r w:rsidR="00022CDB" w:rsidRPr="001F28EC">
        <w:t>.</w:t>
      </w:r>
    </w:p>
    <w:p w14:paraId="5DDF9D40" w14:textId="48B2CC16" w:rsidR="004C2486" w:rsidRPr="001F28EC" w:rsidRDefault="004C2486" w:rsidP="002A38AD">
      <w:pPr>
        <w:pStyle w:val="BodyText1"/>
      </w:pPr>
      <w:bookmarkStart w:id="35" w:name="_Ref147216066"/>
      <w:r w:rsidRPr="001F28EC">
        <w:t xml:space="preserve">An </w:t>
      </w:r>
      <w:r w:rsidR="00DD44F2" w:rsidRPr="001F28EC">
        <w:t xml:space="preserve">IRB </w:t>
      </w:r>
      <w:r w:rsidRPr="001F28EC">
        <w:t xml:space="preserve">ADI </w:t>
      </w:r>
      <w:r w:rsidR="00AE0EF3" w:rsidRPr="001F28EC">
        <w:t xml:space="preserve">must hold adequate capital for </w:t>
      </w:r>
      <w:r w:rsidR="00540D5A" w:rsidRPr="001F28EC">
        <w:t>its IRRBB</w:t>
      </w:r>
      <w:r w:rsidR="00AE0EF3" w:rsidRPr="001F28EC">
        <w:t xml:space="preserve"> </w:t>
      </w:r>
      <w:r w:rsidR="00906FD7" w:rsidRPr="001F28EC">
        <w:t xml:space="preserve">and </w:t>
      </w:r>
      <w:r w:rsidRPr="001F28EC">
        <w:t>must determine its IRRBB capital charge at least quarterly.</w:t>
      </w:r>
      <w:bookmarkEnd w:id="35"/>
    </w:p>
    <w:p w14:paraId="3DDA3714" w14:textId="44BB96B7" w:rsidR="00433AA3" w:rsidRPr="001F28EC" w:rsidRDefault="00C50427" w:rsidP="002A38AD">
      <w:pPr>
        <w:pStyle w:val="BodyText1"/>
      </w:pPr>
      <w:bookmarkStart w:id="36" w:name="_Ref8646924"/>
      <w:bookmarkStart w:id="37" w:name="_Ref534635720"/>
      <w:r w:rsidRPr="001F28EC">
        <w:t>For a</w:t>
      </w:r>
      <w:r w:rsidR="0037470B" w:rsidRPr="001F28EC">
        <w:t xml:space="preserve"> standardised </w:t>
      </w:r>
      <w:r w:rsidRPr="001F28EC">
        <w:t>ADI, the IRRBB capital charge is zero</w:t>
      </w:r>
      <w:r w:rsidR="00692996" w:rsidRPr="001F28EC">
        <w:t xml:space="preserve"> unless </w:t>
      </w:r>
      <w:r w:rsidR="00F6771E" w:rsidRPr="001F28EC">
        <w:t>APRA determines otherwise</w:t>
      </w:r>
      <w:r w:rsidR="00863B82" w:rsidRPr="001F28EC">
        <w:t>.</w:t>
      </w:r>
      <w:bookmarkEnd w:id="36"/>
      <w:bookmarkEnd w:id="37"/>
    </w:p>
    <w:p w14:paraId="777FCF62" w14:textId="49A3F6E4" w:rsidR="00433AA3" w:rsidRPr="001F28EC" w:rsidRDefault="00BE7515" w:rsidP="0058759B">
      <w:pPr>
        <w:pStyle w:val="Heading1"/>
        <w:rPr>
          <w:i/>
        </w:rPr>
      </w:pPr>
      <w:bookmarkStart w:id="38" w:name="_Toc176749311"/>
      <w:bookmarkStart w:id="39" w:name="_Toc177286359"/>
      <w:bookmarkStart w:id="40" w:name="_Toc171007230"/>
      <w:r w:rsidRPr="001F28EC">
        <w:t>Internal model a</w:t>
      </w:r>
      <w:r w:rsidR="00433AA3" w:rsidRPr="001F28EC">
        <w:t>pproval process</w:t>
      </w:r>
      <w:bookmarkEnd w:id="38"/>
      <w:bookmarkEnd w:id="39"/>
      <w:bookmarkEnd w:id="40"/>
    </w:p>
    <w:p w14:paraId="65060835" w14:textId="6296CE63" w:rsidR="00B4063F" w:rsidRPr="001F28EC" w:rsidRDefault="00354E2C" w:rsidP="002A38AD">
      <w:pPr>
        <w:pStyle w:val="BodyText1"/>
        <w:rPr>
          <w:snapToGrid w:val="0"/>
          <w:lang w:eastAsia="en-US"/>
        </w:rPr>
      </w:pPr>
      <w:bookmarkStart w:id="41" w:name="_Ref179260225"/>
      <w:bookmarkStart w:id="42" w:name="_Ref147209348"/>
      <w:r w:rsidRPr="001F28EC">
        <w:rPr>
          <w:snapToGrid w:val="0"/>
          <w:lang w:eastAsia="en-US"/>
        </w:rPr>
        <w:t xml:space="preserve">An application for IRRBB model approval </w:t>
      </w:r>
      <w:r w:rsidR="00B4063F" w:rsidRPr="001F28EC">
        <w:rPr>
          <w:snapToGrid w:val="0"/>
          <w:lang w:eastAsia="en-US"/>
        </w:rPr>
        <w:t xml:space="preserve">must demonstrate that the </w:t>
      </w:r>
      <w:r w:rsidR="00735C10" w:rsidRPr="001F28EC">
        <w:rPr>
          <w:snapToGrid w:val="0"/>
          <w:lang w:eastAsia="en-US"/>
        </w:rPr>
        <w:t xml:space="preserve">model </w:t>
      </w:r>
      <w:r w:rsidR="00B4063F" w:rsidRPr="001F28EC">
        <w:rPr>
          <w:snapToGrid w:val="0"/>
          <w:lang w:eastAsia="en-US"/>
        </w:rPr>
        <w:t xml:space="preserve">has undergone a sufficiently long period of internal monitoring and has performed satisfactorily over that period. The length of this monitoring period will depend upon the performance of the </w:t>
      </w:r>
      <w:smartTag w:uri="urn:schemas-microsoft-com:office:smarttags" w:element="stockticker">
        <w:r w:rsidR="00B4063F" w:rsidRPr="001F28EC">
          <w:rPr>
            <w:snapToGrid w:val="0"/>
            <w:lang w:eastAsia="en-US"/>
          </w:rPr>
          <w:t>ADI</w:t>
        </w:r>
      </w:smartTag>
      <w:r w:rsidR="00B4063F" w:rsidRPr="001F28EC">
        <w:rPr>
          <w:snapToGrid w:val="0"/>
          <w:lang w:eastAsia="en-US"/>
        </w:rPr>
        <w:t>’s IRRBB management framework and its track record in managing and measuring IRRBB.</w:t>
      </w:r>
      <w:r w:rsidR="00B445C6" w:rsidRPr="001F28EC">
        <w:rPr>
          <w:snapToGrid w:val="0"/>
          <w:lang w:eastAsia="en-US"/>
        </w:rPr>
        <w:t xml:space="preserve"> APRA may approve the use of an IRRBB model by an ADI</w:t>
      </w:r>
      <w:r w:rsidR="00830F05" w:rsidRPr="001F28EC">
        <w:rPr>
          <w:snapToGrid w:val="0"/>
          <w:lang w:eastAsia="en-US"/>
        </w:rPr>
        <w:t>.</w:t>
      </w:r>
    </w:p>
    <w:p w14:paraId="299E7CCA" w14:textId="747F3089" w:rsidR="00BB03E7" w:rsidRPr="001F28EC" w:rsidRDefault="00B7522B" w:rsidP="002A38AD">
      <w:pPr>
        <w:pStyle w:val="BodyText1"/>
      </w:pPr>
      <w:bookmarkStart w:id="43" w:name="_Ref534713546"/>
      <w:bookmarkEnd w:id="41"/>
      <w:r w:rsidRPr="001F28EC">
        <w:t xml:space="preserve">An ADI must obtain </w:t>
      </w:r>
      <w:r w:rsidR="00BB03E7" w:rsidRPr="001F28EC">
        <w:t xml:space="preserve">APRA’s approval </w:t>
      </w:r>
      <w:r w:rsidRPr="001F28EC">
        <w:t xml:space="preserve">prior to making </w:t>
      </w:r>
      <w:r w:rsidR="00BB03E7" w:rsidRPr="001F28EC">
        <w:t xml:space="preserve">any material changes to </w:t>
      </w:r>
      <w:r w:rsidRPr="001F28EC">
        <w:t>its</w:t>
      </w:r>
      <w:r w:rsidR="00974589" w:rsidRPr="001F28EC">
        <w:t xml:space="preserve"> approved IRRBB model</w:t>
      </w:r>
      <w:r w:rsidR="00BB03E7" w:rsidRPr="001F28EC">
        <w:t xml:space="preserve">. </w:t>
      </w:r>
      <w:r w:rsidR="00331404" w:rsidRPr="001F28EC">
        <w:t>An ADI must notify APRA of any n</w:t>
      </w:r>
      <w:r w:rsidR="0046640B" w:rsidRPr="001F28EC">
        <w:t xml:space="preserve">on-material changes </w:t>
      </w:r>
      <w:r w:rsidR="00F12588" w:rsidRPr="001F28EC">
        <w:t xml:space="preserve">no later than </w:t>
      </w:r>
      <w:r w:rsidR="00B008BA" w:rsidRPr="001F28EC">
        <w:t>three</w:t>
      </w:r>
      <w:r w:rsidR="00F12588" w:rsidRPr="001F28EC">
        <w:t xml:space="preserve"> months after </w:t>
      </w:r>
      <w:r w:rsidR="0011715C" w:rsidRPr="001F28EC">
        <w:t xml:space="preserve">making </w:t>
      </w:r>
      <w:r w:rsidR="00F13093" w:rsidRPr="001F28EC">
        <w:t>the change</w:t>
      </w:r>
      <w:r w:rsidR="00F12588" w:rsidRPr="001F28EC">
        <w:t>.</w:t>
      </w:r>
      <w:bookmarkEnd w:id="43"/>
    </w:p>
    <w:p w14:paraId="4FDD9B4C" w14:textId="4E75DC3F" w:rsidR="00433AA3" w:rsidRPr="001F28EC" w:rsidRDefault="00093B60" w:rsidP="002A38AD">
      <w:pPr>
        <w:pStyle w:val="BodyText1"/>
      </w:pPr>
      <w:r w:rsidRPr="001F28EC">
        <w:t>A</w:t>
      </w:r>
      <w:r w:rsidR="00433AA3" w:rsidRPr="001F28EC">
        <w:t xml:space="preserve">n </w:t>
      </w:r>
      <w:smartTag w:uri="urn:schemas-microsoft-com:office:smarttags" w:element="stockticker">
        <w:r w:rsidR="00433AA3" w:rsidRPr="001F28EC">
          <w:t>ADI</w:t>
        </w:r>
      </w:smartTag>
      <w:r w:rsidR="00433AA3" w:rsidRPr="001F28EC">
        <w:t xml:space="preserve"> </w:t>
      </w:r>
      <w:r w:rsidR="006F3DD8" w:rsidRPr="001F28EC">
        <w:t>that has</w:t>
      </w:r>
      <w:r w:rsidR="00974589" w:rsidRPr="001F28EC">
        <w:t xml:space="preserve"> IRRBB </w:t>
      </w:r>
      <w:r w:rsidR="00433AA3" w:rsidRPr="001F28EC">
        <w:t xml:space="preserve">model approval must continue to </w:t>
      </w:r>
      <w:r w:rsidR="00735C10" w:rsidRPr="001F28EC">
        <w:t xml:space="preserve">use </w:t>
      </w:r>
      <w:r w:rsidR="00974589" w:rsidRPr="001F28EC">
        <w:t>its approved IRRBB</w:t>
      </w:r>
      <w:r w:rsidR="00433AA3" w:rsidRPr="001F28EC">
        <w:t xml:space="preserve"> model </w:t>
      </w:r>
      <w:r w:rsidR="00735C10" w:rsidRPr="001F28EC">
        <w:t xml:space="preserve">to determine its IRRBB capital charge </w:t>
      </w:r>
      <w:r w:rsidR="00433AA3" w:rsidRPr="001F28EC">
        <w:t>unless APRA revokes the approval.</w:t>
      </w:r>
    </w:p>
    <w:p w14:paraId="3866900E" w14:textId="22A0D416" w:rsidR="00260931" w:rsidRPr="001F28EC" w:rsidRDefault="00260931" w:rsidP="002A38AD">
      <w:pPr>
        <w:pStyle w:val="BodyText1"/>
      </w:pPr>
      <w:bookmarkStart w:id="44" w:name="_Ref147209612"/>
      <w:bookmarkEnd w:id="42"/>
      <w:r w:rsidRPr="001F28EC">
        <w:lastRenderedPageBreak/>
        <w:t xml:space="preserve">An </w:t>
      </w:r>
      <w:smartTag w:uri="urn:schemas-microsoft-com:office:smarttags" w:element="stockticker">
        <w:r w:rsidRPr="001F28EC">
          <w:t>ADI</w:t>
        </w:r>
      </w:smartTag>
      <w:r w:rsidRPr="001F28EC">
        <w:t xml:space="preserve"> that has IRRBB model approval must determine its IRRBB capital charge in accordance with Attachment </w:t>
      </w:r>
      <w:r w:rsidR="00C210FF" w:rsidRPr="001F28EC">
        <w:t>A</w:t>
      </w:r>
      <w:r w:rsidRPr="001F28EC">
        <w:t xml:space="preserve"> to this Prudential Standard. The ADI may rely on its own internal methods and estimates for those parts of the calculation where a method or estimate is not prescribed in Attachment </w:t>
      </w:r>
      <w:r w:rsidR="00705537" w:rsidRPr="001F28EC">
        <w:t>A</w:t>
      </w:r>
      <w:r w:rsidRPr="001F28EC">
        <w:t xml:space="preserve"> to </w:t>
      </w:r>
      <w:r w:rsidR="002D0A33" w:rsidRPr="001F28EC">
        <w:t xml:space="preserve">this </w:t>
      </w:r>
      <w:r w:rsidRPr="001F28EC">
        <w:t>Prudential Standard.</w:t>
      </w:r>
    </w:p>
    <w:p w14:paraId="039B9F42" w14:textId="5884163E" w:rsidR="00433AA3" w:rsidRPr="001F28EC" w:rsidRDefault="00433AA3" w:rsidP="002A38AD">
      <w:pPr>
        <w:pStyle w:val="BodyText1"/>
      </w:pPr>
      <w:r w:rsidRPr="001F28EC">
        <w:t>APRA may</w:t>
      </w:r>
      <w:r w:rsidR="0015230D" w:rsidRPr="001F28EC">
        <w:t>,</w:t>
      </w:r>
      <w:r w:rsidRPr="001F28EC">
        <w:t xml:space="preserve"> at any time</w:t>
      </w:r>
      <w:r w:rsidR="0015230D" w:rsidRPr="001F28EC">
        <w:t>,</w:t>
      </w:r>
      <w:r w:rsidRPr="001F28EC">
        <w:t xml:space="preserve"> vary or revoke </w:t>
      </w:r>
      <w:r w:rsidR="00785941" w:rsidRPr="001F28EC">
        <w:t>an ADI’s</w:t>
      </w:r>
      <w:r w:rsidR="006F3DD8" w:rsidRPr="001F28EC">
        <w:t xml:space="preserve"> IRRBB</w:t>
      </w:r>
      <w:r w:rsidRPr="001F28EC">
        <w:t xml:space="preserve"> model approval, or impose additional conditions on the approval if it determines that:</w:t>
      </w:r>
      <w:bookmarkEnd w:id="44"/>
    </w:p>
    <w:p w14:paraId="043968FE" w14:textId="77777777" w:rsidR="00433AA3" w:rsidRPr="001F28EC" w:rsidRDefault="00433AA3" w:rsidP="002A38AD">
      <w:pPr>
        <w:pStyle w:val="BodyText2"/>
      </w:pPr>
      <w:r w:rsidRPr="001F28EC">
        <w:t xml:space="preserve">the </w:t>
      </w:r>
      <w:smartTag w:uri="urn:schemas-microsoft-com:office:smarttags" w:element="stockticker">
        <w:r w:rsidRPr="001F28EC">
          <w:t>ADI</w:t>
        </w:r>
      </w:smartTag>
      <w:r w:rsidRPr="001F28EC">
        <w:t xml:space="preserve"> does not comply with this Prudential Standard; or</w:t>
      </w:r>
    </w:p>
    <w:p w14:paraId="297D8CBA" w14:textId="5B642F82" w:rsidR="00433AA3" w:rsidRPr="001F28EC" w:rsidRDefault="00433AA3" w:rsidP="002A38AD">
      <w:pPr>
        <w:pStyle w:val="BodyText2"/>
      </w:pPr>
      <w:r w:rsidRPr="001F28EC">
        <w:t xml:space="preserve">it is appropriate, having regard to the </w:t>
      </w:r>
      <w:proofErr w:type="gramStart"/>
      <w:r w:rsidRPr="001F28EC">
        <w:t>particular circumstances</w:t>
      </w:r>
      <w:proofErr w:type="gramEnd"/>
      <w:r w:rsidRPr="001F28EC">
        <w:t xml:space="preserve"> of the </w:t>
      </w:r>
      <w:smartTag w:uri="urn:schemas-microsoft-com:office:smarttags" w:element="stockticker">
        <w:r w:rsidRPr="001F28EC">
          <w:t>ADI</w:t>
        </w:r>
      </w:smartTag>
      <w:r w:rsidRPr="001F28EC">
        <w:t>.</w:t>
      </w:r>
    </w:p>
    <w:p w14:paraId="508C74BD" w14:textId="017FE6F7" w:rsidR="00433AA3" w:rsidRPr="001F28EC" w:rsidRDefault="00E5299E" w:rsidP="002A38AD">
      <w:pPr>
        <w:pStyle w:val="BodyText1"/>
      </w:pPr>
      <w:bookmarkStart w:id="45" w:name="_Ref13561807"/>
      <w:r w:rsidRPr="001F28EC">
        <w:t>For a</w:t>
      </w:r>
      <w:r w:rsidR="006F3DD8" w:rsidRPr="001F28EC">
        <w:t>n IRB ADI that does not have IRRBB model approval</w:t>
      </w:r>
      <w:r w:rsidRPr="001F28EC">
        <w:t xml:space="preserve">, the </w:t>
      </w:r>
      <w:r w:rsidR="00CE494C" w:rsidRPr="001F28EC">
        <w:t xml:space="preserve">ADI must determine its </w:t>
      </w:r>
      <w:r w:rsidRPr="001F28EC">
        <w:t>IRRBB capital charge using a method specified by APRA.</w:t>
      </w:r>
      <w:bookmarkEnd w:id="45"/>
    </w:p>
    <w:p w14:paraId="41BA0400" w14:textId="4EBF7387" w:rsidR="004144EF" w:rsidRPr="001F28EC" w:rsidRDefault="00433AA3" w:rsidP="002A38AD">
      <w:pPr>
        <w:pStyle w:val="BodyText1"/>
      </w:pPr>
      <w:bookmarkStart w:id="46" w:name="_Ref535509768"/>
      <w:r w:rsidRPr="001F28EC">
        <w:t>APRA may</w:t>
      </w:r>
      <w:r w:rsidR="004F33EE" w:rsidRPr="001F28EC">
        <w:t xml:space="preserve"> </w:t>
      </w:r>
      <w:r w:rsidRPr="001F28EC">
        <w:t xml:space="preserve">require an </w:t>
      </w:r>
      <w:smartTag w:uri="urn:schemas-microsoft-com:office:smarttags" w:element="stockticker">
        <w:r w:rsidRPr="001F28EC">
          <w:t>ADI</w:t>
        </w:r>
      </w:smartTag>
      <w:r w:rsidRPr="001F28EC">
        <w:t xml:space="preserve"> to reduce its level of IRRBB</w:t>
      </w:r>
      <w:bookmarkStart w:id="47" w:name="deductions"/>
      <w:bookmarkEnd w:id="46"/>
      <w:bookmarkEnd w:id="47"/>
      <w:r w:rsidR="00F635E6" w:rsidRPr="001F28EC">
        <w:t xml:space="preserve"> or increase its IRRBB capital charge</w:t>
      </w:r>
      <w:r w:rsidR="00383609" w:rsidRPr="001F28EC">
        <w:t>.</w:t>
      </w:r>
      <w:bookmarkStart w:id="48" w:name="_Toc176749312"/>
      <w:bookmarkStart w:id="49" w:name="_Toc177286360"/>
      <w:bookmarkStart w:id="50" w:name="_Ref147220940"/>
    </w:p>
    <w:p w14:paraId="3138963F" w14:textId="23506629" w:rsidR="00433AA3" w:rsidRPr="001F28EC" w:rsidRDefault="00A22CB0" w:rsidP="0058759B">
      <w:pPr>
        <w:pStyle w:val="Heading1"/>
        <w:rPr>
          <w:i/>
        </w:rPr>
      </w:pPr>
      <w:bookmarkStart w:id="51" w:name="_Toc171007231"/>
      <w:r w:rsidRPr="001F28EC">
        <w:t>Partial use</w:t>
      </w:r>
      <w:r w:rsidR="00433AA3" w:rsidRPr="001F28EC">
        <w:t xml:space="preserve"> </w:t>
      </w:r>
      <w:bookmarkEnd w:id="48"/>
      <w:bookmarkEnd w:id="49"/>
      <w:r w:rsidRPr="001F28EC">
        <w:t xml:space="preserve">of </w:t>
      </w:r>
      <w:r w:rsidR="000E5FAC" w:rsidRPr="001F28EC">
        <w:t xml:space="preserve">internal </w:t>
      </w:r>
      <w:r w:rsidRPr="001F28EC">
        <w:t>model</w:t>
      </w:r>
      <w:bookmarkEnd w:id="51"/>
    </w:p>
    <w:p w14:paraId="62E8BB89" w14:textId="3E9D58FC" w:rsidR="00433AA3" w:rsidRPr="001F28EC" w:rsidRDefault="00433AA3" w:rsidP="002A38AD">
      <w:pPr>
        <w:pStyle w:val="BodyText1"/>
      </w:pPr>
      <w:bookmarkStart w:id="52" w:name="_Ref165087917"/>
      <w:r w:rsidRPr="001F28EC">
        <w:t>A</w:t>
      </w:r>
      <w:r w:rsidR="00191FC3" w:rsidRPr="001F28EC">
        <w:t>n</w:t>
      </w:r>
      <w:r w:rsidRPr="001F28EC">
        <w:t xml:space="preserve"> </w:t>
      </w:r>
      <w:r w:rsidR="006B1837" w:rsidRPr="001F28EC">
        <w:t xml:space="preserve">IRRBB model </w:t>
      </w:r>
      <w:r w:rsidRPr="001F28EC">
        <w:t>approval may permit</w:t>
      </w:r>
      <w:r w:rsidR="00191FC3" w:rsidRPr="001F28EC">
        <w:t xml:space="preserve"> </w:t>
      </w:r>
      <w:r w:rsidR="00191FC3" w:rsidRPr="001F28EC">
        <w:rPr>
          <w:rStyle w:val="inlinedefn"/>
          <w:rFonts w:eastAsia="Calibri"/>
        </w:rPr>
        <w:t>partial use</w:t>
      </w:r>
      <w:r w:rsidR="00191FC3" w:rsidRPr="001F28EC">
        <w:t>, which allows an</w:t>
      </w:r>
      <w:r w:rsidRPr="001F28EC">
        <w:t xml:space="preserve"> </w:t>
      </w:r>
      <w:smartTag w:uri="urn:schemas-microsoft-com:office:smarttags" w:element="stockticker">
        <w:r w:rsidRPr="001F28EC">
          <w:t>ADI</w:t>
        </w:r>
      </w:smartTag>
      <w:r w:rsidRPr="001F28EC">
        <w:t xml:space="preserve"> to use a combination of the </w:t>
      </w:r>
      <w:r w:rsidR="006F3DD8" w:rsidRPr="001F28EC">
        <w:t xml:space="preserve">approved IRRBB </w:t>
      </w:r>
      <w:r w:rsidRPr="001F28EC">
        <w:t>model and a</w:t>
      </w:r>
      <w:r w:rsidR="00260931" w:rsidRPr="001F28EC">
        <w:t>n</w:t>
      </w:r>
      <w:r w:rsidR="00114128" w:rsidRPr="001F28EC">
        <w:t xml:space="preserve"> alternative </w:t>
      </w:r>
      <w:r w:rsidRPr="001F28EC">
        <w:t xml:space="preserve">approach </w:t>
      </w:r>
      <w:r w:rsidR="00260931" w:rsidRPr="001F28EC">
        <w:t xml:space="preserve">approved by APRA </w:t>
      </w:r>
      <w:r w:rsidRPr="001F28EC">
        <w:t xml:space="preserve">for </w:t>
      </w:r>
      <w:r w:rsidR="006C1721" w:rsidRPr="001F28EC">
        <w:t xml:space="preserve">the </w:t>
      </w:r>
      <w:r w:rsidRPr="001F28EC">
        <w:t>purposes</w:t>
      </w:r>
      <w:r w:rsidR="00DC5FC7" w:rsidRPr="001F28EC">
        <w:t xml:space="preserve"> of calculating its </w:t>
      </w:r>
      <w:r w:rsidR="00797960" w:rsidRPr="001F28EC">
        <w:t xml:space="preserve">IRRBB </w:t>
      </w:r>
      <w:r w:rsidR="00DC5FC7" w:rsidRPr="001F28EC">
        <w:t>capital charge</w:t>
      </w:r>
      <w:r w:rsidRPr="001F28EC">
        <w:t xml:space="preserve">. </w:t>
      </w:r>
      <w:bookmarkEnd w:id="52"/>
    </w:p>
    <w:p w14:paraId="310CD7E1" w14:textId="47C39B83" w:rsidR="00E131FA" w:rsidRPr="001F28EC" w:rsidRDefault="00600C47" w:rsidP="002A38AD">
      <w:pPr>
        <w:pStyle w:val="BodyText1"/>
      </w:pPr>
      <w:r w:rsidRPr="001F28EC">
        <w:t xml:space="preserve">As part of an application for IRRBB model approval, an ADI must provide APRA with appropriate written information on the </w:t>
      </w:r>
      <w:r w:rsidR="006B1837" w:rsidRPr="001F28EC">
        <w:t xml:space="preserve">proposed scope of </w:t>
      </w:r>
      <w:r w:rsidRPr="001F28EC">
        <w:t xml:space="preserve">its approved IRRBB model. </w:t>
      </w:r>
      <w:r w:rsidR="00E131FA" w:rsidRPr="001F28EC">
        <w:t xml:space="preserve">An ADI </w:t>
      </w:r>
      <w:r w:rsidR="00796ABF" w:rsidRPr="001F28EC">
        <w:t xml:space="preserve">must not </w:t>
      </w:r>
      <w:r w:rsidR="00E131FA" w:rsidRPr="001F28EC">
        <w:t xml:space="preserve">change the scope of its approved IRRBB model </w:t>
      </w:r>
      <w:r w:rsidR="00796ABF" w:rsidRPr="001F28EC">
        <w:t xml:space="preserve">unless it has obtained </w:t>
      </w:r>
      <w:r w:rsidR="00E131FA" w:rsidRPr="001F28EC">
        <w:t xml:space="preserve">APRA’s </w:t>
      </w:r>
      <w:r w:rsidR="00CB68B4" w:rsidRPr="001F28EC">
        <w:t xml:space="preserve">prior </w:t>
      </w:r>
      <w:r w:rsidR="00E131FA" w:rsidRPr="001F28EC">
        <w:t xml:space="preserve">approval for the change. </w:t>
      </w:r>
    </w:p>
    <w:p w14:paraId="431D3E81" w14:textId="447F2D67" w:rsidR="00600C47" w:rsidRPr="001F28EC" w:rsidRDefault="00F22F9A" w:rsidP="002A38AD">
      <w:pPr>
        <w:pStyle w:val="BodyText1"/>
      </w:pPr>
      <w:r w:rsidRPr="001F28EC">
        <w:t>A</w:t>
      </w:r>
      <w:r w:rsidR="00600C47" w:rsidRPr="001F28EC">
        <w:t xml:space="preserve">n ADI </w:t>
      </w:r>
      <w:r w:rsidR="004C2486" w:rsidRPr="001F28EC">
        <w:t xml:space="preserve">with approval for partial use </w:t>
      </w:r>
      <w:r w:rsidR="00B34054" w:rsidRPr="001F28EC">
        <w:t xml:space="preserve">must notify APRA </w:t>
      </w:r>
      <w:r w:rsidR="00796ABF" w:rsidRPr="001F28EC">
        <w:t>prior to commencing</w:t>
      </w:r>
      <w:r w:rsidR="00B34054" w:rsidRPr="001F28EC">
        <w:t xml:space="preserve"> any new business activity that </w:t>
      </w:r>
      <w:r w:rsidR="006B1837" w:rsidRPr="001F28EC">
        <w:t>generates</w:t>
      </w:r>
      <w:r w:rsidR="00B34054" w:rsidRPr="001F28EC">
        <w:t xml:space="preserve"> IRRBB and which the ADI </w:t>
      </w:r>
      <w:r w:rsidR="00F635E6" w:rsidRPr="001F28EC">
        <w:t>did not</w:t>
      </w:r>
      <w:r w:rsidR="00B34054" w:rsidRPr="001F28EC">
        <w:t xml:space="preserve"> </w:t>
      </w:r>
      <w:r w:rsidR="006B1837" w:rsidRPr="001F28EC">
        <w:t xml:space="preserve">include in the </w:t>
      </w:r>
      <w:r w:rsidR="002D0A33" w:rsidRPr="001F28EC">
        <w:t xml:space="preserve">application for </w:t>
      </w:r>
      <w:r w:rsidR="00B34054" w:rsidRPr="001F28EC">
        <w:t xml:space="preserve">IRRBB model </w:t>
      </w:r>
      <w:r w:rsidR="002D0A33" w:rsidRPr="001F28EC">
        <w:t>approval</w:t>
      </w:r>
      <w:r w:rsidR="00B34054" w:rsidRPr="001F28EC">
        <w:t>.</w:t>
      </w:r>
    </w:p>
    <w:p w14:paraId="6F28AC27" w14:textId="7849F777" w:rsidR="00433AA3" w:rsidRPr="001F28EC" w:rsidRDefault="00433AA3" w:rsidP="002A38AD">
      <w:pPr>
        <w:pStyle w:val="BodyText1"/>
      </w:pPr>
      <w:r w:rsidRPr="001F28EC">
        <w:t>Approval for partial use will, at a minimum, require that:</w:t>
      </w:r>
    </w:p>
    <w:p w14:paraId="0661538D" w14:textId="25BB1F1D" w:rsidR="00433AA3" w:rsidRPr="001F28EC" w:rsidRDefault="0005550F" w:rsidP="002A38AD">
      <w:pPr>
        <w:pStyle w:val="BodyText2"/>
      </w:pPr>
      <w:r w:rsidRPr="001F28EC">
        <w:t xml:space="preserve">the ADI’s </w:t>
      </w:r>
      <w:r w:rsidR="00E75551" w:rsidRPr="001F28EC">
        <w:t>IRRBB</w:t>
      </w:r>
      <w:r w:rsidR="00433AA3" w:rsidRPr="001F28EC">
        <w:t xml:space="preserve"> </w:t>
      </w:r>
      <w:r w:rsidR="004A2D17" w:rsidRPr="001F28EC">
        <w:t>capital charge</w:t>
      </w:r>
      <w:r w:rsidR="004B3766" w:rsidRPr="001F28EC">
        <w:t xml:space="preserve"> captures all material sources of IRRBB</w:t>
      </w:r>
      <w:r w:rsidR="00433AA3" w:rsidRPr="001F28EC">
        <w:t xml:space="preserve">; </w:t>
      </w:r>
      <w:r w:rsidR="00127C9B" w:rsidRPr="001F28EC">
        <w:t>and</w:t>
      </w:r>
    </w:p>
    <w:p w14:paraId="446461AB" w14:textId="01669D27" w:rsidR="00433AA3" w:rsidRPr="001F28EC" w:rsidRDefault="004B4EC3" w:rsidP="002A38AD">
      <w:pPr>
        <w:pStyle w:val="BodyText2"/>
      </w:pPr>
      <w:r w:rsidRPr="001F28EC">
        <w:t xml:space="preserve">the </w:t>
      </w:r>
      <w:r w:rsidR="003B03B2" w:rsidRPr="001F28EC">
        <w:t xml:space="preserve">calculation of the IRRBB capital </w:t>
      </w:r>
      <w:r w:rsidR="004B3766" w:rsidRPr="001F28EC">
        <w:t>charge</w:t>
      </w:r>
      <w:r w:rsidR="003B03B2" w:rsidRPr="001F28EC">
        <w:t xml:space="preserve"> does not recognise </w:t>
      </w:r>
      <w:r w:rsidR="00433AA3" w:rsidRPr="001F28EC">
        <w:t xml:space="preserve">diversification benefits for any part </w:t>
      </w:r>
      <w:r w:rsidR="00433AA3" w:rsidRPr="001F28EC">
        <w:rPr>
          <w:rStyle w:val="BodyText2Char"/>
          <w:szCs w:val="24"/>
        </w:rPr>
        <w:t xml:space="preserve">of the ADI’s operations that the </w:t>
      </w:r>
      <w:r w:rsidR="00D0243B" w:rsidRPr="001F28EC">
        <w:rPr>
          <w:rStyle w:val="BodyText2Char"/>
          <w:szCs w:val="24"/>
        </w:rPr>
        <w:t xml:space="preserve">approved </w:t>
      </w:r>
      <w:r w:rsidR="00433AA3" w:rsidRPr="001F28EC">
        <w:rPr>
          <w:rStyle w:val="BodyText2Char"/>
          <w:szCs w:val="24"/>
        </w:rPr>
        <w:t xml:space="preserve">IRRBB </w:t>
      </w:r>
      <w:r w:rsidR="00D0243B" w:rsidRPr="001F28EC">
        <w:rPr>
          <w:rStyle w:val="BodyText2Char"/>
          <w:szCs w:val="24"/>
        </w:rPr>
        <w:t>model</w:t>
      </w:r>
      <w:r w:rsidR="004B3766" w:rsidRPr="001F28EC">
        <w:t xml:space="preserve"> excludes</w:t>
      </w:r>
      <w:r w:rsidR="00433AA3" w:rsidRPr="001F28EC">
        <w:t>.</w:t>
      </w:r>
    </w:p>
    <w:p w14:paraId="59332832" w14:textId="393CB1DB" w:rsidR="00433AA3" w:rsidRPr="001F28EC" w:rsidRDefault="00433AA3" w:rsidP="002A38AD">
      <w:pPr>
        <w:pStyle w:val="BodyText1"/>
      </w:pPr>
      <w:bookmarkStart w:id="53" w:name="_Ref147209097"/>
      <w:r w:rsidRPr="001F28EC">
        <w:t xml:space="preserve">APRA may approve partial use on a short-term basis. </w:t>
      </w:r>
      <w:bookmarkStart w:id="54" w:name="_Ref147209101"/>
      <w:bookmarkEnd w:id="53"/>
      <w:r w:rsidRPr="001F28EC">
        <w:t xml:space="preserve">An ADI that has received </w:t>
      </w:r>
      <w:r w:rsidR="00634CDD" w:rsidRPr="001F28EC">
        <w:t xml:space="preserve">such </w:t>
      </w:r>
      <w:r w:rsidRPr="001F28EC">
        <w:t>approval must have a written</w:t>
      </w:r>
      <w:r w:rsidR="00114128" w:rsidRPr="001F28EC">
        <w:t>,</w:t>
      </w:r>
      <w:r w:rsidRPr="001F28EC">
        <w:t xml:space="preserve"> APRA-approved implementation plan that specifies the extent and timing of </w:t>
      </w:r>
      <w:r w:rsidR="00F95D66" w:rsidRPr="001F28EC">
        <w:t xml:space="preserve">the extension </w:t>
      </w:r>
      <w:r w:rsidRPr="001F28EC">
        <w:t xml:space="preserve">of the </w:t>
      </w:r>
      <w:r w:rsidR="00F95D66" w:rsidRPr="001F28EC">
        <w:t xml:space="preserve">approved IRRBB </w:t>
      </w:r>
      <w:r w:rsidRPr="001F28EC">
        <w:t xml:space="preserve">model </w:t>
      </w:r>
      <w:r w:rsidR="00BD23CE" w:rsidRPr="001F28EC">
        <w:t xml:space="preserve">to cover </w:t>
      </w:r>
      <w:r w:rsidRPr="001F28EC">
        <w:t xml:space="preserve">all material business activities. </w:t>
      </w:r>
      <w:bookmarkEnd w:id="54"/>
    </w:p>
    <w:p w14:paraId="531DAAE5" w14:textId="0C076C22" w:rsidR="008B6DA0" w:rsidRPr="001F28EC" w:rsidRDefault="00191FC3" w:rsidP="002A38AD">
      <w:pPr>
        <w:pStyle w:val="BodyText1"/>
      </w:pPr>
      <w:bookmarkStart w:id="55" w:name="_Ref147209160"/>
      <w:r w:rsidRPr="001F28EC">
        <w:t xml:space="preserve">APRA will approve permanent partial use </w:t>
      </w:r>
      <w:r w:rsidR="00433AA3" w:rsidRPr="001F28EC">
        <w:t>only in exceptional circumstances</w:t>
      </w:r>
      <w:r w:rsidR="0005550F" w:rsidRPr="001F28EC">
        <w:t xml:space="preserve"> and where an ADI is able to demonstrate to APRA’s satisfaction that the business </w:t>
      </w:r>
      <w:r w:rsidR="0005550F" w:rsidRPr="001F28EC">
        <w:lastRenderedPageBreak/>
        <w:t>activities not covered by the approved IRRBB model are immaterial in aggregate in terms of size and perceived risk profile</w:t>
      </w:r>
      <w:r w:rsidR="00433AA3" w:rsidRPr="001F28EC">
        <w:t xml:space="preserve">. </w:t>
      </w:r>
      <w:r w:rsidR="00BD23CE" w:rsidRPr="001F28EC">
        <w:t>APRA may specify an amount to be added to the</w:t>
      </w:r>
      <w:r w:rsidR="00433AA3" w:rsidRPr="001F28EC">
        <w:t xml:space="preserve"> IRRBB </w:t>
      </w:r>
      <w:r w:rsidR="004A2D17" w:rsidRPr="001F28EC">
        <w:t>capital charge</w:t>
      </w:r>
      <w:r w:rsidR="00433AA3" w:rsidRPr="001F28EC">
        <w:t xml:space="preserve"> </w:t>
      </w:r>
      <w:r w:rsidR="00BD23CE" w:rsidRPr="001F28EC">
        <w:t xml:space="preserve">in respect of </w:t>
      </w:r>
      <w:r w:rsidR="00433AA3" w:rsidRPr="001F28EC">
        <w:t>business activities</w:t>
      </w:r>
      <w:r w:rsidR="00F25C51" w:rsidRPr="001F28EC">
        <w:t xml:space="preserve"> that are not covered</w:t>
      </w:r>
      <w:r w:rsidR="00433AA3" w:rsidRPr="001F28EC">
        <w:t>.</w:t>
      </w:r>
      <w:bookmarkEnd w:id="55"/>
    </w:p>
    <w:p w14:paraId="63A542D2" w14:textId="2B2EE275" w:rsidR="00120350" w:rsidRPr="001F28EC" w:rsidRDefault="00120350" w:rsidP="00FD0872">
      <w:pPr>
        <w:pStyle w:val="Attachmentheading1"/>
      </w:pPr>
      <w:bookmarkStart w:id="56" w:name="_Hlk80948019"/>
      <w:bookmarkEnd w:id="50"/>
      <w:r w:rsidRPr="001F28EC">
        <w:t>IRRBB management framework</w:t>
      </w:r>
    </w:p>
    <w:bookmarkEnd w:id="56"/>
    <w:p w14:paraId="4D606C31" w14:textId="492CFB73" w:rsidR="008C7CA2" w:rsidRPr="001F28EC" w:rsidRDefault="001B274B" w:rsidP="001E41CA">
      <w:pPr>
        <w:pStyle w:val="BodyText1"/>
      </w:pPr>
      <w:r w:rsidRPr="001F28EC">
        <w:t xml:space="preserve">As part of its risk management framework required under CPS 220, an </w:t>
      </w:r>
      <w:r w:rsidR="00C20A3F" w:rsidRPr="001F28EC">
        <w:t>ADI must develop and maintain</w:t>
      </w:r>
      <w:r w:rsidR="00CB6DAA" w:rsidRPr="001F28EC">
        <w:t>:</w:t>
      </w:r>
      <w:r w:rsidR="008C7CA2" w:rsidRPr="001F28EC">
        <w:t xml:space="preserve"> </w:t>
      </w:r>
    </w:p>
    <w:p w14:paraId="07236D0B" w14:textId="4B7643D1" w:rsidR="008C7CA2" w:rsidRPr="001F28EC" w:rsidRDefault="00A76017" w:rsidP="00275525">
      <w:pPr>
        <w:pStyle w:val="BodyText2"/>
      </w:pPr>
      <w:r w:rsidRPr="001F28EC">
        <w:t>a</w:t>
      </w:r>
      <w:r w:rsidR="008C7CA2" w:rsidRPr="001F28EC">
        <w:t xml:space="preserve">n </w:t>
      </w:r>
      <w:r w:rsidRPr="001F28EC">
        <w:t xml:space="preserve">assessment of the </w:t>
      </w:r>
      <w:r w:rsidR="008C7CA2" w:rsidRPr="001F28EC">
        <w:t xml:space="preserve">ADI’s IRRBB </w:t>
      </w:r>
      <w:r w:rsidRPr="001F28EC">
        <w:t xml:space="preserve">profile </w:t>
      </w:r>
      <w:r w:rsidR="00C846F0" w:rsidRPr="001F28EC">
        <w:t xml:space="preserve">with a defined risk appetite statement </w:t>
      </w:r>
      <w:r w:rsidR="008C7CA2" w:rsidRPr="001F28EC">
        <w:t>articulated in ter</w:t>
      </w:r>
      <w:r w:rsidR="008C68E8" w:rsidRPr="001F28EC">
        <w:t>m</w:t>
      </w:r>
      <w:r w:rsidR="008C7CA2" w:rsidRPr="001F28EC">
        <w:t>s of the risk to both economic value and earnings and must specify limits on both those risks</w:t>
      </w:r>
      <w:r w:rsidR="00C846F0" w:rsidRPr="001F28EC">
        <w:rPr>
          <w:rStyle w:val="FootnoteReference"/>
        </w:rPr>
        <w:footnoteReference w:id="2"/>
      </w:r>
      <w:r w:rsidR="00C846F0" w:rsidRPr="001F28EC">
        <w:t>;</w:t>
      </w:r>
      <w:r w:rsidR="008C7CA2" w:rsidRPr="001F28EC">
        <w:t xml:space="preserve"> </w:t>
      </w:r>
    </w:p>
    <w:p w14:paraId="751AFF48" w14:textId="0C98D224" w:rsidR="008C7CA2" w:rsidRPr="001F28EC" w:rsidRDefault="00221061" w:rsidP="003F42A0">
      <w:pPr>
        <w:pStyle w:val="BodyText2"/>
      </w:pPr>
      <w:r w:rsidRPr="001F28EC">
        <w:t>clearly articulate</w:t>
      </w:r>
      <w:r w:rsidR="003F42A0" w:rsidRPr="001F28EC">
        <w:t>d</w:t>
      </w:r>
      <w:r w:rsidRPr="001F28EC">
        <w:t xml:space="preserve"> responsibilities of, and reporting relationships to, the Board and </w:t>
      </w:r>
      <w:r w:rsidR="005C7253" w:rsidRPr="001F28EC">
        <w:t xml:space="preserve">where applicable, the </w:t>
      </w:r>
      <w:r w:rsidRPr="001F28EC">
        <w:t>Board committee</w:t>
      </w:r>
      <w:r w:rsidR="0069146D" w:rsidRPr="001F28EC">
        <w:t>; and</w:t>
      </w:r>
      <w:r w:rsidRPr="001F28EC">
        <w:t xml:space="preserve"> </w:t>
      </w:r>
    </w:p>
    <w:p w14:paraId="03AC414E" w14:textId="5DC25BF5" w:rsidR="0069146D" w:rsidRPr="001F28EC" w:rsidRDefault="00FE521F" w:rsidP="00275525">
      <w:pPr>
        <w:pStyle w:val="BodyText2"/>
      </w:pPr>
      <w:r w:rsidRPr="001F28EC">
        <w:t>a</w:t>
      </w:r>
      <w:r w:rsidR="0069146D" w:rsidRPr="001F28EC">
        <w:t xml:space="preserve">ccountabilities for monitoring an ADI’s exposures against limits, approving variation on limits, and responding to </w:t>
      </w:r>
      <w:proofErr w:type="spellStart"/>
      <w:r w:rsidR="0069146D" w:rsidRPr="001F28EC">
        <w:t>and</w:t>
      </w:r>
      <w:proofErr w:type="spellEnd"/>
      <w:r w:rsidR="0069146D" w:rsidRPr="001F28EC">
        <w:t xml:space="preserve"> escalating any breaches of IRRBB limits to the Board and/or senior management as appropriate.</w:t>
      </w:r>
    </w:p>
    <w:p w14:paraId="798DCCE3" w14:textId="4044AA5E" w:rsidR="008C7CA2" w:rsidRPr="001F28EC" w:rsidRDefault="008C7CA2" w:rsidP="002A38AD">
      <w:pPr>
        <w:pStyle w:val="BodyText1"/>
      </w:pPr>
      <w:bookmarkStart w:id="57" w:name="_Hlk80948057"/>
      <w:r w:rsidRPr="001F28EC">
        <w:t>An ADI must notify APRA prior to making any material change to its IRRBB management framework.</w:t>
      </w:r>
    </w:p>
    <w:p w14:paraId="7D15E3D7" w14:textId="4924BD6E" w:rsidR="00433AA3" w:rsidRPr="001F28EC" w:rsidRDefault="00433AA3" w:rsidP="00C37A1F">
      <w:pPr>
        <w:pStyle w:val="Attachmentheading1"/>
        <w:rPr>
          <w:i/>
        </w:rPr>
      </w:pPr>
      <w:bookmarkStart w:id="58" w:name="_Toc176749315"/>
      <w:bookmarkStart w:id="59" w:name="_Toc177286365"/>
      <w:bookmarkStart w:id="60" w:name="_Hlk80948071"/>
      <w:bookmarkStart w:id="61" w:name="_Ref118871697"/>
      <w:bookmarkEnd w:id="57"/>
      <w:r w:rsidRPr="001F28EC">
        <w:t xml:space="preserve">Responsibilities of the </w:t>
      </w:r>
      <w:r w:rsidR="00421256" w:rsidRPr="001F28EC">
        <w:t xml:space="preserve">Board </w:t>
      </w:r>
      <w:r w:rsidRPr="001F28EC">
        <w:t>of directors</w:t>
      </w:r>
      <w:bookmarkEnd w:id="58"/>
      <w:bookmarkEnd w:id="59"/>
    </w:p>
    <w:p w14:paraId="02EB12D0" w14:textId="4042AE6D" w:rsidR="00A234EE" w:rsidRPr="001F28EC" w:rsidRDefault="00433AA3" w:rsidP="002A38AD">
      <w:pPr>
        <w:pStyle w:val="BodyText1"/>
      </w:pPr>
      <w:bookmarkStart w:id="62" w:name="_Hlk80948096"/>
      <w:bookmarkEnd w:id="60"/>
      <w:r w:rsidRPr="001F28EC">
        <w:t xml:space="preserve">An </w:t>
      </w:r>
      <w:smartTag w:uri="urn:schemas-microsoft-com:office:smarttags" w:element="stockticker">
        <w:r w:rsidRPr="001F28EC">
          <w:t>ADI</w:t>
        </w:r>
      </w:smartTag>
      <w:r w:rsidRPr="001F28EC">
        <w:t xml:space="preserve">’s Board, or Board committee, must </w:t>
      </w:r>
      <w:r w:rsidR="00ED52EB" w:rsidRPr="001F28EC">
        <w:t xml:space="preserve">regularly (at least semi-annually) </w:t>
      </w:r>
      <w:r w:rsidRPr="001F28EC">
        <w:t xml:space="preserve">review IRRBB management reports (refer to paragraphs </w:t>
      </w:r>
      <w:r w:rsidR="00A606CD" w:rsidRPr="001F28EC">
        <w:t>50</w:t>
      </w:r>
      <w:r w:rsidRPr="001F28EC">
        <w:t xml:space="preserve"> to </w:t>
      </w:r>
      <w:r w:rsidR="00A606CD" w:rsidRPr="001F28EC">
        <w:t>53</w:t>
      </w:r>
      <w:r w:rsidRPr="001F28EC">
        <w:t xml:space="preserve"> of this </w:t>
      </w:r>
      <w:r w:rsidR="0059767E" w:rsidRPr="001F28EC">
        <w:t>Prudential Standard</w:t>
      </w:r>
      <w:r w:rsidRPr="001F28EC">
        <w:t xml:space="preserve">) and satisfy itself that </w:t>
      </w:r>
      <w:r w:rsidR="00046441" w:rsidRPr="001F28EC">
        <w:t>IRRBB</w:t>
      </w:r>
      <w:r w:rsidRPr="001F28EC">
        <w:t xml:space="preserve"> is appropriately </w:t>
      </w:r>
      <w:r w:rsidR="00B03805" w:rsidRPr="001F28EC">
        <w:t>managed.</w:t>
      </w:r>
    </w:p>
    <w:p w14:paraId="055B2992" w14:textId="16C17B91" w:rsidR="00EB4337" w:rsidRPr="001F28EC" w:rsidRDefault="00EB4337" w:rsidP="00C37A1F">
      <w:pPr>
        <w:pStyle w:val="Attachmentheading1"/>
        <w:rPr>
          <w:i/>
        </w:rPr>
      </w:pPr>
      <w:bookmarkStart w:id="63" w:name="_Ref122239611"/>
      <w:bookmarkStart w:id="64" w:name="_Ref136152791"/>
      <w:bookmarkStart w:id="65" w:name="_Hlk80948333"/>
      <w:bookmarkEnd w:id="62"/>
      <w:r w:rsidRPr="001F28EC">
        <w:t>Responsibilities of senior management</w:t>
      </w:r>
    </w:p>
    <w:p w14:paraId="59464623" w14:textId="3467694C" w:rsidR="00D02329" w:rsidRPr="001F28EC" w:rsidRDefault="00433AA3" w:rsidP="002A38AD">
      <w:pPr>
        <w:pStyle w:val="BodyText1"/>
      </w:pPr>
      <w:r w:rsidRPr="001F28EC">
        <w:t xml:space="preserve">Senior management </w:t>
      </w:r>
      <w:r w:rsidR="0069146D" w:rsidRPr="001F28EC">
        <w:t xml:space="preserve">responsible for </w:t>
      </w:r>
      <w:r w:rsidR="00D02329" w:rsidRPr="001F28EC">
        <w:t xml:space="preserve">the </w:t>
      </w:r>
      <w:r w:rsidRPr="001F28EC">
        <w:t xml:space="preserve">implementation </w:t>
      </w:r>
      <w:r w:rsidR="00D02329" w:rsidRPr="001F28EC">
        <w:t>of the ADI’s IRRBB management framework</w:t>
      </w:r>
      <w:r w:rsidR="00437DF0" w:rsidRPr="001F28EC">
        <w:t xml:space="preserve"> must be actively involved </w:t>
      </w:r>
      <w:r w:rsidRPr="001F28EC">
        <w:t xml:space="preserve">and ensure its effective operation. </w:t>
      </w:r>
    </w:p>
    <w:p w14:paraId="4AE06534" w14:textId="7E3F4F43" w:rsidR="006170D2" w:rsidRPr="001F28EC" w:rsidRDefault="00560237" w:rsidP="006170D2">
      <w:pPr>
        <w:pStyle w:val="BodyText1"/>
      </w:pPr>
      <w:bookmarkStart w:id="66" w:name="_Ref10560498"/>
      <w:r w:rsidRPr="001F28EC">
        <w:t xml:space="preserve">Where </w:t>
      </w:r>
      <w:r w:rsidR="006170D2" w:rsidRPr="001F28EC">
        <w:t xml:space="preserve">an ADI assumes a maturity profile for shareholders’ equity, </w:t>
      </w:r>
      <w:r w:rsidR="002F0A78" w:rsidRPr="001F28EC">
        <w:t xml:space="preserve">its </w:t>
      </w:r>
      <w:r w:rsidR="0017270D" w:rsidRPr="001F28EC">
        <w:t xml:space="preserve">senior management </w:t>
      </w:r>
      <w:r w:rsidR="003E6745" w:rsidRPr="001F28EC">
        <w:t xml:space="preserve">must </w:t>
      </w:r>
      <w:r w:rsidR="0017270D" w:rsidRPr="001F28EC">
        <w:t xml:space="preserve">set and approve a </w:t>
      </w:r>
      <w:r w:rsidR="006170D2" w:rsidRPr="001F28EC">
        <w:t xml:space="preserve">strategy </w:t>
      </w:r>
      <w:r w:rsidR="0017270D" w:rsidRPr="001F28EC">
        <w:t>consistent with the IRRBB risk appetite set by the Board, including the scope of any delegated powers to materially vary from that maturity profile.</w:t>
      </w:r>
    </w:p>
    <w:p w14:paraId="34EF1FB0" w14:textId="5DD0C88E" w:rsidR="009375B6" w:rsidRPr="001F28EC" w:rsidRDefault="009375B6" w:rsidP="009375B6">
      <w:pPr>
        <w:pStyle w:val="BodyText1"/>
      </w:pPr>
      <w:r w:rsidRPr="001F28EC">
        <w:t>Significant hedging, risk-taking or risk management initiatives in relation to IRRBB</w:t>
      </w:r>
      <w:r w:rsidR="00832FDF" w:rsidRPr="001F28EC">
        <w:t xml:space="preserve"> </w:t>
      </w:r>
      <w:r w:rsidRPr="001F28EC">
        <w:t xml:space="preserve">must be approved by senior management prior to implementation. </w:t>
      </w:r>
      <w:r w:rsidR="00832FDF" w:rsidRPr="001F28EC">
        <w:t>Senior management must ensure that they receive and monitor reports on the actual variation of exposures.</w:t>
      </w:r>
    </w:p>
    <w:p w14:paraId="338E4E01" w14:textId="2D8F9068" w:rsidR="00873AC7" w:rsidRPr="001F28EC" w:rsidRDefault="00873AC7" w:rsidP="00873AC7">
      <w:pPr>
        <w:pStyle w:val="BodyText1"/>
      </w:pPr>
      <w:r w:rsidRPr="001F28EC">
        <w:lastRenderedPageBreak/>
        <w:t xml:space="preserve">Senior management in conjunction with the IRRBB risk management function referred to in paragraph </w:t>
      </w:r>
      <w:r w:rsidR="00DB26AD" w:rsidRPr="001F28EC">
        <w:t>43</w:t>
      </w:r>
      <w:r w:rsidRPr="001F28EC">
        <w:t xml:space="preserve"> of this </w:t>
      </w:r>
      <w:r w:rsidR="00D926A9" w:rsidRPr="001F28EC">
        <w:t>Prudential Standard</w:t>
      </w:r>
      <w:r w:rsidRPr="001F28EC">
        <w:t xml:space="preserve">, </w:t>
      </w:r>
      <w:r w:rsidR="007A7AE0" w:rsidRPr="001F28EC">
        <w:t xml:space="preserve">must </w:t>
      </w:r>
      <w:r w:rsidRPr="001F28EC">
        <w:t xml:space="preserve">develop and implement appropriate policies relating to the IRRBB management framework. </w:t>
      </w:r>
    </w:p>
    <w:p w14:paraId="4B97F14A" w14:textId="0EE6D6DA" w:rsidR="007A7AE0" w:rsidRPr="001F28EC" w:rsidRDefault="007A7AE0" w:rsidP="00873AC7">
      <w:pPr>
        <w:pStyle w:val="BodyText1"/>
      </w:pPr>
      <w:r w:rsidRPr="001F28EC">
        <w:t>Senior management must ensure that reporting to the Board or Board Committee enables the Board or Board committee to satisfy itself that IRRBB is appropriately managed. The reporting will at a minimum, include:</w:t>
      </w:r>
    </w:p>
    <w:p w14:paraId="669CDFD8" w14:textId="07D645D4" w:rsidR="0049284C" w:rsidRPr="001F28EC" w:rsidRDefault="000D6257" w:rsidP="0049284C">
      <w:pPr>
        <w:pStyle w:val="BodyText2"/>
      </w:pPr>
      <w:r w:rsidRPr="001F28EC">
        <w:t>b</w:t>
      </w:r>
      <w:r w:rsidR="0049284C" w:rsidRPr="001F28EC">
        <w:t>a</w:t>
      </w:r>
      <w:r w:rsidR="00A501EA" w:rsidRPr="001F28EC">
        <w:t xml:space="preserve">lance sheet management strategy (including maturity profile for shareholders’ equity) with appropriate risk metrics that measure this </w:t>
      </w:r>
      <w:proofErr w:type="gramStart"/>
      <w:r w:rsidR="00A501EA" w:rsidRPr="001F28EC">
        <w:t>strategy;</w:t>
      </w:r>
      <w:proofErr w:type="gramEnd"/>
    </w:p>
    <w:p w14:paraId="6CBB87C1" w14:textId="42419CAC" w:rsidR="00A501EA" w:rsidRPr="001F28EC" w:rsidRDefault="00A124D0" w:rsidP="0049284C">
      <w:pPr>
        <w:pStyle w:val="BodyText2"/>
      </w:pPr>
      <w:r w:rsidRPr="001F28EC">
        <w:t>m</w:t>
      </w:r>
      <w:r w:rsidR="00A501EA" w:rsidRPr="001F28EC">
        <w:t>aterial changes to the ADI’s banking book profile or exceptions from established policies that could have an impact on the operation of the risk management framework for IRRBB, including the IRRBB capital charge; and</w:t>
      </w:r>
    </w:p>
    <w:p w14:paraId="454D33BD" w14:textId="0F376AD1" w:rsidR="00A501EA" w:rsidRPr="001F28EC" w:rsidRDefault="00A124D0" w:rsidP="006A0DF9">
      <w:pPr>
        <w:pStyle w:val="BodyText2"/>
      </w:pPr>
      <w:r w:rsidRPr="001F28EC">
        <w:t>s</w:t>
      </w:r>
      <w:r w:rsidR="00A501EA" w:rsidRPr="001F28EC">
        <w:t>ignificant assumptions of the measurement system and how those assumptions affect any significant IRRBB hedging strategies the ADI undertakes.</w:t>
      </w:r>
    </w:p>
    <w:p w14:paraId="2E77F553" w14:textId="5C098EF8" w:rsidR="00433AA3" w:rsidRPr="001F28EC" w:rsidRDefault="00D02329" w:rsidP="002A38AD">
      <w:pPr>
        <w:pStyle w:val="BodyText1"/>
      </w:pPr>
      <w:bookmarkStart w:id="67" w:name="_Ref147854821"/>
      <w:r w:rsidRPr="001F28EC">
        <w:t>A</w:t>
      </w:r>
      <w:r w:rsidR="00046441" w:rsidRPr="001F28EC">
        <w:t>n</w:t>
      </w:r>
      <w:r w:rsidR="00433AA3" w:rsidRPr="001F28EC">
        <w:t xml:space="preserve"> </w:t>
      </w:r>
      <w:smartTag w:uri="urn:schemas-microsoft-com:office:smarttags" w:element="stockticker">
        <w:r w:rsidR="00433AA3" w:rsidRPr="001F28EC">
          <w:t>ADI</w:t>
        </w:r>
      </w:smartTag>
      <w:r w:rsidR="00433AA3" w:rsidRPr="001F28EC">
        <w:t xml:space="preserve"> must have in place an executive committee, with appropriate representation from across the </w:t>
      </w:r>
      <w:smartTag w:uri="urn:schemas-microsoft-com:office:smarttags" w:element="stockticker">
        <w:r w:rsidR="00433AA3" w:rsidRPr="001F28EC">
          <w:t>ADI</w:t>
        </w:r>
      </w:smartTag>
      <w:r w:rsidR="00433AA3" w:rsidRPr="001F28EC">
        <w:t xml:space="preserve">, which </w:t>
      </w:r>
      <w:r w:rsidR="00A501EA" w:rsidRPr="001F28EC">
        <w:t xml:space="preserve">focuses on </w:t>
      </w:r>
      <w:r w:rsidR="00433AA3" w:rsidRPr="001F28EC">
        <w:t>the management and measurement of IRRBB. The executive committee must hold regular meetings to discuss matters including the performance of the framework, areas requiring improvement and the status of efforts to address previously identified deficiencies.</w:t>
      </w:r>
      <w:bookmarkEnd w:id="63"/>
      <w:bookmarkEnd w:id="64"/>
      <w:bookmarkEnd w:id="66"/>
      <w:bookmarkEnd w:id="67"/>
    </w:p>
    <w:p w14:paraId="0F73DDB9" w14:textId="46ED9C0D" w:rsidR="00433AA3" w:rsidRPr="001F28EC" w:rsidRDefault="00954154" w:rsidP="00C37A1F">
      <w:pPr>
        <w:pStyle w:val="Attachmentheading1"/>
        <w:rPr>
          <w:i/>
        </w:rPr>
      </w:pPr>
      <w:bookmarkStart w:id="68" w:name="_Toc176749317"/>
      <w:bookmarkStart w:id="69" w:name="_Toc177286367"/>
      <w:bookmarkEnd w:id="65"/>
      <w:r w:rsidRPr="001F28EC">
        <w:t>IRRBB</w:t>
      </w:r>
      <w:r w:rsidR="00433AA3" w:rsidRPr="001F28EC">
        <w:t xml:space="preserve"> </w:t>
      </w:r>
      <w:r w:rsidR="002C2BDE" w:rsidRPr="001F28EC">
        <w:t xml:space="preserve">risk </w:t>
      </w:r>
      <w:r w:rsidR="00433AA3" w:rsidRPr="001F28EC">
        <w:t xml:space="preserve">management </w:t>
      </w:r>
      <w:bookmarkEnd w:id="68"/>
      <w:bookmarkEnd w:id="69"/>
    </w:p>
    <w:p w14:paraId="6B0DC20B" w14:textId="254A8482" w:rsidR="00433AA3" w:rsidRPr="001F28EC" w:rsidRDefault="004949F2" w:rsidP="002A38AD">
      <w:pPr>
        <w:pStyle w:val="BodyText1"/>
      </w:pPr>
      <w:bookmarkStart w:id="70" w:name="_Ref179260922"/>
      <w:bookmarkStart w:id="71" w:name="_Ref122239544"/>
      <w:r w:rsidRPr="001F28EC">
        <w:t xml:space="preserve">In meeting its risk management requirements under CPS 220 for IRRBB, </w:t>
      </w:r>
      <w:r w:rsidR="006B754C" w:rsidRPr="001F28EC">
        <w:t>a</w:t>
      </w:r>
      <w:r w:rsidR="00433AA3" w:rsidRPr="001F28EC">
        <w:t xml:space="preserve">n </w:t>
      </w:r>
      <w:smartTag w:uri="urn:schemas-microsoft-com:office:smarttags" w:element="stockticker">
        <w:r w:rsidR="00433AA3" w:rsidRPr="001F28EC">
          <w:t>ADI</w:t>
        </w:r>
      </w:smartTag>
      <w:r w:rsidR="00433AA3" w:rsidRPr="001F28EC">
        <w:t xml:space="preserve"> must:</w:t>
      </w:r>
      <w:bookmarkEnd w:id="70"/>
    </w:p>
    <w:p w14:paraId="09DA16E9" w14:textId="3AFF4FF7" w:rsidR="00433AA3" w:rsidRPr="001F28EC" w:rsidRDefault="00E14B80" w:rsidP="002A38AD">
      <w:pPr>
        <w:pStyle w:val="BodyText2"/>
      </w:pPr>
      <w:r w:rsidRPr="001F28EC">
        <w:t>h</w:t>
      </w:r>
      <w:r w:rsidR="004A48CF" w:rsidRPr="001F28EC">
        <w:t xml:space="preserve">ave reporting lines and responsibilities that are independent of the activities that contribute to the ADI’s IRRBB profile and must provide access for the risk management function to the </w:t>
      </w:r>
      <w:r w:rsidR="005C2AFA" w:rsidRPr="001F28EC">
        <w:t>e</w:t>
      </w:r>
      <w:r w:rsidR="004A48CF" w:rsidRPr="001F28EC">
        <w:t xml:space="preserve">xecutive </w:t>
      </w:r>
      <w:r w:rsidR="005C2AFA" w:rsidRPr="001F28EC">
        <w:t>c</w:t>
      </w:r>
      <w:r w:rsidR="004A48CF" w:rsidRPr="001F28EC">
        <w:t xml:space="preserve">ommittee referred to in paragraph </w:t>
      </w:r>
      <w:r w:rsidR="00DB26AD" w:rsidRPr="001F28EC">
        <w:t>42</w:t>
      </w:r>
      <w:r w:rsidR="006A04C6" w:rsidRPr="001F28EC">
        <w:t xml:space="preserve"> </w:t>
      </w:r>
      <w:r w:rsidR="004A48CF" w:rsidRPr="001F28EC">
        <w:t xml:space="preserve">of this </w:t>
      </w:r>
      <w:r w:rsidR="007D7077" w:rsidRPr="001F28EC">
        <w:t xml:space="preserve">Prudential </w:t>
      </w:r>
      <w:proofErr w:type="gramStart"/>
      <w:r w:rsidR="007D7077" w:rsidRPr="001F28EC">
        <w:t>Standard</w:t>
      </w:r>
      <w:r w:rsidR="004A48CF" w:rsidRPr="001F28EC">
        <w:t>;</w:t>
      </w:r>
      <w:proofErr w:type="gramEnd"/>
    </w:p>
    <w:p w14:paraId="0EADA650" w14:textId="0384D0B0" w:rsidR="00433AA3" w:rsidRPr="001F28EC" w:rsidRDefault="00E14B80" w:rsidP="002A38AD">
      <w:pPr>
        <w:pStyle w:val="BodyText2"/>
      </w:pPr>
      <w:r w:rsidRPr="001F28EC">
        <w:t xml:space="preserve">ensure that roles and responsibilities of personnel and functions involved in the management of IRRBB are clearly defined and </w:t>
      </w:r>
      <w:proofErr w:type="gramStart"/>
      <w:r w:rsidRPr="001F28EC">
        <w:t>documented;</w:t>
      </w:r>
      <w:proofErr w:type="gramEnd"/>
      <w:r w:rsidR="00433AA3" w:rsidRPr="001F28EC">
        <w:t xml:space="preserve"> </w:t>
      </w:r>
    </w:p>
    <w:p w14:paraId="36D21159" w14:textId="08263462" w:rsidR="00433AA3" w:rsidRPr="001F28EC" w:rsidRDefault="00433AA3" w:rsidP="002A38AD">
      <w:pPr>
        <w:pStyle w:val="BodyText2"/>
      </w:pPr>
      <w:bookmarkStart w:id="72" w:name="_Ref122239557"/>
      <w:r w:rsidRPr="001F28EC">
        <w:t xml:space="preserve">have responsibility for the design and maintenance of an </w:t>
      </w:r>
      <w:smartTag w:uri="urn:schemas-microsoft-com:office:smarttags" w:element="stockticker">
        <w:r w:rsidRPr="001F28EC">
          <w:t>ADI</w:t>
        </w:r>
      </w:smartTag>
      <w:r w:rsidRPr="001F28EC">
        <w:t xml:space="preserve">’s </w:t>
      </w:r>
      <w:r w:rsidR="00656237" w:rsidRPr="001F28EC">
        <w:t xml:space="preserve">risk </w:t>
      </w:r>
      <w:r w:rsidRPr="001F28EC">
        <w:t>management framework</w:t>
      </w:r>
      <w:r w:rsidR="00656237" w:rsidRPr="001F28EC">
        <w:t xml:space="preserve"> for </w:t>
      </w:r>
      <w:proofErr w:type="gramStart"/>
      <w:r w:rsidR="00656237" w:rsidRPr="001F28EC">
        <w:t>IRRBB</w:t>
      </w:r>
      <w:r w:rsidR="00CA0B7A" w:rsidRPr="001F28EC">
        <w:t>;</w:t>
      </w:r>
      <w:proofErr w:type="gramEnd"/>
      <w:r w:rsidRPr="001F28EC">
        <w:t xml:space="preserve"> </w:t>
      </w:r>
      <w:bookmarkEnd w:id="72"/>
    </w:p>
    <w:p w14:paraId="33F04558" w14:textId="6A7F42CA" w:rsidR="00433AA3" w:rsidRPr="001F28EC" w:rsidRDefault="00433AA3" w:rsidP="002A38AD">
      <w:pPr>
        <w:pStyle w:val="BodyText2"/>
      </w:pPr>
      <w:r w:rsidRPr="001F28EC">
        <w:t xml:space="preserve">continuously monitor the ADI’s compliance with the </w:t>
      </w:r>
      <w:r w:rsidR="00656237" w:rsidRPr="001F28EC">
        <w:t xml:space="preserve">risk </w:t>
      </w:r>
      <w:r w:rsidR="00CB7BBB" w:rsidRPr="001F28EC">
        <w:t xml:space="preserve">management </w:t>
      </w:r>
      <w:r w:rsidRPr="001F28EC">
        <w:t>framework</w:t>
      </w:r>
      <w:r w:rsidR="00656237" w:rsidRPr="001F28EC">
        <w:t xml:space="preserve"> for IRRBB</w:t>
      </w:r>
      <w:r w:rsidR="00344383" w:rsidRPr="001F28EC">
        <w:t>,</w:t>
      </w:r>
      <w:r w:rsidRPr="001F28EC">
        <w:t xml:space="preserve"> and produce and analyse regular reports on the output of </w:t>
      </w:r>
      <w:r w:rsidR="002D1390" w:rsidRPr="001F28EC">
        <w:t>the IRRBB measurement system, including any approved IRRBB model</w:t>
      </w:r>
      <w:r w:rsidR="00A70F18" w:rsidRPr="001F28EC">
        <w:t>; and</w:t>
      </w:r>
    </w:p>
    <w:p w14:paraId="6AA26A8D" w14:textId="1BE34102" w:rsidR="00A70F18" w:rsidRPr="001F28EC" w:rsidRDefault="00A70F18" w:rsidP="002A38AD">
      <w:pPr>
        <w:pStyle w:val="BodyText2"/>
        <w:numPr>
          <w:ilvl w:val="1"/>
          <w:numId w:val="8"/>
        </w:numPr>
      </w:pPr>
      <w:r w:rsidRPr="001F28EC">
        <w:lastRenderedPageBreak/>
        <w:t xml:space="preserve">provide challenge of the balance sheet management strategy (including </w:t>
      </w:r>
      <w:r w:rsidR="00B61E27" w:rsidRPr="001F28EC">
        <w:t xml:space="preserve">the </w:t>
      </w:r>
      <w:r w:rsidR="0016386F" w:rsidRPr="001F28EC">
        <w:t>maturity profile for shareholders’ equity</w:t>
      </w:r>
      <w:r w:rsidR="00615EE7" w:rsidRPr="001F28EC">
        <w:t xml:space="preserve"> and balance sheet risk-taking</w:t>
      </w:r>
      <w:r w:rsidRPr="001F28EC">
        <w:t>).</w:t>
      </w:r>
    </w:p>
    <w:p w14:paraId="0CBB23BF" w14:textId="45BAFC68" w:rsidR="00312F08" w:rsidRPr="001F28EC" w:rsidRDefault="00312F08" w:rsidP="009500EF">
      <w:pPr>
        <w:pStyle w:val="Attachmentheading1"/>
        <w:rPr>
          <w:i/>
        </w:rPr>
      </w:pPr>
      <w:bookmarkStart w:id="73" w:name="_Hlk80948525"/>
      <w:bookmarkEnd w:id="71"/>
      <w:r w:rsidRPr="001F28EC">
        <w:t xml:space="preserve">New </w:t>
      </w:r>
      <w:r w:rsidR="0048212F" w:rsidRPr="001F28EC">
        <w:t>p</w:t>
      </w:r>
      <w:r w:rsidRPr="001F28EC">
        <w:t xml:space="preserve">roducts </w:t>
      </w:r>
    </w:p>
    <w:p w14:paraId="025703DF" w14:textId="12558854" w:rsidR="00312F08" w:rsidRPr="001F28EC" w:rsidRDefault="00BF1746" w:rsidP="002A38AD">
      <w:pPr>
        <w:pStyle w:val="BodyText1"/>
      </w:pPr>
      <w:r w:rsidRPr="001F28EC">
        <w:t>P</w:t>
      </w:r>
      <w:r w:rsidR="00312F08" w:rsidRPr="001F28EC">
        <w:t xml:space="preserve">rior to </w:t>
      </w:r>
      <w:r w:rsidRPr="001F28EC">
        <w:t xml:space="preserve">introducing a new product, instrument type or activity, an ADI must assess </w:t>
      </w:r>
      <w:r w:rsidR="00344383" w:rsidRPr="001F28EC">
        <w:t xml:space="preserve">and understand </w:t>
      </w:r>
      <w:r w:rsidR="00312F08" w:rsidRPr="001F28EC">
        <w:t xml:space="preserve">the IRRBB characteristics </w:t>
      </w:r>
      <w:r w:rsidRPr="001F28EC">
        <w:t xml:space="preserve">and </w:t>
      </w:r>
      <w:r w:rsidR="006E34AB" w:rsidRPr="001F28EC">
        <w:t xml:space="preserve">have </w:t>
      </w:r>
      <w:r w:rsidR="00312F08" w:rsidRPr="001F28EC">
        <w:t>adequate operational procedures and risk control systems in place</w:t>
      </w:r>
      <w:r w:rsidR="00E52924" w:rsidRPr="001F28EC">
        <w:t>.</w:t>
      </w:r>
      <w:r w:rsidR="00312F08" w:rsidRPr="001F28EC">
        <w:t xml:space="preserve"> </w:t>
      </w:r>
    </w:p>
    <w:bookmarkEnd w:id="73"/>
    <w:p w14:paraId="149F48A3" w14:textId="72125488" w:rsidR="008B7EA9" w:rsidRPr="001F28EC" w:rsidRDefault="008B7EA9" w:rsidP="00C37A1F">
      <w:pPr>
        <w:pStyle w:val="Attachmentheading1"/>
        <w:rPr>
          <w:i/>
        </w:rPr>
      </w:pPr>
      <w:r w:rsidRPr="001F28EC">
        <w:t>IRRBB measurement system</w:t>
      </w:r>
    </w:p>
    <w:p w14:paraId="00757C7B" w14:textId="4BE15187" w:rsidR="003F2D3D" w:rsidRPr="001F28EC" w:rsidRDefault="00EC7A9C" w:rsidP="002A38AD">
      <w:pPr>
        <w:pStyle w:val="BodyText1"/>
      </w:pPr>
      <w:bookmarkStart w:id="74" w:name="_Ref535579042"/>
      <w:r w:rsidRPr="001F28EC">
        <w:t>In relation to a</w:t>
      </w:r>
      <w:r w:rsidR="003F2D3D" w:rsidRPr="001F28EC">
        <w:t>n ADI’s IRRBB measurement system</w:t>
      </w:r>
      <w:r w:rsidR="0087193D" w:rsidRPr="001F28EC">
        <w:t>, the system must</w:t>
      </w:r>
      <w:r w:rsidR="003F2D3D" w:rsidRPr="001F28EC">
        <w:t>:</w:t>
      </w:r>
      <w:bookmarkEnd w:id="74"/>
    </w:p>
    <w:p w14:paraId="36353AF9" w14:textId="1946A4FD" w:rsidR="003F2D3D" w:rsidRPr="001F28EC" w:rsidRDefault="003F2D3D" w:rsidP="002A38AD">
      <w:pPr>
        <w:pStyle w:val="BodyText2"/>
      </w:pPr>
      <w:r w:rsidRPr="001F28EC">
        <w:t xml:space="preserve">be conceptually sound, comprehensive, consistently implemented and </w:t>
      </w:r>
      <w:proofErr w:type="gramStart"/>
      <w:r w:rsidRPr="001F28EC">
        <w:t>transparent;</w:t>
      </w:r>
      <w:proofErr w:type="gramEnd"/>
    </w:p>
    <w:p w14:paraId="7717E05D" w14:textId="46344877" w:rsidR="003F2D3D" w:rsidRPr="001F28EC" w:rsidRDefault="003F2D3D" w:rsidP="002A38AD">
      <w:pPr>
        <w:pStyle w:val="BodyText2"/>
      </w:pPr>
      <w:bookmarkStart w:id="75" w:name="_Ref57282984"/>
      <w:r w:rsidRPr="001F28EC">
        <w:t>be sufficiently comprehensive to capture all material sources of IRRBB across the ADI including, for an ADI with model approval, those events that can lead to rare and severe losses;</w:t>
      </w:r>
      <w:bookmarkEnd w:id="75"/>
      <w:r w:rsidRPr="001F28EC">
        <w:t xml:space="preserve"> </w:t>
      </w:r>
      <w:r w:rsidR="00623C0E" w:rsidRPr="001F28EC">
        <w:t>and</w:t>
      </w:r>
    </w:p>
    <w:p w14:paraId="0CB7CDD5" w14:textId="71D9D0ED" w:rsidR="00824014" w:rsidRPr="001F28EC" w:rsidRDefault="00824014" w:rsidP="002A38AD">
      <w:pPr>
        <w:pStyle w:val="BodyText2"/>
      </w:pPr>
      <w:r w:rsidRPr="001F28EC">
        <w:t>capture reliable</w:t>
      </w:r>
      <w:r w:rsidR="006E34AB" w:rsidRPr="001F28EC">
        <w:t xml:space="preserve"> and</w:t>
      </w:r>
      <w:r w:rsidRPr="001F28EC">
        <w:t xml:space="preserve"> accurate data about exposures in a timely fashion</w:t>
      </w:r>
      <w:r w:rsidR="000537AE" w:rsidRPr="001F28EC">
        <w:t xml:space="preserve">, and the effectiveness and accuracy of this </w:t>
      </w:r>
      <w:r w:rsidR="006E34AB" w:rsidRPr="001F28EC">
        <w:t xml:space="preserve">process </w:t>
      </w:r>
      <w:r w:rsidR="000537AE" w:rsidRPr="001F28EC">
        <w:t>must be periodically tested</w:t>
      </w:r>
      <w:r w:rsidR="00623C0E" w:rsidRPr="001F28EC">
        <w:t>.</w:t>
      </w:r>
    </w:p>
    <w:p w14:paraId="5111BE00" w14:textId="12277E37" w:rsidR="00623C0E" w:rsidRPr="001F28EC" w:rsidRDefault="00623C0E" w:rsidP="00420214">
      <w:pPr>
        <w:pStyle w:val="BodyText1"/>
      </w:pPr>
      <w:r w:rsidRPr="001F28EC">
        <w:t>In relation to an ADI’s IRRBB measurement system, the ADI must:</w:t>
      </w:r>
    </w:p>
    <w:p w14:paraId="6C56E069" w14:textId="4C3108FC" w:rsidR="003F2D3D" w:rsidRPr="001F28EC" w:rsidRDefault="00B401A7" w:rsidP="002A38AD">
      <w:pPr>
        <w:pStyle w:val="BodyText2"/>
      </w:pPr>
      <w:r w:rsidRPr="001F28EC">
        <w:t xml:space="preserve">regularly </w:t>
      </w:r>
      <w:r w:rsidR="003F2D3D" w:rsidRPr="001F28EC">
        <w:t xml:space="preserve">monitor </w:t>
      </w:r>
      <w:r w:rsidR="00EC7A9C" w:rsidRPr="001F28EC">
        <w:t>its</w:t>
      </w:r>
      <w:r w:rsidR="003F2D3D" w:rsidRPr="001F28EC">
        <w:t xml:space="preserve"> IRRBB profile in terms of both earnings at risk and economic value sensitivity</w:t>
      </w:r>
      <w:r w:rsidR="003B1307" w:rsidRPr="001F28EC">
        <w:t>;</w:t>
      </w:r>
      <w:r w:rsidR="00A33FA1" w:rsidRPr="001F28EC">
        <w:rPr>
          <w:rStyle w:val="FootnoteReference"/>
        </w:rPr>
        <w:footnoteReference w:id="3"/>
      </w:r>
    </w:p>
    <w:p w14:paraId="29186D26" w14:textId="53FF0963" w:rsidR="00FA5037" w:rsidRPr="001F28EC" w:rsidRDefault="00FA5037" w:rsidP="002A38AD">
      <w:pPr>
        <w:pStyle w:val="BodyText2"/>
      </w:pPr>
      <w:r w:rsidRPr="001F28EC">
        <w:t xml:space="preserve">periodically review the assumptions made </w:t>
      </w:r>
      <w:r w:rsidR="002C3E8F" w:rsidRPr="001F28EC">
        <w:t xml:space="preserve">in </w:t>
      </w:r>
      <w:r w:rsidRPr="001F28EC">
        <w:t>the system</w:t>
      </w:r>
      <w:r w:rsidR="00363503" w:rsidRPr="001F28EC">
        <w:t>, and the materiality of any IRRBB not captured by the system</w:t>
      </w:r>
      <w:r w:rsidRPr="001F28EC">
        <w:t>;</w:t>
      </w:r>
      <w:r w:rsidR="00D92702" w:rsidRPr="001F28EC">
        <w:t xml:space="preserve"> and</w:t>
      </w:r>
    </w:p>
    <w:p w14:paraId="5C0F4CA7" w14:textId="7A17EC09" w:rsidR="00EC7A9C" w:rsidRPr="001F28EC" w:rsidRDefault="00EC7A9C" w:rsidP="002A38AD">
      <w:pPr>
        <w:pStyle w:val="BodyText2"/>
      </w:pPr>
      <w:bookmarkStart w:id="76" w:name="_Ref535578929"/>
      <w:r w:rsidRPr="001F28EC">
        <w:t>perform periodical sensiti</w:t>
      </w:r>
      <w:r w:rsidR="00577613" w:rsidRPr="001F28EC">
        <w:t>vity testing of key assumptions</w:t>
      </w:r>
      <w:r w:rsidR="00A321D4" w:rsidRPr="001F28EC">
        <w:t>, including behavioural assumptions</w:t>
      </w:r>
      <w:r w:rsidR="00577613" w:rsidRPr="001F28EC">
        <w:t>.</w:t>
      </w:r>
      <w:bookmarkEnd w:id="76"/>
    </w:p>
    <w:p w14:paraId="093F02AC" w14:textId="75281027" w:rsidR="00D46591" w:rsidRPr="001F28EC" w:rsidRDefault="00D46591" w:rsidP="002A38AD">
      <w:pPr>
        <w:pStyle w:val="BodyText1"/>
      </w:pPr>
      <w:bookmarkStart w:id="77" w:name="_Ref535582699"/>
      <w:r w:rsidRPr="001F28EC">
        <w:t>An ADI’s</w:t>
      </w:r>
      <w:r w:rsidR="00433AA3" w:rsidRPr="001F28EC">
        <w:t xml:space="preserve"> IRRBB measurement system must </w:t>
      </w:r>
      <w:r w:rsidRPr="001F28EC">
        <w:t>have</w:t>
      </w:r>
      <w:r w:rsidR="00433AA3" w:rsidRPr="001F28EC">
        <w:t xml:space="preserve"> comprehensive and </w:t>
      </w:r>
      <w:r w:rsidR="00D861C7" w:rsidRPr="001F28EC">
        <w:t>detailed</w:t>
      </w:r>
      <w:r w:rsidRPr="001F28EC">
        <w:t xml:space="preserve"> documentation, </w:t>
      </w:r>
      <w:r w:rsidR="003F2D3D" w:rsidRPr="001F28EC">
        <w:t xml:space="preserve">which </w:t>
      </w:r>
      <w:r w:rsidRPr="001F28EC">
        <w:t>must</w:t>
      </w:r>
      <w:r w:rsidR="0080344D" w:rsidRPr="001F28EC">
        <w:t>, at a minimum,</w:t>
      </w:r>
      <w:r w:rsidRPr="001F28EC">
        <w:t xml:space="preserve"> include:</w:t>
      </w:r>
      <w:bookmarkEnd w:id="77"/>
    </w:p>
    <w:p w14:paraId="01AFF5DF" w14:textId="77777777" w:rsidR="003F2D3D" w:rsidRPr="001F28EC" w:rsidRDefault="00D46591" w:rsidP="00607028">
      <w:pPr>
        <w:pStyle w:val="BodyText2"/>
      </w:pPr>
      <w:bookmarkStart w:id="78" w:name="_Ref534639344"/>
      <w:r w:rsidRPr="001F28EC">
        <w:t>the specificati</w:t>
      </w:r>
      <w:r w:rsidRPr="001F28EC">
        <w:rPr>
          <w:rStyle w:val="BodyText2Char"/>
        </w:rPr>
        <w:t>o</w:t>
      </w:r>
      <w:r w:rsidRPr="001F28EC">
        <w:t>n of</w:t>
      </w:r>
      <w:r w:rsidR="003F2D3D" w:rsidRPr="001F28EC">
        <w:t>:</w:t>
      </w:r>
    </w:p>
    <w:p w14:paraId="05805F59" w14:textId="77777777" w:rsidR="00824014" w:rsidRPr="001F28EC" w:rsidRDefault="00824014" w:rsidP="002A38AD">
      <w:pPr>
        <w:pStyle w:val="BodyText3"/>
      </w:pPr>
      <w:r w:rsidRPr="001F28EC">
        <w:t xml:space="preserve">data sources and capture </w:t>
      </w:r>
      <w:proofErr w:type="gramStart"/>
      <w:r w:rsidRPr="001F28EC">
        <w:t>methods;</w:t>
      </w:r>
      <w:proofErr w:type="gramEnd"/>
      <w:r w:rsidRPr="001F28EC">
        <w:t xml:space="preserve"> </w:t>
      </w:r>
    </w:p>
    <w:p w14:paraId="30E4A966" w14:textId="15D52A8A" w:rsidR="003F2D3D" w:rsidRPr="001F28EC" w:rsidRDefault="00824014" w:rsidP="002A38AD">
      <w:pPr>
        <w:pStyle w:val="BodyText3"/>
      </w:pPr>
      <w:r w:rsidRPr="001F28EC">
        <w:t xml:space="preserve">calculation </w:t>
      </w:r>
      <w:r w:rsidR="00D46591" w:rsidRPr="001F28EC">
        <w:t>method and assumptions, including behavioural and other assumptions about the timing of cash flows</w:t>
      </w:r>
      <w:r w:rsidR="003F2D3D" w:rsidRPr="001F28EC">
        <w:t>;</w:t>
      </w:r>
      <w:r w:rsidR="000537AE" w:rsidRPr="001F28EC">
        <w:t xml:space="preserve"> and</w:t>
      </w:r>
    </w:p>
    <w:p w14:paraId="011E3632" w14:textId="69F2773C" w:rsidR="003F2D3D" w:rsidRPr="001F28EC" w:rsidRDefault="00D46591" w:rsidP="002A38AD">
      <w:pPr>
        <w:pStyle w:val="BodyText3"/>
      </w:pPr>
      <w:r w:rsidRPr="001F28EC">
        <w:t xml:space="preserve">the rationale for </w:t>
      </w:r>
      <w:r w:rsidR="003F2D3D" w:rsidRPr="001F28EC">
        <w:t xml:space="preserve">the </w:t>
      </w:r>
      <w:r w:rsidR="00824014" w:rsidRPr="001F28EC">
        <w:t xml:space="preserve">calculation </w:t>
      </w:r>
      <w:r w:rsidR="003F2D3D" w:rsidRPr="001F28EC">
        <w:t>method and a</w:t>
      </w:r>
      <w:r w:rsidRPr="001F28EC">
        <w:t xml:space="preserve">ll </w:t>
      </w:r>
      <w:proofErr w:type="gramStart"/>
      <w:r w:rsidRPr="001F28EC">
        <w:t>assumptions</w:t>
      </w:r>
      <w:r w:rsidR="000537AE" w:rsidRPr="001F28EC">
        <w:t>;</w:t>
      </w:r>
      <w:bookmarkEnd w:id="78"/>
      <w:proofErr w:type="gramEnd"/>
      <w:r w:rsidRPr="001F28EC">
        <w:t xml:space="preserve"> </w:t>
      </w:r>
    </w:p>
    <w:p w14:paraId="32D24372" w14:textId="7F11C812" w:rsidR="00D46591" w:rsidRPr="001F28EC" w:rsidRDefault="00D46591" w:rsidP="00B95DE2">
      <w:pPr>
        <w:pStyle w:val="BodyText2"/>
        <w:numPr>
          <w:ilvl w:val="0"/>
          <w:numId w:val="0"/>
        </w:numPr>
        <w:ind w:left="1134"/>
      </w:pPr>
      <w:r w:rsidRPr="001F28EC">
        <w:t xml:space="preserve">and </w:t>
      </w:r>
    </w:p>
    <w:p w14:paraId="084EAD47" w14:textId="1E457855" w:rsidR="00D46591" w:rsidRPr="001F28EC" w:rsidRDefault="00D46591" w:rsidP="002A38AD">
      <w:pPr>
        <w:pStyle w:val="BodyText2"/>
      </w:pPr>
      <w:bookmarkStart w:id="79" w:name="_Ref13479237"/>
      <w:r w:rsidRPr="001F28EC">
        <w:lastRenderedPageBreak/>
        <w:t xml:space="preserve">for an ADI </w:t>
      </w:r>
      <w:r w:rsidR="006A2281" w:rsidRPr="001F28EC">
        <w:t xml:space="preserve">that has </w:t>
      </w:r>
      <w:r w:rsidRPr="001F28EC">
        <w:t>IRRBB model approval:</w:t>
      </w:r>
      <w:bookmarkEnd w:id="79"/>
    </w:p>
    <w:p w14:paraId="2147718E" w14:textId="7BB78968" w:rsidR="00D46591" w:rsidRPr="001F28EC" w:rsidRDefault="003C1894" w:rsidP="002A38AD">
      <w:pPr>
        <w:pStyle w:val="BodyText3"/>
      </w:pPr>
      <w:bookmarkStart w:id="80" w:name="_Ref534639318"/>
      <w:r w:rsidRPr="001F28EC">
        <w:t xml:space="preserve">enough </w:t>
      </w:r>
      <w:r w:rsidR="00D46591" w:rsidRPr="001F28EC">
        <w:t xml:space="preserve">detail </w:t>
      </w:r>
      <w:r w:rsidRPr="001F28EC">
        <w:t xml:space="preserve">to make </w:t>
      </w:r>
      <w:r w:rsidR="00D46591" w:rsidRPr="001F28EC">
        <w:t xml:space="preserve">the approach to determining </w:t>
      </w:r>
      <w:r w:rsidR="00B97D92" w:rsidRPr="001F28EC">
        <w:t xml:space="preserve">the ADI’s </w:t>
      </w:r>
      <w:r w:rsidR="00D46591" w:rsidRPr="001F28EC">
        <w:t>IRRBB capital charge transparent and capable of independent review</w:t>
      </w:r>
      <w:r w:rsidR="002D6914" w:rsidRPr="001F28EC">
        <w:t>,</w:t>
      </w:r>
      <w:r w:rsidR="00D46591" w:rsidRPr="001F28EC">
        <w:t xml:space="preserve"> validation</w:t>
      </w:r>
      <w:r w:rsidR="002D6914" w:rsidRPr="001F28EC">
        <w:t xml:space="preserve"> and independent reproduction of results given the raw input </w:t>
      </w:r>
      <w:proofErr w:type="gramStart"/>
      <w:r w:rsidR="002D6914" w:rsidRPr="001F28EC">
        <w:t>data</w:t>
      </w:r>
      <w:r w:rsidR="00D92702" w:rsidRPr="001F28EC">
        <w:t>;</w:t>
      </w:r>
      <w:proofErr w:type="gramEnd"/>
    </w:p>
    <w:bookmarkEnd w:id="80"/>
    <w:p w14:paraId="31BBF799" w14:textId="77777777" w:rsidR="00EC7A9C" w:rsidRPr="001F28EC" w:rsidRDefault="00EC7A9C" w:rsidP="002A38AD">
      <w:pPr>
        <w:pStyle w:val="BodyText3"/>
      </w:pPr>
      <w:r w:rsidRPr="001F28EC">
        <w:t>details of any dependence structures used in the measurement system, including evidence supporting their use; and</w:t>
      </w:r>
    </w:p>
    <w:p w14:paraId="68FAB81F" w14:textId="0AE0E5D5" w:rsidR="00433AA3" w:rsidRPr="001F28EC" w:rsidRDefault="00202E26" w:rsidP="002A38AD">
      <w:pPr>
        <w:pStyle w:val="BodyText3"/>
      </w:pPr>
      <w:r w:rsidRPr="001F28EC">
        <w:t xml:space="preserve">where relevant, </w:t>
      </w:r>
      <w:r w:rsidR="00433AA3" w:rsidRPr="001F28EC">
        <w:t xml:space="preserve">an explanation of how the </w:t>
      </w:r>
      <w:smartTag w:uri="urn:schemas-microsoft-com:office:smarttags" w:element="stockticker">
        <w:r w:rsidR="00433AA3" w:rsidRPr="001F28EC">
          <w:t>ADI</w:t>
        </w:r>
      </w:smartTag>
      <w:r w:rsidR="00433AA3" w:rsidRPr="001F28EC">
        <w:t xml:space="preserve"> ensures that the required soundness standard </w:t>
      </w:r>
      <w:r w:rsidRPr="001F28EC">
        <w:t xml:space="preserve">in </w:t>
      </w:r>
      <w:r w:rsidR="00433AA3" w:rsidRPr="001F28EC">
        <w:t xml:space="preserve">paragraph </w:t>
      </w:r>
      <w:r w:rsidR="00E05DA7" w:rsidRPr="001F28EC">
        <w:t>38</w:t>
      </w:r>
      <w:r w:rsidRPr="001F28EC">
        <w:t xml:space="preserve"> </w:t>
      </w:r>
      <w:r w:rsidR="00205021" w:rsidRPr="001F28EC">
        <w:t xml:space="preserve">of Attachment </w:t>
      </w:r>
      <w:r w:rsidR="00854326" w:rsidRPr="001F28EC">
        <w:t>A</w:t>
      </w:r>
      <w:r w:rsidR="00205021" w:rsidRPr="001F28EC">
        <w:t xml:space="preserve"> to </w:t>
      </w:r>
      <w:r w:rsidR="00433AA3" w:rsidRPr="001F28EC">
        <w:t>this Prudent</w:t>
      </w:r>
      <w:r w:rsidR="00EC7A9C" w:rsidRPr="001F28EC">
        <w:t>ial Standard is achieved.</w:t>
      </w:r>
    </w:p>
    <w:p w14:paraId="44F1304A" w14:textId="11EDE4D4" w:rsidR="00B8371C" w:rsidRPr="001F28EC" w:rsidRDefault="002C3E8F" w:rsidP="002A38AD">
      <w:pPr>
        <w:pStyle w:val="BodyText1"/>
      </w:pPr>
      <w:bookmarkStart w:id="81" w:name="_Toc176749319"/>
      <w:bookmarkStart w:id="82" w:name="_Toc177286369"/>
      <w:r w:rsidRPr="001F28EC">
        <w:t>As part of its stress testing program under CPS 220, a</w:t>
      </w:r>
      <w:r w:rsidR="00674888" w:rsidRPr="001F28EC">
        <w:t>n ADI</w:t>
      </w:r>
      <w:r w:rsidR="00B401A7" w:rsidRPr="001F28EC">
        <w:t xml:space="preserve"> must </w:t>
      </w:r>
      <w:r w:rsidR="006A2802" w:rsidRPr="001F28EC">
        <w:t xml:space="preserve">consider </w:t>
      </w:r>
      <w:r w:rsidR="00B401A7" w:rsidRPr="001F28EC">
        <w:t xml:space="preserve">the impact on </w:t>
      </w:r>
      <w:r w:rsidR="00B97D92" w:rsidRPr="001F28EC">
        <w:t xml:space="preserve">the </w:t>
      </w:r>
      <w:r w:rsidR="00B401A7" w:rsidRPr="001F28EC">
        <w:t xml:space="preserve">economic value of the banking book and net interest earnings of sudden changes in </w:t>
      </w:r>
      <w:r w:rsidR="00B8371C" w:rsidRPr="001F28EC">
        <w:t>interest rates.</w:t>
      </w:r>
      <w:bookmarkStart w:id="83" w:name="_Ref89853981"/>
      <w:r w:rsidR="006A2802" w:rsidRPr="001F28EC">
        <w:t xml:space="preserve"> This must at a minimum include:</w:t>
      </w:r>
    </w:p>
    <w:p w14:paraId="1DD2972C" w14:textId="274C2437" w:rsidR="008C70A3" w:rsidRPr="001F28EC" w:rsidRDefault="00674888" w:rsidP="002A38AD">
      <w:pPr>
        <w:pStyle w:val="BodyText2"/>
      </w:pPr>
      <w:r w:rsidRPr="001F28EC">
        <w:t xml:space="preserve">scenarios that are tailored to the ADI’s businesses and </w:t>
      </w:r>
      <w:proofErr w:type="gramStart"/>
      <w:r w:rsidRPr="001F28EC">
        <w:t>risks</w:t>
      </w:r>
      <w:r w:rsidR="008C70A3" w:rsidRPr="001F28EC">
        <w:t>;</w:t>
      </w:r>
      <w:proofErr w:type="gramEnd"/>
    </w:p>
    <w:p w14:paraId="5B136EAB" w14:textId="2F1620F5" w:rsidR="008C70A3" w:rsidRPr="001F28EC" w:rsidRDefault="00674888" w:rsidP="002A38AD">
      <w:pPr>
        <w:pStyle w:val="BodyText2"/>
      </w:pPr>
      <w:r w:rsidRPr="001F28EC">
        <w:t xml:space="preserve">scenarios involving changes in </w:t>
      </w:r>
      <w:r w:rsidR="00B8371C" w:rsidRPr="001F28EC">
        <w:t xml:space="preserve">the level, slope and shape of </w:t>
      </w:r>
      <w:r w:rsidR="00A05F95" w:rsidRPr="001F28EC">
        <w:t>yield</w:t>
      </w:r>
      <w:r w:rsidR="00B8371C" w:rsidRPr="001F28EC">
        <w:t xml:space="preserve"> curves, as well as changes in customer </w:t>
      </w:r>
      <w:proofErr w:type="gramStart"/>
      <w:r w:rsidR="00B8371C" w:rsidRPr="001F28EC">
        <w:t>behaviour</w:t>
      </w:r>
      <w:r w:rsidR="008C70A3" w:rsidRPr="001F28EC">
        <w:t>;</w:t>
      </w:r>
      <w:proofErr w:type="gramEnd"/>
    </w:p>
    <w:p w14:paraId="1B25DBB4" w14:textId="7EFB1BB6" w:rsidR="008C70A3" w:rsidRPr="001F28EC" w:rsidRDefault="00B8371C" w:rsidP="002A38AD">
      <w:pPr>
        <w:pStyle w:val="BodyText2"/>
      </w:pPr>
      <w:r w:rsidRPr="001F28EC">
        <w:t>multiple stress scenarios, with some based on historical events and others being h</w:t>
      </w:r>
      <w:r w:rsidR="00674888" w:rsidRPr="001F28EC">
        <w:t>ypothetical and forward-looking;</w:t>
      </w:r>
      <w:r w:rsidR="008C70A3" w:rsidRPr="001F28EC">
        <w:t xml:space="preserve"> and</w:t>
      </w:r>
    </w:p>
    <w:p w14:paraId="7BA09589" w14:textId="4BC4BB25" w:rsidR="00B8371C" w:rsidRPr="001F28EC" w:rsidRDefault="00B8371C" w:rsidP="002A38AD">
      <w:pPr>
        <w:pStyle w:val="BodyText2"/>
      </w:pPr>
      <w:r w:rsidRPr="001F28EC">
        <w:t>clearly defined objectives, well documented assumptions and sound methodologies.</w:t>
      </w:r>
    </w:p>
    <w:bookmarkEnd w:id="83"/>
    <w:p w14:paraId="78875E40" w14:textId="55E0EFFD" w:rsidR="00B401A7" w:rsidRPr="001F28EC" w:rsidRDefault="00B401A7" w:rsidP="002A38AD">
      <w:pPr>
        <w:pStyle w:val="BodyText1"/>
      </w:pPr>
      <w:r w:rsidRPr="001F28EC">
        <w:t>An ADI’s policies and limits</w:t>
      </w:r>
      <w:r w:rsidR="00BC7ACD" w:rsidRPr="001F28EC">
        <w:t xml:space="preserve"> for IRRBB</w:t>
      </w:r>
      <w:r w:rsidRPr="001F28EC">
        <w:t xml:space="preserve"> must reflect the results of stress</w:t>
      </w:r>
      <w:r w:rsidR="00D2744D" w:rsidRPr="001F28EC">
        <w:t xml:space="preserve"> </w:t>
      </w:r>
      <w:r w:rsidRPr="001F28EC">
        <w:t>testing exercises</w:t>
      </w:r>
      <w:r w:rsidR="00B97D92" w:rsidRPr="001F28EC">
        <w:t xml:space="preserve">. </w:t>
      </w:r>
      <w:r w:rsidR="007917B9" w:rsidRPr="001F28EC">
        <w:t xml:space="preserve">Senior </w:t>
      </w:r>
      <w:r w:rsidR="003B207A" w:rsidRPr="001F28EC">
        <w:t>m</w:t>
      </w:r>
      <w:r w:rsidR="007917B9" w:rsidRPr="001F28EC">
        <w:t>anagement</w:t>
      </w:r>
      <w:r w:rsidR="00B97D92" w:rsidRPr="001F28EC">
        <w:t xml:space="preserve"> must regularly communicate </w:t>
      </w:r>
      <w:r w:rsidRPr="001F28EC">
        <w:t xml:space="preserve">these results to the </w:t>
      </w:r>
      <w:smartTag w:uri="urn:schemas-microsoft-com:office:smarttags" w:element="stockticker">
        <w:r w:rsidRPr="001F28EC">
          <w:t>ADI</w:t>
        </w:r>
      </w:smartTag>
      <w:r w:rsidRPr="001F28EC">
        <w:t>’s Board or Board committee.</w:t>
      </w:r>
    </w:p>
    <w:p w14:paraId="5D2B363D" w14:textId="77F812EC" w:rsidR="00433AA3" w:rsidRPr="001F28EC" w:rsidRDefault="00433AA3" w:rsidP="00C37A1F">
      <w:pPr>
        <w:pStyle w:val="Attachmentheading1"/>
        <w:rPr>
          <w:i/>
        </w:rPr>
      </w:pPr>
      <w:r w:rsidRPr="001F28EC">
        <w:t xml:space="preserve">Internal reporting of </w:t>
      </w:r>
      <w:r w:rsidR="00A17B87" w:rsidRPr="001F28EC">
        <w:t>IRRBB</w:t>
      </w:r>
      <w:r w:rsidRPr="001F28EC">
        <w:t xml:space="preserve"> exposures</w:t>
      </w:r>
      <w:bookmarkEnd w:id="81"/>
      <w:bookmarkEnd w:id="82"/>
    </w:p>
    <w:p w14:paraId="4389A0B2" w14:textId="77777777" w:rsidR="006A2802" w:rsidRPr="001F28EC" w:rsidRDefault="00433AA3" w:rsidP="002A38AD">
      <w:pPr>
        <w:pStyle w:val="BodyText1"/>
      </w:pPr>
      <w:bookmarkStart w:id="84" w:name="_Ref167972658"/>
      <w:r w:rsidRPr="001F28EC">
        <w:t xml:space="preserve">In developing an appropriate reporting framework, an </w:t>
      </w:r>
      <w:smartTag w:uri="urn:schemas-microsoft-com:office:smarttags" w:element="stockticker">
        <w:r w:rsidRPr="001F28EC">
          <w:t>ADI</w:t>
        </w:r>
      </w:smartTag>
      <w:r w:rsidRPr="001F28EC">
        <w:t xml:space="preserve"> must consider the nature of its IRRBB </w:t>
      </w:r>
      <w:proofErr w:type="gramStart"/>
      <w:r w:rsidRPr="001F28EC">
        <w:t>exposure</w:t>
      </w:r>
      <w:proofErr w:type="gramEnd"/>
      <w:r w:rsidRPr="001F28EC">
        <w:t xml:space="preserve"> and the strategy adopted for managing and measuring it.</w:t>
      </w:r>
      <w:bookmarkEnd w:id="84"/>
      <w:r w:rsidRPr="001F28EC">
        <w:t xml:space="preserve"> </w:t>
      </w:r>
    </w:p>
    <w:p w14:paraId="0EFF2CDD" w14:textId="3AAE15DD" w:rsidR="00433AA3" w:rsidRPr="001F28EC" w:rsidRDefault="00433AA3" w:rsidP="002A38AD">
      <w:pPr>
        <w:pStyle w:val="BodyText1"/>
      </w:pPr>
      <w:r w:rsidRPr="001F28EC">
        <w:t>Management reports must be produced and reviewed regularly and</w:t>
      </w:r>
      <w:r w:rsidR="00655AEA" w:rsidRPr="001F28EC">
        <w:t xml:space="preserve"> </w:t>
      </w:r>
      <w:r w:rsidR="000E3DBD" w:rsidRPr="001F28EC">
        <w:t>must</w:t>
      </w:r>
      <w:r w:rsidRPr="001F28EC">
        <w:t xml:space="preserve"> include information on </w:t>
      </w:r>
      <w:r w:rsidR="00206C14" w:rsidRPr="001F28EC">
        <w:t xml:space="preserve">limit utilisation, the performance of risk management strategies, and </w:t>
      </w:r>
      <w:r w:rsidRPr="001F28EC">
        <w:t xml:space="preserve">the output of the </w:t>
      </w:r>
      <w:smartTag w:uri="urn:schemas-microsoft-com:office:smarttags" w:element="stockticker">
        <w:r w:rsidRPr="001F28EC">
          <w:t>ADI</w:t>
        </w:r>
      </w:smartTag>
      <w:r w:rsidRPr="001F28EC">
        <w:t xml:space="preserve">’s </w:t>
      </w:r>
      <w:r w:rsidR="00655AEA" w:rsidRPr="001F28EC">
        <w:t xml:space="preserve">risk measurement system, including its </w:t>
      </w:r>
      <w:r w:rsidR="00A17B87" w:rsidRPr="001F28EC">
        <w:t>approved IRRBB</w:t>
      </w:r>
      <w:r w:rsidRPr="001F28EC">
        <w:t xml:space="preserve"> model</w:t>
      </w:r>
      <w:r w:rsidR="00655AEA" w:rsidRPr="001F28EC">
        <w:t xml:space="preserve"> where applicable</w:t>
      </w:r>
      <w:r w:rsidRPr="001F28EC">
        <w:t xml:space="preserve">. The reviews must be conducted by </w:t>
      </w:r>
      <w:r w:rsidR="00513148" w:rsidRPr="001F28EC">
        <w:t xml:space="preserve">management with authority </w:t>
      </w:r>
      <w:r w:rsidRPr="001F28EC">
        <w:t xml:space="preserve">to enforce, where necessary, mitigation of the </w:t>
      </w:r>
      <w:smartTag w:uri="urn:schemas-microsoft-com:office:smarttags" w:element="stockticker">
        <w:r w:rsidRPr="001F28EC">
          <w:t>ADI</w:t>
        </w:r>
      </w:smartTag>
      <w:r w:rsidRPr="001F28EC">
        <w:t>’s exposure to IRRBB.</w:t>
      </w:r>
    </w:p>
    <w:p w14:paraId="6E68CEA8" w14:textId="3E55C2EF" w:rsidR="00433AA3" w:rsidRPr="001F28EC" w:rsidRDefault="00433AA3" w:rsidP="002A38AD">
      <w:pPr>
        <w:pStyle w:val="BodyText1"/>
      </w:pPr>
      <w:bookmarkStart w:id="85" w:name="_Ref122239037"/>
      <w:r w:rsidRPr="001F28EC">
        <w:t xml:space="preserve">An </w:t>
      </w:r>
      <w:smartTag w:uri="urn:schemas-microsoft-com:office:smarttags" w:element="stockticker">
        <w:r w:rsidRPr="001F28EC">
          <w:t>ADI</w:t>
        </w:r>
      </w:smartTag>
      <w:r w:rsidRPr="001F28EC">
        <w:t xml:space="preserve"> must have in place a process for ensuring that the </w:t>
      </w:r>
      <w:smartTag w:uri="urn:schemas-microsoft-com:office:smarttags" w:element="stockticker">
        <w:r w:rsidRPr="001F28EC">
          <w:t>ADI</w:t>
        </w:r>
      </w:smartTag>
      <w:r w:rsidRPr="001F28EC">
        <w:t xml:space="preserve">’s Board, or Board committee, and senior management are able to respond appropriately to the information contained in IRRBB management reports. This process must include </w:t>
      </w:r>
      <w:r w:rsidRPr="001F28EC">
        <w:lastRenderedPageBreak/>
        <w:t>escalation procedures for key IRRBB issues to facilitate appropriate action between formal reporting cycles.</w:t>
      </w:r>
      <w:bookmarkEnd w:id="85"/>
    </w:p>
    <w:p w14:paraId="4ED7EA98" w14:textId="4DF7D572" w:rsidR="00F855F2" w:rsidRPr="001F28EC" w:rsidRDefault="007917B9" w:rsidP="00F855F2">
      <w:pPr>
        <w:pStyle w:val="BodyText1"/>
      </w:pPr>
      <w:bookmarkStart w:id="86" w:name="_Ref147854652"/>
      <w:r w:rsidRPr="001F28EC">
        <w:t xml:space="preserve">Senior </w:t>
      </w:r>
      <w:r w:rsidR="003B207A" w:rsidRPr="001F28EC">
        <w:t>m</w:t>
      </w:r>
      <w:r w:rsidRPr="001F28EC">
        <w:t xml:space="preserve">anagement </w:t>
      </w:r>
      <w:r w:rsidR="00F855F2" w:rsidRPr="001F28EC">
        <w:t xml:space="preserve">must notify </w:t>
      </w:r>
      <w:r w:rsidRPr="001F28EC">
        <w:t>the</w:t>
      </w:r>
      <w:r w:rsidR="00F855F2" w:rsidRPr="001F28EC">
        <w:t xml:space="preserve"> Board and APRA if </w:t>
      </w:r>
      <w:r w:rsidR="00A82294" w:rsidRPr="001F28EC">
        <w:t xml:space="preserve">its </w:t>
      </w:r>
      <w:r w:rsidR="00F855F2" w:rsidRPr="001F28EC">
        <w:t>embedded gain</w:t>
      </w:r>
      <w:r w:rsidR="001B24A6" w:rsidRPr="001F28EC">
        <w:t xml:space="preserve"> </w:t>
      </w:r>
      <w:r w:rsidR="0053160C" w:rsidRPr="001F28EC">
        <w:t xml:space="preserve">is </w:t>
      </w:r>
      <w:r w:rsidR="00A82294" w:rsidRPr="001F28EC">
        <w:t xml:space="preserve">material </w:t>
      </w:r>
      <w:r w:rsidR="0053160C" w:rsidRPr="001F28EC">
        <w:t xml:space="preserve">in size relative to the remainder </w:t>
      </w:r>
      <w:r w:rsidR="00F855F2" w:rsidRPr="001F28EC">
        <w:t>of</w:t>
      </w:r>
      <w:r w:rsidR="00A82294" w:rsidRPr="001F28EC">
        <w:t xml:space="preserve"> its IRRBB capital charge</w:t>
      </w:r>
      <w:r w:rsidR="00673A54" w:rsidRPr="001F28EC">
        <w:t xml:space="preserve">, as set out in Attachment </w:t>
      </w:r>
      <w:r w:rsidR="00854326" w:rsidRPr="001F28EC">
        <w:t>A</w:t>
      </w:r>
      <w:r w:rsidR="0078608A" w:rsidRPr="001F28EC">
        <w:t xml:space="preserve"> to this </w:t>
      </w:r>
      <w:r w:rsidR="00B32909" w:rsidRPr="001F28EC">
        <w:t>P</w:t>
      </w:r>
      <w:r w:rsidR="0078608A" w:rsidRPr="001F28EC">
        <w:t xml:space="preserve">rudential </w:t>
      </w:r>
      <w:r w:rsidR="00B32909" w:rsidRPr="001F28EC">
        <w:t>S</w:t>
      </w:r>
      <w:r w:rsidR="0078608A" w:rsidRPr="001F28EC">
        <w:t>tandard</w:t>
      </w:r>
      <w:r w:rsidR="00F855F2" w:rsidRPr="001F28EC">
        <w:t xml:space="preserve">. </w:t>
      </w:r>
      <w:r w:rsidR="00980D99" w:rsidRPr="001F28EC">
        <w:t>This notification must include how the</w:t>
      </w:r>
      <w:r w:rsidR="004770AB" w:rsidRPr="001F28EC">
        <w:t xml:space="preserve"> </w:t>
      </w:r>
      <w:r w:rsidR="00F855F2" w:rsidRPr="001F28EC">
        <w:t xml:space="preserve">ADI is mitigating risks associated with </w:t>
      </w:r>
      <w:r w:rsidR="00980D99" w:rsidRPr="001F28EC">
        <w:t xml:space="preserve">this material </w:t>
      </w:r>
      <w:r w:rsidR="00F855F2" w:rsidRPr="001F28EC">
        <w:t>embedded gain.</w:t>
      </w:r>
      <w:bookmarkEnd w:id="86"/>
      <w:r w:rsidR="00F855F2" w:rsidRPr="001F28EC">
        <w:t xml:space="preserve"> </w:t>
      </w:r>
    </w:p>
    <w:p w14:paraId="45CD01F6" w14:textId="6DC357DB" w:rsidR="00433AA3" w:rsidRPr="001F28EC" w:rsidRDefault="00433AA3" w:rsidP="00C37A1F">
      <w:pPr>
        <w:pStyle w:val="Attachmentheading1"/>
        <w:rPr>
          <w:i/>
        </w:rPr>
      </w:pPr>
      <w:bookmarkStart w:id="87" w:name="_Toc176749320"/>
      <w:bookmarkStart w:id="88" w:name="_Toc177286370"/>
      <w:bookmarkEnd w:id="61"/>
      <w:r w:rsidRPr="001F28EC">
        <w:t xml:space="preserve">Integration of </w:t>
      </w:r>
      <w:r w:rsidR="00C64A2A" w:rsidRPr="001F28EC">
        <w:t>IRRBB measurement system</w:t>
      </w:r>
      <w:r w:rsidRPr="001F28EC">
        <w:t xml:space="preserve"> into day-to-day risk management</w:t>
      </w:r>
      <w:bookmarkEnd w:id="87"/>
      <w:bookmarkEnd w:id="88"/>
    </w:p>
    <w:p w14:paraId="1CDEEA5D" w14:textId="23878CA5" w:rsidR="00315D2D" w:rsidRPr="001F28EC" w:rsidRDefault="00315D2D" w:rsidP="002A38AD">
      <w:pPr>
        <w:pStyle w:val="BodyText1"/>
      </w:pPr>
      <w:bookmarkStart w:id="89" w:name="_Ref535578992"/>
      <w:r w:rsidRPr="001F28EC">
        <w:t xml:space="preserve">An </w:t>
      </w:r>
      <w:r w:rsidR="001413A1" w:rsidRPr="001F28EC">
        <w:t>ADI</w:t>
      </w:r>
      <w:r w:rsidRPr="001F28EC">
        <w:t xml:space="preserve">’s </w:t>
      </w:r>
      <w:bookmarkEnd w:id="89"/>
      <w:r w:rsidR="00433AA3" w:rsidRPr="001F28EC">
        <w:t xml:space="preserve">IRRBB measurement system must be closely integrated into the ADI’s risk management processes. This requires that the inputs and outputs of the </w:t>
      </w:r>
      <w:smartTag w:uri="urn:schemas-microsoft-com:office:smarttags" w:element="stockticker">
        <w:r w:rsidR="00433AA3" w:rsidRPr="001F28EC">
          <w:t>ADI</w:t>
        </w:r>
      </w:smartTag>
      <w:r w:rsidR="00433AA3" w:rsidRPr="001F28EC">
        <w:t xml:space="preserve">’s </w:t>
      </w:r>
      <w:r w:rsidR="00D2744D" w:rsidRPr="001F28EC">
        <w:t xml:space="preserve">IRRBB </w:t>
      </w:r>
      <w:r w:rsidR="00433AA3" w:rsidRPr="001F28EC">
        <w:t xml:space="preserve">measurement system, as relevant, play an integral role in the ADI’s decision-making, corporate governance, risk management and internal capital allocation processes. </w:t>
      </w:r>
    </w:p>
    <w:p w14:paraId="424C1A95" w14:textId="453CF708" w:rsidR="00433AA3" w:rsidRPr="001F28EC" w:rsidRDefault="00315D2D" w:rsidP="002A38AD">
      <w:pPr>
        <w:pStyle w:val="BodyText1"/>
      </w:pPr>
      <w:bookmarkStart w:id="90" w:name="_Ref535582732"/>
      <w:r w:rsidRPr="001F28EC">
        <w:t>For an</w:t>
      </w:r>
      <w:r w:rsidR="00FE359C" w:rsidRPr="001F28EC">
        <w:t xml:space="preserve"> ADI </w:t>
      </w:r>
      <w:r w:rsidR="00BC7ACD" w:rsidRPr="001F28EC">
        <w:t xml:space="preserve">that </w:t>
      </w:r>
      <w:r w:rsidR="00FE359C" w:rsidRPr="001F28EC">
        <w:t xml:space="preserve">has IRRBB model approval, </w:t>
      </w:r>
      <w:r w:rsidR="005A29E4" w:rsidRPr="001F28EC">
        <w:t>the ADI’s</w:t>
      </w:r>
      <w:r w:rsidR="00DF71CA" w:rsidRPr="001F28EC">
        <w:t xml:space="preserve"> </w:t>
      </w:r>
      <w:r w:rsidR="00433AA3" w:rsidRPr="001F28EC">
        <w:t xml:space="preserve">IRRBB </w:t>
      </w:r>
      <w:r w:rsidR="00593302" w:rsidRPr="001F28EC">
        <w:t xml:space="preserve">economic value </w:t>
      </w:r>
      <w:r w:rsidR="00433AA3" w:rsidRPr="001F28EC">
        <w:t xml:space="preserve">exposure limits </w:t>
      </w:r>
      <w:r w:rsidR="00433AA3" w:rsidRPr="001F28EC" w:rsidDel="002A320B">
        <w:t xml:space="preserve">must </w:t>
      </w:r>
      <w:r w:rsidR="00423E55" w:rsidRPr="001F28EC">
        <w:t xml:space="preserve">include limits that are </w:t>
      </w:r>
      <w:r w:rsidR="00433AA3" w:rsidRPr="001F28EC">
        <w:t xml:space="preserve">related to the </w:t>
      </w:r>
      <w:r w:rsidR="00FE359C" w:rsidRPr="001F28EC">
        <w:t>approved IRRBB</w:t>
      </w:r>
      <w:r w:rsidR="00433AA3" w:rsidRPr="001F28EC">
        <w:t xml:space="preserve"> model in a manner that is consistent over time and well understood by senior management.</w:t>
      </w:r>
      <w:bookmarkEnd w:id="90"/>
    </w:p>
    <w:p w14:paraId="1ED15304" w14:textId="77777777" w:rsidR="005C43C9" w:rsidRPr="001F28EC" w:rsidRDefault="005C43C9" w:rsidP="00C37A1F">
      <w:pPr>
        <w:pStyle w:val="Attachmentheading1"/>
      </w:pPr>
      <w:bookmarkStart w:id="91" w:name="_Hlk80948716"/>
      <w:r w:rsidRPr="001F28EC">
        <w:t xml:space="preserve">Data </w:t>
      </w:r>
    </w:p>
    <w:p w14:paraId="5F6A7E1E" w14:textId="38190586" w:rsidR="005C43C9" w:rsidRPr="001F28EC" w:rsidRDefault="005C43C9" w:rsidP="002A38AD">
      <w:pPr>
        <w:pStyle w:val="BodyText1"/>
      </w:pPr>
      <w:r w:rsidRPr="001F28EC">
        <w:t xml:space="preserve">An </w:t>
      </w:r>
      <w:smartTag w:uri="urn:schemas-microsoft-com:office:smarttags" w:element="stockticker">
        <w:r w:rsidRPr="001F28EC">
          <w:t>ADI</w:t>
        </w:r>
      </w:smartTag>
      <w:r w:rsidRPr="001F28EC">
        <w:t xml:space="preserve"> must have transparent and verifiable processes for collecting and testing relevant data inputs </w:t>
      </w:r>
      <w:r w:rsidR="002675C3" w:rsidRPr="001F28EC">
        <w:t xml:space="preserve">to its IRRBB measurement system </w:t>
      </w:r>
      <w:r w:rsidRPr="001F28EC">
        <w:t xml:space="preserve">(e.g. exposure information, details about customer behaviour and product and wholesale rate histories). These processes must be consistent, timely and comprehensive across the </w:t>
      </w:r>
      <w:smartTag w:uri="urn:schemas-microsoft-com:office:smarttags" w:element="stockticker">
        <w:r w:rsidRPr="001F28EC">
          <w:t>ADI</w:t>
        </w:r>
      </w:smartTag>
      <w:r w:rsidRPr="001F28EC">
        <w:t>.</w:t>
      </w:r>
    </w:p>
    <w:p w14:paraId="637D738A" w14:textId="031A9CA2" w:rsidR="005C7409" w:rsidRPr="001F28EC" w:rsidRDefault="005C43C9" w:rsidP="002A38AD">
      <w:pPr>
        <w:pStyle w:val="BodyText1"/>
      </w:pPr>
      <w:bookmarkStart w:id="92" w:name="_Ref167972501"/>
      <w:r w:rsidRPr="001F28EC">
        <w:t xml:space="preserve">An </w:t>
      </w:r>
      <w:smartTag w:uri="urn:schemas-microsoft-com:office:smarttags" w:element="stockticker">
        <w:r w:rsidRPr="001F28EC">
          <w:t>ADI</w:t>
        </w:r>
      </w:smartTag>
      <w:r w:rsidRPr="001F28EC">
        <w:t>'s IRRBB exposure data must comprehensive</w:t>
      </w:r>
      <w:r w:rsidR="002675C3" w:rsidRPr="001F28EC">
        <w:t>ly</w:t>
      </w:r>
      <w:r w:rsidRPr="001F28EC">
        <w:t xml:space="preserve"> captur</w:t>
      </w:r>
      <w:r w:rsidR="002675C3" w:rsidRPr="001F28EC">
        <w:t>e</w:t>
      </w:r>
      <w:r w:rsidRPr="001F28EC">
        <w:t xml:space="preserve"> all material exposures from </w:t>
      </w:r>
      <w:r w:rsidR="00FF18DD" w:rsidRPr="001F28EC">
        <w:t xml:space="preserve">relevant </w:t>
      </w:r>
      <w:r w:rsidRPr="001F28EC">
        <w:t xml:space="preserve">business activities, banking book items and geographic locations. </w:t>
      </w:r>
      <w:r w:rsidR="00D355DA" w:rsidRPr="001F28EC">
        <w:t xml:space="preserve">An </w:t>
      </w:r>
      <w:r w:rsidRPr="001F28EC">
        <w:t xml:space="preserve">ADI must be able to </w:t>
      </w:r>
      <w:r w:rsidR="002675C3" w:rsidRPr="001F28EC">
        <w:t>demonstrate</w:t>
      </w:r>
      <w:r w:rsidRPr="001F28EC">
        <w:t xml:space="preserve"> that any excluded exposures, both individually and in aggregate, would not have a material impact on the overall estimate of its IRRBB capital charge.</w:t>
      </w:r>
      <w:bookmarkEnd w:id="92"/>
    </w:p>
    <w:p w14:paraId="565E1078" w14:textId="03365D92" w:rsidR="005C7409" w:rsidRPr="001F28EC" w:rsidRDefault="005C7409" w:rsidP="002A38AD">
      <w:pPr>
        <w:pStyle w:val="BodyText1"/>
      </w:pPr>
      <w:r w:rsidRPr="001F28EC">
        <w:t xml:space="preserve">An </w:t>
      </w:r>
      <w:smartTag w:uri="urn:schemas-microsoft-com:office:smarttags" w:element="stockticker">
        <w:r w:rsidRPr="001F28EC">
          <w:t>ADI</w:t>
        </w:r>
      </w:smartTag>
      <w:r w:rsidRPr="001F28EC">
        <w:t xml:space="preserve"> must document its IRRBB data management policies and procedures. These policies and procedures must</w:t>
      </w:r>
      <w:r w:rsidR="00E36458" w:rsidRPr="001F28EC">
        <w:t>, at a minimum,</w:t>
      </w:r>
      <w:r w:rsidRPr="001F28EC">
        <w:t xml:space="preserve"> cover:</w:t>
      </w:r>
    </w:p>
    <w:p w14:paraId="71AAB10B" w14:textId="77777777" w:rsidR="005C7409" w:rsidRPr="001F28EC" w:rsidRDefault="005C7409" w:rsidP="002A38AD">
      <w:pPr>
        <w:pStyle w:val="BodyText2"/>
      </w:pPr>
      <w:r w:rsidRPr="001F28EC">
        <w:t xml:space="preserve">the collection of </w:t>
      </w:r>
      <w:proofErr w:type="gramStart"/>
      <w:r w:rsidRPr="001F28EC">
        <w:t>data;</w:t>
      </w:r>
      <w:proofErr w:type="gramEnd"/>
    </w:p>
    <w:p w14:paraId="3C56F0F3" w14:textId="77777777" w:rsidR="005C7409" w:rsidRPr="001F28EC" w:rsidRDefault="005C7409" w:rsidP="002A38AD">
      <w:pPr>
        <w:pStyle w:val="BodyText2"/>
      </w:pPr>
      <w:r w:rsidRPr="001F28EC">
        <w:t xml:space="preserve">processes for ensuring integrity, completeness, consistency and </w:t>
      </w:r>
      <w:proofErr w:type="gramStart"/>
      <w:r w:rsidRPr="001F28EC">
        <w:t>accuracy;</w:t>
      </w:r>
      <w:proofErr w:type="gramEnd"/>
    </w:p>
    <w:p w14:paraId="6E668127" w14:textId="77777777" w:rsidR="005C7409" w:rsidRPr="001F28EC" w:rsidRDefault="005C7409" w:rsidP="002A38AD">
      <w:pPr>
        <w:pStyle w:val="BodyText2"/>
      </w:pPr>
      <w:r w:rsidRPr="001F28EC">
        <w:t xml:space="preserve">data </w:t>
      </w:r>
      <w:proofErr w:type="gramStart"/>
      <w:r w:rsidRPr="001F28EC">
        <w:t>storage;</w:t>
      </w:r>
      <w:proofErr w:type="gramEnd"/>
    </w:p>
    <w:p w14:paraId="0CFAFD29" w14:textId="77777777" w:rsidR="005C7409" w:rsidRPr="001F28EC" w:rsidRDefault="005C7409" w:rsidP="002A38AD">
      <w:pPr>
        <w:pStyle w:val="BodyText2"/>
      </w:pPr>
      <w:r w:rsidRPr="001F28EC">
        <w:t>application purposes; and</w:t>
      </w:r>
    </w:p>
    <w:p w14:paraId="060F7C55" w14:textId="55529F0F" w:rsidR="002675C3" w:rsidRPr="001F28EC" w:rsidRDefault="005C7409" w:rsidP="002A38AD">
      <w:pPr>
        <w:pStyle w:val="BodyText2"/>
      </w:pPr>
      <w:r w:rsidRPr="001F28EC">
        <w:t>an outline of all data flows between systems, including whether any manual processes are involved in such flows.</w:t>
      </w:r>
    </w:p>
    <w:p w14:paraId="7CA4AC1A" w14:textId="1535FF09" w:rsidR="00433AA3" w:rsidRPr="001F28EC" w:rsidRDefault="00433AA3" w:rsidP="00C37A1F">
      <w:pPr>
        <w:pStyle w:val="Attachmentheading1"/>
        <w:rPr>
          <w:i/>
        </w:rPr>
      </w:pPr>
      <w:bookmarkStart w:id="93" w:name="_Toc176749321"/>
      <w:bookmarkStart w:id="94" w:name="_Toc177286371"/>
      <w:bookmarkEnd w:id="91"/>
      <w:r w:rsidRPr="001F28EC">
        <w:lastRenderedPageBreak/>
        <w:t>Independent review</w:t>
      </w:r>
      <w:r w:rsidR="00DC4DF2" w:rsidRPr="001F28EC">
        <w:t xml:space="preserve"> of </w:t>
      </w:r>
      <w:r w:rsidR="00C95E9F" w:rsidRPr="001F28EC">
        <w:t xml:space="preserve">risk </w:t>
      </w:r>
      <w:r w:rsidR="00DC4DF2" w:rsidRPr="001F28EC">
        <w:t>management framework</w:t>
      </w:r>
      <w:bookmarkEnd w:id="93"/>
      <w:bookmarkEnd w:id="94"/>
      <w:r w:rsidR="00C95E9F" w:rsidRPr="001F28EC">
        <w:t xml:space="preserve"> for IRRBB</w:t>
      </w:r>
    </w:p>
    <w:p w14:paraId="57D28E78" w14:textId="17BB0666" w:rsidR="00C95E9F" w:rsidRPr="001F28EC" w:rsidRDefault="0022002E" w:rsidP="002A38AD">
      <w:pPr>
        <w:pStyle w:val="BodyText1"/>
      </w:pPr>
      <w:bookmarkStart w:id="95" w:name="_Ref136152506"/>
      <w:bookmarkStart w:id="96" w:name="_Ref119349323"/>
      <w:bookmarkStart w:id="97" w:name="_Ref165089843"/>
      <w:bookmarkStart w:id="98" w:name="_Ref103267750"/>
      <w:bookmarkStart w:id="99" w:name="_Ref535229991"/>
      <w:bookmarkStart w:id="100" w:name="_Ref535582771"/>
      <w:r w:rsidRPr="001F28EC">
        <w:t xml:space="preserve">For the purposes of the review of the risk management framework </w:t>
      </w:r>
      <w:r w:rsidR="00F87E0A" w:rsidRPr="001F28EC">
        <w:t xml:space="preserve">in relation to IRRBB </w:t>
      </w:r>
      <w:r w:rsidRPr="001F28EC">
        <w:t>in CPS 220, s</w:t>
      </w:r>
      <w:r w:rsidR="00433AA3" w:rsidRPr="001F28EC">
        <w:t>uch reviews must be conducted by functionally independent, appropriately trained and competent personnel</w:t>
      </w:r>
      <w:bookmarkEnd w:id="95"/>
      <w:r w:rsidR="006D7960" w:rsidRPr="001F28EC">
        <w:t xml:space="preserve"> and</w:t>
      </w:r>
      <w:r w:rsidR="00433AA3" w:rsidRPr="001F28EC">
        <w:t xml:space="preserve"> must cover both the activities of relevant business units and the IRRBB management function</w:t>
      </w:r>
      <w:r w:rsidR="006D7960" w:rsidRPr="001F28EC">
        <w:t>.</w:t>
      </w:r>
      <w:bookmarkEnd w:id="96"/>
    </w:p>
    <w:p w14:paraId="546B69D0" w14:textId="7328E6D8" w:rsidR="00433AA3" w:rsidRPr="001F28EC" w:rsidRDefault="006D7960" w:rsidP="002A38AD">
      <w:pPr>
        <w:pStyle w:val="BodyText1"/>
      </w:pPr>
      <w:bookmarkStart w:id="101" w:name="_Ref119346703"/>
      <w:r w:rsidRPr="001F28EC">
        <w:t xml:space="preserve">For an ADI </w:t>
      </w:r>
      <w:r w:rsidR="00E36458" w:rsidRPr="001F28EC">
        <w:t>with</w:t>
      </w:r>
      <w:r w:rsidR="006A2281" w:rsidRPr="001F28EC">
        <w:t xml:space="preserve"> </w:t>
      </w:r>
      <w:r w:rsidR="00E36458" w:rsidRPr="001F28EC">
        <w:t xml:space="preserve">an approved </w:t>
      </w:r>
      <w:r w:rsidR="00CE02F3" w:rsidRPr="001F28EC">
        <w:t xml:space="preserve">IRRBB </w:t>
      </w:r>
      <w:r w:rsidRPr="001F28EC">
        <w:t>model</w:t>
      </w:r>
      <w:r w:rsidR="00D355DA" w:rsidRPr="001F28EC">
        <w:t>,</w:t>
      </w:r>
      <w:r w:rsidRPr="001F28EC">
        <w:t xml:space="preserve"> such reviews </w:t>
      </w:r>
      <w:r w:rsidR="00433AA3" w:rsidRPr="001F28EC">
        <w:t xml:space="preserve">must take place </w:t>
      </w:r>
      <w:r w:rsidR="00CE02F3" w:rsidRPr="001F28EC">
        <w:t xml:space="preserve">at the time of IRRBB model approval and thereafter </w:t>
      </w:r>
      <w:r w:rsidR="00433AA3" w:rsidRPr="001F28EC">
        <w:t xml:space="preserve">at least once every three years </w:t>
      </w:r>
      <w:r w:rsidR="004A1572" w:rsidRPr="001F28EC">
        <w:t xml:space="preserve">and </w:t>
      </w:r>
      <w:r w:rsidR="00433AA3" w:rsidRPr="001F28EC">
        <w:t xml:space="preserve">when a material change is made to the </w:t>
      </w:r>
      <w:r w:rsidR="004A1572" w:rsidRPr="001F28EC">
        <w:t xml:space="preserve">IRRBB management </w:t>
      </w:r>
      <w:r w:rsidR="00433AA3" w:rsidRPr="001F28EC">
        <w:t>framework</w:t>
      </w:r>
      <w:bookmarkEnd w:id="97"/>
      <w:r w:rsidR="00433AA3" w:rsidRPr="001F28EC">
        <w:t>.</w:t>
      </w:r>
      <w:r w:rsidRPr="001F28EC">
        <w:t xml:space="preserve"> </w:t>
      </w:r>
      <w:r w:rsidR="004A1572" w:rsidRPr="001F28EC">
        <w:t xml:space="preserve">A summary of the results of the review must be </w:t>
      </w:r>
      <w:r w:rsidR="00D355DA" w:rsidRPr="001F28EC">
        <w:t>provided</w:t>
      </w:r>
      <w:r w:rsidR="004A1572" w:rsidRPr="001F28EC">
        <w:t xml:space="preserve"> to the Board or Board committee. </w:t>
      </w:r>
      <w:r w:rsidR="00DF109C" w:rsidRPr="001F28EC">
        <w:t>A</w:t>
      </w:r>
      <w:r w:rsidR="00BC7ACD" w:rsidRPr="001F28EC">
        <w:t>n ADI must provide a</w:t>
      </w:r>
      <w:r w:rsidR="00DF109C" w:rsidRPr="001F28EC">
        <w:t xml:space="preserve"> report on the review</w:t>
      </w:r>
      <w:r w:rsidR="000F2BE3" w:rsidRPr="001F28EC">
        <w:t xml:space="preserve"> </w:t>
      </w:r>
      <w:r w:rsidR="004A1572" w:rsidRPr="001F28EC">
        <w:t xml:space="preserve">to APRA </w:t>
      </w:r>
      <w:r w:rsidR="000F2BE3" w:rsidRPr="001F28EC">
        <w:t>within three months of its completion</w:t>
      </w:r>
      <w:r w:rsidR="00DF109C" w:rsidRPr="001F28EC">
        <w:t>.</w:t>
      </w:r>
      <w:bookmarkEnd w:id="98"/>
      <w:bookmarkEnd w:id="101"/>
      <w:r w:rsidR="00DF109C" w:rsidRPr="001F28EC">
        <w:t xml:space="preserve"> </w:t>
      </w:r>
      <w:bookmarkEnd w:id="99"/>
      <w:bookmarkEnd w:id="100"/>
    </w:p>
    <w:p w14:paraId="37C740E1" w14:textId="07731792" w:rsidR="00433AA3" w:rsidRPr="001F28EC" w:rsidRDefault="00433AA3" w:rsidP="002A38AD">
      <w:pPr>
        <w:pStyle w:val="BodyText1"/>
      </w:pPr>
      <w:bookmarkStart w:id="102" w:name="_Ref103267768"/>
      <w:bookmarkStart w:id="103" w:name="_Ref165089848"/>
      <w:proofErr w:type="gramStart"/>
      <w:r w:rsidRPr="001F28EC">
        <w:t>For the purpose of</w:t>
      </w:r>
      <w:proofErr w:type="gramEnd"/>
      <w:r w:rsidRPr="001F28EC">
        <w:t xml:space="preserve"> </w:t>
      </w:r>
      <w:r w:rsidR="00C95E9F" w:rsidRPr="001F28EC">
        <w:t>the review</w:t>
      </w:r>
      <w:r w:rsidRPr="001F28EC">
        <w:t>, ‘functionally independent’ means that</w:t>
      </w:r>
      <w:r w:rsidR="004A0F83" w:rsidRPr="001F28EC">
        <w:t xml:space="preserve"> the party or parties conducting the reviews</w:t>
      </w:r>
      <w:r w:rsidRPr="001F28EC">
        <w:t>:</w:t>
      </w:r>
      <w:bookmarkEnd w:id="102"/>
    </w:p>
    <w:bookmarkEnd w:id="103"/>
    <w:p w14:paraId="7210DC4A" w14:textId="0E595864" w:rsidR="00433AA3" w:rsidRPr="001F28EC" w:rsidRDefault="00433AA3" w:rsidP="002A38AD">
      <w:pPr>
        <w:pStyle w:val="BodyText2"/>
      </w:pPr>
      <w:r w:rsidRPr="001F28EC">
        <w:t xml:space="preserve">do not contribute to the </w:t>
      </w:r>
      <w:smartTag w:uri="urn:schemas-microsoft-com:office:smarttags" w:element="stockticker">
        <w:r w:rsidRPr="001F28EC">
          <w:t>ADI</w:t>
        </w:r>
      </w:smartTag>
      <w:r w:rsidRPr="001F28EC">
        <w:t xml:space="preserve">’s IRRBB profile through the origination or alteration of risk; and </w:t>
      </w:r>
    </w:p>
    <w:p w14:paraId="45F94C6D" w14:textId="14A0A3C3" w:rsidR="000129E5" w:rsidRPr="001F28EC" w:rsidRDefault="00433AA3" w:rsidP="002A38AD">
      <w:pPr>
        <w:pStyle w:val="BodyText2"/>
      </w:pPr>
      <w:r w:rsidRPr="001F28EC">
        <w:t>must not be</w:t>
      </w:r>
      <w:r w:rsidR="000129E5" w:rsidRPr="001F28EC">
        <w:t>, or have been:</w:t>
      </w:r>
    </w:p>
    <w:p w14:paraId="17615956" w14:textId="3DCA7DAB" w:rsidR="000129E5" w:rsidRPr="001F28EC" w:rsidRDefault="00433AA3" w:rsidP="002A38AD">
      <w:pPr>
        <w:pStyle w:val="BodyText3"/>
      </w:pPr>
      <w:r w:rsidRPr="001F28EC">
        <w:t>involved in the development, implementation or operation of the IRRBB measurement system</w:t>
      </w:r>
      <w:r w:rsidR="000129E5" w:rsidRPr="001F28EC">
        <w:t>;</w:t>
      </w:r>
      <w:r w:rsidRPr="001F28EC">
        <w:t xml:space="preserve"> or </w:t>
      </w:r>
    </w:p>
    <w:p w14:paraId="0BDFF9F3" w14:textId="01B99074" w:rsidR="00433AA3" w:rsidRPr="001F28EC" w:rsidRDefault="00433AA3" w:rsidP="002A38AD">
      <w:pPr>
        <w:pStyle w:val="BodyText3"/>
      </w:pPr>
      <w:r w:rsidRPr="001F28EC">
        <w:t>part of, or report</w:t>
      </w:r>
      <w:r w:rsidR="000129E5" w:rsidRPr="001F28EC">
        <w:t>ing</w:t>
      </w:r>
      <w:r w:rsidRPr="001F28EC">
        <w:t xml:space="preserve"> to</w:t>
      </w:r>
      <w:r w:rsidR="00D92702" w:rsidRPr="001F28EC">
        <w:t>,</w:t>
      </w:r>
      <w:r w:rsidRPr="001F28EC">
        <w:t xml:space="preserve"> the risk management function </w:t>
      </w:r>
      <w:r w:rsidR="00C95E9F" w:rsidRPr="001F28EC">
        <w:t>for IRRBB</w:t>
      </w:r>
      <w:r w:rsidRPr="001F28EC">
        <w:t xml:space="preserve">. </w:t>
      </w:r>
    </w:p>
    <w:p w14:paraId="23CD0569" w14:textId="77777777" w:rsidR="005C43C9" w:rsidRPr="001F28EC" w:rsidRDefault="00433AA3" w:rsidP="00B95DE2">
      <w:pPr>
        <w:pStyle w:val="BodyText1"/>
        <w:numPr>
          <w:ilvl w:val="0"/>
          <w:numId w:val="0"/>
        </w:numPr>
        <w:ind w:left="567"/>
      </w:pPr>
      <w:r w:rsidRPr="001F28EC">
        <w:t>It is not necessary that the same party undertake all aspects of the review</w:t>
      </w:r>
      <w:r w:rsidR="003B1307" w:rsidRPr="001F28EC">
        <w:t>.</w:t>
      </w:r>
      <w:r w:rsidRPr="001F28EC">
        <w:rPr>
          <w:rStyle w:val="FootnoteReference"/>
          <w:szCs w:val="24"/>
        </w:rPr>
        <w:footnoteReference w:id="4"/>
      </w:r>
    </w:p>
    <w:p w14:paraId="03A1A7D4" w14:textId="60EAE8A8" w:rsidR="005C43C9" w:rsidRPr="001F28EC" w:rsidRDefault="00D12C69" w:rsidP="00C37A1F">
      <w:pPr>
        <w:pStyle w:val="Attachmentheading1"/>
        <w:rPr>
          <w:i/>
        </w:rPr>
      </w:pPr>
      <w:r w:rsidRPr="001F28EC">
        <w:t>Regular m</w:t>
      </w:r>
      <w:r w:rsidR="004A3238" w:rsidRPr="001F28EC">
        <w:t>odel testing</w:t>
      </w:r>
    </w:p>
    <w:p w14:paraId="6BB028F5" w14:textId="60D86235" w:rsidR="005C43C9" w:rsidRPr="001F28EC" w:rsidRDefault="005C43C9" w:rsidP="002A38AD">
      <w:pPr>
        <w:pStyle w:val="BodyText1"/>
      </w:pPr>
      <w:bookmarkStart w:id="104" w:name="_Ref103267671"/>
      <w:bookmarkStart w:id="105" w:name="_Ref13554519"/>
      <w:r w:rsidRPr="001F28EC">
        <w:t xml:space="preserve">An </w:t>
      </w:r>
      <w:smartTag w:uri="urn:schemas-microsoft-com:office:smarttags" w:element="stockticker">
        <w:r w:rsidRPr="001F28EC">
          <w:t>ADI</w:t>
        </w:r>
      </w:smartTag>
      <w:r w:rsidRPr="001F28EC">
        <w:t xml:space="preserve"> </w:t>
      </w:r>
      <w:r w:rsidR="0072410E" w:rsidRPr="001F28EC">
        <w:t xml:space="preserve">that has </w:t>
      </w:r>
      <w:r w:rsidR="002A7CA2" w:rsidRPr="001F28EC">
        <w:t>IRRBB model approval</w:t>
      </w:r>
      <w:r w:rsidR="0072410E" w:rsidRPr="001F28EC">
        <w:t xml:space="preserve"> </w:t>
      </w:r>
      <w:r w:rsidRPr="001F28EC">
        <w:t xml:space="preserve">must have a documented </w:t>
      </w:r>
      <w:r w:rsidR="004A3238" w:rsidRPr="001F28EC">
        <w:t xml:space="preserve">process </w:t>
      </w:r>
      <w:r w:rsidRPr="001F28EC">
        <w:t xml:space="preserve">in place to </w:t>
      </w:r>
      <w:r w:rsidR="00D12C69" w:rsidRPr="001F28EC">
        <w:t xml:space="preserve">test </w:t>
      </w:r>
      <w:r w:rsidRPr="001F28EC">
        <w:t>the accuracy and consistency of its internal model</w:t>
      </w:r>
      <w:r w:rsidR="00D12C69" w:rsidRPr="001F28EC">
        <w:t xml:space="preserve"> and assumptions</w:t>
      </w:r>
      <w:r w:rsidRPr="001F28EC">
        <w:t xml:space="preserve">. The </w:t>
      </w:r>
      <w:smartTag w:uri="urn:schemas-microsoft-com:office:smarttags" w:element="stockticker">
        <w:r w:rsidRPr="001F28EC">
          <w:t>ADI</w:t>
        </w:r>
      </w:smartTag>
      <w:r w:rsidRPr="001F28EC">
        <w:t xml:space="preserve"> must satisfy APRA that </w:t>
      </w:r>
      <w:r w:rsidR="004A3238" w:rsidRPr="001F28EC">
        <w:t>the</w:t>
      </w:r>
      <w:r w:rsidRPr="001F28EC">
        <w:t xml:space="preserve"> process enables it to assess the performance of its internal model in a meaningful and consistent manner. </w:t>
      </w:r>
      <w:r w:rsidR="0064042A" w:rsidRPr="001F28EC">
        <w:t xml:space="preserve">An ADI must perform regular model testing against actual loss experience to ensure reasonableness of model estimates. </w:t>
      </w:r>
      <w:r w:rsidR="004A3238" w:rsidRPr="001F28EC">
        <w:t>An ADI must also document and regularly review the materiality of all model limitations and risks not captured by its internal model</w:t>
      </w:r>
      <w:bookmarkEnd w:id="104"/>
      <w:bookmarkEnd w:id="105"/>
      <w:r w:rsidR="003A7A1B" w:rsidRPr="001F28EC">
        <w:t>.</w:t>
      </w:r>
    </w:p>
    <w:p w14:paraId="4F4CB88A" w14:textId="6D5E9C46" w:rsidR="002B6806" w:rsidRPr="001F28EC" w:rsidRDefault="005C43C9" w:rsidP="00C46032">
      <w:pPr>
        <w:pStyle w:val="BodyText1"/>
        <w:sectPr w:rsidR="002B6806" w:rsidRPr="001F28EC" w:rsidSect="00E06880">
          <w:headerReference w:type="default" r:id="rId14"/>
          <w:footerReference w:type="default" r:id="rId15"/>
          <w:pgSz w:w="11906" w:h="16838"/>
          <w:pgMar w:top="1440" w:right="1800" w:bottom="1440" w:left="1800" w:header="720" w:footer="720" w:gutter="0"/>
          <w:pgNumType w:start="1"/>
          <w:cols w:space="720"/>
        </w:sectPr>
      </w:pPr>
      <w:bookmarkStart w:id="106" w:name="_Ref13554521"/>
      <w:r w:rsidRPr="001F28EC">
        <w:t xml:space="preserve">An </w:t>
      </w:r>
      <w:smartTag w:uri="urn:schemas-microsoft-com:office:smarttags" w:element="stockticker">
        <w:r w:rsidRPr="001F28EC">
          <w:t>ADI</w:t>
        </w:r>
      </w:smartTag>
      <w:r w:rsidRPr="001F28EC">
        <w:t xml:space="preserve"> </w:t>
      </w:r>
      <w:r w:rsidR="0072410E" w:rsidRPr="001F28EC">
        <w:t xml:space="preserve">that has </w:t>
      </w:r>
      <w:r w:rsidR="002A7CA2" w:rsidRPr="001F28EC">
        <w:t>IRRBB model approval</w:t>
      </w:r>
      <w:r w:rsidR="0072410E" w:rsidRPr="001F28EC">
        <w:t xml:space="preserve"> </w:t>
      </w:r>
      <w:r w:rsidRPr="001F28EC">
        <w:t>must have a robust</w:t>
      </w:r>
      <w:r w:rsidR="00F550E6" w:rsidRPr="001F28EC">
        <w:t xml:space="preserve"> and</w:t>
      </w:r>
      <w:r w:rsidR="00DC4DF2" w:rsidRPr="001F28EC">
        <w:t xml:space="preserve"> documented</w:t>
      </w:r>
      <w:r w:rsidRPr="001F28EC">
        <w:t xml:space="preserve"> process for </w:t>
      </w:r>
      <w:r w:rsidR="00D12C69" w:rsidRPr="001F28EC">
        <w:t xml:space="preserve">testing </w:t>
      </w:r>
      <w:r w:rsidRPr="001F28EC">
        <w:t>changes to its internal model</w:t>
      </w:r>
      <w:r w:rsidR="00D12C69" w:rsidRPr="001F28EC">
        <w:t xml:space="preserve">, including assumptions and </w:t>
      </w:r>
      <w:r w:rsidRPr="001F28EC">
        <w:t>information that flows into that model.</w:t>
      </w:r>
      <w:bookmarkEnd w:id="106"/>
    </w:p>
    <w:p w14:paraId="421E1855" w14:textId="231DD666" w:rsidR="008308F6" w:rsidRPr="001F28EC" w:rsidRDefault="008308F6" w:rsidP="008308F6">
      <w:pPr>
        <w:pStyle w:val="Heading2"/>
        <w:rPr>
          <w:i/>
        </w:rPr>
      </w:pPr>
      <w:bookmarkStart w:id="107" w:name="_Toc8915511"/>
      <w:bookmarkStart w:id="108" w:name="_Toc171007232"/>
      <w:r w:rsidRPr="001F28EC">
        <w:lastRenderedPageBreak/>
        <w:t xml:space="preserve">Attachment </w:t>
      </w:r>
      <w:r w:rsidR="00203312" w:rsidRPr="001F28EC">
        <w:t>A</w:t>
      </w:r>
      <w:r w:rsidR="004602F4" w:rsidRPr="001F28EC">
        <w:t xml:space="preserve"> –</w:t>
      </w:r>
      <w:r w:rsidRPr="001F28EC">
        <w:t xml:space="preserve"> </w:t>
      </w:r>
      <w:bookmarkStart w:id="109" w:name="_Toc338670627"/>
      <w:bookmarkStart w:id="110" w:name="_Toc176749323"/>
      <w:r w:rsidRPr="001F28EC">
        <w:t xml:space="preserve">Approved IRRBB </w:t>
      </w:r>
      <w:bookmarkEnd w:id="109"/>
      <w:r w:rsidRPr="001F28EC">
        <w:t>models</w:t>
      </w:r>
      <w:bookmarkEnd w:id="107"/>
      <w:bookmarkEnd w:id="108"/>
      <w:r w:rsidRPr="001F28EC">
        <w:t xml:space="preserve"> </w:t>
      </w:r>
      <w:bookmarkEnd w:id="110"/>
    </w:p>
    <w:p w14:paraId="55E470C4" w14:textId="3B204CD7" w:rsidR="0045772F" w:rsidRPr="001F28EC" w:rsidRDefault="00BD6F0A" w:rsidP="003C1B95">
      <w:pPr>
        <w:pStyle w:val="BodyText1"/>
        <w:numPr>
          <w:ilvl w:val="0"/>
          <w:numId w:val="12"/>
        </w:numPr>
      </w:pPr>
      <w:bookmarkStart w:id="111" w:name="_Ref8646992"/>
      <w:r w:rsidRPr="001F28EC">
        <w:t>This Attachment applies to an ADI</w:t>
      </w:r>
      <w:r w:rsidR="006501EA" w:rsidRPr="001F28EC">
        <w:t xml:space="preserve"> that has an approved IRRBB model</w:t>
      </w:r>
      <w:r w:rsidR="00E26B2D" w:rsidRPr="001F28EC">
        <w:t>.</w:t>
      </w:r>
    </w:p>
    <w:p w14:paraId="1AD4F736" w14:textId="7820769C" w:rsidR="00D83EBB" w:rsidRPr="001F28EC" w:rsidRDefault="001B1B6A" w:rsidP="00FD0872">
      <w:pPr>
        <w:pStyle w:val="Attachmentheading1"/>
      </w:pPr>
      <w:r w:rsidRPr="001F28EC">
        <w:t>IRRBB capital charge</w:t>
      </w:r>
    </w:p>
    <w:p w14:paraId="2DBB26C3" w14:textId="19187739" w:rsidR="003C2A3C" w:rsidRPr="001F28EC" w:rsidRDefault="0045772F" w:rsidP="003C1B95">
      <w:pPr>
        <w:pStyle w:val="BodyText1"/>
      </w:pPr>
      <w:bookmarkStart w:id="112" w:name="_Ref119347321"/>
      <w:r w:rsidRPr="001F28EC">
        <w:t>T</w:t>
      </w:r>
      <w:r w:rsidR="002A7111" w:rsidRPr="001F28EC">
        <w:t xml:space="preserve">he IRRBB </w:t>
      </w:r>
      <w:r w:rsidR="00886E94" w:rsidRPr="001F28EC">
        <w:t>capital charge is calculated as:</w:t>
      </w:r>
    </w:p>
    <w:p w14:paraId="6A3F02DB" w14:textId="47386BDD" w:rsidR="00886E94" w:rsidRPr="001F28EC" w:rsidRDefault="0025403F" w:rsidP="005C405F">
      <w:pPr>
        <w:pStyle w:val="BodyText1"/>
        <w:numPr>
          <w:ilvl w:val="0"/>
          <w:numId w:val="0"/>
        </w:numPr>
        <w:ind w:left="567"/>
        <w:jc w:val="center"/>
      </w:pPr>
      <w:r w:rsidRPr="001F28EC">
        <w:rPr>
          <w:noProof/>
        </w:rPr>
        <w:drawing>
          <wp:inline distT="0" distB="0" distL="0" distR="0" wp14:anchorId="5A8ECC7C" wp14:editId="67D4D244">
            <wp:extent cx="2838759" cy="397566"/>
            <wp:effectExtent l="0" t="0" r="0" b="2540"/>
            <wp:docPr id="439954988" name="Picture 1" descr="Formula for calculating the IRRBB capital ch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54988" name="Picture 1" descr="Formula for calculating the IRRBB capital charge"/>
                    <pic:cNvPicPr/>
                  </pic:nvPicPr>
                  <pic:blipFill>
                    <a:blip r:embed="rId16"/>
                    <a:stretch>
                      <a:fillRect/>
                    </a:stretch>
                  </pic:blipFill>
                  <pic:spPr>
                    <a:xfrm>
                      <a:off x="0" y="0"/>
                      <a:ext cx="2885601" cy="404126"/>
                    </a:xfrm>
                    <a:prstGeom prst="rect">
                      <a:avLst/>
                    </a:prstGeom>
                  </pic:spPr>
                </pic:pic>
              </a:graphicData>
            </a:graphic>
          </wp:inline>
        </w:drawing>
      </w:r>
    </w:p>
    <w:p w14:paraId="5A9FD56F" w14:textId="4B5C7A4E" w:rsidR="0025403F" w:rsidRPr="001F28EC" w:rsidRDefault="00D41819" w:rsidP="00604BFF">
      <w:pPr>
        <w:pStyle w:val="BodyText1"/>
        <w:numPr>
          <w:ilvl w:val="0"/>
          <w:numId w:val="0"/>
        </w:numPr>
        <w:ind w:left="567"/>
      </w:pPr>
      <w:r w:rsidRPr="001F28EC">
        <w:t>w</w:t>
      </w:r>
      <w:r w:rsidR="00227361" w:rsidRPr="001F28EC">
        <w:t>here f</w:t>
      </w:r>
      <w:r w:rsidR="000E2AB5" w:rsidRPr="001F28EC">
        <w:t xml:space="preserve">or a given repricing assumption </w:t>
      </w:r>
      <w:r w:rsidR="0025403F" w:rsidRPr="001F28EC">
        <w:rPr>
          <w:noProof/>
        </w:rPr>
        <w:drawing>
          <wp:inline distT="0" distB="0" distL="0" distR="0" wp14:anchorId="7C97EE1B" wp14:editId="0CD07E68">
            <wp:extent cx="1725433" cy="164090"/>
            <wp:effectExtent l="0" t="0" r="0" b="7620"/>
            <wp:docPr id="1822517526" name="Picture 1" descr="In the set m, containing the elements central, shorter and lo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17526" name="Picture 1" descr="In the set m, containing the elements central, shorter and longer"/>
                    <pic:cNvPicPr/>
                  </pic:nvPicPr>
                  <pic:blipFill>
                    <a:blip r:embed="rId17"/>
                    <a:stretch>
                      <a:fillRect/>
                    </a:stretch>
                  </pic:blipFill>
                  <pic:spPr>
                    <a:xfrm>
                      <a:off x="0" y="0"/>
                      <a:ext cx="1787992" cy="170039"/>
                    </a:xfrm>
                    <a:prstGeom prst="rect">
                      <a:avLst/>
                    </a:prstGeom>
                  </pic:spPr>
                </pic:pic>
              </a:graphicData>
            </a:graphic>
          </wp:inline>
        </w:drawing>
      </w:r>
      <w:r w:rsidR="0025403F" w:rsidRPr="001F28EC">
        <w:t>,</w:t>
      </w:r>
    </w:p>
    <w:p w14:paraId="17985A09" w14:textId="09B476D0" w:rsidR="008308F6" w:rsidRPr="001F28EC" w:rsidRDefault="0025403F" w:rsidP="00604BFF">
      <w:pPr>
        <w:pStyle w:val="BodyText1"/>
        <w:numPr>
          <w:ilvl w:val="0"/>
          <w:numId w:val="0"/>
        </w:numPr>
        <w:ind w:left="567"/>
      </w:pPr>
      <w:r w:rsidRPr="001F28EC">
        <w:rPr>
          <w:noProof/>
        </w:rPr>
        <w:drawing>
          <wp:inline distT="0" distB="0" distL="0" distR="0" wp14:anchorId="0EE7D0A1" wp14:editId="06D0937C">
            <wp:extent cx="1353787" cy="206011"/>
            <wp:effectExtent l="0" t="0" r="0" b="3810"/>
            <wp:docPr id="965850718" name="Picture 1" descr="IRRBB capital charge sub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50718" name="Picture 1" descr="IRRBB capital charge subscript m"/>
                    <pic:cNvPicPr/>
                  </pic:nvPicPr>
                  <pic:blipFill>
                    <a:blip r:embed="rId18"/>
                    <a:stretch>
                      <a:fillRect/>
                    </a:stretch>
                  </pic:blipFill>
                  <pic:spPr>
                    <a:xfrm>
                      <a:off x="0" y="0"/>
                      <a:ext cx="1373638" cy="209032"/>
                    </a:xfrm>
                    <a:prstGeom prst="rect">
                      <a:avLst/>
                    </a:prstGeom>
                  </pic:spPr>
                </pic:pic>
              </a:graphicData>
            </a:graphic>
          </wp:inline>
        </w:drawing>
      </w:r>
      <w:r w:rsidR="00C936CF" w:rsidRPr="001F28EC">
        <w:t xml:space="preserve"> </w:t>
      </w:r>
      <w:r w:rsidR="008308F6" w:rsidRPr="001F28EC">
        <w:t>at a calculation date</w:t>
      </w:r>
      <w:r w:rsidR="00B52275" w:rsidRPr="001F28EC">
        <w:t xml:space="preserve"> </w:t>
      </w:r>
      <w:r w:rsidR="00832D84" w:rsidRPr="001F28EC">
        <w:rPr>
          <w:noProof/>
        </w:rPr>
        <w:drawing>
          <wp:inline distT="0" distB="0" distL="0" distR="0" wp14:anchorId="244C6706" wp14:editId="20FC4957">
            <wp:extent cx="144946" cy="198783"/>
            <wp:effectExtent l="0" t="0" r="7620" b="0"/>
            <wp:docPr id="145108651" name="Picture 1" descr="calculation dat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8651" name="Picture 1" descr="calculation date d"/>
                    <pic:cNvPicPr/>
                  </pic:nvPicPr>
                  <pic:blipFill>
                    <a:blip r:embed="rId19"/>
                    <a:stretch>
                      <a:fillRect/>
                    </a:stretch>
                  </pic:blipFill>
                  <pic:spPr>
                    <a:xfrm>
                      <a:off x="0" y="0"/>
                      <a:ext cx="148514" cy="203676"/>
                    </a:xfrm>
                    <a:prstGeom prst="rect">
                      <a:avLst/>
                    </a:prstGeom>
                  </pic:spPr>
                </pic:pic>
              </a:graphicData>
            </a:graphic>
          </wp:inline>
        </w:drawing>
      </w:r>
      <m:oMath>
        <m:r>
          <w:rPr>
            <w:rFonts w:ascii="Cambria Math" w:hAnsi="Cambria Math"/>
          </w:rPr>
          <m:t xml:space="preserve"> </m:t>
        </m:r>
      </m:oMath>
      <w:r w:rsidR="008308F6" w:rsidRPr="001F28EC">
        <w:t xml:space="preserve">is the </w:t>
      </w:r>
      <w:r w:rsidR="009B49F2" w:rsidRPr="001F28EC">
        <w:t>greater</w:t>
      </w:r>
      <w:r w:rsidR="003339F6" w:rsidRPr="001F28EC">
        <w:t xml:space="preserve"> </w:t>
      </w:r>
      <w:r w:rsidR="008308F6" w:rsidRPr="001F28EC">
        <w:t>of zero and:</w:t>
      </w:r>
      <w:bookmarkEnd w:id="112"/>
    </w:p>
    <w:p w14:paraId="4AC2C6FD" w14:textId="3C1D61BB" w:rsidR="008308F6" w:rsidRPr="001F28EC" w:rsidRDefault="00A90D56" w:rsidP="005C405F">
      <w:pPr>
        <w:pStyle w:val="BodyText1"/>
        <w:numPr>
          <w:ilvl w:val="0"/>
          <w:numId w:val="0"/>
        </w:numPr>
        <w:ind w:left="567"/>
        <w:jc w:val="center"/>
      </w:pPr>
      <w:r w:rsidRPr="001F28EC">
        <w:rPr>
          <w:noProof/>
        </w:rPr>
        <w:drawing>
          <wp:inline distT="0" distB="0" distL="0" distR="0" wp14:anchorId="4E3B2457" wp14:editId="46477F2E">
            <wp:extent cx="3848431" cy="407732"/>
            <wp:effectExtent l="0" t="0" r="0" b="0"/>
            <wp:docPr id="1481006751" name="Picture 1" descr="Formula for the calculating the IRRBB capital charge for a given repricing assumption in the se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06751" name="Picture 1" descr="Formula for the calculating the IRRBB capital charge for a given repricing assumption in the set m"/>
                    <pic:cNvPicPr/>
                  </pic:nvPicPr>
                  <pic:blipFill>
                    <a:blip r:embed="rId20"/>
                    <a:stretch>
                      <a:fillRect/>
                    </a:stretch>
                  </pic:blipFill>
                  <pic:spPr>
                    <a:xfrm>
                      <a:off x="0" y="0"/>
                      <a:ext cx="3917948" cy="415097"/>
                    </a:xfrm>
                    <a:prstGeom prst="rect">
                      <a:avLst/>
                    </a:prstGeom>
                  </pic:spPr>
                </pic:pic>
              </a:graphicData>
            </a:graphic>
          </wp:inline>
        </w:drawing>
      </w:r>
    </w:p>
    <w:p w14:paraId="2D58A8D6" w14:textId="77777777" w:rsidR="008308F6" w:rsidRPr="001F28EC" w:rsidRDefault="008308F6" w:rsidP="00FD0872">
      <w:pPr>
        <w:pStyle w:val="BodyText1"/>
        <w:numPr>
          <w:ilvl w:val="0"/>
          <w:numId w:val="0"/>
        </w:numPr>
        <w:ind w:left="567"/>
      </w:pPr>
      <w:r w:rsidRPr="001F28EC">
        <w:t xml:space="preserve">where: </w:t>
      </w:r>
    </w:p>
    <w:p w14:paraId="3D51D3D0" w14:textId="31CC7890" w:rsidR="008308F6" w:rsidRPr="001F28EC" w:rsidRDefault="00A90D56" w:rsidP="00D96DD9">
      <w:pPr>
        <w:pStyle w:val="BodyText1"/>
        <w:numPr>
          <w:ilvl w:val="0"/>
          <w:numId w:val="0"/>
        </w:numPr>
        <w:ind w:left="567"/>
      </w:pPr>
      <w:r w:rsidRPr="001F28EC">
        <w:rPr>
          <w:noProof/>
        </w:rPr>
        <w:drawing>
          <wp:inline distT="0" distB="0" distL="0" distR="0" wp14:anchorId="33141F4A" wp14:editId="1CFDE6D5">
            <wp:extent cx="1295947" cy="191411"/>
            <wp:effectExtent l="0" t="0" r="0" b="0"/>
            <wp:docPr id="243223782" name="Picture 1" descr="Prospective IRRBB capital charges at the calculation date d and the three latest month-ends, d1, d2 and d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23782" name="Picture 1" descr="Prospective IRRBB capital charges at the calculation date d and the three latest month-ends, d1, d2 and d3 "/>
                    <pic:cNvPicPr/>
                  </pic:nvPicPr>
                  <pic:blipFill>
                    <a:blip r:embed="rId21"/>
                    <a:stretch>
                      <a:fillRect/>
                    </a:stretch>
                  </pic:blipFill>
                  <pic:spPr>
                    <a:xfrm>
                      <a:off x="0" y="0"/>
                      <a:ext cx="1364394" cy="201521"/>
                    </a:xfrm>
                    <a:prstGeom prst="rect">
                      <a:avLst/>
                    </a:prstGeom>
                  </pic:spPr>
                </pic:pic>
              </a:graphicData>
            </a:graphic>
          </wp:inline>
        </w:drawing>
      </w:r>
      <w:r w:rsidR="008308F6" w:rsidRPr="001F28EC">
        <w:t xml:space="preserve"> are respectively the prospective</w:t>
      </w:r>
      <w:r w:rsidR="000A4F92" w:rsidRPr="001F28EC">
        <w:t xml:space="preserve"> IRRBB</w:t>
      </w:r>
      <w:r w:rsidR="008308F6" w:rsidRPr="001F28EC">
        <w:t xml:space="preserve"> capital charges at the calculation date and the latest three month-ends</w:t>
      </w:r>
      <w:r w:rsidR="00281803" w:rsidRPr="001F28EC">
        <w:t xml:space="preserve">, determined in accordance with paragraph </w:t>
      </w:r>
      <w:r w:rsidR="00F03E74" w:rsidRPr="001F28EC">
        <w:t>18</w:t>
      </w:r>
      <w:r w:rsidR="002D4DD6" w:rsidRPr="001F28EC">
        <w:t xml:space="preserve"> </w:t>
      </w:r>
      <w:r w:rsidR="00281803" w:rsidRPr="001F28EC">
        <w:t xml:space="preserve">of this </w:t>
      </w:r>
      <w:proofErr w:type="gramStart"/>
      <w:r w:rsidR="00281803" w:rsidRPr="001F28EC">
        <w:t>Attachment</w:t>
      </w:r>
      <w:r w:rsidR="008308F6" w:rsidRPr="001F28EC">
        <w:t>;</w:t>
      </w:r>
      <w:proofErr w:type="gramEnd"/>
    </w:p>
    <w:p w14:paraId="187CB1A1" w14:textId="50E4425C" w:rsidR="008C0EB7" w:rsidRPr="001F28EC" w:rsidRDefault="003C1B95" w:rsidP="00D96DD9">
      <w:pPr>
        <w:pStyle w:val="BodyText1"/>
        <w:numPr>
          <w:ilvl w:val="0"/>
          <w:numId w:val="0"/>
        </w:numPr>
        <w:ind w:left="567"/>
      </w:pPr>
      <w:r w:rsidRPr="001F28EC">
        <w:rPr>
          <w:noProof/>
        </w:rPr>
        <w:drawing>
          <wp:inline distT="0" distB="0" distL="0" distR="0" wp14:anchorId="4539B64C" wp14:editId="41CD3648">
            <wp:extent cx="300038" cy="179127"/>
            <wp:effectExtent l="0" t="0" r="5080" b="0"/>
            <wp:docPr id="388731019" name="Picture 1" descr="Embedded loss at the calculation dat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31019" name="Picture 1" descr="Embedded loss at the calculation date d"/>
                    <pic:cNvPicPr/>
                  </pic:nvPicPr>
                  <pic:blipFill>
                    <a:blip r:embed="rId22"/>
                    <a:stretch>
                      <a:fillRect/>
                    </a:stretch>
                  </pic:blipFill>
                  <pic:spPr>
                    <a:xfrm>
                      <a:off x="0" y="0"/>
                      <a:ext cx="307136" cy="183364"/>
                    </a:xfrm>
                    <a:prstGeom prst="rect">
                      <a:avLst/>
                    </a:prstGeom>
                  </pic:spPr>
                </pic:pic>
              </a:graphicData>
            </a:graphic>
          </wp:inline>
        </w:drawing>
      </w:r>
      <w:r w:rsidR="008C0EB7" w:rsidRPr="001F28EC">
        <w:t xml:space="preserve"> is the embedded loss at the calculation date. This is defined as the sum over all items </w:t>
      </w:r>
      <w:r w:rsidR="00E23445" w:rsidRPr="001F28EC">
        <w:rPr>
          <w:noProof/>
        </w:rPr>
        <w:drawing>
          <wp:inline distT="0" distB="0" distL="0" distR="0" wp14:anchorId="0FC72BCC" wp14:editId="22A037C4">
            <wp:extent cx="88900" cy="142239"/>
            <wp:effectExtent l="0" t="0" r="6350" b="0"/>
            <wp:docPr id="2121064146" name="Picture 1"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4146" name="Picture 1" descr="j"/>
                    <pic:cNvPicPr/>
                  </pic:nvPicPr>
                  <pic:blipFill>
                    <a:blip r:embed="rId23"/>
                    <a:stretch>
                      <a:fillRect/>
                    </a:stretch>
                  </pic:blipFill>
                  <pic:spPr>
                    <a:xfrm>
                      <a:off x="0" y="0"/>
                      <a:ext cx="90330" cy="144527"/>
                    </a:xfrm>
                    <a:prstGeom prst="rect">
                      <a:avLst/>
                    </a:prstGeom>
                  </pic:spPr>
                </pic:pic>
              </a:graphicData>
            </a:graphic>
          </wp:inline>
        </w:drawing>
      </w:r>
      <w:r w:rsidR="008C0EB7" w:rsidRPr="001F28EC">
        <w:t>within an ADI’s augmented banking book</w:t>
      </w:r>
      <w:r w:rsidR="00C7397A" w:rsidRPr="001F28EC">
        <w:t xml:space="preserve"> of the book value of </w:t>
      </w:r>
      <w:r w:rsidR="00E23445" w:rsidRPr="001F28EC">
        <w:rPr>
          <w:noProof/>
        </w:rPr>
        <w:drawing>
          <wp:inline distT="0" distB="0" distL="0" distR="0" wp14:anchorId="2009EE09" wp14:editId="3F05106B">
            <wp:extent cx="88900" cy="142239"/>
            <wp:effectExtent l="0" t="0" r="6350" b="0"/>
            <wp:docPr id="1707984906" name="Picture 1"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84906" name="Picture 1" descr="j"/>
                    <pic:cNvPicPr/>
                  </pic:nvPicPr>
                  <pic:blipFill>
                    <a:blip r:embed="rId23"/>
                    <a:stretch>
                      <a:fillRect/>
                    </a:stretch>
                  </pic:blipFill>
                  <pic:spPr>
                    <a:xfrm>
                      <a:off x="0" y="0"/>
                      <a:ext cx="90330" cy="144527"/>
                    </a:xfrm>
                    <a:prstGeom prst="rect">
                      <a:avLst/>
                    </a:prstGeom>
                  </pic:spPr>
                </pic:pic>
              </a:graphicData>
            </a:graphic>
          </wp:inline>
        </w:drawing>
      </w:r>
      <w:r w:rsidR="00C7397A" w:rsidRPr="001F28EC">
        <w:t xml:space="preserve">minus the </w:t>
      </w:r>
      <w:r w:rsidR="00A90D56" w:rsidRPr="001F28EC">
        <w:rPr>
          <w:noProof/>
        </w:rPr>
        <w:drawing>
          <wp:inline distT="0" distB="0" distL="0" distR="0" wp14:anchorId="609C04B2" wp14:editId="01C2DCF5">
            <wp:extent cx="690245" cy="146685"/>
            <wp:effectExtent l="0" t="0" r="0" b="5715"/>
            <wp:docPr id="353747540" name="Picture 1" descr="PreShockEV subscript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47540" name="Picture 1" descr="PreShockEV subscript j"/>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90245" cy="146685"/>
                    </a:xfrm>
                    <a:prstGeom prst="rect">
                      <a:avLst/>
                    </a:prstGeom>
                  </pic:spPr>
                </pic:pic>
              </a:graphicData>
            </a:graphic>
          </wp:inline>
        </w:drawing>
      </w:r>
      <w:r w:rsidR="00C7397A" w:rsidRPr="001F28EC">
        <w:t xml:space="preserve"> determined in accordance with paragraph </w:t>
      </w:r>
      <w:r w:rsidR="00F03E74" w:rsidRPr="001F28EC">
        <w:t>18</w:t>
      </w:r>
      <w:r w:rsidR="00606413" w:rsidRPr="001F28EC">
        <w:t xml:space="preserve"> of this Attachment</w:t>
      </w:r>
      <w:r w:rsidR="00C7397A" w:rsidRPr="001F28EC">
        <w:t>. For the avoidance of doubt</w:t>
      </w:r>
      <w:r w:rsidR="00065EC6" w:rsidRPr="001F28EC">
        <w:t xml:space="preserve">, the ADI’s augmented banking book is determined in accordance with paragraph </w:t>
      </w:r>
      <w:r w:rsidR="00950044" w:rsidRPr="001F28EC">
        <w:t>29</w:t>
      </w:r>
      <w:r w:rsidR="00065EC6" w:rsidRPr="001F28EC">
        <w:t xml:space="preserve"> </w:t>
      </w:r>
      <w:r w:rsidR="00606413" w:rsidRPr="001F28EC">
        <w:t>of this Attachment</w:t>
      </w:r>
      <w:r w:rsidR="00E77B93" w:rsidRPr="001F28EC">
        <w:t xml:space="preserve"> </w:t>
      </w:r>
      <w:r w:rsidR="00065EC6" w:rsidRPr="001F28EC">
        <w:t xml:space="preserve">and includes </w:t>
      </w:r>
      <w:proofErr w:type="gramStart"/>
      <w:r w:rsidR="00065EC6" w:rsidRPr="001F28EC">
        <w:t>an earnings</w:t>
      </w:r>
      <w:proofErr w:type="gramEnd"/>
      <w:r w:rsidR="00065EC6" w:rsidRPr="001F28EC">
        <w:t xml:space="preserve"> offset. As such, </w:t>
      </w:r>
      <w:r w:rsidR="00A90D56" w:rsidRPr="001F28EC">
        <w:rPr>
          <w:noProof/>
        </w:rPr>
        <w:drawing>
          <wp:inline distT="0" distB="0" distL="0" distR="0" wp14:anchorId="7F39BCCC" wp14:editId="3262494C">
            <wp:extent cx="300038" cy="179127"/>
            <wp:effectExtent l="0" t="0" r="5080" b="0"/>
            <wp:docPr id="596249906" name="Picture 1" descr="Embedded loss at the calculation dat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49906" name="Picture 1" descr="Embedded loss at the calculation date d"/>
                    <pic:cNvPicPr/>
                  </pic:nvPicPr>
                  <pic:blipFill>
                    <a:blip r:embed="rId22"/>
                    <a:stretch>
                      <a:fillRect/>
                    </a:stretch>
                  </pic:blipFill>
                  <pic:spPr>
                    <a:xfrm>
                      <a:off x="0" y="0"/>
                      <a:ext cx="307136" cy="183364"/>
                    </a:xfrm>
                    <a:prstGeom prst="rect">
                      <a:avLst/>
                    </a:prstGeom>
                  </pic:spPr>
                </pic:pic>
              </a:graphicData>
            </a:graphic>
          </wp:inline>
        </w:drawing>
      </w:r>
      <w:r w:rsidR="00D404CD" w:rsidRPr="001F28EC">
        <w:t xml:space="preserve"> </w:t>
      </w:r>
      <w:r w:rsidR="0058643C" w:rsidRPr="001F28EC">
        <w:t xml:space="preserve">incorporates </w:t>
      </w:r>
      <w:proofErr w:type="gramStart"/>
      <w:r w:rsidR="0058643C" w:rsidRPr="001F28EC">
        <w:t>an earnings</w:t>
      </w:r>
      <w:proofErr w:type="gramEnd"/>
      <w:r w:rsidR="0058643C" w:rsidRPr="001F28EC">
        <w:t xml:space="preserve"> offset. A negative </w:t>
      </w:r>
      <w:r w:rsidR="00777763" w:rsidRPr="001F28EC">
        <w:rPr>
          <w:noProof/>
        </w:rPr>
        <w:drawing>
          <wp:inline distT="0" distB="0" distL="0" distR="0" wp14:anchorId="32F20BAD" wp14:editId="06EA0EC8">
            <wp:extent cx="303133" cy="180975"/>
            <wp:effectExtent l="0" t="0" r="1905" b="0"/>
            <wp:docPr id="960452532" name="Picture 1" descr="Embedded loss at the calculation dat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52532" name="Picture 1" descr="Embedded loss at the calculation date d"/>
                    <pic:cNvPicPr/>
                  </pic:nvPicPr>
                  <pic:blipFill>
                    <a:blip r:embed="rId22"/>
                    <a:stretch>
                      <a:fillRect/>
                    </a:stretch>
                  </pic:blipFill>
                  <pic:spPr>
                    <a:xfrm>
                      <a:off x="0" y="0"/>
                      <a:ext cx="317704" cy="189674"/>
                    </a:xfrm>
                    <a:prstGeom prst="rect">
                      <a:avLst/>
                    </a:prstGeom>
                  </pic:spPr>
                </pic:pic>
              </a:graphicData>
            </a:graphic>
          </wp:inline>
        </w:drawing>
      </w:r>
      <w:r w:rsidR="0058643C" w:rsidRPr="001F28EC">
        <w:t xml:space="preserve"> is permissible </w:t>
      </w:r>
      <w:r w:rsidR="00634F73" w:rsidRPr="001F28EC">
        <w:t>and represents an embedded gain.</w:t>
      </w:r>
    </w:p>
    <w:p w14:paraId="2560A6B2" w14:textId="74037206" w:rsidR="00312FA9" w:rsidRPr="001F28EC" w:rsidRDefault="00777763" w:rsidP="00372355">
      <w:pPr>
        <w:pStyle w:val="BodyText1"/>
        <w:numPr>
          <w:ilvl w:val="0"/>
          <w:numId w:val="0"/>
        </w:numPr>
        <w:ind w:left="567"/>
      </w:pPr>
      <w:r w:rsidRPr="001F28EC">
        <w:rPr>
          <w:noProof/>
        </w:rPr>
        <w:drawing>
          <wp:inline distT="0" distB="0" distL="0" distR="0" wp14:anchorId="5AC0EB1B" wp14:editId="09307179">
            <wp:extent cx="366713" cy="165894"/>
            <wp:effectExtent l="0" t="0" r="0" b="5715"/>
            <wp:docPr id="1496526273" name="Picture 1" descr="Optionality capital charge at the calculation dat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26273" name="Picture 1" descr="Optionality capital charge at the calculation date d"/>
                    <pic:cNvPicPr/>
                  </pic:nvPicPr>
                  <pic:blipFill>
                    <a:blip r:embed="rId25"/>
                    <a:stretch>
                      <a:fillRect/>
                    </a:stretch>
                  </pic:blipFill>
                  <pic:spPr>
                    <a:xfrm>
                      <a:off x="0" y="0"/>
                      <a:ext cx="376072" cy="170128"/>
                    </a:xfrm>
                    <a:prstGeom prst="rect">
                      <a:avLst/>
                    </a:prstGeom>
                  </pic:spPr>
                </pic:pic>
              </a:graphicData>
            </a:graphic>
          </wp:inline>
        </w:drawing>
      </w:r>
      <w:r w:rsidR="008308F6" w:rsidRPr="001F28EC">
        <w:t xml:space="preserve"> is the optionality capital charge at the calculation date</w:t>
      </w:r>
      <w:r w:rsidR="00690160" w:rsidRPr="001F28EC">
        <w:t xml:space="preserve">, determined in accordance with paragraph </w:t>
      </w:r>
      <w:r w:rsidR="00950044" w:rsidRPr="001F28EC">
        <w:t>38</w:t>
      </w:r>
      <w:r w:rsidR="00690160" w:rsidRPr="001F28EC">
        <w:t xml:space="preserve"> of this Attachment</w:t>
      </w:r>
      <w:r w:rsidR="008308F6" w:rsidRPr="001F28EC">
        <w:t>; and</w:t>
      </w:r>
    </w:p>
    <w:p w14:paraId="3D11D64D" w14:textId="6D456FD8" w:rsidR="00B72A47" w:rsidRPr="001F28EC" w:rsidRDefault="00777763" w:rsidP="00B72A47">
      <w:pPr>
        <w:pStyle w:val="BodyText1"/>
        <w:numPr>
          <w:ilvl w:val="0"/>
          <w:numId w:val="0"/>
        </w:numPr>
        <w:ind w:left="567"/>
      </w:pPr>
      <w:r w:rsidRPr="001F28EC">
        <w:rPr>
          <w:noProof/>
        </w:rPr>
        <w:drawing>
          <wp:inline distT="0" distB="0" distL="0" distR="0" wp14:anchorId="1BE094AD" wp14:editId="393CE1DB">
            <wp:extent cx="387705" cy="174642"/>
            <wp:effectExtent l="0" t="0" r="0" b="0"/>
            <wp:docPr id="629702662" name="Picture 1" descr="Any other amount at the calculation dat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02662" name="Picture 1" descr="Any other amount at the calculation date d"/>
                    <pic:cNvPicPr/>
                  </pic:nvPicPr>
                  <pic:blipFill>
                    <a:blip r:embed="rId26"/>
                    <a:stretch>
                      <a:fillRect/>
                    </a:stretch>
                  </pic:blipFill>
                  <pic:spPr>
                    <a:xfrm>
                      <a:off x="0" y="0"/>
                      <a:ext cx="404293" cy="182114"/>
                    </a:xfrm>
                    <a:prstGeom prst="rect">
                      <a:avLst/>
                    </a:prstGeom>
                  </pic:spPr>
                </pic:pic>
              </a:graphicData>
            </a:graphic>
          </wp:inline>
        </w:drawing>
      </w:r>
      <w:r w:rsidR="008308F6" w:rsidRPr="001F28EC">
        <w:t xml:space="preserve">is any other amount that APRA has notified the ADI </w:t>
      </w:r>
      <w:r w:rsidR="000B4194" w:rsidRPr="001F28EC">
        <w:t xml:space="preserve">it </w:t>
      </w:r>
      <w:r w:rsidR="008308F6" w:rsidRPr="001F28EC">
        <w:t>must include</w:t>
      </w:r>
      <w:r w:rsidR="000B4194" w:rsidRPr="001F28EC">
        <w:t xml:space="preserve"> in the calculation of its IRRBB capital charge</w:t>
      </w:r>
      <w:r w:rsidR="002F0ABD" w:rsidRPr="001F28EC">
        <w:t>, or that has been calculated in accordance with a method specified by APRA</w:t>
      </w:r>
      <w:r w:rsidR="008308F6" w:rsidRPr="001F28EC">
        <w:t>.</w:t>
      </w:r>
      <w:r w:rsidR="002D4130" w:rsidRPr="001F28EC">
        <w:t xml:space="preserve"> </w:t>
      </w:r>
      <w:bookmarkStart w:id="113" w:name="_Toc8915513"/>
      <w:bookmarkStart w:id="114" w:name="_Ref3892758"/>
      <w:bookmarkStart w:id="115" w:name="_Toc8915512"/>
      <w:bookmarkEnd w:id="111"/>
    </w:p>
    <w:p w14:paraId="20E59AA6" w14:textId="77777777" w:rsidR="006E3297" w:rsidRPr="001F28EC" w:rsidRDefault="006E3297" w:rsidP="00B72A47">
      <w:pPr>
        <w:pStyle w:val="Attachmentheading1"/>
      </w:pPr>
      <w:r w:rsidRPr="001F28EC">
        <w:t>Classification of banking book items</w:t>
      </w:r>
    </w:p>
    <w:p w14:paraId="446A1B64" w14:textId="569BF46E" w:rsidR="006E3297" w:rsidRPr="001F28EC" w:rsidRDefault="006E3297" w:rsidP="00A478FF">
      <w:pPr>
        <w:pStyle w:val="BodyText1"/>
      </w:pPr>
      <w:proofErr w:type="gramStart"/>
      <w:r w:rsidRPr="001F28EC">
        <w:t>For the purpose of</w:t>
      </w:r>
      <w:proofErr w:type="gramEnd"/>
      <w:r w:rsidRPr="001F28EC">
        <w:t xml:space="preserve"> calculating </w:t>
      </w:r>
      <w:r w:rsidR="008728BE" w:rsidRPr="001F28EC">
        <w:t>its</w:t>
      </w:r>
      <w:r w:rsidRPr="001F28EC">
        <w:t xml:space="preserve"> IRRBB capital charge, an ADI must classify banking book items in accordance with paragraphs </w:t>
      </w:r>
      <w:r w:rsidR="008C41C5" w:rsidRPr="001F28EC">
        <w:t>4</w:t>
      </w:r>
      <w:r w:rsidRPr="001F28EC">
        <w:t xml:space="preserve"> to </w:t>
      </w:r>
      <w:r w:rsidR="00950044" w:rsidRPr="001F28EC">
        <w:t>9</w:t>
      </w:r>
      <w:r w:rsidRPr="001F28EC">
        <w:t xml:space="preserve"> of this Attachment.</w:t>
      </w:r>
    </w:p>
    <w:p w14:paraId="672B9F04" w14:textId="7C2E4868" w:rsidR="000E4244" w:rsidRPr="001F28EC" w:rsidRDefault="000E4244" w:rsidP="000E4244">
      <w:pPr>
        <w:pStyle w:val="Heading3"/>
        <w:rPr>
          <w:rFonts w:ascii="Times New Roman" w:hAnsi="Times New Roman" w:cs="Times New Roman"/>
          <w:sz w:val="24"/>
        </w:rPr>
      </w:pPr>
      <w:r w:rsidRPr="001F28EC">
        <w:rPr>
          <w:rFonts w:ascii="Times New Roman" w:hAnsi="Times New Roman" w:cs="Times New Roman"/>
        </w:rPr>
        <w:lastRenderedPageBreak/>
        <w:t>M</w:t>
      </w:r>
      <w:r w:rsidRPr="001F28EC">
        <w:rPr>
          <w:rFonts w:ascii="Times New Roman" w:hAnsi="Times New Roman" w:cs="Times New Roman"/>
          <w:sz w:val="24"/>
        </w:rPr>
        <w:t>arket-related items</w:t>
      </w:r>
    </w:p>
    <w:p w14:paraId="78EB148B" w14:textId="2AF3FCAF" w:rsidR="00BD6F0A" w:rsidRPr="001F28EC" w:rsidRDefault="00BD6F0A" w:rsidP="00A478FF">
      <w:pPr>
        <w:pStyle w:val="BodyText1"/>
      </w:pPr>
      <w:bookmarkStart w:id="116" w:name="_Ref13664750"/>
      <w:bookmarkStart w:id="117" w:name="_Ref119421343"/>
      <w:r w:rsidRPr="001F28EC">
        <w:t>A</w:t>
      </w:r>
      <w:r w:rsidR="00A05849" w:rsidRPr="001F28EC">
        <w:t>ll securities</w:t>
      </w:r>
      <w:r w:rsidR="00D11ADF" w:rsidRPr="001F28EC">
        <w:rPr>
          <w:rStyle w:val="FootnoteReference"/>
        </w:rPr>
        <w:footnoteReference w:id="5"/>
      </w:r>
      <w:r w:rsidR="00A05849" w:rsidRPr="001F28EC">
        <w:t xml:space="preserve"> in the</w:t>
      </w:r>
      <w:r w:rsidRPr="001F28EC">
        <w:t xml:space="preserve"> banking book</w:t>
      </w:r>
      <w:bookmarkStart w:id="118" w:name="_Ref103270236"/>
      <w:bookmarkEnd w:id="116"/>
      <w:r w:rsidRPr="001F28EC">
        <w:t xml:space="preserve"> </w:t>
      </w:r>
      <w:bookmarkStart w:id="119" w:name="_Ref103269425"/>
      <w:r w:rsidRPr="001F28EC">
        <w:t xml:space="preserve">excluding debt, Additional Tier 1 </w:t>
      </w:r>
      <w:r w:rsidR="006832C0" w:rsidRPr="001F28EC">
        <w:t xml:space="preserve">Capital </w:t>
      </w:r>
      <w:r w:rsidRPr="001F28EC">
        <w:t xml:space="preserve">and Tier 2 </w:t>
      </w:r>
      <w:r w:rsidR="006832C0" w:rsidRPr="001F28EC">
        <w:t>C</w:t>
      </w:r>
      <w:r w:rsidRPr="001F28EC">
        <w:t>apital issued by the ADI</w:t>
      </w:r>
      <w:r w:rsidR="007E0FBF" w:rsidRPr="001F28EC">
        <w:t xml:space="preserve"> </w:t>
      </w:r>
      <w:r w:rsidR="00A05849" w:rsidRPr="001F28EC">
        <w:t>are classified as market-related items.</w:t>
      </w:r>
      <w:r w:rsidRPr="001F28EC">
        <w:t xml:space="preserve"> </w:t>
      </w:r>
      <w:r w:rsidR="00A05849" w:rsidRPr="001F28EC">
        <w:t>An ADI must designate each banking book item not covered by the previous sentence as either a market-related item or a non-market-related item</w:t>
      </w:r>
      <w:r w:rsidR="00445CAC" w:rsidRPr="001F28EC">
        <w:t>.</w:t>
      </w:r>
      <w:r w:rsidR="00F73353" w:rsidRPr="001F28EC">
        <w:rPr>
          <w:rStyle w:val="FootnoteReference"/>
        </w:rPr>
        <w:footnoteReference w:id="6"/>
      </w:r>
      <w:r w:rsidR="00FD089C" w:rsidRPr="001F28EC">
        <w:t xml:space="preserve"> The criterion for making such designations forms part of the approved IRRBB model, must be documented, and any change to it constitutes a model change</w:t>
      </w:r>
      <w:r w:rsidR="00F73353" w:rsidRPr="001F28EC">
        <w:t xml:space="preserve"> that requires APRA approval</w:t>
      </w:r>
      <w:r w:rsidR="009C5F41" w:rsidRPr="001F28EC">
        <w:t>.</w:t>
      </w:r>
      <w:bookmarkEnd w:id="117"/>
      <w:bookmarkEnd w:id="118"/>
      <w:bookmarkEnd w:id="119"/>
    </w:p>
    <w:p w14:paraId="28D4778F" w14:textId="1B50087E" w:rsidR="003F7A30" w:rsidRPr="001F28EC" w:rsidRDefault="003F7A30" w:rsidP="00A478FF">
      <w:pPr>
        <w:pStyle w:val="BodyText1"/>
      </w:pPr>
      <w:r w:rsidRPr="001F28EC">
        <w:t xml:space="preserve">Where an ADI holds securities issued </w:t>
      </w:r>
      <w:r w:rsidR="00E2272E" w:rsidRPr="001F28EC">
        <w:t>in</w:t>
      </w:r>
      <w:r w:rsidRPr="001F28EC">
        <w:t xml:space="preserve"> a securitisation:</w:t>
      </w:r>
    </w:p>
    <w:p w14:paraId="79FB729A" w14:textId="078033DE" w:rsidR="003F7A30" w:rsidRPr="001F28EC" w:rsidRDefault="003F7A30" w:rsidP="002A38AD">
      <w:pPr>
        <w:pStyle w:val="BodyText2"/>
      </w:pPr>
      <w:r w:rsidRPr="001F28EC">
        <w:t xml:space="preserve">if the ADI </w:t>
      </w:r>
      <w:r w:rsidR="002B4012" w:rsidRPr="001F28EC">
        <w:t>i</w:t>
      </w:r>
      <w:r w:rsidRPr="001F28EC">
        <w:t xml:space="preserve">s an originating ADI of the securitisation, as defined in </w:t>
      </w:r>
      <w:r w:rsidRPr="001F28EC">
        <w:rPr>
          <w:i/>
        </w:rPr>
        <w:t>Prudential Standard APS 120 Securitisation</w:t>
      </w:r>
      <w:r w:rsidRPr="001F28EC">
        <w:t xml:space="preserve">, and the ADI treats the securitisation’s underlying assets as on-balance sheet assets of the ADI under </w:t>
      </w:r>
      <w:r w:rsidRPr="001F28EC">
        <w:rPr>
          <w:i/>
        </w:rPr>
        <w:t>Prudential Standard APS 112 Capital Adequacy: Standardised Approach to Credit Risk</w:t>
      </w:r>
      <w:r w:rsidRPr="001F28EC">
        <w:t xml:space="preserve"> or </w:t>
      </w:r>
      <w:r w:rsidRPr="001F28EC">
        <w:rPr>
          <w:i/>
        </w:rPr>
        <w:t>Prudential Standard APS 113 Capital Adequacy: Internal Ratings-based Approach to Credit Risk</w:t>
      </w:r>
      <w:r w:rsidRPr="001F28EC">
        <w:t>, the ADI must consolidate the balance sheet of the securitisation vehicle with the ADI’s balance sheet for the purpose of this Prudential Standard; or</w:t>
      </w:r>
    </w:p>
    <w:p w14:paraId="6A3846A7" w14:textId="0A762E9C" w:rsidR="009A2E73" w:rsidRPr="001F28EC" w:rsidRDefault="003F7A30" w:rsidP="002A38AD">
      <w:pPr>
        <w:pStyle w:val="BodyText2"/>
      </w:pPr>
      <w:r w:rsidRPr="001F28EC">
        <w:t>the ADI must treat the securities as market-related, otherwise</w:t>
      </w:r>
      <w:r w:rsidR="004C22A2" w:rsidRPr="001F28EC">
        <w:t>.</w:t>
      </w:r>
    </w:p>
    <w:p w14:paraId="62B9C561" w14:textId="77777777" w:rsidR="00BD6F0A" w:rsidRPr="001F28EC" w:rsidRDefault="00BD6F0A" w:rsidP="00BD6F0A">
      <w:pPr>
        <w:pStyle w:val="Heading3"/>
        <w:rPr>
          <w:rFonts w:ascii="Times New Roman" w:hAnsi="Times New Roman" w:cs="Times New Roman"/>
          <w:sz w:val="24"/>
        </w:rPr>
      </w:pPr>
      <w:r w:rsidRPr="001F28EC">
        <w:rPr>
          <w:rFonts w:ascii="Times New Roman" w:hAnsi="Times New Roman" w:cs="Times New Roman"/>
          <w:sz w:val="24"/>
        </w:rPr>
        <w:t>Non-market-related items</w:t>
      </w:r>
    </w:p>
    <w:p w14:paraId="0BD616B3" w14:textId="2B7E3029" w:rsidR="00BD6F0A" w:rsidRPr="001F28EC" w:rsidRDefault="00BD6F0A" w:rsidP="005A5B35">
      <w:pPr>
        <w:pStyle w:val="BodyText1"/>
        <w:numPr>
          <w:ilvl w:val="0"/>
          <w:numId w:val="19"/>
        </w:numPr>
      </w:pPr>
      <w:r w:rsidRPr="001F28EC">
        <w:t>A non-market-related item is classified as principal-and-interest</w:t>
      </w:r>
      <w:r w:rsidRPr="001F28EC">
        <w:rPr>
          <w:i/>
        </w:rPr>
        <w:t xml:space="preserve"> </w:t>
      </w:r>
      <w:r w:rsidRPr="001F28EC">
        <w:t>if it:</w:t>
      </w:r>
    </w:p>
    <w:p w14:paraId="2F317931" w14:textId="77777777" w:rsidR="00BD6F0A" w:rsidRPr="001F28EC" w:rsidRDefault="00BD6F0A" w:rsidP="002A38AD">
      <w:pPr>
        <w:pStyle w:val="BodyText2"/>
      </w:pPr>
      <w:r w:rsidRPr="001F28EC">
        <w:t xml:space="preserve">is a deposit; or </w:t>
      </w:r>
    </w:p>
    <w:p w14:paraId="18030E11" w14:textId="77777777" w:rsidR="00BD6F0A" w:rsidRPr="001F28EC" w:rsidRDefault="00BD6F0A" w:rsidP="002A38AD">
      <w:pPr>
        <w:pStyle w:val="BodyText2"/>
      </w:pPr>
      <w:r w:rsidRPr="001F28EC">
        <w:t xml:space="preserve">can be represented to an acceptable level of accuracy as a sequence of principal and interest cash flows. For this purpose, cash flows that are economically equivalent to interest, but are not described as such in the contract, must be treated as interest. </w:t>
      </w:r>
    </w:p>
    <w:p w14:paraId="483F5DAB" w14:textId="1BE492D0" w:rsidR="00BD6F0A" w:rsidRPr="001F28EC" w:rsidRDefault="00BD6F0A" w:rsidP="002A38AD">
      <w:pPr>
        <w:pStyle w:val="BodyText1"/>
      </w:pPr>
      <w:r w:rsidRPr="001F28EC">
        <w:t>A derivative that is a non-market-related item should be decomposed, if possible, into notional long and short principal-and-interest</w:t>
      </w:r>
      <w:r w:rsidRPr="001F28EC" w:rsidDel="00FF519F">
        <w:t xml:space="preserve"> </w:t>
      </w:r>
      <w:r w:rsidRPr="001F28EC">
        <w:t>items whose combined exposure is the same as that of the derivative. Non-market-related items that are not principal-and-interest</w:t>
      </w:r>
      <w:r w:rsidRPr="001F28EC" w:rsidDel="00FF519F">
        <w:t xml:space="preserve"> </w:t>
      </w:r>
      <w:r w:rsidRPr="001F28EC">
        <w:t xml:space="preserve">are classified as </w:t>
      </w:r>
      <w:r w:rsidRPr="001F28EC">
        <w:rPr>
          <w:rStyle w:val="inlinedefn"/>
        </w:rPr>
        <w:t>non-</w:t>
      </w:r>
      <w:r w:rsidRPr="001F28EC">
        <w:t>principal-and-interest</w:t>
      </w:r>
      <w:r w:rsidRPr="001F28EC">
        <w:rPr>
          <w:rStyle w:val="inlinedefn"/>
        </w:rPr>
        <w:t xml:space="preserve"> items for the purpose of this Prudential Standard</w:t>
      </w:r>
      <w:r w:rsidRPr="001F28EC">
        <w:t>.</w:t>
      </w:r>
    </w:p>
    <w:p w14:paraId="41F94B81" w14:textId="77777777" w:rsidR="00BD6F0A" w:rsidRPr="001F28EC" w:rsidRDefault="00BD6F0A" w:rsidP="002A38AD">
      <w:pPr>
        <w:pStyle w:val="BodyText1"/>
      </w:pPr>
      <w:r w:rsidRPr="001F28EC">
        <w:t xml:space="preserve">A principal-and-interest item is classified as either: </w:t>
      </w:r>
    </w:p>
    <w:p w14:paraId="13D25A4D" w14:textId="77777777" w:rsidR="00BD6F0A" w:rsidRPr="001F28EC" w:rsidRDefault="00BD6F0A" w:rsidP="002A38AD">
      <w:pPr>
        <w:pStyle w:val="BodyText2"/>
      </w:pPr>
      <w:r w:rsidRPr="001F28EC">
        <w:t>a non-maturity deposit, which is a deposit that has no specified maturity date and can be withdrawn at any time without notice; or</w:t>
      </w:r>
    </w:p>
    <w:p w14:paraId="07DEE590" w14:textId="77777777" w:rsidR="00BD6F0A" w:rsidRPr="001F28EC" w:rsidRDefault="00BD6F0A" w:rsidP="002A38AD">
      <w:pPr>
        <w:pStyle w:val="BodyText2"/>
      </w:pPr>
      <w:proofErr w:type="spellStart"/>
      <w:proofErr w:type="gramStart"/>
      <w:r w:rsidRPr="001F28EC">
        <w:lastRenderedPageBreak/>
        <w:t>an other</w:t>
      </w:r>
      <w:proofErr w:type="spellEnd"/>
      <w:proofErr w:type="gramEnd"/>
      <w:r w:rsidRPr="001F28EC">
        <w:t xml:space="preserve"> principal-and-interest (OPI) item.</w:t>
      </w:r>
    </w:p>
    <w:p w14:paraId="0D197186" w14:textId="72D9F914" w:rsidR="00BD6F0A" w:rsidRPr="001F28EC" w:rsidRDefault="00BD6F0A" w:rsidP="002A38AD">
      <w:pPr>
        <w:pStyle w:val="BodyText1"/>
      </w:pPr>
      <w:bookmarkStart w:id="120" w:name="_Ref42766900"/>
      <w:r w:rsidRPr="001F28EC">
        <w:t xml:space="preserve">A </w:t>
      </w:r>
      <w:r w:rsidRPr="001F28EC">
        <w:rPr>
          <w:rStyle w:val="inlinedefn"/>
          <w:rFonts w:eastAsia="Calibri"/>
        </w:rPr>
        <w:t>core deposit</w:t>
      </w:r>
      <w:r w:rsidRPr="001F28EC">
        <w:t xml:space="preserve"> is a </w:t>
      </w:r>
      <w:r w:rsidR="00A22F61" w:rsidRPr="001F28EC">
        <w:t xml:space="preserve">component of a portfolio of </w:t>
      </w:r>
      <w:r w:rsidRPr="001F28EC">
        <w:t>non-maturity deposit</w:t>
      </w:r>
      <w:r w:rsidR="00A22F61" w:rsidRPr="001F28EC">
        <w:t>s</w:t>
      </w:r>
      <w:r w:rsidRPr="001F28EC">
        <w:t xml:space="preserve"> that</w:t>
      </w:r>
      <w:bookmarkEnd w:id="120"/>
      <w:r w:rsidR="00FA3AD5" w:rsidRPr="001F28EC">
        <w:t>:</w:t>
      </w:r>
    </w:p>
    <w:p w14:paraId="2424DB9A" w14:textId="4C4F796D" w:rsidR="00BD6F0A" w:rsidRPr="001F28EC" w:rsidRDefault="00F9164D" w:rsidP="002A38AD">
      <w:pPr>
        <w:pStyle w:val="BodyText2"/>
      </w:pPr>
      <w:r w:rsidRPr="001F28EC">
        <w:t xml:space="preserve">has a </w:t>
      </w:r>
      <w:r w:rsidR="00BD6F0A" w:rsidRPr="001F28EC">
        <w:t xml:space="preserve">stable </w:t>
      </w:r>
      <w:r w:rsidRPr="001F28EC">
        <w:t xml:space="preserve">balance; </w:t>
      </w:r>
      <w:r w:rsidR="00BD6F0A" w:rsidRPr="001F28EC">
        <w:t xml:space="preserve">and </w:t>
      </w:r>
    </w:p>
    <w:p w14:paraId="35096615" w14:textId="74AFB8A2" w:rsidR="00BD6F0A" w:rsidRPr="001F28EC" w:rsidRDefault="00BD6F0A" w:rsidP="002A38AD">
      <w:pPr>
        <w:pStyle w:val="BodyText2"/>
      </w:pPr>
      <w:r w:rsidRPr="001F28EC">
        <w:t xml:space="preserve">pays an interest rate that: </w:t>
      </w:r>
    </w:p>
    <w:p w14:paraId="449E03E1" w14:textId="5729E0F6" w:rsidR="00BD6F0A" w:rsidRPr="001F28EC" w:rsidRDefault="00BD6F0A" w:rsidP="002A38AD">
      <w:pPr>
        <w:pStyle w:val="BodyText3"/>
      </w:pPr>
      <w:r w:rsidRPr="001F28EC">
        <w:t>is managed by the ADI;</w:t>
      </w:r>
      <w:r w:rsidR="004F167D" w:rsidRPr="001F28EC">
        <w:t xml:space="preserve"> and</w:t>
      </w:r>
    </w:p>
    <w:p w14:paraId="2731C617" w14:textId="77777777" w:rsidR="00BD6F0A" w:rsidRPr="001F28EC" w:rsidRDefault="00BD6F0A" w:rsidP="002A38AD">
      <w:pPr>
        <w:pStyle w:val="BodyText3"/>
      </w:pPr>
      <w:r w:rsidRPr="001F28EC">
        <w:t>does not usually change in response to movements in wholesale market rates.</w:t>
      </w:r>
    </w:p>
    <w:p w14:paraId="1D31CE86" w14:textId="01ED7924" w:rsidR="00910619" w:rsidRPr="001F28EC" w:rsidRDefault="00910619" w:rsidP="00910619">
      <w:pPr>
        <w:pStyle w:val="BodyText1"/>
        <w:numPr>
          <w:ilvl w:val="0"/>
          <w:numId w:val="0"/>
        </w:numPr>
        <w:ind w:left="567"/>
      </w:pPr>
      <w:r w:rsidRPr="001F28EC">
        <w:t>An ADI must determine the balance</w:t>
      </w:r>
      <w:r w:rsidR="00A70F18" w:rsidRPr="001F28EC">
        <w:t xml:space="preserve"> </w:t>
      </w:r>
      <w:r w:rsidR="00E203EC" w:rsidRPr="001F28EC">
        <w:t>and repricing profile</w:t>
      </w:r>
      <w:r w:rsidRPr="001F28EC">
        <w:t xml:space="preserve"> of </w:t>
      </w:r>
      <w:r w:rsidR="001842FC" w:rsidRPr="001F28EC">
        <w:t xml:space="preserve">each </w:t>
      </w:r>
      <w:r w:rsidRPr="001F28EC">
        <w:t xml:space="preserve">core deposit </w:t>
      </w:r>
      <w:r w:rsidR="00BD6A3B" w:rsidRPr="001F28EC">
        <w:t xml:space="preserve">by a method whereby the balance is expected to usually be no more </w:t>
      </w:r>
      <w:r w:rsidR="00055092" w:rsidRPr="001F28EC">
        <w:t>than</w:t>
      </w:r>
      <w:r w:rsidR="00BD6A3B" w:rsidRPr="001F28EC">
        <w:t xml:space="preserve"> </w:t>
      </w:r>
      <w:r w:rsidR="002A20B4" w:rsidRPr="001F28EC">
        <w:t>90</w:t>
      </w:r>
      <w:r w:rsidR="00BD6A3B" w:rsidRPr="001F28EC">
        <w:t xml:space="preserve"> </w:t>
      </w:r>
      <w:r w:rsidR="6550CC0A" w:rsidRPr="001F28EC">
        <w:t>per cent</w:t>
      </w:r>
      <w:r w:rsidR="00BD6A3B" w:rsidRPr="001F28EC">
        <w:t xml:space="preserve"> of the balance of the deposit product, or portfolio of products or parts thereof, in which it lies.</w:t>
      </w:r>
    </w:p>
    <w:p w14:paraId="3B892511" w14:textId="18528C16" w:rsidR="00BD6F0A" w:rsidRPr="001F28EC" w:rsidRDefault="005A3308" w:rsidP="002A38AD">
      <w:pPr>
        <w:pStyle w:val="BodyText1"/>
      </w:pPr>
      <w:bookmarkStart w:id="121" w:name="_Ref39824250"/>
      <w:r w:rsidRPr="001F28EC">
        <w:t>A</w:t>
      </w:r>
      <w:r w:rsidR="00BD6F0A" w:rsidRPr="001F28EC">
        <w:t xml:space="preserve">n ADI may split a banking book item, or a portfolio of such items, into two or more parts, </w:t>
      </w:r>
      <w:r w:rsidR="0009662C" w:rsidRPr="001F28EC">
        <w:t xml:space="preserve">and classify or model </w:t>
      </w:r>
      <w:r w:rsidR="00BD6F0A" w:rsidRPr="001F28EC">
        <w:t xml:space="preserve">each </w:t>
      </w:r>
      <w:r w:rsidR="0009662C" w:rsidRPr="001F28EC">
        <w:t>part</w:t>
      </w:r>
      <w:r w:rsidR="00BD6F0A" w:rsidRPr="001F28EC">
        <w:t xml:space="preserve"> differently. </w:t>
      </w:r>
      <w:proofErr w:type="gramStart"/>
      <w:r w:rsidR="00BD6F0A" w:rsidRPr="001F28EC">
        <w:t>For the purpose of</w:t>
      </w:r>
      <w:proofErr w:type="gramEnd"/>
      <w:r w:rsidR="00BD6F0A" w:rsidRPr="001F28EC">
        <w:t xml:space="preserve"> this Attachment, a reference to a banking book item may also refer to such a part and a reference to a portfolio of banking book items may refer to a portfolio of such parts.</w:t>
      </w:r>
      <w:bookmarkEnd w:id="121"/>
      <w:r w:rsidR="0009662C" w:rsidRPr="001F28EC">
        <w:t xml:space="preserve"> An ADI may, with APRA’s approval, </w:t>
      </w:r>
      <w:bookmarkStart w:id="122" w:name="_Hlk57373523"/>
      <w:r w:rsidR="0009662C" w:rsidRPr="001F28EC">
        <w:t>treat multiple items arising from different products as a single item</w:t>
      </w:r>
      <w:bookmarkEnd w:id="122"/>
      <w:r w:rsidR="0009662C" w:rsidRPr="001F28EC">
        <w:t xml:space="preserve">. </w:t>
      </w:r>
    </w:p>
    <w:p w14:paraId="4F4AA687" w14:textId="55BEF245" w:rsidR="00B84AD2" w:rsidRPr="001F28EC" w:rsidRDefault="001B1B6A" w:rsidP="007A7C65">
      <w:pPr>
        <w:pStyle w:val="Attachmentheading1"/>
      </w:pPr>
      <w:r w:rsidRPr="001F28EC">
        <w:t>Interest rate data</w:t>
      </w:r>
      <w:bookmarkEnd w:id="113"/>
    </w:p>
    <w:p w14:paraId="649EBFB0" w14:textId="1961318A" w:rsidR="00B84AD2" w:rsidRPr="001F28EC" w:rsidRDefault="00B84AD2" w:rsidP="002A38AD">
      <w:pPr>
        <w:pStyle w:val="BodyText1"/>
      </w:pPr>
      <w:proofErr w:type="gramStart"/>
      <w:r w:rsidRPr="001F28EC">
        <w:t>For the purpose of</w:t>
      </w:r>
      <w:proofErr w:type="gramEnd"/>
      <w:r w:rsidRPr="001F28EC">
        <w:t xml:space="preserve"> this Prudential Standard, a risk factor is a stochastic process indexed by time, whose </w:t>
      </w:r>
      <w:r w:rsidR="00BD6A3B" w:rsidRPr="001F28EC">
        <w:t>v</w:t>
      </w:r>
      <w:r w:rsidRPr="001F28EC">
        <w:t>alues are used in calculating economic values of banking book items, and for which negative values are possible.</w:t>
      </w:r>
      <w:r w:rsidR="00E970CB" w:rsidRPr="001F28EC">
        <w:t xml:space="preserve"> A reference to a risk factor at a specified date designates the random variable indexed by that date, in the process.</w:t>
      </w:r>
    </w:p>
    <w:p w14:paraId="77B96DF6" w14:textId="7C2FA158" w:rsidR="001B1B6A" w:rsidRPr="001F28EC" w:rsidRDefault="001B1B6A" w:rsidP="002A38AD">
      <w:pPr>
        <w:pStyle w:val="BodyText1"/>
      </w:pPr>
      <w:r w:rsidRPr="001F28EC">
        <w:t xml:space="preserve">For each currency to which an ADI has a material exposure in the banking book, </w:t>
      </w:r>
      <w:r w:rsidR="000B4194" w:rsidRPr="001F28EC">
        <w:t>the ADI</w:t>
      </w:r>
      <w:r w:rsidRPr="001F28EC">
        <w:t xml:space="preserve"> must identify and collect data to enable modelling of a single, maturity-indexed, collection of risk factors</w:t>
      </w:r>
      <w:r w:rsidR="00896419" w:rsidRPr="001F28EC">
        <w:t xml:space="preserve">. </w:t>
      </w:r>
      <w:r w:rsidR="00E82185" w:rsidRPr="001F28EC">
        <w:t>T</w:t>
      </w:r>
      <w:r w:rsidR="00896419" w:rsidRPr="001F28EC">
        <w:t xml:space="preserve">his is </w:t>
      </w:r>
      <w:r w:rsidRPr="001F28EC">
        <w:t xml:space="preserve">the </w:t>
      </w:r>
      <w:r w:rsidRPr="001F28EC">
        <w:rPr>
          <w:rStyle w:val="inlinedefn"/>
          <w:rFonts w:eastAsia="Calibri"/>
        </w:rPr>
        <w:t xml:space="preserve">non-market-related curve </w:t>
      </w:r>
      <w:r w:rsidRPr="001F28EC">
        <w:t xml:space="preserve">or </w:t>
      </w:r>
      <w:r w:rsidRPr="001F28EC">
        <w:rPr>
          <w:rStyle w:val="inlinedefn"/>
          <w:rFonts w:eastAsia="Calibri"/>
        </w:rPr>
        <w:t>NMR curve</w:t>
      </w:r>
      <w:r w:rsidRPr="001F28EC">
        <w:rPr>
          <w:i/>
        </w:rPr>
        <w:t xml:space="preserve"> </w:t>
      </w:r>
      <w:r w:rsidRPr="001F28EC">
        <w:t>for that currency. The risk factors in each NMR curve must correspond to interest rates</w:t>
      </w:r>
      <w:r w:rsidR="00B56946" w:rsidRPr="001F28EC">
        <w:t xml:space="preserve"> suitable for discounting cash flows</w:t>
      </w:r>
      <w:r w:rsidRPr="001F28EC">
        <w:t xml:space="preserve">. </w:t>
      </w:r>
      <w:r w:rsidR="00BD2767" w:rsidRPr="001F28EC">
        <w:t>An ADI may combine c</w:t>
      </w:r>
      <w:r w:rsidRPr="001F28EC">
        <w:t xml:space="preserve">urrencies to which </w:t>
      </w:r>
      <w:r w:rsidR="00BD2767" w:rsidRPr="001F28EC">
        <w:t>it</w:t>
      </w:r>
      <w:r w:rsidRPr="001F28EC">
        <w:t xml:space="preserve"> has non-material exposures into one or more groups and </w:t>
      </w:r>
      <w:r w:rsidR="00BD2767" w:rsidRPr="001F28EC">
        <w:t xml:space="preserve">select </w:t>
      </w:r>
      <w:r w:rsidRPr="001F28EC">
        <w:t xml:space="preserve">a single NMR curve for each group based on rates in a currency, or composite of currencies, broadly reflective of the interest rate characteristics of the group. </w:t>
      </w:r>
      <w:r w:rsidR="00EF75D2" w:rsidRPr="001F28EC">
        <w:t>An ADI may, with APRA’s approval, use more than one NMR curve per currency to which an ADI has non-material exposures.</w:t>
      </w:r>
    </w:p>
    <w:p w14:paraId="1FBC7021" w14:textId="23BDBA9E" w:rsidR="001B1B6A" w:rsidRPr="001F28EC" w:rsidRDefault="001B1B6A" w:rsidP="002A38AD">
      <w:pPr>
        <w:pStyle w:val="BodyText1"/>
      </w:pPr>
      <w:r w:rsidRPr="001F28EC">
        <w:rPr>
          <w:szCs w:val="24"/>
        </w:rPr>
        <w:t xml:space="preserve">An ADI must also identify and collect data to enable modelling of all </w:t>
      </w:r>
      <w:r w:rsidR="004D5164" w:rsidRPr="001F28EC">
        <w:rPr>
          <w:szCs w:val="24"/>
        </w:rPr>
        <w:t xml:space="preserve">non-issuer-specific </w:t>
      </w:r>
      <w:r w:rsidRPr="001F28EC">
        <w:rPr>
          <w:szCs w:val="24"/>
        </w:rPr>
        <w:t xml:space="preserve">risk factors for which changes in their values can cause material changes in </w:t>
      </w:r>
      <w:r w:rsidR="00EF75D2" w:rsidRPr="001F28EC">
        <w:rPr>
          <w:szCs w:val="24"/>
        </w:rPr>
        <w:t xml:space="preserve">the </w:t>
      </w:r>
      <w:r w:rsidRPr="001F28EC">
        <w:rPr>
          <w:szCs w:val="24"/>
        </w:rPr>
        <w:t>economic value of the ADI’s market-related items. Where available, different risk factor collections (‘curves’) must be used for modelling the yields on different types and grades of debt issuers and different payment frequencies.</w:t>
      </w:r>
    </w:p>
    <w:p w14:paraId="3EEBA33A" w14:textId="4A4D9F29" w:rsidR="00767BC1" w:rsidRPr="001F28EC" w:rsidRDefault="001B1B6A" w:rsidP="002A38AD">
      <w:pPr>
        <w:pStyle w:val="BodyText1"/>
        <w:numPr>
          <w:ilvl w:val="0"/>
          <w:numId w:val="8"/>
        </w:numPr>
      </w:pPr>
      <w:r w:rsidRPr="001F28EC">
        <w:lastRenderedPageBreak/>
        <w:t xml:space="preserve">An ADI must use an observation period of eight years, </w:t>
      </w:r>
      <w:r w:rsidR="00607315" w:rsidRPr="001F28EC">
        <w:t>which is to be constructed as the concatenation of</w:t>
      </w:r>
      <w:r w:rsidR="00767BC1" w:rsidRPr="001F28EC">
        <w:t>:</w:t>
      </w:r>
    </w:p>
    <w:p w14:paraId="24F13A31" w14:textId="1BFBDF67" w:rsidR="0056749B" w:rsidRPr="001F28EC" w:rsidRDefault="00C6574F" w:rsidP="00A14A05">
      <w:pPr>
        <w:pStyle w:val="BodyText2"/>
      </w:pPr>
      <w:r w:rsidRPr="001F28EC">
        <w:t xml:space="preserve">Period A – </w:t>
      </w:r>
      <w:r w:rsidR="00767BC1" w:rsidRPr="001F28EC">
        <w:t>f</w:t>
      </w:r>
      <w:r w:rsidR="00526760" w:rsidRPr="001F28EC">
        <w:t>ixed observation</w:t>
      </w:r>
      <w:r w:rsidR="00767BC1" w:rsidRPr="001F28EC">
        <w:t xml:space="preserve"> period</w:t>
      </w:r>
      <w:r w:rsidR="00984079" w:rsidRPr="001F28EC">
        <w:t xml:space="preserve"> (3.5 years)</w:t>
      </w:r>
      <w:r w:rsidR="00B11D78" w:rsidRPr="001F28EC">
        <w:t xml:space="preserve">, spanning 1 January 2020 to </w:t>
      </w:r>
      <w:r w:rsidR="00CD1EE7" w:rsidRPr="001F28EC">
        <w:t>30 June 2023</w:t>
      </w:r>
      <w:r w:rsidR="00DC7108" w:rsidRPr="001F28EC">
        <w:t>; and</w:t>
      </w:r>
    </w:p>
    <w:p w14:paraId="709D8F4C" w14:textId="2DE97296" w:rsidR="00A23B4F" w:rsidRPr="001F28EC" w:rsidRDefault="00DC7108" w:rsidP="00A14A05">
      <w:pPr>
        <w:pStyle w:val="BodyText2"/>
      </w:pPr>
      <w:r w:rsidRPr="001F28EC">
        <w:t xml:space="preserve">Period B – </w:t>
      </w:r>
      <w:r w:rsidR="00984079" w:rsidRPr="001F28EC">
        <w:t>rolling o</w:t>
      </w:r>
      <w:r w:rsidR="00A1021C" w:rsidRPr="001F28EC">
        <w:t>bservation period (4.5 years)</w:t>
      </w:r>
      <w:r w:rsidR="00701163" w:rsidRPr="001F28EC">
        <w:t>,</w:t>
      </w:r>
      <w:r w:rsidR="00CD1EE7" w:rsidRPr="001F28EC">
        <w:t xml:space="preserve"> incorporating the latest data excluding </w:t>
      </w:r>
      <w:r w:rsidR="00D85FCC" w:rsidRPr="001F28EC">
        <w:t>P</w:t>
      </w:r>
      <w:r w:rsidR="00CD1EE7" w:rsidRPr="001F28EC">
        <w:t>eriod A</w:t>
      </w:r>
      <w:r w:rsidR="00A777A8" w:rsidRPr="001F28EC">
        <w:t>,</w:t>
      </w:r>
      <w:r w:rsidR="00CD1EE7" w:rsidRPr="001F28EC">
        <w:t xml:space="preserve"> and </w:t>
      </w:r>
      <w:r w:rsidR="00701163" w:rsidRPr="001F28EC">
        <w:t xml:space="preserve">ending on a date no earlier than three months </w:t>
      </w:r>
      <w:r w:rsidR="00FB5DEB" w:rsidRPr="001F28EC">
        <w:t>before the calculation date.</w:t>
      </w:r>
    </w:p>
    <w:p w14:paraId="1E855370" w14:textId="6DB29B1D" w:rsidR="00134EF2" w:rsidRPr="001F28EC" w:rsidRDefault="001B1B6A" w:rsidP="002A38AD">
      <w:pPr>
        <w:pStyle w:val="BodyText1"/>
        <w:numPr>
          <w:ilvl w:val="0"/>
          <w:numId w:val="8"/>
        </w:numPr>
      </w:pPr>
      <w:r w:rsidRPr="001F28EC">
        <w:t xml:space="preserve">The method used to choose the end date of the observation period for each calculation date must be specified. </w:t>
      </w:r>
      <w:r w:rsidR="00896419" w:rsidRPr="001F28EC">
        <w:t>Observation dates are t</w:t>
      </w:r>
      <w:r w:rsidRPr="001F28EC">
        <w:t>he business days in the observation period</w:t>
      </w:r>
      <w:r w:rsidR="00896419" w:rsidRPr="001F28EC">
        <w:t>.</w:t>
      </w:r>
      <w:r w:rsidR="00607315" w:rsidRPr="001F28EC">
        <w:t xml:space="preserve"> </w:t>
      </w:r>
      <w:r w:rsidR="00C854A6" w:rsidRPr="001F28EC">
        <w:t>Period B observation dates</w:t>
      </w:r>
      <w:r w:rsidR="00607315" w:rsidRPr="001F28EC">
        <w:t xml:space="preserve"> within the </w:t>
      </w:r>
      <w:r w:rsidR="00807FB3" w:rsidRPr="001F28EC">
        <w:t>eight-year</w:t>
      </w:r>
      <w:r w:rsidR="00607315" w:rsidRPr="001F28EC">
        <w:t xml:space="preserve"> observation period </w:t>
      </w:r>
      <w:r w:rsidR="006D43C9" w:rsidRPr="001F28EC">
        <w:t xml:space="preserve">are </w:t>
      </w:r>
      <w:r w:rsidR="00607315" w:rsidRPr="001F28EC">
        <w:t xml:space="preserve">to be updated </w:t>
      </w:r>
      <w:r w:rsidR="002D11B8" w:rsidRPr="001F28EC">
        <w:t>quarterly</w:t>
      </w:r>
      <w:r w:rsidR="00607315" w:rsidRPr="001F28EC">
        <w:t xml:space="preserve">. </w:t>
      </w:r>
    </w:p>
    <w:p w14:paraId="29A0BCC8" w14:textId="54E463B6" w:rsidR="001B1B6A" w:rsidRPr="001F28EC" w:rsidRDefault="0048417B" w:rsidP="00FD0872">
      <w:pPr>
        <w:pStyle w:val="Attachmentheading1"/>
      </w:pPr>
      <w:r w:rsidRPr="001F28EC">
        <w:t xml:space="preserve">Calculation of </w:t>
      </w:r>
      <w:r w:rsidR="00134EF2" w:rsidRPr="001F28EC">
        <w:t>the</w:t>
      </w:r>
      <w:r w:rsidRPr="001F28EC">
        <w:t xml:space="preserve"> prospective </w:t>
      </w:r>
      <w:r w:rsidR="00134EF2" w:rsidRPr="001F28EC">
        <w:t xml:space="preserve">IRRBB </w:t>
      </w:r>
      <w:r w:rsidRPr="001F28EC">
        <w:t>capital charge</w:t>
      </w:r>
    </w:p>
    <w:p w14:paraId="7F261AFC" w14:textId="19E9F649" w:rsidR="002F750C" w:rsidRPr="001F28EC" w:rsidRDefault="002F750C" w:rsidP="002A38AD">
      <w:pPr>
        <w:pStyle w:val="BodyText1"/>
      </w:pPr>
      <w:bookmarkStart w:id="123" w:name="_Ref119348633"/>
      <w:bookmarkStart w:id="124" w:name="_Ref168041394"/>
      <w:bookmarkStart w:id="125" w:name="_Ref11164057"/>
      <w:r w:rsidRPr="001F28EC">
        <w:t xml:space="preserve">The economic value of the banking book </w:t>
      </w:r>
      <w:r w:rsidRPr="001F28EC" w:rsidDel="00797CF0">
        <w:t xml:space="preserve">or augmented banking book </w:t>
      </w:r>
      <w:r w:rsidR="00B02882" w:rsidRPr="001F28EC" w:rsidDel="00797CF0">
        <w:t xml:space="preserve">(see paragraph </w:t>
      </w:r>
      <w:r w:rsidR="00950044" w:rsidRPr="001F28EC">
        <w:t>28</w:t>
      </w:r>
      <w:r w:rsidR="0044650E" w:rsidRPr="001F28EC">
        <w:t xml:space="preserve"> of this Attachment)</w:t>
      </w:r>
      <w:r w:rsidRPr="001F28EC">
        <w:t xml:space="preserve"> is the sum of the economic values of all items it contains.</w:t>
      </w:r>
      <w:bookmarkEnd w:id="123"/>
      <w:bookmarkEnd w:id="124"/>
    </w:p>
    <w:p w14:paraId="2EF06633" w14:textId="77777777" w:rsidR="00D83EBB" w:rsidRPr="001F28EC" w:rsidRDefault="00D83EBB" w:rsidP="002A38AD">
      <w:pPr>
        <w:pStyle w:val="BodyText1"/>
      </w:pPr>
      <w:r w:rsidRPr="001F28EC">
        <w:t>The economic value (EV) of a banking book item, given a set of repricing assumptions and risk factor values, is:</w:t>
      </w:r>
      <w:bookmarkEnd w:id="114"/>
      <w:bookmarkEnd w:id="125"/>
    </w:p>
    <w:p w14:paraId="578D70DE" w14:textId="6A665911" w:rsidR="00D83EBB" w:rsidRPr="001F28EC" w:rsidRDefault="00D83EBB" w:rsidP="002A38AD">
      <w:pPr>
        <w:pStyle w:val="BodyText2"/>
      </w:pPr>
      <w:r w:rsidRPr="001F28EC">
        <w:t>for a non-market-related item, the net present value, as at the calculation date, of expected future notional cash flows</w:t>
      </w:r>
      <w:r w:rsidR="004268D9" w:rsidRPr="001F28EC">
        <w:t xml:space="preserve"> (see paragraph </w:t>
      </w:r>
      <w:r w:rsidR="00130104" w:rsidRPr="001F28EC">
        <w:t>24</w:t>
      </w:r>
      <w:r w:rsidR="004268D9" w:rsidRPr="001F28EC">
        <w:t xml:space="preserve"> of this Attachment)</w:t>
      </w:r>
      <w:r w:rsidRPr="001F28EC">
        <w:t>, using discount rates from the relevant NMR curve; and</w:t>
      </w:r>
    </w:p>
    <w:p w14:paraId="682FD348" w14:textId="77777777" w:rsidR="00D83EBB" w:rsidRPr="001F28EC" w:rsidRDefault="00D83EBB" w:rsidP="002A38AD">
      <w:pPr>
        <w:pStyle w:val="BodyText2"/>
      </w:pPr>
      <w:r w:rsidRPr="001F28EC">
        <w:t>for a market-related item, the fair value of the item, based on the relevant risk factor values.</w:t>
      </w:r>
    </w:p>
    <w:p w14:paraId="52205F60" w14:textId="2DFEC07F" w:rsidR="009A4CC2" w:rsidRPr="001F28EC" w:rsidRDefault="00181915" w:rsidP="00604BFF">
      <w:pPr>
        <w:pStyle w:val="BodyText1"/>
        <w:numPr>
          <w:ilvl w:val="0"/>
          <w:numId w:val="9"/>
        </w:numPr>
      </w:pPr>
      <w:bookmarkStart w:id="126" w:name="_Ref119349179"/>
      <w:bookmarkStart w:id="127" w:name="_Ref103268097"/>
      <w:bookmarkStart w:id="128" w:name="_Ref167972828"/>
      <w:bookmarkStart w:id="129" w:name="_Ref11161861"/>
      <w:bookmarkStart w:id="130" w:name="_Ref535225618"/>
      <w:bookmarkStart w:id="131" w:name="_Ref4747127"/>
      <w:r w:rsidRPr="001F28EC">
        <w:t>For a given repricing assumption</w:t>
      </w:r>
      <w:r w:rsidR="00275A77" w:rsidRPr="001F28EC">
        <w:rPr>
          <w:rFonts w:ascii="Cambria Math" w:hAnsi="Cambria Math"/>
          <w:i/>
        </w:rPr>
        <w:t xml:space="preserve"> </w:t>
      </w:r>
      <w:r w:rsidR="00316C8D" w:rsidRPr="001F28EC">
        <w:rPr>
          <w:noProof/>
        </w:rPr>
        <w:drawing>
          <wp:inline distT="0" distB="0" distL="0" distR="0" wp14:anchorId="31310646" wp14:editId="3B6CFB3B">
            <wp:extent cx="1614114" cy="147143"/>
            <wp:effectExtent l="0" t="0" r="0" b="5715"/>
            <wp:docPr id="769041288" name="Picture 1" descr="In the set m, containing the elements central, shorter and lo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41288" name="Picture 1" descr="In the set m, containing the elements central, shorter and longer"/>
                    <pic:cNvPicPr/>
                  </pic:nvPicPr>
                  <pic:blipFill>
                    <a:blip r:embed="rId27"/>
                    <a:stretch>
                      <a:fillRect/>
                    </a:stretch>
                  </pic:blipFill>
                  <pic:spPr>
                    <a:xfrm>
                      <a:off x="0" y="0"/>
                      <a:ext cx="1989112" cy="181328"/>
                    </a:xfrm>
                    <a:prstGeom prst="rect">
                      <a:avLst/>
                    </a:prstGeom>
                  </pic:spPr>
                </pic:pic>
              </a:graphicData>
            </a:graphic>
          </wp:inline>
        </w:drawing>
      </w:r>
      <w:r w:rsidR="00F11F48" w:rsidRPr="001F28EC">
        <w:t xml:space="preserve">, an </w:t>
      </w:r>
      <w:r w:rsidR="009A4CC2" w:rsidRPr="001F28EC">
        <w:t xml:space="preserve">ADI’s </w:t>
      </w:r>
      <w:r w:rsidR="009A4CC2" w:rsidRPr="001F28EC">
        <w:rPr>
          <w:rStyle w:val="inlinedefn"/>
          <w:rFonts w:eastAsia="Calibri"/>
        </w:rPr>
        <w:t>prospective IRRBB capital charge</w:t>
      </w:r>
      <w:r w:rsidR="009A4CC2" w:rsidRPr="001F28EC">
        <w:t xml:space="preserve"> is</w:t>
      </w:r>
      <w:bookmarkEnd w:id="126"/>
      <w:r w:rsidR="009A4CC2" w:rsidRPr="001F28EC">
        <w:t xml:space="preserve"> </w:t>
      </w:r>
      <w:bookmarkEnd w:id="127"/>
      <w:r w:rsidR="009A4CC2" w:rsidRPr="001F28EC">
        <w:t>the ADI’s estimate of the 97.5 per cent expected shortfall of the prospective loss</w:t>
      </w:r>
      <w:r w:rsidR="009A4CC2" w:rsidRPr="001F28EC">
        <w:rPr>
          <w:rStyle w:val="FootnoteReference"/>
          <w:szCs w:val="24"/>
        </w:rPr>
        <w:footnoteReference w:id="7"/>
      </w:r>
      <w:r w:rsidR="009A4CC2" w:rsidRPr="001F28EC">
        <w:t xml:space="preserve"> under repricing assumptions </w:t>
      </w:r>
      <w:r w:rsidR="00B23412" w:rsidRPr="001F28EC">
        <w:rPr>
          <w:noProof/>
        </w:rPr>
        <w:drawing>
          <wp:inline distT="0" distB="0" distL="0" distR="0" wp14:anchorId="5DA7F342" wp14:editId="0E22FC75">
            <wp:extent cx="133350" cy="183515"/>
            <wp:effectExtent l="0" t="0" r="0" b="6985"/>
            <wp:docPr id="1372288905" name="Picture 1" descr="Repricing assumption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88905" name="Picture 1" descr="Repricing assumption m"/>
                    <pic:cNvPicPr/>
                  </pic:nvPicPr>
                  <pic:blipFill rotWithShape="1">
                    <a:blip r:embed="rId17"/>
                    <a:srcRect t="1" r="93090" b="-1"/>
                    <a:stretch/>
                  </pic:blipFill>
                  <pic:spPr bwMode="auto">
                    <a:xfrm>
                      <a:off x="0" y="0"/>
                      <a:ext cx="137158" cy="188755"/>
                    </a:xfrm>
                    <a:prstGeom prst="rect">
                      <a:avLst/>
                    </a:prstGeom>
                    <a:ln>
                      <a:noFill/>
                    </a:ln>
                    <a:extLst>
                      <a:ext uri="{53640926-AAD7-44D8-BBD7-CCE9431645EC}">
                        <a14:shadowObscured xmlns:a14="http://schemas.microsoft.com/office/drawing/2010/main"/>
                      </a:ext>
                    </a:extLst>
                  </pic:spPr>
                </pic:pic>
              </a:graphicData>
            </a:graphic>
          </wp:inline>
        </w:drawing>
      </w:r>
      <w:r w:rsidR="009A4CC2" w:rsidRPr="001F28EC">
        <w:t xml:space="preserve">, where, for each possible rate scenario </w:t>
      </w:r>
      <w:r w:rsidR="00B23412" w:rsidRPr="001F28EC">
        <w:rPr>
          <w:noProof/>
        </w:rPr>
        <w:drawing>
          <wp:inline distT="0" distB="0" distL="0" distR="0" wp14:anchorId="5BDBE3C4" wp14:editId="37B7B6BD">
            <wp:extent cx="149372" cy="149372"/>
            <wp:effectExtent l="0" t="0" r="3175" b="3175"/>
            <wp:docPr id="407046294" name="Picture 1" descr="Possible rate scenario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046294" name="Picture 1" descr="Possible rate scenario s"/>
                    <pic:cNvPicPr/>
                  </pic:nvPicPr>
                  <pic:blipFill>
                    <a:blip r:embed="rId28"/>
                    <a:stretch>
                      <a:fillRect/>
                    </a:stretch>
                  </pic:blipFill>
                  <pic:spPr>
                    <a:xfrm>
                      <a:off x="0" y="0"/>
                      <a:ext cx="154802" cy="154802"/>
                    </a:xfrm>
                    <a:prstGeom prst="rect">
                      <a:avLst/>
                    </a:prstGeom>
                  </pic:spPr>
                </pic:pic>
              </a:graphicData>
            </a:graphic>
          </wp:inline>
        </w:drawing>
      </w:r>
      <w:r w:rsidR="009A4CC2" w:rsidRPr="001F28EC">
        <w:t xml:space="preserve"> in the distribution of rate scenarios, the </w:t>
      </w:r>
      <w:r w:rsidR="009A4CC2" w:rsidRPr="001F28EC">
        <w:rPr>
          <w:rStyle w:val="inlinedefn"/>
        </w:rPr>
        <w:t>prospective loss</w:t>
      </w:r>
      <w:r w:rsidR="009A4CC2" w:rsidRPr="001F28EC">
        <w:t xml:space="preserve"> is equal to:</w:t>
      </w:r>
      <w:bookmarkEnd w:id="128"/>
      <w:r w:rsidR="00B23412" w:rsidRPr="001F28EC">
        <w:rPr>
          <w:noProof/>
        </w:rPr>
        <w:t xml:space="preserve"> </w:t>
      </w:r>
    </w:p>
    <w:p w14:paraId="3EF7BC0B" w14:textId="2555B242" w:rsidR="009A4CC2" w:rsidRPr="001F28EC" w:rsidRDefault="00C00A00" w:rsidP="005C405F">
      <w:pPr>
        <w:pStyle w:val="BodyText1"/>
        <w:numPr>
          <w:ilvl w:val="0"/>
          <w:numId w:val="0"/>
        </w:numPr>
        <w:ind w:left="567"/>
        <w:jc w:val="center"/>
        <w:rPr>
          <w:rFonts w:eastAsiaTheme="minorEastAsia"/>
        </w:rPr>
      </w:pPr>
      <w:r w:rsidRPr="001F28EC">
        <w:rPr>
          <w:noProof/>
        </w:rPr>
        <w:drawing>
          <wp:inline distT="0" distB="0" distL="0" distR="0" wp14:anchorId="63A449C4" wp14:editId="4DBE6D56">
            <wp:extent cx="2926080" cy="423094"/>
            <wp:effectExtent l="0" t="0" r="7620" b="0"/>
            <wp:docPr id="2002847425" name="Picture 1" descr="Formula for calculating the prospective loss for each possible rate scenario s in the distribution of rate scenar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47425" name="Picture 1" descr="Formula for calculating the prospective loss for each possible rate scenario s in the distribution of rate scenarios. "/>
                    <pic:cNvPicPr/>
                  </pic:nvPicPr>
                  <pic:blipFill>
                    <a:blip r:embed="rId29"/>
                    <a:stretch>
                      <a:fillRect/>
                    </a:stretch>
                  </pic:blipFill>
                  <pic:spPr>
                    <a:xfrm>
                      <a:off x="0" y="0"/>
                      <a:ext cx="3056170" cy="441904"/>
                    </a:xfrm>
                    <a:prstGeom prst="rect">
                      <a:avLst/>
                    </a:prstGeom>
                  </pic:spPr>
                </pic:pic>
              </a:graphicData>
            </a:graphic>
          </wp:inline>
        </w:drawing>
      </w:r>
    </w:p>
    <w:p w14:paraId="40F5C77D" w14:textId="285A350A" w:rsidR="009A4CC2" w:rsidRPr="001F28EC" w:rsidRDefault="00E352DA" w:rsidP="009A4CC2">
      <w:pPr>
        <w:pStyle w:val="BodyText1"/>
        <w:numPr>
          <w:ilvl w:val="0"/>
          <w:numId w:val="0"/>
        </w:numPr>
        <w:ind w:left="567"/>
      </w:pPr>
      <w:r w:rsidRPr="001F28EC">
        <w:rPr>
          <w:noProof/>
        </w:rPr>
        <w:drawing>
          <wp:inline distT="0" distB="0" distL="0" distR="0" wp14:anchorId="2858FD83" wp14:editId="7B1E4E4A">
            <wp:extent cx="739471" cy="176192"/>
            <wp:effectExtent l="0" t="0" r="3810" b="0"/>
            <wp:docPr id="872947744" name="Picture 1" descr="PreShockEV subscript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47744" name="Picture 1" descr="PreShockEV subscript j"/>
                    <pic:cNvPicPr/>
                  </pic:nvPicPr>
                  <pic:blipFill>
                    <a:blip r:embed="rId30"/>
                    <a:stretch>
                      <a:fillRect/>
                    </a:stretch>
                  </pic:blipFill>
                  <pic:spPr>
                    <a:xfrm>
                      <a:off x="0" y="0"/>
                      <a:ext cx="780053" cy="185861"/>
                    </a:xfrm>
                    <a:prstGeom prst="rect">
                      <a:avLst/>
                    </a:prstGeom>
                  </pic:spPr>
                </pic:pic>
              </a:graphicData>
            </a:graphic>
          </wp:inline>
        </w:drawing>
      </w:r>
      <w:r w:rsidR="009A4CC2" w:rsidRPr="001F28EC">
        <w:t xml:space="preserve">is the EV of item </w:t>
      </w:r>
      <w:r w:rsidRPr="001F28EC">
        <w:rPr>
          <w:noProof/>
        </w:rPr>
        <w:drawing>
          <wp:inline distT="0" distB="0" distL="0" distR="0" wp14:anchorId="30B25565" wp14:editId="6A007A46">
            <wp:extent cx="103784" cy="138378"/>
            <wp:effectExtent l="0" t="0" r="0" b="0"/>
            <wp:docPr id="450284686" name="Picture 1"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84686" name="Picture 1" descr="j"/>
                    <pic:cNvPicPr/>
                  </pic:nvPicPr>
                  <pic:blipFill>
                    <a:blip r:embed="rId31"/>
                    <a:stretch>
                      <a:fillRect/>
                    </a:stretch>
                  </pic:blipFill>
                  <pic:spPr>
                    <a:xfrm>
                      <a:off x="0" y="0"/>
                      <a:ext cx="112928" cy="150569"/>
                    </a:xfrm>
                    <a:prstGeom prst="rect">
                      <a:avLst/>
                    </a:prstGeom>
                  </pic:spPr>
                </pic:pic>
              </a:graphicData>
            </a:graphic>
          </wp:inline>
        </w:drawing>
      </w:r>
      <w:r w:rsidR="009A4CC2" w:rsidRPr="001F28EC">
        <w:t xml:space="preserve"> under the central assumptions, using the values of risk factors at the calculation </w:t>
      </w:r>
      <w:proofErr w:type="gramStart"/>
      <w:r w:rsidR="009A4CC2" w:rsidRPr="001F28EC">
        <w:t>date;</w:t>
      </w:r>
      <w:proofErr w:type="gramEnd"/>
      <w:r w:rsidR="009A4CC2" w:rsidRPr="001F28EC">
        <w:t xml:space="preserve"> </w:t>
      </w:r>
    </w:p>
    <w:p w14:paraId="2FF2E9EB" w14:textId="0CE532FE" w:rsidR="009A4CC2" w:rsidRPr="001F28EC" w:rsidRDefault="00CE7F98" w:rsidP="009A4CC2">
      <w:pPr>
        <w:pStyle w:val="BodyText1"/>
        <w:numPr>
          <w:ilvl w:val="0"/>
          <w:numId w:val="0"/>
        </w:numPr>
        <w:ind w:left="567"/>
      </w:pPr>
      <w:r w:rsidRPr="001F28EC">
        <w:rPr>
          <w:noProof/>
        </w:rPr>
        <w:drawing>
          <wp:inline distT="0" distB="0" distL="0" distR="0" wp14:anchorId="76A5262D" wp14:editId="37786804">
            <wp:extent cx="858740" cy="176938"/>
            <wp:effectExtent l="0" t="0" r="0" b="0"/>
            <wp:docPr id="2144292543" name="Picture 1" descr="PostShockEV subscript j,s super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92543" name="Picture 1" descr="PostShockEV subscript j,s superscript m"/>
                    <pic:cNvPicPr/>
                  </pic:nvPicPr>
                  <pic:blipFill>
                    <a:blip r:embed="rId32"/>
                    <a:stretch>
                      <a:fillRect/>
                    </a:stretch>
                  </pic:blipFill>
                  <pic:spPr>
                    <a:xfrm>
                      <a:off x="0" y="0"/>
                      <a:ext cx="884717" cy="182290"/>
                    </a:xfrm>
                    <a:prstGeom prst="rect">
                      <a:avLst/>
                    </a:prstGeom>
                  </pic:spPr>
                </pic:pic>
              </a:graphicData>
            </a:graphic>
          </wp:inline>
        </w:drawing>
      </w:r>
      <w:r w:rsidR="009A4CC2" w:rsidRPr="001F28EC">
        <w:t xml:space="preserve">is the EV of item </w:t>
      </w:r>
      <w:r w:rsidRPr="001F28EC">
        <w:rPr>
          <w:noProof/>
        </w:rPr>
        <w:drawing>
          <wp:inline distT="0" distB="0" distL="0" distR="0" wp14:anchorId="0C826A99" wp14:editId="14BD5E8F">
            <wp:extent cx="103784" cy="138378"/>
            <wp:effectExtent l="0" t="0" r="0" b="0"/>
            <wp:docPr id="748219429" name="Picture 1"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19429" name="Picture 1" descr="j"/>
                    <pic:cNvPicPr/>
                  </pic:nvPicPr>
                  <pic:blipFill>
                    <a:blip r:embed="rId31"/>
                    <a:stretch>
                      <a:fillRect/>
                    </a:stretch>
                  </pic:blipFill>
                  <pic:spPr>
                    <a:xfrm>
                      <a:off x="0" y="0"/>
                      <a:ext cx="112928" cy="150569"/>
                    </a:xfrm>
                    <a:prstGeom prst="rect">
                      <a:avLst/>
                    </a:prstGeom>
                  </pic:spPr>
                </pic:pic>
              </a:graphicData>
            </a:graphic>
          </wp:inline>
        </w:drawing>
      </w:r>
      <w:r w:rsidR="009A4CC2" w:rsidRPr="001F28EC">
        <w:t xml:space="preserve"> calculated using repricing assumptions </w:t>
      </w:r>
      <w:r w:rsidR="00C30955" w:rsidRPr="001F28EC">
        <w:rPr>
          <w:noProof/>
        </w:rPr>
        <w:drawing>
          <wp:inline distT="0" distB="0" distL="0" distR="0" wp14:anchorId="78BE0332" wp14:editId="2C8D8290">
            <wp:extent cx="133350" cy="183515"/>
            <wp:effectExtent l="0" t="0" r="0" b="6985"/>
            <wp:docPr id="712282833" name="Picture 1" descr="Repricing assumption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88905" name="Picture 1" descr="Repricing assumption m"/>
                    <pic:cNvPicPr/>
                  </pic:nvPicPr>
                  <pic:blipFill rotWithShape="1">
                    <a:blip r:embed="rId17"/>
                    <a:srcRect t="1" r="93090" b="-1"/>
                    <a:stretch/>
                  </pic:blipFill>
                  <pic:spPr bwMode="auto">
                    <a:xfrm>
                      <a:off x="0" y="0"/>
                      <a:ext cx="137158" cy="188755"/>
                    </a:xfrm>
                    <a:prstGeom prst="rect">
                      <a:avLst/>
                    </a:prstGeom>
                    <a:ln>
                      <a:noFill/>
                    </a:ln>
                    <a:extLst>
                      <a:ext uri="{53640926-AAD7-44D8-BBD7-CCE9431645EC}">
                        <a14:shadowObscured xmlns:a14="http://schemas.microsoft.com/office/drawing/2010/main"/>
                      </a:ext>
                    </a:extLst>
                  </pic:spPr>
                </pic:pic>
              </a:graphicData>
            </a:graphic>
          </wp:inline>
        </w:drawing>
      </w:r>
      <w:r w:rsidR="009A4CC2" w:rsidRPr="001F28EC">
        <w:t xml:space="preserve">, together with simulated risk factor values obtained by applying to risk factors at </w:t>
      </w:r>
      <w:r w:rsidR="009A4CC2" w:rsidRPr="001F28EC">
        <w:lastRenderedPageBreak/>
        <w:t xml:space="preserve">the calculation date, a shock determined for rate scenario </w:t>
      </w:r>
      <w:r w:rsidR="00D05BDB" w:rsidRPr="001F28EC">
        <w:rPr>
          <w:noProof/>
        </w:rPr>
        <w:drawing>
          <wp:inline distT="0" distB="0" distL="0" distR="0" wp14:anchorId="6D6A244C" wp14:editId="1BFF7AD0">
            <wp:extent cx="149372" cy="149372"/>
            <wp:effectExtent l="0" t="0" r="3175" b="3175"/>
            <wp:docPr id="1684646269" name="Picture 1" descr="Possible rate scenario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046294" name="Picture 1" descr="Possible rate scenario s"/>
                    <pic:cNvPicPr/>
                  </pic:nvPicPr>
                  <pic:blipFill>
                    <a:blip r:embed="rId28"/>
                    <a:stretch>
                      <a:fillRect/>
                    </a:stretch>
                  </pic:blipFill>
                  <pic:spPr>
                    <a:xfrm>
                      <a:off x="0" y="0"/>
                      <a:ext cx="154802" cy="154802"/>
                    </a:xfrm>
                    <a:prstGeom prst="rect">
                      <a:avLst/>
                    </a:prstGeom>
                  </pic:spPr>
                </pic:pic>
              </a:graphicData>
            </a:graphic>
          </wp:inline>
        </w:drawing>
      </w:r>
      <w:r w:rsidR="009A4CC2" w:rsidRPr="001F28EC">
        <w:t xml:space="preserve"> in accordance with paragraph </w:t>
      </w:r>
      <w:r w:rsidR="00130104" w:rsidRPr="001F28EC">
        <w:t>19</w:t>
      </w:r>
      <w:r w:rsidR="00C96BEB" w:rsidRPr="001F28EC">
        <w:t xml:space="preserve"> </w:t>
      </w:r>
      <w:r w:rsidR="009A4CC2" w:rsidRPr="001F28EC">
        <w:t xml:space="preserve">of this </w:t>
      </w:r>
      <w:proofErr w:type="gramStart"/>
      <w:r w:rsidR="009A4CC2" w:rsidRPr="001F28EC">
        <w:t>Attachment;</w:t>
      </w:r>
      <w:proofErr w:type="gramEnd"/>
      <w:r w:rsidR="009A4CC2" w:rsidRPr="001F28EC">
        <w:t xml:space="preserve"> </w:t>
      </w:r>
    </w:p>
    <w:p w14:paraId="1504983E" w14:textId="39489652" w:rsidR="009A4CC2" w:rsidRPr="001F28EC" w:rsidRDefault="00F25C5A" w:rsidP="009A4CC2">
      <w:pPr>
        <w:pStyle w:val="BodyText1"/>
        <w:numPr>
          <w:ilvl w:val="0"/>
          <w:numId w:val="0"/>
        </w:numPr>
        <w:ind w:left="567"/>
      </w:pPr>
      <w:r w:rsidRPr="001F28EC">
        <w:rPr>
          <w:noProof/>
        </w:rPr>
        <w:drawing>
          <wp:inline distT="0" distB="0" distL="0" distR="0" wp14:anchorId="20475F34" wp14:editId="651D0F03">
            <wp:extent cx="181423" cy="159026"/>
            <wp:effectExtent l="0" t="0" r="9525" b="0"/>
            <wp:docPr id="1717538189" name="Picture 1" descr="Augmented banking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38189" name="Picture 1" descr="Augmented banking book"/>
                    <pic:cNvPicPr/>
                  </pic:nvPicPr>
                  <pic:blipFill>
                    <a:blip r:embed="rId33"/>
                    <a:stretch>
                      <a:fillRect/>
                    </a:stretch>
                  </pic:blipFill>
                  <pic:spPr>
                    <a:xfrm>
                      <a:off x="0" y="0"/>
                      <a:ext cx="208685" cy="182923"/>
                    </a:xfrm>
                    <a:prstGeom prst="rect">
                      <a:avLst/>
                    </a:prstGeom>
                  </pic:spPr>
                </pic:pic>
              </a:graphicData>
            </a:graphic>
          </wp:inline>
        </w:drawing>
      </w:r>
      <w:r w:rsidR="009A4CC2" w:rsidRPr="001F28EC">
        <w:t xml:space="preserve"> is the </w:t>
      </w:r>
      <w:r w:rsidR="009A4CC2" w:rsidRPr="001F28EC" w:rsidDel="00B97C13">
        <w:t>augmented</w:t>
      </w:r>
      <w:r w:rsidR="00377CC8" w:rsidRPr="001F28EC">
        <w:t xml:space="preserve"> banking book (see paragraph </w:t>
      </w:r>
      <w:r w:rsidR="00D4370D" w:rsidRPr="001F28EC">
        <w:t>28</w:t>
      </w:r>
      <w:r w:rsidR="00377CC8" w:rsidRPr="001F28EC">
        <w:t xml:space="preserve"> of this Attachment</w:t>
      </w:r>
      <w:proofErr w:type="gramStart"/>
      <w:r w:rsidR="00377CC8" w:rsidRPr="001F28EC">
        <w:t>)</w:t>
      </w:r>
      <w:r w:rsidR="009A4CC2" w:rsidRPr="001F28EC">
        <w:t>;</w:t>
      </w:r>
      <w:proofErr w:type="gramEnd"/>
    </w:p>
    <w:p w14:paraId="3CCFD3B2" w14:textId="389331B4" w:rsidR="009A4CC2" w:rsidRPr="001F28EC" w:rsidRDefault="009A4CC2" w:rsidP="00713AEB">
      <w:pPr>
        <w:pStyle w:val="BodyText1"/>
        <w:numPr>
          <w:ilvl w:val="0"/>
          <w:numId w:val="0"/>
        </w:numPr>
        <w:ind w:left="567"/>
      </w:pPr>
      <w:r w:rsidRPr="001F28EC">
        <w:t xml:space="preserve">Note that </w:t>
      </w:r>
      <w:r w:rsidR="00CE7F98" w:rsidRPr="001F28EC">
        <w:rPr>
          <w:noProof/>
        </w:rPr>
        <w:drawing>
          <wp:inline distT="0" distB="0" distL="0" distR="0" wp14:anchorId="4DDA518C" wp14:editId="5FA7F714">
            <wp:extent cx="890546" cy="183491"/>
            <wp:effectExtent l="0" t="0" r="5080" b="7620"/>
            <wp:docPr id="180495356" name="Picture 1" descr="PostShockEV subscript j,s super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5356" name="Picture 1" descr="PostShockEV subscript j,s superscript m"/>
                    <pic:cNvPicPr/>
                  </pic:nvPicPr>
                  <pic:blipFill>
                    <a:blip r:embed="rId32"/>
                    <a:stretch>
                      <a:fillRect/>
                    </a:stretch>
                  </pic:blipFill>
                  <pic:spPr>
                    <a:xfrm>
                      <a:off x="0" y="0"/>
                      <a:ext cx="911446" cy="187797"/>
                    </a:xfrm>
                    <a:prstGeom prst="rect">
                      <a:avLst/>
                    </a:prstGeom>
                  </pic:spPr>
                </pic:pic>
              </a:graphicData>
            </a:graphic>
          </wp:inline>
        </w:drawing>
      </w:r>
      <w:r w:rsidRPr="001F28EC">
        <w:t xml:space="preserve"> is a random variable, whereas</w:t>
      </w:r>
      <w:r w:rsidR="00CE7F98" w:rsidRPr="001F28EC">
        <w:t xml:space="preserve"> </w:t>
      </w:r>
      <w:r w:rsidR="00CE7F98" w:rsidRPr="001F28EC">
        <w:rPr>
          <w:noProof/>
        </w:rPr>
        <w:drawing>
          <wp:inline distT="0" distB="0" distL="0" distR="0" wp14:anchorId="685781B2" wp14:editId="57B44FBF">
            <wp:extent cx="779228" cy="185664"/>
            <wp:effectExtent l="0" t="0" r="1905" b="5080"/>
            <wp:docPr id="1763926309" name="Picture 1" descr="PreShockEV subscript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26309" name="Picture 1" descr="PreShockEV subscript j"/>
                    <pic:cNvPicPr/>
                  </pic:nvPicPr>
                  <pic:blipFill>
                    <a:blip r:embed="rId30"/>
                    <a:stretch>
                      <a:fillRect/>
                    </a:stretch>
                  </pic:blipFill>
                  <pic:spPr>
                    <a:xfrm>
                      <a:off x="0" y="0"/>
                      <a:ext cx="825086" cy="196590"/>
                    </a:xfrm>
                    <a:prstGeom prst="rect">
                      <a:avLst/>
                    </a:prstGeom>
                  </pic:spPr>
                </pic:pic>
              </a:graphicData>
            </a:graphic>
          </wp:inline>
        </w:drawing>
      </w:r>
      <w:r w:rsidRPr="001F28EC">
        <w:t xml:space="preserve"> is not.</w:t>
      </w:r>
    </w:p>
    <w:p w14:paraId="5EDB8CFA" w14:textId="5C7C65A0" w:rsidR="00D83EBB" w:rsidRPr="001F28EC" w:rsidRDefault="00D83EBB" w:rsidP="002A38AD">
      <w:pPr>
        <w:pStyle w:val="BodyText1"/>
      </w:pPr>
      <w:bookmarkStart w:id="132" w:name="_Ref532389970"/>
      <w:bookmarkStart w:id="133" w:name="_Ref1668282"/>
      <w:bookmarkStart w:id="134" w:name="_Ref103270129"/>
      <w:bookmarkStart w:id="135" w:name="_Ref147221547"/>
      <w:bookmarkEnd w:id="129"/>
      <w:bookmarkEnd w:id="130"/>
      <w:bookmarkEnd w:id="131"/>
      <w:r w:rsidRPr="001F28EC">
        <w:t xml:space="preserve">The distribution of each </w:t>
      </w:r>
      <w:r w:rsidR="00F25C5A" w:rsidRPr="001F28EC">
        <w:rPr>
          <w:noProof/>
        </w:rPr>
        <w:drawing>
          <wp:inline distT="0" distB="0" distL="0" distR="0" wp14:anchorId="63285B8C" wp14:editId="39D57773">
            <wp:extent cx="882594" cy="181853"/>
            <wp:effectExtent l="0" t="0" r="0" b="8890"/>
            <wp:docPr id="728924145" name="Picture 1" descr="PostShockEV subscript j,s super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24145" name="Picture 1" descr="PostShockEV subscript j,s superscript m"/>
                    <pic:cNvPicPr/>
                  </pic:nvPicPr>
                  <pic:blipFill>
                    <a:blip r:embed="rId32"/>
                    <a:stretch>
                      <a:fillRect/>
                    </a:stretch>
                  </pic:blipFill>
                  <pic:spPr>
                    <a:xfrm>
                      <a:off x="0" y="0"/>
                      <a:ext cx="898393" cy="185108"/>
                    </a:xfrm>
                    <a:prstGeom prst="rect">
                      <a:avLst/>
                    </a:prstGeom>
                  </pic:spPr>
                </pic:pic>
              </a:graphicData>
            </a:graphic>
          </wp:inline>
        </w:drawing>
      </w:r>
      <w:r w:rsidRPr="001F28EC">
        <w:t xml:space="preserve"> must be estimated using a simulation method under which:</w:t>
      </w:r>
      <w:bookmarkEnd w:id="132"/>
      <w:bookmarkEnd w:id="133"/>
      <w:r w:rsidRPr="001F28EC">
        <w:t xml:space="preserve"> </w:t>
      </w:r>
      <w:bookmarkEnd w:id="134"/>
    </w:p>
    <w:p w14:paraId="27BC3CC5" w14:textId="77777777" w:rsidR="00D83EBB" w:rsidRPr="001F28EC" w:rsidRDefault="00D83EBB" w:rsidP="002A38AD">
      <w:pPr>
        <w:pStyle w:val="BodyText2"/>
      </w:pPr>
      <w:r w:rsidRPr="001F28EC">
        <w:t xml:space="preserve">the ADI designates every risk factor to be either </w:t>
      </w:r>
      <w:r w:rsidRPr="001F28EC">
        <w:rPr>
          <w:rStyle w:val="inlinedefn"/>
          <w:rFonts w:eastAsia="Calibri"/>
        </w:rPr>
        <w:t>perturbed</w:t>
      </w:r>
      <w:r w:rsidRPr="001F28EC">
        <w:t xml:space="preserve"> or </w:t>
      </w:r>
      <w:r w:rsidRPr="001F28EC">
        <w:rPr>
          <w:rStyle w:val="inlinedefn"/>
          <w:rFonts w:eastAsia="Calibri"/>
        </w:rPr>
        <w:t>derived</w:t>
      </w:r>
      <w:r w:rsidRPr="001F28EC">
        <w:t xml:space="preserve">. This designation forms part of the approved IRRBB model, must be documented, and any change to it constitutes a model </w:t>
      </w:r>
      <w:proofErr w:type="gramStart"/>
      <w:r w:rsidRPr="001F28EC">
        <w:t>change;</w:t>
      </w:r>
      <w:proofErr w:type="gramEnd"/>
    </w:p>
    <w:p w14:paraId="7B742542" w14:textId="77777777" w:rsidR="00D83EBB" w:rsidRPr="001F28EC" w:rsidRDefault="00D83EBB" w:rsidP="002A38AD">
      <w:pPr>
        <w:pStyle w:val="BodyText2"/>
      </w:pPr>
      <w:r w:rsidRPr="001F28EC">
        <w:t xml:space="preserve">there is one simulated scenario for each observation </w:t>
      </w:r>
      <w:proofErr w:type="gramStart"/>
      <w:r w:rsidRPr="001F28EC">
        <w:t>date;</w:t>
      </w:r>
      <w:proofErr w:type="gramEnd"/>
    </w:p>
    <w:p w14:paraId="31C6510F" w14:textId="77777777" w:rsidR="00D83EBB" w:rsidRPr="001F28EC" w:rsidRDefault="00D83EBB" w:rsidP="002A38AD">
      <w:pPr>
        <w:pStyle w:val="BodyText2"/>
      </w:pPr>
      <w:bookmarkStart w:id="136" w:name="_Ref8919112"/>
      <w:r w:rsidRPr="001F28EC">
        <w:t>for each perturbed risk factor and observation date, the simulated value of the risk factor to be used in the scenario for that observation date is:</w:t>
      </w:r>
      <w:bookmarkEnd w:id="136"/>
      <w:r w:rsidRPr="001F28EC">
        <w:t xml:space="preserve"> </w:t>
      </w:r>
    </w:p>
    <w:p w14:paraId="20207E7F" w14:textId="6F055290" w:rsidR="00D83EBB" w:rsidRPr="001F28EC" w:rsidRDefault="00EB4817" w:rsidP="005C405F">
      <w:pPr>
        <w:pStyle w:val="BodyText2"/>
        <w:numPr>
          <w:ilvl w:val="0"/>
          <w:numId w:val="0"/>
        </w:numPr>
        <w:ind w:left="1134"/>
        <w:jc w:val="center"/>
      </w:pPr>
      <w:r w:rsidRPr="001F28EC">
        <w:rPr>
          <w:noProof/>
        </w:rPr>
        <w:drawing>
          <wp:inline distT="0" distB="0" distL="0" distR="0" wp14:anchorId="3A3D5659" wp14:editId="18DCDFDF">
            <wp:extent cx="1614115" cy="227049"/>
            <wp:effectExtent l="0" t="0" r="5715" b="1905"/>
            <wp:docPr id="1662582241" name="Picture 1" descr="Formula for calculating the simulated value of the risk factor to be used in the scenario for a given observation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582241" name="Picture 1" descr="Formula for calculating the simulated value of the risk factor to be used in the scenario for a given observation date"/>
                    <pic:cNvPicPr/>
                  </pic:nvPicPr>
                  <pic:blipFill>
                    <a:blip r:embed="rId34"/>
                    <a:stretch>
                      <a:fillRect/>
                    </a:stretch>
                  </pic:blipFill>
                  <pic:spPr>
                    <a:xfrm>
                      <a:off x="0" y="0"/>
                      <a:ext cx="1715834" cy="241357"/>
                    </a:xfrm>
                    <a:prstGeom prst="rect">
                      <a:avLst/>
                    </a:prstGeom>
                  </pic:spPr>
                </pic:pic>
              </a:graphicData>
            </a:graphic>
          </wp:inline>
        </w:drawing>
      </w:r>
    </w:p>
    <w:p w14:paraId="19A1A402" w14:textId="77777777" w:rsidR="00D83EBB" w:rsidRPr="001F28EC" w:rsidRDefault="00D83EBB" w:rsidP="00FD0872">
      <w:pPr>
        <w:pStyle w:val="BodyText2"/>
        <w:numPr>
          <w:ilvl w:val="0"/>
          <w:numId w:val="0"/>
        </w:numPr>
        <w:ind w:left="1134"/>
      </w:pPr>
      <w:r w:rsidRPr="001F28EC">
        <w:t xml:space="preserve">where: </w:t>
      </w:r>
    </w:p>
    <w:p w14:paraId="691D9A58" w14:textId="6B10053A" w:rsidR="00D83EBB" w:rsidRPr="001F28EC" w:rsidRDefault="00EB4817" w:rsidP="00FD0872">
      <w:pPr>
        <w:pStyle w:val="BodyText2"/>
        <w:numPr>
          <w:ilvl w:val="0"/>
          <w:numId w:val="0"/>
        </w:numPr>
        <w:ind w:left="1134"/>
      </w:pPr>
      <w:r w:rsidRPr="001F28EC">
        <w:rPr>
          <w:noProof/>
        </w:rPr>
        <w:drawing>
          <wp:inline distT="0" distB="0" distL="0" distR="0" wp14:anchorId="60A577A2" wp14:editId="04C6B045">
            <wp:extent cx="702677" cy="194588"/>
            <wp:effectExtent l="0" t="0" r="2540" b="0"/>
            <wp:docPr id="1725439716" name="Picture 1" descr="Values of the risk factor at the calculation date d, the observation date s and ten business days before the observation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39716" name="Picture 1" descr="Values of the risk factor at the calculation date d, the observation date s and ten business days before the observation date"/>
                    <pic:cNvPicPr/>
                  </pic:nvPicPr>
                  <pic:blipFill>
                    <a:blip r:embed="rId35"/>
                    <a:stretch>
                      <a:fillRect/>
                    </a:stretch>
                  </pic:blipFill>
                  <pic:spPr>
                    <a:xfrm>
                      <a:off x="0" y="0"/>
                      <a:ext cx="749938" cy="207676"/>
                    </a:xfrm>
                    <a:prstGeom prst="rect">
                      <a:avLst/>
                    </a:prstGeom>
                  </pic:spPr>
                </pic:pic>
              </a:graphicData>
            </a:graphic>
          </wp:inline>
        </w:drawing>
      </w:r>
      <w:r w:rsidR="00D83EBB" w:rsidRPr="001F28EC">
        <w:t xml:space="preserve">are the values of the risk factor at the calculation date, the observation date and </w:t>
      </w:r>
      <w:r w:rsidR="00996030" w:rsidRPr="001F28EC">
        <w:t xml:space="preserve">ten </w:t>
      </w:r>
      <w:r w:rsidR="00D83EBB" w:rsidRPr="001F28EC">
        <w:t>business days before the observation date respectively; and</w:t>
      </w:r>
    </w:p>
    <w:p w14:paraId="58517447" w14:textId="529BEF71" w:rsidR="005F61F7" w:rsidRPr="001F28EC" w:rsidRDefault="00D83EBB" w:rsidP="002A38AD">
      <w:pPr>
        <w:pStyle w:val="BodyText2"/>
      </w:pPr>
      <w:r w:rsidRPr="001F28EC">
        <w:t>for each derived risk factor and observation date, the ADI must derive the simulated value of the risk factor at that date to be used in the scenario from the values simulated for other risk factors for the scenario.</w:t>
      </w:r>
    </w:p>
    <w:p w14:paraId="1E86748D" w14:textId="3F3FE9E5" w:rsidR="00D83EBB" w:rsidRPr="001F28EC" w:rsidRDefault="00D83EBB" w:rsidP="002A38AD">
      <w:pPr>
        <w:pStyle w:val="BodyText1"/>
      </w:pPr>
      <w:r w:rsidRPr="001F28EC">
        <w:t xml:space="preserve">For non-market-related items, </w:t>
      </w:r>
      <w:r w:rsidR="00F86F0D" w:rsidRPr="001F28EC">
        <w:t xml:space="preserve">only </w:t>
      </w:r>
      <w:r w:rsidRPr="001F28EC">
        <w:t xml:space="preserve">the risk factor values </w:t>
      </w:r>
      <w:r w:rsidR="00F86F0D" w:rsidRPr="001F28EC">
        <w:t xml:space="preserve">in the NMR curves </w:t>
      </w:r>
      <w:r w:rsidR="001E191F" w:rsidRPr="001F28EC">
        <w:t xml:space="preserve">that are used to discount notional cash flows </w:t>
      </w:r>
      <w:r w:rsidR="00F86F0D" w:rsidRPr="001F28EC">
        <w:t xml:space="preserve">may </w:t>
      </w:r>
      <w:r w:rsidR="00233A12" w:rsidRPr="001F28EC">
        <w:t>d</w:t>
      </w:r>
      <w:r w:rsidRPr="001F28EC">
        <w:t xml:space="preserve">iffer between the calculation of Pre-shock and </w:t>
      </w:r>
      <w:proofErr w:type="gramStart"/>
      <w:r w:rsidRPr="001F28EC">
        <w:t>Post-shock</w:t>
      </w:r>
      <w:proofErr w:type="gramEnd"/>
      <w:r w:rsidRPr="001F28EC">
        <w:t xml:space="preserve"> EVs for a given set of repricing assumptions</w:t>
      </w:r>
      <w:r w:rsidR="002051C7" w:rsidRPr="001F28EC">
        <w:t xml:space="preserve"> </w:t>
      </w:r>
      <w:r w:rsidR="004268D9" w:rsidRPr="001F28EC">
        <w:t xml:space="preserve">(see paragraph </w:t>
      </w:r>
      <w:r w:rsidR="00C75BD6" w:rsidRPr="001F28EC">
        <w:t>24</w:t>
      </w:r>
      <w:r w:rsidR="004268D9" w:rsidRPr="001F28EC">
        <w:t xml:space="preserve"> of this Attachment)</w:t>
      </w:r>
      <w:r w:rsidRPr="001F28EC">
        <w:t xml:space="preserve">. The notional cash flows in the Pre-shock and </w:t>
      </w:r>
      <w:proofErr w:type="gramStart"/>
      <w:r w:rsidRPr="001F28EC">
        <w:t>Post-shock</w:t>
      </w:r>
      <w:proofErr w:type="gramEnd"/>
      <w:r w:rsidRPr="001F28EC">
        <w:t xml:space="preserve"> EVs must be the same</w:t>
      </w:r>
      <w:r w:rsidR="00BF1BEB" w:rsidRPr="001F28EC">
        <w:t xml:space="preserve">, other than for items </w:t>
      </w:r>
      <w:r w:rsidR="007C298A" w:rsidRPr="001F28EC">
        <w:t xml:space="preserve">with optionality, </w:t>
      </w:r>
      <w:r w:rsidR="00BF1BEB" w:rsidRPr="001F28EC">
        <w:t xml:space="preserve">and for which APRA has approved a different treatment under paragraph </w:t>
      </w:r>
      <w:r w:rsidR="00C75BD6" w:rsidRPr="001F28EC">
        <w:t>34</w:t>
      </w:r>
      <w:r w:rsidR="0064090E" w:rsidRPr="001F28EC">
        <w:t xml:space="preserve"> </w:t>
      </w:r>
      <w:r w:rsidR="00BF1BEB" w:rsidRPr="001F28EC">
        <w:t xml:space="preserve">of this </w:t>
      </w:r>
      <w:r w:rsidR="0064090E" w:rsidRPr="001F28EC">
        <w:t>Attachment</w:t>
      </w:r>
      <w:r w:rsidR="00BF1BEB" w:rsidRPr="001F28EC">
        <w:t>.</w:t>
      </w:r>
    </w:p>
    <w:p w14:paraId="2732110D" w14:textId="34C9B7AE" w:rsidR="00D83EBB" w:rsidRPr="001F28EC" w:rsidRDefault="00D83EBB" w:rsidP="002A38AD">
      <w:pPr>
        <w:pStyle w:val="BodyText1"/>
      </w:pPr>
      <w:bookmarkStart w:id="137" w:name="_Ref11164067"/>
      <w:bookmarkStart w:id="138" w:name="_Ref24466623"/>
      <w:r w:rsidRPr="001F28EC">
        <w:t xml:space="preserve">For market-related items, </w:t>
      </w:r>
      <w:proofErr w:type="gramStart"/>
      <w:r w:rsidRPr="001F28EC">
        <w:t>Post-shock</w:t>
      </w:r>
      <w:proofErr w:type="gramEnd"/>
      <w:r w:rsidRPr="001F28EC">
        <w:t xml:space="preserve"> EVs must be determined using either full revaluation or a sensitivity-based method approved by APRA. Risk factors whose values differ between the calculations of Pre-shock and </w:t>
      </w:r>
      <w:proofErr w:type="gramStart"/>
      <w:r w:rsidRPr="001F28EC">
        <w:t>Post-shock</w:t>
      </w:r>
      <w:proofErr w:type="gramEnd"/>
      <w:r w:rsidRPr="001F28EC">
        <w:t xml:space="preserve"> EVs are not limited to </w:t>
      </w:r>
      <w:r w:rsidR="006112E5" w:rsidRPr="001F28EC">
        <w:t>discount</w:t>
      </w:r>
      <w:r w:rsidRPr="001F28EC">
        <w:t xml:space="preserve"> curves.</w:t>
      </w:r>
      <w:bookmarkEnd w:id="137"/>
      <w:r w:rsidR="000F3A17" w:rsidRPr="001F28EC">
        <w:t xml:space="preserve"> Where a counterparty to an item, including an ADI customer, may exercise a choice in relation to the item, the ADI must assume the counterparty will exercise the choice in the way that is most </w:t>
      </w:r>
      <w:proofErr w:type="gramStart"/>
      <w:r w:rsidR="000F3A17" w:rsidRPr="001F28EC">
        <w:t>adverse</w:t>
      </w:r>
      <w:proofErr w:type="gramEnd"/>
      <w:r w:rsidR="000F3A17" w:rsidRPr="001F28EC">
        <w:t xml:space="preserve"> to the ADI.</w:t>
      </w:r>
      <w:bookmarkEnd w:id="138"/>
      <w:r w:rsidR="000F3A17" w:rsidRPr="001F28EC">
        <w:t xml:space="preserve"> </w:t>
      </w:r>
    </w:p>
    <w:bookmarkEnd w:id="115"/>
    <w:bookmarkEnd w:id="135"/>
    <w:p w14:paraId="6C79C8E9" w14:textId="15596F2D" w:rsidR="008308F6" w:rsidRPr="001F28EC" w:rsidRDefault="00632067" w:rsidP="001E191F">
      <w:pPr>
        <w:pStyle w:val="Attachmentheading1"/>
      </w:pPr>
      <w:r w:rsidRPr="001F28EC">
        <w:t>Repricing Assumptions</w:t>
      </w:r>
    </w:p>
    <w:p w14:paraId="73E52BC5" w14:textId="77777777" w:rsidR="002A72F6" w:rsidRPr="001F28EC" w:rsidRDefault="002A72F6" w:rsidP="002A38AD">
      <w:pPr>
        <w:pStyle w:val="BodyText1"/>
      </w:pPr>
      <w:bookmarkStart w:id="139" w:name="_Ref11164248"/>
      <w:bookmarkStart w:id="140" w:name="_Ref450652"/>
      <w:bookmarkStart w:id="141" w:name="_Ref122245103"/>
      <w:r w:rsidRPr="001F28EC">
        <w:t xml:space="preserve">An ADI’s </w:t>
      </w:r>
      <w:r w:rsidRPr="001F28EC">
        <w:rPr>
          <w:rStyle w:val="inlinedefn"/>
          <w:rFonts w:eastAsia="Calibri"/>
        </w:rPr>
        <w:t>repricing assumptions</w:t>
      </w:r>
      <w:r w:rsidRPr="001F28EC">
        <w:t xml:space="preserve"> consist of:</w:t>
      </w:r>
    </w:p>
    <w:p w14:paraId="39CD0A78" w14:textId="42EAB9C2" w:rsidR="002A72F6" w:rsidRPr="001F28EC" w:rsidRDefault="002A72F6" w:rsidP="002A38AD">
      <w:pPr>
        <w:pStyle w:val="BodyText2"/>
      </w:pPr>
      <w:r w:rsidRPr="001F28EC">
        <w:lastRenderedPageBreak/>
        <w:t xml:space="preserve">the classification of banking book items into the categories described in </w:t>
      </w:r>
      <w:r w:rsidR="00EC0D2E" w:rsidRPr="001F28EC">
        <w:t xml:space="preserve">paragraphs </w:t>
      </w:r>
      <w:r w:rsidR="00C75BD6" w:rsidRPr="001F28EC">
        <w:t>4</w:t>
      </w:r>
      <w:r w:rsidR="00EC0D2E" w:rsidRPr="001F28EC">
        <w:t xml:space="preserve"> to </w:t>
      </w:r>
      <w:r w:rsidR="00C75BD6" w:rsidRPr="001F28EC">
        <w:t>9</w:t>
      </w:r>
      <w:r w:rsidR="00EC0D2E" w:rsidRPr="001F28EC">
        <w:t xml:space="preserve"> of </w:t>
      </w:r>
      <w:r w:rsidRPr="001F28EC">
        <w:t xml:space="preserve">this </w:t>
      </w:r>
      <w:proofErr w:type="gramStart"/>
      <w:r w:rsidRPr="001F28EC">
        <w:t>Attachment;</w:t>
      </w:r>
      <w:proofErr w:type="gramEnd"/>
    </w:p>
    <w:p w14:paraId="0A1778A3" w14:textId="5FC5421A" w:rsidR="002A72F6" w:rsidRPr="001F28EC" w:rsidRDefault="002A72F6" w:rsidP="002A38AD">
      <w:pPr>
        <w:pStyle w:val="BodyText2"/>
      </w:pPr>
      <w:r w:rsidRPr="001F28EC">
        <w:t xml:space="preserve">the allocations of types of OPI items to contractual or behavioural repricing profiles (see </w:t>
      </w:r>
      <w:r w:rsidR="006D051F" w:rsidRPr="001F28EC">
        <w:t xml:space="preserve">paragraph </w:t>
      </w:r>
      <w:r w:rsidR="00C75BD6" w:rsidRPr="001F28EC">
        <w:t>33</w:t>
      </w:r>
      <w:r w:rsidR="001E2EDA" w:rsidRPr="001F28EC">
        <w:t xml:space="preserve"> </w:t>
      </w:r>
      <w:r w:rsidR="006D051F" w:rsidRPr="001F28EC">
        <w:t>of this Attachment</w:t>
      </w:r>
      <w:r w:rsidRPr="001F28EC">
        <w:t>); and</w:t>
      </w:r>
    </w:p>
    <w:p w14:paraId="417BACED" w14:textId="0557F69E" w:rsidR="002A72F6" w:rsidRPr="001F28EC" w:rsidRDefault="002A72F6" w:rsidP="002A38AD">
      <w:pPr>
        <w:pStyle w:val="BodyText2"/>
      </w:pPr>
      <w:r w:rsidRPr="001F28EC">
        <w:t xml:space="preserve">the method of determining the cash flow profile (see paragraph </w:t>
      </w:r>
      <w:r w:rsidR="00C75BD6" w:rsidRPr="001F28EC">
        <w:t>24</w:t>
      </w:r>
      <w:r w:rsidRPr="001F28EC">
        <w:t xml:space="preserve"> of this Attachment) for non-market-related items, including the method for adjusting it in response to unexpected changes to the items, such as prepayments different from expectations. </w:t>
      </w:r>
    </w:p>
    <w:p w14:paraId="07F31180" w14:textId="54CF9B8A" w:rsidR="00463B3C" w:rsidRPr="001F28EC" w:rsidRDefault="0048417B" w:rsidP="002A38AD">
      <w:pPr>
        <w:pStyle w:val="BodyText1"/>
      </w:pPr>
      <w:bookmarkStart w:id="142" w:name="_Ref11166270"/>
      <w:r w:rsidRPr="001F28EC">
        <w:t xml:space="preserve">In the calculations set out in paragraphs </w:t>
      </w:r>
      <w:r w:rsidR="00647C44" w:rsidRPr="001F28EC">
        <w:t>16</w:t>
      </w:r>
      <w:r w:rsidRPr="001F28EC">
        <w:t xml:space="preserve"> to </w:t>
      </w:r>
      <w:r w:rsidR="00647C44" w:rsidRPr="001F28EC">
        <w:t>21</w:t>
      </w:r>
      <w:r w:rsidRPr="001F28EC">
        <w:t xml:space="preserve"> of this Attachment, a</w:t>
      </w:r>
      <w:r w:rsidR="00463B3C" w:rsidRPr="001F28EC">
        <w:t xml:space="preserve">n ADI must </w:t>
      </w:r>
      <w:r w:rsidRPr="001F28EC">
        <w:t xml:space="preserve">use </w:t>
      </w:r>
      <w:r w:rsidR="00463B3C" w:rsidRPr="001F28EC">
        <w:t>the following sets of repricing assumptions:</w:t>
      </w:r>
      <w:bookmarkEnd w:id="139"/>
      <w:bookmarkEnd w:id="142"/>
    </w:p>
    <w:p w14:paraId="30ED8D7D" w14:textId="1AE2B033" w:rsidR="00463B3C" w:rsidRPr="001F28EC" w:rsidRDefault="00233A12" w:rsidP="002A38AD">
      <w:pPr>
        <w:pStyle w:val="BodyText2"/>
      </w:pPr>
      <w:r w:rsidRPr="001F28EC">
        <w:t xml:space="preserve">the central assumptions, </w:t>
      </w:r>
      <w:r w:rsidR="00566017" w:rsidRPr="001F28EC">
        <w:t xml:space="preserve">which are the ADI’s </w:t>
      </w:r>
      <w:r w:rsidR="008308F6" w:rsidRPr="001F28EC">
        <w:t>own repricing assumptions</w:t>
      </w:r>
      <w:r w:rsidR="00463B3C" w:rsidRPr="001F28EC">
        <w:t xml:space="preserve">, chosen in accordance with paragraphs </w:t>
      </w:r>
      <w:r w:rsidR="00647C44" w:rsidRPr="001F28EC">
        <w:t>24</w:t>
      </w:r>
      <w:r w:rsidR="00463B3C" w:rsidRPr="001F28EC">
        <w:t xml:space="preserve"> to</w:t>
      </w:r>
      <w:r w:rsidR="00C367FB" w:rsidRPr="001F28EC">
        <w:t xml:space="preserve"> </w:t>
      </w:r>
      <w:r w:rsidR="00647C44" w:rsidRPr="001F28EC">
        <w:t>36</w:t>
      </w:r>
      <w:r w:rsidR="00463B3C" w:rsidRPr="001F28EC">
        <w:t xml:space="preserve"> of this </w:t>
      </w:r>
      <w:proofErr w:type="gramStart"/>
      <w:r w:rsidR="00463B3C" w:rsidRPr="001F28EC">
        <w:t>Attachment;</w:t>
      </w:r>
      <w:proofErr w:type="gramEnd"/>
    </w:p>
    <w:p w14:paraId="6EE3041B" w14:textId="054C89DD" w:rsidR="00463B3C" w:rsidRPr="001F28EC" w:rsidRDefault="008308F6" w:rsidP="002A38AD">
      <w:pPr>
        <w:pStyle w:val="BodyText2"/>
      </w:pPr>
      <w:r w:rsidRPr="001F28EC">
        <w:t xml:space="preserve">the </w:t>
      </w:r>
      <w:r w:rsidRPr="001F28EC">
        <w:rPr>
          <w:rStyle w:val="inlinedefn"/>
        </w:rPr>
        <w:t>shorter assumptions</w:t>
      </w:r>
      <w:r w:rsidR="00463B3C" w:rsidRPr="001F28EC">
        <w:t xml:space="preserve">, determined in accordance with paragraph </w:t>
      </w:r>
      <w:r w:rsidR="00647C44" w:rsidRPr="001F28EC">
        <w:t>37</w:t>
      </w:r>
      <w:r w:rsidR="002A72F6" w:rsidRPr="001F28EC">
        <w:t xml:space="preserve"> of this Attachment</w:t>
      </w:r>
      <w:r w:rsidR="00463B3C" w:rsidRPr="001F28EC">
        <w:t>; and</w:t>
      </w:r>
      <w:r w:rsidRPr="001F28EC">
        <w:t xml:space="preserve"> </w:t>
      </w:r>
    </w:p>
    <w:p w14:paraId="171D79AC" w14:textId="3C73B828" w:rsidR="008308F6" w:rsidRPr="001F28EC" w:rsidRDefault="008308F6" w:rsidP="002A38AD">
      <w:pPr>
        <w:pStyle w:val="BodyText2"/>
      </w:pPr>
      <w:r w:rsidRPr="001F28EC">
        <w:t xml:space="preserve">the </w:t>
      </w:r>
      <w:r w:rsidRPr="001F28EC">
        <w:rPr>
          <w:rStyle w:val="inlinedefn"/>
        </w:rPr>
        <w:t>longer assumptions</w:t>
      </w:r>
      <w:r w:rsidR="00463B3C" w:rsidRPr="001F28EC">
        <w:t xml:space="preserve">, determined in accordance with paragraph </w:t>
      </w:r>
      <w:r w:rsidR="00647C44" w:rsidRPr="001F28EC">
        <w:t>37</w:t>
      </w:r>
      <w:r w:rsidR="002A72F6" w:rsidRPr="001F28EC">
        <w:t xml:space="preserve"> of this Attachment</w:t>
      </w:r>
      <w:r w:rsidRPr="001F28EC">
        <w:t xml:space="preserve">. </w:t>
      </w:r>
    </w:p>
    <w:p w14:paraId="14398205" w14:textId="20993BD8" w:rsidR="00463B3C" w:rsidRPr="001F28EC" w:rsidRDefault="0051538C" w:rsidP="00463B3C">
      <w:pPr>
        <w:pStyle w:val="Heading3"/>
        <w:rPr>
          <w:rFonts w:ascii="Arial" w:hAnsi="Arial"/>
          <w:sz w:val="24"/>
        </w:rPr>
      </w:pPr>
      <w:r w:rsidRPr="001F28EC">
        <w:rPr>
          <w:rFonts w:ascii="Arial" w:hAnsi="Arial"/>
          <w:sz w:val="24"/>
        </w:rPr>
        <w:t xml:space="preserve">Central </w:t>
      </w:r>
      <w:r w:rsidR="00463B3C" w:rsidRPr="001F28EC">
        <w:rPr>
          <w:rFonts w:ascii="Arial" w:hAnsi="Arial"/>
          <w:sz w:val="24"/>
        </w:rPr>
        <w:t>assumptions</w:t>
      </w:r>
    </w:p>
    <w:p w14:paraId="48143C3A" w14:textId="26876CE3" w:rsidR="00AF72A9" w:rsidRPr="001F28EC" w:rsidRDefault="00AF72A9" w:rsidP="002A38AD">
      <w:pPr>
        <w:pStyle w:val="BodyText1"/>
      </w:pPr>
      <w:bookmarkStart w:id="143" w:name="_Ref11165635"/>
      <w:r w:rsidRPr="001F28EC">
        <w:t xml:space="preserve">An ADI must have a method of allocating a </w:t>
      </w:r>
      <w:r w:rsidRPr="001F28EC">
        <w:rPr>
          <w:rStyle w:val="inlinedefn"/>
        </w:rPr>
        <w:t>cash flow profile</w:t>
      </w:r>
      <w:r w:rsidR="00A96C40" w:rsidRPr="001F28EC">
        <w:t xml:space="preserve"> to each non-market-related item</w:t>
      </w:r>
      <w:r w:rsidRPr="001F28EC">
        <w:t>, consisting of a series of notional cash flows and associated dates at which they are assumed to occur</w:t>
      </w:r>
      <w:bookmarkEnd w:id="143"/>
      <w:r w:rsidR="0053330E" w:rsidRPr="001F28EC">
        <w:t>.</w:t>
      </w:r>
    </w:p>
    <w:p w14:paraId="4B57551C" w14:textId="4555AD0A" w:rsidR="00AF72A9" w:rsidRPr="001F28EC" w:rsidDel="002D11B8" w:rsidRDefault="00AF72A9" w:rsidP="002A38AD">
      <w:pPr>
        <w:pStyle w:val="BodyText1"/>
      </w:pPr>
      <w:bookmarkStart w:id="144" w:name="_Ref32939077"/>
      <w:r w:rsidRPr="001F28EC" w:rsidDel="002D11B8">
        <w:t xml:space="preserve">The total value at a non-market-related item’s inception date of all its notional cash flows, each discounted using the NMR curve for its currency, must </w:t>
      </w:r>
      <w:r w:rsidR="00484748" w:rsidRPr="001F28EC">
        <w:t xml:space="preserve">not be materially different to </w:t>
      </w:r>
      <w:r w:rsidRPr="001F28EC" w:rsidDel="002D11B8">
        <w:t>the consideration paid to establish the item, or the initial book value of the item if there is no such consideration.</w:t>
      </w:r>
      <w:bookmarkEnd w:id="144"/>
    </w:p>
    <w:p w14:paraId="7068FD6B" w14:textId="443AF6B9" w:rsidR="00AF72A9" w:rsidRPr="001F28EC" w:rsidRDefault="00AF72A9" w:rsidP="002A38AD">
      <w:pPr>
        <w:pStyle w:val="BodyText1"/>
      </w:pPr>
      <w:r w:rsidRPr="001F28EC">
        <w:t xml:space="preserve">The notional cash flows of a </w:t>
      </w:r>
      <w:r w:rsidR="00D67CD4" w:rsidRPr="001F28EC">
        <w:t>principal-and-interest</w:t>
      </w:r>
      <w:r w:rsidR="00632067" w:rsidRPr="001F28EC">
        <w:t xml:space="preserve"> </w:t>
      </w:r>
      <w:r w:rsidRPr="001F28EC">
        <w:t xml:space="preserve">item </w:t>
      </w:r>
      <w:r w:rsidR="00A96C40" w:rsidRPr="001F28EC">
        <w:t xml:space="preserve">must be </w:t>
      </w:r>
      <w:r w:rsidRPr="001F28EC">
        <w:t xml:space="preserve">classified into </w:t>
      </w:r>
      <w:r w:rsidRPr="001F28EC">
        <w:rPr>
          <w:rStyle w:val="inlinedefn"/>
        </w:rPr>
        <w:t>notional principal cash flows</w:t>
      </w:r>
      <w:r w:rsidRPr="001F28EC">
        <w:t xml:space="preserve"> and </w:t>
      </w:r>
      <w:r w:rsidRPr="001F28EC">
        <w:rPr>
          <w:rStyle w:val="inlinedefn"/>
        </w:rPr>
        <w:t>notional interest cash flows</w:t>
      </w:r>
      <w:r w:rsidRPr="001F28EC">
        <w:t xml:space="preserve">. The </w:t>
      </w:r>
      <w:r w:rsidR="00A96C40" w:rsidRPr="001F28EC">
        <w:t xml:space="preserve">repricing profile of a principal-and-interest item is the </w:t>
      </w:r>
      <w:r w:rsidRPr="001F28EC">
        <w:t>set of notional principal cash flows and associated dates</w:t>
      </w:r>
      <w:r w:rsidR="00566017" w:rsidRPr="001F28EC">
        <w:t>, which are called</w:t>
      </w:r>
      <w:r w:rsidRPr="001F28EC">
        <w:t xml:space="preserve"> </w:t>
      </w:r>
      <w:r w:rsidRPr="001F28EC">
        <w:rPr>
          <w:rStyle w:val="inlinedefn"/>
        </w:rPr>
        <w:t>repricing dates</w:t>
      </w:r>
      <w:r w:rsidRPr="001F28EC">
        <w:t>. At any date, the future notional principal cash flows must sum to the principal then outstanding.</w:t>
      </w:r>
    </w:p>
    <w:p w14:paraId="06CEE171" w14:textId="2517FDDC" w:rsidR="00AF72A9" w:rsidRPr="001F28EC" w:rsidRDefault="00AF72A9" w:rsidP="002A38AD">
      <w:pPr>
        <w:pStyle w:val="BodyText1"/>
      </w:pPr>
      <w:bookmarkStart w:id="145" w:name="_Ref9342948"/>
      <w:r w:rsidRPr="001F28EC">
        <w:t xml:space="preserve">An ADI must have a documented method of determining the notional interest cash flows of a </w:t>
      </w:r>
      <w:r w:rsidR="00D67CD4" w:rsidRPr="001F28EC">
        <w:t>principal-and-interest</w:t>
      </w:r>
      <w:r w:rsidR="00D67CD4" w:rsidRPr="001F28EC" w:rsidDel="00D67CD4">
        <w:t xml:space="preserve"> </w:t>
      </w:r>
      <w:r w:rsidRPr="001F28EC">
        <w:t>item based on its notional principal cash flows, such that:</w:t>
      </w:r>
      <w:bookmarkEnd w:id="145"/>
    </w:p>
    <w:p w14:paraId="49AB715C" w14:textId="2B91171E" w:rsidR="00AF72A9" w:rsidRPr="001F28EC" w:rsidRDefault="00AF72A9" w:rsidP="002A38AD">
      <w:pPr>
        <w:pStyle w:val="BodyText2"/>
      </w:pPr>
      <w:r w:rsidRPr="001F28EC">
        <w:t xml:space="preserve">the notional interest cash flows occur on the dates upon which interest is </w:t>
      </w:r>
      <w:proofErr w:type="gramStart"/>
      <w:r w:rsidRPr="001F28EC">
        <w:t>actually required</w:t>
      </w:r>
      <w:proofErr w:type="gramEnd"/>
      <w:r w:rsidRPr="001F28EC">
        <w:t xml:space="preserve"> to be paid under the item, except that a notional interest cash flow associated with any notional principal cash flow </w:t>
      </w:r>
      <w:r w:rsidR="00A96C40" w:rsidRPr="001F28EC">
        <w:t xml:space="preserve">occurring </w:t>
      </w:r>
      <w:r w:rsidRPr="001F28EC">
        <w:t>on the next business day after the calculation date may occur at the same time as the notional principal cash flow; and</w:t>
      </w:r>
    </w:p>
    <w:p w14:paraId="5128B0EF" w14:textId="4223ECFB" w:rsidR="00AF72A9" w:rsidRPr="001F28EC" w:rsidRDefault="00AF72A9" w:rsidP="002A38AD">
      <w:pPr>
        <w:pStyle w:val="BodyText2"/>
      </w:pPr>
      <w:r w:rsidRPr="001F28EC">
        <w:lastRenderedPageBreak/>
        <w:t>projections of notional interest cash flows may be changed only to the extent that the change is necessitated by changes to the item’s repricing profile.</w:t>
      </w:r>
    </w:p>
    <w:p w14:paraId="69F9A0EA" w14:textId="665522B1" w:rsidR="005D2C56" w:rsidRPr="001F28EC" w:rsidRDefault="00377CC8" w:rsidP="002A38AD">
      <w:pPr>
        <w:pStyle w:val="BodyText1"/>
        <w:numPr>
          <w:ilvl w:val="0"/>
          <w:numId w:val="8"/>
        </w:numPr>
      </w:pPr>
      <w:bookmarkStart w:id="146" w:name="_Ref147855429"/>
      <w:bookmarkStart w:id="147" w:name="_Ref119347590"/>
      <w:r w:rsidRPr="001F28EC">
        <w:t xml:space="preserve">An ADI’s augmented banking book is the ADI’s banking book together with </w:t>
      </w:r>
      <w:proofErr w:type="gramStart"/>
      <w:r w:rsidRPr="001F28EC">
        <w:t>an earnings</w:t>
      </w:r>
      <w:proofErr w:type="gramEnd"/>
      <w:r w:rsidRPr="001F28EC">
        <w:t xml:space="preserve"> offset, which is a notional principal and interest item. </w:t>
      </w:r>
      <w:r w:rsidR="007347F8" w:rsidRPr="001F28EC">
        <w:t>The earnings offset must be calculated as the economic value, as at the beginning of the ho</w:t>
      </w:r>
      <w:r w:rsidR="00106891" w:rsidRPr="001F28EC">
        <w:t>ld</w:t>
      </w:r>
      <w:r w:rsidR="007347F8" w:rsidRPr="001F28EC">
        <w:t xml:space="preserve">ing period, of a notional twelve-month, equally weighted, monthly moving average portfolio of fixed-for-floating interest rate swaps. The total </w:t>
      </w:r>
      <w:r w:rsidR="00882B06" w:rsidRPr="001F28EC">
        <w:t>principal amount covered by the swaps is equal to the sum of the book value of all banking book items.</w:t>
      </w:r>
      <w:bookmarkEnd w:id="146"/>
    </w:p>
    <w:p w14:paraId="77473FE8" w14:textId="4CB102A3" w:rsidR="00377CC8" w:rsidRPr="001F28EC" w:rsidRDefault="00377CC8" w:rsidP="002A38AD">
      <w:pPr>
        <w:pStyle w:val="BodyText1"/>
        <w:numPr>
          <w:ilvl w:val="0"/>
          <w:numId w:val="8"/>
        </w:numPr>
      </w:pPr>
      <w:bookmarkStart w:id="148" w:name="_Ref147855217"/>
      <w:r w:rsidRPr="001F28EC">
        <w:t>For the earnings offset, the ADI must choose a repricing profile consisting of at least twelve outgoing notional principal cash flows, spaced evenly over the year following the calculation date, each of magnitude one-twel</w:t>
      </w:r>
      <w:r w:rsidR="00BC5781" w:rsidRPr="001F28EC">
        <w:t>f</w:t>
      </w:r>
      <w:r w:rsidRPr="001F28EC">
        <w:t xml:space="preserve">th the book value of the banking book at the calculation date. Notional interest cash flows on the earnings offset must be determined in accordance with paragraphs </w:t>
      </w:r>
      <w:r w:rsidR="00C75BD6" w:rsidRPr="001F28EC">
        <w:t>25</w:t>
      </w:r>
      <w:r w:rsidRPr="001F28EC">
        <w:t xml:space="preserve"> </w:t>
      </w:r>
      <w:r w:rsidR="002B510F" w:rsidRPr="001F28EC">
        <w:t>to</w:t>
      </w:r>
      <w:r w:rsidRPr="001F28EC">
        <w:t xml:space="preserve"> </w:t>
      </w:r>
      <w:r w:rsidR="00C75BD6" w:rsidRPr="001F28EC">
        <w:t>27</w:t>
      </w:r>
      <w:r w:rsidRPr="001F28EC">
        <w:t xml:space="preserve"> of this Attachment as if the earnings offset were incepted at the calculation date and a notional principal cash flow occurs, equal to all unpaid, accrued interest at that time.</w:t>
      </w:r>
      <w:bookmarkEnd w:id="147"/>
      <w:bookmarkEnd w:id="148"/>
    </w:p>
    <w:p w14:paraId="3E4488A0" w14:textId="293ACD00" w:rsidR="003459A1" w:rsidRPr="001F28EC" w:rsidRDefault="00AF72A9" w:rsidP="002A38AD">
      <w:pPr>
        <w:pStyle w:val="BodyText1"/>
      </w:pPr>
      <w:bookmarkStart w:id="149" w:name="_Ref42767211"/>
      <w:r w:rsidRPr="001F28EC">
        <w:t>For each type of core deposit</w:t>
      </w:r>
      <w:r w:rsidR="009A7839" w:rsidRPr="001F28EC">
        <w:t>,</w:t>
      </w:r>
      <w:r w:rsidRPr="001F28EC">
        <w:t xml:space="preserve"> the repricing profile of the portfolio of all core deposits of that type must consist of</w:t>
      </w:r>
      <w:r w:rsidR="003459A1" w:rsidRPr="001F28EC">
        <w:t xml:space="preserve"> </w:t>
      </w:r>
      <w:bookmarkStart w:id="150" w:name="_Ref39823870"/>
      <w:r w:rsidRPr="001F28EC">
        <w:t>a non-increasing series of notional principal cash flows spaced evenly over the period from the calculation date to the last in the series, which must be no more than five years after the calculation date.</w:t>
      </w:r>
      <w:bookmarkStart w:id="151" w:name="_Ref40109667"/>
      <w:bookmarkEnd w:id="149"/>
      <w:bookmarkEnd w:id="150"/>
    </w:p>
    <w:p w14:paraId="3D9AB131" w14:textId="663A2A47" w:rsidR="00AF72A9" w:rsidRPr="001F28EC" w:rsidRDefault="00AF72A9" w:rsidP="002A38AD">
      <w:pPr>
        <w:pStyle w:val="BodyText1"/>
      </w:pPr>
      <w:r w:rsidRPr="001F28EC">
        <w:t>For all non-maturity deposits that are not core deposits, the repricing profile must have only one notional principal cash flow, occurring on the next business day after the calculation date, unless APRA approves an alternative treatment.</w:t>
      </w:r>
      <w:bookmarkEnd w:id="151"/>
    </w:p>
    <w:p w14:paraId="086FAE04" w14:textId="77777777" w:rsidR="00400990" w:rsidRPr="001F28EC" w:rsidRDefault="00400990" w:rsidP="002A38AD">
      <w:pPr>
        <w:pStyle w:val="BodyText1"/>
      </w:pPr>
      <w:r w:rsidRPr="001F28EC">
        <w:t>An ADI must choose the repricing date of each notional principal cash flow of an OPI item as the earliest date at which:</w:t>
      </w:r>
    </w:p>
    <w:p w14:paraId="3F7391C4" w14:textId="77777777" w:rsidR="00400990" w:rsidRPr="001F28EC" w:rsidRDefault="00400990" w:rsidP="002A38AD">
      <w:pPr>
        <w:pStyle w:val="BodyText2"/>
      </w:pPr>
      <w:bookmarkStart w:id="152" w:name="_Ref38616678"/>
      <w:r w:rsidRPr="001F28EC">
        <w:t>the ADI has the right to change the interest rate on the principal, or the rate is contractually required to be reset in line with an external benchmark; or</w:t>
      </w:r>
      <w:bookmarkEnd w:id="152"/>
    </w:p>
    <w:p w14:paraId="4FABDC87" w14:textId="12B8440D" w:rsidR="00400990" w:rsidRPr="001F28EC" w:rsidRDefault="00400990" w:rsidP="002A38AD">
      <w:pPr>
        <w:pStyle w:val="BodyText2"/>
      </w:pPr>
      <w:bookmarkStart w:id="153" w:name="_Ref38616673"/>
      <w:r w:rsidRPr="001F28EC">
        <w:t>the cash flow will be paid, based on:</w:t>
      </w:r>
      <w:bookmarkEnd w:id="153"/>
    </w:p>
    <w:p w14:paraId="0F37F618" w14:textId="6ADA1EA3" w:rsidR="00400990" w:rsidRPr="001F28EC" w:rsidRDefault="00400990" w:rsidP="002A38AD">
      <w:pPr>
        <w:pStyle w:val="BodyText3"/>
      </w:pPr>
      <w:r w:rsidRPr="001F28EC">
        <w:t xml:space="preserve">if the ADI designates the OPI item to have a contractual repricing profile, an assumption that all principal payments occur at the </w:t>
      </w:r>
      <w:r w:rsidR="0036644E" w:rsidRPr="001F28EC">
        <w:t>contractually scheduled</w:t>
      </w:r>
      <w:r w:rsidRPr="001F28EC">
        <w:t xml:space="preserve"> </w:t>
      </w:r>
      <w:proofErr w:type="gramStart"/>
      <w:r w:rsidRPr="001F28EC">
        <w:t>dates;</w:t>
      </w:r>
      <w:proofErr w:type="gramEnd"/>
    </w:p>
    <w:p w14:paraId="70E8C265" w14:textId="53E057F2" w:rsidR="00400990" w:rsidRPr="001F28EC" w:rsidRDefault="00400990" w:rsidP="002A38AD">
      <w:pPr>
        <w:pStyle w:val="BodyText3"/>
      </w:pPr>
      <w:r w:rsidRPr="001F28EC">
        <w:t xml:space="preserve">if the ADI designates the OPI item to have a behavioural repricing profile, an assumption that the timing of all principal payments will be in line with best estimate expectations in the case of payments that do not attract economic adjustments for the impact of breaking term, </w:t>
      </w:r>
      <w:r w:rsidRPr="001F28EC">
        <w:lastRenderedPageBreak/>
        <w:t>and with the contractually scheduled dates for payments that would otherwise att</w:t>
      </w:r>
      <w:r w:rsidR="00E20B8A" w:rsidRPr="001F28EC">
        <w:t>ract such economic adjustments.</w:t>
      </w:r>
      <w:r w:rsidR="00E20B8A" w:rsidRPr="001F28EC">
        <w:rPr>
          <w:rStyle w:val="FootnoteReference"/>
        </w:rPr>
        <w:footnoteReference w:id="8"/>
      </w:r>
      <w:r w:rsidRPr="001F28EC">
        <w:t xml:space="preserve"> </w:t>
      </w:r>
    </w:p>
    <w:p w14:paraId="2C768811" w14:textId="5CC20965" w:rsidR="00400990" w:rsidRPr="001F28EC" w:rsidRDefault="00400990" w:rsidP="002A38AD">
      <w:pPr>
        <w:pStyle w:val="BodyText1"/>
      </w:pPr>
      <w:bookmarkStart w:id="154" w:name="_Ref14944383"/>
      <w:r w:rsidRPr="001F28EC">
        <w:t>An ADI must designate an OPI item to have a repricing profile that is:</w:t>
      </w:r>
      <w:bookmarkEnd w:id="154"/>
    </w:p>
    <w:p w14:paraId="5A4EB2E4" w14:textId="14BDD0DC" w:rsidR="00400990" w:rsidRPr="001F28EC" w:rsidRDefault="00400990" w:rsidP="002A38AD">
      <w:pPr>
        <w:pStyle w:val="BodyText2"/>
      </w:pPr>
      <w:r w:rsidRPr="001F28EC">
        <w:t>contractual for a deposit, unless agreed otherwise with APRA;</w:t>
      </w:r>
      <w:r w:rsidR="007E2552" w:rsidRPr="001F28EC">
        <w:t xml:space="preserve"> and</w:t>
      </w:r>
    </w:p>
    <w:p w14:paraId="1831AFF2" w14:textId="77777777" w:rsidR="00400990" w:rsidRPr="001F28EC" w:rsidRDefault="00400990" w:rsidP="002A38AD">
      <w:pPr>
        <w:pStyle w:val="BodyText2"/>
      </w:pPr>
      <w:r w:rsidRPr="001F28EC">
        <w:t>behavioural for all non-deposit items, except that:</w:t>
      </w:r>
    </w:p>
    <w:p w14:paraId="45378598" w14:textId="77777777" w:rsidR="00400990" w:rsidRPr="001F28EC" w:rsidRDefault="00400990" w:rsidP="002A38AD">
      <w:pPr>
        <w:pStyle w:val="BodyText3"/>
      </w:pPr>
      <w:r w:rsidRPr="001F28EC">
        <w:t>contractual may be used if significant deviation from the contractual repricing profile is not expected; and</w:t>
      </w:r>
    </w:p>
    <w:p w14:paraId="7E0CF846" w14:textId="77777777" w:rsidR="00400990" w:rsidRPr="001F28EC" w:rsidRDefault="00400990" w:rsidP="002A38AD">
      <w:pPr>
        <w:pStyle w:val="BodyText3"/>
      </w:pPr>
      <w:bookmarkStart w:id="155" w:name="_Ref38551084"/>
      <w:r w:rsidRPr="001F28EC">
        <w:t>contractual must be used if there is insufficient relevant data on which to base a behavioural repricing profile.</w:t>
      </w:r>
      <w:bookmarkEnd w:id="155"/>
    </w:p>
    <w:p w14:paraId="4B066937" w14:textId="67F4B6DE" w:rsidR="00AF72A9" w:rsidRPr="001F28EC" w:rsidRDefault="00004AA7" w:rsidP="002A38AD">
      <w:pPr>
        <w:pStyle w:val="BodyText1"/>
      </w:pPr>
      <w:bookmarkStart w:id="156" w:name="_Ref8053231"/>
      <w:bookmarkStart w:id="157" w:name="_Ref119348299"/>
      <w:r w:rsidRPr="001F28EC">
        <w:t xml:space="preserve">Where an ADI has designated as </w:t>
      </w:r>
      <w:r w:rsidR="000348C1" w:rsidRPr="001F28EC">
        <w:t xml:space="preserve">a </w:t>
      </w:r>
      <w:r w:rsidRPr="001F28EC">
        <w:t xml:space="preserve">non-market-related </w:t>
      </w:r>
      <w:r w:rsidR="000348C1" w:rsidRPr="001F28EC">
        <w:t xml:space="preserve">item </w:t>
      </w:r>
      <w:bookmarkStart w:id="158" w:name="_Ref39156746"/>
      <w:r w:rsidR="00561CAD" w:rsidRPr="001F28EC">
        <w:t xml:space="preserve">any </w:t>
      </w:r>
      <w:r w:rsidR="00AF72A9" w:rsidRPr="001F28EC">
        <w:t>non</w:t>
      </w:r>
      <w:r w:rsidR="00A555AC" w:rsidRPr="001F28EC">
        <w:t>-</w:t>
      </w:r>
      <w:r w:rsidR="00AF72A9" w:rsidRPr="001F28EC">
        <w:t>linear derivative such as swaptions, caps or floors</w:t>
      </w:r>
      <w:r w:rsidR="00A71E81" w:rsidRPr="001F28EC">
        <w:t>, whether stand-alone or embedded in other instruments,</w:t>
      </w:r>
      <w:r w:rsidR="00AF72A9" w:rsidRPr="001F28EC">
        <w:t xml:space="preserve"> the ADI must use a method that </w:t>
      </w:r>
      <w:r w:rsidR="000348C1" w:rsidRPr="001F28EC">
        <w:t xml:space="preserve">APRA has explicitly </w:t>
      </w:r>
      <w:r w:rsidR="00AF72A9" w:rsidRPr="001F28EC">
        <w:t xml:space="preserve">approved to measure IRRBB on </w:t>
      </w:r>
      <w:r w:rsidR="000348C1" w:rsidRPr="001F28EC">
        <w:t>that item</w:t>
      </w:r>
      <w:r w:rsidR="00AF72A9" w:rsidRPr="001F28EC">
        <w:t>.</w:t>
      </w:r>
      <w:bookmarkStart w:id="159" w:name="_Ref11165473"/>
      <w:bookmarkEnd w:id="156"/>
      <w:bookmarkEnd w:id="157"/>
      <w:bookmarkEnd w:id="158"/>
      <w:r w:rsidR="00AF72A9" w:rsidRPr="001F28EC">
        <w:t xml:space="preserve"> </w:t>
      </w:r>
      <w:bookmarkStart w:id="160" w:name="_Ref534302519"/>
      <w:bookmarkEnd w:id="159"/>
    </w:p>
    <w:p w14:paraId="0ACD109E" w14:textId="77777777" w:rsidR="00C367FB" w:rsidRPr="001F28EC" w:rsidRDefault="00C367FB" w:rsidP="002A38AD">
      <w:pPr>
        <w:pStyle w:val="BodyText1"/>
      </w:pPr>
      <w:r w:rsidRPr="001F28EC">
        <w:t>An ADI’s repricing assumptions form part of its approved IRRBB model and must be clearly documented, conceptually sound, reasonable and, except where compelling reasons are provided to do otherwise, consistent with historical experience.</w:t>
      </w:r>
    </w:p>
    <w:p w14:paraId="0A67EDF4" w14:textId="429A5952" w:rsidR="00C367FB" w:rsidRPr="001F28EC" w:rsidRDefault="00C367FB" w:rsidP="002A38AD">
      <w:pPr>
        <w:pStyle w:val="BodyText1"/>
      </w:pPr>
      <w:bookmarkStart w:id="161" w:name="_Ref11166063"/>
      <w:r w:rsidRPr="001F28EC">
        <w:t xml:space="preserve">APRA may review the appropriateness of an ADI’s repricing assumptions and may require </w:t>
      </w:r>
      <w:r w:rsidR="003F54F4" w:rsidRPr="001F28EC">
        <w:t>the</w:t>
      </w:r>
      <w:r w:rsidRPr="001F28EC">
        <w:t xml:space="preserve"> ADI to use different assumptions for the purpose of determining its IRRBB capital charge.</w:t>
      </w:r>
      <w:bookmarkEnd w:id="161"/>
      <w:r w:rsidRPr="001F28EC">
        <w:t xml:space="preserve"> </w:t>
      </w:r>
    </w:p>
    <w:bookmarkEnd w:id="160"/>
    <w:p w14:paraId="709CBD3A" w14:textId="3661685F" w:rsidR="00AF72A9" w:rsidRPr="001F28EC" w:rsidRDefault="00AF72A9" w:rsidP="00AF72A9">
      <w:pPr>
        <w:pStyle w:val="Heading3"/>
        <w:rPr>
          <w:rFonts w:ascii="Arial" w:hAnsi="Arial"/>
          <w:sz w:val="24"/>
        </w:rPr>
      </w:pPr>
      <w:r w:rsidRPr="001F28EC">
        <w:rPr>
          <w:rFonts w:ascii="Arial" w:hAnsi="Arial"/>
          <w:sz w:val="24"/>
        </w:rPr>
        <w:t xml:space="preserve">Shorter and longer assumptions </w:t>
      </w:r>
    </w:p>
    <w:p w14:paraId="60D18C08" w14:textId="321852D1" w:rsidR="008308F6" w:rsidRPr="001F28EC" w:rsidRDefault="008308F6" w:rsidP="002A38AD">
      <w:pPr>
        <w:pStyle w:val="BodyText1"/>
      </w:pPr>
      <w:bookmarkStart w:id="162" w:name="_Ref4746862"/>
      <w:bookmarkEnd w:id="140"/>
      <w:r w:rsidRPr="001F28EC">
        <w:t xml:space="preserve">The shorter and longer assumptions are used to take account of the most common sources of optionality risk where customer payments differ from what was assumed in a behavioural repricing profile. These assumptions </w:t>
      </w:r>
      <w:r w:rsidR="007D782D" w:rsidRPr="001F28EC">
        <w:t xml:space="preserve">must be </w:t>
      </w:r>
      <w:r w:rsidRPr="001F28EC">
        <w:t xml:space="preserve">the same as the central assumptions for all items except fixed-rate </w:t>
      </w:r>
      <w:r w:rsidR="0063005B" w:rsidRPr="001F28EC">
        <w:t>assets</w:t>
      </w:r>
      <w:r w:rsidRPr="001F28EC">
        <w:t xml:space="preserve">, rate locks and core deposits, for which </w:t>
      </w:r>
      <w:r w:rsidRPr="001F28EC" w:rsidDel="00586A23">
        <w:t>the differences are:</w:t>
      </w:r>
      <w:bookmarkEnd w:id="162"/>
    </w:p>
    <w:p w14:paraId="61F5F2DC" w14:textId="77777777" w:rsidR="008308F6" w:rsidRPr="001F28EC" w:rsidRDefault="008308F6" w:rsidP="002A38AD">
      <w:pPr>
        <w:pStyle w:val="BodyText2"/>
      </w:pPr>
      <w:bookmarkStart w:id="163" w:name="_Ref8919164"/>
      <w:r w:rsidRPr="001F28EC">
        <w:t>for notional principal cash flows:</w:t>
      </w:r>
      <w:bookmarkEnd w:id="163"/>
    </w:p>
    <w:p w14:paraId="3372C79A" w14:textId="1E08700C" w:rsidR="008308F6" w:rsidRPr="001F28EC" w:rsidRDefault="008308F6" w:rsidP="002A38AD">
      <w:pPr>
        <w:pStyle w:val="BodyText3"/>
      </w:pPr>
      <w:r w:rsidRPr="001F28EC">
        <w:t xml:space="preserve">each prepayment rate </w:t>
      </w:r>
      <w:r w:rsidR="00233291" w:rsidRPr="001F28EC">
        <w:rPr>
          <w:noProof/>
        </w:rPr>
        <w:drawing>
          <wp:inline distT="0" distB="0" distL="0" distR="0" wp14:anchorId="44BF342E" wp14:editId="7B04CF55">
            <wp:extent cx="355582" cy="161163"/>
            <wp:effectExtent l="0" t="0" r="6985" b="0"/>
            <wp:docPr id="613349616" name="Picture 1" descr="CPR super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49616" name="Picture 1" descr="CPR superscript m"/>
                    <pic:cNvPicPr/>
                  </pic:nvPicPr>
                  <pic:blipFill>
                    <a:blip r:embed="rId36"/>
                    <a:stretch>
                      <a:fillRect/>
                    </a:stretch>
                  </pic:blipFill>
                  <pic:spPr>
                    <a:xfrm>
                      <a:off x="0" y="0"/>
                      <a:ext cx="376263" cy="170537"/>
                    </a:xfrm>
                    <a:prstGeom prst="rect">
                      <a:avLst/>
                    </a:prstGeom>
                  </pic:spPr>
                </pic:pic>
              </a:graphicData>
            </a:graphic>
          </wp:inline>
        </w:drawing>
      </w:r>
      <w:r w:rsidRPr="001F28EC">
        <w:t xml:space="preserve">that is used in determining the repricing profile for fixed-rate, non-market-related assets </w:t>
      </w:r>
      <w:r w:rsidR="007D782D" w:rsidRPr="001F28EC">
        <w:t>must be</w:t>
      </w:r>
      <w:r w:rsidRPr="001F28EC">
        <w:t xml:space="preserve"> determined as:</w:t>
      </w:r>
    </w:p>
    <w:p w14:paraId="55602514" w14:textId="0ED88AE8" w:rsidR="008308F6" w:rsidRPr="001F28EC" w:rsidRDefault="00233291" w:rsidP="005C405F">
      <w:pPr>
        <w:pStyle w:val="BodyText3"/>
        <w:numPr>
          <w:ilvl w:val="0"/>
          <w:numId w:val="0"/>
        </w:numPr>
        <w:ind w:left="1701"/>
        <w:jc w:val="center"/>
      </w:pPr>
      <w:r w:rsidRPr="001F28EC">
        <w:rPr>
          <w:noProof/>
        </w:rPr>
        <w:lastRenderedPageBreak/>
        <w:drawing>
          <wp:inline distT="0" distB="0" distL="0" distR="0" wp14:anchorId="7FE197BE" wp14:editId="03D9693C">
            <wp:extent cx="2449002" cy="216418"/>
            <wp:effectExtent l="0" t="0" r="0" b="0"/>
            <wp:docPr id="784606054" name="Picture 1" descr="Formula for determining the prepayment rate CPR super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06054" name="Picture 1" descr="Formula for determining the prepayment rate CPR superscript m"/>
                    <pic:cNvPicPr/>
                  </pic:nvPicPr>
                  <pic:blipFill>
                    <a:blip r:embed="rId37"/>
                    <a:stretch>
                      <a:fillRect/>
                    </a:stretch>
                  </pic:blipFill>
                  <pic:spPr>
                    <a:xfrm>
                      <a:off x="0" y="0"/>
                      <a:ext cx="2630709" cy="232475"/>
                    </a:xfrm>
                    <a:prstGeom prst="rect">
                      <a:avLst/>
                    </a:prstGeom>
                  </pic:spPr>
                </pic:pic>
              </a:graphicData>
            </a:graphic>
          </wp:inline>
        </w:drawing>
      </w:r>
    </w:p>
    <w:p w14:paraId="647B4AB4" w14:textId="2BDAE305" w:rsidR="008308F6" w:rsidRPr="001F28EC" w:rsidRDefault="00C41C00" w:rsidP="008308F6">
      <w:pPr>
        <w:pStyle w:val="BodyText3"/>
        <w:numPr>
          <w:ilvl w:val="0"/>
          <w:numId w:val="0"/>
        </w:numPr>
        <w:ind w:left="1701"/>
      </w:pPr>
      <w:r w:rsidRPr="001F28EC">
        <w:t>W</w:t>
      </w:r>
      <w:r w:rsidR="008308F6" w:rsidRPr="001F28EC">
        <w:t>here</w:t>
      </w:r>
      <w:r w:rsidRPr="001F28EC">
        <w:t xml:space="preserve"> </w:t>
      </w:r>
      <w:r w:rsidRPr="001F28EC">
        <w:rPr>
          <w:noProof/>
        </w:rPr>
        <w:drawing>
          <wp:inline distT="0" distB="0" distL="0" distR="0" wp14:anchorId="42C23CFD" wp14:editId="47A0CE1A">
            <wp:extent cx="304800" cy="179977"/>
            <wp:effectExtent l="0" t="0" r="0" b="0"/>
            <wp:docPr id="720232289" name="Picture 1" descr="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232289" name="Picture 1" descr="CPR"/>
                    <pic:cNvPicPr/>
                  </pic:nvPicPr>
                  <pic:blipFill>
                    <a:blip r:embed="rId38"/>
                    <a:stretch>
                      <a:fillRect/>
                    </a:stretch>
                  </pic:blipFill>
                  <pic:spPr>
                    <a:xfrm>
                      <a:off x="0" y="0"/>
                      <a:ext cx="312896" cy="184757"/>
                    </a:xfrm>
                    <a:prstGeom prst="rect">
                      <a:avLst/>
                    </a:prstGeom>
                  </pic:spPr>
                </pic:pic>
              </a:graphicData>
            </a:graphic>
          </wp:inline>
        </w:drawing>
      </w:r>
      <w:r w:rsidR="008308F6" w:rsidRPr="001F28EC">
        <w:t xml:space="preserve"> is the corresponding prepayment rate used </w:t>
      </w:r>
      <w:r w:rsidR="00E603A8" w:rsidRPr="001F28EC">
        <w:t>in</w:t>
      </w:r>
      <w:r w:rsidR="008308F6" w:rsidRPr="001F28EC">
        <w:t xml:space="preserve"> the central assumptions,</w:t>
      </w:r>
      <w:r w:rsidRPr="001F28EC">
        <w:t xml:space="preserve"> </w:t>
      </w:r>
      <w:r w:rsidRPr="001F28EC">
        <w:rPr>
          <w:noProof/>
        </w:rPr>
        <w:drawing>
          <wp:inline distT="0" distB="0" distL="0" distR="0" wp14:anchorId="1F60A2AD" wp14:editId="5A117CDA">
            <wp:extent cx="542036" cy="139700"/>
            <wp:effectExtent l="0" t="0" r="0" b="0"/>
            <wp:docPr id="112000594" name="Picture 1" descr="CPR 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0594" name="Picture 1" descr="CPR max"/>
                    <pic:cNvPicPr/>
                  </pic:nvPicPr>
                  <pic:blipFill>
                    <a:blip r:embed="rId39"/>
                    <a:stretch>
                      <a:fillRect/>
                    </a:stretch>
                  </pic:blipFill>
                  <pic:spPr>
                    <a:xfrm>
                      <a:off x="0" y="0"/>
                      <a:ext cx="547596" cy="141133"/>
                    </a:xfrm>
                    <a:prstGeom prst="rect">
                      <a:avLst/>
                    </a:prstGeom>
                  </pic:spPr>
                </pic:pic>
              </a:graphicData>
            </a:graphic>
          </wp:inline>
        </w:drawing>
      </w:r>
      <w:r w:rsidR="008308F6" w:rsidRPr="001F28EC">
        <w:t xml:space="preserve"> is the highest possible prepayment rate, and the factor </w:t>
      </w:r>
      <w:r w:rsidR="00AC748F" w:rsidRPr="001F28EC">
        <w:rPr>
          <w:noProof/>
        </w:rPr>
        <w:drawing>
          <wp:inline distT="0" distB="0" distL="0" distR="0" wp14:anchorId="52AF0FBC" wp14:editId="081B25D1">
            <wp:extent cx="592212" cy="183047"/>
            <wp:effectExtent l="0" t="0" r="0" b="7620"/>
            <wp:docPr id="670790658" name="Picture 1" descr="CPRfac super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90658" name="Picture 1" descr="CPRfac superscript m"/>
                    <pic:cNvPicPr/>
                  </pic:nvPicPr>
                  <pic:blipFill>
                    <a:blip r:embed="rId40"/>
                    <a:stretch>
                      <a:fillRect/>
                    </a:stretch>
                  </pic:blipFill>
                  <pic:spPr>
                    <a:xfrm>
                      <a:off x="0" y="0"/>
                      <a:ext cx="610405" cy="188670"/>
                    </a:xfrm>
                    <a:prstGeom prst="rect">
                      <a:avLst/>
                    </a:prstGeom>
                  </pic:spPr>
                </pic:pic>
              </a:graphicData>
            </a:graphic>
          </wp:inline>
        </w:drawing>
      </w:r>
      <w:r w:rsidR="008308F6" w:rsidRPr="001F28EC">
        <w:t xml:space="preserve"> is </w:t>
      </w:r>
      <w:r w:rsidR="00E603A8" w:rsidRPr="001F28EC">
        <w:t xml:space="preserve">specified in </w:t>
      </w:r>
      <w:r w:rsidR="008308F6" w:rsidRPr="001F28EC">
        <w:t xml:space="preserve">Table </w:t>
      </w:r>
      <w:proofErr w:type="gramStart"/>
      <w:r w:rsidR="008308F6" w:rsidRPr="001F28EC">
        <w:t>1;</w:t>
      </w:r>
      <w:proofErr w:type="gramEnd"/>
    </w:p>
    <w:p w14:paraId="68EDBE72" w14:textId="26B1819D" w:rsidR="008308F6" w:rsidRPr="001F28EC" w:rsidRDefault="008308F6" w:rsidP="002A38AD">
      <w:pPr>
        <w:pStyle w:val="BodyText3"/>
      </w:pPr>
      <w:r w:rsidRPr="001F28EC">
        <w:t xml:space="preserve">each drawdown rate </w:t>
      </w:r>
      <w:r w:rsidR="00AC748F" w:rsidRPr="001F28EC">
        <w:rPr>
          <w:noProof/>
        </w:rPr>
        <w:drawing>
          <wp:inline distT="0" distB="0" distL="0" distR="0" wp14:anchorId="02C629CC" wp14:editId="00CFA4DB">
            <wp:extent cx="321164" cy="179056"/>
            <wp:effectExtent l="0" t="0" r="3175" b="0"/>
            <wp:docPr id="1559330164" name="Picture 1" descr="DD super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30164" name="Picture 1" descr="DD superscript m"/>
                    <pic:cNvPicPr/>
                  </pic:nvPicPr>
                  <pic:blipFill>
                    <a:blip r:embed="rId41"/>
                    <a:stretch>
                      <a:fillRect/>
                    </a:stretch>
                  </pic:blipFill>
                  <pic:spPr>
                    <a:xfrm>
                      <a:off x="0" y="0"/>
                      <a:ext cx="342874" cy="191160"/>
                    </a:xfrm>
                    <a:prstGeom prst="rect">
                      <a:avLst/>
                    </a:prstGeom>
                  </pic:spPr>
                </pic:pic>
              </a:graphicData>
            </a:graphic>
          </wp:inline>
        </w:drawing>
      </w:r>
      <w:r w:rsidRPr="001F28EC">
        <w:t xml:space="preserve">that is used in determining the repricing profile for a rate lock </w:t>
      </w:r>
      <w:r w:rsidR="007D782D" w:rsidRPr="001F28EC">
        <w:t>must be</w:t>
      </w:r>
      <w:r w:rsidRPr="001F28EC">
        <w:t xml:space="preserve"> determined as:</w:t>
      </w:r>
    </w:p>
    <w:p w14:paraId="03AFFA34" w14:textId="1CA9E640" w:rsidR="008308F6" w:rsidRPr="001F28EC" w:rsidRDefault="00AC748F" w:rsidP="005C405F">
      <w:pPr>
        <w:pStyle w:val="BodyText3"/>
        <w:numPr>
          <w:ilvl w:val="0"/>
          <w:numId w:val="0"/>
        </w:numPr>
        <w:ind w:left="1701"/>
        <w:jc w:val="center"/>
      </w:pPr>
      <w:r w:rsidRPr="001F28EC">
        <w:rPr>
          <w:noProof/>
        </w:rPr>
        <w:drawing>
          <wp:inline distT="0" distB="0" distL="0" distR="0" wp14:anchorId="3CF2F0B4" wp14:editId="67677ECD">
            <wp:extent cx="1796995" cy="225003"/>
            <wp:effectExtent l="0" t="0" r="0" b="3810"/>
            <wp:docPr id="1815399704" name="Picture 1" descr="Formula for calculating the drawdown rate DD super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99704" name="Picture 1" descr="Formula for calculating the drawdown rate DD superscript m"/>
                    <pic:cNvPicPr/>
                  </pic:nvPicPr>
                  <pic:blipFill>
                    <a:blip r:embed="rId42"/>
                    <a:stretch>
                      <a:fillRect/>
                    </a:stretch>
                  </pic:blipFill>
                  <pic:spPr>
                    <a:xfrm>
                      <a:off x="0" y="0"/>
                      <a:ext cx="1914724" cy="239744"/>
                    </a:xfrm>
                    <a:prstGeom prst="rect">
                      <a:avLst/>
                    </a:prstGeom>
                  </pic:spPr>
                </pic:pic>
              </a:graphicData>
            </a:graphic>
          </wp:inline>
        </w:drawing>
      </w:r>
    </w:p>
    <w:p w14:paraId="111E47C1" w14:textId="16AAF0C6" w:rsidR="008308F6" w:rsidRPr="001F28EC" w:rsidRDefault="008308F6" w:rsidP="008308F6">
      <w:pPr>
        <w:pStyle w:val="BodyText3"/>
        <w:numPr>
          <w:ilvl w:val="0"/>
          <w:numId w:val="0"/>
        </w:numPr>
        <w:ind w:left="1701"/>
      </w:pPr>
      <w:r w:rsidRPr="001F28EC">
        <w:t xml:space="preserve">where </w:t>
      </w:r>
      <w:r w:rsidR="00BE057C" w:rsidRPr="001F28EC">
        <w:rPr>
          <w:noProof/>
        </w:rPr>
        <w:drawing>
          <wp:inline distT="0" distB="0" distL="0" distR="0" wp14:anchorId="24C7AFB7" wp14:editId="11413F07">
            <wp:extent cx="221389" cy="159026"/>
            <wp:effectExtent l="0" t="0" r="7620" b="0"/>
            <wp:docPr id="1172829827" name="Picture 1" descr="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29827" name="Picture 1" descr="DD"/>
                    <pic:cNvPicPr/>
                  </pic:nvPicPr>
                  <pic:blipFill>
                    <a:blip r:embed="rId43"/>
                    <a:stretch>
                      <a:fillRect/>
                    </a:stretch>
                  </pic:blipFill>
                  <pic:spPr>
                    <a:xfrm>
                      <a:off x="0" y="0"/>
                      <a:ext cx="226597" cy="162767"/>
                    </a:xfrm>
                    <a:prstGeom prst="rect">
                      <a:avLst/>
                    </a:prstGeom>
                  </pic:spPr>
                </pic:pic>
              </a:graphicData>
            </a:graphic>
          </wp:inline>
        </w:drawing>
      </w:r>
      <w:r w:rsidRPr="001F28EC">
        <w:t xml:space="preserve"> is the corresponding drawdown rate used </w:t>
      </w:r>
      <w:r w:rsidR="00E603A8" w:rsidRPr="001F28EC">
        <w:t>in</w:t>
      </w:r>
      <w:r w:rsidRPr="001F28EC">
        <w:t xml:space="preserve"> the central assumptions and the factor </w:t>
      </w:r>
      <w:r w:rsidR="00BE057C" w:rsidRPr="001F28EC">
        <w:rPr>
          <w:noProof/>
        </w:rPr>
        <w:drawing>
          <wp:inline distT="0" distB="0" distL="0" distR="0" wp14:anchorId="603DFD4B" wp14:editId="4CDF7E6B">
            <wp:extent cx="469127" cy="152392"/>
            <wp:effectExtent l="0" t="0" r="7620" b="635"/>
            <wp:docPr id="1615376837" name="Picture 1" descr="DDfac super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76837" name="Picture 1" descr="DDfac superscript m"/>
                    <pic:cNvPicPr/>
                  </pic:nvPicPr>
                  <pic:blipFill>
                    <a:blip r:embed="rId44"/>
                    <a:stretch>
                      <a:fillRect/>
                    </a:stretch>
                  </pic:blipFill>
                  <pic:spPr>
                    <a:xfrm>
                      <a:off x="0" y="0"/>
                      <a:ext cx="494855" cy="160749"/>
                    </a:xfrm>
                    <a:prstGeom prst="rect">
                      <a:avLst/>
                    </a:prstGeom>
                  </pic:spPr>
                </pic:pic>
              </a:graphicData>
            </a:graphic>
          </wp:inline>
        </w:drawing>
      </w:r>
      <w:r w:rsidRPr="001F28EC">
        <w:t xml:space="preserve"> is </w:t>
      </w:r>
      <w:r w:rsidR="00E603A8" w:rsidRPr="001F28EC">
        <w:t>specified</w:t>
      </w:r>
      <w:r w:rsidRPr="001F28EC">
        <w:t xml:space="preserve"> </w:t>
      </w:r>
      <w:r w:rsidR="00234F29" w:rsidRPr="001F28EC">
        <w:t xml:space="preserve">in </w:t>
      </w:r>
      <w:r w:rsidRPr="001F28EC">
        <w:t xml:space="preserve">Table </w:t>
      </w:r>
      <w:proofErr w:type="gramStart"/>
      <w:r w:rsidRPr="001F28EC">
        <w:t>1;</w:t>
      </w:r>
      <w:proofErr w:type="gramEnd"/>
    </w:p>
    <w:p w14:paraId="51B366B1" w14:textId="0840E3EF" w:rsidR="008308F6" w:rsidRPr="001F28EC" w:rsidRDefault="008308F6" w:rsidP="002A38AD">
      <w:pPr>
        <w:pStyle w:val="BodyText3"/>
      </w:pPr>
      <w:r w:rsidRPr="001F28EC">
        <w:t>for a core deposit</w:t>
      </w:r>
      <w:r w:rsidR="007D782D" w:rsidRPr="001F28EC">
        <w:t>,</w:t>
      </w:r>
      <w:r w:rsidRPr="001F28EC">
        <w:t xml:space="preserve"> the notional principal cash flow at any date </w:t>
      </w:r>
      <w:r w:rsidR="00C05329" w:rsidRPr="001F28EC">
        <w:rPr>
          <w:noProof/>
        </w:rPr>
        <w:drawing>
          <wp:inline distT="0" distB="0" distL="0" distR="0" wp14:anchorId="6A7EF15F" wp14:editId="11EB4630">
            <wp:extent cx="142875" cy="136663"/>
            <wp:effectExtent l="0" t="0" r="0" b="0"/>
            <wp:docPr id="100707459" name="Picture 1"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7459" name="Picture 1" descr="t"/>
                    <pic:cNvPicPr/>
                  </pic:nvPicPr>
                  <pic:blipFill>
                    <a:blip r:embed="rId45"/>
                    <a:stretch>
                      <a:fillRect/>
                    </a:stretch>
                  </pic:blipFill>
                  <pic:spPr>
                    <a:xfrm>
                      <a:off x="0" y="0"/>
                      <a:ext cx="146366" cy="140002"/>
                    </a:xfrm>
                    <a:prstGeom prst="rect">
                      <a:avLst/>
                    </a:prstGeom>
                  </pic:spPr>
                </pic:pic>
              </a:graphicData>
            </a:graphic>
          </wp:inline>
        </w:drawing>
      </w:r>
      <w:r w:rsidRPr="001F28EC">
        <w:t>that is more than one business day after the calculation date is:</w:t>
      </w:r>
    </w:p>
    <w:p w14:paraId="6A777B40" w14:textId="54E0CDD1" w:rsidR="008308F6" w:rsidRPr="001F28EC" w:rsidRDefault="00BE057C" w:rsidP="005C405F">
      <w:pPr>
        <w:pStyle w:val="BodyText3"/>
        <w:numPr>
          <w:ilvl w:val="0"/>
          <w:numId w:val="0"/>
        </w:numPr>
        <w:ind w:left="1701"/>
        <w:jc w:val="center"/>
      </w:pPr>
      <w:r w:rsidRPr="001F28EC">
        <w:rPr>
          <w:noProof/>
        </w:rPr>
        <w:drawing>
          <wp:inline distT="0" distB="0" distL="0" distR="0" wp14:anchorId="4F44B074" wp14:editId="4CE31B65">
            <wp:extent cx="1272209" cy="197351"/>
            <wp:effectExtent l="0" t="0" r="4445" b="0"/>
            <wp:docPr id="794207258" name="Picture 1" descr="For a core deposit, the formula for determining the notional principal cash flow at any date t that is more than one business day after the calculation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7258" name="Picture 1" descr="For a core deposit, the formula for determining the notional principal cash flow at any date t that is more than one business day after the calculation date"/>
                    <pic:cNvPicPr/>
                  </pic:nvPicPr>
                  <pic:blipFill>
                    <a:blip r:embed="rId46"/>
                    <a:stretch>
                      <a:fillRect/>
                    </a:stretch>
                  </pic:blipFill>
                  <pic:spPr>
                    <a:xfrm>
                      <a:off x="0" y="0"/>
                      <a:ext cx="1396961" cy="216703"/>
                    </a:xfrm>
                    <a:prstGeom prst="rect">
                      <a:avLst/>
                    </a:prstGeom>
                  </pic:spPr>
                </pic:pic>
              </a:graphicData>
            </a:graphic>
          </wp:inline>
        </w:drawing>
      </w:r>
    </w:p>
    <w:p w14:paraId="716555C9" w14:textId="6985AC52" w:rsidR="008308F6" w:rsidRPr="001F28EC" w:rsidRDefault="008308F6" w:rsidP="00FD0872">
      <w:pPr>
        <w:pStyle w:val="BodyText3"/>
        <w:numPr>
          <w:ilvl w:val="0"/>
          <w:numId w:val="0"/>
        </w:numPr>
        <w:ind w:left="1701"/>
      </w:pPr>
      <w:r w:rsidRPr="001F28EC">
        <w:t xml:space="preserve">where </w:t>
      </w:r>
      <w:r w:rsidR="00BE057C" w:rsidRPr="001F28EC">
        <w:rPr>
          <w:noProof/>
        </w:rPr>
        <w:drawing>
          <wp:inline distT="0" distB="0" distL="0" distR="0" wp14:anchorId="6A9DFC51" wp14:editId="06A65587">
            <wp:extent cx="401506" cy="167294"/>
            <wp:effectExtent l="0" t="0" r="0" b="4445"/>
            <wp:docPr id="413392619" name="Picture 1" descr="NPCF subscript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92619" name="Picture 1" descr="NPCF subscript t"/>
                    <pic:cNvPicPr/>
                  </pic:nvPicPr>
                  <pic:blipFill>
                    <a:blip r:embed="rId47"/>
                    <a:stretch>
                      <a:fillRect/>
                    </a:stretch>
                  </pic:blipFill>
                  <pic:spPr>
                    <a:xfrm>
                      <a:off x="0" y="0"/>
                      <a:ext cx="416167" cy="173403"/>
                    </a:xfrm>
                    <a:prstGeom prst="rect">
                      <a:avLst/>
                    </a:prstGeom>
                  </pic:spPr>
                </pic:pic>
              </a:graphicData>
            </a:graphic>
          </wp:inline>
        </w:drawing>
      </w:r>
      <w:r w:rsidRPr="001F28EC">
        <w:t xml:space="preserve"> is the corresponding notional principal cash flow for that date in the central assumptions, </w:t>
      </w:r>
      <w:r w:rsidR="00BE057C" w:rsidRPr="001F28EC">
        <w:rPr>
          <w:noProof/>
        </w:rPr>
        <w:drawing>
          <wp:inline distT="0" distB="0" distL="0" distR="0" wp14:anchorId="4BE22111" wp14:editId="6DAD5BF3">
            <wp:extent cx="463419" cy="151444"/>
            <wp:effectExtent l="0" t="0" r="0" b="1270"/>
            <wp:docPr id="1089980025" name="Picture 1" descr="Wfac super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80025" name="Picture 1" descr="Wfac superscript m"/>
                    <pic:cNvPicPr/>
                  </pic:nvPicPr>
                  <pic:blipFill>
                    <a:blip r:embed="rId48"/>
                    <a:stretch>
                      <a:fillRect/>
                    </a:stretch>
                  </pic:blipFill>
                  <pic:spPr>
                    <a:xfrm>
                      <a:off x="0" y="0"/>
                      <a:ext cx="483366" cy="157963"/>
                    </a:xfrm>
                    <a:prstGeom prst="rect">
                      <a:avLst/>
                    </a:prstGeom>
                  </pic:spPr>
                </pic:pic>
              </a:graphicData>
            </a:graphic>
          </wp:inline>
        </w:drawing>
      </w:r>
      <w:r w:rsidRPr="001F28EC">
        <w:t xml:space="preserve"> is </w:t>
      </w:r>
      <w:r w:rsidR="00E603A8" w:rsidRPr="001F28EC">
        <w:t>specified in</w:t>
      </w:r>
      <w:r w:rsidRPr="001F28EC">
        <w:t xml:space="preserve"> Table 1 and the balance of the principal is assumed to reprice on the next business day after the calculation </w:t>
      </w:r>
      <w:proofErr w:type="gramStart"/>
      <w:r w:rsidRPr="001F28EC">
        <w:t>date</w:t>
      </w:r>
      <w:r w:rsidR="00CA14B1" w:rsidRPr="001F28EC">
        <w:t>;</w:t>
      </w:r>
      <w:proofErr w:type="gramEnd"/>
    </w:p>
    <w:p w14:paraId="5798EFA9" w14:textId="6E65E473" w:rsidR="008308F6" w:rsidRPr="001F28EC" w:rsidRDefault="008308F6" w:rsidP="00CA14B1">
      <w:pPr>
        <w:pStyle w:val="BodyText2"/>
        <w:numPr>
          <w:ilvl w:val="0"/>
          <w:numId w:val="0"/>
        </w:numPr>
        <w:ind w:left="1134"/>
      </w:pPr>
      <w:r w:rsidRPr="001F28EC">
        <w:t>and</w:t>
      </w:r>
    </w:p>
    <w:p w14:paraId="212F191D" w14:textId="2F62714D" w:rsidR="008308F6" w:rsidRPr="001F28EC" w:rsidRDefault="008308F6" w:rsidP="002A38AD">
      <w:pPr>
        <w:pStyle w:val="BodyText2"/>
      </w:pPr>
      <w:r w:rsidRPr="001F28EC">
        <w:t xml:space="preserve">all notional interest cash flows </w:t>
      </w:r>
      <w:r w:rsidR="007D782D" w:rsidRPr="001F28EC">
        <w:t xml:space="preserve">must be </w:t>
      </w:r>
      <w:r w:rsidRPr="001F28EC">
        <w:t xml:space="preserve">recalculated to be consistent with the revised notional principal cash flows, in accordance with paragraph </w:t>
      </w:r>
      <w:r w:rsidR="00B4278E" w:rsidRPr="001F28EC">
        <w:t>27</w:t>
      </w:r>
      <w:r w:rsidR="00E603A8" w:rsidRPr="001F28EC">
        <w:t xml:space="preserve"> of this Attachment</w:t>
      </w:r>
      <w:r w:rsidRPr="001F28EC">
        <w:t>.</w:t>
      </w:r>
    </w:p>
    <w:p w14:paraId="419E1E94" w14:textId="77777777" w:rsidR="00FC3303" w:rsidRPr="001F28EC" w:rsidRDefault="00FC3303" w:rsidP="00FC3303">
      <w:pPr>
        <w:pStyle w:val="BodyText2"/>
        <w:numPr>
          <w:ilvl w:val="0"/>
          <w:numId w:val="0"/>
        </w:numPr>
        <w:ind w:left="1134"/>
      </w:pPr>
    </w:p>
    <w:tbl>
      <w:tblPr>
        <w:tblStyle w:val="TableGrid"/>
        <w:tblW w:w="0" w:type="auto"/>
        <w:tblInd w:w="567" w:type="dxa"/>
        <w:tblLook w:val="04A0" w:firstRow="1" w:lastRow="0" w:firstColumn="1" w:lastColumn="0" w:noHBand="0" w:noVBand="1"/>
      </w:tblPr>
      <w:tblGrid>
        <w:gridCol w:w="2108"/>
        <w:gridCol w:w="1826"/>
        <w:gridCol w:w="1826"/>
      </w:tblGrid>
      <w:tr w:rsidR="008308F6" w:rsidRPr="001F28EC" w14:paraId="72FD5BAE" w14:textId="77777777" w:rsidTr="00401F6D">
        <w:tc>
          <w:tcPr>
            <w:tcW w:w="5760" w:type="dxa"/>
            <w:gridSpan w:val="3"/>
          </w:tcPr>
          <w:p w14:paraId="26E32489" w14:textId="5DFCA170" w:rsidR="008308F6" w:rsidRPr="001F28EC" w:rsidRDefault="008308F6" w:rsidP="00401F6D">
            <w:pPr>
              <w:pStyle w:val="Indent1"/>
              <w:spacing w:before="0" w:line="240" w:lineRule="auto"/>
              <w:rPr>
                <w:sz w:val="24"/>
                <w:szCs w:val="24"/>
              </w:rPr>
            </w:pPr>
            <w:r w:rsidRPr="001F28EC">
              <w:rPr>
                <w:sz w:val="24"/>
                <w:szCs w:val="24"/>
              </w:rPr>
              <w:t>Table 1: Behavioural optionality factors</w:t>
            </w:r>
          </w:p>
        </w:tc>
      </w:tr>
      <w:tr w:rsidR="008308F6" w:rsidRPr="001F28EC" w14:paraId="27B2E155" w14:textId="77777777" w:rsidTr="00401F6D">
        <w:tc>
          <w:tcPr>
            <w:tcW w:w="2108" w:type="dxa"/>
          </w:tcPr>
          <w:p w14:paraId="7CB32016" w14:textId="3C74FFB9" w:rsidR="008308F6" w:rsidRPr="001F28EC" w:rsidRDefault="008308F6" w:rsidP="00401F6D">
            <w:pPr>
              <w:pStyle w:val="Indent1"/>
              <w:spacing w:before="0" w:line="240" w:lineRule="auto"/>
              <w:rPr>
                <w:b/>
                <w:sz w:val="24"/>
                <w:szCs w:val="24"/>
              </w:rPr>
            </w:pPr>
            <w:r w:rsidRPr="001F28EC">
              <w:rPr>
                <w:b/>
                <w:sz w:val="24"/>
                <w:szCs w:val="24"/>
              </w:rPr>
              <w:t>Repricing Assumptions</w:t>
            </w:r>
            <w:r w:rsidRPr="001F28EC">
              <w:rPr>
                <w:sz w:val="24"/>
                <w:szCs w:val="24"/>
              </w:rPr>
              <w:t xml:space="preserve"> </w:t>
            </w:r>
            <w:r w:rsidR="00C05329" w:rsidRPr="001F28EC">
              <w:rPr>
                <w:noProof/>
              </w:rPr>
              <w:drawing>
                <wp:inline distT="0" distB="0" distL="0" distR="0" wp14:anchorId="756DCE3C" wp14:editId="5521CBF4">
                  <wp:extent cx="133350" cy="183515"/>
                  <wp:effectExtent l="0" t="0" r="0" b="6985"/>
                  <wp:docPr id="2010822169" name="Picture 1"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22169" name="Picture 1" descr="m"/>
                          <pic:cNvPicPr/>
                        </pic:nvPicPr>
                        <pic:blipFill rotWithShape="1">
                          <a:blip r:embed="rId17"/>
                          <a:srcRect t="1" r="93090" b="-1"/>
                          <a:stretch/>
                        </pic:blipFill>
                        <pic:spPr bwMode="auto">
                          <a:xfrm>
                            <a:off x="0" y="0"/>
                            <a:ext cx="137158" cy="188755"/>
                          </a:xfrm>
                          <a:prstGeom prst="rect">
                            <a:avLst/>
                          </a:prstGeom>
                          <a:ln>
                            <a:noFill/>
                          </a:ln>
                          <a:extLst>
                            <a:ext uri="{53640926-AAD7-44D8-BBD7-CCE9431645EC}">
                              <a14:shadowObscured xmlns:a14="http://schemas.microsoft.com/office/drawing/2010/main"/>
                            </a:ext>
                          </a:extLst>
                        </pic:spPr>
                      </pic:pic>
                    </a:graphicData>
                  </a:graphic>
                </wp:inline>
              </w:drawing>
            </w:r>
            <w:r w:rsidRPr="001F28EC">
              <w:rPr>
                <w:sz w:val="24"/>
                <w:szCs w:val="24"/>
              </w:rPr>
              <w:t>:</w:t>
            </w:r>
          </w:p>
        </w:tc>
        <w:tc>
          <w:tcPr>
            <w:tcW w:w="1826" w:type="dxa"/>
          </w:tcPr>
          <w:p w14:paraId="7EE2F22F" w14:textId="77777777" w:rsidR="008308F6" w:rsidRPr="001F28EC" w:rsidRDefault="008308F6" w:rsidP="00401F6D">
            <w:pPr>
              <w:pStyle w:val="Indent1"/>
              <w:spacing w:before="0" w:line="240" w:lineRule="auto"/>
              <w:jc w:val="both"/>
              <w:rPr>
                <w:b/>
                <w:sz w:val="24"/>
                <w:szCs w:val="24"/>
              </w:rPr>
            </w:pPr>
            <w:r w:rsidRPr="001F28EC">
              <w:rPr>
                <w:b/>
                <w:sz w:val="24"/>
                <w:szCs w:val="24"/>
              </w:rPr>
              <w:t>Shorter</w:t>
            </w:r>
          </w:p>
        </w:tc>
        <w:tc>
          <w:tcPr>
            <w:tcW w:w="1826" w:type="dxa"/>
          </w:tcPr>
          <w:p w14:paraId="63720190" w14:textId="77777777" w:rsidR="008308F6" w:rsidRPr="001F28EC" w:rsidRDefault="008308F6" w:rsidP="00401F6D">
            <w:pPr>
              <w:pStyle w:val="Indent1"/>
              <w:spacing w:before="0" w:line="240" w:lineRule="auto"/>
              <w:jc w:val="both"/>
              <w:rPr>
                <w:b/>
                <w:sz w:val="24"/>
                <w:szCs w:val="24"/>
              </w:rPr>
            </w:pPr>
            <w:r w:rsidRPr="001F28EC">
              <w:rPr>
                <w:b/>
                <w:sz w:val="24"/>
                <w:szCs w:val="24"/>
              </w:rPr>
              <w:t xml:space="preserve">Longer </w:t>
            </w:r>
          </w:p>
        </w:tc>
      </w:tr>
      <w:tr w:rsidR="008308F6" w:rsidRPr="001F28EC" w14:paraId="4361DFC3" w14:textId="77777777" w:rsidTr="00401F6D">
        <w:tc>
          <w:tcPr>
            <w:tcW w:w="2108" w:type="dxa"/>
          </w:tcPr>
          <w:p w14:paraId="147B4290" w14:textId="67D7C811" w:rsidR="008308F6" w:rsidRPr="001F28EC" w:rsidRDefault="008308F6" w:rsidP="00401F6D">
            <w:pPr>
              <w:pStyle w:val="Indent1"/>
              <w:spacing w:before="0" w:line="240" w:lineRule="auto"/>
              <w:jc w:val="both"/>
              <w:rPr>
                <w:sz w:val="24"/>
                <w:szCs w:val="24"/>
              </w:rPr>
            </w:pPr>
            <w:r w:rsidRPr="001F28EC">
              <w:rPr>
                <w:sz w:val="24"/>
                <w:szCs w:val="24"/>
              </w:rPr>
              <w:t xml:space="preserve">Prepayment modification factor </w:t>
            </w:r>
            <w:r w:rsidR="00C05329" w:rsidRPr="001F28EC">
              <w:rPr>
                <w:noProof/>
              </w:rPr>
              <w:drawing>
                <wp:inline distT="0" distB="0" distL="0" distR="0" wp14:anchorId="2AB36A97" wp14:editId="0BD08F9C">
                  <wp:extent cx="514498" cy="159026"/>
                  <wp:effectExtent l="0" t="0" r="0" b="0"/>
                  <wp:docPr id="1136067562" name="Picture 1" descr="CPRfac super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90658" name="Picture 1" descr="CPRfac superscript m"/>
                          <pic:cNvPicPr/>
                        </pic:nvPicPr>
                        <pic:blipFill>
                          <a:blip r:embed="rId40"/>
                          <a:stretch>
                            <a:fillRect/>
                          </a:stretch>
                        </pic:blipFill>
                        <pic:spPr>
                          <a:xfrm>
                            <a:off x="0" y="0"/>
                            <a:ext cx="538367" cy="166404"/>
                          </a:xfrm>
                          <a:prstGeom prst="rect">
                            <a:avLst/>
                          </a:prstGeom>
                        </pic:spPr>
                      </pic:pic>
                    </a:graphicData>
                  </a:graphic>
                </wp:inline>
              </w:drawing>
            </w:r>
            <w:r w:rsidRPr="001F28EC">
              <w:rPr>
                <w:sz w:val="24"/>
                <w:szCs w:val="24"/>
              </w:rPr>
              <w:t xml:space="preserve"> </w:t>
            </w:r>
          </w:p>
        </w:tc>
        <w:tc>
          <w:tcPr>
            <w:tcW w:w="1826" w:type="dxa"/>
          </w:tcPr>
          <w:p w14:paraId="57B54921" w14:textId="77777777" w:rsidR="008308F6" w:rsidRPr="001F28EC" w:rsidRDefault="008308F6" w:rsidP="00401F6D">
            <w:pPr>
              <w:pStyle w:val="Indent1"/>
              <w:spacing w:before="0" w:line="240" w:lineRule="auto"/>
              <w:jc w:val="both"/>
              <w:rPr>
                <w:sz w:val="24"/>
                <w:szCs w:val="24"/>
              </w:rPr>
            </w:pPr>
            <w:r w:rsidRPr="001F28EC">
              <w:rPr>
                <w:sz w:val="24"/>
                <w:szCs w:val="24"/>
              </w:rPr>
              <w:t>1.2</w:t>
            </w:r>
          </w:p>
        </w:tc>
        <w:tc>
          <w:tcPr>
            <w:tcW w:w="1826" w:type="dxa"/>
          </w:tcPr>
          <w:p w14:paraId="60C36761" w14:textId="77777777" w:rsidR="008308F6" w:rsidRPr="001F28EC" w:rsidRDefault="008308F6" w:rsidP="00401F6D">
            <w:pPr>
              <w:pStyle w:val="Indent1"/>
              <w:spacing w:before="0" w:line="240" w:lineRule="auto"/>
              <w:jc w:val="both"/>
              <w:rPr>
                <w:sz w:val="24"/>
                <w:szCs w:val="24"/>
              </w:rPr>
            </w:pPr>
            <w:r w:rsidRPr="001F28EC">
              <w:rPr>
                <w:sz w:val="24"/>
                <w:szCs w:val="24"/>
              </w:rPr>
              <w:t>0.8</w:t>
            </w:r>
          </w:p>
        </w:tc>
      </w:tr>
      <w:tr w:rsidR="008308F6" w:rsidRPr="001F28EC" w14:paraId="45DE241C" w14:textId="77777777" w:rsidTr="00401F6D">
        <w:tc>
          <w:tcPr>
            <w:tcW w:w="2108" w:type="dxa"/>
          </w:tcPr>
          <w:p w14:paraId="1CD2086B" w14:textId="491C92C5" w:rsidR="008308F6" w:rsidRPr="001F28EC" w:rsidRDefault="008308F6" w:rsidP="00401F6D">
            <w:pPr>
              <w:pStyle w:val="Indent1"/>
              <w:spacing w:before="0" w:line="240" w:lineRule="auto"/>
              <w:jc w:val="both"/>
              <w:rPr>
                <w:sz w:val="24"/>
                <w:szCs w:val="24"/>
              </w:rPr>
            </w:pPr>
            <w:r w:rsidRPr="001F28EC">
              <w:rPr>
                <w:sz w:val="24"/>
                <w:szCs w:val="24"/>
              </w:rPr>
              <w:t xml:space="preserve">Drawdown modification factor </w:t>
            </w:r>
            <w:r w:rsidR="00C05329" w:rsidRPr="001F28EC">
              <w:rPr>
                <w:noProof/>
              </w:rPr>
              <w:drawing>
                <wp:inline distT="0" distB="0" distL="0" distR="0" wp14:anchorId="13966A47" wp14:editId="32A10F80">
                  <wp:extent cx="445273" cy="144643"/>
                  <wp:effectExtent l="0" t="0" r="0" b="8255"/>
                  <wp:docPr id="309206136" name="Picture 1" descr="DDfac super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76837" name="Picture 1" descr="DDfac superscript m"/>
                          <pic:cNvPicPr/>
                        </pic:nvPicPr>
                        <pic:blipFill>
                          <a:blip r:embed="rId44"/>
                          <a:stretch>
                            <a:fillRect/>
                          </a:stretch>
                        </pic:blipFill>
                        <pic:spPr>
                          <a:xfrm>
                            <a:off x="0" y="0"/>
                            <a:ext cx="466493" cy="151536"/>
                          </a:xfrm>
                          <a:prstGeom prst="rect">
                            <a:avLst/>
                          </a:prstGeom>
                        </pic:spPr>
                      </pic:pic>
                    </a:graphicData>
                  </a:graphic>
                </wp:inline>
              </w:drawing>
            </w:r>
            <w:r w:rsidRPr="001F28EC">
              <w:rPr>
                <w:sz w:val="24"/>
                <w:szCs w:val="24"/>
              </w:rPr>
              <w:t xml:space="preserve"> </w:t>
            </w:r>
          </w:p>
        </w:tc>
        <w:tc>
          <w:tcPr>
            <w:tcW w:w="1826" w:type="dxa"/>
          </w:tcPr>
          <w:p w14:paraId="4099BCC6" w14:textId="77777777" w:rsidR="008308F6" w:rsidRPr="001F28EC" w:rsidRDefault="008308F6" w:rsidP="00401F6D">
            <w:pPr>
              <w:pStyle w:val="Indent1"/>
              <w:spacing w:before="0" w:line="240" w:lineRule="auto"/>
              <w:jc w:val="both"/>
              <w:rPr>
                <w:sz w:val="24"/>
                <w:szCs w:val="24"/>
              </w:rPr>
            </w:pPr>
            <w:r w:rsidRPr="001F28EC">
              <w:rPr>
                <w:sz w:val="24"/>
                <w:szCs w:val="24"/>
              </w:rPr>
              <w:t>0.8</w:t>
            </w:r>
          </w:p>
        </w:tc>
        <w:tc>
          <w:tcPr>
            <w:tcW w:w="1826" w:type="dxa"/>
          </w:tcPr>
          <w:p w14:paraId="64EBD1D7" w14:textId="77777777" w:rsidR="008308F6" w:rsidRPr="001F28EC" w:rsidRDefault="008308F6" w:rsidP="00401F6D">
            <w:pPr>
              <w:pStyle w:val="Indent1"/>
              <w:spacing w:before="0" w:line="240" w:lineRule="auto"/>
              <w:jc w:val="both"/>
              <w:rPr>
                <w:sz w:val="24"/>
                <w:szCs w:val="24"/>
              </w:rPr>
            </w:pPr>
            <w:r w:rsidRPr="001F28EC">
              <w:rPr>
                <w:sz w:val="24"/>
                <w:szCs w:val="24"/>
              </w:rPr>
              <w:t>1.2</w:t>
            </w:r>
          </w:p>
        </w:tc>
      </w:tr>
      <w:tr w:rsidR="008308F6" w:rsidRPr="001F28EC" w14:paraId="5B08F729" w14:textId="77777777" w:rsidTr="00401F6D">
        <w:tc>
          <w:tcPr>
            <w:tcW w:w="2108" w:type="dxa"/>
          </w:tcPr>
          <w:p w14:paraId="761C1B70" w14:textId="31326830" w:rsidR="008308F6" w:rsidRPr="001F28EC" w:rsidRDefault="008308F6" w:rsidP="00401F6D">
            <w:pPr>
              <w:pStyle w:val="Indent1"/>
              <w:spacing w:before="0" w:line="240" w:lineRule="auto"/>
              <w:jc w:val="both"/>
              <w:rPr>
                <w:sz w:val="24"/>
                <w:szCs w:val="24"/>
              </w:rPr>
            </w:pPr>
            <w:r w:rsidRPr="001F28EC">
              <w:rPr>
                <w:sz w:val="24"/>
                <w:szCs w:val="24"/>
              </w:rPr>
              <w:t xml:space="preserve">Withdrawal factor </w:t>
            </w:r>
            <m:oMath>
              <m:r>
                <m:rPr>
                  <m:sty m:val="p"/>
                </m:rPr>
                <w:rPr>
                  <w:rFonts w:ascii="Cambria Math" w:hAnsi="Cambria Math"/>
                  <w:noProof/>
                </w:rPr>
                <w:drawing>
                  <wp:inline distT="0" distB="0" distL="0" distR="0" wp14:anchorId="0998E862" wp14:editId="4A17B711">
                    <wp:extent cx="463419" cy="151444"/>
                    <wp:effectExtent l="0" t="0" r="0" b="1270"/>
                    <wp:docPr id="1405760043" name="Picture 1" descr="Wfac super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80025" name="Picture 1" descr="Wfac superscript m"/>
                            <pic:cNvPicPr/>
                          </pic:nvPicPr>
                          <pic:blipFill>
                            <a:blip r:embed="rId48"/>
                            <a:stretch>
                              <a:fillRect/>
                            </a:stretch>
                          </pic:blipFill>
                          <pic:spPr>
                            <a:xfrm>
                              <a:off x="0" y="0"/>
                              <a:ext cx="483366" cy="157963"/>
                            </a:xfrm>
                            <a:prstGeom prst="rect">
                              <a:avLst/>
                            </a:prstGeom>
                          </pic:spPr>
                        </pic:pic>
                      </a:graphicData>
                    </a:graphic>
                  </wp:inline>
                </w:drawing>
              </m:r>
            </m:oMath>
          </w:p>
        </w:tc>
        <w:tc>
          <w:tcPr>
            <w:tcW w:w="1826" w:type="dxa"/>
          </w:tcPr>
          <w:p w14:paraId="2F558CA7" w14:textId="77777777" w:rsidR="008308F6" w:rsidRPr="001F28EC" w:rsidRDefault="008308F6" w:rsidP="00401F6D">
            <w:pPr>
              <w:pStyle w:val="Indent1"/>
              <w:spacing w:before="0" w:line="240" w:lineRule="auto"/>
              <w:jc w:val="both"/>
              <w:rPr>
                <w:sz w:val="24"/>
                <w:szCs w:val="24"/>
              </w:rPr>
            </w:pPr>
            <w:r w:rsidRPr="001F28EC">
              <w:rPr>
                <w:sz w:val="24"/>
                <w:szCs w:val="24"/>
              </w:rPr>
              <w:t>0</w:t>
            </w:r>
          </w:p>
        </w:tc>
        <w:tc>
          <w:tcPr>
            <w:tcW w:w="1826" w:type="dxa"/>
          </w:tcPr>
          <w:p w14:paraId="0001AAFA" w14:textId="77777777" w:rsidR="008308F6" w:rsidRPr="001F28EC" w:rsidRDefault="008308F6" w:rsidP="00401F6D">
            <w:pPr>
              <w:pStyle w:val="Indent1"/>
              <w:spacing w:before="0" w:line="240" w:lineRule="auto"/>
              <w:jc w:val="both"/>
              <w:rPr>
                <w:sz w:val="24"/>
                <w:szCs w:val="24"/>
              </w:rPr>
            </w:pPr>
            <w:r w:rsidRPr="001F28EC">
              <w:rPr>
                <w:sz w:val="24"/>
                <w:szCs w:val="24"/>
              </w:rPr>
              <w:t>0.1</w:t>
            </w:r>
          </w:p>
        </w:tc>
      </w:tr>
    </w:tbl>
    <w:p w14:paraId="2BECA3EE" w14:textId="77A94051" w:rsidR="008308F6" w:rsidRPr="001F28EC" w:rsidRDefault="008308F6" w:rsidP="00D4088B">
      <w:pPr>
        <w:pStyle w:val="Attachmentheading1"/>
        <w:spacing w:before="120"/>
      </w:pPr>
      <w:bookmarkStart w:id="164" w:name="_Toc176749329"/>
      <w:bookmarkStart w:id="165" w:name="_Toc177286379"/>
      <w:bookmarkStart w:id="166" w:name="_Toc8915516"/>
      <w:bookmarkEnd w:id="141"/>
      <w:r w:rsidRPr="001F28EC">
        <w:lastRenderedPageBreak/>
        <w:t>Additional optionality risk</w:t>
      </w:r>
      <w:bookmarkEnd w:id="164"/>
      <w:bookmarkEnd w:id="165"/>
      <w:bookmarkEnd w:id="166"/>
    </w:p>
    <w:p w14:paraId="3059B263" w14:textId="3B9557A0" w:rsidR="008308F6" w:rsidRPr="001F28EC" w:rsidRDefault="008308F6" w:rsidP="002A38AD">
      <w:pPr>
        <w:pStyle w:val="BodyText1"/>
      </w:pPr>
      <w:bookmarkStart w:id="167" w:name="_Ref534639515"/>
      <w:bookmarkStart w:id="168" w:name="_Ref11162109"/>
      <w:bookmarkStart w:id="169" w:name="_Ref122245905"/>
      <w:bookmarkStart w:id="170" w:name="_Ref89856190"/>
      <w:r w:rsidRPr="001F28EC">
        <w:t xml:space="preserve">An ADI </w:t>
      </w:r>
      <w:proofErr w:type="gramStart"/>
      <w:r w:rsidRPr="001F28EC">
        <w:t>must assess</w:t>
      </w:r>
      <w:r w:rsidR="007D782D" w:rsidRPr="001F28EC">
        <w:t>,</w:t>
      </w:r>
      <w:proofErr w:type="gramEnd"/>
      <w:r w:rsidRPr="001F28EC">
        <w:t xml:space="preserve"> </w:t>
      </w:r>
      <w:r w:rsidR="006C5727" w:rsidRPr="001F28EC">
        <w:t xml:space="preserve">at inception and </w:t>
      </w:r>
      <w:r w:rsidRPr="001F28EC">
        <w:t>at least annually</w:t>
      </w:r>
      <w:r w:rsidR="007D782D" w:rsidRPr="001F28EC">
        <w:t>,</w:t>
      </w:r>
      <w:r w:rsidRPr="001F28EC">
        <w:t xml:space="preserve"> any risk to which it is exposed </w:t>
      </w:r>
      <w:r w:rsidR="00E603A8" w:rsidRPr="001F28EC">
        <w:t xml:space="preserve">to </w:t>
      </w:r>
      <w:r w:rsidRPr="001F28EC">
        <w:t xml:space="preserve">from sources </w:t>
      </w:r>
      <w:r w:rsidR="007D782D" w:rsidRPr="001F28EC">
        <w:t xml:space="preserve">of optionality risk </w:t>
      </w:r>
      <w:r w:rsidRPr="001F28EC">
        <w:t>not captured by paragraph</w:t>
      </w:r>
      <w:r w:rsidR="007010AE" w:rsidRPr="001F28EC">
        <w:t>s</w:t>
      </w:r>
      <w:r w:rsidRPr="001F28EC">
        <w:t xml:space="preserve"> </w:t>
      </w:r>
      <w:r w:rsidR="00B4278E" w:rsidRPr="001F28EC">
        <w:t>18</w:t>
      </w:r>
      <w:r w:rsidRPr="001F28EC">
        <w:t xml:space="preserve"> </w:t>
      </w:r>
      <w:r w:rsidR="00BF02F6" w:rsidRPr="001F28EC">
        <w:t xml:space="preserve">or </w:t>
      </w:r>
      <w:r w:rsidR="00B4278E" w:rsidRPr="001F28EC">
        <w:t>34</w:t>
      </w:r>
      <w:r w:rsidR="00BF02F6" w:rsidRPr="001F28EC">
        <w:t xml:space="preserve"> </w:t>
      </w:r>
      <w:r w:rsidRPr="001F28EC">
        <w:t xml:space="preserve">of this Attachment and determine whether the potential loss from all such sources is material. Where the loss is assessed as material, the ADI must extend its approved IRRBB model to determine a capital charge for those losses, </w:t>
      </w:r>
      <w:r w:rsidR="00E603A8" w:rsidRPr="001F28EC">
        <w:t xml:space="preserve">which is </w:t>
      </w:r>
      <w:r w:rsidRPr="001F28EC">
        <w:t xml:space="preserve">the </w:t>
      </w:r>
      <w:r w:rsidRPr="001F28EC">
        <w:rPr>
          <w:rStyle w:val="inlinedefn"/>
          <w:rFonts w:eastAsia="Calibri"/>
        </w:rPr>
        <w:t xml:space="preserve">optionality capital charge. </w:t>
      </w:r>
      <w:r w:rsidRPr="001F28EC">
        <w:t>That capital charge must meet a soundness standard whereby it is no less than the 97.5 per cent expected shortfall from all such sources over a one</w:t>
      </w:r>
      <w:r w:rsidR="00E603A8" w:rsidRPr="001F28EC">
        <w:t>-</w:t>
      </w:r>
      <w:r w:rsidRPr="001F28EC">
        <w:t>year period.</w:t>
      </w:r>
      <w:bookmarkEnd w:id="167"/>
      <w:r w:rsidRPr="001F28EC">
        <w:t xml:space="preserve"> </w:t>
      </w:r>
      <w:r w:rsidR="00E603A8" w:rsidRPr="001F28EC">
        <w:t xml:space="preserve">An ADI must </w:t>
      </w:r>
      <w:r w:rsidR="00D34A89" w:rsidRPr="001F28EC">
        <w:t>also</w:t>
      </w:r>
      <w:r w:rsidR="00E603A8" w:rsidRPr="001F28EC">
        <w:t xml:space="preserve"> assess n</w:t>
      </w:r>
      <w:r w:rsidRPr="001F28EC">
        <w:t>ew products and variations of existing products as to whether they introduce material additional optionality risk.</w:t>
      </w:r>
      <w:bookmarkEnd w:id="168"/>
    </w:p>
    <w:p w14:paraId="445406B4" w14:textId="7145A1E7" w:rsidR="00A32C2E" w:rsidRPr="001F28EC" w:rsidRDefault="008308F6" w:rsidP="00A720A1">
      <w:pPr>
        <w:pStyle w:val="BodyText1"/>
      </w:pPr>
      <w:r w:rsidRPr="001F28EC">
        <w:t xml:space="preserve">For each independent review conducted in accordance with paragraph </w:t>
      </w:r>
      <w:r w:rsidR="00B4278E" w:rsidRPr="001F28EC">
        <w:t>61</w:t>
      </w:r>
      <w:r w:rsidR="008F3246" w:rsidRPr="001F28EC">
        <w:t xml:space="preserve"> </w:t>
      </w:r>
      <w:r w:rsidRPr="001F28EC">
        <w:t>of this Prudential Standard, an ADI must assess the materiality of its exposure to sources of optionality risk that are not covered by its approved IRRBB model.</w:t>
      </w:r>
      <w:bookmarkEnd w:id="169"/>
      <w:bookmarkEnd w:id="170"/>
    </w:p>
    <w:sectPr w:rsidR="00A32C2E" w:rsidRPr="001F28EC" w:rsidSect="00876090">
      <w:footerReference w:type="default" r:id="rId4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02BA4" w14:textId="77777777" w:rsidR="0043514E" w:rsidRDefault="0043514E" w:rsidP="005C75EC">
      <w:r>
        <w:separator/>
      </w:r>
    </w:p>
  </w:endnote>
  <w:endnote w:type="continuationSeparator" w:id="0">
    <w:p w14:paraId="17DF549B" w14:textId="77777777" w:rsidR="0043514E" w:rsidRDefault="0043514E" w:rsidP="005C75EC">
      <w:r>
        <w:continuationSeparator/>
      </w:r>
    </w:p>
  </w:endnote>
  <w:endnote w:type="continuationNotice" w:id="1">
    <w:p w14:paraId="19EDC4BC" w14:textId="77777777" w:rsidR="0043514E" w:rsidRDefault="00435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F Arro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E40B8" w14:textId="48BE0B67" w:rsidR="00E240C1" w:rsidRDefault="00E240C1">
    <w:pPr>
      <w:pStyle w:val="Footer"/>
    </w:pPr>
  </w:p>
  <w:p w14:paraId="17C129EC" w14:textId="77777777" w:rsidR="00082BBF" w:rsidRDefault="00082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7098949"/>
      <w:docPartObj>
        <w:docPartGallery w:val="Page Numbers (Bottom of Page)"/>
        <w:docPartUnique/>
      </w:docPartObj>
    </w:sdtPr>
    <w:sdtEndPr/>
    <w:sdtContent>
      <w:p w14:paraId="39AA3142" w14:textId="77777777" w:rsidR="00486DCD" w:rsidRDefault="00486DCD">
        <w:pPr>
          <w:pStyle w:val="Footer"/>
        </w:pPr>
      </w:p>
      <w:p w14:paraId="513084D2" w14:textId="141D4EF3" w:rsidR="00486DCD" w:rsidRDefault="00486DCD">
        <w:pPr>
          <w:pStyle w:val="Footer"/>
        </w:pPr>
        <w:r w:rsidRPr="00AD4916">
          <w:t>APS 11</w:t>
        </w:r>
        <w:r>
          <w:t>7</w:t>
        </w:r>
        <w:r w:rsidR="00805D99">
          <w:t xml:space="preserve"> –</w:t>
        </w:r>
        <w:r w:rsidRPr="00AD4916">
          <w:t xml:space="preserve"> </w:t>
        </w:r>
        <w:r w:rsidRPr="007A7C65">
          <w:fldChar w:fldCharType="begin"/>
        </w:r>
        <w:r w:rsidRPr="00D95647">
          <w:instrText xml:space="preserve"> PAGE   \* MERGEFORMAT </w:instrText>
        </w:r>
        <w:r w:rsidRPr="007A7C65">
          <w:fldChar w:fldCharType="separate"/>
        </w:r>
        <w:r w:rsidRPr="00BC5781">
          <w:rPr>
            <w:noProof/>
          </w:rPr>
          <w:t>14</w:t>
        </w:r>
        <w:r w:rsidRPr="007A7C65">
          <w:fldChar w:fldCharType="end"/>
        </w:r>
      </w:p>
    </w:sdtContent>
  </w:sdt>
  <w:p w14:paraId="4D644FF1" w14:textId="77777777" w:rsidR="00486DCD" w:rsidRDefault="00486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650791"/>
      <w:docPartObj>
        <w:docPartGallery w:val="Page Numbers (Bottom of Page)"/>
        <w:docPartUnique/>
      </w:docPartObj>
    </w:sdtPr>
    <w:sdtEndPr/>
    <w:sdtContent>
      <w:p w14:paraId="36379479" w14:textId="77777777" w:rsidR="00486DCD" w:rsidRDefault="00486DCD">
        <w:pPr>
          <w:pStyle w:val="Footer"/>
        </w:pPr>
      </w:p>
      <w:p w14:paraId="0D47B7B5" w14:textId="4441170E" w:rsidR="00486DCD" w:rsidRDefault="00486DCD">
        <w:pPr>
          <w:pStyle w:val="Footer"/>
        </w:pPr>
        <w:r w:rsidRPr="00AD4916">
          <w:t>APS 11</w:t>
        </w:r>
        <w:r>
          <w:t>7</w:t>
        </w:r>
        <w:r w:rsidR="00805D99">
          <w:t xml:space="preserve"> </w:t>
        </w:r>
        <w:r w:rsidR="004E6148">
          <w:t>Attachment A –</w:t>
        </w:r>
        <w:r w:rsidRPr="00AD4916">
          <w:t xml:space="preserve"> </w:t>
        </w:r>
        <w:r w:rsidRPr="007A7C65">
          <w:fldChar w:fldCharType="begin"/>
        </w:r>
        <w:r w:rsidRPr="00D95647">
          <w:instrText xml:space="preserve"> PAGE   \* MERGEFORMAT </w:instrText>
        </w:r>
        <w:r w:rsidRPr="007A7C65">
          <w:fldChar w:fldCharType="separate"/>
        </w:r>
        <w:r w:rsidRPr="00BC5781">
          <w:rPr>
            <w:noProof/>
          </w:rPr>
          <w:t>14</w:t>
        </w:r>
        <w:r w:rsidRPr="007A7C65">
          <w:fldChar w:fldCharType="end"/>
        </w:r>
      </w:p>
    </w:sdtContent>
  </w:sdt>
  <w:p w14:paraId="135F54C0" w14:textId="77777777" w:rsidR="00486DCD" w:rsidRDefault="00486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1A9D6" w14:textId="77777777" w:rsidR="0043514E" w:rsidRPr="00884876" w:rsidRDefault="0043514E" w:rsidP="00D030F0">
      <w:r>
        <w:separator/>
      </w:r>
    </w:p>
  </w:footnote>
  <w:footnote w:type="continuationSeparator" w:id="0">
    <w:p w14:paraId="7C4BE5E8" w14:textId="77777777" w:rsidR="0043514E" w:rsidRDefault="0043514E" w:rsidP="005C75EC">
      <w:r>
        <w:continuationSeparator/>
      </w:r>
    </w:p>
  </w:footnote>
  <w:footnote w:type="continuationNotice" w:id="1">
    <w:p w14:paraId="0CEEAB29" w14:textId="77777777" w:rsidR="0043514E" w:rsidRDefault="0043514E"/>
  </w:footnote>
  <w:footnote w:id="2">
    <w:p w14:paraId="1956C6E9" w14:textId="7484D5C9" w:rsidR="00C846F0" w:rsidRDefault="00C846F0">
      <w:pPr>
        <w:pStyle w:val="FootnoteText"/>
      </w:pPr>
      <w:r>
        <w:rPr>
          <w:rStyle w:val="FootnoteReference"/>
        </w:rPr>
        <w:footnoteRef/>
      </w:r>
      <w:r>
        <w:t xml:space="preserve"> </w:t>
      </w:r>
      <w:r w:rsidR="000533E4">
        <w:tab/>
      </w:r>
      <w:r>
        <w:t>The IRRBB profile includes the profile of spread risk.</w:t>
      </w:r>
    </w:p>
  </w:footnote>
  <w:footnote w:id="3">
    <w:p w14:paraId="719BF6B2" w14:textId="5F1A2AF4" w:rsidR="00082BBF" w:rsidRDefault="00082BBF">
      <w:pPr>
        <w:pStyle w:val="FootnoteText"/>
      </w:pPr>
      <w:r>
        <w:rPr>
          <w:rStyle w:val="FootnoteReference"/>
        </w:rPr>
        <w:footnoteRef/>
      </w:r>
      <w:r w:rsidR="0043739B">
        <w:t xml:space="preserve"> </w:t>
      </w:r>
      <w:r w:rsidR="000533E4">
        <w:tab/>
      </w:r>
      <w:r>
        <w:t>The IRRBB profile includes the profile of spread risk.</w:t>
      </w:r>
    </w:p>
  </w:footnote>
  <w:footnote w:id="4">
    <w:p w14:paraId="40FC5A56" w14:textId="53F71715" w:rsidR="00082BBF" w:rsidRDefault="00082BBF" w:rsidP="00433AA3">
      <w:pPr>
        <w:pStyle w:val="FootnoteText"/>
        <w:tabs>
          <w:tab w:val="left" w:pos="567"/>
        </w:tabs>
      </w:pPr>
      <w:r>
        <w:rPr>
          <w:rStyle w:val="FootnoteReference"/>
        </w:rPr>
        <w:footnoteRef/>
      </w:r>
      <w:r>
        <w:t xml:space="preserve"> </w:t>
      </w:r>
      <w:r>
        <w:tab/>
      </w:r>
      <w:r w:rsidRPr="002D1C22">
        <w:t xml:space="preserve">In most cases, the independent reviews could be facilitated by an </w:t>
      </w:r>
      <w:smartTag w:uri="urn:schemas-microsoft-com:office:smarttags" w:element="stockticker">
        <w:r w:rsidRPr="002D1C22">
          <w:t>ADI</w:t>
        </w:r>
      </w:smartTag>
      <w:r w:rsidRPr="002D1C22">
        <w:t xml:space="preserve">’s internal audit </w:t>
      </w:r>
      <w:r w:rsidR="0036644E" w:rsidRPr="002D1C22">
        <w:t>function,</w:t>
      </w:r>
      <w:r w:rsidRPr="002D1C22">
        <w:t xml:space="preserve"> but </w:t>
      </w:r>
      <w:r>
        <w:t xml:space="preserve">it </w:t>
      </w:r>
      <w:r w:rsidRPr="002D1C22">
        <w:t>may require the engagement of independent parties outside of this function</w:t>
      </w:r>
      <w:r>
        <w:t>.</w:t>
      </w:r>
    </w:p>
  </w:footnote>
  <w:footnote w:id="5">
    <w:p w14:paraId="5270848E" w14:textId="4091B9F6" w:rsidR="00082BBF" w:rsidRDefault="00082BBF">
      <w:pPr>
        <w:pStyle w:val="FootnoteText"/>
      </w:pPr>
      <w:r>
        <w:rPr>
          <w:rStyle w:val="FootnoteReference"/>
        </w:rPr>
        <w:footnoteRef/>
      </w:r>
      <w:r>
        <w:t xml:space="preserve"> </w:t>
      </w:r>
      <w:r w:rsidR="00C26B47">
        <w:tab/>
      </w:r>
      <w:r>
        <w:t>In this context “securities” do not include derivatives.</w:t>
      </w:r>
    </w:p>
  </w:footnote>
  <w:footnote w:id="6">
    <w:p w14:paraId="77617176" w14:textId="040CC06A" w:rsidR="00F73353" w:rsidRDefault="00F73353" w:rsidP="00454AE7">
      <w:pPr>
        <w:pStyle w:val="FootnoteText"/>
      </w:pPr>
      <w:r>
        <w:rPr>
          <w:rStyle w:val="FootnoteReference"/>
        </w:rPr>
        <w:footnoteRef/>
      </w:r>
      <w:r>
        <w:t xml:space="preserve"> </w:t>
      </w:r>
      <w:r w:rsidR="00454AE7">
        <w:tab/>
      </w:r>
      <w:r>
        <w:t>All banking book derivatives are to be designated as market related items</w:t>
      </w:r>
      <w:r w:rsidR="00217AAE">
        <w:t>. However,</w:t>
      </w:r>
      <w:r w:rsidR="00C21F06">
        <w:t xml:space="preserve"> </w:t>
      </w:r>
      <w:r w:rsidR="00217AAE">
        <w:t xml:space="preserve">if </w:t>
      </w:r>
      <w:r w:rsidR="00AD72CC">
        <w:t xml:space="preserve">an ADI reasonably considers a banking book item </w:t>
      </w:r>
      <w:r>
        <w:t>is in an effective hedge relationship with a non-market-related item</w:t>
      </w:r>
      <w:r w:rsidR="00AD72CC">
        <w:t>, it</w:t>
      </w:r>
      <w:r w:rsidR="00AD72CC" w:rsidRPr="00AD72CC">
        <w:t xml:space="preserve"> may designate a banking book item as a non-market-related item</w:t>
      </w:r>
      <w:r>
        <w:t>.</w:t>
      </w:r>
    </w:p>
  </w:footnote>
  <w:footnote w:id="7">
    <w:p w14:paraId="7CE3A99F" w14:textId="22A93B57" w:rsidR="00082BBF" w:rsidRDefault="00082BBF" w:rsidP="009A4CC2">
      <w:pPr>
        <w:pStyle w:val="FootnoteText"/>
      </w:pPr>
      <w:r>
        <w:rPr>
          <w:rStyle w:val="FootnoteReference"/>
        </w:rPr>
        <w:footnoteRef/>
      </w:r>
      <w:r>
        <w:t xml:space="preserve"> </w:t>
      </w:r>
      <w:r w:rsidR="00480B82">
        <w:tab/>
      </w:r>
      <w:r>
        <w:t>The 97.5 per cent expected shortfall is the expected loss conditional on the loss being in the worst 2.5 per cent of potential losses.</w:t>
      </w:r>
    </w:p>
  </w:footnote>
  <w:footnote w:id="8">
    <w:p w14:paraId="609AB262" w14:textId="28AEECB5" w:rsidR="00082BBF" w:rsidRDefault="00082BBF" w:rsidP="007E029C">
      <w:pPr>
        <w:pStyle w:val="FootnoteText"/>
        <w:jc w:val="left"/>
      </w:pPr>
      <w:r>
        <w:rPr>
          <w:rStyle w:val="FootnoteReference"/>
        </w:rPr>
        <w:footnoteRef/>
      </w:r>
      <w:r>
        <w:t xml:space="preserve"> </w:t>
      </w:r>
      <w:r>
        <w:tab/>
        <w:t>An economic adjustment on early repayment (prepayment) of principal restores the ADI’s position to what it would have been if the principal prepaid had remained unpaid until contractually scheduled. A behavioural repricing profile is intended to reflect the interest-rate sensitivity of the item, given expected payment behaviour. Hence prepayments that are economically adjusted are effectively ignored by treating them as if they did not occur.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6826C" w14:textId="03988377" w:rsidR="00D516FC" w:rsidRPr="00E048D5" w:rsidRDefault="00F25872" w:rsidP="00D516FC">
    <w:pPr>
      <w:pStyle w:val="Header"/>
      <w:tabs>
        <w:tab w:val="right" w:pos="8364"/>
      </w:tabs>
      <w:jc w:val="right"/>
      <w:rPr>
        <w:rFonts w:ascii="Times New Roman" w:eastAsia="Times New Roman" w:hAnsi="Times New Roman"/>
      </w:rPr>
    </w:pPr>
    <w:r>
      <w:tab/>
    </w:r>
  </w:p>
  <w:p w14:paraId="4FA0BF58" w14:textId="2BB64014" w:rsidR="00F25872" w:rsidRPr="00F25872" w:rsidRDefault="00F25872" w:rsidP="00F25872">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89761" w14:textId="77777777" w:rsidR="008E786B" w:rsidRPr="00E048D5" w:rsidRDefault="008E786B" w:rsidP="00D516FC">
    <w:pPr>
      <w:pStyle w:val="Header"/>
      <w:tabs>
        <w:tab w:val="right" w:pos="8364"/>
      </w:tabs>
      <w:jc w:val="right"/>
      <w:rPr>
        <w:rFonts w:ascii="Times New Roman" w:eastAsia="Times New Roman" w:hAnsi="Times New Roman"/>
      </w:rPr>
    </w:pPr>
    <w:r>
      <w:tab/>
    </w:r>
    <w:r w:rsidRPr="00E048D5">
      <w:rPr>
        <w:rFonts w:ascii="Times New Roman" w:hAnsi="Times New Roman"/>
      </w:rPr>
      <w:t>October 2025</w:t>
    </w:r>
  </w:p>
  <w:p w14:paraId="5B34445F" w14:textId="77777777" w:rsidR="008E786B" w:rsidRPr="00F25872" w:rsidRDefault="008E786B" w:rsidP="00F25872">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16D79"/>
    <w:multiLevelType w:val="hybridMultilevel"/>
    <w:tmpl w:val="91CCE414"/>
    <w:lvl w:ilvl="0" w:tplc="C1C2E4E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16463545"/>
    <w:multiLevelType w:val="multilevel"/>
    <w:tmpl w:val="A51A5D16"/>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6925707"/>
    <w:multiLevelType w:val="hybridMultilevel"/>
    <w:tmpl w:val="649E7ADA"/>
    <w:lvl w:ilvl="0" w:tplc="C8D4F696">
      <w:start w:val="1"/>
      <w:numFmt w:val="bullet"/>
      <w:lvlText w:val=""/>
      <w:lvlJc w:val="left"/>
      <w:pPr>
        <w:tabs>
          <w:tab w:val="num" w:pos="567"/>
        </w:tabs>
        <w:ind w:left="567" w:hanging="567"/>
      </w:pPr>
      <w:rPr>
        <w:rFonts w:ascii="Symbol" w:hAnsi="Symbol" w:hint="default"/>
      </w:rPr>
    </w:lvl>
    <w:lvl w:ilvl="1" w:tplc="A0B2639E" w:tentative="1">
      <w:start w:val="1"/>
      <w:numFmt w:val="bullet"/>
      <w:lvlText w:val="o"/>
      <w:lvlJc w:val="left"/>
      <w:pPr>
        <w:tabs>
          <w:tab w:val="num" w:pos="1080"/>
        </w:tabs>
        <w:ind w:left="1080" w:hanging="360"/>
      </w:pPr>
      <w:rPr>
        <w:rFonts w:ascii="Courier New" w:hAnsi="Courier New" w:cs="Courier New" w:hint="default"/>
      </w:rPr>
    </w:lvl>
    <w:lvl w:ilvl="2" w:tplc="028AD1E0" w:tentative="1">
      <w:start w:val="1"/>
      <w:numFmt w:val="bullet"/>
      <w:lvlText w:val=""/>
      <w:lvlJc w:val="left"/>
      <w:pPr>
        <w:tabs>
          <w:tab w:val="num" w:pos="1800"/>
        </w:tabs>
        <w:ind w:left="1800" w:hanging="360"/>
      </w:pPr>
      <w:rPr>
        <w:rFonts w:ascii="Wingdings" w:hAnsi="Wingdings" w:hint="default"/>
      </w:rPr>
    </w:lvl>
    <w:lvl w:ilvl="3" w:tplc="FF46EE20" w:tentative="1">
      <w:start w:val="1"/>
      <w:numFmt w:val="bullet"/>
      <w:lvlText w:val=""/>
      <w:lvlJc w:val="left"/>
      <w:pPr>
        <w:tabs>
          <w:tab w:val="num" w:pos="2520"/>
        </w:tabs>
        <w:ind w:left="2520" w:hanging="360"/>
      </w:pPr>
      <w:rPr>
        <w:rFonts w:ascii="Symbol" w:hAnsi="Symbol" w:hint="default"/>
      </w:rPr>
    </w:lvl>
    <w:lvl w:ilvl="4" w:tplc="F008F492" w:tentative="1">
      <w:start w:val="1"/>
      <w:numFmt w:val="bullet"/>
      <w:lvlText w:val="o"/>
      <w:lvlJc w:val="left"/>
      <w:pPr>
        <w:tabs>
          <w:tab w:val="num" w:pos="3240"/>
        </w:tabs>
        <w:ind w:left="3240" w:hanging="360"/>
      </w:pPr>
      <w:rPr>
        <w:rFonts w:ascii="Courier New" w:hAnsi="Courier New" w:cs="Courier New" w:hint="default"/>
      </w:rPr>
    </w:lvl>
    <w:lvl w:ilvl="5" w:tplc="50D8F772" w:tentative="1">
      <w:start w:val="1"/>
      <w:numFmt w:val="bullet"/>
      <w:lvlText w:val=""/>
      <w:lvlJc w:val="left"/>
      <w:pPr>
        <w:tabs>
          <w:tab w:val="num" w:pos="3960"/>
        </w:tabs>
        <w:ind w:left="3960" w:hanging="360"/>
      </w:pPr>
      <w:rPr>
        <w:rFonts w:ascii="Wingdings" w:hAnsi="Wingdings" w:hint="default"/>
      </w:rPr>
    </w:lvl>
    <w:lvl w:ilvl="6" w:tplc="649C1BB4" w:tentative="1">
      <w:start w:val="1"/>
      <w:numFmt w:val="bullet"/>
      <w:lvlText w:val=""/>
      <w:lvlJc w:val="left"/>
      <w:pPr>
        <w:tabs>
          <w:tab w:val="num" w:pos="4680"/>
        </w:tabs>
        <w:ind w:left="4680" w:hanging="360"/>
      </w:pPr>
      <w:rPr>
        <w:rFonts w:ascii="Symbol" w:hAnsi="Symbol" w:hint="default"/>
      </w:rPr>
    </w:lvl>
    <w:lvl w:ilvl="7" w:tplc="380A2D28" w:tentative="1">
      <w:start w:val="1"/>
      <w:numFmt w:val="bullet"/>
      <w:lvlText w:val="o"/>
      <w:lvlJc w:val="left"/>
      <w:pPr>
        <w:tabs>
          <w:tab w:val="num" w:pos="5400"/>
        </w:tabs>
        <w:ind w:left="5400" w:hanging="360"/>
      </w:pPr>
      <w:rPr>
        <w:rFonts w:ascii="Courier New" w:hAnsi="Courier New" w:cs="Courier New" w:hint="default"/>
      </w:rPr>
    </w:lvl>
    <w:lvl w:ilvl="8" w:tplc="CECCE69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9281A78"/>
    <w:multiLevelType w:val="hybridMultilevel"/>
    <w:tmpl w:val="17B4CA60"/>
    <w:lvl w:ilvl="0" w:tplc="355EA246">
      <w:start w:val="1"/>
      <w:numFmt w:val="decimal"/>
      <w:pStyle w:val="Note"/>
      <w:lvlText w:val="Note %1"/>
      <w:lvlJc w:val="left"/>
      <w:pPr>
        <w:tabs>
          <w:tab w:val="num" w:pos="794"/>
        </w:tabs>
        <w:ind w:left="0" w:firstLine="0"/>
      </w:pPr>
      <w:rPr>
        <w:rFonts w:hint="default"/>
        <w:b w:val="0"/>
        <w:i/>
      </w:rPr>
    </w:lvl>
    <w:lvl w:ilvl="1" w:tplc="0C09000F">
      <w:start w:val="1"/>
      <w:numFmt w:val="decimal"/>
      <w:lvlText w:val="%2."/>
      <w:lvlJc w:val="left"/>
      <w:pPr>
        <w:tabs>
          <w:tab w:val="num" w:pos="2404"/>
        </w:tabs>
        <w:ind w:left="2404" w:hanging="360"/>
      </w:pPr>
      <w:rPr>
        <w:rFonts w:hint="default"/>
        <w:b w:val="0"/>
        <w:i/>
      </w:r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5" w15:restartNumberingAfterBreak="0">
    <w:nsid w:val="301F50AC"/>
    <w:multiLevelType w:val="multilevel"/>
    <w:tmpl w:val="AC5E151C"/>
    <w:styleLink w:val="BulletList"/>
    <w:lvl w:ilvl="0">
      <w:start w:val="1"/>
      <w:numFmt w:val="bullet"/>
      <w:lvlText w:val=""/>
      <w:lvlJc w:val="left"/>
      <w:pPr>
        <w:tabs>
          <w:tab w:val="num" w:pos="425"/>
        </w:tabs>
        <w:ind w:left="425" w:hanging="425"/>
      </w:pPr>
      <w:rPr>
        <w:rFonts w:ascii="Symbol" w:hAnsi="Symbol" w:hint="default"/>
        <w:color w:val="000000" w:themeColor="text1"/>
      </w:rPr>
    </w:lvl>
    <w:lvl w:ilvl="1">
      <w:start w:val="1"/>
      <w:numFmt w:val="bullet"/>
      <w:lvlText w:val="-"/>
      <w:lvlJc w:val="left"/>
      <w:pPr>
        <w:tabs>
          <w:tab w:val="num" w:pos="851"/>
        </w:tabs>
        <w:ind w:left="851" w:hanging="426"/>
      </w:pPr>
      <w:rPr>
        <w:rFonts w:ascii="Arial" w:hAnsi="Arial" w:hint="default"/>
        <w:color w:val="000000" w:themeColor="text1"/>
      </w:rPr>
    </w:lvl>
    <w:lvl w:ilvl="2">
      <w:start w:val="1"/>
      <w:numFmt w:val="bullet"/>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6"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7" w15:restartNumberingAfterBreak="0">
    <w:nsid w:val="54B159FF"/>
    <w:multiLevelType w:val="hybridMultilevel"/>
    <w:tmpl w:val="D716FACC"/>
    <w:lvl w:ilvl="0" w:tplc="0C1285C0">
      <w:start w:val="1"/>
      <w:numFmt w:val="lowerLetter"/>
      <w:lvlText w:val="(%1)"/>
      <w:lvlJc w:val="left"/>
      <w:pPr>
        <w:tabs>
          <w:tab w:val="num" w:pos="1134"/>
        </w:tabs>
        <w:ind w:left="1134" w:hanging="567"/>
      </w:pPr>
      <w:rPr>
        <w:rFonts w:hint="default"/>
      </w:rPr>
    </w:lvl>
    <w:lvl w:ilvl="1" w:tplc="0C09001B">
      <w:start w:val="1"/>
      <w:numFmt w:val="lowerRoman"/>
      <w:lvlText w:val="%2."/>
      <w:lvlJc w:val="righ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BDA715C"/>
    <w:multiLevelType w:val="hybridMultilevel"/>
    <w:tmpl w:val="38187064"/>
    <w:lvl w:ilvl="0" w:tplc="60B0A44E">
      <w:start w:val="1"/>
      <w:numFmt w:val="bullet"/>
      <w:pStyle w:val="StyleBodyText13ptCharCharChar"/>
      <w:lvlText w:val=""/>
      <w:lvlJc w:val="left"/>
      <w:pPr>
        <w:tabs>
          <w:tab w:val="num" w:pos="720"/>
        </w:tabs>
        <w:ind w:left="720" w:hanging="360"/>
      </w:pPr>
      <w:rPr>
        <w:rFonts w:ascii="Symbol" w:hAnsi="Symbol" w:hint="default"/>
      </w:rPr>
    </w:lvl>
    <w:lvl w:ilvl="1" w:tplc="E264A6F4" w:tentative="1">
      <w:start w:val="1"/>
      <w:numFmt w:val="bullet"/>
      <w:lvlText w:val="o"/>
      <w:lvlJc w:val="left"/>
      <w:pPr>
        <w:tabs>
          <w:tab w:val="num" w:pos="1440"/>
        </w:tabs>
        <w:ind w:left="1440" w:hanging="360"/>
      </w:pPr>
      <w:rPr>
        <w:rFonts w:ascii="Courier New" w:hAnsi="Courier New" w:cs="Courier New" w:hint="default"/>
      </w:rPr>
    </w:lvl>
    <w:lvl w:ilvl="2" w:tplc="7CE612D4" w:tentative="1">
      <w:start w:val="1"/>
      <w:numFmt w:val="bullet"/>
      <w:lvlText w:val=""/>
      <w:lvlJc w:val="left"/>
      <w:pPr>
        <w:tabs>
          <w:tab w:val="num" w:pos="2160"/>
        </w:tabs>
        <w:ind w:left="2160" w:hanging="360"/>
      </w:pPr>
      <w:rPr>
        <w:rFonts w:ascii="Wingdings" w:hAnsi="Wingdings" w:hint="default"/>
      </w:rPr>
    </w:lvl>
    <w:lvl w:ilvl="3" w:tplc="8FA65562" w:tentative="1">
      <w:start w:val="1"/>
      <w:numFmt w:val="bullet"/>
      <w:lvlText w:val=""/>
      <w:lvlJc w:val="left"/>
      <w:pPr>
        <w:tabs>
          <w:tab w:val="num" w:pos="2880"/>
        </w:tabs>
        <w:ind w:left="2880" w:hanging="360"/>
      </w:pPr>
      <w:rPr>
        <w:rFonts w:ascii="Symbol" w:hAnsi="Symbol" w:hint="default"/>
      </w:rPr>
    </w:lvl>
    <w:lvl w:ilvl="4" w:tplc="EDFA29A4" w:tentative="1">
      <w:start w:val="1"/>
      <w:numFmt w:val="bullet"/>
      <w:lvlText w:val="o"/>
      <w:lvlJc w:val="left"/>
      <w:pPr>
        <w:tabs>
          <w:tab w:val="num" w:pos="3600"/>
        </w:tabs>
        <w:ind w:left="3600" w:hanging="360"/>
      </w:pPr>
      <w:rPr>
        <w:rFonts w:ascii="Courier New" w:hAnsi="Courier New" w:cs="Courier New" w:hint="default"/>
      </w:rPr>
    </w:lvl>
    <w:lvl w:ilvl="5" w:tplc="EB5E0C9A" w:tentative="1">
      <w:start w:val="1"/>
      <w:numFmt w:val="bullet"/>
      <w:lvlText w:val=""/>
      <w:lvlJc w:val="left"/>
      <w:pPr>
        <w:tabs>
          <w:tab w:val="num" w:pos="4320"/>
        </w:tabs>
        <w:ind w:left="4320" w:hanging="360"/>
      </w:pPr>
      <w:rPr>
        <w:rFonts w:ascii="Wingdings" w:hAnsi="Wingdings" w:hint="default"/>
      </w:rPr>
    </w:lvl>
    <w:lvl w:ilvl="6" w:tplc="C40EF152" w:tentative="1">
      <w:start w:val="1"/>
      <w:numFmt w:val="bullet"/>
      <w:lvlText w:val=""/>
      <w:lvlJc w:val="left"/>
      <w:pPr>
        <w:tabs>
          <w:tab w:val="num" w:pos="5040"/>
        </w:tabs>
        <w:ind w:left="5040" w:hanging="360"/>
      </w:pPr>
      <w:rPr>
        <w:rFonts w:ascii="Symbol" w:hAnsi="Symbol" w:hint="default"/>
      </w:rPr>
    </w:lvl>
    <w:lvl w:ilvl="7" w:tplc="86A868CA" w:tentative="1">
      <w:start w:val="1"/>
      <w:numFmt w:val="bullet"/>
      <w:lvlText w:val="o"/>
      <w:lvlJc w:val="left"/>
      <w:pPr>
        <w:tabs>
          <w:tab w:val="num" w:pos="5760"/>
        </w:tabs>
        <w:ind w:left="5760" w:hanging="360"/>
      </w:pPr>
      <w:rPr>
        <w:rFonts w:ascii="Courier New" w:hAnsi="Courier New" w:cs="Courier New" w:hint="default"/>
      </w:rPr>
    </w:lvl>
    <w:lvl w:ilvl="8" w:tplc="925C768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C21588"/>
    <w:multiLevelType w:val="singleLevel"/>
    <w:tmpl w:val="8B26B918"/>
    <w:lvl w:ilvl="0">
      <w:start w:val="1"/>
      <w:numFmt w:val="lowerLetter"/>
      <w:pStyle w:val="Normalalpha"/>
      <w:lvlText w:val="(%1)"/>
      <w:lvlJc w:val="left"/>
      <w:pPr>
        <w:tabs>
          <w:tab w:val="num" w:pos="851"/>
        </w:tabs>
        <w:ind w:left="851" w:hanging="567"/>
      </w:pPr>
      <w:rPr>
        <w:rFonts w:hint="default"/>
      </w:rPr>
    </w:lvl>
  </w:abstractNum>
  <w:abstractNum w:abstractNumId="10"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622226516">
    <w:abstractNumId w:val="8"/>
  </w:num>
  <w:num w:numId="2" w16cid:durableId="244849637">
    <w:abstractNumId w:val="9"/>
  </w:num>
  <w:num w:numId="3" w16cid:durableId="251358704">
    <w:abstractNumId w:val="4"/>
  </w:num>
  <w:num w:numId="4" w16cid:durableId="660886938">
    <w:abstractNumId w:val="3"/>
  </w:num>
  <w:num w:numId="5" w16cid:durableId="1488864467">
    <w:abstractNumId w:val="7"/>
  </w:num>
  <w:num w:numId="6" w16cid:durableId="612832867">
    <w:abstractNumId w:val="0"/>
  </w:num>
  <w:num w:numId="7" w16cid:durableId="785928103">
    <w:abstractNumId w:val="6"/>
  </w:num>
  <w:num w:numId="8" w16cid:durableId="533883376">
    <w:abstractNumId w:val="2"/>
  </w:num>
  <w:num w:numId="9" w16cid:durableId="700404049">
    <w:abstractNumId w:val="2"/>
  </w:num>
  <w:num w:numId="10" w16cid:durableId="540636392">
    <w:abstractNumId w:val="5"/>
  </w:num>
  <w:num w:numId="11" w16cid:durableId="1808425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4639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2303825">
    <w:abstractNumId w:val="10"/>
  </w:num>
  <w:num w:numId="14" w16cid:durableId="2031566082">
    <w:abstractNumId w:val="1"/>
  </w:num>
  <w:num w:numId="15" w16cid:durableId="301009554">
    <w:abstractNumId w:val="2"/>
  </w:num>
  <w:num w:numId="16" w16cid:durableId="1681471110">
    <w:abstractNumId w:val="2"/>
    <w:lvlOverride w:ilvl="0">
      <w:startOverride w:val="6"/>
    </w:lvlOverride>
  </w:num>
  <w:num w:numId="17" w16cid:durableId="45275394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589551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65777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97"/>
    <w:rsid w:val="000001FB"/>
    <w:rsid w:val="0000020C"/>
    <w:rsid w:val="0000035F"/>
    <w:rsid w:val="0000055A"/>
    <w:rsid w:val="000006F1"/>
    <w:rsid w:val="00000701"/>
    <w:rsid w:val="00001034"/>
    <w:rsid w:val="000012C6"/>
    <w:rsid w:val="0000159B"/>
    <w:rsid w:val="000016AA"/>
    <w:rsid w:val="00001D80"/>
    <w:rsid w:val="000020CD"/>
    <w:rsid w:val="00002555"/>
    <w:rsid w:val="00002BBA"/>
    <w:rsid w:val="00002D13"/>
    <w:rsid w:val="00002DED"/>
    <w:rsid w:val="0000301F"/>
    <w:rsid w:val="0000407F"/>
    <w:rsid w:val="000040DC"/>
    <w:rsid w:val="00004AA7"/>
    <w:rsid w:val="00005778"/>
    <w:rsid w:val="000060A6"/>
    <w:rsid w:val="0000632B"/>
    <w:rsid w:val="00006672"/>
    <w:rsid w:val="00006816"/>
    <w:rsid w:val="00006D45"/>
    <w:rsid w:val="00006ED9"/>
    <w:rsid w:val="000071DF"/>
    <w:rsid w:val="00007546"/>
    <w:rsid w:val="0000760F"/>
    <w:rsid w:val="000076D1"/>
    <w:rsid w:val="00007724"/>
    <w:rsid w:val="0000788B"/>
    <w:rsid w:val="00007C61"/>
    <w:rsid w:val="00010384"/>
    <w:rsid w:val="00010558"/>
    <w:rsid w:val="00010B80"/>
    <w:rsid w:val="00010D71"/>
    <w:rsid w:val="000116A0"/>
    <w:rsid w:val="00012487"/>
    <w:rsid w:val="000129E5"/>
    <w:rsid w:val="00012B53"/>
    <w:rsid w:val="00012C53"/>
    <w:rsid w:val="00013145"/>
    <w:rsid w:val="000132B6"/>
    <w:rsid w:val="000136B5"/>
    <w:rsid w:val="00013B56"/>
    <w:rsid w:val="000141B4"/>
    <w:rsid w:val="000147B8"/>
    <w:rsid w:val="0001516E"/>
    <w:rsid w:val="000154E4"/>
    <w:rsid w:val="000156DB"/>
    <w:rsid w:val="00015A33"/>
    <w:rsid w:val="000174EE"/>
    <w:rsid w:val="00017AA3"/>
    <w:rsid w:val="00017C16"/>
    <w:rsid w:val="00017C19"/>
    <w:rsid w:val="00017C64"/>
    <w:rsid w:val="00020320"/>
    <w:rsid w:val="00021E16"/>
    <w:rsid w:val="00021E4B"/>
    <w:rsid w:val="000225A2"/>
    <w:rsid w:val="000226CB"/>
    <w:rsid w:val="00022CDB"/>
    <w:rsid w:val="00022DCC"/>
    <w:rsid w:val="000233C0"/>
    <w:rsid w:val="00023B3D"/>
    <w:rsid w:val="000242F8"/>
    <w:rsid w:val="000248F4"/>
    <w:rsid w:val="0002497D"/>
    <w:rsid w:val="00024C9B"/>
    <w:rsid w:val="00025470"/>
    <w:rsid w:val="00025607"/>
    <w:rsid w:val="0002608A"/>
    <w:rsid w:val="0002612A"/>
    <w:rsid w:val="000266AB"/>
    <w:rsid w:val="00026721"/>
    <w:rsid w:val="00026BE5"/>
    <w:rsid w:val="00026C72"/>
    <w:rsid w:val="000274C4"/>
    <w:rsid w:val="00027572"/>
    <w:rsid w:val="0002762F"/>
    <w:rsid w:val="00027AAE"/>
    <w:rsid w:val="00027C4F"/>
    <w:rsid w:val="0003042A"/>
    <w:rsid w:val="00030A5F"/>
    <w:rsid w:val="00030ABD"/>
    <w:rsid w:val="00030D37"/>
    <w:rsid w:val="00030E07"/>
    <w:rsid w:val="000310DB"/>
    <w:rsid w:val="000316AF"/>
    <w:rsid w:val="0003213E"/>
    <w:rsid w:val="000330B7"/>
    <w:rsid w:val="000332CB"/>
    <w:rsid w:val="00033818"/>
    <w:rsid w:val="00033CCD"/>
    <w:rsid w:val="00033D16"/>
    <w:rsid w:val="00033FB0"/>
    <w:rsid w:val="000343F8"/>
    <w:rsid w:val="00034415"/>
    <w:rsid w:val="000348C1"/>
    <w:rsid w:val="000349BF"/>
    <w:rsid w:val="00034A91"/>
    <w:rsid w:val="00034C03"/>
    <w:rsid w:val="00034D0F"/>
    <w:rsid w:val="00035519"/>
    <w:rsid w:val="00035905"/>
    <w:rsid w:val="00035AC2"/>
    <w:rsid w:val="0003661A"/>
    <w:rsid w:val="00036665"/>
    <w:rsid w:val="000367D2"/>
    <w:rsid w:val="00036B5B"/>
    <w:rsid w:val="00036D48"/>
    <w:rsid w:val="00037541"/>
    <w:rsid w:val="0003775E"/>
    <w:rsid w:val="00037AB2"/>
    <w:rsid w:val="00037B4E"/>
    <w:rsid w:val="0004060C"/>
    <w:rsid w:val="0004071A"/>
    <w:rsid w:val="00040770"/>
    <w:rsid w:val="000407A1"/>
    <w:rsid w:val="0004116C"/>
    <w:rsid w:val="0004138F"/>
    <w:rsid w:val="00041469"/>
    <w:rsid w:val="00041ACD"/>
    <w:rsid w:val="00041BA9"/>
    <w:rsid w:val="00042385"/>
    <w:rsid w:val="0004267E"/>
    <w:rsid w:val="0004270F"/>
    <w:rsid w:val="000427AF"/>
    <w:rsid w:val="00043219"/>
    <w:rsid w:val="0004345E"/>
    <w:rsid w:val="0004349E"/>
    <w:rsid w:val="00043D48"/>
    <w:rsid w:val="00044189"/>
    <w:rsid w:val="000441ED"/>
    <w:rsid w:val="000442E0"/>
    <w:rsid w:val="00044537"/>
    <w:rsid w:val="00044700"/>
    <w:rsid w:val="00044832"/>
    <w:rsid w:val="00044C77"/>
    <w:rsid w:val="00044FC1"/>
    <w:rsid w:val="000453FA"/>
    <w:rsid w:val="0004564D"/>
    <w:rsid w:val="00045BB1"/>
    <w:rsid w:val="000463E6"/>
    <w:rsid w:val="00046441"/>
    <w:rsid w:val="0004693D"/>
    <w:rsid w:val="00046E52"/>
    <w:rsid w:val="00050978"/>
    <w:rsid w:val="00050BFF"/>
    <w:rsid w:val="00050EEA"/>
    <w:rsid w:val="00052247"/>
    <w:rsid w:val="00052415"/>
    <w:rsid w:val="000525DB"/>
    <w:rsid w:val="00052655"/>
    <w:rsid w:val="000526F7"/>
    <w:rsid w:val="0005299A"/>
    <w:rsid w:val="00052CE2"/>
    <w:rsid w:val="00052DDA"/>
    <w:rsid w:val="000533E4"/>
    <w:rsid w:val="000537AE"/>
    <w:rsid w:val="00054CCA"/>
    <w:rsid w:val="00054D40"/>
    <w:rsid w:val="00055092"/>
    <w:rsid w:val="0005550F"/>
    <w:rsid w:val="000563A3"/>
    <w:rsid w:val="000564A0"/>
    <w:rsid w:val="00057178"/>
    <w:rsid w:val="0005727F"/>
    <w:rsid w:val="00057FCD"/>
    <w:rsid w:val="00060092"/>
    <w:rsid w:val="0006039A"/>
    <w:rsid w:val="00060870"/>
    <w:rsid w:val="00060E6A"/>
    <w:rsid w:val="00062271"/>
    <w:rsid w:val="000628F8"/>
    <w:rsid w:val="00062A8C"/>
    <w:rsid w:val="00063961"/>
    <w:rsid w:val="00063D43"/>
    <w:rsid w:val="00064164"/>
    <w:rsid w:val="00064BC1"/>
    <w:rsid w:val="00064F01"/>
    <w:rsid w:val="00065451"/>
    <w:rsid w:val="00065783"/>
    <w:rsid w:val="00065997"/>
    <w:rsid w:val="00065A24"/>
    <w:rsid w:val="00065E9D"/>
    <w:rsid w:val="00065EC6"/>
    <w:rsid w:val="00066072"/>
    <w:rsid w:val="00066537"/>
    <w:rsid w:val="00067573"/>
    <w:rsid w:val="00067D6E"/>
    <w:rsid w:val="0007033C"/>
    <w:rsid w:val="000707E3"/>
    <w:rsid w:val="000709C5"/>
    <w:rsid w:val="00071186"/>
    <w:rsid w:val="00072360"/>
    <w:rsid w:val="00072423"/>
    <w:rsid w:val="000730A3"/>
    <w:rsid w:val="0007335C"/>
    <w:rsid w:val="00073594"/>
    <w:rsid w:val="000735F1"/>
    <w:rsid w:val="00073BC3"/>
    <w:rsid w:val="000741E8"/>
    <w:rsid w:val="000742DF"/>
    <w:rsid w:val="00074598"/>
    <w:rsid w:val="0007476D"/>
    <w:rsid w:val="00074B33"/>
    <w:rsid w:val="0007537B"/>
    <w:rsid w:val="00075664"/>
    <w:rsid w:val="00075815"/>
    <w:rsid w:val="00075C51"/>
    <w:rsid w:val="00075D8A"/>
    <w:rsid w:val="00076171"/>
    <w:rsid w:val="0007681F"/>
    <w:rsid w:val="000768EB"/>
    <w:rsid w:val="00076BF1"/>
    <w:rsid w:val="00077099"/>
    <w:rsid w:val="0007744E"/>
    <w:rsid w:val="00080A01"/>
    <w:rsid w:val="000811F2"/>
    <w:rsid w:val="00081477"/>
    <w:rsid w:val="00081B47"/>
    <w:rsid w:val="00081DAF"/>
    <w:rsid w:val="00081DE5"/>
    <w:rsid w:val="0008230F"/>
    <w:rsid w:val="00082BBF"/>
    <w:rsid w:val="00082C4F"/>
    <w:rsid w:val="00082C9C"/>
    <w:rsid w:val="0008362E"/>
    <w:rsid w:val="0008405A"/>
    <w:rsid w:val="00084B14"/>
    <w:rsid w:val="00084DA4"/>
    <w:rsid w:val="00084E69"/>
    <w:rsid w:val="000852AF"/>
    <w:rsid w:val="00085993"/>
    <w:rsid w:val="00086058"/>
    <w:rsid w:val="000863E0"/>
    <w:rsid w:val="000864F7"/>
    <w:rsid w:val="00086599"/>
    <w:rsid w:val="000867DE"/>
    <w:rsid w:val="00086AAD"/>
    <w:rsid w:val="000874A3"/>
    <w:rsid w:val="00087536"/>
    <w:rsid w:val="00087F29"/>
    <w:rsid w:val="0009008E"/>
    <w:rsid w:val="00090210"/>
    <w:rsid w:val="00090ABD"/>
    <w:rsid w:val="00090CEA"/>
    <w:rsid w:val="00090D91"/>
    <w:rsid w:val="0009127A"/>
    <w:rsid w:val="00091576"/>
    <w:rsid w:val="00091BD2"/>
    <w:rsid w:val="00091F7A"/>
    <w:rsid w:val="00092231"/>
    <w:rsid w:val="000926EE"/>
    <w:rsid w:val="000929A0"/>
    <w:rsid w:val="00093422"/>
    <w:rsid w:val="00093B60"/>
    <w:rsid w:val="00093D0A"/>
    <w:rsid w:val="000942E9"/>
    <w:rsid w:val="000947EF"/>
    <w:rsid w:val="00094BD9"/>
    <w:rsid w:val="00094F2D"/>
    <w:rsid w:val="000951A5"/>
    <w:rsid w:val="000953F8"/>
    <w:rsid w:val="00095F9A"/>
    <w:rsid w:val="00096247"/>
    <w:rsid w:val="0009662C"/>
    <w:rsid w:val="00096AB4"/>
    <w:rsid w:val="00096C7E"/>
    <w:rsid w:val="000973C8"/>
    <w:rsid w:val="0009748E"/>
    <w:rsid w:val="000A064C"/>
    <w:rsid w:val="000A06CE"/>
    <w:rsid w:val="000A0AAC"/>
    <w:rsid w:val="000A0ADF"/>
    <w:rsid w:val="000A11E6"/>
    <w:rsid w:val="000A1DD9"/>
    <w:rsid w:val="000A1F25"/>
    <w:rsid w:val="000A218C"/>
    <w:rsid w:val="000A26BA"/>
    <w:rsid w:val="000A29A6"/>
    <w:rsid w:val="000A3126"/>
    <w:rsid w:val="000A3263"/>
    <w:rsid w:val="000A3485"/>
    <w:rsid w:val="000A372D"/>
    <w:rsid w:val="000A3B43"/>
    <w:rsid w:val="000A3D56"/>
    <w:rsid w:val="000A3E60"/>
    <w:rsid w:val="000A4875"/>
    <w:rsid w:val="000A4DA4"/>
    <w:rsid w:val="000A4F2E"/>
    <w:rsid w:val="000A4F92"/>
    <w:rsid w:val="000A5627"/>
    <w:rsid w:val="000A666E"/>
    <w:rsid w:val="000A67E7"/>
    <w:rsid w:val="000A699E"/>
    <w:rsid w:val="000A6E22"/>
    <w:rsid w:val="000A70DF"/>
    <w:rsid w:val="000A7BD9"/>
    <w:rsid w:val="000A7D03"/>
    <w:rsid w:val="000B0165"/>
    <w:rsid w:val="000B0989"/>
    <w:rsid w:val="000B0DE8"/>
    <w:rsid w:val="000B197D"/>
    <w:rsid w:val="000B19AA"/>
    <w:rsid w:val="000B1A1E"/>
    <w:rsid w:val="000B1D9E"/>
    <w:rsid w:val="000B1EFA"/>
    <w:rsid w:val="000B2023"/>
    <w:rsid w:val="000B2958"/>
    <w:rsid w:val="000B3170"/>
    <w:rsid w:val="000B3C70"/>
    <w:rsid w:val="000B3CD1"/>
    <w:rsid w:val="000B3D72"/>
    <w:rsid w:val="000B4194"/>
    <w:rsid w:val="000B4304"/>
    <w:rsid w:val="000B5236"/>
    <w:rsid w:val="000B59D2"/>
    <w:rsid w:val="000B5B5C"/>
    <w:rsid w:val="000B5BDC"/>
    <w:rsid w:val="000B60E0"/>
    <w:rsid w:val="000B62F0"/>
    <w:rsid w:val="000B650F"/>
    <w:rsid w:val="000B6A15"/>
    <w:rsid w:val="000B745D"/>
    <w:rsid w:val="000C0200"/>
    <w:rsid w:val="000C0416"/>
    <w:rsid w:val="000C04E0"/>
    <w:rsid w:val="000C069E"/>
    <w:rsid w:val="000C0952"/>
    <w:rsid w:val="000C1060"/>
    <w:rsid w:val="000C2386"/>
    <w:rsid w:val="000C2AEE"/>
    <w:rsid w:val="000C2B71"/>
    <w:rsid w:val="000C30A6"/>
    <w:rsid w:val="000C39F2"/>
    <w:rsid w:val="000C3B63"/>
    <w:rsid w:val="000C3BCC"/>
    <w:rsid w:val="000C3D12"/>
    <w:rsid w:val="000C452E"/>
    <w:rsid w:val="000C4B97"/>
    <w:rsid w:val="000C4C56"/>
    <w:rsid w:val="000C4E0F"/>
    <w:rsid w:val="000C5437"/>
    <w:rsid w:val="000C5562"/>
    <w:rsid w:val="000C58C7"/>
    <w:rsid w:val="000C5C89"/>
    <w:rsid w:val="000C5CBD"/>
    <w:rsid w:val="000C5D42"/>
    <w:rsid w:val="000C6265"/>
    <w:rsid w:val="000C628C"/>
    <w:rsid w:val="000C6335"/>
    <w:rsid w:val="000C676A"/>
    <w:rsid w:val="000C71F5"/>
    <w:rsid w:val="000C73EB"/>
    <w:rsid w:val="000C78A8"/>
    <w:rsid w:val="000C7D94"/>
    <w:rsid w:val="000D143B"/>
    <w:rsid w:val="000D16CB"/>
    <w:rsid w:val="000D1CE5"/>
    <w:rsid w:val="000D1F51"/>
    <w:rsid w:val="000D2131"/>
    <w:rsid w:val="000D24FE"/>
    <w:rsid w:val="000D2533"/>
    <w:rsid w:val="000D2BF1"/>
    <w:rsid w:val="000D2FE8"/>
    <w:rsid w:val="000D34D8"/>
    <w:rsid w:val="000D3829"/>
    <w:rsid w:val="000D414F"/>
    <w:rsid w:val="000D4BC7"/>
    <w:rsid w:val="000D4CA5"/>
    <w:rsid w:val="000D4CAC"/>
    <w:rsid w:val="000D4E9E"/>
    <w:rsid w:val="000D534B"/>
    <w:rsid w:val="000D5351"/>
    <w:rsid w:val="000D56BB"/>
    <w:rsid w:val="000D5A2A"/>
    <w:rsid w:val="000D5BA8"/>
    <w:rsid w:val="000D5EFC"/>
    <w:rsid w:val="000D5F14"/>
    <w:rsid w:val="000D6257"/>
    <w:rsid w:val="000D68E2"/>
    <w:rsid w:val="000D69ED"/>
    <w:rsid w:val="000D6A22"/>
    <w:rsid w:val="000D6C8C"/>
    <w:rsid w:val="000D6CB2"/>
    <w:rsid w:val="000D7367"/>
    <w:rsid w:val="000E03D1"/>
    <w:rsid w:val="000E09E6"/>
    <w:rsid w:val="000E0CD0"/>
    <w:rsid w:val="000E135E"/>
    <w:rsid w:val="000E1DCC"/>
    <w:rsid w:val="000E1F50"/>
    <w:rsid w:val="000E1FF1"/>
    <w:rsid w:val="000E20A1"/>
    <w:rsid w:val="000E2AB5"/>
    <w:rsid w:val="000E33C8"/>
    <w:rsid w:val="000E3D19"/>
    <w:rsid w:val="000E3DBD"/>
    <w:rsid w:val="000E41A0"/>
    <w:rsid w:val="000E422A"/>
    <w:rsid w:val="000E4244"/>
    <w:rsid w:val="000E4A2C"/>
    <w:rsid w:val="000E4D15"/>
    <w:rsid w:val="000E4F8F"/>
    <w:rsid w:val="000E5803"/>
    <w:rsid w:val="000E5DB9"/>
    <w:rsid w:val="000E5FAC"/>
    <w:rsid w:val="000E6EDA"/>
    <w:rsid w:val="000E6FCA"/>
    <w:rsid w:val="000E70D8"/>
    <w:rsid w:val="000E7182"/>
    <w:rsid w:val="000E77B0"/>
    <w:rsid w:val="000E78D2"/>
    <w:rsid w:val="000F13E8"/>
    <w:rsid w:val="000F2BE3"/>
    <w:rsid w:val="000F35FC"/>
    <w:rsid w:val="000F3A17"/>
    <w:rsid w:val="000F3CC3"/>
    <w:rsid w:val="000F3FB1"/>
    <w:rsid w:val="000F414F"/>
    <w:rsid w:val="000F4956"/>
    <w:rsid w:val="000F4B7C"/>
    <w:rsid w:val="000F4C14"/>
    <w:rsid w:val="000F569F"/>
    <w:rsid w:val="000F5987"/>
    <w:rsid w:val="000F5B11"/>
    <w:rsid w:val="000F6051"/>
    <w:rsid w:val="000F63C1"/>
    <w:rsid w:val="000F65D3"/>
    <w:rsid w:val="000F6752"/>
    <w:rsid w:val="000F70B9"/>
    <w:rsid w:val="000F71EC"/>
    <w:rsid w:val="000F73DD"/>
    <w:rsid w:val="000F745B"/>
    <w:rsid w:val="0010058F"/>
    <w:rsid w:val="001014E3"/>
    <w:rsid w:val="00101D93"/>
    <w:rsid w:val="00101F53"/>
    <w:rsid w:val="00101F67"/>
    <w:rsid w:val="00102303"/>
    <w:rsid w:val="0010289B"/>
    <w:rsid w:val="00102912"/>
    <w:rsid w:val="00102A76"/>
    <w:rsid w:val="00103CB3"/>
    <w:rsid w:val="00103E78"/>
    <w:rsid w:val="00104566"/>
    <w:rsid w:val="0010499D"/>
    <w:rsid w:val="001049E6"/>
    <w:rsid w:val="00105124"/>
    <w:rsid w:val="00105D44"/>
    <w:rsid w:val="00106093"/>
    <w:rsid w:val="00106891"/>
    <w:rsid w:val="0010718F"/>
    <w:rsid w:val="00107257"/>
    <w:rsid w:val="00107326"/>
    <w:rsid w:val="001077C4"/>
    <w:rsid w:val="001101CD"/>
    <w:rsid w:val="00110AE1"/>
    <w:rsid w:val="00111805"/>
    <w:rsid w:val="00111919"/>
    <w:rsid w:val="00112B23"/>
    <w:rsid w:val="001133C8"/>
    <w:rsid w:val="0011383E"/>
    <w:rsid w:val="0011406F"/>
    <w:rsid w:val="00114128"/>
    <w:rsid w:val="00114E8D"/>
    <w:rsid w:val="00115597"/>
    <w:rsid w:val="0011583E"/>
    <w:rsid w:val="001161A0"/>
    <w:rsid w:val="001166B1"/>
    <w:rsid w:val="00116F1A"/>
    <w:rsid w:val="00116F60"/>
    <w:rsid w:val="0011702E"/>
    <w:rsid w:val="0011715C"/>
    <w:rsid w:val="00120326"/>
    <w:rsid w:val="00120350"/>
    <w:rsid w:val="001206C2"/>
    <w:rsid w:val="001209A2"/>
    <w:rsid w:val="0012116C"/>
    <w:rsid w:val="00121F41"/>
    <w:rsid w:val="00122515"/>
    <w:rsid w:val="00122E93"/>
    <w:rsid w:val="001231C3"/>
    <w:rsid w:val="00123776"/>
    <w:rsid w:val="00123DF5"/>
    <w:rsid w:val="00124A19"/>
    <w:rsid w:val="001250D8"/>
    <w:rsid w:val="001250FB"/>
    <w:rsid w:val="00125A7A"/>
    <w:rsid w:val="00125E0E"/>
    <w:rsid w:val="00125EFF"/>
    <w:rsid w:val="0012629F"/>
    <w:rsid w:val="0012630B"/>
    <w:rsid w:val="00126C4F"/>
    <w:rsid w:val="00126E01"/>
    <w:rsid w:val="00127C9B"/>
    <w:rsid w:val="00127D37"/>
    <w:rsid w:val="00130104"/>
    <w:rsid w:val="001301A7"/>
    <w:rsid w:val="00130412"/>
    <w:rsid w:val="001305B6"/>
    <w:rsid w:val="001306AC"/>
    <w:rsid w:val="00130B9B"/>
    <w:rsid w:val="00130FF2"/>
    <w:rsid w:val="001310A1"/>
    <w:rsid w:val="001311D7"/>
    <w:rsid w:val="0013213D"/>
    <w:rsid w:val="0013248D"/>
    <w:rsid w:val="00132866"/>
    <w:rsid w:val="001328F1"/>
    <w:rsid w:val="00132F7E"/>
    <w:rsid w:val="00132FF2"/>
    <w:rsid w:val="00134EF2"/>
    <w:rsid w:val="001359F9"/>
    <w:rsid w:val="00135C1D"/>
    <w:rsid w:val="001361FB"/>
    <w:rsid w:val="0013661D"/>
    <w:rsid w:val="00136A3D"/>
    <w:rsid w:val="00137208"/>
    <w:rsid w:val="001375E4"/>
    <w:rsid w:val="00137A3A"/>
    <w:rsid w:val="00140085"/>
    <w:rsid w:val="001406FE"/>
    <w:rsid w:val="00140E2C"/>
    <w:rsid w:val="001413A1"/>
    <w:rsid w:val="001426D7"/>
    <w:rsid w:val="00143356"/>
    <w:rsid w:val="001433C3"/>
    <w:rsid w:val="00143BA9"/>
    <w:rsid w:val="00144279"/>
    <w:rsid w:val="00144425"/>
    <w:rsid w:val="00144864"/>
    <w:rsid w:val="00144AFE"/>
    <w:rsid w:val="00144B07"/>
    <w:rsid w:val="00145985"/>
    <w:rsid w:val="00145A5E"/>
    <w:rsid w:val="00145AE5"/>
    <w:rsid w:val="00145D35"/>
    <w:rsid w:val="00145D79"/>
    <w:rsid w:val="00145FA7"/>
    <w:rsid w:val="00145FBF"/>
    <w:rsid w:val="00146224"/>
    <w:rsid w:val="00146355"/>
    <w:rsid w:val="00146942"/>
    <w:rsid w:val="00146AD3"/>
    <w:rsid w:val="00146D87"/>
    <w:rsid w:val="00146F3D"/>
    <w:rsid w:val="00147246"/>
    <w:rsid w:val="0014764A"/>
    <w:rsid w:val="001476A1"/>
    <w:rsid w:val="001476E5"/>
    <w:rsid w:val="00150365"/>
    <w:rsid w:val="00150601"/>
    <w:rsid w:val="00150A5C"/>
    <w:rsid w:val="00150D50"/>
    <w:rsid w:val="00151796"/>
    <w:rsid w:val="0015189A"/>
    <w:rsid w:val="001519AA"/>
    <w:rsid w:val="0015230D"/>
    <w:rsid w:val="00152C6E"/>
    <w:rsid w:val="00152CAE"/>
    <w:rsid w:val="00152D78"/>
    <w:rsid w:val="001533E2"/>
    <w:rsid w:val="00153627"/>
    <w:rsid w:val="001537A2"/>
    <w:rsid w:val="00154066"/>
    <w:rsid w:val="00154C78"/>
    <w:rsid w:val="001552EA"/>
    <w:rsid w:val="00155D14"/>
    <w:rsid w:val="00156AB2"/>
    <w:rsid w:val="00156B45"/>
    <w:rsid w:val="00156BD5"/>
    <w:rsid w:val="00156EF7"/>
    <w:rsid w:val="00156F1E"/>
    <w:rsid w:val="001578B1"/>
    <w:rsid w:val="00157C26"/>
    <w:rsid w:val="001602DD"/>
    <w:rsid w:val="001603CF"/>
    <w:rsid w:val="00160680"/>
    <w:rsid w:val="00160E50"/>
    <w:rsid w:val="00162046"/>
    <w:rsid w:val="00162315"/>
    <w:rsid w:val="001637F4"/>
    <w:rsid w:val="0016386F"/>
    <w:rsid w:val="00163B7D"/>
    <w:rsid w:val="00163D9E"/>
    <w:rsid w:val="00164546"/>
    <w:rsid w:val="00164C35"/>
    <w:rsid w:val="00164EA6"/>
    <w:rsid w:val="001653B0"/>
    <w:rsid w:val="001655B3"/>
    <w:rsid w:val="001655CD"/>
    <w:rsid w:val="00166E6F"/>
    <w:rsid w:val="00167190"/>
    <w:rsid w:val="001676AD"/>
    <w:rsid w:val="00167837"/>
    <w:rsid w:val="001700D8"/>
    <w:rsid w:val="0017183A"/>
    <w:rsid w:val="00171B2A"/>
    <w:rsid w:val="00171D79"/>
    <w:rsid w:val="0017270D"/>
    <w:rsid w:val="00172A95"/>
    <w:rsid w:val="00173011"/>
    <w:rsid w:val="00173B97"/>
    <w:rsid w:val="00173D4C"/>
    <w:rsid w:val="0017415D"/>
    <w:rsid w:val="001742F7"/>
    <w:rsid w:val="001743B7"/>
    <w:rsid w:val="00174779"/>
    <w:rsid w:val="00174888"/>
    <w:rsid w:val="00175087"/>
    <w:rsid w:val="0017537B"/>
    <w:rsid w:val="001754E9"/>
    <w:rsid w:val="0017595E"/>
    <w:rsid w:val="00176103"/>
    <w:rsid w:val="00176A2B"/>
    <w:rsid w:val="00176AA7"/>
    <w:rsid w:val="001774E4"/>
    <w:rsid w:val="0017761C"/>
    <w:rsid w:val="00177C94"/>
    <w:rsid w:val="00177F2C"/>
    <w:rsid w:val="001804A6"/>
    <w:rsid w:val="00180A58"/>
    <w:rsid w:val="00180E86"/>
    <w:rsid w:val="00180E9A"/>
    <w:rsid w:val="0018129E"/>
    <w:rsid w:val="00181915"/>
    <w:rsid w:val="00182113"/>
    <w:rsid w:val="00182132"/>
    <w:rsid w:val="001822E6"/>
    <w:rsid w:val="001829B3"/>
    <w:rsid w:val="00182C38"/>
    <w:rsid w:val="00182CCE"/>
    <w:rsid w:val="0018316D"/>
    <w:rsid w:val="00183379"/>
    <w:rsid w:val="001839AB"/>
    <w:rsid w:val="001842FC"/>
    <w:rsid w:val="0018490C"/>
    <w:rsid w:val="00184D86"/>
    <w:rsid w:val="00184F2D"/>
    <w:rsid w:val="0018561C"/>
    <w:rsid w:val="00185779"/>
    <w:rsid w:val="00186B13"/>
    <w:rsid w:val="00186FDE"/>
    <w:rsid w:val="0018747A"/>
    <w:rsid w:val="00187DDA"/>
    <w:rsid w:val="00187E0F"/>
    <w:rsid w:val="001901FF"/>
    <w:rsid w:val="00190294"/>
    <w:rsid w:val="00190385"/>
    <w:rsid w:val="00190559"/>
    <w:rsid w:val="00190F49"/>
    <w:rsid w:val="00191303"/>
    <w:rsid w:val="00191329"/>
    <w:rsid w:val="00191534"/>
    <w:rsid w:val="0019179F"/>
    <w:rsid w:val="00191A24"/>
    <w:rsid w:val="00191A64"/>
    <w:rsid w:val="00191FC3"/>
    <w:rsid w:val="0019213C"/>
    <w:rsid w:val="00192534"/>
    <w:rsid w:val="00192AAF"/>
    <w:rsid w:val="00192F51"/>
    <w:rsid w:val="00193A11"/>
    <w:rsid w:val="00193F82"/>
    <w:rsid w:val="00194415"/>
    <w:rsid w:val="00194E8A"/>
    <w:rsid w:val="00194F8E"/>
    <w:rsid w:val="00194FC8"/>
    <w:rsid w:val="0019558B"/>
    <w:rsid w:val="00195CAF"/>
    <w:rsid w:val="00195D0D"/>
    <w:rsid w:val="0019637A"/>
    <w:rsid w:val="001964F6"/>
    <w:rsid w:val="00196608"/>
    <w:rsid w:val="001968D8"/>
    <w:rsid w:val="00197C45"/>
    <w:rsid w:val="00197F82"/>
    <w:rsid w:val="001A05E0"/>
    <w:rsid w:val="001A0837"/>
    <w:rsid w:val="001A090D"/>
    <w:rsid w:val="001A16E3"/>
    <w:rsid w:val="001A17D3"/>
    <w:rsid w:val="001A1F36"/>
    <w:rsid w:val="001A243D"/>
    <w:rsid w:val="001A2581"/>
    <w:rsid w:val="001A2CF6"/>
    <w:rsid w:val="001A32DD"/>
    <w:rsid w:val="001A3601"/>
    <w:rsid w:val="001A3DBB"/>
    <w:rsid w:val="001A4D91"/>
    <w:rsid w:val="001A4EDB"/>
    <w:rsid w:val="001A5069"/>
    <w:rsid w:val="001A50A4"/>
    <w:rsid w:val="001A51F9"/>
    <w:rsid w:val="001A52A9"/>
    <w:rsid w:val="001A5508"/>
    <w:rsid w:val="001A5712"/>
    <w:rsid w:val="001A5896"/>
    <w:rsid w:val="001A5FE4"/>
    <w:rsid w:val="001A6369"/>
    <w:rsid w:val="001A67C0"/>
    <w:rsid w:val="001A7036"/>
    <w:rsid w:val="001A7050"/>
    <w:rsid w:val="001A71C8"/>
    <w:rsid w:val="001A7768"/>
    <w:rsid w:val="001A7815"/>
    <w:rsid w:val="001A7988"/>
    <w:rsid w:val="001B152D"/>
    <w:rsid w:val="001B1B6A"/>
    <w:rsid w:val="001B1B9D"/>
    <w:rsid w:val="001B22C7"/>
    <w:rsid w:val="001B24A6"/>
    <w:rsid w:val="001B274B"/>
    <w:rsid w:val="001B3B32"/>
    <w:rsid w:val="001B424A"/>
    <w:rsid w:val="001B42E5"/>
    <w:rsid w:val="001B4657"/>
    <w:rsid w:val="001B4A49"/>
    <w:rsid w:val="001B4CED"/>
    <w:rsid w:val="001B5181"/>
    <w:rsid w:val="001B60C2"/>
    <w:rsid w:val="001B69E8"/>
    <w:rsid w:val="001B6AF8"/>
    <w:rsid w:val="001B7399"/>
    <w:rsid w:val="001B742D"/>
    <w:rsid w:val="001B7599"/>
    <w:rsid w:val="001B7876"/>
    <w:rsid w:val="001B78D7"/>
    <w:rsid w:val="001B7AED"/>
    <w:rsid w:val="001C026E"/>
    <w:rsid w:val="001C1FD8"/>
    <w:rsid w:val="001C1FE8"/>
    <w:rsid w:val="001C26E6"/>
    <w:rsid w:val="001C2836"/>
    <w:rsid w:val="001C2843"/>
    <w:rsid w:val="001C2D4C"/>
    <w:rsid w:val="001C3517"/>
    <w:rsid w:val="001C3782"/>
    <w:rsid w:val="001C3933"/>
    <w:rsid w:val="001C3EB7"/>
    <w:rsid w:val="001C3FE1"/>
    <w:rsid w:val="001C42B6"/>
    <w:rsid w:val="001C5826"/>
    <w:rsid w:val="001C5DA3"/>
    <w:rsid w:val="001C5DEE"/>
    <w:rsid w:val="001C6CA9"/>
    <w:rsid w:val="001C7610"/>
    <w:rsid w:val="001C78C4"/>
    <w:rsid w:val="001D0634"/>
    <w:rsid w:val="001D0A29"/>
    <w:rsid w:val="001D0D52"/>
    <w:rsid w:val="001D0F0D"/>
    <w:rsid w:val="001D1A51"/>
    <w:rsid w:val="001D1E4D"/>
    <w:rsid w:val="001D1E89"/>
    <w:rsid w:val="001D2DBA"/>
    <w:rsid w:val="001D42D8"/>
    <w:rsid w:val="001D4F00"/>
    <w:rsid w:val="001D4F04"/>
    <w:rsid w:val="001D5817"/>
    <w:rsid w:val="001D5DB9"/>
    <w:rsid w:val="001D6834"/>
    <w:rsid w:val="001D6EB3"/>
    <w:rsid w:val="001D6F4A"/>
    <w:rsid w:val="001D74F5"/>
    <w:rsid w:val="001D76D9"/>
    <w:rsid w:val="001D7F3B"/>
    <w:rsid w:val="001E0880"/>
    <w:rsid w:val="001E08D8"/>
    <w:rsid w:val="001E0C0F"/>
    <w:rsid w:val="001E0D8C"/>
    <w:rsid w:val="001E0DAA"/>
    <w:rsid w:val="001E191F"/>
    <w:rsid w:val="001E1E44"/>
    <w:rsid w:val="001E1F89"/>
    <w:rsid w:val="001E223D"/>
    <w:rsid w:val="001E2691"/>
    <w:rsid w:val="001E2DD7"/>
    <w:rsid w:val="001E2EDA"/>
    <w:rsid w:val="001E2EF0"/>
    <w:rsid w:val="001E3004"/>
    <w:rsid w:val="001E3CBC"/>
    <w:rsid w:val="001E3D60"/>
    <w:rsid w:val="001E41CA"/>
    <w:rsid w:val="001E45E0"/>
    <w:rsid w:val="001E4664"/>
    <w:rsid w:val="001E4B19"/>
    <w:rsid w:val="001E4FDB"/>
    <w:rsid w:val="001E5471"/>
    <w:rsid w:val="001E5586"/>
    <w:rsid w:val="001E57E9"/>
    <w:rsid w:val="001E5BD5"/>
    <w:rsid w:val="001E5D24"/>
    <w:rsid w:val="001E67FC"/>
    <w:rsid w:val="001E709E"/>
    <w:rsid w:val="001E7EA8"/>
    <w:rsid w:val="001F083B"/>
    <w:rsid w:val="001F17D5"/>
    <w:rsid w:val="001F1811"/>
    <w:rsid w:val="001F1882"/>
    <w:rsid w:val="001F2099"/>
    <w:rsid w:val="001F25AF"/>
    <w:rsid w:val="001F266E"/>
    <w:rsid w:val="001F28EC"/>
    <w:rsid w:val="001F31AF"/>
    <w:rsid w:val="001F39C2"/>
    <w:rsid w:val="001F3CFB"/>
    <w:rsid w:val="001F4237"/>
    <w:rsid w:val="001F44E1"/>
    <w:rsid w:val="001F4B1B"/>
    <w:rsid w:val="001F5002"/>
    <w:rsid w:val="001F53B6"/>
    <w:rsid w:val="001F57FC"/>
    <w:rsid w:val="001F612C"/>
    <w:rsid w:val="001F6524"/>
    <w:rsid w:val="001F6614"/>
    <w:rsid w:val="001F69BB"/>
    <w:rsid w:val="001F7A1E"/>
    <w:rsid w:val="001F7ECE"/>
    <w:rsid w:val="001F7F14"/>
    <w:rsid w:val="001F7F87"/>
    <w:rsid w:val="00200141"/>
    <w:rsid w:val="002005C1"/>
    <w:rsid w:val="002005CD"/>
    <w:rsid w:val="002007A1"/>
    <w:rsid w:val="002015BA"/>
    <w:rsid w:val="00202158"/>
    <w:rsid w:val="0020250A"/>
    <w:rsid w:val="0020288A"/>
    <w:rsid w:val="00202A90"/>
    <w:rsid w:val="00202E26"/>
    <w:rsid w:val="002030D7"/>
    <w:rsid w:val="0020312D"/>
    <w:rsid w:val="00203312"/>
    <w:rsid w:val="00203BFF"/>
    <w:rsid w:val="00203FB5"/>
    <w:rsid w:val="00204C5F"/>
    <w:rsid w:val="00205021"/>
    <w:rsid w:val="002051C7"/>
    <w:rsid w:val="0020554F"/>
    <w:rsid w:val="0020558E"/>
    <w:rsid w:val="002063B1"/>
    <w:rsid w:val="002067B0"/>
    <w:rsid w:val="00206C02"/>
    <w:rsid w:val="00206C14"/>
    <w:rsid w:val="0021075A"/>
    <w:rsid w:val="002107E6"/>
    <w:rsid w:val="0021087D"/>
    <w:rsid w:val="00210BC5"/>
    <w:rsid w:val="002124A7"/>
    <w:rsid w:val="002124DC"/>
    <w:rsid w:val="002125AD"/>
    <w:rsid w:val="00213207"/>
    <w:rsid w:val="00213640"/>
    <w:rsid w:val="00214DDD"/>
    <w:rsid w:val="00214F8F"/>
    <w:rsid w:val="00215132"/>
    <w:rsid w:val="002151D6"/>
    <w:rsid w:val="002154C4"/>
    <w:rsid w:val="002162B0"/>
    <w:rsid w:val="00216328"/>
    <w:rsid w:val="00216F2C"/>
    <w:rsid w:val="002170D2"/>
    <w:rsid w:val="002178FF"/>
    <w:rsid w:val="00217AAE"/>
    <w:rsid w:val="00217B7E"/>
    <w:rsid w:val="00217D7F"/>
    <w:rsid w:val="0022002E"/>
    <w:rsid w:val="00220279"/>
    <w:rsid w:val="00221061"/>
    <w:rsid w:val="002225D4"/>
    <w:rsid w:val="002226AC"/>
    <w:rsid w:val="0022319C"/>
    <w:rsid w:val="00223224"/>
    <w:rsid w:val="00223238"/>
    <w:rsid w:val="00223A2C"/>
    <w:rsid w:val="00223B41"/>
    <w:rsid w:val="00224B39"/>
    <w:rsid w:val="0022507A"/>
    <w:rsid w:val="00225112"/>
    <w:rsid w:val="00225450"/>
    <w:rsid w:val="002255C4"/>
    <w:rsid w:val="0022594F"/>
    <w:rsid w:val="00225E1B"/>
    <w:rsid w:val="002260F2"/>
    <w:rsid w:val="00226237"/>
    <w:rsid w:val="0022699E"/>
    <w:rsid w:val="00226E79"/>
    <w:rsid w:val="00226F01"/>
    <w:rsid w:val="00227361"/>
    <w:rsid w:val="00227A62"/>
    <w:rsid w:val="002303C5"/>
    <w:rsid w:val="002307A8"/>
    <w:rsid w:val="002313EC"/>
    <w:rsid w:val="00231625"/>
    <w:rsid w:val="00231D05"/>
    <w:rsid w:val="00231FB3"/>
    <w:rsid w:val="00232E37"/>
    <w:rsid w:val="00233291"/>
    <w:rsid w:val="002335CE"/>
    <w:rsid w:val="002336EA"/>
    <w:rsid w:val="00233A12"/>
    <w:rsid w:val="00233E8F"/>
    <w:rsid w:val="00234C3D"/>
    <w:rsid w:val="00234F29"/>
    <w:rsid w:val="0023599C"/>
    <w:rsid w:val="0023636D"/>
    <w:rsid w:val="00236771"/>
    <w:rsid w:val="00236913"/>
    <w:rsid w:val="002370AB"/>
    <w:rsid w:val="0023757D"/>
    <w:rsid w:val="002375EB"/>
    <w:rsid w:val="00237639"/>
    <w:rsid w:val="00237649"/>
    <w:rsid w:val="002377F0"/>
    <w:rsid w:val="00237C38"/>
    <w:rsid w:val="00237F6B"/>
    <w:rsid w:val="002409A3"/>
    <w:rsid w:val="00241901"/>
    <w:rsid w:val="00241C18"/>
    <w:rsid w:val="00241D4F"/>
    <w:rsid w:val="002422AA"/>
    <w:rsid w:val="00242444"/>
    <w:rsid w:val="002425B5"/>
    <w:rsid w:val="002429AF"/>
    <w:rsid w:val="00242B8E"/>
    <w:rsid w:val="002433E7"/>
    <w:rsid w:val="00243CAB"/>
    <w:rsid w:val="00243D14"/>
    <w:rsid w:val="0024417F"/>
    <w:rsid w:val="0024443C"/>
    <w:rsid w:val="0024488B"/>
    <w:rsid w:val="002449DA"/>
    <w:rsid w:val="00244EE0"/>
    <w:rsid w:val="002452B5"/>
    <w:rsid w:val="002452FA"/>
    <w:rsid w:val="002455BD"/>
    <w:rsid w:val="00245C41"/>
    <w:rsid w:val="00245DF1"/>
    <w:rsid w:val="0024660D"/>
    <w:rsid w:val="00246664"/>
    <w:rsid w:val="00246E88"/>
    <w:rsid w:val="00247E0A"/>
    <w:rsid w:val="00247F83"/>
    <w:rsid w:val="00250608"/>
    <w:rsid w:val="00250862"/>
    <w:rsid w:val="002509A9"/>
    <w:rsid w:val="00250A16"/>
    <w:rsid w:val="00250DEC"/>
    <w:rsid w:val="00251CAC"/>
    <w:rsid w:val="002523BF"/>
    <w:rsid w:val="002526D4"/>
    <w:rsid w:val="002529DF"/>
    <w:rsid w:val="00252C26"/>
    <w:rsid w:val="002531B4"/>
    <w:rsid w:val="002534FA"/>
    <w:rsid w:val="00253B2E"/>
    <w:rsid w:val="00253EFA"/>
    <w:rsid w:val="0025403F"/>
    <w:rsid w:val="0025476A"/>
    <w:rsid w:val="002549CD"/>
    <w:rsid w:val="0025566A"/>
    <w:rsid w:val="0025569D"/>
    <w:rsid w:val="002557CE"/>
    <w:rsid w:val="002559F9"/>
    <w:rsid w:val="00255B76"/>
    <w:rsid w:val="00255F6C"/>
    <w:rsid w:val="00256378"/>
    <w:rsid w:val="002563D0"/>
    <w:rsid w:val="002568A4"/>
    <w:rsid w:val="002568D6"/>
    <w:rsid w:val="00256A11"/>
    <w:rsid w:val="00256ACD"/>
    <w:rsid w:val="00256C24"/>
    <w:rsid w:val="00256E21"/>
    <w:rsid w:val="00256EEF"/>
    <w:rsid w:val="002574B8"/>
    <w:rsid w:val="00260010"/>
    <w:rsid w:val="002601E8"/>
    <w:rsid w:val="00260274"/>
    <w:rsid w:val="00260433"/>
    <w:rsid w:val="0026078F"/>
    <w:rsid w:val="0026087E"/>
    <w:rsid w:val="00260931"/>
    <w:rsid w:val="00260DF0"/>
    <w:rsid w:val="002612C9"/>
    <w:rsid w:val="00261443"/>
    <w:rsid w:val="0026145C"/>
    <w:rsid w:val="00261715"/>
    <w:rsid w:val="00261A31"/>
    <w:rsid w:val="00261AB1"/>
    <w:rsid w:val="00262306"/>
    <w:rsid w:val="00262917"/>
    <w:rsid w:val="00262C8F"/>
    <w:rsid w:val="00262FC2"/>
    <w:rsid w:val="0026343A"/>
    <w:rsid w:val="00263A3A"/>
    <w:rsid w:val="00263C63"/>
    <w:rsid w:val="00263E2E"/>
    <w:rsid w:val="002640AE"/>
    <w:rsid w:val="002644B9"/>
    <w:rsid w:val="00264AE8"/>
    <w:rsid w:val="002652BC"/>
    <w:rsid w:val="00265E81"/>
    <w:rsid w:val="00266BEB"/>
    <w:rsid w:val="002672DB"/>
    <w:rsid w:val="002675C3"/>
    <w:rsid w:val="00267725"/>
    <w:rsid w:val="00270267"/>
    <w:rsid w:val="0027074E"/>
    <w:rsid w:val="00270BFC"/>
    <w:rsid w:val="00271A71"/>
    <w:rsid w:val="00271ED3"/>
    <w:rsid w:val="00272341"/>
    <w:rsid w:val="00272C00"/>
    <w:rsid w:val="00272D9E"/>
    <w:rsid w:val="002730F6"/>
    <w:rsid w:val="00273CFC"/>
    <w:rsid w:val="002748F0"/>
    <w:rsid w:val="00274994"/>
    <w:rsid w:val="00274F2A"/>
    <w:rsid w:val="002752E7"/>
    <w:rsid w:val="00275525"/>
    <w:rsid w:val="00275A77"/>
    <w:rsid w:val="00275E63"/>
    <w:rsid w:val="002762C2"/>
    <w:rsid w:val="00276437"/>
    <w:rsid w:val="002765C5"/>
    <w:rsid w:val="0027683C"/>
    <w:rsid w:val="00276F6C"/>
    <w:rsid w:val="00277286"/>
    <w:rsid w:val="00277FC5"/>
    <w:rsid w:val="00277FFE"/>
    <w:rsid w:val="0028045E"/>
    <w:rsid w:val="002814D4"/>
    <w:rsid w:val="00281762"/>
    <w:rsid w:val="00281803"/>
    <w:rsid w:val="002819CB"/>
    <w:rsid w:val="0028233D"/>
    <w:rsid w:val="00282E8B"/>
    <w:rsid w:val="002835F7"/>
    <w:rsid w:val="00283A69"/>
    <w:rsid w:val="00283AAA"/>
    <w:rsid w:val="00283F49"/>
    <w:rsid w:val="0028478B"/>
    <w:rsid w:val="00284D18"/>
    <w:rsid w:val="00284E92"/>
    <w:rsid w:val="0028590F"/>
    <w:rsid w:val="00286E43"/>
    <w:rsid w:val="00287279"/>
    <w:rsid w:val="00290A0F"/>
    <w:rsid w:val="0029169C"/>
    <w:rsid w:val="00291BEC"/>
    <w:rsid w:val="00292699"/>
    <w:rsid w:val="00292B90"/>
    <w:rsid w:val="00293816"/>
    <w:rsid w:val="0029394C"/>
    <w:rsid w:val="0029483D"/>
    <w:rsid w:val="00294ACD"/>
    <w:rsid w:val="00294B54"/>
    <w:rsid w:val="00294BDC"/>
    <w:rsid w:val="00295A1E"/>
    <w:rsid w:val="00295AA1"/>
    <w:rsid w:val="002963EE"/>
    <w:rsid w:val="00296E65"/>
    <w:rsid w:val="002A0228"/>
    <w:rsid w:val="002A0C54"/>
    <w:rsid w:val="002A0EB5"/>
    <w:rsid w:val="002A0F8E"/>
    <w:rsid w:val="002A1278"/>
    <w:rsid w:val="002A1C90"/>
    <w:rsid w:val="002A20B4"/>
    <w:rsid w:val="002A2E9E"/>
    <w:rsid w:val="002A320B"/>
    <w:rsid w:val="002A33C8"/>
    <w:rsid w:val="002A3489"/>
    <w:rsid w:val="002A37F3"/>
    <w:rsid w:val="002A38AD"/>
    <w:rsid w:val="002A3A3D"/>
    <w:rsid w:val="002A4381"/>
    <w:rsid w:val="002A4633"/>
    <w:rsid w:val="002A4A6E"/>
    <w:rsid w:val="002A4D0F"/>
    <w:rsid w:val="002A593F"/>
    <w:rsid w:val="002A59CE"/>
    <w:rsid w:val="002A5B55"/>
    <w:rsid w:val="002A698E"/>
    <w:rsid w:val="002A6C07"/>
    <w:rsid w:val="002A7111"/>
    <w:rsid w:val="002A72F6"/>
    <w:rsid w:val="002A7C19"/>
    <w:rsid w:val="002A7CA2"/>
    <w:rsid w:val="002A7FA4"/>
    <w:rsid w:val="002B0234"/>
    <w:rsid w:val="002B05C7"/>
    <w:rsid w:val="002B07A9"/>
    <w:rsid w:val="002B09F8"/>
    <w:rsid w:val="002B0B41"/>
    <w:rsid w:val="002B0C05"/>
    <w:rsid w:val="002B0C28"/>
    <w:rsid w:val="002B0CF7"/>
    <w:rsid w:val="002B1243"/>
    <w:rsid w:val="002B1634"/>
    <w:rsid w:val="002B1878"/>
    <w:rsid w:val="002B1C9C"/>
    <w:rsid w:val="002B1F37"/>
    <w:rsid w:val="002B2256"/>
    <w:rsid w:val="002B2478"/>
    <w:rsid w:val="002B2509"/>
    <w:rsid w:val="002B2E59"/>
    <w:rsid w:val="002B2F6D"/>
    <w:rsid w:val="002B3453"/>
    <w:rsid w:val="002B36FF"/>
    <w:rsid w:val="002B3BB1"/>
    <w:rsid w:val="002B3FE2"/>
    <w:rsid w:val="002B4012"/>
    <w:rsid w:val="002B44CD"/>
    <w:rsid w:val="002B510F"/>
    <w:rsid w:val="002B526C"/>
    <w:rsid w:val="002B5315"/>
    <w:rsid w:val="002B55AD"/>
    <w:rsid w:val="002B57DA"/>
    <w:rsid w:val="002B5821"/>
    <w:rsid w:val="002B6401"/>
    <w:rsid w:val="002B6806"/>
    <w:rsid w:val="002B74BB"/>
    <w:rsid w:val="002B75AE"/>
    <w:rsid w:val="002B7BD7"/>
    <w:rsid w:val="002C0464"/>
    <w:rsid w:val="002C0673"/>
    <w:rsid w:val="002C0737"/>
    <w:rsid w:val="002C0B6B"/>
    <w:rsid w:val="002C106B"/>
    <w:rsid w:val="002C1154"/>
    <w:rsid w:val="002C176F"/>
    <w:rsid w:val="002C1A09"/>
    <w:rsid w:val="002C2087"/>
    <w:rsid w:val="002C2106"/>
    <w:rsid w:val="002C2471"/>
    <w:rsid w:val="002C2A45"/>
    <w:rsid w:val="002C2BDE"/>
    <w:rsid w:val="002C345D"/>
    <w:rsid w:val="002C3578"/>
    <w:rsid w:val="002C38D5"/>
    <w:rsid w:val="002C39DF"/>
    <w:rsid w:val="002C3E8F"/>
    <w:rsid w:val="002C4056"/>
    <w:rsid w:val="002C40FE"/>
    <w:rsid w:val="002C4284"/>
    <w:rsid w:val="002C4367"/>
    <w:rsid w:val="002C4AA2"/>
    <w:rsid w:val="002C4FA5"/>
    <w:rsid w:val="002C6487"/>
    <w:rsid w:val="002C656F"/>
    <w:rsid w:val="002C68FE"/>
    <w:rsid w:val="002C6C7C"/>
    <w:rsid w:val="002C6E47"/>
    <w:rsid w:val="002C739B"/>
    <w:rsid w:val="002C7A82"/>
    <w:rsid w:val="002C7DFC"/>
    <w:rsid w:val="002C7FA7"/>
    <w:rsid w:val="002D00DA"/>
    <w:rsid w:val="002D0A33"/>
    <w:rsid w:val="002D0FDF"/>
    <w:rsid w:val="002D11B8"/>
    <w:rsid w:val="002D1390"/>
    <w:rsid w:val="002D1418"/>
    <w:rsid w:val="002D14CB"/>
    <w:rsid w:val="002D182D"/>
    <w:rsid w:val="002D1BF3"/>
    <w:rsid w:val="002D1D0F"/>
    <w:rsid w:val="002D2B4B"/>
    <w:rsid w:val="002D2F1E"/>
    <w:rsid w:val="002D302B"/>
    <w:rsid w:val="002D32A2"/>
    <w:rsid w:val="002D4074"/>
    <w:rsid w:val="002D4130"/>
    <w:rsid w:val="002D4DD6"/>
    <w:rsid w:val="002D5355"/>
    <w:rsid w:val="002D5BC9"/>
    <w:rsid w:val="002D5CBE"/>
    <w:rsid w:val="002D5F18"/>
    <w:rsid w:val="002D619B"/>
    <w:rsid w:val="002D6914"/>
    <w:rsid w:val="002D7715"/>
    <w:rsid w:val="002D7A86"/>
    <w:rsid w:val="002D7E30"/>
    <w:rsid w:val="002E0334"/>
    <w:rsid w:val="002E0341"/>
    <w:rsid w:val="002E05A5"/>
    <w:rsid w:val="002E0692"/>
    <w:rsid w:val="002E092C"/>
    <w:rsid w:val="002E09C7"/>
    <w:rsid w:val="002E1017"/>
    <w:rsid w:val="002E10A1"/>
    <w:rsid w:val="002E1191"/>
    <w:rsid w:val="002E1594"/>
    <w:rsid w:val="002E1929"/>
    <w:rsid w:val="002E19DF"/>
    <w:rsid w:val="002E2214"/>
    <w:rsid w:val="002E242B"/>
    <w:rsid w:val="002E334C"/>
    <w:rsid w:val="002E3466"/>
    <w:rsid w:val="002E3968"/>
    <w:rsid w:val="002E3D9A"/>
    <w:rsid w:val="002E4653"/>
    <w:rsid w:val="002E65D4"/>
    <w:rsid w:val="002E686C"/>
    <w:rsid w:val="002E6AA5"/>
    <w:rsid w:val="002E6B3B"/>
    <w:rsid w:val="002E72AC"/>
    <w:rsid w:val="002E74BD"/>
    <w:rsid w:val="002E7BD5"/>
    <w:rsid w:val="002E7DA9"/>
    <w:rsid w:val="002F010B"/>
    <w:rsid w:val="002F02AF"/>
    <w:rsid w:val="002F0336"/>
    <w:rsid w:val="002F0835"/>
    <w:rsid w:val="002F0A78"/>
    <w:rsid w:val="002F0ABD"/>
    <w:rsid w:val="002F1058"/>
    <w:rsid w:val="002F194F"/>
    <w:rsid w:val="002F2BDB"/>
    <w:rsid w:val="002F3514"/>
    <w:rsid w:val="002F4DB4"/>
    <w:rsid w:val="002F646D"/>
    <w:rsid w:val="002F6713"/>
    <w:rsid w:val="002F6BE2"/>
    <w:rsid w:val="002F6CE1"/>
    <w:rsid w:val="002F6D96"/>
    <w:rsid w:val="002F705C"/>
    <w:rsid w:val="002F7470"/>
    <w:rsid w:val="002F750C"/>
    <w:rsid w:val="002F7C52"/>
    <w:rsid w:val="002F7CF3"/>
    <w:rsid w:val="0030024F"/>
    <w:rsid w:val="00300B87"/>
    <w:rsid w:val="00300D1E"/>
    <w:rsid w:val="00300F30"/>
    <w:rsid w:val="00301312"/>
    <w:rsid w:val="003013E4"/>
    <w:rsid w:val="00301981"/>
    <w:rsid w:val="00301F78"/>
    <w:rsid w:val="003027DD"/>
    <w:rsid w:val="00302A4B"/>
    <w:rsid w:val="00303D75"/>
    <w:rsid w:val="0030421E"/>
    <w:rsid w:val="003045AC"/>
    <w:rsid w:val="003047B3"/>
    <w:rsid w:val="00304FBB"/>
    <w:rsid w:val="00305B4F"/>
    <w:rsid w:val="00306379"/>
    <w:rsid w:val="00306486"/>
    <w:rsid w:val="003069D6"/>
    <w:rsid w:val="0030721B"/>
    <w:rsid w:val="0030751E"/>
    <w:rsid w:val="00307C05"/>
    <w:rsid w:val="00310411"/>
    <w:rsid w:val="00310954"/>
    <w:rsid w:val="00310BC8"/>
    <w:rsid w:val="003119B5"/>
    <w:rsid w:val="00311B84"/>
    <w:rsid w:val="0031279B"/>
    <w:rsid w:val="00312DAC"/>
    <w:rsid w:val="00312F08"/>
    <w:rsid w:val="00312FA9"/>
    <w:rsid w:val="00313BC7"/>
    <w:rsid w:val="00313DBF"/>
    <w:rsid w:val="00313E15"/>
    <w:rsid w:val="00313FFB"/>
    <w:rsid w:val="003146CC"/>
    <w:rsid w:val="00314B86"/>
    <w:rsid w:val="00314B8F"/>
    <w:rsid w:val="00314D43"/>
    <w:rsid w:val="00314FBA"/>
    <w:rsid w:val="0031509D"/>
    <w:rsid w:val="0031553C"/>
    <w:rsid w:val="0031579B"/>
    <w:rsid w:val="00315D2D"/>
    <w:rsid w:val="0031619D"/>
    <w:rsid w:val="00316C8D"/>
    <w:rsid w:val="003172D0"/>
    <w:rsid w:val="00320426"/>
    <w:rsid w:val="0032066B"/>
    <w:rsid w:val="003208B9"/>
    <w:rsid w:val="00320A43"/>
    <w:rsid w:val="00321274"/>
    <w:rsid w:val="00321520"/>
    <w:rsid w:val="00322A10"/>
    <w:rsid w:val="00322A1F"/>
    <w:rsid w:val="00323325"/>
    <w:rsid w:val="003239C1"/>
    <w:rsid w:val="00323A19"/>
    <w:rsid w:val="00323AE8"/>
    <w:rsid w:val="0032410F"/>
    <w:rsid w:val="00324E19"/>
    <w:rsid w:val="003259B7"/>
    <w:rsid w:val="00325B24"/>
    <w:rsid w:val="00325CCE"/>
    <w:rsid w:val="003260DE"/>
    <w:rsid w:val="00326104"/>
    <w:rsid w:val="0032629C"/>
    <w:rsid w:val="00326355"/>
    <w:rsid w:val="003269E3"/>
    <w:rsid w:val="0032730E"/>
    <w:rsid w:val="00327D46"/>
    <w:rsid w:val="00327EC0"/>
    <w:rsid w:val="00330546"/>
    <w:rsid w:val="00330565"/>
    <w:rsid w:val="00330B38"/>
    <w:rsid w:val="003311DF"/>
    <w:rsid w:val="00331404"/>
    <w:rsid w:val="003314E9"/>
    <w:rsid w:val="00331CF0"/>
    <w:rsid w:val="00331FA5"/>
    <w:rsid w:val="0033301A"/>
    <w:rsid w:val="0033316A"/>
    <w:rsid w:val="00333405"/>
    <w:rsid w:val="003339F6"/>
    <w:rsid w:val="00333B30"/>
    <w:rsid w:val="00333CE1"/>
    <w:rsid w:val="00333DE7"/>
    <w:rsid w:val="0033469B"/>
    <w:rsid w:val="00334711"/>
    <w:rsid w:val="00334B9D"/>
    <w:rsid w:val="00335E92"/>
    <w:rsid w:val="003367E9"/>
    <w:rsid w:val="0033688B"/>
    <w:rsid w:val="00336BFB"/>
    <w:rsid w:val="0033747A"/>
    <w:rsid w:val="00337B88"/>
    <w:rsid w:val="00340747"/>
    <w:rsid w:val="0034097F"/>
    <w:rsid w:val="00341AD2"/>
    <w:rsid w:val="0034212B"/>
    <w:rsid w:val="003426FD"/>
    <w:rsid w:val="003429F8"/>
    <w:rsid w:val="00342B3C"/>
    <w:rsid w:val="0034326F"/>
    <w:rsid w:val="00343549"/>
    <w:rsid w:val="00343FE6"/>
    <w:rsid w:val="00344122"/>
    <w:rsid w:val="00344383"/>
    <w:rsid w:val="003445C1"/>
    <w:rsid w:val="003450BA"/>
    <w:rsid w:val="003451CA"/>
    <w:rsid w:val="003452E5"/>
    <w:rsid w:val="00345661"/>
    <w:rsid w:val="003459A1"/>
    <w:rsid w:val="00346168"/>
    <w:rsid w:val="0034675F"/>
    <w:rsid w:val="00347A33"/>
    <w:rsid w:val="00347A6A"/>
    <w:rsid w:val="00347DF7"/>
    <w:rsid w:val="00350124"/>
    <w:rsid w:val="00350389"/>
    <w:rsid w:val="003506B8"/>
    <w:rsid w:val="003508F6"/>
    <w:rsid w:val="00350BB2"/>
    <w:rsid w:val="00350D2B"/>
    <w:rsid w:val="00351465"/>
    <w:rsid w:val="003517EA"/>
    <w:rsid w:val="00352134"/>
    <w:rsid w:val="00352161"/>
    <w:rsid w:val="0035276E"/>
    <w:rsid w:val="00352C5A"/>
    <w:rsid w:val="00352D16"/>
    <w:rsid w:val="003532DF"/>
    <w:rsid w:val="00353778"/>
    <w:rsid w:val="00353A77"/>
    <w:rsid w:val="003543EE"/>
    <w:rsid w:val="0035450A"/>
    <w:rsid w:val="003547E5"/>
    <w:rsid w:val="00354D74"/>
    <w:rsid w:val="00354E2C"/>
    <w:rsid w:val="0035534A"/>
    <w:rsid w:val="00355745"/>
    <w:rsid w:val="003559B8"/>
    <w:rsid w:val="003565E3"/>
    <w:rsid w:val="00356729"/>
    <w:rsid w:val="00356B1D"/>
    <w:rsid w:val="00356BCB"/>
    <w:rsid w:val="00357563"/>
    <w:rsid w:val="00357957"/>
    <w:rsid w:val="00357B2C"/>
    <w:rsid w:val="00360848"/>
    <w:rsid w:val="00360F40"/>
    <w:rsid w:val="00361457"/>
    <w:rsid w:val="003618F7"/>
    <w:rsid w:val="00361DCC"/>
    <w:rsid w:val="0036244A"/>
    <w:rsid w:val="0036259C"/>
    <w:rsid w:val="003625D5"/>
    <w:rsid w:val="00363046"/>
    <w:rsid w:val="00363503"/>
    <w:rsid w:val="003637DB"/>
    <w:rsid w:val="003638A8"/>
    <w:rsid w:val="00363FF7"/>
    <w:rsid w:val="0036417A"/>
    <w:rsid w:val="00364768"/>
    <w:rsid w:val="0036486E"/>
    <w:rsid w:val="00364C2C"/>
    <w:rsid w:val="0036504A"/>
    <w:rsid w:val="00365247"/>
    <w:rsid w:val="00365C89"/>
    <w:rsid w:val="0036643D"/>
    <w:rsid w:val="0036644E"/>
    <w:rsid w:val="00366CB2"/>
    <w:rsid w:val="00366D09"/>
    <w:rsid w:val="00367703"/>
    <w:rsid w:val="0036775C"/>
    <w:rsid w:val="00370002"/>
    <w:rsid w:val="003703DC"/>
    <w:rsid w:val="003704F7"/>
    <w:rsid w:val="00370C39"/>
    <w:rsid w:val="00370CB7"/>
    <w:rsid w:val="00370D27"/>
    <w:rsid w:val="00372169"/>
    <w:rsid w:val="0037231B"/>
    <w:rsid w:val="00372355"/>
    <w:rsid w:val="00372A7C"/>
    <w:rsid w:val="00372C45"/>
    <w:rsid w:val="00373035"/>
    <w:rsid w:val="003733CD"/>
    <w:rsid w:val="00374005"/>
    <w:rsid w:val="003744AA"/>
    <w:rsid w:val="0037470B"/>
    <w:rsid w:val="00374A2C"/>
    <w:rsid w:val="00374BDF"/>
    <w:rsid w:val="00374D09"/>
    <w:rsid w:val="003751F9"/>
    <w:rsid w:val="00375B1B"/>
    <w:rsid w:val="00375BB5"/>
    <w:rsid w:val="00375C8C"/>
    <w:rsid w:val="00375FBC"/>
    <w:rsid w:val="003761A5"/>
    <w:rsid w:val="00376D4A"/>
    <w:rsid w:val="00376F79"/>
    <w:rsid w:val="00377BA6"/>
    <w:rsid w:val="00377CC8"/>
    <w:rsid w:val="003804A2"/>
    <w:rsid w:val="00381103"/>
    <w:rsid w:val="00381160"/>
    <w:rsid w:val="003817ED"/>
    <w:rsid w:val="00381A1D"/>
    <w:rsid w:val="00381E05"/>
    <w:rsid w:val="00382A31"/>
    <w:rsid w:val="00382CFF"/>
    <w:rsid w:val="00383609"/>
    <w:rsid w:val="00383A80"/>
    <w:rsid w:val="00384107"/>
    <w:rsid w:val="00384523"/>
    <w:rsid w:val="0038471A"/>
    <w:rsid w:val="0038498F"/>
    <w:rsid w:val="00384A5F"/>
    <w:rsid w:val="00384CBB"/>
    <w:rsid w:val="00384E6F"/>
    <w:rsid w:val="00385659"/>
    <w:rsid w:val="00385B6E"/>
    <w:rsid w:val="00385E9B"/>
    <w:rsid w:val="00386019"/>
    <w:rsid w:val="00386E56"/>
    <w:rsid w:val="00386F12"/>
    <w:rsid w:val="003872FB"/>
    <w:rsid w:val="003874F0"/>
    <w:rsid w:val="003900D3"/>
    <w:rsid w:val="00390449"/>
    <w:rsid w:val="0039071B"/>
    <w:rsid w:val="00390842"/>
    <w:rsid w:val="00390B18"/>
    <w:rsid w:val="00390CE3"/>
    <w:rsid w:val="00390D78"/>
    <w:rsid w:val="00391158"/>
    <w:rsid w:val="0039140C"/>
    <w:rsid w:val="00391AD9"/>
    <w:rsid w:val="00391FCB"/>
    <w:rsid w:val="00392081"/>
    <w:rsid w:val="003922E6"/>
    <w:rsid w:val="0039284B"/>
    <w:rsid w:val="003931E8"/>
    <w:rsid w:val="0039338F"/>
    <w:rsid w:val="0039385C"/>
    <w:rsid w:val="0039440E"/>
    <w:rsid w:val="003954AA"/>
    <w:rsid w:val="003959ED"/>
    <w:rsid w:val="00395BE3"/>
    <w:rsid w:val="00395CDC"/>
    <w:rsid w:val="00395D69"/>
    <w:rsid w:val="00395EC6"/>
    <w:rsid w:val="0039600D"/>
    <w:rsid w:val="003962F0"/>
    <w:rsid w:val="003964AE"/>
    <w:rsid w:val="003965B1"/>
    <w:rsid w:val="00396788"/>
    <w:rsid w:val="003967EA"/>
    <w:rsid w:val="003968F1"/>
    <w:rsid w:val="003968FD"/>
    <w:rsid w:val="003971DB"/>
    <w:rsid w:val="003975A8"/>
    <w:rsid w:val="003977D6"/>
    <w:rsid w:val="003978C5"/>
    <w:rsid w:val="003A02A6"/>
    <w:rsid w:val="003A02C3"/>
    <w:rsid w:val="003A12DE"/>
    <w:rsid w:val="003A2330"/>
    <w:rsid w:val="003A362D"/>
    <w:rsid w:val="003A4013"/>
    <w:rsid w:val="003A515F"/>
    <w:rsid w:val="003A5255"/>
    <w:rsid w:val="003A557F"/>
    <w:rsid w:val="003A55E8"/>
    <w:rsid w:val="003A56D6"/>
    <w:rsid w:val="003A56F3"/>
    <w:rsid w:val="003A5EDA"/>
    <w:rsid w:val="003A63C1"/>
    <w:rsid w:val="003A65A6"/>
    <w:rsid w:val="003A65CE"/>
    <w:rsid w:val="003A6E19"/>
    <w:rsid w:val="003A70C9"/>
    <w:rsid w:val="003A7A1B"/>
    <w:rsid w:val="003B0050"/>
    <w:rsid w:val="003B03B2"/>
    <w:rsid w:val="003B0769"/>
    <w:rsid w:val="003B1066"/>
    <w:rsid w:val="003B11CE"/>
    <w:rsid w:val="003B1307"/>
    <w:rsid w:val="003B1877"/>
    <w:rsid w:val="003B1E46"/>
    <w:rsid w:val="003B207A"/>
    <w:rsid w:val="003B29B3"/>
    <w:rsid w:val="003B2F7F"/>
    <w:rsid w:val="003B3252"/>
    <w:rsid w:val="003B3728"/>
    <w:rsid w:val="003B3BCC"/>
    <w:rsid w:val="003B3C38"/>
    <w:rsid w:val="003B4100"/>
    <w:rsid w:val="003B426C"/>
    <w:rsid w:val="003B44B7"/>
    <w:rsid w:val="003B44BB"/>
    <w:rsid w:val="003B471E"/>
    <w:rsid w:val="003B4933"/>
    <w:rsid w:val="003B4C37"/>
    <w:rsid w:val="003B4C39"/>
    <w:rsid w:val="003B5411"/>
    <w:rsid w:val="003B5974"/>
    <w:rsid w:val="003B5A1A"/>
    <w:rsid w:val="003B5CC4"/>
    <w:rsid w:val="003B65B2"/>
    <w:rsid w:val="003B6A43"/>
    <w:rsid w:val="003B6C91"/>
    <w:rsid w:val="003B6E1A"/>
    <w:rsid w:val="003B7382"/>
    <w:rsid w:val="003B7D59"/>
    <w:rsid w:val="003C061E"/>
    <w:rsid w:val="003C099C"/>
    <w:rsid w:val="003C1810"/>
    <w:rsid w:val="003C1894"/>
    <w:rsid w:val="003C196D"/>
    <w:rsid w:val="003C19B6"/>
    <w:rsid w:val="003C1B95"/>
    <w:rsid w:val="003C1D99"/>
    <w:rsid w:val="003C2175"/>
    <w:rsid w:val="003C23D5"/>
    <w:rsid w:val="003C2A3C"/>
    <w:rsid w:val="003C2C1B"/>
    <w:rsid w:val="003C3003"/>
    <w:rsid w:val="003C32C5"/>
    <w:rsid w:val="003C3A30"/>
    <w:rsid w:val="003C4060"/>
    <w:rsid w:val="003C4236"/>
    <w:rsid w:val="003C4651"/>
    <w:rsid w:val="003C4B86"/>
    <w:rsid w:val="003C4B90"/>
    <w:rsid w:val="003C5693"/>
    <w:rsid w:val="003C5F33"/>
    <w:rsid w:val="003C60DE"/>
    <w:rsid w:val="003C633A"/>
    <w:rsid w:val="003C633F"/>
    <w:rsid w:val="003C655D"/>
    <w:rsid w:val="003C696B"/>
    <w:rsid w:val="003C69B2"/>
    <w:rsid w:val="003C6C1B"/>
    <w:rsid w:val="003C6D05"/>
    <w:rsid w:val="003C7151"/>
    <w:rsid w:val="003C769E"/>
    <w:rsid w:val="003C791C"/>
    <w:rsid w:val="003C79DA"/>
    <w:rsid w:val="003D0144"/>
    <w:rsid w:val="003D0568"/>
    <w:rsid w:val="003D08C5"/>
    <w:rsid w:val="003D0A63"/>
    <w:rsid w:val="003D0D36"/>
    <w:rsid w:val="003D0F2B"/>
    <w:rsid w:val="003D1600"/>
    <w:rsid w:val="003D1A70"/>
    <w:rsid w:val="003D1A94"/>
    <w:rsid w:val="003D258B"/>
    <w:rsid w:val="003D2775"/>
    <w:rsid w:val="003D27D5"/>
    <w:rsid w:val="003D2CAF"/>
    <w:rsid w:val="003D3788"/>
    <w:rsid w:val="003D3B35"/>
    <w:rsid w:val="003D3C88"/>
    <w:rsid w:val="003D459C"/>
    <w:rsid w:val="003D45AF"/>
    <w:rsid w:val="003D4729"/>
    <w:rsid w:val="003D49C1"/>
    <w:rsid w:val="003D4C0E"/>
    <w:rsid w:val="003D5121"/>
    <w:rsid w:val="003D58DF"/>
    <w:rsid w:val="003D74DE"/>
    <w:rsid w:val="003D7606"/>
    <w:rsid w:val="003D79DD"/>
    <w:rsid w:val="003D7A98"/>
    <w:rsid w:val="003D7B67"/>
    <w:rsid w:val="003D7E2D"/>
    <w:rsid w:val="003E07AC"/>
    <w:rsid w:val="003E0B74"/>
    <w:rsid w:val="003E0CA2"/>
    <w:rsid w:val="003E0DC0"/>
    <w:rsid w:val="003E1212"/>
    <w:rsid w:val="003E1A2F"/>
    <w:rsid w:val="003E1ACE"/>
    <w:rsid w:val="003E30AF"/>
    <w:rsid w:val="003E3244"/>
    <w:rsid w:val="003E3CA1"/>
    <w:rsid w:val="003E43E7"/>
    <w:rsid w:val="003E4A78"/>
    <w:rsid w:val="003E5299"/>
    <w:rsid w:val="003E53FF"/>
    <w:rsid w:val="003E5724"/>
    <w:rsid w:val="003E57F5"/>
    <w:rsid w:val="003E594B"/>
    <w:rsid w:val="003E5A15"/>
    <w:rsid w:val="003E5D9E"/>
    <w:rsid w:val="003E6745"/>
    <w:rsid w:val="003E691A"/>
    <w:rsid w:val="003E7071"/>
    <w:rsid w:val="003E7578"/>
    <w:rsid w:val="003F0264"/>
    <w:rsid w:val="003F0533"/>
    <w:rsid w:val="003F06F8"/>
    <w:rsid w:val="003F0B79"/>
    <w:rsid w:val="003F0C6F"/>
    <w:rsid w:val="003F0C85"/>
    <w:rsid w:val="003F0CE2"/>
    <w:rsid w:val="003F0E14"/>
    <w:rsid w:val="003F2756"/>
    <w:rsid w:val="003F2995"/>
    <w:rsid w:val="003F2D3D"/>
    <w:rsid w:val="003F34B5"/>
    <w:rsid w:val="003F35AA"/>
    <w:rsid w:val="003F38FF"/>
    <w:rsid w:val="003F3955"/>
    <w:rsid w:val="003F3D3A"/>
    <w:rsid w:val="003F413B"/>
    <w:rsid w:val="003F42A0"/>
    <w:rsid w:val="003F4819"/>
    <w:rsid w:val="003F4B7F"/>
    <w:rsid w:val="003F4F06"/>
    <w:rsid w:val="003F5256"/>
    <w:rsid w:val="003F54F4"/>
    <w:rsid w:val="003F5C55"/>
    <w:rsid w:val="003F5C59"/>
    <w:rsid w:val="003F5DA1"/>
    <w:rsid w:val="003F622A"/>
    <w:rsid w:val="003F64CA"/>
    <w:rsid w:val="003F6A16"/>
    <w:rsid w:val="003F7010"/>
    <w:rsid w:val="003F708A"/>
    <w:rsid w:val="003F74E6"/>
    <w:rsid w:val="003F7A30"/>
    <w:rsid w:val="003F7A42"/>
    <w:rsid w:val="00400196"/>
    <w:rsid w:val="00400929"/>
    <w:rsid w:val="00400990"/>
    <w:rsid w:val="00400AE0"/>
    <w:rsid w:val="00400BA1"/>
    <w:rsid w:val="00401832"/>
    <w:rsid w:val="00401B2D"/>
    <w:rsid w:val="00401B32"/>
    <w:rsid w:val="00401F6D"/>
    <w:rsid w:val="00402655"/>
    <w:rsid w:val="00402815"/>
    <w:rsid w:val="00402D88"/>
    <w:rsid w:val="004031D0"/>
    <w:rsid w:val="00403278"/>
    <w:rsid w:val="004039C7"/>
    <w:rsid w:val="00404307"/>
    <w:rsid w:val="00404D0D"/>
    <w:rsid w:val="00405D2A"/>
    <w:rsid w:val="00405D84"/>
    <w:rsid w:val="0040601C"/>
    <w:rsid w:val="004075F4"/>
    <w:rsid w:val="00407B34"/>
    <w:rsid w:val="00407F60"/>
    <w:rsid w:val="00410B34"/>
    <w:rsid w:val="00411189"/>
    <w:rsid w:val="004112C8"/>
    <w:rsid w:val="00411D03"/>
    <w:rsid w:val="00412268"/>
    <w:rsid w:val="004125F3"/>
    <w:rsid w:val="00412722"/>
    <w:rsid w:val="00412778"/>
    <w:rsid w:val="00412AD2"/>
    <w:rsid w:val="00412AF9"/>
    <w:rsid w:val="00412C6A"/>
    <w:rsid w:val="00412C9B"/>
    <w:rsid w:val="00413947"/>
    <w:rsid w:val="00413E7E"/>
    <w:rsid w:val="0041419A"/>
    <w:rsid w:val="004144EF"/>
    <w:rsid w:val="00414903"/>
    <w:rsid w:val="00415ED2"/>
    <w:rsid w:val="004161F6"/>
    <w:rsid w:val="00416300"/>
    <w:rsid w:val="0041659A"/>
    <w:rsid w:val="00416C8F"/>
    <w:rsid w:val="00416D24"/>
    <w:rsid w:val="0041789B"/>
    <w:rsid w:val="00420214"/>
    <w:rsid w:val="004204ED"/>
    <w:rsid w:val="0042080C"/>
    <w:rsid w:val="00421256"/>
    <w:rsid w:val="004215FA"/>
    <w:rsid w:val="0042190F"/>
    <w:rsid w:val="00421AC4"/>
    <w:rsid w:val="00421C26"/>
    <w:rsid w:val="0042210B"/>
    <w:rsid w:val="004222ED"/>
    <w:rsid w:val="0042249B"/>
    <w:rsid w:val="00422E1D"/>
    <w:rsid w:val="00422F01"/>
    <w:rsid w:val="00423421"/>
    <w:rsid w:val="00423733"/>
    <w:rsid w:val="00423E55"/>
    <w:rsid w:val="004243DA"/>
    <w:rsid w:val="00424C7E"/>
    <w:rsid w:val="00424C83"/>
    <w:rsid w:val="004250EB"/>
    <w:rsid w:val="00425814"/>
    <w:rsid w:val="004268D9"/>
    <w:rsid w:val="004273E3"/>
    <w:rsid w:val="004275F3"/>
    <w:rsid w:val="00427878"/>
    <w:rsid w:val="00427887"/>
    <w:rsid w:val="00427899"/>
    <w:rsid w:val="00427ABF"/>
    <w:rsid w:val="00427C9B"/>
    <w:rsid w:val="00427CA2"/>
    <w:rsid w:val="00427E74"/>
    <w:rsid w:val="00427E99"/>
    <w:rsid w:val="004309BC"/>
    <w:rsid w:val="004316BB"/>
    <w:rsid w:val="004317D6"/>
    <w:rsid w:val="00431ABE"/>
    <w:rsid w:val="00431D9B"/>
    <w:rsid w:val="00431F6D"/>
    <w:rsid w:val="0043223C"/>
    <w:rsid w:val="00433A4B"/>
    <w:rsid w:val="00433AA3"/>
    <w:rsid w:val="00433D4F"/>
    <w:rsid w:val="00433DA3"/>
    <w:rsid w:val="00433E64"/>
    <w:rsid w:val="0043434F"/>
    <w:rsid w:val="00434715"/>
    <w:rsid w:val="00434CEC"/>
    <w:rsid w:val="0043514E"/>
    <w:rsid w:val="00435466"/>
    <w:rsid w:val="004356E3"/>
    <w:rsid w:val="00435AD9"/>
    <w:rsid w:val="00435E1E"/>
    <w:rsid w:val="00435E1F"/>
    <w:rsid w:val="00436160"/>
    <w:rsid w:val="00436BED"/>
    <w:rsid w:val="00436EA4"/>
    <w:rsid w:val="004371FF"/>
    <w:rsid w:val="0043720A"/>
    <w:rsid w:val="0043739B"/>
    <w:rsid w:val="004376E7"/>
    <w:rsid w:val="00437713"/>
    <w:rsid w:val="00437DF0"/>
    <w:rsid w:val="00437E0F"/>
    <w:rsid w:val="00440463"/>
    <w:rsid w:val="004408DB"/>
    <w:rsid w:val="0044099F"/>
    <w:rsid w:val="004409AA"/>
    <w:rsid w:val="00440A0E"/>
    <w:rsid w:val="00440BCC"/>
    <w:rsid w:val="00441B43"/>
    <w:rsid w:val="00441C26"/>
    <w:rsid w:val="00443C5C"/>
    <w:rsid w:val="004443DA"/>
    <w:rsid w:val="004444BD"/>
    <w:rsid w:val="004444CF"/>
    <w:rsid w:val="004445D9"/>
    <w:rsid w:val="00444F1A"/>
    <w:rsid w:val="00444FDE"/>
    <w:rsid w:val="00445061"/>
    <w:rsid w:val="004453D4"/>
    <w:rsid w:val="00445455"/>
    <w:rsid w:val="004459FA"/>
    <w:rsid w:val="00445B4F"/>
    <w:rsid w:val="00445CAC"/>
    <w:rsid w:val="0044650E"/>
    <w:rsid w:val="00446732"/>
    <w:rsid w:val="00446869"/>
    <w:rsid w:val="00446B9D"/>
    <w:rsid w:val="00446BF7"/>
    <w:rsid w:val="00446D0A"/>
    <w:rsid w:val="0045053A"/>
    <w:rsid w:val="0045086C"/>
    <w:rsid w:val="00451B9D"/>
    <w:rsid w:val="0045299B"/>
    <w:rsid w:val="00452B35"/>
    <w:rsid w:val="00452D81"/>
    <w:rsid w:val="0045302F"/>
    <w:rsid w:val="004538C3"/>
    <w:rsid w:val="00453EC2"/>
    <w:rsid w:val="00454489"/>
    <w:rsid w:val="004545C7"/>
    <w:rsid w:val="00454AE7"/>
    <w:rsid w:val="00454B19"/>
    <w:rsid w:val="00454ECE"/>
    <w:rsid w:val="00455861"/>
    <w:rsid w:val="00455F96"/>
    <w:rsid w:val="004562AA"/>
    <w:rsid w:val="0045632B"/>
    <w:rsid w:val="00457210"/>
    <w:rsid w:val="00457590"/>
    <w:rsid w:val="004575F0"/>
    <w:rsid w:val="0045772F"/>
    <w:rsid w:val="004578BD"/>
    <w:rsid w:val="00457CFC"/>
    <w:rsid w:val="004602F4"/>
    <w:rsid w:val="0046059E"/>
    <w:rsid w:val="00461070"/>
    <w:rsid w:val="00462232"/>
    <w:rsid w:val="00462366"/>
    <w:rsid w:val="004630F2"/>
    <w:rsid w:val="00463A87"/>
    <w:rsid w:val="00463B3C"/>
    <w:rsid w:val="00463CAE"/>
    <w:rsid w:val="004649BD"/>
    <w:rsid w:val="00464E13"/>
    <w:rsid w:val="00464FF2"/>
    <w:rsid w:val="0046512F"/>
    <w:rsid w:val="00465670"/>
    <w:rsid w:val="0046577F"/>
    <w:rsid w:val="00465BDC"/>
    <w:rsid w:val="00465BED"/>
    <w:rsid w:val="0046618A"/>
    <w:rsid w:val="004663EC"/>
    <w:rsid w:val="0046640B"/>
    <w:rsid w:val="00466852"/>
    <w:rsid w:val="0046691E"/>
    <w:rsid w:val="00466CAD"/>
    <w:rsid w:val="00466FDB"/>
    <w:rsid w:val="00467B5A"/>
    <w:rsid w:val="00470120"/>
    <w:rsid w:val="00470B64"/>
    <w:rsid w:val="00470D56"/>
    <w:rsid w:val="00470E32"/>
    <w:rsid w:val="004710E0"/>
    <w:rsid w:val="0047111C"/>
    <w:rsid w:val="00471882"/>
    <w:rsid w:val="00472C91"/>
    <w:rsid w:val="004746F5"/>
    <w:rsid w:val="004748D7"/>
    <w:rsid w:val="00474B03"/>
    <w:rsid w:val="00475602"/>
    <w:rsid w:val="00475A6E"/>
    <w:rsid w:val="00475C92"/>
    <w:rsid w:val="00475E62"/>
    <w:rsid w:val="00475EF6"/>
    <w:rsid w:val="004764F6"/>
    <w:rsid w:val="00476578"/>
    <w:rsid w:val="00476EEE"/>
    <w:rsid w:val="004770AB"/>
    <w:rsid w:val="00477502"/>
    <w:rsid w:val="00477634"/>
    <w:rsid w:val="00477A69"/>
    <w:rsid w:val="00477E69"/>
    <w:rsid w:val="00477E81"/>
    <w:rsid w:val="00480B82"/>
    <w:rsid w:val="00480C77"/>
    <w:rsid w:val="00480F0E"/>
    <w:rsid w:val="00481033"/>
    <w:rsid w:val="004813EC"/>
    <w:rsid w:val="00481B01"/>
    <w:rsid w:val="00481BD7"/>
    <w:rsid w:val="0048212F"/>
    <w:rsid w:val="004825AD"/>
    <w:rsid w:val="004826D8"/>
    <w:rsid w:val="004827E0"/>
    <w:rsid w:val="004829FC"/>
    <w:rsid w:val="00483662"/>
    <w:rsid w:val="0048417B"/>
    <w:rsid w:val="00484748"/>
    <w:rsid w:val="00484790"/>
    <w:rsid w:val="00484A0D"/>
    <w:rsid w:val="00484A58"/>
    <w:rsid w:val="00484E38"/>
    <w:rsid w:val="00485029"/>
    <w:rsid w:val="00485045"/>
    <w:rsid w:val="004859EF"/>
    <w:rsid w:val="004861BF"/>
    <w:rsid w:val="00486DCD"/>
    <w:rsid w:val="00486ECF"/>
    <w:rsid w:val="004872A8"/>
    <w:rsid w:val="00487581"/>
    <w:rsid w:val="0048772A"/>
    <w:rsid w:val="00487829"/>
    <w:rsid w:val="004900CC"/>
    <w:rsid w:val="004909AB"/>
    <w:rsid w:val="00490DCF"/>
    <w:rsid w:val="0049284C"/>
    <w:rsid w:val="0049309D"/>
    <w:rsid w:val="004937F0"/>
    <w:rsid w:val="00493C4B"/>
    <w:rsid w:val="004942FE"/>
    <w:rsid w:val="0049494E"/>
    <w:rsid w:val="004949F2"/>
    <w:rsid w:val="00494A66"/>
    <w:rsid w:val="00494EA9"/>
    <w:rsid w:val="00495209"/>
    <w:rsid w:val="00495582"/>
    <w:rsid w:val="0049575E"/>
    <w:rsid w:val="00495F27"/>
    <w:rsid w:val="00496654"/>
    <w:rsid w:val="004966FA"/>
    <w:rsid w:val="00496852"/>
    <w:rsid w:val="00496E12"/>
    <w:rsid w:val="004972F8"/>
    <w:rsid w:val="004973B6"/>
    <w:rsid w:val="004A0A5D"/>
    <w:rsid w:val="004A0F83"/>
    <w:rsid w:val="004A13CB"/>
    <w:rsid w:val="004A1572"/>
    <w:rsid w:val="004A1719"/>
    <w:rsid w:val="004A2D17"/>
    <w:rsid w:val="004A3106"/>
    <w:rsid w:val="004A31F4"/>
    <w:rsid w:val="004A3238"/>
    <w:rsid w:val="004A33C7"/>
    <w:rsid w:val="004A33FA"/>
    <w:rsid w:val="004A40AC"/>
    <w:rsid w:val="004A48CF"/>
    <w:rsid w:val="004A4AF8"/>
    <w:rsid w:val="004A4D25"/>
    <w:rsid w:val="004A550F"/>
    <w:rsid w:val="004A5BE6"/>
    <w:rsid w:val="004A5E44"/>
    <w:rsid w:val="004A601F"/>
    <w:rsid w:val="004A62CF"/>
    <w:rsid w:val="004A79E8"/>
    <w:rsid w:val="004A7CE4"/>
    <w:rsid w:val="004B03F0"/>
    <w:rsid w:val="004B054E"/>
    <w:rsid w:val="004B0AA5"/>
    <w:rsid w:val="004B1340"/>
    <w:rsid w:val="004B146E"/>
    <w:rsid w:val="004B14C5"/>
    <w:rsid w:val="004B19DC"/>
    <w:rsid w:val="004B20BD"/>
    <w:rsid w:val="004B237D"/>
    <w:rsid w:val="004B242E"/>
    <w:rsid w:val="004B25B8"/>
    <w:rsid w:val="004B294D"/>
    <w:rsid w:val="004B2E7E"/>
    <w:rsid w:val="004B30A7"/>
    <w:rsid w:val="004B36A8"/>
    <w:rsid w:val="004B3740"/>
    <w:rsid w:val="004B3766"/>
    <w:rsid w:val="004B37DF"/>
    <w:rsid w:val="004B395B"/>
    <w:rsid w:val="004B39B0"/>
    <w:rsid w:val="004B4743"/>
    <w:rsid w:val="004B4EC3"/>
    <w:rsid w:val="004B4F19"/>
    <w:rsid w:val="004B5241"/>
    <w:rsid w:val="004B5579"/>
    <w:rsid w:val="004B55BB"/>
    <w:rsid w:val="004B575F"/>
    <w:rsid w:val="004B6525"/>
    <w:rsid w:val="004B6B28"/>
    <w:rsid w:val="004B6E00"/>
    <w:rsid w:val="004B73FF"/>
    <w:rsid w:val="004B7487"/>
    <w:rsid w:val="004B75AE"/>
    <w:rsid w:val="004B76E9"/>
    <w:rsid w:val="004B7866"/>
    <w:rsid w:val="004B79AF"/>
    <w:rsid w:val="004B79FD"/>
    <w:rsid w:val="004B7F03"/>
    <w:rsid w:val="004C03E1"/>
    <w:rsid w:val="004C0750"/>
    <w:rsid w:val="004C08EC"/>
    <w:rsid w:val="004C091D"/>
    <w:rsid w:val="004C1387"/>
    <w:rsid w:val="004C1A11"/>
    <w:rsid w:val="004C1A7B"/>
    <w:rsid w:val="004C1B8B"/>
    <w:rsid w:val="004C21AF"/>
    <w:rsid w:val="004C22A2"/>
    <w:rsid w:val="004C23D9"/>
    <w:rsid w:val="004C2486"/>
    <w:rsid w:val="004C2653"/>
    <w:rsid w:val="004C2D80"/>
    <w:rsid w:val="004C358E"/>
    <w:rsid w:val="004C38E3"/>
    <w:rsid w:val="004C3AE0"/>
    <w:rsid w:val="004C4505"/>
    <w:rsid w:val="004C4772"/>
    <w:rsid w:val="004C544E"/>
    <w:rsid w:val="004C58AC"/>
    <w:rsid w:val="004C5A81"/>
    <w:rsid w:val="004C5CE8"/>
    <w:rsid w:val="004C5E80"/>
    <w:rsid w:val="004C6D50"/>
    <w:rsid w:val="004C7045"/>
    <w:rsid w:val="004C72AA"/>
    <w:rsid w:val="004C7AFE"/>
    <w:rsid w:val="004C7B29"/>
    <w:rsid w:val="004D0075"/>
    <w:rsid w:val="004D01E5"/>
    <w:rsid w:val="004D02CC"/>
    <w:rsid w:val="004D0301"/>
    <w:rsid w:val="004D0969"/>
    <w:rsid w:val="004D0B7E"/>
    <w:rsid w:val="004D15FC"/>
    <w:rsid w:val="004D172B"/>
    <w:rsid w:val="004D18B5"/>
    <w:rsid w:val="004D2305"/>
    <w:rsid w:val="004D2563"/>
    <w:rsid w:val="004D2586"/>
    <w:rsid w:val="004D2C33"/>
    <w:rsid w:val="004D3464"/>
    <w:rsid w:val="004D364D"/>
    <w:rsid w:val="004D36A8"/>
    <w:rsid w:val="004D384F"/>
    <w:rsid w:val="004D3E1C"/>
    <w:rsid w:val="004D44BD"/>
    <w:rsid w:val="004D4E04"/>
    <w:rsid w:val="004D5164"/>
    <w:rsid w:val="004D5444"/>
    <w:rsid w:val="004D57CF"/>
    <w:rsid w:val="004D5E9F"/>
    <w:rsid w:val="004D6650"/>
    <w:rsid w:val="004D66AF"/>
    <w:rsid w:val="004D689B"/>
    <w:rsid w:val="004D6972"/>
    <w:rsid w:val="004D6D1A"/>
    <w:rsid w:val="004D7462"/>
    <w:rsid w:val="004D7B16"/>
    <w:rsid w:val="004D7F68"/>
    <w:rsid w:val="004E012B"/>
    <w:rsid w:val="004E0E2E"/>
    <w:rsid w:val="004E10A6"/>
    <w:rsid w:val="004E163D"/>
    <w:rsid w:val="004E1AFC"/>
    <w:rsid w:val="004E1CB6"/>
    <w:rsid w:val="004E1DF8"/>
    <w:rsid w:val="004E1FDA"/>
    <w:rsid w:val="004E228B"/>
    <w:rsid w:val="004E26F3"/>
    <w:rsid w:val="004E304B"/>
    <w:rsid w:val="004E30FD"/>
    <w:rsid w:val="004E3476"/>
    <w:rsid w:val="004E3B8F"/>
    <w:rsid w:val="004E4082"/>
    <w:rsid w:val="004E40AD"/>
    <w:rsid w:val="004E41A1"/>
    <w:rsid w:val="004E4E2D"/>
    <w:rsid w:val="004E55B8"/>
    <w:rsid w:val="004E60A2"/>
    <w:rsid w:val="004E60D4"/>
    <w:rsid w:val="004E6148"/>
    <w:rsid w:val="004E6505"/>
    <w:rsid w:val="004E65CC"/>
    <w:rsid w:val="004E66B6"/>
    <w:rsid w:val="004E67A3"/>
    <w:rsid w:val="004E6ACD"/>
    <w:rsid w:val="004E6E34"/>
    <w:rsid w:val="004E6EEB"/>
    <w:rsid w:val="004E725B"/>
    <w:rsid w:val="004E73E1"/>
    <w:rsid w:val="004E7DA3"/>
    <w:rsid w:val="004F11CF"/>
    <w:rsid w:val="004F167D"/>
    <w:rsid w:val="004F1CCE"/>
    <w:rsid w:val="004F1D6C"/>
    <w:rsid w:val="004F2475"/>
    <w:rsid w:val="004F27F6"/>
    <w:rsid w:val="004F2B77"/>
    <w:rsid w:val="004F2F5D"/>
    <w:rsid w:val="004F3382"/>
    <w:rsid w:val="004F33EE"/>
    <w:rsid w:val="004F3525"/>
    <w:rsid w:val="004F4659"/>
    <w:rsid w:val="004F4E76"/>
    <w:rsid w:val="004F518E"/>
    <w:rsid w:val="004F54F9"/>
    <w:rsid w:val="004F5BB0"/>
    <w:rsid w:val="004F60EA"/>
    <w:rsid w:val="004F60F0"/>
    <w:rsid w:val="004F6635"/>
    <w:rsid w:val="004F7019"/>
    <w:rsid w:val="004F7225"/>
    <w:rsid w:val="004F72B7"/>
    <w:rsid w:val="004F7498"/>
    <w:rsid w:val="004F77B6"/>
    <w:rsid w:val="004F7841"/>
    <w:rsid w:val="004F7AA7"/>
    <w:rsid w:val="004F7F6B"/>
    <w:rsid w:val="0050064C"/>
    <w:rsid w:val="00500848"/>
    <w:rsid w:val="00501F04"/>
    <w:rsid w:val="0050219F"/>
    <w:rsid w:val="005027A2"/>
    <w:rsid w:val="005027A8"/>
    <w:rsid w:val="00503555"/>
    <w:rsid w:val="0050365A"/>
    <w:rsid w:val="005036C4"/>
    <w:rsid w:val="00503FA2"/>
    <w:rsid w:val="00504941"/>
    <w:rsid w:val="00504CA4"/>
    <w:rsid w:val="0050578B"/>
    <w:rsid w:val="0050597A"/>
    <w:rsid w:val="0050618A"/>
    <w:rsid w:val="005069FD"/>
    <w:rsid w:val="005071F2"/>
    <w:rsid w:val="00507B94"/>
    <w:rsid w:val="0051046B"/>
    <w:rsid w:val="005104A2"/>
    <w:rsid w:val="00510F53"/>
    <w:rsid w:val="00511401"/>
    <w:rsid w:val="00511DF2"/>
    <w:rsid w:val="005122F0"/>
    <w:rsid w:val="005128F7"/>
    <w:rsid w:val="00512D97"/>
    <w:rsid w:val="005130F2"/>
    <w:rsid w:val="00513148"/>
    <w:rsid w:val="005135FF"/>
    <w:rsid w:val="0051394F"/>
    <w:rsid w:val="00514065"/>
    <w:rsid w:val="00514166"/>
    <w:rsid w:val="005141F3"/>
    <w:rsid w:val="005145C6"/>
    <w:rsid w:val="0051493E"/>
    <w:rsid w:val="00514BE2"/>
    <w:rsid w:val="00514D70"/>
    <w:rsid w:val="0051538C"/>
    <w:rsid w:val="00515488"/>
    <w:rsid w:val="00515550"/>
    <w:rsid w:val="00515A6F"/>
    <w:rsid w:val="00515F41"/>
    <w:rsid w:val="005168F7"/>
    <w:rsid w:val="00516B2C"/>
    <w:rsid w:val="00516EC0"/>
    <w:rsid w:val="0051750A"/>
    <w:rsid w:val="0052006E"/>
    <w:rsid w:val="005201B4"/>
    <w:rsid w:val="005202B2"/>
    <w:rsid w:val="0052058C"/>
    <w:rsid w:val="00520DDD"/>
    <w:rsid w:val="0052160C"/>
    <w:rsid w:val="00521650"/>
    <w:rsid w:val="00521DDF"/>
    <w:rsid w:val="00521FFC"/>
    <w:rsid w:val="00522089"/>
    <w:rsid w:val="005220EF"/>
    <w:rsid w:val="00522267"/>
    <w:rsid w:val="00522F9E"/>
    <w:rsid w:val="005233F7"/>
    <w:rsid w:val="00523441"/>
    <w:rsid w:val="00523D23"/>
    <w:rsid w:val="00523D5E"/>
    <w:rsid w:val="00524249"/>
    <w:rsid w:val="005245A5"/>
    <w:rsid w:val="00524928"/>
    <w:rsid w:val="00524A9E"/>
    <w:rsid w:val="00524B62"/>
    <w:rsid w:val="00525275"/>
    <w:rsid w:val="00525968"/>
    <w:rsid w:val="00525DEE"/>
    <w:rsid w:val="00526468"/>
    <w:rsid w:val="00526760"/>
    <w:rsid w:val="0052691E"/>
    <w:rsid w:val="00526E88"/>
    <w:rsid w:val="005271E2"/>
    <w:rsid w:val="0052729A"/>
    <w:rsid w:val="00527349"/>
    <w:rsid w:val="00527916"/>
    <w:rsid w:val="005279B9"/>
    <w:rsid w:val="00527B2C"/>
    <w:rsid w:val="00527E5F"/>
    <w:rsid w:val="005306E9"/>
    <w:rsid w:val="005308F6"/>
    <w:rsid w:val="00531324"/>
    <w:rsid w:val="0053158E"/>
    <w:rsid w:val="0053160C"/>
    <w:rsid w:val="00531727"/>
    <w:rsid w:val="00531A4B"/>
    <w:rsid w:val="00531C04"/>
    <w:rsid w:val="00531CA7"/>
    <w:rsid w:val="0053250E"/>
    <w:rsid w:val="0053330E"/>
    <w:rsid w:val="00533B13"/>
    <w:rsid w:val="0053475B"/>
    <w:rsid w:val="005347C8"/>
    <w:rsid w:val="00535237"/>
    <w:rsid w:val="00535518"/>
    <w:rsid w:val="00535594"/>
    <w:rsid w:val="005355E2"/>
    <w:rsid w:val="00535C03"/>
    <w:rsid w:val="00535E61"/>
    <w:rsid w:val="00535F98"/>
    <w:rsid w:val="00536923"/>
    <w:rsid w:val="00536B3B"/>
    <w:rsid w:val="00536C29"/>
    <w:rsid w:val="00536CF7"/>
    <w:rsid w:val="00536EC1"/>
    <w:rsid w:val="005372D9"/>
    <w:rsid w:val="00537C0B"/>
    <w:rsid w:val="00537E71"/>
    <w:rsid w:val="0054061A"/>
    <w:rsid w:val="005406D4"/>
    <w:rsid w:val="00540C7C"/>
    <w:rsid w:val="00540D5A"/>
    <w:rsid w:val="0054141E"/>
    <w:rsid w:val="005416AF"/>
    <w:rsid w:val="00541788"/>
    <w:rsid w:val="00541794"/>
    <w:rsid w:val="005419DD"/>
    <w:rsid w:val="005427A9"/>
    <w:rsid w:val="00542A0C"/>
    <w:rsid w:val="005432DA"/>
    <w:rsid w:val="00543553"/>
    <w:rsid w:val="0054392A"/>
    <w:rsid w:val="00543D95"/>
    <w:rsid w:val="005449ED"/>
    <w:rsid w:val="00544C04"/>
    <w:rsid w:val="00544D9B"/>
    <w:rsid w:val="00544EC6"/>
    <w:rsid w:val="00545078"/>
    <w:rsid w:val="005452A4"/>
    <w:rsid w:val="0054534D"/>
    <w:rsid w:val="0054584B"/>
    <w:rsid w:val="00545A7B"/>
    <w:rsid w:val="00545D7F"/>
    <w:rsid w:val="00546125"/>
    <w:rsid w:val="005463AE"/>
    <w:rsid w:val="00547331"/>
    <w:rsid w:val="00547B31"/>
    <w:rsid w:val="0055026B"/>
    <w:rsid w:val="00550E1E"/>
    <w:rsid w:val="005513FA"/>
    <w:rsid w:val="0055177D"/>
    <w:rsid w:val="00551915"/>
    <w:rsid w:val="00551D97"/>
    <w:rsid w:val="00552351"/>
    <w:rsid w:val="0055256B"/>
    <w:rsid w:val="005528DB"/>
    <w:rsid w:val="005534E0"/>
    <w:rsid w:val="005541FA"/>
    <w:rsid w:val="00554BCB"/>
    <w:rsid w:val="00554E56"/>
    <w:rsid w:val="00554F68"/>
    <w:rsid w:val="005551B2"/>
    <w:rsid w:val="005551D9"/>
    <w:rsid w:val="00555C8F"/>
    <w:rsid w:val="005563B5"/>
    <w:rsid w:val="00556AF6"/>
    <w:rsid w:val="00556B58"/>
    <w:rsid w:val="00556FC5"/>
    <w:rsid w:val="00557279"/>
    <w:rsid w:val="00557583"/>
    <w:rsid w:val="00557806"/>
    <w:rsid w:val="00560059"/>
    <w:rsid w:val="00560237"/>
    <w:rsid w:val="00560390"/>
    <w:rsid w:val="005603B9"/>
    <w:rsid w:val="0056073C"/>
    <w:rsid w:val="005609EE"/>
    <w:rsid w:val="00560C5A"/>
    <w:rsid w:val="00560EEF"/>
    <w:rsid w:val="00561618"/>
    <w:rsid w:val="00561C97"/>
    <w:rsid w:val="00561CAD"/>
    <w:rsid w:val="0056227B"/>
    <w:rsid w:val="0056325A"/>
    <w:rsid w:val="00563E82"/>
    <w:rsid w:val="00564DD1"/>
    <w:rsid w:val="00564FCD"/>
    <w:rsid w:val="005650B4"/>
    <w:rsid w:val="00565479"/>
    <w:rsid w:val="00565CEF"/>
    <w:rsid w:val="00565F2F"/>
    <w:rsid w:val="00566017"/>
    <w:rsid w:val="00566021"/>
    <w:rsid w:val="0056621E"/>
    <w:rsid w:val="00567069"/>
    <w:rsid w:val="00567350"/>
    <w:rsid w:val="0056749B"/>
    <w:rsid w:val="0056756A"/>
    <w:rsid w:val="00567961"/>
    <w:rsid w:val="00567CF1"/>
    <w:rsid w:val="005704B8"/>
    <w:rsid w:val="0057078E"/>
    <w:rsid w:val="00570F7F"/>
    <w:rsid w:val="00571529"/>
    <w:rsid w:val="0057169E"/>
    <w:rsid w:val="005718F5"/>
    <w:rsid w:val="00571A87"/>
    <w:rsid w:val="005720AE"/>
    <w:rsid w:val="005721EE"/>
    <w:rsid w:val="00572347"/>
    <w:rsid w:val="005727FB"/>
    <w:rsid w:val="005728EB"/>
    <w:rsid w:val="00573323"/>
    <w:rsid w:val="00573520"/>
    <w:rsid w:val="005735C7"/>
    <w:rsid w:val="005742BE"/>
    <w:rsid w:val="005744DF"/>
    <w:rsid w:val="00574729"/>
    <w:rsid w:val="00575342"/>
    <w:rsid w:val="005758CC"/>
    <w:rsid w:val="00575A9D"/>
    <w:rsid w:val="00576269"/>
    <w:rsid w:val="00576346"/>
    <w:rsid w:val="0057705C"/>
    <w:rsid w:val="00577613"/>
    <w:rsid w:val="005777F9"/>
    <w:rsid w:val="0058004F"/>
    <w:rsid w:val="005818EB"/>
    <w:rsid w:val="00581D0D"/>
    <w:rsid w:val="0058276A"/>
    <w:rsid w:val="00582C75"/>
    <w:rsid w:val="005836C4"/>
    <w:rsid w:val="00584366"/>
    <w:rsid w:val="005843EF"/>
    <w:rsid w:val="00584B93"/>
    <w:rsid w:val="0058518F"/>
    <w:rsid w:val="0058579A"/>
    <w:rsid w:val="00585E4B"/>
    <w:rsid w:val="00585EAA"/>
    <w:rsid w:val="0058643C"/>
    <w:rsid w:val="00586A23"/>
    <w:rsid w:val="00586A26"/>
    <w:rsid w:val="00586C80"/>
    <w:rsid w:val="0058759B"/>
    <w:rsid w:val="00587716"/>
    <w:rsid w:val="0058788A"/>
    <w:rsid w:val="00590613"/>
    <w:rsid w:val="00590A64"/>
    <w:rsid w:val="00590F0D"/>
    <w:rsid w:val="00590F18"/>
    <w:rsid w:val="005911E2"/>
    <w:rsid w:val="005913B4"/>
    <w:rsid w:val="00591D90"/>
    <w:rsid w:val="005928A0"/>
    <w:rsid w:val="005928A3"/>
    <w:rsid w:val="00592901"/>
    <w:rsid w:val="00592B8B"/>
    <w:rsid w:val="00592E09"/>
    <w:rsid w:val="00593302"/>
    <w:rsid w:val="00593A26"/>
    <w:rsid w:val="00593AA6"/>
    <w:rsid w:val="00593D5D"/>
    <w:rsid w:val="00593DCD"/>
    <w:rsid w:val="0059437C"/>
    <w:rsid w:val="0059454B"/>
    <w:rsid w:val="00594B36"/>
    <w:rsid w:val="00594B58"/>
    <w:rsid w:val="00594C9D"/>
    <w:rsid w:val="005957C7"/>
    <w:rsid w:val="00595A95"/>
    <w:rsid w:val="005963BE"/>
    <w:rsid w:val="005964C7"/>
    <w:rsid w:val="00596891"/>
    <w:rsid w:val="0059767E"/>
    <w:rsid w:val="00597D8C"/>
    <w:rsid w:val="00597EBA"/>
    <w:rsid w:val="005A07C5"/>
    <w:rsid w:val="005A08CA"/>
    <w:rsid w:val="005A0C84"/>
    <w:rsid w:val="005A0D43"/>
    <w:rsid w:val="005A0D8F"/>
    <w:rsid w:val="005A1F4D"/>
    <w:rsid w:val="005A21E5"/>
    <w:rsid w:val="005A2617"/>
    <w:rsid w:val="005A285B"/>
    <w:rsid w:val="005A29E4"/>
    <w:rsid w:val="005A2A77"/>
    <w:rsid w:val="005A2A8A"/>
    <w:rsid w:val="005A2C1D"/>
    <w:rsid w:val="005A2E86"/>
    <w:rsid w:val="005A303C"/>
    <w:rsid w:val="005A3308"/>
    <w:rsid w:val="005A36D6"/>
    <w:rsid w:val="005A3D51"/>
    <w:rsid w:val="005A3DEA"/>
    <w:rsid w:val="005A4106"/>
    <w:rsid w:val="005A43AB"/>
    <w:rsid w:val="005A459F"/>
    <w:rsid w:val="005A4B2E"/>
    <w:rsid w:val="005A51D5"/>
    <w:rsid w:val="005A5B35"/>
    <w:rsid w:val="005A5BF9"/>
    <w:rsid w:val="005A5F77"/>
    <w:rsid w:val="005A6746"/>
    <w:rsid w:val="005A6F2C"/>
    <w:rsid w:val="005A701C"/>
    <w:rsid w:val="005A7470"/>
    <w:rsid w:val="005A7945"/>
    <w:rsid w:val="005A7A67"/>
    <w:rsid w:val="005A7E88"/>
    <w:rsid w:val="005B0136"/>
    <w:rsid w:val="005B052A"/>
    <w:rsid w:val="005B096E"/>
    <w:rsid w:val="005B0DC8"/>
    <w:rsid w:val="005B1B6A"/>
    <w:rsid w:val="005B2109"/>
    <w:rsid w:val="005B29A5"/>
    <w:rsid w:val="005B2D57"/>
    <w:rsid w:val="005B369F"/>
    <w:rsid w:val="005B3875"/>
    <w:rsid w:val="005B3DAE"/>
    <w:rsid w:val="005B3F4E"/>
    <w:rsid w:val="005B42E3"/>
    <w:rsid w:val="005B4EAB"/>
    <w:rsid w:val="005B6370"/>
    <w:rsid w:val="005B71B2"/>
    <w:rsid w:val="005B7452"/>
    <w:rsid w:val="005B7550"/>
    <w:rsid w:val="005B77E3"/>
    <w:rsid w:val="005B78E9"/>
    <w:rsid w:val="005C049B"/>
    <w:rsid w:val="005C052F"/>
    <w:rsid w:val="005C0ABD"/>
    <w:rsid w:val="005C0D38"/>
    <w:rsid w:val="005C2366"/>
    <w:rsid w:val="005C2688"/>
    <w:rsid w:val="005C2AFA"/>
    <w:rsid w:val="005C386A"/>
    <w:rsid w:val="005C3C3F"/>
    <w:rsid w:val="005C3EC5"/>
    <w:rsid w:val="005C405F"/>
    <w:rsid w:val="005C421E"/>
    <w:rsid w:val="005C428B"/>
    <w:rsid w:val="005C43C9"/>
    <w:rsid w:val="005C495B"/>
    <w:rsid w:val="005C4B5D"/>
    <w:rsid w:val="005C4B9C"/>
    <w:rsid w:val="005C4D7A"/>
    <w:rsid w:val="005C50F5"/>
    <w:rsid w:val="005C5719"/>
    <w:rsid w:val="005C5D1F"/>
    <w:rsid w:val="005C5F8F"/>
    <w:rsid w:val="005C602A"/>
    <w:rsid w:val="005C630E"/>
    <w:rsid w:val="005C652B"/>
    <w:rsid w:val="005C6570"/>
    <w:rsid w:val="005C7253"/>
    <w:rsid w:val="005C7266"/>
    <w:rsid w:val="005C7297"/>
    <w:rsid w:val="005C7409"/>
    <w:rsid w:val="005C75EC"/>
    <w:rsid w:val="005C7814"/>
    <w:rsid w:val="005C7F43"/>
    <w:rsid w:val="005D0170"/>
    <w:rsid w:val="005D019E"/>
    <w:rsid w:val="005D0210"/>
    <w:rsid w:val="005D0DFE"/>
    <w:rsid w:val="005D0F9E"/>
    <w:rsid w:val="005D1573"/>
    <w:rsid w:val="005D157E"/>
    <w:rsid w:val="005D18C0"/>
    <w:rsid w:val="005D1F6F"/>
    <w:rsid w:val="005D29C5"/>
    <w:rsid w:val="005D2C56"/>
    <w:rsid w:val="005D3487"/>
    <w:rsid w:val="005D37EB"/>
    <w:rsid w:val="005D37EE"/>
    <w:rsid w:val="005D388D"/>
    <w:rsid w:val="005D3A39"/>
    <w:rsid w:val="005D3B20"/>
    <w:rsid w:val="005D46FD"/>
    <w:rsid w:val="005D6A8D"/>
    <w:rsid w:val="005D6F72"/>
    <w:rsid w:val="005D76A9"/>
    <w:rsid w:val="005E08F6"/>
    <w:rsid w:val="005E0926"/>
    <w:rsid w:val="005E09C1"/>
    <w:rsid w:val="005E0B1D"/>
    <w:rsid w:val="005E1476"/>
    <w:rsid w:val="005E15F3"/>
    <w:rsid w:val="005E18B9"/>
    <w:rsid w:val="005E1BA2"/>
    <w:rsid w:val="005E1E64"/>
    <w:rsid w:val="005E28CA"/>
    <w:rsid w:val="005E3A3C"/>
    <w:rsid w:val="005E3B50"/>
    <w:rsid w:val="005E3F16"/>
    <w:rsid w:val="005E40F5"/>
    <w:rsid w:val="005E4A08"/>
    <w:rsid w:val="005E4A93"/>
    <w:rsid w:val="005E5394"/>
    <w:rsid w:val="005E5B34"/>
    <w:rsid w:val="005E5C6F"/>
    <w:rsid w:val="005E5D65"/>
    <w:rsid w:val="005E6615"/>
    <w:rsid w:val="005E664D"/>
    <w:rsid w:val="005E713F"/>
    <w:rsid w:val="005E7556"/>
    <w:rsid w:val="005E75EF"/>
    <w:rsid w:val="005F1723"/>
    <w:rsid w:val="005F1750"/>
    <w:rsid w:val="005F17EB"/>
    <w:rsid w:val="005F1947"/>
    <w:rsid w:val="005F1AD3"/>
    <w:rsid w:val="005F26FE"/>
    <w:rsid w:val="005F31C8"/>
    <w:rsid w:val="005F32B5"/>
    <w:rsid w:val="005F335D"/>
    <w:rsid w:val="005F40FC"/>
    <w:rsid w:val="005F4134"/>
    <w:rsid w:val="005F420F"/>
    <w:rsid w:val="005F450A"/>
    <w:rsid w:val="005F4D4C"/>
    <w:rsid w:val="005F51D2"/>
    <w:rsid w:val="005F54AC"/>
    <w:rsid w:val="005F5C22"/>
    <w:rsid w:val="005F5F5E"/>
    <w:rsid w:val="005F61F7"/>
    <w:rsid w:val="005F6873"/>
    <w:rsid w:val="005F6C0F"/>
    <w:rsid w:val="005F6DE2"/>
    <w:rsid w:val="005F7852"/>
    <w:rsid w:val="005F7DDE"/>
    <w:rsid w:val="005F7E78"/>
    <w:rsid w:val="00600196"/>
    <w:rsid w:val="006005B6"/>
    <w:rsid w:val="00600C47"/>
    <w:rsid w:val="00600D93"/>
    <w:rsid w:val="00600F03"/>
    <w:rsid w:val="00602133"/>
    <w:rsid w:val="0060269C"/>
    <w:rsid w:val="00602EE3"/>
    <w:rsid w:val="00604BFF"/>
    <w:rsid w:val="00604D0B"/>
    <w:rsid w:val="00605FAC"/>
    <w:rsid w:val="00606249"/>
    <w:rsid w:val="00606413"/>
    <w:rsid w:val="006066BB"/>
    <w:rsid w:val="00606B12"/>
    <w:rsid w:val="00607028"/>
    <w:rsid w:val="00607315"/>
    <w:rsid w:val="00607583"/>
    <w:rsid w:val="00607D72"/>
    <w:rsid w:val="00607DE4"/>
    <w:rsid w:val="00610585"/>
    <w:rsid w:val="00610DF8"/>
    <w:rsid w:val="006112E5"/>
    <w:rsid w:val="006112FE"/>
    <w:rsid w:val="006126BA"/>
    <w:rsid w:val="00612A85"/>
    <w:rsid w:val="00612EF4"/>
    <w:rsid w:val="006136F0"/>
    <w:rsid w:val="0061376D"/>
    <w:rsid w:val="00613808"/>
    <w:rsid w:val="00613CD2"/>
    <w:rsid w:val="00613D66"/>
    <w:rsid w:val="006144D4"/>
    <w:rsid w:val="006148E6"/>
    <w:rsid w:val="00614F5F"/>
    <w:rsid w:val="0061596E"/>
    <w:rsid w:val="00615C7F"/>
    <w:rsid w:val="00615DB0"/>
    <w:rsid w:val="00615EE7"/>
    <w:rsid w:val="00616476"/>
    <w:rsid w:val="006164E1"/>
    <w:rsid w:val="00616A9C"/>
    <w:rsid w:val="00616CBB"/>
    <w:rsid w:val="006170D2"/>
    <w:rsid w:val="00617238"/>
    <w:rsid w:val="00620800"/>
    <w:rsid w:val="006209F0"/>
    <w:rsid w:val="00621386"/>
    <w:rsid w:val="006217B7"/>
    <w:rsid w:val="00621EB0"/>
    <w:rsid w:val="00621FC7"/>
    <w:rsid w:val="00622164"/>
    <w:rsid w:val="006221B7"/>
    <w:rsid w:val="00622292"/>
    <w:rsid w:val="0062258A"/>
    <w:rsid w:val="00622786"/>
    <w:rsid w:val="00622CB3"/>
    <w:rsid w:val="00622EC2"/>
    <w:rsid w:val="0062311E"/>
    <w:rsid w:val="00623C0E"/>
    <w:rsid w:val="00623E15"/>
    <w:rsid w:val="006240AF"/>
    <w:rsid w:val="00624283"/>
    <w:rsid w:val="00624413"/>
    <w:rsid w:val="006245E9"/>
    <w:rsid w:val="0062568C"/>
    <w:rsid w:val="0062580A"/>
    <w:rsid w:val="00625D6C"/>
    <w:rsid w:val="0062609B"/>
    <w:rsid w:val="006261E5"/>
    <w:rsid w:val="00626960"/>
    <w:rsid w:val="00626B0C"/>
    <w:rsid w:val="00627026"/>
    <w:rsid w:val="006273FA"/>
    <w:rsid w:val="00627A56"/>
    <w:rsid w:val="00627D86"/>
    <w:rsid w:val="00627EA3"/>
    <w:rsid w:val="00627FCB"/>
    <w:rsid w:val="0063005B"/>
    <w:rsid w:val="00630782"/>
    <w:rsid w:val="00630801"/>
    <w:rsid w:val="00630875"/>
    <w:rsid w:val="006308C3"/>
    <w:rsid w:val="00630A7A"/>
    <w:rsid w:val="00630B04"/>
    <w:rsid w:val="00630D70"/>
    <w:rsid w:val="00631C00"/>
    <w:rsid w:val="00632067"/>
    <w:rsid w:val="006322B5"/>
    <w:rsid w:val="006327EC"/>
    <w:rsid w:val="0063411B"/>
    <w:rsid w:val="006344BA"/>
    <w:rsid w:val="0063456D"/>
    <w:rsid w:val="00634CDD"/>
    <w:rsid w:val="00634F6B"/>
    <w:rsid w:val="00634F73"/>
    <w:rsid w:val="00634FF0"/>
    <w:rsid w:val="00635675"/>
    <w:rsid w:val="00635CCD"/>
    <w:rsid w:val="00636406"/>
    <w:rsid w:val="00637FA6"/>
    <w:rsid w:val="006401BE"/>
    <w:rsid w:val="006403BA"/>
    <w:rsid w:val="0064042A"/>
    <w:rsid w:val="0064061C"/>
    <w:rsid w:val="00640802"/>
    <w:rsid w:val="0064090E"/>
    <w:rsid w:val="00640D47"/>
    <w:rsid w:val="00640D5E"/>
    <w:rsid w:val="006410C8"/>
    <w:rsid w:val="00641289"/>
    <w:rsid w:val="00641325"/>
    <w:rsid w:val="006413FD"/>
    <w:rsid w:val="0064193B"/>
    <w:rsid w:val="0064275F"/>
    <w:rsid w:val="00643DBE"/>
    <w:rsid w:val="006445CD"/>
    <w:rsid w:val="00644801"/>
    <w:rsid w:val="0064563D"/>
    <w:rsid w:val="00645770"/>
    <w:rsid w:val="0064593A"/>
    <w:rsid w:val="006465DA"/>
    <w:rsid w:val="00646CAA"/>
    <w:rsid w:val="00647936"/>
    <w:rsid w:val="00647C44"/>
    <w:rsid w:val="00647DBB"/>
    <w:rsid w:val="00647F5E"/>
    <w:rsid w:val="0065011A"/>
    <w:rsid w:val="00650152"/>
    <w:rsid w:val="006501EA"/>
    <w:rsid w:val="006502FB"/>
    <w:rsid w:val="00651587"/>
    <w:rsid w:val="0065159B"/>
    <w:rsid w:val="0065186E"/>
    <w:rsid w:val="006519AF"/>
    <w:rsid w:val="00652397"/>
    <w:rsid w:val="00652C5F"/>
    <w:rsid w:val="00652F15"/>
    <w:rsid w:val="00653069"/>
    <w:rsid w:val="006530DF"/>
    <w:rsid w:val="006534C1"/>
    <w:rsid w:val="00653E3F"/>
    <w:rsid w:val="006547F8"/>
    <w:rsid w:val="00654BAA"/>
    <w:rsid w:val="00654FA7"/>
    <w:rsid w:val="00655124"/>
    <w:rsid w:val="006552F8"/>
    <w:rsid w:val="00655505"/>
    <w:rsid w:val="006557B3"/>
    <w:rsid w:val="00655853"/>
    <w:rsid w:val="00655AEA"/>
    <w:rsid w:val="00656237"/>
    <w:rsid w:val="00656244"/>
    <w:rsid w:val="0065635C"/>
    <w:rsid w:val="00656BD8"/>
    <w:rsid w:val="00656FA3"/>
    <w:rsid w:val="00657105"/>
    <w:rsid w:val="006573E9"/>
    <w:rsid w:val="0065769D"/>
    <w:rsid w:val="006577F3"/>
    <w:rsid w:val="0066080A"/>
    <w:rsid w:val="00660946"/>
    <w:rsid w:val="00661BCC"/>
    <w:rsid w:val="00661E15"/>
    <w:rsid w:val="00662405"/>
    <w:rsid w:val="00662714"/>
    <w:rsid w:val="00662A2E"/>
    <w:rsid w:val="00663448"/>
    <w:rsid w:val="0066373B"/>
    <w:rsid w:val="00663A50"/>
    <w:rsid w:val="006647FF"/>
    <w:rsid w:val="00664DF5"/>
    <w:rsid w:val="006655E1"/>
    <w:rsid w:val="00665E1E"/>
    <w:rsid w:val="00666172"/>
    <w:rsid w:val="00666C91"/>
    <w:rsid w:val="00666F73"/>
    <w:rsid w:val="00667D81"/>
    <w:rsid w:val="0067006E"/>
    <w:rsid w:val="0067024A"/>
    <w:rsid w:val="00670279"/>
    <w:rsid w:val="006703EF"/>
    <w:rsid w:val="006706F0"/>
    <w:rsid w:val="00670EA3"/>
    <w:rsid w:val="00671630"/>
    <w:rsid w:val="00671990"/>
    <w:rsid w:val="006721B5"/>
    <w:rsid w:val="00673002"/>
    <w:rsid w:val="0067305D"/>
    <w:rsid w:val="006739F3"/>
    <w:rsid w:val="00673A54"/>
    <w:rsid w:val="00673A7B"/>
    <w:rsid w:val="00674582"/>
    <w:rsid w:val="006745B6"/>
    <w:rsid w:val="00674888"/>
    <w:rsid w:val="006750AC"/>
    <w:rsid w:val="00675ADA"/>
    <w:rsid w:val="006760FB"/>
    <w:rsid w:val="0067614E"/>
    <w:rsid w:val="00676357"/>
    <w:rsid w:val="00677130"/>
    <w:rsid w:val="006773A0"/>
    <w:rsid w:val="006804EE"/>
    <w:rsid w:val="0068071A"/>
    <w:rsid w:val="00680840"/>
    <w:rsid w:val="00680AA4"/>
    <w:rsid w:val="00680D11"/>
    <w:rsid w:val="0068132E"/>
    <w:rsid w:val="00681855"/>
    <w:rsid w:val="00681AAD"/>
    <w:rsid w:val="00681C3B"/>
    <w:rsid w:val="0068248B"/>
    <w:rsid w:val="00682615"/>
    <w:rsid w:val="00682619"/>
    <w:rsid w:val="006829CB"/>
    <w:rsid w:val="00682B20"/>
    <w:rsid w:val="00682C7E"/>
    <w:rsid w:val="006832C0"/>
    <w:rsid w:val="0068361B"/>
    <w:rsid w:val="00683C54"/>
    <w:rsid w:val="0068409B"/>
    <w:rsid w:val="006843E3"/>
    <w:rsid w:val="0068462D"/>
    <w:rsid w:val="00684C1E"/>
    <w:rsid w:val="00684D95"/>
    <w:rsid w:val="00685424"/>
    <w:rsid w:val="00685603"/>
    <w:rsid w:val="00685694"/>
    <w:rsid w:val="00685819"/>
    <w:rsid w:val="00685946"/>
    <w:rsid w:val="00685B87"/>
    <w:rsid w:val="00685DBC"/>
    <w:rsid w:val="00685F8B"/>
    <w:rsid w:val="00686494"/>
    <w:rsid w:val="006864D5"/>
    <w:rsid w:val="00686835"/>
    <w:rsid w:val="00686A08"/>
    <w:rsid w:val="00686DF0"/>
    <w:rsid w:val="0068708E"/>
    <w:rsid w:val="0068722C"/>
    <w:rsid w:val="00687965"/>
    <w:rsid w:val="00687976"/>
    <w:rsid w:val="00687ABE"/>
    <w:rsid w:val="00690160"/>
    <w:rsid w:val="006902A2"/>
    <w:rsid w:val="006909B2"/>
    <w:rsid w:val="00690CE1"/>
    <w:rsid w:val="00691387"/>
    <w:rsid w:val="0069146D"/>
    <w:rsid w:val="00692996"/>
    <w:rsid w:val="00693290"/>
    <w:rsid w:val="0069371A"/>
    <w:rsid w:val="006937DE"/>
    <w:rsid w:val="00693824"/>
    <w:rsid w:val="00693A7B"/>
    <w:rsid w:val="00693BD4"/>
    <w:rsid w:val="00693D49"/>
    <w:rsid w:val="00693DDC"/>
    <w:rsid w:val="0069473D"/>
    <w:rsid w:val="00694A44"/>
    <w:rsid w:val="00694B04"/>
    <w:rsid w:val="00694BA0"/>
    <w:rsid w:val="00694E4C"/>
    <w:rsid w:val="0069572C"/>
    <w:rsid w:val="00695903"/>
    <w:rsid w:val="00695EE9"/>
    <w:rsid w:val="00695F39"/>
    <w:rsid w:val="006961E9"/>
    <w:rsid w:val="006965EB"/>
    <w:rsid w:val="00696B1A"/>
    <w:rsid w:val="00696F18"/>
    <w:rsid w:val="00697056"/>
    <w:rsid w:val="006970CC"/>
    <w:rsid w:val="0069737A"/>
    <w:rsid w:val="00697500"/>
    <w:rsid w:val="00697797"/>
    <w:rsid w:val="00697DD9"/>
    <w:rsid w:val="006A03BF"/>
    <w:rsid w:val="006A04C6"/>
    <w:rsid w:val="006A0DF9"/>
    <w:rsid w:val="006A1113"/>
    <w:rsid w:val="006A1191"/>
    <w:rsid w:val="006A13CE"/>
    <w:rsid w:val="006A1737"/>
    <w:rsid w:val="006A1E0A"/>
    <w:rsid w:val="006A201A"/>
    <w:rsid w:val="006A2281"/>
    <w:rsid w:val="006A2378"/>
    <w:rsid w:val="006A2802"/>
    <w:rsid w:val="006A38C5"/>
    <w:rsid w:val="006A3E23"/>
    <w:rsid w:val="006A419D"/>
    <w:rsid w:val="006A42DE"/>
    <w:rsid w:val="006A451C"/>
    <w:rsid w:val="006A4F7B"/>
    <w:rsid w:val="006A5B5C"/>
    <w:rsid w:val="006A5B6B"/>
    <w:rsid w:val="006A5FAE"/>
    <w:rsid w:val="006A632F"/>
    <w:rsid w:val="006A6362"/>
    <w:rsid w:val="006A6444"/>
    <w:rsid w:val="006A6D4D"/>
    <w:rsid w:val="006A7DEF"/>
    <w:rsid w:val="006B0283"/>
    <w:rsid w:val="006B05A9"/>
    <w:rsid w:val="006B0B59"/>
    <w:rsid w:val="006B0CA0"/>
    <w:rsid w:val="006B0D4B"/>
    <w:rsid w:val="006B13EF"/>
    <w:rsid w:val="006B1837"/>
    <w:rsid w:val="006B1E7B"/>
    <w:rsid w:val="006B20BB"/>
    <w:rsid w:val="006B268C"/>
    <w:rsid w:val="006B2B07"/>
    <w:rsid w:val="006B2D06"/>
    <w:rsid w:val="006B3C1A"/>
    <w:rsid w:val="006B3FF8"/>
    <w:rsid w:val="006B42F4"/>
    <w:rsid w:val="006B4371"/>
    <w:rsid w:val="006B44E5"/>
    <w:rsid w:val="006B4591"/>
    <w:rsid w:val="006B45D0"/>
    <w:rsid w:val="006B48D4"/>
    <w:rsid w:val="006B4AE0"/>
    <w:rsid w:val="006B6892"/>
    <w:rsid w:val="006B6916"/>
    <w:rsid w:val="006B6A9C"/>
    <w:rsid w:val="006B6D52"/>
    <w:rsid w:val="006B6DE8"/>
    <w:rsid w:val="006B70BB"/>
    <w:rsid w:val="006B733D"/>
    <w:rsid w:val="006B73F0"/>
    <w:rsid w:val="006B754C"/>
    <w:rsid w:val="006B75DC"/>
    <w:rsid w:val="006B76E9"/>
    <w:rsid w:val="006B77B2"/>
    <w:rsid w:val="006B79E5"/>
    <w:rsid w:val="006B7C3B"/>
    <w:rsid w:val="006C0063"/>
    <w:rsid w:val="006C03D8"/>
    <w:rsid w:val="006C0AD7"/>
    <w:rsid w:val="006C0FA5"/>
    <w:rsid w:val="006C1501"/>
    <w:rsid w:val="006C1519"/>
    <w:rsid w:val="006C1721"/>
    <w:rsid w:val="006C1789"/>
    <w:rsid w:val="006C17EE"/>
    <w:rsid w:val="006C2106"/>
    <w:rsid w:val="006C222D"/>
    <w:rsid w:val="006C23CD"/>
    <w:rsid w:val="006C267B"/>
    <w:rsid w:val="006C29DF"/>
    <w:rsid w:val="006C34E5"/>
    <w:rsid w:val="006C46B0"/>
    <w:rsid w:val="006C4D3A"/>
    <w:rsid w:val="006C5727"/>
    <w:rsid w:val="006C574C"/>
    <w:rsid w:val="006C5836"/>
    <w:rsid w:val="006C5A9C"/>
    <w:rsid w:val="006C6BF2"/>
    <w:rsid w:val="006C7E77"/>
    <w:rsid w:val="006D051F"/>
    <w:rsid w:val="006D0B84"/>
    <w:rsid w:val="006D0CCD"/>
    <w:rsid w:val="006D102C"/>
    <w:rsid w:val="006D1052"/>
    <w:rsid w:val="006D139C"/>
    <w:rsid w:val="006D1533"/>
    <w:rsid w:val="006D1CF0"/>
    <w:rsid w:val="006D2873"/>
    <w:rsid w:val="006D2C5C"/>
    <w:rsid w:val="006D30D1"/>
    <w:rsid w:val="006D378A"/>
    <w:rsid w:val="006D39F4"/>
    <w:rsid w:val="006D3CB4"/>
    <w:rsid w:val="006D3EDB"/>
    <w:rsid w:val="006D40B1"/>
    <w:rsid w:val="006D43AE"/>
    <w:rsid w:val="006D43C9"/>
    <w:rsid w:val="006D43CD"/>
    <w:rsid w:val="006D4565"/>
    <w:rsid w:val="006D4B13"/>
    <w:rsid w:val="006D4D86"/>
    <w:rsid w:val="006D64A2"/>
    <w:rsid w:val="006D7960"/>
    <w:rsid w:val="006D7A3A"/>
    <w:rsid w:val="006D7D0B"/>
    <w:rsid w:val="006E0281"/>
    <w:rsid w:val="006E07F8"/>
    <w:rsid w:val="006E0DFC"/>
    <w:rsid w:val="006E0E3E"/>
    <w:rsid w:val="006E0F62"/>
    <w:rsid w:val="006E134E"/>
    <w:rsid w:val="006E178C"/>
    <w:rsid w:val="006E1C6E"/>
    <w:rsid w:val="006E2A6A"/>
    <w:rsid w:val="006E3297"/>
    <w:rsid w:val="006E34AB"/>
    <w:rsid w:val="006E392E"/>
    <w:rsid w:val="006E4317"/>
    <w:rsid w:val="006E4488"/>
    <w:rsid w:val="006E4805"/>
    <w:rsid w:val="006E4BB7"/>
    <w:rsid w:val="006E4C6A"/>
    <w:rsid w:val="006E4C6B"/>
    <w:rsid w:val="006E51C5"/>
    <w:rsid w:val="006E6181"/>
    <w:rsid w:val="006E6315"/>
    <w:rsid w:val="006E68CF"/>
    <w:rsid w:val="006E6E06"/>
    <w:rsid w:val="006E769C"/>
    <w:rsid w:val="006E771E"/>
    <w:rsid w:val="006E7E48"/>
    <w:rsid w:val="006E7F37"/>
    <w:rsid w:val="006F036D"/>
    <w:rsid w:val="006F048F"/>
    <w:rsid w:val="006F0CFE"/>
    <w:rsid w:val="006F0D13"/>
    <w:rsid w:val="006F10FC"/>
    <w:rsid w:val="006F2036"/>
    <w:rsid w:val="006F2D70"/>
    <w:rsid w:val="006F2E0A"/>
    <w:rsid w:val="006F2E86"/>
    <w:rsid w:val="006F300D"/>
    <w:rsid w:val="006F3333"/>
    <w:rsid w:val="006F34F2"/>
    <w:rsid w:val="006F3B2A"/>
    <w:rsid w:val="006F3DD8"/>
    <w:rsid w:val="006F46E6"/>
    <w:rsid w:val="006F47BF"/>
    <w:rsid w:val="006F4A46"/>
    <w:rsid w:val="006F4E8E"/>
    <w:rsid w:val="006F50C3"/>
    <w:rsid w:val="006F586A"/>
    <w:rsid w:val="006F5940"/>
    <w:rsid w:val="006F5C02"/>
    <w:rsid w:val="006F5CE0"/>
    <w:rsid w:val="006F5E40"/>
    <w:rsid w:val="006F5F99"/>
    <w:rsid w:val="006F629D"/>
    <w:rsid w:val="006F654A"/>
    <w:rsid w:val="006F667C"/>
    <w:rsid w:val="006F6C9C"/>
    <w:rsid w:val="006F6F9C"/>
    <w:rsid w:val="006F74B4"/>
    <w:rsid w:val="006F7BDD"/>
    <w:rsid w:val="006F7C48"/>
    <w:rsid w:val="007005EF"/>
    <w:rsid w:val="007010AE"/>
    <w:rsid w:val="00701163"/>
    <w:rsid w:val="00701C47"/>
    <w:rsid w:val="00701F3A"/>
    <w:rsid w:val="00702B7C"/>
    <w:rsid w:val="00702E30"/>
    <w:rsid w:val="00703662"/>
    <w:rsid w:val="00703D55"/>
    <w:rsid w:val="0070419F"/>
    <w:rsid w:val="00704569"/>
    <w:rsid w:val="00704829"/>
    <w:rsid w:val="007049AF"/>
    <w:rsid w:val="00704ADC"/>
    <w:rsid w:val="00705537"/>
    <w:rsid w:val="00705767"/>
    <w:rsid w:val="0070590C"/>
    <w:rsid w:val="00706751"/>
    <w:rsid w:val="00706B5C"/>
    <w:rsid w:val="007075EA"/>
    <w:rsid w:val="00707A39"/>
    <w:rsid w:val="00707B6B"/>
    <w:rsid w:val="00707CFE"/>
    <w:rsid w:val="00707D97"/>
    <w:rsid w:val="00710243"/>
    <w:rsid w:val="0071038A"/>
    <w:rsid w:val="00710451"/>
    <w:rsid w:val="00710A2A"/>
    <w:rsid w:val="00710DB4"/>
    <w:rsid w:val="00710EF2"/>
    <w:rsid w:val="00711DC2"/>
    <w:rsid w:val="007120E9"/>
    <w:rsid w:val="0071251F"/>
    <w:rsid w:val="0071279F"/>
    <w:rsid w:val="00712A60"/>
    <w:rsid w:val="00712CFC"/>
    <w:rsid w:val="00712F4D"/>
    <w:rsid w:val="0071316D"/>
    <w:rsid w:val="0071319D"/>
    <w:rsid w:val="00713AEB"/>
    <w:rsid w:val="00713B7C"/>
    <w:rsid w:val="007151D4"/>
    <w:rsid w:val="00715236"/>
    <w:rsid w:val="0071594A"/>
    <w:rsid w:val="00715F69"/>
    <w:rsid w:val="00716946"/>
    <w:rsid w:val="00717709"/>
    <w:rsid w:val="00717CE6"/>
    <w:rsid w:val="00717F7F"/>
    <w:rsid w:val="0072074D"/>
    <w:rsid w:val="0072079E"/>
    <w:rsid w:val="0072083B"/>
    <w:rsid w:val="00720ACE"/>
    <w:rsid w:val="00720BE2"/>
    <w:rsid w:val="00720FCE"/>
    <w:rsid w:val="00721252"/>
    <w:rsid w:val="00721510"/>
    <w:rsid w:val="0072195F"/>
    <w:rsid w:val="00722420"/>
    <w:rsid w:val="007226C1"/>
    <w:rsid w:val="00722934"/>
    <w:rsid w:val="00722F5C"/>
    <w:rsid w:val="00723860"/>
    <w:rsid w:val="00723DF3"/>
    <w:rsid w:val="0072410E"/>
    <w:rsid w:val="00724ABF"/>
    <w:rsid w:val="00724DA0"/>
    <w:rsid w:val="00724F07"/>
    <w:rsid w:val="00725C36"/>
    <w:rsid w:val="00725F40"/>
    <w:rsid w:val="007260E4"/>
    <w:rsid w:val="00726D14"/>
    <w:rsid w:val="00726EC1"/>
    <w:rsid w:val="00727137"/>
    <w:rsid w:val="00730A46"/>
    <w:rsid w:val="00731007"/>
    <w:rsid w:val="007314D1"/>
    <w:rsid w:val="00731D45"/>
    <w:rsid w:val="00731FD9"/>
    <w:rsid w:val="0073263D"/>
    <w:rsid w:val="00732AA1"/>
    <w:rsid w:val="00732DF4"/>
    <w:rsid w:val="00732F31"/>
    <w:rsid w:val="007333B4"/>
    <w:rsid w:val="00733643"/>
    <w:rsid w:val="00733968"/>
    <w:rsid w:val="00733FF3"/>
    <w:rsid w:val="00734220"/>
    <w:rsid w:val="007347F8"/>
    <w:rsid w:val="00734BF6"/>
    <w:rsid w:val="00734D4E"/>
    <w:rsid w:val="00734E4F"/>
    <w:rsid w:val="00735629"/>
    <w:rsid w:val="007356E1"/>
    <w:rsid w:val="00735C10"/>
    <w:rsid w:val="0073605F"/>
    <w:rsid w:val="00736914"/>
    <w:rsid w:val="00736D9E"/>
    <w:rsid w:val="00737574"/>
    <w:rsid w:val="0074000D"/>
    <w:rsid w:val="007413DE"/>
    <w:rsid w:val="007414D3"/>
    <w:rsid w:val="007415FF"/>
    <w:rsid w:val="007416BB"/>
    <w:rsid w:val="00741D70"/>
    <w:rsid w:val="0074240C"/>
    <w:rsid w:val="00742909"/>
    <w:rsid w:val="00742BE9"/>
    <w:rsid w:val="007430D4"/>
    <w:rsid w:val="007431E6"/>
    <w:rsid w:val="00743767"/>
    <w:rsid w:val="00743790"/>
    <w:rsid w:val="00743C9B"/>
    <w:rsid w:val="007443EB"/>
    <w:rsid w:val="00745029"/>
    <w:rsid w:val="0074503B"/>
    <w:rsid w:val="007460F1"/>
    <w:rsid w:val="00746998"/>
    <w:rsid w:val="00746DC9"/>
    <w:rsid w:val="00746EEB"/>
    <w:rsid w:val="007475CE"/>
    <w:rsid w:val="0074785E"/>
    <w:rsid w:val="00750C23"/>
    <w:rsid w:val="00751BEB"/>
    <w:rsid w:val="00751E27"/>
    <w:rsid w:val="00752366"/>
    <w:rsid w:val="0075245C"/>
    <w:rsid w:val="007525D5"/>
    <w:rsid w:val="00753038"/>
    <w:rsid w:val="007535C9"/>
    <w:rsid w:val="00753F69"/>
    <w:rsid w:val="00754814"/>
    <w:rsid w:val="00754D87"/>
    <w:rsid w:val="00754DC7"/>
    <w:rsid w:val="00754F0A"/>
    <w:rsid w:val="0075569F"/>
    <w:rsid w:val="00756735"/>
    <w:rsid w:val="00756B05"/>
    <w:rsid w:val="00756F3F"/>
    <w:rsid w:val="0075714D"/>
    <w:rsid w:val="007603D2"/>
    <w:rsid w:val="007609AC"/>
    <w:rsid w:val="0076102C"/>
    <w:rsid w:val="007615AD"/>
    <w:rsid w:val="007615D3"/>
    <w:rsid w:val="00761DC6"/>
    <w:rsid w:val="00762348"/>
    <w:rsid w:val="00762A8A"/>
    <w:rsid w:val="007631B5"/>
    <w:rsid w:val="0076327D"/>
    <w:rsid w:val="00764A1F"/>
    <w:rsid w:val="00764D6D"/>
    <w:rsid w:val="00765A06"/>
    <w:rsid w:val="00766020"/>
    <w:rsid w:val="00766067"/>
    <w:rsid w:val="0076621E"/>
    <w:rsid w:val="00766254"/>
    <w:rsid w:val="007669C6"/>
    <w:rsid w:val="00766F41"/>
    <w:rsid w:val="00766F64"/>
    <w:rsid w:val="007672C8"/>
    <w:rsid w:val="00767819"/>
    <w:rsid w:val="0076782A"/>
    <w:rsid w:val="00767BC1"/>
    <w:rsid w:val="007706BA"/>
    <w:rsid w:val="00770C66"/>
    <w:rsid w:val="00771EC7"/>
    <w:rsid w:val="00772365"/>
    <w:rsid w:val="0077310D"/>
    <w:rsid w:val="00774135"/>
    <w:rsid w:val="00774848"/>
    <w:rsid w:val="007748D3"/>
    <w:rsid w:val="00775243"/>
    <w:rsid w:val="00775476"/>
    <w:rsid w:val="007755AC"/>
    <w:rsid w:val="007758C0"/>
    <w:rsid w:val="00775C08"/>
    <w:rsid w:val="0077658A"/>
    <w:rsid w:val="00776C66"/>
    <w:rsid w:val="00776EDA"/>
    <w:rsid w:val="00777104"/>
    <w:rsid w:val="00777196"/>
    <w:rsid w:val="00777211"/>
    <w:rsid w:val="00777564"/>
    <w:rsid w:val="00777619"/>
    <w:rsid w:val="00777763"/>
    <w:rsid w:val="00777CB3"/>
    <w:rsid w:val="0078032F"/>
    <w:rsid w:val="007815D5"/>
    <w:rsid w:val="00781863"/>
    <w:rsid w:val="00781AD5"/>
    <w:rsid w:val="007824AF"/>
    <w:rsid w:val="007825CF"/>
    <w:rsid w:val="0078285C"/>
    <w:rsid w:val="0078285D"/>
    <w:rsid w:val="0078291F"/>
    <w:rsid w:val="007830C0"/>
    <w:rsid w:val="00783582"/>
    <w:rsid w:val="00783774"/>
    <w:rsid w:val="00783DE4"/>
    <w:rsid w:val="00784AEB"/>
    <w:rsid w:val="00784C72"/>
    <w:rsid w:val="00784DAC"/>
    <w:rsid w:val="00785064"/>
    <w:rsid w:val="0078530D"/>
    <w:rsid w:val="007856A3"/>
    <w:rsid w:val="00785941"/>
    <w:rsid w:val="00785C91"/>
    <w:rsid w:val="00785F1C"/>
    <w:rsid w:val="0078608A"/>
    <w:rsid w:val="00786267"/>
    <w:rsid w:val="00786382"/>
    <w:rsid w:val="007864DE"/>
    <w:rsid w:val="007868C6"/>
    <w:rsid w:val="00787B1E"/>
    <w:rsid w:val="0079043F"/>
    <w:rsid w:val="0079087B"/>
    <w:rsid w:val="00790897"/>
    <w:rsid w:val="00790F16"/>
    <w:rsid w:val="00790F98"/>
    <w:rsid w:val="007914E9"/>
    <w:rsid w:val="00791505"/>
    <w:rsid w:val="007915BF"/>
    <w:rsid w:val="007917B9"/>
    <w:rsid w:val="00791CEE"/>
    <w:rsid w:val="00792470"/>
    <w:rsid w:val="0079259E"/>
    <w:rsid w:val="00792A3E"/>
    <w:rsid w:val="00792E8E"/>
    <w:rsid w:val="007934F4"/>
    <w:rsid w:val="007936D5"/>
    <w:rsid w:val="00793B0E"/>
    <w:rsid w:val="00793C13"/>
    <w:rsid w:val="00793C5A"/>
    <w:rsid w:val="00793CE7"/>
    <w:rsid w:val="00793DBF"/>
    <w:rsid w:val="00795491"/>
    <w:rsid w:val="007956CB"/>
    <w:rsid w:val="00795B2C"/>
    <w:rsid w:val="00795B58"/>
    <w:rsid w:val="007966BC"/>
    <w:rsid w:val="00796ABF"/>
    <w:rsid w:val="00796F0C"/>
    <w:rsid w:val="00797050"/>
    <w:rsid w:val="0079710C"/>
    <w:rsid w:val="00797497"/>
    <w:rsid w:val="00797862"/>
    <w:rsid w:val="0079792C"/>
    <w:rsid w:val="00797960"/>
    <w:rsid w:val="007979DA"/>
    <w:rsid w:val="00797CF0"/>
    <w:rsid w:val="007A0547"/>
    <w:rsid w:val="007A09CB"/>
    <w:rsid w:val="007A09E6"/>
    <w:rsid w:val="007A1AA1"/>
    <w:rsid w:val="007A22BC"/>
    <w:rsid w:val="007A243F"/>
    <w:rsid w:val="007A26F3"/>
    <w:rsid w:val="007A2FDB"/>
    <w:rsid w:val="007A3A09"/>
    <w:rsid w:val="007A3F98"/>
    <w:rsid w:val="007A4014"/>
    <w:rsid w:val="007A402C"/>
    <w:rsid w:val="007A4406"/>
    <w:rsid w:val="007A465E"/>
    <w:rsid w:val="007A4738"/>
    <w:rsid w:val="007A4A40"/>
    <w:rsid w:val="007A4D37"/>
    <w:rsid w:val="007A5500"/>
    <w:rsid w:val="007A5927"/>
    <w:rsid w:val="007A6037"/>
    <w:rsid w:val="007A63A4"/>
    <w:rsid w:val="007A6613"/>
    <w:rsid w:val="007A6F3B"/>
    <w:rsid w:val="007A6F9B"/>
    <w:rsid w:val="007A7072"/>
    <w:rsid w:val="007A7AE0"/>
    <w:rsid w:val="007A7C65"/>
    <w:rsid w:val="007B01E5"/>
    <w:rsid w:val="007B0974"/>
    <w:rsid w:val="007B0ACF"/>
    <w:rsid w:val="007B0D4F"/>
    <w:rsid w:val="007B1168"/>
    <w:rsid w:val="007B1942"/>
    <w:rsid w:val="007B1B91"/>
    <w:rsid w:val="007B2047"/>
    <w:rsid w:val="007B25CC"/>
    <w:rsid w:val="007B26F9"/>
    <w:rsid w:val="007B2861"/>
    <w:rsid w:val="007B3131"/>
    <w:rsid w:val="007B320D"/>
    <w:rsid w:val="007B3494"/>
    <w:rsid w:val="007B3603"/>
    <w:rsid w:val="007B3625"/>
    <w:rsid w:val="007B3788"/>
    <w:rsid w:val="007B3B18"/>
    <w:rsid w:val="007B3BA5"/>
    <w:rsid w:val="007B4EFF"/>
    <w:rsid w:val="007B5098"/>
    <w:rsid w:val="007B5622"/>
    <w:rsid w:val="007B56BC"/>
    <w:rsid w:val="007B59D8"/>
    <w:rsid w:val="007B6921"/>
    <w:rsid w:val="007B6E5A"/>
    <w:rsid w:val="007B70AD"/>
    <w:rsid w:val="007B77AA"/>
    <w:rsid w:val="007B7983"/>
    <w:rsid w:val="007B7C5A"/>
    <w:rsid w:val="007B7E85"/>
    <w:rsid w:val="007C00BA"/>
    <w:rsid w:val="007C0197"/>
    <w:rsid w:val="007C026C"/>
    <w:rsid w:val="007C049A"/>
    <w:rsid w:val="007C058B"/>
    <w:rsid w:val="007C061F"/>
    <w:rsid w:val="007C0780"/>
    <w:rsid w:val="007C16FC"/>
    <w:rsid w:val="007C1AA8"/>
    <w:rsid w:val="007C2847"/>
    <w:rsid w:val="007C298A"/>
    <w:rsid w:val="007C2D4C"/>
    <w:rsid w:val="007C2FAB"/>
    <w:rsid w:val="007C44CD"/>
    <w:rsid w:val="007C4539"/>
    <w:rsid w:val="007C4AF2"/>
    <w:rsid w:val="007C504B"/>
    <w:rsid w:val="007C5242"/>
    <w:rsid w:val="007C53AC"/>
    <w:rsid w:val="007C53AD"/>
    <w:rsid w:val="007C55B2"/>
    <w:rsid w:val="007C5780"/>
    <w:rsid w:val="007C5B92"/>
    <w:rsid w:val="007C61DA"/>
    <w:rsid w:val="007C62D8"/>
    <w:rsid w:val="007C68C5"/>
    <w:rsid w:val="007C7D22"/>
    <w:rsid w:val="007C7F90"/>
    <w:rsid w:val="007D0409"/>
    <w:rsid w:val="007D0558"/>
    <w:rsid w:val="007D0E0B"/>
    <w:rsid w:val="007D0EB0"/>
    <w:rsid w:val="007D1AA5"/>
    <w:rsid w:val="007D28B2"/>
    <w:rsid w:val="007D33A1"/>
    <w:rsid w:val="007D35BF"/>
    <w:rsid w:val="007D3C47"/>
    <w:rsid w:val="007D4547"/>
    <w:rsid w:val="007D477C"/>
    <w:rsid w:val="007D5123"/>
    <w:rsid w:val="007D553A"/>
    <w:rsid w:val="007D554E"/>
    <w:rsid w:val="007D5719"/>
    <w:rsid w:val="007D668E"/>
    <w:rsid w:val="007D6C3A"/>
    <w:rsid w:val="007D6EAD"/>
    <w:rsid w:val="007D7077"/>
    <w:rsid w:val="007D74EE"/>
    <w:rsid w:val="007D7764"/>
    <w:rsid w:val="007D782D"/>
    <w:rsid w:val="007E029C"/>
    <w:rsid w:val="007E03E8"/>
    <w:rsid w:val="007E03ED"/>
    <w:rsid w:val="007E0AD9"/>
    <w:rsid w:val="007E0EFB"/>
    <w:rsid w:val="007E0F3D"/>
    <w:rsid w:val="007E0FBF"/>
    <w:rsid w:val="007E14F5"/>
    <w:rsid w:val="007E1FB8"/>
    <w:rsid w:val="007E1FEA"/>
    <w:rsid w:val="007E213B"/>
    <w:rsid w:val="007E2183"/>
    <w:rsid w:val="007E2552"/>
    <w:rsid w:val="007E25F1"/>
    <w:rsid w:val="007E25FB"/>
    <w:rsid w:val="007E2810"/>
    <w:rsid w:val="007E28F1"/>
    <w:rsid w:val="007E2E01"/>
    <w:rsid w:val="007E35C1"/>
    <w:rsid w:val="007E3A26"/>
    <w:rsid w:val="007E4191"/>
    <w:rsid w:val="007E4268"/>
    <w:rsid w:val="007E45A2"/>
    <w:rsid w:val="007E4747"/>
    <w:rsid w:val="007E4A63"/>
    <w:rsid w:val="007E4C55"/>
    <w:rsid w:val="007E569E"/>
    <w:rsid w:val="007E5CC5"/>
    <w:rsid w:val="007E6615"/>
    <w:rsid w:val="007E694D"/>
    <w:rsid w:val="007E6F5F"/>
    <w:rsid w:val="007F03E6"/>
    <w:rsid w:val="007F081C"/>
    <w:rsid w:val="007F1C0D"/>
    <w:rsid w:val="007F2074"/>
    <w:rsid w:val="007F255E"/>
    <w:rsid w:val="007F293F"/>
    <w:rsid w:val="007F386E"/>
    <w:rsid w:val="007F42C6"/>
    <w:rsid w:val="007F45D4"/>
    <w:rsid w:val="007F4802"/>
    <w:rsid w:val="007F4CA9"/>
    <w:rsid w:val="007F576A"/>
    <w:rsid w:val="007F5866"/>
    <w:rsid w:val="007F5A7C"/>
    <w:rsid w:val="007F5BD3"/>
    <w:rsid w:val="007F615E"/>
    <w:rsid w:val="007F6A31"/>
    <w:rsid w:val="007F6A64"/>
    <w:rsid w:val="007F7E7D"/>
    <w:rsid w:val="007F7EE0"/>
    <w:rsid w:val="008000EE"/>
    <w:rsid w:val="00800353"/>
    <w:rsid w:val="0080114C"/>
    <w:rsid w:val="00801267"/>
    <w:rsid w:val="008018B4"/>
    <w:rsid w:val="008020AE"/>
    <w:rsid w:val="00802D8A"/>
    <w:rsid w:val="0080344D"/>
    <w:rsid w:val="00803DBD"/>
    <w:rsid w:val="00804051"/>
    <w:rsid w:val="0080428A"/>
    <w:rsid w:val="00804952"/>
    <w:rsid w:val="008058D2"/>
    <w:rsid w:val="008059FA"/>
    <w:rsid w:val="00805D99"/>
    <w:rsid w:val="00805E3D"/>
    <w:rsid w:val="00806588"/>
    <w:rsid w:val="00806B2E"/>
    <w:rsid w:val="00806D50"/>
    <w:rsid w:val="008070EE"/>
    <w:rsid w:val="00807353"/>
    <w:rsid w:val="00807694"/>
    <w:rsid w:val="00807EEB"/>
    <w:rsid w:val="00807FB3"/>
    <w:rsid w:val="008108AF"/>
    <w:rsid w:val="00810E45"/>
    <w:rsid w:val="0081177E"/>
    <w:rsid w:val="00811D3B"/>
    <w:rsid w:val="00811E0E"/>
    <w:rsid w:val="0081253A"/>
    <w:rsid w:val="008125ED"/>
    <w:rsid w:val="008128C5"/>
    <w:rsid w:val="008135C9"/>
    <w:rsid w:val="0081369D"/>
    <w:rsid w:val="00813D40"/>
    <w:rsid w:val="008142FE"/>
    <w:rsid w:val="00814E33"/>
    <w:rsid w:val="0081503F"/>
    <w:rsid w:val="00815241"/>
    <w:rsid w:val="008155D2"/>
    <w:rsid w:val="0081569E"/>
    <w:rsid w:val="00815E3B"/>
    <w:rsid w:val="0081606E"/>
    <w:rsid w:val="00816CEF"/>
    <w:rsid w:val="00817549"/>
    <w:rsid w:val="00817D07"/>
    <w:rsid w:val="00820136"/>
    <w:rsid w:val="00820199"/>
    <w:rsid w:val="0082036E"/>
    <w:rsid w:val="00820560"/>
    <w:rsid w:val="008208FA"/>
    <w:rsid w:val="00820AB4"/>
    <w:rsid w:val="00820B2C"/>
    <w:rsid w:val="00821069"/>
    <w:rsid w:val="00821161"/>
    <w:rsid w:val="0082129C"/>
    <w:rsid w:val="0082209B"/>
    <w:rsid w:val="0082214E"/>
    <w:rsid w:val="0082270C"/>
    <w:rsid w:val="00822A46"/>
    <w:rsid w:val="00823157"/>
    <w:rsid w:val="00823772"/>
    <w:rsid w:val="00824014"/>
    <w:rsid w:val="00824287"/>
    <w:rsid w:val="00824FC0"/>
    <w:rsid w:val="0082512E"/>
    <w:rsid w:val="00825258"/>
    <w:rsid w:val="00825E0E"/>
    <w:rsid w:val="00826D6D"/>
    <w:rsid w:val="008273EA"/>
    <w:rsid w:val="008276CD"/>
    <w:rsid w:val="00827EBB"/>
    <w:rsid w:val="00830081"/>
    <w:rsid w:val="008308F6"/>
    <w:rsid w:val="00830D9C"/>
    <w:rsid w:val="00830DB2"/>
    <w:rsid w:val="00830EC0"/>
    <w:rsid w:val="00830F05"/>
    <w:rsid w:val="008324E7"/>
    <w:rsid w:val="00832892"/>
    <w:rsid w:val="00832D84"/>
    <w:rsid w:val="00832FDF"/>
    <w:rsid w:val="0083306C"/>
    <w:rsid w:val="00833239"/>
    <w:rsid w:val="00834984"/>
    <w:rsid w:val="00834AD7"/>
    <w:rsid w:val="00834BC8"/>
    <w:rsid w:val="00834CC2"/>
    <w:rsid w:val="00835398"/>
    <w:rsid w:val="008355BA"/>
    <w:rsid w:val="00835D2E"/>
    <w:rsid w:val="008361B8"/>
    <w:rsid w:val="008367D0"/>
    <w:rsid w:val="00836D32"/>
    <w:rsid w:val="00836F4A"/>
    <w:rsid w:val="008370FF"/>
    <w:rsid w:val="008373A0"/>
    <w:rsid w:val="00837F47"/>
    <w:rsid w:val="00840018"/>
    <w:rsid w:val="00840223"/>
    <w:rsid w:val="00840533"/>
    <w:rsid w:val="00840A94"/>
    <w:rsid w:val="00841265"/>
    <w:rsid w:val="008417E2"/>
    <w:rsid w:val="00841FC1"/>
    <w:rsid w:val="00842961"/>
    <w:rsid w:val="00842FBE"/>
    <w:rsid w:val="008431E9"/>
    <w:rsid w:val="008433D5"/>
    <w:rsid w:val="008434A1"/>
    <w:rsid w:val="00843AC9"/>
    <w:rsid w:val="008445BD"/>
    <w:rsid w:val="00844B46"/>
    <w:rsid w:val="0084531E"/>
    <w:rsid w:val="00845381"/>
    <w:rsid w:val="00845EA2"/>
    <w:rsid w:val="008460A7"/>
    <w:rsid w:val="0084618C"/>
    <w:rsid w:val="008473F7"/>
    <w:rsid w:val="00847615"/>
    <w:rsid w:val="00847923"/>
    <w:rsid w:val="00847B85"/>
    <w:rsid w:val="008513DE"/>
    <w:rsid w:val="00851CEA"/>
    <w:rsid w:val="00852807"/>
    <w:rsid w:val="00852BD2"/>
    <w:rsid w:val="00852FCD"/>
    <w:rsid w:val="008538E1"/>
    <w:rsid w:val="00853F76"/>
    <w:rsid w:val="00854326"/>
    <w:rsid w:val="00854640"/>
    <w:rsid w:val="0085496F"/>
    <w:rsid w:val="00854DDC"/>
    <w:rsid w:val="008554B7"/>
    <w:rsid w:val="00855B08"/>
    <w:rsid w:val="00855F45"/>
    <w:rsid w:val="008564AB"/>
    <w:rsid w:val="00856776"/>
    <w:rsid w:val="0085686E"/>
    <w:rsid w:val="00856F58"/>
    <w:rsid w:val="008572FF"/>
    <w:rsid w:val="00860714"/>
    <w:rsid w:val="00860793"/>
    <w:rsid w:val="00860C4F"/>
    <w:rsid w:val="0086134C"/>
    <w:rsid w:val="00861CF3"/>
    <w:rsid w:val="00861DF7"/>
    <w:rsid w:val="00861F60"/>
    <w:rsid w:val="00861F69"/>
    <w:rsid w:val="008620DF"/>
    <w:rsid w:val="008622A3"/>
    <w:rsid w:val="00862F95"/>
    <w:rsid w:val="008633F3"/>
    <w:rsid w:val="0086378B"/>
    <w:rsid w:val="00863B82"/>
    <w:rsid w:val="0086482C"/>
    <w:rsid w:val="008648B5"/>
    <w:rsid w:val="008649FF"/>
    <w:rsid w:val="00864B0B"/>
    <w:rsid w:val="00864D3B"/>
    <w:rsid w:val="0086560F"/>
    <w:rsid w:val="00865AD9"/>
    <w:rsid w:val="008666A6"/>
    <w:rsid w:val="00866884"/>
    <w:rsid w:val="008668C6"/>
    <w:rsid w:val="00866C19"/>
    <w:rsid w:val="00866C33"/>
    <w:rsid w:val="00866DF7"/>
    <w:rsid w:val="00866EEB"/>
    <w:rsid w:val="0086718F"/>
    <w:rsid w:val="0086740B"/>
    <w:rsid w:val="008675AE"/>
    <w:rsid w:val="00867D2D"/>
    <w:rsid w:val="00867D63"/>
    <w:rsid w:val="00867D98"/>
    <w:rsid w:val="00870BEE"/>
    <w:rsid w:val="00871301"/>
    <w:rsid w:val="00871423"/>
    <w:rsid w:val="0087193D"/>
    <w:rsid w:val="00872212"/>
    <w:rsid w:val="00872298"/>
    <w:rsid w:val="00872455"/>
    <w:rsid w:val="00872637"/>
    <w:rsid w:val="008728BE"/>
    <w:rsid w:val="00872973"/>
    <w:rsid w:val="008732AB"/>
    <w:rsid w:val="00873AC7"/>
    <w:rsid w:val="00873B08"/>
    <w:rsid w:val="0087469F"/>
    <w:rsid w:val="008748ED"/>
    <w:rsid w:val="00874D51"/>
    <w:rsid w:val="008755A4"/>
    <w:rsid w:val="008758A7"/>
    <w:rsid w:val="00875A9C"/>
    <w:rsid w:val="00876090"/>
    <w:rsid w:val="00876172"/>
    <w:rsid w:val="008764DE"/>
    <w:rsid w:val="00876BE6"/>
    <w:rsid w:val="00876E00"/>
    <w:rsid w:val="008773AA"/>
    <w:rsid w:val="00877410"/>
    <w:rsid w:val="008775B9"/>
    <w:rsid w:val="00877895"/>
    <w:rsid w:val="008778D2"/>
    <w:rsid w:val="00877BE6"/>
    <w:rsid w:val="00877E7F"/>
    <w:rsid w:val="00877F87"/>
    <w:rsid w:val="008802DB"/>
    <w:rsid w:val="0088097F"/>
    <w:rsid w:val="00881079"/>
    <w:rsid w:val="00881492"/>
    <w:rsid w:val="00881968"/>
    <w:rsid w:val="00881975"/>
    <w:rsid w:val="00882B06"/>
    <w:rsid w:val="00884876"/>
    <w:rsid w:val="00884919"/>
    <w:rsid w:val="008855B7"/>
    <w:rsid w:val="0088574D"/>
    <w:rsid w:val="00885BE6"/>
    <w:rsid w:val="00885FDF"/>
    <w:rsid w:val="008860E0"/>
    <w:rsid w:val="00886335"/>
    <w:rsid w:val="008868CC"/>
    <w:rsid w:val="00886E94"/>
    <w:rsid w:val="00887CD8"/>
    <w:rsid w:val="00887D80"/>
    <w:rsid w:val="008905A2"/>
    <w:rsid w:val="00890972"/>
    <w:rsid w:val="00890A59"/>
    <w:rsid w:val="00890F31"/>
    <w:rsid w:val="00891D87"/>
    <w:rsid w:val="00891D9E"/>
    <w:rsid w:val="008922E7"/>
    <w:rsid w:val="00892F49"/>
    <w:rsid w:val="0089322D"/>
    <w:rsid w:val="0089363C"/>
    <w:rsid w:val="00893656"/>
    <w:rsid w:val="00894169"/>
    <w:rsid w:val="008947F6"/>
    <w:rsid w:val="00894F5B"/>
    <w:rsid w:val="0089583B"/>
    <w:rsid w:val="00895857"/>
    <w:rsid w:val="008958EB"/>
    <w:rsid w:val="0089628D"/>
    <w:rsid w:val="00896419"/>
    <w:rsid w:val="00896440"/>
    <w:rsid w:val="008967D1"/>
    <w:rsid w:val="008968BA"/>
    <w:rsid w:val="00896EDC"/>
    <w:rsid w:val="00897114"/>
    <w:rsid w:val="00897CB5"/>
    <w:rsid w:val="008A053E"/>
    <w:rsid w:val="008A07A9"/>
    <w:rsid w:val="008A0D97"/>
    <w:rsid w:val="008A129A"/>
    <w:rsid w:val="008A1678"/>
    <w:rsid w:val="008A1988"/>
    <w:rsid w:val="008A1AB7"/>
    <w:rsid w:val="008A1E17"/>
    <w:rsid w:val="008A2B39"/>
    <w:rsid w:val="008A2B69"/>
    <w:rsid w:val="008A2C86"/>
    <w:rsid w:val="008A30C7"/>
    <w:rsid w:val="008A3865"/>
    <w:rsid w:val="008A3D35"/>
    <w:rsid w:val="008A4D46"/>
    <w:rsid w:val="008A4E53"/>
    <w:rsid w:val="008A5275"/>
    <w:rsid w:val="008A611B"/>
    <w:rsid w:val="008A61F6"/>
    <w:rsid w:val="008A6742"/>
    <w:rsid w:val="008A6787"/>
    <w:rsid w:val="008A67D2"/>
    <w:rsid w:val="008A6E75"/>
    <w:rsid w:val="008A7754"/>
    <w:rsid w:val="008A778A"/>
    <w:rsid w:val="008A7A1E"/>
    <w:rsid w:val="008A7C51"/>
    <w:rsid w:val="008B0645"/>
    <w:rsid w:val="008B0C07"/>
    <w:rsid w:val="008B28A2"/>
    <w:rsid w:val="008B2979"/>
    <w:rsid w:val="008B2A4C"/>
    <w:rsid w:val="008B2BB0"/>
    <w:rsid w:val="008B2C2F"/>
    <w:rsid w:val="008B316D"/>
    <w:rsid w:val="008B3788"/>
    <w:rsid w:val="008B3C2E"/>
    <w:rsid w:val="008B3D65"/>
    <w:rsid w:val="008B40B0"/>
    <w:rsid w:val="008B4D83"/>
    <w:rsid w:val="008B5008"/>
    <w:rsid w:val="008B519E"/>
    <w:rsid w:val="008B5EC4"/>
    <w:rsid w:val="008B63A1"/>
    <w:rsid w:val="008B640B"/>
    <w:rsid w:val="008B649B"/>
    <w:rsid w:val="008B6ABF"/>
    <w:rsid w:val="008B6DA0"/>
    <w:rsid w:val="008B6E1C"/>
    <w:rsid w:val="008B6FD3"/>
    <w:rsid w:val="008B70F7"/>
    <w:rsid w:val="008B7109"/>
    <w:rsid w:val="008B7322"/>
    <w:rsid w:val="008B7B5C"/>
    <w:rsid w:val="008B7EA9"/>
    <w:rsid w:val="008B7ED3"/>
    <w:rsid w:val="008C00FB"/>
    <w:rsid w:val="008C0B42"/>
    <w:rsid w:val="008C0BA8"/>
    <w:rsid w:val="008C0CE1"/>
    <w:rsid w:val="008C0EB7"/>
    <w:rsid w:val="008C1C81"/>
    <w:rsid w:val="008C2212"/>
    <w:rsid w:val="008C223D"/>
    <w:rsid w:val="008C259C"/>
    <w:rsid w:val="008C39B4"/>
    <w:rsid w:val="008C39C5"/>
    <w:rsid w:val="008C3EA7"/>
    <w:rsid w:val="008C4106"/>
    <w:rsid w:val="008C41C5"/>
    <w:rsid w:val="008C4457"/>
    <w:rsid w:val="008C463E"/>
    <w:rsid w:val="008C47C1"/>
    <w:rsid w:val="008C5098"/>
    <w:rsid w:val="008C520D"/>
    <w:rsid w:val="008C5A4F"/>
    <w:rsid w:val="008C669E"/>
    <w:rsid w:val="008C68E8"/>
    <w:rsid w:val="008C6C3A"/>
    <w:rsid w:val="008C6E21"/>
    <w:rsid w:val="008C7025"/>
    <w:rsid w:val="008C70A3"/>
    <w:rsid w:val="008C7333"/>
    <w:rsid w:val="008C7352"/>
    <w:rsid w:val="008C77DB"/>
    <w:rsid w:val="008C7AFB"/>
    <w:rsid w:val="008C7CA2"/>
    <w:rsid w:val="008D0C04"/>
    <w:rsid w:val="008D1C1D"/>
    <w:rsid w:val="008D1C2F"/>
    <w:rsid w:val="008D1D87"/>
    <w:rsid w:val="008D3778"/>
    <w:rsid w:val="008D37F2"/>
    <w:rsid w:val="008D3A4E"/>
    <w:rsid w:val="008D3B9E"/>
    <w:rsid w:val="008D4053"/>
    <w:rsid w:val="008D468D"/>
    <w:rsid w:val="008D46CA"/>
    <w:rsid w:val="008D5198"/>
    <w:rsid w:val="008D5B00"/>
    <w:rsid w:val="008D5BFC"/>
    <w:rsid w:val="008D6529"/>
    <w:rsid w:val="008D6D7C"/>
    <w:rsid w:val="008D7252"/>
    <w:rsid w:val="008D726E"/>
    <w:rsid w:val="008D770E"/>
    <w:rsid w:val="008D790C"/>
    <w:rsid w:val="008D79E6"/>
    <w:rsid w:val="008D7E95"/>
    <w:rsid w:val="008E00F9"/>
    <w:rsid w:val="008E0135"/>
    <w:rsid w:val="008E01AF"/>
    <w:rsid w:val="008E05B6"/>
    <w:rsid w:val="008E0815"/>
    <w:rsid w:val="008E0FCF"/>
    <w:rsid w:val="008E12FA"/>
    <w:rsid w:val="008E1963"/>
    <w:rsid w:val="008E1C1A"/>
    <w:rsid w:val="008E23A4"/>
    <w:rsid w:val="008E23BE"/>
    <w:rsid w:val="008E2642"/>
    <w:rsid w:val="008E297F"/>
    <w:rsid w:val="008E2DDF"/>
    <w:rsid w:val="008E2F94"/>
    <w:rsid w:val="008E3288"/>
    <w:rsid w:val="008E3443"/>
    <w:rsid w:val="008E3605"/>
    <w:rsid w:val="008E374E"/>
    <w:rsid w:val="008E38A5"/>
    <w:rsid w:val="008E3B05"/>
    <w:rsid w:val="008E4586"/>
    <w:rsid w:val="008E4B6D"/>
    <w:rsid w:val="008E4D88"/>
    <w:rsid w:val="008E4F70"/>
    <w:rsid w:val="008E5B91"/>
    <w:rsid w:val="008E5FDE"/>
    <w:rsid w:val="008E619A"/>
    <w:rsid w:val="008E6C22"/>
    <w:rsid w:val="008E73FC"/>
    <w:rsid w:val="008E76B8"/>
    <w:rsid w:val="008E786B"/>
    <w:rsid w:val="008E79FC"/>
    <w:rsid w:val="008F0247"/>
    <w:rsid w:val="008F0E6F"/>
    <w:rsid w:val="008F110D"/>
    <w:rsid w:val="008F1BB6"/>
    <w:rsid w:val="008F213F"/>
    <w:rsid w:val="008F2C99"/>
    <w:rsid w:val="008F2CE1"/>
    <w:rsid w:val="008F3246"/>
    <w:rsid w:val="008F3D18"/>
    <w:rsid w:val="008F4306"/>
    <w:rsid w:val="008F48D1"/>
    <w:rsid w:val="008F5008"/>
    <w:rsid w:val="008F537F"/>
    <w:rsid w:val="008F55B8"/>
    <w:rsid w:val="008F55F7"/>
    <w:rsid w:val="008F5730"/>
    <w:rsid w:val="008F5D80"/>
    <w:rsid w:val="008F610F"/>
    <w:rsid w:val="008F6553"/>
    <w:rsid w:val="008F6882"/>
    <w:rsid w:val="008F6C1F"/>
    <w:rsid w:val="008F6D76"/>
    <w:rsid w:val="008F77C0"/>
    <w:rsid w:val="008F7871"/>
    <w:rsid w:val="008F7FF5"/>
    <w:rsid w:val="009013B2"/>
    <w:rsid w:val="009018B4"/>
    <w:rsid w:val="00901926"/>
    <w:rsid w:val="00901A49"/>
    <w:rsid w:val="00901BB9"/>
    <w:rsid w:val="00901C19"/>
    <w:rsid w:val="009021BE"/>
    <w:rsid w:val="009023D3"/>
    <w:rsid w:val="009026C2"/>
    <w:rsid w:val="009027E0"/>
    <w:rsid w:val="00902C6D"/>
    <w:rsid w:val="00902C9F"/>
    <w:rsid w:val="00903121"/>
    <w:rsid w:val="00903785"/>
    <w:rsid w:val="009038A7"/>
    <w:rsid w:val="00903AC4"/>
    <w:rsid w:val="009041BF"/>
    <w:rsid w:val="00904929"/>
    <w:rsid w:val="00905618"/>
    <w:rsid w:val="0090568A"/>
    <w:rsid w:val="00905DAD"/>
    <w:rsid w:val="009063C5"/>
    <w:rsid w:val="00906432"/>
    <w:rsid w:val="009064D0"/>
    <w:rsid w:val="009067B9"/>
    <w:rsid w:val="00906B22"/>
    <w:rsid w:val="00906C8A"/>
    <w:rsid w:val="00906FA9"/>
    <w:rsid w:val="00906FD7"/>
    <w:rsid w:val="009073A1"/>
    <w:rsid w:val="0090747D"/>
    <w:rsid w:val="009078E2"/>
    <w:rsid w:val="00907C13"/>
    <w:rsid w:val="00907DB7"/>
    <w:rsid w:val="00910619"/>
    <w:rsid w:val="009107FC"/>
    <w:rsid w:val="009113B0"/>
    <w:rsid w:val="00911578"/>
    <w:rsid w:val="0091200F"/>
    <w:rsid w:val="009122D2"/>
    <w:rsid w:val="00912661"/>
    <w:rsid w:val="0091279A"/>
    <w:rsid w:val="00912860"/>
    <w:rsid w:val="00912BAD"/>
    <w:rsid w:val="00913087"/>
    <w:rsid w:val="00913420"/>
    <w:rsid w:val="00913A4F"/>
    <w:rsid w:val="00914191"/>
    <w:rsid w:val="00914963"/>
    <w:rsid w:val="0091522F"/>
    <w:rsid w:val="00915753"/>
    <w:rsid w:val="00915780"/>
    <w:rsid w:val="009162E9"/>
    <w:rsid w:val="0091679D"/>
    <w:rsid w:val="00916A3E"/>
    <w:rsid w:val="00917503"/>
    <w:rsid w:val="009176CE"/>
    <w:rsid w:val="0091779B"/>
    <w:rsid w:val="00917C65"/>
    <w:rsid w:val="00917C77"/>
    <w:rsid w:val="00921B52"/>
    <w:rsid w:val="00922186"/>
    <w:rsid w:val="00922275"/>
    <w:rsid w:val="009223A5"/>
    <w:rsid w:val="00922EA8"/>
    <w:rsid w:val="0092398E"/>
    <w:rsid w:val="00923CE8"/>
    <w:rsid w:val="00923EE0"/>
    <w:rsid w:val="009242AB"/>
    <w:rsid w:val="00924740"/>
    <w:rsid w:val="00924E22"/>
    <w:rsid w:val="00925034"/>
    <w:rsid w:val="00925157"/>
    <w:rsid w:val="009265A6"/>
    <w:rsid w:val="009265F4"/>
    <w:rsid w:val="00926D40"/>
    <w:rsid w:val="00927174"/>
    <w:rsid w:val="00927267"/>
    <w:rsid w:val="009273E1"/>
    <w:rsid w:val="00927901"/>
    <w:rsid w:val="0092791E"/>
    <w:rsid w:val="00930825"/>
    <w:rsid w:val="00930FE5"/>
    <w:rsid w:val="00931845"/>
    <w:rsid w:val="00931C27"/>
    <w:rsid w:val="00931E75"/>
    <w:rsid w:val="00931F8C"/>
    <w:rsid w:val="00931FEB"/>
    <w:rsid w:val="009328E9"/>
    <w:rsid w:val="00932924"/>
    <w:rsid w:val="00932B23"/>
    <w:rsid w:val="00932CAA"/>
    <w:rsid w:val="00933A3A"/>
    <w:rsid w:val="00934104"/>
    <w:rsid w:val="0093435D"/>
    <w:rsid w:val="00934366"/>
    <w:rsid w:val="0093488A"/>
    <w:rsid w:val="00935136"/>
    <w:rsid w:val="009351E6"/>
    <w:rsid w:val="0093537F"/>
    <w:rsid w:val="009358B2"/>
    <w:rsid w:val="0093593C"/>
    <w:rsid w:val="00935AB3"/>
    <w:rsid w:val="009365B5"/>
    <w:rsid w:val="009367EA"/>
    <w:rsid w:val="00936861"/>
    <w:rsid w:val="009375B6"/>
    <w:rsid w:val="0093762A"/>
    <w:rsid w:val="0093768C"/>
    <w:rsid w:val="0093799B"/>
    <w:rsid w:val="00937E41"/>
    <w:rsid w:val="009400E5"/>
    <w:rsid w:val="009406CA"/>
    <w:rsid w:val="00940DE2"/>
    <w:rsid w:val="00940ECD"/>
    <w:rsid w:val="00940FA1"/>
    <w:rsid w:val="00941A58"/>
    <w:rsid w:val="00941F86"/>
    <w:rsid w:val="00942285"/>
    <w:rsid w:val="00943152"/>
    <w:rsid w:val="009433C1"/>
    <w:rsid w:val="009436F4"/>
    <w:rsid w:val="00943BAA"/>
    <w:rsid w:val="00943D6D"/>
    <w:rsid w:val="009440FB"/>
    <w:rsid w:val="009449A4"/>
    <w:rsid w:val="00945074"/>
    <w:rsid w:val="00945361"/>
    <w:rsid w:val="009456D5"/>
    <w:rsid w:val="00945B45"/>
    <w:rsid w:val="00945D67"/>
    <w:rsid w:val="00947121"/>
    <w:rsid w:val="009471E8"/>
    <w:rsid w:val="009475AB"/>
    <w:rsid w:val="00947615"/>
    <w:rsid w:val="00947B12"/>
    <w:rsid w:val="00947C45"/>
    <w:rsid w:val="00950044"/>
    <w:rsid w:val="009500DA"/>
    <w:rsid w:val="009500EF"/>
    <w:rsid w:val="0095073F"/>
    <w:rsid w:val="00950771"/>
    <w:rsid w:val="00950938"/>
    <w:rsid w:val="00950B95"/>
    <w:rsid w:val="009514F2"/>
    <w:rsid w:val="00951662"/>
    <w:rsid w:val="00951793"/>
    <w:rsid w:val="009519DC"/>
    <w:rsid w:val="00951CD0"/>
    <w:rsid w:val="00951D32"/>
    <w:rsid w:val="0095214F"/>
    <w:rsid w:val="00952457"/>
    <w:rsid w:val="0095320B"/>
    <w:rsid w:val="00953B2D"/>
    <w:rsid w:val="00954154"/>
    <w:rsid w:val="009545DF"/>
    <w:rsid w:val="00954991"/>
    <w:rsid w:val="00954EE8"/>
    <w:rsid w:val="0095508C"/>
    <w:rsid w:val="0095561D"/>
    <w:rsid w:val="00956EF5"/>
    <w:rsid w:val="00960499"/>
    <w:rsid w:val="0096081C"/>
    <w:rsid w:val="00960861"/>
    <w:rsid w:val="009609B4"/>
    <w:rsid w:val="00960A77"/>
    <w:rsid w:val="00960AA4"/>
    <w:rsid w:val="00960AE8"/>
    <w:rsid w:val="00960DC5"/>
    <w:rsid w:val="00960FAE"/>
    <w:rsid w:val="0096110B"/>
    <w:rsid w:val="00962B17"/>
    <w:rsid w:val="009633F7"/>
    <w:rsid w:val="00963B2F"/>
    <w:rsid w:val="00963C2C"/>
    <w:rsid w:val="009646F7"/>
    <w:rsid w:val="00964AE6"/>
    <w:rsid w:val="00964EAD"/>
    <w:rsid w:val="00964F1A"/>
    <w:rsid w:val="00964FB6"/>
    <w:rsid w:val="0096590F"/>
    <w:rsid w:val="00965991"/>
    <w:rsid w:val="0096682A"/>
    <w:rsid w:val="00967A88"/>
    <w:rsid w:val="00970A42"/>
    <w:rsid w:val="00970B0C"/>
    <w:rsid w:val="00970C01"/>
    <w:rsid w:val="00970E33"/>
    <w:rsid w:val="0097129A"/>
    <w:rsid w:val="009714D7"/>
    <w:rsid w:val="0097178F"/>
    <w:rsid w:val="00971A12"/>
    <w:rsid w:val="0097203D"/>
    <w:rsid w:val="00972721"/>
    <w:rsid w:val="009728C0"/>
    <w:rsid w:val="00972C38"/>
    <w:rsid w:val="00972D81"/>
    <w:rsid w:val="00972F9A"/>
    <w:rsid w:val="009738A9"/>
    <w:rsid w:val="00973AB4"/>
    <w:rsid w:val="00973C90"/>
    <w:rsid w:val="00973D91"/>
    <w:rsid w:val="00974589"/>
    <w:rsid w:val="00974B18"/>
    <w:rsid w:val="009753F8"/>
    <w:rsid w:val="009756F7"/>
    <w:rsid w:val="00976599"/>
    <w:rsid w:val="0097663E"/>
    <w:rsid w:val="0097721B"/>
    <w:rsid w:val="009800FD"/>
    <w:rsid w:val="00980269"/>
    <w:rsid w:val="009802F8"/>
    <w:rsid w:val="00980643"/>
    <w:rsid w:val="0098074D"/>
    <w:rsid w:val="00980D99"/>
    <w:rsid w:val="00981A3B"/>
    <w:rsid w:val="00981B70"/>
    <w:rsid w:val="00981EF8"/>
    <w:rsid w:val="00981F35"/>
    <w:rsid w:val="009824E1"/>
    <w:rsid w:val="00982546"/>
    <w:rsid w:val="00983A9E"/>
    <w:rsid w:val="00983F23"/>
    <w:rsid w:val="00984079"/>
    <w:rsid w:val="00984D5E"/>
    <w:rsid w:val="00984EA0"/>
    <w:rsid w:val="00985100"/>
    <w:rsid w:val="009867F8"/>
    <w:rsid w:val="009876C3"/>
    <w:rsid w:val="009876DA"/>
    <w:rsid w:val="0099013E"/>
    <w:rsid w:val="00990E0C"/>
    <w:rsid w:val="00991C15"/>
    <w:rsid w:val="00991F1C"/>
    <w:rsid w:val="00992525"/>
    <w:rsid w:val="009930FC"/>
    <w:rsid w:val="009932DB"/>
    <w:rsid w:val="00993362"/>
    <w:rsid w:val="0099388D"/>
    <w:rsid w:val="00993985"/>
    <w:rsid w:val="00993D59"/>
    <w:rsid w:val="00995366"/>
    <w:rsid w:val="009953DA"/>
    <w:rsid w:val="00996030"/>
    <w:rsid w:val="009964C5"/>
    <w:rsid w:val="0099688C"/>
    <w:rsid w:val="00996AD7"/>
    <w:rsid w:val="00996DE3"/>
    <w:rsid w:val="0099730F"/>
    <w:rsid w:val="00997466"/>
    <w:rsid w:val="009976AC"/>
    <w:rsid w:val="00997813"/>
    <w:rsid w:val="00997B4B"/>
    <w:rsid w:val="009A024A"/>
    <w:rsid w:val="009A04AE"/>
    <w:rsid w:val="009A05E2"/>
    <w:rsid w:val="009A0F7B"/>
    <w:rsid w:val="009A134E"/>
    <w:rsid w:val="009A187F"/>
    <w:rsid w:val="009A18C4"/>
    <w:rsid w:val="009A2079"/>
    <w:rsid w:val="009A2097"/>
    <w:rsid w:val="009A20AE"/>
    <w:rsid w:val="009A268B"/>
    <w:rsid w:val="009A2AA1"/>
    <w:rsid w:val="009A2C8F"/>
    <w:rsid w:val="009A2E73"/>
    <w:rsid w:val="009A3705"/>
    <w:rsid w:val="009A3800"/>
    <w:rsid w:val="009A3ABE"/>
    <w:rsid w:val="009A4292"/>
    <w:rsid w:val="009A4499"/>
    <w:rsid w:val="009A4CC2"/>
    <w:rsid w:val="009A4E38"/>
    <w:rsid w:val="009A5506"/>
    <w:rsid w:val="009A5756"/>
    <w:rsid w:val="009A5AE9"/>
    <w:rsid w:val="009A5D05"/>
    <w:rsid w:val="009A5F71"/>
    <w:rsid w:val="009A65D3"/>
    <w:rsid w:val="009A7029"/>
    <w:rsid w:val="009A76DE"/>
    <w:rsid w:val="009A7704"/>
    <w:rsid w:val="009A7839"/>
    <w:rsid w:val="009B0316"/>
    <w:rsid w:val="009B0DDD"/>
    <w:rsid w:val="009B0E88"/>
    <w:rsid w:val="009B1052"/>
    <w:rsid w:val="009B1ACD"/>
    <w:rsid w:val="009B2A06"/>
    <w:rsid w:val="009B3321"/>
    <w:rsid w:val="009B39DC"/>
    <w:rsid w:val="009B3FD6"/>
    <w:rsid w:val="009B435B"/>
    <w:rsid w:val="009B4622"/>
    <w:rsid w:val="009B49F2"/>
    <w:rsid w:val="009B4B1E"/>
    <w:rsid w:val="009B4CF1"/>
    <w:rsid w:val="009B5197"/>
    <w:rsid w:val="009B59D5"/>
    <w:rsid w:val="009B5F68"/>
    <w:rsid w:val="009B6B2C"/>
    <w:rsid w:val="009B72DC"/>
    <w:rsid w:val="009B7872"/>
    <w:rsid w:val="009C01EB"/>
    <w:rsid w:val="009C07AC"/>
    <w:rsid w:val="009C0E0A"/>
    <w:rsid w:val="009C1952"/>
    <w:rsid w:val="009C259E"/>
    <w:rsid w:val="009C25D1"/>
    <w:rsid w:val="009C2C65"/>
    <w:rsid w:val="009C30E7"/>
    <w:rsid w:val="009C3836"/>
    <w:rsid w:val="009C3BBA"/>
    <w:rsid w:val="009C401D"/>
    <w:rsid w:val="009C428B"/>
    <w:rsid w:val="009C4463"/>
    <w:rsid w:val="009C45AD"/>
    <w:rsid w:val="009C4692"/>
    <w:rsid w:val="009C4695"/>
    <w:rsid w:val="009C4A3F"/>
    <w:rsid w:val="009C4D6A"/>
    <w:rsid w:val="009C5DCC"/>
    <w:rsid w:val="009C5F41"/>
    <w:rsid w:val="009C69D7"/>
    <w:rsid w:val="009C6E20"/>
    <w:rsid w:val="009C71A0"/>
    <w:rsid w:val="009D02FA"/>
    <w:rsid w:val="009D0471"/>
    <w:rsid w:val="009D0560"/>
    <w:rsid w:val="009D05E8"/>
    <w:rsid w:val="009D1612"/>
    <w:rsid w:val="009D2415"/>
    <w:rsid w:val="009D24E5"/>
    <w:rsid w:val="009D3055"/>
    <w:rsid w:val="009D355C"/>
    <w:rsid w:val="009D3C4A"/>
    <w:rsid w:val="009D42C3"/>
    <w:rsid w:val="009D4496"/>
    <w:rsid w:val="009D4F3B"/>
    <w:rsid w:val="009D50A0"/>
    <w:rsid w:val="009D5CDC"/>
    <w:rsid w:val="009D6363"/>
    <w:rsid w:val="009D6A7F"/>
    <w:rsid w:val="009D702B"/>
    <w:rsid w:val="009D72E6"/>
    <w:rsid w:val="009D7593"/>
    <w:rsid w:val="009D7B1F"/>
    <w:rsid w:val="009D7F55"/>
    <w:rsid w:val="009D7F7C"/>
    <w:rsid w:val="009E0150"/>
    <w:rsid w:val="009E02AE"/>
    <w:rsid w:val="009E05EA"/>
    <w:rsid w:val="009E1A51"/>
    <w:rsid w:val="009E26AA"/>
    <w:rsid w:val="009E26EB"/>
    <w:rsid w:val="009E4A9E"/>
    <w:rsid w:val="009E4CE0"/>
    <w:rsid w:val="009E54CD"/>
    <w:rsid w:val="009E5836"/>
    <w:rsid w:val="009E59D8"/>
    <w:rsid w:val="009E5DE2"/>
    <w:rsid w:val="009E5F9B"/>
    <w:rsid w:val="009E78F8"/>
    <w:rsid w:val="009E7AC1"/>
    <w:rsid w:val="009F0170"/>
    <w:rsid w:val="009F04A8"/>
    <w:rsid w:val="009F0FAF"/>
    <w:rsid w:val="009F1646"/>
    <w:rsid w:val="009F187C"/>
    <w:rsid w:val="009F1B03"/>
    <w:rsid w:val="009F1CA8"/>
    <w:rsid w:val="009F205B"/>
    <w:rsid w:val="009F2A8E"/>
    <w:rsid w:val="009F3260"/>
    <w:rsid w:val="009F32DA"/>
    <w:rsid w:val="009F352E"/>
    <w:rsid w:val="009F5190"/>
    <w:rsid w:val="009F54AD"/>
    <w:rsid w:val="009F572F"/>
    <w:rsid w:val="009F5948"/>
    <w:rsid w:val="009F5DE3"/>
    <w:rsid w:val="009F5F3B"/>
    <w:rsid w:val="009F64D7"/>
    <w:rsid w:val="009F67E9"/>
    <w:rsid w:val="009F68A5"/>
    <w:rsid w:val="009F6939"/>
    <w:rsid w:val="009F6A56"/>
    <w:rsid w:val="009F6AEA"/>
    <w:rsid w:val="009F6DAE"/>
    <w:rsid w:val="009F799D"/>
    <w:rsid w:val="009F7EFD"/>
    <w:rsid w:val="00A0031C"/>
    <w:rsid w:val="00A00CA1"/>
    <w:rsid w:val="00A011D2"/>
    <w:rsid w:val="00A01A85"/>
    <w:rsid w:val="00A01C0F"/>
    <w:rsid w:val="00A02C16"/>
    <w:rsid w:val="00A03143"/>
    <w:rsid w:val="00A03205"/>
    <w:rsid w:val="00A03C6D"/>
    <w:rsid w:val="00A043D5"/>
    <w:rsid w:val="00A047DF"/>
    <w:rsid w:val="00A0522C"/>
    <w:rsid w:val="00A05353"/>
    <w:rsid w:val="00A05708"/>
    <w:rsid w:val="00A05849"/>
    <w:rsid w:val="00A058E9"/>
    <w:rsid w:val="00A05F95"/>
    <w:rsid w:val="00A0666B"/>
    <w:rsid w:val="00A07A01"/>
    <w:rsid w:val="00A07CA1"/>
    <w:rsid w:val="00A10122"/>
    <w:rsid w:val="00A1021C"/>
    <w:rsid w:val="00A103A8"/>
    <w:rsid w:val="00A103F9"/>
    <w:rsid w:val="00A11792"/>
    <w:rsid w:val="00A123A1"/>
    <w:rsid w:val="00A124D0"/>
    <w:rsid w:val="00A12706"/>
    <w:rsid w:val="00A12A7C"/>
    <w:rsid w:val="00A12C17"/>
    <w:rsid w:val="00A12D79"/>
    <w:rsid w:val="00A12EE8"/>
    <w:rsid w:val="00A132A9"/>
    <w:rsid w:val="00A13450"/>
    <w:rsid w:val="00A1346A"/>
    <w:rsid w:val="00A134C5"/>
    <w:rsid w:val="00A134E5"/>
    <w:rsid w:val="00A13AE9"/>
    <w:rsid w:val="00A140E0"/>
    <w:rsid w:val="00A14A05"/>
    <w:rsid w:val="00A1578C"/>
    <w:rsid w:val="00A167E5"/>
    <w:rsid w:val="00A16AD6"/>
    <w:rsid w:val="00A16B1D"/>
    <w:rsid w:val="00A16B38"/>
    <w:rsid w:val="00A16B89"/>
    <w:rsid w:val="00A170CC"/>
    <w:rsid w:val="00A17443"/>
    <w:rsid w:val="00A17600"/>
    <w:rsid w:val="00A17B87"/>
    <w:rsid w:val="00A20854"/>
    <w:rsid w:val="00A20C24"/>
    <w:rsid w:val="00A20C28"/>
    <w:rsid w:val="00A20E0C"/>
    <w:rsid w:val="00A21324"/>
    <w:rsid w:val="00A21CFA"/>
    <w:rsid w:val="00A21FB3"/>
    <w:rsid w:val="00A220E6"/>
    <w:rsid w:val="00A22561"/>
    <w:rsid w:val="00A225FD"/>
    <w:rsid w:val="00A2260D"/>
    <w:rsid w:val="00A22CB0"/>
    <w:rsid w:val="00A22F61"/>
    <w:rsid w:val="00A23212"/>
    <w:rsid w:val="00A234EE"/>
    <w:rsid w:val="00A23B4F"/>
    <w:rsid w:val="00A23E7B"/>
    <w:rsid w:val="00A24084"/>
    <w:rsid w:val="00A240E7"/>
    <w:rsid w:val="00A242FD"/>
    <w:rsid w:val="00A2431C"/>
    <w:rsid w:val="00A244B9"/>
    <w:rsid w:val="00A2472D"/>
    <w:rsid w:val="00A24B29"/>
    <w:rsid w:val="00A24B52"/>
    <w:rsid w:val="00A25E96"/>
    <w:rsid w:val="00A25FB7"/>
    <w:rsid w:val="00A26258"/>
    <w:rsid w:val="00A262B6"/>
    <w:rsid w:val="00A26454"/>
    <w:rsid w:val="00A266D2"/>
    <w:rsid w:val="00A26D85"/>
    <w:rsid w:val="00A272A3"/>
    <w:rsid w:val="00A278A3"/>
    <w:rsid w:val="00A27DD4"/>
    <w:rsid w:val="00A30664"/>
    <w:rsid w:val="00A3111F"/>
    <w:rsid w:val="00A314CE"/>
    <w:rsid w:val="00A318FC"/>
    <w:rsid w:val="00A319E3"/>
    <w:rsid w:val="00A31AB4"/>
    <w:rsid w:val="00A31B2A"/>
    <w:rsid w:val="00A31CC3"/>
    <w:rsid w:val="00A31F0B"/>
    <w:rsid w:val="00A3212B"/>
    <w:rsid w:val="00A321D4"/>
    <w:rsid w:val="00A32B1A"/>
    <w:rsid w:val="00A32C2E"/>
    <w:rsid w:val="00A335A4"/>
    <w:rsid w:val="00A339FD"/>
    <w:rsid w:val="00A33FA1"/>
    <w:rsid w:val="00A34080"/>
    <w:rsid w:val="00A34432"/>
    <w:rsid w:val="00A3543E"/>
    <w:rsid w:val="00A35634"/>
    <w:rsid w:val="00A356E2"/>
    <w:rsid w:val="00A35C65"/>
    <w:rsid w:val="00A35D5C"/>
    <w:rsid w:val="00A360D3"/>
    <w:rsid w:val="00A36786"/>
    <w:rsid w:val="00A36BCA"/>
    <w:rsid w:val="00A36BDF"/>
    <w:rsid w:val="00A36C74"/>
    <w:rsid w:val="00A36DE7"/>
    <w:rsid w:val="00A36EA2"/>
    <w:rsid w:val="00A37BDB"/>
    <w:rsid w:val="00A37C3F"/>
    <w:rsid w:val="00A40095"/>
    <w:rsid w:val="00A4021D"/>
    <w:rsid w:val="00A40371"/>
    <w:rsid w:val="00A409DA"/>
    <w:rsid w:val="00A40A95"/>
    <w:rsid w:val="00A40BE1"/>
    <w:rsid w:val="00A41952"/>
    <w:rsid w:val="00A41C1C"/>
    <w:rsid w:val="00A42105"/>
    <w:rsid w:val="00A42652"/>
    <w:rsid w:val="00A428E5"/>
    <w:rsid w:val="00A4296F"/>
    <w:rsid w:val="00A42FF6"/>
    <w:rsid w:val="00A44A41"/>
    <w:rsid w:val="00A44B1E"/>
    <w:rsid w:val="00A44B49"/>
    <w:rsid w:val="00A4586B"/>
    <w:rsid w:val="00A46759"/>
    <w:rsid w:val="00A46839"/>
    <w:rsid w:val="00A46A36"/>
    <w:rsid w:val="00A474E6"/>
    <w:rsid w:val="00A47583"/>
    <w:rsid w:val="00A478FF"/>
    <w:rsid w:val="00A479B5"/>
    <w:rsid w:val="00A50082"/>
    <w:rsid w:val="00A501EA"/>
    <w:rsid w:val="00A504C9"/>
    <w:rsid w:val="00A50539"/>
    <w:rsid w:val="00A5057F"/>
    <w:rsid w:val="00A50A86"/>
    <w:rsid w:val="00A50C01"/>
    <w:rsid w:val="00A519B1"/>
    <w:rsid w:val="00A51EBE"/>
    <w:rsid w:val="00A527FB"/>
    <w:rsid w:val="00A528D5"/>
    <w:rsid w:val="00A533A8"/>
    <w:rsid w:val="00A534BD"/>
    <w:rsid w:val="00A5374F"/>
    <w:rsid w:val="00A5386E"/>
    <w:rsid w:val="00A53A74"/>
    <w:rsid w:val="00A544F5"/>
    <w:rsid w:val="00A546AF"/>
    <w:rsid w:val="00A54858"/>
    <w:rsid w:val="00A54895"/>
    <w:rsid w:val="00A555AC"/>
    <w:rsid w:val="00A555B2"/>
    <w:rsid w:val="00A5630C"/>
    <w:rsid w:val="00A563C7"/>
    <w:rsid w:val="00A56737"/>
    <w:rsid w:val="00A5726D"/>
    <w:rsid w:val="00A602B2"/>
    <w:rsid w:val="00A606CD"/>
    <w:rsid w:val="00A61399"/>
    <w:rsid w:val="00A61EBA"/>
    <w:rsid w:val="00A627AA"/>
    <w:rsid w:val="00A62810"/>
    <w:rsid w:val="00A62F58"/>
    <w:rsid w:val="00A63752"/>
    <w:rsid w:val="00A63F12"/>
    <w:rsid w:val="00A6493E"/>
    <w:rsid w:val="00A64AEE"/>
    <w:rsid w:val="00A64D9F"/>
    <w:rsid w:val="00A650F9"/>
    <w:rsid w:val="00A65295"/>
    <w:rsid w:val="00A652CC"/>
    <w:rsid w:val="00A6540F"/>
    <w:rsid w:val="00A656BF"/>
    <w:rsid w:val="00A65A36"/>
    <w:rsid w:val="00A65D12"/>
    <w:rsid w:val="00A65E8D"/>
    <w:rsid w:val="00A6601A"/>
    <w:rsid w:val="00A66528"/>
    <w:rsid w:val="00A665F9"/>
    <w:rsid w:val="00A6660A"/>
    <w:rsid w:val="00A66867"/>
    <w:rsid w:val="00A668C8"/>
    <w:rsid w:val="00A66F3F"/>
    <w:rsid w:val="00A671D9"/>
    <w:rsid w:val="00A672D8"/>
    <w:rsid w:val="00A6787C"/>
    <w:rsid w:val="00A70BA1"/>
    <w:rsid w:val="00A70F18"/>
    <w:rsid w:val="00A71070"/>
    <w:rsid w:val="00A71120"/>
    <w:rsid w:val="00A71B63"/>
    <w:rsid w:val="00A71E81"/>
    <w:rsid w:val="00A720A1"/>
    <w:rsid w:val="00A72126"/>
    <w:rsid w:val="00A72580"/>
    <w:rsid w:val="00A72A0E"/>
    <w:rsid w:val="00A72A1B"/>
    <w:rsid w:val="00A72D79"/>
    <w:rsid w:val="00A73BF6"/>
    <w:rsid w:val="00A74281"/>
    <w:rsid w:val="00A743E7"/>
    <w:rsid w:val="00A74EA0"/>
    <w:rsid w:val="00A74F4C"/>
    <w:rsid w:val="00A75519"/>
    <w:rsid w:val="00A75ACA"/>
    <w:rsid w:val="00A76017"/>
    <w:rsid w:val="00A76448"/>
    <w:rsid w:val="00A76473"/>
    <w:rsid w:val="00A76B90"/>
    <w:rsid w:val="00A776DA"/>
    <w:rsid w:val="00A777A8"/>
    <w:rsid w:val="00A77EA9"/>
    <w:rsid w:val="00A80569"/>
    <w:rsid w:val="00A80F25"/>
    <w:rsid w:val="00A81740"/>
    <w:rsid w:val="00A81AEC"/>
    <w:rsid w:val="00A81C9E"/>
    <w:rsid w:val="00A82168"/>
    <w:rsid w:val="00A82294"/>
    <w:rsid w:val="00A8235E"/>
    <w:rsid w:val="00A82729"/>
    <w:rsid w:val="00A82A9E"/>
    <w:rsid w:val="00A82DE0"/>
    <w:rsid w:val="00A82FF6"/>
    <w:rsid w:val="00A834BB"/>
    <w:rsid w:val="00A8350D"/>
    <w:rsid w:val="00A837D3"/>
    <w:rsid w:val="00A8384C"/>
    <w:rsid w:val="00A84280"/>
    <w:rsid w:val="00A8457D"/>
    <w:rsid w:val="00A84B33"/>
    <w:rsid w:val="00A84FAB"/>
    <w:rsid w:val="00A85867"/>
    <w:rsid w:val="00A8594E"/>
    <w:rsid w:val="00A85F2F"/>
    <w:rsid w:val="00A86B86"/>
    <w:rsid w:val="00A870BE"/>
    <w:rsid w:val="00A8736D"/>
    <w:rsid w:val="00A87381"/>
    <w:rsid w:val="00A873A0"/>
    <w:rsid w:val="00A875D7"/>
    <w:rsid w:val="00A87A01"/>
    <w:rsid w:val="00A87D0E"/>
    <w:rsid w:val="00A900EB"/>
    <w:rsid w:val="00A90247"/>
    <w:rsid w:val="00A90648"/>
    <w:rsid w:val="00A90D56"/>
    <w:rsid w:val="00A9125B"/>
    <w:rsid w:val="00A91424"/>
    <w:rsid w:val="00A91E95"/>
    <w:rsid w:val="00A9218E"/>
    <w:rsid w:val="00A92541"/>
    <w:rsid w:val="00A930D6"/>
    <w:rsid w:val="00A931AF"/>
    <w:rsid w:val="00A935CD"/>
    <w:rsid w:val="00A935D1"/>
    <w:rsid w:val="00A93610"/>
    <w:rsid w:val="00A93BE1"/>
    <w:rsid w:val="00A93E06"/>
    <w:rsid w:val="00A9493E"/>
    <w:rsid w:val="00A951D6"/>
    <w:rsid w:val="00A95244"/>
    <w:rsid w:val="00A954E4"/>
    <w:rsid w:val="00A956B1"/>
    <w:rsid w:val="00A957CE"/>
    <w:rsid w:val="00A96A78"/>
    <w:rsid w:val="00A96C40"/>
    <w:rsid w:val="00A977B1"/>
    <w:rsid w:val="00AA0728"/>
    <w:rsid w:val="00AA191D"/>
    <w:rsid w:val="00AA1BB6"/>
    <w:rsid w:val="00AA1F44"/>
    <w:rsid w:val="00AA1F6B"/>
    <w:rsid w:val="00AA22B3"/>
    <w:rsid w:val="00AA2A0F"/>
    <w:rsid w:val="00AA38C8"/>
    <w:rsid w:val="00AA3A67"/>
    <w:rsid w:val="00AA4314"/>
    <w:rsid w:val="00AA476E"/>
    <w:rsid w:val="00AA4906"/>
    <w:rsid w:val="00AA4D2C"/>
    <w:rsid w:val="00AA4F15"/>
    <w:rsid w:val="00AA5014"/>
    <w:rsid w:val="00AA5487"/>
    <w:rsid w:val="00AA5970"/>
    <w:rsid w:val="00AA6453"/>
    <w:rsid w:val="00AA64E4"/>
    <w:rsid w:val="00AB00BE"/>
    <w:rsid w:val="00AB0497"/>
    <w:rsid w:val="00AB055F"/>
    <w:rsid w:val="00AB0573"/>
    <w:rsid w:val="00AB0DAA"/>
    <w:rsid w:val="00AB108C"/>
    <w:rsid w:val="00AB1E56"/>
    <w:rsid w:val="00AB2630"/>
    <w:rsid w:val="00AB2C40"/>
    <w:rsid w:val="00AB2EF7"/>
    <w:rsid w:val="00AB36CA"/>
    <w:rsid w:val="00AB3E42"/>
    <w:rsid w:val="00AB4359"/>
    <w:rsid w:val="00AB4DC4"/>
    <w:rsid w:val="00AB5707"/>
    <w:rsid w:val="00AB5BAE"/>
    <w:rsid w:val="00AB5BDC"/>
    <w:rsid w:val="00AB6400"/>
    <w:rsid w:val="00AB662E"/>
    <w:rsid w:val="00AB6837"/>
    <w:rsid w:val="00AB6A83"/>
    <w:rsid w:val="00AB6F75"/>
    <w:rsid w:val="00AB7E05"/>
    <w:rsid w:val="00AB7EBB"/>
    <w:rsid w:val="00AC018F"/>
    <w:rsid w:val="00AC080E"/>
    <w:rsid w:val="00AC09FD"/>
    <w:rsid w:val="00AC17F6"/>
    <w:rsid w:val="00AC187F"/>
    <w:rsid w:val="00AC1B16"/>
    <w:rsid w:val="00AC2584"/>
    <w:rsid w:val="00AC2781"/>
    <w:rsid w:val="00AC32DC"/>
    <w:rsid w:val="00AC393B"/>
    <w:rsid w:val="00AC4C02"/>
    <w:rsid w:val="00AC5988"/>
    <w:rsid w:val="00AC5A53"/>
    <w:rsid w:val="00AC67BE"/>
    <w:rsid w:val="00AC6BD3"/>
    <w:rsid w:val="00AC6FA2"/>
    <w:rsid w:val="00AC748F"/>
    <w:rsid w:val="00AC75F3"/>
    <w:rsid w:val="00AD0391"/>
    <w:rsid w:val="00AD1302"/>
    <w:rsid w:val="00AD17FC"/>
    <w:rsid w:val="00AD1F01"/>
    <w:rsid w:val="00AD21CD"/>
    <w:rsid w:val="00AD2D63"/>
    <w:rsid w:val="00AD2FDF"/>
    <w:rsid w:val="00AD3488"/>
    <w:rsid w:val="00AD35BE"/>
    <w:rsid w:val="00AD3A8A"/>
    <w:rsid w:val="00AD3B86"/>
    <w:rsid w:val="00AD3EBA"/>
    <w:rsid w:val="00AD4026"/>
    <w:rsid w:val="00AD420F"/>
    <w:rsid w:val="00AD4AFC"/>
    <w:rsid w:val="00AD534F"/>
    <w:rsid w:val="00AD53B2"/>
    <w:rsid w:val="00AD5F0C"/>
    <w:rsid w:val="00AD6816"/>
    <w:rsid w:val="00AD6A62"/>
    <w:rsid w:val="00AD6CC6"/>
    <w:rsid w:val="00AD72CC"/>
    <w:rsid w:val="00AD72CF"/>
    <w:rsid w:val="00AD795F"/>
    <w:rsid w:val="00AD7BF0"/>
    <w:rsid w:val="00AE007F"/>
    <w:rsid w:val="00AE023E"/>
    <w:rsid w:val="00AE052B"/>
    <w:rsid w:val="00AE0B4B"/>
    <w:rsid w:val="00AE0EA8"/>
    <w:rsid w:val="00AE0EF3"/>
    <w:rsid w:val="00AE1426"/>
    <w:rsid w:val="00AE14F4"/>
    <w:rsid w:val="00AE219E"/>
    <w:rsid w:val="00AE23C0"/>
    <w:rsid w:val="00AE2574"/>
    <w:rsid w:val="00AE2B66"/>
    <w:rsid w:val="00AE3317"/>
    <w:rsid w:val="00AE3847"/>
    <w:rsid w:val="00AE3FF1"/>
    <w:rsid w:val="00AE4690"/>
    <w:rsid w:val="00AE4D88"/>
    <w:rsid w:val="00AE557C"/>
    <w:rsid w:val="00AE5B13"/>
    <w:rsid w:val="00AE6A5A"/>
    <w:rsid w:val="00AE6A96"/>
    <w:rsid w:val="00AE6BCD"/>
    <w:rsid w:val="00AE7284"/>
    <w:rsid w:val="00AE7336"/>
    <w:rsid w:val="00AE76D1"/>
    <w:rsid w:val="00AE7CC9"/>
    <w:rsid w:val="00AF081D"/>
    <w:rsid w:val="00AF0EB2"/>
    <w:rsid w:val="00AF29FF"/>
    <w:rsid w:val="00AF2B4B"/>
    <w:rsid w:val="00AF2D84"/>
    <w:rsid w:val="00AF3625"/>
    <w:rsid w:val="00AF3724"/>
    <w:rsid w:val="00AF4770"/>
    <w:rsid w:val="00AF491F"/>
    <w:rsid w:val="00AF4B66"/>
    <w:rsid w:val="00AF4DA0"/>
    <w:rsid w:val="00AF4E0A"/>
    <w:rsid w:val="00AF4EE7"/>
    <w:rsid w:val="00AF52D5"/>
    <w:rsid w:val="00AF5AAE"/>
    <w:rsid w:val="00AF5C66"/>
    <w:rsid w:val="00AF5EA2"/>
    <w:rsid w:val="00AF6437"/>
    <w:rsid w:val="00AF660A"/>
    <w:rsid w:val="00AF6682"/>
    <w:rsid w:val="00AF6805"/>
    <w:rsid w:val="00AF6B49"/>
    <w:rsid w:val="00AF72A9"/>
    <w:rsid w:val="00AF747A"/>
    <w:rsid w:val="00AF7773"/>
    <w:rsid w:val="00AF7926"/>
    <w:rsid w:val="00AF7C18"/>
    <w:rsid w:val="00AF7F0B"/>
    <w:rsid w:val="00B007C2"/>
    <w:rsid w:val="00B008BA"/>
    <w:rsid w:val="00B00905"/>
    <w:rsid w:val="00B0091D"/>
    <w:rsid w:val="00B00A0F"/>
    <w:rsid w:val="00B00EBF"/>
    <w:rsid w:val="00B01759"/>
    <w:rsid w:val="00B017AB"/>
    <w:rsid w:val="00B01BA9"/>
    <w:rsid w:val="00B01DFC"/>
    <w:rsid w:val="00B02882"/>
    <w:rsid w:val="00B032DB"/>
    <w:rsid w:val="00B03793"/>
    <w:rsid w:val="00B03805"/>
    <w:rsid w:val="00B03AF6"/>
    <w:rsid w:val="00B03D26"/>
    <w:rsid w:val="00B04792"/>
    <w:rsid w:val="00B04ED6"/>
    <w:rsid w:val="00B053CF"/>
    <w:rsid w:val="00B058D6"/>
    <w:rsid w:val="00B05B2A"/>
    <w:rsid w:val="00B061FF"/>
    <w:rsid w:val="00B070E7"/>
    <w:rsid w:val="00B07556"/>
    <w:rsid w:val="00B07A5D"/>
    <w:rsid w:val="00B10065"/>
    <w:rsid w:val="00B104D8"/>
    <w:rsid w:val="00B10786"/>
    <w:rsid w:val="00B1078F"/>
    <w:rsid w:val="00B10A95"/>
    <w:rsid w:val="00B10B35"/>
    <w:rsid w:val="00B10E4B"/>
    <w:rsid w:val="00B10EB5"/>
    <w:rsid w:val="00B11D27"/>
    <w:rsid w:val="00B11D78"/>
    <w:rsid w:val="00B11DC5"/>
    <w:rsid w:val="00B121A6"/>
    <w:rsid w:val="00B12B66"/>
    <w:rsid w:val="00B12E05"/>
    <w:rsid w:val="00B131A1"/>
    <w:rsid w:val="00B135A0"/>
    <w:rsid w:val="00B1374E"/>
    <w:rsid w:val="00B13E16"/>
    <w:rsid w:val="00B14342"/>
    <w:rsid w:val="00B1446C"/>
    <w:rsid w:val="00B1598C"/>
    <w:rsid w:val="00B15A44"/>
    <w:rsid w:val="00B15C83"/>
    <w:rsid w:val="00B16171"/>
    <w:rsid w:val="00B16490"/>
    <w:rsid w:val="00B16BCE"/>
    <w:rsid w:val="00B17236"/>
    <w:rsid w:val="00B1728B"/>
    <w:rsid w:val="00B172A1"/>
    <w:rsid w:val="00B17415"/>
    <w:rsid w:val="00B177FD"/>
    <w:rsid w:val="00B206CF"/>
    <w:rsid w:val="00B20C63"/>
    <w:rsid w:val="00B21CF5"/>
    <w:rsid w:val="00B233B0"/>
    <w:rsid w:val="00B23412"/>
    <w:rsid w:val="00B234DB"/>
    <w:rsid w:val="00B237A0"/>
    <w:rsid w:val="00B239A9"/>
    <w:rsid w:val="00B23F2B"/>
    <w:rsid w:val="00B24369"/>
    <w:rsid w:val="00B258BF"/>
    <w:rsid w:val="00B25A2C"/>
    <w:rsid w:val="00B25F8F"/>
    <w:rsid w:val="00B26049"/>
    <w:rsid w:val="00B26138"/>
    <w:rsid w:val="00B262E5"/>
    <w:rsid w:val="00B26500"/>
    <w:rsid w:val="00B2654F"/>
    <w:rsid w:val="00B26900"/>
    <w:rsid w:val="00B30010"/>
    <w:rsid w:val="00B3134F"/>
    <w:rsid w:val="00B3188F"/>
    <w:rsid w:val="00B31BBE"/>
    <w:rsid w:val="00B31FD9"/>
    <w:rsid w:val="00B32909"/>
    <w:rsid w:val="00B32C7F"/>
    <w:rsid w:val="00B33F2F"/>
    <w:rsid w:val="00B34054"/>
    <w:rsid w:val="00B34C59"/>
    <w:rsid w:val="00B34F6D"/>
    <w:rsid w:val="00B35473"/>
    <w:rsid w:val="00B35C88"/>
    <w:rsid w:val="00B35FFA"/>
    <w:rsid w:val="00B36006"/>
    <w:rsid w:val="00B365E4"/>
    <w:rsid w:val="00B36A2A"/>
    <w:rsid w:val="00B36CBE"/>
    <w:rsid w:val="00B371EC"/>
    <w:rsid w:val="00B376FA"/>
    <w:rsid w:val="00B37C37"/>
    <w:rsid w:val="00B401A7"/>
    <w:rsid w:val="00B40303"/>
    <w:rsid w:val="00B4063F"/>
    <w:rsid w:val="00B417A7"/>
    <w:rsid w:val="00B41F78"/>
    <w:rsid w:val="00B424B1"/>
    <w:rsid w:val="00B4278E"/>
    <w:rsid w:val="00B42DB6"/>
    <w:rsid w:val="00B43131"/>
    <w:rsid w:val="00B43683"/>
    <w:rsid w:val="00B43CA9"/>
    <w:rsid w:val="00B4427C"/>
    <w:rsid w:val="00B44292"/>
    <w:rsid w:val="00B445C6"/>
    <w:rsid w:val="00B44716"/>
    <w:rsid w:val="00B44808"/>
    <w:rsid w:val="00B448E1"/>
    <w:rsid w:val="00B45257"/>
    <w:rsid w:val="00B45F94"/>
    <w:rsid w:val="00B46536"/>
    <w:rsid w:val="00B4673F"/>
    <w:rsid w:val="00B477D4"/>
    <w:rsid w:val="00B478BA"/>
    <w:rsid w:val="00B47AFE"/>
    <w:rsid w:val="00B507E4"/>
    <w:rsid w:val="00B50919"/>
    <w:rsid w:val="00B5098B"/>
    <w:rsid w:val="00B51CCB"/>
    <w:rsid w:val="00B51F05"/>
    <w:rsid w:val="00B52275"/>
    <w:rsid w:val="00B5358B"/>
    <w:rsid w:val="00B53780"/>
    <w:rsid w:val="00B539A1"/>
    <w:rsid w:val="00B539F0"/>
    <w:rsid w:val="00B53E4C"/>
    <w:rsid w:val="00B541A1"/>
    <w:rsid w:val="00B54734"/>
    <w:rsid w:val="00B54CE3"/>
    <w:rsid w:val="00B54E19"/>
    <w:rsid w:val="00B54F09"/>
    <w:rsid w:val="00B558B1"/>
    <w:rsid w:val="00B56258"/>
    <w:rsid w:val="00B5640F"/>
    <w:rsid w:val="00B56946"/>
    <w:rsid w:val="00B56BF6"/>
    <w:rsid w:val="00B56D20"/>
    <w:rsid w:val="00B56DB4"/>
    <w:rsid w:val="00B57186"/>
    <w:rsid w:val="00B5727D"/>
    <w:rsid w:val="00B57341"/>
    <w:rsid w:val="00B5748F"/>
    <w:rsid w:val="00B57706"/>
    <w:rsid w:val="00B6051A"/>
    <w:rsid w:val="00B60645"/>
    <w:rsid w:val="00B6085E"/>
    <w:rsid w:val="00B60E61"/>
    <w:rsid w:val="00B60F89"/>
    <w:rsid w:val="00B610B8"/>
    <w:rsid w:val="00B6163D"/>
    <w:rsid w:val="00B6169A"/>
    <w:rsid w:val="00B619E0"/>
    <w:rsid w:val="00B61E27"/>
    <w:rsid w:val="00B62B5D"/>
    <w:rsid w:val="00B63016"/>
    <w:rsid w:val="00B64CB0"/>
    <w:rsid w:val="00B65279"/>
    <w:rsid w:val="00B65398"/>
    <w:rsid w:val="00B65C40"/>
    <w:rsid w:val="00B6608F"/>
    <w:rsid w:val="00B665B8"/>
    <w:rsid w:val="00B66A8C"/>
    <w:rsid w:val="00B66E7E"/>
    <w:rsid w:val="00B67132"/>
    <w:rsid w:val="00B70373"/>
    <w:rsid w:val="00B713B0"/>
    <w:rsid w:val="00B718BA"/>
    <w:rsid w:val="00B722CC"/>
    <w:rsid w:val="00B72A47"/>
    <w:rsid w:val="00B72B1D"/>
    <w:rsid w:val="00B72DC7"/>
    <w:rsid w:val="00B72F01"/>
    <w:rsid w:val="00B73002"/>
    <w:rsid w:val="00B73179"/>
    <w:rsid w:val="00B736DA"/>
    <w:rsid w:val="00B73B69"/>
    <w:rsid w:val="00B74194"/>
    <w:rsid w:val="00B7435C"/>
    <w:rsid w:val="00B7522B"/>
    <w:rsid w:val="00B75512"/>
    <w:rsid w:val="00B75769"/>
    <w:rsid w:val="00B75D3E"/>
    <w:rsid w:val="00B76053"/>
    <w:rsid w:val="00B761E0"/>
    <w:rsid w:val="00B7678C"/>
    <w:rsid w:val="00B76D2C"/>
    <w:rsid w:val="00B7766C"/>
    <w:rsid w:val="00B77776"/>
    <w:rsid w:val="00B77E9E"/>
    <w:rsid w:val="00B77F92"/>
    <w:rsid w:val="00B80080"/>
    <w:rsid w:val="00B80883"/>
    <w:rsid w:val="00B80A41"/>
    <w:rsid w:val="00B80A47"/>
    <w:rsid w:val="00B810DD"/>
    <w:rsid w:val="00B81446"/>
    <w:rsid w:val="00B8196E"/>
    <w:rsid w:val="00B81B19"/>
    <w:rsid w:val="00B81EEA"/>
    <w:rsid w:val="00B81F60"/>
    <w:rsid w:val="00B83041"/>
    <w:rsid w:val="00B835AA"/>
    <w:rsid w:val="00B8371C"/>
    <w:rsid w:val="00B83984"/>
    <w:rsid w:val="00B83C9C"/>
    <w:rsid w:val="00B84AD2"/>
    <w:rsid w:val="00B85662"/>
    <w:rsid w:val="00B85731"/>
    <w:rsid w:val="00B8578D"/>
    <w:rsid w:val="00B86A84"/>
    <w:rsid w:val="00B8700A"/>
    <w:rsid w:val="00B91034"/>
    <w:rsid w:val="00B91570"/>
    <w:rsid w:val="00B919D4"/>
    <w:rsid w:val="00B91DE2"/>
    <w:rsid w:val="00B92267"/>
    <w:rsid w:val="00B93295"/>
    <w:rsid w:val="00B93333"/>
    <w:rsid w:val="00B9338E"/>
    <w:rsid w:val="00B93459"/>
    <w:rsid w:val="00B9347E"/>
    <w:rsid w:val="00B935B7"/>
    <w:rsid w:val="00B93E69"/>
    <w:rsid w:val="00B94179"/>
    <w:rsid w:val="00B947BC"/>
    <w:rsid w:val="00B9518F"/>
    <w:rsid w:val="00B9564C"/>
    <w:rsid w:val="00B95B65"/>
    <w:rsid w:val="00B95B90"/>
    <w:rsid w:val="00B95DC4"/>
    <w:rsid w:val="00B95DE2"/>
    <w:rsid w:val="00B961B4"/>
    <w:rsid w:val="00B964B4"/>
    <w:rsid w:val="00B96A4C"/>
    <w:rsid w:val="00B96B7F"/>
    <w:rsid w:val="00B96F23"/>
    <w:rsid w:val="00B96F2C"/>
    <w:rsid w:val="00B9701B"/>
    <w:rsid w:val="00B9706B"/>
    <w:rsid w:val="00B9724A"/>
    <w:rsid w:val="00B97329"/>
    <w:rsid w:val="00B9742E"/>
    <w:rsid w:val="00B97624"/>
    <w:rsid w:val="00B97C13"/>
    <w:rsid w:val="00B97D92"/>
    <w:rsid w:val="00BA0091"/>
    <w:rsid w:val="00BA0D1E"/>
    <w:rsid w:val="00BA0F08"/>
    <w:rsid w:val="00BA19BF"/>
    <w:rsid w:val="00BA1E8E"/>
    <w:rsid w:val="00BA23CE"/>
    <w:rsid w:val="00BA2AC4"/>
    <w:rsid w:val="00BA3147"/>
    <w:rsid w:val="00BA3995"/>
    <w:rsid w:val="00BA4554"/>
    <w:rsid w:val="00BA4995"/>
    <w:rsid w:val="00BA519D"/>
    <w:rsid w:val="00BA53F7"/>
    <w:rsid w:val="00BA5585"/>
    <w:rsid w:val="00BA57EC"/>
    <w:rsid w:val="00BA5A9C"/>
    <w:rsid w:val="00BA5C69"/>
    <w:rsid w:val="00BA6804"/>
    <w:rsid w:val="00BA6FC7"/>
    <w:rsid w:val="00BA732D"/>
    <w:rsid w:val="00BA7789"/>
    <w:rsid w:val="00BA7812"/>
    <w:rsid w:val="00BB0320"/>
    <w:rsid w:val="00BB03A2"/>
    <w:rsid w:val="00BB03E7"/>
    <w:rsid w:val="00BB0D96"/>
    <w:rsid w:val="00BB0DFE"/>
    <w:rsid w:val="00BB1424"/>
    <w:rsid w:val="00BB17E0"/>
    <w:rsid w:val="00BB1B0E"/>
    <w:rsid w:val="00BB2A30"/>
    <w:rsid w:val="00BB308C"/>
    <w:rsid w:val="00BB36CF"/>
    <w:rsid w:val="00BB3F20"/>
    <w:rsid w:val="00BB40BE"/>
    <w:rsid w:val="00BB4173"/>
    <w:rsid w:val="00BB41BC"/>
    <w:rsid w:val="00BB587B"/>
    <w:rsid w:val="00BB5E73"/>
    <w:rsid w:val="00BB65A2"/>
    <w:rsid w:val="00BB6783"/>
    <w:rsid w:val="00BB6879"/>
    <w:rsid w:val="00BB6EF0"/>
    <w:rsid w:val="00BB789E"/>
    <w:rsid w:val="00BB790A"/>
    <w:rsid w:val="00BC0038"/>
    <w:rsid w:val="00BC0E9C"/>
    <w:rsid w:val="00BC12A5"/>
    <w:rsid w:val="00BC12C6"/>
    <w:rsid w:val="00BC1C8A"/>
    <w:rsid w:val="00BC1F9B"/>
    <w:rsid w:val="00BC23BF"/>
    <w:rsid w:val="00BC23D8"/>
    <w:rsid w:val="00BC3789"/>
    <w:rsid w:val="00BC38E4"/>
    <w:rsid w:val="00BC3E67"/>
    <w:rsid w:val="00BC4167"/>
    <w:rsid w:val="00BC4603"/>
    <w:rsid w:val="00BC465A"/>
    <w:rsid w:val="00BC4C52"/>
    <w:rsid w:val="00BC4CB6"/>
    <w:rsid w:val="00BC51BF"/>
    <w:rsid w:val="00BC5781"/>
    <w:rsid w:val="00BC66AB"/>
    <w:rsid w:val="00BC6B7B"/>
    <w:rsid w:val="00BC6B91"/>
    <w:rsid w:val="00BC74A6"/>
    <w:rsid w:val="00BC763C"/>
    <w:rsid w:val="00BC7ACD"/>
    <w:rsid w:val="00BD0510"/>
    <w:rsid w:val="00BD0618"/>
    <w:rsid w:val="00BD06A0"/>
    <w:rsid w:val="00BD071B"/>
    <w:rsid w:val="00BD0CED"/>
    <w:rsid w:val="00BD0E7D"/>
    <w:rsid w:val="00BD0FAB"/>
    <w:rsid w:val="00BD13A2"/>
    <w:rsid w:val="00BD1B29"/>
    <w:rsid w:val="00BD22D3"/>
    <w:rsid w:val="00BD23CE"/>
    <w:rsid w:val="00BD24E7"/>
    <w:rsid w:val="00BD267D"/>
    <w:rsid w:val="00BD2767"/>
    <w:rsid w:val="00BD3CD1"/>
    <w:rsid w:val="00BD3E34"/>
    <w:rsid w:val="00BD4BA7"/>
    <w:rsid w:val="00BD4D94"/>
    <w:rsid w:val="00BD50B3"/>
    <w:rsid w:val="00BD5415"/>
    <w:rsid w:val="00BD54C6"/>
    <w:rsid w:val="00BD5848"/>
    <w:rsid w:val="00BD5B47"/>
    <w:rsid w:val="00BD5F5E"/>
    <w:rsid w:val="00BD65E2"/>
    <w:rsid w:val="00BD6833"/>
    <w:rsid w:val="00BD69EA"/>
    <w:rsid w:val="00BD6A3B"/>
    <w:rsid w:val="00BD6C21"/>
    <w:rsid w:val="00BD6E1F"/>
    <w:rsid w:val="00BD6F0A"/>
    <w:rsid w:val="00BD7005"/>
    <w:rsid w:val="00BD7067"/>
    <w:rsid w:val="00BD716D"/>
    <w:rsid w:val="00BD7A54"/>
    <w:rsid w:val="00BD7CF4"/>
    <w:rsid w:val="00BE057C"/>
    <w:rsid w:val="00BE0669"/>
    <w:rsid w:val="00BE0DD1"/>
    <w:rsid w:val="00BE1170"/>
    <w:rsid w:val="00BE1EDB"/>
    <w:rsid w:val="00BE21F8"/>
    <w:rsid w:val="00BE300F"/>
    <w:rsid w:val="00BE3C97"/>
    <w:rsid w:val="00BE3CE5"/>
    <w:rsid w:val="00BE3DB5"/>
    <w:rsid w:val="00BE40D3"/>
    <w:rsid w:val="00BE5363"/>
    <w:rsid w:val="00BE55F2"/>
    <w:rsid w:val="00BE5B1D"/>
    <w:rsid w:val="00BE5B80"/>
    <w:rsid w:val="00BE6225"/>
    <w:rsid w:val="00BE62C3"/>
    <w:rsid w:val="00BE635A"/>
    <w:rsid w:val="00BE65AB"/>
    <w:rsid w:val="00BE669D"/>
    <w:rsid w:val="00BE6E9C"/>
    <w:rsid w:val="00BE724B"/>
    <w:rsid w:val="00BE741D"/>
    <w:rsid w:val="00BE7515"/>
    <w:rsid w:val="00BE7B0D"/>
    <w:rsid w:val="00BE7EDD"/>
    <w:rsid w:val="00BF02A5"/>
    <w:rsid w:val="00BF02F6"/>
    <w:rsid w:val="00BF0886"/>
    <w:rsid w:val="00BF0E34"/>
    <w:rsid w:val="00BF0E65"/>
    <w:rsid w:val="00BF10A8"/>
    <w:rsid w:val="00BF147C"/>
    <w:rsid w:val="00BF1616"/>
    <w:rsid w:val="00BF1746"/>
    <w:rsid w:val="00BF18F3"/>
    <w:rsid w:val="00BF1BEB"/>
    <w:rsid w:val="00BF2891"/>
    <w:rsid w:val="00BF289F"/>
    <w:rsid w:val="00BF37C2"/>
    <w:rsid w:val="00BF3C89"/>
    <w:rsid w:val="00BF3D83"/>
    <w:rsid w:val="00BF3FBE"/>
    <w:rsid w:val="00BF43A9"/>
    <w:rsid w:val="00BF4641"/>
    <w:rsid w:val="00BF4752"/>
    <w:rsid w:val="00BF4822"/>
    <w:rsid w:val="00BF48E1"/>
    <w:rsid w:val="00BF497A"/>
    <w:rsid w:val="00BF505F"/>
    <w:rsid w:val="00BF525A"/>
    <w:rsid w:val="00BF5C19"/>
    <w:rsid w:val="00BF5F91"/>
    <w:rsid w:val="00BF690B"/>
    <w:rsid w:val="00BF6D4B"/>
    <w:rsid w:val="00BF6EB2"/>
    <w:rsid w:val="00BF77DD"/>
    <w:rsid w:val="00BF7B59"/>
    <w:rsid w:val="00BF7C5F"/>
    <w:rsid w:val="00BF7CF5"/>
    <w:rsid w:val="00C0085F"/>
    <w:rsid w:val="00C00A00"/>
    <w:rsid w:val="00C01448"/>
    <w:rsid w:val="00C01762"/>
    <w:rsid w:val="00C01BF1"/>
    <w:rsid w:val="00C01CEB"/>
    <w:rsid w:val="00C01D6A"/>
    <w:rsid w:val="00C01F3A"/>
    <w:rsid w:val="00C0382D"/>
    <w:rsid w:val="00C03D18"/>
    <w:rsid w:val="00C0442F"/>
    <w:rsid w:val="00C04B0F"/>
    <w:rsid w:val="00C04C2E"/>
    <w:rsid w:val="00C04F8A"/>
    <w:rsid w:val="00C052A4"/>
    <w:rsid w:val="00C05329"/>
    <w:rsid w:val="00C05CD3"/>
    <w:rsid w:val="00C06395"/>
    <w:rsid w:val="00C06786"/>
    <w:rsid w:val="00C07516"/>
    <w:rsid w:val="00C10248"/>
    <w:rsid w:val="00C103E1"/>
    <w:rsid w:val="00C107B3"/>
    <w:rsid w:val="00C10892"/>
    <w:rsid w:val="00C10A38"/>
    <w:rsid w:val="00C10B3B"/>
    <w:rsid w:val="00C10DE3"/>
    <w:rsid w:val="00C11172"/>
    <w:rsid w:val="00C11253"/>
    <w:rsid w:val="00C115C5"/>
    <w:rsid w:val="00C116E0"/>
    <w:rsid w:val="00C11769"/>
    <w:rsid w:val="00C118A4"/>
    <w:rsid w:val="00C11927"/>
    <w:rsid w:val="00C11B1B"/>
    <w:rsid w:val="00C124DA"/>
    <w:rsid w:val="00C12AC6"/>
    <w:rsid w:val="00C131A7"/>
    <w:rsid w:val="00C146B6"/>
    <w:rsid w:val="00C1492B"/>
    <w:rsid w:val="00C14B04"/>
    <w:rsid w:val="00C14CA7"/>
    <w:rsid w:val="00C1522C"/>
    <w:rsid w:val="00C152C5"/>
    <w:rsid w:val="00C153E1"/>
    <w:rsid w:val="00C155C5"/>
    <w:rsid w:val="00C157FC"/>
    <w:rsid w:val="00C15A67"/>
    <w:rsid w:val="00C15C6B"/>
    <w:rsid w:val="00C1673C"/>
    <w:rsid w:val="00C16CD2"/>
    <w:rsid w:val="00C16CF7"/>
    <w:rsid w:val="00C17935"/>
    <w:rsid w:val="00C17AC4"/>
    <w:rsid w:val="00C2028E"/>
    <w:rsid w:val="00C205AD"/>
    <w:rsid w:val="00C207EE"/>
    <w:rsid w:val="00C20A3F"/>
    <w:rsid w:val="00C20A4D"/>
    <w:rsid w:val="00C20E97"/>
    <w:rsid w:val="00C210FF"/>
    <w:rsid w:val="00C2113B"/>
    <w:rsid w:val="00C21880"/>
    <w:rsid w:val="00C21F06"/>
    <w:rsid w:val="00C22436"/>
    <w:rsid w:val="00C22B01"/>
    <w:rsid w:val="00C22B06"/>
    <w:rsid w:val="00C22C2A"/>
    <w:rsid w:val="00C22D2D"/>
    <w:rsid w:val="00C23404"/>
    <w:rsid w:val="00C23418"/>
    <w:rsid w:val="00C23564"/>
    <w:rsid w:val="00C24322"/>
    <w:rsid w:val="00C24768"/>
    <w:rsid w:val="00C2478C"/>
    <w:rsid w:val="00C249C0"/>
    <w:rsid w:val="00C24B1B"/>
    <w:rsid w:val="00C24DCC"/>
    <w:rsid w:val="00C2528B"/>
    <w:rsid w:val="00C25291"/>
    <w:rsid w:val="00C259CA"/>
    <w:rsid w:val="00C260ED"/>
    <w:rsid w:val="00C262D3"/>
    <w:rsid w:val="00C26B47"/>
    <w:rsid w:val="00C26D05"/>
    <w:rsid w:val="00C26E6C"/>
    <w:rsid w:val="00C27222"/>
    <w:rsid w:val="00C27764"/>
    <w:rsid w:val="00C27C6D"/>
    <w:rsid w:val="00C3093F"/>
    <w:rsid w:val="00C30955"/>
    <w:rsid w:val="00C30ADA"/>
    <w:rsid w:val="00C31375"/>
    <w:rsid w:val="00C31767"/>
    <w:rsid w:val="00C31922"/>
    <w:rsid w:val="00C31F2D"/>
    <w:rsid w:val="00C3225E"/>
    <w:rsid w:val="00C328D6"/>
    <w:rsid w:val="00C330E4"/>
    <w:rsid w:val="00C3312A"/>
    <w:rsid w:val="00C336B7"/>
    <w:rsid w:val="00C33A6F"/>
    <w:rsid w:val="00C33BFE"/>
    <w:rsid w:val="00C3423B"/>
    <w:rsid w:val="00C35063"/>
    <w:rsid w:val="00C35568"/>
    <w:rsid w:val="00C3616B"/>
    <w:rsid w:val="00C36326"/>
    <w:rsid w:val="00C3657F"/>
    <w:rsid w:val="00C366AD"/>
    <w:rsid w:val="00C367FB"/>
    <w:rsid w:val="00C36C36"/>
    <w:rsid w:val="00C37767"/>
    <w:rsid w:val="00C37820"/>
    <w:rsid w:val="00C37A1F"/>
    <w:rsid w:val="00C400D9"/>
    <w:rsid w:val="00C400F7"/>
    <w:rsid w:val="00C40173"/>
    <w:rsid w:val="00C407EF"/>
    <w:rsid w:val="00C40867"/>
    <w:rsid w:val="00C40BF0"/>
    <w:rsid w:val="00C41704"/>
    <w:rsid w:val="00C41C00"/>
    <w:rsid w:val="00C41E79"/>
    <w:rsid w:val="00C42970"/>
    <w:rsid w:val="00C4318F"/>
    <w:rsid w:val="00C434D4"/>
    <w:rsid w:val="00C43A0D"/>
    <w:rsid w:val="00C43C27"/>
    <w:rsid w:val="00C443FB"/>
    <w:rsid w:val="00C448D7"/>
    <w:rsid w:val="00C44C2A"/>
    <w:rsid w:val="00C45053"/>
    <w:rsid w:val="00C455D5"/>
    <w:rsid w:val="00C45900"/>
    <w:rsid w:val="00C45F52"/>
    <w:rsid w:val="00C46032"/>
    <w:rsid w:val="00C463B4"/>
    <w:rsid w:val="00C4644E"/>
    <w:rsid w:val="00C46D37"/>
    <w:rsid w:val="00C470B5"/>
    <w:rsid w:val="00C473A1"/>
    <w:rsid w:val="00C4741E"/>
    <w:rsid w:val="00C47967"/>
    <w:rsid w:val="00C47DBD"/>
    <w:rsid w:val="00C47E9A"/>
    <w:rsid w:val="00C50404"/>
    <w:rsid w:val="00C50427"/>
    <w:rsid w:val="00C50B44"/>
    <w:rsid w:val="00C50BD1"/>
    <w:rsid w:val="00C51071"/>
    <w:rsid w:val="00C512A9"/>
    <w:rsid w:val="00C5159A"/>
    <w:rsid w:val="00C51D59"/>
    <w:rsid w:val="00C5225A"/>
    <w:rsid w:val="00C52925"/>
    <w:rsid w:val="00C53B11"/>
    <w:rsid w:val="00C53D6D"/>
    <w:rsid w:val="00C53E0B"/>
    <w:rsid w:val="00C540C4"/>
    <w:rsid w:val="00C54330"/>
    <w:rsid w:val="00C548CB"/>
    <w:rsid w:val="00C54DAE"/>
    <w:rsid w:val="00C55392"/>
    <w:rsid w:val="00C55CE4"/>
    <w:rsid w:val="00C55D51"/>
    <w:rsid w:val="00C561BF"/>
    <w:rsid w:val="00C56BE3"/>
    <w:rsid w:val="00C56C4D"/>
    <w:rsid w:val="00C56E6C"/>
    <w:rsid w:val="00C571C3"/>
    <w:rsid w:val="00C57AE0"/>
    <w:rsid w:val="00C57D4C"/>
    <w:rsid w:val="00C60998"/>
    <w:rsid w:val="00C60AA8"/>
    <w:rsid w:val="00C60FBB"/>
    <w:rsid w:val="00C61299"/>
    <w:rsid w:val="00C61734"/>
    <w:rsid w:val="00C61BA3"/>
    <w:rsid w:val="00C62779"/>
    <w:rsid w:val="00C62A83"/>
    <w:rsid w:val="00C62E79"/>
    <w:rsid w:val="00C6317E"/>
    <w:rsid w:val="00C649D9"/>
    <w:rsid w:val="00C64A2A"/>
    <w:rsid w:val="00C64CF2"/>
    <w:rsid w:val="00C6574F"/>
    <w:rsid w:val="00C65DCD"/>
    <w:rsid w:val="00C65EA9"/>
    <w:rsid w:val="00C66577"/>
    <w:rsid w:val="00C66749"/>
    <w:rsid w:val="00C6740B"/>
    <w:rsid w:val="00C6773E"/>
    <w:rsid w:val="00C67BD4"/>
    <w:rsid w:val="00C67CB5"/>
    <w:rsid w:val="00C67EA8"/>
    <w:rsid w:val="00C7028E"/>
    <w:rsid w:val="00C709B8"/>
    <w:rsid w:val="00C710DA"/>
    <w:rsid w:val="00C7151C"/>
    <w:rsid w:val="00C719E0"/>
    <w:rsid w:val="00C720CF"/>
    <w:rsid w:val="00C72813"/>
    <w:rsid w:val="00C72A67"/>
    <w:rsid w:val="00C72FF4"/>
    <w:rsid w:val="00C7397A"/>
    <w:rsid w:val="00C739AD"/>
    <w:rsid w:val="00C742BE"/>
    <w:rsid w:val="00C75625"/>
    <w:rsid w:val="00C75962"/>
    <w:rsid w:val="00C75BD6"/>
    <w:rsid w:val="00C76113"/>
    <w:rsid w:val="00C767E7"/>
    <w:rsid w:val="00C76A0C"/>
    <w:rsid w:val="00C76C1D"/>
    <w:rsid w:val="00C77656"/>
    <w:rsid w:val="00C77873"/>
    <w:rsid w:val="00C778CF"/>
    <w:rsid w:val="00C779E0"/>
    <w:rsid w:val="00C77D69"/>
    <w:rsid w:val="00C77F94"/>
    <w:rsid w:val="00C8063E"/>
    <w:rsid w:val="00C80653"/>
    <w:rsid w:val="00C80B99"/>
    <w:rsid w:val="00C81079"/>
    <w:rsid w:val="00C8141C"/>
    <w:rsid w:val="00C81C71"/>
    <w:rsid w:val="00C81CE4"/>
    <w:rsid w:val="00C82508"/>
    <w:rsid w:val="00C82618"/>
    <w:rsid w:val="00C82B5D"/>
    <w:rsid w:val="00C830DE"/>
    <w:rsid w:val="00C83BC3"/>
    <w:rsid w:val="00C84538"/>
    <w:rsid w:val="00C8459B"/>
    <w:rsid w:val="00C846F0"/>
    <w:rsid w:val="00C84923"/>
    <w:rsid w:val="00C85171"/>
    <w:rsid w:val="00C85279"/>
    <w:rsid w:val="00C854A6"/>
    <w:rsid w:val="00C85C4D"/>
    <w:rsid w:val="00C85CAB"/>
    <w:rsid w:val="00C86153"/>
    <w:rsid w:val="00C86C24"/>
    <w:rsid w:val="00C86E56"/>
    <w:rsid w:val="00C86EBF"/>
    <w:rsid w:val="00C870CB"/>
    <w:rsid w:val="00C8716D"/>
    <w:rsid w:val="00C879A3"/>
    <w:rsid w:val="00C87ACE"/>
    <w:rsid w:val="00C87D0E"/>
    <w:rsid w:val="00C90751"/>
    <w:rsid w:val="00C90C29"/>
    <w:rsid w:val="00C9110E"/>
    <w:rsid w:val="00C9121A"/>
    <w:rsid w:val="00C91AEF"/>
    <w:rsid w:val="00C9237A"/>
    <w:rsid w:val="00C93344"/>
    <w:rsid w:val="00C936CF"/>
    <w:rsid w:val="00C941F9"/>
    <w:rsid w:val="00C942A3"/>
    <w:rsid w:val="00C94527"/>
    <w:rsid w:val="00C94E38"/>
    <w:rsid w:val="00C94E81"/>
    <w:rsid w:val="00C95096"/>
    <w:rsid w:val="00C953F3"/>
    <w:rsid w:val="00C958B4"/>
    <w:rsid w:val="00C95E9F"/>
    <w:rsid w:val="00C96050"/>
    <w:rsid w:val="00C964F4"/>
    <w:rsid w:val="00C965DD"/>
    <w:rsid w:val="00C96759"/>
    <w:rsid w:val="00C96BEB"/>
    <w:rsid w:val="00C96CBF"/>
    <w:rsid w:val="00CA089C"/>
    <w:rsid w:val="00CA0B7A"/>
    <w:rsid w:val="00CA0D40"/>
    <w:rsid w:val="00CA0DEF"/>
    <w:rsid w:val="00CA12C0"/>
    <w:rsid w:val="00CA14B1"/>
    <w:rsid w:val="00CA1524"/>
    <w:rsid w:val="00CA18E0"/>
    <w:rsid w:val="00CA1CBD"/>
    <w:rsid w:val="00CA1CC2"/>
    <w:rsid w:val="00CA29EB"/>
    <w:rsid w:val="00CA2BA2"/>
    <w:rsid w:val="00CA2EB0"/>
    <w:rsid w:val="00CA3787"/>
    <w:rsid w:val="00CA3A6E"/>
    <w:rsid w:val="00CA3D54"/>
    <w:rsid w:val="00CA4FD8"/>
    <w:rsid w:val="00CA535E"/>
    <w:rsid w:val="00CA5B7E"/>
    <w:rsid w:val="00CA6447"/>
    <w:rsid w:val="00CA67D1"/>
    <w:rsid w:val="00CA6D00"/>
    <w:rsid w:val="00CA6DA6"/>
    <w:rsid w:val="00CA7F6F"/>
    <w:rsid w:val="00CB02A9"/>
    <w:rsid w:val="00CB0E39"/>
    <w:rsid w:val="00CB297A"/>
    <w:rsid w:val="00CB3263"/>
    <w:rsid w:val="00CB361B"/>
    <w:rsid w:val="00CB3914"/>
    <w:rsid w:val="00CB39BE"/>
    <w:rsid w:val="00CB412B"/>
    <w:rsid w:val="00CB4731"/>
    <w:rsid w:val="00CB4C1B"/>
    <w:rsid w:val="00CB501D"/>
    <w:rsid w:val="00CB5078"/>
    <w:rsid w:val="00CB50FA"/>
    <w:rsid w:val="00CB5549"/>
    <w:rsid w:val="00CB55FB"/>
    <w:rsid w:val="00CB60BA"/>
    <w:rsid w:val="00CB61C0"/>
    <w:rsid w:val="00CB6327"/>
    <w:rsid w:val="00CB63D0"/>
    <w:rsid w:val="00CB6678"/>
    <w:rsid w:val="00CB68B4"/>
    <w:rsid w:val="00CB6DA9"/>
    <w:rsid w:val="00CB6DAA"/>
    <w:rsid w:val="00CB6DB7"/>
    <w:rsid w:val="00CB7214"/>
    <w:rsid w:val="00CB744F"/>
    <w:rsid w:val="00CB7646"/>
    <w:rsid w:val="00CB7BBB"/>
    <w:rsid w:val="00CC000F"/>
    <w:rsid w:val="00CC012B"/>
    <w:rsid w:val="00CC0679"/>
    <w:rsid w:val="00CC06B2"/>
    <w:rsid w:val="00CC0873"/>
    <w:rsid w:val="00CC0C28"/>
    <w:rsid w:val="00CC0D34"/>
    <w:rsid w:val="00CC0D48"/>
    <w:rsid w:val="00CC0DE1"/>
    <w:rsid w:val="00CC1962"/>
    <w:rsid w:val="00CC19B4"/>
    <w:rsid w:val="00CC1A74"/>
    <w:rsid w:val="00CC1C02"/>
    <w:rsid w:val="00CC1DDF"/>
    <w:rsid w:val="00CC22B3"/>
    <w:rsid w:val="00CC2B9E"/>
    <w:rsid w:val="00CC2C39"/>
    <w:rsid w:val="00CC2DD1"/>
    <w:rsid w:val="00CC2E39"/>
    <w:rsid w:val="00CC3186"/>
    <w:rsid w:val="00CC34CF"/>
    <w:rsid w:val="00CC3B76"/>
    <w:rsid w:val="00CC4F33"/>
    <w:rsid w:val="00CC5645"/>
    <w:rsid w:val="00CC5A1E"/>
    <w:rsid w:val="00CC6215"/>
    <w:rsid w:val="00CC63CC"/>
    <w:rsid w:val="00CC651A"/>
    <w:rsid w:val="00CC66C1"/>
    <w:rsid w:val="00CC688A"/>
    <w:rsid w:val="00CC68A5"/>
    <w:rsid w:val="00CC68B0"/>
    <w:rsid w:val="00CC76AA"/>
    <w:rsid w:val="00CD027D"/>
    <w:rsid w:val="00CD0349"/>
    <w:rsid w:val="00CD0508"/>
    <w:rsid w:val="00CD051B"/>
    <w:rsid w:val="00CD0784"/>
    <w:rsid w:val="00CD09E3"/>
    <w:rsid w:val="00CD1188"/>
    <w:rsid w:val="00CD1768"/>
    <w:rsid w:val="00CD183B"/>
    <w:rsid w:val="00CD189C"/>
    <w:rsid w:val="00CD1C04"/>
    <w:rsid w:val="00CD1EE7"/>
    <w:rsid w:val="00CD20FB"/>
    <w:rsid w:val="00CD4A46"/>
    <w:rsid w:val="00CD5299"/>
    <w:rsid w:val="00CD5390"/>
    <w:rsid w:val="00CD5620"/>
    <w:rsid w:val="00CD61FF"/>
    <w:rsid w:val="00CD7192"/>
    <w:rsid w:val="00CD7B05"/>
    <w:rsid w:val="00CE02F3"/>
    <w:rsid w:val="00CE0891"/>
    <w:rsid w:val="00CE0A21"/>
    <w:rsid w:val="00CE0F25"/>
    <w:rsid w:val="00CE1773"/>
    <w:rsid w:val="00CE1E40"/>
    <w:rsid w:val="00CE33CF"/>
    <w:rsid w:val="00CE3672"/>
    <w:rsid w:val="00CE494C"/>
    <w:rsid w:val="00CE5454"/>
    <w:rsid w:val="00CE563B"/>
    <w:rsid w:val="00CE5692"/>
    <w:rsid w:val="00CE6510"/>
    <w:rsid w:val="00CE6947"/>
    <w:rsid w:val="00CE6E32"/>
    <w:rsid w:val="00CE6EDC"/>
    <w:rsid w:val="00CE713C"/>
    <w:rsid w:val="00CE75AE"/>
    <w:rsid w:val="00CE7F26"/>
    <w:rsid w:val="00CE7F98"/>
    <w:rsid w:val="00CF00B1"/>
    <w:rsid w:val="00CF03F7"/>
    <w:rsid w:val="00CF0BB6"/>
    <w:rsid w:val="00CF1283"/>
    <w:rsid w:val="00CF2193"/>
    <w:rsid w:val="00CF2230"/>
    <w:rsid w:val="00CF36C3"/>
    <w:rsid w:val="00CF3CFB"/>
    <w:rsid w:val="00CF41B5"/>
    <w:rsid w:val="00CF51E6"/>
    <w:rsid w:val="00CF5B21"/>
    <w:rsid w:val="00CF6338"/>
    <w:rsid w:val="00CF6EAD"/>
    <w:rsid w:val="00CF75DD"/>
    <w:rsid w:val="00CF7991"/>
    <w:rsid w:val="00D003C6"/>
    <w:rsid w:val="00D00706"/>
    <w:rsid w:val="00D00F01"/>
    <w:rsid w:val="00D0123E"/>
    <w:rsid w:val="00D0165F"/>
    <w:rsid w:val="00D01BE8"/>
    <w:rsid w:val="00D0212D"/>
    <w:rsid w:val="00D02329"/>
    <w:rsid w:val="00D0243B"/>
    <w:rsid w:val="00D0246D"/>
    <w:rsid w:val="00D02884"/>
    <w:rsid w:val="00D02B4D"/>
    <w:rsid w:val="00D030F0"/>
    <w:rsid w:val="00D03335"/>
    <w:rsid w:val="00D033D2"/>
    <w:rsid w:val="00D03BE0"/>
    <w:rsid w:val="00D03CE9"/>
    <w:rsid w:val="00D03E26"/>
    <w:rsid w:val="00D03E74"/>
    <w:rsid w:val="00D04BF6"/>
    <w:rsid w:val="00D04D4C"/>
    <w:rsid w:val="00D05BCB"/>
    <w:rsid w:val="00D05BDB"/>
    <w:rsid w:val="00D05FC8"/>
    <w:rsid w:val="00D06068"/>
    <w:rsid w:val="00D0661A"/>
    <w:rsid w:val="00D067EA"/>
    <w:rsid w:val="00D068EE"/>
    <w:rsid w:val="00D06977"/>
    <w:rsid w:val="00D06B50"/>
    <w:rsid w:val="00D07554"/>
    <w:rsid w:val="00D0762D"/>
    <w:rsid w:val="00D0769A"/>
    <w:rsid w:val="00D0784B"/>
    <w:rsid w:val="00D0786E"/>
    <w:rsid w:val="00D078F7"/>
    <w:rsid w:val="00D0795B"/>
    <w:rsid w:val="00D07BF8"/>
    <w:rsid w:val="00D103EE"/>
    <w:rsid w:val="00D10454"/>
    <w:rsid w:val="00D10809"/>
    <w:rsid w:val="00D10C2A"/>
    <w:rsid w:val="00D1138D"/>
    <w:rsid w:val="00D1139E"/>
    <w:rsid w:val="00D1157B"/>
    <w:rsid w:val="00D118ED"/>
    <w:rsid w:val="00D11AB7"/>
    <w:rsid w:val="00D11ADF"/>
    <w:rsid w:val="00D11CF6"/>
    <w:rsid w:val="00D11DE0"/>
    <w:rsid w:val="00D12084"/>
    <w:rsid w:val="00D121E0"/>
    <w:rsid w:val="00D12227"/>
    <w:rsid w:val="00D126C7"/>
    <w:rsid w:val="00D12C69"/>
    <w:rsid w:val="00D13CF5"/>
    <w:rsid w:val="00D14A3F"/>
    <w:rsid w:val="00D14B30"/>
    <w:rsid w:val="00D14ED9"/>
    <w:rsid w:val="00D1526D"/>
    <w:rsid w:val="00D15C41"/>
    <w:rsid w:val="00D15FF9"/>
    <w:rsid w:val="00D16376"/>
    <w:rsid w:val="00D16D83"/>
    <w:rsid w:val="00D170BB"/>
    <w:rsid w:val="00D1724E"/>
    <w:rsid w:val="00D17420"/>
    <w:rsid w:val="00D174BC"/>
    <w:rsid w:val="00D177C6"/>
    <w:rsid w:val="00D1791F"/>
    <w:rsid w:val="00D17CAA"/>
    <w:rsid w:val="00D20459"/>
    <w:rsid w:val="00D209B0"/>
    <w:rsid w:val="00D21515"/>
    <w:rsid w:val="00D21A42"/>
    <w:rsid w:val="00D21CC5"/>
    <w:rsid w:val="00D22218"/>
    <w:rsid w:val="00D227D4"/>
    <w:rsid w:val="00D23395"/>
    <w:rsid w:val="00D23572"/>
    <w:rsid w:val="00D2367B"/>
    <w:rsid w:val="00D23B96"/>
    <w:rsid w:val="00D23C54"/>
    <w:rsid w:val="00D25222"/>
    <w:rsid w:val="00D253C5"/>
    <w:rsid w:val="00D258A5"/>
    <w:rsid w:val="00D25C1C"/>
    <w:rsid w:val="00D25DC5"/>
    <w:rsid w:val="00D2602B"/>
    <w:rsid w:val="00D26A44"/>
    <w:rsid w:val="00D26C0B"/>
    <w:rsid w:val="00D2744D"/>
    <w:rsid w:val="00D2756C"/>
    <w:rsid w:val="00D30084"/>
    <w:rsid w:val="00D300D7"/>
    <w:rsid w:val="00D30344"/>
    <w:rsid w:val="00D305BD"/>
    <w:rsid w:val="00D30D0F"/>
    <w:rsid w:val="00D3119B"/>
    <w:rsid w:val="00D314F5"/>
    <w:rsid w:val="00D318A1"/>
    <w:rsid w:val="00D31931"/>
    <w:rsid w:val="00D31C52"/>
    <w:rsid w:val="00D321EE"/>
    <w:rsid w:val="00D3242F"/>
    <w:rsid w:val="00D33A2F"/>
    <w:rsid w:val="00D33D3F"/>
    <w:rsid w:val="00D33D60"/>
    <w:rsid w:val="00D340F6"/>
    <w:rsid w:val="00D34355"/>
    <w:rsid w:val="00D34A89"/>
    <w:rsid w:val="00D34B6C"/>
    <w:rsid w:val="00D34C83"/>
    <w:rsid w:val="00D350F8"/>
    <w:rsid w:val="00D35365"/>
    <w:rsid w:val="00D355DA"/>
    <w:rsid w:val="00D35975"/>
    <w:rsid w:val="00D35D54"/>
    <w:rsid w:val="00D3639A"/>
    <w:rsid w:val="00D36893"/>
    <w:rsid w:val="00D40101"/>
    <w:rsid w:val="00D40234"/>
    <w:rsid w:val="00D4027B"/>
    <w:rsid w:val="00D40456"/>
    <w:rsid w:val="00D40474"/>
    <w:rsid w:val="00D404CD"/>
    <w:rsid w:val="00D40623"/>
    <w:rsid w:val="00D40653"/>
    <w:rsid w:val="00D4088B"/>
    <w:rsid w:val="00D40A8E"/>
    <w:rsid w:val="00D40AC2"/>
    <w:rsid w:val="00D41819"/>
    <w:rsid w:val="00D418A6"/>
    <w:rsid w:val="00D41FFA"/>
    <w:rsid w:val="00D421A2"/>
    <w:rsid w:val="00D42791"/>
    <w:rsid w:val="00D4367F"/>
    <w:rsid w:val="00D4370D"/>
    <w:rsid w:val="00D43A0D"/>
    <w:rsid w:val="00D43BD8"/>
    <w:rsid w:val="00D44122"/>
    <w:rsid w:val="00D443A5"/>
    <w:rsid w:val="00D44479"/>
    <w:rsid w:val="00D44A15"/>
    <w:rsid w:val="00D44B71"/>
    <w:rsid w:val="00D44F27"/>
    <w:rsid w:val="00D452D8"/>
    <w:rsid w:val="00D453A9"/>
    <w:rsid w:val="00D454F6"/>
    <w:rsid w:val="00D459A8"/>
    <w:rsid w:val="00D45C4C"/>
    <w:rsid w:val="00D45CD0"/>
    <w:rsid w:val="00D46591"/>
    <w:rsid w:val="00D465C3"/>
    <w:rsid w:val="00D474EB"/>
    <w:rsid w:val="00D47AEE"/>
    <w:rsid w:val="00D47CD6"/>
    <w:rsid w:val="00D502E3"/>
    <w:rsid w:val="00D502F6"/>
    <w:rsid w:val="00D50311"/>
    <w:rsid w:val="00D50766"/>
    <w:rsid w:val="00D50C97"/>
    <w:rsid w:val="00D50E76"/>
    <w:rsid w:val="00D51171"/>
    <w:rsid w:val="00D516FC"/>
    <w:rsid w:val="00D51CB0"/>
    <w:rsid w:val="00D51D96"/>
    <w:rsid w:val="00D52112"/>
    <w:rsid w:val="00D522D4"/>
    <w:rsid w:val="00D532C6"/>
    <w:rsid w:val="00D5386F"/>
    <w:rsid w:val="00D5497A"/>
    <w:rsid w:val="00D54F96"/>
    <w:rsid w:val="00D55169"/>
    <w:rsid w:val="00D55AAE"/>
    <w:rsid w:val="00D56830"/>
    <w:rsid w:val="00D56A51"/>
    <w:rsid w:val="00D56DDF"/>
    <w:rsid w:val="00D57610"/>
    <w:rsid w:val="00D576FD"/>
    <w:rsid w:val="00D57923"/>
    <w:rsid w:val="00D57BB7"/>
    <w:rsid w:val="00D604FD"/>
    <w:rsid w:val="00D60D39"/>
    <w:rsid w:val="00D60F8F"/>
    <w:rsid w:val="00D61447"/>
    <w:rsid w:val="00D617A8"/>
    <w:rsid w:val="00D6192F"/>
    <w:rsid w:val="00D62A9F"/>
    <w:rsid w:val="00D62D05"/>
    <w:rsid w:val="00D63D68"/>
    <w:rsid w:val="00D6404B"/>
    <w:rsid w:val="00D6482D"/>
    <w:rsid w:val="00D66196"/>
    <w:rsid w:val="00D66950"/>
    <w:rsid w:val="00D67781"/>
    <w:rsid w:val="00D6785B"/>
    <w:rsid w:val="00D6793D"/>
    <w:rsid w:val="00D67A22"/>
    <w:rsid w:val="00D67CD4"/>
    <w:rsid w:val="00D67F28"/>
    <w:rsid w:val="00D67FF4"/>
    <w:rsid w:val="00D70095"/>
    <w:rsid w:val="00D70159"/>
    <w:rsid w:val="00D70804"/>
    <w:rsid w:val="00D70D05"/>
    <w:rsid w:val="00D71AE4"/>
    <w:rsid w:val="00D725F8"/>
    <w:rsid w:val="00D728B5"/>
    <w:rsid w:val="00D72FA9"/>
    <w:rsid w:val="00D7336B"/>
    <w:rsid w:val="00D73EEF"/>
    <w:rsid w:val="00D747BC"/>
    <w:rsid w:val="00D750DE"/>
    <w:rsid w:val="00D75122"/>
    <w:rsid w:val="00D75224"/>
    <w:rsid w:val="00D7561C"/>
    <w:rsid w:val="00D76509"/>
    <w:rsid w:val="00D771F6"/>
    <w:rsid w:val="00D772A5"/>
    <w:rsid w:val="00D77350"/>
    <w:rsid w:val="00D776A1"/>
    <w:rsid w:val="00D80131"/>
    <w:rsid w:val="00D80531"/>
    <w:rsid w:val="00D80A84"/>
    <w:rsid w:val="00D816B7"/>
    <w:rsid w:val="00D823E3"/>
    <w:rsid w:val="00D82551"/>
    <w:rsid w:val="00D8371F"/>
    <w:rsid w:val="00D83EBB"/>
    <w:rsid w:val="00D83EF5"/>
    <w:rsid w:val="00D840C8"/>
    <w:rsid w:val="00D84FD1"/>
    <w:rsid w:val="00D8548A"/>
    <w:rsid w:val="00D8595D"/>
    <w:rsid w:val="00D85FCC"/>
    <w:rsid w:val="00D86184"/>
    <w:rsid w:val="00D861C7"/>
    <w:rsid w:val="00D86448"/>
    <w:rsid w:val="00D86A03"/>
    <w:rsid w:val="00D8707E"/>
    <w:rsid w:val="00D8735F"/>
    <w:rsid w:val="00D87708"/>
    <w:rsid w:val="00D87AAA"/>
    <w:rsid w:val="00D905E5"/>
    <w:rsid w:val="00D90ADA"/>
    <w:rsid w:val="00D90B32"/>
    <w:rsid w:val="00D90EB4"/>
    <w:rsid w:val="00D916AB"/>
    <w:rsid w:val="00D91B42"/>
    <w:rsid w:val="00D91C27"/>
    <w:rsid w:val="00D926A9"/>
    <w:rsid w:val="00D92702"/>
    <w:rsid w:val="00D92709"/>
    <w:rsid w:val="00D9272F"/>
    <w:rsid w:val="00D92A46"/>
    <w:rsid w:val="00D92F56"/>
    <w:rsid w:val="00D9306D"/>
    <w:rsid w:val="00D93354"/>
    <w:rsid w:val="00D93AD5"/>
    <w:rsid w:val="00D93DD3"/>
    <w:rsid w:val="00D9499C"/>
    <w:rsid w:val="00D94AFB"/>
    <w:rsid w:val="00D94C2C"/>
    <w:rsid w:val="00D95327"/>
    <w:rsid w:val="00D95647"/>
    <w:rsid w:val="00D95B89"/>
    <w:rsid w:val="00D96681"/>
    <w:rsid w:val="00D966FB"/>
    <w:rsid w:val="00D9677C"/>
    <w:rsid w:val="00D96926"/>
    <w:rsid w:val="00D96DD9"/>
    <w:rsid w:val="00D97FBA"/>
    <w:rsid w:val="00DA0AC1"/>
    <w:rsid w:val="00DA0C3B"/>
    <w:rsid w:val="00DA13F9"/>
    <w:rsid w:val="00DA2374"/>
    <w:rsid w:val="00DA247E"/>
    <w:rsid w:val="00DA24B2"/>
    <w:rsid w:val="00DA2A4E"/>
    <w:rsid w:val="00DA2E57"/>
    <w:rsid w:val="00DA3A8D"/>
    <w:rsid w:val="00DA3AB2"/>
    <w:rsid w:val="00DA3CF8"/>
    <w:rsid w:val="00DA4166"/>
    <w:rsid w:val="00DA43C3"/>
    <w:rsid w:val="00DA444A"/>
    <w:rsid w:val="00DA4A7B"/>
    <w:rsid w:val="00DA5631"/>
    <w:rsid w:val="00DA5E2E"/>
    <w:rsid w:val="00DA6200"/>
    <w:rsid w:val="00DA6E2C"/>
    <w:rsid w:val="00DA7025"/>
    <w:rsid w:val="00DA7094"/>
    <w:rsid w:val="00DA76CB"/>
    <w:rsid w:val="00DA7AD5"/>
    <w:rsid w:val="00DA7ECB"/>
    <w:rsid w:val="00DB00CE"/>
    <w:rsid w:val="00DB0934"/>
    <w:rsid w:val="00DB0A2C"/>
    <w:rsid w:val="00DB10AD"/>
    <w:rsid w:val="00DB126B"/>
    <w:rsid w:val="00DB133B"/>
    <w:rsid w:val="00DB1BC4"/>
    <w:rsid w:val="00DB2033"/>
    <w:rsid w:val="00DB26AD"/>
    <w:rsid w:val="00DB2AE0"/>
    <w:rsid w:val="00DB3680"/>
    <w:rsid w:val="00DB3CBF"/>
    <w:rsid w:val="00DB42AA"/>
    <w:rsid w:val="00DB446B"/>
    <w:rsid w:val="00DB4729"/>
    <w:rsid w:val="00DB5385"/>
    <w:rsid w:val="00DB562E"/>
    <w:rsid w:val="00DB5EF2"/>
    <w:rsid w:val="00DB69CA"/>
    <w:rsid w:val="00DB6B1E"/>
    <w:rsid w:val="00DB6B64"/>
    <w:rsid w:val="00DB71BF"/>
    <w:rsid w:val="00DB7C1C"/>
    <w:rsid w:val="00DC065C"/>
    <w:rsid w:val="00DC09E1"/>
    <w:rsid w:val="00DC0FED"/>
    <w:rsid w:val="00DC12A0"/>
    <w:rsid w:val="00DC15CC"/>
    <w:rsid w:val="00DC170E"/>
    <w:rsid w:val="00DC1714"/>
    <w:rsid w:val="00DC1EB8"/>
    <w:rsid w:val="00DC20A1"/>
    <w:rsid w:val="00DC3554"/>
    <w:rsid w:val="00DC428F"/>
    <w:rsid w:val="00DC4374"/>
    <w:rsid w:val="00DC443F"/>
    <w:rsid w:val="00DC4598"/>
    <w:rsid w:val="00DC48B2"/>
    <w:rsid w:val="00DC4C18"/>
    <w:rsid w:val="00DC4D2F"/>
    <w:rsid w:val="00DC4DAA"/>
    <w:rsid w:val="00DC4DF2"/>
    <w:rsid w:val="00DC5149"/>
    <w:rsid w:val="00DC5409"/>
    <w:rsid w:val="00DC5FC7"/>
    <w:rsid w:val="00DC64D4"/>
    <w:rsid w:val="00DC6AC5"/>
    <w:rsid w:val="00DC7108"/>
    <w:rsid w:val="00DC766B"/>
    <w:rsid w:val="00DC783A"/>
    <w:rsid w:val="00DC79BE"/>
    <w:rsid w:val="00DD02F8"/>
    <w:rsid w:val="00DD0636"/>
    <w:rsid w:val="00DD06F2"/>
    <w:rsid w:val="00DD0A84"/>
    <w:rsid w:val="00DD1400"/>
    <w:rsid w:val="00DD15E1"/>
    <w:rsid w:val="00DD2936"/>
    <w:rsid w:val="00DD2B69"/>
    <w:rsid w:val="00DD31D9"/>
    <w:rsid w:val="00DD3323"/>
    <w:rsid w:val="00DD35EF"/>
    <w:rsid w:val="00DD384D"/>
    <w:rsid w:val="00DD3CFE"/>
    <w:rsid w:val="00DD41FB"/>
    <w:rsid w:val="00DD4228"/>
    <w:rsid w:val="00DD44F2"/>
    <w:rsid w:val="00DD4A98"/>
    <w:rsid w:val="00DD4D17"/>
    <w:rsid w:val="00DD4E30"/>
    <w:rsid w:val="00DD4F62"/>
    <w:rsid w:val="00DD5C81"/>
    <w:rsid w:val="00DD5DB0"/>
    <w:rsid w:val="00DD5E0F"/>
    <w:rsid w:val="00DD6712"/>
    <w:rsid w:val="00DD6B8B"/>
    <w:rsid w:val="00DD72E5"/>
    <w:rsid w:val="00DD78FE"/>
    <w:rsid w:val="00DE031A"/>
    <w:rsid w:val="00DE0BAE"/>
    <w:rsid w:val="00DE0F99"/>
    <w:rsid w:val="00DE1C6B"/>
    <w:rsid w:val="00DE1DD0"/>
    <w:rsid w:val="00DE20F0"/>
    <w:rsid w:val="00DE29F4"/>
    <w:rsid w:val="00DE31B2"/>
    <w:rsid w:val="00DE34F8"/>
    <w:rsid w:val="00DE36C8"/>
    <w:rsid w:val="00DE3CC4"/>
    <w:rsid w:val="00DE3CEB"/>
    <w:rsid w:val="00DE4F56"/>
    <w:rsid w:val="00DE4F8B"/>
    <w:rsid w:val="00DE50EC"/>
    <w:rsid w:val="00DE55DF"/>
    <w:rsid w:val="00DE5737"/>
    <w:rsid w:val="00DE5B31"/>
    <w:rsid w:val="00DE606A"/>
    <w:rsid w:val="00DE6393"/>
    <w:rsid w:val="00DE696B"/>
    <w:rsid w:val="00DE6BA0"/>
    <w:rsid w:val="00DE73E0"/>
    <w:rsid w:val="00DE7501"/>
    <w:rsid w:val="00DE7C74"/>
    <w:rsid w:val="00DF0078"/>
    <w:rsid w:val="00DF0508"/>
    <w:rsid w:val="00DF0F40"/>
    <w:rsid w:val="00DF109C"/>
    <w:rsid w:val="00DF1375"/>
    <w:rsid w:val="00DF18C4"/>
    <w:rsid w:val="00DF1C08"/>
    <w:rsid w:val="00DF21ED"/>
    <w:rsid w:val="00DF235B"/>
    <w:rsid w:val="00DF2675"/>
    <w:rsid w:val="00DF2763"/>
    <w:rsid w:val="00DF277A"/>
    <w:rsid w:val="00DF2837"/>
    <w:rsid w:val="00DF2953"/>
    <w:rsid w:val="00DF317D"/>
    <w:rsid w:val="00DF32AF"/>
    <w:rsid w:val="00DF377D"/>
    <w:rsid w:val="00DF380B"/>
    <w:rsid w:val="00DF3906"/>
    <w:rsid w:val="00DF3CD6"/>
    <w:rsid w:val="00DF4032"/>
    <w:rsid w:val="00DF45E8"/>
    <w:rsid w:val="00DF627E"/>
    <w:rsid w:val="00DF6737"/>
    <w:rsid w:val="00DF6A7D"/>
    <w:rsid w:val="00DF71CA"/>
    <w:rsid w:val="00DF7346"/>
    <w:rsid w:val="00DF738C"/>
    <w:rsid w:val="00DF7828"/>
    <w:rsid w:val="00DF786F"/>
    <w:rsid w:val="00E00710"/>
    <w:rsid w:val="00E00AC4"/>
    <w:rsid w:val="00E00C5B"/>
    <w:rsid w:val="00E00D55"/>
    <w:rsid w:val="00E01548"/>
    <w:rsid w:val="00E015A1"/>
    <w:rsid w:val="00E0185A"/>
    <w:rsid w:val="00E01AE2"/>
    <w:rsid w:val="00E01BCB"/>
    <w:rsid w:val="00E02176"/>
    <w:rsid w:val="00E0296D"/>
    <w:rsid w:val="00E02D5F"/>
    <w:rsid w:val="00E03642"/>
    <w:rsid w:val="00E03A7B"/>
    <w:rsid w:val="00E0459C"/>
    <w:rsid w:val="00E046C9"/>
    <w:rsid w:val="00E048D5"/>
    <w:rsid w:val="00E0508E"/>
    <w:rsid w:val="00E05DA7"/>
    <w:rsid w:val="00E062B3"/>
    <w:rsid w:val="00E06880"/>
    <w:rsid w:val="00E06992"/>
    <w:rsid w:val="00E06A08"/>
    <w:rsid w:val="00E06CAE"/>
    <w:rsid w:val="00E07491"/>
    <w:rsid w:val="00E07604"/>
    <w:rsid w:val="00E104C2"/>
    <w:rsid w:val="00E10E28"/>
    <w:rsid w:val="00E112CB"/>
    <w:rsid w:val="00E1132A"/>
    <w:rsid w:val="00E1287E"/>
    <w:rsid w:val="00E12CAC"/>
    <w:rsid w:val="00E12D11"/>
    <w:rsid w:val="00E131FA"/>
    <w:rsid w:val="00E1355A"/>
    <w:rsid w:val="00E13A24"/>
    <w:rsid w:val="00E13A95"/>
    <w:rsid w:val="00E14B80"/>
    <w:rsid w:val="00E14CCB"/>
    <w:rsid w:val="00E150EA"/>
    <w:rsid w:val="00E1573D"/>
    <w:rsid w:val="00E15E39"/>
    <w:rsid w:val="00E171BA"/>
    <w:rsid w:val="00E1730F"/>
    <w:rsid w:val="00E17469"/>
    <w:rsid w:val="00E1751E"/>
    <w:rsid w:val="00E17AD2"/>
    <w:rsid w:val="00E200C1"/>
    <w:rsid w:val="00E203BB"/>
    <w:rsid w:val="00E203EC"/>
    <w:rsid w:val="00E2077E"/>
    <w:rsid w:val="00E2088B"/>
    <w:rsid w:val="00E20A6F"/>
    <w:rsid w:val="00E20B8A"/>
    <w:rsid w:val="00E2103F"/>
    <w:rsid w:val="00E21169"/>
    <w:rsid w:val="00E225F7"/>
    <w:rsid w:val="00E2272E"/>
    <w:rsid w:val="00E227EF"/>
    <w:rsid w:val="00E229ED"/>
    <w:rsid w:val="00E23044"/>
    <w:rsid w:val="00E23048"/>
    <w:rsid w:val="00E23445"/>
    <w:rsid w:val="00E236D2"/>
    <w:rsid w:val="00E23841"/>
    <w:rsid w:val="00E240C1"/>
    <w:rsid w:val="00E241DF"/>
    <w:rsid w:val="00E24DF0"/>
    <w:rsid w:val="00E25331"/>
    <w:rsid w:val="00E254EF"/>
    <w:rsid w:val="00E2554F"/>
    <w:rsid w:val="00E25EF4"/>
    <w:rsid w:val="00E2667A"/>
    <w:rsid w:val="00E26B2D"/>
    <w:rsid w:val="00E277F6"/>
    <w:rsid w:val="00E27AEF"/>
    <w:rsid w:val="00E304E1"/>
    <w:rsid w:val="00E306B7"/>
    <w:rsid w:val="00E3076D"/>
    <w:rsid w:val="00E30818"/>
    <w:rsid w:val="00E30A09"/>
    <w:rsid w:val="00E31543"/>
    <w:rsid w:val="00E31A16"/>
    <w:rsid w:val="00E31C57"/>
    <w:rsid w:val="00E31D30"/>
    <w:rsid w:val="00E332FC"/>
    <w:rsid w:val="00E3372A"/>
    <w:rsid w:val="00E33A12"/>
    <w:rsid w:val="00E33A5A"/>
    <w:rsid w:val="00E33BBE"/>
    <w:rsid w:val="00E33EA7"/>
    <w:rsid w:val="00E33ECC"/>
    <w:rsid w:val="00E352DA"/>
    <w:rsid w:val="00E35AD6"/>
    <w:rsid w:val="00E35E64"/>
    <w:rsid w:val="00E35E89"/>
    <w:rsid w:val="00E3618C"/>
    <w:rsid w:val="00E36458"/>
    <w:rsid w:val="00E367E4"/>
    <w:rsid w:val="00E3740D"/>
    <w:rsid w:val="00E377D0"/>
    <w:rsid w:val="00E40428"/>
    <w:rsid w:val="00E409ED"/>
    <w:rsid w:val="00E409EF"/>
    <w:rsid w:val="00E40BDA"/>
    <w:rsid w:val="00E40BFC"/>
    <w:rsid w:val="00E41367"/>
    <w:rsid w:val="00E4173B"/>
    <w:rsid w:val="00E41B05"/>
    <w:rsid w:val="00E42278"/>
    <w:rsid w:val="00E4267A"/>
    <w:rsid w:val="00E42E9E"/>
    <w:rsid w:val="00E43482"/>
    <w:rsid w:val="00E4390C"/>
    <w:rsid w:val="00E4441F"/>
    <w:rsid w:val="00E44457"/>
    <w:rsid w:val="00E44605"/>
    <w:rsid w:val="00E44B12"/>
    <w:rsid w:val="00E451B3"/>
    <w:rsid w:val="00E45934"/>
    <w:rsid w:val="00E46273"/>
    <w:rsid w:val="00E4693C"/>
    <w:rsid w:val="00E46C7C"/>
    <w:rsid w:val="00E46EA4"/>
    <w:rsid w:val="00E47A42"/>
    <w:rsid w:val="00E47EB1"/>
    <w:rsid w:val="00E50240"/>
    <w:rsid w:val="00E5061C"/>
    <w:rsid w:val="00E50821"/>
    <w:rsid w:val="00E51D1E"/>
    <w:rsid w:val="00E51F96"/>
    <w:rsid w:val="00E52370"/>
    <w:rsid w:val="00E52895"/>
    <w:rsid w:val="00E52924"/>
    <w:rsid w:val="00E5299E"/>
    <w:rsid w:val="00E529F3"/>
    <w:rsid w:val="00E53154"/>
    <w:rsid w:val="00E531CD"/>
    <w:rsid w:val="00E5335E"/>
    <w:rsid w:val="00E53FCE"/>
    <w:rsid w:val="00E548E3"/>
    <w:rsid w:val="00E54B46"/>
    <w:rsid w:val="00E54FC8"/>
    <w:rsid w:val="00E54FEF"/>
    <w:rsid w:val="00E552A3"/>
    <w:rsid w:val="00E55651"/>
    <w:rsid w:val="00E5577E"/>
    <w:rsid w:val="00E55CA3"/>
    <w:rsid w:val="00E56102"/>
    <w:rsid w:val="00E5642F"/>
    <w:rsid w:val="00E56A39"/>
    <w:rsid w:val="00E56C9C"/>
    <w:rsid w:val="00E579FE"/>
    <w:rsid w:val="00E57E22"/>
    <w:rsid w:val="00E57E86"/>
    <w:rsid w:val="00E603A8"/>
    <w:rsid w:val="00E60649"/>
    <w:rsid w:val="00E60BB2"/>
    <w:rsid w:val="00E60C6B"/>
    <w:rsid w:val="00E61C99"/>
    <w:rsid w:val="00E62394"/>
    <w:rsid w:val="00E626C6"/>
    <w:rsid w:val="00E62F90"/>
    <w:rsid w:val="00E6327A"/>
    <w:rsid w:val="00E63329"/>
    <w:rsid w:val="00E633E4"/>
    <w:rsid w:val="00E63E20"/>
    <w:rsid w:val="00E64571"/>
    <w:rsid w:val="00E645DB"/>
    <w:rsid w:val="00E649B3"/>
    <w:rsid w:val="00E64E66"/>
    <w:rsid w:val="00E65609"/>
    <w:rsid w:val="00E65E61"/>
    <w:rsid w:val="00E66AFB"/>
    <w:rsid w:val="00E67296"/>
    <w:rsid w:val="00E6736F"/>
    <w:rsid w:val="00E6752B"/>
    <w:rsid w:val="00E6767A"/>
    <w:rsid w:val="00E67E47"/>
    <w:rsid w:val="00E703F2"/>
    <w:rsid w:val="00E70BFD"/>
    <w:rsid w:val="00E71EC5"/>
    <w:rsid w:val="00E72209"/>
    <w:rsid w:val="00E726FD"/>
    <w:rsid w:val="00E72899"/>
    <w:rsid w:val="00E73348"/>
    <w:rsid w:val="00E73564"/>
    <w:rsid w:val="00E73B10"/>
    <w:rsid w:val="00E74157"/>
    <w:rsid w:val="00E7445E"/>
    <w:rsid w:val="00E746C9"/>
    <w:rsid w:val="00E7490C"/>
    <w:rsid w:val="00E74DEF"/>
    <w:rsid w:val="00E74E68"/>
    <w:rsid w:val="00E75551"/>
    <w:rsid w:val="00E763BC"/>
    <w:rsid w:val="00E7720F"/>
    <w:rsid w:val="00E7793D"/>
    <w:rsid w:val="00E77B1B"/>
    <w:rsid w:val="00E77B93"/>
    <w:rsid w:val="00E77DE0"/>
    <w:rsid w:val="00E80115"/>
    <w:rsid w:val="00E80DBD"/>
    <w:rsid w:val="00E80F88"/>
    <w:rsid w:val="00E81738"/>
    <w:rsid w:val="00E82185"/>
    <w:rsid w:val="00E82E39"/>
    <w:rsid w:val="00E82F67"/>
    <w:rsid w:val="00E83644"/>
    <w:rsid w:val="00E83B8C"/>
    <w:rsid w:val="00E83EB9"/>
    <w:rsid w:val="00E84382"/>
    <w:rsid w:val="00E845AF"/>
    <w:rsid w:val="00E845E6"/>
    <w:rsid w:val="00E846E5"/>
    <w:rsid w:val="00E85000"/>
    <w:rsid w:val="00E8522E"/>
    <w:rsid w:val="00E855E4"/>
    <w:rsid w:val="00E861F5"/>
    <w:rsid w:val="00E864CF"/>
    <w:rsid w:val="00E86985"/>
    <w:rsid w:val="00E869E3"/>
    <w:rsid w:val="00E86A14"/>
    <w:rsid w:val="00E86C28"/>
    <w:rsid w:val="00E8765E"/>
    <w:rsid w:val="00E90871"/>
    <w:rsid w:val="00E90DA6"/>
    <w:rsid w:val="00E90EF3"/>
    <w:rsid w:val="00E91B30"/>
    <w:rsid w:val="00E92AC0"/>
    <w:rsid w:val="00E9305D"/>
    <w:rsid w:val="00E93071"/>
    <w:rsid w:val="00E939F7"/>
    <w:rsid w:val="00E93F4E"/>
    <w:rsid w:val="00E9491B"/>
    <w:rsid w:val="00E94A7E"/>
    <w:rsid w:val="00E95325"/>
    <w:rsid w:val="00E95354"/>
    <w:rsid w:val="00E95587"/>
    <w:rsid w:val="00E95866"/>
    <w:rsid w:val="00E95D11"/>
    <w:rsid w:val="00E963E1"/>
    <w:rsid w:val="00E967AD"/>
    <w:rsid w:val="00E967B5"/>
    <w:rsid w:val="00E970CB"/>
    <w:rsid w:val="00E9738A"/>
    <w:rsid w:val="00EA0EFA"/>
    <w:rsid w:val="00EA1038"/>
    <w:rsid w:val="00EA12EA"/>
    <w:rsid w:val="00EA196E"/>
    <w:rsid w:val="00EA22EB"/>
    <w:rsid w:val="00EA2547"/>
    <w:rsid w:val="00EA2787"/>
    <w:rsid w:val="00EA278C"/>
    <w:rsid w:val="00EA2DF4"/>
    <w:rsid w:val="00EA2E14"/>
    <w:rsid w:val="00EA35FE"/>
    <w:rsid w:val="00EA3772"/>
    <w:rsid w:val="00EA3BAC"/>
    <w:rsid w:val="00EA3C8E"/>
    <w:rsid w:val="00EA3D52"/>
    <w:rsid w:val="00EA416E"/>
    <w:rsid w:val="00EA4305"/>
    <w:rsid w:val="00EA465F"/>
    <w:rsid w:val="00EA4800"/>
    <w:rsid w:val="00EA502E"/>
    <w:rsid w:val="00EA5204"/>
    <w:rsid w:val="00EA5F06"/>
    <w:rsid w:val="00EA6565"/>
    <w:rsid w:val="00EA686B"/>
    <w:rsid w:val="00EA6979"/>
    <w:rsid w:val="00EA6995"/>
    <w:rsid w:val="00EA6D5E"/>
    <w:rsid w:val="00EA6D90"/>
    <w:rsid w:val="00EA6FB7"/>
    <w:rsid w:val="00EA7494"/>
    <w:rsid w:val="00EA74B0"/>
    <w:rsid w:val="00EA78E4"/>
    <w:rsid w:val="00EB0052"/>
    <w:rsid w:val="00EB04EC"/>
    <w:rsid w:val="00EB0C5A"/>
    <w:rsid w:val="00EB23C7"/>
    <w:rsid w:val="00EB2BBC"/>
    <w:rsid w:val="00EB2CEA"/>
    <w:rsid w:val="00EB3013"/>
    <w:rsid w:val="00EB3044"/>
    <w:rsid w:val="00EB32C8"/>
    <w:rsid w:val="00EB36C3"/>
    <w:rsid w:val="00EB38A2"/>
    <w:rsid w:val="00EB3C2D"/>
    <w:rsid w:val="00EB3E19"/>
    <w:rsid w:val="00EB3ED0"/>
    <w:rsid w:val="00EB4337"/>
    <w:rsid w:val="00EB4599"/>
    <w:rsid w:val="00EB4817"/>
    <w:rsid w:val="00EB4A44"/>
    <w:rsid w:val="00EB4BC2"/>
    <w:rsid w:val="00EB4CCA"/>
    <w:rsid w:val="00EB4FD7"/>
    <w:rsid w:val="00EB5264"/>
    <w:rsid w:val="00EB5455"/>
    <w:rsid w:val="00EB586C"/>
    <w:rsid w:val="00EB5B2E"/>
    <w:rsid w:val="00EB5E9F"/>
    <w:rsid w:val="00EC0344"/>
    <w:rsid w:val="00EC052F"/>
    <w:rsid w:val="00EC09E1"/>
    <w:rsid w:val="00EC0BB1"/>
    <w:rsid w:val="00EC0C27"/>
    <w:rsid w:val="00EC0D2E"/>
    <w:rsid w:val="00EC1A0D"/>
    <w:rsid w:val="00EC1C38"/>
    <w:rsid w:val="00EC1EA8"/>
    <w:rsid w:val="00EC2AB9"/>
    <w:rsid w:val="00EC2ABF"/>
    <w:rsid w:val="00EC2B14"/>
    <w:rsid w:val="00EC2F0C"/>
    <w:rsid w:val="00EC343A"/>
    <w:rsid w:val="00EC3813"/>
    <w:rsid w:val="00EC3C95"/>
    <w:rsid w:val="00EC3D47"/>
    <w:rsid w:val="00EC409D"/>
    <w:rsid w:val="00EC452B"/>
    <w:rsid w:val="00EC45BB"/>
    <w:rsid w:val="00EC4AEE"/>
    <w:rsid w:val="00EC4CED"/>
    <w:rsid w:val="00EC4E99"/>
    <w:rsid w:val="00EC5739"/>
    <w:rsid w:val="00EC5B43"/>
    <w:rsid w:val="00EC5B78"/>
    <w:rsid w:val="00EC5C20"/>
    <w:rsid w:val="00EC5D09"/>
    <w:rsid w:val="00EC67FB"/>
    <w:rsid w:val="00EC704E"/>
    <w:rsid w:val="00EC7759"/>
    <w:rsid w:val="00EC7A9C"/>
    <w:rsid w:val="00EC7E35"/>
    <w:rsid w:val="00EC7EC8"/>
    <w:rsid w:val="00ED03E3"/>
    <w:rsid w:val="00ED0512"/>
    <w:rsid w:val="00ED05DA"/>
    <w:rsid w:val="00ED066B"/>
    <w:rsid w:val="00ED06BB"/>
    <w:rsid w:val="00ED078C"/>
    <w:rsid w:val="00ED0FE1"/>
    <w:rsid w:val="00ED18F1"/>
    <w:rsid w:val="00ED1A97"/>
    <w:rsid w:val="00ED1F0C"/>
    <w:rsid w:val="00ED214F"/>
    <w:rsid w:val="00ED250B"/>
    <w:rsid w:val="00ED2525"/>
    <w:rsid w:val="00ED25F7"/>
    <w:rsid w:val="00ED2D16"/>
    <w:rsid w:val="00ED3787"/>
    <w:rsid w:val="00ED3E75"/>
    <w:rsid w:val="00ED460B"/>
    <w:rsid w:val="00ED4A9C"/>
    <w:rsid w:val="00ED4C37"/>
    <w:rsid w:val="00ED501F"/>
    <w:rsid w:val="00ED50AE"/>
    <w:rsid w:val="00ED52A1"/>
    <w:rsid w:val="00ED52EB"/>
    <w:rsid w:val="00ED6064"/>
    <w:rsid w:val="00ED65B8"/>
    <w:rsid w:val="00ED678C"/>
    <w:rsid w:val="00ED7250"/>
    <w:rsid w:val="00ED7C0B"/>
    <w:rsid w:val="00ED7D84"/>
    <w:rsid w:val="00ED7E3D"/>
    <w:rsid w:val="00EE01E8"/>
    <w:rsid w:val="00EE0960"/>
    <w:rsid w:val="00EE0A5E"/>
    <w:rsid w:val="00EE131E"/>
    <w:rsid w:val="00EE1AC2"/>
    <w:rsid w:val="00EE209B"/>
    <w:rsid w:val="00EE24B4"/>
    <w:rsid w:val="00EE2618"/>
    <w:rsid w:val="00EE26B3"/>
    <w:rsid w:val="00EE301E"/>
    <w:rsid w:val="00EE340B"/>
    <w:rsid w:val="00EE3EAC"/>
    <w:rsid w:val="00EE45FD"/>
    <w:rsid w:val="00EE4986"/>
    <w:rsid w:val="00EE4DFD"/>
    <w:rsid w:val="00EE53E8"/>
    <w:rsid w:val="00EE5433"/>
    <w:rsid w:val="00EE646F"/>
    <w:rsid w:val="00EE65E6"/>
    <w:rsid w:val="00EE6A03"/>
    <w:rsid w:val="00EE75EC"/>
    <w:rsid w:val="00EE77C2"/>
    <w:rsid w:val="00EE7C92"/>
    <w:rsid w:val="00EF001D"/>
    <w:rsid w:val="00EF0CD4"/>
    <w:rsid w:val="00EF10C0"/>
    <w:rsid w:val="00EF13A5"/>
    <w:rsid w:val="00EF1884"/>
    <w:rsid w:val="00EF1F90"/>
    <w:rsid w:val="00EF2605"/>
    <w:rsid w:val="00EF284D"/>
    <w:rsid w:val="00EF2CBC"/>
    <w:rsid w:val="00EF3354"/>
    <w:rsid w:val="00EF3804"/>
    <w:rsid w:val="00EF3BF3"/>
    <w:rsid w:val="00EF447B"/>
    <w:rsid w:val="00EF61FD"/>
    <w:rsid w:val="00EF650B"/>
    <w:rsid w:val="00EF667C"/>
    <w:rsid w:val="00EF69DF"/>
    <w:rsid w:val="00EF6A37"/>
    <w:rsid w:val="00EF6BE5"/>
    <w:rsid w:val="00EF6CA0"/>
    <w:rsid w:val="00EF755B"/>
    <w:rsid w:val="00EF75D2"/>
    <w:rsid w:val="00EF7A69"/>
    <w:rsid w:val="00F00103"/>
    <w:rsid w:val="00F0024F"/>
    <w:rsid w:val="00F006D2"/>
    <w:rsid w:val="00F012C0"/>
    <w:rsid w:val="00F01427"/>
    <w:rsid w:val="00F01462"/>
    <w:rsid w:val="00F0165B"/>
    <w:rsid w:val="00F01ADA"/>
    <w:rsid w:val="00F0205E"/>
    <w:rsid w:val="00F0282E"/>
    <w:rsid w:val="00F02A52"/>
    <w:rsid w:val="00F03C9F"/>
    <w:rsid w:val="00F03E74"/>
    <w:rsid w:val="00F04398"/>
    <w:rsid w:val="00F04946"/>
    <w:rsid w:val="00F04A60"/>
    <w:rsid w:val="00F04D63"/>
    <w:rsid w:val="00F057DA"/>
    <w:rsid w:val="00F05996"/>
    <w:rsid w:val="00F06111"/>
    <w:rsid w:val="00F062D4"/>
    <w:rsid w:val="00F06516"/>
    <w:rsid w:val="00F0676E"/>
    <w:rsid w:val="00F06942"/>
    <w:rsid w:val="00F06C72"/>
    <w:rsid w:val="00F06FEB"/>
    <w:rsid w:val="00F07D7E"/>
    <w:rsid w:val="00F07F28"/>
    <w:rsid w:val="00F07FB3"/>
    <w:rsid w:val="00F10180"/>
    <w:rsid w:val="00F10542"/>
    <w:rsid w:val="00F1091D"/>
    <w:rsid w:val="00F10CB5"/>
    <w:rsid w:val="00F11F48"/>
    <w:rsid w:val="00F12588"/>
    <w:rsid w:val="00F12A95"/>
    <w:rsid w:val="00F12EB4"/>
    <w:rsid w:val="00F1306F"/>
    <w:rsid w:val="00F13093"/>
    <w:rsid w:val="00F13230"/>
    <w:rsid w:val="00F1360B"/>
    <w:rsid w:val="00F13748"/>
    <w:rsid w:val="00F13DAD"/>
    <w:rsid w:val="00F15483"/>
    <w:rsid w:val="00F1591E"/>
    <w:rsid w:val="00F15C78"/>
    <w:rsid w:val="00F15D0E"/>
    <w:rsid w:val="00F15D3C"/>
    <w:rsid w:val="00F16975"/>
    <w:rsid w:val="00F16B62"/>
    <w:rsid w:val="00F16BC5"/>
    <w:rsid w:val="00F17097"/>
    <w:rsid w:val="00F171A6"/>
    <w:rsid w:val="00F17283"/>
    <w:rsid w:val="00F17944"/>
    <w:rsid w:val="00F17EA7"/>
    <w:rsid w:val="00F20112"/>
    <w:rsid w:val="00F2081F"/>
    <w:rsid w:val="00F20C9A"/>
    <w:rsid w:val="00F21D2B"/>
    <w:rsid w:val="00F21F5A"/>
    <w:rsid w:val="00F22CA7"/>
    <w:rsid w:val="00F22F9A"/>
    <w:rsid w:val="00F22FF3"/>
    <w:rsid w:val="00F2348F"/>
    <w:rsid w:val="00F23760"/>
    <w:rsid w:val="00F243BA"/>
    <w:rsid w:val="00F24414"/>
    <w:rsid w:val="00F24B4A"/>
    <w:rsid w:val="00F2518F"/>
    <w:rsid w:val="00F25657"/>
    <w:rsid w:val="00F25840"/>
    <w:rsid w:val="00F25872"/>
    <w:rsid w:val="00F25B6E"/>
    <w:rsid w:val="00F25C51"/>
    <w:rsid w:val="00F25C5A"/>
    <w:rsid w:val="00F25F7C"/>
    <w:rsid w:val="00F2629B"/>
    <w:rsid w:val="00F26972"/>
    <w:rsid w:val="00F271CD"/>
    <w:rsid w:val="00F27482"/>
    <w:rsid w:val="00F27614"/>
    <w:rsid w:val="00F30001"/>
    <w:rsid w:val="00F30797"/>
    <w:rsid w:val="00F30890"/>
    <w:rsid w:val="00F30934"/>
    <w:rsid w:val="00F30D53"/>
    <w:rsid w:val="00F310F7"/>
    <w:rsid w:val="00F31995"/>
    <w:rsid w:val="00F31DEC"/>
    <w:rsid w:val="00F32279"/>
    <w:rsid w:val="00F328AF"/>
    <w:rsid w:val="00F32D56"/>
    <w:rsid w:val="00F32F90"/>
    <w:rsid w:val="00F33768"/>
    <w:rsid w:val="00F33B48"/>
    <w:rsid w:val="00F33C8A"/>
    <w:rsid w:val="00F33D27"/>
    <w:rsid w:val="00F340A7"/>
    <w:rsid w:val="00F3483C"/>
    <w:rsid w:val="00F35D55"/>
    <w:rsid w:val="00F3624B"/>
    <w:rsid w:val="00F364A9"/>
    <w:rsid w:val="00F365E3"/>
    <w:rsid w:val="00F36E57"/>
    <w:rsid w:val="00F36E65"/>
    <w:rsid w:val="00F36FCA"/>
    <w:rsid w:val="00F372CD"/>
    <w:rsid w:val="00F37431"/>
    <w:rsid w:val="00F379E3"/>
    <w:rsid w:val="00F40A6E"/>
    <w:rsid w:val="00F40B17"/>
    <w:rsid w:val="00F4157F"/>
    <w:rsid w:val="00F41A57"/>
    <w:rsid w:val="00F41ED7"/>
    <w:rsid w:val="00F426B0"/>
    <w:rsid w:val="00F42BE0"/>
    <w:rsid w:val="00F44291"/>
    <w:rsid w:val="00F447D5"/>
    <w:rsid w:val="00F450CA"/>
    <w:rsid w:val="00F4534A"/>
    <w:rsid w:val="00F45511"/>
    <w:rsid w:val="00F45A55"/>
    <w:rsid w:val="00F464EE"/>
    <w:rsid w:val="00F46A05"/>
    <w:rsid w:val="00F471B2"/>
    <w:rsid w:val="00F47827"/>
    <w:rsid w:val="00F47FBF"/>
    <w:rsid w:val="00F50660"/>
    <w:rsid w:val="00F50A2A"/>
    <w:rsid w:val="00F5138A"/>
    <w:rsid w:val="00F51587"/>
    <w:rsid w:val="00F51A97"/>
    <w:rsid w:val="00F5200D"/>
    <w:rsid w:val="00F5371C"/>
    <w:rsid w:val="00F54F79"/>
    <w:rsid w:val="00F550E6"/>
    <w:rsid w:val="00F55145"/>
    <w:rsid w:val="00F553D2"/>
    <w:rsid w:val="00F55BD5"/>
    <w:rsid w:val="00F55C9A"/>
    <w:rsid w:val="00F56690"/>
    <w:rsid w:val="00F568BA"/>
    <w:rsid w:val="00F570FF"/>
    <w:rsid w:val="00F57574"/>
    <w:rsid w:val="00F57C6A"/>
    <w:rsid w:val="00F604F6"/>
    <w:rsid w:val="00F61BFD"/>
    <w:rsid w:val="00F62324"/>
    <w:rsid w:val="00F6278B"/>
    <w:rsid w:val="00F62795"/>
    <w:rsid w:val="00F62858"/>
    <w:rsid w:val="00F62C53"/>
    <w:rsid w:val="00F635E6"/>
    <w:rsid w:val="00F63D5D"/>
    <w:rsid w:val="00F64622"/>
    <w:rsid w:val="00F647C2"/>
    <w:rsid w:val="00F64A54"/>
    <w:rsid w:val="00F64BFC"/>
    <w:rsid w:val="00F6501B"/>
    <w:rsid w:val="00F65428"/>
    <w:rsid w:val="00F65580"/>
    <w:rsid w:val="00F65927"/>
    <w:rsid w:val="00F65955"/>
    <w:rsid w:val="00F65CDE"/>
    <w:rsid w:val="00F66276"/>
    <w:rsid w:val="00F6656A"/>
    <w:rsid w:val="00F66C62"/>
    <w:rsid w:val="00F66D82"/>
    <w:rsid w:val="00F6724A"/>
    <w:rsid w:val="00F6771E"/>
    <w:rsid w:val="00F67855"/>
    <w:rsid w:val="00F67F43"/>
    <w:rsid w:val="00F7033C"/>
    <w:rsid w:val="00F71390"/>
    <w:rsid w:val="00F71B18"/>
    <w:rsid w:val="00F71C8B"/>
    <w:rsid w:val="00F71DAE"/>
    <w:rsid w:val="00F72095"/>
    <w:rsid w:val="00F72550"/>
    <w:rsid w:val="00F725C0"/>
    <w:rsid w:val="00F72D0E"/>
    <w:rsid w:val="00F72DFE"/>
    <w:rsid w:val="00F7302D"/>
    <w:rsid w:val="00F73353"/>
    <w:rsid w:val="00F73778"/>
    <w:rsid w:val="00F73F36"/>
    <w:rsid w:val="00F742B3"/>
    <w:rsid w:val="00F74D7F"/>
    <w:rsid w:val="00F7566F"/>
    <w:rsid w:val="00F757A1"/>
    <w:rsid w:val="00F75C14"/>
    <w:rsid w:val="00F75D81"/>
    <w:rsid w:val="00F76719"/>
    <w:rsid w:val="00F76A5F"/>
    <w:rsid w:val="00F76C04"/>
    <w:rsid w:val="00F76DB6"/>
    <w:rsid w:val="00F76E02"/>
    <w:rsid w:val="00F776AD"/>
    <w:rsid w:val="00F776FE"/>
    <w:rsid w:val="00F80263"/>
    <w:rsid w:val="00F8034C"/>
    <w:rsid w:val="00F807D3"/>
    <w:rsid w:val="00F80B53"/>
    <w:rsid w:val="00F80B5A"/>
    <w:rsid w:val="00F80BF5"/>
    <w:rsid w:val="00F812F4"/>
    <w:rsid w:val="00F815D4"/>
    <w:rsid w:val="00F81F42"/>
    <w:rsid w:val="00F8272D"/>
    <w:rsid w:val="00F8306C"/>
    <w:rsid w:val="00F833AF"/>
    <w:rsid w:val="00F834F1"/>
    <w:rsid w:val="00F838B2"/>
    <w:rsid w:val="00F83B1A"/>
    <w:rsid w:val="00F84C61"/>
    <w:rsid w:val="00F84D36"/>
    <w:rsid w:val="00F855F2"/>
    <w:rsid w:val="00F858C8"/>
    <w:rsid w:val="00F8597A"/>
    <w:rsid w:val="00F859D0"/>
    <w:rsid w:val="00F85B93"/>
    <w:rsid w:val="00F85C70"/>
    <w:rsid w:val="00F85C9E"/>
    <w:rsid w:val="00F85F57"/>
    <w:rsid w:val="00F86742"/>
    <w:rsid w:val="00F86F0D"/>
    <w:rsid w:val="00F8705A"/>
    <w:rsid w:val="00F87511"/>
    <w:rsid w:val="00F87D32"/>
    <w:rsid w:val="00F87E0A"/>
    <w:rsid w:val="00F9046F"/>
    <w:rsid w:val="00F91211"/>
    <w:rsid w:val="00F9164D"/>
    <w:rsid w:val="00F916CB"/>
    <w:rsid w:val="00F91CB1"/>
    <w:rsid w:val="00F9201B"/>
    <w:rsid w:val="00F922D5"/>
    <w:rsid w:val="00F9230D"/>
    <w:rsid w:val="00F92607"/>
    <w:rsid w:val="00F92912"/>
    <w:rsid w:val="00F93452"/>
    <w:rsid w:val="00F93F6E"/>
    <w:rsid w:val="00F93FC1"/>
    <w:rsid w:val="00F9401A"/>
    <w:rsid w:val="00F947AA"/>
    <w:rsid w:val="00F949D0"/>
    <w:rsid w:val="00F94B50"/>
    <w:rsid w:val="00F957C7"/>
    <w:rsid w:val="00F958D2"/>
    <w:rsid w:val="00F9598D"/>
    <w:rsid w:val="00F95D66"/>
    <w:rsid w:val="00F95F9B"/>
    <w:rsid w:val="00F95FF6"/>
    <w:rsid w:val="00F96190"/>
    <w:rsid w:val="00F9644D"/>
    <w:rsid w:val="00F965A5"/>
    <w:rsid w:val="00F9664D"/>
    <w:rsid w:val="00F969DF"/>
    <w:rsid w:val="00F9722A"/>
    <w:rsid w:val="00FA043D"/>
    <w:rsid w:val="00FA0856"/>
    <w:rsid w:val="00FA0D28"/>
    <w:rsid w:val="00FA118B"/>
    <w:rsid w:val="00FA147A"/>
    <w:rsid w:val="00FA1D61"/>
    <w:rsid w:val="00FA2A09"/>
    <w:rsid w:val="00FA2AAB"/>
    <w:rsid w:val="00FA2E45"/>
    <w:rsid w:val="00FA35CB"/>
    <w:rsid w:val="00FA3AD5"/>
    <w:rsid w:val="00FA3BFE"/>
    <w:rsid w:val="00FA411A"/>
    <w:rsid w:val="00FA4244"/>
    <w:rsid w:val="00FA42EF"/>
    <w:rsid w:val="00FA4A76"/>
    <w:rsid w:val="00FA5037"/>
    <w:rsid w:val="00FA5E33"/>
    <w:rsid w:val="00FA6372"/>
    <w:rsid w:val="00FA63C5"/>
    <w:rsid w:val="00FA6865"/>
    <w:rsid w:val="00FA6A12"/>
    <w:rsid w:val="00FA7227"/>
    <w:rsid w:val="00FA7C0A"/>
    <w:rsid w:val="00FB0354"/>
    <w:rsid w:val="00FB0584"/>
    <w:rsid w:val="00FB0ACA"/>
    <w:rsid w:val="00FB0F83"/>
    <w:rsid w:val="00FB14EC"/>
    <w:rsid w:val="00FB1DF4"/>
    <w:rsid w:val="00FB1E32"/>
    <w:rsid w:val="00FB219A"/>
    <w:rsid w:val="00FB2507"/>
    <w:rsid w:val="00FB26EE"/>
    <w:rsid w:val="00FB44E6"/>
    <w:rsid w:val="00FB4F30"/>
    <w:rsid w:val="00FB51FB"/>
    <w:rsid w:val="00FB5566"/>
    <w:rsid w:val="00FB557D"/>
    <w:rsid w:val="00FB5589"/>
    <w:rsid w:val="00FB5DEB"/>
    <w:rsid w:val="00FB62C6"/>
    <w:rsid w:val="00FB6CA3"/>
    <w:rsid w:val="00FB76C2"/>
    <w:rsid w:val="00FB7898"/>
    <w:rsid w:val="00FB7F75"/>
    <w:rsid w:val="00FC0680"/>
    <w:rsid w:val="00FC1528"/>
    <w:rsid w:val="00FC1B49"/>
    <w:rsid w:val="00FC1E73"/>
    <w:rsid w:val="00FC1EC8"/>
    <w:rsid w:val="00FC2217"/>
    <w:rsid w:val="00FC28CF"/>
    <w:rsid w:val="00FC303E"/>
    <w:rsid w:val="00FC3225"/>
    <w:rsid w:val="00FC3234"/>
    <w:rsid w:val="00FC3255"/>
    <w:rsid w:val="00FC3303"/>
    <w:rsid w:val="00FC42A5"/>
    <w:rsid w:val="00FC43EF"/>
    <w:rsid w:val="00FC5E43"/>
    <w:rsid w:val="00FC6595"/>
    <w:rsid w:val="00FC699C"/>
    <w:rsid w:val="00FC6B71"/>
    <w:rsid w:val="00FC6E4F"/>
    <w:rsid w:val="00FC6FD4"/>
    <w:rsid w:val="00FC7056"/>
    <w:rsid w:val="00FC7639"/>
    <w:rsid w:val="00FC7A09"/>
    <w:rsid w:val="00FD0547"/>
    <w:rsid w:val="00FD0872"/>
    <w:rsid w:val="00FD089C"/>
    <w:rsid w:val="00FD0DFD"/>
    <w:rsid w:val="00FD1EE1"/>
    <w:rsid w:val="00FD2452"/>
    <w:rsid w:val="00FD2849"/>
    <w:rsid w:val="00FD3197"/>
    <w:rsid w:val="00FD33AA"/>
    <w:rsid w:val="00FD3905"/>
    <w:rsid w:val="00FD408A"/>
    <w:rsid w:val="00FD4602"/>
    <w:rsid w:val="00FD506F"/>
    <w:rsid w:val="00FD5A56"/>
    <w:rsid w:val="00FD6860"/>
    <w:rsid w:val="00FD6C1C"/>
    <w:rsid w:val="00FD75DF"/>
    <w:rsid w:val="00FD7BC5"/>
    <w:rsid w:val="00FE0B8B"/>
    <w:rsid w:val="00FE0EF9"/>
    <w:rsid w:val="00FE1425"/>
    <w:rsid w:val="00FE1585"/>
    <w:rsid w:val="00FE1E4F"/>
    <w:rsid w:val="00FE1F61"/>
    <w:rsid w:val="00FE22AC"/>
    <w:rsid w:val="00FE24E0"/>
    <w:rsid w:val="00FE24F8"/>
    <w:rsid w:val="00FE286D"/>
    <w:rsid w:val="00FE2B16"/>
    <w:rsid w:val="00FE2ED5"/>
    <w:rsid w:val="00FE3087"/>
    <w:rsid w:val="00FE31BD"/>
    <w:rsid w:val="00FE359C"/>
    <w:rsid w:val="00FE3B60"/>
    <w:rsid w:val="00FE3FD9"/>
    <w:rsid w:val="00FE44AA"/>
    <w:rsid w:val="00FE4727"/>
    <w:rsid w:val="00FE4B53"/>
    <w:rsid w:val="00FE4DCF"/>
    <w:rsid w:val="00FE521F"/>
    <w:rsid w:val="00FE53A6"/>
    <w:rsid w:val="00FE5DDE"/>
    <w:rsid w:val="00FE64A0"/>
    <w:rsid w:val="00FE658A"/>
    <w:rsid w:val="00FE682A"/>
    <w:rsid w:val="00FE68B1"/>
    <w:rsid w:val="00FE725B"/>
    <w:rsid w:val="00FE7661"/>
    <w:rsid w:val="00FE7CF7"/>
    <w:rsid w:val="00FF05DD"/>
    <w:rsid w:val="00FF0611"/>
    <w:rsid w:val="00FF0990"/>
    <w:rsid w:val="00FF0DD5"/>
    <w:rsid w:val="00FF0F36"/>
    <w:rsid w:val="00FF0F62"/>
    <w:rsid w:val="00FF11AB"/>
    <w:rsid w:val="00FF1449"/>
    <w:rsid w:val="00FF16A1"/>
    <w:rsid w:val="00FF18DD"/>
    <w:rsid w:val="00FF23D6"/>
    <w:rsid w:val="00FF253D"/>
    <w:rsid w:val="00FF26B7"/>
    <w:rsid w:val="00FF40E6"/>
    <w:rsid w:val="00FF4110"/>
    <w:rsid w:val="00FF4AD6"/>
    <w:rsid w:val="00FF4B88"/>
    <w:rsid w:val="00FF4E7A"/>
    <w:rsid w:val="00FF519F"/>
    <w:rsid w:val="00FF616D"/>
    <w:rsid w:val="00FF6716"/>
    <w:rsid w:val="00FF7417"/>
    <w:rsid w:val="00FF7A57"/>
    <w:rsid w:val="08093891"/>
    <w:rsid w:val="0904952D"/>
    <w:rsid w:val="0A283443"/>
    <w:rsid w:val="0F587C46"/>
    <w:rsid w:val="24CF0A79"/>
    <w:rsid w:val="2902E5BE"/>
    <w:rsid w:val="2BC18B85"/>
    <w:rsid w:val="46433AF7"/>
    <w:rsid w:val="58B2CAE7"/>
    <w:rsid w:val="6550CC0A"/>
    <w:rsid w:val="7288F1E2"/>
    <w:rsid w:val="72F597C3"/>
    <w:rsid w:val="73FD34C6"/>
    <w:rsid w:val="7AE24191"/>
    <w:rsid w:val="7D59C60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8C06E8D"/>
  <w15:docId w15:val="{ED02DE4E-FF48-4E39-B0F9-E324DD6E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4" w:qFormat="1"/>
    <w:lsdException w:name="heading 6" w:uiPriority="5"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qFormat="1"/>
    <w:lsdException w:name="annotation reference" w:semiHidden="1" w:uiPriority="49"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iPriority="16" w:unhideWhenUsed="1" w:qFormat="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F08"/>
    <w:pPr>
      <w:spacing w:after="240"/>
    </w:pPr>
    <w:rPr>
      <w:rFonts w:eastAsia="Calibri"/>
      <w:sz w:val="24"/>
      <w:szCs w:val="24"/>
    </w:rPr>
  </w:style>
  <w:style w:type="paragraph" w:styleId="Heading1">
    <w:name w:val="heading 1"/>
    <w:basedOn w:val="Header"/>
    <w:next w:val="BodyText1"/>
    <w:link w:val="Heading1Char"/>
    <w:qFormat/>
    <w:rsid w:val="00DB00CE"/>
    <w:pPr>
      <w:keepNext/>
      <w:spacing w:after="240"/>
      <w:outlineLvl w:val="0"/>
    </w:pPr>
    <w:rPr>
      <w:rFonts w:ascii="Arial" w:hAnsi="Arial"/>
    </w:rPr>
  </w:style>
  <w:style w:type="paragraph" w:styleId="Heading2">
    <w:name w:val="heading 2"/>
    <w:basedOn w:val="Header"/>
    <w:next w:val="BodyText1"/>
    <w:link w:val="Heading2Char"/>
    <w:qFormat/>
    <w:rsid w:val="00DB00CE"/>
    <w:pPr>
      <w:keepNext/>
      <w:autoSpaceDE w:val="0"/>
      <w:autoSpaceDN w:val="0"/>
      <w:adjustRightInd w:val="0"/>
      <w:spacing w:before="120" w:after="360"/>
      <w:outlineLvl w:val="1"/>
    </w:pPr>
    <w:rPr>
      <w:rFonts w:ascii="Arial" w:eastAsia="Times New Roman" w:hAnsi="Arial" w:cs="Arial"/>
      <w:bCs/>
      <w:sz w:val="32"/>
    </w:rPr>
  </w:style>
  <w:style w:type="paragraph" w:styleId="Heading3">
    <w:name w:val="heading 3"/>
    <w:basedOn w:val="Header"/>
    <w:next w:val="BodyText1"/>
    <w:link w:val="Heading3Char"/>
    <w:qFormat/>
    <w:rsid w:val="00DB00CE"/>
    <w:pPr>
      <w:keepNext/>
      <w:spacing w:before="120" w:after="120"/>
      <w:outlineLvl w:val="2"/>
    </w:pPr>
    <w:rPr>
      <w:rFonts w:asciiTheme="minorHAnsi" w:eastAsia="Times New Roman" w:hAnsiTheme="minorHAnsi" w:cs="Arial"/>
      <w:b w:val="0"/>
      <w:bCs/>
      <w:i/>
      <w:sz w:val="26"/>
    </w:rPr>
  </w:style>
  <w:style w:type="paragraph" w:styleId="Heading4">
    <w:name w:val="heading 4"/>
    <w:basedOn w:val="Header"/>
    <w:next w:val="BodyText1"/>
    <w:link w:val="Heading4Char"/>
    <w:qFormat/>
    <w:rsid w:val="00DB00CE"/>
    <w:pPr>
      <w:keepNext/>
      <w:spacing w:before="120" w:after="120"/>
      <w:outlineLvl w:val="3"/>
    </w:pPr>
    <w:rPr>
      <w:rFonts w:ascii="Arial" w:hAnsi="Arial"/>
      <w:sz w:val="22"/>
    </w:rPr>
  </w:style>
  <w:style w:type="paragraph" w:styleId="Heading5">
    <w:name w:val="heading 5"/>
    <w:basedOn w:val="Normal"/>
    <w:next w:val="Normal"/>
    <w:link w:val="Heading5Char"/>
    <w:uiPriority w:val="4"/>
    <w:qFormat/>
    <w:rsid w:val="00DB00CE"/>
    <w:pPr>
      <w:outlineLvl w:val="4"/>
    </w:pPr>
    <w:rPr>
      <w:rFonts w:ascii="Trebuchet MS" w:hAnsi="Trebuchet MS"/>
      <w:b/>
      <w:sz w:val="32"/>
    </w:rPr>
  </w:style>
  <w:style w:type="paragraph" w:styleId="Heading6">
    <w:name w:val="heading 6"/>
    <w:basedOn w:val="Normal"/>
    <w:next w:val="Normal"/>
    <w:link w:val="Heading6Char"/>
    <w:uiPriority w:val="5"/>
    <w:qFormat/>
    <w:rsid w:val="00DB00CE"/>
    <w:pPr>
      <w:keepNext/>
      <w:keepLines/>
      <w:spacing w:before="200"/>
      <w:outlineLvl w:val="5"/>
    </w:pPr>
    <w:rPr>
      <w:rFonts w:ascii="Trebuchet MS" w:eastAsia="Times New Roman" w:hAnsi="Trebuchet MS"/>
      <w:iCs/>
      <w:color w:val="0C2577"/>
      <w:sz w:val="90"/>
    </w:rPr>
  </w:style>
  <w:style w:type="paragraph" w:styleId="Heading7">
    <w:name w:val="heading 7"/>
    <w:basedOn w:val="Normal"/>
    <w:next w:val="Normal"/>
    <w:qFormat/>
    <w:rsid w:val="008A2B39"/>
    <w:pPr>
      <w:keepNext/>
      <w:tabs>
        <w:tab w:val="num" w:pos="1296"/>
      </w:tabs>
      <w:spacing w:after="120" w:line="360" w:lineRule="auto"/>
      <w:ind w:left="1296" w:hanging="1296"/>
      <w:jc w:val="both"/>
      <w:outlineLvl w:val="6"/>
    </w:pPr>
    <w:rPr>
      <w:rFonts w:ascii="Garamond" w:hAnsi="Garamond" w:cs="TF Arrow"/>
      <w:b/>
      <w:bCs/>
      <w:lang w:val="en-US"/>
    </w:rPr>
  </w:style>
  <w:style w:type="paragraph" w:styleId="Heading8">
    <w:name w:val="heading 8"/>
    <w:basedOn w:val="Normal"/>
    <w:next w:val="Normal"/>
    <w:qFormat/>
    <w:rsid w:val="008A2B39"/>
    <w:pPr>
      <w:keepNext/>
      <w:tabs>
        <w:tab w:val="num" w:pos="1440"/>
      </w:tabs>
      <w:spacing w:after="120" w:line="360" w:lineRule="auto"/>
      <w:ind w:left="1440" w:hanging="1440"/>
      <w:jc w:val="both"/>
      <w:outlineLvl w:val="7"/>
    </w:pPr>
    <w:rPr>
      <w:rFonts w:ascii="Garamond" w:hAnsi="Garamond" w:cs="TF Arrow"/>
      <w:i/>
      <w:iCs/>
    </w:rPr>
  </w:style>
  <w:style w:type="paragraph" w:styleId="Heading9">
    <w:name w:val="heading 9"/>
    <w:basedOn w:val="Normal"/>
    <w:next w:val="Normal"/>
    <w:qFormat/>
    <w:rsid w:val="008A2B39"/>
    <w:pPr>
      <w:keepNext/>
      <w:tabs>
        <w:tab w:val="num" w:pos="1584"/>
      </w:tabs>
      <w:ind w:left="1584" w:hanging="1584"/>
      <w:jc w:val="both"/>
      <w:outlineLvl w:val="8"/>
    </w:pPr>
    <w:rPr>
      <w:rFonts w:ascii="TF Arrow" w:cs="Tahoma"/>
      <w:sz w:val="86"/>
      <w:szCs w:val="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paragraph" w:customStyle="1" w:styleId="SubHeading">
    <w:name w:val="Sub Heading"/>
    <w:basedOn w:val="Normal"/>
    <w:next w:val="Header"/>
    <w:rsid w:val="00B57341"/>
    <w:pPr>
      <w:keepNext/>
      <w:spacing w:before="240" w:after="60"/>
      <w:outlineLvl w:val="0"/>
    </w:pPr>
    <w:rPr>
      <w:rFonts w:cs="Arial"/>
      <w:b/>
      <w:kern w:val="32"/>
      <w:szCs w:val="32"/>
    </w:rPr>
  </w:style>
  <w:style w:type="paragraph" w:styleId="Header">
    <w:name w:val="header"/>
    <w:next w:val="Normal"/>
    <w:link w:val="HeaderChar"/>
    <w:uiPriority w:val="99"/>
    <w:qFormat/>
    <w:rsid w:val="00DB00CE"/>
    <w:pPr>
      <w:tabs>
        <w:tab w:val="center" w:pos="4513"/>
        <w:tab w:val="right" w:pos="9026"/>
      </w:tabs>
      <w:contextualSpacing/>
    </w:pPr>
    <w:rPr>
      <w:rFonts w:asciiTheme="majorHAnsi" w:eastAsia="Calibri" w:hAnsiTheme="majorHAnsi"/>
      <w:b/>
      <w:sz w:val="24"/>
      <w:szCs w:val="24"/>
    </w:rPr>
  </w:style>
  <w:style w:type="table" w:styleId="TableGrid">
    <w:name w:val="Table Grid"/>
    <w:basedOn w:val="TableNormal"/>
    <w:uiPriority w:val="59"/>
    <w:rsid w:val="00DB00CE"/>
    <w:pPr>
      <w:spacing w:after="240"/>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B00CE"/>
    <w:pPr>
      <w:tabs>
        <w:tab w:val="center" w:pos="4513"/>
        <w:tab w:val="right" w:pos="9026"/>
      </w:tabs>
      <w:spacing w:after="120"/>
      <w:jc w:val="right"/>
    </w:pPr>
    <w:rPr>
      <w:b/>
    </w:rPr>
  </w:style>
  <w:style w:type="character" w:styleId="PageNumber">
    <w:name w:val="page number"/>
    <w:basedOn w:val="DefaultParagraphFont"/>
    <w:rsid w:val="008F0247"/>
  </w:style>
  <w:style w:type="paragraph" w:styleId="BalloonText">
    <w:name w:val="Balloon Text"/>
    <w:basedOn w:val="Normal"/>
    <w:link w:val="BalloonTextChar"/>
    <w:uiPriority w:val="49"/>
    <w:semiHidden/>
    <w:unhideWhenUsed/>
    <w:rsid w:val="00DB00CE"/>
    <w:rPr>
      <w:rFonts w:ascii="Tahoma" w:hAnsi="Tahoma" w:cs="Tahoma"/>
      <w:sz w:val="16"/>
      <w:szCs w:val="16"/>
    </w:rPr>
  </w:style>
  <w:style w:type="paragraph" w:customStyle="1" w:styleId="Text">
    <w:name w:val="Text"/>
    <w:basedOn w:val="Normal"/>
    <w:rsid w:val="008968BA"/>
    <w:pPr>
      <w:spacing w:after="360" w:line="360" w:lineRule="exact"/>
      <w:jc w:val="both"/>
    </w:pPr>
    <w:rPr>
      <w:rFonts w:ascii="Garamond" w:hAnsi="Garamond" w:cs="TF Arrow"/>
    </w:rPr>
  </w:style>
  <w:style w:type="paragraph" w:customStyle="1" w:styleId="StyleHeading2TrebuchetMSLeft">
    <w:name w:val="Style Heading 2 + Trebuchet MS Left"/>
    <w:basedOn w:val="Heading2"/>
    <w:rsid w:val="008968BA"/>
    <w:pPr>
      <w:spacing w:before="0" w:after="240" w:line="360" w:lineRule="auto"/>
    </w:pPr>
    <w:rPr>
      <w:rFonts w:ascii="Trebuchet MS" w:hAnsi="Trebuchet MS" w:cs="Times New Roman"/>
      <w:i/>
      <w:iCs/>
      <w:szCs w:val="20"/>
    </w:rPr>
  </w:style>
  <w:style w:type="character" w:styleId="CommentReference">
    <w:name w:val="annotation reference"/>
    <w:basedOn w:val="DefaultParagraphFont"/>
    <w:uiPriority w:val="49"/>
    <w:semiHidden/>
    <w:unhideWhenUsed/>
    <w:rsid w:val="00DB00CE"/>
    <w:rPr>
      <w:sz w:val="16"/>
      <w:szCs w:val="16"/>
    </w:rPr>
  </w:style>
  <w:style w:type="paragraph" w:styleId="CommentText">
    <w:name w:val="annotation text"/>
    <w:basedOn w:val="Normal"/>
    <w:link w:val="CommentTextChar"/>
    <w:uiPriority w:val="49"/>
    <w:unhideWhenUsed/>
    <w:rsid w:val="00DB00CE"/>
    <w:rPr>
      <w:sz w:val="20"/>
      <w:szCs w:val="20"/>
    </w:rPr>
  </w:style>
  <w:style w:type="paragraph" w:styleId="BodyText2">
    <w:name w:val="Body Text 2"/>
    <w:basedOn w:val="BodyText1"/>
    <w:link w:val="BodyText2Char"/>
    <w:qFormat/>
    <w:rsid w:val="00E9738A"/>
    <w:pPr>
      <w:numPr>
        <w:ilvl w:val="1"/>
      </w:numPr>
    </w:pPr>
  </w:style>
  <w:style w:type="paragraph" w:styleId="BodyText3">
    <w:name w:val="Body Text 3"/>
    <w:basedOn w:val="BodyText2"/>
    <w:link w:val="BodyText3Char"/>
    <w:qFormat/>
    <w:rsid w:val="00E9738A"/>
    <w:pPr>
      <w:numPr>
        <w:ilvl w:val="2"/>
      </w:numPr>
    </w:pPr>
    <w:rPr>
      <w:szCs w:val="16"/>
    </w:rPr>
  </w:style>
  <w:style w:type="paragraph" w:styleId="BodyText">
    <w:name w:val="Body Text"/>
    <w:basedOn w:val="Normal"/>
    <w:rsid w:val="008C7AFB"/>
    <w:pPr>
      <w:spacing w:after="120"/>
    </w:pPr>
  </w:style>
  <w:style w:type="paragraph" w:styleId="FootnoteText">
    <w:name w:val="footnote text"/>
    <w:basedOn w:val="Normal"/>
    <w:link w:val="FootnoteTextChar"/>
    <w:uiPriority w:val="99"/>
    <w:rsid w:val="00DB00CE"/>
    <w:pPr>
      <w:spacing w:after="0"/>
      <w:ind w:left="567" w:hanging="567"/>
      <w:jc w:val="both"/>
    </w:pPr>
    <w:rPr>
      <w:sz w:val="20"/>
    </w:rPr>
  </w:style>
  <w:style w:type="character" w:styleId="FootnoteReference">
    <w:name w:val="footnote reference"/>
    <w:basedOn w:val="DefaultParagraphFont"/>
    <w:uiPriority w:val="99"/>
    <w:rsid w:val="00DB00CE"/>
    <w:rPr>
      <w:vertAlign w:val="superscript"/>
    </w:rPr>
  </w:style>
  <w:style w:type="character" w:styleId="Hyperlink">
    <w:name w:val="Hyperlink"/>
    <w:basedOn w:val="DefaultParagraphFont"/>
    <w:uiPriority w:val="99"/>
    <w:rsid w:val="00DB00CE"/>
    <w:rPr>
      <w:color w:val="0000FF"/>
      <w:u w:val="single"/>
    </w:rPr>
  </w:style>
  <w:style w:type="character" w:styleId="FollowedHyperlink">
    <w:name w:val="FollowedHyperlink"/>
    <w:basedOn w:val="DefaultParagraphFont"/>
    <w:rsid w:val="00356B1D"/>
    <w:rPr>
      <w:color w:val="800080"/>
      <w:u w:val="single"/>
    </w:rPr>
  </w:style>
  <w:style w:type="paragraph" w:customStyle="1" w:styleId="StyleGaramondJustifiedAfter12ptLinespacingExactly18">
    <w:name w:val="Style Garamond Justified After:  12 pt Line spacing:  Exactly 18..."/>
    <w:basedOn w:val="Normal"/>
    <w:rsid w:val="00356B1D"/>
    <w:pPr>
      <w:spacing w:before="240"/>
      <w:jc w:val="both"/>
    </w:pPr>
    <w:rPr>
      <w:rFonts w:ascii="Garamond" w:hAnsi="Garamond"/>
      <w:szCs w:val="20"/>
    </w:rPr>
  </w:style>
  <w:style w:type="paragraph" w:customStyle="1" w:styleId="StyleGaramondJustified">
    <w:name w:val="Style Garamond Justified"/>
    <w:basedOn w:val="Normal"/>
    <w:rsid w:val="00356B1D"/>
    <w:pPr>
      <w:spacing w:before="240"/>
      <w:jc w:val="both"/>
    </w:pPr>
    <w:rPr>
      <w:rFonts w:ascii="Garamond" w:hAnsi="Garamond"/>
      <w:szCs w:val="20"/>
    </w:rPr>
  </w:style>
  <w:style w:type="paragraph" w:styleId="DocumentMap">
    <w:name w:val="Document Map"/>
    <w:basedOn w:val="Normal"/>
    <w:semiHidden/>
    <w:rsid w:val="00AC2584"/>
    <w:pPr>
      <w:shd w:val="clear" w:color="auto" w:fill="000080"/>
    </w:pPr>
    <w:rPr>
      <w:rFonts w:ascii="Tahoma" w:hAnsi="Tahoma" w:cs="Tahoma"/>
    </w:rPr>
  </w:style>
  <w:style w:type="paragraph" w:customStyle="1" w:styleId="StyleBodyText13ptCharCharChar">
    <w:name w:val="Style Body Text + 13 pt Char Char Char"/>
    <w:basedOn w:val="BodyText"/>
    <w:link w:val="StyleBodyText13ptCharCharCharChar"/>
    <w:rsid w:val="004445D9"/>
    <w:pPr>
      <w:numPr>
        <w:numId w:val="1"/>
      </w:numPr>
      <w:spacing w:after="240" w:line="360" w:lineRule="auto"/>
      <w:jc w:val="both"/>
    </w:pPr>
  </w:style>
  <w:style w:type="character" w:customStyle="1" w:styleId="StyleBodyText13ptCharCharCharChar">
    <w:name w:val="Style Body Text + 13 pt Char Char Char Char"/>
    <w:basedOn w:val="DefaultParagraphFont"/>
    <w:link w:val="StyleBodyText13ptCharCharChar"/>
    <w:rsid w:val="004445D9"/>
    <w:rPr>
      <w:rFonts w:eastAsia="Calibri"/>
      <w:sz w:val="24"/>
      <w:szCs w:val="24"/>
    </w:rPr>
  </w:style>
  <w:style w:type="paragraph" w:customStyle="1" w:styleId="NormaltextCharCharCharCharCharChar">
    <w:name w:val="Normal text Char Char Char Char Char Char"/>
    <w:basedOn w:val="BodyText"/>
    <w:link w:val="NormaltextCharCharCharCharCharCharChar"/>
    <w:rsid w:val="004445D9"/>
    <w:pPr>
      <w:tabs>
        <w:tab w:val="num" w:pos="720"/>
      </w:tabs>
      <w:spacing w:after="240"/>
      <w:ind w:left="720" w:hanging="360"/>
      <w:jc w:val="both"/>
    </w:pPr>
  </w:style>
  <w:style w:type="character" w:customStyle="1" w:styleId="NormaltextCharCharCharCharCharCharChar">
    <w:name w:val="Normal text Char Char Char Char Char Char Char"/>
    <w:basedOn w:val="DefaultParagraphFont"/>
    <w:link w:val="NormaltextCharCharCharCharCharChar"/>
    <w:rsid w:val="004445D9"/>
    <w:rPr>
      <w:sz w:val="24"/>
      <w:szCs w:val="24"/>
    </w:rPr>
  </w:style>
  <w:style w:type="paragraph" w:styleId="CommentSubject">
    <w:name w:val="annotation subject"/>
    <w:basedOn w:val="CommentText"/>
    <w:next w:val="CommentText"/>
    <w:link w:val="CommentSubjectChar"/>
    <w:uiPriority w:val="49"/>
    <w:semiHidden/>
    <w:unhideWhenUsed/>
    <w:rsid w:val="00DB00CE"/>
    <w:rPr>
      <w:b/>
      <w:bCs/>
    </w:rPr>
  </w:style>
  <w:style w:type="paragraph" w:customStyle="1" w:styleId="normaltextcharcharcharcharchar">
    <w:name w:val="normaltextcharcharcharcharchar"/>
    <w:basedOn w:val="Normal"/>
    <w:rsid w:val="001A1F36"/>
    <w:pPr>
      <w:ind w:left="567" w:hanging="567"/>
      <w:jc w:val="both"/>
    </w:pPr>
    <w:rPr>
      <w:rFonts w:ascii="Trebuchet MS" w:hAnsi="Trebuchet MS"/>
    </w:rPr>
  </w:style>
  <w:style w:type="paragraph" w:customStyle="1" w:styleId="Normalalpha">
    <w:name w:val="Normal alpha"/>
    <w:basedOn w:val="Normal"/>
    <w:rsid w:val="001A1F36"/>
    <w:pPr>
      <w:numPr>
        <w:numId w:val="2"/>
      </w:numPr>
      <w:jc w:val="both"/>
    </w:pPr>
    <w:rPr>
      <w:szCs w:val="20"/>
    </w:rPr>
  </w:style>
  <w:style w:type="paragraph" w:customStyle="1" w:styleId="PSHeading3">
    <w:name w:val="PS Heading 3"/>
    <w:basedOn w:val="Normal"/>
    <w:rsid w:val="001A1F36"/>
    <w:pPr>
      <w:keepNext/>
      <w:widowControl w:val="0"/>
      <w:outlineLvl w:val="0"/>
    </w:pPr>
    <w:rPr>
      <w:rFonts w:ascii="Arial" w:hAnsi="Arial"/>
      <w:b/>
      <w:szCs w:val="20"/>
      <w:lang w:val="en-US"/>
    </w:rPr>
  </w:style>
  <w:style w:type="paragraph" w:styleId="Title">
    <w:name w:val="Title"/>
    <w:basedOn w:val="Normal"/>
    <w:next w:val="Normal"/>
    <w:link w:val="TitleChar"/>
    <w:qFormat/>
    <w:rsid w:val="00DB00CE"/>
    <w:pPr>
      <w:spacing w:before="120"/>
    </w:pPr>
    <w:rPr>
      <w:rFonts w:asciiTheme="majorHAnsi" w:hAnsiTheme="majorHAnsi"/>
      <w:b/>
      <w:sz w:val="40"/>
    </w:rPr>
  </w:style>
  <w:style w:type="paragraph" w:styleId="TOC1">
    <w:name w:val="toc 1"/>
    <w:basedOn w:val="Normal"/>
    <w:next w:val="Normal"/>
    <w:autoRedefine/>
    <w:uiPriority w:val="39"/>
    <w:rsid w:val="00163B7D"/>
    <w:pPr>
      <w:tabs>
        <w:tab w:val="right" w:leader="dot" w:pos="8302"/>
      </w:tabs>
      <w:spacing w:after="120"/>
      <w:ind w:right="567"/>
    </w:pPr>
    <w:rPr>
      <w:rFonts w:ascii="Arial" w:hAnsi="Arial" w:cstheme="majorHAnsi"/>
      <w:noProof/>
    </w:rPr>
  </w:style>
  <w:style w:type="paragraph" w:styleId="TOC2">
    <w:name w:val="toc 2"/>
    <w:basedOn w:val="Normal"/>
    <w:next w:val="Normal"/>
    <w:autoRedefine/>
    <w:uiPriority w:val="39"/>
    <w:rsid w:val="006C34E5"/>
    <w:pPr>
      <w:tabs>
        <w:tab w:val="right" w:leader="dot" w:pos="8302"/>
      </w:tabs>
      <w:spacing w:after="120"/>
      <w:ind w:right="567"/>
    </w:pPr>
    <w:rPr>
      <w:rFonts w:ascii="Arial" w:hAnsi="Arial"/>
      <w:noProof/>
    </w:rPr>
  </w:style>
  <w:style w:type="paragraph" w:customStyle="1" w:styleId="ActTitle">
    <w:name w:val="Act Title"/>
    <w:basedOn w:val="Normal"/>
    <w:next w:val="IntroTo"/>
    <w:rsid w:val="001B4657"/>
    <w:pPr>
      <w:pBdr>
        <w:bottom w:val="single" w:sz="4" w:space="3" w:color="auto"/>
      </w:pBdr>
      <w:spacing w:before="480"/>
    </w:pPr>
    <w:rPr>
      <w:rFonts w:ascii="Arial" w:hAnsi="Arial"/>
      <w:i/>
      <w:iCs/>
      <w:sz w:val="28"/>
      <w:szCs w:val="20"/>
    </w:rPr>
  </w:style>
  <w:style w:type="paragraph" w:customStyle="1" w:styleId="IntroTo">
    <w:name w:val="IntroTo:"/>
    <w:basedOn w:val="Normal"/>
    <w:rsid w:val="001B4657"/>
    <w:pPr>
      <w:ind w:left="720" w:hanging="720"/>
    </w:pPr>
    <w:rPr>
      <w:szCs w:val="20"/>
      <w:lang w:eastAsia="en-US"/>
    </w:rPr>
  </w:style>
  <w:style w:type="paragraph" w:customStyle="1" w:styleId="IP">
    <w:name w:val="IP"/>
    <w:aliases w:val="Interpretation paragraph"/>
    <w:basedOn w:val="Normal"/>
    <w:next w:val="Normal"/>
    <w:rsid w:val="001B4657"/>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1B4657"/>
    <w:pPr>
      <w:spacing w:before="80" w:line="260" w:lineRule="exact"/>
      <w:jc w:val="both"/>
    </w:pPr>
    <w:rPr>
      <w:lang w:eastAsia="en-US"/>
    </w:rPr>
  </w:style>
  <w:style w:type="paragraph" w:customStyle="1" w:styleId="AS">
    <w:name w:val="AS"/>
    <w:aliases w:val="Schedule title Amendment"/>
    <w:basedOn w:val="Normal"/>
    <w:next w:val="Normal"/>
    <w:rsid w:val="001B4657"/>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1B4657"/>
  </w:style>
  <w:style w:type="paragraph" w:customStyle="1" w:styleId="HeaderLiteEven">
    <w:name w:val="HeaderLiteEven"/>
    <w:basedOn w:val="Normal"/>
    <w:rsid w:val="00C118A4"/>
    <w:pPr>
      <w:tabs>
        <w:tab w:val="center" w:pos="3969"/>
        <w:tab w:val="right" w:pos="8505"/>
      </w:tabs>
      <w:spacing w:before="60"/>
    </w:pPr>
    <w:rPr>
      <w:rFonts w:ascii="Arial" w:hAnsi="Arial"/>
      <w:sz w:val="18"/>
      <w:lang w:eastAsia="en-US"/>
    </w:rPr>
  </w:style>
  <w:style w:type="paragraph" w:customStyle="1" w:styleId="CoverAct">
    <w:name w:val="CoverAct"/>
    <w:basedOn w:val="Normal"/>
    <w:next w:val="Normal"/>
    <w:rsid w:val="00C118A4"/>
    <w:pPr>
      <w:pBdr>
        <w:bottom w:val="single" w:sz="4" w:space="3" w:color="auto"/>
      </w:pBdr>
    </w:pPr>
    <w:rPr>
      <w:rFonts w:ascii="Arial" w:hAnsi="Arial"/>
      <w:i/>
      <w:noProof/>
      <w:sz w:val="28"/>
    </w:rPr>
  </w:style>
  <w:style w:type="paragraph" w:customStyle="1" w:styleId="CoverUpdate">
    <w:name w:val="CoverUpdate"/>
    <w:basedOn w:val="Normal"/>
    <w:rsid w:val="00C118A4"/>
    <w:pPr>
      <w:spacing w:before="240"/>
    </w:pPr>
    <w:rPr>
      <w:noProof/>
    </w:rPr>
  </w:style>
  <w:style w:type="paragraph" w:customStyle="1" w:styleId="CoverMade">
    <w:name w:val="CoverMade"/>
    <w:basedOn w:val="Normal"/>
    <w:rsid w:val="00C118A4"/>
    <w:pPr>
      <w:spacing w:before="240"/>
    </w:pPr>
    <w:rPr>
      <w:rFonts w:ascii="Arial" w:hAnsi="Arial"/>
      <w:noProof/>
    </w:rPr>
  </w:style>
  <w:style w:type="paragraph" w:customStyle="1" w:styleId="SigningPageBreak">
    <w:name w:val="SigningPageBreak"/>
    <w:basedOn w:val="Normal"/>
    <w:next w:val="Normal"/>
    <w:rsid w:val="00C118A4"/>
    <w:rPr>
      <w:lang w:eastAsia="en-US"/>
    </w:rPr>
  </w:style>
  <w:style w:type="paragraph" w:customStyle="1" w:styleId="HeaderBoldEven">
    <w:name w:val="HeaderBoldEven"/>
    <w:basedOn w:val="Normal"/>
    <w:rsid w:val="00C118A4"/>
    <w:pPr>
      <w:spacing w:before="120" w:after="60"/>
    </w:pPr>
    <w:rPr>
      <w:rFonts w:ascii="Arial" w:hAnsi="Arial"/>
      <w:b/>
      <w:sz w:val="20"/>
      <w:lang w:eastAsia="en-US"/>
    </w:rPr>
  </w:style>
  <w:style w:type="paragraph" w:customStyle="1" w:styleId="FooterPageOdd">
    <w:name w:val="FooterPageOdd"/>
    <w:basedOn w:val="Footer"/>
    <w:rsid w:val="00C118A4"/>
    <w:rPr>
      <w:rFonts w:ascii="Arial" w:hAnsi="Arial"/>
      <w:sz w:val="22"/>
    </w:rPr>
  </w:style>
  <w:style w:type="paragraph" w:customStyle="1" w:styleId="Footerinfo">
    <w:name w:val="Footerinfo"/>
    <w:basedOn w:val="Footer"/>
    <w:rsid w:val="00C118A4"/>
    <w:rPr>
      <w:rFonts w:ascii="Arial" w:hAnsi="Arial"/>
      <w:sz w:val="12"/>
    </w:rPr>
  </w:style>
  <w:style w:type="paragraph" w:customStyle="1" w:styleId="FooterPageEven">
    <w:name w:val="FooterPageEven"/>
    <w:basedOn w:val="FooterPageOdd"/>
    <w:rsid w:val="00C118A4"/>
    <w:pPr>
      <w:jc w:val="left"/>
    </w:pPr>
  </w:style>
  <w:style w:type="paragraph" w:customStyle="1" w:styleId="CoverStatRule">
    <w:name w:val="CoverStatRule"/>
    <w:basedOn w:val="Normal"/>
    <w:next w:val="CoverMade"/>
    <w:rsid w:val="00C118A4"/>
    <w:pPr>
      <w:spacing w:before="240"/>
    </w:pPr>
    <w:rPr>
      <w:rFonts w:ascii="Arial" w:hAnsi="Arial"/>
      <w:b/>
    </w:rPr>
  </w:style>
  <w:style w:type="paragraph" w:customStyle="1" w:styleId="FooterCitation">
    <w:name w:val="FooterCitation"/>
    <w:basedOn w:val="Footer"/>
    <w:rsid w:val="00C118A4"/>
    <w:pPr>
      <w:spacing w:before="20"/>
      <w:jc w:val="center"/>
    </w:pPr>
    <w:rPr>
      <w:rFonts w:ascii="Arial" w:hAnsi="Arial"/>
      <w:i/>
      <w:sz w:val="18"/>
    </w:rPr>
  </w:style>
  <w:style w:type="character" w:customStyle="1" w:styleId="FooterChar">
    <w:name w:val="Footer Char"/>
    <w:basedOn w:val="DefaultParagraphFont"/>
    <w:link w:val="Footer"/>
    <w:uiPriority w:val="99"/>
    <w:rsid w:val="00DB00CE"/>
    <w:rPr>
      <w:rFonts w:eastAsia="Calibri"/>
      <w:b/>
      <w:sz w:val="24"/>
      <w:szCs w:val="24"/>
    </w:rPr>
  </w:style>
  <w:style w:type="paragraph" w:styleId="NoteHeading">
    <w:name w:val="Note Heading"/>
    <w:aliases w:val="HN"/>
    <w:basedOn w:val="Normal"/>
    <w:next w:val="Normal"/>
    <w:link w:val="NoteHeadingChar"/>
    <w:rsid w:val="00A16B89"/>
    <w:pPr>
      <w:keepNext/>
      <w:keepLines/>
      <w:spacing w:before="120" w:line="240" w:lineRule="atLeast"/>
    </w:pPr>
    <w:rPr>
      <w:rFonts w:ascii="Arial" w:hAnsi="Arial"/>
      <w:b/>
      <w:sz w:val="32"/>
      <w:szCs w:val="32"/>
      <w:lang w:eastAsia="en-US"/>
    </w:rPr>
  </w:style>
  <w:style w:type="character" w:customStyle="1" w:styleId="NoteHeadingChar">
    <w:name w:val="Note Heading Char"/>
    <w:aliases w:val="HN Char"/>
    <w:basedOn w:val="DefaultParagraphFont"/>
    <w:link w:val="NoteHeading"/>
    <w:rsid w:val="00A16B89"/>
    <w:rPr>
      <w:rFonts w:ascii="Arial" w:hAnsi="Arial"/>
      <w:b/>
      <w:sz w:val="32"/>
      <w:szCs w:val="32"/>
      <w:lang w:eastAsia="en-US"/>
    </w:rPr>
  </w:style>
  <w:style w:type="paragraph" w:customStyle="1" w:styleId="EndNotes">
    <w:name w:val="EndNotes"/>
    <w:basedOn w:val="Normal"/>
    <w:rsid w:val="00A16B89"/>
    <w:pPr>
      <w:spacing w:before="120" w:line="260" w:lineRule="exact"/>
      <w:jc w:val="both"/>
    </w:pPr>
    <w:rPr>
      <w:noProof/>
    </w:rPr>
  </w:style>
  <w:style w:type="paragraph" w:customStyle="1" w:styleId="ENoteNo">
    <w:name w:val="ENoteNo"/>
    <w:basedOn w:val="EndNotes"/>
    <w:rsid w:val="00A16B89"/>
    <w:pPr>
      <w:ind w:left="357" w:hanging="357"/>
    </w:pPr>
    <w:rPr>
      <w:rFonts w:ascii="Arial" w:hAnsi="Arial"/>
      <w:b/>
    </w:rPr>
  </w:style>
  <w:style w:type="paragraph" w:customStyle="1" w:styleId="TableColHead">
    <w:name w:val="TableColHead"/>
    <w:basedOn w:val="Normal"/>
    <w:rsid w:val="00A16B89"/>
    <w:pPr>
      <w:keepNext/>
      <w:spacing w:before="120" w:after="60" w:line="200" w:lineRule="exact"/>
    </w:pPr>
    <w:rPr>
      <w:rFonts w:ascii="Arial" w:hAnsi="Arial"/>
      <w:b/>
      <w:sz w:val="18"/>
      <w:lang w:eastAsia="en-US"/>
    </w:rPr>
  </w:style>
  <w:style w:type="character" w:customStyle="1" w:styleId="CharENotesHeading">
    <w:name w:val="CharENotesHeading"/>
    <w:basedOn w:val="DefaultParagraphFont"/>
    <w:rsid w:val="00A16B89"/>
  </w:style>
  <w:style w:type="paragraph" w:customStyle="1" w:styleId="TableENotesHeading">
    <w:name w:val="TableENotesHeading"/>
    <w:basedOn w:val="NoteHeading"/>
    <w:next w:val="Normal"/>
    <w:rsid w:val="00A16B89"/>
    <w:pPr>
      <w:ind w:left="1800" w:hanging="1800"/>
    </w:pPr>
    <w:rPr>
      <w:sz w:val="28"/>
    </w:rPr>
  </w:style>
  <w:style w:type="paragraph" w:customStyle="1" w:styleId="TableOfStatRules">
    <w:name w:val="TableOfStatRules"/>
    <w:basedOn w:val="Normal"/>
    <w:rsid w:val="00A16B89"/>
    <w:pPr>
      <w:spacing w:before="60" w:line="200" w:lineRule="exact"/>
    </w:pPr>
    <w:rPr>
      <w:rFonts w:ascii="Arial" w:hAnsi="Arial"/>
      <w:sz w:val="18"/>
    </w:rPr>
  </w:style>
  <w:style w:type="paragraph" w:customStyle="1" w:styleId="TableENotesHeadingAmdt">
    <w:name w:val="TableENotesHeadingAmdt"/>
    <w:basedOn w:val="Normal"/>
    <w:next w:val="TableOfAmendHead"/>
    <w:rsid w:val="00A16B89"/>
    <w:pPr>
      <w:pageBreakBefore/>
      <w:spacing w:before="240" w:line="300" w:lineRule="exact"/>
      <w:ind w:left="2410" w:hanging="2410"/>
    </w:pPr>
    <w:rPr>
      <w:rFonts w:ascii="Arial" w:hAnsi="Arial"/>
      <w:b/>
      <w:noProof/>
      <w:sz w:val="28"/>
    </w:rPr>
  </w:style>
  <w:style w:type="paragraph" w:customStyle="1" w:styleId="TableOfAmendHead">
    <w:name w:val="TableOfAmendHead"/>
    <w:basedOn w:val="TableOfAmend"/>
    <w:next w:val="Normal"/>
    <w:rsid w:val="00A16B89"/>
    <w:pPr>
      <w:spacing w:after="60"/>
    </w:pPr>
    <w:rPr>
      <w:sz w:val="16"/>
    </w:rPr>
  </w:style>
  <w:style w:type="paragraph" w:customStyle="1" w:styleId="TableOfAmend">
    <w:name w:val="TableOfAmend"/>
    <w:basedOn w:val="Normal"/>
    <w:rsid w:val="00A16B89"/>
    <w:pPr>
      <w:tabs>
        <w:tab w:val="right" w:leader="dot" w:pos="2268"/>
      </w:tabs>
      <w:spacing w:before="60" w:line="200" w:lineRule="exact"/>
      <w:ind w:left="170" w:right="-11" w:hanging="170"/>
    </w:pPr>
    <w:rPr>
      <w:rFonts w:ascii="Arial" w:hAnsi="Arial"/>
      <w:sz w:val="18"/>
    </w:rPr>
  </w:style>
  <w:style w:type="paragraph" w:customStyle="1" w:styleId="Note">
    <w:name w:val="Note"/>
    <w:basedOn w:val="Normal"/>
    <w:rsid w:val="00733968"/>
    <w:pPr>
      <w:numPr>
        <w:numId w:val="3"/>
      </w:numPr>
      <w:spacing w:before="120" w:line="220" w:lineRule="exact"/>
      <w:jc w:val="both"/>
    </w:pPr>
    <w:rPr>
      <w:sz w:val="20"/>
      <w:lang w:eastAsia="en-US"/>
    </w:rPr>
  </w:style>
  <w:style w:type="paragraph" w:customStyle="1" w:styleId="alphabullet">
    <w:name w:val="alpha bullet"/>
    <w:basedOn w:val="Normal"/>
    <w:rsid w:val="00433AA3"/>
    <w:pPr>
      <w:tabs>
        <w:tab w:val="left" w:pos="993"/>
      </w:tabs>
    </w:pPr>
    <w:rPr>
      <w:snapToGrid w:val="0"/>
      <w:color w:val="000000"/>
    </w:rPr>
  </w:style>
  <w:style w:type="paragraph" w:customStyle="1" w:styleId="numberedpara">
    <w:name w:val="numbered para"/>
    <w:basedOn w:val="Normal"/>
    <w:rsid w:val="00433AA3"/>
    <w:rPr>
      <w:snapToGrid w:val="0"/>
      <w:color w:val="000000"/>
      <w:lang w:eastAsia="en-US"/>
    </w:rPr>
  </w:style>
  <w:style w:type="character" w:customStyle="1" w:styleId="alphabulletChar">
    <w:name w:val="alpha bullet Char"/>
    <w:basedOn w:val="DefaultParagraphFont"/>
    <w:rsid w:val="00433AA3"/>
    <w:rPr>
      <w:noProof w:val="0"/>
      <w:snapToGrid w:val="0"/>
      <w:color w:val="000000"/>
      <w:sz w:val="24"/>
      <w:szCs w:val="24"/>
      <w:lang w:val="en-AU" w:eastAsia="en-US" w:bidi="ar-SA"/>
    </w:rPr>
  </w:style>
  <w:style w:type="paragraph" w:styleId="ListBullet">
    <w:name w:val="List Bullet"/>
    <w:basedOn w:val="Normal"/>
    <w:uiPriority w:val="16"/>
    <w:unhideWhenUsed/>
    <w:qFormat/>
    <w:rsid w:val="00DB00CE"/>
    <w:pPr>
      <w:numPr>
        <w:numId w:val="6"/>
      </w:numPr>
      <w:ind w:left="357" w:hanging="357"/>
      <w:contextualSpacing/>
    </w:pPr>
  </w:style>
  <w:style w:type="paragraph" w:customStyle="1" w:styleId="Indent1">
    <w:name w:val="Indent1"/>
    <w:basedOn w:val="Normal"/>
    <w:rsid w:val="00433AA3"/>
    <w:pPr>
      <w:spacing w:before="240" w:line="360" w:lineRule="auto"/>
    </w:pPr>
    <w:rPr>
      <w:sz w:val="26"/>
      <w:szCs w:val="20"/>
    </w:rPr>
  </w:style>
  <w:style w:type="paragraph" w:customStyle="1" w:styleId="Default">
    <w:name w:val="Default"/>
    <w:rsid w:val="00433AA3"/>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DB00CE"/>
    <w:rPr>
      <w:color w:val="808080"/>
    </w:rPr>
  </w:style>
  <w:style w:type="paragraph" w:styleId="ListParagraph">
    <w:name w:val="List Paragraph"/>
    <w:basedOn w:val="Normal"/>
    <w:uiPriority w:val="17"/>
    <w:qFormat/>
    <w:rsid w:val="00573323"/>
    <w:pPr>
      <w:ind w:left="720"/>
      <w:contextualSpacing/>
    </w:pPr>
  </w:style>
  <w:style w:type="character" w:customStyle="1" w:styleId="FootnoteTextChar">
    <w:name w:val="Footnote Text Char"/>
    <w:basedOn w:val="DefaultParagraphFont"/>
    <w:link w:val="FootnoteText"/>
    <w:uiPriority w:val="99"/>
    <w:rsid w:val="00DB00CE"/>
    <w:rPr>
      <w:rFonts w:eastAsia="Calibri"/>
      <w:szCs w:val="24"/>
    </w:rPr>
  </w:style>
  <w:style w:type="character" w:customStyle="1" w:styleId="CommentTextChar">
    <w:name w:val="Comment Text Char"/>
    <w:basedOn w:val="DefaultParagraphFont"/>
    <w:link w:val="CommentText"/>
    <w:uiPriority w:val="49"/>
    <w:rsid w:val="00DB00CE"/>
    <w:rPr>
      <w:rFonts w:eastAsia="Calibri"/>
    </w:rPr>
  </w:style>
  <w:style w:type="paragraph" w:styleId="Revision">
    <w:name w:val="Revision"/>
    <w:hidden/>
    <w:uiPriority w:val="99"/>
    <w:semiHidden/>
    <w:rsid w:val="004F33EE"/>
    <w:rPr>
      <w:sz w:val="24"/>
      <w:szCs w:val="24"/>
    </w:rPr>
  </w:style>
  <w:style w:type="character" w:customStyle="1" w:styleId="Heading1Char">
    <w:name w:val="Heading 1 Char"/>
    <w:basedOn w:val="DefaultParagraphFont"/>
    <w:link w:val="Heading1"/>
    <w:rsid w:val="00DB00CE"/>
    <w:rPr>
      <w:rFonts w:ascii="Arial" w:eastAsia="Calibri" w:hAnsi="Arial"/>
      <w:b/>
      <w:sz w:val="24"/>
      <w:szCs w:val="24"/>
    </w:rPr>
  </w:style>
  <w:style w:type="character" w:customStyle="1" w:styleId="Heading2Char">
    <w:name w:val="Heading 2 Char"/>
    <w:basedOn w:val="DefaultParagraphFont"/>
    <w:link w:val="Heading2"/>
    <w:rsid w:val="00DB00CE"/>
    <w:rPr>
      <w:rFonts w:ascii="Arial" w:hAnsi="Arial" w:cs="Arial"/>
      <w:b/>
      <w:bCs/>
      <w:sz w:val="32"/>
      <w:szCs w:val="24"/>
    </w:rPr>
  </w:style>
  <w:style w:type="character" w:customStyle="1" w:styleId="BalloonTextChar">
    <w:name w:val="Balloon Text Char"/>
    <w:basedOn w:val="DefaultParagraphFont"/>
    <w:link w:val="BalloonText"/>
    <w:uiPriority w:val="49"/>
    <w:semiHidden/>
    <w:rsid w:val="00DB00CE"/>
    <w:rPr>
      <w:rFonts w:ascii="Tahoma" w:eastAsia="Calibri" w:hAnsi="Tahoma" w:cs="Tahoma"/>
      <w:sz w:val="16"/>
      <w:szCs w:val="16"/>
    </w:rPr>
  </w:style>
  <w:style w:type="character" w:customStyle="1" w:styleId="Heading3Char">
    <w:name w:val="Heading 3 Char"/>
    <w:basedOn w:val="DefaultParagraphFont"/>
    <w:link w:val="Heading3"/>
    <w:rsid w:val="00DB00CE"/>
    <w:rPr>
      <w:rFonts w:asciiTheme="minorHAnsi" w:hAnsiTheme="minorHAnsi" w:cs="Arial"/>
      <w:bCs/>
      <w:i/>
      <w:sz w:val="26"/>
      <w:szCs w:val="24"/>
    </w:rPr>
  </w:style>
  <w:style w:type="character" w:customStyle="1" w:styleId="Heading4Char">
    <w:name w:val="Heading 4 Char"/>
    <w:basedOn w:val="DefaultParagraphFont"/>
    <w:link w:val="Heading4"/>
    <w:rsid w:val="00DB00CE"/>
    <w:rPr>
      <w:rFonts w:ascii="Arial" w:eastAsia="Calibri" w:hAnsi="Arial"/>
      <w:b/>
      <w:sz w:val="22"/>
      <w:szCs w:val="24"/>
    </w:rPr>
  </w:style>
  <w:style w:type="character" w:customStyle="1" w:styleId="Heading5Char">
    <w:name w:val="Heading 5 Char"/>
    <w:basedOn w:val="DefaultParagraphFont"/>
    <w:link w:val="Heading5"/>
    <w:uiPriority w:val="4"/>
    <w:rsid w:val="00DB00CE"/>
    <w:rPr>
      <w:rFonts w:ascii="Trebuchet MS" w:eastAsia="Calibri" w:hAnsi="Trebuchet MS"/>
      <w:b/>
      <w:sz w:val="32"/>
      <w:szCs w:val="24"/>
    </w:rPr>
  </w:style>
  <w:style w:type="character" w:customStyle="1" w:styleId="Heading6Char">
    <w:name w:val="Heading 6 Char"/>
    <w:basedOn w:val="DefaultParagraphFont"/>
    <w:link w:val="Heading6"/>
    <w:uiPriority w:val="5"/>
    <w:rsid w:val="00DB00CE"/>
    <w:rPr>
      <w:rFonts w:ascii="Trebuchet MS" w:hAnsi="Trebuchet MS"/>
      <w:iCs/>
      <w:color w:val="0C2577"/>
      <w:sz w:val="90"/>
      <w:szCs w:val="24"/>
    </w:rPr>
  </w:style>
  <w:style w:type="paragraph" w:styleId="EnvelopeAddress">
    <w:name w:val="envelope address"/>
    <w:basedOn w:val="Normal"/>
    <w:uiPriority w:val="49"/>
    <w:semiHidden/>
    <w:unhideWhenUsed/>
    <w:rsid w:val="00DB00CE"/>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DB00CE"/>
    <w:rPr>
      <w:rFonts w:eastAsia="Times New Roman"/>
      <w:sz w:val="20"/>
      <w:szCs w:val="20"/>
    </w:rPr>
  </w:style>
  <w:style w:type="character" w:customStyle="1" w:styleId="BodyText2Char">
    <w:name w:val="Body Text 2 Char"/>
    <w:basedOn w:val="DefaultParagraphFont"/>
    <w:link w:val="BodyText2"/>
    <w:rsid w:val="00E9738A"/>
    <w:rPr>
      <w:sz w:val="24"/>
    </w:rPr>
  </w:style>
  <w:style w:type="character" w:customStyle="1" w:styleId="HeaderChar">
    <w:name w:val="Header Char"/>
    <w:basedOn w:val="DefaultParagraphFont"/>
    <w:link w:val="Header"/>
    <w:uiPriority w:val="99"/>
    <w:rsid w:val="00DB00CE"/>
    <w:rPr>
      <w:rFonts w:asciiTheme="majorHAnsi" w:eastAsia="Calibri" w:hAnsiTheme="majorHAnsi"/>
      <w:b/>
      <w:sz w:val="24"/>
      <w:szCs w:val="24"/>
    </w:rPr>
  </w:style>
  <w:style w:type="paragraph" w:styleId="TOC3">
    <w:name w:val="toc 3"/>
    <w:basedOn w:val="Normal"/>
    <w:next w:val="Normal"/>
    <w:autoRedefine/>
    <w:uiPriority w:val="39"/>
    <w:semiHidden/>
    <w:rsid w:val="00DB00CE"/>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DB00CE"/>
    <w:pPr>
      <w:outlineLvl w:val="9"/>
    </w:pPr>
    <w:rPr>
      <w:rFonts w:eastAsiaTheme="majorEastAsia" w:cstheme="majorBidi"/>
      <w:szCs w:val="28"/>
    </w:rPr>
  </w:style>
  <w:style w:type="character" w:customStyle="1" w:styleId="BodyText1Char">
    <w:name w:val="Body Text 1 Char"/>
    <w:basedOn w:val="DefaultParagraphFont"/>
    <w:link w:val="BodyText1"/>
    <w:rsid w:val="007615AD"/>
    <w:rPr>
      <w:sz w:val="24"/>
    </w:rPr>
  </w:style>
  <w:style w:type="paragraph" w:styleId="NoSpacing">
    <w:name w:val="No Spacing"/>
    <w:uiPriority w:val="1"/>
    <w:qFormat/>
    <w:rsid w:val="00DB00CE"/>
    <w:rPr>
      <w:rFonts w:eastAsia="Calibri"/>
      <w:sz w:val="24"/>
      <w:szCs w:val="24"/>
    </w:rPr>
  </w:style>
  <w:style w:type="paragraph" w:customStyle="1" w:styleId="BoxHeading">
    <w:name w:val="Box Heading"/>
    <w:next w:val="Normal"/>
    <w:uiPriority w:val="1"/>
    <w:qFormat/>
    <w:rsid w:val="00DB00CE"/>
    <w:pPr>
      <w:spacing w:before="120" w:after="360"/>
    </w:pPr>
    <w:rPr>
      <w:rFonts w:ascii="Arial" w:hAnsi="Arial" w:cs="Arial"/>
      <w:b/>
      <w:bCs/>
      <w:sz w:val="32"/>
      <w:szCs w:val="32"/>
    </w:rPr>
  </w:style>
  <w:style w:type="paragraph" w:customStyle="1" w:styleId="BoxBullet">
    <w:name w:val="Box Bullet"/>
    <w:basedOn w:val="Normal"/>
    <w:uiPriority w:val="1"/>
    <w:qFormat/>
    <w:rsid w:val="00DB00CE"/>
    <w:pPr>
      <w:numPr>
        <w:numId w:val="7"/>
      </w:numPr>
    </w:pPr>
    <w:rPr>
      <w:rFonts w:eastAsia="Times New Roman"/>
      <w:szCs w:val="26"/>
    </w:rPr>
  </w:style>
  <w:style w:type="paragraph" w:customStyle="1" w:styleId="BodyText1">
    <w:name w:val="Body Text 1"/>
    <w:basedOn w:val="Normal"/>
    <w:link w:val="BodyText1Char"/>
    <w:qFormat/>
    <w:rsid w:val="007615AD"/>
    <w:pPr>
      <w:numPr>
        <w:numId w:val="15"/>
      </w:numPr>
      <w:jc w:val="both"/>
    </w:pPr>
    <w:rPr>
      <w:rFonts w:eastAsia="Times New Roman"/>
      <w:szCs w:val="20"/>
    </w:rPr>
  </w:style>
  <w:style w:type="character" w:customStyle="1" w:styleId="PSNamefieldtext">
    <w:name w:val="PS Name field text"/>
    <w:basedOn w:val="DefaultParagraphFont"/>
    <w:uiPriority w:val="2"/>
    <w:qFormat/>
    <w:rsid w:val="00DB00CE"/>
    <w:rPr>
      <w:lang w:eastAsia="en-AU"/>
    </w:rPr>
  </w:style>
  <w:style w:type="character" w:customStyle="1" w:styleId="PSNofieldtext">
    <w:name w:val="PS No. field text"/>
    <w:basedOn w:val="DefaultParagraphFont"/>
    <w:uiPriority w:val="2"/>
    <w:qFormat/>
    <w:rsid w:val="00DB00CE"/>
  </w:style>
  <w:style w:type="character" w:customStyle="1" w:styleId="BodyText3Char">
    <w:name w:val="Body Text 3 Char"/>
    <w:basedOn w:val="DefaultParagraphFont"/>
    <w:link w:val="BodyText3"/>
    <w:rsid w:val="00E9738A"/>
    <w:rPr>
      <w:sz w:val="24"/>
      <w:szCs w:val="16"/>
    </w:rPr>
  </w:style>
  <w:style w:type="character" w:customStyle="1" w:styleId="Attachmentfieldtext">
    <w:name w:val="Attachment field text"/>
    <w:basedOn w:val="DefaultParagraphFont"/>
    <w:uiPriority w:val="2"/>
    <w:qFormat/>
    <w:rsid w:val="00DB00CE"/>
  </w:style>
  <w:style w:type="character" w:customStyle="1" w:styleId="TitleChar">
    <w:name w:val="Title Char"/>
    <w:basedOn w:val="DefaultParagraphFont"/>
    <w:link w:val="Title"/>
    <w:rsid w:val="00DB00CE"/>
    <w:rPr>
      <w:rFonts w:asciiTheme="majorHAnsi" w:eastAsia="Calibri" w:hAnsiTheme="majorHAnsi"/>
      <w:b/>
      <w:sz w:val="40"/>
      <w:szCs w:val="24"/>
    </w:rPr>
  </w:style>
  <w:style w:type="paragraph" w:styleId="TOC4">
    <w:name w:val="toc 4"/>
    <w:basedOn w:val="Normal"/>
    <w:next w:val="Normal"/>
    <w:autoRedefine/>
    <w:uiPriority w:val="39"/>
    <w:semiHidden/>
    <w:rsid w:val="00DB00CE"/>
    <w:pPr>
      <w:tabs>
        <w:tab w:val="right" w:leader="dot" w:pos="8302"/>
      </w:tabs>
      <w:spacing w:after="100"/>
      <w:ind w:left="1134" w:right="567"/>
    </w:pPr>
    <w:rPr>
      <w:rFonts w:asciiTheme="majorHAnsi" w:hAnsiTheme="majorHAnsi"/>
    </w:rPr>
  </w:style>
  <w:style w:type="paragraph" w:customStyle="1" w:styleId="BodyText4">
    <w:name w:val="Body Text 4"/>
    <w:basedOn w:val="BodyText3"/>
    <w:qFormat/>
    <w:rsid w:val="00E9738A"/>
    <w:pPr>
      <w:numPr>
        <w:ilvl w:val="3"/>
      </w:numPr>
    </w:pPr>
  </w:style>
  <w:style w:type="character" w:customStyle="1" w:styleId="CommentSubjectChar">
    <w:name w:val="Comment Subject Char"/>
    <w:basedOn w:val="CommentTextChar"/>
    <w:link w:val="CommentSubject"/>
    <w:uiPriority w:val="49"/>
    <w:semiHidden/>
    <w:rsid w:val="00DB00CE"/>
    <w:rPr>
      <w:rFonts w:eastAsia="Calibri"/>
      <w:b/>
      <w:bCs/>
    </w:rPr>
  </w:style>
  <w:style w:type="paragraph" w:styleId="ListBullet2">
    <w:name w:val="List Bullet 2"/>
    <w:basedOn w:val="ListBullet"/>
    <w:uiPriority w:val="16"/>
    <w:qFormat/>
    <w:rsid w:val="00DB00CE"/>
    <w:pPr>
      <w:numPr>
        <w:numId w:val="0"/>
      </w:numPr>
      <w:tabs>
        <w:tab w:val="num" w:pos="851"/>
      </w:tabs>
      <w:ind w:left="851" w:hanging="426"/>
      <w:contextualSpacing w:val="0"/>
      <w:jc w:val="both"/>
    </w:pPr>
    <w:rPr>
      <w:rFonts w:ascii="Arial" w:eastAsiaTheme="minorHAnsi" w:hAnsi="Arial" w:cstheme="minorBidi"/>
      <w:color w:val="000000"/>
      <w:sz w:val="22"/>
      <w:szCs w:val="22"/>
      <w:lang w:eastAsia="en-US"/>
    </w:rPr>
  </w:style>
  <w:style w:type="paragraph" w:styleId="ListBullet3">
    <w:name w:val="List Bullet 3"/>
    <w:basedOn w:val="Normal"/>
    <w:uiPriority w:val="16"/>
    <w:qFormat/>
    <w:rsid w:val="00DB00CE"/>
    <w:pPr>
      <w:tabs>
        <w:tab w:val="num" w:pos="1276"/>
      </w:tabs>
      <w:ind w:left="1276" w:hanging="425"/>
      <w:jc w:val="both"/>
    </w:pPr>
    <w:rPr>
      <w:rFonts w:ascii="Arial" w:eastAsiaTheme="minorHAnsi" w:hAnsi="Arial" w:cstheme="minorBidi"/>
      <w:color w:val="000000"/>
      <w:sz w:val="22"/>
      <w:szCs w:val="22"/>
      <w:lang w:eastAsia="en-US"/>
    </w:rPr>
  </w:style>
  <w:style w:type="numbering" w:customStyle="1" w:styleId="BulletList">
    <w:name w:val="Bullet List"/>
    <w:uiPriority w:val="99"/>
    <w:rsid w:val="00DB00CE"/>
    <w:pPr>
      <w:numPr>
        <w:numId w:val="10"/>
      </w:numPr>
    </w:pPr>
  </w:style>
  <w:style w:type="character" w:customStyle="1" w:styleId="inlinedefn">
    <w:name w:val="in_line_defn"/>
    <w:basedOn w:val="DefaultParagraphFont"/>
    <w:uiPriority w:val="1"/>
    <w:qFormat/>
    <w:rsid w:val="00594B36"/>
    <w:rPr>
      <w:color w:val="auto"/>
    </w:rPr>
  </w:style>
  <w:style w:type="paragraph" w:customStyle="1" w:styleId="Attachmentheading1">
    <w:name w:val="Attachment heading 1"/>
    <w:basedOn w:val="Heading1"/>
    <w:link w:val="Attachmentheading1Char"/>
    <w:qFormat/>
    <w:rsid w:val="00163B7D"/>
  </w:style>
  <w:style w:type="character" w:customStyle="1" w:styleId="Attachmentheading1Char">
    <w:name w:val="Attachment heading 1 Char"/>
    <w:basedOn w:val="Heading1Char"/>
    <w:link w:val="Attachmentheading1"/>
    <w:rsid w:val="00163B7D"/>
    <w:rPr>
      <w:rFonts w:ascii="Arial" w:eastAsia="Calibri" w:hAnsi="Arial"/>
      <w:b/>
      <w:sz w:val="24"/>
      <w:szCs w:val="24"/>
    </w:rPr>
  </w:style>
  <w:style w:type="paragraph" w:styleId="List">
    <w:name w:val="List"/>
    <w:basedOn w:val="Normal"/>
    <w:uiPriority w:val="17"/>
    <w:qFormat/>
    <w:rsid w:val="00C01CEB"/>
    <w:pPr>
      <w:tabs>
        <w:tab w:val="num" w:pos="425"/>
      </w:tabs>
      <w:ind w:left="425" w:hanging="425"/>
      <w:jc w:val="both"/>
    </w:pPr>
    <w:rPr>
      <w:rFonts w:ascii="Arial" w:eastAsiaTheme="minorHAnsi" w:hAnsi="Arial" w:cstheme="minorBidi"/>
      <w:color w:val="000000"/>
      <w:sz w:val="22"/>
      <w:szCs w:val="22"/>
      <w:lang w:eastAsia="en-US"/>
    </w:rPr>
  </w:style>
  <w:style w:type="paragraph" w:styleId="List2">
    <w:name w:val="List 2"/>
    <w:basedOn w:val="Normal"/>
    <w:uiPriority w:val="17"/>
    <w:qFormat/>
    <w:rsid w:val="00C01CEB"/>
    <w:pPr>
      <w:tabs>
        <w:tab w:val="num" w:pos="851"/>
      </w:tabs>
      <w:ind w:left="851" w:hanging="426"/>
      <w:jc w:val="both"/>
    </w:pPr>
    <w:rPr>
      <w:rFonts w:ascii="Arial" w:eastAsiaTheme="minorHAnsi" w:hAnsi="Arial" w:cstheme="minorBidi"/>
      <w:color w:val="000000"/>
      <w:sz w:val="22"/>
      <w:szCs w:val="22"/>
      <w:lang w:eastAsia="en-US"/>
    </w:rPr>
  </w:style>
  <w:style w:type="paragraph" w:styleId="List3">
    <w:name w:val="List 3"/>
    <w:basedOn w:val="Normal"/>
    <w:uiPriority w:val="17"/>
    <w:qFormat/>
    <w:rsid w:val="00C01CEB"/>
    <w:pPr>
      <w:tabs>
        <w:tab w:val="num" w:pos="1276"/>
      </w:tabs>
      <w:ind w:left="1276" w:hanging="425"/>
      <w:jc w:val="both"/>
    </w:pPr>
    <w:rPr>
      <w:rFonts w:ascii="Arial" w:eastAsiaTheme="minorHAnsi" w:hAnsi="Arial" w:cstheme="minorBidi"/>
      <w:color w:val="000000"/>
      <w:sz w:val="22"/>
      <w:szCs w:val="22"/>
      <w:lang w:eastAsia="en-US"/>
    </w:rPr>
  </w:style>
  <w:style w:type="numbering" w:styleId="1ai">
    <w:name w:val="Outline List 1"/>
    <w:basedOn w:val="NoList"/>
    <w:uiPriority w:val="99"/>
    <w:semiHidden/>
    <w:unhideWhenUsed/>
    <w:rsid w:val="00C01CE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36453">
      <w:bodyDiv w:val="1"/>
      <w:marLeft w:val="0"/>
      <w:marRight w:val="0"/>
      <w:marTop w:val="0"/>
      <w:marBottom w:val="0"/>
      <w:divBdr>
        <w:top w:val="none" w:sz="0" w:space="0" w:color="auto"/>
        <w:left w:val="none" w:sz="0" w:space="0" w:color="auto"/>
        <w:bottom w:val="none" w:sz="0" w:space="0" w:color="auto"/>
        <w:right w:val="none" w:sz="0" w:space="0" w:color="auto"/>
      </w:divBdr>
    </w:div>
    <w:div w:id="138572466">
      <w:bodyDiv w:val="1"/>
      <w:marLeft w:val="0"/>
      <w:marRight w:val="0"/>
      <w:marTop w:val="0"/>
      <w:marBottom w:val="0"/>
      <w:divBdr>
        <w:top w:val="none" w:sz="0" w:space="0" w:color="auto"/>
        <w:left w:val="none" w:sz="0" w:space="0" w:color="auto"/>
        <w:bottom w:val="none" w:sz="0" w:space="0" w:color="auto"/>
        <w:right w:val="none" w:sz="0" w:space="0" w:color="auto"/>
      </w:divBdr>
    </w:div>
    <w:div w:id="332537313">
      <w:bodyDiv w:val="1"/>
      <w:marLeft w:val="0"/>
      <w:marRight w:val="0"/>
      <w:marTop w:val="0"/>
      <w:marBottom w:val="0"/>
      <w:divBdr>
        <w:top w:val="none" w:sz="0" w:space="0" w:color="auto"/>
        <w:left w:val="none" w:sz="0" w:space="0" w:color="auto"/>
        <w:bottom w:val="none" w:sz="0" w:space="0" w:color="auto"/>
        <w:right w:val="none" w:sz="0" w:space="0" w:color="auto"/>
      </w:divBdr>
    </w:div>
    <w:div w:id="423651834">
      <w:bodyDiv w:val="1"/>
      <w:marLeft w:val="0"/>
      <w:marRight w:val="0"/>
      <w:marTop w:val="0"/>
      <w:marBottom w:val="0"/>
      <w:divBdr>
        <w:top w:val="none" w:sz="0" w:space="0" w:color="auto"/>
        <w:left w:val="none" w:sz="0" w:space="0" w:color="auto"/>
        <w:bottom w:val="none" w:sz="0" w:space="0" w:color="auto"/>
        <w:right w:val="none" w:sz="0" w:space="0" w:color="auto"/>
      </w:divBdr>
    </w:div>
    <w:div w:id="1126583191">
      <w:bodyDiv w:val="1"/>
      <w:marLeft w:val="0"/>
      <w:marRight w:val="0"/>
      <w:marTop w:val="0"/>
      <w:marBottom w:val="0"/>
      <w:divBdr>
        <w:top w:val="none" w:sz="0" w:space="0" w:color="auto"/>
        <w:left w:val="none" w:sz="0" w:space="0" w:color="auto"/>
        <w:bottom w:val="none" w:sz="0" w:space="0" w:color="auto"/>
        <w:right w:val="none" w:sz="0" w:space="0" w:color="auto"/>
      </w:divBdr>
    </w:div>
    <w:div w:id="1133450060">
      <w:bodyDiv w:val="1"/>
      <w:marLeft w:val="0"/>
      <w:marRight w:val="0"/>
      <w:marTop w:val="0"/>
      <w:marBottom w:val="0"/>
      <w:divBdr>
        <w:top w:val="none" w:sz="0" w:space="0" w:color="auto"/>
        <w:left w:val="none" w:sz="0" w:space="0" w:color="auto"/>
        <w:bottom w:val="none" w:sz="0" w:space="0" w:color="auto"/>
        <w:right w:val="none" w:sz="0" w:space="0" w:color="auto"/>
      </w:divBdr>
    </w:div>
    <w:div w:id="1183318240">
      <w:bodyDiv w:val="1"/>
      <w:marLeft w:val="0"/>
      <w:marRight w:val="0"/>
      <w:marTop w:val="0"/>
      <w:marBottom w:val="0"/>
      <w:divBdr>
        <w:top w:val="none" w:sz="0" w:space="0" w:color="auto"/>
        <w:left w:val="none" w:sz="0" w:space="0" w:color="auto"/>
        <w:bottom w:val="none" w:sz="0" w:space="0" w:color="auto"/>
        <w:right w:val="none" w:sz="0" w:space="0" w:color="auto"/>
      </w:divBdr>
    </w:div>
    <w:div w:id="1234465420">
      <w:bodyDiv w:val="1"/>
      <w:marLeft w:val="0"/>
      <w:marRight w:val="0"/>
      <w:marTop w:val="0"/>
      <w:marBottom w:val="0"/>
      <w:divBdr>
        <w:top w:val="none" w:sz="0" w:space="0" w:color="auto"/>
        <w:left w:val="none" w:sz="0" w:space="0" w:color="auto"/>
        <w:bottom w:val="none" w:sz="0" w:space="0" w:color="auto"/>
        <w:right w:val="none" w:sz="0" w:space="0" w:color="auto"/>
      </w:divBdr>
    </w:div>
    <w:div w:id="1663698264">
      <w:bodyDiv w:val="1"/>
      <w:marLeft w:val="0"/>
      <w:marRight w:val="0"/>
      <w:marTop w:val="0"/>
      <w:marBottom w:val="0"/>
      <w:divBdr>
        <w:top w:val="none" w:sz="0" w:space="0" w:color="auto"/>
        <w:left w:val="none" w:sz="0" w:space="0" w:color="auto"/>
        <w:bottom w:val="none" w:sz="0" w:space="0" w:color="auto"/>
        <w:right w:val="none" w:sz="0" w:space="0" w:color="auto"/>
      </w:divBdr>
    </w:div>
    <w:div w:id="2054772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5.png"/><Relationship Id="rId11" Type="http://schemas.openxmlformats.org/officeDocument/2006/relationships/image" Target="media/image1.wmf"/><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0" Type="http://schemas.openxmlformats.org/officeDocument/2006/relationships/image" Target="media/image6.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a8a7e8-49a1-4017-acf0-0edc7cce208b">
      <UserInfo>
        <DisplayName>Katy Emmett</DisplayName>
        <AccountId>519</AccountId>
        <AccountType/>
      </UserInfo>
      <UserInfo>
        <DisplayName>Pat Mahony</DisplayName>
        <AccountId>256</AccountId>
        <AccountType/>
      </UserInfo>
      <UserInfo>
        <DisplayName>Renee Roberts</DisplayName>
        <AccountId>99</AccountId>
        <AccountType/>
      </UserInfo>
      <UserInfo>
        <DisplayName>Paul Riley</DisplayName>
        <AccountId>19</AccountId>
        <AccountType/>
      </UserInfo>
      <UserInfo>
        <DisplayName>Sashikala Prasad</DisplayName>
        <AccountId>59</AccountId>
        <AccountType/>
      </UserInfo>
      <UserInfo>
        <DisplayName>Nicky Tran</DisplayName>
        <AccountId>228</AccountId>
        <AccountType/>
      </UserInfo>
      <UserInfo>
        <DisplayName>Matthew Bova</DisplayName>
        <AccountId>80</AccountId>
        <AccountType/>
      </UserInfo>
      <UserInfo>
        <DisplayName>Aidan Johnson</DisplayName>
        <AccountId>304</AccountId>
        <AccountType/>
      </UserInfo>
      <UserInfo>
        <DisplayName>Joe Madden</DisplayName>
        <AccountId>25</AccountId>
        <AccountType/>
      </UserInfo>
      <UserInfo>
        <DisplayName>Therese McCarthy Hockey</DisplayName>
        <AccountId>100</AccountId>
        <AccountType/>
      </UserInfo>
      <UserInfo>
        <DisplayName>Clare Gibney</DisplayName>
        <AccountId>363</AccountId>
        <AccountType/>
      </UserInfo>
      <UserInfo>
        <DisplayName>Gideon Holland</DisplayName>
        <AccountId>43</AccountId>
        <AccountType/>
      </UserInfo>
      <UserInfo>
        <DisplayName>Peter Diamond</DisplayName>
        <AccountId>84</AccountId>
        <AccountType/>
      </UserInfo>
      <UserInfo>
        <DisplayName>Alastair Harris</DisplayName>
        <AccountId>81</AccountId>
        <AccountType/>
      </UserInfo>
      <UserInfo>
        <DisplayName>Andrew Alexandratos</DisplayName>
        <AccountId>218</AccountId>
        <AccountType/>
      </UserInfo>
      <UserInfo>
        <DisplayName>Andy Robertson</DisplayName>
        <AccountId>615</AccountId>
        <AccountType/>
      </UserInfo>
      <UserInfo>
        <DisplayName>James Douglas</DisplayName>
        <AccountId>236</AccountId>
        <AccountType/>
      </UserInfo>
      <UserInfo>
        <DisplayName>Rachel Adams</DisplayName>
        <AccountId>277</AccountId>
        <AccountType/>
      </UserInfo>
      <UserInfo>
        <DisplayName>Meredith Swain</DisplayName>
        <AccountId>478</AccountId>
        <AccountType/>
      </UserInfo>
      <UserInfo>
        <DisplayName>George Mutema</DisplayName>
        <AccountId>618</AccountId>
        <AccountType/>
      </UserInfo>
      <UserInfo>
        <DisplayName>Robert Armstrong</DisplayName>
        <AccountId>200</AccountId>
        <AccountType/>
      </UserInfo>
      <UserInfo>
        <DisplayName>Kirsten Day</DisplayName>
        <AccountId>231</AccountId>
        <AccountType/>
      </UserInfo>
      <UserInfo>
        <DisplayName>George Zhang</DisplayName>
        <AccountId>329</AccountId>
        <AccountType/>
      </UserInfo>
      <UserInfo>
        <DisplayName>Fiona Scott</DisplayName>
        <AccountId>566</AccountId>
        <AccountType/>
      </UserInfo>
      <UserInfo>
        <DisplayName>Michele Owen</DisplayName>
        <AccountId>790</AccountId>
        <AccountType/>
      </UserInfo>
      <UserInfo>
        <DisplayName>Eleanor Earl</DisplayName>
        <AccountId>387</AccountId>
        <AccountType/>
      </UserInfo>
    </SharedWithUsers>
    <TaxCatchAll xmlns="92a8a7e8-49a1-4017-acf0-0edc7cce208b">
      <Value>53</Value>
      <Value>52</Value>
      <Value>1</Value>
    </TaxCatchAll>
    <k4bcc0d734474fea9fb713d9c415b4b0 xmlns="92a8a7e8-49a1-4017-acf0-0edc7cce208b">
      <Terms xmlns="http://schemas.microsoft.com/office/infopath/2007/PartnerControls"/>
    </k4bcc0d734474fea9fb713d9c415b4b0>
    <APRASecurityClassification xmlns="92a8a7e8-49a1-4017-acf0-0edc7cce208b">OFFICIAL</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2C3D8-2FA1-470D-BAA2-3195A562B3ED}">
  <ds:schemaRefs>
    <ds:schemaRef ds:uri="http://schemas.microsoft.com/office/2006/documentManagement/types"/>
    <ds:schemaRef ds:uri="http://schemas.microsoft.com/office/infopath/2007/PartnerControls"/>
    <ds:schemaRef ds:uri="http://www.w3.org/XML/1998/namespace"/>
    <ds:schemaRef ds:uri="0fb2eb1a-f779-4dd2-958b-585d43db9bc8"/>
    <ds:schemaRef ds:uri="http://purl.org/dc/terms/"/>
    <ds:schemaRef ds:uri="http://purl.org/dc/elements/1.1/"/>
    <ds:schemaRef ds:uri="79530295-9eea-494d-b82a-9ff74409eafc"/>
    <ds:schemaRef ds:uri="http://schemas.microsoft.com/office/2006/metadata/properties"/>
    <ds:schemaRef ds:uri="http://schemas.openxmlformats.org/package/2006/metadata/core-properties"/>
    <ds:schemaRef ds:uri="http://purl.org/dc/dcmitype/"/>
    <ds:schemaRef ds:uri="92a8a7e8-49a1-4017-acf0-0edc7cce208b"/>
    <ds:schemaRef ds:uri="http://schemas.microsoft.com/sharepoint/v3"/>
  </ds:schemaRefs>
</ds:datastoreItem>
</file>

<file path=customXml/itemProps2.xml><?xml version="1.0" encoding="utf-8"?>
<ds:datastoreItem xmlns:ds="http://schemas.openxmlformats.org/officeDocument/2006/customXml" ds:itemID="{FDADACC0-4269-433A-8799-E839B952F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a8a7e8-49a1-4017-acf0-0edc7cce208b"/>
    <ds:schemaRef ds:uri="f4148c6b-f494-43bd-afec-4c4bbfd38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817BA-437C-462D-9EC4-BA9177DCB443}">
  <ds:schemaRefs>
    <ds:schemaRef ds:uri="http://schemas.microsoft.com/sharepoint/v3/contenttype/forms"/>
  </ds:schemaRefs>
</ds:datastoreItem>
</file>

<file path=customXml/itemProps4.xml><?xml version="1.0" encoding="utf-8"?>
<ds:datastoreItem xmlns:ds="http://schemas.openxmlformats.org/officeDocument/2006/customXml" ds:itemID="{F493E9C1-0970-4731-96D2-36786A56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7072</Words>
  <Characters>37022</Characters>
  <Application>Microsoft Office Word</Application>
  <DocSecurity>0</DocSecurity>
  <Lines>774</Lines>
  <Paragraphs>309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43898</CharactersWithSpaces>
  <SharedDoc>false</SharedDoc>
  <HLinks>
    <vt:vector size="66" baseType="variant">
      <vt:variant>
        <vt:i4>1310770</vt:i4>
      </vt:variant>
      <vt:variant>
        <vt:i4>62</vt:i4>
      </vt:variant>
      <vt:variant>
        <vt:i4>0</vt:i4>
      </vt:variant>
      <vt:variant>
        <vt:i4>5</vt:i4>
      </vt:variant>
      <vt:variant>
        <vt:lpwstr/>
      </vt:variant>
      <vt:variant>
        <vt:lpwstr>_Toc171007232</vt:lpwstr>
      </vt:variant>
      <vt:variant>
        <vt:i4>1310770</vt:i4>
      </vt:variant>
      <vt:variant>
        <vt:i4>56</vt:i4>
      </vt:variant>
      <vt:variant>
        <vt:i4>0</vt:i4>
      </vt:variant>
      <vt:variant>
        <vt:i4>5</vt:i4>
      </vt:variant>
      <vt:variant>
        <vt:lpwstr/>
      </vt:variant>
      <vt:variant>
        <vt:lpwstr>_Toc171007231</vt:lpwstr>
      </vt:variant>
      <vt:variant>
        <vt:i4>1310770</vt:i4>
      </vt:variant>
      <vt:variant>
        <vt:i4>50</vt:i4>
      </vt:variant>
      <vt:variant>
        <vt:i4>0</vt:i4>
      </vt:variant>
      <vt:variant>
        <vt:i4>5</vt:i4>
      </vt:variant>
      <vt:variant>
        <vt:lpwstr/>
      </vt:variant>
      <vt:variant>
        <vt:lpwstr>_Toc171007230</vt:lpwstr>
      </vt:variant>
      <vt:variant>
        <vt:i4>1376306</vt:i4>
      </vt:variant>
      <vt:variant>
        <vt:i4>44</vt:i4>
      </vt:variant>
      <vt:variant>
        <vt:i4>0</vt:i4>
      </vt:variant>
      <vt:variant>
        <vt:i4>5</vt:i4>
      </vt:variant>
      <vt:variant>
        <vt:lpwstr/>
      </vt:variant>
      <vt:variant>
        <vt:lpwstr>_Toc171007229</vt:lpwstr>
      </vt:variant>
      <vt:variant>
        <vt:i4>1376306</vt:i4>
      </vt:variant>
      <vt:variant>
        <vt:i4>38</vt:i4>
      </vt:variant>
      <vt:variant>
        <vt:i4>0</vt:i4>
      </vt:variant>
      <vt:variant>
        <vt:i4>5</vt:i4>
      </vt:variant>
      <vt:variant>
        <vt:lpwstr/>
      </vt:variant>
      <vt:variant>
        <vt:lpwstr>_Toc171007228</vt:lpwstr>
      </vt:variant>
      <vt:variant>
        <vt:i4>1376306</vt:i4>
      </vt:variant>
      <vt:variant>
        <vt:i4>32</vt:i4>
      </vt:variant>
      <vt:variant>
        <vt:i4>0</vt:i4>
      </vt:variant>
      <vt:variant>
        <vt:i4>5</vt:i4>
      </vt:variant>
      <vt:variant>
        <vt:lpwstr/>
      </vt:variant>
      <vt:variant>
        <vt:lpwstr>_Toc171007227</vt:lpwstr>
      </vt:variant>
      <vt:variant>
        <vt:i4>1376306</vt:i4>
      </vt:variant>
      <vt:variant>
        <vt:i4>26</vt:i4>
      </vt:variant>
      <vt:variant>
        <vt:i4>0</vt:i4>
      </vt:variant>
      <vt:variant>
        <vt:i4>5</vt:i4>
      </vt:variant>
      <vt:variant>
        <vt:lpwstr/>
      </vt:variant>
      <vt:variant>
        <vt:lpwstr>_Toc171007226</vt:lpwstr>
      </vt:variant>
      <vt:variant>
        <vt:i4>1376306</vt:i4>
      </vt:variant>
      <vt:variant>
        <vt:i4>20</vt:i4>
      </vt:variant>
      <vt:variant>
        <vt:i4>0</vt:i4>
      </vt:variant>
      <vt:variant>
        <vt:i4>5</vt:i4>
      </vt:variant>
      <vt:variant>
        <vt:lpwstr/>
      </vt:variant>
      <vt:variant>
        <vt:lpwstr>_Toc171007225</vt:lpwstr>
      </vt:variant>
      <vt:variant>
        <vt:i4>1376306</vt:i4>
      </vt:variant>
      <vt:variant>
        <vt:i4>14</vt:i4>
      </vt:variant>
      <vt:variant>
        <vt:i4>0</vt:i4>
      </vt:variant>
      <vt:variant>
        <vt:i4>5</vt:i4>
      </vt:variant>
      <vt:variant>
        <vt:lpwstr/>
      </vt:variant>
      <vt:variant>
        <vt:lpwstr>_Toc171007224</vt:lpwstr>
      </vt:variant>
      <vt:variant>
        <vt:i4>1376306</vt:i4>
      </vt:variant>
      <vt:variant>
        <vt:i4>8</vt:i4>
      </vt:variant>
      <vt:variant>
        <vt:i4>0</vt:i4>
      </vt:variant>
      <vt:variant>
        <vt:i4>5</vt:i4>
      </vt:variant>
      <vt:variant>
        <vt:lpwstr/>
      </vt:variant>
      <vt:variant>
        <vt:lpwstr>_Toc171007223</vt:lpwstr>
      </vt:variant>
      <vt:variant>
        <vt:i4>1376306</vt:i4>
      </vt:variant>
      <vt:variant>
        <vt:i4>2</vt:i4>
      </vt:variant>
      <vt:variant>
        <vt:i4>0</vt:i4>
      </vt:variant>
      <vt:variant>
        <vt:i4>5</vt:i4>
      </vt:variant>
      <vt:variant>
        <vt:lpwstr/>
      </vt:variant>
      <vt:variant>
        <vt:lpwstr>_Toc171007222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Riley</dc:creator>
  <cp:keywords>[SEC=OFFICIAL]</cp:keywords>
  <dc:description/>
  <cp:lastModifiedBy>Toni Michalis</cp:lastModifiedBy>
  <cp:revision>3</cp:revision>
  <dcterms:created xsi:type="dcterms:W3CDTF">2024-09-19T04:21:00Z</dcterms:created>
  <dcterms:modified xsi:type="dcterms:W3CDTF">2024-09-19T05:14:00Z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ng_FileId">
    <vt:lpwstr>B782B0C71CA54DF6B132B14FB60D7C97</vt:lpwstr>
  </property>
  <property fmtid="{D5CDD505-2E9C-101B-9397-08002B2CF9AE}" pid="3" name="PM_ProtectiveMarkingValue_Footer">
    <vt:lpwstr>OFFICIAL</vt:lpwstr>
  </property>
  <property fmtid="{D5CDD505-2E9C-101B-9397-08002B2CF9AE}" pid="4" name="PM_Namespace">
    <vt:lpwstr>gov.au</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MSIP_Label_c0129afb-6481-4f92-bc9f-5a4a6346364d_Method">
    <vt:lpwstr>Privileged</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onTimeStamp">
    <vt:lpwstr>2022-11-21T04:27:06Z</vt:lpwstr>
  </property>
  <property fmtid="{D5CDD505-2E9C-101B-9397-08002B2CF9AE}" pid="11" name="PM_ProtectiveMarkingValue_Header">
    <vt:lpwstr>OFFICIAL</vt:lpwstr>
  </property>
  <property fmtid="{D5CDD505-2E9C-101B-9397-08002B2CF9AE}" pid="12" name="PM_Version">
    <vt:lpwstr>2018.3</vt:lpwstr>
  </property>
  <property fmtid="{D5CDD505-2E9C-101B-9397-08002B2CF9AE}" pid="13" name="PM_Hash_Version">
    <vt:lpwstr>2022.1</vt:lpwstr>
  </property>
  <property fmtid="{D5CDD505-2E9C-101B-9397-08002B2CF9AE}" pid="14" name="PM_SecurityClassification_Prev">
    <vt:lpwstr>OFFICIAL</vt:lpwstr>
  </property>
  <property fmtid="{D5CDD505-2E9C-101B-9397-08002B2CF9AE}" pid="15" name="PM_Qualifier_Prev">
    <vt:lpwstr/>
  </property>
  <property fmtid="{D5CDD505-2E9C-101B-9397-08002B2CF9AE}" pid="16" name="PM_Note">
    <vt:lpwstr/>
  </property>
  <property fmtid="{D5CDD505-2E9C-101B-9397-08002B2CF9AE}" pid="17" name="PM_Markers">
    <vt:lpwstr/>
  </property>
  <property fmtid="{D5CDD505-2E9C-101B-9397-08002B2CF9AE}" pid="18" name="PM_ProtectiveMarkingImage_Header">
    <vt:lpwstr>C:\Program Files\Common Files\janusNET Shared\janusSEAL\Images\DocumentSlashBlue.png</vt:lpwstr>
  </property>
  <property fmtid="{D5CDD505-2E9C-101B-9397-08002B2CF9AE}" pid="19" name="PM_ProtectiveMarkingImage_Footer">
    <vt:lpwstr>C:\Program Files\Common Files\janusNET Shared\janusSEAL\Images\DocumentSlashBlue.png</vt:lpwstr>
  </property>
  <property fmtid="{D5CDD505-2E9C-101B-9397-08002B2CF9AE}" pid="20" name="PM_Display">
    <vt:lpwstr>OFFICIAL</vt:lpwstr>
  </property>
  <property fmtid="{D5CDD505-2E9C-101B-9397-08002B2CF9AE}" pid="21" name="PM_OriginatorDomainName_SHA256">
    <vt:lpwstr>ECBDE2B44A971754412B3FB70606937A119CC0D4B6C1B658A40FBD41C30BE3EC</vt:lpwstr>
  </property>
  <property fmtid="{D5CDD505-2E9C-101B-9397-08002B2CF9AE}" pid="22" name="PMUuid">
    <vt:lpwstr>v=2022.2;d=gov.au;g=46DD6D7C-8107-577B-BC6E-F348953B2E44</vt:lpwstr>
  </property>
  <property fmtid="{D5CDD505-2E9C-101B-9397-08002B2CF9AE}" pid="23" name="MSIP_Label_c0129afb-6481-4f92-bc9f-5a4a6346364d_Name">
    <vt:lpwstr>OFFICIAL</vt:lpwstr>
  </property>
  <property fmtid="{D5CDD505-2E9C-101B-9397-08002B2CF9AE}" pid="24" name="MSIP_Label_c0129afb-6481-4f92-bc9f-5a4a6346364d_SiteId">
    <vt:lpwstr>c05e3ffd-b491-4431-9809-e61d4dc78816</vt:lpwstr>
  </property>
  <property fmtid="{D5CDD505-2E9C-101B-9397-08002B2CF9AE}" pid="25" name="MSIP_Label_c0129afb-6481-4f92-bc9f-5a4a6346364d_ContentBits">
    <vt:lpwstr>0</vt:lpwstr>
  </property>
  <property fmtid="{D5CDD505-2E9C-101B-9397-08002B2CF9AE}" pid="26" name="MSIP_Label_c0129afb-6481-4f92-bc9f-5a4a6346364d_Enabled">
    <vt:lpwstr>true</vt:lpwstr>
  </property>
  <property fmtid="{D5CDD505-2E9C-101B-9397-08002B2CF9AE}" pid="27" name="MSIP_Label_c0129afb-6481-4f92-bc9f-5a4a6346364d_SetDate">
    <vt:lpwstr>2022-11-21T04:27:06Z</vt:lpwstr>
  </property>
  <property fmtid="{D5CDD505-2E9C-101B-9397-08002B2CF9AE}" pid="28" name="PM_Caveats_Count">
    <vt:lpwstr>0</vt:lpwstr>
  </property>
  <property fmtid="{D5CDD505-2E9C-101B-9397-08002B2CF9AE}" pid="29" name="RecordPoint_SubmissionDate">
    <vt:lpwstr/>
  </property>
  <property fmtid="{D5CDD505-2E9C-101B-9397-08002B2CF9AE}" pid="30" name="RecordPoint_RecordNumberSubmitted">
    <vt:lpwstr>R0001690187</vt:lpwstr>
  </property>
  <property fmtid="{D5CDD505-2E9C-101B-9397-08002B2CF9AE}" pid="31" name="APRASecurityClassification">
    <vt:lpwstr>OFFICIAL</vt:lpwstr>
  </property>
  <property fmtid="{D5CDD505-2E9C-101B-9397-08002B2CF9AE}" pid="32" name="APRACostCentre">
    <vt:lpwstr/>
  </property>
  <property fmtid="{D5CDD505-2E9C-101B-9397-08002B2CF9AE}" pid="33" name="DocumentSetDescription">
    <vt:lpwstr/>
  </property>
  <property fmtid="{D5CDD505-2E9C-101B-9397-08002B2CF9AE}" pid="34" name="MediaServiceImageTags">
    <vt:lpwstr/>
  </property>
  <property fmtid="{D5CDD505-2E9C-101B-9397-08002B2CF9AE}" pid="35" name="ContentTypeId">
    <vt:lpwstr>0x01010080D163DB4DEE504FAB457909715FEC45</vt:lpwstr>
  </property>
  <property fmtid="{D5CDD505-2E9C-101B-9397-08002B2CF9AE}" pid="36" name="RecordPoint_WorkflowType">
    <vt:lpwstr>ActiveSubmitStub</vt:lpwstr>
  </property>
  <property fmtid="{D5CDD505-2E9C-101B-9397-08002B2CF9AE}" pid="37" name="APRAPeerGroup">
    <vt:lpwstr/>
  </property>
  <property fmtid="{D5CDD505-2E9C-101B-9397-08002B2CF9AE}" pid="38" name="APRADocumentType">
    <vt:lpwstr>52;#Prudential standard|6ce5a155-9ab2-41e3-9b2a-5baab4b7f1d1</vt:lpwstr>
  </property>
  <property fmtid="{D5CDD505-2E9C-101B-9397-08002B2CF9AE}" pid="39" name="RecordPoint_ActiveItemSiteId">
    <vt:lpwstr>{673c3c09-c2de-4447-b34a-12048cb74e15}</vt:lpwstr>
  </property>
  <property fmtid="{D5CDD505-2E9C-101B-9397-08002B2CF9AE}" pid="40" name="APRAPRSG">
    <vt:lpwstr/>
  </property>
  <property fmtid="{D5CDD505-2E9C-101B-9397-08002B2CF9AE}" pid="41" name="_ExtendedDescription">
    <vt:lpwstr/>
  </property>
  <property fmtid="{D5CDD505-2E9C-101B-9397-08002B2CF9AE}" pid="42" name="APRAActivity">
    <vt:lpwstr>53;#Prudential policy development|4cf81ba0-32a2-4f8f-8216-9e632903331b</vt:lpwstr>
  </property>
  <property fmtid="{D5CDD505-2E9C-101B-9397-08002B2CF9AE}" pid="43" name="RecordPoint_ActiveItemListId">
    <vt:lpwstr>{89346c49-a9a7-464a-a8ce-927e7c556841}</vt:lpwstr>
  </property>
  <property fmtid="{D5CDD505-2E9C-101B-9397-08002B2CF9AE}" pid="44" name="APRALegislation">
    <vt:lpwstr/>
  </property>
  <property fmtid="{D5CDD505-2E9C-101B-9397-08002B2CF9AE}" pid="45" name="RecordPoint_ActiveItemMoved">
    <vt:lpwstr/>
  </property>
  <property fmtid="{D5CDD505-2E9C-101B-9397-08002B2CF9AE}" pid="46" name="RecordPoint_SubmissionCompleted">
    <vt:lpwstr>2022-11-17T18:25:44.8775783+11:00</vt:lpwstr>
  </property>
  <property fmtid="{D5CDD505-2E9C-101B-9397-08002B2CF9AE}" pid="47" name="_docset_NoMedatataSyncRequired">
    <vt:lpwstr>False</vt:lpwstr>
  </property>
  <property fmtid="{D5CDD505-2E9C-101B-9397-08002B2CF9AE}" pid="48" name="URL">
    <vt:lpwstr/>
  </property>
  <property fmtid="{D5CDD505-2E9C-101B-9397-08002B2CF9AE}" pid="49" name="APRAExternalOrganisation">
    <vt:lpwstr/>
  </property>
  <property fmtid="{D5CDD505-2E9C-101B-9397-08002B2CF9AE}" pid="50" name="APRAIRTR">
    <vt:lpwstr/>
  </property>
  <property fmtid="{D5CDD505-2E9C-101B-9397-08002B2CF9AE}" pid="51" name="APRAPeriod">
    <vt:lpwstr/>
  </property>
  <property fmtid="{D5CDD505-2E9C-101B-9397-08002B2CF9AE}" pid="52" name="RecordPoint_ActiveItemWebId">
    <vt:lpwstr>{6cf21f76-089f-49aa-b976-a2f63c0fa512}</vt:lpwstr>
  </property>
  <property fmtid="{D5CDD505-2E9C-101B-9397-08002B2CF9AE}" pid="53" name="IT system type">
    <vt:lpwstr/>
  </property>
  <property fmtid="{D5CDD505-2E9C-101B-9397-08002B2CF9AE}" pid="54" name="APRACategory">
    <vt:lpwstr/>
  </property>
  <property fmtid="{D5CDD505-2E9C-101B-9397-08002B2CF9AE}" pid="55" name="_dlc_DocIdItemGuid">
    <vt:lpwstr>c4b53be2-ea73-4b31-8726-d64d6119dcea</vt:lpwstr>
  </property>
  <property fmtid="{D5CDD505-2E9C-101B-9397-08002B2CF9AE}" pid="56" name="APRAStatus">
    <vt:lpwstr>1;#Draft|0e1556d2-3fe8-443a-ada7-3620563b46b3</vt:lpwstr>
  </property>
  <property fmtid="{D5CDD505-2E9C-101B-9397-08002B2CF9AE}" pid="57" name="APRAEntityAdviceSupport">
    <vt:lpwstr/>
  </property>
  <property fmtid="{D5CDD505-2E9C-101B-9397-08002B2CF9AE}" pid="58" name="APRAReportingGroup">
    <vt:lpwstr/>
  </property>
  <property fmtid="{D5CDD505-2E9C-101B-9397-08002B2CF9AE}" pid="59" name="APRAYear">
    <vt:lpwstr/>
  </property>
  <property fmtid="{D5CDD505-2E9C-101B-9397-08002B2CF9AE}" pid="60" name="APRAIndustry">
    <vt:lpwstr/>
  </property>
  <property fmtid="{D5CDD505-2E9C-101B-9397-08002B2CF9AE}" pid="61" name="RecordPoint_RecordFormat">
    <vt:lpwstr/>
  </property>
  <property fmtid="{D5CDD505-2E9C-101B-9397-08002B2CF9AE}" pid="62" name="RecordPoint_ActiveItemUniqueId">
    <vt:lpwstr>{61274bff-5452-4a97-bcdd-c8119069372b}</vt:lpwstr>
  </property>
  <property fmtid="{D5CDD505-2E9C-101B-9397-08002B2CF9AE}" pid="63" name="IsLocked">
    <vt:lpwstr>Yes</vt:lpwstr>
  </property>
  <property fmtid="{D5CDD505-2E9C-101B-9397-08002B2CF9AE}" pid="64" name="Order">
    <vt:r8>427300</vt:r8>
  </property>
  <property fmtid="{D5CDD505-2E9C-101B-9397-08002B2CF9AE}" pid="65" name="PM_Originator_Hash_SHA1">
    <vt:lpwstr>C3AD57350F36D8E1BD75F8F67CB06D435C9C43CA</vt:lpwstr>
  </property>
  <property fmtid="{D5CDD505-2E9C-101B-9397-08002B2CF9AE}" pid="66" name="PM_OriginatorUserAccountName_SHA256">
    <vt:lpwstr>6E3018F28A186D2E5FF5207C041E7A82E907C3008E071057026A53705873B72E</vt:lpwstr>
  </property>
  <property fmtid="{D5CDD505-2E9C-101B-9397-08002B2CF9AE}" pid="67" name="PM_Hash_Salt_Prev">
    <vt:lpwstr>B9C01EC4E47530C1FD5E0B1F792E53E8</vt:lpwstr>
  </property>
  <property fmtid="{D5CDD505-2E9C-101B-9397-08002B2CF9AE}" pid="68" name="PMHMAC">
    <vt:lpwstr>v=2022.1;a=SHA256;h=AD5417A5EDBD103639FF90F50F5D19015AD821081875C1CD1BC38E3AEC988836</vt:lpwstr>
  </property>
  <property fmtid="{D5CDD505-2E9C-101B-9397-08002B2CF9AE}" pid="69" name="PM_Hash_SHA1">
    <vt:lpwstr>90D168D73D686935804EA3D7F665D4AAB688723D</vt:lpwstr>
  </property>
  <property fmtid="{D5CDD505-2E9C-101B-9397-08002B2CF9AE}" pid="70" name="PM_Hash_Salt">
    <vt:lpwstr>36FF69503AC4584DB62DFA2AB4414379</vt:lpwstr>
  </property>
  <property fmtid="{D5CDD505-2E9C-101B-9397-08002B2CF9AE}" pid="71" name="MSIP_Label_c0129afb-6481-4f92-bc9f-5a4a6346364d_ActionId">
    <vt:lpwstr>4811b8f1fbc949afaad9ccb7ead60898</vt:lpwstr>
  </property>
</Properties>
</file>