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9BB8C" w14:textId="77777777" w:rsidR="000E6C4E" w:rsidRPr="00822447" w:rsidRDefault="0057002B" w:rsidP="00BB0CF2">
      <w:pPr>
        <w:pStyle w:val="ESTitleHeader"/>
        <w:rPr>
          <w:sz w:val="24"/>
          <w:szCs w:val="24"/>
        </w:rPr>
      </w:pPr>
      <w:r w:rsidRPr="00822447">
        <w:rPr>
          <w:sz w:val="24"/>
          <w:szCs w:val="24"/>
        </w:rPr>
        <w:t>EXPLANATORY STATEMENT</w:t>
      </w:r>
    </w:p>
    <w:p w14:paraId="3E1CA31B" w14:textId="6AA4D124" w:rsidR="0057002B" w:rsidRPr="00822447" w:rsidRDefault="0057002B" w:rsidP="00BB0CF2">
      <w:pPr>
        <w:pStyle w:val="ESTitleDecisionMaker"/>
        <w:rPr>
          <w:sz w:val="24"/>
          <w:szCs w:val="24"/>
        </w:rPr>
      </w:pPr>
      <w:r w:rsidRPr="00822447">
        <w:rPr>
          <w:sz w:val="24"/>
          <w:szCs w:val="24"/>
        </w:rPr>
        <w:t xml:space="preserve">Issued by authority of </w:t>
      </w:r>
      <w:r w:rsidR="00206DDE">
        <w:rPr>
          <w:sz w:val="24"/>
          <w:szCs w:val="24"/>
        </w:rPr>
        <w:t xml:space="preserve">the </w:t>
      </w:r>
      <w:r w:rsidR="00652C0B">
        <w:rPr>
          <w:sz w:val="24"/>
          <w:szCs w:val="24"/>
        </w:rPr>
        <w:t>Competent Authority</w:t>
      </w:r>
      <w:r w:rsidR="00206DDE" w:rsidRPr="00206DDE">
        <w:rPr>
          <w:sz w:val="24"/>
          <w:szCs w:val="24"/>
        </w:rPr>
        <w:t xml:space="preserve">, </w:t>
      </w:r>
      <w:r w:rsidR="00652C0B">
        <w:rPr>
          <w:sz w:val="24"/>
          <w:szCs w:val="24"/>
        </w:rPr>
        <w:t>Commodore James Nash</w:t>
      </w:r>
    </w:p>
    <w:p w14:paraId="76CC6CFA" w14:textId="5DD05831" w:rsidR="0057002B" w:rsidRPr="00652C0B" w:rsidRDefault="00206DDE" w:rsidP="00041419">
      <w:pPr>
        <w:pStyle w:val="ESTitleInstrumentName"/>
        <w:spacing w:before="0" w:after="160"/>
        <w:rPr>
          <w:b w:val="0"/>
          <w:sz w:val="24"/>
          <w:szCs w:val="24"/>
        </w:rPr>
      </w:pPr>
      <w:r w:rsidRPr="00652C0B">
        <w:rPr>
          <w:b w:val="0"/>
          <w:sz w:val="24"/>
          <w:szCs w:val="24"/>
        </w:rPr>
        <w:t>Explosives Regulations</w:t>
      </w:r>
      <w:r w:rsidR="00924522" w:rsidRPr="00652C0B">
        <w:rPr>
          <w:b w:val="0"/>
          <w:sz w:val="24"/>
          <w:szCs w:val="24"/>
        </w:rPr>
        <w:t> </w:t>
      </w:r>
      <w:r w:rsidRPr="00652C0B">
        <w:rPr>
          <w:b w:val="0"/>
          <w:sz w:val="24"/>
          <w:szCs w:val="24"/>
        </w:rPr>
        <w:t>2024</w:t>
      </w:r>
    </w:p>
    <w:p w14:paraId="1CD4399A" w14:textId="4790F7BD" w:rsidR="00652C0B" w:rsidRPr="00206DDE" w:rsidRDefault="00652C0B" w:rsidP="00041419">
      <w:pPr>
        <w:pStyle w:val="ESTitleInstrumentName"/>
        <w:spacing w:before="0" w:after="160"/>
        <w:rPr>
          <w:sz w:val="24"/>
          <w:szCs w:val="24"/>
        </w:rPr>
      </w:pPr>
      <w:r w:rsidRPr="00652C0B">
        <w:rPr>
          <w:sz w:val="24"/>
          <w:szCs w:val="24"/>
        </w:rPr>
        <w:t>Explosives (Authorised Commonwealth Explosives) Order 2024</w:t>
      </w:r>
    </w:p>
    <w:p w14:paraId="04FE9C9F" w14:textId="7A2DA375" w:rsidR="008D3593" w:rsidRPr="00822447" w:rsidRDefault="008D3593" w:rsidP="00316E46">
      <w:pPr>
        <w:pStyle w:val="ESHeading"/>
        <w:spacing w:after="0" w:line="240" w:lineRule="auto"/>
        <w:rPr>
          <w:sz w:val="24"/>
          <w:szCs w:val="24"/>
        </w:rPr>
      </w:pPr>
      <w:r>
        <w:rPr>
          <w:sz w:val="24"/>
          <w:szCs w:val="24"/>
        </w:rPr>
        <w:t>Authority</w:t>
      </w:r>
    </w:p>
    <w:p w14:paraId="1C57CF0B" w14:textId="431B0B87" w:rsidR="00385BE3" w:rsidRDefault="00385BE3" w:rsidP="00356408">
      <w:pPr>
        <w:pStyle w:val="ESPara"/>
        <w:rPr>
          <w:sz w:val="24"/>
          <w:szCs w:val="24"/>
        </w:rPr>
      </w:pPr>
      <w:r>
        <w:rPr>
          <w:sz w:val="24"/>
          <w:szCs w:val="24"/>
        </w:rPr>
        <w:t xml:space="preserve">The </w:t>
      </w:r>
      <w:r w:rsidRPr="00206DDE">
        <w:rPr>
          <w:i/>
          <w:sz w:val="24"/>
          <w:szCs w:val="24"/>
        </w:rPr>
        <w:t>Explosives Act</w:t>
      </w:r>
      <w:r w:rsidR="003476CC">
        <w:rPr>
          <w:i/>
          <w:sz w:val="24"/>
          <w:szCs w:val="24"/>
        </w:rPr>
        <w:t> </w:t>
      </w:r>
      <w:r w:rsidRPr="00206DDE">
        <w:rPr>
          <w:i/>
          <w:sz w:val="24"/>
          <w:szCs w:val="24"/>
        </w:rPr>
        <w:t>1961</w:t>
      </w:r>
      <w:r>
        <w:rPr>
          <w:sz w:val="24"/>
          <w:szCs w:val="24"/>
        </w:rPr>
        <w:t xml:space="preserve"> </w:t>
      </w:r>
      <w:r w:rsidRPr="00822447">
        <w:rPr>
          <w:sz w:val="24"/>
          <w:szCs w:val="24"/>
        </w:rPr>
        <w:t>(the Act)</w:t>
      </w:r>
      <w:r>
        <w:rPr>
          <w:sz w:val="24"/>
          <w:szCs w:val="24"/>
        </w:rPr>
        <w:t xml:space="preserve"> </w:t>
      </w:r>
      <w:r w:rsidR="00603573">
        <w:rPr>
          <w:sz w:val="24"/>
          <w:szCs w:val="24"/>
        </w:rPr>
        <w:t>provides</w:t>
      </w:r>
      <w:r>
        <w:rPr>
          <w:sz w:val="24"/>
          <w:szCs w:val="24"/>
        </w:rPr>
        <w:t xml:space="preserve"> for handling of explosives and control of Commonwealth explosives areas.</w:t>
      </w:r>
    </w:p>
    <w:p w14:paraId="578CACA1" w14:textId="1870F8D6" w:rsidR="00385BE3" w:rsidRDefault="00603573" w:rsidP="00356408">
      <w:pPr>
        <w:pStyle w:val="ESPara"/>
        <w:rPr>
          <w:sz w:val="24"/>
          <w:szCs w:val="24"/>
        </w:rPr>
      </w:pPr>
      <w:r>
        <w:rPr>
          <w:sz w:val="24"/>
          <w:szCs w:val="24"/>
        </w:rPr>
        <w:t>Section 21</w:t>
      </w:r>
      <w:r w:rsidR="00385BE3">
        <w:rPr>
          <w:sz w:val="24"/>
          <w:szCs w:val="24"/>
        </w:rPr>
        <w:t xml:space="preserve"> of the Act </w:t>
      </w:r>
      <w:r>
        <w:rPr>
          <w:sz w:val="24"/>
          <w:szCs w:val="24"/>
        </w:rPr>
        <w:t>provides that</w:t>
      </w:r>
      <w:r w:rsidR="00385BE3">
        <w:rPr>
          <w:sz w:val="24"/>
          <w:szCs w:val="24"/>
        </w:rPr>
        <w:t xml:space="preserve"> t</w:t>
      </w:r>
      <w:r w:rsidR="00385BE3" w:rsidRPr="00385BE3">
        <w:rPr>
          <w:sz w:val="24"/>
          <w:szCs w:val="24"/>
        </w:rPr>
        <w:t xml:space="preserve">he Governor‑General </w:t>
      </w:r>
      <w:r>
        <w:rPr>
          <w:sz w:val="24"/>
          <w:szCs w:val="24"/>
        </w:rPr>
        <w:t>may</w:t>
      </w:r>
      <w:r w:rsidR="00385BE3" w:rsidRPr="00385BE3">
        <w:rPr>
          <w:sz w:val="24"/>
          <w:szCs w:val="24"/>
        </w:rPr>
        <w:t xml:space="preserve"> make regulat</w:t>
      </w:r>
      <w:r w:rsidR="00385BE3">
        <w:rPr>
          <w:sz w:val="24"/>
          <w:szCs w:val="24"/>
        </w:rPr>
        <w:t>ions, not inconsistent with the</w:t>
      </w:r>
      <w:r w:rsidR="00385BE3" w:rsidRPr="00385BE3">
        <w:rPr>
          <w:sz w:val="24"/>
          <w:szCs w:val="24"/>
        </w:rPr>
        <w:t xml:space="preserve"> Act, prescribing all matte</w:t>
      </w:r>
      <w:r w:rsidR="00385BE3">
        <w:rPr>
          <w:sz w:val="24"/>
          <w:szCs w:val="24"/>
        </w:rPr>
        <w:t>rs required or permitted by the</w:t>
      </w:r>
      <w:r w:rsidR="00385BE3" w:rsidRPr="00385BE3">
        <w:rPr>
          <w:sz w:val="24"/>
          <w:szCs w:val="24"/>
        </w:rPr>
        <w:t xml:space="preserve"> Act to be prescribed, or necessary or convenient to be prescribed for carry</w:t>
      </w:r>
      <w:r w:rsidR="00385BE3">
        <w:rPr>
          <w:sz w:val="24"/>
          <w:szCs w:val="24"/>
        </w:rPr>
        <w:t>ing out or giving effect to the</w:t>
      </w:r>
      <w:r w:rsidR="00385BE3" w:rsidRPr="00385BE3">
        <w:rPr>
          <w:sz w:val="24"/>
          <w:szCs w:val="24"/>
        </w:rPr>
        <w:t xml:space="preserve"> Act</w:t>
      </w:r>
      <w:r w:rsidR="00385BE3">
        <w:rPr>
          <w:sz w:val="24"/>
          <w:szCs w:val="24"/>
        </w:rPr>
        <w:t>.</w:t>
      </w:r>
    </w:p>
    <w:p w14:paraId="7CE3D472" w14:textId="53C1FD6B" w:rsidR="00385BE3" w:rsidRDefault="00385BE3" w:rsidP="00356408">
      <w:pPr>
        <w:pStyle w:val="ESPara"/>
        <w:rPr>
          <w:sz w:val="24"/>
          <w:szCs w:val="24"/>
        </w:rPr>
      </w:pPr>
      <w:r>
        <w:rPr>
          <w:sz w:val="24"/>
          <w:szCs w:val="24"/>
        </w:rPr>
        <w:t xml:space="preserve">Section 15 of the Act </w:t>
      </w:r>
      <w:r w:rsidR="00603573">
        <w:rPr>
          <w:sz w:val="24"/>
          <w:szCs w:val="24"/>
        </w:rPr>
        <w:t xml:space="preserve">provides that </w:t>
      </w:r>
      <w:r>
        <w:rPr>
          <w:sz w:val="24"/>
          <w:szCs w:val="24"/>
        </w:rPr>
        <w:t xml:space="preserve">the regulations </w:t>
      </w:r>
      <w:r w:rsidR="00603573">
        <w:rPr>
          <w:sz w:val="24"/>
          <w:szCs w:val="24"/>
        </w:rPr>
        <w:t>may</w:t>
      </w:r>
      <w:r>
        <w:rPr>
          <w:sz w:val="24"/>
          <w:szCs w:val="24"/>
        </w:rPr>
        <w:t xml:space="preserve"> </w:t>
      </w:r>
      <w:r w:rsidRPr="00385BE3">
        <w:rPr>
          <w:sz w:val="24"/>
          <w:szCs w:val="24"/>
        </w:rPr>
        <w:t>empower a person to provide, by order, for any matter that may be provided for by the regulations</w:t>
      </w:r>
      <w:r>
        <w:rPr>
          <w:sz w:val="24"/>
          <w:szCs w:val="24"/>
        </w:rPr>
        <w:t>.</w:t>
      </w:r>
    </w:p>
    <w:p w14:paraId="5423C8DD" w14:textId="0E0C3D8C" w:rsidR="00B72B1B" w:rsidRDefault="00B72B1B" w:rsidP="00356408">
      <w:pPr>
        <w:pStyle w:val="ESPara"/>
        <w:rPr>
          <w:sz w:val="24"/>
          <w:szCs w:val="24"/>
        </w:rPr>
      </w:pPr>
      <w:r>
        <w:rPr>
          <w:sz w:val="24"/>
          <w:szCs w:val="24"/>
        </w:rPr>
        <w:t xml:space="preserve">Subsection 43(1) of the </w:t>
      </w:r>
      <w:r w:rsidRPr="00B72B1B">
        <w:rPr>
          <w:i/>
          <w:sz w:val="24"/>
          <w:szCs w:val="24"/>
        </w:rPr>
        <w:t>Explosives Regulations 2024</w:t>
      </w:r>
      <w:r>
        <w:rPr>
          <w:sz w:val="24"/>
          <w:szCs w:val="24"/>
        </w:rPr>
        <w:t xml:space="preserve"> </w:t>
      </w:r>
      <w:r w:rsidR="00CB2760">
        <w:rPr>
          <w:sz w:val="24"/>
          <w:szCs w:val="24"/>
        </w:rPr>
        <w:t xml:space="preserve">(Regulations) </w:t>
      </w:r>
      <w:r>
        <w:rPr>
          <w:sz w:val="24"/>
          <w:szCs w:val="24"/>
        </w:rPr>
        <w:t>provides that t</w:t>
      </w:r>
      <w:r w:rsidRPr="00B72B1B">
        <w:rPr>
          <w:sz w:val="24"/>
          <w:szCs w:val="24"/>
        </w:rPr>
        <w:t>he Competent Authority must specify, by order, Commonwealth explosives, or kinds of Commonwealth explosives, for the purposes of this subsection</w:t>
      </w:r>
      <w:r>
        <w:rPr>
          <w:sz w:val="24"/>
          <w:szCs w:val="24"/>
        </w:rPr>
        <w:t>.</w:t>
      </w:r>
    </w:p>
    <w:p w14:paraId="60E91956" w14:textId="512B8315" w:rsidR="008D3593" w:rsidRPr="00822447" w:rsidRDefault="008D3593" w:rsidP="008D3593">
      <w:pPr>
        <w:pStyle w:val="ESHeading"/>
        <w:rPr>
          <w:sz w:val="24"/>
          <w:szCs w:val="24"/>
        </w:rPr>
      </w:pPr>
      <w:r>
        <w:rPr>
          <w:sz w:val="24"/>
          <w:szCs w:val="24"/>
        </w:rPr>
        <w:t>Background</w:t>
      </w:r>
    </w:p>
    <w:p w14:paraId="6831CC06" w14:textId="46E34AE1" w:rsidR="00B22D80" w:rsidRDefault="00B22D80" w:rsidP="008D3593">
      <w:pPr>
        <w:pStyle w:val="ESPara"/>
        <w:rPr>
          <w:sz w:val="24"/>
          <w:szCs w:val="24"/>
        </w:rPr>
      </w:pPr>
      <w:r>
        <w:rPr>
          <w:sz w:val="24"/>
          <w:szCs w:val="24"/>
        </w:rPr>
        <w:t>The Act authorises the</w:t>
      </w:r>
      <w:r w:rsidR="00CB2760">
        <w:rPr>
          <w:sz w:val="24"/>
          <w:szCs w:val="24"/>
        </w:rPr>
        <w:t xml:space="preserve"> Regulations</w:t>
      </w:r>
      <w:r>
        <w:rPr>
          <w:sz w:val="24"/>
          <w:szCs w:val="24"/>
        </w:rPr>
        <w:t>, which prov</w:t>
      </w:r>
      <w:r w:rsidR="00CB2760">
        <w:rPr>
          <w:sz w:val="24"/>
          <w:szCs w:val="24"/>
        </w:rPr>
        <w:t>ide</w:t>
      </w:r>
      <w:r w:rsidR="00B72B1B">
        <w:rPr>
          <w:sz w:val="24"/>
          <w:szCs w:val="24"/>
        </w:rPr>
        <w:t xml:space="preserve"> for handling of explosives</w:t>
      </w:r>
      <w:r>
        <w:rPr>
          <w:sz w:val="24"/>
          <w:szCs w:val="24"/>
        </w:rPr>
        <w:t xml:space="preserve"> and control of Commonwealth explosives areas.</w:t>
      </w:r>
    </w:p>
    <w:p w14:paraId="3D70FBCE" w14:textId="43AFF7C9" w:rsidR="00B72B1B" w:rsidRDefault="00CB2760" w:rsidP="008D3593">
      <w:pPr>
        <w:pStyle w:val="ESPara"/>
        <w:rPr>
          <w:sz w:val="24"/>
          <w:szCs w:val="24"/>
        </w:rPr>
      </w:pPr>
      <w:r>
        <w:rPr>
          <w:sz w:val="24"/>
          <w:szCs w:val="24"/>
        </w:rPr>
        <w:t>Section 5 of the</w:t>
      </w:r>
      <w:r w:rsidR="00B72B1B">
        <w:rPr>
          <w:sz w:val="24"/>
          <w:szCs w:val="24"/>
        </w:rPr>
        <w:t xml:space="preserve"> </w:t>
      </w:r>
      <w:r>
        <w:rPr>
          <w:sz w:val="24"/>
          <w:szCs w:val="24"/>
        </w:rPr>
        <w:t>Regulations</w:t>
      </w:r>
      <w:r w:rsidR="00B72B1B">
        <w:rPr>
          <w:sz w:val="24"/>
          <w:szCs w:val="24"/>
        </w:rPr>
        <w:t xml:space="preserve"> </w:t>
      </w:r>
      <w:r>
        <w:rPr>
          <w:sz w:val="24"/>
          <w:szCs w:val="24"/>
        </w:rPr>
        <w:t xml:space="preserve">defines that </w:t>
      </w:r>
      <w:r w:rsidRPr="00CB2760">
        <w:rPr>
          <w:b/>
          <w:i/>
          <w:sz w:val="24"/>
          <w:szCs w:val="24"/>
        </w:rPr>
        <w:t>authorised Commonwealth explosive</w:t>
      </w:r>
      <w:r>
        <w:rPr>
          <w:sz w:val="24"/>
          <w:szCs w:val="24"/>
        </w:rPr>
        <w:t xml:space="preserve"> means </w:t>
      </w:r>
      <w:r w:rsidRPr="00CB2760">
        <w:rPr>
          <w:sz w:val="24"/>
          <w:szCs w:val="24"/>
        </w:rPr>
        <w:t>a Commonwealth explosive, or a kind of Commonwealth explosive, specified in an order made under subsection 43(1)</w:t>
      </w:r>
      <w:r>
        <w:rPr>
          <w:sz w:val="24"/>
          <w:szCs w:val="24"/>
        </w:rPr>
        <w:t xml:space="preserve">. Section 5 of the Regulations also defines that </w:t>
      </w:r>
      <w:r w:rsidRPr="00CB2760">
        <w:rPr>
          <w:b/>
          <w:i/>
          <w:sz w:val="24"/>
          <w:szCs w:val="24"/>
        </w:rPr>
        <w:t>unauthorised Commonwealth explosive</w:t>
      </w:r>
      <w:r w:rsidRPr="00CB2760">
        <w:rPr>
          <w:sz w:val="24"/>
          <w:szCs w:val="24"/>
        </w:rPr>
        <w:t xml:space="preserve"> means a Commonwealth explosive, or a kind of Commonwealth explosive, that is not specified in an order made under subsection 43(1)</w:t>
      </w:r>
      <w:r>
        <w:rPr>
          <w:sz w:val="24"/>
          <w:szCs w:val="24"/>
        </w:rPr>
        <w:t>.</w:t>
      </w:r>
    </w:p>
    <w:p w14:paraId="3F93AEA8" w14:textId="77777777" w:rsidR="00556AEE" w:rsidRDefault="00CB2760" w:rsidP="008D3593">
      <w:pPr>
        <w:pStyle w:val="ESPara"/>
        <w:rPr>
          <w:sz w:val="24"/>
          <w:szCs w:val="24"/>
        </w:rPr>
      </w:pPr>
      <w:r>
        <w:rPr>
          <w:sz w:val="24"/>
          <w:szCs w:val="24"/>
        </w:rPr>
        <w:t>The specification of an explosive as an authorised C</w:t>
      </w:r>
      <w:r w:rsidR="00556AEE">
        <w:rPr>
          <w:sz w:val="24"/>
          <w:szCs w:val="24"/>
        </w:rPr>
        <w:t>ommonwealth explosive affects:</w:t>
      </w:r>
    </w:p>
    <w:p w14:paraId="4B26CED9" w14:textId="77777777" w:rsidR="00556AEE" w:rsidRDefault="00CB2760" w:rsidP="00556AEE">
      <w:pPr>
        <w:pStyle w:val="ESPara"/>
        <w:numPr>
          <w:ilvl w:val="0"/>
          <w:numId w:val="35"/>
        </w:numPr>
        <w:ind w:left="851" w:hanging="851"/>
        <w:rPr>
          <w:sz w:val="24"/>
          <w:szCs w:val="24"/>
        </w:rPr>
      </w:pPr>
      <w:r>
        <w:rPr>
          <w:sz w:val="24"/>
          <w:szCs w:val="24"/>
        </w:rPr>
        <w:t>whether and in what circumstances transport of that explosive is prohibited</w:t>
      </w:r>
      <w:r w:rsidR="00556AEE">
        <w:rPr>
          <w:sz w:val="24"/>
          <w:szCs w:val="24"/>
        </w:rPr>
        <w:t>;</w:t>
      </w:r>
    </w:p>
    <w:p w14:paraId="5287A818" w14:textId="77777777" w:rsidR="00556AEE" w:rsidRDefault="00CB2760" w:rsidP="00556AEE">
      <w:pPr>
        <w:pStyle w:val="ESPara"/>
        <w:numPr>
          <w:ilvl w:val="0"/>
          <w:numId w:val="35"/>
        </w:numPr>
        <w:ind w:left="851" w:hanging="851"/>
        <w:rPr>
          <w:sz w:val="24"/>
          <w:szCs w:val="24"/>
        </w:rPr>
      </w:pPr>
      <w:r>
        <w:rPr>
          <w:sz w:val="24"/>
          <w:szCs w:val="24"/>
        </w:rPr>
        <w:t xml:space="preserve">whether requirements of the </w:t>
      </w:r>
      <w:r w:rsidRPr="00516D45">
        <w:rPr>
          <w:sz w:val="24"/>
          <w:szCs w:val="24"/>
        </w:rPr>
        <w:t xml:space="preserve">third edition of the </w:t>
      </w:r>
      <w:r w:rsidRPr="00516D45">
        <w:rPr>
          <w:i/>
          <w:sz w:val="24"/>
          <w:szCs w:val="24"/>
        </w:rPr>
        <w:t>Australian Code for the Transport of Explosives by Road and Rail</w:t>
      </w:r>
      <w:r w:rsidRPr="00516D45">
        <w:rPr>
          <w:sz w:val="24"/>
          <w:szCs w:val="24"/>
        </w:rPr>
        <w:t xml:space="preserve"> endorsed by the Workplace Relations Ministers’ Council on 3</w:t>
      </w:r>
      <w:r>
        <w:rPr>
          <w:sz w:val="24"/>
          <w:szCs w:val="24"/>
        </w:rPr>
        <w:t> </w:t>
      </w:r>
      <w:r w:rsidRPr="00516D45">
        <w:rPr>
          <w:sz w:val="24"/>
          <w:szCs w:val="24"/>
        </w:rPr>
        <w:t>April</w:t>
      </w:r>
      <w:r>
        <w:rPr>
          <w:sz w:val="24"/>
          <w:szCs w:val="24"/>
        </w:rPr>
        <w:t> </w:t>
      </w:r>
      <w:r w:rsidRPr="00516D45">
        <w:rPr>
          <w:sz w:val="24"/>
          <w:szCs w:val="24"/>
        </w:rPr>
        <w:t>2009</w:t>
      </w:r>
      <w:r w:rsidRPr="005F1DFA">
        <w:rPr>
          <w:sz w:val="24"/>
          <w:szCs w:val="24"/>
        </w:rPr>
        <w:t xml:space="preserve"> (the AE Code)</w:t>
      </w:r>
      <w:r>
        <w:rPr>
          <w:sz w:val="24"/>
          <w:szCs w:val="24"/>
        </w:rPr>
        <w:t xml:space="preserve"> </w:t>
      </w:r>
      <w:r w:rsidR="00556AEE">
        <w:rPr>
          <w:sz w:val="24"/>
          <w:szCs w:val="24"/>
        </w:rPr>
        <w:t>apply;</w:t>
      </w:r>
    </w:p>
    <w:p w14:paraId="5C5A2D42" w14:textId="77777777" w:rsidR="00556AEE" w:rsidRDefault="00CB2760" w:rsidP="00556AEE">
      <w:pPr>
        <w:pStyle w:val="ESPara"/>
        <w:numPr>
          <w:ilvl w:val="0"/>
          <w:numId w:val="35"/>
        </w:numPr>
        <w:ind w:left="851" w:hanging="851"/>
        <w:rPr>
          <w:sz w:val="24"/>
          <w:szCs w:val="24"/>
        </w:rPr>
      </w:pPr>
      <w:r>
        <w:rPr>
          <w:sz w:val="24"/>
          <w:szCs w:val="24"/>
        </w:rPr>
        <w:t>whether offence provisions apply to certain conduct involving the explosive</w:t>
      </w:r>
      <w:r w:rsidR="00556AEE">
        <w:rPr>
          <w:sz w:val="24"/>
          <w:szCs w:val="24"/>
        </w:rPr>
        <w:t>;</w:t>
      </w:r>
      <w:r>
        <w:rPr>
          <w:sz w:val="24"/>
          <w:szCs w:val="24"/>
        </w:rPr>
        <w:t xml:space="preserve"> </w:t>
      </w:r>
      <w:r w:rsidR="00556AEE">
        <w:rPr>
          <w:sz w:val="24"/>
          <w:szCs w:val="24"/>
        </w:rPr>
        <w:t>and</w:t>
      </w:r>
    </w:p>
    <w:p w14:paraId="50C1B0DC" w14:textId="326B604D" w:rsidR="00CB2760" w:rsidRDefault="00CB2760" w:rsidP="00556AEE">
      <w:pPr>
        <w:pStyle w:val="ESPara"/>
        <w:numPr>
          <w:ilvl w:val="0"/>
          <w:numId w:val="35"/>
        </w:numPr>
        <w:ind w:left="851" w:hanging="851"/>
        <w:rPr>
          <w:sz w:val="24"/>
          <w:szCs w:val="24"/>
        </w:rPr>
      </w:pPr>
      <w:r>
        <w:rPr>
          <w:sz w:val="24"/>
          <w:szCs w:val="24"/>
        </w:rPr>
        <w:t>whether a person who transports that explosive must comply with the requirements of an approved security plan.</w:t>
      </w:r>
    </w:p>
    <w:p w14:paraId="3D24E323" w14:textId="544EBAE8" w:rsidR="00EA12C9" w:rsidRPr="00822447" w:rsidRDefault="00BD598E" w:rsidP="00100DFC">
      <w:pPr>
        <w:pStyle w:val="ESHeading"/>
        <w:rPr>
          <w:sz w:val="24"/>
          <w:szCs w:val="24"/>
        </w:rPr>
      </w:pPr>
      <w:r w:rsidRPr="00822447">
        <w:rPr>
          <w:sz w:val="24"/>
          <w:szCs w:val="24"/>
        </w:rPr>
        <w:lastRenderedPageBreak/>
        <w:t>Purpose</w:t>
      </w:r>
      <w:r w:rsidR="008D3593">
        <w:rPr>
          <w:sz w:val="24"/>
          <w:szCs w:val="24"/>
        </w:rPr>
        <w:t xml:space="preserve"> and effect</w:t>
      </w:r>
    </w:p>
    <w:p w14:paraId="120E2F24" w14:textId="1E8FE833" w:rsidR="00B22D80" w:rsidRDefault="00C20C7C" w:rsidP="00C56A7D">
      <w:pPr>
        <w:pStyle w:val="ESPara"/>
        <w:rPr>
          <w:sz w:val="24"/>
          <w:szCs w:val="24"/>
        </w:rPr>
      </w:pPr>
      <w:r>
        <w:rPr>
          <w:sz w:val="24"/>
          <w:szCs w:val="24"/>
        </w:rPr>
        <w:t>The purpose of the</w:t>
      </w:r>
      <w:r w:rsidR="00924522">
        <w:rPr>
          <w:sz w:val="24"/>
          <w:szCs w:val="24"/>
        </w:rPr>
        <w:t xml:space="preserve"> </w:t>
      </w:r>
      <w:r w:rsidR="00CB2760" w:rsidRPr="00CB2760">
        <w:rPr>
          <w:i/>
          <w:sz w:val="24"/>
          <w:szCs w:val="24"/>
        </w:rPr>
        <w:t xml:space="preserve">Explosives (Authorised Commonwealth Explosives) Order 2024 </w:t>
      </w:r>
      <w:r w:rsidR="00CB2760">
        <w:rPr>
          <w:sz w:val="24"/>
          <w:szCs w:val="24"/>
        </w:rPr>
        <w:t xml:space="preserve">is to specify, by order, </w:t>
      </w:r>
      <w:r w:rsidR="00CB2760" w:rsidRPr="00CB2760">
        <w:rPr>
          <w:sz w:val="24"/>
          <w:szCs w:val="24"/>
        </w:rPr>
        <w:t>Commonwealth explosives, or kinds of Commonwealth explosives, for the purposes of subsection</w:t>
      </w:r>
      <w:r w:rsidR="00CB2760">
        <w:rPr>
          <w:sz w:val="24"/>
          <w:szCs w:val="24"/>
        </w:rPr>
        <w:t xml:space="preserve"> 43(1) of the Regulations</w:t>
      </w:r>
      <w:r>
        <w:rPr>
          <w:sz w:val="24"/>
          <w:szCs w:val="24"/>
        </w:rPr>
        <w:t>.</w:t>
      </w:r>
    </w:p>
    <w:p w14:paraId="5C1BA17B" w14:textId="5FF6B47A" w:rsidR="00E03DCC" w:rsidRDefault="008D3593" w:rsidP="002D167E">
      <w:pPr>
        <w:pStyle w:val="ESPara"/>
        <w:rPr>
          <w:sz w:val="24"/>
          <w:szCs w:val="24"/>
        </w:rPr>
      </w:pPr>
      <w:r>
        <w:rPr>
          <w:sz w:val="24"/>
          <w:szCs w:val="24"/>
        </w:rPr>
        <w:t xml:space="preserve">Details of the </w:t>
      </w:r>
      <w:r w:rsidR="00B72B1B">
        <w:rPr>
          <w:sz w:val="24"/>
          <w:szCs w:val="24"/>
        </w:rPr>
        <w:t>instrument</w:t>
      </w:r>
      <w:r w:rsidR="007E4691" w:rsidRPr="00822447">
        <w:rPr>
          <w:sz w:val="24"/>
          <w:szCs w:val="24"/>
        </w:rPr>
        <w:t xml:space="preserve"> are set out in </w:t>
      </w:r>
      <w:r w:rsidR="007E4691" w:rsidRPr="00FF43C1">
        <w:rPr>
          <w:sz w:val="24"/>
          <w:szCs w:val="24"/>
          <w:u w:val="single"/>
        </w:rPr>
        <w:t>Attachment</w:t>
      </w:r>
      <w:r w:rsidR="00FF43C1">
        <w:rPr>
          <w:sz w:val="24"/>
          <w:szCs w:val="24"/>
          <w:u w:val="single"/>
        </w:rPr>
        <w:t> </w:t>
      </w:r>
      <w:r w:rsidR="00735916" w:rsidRPr="00FF43C1">
        <w:rPr>
          <w:sz w:val="24"/>
          <w:szCs w:val="24"/>
          <w:u w:val="single"/>
        </w:rPr>
        <w:t>A</w:t>
      </w:r>
      <w:r w:rsidR="00783BFA" w:rsidRPr="00822447">
        <w:rPr>
          <w:sz w:val="24"/>
          <w:szCs w:val="24"/>
        </w:rPr>
        <w:t>.</w:t>
      </w:r>
    </w:p>
    <w:p w14:paraId="2B0EC320" w14:textId="1B031746" w:rsidR="00233597" w:rsidRDefault="00233597" w:rsidP="00233597">
      <w:pPr>
        <w:pStyle w:val="ESHeading"/>
        <w:rPr>
          <w:sz w:val="24"/>
          <w:szCs w:val="24"/>
        </w:rPr>
      </w:pPr>
      <w:r w:rsidRPr="00822447">
        <w:rPr>
          <w:sz w:val="24"/>
          <w:szCs w:val="24"/>
        </w:rPr>
        <w:t>Consultation</w:t>
      </w:r>
    </w:p>
    <w:p w14:paraId="60A099C4" w14:textId="58318FD8" w:rsidR="00226739" w:rsidRPr="00226739" w:rsidRDefault="00226739" w:rsidP="00233597">
      <w:pPr>
        <w:pStyle w:val="ESHeading"/>
        <w:rPr>
          <w:b w:val="0"/>
          <w:i w:val="0"/>
          <w:sz w:val="24"/>
          <w:szCs w:val="24"/>
          <w:u w:val="single"/>
        </w:rPr>
      </w:pPr>
      <w:r w:rsidRPr="00226739">
        <w:rPr>
          <w:b w:val="0"/>
          <w:i w:val="0"/>
          <w:sz w:val="24"/>
          <w:szCs w:val="24"/>
        </w:rPr>
        <w:t>Cons</w:t>
      </w:r>
      <w:r>
        <w:rPr>
          <w:b w:val="0"/>
          <w:i w:val="0"/>
          <w:sz w:val="24"/>
          <w:szCs w:val="24"/>
        </w:rPr>
        <w:t xml:space="preserve">ultation on the making of the order was not undertaken as there were no substantive changes made to the content of the list of authorised Commonwealth explosives that was </w:t>
      </w:r>
      <w:r w:rsidR="00D804D2">
        <w:rPr>
          <w:b w:val="0"/>
          <w:i w:val="0"/>
          <w:sz w:val="24"/>
          <w:szCs w:val="24"/>
        </w:rPr>
        <w:t>applied</w:t>
      </w:r>
      <w:bookmarkStart w:id="0" w:name="_GoBack"/>
      <w:bookmarkEnd w:id="0"/>
      <w:r>
        <w:rPr>
          <w:b w:val="0"/>
          <w:i w:val="0"/>
          <w:sz w:val="24"/>
          <w:szCs w:val="24"/>
        </w:rPr>
        <w:t xml:space="preserve"> prior to the repeal of the </w:t>
      </w:r>
      <w:r w:rsidRPr="00226739">
        <w:rPr>
          <w:b w:val="0"/>
          <w:sz w:val="24"/>
          <w:szCs w:val="24"/>
        </w:rPr>
        <w:t>Explosives Transport Regulations 2002</w:t>
      </w:r>
      <w:r>
        <w:rPr>
          <w:b w:val="0"/>
          <w:sz w:val="24"/>
          <w:szCs w:val="24"/>
        </w:rPr>
        <w:t>.</w:t>
      </w:r>
      <w:r>
        <w:rPr>
          <w:b w:val="0"/>
          <w:i w:val="0"/>
          <w:sz w:val="24"/>
          <w:szCs w:val="24"/>
        </w:rPr>
        <w:t xml:space="preserve"> The list is primarily relevant to the transport of Commonwealth explosives by Defence. It does not apply to the transport of non-Commonwealth explosives meaning that consultation with wider industry bodies would not be appropriate.</w:t>
      </w:r>
    </w:p>
    <w:p w14:paraId="2B6CAA82" w14:textId="513A9764" w:rsidR="008D3593" w:rsidRDefault="008D3593" w:rsidP="008D3593">
      <w:pPr>
        <w:pStyle w:val="ESHeading"/>
        <w:rPr>
          <w:sz w:val="24"/>
          <w:szCs w:val="24"/>
        </w:rPr>
      </w:pPr>
      <w:r>
        <w:rPr>
          <w:sz w:val="24"/>
          <w:szCs w:val="24"/>
        </w:rPr>
        <w:t>Commencement</w:t>
      </w:r>
    </w:p>
    <w:p w14:paraId="2F53BEBB" w14:textId="7EE608B0" w:rsidR="00B57539" w:rsidRDefault="008D3593" w:rsidP="00C56A7D">
      <w:pPr>
        <w:pStyle w:val="ESPara"/>
        <w:rPr>
          <w:sz w:val="24"/>
          <w:szCs w:val="24"/>
        </w:rPr>
      </w:pPr>
      <w:r w:rsidRPr="00822447">
        <w:rPr>
          <w:sz w:val="24"/>
          <w:szCs w:val="24"/>
        </w:rPr>
        <w:t xml:space="preserve">The </w:t>
      </w:r>
      <w:r w:rsidR="00B72B1B">
        <w:rPr>
          <w:sz w:val="24"/>
          <w:szCs w:val="24"/>
        </w:rPr>
        <w:t>instrument</w:t>
      </w:r>
      <w:r w:rsidR="00B72B1B" w:rsidRPr="00C73FFA">
        <w:rPr>
          <w:sz w:val="24"/>
          <w:szCs w:val="24"/>
        </w:rPr>
        <w:t xml:space="preserve"> </w:t>
      </w:r>
      <w:r w:rsidR="00B72B1B">
        <w:rPr>
          <w:sz w:val="24"/>
          <w:szCs w:val="24"/>
        </w:rPr>
        <w:t>commences on t</w:t>
      </w:r>
      <w:r w:rsidR="00B72B1B" w:rsidRPr="00FB0FCC">
        <w:rPr>
          <w:sz w:val="24"/>
          <w:szCs w:val="24"/>
        </w:rPr>
        <w:t>he day af</w:t>
      </w:r>
      <w:r w:rsidR="00B72B1B">
        <w:rPr>
          <w:sz w:val="24"/>
          <w:szCs w:val="24"/>
        </w:rPr>
        <w:t xml:space="preserve">ter the </w:t>
      </w:r>
      <w:r w:rsidR="00B72B1B" w:rsidRPr="00FB0FCC">
        <w:rPr>
          <w:sz w:val="24"/>
          <w:szCs w:val="24"/>
        </w:rPr>
        <w:t>instrument is registered</w:t>
      </w:r>
      <w:r w:rsidR="00B72B1B">
        <w:rPr>
          <w:sz w:val="24"/>
          <w:szCs w:val="24"/>
        </w:rPr>
        <w:t xml:space="preserve"> </w:t>
      </w:r>
      <w:r w:rsidR="00B72B1B" w:rsidRPr="00C73FFA">
        <w:rPr>
          <w:sz w:val="24"/>
          <w:szCs w:val="24"/>
        </w:rPr>
        <w:t>on the Federal Register of Legislation</w:t>
      </w:r>
      <w:r w:rsidR="00B57539">
        <w:rPr>
          <w:sz w:val="24"/>
          <w:szCs w:val="24"/>
        </w:rPr>
        <w:t>.</w:t>
      </w:r>
    </w:p>
    <w:p w14:paraId="406E5495" w14:textId="77777777" w:rsidR="00AA4557" w:rsidRPr="00822447" w:rsidRDefault="009B14AE" w:rsidP="00100DFC">
      <w:pPr>
        <w:pStyle w:val="ESHeading"/>
        <w:rPr>
          <w:sz w:val="24"/>
          <w:szCs w:val="24"/>
        </w:rPr>
      </w:pPr>
      <w:r w:rsidRPr="00822447">
        <w:rPr>
          <w:sz w:val="24"/>
          <w:szCs w:val="24"/>
        </w:rPr>
        <w:t>Parliamentary scrutiny</w:t>
      </w:r>
    </w:p>
    <w:p w14:paraId="73A04512" w14:textId="52BE8512" w:rsidR="00B57539" w:rsidRPr="00822447" w:rsidRDefault="00B57539" w:rsidP="00B57539">
      <w:pPr>
        <w:pStyle w:val="ESPara"/>
        <w:rPr>
          <w:sz w:val="24"/>
          <w:szCs w:val="24"/>
        </w:rPr>
      </w:pPr>
      <w:r>
        <w:rPr>
          <w:sz w:val="24"/>
          <w:szCs w:val="24"/>
        </w:rPr>
        <w:t xml:space="preserve">The </w:t>
      </w:r>
      <w:r w:rsidR="00B72B1B">
        <w:rPr>
          <w:sz w:val="24"/>
          <w:szCs w:val="24"/>
        </w:rPr>
        <w:t>instrument is</w:t>
      </w:r>
      <w:r>
        <w:rPr>
          <w:sz w:val="24"/>
          <w:szCs w:val="24"/>
        </w:rPr>
        <w:t xml:space="preserve"> </w:t>
      </w:r>
      <w:r w:rsidRPr="00822447">
        <w:rPr>
          <w:sz w:val="24"/>
          <w:szCs w:val="24"/>
        </w:rPr>
        <w:t xml:space="preserve">a legislative instrument for the purposes of the </w:t>
      </w:r>
      <w:r w:rsidRPr="00822447">
        <w:rPr>
          <w:i/>
          <w:sz w:val="24"/>
          <w:szCs w:val="24"/>
        </w:rPr>
        <w:t>Legislation Act</w:t>
      </w:r>
      <w:r w:rsidR="00FF43C1">
        <w:rPr>
          <w:i/>
          <w:sz w:val="24"/>
          <w:szCs w:val="24"/>
        </w:rPr>
        <w:t> </w:t>
      </w:r>
      <w:r w:rsidRPr="00822447">
        <w:rPr>
          <w:i/>
          <w:sz w:val="24"/>
          <w:szCs w:val="24"/>
        </w:rPr>
        <w:t>2003</w:t>
      </w:r>
      <w:r>
        <w:rPr>
          <w:sz w:val="24"/>
          <w:szCs w:val="24"/>
        </w:rPr>
        <w:t>.</w:t>
      </w:r>
    </w:p>
    <w:p w14:paraId="63AFC0CD" w14:textId="46F0D177" w:rsidR="00C56A7D" w:rsidRPr="00822447" w:rsidRDefault="007D32D3" w:rsidP="00316E46">
      <w:pPr>
        <w:pStyle w:val="ESPara"/>
        <w:rPr>
          <w:sz w:val="24"/>
          <w:szCs w:val="24"/>
        </w:rPr>
      </w:pPr>
      <w:r w:rsidRPr="00822447">
        <w:rPr>
          <w:sz w:val="24"/>
          <w:szCs w:val="24"/>
        </w:rPr>
        <w:t xml:space="preserve">The </w:t>
      </w:r>
      <w:r w:rsidR="00B72B1B">
        <w:rPr>
          <w:sz w:val="24"/>
          <w:szCs w:val="24"/>
        </w:rPr>
        <w:t>instrument is</w:t>
      </w:r>
      <w:r w:rsidR="00206DDE">
        <w:rPr>
          <w:sz w:val="24"/>
          <w:szCs w:val="24"/>
        </w:rPr>
        <w:t xml:space="preserve"> </w:t>
      </w:r>
      <w:r w:rsidRPr="00822447">
        <w:rPr>
          <w:sz w:val="24"/>
          <w:szCs w:val="24"/>
        </w:rPr>
        <w:t>subject to disallowance under sec</w:t>
      </w:r>
      <w:r w:rsidR="00206DDE">
        <w:rPr>
          <w:sz w:val="24"/>
          <w:szCs w:val="24"/>
        </w:rPr>
        <w:t xml:space="preserve">tion 42 of the </w:t>
      </w:r>
      <w:r w:rsidR="00B57539" w:rsidRPr="00822447">
        <w:rPr>
          <w:i/>
          <w:sz w:val="24"/>
          <w:szCs w:val="24"/>
        </w:rPr>
        <w:t>Legislation Act</w:t>
      </w:r>
      <w:r w:rsidR="00FF43C1">
        <w:rPr>
          <w:i/>
          <w:sz w:val="24"/>
          <w:szCs w:val="24"/>
        </w:rPr>
        <w:t> </w:t>
      </w:r>
      <w:r w:rsidR="00B57539" w:rsidRPr="00822447">
        <w:rPr>
          <w:i/>
          <w:sz w:val="24"/>
          <w:szCs w:val="24"/>
        </w:rPr>
        <w:t>2003</w:t>
      </w:r>
      <w:r w:rsidR="00206DDE">
        <w:rPr>
          <w:sz w:val="24"/>
          <w:szCs w:val="24"/>
        </w:rPr>
        <w:t>.</w:t>
      </w:r>
    </w:p>
    <w:p w14:paraId="68846F28" w14:textId="22D0EDAE" w:rsidR="007D32D3" w:rsidRDefault="00FF43C1" w:rsidP="00316E46">
      <w:pPr>
        <w:pStyle w:val="ESPara"/>
        <w:rPr>
          <w:sz w:val="24"/>
          <w:szCs w:val="24"/>
        </w:rPr>
      </w:pPr>
      <w:r w:rsidRPr="00FC5F91">
        <w:rPr>
          <w:rFonts w:eastAsia="Times New Roman"/>
          <w:color w:val="000000"/>
          <w:sz w:val="24"/>
          <w:szCs w:val="24"/>
          <w:lang w:eastAsia="en-AU"/>
        </w:rPr>
        <w:t xml:space="preserve">The </w:t>
      </w:r>
      <w:r w:rsidR="00B72B1B">
        <w:rPr>
          <w:sz w:val="24"/>
          <w:szCs w:val="24"/>
        </w:rPr>
        <w:t>instrument is</w:t>
      </w:r>
      <w:r w:rsidRPr="00FC5F91">
        <w:rPr>
          <w:rFonts w:eastAsia="Times New Roman"/>
          <w:color w:val="000000"/>
          <w:sz w:val="24"/>
          <w:szCs w:val="24"/>
          <w:lang w:eastAsia="en-AU"/>
        </w:rPr>
        <w:t xml:space="preserve"> compatible with the human rights and freedoms recognised or declared under section</w:t>
      </w:r>
      <w:r w:rsidR="009E5CF2">
        <w:rPr>
          <w:rFonts w:eastAsia="Times New Roman"/>
          <w:color w:val="000000"/>
          <w:sz w:val="24"/>
          <w:szCs w:val="24"/>
          <w:lang w:eastAsia="en-AU"/>
        </w:rPr>
        <w:t> </w:t>
      </w:r>
      <w:r w:rsidRPr="00FC5F91">
        <w:rPr>
          <w:rFonts w:eastAsia="Times New Roman"/>
          <w:color w:val="000000"/>
          <w:sz w:val="24"/>
          <w:szCs w:val="24"/>
          <w:lang w:eastAsia="en-AU"/>
        </w:rPr>
        <w:t xml:space="preserve">3 of the </w:t>
      </w:r>
      <w:r w:rsidRPr="00FC5F91">
        <w:rPr>
          <w:rFonts w:eastAsia="Times New Roman"/>
          <w:i/>
          <w:color w:val="000000"/>
          <w:sz w:val="24"/>
          <w:szCs w:val="24"/>
          <w:lang w:eastAsia="en-AU"/>
        </w:rPr>
        <w:t xml:space="preserve">Human Rights (Parliamentary Scrutiny) </w:t>
      </w:r>
      <w:r w:rsidRPr="00FF43C1">
        <w:rPr>
          <w:rFonts w:eastAsia="Times New Roman"/>
          <w:i/>
          <w:color w:val="000000"/>
          <w:sz w:val="24"/>
          <w:szCs w:val="24"/>
          <w:lang w:eastAsia="en-AU"/>
        </w:rPr>
        <w:t>Act</w:t>
      </w:r>
      <w:r>
        <w:rPr>
          <w:rFonts w:eastAsia="Times New Roman"/>
          <w:i/>
          <w:color w:val="000000"/>
          <w:sz w:val="24"/>
          <w:szCs w:val="24"/>
          <w:lang w:eastAsia="en-AU"/>
        </w:rPr>
        <w:t> </w:t>
      </w:r>
      <w:r w:rsidRPr="00FF43C1">
        <w:rPr>
          <w:rFonts w:eastAsia="Times New Roman"/>
          <w:i/>
          <w:color w:val="000000"/>
          <w:sz w:val="24"/>
          <w:szCs w:val="24"/>
          <w:lang w:eastAsia="en-AU"/>
        </w:rPr>
        <w:t>2011</w:t>
      </w:r>
      <w:r w:rsidRPr="00FC5F91">
        <w:rPr>
          <w:rFonts w:eastAsia="Times New Roman"/>
          <w:color w:val="000000"/>
          <w:sz w:val="24"/>
          <w:szCs w:val="24"/>
          <w:lang w:eastAsia="en-AU"/>
        </w:rPr>
        <w:t xml:space="preserve">. A Statement of Compatibility with Human Rights is at </w:t>
      </w:r>
      <w:r w:rsidRPr="00FC5F91">
        <w:rPr>
          <w:rFonts w:eastAsia="Times New Roman"/>
          <w:color w:val="000000"/>
          <w:sz w:val="24"/>
          <w:szCs w:val="24"/>
          <w:u w:val="single"/>
          <w:lang w:eastAsia="en-AU"/>
        </w:rPr>
        <w:t>Attachment</w:t>
      </w:r>
      <w:r>
        <w:rPr>
          <w:rFonts w:eastAsia="Times New Roman"/>
          <w:color w:val="000000"/>
          <w:sz w:val="24"/>
          <w:szCs w:val="24"/>
          <w:u w:val="single"/>
          <w:lang w:eastAsia="en-AU"/>
        </w:rPr>
        <w:t> </w:t>
      </w:r>
      <w:r w:rsidRPr="00FC5F91">
        <w:rPr>
          <w:rFonts w:eastAsia="Times New Roman"/>
          <w:color w:val="000000"/>
          <w:sz w:val="24"/>
          <w:szCs w:val="24"/>
          <w:u w:val="single"/>
          <w:lang w:eastAsia="en-AU"/>
        </w:rPr>
        <w:t>B</w:t>
      </w:r>
      <w:r w:rsidR="00426168" w:rsidRPr="00822447">
        <w:rPr>
          <w:sz w:val="24"/>
          <w:szCs w:val="24"/>
        </w:rPr>
        <w:t>.</w:t>
      </w:r>
    </w:p>
    <w:p w14:paraId="3BA946F2" w14:textId="7884E87C" w:rsidR="00452948" w:rsidRPr="00822447" w:rsidRDefault="00452948" w:rsidP="00316E46">
      <w:pPr>
        <w:pStyle w:val="ESPara"/>
        <w:jc w:val="center"/>
        <w:rPr>
          <w:sz w:val="24"/>
          <w:szCs w:val="24"/>
        </w:rPr>
      </w:pPr>
      <w:r w:rsidRPr="00822447">
        <w:rPr>
          <w:sz w:val="24"/>
          <w:szCs w:val="24"/>
        </w:rPr>
        <w:br w:type="page"/>
      </w:r>
    </w:p>
    <w:p w14:paraId="68137D97" w14:textId="6F19F62B" w:rsidR="004F5CE4" w:rsidRPr="00822447" w:rsidRDefault="007E4691" w:rsidP="007852C5">
      <w:pPr>
        <w:pStyle w:val="ESAttAttName"/>
        <w:pageBreakBefore/>
        <w:rPr>
          <w:sz w:val="24"/>
          <w:szCs w:val="24"/>
          <w:u w:val="none"/>
        </w:rPr>
      </w:pPr>
      <w:r w:rsidRPr="00822447">
        <w:rPr>
          <w:sz w:val="24"/>
          <w:szCs w:val="24"/>
          <w:u w:val="none"/>
        </w:rPr>
        <w:lastRenderedPageBreak/>
        <w:t>Attachment</w:t>
      </w:r>
      <w:r w:rsidR="009E5CF2">
        <w:rPr>
          <w:sz w:val="24"/>
          <w:szCs w:val="24"/>
          <w:u w:val="none"/>
        </w:rPr>
        <w:t> </w:t>
      </w:r>
      <w:r w:rsidR="00564A6D" w:rsidRPr="00822447">
        <w:rPr>
          <w:sz w:val="24"/>
          <w:szCs w:val="24"/>
          <w:u w:val="none"/>
        </w:rPr>
        <w:t>A</w:t>
      </w:r>
    </w:p>
    <w:p w14:paraId="4EC5F53A" w14:textId="0BD42160" w:rsidR="007E4691" w:rsidRPr="00D319D8" w:rsidRDefault="007E4691" w:rsidP="00100DFC">
      <w:pPr>
        <w:pStyle w:val="ESAttHeading"/>
        <w:rPr>
          <w:sz w:val="24"/>
          <w:szCs w:val="24"/>
          <w:u w:val="single"/>
        </w:rPr>
      </w:pPr>
      <w:r w:rsidRPr="00D319D8">
        <w:rPr>
          <w:sz w:val="24"/>
          <w:szCs w:val="24"/>
          <w:u w:val="single"/>
        </w:rPr>
        <w:t>Details of the</w:t>
      </w:r>
      <w:r w:rsidR="00206DDE" w:rsidRPr="00D319D8">
        <w:rPr>
          <w:sz w:val="24"/>
          <w:szCs w:val="24"/>
          <w:u w:val="single"/>
        </w:rPr>
        <w:t xml:space="preserve"> </w:t>
      </w:r>
      <w:r w:rsidR="00652C0B" w:rsidRPr="00652C0B">
        <w:rPr>
          <w:i/>
          <w:sz w:val="24"/>
          <w:szCs w:val="24"/>
          <w:u w:val="single"/>
        </w:rPr>
        <w:t>Explosives (Authorised Commonwealth Explosives) Order 2024</w:t>
      </w:r>
    </w:p>
    <w:p w14:paraId="1B5D9714" w14:textId="5B4B39FC" w:rsidR="007E4691" w:rsidRPr="000A7ACD" w:rsidRDefault="007E4691" w:rsidP="00100DFC">
      <w:pPr>
        <w:pStyle w:val="ESAttHeading"/>
        <w:rPr>
          <w:b w:val="0"/>
          <w:sz w:val="24"/>
          <w:szCs w:val="24"/>
          <w:u w:val="single"/>
        </w:rPr>
      </w:pPr>
      <w:r w:rsidRPr="000A7ACD">
        <w:rPr>
          <w:b w:val="0"/>
          <w:sz w:val="24"/>
          <w:szCs w:val="24"/>
          <w:u w:val="single"/>
        </w:rPr>
        <w:t>Section</w:t>
      </w:r>
      <w:r w:rsidR="00C95458">
        <w:rPr>
          <w:b w:val="0"/>
          <w:sz w:val="24"/>
          <w:szCs w:val="24"/>
          <w:u w:val="single"/>
        </w:rPr>
        <w:t> </w:t>
      </w:r>
      <w:r w:rsidR="00B13DA5">
        <w:rPr>
          <w:b w:val="0"/>
          <w:sz w:val="24"/>
          <w:szCs w:val="24"/>
          <w:u w:val="single"/>
        </w:rPr>
        <w:t xml:space="preserve">1 – </w:t>
      </w:r>
      <w:r w:rsidRPr="000A7ACD">
        <w:rPr>
          <w:b w:val="0"/>
          <w:sz w:val="24"/>
          <w:szCs w:val="24"/>
          <w:u w:val="single"/>
        </w:rPr>
        <w:t>Name</w:t>
      </w:r>
    </w:p>
    <w:p w14:paraId="5CDA0859" w14:textId="0F839C48" w:rsidR="006A2AD4" w:rsidRPr="00822447" w:rsidRDefault="00FB0FCC" w:rsidP="00356408">
      <w:pPr>
        <w:pStyle w:val="ESAttNormal"/>
        <w:rPr>
          <w:sz w:val="24"/>
          <w:szCs w:val="24"/>
        </w:rPr>
      </w:pPr>
      <w:r>
        <w:rPr>
          <w:sz w:val="24"/>
          <w:szCs w:val="24"/>
        </w:rPr>
        <w:t>This section</w:t>
      </w:r>
      <w:r w:rsidR="006A2AD4">
        <w:rPr>
          <w:sz w:val="24"/>
          <w:szCs w:val="24"/>
        </w:rPr>
        <w:t xml:space="preserve"> provides that</w:t>
      </w:r>
      <w:r>
        <w:rPr>
          <w:sz w:val="24"/>
          <w:szCs w:val="24"/>
        </w:rPr>
        <w:t xml:space="preserve"> the </w:t>
      </w:r>
      <w:r w:rsidR="00E30F76">
        <w:rPr>
          <w:sz w:val="24"/>
          <w:szCs w:val="24"/>
        </w:rPr>
        <w:t>name</w:t>
      </w:r>
      <w:r>
        <w:rPr>
          <w:sz w:val="24"/>
          <w:szCs w:val="24"/>
        </w:rPr>
        <w:t xml:space="preserve"> of the </w:t>
      </w:r>
      <w:r w:rsidR="00DB7BAC">
        <w:rPr>
          <w:sz w:val="24"/>
          <w:szCs w:val="24"/>
        </w:rPr>
        <w:t>instrument</w:t>
      </w:r>
      <w:r>
        <w:rPr>
          <w:sz w:val="24"/>
          <w:szCs w:val="24"/>
        </w:rPr>
        <w:t xml:space="preserve"> is the </w:t>
      </w:r>
      <w:r w:rsidR="00652C0B" w:rsidRPr="00652C0B">
        <w:rPr>
          <w:i/>
          <w:sz w:val="24"/>
          <w:szCs w:val="24"/>
        </w:rPr>
        <w:t>Explosives (Authorised Commonwealth Explosives) Order 2024</w:t>
      </w:r>
      <w:r>
        <w:rPr>
          <w:sz w:val="24"/>
          <w:szCs w:val="24"/>
        </w:rPr>
        <w:t>.</w:t>
      </w:r>
    </w:p>
    <w:p w14:paraId="01650D87" w14:textId="6348B3B5" w:rsidR="007E4691" w:rsidRPr="000A7ACD" w:rsidRDefault="007E4691" w:rsidP="00100DFC">
      <w:pPr>
        <w:pStyle w:val="ESAttHeading"/>
        <w:rPr>
          <w:b w:val="0"/>
          <w:sz w:val="24"/>
          <w:szCs w:val="24"/>
          <w:u w:val="single"/>
        </w:rPr>
      </w:pPr>
      <w:r w:rsidRPr="000A7ACD">
        <w:rPr>
          <w:b w:val="0"/>
          <w:sz w:val="24"/>
          <w:szCs w:val="24"/>
          <w:u w:val="single"/>
        </w:rPr>
        <w:t>Section</w:t>
      </w:r>
      <w:r w:rsidR="00C95458">
        <w:rPr>
          <w:b w:val="0"/>
          <w:sz w:val="24"/>
          <w:szCs w:val="24"/>
          <w:u w:val="single"/>
        </w:rPr>
        <w:t> </w:t>
      </w:r>
      <w:r w:rsidRPr="000A7ACD">
        <w:rPr>
          <w:b w:val="0"/>
          <w:sz w:val="24"/>
          <w:szCs w:val="24"/>
          <w:u w:val="single"/>
        </w:rPr>
        <w:t>2</w:t>
      </w:r>
      <w:r w:rsidR="00B13DA5">
        <w:rPr>
          <w:b w:val="0"/>
          <w:sz w:val="24"/>
          <w:szCs w:val="24"/>
          <w:u w:val="single"/>
        </w:rPr>
        <w:t xml:space="preserve"> – </w:t>
      </w:r>
      <w:r w:rsidRPr="000A7ACD">
        <w:rPr>
          <w:b w:val="0"/>
          <w:sz w:val="24"/>
          <w:szCs w:val="24"/>
          <w:u w:val="single"/>
        </w:rPr>
        <w:t>Commencement</w:t>
      </w:r>
    </w:p>
    <w:p w14:paraId="6B88DD61" w14:textId="0CAF8064" w:rsidR="00411F58" w:rsidRDefault="00FB0FCC" w:rsidP="00411F58">
      <w:pPr>
        <w:pStyle w:val="ESAttNormal"/>
        <w:rPr>
          <w:sz w:val="24"/>
          <w:szCs w:val="24"/>
        </w:rPr>
      </w:pPr>
      <w:r>
        <w:rPr>
          <w:sz w:val="24"/>
          <w:szCs w:val="24"/>
        </w:rPr>
        <w:t xml:space="preserve">This section </w:t>
      </w:r>
      <w:r w:rsidR="00411F58" w:rsidRPr="00411F58">
        <w:rPr>
          <w:sz w:val="24"/>
          <w:szCs w:val="24"/>
        </w:rPr>
        <w:t xml:space="preserve">sets out, in a table, the date on which each of </w:t>
      </w:r>
      <w:r w:rsidR="00C73FFA">
        <w:rPr>
          <w:sz w:val="24"/>
          <w:szCs w:val="24"/>
        </w:rPr>
        <w:t xml:space="preserve">the provisions contained in the </w:t>
      </w:r>
      <w:r w:rsidR="00652C0B">
        <w:rPr>
          <w:sz w:val="24"/>
          <w:szCs w:val="24"/>
        </w:rPr>
        <w:t>instrument</w:t>
      </w:r>
      <w:r w:rsidR="00411F58" w:rsidRPr="00411F58">
        <w:rPr>
          <w:sz w:val="24"/>
          <w:szCs w:val="24"/>
        </w:rPr>
        <w:t xml:space="preserve"> commences</w:t>
      </w:r>
      <w:r w:rsidR="00C73FFA">
        <w:rPr>
          <w:sz w:val="24"/>
          <w:szCs w:val="24"/>
        </w:rPr>
        <w:t>.</w:t>
      </w:r>
    </w:p>
    <w:p w14:paraId="2EDBB6EF" w14:textId="40AFEDF2" w:rsidR="00C73FFA" w:rsidRDefault="00F02F1C" w:rsidP="00C73FFA">
      <w:pPr>
        <w:pStyle w:val="ESAttNormal"/>
        <w:rPr>
          <w:sz w:val="24"/>
          <w:szCs w:val="24"/>
        </w:rPr>
      </w:pPr>
      <w:r>
        <w:rPr>
          <w:sz w:val="24"/>
          <w:szCs w:val="24"/>
        </w:rPr>
        <w:t>I</w:t>
      </w:r>
      <w:r w:rsidR="00C73FFA" w:rsidRPr="00C73FFA">
        <w:rPr>
          <w:sz w:val="24"/>
          <w:szCs w:val="24"/>
        </w:rPr>
        <w:t>tem</w:t>
      </w:r>
      <w:r w:rsidR="00C95458">
        <w:rPr>
          <w:sz w:val="24"/>
          <w:szCs w:val="24"/>
        </w:rPr>
        <w:t> </w:t>
      </w:r>
      <w:r w:rsidR="00C73FFA" w:rsidRPr="00C73FFA">
        <w:rPr>
          <w:sz w:val="24"/>
          <w:szCs w:val="24"/>
        </w:rPr>
        <w:t>1</w:t>
      </w:r>
      <w:r>
        <w:rPr>
          <w:sz w:val="24"/>
          <w:szCs w:val="24"/>
        </w:rPr>
        <w:t xml:space="preserve"> of the table</w:t>
      </w:r>
      <w:r w:rsidR="00C73FFA" w:rsidRPr="00C73FFA">
        <w:rPr>
          <w:sz w:val="24"/>
          <w:szCs w:val="24"/>
        </w:rPr>
        <w:t xml:space="preserve"> has </w:t>
      </w:r>
      <w:r w:rsidR="00603573">
        <w:rPr>
          <w:sz w:val="24"/>
          <w:szCs w:val="24"/>
        </w:rPr>
        <w:t xml:space="preserve">the </w:t>
      </w:r>
      <w:r w:rsidR="00C73FFA" w:rsidRPr="00C73FFA">
        <w:rPr>
          <w:sz w:val="24"/>
          <w:szCs w:val="24"/>
        </w:rPr>
        <w:t xml:space="preserve">effect that </w:t>
      </w:r>
      <w:r w:rsidR="00603573">
        <w:rPr>
          <w:sz w:val="24"/>
          <w:szCs w:val="24"/>
        </w:rPr>
        <w:t xml:space="preserve">the whole </w:t>
      </w:r>
      <w:r>
        <w:rPr>
          <w:sz w:val="24"/>
          <w:szCs w:val="24"/>
        </w:rPr>
        <w:t xml:space="preserve">of this </w:t>
      </w:r>
      <w:r w:rsidR="00603573">
        <w:rPr>
          <w:sz w:val="24"/>
          <w:szCs w:val="24"/>
        </w:rPr>
        <w:t>instrument</w:t>
      </w:r>
      <w:r w:rsidR="00C73FFA" w:rsidRPr="00C73FFA">
        <w:rPr>
          <w:sz w:val="24"/>
          <w:szCs w:val="24"/>
        </w:rPr>
        <w:t xml:space="preserve"> </w:t>
      </w:r>
      <w:r w:rsidR="00C73FFA">
        <w:rPr>
          <w:sz w:val="24"/>
          <w:szCs w:val="24"/>
        </w:rPr>
        <w:t>commence</w:t>
      </w:r>
      <w:r w:rsidR="00603573">
        <w:rPr>
          <w:sz w:val="24"/>
          <w:szCs w:val="24"/>
        </w:rPr>
        <w:t>s</w:t>
      </w:r>
      <w:r w:rsidR="00C73FFA">
        <w:rPr>
          <w:sz w:val="24"/>
          <w:szCs w:val="24"/>
        </w:rPr>
        <w:t xml:space="preserve"> on t</w:t>
      </w:r>
      <w:r w:rsidR="00C73FFA" w:rsidRPr="00FB0FCC">
        <w:rPr>
          <w:sz w:val="24"/>
          <w:szCs w:val="24"/>
        </w:rPr>
        <w:t>he day af</w:t>
      </w:r>
      <w:r w:rsidR="00C73FFA">
        <w:rPr>
          <w:sz w:val="24"/>
          <w:szCs w:val="24"/>
        </w:rPr>
        <w:t xml:space="preserve">ter the </w:t>
      </w:r>
      <w:r w:rsidR="00C73FFA" w:rsidRPr="00FB0FCC">
        <w:rPr>
          <w:sz w:val="24"/>
          <w:szCs w:val="24"/>
        </w:rPr>
        <w:t>instrument is registered</w:t>
      </w:r>
      <w:r w:rsidR="00C73FFA">
        <w:rPr>
          <w:sz w:val="24"/>
          <w:szCs w:val="24"/>
        </w:rPr>
        <w:t xml:space="preserve"> </w:t>
      </w:r>
      <w:r w:rsidR="00C73FFA" w:rsidRPr="00C73FFA">
        <w:rPr>
          <w:sz w:val="24"/>
          <w:szCs w:val="24"/>
        </w:rPr>
        <w:t>on the Federal Register of Legislation</w:t>
      </w:r>
      <w:r w:rsidR="00C73FFA">
        <w:rPr>
          <w:sz w:val="24"/>
          <w:szCs w:val="24"/>
        </w:rPr>
        <w:t>.</w:t>
      </w:r>
    </w:p>
    <w:p w14:paraId="1CC4AD84" w14:textId="2A9642DD" w:rsidR="00356408" w:rsidRPr="00822447" w:rsidRDefault="005B67FF" w:rsidP="005B67FF">
      <w:pPr>
        <w:pStyle w:val="ESAttNormal"/>
        <w:rPr>
          <w:sz w:val="24"/>
          <w:szCs w:val="24"/>
        </w:rPr>
      </w:pPr>
      <w:r w:rsidRPr="005B67FF">
        <w:rPr>
          <w:sz w:val="24"/>
          <w:szCs w:val="24"/>
        </w:rPr>
        <w:t>The note under the table in subsection</w:t>
      </w:r>
      <w:r w:rsidR="00C95458">
        <w:rPr>
          <w:sz w:val="24"/>
          <w:szCs w:val="24"/>
        </w:rPr>
        <w:t> </w:t>
      </w:r>
      <w:r w:rsidRPr="005B67FF">
        <w:rPr>
          <w:sz w:val="24"/>
          <w:szCs w:val="24"/>
        </w:rPr>
        <w:t>2(1) indicates that the table</w:t>
      </w:r>
      <w:r>
        <w:rPr>
          <w:sz w:val="24"/>
          <w:szCs w:val="24"/>
        </w:rPr>
        <w:t xml:space="preserve"> only relates to the provisions </w:t>
      </w:r>
      <w:r w:rsidRPr="005B67FF">
        <w:rPr>
          <w:sz w:val="24"/>
          <w:szCs w:val="24"/>
        </w:rPr>
        <w:t>of this instrument as originally made and will not be amended to</w:t>
      </w:r>
      <w:r>
        <w:rPr>
          <w:sz w:val="24"/>
          <w:szCs w:val="24"/>
        </w:rPr>
        <w:t xml:space="preserve"> deal with any later amendments </w:t>
      </w:r>
      <w:r w:rsidRPr="005B67FF">
        <w:rPr>
          <w:sz w:val="24"/>
          <w:szCs w:val="24"/>
        </w:rPr>
        <w:t>of this instrument</w:t>
      </w:r>
      <w:r>
        <w:rPr>
          <w:sz w:val="24"/>
          <w:szCs w:val="24"/>
        </w:rPr>
        <w:t>.</w:t>
      </w:r>
    </w:p>
    <w:p w14:paraId="404160A5" w14:textId="68909E72" w:rsidR="007D1C3F" w:rsidRPr="000A7ACD" w:rsidRDefault="00133207" w:rsidP="00100DFC">
      <w:pPr>
        <w:pStyle w:val="ESAttHeading"/>
        <w:rPr>
          <w:b w:val="0"/>
          <w:sz w:val="24"/>
          <w:szCs w:val="24"/>
          <w:u w:val="single"/>
        </w:rPr>
      </w:pPr>
      <w:r w:rsidRPr="000A7ACD">
        <w:rPr>
          <w:b w:val="0"/>
          <w:sz w:val="24"/>
          <w:szCs w:val="24"/>
          <w:u w:val="single"/>
        </w:rPr>
        <w:t>Section</w:t>
      </w:r>
      <w:r w:rsidR="00FF43C1">
        <w:rPr>
          <w:b w:val="0"/>
          <w:sz w:val="24"/>
          <w:szCs w:val="24"/>
          <w:u w:val="single"/>
        </w:rPr>
        <w:t> </w:t>
      </w:r>
      <w:r w:rsidRPr="000A7ACD">
        <w:rPr>
          <w:b w:val="0"/>
          <w:sz w:val="24"/>
          <w:szCs w:val="24"/>
          <w:u w:val="single"/>
        </w:rPr>
        <w:t>3</w:t>
      </w:r>
      <w:r w:rsidR="00B13DA5">
        <w:rPr>
          <w:b w:val="0"/>
          <w:sz w:val="24"/>
          <w:szCs w:val="24"/>
          <w:u w:val="single"/>
        </w:rPr>
        <w:t xml:space="preserve"> – </w:t>
      </w:r>
      <w:r w:rsidRPr="000A7ACD">
        <w:rPr>
          <w:b w:val="0"/>
          <w:sz w:val="24"/>
          <w:szCs w:val="24"/>
          <w:u w:val="single"/>
        </w:rPr>
        <w:t>Authority</w:t>
      </w:r>
    </w:p>
    <w:p w14:paraId="75C920CF" w14:textId="72F6E4EC" w:rsidR="00206DDE" w:rsidRDefault="00F02F1C" w:rsidP="00206DDE">
      <w:pPr>
        <w:pStyle w:val="ESAttNormal"/>
        <w:rPr>
          <w:sz w:val="24"/>
          <w:szCs w:val="24"/>
        </w:rPr>
      </w:pPr>
      <w:r>
        <w:rPr>
          <w:sz w:val="24"/>
          <w:szCs w:val="24"/>
        </w:rPr>
        <w:t>This section provides that this</w:t>
      </w:r>
      <w:r w:rsidR="00FB0FCC">
        <w:rPr>
          <w:sz w:val="24"/>
          <w:szCs w:val="24"/>
        </w:rPr>
        <w:t xml:space="preserve"> instrument is made under </w:t>
      </w:r>
      <w:r w:rsidR="00652C0B" w:rsidRPr="00652C0B">
        <w:rPr>
          <w:sz w:val="24"/>
          <w:szCs w:val="24"/>
        </w:rPr>
        <w:t xml:space="preserve">subsection 43(1) of the </w:t>
      </w:r>
      <w:r w:rsidR="00652C0B" w:rsidRPr="00652C0B">
        <w:rPr>
          <w:i/>
          <w:sz w:val="24"/>
          <w:szCs w:val="24"/>
        </w:rPr>
        <w:t>Explosives Regulations 2024</w:t>
      </w:r>
      <w:r w:rsidR="005B67FF">
        <w:rPr>
          <w:sz w:val="24"/>
          <w:szCs w:val="24"/>
        </w:rPr>
        <w:t>.</w:t>
      </w:r>
    </w:p>
    <w:p w14:paraId="754DE8FF" w14:textId="37B5FB1F" w:rsidR="00206DDE" w:rsidRPr="000A7ACD" w:rsidRDefault="00206DDE" w:rsidP="00206DDE">
      <w:pPr>
        <w:pStyle w:val="ESAttHeading"/>
        <w:rPr>
          <w:b w:val="0"/>
          <w:sz w:val="24"/>
          <w:szCs w:val="24"/>
          <w:u w:val="single"/>
        </w:rPr>
      </w:pPr>
      <w:r w:rsidRPr="000A7ACD">
        <w:rPr>
          <w:b w:val="0"/>
          <w:sz w:val="24"/>
          <w:szCs w:val="24"/>
          <w:u w:val="single"/>
        </w:rPr>
        <w:t>Section</w:t>
      </w:r>
      <w:r w:rsidR="00FF43C1">
        <w:rPr>
          <w:b w:val="0"/>
          <w:sz w:val="24"/>
          <w:szCs w:val="24"/>
          <w:u w:val="single"/>
        </w:rPr>
        <w:t> </w:t>
      </w:r>
      <w:r w:rsidRPr="000A7ACD">
        <w:rPr>
          <w:b w:val="0"/>
          <w:sz w:val="24"/>
          <w:szCs w:val="24"/>
          <w:u w:val="single"/>
        </w:rPr>
        <w:t>4</w:t>
      </w:r>
      <w:r w:rsidR="00B13DA5">
        <w:rPr>
          <w:b w:val="0"/>
          <w:sz w:val="24"/>
          <w:szCs w:val="24"/>
          <w:u w:val="single"/>
        </w:rPr>
        <w:t xml:space="preserve"> – </w:t>
      </w:r>
      <w:r w:rsidR="00652C0B">
        <w:rPr>
          <w:b w:val="0"/>
          <w:sz w:val="24"/>
          <w:szCs w:val="24"/>
          <w:u w:val="single"/>
        </w:rPr>
        <w:t>Definitions</w:t>
      </w:r>
    </w:p>
    <w:p w14:paraId="24583EEC" w14:textId="582E0472" w:rsidR="00652C0B" w:rsidRDefault="00652C0B" w:rsidP="00206DDE">
      <w:pPr>
        <w:pStyle w:val="ESAttNormal"/>
        <w:rPr>
          <w:sz w:val="24"/>
          <w:szCs w:val="24"/>
        </w:rPr>
      </w:pPr>
      <w:r>
        <w:rPr>
          <w:sz w:val="24"/>
          <w:szCs w:val="24"/>
        </w:rPr>
        <w:t>This section defines various terms used in the instrument:</w:t>
      </w:r>
    </w:p>
    <w:p w14:paraId="59174477" w14:textId="77777777" w:rsidR="00652C0B" w:rsidRPr="00652C0B" w:rsidRDefault="00652C0B" w:rsidP="00652C0B">
      <w:pPr>
        <w:pStyle w:val="ESPara"/>
        <w:numPr>
          <w:ilvl w:val="0"/>
          <w:numId w:val="35"/>
        </w:numPr>
        <w:ind w:left="851" w:hanging="851"/>
        <w:rPr>
          <w:sz w:val="24"/>
          <w:szCs w:val="24"/>
        </w:rPr>
      </w:pPr>
      <w:r w:rsidRPr="00652C0B">
        <w:rPr>
          <w:b/>
          <w:i/>
          <w:sz w:val="24"/>
          <w:szCs w:val="24"/>
        </w:rPr>
        <w:t>classification code</w:t>
      </w:r>
      <w:r w:rsidRPr="00652C0B">
        <w:rPr>
          <w:sz w:val="24"/>
          <w:szCs w:val="24"/>
        </w:rPr>
        <w:t xml:space="preserve"> has the meaning given by the AE Code.</w:t>
      </w:r>
    </w:p>
    <w:p w14:paraId="786D5B62" w14:textId="1A7BD2D4" w:rsidR="00652C0B" w:rsidRDefault="00652C0B" w:rsidP="00652C0B">
      <w:pPr>
        <w:pStyle w:val="ESPara"/>
        <w:numPr>
          <w:ilvl w:val="0"/>
          <w:numId w:val="35"/>
        </w:numPr>
        <w:ind w:left="851" w:hanging="851"/>
        <w:rPr>
          <w:sz w:val="24"/>
          <w:szCs w:val="24"/>
        </w:rPr>
      </w:pPr>
      <w:r w:rsidRPr="00652C0B">
        <w:rPr>
          <w:b/>
          <w:i/>
          <w:sz w:val="24"/>
          <w:szCs w:val="24"/>
        </w:rPr>
        <w:t>UN number</w:t>
      </w:r>
      <w:r w:rsidRPr="00652C0B">
        <w:rPr>
          <w:sz w:val="24"/>
          <w:szCs w:val="24"/>
        </w:rPr>
        <w:t xml:space="preserve"> has the meaning given by the AE Code.</w:t>
      </w:r>
    </w:p>
    <w:p w14:paraId="1B53DF1E" w14:textId="79BDBA8C" w:rsidR="00652C0B" w:rsidRPr="00652C0B" w:rsidRDefault="00652C0B" w:rsidP="00652C0B">
      <w:pPr>
        <w:pStyle w:val="ESAttNormal"/>
        <w:rPr>
          <w:sz w:val="24"/>
          <w:szCs w:val="24"/>
        </w:rPr>
      </w:pPr>
      <w:r>
        <w:rPr>
          <w:sz w:val="24"/>
          <w:szCs w:val="24"/>
        </w:rPr>
        <w:t>The note at section 4 states that t</w:t>
      </w:r>
      <w:r w:rsidRPr="00652C0B">
        <w:rPr>
          <w:sz w:val="24"/>
          <w:szCs w:val="24"/>
        </w:rPr>
        <w:t xml:space="preserve">he expression AE Code used in this instrument is defined in the </w:t>
      </w:r>
      <w:r w:rsidRPr="00B72B1B">
        <w:rPr>
          <w:i/>
          <w:sz w:val="24"/>
          <w:szCs w:val="24"/>
        </w:rPr>
        <w:t>Explosives Regulations 2024</w:t>
      </w:r>
      <w:r>
        <w:rPr>
          <w:sz w:val="24"/>
          <w:szCs w:val="24"/>
        </w:rPr>
        <w:t>.</w:t>
      </w:r>
      <w:r w:rsidR="00BF1B73">
        <w:rPr>
          <w:sz w:val="24"/>
          <w:szCs w:val="24"/>
        </w:rPr>
        <w:t xml:space="preserve"> Those regulations provide that </w:t>
      </w:r>
      <w:r w:rsidR="00BF1B73" w:rsidRPr="00BF1B73">
        <w:rPr>
          <w:b/>
          <w:i/>
          <w:sz w:val="24"/>
          <w:szCs w:val="24"/>
        </w:rPr>
        <w:t>AE Code</w:t>
      </w:r>
      <w:r w:rsidR="00BF1B73" w:rsidRPr="00BF1B73">
        <w:rPr>
          <w:sz w:val="24"/>
          <w:szCs w:val="24"/>
        </w:rPr>
        <w:t xml:space="preserve"> (short for Australian Explosives Code) means the third edition of the </w:t>
      </w:r>
      <w:r w:rsidR="00BF1B73" w:rsidRPr="00BF1B73">
        <w:rPr>
          <w:i/>
          <w:sz w:val="24"/>
          <w:szCs w:val="24"/>
        </w:rPr>
        <w:t>Australian Code for the Transport of Explosives by Road and Rail</w:t>
      </w:r>
      <w:r w:rsidR="00BF1B73" w:rsidRPr="00BF1B73">
        <w:rPr>
          <w:sz w:val="24"/>
          <w:szCs w:val="24"/>
        </w:rPr>
        <w:t xml:space="preserve"> endorsed by the Workplace Relations Min</w:t>
      </w:r>
      <w:r w:rsidR="00BF1B73">
        <w:rPr>
          <w:sz w:val="24"/>
          <w:szCs w:val="24"/>
        </w:rPr>
        <w:t>isters’ Council on 3 April 2009.</w:t>
      </w:r>
    </w:p>
    <w:p w14:paraId="4614C1CF" w14:textId="1DD7D16A" w:rsidR="00206DDE" w:rsidRPr="000A7ACD" w:rsidRDefault="00206DDE" w:rsidP="00206DDE">
      <w:pPr>
        <w:pStyle w:val="ESAttHeading"/>
        <w:rPr>
          <w:b w:val="0"/>
          <w:sz w:val="24"/>
          <w:szCs w:val="24"/>
          <w:u w:val="single"/>
        </w:rPr>
      </w:pPr>
      <w:r w:rsidRPr="000A7ACD">
        <w:rPr>
          <w:b w:val="0"/>
          <w:sz w:val="24"/>
          <w:szCs w:val="24"/>
          <w:u w:val="single"/>
        </w:rPr>
        <w:t>Section</w:t>
      </w:r>
      <w:r w:rsidR="00FF43C1">
        <w:rPr>
          <w:b w:val="0"/>
          <w:sz w:val="24"/>
          <w:szCs w:val="24"/>
          <w:u w:val="single"/>
        </w:rPr>
        <w:t> </w:t>
      </w:r>
      <w:r w:rsidRPr="000A7ACD">
        <w:rPr>
          <w:b w:val="0"/>
          <w:sz w:val="24"/>
          <w:szCs w:val="24"/>
          <w:u w:val="single"/>
        </w:rPr>
        <w:t>5</w:t>
      </w:r>
      <w:r w:rsidR="0050099E">
        <w:rPr>
          <w:b w:val="0"/>
          <w:sz w:val="24"/>
          <w:szCs w:val="24"/>
          <w:u w:val="single"/>
        </w:rPr>
        <w:t xml:space="preserve"> – </w:t>
      </w:r>
      <w:r w:rsidR="0023611A">
        <w:rPr>
          <w:b w:val="0"/>
          <w:sz w:val="24"/>
          <w:szCs w:val="24"/>
          <w:u w:val="single"/>
        </w:rPr>
        <w:t>List of Authorised Commonwealth Explosives</w:t>
      </w:r>
    </w:p>
    <w:p w14:paraId="673E11BB" w14:textId="0FD171EE" w:rsidR="00206DDE" w:rsidRDefault="00B72B1B" w:rsidP="00206DDE">
      <w:pPr>
        <w:pStyle w:val="ESAttNormal"/>
        <w:rPr>
          <w:sz w:val="24"/>
          <w:szCs w:val="24"/>
        </w:rPr>
      </w:pPr>
      <w:r>
        <w:rPr>
          <w:sz w:val="24"/>
          <w:szCs w:val="24"/>
        </w:rPr>
        <w:t>This section provides that f</w:t>
      </w:r>
      <w:r w:rsidRPr="00B72B1B">
        <w:rPr>
          <w:sz w:val="24"/>
          <w:szCs w:val="24"/>
        </w:rPr>
        <w:t xml:space="preserve">or the purposes of subsection 43(1) of the </w:t>
      </w:r>
      <w:r w:rsidRPr="00B72B1B">
        <w:rPr>
          <w:i/>
          <w:sz w:val="24"/>
          <w:szCs w:val="24"/>
        </w:rPr>
        <w:t>Explosives Regulations 2024</w:t>
      </w:r>
      <w:r w:rsidRPr="00B72B1B">
        <w:rPr>
          <w:sz w:val="24"/>
          <w:szCs w:val="24"/>
        </w:rPr>
        <w:t xml:space="preserve">, the Commonwealth explosives, or kinds of Commonwealth explosives, </w:t>
      </w:r>
      <w:r>
        <w:rPr>
          <w:sz w:val="24"/>
          <w:szCs w:val="24"/>
        </w:rPr>
        <w:t xml:space="preserve">set out in the table </w:t>
      </w:r>
      <w:r w:rsidRPr="00B72B1B">
        <w:rPr>
          <w:sz w:val="24"/>
          <w:szCs w:val="24"/>
        </w:rPr>
        <w:t>are specified</w:t>
      </w:r>
      <w:r>
        <w:rPr>
          <w:sz w:val="24"/>
          <w:szCs w:val="24"/>
        </w:rPr>
        <w:t xml:space="preserve">. Column 1 of the table sets out the UN number. Column 2 of the table sets out the name of the explosive. Column 3 of the table sets out the classification code for the explosive, within the </w:t>
      </w:r>
      <w:r w:rsidRPr="00652C0B">
        <w:rPr>
          <w:sz w:val="24"/>
          <w:szCs w:val="24"/>
        </w:rPr>
        <w:t>meaning given by the AE Code</w:t>
      </w:r>
      <w:r>
        <w:rPr>
          <w:sz w:val="24"/>
          <w:szCs w:val="24"/>
        </w:rPr>
        <w:t>.</w:t>
      </w:r>
    </w:p>
    <w:p w14:paraId="6115B59A" w14:textId="0D03E98B" w:rsidR="00822447" w:rsidRPr="00822447" w:rsidRDefault="00822447">
      <w:pPr>
        <w:rPr>
          <w:rFonts w:ascii="Times New Roman" w:hAnsi="Times New Roman" w:cs="Times New Roman"/>
        </w:rPr>
      </w:pPr>
      <w:r w:rsidRPr="00822447">
        <w:rPr>
          <w:rFonts w:ascii="Times New Roman" w:hAnsi="Times New Roman" w:cs="Times New Roman"/>
        </w:rPr>
        <w:br w:type="page"/>
      </w:r>
    </w:p>
    <w:p w14:paraId="0CB19D9C" w14:textId="512B77B4" w:rsidR="00802D5E" w:rsidRPr="00822447" w:rsidRDefault="00802D5E" w:rsidP="00802D5E">
      <w:pPr>
        <w:pStyle w:val="ESAttAttName"/>
        <w:pageBreakBefore/>
        <w:rPr>
          <w:sz w:val="24"/>
          <w:szCs w:val="24"/>
          <w:u w:val="none"/>
        </w:rPr>
      </w:pPr>
      <w:r w:rsidRPr="00802D5E">
        <w:rPr>
          <w:sz w:val="24"/>
          <w:szCs w:val="24"/>
          <w:u w:val="none"/>
        </w:rPr>
        <w:lastRenderedPageBreak/>
        <w:t xml:space="preserve"> </w:t>
      </w:r>
      <w:r w:rsidRPr="00822447">
        <w:rPr>
          <w:sz w:val="24"/>
          <w:szCs w:val="24"/>
          <w:u w:val="none"/>
        </w:rPr>
        <w:t>Attachment</w:t>
      </w:r>
      <w:r>
        <w:rPr>
          <w:sz w:val="24"/>
          <w:szCs w:val="24"/>
          <w:u w:val="none"/>
        </w:rPr>
        <w:t> </w:t>
      </w:r>
      <w:r w:rsidR="00981E6A">
        <w:rPr>
          <w:sz w:val="24"/>
          <w:szCs w:val="24"/>
          <w:u w:val="none"/>
        </w:rPr>
        <w:t>B</w:t>
      </w:r>
    </w:p>
    <w:p w14:paraId="26AFACFC" w14:textId="5337CEF0" w:rsidR="00822447" w:rsidRPr="00CB0208" w:rsidRDefault="00CB0208" w:rsidP="00822447">
      <w:pPr>
        <w:jc w:val="center"/>
        <w:rPr>
          <w:rFonts w:ascii="Times New Roman" w:hAnsi="Times New Roman" w:cs="Times New Roman"/>
          <w:b/>
          <w:u w:val="single"/>
        </w:rPr>
      </w:pPr>
      <w:r w:rsidRPr="00CB0208">
        <w:rPr>
          <w:rFonts w:ascii="Times New Roman" w:hAnsi="Times New Roman" w:cs="Times New Roman"/>
          <w:b/>
          <w:sz w:val="28"/>
          <w:szCs w:val="28"/>
          <w:u w:val="single"/>
        </w:rPr>
        <w:t>STATEMENT OF COMPATIBILITY WITH HUMAN RIGHTS</w:t>
      </w:r>
    </w:p>
    <w:p w14:paraId="3C8BF439" w14:textId="625AE853" w:rsidR="00822447" w:rsidRPr="00DE4D9D" w:rsidRDefault="00822447" w:rsidP="00822447">
      <w:pPr>
        <w:spacing w:before="120" w:line="240" w:lineRule="auto"/>
        <w:jc w:val="center"/>
        <w:rPr>
          <w:rFonts w:ascii="Times New Roman" w:hAnsi="Times New Roman" w:cs="Times New Roman"/>
          <w:i/>
          <w:sz w:val="24"/>
          <w:szCs w:val="24"/>
        </w:rPr>
      </w:pPr>
      <w:r w:rsidRPr="00DE4D9D">
        <w:rPr>
          <w:rFonts w:ascii="Times New Roman" w:hAnsi="Times New Roman" w:cs="Times New Roman"/>
          <w:i/>
          <w:sz w:val="24"/>
          <w:szCs w:val="24"/>
        </w:rPr>
        <w:t>Prepared in accordance with Part</w:t>
      </w:r>
      <w:r w:rsidR="00DE2ACF" w:rsidRPr="00DE4D9D">
        <w:rPr>
          <w:rFonts w:ascii="Times New Roman" w:hAnsi="Times New Roman" w:cs="Times New Roman"/>
          <w:i/>
          <w:sz w:val="24"/>
          <w:szCs w:val="24"/>
        </w:rPr>
        <w:t> </w:t>
      </w:r>
      <w:r w:rsidRPr="00DE4D9D">
        <w:rPr>
          <w:rFonts w:ascii="Times New Roman" w:hAnsi="Times New Roman" w:cs="Times New Roman"/>
          <w:i/>
          <w:sz w:val="24"/>
          <w:szCs w:val="24"/>
        </w:rPr>
        <w:t xml:space="preserve">3 of the </w:t>
      </w:r>
      <w:r w:rsidRPr="00981E6A">
        <w:rPr>
          <w:rFonts w:ascii="Times New Roman" w:hAnsi="Times New Roman" w:cs="Times New Roman"/>
          <w:i/>
          <w:sz w:val="24"/>
          <w:szCs w:val="24"/>
        </w:rPr>
        <w:t>Human Rights (Parliamentary Scrutiny) Act</w:t>
      </w:r>
      <w:r w:rsidR="00DE2ACF" w:rsidRPr="00981E6A">
        <w:rPr>
          <w:rFonts w:ascii="Times New Roman" w:hAnsi="Times New Roman" w:cs="Times New Roman"/>
          <w:i/>
          <w:sz w:val="24"/>
          <w:szCs w:val="24"/>
        </w:rPr>
        <w:t> </w:t>
      </w:r>
      <w:r w:rsidRPr="00981E6A">
        <w:rPr>
          <w:rFonts w:ascii="Times New Roman" w:hAnsi="Times New Roman" w:cs="Times New Roman"/>
          <w:i/>
          <w:sz w:val="24"/>
          <w:szCs w:val="24"/>
        </w:rPr>
        <w:t>2011</w:t>
      </w:r>
    </w:p>
    <w:p w14:paraId="6024FCC8" w14:textId="77777777" w:rsidR="00822447" w:rsidRPr="00822447" w:rsidRDefault="00822447" w:rsidP="00822447">
      <w:pPr>
        <w:spacing w:before="120" w:line="240" w:lineRule="auto"/>
        <w:jc w:val="center"/>
        <w:rPr>
          <w:rFonts w:ascii="Times New Roman" w:hAnsi="Times New Roman" w:cs="Times New Roman"/>
          <w:sz w:val="24"/>
          <w:szCs w:val="24"/>
        </w:rPr>
      </w:pPr>
    </w:p>
    <w:p w14:paraId="060268D7" w14:textId="38E745C8" w:rsidR="00822447" w:rsidRPr="00CB0208" w:rsidRDefault="00BF1B73" w:rsidP="00822447">
      <w:pPr>
        <w:spacing w:before="120" w:line="240" w:lineRule="auto"/>
        <w:jc w:val="center"/>
        <w:rPr>
          <w:rFonts w:ascii="Times New Roman" w:hAnsi="Times New Roman" w:cs="Times New Roman"/>
          <w:b/>
          <w:i/>
          <w:sz w:val="24"/>
          <w:szCs w:val="24"/>
        </w:rPr>
      </w:pPr>
      <w:r w:rsidRPr="00BF1B73">
        <w:rPr>
          <w:rFonts w:ascii="Times New Roman" w:hAnsi="Times New Roman" w:cs="Times New Roman"/>
          <w:b/>
          <w:i/>
          <w:sz w:val="24"/>
          <w:szCs w:val="24"/>
        </w:rPr>
        <w:t>Explosives (Authorised Commonwealth Explosives) Order 2024</w:t>
      </w:r>
    </w:p>
    <w:p w14:paraId="065CA64F" w14:textId="21B66952" w:rsidR="00822447" w:rsidRPr="00556570" w:rsidRDefault="00E30F76" w:rsidP="00DE4D9D">
      <w:pPr>
        <w:spacing w:before="120" w:line="240" w:lineRule="auto"/>
        <w:jc w:val="center"/>
        <w:rPr>
          <w:rFonts w:ascii="Times New Roman" w:hAnsi="Times New Roman" w:cs="Times New Roman"/>
          <w:i/>
          <w:sz w:val="24"/>
          <w:szCs w:val="24"/>
        </w:rPr>
      </w:pPr>
      <w:r>
        <w:rPr>
          <w:rFonts w:ascii="Times New Roman" w:hAnsi="Times New Roman" w:cs="Times New Roman"/>
          <w:sz w:val="24"/>
          <w:szCs w:val="24"/>
        </w:rPr>
        <w:t>Th</w:t>
      </w:r>
      <w:r w:rsidR="00CB0208">
        <w:rPr>
          <w:rFonts w:ascii="Times New Roman" w:hAnsi="Times New Roman" w:cs="Times New Roman"/>
          <w:sz w:val="24"/>
          <w:szCs w:val="24"/>
        </w:rPr>
        <w:t xml:space="preserve">e </w:t>
      </w:r>
      <w:r w:rsidR="00BF1B73" w:rsidRPr="00BF1B73">
        <w:rPr>
          <w:rFonts w:ascii="Times New Roman" w:hAnsi="Times New Roman" w:cs="Times New Roman"/>
          <w:i/>
          <w:sz w:val="24"/>
          <w:szCs w:val="24"/>
        </w:rPr>
        <w:t>Explosives (Authorised Comm</w:t>
      </w:r>
      <w:r w:rsidR="00BF1B73">
        <w:rPr>
          <w:rFonts w:ascii="Times New Roman" w:hAnsi="Times New Roman" w:cs="Times New Roman"/>
          <w:i/>
          <w:sz w:val="24"/>
          <w:szCs w:val="24"/>
        </w:rPr>
        <w:t>onwealth Explosives) Order 2024</w:t>
      </w:r>
      <w:r w:rsidR="00BF1B73">
        <w:rPr>
          <w:rFonts w:ascii="Times New Roman" w:hAnsi="Times New Roman" w:cs="Times New Roman"/>
          <w:sz w:val="24"/>
          <w:szCs w:val="24"/>
        </w:rPr>
        <w:t xml:space="preserve"> (the Order) is</w:t>
      </w:r>
      <w:r w:rsidR="00CB0208">
        <w:rPr>
          <w:rFonts w:ascii="Times New Roman" w:hAnsi="Times New Roman" w:cs="Times New Roman"/>
          <w:sz w:val="24"/>
          <w:szCs w:val="24"/>
        </w:rPr>
        <w:t xml:space="preserve"> </w:t>
      </w:r>
      <w:r w:rsidR="00822447" w:rsidRPr="00822447">
        <w:rPr>
          <w:rFonts w:ascii="Times New Roman" w:hAnsi="Times New Roman" w:cs="Times New Roman"/>
          <w:sz w:val="24"/>
          <w:szCs w:val="24"/>
        </w:rPr>
        <w:t>compatible with the human rights and freedoms recognised or declared in the international instruments listed in section</w:t>
      </w:r>
      <w:r w:rsidR="00DE2ACF">
        <w:rPr>
          <w:rFonts w:ascii="Times New Roman" w:hAnsi="Times New Roman" w:cs="Times New Roman"/>
          <w:sz w:val="24"/>
          <w:szCs w:val="24"/>
        </w:rPr>
        <w:t> </w:t>
      </w:r>
      <w:r w:rsidR="00822447" w:rsidRPr="00822447">
        <w:rPr>
          <w:rFonts w:ascii="Times New Roman" w:hAnsi="Times New Roman" w:cs="Times New Roman"/>
          <w:sz w:val="24"/>
          <w:szCs w:val="24"/>
        </w:rPr>
        <w:t xml:space="preserve">3 of the </w:t>
      </w:r>
      <w:r w:rsidR="00822447" w:rsidRPr="00822447">
        <w:rPr>
          <w:rFonts w:ascii="Times New Roman" w:hAnsi="Times New Roman" w:cs="Times New Roman"/>
          <w:i/>
          <w:sz w:val="24"/>
          <w:szCs w:val="24"/>
        </w:rPr>
        <w:t>Human R</w:t>
      </w:r>
      <w:r>
        <w:rPr>
          <w:rFonts w:ascii="Times New Roman" w:hAnsi="Times New Roman" w:cs="Times New Roman"/>
          <w:i/>
          <w:sz w:val="24"/>
          <w:szCs w:val="24"/>
        </w:rPr>
        <w:t xml:space="preserve">ights (Parliamentary Scrutiny) </w:t>
      </w:r>
      <w:r w:rsidR="00822447" w:rsidRPr="00822447">
        <w:rPr>
          <w:rFonts w:ascii="Times New Roman" w:hAnsi="Times New Roman" w:cs="Times New Roman"/>
          <w:i/>
          <w:sz w:val="24"/>
          <w:szCs w:val="24"/>
        </w:rPr>
        <w:t>Act</w:t>
      </w:r>
      <w:r w:rsidR="00DE2ACF">
        <w:rPr>
          <w:rFonts w:ascii="Times New Roman" w:hAnsi="Times New Roman" w:cs="Times New Roman"/>
          <w:i/>
          <w:sz w:val="24"/>
          <w:szCs w:val="24"/>
        </w:rPr>
        <w:t> </w:t>
      </w:r>
      <w:r w:rsidR="00822447" w:rsidRPr="00822447">
        <w:rPr>
          <w:rFonts w:ascii="Times New Roman" w:hAnsi="Times New Roman" w:cs="Times New Roman"/>
          <w:i/>
          <w:sz w:val="24"/>
          <w:szCs w:val="24"/>
        </w:rPr>
        <w:t>2011</w:t>
      </w:r>
      <w:r w:rsidR="00822447" w:rsidRPr="00822447">
        <w:rPr>
          <w:rFonts w:ascii="Times New Roman" w:hAnsi="Times New Roman" w:cs="Times New Roman"/>
          <w:sz w:val="24"/>
          <w:szCs w:val="24"/>
        </w:rPr>
        <w:t>.</w:t>
      </w:r>
    </w:p>
    <w:p w14:paraId="2B64C5BF" w14:textId="74FBFA43" w:rsidR="00822447" w:rsidRPr="00822447" w:rsidRDefault="00822447" w:rsidP="00556570">
      <w:pPr>
        <w:keepNext/>
        <w:spacing w:before="120" w:line="240" w:lineRule="auto"/>
        <w:jc w:val="both"/>
        <w:outlineLvl w:val="2"/>
        <w:rPr>
          <w:rFonts w:ascii="Times New Roman" w:hAnsi="Times New Roman" w:cs="Times New Roman"/>
          <w:b/>
          <w:sz w:val="24"/>
          <w:szCs w:val="24"/>
        </w:rPr>
      </w:pPr>
      <w:r w:rsidRPr="00822447">
        <w:rPr>
          <w:rFonts w:ascii="Times New Roman" w:hAnsi="Times New Roman" w:cs="Times New Roman"/>
          <w:b/>
          <w:sz w:val="24"/>
          <w:szCs w:val="24"/>
        </w:rPr>
        <w:t>O</w:t>
      </w:r>
      <w:r w:rsidR="00E30F76">
        <w:rPr>
          <w:rFonts w:ascii="Times New Roman" w:hAnsi="Times New Roman" w:cs="Times New Roman"/>
          <w:b/>
          <w:sz w:val="24"/>
          <w:szCs w:val="24"/>
        </w:rPr>
        <w:t xml:space="preserve">verview of the </w:t>
      </w:r>
      <w:r w:rsidRPr="00822447">
        <w:rPr>
          <w:rFonts w:ascii="Times New Roman" w:hAnsi="Times New Roman" w:cs="Times New Roman"/>
          <w:b/>
          <w:sz w:val="24"/>
          <w:szCs w:val="24"/>
        </w:rPr>
        <w:t>Instrument</w:t>
      </w:r>
    </w:p>
    <w:p w14:paraId="457E0D46" w14:textId="7C1D5E17" w:rsidR="00BF1B73" w:rsidRDefault="00BF1B73" w:rsidP="00BF1B73">
      <w:pPr>
        <w:pStyle w:val="ESPara"/>
        <w:rPr>
          <w:sz w:val="24"/>
          <w:szCs w:val="24"/>
        </w:rPr>
      </w:pPr>
      <w:r>
        <w:rPr>
          <w:sz w:val="24"/>
          <w:szCs w:val="24"/>
        </w:rPr>
        <w:t xml:space="preserve">The purpose of the </w:t>
      </w:r>
      <w:r w:rsidRPr="00CB2760">
        <w:rPr>
          <w:i/>
          <w:sz w:val="24"/>
          <w:szCs w:val="24"/>
        </w:rPr>
        <w:t xml:space="preserve">Explosives (Authorised Commonwealth Explosives) Order 2024 </w:t>
      </w:r>
      <w:r>
        <w:rPr>
          <w:sz w:val="24"/>
          <w:szCs w:val="24"/>
        </w:rPr>
        <w:t xml:space="preserve">is to specify, by order, </w:t>
      </w:r>
      <w:r w:rsidRPr="00CB2760">
        <w:rPr>
          <w:sz w:val="24"/>
          <w:szCs w:val="24"/>
        </w:rPr>
        <w:t>Commonwealth explosives, or kinds of Commonwealth explosives, for the purposes of subsection</w:t>
      </w:r>
      <w:r>
        <w:rPr>
          <w:sz w:val="24"/>
          <w:szCs w:val="24"/>
        </w:rPr>
        <w:t xml:space="preserve"> 43(1) of the </w:t>
      </w:r>
      <w:r w:rsidRPr="00BF1B73">
        <w:rPr>
          <w:i/>
          <w:sz w:val="24"/>
          <w:szCs w:val="24"/>
        </w:rPr>
        <w:t>Explosives Regulations 2024</w:t>
      </w:r>
      <w:r>
        <w:rPr>
          <w:sz w:val="24"/>
          <w:szCs w:val="24"/>
        </w:rPr>
        <w:t>.</w:t>
      </w:r>
    </w:p>
    <w:p w14:paraId="54AF1957" w14:textId="77777777" w:rsidR="00BF1B73" w:rsidRDefault="00BF1B73" w:rsidP="00BF1B73">
      <w:pPr>
        <w:pStyle w:val="ESPara"/>
        <w:rPr>
          <w:sz w:val="24"/>
          <w:szCs w:val="24"/>
        </w:rPr>
      </w:pPr>
      <w:r>
        <w:rPr>
          <w:sz w:val="24"/>
          <w:szCs w:val="24"/>
        </w:rPr>
        <w:t xml:space="preserve">The specification of an explosive as an authorised Commonwealth explosive affects whether and in what circumstances transport of that explosive is prohibited, whether requirements of the </w:t>
      </w:r>
      <w:r w:rsidRPr="00516D45">
        <w:rPr>
          <w:sz w:val="24"/>
          <w:szCs w:val="24"/>
        </w:rPr>
        <w:t xml:space="preserve">third edition of the </w:t>
      </w:r>
      <w:r w:rsidRPr="00516D45">
        <w:rPr>
          <w:i/>
          <w:sz w:val="24"/>
          <w:szCs w:val="24"/>
        </w:rPr>
        <w:t>Australian Code for the Transport of Explosives by Road and Rail</w:t>
      </w:r>
      <w:r w:rsidRPr="00516D45">
        <w:rPr>
          <w:sz w:val="24"/>
          <w:szCs w:val="24"/>
        </w:rPr>
        <w:t xml:space="preserve"> endorsed by the Workplace Relations Ministers’ Council on 3</w:t>
      </w:r>
      <w:r>
        <w:rPr>
          <w:sz w:val="24"/>
          <w:szCs w:val="24"/>
        </w:rPr>
        <w:t> </w:t>
      </w:r>
      <w:r w:rsidRPr="00516D45">
        <w:rPr>
          <w:sz w:val="24"/>
          <w:szCs w:val="24"/>
        </w:rPr>
        <w:t>April</w:t>
      </w:r>
      <w:r>
        <w:rPr>
          <w:sz w:val="24"/>
          <w:szCs w:val="24"/>
        </w:rPr>
        <w:t> </w:t>
      </w:r>
      <w:r w:rsidRPr="00516D45">
        <w:rPr>
          <w:sz w:val="24"/>
          <w:szCs w:val="24"/>
        </w:rPr>
        <w:t>2009</w:t>
      </w:r>
      <w:r w:rsidRPr="005F1DFA">
        <w:rPr>
          <w:sz w:val="24"/>
          <w:szCs w:val="24"/>
        </w:rPr>
        <w:t xml:space="preserve"> (the AE Code)</w:t>
      </w:r>
      <w:r>
        <w:rPr>
          <w:sz w:val="24"/>
          <w:szCs w:val="24"/>
        </w:rPr>
        <w:t xml:space="preserve"> apply, whether offence provisions apply to certain conduct involving the explosive, and whether a person who transports that explosive must comply with the requirements of an approved security plan.</w:t>
      </w:r>
    </w:p>
    <w:p w14:paraId="1633F1AB" w14:textId="77777777" w:rsidR="00822447" w:rsidRPr="00822447" w:rsidRDefault="00822447" w:rsidP="00034449">
      <w:pPr>
        <w:keepNext/>
        <w:spacing w:before="120" w:line="240" w:lineRule="auto"/>
        <w:jc w:val="both"/>
        <w:outlineLvl w:val="2"/>
        <w:rPr>
          <w:rFonts w:ascii="Times New Roman" w:hAnsi="Times New Roman" w:cs="Times New Roman"/>
          <w:b/>
          <w:sz w:val="24"/>
          <w:szCs w:val="24"/>
        </w:rPr>
      </w:pPr>
      <w:r w:rsidRPr="00822447">
        <w:rPr>
          <w:rFonts w:ascii="Times New Roman" w:hAnsi="Times New Roman" w:cs="Times New Roman"/>
          <w:b/>
          <w:sz w:val="24"/>
          <w:szCs w:val="24"/>
        </w:rPr>
        <w:t>Human rights implications</w:t>
      </w:r>
    </w:p>
    <w:p w14:paraId="61CAD7AE" w14:textId="20125BEC" w:rsidR="00822447" w:rsidRDefault="00CB0208" w:rsidP="00822447">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The Regulations engage the following </w:t>
      </w:r>
      <w:r w:rsidR="00034449">
        <w:rPr>
          <w:rFonts w:ascii="Times New Roman" w:hAnsi="Times New Roman" w:cs="Times New Roman"/>
          <w:sz w:val="24"/>
          <w:szCs w:val="24"/>
        </w:rPr>
        <w:t xml:space="preserve">human </w:t>
      </w:r>
      <w:r>
        <w:rPr>
          <w:rFonts w:ascii="Times New Roman" w:hAnsi="Times New Roman" w:cs="Times New Roman"/>
          <w:sz w:val="24"/>
          <w:szCs w:val="24"/>
        </w:rPr>
        <w:t>rights:</w:t>
      </w:r>
    </w:p>
    <w:p w14:paraId="162E7062" w14:textId="0165BB63" w:rsidR="00CB0208" w:rsidRDefault="00CB0208" w:rsidP="003644E6">
      <w:pPr>
        <w:pStyle w:val="ESPara"/>
        <w:numPr>
          <w:ilvl w:val="0"/>
          <w:numId w:val="35"/>
        </w:numPr>
        <w:ind w:left="851" w:hanging="851"/>
        <w:rPr>
          <w:sz w:val="24"/>
          <w:szCs w:val="24"/>
        </w:rPr>
      </w:pPr>
      <w:r>
        <w:rPr>
          <w:sz w:val="24"/>
          <w:szCs w:val="24"/>
        </w:rPr>
        <w:t>the right to life</w:t>
      </w:r>
      <w:r w:rsidR="008E718E">
        <w:rPr>
          <w:sz w:val="24"/>
          <w:szCs w:val="24"/>
        </w:rPr>
        <w:t>;</w:t>
      </w:r>
      <w:r w:rsidR="00BF1B73">
        <w:rPr>
          <w:sz w:val="24"/>
          <w:szCs w:val="24"/>
        </w:rPr>
        <w:t xml:space="preserve"> and</w:t>
      </w:r>
    </w:p>
    <w:p w14:paraId="220F5DF3" w14:textId="08007875" w:rsidR="008E718E" w:rsidRDefault="008E718E" w:rsidP="003644E6">
      <w:pPr>
        <w:pStyle w:val="ESPara"/>
        <w:numPr>
          <w:ilvl w:val="0"/>
          <w:numId w:val="35"/>
        </w:numPr>
        <w:ind w:left="851" w:hanging="851"/>
        <w:rPr>
          <w:sz w:val="24"/>
          <w:szCs w:val="24"/>
        </w:rPr>
      </w:pPr>
      <w:r>
        <w:rPr>
          <w:sz w:val="24"/>
          <w:szCs w:val="24"/>
        </w:rPr>
        <w:t>the right to safe</w:t>
      </w:r>
      <w:r w:rsidR="00BF1B73">
        <w:rPr>
          <w:sz w:val="24"/>
          <w:szCs w:val="24"/>
        </w:rPr>
        <w:t xml:space="preserve"> and healthy working conditions.</w:t>
      </w:r>
    </w:p>
    <w:p w14:paraId="6413EFA4" w14:textId="5E709180" w:rsidR="00CB0208" w:rsidRDefault="00CB0208" w:rsidP="00822447">
      <w:pPr>
        <w:spacing w:before="120" w:line="240" w:lineRule="auto"/>
        <w:rPr>
          <w:rFonts w:ascii="Times New Roman" w:hAnsi="Times New Roman" w:cs="Times New Roman"/>
          <w:sz w:val="24"/>
          <w:szCs w:val="24"/>
        </w:rPr>
      </w:pPr>
    </w:p>
    <w:p w14:paraId="6BCD4590" w14:textId="6AEC7EB0" w:rsidR="00CB0208" w:rsidRPr="00CB0208" w:rsidRDefault="00CB0208" w:rsidP="00DB1306">
      <w:pPr>
        <w:keepNext/>
        <w:spacing w:before="120" w:line="240" w:lineRule="auto"/>
        <w:rPr>
          <w:rFonts w:ascii="Times New Roman" w:hAnsi="Times New Roman" w:cs="Times New Roman"/>
          <w:sz w:val="24"/>
          <w:szCs w:val="24"/>
          <w:u w:val="single"/>
        </w:rPr>
      </w:pPr>
      <w:r w:rsidRPr="00CB0208">
        <w:rPr>
          <w:rFonts w:ascii="Times New Roman" w:hAnsi="Times New Roman" w:cs="Times New Roman"/>
          <w:sz w:val="24"/>
          <w:szCs w:val="24"/>
          <w:u w:val="single"/>
        </w:rPr>
        <w:t>Right to life</w:t>
      </w:r>
    </w:p>
    <w:p w14:paraId="40D3D420" w14:textId="4831952C" w:rsidR="00CB0208" w:rsidRPr="00CB0208" w:rsidRDefault="00CB0208" w:rsidP="00CB0208">
      <w:pPr>
        <w:spacing w:before="120" w:line="240" w:lineRule="auto"/>
        <w:rPr>
          <w:rFonts w:ascii="Times New Roman" w:hAnsi="Times New Roman" w:cs="Times New Roman"/>
          <w:sz w:val="24"/>
          <w:szCs w:val="24"/>
        </w:rPr>
      </w:pPr>
      <w:r w:rsidRPr="00CB0208">
        <w:rPr>
          <w:rFonts w:ascii="Times New Roman" w:hAnsi="Times New Roman" w:cs="Times New Roman"/>
          <w:sz w:val="24"/>
          <w:szCs w:val="24"/>
        </w:rPr>
        <w:t>Article 6(1) of the International Covenant on Civil and Political Rights (ICCPR) sets out the right to life, including that no one shall be arbitrarily deprived of their life. Under international human rights law, the right to life must be respected at all times and no derogation is permitted.</w:t>
      </w:r>
    </w:p>
    <w:p w14:paraId="625FD221" w14:textId="21BD221A" w:rsidR="00CB0208" w:rsidRDefault="00CB0208" w:rsidP="00822447">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Article 6(1) of the </w:t>
      </w:r>
      <w:r w:rsidRPr="00CB0208">
        <w:rPr>
          <w:rFonts w:ascii="Times New Roman" w:hAnsi="Times New Roman" w:cs="Times New Roman"/>
          <w:sz w:val="24"/>
          <w:szCs w:val="24"/>
        </w:rPr>
        <w:t>Convention on the Rights of the Child</w:t>
      </w:r>
      <w:r>
        <w:rPr>
          <w:rFonts w:ascii="Times New Roman" w:hAnsi="Times New Roman" w:cs="Times New Roman"/>
          <w:sz w:val="24"/>
          <w:szCs w:val="24"/>
        </w:rPr>
        <w:t xml:space="preserve"> similarly provides that “</w:t>
      </w:r>
      <w:r w:rsidRPr="00CB0208">
        <w:rPr>
          <w:rFonts w:ascii="Times New Roman" w:hAnsi="Times New Roman" w:cs="Times New Roman"/>
          <w:sz w:val="24"/>
          <w:szCs w:val="24"/>
        </w:rPr>
        <w:t>every child has the inherent right to life</w:t>
      </w:r>
      <w:r>
        <w:rPr>
          <w:rFonts w:ascii="Times New Roman" w:hAnsi="Times New Roman" w:cs="Times New Roman"/>
          <w:sz w:val="24"/>
          <w:szCs w:val="24"/>
        </w:rPr>
        <w:t>”</w:t>
      </w:r>
      <w:r w:rsidR="00EF76F6">
        <w:rPr>
          <w:rFonts w:ascii="Times New Roman" w:hAnsi="Times New Roman" w:cs="Times New Roman"/>
          <w:sz w:val="24"/>
          <w:szCs w:val="24"/>
        </w:rPr>
        <w:t>, and article 6(2) commits State Parties to “</w:t>
      </w:r>
      <w:r w:rsidR="00EF76F6" w:rsidRPr="00EF76F6">
        <w:rPr>
          <w:rFonts w:ascii="Times New Roman" w:hAnsi="Times New Roman" w:cs="Times New Roman"/>
          <w:sz w:val="24"/>
          <w:szCs w:val="24"/>
        </w:rPr>
        <w:t>ensure to the maximum extent possible the survival and development of the child</w:t>
      </w:r>
      <w:r w:rsidR="00EF76F6">
        <w:rPr>
          <w:rFonts w:ascii="Times New Roman" w:hAnsi="Times New Roman" w:cs="Times New Roman"/>
          <w:sz w:val="24"/>
          <w:szCs w:val="24"/>
        </w:rPr>
        <w:t>”</w:t>
      </w:r>
      <w:r>
        <w:rPr>
          <w:rFonts w:ascii="Times New Roman" w:hAnsi="Times New Roman" w:cs="Times New Roman"/>
          <w:sz w:val="24"/>
          <w:szCs w:val="24"/>
        </w:rPr>
        <w:t>.</w:t>
      </w:r>
    </w:p>
    <w:p w14:paraId="6FD204AD" w14:textId="0B6955A7" w:rsidR="009F285E" w:rsidRDefault="009F285E" w:rsidP="00822447">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Article 10 of the </w:t>
      </w:r>
      <w:r w:rsidR="00A724AE" w:rsidRPr="00A724AE">
        <w:rPr>
          <w:rFonts w:ascii="Times New Roman" w:hAnsi="Times New Roman" w:cs="Times New Roman"/>
          <w:sz w:val="24"/>
          <w:szCs w:val="24"/>
        </w:rPr>
        <w:t xml:space="preserve">Convention on the Rights of Persons with Disabilities </w:t>
      </w:r>
      <w:r>
        <w:rPr>
          <w:rFonts w:ascii="Times New Roman" w:hAnsi="Times New Roman" w:cs="Times New Roman"/>
          <w:sz w:val="24"/>
          <w:szCs w:val="24"/>
        </w:rPr>
        <w:t>similarly provides that “</w:t>
      </w:r>
      <w:r w:rsidRPr="009F285E">
        <w:rPr>
          <w:rFonts w:ascii="Times New Roman" w:hAnsi="Times New Roman" w:cs="Times New Roman"/>
          <w:sz w:val="24"/>
          <w:szCs w:val="24"/>
        </w:rPr>
        <w:t>every human being has the inherent right to life and shall take all necessary measures to ensure its effective enjoyment by persons with disabilities on an equal basis with others</w:t>
      </w:r>
      <w:r>
        <w:rPr>
          <w:rFonts w:ascii="Times New Roman" w:hAnsi="Times New Roman" w:cs="Times New Roman"/>
          <w:sz w:val="24"/>
          <w:szCs w:val="24"/>
        </w:rPr>
        <w:t>”.</w:t>
      </w:r>
    </w:p>
    <w:p w14:paraId="34FCBCF2" w14:textId="05FD9A75" w:rsidR="002A2DF6" w:rsidRDefault="00E5387C" w:rsidP="00822447">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BF1B73">
        <w:rPr>
          <w:rFonts w:ascii="Times New Roman" w:hAnsi="Times New Roman" w:cs="Times New Roman"/>
          <w:sz w:val="24"/>
          <w:szCs w:val="24"/>
        </w:rPr>
        <w:t>Order</w:t>
      </w:r>
      <w:r>
        <w:rPr>
          <w:rFonts w:ascii="Times New Roman" w:hAnsi="Times New Roman" w:cs="Times New Roman"/>
          <w:sz w:val="24"/>
          <w:szCs w:val="24"/>
        </w:rPr>
        <w:t xml:space="preserve"> would posi</w:t>
      </w:r>
      <w:r w:rsidR="002A2DF6">
        <w:rPr>
          <w:rFonts w:ascii="Times New Roman" w:hAnsi="Times New Roman" w:cs="Times New Roman"/>
          <w:sz w:val="24"/>
          <w:szCs w:val="24"/>
        </w:rPr>
        <w:t>tively engage this human right.</w:t>
      </w:r>
    </w:p>
    <w:p w14:paraId="3540EA28" w14:textId="394C5C35" w:rsidR="00CB0208" w:rsidRDefault="00BF1B73" w:rsidP="00822447">
      <w:pPr>
        <w:spacing w:before="120" w:line="240" w:lineRule="auto"/>
        <w:rPr>
          <w:rFonts w:ascii="Times New Roman" w:hAnsi="Times New Roman" w:cs="Times New Roman"/>
          <w:sz w:val="24"/>
          <w:szCs w:val="24"/>
        </w:rPr>
      </w:pPr>
      <w:r>
        <w:rPr>
          <w:rFonts w:ascii="Times New Roman" w:hAnsi="Times New Roman" w:cs="Times New Roman"/>
          <w:sz w:val="24"/>
          <w:szCs w:val="24"/>
        </w:rPr>
        <w:lastRenderedPageBreak/>
        <w:t>Specification of an explosive in the Order would engage regulatory obligations that would</w:t>
      </w:r>
      <w:r w:rsidR="00CB0208">
        <w:rPr>
          <w:rFonts w:ascii="Times New Roman" w:hAnsi="Times New Roman" w:cs="Times New Roman"/>
          <w:sz w:val="24"/>
          <w:szCs w:val="24"/>
        </w:rPr>
        <w:t xml:space="preserve"> </w:t>
      </w:r>
      <w:r w:rsidR="00CB0208" w:rsidRPr="00CB0208">
        <w:rPr>
          <w:rFonts w:ascii="Times New Roman" w:hAnsi="Times New Roman" w:cs="Times New Roman"/>
          <w:sz w:val="24"/>
          <w:szCs w:val="24"/>
        </w:rPr>
        <w:t>reduce so far as reasonably practicable the risks of personal injury</w:t>
      </w:r>
      <w:r w:rsidR="00034449">
        <w:rPr>
          <w:rFonts w:ascii="Times New Roman" w:hAnsi="Times New Roman" w:cs="Times New Roman"/>
          <w:sz w:val="24"/>
          <w:szCs w:val="24"/>
        </w:rPr>
        <w:t xml:space="preserve"> from the handling of explosives</w:t>
      </w:r>
      <w:r w:rsidR="00CB0208">
        <w:rPr>
          <w:rFonts w:ascii="Times New Roman" w:hAnsi="Times New Roman" w:cs="Times New Roman"/>
          <w:sz w:val="24"/>
          <w:szCs w:val="24"/>
        </w:rPr>
        <w:t xml:space="preserve">, to improve transport safety, and to </w:t>
      </w:r>
      <w:r w:rsidR="00CB0208" w:rsidRPr="00CB0208">
        <w:rPr>
          <w:rFonts w:ascii="Times New Roman" w:hAnsi="Times New Roman" w:cs="Times New Roman"/>
          <w:sz w:val="24"/>
          <w:szCs w:val="24"/>
        </w:rPr>
        <w:t>prescribe the observance of certain safety measures in the vicinity of declared explosives areas</w:t>
      </w:r>
      <w:r w:rsidR="00CB0208">
        <w:rPr>
          <w:rFonts w:ascii="Times New Roman" w:hAnsi="Times New Roman" w:cs="Times New Roman"/>
          <w:sz w:val="24"/>
          <w:szCs w:val="24"/>
        </w:rPr>
        <w:t>. These purposes support the right to life.</w:t>
      </w:r>
    </w:p>
    <w:p w14:paraId="059E4245" w14:textId="094F7046" w:rsidR="00CB0208" w:rsidRDefault="00CB0208" w:rsidP="00822447">
      <w:pPr>
        <w:spacing w:before="120" w:line="240" w:lineRule="auto"/>
        <w:rPr>
          <w:rFonts w:ascii="Times New Roman" w:hAnsi="Times New Roman" w:cs="Times New Roman"/>
          <w:sz w:val="24"/>
          <w:szCs w:val="24"/>
        </w:rPr>
      </w:pPr>
    </w:p>
    <w:p w14:paraId="4792D4C4" w14:textId="6801CFDF" w:rsidR="001F0DA4" w:rsidRPr="001F0DA4" w:rsidRDefault="001F0DA4" w:rsidP="00DB1306">
      <w:pPr>
        <w:keepNext/>
        <w:spacing w:before="120" w:line="240" w:lineRule="auto"/>
        <w:rPr>
          <w:rFonts w:ascii="Times New Roman" w:hAnsi="Times New Roman" w:cs="Times New Roman"/>
          <w:sz w:val="24"/>
          <w:szCs w:val="24"/>
          <w:u w:val="single"/>
        </w:rPr>
      </w:pPr>
      <w:r w:rsidRPr="001F0DA4">
        <w:rPr>
          <w:rFonts w:ascii="Times New Roman" w:hAnsi="Times New Roman" w:cs="Times New Roman"/>
          <w:sz w:val="24"/>
          <w:szCs w:val="24"/>
          <w:u w:val="single"/>
        </w:rPr>
        <w:t>Right to safe and healthy working conditions</w:t>
      </w:r>
    </w:p>
    <w:p w14:paraId="28908783" w14:textId="54376185" w:rsidR="001F0DA4" w:rsidRDefault="001F0DA4" w:rsidP="00822447">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Article 7 of the </w:t>
      </w:r>
      <w:r w:rsidRPr="001F0DA4">
        <w:rPr>
          <w:rFonts w:ascii="Times New Roman" w:hAnsi="Times New Roman" w:cs="Times New Roman"/>
          <w:sz w:val="24"/>
          <w:szCs w:val="24"/>
        </w:rPr>
        <w:t>International Covenant on Economic, Social and Cultural Rights</w:t>
      </w:r>
      <w:r>
        <w:rPr>
          <w:rFonts w:ascii="Times New Roman" w:hAnsi="Times New Roman" w:cs="Times New Roman"/>
          <w:sz w:val="24"/>
          <w:szCs w:val="24"/>
        </w:rPr>
        <w:t xml:space="preserve"> sets out the right to safe and healthy working conditions.</w:t>
      </w:r>
    </w:p>
    <w:p w14:paraId="1A0E50EE" w14:textId="45907C21" w:rsidR="002A2DF6" w:rsidRDefault="001F0DA4" w:rsidP="00822447">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BF1B73">
        <w:rPr>
          <w:rFonts w:ascii="Times New Roman" w:hAnsi="Times New Roman" w:cs="Times New Roman"/>
          <w:sz w:val="24"/>
          <w:szCs w:val="24"/>
        </w:rPr>
        <w:t>Order</w:t>
      </w:r>
      <w:r>
        <w:rPr>
          <w:rFonts w:ascii="Times New Roman" w:hAnsi="Times New Roman" w:cs="Times New Roman"/>
          <w:sz w:val="24"/>
          <w:szCs w:val="24"/>
        </w:rPr>
        <w:t xml:space="preserve"> would positively engage this human right.</w:t>
      </w:r>
    </w:p>
    <w:p w14:paraId="45B65524" w14:textId="7D623400" w:rsidR="001F0DA4" w:rsidRDefault="00BF1B73" w:rsidP="00822447">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Specification of an explosive in the Order would engage regulatory obligations that would </w:t>
      </w:r>
      <w:r w:rsidRPr="00CB0208">
        <w:rPr>
          <w:rFonts w:ascii="Times New Roman" w:hAnsi="Times New Roman" w:cs="Times New Roman"/>
          <w:sz w:val="24"/>
          <w:szCs w:val="24"/>
        </w:rPr>
        <w:t xml:space="preserve">reduce </w:t>
      </w:r>
      <w:r w:rsidR="001F0DA4" w:rsidRPr="00CB0208">
        <w:rPr>
          <w:rFonts w:ascii="Times New Roman" w:hAnsi="Times New Roman" w:cs="Times New Roman"/>
          <w:sz w:val="24"/>
          <w:szCs w:val="24"/>
        </w:rPr>
        <w:t>so far as reasonably practicable the risks of personal injury</w:t>
      </w:r>
      <w:r w:rsidR="00034449">
        <w:rPr>
          <w:rFonts w:ascii="Times New Roman" w:hAnsi="Times New Roman" w:cs="Times New Roman"/>
          <w:sz w:val="24"/>
          <w:szCs w:val="24"/>
        </w:rPr>
        <w:t xml:space="preserve"> from the handling of explosives</w:t>
      </w:r>
      <w:r w:rsidR="001F0DA4">
        <w:rPr>
          <w:rFonts w:ascii="Times New Roman" w:hAnsi="Times New Roman" w:cs="Times New Roman"/>
          <w:sz w:val="24"/>
          <w:szCs w:val="24"/>
        </w:rPr>
        <w:t xml:space="preserve">, to improve transport safety, and to </w:t>
      </w:r>
      <w:r w:rsidR="001F0DA4" w:rsidRPr="00CB0208">
        <w:rPr>
          <w:rFonts w:ascii="Times New Roman" w:hAnsi="Times New Roman" w:cs="Times New Roman"/>
          <w:sz w:val="24"/>
          <w:szCs w:val="24"/>
        </w:rPr>
        <w:t>prescribe the observance of certain safety measures in the vicinity of declared explosives areas</w:t>
      </w:r>
      <w:r w:rsidR="001F0DA4">
        <w:rPr>
          <w:rFonts w:ascii="Times New Roman" w:hAnsi="Times New Roman" w:cs="Times New Roman"/>
          <w:sz w:val="24"/>
          <w:szCs w:val="24"/>
        </w:rPr>
        <w:t>. These purposes support the right to safe and healthy working conditions for people involved in the handling of explosives and people working in Commonwealth explosives areas.</w:t>
      </w:r>
    </w:p>
    <w:p w14:paraId="041019EE" w14:textId="17495093" w:rsidR="00CB0208" w:rsidRDefault="00CB0208" w:rsidP="00822447">
      <w:pPr>
        <w:spacing w:before="120" w:line="240" w:lineRule="auto"/>
        <w:rPr>
          <w:rFonts w:ascii="Times New Roman" w:hAnsi="Times New Roman" w:cs="Times New Roman"/>
          <w:sz w:val="24"/>
          <w:szCs w:val="24"/>
        </w:rPr>
      </w:pPr>
    </w:p>
    <w:p w14:paraId="398B1FD1" w14:textId="4C1B8390" w:rsidR="00822447" w:rsidRPr="003644E6" w:rsidRDefault="009D5FB6" w:rsidP="00822447">
      <w:pPr>
        <w:spacing w:after="0" w:line="240" w:lineRule="auto"/>
        <w:rPr>
          <w:rFonts w:ascii="Times New Roman" w:eastAsia="Calibri" w:hAnsi="Times New Roman" w:cs="Times New Roman"/>
          <w:b/>
          <w:bCs/>
          <w:i/>
          <w:iCs/>
          <w:sz w:val="24"/>
          <w:szCs w:val="24"/>
        </w:rPr>
      </w:pPr>
      <w:r>
        <w:rPr>
          <w:rFonts w:ascii="Times New Roman" w:eastAsia="Calibri" w:hAnsi="Times New Roman" w:cs="Times New Roman"/>
          <w:b/>
          <w:bCs/>
          <w:iCs/>
          <w:sz w:val="24"/>
          <w:szCs w:val="24"/>
        </w:rPr>
        <w:t>Conclusion</w:t>
      </w:r>
    </w:p>
    <w:p w14:paraId="4470E299" w14:textId="6D1A638E" w:rsidR="005D543B" w:rsidRPr="00ED2546" w:rsidRDefault="00E30F76" w:rsidP="00ED2546">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BF1B73">
        <w:rPr>
          <w:rFonts w:ascii="Times New Roman" w:hAnsi="Times New Roman" w:cs="Times New Roman"/>
          <w:sz w:val="24"/>
          <w:szCs w:val="24"/>
        </w:rPr>
        <w:t>Order is</w:t>
      </w:r>
      <w:r w:rsidR="00822447" w:rsidRPr="00822447">
        <w:rPr>
          <w:rFonts w:ascii="Times New Roman" w:hAnsi="Times New Roman" w:cs="Times New Roman"/>
          <w:sz w:val="24"/>
          <w:szCs w:val="24"/>
        </w:rPr>
        <w:t xml:space="preserve"> compatible with human rights because</w:t>
      </w:r>
      <w:r w:rsidR="009D5FB6">
        <w:rPr>
          <w:rFonts w:ascii="Times New Roman" w:hAnsi="Times New Roman" w:cs="Times New Roman"/>
          <w:sz w:val="24"/>
          <w:szCs w:val="24"/>
        </w:rPr>
        <w:t xml:space="preserve"> the </w:t>
      </w:r>
      <w:r w:rsidR="00BF1B73">
        <w:rPr>
          <w:rFonts w:ascii="Times New Roman" w:hAnsi="Times New Roman" w:cs="Times New Roman"/>
          <w:sz w:val="24"/>
          <w:szCs w:val="24"/>
        </w:rPr>
        <w:t>Order would</w:t>
      </w:r>
      <w:r w:rsidR="009D5FB6">
        <w:rPr>
          <w:rFonts w:ascii="Times New Roman" w:hAnsi="Times New Roman" w:cs="Times New Roman"/>
          <w:sz w:val="24"/>
          <w:szCs w:val="24"/>
        </w:rPr>
        <w:t xml:space="preserve"> promote the protection of human rights</w:t>
      </w:r>
      <w:r w:rsidR="00BF1B73">
        <w:rPr>
          <w:rFonts w:ascii="Times New Roman" w:hAnsi="Times New Roman" w:cs="Times New Roman"/>
          <w:sz w:val="24"/>
          <w:szCs w:val="24"/>
        </w:rPr>
        <w:t>, namely the right to life and the right to safe and health working conditions, in relation to the explosives specified in the Order</w:t>
      </w:r>
      <w:r w:rsidR="00822447" w:rsidRPr="009D5FB6">
        <w:rPr>
          <w:rFonts w:ascii="Times New Roman" w:hAnsi="Times New Roman" w:cs="Times New Roman"/>
          <w:sz w:val="24"/>
          <w:szCs w:val="24"/>
        </w:rPr>
        <w:t>.</w:t>
      </w:r>
    </w:p>
    <w:sectPr w:rsidR="005D543B" w:rsidRPr="00ED2546" w:rsidSect="004F5CE4">
      <w:headerReference w:type="default" r:id="rId8"/>
      <w:footerReference w:type="default" r:id="rId9"/>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0A4A4" w14:textId="77777777" w:rsidR="00F71D99" w:rsidRDefault="00F71D99" w:rsidP="00B77D97">
      <w:pPr>
        <w:spacing w:after="0" w:line="240" w:lineRule="auto"/>
      </w:pPr>
      <w:r>
        <w:separator/>
      </w:r>
    </w:p>
  </w:endnote>
  <w:endnote w:type="continuationSeparator" w:id="0">
    <w:p w14:paraId="371E2D33" w14:textId="77777777" w:rsidR="00F71D99" w:rsidRDefault="00F71D99" w:rsidP="00B77D97">
      <w:pPr>
        <w:spacing w:after="0" w:line="240" w:lineRule="auto"/>
      </w:pPr>
      <w:r>
        <w:continuationSeparator/>
      </w:r>
    </w:p>
  </w:endnote>
  <w:endnote w:type="continuationNotice" w:id="1">
    <w:p w14:paraId="19AFEAEA" w14:textId="77777777" w:rsidR="00F71D99" w:rsidRDefault="00F71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A93DE" w14:textId="58AF2655" w:rsidR="00652C0B" w:rsidRPr="00B77D97" w:rsidRDefault="00652C0B" w:rsidP="00B77D97">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D804D2">
      <w:rPr>
        <w:rFonts w:ascii="Times New Roman" w:hAnsi="Times New Roman" w:cs="Times New Roman"/>
        <w:noProof/>
      </w:rPr>
      <w:t>2</w:t>
    </w:r>
    <w:r>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B6F83" w14:textId="77777777" w:rsidR="00F71D99" w:rsidRDefault="00F71D99" w:rsidP="00B77D97">
      <w:pPr>
        <w:spacing w:after="0" w:line="240" w:lineRule="auto"/>
      </w:pPr>
      <w:r>
        <w:separator/>
      </w:r>
    </w:p>
  </w:footnote>
  <w:footnote w:type="continuationSeparator" w:id="0">
    <w:p w14:paraId="23C6EBA7" w14:textId="77777777" w:rsidR="00F71D99" w:rsidRDefault="00F71D99" w:rsidP="00B77D97">
      <w:pPr>
        <w:spacing w:after="0" w:line="240" w:lineRule="auto"/>
      </w:pPr>
      <w:r>
        <w:continuationSeparator/>
      </w:r>
    </w:p>
  </w:footnote>
  <w:footnote w:type="continuationNotice" w:id="1">
    <w:p w14:paraId="5CCAC72D" w14:textId="77777777" w:rsidR="00F71D99" w:rsidRDefault="00F71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AA35D" w14:textId="77777777" w:rsidR="00652C0B" w:rsidRPr="00B77D97" w:rsidRDefault="00652C0B" w:rsidP="00B77D97">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84AE9"/>
    <w:multiLevelType w:val="multilevel"/>
    <w:tmpl w:val="3F1EBC72"/>
    <w:styleLink w:val="ListAlpha"/>
    <w:lvl w:ilvl="0">
      <w:start w:val="1"/>
      <w:numFmt w:val="upperLetter"/>
      <w:lvlText w:val="%1."/>
      <w:lvlJc w:val="left"/>
      <w:pPr>
        <w:tabs>
          <w:tab w:val="num" w:pos="284"/>
        </w:tabs>
        <w:ind w:left="567" w:hanging="567"/>
      </w:pPr>
      <w:rPr>
        <w:rFonts w:asciiTheme="minorHAnsi" w:hAnsiTheme="minorHAnsi" w:hint="default"/>
        <w:color w:val="auto"/>
        <w:sz w:val="20"/>
      </w:rPr>
    </w:lvl>
    <w:lvl w:ilvl="1">
      <w:start w:val="1"/>
      <w:numFmt w:val="lowerRoman"/>
      <w:lvlText w:val="%2."/>
      <w:lvlJc w:val="left"/>
      <w:pPr>
        <w:tabs>
          <w:tab w:val="num" w:pos="1134"/>
        </w:tabs>
        <w:ind w:left="1134" w:hanging="567"/>
      </w:pPr>
      <w:rPr>
        <w:rFonts w:asciiTheme="minorHAnsi" w:hAnsiTheme="minorHAnsi" w:hint="default"/>
        <w:color w:val="auto"/>
        <w:sz w:val="22"/>
      </w:rPr>
    </w:lvl>
    <w:lvl w:ilvl="2">
      <w:start w:val="1"/>
      <w:numFmt w:val="lowerLetter"/>
      <w:lvlText w:val="%3."/>
      <w:lvlJc w:val="left"/>
      <w:pPr>
        <w:tabs>
          <w:tab w:val="num" w:pos="1701"/>
        </w:tabs>
        <w:ind w:left="1701" w:hanging="567"/>
      </w:pPr>
      <w:rPr>
        <w:rFonts w:asciiTheme="minorHAnsi" w:hAnsiTheme="minorHAnsi" w:hint="default"/>
        <w:color w:val="auto"/>
        <w:sz w:val="20"/>
      </w:rPr>
    </w:lvl>
    <w:lvl w:ilvl="3">
      <w:start w:val="1"/>
      <w:numFmt w:val="upperRoman"/>
      <w:lvlText w:val="%4."/>
      <w:lvlJc w:val="left"/>
      <w:pPr>
        <w:tabs>
          <w:tab w:val="num" w:pos="2268"/>
        </w:tabs>
        <w:ind w:left="2268" w:hanging="567"/>
      </w:pPr>
      <w:rPr>
        <w:rFonts w:asciiTheme="minorHAnsi" w:hAnsiTheme="minorHAnsi" w:hint="default"/>
        <w:color w:val="auto"/>
        <w:sz w:val="20"/>
      </w:rPr>
    </w:lvl>
    <w:lvl w:ilvl="4">
      <w:start w:val="1"/>
      <w:numFmt w:val="decimal"/>
      <w:lvlText w:val="%5."/>
      <w:lvlJc w:val="left"/>
      <w:pPr>
        <w:tabs>
          <w:tab w:val="num" w:pos="2835"/>
        </w:tabs>
        <w:ind w:left="2835" w:hanging="567"/>
      </w:pPr>
      <w:rPr>
        <w:rFonts w:asciiTheme="minorHAnsi" w:hAnsiTheme="minorHAnsi" w:hint="default"/>
        <w:color w:val="auto"/>
        <w:sz w:val="20"/>
      </w:rPr>
    </w:lvl>
    <w:lvl w:ilvl="5">
      <w:start w:val="1"/>
      <w:numFmt w:val="lowerLetter"/>
      <w:lvlText w:val="%6."/>
      <w:lvlJc w:val="left"/>
      <w:pPr>
        <w:tabs>
          <w:tab w:val="num" w:pos="3402"/>
        </w:tabs>
        <w:ind w:left="3402" w:hanging="567"/>
      </w:pPr>
      <w:rPr>
        <w:rFonts w:asciiTheme="minorHAnsi" w:hAnsiTheme="minorHAnsi" w:hint="default"/>
        <w:color w:val="auto"/>
        <w:sz w:val="20"/>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 w15:restartNumberingAfterBreak="0">
    <w:nsid w:val="08D457C5"/>
    <w:multiLevelType w:val="multilevel"/>
    <w:tmpl w:val="624681D2"/>
    <w:numStyleLink w:val="ListTableBullet"/>
  </w:abstractNum>
  <w:abstractNum w:abstractNumId="2" w15:restartNumberingAfterBreak="0">
    <w:nsid w:val="09843EE5"/>
    <w:multiLevelType w:val="hybridMultilevel"/>
    <w:tmpl w:val="42807E76"/>
    <w:lvl w:ilvl="0" w:tplc="0C090001">
      <w:start w:val="1"/>
      <w:numFmt w:val="bullet"/>
      <w:lvlText w:val=""/>
      <w:lvlJc w:val="left"/>
      <w:pPr>
        <w:ind w:left="778" w:hanging="360"/>
      </w:pPr>
      <w:rPr>
        <w:rFonts w:ascii="Symbol" w:hAnsi="Symbol" w:hint="default"/>
      </w:rPr>
    </w:lvl>
    <w:lvl w:ilvl="1" w:tplc="0C090003">
      <w:start w:val="1"/>
      <w:numFmt w:val="bullet"/>
      <w:lvlText w:val="o"/>
      <w:lvlJc w:val="left"/>
      <w:pPr>
        <w:ind w:left="1498" w:hanging="360"/>
      </w:pPr>
      <w:rPr>
        <w:rFonts w:ascii="Courier New" w:hAnsi="Courier New" w:cs="Courier New" w:hint="default"/>
      </w:rPr>
    </w:lvl>
    <w:lvl w:ilvl="2" w:tplc="0C090005">
      <w:start w:val="1"/>
      <w:numFmt w:val="bullet"/>
      <w:lvlText w:val=""/>
      <w:lvlJc w:val="left"/>
      <w:pPr>
        <w:ind w:left="2218" w:hanging="360"/>
      </w:pPr>
      <w:rPr>
        <w:rFonts w:ascii="Wingdings" w:hAnsi="Wingdings" w:hint="default"/>
      </w:rPr>
    </w:lvl>
    <w:lvl w:ilvl="3" w:tplc="0C090001">
      <w:start w:val="1"/>
      <w:numFmt w:val="bullet"/>
      <w:lvlText w:val=""/>
      <w:lvlJc w:val="left"/>
      <w:pPr>
        <w:ind w:left="2938" w:hanging="360"/>
      </w:pPr>
      <w:rPr>
        <w:rFonts w:ascii="Symbol" w:hAnsi="Symbol" w:hint="default"/>
      </w:rPr>
    </w:lvl>
    <w:lvl w:ilvl="4" w:tplc="0C090003">
      <w:start w:val="1"/>
      <w:numFmt w:val="bullet"/>
      <w:lvlText w:val="o"/>
      <w:lvlJc w:val="left"/>
      <w:pPr>
        <w:ind w:left="3658" w:hanging="360"/>
      </w:pPr>
      <w:rPr>
        <w:rFonts w:ascii="Courier New" w:hAnsi="Courier New" w:cs="Courier New" w:hint="default"/>
      </w:rPr>
    </w:lvl>
    <w:lvl w:ilvl="5" w:tplc="0C090005">
      <w:start w:val="1"/>
      <w:numFmt w:val="bullet"/>
      <w:lvlText w:val=""/>
      <w:lvlJc w:val="left"/>
      <w:pPr>
        <w:ind w:left="4378" w:hanging="360"/>
      </w:pPr>
      <w:rPr>
        <w:rFonts w:ascii="Wingdings" w:hAnsi="Wingdings" w:hint="default"/>
      </w:rPr>
    </w:lvl>
    <w:lvl w:ilvl="6" w:tplc="0C090001">
      <w:start w:val="1"/>
      <w:numFmt w:val="bullet"/>
      <w:lvlText w:val=""/>
      <w:lvlJc w:val="left"/>
      <w:pPr>
        <w:ind w:left="5098" w:hanging="360"/>
      </w:pPr>
      <w:rPr>
        <w:rFonts w:ascii="Symbol" w:hAnsi="Symbol" w:hint="default"/>
      </w:rPr>
    </w:lvl>
    <w:lvl w:ilvl="7" w:tplc="0C090003">
      <w:start w:val="1"/>
      <w:numFmt w:val="bullet"/>
      <w:lvlText w:val="o"/>
      <w:lvlJc w:val="left"/>
      <w:pPr>
        <w:ind w:left="5818" w:hanging="360"/>
      </w:pPr>
      <w:rPr>
        <w:rFonts w:ascii="Courier New" w:hAnsi="Courier New" w:cs="Courier New" w:hint="default"/>
      </w:rPr>
    </w:lvl>
    <w:lvl w:ilvl="8" w:tplc="0C090005">
      <w:start w:val="1"/>
      <w:numFmt w:val="bullet"/>
      <w:lvlText w:val=""/>
      <w:lvlJc w:val="left"/>
      <w:pPr>
        <w:ind w:left="6538" w:hanging="360"/>
      </w:pPr>
      <w:rPr>
        <w:rFonts w:ascii="Wingdings" w:hAnsi="Wingdings" w:hint="default"/>
      </w:rPr>
    </w:lvl>
  </w:abstractNum>
  <w:abstractNum w:abstractNumId="3" w15:restartNumberingAfterBreak="0">
    <w:nsid w:val="0A4D6793"/>
    <w:multiLevelType w:val="hybridMultilevel"/>
    <w:tmpl w:val="67F6B424"/>
    <w:lvl w:ilvl="0" w:tplc="4D763EF0">
      <w:start w:val="1"/>
      <w:numFmt w:val="bullet"/>
      <w:pStyle w:val="Bullet1stlevel"/>
      <w:lvlText w:val=""/>
      <w:lvlJc w:val="left"/>
      <w:pPr>
        <w:tabs>
          <w:tab w:val="num" w:pos="340"/>
        </w:tabs>
        <w:ind w:left="340" w:hanging="340"/>
      </w:pPr>
      <w:rPr>
        <w:rFonts w:ascii="Symbol" w:hAnsi="Symbol" w:hint="default"/>
        <w:color w:val="auto"/>
        <w:sz w:val="22"/>
      </w:rPr>
    </w:lvl>
    <w:lvl w:ilvl="1" w:tplc="C5223D38">
      <w:numFmt w:val="decimal"/>
      <w:lvlText w:val=""/>
      <w:lvlJc w:val="left"/>
    </w:lvl>
    <w:lvl w:ilvl="2" w:tplc="02142D5C">
      <w:numFmt w:val="decimal"/>
      <w:lvlText w:val=""/>
      <w:lvlJc w:val="left"/>
    </w:lvl>
    <w:lvl w:ilvl="3" w:tplc="81DC3DAA">
      <w:numFmt w:val="decimal"/>
      <w:lvlText w:val=""/>
      <w:lvlJc w:val="left"/>
    </w:lvl>
    <w:lvl w:ilvl="4" w:tplc="0AE8BAEA">
      <w:numFmt w:val="decimal"/>
      <w:lvlText w:val=""/>
      <w:lvlJc w:val="left"/>
    </w:lvl>
    <w:lvl w:ilvl="5" w:tplc="186670A4">
      <w:numFmt w:val="decimal"/>
      <w:lvlText w:val=""/>
      <w:lvlJc w:val="left"/>
    </w:lvl>
    <w:lvl w:ilvl="6" w:tplc="E5941FE0">
      <w:numFmt w:val="decimal"/>
      <w:lvlText w:val=""/>
      <w:lvlJc w:val="left"/>
    </w:lvl>
    <w:lvl w:ilvl="7" w:tplc="4EB6076C">
      <w:numFmt w:val="decimal"/>
      <w:lvlText w:val=""/>
      <w:lvlJc w:val="left"/>
    </w:lvl>
    <w:lvl w:ilvl="8" w:tplc="091CCC24">
      <w:numFmt w:val="decimal"/>
      <w:lvlText w:val=""/>
      <w:lvlJc w:val="left"/>
    </w:lvl>
  </w:abstractNum>
  <w:abstractNum w:abstractNumId="4"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3BE0D62"/>
    <w:multiLevelType w:val="multilevel"/>
    <w:tmpl w:val="1C6243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C977AF4"/>
    <w:multiLevelType w:val="hybridMultilevel"/>
    <w:tmpl w:val="8A5EB69A"/>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7" w15:restartNumberingAfterBreak="0">
    <w:nsid w:val="27A1752C"/>
    <w:multiLevelType w:val="hybridMultilevel"/>
    <w:tmpl w:val="6F14E6D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AE532A9"/>
    <w:multiLevelType w:val="hybridMultilevel"/>
    <w:tmpl w:val="16DE8FA2"/>
    <w:lvl w:ilvl="0" w:tplc="C80632DA">
      <w:start w:val="1"/>
      <w:numFmt w:val="decimal"/>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2BA2238"/>
    <w:multiLevelType w:val="hybridMultilevel"/>
    <w:tmpl w:val="FEA81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8B22CF"/>
    <w:multiLevelType w:val="hybridMultilevel"/>
    <w:tmpl w:val="2CCABABA"/>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856120F"/>
    <w:multiLevelType w:val="hybridMultilevel"/>
    <w:tmpl w:val="131C9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B93B97"/>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auto"/>
        <w:sz w:val="20"/>
      </w:rPr>
    </w:lvl>
    <w:lvl w:ilvl="1">
      <w:start w:val="1"/>
      <w:numFmt w:val="bullet"/>
      <w:pStyle w:val="TableBullet2"/>
      <w:lvlText w:val="–"/>
      <w:lvlJc w:val="left"/>
      <w:pPr>
        <w:tabs>
          <w:tab w:val="num" w:pos="567"/>
        </w:tabs>
        <w:ind w:left="567" w:hanging="283"/>
      </w:pPr>
      <w:rPr>
        <w:rFonts w:ascii="Arial" w:hAnsi="Arial" w:cs="Times New Roman" w:hint="default"/>
        <w:color w:val="auto"/>
        <w:sz w:val="20"/>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13" w15:restartNumberingAfterBreak="0">
    <w:nsid w:val="5F7C6369"/>
    <w:multiLevelType w:val="hybridMultilevel"/>
    <w:tmpl w:val="24705510"/>
    <w:lvl w:ilvl="0" w:tplc="B868045A">
      <w:start w:val="1"/>
      <w:numFmt w:val="decimal"/>
      <w:lvlText w:val="%1."/>
      <w:lvlJc w:val="left"/>
      <w:pPr>
        <w:ind w:left="720" w:hanging="360"/>
      </w:pPr>
      <w:rPr>
        <w:rFonts w:ascii="Times New Roman" w:hAnsi="Times New Roman" w:cs="Times New Roman" w:hint="default"/>
        <w:sz w:val="24"/>
        <w:szCs w:val="24"/>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33C3696"/>
    <w:multiLevelType w:val="hybridMultilevel"/>
    <w:tmpl w:val="888A9BFE"/>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16" w15:restartNumberingAfterBreak="0">
    <w:nsid w:val="65402428"/>
    <w:multiLevelType w:val="hybridMultilevel"/>
    <w:tmpl w:val="B4D4B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2D316B"/>
    <w:multiLevelType w:val="hybridMultilevel"/>
    <w:tmpl w:val="395E2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C97204"/>
    <w:multiLevelType w:val="hybridMultilevel"/>
    <w:tmpl w:val="C412725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74C9058B"/>
    <w:multiLevelType w:val="hybridMultilevel"/>
    <w:tmpl w:val="BA8E7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9D94BA1"/>
    <w:multiLevelType w:val="hybridMultilevel"/>
    <w:tmpl w:val="6EC2A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9"/>
  </w:num>
  <w:num w:numId="4">
    <w:abstractNumId w:val="19"/>
  </w:num>
  <w:num w:numId="5">
    <w:abstractNumId w:val="16"/>
  </w:num>
  <w:num w:numId="6">
    <w:abstractNumId w:val="20"/>
  </w:num>
  <w:num w:numId="7">
    <w:abstractNumId w:val="2"/>
  </w:num>
  <w:num w:numId="8">
    <w:abstractNumId w:val="14"/>
  </w:num>
  <w:num w:numId="9">
    <w:abstractNumId w:val="6"/>
  </w:num>
  <w:num w:numId="10">
    <w:abstractNumId w:val="13"/>
  </w:num>
  <w:num w:numId="11">
    <w:abstractNumId w:val="18"/>
  </w:num>
  <w:num w:numId="12">
    <w:abstractNumId w:val="7"/>
  </w:num>
  <w:num w:numId="13">
    <w:abstractNumId w:val="8"/>
    <w:lvlOverride w:ilvl="0">
      <w:startOverride w:val="1"/>
    </w:lvlOverride>
  </w:num>
  <w:num w:numId="14">
    <w:abstractNumId w:val="0"/>
  </w:num>
  <w:num w:numId="15">
    <w:abstractNumId w:val="12"/>
  </w:num>
  <w:num w:numId="16">
    <w:abstractNumId w:val="1"/>
    <w:lvlOverride w:ilvl="0">
      <w:lvl w:ilvl="0">
        <w:start w:val="1"/>
        <w:numFmt w:val="bullet"/>
        <w:pStyle w:val="TableBullet"/>
        <w:lvlText w:val=""/>
        <w:lvlJc w:val="left"/>
        <w:pPr>
          <w:tabs>
            <w:tab w:val="num" w:pos="284"/>
          </w:tabs>
          <w:ind w:left="170" w:hanging="170"/>
        </w:pPr>
        <w:rPr>
          <w:rFonts w:ascii="Symbol" w:hAnsi="Symbol" w:hint="default"/>
          <w:color w:val="auto"/>
          <w:sz w:val="20"/>
        </w:rPr>
      </w:lvl>
    </w:lvlOverride>
    <w:lvlOverride w:ilvl="1">
      <w:lvl w:ilvl="1">
        <w:start w:val="1"/>
        <w:numFmt w:val="bullet"/>
        <w:pStyle w:val="TableBullet2"/>
        <w:lvlText w:val="–"/>
        <w:lvlJc w:val="left"/>
        <w:pPr>
          <w:tabs>
            <w:tab w:val="num" w:pos="454"/>
          </w:tabs>
          <w:ind w:left="340" w:hanging="170"/>
        </w:pPr>
        <w:rPr>
          <w:rFonts w:ascii="Arial" w:hAnsi="Arial" w:cs="Times New Roman" w:hint="default"/>
          <w:color w:val="auto"/>
          <w:sz w:val="20"/>
        </w:rPr>
      </w:lvl>
    </w:lvlOverride>
    <w:lvlOverride w:ilvl="2">
      <w:lvl w:ilvl="2">
        <w:start w:val="1"/>
        <w:numFmt w:val="none"/>
        <w:lvlText w:val=""/>
        <w:lvlJc w:val="left"/>
        <w:pPr>
          <w:tabs>
            <w:tab w:val="num" w:pos="624"/>
          </w:tabs>
          <w:ind w:left="510" w:hanging="170"/>
        </w:pPr>
        <w:rPr>
          <w:rFonts w:hint="default"/>
          <w:color w:val="000000"/>
        </w:rPr>
      </w:lvl>
    </w:lvlOverride>
    <w:lvlOverride w:ilvl="3">
      <w:lvl w:ilvl="3">
        <w:start w:val="1"/>
        <w:numFmt w:val="none"/>
        <w:lvlText w:val="%4"/>
        <w:lvlJc w:val="left"/>
        <w:pPr>
          <w:tabs>
            <w:tab w:val="num" w:pos="794"/>
          </w:tabs>
          <w:ind w:left="680" w:hanging="170"/>
        </w:pPr>
        <w:rPr>
          <w:rFonts w:hint="default"/>
        </w:rPr>
      </w:lvl>
    </w:lvlOverride>
    <w:lvlOverride w:ilvl="4">
      <w:lvl w:ilvl="4">
        <w:start w:val="1"/>
        <w:numFmt w:val="none"/>
        <w:lvlText w:val=""/>
        <w:lvlJc w:val="left"/>
        <w:pPr>
          <w:tabs>
            <w:tab w:val="num" w:pos="964"/>
          </w:tabs>
          <w:ind w:left="850" w:hanging="170"/>
        </w:pPr>
        <w:rPr>
          <w:rFonts w:hint="default"/>
          <w:color w:val="000000"/>
        </w:rPr>
      </w:lvl>
    </w:lvlOverride>
    <w:lvlOverride w:ilvl="5">
      <w:lvl w:ilvl="5">
        <w:start w:val="1"/>
        <w:numFmt w:val="none"/>
        <w:lvlText w:val=""/>
        <w:lvlJc w:val="left"/>
        <w:pPr>
          <w:tabs>
            <w:tab w:val="num" w:pos="1134"/>
          </w:tabs>
          <w:ind w:left="1020" w:hanging="170"/>
        </w:pPr>
        <w:rPr>
          <w:rFonts w:hint="default"/>
        </w:rPr>
      </w:lvl>
    </w:lvlOverride>
    <w:lvlOverride w:ilvl="6">
      <w:lvl w:ilvl="6">
        <w:start w:val="1"/>
        <w:numFmt w:val="none"/>
        <w:lvlText w:val=""/>
        <w:lvlJc w:val="left"/>
        <w:pPr>
          <w:tabs>
            <w:tab w:val="num" w:pos="1304"/>
          </w:tabs>
          <w:ind w:left="1190" w:hanging="170"/>
        </w:pPr>
        <w:rPr>
          <w:rFonts w:hint="default"/>
          <w:color w:val="000000"/>
        </w:rPr>
      </w:lvl>
    </w:lvlOverride>
    <w:lvlOverride w:ilvl="7">
      <w:lvl w:ilvl="7">
        <w:start w:val="1"/>
        <w:numFmt w:val="none"/>
        <w:lvlText w:val="%8"/>
        <w:lvlJc w:val="left"/>
        <w:pPr>
          <w:tabs>
            <w:tab w:val="num" w:pos="1474"/>
          </w:tabs>
          <w:ind w:left="1360" w:hanging="170"/>
        </w:pPr>
        <w:rPr>
          <w:rFonts w:hint="default"/>
        </w:rPr>
      </w:lvl>
    </w:lvlOverride>
    <w:lvlOverride w:ilvl="8">
      <w:lvl w:ilvl="8">
        <w:start w:val="1"/>
        <w:numFmt w:val="none"/>
        <w:lvlText w:val=""/>
        <w:lvlJc w:val="left"/>
        <w:pPr>
          <w:tabs>
            <w:tab w:val="num" w:pos="1644"/>
          </w:tabs>
          <w:ind w:left="1530" w:hanging="170"/>
        </w:pPr>
        <w:rPr>
          <w:rFonts w:hint="default"/>
          <w:color w:val="000000"/>
        </w:rPr>
      </w:lvl>
    </w:lvlOverride>
  </w:num>
  <w:num w:numId="17">
    <w:abstractNumId w:val="3"/>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8"/>
  </w:num>
  <w:num w:numId="30">
    <w:abstractNumId w:val="8"/>
    <w:lvlOverride w:ilvl="0">
      <w:startOverride w:val="1"/>
    </w:lvlOverride>
  </w:num>
  <w:num w:numId="31">
    <w:abstractNumId w:val="8"/>
  </w:num>
  <w:num w:numId="32">
    <w:abstractNumId w:val="4"/>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823"/>
    <w:rsid w:val="00000934"/>
    <w:rsid w:val="00000D04"/>
    <w:rsid w:val="00012E42"/>
    <w:rsid w:val="00014C32"/>
    <w:rsid w:val="00017433"/>
    <w:rsid w:val="00024370"/>
    <w:rsid w:val="00025217"/>
    <w:rsid w:val="000257B9"/>
    <w:rsid w:val="0003124D"/>
    <w:rsid w:val="00032E7B"/>
    <w:rsid w:val="00034421"/>
    <w:rsid w:val="00034449"/>
    <w:rsid w:val="00041419"/>
    <w:rsid w:val="00042701"/>
    <w:rsid w:val="0004349C"/>
    <w:rsid w:val="00050C25"/>
    <w:rsid w:val="00052AE0"/>
    <w:rsid w:val="00054C05"/>
    <w:rsid w:val="000556B1"/>
    <w:rsid w:val="00056129"/>
    <w:rsid w:val="00060E31"/>
    <w:rsid w:val="0006262D"/>
    <w:rsid w:val="00062A03"/>
    <w:rsid w:val="00064E14"/>
    <w:rsid w:val="000759D6"/>
    <w:rsid w:val="00095A9C"/>
    <w:rsid w:val="00097B67"/>
    <w:rsid w:val="000A1147"/>
    <w:rsid w:val="000A190E"/>
    <w:rsid w:val="000A2039"/>
    <w:rsid w:val="000A2BB7"/>
    <w:rsid w:val="000A4EB2"/>
    <w:rsid w:val="000A6CED"/>
    <w:rsid w:val="000A7ACD"/>
    <w:rsid w:val="000B2EFA"/>
    <w:rsid w:val="000B4122"/>
    <w:rsid w:val="000C3BF2"/>
    <w:rsid w:val="000C7AC3"/>
    <w:rsid w:val="000D014F"/>
    <w:rsid w:val="000D5591"/>
    <w:rsid w:val="000E2061"/>
    <w:rsid w:val="000E6C4E"/>
    <w:rsid w:val="000F1D54"/>
    <w:rsid w:val="000F304F"/>
    <w:rsid w:val="000F3135"/>
    <w:rsid w:val="000F63DE"/>
    <w:rsid w:val="000F686F"/>
    <w:rsid w:val="000F6BF4"/>
    <w:rsid w:val="00100DFC"/>
    <w:rsid w:val="0010677B"/>
    <w:rsid w:val="0011147B"/>
    <w:rsid w:val="00113863"/>
    <w:rsid w:val="00114450"/>
    <w:rsid w:val="00120D7D"/>
    <w:rsid w:val="00125B7A"/>
    <w:rsid w:val="001265BA"/>
    <w:rsid w:val="00133207"/>
    <w:rsid w:val="00136E34"/>
    <w:rsid w:val="00137392"/>
    <w:rsid w:val="0014153B"/>
    <w:rsid w:val="00141B05"/>
    <w:rsid w:val="001577F7"/>
    <w:rsid w:val="00160EDF"/>
    <w:rsid w:val="0016583D"/>
    <w:rsid w:val="00166FEA"/>
    <w:rsid w:val="0017149A"/>
    <w:rsid w:val="00171B4B"/>
    <w:rsid w:val="00173B12"/>
    <w:rsid w:val="0017463E"/>
    <w:rsid w:val="00184A3F"/>
    <w:rsid w:val="001850D3"/>
    <w:rsid w:val="00187756"/>
    <w:rsid w:val="00187A14"/>
    <w:rsid w:val="0019164E"/>
    <w:rsid w:val="00191E28"/>
    <w:rsid w:val="001947AB"/>
    <w:rsid w:val="001A2906"/>
    <w:rsid w:val="001A3078"/>
    <w:rsid w:val="001A4584"/>
    <w:rsid w:val="001B1424"/>
    <w:rsid w:val="001C01FD"/>
    <w:rsid w:val="001D2732"/>
    <w:rsid w:val="001D4295"/>
    <w:rsid w:val="001E0597"/>
    <w:rsid w:val="001E3E18"/>
    <w:rsid w:val="001E4116"/>
    <w:rsid w:val="001E4DCB"/>
    <w:rsid w:val="001E792A"/>
    <w:rsid w:val="001F0DA4"/>
    <w:rsid w:val="001F3E95"/>
    <w:rsid w:val="001F45C4"/>
    <w:rsid w:val="001F7D0A"/>
    <w:rsid w:val="002056D1"/>
    <w:rsid w:val="0020594E"/>
    <w:rsid w:val="00205E08"/>
    <w:rsid w:val="00206DDE"/>
    <w:rsid w:val="00207BF9"/>
    <w:rsid w:val="00210FC5"/>
    <w:rsid w:val="00211E90"/>
    <w:rsid w:val="00215DA3"/>
    <w:rsid w:val="00221D3C"/>
    <w:rsid w:val="00222AD0"/>
    <w:rsid w:val="00223912"/>
    <w:rsid w:val="00223D30"/>
    <w:rsid w:val="00224357"/>
    <w:rsid w:val="0022590B"/>
    <w:rsid w:val="002260DB"/>
    <w:rsid w:val="00226739"/>
    <w:rsid w:val="002308F6"/>
    <w:rsid w:val="00233597"/>
    <w:rsid w:val="0023611A"/>
    <w:rsid w:val="00236B58"/>
    <w:rsid w:val="002402E0"/>
    <w:rsid w:val="00241DE2"/>
    <w:rsid w:val="00245376"/>
    <w:rsid w:val="00246548"/>
    <w:rsid w:val="00256024"/>
    <w:rsid w:val="002573D3"/>
    <w:rsid w:val="002603D3"/>
    <w:rsid w:val="0026311B"/>
    <w:rsid w:val="002657DE"/>
    <w:rsid w:val="00265A55"/>
    <w:rsid w:val="00266351"/>
    <w:rsid w:val="002748F6"/>
    <w:rsid w:val="00287573"/>
    <w:rsid w:val="00287D13"/>
    <w:rsid w:val="00287FB7"/>
    <w:rsid w:val="002908D3"/>
    <w:rsid w:val="00291AD1"/>
    <w:rsid w:val="00291FBB"/>
    <w:rsid w:val="00295872"/>
    <w:rsid w:val="00297A28"/>
    <w:rsid w:val="002A298D"/>
    <w:rsid w:val="002A2DF6"/>
    <w:rsid w:val="002A5318"/>
    <w:rsid w:val="002A6090"/>
    <w:rsid w:val="002A6487"/>
    <w:rsid w:val="002B2418"/>
    <w:rsid w:val="002B6BED"/>
    <w:rsid w:val="002B6C7A"/>
    <w:rsid w:val="002B7D04"/>
    <w:rsid w:val="002C3597"/>
    <w:rsid w:val="002C44E4"/>
    <w:rsid w:val="002D167E"/>
    <w:rsid w:val="002D1AD0"/>
    <w:rsid w:val="002F73C1"/>
    <w:rsid w:val="003109CD"/>
    <w:rsid w:val="00314F3E"/>
    <w:rsid w:val="00316E46"/>
    <w:rsid w:val="00322990"/>
    <w:rsid w:val="00323E75"/>
    <w:rsid w:val="00324746"/>
    <w:rsid w:val="00324AA4"/>
    <w:rsid w:val="003251E3"/>
    <w:rsid w:val="00325B0F"/>
    <w:rsid w:val="00333A25"/>
    <w:rsid w:val="003345F8"/>
    <w:rsid w:val="00336B12"/>
    <w:rsid w:val="00337DEA"/>
    <w:rsid w:val="00340400"/>
    <w:rsid w:val="0034158B"/>
    <w:rsid w:val="00342C01"/>
    <w:rsid w:val="00342D19"/>
    <w:rsid w:val="00344A87"/>
    <w:rsid w:val="003476CC"/>
    <w:rsid w:val="0035107A"/>
    <w:rsid w:val="003520DC"/>
    <w:rsid w:val="0035220A"/>
    <w:rsid w:val="0035239E"/>
    <w:rsid w:val="00356408"/>
    <w:rsid w:val="00357AB7"/>
    <w:rsid w:val="003617D7"/>
    <w:rsid w:val="003644E6"/>
    <w:rsid w:val="00365EC3"/>
    <w:rsid w:val="003664F2"/>
    <w:rsid w:val="0036703C"/>
    <w:rsid w:val="003829CF"/>
    <w:rsid w:val="003846B4"/>
    <w:rsid w:val="0038559E"/>
    <w:rsid w:val="00385BE3"/>
    <w:rsid w:val="0039109F"/>
    <w:rsid w:val="00392CEC"/>
    <w:rsid w:val="003A1363"/>
    <w:rsid w:val="003A1569"/>
    <w:rsid w:val="003A3392"/>
    <w:rsid w:val="003A3771"/>
    <w:rsid w:val="003B5BDC"/>
    <w:rsid w:val="003B7EEE"/>
    <w:rsid w:val="003C65C5"/>
    <w:rsid w:val="003D3EB0"/>
    <w:rsid w:val="003D6372"/>
    <w:rsid w:val="003D670E"/>
    <w:rsid w:val="003E0EFD"/>
    <w:rsid w:val="003E1150"/>
    <w:rsid w:val="003E2210"/>
    <w:rsid w:val="003E2CFB"/>
    <w:rsid w:val="003E48D6"/>
    <w:rsid w:val="003F0A82"/>
    <w:rsid w:val="003F0F53"/>
    <w:rsid w:val="003F2C1A"/>
    <w:rsid w:val="003F3231"/>
    <w:rsid w:val="003F3AB0"/>
    <w:rsid w:val="00401BDF"/>
    <w:rsid w:val="00406D0E"/>
    <w:rsid w:val="004116C4"/>
    <w:rsid w:val="00411F58"/>
    <w:rsid w:val="00415DEA"/>
    <w:rsid w:val="00416AB8"/>
    <w:rsid w:val="00416E2D"/>
    <w:rsid w:val="004227F7"/>
    <w:rsid w:val="00426168"/>
    <w:rsid w:val="00426282"/>
    <w:rsid w:val="00435645"/>
    <w:rsid w:val="004361A8"/>
    <w:rsid w:val="00440F2E"/>
    <w:rsid w:val="004413E3"/>
    <w:rsid w:val="00441448"/>
    <w:rsid w:val="00442788"/>
    <w:rsid w:val="00442EC5"/>
    <w:rsid w:val="004472D1"/>
    <w:rsid w:val="00451FB3"/>
    <w:rsid w:val="00452948"/>
    <w:rsid w:val="0045504D"/>
    <w:rsid w:val="00455C28"/>
    <w:rsid w:val="00456825"/>
    <w:rsid w:val="00457601"/>
    <w:rsid w:val="00457D4A"/>
    <w:rsid w:val="00464080"/>
    <w:rsid w:val="00464E95"/>
    <w:rsid w:val="004675BE"/>
    <w:rsid w:val="00472938"/>
    <w:rsid w:val="00474AAD"/>
    <w:rsid w:val="00475753"/>
    <w:rsid w:val="00481227"/>
    <w:rsid w:val="004825CD"/>
    <w:rsid w:val="0048269E"/>
    <w:rsid w:val="00482E05"/>
    <w:rsid w:val="00483F54"/>
    <w:rsid w:val="00492855"/>
    <w:rsid w:val="004A184D"/>
    <w:rsid w:val="004A40F9"/>
    <w:rsid w:val="004A426C"/>
    <w:rsid w:val="004A58EB"/>
    <w:rsid w:val="004B399B"/>
    <w:rsid w:val="004B727D"/>
    <w:rsid w:val="004B7F53"/>
    <w:rsid w:val="004C782D"/>
    <w:rsid w:val="004C7FC6"/>
    <w:rsid w:val="004D3149"/>
    <w:rsid w:val="004D34E7"/>
    <w:rsid w:val="004D5AE4"/>
    <w:rsid w:val="004D70FD"/>
    <w:rsid w:val="004D7854"/>
    <w:rsid w:val="004E0F25"/>
    <w:rsid w:val="004E143E"/>
    <w:rsid w:val="004E17BA"/>
    <w:rsid w:val="004E703C"/>
    <w:rsid w:val="004F5CE4"/>
    <w:rsid w:val="0050099E"/>
    <w:rsid w:val="005044CC"/>
    <w:rsid w:val="005120D0"/>
    <w:rsid w:val="00512F3A"/>
    <w:rsid w:val="005132E0"/>
    <w:rsid w:val="00516D45"/>
    <w:rsid w:val="0052160E"/>
    <w:rsid w:val="00521813"/>
    <w:rsid w:val="00521C5E"/>
    <w:rsid w:val="005259FF"/>
    <w:rsid w:val="00537222"/>
    <w:rsid w:val="005407E4"/>
    <w:rsid w:val="00540F38"/>
    <w:rsid w:val="00550D98"/>
    <w:rsid w:val="0055174E"/>
    <w:rsid w:val="005518FF"/>
    <w:rsid w:val="00556570"/>
    <w:rsid w:val="00556AEE"/>
    <w:rsid w:val="00560B24"/>
    <w:rsid w:val="00564A54"/>
    <w:rsid w:val="00564A6D"/>
    <w:rsid w:val="00564F94"/>
    <w:rsid w:val="0057002B"/>
    <w:rsid w:val="00575D4E"/>
    <w:rsid w:val="005766C4"/>
    <w:rsid w:val="005768F2"/>
    <w:rsid w:val="00582E9F"/>
    <w:rsid w:val="005879DE"/>
    <w:rsid w:val="005926BA"/>
    <w:rsid w:val="00592CE3"/>
    <w:rsid w:val="005A0253"/>
    <w:rsid w:val="005A0E59"/>
    <w:rsid w:val="005A42FE"/>
    <w:rsid w:val="005A4462"/>
    <w:rsid w:val="005A5FD9"/>
    <w:rsid w:val="005A625A"/>
    <w:rsid w:val="005A7D65"/>
    <w:rsid w:val="005B0503"/>
    <w:rsid w:val="005B2CFF"/>
    <w:rsid w:val="005B4F9E"/>
    <w:rsid w:val="005B67FF"/>
    <w:rsid w:val="005C7BF2"/>
    <w:rsid w:val="005D02EE"/>
    <w:rsid w:val="005D543B"/>
    <w:rsid w:val="005E152F"/>
    <w:rsid w:val="005E5065"/>
    <w:rsid w:val="005F0603"/>
    <w:rsid w:val="005F1DFA"/>
    <w:rsid w:val="005F5995"/>
    <w:rsid w:val="006029B9"/>
    <w:rsid w:val="00602A11"/>
    <w:rsid w:val="00603573"/>
    <w:rsid w:val="0060408B"/>
    <w:rsid w:val="00604E06"/>
    <w:rsid w:val="00607446"/>
    <w:rsid w:val="00614883"/>
    <w:rsid w:val="006204B0"/>
    <w:rsid w:val="00620787"/>
    <w:rsid w:val="0062098B"/>
    <w:rsid w:val="00620B5B"/>
    <w:rsid w:val="00621CA8"/>
    <w:rsid w:val="00623B00"/>
    <w:rsid w:val="0064022D"/>
    <w:rsid w:val="0064692B"/>
    <w:rsid w:val="00652C0B"/>
    <w:rsid w:val="006546BE"/>
    <w:rsid w:val="00654AE0"/>
    <w:rsid w:val="006557FA"/>
    <w:rsid w:val="00661B12"/>
    <w:rsid w:val="00661DD3"/>
    <w:rsid w:val="00663D5A"/>
    <w:rsid w:val="00674810"/>
    <w:rsid w:val="00676205"/>
    <w:rsid w:val="006814E8"/>
    <w:rsid w:val="006902F8"/>
    <w:rsid w:val="006912C3"/>
    <w:rsid w:val="006913E2"/>
    <w:rsid w:val="0069144D"/>
    <w:rsid w:val="00695D70"/>
    <w:rsid w:val="006A19EC"/>
    <w:rsid w:val="006A2AD4"/>
    <w:rsid w:val="006A5473"/>
    <w:rsid w:val="006C7BA1"/>
    <w:rsid w:val="006D157A"/>
    <w:rsid w:val="006D25DC"/>
    <w:rsid w:val="006D31D9"/>
    <w:rsid w:val="006D368E"/>
    <w:rsid w:val="006D469E"/>
    <w:rsid w:val="006E043E"/>
    <w:rsid w:val="006E0D89"/>
    <w:rsid w:val="006E33DD"/>
    <w:rsid w:val="006E38A9"/>
    <w:rsid w:val="006E4B66"/>
    <w:rsid w:val="006F084A"/>
    <w:rsid w:val="006F12BD"/>
    <w:rsid w:val="006F4472"/>
    <w:rsid w:val="0070000D"/>
    <w:rsid w:val="007017CD"/>
    <w:rsid w:val="007040BB"/>
    <w:rsid w:val="00711A3C"/>
    <w:rsid w:val="007136F8"/>
    <w:rsid w:val="00713829"/>
    <w:rsid w:val="007216CF"/>
    <w:rsid w:val="007241BF"/>
    <w:rsid w:val="00726F72"/>
    <w:rsid w:val="00731CD8"/>
    <w:rsid w:val="00731DBC"/>
    <w:rsid w:val="00735916"/>
    <w:rsid w:val="00736145"/>
    <w:rsid w:val="007402AD"/>
    <w:rsid w:val="00741836"/>
    <w:rsid w:val="0075132D"/>
    <w:rsid w:val="00751A9A"/>
    <w:rsid w:val="00755D24"/>
    <w:rsid w:val="00761C95"/>
    <w:rsid w:val="007654AA"/>
    <w:rsid w:val="007657F3"/>
    <w:rsid w:val="00771F53"/>
    <w:rsid w:val="00773C25"/>
    <w:rsid w:val="007750BC"/>
    <w:rsid w:val="007824EC"/>
    <w:rsid w:val="007839B9"/>
    <w:rsid w:val="00783BFA"/>
    <w:rsid w:val="007852C5"/>
    <w:rsid w:val="00786B2C"/>
    <w:rsid w:val="00794FA4"/>
    <w:rsid w:val="007951AD"/>
    <w:rsid w:val="00795A19"/>
    <w:rsid w:val="00797788"/>
    <w:rsid w:val="007A2140"/>
    <w:rsid w:val="007A3034"/>
    <w:rsid w:val="007A5FDC"/>
    <w:rsid w:val="007B0B34"/>
    <w:rsid w:val="007B5608"/>
    <w:rsid w:val="007C0EB7"/>
    <w:rsid w:val="007C58D3"/>
    <w:rsid w:val="007D18FB"/>
    <w:rsid w:val="007D1C3F"/>
    <w:rsid w:val="007D32D3"/>
    <w:rsid w:val="007D5764"/>
    <w:rsid w:val="007E4691"/>
    <w:rsid w:val="007E4808"/>
    <w:rsid w:val="007E5F22"/>
    <w:rsid w:val="007F092E"/>
    <w:rsid w:val="007F22C1"/>
    <w:rsid w:val="007F46D9"/>
    <w:rsid w:val="00801BB8"/>
    <w:rsid w:val="00802D5E"/>
    <w:rsid w:val="0080492B"/>
    <w:rsid w:val="008067A1"/>
    <w:rsid w:val="00810B52"/>
    <w:rsid w:val="00810D54"/>
    <w:rsid w:val="00813BD3"/>
    <w:rsid w:val="00816FE9"/>
    <w:rsid w:val="00817C0C"/>
    <w:rsid w:val="00820F6F"/>
    <w:rsid w:val="00822447"/>
    <w:rsid w:val="00823123"/>
    <w:rsid w:val="0082699F"/>
    <w:rsid w:val="00826F7E"/>
    <w:rsid w:val="0083399E"/>
    <w:rsid w:val="00835A9D"/>
    <w:rsid w:val="0085331A"/>
    <w:rsid w:val="0085595F"/>
    <w:rsid w:val="008567E6"/>
    <w:rsid w:val="00856D5D"/>
    <w:rsid w:val="008700B6"/>
    <w:rsid w:val="00870DB9"/>
    <w:rsid w:val="00872152"/>
    <w:rsid w:val="00873647"/>
    <w:rsid w:val="00874AB9"/>
    <w:rsid w:val="00875474"/>
    <w:rsid w:val="008810E4"/>
    <w:rsid w:val="0088407D"/>
    <w:rsid w:val="00892E84"/>
    <w:rsid w:val="00895CD7"/>
    <w:rsid w:val="00897CB6"/>
    <w:rsid w:val="008A1D41"/>
    <w:rsid w:val="008B24C8"/>
    <w:rsid w:val="008B3502"/>
    <w:rsid w:val="008B5C04"/>
    <w:rsid w:val="008B792F"/>
    <w:rsid w:val="008D0744"/>
    <w:rsid w:val="008D21BE"/>
    <w:rsid w:val="008D237A"/>
    <w:rsid w:val="008D2448"/>
    <w:rsid w:val="008D3593"/>
    <w:rsid w:val="008D434F"/>
    <w:rsid w:val="008D61D4"/>
    <w:rsid w:val="008D6214"/>
    <w:rsid w:val="008E718E"/>
    <w:rsid w:val="008F14EA"/>
    <w:rsid w:val="008F1D09"/>
    <w:rsid w:val="008F7C23"/>
    <w:rsid w:val="00900747"/>
    <w:rsid w:val="009037D5"/>
    <w:rsid w:val="00913452"/>
    <w:rsid w:val="009136AB"/>
    <w:rsid w:val="00914D11"/>
    <w:rsid w:val="00915032"/>
    <w:rsid w:val="00915B45"/>
    <w:rsid w:val="00920BC8"/>
    <w:rsid w:val="00924522"/>
    <w:rsid w:val="00924E67"/>
    <w:rsid w:val="0092768B"/>
    <w:rsid w:val="00934C64"/>
    <w:rsid w:val="00942BEF"/>
    <w:rsid w:val="00942E83"/>
    <w:rsid w:val="009463D9"/>
    <w:rsid w:val="00954ED8"/>
    <w:rsid w:val="009567F0"/>
    <w:rsid w:val="009614D1"/>
    <w:rsid w:val="0096378B"/>
    <w:rsid w:val="00964A1F"/>
    <w:rsid w:val="00971433"/>
    <w:rsid w:val="00974BCB"/>
    <w:rsid w:val="009762DB"/>
    <w:rsid w:val="0097781C"/>
    <w:rsid w:val="00981005"/>
    <w:rsid w:val="0098125D"/>
    <w:rsid w:val="00981E6A"/>
    <w:rsid w:val="00982AAC"/>
    <w:rsid w:val="00983EE1"/>
    <w:rsid w:val="00985B72"/>
    <w:rsid w:val="00996396"/>
    <w:rsid w:val="009A1D5F"/>
    <w:rsid w:val="009A28A3"/>
    <w:rsid w:val="009A33CA"/>
    <w:rsid w:val="009A41A0"/>
    <w:rsid w:val="009B1207"/>
    <w:rsid w:val="009B14AE"/>
    <w:rsid w:val="009B776D"/>
    <w:rsid w:val="009C1BF5"/>
    <w:rsid w:val="009C5091"/>
    <w:rsid w:val="009C551D"/>
    <w:rsid w:val="009C67B4"/>
    <w:rsid w:val="009C6A94"/>
    <w:rsid w:val="009C7102"/>
    <w:rsid w:val="009C7EA3"/>
    <w:rsid w:val="009D059A"/>
    <w:rsid w:val="009D1F88"/>
    <w:rsid w:val="009D3C5E"/>
    <w:rsid w:val="009D3E8F"/>
    <w:rsid w:val="009D4881"/>
    <w:rsid w:val="009D5FB6"/>
    <w:rsid w:val="009E21DD"/>
    <w:rsid w:val="009E5CF2"/>
    <w:rsid w:val="009E623F"/>
    <w:rsid w:val="009F0F4D"/>
    <w:rsid w:val="009F285E"/>
    <w:rsid w:val="00A02B89"/>
    <w:rsid w:val="00A033AE"/>
    <w:rsid w:val="00A037FC"/>
    <w:rsid w:val="00A03E19"/>
    <w:rsid w:val="00A1124A"/>
    <w:rsid w:val="00A14B4F"/>
    <w:rsid w:val="00A20C78"/>
    <w:rsid w:val="00A20FC0"/>
    <w:rsid w:val="00A24732"/>
    <w:rsid w:val="00A2642F"/>
    <w:rsid w:val="00A267F8"/>
    <w:rsid w:val="00A3109C"/>
    <w:rsid w:val="00A32CC5"/>
    <w:rsid w:val="00A3437A"/>
    <w:rsid w:val="00A34FB3"/>
    <w:rsid w:val="00A36525"/>
    <w:rsid w:val="00A41C34"/>
    <w:rsid w:val="00A4288C"/>
    <w:rsid w:val="00A42F39"/>
    <w:rsid w:val="00A55057"/>
    <w:rsid w:val="00A55527"/>
    <w:rsid w:val="00A70559"/>
    <w:rsid w:val="00A71606"/>
    <w:rsid w:val="00A71737"/>
    <w:rsid w:val="00A724AE"/>
    <w:rsid w:val="00A72596"/>
    <w:rsid w:val="00A72E1A"/>
    <w:rsid w:val="00A7312C"/>
    <w:rsid w:val="00A8116A"/>
    <w:rsid w:val="00A81AC6"/>
    <w:rsid w:val="00A81C28"/>
    <w:rsid w:val="00A81EE9"/>
    <w:rsid w:val="00A82418"/>
    <w:rsid w:val="00A82F2C"/>
    <w:rsid w:val="00A83D3C"/>
    <w:rsid w:val="00A8400B"/>
    <w:rsid w:val="00A867F0"/>
    <w:rsid w:val="00A95DAC"/>
    <w:rsid w:val="00AA3E3D"/>
    <w:rsid w:val="00AA4557"/>
    <w:rsid w:val="00AA46D9"/>
    <w:rsid w:val="00AA4F87"/>
    <w:rsid w:val="00AB33F4"/>
    <w:rsid w:val="00AB7CEB"/>
    <w:rsid w:val="00AC32A8"/>
    <w:rsid w:val="00AC33A4"/>
    <w:rsid w:val="00AC5908"/>
    <w:rsid w:val="00AC5930"/>
    <w:rsid w:val="00AC6B47"/>
    <w:rsid w:val="00AD0DC2"/>
    <w:rsid w:val="00AD23ED"/>
    <w:rsid w:val="00AD2E1C"/>
    <w:rsid w:val="00AD4AB9"/>
    <w:rsid w:val="00AE0BF0"/>
    <w:rsid w:val="00AE4B6C"/>
    <w:rsid w:val="00AE72FA"/>
    <w:rsid w:val="00AF03EA"/>
    <w:rsid w:val="00AF3976"/>
    <w:rsid w:val="00AF5251"/>
    <w:rsid w:val="00AF5CB4"/>
    <w:rsid w:val="00B00278"/>
    <w:rsid w:val="00B003DB"/>
    <w:rsid w:val="00B01F6E"/>
    <w:rsid w:val="00B02FCD"/>
    <w:rsid w:val="00B034F6"/>
    <w:rsid w:val="00B051CF"/>
    <w:rsid w:val="00B13252"/>
    <w:rsid w:val="00B13DA5"/>
    <w:rsid w:val="00B13F19"/>
    <w:rsid w:val="00B17842"/>
    <w:rsid w:val="00B179B8"/>
    <w:rsid w:val="00B20899"/>
    <w:rsid w:val="00B22D80"/>
    <w:rsid w:val="00B230D1"/>
    <w:rsid w:val="00B23D41"/>
    <w:rsid w:val="00B250CD"/>
    <w:rsid w:val="00B3497D"/>
    <w:rsid w:val="00B35546"/>
    <w:rsid w:val="00B42446"/>
    <w:rsid w:val="00B44411"/>
    <w:rsid w:val="00B445D9"/>
    <w:rsid w:val="00B45FF4"/>
    <w:rsid w:val="00B5027B"/>
    <w:rsid w:val="00B51AB4"/>
    <w:rsid w:val="00B538EB"/>
    <w:rsid w:val="00B55311"/>
    <w:rsid w:val="00B55D00"/>
    <w:rsid w:val="00B57539"/>
    <w:rsid w:val="00B60ADA"/>
    <w:rsid w:val="00B62BB3"/>
    <w:rsid w:val="00B645EC"/>
    <w:rsid w:val="00B64E82"/>
    <w:rsid w:val="00B65247"/>
    <w:rsid w:val="00B65962"/>
    <w:rsid w:val="00B65A06"/>
    <w:rsid w:val="00B663CB"/>
    <w:rsid w:val="00B66D12"/>
    <w:rsid w:val="00B67018"/>
    <w:rsid w:val="00B72B1B"/>
    <w:rsid w:val="00B72C7E"/>
    <w:rsid w:val="00B73351"/>
    <w:rsid w:val="00B75478"/>
    <w:rsid w:val="00B763A2"/>
    <w:rsid w:val="00B77515"/>
    <w:rsid w:val="00B77D97"/>
    <w:rsid w:val="00B83A3C"/>
    <w:rsid w:val="00B90317"/>
    <w:rsid w:val="00B918F0"/>
    <w:rsid w:val="00B9463F"/>
    <w:rsid w:val="00B961CC"/>
    <w:rsid w:val="00BA044D"/>
    <w:rsid w:val="00BA1673"/>
    <w:rsid w:val="00BA5D64"/>
    <w:rsid w:val="00BB0CF2"/>
    <w:rsid w:val="00BB317C"/>
    <w:rsid w:val="00BB4337"/>
    <w:rsid w:val="00BB52E2"/>
    <w:rsid w:val="00BB72B5"/>
    <w:rsid w:val="00BC1139"/>
    <w:rsid w:val="00BC2C49"/>
    <w:rsid w:val="00BC46BD"/>
    <w:rsid w:val="00BD598E"/>
    <w:rsid w:val="00BE5E50"/>
    <w:rsid w:val="00BE7188"/>
    <w:rsid w:val="00BE781B"/>
    <w:rsid w:val="00BF14FC"/>
    <w:rsid w:val="00BF1B73"/>
    <w:rsid w:val="00C02BB8"/>
    <w:rsid w:val="00C02FF5"/>
    <w:rsid w:val="00C03556"/>
    <w:rsid w:val="00C0397C"/>
    <w:rsid w:val="00C12BE7"/>
    <w:rsid w:val="00C131FA"/>
    <w:rsid w:val="00C17E16"/>
    <w:rsid w:val="00C20C7C"/>
    <w:rsid w:val="00C21DDE"/>
    <w:rsid w:val="00C22395"/>
    <w:rsid w:val="00C233EC"/>
    <w:rsid w:val="00C24059"/>
    <w:rsid w:val="00C2432C"/>
    <w:rsid w:val="00C24E52"/>
    <w:rsid w:val="00C264AE"/>
    <w:rsid w:val="00C2680F"/>
    <w:rsid w:val="00C268AA"/>
    <w:rsid w:val="00C30944"/>
    <w:rsid w:val="00C30E26"/>
    <w:rsid w:val="00C32057"/>
    <w:rsid w:val="00C35AEF"/>
    <w:rsid w:val="00C35E66"/>
    <w:rsid w:val="00C36B0F"/>
    <w:rsid w:val="00C40019"/>
    <w:rsid w:val="00C41DA0"/>
    <w:rsid w:val="00C427EB"/>
    <w:rsid w:val="00C45763"/>
    <w:rsid w:val="00C46935"/>
    <w:rsid w:val="00C50CAD"/>
    <w:rsid w:val="00C5148D"/>
    <w:rsid w:val="00C51B34"/>
    <w:rsid w:val="00C55688"/>
    <w:rsid w:val="00C56A7D"/>
    <w:rsid w:val="00C57FD5"/>
    <w:rsid w:val="00C634BB"/>
    <w:rsid w:val="00C73FFA"/>
    <w:rsid w:val="00C81A5E"/>
    <w:rsid w:val="00C85DF1"/>
    <w:rsid w:val="00C90C25"/>
    <w:rsid w:val="00C918BD"/>
    <w:rsid w:val="00C930F2"/>
    <w:rsid w:val="00C93684"/>
    <w:rsid w:val="00C945C9"/>
    <w:rsid w:val="00C95458"/>
    <w:rsid w:val="00C97C72"/>
    <w:rsid w:val="00CA1277"/>
    <w:rsid w:val="00CA2FA3"/>
    <w:rsid w:val="00CA60FB"/>
    <w:rsid w:val="00CB0208"/>
    <w:rsid w:val="00CB03E1"/>
    <w:rsid w:val="00CB26CC"/>
    <w:rsid w:val="00CB2760"/>
    <w:rsid w:val="00CB2B9C"/>
    <w:rsid w:val="00CB38ED"/>
    <w:rsid w:val="00CB3FE8"/>
    <w:rsid w:val="00CC1A8D"/>
    <w:rsid w:val="00CC1AB5"/>
    <w:rsid w:val="00CC6FEB"/>
    <w:rsid w:val="00CD0424"/>
    <w:rsid w:val="00CD4D2F"/>
    <w:rsid w:val="00CD6616"/>
    <w:rsid w:val="00CE0040"/>
    <w:rsid w:val="00CE1191"/>
    <w:rsid w:val="00CE1F3D"/>
    <w:rsid w:val="00CE384B"/>
    <w:rsid w:val="00CF0588"/>
    <w:rsid w:val="00CF06E6"/>
    <w:rsid w:val="00CF425B"/>
    <w:rsid w:val="00D01F86"/>
    <w:rsid w:val="00D023AB"/>
    <w:rsid w:val="00D02D30"/>
    <w:rsid w:val="00D04656"/>
    <w:rsid w:val="00D061B4"/>
    <w:rsid w:val="00D11C94"/>
    <w:rsid w:val="00D129A2"/>
    <w:rsid w:val="00D12C84"/>
    <w:rsid w:val="00D225D2"/>
    <w:rsid w:val="00D3105A"/>
    <w:rsid w:val="00D3118E"/>
    <w:rsid w:val="00D319D8"/>
    <w:rsid w:val="00D3789D"/>
    <w:rsid w:val="00D37CEB"/>
    <w:rsid w:val="00D40E1E"/>
    <w:rsid w:val="00D44E89"/>
    <w:rsid w:val="00D53C3E"/>
    <w:rsid w:val="00D54366"/>
    <w:rsid w:val="00D55DC1"/>
    <w:rsid w:val="00D6038E"/>
    <w:rsid w:val="00D64668"/>
    <w:rsid w:val="00D75FBE"/>
    <w:rsid w:val="00D804D2"/>
    <w:rsid w:val="00D80E87"/>
    <w:rsid w:val="00D822F5"/>
    <w:rsid w:val="00D8356B"/>
    <w:rsid w:val="00D838F5"/>
    <w:rsid w:val="00D83975"/>
    <w:rsid w:val="00D86649"/>
    <w:rsid w:val="00D8756C"/>
    <w:rsid w:val="00D96314"/>
    <w:rsid w:val="00DB02D8"/>
    <w:rsid w:val="00DB1306"/>
    <w:rsid w:val="00DB35D4"/>
    <w:rsid w:val="00DB6080"/>
    <w:rsid w:val="00DB7BAC"/>
    <w:rsid w:val="00DC6452"/>
    <w:rsid w:val="00DD3EF3"/>
    <w:rsid w:val="00DD74DE"/>
    <w:rsid w:val="00DE2ACF"/>
    <w:rsid w:val="00DE4D9D"/>
    <w:rsid w:val="00DE56FA"/>
    <w:rsid w:val="00DE7933"/>
    <w:rsid w:val="00DE7C09"/>
    <w:rsid w:val="00DF5997"/>
    <w:rsid w:val="00E0119C"/>
    <w:rsid w:val="00E03A94"/>
    <w:rsid w:val="00E03DCC"/>
    <w:rsid w:val="00E062D0"/>
    <w:rsid w:val="00E07A59"/>
    <w:rsid w:val="00E14855"/>
    <w:rsid w:val="00E153F3"/>
    <w:rsid w:val="00E20854"/>
    <w:rsid w:val="00E21F1A"/>
    <w:rsid w:val="00E241FD"/>
    <w:rsid w:val="00E27A02"/>
    <w:rsid w:val="00E30F76"/>
    <w:rsid w:val="00E3722C"/>
    <w:rsid w:val="00E428FF"/>
    <w:rsid w:val="00E4322D"/>
    <w:rsid w:val="00E4369E"/>
    <w:rsid w:val="00E440A5"/>
    <w:rsid w:val="00E45FE2"/>
    <w:rsid w:val="00E47603"/>
    <w:rsid w:val="00E47C5B"/>
    <w:rsid w:val="00E53797"/>
    <w:rsid w:val="00E5387C"/>
    <w:rsid w:val="00E57BB6"/>
    <w:rsid w:val="00E61CB7"/>
    <w:rsid w:val="00E62B8D"/>
    <w:rsid w:val="00E63874"/>
    <w:rsid w:val="00E6537A"/>
    <w:rsid w:val="00E66172"/>
    <w:rsid w:val="00E71E08"/>
    <w:rsid w:val="00E74083"/>
    <w:rsid w:val="00E835D1"/>
    <w:rsid w:val="00E83CE6"/>
    <w:rsid w:val="00E8489B"/>
    <w:rsid w:val="00E872BA"/>
    <w:rsid w:val="00E92F8E"/>
    <w:rsid w:val="00E934AD"/>
    <w:rsid w:val="00E948D1"/>
    <w:rsid w:val="00EA12C9"/>
    <w:rsid w:val="00EA1F09"/>
    <w:rsid w:val="00EA2666"/>
    <w:rsid w:val="00EA3334"/>
    <w:rsid w:val="00EA524F"/>
    <w:rsid w:val="00EA77D3"/>
    <w:rsid w:val="00EB0EE8"/>
    <w:rsid w:val="00EB30D8"/>
    <w:rsid w:val="00EB7CC2"/>
    <w:rsid w:val="00EC2658"/>
    <w:rsid w:val="00EC7D6F"/>
    <w:rsid w:val="00ED2546"/>
    <w:rsid w:val="00ED2738"/>
    <w:rsid w:val="00ED3EA0"/>
    <w:rsid w:val="00ED57DD"/>
    <w:rsid w:val="00ED5B47"/>
    <w:rsid w:val="00EE48E3"/>
    <w:rsid w:val="00EE6E2C"/>
    <w:rsid w:val="00EE7866"/>
    <w:rsid w:val="00EF0FA2"/>
    <w:rsid w:val="00EF1E33"/>
    <w:rsid w:val="00EF3B60"/>
    <w:rsid w:val="00EF5B91"/>
    <w:rsid w:val="00EF76F6"/>
    <w:rsid w:val="00F02F1C"/>
    <w:rsid w:val="00F04BAB"/>
    <w:rsid w:val="00F1063D"/>
    <w:rsid w:val="00F15FCA"/>
    <w:rsid w:val="00F24FA1"/>
    <w:rsid w:val="00F26573"/>
    <w:rsid w:val="00F27417"/>
    <w:rsid w:val="00F27B57"/>
    <w:rsid w:val="00F32B45"/>
    <w:rsid w:val="00F3593B"/>
    <w:rsid w:val="00F42129"/>
    <w:rsid w:val="00F500EA"/>
    <w:rsid w:val="00F53337"/>
    <w:rsid w:val="00F53B2F"/>
    <w:rsid w:val="00F5490E"/>
    <w:rsid w:val="00F54AB6"/>
    <w:rsid w:val="00F56D8F"/>
    <w:rsid w:val="00F57771"/>
    <w:rsid w:val="00F6122A"/>
    <w:rsid w:val="00F62731"/>
    <w:rsid w:val="00F62951"/>
    <w:rsid w:val="00F71D99"/>
    <w:rsid w:val="00F7243F"/>
    <w:rsid w:val="00F73AEA"/>
    <w:rsid w:val="00F77FC9"/>
    <w:rsid w:val="00F815EA"/>
    <w:rsid w:val="00F81835"/>
    <w:rsid w:val="00F83701"/>
    <w:rsid w:val="00F91815"/>
    <w:rsid w:val="00F93572"/>
    <w:rsid w:val="00FA255A"/>
    <w:rsid w:val="00FA396D"/>
    <w:rsid w:val="00FA4206"/>
    <w:rsid w:val="00FA53CD"/>
    <w:rsid w:val="00FB0FCC"/>
    <w:rsid w:val="00FC442C"/>
    <w:rsid w:val="00FC79B6"/>
    <w:rsid w:val="00FD04C1"/>
    <w:rsid w:val="00FD04EE"/>
    <w:rsid w:val="00FD1F53"/>
    <w:rsid w:val="00FD5103"/>
    <w:rsid w:val="00FD5F87"/>
    <w:rsid w:val="00FE0FEE"/>
    <w:rsid w:val="00FE2172"/>
    <w:rsid w:val="00FE3823"/>
    <w:rsid w:val="00FE4B2D"/>
    <w:rsid w:val="00FE54A3"/>
    <w:rsid w:val="00FE72A0"/>
    <w:rsid w:val="00FF0CCE"/>
    <w:rsid w:val="00FF11B9"/>
    <w:rsid w:val="00FF2D3B"/>
    <w:rsid w:val="00FF340B"/>
    <w:rsid w:val="00FF43C1"/>
    <w:rsid w:val="00FF475C"/>
    <w:rsid w:val="00FF50D2"/>
    <w:rsid w:val="00FF6A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9400C"/>
  <w15:chartTrackingRefBased/>
  <w15:docId w15:val="{E9302CFC-7A56-4C97-B500-C6BB69E8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A4E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A4E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BodyText"/>
    <w:link w:val="Heading3Char"/>
    <w:uiPriority w:val="9"/>
    <w:qFormat/>
    <w:rsid w:val="00711A3C"/>
    <w:pPr>
      <w:keepNext/>
      <w:keepLines/>
      <w:spacing w:before="240" w:after="120" w:line="264" w:lineRule="auto"/>
      <w:outlineLvl w:val="2"/>
    </w:pPr>
    <w:rPr>
      <w:rFonts w:asciiTheme="majorHAnsi" w:eastAsia="Times New Roman" w:hAnsiTheme="majorHAnsi" w:cs="Times New Roman"/>
      <w:b/>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basedOn w:val="DefaultParagraphFont"/>
    <w:link w:val="ListParagraph"/>
    <w:uiPriority w:val="34"/>
    <w:qFormat/>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356408"/>
    <w:pPr>
      <w:keepNext/>
      <w:spacing w:before="240" w:after="240" w:line="276" w:lineRule="auto"/>
      <w:ind w:left="0"/>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356408"/>
    <w:pPr>
      <w:keepNext w:val="0"/>
    </w:pPr>
  </w:style>
  <w:style w:type="character" w:customStyle="1" w:styleId="ESParaChar">
    <w:name w:val="ES_Para Char"/>
    <w:basedOn w:val="ESSubparaHeaderChar"/>
    <w:link w:val="ESPara"/>
    <w:rsid w:val="002D167E"/>
    <w:rPr>
      <w:rFonts w:ascii="Times New Roman" w:hAnsi="Times New Roman" w:cs="Times New Roman"/>
    </w:rPr>
  </w:style>
  <w:style w:type="character" w:styleId="CommentReference">
    <w:name w:val="annotation reference"/>
    <w:basedOn w:val="DefaultParagraphFont"/>
    <w:uiPriority w:val="99"/>
    <w:semiHidden/>
    <w:unhideWhenUsed/>
    <w:rsid w:val="0039109F"/>
    <w:rPr>
      <w:sz w:val="16"/>
      <w:szCs w:val="16"/>
    </w:rPr>
  </w:style>
  <w:style w:type="paragraph" w:styleId="CommentText">
    <w:name w:val="annotation text"/>
    <w:basedOn w:val="Normal"/>
    <w:link w:val="CommentTextChar"/>
    <w:uiPriority w:val="99"/>
    <w:semiHidden/>
    <w:unhideWhenUsed/>
    <w:rsid w:val="0039109F"/>
    <w:pPr>
      <w:spacing w:line="240" w:lineRule="auto"/>
    </w:pPr>
    <w:rPr>
      <w:sz w:val="20"/>
      <w:szCs w:val="20"/>
    </w:rPr>
  </w:style>
  <w:style w:type="character" w:customStyle="1" w:styleId="CommentTextChar">
    <w:name w:val="Comment Text Char"/>
    <w:basedOn w:val="DefaultParagraphFont"/>
    <w:link w:val="CommentText"/>
    <w:uiPriority w:val="99"/>
    <w:semiHidden/>
    <w:rsid w:val="0039109F"/>
    <w:rPr>
      <w:sz w:val="20"/>
      <w:szCs w:val="20"/>
    </w:rPr>
  </w:style>
  <w:style w:type="paragraph" w:styleId="CommentSubject">
    <w:name w:val="annotation subject"/>
    <w:basedOn w:val="CommentText"/>
    <w:next w:val="CommentText"/>
    <w:link w:val="CommentSubjectChar"/>
    <w:uiPriority w:val="99"/>
    <w:semiHidden/>
    <w:unhideWhenUsed/>
    <w:rsid w:val="0039109F"/>
    <w:rPr>
      <w:b/>
      <w:bCs/>
    </w:rPr>
  </w:style>
  <w:style w:type="character" w:customStyle="1" w:styleId="CommentSubjectChar">
    <w:name w:val="Comment Subject Char"/>
    <w:basedOn w:val="CommentTextChar"/>
    <w:link w:val="CommentSubject"/>
    <w:uiPriority w:val="99"/>
    <w:semiHidden/>
    <w:rsid w:val="0039109F"/>
    <w:rPr>
      <w:b/>
      <w:bCs/>
      <w:sz w:val="20"/>
      <w:szCs w:val="20"/>
    </w:rPr>
  </w:style>
  <w:style w:type="paragraph" w:styleId="BalloonText">
    <w:name w:val="Balloon Text"/>
    <w:basedOn w:val="Normal"/>
    <w:link w:val="BalloonTextChar"/>
    <w:uiPriority w:val="99"/>
    <w:semiHidden/>
    <w:unhideWhenUsed/>
    <w:rsid w:val="00391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09F"/>
    <w:rPr>
      <w:rFonts w:ascii="Segoe UI" w:hAnsi="Segoe UI" w:cs="Segoe UI"/>
      <w:sz w:val="18"/>
      <w:szCs w:val="18"/>
    </w:rPr>
  </w:style>
  <w:style w:type="paragraph" w:customStyle="1" w:styleId="LDP1a">
    <w:name w:val="LDP1(a)"/>
    <w:link w:val="LDP1aChar"/>
    <w:rsid w:val="003E48D6"/>
    <w:pPr>
      <w:tabs>
        <w:tab w:val="left" w:pos="1191"/>
      </w:tabs>
      <w:spacing w:before="60" w:after="60" w:line="240" w:lineRule="auto"/>
      <w:ind w:left="1191" w:hanging="454"/>
    </w:pPr>
    <w:rPr>
      <w:rFonts w:ascii="Times New Roman" w:eastAsia="Times New Roman" w:hAnsi="Times New Roman" w:cs="Times New Roman"/>
      <w:sz w:val="24"/>
      <w:szCs w:val="24"/>
    </w:rPr>
  </w:style>
  <w:style w:type="character" w:customStyle="1" w:styleId="LDP1aChar">
    <w:name w:val="LDP1(a) Char"/>
    <w:link w:val="LDP1a"/>
    <w:locked/>
    <w:rsid w:val="003E48D6"/>
    <w:rPr>
      <w:rFonts w:ascii="Times New Roman" w:eastAsia="Times New Roman" w:hAnsi="Times New Roman" w:cs="Times New Roman"/>
      <w:sz w:val="24"/>
      <w:szCs w:val="24"/>
    </w:rPr>
  </w:style>
  <w:style w:type="paragraph" w:styleId="Revision">
    <w:name w:val="Revision"/>
    <w:hidden/>
    <w:uiPriority w:val="99"/>
    <w:semiHidden/>
    <w:rsid w:val="00971433"/>
    <w:pPr>
      <w:spacing w:after="0" w:line="240" w:lineRule="auto"/>
    </w:pPr>
  </w:style>
  <w:style w:type="character" w:customStyle="1" w:styleId="LDItal">
    <w:name w:val="LDItal"/>
    <w:basedOn w:val="DefaultParagraphFont"/>
    <w:uiPriority w:val="1"/>
    <w:rsid w:val="00FD04C1"/>
    <w:rPr>
      <w:i/>
    </w:rPr>
  </w:style>
  <w:style w:type="paragraph" w:styleId="Header">
    <w:name w:val="header"/>
    <w:basedOn w:val="Normal"/>
    <w:link w:val="HeaderChar"/>
    <w:uiPriority w:val="99"/>
    <w:unhideWhenUsed/>
    <w:rsid w:val="00B77D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D97"/>
  </w:style>
  <w:style w:type="paragraph" w:styleId="Footer">
    <w:name w:val="footer"/>
    <w:basedOn w:val="Normal"/>
    <w:link w:val="FooterChar"/>
    <w:uiPriority w:val="99"/>
    <w:unhideWhenUsed/>
    <w:rsid w:val="00B77D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D97"/>
  </w:style>
  <w:style w:type="paragraph" w:customStyle="1" w:styleId="Default">
    <w:name w:val="Default"/>
    <w:rsid w:val="00297A28"/>
    <w:pPr>
      <w:autoSpaceDE w:val="0"/>
      <w:autoSpaceDN w:val="0"/>
      <w:adjustRightInd w:val="0"/>
      <w:spacing w:after="0" w:line="240" w:lineRule="auto"/>
    </w:pPr>
    <w:rPr>
      <w:rFonts w:ascii="Arial" w:hAnsi="Arial" w:cs="Arial"/>
      <w:color w:val="000000"/>
      <w:sz w:val="24"/>
      <w:szCs w:val="24"/>
    </w:rPr>
  </w:style>
  <w:style w:type="character" w:customStyle="1" w:styleId="LDP2iChar">
    <w:name w:val="LDP2(i) Char"/>
    <w:link w:val="LDP2i"/>
    <w:locked/>
    <w:rsid w:val="00FE2172"/>
    <w:rPr>
      <w:rFonts w:ascii="Times New Roman" w:eastAsia="Times New Roman" w:hAnsi="Times New Roman" w:cs="Times New Roman"/>
      <w:sz w:val="24"/>
      <w:szCs w:val="24"/>
    </w:rPr>
  </w:style>
  <w:style w:type="paragraph" w:customStyle="1" w:styleId="LDP2i">
    <w:name w:val="LDP2(i)"/>
    <w:link w:val="LDP2iChar"/>
    <w:rsid w:val="00FE2172"/>
    <w:pPr>
      <w:tabs>
        <w:tab w:val="right" w:pos="1418"/>
        <w:tab w:val="left" w:pos="1559"/>
      </w:tabs>
      <w:spacing w:after="0" w:line="240" w:lineRule="auto"/>
      <w:ind w:left="1588" w:hanging="1134"/>
    </w:pPr>
    <w:rPr>
      <w:rFonts w:ascii="Times New Roman" w:eastAsia="Times New Roman" w:hAnsi="Times New Roman" w:cs="Times New Roman"/>
      <w:sz w:val="24"/>
      <w:szCs w:val="24"/>
    </w:rPr>
  </w:style>
  <w:style w:type="paragraph" w:customStyle="1" w:styleId="LDSec1">
    <w:name w:val="LDSec(1)"/>
    <w:link w:val="LDSec1Char"/>
    <w:rsid w:val="003A3771"/>
    <w:pPr>
      <w:tabs>
        <w:tab w:val="right" w:pos="454"/>
        <w:tab w:val="left" w:pos="737"/>
      </w:tabs>
      <w:spacing w:before="60" w:after="60" w:line="240" w:lineRule="auto"/>
      <w:ind w:left="737" w:hanging="1021"/>
    </w:pPr>
    <w:rPr>
      <w:rFonts w:ascii="Times New Roman" w:eastAsia="Times New Roman" w:hAnsi="Times New Roman" w:cs="Times New Roman"/>
      <w:sz w:val="24"/>
      <w:szCs w:val="24"/>
    </w:rPr>
  </w:style>
  <w:style w:type="character" w:customStyle="1" w:styleId="LDSec1Char">
    <w:name w:val="LDSec(1) Char"/>
    <w:basedOn w:val="DefaultParagraphFont"/>
    <w:link w:val="LDSec1"/>
    <w:rsid w:val="003A3771"/>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11A3C"/>
    <w:rPr>
      <w:rFonts w:asciiTheme="majorHAnsi" w:eastAsia="Times New Roman" w:hAnsiTheme="majorHAnsi" w:cs="Times New Roman"/>
      <w:b/>
      <w:bCs/>
      <w:lang w:eastAsia="en-AU"/>
    </w:rPr>
  </w:style>
  <w:style w:type="paragraph" w:customStyle="1" w:styleId="ListParagraph2">
    <w:name w:val="List Paragraph 2"/>
    <w:basedOn w:val="ListParagraph"/>
    <w:uiPriority w:val="19"/>
    <w:semiHidden/>
    <w:rsid w:val="00711A3C"/>
    <w:pPr>
      <w:tabs>
        <w:tab w:val="num" w:pos="1134"/>
      </w:tabs>
      <w:spacing w:before="120" w:after="120" w:line="264" w:lineRule="auto"/>
      <w:ind w:left="568"/>
      <w:contextualSpacing w:val="0"/>
    </w:pPr>
    <w:rPr>
      <w:rFonts w:eastAsia="Times New Roman" w:cs="Times New Roman"/>
      <w:sz w:val="20"/>
      <w:szCs w:val="24"/>
      <w:lang w:eastAsia="en-AU"/>
    </w:rPr>
  </w:style>
  <w:style w:type="paragraph" w:customStyle="1" w:styleId="ListParagraph3">
    <w:name w:val="List Paragraph 3"/>
    <w:basedOn w:val="ListParagraph"/>
    <w:uiPriority w:val="19"/>
    <w:semiHidden/>
    <w:rsid w:val="00711A3C"/>
    <w:pPr>
      <w:tabs>
        <w:tab w:val="num" w:pos="1701"/>
      </w:tabs>
      <w:spacing w:before="120" w:after="120" w:line="264" w:lineRule="auto"/>
      <w:ind w:left="852"/>
      <w:contextualSpacing w:val="0"/>
    </w:pPr>
    <w:rPr>
      <w:rFonts w:eastAsia="Times New Roman" w:cs="Times New Roman"/>
      <w:sz w:val="20"/>
      <w:szCs w:val="24"/>
      <w:lang w:eastAsia="en-AU"/>
    </w:rPr>
  </w:style>
  <w:style w:type="paragraph" w:customStyle="1" w:styleId="ListParagraph4">
    <w:name w:val="List Paragraph 4"/>
    <w:basedOn w:val="ListParagraph"/>
    <w:uiPriority w:val="19"/>
    <w:semiHidden/>
    <w:rsid w:val="00711A3C"/>
    <w:pPr>
      <w:tabs>
        <w:tab w:val="num" w:pos="2268"/>
      </w:tabs>
      <w:spacing w:before="120" w:after="120" w:line="264" w:lineRule="auto"/>
      <w:ind w:left="1136"/>
      <w:contextualSpacing w:val="0"/>
    </w:pPr>
    <w:rPr>
      <w:rFonts w:eastAsia="Times New Roman" w:cs="Times New Roman"/>
      <w:sz w:val="20"/>
      <w:szCs w:val="24"/>
      <w:lang w:eastAsia="en-AU"/>
    </w:rPr>
  </w:style>
  <w:style w:type="paragraph" w:customStyle="1" w:styleId="ListParagraph5">
    <w:name w:val="List Paragraph 5"/>
    <w:basedOn w:val="ListParagraph"/>
    <w:uiPriority w:val="19"/>
    <w:semiHidden/>
    <w:rsid w:val="00711A3C"/>
    <w:pPr>
      <w:tabs>
        <w:tab w:val="num" w:pos="2835"/>
      </w:tabs>
      <w:spacing w:before="120" w:after="120" w:line="264" w:lineRule="auto"/>
      <w:ind w:left="1420"/>
      <w:contextualSpacing w:val="0"/>
    </w:pPr>
    <w:rPr>
      <w:rFonts w:eastAsia="Times New Roman" w:cs="Times New Roman"/>
      <w:sz w:val="20"/>
      <w:szCs w:val="24"/>
      <w:lang w:eastAsia="en-AU"/>
    </w:rPr>
  </w:style>
  <w:style w:type="paragraph" w:customStyle="1" w:styleId="ListParagraph6">
    <w:name w:val="List Paragraph 6"/>
    <w:basedOn w:val="ListParagraph"/>
    <w:uiPriority w:val="19"/>
    <w:semiHidden/>
    <w:rsid w:val="00711A3C"/>
    <w:pPr>
      <w:tabs>
        <w:tab w:val="num" w:pos="3402"/>
      </w:tabs>
      <w:spacing w:before="120" w:after="120" w:line="264" w:lineRule="auto"/>
      <w:ind w:left="1704"/>
      <w:contextualSpacing w:val="0"/>
    </w:pPr>
    <w:rPr>
      <w:rFonts w:eastAsia="Times New Roman" w:cs="Times New Roman"/>
      <w:sz w:val="20"/>
      <w:szCs w:val="24"/>
      <w:lang w:eastAsia="en-AU"/>
    </w:rPr>
  </w:style>
  <w:style w:type="paragraph" w:styleId="BodyText">
    <w:name w:val="Body Text"/>
    <w:basedOn w:val="Normal"/>
    <w:link w:val="BodyTextChar"/>
    <w:uiPriority w:val="99"/>
    <w:semiHidden/>
    <w:unhideWhenUsed/>
    <w:rsid w:val="00711A3C"/>
    <w:pPr>
      <w:spacing w:after="120"/>
    </w:pPr>
  </w:style>
  <w:style w:type="character" w:customStyle="1" w:styleId="BodyTextChar">
    <w:name w:val="Body Text Char"/>
    <w:basedOn w:val="DefaultParagraphFont"/>
    <w:link w:val="BodyText"/>
    <w:uiPriority w:val="1"/>
    <w:rsid w:val="00711A3C"/>
  </w:style>
  <w:style w:type="character" w:customStyle="1" w:styleId="Heading1Char">
    <w:name w:val="Heading 1 Char"/>
    <w:basedOn w:val="DefaultParagraphFont"/>
    <w:link w:val="Heading1"/>
    <w:uiPriority w:val="9"/>
    <w:rsid w:val="000A4EB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A4EB2"/>
    <w:rPr>
      <w:rFonts w:asciiTheme="majorHAnsi" w:eastAsiaTheme="majorEastAsia" w:hAnsiTheme="majorHAnsi" w:cstheme="majorBidi"/>
      <w:color w:val="2E74B5" w:themeColor="accent1" w:themeShade="BF"/>
      <w:sz w:val="26"/>
      <w:szCs w:val="26"/>
    </w:rPr>
  </w:style>
  <w:style w:type="paragraph" w:styleId="Title">
    <w:name w:val="Title"/>
    <w:basedOn w:val="Heading1"/>
    <w:next w:val="BodyText"/>
    <w:link w:val="TitleChar"/>
    <w:rsid w:val="000A4EB2"/>
    <w:pPr>
      <w:widowControl w:val="0"/>
      <w:spacing w:before="0" w:after="360" w:line="264" w:lineRule="auto"/>
    </w:pPr>
    <w:rPr>
      <w:rFonts w:ascii="Arial" w:eastAsia="Times New Roman" w:hAnsi="Arial" w:cs="Arial"/>
      <w:b/>
      <w:bCs/>
      <w:color w:val="auto"/>
      <w:sz w:val="52"/>
      <w:szCs w:val="52"/>
      <w:lang w:eastAsia="en-AU"/>
    </w:rPr>
  </w:style>
  <w:style w:type="character" w:customStyle="1" w:styleId="TitleChar">
    <w:name w:val="Title Char"/>
    <w:basedOn w:val="DefaultParagraphFont"/>
    <w:link w:val="Title"/>
    <w:rsid w:val="000A4EB2"/>
    <w:rPr>
      <w:rFonts w:ascii="Arial" w:eastAsia="Times New Roman" w:hAnsi="Arial" w:cs="Arial"/>
      <w:b/>
      <w:bCs/>
      <w:sz w:val="52"/>
      <w:szCs w:val="52"/>
      <w:lang w:eastAsia="en-AU"/>
    </w:rPr>
  </w:style>
  <w:style w:type="paragraph" w:styleId="TOCHeading">
    <w:name w:val="TOC Heading"/>
    <w:basedOn w:val="Heading1"/>
    <w:next w:val="Normal"/>
    <w:uiPriority w:val="39"/>
    <w:rsid w:val="000A4EB2"/>
    <w:pPr>
      <w:widowControl w:val="0"/>
      <w:spacing w:before="0" w:after="480" w:line="264" w:lineRule="auto"/>
    </w:pPr>
    <w:rPr>
      <w:rFonts w:eastAsia="Times New Roman" w:cs="Arial"/>
      <w:b/>
      <w:bCs/>
      <w:color w:val="5B9BD5" w:themeColor="accent1"/>
      <w:sz w:val="48"/>
      <w:szCs w:val="40"/>
      <w:lang w:eastAsia="en-AU"/>
    </w:rPr>
  </w:style>
  <w:style w:type="paragraph" w:customStyle="1" w:styleId="TableHeading">
    <w:name w:val="Table Heading"/>
    <w:basedOn w:val="Normal"/>
    <w:next w:val="BodyText"/>
    <w:uiPriority w:val="11"/>
    <w:qFormat/>
    <w:rsid w:val="000A4EB2"/>
    <w:pPr>
      <w:keepNext/>
      <w:spacing w:before="120" w:after="120" w:line="240" w:lineRule="auto"/>
    </w:pPr>
    <w:rPr>
      <w:b/>
      <w:color w:val="FFFFFF" w:themeColor="background1"/>
      <w:sz w:val="20"/>
    </w:rPr>
  </w:style>
  <w:style w:type="paragraph" w:customStyle="1" w:styleId="TableBullet">
    <w:name w:val="Table Bullet"/>
    <w:basedOn w:val="Normal"/>
    <w:uiPriority w:val="4"/>
    <w:qFormat/>
    <w:rsid w:val="000A4EB2"/>
    <w:pPr>
      <w:numPr>
        <w:numId w:val="16"/>
      </w:numPr>
      <w:spacing w:before="60" w:after="60" w:line="240" w:lineRule="auto"/>
      <w:ind w:left="284" w:hanging="284"/>
    </w:pPr>
    <w:rPr>
      <w:rFonts w:eastAsia="Times New Roman" w:cs="Times New Roman"/>
      <w:sz w:val="20"/>
      <w:szCs w:val="24"/>
      <w:lang w:eastAsia="en-AU"/>
    </w:rPr>
  </w:style>
  <w:style w:type="paragraph" w:styleId="Quote">
    <w:name w:val="Quote"/>
    <w:basedOn w:val="Normal"/>
    <w:next w:val="Normal"/>
    <w:link w:val="QuoteChar"/>
    <w:uiPriority w:val="83"/>
    <w:qFormat/>
    <w:rsid w:val="000A4EB2"/>
    <w:pPr>
      <w:spacing w:before="120"/>
      <w:ind w:left="426" w:right="566"/>
    </w:pPr>
    <w:rPr>
      <w:rFonts w:ascii="Arial" w:eastAsia="Calibri" w:hAnsi="Arial" w:cs="Arial"/>
      <w:i/>
      <w:iCs/>
      <w:color w:val="5B9BD5" w:themeColor="accent1"/>
      <w:szCs w:val="26"/>
    </w:rPr>
  </w:style>
  <w:style w:type="character" w:customStyle="1" w:styleId="QuoteChar">
    <w:name w:val="Quote Char"/>
    <w:basedOn w:val="DefaultParagraphFont"/>
    <w:link w:val="Quote"/>
    <w:uiPriority w:val="83"/>
    <w:rsid w:val="000A4EB2"/>
    <w:rPr>
      <w:rFonts w:ascii="Arial" w:eastAsia="Calibri" w:hAnsi="Arial" w:cs="Arial"/>
      <w:i/>
      <w:iCs/>
      <w:color w:val="5B9BD5" w:themeColor="accent1"/>
      <w:szCs w:val="26"/>
    </w:rPr>
  </w:style>
  <w:style w:type="paragraph" w:styleId="Caption">
    <w:name w:val="caption"/>
    <w:basedOn w:val="Normal"/>
    <w:next w:val="Normal"/>
    <w:uiPriority w:val="35"/>
    <w:qFormat/>
    <w:rsid w:val="000A4EB2"/>
    <w:pPr>
      <w:keepNext/>
      <w:tabs>
        <w:tab w:val="left" w:pos="1134"/>
      </w:tabs>
      <w:spacing w:before="240" w:after="120" w:line="240" w:lineRule="auto"/>
    </w:pPr>
    <w:rPr>
      <w:i/>
      <w:color w:val="5B9BD5" w:themeColor="accent1"/>
      <w:sz w:val="18"/>
      <w:szCs w:val="18"/>
      <w:lang w:eastAsia="en-AU"/>
    </w:rPr>
  </w:style>
  <w:style w:type="paragraph" w:customStyle="1" w:styleId="TableBody">
    <w:name w:val="Table Body"/>
    <w:basedOn w:val="Normal"/>
    <w:uiPriority w:val="11"/>
    <w:qFormat/>
    <w:rsid w:val="000A4EB2"/>
    <w:pPr>
      <w:spacing w:before="60" w:after="60" w:line="240" w:lineRule="auto"/>
    </w:pPr>
    <w:rPr>
      <w:rFonts w:eastAsia="MS Mincho" w:cs="Times New Roman"/>
      <w:color w:val="000000" w:themeColor="text1"/>
      <w:sz w:val="20"/>
      <w:szCs w:val="20"/>
      <w:lang w:val="en-US"/>
    </w:rPr>
  </w:style>
  <w:style w:type="numbering" w:customStyle="1" w:styleId="ListAlpha">
    <w:name w:val="List_Alpha"/>
    <w:uiPriority w:val="99"/>
    <w:rsid w:val="000A4EB2"/>
    <w:pPr>
      <w:numPr>
        <w:numId w:val="14"/>
      </w:numPr>
    </w:pPr>
  </w:style>
  <w:style w:type="numbering" w:customStyle="1" w:styleId="ListTableBullet">
    <w:name w:val="List_TableBullet"/>
    <w:uiPriority w:val="99"/>
    <w:rsid w:val="000A4EB2"/>
    <w:pPr>
      <w:numPr>
        <w:numId w:val="15"/>
      </w:numPr>
    </w:pPr>
  </w:style>
  <w:style w:type="paragraph" w:customStyle="1" w:styleId="TableBullet2">
    <w:name w:val="Table Bullet 2"/>
    <w:basedOn w:val="TableBullet"/>
    <w:uiPriority w:val="4"/>
    <w:rsid w:val="000A4EB2"/>
    <w:pPr>
      <w:numPr>
        <w:ilvl w:val="1"/>
      </w:numPr>
    </w:pPr>
  </w:style>
  <w:style w:type="paragraph" w:customStyle="1" w:styleId="Protection">
    <w:name w:val="Protection"/>
    <w:basedOn w:val="Normal"/>
    <w:semiHidden/>
    <w:rsid w:val="000A4EB2"/>
    <w:pPr>
      <w:spacing w:before="120" w:after="120" w:line="240" w:lineRule="auto"/>
      <w:jc w:val="center"/>
    </w:pPr>
    <w:rPr>
      <w:rFonts w:ascii="Arial" w:hAnsi="Arial" w:cs="Arial"/>
      <w:b/>
      <w:color w:val="C00000"/>
      <w:sz w:val="28"/>
      <w:szCs w:val="28"/>
    </w:rPr>
  </w:style>
  <w:style w:type="paragraph" w:styleId="Subtitle">
    <w:name w:val="Subtitle"/>
    <w:basedOn w:val="Normal"/>
    <w:next w:val="Normal"/>
    <w:link w:val="SubtitleChar"/>
    <w:rsid w:val="000A4EB2"/>
    <w:pPr>
      <w:numPr>
        <w:ilvl w:val="1"/>
      </w:numPr>
      <w:spacing w:before="120" w:line="240" w:lineRule="auto"/>
    </w:pPr>
    <w:rPr>
      <w:rFonts w:eastAsiaTheme="minorEastAsia"/>
      <w:color w:val="000000" w:themeColor="text1"/>
      <w:spacing w:val="15"/>
      <w:sz w:val="36"/>
    </w:rPr>
  </w:style>
  <w:style w:type="character" w:customStyle="1" w:styleId="SubtitleChar">
    <w:name w:val="Subtitle Char"/>
    <w:basedOn w:val="DefaultParagraphFont"/>
    <w:link w:val="Subtitle"/>
    <w:rsid w:val="000A4EB2"/>
    <w:rPr>
      <w:rFonts w:eastAsiaTheme="minorEastAsia"/>
      <w:color w:val="000000" w:themeColor="text1"/>
      <w:spacing w:val="15"/>
      <w:sz w:val="36"/>
    </w:rPr>
  </w:style>
  <w:style w:type="paragraph" w:styleId="FootnoteText">
    <w:name w:val="footnote text"/>
    <w:basedOn w:val="Normal"/>
    <w:link w:val="FootnoteTextChar"/>
    <w:uiPriority w:val="99"/>
    <w:unhideWhenUsed/>
    <w:rsid w:val="000A4EB2"/>
    <w:pPr>
      <w:spacing w:before="60" w:after="60" w:line="240" w:lineRule="auto"/>
    </w:pPr>
    <w:rPr>
      <w:sz w:val="16"/>
      <w:szCs w:val="20"/>
    </w:rPr>
  </w:style>
  <w:style w:type="character" w:customStyle="1" w:styleId="FootnoteTextChar">
    <w:name w:val="Footnote Text Char"/>
    <w:basedOn w:val="DefaultParagraphFont"/>
    <w:link w:val="FootnoteText"/>
    <w:uiPriority w:val="99"/>
    <w:rsid w:val="000A4EB2"/>
    <w:rPr>
      <w:sz w:val="16"/>
      <w:szCs w:val="20"/>
    </w:rPr>
  </w:style>
  <w:style w:type="character" w:styleId="FootnoteReference">
    <w:name w:val="footnote reference"/>
    <w:basedOn w:val="DefaultParagraphFont"/>
    <w:uiPriority w:val="99"/>
    <w:semiHidden/>
    <w:unhideWhenUsed/>
    <w:rsid w:val="000A4EB2"/>
    <w:rPr>
      <w:vertAlign w:val="superscript"/>
    </w:rPr>
  </w:style>
  <w:style w:type="table" w:customStyle="1" w:styleId="TableGrid3">
    <w:name w:val="Table Grid3"/>
    <w:basedOn w:val="TableNormal"/>
    <w:next w:val="TableGrid"/>
    <w:uiPriority w:val="39"/>
    <w:rsid w:val="000A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0A4EB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next w:val="TableGrid"/>
    <w:uiPriority w:val="39"/>
    <w:rsid w:val="000A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stlevel">
    <w:name w:val="Bullet 1st level"/>
    <w:basedOn w:val="BodyText"/>
    <w:link w:val="Bullet1stlevelChar"/>
    <w:qFormat/>
    <w:rsid w:val="000A4EB2"/>
    <w:pPr>
      <w:numPr>
        <w:numId w:val="17"/>
      </w:numPr>
      <w:spacing w:before="120" w:line="240" w:lineRule="auto"/>
    </w:pPr>
    <w:rPr>
      <w:rFonts w:cstheme="majorHAnsi"/>
    </w:rPr>
  </w:style>
  <w:style w:type="character" w:customStyle="1" w:styleId="Bullet1stlevelChar">
    <w:name w:val="Bullet 1st level Char"/>
    <w:link w:val="Bullet1stlevel"/>
    <w:rsid w:val="000A4EB2"/>
    <w:rPr>
      <w:rFonts w:cstheme="majorHAnsi"/>
    </w:rPr>
  </w:style>
  <w:style w:type="paragraph" w:customStyle="1" w:styleId="Note">
    <w:name w:val="Note"/>
    <w:basedOn w:val="Normal"/>
    <w:uiPriority w:val="39"/>
    <w:rsid w:val="000A4EB2"/>
    <w:pPr>
      <w:spacing w:before="120" w:after="240" w:line="240" w:lineRule="auto"/>
    </w:pPr>
    <w:rPr>
      <w:rFonts w:ascii="Arial" w:eastAsia="Calibri" w:hAnsi="Arial" w:cs="Arial"/>
      <w:bCs/>
      <w:sz w:val="18"/>
    </w:rPr>
  </w:style>
  <w:style w:type="paragraph" w:customStyle="1" w:styleId="Divider">
    <w:name w:val="Divider"/>
    <w:basedOn w:val="BodyText"/>
    <w:uiPriority w:val="39"/>
    <w:rsid w:val="000A4EB2"/>
    <w:pPr>
      <w:spacing w:before="1200" w:line="240" w:lineRule="auto"/>
    </w:pPr>
    <w:rPr>
      <w:rFonts w:cstheme="majorHAnsi"/>
      <w:b/>
      <w:bCs/>
      <w:color w:val="FFFFFF" w:themeColor="background1"/>
      <w:sz w:val="72"/>
      <w:szCs w:val="72"/>
    </w:rPr>
  </w:style>
  <w:style w:type="paragraph" w:customStyle="1" w:styleId="Introtext">
    <w:name w:val="Intro text"/>
    <w:basedOn w:val="BodyText"/>
    <w:uiPriority w:val="39"/>
    <w:rsid w:val="000A4EB2"/>
    <w:pPr>
      <w:spacing w:before="120" w:after="360"/>
    </w:pPr>
    <w:rPr>
      <w:rFonts w:cstheme="majorHAnsi"/>
      <w:color w:val="ED7D31" w:themeColor="accent2"/>
      <w:sz w:val="24"/>
      <w:szCs w:val="32"/>
    </w:rPr>
  </w:style>
  <w:style w:type="table" w:styleId="TableGrid">
    <w:name w:val="Table Grid"/>
    <w:basedOn w:val="TableNormal"/>
    <w:uiPriority w:val="39"/>
    <w:rsid w:val="000A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0A4EB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8224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12389">
      <w:bodyDiv w:val="1"/>
      <w:marLeft w:val="0"/>
      <w:marRight w:val="0"/>
      <w:marTop w:val="0"/>
      <w:marBottom w:val="0"/>
      <w:divBdr>
        <w:top w:val="none" w:sz="0" w:space="0" w:color="auto"/>
        <w:left w:val="none" w:sz="0" w:space="0" w:color="auto"/>
        <w:bottom w:val="none" w:sz="0" w:space="0" w:color="auto"/>
        <w:right w:val="none" w:sz="0" w:space="0" w:color="auto"/>
      </w:divBdr>
    </w:div>
    <w:div w:id="489951908">
      <w:bodyDiv w:val="1"/>
      <w:marLeft w:val="0"/>
      <w:marRight w:val="0"/>
      <w:marTop w:val="0"/>
      <w:marBottom w:val="0"/>
      <w:divBdr>
        <w:top w:val="none" w:sz="0" w:space="0" w:color="auto"/>
        <w:left w:val="none" w:sz="0" w:space="0" w:color="auto"/>
        <w:bottom w:val="none" w:sz="0" w:space="0" w:color="auto"/>
        <w:right w:val="none" w:sz="0" w:space="0" w:color="auto"/>
      </w:divBdr>
    </w:div>
    <w:div w:id="608051645">
      <w:bodyDiv w:val="1"/>
      <w:marLeft w:val="0"/>
      <w:marRight w:val="0"/>
      <w:marTop w:val="0"/>
      <w:marBottom w:val="0"/>
      <w:divBdr>
        <w:top w:val="none" w:sz="0" w:space="0" w:color="auto"/>
        <w:left w:val="none" w:sz="0" w:space="0" w:color="auto"/>
        <w:bottom w:val="none" w:sz="0" w:space="0" w:color="auto"/>
        <w:right w:val="none" w:sz="0" w:space="0" w:color="auto"/>
      </w:divBdr>
    </w:div>
    <w:div w:id="718864396">
      <w:bodyDiv w:val="1"/>
      <w:marLeft w:val="0"/>
      <w:marRight w:val="0"/>
      <w:marTop w:val="0"/>
      <w:marBottom w:val="0"/>
      <w:divBdr>
        <w:top w:val="none" w:sz="0" w:space="0" w:color="auto"/>
        <w:left w:val="none" w:sz="0" w:space="0" w:color="auto"/>
        <w:bottom w:val="none" w:sz="0" w:space="0" w:color="auto"/>
        <w:right w:val="none" w:sz="0" w:space="0" w:color="auto"/>
      </w:divBdr>
      <w:divsChild>
        <w:div w:id="474295060">
          <w:marLeft w:val="0"/>
          <w:marRight w:val="0"/>
          <w:marTop w:val="0"/>
          <w:marBottom w:val="0"/>
          <w:divBdr>
            <w:top w:val="none" w:sz="0" w:space="0" w:color="auto"/>
            <w:left w:val="none" w:sz="0" w:space="0" w:color="auto"/>
            <w:bottom w:val="none" w:sz="0" w:space="0" w:color="auto"/>
            <w:right w:val="none" w:sz="0" w:space="0" w:color="auto"/>
          </w:divBdr>
          <w:divsChild>
            <w:div w:id="9676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86528">
      <w:bodyDiv w:val="1"/>
      <w:marLeft w:val="0"/>
      <w:marRight w:val="0"/>
      <w:marTop w:val="0"/>
      <w:marBottom w:val="0"/>
      <w:divBdr>
        <w:top w:val="none" w:sz="0" w:space="0" w:color="auto"/>
        <w:left w:val="none" w:sz="0" w:space="0" w:color="auto"/>
        <w:bottom w:val="none" w:sz="0" w:space="0" w:color="auto"/>
        <w:right w:val="none" w:sz="0" w:space="0" w:color="auto"/>
      </w:divBdr>
    </w:div>
    <w:div w:id="855076324">
      <w:bodyDiv w:val="1"/>
      <w:marLeft w:val="0"/>
      <w:marRight w:val="0"/>
      <w:marTop w:val="0"/>
      <w:marBottom w:val="0"/>
      <w:divBdr>
        <w:top w:val="none" w:sz="0" w:space="0" w:color="auto"/>
        <w:left w:val="none" w:sz="0" w:space="0" w:color="auto"/>
        <w:bottom w:val="none" w:sz="0" w:space="0" w:color="auto"/>
        <w:right w:val="none" w:sz="0" w:space="0" w:color="auto"/>
      </w:divBdr>
    </w:div>
    <w:div w:id="921371020">
      <w:bodyDiv w:val="1"/>
      <w:marLeft w:val="0"/>
      <w:marRight w:val="0"/>
      <w:marTop w:val="0"/>
      <w:marBottom w:val="0"/>
      <w:divBdr>
        <w:top w:val="none" w:sz="0" w:space="0" w:color="auto"/>
        <w:left w:val="none" w:sz="0" w:space="0" w:color="auto"/>
        <w:bottom w:val="none" w:sz="0" w:space="0" w:color="auto"/>
        <w:right w:val="none" w:sz="0" w:space="0" w:color="auto"/>
      </w:divBdr>
    </w:div>
    <w:div w:id="1177038749">
      <w:bodyDiv w:val="1"/>
      <w:marLeft w:val="0"/>
      <w:marRight w:val="0"/>
      <w:marTop w:val="0"/>
      <w:marBottom w:val="0"/>
      <w:divBdr>
        <w:top w:val="none" w:sz="0" w:space="0" w:color="auto"/>
        <w:left w:val="none" w:sz="0" w:space="0" w:color="auto"/>
        <w:bottom w:val="none" w:sz="0" w:space="0" w:color="auto"/>
        <w:right w:val="none" w:sz="0" w:space="0" w:color="auto"/>
      </w:divBdr>
      <w:divsChild>
        <w:div w:id="89084292">
          <w:marLeft w:val="0"/>
          <w:marRight w:val="0"/>
          <w:marTop w:val="0"/>
          <w:marBottom w:val="0"/>
          <w:divBdr>
            <w:top w:val="none" w:sz="0" w:space="0" w:color="auto"/>
            <w:left w:val="none" w:sz="0" w:space="0" w:color="auto"/>
            <w:bottom w:val="none" w:sz="0" w:space="0" w:color="auto"/>
            <w:right w:val="none" w:sz="0" w:space="0" w:color="auto"/>
          </w:divBdr>
          <w:divsChild>
            <w:div w:id="37519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13140">
      <w:bodyDiv w:val="1"/>
      <w:marLeft w:val="0"/>
      <w:marRight w:val="0"/>
      <w:marTop w:val="0"/>
      <w:marBottom w:val="0"/>
      <w:divBdr>
        <w:top w:val="none" w:sz="0" w:space="0" w:color="auto"/>
        <w:left w:val="none" w:sz="0" w:space="0" w:color="auto"/>
        <w:bottom w:val="none" w:sz="0" w:space="0" w:color="auto"/>
        <w:right w:val="none" w:sz="0" w:space="0" w:color="auto"/>
      </w:divBdr>
    </w:div>
    <w:div w:id="1271744144">
      <w:bodyDiv w:val="1"/>
      <w:marLeft w:val="0"/>
      <w:marRight w:val="0"/>
      <w:marTop w:val="0"/>
      <w:marBottom w:val="0"/>
      <w:divBdr>
        <w:top w:val="none" w:sz="0" w:space="0" w:color="auto"/>
        <w:left w:val="none" w:sz="0" w:space="0" w:color="auto"/>
        <w:bottom w:val="none" w:sz="0" w:space="0" w:color="auto"/>
        <w:right w:val="none" w:sz="0" w:space="0" w:color="auto"/>
      </w:divBdr>
    </w:div>
    <w:div w:id="1283339311">
      <w:bodyDiv w:val="1"/>
      <w:marLeft w:val="0"/>
      <w:marRight w:val="0"/>
      <w:marTop w:val="0"/>
      <w:marBottom w:val="0"/>
      <w:divBdr>
        <w:top w:val="none" w:sz="0" w:space="0" w:color="auto"/>
        <w:left w:val="none" w:sz="0" w:space="0" w:color="auto"/>
        <w:bottom w:val="none" w:sz="0" w:space="0" w:color="auto"/>
        <w:right w:val="none" w:sz="0" w:space="0" w:color="auto"/>
      </w:divBdr>
    </w:div>
    <w:div w:id="1333142462">
      <w:bodyDiv w:val="1"/>
      <w:marLeft w:val="0"/>
      <w:marRight w:val="0"/>
      <w:marTop w:val="0"/>
      <w:marBottom w:val="0"/>
      <w:divBdr>
        <w:top w:val="none" w:sz="0" w:space="0" w:color="auto"/>
        <w:left w:val="none" w:sz="0" w:space="0" w:color="auto"/>
        <w:bottom w:val="none" w:sz="0" w:space="0" w:color="auto"/>
        <w:right w:val="none" w:sz="0" w:space="0" w:color="auto"/>
      </w:divBdr>
    </w:div>
    <w:div w:id="1395009614">
      <w:bodyDiv w:val="1"/>
      <w:marLeft w:val="0"/>
      <w:marRight w:val="0"/>
      <w:marTop w:val="0"/>
      <w:marBottom w:val="0"/>
      <w:divBdr>
        <w:top w:val="none" w:sz="0" w:space="0" w:color="auto"/>
        <w:left w:val="none" w:sz="0" w:space="0" w:color="auto"/>
        <w:bottom w:val="none" w:sz="0" w:space="0" w:color="auto"/>
        <w:right w:val="none" w:sz="0" w:space="0" w:color="auto"/>
      </w:divBdr>
    </w:div>
    <w:div w:id="1472286441">
      <w:bodyDiv w:val="1"/>
      <w:marLeft w:val="0"/>
      <w:marRight w:val="0"/>
      <w:marTop w:val="0"/>
      <w:marBottom w:val="0"/>
      <w:divBdr>
        <w:top w:val="none" w:sz="0" w:space="0" w:color="auto"/>
        <w:left w:val="none" w:sz="0" w:space="0" w:color="auto"/>
        <w:bottom w:val="none" w:sz="0" w:space="0" w:color="auto"/>
        <w:right w:val="none" w:sz="0" w:space="0" w:color="auto"/>
      </w:divBdr>
    </w:div>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 w:id="1552839791">
      <w:bodyDiv w:val="1"/>
      <w:marLeft w:val="0"/>
      <w:marRight w:val="0"/>
      <w:marTop w:val="0"/>
      <w:marBottom w:val="0"/>
      <w:divBdr>
        <w:top w:val="none" w:sz="0" w:space="0" w:color="auto"/>
        <w:left w:val="none" w:sz="0" w:space="0" w:color="auto"/>
        <w:bottom w:val="none" w:sz="0" w:space="0" w:color="auto"/>
        <w:right w:val="none" w:sz="0" w:space="0" w:color="auto"/>
      </w:divBdr>
    </w:div>
    <w:div w:id="1636328872">
      <w:bodyDiv w:val="1"/>
      <w:marLeft w:val="0"/>
      <w:marRight w:val="0"/>
      <w:marTop w:val="0"/>
      <w:marBottom w:val="0"/>
      <w:divBdr>
        <w:top w:val="none" w:sz="0" w:space="0" w:color="auto"/>
        <w:left w:val="none" w:sz="0" w:space="0" w:color="auto"/>
        <w:bottom w:val="none" w:sz="0" w:space="0" w:color="auto"/>
        <w:right w:val="none" w:sz="0" w:space="0" w:color="auto"/>
      </w:divBdr>
    </w:div>
    <w:div w:id="1757509336">
      <w:bodyDiv w:val="1"/>
      <w:marLeft w:val="0"/>
      <w:marRight w:val="0"/>
      <w:marTop w:val="0"/>
      <w:marBottom w:val="0"/>
      <w:divBdr>
        <w:top w:val="none" w:sz="0" w:space="0" w:color="auto"/>
        <w:left w:val="none" w:sz="0" w:space="0" w:color="auto"/>
        <w:bottom w:val="none" w:sz="0" w:space="0" w:color="auto"/>
        <w:right w:val="none" w:sz="0" w:space="0" w:color="auto"/>
      </w:divBdr>
    </w:div>
    <w:div w:id="1846285520">
      <w:bodyDiv w:val="1"/>
      <w:marLeft w:val="0"/>
      <w:marRight w:val="0"/>
      <w:marTop w:val="0"/>
      <w:marBottom w:val="0"/>
      <w:divBdr>
        <w:top w:val="none" w:sz="0" w:space="0" w:color="auto"/>
        <w:left w:val="none" w:sz="0" w:space="0" w:color="auto"/>
        <w:bottom w:val="none" w:sz="0" w:space="0" w:color="auto"/>
        <w:right w:val="none" w:sz="0" w:space="0" w:color="auto"/>
      </w:divBdr>
    </w:div>
    <w:div w:id="1860586843">
      <w:bodyDiv w:val="1"/>
      <w:marLeft w:val="0"/>
      <w:marRight w:val="0"/>
      <w:marTop w:val="0"/>
      <w:marBottom w:val="0"/>
      <w:divBdr>
        <w:top w:val="none" w:sz="0" w:space="0" w:color="auto"/>
        <w:left w:val="none" w:sz="0" w:space="0" w:color="auto"/>
        <w:bottom w:val="none" w:sz="0" w:space="0" w:color="auto"/>
        <w:right w:val="none" w:sz="0" w:space="0" w:color="auto"/>
      </w:divBdr>
    </w:div>
    <w:div w:id="1886867440">
      <w:bodyDiv w:val="1"/>
      <w:marLeft w:val="0"/>
      <w:marRight w:val="0"/>
      <w:marTop w:val="0"/>
      <w:marBottom w:val="0"/>
      <w:divBdr>
        <w:top w:val="none" w:sz="0" w:space="0" w:color="auto"/>
        <w:left w:val="none" w:sz="0" w:space="0" w:color="auto"/>
        <w:bottom w:val="none" w:sz="0" w:space="0" w:color="auto"/>
        <w:right w:val="none" w:sz="0" w:space="0" w:color="auto"/>
      </w:divBdr>
    </w:div>
    <w:div w:id="1936132457">
      <w:bodyDiv w:val="1"/>
      <w:marLeft w:val="0"/>
      <w:marRight w:val="0"/>
      <w:marTop w:val="0"/>
      <w:marBottom w:val="0"/>
      <w:divBdr>
        <w:top w:val="none" w:sz="0" w:space="0" w:color="auto"/>
        <w:left w:val="none" w:sz="0" w:space="0" w:color="auto"/>
        <w:bottom w:val="none" w:sz="0" w:space="0" w:color="auto"/>
        <w:right w:val="none" w:sz="0" w:space="0" w:color="auto"/>
      </w:divBdr>
    </w:div>
    <w:div w:id="212036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49az\AppData\Local\Temp\1\Temp2_Current%20templates%20-%20MAY2021.zip\ES%20template%202103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A3D2A-F19E-40EC-B8C0-B398D376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 template 210325.dotx</Template>
  <TotalTime>17</TotalTime>
  <Pages>5</Pages>
  <Words>1344</Words>
  <Characters>7665</Characters>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2022-06-02T07:23:00Z</cp:lastPrinted>
  <dcterms:created xsi:type="dcterms:W3CDTF">2024-09-11T05:06:00Z</dcterms:created>
  <dcterms:modified xsi:type="dcterms:W3CDTF">2024-09-12T02:11:00Z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BO39510724</vt:lpwstr>
  </property>
  <property fmtid="{D5CDD505-2E9C-101B-9397-08002B2CF9AE}" pid="4" name="Objective-Title">
    <vt:lpwstr>Explosives (Authorised Commonwealth Explosives) Order 2024 - Explanatory Statement</vt:lpwstr>
  </property>
  <property fmtid="{D5CDD505-2E9C-101B-9397-08002B2CF9AE}" pid="5" name="Objective-Comment">
    <vt:lpwstr>Message registered by Bracegirdle, Amy MS on Wednesday, 11 September 2024 04:37:31 PM</vt:lpwstr>
  </property>
  <property fmtid="{D5CDD505-2E9C-101B-9397-08002B2CF9AE}" pid="6" name="Objective-CreationStamp">
    <vt:filetime>2024-09-11T06:37:39Z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2024-09-12T02:16:16Z</vt:filetime>
  </property>
  <property fmtid="{D5CDD505-2E9C-101B-9397-08002B2CF9AE}" pid="10" name="Objective-ModificationStamp">
    <vt:filetime>2024-09-12T02:16:16Z</vt:filetime>
  </property>
  <property fmtid="{D5CDD505-2E9C-101B-9397-08002B2CF9AE}" pid="11" name="Objective-Owner">
    <vt:lpwstr>Defence</vt:lpwstr>
  </property>
  <property fmtid="{D5CDD505-2E9C-101B-9397-08002B2CF9AE}" pid="12" name="Objective-Path">
    <vt:lpwstr>Objective Global Folder - PROD:Defence Business Units:Joint Capabilities Group:Joint Logistics Command:EOB : Explosive Ordnance Branch:04. Explosive Safety (DOS):Explosive Safety - Projects:Explosive Safety - Projects- Active:Projects - Commonwealth Explosives Act Thematic Review (EATR) - Task Force:Commonwealth Explosives Act Thematic Review (EATR):Projects - Commonwealth Explosives Act Thematic Review (EATR) - Legislative Change Process:2024:Remaking Explosives Transport and Area Regulations:LACE Order:</vt:lpwstr>
  </property>
  <property fmtid="{D5CDD505-2E9C-101B-9397-08002B2CF9AE}" pid="13" name="Objective-Parent">
    <vt:lpwstr>LACE Order</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i4>2</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 Sensitive]</vt:lpwstr>
  </property>
  <property fmtid="{D5CDD505-2E9C-101B-9397-08002B2CF9AE}" pid="20" name="Objective-Caveats">
    <vt:lpwstr/>
  </property>
  <property fmtid="{D5CDD505-2E9C-101B-9397-08002B2CF9AE}" pid="21" name="Objective-Document Type [system]">
    <vt:lpwstr/>
  </property>
  <property fmtid="{D5CDD505-2E9C-101B-9397-08002B2CF9AE}" pid="22" name="Objective-Reason for Security Classification Change [system]">
    <vt:lpwstr/>
  </property>
</Properties>
</file>