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0B990" w14:textId="77777777" w:rsidR="0085346D" w:rsidRPr="005074AA" w:rsidRDefault="0085346D" w:rsidP="0085346D">
      <w:pPr>
        <w:pStyle w:val="Title"/>
        <w:rPr>
          <w:sz w:val="28"/>
          <w:szCs w:val="28"/>
        </w:rPr>
      </w:pPr>
      <w:r w:rsidRPr="005074AA">
        <w:rPr>
          <w:sz w:val="28"/>
          <w:szCs w:val="28"/>
        </w:rPr>
        <w:t>EXPLANATORY STATEMENT</w:t>
      </w:r>
    </w:p>
    <w:p w14:paraId="46A7238A" w14:textId="75E041E0" w:rsidR="0085346D" w:rsidRPr="005074AA" w:rsidRDefault="0085346D" w:rsidP="00183A48">
      <w:pPr>
        <w:tabs>
          <w:tab w:val="left" w:pos="720"/>
        </w:tabs>
        <w:jc w:val="center"/>
        <w:rPr>
          <w:bCs/>
          <w:szCs w:val="24"/>
          <w:lang w:val="en-AU"/>
        </w:rPr>
      </w:pPr>
    </w:p>
    <w:p w14:paraId="3E045C17" w14:textId="374C1D32" w:rsidR="00097A81" w:rsidRPr="005074AA" w:rsidRDefault="0085346D" w:rsidP="00B14992">
      <w:pPr>
        <w:tabs>
          <w:tab w:val="left" w:pos="720"/>
        </w:tabs>
        <w:jc w:val="center"/>
        <w:rPr>
          <w:b/>
          <w:i/>
          <w:szCs w:val="24"/>
          <w:lang w:val="en-AU"/>
        </w:rPr>
      </w:pPr>
      <w:r w:rsidRPr="005074AA">
        <w:rPr>
          <w:b/>
          <w:i/>
          <w:szCs w:val="24"/>
          <w:lang w:val="en-AU"/>
        </w:rPr>
        <w:t>Aged Care Act 1997</w:t>
      </w:r>
    </w:p>
    <w:p w14:paraId="692741C1" w14:textId="3001D31C" w:rsidR="00097A81" w:rsidRPr="005074AA" w:rsidRDefault="00097A81" w:rsidP="0085346D">
      <w:pPr>
        <w:tabs>
          <w:tab w:val="left" w:pos="720"/>
        </w:tabs>
        <w:jc w:val="center"/>
        <w:rPr>
          <w:b/>
          <w:i/>
          <w:szCs w:val="24"/>
          <w:lang w:val="en-AU"/>
        </w:rPr>
      </w:pPr>
      <w:r w:rsidRPr="005074AA">
        <w:rPr>
          <w:b/>
          <w:i/>
          <w:szCs w:val="24"/>
          <w:lang w:val="en-AU"/>
        </w:rPr>
        <w:t>Aged Care (Transitional Provisions) Act 1997</w:t>
      </w:r>
    </w:p>
    <w:p w14:paraId="6D6A11E2" w14:textId="77777777" w:rsidR="0085346D" w:rsidRPr="005074AA" w:rsidRDefault="0085346D" w:rsidP="0085346D">
      <w:pPr>
        <w:tabs>
          <w:tab w:val="left" w:pos="720"/>
        </w:tabs>
        <w:jc w:val="center"/>
        <w:rPr>
          <w:bCs/>
          <w:iCs/>
          <w:szCs w:val="24"/>
          <w:lang w:val="en-AU"/>
        </w:rPr>
      </w:pPr>
    </w:p>
    <w:p w14:paraId="5318E16A" w14:textId="7E8474AF" w:rsidR="0085346D" w:rsidRPr="005074AA" w:rsidRDefault="00E74FCB" w:rsidP="0085346D">
      <w:pPr>
        <w:tabs>
          <w:tab w:val="left" w:pos="720"/>
        </w:tabs>
        <w:jc w:val="center"/>
        <w:rPr>
          <w:b/>
          <w:i/>
          <w:szCs w:val="24"/>
          <w:lang w:val="en-AU"/>
        </w:rPr>
      </w:pPr>
      <w:r w:rsidRPr="005074AA">
        <w:rPr>
          <w:b/>
          <w:i/>
          <w:szCs w:val="24"/>
          <w:lang w:val="en-AU"/>
        </w:rPr>
        <w:t xml:space="preserve">Aged Care </w:t>
      </w:r>
      <w:r w:rsidR="006932DE" w:rsidRPr="005074AA">
        <w:rPr>
          <w:b/>
          <w:i/>
          <w:szCs w:val="24"/>
          <w:lang w:val="en-AU"/>
        </w:rPr>
        <w:t xml:space="preserve">Legislation </w:t>
      </w:r>
      <w:r w:rsidRPr="005074AA">
        <w:rPr>
          <w:b/>
          <w:i/>
          <w:szCs w:val="24"/>
          <w:lang w:val="en-AU"/>
        </w:rPr>
        <w:t>Amendment (</w:t>
      </w:r>
      <w:r w:rsidR="006B1003" w:rsidRPr="005074AA">
        <w:rPr>
          <w:b/>
          <w:i/>
          <w:szCs w:val="24"/>
          <w:lang w:val="en-AU"/>
        </w:rPr>
        <w:t>September</w:t>
      </w:r>
      <w:r w:rsidRPr="005074AA">
        <w:rPr>
          <w:b/>
          <w:i/>
          <w:szCs w:val="24"/>
          <w:lang w:val="en-AU"/>
        </w:rPr>
        <w:t xml:space="preserve"> Indexation) </w:t>
      </w:r>
      <w:r w:rsidR="002526C0" w:rsidRPr="005074AA">
        <w:rPr>
          <w:b/>
          <w:i/>
          <w:szCs w:val="24"/>
          <w:lang w:val="en-AU"/>
        </w:rPr>
        <w:t>Instrument</w:t>
      </w:r>
      <w:r w:rsidRPr="005074AA">
        <w:rPr>
          <w:b/>
          <w:i/>
          <w:szCs w:val="24"/>
          <w:lang w:val="en-AU"/>
        </w:rPr>
        <w:t xml:space="preserve"> 202</w:t>
      </w:r>
      <w:r w:rsidR="00077B94" w:rsidRPr="005074AA">
        <w:rPr>
          <w:b/>
          <w:i/>
          <w:szCs w:val="24"/>
          <w:lang w:val="en-AU"/>
        </w:rPr>
        <w:t>4</w:t>
      </w:r>
    </w:p>
    <w:p w14:paraId="4E85D49E" w14:textId="2310E15E" w:rsidR="00097A81" w:rsidRPr="005074AA" w:rsidRDefault="00097A81" w:rsidP="0085346D">
      <w:pPr>
        <w:tabs>
          <w:tab w:val="left" w:pos="720"/>
        </w:tabs>
        <w:jc w:val="center"/>
        <w:rPr>
          <w:bCs/>
          <w:szCs w:val="24"/>
          <w:lang w:val="en-AU"/>
        </w:rPr>
      </w:pPr>
    </w:p>
    <w:p w14:paraId="59A2AA5D" w14:textId="77777777" w:rsidR="00E5242F" w:rsidRPr="005074AA" w:rsidRDefault="00E5242F" w:rsidP="0085346D">
      <w:pPr>
        <w:tabs>
          <w:tab w:val="left" w:pos="720"/>
        </w:tabs>
        <w:jc w:val="center"/>
        <w:rPr>
          <w:bCs/>
          <w:szCs w:val="24"/>
          <w:lang w:val="en-AU"/>
        </w:rPr>
      </w:pPr>
    </w:p>
    <w:p w14:paraId="4F8EBD85" w14:textId="77777777" w:rsidR="0039020C" w:rsidRPr="005074AA" w:rsidRDefault="0039020C" w:rsidP="0039020C">
      <w:pPr>
        <w:rPr>
          <w:b/>
          <w:szCs w:val="24"/>
        </w:rPr>
      </w:pPr>
      <w:r w:rsidRPr="005074AA">
        <w:rPr>
          <w:b/>
          <w:szCs w:val="24"/>
        </w:rPr>
        <w:t>Purpose</w:t>
      </w:r>
      <w:r w:rsidR="001A58B8" w:rsidRPr="005074AA">
        <w:rPr>
          <w:b/>
          <w:szCs w:val="24"/>
        </w:rPr>
        <w:t xml:space="preserve"> and operation</w:t>
      </w:r>
    </w:p>
    <w:p w14:paraId="6512DA19" w14:textId="77777777" w:rsidR="00E5242F" w:rsidRPr="005074AA" w:rsidRDefault="00E5242F" w:rsidP="0039020C">
      <w:pPr>
        <w:rPr>
          <w:bCs/>
          <w:szCs w:val="24"/>
        </w:rPr>
      </w:pPr>
    </w:p>
    <w:p w14:paraId="77B95722" w14:textId="2132334A" w:rsidR="00E74FCB" w:rsidRPr="005074AA" w:rsidRDefault="0039020C" w:rsidP="0039020C">
      <w:pPr>
        <w:jc w:val="both"/>
        <w:rPr>
          <w:szCs w:val="24"/>
        </w:rPr>
      </w:pPr>
      <w:r w:rsidRPr="005074AA">
        <w:rPr>
          <w:szCs w:val="24"/>
        </w:rPr>
        <w:t xml:space="preserve">The </w:t>
      </w:r>
      <w:r w:rsidR="00E74FCB" w:rsidRPr="005074AA">
        <w:rPr>
          <w:i/>
          <w:szCs w:val="24"/>
        </w:rPr>
        <w:t xml:space="preserve">Aged Care </w:t>
      </w:r>
      <w:r w:rsidR="006932DE" w:rsidRPr="005074AA">
        <w:rPr>
          <w:i/>
          <w:szCs w:val="24"/>
        </w:rPr>
        <w:t xml:space="preserve">Legislation </w:t>
      </w:r>
      <w:r w:rsidR="00E74FCB" w:rsidRPr="005074AA">
        <w:rPr>
          <w:i/>
          <w:szCs w:val="24"/>
        </w:rPr>
        <w:t>Amendment (</w:t>
      </w:r>
      <w:r w:rsidR="006B1003" w:rsidRPr="005074AA">
        <w:rPr>
          <w:i/>
          <w:szCs w:val="24"/>
        </w:rPr>
        <w:t>September</w:t>
      </w:r>
      <w:r w:rsidR="00E74FCB" w:rsidRPr="005074AA">
        <w:rPr>
          <w:i/>
          <w:szCs w:val="24"/>
        </w:rPr>
        <w:t xml:space="preserve"> Indexation) </w:t>
      </w:r>
      <w:r w:rsidR="002526C0" w:rsidRPr="005074AA">
        <w:rPr>
          <w:i/>
          <w:szCs w:val="24"/>
        </w:rPr>
        <w:t>Instrument</w:t>
      </w:r>
      <w:r w:rsidR="00E74FCB" w:rsidRPr="005074AA">
        <w:rPr>
          <w:i/>
          <w:szCs w:val="24"/>
        </w:rPr>
        <w:t xml:space="preserve"> 202</w:t>
      </w:r>
      <w:r w:rsidR="00077B94" w:rsidRPr="005074AA">
        <w:rPr>
          <w:i/>
          <w:szCs w:val="24"/>
        </w:rPr>
        <w:t>4</w:t>
      </w:r>
      <w:r w:rsidRPr="005074AA">
        <w:rPr>
          <w:i/>
          <w:szCs w:val="24"/>
        </w:rPr>
        <w:t xml:space="preserve"> </w:t>
      </w:r>
      <w:r w:rsidRPr="005074AA">
        <w:rPr>
          <w:szCs w:val="24"/>
        </w:rPr>
        <w:t>(</w:t>
      </w:r>
      <w:r w:rsidR="007649AA" w:rsidRPr="005074AA">
        <w:rPr>
          <w:szCs w:val="24"/>
        </w:rPr>
        <w:t xml:space="preserve">the </w:t>
      </w:r>
      <w:r w:rsidRPr="005074AA">
        <w:rPr>
          <w:szCs w:val="24"/>
        </w:rPr>
        <w:t xml:space="preserve">Amending </w:t>
      </w:r>
      <w:r w:rsidR="002526C0" w:rsidRPr="005074AA">
        <w:rPr>
          <w:szCs w:val="24"/>
        </w:rPr>
        <w:t>Instrument</w:t>
      </w:r>
      <w:r w:rsidRPr="005074AA">
        <w:rPr>
          <w:szCs w:val="24"/>
        </w:rPr>
        <w:t xml:space="preserve">) </w:t>
      </w:r>
      <w:r w:rsidR="00E74FCB" w:rsidRPr="005074AA">
        <w:rPr>
          <w:szCs w:val="24"/>
        </w:rPr>
        <w:t xml:space="preserve">amends the </w:t>
      </w:r>
      <w:r w:rsidR="00E74FCB" w:rsidRPr="005074AA">
        <w:rPr>
          <w:i/>
          <w:szCs w:val="24"/>
        </w:rPr>
        <w:t xml:space="preserve">Aged Care (Subsidy, Fees and Payments) Determination 2014 </w:t>
      </w:r>
      <w:r w:rsidR="00E74FCB" w:rsidRPr="005074AA">
        <w:rPr>
          <w:szCs w:val="24"/>
        </w:rPr>
        <w:t>(the Subsidy, Fees and Payments Determination)</w:t>
      </w:r>
      <w:r w:rsidR="001221CB" w:rsidRPr="005074AA">
        <w:rPr>
          <w:szCs w:val="24"/>
        </w:rPr>
        <w:t>,</w:t>
      </w:r>
      <w:r w:rsidR="00E74FCB" w:rsidRPr="005074AA">
        <w:rPr>
          <w:szCs w:val="24"/>
        </w:rPr>
        <w:t xml:space="preserve"> </w:t>
      </w:r>
      <w:r w:rsidR="001221CB" w:rsidRPr="005074AA">
        <w:rPr>
          <w:szCs w:val="24"/>
        </w:rPr>
        <w:t xml:space="preserve">the </w:t>
      </w:r>
      <w:r w:rsidR="001221CB" w:rsidRPr="005074AA">
        <w:rPr>
          <w:i/>
          <w:iCs/>
          <w:szCs w:val="24"/>
        </w:rPr>
        <w:t>Aged Care (Transitional Provisions) (Subsidy and Other Measures) Determination 2014</w:t>
      </w:r>
      <w:r w:rsidR="001221CB" w:rsidRPr="005074AA">
        <w:rPr>
          <w:szCs w:val="24"/>
        </w:rPr>
        <w:t xml:space="preserve"> (the Transitional Provisions Determination) and </w:t>
      </w:r>
      <w:r w:rsidR="00E74FCB" w:rsidRPr="005074AA">
        <w:rPr>
          <w:szCs w:val="24"/>
        </w:rPr>
        <w:t xml:space="preserve">the </w:t>
      </w:r>
      <w:r w:rsidR="00E74FCB" w:rsidRPr="005074AA">
        <w:rPr>
          <w:i/>
          <w:iCs/>
          <w:szCs w:val="24"/>
        </w:rPr>
        <w:t>Aged Care (Transitional Provisions) Principles 2014</w:t>
      </w:r>
      <w:r w:rsidR="00E74FCB" w:rsidRPr="005074AA">
        <w:rPr>
          <w:szCs w:val="24"/>
        </w:rPr>
        <w:t xml:space="preserve"> (the Transitional Provisions Principles)</w:t>
      </w:r>
      <w:r w:rsidR="00446227" w:rsidRPr="005074AA">
        <w:rPr>
          <w:szCs w:val="24"/>
        </w:rPr>
        <w:t xml:space="preserve">. </w:t>
      </w:r>
    </w:p>
    <w:p w14:paraId="5C8CBCC8" w14:textId="77777777" w:rsidR="00E74FCB" w:rsidRPr="005074AA" w:rsidRDefault="00E74FCB" w:rsidP="0039020C">
      <w:pPr>
        <w:jc w:val="both"/>
        <w:rPr>
          <w:szCs w:val="24"/>
        </w:rPr>
      </w:pPr>
    </w:p>
    <w:p w14:paraId="320977FA" w14:textId="3AA53D9D" w:rsidR="0039020C" w:rsidRPr="005074AA" w:rsidRDefault="00446227" w:rsidP="0039020C">
      <w:pPr>
        <w:jc w:val="both"/>
        <w:rPr>
          <w:szCs w:val="24"/>
        </w:rPr>
      </w:pPr>
      <w:r w:rsidRPr="005074AA">
        <w:rPr>
          <w:szCs w:val="24"/>
        </w:rPr>
        <w:t xml:space="preserve">The purpose of the Amending </w:t>
      </w:r>
      <w:r w:rsidR="002526C0" w:rsidRPr="005074AA">
        <w:rPr>
          <w:szCs w:val="24"/>
        </w:rPr>
        <w:t>Instrument</w:t>
      </w:r>
      <w:r w:rsidRPr="005074AA">
        <w:rPr>
          <w:szCs w:val="24"/>
        </w:rPr>
        <w:t xml:space="preserve"> </w:t>
      </w:r>
      <w:r w:rsidR="0039020C" w:rsidRPr="005074AA">
        <w:rPr>
          <w:szCs w:val="24"/>
        </w:rPr>
        <w:t xml:space="preserve">is to increase the </w:t>
      </w:r>
      <w:r w:rsidR="00D32527" w:rsidRPr="005074AA">
        <w:rPr>
          <w:szCs w:val="24"/>
        </w:rPr>
        <w:t xml:space="preserve">dollar </w:t>
      </w:r>
      <w:r w:rsidR="0039020C" w:rsidRPr="005074AA">
        <w:rPr>
          <w:szCs w:val="24"/>
        </w:rPr>
        <w:t xml:space="preserve">amount of </w:t>
      </w:r>
      <w:r w:rsidR="002526C0" w:rsidRPr="005074AA">
        <w:rPr>
          <w:szCs w:val="24"/>
        </w:rPr>
        <w:t xml:space="preserve">certain </w:t>
      </w:r>
      <w:r w:rsidR="000E59E7" w:rsidRPr="005074AA">
        <w:rPr>
          <w:szCs w:val="24"/>
        </w:rPr>
        <w:t xml:space="preserve">accommodation related </w:t>
      </w:r>
      <w:r w:rsidR="0039020C" w:rsidRPr="005074AA">
        <w:rPr>
          <w:szCs w:val="24"/>
        </w:rPr>
        <w:t xml:space="preserve">supplements payable to approved providers of aged care services in respect of a day </w:t>
      </w:r>
      <w:r w:rsidR="00A46703" w:rsidRPr="005074AA">
        <w:rPr>
          <w:szCs w:val="24"/>
        </w:rPr>
        <w:t xml:space="preserve">on or after </w:t>
      </w:r>
      <w:r w:rsidR="0039020C" w:rsidRPr="005074AA">
        <w:rPr>
          <w:szCs w:val="24"/>
        </w:rPr>
        <w:t>20 </w:t>
      </w:r>
      <w:r w:rsidR="006B1003" w:rsidRPr="005074AA">
        <w:rPr>
          <w:szCs w:val="24"/>
        </w:rPr>
        <w:t>September</w:t>
      </w:r>
      <w:r w:rsidR="00F46C58" w:rsidRPr="005074AA">
        <w:rPr>
          <w:szCs w:val="24"/>
        </w:rPr>
        <w:t xml:space="preserve"> 202</w:t>
      </w:r>
      <w:r w:rsidR="003A0353" w:rsidRPr="005074AA">
        <w:rPr>
          <w:szCs w:val="24"/>
        </w:rPr>
        <w:t>4</w:t>
      </w:r>
      <w:r w:rsidR="0039020C" w:rsidRPr="005074AA">
        <w:rPr>
          <w:szCs w:val="24"/>
        </w:rPr>
        <w:t xml:space="preserve"> in line with the change to the </w:t>
      </w:r>
      <w:r w:rsidR="005A5201" w:rsidRPr="005074AA">
        <w:rPr>
          <w:szCs w:val="24"/>
        </w:rPr>
        <w:t xml:space="preserve">Australian </w:t>
      </w:r>
      <w:r w:rsidR="0039020C" w:rsidRPr="005074AA">
        <w:rPr>
          <w:szCs w:val="24"/>
        </w:rPr>
        <w:t>consumer price index (CPI)</w:t>
      </w:r>
      <w:r w:rsidR="00046500" w:rsidRPr="005074AA">
        <w:rPr>
          <w:szCs w:val="24"/>
        </w:rPr>
        <w:t xml:space="preserve"> over </w:t>
      </w:r>
      <w:r w:rsidR="00810A70" w:rsidRPr="005074AA">
        <w:rPr>
          <w:szCs w:val="24"/>
        </w:rPr>
        <w:t xml:space="preserve">the </w:t>
      </w:r>
      <w:r w:rsidR="00046500" w:rsidRPr="005074AA">
        <w:rPr>
          <w:szCs w:val="24"/>
        </w:rPr>
        <w:t>6 month</w:t>
      </w:r>
      <w:r w:rsidR="00437624" w:rsidRPr="005074AA">
        <w:rPr>
          <w:szCs w:val="24"/>
        </w:rPr>
        <w:t xml:space="preserve"> period</w:t>
      </w:r>
      <w:r w:rsidR="00046500" w:rsidRPr="005074AA">
        <w:rPr>
          <w:szCs w:val="24"/>
        </w:rPr>
        <w:t xml:space="preserve"> </w:t>
      </w:r>
      <w:r w:rsidR="00FA32AE" w:rsidRPr="005074AA">
        <w:rPr>
          <w:szCs w:val="24"/>
        </w:rPr>
        <w:t xml:space="preserve">from 1 </w:t>
      </w:r>
      <w:r w:rsidR="00BD24F4" w:rsidRPr="005074AA">
        <w:rPr>
          <w:szCs w:val="24"/>
        </w:rPr>
        <w:t>January</w:t>
      </w:r>
      <w:r w:rsidR="00FA32AE" w:rsidRPr="005074AA">
        <w:rPr>
          <w:szCs w:val="24"/>
        </w:rPr>
        <w:t xml:space="preserve"> 202</w:t>
      </w:r>
      <w:r w:rsidR="00BD24F4" w:rsidRPr="005074AA">
        <w:rPr>
          <w:szCs w:val="24"/>
        </w:rPr>
        <w:t>4</w:t>
      </w:r>
      <w:r w:rsidR="00FA32AE" w:rsidRPr="005074AA">
        <w:rPr>
          <w:szCs w:val="24"/>
        </w:rPr>
        <w:t xml:space="preserve"> </w:t>
      </w:r>
      <w:r w:rsidR="00046500" w:rsidRPr="005074AA">
        <w:rPr>
          <w:szCs w:val="24"/>
        </w:rPr>
        <w:t xml:space="preserve">to </w:t>
      </w:r>
      <w:r w:rsidR="00FA32AE" w:rsidRPr="005074AA">
        <w:rPr>
          <w:szCs w:val="24"/>
        </w:rPr>
        <w:t>3</w:t>
      </w:r>
      <w:r w:rsidR="00BD24F4" w:rsidRPr="005074AA">
        <w:rPr>
          <w:szCs w:val="24"/>
        </w:rPr>
        <w:t>0</w:t>
      </w:r>
      <w:r w:rsidR="00FA32AE" w:rsidRPr="005074AA">
        <w:rPr>
          <w:szCs w:val="24"/>
        </w:rPr>
        <w:t xml:space="preserve"> </w:t>
      </w:r>
      <w:r w:rsidR="00BD24F4" w:rsidRPr="005074AA">
        <w:rPr>
          <w:szCs w:val="24"/>
        </w:rPr>
        <w:t>June</w:t>
      </w:r>
      <w:r w:rsidR="00046500" w:rsidRPr="005074AA">
        <w:rPr>
          <w:szCs w:val="24"/>
        </w:rPr>
        <w:t xml:space="preserve"> 202</w:t>
      </w:r>
      <w:r w:rsidR="00BD24F4" w:rsidRPr="005074AA">
        <w:rPr>
          <w:szCs w:val="24"/>
        </w:rPr>
        <w:t>4</w:t>
      </w:r>
      <w:r w:rsidR="0039020C" w:rsidRPr="005074AA">
        <w:rPr>
          <w:szCs w:val="24"/>
        </w:rPr>
        <w:t xml:space="preserve">, in addition to increasing the value of </w:t>
      </w:r>
      <w:r w:rsidR="000B1642" w:rsidRPr="005074AA">
        <w:rPr>
          <w:szCs w:val="24"/>
        </w:rPr>
        <w:t>the annual and lifetime</w:t>
      </w:r>
      <w:r w:rsidR="0039020C" w:rsidRPr="005074AA">
        <w:rPr>
          <w:szCs w:val="24"/>
        </w:rPr>
        <w:t xml:space="preserve"> caps and </w:t>
      </w:r>
      <w:r w:rsidR="000B1642" w:rsidRPr="005074AA">
        <w:rPr>
          <w:szCs w:val="24"/>
        </w:rPr>
        <w:t xml:space="preserve">income and asset testing </w:t>
      </w:r>
      <w:r w:rsidR="0039020C" w:rsidRPr="005074AA">
        <w:rPr>
          <w:szCs w:val="24"/>
        </w:rPr>
        <w:t xml:space="preserve">thresholds in line with the </w:t>
      </w:r>
      <w:r w:rsidR="00D32527" w:rsidRPr="005074AA">
        <w:rPr>
          <w:szCs w:val="24"/>
        </w:rPr>
        <w:t xml:space="preserve">changes to the </w:t>
      </w:r>
      <w:r w:rsidR="0039020C" w:rsidRPr="005074AA">
        <w:rPr>
          <w:szCs w:val="24"/>
        </w:rPr>
        <w:t>age pension</w:t>
      </w:r>
      <w:r w:rsidR="00D32527" w:rsidRPr="005074AA">
        <w:rPr>
          <w:szCs w:val="24"/>
        </w:rPr>
        <w:t xml:space="preserve"> rates.</w:t>
      </w:r>
    </w:p>
    <w:p w14:paraId="304C7170" w14:textId="77777777" w:rsidR="0039020C" w:rsidRPr="005074AA" w:rsidRDefault="0039020C" w:rsidP="0039020C">
      <w:pPr>
        <w:rPr>
          <w:szCs w:val="24"/>
        </w:rPr>
      </w:pPr>
    </w:p>
    <w:p w14:paraId="0613F58B" w14:textId="46BD30B1" w:rsidR="003C7130" w:rsidRPr="005074AA" w:rsidRDefault="000E59E7" w:rsidP="003C7130">
      <w:pPr>
        <w:jc w:val="both"/>
      </w:pPr>
      <w:r w:rsidRPr="005074AA">
        <w:rPr>
          <w:color w:val="000000"/>
          <w:szCs w:val="24"/>
          <w:lang w:val="en-AU"/>
        </w:rPr>
        <w:t xml:space="preserve">The Amending </w:t>
      </w:r>
      <w:r w:rsidR="002526C0" w:rsidRPr="005074AA">
        <w:rPr>
          <w:color w:val="000000"/>
          <w:szCs w:val="24"/>
          <w:lang w:val="en-AU"/>
        </w:rPr>
        <w:t>Instrument</w:t>
      </w:r>
      <w:r w:rsidRPr="005074AA">
        <w:rPr>
          <w:color w:val="000000"/>
          <w:szCs w:val="24"/>
          <w:lang w:val="en-AU"/>
        </w:rPr>
        <w:t xml:space="preserve"> </w:t>
      </w:r>
      <w:r w:rsidR="000E2E05" w:rsidRPr="005074AA">
        <w:rPr>
          <w:color w:val="000000"/>
          <w:szCs w:val="24"/>
          <w:lang w:val="en-AU"/>
        </w:rPr>
        <w:t xml:space="preserve">also </w:t>
      </w:r>
      <w:r w:rsidRPr="005074AA">
        <w:t>update</w:t>
      </w:r>
      <w:r w:rsidR="006327F8" w:rsidRPr="005074AA">
        <w:t>s</w:t>
      </w:r>
      <w:r w:rsidRPr="005074AA">
        <w:t xml:space="preserve"> the specified amount of</w:t>
      </w:r>
      <w:r w:rsidR="00EF64C9" w:rsidRPr="005074AA">
        <w:t xml:space="preserve"> the</w:t>
      </w:r>
      <w:r w:rsidRPr="005074AA">
        <w:t xml:space="preserve"> maximum accommodation charge for a post-2008 reform </w:t>
      </w:r>
      <w:r w:rsidR="003E6713" w:rsidRPr="005074AA">
        <w:t xml:space="preserve">aged care </w:t>
      </w:r>
      <w:r w:rsidRPr="005074AA">
        <w:t xml:space="preserve">resident </w:t>
      </w:r>
      <w:proofErr w:type="gramStart"/>
      <w:r w:rsidRPr="005074AA">
        <w:t>as a result of</w:t>
      </w:r>
      <w:proofErr w:type="gramEnd"/>
      <w:r w:rsidRPr="005074AA">
        <w:t xml:space="preserve"> routine indexation. Section 44</w:t>
      </w:r>
      <w:r w:rsidRPr="005074AA">
        <w:noBreakHyphen/>
        <w:t>5C of the</w:t>
      </w:r>
      <w:r w:rsidR="00922FF8" w:rsidRPr="005074AA">
        <w:t xml:space="preserve"> </w:t>
      </w:r>
      <w:r w:rsidR="00922FF8" w:rsidRPr="005074AA">
        <w:rPr>
          <w:i/>
          <w:iCs/>
        </w:rPr>
        <w:t>Aged Care (Transitional Provisions) Act 1997</w:t>
      </w:r>
      <w:r w:rsidRPr="005074AA">
        <w:t xml:space="preserve"> </w:t>
      </w:r>
      <w:r w:rsidR="00922FF8" w:rsidRPr="005074AA">
        <w:t>(</w:t>
      </w:r>
      <w:r w:rsidR="0074543A" w:rsidRPr="005074AA">
        <w:t xml:space="preserve">the </w:t>
      </w:r>
      <w:r w:rsidRPr="005074AA">
        <w:t>Transitional Provisions Act</w:t>
      </w:r>
      <w:r w:rsidR="00922FF8" w:rsidRPr="005074AA">
        <w:t>)</w:t>
      </w:r>
      <w:r w:rsidRPr="005074AA">
        <w:t xml:space="preserve"> provides that a person is a post</w:t>
      </w:r>
      <w:r w:rsidRPr="005074AA">
        <w:noBreakHyphen/>
        <w:t>2008 reform resident if they are being provided with care through a residential care service and the person is not a pre</w:t>
      </w:r>
      <w:r w:rsidRPr="005074AA">
        <w:noBreakHyphen/>
        <w:t>2008 reform resident (as defined in section 44</w:t>
      </w:r>
      <w:r w:rsidRPr="005074AA">
        <w:noBreakHyphen/>
        <w:t>5D of the Transitional Provisions Act).</w:t>
      </w:r>
    </w:p>
    <w:p w14:paraId="00DC33D6" w14:textId="597097C3" w:rsidR="0039020C" w:rsidRPr="005074AA" w:rsidRDefault="0039020C" w:rsidP="0039020C">
      <w:pPr>
        <w:tabs>
          <w:tab w:val="left" w:pos="720"/>
        </w:tabs>
        <w:rPr>
          <w:color w:val="000000"/>
          <w:szCs w:val="24"/>
          <w:lang w:val="en-AU"/>
        </w:rPr>
      </w:pPr>
    </w:p>
    <w:p w14:paraId="6B96BA3A" w14:textId="1DC68460" w:rsidR="001A58B8" w:rsidRPr="005074AA" w:rsidRDefault="001A58B8" w:rsidP="00043350">
      <w:pPr>
        <w:tabs>
          <w:tab w:val="left" w:pos="720"/>
        </w:tabs>
        <w:jc w:val="both"/>
        <w:rPr>
          <w:b/>
          <w:bCs/>
          <w:szCs w:val="24"/>
          <w:lang w:val="en-AU"/>
        </w:rPr>
      </w:pPr>
      <w:r w:rsidRPr="005074AA">
        <w:rPr>
          <w:b/>
          <w:bCs/>
          <w:szCs w:val="24"/>
          <w:lang w:val="en-AU"/>
        </w:rPr>
        <w:t>Background</w:t>
      </w:r>
    </w:p>
    <w:p w14:paraId="379F135D" w14:textId="77777777" w:rsidR="00E5242F" w:rsidRPr="005074AA" w:rsidRDefault="00E5242F" w:rsidP="00043350">
      <w:pPr>
        <w:tabs>
          <w:tab w:val="left" w:pos="720"/>
        </w:tabs>
        <w:jc w:val="both"/>
        <w:rPr>
          <w:szCs w:val="24"/>
          <w:lang w:val="en-AU"/>
        </w:rPr>
      </w:pPr>
    </w:p>
    <w:p w14:paraId="66F0C279" w14:textId="7639A899" w:rsidR="001A58B8" w:rsidRPr="005074AA" w:rsidRDefault="00AD56CB" w:rsidP="001A58B8">
      <w:pPr>
        <w:tabs>
          <w:tab w:val="left" w:pos="720"/>
        </w:tabs>
        <w:jc w:val="both"/>
        <w:rPr>
          <w:szCs w:val="24"/>
        </w:rPr>
      </w:pPr>
      <w:r w:rsidRPr="005074AA">
        <w:rPr>
          <w:szCs w:val="24"/>
        </w:rPr>
        <w:t>The Amending Instrument is made under t</w:t>
      </w:r>
      <w:r w:rsidR="001A58B8" w:rsidRPr="005074AA">
        <w:rPr>
          <w:szCs w:val="24"/>
        </w:rPr>
        <w:t xml:space="preserve">he </w:t>
      </w:r>
      <w:r w:rsidR="001A58B8" w:rsidRPr="005074AA">
        <w:rPr>
          <w:i/>
          <w:iCs/>
          <w:szCs w:val="24"/>
        </w:rPr>
        <w:t>Aged Care Act 1997</w:t>
      </w:r>
      <w:r w:rsidR="001A58B8" w:rsidRPr="005074AA">
        <w:rPr>
          <w:szCs w:val="24"/>
        </w:rPr>
        <w:t xml:space="preserve"> (the Aged Care Act) and the Transitional Provisions Act</w:t>
      </w:r>
      <w:r w:rsidRPr="005074AA">
        <w:rPr>
          <w:szCs w:val="24"/>
        </w:rPr>
        <w:t>, which</w:t>
      </w:r>
      <w:r w:rsidR="001A58B8" w:rsidRPr="005074AA">
        <w:rPr>
          <w:szCs w:val="24"/>
        </w:rPr>
        <w:t xml:space="preserve"> provide for the regulation and funding of aged care services. Persons</w:t>
      </w:r>
      <w:r w:rsidR="00EC7902" w:rsidRPr="005074AA">
        <w:rPr>
          <w:szCs w:val="24"/>
        </w:rPr>
        <w:t xml:space="preserve"> or bodies</w:t>
      </w:r>
      <w:r w:rsidR="001A58B8" w:rsidRPr="005074AA">
        <w:rPr>
          <w:szCs w:val="24"/>
        </w:rPr>
        <w:t xml:space="preserve"> approved under the </w:t>
      </w:r>
      <w:r w:rsidR="001A58B8" w:rsidRPr="005074AA">
        <w:rPr>
          <w:i/>
          <w:iCs/>
          <w:szCs w:val="24"/>
        </w:rPr>
        <w:t xml:space="preserve">Aged Care Quality and Safety Commission Act 2018 </w:t>
      </w:r>
      <w:r w:rsidR="001A58B8" w:rsidRPr="005074AA">
        <w:rPr>
          <w:szCs w:val="24"/>
        </w:rPr>
        <w:t>to provide aged care services (approved providers) can be eligible to receive subsidy and supplement payments in respect of the care they provide to approved care recipients under the Aged Care Act and continuing care recipients under the Transitional Provisions Act.</w:t>
      </w:r>
    </w:p>
    <w:p w14:paraId="35B0E968" w14:textId="057A4BBF" w:rsidR="00611097" w:rsidRPr="005074AA" w:rsidRDefault="003F1D59" w:rsidP="00581B42">
      <w:pPr>
        <w:widowControl/>
        <w:spacing w:after="200" w:line="276" w:lineRule="auto"/>
        <w:rPr>
          <w:b/>
          <w:szCs w:val="24"/>
          <w:lang w:val="en-AU"/>
        </w:rPr>
      </w:pPr>
      <w:r w:rsidRPr="005074AA">
        <w:rPr>
          <w:b/>
          <w:szCs w:val="24"/>
          <w:lang w:val="en-AU"/>
        </w:rPr>
        <w:br/>
      </w:r>
      <w:r w:rsidR="00611097" w:rsidRPr="005074AA">
        <w:rPr>
          <w:b/>
          <w:szCs w:val="24"/>
          <w:lang w:val="en-AU"/>
        </w:rPr>
        <w:t>Authority</w:t>
      </w:r>
    </w:p>
    <w:p w14:paraId="16BE3386" w14:textId="467D21BC" w:rsidR="00884C64" w:rsidRPr="005074AA" w:rsidRDefault="007A4D83" w:rsidP="00043350">
      <w:pPr>
        <w:jc w:val="both"/>
        <w:rPr>
          <w:iCs/>
          <w:szCs w:val="24"/>
        </w:rPr>
      </w:pPr>
      <w:r w:rsidRPr="005074AA">
        <w:rPr>
          <w:szCs w:val="24"/>
        </w:rPr>
        <w:t xml:space="preserve">The </w:t>
      </w:r>
      <w:r w:rsidR="000E59E7" w:rsidRPr="005074AA">
        <w:rPr>
          <w:szCs w:val="24"/>
        </w:rPr>
        <w:t xml:space="preserve">Aged Care </w:t>
      </w:r>
      <w:r w:rsidRPr="005074AA">
        <w:rPr>
          <w:szCs w:val="24"/>
        </w:rPr>
        <w:t xml:space="preserve">Act </w:t>
      </w:r>
      <w:r w:rsidR="000E59E7" w:rsidRPr="005074AA">
        <w:rPr>
          <w:szCs w:val="24"/>
        </w:rPr>
        <w:t xml:space="preserve">and Transitional Provisions Act </w:t>
      </w:r>
      <w:r w:rsidRPr="005074AA">
        <w:rPr>
          <w:szCs w:val="24"/>
        </w:rPr>
        <w:t>provide</w:t>
      </w:r>
      <w:r w:rsidR="00B7735F" w:rsidRPr="005074AA">
        <w:rPr>
          <w:szCs w:val="24"/>
        </w:rPr>
        <w:t xml:space="preserve"> </w:t>
      </w:r>
      <w:r w:rsidRPr="005074AA">
        <w:rPr>
          <w:szCs w:val="24"/>
        </w:rPr>
        <w:t xml:space="preserve">that for each type of aged care, the Minister </w:t>
      </w:r>
      <w:r w:rsidR="006574BD" w:rsidRPr="005074AA">
        <w:rPr>
          <w:szCs w:val="24"/>
        </w:rPr>
        <w:t xml:space="preserve">for </w:t>
      </w:r>
      <w:r w:rsidR="004A197E" w:rsidRPr="005074AA">
        <w:rPr>
          <w:szCs w:val="24"/>
        </w:rPr>
        <w:t>Aged</w:t>
      </w:r>
      <w:r w:rsidR="006574BD" w:rsidRPr="005074AA">
        <w:rPr>
          <w:szCs w:val="24"/>
        </w:rPr>
        <w:t xml:space="preserve"> Care </w:t>
      </w:r>
      <w:r w:rsidRPr="005074AA">
        <w:rPr>
          <w:szCs w:val="24"/>
        </w:rPr>
        <w:t>may determine the amount</w:t>
      </w:r>
      <w:r w:rsidR="00CE048F" w:rsidRPr="005074AA">
        <w:rPr>
          <w:szCs w:val="24"/>
        </w:rPr>
        <w:t>s</w:t>
      </w:r>
      <w:r w:rsidRPr="005074AA">
        <w:rPr>
          <w:szCs w:val="24"/>
        </w:rPr>
        <w:t xml:space="preserve"> of </w:t>
      </w:r>
      <w:proofErr w:type="gramStart"/>
      <w:r w:rsidR="00EC7512" w:rsidRPr="005074AA">
        <w:rPr>
          <w:szCs w:val="24"/>
        </w:rPr>
        <w:t>particular components</w:t>
      </w:r>
      <w:proofErr w:type="gramEnd"/>
      <w:r w:rsidR="00EC7512" w:rsidRPr="005074AA">
        <w:rPr>
          <w:szCs w:val="24"/>
        </w:rPr>
        <w:t xml:space="preserve"> of </w:t>
      </w:r>
      <w:r w:rsidR="00DF49EC" w:rsidRPr="005074AA">
        <w:rPr>
          <w:szCs w:val="24"/>
        </w:rPr>
        <w:t xml:space="preserve">the </w:t>
      </w:r>
      <w:r w:rsidRPr="005074AA">
        <w:rPr>
          <w:szCs w:val="24"/>
        </w:rPr>
        <w:t>subsidy</w:t>
      </w:r>
      <w:r w:rsidR="006A2895" w:rsidRPr="005074AA">
        <w:rPr>
          <w:szCs w:val="24"/>
        </w:rPr>
        <w:t xml:space="preserve"> and </w:t>
      </w:r>
      <w:r w:rsidR="00EC7512" w:rsidRPr="005074AA">
        <w:rPr>
          <w:szCs w:val="24"/>
        </w:rPr>
        <w:t>the amount</w:t>
      </w:r>
      <w:r w:rsidR="00CE048F" w:rsidRPr="005074AA">
        <w:rPr>
          <w:szCs w:val="24"/>
        </w:rPr>
        <w:t>s</w:t>
      </w:r>
      <w:r w:rsidR="00EC7512" w:rsidRPr="005074AA">
        <w:rPr>
          <w:szCs w:val="24"/>
        </w:rPr>
        <w:t xml:space="preserve"> of </w:t>
      </w:r>
      <w:r w:rsidR="006A2895" w:rsidRPr="005074AA">
        <w:rPr>
          <w:szCs w:val="24"/>
        </w:rPr>
        <w:t>supplement</w:t>
      </w:r>
      <w:r w:rsidR="002526C0" w:rsidRPr="005074AA">
        <w:rPr>
          <w:szCs w:val="24"/>
        </w:rPr>
        <w:t>s</w:t>
      </w:r>
      <w:r w:rsidRPr="005074AA">
        <w:rPr>
          <w:szCs w:val="24"/>
        </w:rPr>
        <w:t xml:space="preserve"> payable to an approved provider for the provision of that type of aged care.</w:t>
      </w:r>
      <w:r w:rsidR="00512B81" w:rsidRPr="005074AA">
        <w:rPr>
          <w:szCs w:val="24"/>
        </w:rPr>
        <w:t xml:space="preserve"> Specifically,</w:t>
      </w:r>
      <w:r w:rsidR="00512B81" w:rsidRPr="005074AA">
        <w:rPr>
          <w:iCs/>
          <w:szCs w:val="24"/>
        </w:rPr>
        <w:t xml:space="preserve"> the authority </w:t>
      </w:r>
      <w:r w:rsidR="007649AA" w:rsidRPr="005074AA">
        <w:rPr>
          <w:iCs/>
          <w:szCs w:val="24"/>
        </w:rPr>
        <w:t xml:space="preserve">provisions in the </w:t>
      </w:r>
      <w:r w:rsidR="000E59E7" w:rsidRPr="005074AA">
        <w:rPr>
          <w:iCs/>
          <w:szCs w:val="24"/>
        </w:rPr>
        <w:t xml:space="preserve">Aged Care </w:t>
      </w:r>
      <w:r w:rsidR="007649AA" w:rsidRPr="005074AA">
        <w:rPr>
          <w:iCs/>
          <w:szCs w:val="24"/>
        </w:rPr>
        <w:t xml:space="preserve">Act </w:t>
      </w:r>
      <w:r w:rsidR="00512B81" w:rsidRPr="005074AA">
        <w:rPr>
          <w:iCs/>
          <w:szCs w:val="24"/>
        </w:rPr>
        <w:t xml:space="preserve">for making </w:t>
      </w:r>
      <w:r w:rsidR="002136AF" w:rsidRPr="005074AA">
        <w:rPr>
          <w:iCs/>
          <w:szCs w:val="24"/>
        </w:rPr>
        <w:t xml:space="preserve">the </w:t>
      </w:r>
      <w:r w:rsidR="00E32E4B" w:rsidRPr="005074AA">
        <w:rPr>
          <w:iCs/>
          <w:szCs w:val="24"/>
        </w:rPr>
        <w:t xml:space="preserve">Subsidy, Fees and Payments Determination </w:t>
      </w:r>
      <w:r w:rsidR="002136AF" w:rsidRPr="005074AA">
        <w:rPr>
          <w:iCs/>
          <w:szCs w:val="24"/>
        </w:rPr>
        <w:t xml:space="preserve">that </w:t>
      </w:r>
      <w:r w:rsidR="00E32E4B" w:rsidRPr="005074AA">
        <w:rPr>
          <w:iCs/>
          <w:szCs w:val="24"/>
        </w:rPr>
        <w:t>is</w:t>
      </w:r>
      <w:r w:rsidR="002136AF" w:rsidRPr="005074AA">
        <w:rPr>
          <w:iCs/>
          <w:szCs w:val="24"/>
        </w:rPr>
        <w:t xml:space="preserve"> amended by</w:t>
      </w:r>
      <w:r w:rsidR="00365215" w:rsidRPr="005074AA">
        <w:rPr>
          <w:iCs/>
          <w:szCs w:val="24"/>
        </w:rPr>
        <w:t xml:space="preserve"> the </w:t>
      </w:r>
      <w:r w:rsidR="0039020C" w:rsidRPr="005074AA">
        <w:rPr>
          <w:iCs/>
          <w:szCs w:val="24"/>
        </w:rPr>
        <w:t xml:space="preserve">Amending </w:t>
      </w:r>
      <w:r w:rsidR="002526C0" w:rsidRPr="005074AA">
        <w:rPr>
          <w:iCs/>
          <w:szCs w:val="24"/>
        </w:rPr>
        <w:t>Instrument</w:t>
      </w:r>
      <w:r w:rsidR="0039020C" w:rsidRPr="005074AA">
        <w:rPr>
          <w:iCs/>
          <w:szCs w:val="24"/>
        </w:rPr>
        <w:t xml:space="preserve"> </w:t>
      </w:r>
      <w:r w:rsidR="00802632" w:rsidRPr="005074AA">
        <w:rPr>
          <w:iCs/>
          <w:szCs w:val="24"/>
        </w:rPr>
        <w:t>are</w:t>
      </w:r>
      <w:r w:rsidR="00512B81" w:rsidRPr="005074AA">
        <w:rPr>
          <w:iCs/>
          <w:szCs w:val="24"/>
        </w:rPr>
        <w:t xml:space="preserve"> set out in the following table:</w:t>
      </w:r>
    </w:p>
    <w:p w14:paraId="37F28056" w14:textId="77777777" w:rsidR="00E5242F" w:rsidRPr="005074AA" w:rsidRDefault="00E5242F" w:rsidP="00043350">
      <w:pPr>
        <w:jc w:val="both"/>
        <w:rPr>
          <w:iCs/>
          <w:szCs w:val="24"/>
        </w:rPr>
      </w:pPr>
    </w:p>
    <w:p w14:paraId="3D3129E2" w14:textId="77777777" w:rsidR="00AE4FE1" w:rsidRPr="005074AA" w:rsidRDefault="00AE4FE1" w:rsidP="00043350">
      <w:pPr>
        <w:jc w:val="both"/>
        <w:rPr>
          <w:iCs/>
          <w:szCs w:val="24"/>
        </w:rPr>
      </w:pPr>
    </w:p>
    <w:p w14:paraId="591D509E" w14:textId="77777777" w:rsidR="00AE4FE1" w:rsidRPr="005074AA" w:rsidRDefault="00AE4FE1" w:rsidP="00043350">
      <w:pPr>
        <w:jc w:val="both"/>
        <w:rPr>
          <w:iCs/>
          <w:szCs w:val="24"/>
        </w:rPr>
      </w:pPr>
    </w:p>
    <w:tbl>
      <w:tblPr>
        <w:tblStyle w:val="TableGrid"/>
        <w:tblW w:w="0" w:type="auto"/>
        <w:tblLook w:val="04A0" w:firstRow="1" w:lastRow="0" w:firstColumn="1" w:lastColumn="0" w:noHBand="0" w:noVBand="1"/>
      </w:tblPr>
      <w:tblGrid>
        <w:gridCol w:w="4357"/>
        <w:gridCol w:w="33"/>
        <w:gridCol w:w="4334"/>
      </w:tblGrid>
      <w:tr w:rsidR="0039020C" w:rsidRPr="005074AA" w14:paraId="08C7CEDA" w14:textId="718AFDE2" w:rsidTr="0039020C">
        <w:tc>
          <w:tcPr>
            <w:tcW w:w="4357" w:type="dxa"/>
            <w:shd w:val="clear" w:color="auto" w:fill="D9D9D9" w:themeFill="background1" w:themeFillShade="D9"/>
          </w:tcPr>
          <w:p w14:paraId="295A5050" w14:textId="5D732872" w:rsidR="0039020C" w:rsidRPr="005074AA" w:rsidRDefault="0039020C" w:rsidP="00A75AEB">
            <w:pPr>
              <w:rPr>
                <w:rStyle w:val="BookTitle"/>
                <w:rFonts w:ascii="Times New Roman" w:hAnsi="Times New Roman"/>
                <w:b/>
                <w:i w:val="0"/>
                <w:smallCaps w:val="0"/>
                <w:sz w:val="24"/>
                <w:szCs w:val="24"/>
              </w:rPr>
            </w:pPr>
            <w:r w:rsidRPr="005074AA">
              <w:rPr>
                <w:rStyle w:val="BookTitle"/>
                <w:rFonts w:ascii="Times New Roman" w:hAnsi="Times New Roman"/>
                <w:b/>
                <w:i w:val="0"/>
                <w:smallCaps w:val="0"/>
                <w:sz w:val="24"/>
                <w:szCs w:val="24"/>
              </w:rPr>
              <w:lastRenderedPageBreak/>
              <w:t>Type of care</w:t>
            </w:r>
            <w:r w:rsidR="00A75AEB" w:rsidRPr="005074AA">
              <w:rPr>
                <w:rStyle w:val="BookTitle"/>
                <w:rFonts w:ascii="Times New Roman" w:hAnsi="Times New Roman"/>
                <w:b/>
                <w:i w:val="0"/>
                <w:smallCaps w:val="0"/>
                <w:sz w:val="24"/>
                <w:szCs w:val="24"/>
              </w:rPr>
              <w:t xml:space="preserve"> and type of payment </w:t>
            </w:r>
          </w:p>
        </w:tc>
        <w:tc>
          <w:tcPr>
            <w:tcW w:w="4367" w:type="dxa"/>
            <w:gridSpan w:val="2"/>
            <w:shd w:val="clear" w:color="auto" w:fill="D9D9D9" w:themeFill="background1" w:themeFillShade="D9"/>
          </w:tcPr>
          <w:p w14:paraId="7C3AB505" w14:textId="17F6A828" w:rsidR="0039020C" w:rsidRPr="005074AA" w:rsidRDefault="0039020C" w:rsidP="0039020C">
            <w:pPr>
              <w:rPr>
                <w:rStyle w:val="BookTitle"/>
                <w:rFonts w:ascii="Times New Roman" w:hAnsi="Times New Roman"/>
                <w:b/>
                <w:iCs w:val="0"/>
                <w:smallCaps w:val="0"/>
                <w:sz w:val="24"/>
                <w:szCs w:val="24"/>
              </w:rPr>
            </w:pPr>
            <w:r w:rsidRPr="005074AA">
              <w:rPr>
                <w:rStyle w:val="BookTitle"/>
                <w:rFonts w:ascii="Times New Roman" w:hAnsi="Times New Roman"/>
                <w:b/>
                <w:i w:val="0"/>
                <w:smallCaps w:val="0"/>
                <w:sz w:val="24"/>
                <w:szCs w:val="24"/>
              </w:rPr>
              <w:t>Section</w:t>
            </w:r>
            <w:r w:rsidR="00626DCB" w:rsidRPr="005074AA">
              <w:rPr>
                <w:rStyle w:val="BookTitle"/>
                <w:rFonts w:ascii="Times New Roman" w:hAnsi="Times New Roman"/>
                <w:b/>
                <w:i w:val="0"/>
                <w:smallCaps w:val="0"/>
                <w:sz w:val="24"/>
                <w:szCs w:val="24"/>
              </w:rPr>
              <w:t xml:space="preserve"> of the Aged Care Act </w:t>
            </w:r>
          </w:p>
        </w:tc>
      </w:tr>
      <w:tr w:rsidR="005956FD" w:rsidRPr="005074AA" w14:paraId="18815E63" w14:textId="77777777" w:rsidTr="00AD5191">
        <w:tc>
          <w:tcPr>
            <w:tcW w:w="8724" w:type="dxa"/>
            <w:gridSpan w:val="3"/>
            <w:shd w:val="clear" w:color="auto" w:fill="D9D9D9" w:themeFill="background1" w:themeFillShade="D9"/>
          </w:tcPr>
          <w:p w14:paraId="47E7890C" w14:textId="6EBC4F5E" w:rsidR="005956FD" w:rsidRPr="005074AA" w:rsidRDefault="005956FD" w:rsidP="00AD5191">
            <w:pPr>
              <w:rPr>
                <w:rStyle w:val="BookTitle"/>
                <w:rFonts w:ascii="Times New Roman" w:hAnsi="Times New Roman"/>
                <w:b/>
                <w:i w:val="0"/>
                <w:iCs w:val="0"/>
                <w:smallCaps w:val="0"/>
                <w:sz w:val="24"/>
                <w:szCs w:val="24"/>
              </w:rPr>
            </w:pPr>
            <w:r w:rsidRPr="005074AA">
              <w:rPr>
                <w:rStyle w:val="BookTitle"/>
                <w:rFonts w:ascii="Times New Roman" w:hAnsi="Times New Roman"/>
                <w:b/>
                <w:i w:val="0"/>
                <w:smallCaps w:val="0"/>
                <w:sz w:val="24"/>
                <w:szCs w:val="24"/>
              </w:rPr>
              <w:t>Residential</w:t>
            </w:r>
            <w:r w:rsidR="009A0C8E" w:rsidRPr="005074AA">
              <w:rPr>
                <w:rStyle w:val="BookTitle"/>
                <w:rFonts w:ascii="Times New Roman" w:hAnsi="Times New Roman"/>
                <w:b/>
                <w:i w:val="0"/>
                <w:smallCaps w:val="0"/>
                <w:sz w:val="24"/>
                <w:szCs w:val="24"/>
              </w:rPr>
              <w:t xml:space="preserve"> care</w:t>
            </w:r>
          </w:p>
        </w:tc>
      </w:tr>
      <w:tr w:rsidR="005956FD" w:rsidRPr="005074AA" w14:paraId="778398EC" w14:textId="22D6B903" w:rsidTr="002B0835">
        <w:tc>
          <w:tcPr>
            <w:tcW w:w="4390" w:type="dxa"/>
            <w:gridSpan w:val="2"/>
          </w:tcPr>
          <w:p w14:paraId="360ECB51" w14:textId="28288E7D" w:rsidR="005956FD" w:rsidRPr="005074AA" w:rsidRDefault="005956FD" w:rsidP="00AD5191">
            <w:pPr>
              <w:rPr>
                <w:rStyle w:val="BookTitle"/>
                <w:rFonts w:ascii="Times New Roman" w:hAnsi="Times New Roman"/>
                <w:i w:val="0"/>
                <w:iCs w:val="0"/>
                <w:smallCaps w:val="0"/>
                <w:sz w:val="24"/>
                <w:szCs w:val="24"/>
              </w:rPr>
            </w:pPr>
            <w:r w:rsidRPr="005074AA">
              <w:rPr>
                <w:rStyle w:val="BookTitle"/>
                <w:rFonts w:ascii="Times New Roman" w:hAnsi="Times New Roman"/>
                <w:i w:val="0"/>
                <w:smallCaps w:val="0"/>
                <w:sz w:val="24"/>
                <w:szCs w:val="24"/>
              </w:rPr>
              <w:t>Respite supplement</w:t>
            </w:r>
          </w:p>
        </w:tc>
        <w:tc>
          <w:tcPr>
            <w:tcW w:w="4334" w:type="dxa"/>
          </w:tcPr>
          <w:p w14:paraId="709AA39C" w14:textId="1412731C" w:rsidR="005956FD" w:rsidRPr="005074AA" w:rsidRDefault="006254A4" w:rsidP="00AD5191">
            <w:pPr>
              <w:rPr>
                <w:rStyle w:val="BookTitle"/>
                <w:rFonts w:ascii="Times New Roman" w:hAnsi="Times New Roman"/>
                <w:i w:val="0"/>
                <w:iCs w:val="0"/>
                <w:smallCaps w:val="0"/>
                <w:sz w:val="24"/>
                <w:szCs w:val="24"/>
              </w:rPr>
            </w:pPr>
            <w:r w:rsidRPr="005074AA">
              <w:rPr>
                <w:rStyle w:val="BookTitle"/>
                <w:rFonts w:ascii="Times New Roman" w:hAnsi="Times New Roman"/>
                <w:i w:val="0"/>
                <w:smallCaps w:val="0"/>
                <w:sz w:val="24"/>
                <w:szCs w:val="24"/>
              </w:rPr>
              <w:t xml:space="preserve">subsection </w:t>
            </w:r>
            <w:r w:rsidR="005956FD" w:rsidRPr="005074AA">
              <w:rPr>
                <w:rStyle w:val="BookTitle"/>
                <w:rFonts w:ascii="Times New Roman" w:hAnsi="Times New Roman"/>
                <w:i w:val="0"/>
                <w:smallCaps w:val="0"/>
                <w:sz w:val="24"/>
                <w:szCs w:val="24"/>
              </w:rPr>
              <w:t>44-5(3)</w:t>
            </w:r>
          </w:p>
        </w:tc>
      </w:tr>
      <w:tr w:rsidR="005956FD" w:rsidRPr="005074AA" w14:paraId="447BDF93" w14:textId="77777777" w:rsidTr="002B0835">
        <w:tc>
          <w:tcPr>
            <w:tcW w:w="4390" w:type="dxa"/>
            <w:gridSpan w:val="2"/>
          </w:tcPr>
          <w:p w14:paraId="0E8E7C51" w14:textId="77777777" w:rsidR="005956FD" w:rsidRPr="005074AA" w:rsidRDefault="005956FD" w:rsidP="00AD5191">
            <w:pPr>
              <w:rPr>
                <w:rStyle w:val="BookTitle"/>
                <w:rFonts w:ascii="Times New Roman" w:hAnsi="Times New Roman"/>
                <w:i w:val="0"/>
                <w:iCs w:val="0"/>
                <w:smallCaps w:val="0"/>
                <w:sz w:val="24"/>
                <w:szCs w:val="24"/>
              </w:rPr>
            </w:pPr>
            <w:r w:rsidRPr="005074AA">
              <w:rPr>
                <w:rStyle w:val="BookTitle"/>
                <w:rFonts w:ascii="Times New Roman" w:hAnsi="Times New Roman"/>
                <w:i w:val="0"/>
                <w:smallCaps w:val="0"/>
                <w:sz w:val="24"/>
                <w:szCs w:val="24"/>
              </w:rPr>
              <w:t>Annual cap</w:t>
            </w:r>
          </w:p>
        </w:tc>
        <w:tc>
          <w:tcPr>
            <w:tcW w:w="4334" w:type="dxa"/>
          </w:tcPr>
          <w:p w14:paraId="0B43D62B" w14:textId="77777777" w:rsidR="005956FD" w:rsidRPr="005074AA" w:rsidRDefault="006254A4" w:rsidP="00AD5191">
            <w:pPr>
              <w:rPr>
                <w:rStyle w:val="BookTitle"/>
                <w:rFonts w:ascii="Times New Roman" w:hAnsi="Times New Roman"/>
                <w:i w:val="0"/>
                <w:iCs w:val="0"/>
                <w:smallCaps w:val="0"/>
                <w:sz w:val="24"/>
                <w:szCs w:val="24"/>
              </w:rPr>
            </w:pPr>
            <w:r w:rsidRPr="005074AA">
              <w:rPr>
                <w:rStyle w:val="BookTitle"/>
                <w:rFonts w:ascii="Times New Roman" w:hAnsi="Times New Roman"/>
                <w:i w:val="0"/>
                <w:smallCaps w:val="0"/>
                <w:sz w:val="24"/>
                <w:szCs w:val="24"/>
              </w:rPr>
              <w:t xml:space="preserve">subsection </w:t>
            </w:r>
            <w:r w:rsidR="005956FD" w:rsidRPr="005074AA">
              <w:rPr>
                <w:rStyle w:val="BookTitle"/>
                <w:rFonts w:ascii="Times New Roman" w:hAnsi="Times New Roman"/>
                <w:i w:val="0"/>
                <w:smallCaps w:val="0"/>
                <w:sz w:val="24"/>
                <w:szCs w:val="24"/>
              </w:rPr>
              <w:t>44-21(7)</w:t>
            </w:r>
          </w:p>
        </w:tc>
      </w:tr>
      <w:tr w:rsidR="005956FD" w:rsidRPr="005074AA" w14:paraId="349C798F" w14:textId="77777777" w:rsidTr="002B0835">
        <w:tc>
          <w:tcPr>
            <w:tcW w:w="4390" w:type="dxa"/>
            <w:gridSpan w:val="2"/>
          </w:tcPr>
          <w:p w14:paraId="5F3CEDD5" w14:textId="77777777" w:rsidR="005956FD" w:rsidRPr="005074AA" w:rsidRDefault="005956FD" w:rsidP="00AD5191">
            <w:pPr>
              <w:rPr>
                <w:rStyle w:val="BookTitle"/>
                <w:rFonts w:ascii="Times New Roman" w:hAnsi="Times New Roman"/>
                <w:i w:val="0"/>
                <w:iCs w:val="0"/>
                <w:smallCaps w:val="0"/>
                <w:sz w:val="24"/>
                <w:szCs w:val="24"/>
              </w:rPr>
            </w:pPr>
            <w:r w:rsidRPr="005074AA">
              <w:rPr>
                <w:rStyle w:val="BookTitle"/>
                <w:rFonts w:ascii="Times New Roman" w:hAnsi="Times New Roman"/>
                <w:i w:val="0"/>
                <w:smallCaps w:val="0"/>
                <w:sz w:val="24"/>
                <w:szCs w:val="24"/>
              </w:rPr>
              <w:t>Lifetime cap</w:t>
            </w:r>
          </w:p>
        </w:tc>
        <w:tc>
          <w:tcPr>
            <w:tcW w:w="4334" w:type="dxa"/>
          </w:tcPr>
          <w:p w14:paraId="3F7CDFA4" w14:textId="77777777" w:rsidR="005956FD" w:rsidRPr="005074AA" w:rsidRDefault="006254A4" w:rsidP="00AD5191">
            <w:pPr>
              <w:rPr>
                <w:rStyle w:val="BookTitle"/>
                <w:rFonts w:ascii="Times New Roman" w:hAnsi="Times New Roman"/>
                <w:i w:val="0"/>
                <w:iCs w:val="0"/>
                <w:smallCaps w:val="0"/>
                <w:sz w:val="24"/>
                <w:szCs w:val="24"/>
              </w:rPr>
            </w:pPr>
            <w:r w:rsidRPr="005074AA">
              <w:rPr>
                <w:rStyle w:val="BookTitle"/>
                <w:rFonts w:ascii="Times New Roman" w:hAnsi="Times New Roman"/>
                <w:i w:val="0"/>
                <w:smallCaps w:val="0"/>
                <w:sz w:val="24"/>
                <w:szCs w:val="24"/>
              </w:rPr>
              <w:t xml:space="preserve">subsection </w:t>
            </w:r>
            <w:r w:rsidR="005956FD" w:rsidRPr="005074AA">
              <w:rPr>
                <w:rStyle w:val="BookTitle"/>
                <w:rFonts w:ascii="Times New Roman" w:hAnsi="Times New Roman"/>
                <w:i w:val="0"/>
                <w:smallCaps w:val="0"/>
                <w:sz w:val="24"/>
                <w:szCs w:val="24"/>
              </w:rPr>
              <w:t>44-21(8)</w:t>
            </w:r>
          </w:p>
        </w:tc>
      </w:tr>
      <w:tr w:rsidR="005956FD" w:rsidRPr="005074AA" w14:paraId="539E3E80" w14:textId="77777777" w:rsidTr="002B0835">
        <w:tc>
          <w:tcPr>
            <w:tcW w:w="4390" w:type="dxa"/>
            <w:gridSpan w:val="2"/>
          </w:tcPr>
          <w:p w14:paraId="71F03AC3" w14:textId="77777777" w:rsidR="005956FD" w:rsidRPr="005074AA" w:rsidRDefault="005956FD" w:rsidP="00AD5191">
            <w:pPr>
              <w:rPr>
                <w:rStyle w:val="BookTitle"/>
                <w:rFonts w:ascii="Times New Roman" w:hAnsi="Times New Roman"/>
                <w:i w:val="0"/>
                <w:iCs w:val="0"/>
                <w:smallCaps w:val="0"/>
                <w:sz w:val="24"/>
                <w:szCs w:val="24"/>
              </w:rPr>
            </w:pPr>
            <w:r w:rsidRPr="005074AA">
              <w:rPr>
                <w:rStyle w:val="BookTitle"/>
                <w:rFonts w:ascii="Times New Roman" w:hAnsi="Times New Roman"/>
                <w:i w:val="0"/>
                <w:smallCaps w:val="0"/>
                <w:sz w:val="24"/>
                <w:szCs w:val="24"/>
              </w:rPr>
              <w:t>First asset threshold</w:t>
            </w:r>
          </w:p>
        </w:tc>
        <w:tc>
          <w:tcPr>
            <w:tcW w:w="4334" w:type="dxa"/>
          </w:tcPr>
          <w:p w14:paraId="280B468C" w14:textId="77777777" w:rsidR="005956FD" w:rsidRPr="005074AA" w:rsidRDefault="006254A4" w:rsidP="00AD5191">
            <w:pPr>
              <w:rPr>
                <w:rStyle w:val="BookTitle"/>
                <w:rFonts w:ascii="Times New Roman" w:hAnsi="Times New Roman"/>
                <w:i w:val="0"/>
                <w:iCs w:val="0"/>
                <w:smallCaps w:val="0"/>
                <w:sz w:val="24"/>
                <w:szCs w:val="24"/>
              </w:rPr>
            </w:pPr>
            <w:r w:rsidRPr="005074AA">
              <w:rPr>
                <w:rStyle w:val="BookTitle"/>
                <w:rFonts w:ascii="Times New Roman" w:hAnsi="Times New Roman"/>
                <w:i w:val="0"/>
                <w:smallCaps w:val="0"/>
                <w:sz w:val="24"/>
                <w:szCs w:val="24"/>
              </w:rPr>
              <w:t xml:space="preserve">subsection </w:t>
            </w:r>
            <w:r w:rsidR="005956FD" w:rsidRPr="005074AA">
              <w:rPr>
                <w:rStyle w:val="BookTitle"/>
                <w:rFonts w:ascii="Times New Roman" w:hAnsi="Times New Roman"/>
                <w:i w:val="0"/>
                <w:smallCaps w:val="0"/>
                <w:sz w:val="24"/>
                <w:szCs w:val="24"/>
              </w:rPr>
              <w:t>44-22(3)</w:t>
            </w:r>
          </w:p>
        </w:tc>
      </w:tr>
      <w:tr w:rsidR="005956FD" w:rsidRPr="005074AA" w14:paraId="4137D5D1" w14:textId="77777777" w:rsidTr="002B0835">
        <w:tc>
          <w:tcPr>
            <w:tcW w:w="4390" w:type="dxa"/>
            <w:gridSpan w:val="2"/>
          </w:tcPr>
          <w:p w14:paraId="78D0A5F0" w14:textId="77777777" w:rsidR="005956FD" w:rsidRPr="005074AA" w:rsidRDefault="005956FD" w:rsidP="00AD5191">
            <w:pPr>
              <w:rPr>
                <w:rStyle w:val="BookTitle"/>
                <w:rFonts w:ascii="Times New Roman" w:hAnsi="Times New Roman"/>
                <w:i w:val="0"/>
                <w:iCs w:val="0"/>
                <w:smallCaps w:val="0"/>
                <w:sz w:val="24"/>
                <w:szCs w:val="24"/>
              </w:rPr>
            </w:pPr>
            <w:r w:rsidRPr="005074AA">
              <w:rPr>
                <w:rStyle w:val="BookTitle"/>
                <w:rFonts w:ascii="Times New Roman" w:hAnsi="Times New Roman"/>
                <w:i w:val="0"/>
                <w:smallCaps w:val="0"/>
                <w:sz w:val="24"/>
                <w:szCs w:val="24"/>
              </w:rPr>
              <w:t>Second asset threshold</w:t>
            </w:r>
          </w:p>
        </w:tc>
        <w:tc>
          <w:tcPr>
            <w:tcW w:w="4334" w:type="dxa"/>
          </w:tcPr>
          <w:p w14:paraId="777AE889" w14:textId="77777777" w:rsidR="005956FD" w:rsidRPr="005074AA" w:rsidRDefault="006254A4" w:rsidP="00AD5191">
            <w:pPr>
              <w:rPr>
                <w:rStyle w:val="BookTitle"/>
                <w:rFonts w:ascii="Times New Roman" w:hAnsi="Times New Roman"/>
                <w:i w:val="0"/>
                <w:iCs w:val="0"/>
                <w:smallCaps w:val="0"/>
                <w:sz w:val="24"/>
                <w:szCs w:val="24"/>
              </w:rPr>
            </w:pPr>
            <w:r w:rsidRPr="005074AA">
              <w:rPr>
                <w:rStyle w:val="BookTitle"/>
                <w:rFonts w:ascii="Times New Roman" w:hAnsi="Times New Roman"/>
                <w:i w:val="0"/>
                <w:smallCaps w:val="0"/>
                <w:sz w:val="24"/>
                <w:szCs w:val="24"/>
              </w:rPr>
              <w:t xml:space="preserve">subsection </w:t>
            </w:r>
            <w:r w:rsidR="005956FD" w:rsidRPr="005074AA">
              <w:rPr>
                <w:rStyle w:val="BookTitle"/>
                <w:rFonts w:ascii="Times New Roman" w:hAnsi="Times New Roman"/>
                <w:i w:val="0"/>
                <w:smallCaps w:val="0"/>
                <w:sz w:val="24"/>
                <w:szCs w:val="24"/>
              </w:rPr>
              <w:t>44-22(3)</w:t>
            </w:r>
          </w:p>
        </w:tc>
      </w:tr>
      <w:tr w:rsidR="005956FD" w:rsidRPr="005074AA" w14:paraId="3C80AD2C" w14:textId="77777777" w:rsidTr="002B0835">
        <w:tc>
          <w:tcPr>
            <w:tcW w:w="4390" w:type="dxa"/>
            <w:gridSpan w:val="2"/>
          </w:tcPr>
          <w:p w14:paraId="16128B1F" w14:textId="77777777" w:rsidR="005956FD" w:rsidRPr="005074AA" w:rsidRDefault="005956FD" w:rsidP="00AD5191">
            <w:pPr>
              <w:rPr>
                <w:rStyle w:val="BookTitle"/>
                <w:rFonts w:ascii="Times New Roman" w:hAnsi="Times New Roman"/>
                <w:i w:val="0"/>
                <w:iCs w:val="0"/>
                <w:smallCaps w:val="0"/>
                <w:sz w:val="24"/>
                <w:szCs w:val="24"/>
              </w:rPr>
            </w:pPr>
            <w:r w:rsidRPr="005074AA">
              <w:rPr>
                <w:rStyle w:val="BookTitle"/>
                <w:rFonts w:ascii="Times New Roman" w:hAnsi="Times New Roman"/>
                <w:i w:val="0"/>
                <w:smallCaps w:val="0"/>
                <w:sz w:val="24"/>
                <w:szCs w:val="24"/>
              </w:rPr>
              <w:t>Maximum home value</w:t>
            </w:r>
          </w:p>
        </w:tc>
        <w:tc>
          <w:tcPr>
            <w:tcW w:w="4334" w:type="dxa"/>
          </w:tcPr>
          <w:p w14:paraId="606FCFB8" w14:textId="77777777" w:rsidR="005956FD" w:rsidRPr="005074AA" w:rsidRDefault="006254A4" w:rsidP="00AD5191">
            <w:pPr>
              <w:rPr>
                <w:rStyle w:val="BookTitle"/>
                <w:rFonts w:ascii="Times New Roman" w:hAnsi="Times New Roman"/>
                <w:i w:val="0"/>
                <w:iCs w:val="0"/>
                <w:smallCaps w:val="0"/>
                <w:sz w:val="24"/>
                <w:szCs w:val="24"/>
              </w:rPr>
            </w:pPr>
            <w:r w:rsidRPr="005074AA">
              <w:rPr>
                <w:rStyle w:val="BookTitle"/>
                <w:rFonts w:ascii="Times New Roman" w:hAnsi="Times New Roman"/>
                <w:i w:val="0"/>
                <w:smallCaps w:val="0"/>
                <w:sz w:val="24"/>
                <w:szCs w:val="24"/>
              </w:rPr>
              <w:t xml:space="preserve">subsection </w:t>
            </w:r>
            <w:r w:rsidR="005956FD" w:rsidRPr="005074AA">
              <w:rPr>
                <w:rStyle w:val="BookTitle"/>
                <w:rFonts w:ascii="Times New Roman" w:hAnsi="Times New Roman"/>
                <w:i w:val="0"/>
                <w:smallCaps w:val="0"/>
                <w:sz w:val="24"/>
                <w:szCs w:val="24"/>
              </w:rPr>
              <w:t>44-26</w:t>
            </w:r>
            <w:proofErr w:type="gramStart"/>
            <w:r w:rsidR="005956FD" w:rsidRPr="005074AA">
              <w:rPr>
                <w:rStyle w:val="BookTitle"/>
                <w:rFonts w:ascii="Times New Roman" w:hAnsi="Times New Roman"/>
                <w:i w:val="0"/>
                <w:smallCaps w:val="0"/>
                <w:sz w:val="24"/>
                <w:szCs w:val="24"/>
              </w:rPr>
              <w:t>B(</w:t>
            </w:r>
            <w:proofErr w:type="gramEnd"/>
            <w:r w:rsidR="005956FD" w:rsidRPr="005074AA">
              <w:rPr>
                <w:rStyle w:val="BookTitle"/>
                <w:rFonts w:ascii="Times New Roman" w:hAnsi="Times New Roman"/>
                <w:i w:val="0"/>
                <w:smallCaps w:val="0"/>
                <w:sz w:val="24"/>
                <w:szCs w:val="24"/>
              </w:rPr>
              <w:t>1)</w:t>
            </w:r>
          </w:p>
        </w:tc>
      </w:tr>
      <w:tr w:rsidR="005956FD" w:rsidRPr="005074AA" w14:paraId="24567685" w14:textId="4DAE9DF1" w:rsidTr="002B0835">
        <w:tc>
          <w:tcPr>
            <w:tcW w:w="4390" w:type="dxa"/>
            <w:gridSpan w:val="2"/>
          </w:tcPr>
          <w:p w14:paraId="2F8036F8" w14:textId="4F14E92B" w:rsidR="005956FD" w:rsidRPr="005074AA" w:rsidRDefault="005956FD" w:rsidP="00AD5191">
            <w:pPr>
              <w:rPr>
                <w:rStyle w:val="BookTitle"/>
                <w:rFonts w:ascii="Times New Roman" w:hAnsi="Times New Roman"/>
                <w:i w:val="0"/>
                <w:iCs w:val="0"/>
                <w:smallCaps w:val="0"/>
                <w:sz w:val="24"/>
                <w:szCs w:val="24"/>
              </w:rPr>
            </w:pPr>
            <w:r w:rsidRPr="005074AA">
              <w:rPr>
                <w:rStyle w:val="BookTitle"/>
                <w:rFonts w:ascii="Times New Roman" w:hAnsi="Times New Roman"/>
                <w:i w:val="0"/>
                <w:smallCaps w:val="0"/>
                <w:sz w:val="24"/>
                <w:szCs w:val="24"/>
              </w:rPr>
              <w:t>Accommodation supplement</w:t>
            </w:r>
          </w:p>
        </w:tc>
        <w:tc>
          <w:tcPr>
            <w:tcW w:w="4334" w:type="dxa"/>
          </w:tcPr>
          <w:p w14:paraId="64C99498" w14:textId="6B1C88AD" w:rsidR="005956FD" w:rsidRPr="005074AA" w:rsidRDefault="00F0180C" w:rsidP="00AD5191">
            <w:pPr>
              <w:rPr>
                <w:rStyle w:val="BookTitle"/>
                <w:rFonts w:ascii="Times New Roman" w:hAnsi="Times New Roman"/>
                <w:i w:val="0"/>
                <w:iCs w:val="0"/>
                <w:smallCaps w:val="0"/>
                <w:sz w:val="24"/>
                <w:szCs w:val="24"/>
              </w:rPr>
            </w:pPr>
            <w:r w:rsidRPr="005074AA">
              <w:rPr>
                <w:rStyle w:val="BookTitle"/>
                <w:rFonts w:ascii="Times New Roman" w:hAnsi="Times New Roman"/>
                <w:i w:val="0"/>
                <w:smallCaps w:val="0"/>
                <w:sz w:val="24"/>
                <w:szCs w:val="24"/>
              </w:rPr>
              <w:t>S</w:t>
            </w:r>
            <w:r w:rsidR="006254A4" w:rsidRPr="005074AA">
              <w:rPr>
                <w:rStyle w:val="BookTitle"/>
                <w:rFonts w:ascii="Times New Roman" w:hAnsi="Times New Roman"/>
                <w:i w:val="0"/>
                <w:smallCaps w:val="0"/>
                <w:sz w:val="24"/>
                <w:szCs w:val="24"/>
              </w:rPr>
              <w:t>ubsection</w:t>
            </w:r>
            <w:r w:rsidR="00F936BA" w:rsidRPr="005074AA">
              <w:rPr>
                <w:rStyle w:val="BookTitle"/>
                <w:rFonts w:ascii="Times New Roman" w:hAnsi="Times New Roman"/>
                <w:i w:val="0"/>
                <w:smallCaps w:val="0"/>
                <w:sz w:val="24"/>
                <w:szCs w:val="24"/>
              </w:rPr>
              <w:t>s</w:t>
            </w:r>
            <w:r w:rsidRPr="005074AA">
              <w:rPr>
                <w:rStyle w:val="BookTitle"/>
                <w:rFonts w:ascii="Times New Roman" w:hAnsi="Times New Roman"/>
                <w:i w:val="0"/>
                <w:smallCaps w:val="0"/>
                <w:sz w:val="24"/>
                <w:szCs w:val="24"/>
              </w:rPr>
              <w:t xml:space="preserve"> 44-27(3),</w:t>
            </w:r>
            <w:r w:rsidR="006254A4" w:rsidRPr="005074AA">
              <w:rPr>
                <w:rStyle w:val="BookTitle"/>
                <w:rFonts w:ascii="Times New Roman" w:hAnsi="Times New Roman"/>
                <w:i w:val="0"/>
                <w:smallCaps w:val="0"/>
                <w:sz w:val="24"/>
                <w:szCs w:val="24"/>
              </w:rPr>
              <w:t xml:space="preserve"> </w:t>
            </w:r>
            <w:r w:rsidR="005956FD" w:rsidRPr="005074AA">
              <w:rPr>
                <w:rStyle w:val="BookTitle"/>
                <w:rFonts w:ascii="Times New Roman" w:hAnsi="Times New Roman"/>
                <w:i w:val="0"/>
                <w:smallCaps w:val="0"/>
                <w:sz w:val="24"/>
                <w:szCs w:val="24"/>
              </w:rPr>
              <w:t>44-28(4)</w:t>
            </w:r>
            <w:r w:rsidR="001378DB" w:rsidRPr="005074AA">
              <w:rPr>
                <w:rStyle w:val="BookTitle"/>
                <w:rFonts w:ascii="Times New Roman" w:hAnsi="Times New Roman"/>
                <w:i w:val="0"/>
                <w:smallCaps w:val="0"/>
                <w:sz w:val="24"/>
                <w:szCs w:val="24"/>
              </w:rPr>
              <w:t xml:space="preserve"> and 44-28(5)</w:t>
            </w:r>
          </w:p>
        </w:tc>
      </w:tr>
      <w:tr w:rsidR="005956FD" w:rsidRPr="005074AA" w14:paraId="358D592D" w14:textId="77777777" w:rsidTr="00AD5191">
        <w:tc>
          <w:tcPr>
            <w:tcW w:w="8724" w:type="dxa"/>
            <w:gridSpan w:val="3"/>
            <w:shd w:val="clear" w:color="auto" w:fill="D9D9D9" w:themeFill="background1" w:themeFillShade="D9"/>
          </w:tcPr>
          <w:p w14:paraId="240D83FD" w14:textId="77777777" w:rsidR="005956FD" w:rsidRPr="005074AA" w:rsidRDefault="005956FD" w:rsidP="00AD5191">
            <w:pPr>
              <w:rPr>
                <w:rStyle w:val="BookTitle"/>
                <w:rFonts w:ascii="Times New Roman" w:hAnsi="Times New Roman"/>
                <w:b/>
                <w:i w:val="0"/>
                <w:iCs w:val="0"/>
                <w:smallCaps w:val="0"/>
                <w:sz w:val="24"/>
                <w:szCs w:val="24"/>
              </w:rPr>
            </w:pPr>
            <w:r w:rsidRPr="005074AA">
              <w:rPr>
                <w:rStyle w:val="BookTitle"/>
                <w:rFonts w:ascii="Times New Roman" w:hAnsi="Times New Roman"/>
                <w:b/>
                <w:i w:val="0"/>
                <w:smallCaps w:val="0"/>
                <w:sz w:val="24"/>
                <w:szCs w:val="24"/>
              </w:rPr>
              <w:t xml:space="preserve">Home care </w:t>
            </w:r>
          </w:p>
        </w:tc>
      </w:tr>
      <w:tr w:rsidR="005956FD" w:rsidRPr="005074AA" w14:paraId="57D36D17" w14:textId="77777777" w:rsidTr="002B0835">
        <w:tc>
          <w:tcPr>
            <w:tcW w:w="4390" w:type="dxa"/>
            <w:gridSpan w:val="2"/>
          </w:tcPr>
          <w:p w14:paraId="0AA2EC24" w14:textId="77777777" w:rsidR="005956FD" w:rsidRPr="005074AA" w:rsidRDefault="005956FD" w:rsidP="00AD5191">
            <w:pPr>
              <w:rPr>
                <w:rStyle w:val="BookTitle"/>
                <w:rFonts w:ascii="Times New Roman" w:hAnsi="Times New Roman"/>
                <w:i w:val="0"/>
                <w:iCs w:val="0"/>
                <w:smallCaps w:val="0"/>
                <w:sz w:val="24"/>
                <w:szCs w:val="24"/>
              </w:rPr>
            </w:pPr>
            <w:r w:rsidRPr="005074AA">
              <w:rPr>
                <w:rStyle w:val="BookTitle"/>
                <w:rFonts w:ascii="Times New Roman" w:hAnsi="Times New Roman"/>
                <w:i w:val="0"/>
                <w:smallCaps w:val="0"/>
                <w:sz w:val="24"/>
                <w:szCs w:val="24"/>
              </w:rPr>
              <w:t>First cap</w:t>
            </w:r>
          </w:p>
        </w:tc>
        <w:tc>
          <w:tcPr>
            <w:tcW w:w="4334" w:type="dxa"/>
          </w:tcPr>
          <w:p w14:paraId="2749DDEC" w14:textId="528B7C93" w:rsidR="005C3CEB" w:rsidRPr="005074AA" w:rsidRDefault="005C3CEB">
            <w:pPr>
              <w:rPr>
                <w:rStyle w:val="BookTitle"/>
                <w:rFonts w:ascii="Times New Roman" w:hAnsi="Times New Roman"/>
                <w:i w:val="0"/>
                <w:smallCaps w:val="0"/>
                <w:sz w:val="24"/>
                <w:szCs w:val="24"/>
              </w:rPr>
            </w:pPr>
            <w:r w:rsidRPr="005074AA">
              <w:rPr>
                <w:rStyle w:val="BookTitle"/>
                <w:rFonts w:ascii="Times New Roman" w:hAnsi="Times New Roman"/>
                <w:i w:val="0"/>
                <w:smallCaps w:val="0"/>
                <w:sz w:val="24"/>
                <w:szCs w:val="24"/>
              </w:rPr>
              <w:t>s</w:t>
            </w:r>
            <w:r w:rsidR="006254A4" w:rsidRPr="005074AA">
              <w:rPr>
                <w:rStyle w:val="BookTitle"/>
                <w:rFonts w:ascii="Times New Roman" w:hAnsi="Times New Roman"/>
                <w:i w:val="0"/>
                <w:smallCaps w:val="0"/>
                <w:sz w:val="24"/>
                <w:szCs w:val="24"/>
              </w:rPr>
              <w:t>ubsection</w:t>
            </w:r>
            <w:r w:rsidRPr="005074AA">
              <w:rPr>
                <w:rStyle w:val="BookTitle"/>
                <w:rFonts w:ascii="Times New Roman" w:hAnsi="Times New Roman"/>
                <w:i w:val="0"/>
                <w:smallCaps w:val="0"/>
                <w:sz w:val="24"/>
                <w:szCs w:val="24"/>
              </w:rPr>
              <w:t xml:space="preserve"> </w:t>
            </w:r>
            <w:r w:rsidR="005956FD" w:rsidRPr="005074AA">
              <w:rPr>
                <w:rStyle w:val="BookTitle"/>
                <w:rFonts w:ascii="Times New Roman" w:hAnsi="Times New Roman"/>
                <w:i w:val="0"/>
                <w:smallCaps w:val="0"/>
                <w:sz w:val="24"/>
                <w:szCs w:val="24"/>
              </w:rPr>
              <w:t>48-7(2) Step 4</w:t>
            </w:r>
            <w:r w:rsidR="00446227" w:rsidRPr="005074AA">
              <w:rPr>
                <w:rStyle w:val="BookTitle"/>
                <w:rFonts w:ascii="Times New Roman" w:hAnsi="Times New Roman"/>
                <w:i w:val="0"/>
                <w:smallCaps w:val="0"/>
                <w:sz w:val="24"/>
                <w:szCs w:val="24"/>
              </w:rPr>
              <w:t>,</w:t>
            </w:r>
            <w:r w:rsidR="005956FD" w:rsidRPr="005074AA">
              <w:rPr>
                <w:rStyle w:val="BookTitle"/>
                <w:rFonts w:ascii="Times New Roman" w:hAnsi="Times New Roman"/>
                <w:i w:val="0"/>
                <w:smallCaps w:val="0"/>
                <w:sz w:val="24"/>
                <w:szCs w:val="24"/>
              </w:rPr>
              <w:t xml:space="preserve"> </w:t>
            </w:r>
            <w:r w:rsidR="00446227" w:rsidRPr="005074AA">
              <w:rPr>
                <w:rStyle w:val="BookTitle"/>
                <w:rFonts w:ascii="Times New Roman" w:hAnsi="Times New Roman"/>
                <w:i w:val="0"/>
                <w:smallCaps w:val="0"/>
                <w:sz w:val="24"/>
                <w:szCs w:val="24"/>
              </w:rPr>
              <w:t>p</w:t>
            </w:r>
            <w:r w:rsidR="00464542" w:rsidRPr="005074AA">
              <w:rPr>
                <w:rStyle w:val="BookTitle"/>
                <w:rFonts w:ascii="Times New Roman" w:hAnsi="Times New Roman"/>
                <w:i w:val="0"/>
                <w:smallCaps w:val="0"/>
                <w:sz w:val="24"/>
                <w:szCs w:val="24"/>
              </w:rPr>
              <w:t xml:space="preserve">aragraph </w:t>
            </w:r>
            <w:r w:rsidR="005956FD" w:rsidRPr="005074AA">
              <w:rPr>
                <w:rStyle w:val="BookTitle"/>
                <w:rFonts w:ascii="Times New Roman" w:hAnsi="Times New Roman"/>
                <w:i w:val="0"/>
                <w:smallCaps w:val="0"/>
                <w:sz w:val="24"/>
                <w:szCs w:val="24"/>
              </w:rPr>
              <w:t>(c)</w:t>
            </w:r>
          </w:p>
        </w:tc>
      </w:tr>
      <w:tr w:rsidR="005956FD" w:rsidRPr="005074AA" w14:paraId="4D6921C0" w14:textId="77777777" w:rsidTr="002B0835">
        <w:tc>
          <w:tcPr>
            <w:tcW w:w="4390" w:type="dxa"/>
            <w:gridSpan w:val="2"/>
          </w:tcPr>
          <w:p w14:paraId="650CFAB2" w14:textId="77777777" w:rsidR="005956FD" w:rsidRPr="005074AA" w:rsidRDefault="005956FD" w:rsidP="00AD5191">
            <w:pPr>
              <w:rPr>
                <w:rStyle w:val="BookTitle"/>
                <w:rFonts w:ascii="Times New Roman" w:hAnsi="Times New Roman"/>
                <w:i w:val="0"/>
                <w:iCs w:val="0"/>
                <w:smallCaps w:val="0"/>
                <w:sz w:val="24"/>
                <w:szCs w:val="24"/>
              </w:rPr>
            </w:pPr>
            <w:r w:rsidRPr="005074AA">
              <w:rPr>
                <w:rStyle w:val="BookTitle"/>
                <w:rFonts w:ascii="Times New Roman" w:hAnsi="Times New Roman"/>
                <w:i w:val="0"/>
                <w:smallCaps w:val="0"/>
                <w:sz w:val="24"/>
                <w:szCs w:val="24"/>
              </w:rPr>
              <w:t>Second cap</w:t>
            </w:r>
          </w:p>
        </w:tc>
        <w:tc>
          <w:tcPr>
            <w:tcW w:w="4334" w:type="dxa"/>
          </w:tcPr>
          <w:p w14:paraId="3DFA7BB8" w14:textId="4C36E3A6" w:rsidR="005956FD" w:rsidRPr="005074AA" w:rsidRDefault="006254A4" w:rsidP="00AD5191">
            <w:pPr>
              <w:rPr>
                <w:rStyle w:val="BookTitle"/>
                <w:rFonts w:ascii="Times New Roman" w:hAnsi="Times New Roman"/>
                <w:i w:val="0"/>
                <w:iCs w:val="0"/>
                <w:smallCaps w:val="0"/>
                <w:sz w:val="24"/>
                <w:szCs w:val="24"/>
              </w:rPr>
            </w:pPr>
            <w:r w:rsidRPr="005074AA">
              <w:rPr>
                <w:rStyle w:val="BookTitle"/>
                <w:rFonts w:ascii="Times New Roman" w:hAnsi="Times New Roman"/>
                <w:i w:val="0"/>
                <w:smallCaps w:val="0"/>
                <w:sz w:val="24"/>
                <w:szCs w:val="24"/>
              </w:rPr>
              <w:t xml:space="preserve">subsection </w:t>
            </w:r>
            <w:r w:rsidR="005956FD" w:rsidRPr="005074AA">
              <w:rPr>
                <w:rStyle w:val="BookTitle"/>
                <w:rFonts w:ascii="Times New Roman" w:hAnsi="Times New Roman"/>
                <w:i w:val="0"/>
                <w:smallCaps w:val="0"/>
                <w:sz w:val="24"/>
                <w:szCs w:val="24"/>
              </w:rPr>
              <w:t>48-7(2) Step 5</w:t>
            </w:r>
            <w:r w:rsidR="00446227" w:rsidRPr="005074AA">
              <w:rPr>
                <w:rStyle w:val="BookTitle"/>
                <w:rFonts w:ascii="Times New Roman" w:hAnsi="Times New Roman"/>
                <w:i w:val="0"/>
                <w:smallCaps w:val="0"/>
                <w:sz w:val="24"/>
                <w:szCs w:val="24"/>
              </w:rPr>
              <w:t>, paragraph</w:t>
            </w:r>
            <w:r w:rsidR="005956FD" w:rsidRPr="005074AA">
              <w:rPr>
                <w:rStyle w:val="BookTitle"/>
                <w:rFonts w:ascii="Times New Roman" w:hAnsi="Times New Roman"/>
                <w:i w:val="0"/>
                <w:smallCaps w:val="0"/>
                <w:sz w:val="24"/>
                <w:szCs w:val="24"/>
              </w:rPr>
              <w:t xml:space="preserve"> (c)</w:t>
            </w:r>
          </w:p>
        </w:tc>
      </w:tr>
      <w:tr w:rsidR="005956FD" w:rsidRPr="005074AA" w14:paraId="073DDE72" w14:textId="77777777" w:rsidTr="002B0835">
        <w:tc>
          <w:tcPr>
            <w:tcW w:w="4390" w:type="dxa"/>
            <w:gridSpan w:val="2"/>
          </w:tcPr>
          <w:p w14:paraId="5540AFC5" w14:textId="77777777" w:rsidR="005956FD" w:rsidRPr="005074AA" w:rsidRDefault="005956FD" w:rsidP="00AD5191">
            <w:pPr>
              <w:rPr>
                <w:rStyle w:val="BookTitle"/>
                <w:rFonts w:ascii="Times New Roman" w:hAnsi="Times New Roman"/>
                <w:i w:val="0"/>
                <w:iCs w:val="0"/>
                <w:smallCaps w:val="0"/>
                <w:sz w:val="24"/>
                <w:szCs w:val="24"/>
              </w:rPr>
            </w:pPr>
            <w:r w:rsidRPr="005074AA">
              <w:rPr>
                <w:rStyle w:val="BookTitle"/>
                <w:rFonts w:ascii="Times New Roman" w:hAnsi="Times New Roman"/>
                <w:i w:val="0"/>
                <w:smallCaps w:val="0"/>
                <w:sz w:val="24"/>
                <w:szCs w:val="24"/>
              </w:rPr>
              <w:t>Income threshold</w:t>
            </w:r>
          </w:p>
        </w:tc>
        <w:tc>
          <w:tcPr>
            <w:tcW w:w="4334" w:type="dxa"/>
          </w:tcPr>
          <w:p w14:paraId="2DA3FD6C" w14:textId="77777777" w:rsidR="005956FD" w:rsidRPr="005074AA" w:rsidRDefault="006254A4" w:rsidP="00AD5191">
            <w:pPr>
              <w:rPr>
                <w:rStyle w:val="BookTitle"/>
                <w:rFonts w:ascii="Times New Roman" w:hAnsi="Times New Roman"/>
                <w:i w:val="0"/>
                <w:iCs w:val="0"/>
                <w:smallCaps w:val="0"/>
                <w:sz w:val="24"/>
                <w:szCs w:val="24"/>
              </w:rPr>
            </w:pPr>
            <w:r w:rsidRPr="005074AA">
              <w:rPr>
                <w:rStyle w:val="BookTitle"/>
                <w:rFonts w:ascii="Times New Roman" w:hAnsi="Times New Roman"/>
                <w:i w:val="0"/>
                <w:smallCaps w:val="0"/>
                <w:sz w:val="24"/>
                <w:szCs w:val="24"/>
              </w:rPr>
              <w:t>s</w:t>
            </w:r>
            <w:r w:rsidR="00D672E5" w:rsidRPr="005074AA">
              <w:rPr>
                <w:rStyle w:val="BookTitle"/>
                <w:rFonts w:ascii="Times New Roman" w:hAnsi="Times New Roman"/>
                <w:i w:val="0"/>
                <w:smallCaps w:val="0"/>
                <w:sz w:val="24"/>
                <w:szCs w:val="24"/>
              </w:rPr>
              <w:t xml:space="preserve">ubsection </w:t>
            </w:r>
            <w:r w:rsidR="005956FD" w:rsidRPr="005074AA">
              <w:rPr>
                <w:rStyle w:val="BookTitle"/>
                <w:rFonts w:ascii="Times New Roman" w:hAnsi="Times New Roman"/>
                <w:i w:val="0"/>
                <w:smallCaps w:val="0"/>
                <w:sz w:val="24"/>
                <w:szCs w:val="24"/>
              </w:rPr>
              <w:t xml:space="preserve">48-7(6) </w:t>
            </w:r>
          </w:p>
        </w:tc>
      </w:tr>
      <w:tr w:rsidR="005956FD" w:rsidRPr="005074AA" w14:paraId="6910B8EB" w14:textId="77777777" w:rsidTr="002B0835">
        <w:tc>
          <w:tcPr>
            <w:tcW w:w="4390" w:type="dxa"/>
            <w:gridSpan w:val="2"/>
          </w:tcPr>
          <w:p w14:paraId="6B8B7675" w14:textId="77777777" w:rsidR="005956FD" w:rsidRPr="005074AA" w:rsidRDefault="005956FD" w:rsidP="00AD5191">
            <w:pPr>
              <w:rPr>
                <w:rStyle w:val="BookTitle"/>
                <w:rFonts w:ascii="Times New Roman" w:hAnsi="Times New Roman"/>
                <w:i w:val="0"/>
                <w:iCs w:val="0"/>
                <w:smallCaps w:val="0"/>
                <w:sz w:val="24"/>
                <w:szCs w:val="24"/>
              </w:rPr>
            </w:pPr>
            <w:r w:rsidRPr="005074AA">
              <w:rPr>
                <w:rStyle w:val="BookTitle"/>
                <w:rFonts w:ascii="Times New Roman" w:hAnsi="Times New Roman"/>
                <w:i w:val="0"/>
                <w:smallCaps w:val="0"/>
                <w:sz w:val="24"/>
                <w:szCs w:val="24"/>
              </w:rPr>
              <w:t>Annual cap</w:t>
            </w:r>
          </w:p>
        </w:tc>
        <w:tc>
          <w:tcPr>
            <w:tcW w:w="4334" w:type="dxa"/>
          </w:tcPr>
          <w:p w14:paraId="604C4570" w14:textId="77777777" w:rsidR="005956FD" w:rsidRPr="005074AA" w:rsidRDefault="00D672E5" w:rsidP="00AD5191">
            <w:pPr>
              <w:rPr>
                <w:rStyle w:val="BookTitle"/>
                <w:rFonts w:ascii="Times New Roman" w:hAnsi="Times New Roman"/>
                <w:i w:val="0"/>
                <w:iCs w:val="0"/>
                <w:smallCaps w:val="0"/>
                <w:sz w:val="24"/>
                <w:szCs w:val="24"/>
              </w:rPr>
            </w:pPr>
            <w:r w:rsidRPr="005074AA">
              <w:rPr>
                <w:rStyle w:val="BookTitle"/>
                <w:rFonts w:ascii="Times New Roman" w:hAnsi="Times New Roman"/>
                <w:i w:val="0"/>
                <w:smallCaps w:val="0"/>
                <w:sz w:val="24"/>
                <w:szCs w:val="24"/>
              </w:rPr>
              <w:t xml:space="preserve">subsection </w:t>
            </w:r>
            <w:r w:rsidR="005956FD" w:rsidRPr="005074AA">
              <w:rPr>
                <w:rStyle w:val="BookTitle"/>
                <w:rFonts w:ascii="Times New Roman" w:hAnsi="Times New Roman"/>
                <w:i w:val="0"/>
                <w:smallCaps w:val="0"/>
                <w:sz w:val="24"/>
                <w:szCs w:val="24"/>
              </w:rPr>
              <w:t>48-7(7)</w:t>
            </w:r>
          </w:p>
        </w:tc>
      </w:tr>
      <w:tr w:rsidR="005956FD" w:rsidRPr="005074AA" w14:paraId="297DC3D6" w14:textId="77777777" w:rsidTr="002B0835">
        <w:tc>
          <w:tcPr>
            <w:tcW w:w="4390" w:type="dxa"/>
            <w:gridSpan w:val="2"/>
          </w:tcPr>
          <w:p w14:paraId="41930A67" w14:textId="77777777" w:rsidR="005956FD" w:rsidRPr="005074AA" w:rsidRDefault="005956FD" w:rsidP="00AD5191">
            <w:pPr>
              <w:rPr>
                <w:rStyle w:val="BookTitle"/>
                <w:rFonts w:ascii="Times New Roman" w:hAnsi="Times New Roman"/>
                <w:i w:val="0"/>
                <w:iCs w:val="0"/>
                <w:smallCaps w:val="0"/>
                <w:sz w:val="24"/>
                <w:szCs w:val="24"/>
              </w:rPr>
            </w:pPr>
            <w:r w:rsidRPr="005074AA">
              <w:rPr>
                <w:rStyle w:val="BookTitle"/>
                <w:rFonts w:ascii="Times New Roman" w:hAnsi="Times New Roman"/>
                <w:i w:val="0"/>
                <w:smallCaps w:val="0"/>
                <w:sz w:val="24"/>
                <w:szCs w:val="24"/>
              </w:rPr>
              <w:t>Lifetime cap</w:t>
            </w:r>
          </w:p>
        </w:tc>
        <w:tc>
          <w:tcPr>
            <w:tcW w:w="4334" w:type="dxa"/>
          </w:tcPr>
          <w:p w14:paraId="4102F4FF" w14:textId="77777777" w:rsidR="005956FD" w:rsidRPr="005074AA" w:rsidRDefault="00D672E5" w:rsidP="00AD5191">
            <w:pPr>
              <w:rPr>
                <w:rStyle w:val="BookTitle"/>
                <w:rFonts w:ascii="Times New Roman" w:hAnsi="Times New Roman"/>
                <w:i w:val="0"/>
                <w:iCs w:val="0"/>
                <w:smallCaps w:val="0"/>
                <w:sz w:val="24"/>
                <w:szCs w:val="24"/>
              </w:rPr>
            </w:pPr>
            <w:r w:rsidRPr="005074AA">
              <w:rPr>
                <w:rStyle w:val="BookTitle"/>
                <w:rFonts w:ascii="Times New Roman" w:hAnsi="Times New Roman"/>
                <w:i w:val="0"/>
                <w:smallCaps w:val="0"/>
                <w:sz w:val="24"/>
                <w:szCs w:val="24"/>
              </w:rPr>
              <w:t xml:space="preserve">subsection </w:t>
            </w:r>
            <w:r w:rsidR="005956FD" w:rsidRPr="005074AA">
              <w:rPr>
                <w:rStyle w:val="BookTitle"/>
                <w:rFonts w:ascii="Times New Roman" w:hAnsi="Times New Roman"/>
                <w:i w:val="0"/>
                <w:smallCaps w:val="0"/>
                <w:sz w:val="24"/>
                <w:szCs w:val="24"/>
              </w:rPr>
              <w:t>48-7(8)</w:t>
            </w:r>
          </w:p>
        </w:tc>
      </w:tr>
      <w:tr w:rsidR="00884C64" w:rsidRPr="005074AA" w14:paraId="2473E6C9" w14:textId="77777777" w:rsidTr="002B0835">
        <w:tc>
          <w:tcPr>
            <w:tcW w:w="4390" w:type="dxa"/>
            <w:gridSpan w:val="2"/>
          </w:tcPr>
          <w:p w14:paraId="704FB579" w14:textId="6B7D7F0B" w:rsidR="00884C64" w:rsidRPr="005074AA" w:rsidRDefault="00884C64" w:rsidP="00AD5191">
            <w:pPr>
              <w:rPr>
                <w:rStyle w:val="BookTitle"/>
                <w:i w:val="0"/>
                <w:smallCaps w:val="0"/>
                <w:szCs w:val="24"/>
              </w:rPr>
            </w:pPr>
            <w:r w:rsidRPr="005074AA">
              <w:rPr>
                <w:rStyle w:val="BookTitle"/>
                <w:rFonts w:ascii="Times New Roman" w:hAnsi="Times New Roman"/>
                <w:i w:val="0"/>
                <w:smallCaps w:val="0"/>
                <w:sz w:val="24"/>
                <w:szCs w:val="24"/>
              </w:rPr>
              <w:t>Basic daily care fee</w:t>
            </w:r>
          </w:p>
        </w:tc>
        <w:tc>
          <w:tcPr>
            <w:tcW w:w="4334" w:type="dxa"/>
          </w:tcPr>
          <w:p w14:paraId="3CF1D48D" w14:textId="720ED56A" w:rsidR="00884C64" w:rsidRPr="005074AA" w:rsidRDefault="00884C64" w:rsidP="00AD5191">
            <w:pPr>
              <w:rPr>
                <w:rStyle w:val="BookTitle"/>
                <w:i w:val="0"/>
                <w:smallCaps w:val="0"/>
                <w:szCs w:val="24"/>
              </w:rPr>
            </w:pPr>
            <w:r w:rsidRPr="005074AA">
              <w:rPr>
                <w:rStyle w:val="BookTitle"/>
                <w:rFonts w:ascii="Times New Roman" w:hAnsi="Times New Roman"/>
                <w:i w:val="0"/>
                <w:smallCaps w:val="0"/>
                <w:sz w:val="24"/>
                <w:szCs w:val="24"/>
              </w:rPr>
              <w:t>paragraph 52D-3(a)</w:t>
            </w:r>
          </w:p>
        </w:tc>
      </w:tr>
    </w:tbl>
    <w:p w14:paraId="6A60FEAE" w14:textId="77777777" w:rsidR="000E59E7" w:rsidRPr="005074AA" w:rsidRDefault="000E59E7" w:rsidP="000E59E7">
      <w:pPr>
        <w:jc w:val="both"/>
        <w:rPr>
          <w:iCs/>
        </w:rPr>
      </w:pPr>
    </w:p>
    <w:p w14:paraId="51B38BBF" w14:textId="620D1CFA" w:rsidR="000E59E7" w:rsidRPr="005074AA" w:rsidRDefault="004D272D" w:rsidP="000E59E7">
      <w:pPr>
        <w:jc w:val="both"/>
        <w:rPr>
          <w:iCs/>
          <w:szCs w:val="24"/>
        </w:rPr>
      </w:pPr>
      <w:r w:rsidRPr="005074AA">
        <w:rPr>
          <w:iCs/>
          <w:szCs w:val="24"/>
        </w:rPr>
        <w:t xml:space="preserve">The authority provisions in the Transitional Provisions Act for making </w:t>
      </w:r>
      <w:r w:rsidR="002136AF" w:rsidRPr="005074AA">
        <w:rPr>
          <w:iCs/>
          <w:szCs w:val="24"/>
        </w:rPr>
        <w:t xml:space="preserve">the </w:t>
      </w:r>
      <w:r w:rsidR="00E32E4B" w:rsidRPr="005074AA">
        <w:rPr>
          <w:iCs/>
          <w:szCs w:val="24"/>
        </w:rPr>
        <w:t xml:space="preserve">Transitional Provisions Determination </w:t>
      </w:r>
      <w:r w:rsidR="002136AF" w:rsidRPr="005074AA">
        <w:rPr>
          <w:iCs/>
          <w:szCs w:val="24"/>
        </w:rPr>
        <w:t xml:space="preserve">that </w:t>
      </w:r>
      <w:r w:rsidR="00E32E4B" w:rsidRPr="005074AA">
        <w:rPr>
          <w:iCs/>
          <w:szCs w:val="24"/>
        </w:rPr>
        <w:t>is</w:t>
      </w:r>
      <w:r w:rsidR="002136AF" w:rsidRPr="005074AA">
        <w:rPr>
          <w:iCs/>
          <w:szCs w:val="24"/>
        </w:rPr>
        <w:t xml:space="preserve"> amended by</w:t>
      </w:r>
      <w:r w:rsidRPr="005074AA">
        <w:rPr>
          <w:iCs/>
          <w:szCs w:val="24"/>
        </w:rPr>
        <w:t xml:space="preserve"> the Amending </w:t>
      </w:r>
      <w:r w:rsidR="002526C0" w:rsidRPr="005074AA">
        <w:rPr>
          <w:iCs/>
          <w:szCs w:val="24"/>
        </w:rPr>
        <w:t>Instrument</w:t>
      </w:r>
      <w:r w:rsidRPr="005074AA">
        <w:rPr>
          <w:iCs/>
          <w:szCs w:val="24"/>
        </w:rPr>
        <w:t xml:space="preserve"> are set out in the following table:</w:t>
      </w:r>
    </w:p>
    <w:p w14:paraId="7004FAEC" w14:textId="77777777" w:rsidR="000E59E7" w:rsidRPr="005074AA" w:rsidRDefault="000E59E7" w:rsidP="000E59E7">
      <w:pPr>
        <w:rPr>
          <w:iCs/>
        </w:rPr>
      </w:pPr>
    </w:p>
    <w:tbl>
      <w:tblPr>
        <w:tblStyle w:val="TableGrid"/>
        <w:tblW w:w="0" w:type="auto"/>
        <w:tblLook w:val="04A0" w:firstRow="1" w:lastRow="0" w:firstColumn="1" w:lastColumn="0" w:noHBand="0" w:noVBand="1"/>
      </w:tblPr>
      <w:tblGrid>
        <w:gridCol w:w="4671"/>
        <w:gridCol w:w="3686"/>
      </w:tblGrid>
      <w:tr w:rsidR="000E59E7" w:rsidRPr="005074AA" w14:paraId="2EC26BC6" w14:textId="77777777" w:rsidTr="004B443A">
        <w:tc>
          <w:tcPr>
            <w:tcW w:w="4671" w:type="dxa"/>
            <w:shd w:val="clear" w:color="auto" w:fill="D9D9D9" w:themeFill="background1" w:themeFillShade="D9"/>
          </w:tcPr>
          <w:p w14:paraId="0A1B1617" w14:textId="77777777" w:rsidR="000E59E7" w:rsidRPr="005074AA" w:rsidRDefault="000E59E7" w:rsidP="004B443A">
            <w:pPr>
              <w:rPr>
                <w:rFonts w:ascii="Times New Roman" w:hAnsi="Times New Roman"/>
                <w:b/>
                <w:iCs/>
                <w:sz w:val="24"/>
                <w:szCs w:val="24"/>
              </w:rPr>
            </w:pPr>
            <w:r w:rsidRPr="005074AA">
              <w:rPr>
                <w:rFonts w:ascii="Times New Roman" w:hAnsi="Times New Roman"/>
                <w:b/>
                <w:iCs/>
                <w:sz w:val="24"/>
                <w:szCs w:val="24"/>
              </w:rPr>
              <w:t>Type of Care and type of payment</w:t>
            </w:r>
          </w:p>
        </w:tc>
        <w:tc>
          <w:tcPr>
            <w:tcW w:w="3686" w:type="dxa"/>
            <w:shd w:val="clear" w:color="auto" w:fill="D9D9D9" w:themeFill="background1" w:themeFillShade="D9"/>
          </w:tcPr>
          <w:p w14:paraId="4C2B28A0" w14:textId="46A16216" w:rsidR="000E59E7" w:rsidRPr="005074AA" w:rsidRDefault="000E59E7" w:rsidP="004B443A">
            <w:pPr>
              <w:rPr>
                <w:rFonts w:ascii="Times New Roman" w:hAnsi="Times New Roman"/>
                <w:b/>
                <w:iCs/>
                <w:sz w:val="24"/>
                <w:szCs w:val="24"/>
              </w:rPr>
            </w:pPr>
            <w:r w:rsidRPr="005074AA">
              <w:rPr>
                <w:rFonts w:ascii="Times New Roman" w:hAnsi="Times New Roman"/>
                <w:b/>
                <w:iCs/>
                <w:sz w:val="24"/>
                <w:szCs w:val="24"/>
              </w:rPr>
              <w:t>Section</w:t>
            </w:r>
            <w:r w:rsidR="00966049" w:rsidRPr="005074AA">
              <w:rPr>
                <w:rFonts w:ascii="Times New Roman" w:hAnsi="Times New Roman"/>
                <w:b/>
                <w:iCs/>
                <w:sz w:val="24"/>
                <w:szCs w:val="24"/>
              </w:rPr>
              <w:t xml:space="preserve"> of the Transitional Provisions Act  </w:t>
            </w:r>
          </w:p>
        </w:tc>
      </w:tr>
      <w:tr w:rsidR="000E59E7" w:rsidRPr="005074AA" w14:paraId="5EA663BC" w14:textId="77777777" w:rsidTr="004B443A">
        <w:tc>
          <w:tcPr>
            <w:tcW w:w="8357" w:type="dxa"/>
            <w:gridSpan w:val="2"/>
            <w:shd w:val="clear" w:color="auto" w:fill="D9D9D9" w:themeFill="background1" w:themeFillShade="D9"/>
          </w:tcPr>
          <w:p w14:paraId="73AD691D" w14:textId="77777777" w:rsidR="000E59E7" w:rsidRPr="005074AA" w:rsidRDefault="000E59E7" w:rsidP="004B443A">
            <w:pPr>
              <w:rPr>
                <w:rFonts w:ascii="Times New Roman" w:hAnsi="Times New Roman"/>
                <w:b/>
                <w:iCs/>
                <w:sz w:val="24"/>
                <w:szCs w:val="24"/>
              </w:rPr>
            </w:pPr>
            <w:r w:rsidRPr="005074AA">
              <w:rPr>
                <w:rFonts w:ascii="Times New Roman" w:hAnsi="Times New Roman"/>
                <w:b/>
                <w:iCs/>
                <w:sz w:val="24"/>
                <w:szCs w:val="24"/>
              </w:rPr>
              <w:t>Residential Care</w:t>
            </w:r>
          </w:p>
        </w:tc>
      </w:tr>
      <w:tr w:rsidR="000E59E7" w:rsidRPr="005074AA" w14:paraId="47FFA1EE" w14:textId="38772549" w:rsidTr="004B443A">
        <w:tc>
          <w:tcPr>
            <w:tcW w:w="4671" w:type="dxa"/>
          </w:tcPr>
          <w:p w14:paraId="304D1A36" w14:textId="7B9D72D4" w:rsidR="000E59E7" w:rsidRPr="005074AA" w:rsidRDefault="000E59E7" w:rsidP="004B443A">
            <w:pPr>
              <w:rPr>
                <w:rFonts w:ascii="Times New Roman" w:hAnsi="Times New Roman"/>
                <w:iCs/>
                <w:sz w:val="24"/>
                <w:szCs w:val="24"/>
              </w:rPr>
            </w:pPr>
            <w:r w:rsidRPr="005074AA">
              <w:rPr>
                <w:rFonts w:ascii="Times New Roman" w:hAnsi="Times New Roman"/>
                <w:iCs/>
                <w:sz w:val="24"/>
                <w:szCs w:val="24"/>
              </w:rPr>
              <w:t>Accommodation supplement</w:t>
            </w:r>
          </w:p>
        </w:tc>
        <w:tc>
          <w:tcPr>
            <w:tcW w:w="3686" w:type="dxa"/>
          </w:tcPr>
          <w:p w14:paraId="18F34736" w14:textId="6CD83EC2" w:rsidR="000E59E7" w:rsidRPr="005074AA" w:rsidRDefault="000E59E7" w:rsidP="004B443A">
            <w:pPr>
              <w:rPr>
                <w:rFonts w:ascii="Times New Roman" w:hAnsi="Times New Roman"/>
                <w:iCs/>
                <w:sz w:val="24"/>
                <w:szCs w:val="24"/>
              </w:rPr>
            </w:pPr>
            <w:r w:rsidRPr="005074AA">
              <w:rPr>
                <w:rFonts w:ascii="Times New Roman" w:hAnsi="Times New Roman"/>
                <w:iCs/>
                <w:sz w:val="24"/>
                <w:szCs w:val="24"/>
              </w:rPr>
              <w:t>subsection</w:t>
            </w:r>
            <w:r w:rsidR="001378DB" w:rsidRPr="005074AA">
              <w:rPr>
                <w:rFonts w:ascii="Times New Roman" w:hAnsi="Times New Roman"/>
                <w:iCs/>
                <w:sz w:val="24"/>
                <w:szCs w:val="24"/>
              </w:rPr>
              <w:t>s</w:t>
            </w:r>
            <w:r w:rsidRPr="005074AA">
              <w:rPr>
                <w:rFonts w:ascii="Times New Roman" w:hAnsi="Times New Roman"/>
                <w:iCs/>
                <w:sz w:val="24"/>
                <w:szCs w:val="24"/>
              </w:rPr>
              <w:t xml:space="preserve"> 44-5</w:t>
            </w:r>
            <w:proofErr w:type="gramStart"/>
            <w:r w:rsidRPr="005074AA">
              <w:rPr>
                <w:rFonts w:ascii="Times New Roman" w:hAnsi="Times New Roman"/>
                <w:iCs/>
                <w:sz w:val="24"/>
                <w:szCs w:val="24"/>
              </w:rPr>
              <w:t>A(</w:t>
            </w:r>
            <w:proofErr w:type="gramEnd"/>
            <w:r w:rsidRPr="005074AA">
              <w:rPr>
                <w:rFonts w:ascii="Times New Roman" w:hAnsi="Times New Roman"/>
                <w:iCs/>
                <w:sz w:val="24"/>
                <w:szCs w:val="24"/>
              </w:rPr>
              <w:t>3)</w:t>
            </w:r>
            <w:r w:rsidR="001378DB" w:rsidRPr="005074AA">
              <w:rPr>
                <w:rFonts w:ascii="Times New Roman" w:hAnsi="Times New Roman"/>
                <w:iCs/>
                <w:sz w:val="24"/>
                <w:szCs w:val="24"/>
              </w:rPr>
              <w:t xml:space="preserve"> and 44-5A(4)</w:t>
            </w:r>
          </w:p>
        </w:tc>
      </w:tr>
      <w:tr w:rsidR="000E59E7" w:rsidRPr="005074AA" w14:paraId="4A4F6A1B" w14:textId="2690780A" w:rsidTr="004B443A">
        <w:tc>
          <w:tcPr>
            <w:tcW w:w="4671" w:type="dxa"/>
          </w:tcPr>
          <w:p w14:paraId="34F413F5" w14:textId="6307F98A" w:rsidR="000E59E7" w:rsidRPr="005074AA" w:rsidRDefault="000E59E7" w:rsidP="004B443A">
            <w:pPr>
              <w:rPr>
                <w:rFonts w:ascii="Times New Roman" w:hAnsi="Times New Roman"/>
                <w:iCs/>
                <w:sz w:val="24"/>
                <w:szCs w:val="24"/>
              </w:rPr>
            </w:pPr>
            <w:r w:rsidRPr="005074AA">
              <w:rPr>
                <w:rFonts w:ascii="Times New Roman" w:hAnsi="Times New Roman"/>
                <w:iCs/>
                <w:sz w:val="24"/>
                <w:szCs w:val="24"/>
              </w:rPr>
              <w:t>Concessional resident supplement</w:t>
            </w:r>
          </w:p>
        </w:tc>
        <w:tc>
          <w:tcPr>
            <w:tcW w:w="3686" w:type="dxa"/>
          </w:tcPr>
          <w:p w14:paraId="12AE7872" w14:textId="24753A58" w:rsidR="000E59E7" w:rsidRPr="005074AA" w:rsidRDefault="000E59E7" w:rsidP="004B443A">
            <w:pPr>
              <w:rPr>
                <w:rFonts w:ascii="Times New Roman" w:hAnsi="Times New Roman"/>
                <w:iCs/>
                <w:sz w:val="24"/>
                <w:szCs w:val="24"/>
              </w:rPr>
            </w:pPr>
            <w:r w:rsidRPr="005074AA">
              <w:rPr>
                <w:rFonts w:ascii="Times New Roman" w:hAnsi="Times New Roman"/>
                <w:iCs/>
                <w:sz w:val="24"/>
                <w:szCs w:val="24"/>
              </w:rPr>
              <w:t>subsection</w:t>
            </w:r>
            <w:r w:rsidR="002E2532" w:rsidRPr="005074AA">
              <w:rPr>
                <w:rFonts w:ascii="Times New Roman" w:hAnsi="Times New Roman"/>
                <w:iCs/>
                <w:sz w:val="24"/>
                <w:szCs w:val="24"/>
              </w:rPr>
              <w:t>s</w:t>
            </w:r>
            <w:r w:rsidRPr="005074AA">
              <w:rPr>
                <w:rFonts w:ascii="Times New Roman" w:hAnsi="Times New Roman"/>
                <w:iCs/>
                <w:sz w:val="24"/>
                <w:szCs w:val="24"/>
              </w:rPr>
              <w:t xml:space="preserve"> 44-6(4)</w:t>
            </w:r>
            <w:r w:rsidR="002E2532" w:rsidRPr="005074AA">
              <w:rPr>
                <w:rFonts w:ascii="Times New Roman" w:hAnsi="Times New Roman"/>
                <w:iCs/>
                <w:sz w:val="24"/>
                <w:szCs w:val="24"/>
              </w:rPr>
              <w:t xml:space="preserve"> and 44-6(5)</w:t>
            </w:r>
          </w:p>
        </w:tc>
      </w:tr>
      <w:tr w:rsidR="000E59E7" w:rsidRPr="005074AA" w14:paraId="4F264399" w14:textId="77777777" w:rsidTr="004B443A">
        <w:tc>
          <w:tcPr>
            <w:tcW w:w="4671" w:type="dxa"/>
          </w:tcPr>
          <w:p w14:paraId="243EB74B" w14:textId="77777777" w:rsidR="000E59E7" w:rsidRPr="005074AA" w:rsidRDefault="000E59E7" w:rsidP="004B443A">
            <w:pPr>
              <w:rPr>
                <w:rFonts w:ascii="Times New Roman" w:hAnsi="Times New Roman"/>
                <w:iCs/>
                <w:sz w:val="24"/>
                <w:szCs w:val="24"/>
              </w:rPr>
            </w:pPr>
            <w:r w:rsidRPr="005074AA">
              <w:rPr>
                <w:rFonts w:ascii="Times New Roman" w:hAnsi="Times New Roman"/>
                <w:iCs/>
                <w:sz w:val="24"/>
                <w:szCs w:val="24"/>
              </w:rPr>
              <w:t>Transitional accommodation supplement</w:t>
            </w:r>
          </w:p>
        </w:tc>
        <w:tc>
          <w:tcPr>
            <w:tcW w:w="3686" w:type="dxa"/>
          </w:tcPr>
          <w:p w14:paraId="150A81E7" w14:textId="77777777" w:rsidR="000E59E7" w:rsidRPr="005074AA" w:rsidRDefault="000E59E7" w:rsidP="004B443A">
            <w:pPr>
              <w:rPr>
                <w:rFonts w:ascii="Times New Roman" w:hAnsi="Times New Roman"/>
                <w:iCs/>
                <w:sz w:val="24"/>
                <w:szCs w:val="24"/>
              </w:rPr>
            </w:pPr>
            <w:r w:rsidRPr="005074AA">
              <w:rPr>
                <w:rFonts w:ascii="Times New Roman" w:hAnsi="Times New Roman"/>
                <w:iCs/>
                <w:sz w:val="24"/>
                <w:szCs w:val="24"/>
              </w:rPr>
              <w:t>subsection 44-16(3)</w:t>
            </w:r>
          </w:p>
        </w:tc>
      </w:tr>
      <w:tr w:rsidR="000E59E7" w:rsidRPr="005074AA" w14:paraId="54C6B4F4" w14:textId="77777777" w:rsidTr="004B443A">
        <w:tc>
          <w:tcPr>
            <w:tcW w:w="4671" w:type="dxa"/>
          </w:tcPr>
          <w:p w14:paraId="09FC25C5" w14:textId="77777777" w:rsidR="000E59E7" w:rsidRPr="005074AA" w:rsidRDefault="000E59E7" w:rsidP="004B443A">
            <w:pPr>
              <w:rPr>
                <w:rFonts w:ascii="Times New Roman" w:hAnsi="Times New Roman"/>
                <w:iCs/>
                <w:sz w:val="24"/>
                <w:szCs w:val="24"/>
              </w:rPr>
            </w:pPr>
            <w:r w:rsidRPr="005074AA">
              <w:rPr>
                <w:rFonts w:ascii="Times New Roman" w:hAnsi="Times New Roman"/>
                <w:iCs/>
                <w:sz w:val="24"/>
                <w:szCs w:val="24"/>
              </w:rPr>
              <w:t>Pensioner supplement</w:t>
            </w:r>
          </w:p>
        </w:tc>
        <w:tc>
          <w:tcPr>
            <w:tcW w:w="3686" w:type="dxa"/>
          </w:tcPr>
          <w:p w14:paraId="29419A3C" w14:textId="37193C50" w:rsidR="000E59E7" w:rsidRPr="005074AA" w:rsidRDefault="000E59E7" w:rsidP="004B443A">
            <w:pPr>
              <w:rPr>
                <w:rFonts w:ascii="Times New Roman" w:hAnsi="Times New Roman"/>
                <w:iCs/>
                <w:sz w:val="24"/>
                <w:szCs w:val="24"/>
              </w:rPr>
            </w:pPr>
            <w:r w:rsidRPr="005074AA">
              <w:rPr>
                <w:rFonts w:ascii="Times New Roman" w:hAnsi="Times New Roman"/>
                <w:iCs/>
                <w:sz w:val="24"/>
                <w:szCs w:val="24"/>
              </w:rPr>
              <w:t>subsection</w:t>
            </w:r>
            <w:r w:rsidR="00171861" w:rsidRPr="005074AA">
              <w:rPr>
                <w:rFonts w:ascii="Times New Roman" w:hAnsi="Times New Roman"/>
                <w:iCs/>
                <w:sz w:val="24"/>
                <w:szCs w:val="24"/>
              </w:rPr>
              <w:t>s</w:t>
            </w:r>
            <w:r w:rsidRPr="005074AA">
              <w:rPr>
                <w:rFonts w:ascii="Times New Roman" w:hAnsi="Times New Roman"/>
                <w:iCs/>
                <w:sz w:val="24"/>
                <w:szCs w:val="24"/>
              </w:rPr>
              <w:t xml:space="preserve"> 44-28(7)</w:t>
            </w:r>
          </w:p>
        </w:tc>
      </w:tr>
    </w:tbl>
    <w:p w14:paraId="5B2D4AD5" w14:textId="41EBCCB6" w:rsidR="00876A0A" w:rsidRPr="005074AA" w:rsidRDefault="00876A0A" w:rsidP="00512B81">
      <w:pPr>
        <w:rPr>
          <w:bCs/>
          <w:szCs w:val="24"/>
        </w:rPr>
      </w:pPr>
    </w:p>
    <w:p w14:paraId="682F3462" w14:textId="5D8ACAD9" w:rsidR="00A906EA" w:rsidRPr="005074AA" w:rsidRDefault="007C7EBF" w:rsidP="00743B0B">
      <w:pPr>
        <w:keepNext/>
        <w:jc w:val="both"/>
        <w:rPr>
          <w:snapToGrid/>
          <w:lang w:val="en-AU"/>
        </w:rPr>
      </w:pPr>
      <w:r w:rsidRPr="005074AA">
        <w:t>Additionally, section 96</w:t>
      </w:r>
      <w:r w:rsidRPr="005074AA">
        <w:noBreakHyphen/>
        <w:t xml:space="preserve">1 of the Transitional Provisions Act allows the Minister to make </w:t>
      </w:r>
      <w:r w:rsidR="00305BA1" w:rsidRPr="005074AA">
        <w:t xml:space="preserve">the </w:t>
      </w:r>
      <w:r w:rsidRPr="005074AA">
        <w:t>Transitional Provisions Principles providing for matters required or permitted, or necessary or convenient, to carry out or give effect to the Transitional Provisions Act.</w:t>
      </w:r>
      <w:r w:rsidR="001378DB" w:rsidRPr="005074AA">
        <w:t xml:space="preserve"> </w:t>
      </w:r>
    </w:p>
    <w:p w14:paraId="48716A00" w14:textId="77777777" w:rsidR="007C7EBF" w:rsidRPr="005074AA" w:rsidRDefault="007C7EBF" w:rsidP="007C7EBF">
      <w:pPr>
        <w:jc w:val="both"/>
      </w:pPr>
    </w:p>
    <w:p w14:paraId="043A2097" w14:textId="4C3BB427" w:rsidR="00FA32AE" w:rsidRPr="005074AA" w:rsidRDefault="00FA32AE" w:rsidP="00FA32AE">
      <w:pPr>
        <w:tabs>
          <w:tab w:val="left" w:pos="720"/>
        </w:tabs>
        <w:jc w:val="both"/>
        <w:rPr>
          <w:b/>
          <w:szCs w:val="24"/>
          <w:lang w:val="en-AU"/>
        </w:rPr>
      </w:pPr>
      <w:r w:rsidRPr="005074AA">
        <w:rPr>
          <w:b/>
          <w:szCs w:val="24"/>
          <w:lang w:val="en-AU"/>
        </w:rPr>
        <w:t>Reliance on subsection 33(3) of the Acts Interpretation Act 1901</w:t>
      </w:r>
    </w:p>
    <w:p w14:paraId="508DD755" w14:textId="70EEE744" w:rsidR="007C7EBF" w:rsidRPr="005074AA" w:rsidRDefault="007C7EBF" w:rsidP="00512B81">
      <w:pPr>
        <w:rPr>
          <w:bCs/>
          <w:szCs w:val="24"/>
        </w:rPr>
      </w:pPr>
    </w:p>
    <w:p w14:paraId="5FFC2D45" w14:textId="5A93DBF8" w:rsidR="006535F0" w:rsidRPr="005074AA" w:rsidRDefault="009A32EA" w:rsidP="00043350">
      <w:pPr>
        <w:jc w:val="both"/>
        <w:rPr>
          <w:szCs w:val="24"/>
        </w:rPr>
      </w:pPr>
      <w:r w:rsidRPr="005074AA">
        <w:rPr>
          <w:szCs w:val="24"/>
        </w:rPr>
        <w:t>S</w:t>
      </w:r>
      <w:r w:rsidR="006535F0" w:rsidRPr="005074AA">
        <w:rPr>
          <w:szCs w:val="24"/>
        </w:rPr>
        <w:t xml:space="preserve">ubsection 33(3) of the </w:t>
      </w:r>
      <w:r w:rsidR="006535F0" w:rsidRPr="005074AA">
        <w:rPr>
          <w:i/>
          <w:szCs w:val="24"/>
        </w:rPr>
        <w:t>Acts Interpretation Act 1901</w:t>
      </w:r>
      <w:r w:rsidRPr="005074AA">
        <w:rPr>
          <w:szCs w:val="24"/>
        </w:rPr>
        <w:t xml:space="preserve"> provides that</w:t>
      </w:r>
      <w:r w:rsidR="006535F0" w:rsidRPr="005074AA">
        <w:rPr>
          <w:szCs w:val="24"/>
        </w:rPr>
        <w:t xml:space="preserve">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1689AEAE" w14:textId="30C8CB7B" w:rsidR="00A75AEB" w:rsidRPr="005074AA" w:rsidRDefault="00A75AEB" w:rsidP="00043350">
      <w:pPr>
        <w:jc w:val="both"/>
        <w:rPr>
          <w:szCs w:val="24"/>
        </w:rPr>
      </w:pPr>
    </w:p>
    <w:p w14:paraId="57804E0A" w14:textId="77BEBE11" w:rsidR="00A75AEB" w:rsidRPr="005074AA" w:rsidRDefault="00A75AEB" w:rsidP="00A75AEB">
      <w:pPr>
        <w:rPr>
          <w:b/>
          <w:szCs w:val="24"/>
        </w:rPr>
      </w:pPr>
      <w:r w:rsidRPr="005074AA">
        <w:rPr>
          <w:b/>
          <w:szCs w:val="24"/>
        </w:rPr>
        <w:t>Commencement</w:t>
      </w:r>
    </w:p>
    <w:p w14:paraId="6B8E8D6E" w14:textId="77777777" w:rsidR="00E5242F" w:rsidRPr="005074AA" w:rsidRDefault="00E5242F" w:rsidP="00A75AEB">
      <w:pPr>
        <w:rPr>
          <w:bCs/>
          <w:szCs w:val="24"/>
        </w:rPr>
      </w:pPr>
    </w:p>
    <w:p w14:paraId="703EB6F6" w14:textId="73152FB2" w:rsidR="00A75AEB" w:rsidRPr="005074AA" w:rsidRDefault="00A75AEB" w:rsidP="00A75AEB">
      <w:pPr>
        <w:rPr>
          <w:szCs w:val="24"/>
        </w:rPr>
      </w:pPr>
      <w:r w:rsidRPr="005074AA">
        <w:rPr>
          <w:szCs w:val="24"/>
        </w:rPr>
        <w:t xml:space="preserve">The Amending </w:t>
      </w:r>
      <w:r w:rsidR="00125252" w:rsidRPr="005074AA">
        <w:rPr>
          <w:szCs w:val="24"/>
        </w:rPr>
        <w:t xml:space="preserve">Instrument </w:t>
      </w:r>
      <w:r w:rsidRPr="005074AA">
        <w:rPr>
          <w:szCs w:val="24"/>
        </w:rPr>
        <w:t>commences on 20 </w:t>
      </w:r>
      <w:r w:rsidR="006B1003" w:rsidRPr="005074AA">
        <w:rPr>
          <w:szCs w:val="24"/>
        </w:rPr>
        <w:t>September</w:t>
      </w:r>
      <w:r w:rsidR="00F46C58" w:rsidRPr="005074AA">
        <w:rPr>
          <w:szCs w:val="24"/>
        </w:rPr>
        <w:t xml:space="preserve"> 202</w:t>
      </w:r>
      <w:r w:rsidR="00013119" w:rsidRPr="005074AA">
        <w:rPr>
          <w:szCs w:val="24"/>
        </w:rPr>
        <w:t>4</w:t>
      </w:r>
      <w:r w:rsidRPr="005074AA">
        <w:rPr>
          <w:szCs w:val="24"/>
        </w:rPr>
        <w:t>.</w:t>
      </w:r>
    </w:p>
    <w:p w14:paraId="68618D93" w14:textId="5D8F9191" w:rsidR="006535F0" w:rsidRPr="005074AA" w:rsidRDefault="006535F0" w:rsidP="0085346D">
      <w:pPr>
        <w:rPr>
          <w:szCs w:val="24"/>
        </w:rPr>
      </w:pPr>
    </w:p>
    <w:p w14:paraId="0181349F" w14:textId="15EB33A4" w:rsidR="0085346D" w:rsidRPr="005074AA" w:rsidRDefault="0085346D" w:rsidP="00043350">
      <w:pPr>
        <w:tabs>
          <w:tab w:val="left" w:pos="720"/>
        </w:tabs>
        <w:jc w:val="both"/>
        <w:rPr>
          <w:b/>
          <w:szCs w:val="24"/>
        </w:rPr>
      </w:pPr>
      <w:r w:rsidRPr="005074AA">
        <w:rPr>
          <w:b/>
          <w:szCs w:val="24"/>
        </w:rPr>
        <w:t>Consultation</w:t>
      </w:r>
    </w:p>
    <w:p w14:paraId="7B28DFA9" w14:textId="77777777" w:rsidR="00E5242F" w:rsidRPr="005074AA" w:rsidRDefault="00E5242F" w:rsidP="00043350">
      <w:pPr>
        <w:tabs>
          <w:tab w:val="left" w:pos="720"/>
        </w:tabs>
        <w:jc w:val="both"/>
        <w:rPr>
          <w:bCs/>
          <w:szCs w:val="24"/>
        </w:rPr>
      </w:pPr>
    </w:p>
    <w:p w14:paraId="54CC60AC" w14:textId="1BF10548" w:rsidR="00043350" w:rsidRPr="005074AA" w:rsidRDefault="00043350" w:rsidP="00043350">
      <w:pPr>
        <w:jc w:val="both"/>
      </w:pPr>
      <w:r w:rsidRPr="005074AA">
        <w:rPr>
          <w:snapToGrid/>
          <w:color w:val="000000"/>
          <w:szCs w:val="24"/>
          <w:lang w:val="en-AU" w:eastAsia="en-AU"/>
        </w:rPr>
        <w:t>Routine indexation of supplements</w:t>
      </w:r>
      <w:r w:rsidR="004D272D" w:rsidRPr="005074AA">
        <w:rPr>
          <w:snapToGrid/>
          <w:color w:val="000000"/>
          <w:szCs w:val="24"/>
          <w:lang w:val="en-AU" w:eastAsia="en-AU"/>
        </w:rPr>
        <w:t xml:space="preserve">, rates and thresholds </w:t>
      </w:r>
      <w:r w:rsidRPr="005074AA">
        <w:rPr>
          <w:snapToGrid/>
          <w:color w:val="000000"/>
          <w:szCs w:val="24"/>
          <w:lang w:val="en-AU" w:eastAsia="en-AU"/>
        </w:rPr>
        <w:t xml:space="preserve">in this </w:t>
      </w:r>
      <w:r w:rsidR="00125252" w:rsidRPr="005074AA">
        <w:rPr>
          <w:snapToGrid/>
          <w:color w:val="000000"/>
          <w:szCs w:val="24"/>
          <w:lang w:val="en-AU" w:eastAsia="en-AU"/>
        </w:rPr>
        <w:t xml:space="preserve">instrument </w:t>
      </w:r>
      <w:r w:rsidR="004D272D" w:rsidRPr="005074AA">
        <w:rPr>
          <w:snapToGrid/>
          <w:color w:val="000000"/>
          <w:szCs w:val="24"/>
          <w:lang w:val="en-AU" w:eastAsia="en-AU"/>
        </w:rPr>
        <w:t>are</w:t>
      </w:r>
      <w:r w:rsidRPr="005074AA">
        <w:rPr>
          <w:snapToGrid/>
          <w:color w:val="000000"/>
          <w:szCs w:val="24"/>
          <w:lang w:val="en-AU" w:eastAsia="en-AU"/>
        </w:rPr>
        <w:t xml:space="preserve"> calculated </w:t>
      </w:r>
      <w:r w:rsidR="001C69CF" w:rsidRPr="005074AA">
        <w:rPr>
          <w:snapToGrid/>
          <w:color w:val="000000"/>
          <w:szCs w:val="24"/>
          <w:lang w:val="en-AU" w:eastAsia="en-AU"/>
        </w:rPr>
        <w:t>using</w:t>
      </w:r>
      <w:r w:rsidRPr="005074AA">
        <w:rPr>
          <w:snapToGrid/>
          <w:color w:val="000000"/>
          <w:szCs w:val="24"/>
          <w:lang w:val="en-AU" w:eastAsia="en-AU"/>
        </w:rPr>
        <w:t xml:space="preserve"> a well</w:t>
      </w:r>
      <w:r w:rsidR="0039020C" w:rsidRPr="005074AA">
        <w:rPr>
          <w:snapToGrid/>
          <w:color w:val="000000"/>
          <w:szCs w:val="24"/>
          <w:lang w:val="en-AU" w:eastAsia="en-AU"/>
        </w:rPr>
        <w:noBreakHyphen/>
      </w:r>
      <w:r w:rsidRPr="005074AA">
        <w:rPr>
          <w:snapToGrid/>
          <w:color w:val="000000"/>
          <w:szCs w:val="24"/>
          <w:lang w:val="en-AU" w:eastAsia="en-AU"/>
        </w:rPr>
        <w:t xml:space="preserve">established formula based on the CPI as a measure of the movements in the non-labour </w:t>
      </w:r>
      <w:r w:rsidRPr="005074AA">
        <w:rPr>
          <w:snapToGrid/>
          <w:color w:val="000000"/>
          <w:szCs w:val="24"/>
          <w:lang w:val="en-AU" w:eastAsia="en-AU"/>
        </w:rPr>
        <w:lastRenderedPageBreak/>
        <w:t xml:space="preserve">costs of providers. </w:t>
      </w:r>
      <w:r w:rsidR="00422F15" w:rsidRPr="005074AA">
        <w:rPr>
          <w:color w:val="000000"/>
          <w:shd w:val="clear" w:color="auto" w:fill="FFFFFF"/>
        </w:rPr>
        <w:t xml:space="preserve">Accordingly, no specific consultation was undertaken with respect to the amounts to which routine indexation has been applied in this Amending </w:t>
      </w:r>
      <w:r w:rsidR="00125252" w:rsidRPr="005074AA">
        <w:rPr>
          <w:color w:val="000000"/>
          <w:shd w:val="clear" w:color="auto" w:fill="FFFFFF"/>
        </w:rPr>
        <w:t>Instrument</w:t>
      </w:r>
      <w:r w:rsidRPr="005074AA">
        <w:rPr>
          <w:snapToGrid/>
          <w:color w:val="000000"/>
          <w:szCs w:val="24"/>
          <w:lang w:val="en-AU" w:eastAsia="en-AU"/>
        </w:rPr>
        <w:t xml:space="preserve">. </w:t>
      </w:r>
    </w:p>
    <w:p w14:paraId="3FA58712" w14:textId="77777777" w:rsidR="00352775" w:rsidRPr="005074AA" w:rsidRDefault="00352775" w:rsidP="00AD5191">
      <w:pPr>
        <w:jc w:val="both"/>
        <w:rPr>
          <w:snapToGrid/>
          <w:color w:val="000000"/>
          <w:szCs w:val="24"/>
          <w:lang w:val="en-AU" w:eastAsia="en-AU"/>
        </w:rPr>
      </w:pPr>
    </w:p>
    <w:p w14:paraId="4C3B81A6" w14:textId="6C29BCC1" w:rsidR="00043350" w:rsidRPr="005074AA" w:rsidRDefault="00043350" w:rsidP="00AD5191">
      <w:pPr>
        <w:jc w:val="both"/>
      </w:pPr>
      <w:r w:rsidRPr="005074AA">
        <w:t>Inform</w:t>
      </w:r>
      <w:r w:rsidR="00792338" w:rsidRPr="005074AA">
        <w:t>ation about the increase in rates and</w:t>
      </w:r>
      <w:r w:rsidR="009A0C8E" w:rsidRPr="005074AA">
        <w:t xml:space="preserve"> relevant</w:t>
      </w:r>
      <w:r w:rsidR="00792338" w:rsidRPr="005074AA">
        <w:t xml:space="preserve"> threshold</w:t>
      </w:r>
      <w:r w:rsidR="009A0C8E" w:rsidRPr="005074AA">
        <w:t>s</w:t>
      </w:r>
      <w:r w:rsidRPr="005074AA">
        <w:t xml:space="preserve"> from 20</w:t>
      </w:r>
      <w:r w:rsidR="00792338" w:rsidRPr="005074AA">
        <w:t> </w:t>
      </w:r>
      <w:r w:rsidR="006B1003" w:rsidRPr="005074AA">
        <w:t>September</w:t>
      </w:r>
      <w:r w:rsidR="00792338" w:rsidRPr="005074AA">
        <w:t> </w:t>
      </w:r>
      <w:r w:rsidR="00E52181" w:rsidRPr="005074AA">
        <w:t>202</w:t>
      </w:r>
      <w:r w:rsidR="00673AF2" w:rsidRPr="005074AA">
        <w:t>4</w:t>
      </w:r>
      <w:r w:rsidRPr="005074AA">
        <w:t xml:space="preserve"> will be disseminated </w:t>
      </w:r>
      <w:r w:rsidR="007649AA" w:rsidRPr="005074AA">
        <w:t>by the Department of Health</w:t>
      </w:r>
      <w:r w:rsidR="00D32527" w:rsidRPr="005074AA">
        <w:t xml:space="preserve"> and Aged Care </w:t>
      </w:r>
      <w:r w:rsidRPr="005074AA">
        <w:t>via electronic media to approved providers.</w:t>
      </w:r>
    </w:p>
    <w:p w14:paraId="43FB76AF" w14:textId="5A9ADFA3" w:rsidR="005571B1" w:rsidRPr="005074AA" w:rsidRDefault="005571B1" w:rsidP="00AD5191">
      <w:pPr>
        <w:jc w:val="both"/>
      </w:pPr>
    </w:p>
    <w:p w14:paraId="4E068E9F" w14:textId="4790AC2A" w:rsidR="00734632" w:rsidRPr="005074AA" w:rsidRDefault="00734632" w:rsidP="00876A0A">
      <w:pPr>
        <w:jc w:val="both"/>
        <w:rPr>
          <w:b/>
          <w:bCs/>
        </w:rPr>
      </w:pPr>
      <w:r w:rsidRPr="005074AA">
        <w:rPr>
          <w:b/>
          <w:bCs/>
        </w:rPr>
        <w:t>General</w:t>
      </w:r>
    </w:p>
    <w:p w14:paraId="4C00A78B" w14:textId="77777777" w:rsidR="00E5242F" w:rsidRPr="005074AA" w:rsidRDefault="00E5242F" w:rsidP="00876A0A">
      <w:pPr>
        <w:jc w:val="both"/>
      </w:pPr>
    </w:p>
    <w:p w14:paraId="65118BA5" w14:textId="6040683B" w:rsidR="00734632" w:rsidRPr="005074AA" w:rsidRDefault="00E5242F" w:rsidP="00734632">
      <w:pPr>
        <w:tabs>
          <w:tab w:val="left" w:pos="720"/>
        </w:tabs>
        <w:rPr>
          <w:i/>
          <w:color w:val="000000"/>
          <w:szCs w:val="24"/>
          <w:lang w:val="en-AU"/>
        </w:rPr>
      </w:pPr>
      <w:r w:rsidRPr="005074AA">
        <w:rPr>
          <w:color w:val="000000"/>
          <w:szCs w:val="24"/>
          <w:lang w:val="en-AU"/>
        </w:rPr>
        <w:t>This instrument</w:t>
      </w:r>
      <w:r w:rsidR="00734632" w:rsidRPr="005074AA">
        <w:rPr>
          <w:color w:val="000000"/>
          <w:szCs w:val="24"/>
          <w:lang w:val="en-AU"/>
        </w:rPr>
        <w:t xml:space="preserve"> is a legislative instrument for the purposes of the </w:t>
      </w:r>
      <w:r w:rsidR="00734632" w:rsidRPr="005074AA">
        <w:rPr>
          <w:i/>
          <w:color w:val="000000"/>
          <w:szCs w:val="24"/>
          <w:lang w:val="en-AU"/>
        </w:rPr>
        <w:t>Legislation Act 2003.</w:t>
      </w:r>
    </w:p>
    <w:p w14:paraId="1E5BCC02" w14:textId="77777777" w:rsidR="00734632" w:rsidRPr="005074AA" w:rsidRDefault="00734632" w:rsidP="00876A0A">
      <w:pPr>
        <w:jc w:val="both"/>
      </w:pPr>
    </w:p>
    <w:p w14:paraId="76790C02" w14:textId="70443CFC" w:rsidR="00EF3C31" w:rsidRPr="005074AA" w:rsidRDefault="00EF3C31" w:rsidP="00EF3C31">
      <w:pPr>
        <w:autoSpaceDE w:val="0"/>
        <w:autoSpaceDN w:val="0"/>
        <w:adjustRightInd w:val="0"/>
        <w:rPr>
          <w:snapToGrid/>
          <w:color w:val="000000"/>
          <w:szCs w:val="24"/>
          <w:lang w:val="en-AU"/>
        </w:rPr>
      </w:pPr>
      <w:r w:rsidRPr="005074AA">
        <w:rPr>
          <w:color w:val="000000"/>
          <w:szCs w:val="24"/>
        </w:rPr>
        <w:t xml:space="preserve">Details of this instrument are set out in </w:t>
      </w:r>
      <w:r w:rsidRPr="005074AA">
        <w:rPr>
          <w:b/>
          <w:bCs/>
          <w:color w:val="000000"/>
          <w:szCs w:val="24"/>
        </w:rPr>
        <w:t>Attachment A</w:t>
      </w:r>
      <w:r w:rsidRPr="005074AA">
        <w:rPr>
          <w:color w:val="000000"/>
          <w:szCs w:val="24"/>
        </w:rPr>
        <w:t>.</w:t>
      </w:r>
    </w:p>
    <w:p w14:paraId="1CCE9AD8" w14:textId="77777777" w:rsidR="00EF3C31" w:rsidRPr="005074AA" w:rsidRDefault="00EF3C31" w:rsidP="00EF3C31">
      <w:pPr>
        <w:autoSpaceDE w:val="0"/>
        <w:autoSpaceDN w:val="0"/>
        <w:adjustRightInd w:val="0"/>
        <w:rPr>
          <w:color w:val="000000"/>
          <w:szCs w:val="24"/>
        </w:rPr>
      </w:pPr>
    </w:p>
    <w:p w14:paraId="3D171C85" w14:textId="4036380E" w:rsidR="00EF3C31" w:rsidRPr="005074AA" w:rsidRDefault="00EF3C31" w:rsidP="00EF3C31">
      <w:pPr>
        <w:autoSpaceDE w:val="0"/>
        <w:autoSpaceDN w:val="0"/>
        <w:adjustRightInd w:val="0"/>
        <w:rPr>
          <w:color w:val="000000"/>
          <w:szCs w:val="24"/>
        </w:rPr>
      </w:pPr>
      <w:r w:rsidRPr="005074AA">
        <w:rPr>
          <w:color w:val="000000"/>
          <w:szCs w:val="24"/>
        </w:rPr>
        <w:t xml:space="preserve">This instrument is compatible with the human rights and freedoms </w:t>
      </w:r>
      <w:proofErr w:type="spellStart"/>
      <w:r w:rsidRPr="005074AA">
        <w:rPr>
          <w:color w:val="000000"/>
          <w:szCs w:val="24"/>
        </w:rPr>
        <w:t>recognised</w:t>
      </w:r>
      <w:proofErr w:type="spellEnd"/>
      <w:r w:rsidRPr="005074AA">
        <w:rPr>
          <w:color w:val="000000"/>
          <w:szCs w:val="24"/>
        </w:rPr>
        <w:t xml:space="preserve"> or declared under section 3 of the </w:t>
      </w:r>
      <w:r w:rsidRPr="005074AA">
        <w:rPr>
          <w:i/>
          <w:iCs/>
          <w:color w:val="000000"/>
          <w:szCs w:val="24"/>
        </w:rPr>
        <w:t>Human Rights (Parliamentary Scrutiny) Act 2011</w:t>
      </w:r>
      <w:r w:rsidRPr="005074AA">
        <w:rPr>
          <w:color w:val="000000"/>
          <w:szCs w:val="24"/>
        </w:rPr>
        <w:t xml:space="preserve">. A full statement of compatibility is set out in </w:t>
      </w:r>
      <w:r w:rsidRPr="005074AA">
        <w:rPr>
          <w:b/>
          <w:bCs/>
          <w:color w:val="000000"/>
          <w:szCs w:val="24"/>
        </w:rPr>
        <w:t>Attachment B</w:t>
      </w:r>
      <w:r w:rsidRPr="005074AA">
        <w:rPr>
          <w:color w:val="000000"/>
          <w:szCs w:val="24"/>
        </w:rPr>
        <w:t>.</w:t>
      </w:r>
    </w:p>
    <w:p w14:paraId="24CCF999" w14:textId="77777777" w:rsidR="00876A0A" w:rsidRPr="005074AA" w:rsidRDefault="00876A0A" w:rsidP="00AD5191">
      <w:pPr>
        <w:jc w:val="both"/>
      </w:pPr>
    </w:p>
    <w:p w14:paraId="21E99B6B" w14:textId="20EDD712" w:rsidR="00DC58AB" w:rsidRPr="005074AA" w:rsidRDefault="00AF1F55" w:rsidP="00736B3D">
      <w:pPr>
        <w:widowControl/>
        <w:spacing w:after="200" w:line="276" w:lineRule="auto"/>
        <w:jc w:val="right"/>
        <w:rPr>
          <w:b/>
          <w:szCs w:val="24"/>
        </w:rPr>
      </w:pPr>
      <w:r w:rsidRPr="005074AA">
        <w:rPr>
          <w:b/>
          <w:szCs w:val="24"/>
        </w:rPr>
        <w:br w:type="page"/>
      </w:r>
      <w:r w:rsidR="00E27B46" w:rsidRPr="005074AA">
        <w:rPr>
          <w:b/>
          <w:szCs w:val="24"/>
        </w:rPr>
        <w:lastRenderedPageBreak/>
        <w:t>ATTACHMENT</w:t>
      </w:r>
      <w:r w:rsidR="00B64D78" w:rsidRPr="005074AA">
        <w:rPr>
          <w:b/>
          <w:szCs w:val="24"/>
        </w:rPr>
        <w:t xml:space="preserve"> A</w:t>
      </w:r>
    </w:p>
    <w:p w14:paraId="01D0A1D1" w14:textId="32B5AF8E" w:rsidR="004D272D" w:rsidRPr="005074AA" w:rsidRDefault="0004356A" w:rsidP="000B1642">
      <w:pPr>
        <w:tabs>
          <w:tab w:val="left" w:pos="720"/>
        </w:tabs>
        <w:rPr>
          <w:b/>
          <w:iCs/>
          <w:szCs w:val="24"/>
          <w:lang w:val="en-AU"/>
        </w:rPr>
      </w:pPr>
      <w:r w:rsidRPr="005074AA">
        <w:rPr>
          <w:b/>
          <w:iCs/>
          <w:szCs w:val="24"/>
          <w:u w:val="single"/>
        </w:rPr>
        <w:t xml:space="preserve">Details of the </w:t>
      </w:r>
      <w:r w:rsidR="004D272D" w:rsidRPr="005074AA">
        <w:rPr>
          <w:b/>
          <w:iCs/>
          <w:szCs w:val="24"/>
          <w:u w:val="single"/>
          <w:lang w:val="en-AU"/>
        </w:rPr>
        <w:t xml:space="preserve">Aged Care </w:t>
      </w:r>
      <w:r w:rsidR="005C1259" w:rsidRPr="005074AA">
        <w:rPr>
          <w:b/>
          <w:iCs/>
          <w:szCs w:val="24"/>
          <w:u w:val="single"/>
          <w:lang w:val="en-AU"/>
        </w:rPr>
        <w:t xml:space="preserve">Legislation </w:t>
      </w:r>
      <w:r w:rsidR="004D272D" w:rsidRPr="005074AA">
        <w:rPr>
          <w:b/>
          <w:iCs/>
          <w:szCs w:val="24"/>
          <w:u w:val="single"/>
          <w:lang w:val="en-AU"/>
        </w:rPr>
        <w:t>Amendment (</w:t>
      </w:r>
      <w:r w:rsidR="006B1003" w:rsidRPr="005074AA">
        <w:rPr>
          <w:b/>
          <w:iCs/>
          <w:szCs w:val="24"/>
          <w:u w:val="single"/>
          <w:lang w:val="en-AU"/>
        </w:rPr>
        <w:t>September</w:t>
      </w:r>
      <w:r w:rsidR="004D272D" w:rsidRPr="005074AA">
        <w:rPr>
          <w:b/>
          <w:iCs/>
          <w:szCs w:val="24"/>
          <w:u w:val="single"/>
          <w:lang w:val="en-AU"/>
        </w:rPr>
        <w:t xml:space="preserve"> Indexation) </w:t>
      </w:r>
      <w:r w:rsidR="002526C0" w:rsidRPr="005074AA">
        <w:rPr>
          <w:b/>
          <w:iCs/>
          <w:szCs w:val="24"/>
          <w:u w:val="single"/>
          <w:lang w:val="en-AU"/>
        </w:rPr>
        <w:t>Instrument</w:t>
      </w:r>
      <w:r w:rsidR="004D272D" w:rsidRPr="005074AA">
        <w:rPr>
          <w:b/>
          <w:iCs/>
          <w:szCs w:val="24"/>
          <w:u w:val="single"/>
          <w:lang w:val="en-AU"/>
        </w:rPr>
        <w:t xml:space="preserve"> 202</w:t>
      </w:r>
      <w:r w:rsidR="00DA25CB" w:rsidRPr="005074AA">
        <w:rPr>
          <w:b/>
          <w:iCs/>
          <w:szCs w:val="24"/>
          <w:u w:val="single"/>
          <w:lang w:val="en-AU"/>
        </w:rPr>
        <w:t>4</w:t>
      </w:r>
    </w:p>
    <w:p w14:paraId="19FC10BF" w14:textId="3BDC82C7" w:rsidR="0004356A" w:rsidRPr="005074AA" w:rsidRDefault="0004356A" w:rsidP="007B739D">
      <w:pPr>
        <w:jc w:val="both"/>
        <w:rPr>
          <w:bCs/>
          <w:iCs/>
          <w:szCs w:val="24"/>
          <w:u w:val="single"/>
        </w:rPr>
      </w:pPr>
    </w:p>
    <w:p w14:paraId="2D025EE3" w14:textId="77777777" w:rsidR="00F663E8" w:rsidRPr="005074AA" w:rsidRDefault="00F663E8" w:rsidP="007B739D">
      <w:pPr>
        <w:jc w:val="both"/>
        <w:rPr>
          <w:b/>
          <w:szCs w:val="24"/>
        </w:rPr>
      </w:pPr>
      <w:r w:rsidRPr="005074AA">
        <w:rPr>
          <w:b/>
          <w:szCs w:val="24"/>
        </w:rPr>
        <w:t xml:space="preserve">Section 1 – Name </w:t>
      </w:r>
    </w:p>
    <w:p w14:paraId="094EF2E2" w14:textId="0B6DA955" w:rsidR="0004356A" w:rsidRPr="005074AA" w:rsidRDefault="002702A8" w:rsidP="007B739D">
      <w:pPr>
        <w:jc w:val="both"/>
        <w:rPr>
          <w:szCs w:val="24"/>
        </w:rPr>
      </w:pPr>
      <w:r w:rsidRPr="005074AA">
        <w:rPr>
          <w:bCs/>
          <w:szCs w:val="24"/>
        </w:rPr>
        <w:t>Section</w:t>
      </w:r>
      <w:r w:rsidR="0004356A" w:rsidRPr="005074AA">
        <w:rPr>
          <w:bCs/>
          <w:szCs w:val="24"/>
        </w:rPr>
        <w:t xml:space="preserve"> 1</w:t>
      </w:r>
      <w:r w:rsidR="0004356A" w:rsidRPr="005074AA">
        <w:rPr>
          <w:szCs w:val="24"/>
        </w:rPr>
        <w:t xml:space="preserve"> </w:t>
      </w:r>
      <w:r w:rsidR="00C8442D" w:rsidRPr="005074AA">
        <w:rPr>
          <w:szCs w:val="24"/>
        </w:rPr>
        <w:t xml:space="preserve">provides </w:t>
      </w:r>
      <w:r w:rsidR="0004356A" w:rsidRPr="005074AA">
        <w:rPr>
          <w:szCs w:val="24"/>
        </w:rPr>
        <w:t xml:space="preserve">that the name of the </w:t>
      </w:r>
      <w:r w:rsidR="00D672E5" w:rsidRPr="005074AA">
        <w:rPr>
          <w:szCs w:val="24"/>
        </w:rPr>
        <w:t xml:space="preserve">instrument </w:t>
      </w:r>
      <w:r w:rsidR="0004356A" w:rsidRPr="005074AA">
        <w:rPr>
          <w:szCs w:val="24"/>
        </w:rPr>
        <w:t xml:space="preserve">is the </w:t>
      </w:r>
      <w:r w:rsidR="004D272D" w:rsidRPr="005074AA">
        <w:rPr>
          <w:i/>
          <w:szCs w:val="24"/>
        </w:rPr>
        <w:t>Aged Care Legislati</w:t>
      </w:r>
      <w:r w:rsidR="005C1259" w:rsidRPr="005074AA">
        <w:rPr>
          <w:i/>
          <w:szCs w:val="24"/>
        </w:rPr>
        <w:t>on</w:t>
      </w:r>
      <w:r w:rsidR="004D272D" w:rsidRPr="005074AA">
        <w:rPr>
          <w:i/>
          <w:szCs w:val="24"/>
        </w:rPr>
        <w:t xml:space="preserve"> Amendment (</w:t>
      </w:r>
      <w:r w:rsidR="006B1003" w:rsidRPr="005074AA">
        <w:rPr>
          <w:i/>
          <w:szCs w:val="24"/>
        </w:rPr>
        <w:t>September</w:t>
      </w:r>
      <w:r w:rsidR="004D272D" w:rsidRPr="005074AA">
        <w:rPr>
          <w:i/>
          <w:szCs w:val="24"/>
        </w:rPr>
        <w:t xml:space="preserve"> Indexation) </w:t>
      </w:r>
      <w:r w:rsidR="002526C0" w:rsidRPr="005074AA">
        <w:rPr>
          <w:i/>
          <w:szCs w:val="24"/>
        </w:rPr>
        <w:t>Instrument</w:t>
      </w:r>
      <w:r w:rsidR="004D272D" w:rsidRPr="005074AA">
        <w:rPr>
          <w:i/>
          <w:szCs w:val="24"/>
        </w:rPr>
        <w:t xml:space="preserve"> 202</w:t>
      </w:r>
      <w:r w:rsidR="00DA25CB" w:rsidRPr="005074AA">
        <w:rPr>
          <w:i/>
          <w:szCs w:val="24"/>
        </w:rPr>
        <w:t>4</w:t>
      </w:r>
      <w:r w:rsidR="004B2E65" w:rsidRPr="005074AA">
        <w:rPr>
          <w:i/>
          <w:szCs w:val="24"/>
        </w:rPr>
        <w:t>.</w:t>
      </w:r>
    </w:p>
    <w:p w14:paraId="34C88B03" w14:textId="77777777" w:rsidR="0004356A" w:rsidRPr="005074AA" w:rsidRDefault="0004356A" w:rsidP="007B739D">
      <w:pPr>
        <w:jc w:val="both"/>
        <w:rPr>
          <w:bCs/>
          <w:szCs w:val="24"/>
        </w:rPr>
      </w:pPr>
    </w:p>
    <w:p w14:paraId="0CC0151C" w14:textId="72F0F96F" w:rsidR="00F663E8" w:rsidRPr="005074AA" w:rsidRDefault="00F663E8" w:rsidP="007B739D">
      <w:pPr>
        <w:jc w:val="both"/>
        <w:rPr>
          <w:b/>
        </w:rPr>
      </w:pPr>
      <w:r w:rsidRPr="005074AA">
        <w:rPr>
          <w:b/>
        </w:rPr>
        <w:t>Section 2 – Commencement</w:t>
      </w:r>
    </w:p>
    <w:p w14:paraId="1E8F0D8E" w14:textId="42047CA4" w:rsidR="0004356A" w:rsidRPr="005074AA" w:rsidRDefault="00876A0A" w:rsidP="007B739D">
      <w:pPr>
        <w:jc w:val="both"/>
        <w:rPr>
          <w:b/>
          <w:szCs w:val="24"/>
        </w:rPr>
      </w:pPr>
      <w:r w:rsidRPr="005074AA">
        <w:rPr>
          <w:bCs/>
        </w:rPr>
        <w:t>Section 2</w:t>
      </w:r>
      <w:r w:rsidRPr="005074AA">
        <w:t xml:space="preserve"> </w:t>
      </w:r>
      <w:r w:rsidR="00C8442D" w:rsidRPr="005074AA">
        <w:t xml:space="preserve">provides </w:t>
      </w:r>
      <w:r w:rsidRPr="005074AA">
        <w:t xml:space="preserve">that the instrument commences on 20 </w:t>
      </w:r>
      <w:r w:rsidR="006B1003" w:rsidRPr="005074AA">
        <w:t>September</w:t>
      </w:r>
      <w:r w:rsidR="00F46C58" w:rsidRPr="005074AA">
        <w:t xml:space="preserve"> 202</w:t>
      </w:r>
      <w:r w:rsidR="00A955BB" w:rsidRPr="005074AA">
        <w:t>4</w:t>
      </w:r>
      <w:r w:rsidRPr="005074AA">
        <w:t xml:space="preserve">. </w:t>
      </w:r>
    </w:p>
    <w:p w14:paraId="35FB00ED" w14:textId="77777777" w:rsidR="00876A0A" w:rsidRPr="005074AA" w:rsidRDefault="00876A0A" w:rsidP="007B739D">
      <w:pPr>
        <w:jc w:val="both"/>
        <w:rPr>
          <w:bCs/>
          <w:szCs w:val="24"/>
        </w:rPr>
      </w:pPr>
    </w:p>
    <w:p w14:paraId="6B347259" w14:textId="77777777" w:rsidR="00F663E8" w:rsidRPr="005074AA" w:rsidRDefault="00F663E8" w:rsidP="007B739D">
      <w:pPr>
        <w:jc w:val="both"/>
        <w:rPr>
          <w:b/>
          <w:szCs w:val="24"/>
        </w:rPr>
      </w:pPr>
      <w:r w:rsidRPr="005074AA">
        <w:rPr>
          <w:b/>
          <w:szCs w:val="24"/>
        </w:rPr>
        <w:t xml:space="preserve">Section 3 – Authority </w:t>
      </w:r>
    </w:p>
    <w:p w14:paraId="7107CF42" w14:textId="24343B3D" w:rsidR="0004356A" w:rsidRPr="005074AA" w:rsidRDefault="002702A8" w:rsidP="007B739D">
      <w:pPr>
        <w:jc w:val="both"/>
        <w:rPr>
          <w:szCs w:val="24"/>
        </w:rPr>
      </w:pPr>
      <w:r w:rsidRPr="005074AA">
        <w:rPr>
          <w:bCs/>
          <w:szCs w:val="24"/>
        </w:rPr>
        <w:t>Section</w:t>
      </w:r>
      <w:r w:rsidR="0004356A" w:rsidRPr="005074AA">
        <w:rPr>
          <w:bCs/>
          <w:szCs w:val="24"/>
        </w:rPr>
        <w:t xml:space="preserve"> 3</w:t>
      </w:r>
      <w:r w:rsidR="0004356A" w:rsidRPr="005074AA">
        <w:rPr>
          <w:b/>
          <w:szCs w:val="24"/>
        </w:rPr>
        <w:t xml:space="preserve"> </w:t>
      </w:r>
      <w:r w:rsidR="0004356A" w:rsidRPr="005074AA">
        <w:rPr>
          <w:szCs w:val="24"/>
        </w:rPr>
        <w:t xml:space="preserve">provides that the </w:t>
      </w:r>
      <w:r w:rsidR="00D672E5" w:rsidRPr="005074AA">
        <w:rPr>
          <w:szCs w:val="24"/>
        </w:rPr>
        <w:t xml:space="preserve">instrument </w:t>
      </w:r>
      <w:r w:rsidR="00375C3D" w:rsidRPr="005074AA">
        <w:t xml:space="preserve">is </w:t>
      </w:r>
      <w:r w:rsidR="00E5242F" w:rsidRPr="005074AA">
        <w:t xml:space="preserve">made under </w:t>
      </w:r>
      <w:r w:rsidR="00FF7E57" w:rsidRPr="005074AA">
        <w:t>sections 44-5, 44-21, 44-22, 44-26B, 44</w:t>
      </w:r>
      <w:r w:rsidR="00E32E4B" w:rsidRPr="005074AA">
        <w:noBreakHyphen/>
        <w:t>2</w:t>
      </w:r>
      <w:r w:rsidR="00FF7E57" w:rsidRPr="005074AA">
        <w:t>7, 44-28, 48-7 and 52D of</w:t>
      </w:r>
      <w:r w:rsidR="00FF7E57" w:rsidRPr="005074AA">
        <w:rPr>
          <w:i/>
          <w:iCs/>
        </w:rPr>
        <w:t xml:space="preserve"> </w:t>
      </w:r>
      <w:r w:rsidR="00FF7E57" w:rsidRPr="005074AA">
        <w:t xml:space="preserve">the </w:t>
      </w:r>
      <w:r w:rsidR="002526C0" w:rsidRPr="005074AA">
        <w:rPr>
          <w:i/>
          <w:iCs/>
        </w:rPr>
        <w:t xml:space="preserve">Aged Care Act 1997 </w:t>
      </w:r>
      <w:r w:rsidR="002526C0" w:rsidRPr="005074AA">
        <w:t xml:space="preserve">and </w:t>
      </w:r>
      <w:r w:rsidR="0063504E" w:rsidRPr="005074AA">
        <w:t>sections 44-5A, 44-6, 44-16</w:t>
      </w:r>
      <w:r w:rsidR="00E32E4B" w:rsidRPr="005074AA">
        <w:t xml:space="preserve">, </w:t>
      </w:r>
      <w:r w:rsidR="0063504E" w:rsidRPr="005074AA">
        <w:t>44-28</w:t>
      </w:r>
      <w:r w:rsidR="00E32E4B" w:rsidRPr="005074AA">
        <w:t xml:space="preserve"> and section 96-1</w:t>
      </w:r>
      <w:r w:rsidR="0063504E" w:rsidRPr="005074AA">
        <w:t xml:space="preserve"> of </w:t>
      </w:r>
      <w:r w:rsidR="004D272D" w:rsidRPr="005074AA">
        <w:t xml:space="preserve">the </w:t>
      </w:r>
      <w:r w:rsidR="004D272D" w:rsidRPr="005074AA">
        <w:rPr>
          <w:i/>
          <w:iCs/>
        </w:rPr>
        <w:t>Aged Care (Transitional Provisions) Act 1997</w:t>
      </w:r>
      <w:r w:rsidR="0037631E" w:rsidRPr="005074AA">
        <w:t>.</w:t>
      </w:r>
    </w:p>
    <w:p w14:paraId="53A70C8A" w14:textId="77777777" w:rsidR="00AE329C" w:rsidRPr="005074AA" w:rsidRDefault="00AE329C" w:rsidP="007B739D">
      <w:pPr>
        <w:jc w:val="both"/>
        <w:rPr>
          <w:bCs/>
        </w:rPr>
      </w:pPr>
    </w:p>
    <w:p w14:paraId="063F8862" w14:textId="77777777" w:rsidR="00F663E8" w:rsidRPr="005074AA" w:rsidRDefault="00F663E8" w:rsidP="007B739D">
      <w:pPr>
        <w:jc w:val="both"/>
        <w:rPr>
          <w:b/>
        </w:rPr>
      </w:pPr>
      <w:r w:rsidRPr="005074AA">
        <w:rPr>
          <w:b/>
        </w:rPr>
        <w:t xml:space="preserve">Section 4 – Schedules </w:t>
      </w:r>
    </w:p>
    <w:p w14:paraId="6668D963" w14:textId="011FDFB4" w:rsidR="006F7912" w:rsidRPr="005074AA" w:rsidRDefault="002702A8" w:rsidP="007B739D">
      <w:pPr>
        <w:jc w:val="both"/>
        <w:rPr>
          <w:b/>
          <w:szCs w:val="24"/>
        </w:rPr>
      </w:pPr>
      <w:r w:rsidRPr="005074AA">
        <w:rPr>
          <w:bCs/>
        </w:rPr>
        <w:t>Section</w:t>
      </w:r>
      <w:r w:rsidR="006F7912" w:rsidRPr="005074AA">
        <w:rPr>
          <w:bCs/>
        </w:rPr>
        <w:t xml:space="preserve"> 4</w:t>
      </w:r>
      <w:r w:rsidR="006F7912" w:rsidRPr="005074AA">
        <w:rPr>
          <w:b/>
        </w:rPr>
        <w:t xml:space="preserve"> </w:t>
      </w:r>
      <w:r w:rsidR="006F7912" w:rsidRPr="005074AA">
        <w:rPr>
          <w:bCs/>
        </w:rPr>
        <w:t xml:space="preserve">provides that </w:t>
      </w:r>
      <w:r w:rsidR="006F7912" w:rsidRPr="005074AA">
        <w:t>each instrument that is specified in a Schedule to th</w:t>
      </w:r>
      <w:r w:rsidR="00802632" w:rsidRPr="005074AA">
        <w:t>e</w:t>
      </w:r>
      <w:r w:rsidR="006F7912" w:rsidRPr="005074AA">
        <w:t xml:space="preserve"> </w:t>
      </w:r>
      <w:r w:rsidR="00D672E5" w:rsidRPr="005074AA">
        <w:t xml:space="preserve">instrument </w:t>
      </w:r>
      <w:r w:rsidR="006F7912" w:rsidRPr="005074AA">
        <w:t>is amended or repealed as set out in the applicable items in the Schedule concerned, and any other item in a Schedule to th</w:t>
      </w:r>
      <w:r w:rsidR="00802632" w:rsidRPr="005074AA">
        <w:t>e</w:t>
      </w:r>
      <w:r w:rsidR="006F7912" w:rsidRPr="005074AA">
        <w:t xml:space="preserve"> </w:t>
      </w:r>
      <w:r w:rsidR="00D672E5" w:rsidRPr="005074AA">
        <w:t xml:space="preserve">instrument </w:t>
      </w:r>
      <w:r w:rsidR="006F7912" w:rsidRPr="005074AA">
        <w:t>has effect according to its terms.</w:t>
      </w:r>
    </w:p>
    <w:p w14:paraId="62B7732F" w14:textId="77777777" w:rsidR="00366D0D" w:rsidRPr="005074AA" w:rsidRDefault="00366D0D" w:rsidP="007B739D">
      <w:pPr>
        <w:jc w:val="both"/>
        <w:rPr>
          <w:bCs/>
          <w:szCs w:val="24"/>
        </w:rPr>
      </w:pPr>
    </w:p>
    <w:p w14:paraId="5F688C98" w14:textId="59170213" w:rsidR="00E27B46" w:rsidRPr="005074AA" w:rsidRDefault="00E27B46" w:rsidP="007B739D">
      <w:pPr>
        <w:jc w:val="both"/>
        <w:rPr>
          <w:b/>
          <w:szCs w:val="24"/>
          <w:u w:val="single"/>
        </w:rPr>
      </w:pPr>
      <w:r w:rsidRPr="005074AA">
        <w:rPr>
          <w:b/>
          <w:szCs w:val="24"/>
          <w:u w:val="single"/>
        </w:rPr>
        <w:t>Schedule 1 – Amendments</w:t>
      </w:r>
    </w:p>
    <w:p w14:paraId="48E6970F" w14:textId="77777777" w:rsidR="00E05466" w:rsidRPr="005074AA" w:rsidRDefault="00E05466" w:rsidP="007B739D">
      <w:pPr>
        <w:jc w:val="both"/>
        <w:rPr>
          <w:szCs w:val="24"/>
        </w:rPr>
      </w:pPr>
    </w:p>
    <w:p w14:paraId="513DED3F" w14:textId="4C63D95E" w:rsidR="00DB2A78" w:rsidRPr="005074AA" w:rsidRDefault="00DB2A78" w:rsidP="007B739D">
      <w:pPr>
        <w:jc w:val="both"/>
        <w:rPr>
          <w:b/>
          <w:i/>
          <w:szCs w:val="24"/>
        </w:rPr>
      </w:pPr>
      <w:r w:rsidRPr="005074AA">
        <w:rPr>
          <w:b/>
          <w:i/>
          <w:szCs w:val="24"/>
        </w:rPr>
        <w:t>Aged Care (Subsidy, Fees and Payments) Determination 2014</w:t>
      </w:r>
      <w:r w:rsidR="00CF4094" w:rsidRPr="005074AA">
        <w:rPr>
          <w:b/>
          <w:i/>
          <w:szCs w:val="24"/>
        </w:rPr>
        <w:t xml:space="preserve"> </w:t>
      </w:r>
    </w:p>
    <w:p w14:paraId="4FC358B6" w14:textId="77777777" w:rsidR="006C4B38" w:rsidRPr="005074AA" w:rsidRDefault="006C4B38" w:rsidP="007B739D">
      <w:pPr>
        <w:jc w:val="both"/>
        <w:rPr>
          <w:szCs w:val="24"/>
        </w:rPr>
      </w:pPr>
    </w:p>
    <w:p w14:paraId="142F1B42" w14:textId="7E9AB5C9" w:rsidR="00E05466" w:rsidRPr="005074AA" w:rsidRDefault="00685D3C" w:rsidP="007B739D">
      <w:pPr>
        <w:jc w:val="both"/>
        <w:rPr>
          <w:b/>
          <w:szCs w:val="24"/>
        </w:rPr>
      </w:pPr>
      <w:r w:rsidRPr="005074AA">
        <w:rPr>
          <w:b/>
          <w:szCs w:val="24"/>
        </w:rPr>
        <w:t xml:space="preserve">Item 1 </w:t>
      </w:r>
      <w:r w:rsidR="00AF0F13" w:rsidRPr="005074AA">
        <w:rPr>
          <w:b/>
          <w:szCs w:val="24"/>
        </w:rPr>
        <w:t>–</w:t>
      </w:r>
      <w:r w:rsidRPr="005074AA">
        <w:rPr>
          <w:b/>
          <w:szCs w:val="24"/>
        </w:rPr>
        <w:t xml:space="preserve"> </w:t>
      </w:r>
      <w:r w:rsidR="00E05466" w:rsidRPr="005074AA">
        <w:rPr>
          <w:b/>
          <w:szCs w:val="24"/>
        </w:rPr>
        <w:t>Amendments of listed provisions – indexation of amounts</w:t>
      </w:r>
    </w:p>
    <w:p w14:paraId="6E355DFC" w14:textId="103CE339" w:rsidR="00E05466" w:rsidRPr="005074AA" w:rsidRDefault="00AF0F13" w:rsidP="007B739D">
      <w:pPr>
        <w:jc w:val="both"/>
        <w:rPr>
          <w:szCs w:val="24"/>
        </w:rPr>
      </w:pPr>
      <w:r w:rsidRPr="005074AA">
        <w:rPr>
          <w:szCs w:val="24"/>
        </w:rPr>
        <w:t xml:space="preserve">Item 1 </w:t>
      </w:r>
      <w:r w:rsidR="00E05466" w:rsidRPr="005074AA">
        <w:rPr>
          <w:szCs w:val="24"/>
        </w:rPr>
        <w:t>provides for the indexation of amounts in relation to the following:</w:t>
      </w:r>
    </w:p>
    <w:p w14:paraId="28A6A542" w14:textId="4D1A8D48" w:rsidR="00B4488E" w:rsidRPr="005074AA" w:rsidRDefault="00366D0D" w:rsidP="007B739D">
      <w:pPr>
        <w:pStyle w:val="ListParagraph"/>
        <w:numPr>
          <w:ilvl w:val="0"/>
          <w:numId w:val="10"/>
        </w:numPr>
        <w:jc w:val="both"/>
        <w:rPr>
          <w:szCs w:val="24"/>
          <w:lang w:val="en-AU"/>
        </w:rPr>
      </w:pPr>
      <w:r w:rsidRPr="005074AA">
        <w:rPr>
          <w:szCs w:val="24"/>
        </w:rPr>
        <w:t xml:space="preserve">Items 1-3: </w:t>
      </w:r>
      <w:r w:rsidR="004D272D" w:rsidRPr="005074AA">
        <w:rPr>
          <w:szCs w:val="24"/>
        </w:rPr>
        <w:t xml:space="preserve">the </w:t>
      </w:r>
      <w:r w:rsidR="0037631E" w:rsidRPr="005074AA">
        <w:rPr>
          <w:szCs w:val="24"/>
        </w:rPr>
        <w:t xml:space="preserve">‘applicable amount’, which is used to calculate the </w:t>
      </w:r>
      <w:r w:rsidR="00CF2365" w:rsidRPr="005074AA">
        <w:rPr>
          <w:szCs w:val="24"/>
        </w:rPr>
        <w:t xml:space="preserve">residential care </w:t>
      </w:r>
      <w:r w:rsidR="004D272D" w:rsidRPr="005074AA">
        <w:rPr>
          <w:szCs w:val="24"/>
        </w:rPr>
        <w:t>accommodation supplement</w:t>
      </w:r>
      <w:r w:rsidR="00CF2365" w:rsidRPr="005074AA">
        <w:rPr>
          <w:szCs w:val="24"/>
        </w:rPr>
        <w:t xml:space="preserve"> and the residential care respite supplement</w:t>
      </w:r>
      <w:r w:rsidR="00686734" w:rsidRPr="005074AA">
        <w:rPr>
          <w:szCs w:val="24"/>
        </w:rPr>
        <w:t xml:space="preserve"> for a care </w:t>
      </w:r>
      <w:proofErr w:type="gramStart"/>
      <w:r w:rsidR="00686734" w:rsidRPr="005074AA">
        <w:rPr>
          <w:szCs w:val="24"/>
        </w:rPr>
        <w:t>recipient</w:t>
      </w:r>
      <w:r w:rsidR="004D272D" w:rsidRPr="005074AA">
        <w:rPr>
          <w:szCs w:val="24"/>
        </w:rPr>
        <w:t>;</w:t>
      </w:r>
      <w:proofErr w:type="gramEnd"/>
      <w:r w:rsidR="004D272D" w:rsidRPr="005074AA">
        <w:rPr>
          <w:szCs w:val="24"/>
        </w:rPr>
        <w:t xml:space="preserve"> </w:t>
      </w:r>
    </w:p>
    <w:p w14:paraId="51DCE462" w14:textId="34AD10F9" w:rsidR="00DE59EF" w:rsidRPr="005074AA" w:rsidRDefault="00366D0D" w:rsidP="000B7120">
      <w:pPr>
        <w:pStyle w:val="ListParagraph"/>
        <w:numPr>
          <w:ilvl w:val="0"/>
          <w:numId w:val="10"/>
        </w:numPr>
        <w:jc w:val="both"/>
        <w:rPr>
          <w:szCs w:val="24"/>
          <w:lang w:val="en-AU"/>
        </w:rPr>
      </w:pPr>
      <w:r w:rsidRPr="005074AA">
        <w:rPr>
          <w:szCs w:val="24"/>
        </w:rPr>
        <w:t>Items 4</w:t>
      </w:r>
      <w:r w:rsidR="005E6870" w:rsidRPr="005074AA">
        <w:rPr>
          <w:szCs w:val="24"/>
        </w:rPr>
        <w:t>-</w:t>
      </w:r>
      <w:r w:rsidR="003A4B5E" w:rsidRPr="005074AA">
        <w:rPr>
          <w:szCs w:val="24"/>
        </w:rPr>
        <w:t>5</w:t>
      </w:r>
      <w:r w:rsidRPr="005074AA">
        <w:rPr>
          <w:szCs w:val="24"/>
        </w:rPr>
        <w:t>,</w:t>
      </w:r>
      <w:r w:rsidR="00796D02" w:rsidRPr="005074AA">
        <w:rPr>
          <w:szCs w:val="24"/>
        </w:rPr>
        <w:t xml:space="preserve"> </w:t>
      </w:r>
      <w:r w:rsidR="00E32E4B" w:rsidRPr="005074AA">
        <w:rPr>
          <w:szCs w:val="24"/>
        </w:rPr>
        <w:t>9</w:t>
      </w:r>
      <w:r w:rsidR="0070184A" w:rsidRPr="005074AA">
        <w:rPr>
          <w:szCs w:val="24"/>
        </w:rPr>
        <w:t>-1</w:t>
      </w:r>
      <w:r w:rsidR="00E32E4B" w:rsidRPr="005074AA">
        <w:rPr>
          <w:szCs w:val="24"/>
        </w:rPr>
        <w:t>0</w:t>
      </w:r>
      <w:r w:rsidR="0070184A" w:rsidRPr="005074AA">
        <w:rPr>
          <w:szCs w:val="24"/>
        </w:rPr>
        <w:t xml:space="preserve">, </w:t>
      </w:r>
      <w:r w:rsidRPr="005074AA">
        <w:rPr>
          <w:szCs w:val="24"/>
        </w:rPr>
        <w:t>1</w:t>
      </w:r>
      <w:r w:rsidR="00E32E4B" w:rsidRPr="005074AA">
        <w:rPr>
          <w:szCs w:val="24"/>
        </w:rPr>
        <w:t>4</w:t>
      </w:r>
      <w:r w:rsidRPr="005074AA">
        <w:rPr>
          <w:szCs w:val="24"/>
        </w:rPr>
        <w:t>-1</w:t>
      </w:r>
      <w:r w:rsidR="00E32E4B" w:rsidRPr="005074AA">
        <w:rPr>
          <w:szCs w:val="24"/>
        </w:rPr>
        <w:t>7</w:t>
      </w:r>
      <w:r w:rsidRPr="005074AA">
        <w:rPr>
          <w:szCs w:val="24"/>
        </w:rPr>
        <w:t xml:space="preserve">: </w:t>
      </w:r>
      <w:r w:rsidR="00DE59EF" w:rsidRPr="005074AA">
        <w:rPr>
          <w:szCs w:val="24"/>
        </w:rPr>
        <w:t xml:space="preserve">the </w:t>
      </w:r>
      <w:r w:rsidR="00487C9C" w:rsidRPr="005074AA">
        <w:rPr>
          <w:szCs w:val="24"/>
        </w:rPr>
        <w:t xml:space="preserve">annual and lifetime </w:t>
      </w:r>
      <w:r w:rsidR="00DE59EF" w:rsidRPr="005074AA">
        <w:rPr>
          <w:szCs w:val="24"/>
        </w:rPr>
        <w:t xml:space="preserve">caps which limit the </w:t>
      </w:r>
      <w:proofErr w:type="gramStart"/>
      <w:r w:rsidR="00DE59EF" w:rsidRPr="005074AA">
        <w:rPr>
          <w:szCs w:val="24"/>
        </w:rPr>
        <w:t>amount</w:t>
      </w:r>
      <w:proofErr w:type="gramEnd"/>
      <w:r w:rsidR="00DE59EF" w:rsidRPr="005074AA">
        <w:rPr>
          <w:szCs w:val="24"/>
        </w:rPr>
        <w:t xml:space="preserve"> of means tested and income tested care fees payable by recipients</w:t>
      </w:r>
      <w:r w:rsidR="007649AA" w:rsidRPr="005074AA">
        <w:rPr>
          <w:szCs w:val="24"/>
        </w:rPr>
        <w:t xml:space="preserve"> of residential care</w:t>
      </w:r>
      <w:r w:rsidR="003E329B" w:rsidRPr="005074AA">
        <w:rPr>
          <w:szCs w:val="24"/>
        </w:rPr>
        <w:t xml:space="preserve"> and home care</w:t>
      </w:r>
      <w:r w:rsidR="00F63D79" w:rsidRPr="005074AA">
        <w:rPr>
          <w:szCs w:val="24"/>
        </w:rPr>
        <w:t>;</w:t>
      </w:r>
    </w:p>
    <w:p w14:paraId="7C347DBE" w14:textId="1C36A8F1" w:rsidR="00E64F62" w:rsidRPr="005074AA" w:rsidRDefault="00366D0D" w:rsidP="00E64F62">
      <w:pPr>
        <w:pStyle w:val="ListParagraph"/>
        <w:numPr>
          <w:ilvl w:val="0"/>
          <w:numId w:val="10"/>
        </w:numPr>
        <w:jc w:val="both"/>
        <w:rPr>
          <w:szCs w:val="24"/>
          <w:lang w:val="en-AU"/>
        </w:rPr>
      </w:pPr>
      <w:r w:rsidRPr="005074AA">
        <w:rPr>
          <w:szCs w:val="24"/>
        </w:rPr>
        <w:t xml:space="preserve">Items </w:t>
      </w:r>
      <w:r w:rsidR="00E64F62" w:rsidRPr="005074AA">
        <w:rPr>
          <w:szCs w:val="24"/>
        </w:rPr>
        <w:t>6-7</w:t>
      </w:r>
      <w:r w:rsidRPr="005074AA">
        <w:rPr>
          <w:szCs w:val="24"/>
        </w:rPr>
        <w:t xml:space="preserve">: </w:t>
      </w:r>
      <w:r w:rsidR="00DE59EF" w:rsidRPr="005074AA">
        <w:rPr>
          <w:szCs w:val="24"/>
        </w:rPr>
        <w:t xml:space="preserve">the </w:t>
      </w:r>
      <w:r w:rsidR="00487C9C" w:rsidRPr="005074AA">
        <w:rPr>
          <w:szCs w:val="24"/>
        </w:rPr>
        <w:t xml:space="preserve">first and second </w:t>
      </w:r>
      <w:r w:rsidR="00DE59EF" w:rsidRPr="005074AA">
        <w:rPr>
          <w:szCs w:val="24"/>
        </w:rPr>
        <w:t xml:space="preserve">asset thresholds </w:t>
      </w:r>
      <w:r w:rsidR="00487C9C" w:rsidRPr="005074AA">
        <w:rPr>
          <w:szCs w:val="24"/>
        </w:rPr>
        <w:t>that</w:t>
      </w:r>
      <w:r w:rsidR="00DE59EF" w:rsidRPr="005074AA">
        <w:rPr>
          <w:szCs w:val="24"/>
        </w:rPr>
        <w:t xml:space="preserve"> apply in the asset test</w:t>
      </w:r>
      <w:r w:rsidR="00B4488E" w:rsidRPr="005074AA">
        <w:rPr>
          <w:szCs w:val="24"/>
        </w:rPr>
        <w:t xml:space="preserve"> component of the means </w:t>
      </w:r>
      <w:proofErr w:type="gramStart"/>
      <w:r w:rsidR="00B4488E" w:rsidRPr="005074AA">
        <w:rPr>
          <w:szCs w:val="24"/>
        </w:rPr>
        <w:t>assessment</w:t>
      </w:r>
      <w:r w:rsidR="00DE59EF" w:rsidRPr="005074AA">
        <w:rPr>
          <w:szCs w:val="24"/>
        </w:rPr>
        <w:t>;</w:t>
      </w:r>
      <w:proofErr w:type="gramEnd"/>
      <w:r w:rsidR="00E64F62" w:rsidRPr="005074AA">
        <w:rPr>
          <w:szCs w:val="24"/>
        </w:rPr>
        <w:t xml:space="preserve"> </w:t>
      </w:r>
    </w:p>
    <w:p w14:paraId="7FECF897" w14:textId="5EC2110E" w:rsidR="00DE59EF" w:rsidRPr="005074AA" w:rsidRDefault="00E64F62" w:rsidP="00E64F62">
      <w:pPr>
        <w:pStyle w:val="ListParagraph"/>
        <w:numPr>
          <w:ilvl w:val="0"/>
          <w:numId w:val="10"/>
        </w:numPr>
        <w:jc w:val="both"/>
        <w:rPr>
          <w:szCs w:val="24"/>
          <w:lang w:val="en-AU"/>
        </w:rPr>
      </w:pPr>
      <w:r w:rsidRPr="005074AA">
        <w:rPr>
          <w:szCs w:val="24"/>
        </w:rPr>
        <w:t xml:space="preserve">Item 8: the cap on the maximum home value included in the asset test component of the means </w:t>
      </w:r>
      <w:proofErr w:type="gramStart"/>
      <w:r w:rsidRPr="005074AA">
        <w:rPr>
          <w:szCs w:val="24"/>
        </w:rPr>
        <w:t>assessment;</w:t>
      </w:r>
      <w:proofErr w:type="gramEnd"/>
    </w:p>
    <w:p w14:paraId="0EEFED7F" w14:textId="7BA5741B" w:rsidR="004D272D" w:rsidRPr="005074AA" w:rsidRDefault="00366D0D" w:rsidP="00D829E6">
      <w:pPr>
        <w:pStyle w:val="ListParagraph"/>
        <w:widowControl/>
        <w:numPr>
          <w:ilvl w:val="0"/>
          <w:numId w:val="10"/>
        </w:numPr>
        <w:spacing w:after="200" w:line="276" w:lineRule="auto"/>
        <w:ind w:left="714" w:hanging="357"/>
        <w:jc w:val="both"/>
        <w:rPr>
          <w:szCs w:val="24"/>
        </w:rPr>
      </w:pPr>
      <w:r w:rsidRPr="005074AA">
        <w:rPr>
          <w:szCs w:val="24"/>
        </w:rPr>
        <w:t>Items 1</w:t>
      </w:r>
      <w:r w:rsidR="00E32E4B" w:rsidRPr="005074AA">
        <w:rPr>
          <w:szCs w:val="24"/>
        </w:rPr>
        <w:t>1</w:t>
      </w:r>
      <w:r w:rsidRPr="005074AA">
        <w:rPr>
          <w:szCs w:val="24"/>
        </w:rPr>
        <w:t>-1</w:t>
      </w:r>
      <w:r w:rsidR="00E32E4B" w:rsidRPr="005074AA">
        <w:rPr>
          <w:szCs w:val="24"/>
        </w:rPr>
        <w:t>3</w:t>
      </w:r>
      <w:r w:rsidRPr="005074AA">
        <w:rPr>
          <w:szCs w:val="24"/>
        </w:rPr>
        <w:t xml:space="preserve">: </w:t>
      </w:r>
      <w:r w:rsidR="00DE59EF" w:rsidRPr="005074AA">
        <w:rPr>
          <w:szCs w:val="24"/>
        </w:rPr>
        <w:t xml:space="preserve">the income thresholds at which the </w:t>
      </w:r>
      <w:r w:rsidR="00487C9C" w:rsidRPr="005074AA">
        <w:rPr>
          <w:szCs w:val="24"/>
        </w:rPr>
        <w:t xml:space="preserve">first and second annual </w:t>
      </w:r>
      <w:r w:rsidR="00DE59EF" w:rsidRPr="005074AA">
        <w:rPr>
          <w:szCs w:val="24"/>
        </w:rPr>
        <w:t>caps on the income tested care fees in home care apply</w:t>
      </w:r>
      <w:r w:rsidR="006263CE" w:rsidRPr="005074AA">
        <w:rPr>
          <w:szCs w:val="24"/>
        </w:rPr>
        <w:t>;</w:t>
      </w:r>
      <w:r w:rsidR="004D272D" w:rsidRPr="005074AA">
        <w:rPr>
          <w:szCs w:val="24"/>
        </w:rPr>
        <w:t xml:space="preserve"> and</w:t>
      </w:r>
    </w:p>
    <w:p w14:paraId="2F044FA4" w14:textId="40862A4B" w:rsidR="00352775" w:rsidRPr="005074AA" w:rsidRDefault="005B2A10" w:rsidP="00E25887">
      <w:pPr>
        <w:pStyle w:val="ListParagraph"/>
        <w:widowControl/>
        <w:numPr>
          <w:ilvl w:val="0"/>
          <w:numId w:val="10"/>
        </w:numPr>
        <w:ind w:left="714" w:hanging="357"/>
        <w:jc w:val="both"/>
        <w:rPr>
          <w:szCs w:val="24"/>
        </w:rPr>
      </w:pPr>
      <w:r w:rsidRPr="005074AA">
        <w:rPr>
          <w:szCs w:val="24"/>
        </w:rPr>
        <w:t xml:space="preserve">Items </w:t>
      </w:r>
      <w:r w:rsidR="00FA32AE" w:rsidRPr="005074AA">
        <w:rPr>
          <w:szCs w:val="24"/>
        </w:rPr>
        <w:t>1</w:t>
      </w:r>
      <w:r w:rsidR="00E32E4B" w:rsidRPr="005074AA">
        <w:rPr>
          <w:szCs w:val="24"/>
        </w:rPr>
        <w:t>8</w:t>
      </w:r>
      <w:r w:rsidR="00FA32AE" w:rsidRPr="005074AA">
        <w:rPr>
          <w:szCs w:val="24"/>
        </w:rPr>
        <w:t>-2</w:t>
      </w:r>
      <w:r w:rsidR="00E32E4B" w:rsidRPr="005074AA">
        <w:rPr>
          <w:szCs w:val="24"/>
        </w:rPr>
        <w:t>1</w:t>
      </w:r>
      <w:r w:rsidR="00366D0D" w:rsidRPr="005074AA">
        <w:rPr>
          <w:szCs w:val="24"/>
        </w:rPr>
        <w:t xml:space="preserve">: </w:t>
      </w:r>
      <w:r w:rsidR="004D272D" w:rsidRPr="005074AA">
        <w:rPr>
          <w:szCs w:val="24"/>
        </w:rPr>
        <w:t xml:space="preserve">the </w:t>
      </w:r>
      <w:r w:rsidR="00CA6077" w:rsidRPr="005074AA">
        <w:rPr>
          <w:szCs w:val="24"/>
        </w:rPr>
        <w:t xml:space="preserve">maximum </w:t>
      </w:r>
      <w:r w:rsidR="004D272D" w:rsidRPr="005074AA">
        <w:rPr>
          <w:szCs w:val="24"/>
        </w:rPr>
        <w:t xml:space="preserve">rate of </w:t>
      </w:r>
      <w:r w:rsidR="00CA6077" w:rsidRPr="005074AA">
        <w:rPr>
          <w:szCs w:val="24"/>
        </w:rPr>
        <w:t>basic daily care fee</w:t>
      </w:r>
      <w:r w:rsidR="004D272D" w:rsidRPr="005074AA">
        <w:rPr>
          <w:szCs w:val="24"/>
        </w:rPr>
        <w:t xml:space="preserve"> for each home care package level.</w:t>
      </w:r>
      <w:r w:rsidR="00DE59EF" w:rsidRPr="005074AA">
        <w:rPr>
          <w:szCs w:val="24"/>
        </w:rPr>
        <w:t xml:space="preserve"> </w:t>
      </w:r>
    </w:p>
    <w:p w14:paraId="3E22D375" w14:textId="77777777" w:rsidR="00366D0D" w:rsidRPr="005074AA" w:rsidRDefault="00366D0D" w:rsidP="00E25887">
      <w:pPr>
        <w:jc w:val="both"/>
        <w:rPr>
          <w:bCs/>
          <w:iCs/>
        </w:rPr>
      </w:pPr>
    </w:p>
    <w:p w14:paraId="3F7E2E2F" w14:textId="505A956A" w:rsidR="00616724" w:rsidRPr="005074AA" w:rsidRDefault="00616724" w:rsidP="00E25887">
      <w:pPr>
        <w:jc w:val="both"/>
        <w:rPr>
          <w:b/>
          <w:i/>
        </w:rPr>
      </w:pPr>
      <w:r w:rsidRPr="005074AA">
        <w:rPr>
          <w:b/>
          <w:i/>
        </w:rPr>
        <w:t>Aged Care (Transitional Provisions) (Subsidy and Other Measures) Determination 2014</w:t>
      </w:r>
    </w:p>
    <w:p w14:paraId="66BE9C43" w14:textId="77777777" w:rsidR="00616724" w:rsidRPr="005074AA" w:rsidRDefault="00616724" w:rsidP="00616724">
      <w:pPr>
        <w:jc w:val="both"/>
        <w:rPr>
          <w:bCs/>
        </w:rPr>
      </w:pPr>
    </w:p>
    <w:p w14:paraId="397D925A" w14:textId="0AE5B749" w:rsidR="00616724" w:rsidRPr="005074AA" w:rsidRDefault="00616724" w:rsidP="00616724">
      <w:pPr>
        <w:jc w:val="both"/>
        <w:rPr>
          <w:b/>
        </w:rPr>
      </w:pPr>
      <w:r w:rsidRPr="005074AA">
        <w:rPr>
          <w:b/>
        </w:rPr>
        <w:t xml:space="preserve">Item 2 </w:t>
      </w:r>
      <w:r w:rsidR="00AF0F13" w:rsidRPr="005074AA">
        <w:rPr>
          <w:b/>
        </w:rPr>
        <w:t>–</w:t>
      </w:r>
      <w:r w:rsidRPr="005074AA">
        <w:rPr>
          <w:b/>
        </w:rPr>
        <w:t xml:space="preserve"> Amendment of listed provisions – indexation of amounts </w:t>
      </w:r>
    </w:p>
    <w:p w14:paraId="216462A2" w14:textId="29B51A20" w:rsidR="00616724" w:rsidRPr="005074AA" w:rsidRDefault="00AF0F13" w:rsidP="00616724">
      <w:pPr>
        <w:jc w:val="both"/>
      </w:pPr>
      <w:r w:rsidRPr="005074AA">
        <w:t>Item 2</w:t>
      </w:r>
      <w:r w:rsidR="00616724" w:rsidRPr="005074AA">
        <w:t xml:space="preserve"> provides for the indexation of amounts in relation to the following supplements:</w:t>
      </w:r>
    </w:p>
    <w:p w14:paraId="6BD41260" w14:textId="3AC502E6" w:rsidR="00616724" w:rsidRPr="005074AA" w:rsidRDefault="00366D0D" w:rsidP="0004160A">
      <w:pPr>
        <w:pStyle w:val="ListParagraph"/>
        <w:numPr>
          <w:ilvl w:val="0"/>
          <w:numId w:val="16"/>
        </w:numPr>
        <w:jc w:val="both"/>
      </w:pPr>
      <w:r w:rsidRPr="005074AA">
        <w:t xml:space="preserve">Items 1-3: </w:t>
      </w:r>
      <w:r w:rsidR="0004160A" w:rsidRPr="005074AA">
        <w:t xml:space="preserve">the ‘applicable amount’, which is used to calculate </w:t>
      </w:r>
      <w:r w:rsidR="00616724" w:rsidRPr="005074AA">
        <w:t>the accommodation supplement</w:t>
      </w:r>
      <w:r w:rsidR="0004160A" w:rsidRPr="005074AA">
        <w:t xml:space="preserve"> and </w:t>
      </w:r>
      <w:r w:rsidR="00616724" w:rsidRPr="005074AA">
        <w:t>the concessional resident supplement</w:t>
      </w:r>
      <w:r w:rsidR="00242DFB" w:rsidRPr="005074AA">
        <w:t xml:space="preserve"> for a care </w:t>
      </w:r>
      <w:proofErr w:type="gramStart"/>
      <w:r w:rsidR="00242DFB" w:rsidRPr="005074AA">
        <w:t>recipient</w:t>
      </w:r>
      <w:r w:rsidR="00616724" w:rsidRPr="005074AA">
        <w:t>;</w:t>
      </w:r>
      <w:proofErr w:type="gramEnd"/>
    </w:p>
    <w:p w14:paraId="4681C9F3" w14:textId="25AB5FD9" w:rsidR="00616724" w:rsidRPr="005074AA" w:rsidRDefault="00366D0D" w:rsidP="00616724">
      <w:pPr>
        <w:pStyle w:val="ListParagraph"/>
        <w:numPr>
          <w:ilvl w:val="0"/>
          <w:numId w:val="16"/>
        </w:numPr>
        <w:jc w:val="both"/>
      </w:pPr>
      <w:r w:rsidRPr="005074AA">
        <w:t xml:space="preserve">Items 4-6: </w:t>
      </w:r>
      <w:r w:rsidR="00616724" w:rsidRPr="005074AA">
        <w:t>the transitional accommodation supplement;</w:t>
      </w:r>
      <w:r w:rsidR="006209D0" w:rsidRPr="005074AA">
        <w:t xml:space="preserve"> and</w:t>
      </w:r>
    </w:p>
    <w:p w14:paraId="7C2D497D" w14:textId="2B7BFF88" w:rsidR="00616724" w:rsidRPr="005074AA" w:rsidRDefault="00366D0D" w:rsidP="00616724">
      <w:pPr>
        <w:pStyle w:val="ListParagraph"/>
        <w:numPr>
          <w:ilvl w:val="0"/>
          <w:numId w:val="16"/>
        </w:numPr>
        <w:jc w:val="both"/>
      </w:pPr>
      <w:r w:rsidRPr="005074AA">
        <w:t xml:space="preserve">Item 7: </w:t>
      </w:r>
      <w:r w:rsidR="00616724" w:rsidRPr="005074AA">
        <w:t>the pensioner supplement</w:t>
      </w:r>
      <w:r w:rsidR="006209D0" w:rsidRPr="005074AA">
        <w:t>.</w:t>
      </w:r>
      <w:r w:rsidR="004966A3" w:rsidRPr="005074AA">
        <w:t xml:space="preserve"> </w:t>
      </w:r>
    </w:p>
    <w:p w14:paraId="42EB3840" w14:textId="32CABB93" w:rsidR="00616724" w:rsidRPr="005074AA" w:rsidRDefault="00CA6077" w:rsidP="00616724">
      <w:pPr>
        <w:jc w:val="both"/>
        <w:rPr>
          <w:b/>
          <w:iCs/>
        </w:rPr>
      </w:pPr>
      <w:r w:rsidRPr="005074AA">
        <w:rPr>
          <w:b/>
          <w:i/>
        </w:rPr>
        <w:lastRenderedPageBreak/>
        <w:t>A</w:t>
      </w:r>
      <w:r w:rsidR="00616724" w:rsidRPr="005074AA">
        <w:rPr>
          <w:b/>
          <w:i/>
        </w:rPr>
        <w:t xml:space="preserve">ged Care (Transitional Provisions) Principles 2014 </w:t>
      </w:r>
      <w:r w:rsidR="00616724" w:rsidRPr="005074AA">
        <w:rPr>
          <w:b/>
          <w:iCs/>
        </w:rPr>
        <w:t>(the Transitional Provisions Principles)</w:t>
      </w:r>
    </w:p>
    <w:p w14:paraId="54D9BBD3" w14:textId="77777777" w:rsidR="00616724" w:rsidRPr="005074AA" w:rsidRDefault="00616724" w:rsidP="00616724">
      <w:pPr>
        <w:jc w:val="both"/>
        <w:rPr>
          <w:bCs/>
        </w:rPr>
      </w:pPr>
    </w:p>
    <w:p w14:paraId="40077FEB" w14:textId="44047A8B" w:rsidR="00616724" w:rsidRPr="005074AA" w:rsidRDefault="00616724" w:rsidP="00616724">
      <w:pPr>
        <w:jc w:val="both"/>
        <w:rPr>
          <w:b/>
        </w:rPr>
      </w:pPr>
      <w:r w:rsidRPr="005074AA">
        <w:rPr>
          <w:b/>
        </w:rPr>
        <w:t xml:space="preserve">Item </w:t>
      </w:r>
      <w:r w:rsidR="00FD2B84" w:rsidRPr="005074AA">
        <w:rPr>
          <w:b/>
        </w:rPr>
        <w:t>3</w:t>
      </w:r>
      <w:r w:rsidRPr="005074AA">
        <w:rPr>
          <w:b/>
        </w:rPr>
        <w:t xml:space="preserve"> – Subsection 118(1) (after table item 3</w:t>
      </w:r>
      <w:r w:rsidR="00F51A0F" w:rsidRPr="005074AA">
        <w:rPr>
          <w:b/>
        </w:rPr>
        <w:t>3</w:t>
      </w:r>
      <w:r w:rsidRPr="005074AA">
        <w:rPr>
          <w:b/>
        </w:rPr>
        <w:t>)</w:t>
      </w:r>
    </w:p>
    <w:p w14:paraId="7AC33448" w14:textId="2E0F555B" w:rsidR="00616724" w:rsidRPr="005074AA" w:rsidRDefault="00AF0F13" w:rsidP="00616724">
      <w:pPr>
        <w:spacing w:after="200"/>
        <w:jc w:val="both"/>
      </w:pPr>
      <w:r w:rsidRPr="005074AA">
        <w:t xml:space="preserve">Item </w:t>
      </w:r>
      <w:r w:rsidR="00FD2B84" w:rsidRPr="005074AA">
        <w:t>3</w:t>
      </w:r>
      <w:r w:rsidR="00616724" w:rsidRPr="005074AA">
        <w:t xml:space="preserve"> inserts a new item (item 3</w:t>
      </w:r>
      <w:r w:rsidR="00F51A0F" w:rsidRPr="005074AA">
        <w:t>4</w:t>
      </w:r>
      <w:r w:rsidR="00616724" w:rsidRPr="005074AA">
        <w:t xml:space="preserve">) </w:t>
      </w:r>
      <w:r w:rsidR="00DD5680" w:rsidRPr="005074AA">
        <w:t>in</w:t>
      </w:r>
      <w:r w:rsidR="00616724" w:rsidRPr="005074AA">
        <w:t xml:space="preserve">to the table in subsection 118(1) of the Transitional Provisions Principles to specify the amount of maximum daily accommodation charge for a post-2008 reform resident who first entered residential care before 1 July 2004 and re-enters care on or after 20 </w:t>
      </w:r>
      <w:r w:rsidR="006B1003" w:rsidRPr="005074AA">
        <w:t>September</w:t>
      </w:r>
      <w:r w:rsidR="00616724" w:rsidRPr="005074AA">
        <w:t xml:space="preserve"> 202</w:t>
      </w:r>
      <w:r w:rsidR="00FD2B84" w:rsidRPr="005074AA">
        <w:t>4</w:t>
      </w:r>
      <w:r w:rsidR="00616724" w:rsidRPr="005074AA">
        <w:t xml:space="preserve"> and before 20 </w:t>
      </w:r>
      <w:r w:rsidR="00F51A0F" w:rsidRPr="005074AA">
        <w:t>March 2025</w:t>
      </w:r>
      <w:r w:rsidR="00415CFA" w:rsidRPr="005074AA">
        <w:t>.</w:t>
      </w:r>
    </w:p>
    <w:p w14:paraId="4734D33D" w14:textId="552E42D5" w:rsidR="00616724" w:rsidRPr="005074AA" w:rsidRDefault="00616724" w:rsidP="000B1642">
      <w:pPr>
        <w:spacing w:after="200"/>
        <w:jc w:val="both"/>
      </w:pPr>
      <w:r w:rsidRPr="005074AA">
        <w:t>The effect of this amendment is to specify, for the purpose of paragraph 57A</w:t>
      </w:r>
      <w:r w:rsidRPr="005074AA">
        <w:noBreakHyphen/>
        <w:t>6(1)</w:t>
      </w:r>
      <w:r w:rsidR="00D60134" w:rsidRPr="005074AA">
        <w:t>(c)</w:t>
      </w:r>
      <w:r w:rsidRPr="005074AA">
        <w:t xml:space="preserve"> of the Transitional Provisions Act,</w:t>
      </w:r>
      <w:r w:rsidRPr="005074AA">
        <w:rPr>
          <w:i/>
        </w:rPr>
        <w:t xml:space="preserve"> </w:t>
      </w:r>
      <w:r w:rsidRPr="005074AA">
        <w:t>an amount of maximum daily accommodation charge for these care recipients</w:t>
      </w:r>
      <w:r w:rsidR="00E64F62" w:rsidRPr="005074AA">
        <w:t>.</w:t>
      </w:r>
      <w:r w:rsidR="00D35CA0" w:rsidRPr="005074AA">
        <w:t xml:space="preserve"> </w:t>
      </w:r>
      <w:r w:rsidRPr="005074AA">
        <w:t>The new amount is $</w:t>
      </w:r>
      <w:r w:rsidR="00581B42" w:rsidRPr="005074AA">
        <w:t>24.62.</w:t>
      </w:r>
    </w:p>
    <w:p w14:paraId="5098A0BA" w14:textId="096DDA2C" w:rsidR="00616724" w:rsidRPr="005074AA" w:rsidRDefault="00616724" w:rsidP="00616724">
      <w:pPr>
        <w:jc w:val="both"/>
        <w:rPr>
          <w:b/>
        </w:rPr>
      </w:pPr>
      <w:r w:rsidRPr="005074AA">
        <w:rPr>
          <w:b/>
        </w:rPr>
        <w:t xml:space="preserve">Item </w:t>
      </w:r>
      <w:r w:rsidR="00FA32AE" w:rsidRPr="005074AA">
        <w:rPr>
          <w:b/>
        </w:rPr>
        <w:t>4</w:t>
      </w:r>
      <w:r w:rsidRPr="005074AA">
        <w:rPr>
          <w:b/>
        </w:rPr>
        <w:t xml:space="preserve"> – Subsection 118(2) (after table item 3</w:t>
      </w:r>
      <w:r w:rsidR="00827507" w:rsidRPr="005074AA">
        <w:rPr>
          <w:b/>
        </w:rPr>
        <w:t>3</w:t>
      </w:r>
      <w:r w:rsidRPr="005074AA">
        <w:rPr>
          <w:b/>
        </w:rPr>
        <w:t>)</w:t>
      </w:r>
    </w:p>
    <w:p w14:paraId="0A5AEA0C" w14:textId="7747A217" w:rsidR="00616724" w:rsidRPr="005074AA" w:rsidRDefault="00AF0F13" w:rsidP="00616724">
      <w:pPr>
        <w:spacing w:after="200"/>
        <w:jc w:val="both"/>
      </w:pPr>
      <w:r w:rsidRPr="005074AA">
        <w:t xml:space="preserve">Item </w:t>
      </w:r>
      <w:r w:rsidR="00FA32AE" w:rsidRPr="005074AA">
        <w:t>4</w:t>
      </w:r>
      <w:r w:rsidR="00616724" w:rsidRPr="005074AA">
        <w:t xml:space="preserve"> inserts a new item (item 3</w:t>
      </w:r>
      <w:r w:rsidR="00827507" w:rsidRPr="005074AA">
        <w:t>4</w:t>
      </w:r>
      <w:r w:rsidR="00616724" w:rsidRPr="005074AA">
        <w:t xml:space="preserve">) </w:t>
      </w:r>
      <w:r w:rsidR="00DD5680" w:rsidRPr="005074AA">
        <w:t>in</w:t>
      </w:r>
      <w:r w:rsidR="00616724" w:rsidRPr="005074AA">
        <w:t xml:space="preserve">to the table in subsection 118(2) of the Transitional Provisions Principles to specify the amount of maximum daily accommodation charge for a post-2008 reform resident who first entered residential care on or after 1 July 2004, receives an income support payment and enters care on or after </w:t>
      </w:r>
      <w:r w:rsidR="00FD2B84" w:rsidRPr="005074AA">
        <w:t xml:space="preserve">20 </w:t>
      </w:r>
      <w:r w:rsidR="006B1003" w:rsidRPr="005074AA">
        <w:t>September</w:t>
      </w:r>
      <w:r w:rsidR="00FD2B84" w:rsidRPr="005074AA">
        <w:t xml:space="preserve"> 2024 and before </w:t>
      </w:r>
      <w:r w:rsidR="00827507" w:rsidRPr="005074AA">
        <w:t>20 March 2025</w:t>
      </w:r>
      <w:r w:rsidR="00616724" w:rsidRPr="005074AA">
        <w:t>.</w:t>
      </w:r>
    </w:p>
    <w:p w14:paraId="6D12990A" w14:textId="211ED036" w:rsidR="00616724" w:rsidRPr="005074AA" w:rsidRDefault="00616724" w:rsidP="000B1642">
      <w:pPr>
        <w:spacing w:after="200"/>
        <w:jc w:val="both"/>
      </w:pPr>
      <w:r w:rsidRPr="005074AA">
        <w:t>The effect of this amendment is to specify, for the purpose of paragraph 57A</w:t>
      </w:r>
      <w:r w:rsidRPr="005074AA">
        <w:noBreakHyphen/>
        <w:t>6(1)(c) of the Transitional Provisions Act,</w:t>
      </w:r>
      <w:r w:rsidRPr="005074AA">
        <w:rPr>
          <w:i/>
        </w:rPr>
        <w:t xml:space="preserve"> </w:t>
      </w:r>
      <w:r w:rsidRPr="005074AA">
        <w:t>an amount of maximum daily accommodation charge for these care recipients.</w:t>
      </w:r>
      <w:r w:rsidR="00D35CA0" w:rsidRPr="005074AA">
        <w:t xml:space="preserve"> </w:t>
      </w:r>
      <w:r w:rsidRPr="005074AA">
        <w:t>The new amount is $</w:t>
      </w:r>
      <w:r w:rsidR="00581B42" w:rsidRPr="005074AA">
        <w:t>45.31</w:t>
      </w:r>
      <w:r w:rsidR="007735E2" w:rsidRPr="005074AA">
        <w:t>.</w:t>
      </w:r>
    </w:p>
    <w:p w14:paraId="7D860FA9" w14:textId="76AD01E2" w:rsidR="00616724" w:rsidRPr="005074AA" w:rsidRDefault="00616724" w:rsidP="00616724">
      <w:pPr>
        <w:spacing w:line="276" w:lineRule="auto"/>
        <w:jc w:val="both"/>
        <w:rPr>
          <w:b/>
        </w:rPr>
      </w:pPr>
      <w:r w:rsidRPr="005074AA">
        <w:rPr>
          <w:b/>
        </w:rPr>
        <w:t xml:space="preserve">Item </w:t>
      </w:r>
      <w:r w:rsidR="00FA32AE" w:rsidRPr="005074AA">
        <w:rPr>
          <w:b/>
        </w:rPr>
        <w:t>5</w:t>
      </w:r>
      <w:r w:rsidRPr="005074AA">
        <w:rPr>
          <w:b/>
        </w:rPr>
        <w:t xml:space="preserve"> – Subsection 118(3) (after table item 2</w:t>
      </w:r>
      <w:r w:rsidR="00827507" w:rsidRPr="005074AA">
        <w:rPr>
          <w:b/>
        </w:rPr>
        <w:t>9</w:t>
      </w:r>
      <w:r w:rsidRPr="005074AA">
        <w:rPr>
          <w:b/>
        </w:rPr>
        <w:t>)</w:t>
      </w:r>
    </w:p>
    <w:p w14:paraId="1B13D07D" w14:textId="13BF2A17" w:rsidR="00616724" w:rsidRPr="005074AA" w:rsidRDefault="00AF0F13" w:rsidP="00616724">
      <w:pPr>
        <w:spacing w:after="200"/>
        <w:jc w:val="both"/>
      </w:pPr>
      <w:r w:rsidRPr="005074AA">
        <w:t xml:space="preserve">Item </w:t>
      </w:r>
      <w:r w:rsidR="00FA32AE" w:rsidRPr="005074AA">
        <w:t>5</w:t>
      </w:r>
      <w:r w:rsidR="00616724" w:rsidRPr="005074AA">
        <w:t xml:space="preserve"> inserts a new item (item </w:t>
      </w:r>
      <w:r w:rsidR="00827507" w:rsidRPr="005074AA">
        <w:t>30</w:t>
      </w:r>
      <w:r w:rsidR="00616724" w:rsidRPr="005074AA">
        <w:t xml:space="preserve">) </w:t>
      </w:r>
      <w:r w:rsidR="00DD5680" w:rsidRPr="005074AA">
        <w:t>in</w:t>
      </w:r>
      <w:r w:rsidR="00616724" w:rsidRPr="005074AA">
        <w:t xml:space="preserve">to the table in subsection 118(3) of the Transitional Provisions Principles to specify the amount of maximum daily accommodation charge for a post-2008 reform resident who first entered residential care on or after 1 July 2004, does not receive an income support payment and is receiving care through a service that meets the building requirements referred to in Schedule 1 to the Transitional Provisions Principles, and enters a residential care service on or after </w:t>
      </w:r>
      <w:r w:rsidR="00FD2B84" w:rsidRPr="005074AA">
        <w:t xml:space="preserve">20 </w:t>
      </w:r>
      <w:r w:rsidR="006B1003" w:rsidRPr="005074AA">
        <w:t>September</w:t>
      </w:r>
      <w:r w:rsidR="00FD2B84" w:rsidRPr="005074AA">
        <w:t xml:space="preserve"> 2024 and before </w:t>
      </w:r>
      <w:r w:rsidR="00827507" w:rsidRPr="005074AA">
        <w:t>20 March 2025</w:t>
      </w:r>
      <w:r w:rsidR="00616724" w:rsidRPr="005074AA">
        <w:t>.</w:t>
      </w:r>
    </w:p>
    <w:p w14:paraId="3772E971" w14:textId="74DA8A32" w:rsidR="00616724" w:rsidRPr="005074AA" w:rsidRDefault="00616724" w:rsidP="000B1642">
      <w:pPr>
        <w:spacing w:after="200"/>
        <w:jc w:val="both"/>
      </w:pPr>
      <w:r w:rsidRPr="005074AA">
        <w:t xml:space="preserve">The effect of this amendment is to specify, </w:t>
      </w:r>
      <w:r w:rsidR="00D829E6" w:rsidRPr="005074AA">
        <w:t>f</w:t>
      </w:r>
      <w:r w:rsidRPr="005074AA">
        <w:t>or the purpose of paragraph 57A</w:t>
      </w:r>
      <w:r w:rsidRPr="005074AA">
        <w:noBreakHyphen/>
        <w:t>6(1)(c) of the Transitional Provisions Act,</w:t>
      </w:r>
      <w:r w:rsidRPr="005074AA">
        <w:rPr>
          <w:i/>
        </w:rPr>
        <w:t xml:space="preserve"> </w:t>
      </w:r>
      <w:r w:rsidRPr="005074AA">
        <w:t>an amount of maximum daily accommodation charge for these care recipients.</w:t>
      </w:r>
      <w:r w:rsidR="00D35CA0" w:rsidRPr="005074AA">
        <w:t xml:space="preserve"> </w:t>
      </w:r>
      <w:r w:rsidRPr="005074AA">
        <w:t>The new amount is $</w:t>
      </w:r>
      <w:r w:rsidR="00581B42" w:rsidRPr="005074AA">
        <w:t>45.31</w:t>
      </w:r>
      <w:r w:rsidR="007735E2" w:rsidRPr="005074AA">
        <w:t>.</w:t>
      </w:r>
    </w:p>
    <w:p w14:paraId="4E72693E" w14:textId="3DE6DBC6" w:rsidR="00616724" w:rsidRPr="005074AA" w:rsidRDefault="00616724" w:rsidP="00616724">
      <w:pPr>
        <w:jc w:val="both"/>
        <w:rPr>
          <w:b/>
        </w:rPr>
      </w:pPr>
      <w:r w:rsidRPr="005074AA">
        <w:rPr>
          <w:b/>
        </w:rPr>
        <w:t xml:space="preserve">Item </w:t>
      </w:r>
      <w:r w:rsidR="00FA32AE" w:rsidRPr="005074AA">
        <w:rPr>
          <w:b/>
        </w:rPr>
        <w:t>6</w:t>
      </w:r>
      <w:r w:rsidRPr="005074AA">
        <w:rPr>
          <w:b/>
        </w:rPr>
        <w:t xml:space="preserve"> – Subsection 118(4) (after table item 3</w:t>
      </w:r>
      <w:r w:rsidR="00827507" w:rsidRPr="005074AA">
        <w:rPr>
          <w:b/>
        </w:rPr>
        <w:t>3</w:t>
      </w:r>
      <w:r w:rsidRPr="005074AA">
        <w:rPr>
          <w:b/>
        </w:rPr>
        <w:t>)</w:t>
      </w:r>
    </w:p>
    <w:p w14:paraId="163C5D85" w14:textId="1362D587" w:rsidR="00616724" w:rsidRPr="005074AA" w:rsidRDefault="00FD4A17" w:rsidP="00616724">
      <w:pPr>
        <w:spacing w:after="200"/>
        <w:jc w:val="both"/>
      </w:pPr>
      <w:r w:rsidRPr="005074AA">
        <w:t xml:space="preserve">Item </w:t>
      </w:r>
      <w:r w:rsidR="00FA32AE" w:rsidRPr="005074AA">
        <w:t>6</w:t>
      </w:r>
      <w:r w:rsidR="00616724" w:rsidRPr="005074AA">
        <w:t xml:space="preserve"> inserts a new item (item 3</w:t>
      </w:r>
      <w:r w:rsidR="00827507" w:rsidRPr="005074AA">
        <w:t>4</w:t>
      </w:r>
      <w:r w:rsidR="00616724" w:rsidRPr="005074AA">
        <w:t xml:space="preserve">) </w:t>
      </w:r>
      <w:r w:rsidR="00DD5680" w:rsidRPr="005074AA">
        <w:t>in</w:t>
      </w:r>
      <w:r w:rsidR="00616724" w:rsidRPr="005074AA">
        <w:t xml:space="preserve">to the table to subsection 118(4) of the Transitional Provisions Principles to specify the amount of maximum daily accommodation charge for a post-2008 reform resident who first entered residential care on or after 1 July 2004, does not receive an income support payment and is receiving care through a service that does not meet the building requirements referred to in Schedule 1 to the Transitional Provisions Principles, and enters a residential care service, on or after </w:t>
      </w:r>
      <w:r w:rsidR="00FD2B84" w:rsidRPr="005074AA">
        <w:t xml:space="preserve">20 </w:t>
      </w:r>
      <w:r w:rsidR="006B1003" w:rsidRPr="005074AA">
        <w:t>September</w:t>
      </w:r>
      <w:r w:rsidR="00FD2B84" w:rsidRPr="005074AA">
        <w:t xml:space="preserve"> 2024 and before 20 </w:t>
      </w:r>
      <w:r w:rsidR="00825D0C" w:rsidRPr="005074AA">
        <w:t>March 2</w:t>
      </w:r>
      <w:r w:rsidR="0084508B" w:rsidRPr="005074AA">
        <w:t>025</w:t>
      </w:r>
      <w:r w:rsidR="00616724" w:rsidRPr="005074AA">
        <w:t>.</w:t>
      </w:r>
    </w:p>
    <w:p w14:paraId="42A546ED" w14:textId="48E45C3C" w:rsidR="00B716F5" w:rsidRPr="005074AA" w:rsidRDefault="00616724" w:rsidP="000B1642">
      <w:pPr>
        <w:spacing w:after="200"/>
        <w:jc w:val="both"/>
      </w:pPr>
      <w:r w:rsidRPr="005074AA">
        <w:t>The effect of this amendment is to specify, for the purpose of paragraph 57A</w:t>
      </w:r>
      <w:r w:rsidRPr="005074AA">
        <w:noBreakHyphen/>
        <w:t>6(1)(c) of the Transitional Provisions Act,</w:t>
      </w:r>
      <w:r w:rsidRPr="005074AA">
        <w:rPr>
          <w:i/>
        </w:rPr>
        <w:t xml:space="preserve"> </w:t>
      </w:r>
      <w:r w:rsidRPr="005074AA">
        <w:t>an amount of maximum daily accommodation charge for these care recipients.</w:t>
      </w:r>
      <w:r w:rsidR="00D35CA0" w:rsidRPr="005074AA">
        <w:t xml:space="preserve"> </w:t>
      </w:r>
      <w:r w:rsidRPr="005074AA">
        <w:t>The new amount is $</w:t>
      </w:r>
      <w:r w:rsidR="00581B42" w:rsidRPr="005074AA">
        <w:t>38.07</w:t>
      </w:r>
      <w:r w:rsidR="007735E2" w:rsidRPr="005074AA">
        <w:t>.</w:t>
      </w:r>
      <w:r w:rsidR="00D829E6" w:rsidRPr="005074AA">
        <w:t xml:space="preserve"> </w:t>
      </w:r>
      <w:r w:rsidRPr="005074AA">
        <w:t xml:space="preserve">    </w:t>
      </w:r>
      <w:r w:rsidR="00B716F5" w:rsidRPr="005074AA">
        <w:rPr>
          <w:sz w:val="28"/>
          <w:szCs w:val="28"/>
        </w:rPr>
        <w:br w:type="page"/>
      </w:r>
    </w:p>
    <w:p w14:paraId="799EF21A" w14:textId="2DCF2B93" w:rsidR="00B64D78" w:rsidRPr="005074AA" w:rsidRDefault="00B64D78" w:rsidP="00B64D78">
      <w:pPr>
        <w:pStyle w:val="Title"/>
        <w:jc w:val="right"/>
        <w:rPr>
          <w:szCs w:val="24"/>
        </w:rPr>
      </w:pPr>
      <w:r w:rsidRPr="005074AA">
        <w:rPr>
          <w:szCs w:val="24"/>
        </w:rPr>
        <w:lastRenderedPageBreak/>
        <w:t>ATTACHMENT B</w:t>
      </w:r>
    </w:p>
    <w:p w14:paraId="1CEB4CEA" w14:textId="77777777" w:rsidR="00B64D78" w:rsidRPr="005074AA" w:rsidRDefault="00B64D78" w:rsidP="000B1642">
      <w:pPr>
        <w:pStyle w:val="Title"/>
        <w:jc w:val="right"/>
        <w:rPr>
          <w:b w:val="0"/>
          <w:bCs/>
          <w:szCs w:val="24"/>
        </w:rPr>
      </w:pPr>
    </w:p>
    <w:p w14:paraId="67E9ADCB" w14:textId="77777777" w:rsidR="00182CA0" w:rsidRPr="005074AA" w:rsidRDefault="0041011A" w:rsidP="00D324A9">
      <w:pPr>
        <w:pStyle w:val="Title"/>
        <w:rPr>
          <w:b w:val="0"/>
          <w:iCs/>
        </w:rPr>
      </w:pPr>
      <w:r w:rsidRPr="005074AA">
        <w:rPr>
          <w:sz w:val="28"/>
          <w:szCs w:val="28"/>
        </w:rPr>
        <w:t>Statement of Compatibility with Human Rights</w:t>
      </w:r>
      <w:r w:rsidR="008C224B" w:rsidRPr="005074AA">
        <w:rPr>
          <w:sz w:val="28"/>
          <w:szCs w:val="28"/>
        </w:rPr>
        <w:br/>
      </w:r>
    </w:p>
    <w:p w14:paraId="38E92B8E" w14:textId="3794F0E1" w:rsidR="00D324A9" w:rsidRPr="005074AA" w:rsidRDefault="00D324A9" w:rsidP="00D324A9">
      <w:pPr>
        <w:pStyle w:val="Title"/>
        <w:rPr>
          <w:b w:val="0"/>
          <w:i/>
        </w:rPr>
      </w:pPr>
      <w:r w:rsidRPr="005074AA">
        <w:rPr>
          <w:b w:val="0"/>
          <w:i/>
        </w:rPr>
        <w:t>Prepared in accordance with Part 3 of the Humans Rights (Parliamentary Scrutiny) Act 2011</w:t>
      </w:r>
    </w:p>
    <w:p w14:paraId="6438B27D" w14:textId="77777777" w:rsidR="00D324A9" w:rsidRPr="005074AA" w:rsidRDefault="00D324A9" w:rsidP="00D324A9">
      <w:pPr>
        <w:pStyle w:val="Title"/>
        <w:rPr>
          <w:b w:val="0"/>
          <w:bCs/>
          <w:iCs/>
        </w:rPr>
      </w:pPr>
    </w:p>
    <w:p w14:paraId="6E243F52" w14:textId="63EE019F" w:rsidR="00D324A9" w:rsidRPr="005074AA" w:rsidRDefault="00CA6077" w:rsidP="00D324A9">
      <w:pPr>
        <w:pStyle w:val="Title"/>
        <w:rPr>
          <w:b w:val="0"/>
          <w:bCs/>
        </w:rPr>
      </w:pPr>
      <w:r w:rsidRPr="005074AA">
        <w:rPr>
          <w:i/>
        </w:rPr>
        <w:t xml:space="preserve">Aged Care </w:t>
      </w:r>
      <w:r w:rsidR="00567CFD" w:rsidRPr="005074AA">
        <w:rPr>
          <w:i/>
        </w:rPr>
        <w:t xml:space="preserve">Legislation </w:t>
      </w:r>
      <w:r w:rsidRPr="005074AA">
        <w:rPr>
          <w:i/>
        </w:rPr>
        <w:t>Amendment (</w:t>
      </w:r>
      <w:r w:rsidR="006B1003" w:rsidRPr="005074AA">
        <w:rPr>
          <w:i/>
        </w:rPr>
        <w:t>September</w:t>
      </w:r>
      <w:r w:rsidRPr="005074AA">
        <w:rPr>
          <w:i/>
        </w:rPr>
        <w:t xml:space="preserve"> Indexation) </w:t>
      </w:r>
      <w:r w:rsidR="00964729" w:rsidRPr="005074AA">
        <w:rPr>
          <w:i/>
        </w:rPr>
        <w:t>Instrument</w:t>
      </w:r>
      <w:r w:rsidRPr="005074AA">
        <w:rPr>
          <w:i/>
        </w:rPr>
        <w:t xml:space="preserve"> 202</w:t>
      </w:r>
      <w:r w:rsidR="00B4323D" w:rsidRPr="005074AA">
        <w:rPr>
          <w:i/>
        </w:rPr>
        <w:t>4</w:t>
      </w:r>
      <w:r w:rsidR="00D324A9" w:rsidRPr="005074AA">
        <w:br/>
      </w:r>
    </w:p>
    <w:p w14:paraId="7F341262" w14:textId="77777777" w:rsidR="00182CA0" w:rsidRPr="005074AA" w:rsidRDefault="00182CA0" w:rsidP="00D324A9">
      <w:pPr>
        <w:pStyle w:val="Title"/>
        <w:rPr>
          <w:b w:val="0"/>
          <w:bCs/>
        </w:rPr>
      </w:pPr>
    </w:p>
    <w:p w14:paraId="7F9E2BCA" w14:textId="40EE1435" w:rsidR="00D324A9" w:rsidRPr="005074AA" w:rsidRDefault="00182CA0" w:rsidP="000B1642">
      <w:pPr>
        <w:pStyle w:val="Title"/>
        <w:rPr>
          <w:b w:val="0"/>
          <w:szCs w:val="24"/>
        </w:rPr>
      </w:pPr>
      <w:r w:rsidRPr="005074AA">
        <w:rPr>
          <w:b w:val="0"/>
          <w:szCs w:val="24"/>
        </w:rPr>
        <w:t>This Disallowable Legislative Instrument</w:t>
      </w:r>
      <w:r w:rsidR="00CA6077" w:rsidRPr="005074AA">
        <w:rPr>
          <w:b w:val="0"/>
          <w:i/>
          <w:szCs w:val="24"/>
        </w:rPr>
        <w:t xml:space="preserve"> </w:t>
      </w:r>
      <w:r w:rsidR="00D324A9" w:rsidRPr="005074AA">
        <w:rPr>
          <w:b w:val="0"/>
          <w:szCs w:val="24"/>
        </w:rPr>
        <w:t xml:space="preserve">is compatible with the human rights and freedoms recognised or declared in the international instruments listed in section 3 of the </w:t>
      </w:r>
      <w:r w:rsidR="00D324A9" w:rsidRPr="005074AA">
        <w:rPr>
          <w:b w:val="0"/>
          <w:i/>
          <w:szCs w:val="24"/>
        </w:rPr>
        <w:t>Human Rights (Parliamentary Scrutiny Act) Act 2011</w:t>
      </w:r>
      <w:r w:rsidR="00D324A9" w:rsidRPr="005074AA">
        <w:rPr>
          <w:b w:val="0"/>
          <w:szCs w:val="24"/>
        </w:rPr>
        <w:t>.</w:t>
      </w:r>
    </w:p>
    <w:p w14:paraId="7202E016" w14:textId="77777777" w:rsidR="00D324A9" w:rsidRPr="005074AA" w:rsidRDefault="00D324A9" w:rsidP="00D324A9">
      <w:pPr>
        <w:pStyle w:val="Title"/>
        <w:jc w:val="left"/>
        <w:rPr>
          <w:b w:val="0"/>
          <w:szCs w:val="24"/>
        </w:rPr>
      </w:pPr>
    </w:p>
    <w:p w14:paraId="735BA7FF" w14:textId="4CF8E9FE" w:rsidR="00D324A9" w:rsidRPr="005074AA" w:rsidRDefault="00D324A9" w:rsidP="00D324A9">
      <w:pPr>
        <w:pStyle w:val="Title"/>
        <w:jc w:val="left"/>
        <w:rPr>
          <w:szCs w:val="24"/>
        </w:rPr>
      </w:pPr>
      <w:r w:rsidRPr="005074AA">
        <w:rPr>
          <w:szCs w:val="24"/>
        </w:rPr>
        <w:t xml:space="preserve">Overview of </w:t>
      </w:r>
      <w:r w:rsidR="00182CA0" w:rsidRPr="005074AA">
        <w:rPr>
          <w:szCs w:val="24"/>
        </w:rPr>
        <w:t xml:space="preserve">the Disallowable </w:t>
      </w:r>
      <w:r w:rsidRPr="005074AA">
        <w:rPr>
          <w:szCs w:val="24"/>
        </w:rPr>
        <w:t>Legislative Instrument</w:t>
      </w:r>
    </w:p>
    <w:p w14:paraId="71833B0B" w14:textId="36559087" w:rsidR="00CA6077" w:rsidRPr="005074AA" w:rsidRDefault="00182CA0" w:rsidP="00043350">
      <w:pPr>
        <w:pStyle w:val="Title"/>
        <w:jc w:val="both"/>
        <w:rPr>
          <w:b w:val="0"/>
          <w:bCs/>
          <w:szCs w:val="24"/>
        </w:rPr>
      </w:pPr>
      <w:r w:rsidRPr="005074AA">
        <w:rPr>
          <w:b w:val="0"/>
          <w:szCs w:val="24"/>
        </w:rPr>
        <w:t xml:space="preserve">The </w:t>
      </w:r>
      <w:r w:rsidRPr="005074AA">
        <w:rPr>
          <w:b w:val="0"/>
          <w:i/>
          <w:iCs/>
          <w:szCs w:val="24"/>
        </w:rPr>
        <w:t>Aged Care Legislation Amendment (</w:t>
      </w:r>
      <w:r w:rsidR="006B1003" w:rsidRPr="005074AA">
        <w:rPr>
          <w:b w:val="0"/>
          <w:i/>
          <w:iCs/>
          <w:szCs w:val="24"/>
        </w:rPr>
        <w:t>September</w:t>
      </w:r>
      <w:r w:rsidRPr="005074AA">
        <w:rPr>
          <w:b w:val="0"/>
          <w:i/>
          <w:iCs/>
          <w:szCs w:val="24"/>
        </w:rPr>
        <w:t xml:space="preserve"> Indexation) Instrument 202</w:t>
      </w:r>
      <w:r w:rsidR="00B4323D" w:rsidRPr="005074AA">
        <w:rPr>
          <w:b w:val="0"/>
          <w:i/>
          <w:iCs/>
          <w:szCs w:val="24"/>
        </w:rPr>
        <w:t>4</w:t>
      </w:r>
      <w:r w:rsidRPr="005074AA">
        <w:rPr>
          <w:b w:val="0"/>
          <w:i/>
          <w:iCs/>
          <w:szCs w:val="24"/>
        </w:rPr>
        <w:t xml:space="preserve"> </w:t>
      </w:r>
      <w:r w:rsidRPr="005074AA">
        <w:rPr>
          <w:b w:val="0"/>
          <w:szCs w:val="24"/>
        </w:rPr>
        <w:t>(Amending Instrument)</w:t>
      </w:r>
      <w:r w:rsidR="00D324A9" w:rsidRPr="005074AA">
        <w:rPr>
          <w:b w:val="0"/>
          <w:szCs w:val="24"/>
        </w:rPr>
        <w:t xml:space="preserve"> amends the</w:t>
      </w:r>
      <w:r w:rsidR="00D324A9" w:rsidRPr="005074AA">
        <w:rPr>
          <w:b w:val="0"/>
          <w:i/>
          <w:szCs w:val="24"/>
        </w:rPr>
        <w:t xml:space="preserve"> Aged Care (Subsidy, Fees and Payments) Determination 2014</w:t>
      </w:r>
      <w:r w:rsidR="00CA6077" w:rsidRPr="005074AA">
        <w:rPr>
          <w:b w:val="0"/>
          <w:i/>
          <w:szCs w:val="24"/>
        </w:rPr>
        <w:t xml:space="preserve"> </w:t>
      </w:r>
      <w:r w:rsidR="00CA6077" w:rsidRPr="005074AA">
        <w:rPr>
          <w:b w:val="0"/>
          <w:iCs/>
          <w:szCs w:val="24"/>
        </w:rPr>
        <w:t>and</w:t>
      </w:r>
      <w:r w:rsidR="00CA6077" w:rsidRPr="005074AA">
        <w:rPr>
          <w:b w:val="0"/>
          <w:iCs/>
        </w:rPr>
        <w:t xml:space="preserve"> the</w:t>
      </w:r>
      <w:r w:rsidR="00CA6077" w:rsidRPr="005074AA">
        <w:t xml:space="preserve"> </w:t>
      </w:r>
      <w:r w:rsidR="00CA6077" w:rsidRPr="005074AA">
        <w:rPr>
          <w:b w:val="0"/>
          <w:i/>
          <w:szCs w:val="24"/>
        </w:rPr>
        <w:t>Aged Care (Transitional Provisions) (Subsidy and Other Measures) Determination 2014</w:t>
      </w:r>
      <w:r w:rsidR="00D324A9" w:rsidRPr="005074AA">
        <w:rPr>
          <w:b w:val="0"/>
          <w:szCs w:val="24"/>
        </w:rPr>
        <w:t xml:space="preserve"> </w:t>
      </w:r>
      <w:r w:rsidR="00CA6077" w:rsidRPr="005074AA">
        <w:rPr>
          <w:b w:val="0"/>
          <w:szCs w:val="24"/>
        </w:rPr>
        <w:t xml:space="preserve">to </w:t>
      </w:r>
      <w:r w:rsidR="00D324A9" w:rsidRPr="005074AA">
        <w:rPr>
          <w:b w:val="0"/>
          <w:szCs w:val="24"/>
        </w:rPr>
        <w:t>increase the</w:t>
      </w:r>
      <w:r w:rsidR="00D32527" w:rsidRPr="005074AA">
        <w:rPr>
          <w:b w:val="0"/>
          <w:szCs w:val="24"/>
        </w:rPr>
        <w:t xml:space="preserve"> dollar</w:t>
      </w:r>
      <w:r w:rsidR="00D324A9" w:rsidRPr="005074AA">
        <w:rPr>
          <w:b w:val="0"/>
          <w:szCs w:val="24"/>
        </w:rPr>
        <w:t xml:space="preserve"> amount of particular supplements payable to approved providers of aged care services in line with the changes to the </w:t>
      </w:r>
      <w:r w:rsidR="003C7130" w:rsidRPr="005074AA">
        <w:rPr>
          <w:b w:val="0"/>
          <w:bCs/>
          <w:szCs w:val="24"/>
        </w:rPr>
        <w:t>Australian consumer price index</w:t>
      </w:r>
      <w:r w:rsidR="005F564D" w:rsidRPr="005074AA">
        <w:rPr>
          <w:b w:val="0"/>
          <w:bCs/>
          <w:szCs w:val="24"/>
        </w:rPr>
        <w:t xml:space="preserve"> (CPI)</w:t>
      </w:r>
      <w:r w:rsidR="003C7130" w:rsidRPr="005074AA">
        <w:rPr>
          <w:b w:val="0"/>
          <w:bCs/>
          <w:szCs w:val="24"/>
        </w:rPr>
        <w:t xml:space="preserve"> over </w:t>
      </w:r>
      <w:r w:rsidR="000B1642" w:rsidRPr="005074AA">
        <w:rPr>
          <w:b w:val="0"/>
          <w:bCs/>
          <w:szCs w:val="24"/>
        </w:rPr>
        <w:t xml:space="preserve">the </w:t>
      </w:r>
      <w:r w:rsidR="003C7130" w:rsidRPr="005074AA">
        <w:rPr>
          <w:b w:val="0"/>
          <w:bCs/>
          <w:szCs w:val="24"/>
        </w:rPr>
        <w:t>6 month</w:t>
      </w:r>
      <w:r w:rsidR="00437624" w:rsidRPr="005074AA">
        <w:rPr>
          <w:b w:val="0"/>
          <w:bCs/>
          <w:szCs w:val="24"/>
        </w:rPr>
        <w:t xml:space="preserve"> period</w:t>
      </w:r>
      <w:r w:rsidR="003C7130" w:rsidRPr="005074AA">
        <w:rPr>
          <w:b w:val="0"/>
          <w:bCs/>
          <w:szCs w:val="24"/>
        </w:rPr>
        <w:t xml:space="preserve"> </w:t>
      </w:r>
      <w:r w:rsidR="006C551A" w:rsidRPr="005074AA">
        <w:rPr>
          <w:b w:val="0"/>
          <w:bCs/>
          <w:szCs w:val="24"/>
        </w:rPr>
        <w:t>from</w:t>
      </w:r>
      <w:r w:rsidR="00E5326B" w:rsidRPr="005074AA">
        <w:rPr>
          <w:b w:val="0"/>
          <w:bCs/>
          <w:szCs w:val="24"/>
        </w:rPr>
        <w:t xml:space="preserve"> 1 January 2024 to 30 June 2024</w:t>
      </w:r>
      <w:r w:rsidR="003C7130" w:rsidRPr="005074AA">
        <w:rPr>
          <w:b w:val="0"/>
          <w:bCs/>
          <w:szCs w:val="24"/>
        </w:rPr>
        <w:t xml:space="preserve">, </w:t>
      </w:r>
      <w:r w:rsidR="00D324A9" w:rsidRPr="005074AA">
        <w:rPr>
          <w:b w:val="0"/>
          <w:bCs/>
          <w:szCs w:val="24"/>
        </w:rPr>
        <w:t xml:space="preserve">in addition to increasing the value of </w:t>
      </w:r>
      <w:r w:rsidR="000B1642" w:rsidRPr="005074AA">
        <w:rPr>
          <w:b w:val="0"/>
          <w:bCs/>
          <w:szCs w:val="24"/>
        </w:rPr>
        <w:t xml:space="preserve">the annual and lifetime </w:t>
      </w:r>
      <w:r w:rsidR="00D324A9" w:rsidRPr="005074AA">
        <w:rPr>
          <w:b w:val="0"/>
          <w:bCs/>
          <w:szCs w:val="24"/>
        </w:rPr>
        <w:t xml:space="preserve">caps and </w:t>
      </w:r>
      <w:r w:rsidR="000B1642" w:rsidRPr="005074AA">
        <w:rPr>
          <w:b w:val="0"/>
          <w:bCs/>
          <w:szCs w:val="24"/>
        </w:rPr>
        <w:t xml:space="preserve">income and asset </w:t>
      </w:r>
      <w:r w:rsidR="00D324A9" w:rsidRPr="005074AA">
        <w:rPr>
          <w:b w:val="0"/>
          <w:bCs/>
          <w:szCs w:val="24"/>
        </w:rPr>
        <w:t>thresholds in line with</w:t>
      </w:r>
      <w:r w:rsidR="003C7130" w:rsidRPr="005074AA">
        <w:rPr>
          <w:b w:val="0"/>
          <w:bCs/>
          <w:szCs w:val="24"/>
        </w:rPr>
        <w:t xml:space="preserve"> the changes to the age pension rates</w:t>
      </w:r>
      <w:r w:rsidR="00D324A9" w:rsidRPr="005074AA">
        <w:rPr>
          <w:b w:val="0"/>
          <w:bCs/>
          <w:szCs w:val="24"/>
        </w:rPr>
        <w:t>.</w:t>
      </w:r>
      <w:r w:rsidR="004C4DDA" w:rsidRPr="005074AA">
        <w:rPr>
          <w:b w:val="0"/>
          <w:bCs/>
          <w:szCs w:val="24"/>
        </w:rPr>
        <w:t xml:space="preserve"> </w:t>
      </w:r>
    </w:p>
    <w:p w14:paraId="5EDFA119" w14:textId="77777777" w:rsidR="00CA6077" w:rsidRPr="005074AA" w:rsidRDefault="00CA6077" w:rsidP="00CA6077">
      <w:pPr>
        <w:jc w:val="both"/>
        <w:rPr>
          <w:szCs w:val="24"/>
        </w:rPr>
      </w:pPr>
    </w:p>
    <w:p w14:paraId="45460E42" w14:textId="3222F9B4" w:rsidR="00CA6077" w:rsidRPr="005074AA" w:rsidRDefault="002E504C" w:rsidP="00CA6077">
      <w:pPr>
        <w:jc w:val="both"/>
      </w:pPr>
      <w:r w:rsidRPr="005074AA">
        <w:rPr>
          <w:szCs w:val="24"/>
        </w:rPr>
        <w:t>The Amending Instrument</w:t>
      </w:r>
      <w:r w:rsidR="00CA6077" w:rsidRPr="005074AA">
        <w:rPr>
          <w:szCs w:val="24"/>
        </w:rPr>
        <w:t xml:space="preserve"> also amends the </w:t>
      </w:r>
      <w:r w:rsidR="00CA6077" w:rsidRPr="005074AA">
        <w:rPr>
          <w:i/>
          <w:iCs/>
          <w:szCs w:val="24"/>
        </w:rPr>
        <w:t>Aged Care (Transitional Provisions) Principles 2014</w:t>
      </w:r>
      <w:r w:rsidR="00CA6077" w:rsidRPr="005074AA">
        <w:rPr>
          <w:szCs w:val="24"/>
        </w:rPr>
        <w:t xml:space="preserve"> to </w:t>
      </w:r>
      <w:r w:rsidR="00CA6077" w:rsidRPr="005074AA">
        <w:t xml:space="preserve">update the specified amount of maximum accommodation charge for a post-2008 reform resident </w:t>
      </w:r>
      <w:proofErr w:type="gramStart"/>
      <w:r w:rsidR="00CA6077" w:rsidRPr="005074AA">
        <w:t>as a result of</w:t>
      </w:r>
      <w:proofErr w:type="gramEnd"/>
      <w:r w:rsidR="00CA6077" w:rsidRPr="005074AA">
        <w:t xml:space="preserve"> routine indexation. Section 44</w:t>
      </w:r>
      <w:r w:rsidR="00CA6077" w:rsidRPr="005074AA">
        <w:noBreakHyphen/>
        <w:t xml:space="preserve">5C of the </w:t>
      </w:r>
      <w:r w:rsidR="00CA6077" w:rsidRPr="005074AA">
        <w:rPr>
          <w:i/>
          <w:iCs/>
        </w:rPr>
        <w:t>Aged Care (Transitional Provisions) Act 1997</w:t>
      </w:r>
      <w:r w:rsidR="00CA6077" w:rsidRPr="005074AA">
        <w:t xml:space="preserve"> provides that a person is a post</w:t>
      </w:r>
      <w:r w:rsidR="00CA6077" w:rsidRPr="005074AA">
        <w:noBreakHyphen/>
        <w:t>2008 reform resident if they are being provided with care through a residential care service and the person is not a pre</w:t>
      </w:r>
      <w:r w:rsidR="00CA6077" w:rsidRPr="005074AA">
        <w:noBreakHyphen/>
        <w:t>2008 reform resident (as defined in section 44</w:t>
      </w:r>
      <w:r w:rsidR="00CA6077" w:rsidRPr="005074AA">
        <w:noBreakHyphen/>
        <w:t>5D of the</w:t>
      </w:r>
      <w:r w:rsidR="00033F9B" w:rsidRPr="005074AA">
        <w:t xml:space="preserve"> </w:t>
      </w:r>
      <w:r w:rsidR="00033F9B" w:rsidRPr="005074AA">
        <w:rPr>
          <w:i/>
          <w:iCs/>
        </w:rPr>
        <w:t>Aged Care</w:t>
      </w:r>
      <w:r w:rsidR="00CA6077" w:rsidRPr="005074AA">
        <w:rPr>
          <w:i/>
          <w:iCs/>
        </w:rPr>
        <w:t xml:space="preserve"> </w:t>
      </w:r>
      <w:r w:rsidR="00033F9B" w:rsidRPr="005074AA">
        <w:rPr>
          <w:i/>
          <w:iCs/>
        </w:rPr>
        <w:t>(</w:t>
      </w:r>
      <w:r w:rsidR="00CA6077" w:rsidRPr="005074AA">
        <w:rPr>
          <w:i/>
          <w:iCs/>
        </w:rPr>
        <w:t>Transitional Provisions</w:t>
      </w:r>
      <w:r w:rsidR="00033F9B" w:rsidRPr="005074AA">
        <w:rPr>
          <w:i/>
          <w:iCs/>
        </w:rPr>
        <w:t>)</w:t>
      </w:r>
      <w:r w:rsidR="00CA6077" w:rsidRPr="005074AA">
        <w:rPr>
          <w:i/>
          <w:iCs/>
        </w:rPr>
        <w:t xml:space="preserve"> Act</w:t>
      </w:r>
      <w:r w:rsidR="00033F9B" w:rsidRPr="005074AA">
        <w:rPr>
          <w:i/>
          <w:iCs/>
        </w:rPr>
        <w:t xml:space="preserve"> 1997</w:t>
      </w:r>
      <w:r w:rsidR="00CA6077" w:rsidRPr="005074AA">
        <w:t>).</w:t>
      </w:r>
    </w:p>
    <w:p w14:paraId="69F9EC07" w14:textId="77777777" w:rsidR="005A24FB" w:rsidRPr="005074AA" w:rsidRDefault="005A24FB" w:rsidP="005A24FB">
      <w:pPr>
        <w:tabs>
          <w:tab w:val="left" w:pos="720"/>
        </w:tabs>
        <w:jc w:val="both"/>
        <w:rPr>
          <w:szCs w:val="24"/>
          <w:lang w:val="en-AU"/>
        </w:rPr>
      </w:pPr>
    </w:p>
    <w:p w14:paraId="304C66FC" w14:textId="77777777" w:rsidR="00D324A9" w:rsidRPr="005074AA" w:rsidRDefault="00D324A9" w:rsidP="00D324A9">
      <w:pPr>
        <w:pStyle w:val="Title"/>
        <w:jc w:val="left"/>
        <w:rPr>
          <w:szCs w:val="24"/>
        </w:rPr>
      </w:pPr>
      <w:r w:rsidRPr="005074AA">
        <w:rPr>
          <w:szCs w:val="24"/>
        </w:rPr>
        <w:t>Human Rights Implications</w:t>
      </w:r>
    </w:p>
    <w:p w14:paraId="27BDB240" w14:textId="1D648EEE" w:rsidR="00293691" w:rsidRPr="005074AA" w:rsidRDefault="00633866" w:rsidP="00293691">
      <w:pPr>
        <w:pStyle w:val="Title"/>
        <w:jc w:val="both"/>
        <w:rPr>
          <w:b w:val="0"/>
          <w:szCs w:val="24"/>
        </w:rPr>
      </w:pPr>
      <w:r w:rsidRPr="005074AA">
        <w:rPr>
          <w:b w:val="0"/>
          <w:szCs w:val="24"/>
        </w:rPr>
        <w:t>The Amending Instrument</w:t>
      </w:r>
      <w:r w:rsidR="00293691" w:rsidRPr="005074AA">
        <w:rPr>
          <w:b w:val="0"/>
          <w:szCs w:val="24"/>
        </w:rPr>
        <w:t xml:space="preserve"> engages the following human rights contained in Articles 11(1) and 12(1) of the </w:t>
      </w:r>
      <w:r w:rsidR="00293691" w:rsidRPr="005074AA">
        <w:rPr>
          <w:b w:val="0"/>
          <w:i/>
          <w:szCs w:val="24"/>
        </w:rPr>
        <w:t>International Covenant on Economic, Social and Cultural Rights</w:t>
      </w:r>
      <w:r w:rsidR="00293691" w:rsidRPr="005074AA">
        <w:rPr>
          <w:b w:val="0"/>
          <w:szCs w:val="24"/>
        </w:rPr>
        <w:t xml:space="preserve"> (ICESCR) and Articles 25 and 28</w:t>
      </w:r>
      <w:r w:rsidR="00FA32AE" w:rsidRPr="005074AA">
        <w:rPr>
          <w:b w:val="0"/>
          <w:szCs w:val="24"/>
        </w:rPr>
        <w:t>(1)</w:t>
      </w:r>
      <w:r w:rsidR="00293691" w:rsidRPr="005074AA">
        <w:rPr>
          <w:b w:val="0"/>
          <w:szCs w:val="24"/>
        </w:rPr>
        <w:t xml:space="preserve"> of </w:t>
      </w:r>
      <w:r w:rsidR="00A75AEB" w:rsidRPr="005074AA">
        <w:rPr>
          <w:b w:val="0"/>
          <w:szCs w:val="24"/>
        </w:rPr>
        <w:t xml:space="preserve">the </w:t>
      </w:r>
      <w:r w:rsidR="00293691" w:rsidRPr="005074AA">
        <w:rPr>
          <w:b w:val="0"/>
          <w:i/>
          <w:szCs w:val="24"/>
        </w:rPr>
        <w:t>Convention of the Rights of Persons with Disabilities</w:t>
      </w:r>
      <w:r w:rsidR="00293691" w:rsidRPr="005074AA">
        <w:rPr>
          <w:b w:val="0"/>
          <w:szCs w:val="24"/>
        </w:rPr>
        <w:t xml:space="preserve"> (CRPD):</w:t>
      </w:r>
    </w:p>
    <w:p w14:paraId="4411CA1D" w14:textId="0B2CE989" w:rsidR="006A38EE" w:rsidRPr="005074AA" w:rsidRDefault="00293691" w:rsidP="00FB0C59">
      <w:pPr>
        <w:pStyle w:val="Title"/>
        <w:numPr>
          <w:ilvl w:val="0"/>
          <w:numId w:val="14"/>
        </w:numPr>
        <w:tabs>
          <w:tab w:val="clear" w:pos="720"/>
        </w:tabs>
        <w:ind w:left="851" w:hanging="283"/>
        <w:jc w:val="both"/>
        <w:rPr>
          <w:b w:val="0"/>
          <w:szCs w:val="24"/>
        </w:rPr>
      </w:pPr>
      <w:r w:rsidRPr="005074AA">
        <w:rPr>
          <w:b w:val="0"/>
          <w:szCs w:val="24"/>
        </w:rPr>
        <w:t>the right to an adequate standard of living</w:t>
      </w:r>
      <w:r w:rsidR="00245587" w:rsidRPr="005074AA">
        <w:rPr>
          <w:b w:val="0"/>
          <w:szCs w:val="24"/>
        </w:rPr>
        <w:t xml:space="preserve">, including with respect to food, clothing and housing, and </w:t>
      </w:r>
      <w:r w:rsidR="00F40845" w:rsidRPr="005074AA">
        <w:rPr>
          <w:b w:val="0"/>
          <w:szCs w:val="24"/>
        </w:rPr>
        <w:t xml:space="preserve">the right </w:t>
      </w:r>
      <w:r w:rsidR="00245587" w:rsidRPr="005074AA">
        <w:rPr>
          <w:b w:val="0"/>
          <w:szCs w:val="24"/>
        </w:rPr>
        <w:t>to the continuous improvement of living conditions</w:t>
      </w:r>
      <w:r w:rsidR="00175A95" w:rsidRPr="005074AA">
        <w:rPr>
          <w:b w:val="0"/>
          <w:szCs w:val="24"/>
        </w:rPr>
        <w:t xml:space="preserve"> (</w:t>
      </w:r>
      <w:r w:rsidR="006B435B" w:rsidRPr="005074AA">
        <w:rPr>
          <w:b w:val="0"/>
          <w:szCs w:val="24"/>
        </w:rPr>
        <w:t>A</w:t>
      </w:r>
      <w:r w:rsidR="00175A95" w:rsidRPr="005074AA">
        <w:rPr>
          <w:b w:val="0"/>
          <w:szCs w:val="24"/>
        </w:rPr>
        <w:t xml:space="preserve">rticle 11(1) of ICESCR and </w:t>
      </w:r>
      <w:r w:rsidR="006B435B" w:rsidRPr="005074AA">
        <w:rPr>
          <w:b w:val="0"/>
          <w:szCs w:val="24"/>
        </w:rPr>
        <w:t>A</w:t>
      </w:r>
      <w:r w:rsidR="00175A95" w:rsidRPr="005074AA">
        <w:rPr>
          <w:b w:val="0"/>
          <w:szCs w:val="24"/>
        </w:rPr>
        <w:t>rticle 28</w:t>
      </w:r>
      <w:r w:rsidR="00FA32AE" w:rsidRPr="005074AA">
        <w:rPr>
          <w:b w:val="0"/>
          <w:szCs w:val="24"/>
        </w:rPr>
        <w:t>(1)</w:t>
      </w:r>
      <w:r w:rsidR="00175A95" w:rsidRPr="005074AA">
        <w:rPr>
          <w:b w:val="0"/>
          <w:szCs w:val="24"/>
        </w:rPr>
        <w:t xml:space="preserve"> of CPRD)</w:t>
      </w:r>
      <w:r w:rsidRPr="005074AA">
        <w:rPr>
          <w:b w:val="0"/>
          <w:szCs w:val="24"/>
        </w:rPr>
        <w:t>;</w:t>
      </w:r>
      <w:r w:rsidR="00175A95" w:rsidRPr="005074AA">
        <w:rPr>
          <w:b w:val="0"/>
          <w:szCs w:val="24"/>
        </w:rPr>
        <w:t xml:space="preserve"> and</w:t>
      </w:r>
      <w:r w:rsidR="007A13C1" w:rsidRPr="005074AA">
        <w:rPr>
          <w:b w:val="0"/>
          <w:szCs w:val="24"/>
        </w:rPr>
        <w:t xml:space="preserve"> </w:t>
      </w:r>
    </w:p>
    <w:p w14:paraId="6E29951D" w14:textId="320D520F" w:rsidR="00293691" w:rsidRPr="005074AA" w:rsidRDefault="00293691" w:rsidP="00FB0C59">
      <w:pPr>
        <w:pStyle w:val="Title"/>
        <w:numPr>
          <w:ilvl w:val="0"/>
          <w:numId w:val="14"/>
        </w:numPr>
        <w:tabs>
          <w:tab w:val="clear" w:pos="720"/>
        </w:tabs>
        <w:ind w:left="851" w:hanging="283"/>
        <w:jc w:val="both"/>
        <w:rPr>
          <w:b w:val="0"/>
          <w:szCs w:val="24"/>
        </w:rPr>
      </w:pPr>
      <w:r w:rsidRPr="005074AA">
        <w:rPr>
          <w:b w:val="0"/>
          <w:szCs w:val="24"/>
        </w:rPr>
        <w:t>the right to the enjoyment of the highest attainable standard of physical and mental health</w:t>
      </w:r>
      <w:r w:rsidR="00175A95" w:rsidRPr="005074AA">
        <w:rPr>
          <w:b w:val="0"/>
          <w:szCs w:val="24"/>
        </w:rPr>
        <w:t xml:space="preserve"> (</w:t>
      </w:r>
      <w:r w:rsidR="006B435B" w:rsidRPr="005074AA">
        <w:rPr>
          <w:b w:val="0"/>
          <w:szCs w:val="24"/>
        </w:rPr>
        <w:t>A</w:t>
      </w:r>
      <w:r w:rsidR="00175A95" w:rsidRPr="005074AA">
        <w:rPr>
          <w:b w:val="0"/>
          <w:szCs w:val="24"/>
        </w:rPr>
        <w:t xml:space="preserve">rticle 12(1) of ICESCR and </w:t>
      </w:r>
      <w:r w:rsidR="006B435B" w:rsidRPr="005074AA">
        <w:rPr>
          <w:b w:val="0"/>
          <w:szCs w:val="24"/>
        </w:rPr>
        <w:t>A</w:t>
      </w:r>
      <w:r w:rsidR="00175A95" w:rsidRPr="005074AA">
        <w:rPr>
          <w:b w:val="0"/>
          <w:szCs w:val="24"/>
        </w:rPr>
        <w:t>rticle 25 of the CPRD)</w:t>
      </w:r>
    </w:p>
    <w:p w14:paraId="4C4A5D0A" w14:textId="77777777" w:rsidR="00293691" w:rsidRPr="005074AA" w:rsidRDefault="00293691" w:rsidP="00293691">
      <w:pPr>
        <w:pStyle w:val="Title"/>
        <w:jc w:val="both"/>
        <w:rPr>
          <w:b w:val="0"/>
          <w:szCs w:val="24"/>
        </w:rPr>
      </w:pPr>
    </w:p>
    <w:p w14:paraId="5BE02ADD" w14:textId="0DCDC3FA" w:rsidR="00293691" w:rsidRPr="005074AA" w:rsidRDefault="00293691" w:rsidP="00293691">
      <w:pPr>
        <w:pStyle w:val="Title"/>
        <w:jc w:val="both"/>
        <w:rPr>
          <w:b w:val="0"/>
          <w:szCs w:val="24"/>
        </w:rPr>
      </w:pPr>
      <w:r w:rsidRPr="005074AA">
        <w:rPr>
          <w:b w:val="0"/>
          <w:szCs w:val="24"/>
        </w:rPr>
        <w:t>Indexation of aged care subsidies and payments increase</w:t>
      </w:r>
      <w:r w:rsidR="00F40845" w:rsidRPr="005074AA">
        <w:rPr>
          <w:b w:val="0"/>
          <w:szCs w:val="24"/>
        </w:rPr>
        <w:t>s</w:t>
      </w:r>
      <w:r w:rsidRPr="005074AA">
        <w:rPr>
          <w:b w:val="0"/>
          <w:szCs w:val="24"/>
        </w:rPr>
        <w:t xml:space="preserve"> the amount of subsidy payable to approved providers for the provision of care and services to people </w:t>
      </w:r>
      <w:r w:rsidR="00CA5096" w:rsidRPr="005074AA">
        <w:rPr>
          <w:b w:val="0"/>
          <w:szCs w:val="24"/>
        </w:rPr>
        <w:t>living in aged care</w:t>
      </w:r>
      <w:r w:rsidR="00CF0889" w:rsidRPr="005074AA">
        <w:rPr>
          <w:b w:val="0"/>
          <w:szCs w:val="24"/>
        </w:rPr>
        <w:t xml:space="preserve"> facilities or otherwise receiving care</w:t>
      </w:r>
      <w:r w:rsidRPr="005074AA">
        <w:rPr>
          <w:b w:val="0"/>
          <w:szCs w:val="24"/>
        </w:rPr>
        <w:t xml:space="preserve"> who require assistance to achieve and maintain the highest standard of physical and mental health. It also increases the </w:t>
      </w:r>
      <w:r w:rsidR="00D32527" w:rsidRPr="005074AA">
        <w:rPr>
          <w:b w:val="0"/>
          <w:szCs w:val="24"/>
        </w:rPr>
        <w:t xml:space="preserve">dollar </w:t>
      </w:r>
      <w:r w:rsidRPr="005074AA">
        <w:rPr>
          <w:b w:val="0"/>
          <w:szCs w:val="24"/>
        </w:rPr>
        <w:t>amount of additional payments in the form of supplements</w:t>
      </w:r>
      <w:r w:rsidR="00FF675B" w:rsidRPr="005074AA">
        <w:rPr>
          <w:b w:val="0"/>
          <w:szCs w:val="24"/>
        </w:rPr>
        <w:t xml:space="preserve"> that are payable to approved providers </w:t>
      </w:r>
      <w:r w:rsidRPr="005074AA">
        <w:rPr>
          <w:b w:val="0"/>
          <w:szCs w:val="24"/>
        </w:rPr>
        <w:t xml:space="preserve">to assist with the costs of caring for people who are financially disadvantaged. Indexation of aged care fees increases the thresholds and caps that are </w:t>
      </w:r>
      <w:proofErr w:type="gramStart"/>
      <w:r w:rsidR="009F4DF1" w:rsidRPr="005074AA">
        <w:rPr>
          <w:b w:val="0"/>
          <w:szCs w:val="24"/>
        </w:rPr>
        <w:t>taken into account</w:t>
      </w:r>
      <w:proofErr w:type="gramEnd"/>
      <w:r w:rsidR="009F4DF1" w:rsidRPr="005074AA">
        <w:rPr>
          <w:b w:val="0"/>
          <w:szCs w:val="24"/>
        </w:rPr>
        <w:t xml:space="preserve"> </w:t>
      </w:r>
      <w:r w:rsidRPr="005074AA">
        <w:rPr>
          <w:b w:val="0"/>
          <w:szCs w:val="24"/>
        </w:rPr>
        <w:t xml:space="preserve">in determining how much people who can afford to contribute to the cost of their care can be asked to pay. </w:t>
      </w:r>
    </w:p>
    <w:p w14:paraId="41D93F25" w14:textId="77777777" w:rsidR="00293691" w:rsidRPr="005074AA" w:rsidRDefault="00293691" w:rsidP="00293691">
      <w:pPr>
        <w:pStyle w:val="Title"/>
        <w:jc w:val="both"/>
        <w:rPr>
          <w:b w:val="0"/>
          <w:szCs w:val="24"/>
        </w:rPr>
      </w:pPr>
    </w:p>
    <w:p w14:paraId="6BD8F77E" w14:textId="77777777" w:rsidR="00AF0EB8" w:rsidRPr="005074AA" w:rsidRDefault="00293691" w:rsidP="00293691">
      <w:pPr>
        <w:pStyle w:val="Title"/>
        <w:jc w:val="both"/>
        <w:rPr>
          <w:b w:val="0"/>
          <w:szCs w:val="24"/>
        </w:rPr>
      </w:pPr>
      <w:r w:rsidRPr="005074AA">
        <w:rPr>
          <w:b w:val="0"/>
          <w:szCs w:val="24"/>
        </w:rPr>
        <w:t xml:space="preserve">These </w:t>
      </w:r>
      <w:r w:rsidR="00FF675B" w:rsidRPr="005074AA">
        <w:rPr>
          <w:b w:val="0"/>
          <w:szCs w:val="24"/>
        </w:rPr>
        <w:t>changes</w:t>
      </w:r>
      <w:r w:rsidRPr="005074AA">
        <w:rPr>
          <w:b w:val="0"/>
          <w:szCs w:val="24"/>
        </w:rPr>
        <w:t xml:space="preserve"> are designed to ensure the payments and contributions keep pace with increases in the </w:t>
      </w:r>
      <w:r w:rsidR="005F564D" w:rsidRPr="005074AA">
        <w:rPr>
          <w:b w:val="0"/>
          <w:szCs w:val="24"/>
        </w:rPr>
        <w:t>CPI</w:t>
      </w:r>
      <w:r w:rsidRPr="005074AA">
        <w:rPr>
          <w:b w:val="0"/>
          <w:szCs w:val="24"/>
        </w:rPr>
        <w:t xml:space="preserve">. This helps ensure that aged care providers continue to receive sufficient funds </w:t>
      </w:r>
      <w:proofErr w:type="gramStart"/>
      <w:r w:rsidRPr="005074AA">
        <w:rPr>
          <w:b w:val="0"/>
          <w:szCs w:val="24"/>
        </w:rPr>
        <w:t xml:space="preserve">in </w:t>
      </w:r>
      <w:r w:rsidRPr="005074AA">
        <w:rPr>
          <w:b w:val="0"/>
          <w:szCs w:val="24"/>
        </w:rPr>
        <w:lastRenderedPageBreak/>
        <w:t>order to</w:t>
      </w:r>
      <w:proofErr w:type="gramEnd"/>
      <w:r w:rsidRPr="005074AA">
        <w:rPr>
          <w:b w:val="0"/>
          <w:szCs w:val="24"/>
        </w:rPr>
        <w:t xml:space="preserve"> provide care recipients with a high standard of living and care.</w:t>
      </w:r>
    </w:p>
    <w:p w14:paraId="521EFFD1" w14:textId="77777777" w:rsidR="00AF0EB8" w:rsidRPr="005074AA" w:rsidRDefault="00AF0EB8" w:rsidP="00293691">
      <w:pPr>
        <w:pStyle w:val="Title"/>
        <w:jc w:val="both"/>
        <w:rPr>
          <w:b w:val="0"/>
          <w:szCs w:val="24"/>
        </w:rPr>
      </w:pPr>
    </w:p>
    <w:p w14:paraId="05CB3A52" w14:textId="71FA1C03" w:rsidR="00C9607D" w:rsidRPr="005074AA" w:rsidRDefault="00AF0EB8" w:rsidP="00293691">
      <w:pPr>
        <w:pStyle w:val="Title"/>
        <w:jc w:val="both"/>
        <w:rPr>
          <w:b w:val="0"/>
          <w:szCs w:val="24"/>
        </w:rPr>
      </w:pPr>
      <w:r w:rsidRPr="005074AA">
        <w:rPr>
          <w:b w:val="0"/>
          <w:szCs w:val="24"/>
        </w:rPr>
        <w:t>T</w:t>
      </w:r>
      <w:r w:rsidR="005F564D" w:rsidRPr="005074AA">
        <w:rPr>
          <w:b w:val="0"/>
          <w:szCs w:val="24"/>
        </w:rPr>
        <w:t>he Amending Instrument</w:t>
      </w:r>
      <w:r w:rsidR="00293691" w:rsidRPr="005074AA">
        <w:rPr>
          <w:b w:val="0"/>
          <w:szCs w:val="24"/>
        </w:rPr>
        <w:t xml:space="preserve"> positively engages the rights set out in Articles</w:t>
      </w:r>
      <w:r w:rsidR="006B435B" w:rsidRPr="005074AA">
        <w:rPr>
          <w:b w:val="0"/>
          <w:szCs w:val="24"/>
        </w:rPr>
        <w:t> </w:t>
      </w:r>
      <w:r w:rsidR="00293691" w:rsidRPr="005074AA">
        <w:rPr>
          <w:b w:val="0"/>
          <w:szCs w:val="24"/>
        </w:rPr>
        <w:t xml:space="preserve">11(1) and 12(1) of the ICESCR and Articles 25 and 28 of the CRPD by promoting the right to an adequate standard of living and the right to the enjoyment of the highest attainable standard of physical and mental health for persons receiving aged care. </w:t>
      </w:r>
    </w:p>
    <w:p w14:paraId="5B81ADA7" w14:textId="77777777" w:rsidR="00CE43DF" w:rsidRPr="005074AA" w:rsidRDefault="00CE43DF" w:rsidP="00293691">
      <w:pPr>
        <w:pStyle w:val="Title"/>
        <w:jc w:val="left"/>
        <w:rPr>
          <w:b w:val="0"/>
          <w:bCs/>
          <w:szCs w:val="24"/>
        </w:rPr>
      </w:pPr>
    </w:p>
    <w:p w14:paraId="6EA9C75C" w14:textId="104FABE2" w:rsidR="00293691" w:rsidRPr="005074AA" w:rsidRDefault="00293691" w:rsidP="00293691">
      <w:pPr>
        <w:pStyle w:val="Title"/>
        <w:jc w:val="left"/>
        <w:rPr>
          <w:szCs w:val="24"/>
        </w:rPr>
      </w:pPr>
      <w:r w:rsidRPr="005074AA">
        <w:rPr>
          <w:szCs w:val="24"/>
        </w:rPr>
        <w:t xml:space="preserve">Conclusion </w:t>
      </w:r>
    </w:p>
    <w:p w14:paraId="0251FFB9" w14:textId="5AE2C12A" w:rsidR="00293691" w:rsidRPr="005074AA" w:rsidRDefault="00293691" w:rsidP="00293691">
      <w:pPr>
        <w:pStyle w:val="Title"/>
        <w:jc w:val="left"/>
        <w:rPr>
          <w:b w:val="0"/>
          <w:szCs w:val="24"/>
        </w:rPr>
      </w:pPr>
      <w:r w:rsidRPr="005074AA">
        <w:rPr>
          <w:b w:val="0"/>
          <w:szCs w:val="24"/>
        </w:rPr>
        <w:t xml:space="preserve">This legislative instrument is compatible with human rights </w:t>
      </w:r>
      <w:r w:rsidR="008937D8" w:rsidRPr="005074AA">
        <w:rPr>
          <w:b w:val="0"/>
          <w:szCs w:val="24"/>
        </w:rPr>
        <w:t>because it promotes the</w:t>
      </w:r>
      <w:r w:rsidR="006A38EE" w:rsidRPr="005074AA">
        <w:rPr>
          <w:b w:val="0"/>
          <w:szCs w:val="24"/>
        </w:rPr>
        <w:t xml:space="preserve"> right</w:t>
      </w:r>
      <w:r w:rsidR="00D03E98" w:rsidRPr="005074AA">
        <w:rPr>
          <w:b w:val="0"/>
          <w:szCs w:val="24"/>
        </w:rPr>
        <w:t xml:space="preserve"> to</w:t>
      </w:r>
      <w:r w:rsidR="006A38EE" w:rsidRPr="005074AA">
        <w:rPr>
          <w:b w:val="0"/>
          <w:szCs w:val="24"/>
        </w:rPr>
        <w:t xml:space="preserve"> an adequate standard of living and the highest attainable standard of physical and mental health.</w:t>
      </w:r>
    </w:p>
    <w:p w14:paraId="13B6FAF9" w14:textId="77777777" w:rsidR="000E08B9" w:rsidRPr="005074AA" w:rsidRDefault="000E08B9" w:rsidP="00293691">
      <w:pPr>
        <w:pStyle w:val="Title"/>
        <w:jc w:val="left"/>
        <w:rPr>
          <w:b w:val="0"/>
          <w:szCs w:val="24"/>
        </w:rPr>
      </w:pPr>
    </w:p>
    <w:p w14:paraId="6FA1796D" w14:textId="7978608C" w:rsidR="007F51CE" w:rsidRPr="005074AA" w:rsidRDefault="00D32527" w:rsidP="0041011A">
      <w:pPr>
        <w:spacing w:before="120" w:after="120"/>
        <w:jc w:val="center"/>
        <w:rPr>
          <w:b/>
          <w:szCs w:val="24"/>
        </w:rPr>
      </w:pPr>
      <w:r w:rsidRPr="005074AA">
        <w:rPr>
          <w:b/>
          <w:szCs w:val="24"/>
        </w:rPr>
        <w:t>The Hon Anika Wells MP</w:t>
      </w:r>
    </w:p>
    <w:p w14:paraId="20BC2AF5" w14:textId="4CE0A96F" w:rsidR="00E12A1C" w:rsidRDefault="003B6E01" w:rsidP="0041011A">
      <w:pPr>
        <w:spacing w:before="120" w:after="120"/>
        <w:jc w:val="center"/>
        <w:rPr>
          <w:b/>
          <w:szCs w:val="24"/>
        </w:rPr>
      </w:pPr>
      <w:r w:rsidRPr="005074AA">
        <w:rPr>
          <w:b/>
          <w:szCs w:val="24"/>
        </w:rPr>
        <w:t xml:space="preserve">Minister for </w:t>
      </w:r>
      <w:r w:rsidR="00FA4E62" w:rsidRPr="005074AA">
        <w:rPr>
          <w:b/>
          <w:szCs w:val="22"/>
        </w:rPr>
        <w:t>Aged Care</w:t>
      </w:r>
    </w:p>
    <w:sectPr w:rsidR="00E12A1C" w:rsidSect="006400A4">
      <w:headerReference w:type="even" r:id="rId12"/>
      <w:headerReference w:type="default" r:id="rId13"/>
      <w:footerReference w:type="even" r:id="rId14"/>
      <w:footerReference w:type="default" r:id="rId15"/>
      <w:headerReference w:type="first" r:id="rId16"/>
      <w:footerReference w:type="first" r:id="rId17"/>
      <w:pgSz w:w="11906" w:h="16838" w:code="9"/>
      <w:pgMar w:top="1418" w:right="1274" w:bottom="1276"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06DBA" w14:textId="77777777" w:rsidR="00FF331C" w:rsidRDefault="00FF331C">
      <w:r>
        <w:separator/>
      </w:r>
    </w:p>
  </w:endnote>
  <w:endnote w:type="continuationSeparator" w:id="0">
    <w:p w14:paraId="6BF6C9BC" w14:textId="77777777" w:rsidR="00FF331C" w:rsidRDefault="00FF3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49075" w14:textId="77777777" w:rsidR="0041717C" w:rsidRDefault="004171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7A7DF" w14:textId="112D1428" w:rsidR="005A346A" w:rsidRDefault="005A346A" w:rsidP="003C6741">
    <w:pPr>
      <w:pStyle w:val="Footer"/>
      <w:jc w:val="center"/>
    </w:pPr>
    <w:r>
      <w:rPr>
        <w:rStyle w:val="PageNumber"/>
      </w:rPr>
      <w:fldChar w:fldCharType="begin"/>
    </w:r>
    <w:r>
      <w:rPr>
        <w:rStyle w:val="PageNumber"/>
      </w:rPr>
      <w:instrText xml:space="preserve"> PAGE </w:instrText>
    </w:r>
    <w:r>
      <w:rPr>
        <w:rStyle w:val="PageNumber"/>
      </w:rPr>
      <w:fldChar w:fldCharType="separate"/>
    </w:r>
    <w:r w:rsidR="00422F15">
      <w:rPr>
        <w:rStyle w:val="PageNumber"/>
        <w:noProof/>
      </w:rPr>
      <w:t>4</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26B18" w14:textId="77777777" w:rsidR="0041717C" w:rsidRDefault="004171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259F8" w14:textId="77777777" w:rsidR="00FF331C" w:rsidRDefault="00FF331C">
      <w:r>
        <w:separator/>
      </w:r>
    </w:p>
  </w:footnote>
  <w:footnote w:type="continuationSeparator" w:id="0">
    <w:p w14:paraId="1A75995A" w14:textId="77777777" w:rsidR="00FF331C" w:rsidRDefault="00FF33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83E5F" w14:textId="77777777" w:rsidR="0041717C" w:rsidRDefault="004171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895D7" w14:textId="77777777" w:rsidR="0041717C" w:rsidRDefault="004171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EF20C" w14:textId="77777777" w:rsidR="0041717C" w:rsidRDefault="004171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F5301"/>
    <w:multiLevelType w:val="hybridMultilevel"/>
    <w:tmpl w:val="3EF6C1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A63656"/>
    <w:multiLevelType w:val="hybridMultilevel"/>
    <w:tmpl w:val="980684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82626C8"/>
    <w:multiLevelType w:val="hybridMultilevel"/>
    <w:tmpl w:val="16B204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4C7176A"/>
    <w:multiLevelType w:val="hybridMultilevel"/>
    <w:tmpl w:val="F52428E0"/>
    <w:lvl w:ilvl="0" w:tplc="04090001">
      <w:start w:val="1"/>
      <w:numFmt w:val="bullet"/>
      <w:lvlText w:val=""/>
      <w:lvlJc w:val="left"/>
      <w:pPr>
        <w:ind w:left="720" w:hanging="360"/>
      </w:pPr>
      <w:rPr>
        <w:rFonts w:ascii="Symbol" w:hAnsi="Symbol" w:hint="default"/>
      </w:rPr>
    </w:lvl>
    <w:lvl w:ilvl="1" w:tplc="2DE27FF6">
      <w:start w:val="2"/>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623A0C"/>
    <w:multiLevelType w:val="hybridMultilevel"/>
    <w:tmpl w:val="48C287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F091C3F"/>
    <w:multiLevelType w:val="hybridMultilevel"/>
    <w:tmpl w:val="89FAB49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 w15:restartNumberingAfterBreak="0">
    <w:nsid w:val="38B53D39"/>
    <w:multiLevelType w:val="hybridMultilevel"/>
    <w:tmpl w:val="CFE4D8B2"/>
    <w:lvl w:ilvl="0" w:tplc="180CCC68">
      <w:numFmt w:val="bullet"/>
      <w:lvlText w:val="•"/>
      <w:lvlJc w:val="left"/>
      <w:pPr>
        <w:ind w:left="2287" w:hanging="585"/>
      </w:pPr>
      <w:rPr>
        <w:rFonts w:ascii="Times New Roman" w:eastAsia="Times New Roman" w:hAnsi="Times New Roman" w:cs="Times New Roman" w:hint="default"/>
      </w:rPr>
    </w:lvl>
    <w:lvl w:ilvl="1" w:tplc="0C090003">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7" w15:restartNumberingAfterBreak="0">
    <w:nsid w:val="399C44AD"/>
    <w:multiLevelType w:val="hybridMultilevel"/>
    <w:tmpl w:val="E17869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A23125C"/>
    <w:multiLevelType w:val="hybridMultilevel"/>
    <w:tmpl w:val="174E5780"/>
    <w:lvl w:ilvl="0" w:tplc="A4B88FCC">
      <w:start w:val="2"/>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A372ADD"/>
    <w:multiLevelType w:val="hybridMultilevel"/>
    <w:tmpl w:val="29FE4DB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0" w15:restartNumberingAfterBreak="0">
    <w:nsid w:val="5B552238"/>
    <w:multiLevelType w:val="hybridMultilevel"/>
    <w:tmpl w:val="06CAC1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44576F2"/>
    <w:multiLevelType w:val="hybridMultilevel"/>
    <w:tmpl w:val="B87E397C"/>
    <w:lvl w:ilvl="0" w:tplc="46E096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4EA3C78"/>
    <w:multiLevelType w:val="hybridMultilevel"/>
    <w:tmpl w:val="B87E397C"/>
    <w:lvl w:ilvl="0" w:tplc="46E096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79B6EF2"/>
    <w:multiLevelType w:val="hybridMultilevel"/>
    <w:tmpl w:val="342AB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F6135D"/>
    <w:multiLevelType w:val="hybridMultilevel"/>
    <w:tmpl w:val="2AA0A38A"/>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DEB19E8"/>
    <w:multiLevelType w:val="hybridMultilevel"/>
    <w:tmpl w:val="461AA0E2"/>
    <w:lvl w:ilvl="0" w:tplc="313422A4">
      <w:start w:val="1"/>
      <w:numFmt w:val="lowerLetter"/>
      <w:lvlText w:val="(%1)"/>
      <w:lvlJc w:val="left"/>
      <w:pPr>
        <w:ind w:left="420" w:hanging="360"/>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16" w15:restartNumberingAfterBreak="0">
    <w:nsid w:val="6DF81F54"/>
    <w:multiLevelType w:val="hybridMultilevel"/>
    <w:tmpl w:val="3EC68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5D1338D"/>
    <w:multiLevelType w:val="hybridMultilevel"/>
    <w:tmpl w:val="ACDC0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5F87F0C"/>
    <w:multiLevelType w:val="hybridMultilevel"/>
    <w:tmpl w:val="7E9EEF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33433201">
    <w:abstractNumId w:val="8"/>
  </w:num>
  <w:num w:numId="2" w16cid:durableId="749929550">
    <w:abstractNumId w:val="0"/>
  </w:num>
  <w:num w:numId="3" w16cid:durableId="2082214989">
    <w:abstractNumId w:val="17"/>
  </w:num>
  <w:num w:numId="4" w16cid:durableId="1171870722">
    <w:abstractNumId w:val="13"/>
  </w:num>
  <w:num w:numId="5" w16cid:durableId="529028430">
    <w:abstractNumId w:val="4"/>
  </w:num>
  <w:num w:numId="6" w16cid:durableId="1073242163">
    <w:abstractNumId w:val="3"/>
  </w:num>
  <w:num w:numId="7" w16cid:durableId="219218128">
    <w:abstractNumId w:val="11"/>
  </w:num>
  <w:num w:numId="8" w16cid:durableId="1222715433">
    <w:abstractNumId w:val="5"/>
  </w:num>
  <w:num w:numId="9" w16cid:durableId="2059625590">
    <w:abstractNumId w:val="12"/>
  </w:num>
  <w:num w:numId="10" w16cid:durableId="1978686190">
    <w:abstractNumId w:val="16"/>
  </w:num>
  <w:num w:numId="11" w16cid:durableId="656106938">
    <w:abstractNumId w:val="7"/>
  </w:num>
  <w:num w:numId="12" w16cid:durableId="2075811112">
    <w:abstractNumId w:val="9"/>
  </w:num>
  <w:num w:numId="13" w16cid:durableId="1588462910">
    <w:abstractNumId w:val="10"/>
  </w:num>
  <w:num w:numId="14" w16cid:durableId="55133270">
    <w:abstractNumId w:val="6"/>
  </w:num>
  <w:num w:numId="15" w16cid:durableId="723874909">
    <w:abstractNumId w:val="1"/>
  </w:num>
  <w:num w:numId="16" w16cid:durableId="1266772072">
    <w:abstractNumId w:val="14"/>
  </w:num>
  <w:num w:numId="17" w16cid:durableId="1484850198">
    <w:abstractNumId w:val="15"/>
  </w:num>
  <w:num w:numId="18" w16cid:durableId="2243847">
    <w:abstractNumId w:val="18"/>
  </w:num>
  <w:num w:numId="19" w16cid:durableId="21208336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ilename" w:val="10159\10159\90663709\1"/>
  </w:docVars>
  <w:rsids>
    <w:rsidRoot w:val="0085346D"/>
    <w:rsid w:val="000075ED"/>
    <w:rsid w:val="00013119"/>
    <w:rsid w:val="00013C0B"/>
    <w:rsid w:val="00015229"/>
    <w:rsid w:val="0001602D"/>
    <w:rsid w:val="00021316"/>
    <w:rsid w:val="00032E60"/>
    <w:rsid w:val="00033868"/>
    <w:rsid w:val="00033F9B"/>
    <w:rsid w:val="0004160A"/>
    <w:rsid w:val="00043350"/>
    <w:rsid w:val="0004356A"/>
    <w:rsid w:val="000456F2"/>
    <w:rsid w:val="00046500"/>
    <w:rsid w:val="000465D1"/>
    <w:rsid w:val="000509FA"/>
    <w:rsid w:val="00051328"/>
    <w:rsid w:val="000575F5"/>
    <w:rsid w:val="000612B0"/>
    <w:rsid w:val="00062A0E"/>
    <w:rsid w:val="00065534"/>
    <w:rsid w:val="00073436"/>
    <w:rsid w:val="00073D6D"/>
    <w:rsid w:val="0007589D"/>
    <w:rsid w:val="00077B94"/>
    <w:rsid w:val="00084886"/>
    <w:rsid w:val="00090322"/>
    <w:rsid w:val="00097A81"/>
    <w:rsid w:val="000A0236"/>
    <w:rsid w:val="000A15DE"/>
    <w:rsid w:val="000A1A24"/>
    <w:rsid w:val="000A2750"/>
    <w:rsid w:val="000A4A83"/>
    <w:rsid w:val="000B1642"/>
    <w:rsid w:val="000B219C"/>
    <w:rsid w:val="000B445F"/>
    <w:rsid w:val="000B59C9"/>
    <w:rsid w:val="000B7FBB"/>
    <w:rsid w:val="000D5EB6"/>
    <w:rsid w:val="000E08B9"/>
    <w:rsid w:val="000E18CA"/>
    <w:rsid w:val="000E2E05"/>
    <w:rsid w:val="000E59E7"/>
    <w:rsid w:val="000E75FA"/>
    <w:rsid w:val="000F0A1B"/>
    <w:rsid w:val="000F1629"/>
    <w:rsid w:val="000F2D4A"/>
    <w:rsid w:val="000F3B20"/>
    <w:rsid w:val="00104E09"/>
    <w:rsid w:val="00105976"/>
    <w:rsid w:val="00110546"/>
    <w:rsid w:val="001206D3"/>
    <w:rsid w:val="001221CB"/>
    <w:rsid w:val="00124D33"/>
    <w:rsid w:val="00125252"/>
    <w:rsid w:val="001378DB"/>
    <w:rsid w:val="0015168E"/>
    <w:rsid w:val="001555F5"/>
    <w:rsid w:val="0016331B"/>
    <w:rsid w:val="001665EA"/>
    <w:rsid w:val="00167B0A"/>
    <w:rsid w:val="00171861"/>
    <w:rsid w:val="00171EA3"/>
    <w:rsid w:val="00173DDA"/>
    <w:rsid w:val="00175A95"/>
    <w:rsid w:val="00177793"/>
    <w:rsid w:val="00182CA0"/>
    <w:rsid w:val="00183A48"/>
    <w:rsid w:val="00195B95"/>
    <w:rsid w:val="001A1E66"/>
    <w:rsid w:val="001A58B8"/>
    <w:rsid w:val="001B1127"/>
    <w:rsid w:val="001B2021"/>
    <w:rsid w:val="001C69CF"/>
    <w:rsid w:val="001E77F1"/>
    <w:rsid w:val="001F2529"/>
    <w:rsid w:val="001F4572"/>
    <w:rsid w:val="001F65B0"/>
    <w:rsid w:val="001F7B28"/>
    <w:rsid w:val="00210614"/>
    <w:rsid w:val="0021278F"/>
    <w:rsid w:val="002130A1"/>
    <w:rsid w:val="002136AF"/>
    <w:rsid w:val="002170DE"/>
    <w:rsid w:val="00224E27"/>
    <w:rsid w:val="00242DFB"/>
    <w:rsid w:val="00243678"/>
    <w:rsid w:val="00243EDB"/>
    <w:rsid w:val="00245587"/>
    <w:rsid w:val="00251052"/>
    <w:rsid w:val="0025266B"/>
    <w:rsid w:val="002526C0"/>
    <w:rsid w:val="0025285A"/>
    <w:rsid w:val="0026275D"/>
    <w:rsid w:val="002636FF"/>
    <w:rsid w:val="002662DF"/>
    <w:rsid w:val="00266414"/>
    <w:rsid w:val="002678CF"/>
    <w:rsid w:val="002702A8"/>
    <w:rsid w:val="00270793"/>
    <w:rsid w:val="00270D86"/>
    <w:rsid w:val="00271396"/>
    <w:rsid w:val="002725AF"/>
    <w:rsid w:val="002752AA"/>
    <w:rsid w:val="00282B93"/>
    <w:rsid w:val="0028556C"/>
    <w:rsid w:val="00293691"/>
    <w:rsid w:val="00293F3F"/>
    <w:rsid w:val="002A26CD"/>
    <w:rsid w:val="002B0835"/>
    <w:rsid w:val="002B1406"/>
    <w:rsid w:val="002B5F64"/>
    <w:rsid w:val="002C03F7"/>
    <w:rsid w:val="002C7BB0"/>
    <w:rsid w:val="002E03D0"/>
    <w:rsid w:val="002E1F6A"/>
    <w:rsid w:val="002E2532"/>
    <w:rsid w:val="002E504C"/>
    <w:rsid w:val="002E73A2"/>
    <w:rsid w:val="002E7F7C"/>
    <w:rsid w:val="002F2FF4"/>
    <w:rsid w:val="00300220"/>
    <w:rsid w:val="00303625"/>
    <w:rsid w:val="00305BA1"/>
    <w:rsid w:val="00346DD1"/>
    <w:rsid w:val="00352775"/>
    <w:rsid w:val="003556E1"/>
    <w:rsid w:val="00365215"/>
    <w:rsid w:val="00366D0D"/>
    <w:rsid w:val="00375C3D"/>
    <w:rsid w:val="00375DEF"/>
    <w:rsid w:val="0037631E"/>
    <w:rsid w:val="00376942"/>
    <w:rsid w:val="0039020C"/>
    <w:rsid w:val="0039465E"/>
    <w:rsid w:val="003A0353"/>
    <w:rsid w:val="003A1940"/>
    <w:rsid w:val="003A4185"/>
    <w:rsid w:val="003A4B5E"/>
    <w:rsid w:val="003B002C"/>
    <w:rsid w:val="003B59FD"/>
    <w:rsid w:val="003B6E01"/>
    <w:rsid w:val="003B6E26"/>
    <w:rsid w:val="003C0A3C"/>
    <w:rsid w:val="003C3211"/>
    <w:rsid w:val="003C4554"/>
    <w:rsid w:val="003C6741"/>
    <w:rsid w:val="003C7130"/>
    <w:rsid w:val="003D46A7"/>
    <w:rsid w:val="003E329B"/>
    <w:rsid w:val="003E3701"/>
    <w:rsid w:val="003E3D77"/>
    <w:rsid w:val="003E6713"/>
    <w:rsid w:val="003F1D59"/>
    <w:rsid w:val="003F6489"/>
    <w:rsid w:val="0041011A"/>
    <w:rsid w:val="004102D1"/>
    <w:rsid w:val="00411A42"/>
    <w:rsid w:val="00415CFA"/>
    <w:rsid w:val="0041717C"/>
    <w:rsid w:val="00422F15"/>
    <w:rsid w:val="00423099"/>
    <w:rsid w:val="00423591"/>
    <w:rsid w:val="0043029C"/>
    <w:rsid w:val="004333AD"/>
    <w:rsid w:val="00435F4B"/>
    <w:rsid w:val="004371D8"/>
    <w:rsid w:val="004372E5"/>
    <w:rsid w:val="00437624"/>
    <w:rsid w:val="00445CC6"/>
    <w:rsid w:val="00446227"/>
    <w:rsid w:val="0045663C"/>
    <w:rsid w:val="004614CA"/>
    <w:rsid w:val="00462B79"/>
    <w:rsid w:val="00464542"/>
    <w:rsid w:val="004752B5"/>
    <w:rsid w:val="004767AA"/>
    <w:rsid w:val="00476F3E"/>
    <w:rsid w:val="0048260C"/>
    <w:rsid w:val="00487C9C"/>
    <w:rsid w:val="00494E54"/>
    <w:rsid w:val="00496291"/>
    <w:rsid w:val="004966A3"/>
    <w:rsid w:val="004A017D"/>
    <w:rsid w:val="004A197E"/>
    <w:rsid w:val="004A27F2"/>
    <w:rsid w:val="004A3F60"/>
    <w:rsid w:val="004A5BEE"/>
    <w:rsid w:val="004B0C49"/>
    <w:rsid w:val="004B2E65"/>
    <w:rsid w:val="004B3AEA"/>
    <w:rsid w:val="004B73FC"/>
    <w:rsid w:val="004C4DDA"/>
    <w:rsid w:val="004D272D"/>
    <w:rsid w:val="004D5D63"/>
    <w:rsid w:val="004E173A"/>
    <w:rsid w:val="004E179F"/>
    <w:rsid w:val="004E3215"/>
    <w:rsid w:val="004E5E5C"/>
    <w:rsid w:val="004F3A18"/>
    <w:rsid w:val="004F6A59"/>
    <w:rsid w:val="005074AA"/>
    <w:rsid w:val="0051211D"/>
    <w:rsid w:val="00512B81"/>
    <w:rsid w:val="00520020"/>
    <w:rsid w:val="00525110"/>
    <w:rsid w:val="00532628"/>
    <w:rsid w:val="00553E71"/>
    <w:rsid w:val="00554F23"/>
    <w:rsid w:val="005571B1"/>
    <w:rsid w:val="00561C28"/>
    <w:rsid w:val="00562B17"/>
    <w:rsid w:val="005640D4"/>
    <w:rsid w:val="00567CFD"/>
    <w:rsid w:val="00581B42"/>
    <w:rsid w:val="00582040"/>
    <w:rsid w:val="00592F3B"/>
    <w:rsid w:val="005931E7"/>
    <w:rsid w:val="005956FD"/>
    <w:rsid w:val="005A24FB"/>
    <w:rsid w:val="005A346A"/>
    <w:rsid w:val="005A5201"/>
    <w:rsid w:val="005A6FC1"/>
    <w:rsid w:val="005A7A81"/>
    <w:rsid w:val="005B0FC8"/>
    <w:rsid w:val="005B1420"/>
    <w:rsid w:val="005B2A10"/>
    <w:rsid w:val="005B46C9"/>
    <w:rsid w:val="005B6CCE"/>
    <w:rsid w:val="005C1259"/>
    <w:rsid w:val="005C3CEB"/>
    <w:rsid w:val="005D0D12"/>
    <w:rsid w:val="005D284E"/>
    <w:rsid w:val="005E18AF"/>
    <w:rsid w:val="005E1C25"/>
    <w:rsid w:val="005E3235"/>
    <w:rsid w:val="005E6870"/>
    <w:rsid w:val="005F564D"/>
    <w:rsid w:val="00611097"/>
    <w:rsid w:val="006158DC"/>
    <w:rsid w:val="00616724"/>
    <w:rsid w:val="00616CDE"/>
    <w:rsid w:val="00617E7F"/>
    <w:rsid w:val="006209D0"/>
    <w:rsid w:val="006254A4"/>
    <w:rsid w:val="006263CE"/>
    <w:rsid w:val="00626DCB"/>
    <w:rsid w:val="0063083C"/>
    <w:rsid w:val="006327F8"/>
    <w:rsid w:val="00633866"/>
    <w:rsid w:val="0063504E"/>
    <w:rsid w:val="006353A8"/>
    <w:rsid w:val="00637CB7"/>
    <w:rsid w:val="006400A4"/>
    <w:rsid w:val="006535F0"/>
    <w:rsid w:val="00654686"/>
    <w:rsid w:val="006574BD"/>
    <w:rsid w:val="0066386C"/>
    <w:rsid w:val="00673AF2"/>
    <w:rsid w:val="006754C2"/>
    <w:rsid w:val="00680B19"/>
    <w:rsid w:val="00685D3C"/>
    <w:rsid w:val="00686734"/>
    <w:rsid w:val="00687F89"/>
    <w:rsid w:val="0069322F"/>
    <w:rsid w:val="006932DE"/>
    <w:rsid w:val="00695B55"/>
    <w:rsid w:val="00697689"/>
    <w:rsid w:val="006A0526"/>
    <w:rsid w:val="006A2895"/>
    <w:rsid w:val="006A38EE"/>
    <w:rsid w:val="006A4294"/>
    <w:rsid w:val="006A5FF2"/>
    <w:rsid w:val="006A7ECD"/>
    <w:rsid w:val="006B00DC"/>
    <w:rsid w:val="006B1003"/>
    <w:rsid w:val="006B3401"/>
    <w:rsid w:val="006B435B"/>
    <w:rsid w:val="006B7CB1"/>
    <w:rsid w:val="006C4B38"/>
    <w:rsid w:val="006C551A"/>
    <w:rsid w:val="006C7829"/>
    <w:rsid w:val="006D77FD"/>
    <w:rsid w:val="006E6149"/>
    <w:rsid w:val="006F307D"/>
    <w:rsid w:val="006F6E1E"/>
    <w:rsid w:val="006F7912"/>
    <w:rsid w:val="0070184A"/>
    <w:rsid w:val="00703FF3"/>
    <w:rsid w:val="00705B63"/>
    <w:rsid w:val="00722902"/>
    <w:rsid w:val="00734632"/>
    <w:rsid w:val="00736B3D"/>
    <w:rsid w:val="007437F4"/>
    <w:rsid w:val="00743B0B"/>
    <w:rsid w:val="0074543A"/>
    <w:rsid w:val="007546A8"/>
    <w:rsid w:val="00755B6F"/>
    <w:rsid w:val="007649AA"/>
    <w:rsid w:val="007735E2"/>
    <w:rsid w:val="007741A7"/>
    <w:rsid w:val="00791200"/>
    <w:rsid w:val="00792338"/>
    <w:rsid w:val="00792639"/>
    <w:rsid w:val="0079348D"/>
    <w:rsid w:val="00795525"/>
    <w:rsid w:val="00796D02"/>
    <w:rsid w:val="00797976"/>
    <w:rsid w:val="007A092E"/>
    <w:rsid w:val="007A13C1"/>
    <w:rsid w:val="007A1A5E"/>
    <w:rsid w:val="007A4D83"/>
    <w:rsid w:val="007B0D57"/>
    <w:rsid w:val="007B739D"/>
    <w:rsid w:val="007C0195"/>
    <w:rsid w:val="007C445A"/>
    <w:rsid w:val="007C5BF6"/>
    <w:rsid w:val="007C7EBF"/>
    <w:rsid w:val="007D525C"/>
    <w:rsid w:val="007E0469"/>
    <w:rsid w:val="007F4E20"/>
    <w:rsid w:val="007F51CE"/>
    <w:rsid w:val="00802632"/>
    <w:rsid w:val="00802CD8"/>
    <w:rsid w:val="00803BB3"/>
    <w:rsid w:val="00806E9E"/>
    <w:rsid w:val="00810A70"/>
    <w:rsid w:val="0081232B"/>
    <w:rsid w:val="00820C24"/>
    <w:rsid w:val="008227CB"/>
    <w:rsid w:val="008240B8"/>
    <w:rsid w:val="00825D0C"/>
    <w:rsid w:val="00827507"/>
    <w:rsid w:val="00831796"/>
    <w:rsid w:val="008327C6"/>
    <w:rsid w:val="00834E5E"/>
    <w:rsid w:val="00836582"/>
    <w:rsid w:val="0084508B"/>
    <w:rsid w:val="0085346D"/>
    <w:rsid w:val="008608F0"/>
    <w:rsid w:val="008609DA"/>
    <w:rsid w:val="00864626"/>
    <w:rsid w:val="00874F49"/>
    <w:rsid w:val="00876A0A"/>
    <w:rsid w:val="0087723E"/>
    <w:rsid w:val="008777D4"/>
    <w:rsid w:val="00884C64"/>
    <w:rsid w:val="00887D5A"/>
    <w:rsid w:val="008900C7"/>
    <w:rsid w:val="00891713"/>
    <w:rsid w:val="008937D8"/>
    <w:rsid w:val="008967A2"/>
    <w:rsid w:val="00897EC6"/>
    <w:rsid w:val="008A537A"/>
    <w:rsid w:val="008B353E"/>
    <w:rsid w:val="008B3B36"/>
    <w:rsid w:val="008B7F0F"/>
    <w:rsid w:val="008C1049"/>
    <w:rsid w:val="008C221D"/>
    <w:rsid w:val="008C224B"/>
    <w:rsid w:val="008C60E3"/>
    <w:rsid w:val="008C6E91"/>
    <w:rsid w:val="008D0C66"/>
    <w:rsid w:val="008D61FD"/>
    <w:rsid w:val="008F4ED1"/>
    <w:rsid w:val="0090026E"/>
    <w:rsid w:val="00900E25"/>
    <w:rsid w:val="0090123D"/>
    <w:rsid w:val="0090448C"/>
    <w:rsid w:val="00921FF0"/>
    <w:rsid w:val="00922FF8"/>
    <w:rsid w:val="00926286"/>
    <w:rsid w:val="00930968"/>
    <w:rsid w:val="00931B97"/>
    <w:rsid w:val="009423F9"/>
    <w:rsid w:val="0094379B"/>
    <w:rsid w:val="0094796A"/>
    <w:rsid w:val="009620A3"/>
    <w:rsid w:val="0096260A"/>
    <w:rsid w:val="00962F55"/>
    <w:rsid w:val="00963D14"/>
    <w:rsid w:val="00964729"/>
    <w:rsid w:val="00966049"/>
    <w:rsid w:val="00966C16"/>
    <w:rsid w:val="00967509"/>
    <w:rsid w:val="009772EA"/>
    <w:rsid w:val="00985540"/>
    <w:rsid w:val="00986060"/>
    <w:rsid w:val="009A0C8E"/>
    <w:rsid w:val="009A23B3"/>
    <w:rsid w:val="009A32EA"/>
    <w:rsid w:val="009A3EF0"/>
    <w:rsid w:val="009A492D"/>
    <w:rsid w:val="009A5C5F"/>
    <w:rsid w:val="009A67EE"/>
    <w:rsid w:val="009B3629"/>
    <w:rsid w:val="009C543A"/>
    <w:rsid w:val="009C7647"/>
    <w:rsid w:val="009D1D2A"/>
    <w:rsid w:val="009D2C32"/>
    <w:rsid w:val="009E2077"/>
    <w:rsid w:val="009E7172"/>
    <w:rsid w:val="009F0D79"/>
    <w:rsid w:val="009F3BF9"/>
    <w:rsid w:val="009F4DF1"/>
    <w:rsid w:val="00A06B18"/>
    <w:rsid w:val="00A13D26"/>
    <w:rsid w:val="00A159B2"/>
    <w:rsid w:val="00A20081"/>
    <w:rsid w:val="00A2351E"/>
    <w:rsid w:val="00A24212"/>
    <w:rsid w:val="00A26A3D"/>
    <w:rsid w:val="00A27F90"/>
    <w:rsid w:val="00A34935"/>
    <w:rsid w:val="00A409BC"/>
    <w:rsid w:val="00A46703"/>
    <w:rsid w:val="00A67453"/>
    <w:rsid w:val="00A7022E"/>
    <w:rsid w:val="00A721B7"/>
    <w:rsid w:val="00A72C4B"/>
    <w:rsid w:val="00A75AEB"/>
    <w:rsid w:val="00A902E2"/>
    <w:rsid w:val="00A906EA"/>
    <w:rsid w:val="00A92AE2"/>
    <w:rsid w:val="00A955BB"/>
    <w:rsid w:val="00A96B30"/>
    <w:rsid w:val="00A970F3"/>
    <w:rsid w:val="00A978E8"/>
    <w:rsid w:val="00AA2544"/>
    <w:rsid w:val="00AB526A"/>
    <w:rsid w:val="00AC0E29"/>
    <w:rsid w:val="00AC1325"/>
    <w:rsid w:val="00AD5191"/>
    <w:rsid w:val="00AD56CB"/>
    <w:rsid w:val="00AE2B6E"/>
    <w:rsid w:val="00AE329C"/>
    <w:rsid w:val="00AE4FE1"/>
    <w:rsid w:val="00AF0093"/>
    <w:rsid w:val="00AF0EB8"/>
    <w:rsid w:val="00AF0F13"/>
    <w:rsid w:val="00AF1F55"/>
    <w:rsid w:val="00AF69D8"/>
    <w:rsid w:val="00B0652B"/>
    <w:rsid w:val="00B14992"/>
    <w:rsid w:val="00B16DB7"/>
    <w:rsid w:val="00B35228"/>
    <w:rsid w:val="00B35293"/>
    <w:rsid w:val="00B4323D"/>
    <w:rsid w:val="00B4368B"/>
    <w:rsid w:val="00B4488E"/>
    <w:rsid w:val="00B47447"/>
    <w:rsid w:val="00B50A27"/>
    <w:rsid w:val="00B60CC9"/>
    <w:rsid w:val="00B63C0F"/>
    <w:rsid w:val="00B64D78"/>
    <w:rsid w:val="00B651B3"/>
    <w:rsid w:val="00B7168C"/>
    <w:rsid w:val="00B716F5"/>
    <w:rsid w:val="00B74345"/>
    <w:rsid w:val="00B76119"/>
    <w:rsid w:val="00B7735F"/>
    <w:rsid w:val="00B86291"/>
    <w:rsid w:val="00B91618"/>
    <w:rsid w:val="00BA6EAE"/>
    <w:rsid w:val="00BA7D6C"/>
    <w:rsid w:val="00BB4957"/>
    <w:rsid w:val="00BC1511"/>
    <w:rsid w:val="00BC17A1"/>
    <w:rsid w:val="00BC1C81"/>
    <w:rsid w:val="00BC2CC9"/>
    <w:rsid w:val="00BD24F4"/>
    <w:rsid w:val="00BD7AD8"/>
    <w:rsid w:val="00BE528E"/>
    <w:rsid w:val="00BF7A65"/>
    <w:rsid w:val="00C0076D"/>
    <w:rsid w:val="00C00AD0"/>
    <w:rsid w:val="00C00B87"/>
    <w:rsid w:val="00C00C78"/>
    <w:rsid w:val="00C03F74"/>
    <w:rsid w:val="00C063CC"/>
    <w:rsid w:val="00C078CD"/>
    <w:rsid w:val="00C105B8"/>
    <w:rsid w:val="00C13CC0"/>
    <w:rsid w:val="00C16377"/>
    <w:rsid w:val="00C174BE"/>
    <w:rsid w:val="00C30445"/>
    <w:rsid w:val="00C43617"/>
    <w:rsid w:val="00C503A3"/>
    <w:rsid w:val="00C60235"/>
    <w:rsid w:val="00C635D8"/>
    <w:rsid w:val="00C709E5"/>
    <w:rsid w:val="00C727E5"/>
    <w:rsid w:val="00C7324F"/>
    <w:rsid w:val="00C8442D"/>
    <w:rsid w:val="00C84AD0"/>
    <w:rsid w:val="00C92A9D"/>
    <w:rsid w:val="00C9607D"/>
    <w:rsid w:val="00C9716B"/>
    <w:rsid w:val="00C97CE6"/>
    <w:rsid w:val="00CA5096"/>
    <w:rsid w:val="00CA6077"/>
    <w:rsid w:val="00CA77A1"/>
    <w:rsid w:val="00CB0FC4"/>
    <w:rsid w:val="00CB125F"/>
    <w:rsid w:val="00CB152E"/>
    <w:rsid w:val="00CB3F77"/>
    <w:rsid w:val="00CD0636"/>
    <w:rsid w:val="00CD0C28"/>
    <w:rsid w:val="00CE048F"/>
    <w:rsid w:val="00CE43DF"/>
    <w:rsid w:val="00CF0889"/>
    <w:rsid w:val="00CF18D7"/>
    <w:rsid w:val="00CF2365"/>
    <w:rsid w:val="00CF3340"/>
    <w:rsid w:val="00CF4094"/>
    <w:rsid w:val="00D00212"/>
    <w:rsid w:val="00D03DDA"/>
    <w:rsid w:val="00D03E98"/>
    <w:rsid w:val="00D04827"/>
    <w:rsid w:val="00D04A21"/>
    <w:rsid w:val="00D105B8"/>
    <w:rsid w:val="00D12D33"/>
    <w:rsid w:val="00D227A0"/>
    <w:rsid w:val="00D22ACC"/>
    <w:rsid w:val="00D23E8D"/>
    <w:rsid w:val="00D25E64"/>
    <w:rsid w:val="00D3085E"/>
    <w:rsid w:val="00D324A9"/>
    <w:rsid w:val="00D32527"/>
    <w:rsid w:val="00D34710"/>
    <w:rsid w:val="00D35CA0"/>
    <w:rsid w:val="00D40E2C"/>
    <w:rsid w:val="00D44EDD"/>
    <w:rsid w:val="00D4541B"/>
    <w:rsid w:val="00D45CB3"/>
    <w:rsid w:val="00D472EC"/>
    <w:rsid w:val="00D52D32"/>
    <w:rsid w:val="00D56B46"/>
    <w:rsid w:val="00D60134"/>
    <w:rsid w:val="00D6562C"/>
    <w:rsid w:val="00D672E5"/>
    <w:rsid w:val="00D71037"/>
    <w:rsid w:val="00D726EA"/>
    <w:rsid w:val="00D778D5"/>
    <w:rsid w:val="00D829E6"/>
    <w:rsid w:val="00D8646A"/>
    <w:rsid w:val="00DA25CB"/>
    <w:rsid w:val="00DA5B3D"/>
    <w:rsid w:val="00DB2A78"/>
    <w:rsid w:val="00DB4671"/>
    <w:rsid w:val="00DB6793"/>
    <w:rsid w:val="00DC1967"/>
    <w:rsid w:val="00DC391F"/>
    <w:rsid w:val="00DC58AB"/>
    <w:rsid w:val="00DD1B80"/>
    <w:rsid w:val="00DD5680"/>
    <w:rsid w:val="00DD77B4"/>
    <w:rsid w:val="00DE1C86"/>
    <w:rsid w:val="00DE4FE8"/>
    <w:rsid w:val="00DE59EF"/>
    <w:rsid w:val="00DE60B2"/>
    <w:rsid w:val="00DE6F3F"/>
    <w:rsid w:val="00DF397B"/>
    <w:rsid w:val="00DF49EC"/>
    <w:rsid w:val="00DF5851"/>
    <w:rsid w:val="00E05466"/>
    <w:rsid w:val="00E06D7D"/>
    <w:rsid w:val="00E1216B"/>
    <w:rsid w:val="00E12A1C"/>
    <w:rsid w:val="00E1417D"/>
    <w:rsid w:val="00E2130C"/>
    <w:rsid w:val="00E24E20"/>
    <w:rsid w:val="00E25887"/>
    <w:rsid w:val="00E26318"/>
    <w:rsid w:val="00E27B46"/>
    <w:rsid w:val="00E30B13"/>
    <w:rsid w:val="00E31453"/>
    <w:rsid w:val="00E32E4B"/>
    <w:rsid w:val="00E36590"/>
    <w:rsid w:val="00E42BC1"/>
    <w:rsid w:val="00E442B2"/>
    <w:rsid w:val="00E46AC8"/>
    <w:rsid w:val="00E52181"/>
    <w:rsid w:val="00E523C2"/>
    <w:rsid w:val="00E5242F"/>
    <w:rsid w:val="00E5326B"/>
    <w:rsid w:val="00E62BB8"/>
    <w:rsid w:val="00E64F62"/>
    <w:rsid w:val="00E64FA7"/>
    <w:rsid w:val="00E74FCB"/>
    <w:rsid w:val="00E77AE9"/>
    <w:rsid w:val="00E807AD"/>
    <w:rsid w:val="00E8477D"/>
    <w:rsid w:val="00E93DC0"/>
    <w:rsid w:val="00E95D91"/>
    <w:rsid w:val="00EA172C"/>
    <w:rsid w:val="00EA26C6"/>
    <w:rsid w:val="00EA3AA5"/>
    <w:rsid w:val="00EA3D9D"/>
    <w:rsid w:val="00EC7512"/>
    <w:rsid w:val="00EC7902"/>
    <w:rsid w:val="00ED3C28"/>
    <w:rsid w:val="00ED6E9F"/>
    <w:rsid w:val="00EE3453"/>
    <w:rsid w:val="00EF3807"/>
    <w:rsid w:val="00EF3C31"/>
    <w:rsid w:val="00EF64C9"/>
    <w:rsid w:val="00F0003C"/>
    <w:rsid w:val="00F0180C"/>
    <w:rsid w:val="00F0725F"/>
    <w:rsid w:val="00F0761E"/>
    <w:rsid w:val="00F126A6"/>
    <w:rsid w:val="00F12E7B"/>
    <w:rsid w:val="00F2147D"/>
    <w:rsid w:val="00F22FCF"/>
    <w:rsid w:val="00F234ED"/>
    <w:rsid w:val="00F40845"/>
    <w:rsid w:val="00F46C58"/>
    <w:rsid w:val="00F50118"/>
    <w:rsid w:val="00F51A0F"/>
    <w:rsid w:val="00F51B1B"/>
    <w:rsid w:val="00F560D0"/>
    <w:rsid w:val="00F570B4"/>
    <w:rsid w:val="00F57456"/>
    <w:rsid w:val="00F601D4"/>
    <w:rsid w:val="00F63737"/>
    <w:rsid w:val="00F63D79"/>
    <w:rsid w:val="00F64B74"/>
    <w:rsid w:val="00F65D74"/>
    <w:rsid w:val="00F663E8"/>
    <w:rsid w:val="00F77C32"/>
    <w:rsid w:val="00F818F1"/>
    <w:rsid w:val="00F83EF1"/>
    <w:rsid w:val="00F91247"/>
    <w:rsid w:val="00F936BA"/>
    <w:rsid w:val="00FA32AE"/>
    <w:rsid w:val="00FA4E62"/>
    <w:rsid w:val="00FA75A8"/>
    <w:rsid w:val="00FB0C59"/>
    <w:rsid w:val="00FB757F"/>
    <w:rsid w:val="00FC1211"/>
    <w:rsid w:val="00FC56E1"/>
    <w:rsid w:val="00FD2530"/>
    <w:rsid w:val="00FD2B84"/>
    <w:rsid w:val="00FD301F"/>
    <w:rsid w:val="00FD30B1"/>
    <w:rsid w:val="00FD4A17"/>
    <w:rsid w:val="00FE1414"/>
    <w:rsid w:val="00FE624E"/>
    <w:rsid w:val="00FE7C64"/>
    <w:rsid w:val="00FF331C"/>
    <w:rsid w:val="00FF4C46"/>
    <w:rsid w:val="00FF675B"/>
    <w:rsid w:val="00FF73CF"/>
    <w:rsid w:val="00FF7E5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3441801"/>
  <w15:docId w15:val="{9E11D36A-EB5E-4E05-9D7C-805603FC4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B46"/>
    <w:pPr>
      <w:widowControl w:val="0"/>
      <w:spacing w:after="0" w:line="240" w:lineRule="auto"/>
    </w:pPr>
    <w:rPr>
      <w:rFonts w:eastAsia="Times New Roman" w:cs="Times New Roman"/>
      <w:snapToGrid w:val="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5346D"/>
    <w:pPr>
      <w:tabs>
        <w:tab w:val="left" w:pos="720"/>
      </w:tabs>
      <w:jc w:val="center"/>
    </w:pPr>
    <w:rPr>
      <w:b/>
      <w:lang w:val="en-AU"/>
    </w:rPr>
  </w:style>
  <w:style w:type="character" w:customStyle="1" w:styleId="TitleChar">
    <w:name w:val="Title Char"/>
    <w:basedOn w:val="DefaultParagraphFont"/>
    <w:link w:val="Title"/>
    <w:rsid w:val="0085346D"/>
    <w:rPr>
      <w:rFonts w:eastAsia="Times New Roman" w:cs="Times New Roman"/>
      <w:b/>
      <w:snapToGrid w:val="0"/>
      <w:szCs w:val="20"/>
    </w:rPr>
  </w:style>
  <w:style w:type="paragraph" w:styleId="Header">
    <w:name w:val="header"/>
    <w:basedOn w:val="Normal"/>
    <w:link w:val="HeaderChar"/>
    <w:rsid w:val="0085346D"/>
    <w:pPr>
      <w:tabs>
        <w:tab w:val="center" w:pos="4153"/>
        <w:tab w:val="right" w:pos="8306"/>
      </w:tabs>
    </w:pPr>
  </w:style>
  <w:style w:type="character" w:customStyle="1" w:styleId="HeaderChar">
    <w:name w:val="Header Char"/>
    <w:basedOn w:val="DefaultParagraphFont"/>
    <w:link w:val="Header"/>
    <w:rsid w:val="0085346D"/>
    <w:rPr>
      <w:rFonts w:eastAsia="Times New Roman" w:cs="Times New Roman"/>
      <w:snapToGrid w:val="0"/>
      <w:szCs w:val="20"/>
      <w:lang w:val="en-US"/>
    </w:rPr>
  </w:style>
  <w:style w:type="paragraph" w:styleId="Footer">
    <w:name w:val="footer"/>
    <w:basedOn w:val="Normal"/>
    <w:link w:val="FooterChar"/>
    <w:rsid w:val="0085346D"/>
    <w:pPr>
      <w:tabs>
        <w:tab w:val="center" w:pos="4153"/>
        <w:tab w:val="right" w:pos="8306"/>
      </w:tabs>
    </w:pPr>
  </w:style>
  <w:style w:type="character" w:customStyle="1" w:styleId="FooterChar">
    <w:name w:val="Footer Char"/>
    <w:basedOn w:val="DefaultParagraphFont"/>
    <w:link w:val="Footer"/>
    <w:rsid w:val="0085346D"/>
    <w:rPr>
      <w:rFonts w:eastAsia="Times New Roman" w:cs="Times New Roman"/>
      <w:snapToGrid w:val="0"/>
      <w:szCs w:val="20"/>
      <w:lang w:val="en-US"/>
    </w:rPr>
  </w:style>
  <w:style w:type="character" w:styleId="PageNumber">
    <w:name w:val="page number"/>
    <w:basedOn w:val="DefaultParagraphFont"/>
    <w:rsid w:val="0085346D"/>
  </w:style>
  <w:style w:type="paragraph" w:styleId="BalloonText">
    <w:name w:val="Balloon Text"/>
    <w:basedOn w:val="Normal"/>
    <w:link w:val="BalloonTextChar"/>
    <w:uiPriority w:val="99"/>
    <w:semiHidden/>
    <w:unhideWhenUsed/>
    <w:rsid w:val="0085346D"/>
    <w:rPr>
      <w:rFonts w:ascii="Tahoma" w:hAnsi="Tahoma" w:cs="Tahoma"/>
      <w:sz w:val="16"/>
      <w:szCs w:val="16"/>
    </w:rPr>
  </w:style>
  <w:style w:type="character" w:customStyle="1" w:styleId="BalloonTextChar">
    <w:name w:val="Balloon Text Char"/>
    <w:basedOn w:val="DefaultParagraphFont"/>
    <w:link w:val="BalloonText"/>
    <w:uiPriority w:val="99"/>
    <w:semiHidden/>
    <w:rsid w:val="0085346D"/>
    <w:rPr>
      <w:rFonts w:ascii="Tahoma" w:eastAsia="Times New Roman" w:hAnsi="Tahoma" w:cs="Tahoma"/>
      <w:snapToGrid w:val="0"/>
      <w:sz w:val="16"/>
      <w:szCs w:val="16"/>
      <w:lang w:val="en-US"/>
    </w:rPr>
  </w:style>
  <w:style w:type="paragraph" w:styleId="ListParagraph">
    <w:name w:val="List Paragraph"/>
    <w:basedOn w:val="Normal"/>
    <w:uiPriority w:val="34"/>
    <w:qFormat/>
    <w:rsid w:val="007A4D83"/>
    <w:pPr>
      <w:ind w:left="720"/>
      <w:contextualSpacing/>
    </w:pPr>
  </w:style>
  <w:style w:type="character" w:styleId="BookTitle">
    <w:name w:val="Book Title"/>
    <w:uiPriority w:val="33"/>
    <w:qFormat/>
    <w:rsid w:val="00E77AE9"/>
    <w:rPr>
      <w:i/>
      <w:iCs/>
      <w:smallCaps/>
      <w:spacing w:val="5"/>
    </w:rPr>
  </w:style>
  <w:style w:type="table" w:styleId="TableGrid">
    <w:name w:val="Table Grid"/>
    <w:basedOn w:val="TableNormal"/>
    <w:uiPriority w:val="59"/>
    <w:rsid w:val="00E77AE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3B6E01"/>
    <w:rPr>
      <w:sz w:val="16"/>
      <w:szCs w:val="16"/>
    </w:rPr>
  </w:style>
  <w:style w:type="paragraph" w:styleId="CommentText">
    <w:name w:val="annotation text"/>
    <w:basedOn w:val="Normal"/>
    <w:link w:val="CommentTextChar"/>
    <w:uiPriority w:val="99"/>
    <w:unhideWhenUsed/>
    <w:rsid w:val="003B6E01"/>
    <w:rPr>
      <w:sz w:val="20"/>
    </w:rPr>
  </w:style>
  <w:style w:type="character" w:customStyle="1" w:styleId="CommentTextChar">
    <w:name w:val="Comment Text Char"/>
    <w:basedOn w:val="DefaultParagraphFont"/>
    <w:link w:val="CommentText"/>
    <w:uiPriority w:val="99"/>
    <w:rsid w:val="003B6E01"/>
    <w:rPr>
      <w:rFonts w:eastAsia="Times New Roman" w:cs="Times New Roman"/>
      <w:snapToGrid w:val="0"/>
      <w:sz w:val="20"/>
      <w:szCs w:val="20"/>
      <w:lang w:val="en-US"/>
    </w:rPr>
  </w:style>
  <w:style w:type="paragraph" w:styleId="CommentSubject">
    <w:name w:val="annotation subject"/>
    <w:basedOn w:val="CommentText"/>
    <w:next w:val="CommentText"/>
    <w:link w:val="CommentSubjectChar"/>
    <w:uiPriority w:val="99"/>
    <w:semiHidden/>
    <w:unhideWhenUsed/>
    <w:rsid w:val="003B6E01"/>
    <w:rPr>
      <w:b/>
      <w:bCs/>
    </w:rPr>
  </w:style>
  <w:style w:type="character" w:customStyle="1" w:styleId="CommentSubjectChar">
    <w:name w:val="Comment Subject Char"/>
    <w:basedOn w:val="CommentTextChar"/>
    <w:link w:val="CommentSubject"/>
    <w:uiPriority w:val="99"/>
    <w:semiHidden/>
    <w:rsid w:val="003B6E01"/>
    <w:rPr>
      <w:rFonts w:eastAsia="Times New Roman" w:cs="Times New Roman"/>
      <w:b/>
      <w:bCs/>
      <w:snapToGrid w:val="0"/>
      <w:sz w:val="20"/>
      <w:szCs w:val="20"/>
      <w:lang w:val="en-US"/>
    </w:rPr>
  </w:style>
  <w:style w:type="character" w:styleId="Hyperlink">
    <w:name w:val="Hyperlink"/>
    <w:basedOn w:val="DefaultParagraphFont"/>
    <w:uiPriority w:val="99"/>
    <w:unhideWhenUsed/>
    <w:rsid w:val="00654686"/>
    <w:rPr>
      <w:color w:val="0000FF" w:themeColor="hyperlink"/>
      <w:u w:val="single"/>
    </w:rPr>
  </w:style>
  <w:style w:type="paragraph" w:styleId="Revision">
    <w:name w:val="Revision"/>
    <w:hidden/>
    <w:uiPriority w:val="99"/>
    <w:semiHidden/>
    <w:rsid w:val="00090322"/>
    <w:pPr>
      <w:spacing w:after="0" w:line="240" w:lineRule="auto"/>
    </w:pPr>
    <w:rPr>
      <w:rFonts w:eastAsia="Times New Roman" w:cs="Times New Roman"/>
      <w:snapToGrid w:val="0"/>
      <w:szCs w:val="20"/>
      <w:lang w:val="en-US"/>
    </w:rPr>
  </w:style>
  <w:style w:type="character" w:styleId="FollowedHyperlink">
    <w:name w:val="FollowedHyperlink"/>
    <w:basedOn w:val="DefaultParagraphFont"/>
    <w:uiPriority w:val="99"/>
    <w:semiHidden/>
    <w:unhideWhenUsed/>
    <w:rsid w:val="00245587"/>
    <w:rPr>
      <w:color w:val="800080" w:themeColor="followedHyperlink"/>
      <w:u w:val="single"/>
    </w:rPr>
  </w:style>
  <w:style w:type="paragraph" w:customStyle="1" w:styleId="subsection">
    <w:name w:val="subsection"/>
    <w:basedOn w:val="Normal"/>
    <w:rsid w:val="00DF397B"/>
    <w:pPr>
      <w:widowControl/>
      <w:spacing w:before="100" w:beforeAutospacing="1" w:after="100" w:afterAutospacing="1"/>
    </w:pPr>
    <w:rPr>
      <w:snapToGrid/>
      <w:szCs w:val="24"/>
      <w:lang w:val="en-AU" w:eastAsia="en-AU"/>
    </w:rPr>
  </w:style>
  <w:style w:type="paragraph" w:customStyle="1" w:styleId="paragraph">
    <w:name w:val="paragraph"/>
    <w:basedOn w:val="Normal"/>
    <w:rsid w:val="00DF397B"/>
    <w:pPr>
      <w:widowControl/>
      <w:spacing w:before="100" w:beforeAutospacing="1" w:after="100" w:afterAutospacing="1"/>
    </w:pPr>
    <w:rPr>
      <w:snapToGrid/>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88307">
      <w:bodyDiv w:val="1"/>
      <w:marLeft w:val="0"/>
      <w:marRight w:val="0"/>
      <w:marTop w:val="0"/>
      <w:marBottom w:val="0"/>
      <w:divBdr>
        <w:top w:val="none" w:sz="0" w:space="0" w:color="auto"/>
        <w:left w:val="none" w:sz="0" w:space="0" w:color="auto"/>
        <w:bottom w:val="none" w:sz="0" w:space="0" w:color="auto"/>
        <w:right w:val="none" w:sz="0" w:space="0" w:color="auto"/>
      </w:divBdr>
    </w:div>
    <w:div w:id="318118308">
      <w:bodyDiv w:val="1"/>
      <w:marLeft w:val="0"/>
      <w:marRight w:val="0"/>
      <w:marTop w:val="0"/>
      <w:marBottom w:val="0"/>
      <w:divBdr>
        <w:top w:val="none" w:sz="0" w:space="0" w:color="auto"/>
        <w:left w:val="none" w:sz="0" w:space="0" w:color="auto"/>
        <w:bottom w:val="none" w:sz="0" w:space="0" w:color="auto"/>
        <w:right w:val="none" w:sz="0" w:space="0" w:color="auto"/>
      </w:divBdr>
    </w:div>
    <w:div w:id="471755004">
      <w:bodyDiv w:val="1"/>
      <w:marLeft w:val="0"/>
      <w:marRight w:val="0"/>
      <w:marTop w:val="0"/>
      <w:marBottom w:val="0"/>
      <w:divBdr>
        <w:top w:val="none" w:sz="0" w:space="0" w:color="auto"/>
        <w:left w:val="none" w:sz="0" w:space="0" w:color="auto"/>
        <w:bottom w:val="none" w:sz="0" w:space="0" w:color="auto"/>
        <w:right w:val="none" w:sz="0" w:space="0" w:color="auto"/>
      </w:divBdr>
    </w:div>
    <w:div w:id="854342826">
      <w:bodyDiv w:val="1"/>
      <w:marLeft w:val="0"/>
      <w:marRight w:val="0"/>
      <w:marTop w:val="0"/>
      <w:marBottom w:val="0"/>
      <w:divBdr>
        <w:top w:val="none" w:sz="0" w:space="0" w:color="auto"/>
        <w:left w:val="none" w:sz="0" w:space="0" w:color="auto"/>
        <w:bottom w:val="none" w:sz="0" w:space="0" w:color="auto"/>
        <w:right w:val="none" w:sz="0" w:space="0" w:color="auto"/>
      </w:divBdr>
    </w:div>
    <w:div w:id="955018556">
      <w:bodyDiv w:val="1"/>
      <w:marLeft w:val="0"/>
      <w:marRight w:val="0"/>
      <w:marTop w:val="0"/>
      <w:marBottom w:val="0"/>
      <w:divBdr>
        <w:top w:val="none" w:sz="0" w:space="0" w:color="auto"/>
        <w:left w:val="none" w:sz="0" w:space="0" w:color="auto"/>
        <w:bottom w:val="none" w:sz="0" w:space="0" w:color="auto"/>
        <w:right w:val="none" w:sz="0" w:space="0" w:color="auto"/>
      </w:divBdr>
    </w:div>
    <w:div w:id="960842856">
      <w:bodyDiv w:val="1"/>
      <w:marLeft w:val="0"/>
      <w:marRight w:val="0"/>
      <w:marTop w:val="0"/>
      <w:marBottom w:val="0"/>
      <w:divBdr>
        <w:top w:val="none" w:sz="0" w:space="0" w:color="auto"/>
        <w:left w:val="none" w:sz="0" w:space="0" w:color="auto"/>
        <w:bottom w:val="none" w:sz="0" w:space="0" w:color="auto"/>
        <w:right w:val="none" w:sz="0" w:space="0" w:color="auto"/>
      </w:divBdr>
    </w:div>
    <w:div w:id="1107963587">
      <w:bodyDiv w:val="1"/>
      <w:marLeft w:val="0"/>
      <w:marRight w:val="0"/>
      <w:marTop w:val="0"/>
      <w:marBottom w:val="0"/>
      <w:divBdr>
        <w:top w:val="none" w:sz="0" w:space="0" w:color="auto"/>
        <w:left w:val="none" w:sz="0" w:space="0" w:color="auto"/>
        <w:bottom w:val="none" w:sz="0" w:space="0" w:color="auto"/>
        <w:right w:val="none" w:sz="0" w:space="0" w:color="auto"/>
      </w:divBdr>
    </w:div>
    <w:div w:id="1317605827">
      <w:bodyDiv w:val="1"/>
      <w:marLeft w:val="0"/>
      <w:marRight w:val="0"/>
      <w:marTop w:val="0"/>
      <w:marBottom w:val="0"/>
      <w:divBdr>
        <w:top w:val="none" w:sz="0" w:space="0" w:color="auto"/>
        <w:left w:val="none" w:sz="0" w:space="0" w:color="auto"/>
        <w:bottom w:val="none" w:sz="0" w:space="0" w:color="auto"/>
        <w:right w:val="none" w:sz="0" w:space="0" w:color="auto"/>
      </w:divBdr>
    </w:div>
    <w:div w:id="1539199966">
      <w:bodyDiv w:val="1"/>
      <w:marLeft w:val="0"/>
      <w:marRight w:val="0"/>
      <w:marTop w:val="0"/>
      <w:marBottom w:val="0"/>
      <w:divBdr>
        <w:top w:val="none" w:sz="0" w:space="0" w:color="auto"/>
        <w:left w:val="none" w:sz="0" w:space="0" w:color="auto"/>
        <w:bottom w:val="none" w:sz="0" w:space="0" w:color="auto"/>
        <w:right w:val="none" w:sz="0" w:space="0" w:color="auto"/>
      </w:divBdr>
    </w:div>
    <w:div w:id="194873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E744FD6D-E51B-4CB4-BACA-02445149650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1 6 " ? > < p r o p e r t i e s   x m l n s = " h t t p : / / w w w . i m a n a g e . c o m / w o r k / x m l s c h e m a " >  
     < d o c u m e n t i d > M A T T ! 9 0 6 6 3 7 0 9 . 1 < / d o c u m e n t i d >  
     < s e n d e r i d > 1 0 1 5 9 < / s e n d e r i d >  
     < s e n d e r e m a i l > K A H - M U N . W O N G @ S P A R K E . C O M . A U < / s e n d e r e m a i l >  
     < l a s t m o d i f i e d > 2 0 2 3 - 0 8 - 1 6 T 1 3 : 3 5 : 0 0 . 0 0 0 0 0 0 0 + 1 0 : 0 0 < / l a s t m o d i f i e d >  
     < d a t a b a s e > M A T T < / d a t a b a s e >  
 < / p r o p e r t i e s > 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4B348CD5327D214F8E60E8D7EB332B4E" ma:contentTypeVersion="" ma:contentTypeDescription="PDMS Document Site Content Type" ma:contentTypeScope="" ma:versionID="3309918b537c39fc645b505de7c92d22">
  <xsd:schema xmlns:xsd="http://www.w3.org/2001/XMLSchema" xmlns:xs="http://www.w3.org/2001/XMLSchema" xmlns:p="http://schemas.microsoft.com/office/2006/metadata/properties" xmlns:ns2="E744FD6D-E51B-4CB4-BACA-02445149650B" targetNamespace="http://schemas.microsoft.com/office/2006/metadata/properties" ma:root="true" ma:fieldsID="1e56c2e5172aa3067013b8eb5857c405" ns2:_="">
    <xsd:import namespace="E744FD6D-E51B-4CB4-BACA-02445149650B"/>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44FD6D-E51B-4CB4-BACA-02445149650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51B87-B87F-4096-BC84-6F46E6A38C66}">
  <ds:schemaRefs>
    <ds:schemaRef ds:uri="http://schemas.microsoft.com/office/2006/metadata/properties"/>
    <ds:schemaRef ds:uri="http://schemas.microsoft.com/office/infopath/2007/PartnerControls"/>
    <ds:schemaRef ds:uri="E744FD6D-E51B-4CB4-BACA-02445149650B"/>
  </ds:schemaRefs>
</ds:datastoreItem>
</file>

<file path=customXml/itemProps2.xml><?xml version="1.0" encoding="utf-8"?>
<ds:datastoreItem xmlns:ds="http://schemas.openxmlformats.org/officeDocument/2006/customXml" ds:itemID="{298A71DB-AF89-4A75-A571-56F3CC03DFCA}">
  <ds:schemaRefs>
    <ds:schemaRef ds:uri="http://schemas.microsoft.com/sharepoint/v3/contenttype/forms"/>
  </ds:schemaRefs>
</ds:datastoreItem>
</file>

<file path=customXml/itemProps3.xml><?xml version="1.0" encoding="utf-8"?>
<ds:datastoreItem xmlns:ds="http://schemas.openxmlformats.org/officeDocument/2006/customXml" ds:itemID="{98434486-71DF-4149-9E22-87613A0FF347}">
  <ds:schemaRefs>
    <ds:schemaRef ds:uri="http://www.imanage.com/work/xmlschema"/>
  </ds:schemaRefs>
</ds:datastoreItem>
</file>

<file path=customXml/itemProps4.xml><?xml version="1.0" encoding="utf-8"?>
<ds:datastoreItem xmlns:ds="http://schemas.openxmlformats.org/officeDocument/2006/customXml" ds:itemID="{C8ABCECE-F1CF-4C61-87CB-E23C12EF53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44FD6D-E51B-4CB4-BACA-0244514965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806EF29-2BFC-454B-BAE6-23F7FB01A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2237</Words>
  <Characters>12752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14960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Zeng</dc:creator>
  <cp:lastModifiedBy>Diana</cp:lastModifiedBy>
  <cp:revision>4</cp:revision>
  <cp:lastPrinted>2021-02-16T05:05:00Z</cp:lastPrinted>
  <dcterms:created xsi:type="dcterms:W3CDTF">2024-09-12T07:37:00Z</dcterms:created>
  <dcterms:modified xsi:type="dcterms:W3CDTF">2024-09-13T02:23:00Z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0x010100266966F133664895A6EE3632470D45F5004B348CD5327D214F8E60E8D7EB332B4E</vt:lpwstr>
  </property>
</Properties>
</file>