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971A" w14:textId="77777777" w:rsidR="00F109D4" w:rsidRPr="00DF3133" w:rsidRDefault="00F109D4" w:rsidP="001844F6">
      <w:pPr>
        <w:pStyle w:val="Heading1"/>
        <w:keepNext w:val="0"/>
        <w:spacing w:after="360"/>
        <w:rPr>
          <w:rFonts w:ascii="Times New Roman" w:hAnsi="Times New Roman"/>
          <w:sz w:val="24"/>
          <w:szCs w:val="24"/>
        </w:rPr>
      </w:pPr>
      <w:bookmarkStart w:id="0" w:name="_GoBack"/>
      <w:bookmarkEnd w:id="0"/>
      <w:r w:rsidRPr="00DF3133">
        <w:rPr>
          <w:rFonts w:ascii="Times New Roman" w:hAnsi="Times New Roman"/>
          <w:sz w:val="24"/>
          <w:szCs w:val="24"/>
        </w:rPr>
        <w:t>EXPLANATORY STATEMENT</w:t>
      </w:r>
    </w:p>
    <w:p w14:paraId="6145A05A" w14:textId="22839876" w:rsidR="007662C7" w:rsidRDefault="00F109D4" w:rsidP="001844F6">
      <w:pPr>
        <w:pStyle w:val="Heading2"/>
        <w:keepNext w:val="0"/>
        <w:jc w:val="center"/>
        <w:rPr>
          <w:sz w:val="24"/>
        </w:rPr>
      </w:pPr>
      <w:r w:rsidRPr="00B43350">
        <w:rPr>
          <w:sz w:val="24"/>
        </w:rPr>
        <w:t xml:space="preserve">Issued by authority of </w:t>
      </w:r>
      <w:r w:rsidRPr="008C31A8">
        <w:rPr>
          <w:sz w:val="24"/>
        </w:rPr>
        <w:t xml:space="preserve">the </w:t>
      </w:r>
      <w:r w:rsidR="00E554B6">
        <w:rPr>
          <w:sz w:val="24"/>
        </w:rPr>
        <w:t>Assistant Minister to the Prime Minister</w:t>
      </w:r>
    </w:p>
    <w:p w14:paraId="06211656" w14:textId="2D7CA00A" w:rsidR="00243F91" w:rsidRPr="00B43350" w:rsidRDefault="004015F2" w:rsidP="001844F6">
      <w:pPr>
        <w:tabs>
          <w:tab w:val="left" w:pos="1418"/>
        </w:tabs>
        <w:spacing w:before="0" w:after="240"/>
        <w:jc w:val="center"/>
        <w:rPr>
          <w:i/>
        </w:rPr>
      </w:pPr>
      <w:r w:rsidRPr="00B43350">
        <w:rPr>
          <w:i/>
        </w:rPr>
        <w:br/>
      </w:r>
      <w:r w:rsidR="00D2190C">
        <w:rPr>
          <w:i/>
        </w:rPr>
        <w:t>Ministers of State</w:t>
      </w:r>
      <w:r w:rsidR="00EF455F">
        <w:rPr>
          <w:i/>
        </w:rPr>
        <w:t xml:space="preserve"> Act 19</w:t>
      </w:r>
      <w:r w:rsidR="00B61730">
        <w:rPr>
          <w:i/>
        </w:rPr>
        <w:t>52</w:t>
      </w:r>
    </w:p>
    <w:p w14:paraId="758D9ADD" w14:textId="211469D0" w:rsidR="002B3E83" w:rsidRPr="00503E44" w:rsidRDefault="00D2190C" w:rsidP="001844F6">
      <w:pPr>
        <w:tabs>
          <w:tab w:val="left" w:pos="1418"/>
        </w:tabs>
        <w:spacing w:before="0" w:after="0"/>
        <w:jc w:val="center"/>
        <w:rPr>
          <w:i/>
        </w:rPr>
      </w:pPr>
      <w:r>
        <w:rPr>
          <w:i/>
        </w:rPr>
        <w:t xml:space="preserve">Ministers of State </w:t>
      </w:r>
      <w:r w:rsidR="00EF455F">
        <w:rPr>
          <w:i/>
        </w:rPr>
        <w:t xml:space="preserve">Regulations </w:t>
      </w:r>
      <w:r>
        <w:rPr>
          <w:i/>
        </w:rPr>
        <w:t>202</w:t>
      </w:r>
      <w:r w:rsidR="00E554B6">
        <w:rPr>
          <w:i/>
        </w:rPr>
        <w:t>4</w:t>
      </w:r>
    </w:p>
    <w:p w14:paraId="60901BE0" w14:textId="13E7A897" w:rsidR="00580D9A" w:rsidRPr="007F75DD" w:rsidRDefault="00312311" w:rsidP="001844F6">
      <w:pPr>
        <w:spacing w:before="240"/>
      </w:pPr>
      <w:r>
        <w:t>The</w:t>
      </w:r>
      <w:r w:rsidR="00EF455F">
        <w:t xml:space="preserve"> </w:t>
      </w:r>
      <w:r w:rsidR="00D2190C">
        <w:rPr>
          <w:i/>
        </w:rPr>
        <w:t xml:space="preserve">Ministers of State </w:t>
      </w:r>
      <w:r w:rsidR="00EF455F" w:rsidRPr="00580D9A">
        <w:rPr>
          <w:i/>
        </w:rPr>
        <w:t xml:space="preserve">Act </w:t>
      </w:r>
      <w:r w:rsidR="00EF455F" w:rsidRPr="00B61730">
        <w:rPr>
          <w:i/>
        </w:rPr>
        <w:t>19</w:t>
      </w:r>
      <w:r w:rsidR="00B61730" w:rsidRPr="00B61730">
        <w:rPr>
          <w:i/>
        </w:rPr>
        <w:t>52</w:t>
      </w:r>
      <w:r w:rsidR="00B61730">
        <w:t xml:space="preserve"> </w:t>
      </w:r>
      <w:r w:rsidR="00EF455F">
        <w:t xml:space="preserve">(the Act) makes provision </w:t>
      </w:r>
      <w:r w:rsidR="00EF455F" w:rsidRPr="007F75DD">
        <w:t xml:space="preserve">for </w:t>
      </w:r>
      <w:r w:rsidR="00D2190C">
        <w:t xml:space="preserve">the number of Ministers of State permitted under </w:t>
      </w:r>
      <w:r w:rsidR="001844F6">
        <w:t xml:space="preserve">the </w:t>
      </w:r>
      <w:r w:rsidR="00D2190C">
        <w:t>Constitution and also requires the Official</w:t>
      </w:r>
      <w:r w:rsidR="00D2190C">
        <w:noBreakHyphen/>
        <w:t xml:space="preserve">Secretary to the Governor-General to publish information regarding </w:t>
      </w:r>
      <w:r w:rsidR="00F3201A">
        <w:t>certain constitutional matters concerning the Federal Executive Council and Ministers of State.</w:t>
      </w:r>
    </w:p>
    <w:p w14:paraId="41E6CF1B" w14:textId="393B555D" w:rsidR="00D2190C" w:rsidRPr="00D2190C" w:rsidRDefault="00D2190C" w:rsidP="001844F6">
      <w:pPr>
        <w:spacing w:after="0"/>
        <w:ind w:right="91"/>
      </w:pPr>
      <w:r>
        <w:t>Section 7</w:t>
      </w:r>
      <w:r w:rsidRPr="002D4980">
        <w:t xml:space="preserve"> of the Act provides that the Governo</w:t>
      </w:r>
      <w:r>
        <w:t>r</w:t>
      </w:r>
      <w:r>
        <w:noBreakHyphen/>
        <w:t>General may make regulations</w:t>
      </w:r>
      <w:r w:rsidRPr="002D4980">
        <w:t xml:space="preserve"> prescribing matters required or permitted by the Act to be prescribed, or necessary or convenient to be prescribed for carrying out or giving effect to the Act.</w:t>
      </w:r>
      <w:r>
        <w:t xml:space="preserve"> The </w:t>
      </w:r>
      <w:r>
        <w:rPr>
          <w:i/>
        </w:rPr>
        <w:t>Ministers of State Regulations 202</w:t>
      </w:r>
      <w:r w:rsidR="00B61730">
        <w:rPr>
          <w:i/>
        </w:rPr>
        <w:t>4</w:t>
      </w:r>
      <w:r>
        <w:t xml:space="preserve"> </w:t>
      </w:r>
      <w:r w:rsidR="00F3201A">
        <w:t xml:space="preserve">(the Regulations) </w:t>
      </w:r>
      <w:r>
        <w:t xml:space="preserve">are necessary and convenient to give effect to the Act. </w:t>
      </w:r>
    </w:p>
    <w:p w14:paraId="357C3874" w14:textId="3B7CCC40" w:rsidR="00F3201A" w:rsidRDefault="00F3201A" w:rsidP="001844F6">
      <w:pPr>
        <w:spacing w:after="0"/>
        <w:ind w:right="91"/>
      </w:pPr>
      <w:r w:rsidRPr="002D4980">
        <w:t xml:space="preserve">The Regulations </w:t>
      </w:r>
      <w:r>
        <w:t>require the Official Secretary to the Governor-General to</w:t>
      </w:r>
      <w:r w:rsidRPr="00FE2B4D">
        <w:t xml:space="preserve"> </w:t>
      </w:r>
      <w:r>
        <w:t>make a notifiable instrument:</w:t>
      </w:r>
    </w:p>
    <w:p w14:paraId="798E77F4" w14:textId="32C73947" w:rsidR="00F3201A" w:rsidRDefault="00F3201A" w:rsidP="001844F6">
      <w:pPr>
        <w:pStyle w:val="ListParagraph"/>
        <w:numPr>
          <w:ilvl w:val="0"/>
          <w:numId w:val="7"/>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from time-to-time specifying a list of each person appointed to administer a Department of State under section 64 of the Constitution and the offices the person holds under section 65 of the Constitution. This list o</w:t>
      </w:r>
      <w:r w:rsidR="001844F6">
        <w:rPr>
          <w:rFonts w:ascii="Times New Roman" w:eastAsia="Times New Roman" w:hAnsi="Times New Roman" w:cs="Times New Roman"/>
          <w:color w:val="auto"/>
          <w:sz w:val="24"/>
          <w:lang w:eastAsia="en-AU"/>
        </w:rPr>
        <w:t>f</w:t>
      </w:r>
      <w:r>
        <w:rPr>
          <w:rFonts w:ascii="Times New Roman" w:eastAsia="Times New Roman" w:hAnsi="Times New Roman" w:cs="Times New Roman"/>
          <w:color w:val="auto"/>
          <w:sz w:val="24"/>
          <w:lang w:eastAsia="en-AU"/>
        </w:rPr>
        <w:t xml:space="preserve"> Ministers will ensure up to date public information is available about the constitution of the Ministry since the start of the 47</w:t>
      </w:r>
      <w:r w:rsidRPr="00F3201A">
        <w:rPr>
          <w:rFonts w:ascii="Times New Roman" w:eastAsia="Times New Roman" w:hAnsi="Times New Roman" w:cs="Times New Roman"/>
          <w:color w:val="auto"/>
          <w:sz w:val="24"/>
          <w:vertAlign w:val="superscript"/>
          <w:lang w:eastAsia="en-AU"/>
        </w:rPr>
        <w:t>th</w:t>
      </w:r>
      <w:r w:rsidR="00E70526">
        <w:rPr>
          <w:rFonts w:ascii="Times New Roman" w:eastAsia="Times New Roman" w:hAnsi="Times New Roman" w:cs="Times New Roman"/>
          <w:color w:val="auto"/>
          <w:sz w:val="24"/>
          <w:lang w:eastAsia="en-AU"/>
        </w:rPr>
        <w:t xml:space="preserve"> P</w:t>
      </w:r>
      <w:r>
        <w:rPr>
          <w:rFonts w:ascii="Times New Roman" w:eastAsia="Times New Roman" w:hAnsi="Times New Roman" w:cs="Times New Roman"/>
          <w:color w:val="auto"/>
          <w:sz w:val="24"/>
          <w:lang w:eastAsia="en-AU"/>
        </w:rPr>
        <w:t>arliament.</w:t>
      </w:r>
    </w:p>
    <w:p w14:paraId="699CC639" w14:textId="1839CD25" w:rsidR="00F3201A" w:rsidRDefault="00A31E99" w:rsidP="001844F6">
      <w:pPr>
        <w:pStyle w:val="ListParagraph"/>
        <w:numPr>
          <w:ilvl w:val="0"/>
          <w:numId w:val="7"/>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chose, summoned</w:t>
      </w:r>
      <w:r w:rsidR="00F3201A">
        <w:rPr>
          <w:rFonts w:ascii="Times New Roman" w:eastAsia="Times New Roman" w:hAnsi="Times New Roman" w:cs="Times New Roman"/>
          <w:color w:val="auto"/>
          <w:sz w:val="24"/>
          <w:lang w:eastAsia="en-AU"/>
        </w:rPr>
        <w:t xml:space="preserve"> and </w:t>
      </w:r>
      <w:r>
        <w:rPr>
          <w:rFonts w:ascii="Times New Roman" w:eastAsia="Times New Roman" w:hAnsi="Times New Roman" w:cs="Times New Roman"/>
          <w:color w:val="auto"/>
          <w:sz w:val="24"/>
          <w:lang w:eastAsia="en-AU"/>
        </w:rPr>
        <w:t xml:space="preserve">swore </w:t>
      </w:r>
      <w:r w:rsidR="00F3201A">
        <w:rPr>
          <w:rFonts w:ascii="Times New Roman" w:eastAsia="Times New Roman" w:hAnsi="Times New Roman" w:cs="Times New Roman"/>
          <w:color w:val="auto"/>
          <w:sz w:val="24"/>
          <w:lang w:eastAsia="en-AU"/>
        </w:rPr>
        <w:t>a person as a member of the Federal Executive Council under section 62 of the Constitution.</w:t>
      </w:r>
    </w:p>
    <w:p w14:paraId="3E6D58D7" w14:textId="24174E89" w:rsidR="00F3201A" w:rsidRDefault="00A31E99" w:rsidP="001844F6">
      <w:pPr>
        <w:pStyle w:val="ListParagraph"/>
        <w:numPr>
          <w:ilvl w:val="0"/>
          <w:numId w:val="7"/>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appointed</w:t>
      </w:r>
      <w:r w:rsidR="00F3201A">
        <w:rPr>
          <w:rFonts w:ascii="Times New Roman" w:eastAsia="Times New Roman" w:hAnsi="Times New Roman" w:cs="Times New Roman"/>
          <w:color w:val="auto"/>
          <w:sz w:val="24"/>
          <w:lang w:eastAsia="en-AU"/>
        </w:rPr>
        <w:t xml:space="preserve"> a person to administer a Department of State under section 64 of the Constitution.</w:t>
      </w:r>
    </w:p>
    <w:p w14:paraId="03F60BAC" w14:textId="730D2E71" w:rsidR="00F3201A" w:rsidRDefault="00A31E99" w:rsidP="001844F6">
      <w:pPr>
        <w:pStyle w:val="ListParagraph"/>
        <w:numPr>
          <w:ilvl w:val="0"/>
          <w:numId w:val="7"/>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directed</w:t>
      </w:r>
      <w:r w:rsidR="00F3201A">
        <w:rPr>
          <w:rFonts w:ascii="Times New Roman" w:eastAsia="Times New Roman" w:hAnsi="Times New Roman" w:cs="Times New Roman"/>
          <w:color w:val="auto"/>
          <w:sz w:val="24"/>
          <w:lang w:eastAsia="en-AU"/>
        </w:rPr>
        <w:t xml:space="preserve"> a person to hold an office under section 65 of the Constitution.</w:t>
      </w:r>
    </w:p>
    <w:p w14:paraId="112A779D" w14:textId="3410781B" w:rsidR="00F3201A" w:rsidRPr="00FE2B4D" w:rsidRDefault="00A31E99" w:rsidP="001844F6">
      <w:pPr>
        <w:pStyle w:val="ListParagraph"/>
        <w:numPr>
          <w:ilvl w:val="0"/>
          <w:numId w:val="7"/>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revoked</w:t>
      </w:r>
      <w:r w:rsidR="00F3201A">
        <w:rPr>
          <w:rFonts w:ascii="Times New Roman" w:eastAsia="Times New Roman" w:hAnsi="Times New Roman" w:cs="Times New Roman"/>
          <w:color w:val="auto"/>
          <w:sz w:val="24"/>
          <w:lang w:eastAsia="en-AU"/>
        </w:rPr>
        <w:t xml:space="preserve"> membership under paragraph (b), revokes an appointment under paragraph (c) or revokes a direction under paragraph (d).</w:t>
      </w:r>
    </w:p>
    <w:p w14:paraId="744BA59F" w14:textId="77777777" w:rsidR="001844F6" w:rsidRDefault="00F3201A" w:rsidP="001844F6">
      <w:pPr>
        <w:spacing w:after="0"/>
        <w:ind w:right="91"/>
      </w:pPr>
      <w:r w:rsidRPr="00F3201A">
        <w:t xml:space="preserve">The Regulations reflect the Government’s policy of increasing the transparency of Ministerial arrangements in light of the </w:t>
      </w:r>
      <w:r w:rsidRPr="00F3201A">
        <w:rPr>
          <w:i/>
        </w:rPr>
        <w:t>Report of the Inquiry into the Appointment of the Former Prime Minister to Administer Multiple Departments</w:t>
      </w:r>
      <w:r w:rsidR="001844F6">
        <w:rPr>
          <w:i/>
        </w:rPr>
        <w:t xml:space="preserve"> </w:t>
      </w:r>
      <w:r w:rsidR="001844F6">
        <w:t>(the Report)</w:t>
      </w:r>
      <w:r w:rsidRPr="00F3201A">
        <w:t xml:space="preserve">. </w:t>
      </w:r>
    </w:p>
    <w:p w14:paraId="3744E67B" w14:textId="7E34C677" w:rsidR="00E554B6" w:rsidRDefault="00F3201A" w:rsidP="001844F6">
      <w:pPr>
        <w:spacing w:after="0"/>
        <w:ind w:right="91"/>
      </w:pPr>
      <w:r w:rsidRPr="00F3201A">
        <w:t xml:space="preserve">The Regulations are consistent with the </w:t>
      </w:r>
      <w:r w:rsidRPr="00F3201A">
        <w:rPr>
          <w:i/>
        </w:rPr>
        <w:t>Ministers of State Amendment Act 2023</w:t>
      </w:r>
      <w:r w:rsidRPr="00F3201A">
        <w:t xml:space="preserve"> </w:t>
      </w:r>
      <w:r w:rsidR="001844F6">
        <w:t xml:space="preserve">(the Amendment Act) </w:t>
      </w:r>
      <w:r w:rsidRPr="00F3201A">
        <w:t>that imposes obligations on the Official Secretary</w:t>
      </w:r>
      <w:r w:rsidR="00164A57">
        <w:t xml:space="preserve"> to the Governor</w:t>
      </w:r>
      <w:r w:rsidR="00164A57">
        <w:noBreakHyphen/>
      </w:r>
      <w:r w:rsidRPr="00F3201A">
        <w:t xml:space="preserve">General to publish, by notifiable instrument, </w:t>
      </w:r>
      <w:r w:rsidR="00A31E99">
        <w:t>information regarding changes to the Ministry that occur after the commencement of the Amendment Act</w:t>
      </w:r>
      <w:r w:rsidRPr="00F3201A">
        <w:t>.</w:t>
      </w:r>
      <w:r w:rsidR="001844F6">
        <w:t xml:space="preserve"> </w:t>
      </w:r>
    </w:p>
    <w:p w14:paraId="0EDD0C24" w14:textId="50815433" w:rsidR="00E554B6" w:rsidRPr="002D4980" w:rsidRDefault="00E554B6" w:rsidP="00E554B6">
      <w:pPr>
        <w:spacing w:after="0"/>
        <w:ind w:right="91"/>
      </w:pPr>
      <w:r>
        <w:t>The Regulations mirror the Amendment Act in relation to actions the Governor</w:t>
      </w:r>
      <w:r>
        <w:noBreakHyphen/>
        <w:t xml:space="preserve">General took from 23 May 2022 until </w:t>
      </w:r>
      <w:r w:rsidRPr="00C20BD8">
        <w:t>2</w:t>
      </w:r>
      <w:r w:rsidR="00C20BD8" w:rsidRPr="00C20BD8">
        <w:t>9</w:t>
      </w:r>
      <w:r w:rsidRPr="00C20BD8">
        <w:t xml:space="preserve"> November 2023 (when the Amendment Act commenced)</w:t>
      </w:r>
      <w:r>
        <w:t xml:space="preserve">. </w:t>
      </w:r>
      <w:r w:rsidR="00A31E99">
        <w:t xml:space="preserve">During this period, the Governor-General took actions on 23 May 2022, 1 June 2022, 1 July 2022, 2 September 2022 and 31 May 2023. </w:t>
      </w:r>
      <w:r>
        <w:t xml:space="preserve">Together the Amendment Act and Regulations cover the entire period </w:t>
      </w:r>
      <w:r>
        <w:lastRenderedPageBreak/>
        <w:t>of the 47</w:t>
      </w:r>
      <w:r w:rsidRPr="00B17440">
        <w:rPr>
          <w:vertAlign w:val="superscript"/>
        </w:rPr>
        <w:t>th</w:t>
      </w:r>
      <w:r>
        <w:t xml:space="preserve"> Parliament.</w:t>
      </w:r>
      <w:r w:rsidR="00704129" w:rsidRPr="00704129">
        <w:t xml:space="preserve"> While the Regulations cover actions taken in the past, the provisions apply prospectively.</w:t>
      </w:r>
    </w:p>
    <w:p w14:paraId="5EE696A3" w14:textId="268EB868" w:rsidR="00E435B1" w:rsidRDefault="00A31E99" w:rsidP="001844F6">
      <w:pPr>
        <w:spacing w:before="240"/>
      </w:pPr>
      <w:r>
        <w:t>C</w:t>
      </w:r>
      <w:r w:rsidR="00E435B1" w:rsidRPr="00DB3D02">
        <w:t xml:space="preserve">onsultation on </w:t>
      </w:r>
      <w:r>
        <w:t xml:space="preserve">the </w:t>
      </w:r>
      <w:r w:rsidR="00E435B1" w:rsidRPr="00DB3D02">
        <w:t xml:space="preserve">draft Regulations </w:t>
      </w:r>
      <w:r>
        <w:t>was undertaken with Government House.</w:t>
      </w:r>
      <w:r w:rsidR="00E435B1" w:rsidRPr="00DB3D02">
        <w:t xml:space="preserve">  </w:t>
      </w:r>
    </w:p>
    <w:p w14:paraId="1F9EFBE7" w14:textId="77777777" w:rsidR="001844F6" w:rsidRDefault="00E435B1" w:rsidP="001844F6">
      <w:pPr>
        <w:spacing w:before="240"/>
        <w:rPr>
          <w:szCs w:val="24"/>
          <w:u w:val="single"/>
        </w:rPr>
        <w:sectPr w:rsidR="001844F6" w:rsidSect="00392BBA">
          <w:footerReference w:type="default" r:id="rId11"/>
          <w:pgSz w:w="11906" w:h="16838"/>
          <w:pgMar w:top="1440" w:right="1800" w:bottom="1440" w:left="1800" w:header="720" w:footer="720" w:gutter="0"/>
          <w:cols w:space="720"/>
          <w:docGrid w:linePitch="360"/>
        </w:sectPr>
      </w:pPr>
      <w:r w:rsidRPr="004109D3">
        <w:rPr>
          <w:szCs w:val="24"/>
        </w:rPr>
        <w:t>Details of the Regulation</w:t>
      </w:r>
      <w:r>
        <w:rPr>
          <w:szCs w:val="24"/>
        </w:rPr>
        <w:t>s</w:t>
      </w:r>
      <w:r w:rsidRPr="004109D3">
        <w:rPr>
          <w:szCs w:val="24"/>
        </w:rPr>
        <w:t xml:space="preserve"> are included in</w:t>
      </w:r>
      <w:r>
        <w:rPr>
          <w:szCs w:val="24"/>
        </w:rPr>
        <w:t xml:space="preserve"> the </w:t>
      </w:r>
      <w:r>
        <w:rPr>
          <w:szCs w:val="24"/>
          <w:u w:val="single"/>
        </w:rPr>
        <w:t>Attachment.</w:t>
      </w:r>
    </w:p>
    <w:p w14:paraId="1CB55881" w14:textId="5AD6B62D" w:rsidR="00312311" w:rsidRPr="00DF3133" w:rsidRDefault="00DF3133" w:rsidP="001844F6">
      <w:pPr>
        <w:spacing w:before="240"/>
        <w:jc w:val="right"/>
        <w:rPr>
          <w:b/>
          <w:szCs w:val="24"/>
          <w:u w:val="single"/>
        </w:rPr>
      </w:pPr>
      <w:r w:rsidRPr="00DF3133">
        <w:rPr>
          <w:b/>
          <w:szCs w:val="24"/>
          <w:u w:val="single"/>
        </w:rPr>
        <w:lastRenderedPageBreak/>
        <w:t>ATTACHMENT</w:t>
      </w:r>
    </w:p>
    <w:p w14:paraId="4E0CDB55" w14:textId="0B79C7D3" w:rsidR="00312311" w:rsidRPr="00717407" w:rsidRDefault="00312311" w:rsidP="001844F6">
      <w:pPr>
        <w:tabs>
          <w:tab w:val="left" w:pos="1418"/>
        </w:tabs>
        <w:spacing w:before="0" w:after="0"/>
        <w:rPr>
          <w:b/>
          <w:i/>
          <w:u w:val="single"/>
        </w:rPr>
      </w:pPr>
      <w:r w:rsidRPr="00717407">
        <w:rPr>
          <w:b/>
          <w:szCs w:val="24"/>
          <w:u w:val="single"/>
        </w:rPr>
        <w:t>Details of the</w:t>
      </w:r>
      <w:r w:rsidRPr="00717407">
        <w:rPr>
          <w:b/>
          <w:i/>
          <w:u w:val="single"/>
        </w:rPr>
        <w:t xml:space="preserve"> </w:t>
      </w:r>
      <w:r w:rsidR="00D72A01">
        <w:rPr>
          <w:b/>
          <w:i/>
          <w:u w:val="single"/>
        </w:rPr>
        <w:t>Ministers of State Regulation 202</w:t>
      </w:r>
      <w:r w:rsidR="00E554B6">
        <w:rPr>
          <w:b/>
          <w:i/>
          <w:u w:val="single"/>
        </w:rPr>
        <w:t>4</w:t>
      </w:r>
    </w:p>
    <w:p w14:paraId="5E473740" w14:textId="77777777" w:rsidR="00312311" w:rsidRPr="00717407" w:rsidRDefault="00312311" w:rsidP="001844F6">
      <w:pPr>
        <w:autoSpaceDE w:val="0"/>
        <w:autoSpaceDN w:val="0"/>
        <w:adjustRightInd w:val="0"/>
        <w:spacing w:after="240"/>
        <w:rPr>
          <w:szCs w:val="24"/>
          <w:u w:val="single"/>
        </w:rPr>
      </w:pPr>
      <w:r w:rsidRPr="00717407">
        <w:rPr>
          <w:szCs w:val="24"/>
          <w:u w:val="single"/>
        </w:rPr>
        <w:t>Section 1 — Name of Regulation</w:t>
      </w:r>
      <w:r>
        <w:rPr>
          <w:szCs w:val="24"/>
          <w:u w:val="single"/>
        </w:rPr>
        <w:t>s</w:t>
      </w:r>
    </w:p>
    <w:p w14:paraId="6D1F7740" w14:textId="59F3908A" w:rsidR="00312311" w:rsidRPr="00717407" w:rsidRDefault="00312311" w:rsidP="001844F6">
      <w:pPr>
        <w:autoSpaceDE w:val="0"/>
        <w:autoSpaceDN w:val="0"/>
        <w:adjustRightInd w:val="0"/>
        <w:rPr>
          <w:iCs/>
          <w:szCs w:val="24"/>
        </w:rPr>
      </w:pPr>
      <w:r w:rsidRPr="00717407">
        <w:rPr>
          <w:szCs w:val="24"/>
        </w:rPr>
        <w:t>This section specifies that the name of the Regulation</w:t>
      </w:r>
      <w:r>
        <w:rPr>
          <w:szCs w:val="24"/>
        </w:rPr>
        <w:t>s</w:t>
      </w:r>
      <w:r w:rsidRPr="00717407">
        <w:rPr>
          <w:szCs w:val="24"/>
        </w:rPr>
        <w:t xml:space="preserve"> is </w:t>
      </w:r>
      <w:r w:rsidRPr="008C31A8">
        <w:rPr>
          <w:szCs w:val="24"/>
        </w:rPr>
        <w:t>the</w:t>
      </w:r>
      <w:r w:rsidRPr="00E435B1">
        <w:rPr>
          <w:i/>
          <w:szCs w:val="24"/>
        </w:rPr>
        <w:t xml:space="preserve"> </w:t>
      </w:r>
      <w:r w:rsidR="00D72A01">
        <w:rPr>
          <w:i/>
          <w:szCs w:val="24"/>
        </w:rPr>
        <w:t>Ministers of State Regulation</w:t>
      </w:r>
      <w:r w:rsidR="001844F6">
        <w:rPr>
          <w:i/>
          <w:szCs w:val="24"/>
        </w:rPr>
        <w:t>s</w:t>
      </w:r>
      <w:r w:rsidR="00D72A01">
        <w:rPr>
          <w:i/>
          <w:szCs w:val="24"/>
        </w:rPr>
        <w:t xml:space="preserve"> 202</w:t>
      </w:r>
      <w:r w:rsidR="00E554B6">
        <w:rPr>
          <w:i/>
          <w:szCs w:val="24"/>
        </w:rPr>
        <w:t>4</w:t>
      </w:r>
      <w:r w:rsidR="00DF3133">
        <w:rPr>
          <w:i/>
          <w:szCs w:val="24"/>
        </w:rPr>
        <w:t>.</w:t>
      </w:r>
    </w:p>
    <w:p w14:paraId="6B2ECCC1" w14:textId="77777777" w:rsidR="00312311" w:rsidRPr="00717407" w:rsidRDefault="00312311" w:rsidP="001844F6">
      <w:pPr>
        <w:autoSpaceDE w:val="0"/>
        <w:autoSpaceDN w:val="0"/>
        <w:adjustRightInd w:val="0"/>
        <w:spacing w:before="240" w:after="240"/>
        <w:rPr>
          <w:szCs w:val="24"/>
          <w:u w:val="single"/>
        </w:rPr>
      </w:pPr>
      <w:r w:rsidRPr="00717407">
        <w:rPr>
          <w:szCs w:val="24"/>
          <w:u w:val="single"/>
        </w:rPr>
        <w:t>Section 2 — Commencement</w:t>
      </w:r>
    </w:p>
    <w:p w14:paraId="7D7207B6" w14:textId="4F13DD7C" w:rsidR="00312311" w:rsidRPr="00430DA2" w:rsidRDefault="00312311" w:rsidP="001844F6">
      <w:pPr>
        <w:spacing w:before="240"/>
      </w:pPr>
      <w:r w:rsidRPr="00717407">
        <w:rPr>
          <w:szCs w:val="24"/>
        </w:rPr>
        <w:t xml:space="preserve">This section provides </w:t>
      </w:r>
      <w:r w:rsidR="002F2FCE">
        <w:rPr>
          <w:szCs w:val="24"/>
        </w:rPr>
        <w:t>that t</w:t>
      </w:r>
      <w:r w:rsidR="002F2FCE">
        <w:t xml:space="preserve">he </w:t>
      </w:r>
      <w:r w:rsidR="00D72A01">
        <w:t>Regulations</w:t>
      </w:r>
      <w:r w:rsidR="00430DA2">
        <w:rPr>
          <w:i/>
        </w:rPr>
        <w:t xml:space="preserve"> </w:t>
      </w:r>
      <w:r w:rsidR="002F2FCE" w:rsidRPr="00430DA2">
        <w:t>commence</w:t>
      </w:r>
      <w:r w:rsidR="002F2FCE" w:rsidRPr="00C17640">
        <w:t xml:space="preserve"> on </w:t>
      </w:r>
      <w:r w:rsidR="00D72A01">
        <w:t>the day after the instrument is registered</w:t>
      </w:r>
      <w:r w:rsidRPr="00717407">
        <w:rPr>
          <w:szCs w:val="24"/>
        </w:rPr>
        <w:t>.</w:t>
      </w:r>
    </w:p>
    <w:p w14:paraId="1A9EDE36" w14:textId="77777777" w:rsidR="00312311" w:rsidRPr="00717407" w:rsidRDefault="00312311" w:rsidP="001844F6">
      <w:pPr>
        <w:tabs>
          <w:tab w:val="left" w:pos="1987"/>
        </w:tabs>
        <w:spacing w:before="240" w:after="240"/>
        <w:rPr>
          <w:u w:val="single"/>
        </w:rPr>
      </w:pPr>
      <w:r w:rsidRPr="00717407">
        <w:rPr>
          <w:u w:val="single"/>
        </w:rPr>
        <w:t>Section 3 — Authority</w:t>
      </w:r>
    </w:p>
    <w:p w14:paraId="5BBF724A" w14:textId="55AC4BB9" w:rsidR="00312311" w:rsidRPr="00717407" w:rsidRDefault="00312311" w:rsidP="001844F6">
      <w:pPr>
        <w:tabs>
          <w:tab w:val="left" w:pos="1987"/>
        </w:tabs>
        <w:rPr>
          <w:i/>
        </w:rPr>
      </w:pPr>
      <w:r w:rsidRPr="00717407">
        <w:t>This section states that the Regulation</w:t>
      </w:r>
      <w:r>
        <w:t>s are</w:t>
      </w:r>
      <w:r w:rsidRPr="00717407">
        <w:t xml:space="preserve"> made under the </w:t>
      </w:r>
      <w:r w:rsidR="00D72A01">
        <w:rPr>
          <w:i/>
        </w:rPr>
        <w:t>Ministers of State Act 1952</w:t>
      </w:r>
      <w:r w:rsidR="00DF3133">
        <w:rPr>
          <w:i/>
        </w:rPr>
        <w:t>.</w:t>
      </w:r>
      <w:r w:rsidRPr="00717407">
        <w:rPr>
          <w:i/>
        </w:rPr>
        <w:t xml:space="preserve"> </w:t>
      </w:r>
    </w:p>
    <w:p w14:paraId="1BD8C841" w14:textId="77777777" w:rsidR="00D72A01" w:rsidRPr="00717407" w:rsidRDefault="00D72A01" w:rsidP="001844F6">
      <w:pPr>
        <w:spacing w:before="240"/>
        <w:rPr>
          <w:u w:val="single"/>
        </w:rPr>
      </w:pPr>
      <w:r w:rsidRPr="00717407">
        <w:rPr>
          <w:u w:val="single"/>
        </w:rPr>
        <w:t xml:space="preserve">Section 4 – </w:t>
      </w:r>
      <w:r>
        <w:rPr>
          <w:u w:val="single"/>
        </w:rPr>
        <w:t>Definitions</w:t>
      </w:r>
    </w:p>
    <w:p w14:paraId="72F1AEF7" w14:textId="3B508DF1" w:rsidR="00312311" w:rsidRDefault="00312311" w:rsidP="001844F6">
      <w:pPr>
        <w:spacing w:before="240"/>
      </w:pPr>
      <w:r w:rsidRPr="00717407">
        <w:t xml:space="preserve">This section </w:t>
      </w:r>
      <w:r w:rsidR="00D72A01">
        <w:t xml:space="preserve">defines a “Department” consistently with the </w:t>
      </w:r>
      <w:r w:rsidR="00120F75">
        <w:t xml:space="preserve">concept of a Department of State in the </w:t>
      </w:r>
      <w:r w:rsidR="00D72A01">
        <w:t>Constitution.</w:t>
      </w:r>
    </w:p>
    <w:p w14:paraId="5CCAEDFD" w14:textId="743F91D8" w:rsidR="00D72A01" w:rsidRPr="00717407" w:rsidRDefault="00D72A01" w:rsidP="001844F6">
      <w:pPr>
        <w:spacing w:before="240"/>
        <w:rPr>
          <w:u w:val="single"/>
        </w:rPr>
      </w:pPr>
      <w:r>
        <w:rPr>
          <w:u w:val="single"/>
        </w:rPr>
        <w:t>Section 5</w:t>
      </w:r>
      <w:r w:rsidRPr="00717407">
        <w:rPr>
          <w:u w:val="single"/>
        </w:rPr>
        <w:t xml:space="preserve"> – </w:t>
      </w:r>
      <w:r>
        <w:rPr>
          <w:u w:val="single"/>
        </w:rPr>
        <w:t>Notification of Ministers and Departments they administer</w:t>
      </w:r>
    </w:p>
    <w:p w14:paraId="02379D2B" w14:textId="75023B01" w:rsidR="00D72A01" w:rsidRDefault="00120F75" w:rsidP="001844F6">
      <w:pPr>
        <w:spacing w:before="240"/>
      </w:pPr>
      <w:r>
        <w:t>Subsection 5(1) requires the Official Secretary to the Governor-General (OSGG) to make a notifiable instrument:</w:t>
      </w:r>
    </w:p>
    <w:p w14:paraId="3FF127ED" w14:textId="57EC0A62" w:rsidR="00120F75" w:rsidRPr="00BD5327" w:rsidRDefault="00120F75" w:rsidP="001844F6">
      <w:pPr>
        <w:pStyle w:val="ListParagraph"/>
        <w:numPr>
          <w:ilvl w:val="0"/>
          <w:numId w:val="8"/>
        </w:numPr>
        <w:spacing w:before="240" w:line="240" w:lineRule="auto"/>
        <w:ind w:left="714" w:hanging="357"/>
        <w:contextualSpacing w:val="0"/>
        <w:rPr>
          <w:rFonts w:ascii="Times New Roman" w:hAnsi="Times New Roman" w:cs="Times New Roman"/>
          <w:sz w:val="24"/>
          <w:szCs w:val="24"/>
        </w:rPr>
      </w:pPr>
      <w:r w:rsidRPr="00BD5327">
        <w:rPr>
          <w:rFonts w:ascii="Times New Roman" w:hAnsi="Times New Roman" w:cs="Times New Roman"/>
          <w:sz w:val="24"/>
          <w:szCs w:val="24"/>
        </w:rPr>
        <w:t>specifying each person that administers a Department under section 64 of the Constitution and the offices they hold under section 65 of the Constitution. In practice this will be a table that allows the public to see each person, their Ministerial titles and the Departments they administer. This table will be updated each time the Governor-General performs an action under sections 64 or 65 of the Constitution (paragraph 5(1)(a)).</w:t>
      </w:r>
    </w:p>
    <w:p w14:paraId="1A45500E" w14:textId="4C65D90F" w:rsidR="00120F75" w:rsidRDefault="00120F75" w:rsidP="001844F6">
      <w:pPr>
        <w:pStyle w:val="ListParagraph"/>
        <w:numPr>
          <w:ilvl w:val="0"/>
          <w:numId w:val="8"/>
        </w:numPr>
        <w:spacing w:before="240" w:line="240" w:lineRule="auto"/>
        <w:ind w:left="714" w:hanging="357"/>
        <w:rPr>
          <w:rFonts w:ascii="Times New Roman" w:hAnsi="Times New Roman" w:cs="Times New Roman"/>
          <w:sz w:val="24"/>
          <w:szCs w:val="24"/>
        </w:rPr>
      </w:pPr>
      <w:r>
        <w:rPr>
          <w:rFonts w:ascii="Times New Roman" w:hAnsi="Times New Roman" w:cs="Times New Roman"/>
          <w:sz w:val="24"/>
          <w:szCs w:val="24"/>
        </w:rPr>
        <w:t xml:space="preserve">notifying each time the Governor-General </w:t>
      </w:r>
      <w:r w:rsidR="00A31E99">
        <w:rPr>
          <w:rFonts w:ascii="Times New Roman" w:hAnsi="Times New Roman" w:cs="Times New Roman"/>
          <w:sz w:val="24"/>
          <w:szCs w:val="24"/>
        </w:rPr>
        <w:t>took</w:t>
      </w:r>
      <w:r>
        <w:rPr>
          <w:rFonts w:ascii="Times New Roman" w:hAnsi="Times New Roman" w:cs="Times New Roman"/>
          <w:sz w:val="24"/>
          <w:szCs w:val="24"/>
        </w:rPr>
        <w:t xml:space="preserve"> action under sections 62, 64 or 65 of the Constitution (paragraphs 5(1)(b) to (d)). In practice these notifications will follow the table in paragraph 5(1)(a)) to allow the public to see how the actions of the Governor-General affected the table.</w:t>
      </w:r>
    </w:p>
    <w:p w14:paraId="181C02F9" w14:textId="478719FD" w:rsidR="00120F75" w:rsidRDefault="00120F75" w:rsidP="001844F6">
      <w:pPr>
        <w:spacing w:before="240"/>
        <w:rPr>
          <w:szCs w:val="24"/>
        </w:rPr>
      </w:pPr>
      <w:r>
        <w:rPr>
          <w:szCs w:val="24"/>
        </w:rPr>
        <w:t>Subsection 5(2) permits the notifiable instrument to include copies of the instruments made by the Governor-General pursuant to sections 62, 64 and 65 of the Constitution.</w:t>
      </w:r>
      <w:r w:rsidR="00DA5DBC">
        <w:rPr>
          <w:szCs w:val="24"/>
        </w:rPr>
        <w:t xml:space="preserve"> This provides greater transparency on what has occurred in relation to the Ministry.</w:t>
      </w:r>
      <w:r w:rsidR="001844F6">
        <w:rPr>
          <w:szCs w:val="24"/>
        </w:rPr>
        <w:t xml:space="preserve"> In practice, copies of the instruments will be attached in schedules of the </w:t>
      </w:r>
      <w:r w:rsidR="0005291C">
        <w:rPr>
          <w:szCs w:val="24"/>
        </w:rPr>
        <w:t>notifiable instrument.</w:t>
      </w:r>
    </w:p>
    <w:p w14:paraId="76883DE7" w14:textId="45BDFEB1" w:rsidR="00120F75" w:rsidRDefault="00120F75" w:rsidP="001844F6">
      <w:pPr>
        <w:spacing w:before="240"/>
        <w:rPr>
          <w:szCs w:val="24"/>
        </w:rPr>
      </w:pPr>
      <w:r>
        <w:rPr>
          <w:szCs w:val="24"/>
        </w:rPr>
        <w:t>Subsection 5(3)</w:t>
      </w:r>
      <w:r w:rsidR="004D3F5F">
        <w:rPr>
          <w:szCs w:val="24"/>
        </w:rPr>
        <w:t xml:space="preserve"> requires the OSGG to keep the notifiable instrument up to date.</w:t>
      </w:r>
      <w:r w:rsidR="00361A66">
        <w:rPr>
          <w:szCs w:val="24"/>
        </w:rPr>
        <w:t xml:space="preserve"> T</w:t>
      </w:r>
      <w:r w:rsidR="004D3F5F">
        <w:rPr>
          <w:szCs w:val="24"/>
        </w:rPr>
        <w:t xml:space="preserve">he notifiable instrument will be updated </w:t>
      </w:r>
      <w:r w:rsidR="0005291C">
        <w:rPr>
          <w:szCs w:val="24"/>
        </w:rPr>
        <w:t xml:space="preserve">as soon as practicable </w:t>
      </w:r>
      <w:r w:rsidR="004D3F5F">
        <w:rPr>
          <w:szCs w:val="24"/>
        </w:rPr>
        <w:t xml:space="preserve">after </w:t>
      </w:r>
      <w:r w:rsidR="00164A57">
        <w:rPr>
          <w:szCs w:val="24"/>
        </w:rPr>
        <w:t>the Governor</w:t>
      </w:r>
      <w:r w:rsidR="00164A57">
        <w:rPr>
          <w:szCs w:val="24"/>
        </w:rPr>
        <w:noBreakHyphen/>
      </w:r>
      <w:r w:rsidR="00DA5DBC">
        <w:rPr>
          <w:szCs w:val="24"/>
        </w:rPr>
        <w:t xml:space="preserve">General </w:t>
      </w:r>
      <w:r w:rsidR="00361A66">
        <w:rPr>
          <w:szCs w:val="24"/>
        </w:rPr>
        <w:t>performs an</w:t>
      </w:r>
      <w:r w:rsidR="00DA5DBC">
        <w:rPr>
          <w:szCs w:val="24"/>
        </w:rPr>
        <w:t xml:space="preserve"> action under sections 62, 64 and 65 of the Constitution.</w:t>
      </w:r>
    </w:p>
    <w:p w14:paraId="37215D11" w14:textId="77777777" w:rsidR="00704129" w:rsidRDefault="00DA5DBC" w:rsidP="001844F6">
      <w:pPr>
        <w:spacing w:before="240"/>
        <w:rPr>
          <w:szCs w:val="24"/>
        </w:rPr>
      </w:pPr>
      <w:r>
        <w:rPr>
          <w:szCs w:val="24"/>
        </w:rPr>
        <w:lastRenderedPageBreak/>
        <w:t>Subsections 5(4) and (5) clarify that the OSGG can specify matters required under paragraph 5(1)(a) and paragraphs 5(1)(b) to (d) before section 5 commences. This permits the OSGG to provide information on past Ministry arrangements. It is intended that a notifiable instrument would include information on the Ministry for the whole of the 47</w:t>
      </w:r>
      <w:r w:rsidRPr="00DA5DBC">
        <w:rPr>
          <w:szCs w:val="24"/>
          <w:vertAlign w:val="superscript"/>
        </w:rPr>
        <w:t>th</w:t>
      </w:r>
      <w:r>
        <w:rPr>
          <w:szCs w:val="24"/>
        </w:rPr>
        <w:t xml:space="preserve"> Parliament,</w:t>
      </w:r>
    </w:p>
    <w:p w14:paraId="47E175B9" w14:textId="3F5DFBB0" w:rsidR="00A31E99" w:rsidRDefault="00A31E99" w:rsidP="00A31E99">
      <w:pPr>
        <w:tabs>
          <w:tab w:val="left" w:pos="3969"/>
          <w:tab w:val="left" w:pos="5245"/>
        </w:tabs>
        <w:spacing w:before="240" w:after="0"/>
        <w:ind w:right="91"/>
      </w:pPr>
      <w:r w:rsidRPr="00970088">
        <w:t xml:space="preserve">Paragraphs 5(1)(b) to (d) </w:t>
      </w:r>
      <w:r>
        <w:t>require the OSGG to make a notifiable instrument of actions taken by the Governor-General</w:t>
      </w:r>
      <w:r w:rsidRPr="00970088">
        <w:t xml:space="preserve"> </w:t>
      </w:r>
      <w:r>
        <w:t xml:space="preserve">under sections 62, 64 and 65 of the </w:t>
      </w:r>
      <w:r w:rsidRPr="006E08EB">
        <w:rPr>
          <w:i/>
        </w:rPr>
        <w:t>Constitution</w:t>
      </w:r>
      <w:r>
        <w:t xml:space="preserve"> between 23 May 2022 and </w:t>
      </w:r>
      <w:r w:rsidRPr="00C20BD8">
        <w:t>2</w:t>
      </w:r>
      <w:r w:rsidR="00C20BD8" w:rsidRPr="00C20BD8">
        <w:t>9</w:t>
      </w:r>
      <w:r w:rsidRPr="00C20BD8">
        <w:t xml:space="preserve"> November 2023 (when the </w:t>
      </w:r>
      <w:r w:rsidRPr="00C20BD8">
        <w:rPr>
          <w:i/>
        </w:rPr>
        <w:t>Ministers of State Amendment Act 2023</w:t>
      </w:r>
      <w:r w:rsidRPr="00C20BD8">
        <w:t xml:space="preserve"> (the Amendment Act) commenced).</w:t>
      </w:r>
      <w:r w:rsidRPr="00970088">
        <w:t xml:space="preserve"> </w:t>
      </w:r>
      <w:r>
        <w:t>This period is not covered by the Amendment Act, which only requires notification for actions taken after the Amendment Act commenced (i.e. actions taken after 2</w:t>
      </w:r>
      <w:r w:rsidR="00C20BD8">
        <w:t>9</w:t>
      </w:r>
      <w:r>
        <w:t> November 2023).</w:t>
      </w:r>
    </w:p>
    <w:p w14:paraId="2F6E02D0" w14:textId="786705FB" w:rsidR="00A31E99" w:rsidRPr="003B3236" w:rsidRDefault="00A31E99" w:rsidP="00A31E99">
      <w:pPr>
        <w:tabs>
          <w:tab w:val="left" w:pos="3969"/>
          <w:tab w:val="left" w:pos="5245"/>
        </w:tabs>
        <w:spacing w:before="240" w:after="0"/>
        <w:ind w:right="91"/>
      </w:pPr>
      <w:r>
        <w:t>The Albanese Government was elected on 23 May 2022. Therefore</w:t>
      </w:r>
      <w:r w:rsidR="00C20BD8">
        <w:t>,</w:t>
      </w:r>
      <w:r>
        <w:t xml:space="preserve"> the Regulations ensure there is a complete picture of all actions taken by the Governor-General in relation to the Albanese Government. In the absence of the Regulations, the notifiable instrument will effectively start partway through the 47</w:t>
      </w:r>
      <w:r w:rsidRPr="006E08EB">
        <w:rPr>
          <w:vertAlign w:val="superscript"/>
        </w:rPr>
        <w:t>th</w:t>
      </w:r>
      <w:r w:rsidR="00E70526">
        <w:t xml:space="preserve"> P</w:t>
      </w:r>
      <w:r>
        <w:t>arliament and only at the point if and when the Prime Minister recommends the Governor-General make changes to the existing Ministry.</w:t>
      </w:r>
    </w:p>
    <w:p w14:paraId="61EC3B56" w14:textId="108B1026" w:rsidR="004D3F5F" w:rsidRPr="00AA3BEB" w:rsidRDefault="00DA5DBC" w:rsidP="00AA3BEB">
      <w:pPr>
        <w:spacing w:before="240"/>
        <w:rPr>
          <w:szCs w:val="24"/>
        </w:rPr>
      </w:pPr>
      <w:r>
        <w:rPr>
          <w:szCs w:val="24"/>
        </w:rPr>
        <w:t>Subsection 5(6) clarifies that failing to comply with paragraphs 5(2)(a) to (f) does not affect the validity of an instrument made under sections 62, 64 and 65 of the Constitution. This reflects that subsection 5(2) is purely for transparency. The legal actions the Governor-General takes are executing the actual instruments on the advice of the Prime Minister.</w:t>
      </w:r>
      <w:r w:rsidR="004D3F5F">
        <w:rPr>
          <w:rFonts w:ascii="Helvetica" w:hAnsi="Helvetica"/>
          <w:b/>
          <w:kern w:val="28"/>
        </w:rPr>
        <w:br w:type="page"/>
      </w:r>
    </w:p>
    <w:p w14:paraId="402C9610" w14:textId="6AD3FF0B" w:rsidR="00312311" w:rsidRPr="00CD0A4D" w:rsidRDefault="00312311" w:rsidP="001844F6">
      <w:pPr>
        <w:spacing w:before="240"/>
        <w:rPr>
          <w:b/>
          <w:szCs w:val="24"/>
          <w:u w:val="single"/>
        </w:rPr>
      </w:pPr>
      <w:r w:rsidRPr="00CD0A4D">
        <w:rPr>
          <w:b/>
          <w:szCs w:val="24"/>
          <w:u w:val="single"/>
        </w:rPr>
        <w:lastRenderedPageBreak/>
        <w:t>Statement of Compatibility with Human Rights</w:t>
      </w:r>
    </w:p>
    <w:p w14:paraId="2D4FDD7A" w14:textId="77777777" w:rsidR="00CD0A4D" w:rsidRDefault="00CD0A4D" w:rsidP="001844F6">
      <w:pPr>
        <w:spacing w:before="240"/>
        <w:rPr>
          <w:i/>
          <w:szCs w:val="24"/>
        </w:rPr>
      </w:pPr>
      <w:r w:rsidRPr="00F6122F">
        <w:rPr>
          <w:i/>
          <w:szCs w:val="24"/>
        </w:rPr>
        <w:t>Prepared in accordance with Part 3 of the Human Rights (Parliamentary Scrutiny) Act 2011</w:t>
      </w:r>
    </w:p>
    <w:p w14:paraId="6BF065FD" w14:textId="4ECF7341" w:rsidR="00CD0A4D" w:rsidRPr="00580F50" w:rsidRDefault="00CD0A4D" w:rsidP="001844F6">
      <w:pPr>
        <w:spacing w:before="240"/>
        <w:rPr>
          <w:b/>
          <w:szCs w:val="24"/>
        </w:rPr>
      </w:pPr>
      <w:r>
        <w:rPr>
          <w:b/>
          <w:szCs w:val="24"/>
        </w:rPr>
        <w:t>Ministers of State Regulations 202</w:t>
      </w:r>
      <w:r w:rsidR="00B61730">
        <w:rPr>
          <w:b/>
          <w:szCs w:val="24"/>
        </w:rPr>
        <w:t>4</w:t>
      </w:r>
    </w:p>
    <w:p w14:paraId="00857E7E" w14:textId="07856786" w:rsidR="00CD0A4D" w:rsidRPr="003F42B8" w:rsidRDefault="00CD0A4D" w:rsidP="001844F6">
      <w:pPr>
        <w:spacing w:before="240" w:after="0"/>
        <w:rPr>
          <w:szCs w:val="24"/>
        </w:rPr>
      </w:pPr>
      <w:r w:rsidRPr="003F42B8">
        <w:rPr>
          <w:szCs w:val="24"/>
        </w:rPr>
        <w:t>Th</w:t>
      </w:r>
      <w:r>
        <w:rPr>
          <w:szCs w:val="24"/>
        </w:rPr>
        <w:t>e Ministers of State Regulations 202</w:t>
      </w:r>
      <w:r w:rsidR="00B61730">
        <w:rPr>
          <w:szCs w:val="24"/>
        </w:rPr>
        <w:t>4</w:t>
      </w:r>
      <w:r>
        <w:rPr>
          <w:szCs w:val="24"/>
        </w:rPr>
        <w:t xml:space="preserve"> (the</w:t>
      </w:r>
      <w:r w:rsidRPr="003F42B8">
        <w:rPr>
          <w:szCs w:val="24"/>
        </w:rPr>
        <w:t xml:space="preserve"> </w:t>
      </w:r>
      <w:r>
        <w:rPr>
          <w:szCs w:val="24"/>
        </w:rPr>
        <w:t>Regulations)</w:t>
      </w:r>
      <w:r w:rsidRPr="003F42B8">
        <w:rPr>
          <w:szCs w:val="24"/>
        </w:rPr>
        <w:t xml:space="preserve"> </w:t>
      </w:r>
      <w:r>
        <w:rPr>
          <w:szCs w:val="24"/>
        </w:rPr>
        <w:t xml:space="preserve">are </w:t>
      </w:r>
      <w:r w:rsidRPr="003F42B8">
        <w:rPr>
          <w:szCs w:val="24"/>
        </w:rPr>
        <w:t xml:space="preserve">compatible with the human rights and freedoms recognised or declared in the international instruments listed in section 3 of the </w:t>
      </w:r>
      <w:r w:rsidRPr="003F42B8">
        <w:rPr>
          <w:i/>
          <w:szCs w:val="24"/>
        </w:rPr>
        <w:t>Human Rights (Parliamentary Scrutiny) Act 2011</w:t>
      </w:r>
      <w:r w:rsidRPr="003F42B8">
        <w:rPr>
          <w:szCs w:val="24"/>
        </w:rPr>
        <w:t>.</w:t>
      </w:r>
    </w:p>
    <w:p w14:paraId="1C526AB0" w14:textId="23E12A2B" w:rsidR="00CD0A4D" w:rsidRDefault="00CD0A4D" w:rsidP="001844F6">
      <w:pPr>
        <w:spacing w:before="240"/>
        <w:rPr>
          <w:b/>
          <w:szCs w:val="24"/>
        </w:rPr>
      </w:pPr>
      <w:r w:rsidRPr="00B40F40">
        <w:rPr>
          <w:b/>
          <w:szCs w:val="24"/>
        </w:rPr>
        <w:t xml:space="preserve">Overview of the </w:t>
      </w:r>
      <w:r w:rsidR="0005291C">
        <w:rPr>
          <w:b/>
          <w:szCs w:val="24"/>
        </w:rPr>
        <w:t>Regulations</w:t>
      </w:r>
    </w:p>
    <w:p w14:paraId="4F86953D" w14:textId="77777777" w:rsidR="00CD0A4D" w:rsidRDefault="00CD0A4D" w:rsidP="001844F6">
      <w:pPr>
        <w:spacing w:after="0"/>
        <w:ind w:right="91"/>
      </w:pPr>
      <w:r w:rsidRPr="002D4980">
        <w:t xml:space="preserve">The Regulations </w:t>
      </w:r>
      <w:r>
        <w:t>require the Official Secretary to the Governor-General to</w:t>
      </w:r>
      <w:r w:rsidRPr="00FE2B4D">
        <w:t xml:space="preserve"> </w:t>
      </w:r>
      <w:r>
        <w:t>make a notifiable instrument:</w:t>
      </w:r>
    </w:p>
    <w:p w14:paraId="79181A80" w14:textId="637A8915" w:rsidR="00CD0A4D" w:rsidRDefault="00CD0A4D" w:rsidP="001844F6">
      <w:pPr>
        <w:pStyle w:val="ListParagraph"/>
        <w:numPr>
          <w:ilvl w:val="0"/>
          <w:numId w:val="11"/>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from time-to-time specifying a list of each person appointed to administer a Department of State under section 64 of the Constitution and the offices the person holds under section 65 of the Constitution. This list on Ministers will ensure up to date public information is available about the constitution of the Ministry since the start of the 47</w:t>
      </w:r>
      <w:r w:rsidRPr="00F3201A">
        <w:rPr>
          <w:rFonts w:ascii="Times New Roman" w:eastAsia="Times New Roman" w:hAnsi="Times New Roman" w:cs="Times New Roman"/>
          <w:color w:val="auto"/>
          <w:sz w:val="24"/>
          <w:vertAlign w:val="superscript"/>
          <w:lang w:eastAsia="en-AU"/>
        </w:rPr>
        <w:t>th</w:t>
      </w:r>
      <w:r w:rsidR="00E70526">
        <w:rPr>
          <w:rFonts w:ascii="Times New Roman" w:eastAsia="Times New Roman" w:hAnsi="Times New Roman" w:cs="Times New Roman"/>
          <w:color w:val="auto"/>
          <w:sz w:val="24"/>
          <w:lang w:eastAsia="en-AU"/>
        </w:rPr>
        <w:t xml:space="preserve"> P</w:t>
      </w:r>
      <w:r>
        <w:rPr>
          <w:rFonts w:ascii="Times New Roman" w:eastAsia="Times New Roman" w:hAnsi="Times New Roman" w:cs="Times New Roman"/>
          <w:color w:val="auto"/>
          <w:sz w:val="24"/>
          <w:lang w:eastAsia="en-AU"/>
        </w:rPr>
        <w:t>arliament.</w:t>
      </w:r>
    </w:p>
    <w:p w14:paraId="79F5437F" w14:textId="77777777" w:rsidR="00A31E99" w:rsidRDefault="00A31E99" w:rsidP="00A31E99">
      <w:pPr>
        <w:pStyle w:val="ListParagraph"/>
        <w:numPr>
          <w:ilvl w:val="0"/>
          <w:numId w:val="11"/>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chose, summoned and swore a person as a member of the Federal Executive Council under section 62 of the Constitution.</w:t>
      </w:r>
    </w:p>
    <w:p w14:paraId="512B47A9" w14:textId="77777777" w:rsidR="00A31E99" w:rsidRDefault="00A31E99" w:rsidP="00A31E99">
      <w:pPr>
        <w:pStyle w:val="ListParagraph"/>
        <w:numPr>
          <w:ilvl w:val="0"/>
          <w:numId w:val="11"/>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appointed a person to administer a Department of State under section 64 of the Constitution.</w:t>
      </w:r>
    </w:p>
    <w:p w14:paraId="04690739" w14:textId="77777777" w:rsidR="00A31E99" w:rsidRDefault="00A31E99" w:rsidP="00A31E99">
      <w:pPr>
        <w:pStyle w:val="ListParagraph"/>
        <w:numPr>
          <w:ilvl w:val="0"/>
          <w:numId w:val="11"/>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directed a person to hold an office under section 65 of the Constitution.</w:t>
      </w:r>
    </w:p>
    <w:p w14:paraId="4C46CD9A" w14:textId="77777777" w:rsidR="00A31E99" w:rsidRPr="00FE2B4D" w:rsidRDefault="00A31E99" w:rsidP="00A31E99">
      <w:pPr>
        <w:pStyle w:val="ListParagraph"/>
        <w:numPr>
          <w:ilvl w:val="0"/>
          <w:numId w:val="11"/>
        </w:numPr>
        <w:spacing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detailing occasions the Governor-General revoked membership under paragraph (b), revokes an appointment under paragraph (c) or revokes a direction under paragraph (d).</w:t>
      </w:r>
    </w:p>
    <w:p w14:paraId="19F4C9C5" w14:textId="2EE33DA7" w:rsidR="00CD0A4D" w:rsidRPr="003F42B8" w:rsidRDefault="00CD0A4D" w:rsidP="00A31E99">
      <w:pPr>
        <w:spacing w:before="240" w:after="0"/>
        <w:rPr>
          <w:szCs w:val="24"/>
        </w:rPr>
      </w:pPr>
      <w:r w:rsidRPr="003F42B8">
        <w:rPr>
          <w:b/>
          <w:szCs w:val="24"/>
        </w:rPr>
        <w:t>Human rights implications</w:t>
      </w:r>
    </w:p>
    <w:p w14:paraId="5EED5A37" w14:textId="06409C68" w:rsidR="00CD0A4D" w:rsidRDefault="0005291C" w:rsidP="001844F6">
      <w:pPr>
        <w:spacing w:before="240" w:after="0"/>
        <w:rPr>
          <w:szCs w:val="24"/>
        </w:rPr>
      </w:pPr>
      <w:r>
        <w:rPr>
          <w:szCs w:val="24"/>
        </w:rPr>
        <w:t>The Regulations</w:t>
      </w:r>
      <w:r w:rsidR="00CD0A4D" w:rsidRPr="003F42B8">
        <w:rPr>
          <w:szCs w:val="24"/>
        </w:rPr>
        <w:t xml:space="preserve"> engage the </w:t>
      </w:r>
      <w:r w:rsidR="00CD0A4D">
        <w:rPr>
          <w:szCs w:val="24"/>
        </w:rPr>
        <w:t xml:space="preserve">right to take part in public affairs in Article 25(a) and the </w:t>
      </w:r>
      <w:r w:rsidR="00CD0A4D" w:rsidRPr="003F42B8">
        <w:rPr>
          <w:szCs w:val="24"/>
        </w:rPr>
        <w:t xml:space="preserve">right to freedom of expression in Article 19(2) of the </w:t>
      </w:r>
      <w:r w:rsidR="00CD0A4D" w:rsidRPr="003F42B8">
        <w:rPr>
          <w:i/>
          <w:szCs w:val="24"/>
        </w:rPr>
        <w:t>International Covenant on Civil and Political Rights</w:t>
      </w:r>
      <w:r w:rsidR="00CD0A4D" w:rsidRPr="003F42B8">
        <w:rPr>
          <w:szCs w:val="24"/>
        </w:rPr>
        <w:t xml:space="preserve"> (ICCPR), in so far as that article includes freedom to seek, receive and impart information</w:t>
      </w:r>
      <w:r w:rsidR="00CD0A4D">
        <w:rPr>
          <w:szCs w:val="24"/>
        </w:rPr>
        <w:t xml:space="preserve">. </w:t>
      </w:r>
    </w:p>
    <w:p w14:paraId="52AACD0A" w14:textId="77777777" w:rsidR="00CD0A4D" w:rsidRPr="00D149F3" w:rsidRDefault="00CD0A4D" w:rsidP="001844F6">
      <w:pPr>
        <w:spacing w:before="240" w:after="0"/>
        <w:rPr>
          <w:i/>
          <w:szCs w:val="24"/>
        </w:rPr>
      </w:pPr>
      <w:r>
        <w:rPr>
          <w:i/>
          <w:szCs w:val="24"/>
        </w:rPr>
        <w:t>R</w:t>
      </w:r>
      <w:r w:rsidRPr="00D149F3">
        <w:rPr>
          <w:i/>
          <w:szCs w:val="24"/>
        </w:rPr>
        <w:t xml:space="preserve">ight to take part in public affairs </w:t>
      </w:r>
    </w:p>
    <w:p w14:paraId="7D88E965" w14:textId="77777777" w:rsidR="00CD0A4D" w:rsidRPr="00D149F3" w:rsidRDefault="00CD0A4D" w:rsidP="001844F6">
      <w:pPr>
        <w:spacing w:before="240" w:after="0"/>
        <w:rPr>
          <w:szCs w:val="24"/>
        </w:rPr>
      </w:pPr>
      <w:r w:rsidRPr="00D149F3">
        <w:rPr>
          <w:szCs w:val="24"/>
        </w:rPr>
        <w:t xml:space="preserve">Article 25 of the ICCPR </w:t>
      </w:r>
      <w:r>
        <w:rPr>
          <w:szCs w:val="24"/>
        </w:rPr>
        <w:t>provides that:</w:t>
      </w:r>
    </w:p>
    <w:p w14:paraId="086ED60F" w14:textId="77777777" w:rsidR="00CD0A4D" w:rsidRPr="00D149F3" w:rsidRDefault="00CD0A4D" w:rsidP="001844F6">
      <w:pPr>
        <w:pStyle w:val="ListParagraph"/>
        <w:spacing w:before="240" w:after="0" w:line="240" w:lineRule="auto"/>
        <w:ind w:left="360"/>
        <w:contextualSpacing w:val="0"/>
        <w:rPr>
          <w:rFonts w:ascii="Times New Roman" w:hAnsi="Times New Roman"/>
          <w:sz w:val="24"/>
          <w:szCs w:val="24"/>
        </w:rPr>
      </w:pPr>
      <w:r w:rsidRPr="00D149F3">
        <w:rPr>
          <w:rFonts w:ascii="Times New Roman" w:hAnsi="Times New Roman"/>
          <w:sz w:val="24"/>
          <w:szCs w:val="24"/>
        </w:rPr>
        <w:t>Every citizen shall have the right and the opportunity, without any of the distinctions mentioned in article 2 and without unreasonable restrictions:</w:t>
      </w:r>
    </w:p>
    <w:p w14:paraId="1F16B56C" w14:textId="77777777" w:rsidR="00CD0A4D" w:rsidRPr="00D149F3" w:rsidRDefault="00CD0A4D" w:rsidP="001844F6">
      <w:pPr>
        <w:pStyle w:val="ListParagraph"/>
        <w:numPr>
          <w:ilvl w:val="1"/>
          <w:numId w:val="9"/>
        </w:numPr>
        <w:spacing w:before="240" w:after="0" w:line="240" w:lineRule="auto"/>
        <w:contextualSpacing w:val="0"/>
        <w:rPr>
          <w:rFonts w:ascii="Times New Roman" w:hAnsi="Times New Roman"/>
          <w:sz w:val="24"/>
          <w:szCs w:val="24"/>
        </w:rPr>
      </w:pPr>
      <w:r w:rsidRPr="00D149F3">
        <w:rPr>
          <w:rFonts w:ascii="Times New Roman" w:hAnsi="Times New Roman"/>
          <w:sz w:val="24"/>
          <w:szCs w:val="24"/>
        </w:rPr>
        <w:t>To take part in the conduct of public affairs, directly or through freely chosen representatives;</w:t>
      </w:r>
    </w:p>
    <w:p w14:paraId="453ABE03" w14:textId="77777777" w:rsidR="00CD0A4D" w:rsidRDefault="00CD0A4D" w:rsidP="001844F6">
      <w:pPr>
        <w:pStyle w:val="ListParagraph"/>
        <w:numPr>
          <w:ilvl w:val="1"/>
          <w:numId w:val="9"/>
        </w:numPr>
        <w:spacing w:before="240" w:after="0" w:line="240" w:lineRule="auto"/>
        <w:contextualSpacing w:val="0"/>
        <w:rPr>
          <w:rFonts w:ascii="Times New Roman" w:hAnsi="Times New Roman"/>
          <w:sz w:val="24"/>
          <w:szCs w:val="24"/>
        </w:rPr>
      </w:pPr>
      <w:r>
        <w:rPr>
          <w:rFonts w:ascii="Times New Roman" w:hAnsi="Times New Roman"/>
          <w:sz w:val="24"/>
          <w:szCs w:val="24"/>
        </w:rPr>
        <w:t>T</w:t>
      </w:r>
      <w:r w:rsidRPr="00D149F3">
        <w:rPr>
          <w:rFonts w:ascii="Times New Roman" w:hAnsi="Times New Roman"/>
          <w:sz w:val="24"/>
          <w:szCs w:val="24"/>
        </w:rPr>
        <w:t>o vote and to be elected at genuine periodic elections which shall be by universal and equal suffrage and shall be held by secret ballot, guaranteeing the free expression of the will of the electors;</w:t>
      </w:r>
    </w:p>
    <w:p w14:paraId="79984164" w14:textId="77777777" w:rsidR="00CD0A4D" w:rsidRPr="00D149F3" w:rsidRDefault="00CD0A4D" w:rsidP="001844F6">
      <w:pPr>
        <w:pStyle w:val="ListParagraph"/>
        <w:numPr>
          <w:ilvl w:val="1"/>
          <w:numId w:val="9"/>
        </w:numPr>
        <w:spacing w:before="240" w:after="0" w:line="240" w:lineRule="auto"/>
        <w:contextualSpacing w:val="0"/>
        <w:rPr>
          <w:rFonts w:ascii="Times New Roman" w:hAnsi="Times New Roman"/>
          <w:sz w:val="24"/>
          <w:szCs w:val="24"/>
        </w:rPr>
      </w:pPr>
      <w:r w:rsidRPr="00D149F3">
        <w:rPr>
          <w:rFonts w:ascii="Times New Roman" w:hAnsi="Times New Roman"/>
          <w:sz w:val="24"/>
          <w:szCs w:val="24"/>
        </w:rPr>
        <w:lastRenderedPageBreak/>
        <w:t>To have access, on general terms of equality, to public service in his country.</w:t>
      </w:r>
    </w:p>
    <w:p w14:paraId="6111A465" w14:textId="77BCE30C" w:rsidR="00CD0A4D" w:rsidRDefault="00CD0A4D" w:rsidP="001844F6">
      <w:pPr>
        <w:spacing w:before="240" w:after="0"/>
        <w:rPr>
          <w:szCs w:val="24"/>
        </w:rPr>
      </w:pPr>
      <w:r>
        <w:rPr>
          <w:szCs w:val="24"/>
        </w:rPr>
        <w:t>The Regulations</w:t>
      </w:r>
      <w:r w:rsidRPr="008D3BD6">
        <w:rPr>
          <w:szCs w:val="24"/>
        </w:rPr>
        <w:t xml:space="preserve"> </w:t>
      </w:r>
      <w:r>
        <w:rPr>
          <w:szCs w:val="24"/>
        </w:rPr>
        <w:t xml:space="preserve">engage with, but do not alter or affect, the usual practices and conventions by which a Governor-General exercises their powers, or the right of elected representatives to be sworn-in as </w:t>
      </w:r>
      <w:r w:rsidRPr="008E5094">
        <w:rPr>
          <w:szCs w:val="24"/>
        </w:rPr>
        <w:t>an Executive Councillor</w:t>
      </w:r>
      <w:r>
        <w:rPr>
          <w:szCs w:val="24"/>
        </w:rPr>
        <w:t xml:space="preserve"> of the Federal Executive Council</w:t>
      </w:r>
      <w:r w:rsidRPr="008E5094">
        <w:rPr>
          <w:szCs w:val="24"/>
        </w:rPr>
        <w:t xml:space="preserve"> under</w:t>
      </w:r>
      <w:r>
        <w:rPr>
          <w:szCs w:val="24"/>
        </w:rPr>
        <w:t xml:space="preserve"> section 62 of the Constitution, to be </w:t>
      </w:r>
      <w:r w:rsidRPr="008E5094">
        <w:rPr>
          <w:szCs w:val="24"/>
        </w:rPr>
        <w:t>appoint</w:t>
      </w:r>
      <w:r>
        <w:rPr>
          <w:szCs w:val="24"/>
        </w:rPr>
        <w:t>ed</w:t>
      </w:r>
      <w:r w:rsidRPr="008E5094">
        <w:rPr>
          <w:szCs w:val="24"/>
        </w:rPr>
        <w:t xml:space="preserve"> an officer to administer a </w:t>
      </w:r>
      <w:r>
        <w:rPr>
          <w:szCs w:val="24"/>
        </w:rPr>
        <w:t xml:space="preserve">Department of State </w:t>
      </w:r>
      <w:r w:rsidRPr="008E5094">
        <w:rPr>
          <w:szCs w:val="24"/>
        </w:rPr>
        <w:t>under</w:t>
      </w:r>
      <w:r>
        <w:rPr>
          <w:szCs w:val="24"/>
        </w:rPr>
        <w:t xml:space="preserve"> section 64 of the Constitution, or be directed, as</w:t>
      </w:r>
      <w:r w:rsidRPr="008E5094">
        <w:rPr>
          <w:szCs w:val="24"/>
        </w:rPr>
        <w:t xml:space="preserve"> a Minister of State</w:t>
      </w:r>
      <w:r>
        <w:rPr>
          <w:szCs w:val="24"/>
        </w:rPr>
        <w:t>,</w:t>
      </w:r>
      <w:r w:rsidRPr="008E5094">
        <w:rPr>
          <w:szCs w:val="24"/>
        </w:rPr>
        <w:t xml:space="preserve"> to hold an office under section 65 of the Constitution</w:t>
      </w:r>
      <w:r>
        <w:rPr>
          <w:szCs w:val="24"/>
        </w:rPr>
        <w:t xml:space="preserve">. </w:t>
      </w:r>
    </w:p>
    <w:p w14:paraId="7CDC9553" w14:textId="245F3614" w:rsidR="00CD0A4D" w:rsidRDefault="00CD0A4D" w:rsidP="001844F6">
      <w:pPr>
        <w:spacing w:before="240" w:after="0"/>
        <w:rPr>
          <w:szCs w:val="24"/>
        </w:rPr>
      </w:pPr>
      <w:r>
        <w:rPr>
          <w:szCs w:val="24"/>
        </w:rPr>
        <w:t>Section 65 of the Constitution provides that Ministers of State shall hold office during the pleasure of the Governor</w:t>
      </w:r>
      <w:r>
        <w:rPr>
          <w:szCs w:val="24"/>
        </w:rPr>
        <w:noBreakHyphen/>
        <w:t>General. R</w:t>
      </w:r>
      <w:r w:rsidRPr="008E5094">
        <w:rPr>
          <w:szCs w:val="24"/>
        </w:rPr>
        <w:t xml:space="preserve">evocation of </w:t>
      </w:r>
      <w:r>
        <w:rPr>
          <w:szCs w:val="24"/>
        </w:rPr>
        <w:t>these positions can, therefore, be undertaken by the Governor-General. The Regulations do not confer additional powers on the Governor</w:t>
      </w:r>
      <w:r>
        <w:rPr>
          <w:szCs w:val="24"/>
        </w:rPr>
        <w:noBreakHyphen/>
        <w:t>General, other than those provided for under the Constitution, to appoint or revoke Executive Councillors or Ministers of State, or to appoint Ministers of State to administer certain Departments of State.</w:t>
      </w:r>
    </w:p>
    <w:p w14:paraId="35597ACD" w14:textId="6E480299" w:rsidR="00CD0A4D" w:rsidRDefault="00CD0A4D" w:rsidP="001844F6">
      <w:pPr>
        <w:spacing w:before="240" w:after="0"/>
        <w:rPr>
          <w:i/>
          <w:szCs w:val="24"/>
        </w:rPr>
      </w:pPr>
      <w:r>
        <w:rPr>
          <w:szCs w:val="24"/>
        </w:rPr>
        <w:t>While Regulations require the Official Secretary to the Governor</w:t>
      </w:r>
      <w:r>
        <w:rPr>
          <w:szCs w:val="24"/>
        </w:rPr>
        <w:noBreakHyphen/>
        <w:t>General to publish the aforementioned decisions of the Governor-General, t</w:t>
      </w:r>
      <w:r w:rsidRPr="00406D83">
        <w:rPr>
          <w:szCs w:val="24"/>
        </w:rPr>
        <w:t xml:space="preserve">he </w:t>
      </w:r>
      <w:r>
        <w:rPr>
          <w:szCs w:val="24"/>
        </w:rPr>
        <w:t>Regulations</w:t>
      </w:r>
      <w:r w:rsidRPr="00406D83">
        <w:rPr>
          <w:szCs w:val="24"/>
        </w:rPr>
        <w:t xml:space="preserve"> </w:t>
      </w:r>
      <w:r>
        <w:rPr>
          <w:szCs w:val="24"/>
        </w:rPr>
        <w:t>make</w:t>
      </w:r>
      <w:r w:rsidRPr="00406D83">
        <w:rPr>
          <w:szCs w:val="24"/>
        </w:rPr>
        <w:t xml:space="preserve"> </w:t>
      </w:r>
      <w:r>
        <w:rPr>
          <w:szCs w:val="24"/>
        </w:rPr>
        <w:t xml:space="preserve">it </w:t>
      </w:r>
      <w:r w:rsidRPr="00406D83">
        <w:rPr>
          <w:szCs w:val="24"/>
        </w:rPr>
        <w:t xml:space="preserve">clear that failure to </w:t>
      </w:r>
      <w:r>
        <w:rPr>
          <w:szCs w:val="24"/>
        </w:rPr>
        <w:t>do so</w:t>
      </w:r>
      <w:r w:rsidRPr="00406D83">
        <w:rPr>
          <w:szCs w:val="24"/>
        </w:rPr>
        <w:t xml:space="preserve"> does not </w:t>
      </w:r>
      <w:r>
        <w:rPr>
          <w:szCs w:val="24"/>
        </w:rPr>
        <w:t>affect the validity of</w:t>
      </w:r>
      <w:r w:rsidRPr="00406D83">
        <w:rPr>
          <w:szCs w:val="24"/>
        </w:rPr>
        <w:t xml:space="preserve"> the Governor-General</w:t>
      </w:r>
      <w:r>
        <w:rPr>
          <w:szCs w:val="24"/>
        </w:rPr>
        <w:t>’s decisions</w:t>
      </w:r>
      <w:r w:rsidRPr="00406D83">
        <w:rPr>
          <w:szCs w:val="24"/>
        </w:rPr>
        <w:t>.</w:t>
      </w:r>
      <w:r>
        <w:rPr>
          <w:szCs w:val="24"/>
        </w:rPr>
        <w:t xml:space="preserve"> The Regulations, therefore, do not impact on the ability of, or powers conferred on or revoked from, elected representatives in taking part in public affairs in specific roles even if public publication of the notifiable instruments does not occur. </w:t>
      </w:r>
    </w:p>
    <w:p w14:paraId="44C8E8CF" w14:textId="77777777" w:rsidR="00CD0A4D" w:rsidRPr="00D149F3" w:rsidRDefault="00CD0A4D" w:rsidP="001844F6">
      <w:pPr>
        <w:spacing w:before="240" w:after="0"/>
        <w:rPr>
          <w:i/>
          <w:szCs w:val="24"/>
        </w:rPr>
      </w:pPr>
      <w:r w:rsidRPr="00D149F3">
        <w:rPr>
          <w:i/>
          <w:szCs w:val="24"/>
        </w:rPr>
        <w:t>Freedom of expression</w:t>
      </w:r>
    </w:p>
    <w:p w14:paraId="6A981AF9" w14:textId="77777777" w:rsidR="00CD0A4D" w:rsidRPr="003F42B8" w:rsidRDefault="00CD0A4D" w:rsidP="001844F6">
      <w:pPr>
        <w:spacing w:before="240" w:after="0"/>
        <w:rPr>
          <w:szCs w:val="24"/>
        </w:rPr>
      </w:pPr>
      <w:r w:rsidRPr="003F42B8">
        <w:rPr>
          <w:szCs w:val="24"/>
        </w:rPr>
        <w:t>Article 19 of the ICCPR provides that:</w:t>
      </w:r>
    </w:p>
    <w:p w14:paraId="684FB120" w14:textId="77777777" w:rsidR="00CD0A4D" w:rsidRPr="003F42B8" w:rsidRDefault="00CD0A4D" w:rsidP="001844F6">
      <w:pPr>
        <w:pStyle w:val="ListParagraph"/>
        <w:numPr>
          <w:ilvl w:val="0"/>
          <w:numId w:val="10"/>
        </w:numPr>
        <w:spacing w:before="240" w:after="0" w:line="240" w:lineRule="auto"/>
        <w:contextualSpacing w:val="0"/>
        <w:rPr>
          <w:rFonts w:ascii="Times New Roman" w:hAnsi="Times New Roman"/>
          <w:sz w:val="24"/>
          <w:szCs w:val="24"/>
        </w:rPr>
      </w:pPr>
      <w:r w:rsidRPr="003F42B8">
        <w:rPr>
          <w:rFonts w:ascii="Times New Roman" w:hAnsi="Times New Roman"/>
          <w:sz w:val="24"/>
          <w:szCs w:val="24"/>
        </w:rPr>
        <w:t>Everyone shall have the right to hold opinions without interference.</w:t>
      </w:r>
    </w:p>
    <w:p w14:paraId="544AFD54" w14:textId="77777777" w:rsidR="00CD0A4D" w:rsidRPr="003F42B8" w:rsidRDefault="00CD0A4D" w:rsidP="001844F6">
      <w:pPr>
        <w:pStyle w:val="ListParagraph"/>
        <w:numPr>
          <w:ilvl w:val="0"/>
          <w:numId w:val="10"/>
        </w:numPr>
        <w:spacing w:before="240" w:after="0" w:line="240" w:lineRule="auto"/>
        <w:contextualSpacing w:val="0"/>
        <w:rPr>
          <w:rFonts w:ascii="Times New Roman" w:hAnsi="Times New Roman"/>
          <w:sz w:val="24"/>
          <w:szCs w:val="24"/>
        </w:rPr>
      </w:pPr>
      <w:r w:rsidRPr="003F42B8">
        <w:rPr>
          <w:rFonts w:ascii="Times New Roman" w:hAnsi="Times New Roman"/>
          <w:sz w:val="24"/>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5BE55E26" w14:textId="77777777" w:rsidR="00CD0A4D" w:rsidRPr="003F42B8" w:rsidRDefault="00CD0A4D" w:rsidP="001844F6">
      <w:pPr>
        <w:pStyle w:val="ListParagraph"/>
        <w:numPr>
          <w:ilvl w:val="0"/>
          <w:numId w:val="10"/>
        </w:numPr>
        <w:spacing w:before="240" w:after="0" w:line="240" w:lineRule="auto"/>
        <w:contextualSpacing w:val="0"/>
        <w:rPr>
          <w:rFonts w:ascii="Times New Roman" w:hAnsi="Times New Roman"/>
          <w:sz w:val="24"/>
          <w:szCs w:val="24"/>
        </w:rPr>
      </w:pPr>
      <w:r w:rsidRPr="003F42B8">
        <w:rPr>
          <w:rFonts w:ascii="Times New Roman" w:hAnsi="Times New Roman"/>
          <w:sz w:val="24"/>
          <w:szCs w:val="24"/>
        </w:rPr>
        <w:t>The exercise of the rights provided for in paragraph 2 of this article carries with it special duties and responsibilities. It may therefore be subject to certain restrictions, but these shall only be such as are provided by law and are necessary:</w:t>
      </w:r>
    </w:p>
    <w:p w14:paraId="0959C175" w14:textId="77777777" w:rsidR="00CD0A4D" w:rsidRPr="003F42B8" w:rsidRDefault="00CD0A4D" w:rsidP="001844F6">
      <w:pPr>
        <w:pStyle w:val="ListParagraph"/>
        <w:spacing w:before="240" w:after="0" w:line="240" w:lineRule="auto"/>
        <w:ind w:left="360"/>
        <w:contextualSpacing w:val="0"/>
        <w:rPr>
          <w:rFonts w:ascii="Times New Roman" w:hAnsi="Times New Roman"/>
          <w:sz w:val="24"/>
          <w:szCs w:val="24"/>
        </w:rPr>
      </w:pPr>
      <w:r w:rsidRPr="003F42B8">
        <w:rPr>
          <w:rFonts w:ascii="Times New Roman" w:hAnsi="Times New Roman"/>
          <w:sz w:val="24"/>
          <w:szCs w:val="24"/>
        </w:rPr>
        <w:t>(a) For respect of the rights or reputations of others;</w:t>
      </w:r>
    </w:p>
    <w:p w14:paraId="535F5D53" w14:textId="77777777" w:rsidR="00CD0A4D" w:rsidRPr="003F42B8" w:rsidRDefault="00CD0A4D" w:rsidP="001844F6">
      <w:pPr>
        <w:pStyle w:val="ListParagraph"/>
        <w:spacing w:before="240" w:after="0" w:line="240" w:lineRule="auto"/>
        <w:ind w:left="360"/>
        <w:contextualSpacing w:val="0"/>
        <w:rPr>
          <w:rFonts w:ascii="Times New Roman" w:hAnsi="Times New Roman"/>
          <w:sz w:val="24"/>
          <w:szCs w:val="24"/>
        </w:rPr>
      </w:pPr>
      <w:r w:rsidRPr="003F42B8">
        <w:rPr>
          <w:rFonts w:ascii="Times New Roman" w:hAnsi="Times New Roman"/>
          <w:sz w:val="24"/>
          <w:szCs w:val="24"/>
        </w:rPr>
        <w:t>(b) For the protection of national security or of public order, or of public health or morals.</w:t>
      </w:r>
    </w:p>
    <w:p w14:paraId="0C8C1F5C" w14:textId="0049EFA6" w:rsidR="00CD0A4D" w:rsidRDefault="00CD0A4D" w:rsidP="001844F6">
      <w:pPr>
        <w:spacing w:before="240" w:after="0"/>
        <w:rPr>
          <w:szCs w:val="24"/>
        </w:rPr>
      </w:pPr>
      <w:r>
        <w:rPr>
          <w:szCs w:val="24"/>
        </w:rPr>
        <w:t xml:space="preserve">The Regulations </w:t>
      </w:r>
      <w:r w:rsidRPr="008D3BD6">
        <w:rPr>
          <w:szCs w:val="24"/>
        </w:rPr>
        <w:t>provide greater transparency and accountability at</w:t>
      </w:r>
      <w:r>
        <w:rPr>
          <w:szCs w:val="24"/>
        </w:rPr>
        <w:t xml:space="preserve"> the Commonwealth-</w:t>
      </w:r>
      <w:r w:rsidRPr="008D3BD6">
        <w:rPr>
          <w:szCs w:val="24"/>
        </w:rPr>
        <w:t>level of Australia’s system of government by ensuring th</w:t>
      </w:r>
      <w:r>
        <w:rPr>
          <w:szCs w:val="24"/>
        </w:rPr>
        <w:t>at citizens</w:t>
      </w:r>
      <w:r w:rsidRPr="008D3BD6">
        <w:rPr>
          <w:szCs w:val="24"/>
        </w:rPr>
        <w:t xml:space="preserve"> are able to access information in relation to the composition of the Federal Executive Council, </w:t>
      </w:r>
      <w:r>
        <w:rPr>
          <w:szCs w:val="24"/>
        </w:rPr>
        <w:t>those who have been</w:t>
      </w:r>
      <w:r w:rsidRPr="008D3BD6">
        <w:rPr>
          <w:szCs w:val="24"/>
        </w:rPr>
        <w:t xml:space="preserve"> appointed to administer </w:t>
      </w:r>
      <w:r>
        <w:rPr>
          <w:szCs w:val="24"/>
        </w:rPr>
        <w:t>certain</w:t>
      </w:r>
      <w:r w:rsidRPr="008D3BD6">
        <w:rPr>
          <w:szCs w:val="24"/>
        </w:rPr>
        <w:t xml:space="preserve"> Departments of State, and the offices that Ministers of State hold.</w:t>
      </w:r>
      <w:r>
        <w:rPr>
          <w:szCs w:val="24"/>
        </w:rPr>
        <w:t xml:space="preserve"> The Regulations also provide for public access of specific information in relation to the appointments and/or revocation, as well as possible copies of any instruments made by the Governor</w:t>
      </w:r>
      <w:r>
        <w:rPr>
          <w:szCs w:val="24"/>
        </w:rPr>
        <w:noBreakHyphen/>
        <w:t xml:space="preserve">General. </w:t>
      </w:r>
    </w:p>
    <w:p w14:paraId="769BB69A" w14:textId="77777777" w:rsidR="00CD0A4D" w:rsidRPr="00BD6748" w:rsidRDefault="00CD0A4D" w:rsidP="001844F6">
      <w:pPr>
        <w:spacing w:before="240" w:after="0"/>
        <w:rPr>
          <w:b/>
          <w:szCs w:val="24"/>
        </w:rPr>
      </w:pPr>
      <w:r w:rsidRPr="00BD6748">
        <w:rPr>
          <w:b/>
          <w:szCs w:val="24"/>
        </w:rPr>
        <w:lastRenderedPageBreak/>
        <w:t>Conclusion</w:t>
      </w:r>
    </w:p>
    <w:p w14:paraId="2E30890E" w14:textId="3A8408C9" w:rsidR="00493EDD" w:rsidRPr="00CD0A4D" w:rsidRDefault="00CD0A4D" w:rsidP="001844F6">
      <w:pPr>
        <w:spacing w:before="240" w:after="0"/>
        <w:rPr>
          <w:szCs w:val="24"/>
        </w:rPr>
      </w:pPr>
      <w:r w:rsidRPr="00BD6748">
        <w:rPr>
          <w:szCs w:val="24"/>
        </w:rPr>
        <w:t xml:space="preserve">The </w:t>
      </w:r>
      <w:r w:rsidR="0005291C">
        <w:rPr>
          <w:szCs w:val="24"/>
        </w:rPr>
        <w:t>Regulations are</w:t>
      </w:r>
      <w:r w:rsidRPr="00BD6748">
        <w:rPr>
          <w:szCs w:val="24"/>
        </w:rPr>
        <w:t xml:space="preserve"> compatible with human rights</w:t>
      </w:r>
      <w:r>
        <w:rPr>
          <w:szCs w:val="24"/>
        </w:rPr>
        <w:t xml:space="preserve">; </w:t>
      </w:r>
      <w:r w:rsidR="0005291C">
        <w:rPr>
          <w:szCs w:val="24"/>
        </w:rPr>
        <w:t xml:space="preserve">they </w:t>
      </w:r>
      <w:r>
        <w:rPr>
          <w:szCs w:val="24"/>
        </w:rPr>
        <w:t xml:space="preserve">support the </w:t>
      </w:r>
      <w:r w:rsidRPr="00406D83">
        <w:rPr>
          <w:szCs w:val="24"/>
        </w:rPr>
        <w:t>right</w:t>
      </w:r>
      <w:r>
        <w:rPr>
          <w:szCs w:val="24"/>
        </w:rPr>
        <w:t xml:space="preserve"> of citizens</w:t>
      </w:r>
      <w:r w:rsidRPr="00406D83">
        <w:rPr>
          <w:szCs w:val="24"/>
        </w:rPr>
        <w:t xml:space="preserve"> to take part in public affairs</w:t>
      </w:r>
      <w:r>
        <w:rPr>
          <w:szCs w:val="24"/>
        </w:rPr>
        <w:t xml:space="preserve"> per</w:t>
      </w:r>
      <w:r w:rsidRPr="00406D83">
        <w:rPr>
          <w:szCs w:val="24"/>
        </w:rPr>
        <w:t xml:space="preserve"> Article 25(a)</w:t>
      </w:r>
      <w:r>
        <w:rPr>
          <w:szCs w:val="24"/>
        </w:rPr>
        <w:t xml:space="preserve"> of the ICCPR, and strengthen citizens’ right to freedom of expression, including</w:t>
      </w:r>
      <w:r w:rsidRPr="00C6354A">
        <w:rPr>
          <w:szCs w:val="24"/>
        </w:rPr>
        <w:t xml:space="preserve"> </w:t>
      </w:r>
      <w:r>
        <w:rPr>
          <w:szCs w:val="24"/>
        </w:rPr>
        <w:t xml:space="preserve">the </w:t>
      </w:r>
      <w:r w:rsidRPr="00C6354A">
        <w:rPr>
          <w:szCs w:val="24"/>
        </w:rPr>
        <w:t>freedom to seek, receive and impart information</w:t>
      </w:r>
      <w:r>
        <w:rPr>
          <w:szCs w:val="24"/>
        </w:rPr>
        <w:t>, as provided for in</w:t>
      </w:r>
      <w:r w:rsidRPr="00BD6748">
        <w:rPr>
          <w:szCs w:val="24"/>
        </w:rPr>
        <w:t xml:space="preserve"> Article 19(2) of the ICCPR</w:t>
      </w:r>
      <w:r>
        <w:rPr>
          <w:szCs w:val="24"/>
        </w:rPr>
        <w:t>.</w:t>
      </w:r>
    </w:p>
    <w:sectPr w:rsidR="00493EDD" w:rsidRPr="00CD0A4D"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181D8" w14:textId="77777777" w:rsidR="009C40B4" w:rsidRDefault="009C40B4" w:rsidP="00954679">
      <w:pPr>
        <w:spacing w:before="0" w:after="0"/>
      </w:pPr>
      <w:r>
        <w:separator/>
      </w:r>
    </w:p>
  </w:endnote>
  <w:endnote w:type="continuationSeparator" w:id="0">
    <w:p w14:paraId="471B53B8" w14:textId="77777777" w:rsidR="009C40B4" w:rsidRDefault="009C40B4" w:rsidP="00954679">
      <w:pPr>
        <w:spacing w:before="0" w:after="0"/>
      </w:pPr>
      <w:r>
        <w:continuationSeparator/>
      </w:r>
    </w:p>
  </w:endnote>
  <w:endnote w:type="continuationNotice" w:id="1">
    <w:p w14:paraId="64324DEB" w14:textId="77777777" w:rsidR="009C40B4" w:rsidRDefault="009C40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5C3614F" w14:textId="255E0AE4" w:rsidR="00071B12" w:rsidRDefault="00071B12"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C0BA1">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C0BA1">
              <w:rPr>
                <w:bCs/>
                <w:noProof/>
              </w:rPr>
              <w:t>7</w:t>
            </w:r>
            <w:r w:rsidRPr="00954679">
              <w:rPr>
                <w:bCs/>
                <w:szCs w:val="24"/>
              </w:rPr>
              <w:fldChar w:fldCharType="end"/>
            </w:r>
          </w:p>
        </w:sdtContent>
      </w:sdt>
    </w:sdtContent>
  </w:sdt>
  <w:p w14:paraId="7378EE36" w14:textId="77777777" w:rsidR="00071B12" w:rsidRDefault="0007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7E10B" w14:textId="77777777" w:rsidR="009C40B4" w:rsidRDefault="009C40B4" w:rsidP="00954679">
      <w:pPr>
        <w:spacing w:before="0" w:after="0"/>
      </w:pPr>
      <w:r>
        <w:separator/>
      </w:r>
    </w:p>
  </w:footnote>
  <w:footnote w:type="continuationSeparator" w:id="0">
    <w:p w14:paraId="4539AD3B" w14:textId="77777777" w:rsidR="009C40B4" w:rsidRDefault="009C40B4" w:rsidP="00954679">
      <w:pPr>
        <w:spacing w:before="0" w:after="0"/>
      </w:pPr>
      <w:r>
        <w:continuationSeparator/>
      </w:r>
    </w:p>
  </w:footnote>
  <w:footnote w:type="continuationNotice" w:id="1">
    <w:p w14:paraId="2E2EDADC" w14:textId="77777777" w:rsidR="009C40B4" w:rsidRDefault="009C40B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B5D"/>
    <w:multiLevelType w:val="hybridMultilevel"/>
    <w:tmpl w:val="3E384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583FF7"/>
    <w:multiLevelType w:val="hybridMultilevel"/>
    <w:tmpl w:val="5CBE58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0705C"/>
    <w:multiLevelType w:val="hybridMultilevel"/>
    <w:tmpl w:val="5CBE58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7552C0"/>
    <w:multiLevelType w:val="singleLevel"/>
    <w:tmpl w:val="BBF66F10"/>
    <w:lvl w:ilvl="0">
      <w:start w:val="1"/>
      <w:numFmt w:val="bullet"/>
      <w:pStyle w:val="Dotpoint"/>
      <w:lvlText w:val=""/>
      <w:lvlJc w:val="left"/>
      <w:pPr>
        <w:tabs>
          <w:tab w:val="num" w:pos="786"/>
        </w:tabs>
        <w:ind w:left="786" w:hanging="360"/>
      </w:pPr>
      <w:rPr>
        <w:rFonts w:ascii="Symbol" w:hAnsi="Symbol" w:hint="default"/>
        <w:sz w:val="24"/>
      </w:rPr>
    </w:lvl>
  </w:abstractNum>
  <w:abstractNum w:abstractNumId="6" w15:restartNumberingAfterBreak="0">
    <w:nsid w:val="38C655BD"/>
    <w:multiLevelType w:val="multilevel"/>
    <w:tmpl w:val="AE021DC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E435AE"/>
    <w:multiLevelType w:val="hybridMultilevel"/>
    <w:tmpl w:val="680030AC"/>
    <w:lvl w:ilvl="0" w:tplc="9F086E02">
      <w:start w:val="1"/>
      <w:numFmt w:val="decimal"/>
      <w:lvlText w:val="%1."/>
      <w:lvlJc w:val="left"/>
      <w:pPr>
        <w:ind w:left="360" w:hanging="360"/>
      </w:pPr>
      <w:rPr>
        <w:b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E13113F"/>
    <w:multiLevelType w:val="multilevel"/>
    <w:tmpl w:val="F9E20BC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A43C0B"/>
    <w:multiLevelType w:val="multilevel"/>
    <w:tmpl w:val="E282135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916102C"/>
    <w:multiLevelType w:val="hybridMultilevel"/>
    <w:tmpl w:val="680030AC"/>
    <w:lvl w:ilvl="0" w:tplc="9F086E02">
      <w:start w:val="1"/>
      <w:numFmt w:val="decimal"/>
      <w:lvlText w:val="%1."/>
      <w:lvlJc w:val="left"/>
      <w:pPr>
        <w:ind w:left="360" w:hanging="360"/>
      </w:pPr>
      <w:rPr>
        <w:b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9"/>
  </w:num>
  <w:num w:numId="3">
    <w:abstractNumId w:val="4"/>
  </w:num>
  <w:num w:numId="4">
    <w:abstractNumId w:val="8"/>
  </w:num>
  <w:num w:numId="5">
    <w:abstractNumId w:val="6"/>
  </w:num>
  <w:num w:numId="6">
    <w:abstractNumId w:val="1"/>
  </w:num>
  <w:num w:numId="7">
    <w:abstractNumId w:val="2"/>
  </w:num>
  <w:num w:numId="8">
    <w:abstractNumId w:val="0"/>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0A"/>
    <w:rsid w:val="0000031E"/>
    <w:rsid w:val="00002935"/>
    <w:rsid w:val="00003C06"/>
    <w:rsid w:val="00006FD6"/>
    <w:rsid w:val="0001598F"/>
    <w:rsid w:val="00016EA2"/>
    <w:rsid w:val="00020B8A"/>
    <w:rsid w:val="00020C89"/>
    <w:rsid w:val="000304C8"/>
    <w:rsid w:val="00031740"/>
    <w:rsid w:val="000351B2"/>
    <w:rsid w:val="00044A1E"/>
    <w:rsid w:val="00046BBB"/>
    <w:rsid w:val="0005291C"/>
    <w:rsid w:val="0005579A"/>
    <w:rsid w:val="00055E44"/>
    <w:rsid w:val="000572BA"/>
    <w:rsid w:val="000605F0"/>
    <w:rsid w:val="00061271"/>
    <w:rsid w:val="00062E90"/>
    <w:rsid w:val="00064C43"/>
    <w:rsid w:val="00067F5E"/>
    <w:rsid w:val="0007087D"/>
    <w:rsid w:val="0007110E"/>
    <w:rsid w:val="00071B12"/>
    <w:rsid w:val="000755C5"/>
    <w:rsid w:val="000769D8"/>
    <w:rsid w:val="00084965"/>
    <w:rsid w:val="000904AA"/>
    <w:rsid w:val="0009139D"/>
    <w:rsid w:val="00091648"/>
    <w:rsid w:val="0009295C"/>
    <w:rsid w:val="000939F5"/>
    <w:rsid w:val="00095211"/>
    <w:rsid w:val="000A404D"/>
    <w:rsid w:val="000A562C"/>
    <w:rsid w:val="000B0290"/>
    <w:rsid w:val="000B0E43"/>
    <w:rsid w:val="000B1C23"/>
    <w:rsid w:val="000B2C88"/>
    <w:rsid w:val="000B749A"/>
    <w:rsid w:val="000C0098"/>
    <w:rsid w:val="000C10DF"/>
    <w:rsid w:val="000C172D"/>
    <w:rsid w:val="000C313E"/>
    <w:rsid w:val="000C33B4"/>
    <w:rsid w:val="000C3ED0"/>
    <w:rsid w:val="000C4D36"/>
    <w:rsid w:val="000D5ED2"/>
    <w:rsid w:val="000D760F"/>
    <w:rsid w:val="000D76AF"/>
    <w:rsid w:val="000D781B"/>
    <w:rsid w:val="000E0589"/>
    <w:rsid w:val="000E4DD1"/>
    <w:rsid w:val="000E779A"/>
    <w:rsid w:val="000F65A2"/>
    <w:rsid w:val="000F72D5"/>
    <w:rsid w:val="000F7CE4"/>
    <w:rsid w:val="001004DE"/>
    <w:rsid w:val="00104A9F"/>
    <w:rsid w:val="0010626B"/>
    <w:rsid w:val="00113B45"/>
    <w:rsid w:val="00114280"/>
    <w:rsid w:val="00120F75"/>
    <w:rsid w:val="001225EB"/>
    <w:rsid w:val="00123E2B"/>
    <w:rsid w:val="00127F42"/>
    <w:rsid w:val="00133E5A"/>
    <w:rsid w:val="00134BDC"/>
    <w:rsid w:val="001352D8"/>
    <w:rsid w:val="00135B08"/>
    <w:rsid w:val="00135B26"/>
    <w:rsid w:val="00140147"/>
    <w:rsid w:val="00145AFC"/>
    <w:rsid w:val="00146EB5"/>
    <w:rsid w:val="00147DF8"/>
    <w:rsid w:val="0015125F"/>
    <w:rsid w:val="00152E04"/>
    <w:rsid w:val="001559E4"/>
    <w:rsid w:val="001616CD"/>
    <w:rsid w:val="00162ED3"/>
    <w:rsid w:val="001633C9"/>
    <w:rsid w:val="00164A57"/>
    <w:rsid w:val="00165140"/>
    <w:rsid w:val="0016572E"/>
    <w:rsid w:val="00175B58"/>
    <w:rsid w:val="00176990"/>
    <w:rsid w:val="001779B4"/>
    <w:rsid w:val="001824AE"/>
    <w:rsid w:val="001844F6"/>
    <w:rsid w:val="00184B90"/>
    <w:rsid w:val="00191F93"/>
    <w:rsid w:val="00192A85"/>
    <w:rsid w:val="001A1062"/>
    <w:rsid w:val="001A1AA4"/>
    <w:rsid w:val="001A2E00"/>
    <w:rsid w:val="001A32F2"/>
    <w:rsid w:val="001A436A"/>
    <w:rsid w:val="001B4DAF"/>
    <w:rsid w:val="001B5713"/>
    <w:rsid w:val="001B7B2D"/>
    <w:rsid w:val="001C1F39"/>
    <w:rsid w:val="001C2246"/>
    <w:rsid w:val="001C3AE0"/>
    <w:rsid w:val="001C42C9"/>
    <w:rsid w:val="001C44F6"/>
    <w:rsid w:val="001C7313"/>
    <w:rsid w:val="001C7332"/>
    <w:rsid w:val="001D0447"/>
    <w:rsid w:val="001D0801"/>
    <w:rsid w:val="001D2EC9"/>
    <w:rsid w:val="001D7248"/>
    <w:rsid w:val="001E54BE"/>
    <w:rsid w:val="001E5A06"/>
    <w:rsid w:val="001E5E31"/>
    <w:rsid w:val="001E6A74"/>
    <w:rsid w:val="001F41D0"/>
    <w:rsid w:val="001F5071"/>
    <w:rsid w:val="0020062E"/>
    <w:rsid w:val="002038F3"/>
    <w:rsid w:val="00204CF4"/>
    <w:rsid w:val="00210796"/>
    <w:rsid w:val="00213178"/>
    <w:rsid w:val="00220F16"/>
    <w:rsid w:val="002213D1"/>
    <w:rsid w:val="002262F5"/>
    <w:rsid w:val="002338ED"/>
    <w:rsid w:val="002356F3"/>
    <w:rsid w:val="0023787F"/>
    <w:rsid w:val="00242F03"/>
    <w:rsid w:val="00243F91"/>
    <w:rsid w:val="00247C65"/>
    <w:rsid w:val="00254C5B"/>
    <w:rsid w:val="0025564D"/>
    <w:rsid w:val="002556E6"/>
    <w:rsid w:val="002558D8"/>
    <w:rsid w:val="00255930"/>
    <w:rsid w:val="00257008"/>
    <w:rsid w:val="002646FA"/>
    <w:rsid w:val="00264B18"/>
    <w:rsid w:val="00265523"/>
    <w:rsid w:val="0026670D"/>
    <w:rsid w:val="00273617"/>
    <w:rsid w:val="00277F82"/>
    <w:rsid w:val="00283BCC"/>
    <w:rsid w:val="002878CF"/>
    <w:rsid w:val="00290B5A"/>
    <w:rsid w:val="0029537C"/>
    <w:rsid w:val="002A161E"/>
    <w:rsid w:val="002A3273"/>
    <w:rsid w:val="002A79BE"/>
    <w:rsid w:val="002B3E83"/>
    <w:rsid w:val="002D49E3"/>
    <w:rsid w:val="002E57D5"/>
    <w:rsid w:val="002E5A7D"/>
    <w:rsid w:val="002E63F1"/>
    <w:rsid w:val="002F1FAB"/>
    <w:rsid w:val="002F2FCE"/>
    <w:rsid w:val="002F32D9"/>
    <w:rsid w:val="002F42E5"/>
    <w:rsid w:val="002F6C76"/>
    <w:rsid w:val="00303AB2"/>
    <w:rsid w:val="00306911"/>
    <w:rsid w:val="00312311"/>
    <w:rsid w:val="003148E1"/>
    <w:rsid w:val="00316781"/>
    <w:rsid w:val="00322E1D"/>
    <w:rsid w:val="00325951"/>
    <w:rsid w:val="00325977"/>
    <w:rsid w:val="003342CD"/>
    <w:rsid w:val="00335042"/>
    <w:rsid w:val="003353A0"/>
    <w:rsid w:val="003364A2"/>
    <w:rsid w:val="00336F6E"/>
    <w:rsid w:val="003558BC"/>
    <w:rsid w:val="00360B6C"/>
    <w:rsid w:val="00361A66"/>
    <w:rsid w:val="00362520"/>
    <w:rsid w:val="00362B70"/>
    <w:rsid w:val="00366532"/>
    <w:rsid w:val="00367647"/>
    <w:rsid w:val="00375BFD"/>
    <w:rsid w:val="00376348"/>
    <w:rsid w:val="00384095"/>
    <w:rsid w:val="003847E8"/>
    <w:rsid w:val="0039166A"/>
    <w:rsid w:val="00392A41"/>
    <w:rsid w:val="00392BBA"/>
    <w:rsid w:val="003954FD"/>
    <w:rsid w:val="0039610F"/>
    <w:rsid w:val="003A0CA9"/>
    <w:rsid w:val="003A1058"/>
    <w:rsid w:val="003A1159"/>
    <w:rsid w:val="003A7C80"/>
    <w:rsid w:val="003B212F"/>
    <w:rsid w:val="003C2B0D"/>
    <w:rsid w:val="003C657D"/>
    <w:rsid w:val="003C7A1F"/>
    <w:rsid w:val="003E1CE3"/>
    <w:rsid w:val="003E3786"/>
    <w:rsid w:val="003E42A2"/>
    <w:rsid w:val="003F2E37"/>
    <w:rsid w:val="003F3822"/>
    <w:rsid w:val="003F7CC5"/>
    <w:rsid w:val="004015F2"/>
    <w:rsid w:val="00402085"/>
    <w:rsid w:val="004122D3"/>
    <w:rsid w:val="00417E92"/>
    <w:rsid w:val="00422C32"/>
    <w:rsid w:val="004241AB"/>
    <w:rsid w:val="00430DA2"/>
    <w:rsid w:val="00430E5B"/>
    <w:rsid w:val="0043467E"/>
    <w:rsid w:val="004420BB"/>
    <w:rsid w:val="00443431"/>
    <w:rsid w:val="00446932"/>
    <w:rsid w:val="00446F91"/>
    <w:rsid w:val="00447C17"/>
    <w:rsid w:val="00456C0E"/>
    <w:rsid w:val="00462095"/>
    <w:rsid w:val="00463834"/>
    <w:rsid w:val="00464933"/>
    <w:rsid w:val="00467BD6"/>
    <w:rsid w:val="00472ED1"/>
    <w:rsid w:val="004748BF"/>
    <w:rsid w:val="00477920"/>
    <w:rsid w:val="00480D1C"/>
    <w:rsid w:val="00481965"/>
    <w:rsid w:val="00482DFC"/>
    <w:rsid w:val="00483337"/>
    <w:rsid w:val="00483A10"/>
    <w:rsid w:val="0048566E"/>
    <w:rsid w:val="00485E5E"/>
    <w:rsid w:val="004863AC"/>
    <w:rsid w:val="00493EDD"/>
    <w:rsid w:val="00497310"/>
    <w:rsid w:val="004A1782"/>
    <w:rsid w:val="004A399F"/>
    <w:rsid w:val="004A3D9C"/>
    <w:rsid w:val="004A5470"/>
    <w:rsid w:val="004A65CB"/>
    <w:rsid w:val="004B2908"/>
    <w:rsid w:val="004B3C0F"/>
    <w:rsid w:val="004C05E4"/>
    <w:rsid w:val="004C4D60"/>
    <w:rsid w:val="004C4DC3"/>
    <w:rsid w:val="004C70B2"/>
    <w:rsid w:val="004D133E"/>
    <w:rsid w:val="004D3F5F"/>
    <w:rsid w:val="004D5951"/>
    <w:rsid w:val="004D67CD"/>
    <w:rsid w:val="004D685B"/>
    <w:rsid w:val="004E0F55"/>
    <w:rsid w:val="004E24FB"/>
    <w:rsid w:val="004E2ECC"/>
    <w:rsid w:val="004E39E1"/>
    <w:rsid w:val="004E40F3"/>
    <w:rsid w:val="004E4407"/>
    <w:rsid w:val="004E529B"/>
    <w:rsid w:val="004E608E"/>
    <w:rsid w:val="004F598B"/>
    <w:rsid w:val="0050066E"/>
    <w:rsid w:val="00503E44"/>
    <w:rsid w:val="00504CA4"/>
    <w:rsid w:val="0050698C"/>
    <w:rsid w:val="00514C2F"/>
    <w:rsid w:val="00515283"/>
    <w:rsid w:val="00517356"/>
    <w:rsid w:val="00517DBF"/>
    <w:rsid w:val="005204A0"/>
    <w:rsid w:val="00522551"/>
    <w:rsid w:val="005232C7"/>
    <w:rsid w:val="0052341D"/>
    <w:rsid w:val="00525693"/>
    <w:rsid w:val="00533926"/>
    <w:rsid w:val="00535304"/>
    <w:rsid w:val="00535CA5"/>
    <w:rsid w:val="00543A22"/>
    <w:rsid w:val="00544B72"/>
    <w:rsid w:val="00545A2D"/>
    <w:rsid w:val="0055491C"/>
    <w:rsid w:val="00554AD9"/>
    <w:rsid w:val="0055675D"/>
    <w:rsid w:val="00561BB8"/>
    <w:rsid w:val="00564D9B"/>
    <w:rsid w:val="005662AA"/>
    <w:rsid w:val="00566E8F"/>
    <w:rsid w:val="005679A2"/>
    <w:rsid w:val="00577CA6"/>
    <w:rsid w:val="00577E75"/>
    <w:rsid w:val="00580D9A"/>
    <w:rsid w:val="005833BE"/>
    <w:rsid w:val="00585A87"/>
    <w:rsid w:val="00586197"/>
    <w:rsid w:val="0058729B"/>
    <w:rsid w:val="00591C23"/>
    <w:rsid w:val="00592B28"/>
    <w:rsid w:val="0059636A"/>
    <w:rsid w:val="00596E7A"/>
    <w:rsid w:val="005A227C"/>
    <w:rsid w:val="005A33B4"/>
    <w:rsid w:val="005A740F"/>
    <w:rsid w:val="005B04CC"/>
    <w:rsid w:val="005B32EE"/>
    <w:rsid w:val="005B3FA5"/>
    <w:rsid w:val="005B666D"/>
    <w:rsid w:val="005C0973"/>
    <w:rsid w:val="005C0BA1"/>
    <w:rsid w:val="005C2664"/>
    <w:rsid w:val="005C4949"/>
    <w:rsid w:val="005C4C05"/>
    <w:rsid w:val="005C58B0"/>
    <w:rsid w:val="005C5B23"/>
    <w:rsid w:val="005C7A2B"/>
    <w:rsid w:val="005D259B"/>
    <w:rsid w:val="005D7D5A"/>
    <w:rsid w:val="005E3854"/>
    <w:rsid w:val="005E49AD"/>
    <w:rsid w:val="005E4BAC"/>
    <w:rsid w:val="005E55C1"/>
    <w:rsid w:val="005E6188"/>
    <w:rsid w:val="005F4720"/>
    <w:rsid w:val="005F4B0F"/>
    <w:rsid w:val="005F5258"/>
    <w:rsid w:val="005F6707"/>
    <w:rsid w:val="0060130D"/>
    <w:rsid w:val="006037F0"/>
    <w:rsid w:val="00612303"/>
    <w:rsid w:val="006127DF"/>
    <w:rsid w:val="006224F0"/>
    <w:rsid w:val="00624004"/>
    <w:rsid w:val="006260DD"/>
    <w:rsid w:val="006276E6"/>
    <w:rsid w:val="0064129F"/>
    <w:rsid w:val="006453D3"/>
    <w:rsid w:val="006459D4"/>
    <w:rsid w:val="006470B8"/>
    <w:rsid w:val="00647BB7"/>
    <w:rsid w:val="00661690"/>
    <w:rsid w:val="00663C29"/>
    <w:rsid w:val="0066411B"/>
    <w:rsid w:val="00667AA7"/>
    <w:rsid w:val="00671F97"/>
    <w:rsid w:val="006725EF"/>
    <w:rsid w:val="006752ED"/>
    <w:rsid w:val="00685CA6"/>
    <w:rsid w:val="00693FDC"/>
    <w:rsid w:val="00697821"/>
    <w:rsid w:val="006A0786"/>
    <w:rsid w:val="006A0960"/>
    <w:rsid w:val="006B26C8"/>
    <w:rsid w:val="006B435F"/>
    <w:rsid w:val="006B7C3B"/>
    <w:rsid w:val="006C35BB"/>
    <w:rsid w:val="006C4B3F"/>
    <w:rsid w:val="006D5054"/>
    <w:rsid w:val="006D66F8"/>
    <w:rsid w:val="006D7E6C"/>
    <w:rsid w:val="006E5FD6"/>
    <w:rsid w:val="006F04C0"/>
    <w:rsid w:val="006F2C5F"/>
    <w:rsid w:val="006F3458"/>
    <w:rsid w:val="006F4486"/>
    <w:rsid w:val="0070255F"/>
    <w:rsid w:val="00703727"/>
    <w:rsid w:val="00704129"/>
    <w:rsid w:val="00707856"/>
    <w:rsid w:val="0071304A"/>
    <w:rsid w:val="00715E06"/>
    <w:rsid w:val="00715E16"/>
    <w:rsid w:val="00716A78"/>
    <w:rsid w:val="00717407"/>
    <w:rsid w:val="00722ED9"/>
    <w:rsid w:val="00723AD4"/>
    <w:rsid w:val="00725788"/>
    <w:rsid w:val="00727CB2"/>
    <w:rsid w:val="0073324D"/>
    <w:rsid w:val="007362D4"/>
    <w:rsid w:val="00736F61"/>
    <w:rsid w:val="0073780F"/>
    <w:rsid w:val="00744EB2"/>
    <w:rsid w:val="00745359"/>
    <w:rsid w:val="00745B3F"/>
    <w:rsid w:val="00747A51"/>
    <w:rsid w:val="00750930"/>
    <w:rsid w:val="007520ED"/>
    <w:rsid w:val="00757D2A"/>
    <w:rsid w:val="00762C89"/>
    <w:rsid w:val="0076338D"/>
    <w:rsid w:val="00764B76"/>
    <w:rsid w:val="007662C7"/>
    <w:rsid w:val="00770FC5"/>
    <w:rsid w:val="00773EDA"/>
    <w:rsid w:val="00774048"/>
    <w:rsid w:val="007755B2"/>
    <w:rsid w:val="00776306"/>
    <w:rsid w:val="00780BDD"/>
    <w:rsid w:val="007841B5"/>
    <w:rsid w:val="00784DF4"/>
    <w:rsid w:val="00787931"/>
    <w:rsid w:val="00787E1D"/>
    <w:rsid w:val="00790597"/>
    <w:rsid w:val="0079332D"/>
    <w:rsid w:val="00795248"/>
    <w:rsid w:val="007A27C9"/>
    <w:rsid w:val="007A3764"/>
    <w:rsid w:val="007A580D"/>
    <w:rsid w:val="007B1F10"/>
    <w:rsid w:val="007B3D15"/>
    <w:rsid w:val="007B5A70"/>
    <w:rsid w:val="007C25F3"/>
    <w:rsid w:val="007C366C"/>
    <w:rsid w:val="007C4BFD"/>
    <w:rsid w:val="007D2E10"/>
    <w:rsid w:val="007D4C03"/>
    <w:rsid w:val="007E018D"/>
    <w:rsid w:val="007E15B3"/>
    <w:rsid w:val="007E2A25"/>
    <w:rsid w:val="007E58BA"/>
    <w:rsid w:val="007E7DF0"/>
    <w:rsid w:val="007F1A60"/>
    <w:rsid w:val="007F1B71"/>
    <w:rsid w:val="007F379C"/>
    <w:rsid w:val="007F418A"/>
    <w:rsid w:val="007F5B67"/>
    <w:rsid w:val="007F75DD"/>
    <w:rsid w:val="007F76B6"/>
    <w:rsid w:val="007F7CD7"/>
    <w:rsid w:val="00807089"/>
    <w:rsid w:val="00807E7D"/>
    <w:rsid w:val="00810ADD"/>
    <w:rsid w:val="0081373B"/>
    <w:rsid w:val="0081426F"/>
    <w:rsid w:val="00816F95"/>
    <w:rsid w:val="00821332"/>
    <w:rsid w:val="00827921"/>
    <w:rsid w:val="00831675"/>
    <w:rsid w:val="00832DCE"/>
    <w:rsid w:val="0083357B"/>
    <w:rsid w:val="00833707"/>
    <w:rsid w:val="00840532"/>
    <w:rsid w:val="00841E58"/>
    <w:rsid w:val="00843E11"/>
    <w:rsid w:val="00843E7B"/>
    <w:rsid w:val="00845F90"/>
    <w:rsid w:val="00846AA5"/>
    <w:rsid w:val="00854612"/>
    <w:rsid w:val="00854AB4"/>
    <w:rsid w:val="008625CF"/>
    <w:rsid w:val="00863AF6"/>
    <w:rsid w:val="00864C25"/>
    <w:rsid w:val="0086580C"/>
    <w:rsid w:val="00866534"/>
    <w:rsid w:val="0087524B"/>
    <w:rsid w:val="00875DE1"/>
    <w:rsid w:val="00881F2C"/>
    <w:rsid w:val="0088467C"/>
    <w:rsid w:val="00884C46"/>
    <w:rsid w:val="00884D07"/>
    <w:rsid w:val="00885F9C"/>
    <w:rsid w:val="008921E6"/>
    <w:rsid w:val="008934AF"/>
    <w:rsid w:val="00894579"/>
    <w:rsid w:val="0089799C"/>
    <w:rsid w:val="008A04DC"/>
    <w:rsid w:val="008A10E7"/>
    <w:rsid w:val="008A1475"/>
    <w:rsid w:val="008A262C"/>
    <w:rsid w:val="008A5B67"/>
    <w:rsid w:val="008A6956"/>
    <w:rsid w:val="008B210F"/>
    <w:rsid w:val="008C2B8B"/>
    <w:rsid w:val="008C31A8"/>
    <w:rsid w:val="008C54C2"/>
    <w:rsid w:val="008C557C"/>
    <w:rsid w:val="008C56B6"/>
    <w:rsid w:val="008C5A58"/>
    <w:rsid w:val="008C5FC9"/>
    <w:rsid w:val="008C6205"/>
    <w:rsid w:val="008C6C34"/>
    <w:rsid w:val="008C7FA1"/>
    <w:rsid w:val="008D16F7"/>
    <w:rsid w:val="008D1AA7"/>
    <w:rsid w:val="008D7F66"/>
    <w:rsid w:val="008E4B19"/>
    <w:rsid w:val="008E5014"/>
    <w:rsid w:val="008E5908"/>
    <w:rsid w:val="0090176E"/>
    <w:rsid w:val="00901B3A"/>
    <w:rsid w:val="00901F04"/>
    <w:rsid w:val="009024DA"/>
    <w:rsid w:val="009025F3"/>
    <w:rsid w:val="00903D2A"/>
    <w:rsid w:val="00911D47"/>
    <w:rsid w:val="00911DD2"/>
    <w:rsid w:val="009143A0"/>
    <w:rsid w:val="009168AC"/>
    <w:rsid w:val="00916DF3"/>
    <w:rsid w:val="00917B83"/>
    <w:rsid w:val="00924E2B"/>
    <w:rsid w:val="00931D14"/>
    <w:rsid w:val="00936470"/>
    <w:rsid w:val="00941515"/>
    <w:rsid w:val="00944701"/>
    <w:rsid w:val="00946E05"/>
    <w:rsid w:val="00946EDD"/>
    <w:rsid w:val="00947BA9"/>
    <w:rsid w:val="00954679"/>
    <w:rsid w:val="009610D1"/>
    <w:rsid w:val="009621CA"/>
    <w:rsid w:val="00972894"/>
    <w:rsid w:val="00974A1C"/>
    <w:rsid w:val="00975C1C"/>
    <w:rsid w:val="00984491"/>
    <w:rsid w:val="009919F1"/>
    <w:rsid w:val="00994FE8"/>
    <w:rsid w:val="00996497"/>
    <w:rsid w:val="009A0719"/>
    <w:rsid w:val="009A247F"/>
    <w:rsid w:val="009A7E58"/>
    <w:rsid w:val="009B145A"/>
    <w:rsid w:val="009B1471"/>
    <w:rsid w:val="009B3C74"/>
    <w:rsid w:val="009C05EA"/>
    <w:rsid w:val="009C19A2"/>
    <w:rsid w:val="009C40B4"/>
    <w:rsid w:val="009C5597"/>
    <w:rsid w:val="009D3BB5"/>
    <w:rsid w:val="009D4530"/>
    <w:rsid w:val="009E1CC2"/>
    <w:rsid w:val="009E2F86"/>
    <w:rsid w:val="009E6598"/>
    <w:rsid w:val="009E7CDB"/>
    <w:rsid w:val="009F095C"/>
    <w:rsid w:val="009F6E10"/>
    <w:rsid w:val="009F7879"/>
    <w:rsid w:val="00A02CF6"/>
    <w:rsid w:val="00A0359E"/>
    <w:rsid w:val="00A06731"/>
    <w:rsid w:val="00A06BF9"/>
    <w:rsid w:val="00A12209"/>
    <w:rsid w:val="00A13D93"/>
    <w:rsid w:val="00A15186"/>
    <w:rsid w:val="00A16074"/>
    <w:rsid w:val="00A27303"/>
    <w:rsid w:val="00A274BE"/>
    <w:rsid w:val="00A27BB3"/>
    <w:rsid w:val="00A3165B"/>
    <w:rsid w:val="00A31E99"/>
    <w:rsid w:val="00A330B8"/>
    <w:rsid w:val="00A36DF3"/>
    <w:rsid w:val="00A40820"/>
    <w:rsid w:val="00A45431"/>
    <w:rsid w:val="00A45987"/>
    <w:rsid w:val="00A52399"/>
    <w:rsid w:val="00A532DD"/>
    <w:rsid w:val="00A600C1"/>
    <w:rsid w:val="00A644FE"/>
    <w:rsid w:val="00A644FF"/>
    <w:rsid w:val="00A73923"/>
    <w:rsid w:val="00A75B2D"/>
    <w:rsid w:val="00A770D1"/>
    <w:rsid w:val="00A80BCF"/>
    <w:rsid w:val="00A8309C"/>
    <w:rsid w:val="00A8369C"/>
    <w:rsid w:val="00A83857"/>
    <w:rsid w:val="00A854EE"/>
    <w:rsid w:val="00A97EC0"/>
    <w:rsid w:val="00AA077A"/>
    <w:rsid w:val="00AA1689"/>
    <w:rsid w:val="00AA1806"/>
    <w:rsid w:val="00AA20FB"/>
    <w:rsid w:val="00AA3BEB"/>
    <w:rsid w:val="00AA68B9"/>
    <w:rsid w:val="00AB045B"/>
    <w:rsid w:val="00AB393B"/>
    <w:rsid w:val="00AC1C1D"/>
    <w:rsid w:val="00AC1D15"/>
    <w:rsid w:val="00AC1F77"/>
    <w:rsid w:val="00AC6AD5"/>
    <w:rsid w:val="00AC731F"/>
    <w:rsid w:val="00AE34F4"/>
    <w:rsid w:val="00AE3743"/>
    <w:rsid w:val="00AE3B00"/>
    <w:rsid w:val="00AE523A"/>
    <w:rsid w:val="00AE53C8"/>
    <w:rsid w:val="00AF1161"/>
    <w:rsid w:val="00AF4A37"/>
    <w:rsid w:val="00AF5545"/>
    <w:rsid w:val="00B00977"/>
    <w:rsid w:val="00B034F9"/>
    <w:rsid w:val="00B07B0C"/>
    <w:rsid w:val="00B1231F"/>
    <w:rsid w:val="00B16836"/>
    <w:rsid w:val="00B17440"/>
    <w:rsid w:val="00B227AC"/>
    <w:rsid w:val="00B22F23"/>
    <w:rsid w:val="00B25563"/>
    <w:rsid w:val="00B26D48"/>
    <w:rsid w:val="00B30073"/>
    <w:rsid w:val="00B30124"/>
    <w:rsid w:val="00B30876"/>
    <w:rsid w:val="00B308EF"/>
    <w:rsid w:val="00B322A9"/>
    <w:rsid w:val="00B37B32"/>
    <w:rsid w:val="00B42EE1"/>
    <w:rsid w:val="00B43350"/>
    <w:rsid w:val="00B44EAA"/>
    <w:rsid w:val="00B522E4"/>
    <w:rsid w:val="00B52C12"/>
    <w:rsid w:val="00B61730"/>
    <w:rsid w:val="00B65838"/>
    <w:rsid w:val="00B7392B"/>
    <w:rsid w:val="00B74865"/>
    <w:rsid w:val="00B761A0"/>
    <w:rsid w:val="00B7643D"/>
    <w:rsid w:val="00B92478"/>
    <w:rsid w:val="00B93C0A"/>
    <w:rsid w:val="00B95DCC"/>
    <w:rsid w:val="00B96FB7"/>
    <w:rsid w:val="00BA5911"/>
    <w:rsid w:val="00BA5E99"/>
    <w:rsid w:val="00BA7BF4"/>
    <w:rsid w:val="00BB04D7"/>
    <w:rsid w:val="00BB3E71"/>
    <w:rsid w:val="00BB5E35"/>
    <w:rsid w:val="00BB752D"/>
    <w:rsid w:val="00BC13EA"/>
    <w:rsid w:val="00BC36B4"/>
    <w:rsid w:val="00BD2DD4"/>
    <w:rsid w:val="00BD3452"/>
    <w:rsid w:val="00BD4784"/>
    <w:rsid w:val="00BD5327"/>
    <w:rsid w:val="00BD61A2"/>
    <w:rsid w:val="00BD69E5"/>
    <w:rsid w:val="00BE1186"/>
    <w:rsid w:val="00BE1C93"/>
    <w:rsid w:val="00BE2A32"/>
    <w:rsid w:val="00BE2E50"/>
    <w:rsid w:val="00BE484D"/>
    <w:rsid w:val="00BE7B00"/>
    <w:rsid w:val="00BF7668"/>
    <w:rsid w:val="00C029B8"/>
    <w:rsid w:val="00C07200"/>
    <w:rsid w:val="00C14C65"/>
    <w:rsid w:val="00C16CE7"/>
    <w:rsid w:val="00C20BD8"/>
    <w:rsid w:val="00C22C25"/>
    <w:rsid w:val="00C330FD"/>
    <w:rsid w:val="00C3419A"/>
    <w:rsid w:val="00C35801"/>
    <w:rsid w:val="00C36DF5"/>
    <w:rsid w:val="00C37E05"/>
    <w:rsid w:val="00C4109B"/>
    <w:rsid w:val="00C42704"/>
    <w:rsid w:val="00C4447B"/>
    <w:rsid w:val="00C4710A"/>
    <w:rsid w:val="00C53156"/>
    <w:rsid w:val="00C55533"/>
    <w:rsid w:val="00C55D29"/>
    <w:rsid w:val="00C57B3A"/>
    <w:rsid w:val="00C610A1"/>
    <w:rsid w:val="00C71B04"/>
    <w:rsid w:val="00C720EB"/>
    <w:rsid w:val="00C72332"/>
    <w:rsid w:val="00C75678"/>
    <w:rsid w:val="00C85918"/>
    <w:rsid w:val="00C9232B"/>
    <w:rsid w:val="00C94230"/>
    <w:rsid w:val="00C97138"/>
    <w:rsid w:val="00CA0BE9"/>
    <w:rsid w:val="00CA138D"/>
    <w:rsid w:val="00CA563B"/>
    <w:rsid w:val="00CA59A4"/>
    <w:rsid w:val="00CA65CD"/>
    <w:rsid w:val="00CA7093"/>
    <w:rsid w:val="00CB0E1A"/>
    <w:rsid w:val="00CB1249"/>
    <w:rsid w:val="00CB3A23"/>
    <w:rsid w:val="00CB5036"/>
    <w:rsid w:val="00CB7EA2"/>
    <w:rsid w:val="00CC0490"/>
    <w:rsid w:val="00CC1F85"/>
    <w:rsid w:val="00CC7641"/>
    <w:rsid w:val="00CD0A4D"/>
    <w:rsid w:val="00CD18BC"/>
    <w:rsid w:val="00CD7951"/>
    <w:rsid w:val="00CE339A"/>
    <w:rsid w:val="00CE34AF"/>
    <w:rsid w:val="00D00CF9"/>
    <w:rsid w:val="00D00E4D"/>
    <w:rsid w:val="00D13794"/>
    <w:rsid w:val="00D20ACB"/>
    <w:rsid w:val="00D20ECD"/>
    <w:rsid w:val="00D216C9"/>
    <w:rsid w:val="00D2190C"/>
    <w:rsid w:val="00D24052"/>
    <w:rsid w:val="00D3004A"/>
    <w:rsid w:val="00D309AB"/>
    <w:rsid w:val="00D31575"/>
    <w:rsid w:val="00D32228"/>
    <w:rsid w:val="00D3333C"/>
    <w:rsid w:val="00D34626"/>
    <w:rsid w:val="00D3647E"/>
    <w:rsid w:val="00D41B13"/>
    <w:rsid w:val="00D41E3B"/>
    <w:rsid w:val="00D4257A"/>
    <w:rsid w:val="00D442D3"/>
    <w:rsid w:val="00D47819"/>
    <w:rsid w:val="00D47873"/>
    <w:rsid w:val="00D479B2"/>
    <w:rsid w:val="00D54023"/>
    <w:rsid w:val="00D55871"/>
    <w:rsid w:val="00D55BD2"/>
    <w:rsid w:val="00D56884"/>
    <w:rsid w:val="00D57DBE"/>
    <w:rsid w:val="00D61820"/>
    <w:rsid w:val="00D622D8"/>
    <w:rsid w:val="00D62665"/>
    <w:rsid w:val="00D642CA"/>
    <w:rsid w:val="00D72A01"/>
    <w:rsid w:val="00D80F05"/>
    <w:rsid w:val="00D81094"/>
    <w:rsid w:val="00D827CC"/>
    <w:rsid w:val="00D8440E"/>
    <w:rsid w:val="00D87FDE"/>
    <w:rsid w:val="00D95916"/>
    <w:rsid w:val="00D9769B"/>
    <w:rsid w:val="00DA51A5"/>
    <w:rsid w:val="00DA5437"/>
    <w:rsid w:val="00DA5DBC"/>
    <w:rsid w:val="00DB02AB"/>
    <w:rsid w:val="00DB24E8"/>
    <w:rsid w:val="00DB2D6F"/>
    <w:rsid w:val="00DB3486"/>
    <w:rsid w:val="00DB3D02"/>
    <w:rsid w:val="00DB5574"/>
    <w:rsid w:val="00DB7764"/>
    <w:rsid w:val="00DC0CDE"/>
    <w:rsid w:val="00DC4D72"/>
    <w:rsid w:val="00DC5F7F"/>
    <w:rsid w:val="00DD238C"/>
    <w:rsid w:val="00DD6B64"/>
    <w:rsid w:val="00DE15B6"/>
    <w:rsid w:val="00DE2678"/>
    <w:rsid w:val="00DE3BF0"/>
    <w:rsid w:val="00DE7DFD"/>
    <w:rsid w:val="00DF0EBF"/>
    <w:rsid w:val="00DF1EE7"/>
    <w:rsid w:val="00DF3133"/>
    <w:rsid w:val="00DF4357"/>
    <w:rsid w:val="00E0031D"/>
    <w:rsid w:val="00E02E22"/>
    <w:rsid w:val="00E0624D"/>
    <w:rsid w:val="00E113DF"/>
    <w:rsid w:val="00E1545A"/>
    <w:rsid w:val="00E15ABE"/>
    <w:rsid w:val="00E235C6"/>
    <w:rsid w:val="00E27A3F"/>
    <w:rsid w:val="00E30656"/>
    <w:rsid w:val="00E34597"/>
    <w:rsid w:val="00E37790"/>
    <w:rsid w:val="00E40444"/>
    <w:rsid w:val="00E435B1"/>
    <w:rsid w:val="00E43DFC"/>
    <w:rsid w:val="00E4438C"/>
    <w:rsid w:val="00E457F3"/>
    <w:rsid w:val="00E53EDC"/>
    <w:rsid w:val="00E554B6"/>
    <w:rsid w:val="00E614E1"/>
    <w:rsid w:val="00E66349"/>
    <w:rsid w:val="00E67A54"/>
    <w:rsid w:val="00E70526"/>
    <w:rsid w:val="00E81049"/>
    <w:rsid w:val="00E83EC4"/>
    <w:rsid w:val="00E85402"/>
    <w:rsid w:val="00E87232"/>
    <w:rsid w:val="00E9301C"/>
    <w:rsid w:val="00EA290C"/>
    <w:rsid w:val="00EA33D7"/>
    <w:rsid w:val="00EA3A83"/>
    <w:rsid w:val="00EB7412"/>
    <w:rsid w:val="00EB7E71"/>
    <w:rsid w:val="00EC023F"/>
    <w:rsid w:val="00EC07DF"/>
    <w:rsid w:val="00EC1984"/>
    <w:rsid w:val="00EC3498"/>
    <w:rsid w:val="00EC38CA"/>
    <w:rsid w:val="00ED21B0"/>
    <w:rsid w:val="00ED34B9"/>
    <w:rsid w:val="00ED3C64"/>
    <w:rsid w:val="00ED4C42"/>
    <w:rsid w:val="00ED7432"/>
    <w:rsid w:val="00EE0A53"/>
    <w:rsid w:val="00EE1D98"/>
    <w:rsid w:val="00EE26F0"/>
    <w:rsid w:val="00EE293C"/>
    <w:rsid w:val="00EE3CFB"/>
    <w:rsid w:val="00EF01B1"/>
    <w:rsid w:val="00EF455F"/>
    <w:rsid w:val="00EF776A"/>
    <w:rsid w:val="00F109D4"/>
    <w:rsid w:val="00F153CE"/>
    <w:rsid w:val="00F1743D"/>
    <w:rsid w:val="00F230FC"/>
    <w:rsid w:val="00F240B6"/>
    <w:rsid w:val="00F24275"/>
    <w:rsid w:val="00F276BC"/>
    <w:rsid w:val="00F3201A"/>
    <w:rsid w:val="00F33841"/>
    <w:rsid w:val="00F376CF"/>
    <w:rsid w:val="00F47585"/>
    <w:rsid w:val="00F478A4"/>
    <w:rsid w:val="00F60092"/>
    <w:rsid w:val="00F60F3F"/>
    <w:rsid w:val="00F65B43"/>
    <w:rsid w:val="00F86A0D"/>
    <w:rsid w:val="00F90355"/>
    <w:rsid w:val="00F9224A"/>
    <w:rsid w:val="00F939B8"/>
    <w:rsid w:val="00F94C6C"/>
    <w:rsid w:val="00F95A58"/>
    <w:rsid w:val="00F97BE5"/>
    <w:rsid w:val="00FA4063"/>
    <w:rsid w:val="00FA5EAD"/>
    <w:rsid w:val="00FA645E"/>
    <w:rsid w:val="00FB08FF"/>
    <w:rsid w:val="00FB3570"/>
    <w:rsid w:val="00FB5F86"/>
    <w:rsid w:val="00FC4C41"/>
    <w:rsid w:val="00FC7483"/>
    <w:rsid w:val="00FD0542"/>
    <w:rsid w:val="00FD10DB"/>
    <w:rsid w:val="00FD1AB9"/>
    <w:rsid w:val="00FE04E4"/>
    <w:rsid w:val="00FE4C59"/>
    <w:rsid w:val="00FE73F9"/>
    <w:rsid w:val="00FF1057"/>
    <w:rsid w:val="00FF3E25"/>
    <w:rsid w:val="00FF4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6B4C6"/>
  <w15:docId w15:val="{518940E6-5E9B-4F0F-96FA-21754B0B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FC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786"/>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 w:type="paragraph" w:styleId="ListParagraph">
    <w:name w:val="List Paragraph"/>
    <w:basedOn w:val="Normal"/>
    <w:uiPriority w:val="34"/>
    <w:qFormat/>
    <w:rsid w:val="00F3201A"/>
    <w:pPr>
      <w:spacing w:before="0" w:line="264" w:lineRule="auto"/>
      <w:ind w:left="720"/>
      <w:contextualSpacing/>
    </w:pPr>
    <w:rPr>
      <w:rFonts w:asciiTheme="minorHAnsi" w:eastAsiaTheme="minorHAnsi" w:hAnsiTheme="minorHAnsi" w:cstheme="minorBidi"/>
      <w:color w:val="262626" w:themeColor="text1" w:themeTint="D9"/>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78946">
      <w:bodyDiv w:val="1"/>
      <w:marLeft w:val="0"/>
      <w:marRight w:val="0"/>
      <w:marTop w:val="0"/>
      <w:marBottom w:val="0"/>
      <w:divBdr>
        <w:top w:val="none" w:sz="0" w:space="0" w:color="auto"/>
        <w:left w:val="none" w:sz="0" w:space="0" w:color="auto"/>
        <w:bottom w:val="none" w:sz="0" w:space="0" w:color="auto"/>
        <w:right w:val="none" w:sz="0" w:space="0" w:color="auto"/>
      </w:divBdr>
      <w:divsChild>
        <w:div w:id="151415520">
          <w:marLeft w:val="0"/>
          <w:marRight w:val="0"/>
          <w:marTop w:val="0"/>
          <w:marBottom w:val="0"/>
          <w:divBdr>
            <w:top w:val="none" w:sz="0" w:space="0" w:color="auto"/>
            <w:left w:val="none" w:sz="0" w:space="0" w:color="auto"/>
            <w:bottom w:val="none" w:sz="0" w:space="0" w:color="auto"/>
            <w:right w:val="none" w:sz="0" w:space="0" w:color="auto"/>
          </w:divBdr>
          <w:divsChild>
            <w:div w:id="1863081143">
              <w:marLeft w:val="0"/>
              <w:marRight w:val="0"/>
              <w:marTop w:val="0"/>
              <w:marBottom w:val="0"/>
              <w:divBdr>
                <w:top w:val="none" w:sz="0" w:space="0" w:color="auto"/>
                <w:left w:val="none" w:sz="0" w:space="0" w:color="auto"/>
                <w:bottom w:val="none" w:sz="0" w:space="0" w:color="auto"/>
                <w:right w:val="none" w:sz="0" w:space="0" w:color="auto"/>
              </w:divBdr>
              <w:divsChild>
                <w:div w:id="313996101">
                  <w:marLeft w:val="0"/>
                  <w:marRight w:val="0"/>
                  <w:marTop w:val="0"/>
                  <w:marBottom w:val="0"/>
                  <w:divBdr>
                    <w:top w:val="none" w:sz="0" w:space="0" w:color="auto"/>
                    <w:left w:val="none" w:sz="0" w:space="0" w:color="auto"/>
                    <w:bottom w:val="none" w:sz="0" w:space="0" w:color="auto"/>
                    <w:right w:val="none" w:sz="0" w:space="0" w:color="auto"/>
                  </w:divBdr>
                  <w:divsChild>
                    <w:div w:id="1356881553">
                      <w:marLeft w:val="0"/>
                      <w:marRight w:val="0"/>
                      <w:marTop w:val="0"/>
                      <w:marBottom w:val="0"/>
                      <w:divBdr>
                        <w:top w:val="none" w:sz="0" w:space="0" w:color="auto"/>
                        <w:left w:val="none" w:sz="0" w:space="0" w:color="auto"/>
                        <w:bottom w:val="none" w:sz="0" w:space="0" w:color="auto"/>
                        <w:right w:val="none" w:sz="0" w:space="0" w:color="auto"/>
                      </w:divBdr>
                      <w:divsChild>
                        <w:div w:id="417991543">
                          <w:marLeft w:val="0"/>
                          <w:marRight w:val="0"/>
                          <w:marTop w:val="0"/>
                          <w:marBottom w:val="0"/>
                          <w:divBdr>
                            <w:top w:val="none" w:sz="0" w:space="0" w:color="auto"/>
                            <w:left w:val="none" w:sz="0" w:space="0" w:color="auto"/>
                            <w:bottom w:val="none" w:sz="0" w:space="0" w:color="auto"/>
                            <w:right w:val="none" w:sz="0" w:space="0" w:color="auto"/>
                          </w:divBdr>
                          <w:divsChild>
                            <w:div w:id="1355883950">
                              <w:marLeft w:val="0"/>
                              <w:marRight w:val="0"/>
                              <w:marTop w:val="0"/>
                              <w:marBottom w:val="0"/>
                              <w:divBdr>
                                <w:top w:val="none" w:sz="0" w:space="0" w:color="auto"/>
                                <w:left w:val="none" w:sz="0" w:space="0" w:color="auto"/>
                                <w:bottom w:val="none" w:sz="0" w:space="0" w:color="auto"/>
                                <w:right w:val="none" w:sz="0" w:space="0" w:color="auto"/>
                              </w:divBdr>
                              <w:divsChild>
                                <w:div w:id="371617528">
                                  <w:marLeft w:val="0"/>
                                  <w:marRight w:val="0"/>
                                  <w:marTop w:val="0"/>
                                  <w:marBottom w:val="0"/>
                                  <w:divBdr>
                                    <w:top w:val="none" w:sz="0" w:space="0" w:color="auto"/>
                                    <w:left w:val="none" w:sz="0" w:space="0" w:color="auto"/>
                                    <w:bottom w:val="none" w:sz="0" w:space="0" w:color="auto"/>
                                    <w:right w:val="none" w:sz="0" w:space="0" w:color="auto"/>
                                  </w:divBdr>
                                  <w:divsChild>
                                    <w:div w:id="1405295175">
                                      <w:marLeft w:val="0"/>
                                      <w:marRight w:val="0"/>
                                      <w:marTop w:val="0"/>
                                      <w:marBottom w:val="0"/>
                                      <w:divBdr>
                                        <w:top w:val="none" w:sz="0" w:space="0" w:color="auto"/>
                                        <w:left w:val="none" w:sz="0" w:space="0" w:color="auto"/>
                                        <w:bottom w:val="none" w:sz="0" w:space="0" w:color="auto"/>
                                        <w:right w:val="none" w:sz="0" w:space="0" w:color="auto"/>
                                      </w:divBdr>
                                      <w:divsChild>
                                        <w:div w:id="925267328">
                                          <w:marLeft w:val="0"/>
                                          <w:marRight w:val="0"/>
                                          <w:marTop w:val="0"/>
                                          <w:marBottom w:val="0"/>
                                          <w:divBdr>
                                            <w:top w:val="none" w:sz="0" w:space="0" w:color="auto"/>
                                            <w:left w:val="none" w:sz="0" w:space="0" w:color="auto"/>
                                            <w:bottom w:val="none" w:sz="0" w:space="0" w:color="auto"/>
                                            <w:right w:val="none" w:sz="0" w:space="0" w:color="auto"/>
                                          </w:divBdr>
                                          <w:divsChild>
                                            <w:div w:id="2003001789">
                                              <w:marLeft w:val="0"/>
                                              <w:marRight w:val="0"/>
                                              <w:marTop w:val="0"/>
                                              <w:marBottom w:val="0"/>
                                              <w:divBdr>
                                                <w:top w:val="none" w:sz="0" w:space="0" w:color="auto"/>
                                                <w:left w:val="none" w:sz="0" w:space="0" w:color="auto"/>
                                                <w:bottom w:val="none" w:sz="0" w:space="0" w:color="auto"/>
                                                <w:right w:val="none" w:sz="0" w:space="0" w:color="auto"/>
                                              </w:divBdr>
                                              <w:divsChild>
                                                <w:div w:id="1663048529">
                                                  <w:marLeft w:val="0"/>
                                                  <w:marRight w:val="0"/>
                                                  <w:marTop w:val="0"/>
                                                  <w:marBottom w:val="0"/>
                                                  <w:divBdr>
                                                    <w:top w:val="none" w:sz="0" w:space="0" w:color="auto"/>
                                                    <w:left w:val="none" w:sz="0" w:space="0" w:color="auto"/>
                                                    <w:bottom w:val="none" w:sz="0" w:space="0" w:color="auto"/>
                                                    <w:right w:val="none" w:sz="0" w:space="0" w:color="auto"/>
                                                  </w:divBdr>
                                                  <w:divsChild>
                                                    <w:div w:id="226185408">
                                                      <w:marLeft w:val="0"/>
                                                      <w:marRight w:val="0"/>
                                                      <w:marTop w:val="0"/>
                                                      <w:marBottom w:val="0"/>
                                                      <w:divBdr>
                                                        <w:top w:val="none" w:sz="0" w:space="0" w:color="auto"/>
                                                        <w:left w:val="none" w:sz="0" w:space="0" w:color="auto"/>
                                                        <w:bottom w:val="none" w:sz="0" w:space="0" w:color="auto"/>
                                                        <w:right w:val="none" w:sz="0" w:space="0" w:color="auto"/>
                                                      </w:divBdr>
                                                      <w:divsChild>
                                                        <w:div w:id="11426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11BBA109E46ED4798FB80D77F58CE2A" ma:contentTypeVersion="" ma:contentTypeDescription="PDMS Document Site Content Type" ma:contentTypeScope="" ma:versionID="8286a966ab93c18027c450a4c02786cf">
  <xsd:schema xmlns:xsd="http://www.w3.org/2001/XMLSchema" xmlns:xs="http://www.w3.org/2001/XMLSchema" xmlns:p="http://schemas.microsoft.com/office/2006/metadata/properties" xmlns:ns2="FE614088-F0B7-4A53-B83D-38FBBFD6C2D0" targetNamespace="http://schemas.microsoft.com/office/2006/metadata/properties" ma:root="true" ma:fieldsID="22ed24718f84730e4a9d99ad628c2760" ns2:_="">
    <xsd:import namespace="FE614088-F0B7-4A53-B83D-38FBBFD6C2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4088-F0B7-4A53-B83D-38FBBFD6C2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E614088-F0B7-4A53-B83D-38FBBFD6C2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E942-B51A-4FA7-B81A-82F636FE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4088-F0B7-4A53-B83D-38FBBFD6C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614088-F0B7-4A53-B83D-38FBBFD6C2D0"/>
  </ds:schemaRefs>
</ds:datastoreItem>
</file>

<file path=customXml/itemProps4.xml><?xml version="1.0" encoding="utf-8"?>
<ds:datastoreItem xmlns:ds="http://schemas.openxmlformats.org/officeDocument/2006/customXml" ds:itemID="{3601E57D-A03A-4C6A-8083-81BF40A2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Template>
  <TotalTime>0</TotalTime>
  <Pages>7</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Treasury</dc:creator>
  <cp:lastModifiedBy>Kostava, Luke</cp:lastModifiedBy>
  <cp:revision>2</cp:revision>
  <cp:lastPrinted>2019-01-21T22:48:00Z</cp:lastPrinted>
  <dcterms:created xsi:type="dcterms:W3CDTF">2024-09-12T01:12:00Z</dcterms:created>
  <dcterms:modified xsi:type="dcterms:W3CDTF">2024-09-12T01:12:00Z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0x010100266966F133664895A6EE3632470D45F500111BBA109E46ED4798FB80D77F58CE2A</vt:lpwstr>
  </property>
  <property fmtid="{D5CDD505-2E9C-101B-9397-08002B2CF9AE}" pid="4" name="_dlc_DocIdItemGuid">
    <vt:lpwstr>8f198cf3-33d5-4224-a775-6556a6140369</vt:lpwstr>
  </property>
  <property fmtid="{D5CDD505-2E9C-101B-9397-08002B2CF9AE}" pid="5" name="TSYRecordClass">
    <vt:lpwstr>24;#TSY RA-9072 - Retain as national archives|d71911a4-1e32-4fc6-834f-26c4fc33e217</vt:lpwstr>
  </property>
  <property fmtid="{D5CDD505-2E9C-101B-9397-08002B2CF9AE}" pid="6" name="RecordPoint_SubmissionDate">
    <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WorkflowType">
    <vt:lpwstr>ActiveSubmitStub</vt:lpwstr>
  </property>
  <property fmtid="{D5CDD505-2E9C-101B-9397-08002B2CF9AE}" pid="10" name="RecordPoint_ActiveItemWebId">
    <vt:lpwstr>{09392e0d-4618-463d-b4d2-50a90b9447cf}</vt:lpwstr>
  </property>
  <property fmtid="{D5CDD505-2E9C-101B-9397-08002B2CF9AE}" pid="11" name="RecordPoint_ActiveItemSiteId">
    <vt:lpwstr>{5b52b9a5-e5b2-4521-8814-a1e24ca2869d}</vt:lpwstr>
  </property>
  <property fmtid="{D5CDD505-2E9C-101B-9397-08002B2CF9AE}" pid="12" name="RecordPoint_ActiveItemListId">
    <vt:lpwstr>{507a8a59-704d-43cf-b103-02b0cd527a9d}</vt:lpwstr>
  </property>
  <property fmtid="{D5CDD505-2E9C-101B-9397-08002B2CF9AE}" pid="13" name="RecordPoint_ActiveItemUniqueId">
    <vt:lpwstr>{8f198cf3-33d5-4224-a775-6556a6140369}</vt:lpwstr>
  </property>
  <property fmtid="{D5CDD505-2E9C-101B-9397-08002B2CF9AE}" pid="14" name="RecordPoint_RecordNumberSubmitted">
    <vt:lpwstr>R0001994052</vt:lpwstr>
  </property>
  <property fmtid="{D5CDD505-2E9C-101B-9397-08002B2CF9AE}" pid="15" name="RecordPoint_SubmissionCompleted">
    <vt:lpwstr>2019-02-07T05:44:04.6296953+11:00</vt:lpwstr>
  </property>
  <property fmtid="{D5CDD505-2E9C-101B-9397-08002B2CF9AE}" pid="16" name="ESearchTags">
    <vt:lpwstr/>
  </property>
  <property fmtid="{D5CDD505-2E9C-101B-9397-08002B2CF9AE}" pid="17" name="HPRMSecurityCaveat">
    <vt:lpwstr/>
  </property>
  <property fmtid="{D5CDD505-2E9C-101B-9397-08002B2CF9AE}" pid="18" name="HPRMSecurityLevel">
    <vt:lpwstr>43;#OFFICIAL|11463c70-78df-4e3b-b0ff-f66cd3cb26ec</vt:lpwstr>
  </property>
  <property fmtid="{D5CDD505-2E9C-101B-9397-08002B2CF9AE}" pid="19" name="PMC.ESearch.TagGeneratedTime">
    <vt:lpwstr>2023-03-02T16:02:32</vt:lpwstr>
  </property>
</Properties>
</file>