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379E1" w14:textId="480361AE" w:rsidR="00F109D4" w:rsidRPr="00005F9F" w:rsidRDefault="00F109D4" w:rsidP="00647BB7">
      <w:pPr>
        <w:pStyle w:val="Heading1"/>
        <w:spacing w:after="360"/>
        <w:rPr>
          <w:rFonts w:ascii="Times New Roman" w:hAnsi="Times New Roman"/>
          <w:sz w:val="24"/>
          <w:szCs w:val="24"/>
        </w:rPr>
      </w:pPr>
      <w:r w:rsidRPr="00005F9F">
        <w:rPr>
          <w:rFonts w:ascii="Times New Roman" w:hAnsi="Times New Roman"/>
          <w:sz w:val="24"/>
          <w:szCs w:val="24"/>
        </w:rPr>
        <w:t>EXPLANATORY STATEMENT</w:t>
      </w:r>
    </w:p>
    <w:p w14:paraId="01877832" w14:textId="0E1FF443" w:rsidR="007662C7" w:rsidRPr="00005F9F" w:rsidRDefault="00F109D4" w:rsidP="003E1CE3">
      <w:pPr>
        <w:pStyle w:val="Heading2"/>
        <w:jc w:val="center"/>
        <w:rPr>
          <w:sz w:val="24"/>
          <w:szCs w:val="24"/>
          <w:u w:val="none"/>
        </w:rPr>
      </w:pPr>
      <w:r w:rsidRPr="00005F9F">
        <w:rPr>
          <w:sz w:val="24"/>
          <w:szCs w:val="24"/>
          <w:u w:val="none"/>
        </w:rPr>
        <w:t>Issued by authority of</w:t>
      </w:r>
      <w:r w:rsidR="00C65EE7" w:rsidRPr="00005F9F">
        <w:rPr>
          <w:sz w:val="24"/>
          <w:szCs w:val="24"/>
          <w:u w:val="none"/>
        </w:rPr>
        <w:t xml:space="preserve"> the </w:t>
      </w:r>
      <w:r w:rsidR="00B15AB0" w:rsidRPr="00005F9F">
        <w:rPr>
          <w:sz w:val="24"/>
          <w:szCs w:val="24"/>
          <w:u w:val="none"/>
        </w:rPr>
        <w:t>Minister for Finance</w:t>
      </w:r>
      <w:r w:rsidR="00076178" w:rsidRPr="00005F9F">
        <w:rPr>
          <w:sz w:val="24"/>
          <w:szCs w:val="24"/>
          <w:u w:val="none"/>
        </w:rPr>
        <w:t xml:space="preserve"> </w:t>
      </w:r>
    </w:p>
    <w:p w14:paraId="1D718157" w14:textId="1DBA486D" w:rsidR="00135658" w:rsidRDefault="00B15AB0" w:rsidP="007E3927">
      <w:pPr>
        <w:tabs>
          <w:tab w:val="left" w:pos="1418"/>
        </w:tabs>
        <w:spacing w:before="0" w:after="0"/>
        <w:jc w:val="center"/>
        <w:rPr>
          <w:i/>
        </w:rPr>
      </w:pPr>
      <w:bookmarkStart w:id="0" w:name="_Hlk128583021"/>
      <w:r>
        <w:rPr>
          <w:i/>
        </w:rPr>
        <w:br/>
      </w:r>
      <w:r w:rsidRPr="00B15AB0">
        <w:rPr>
          <w:i/>
        </w:rPr>
        <w:t>Public Governance, Performance and Accountability Act 2013</w:t>
      </w:r>
    </w:p>
    <w:p w14:paraId="498A14D7" w14:textId="77777777" w:rsidR="007E3927" w:rsidRDefault="007E3927" w:rsidP="007E3927">
      <w:pPr>
        <w:tabs>
          <w:tab w:val="left" w:pos="1418"/>
        </w:tabs>
        <w:spacing w:before="0" w:after="0"/>
        <w:jc w:val="center"/>
        <w:rPr>
          <w:i/>
          <w:iCs/>
        </w:rPr>
      </w:pPr>
    </w:p>
    <w:p w14:paraId="043E248C" w14:textId="3AEDA2C4" w:rsidR="007D5091" w:rsidRDefault="00135658" w:rsidP="007E3927">
      <w:pPr>
        <w:tabs>
          <w:tab w:val="left" w:pos="1418"/>
        </w:tabs>
        <w:spacing w:before="0" w:after="0"/>
        <w:jc w:val="center"/>
        <w:rPr>
          <w:i/>
          <w:iCs/>
        </w:rPr>
      </w:pPr>
      <w:r w:rsidRPr="378217EE">
        <w:rPr>
          <w:i/>
          <w:iCs/>
        </w:rPr>
        <w:t>Public Governance, Performance and Accountability (</w:t>
      </w:r>
      <w:r w:rsidR="0D6BEF27" w:rsidRPr="378217EE">
        <w:rPr>
          <w:i/>
          <w:iCs/>
        </w:rPr>
        <w:t>Investment</w:t>
      </w:r>
      <w:r w:rsidRPr="378217EE">
        <w:rPr>
          <w:i/>
          <w:iCs/>
        </w:rPr>
        <w:t xml:space="preserve">) </w:t>
      </w:r>
      <w:r w:rsidR="065E9287" w:rsidRPr="378217EE">
        <w:rPr>
          <w:i/>
          <w:iCs/>
        </w:rPr>
        <w:t>Authorisation</w:t>
      </w:r>
      <w:r w:rsidR="00E17E67" w:rsidRPr="378217EE">
        <w:rPr>
          <w:i/>
          <w:iCs/>
        </w:rPr>
        <w:t xml:space="preserve"> 202</w:t>
      </w:r>
      <w:r w:rsidR="00752812" w:rsidRPr="378217EE">
        <w:rPr>
          <w:i/>
          <w:iCs/>
        </w:rPr>
        <w:t>4</w:t>
      </w:r>
    </w:p>
    <w:bookmarkEnd w:id="0"/>
    <w:p w14:paraId="7D582E1A" w14:textId="77777777" w:rsidR="007E3927" w:rsidRDefault="007E3927" w:rsidP="007E3927">
      <w:pPr>
        <w:spacing w:before="0" w:after="0"/>
      </w:pPr>
    </w:p>
    <w:p w14:paraId="75859E56" w14:textId="36F558B0" w:rsidR="00961816" w:rsidRDefault="00961816" w:rsidP="007E3927">
      <w:pPr>
        <w:spacing w:before="0" w:after="0"/>
      </w:pPr>
      <w:r w:rsidRPr="00B15AB0">
        <w:t xml:space="preserve">The </w:t>
      </w:r>
      <w:r w:rsidRPr="00E71FFD">
        <w:rPr>
          <w:i/>
        </w:rPr>
        <w:t>Public Governance, Performance and Accountability Act 2013</w:t>
      </w:r>
      <w:r w:rsidRPr="00B15AB0">
        <w:t xml:space="preserve"> (PGPA Act) set</w:t>
      </w:r>
      <w:r w:rsidR="00AA237E">
        <w:t>s</w:t>
      </w:r>
      <w:r w:rsidRPr="00B15AB0">
        <w:t xml:space="preserve"> out a framework for regulating resource management by Commonwealth entities and companies. </w:t>
      </w:r>
    </w:p>
    <w:p w14:paraId="009032B1" w14:textId="77777777" w:rsidR="007E3927" w:rsidRDefault="007E3927" w:rsidP="007E3927">
      <w:pPr>
        <w:spacing w:before="0" w:after="0"/>
      </w:pPr>
    </w:p>
    <w:p w14:paraId="75FBEE18" w14:textId="73E80CFE" w:rsidR="00434CCE" w:rsidRDefault="00A80E8D" w:rsidP="007E3927">
      <w:pPr>
        <w:spacing w:before="0" w:after="0"/>
      </w:pPr>
      <w:r>
        <w:t xml:space="preserve">Section 59 of the PGPA Act permits corporate </w:t>
      </w:r>
      <w:r w:rsidR="009F040D">
        <w:t>Commonweal</w:t>
      </w:r>
      <w:r w:rsidR="008340C1">
        <w:t xml:space="preserve">th </w:t>
      </w:r>
      <w:r>
        <w:t xml:space="preserve">entities to invest money that is not immediately required for the purposes of the entity in certain </w:t>
      </w:r>
      <w:r w:rsidR="00AD263F">
        <w:t xml:space="preserve">types of </w:t>
      </w:r>
      <w:r w:rsidR="008340C1">
        <w:t>inv</w:t>
      </w:r>
      <w:r w:rsidR="00AD263F">
        <w:t>estments</w:t>
      </w:r>
      <w:r>
        <w:t xml:space="preserve"> prescribed in the Act as well as investments </w:t>
      </w:r>
      <w:r w:rsidR="00E7448D">
        <w:t>authorised</w:t>
      </w:r>
      <w:r>
        <w:t xml:space="preserve"> by the Finance Minister in writing</w:t>
      </w:r>
      <w:r w:rsidR="004D19AB">
        <w:t xml:space="preserve"> or in the</w:t>
      </w:r>
      <w:r w:rsidR="00987A00">
        <w:t xml:space="preserve"> rules.</w:t>
      </w:r>
      <w:r w:rsidR="004D19AB">
        <w:t xml:space="preserve"> </w:t>
      </w:r>
    </w:p>
    <w:p w14:paraId="6165FD8B" w14:textId="77777777" w:rsidR="007E3927" w:rsidRDefault="007E3927" w:rsidP="007E3927">
      <w:pPr>
        <w:spacing w:before="0" w:after="0"/>
      </w:pPr>
    </w:p>
    <w:p w14:paraId="471105B8" w14:textId="63599C69" w:rsidR="00A80E8D" w:rsidRDefault="00A80E8D" w:rsidP="007E3927">
      <w:pPr>
        <w:spacing w:before="0" w:after="0"/>
      </w:pPr>
      <w:r w:rsidRPr="009502D5">
        <w:t xml:space="preserve">Subparagraph 59(1)(b)(iii) of the </w:t>
      </w:r>
      <w:r>
        <w:t xml:space="preserve">PGPA </w:t>
      </w:r>
      <w:r w:rsidRPr="009502D5">
        <w:t xml:space="preserve">Act provides that the Finance Minister </w:t>
      </w:r>
      <w:r w:rsidR="003D6FF3">
        <w:t xml:space="preserve">may authorise forms of </w:t>
      </w:r>
      <w:r w:rsidR="00E6759C">
        <w:t>investment</w:t>
      </w:r>
      <w:r w:rsidR="003D6FF3">
        <w:t xml:space="preserve"> by corporate Commonwealth entities in writing.</w:t>
      </w:r>
      <w:r w:rsidR="00292985">
        <w:t xml:space="preserve"> This instrument is made under </w:t>
      </w:r>
      <w:r w:rsidR="00B34BB8">
        <w:t xml:space="preserve">subparagraph </w:t>
      </w:r>
      <w:r w:rsidR="00292985" w:rsidRPr="009502D5">
        <w:t xml:space="preserve">59(1)(b)(iii) of the </w:t>
      </w:r>
      <w:r w:rsidR="00292985">
        <w:t xml:space="preserve">PGPA </w:t>
      </w:r>
      <w:r w:rsidR="00292985" w:rsidRPr="009502D5">
        <w:t>Act</w:t>
      </w:r>
      <w:r w:rsidR="00292985">
        <w:t xml:space="preserve">. </w:t>
      </w:r>
    </w:p>
    <w:p w14:paraId="36236DCB" w14:textId="77777777" w:rsidR="007E3927" w:rsidRDefault="007E3927" w:rsidP="007E3927">
      <w:pPr>
        <w:spacing w:before="0" w:after="0"/>
      </w:pPr>
    </w:p>
    <w:p w14:paraId="7E5132DA" w14:textId="3ED32036" w:rsidR="003D6FF3" w:rsidRPr="009502D5" w:rsidRDefault="00382BCA" w:rsidP="007E3927">
      <w:pPr>
        <w:spacing w:before="0" w:after="0"/>
      </w:pPr>
      <w:r>
        <w:t>The existing instrument</w:t>
      </w:r>
      <w:r w:rsidR="32C777DB">
        <w:t>,</w:t>
      </w:r>
      <w:r w:rsidR="00BD5C18">
        <w:t xml:space="preserve"> </w:t>
      </w:r>
      <w:r w:rsidR="00BD5C18" w:rsidRPr="00987A00">
        <w:t>the</w:t>
      </w:r>
      <w:r w:rsidR="00BD5C18" w:rsidRPr="00E839D1">
        <w:rPr>
          <w:i/>
          <w:iCs/>
        </w:rPr>
        <w:t xml:space="preserve"> Public Governance, Performance and </w:t>
      </w:r>
      <w:r w:rsidR="00711056" w:rsidRPr="00E839D1">
        <w:rPr>
          <w:i/>
          <w:iCs/>
        </w:rPr>
        <w:t>Accountability</w:t>
      </w:r>
      <w:r w:rsidR="00BD5C18" w:rsidRPr="00E839D1">
        <w:rPr>
          <w:i/>
          <w:iCs/>
        </w:rPr>
        <w:t xml:space="preserve"> (Investment) Authorisation 2014</w:t>
      </w:r>
      <w:r>
        <w:t xml:space="preserve"> </w:t>
      </w:r>
      <w:r w:rsidR="753D5436">
        <w:t>(the 2014 Authorisation</w:t>
      </w:r>
      <w:r w:rsidR="223F4537">
        <w:t xml:space="preserve">), </w:t>
      </w:r>
      <w:r>
        <w:t xml:space="preserve">made under </w:t>
      </w:r>
      <w:r w:rsidR="00AC1FBA">
        <w:t xml:space="preserve">subparagraph 59(1)(b)(iii) sunsets </w:t>
      </w:r>
      <w:r w:rsidR="008215D8">
        <w:t>on 1 October 2024. Most legislative instruments sunset 10 years after commencement under Chapter 3</w:t>
      </w:r>
      <w:r w:rsidR="00E57DAF">
        <w:t>,</w:t>
      </w:r>
      <w:r w:rsidR="008215D8">
        <w:t xml:space="preserve"> Part 4 of the </w:t>
      </w:r>
      <w:r w:rsidR="008215D8" w:rsidRPr="008215D8">
        <w:rPr>
          <w:i/>
          <w:iCs/>
        </w:rPr>
        <w:t>Legislation Act 2003</w:t>
      </w:r>
      <w:r w:rsidR="008215D8">
        <w:t xml:space="preserve">. </w:t>
      </w:r>
    </w:p>
    <w:p w14:paraId="238CF905" w14:textId="77777777" w:rsidR="007E3927" w:rsidRDefault="007E3927" w:rsidP="007E3927">
      <w:pPr>
        <w:spacing w:before="0" w:after="0"/>
      </w:pPr>
    </w:p>
    <w:p w14:paraId="096A2D3F" w14:textId="5DC1305A" w:rsidR="00A80E8D" w:rsidRDefault="00A24E61" w:rsidP="007E3927">
      <w:pPr>
        <w:spacing w:before="0" w:after="0"/>
      </w:pPr>
      <w:r>
        <w:t xml:space="preserve">This instrument </w:t>
      </w:r>
      <w:r w:rsidR="00CD7986">
        <w:t xml:space="preserve">the </w:t>
      </w:r>
      <w:r w:rsidR="00CD7986" w:rsidRPr="009901C8">
        <w:rPr>
          <w:i/>
          <w:iCs/>
        </w:rPr>
        <w:t xml:space="preserve">Public Governance, Performance and Accountability </w:t>
      </w:r>
      <w:r w:rsidR="00434FA4" w:rsidRPr="009901C8">
        <w:rPr>
          <w:i/>
          <w:iCs/>
        </w:rPr>
        <w:t>(Investment) Authorisation 2024</w:t>
      </w:r>
      <w:r w:rsidR="00A17CAF">
        <w:t xml:space="preserve"> </w:t>
      </w:r>
      <w:r w:rsidR="002B537E">
        <w:t>(the 2024 Authorisation)</w:t>
      </w:r>
      <w:r w:rsidR="00434FA4">
        <w:t xml:space="preserve"> </w:t>
      </w:r>
      <w:r w:rsidR="00DC1C97">
        <w:t xml:space="preserve">repeals and replaces the </w:t>
      </w:r>
      <w:r w:rsidR="00DC1C97" w:rsidRPr="009901C8">
        <w:rPr>
          <w:i/>
          <w:iCs/>
        </w:rPr>
        <w:t>Public Governance, Performance and Accountability (Investment) Authorisation 2014</w:t>
      </w:r>
      <w:r w:rsidR="001405D7">
        <w:t>.</w:t>
      </w:r>
      <w:r w:rsidR="00DC1C97">
        <w:t xml:space="preserve"> </w:t>
      </w:r>
    </w:p>
    <w:p w14:paraId="4774AC7A" w14:textId="77777777" w:rsidR="007E3927" w:rsidRDefault="007E3927" w:rsidP="007E3927">
      <w:pPr>
        <w:spacing w:before="0" w:after="0"/>
      </w:pPr>
    </w:p>
    <w:p w14:paraId="591B970D" w14:textId="5B46D560" w:rsidR="008642A1" w:rsidRDefault="00317003" w:rsidP="007E3927">
      <w:pPr>
        <w:spacing w:before="0" w:after="0"/>
      </w:pPr>
      <w:r>
        <w:t>T</w:t>
      </w:r>
      <w:r w:rsidR="00D84D00">
        <w:t xml:space="preserve">he </w:t>
      </w:r>
      <w:r w:rsidR="00591FBA">
        <w:t>2024 Authorisatio</w:t>
      </w:r>
      <w:r w:rsidR="000C7DDC">
        <w:t>n</w:t>
      </w:r>
      <w:r w:rsidR="00591FBA">
        <w:t xml:space="preserve"> </w:t>
      </w:r>
      <w:r w:rsidR="005727C4">
        <w:t xml:space="preserve">reflects </w:t>
      </w:r>
      <w:r w:rsidR="00EB4CB9">
        <w:t>the National Housing Finance and Investment Corporation’s change in name to Housing Australia</w:t>
      </w:r>
      <w:r w:rsidR="00894F54">
        <w:t xml:space="preserve"> from 12 October 2023</w:t>
      </w:r>
      <w:r w:rsidR="004B5DF9">
        <w:t xml:space="preserve"> as provided for in </w:t>
      </w:r>
      <w:r w:rsidR="00BB0493">
        <w:t xml:space="preserve">the </w:t>
      </w:r>
      <w:r w:rsidR="00BB0493" w:rsidRPr="009901C8">
        <w:rPr>
          <w:i/>
          <w:iCs/>
        </w:rPr>
        <w:t>Treasury Laws Amendment (Housing Measures No. 1) Act 2023</w:t>
      </w:r>
      <w:r w:rsidR="00EB4CB9">
        <w:t xml:space="preserve">. </w:t>
      </w:r>
    </w:p>
    <w:p w14:paraId="5AF3C373" w14:textId="2F4897D3" w:rsidR="00025721" w:rsidRDefault="00F65FE1" w:rsidP="007E3927">
      <w:pPr>
        <w:spacing w:before="0" w:after="0"/>
      </w:pPr>
      <w:r>
        <w:t xml:space="preserve">Aside from this name change, </w:t>
      </w:r>
      <w:r w:rsidR="00A83D9C">
        <w:t>the 2024 Authorisation retains the substantive forms of authorised investments of the 2014 Au</w:t>
      </w:r>
      <w:r w:rsidR="00841C72">
        <w:t>thorisation for the following 10 c</w:t>
      </w:r>
      <w:r w:rsidR="006219A7">
        <w:t xml:space="preserve">orporate Commonwealth </w:t>
      </w:r>
      <w:r w:rsidR="000B5E48">
        <w:t>entities:</w:t>
      </w:r>
    </w:p>
    <w:p w14:paraId="54E66494" w14:textId="77777777" w:rsidR="000B0617" w:rsidRDefault="000B0617" w:rsidP="007E3927">
      <w:pPr>
        <w:spacing w:before="0" w:after="0"/>
      </w:pPr>
    </w:p>
    <w:p w14:paraId="3FE6E707" w14:textId="1ED73A3B" w:rsidR="00025721" w:rsidRDefault="002E66D4">
      <w:pPr>
        <w:pStyle w:val="ListParagraph"/>
        <w:numPr>
          <w:ilvl w:val="0"/>
          <w:numId w:val="22"/>
        </w:numPr>
        <w:spacing w:before="0" w:after="0"/>
      </w:pPr>
      <w:r>
        <w:t>Australian</w:t>
      </w:r>
      <w:r w:rsidR="00777ECA">
        <w:t xml:space="preserve"> Broadcasting Corporation</w:t>
      </w:r>
      <w:r w:rsidR="0027369F">
        <w:t>;</w:t>
      </w:r>
    </w:p>
    <w:p w14:paraId="62BB9383" w14:textId="41E1A082" w:rsidR="00777ECA" w:rsidRDefault="004C7EE7">
      <w:pPr>
        <w:pStyle w:val="ListParagraph"/>
        <w:numPr>
          <w:ilvl w:val="0"/>
          <w:numId w:val="22"/>
        </w:numPr>
        <w:spacing w:before="0" w:after="0"/>
      </w:pPr>
      <w:r>
        <w:t>Export Finance and Insurance Corporation</w:t>
      </w:r>
      <w:r w:rsidR="0027369F">
        <w:t>;</w:t>
      </w:r>
    </w:p>
    <w:p w14:paraId="6B2D64FF" w14:textId="07D7621D" w:rsidR="004C7EE7" w:rsidRDefault="004C7EE7">
      <w:pPr>
        <w:pStyle w:val="ListParagraph"/>
        <w:numPr>
          <w:ilvl w:val="0"/>
          <w:numId w:val="22"/>
        </w:numPr>
        <w:spacing w:before="0" w:after="0"/>
      </w:pPr>
      <w:r>
        <w:t>Grains Research and Development Corporation</w:t>
      </w:r>
      <w:r w:rsidR="0027369F">
        <w:t>;</w:t>
      </w:r>
    </w:p>
    <w:p w14:paraId="6EC55A73" w14:textId="6CDB9F91" w:rsidR="004C7EE7" w:rsidRDefault="004C7EE7">
      <w:pPr>
        <w:pStyle w:val="ListParagraph"/>
        <w:numPr>
          <w:ilvl w:val="0"/>
          <w:numId w:val="22"/>
        </w:numPr>
        <w:spacing w:before="0" w:after="0"/>
      </w:pPr>
      <w:r>
        <w:t>Rural Industries Research and Development Corporation</w:t>
      </w:r>
      <w:r w:rsidR="0027369F">
        <w:t>;</w:t>
      </w:r>
    </w:p>
    <w:p w14:paraId="658B7B30" w14:textId="40855DE2" w:rsidR="004C7EE7" w:rsidRDefault="004C7EE7">
      <w:pPr>
        <w:pStyle w:val="ListParagraph"/>
        <w:numPr>
          <w:ilvl w:val="0"/>
          <w:numId w:val="22"/>
        </w:numPr>
        <w:spacing w:before="0" w:after="0"/>
      </w:pPr>
      <w:r>
        <w:t>Commonwealth Scientific and Industrial Research Organisation</w:t>
      </w:r>
      <w:r w:rsidR="0027369F">
        <w:t>;</w:t>
      </w:r>
    </w:p>
    <w:p w14:paraId="68A68CA7" w14:textId="576F89A2" w:rsidR="000B0617" w:rsidRDefault="000B0617">
      <w:pPr>
        <w:pStyle w:val="ListParagraph"/>
        <w:numPr>
          <w:ilvl w:val="0"/>
          <w:numId w:val="22"/>
        </w:numPr>
        <w:spacing w:before="0" w:after="0"/>
      </w:pPr>
      <w:r>
        <w:t>Civil Aviation Safety Authority</w:t>
      </w:r>
      <w:r w:rsidR="0027369F">
        <w:t>;</w:t>
      </w:r>
    </w:p>
    <w:p w14:paraId="78F1EB7E" w14:textId="6CFFE038" w:rsidR="000B0617" w:rsidRDefault="000B0617">
      <w:pPr>
        <w:pStyle w:val="ListParagraph"/>
        <w:numPr>
          <w:ilvl w:val="0"/>
          <w:numId w:val="22"/>
        </w:numPr>
        <w:spacing w:before="0" w:after="0"/>
      </w:pPr>
      <w:r>
        <w:t>Australian Hearing Services</w:t>
      </w:r>
      <w:r w:rsidR="0027369F">
        <w:t>;</w:t>
      </w:r>
    </w:p>
    <w:p w14:paraId="4F698EB2" w14:textId="43B20B28" w:rsidR="000B0617" w:rsidRDefault="000B0617">
      <w:pPr>
        <w:pStyle w:val="ListParagraph"/>
        <w:numPr>
          <w:ilvl w:val="0"/>
          <w:numId w:val="22"/>
        </w:numPr>
        <w:spacing w:before="0" w:after="0"/>
      </w:pPr>
      <w:r>
        <w:t>Australian Nuclear Science and Technology Organisation</w:t>
      </w:r>
      <w:r w:rsidR="0049394D">
        <w:t>;</w:t>
      </w:r>
    </w:p>
    <w:p w14:paraId="06A3229C" w14:textId="2062D1E7" w:rsidR="000B0617" w:rsidRDefault="000B0617">
      <w:pPr>
        <w:pStyle w:val="ListParagraph"/>
        <w:numPr>
          <w:ilvl w:val="0"/>
          <w:numId w:val="22"/>
        </w:numPr>
        <w:spacing w:before="0" w:after="0"/>
      </w:pPr>
      <w:r>
        <w:t>Airservices Australia</w:t>
      </w:r>
      <w:r w:rsidR="0049394D">
        <w:t>;</w:t>
      </w:r>
    </w:p>
    <w:p w14:paraId="4BB2282C" w14:textId="0EC20121" w:rsidR="000B0617" w:rsidRDefault="000B0617" w:rsidP="00B94C9F">
      <w:pPr>
        <w:pStyle w:val="ListParagraph"/>
        <w:numPr>
          <w:ilvl w:val="0"/>
          <w:numId w:val="22"/>
        </w:numPr>
        <w:spacing w:before="0" w:after="0"/>
      </w:pPr>
      <w:r>
        <w:t>Housing Australia</w:t>
      </w:r>
      <w:r w:rsidR="0049394D">
        <w:t>.</w:t>
      </w:r>
    </w:p>
    <w:p w14:paraId="49D35965" w14:textId="77777777" w:rsidR="00E04941" w:rsidRDefault="00E04941" w:rsidP="007E3927">
      <w:pPr>
        <w:pStyle w:val="ParaNumbering"/>
        <w:spacing w:line="240" w:lineRule="auto"/>
        <w:rPr>
          <w:rFonts w:eastAsiaTheme="minorEastAsia"/>
          <w:szCs w:val="24"/>
          <w:lang w:val="en-US" w:bidi="en-US"/>
        </w:rPr>
      </w:pPr>
    </w:p>
    <w:p w14:paraId="71ED8D48" w14:textId="237D2448" w:rsidR="009A163F" w:rsidRPr="00DA71F0" w:rsidRDefault="070EF2D4" w:rsidP="3A201476">
      <w:pPr>
        <w:pStyle w:val="ParaNumbering"/>
        <w:spacing w:line="240" w:lineRule="auto"/>
        <w:rPr>
          <w:rFonts w:eastAsiaTheme="minorEastAsia"/>
          <w:lang w:val="en-US" w:bidi="en-US"/>
        </w:rPr>
      </w:pPr>
      <w:r w:rsidRPr="3A201476">
        <w:rPr>
          <w:rFonts w:eastAsiaTheme="minorEastAsia"/>
          <w:lang w:val="en-US" w:bidi="en-US"/>
        </w:rPr>
        <w:lastRenderedPageBreak/>
        <w:t xml:space="preserve">Subsection 59(4), of the PGPA Act provides that authorisations made under </w:t>
      </w:r>
      <w:r w:rsidR="19B8DCA1" w:rsidRPr="3A201476">
        <w:rPr>
          <w:rFonts w:eastAsiaTheme="minorEastAsia"/>
          <w:lang w:val="en-US" w:bidi="en-US"/>
        </w:rPr>
        <w:t xml:space="preserve">subparagraph </w:t>
      </w:r>
      <w:r w:rsidR="19B8DCA1">
        <w:t>59(1)(b)(iii</w:t>
      </w:r>
      <w:r w:rsidR="19B8DCA1" w:rsidRPr="3A201476">
        <w:rPr>
          <w:rFonts w:eastAsiaTheme="minorEastAsia"/>
          <w:lang w:val="en-US" w:bidi="en-US"/>
        </w:rPr>
        <w:t xml:space="preserve">) are </w:t>
      </w:r>
      <w:r w:rsidRPr="3A201476">
        <w:rPr>
          <w:rFonts w:eastAsiaTheme="minorEastAsia"/>
          <w:lang w:val="en-US" w:bidi="en-US"/>
        </w:rPr>
        <w:t>legislative instruments that are not subject to disallowance</w:t>
      </w:r>
      <w:r w:rsidR="19B8DCA1" w:rsidRPr="3A201476">
        <w:rPr>
          <w:rFonts w:eastAsiaTheme="minorEastAsia"/>
          <w:lang w:val="en-US" w:bidi="en-US"/>
        </w:rPr>
        <w:t xml:space="preserve"> under </w:t>
      </w:r>
      <w:r w:rsidRPr="3A201476">
        <w:rPr>
          <w:rFonts w:eastAsiaTheme="minorEastAsia"/>
          <w:lang w:val="en-US" w:bidi="en-US"/>
        </w:rPr>
        <w:t xml:space="preserve">section 42 of the </w:t>
      </w:r>
      <w:r w:rsidRPr="3A201476">
        <w:rPr>
          <w:rFonts w:eastAsiaTheme="minorEastAsia"/>
          <w:i/>
          <w:iCs/>
          <w:lang w:val="en-US" w:bidi="en-US"/>
        </w:rPr>
        <w:t>Legislative Instruments Act 2003</w:t>
      </w:r>
      <w:r w:rsidR="19B8DCA1" w:rsidRPr="3A201476">
        <w:rPr>
          <w:rFonts w:eastAsiaTheme="minorEastAsia"/>
          <w:lang w:val="en-US" w:bidi="en-US"/>
        </w:rPr>
        <w:t xml:space="preserve">. </w:t>
      </w:r>
    </w:p>
    <w:p w14:paraId="45A1300A" w14:textId="77777777" w:rsidR="007E3927" w:rsidRDefault="007E3927" w:rsidP="007E3927">
      <w:pPr>
        <w:spacing w:before="0" w:after="0"/>
      </w:pPr>
    </w:p>
    <w:p w14:paraId="45118A1A" w14:textId="61FBE461" w:rsidR="00E71FFD" w:rsidRPr="00892756" w:rsidRDefault="00E71FFD" w:rsidP="007E3927">
      <w:pPr>
        <w:spacing w:before="0" w:after="0"/>
      </w:pPr>
      <w:r w:rsidRPr="00892756">
        <w:t xml:space="preserve">Details of the </w:t>
      </w:r>
      <w:r w:rsidR="002C3CB2" w:rsidRPr="00892756">
        <w:t>2024 Authorisation</w:t>
      </w:r>
      <w:r w:rsidR="00DF34A2" w:rsidRPr="00892756">
        <w:t xml:space="preserve"> </w:t>
      </w:r>
      <w:r w:rsidRPr="00892756">
        <w:t>are set out at </w:t>
      </w:r>
      <w:r w:rsidRPr="00892756">
        <w:rPr>
          <w:u w:val="single"/>
        </w:rPr>
        <w:t>Attachment A</w:t>
      </w:r>
      <w:r w:rsidRPr="00892756">
        <w:t xml:space="preserve">. </w:t>
      </w:r>
    </w:p>
    <w:p w14:paraId="6A2BCFD5" w14:textId="77777777" w:rsidR="007E3927" w:rsidRDefault="007E3927" w:rsidP="007E3927">
      <w:pPr>
        <w:spacing w:before="0" w:after="0"/>
        <w:ind w:right="91"/>
        <w:rPr>
          <w:shd w:val="clear" w:color="auto" w:fill="FFFFFF"/>
        </w:rPr>
      </w:pPr>
    </w:p>
    <w:p w14:paraId="651D9FE4" w14:textId="010CFBFD" w:rsidR="002C3CB2" w:rsidRPr="00892756" w:rsidRDefault="005E642A" w:rsidP="007E3927">
      <w:pPr>
        <w:spacing w:before="0" w:after="0"/>
        <w:ind w:right="91"/>
        <w:rPr>
          <w:shd w:val="clear" w:color="auto" w:fill="FFFFFF"/>
          <w:lang w:val="en-US"/>
        </w:rPr>
      </w:pPr>
      <w:r>
        <w:rPr>
          <w:shd w:val="clear" w:color="auto" w:fill="FFFFFF"/>
        </w:rPr>
        <w:t xml:space="preserve">The whole of the instrument </w:t>
      </w:r>
      <w:r w:rsidR="00005F9F" w:rsidRPr="00034477">
        <w:rPr>
          <w:shd w:val="clear" w:color="auto" w:fill="FFFFFF"/>
          <w:lang w:val="en-US"/>
        </w:rPr>
        <w:t>commence</w:t>
      </w:r>
      <w:r>
        <w:rPr>
          <w:shd w:val="clear" w:color="auto" w:fill="FFFFFF"/>
          <w:lang w:val="en-US"/>
        </w:rPr>
        <w:t xml:space="preserve">s </w:t>
      </w:r>
      <w:r w:rsidR="001D6A2A">
        <w:rPr>
          <w:shd w:val="clear" w:color="auto" w:fill="FFFFFF"/>
          <w:lang w:val="en-US"/>
        </w:rPr>
        <w:t xml:space="preserve">the </w:t>
      </w:r>
      <w:r w:rsidR="00CC3E2D">
        <w:rPr>
          <w:shd w:val="clear" w:color="auto" w:fill="FFFFFF"/>
          <w:lang w:val="en-US"/>
        </w:rPr>
        <w:t>day after registration.</w:t>
      </w:r>
      <w:r w:rsidR="00005F9F" w:rsidRPr="00034477">
        <w:rPr>
          <w:shd w:val="clear" w:color="auto" w:fill="FFFFFF"/>
          <w:lang w:val="en-US"/>
        </w:rPr>
        <w:t xml:space="preserve"> </w:t>
      </w:r>
    </w:p>
    <w:p w14:paraId="7AB2A55D" w14:textId="77777777" w:rsidR="00103EB6" w:rsidRDefault="00103EB6" w:rsidP="000826EC">
      <w:pPr>
        <w:pStyle w:val="NormalWeb"/>
        <w:spacing w:before="0" w:beforeAutospacing="0" w:after="0" w:afterAutospacing="0"/>
        <w:rPr>
          <w:b/>
          <w:szCs w:val="20"/>
        </w:rPr>
      </w:pPr>
    </w:p>
    <w:p w14:paraId="5D8CE5CC" w14:textId="22BA3F97" w:rsidR="00FE796A" w:rsidRDefault="00103EB6" w:rsidP="000826EC">
      <w:pPr>
        <w:pStyle w:val="NormalWeb"/>
        <w:spacing w:before="0" w:beforeAutospacing="0" w:after="0" w:afterAutospacing="0"/>
        <w:rPr>
          <w:b/>
          <w:szCs w:val="20"/>
        </w:rPr>
      </w:pPr>
      <w:r>
        <w:rPr>
          <w:b/>
          <w:szCs w:val="20"/>
        </w:rPr>
        <w:t xml:space="preserve">Statement of </w:t>
      </w:r>
      <w:r w:rsidR="00FE796A">
        <w:rPr>
          <w:b/>
          <w:szCs w:val="20"/>
        </w:rPr>
        <w:t>Compatibility with Human Rights</w:t>
      </w:r>
    </w:p>
    <w:p w14:paraId="099D3B23" w14:textId="77777777" w:rsidR="00FE796A" w:rsidRDefault="00FE796A" w:rsidP="000826EC">
      <w:pPr>
        <w:pStyle w:val="NormalWeb"/>
        <w:spacing w:before="0" w:beforeAutospacing="0" w:after="0" w:afterAutospacing="0"/>
        <w:rPr>
          <w:b/>
          <w:szCs w:val="20"/>
        </w:rPr>
      </w:pPr>
    </w:p>
    <w:p w14:paraId="2A5451BD" w14:textId="2A23E337" w:rsidR="67C9A87A" w:rsidRDefault="00FE796A" w:rsidP="67C9A87A">
      <w:pPr>
        <w:pStyle w:val="NormalWeb"/>
        <w:spacing w:before="0" w:beforeAutospacing="0" w:after="0" w:afterAutospacing="0"/>
        <w:rPr>
          <w:b/>
          <w:bCs/>
        </w:rPr>
      </w:pPr>
      <w:r>
        <w:rPr>
          <w:bCs/>
          <w:szCs w:val="20"/>
        </w:rPr>
        <w:t xml:space="preserve">A Statement of Compatibility with Human Rights is not required for the </w:t>
      </w:r>
      <w:r w:rsidR="00B16419">
        <w:rPr>
          <w:bCs/>
          <w:szCs w:val="20"/>
        </w:rPr>
        <w:t>2024 Authorisation. Subsection 9(1)</w:t>
      </w:r>
      <w:r w:rsidR="00ED3226">
        <w:rPr>
          <w:bCs/>
          <w:szCs w:val="20"/>
        </w:rPr>
        <w:t xml:space="preserve"> of the </w:t>
      </w:r>
      <w:r w:rsidR="00ED3226">
        <w:rPr>
          <w:bCs/>
          <w:i/>
          <w:iCs/>
          <w:szCs w:val="20"/>
        </w:rPr>
        <w:t>Human Rights (Parliamentary Scrutiny</w:t>
      </w:r>
      <w:r w:rsidR="00A605A6">
        <w:rPr>
          <w:bCs/>
          <w:i/>
          <w:iCs/>
          <w:szCs w:val="20"/>
        </w:rPr>
        <w:t>) Act 2011</w:t>
      </w:r>
      <w:r w:rsidR="00A605A6">
        <w:rPr>
          <w:bCs/>
          <w:szCs w:val="20"/>
        </w:rPr>
        <w:t xml:space="preserve"> requires a Statement of </w:t>
      </w:r>
      <w:r w:rsidR="00064D4D">
        <w:rPr>
          <w:bCs/>
          <w:szCs w:val="20"/>
        </w:rPr>
        <w:t xml:space="preserve">Compatibility with Human Rights </w:t>
      </w:r>
      <w:r w:rsidR="00901D84">
        <w:rPr>
          <w:bCs/>
          <w:szCs w:val="20"/>
        </w:rPr>
        <w:t xml:space="preserve">for all legislative instruments subject to disallowance under section 42 of the </w:t>
      </w:r>
      <w:r w:rsidR="00FC668D">
        <w:rPr>
          <w:bCs/>
          <w:i/>
          <w:iCs/>
          <w:szCs w:val="20"/>
        </w:rPr>
        <w:t xml:space="preserve">Legislation Act </w:t>
      </w:r>
      <w:r w:rsidR="00CE710F">
        <w:rPr>
          <w:bCs/>
          <w:i/>
          <w:iCs/>
          <w:szCs w:val="20"/>
        </w:rPr>
        <w:t>2003</w:t>
      </w:r>
      <w:r w:rsidR="00CE710F">
        <w:rPr>
          <w:bCs/>
          <w:szCs w:val="20"/>
        </w:rPr>
        <w:t xml:space="preserve">. </w:t>
      </w:r>
      <w:r w:rsidR="00884167">
        <w:rPr>
          <w:bCs/>
          <w:szCs w:val="20"/>
        </w:rPr>
        <w:t>As</w:t>
      </w:r>
      <w:r w:rsidR="003B3308">
        <w:rPr>
          <w:bCs/>
          <w:szCs w:val="20"/>
        </w:rPr>
        <w:t xml:space="preserve"> </w:t>
      </w:r>
      <w:r w:rsidR="00FB6D03">
        <w:rPr>
          <w:bCs/>
          <w:szCs w:val="20"/>
        </w:rPr>
        <w:t>the 2024 A</w:t>
      </w:r>
      <w:r w:rsidR="003B3308">
        <w:rPr>
          <w:bCs/>
          <w:szCs w:val="20"/>
        </w:rPr>
        <w:t>uthorisation</w:t>
      </w:r>
      <w:r w:rsidR="005041FE">
        <w:rPr>
          <w:bCs/>
          <w:szCs w:val="20"/>
        </w:rPr>
        <w:t xml:space="preserve"> is exempt from disallowance under</w:t>
      </w:r>
      <w:r w:rsidR="002858A9">
        <w:rPr>
          <w:bCs/>
          <w:szCs w:val="20"/>
        </w:rPr>
        <w:t xml:space="preserve"> subsection 59(4) of the PGPA Act</w:t>
      </w:r>
      <w:r w:rsidR="004A16E1">
        <w:rPr>
          <w:bCs/>
          <w:szCs w:val="20"/>
        </w:rPr>
        <w:t xml:space="preserve">, a Statement of </w:t>
      </w:r>
      <w:r w:rsidR="00302AC4">
        <w:rPr>
          <w:bCs/>
          <w:szCs w:val="20"/>
        </w:rPr>
        <w:t>Compatibility with Human Rights is not required.</w:t>
      </w:r>
    </w:p>
    <w:p w14:paraId="7EF7D34D" w14:textId="206FE007" w:rsidR="67C9A87A" w:rsidRDefault="67C9A87A" w:rsidP="67C9A87A">
      <w:pPr>
        <w:pStyle w:val="NormalWeb"/>
        <w:spacing w:before="0" w:beforeAutospacing="0" w:after="0" w:afterAutospacing="0"/>
        <w:rPr>
          <w:b/>
          <w:bCs/>
        </w:rPr>
      </w:pPr>
    </w:p>
    <w:p w14:paraId="45904897" w14:textId="671A4E9F" w:rsidR="00E71FFD" w:rsidRPr="00005F9F" w:rsidRDefault="00E71FFD" w:rsidP="000826EC">
      <w:pPr>
        <w:pStyle w:val="NormalWeb"/>
        <w:spacing w:before="0" w:beforeAutospacing="0" w:after="0" w:afterAutospacing="0"/>
        <w:rPr>
          <w:b/>
          <w:szCs w:val="20"/>
        </w:rPr>
      </w:pPr>
      <w:r w:rsidRPr="00005F9F">
        <w:rPr>
          <w:b/>
          <w:szCs w:val="20"/>
        </w:rPr>
        <w:t>Consultation</w:t>
      </w:r>
    </w:p>
    <w:p w14:paraId="79D777C8" w14:textId="77777777" w:rsidR="000826EC" w:rsidRDefault="000826EC" w:rsidP="000826EC">
      <w:pPr>
        <w:pStyle w:val="NormalWeb"/>
        <w:spacing w:before="0" w:beforeAutospacing="0" w:after="0" w:afterAutospacing="0"/>
      </w:pPr>
    </w:p>
    <w:p w14:paraId="210D519D" w14:textId="1CC2D7A4" w:rsidR="001C53D7" w:rsidRDefault="002F7084" w:rsidP="000826EC">
      <w:pPr>
        <w:pStyle w:val="NormalWeb"/>
        <w:spacing w:before="0" w:beforeAutospacing="0" w:after="0" w:afterAutospacing="0"/>
      </w:pPr>
      <w:r>
        <w:t xml:space="preserve">The </w:t>
      </w:r>
      <w:r w:rsidR="00DA71F0">
        <w:t>2024 Authorisation</w:t>
      </w:r>
      <w:r>
        <w:t xml:space="preserve"> </w:t>
      </w:r>
      <w:r w:rsidR="009A163F">
        <w:t>w</w:t>
      </w:r>
      <w:r w:rsidR="005E16CB">
        <w:t>as</w:t>
      </w:r>
      <w:r w:rsidR="009A163F">
        <w:t xml:space="preserve"> developed in consultation with </w:t>
      </w:r>
      <w:r w:rsidR="00142B77">
        <w:t xml:space="preserve">the </w:t>
      </w:r>
      <w:r w:rsidR="002A15B9">
        <w:t xml:space="preserve">Australian Broadcasting Corporation, </w:t>
      </w:r>
      <w:r w:rsidR="00E13C64">
        <w:t>the Export Finance and Insurance Corporation, the Grains Research and Development Corporation</w:t>
      </w:r>
      <w:r w:rsidR="002D5F23">
        <w:t>, the Rural Industries Research and Development Corporation, the Commonwealth Scientific and Industrial Research Organisation</w:t>
      </w:r>
      <w:r w:rsidR="00747EB6">
        <w:t xml:space="preserve">, the Civil Aviation Safety Authority, Australian Hearing Services, the Australian Nuclear Science and Technology </w:t>
      </w:r>
      <w:r w:rsidR="00E121D1">
        <w:t xml:space="preserve">Organisation, Airservices Australia and Housing Australia. </w:t>
      </w:r>
    </w:p>
    <w:p w14:paraId="5D8AD428" w14:textId="77777777" w:rsidR="000826EC" w:rsidRDefault="000826EC" w:rsidP="000826EC">
      <w:pPr>
        <w:pStyle w:val="NormalWeb"/>
        <w:spacing w:before="0" w:beforeAutospacing="0" w:after="0" w:afterAutospacing="0"/>
        <w:rPr>
          <w:szCs w:val="20"/>
        </w:rPr>
      </w:pPr>
    </w:p>
    <w:p w14:paraId="24919BF6" w14:textId="5A1B1F41" w:rsidR="00740B33" w:rsidRDefault="00740B33" w:rsidP="000826EC">
      <w:pPr>
        <w:pStyle w:val="NormalWeb"/>
        <w:spacing w:before="0" w:beforeAutospacing="0" w:after="0" w:afterAutospacing="0"/>
        <w:rPr>
          <w:szCs w:val="20"/>
        </w:rPr>
      </w:pPr>
      <w:r>
        <w:rPr>
          <w:szCs w:val="20"/>
        </w:rPr>
        <w:t xml:space="preserve">The </w:t>
      </w:r>
      <w:r w:rsidR="00DA71F0">
        <w:rPr>
          <w:szCs w:val="20"/>
        </w:rPr>
        <w:t>2024 Authorisation</w:t>
      </w:r>
      <w:r>
        <w:rPr>
          <w:szCs w:val="20"/>
        </w:rPr>
        <w:t xml:space="preserve"> was drafted by the Office of Parliamentary Counsel.</w:t>
      </w:r>
    </w:p>
    <w:p w14:paraId="0E52575C" w14:textId="5E32D976" w:rsidR="00590210" w:rsidRPr="00BF63F7" w:rsidRDefault="00590210" w:rsidP="00BF63F7">
      <w:pPr>
        <w:pageBreakBefore/>
        <w:spacing w:before="240"/>
        <w:jc w:val="right"/>
        <w:rPr>
          <w:b/>
          <w:sz w:val="20"/>
          <w:u w:val="single"/>
        </w:rPr>
      </w:pPr>
      <w:r w:rsidRPr="00BF63F7">
        <w:rPr>
          <w:b/>
          <w:sz w:val="20"/>
          <w:u w:val="single"/>
        </w:rPr>
        <w:lastRenderedPageBreak/>
        <w:t>ATTACHMENT A</w:t>
      </w:r>
    </w:p>
    <w:p w14:paraId="07EE17D4" w14:textId="7A9FCF8F" w:rsidR="00590210" w:rsidRDefault="00590210" w:rsidP="53F40323">
      <w:pPr>
        <w:spacing w:before="240"/>
        <w:ind w:right="91"/>
        <w:rPr>
          <w:b/>
          <w:bCs/>
          <w:u w:val="single"/>
        </w:rPr>
      </w:pPr>
      <w:r w:rsidRPr="53F40323">
        <w:rPr>
          <w:b/>
          <w:bCs/>
          <w:u w:val="single"/>
        </w:rPr>
        <w:t>Details of the</w:t>
      </w:r>
      <w:r w:rsidR="005F07CD" w:rsidRPr="53F40323">
        <w:rPr>
          <w:b/>
          <w:bCs/>
          <w:u w:val="single"/>
        </w:rPr>
        <w:t xml:space="preserve"> </w:t>
      </w:r>
      <w:r w:rsidR="005F07CD" w:rsidRPr="53F40323">
        <w:rPr>
          <w:b/>
          <w:bCs/>
          <w:i/>
          <w:iCs/>
          <w:u w:val="single"/>
        </w:rPr>
        <w:t xml:space="preserve">Public Governance, Performance and Accountability </w:t>
      </w:r>
      <w:r w:rsidR="008B2BFF" w:rsidRPr="53F40323">
        <w:rPr>
          <w:b/>
          <w:bCs/>
          <w:i/>
          <w:iCs/>
          <w:u w:val="single"/>
        </w:rPr>
        <w:t>(Investment</w:t>
      </w:r>
      <w:r w:rsidR="6A53A1FB" w:rsidRPr="53F40323">
        <w:rPr>
          <w:b/>
          <w:bCs/>
          <w:i/>
          <w:iCs/>
          <w:u w:val="single"/>
        </w:rPr>
        <w:t>)</w:t>
      </w:r>
      <w:r w:rsidR="008B2BFF" w:rsidRPr="53F40323">
        <w:rPr>
          <w:b/>
          <w:bCs/>
          <w:i/>
          <w:iCs/>
          <w:u w:val="single"/>
        </w:rPr>
        <w:t xml:space="preserve"> Authorisation</w:t>
      </w:r>
      <w:r w:rsidR="0000780D" w:rsidRPr="53F40323">
        <w:rPr>
          <w:b/>
          <w:bCs/>
          <w:i/>
          <w:iCs/>
          <w:u w:val="single"/>
        </w:rPr>
        <w:t xml:space="preserve"> 2024</w:t>
      </w:r>
    </w:p>
    <w:p w14:paraId="6CD7BD52" w14:textId="62D515B2" w:rsidR="00D52D37" w:rsidRPr="00C10820" w:rsidRDefault="009E28C3" w:rsidP="00C10820">
      <w:pPr>
        <w:spacing w:before="0" w:after="0"/>
        <w:rPr>
          <w:b/>
          <w:sz w:val="22"/>
          <w:szCs w:val="22"/>
          <w:lang w:eastAsia="en-US"/>
        </w:rPr>
      </w:pPr>
      <w:r w:rsidRPr="00C10820">
        <w:rPr>
          <w:b/>
        </w:rPr>
        <w:t>Part 1</w:t>
      </w:r>
      <w:r w:rsidR="00D52D37" w:rsidRPr="00C10820">
        <w:rPr>
          <w:b/>
        </w:rPr>
        <w:t xml:space="preserve"> – </w:t>
      </w:r>
      <w:r w:rsidR="00AE4840" w:rsidRPr="00C10820">
        <w:rPr>
          <w:b/>
        </w:rPr>
        <w:t>Preliminary</w:t>
      </w:r>
    </w:p>
    <w:p w14:paraId="5372E69E" w14:textId="77777777" w:rsidR="00B4347E" w:rsidRPr="00C10820" w:rsidRDefault="00B4347E" w:rsidP="00C10820">
      <w:pPr>
        <w:spacing w:before="0" w:after="0"/>
        <w:rPr>
          <w:b/>
        </w:rPr>
      </w:pPr>
    </w:p>
    <w:p w14:paraId="5414C45B" w14:textId="79A53F1B" w:rsidR="00590210" w:rsidRPr="00C10820" w:rsidRDefault="00590210" w:rsidP="00C10820">
      <w:pPr>
        <w:spacing w:before="0" w:after="0"/>
        <w:rPr>
          <w:b/>
          <w:sz w:val="22"/>
          <w:szCs w:val="22"/>
          <w:lang w:eastAsia="en-US"/>
        </w:rPr>
      </w:pPr>
      <w:r w:rsidRPr="00C10820">
        <w:rPr>
          <w:b/>
        </w:rPr>
        <w:t xml:space="preserve">Section 1 – Name </w:t>
      </w:r>
    </w:p>
    <w:p w14:paraId="58F8F958" w14:textId="77777777" w:rsidR="00B4347E" w:rsidRPr="00C10820" w:rsidRDefault="00B4347E" w:rsidP="00C10820">
      <w:pPr>
        <w:spacing w:before="0" w:after="0"/>
      </w:pPr>
    </w:p>
    <w:p w14:paraId="3BBDB492" w14:textId="7A062651" w:rsidR="00590210" w:rsidRPr="00C10820" w:rsidRDefault="00590210" w:rsidP="00C10820">
      <w:pPr>
        <w:spacing w:before="0" w:after="0"/>
      </w:pPr>
      <w:r w:rsidRPr="00C10820">
        <w:t>This section states that the name of th</w:t>
      </w:r>
      <w:r w:rsidR="005F07CD" w:rsidRPr="00C10820">
        <w:t xml:space="preserve">is instrument </w:t>
      </w:r>
      <w:r w:rsidRPr="00C10820">
        <w:t xml:space="preserve">is </w:t>
      </w:r>
      <w:bookmarkStart w:id="1" w:name="_Hlk129353637"/>
      <w:r w:rsidR="005F07CD" w:rsidRPr="00C10820">
        <w:t xml:space="preserve">the </w:t>
      </w:r>
      <w:r w:rsidR="005F07CD" w:rsidRPr="00C10820">
        <w:rPr>
          <w:i/>
        </w:rPr>
        <w:t xml:space="preserve">Public Governance, Performance and Accountability </w:t>
      </w:r>
      <w:bookmarkEnd w:id="1"/>
      <w:r w:rsidR="009435DB" w:rsidRPr="00C10820">
        <w:rPr>
          <w:i/>
        </w:rPr>
        <w:t xml:space="preserve">(Investment) </w:t>
      </w:r>
      <w:r w:rsidR="00FE7414" w:rsidRPr="00C10820">
        <w:rPr>
          <w:i/>
        </w:rPr>
        <w:t>Authorisation 2024</w:t>
      </w:r>
      <w:r w:rsidR="00651A96" w:rsidRPr="00C10820">
        <w:rPr>
          <w:i/>
        </w:rPr>
        <w:t xml:space="preserve"> </w:t>
      </w:r>
      <w:r w:rsidR="00651A96" w:rsidRPr="00C10820">
        <w:rPr>
          <w:iCs/>
        </w:rPr>
        <w:t>(2024 Authorisation)</w:t>
      </w:r>
      <w:r w:rsidR="00FE7414" w:rsidRPr="00C10820">
        <w:rPr>
          <w:i/>
        </w:rPr>
        <w:t xml:space="preserve">. </w:t>
      </w:r>
      <w:r w:rsidR="009F39BD" w:rsidRPr="00C10820">
        <w:t xml:space="preserve"> </w:t>
      </w:r>
    </w:p>
    <w:p w14:paraId="46277BC3" w14:textId="77777777" w:rsidR="00B4347E" w:rsidRPr="00C10820" w:rsidRDefault="00B4347E" w:rsidP="00C10820">
      <w:pPr>
        <w:spacing w:before="0" w:after="0"/>
        <w:ind w:right="91"/>
        <w:rPr>
          <w:b/>
        </w:rPr>
      </w:pPr>
    </w:p>
    <w:p w14:paraId="77C512E3" w14:textId="628291FD" w:rsidR="00590210" w:rsidRPr="00C10820" w:rsidRDefault="00590210" w:rsidP="00C10820">
      <w:pPr>
        <w:spacing w:before="0" w:after="0"/>
        <w:ind w:right="91"/>
        <w:rPr>
          <w:b/>
        </w:rPr>
      </w:pPr>
      <w:r w:rsidRPr="00C10820">
        <w:rPr>
          <w:b/>
        </w:rPr>
        <w:t>Section 2 – Commencement</w:t>
      </w:r>
    </w:p>
    <w:p w14:paraId="3AB8A18D" w14:textId="77777777" w:rsidR="00B4347E" w:rsidRPr="00C10820" w:rsidRDefault="00B4347E" w:rsidP="00C10820">
      <w:pPr>
        <w:spacing w:before="0" w:after="0"/>
        <w:ind w:right="91"/>
        <w:rPr>
          <w:shd w:val="clear" w:color="auto" w:fill="FFFFFF"/>
        </w:rPr>
      </w:pPr>
    </w:p>
    <w:p w14:paraId="329BE0D4" w14:textId="73C3D468" w:rsidR="00E71FFD" w:rsidRPr="00C10820" w:rsidRDefault="00E71FFD" w:rsidP="00C10820">
      <w:pPr>
        <w:spacing w:before="0" w:after="0"/>
        <w:ind w:right="91"/>
        <w:rPr>
          <w:shd w:val="clear" w:color="auto" w:fill="FFFFFF"/>
          <w:lang w:val="en-US"/>
        </w:rPr>
      </w:pPr>
      <w:r w:rsidRPr="00C10820">
        <w:rPr>
          <w:shd w:val="clear" w:color="auto" w:fill="FFFFFF"/>
        </w:rPr>
        <w:t>This section provides that</w:t>
      </w:r>
      <w:r w:rsidR="00D64062" w:rsidRPr="00C10820">
        <w:rPr>
          <w:shd w:val="clear" w:color="auto" w:fill="FFFFFF"/>
        </w:rPr>
        <w:t xml:space="preserve"> </w:t>
      </w:r>
      <w:r w:rsidR="00884705" w:rsidRPr="00C10820">
        <w:rPr>
          <w:shd w:val="clear" w:color="auto" w:fill="FFFFFF"/>
        </w:rPr>
        <w:t>the whole of the instrument</w:t>
      </w:r>
      <w:r w:rsidR="005F07CD" w:rsidRPr="00C10820">
        <w:rPr>
          <w:shd w:val="clear" w:color="auto" w:fill="FFFFFF"/>
        </w:rPr>
        <w:t xml:space="preserve"> </w:t>
      </w:r>
      <w:r w:rsidRPr="00C10820">
        <w:rPr>
          <w:shd w:val="clear" w:color="auto" w:fill="FFFFFF"/>
          <w:lang w:val="en-US"/>
        </w:rPr>
        <w:t>commence</w:t>
      </w:r>
      <w:r w:rsidR="00884705" w:rsidRPr="00C10820">
        <w:rPr>
          <w:shd w:val="clear" w:color="auto" w:fill="FFFFFF"/>
          <w:lang w:val="en-US"/>
        </w:rPr>
        <w:t>s</w:t>
      </w:r>
      <w:r w:rsidRPr="00C10820">
        <w:rPr>
          <w:shd w:val="clear" w:color="auto" w:fill="FFFFFF"/>
          <w:lang w:val="en-US"/>
        </w:rPr>
        <w:t xml:space="preserve"> </w:t>
      </w:r>
      <w:r w:rsidR="00AD7D93" w:rsidRPr="00C10820">
        <w:rPr>
          <w:shd w:val="clear" w:color="auto" w:fill="FFFFFF"/>
          <w:lang w:val="en-US"/>
        </w:rPr>
        <w:t>the day after registration</w:t>
      </w:r>
      <w:r w:rsidR="005F07CD" w:rsidRPr="00C10820">
        <w:rPr>
          <w:shd w:val="clear" w:color="auto" w:fill="FFFFFF"/>
          <w:lang w:val="en-US"/>
        </w:rPr>
        <w:t xml:space="preserve">. </w:t>
      </w:r>
    </w:p>
    <w:p w14:paraId="0B4046B2" w14:textId="77777777" w:rsidR="00B4347E" w:rsidRPr="00C10820" w:rsidRDefault="00B4347E" w:rsidP="00C10820">
      <w:pPr>
        <w:spacing w:before="0" w:after="0"/>
        <w:ind w:right="91"/>
        <w:rPr>
          <w:b/>
        </w:rPr>
      </w:pPr>
    </w:p>
    <w:p w14:paraId="6A42BA2D" w14:textId="581A7D28" w:rsidR="00590210" w:rsidRPr="00C10820" w:rsidRDefault="00590210" w:rsidP="00C10820">
      <w:pPr>
        <w:spacing w:before="0" w:after="0"/>
        <w:ind w:right="91"/>
        <w:rPr>
          <w:b/>
        </w:rPr>
      </w:pPr>
      <w:r w:rsidRPr="00C10820">
        <w:rPr>
          <w:b/>
        </w:rPr>
        <w:t>Section 3 – Authority</w:t>
      </w:r>
    </w:p>
    <w:p w14:paraId="51F361B3" w14:textId="77777777" w:rsidR="00B4347E" w:rsidRPr="00C10820" w:rsidRDefault="00B4347E" w:rsidP="00C10820">
      <w:pPr>
        <w:tabs>
          <w:tab w:val="left" w:pos="1418"/>
        </w:tabs>
        <w:spacing w:before="0" w:after="0"/>
        <w:rPr>
          <w:color w:val="000000"/>
          <w:shd w:val="clear" w:color="auto" w:fill="FFFFFF"/>
        </w:rPr>
      </w:pPr>
    </w:p>
    <w:p w14:paraId="6D6993EF" w14:textId="3BE4C201" w:rsidR="00E71FFD" w:rsidRPr="00C10820" w:rsidRDefault="00E71FFD" w:rsidP="00C10820">
      <w:pPr>
        <w:tabs>
          <w:tab w:val="left" w:pos="1418"/>
        </w:tabs>
        <w:spacing w:before="0" w:after="0"/>
        <w:rPr>
          <w:i/>
        </w:rPr>
      </w:pPr>
      <w:r w:rsidRPr="00C10820">
        <w:rPr>
          <w:color w:val="000000"/>
          <w:shd w:val="clear" w:color="auto" w:fill="FFFFFF"/>
        </w:rPr>
        <w:t xml:space="preserve">This section </w:t>
      </w:r>
      <w:r w:rsidR="00381F46" w:rsidRPr="00C10820">
        <w:rPr>
          <w:color w:val="000000"/>
          <w:shd w:val="clear" w:color="auto" w:fill="FFFFFF"/>
        </w:rPr>
        <w:t>provides that this instrument is made under</w:t>
      </w:r>
      <w:r w:rsidR="00CE1785" w:rsidRPr="00C10820">
        <w:rPr>
          <w:color w:val="000000"/>
          <w:shd w:val="clear" w:color="auto" w:fill="FFFFFF"/>
        </w:rPr>
        <w:t xml:space="preserve"> subparagraph </w:t>
      </w:r>
      <w:r w:rsidR="005F67EF" w:rsidRPr="00C10820">
        <w:rPr>
          <w:color w:val="000000"/>
          <w:shd w:val="clear" w:color="auto" w:fill="FFFFFF"/>
        </w:rPr>
        <w:t>59(1)(b)(iii) of</w:t>
      </w:r>
      <w:r w:rsidR="00381F46" w:rsidRPr="00C10820">
        <w:rPr>
          <w:color w:val="000000"/>
          <w:shd w:val="clear" w:color="auto" w:fill="FFFFFF"/>
        </w:rPr>
        <w:t xml:space="preserve"> the </w:t>
      </w:r>
      <w:r w:rsidRPr="00C10820">
        <w:rPr>
          <w:i/>
        </w:rPr>
        <w:t xml:space="preserve">Public Governance, Performance and Accountability </w:t>
      </w:r>
      <w:r w:rsidR="00381F46" w:rsidRPr="00C10820">
        <w:rPr>
          <w:i/>
        </w:rPr>
        <w:t>Act</w:t>
      </w:r>
      <w:r w:rsidR="00884705" w:rsidRPr="00C10820">
        <w:rPr>
          <w:i/>
        </w:rPr>
        <w:t xml:space="preserve"> 2013</w:t>
      </w:r>
      <w:r w:rsidR="00381F46" w:rsidRPr="00C10820">
        <w:rPr>
          <w:i/>
        </w:rPr>
        <w:t xml:space="preserve"> </w:t>
      </w:r>
      <w:r w:rsidR="00381F46" w:rsidRPr="00C10820">
        <w:t>(PGPA Act).</w:t>
      </w:r>
      <w:r w:rsidR="00381F46" w:rsidRPr="00C10820">
        <w:rPr>
          <w:i/>
        </w:rPr>
        <w:t xml:space="preserve"> </w:t>
      </w:r>
    </w:p>
    <w:p w14:paraId="4412A175" w14:textId="77777777" w:rsidR="00B4347E" w:rsidRPr="00C10820" w:rsidRDefault="00B4347E" w:rsidP="00C10820">
      <w:pPr>
        <w:spacing w:before="0" w:after="0"/>
        <w:ind w:right="91"/>
        <w:rPr>
          <w:b/>
        </w:rPr>
      </w:pPr>
    </w:p>
    <w:p w14:paraId="732C17D4" w14:textId="00F7F8DB" w:rsidR="00B90EB4" w:rsidRPr="00C10820" w:rsidRDefault="007F099D" w:rsidP="00C10820">
      <w:pPr>
        <w:spacing w:before="0" w:after="0"/>
        <w:ind w:right="91"/>
        <w:rPr>
          <w:b/>
        </w:rPr>
      </w:pPr>
      <w:r w:rsidRPr="00C10820">
        <w:rPr>
          <w:b/>
        </w:rPr>
        <w:t>Section 4 – Schedules</w:t>
      </w:r>
    </w:p>
    <w:p w14:paraId="4752F0F4" w14:textId="77777777" w:rsidR="00B4347E" w:rsidRPr="00C10820" w:rsidRDefault="00B4347E" w:rsidP="00C10820">
      <w:pPr>
        <w:shd w:val="clear" w:color="auto" w:fill="FFFFFF"/>
        <w:spacing w:before="0" w:after="0"/>
        <w:rPr>
          <w:color w:val="000000"/>
          <w:szCs w:val="24"/>
        </w:rPr>
      </w:pPr>
    </w:p>
    <w:p w14:paraId="7D9B0AB6" w14:textId="19C8CC51" w:rsidR="00B90EB4" w:rsidRPr="00C10820" w:rsidRDefault="00B90EB4" w:rsidP="00C10820">
      <w:pPr>
        <w:shd w:val="clear" w:color="auto" w:fill="FFFFFF"/>
        <w:spacing w:before="0" w:after="0"/>
        <w:rPr>
          <w:color w:val="000000"/>
          <w:szCs w:val="24"/>
        </w:rPr>
      </w:pPr>
      <w:r w:rsidRPr="00C10820">
        <w:rPr>
          <w:color w:val="000000"/>
          <w:szCs w:val="24"/>
        </w:rPr>
        <w:t xml:space="preserve">This section provides that </w:t>
      </w:r>
      <w:r w:rsidR="002F1ADA" w:rsidRPr="00C10820">
        <w:rPr>
          <w:color w:val="000000"/>
          <w:szCs w:val="24"/>
        </w:rPr>
        <w:t xml:space="preserve">each instrument </w:t>
      </w:r>
      <w:r w:rsidR="00485DF4" w:rsidRPr="00C10820">
        <w:rPr>
          <w:color w:val="000000"/>
          <w:szCs w:val="24"/>
        </w:rPr>
        <w:t>that is specified</w:t>
      </w:r>
      <w:r w:rsidR="002F1ADA" w:rsidRPr="00C10820">
        <w:rPr>
          <w:color w:val="000000"/>
          <w:szCs w:val="24"/>
        </w:rPr>
        <w:t xml:space="preserve"> </w:t>
      </w:r>
      <w:r w:rsidR="00D44791" w:rsidRPr="00C10820">
        <w:rPr>
          <w:color w:val="000000"/>
          <w:szCs w:val="24"/>
        </w:rPr>
        <w:t xml:space="preserve">in a </w:t>
      </w:r>
      <w:r w:rsidR="00485DF4" w:rsidRPr="00C10820">
        <w:rPr>
          <w:color w:val="000000"/>
          <w:szCs w:val="24"/>
        </w:rPr>
        <w:t>S</w:t>
      </w:r>
      <w:r w:rsidR="00D44791" w:rsidRPr="00C10820">
        <w:rPr>
          <w:color w:val="000000"/>
          <w:szCs w:val="24"/>
        </w:rPr>
        <w:t>chedule to this instrument is amended or repealed as set out in the applicable items in the Schedule concerned</w:t>
      </w:r>
      <w:r w:rsidR="000967EC" w:rsidRPr="00C10820">
        <w:rPr>
          <w:color w:val="000000"/>
          <w:szCs w:val="24"/>
        </w:rPr>
        <w:t xml:space="preserve">, and any other item in a Schedule to this instrument has effect according to its terms. </w:t>
      </w:r>
    </w:p>
    <w:p w14:paraId="01CAE708" w14:textId="77777777" w:rsidR="00C10820" w:rsidRDefault="00C10820" w:rsidP="00C10820">
      <w:pPr>
        <w:spacing w:before="0" w:after="0"/>
        <w:ind w:right="91"/>
        <w:rPr>
          <w:b/>
          <w:bCs/>
        </w:rPr>
      </w:pPr>
    </w:p>
    <w:p w14:paraId="3F5B03F2" w14:textId="3F2B78ED" w:rsidR="007F099D" w:rsidRPr="00C10820" w:rsidRDefault="007F099D" w:rsidP="00C10820">
      <w:pPr>
        <w:spacing w:before="0" w:after="0"/>
        <w:ind w:right="91"/>
        <w:rPr>
          <w:b/>
          <w:bCs/>
        </w:rPr>
      </w:pPr>
      <w:r w:rsidRPr="00C10820">
        <w:rPr>
          <w:b/>
          <w:bCs/>
        </w:rPr>
        <w:t xml:space="preserve">Section </w:t>
      </w:r>
      <w:r w:rsidR="78A819E0" w:rsidRPr="00C10820">
        <w:rPr>
          <w:b/>
          <w:bCs/>
        </w:rPr>
        <w:t>5</w:t>
      </w:r>
      <w:r w:rsidRPr="00C10820">
        <w:rPr>
          <w:b/>
          <w:bCs/>
        </w:rPr>
        <w:t xml:space="preserve"> – Definitions</w:t>
      </w:r>
    </w:p>
    <w:p w14:paraId="7CC178C3" w14:textId="77777777" w:rsidR="003B4F91" w:rsidRPr="00C10820" w:rsidRDefault="003B4F91" w:rsidP="00C10820">
      <w:pPr>
        <w:spacing w:before="0" w:after="0"/>
        <w:ind w:right="91"/>
        <w:rPr>
          <w:b/>
        </w:rPr>
      </w:pPr>
    </w:p>
    <w:p w14:paraId="1F7E965E" w14:textId="2CACD058" w:rsidR="00DF2478" w:rsidRPr="00C10820" w:rsidRDefault="00A279CC" w:rsidP="00C10820">
      <w:pPr>
        <w:spacing w:before="0" w:after="0"/>
        <w:ind w:right="91"/>
        <w:rPr>
          <w:b/>
        </w:rPr>
      </w:pPr>
      <w:r w:rsidRPr="00C10820">
        <w:rPr>
          <w:b/>
        </w:rPr>
        <w:t>approved bank</w:t>
      </w:r>
    </w:p>
    <w:p w14:paraId="11D4A68C" w14:textId="3FBFFC51" w:rsidR="00485DF4" w:rsidRPr="00C10820" w:rsidRDefault="00D5526F" w:rsidP="00C10820">
      <w:pPr>
        <w:shd w:val="clear" w:color="auto" w:fill="FFFFFF"/>
        <w:spacing w:before="0" w:after="0"/>
        <w:rPr>
          <w:color w:val="000000"/>
          <w:szCs w:val="24"/>
        </w:rPr>
      </w:pPr>
      <w:r w:rsidRPr="00C10820">
        <w:rPr>
          <w:color w:val="000000"/>
          <w:szCs w:val="24"/>
        </w:rPr>
        <w:t xml:space="preserve">‘Approved bank’ is defined </w:t>
      </w:r>
      <w:r w:rsidR="00BB694F">
        <w:rPr>
          <w:color w:val="000000"/>
          <w:szCs w:val="24"/>
        </w:rPr>
        <w:t>in the instrument</w:t>
      </w:r>
      <w:r w:rsidRPr="00C10820">
        <w:rPr>
          <w:color w:val="000000"/>
          <w:szCs w:val="24"/>
        </w:rPr>
        <w:t xml:space="preserve"> </w:t>
      </w:r>
      <w:r w:rsidR="001B0BF0" w:rsidRPr="00C10820">
        <w:rPr>
          <w:color w:val="000000"/>
          <w:szCs w:val="24"/>
        </w:rPr>
        <w:t>as a person that carries on the business of banking in Australia the operations of which are subject to prudential supervision or regulation</w:t>
      </w:r>
      <w:r w:rsidR="008B10EE" w:rsidRPr="00C10820">
        <w:rPr>
          <w:color w:val="000000"/>
          <w:szCs w:val="24"/>
        </w:rPr>
        <w:t>, under a law of the Commonwealth, a State or a Territory and the business of which has a Standard and Poor’s long</w:t>
      </w:r>
      <w:r w:rsidR="00A97408" w:rsidRPr="00C10820">
        <w:rPr>
          <w:color w:val="000000"/>
          <w:szCs w:val="24"/>
        </w:rPr>
        <w:t>-term rating of:</w:t>
      </w:r>
    </w:p>
    <w:p w14:paraId="359F7118" w14:textId="7BC5CE5E" w:rsidR="00E4014D" w:rsidRPr="00C10820" w:rsidRDefault="0070323A" w:rsidP="00C10820">
      <w:pPr>
        <w:pStyle w:val="paragraphsub"/>
        <w:numPr>
          <w:ilvl w:val="0"/>
          <w:numId w:val="13"/>
        </w:numPr>
        <w:spacing w:before="0"/>
        <w:rPr>
          <w:sz w:val="24"/>
          <w:szCs w:val="24"/>
        </w:rPr>
      </w:pPr>
      <w:r w:rsidRPr="00C10820">
        <w:rPr>
          <w:color w:val="000000"/>
          <w:sz w:val="24"/>
          <w:szCs w:val="24"/>
        </w:rPr>
        <w:t xml:space="preserve">for a Part </w:t>
      </w:r>
      <w:r w:rsidR="00D44AB3" w:rsidRPr="00C10820">
        <w:rPr>
          <w:color w:val="000000"/>
          <w:sz w:val="24"/>
          <w:szCs w:val="24"/>
        </w:rPr>
        <w:t>other than Part 3</w:t>
      </w:r>
      <w:r w:rsidR="005C3751" w:rsidRPr="00C10820">
        <w:rPr>
          <w:color w:val="000000"/>
          <w:sz w:val="24"/>
          <w:szCs w:val="24"/>
        </w:rPr>
        <w:t xml:space="preserve"> (Export Finance and Insurance Corporation)</w:t>
      </w:r>
      <w:r w:rsidR="00D44AB3" w:rsidRPr="00C10820">
        <w:rPr>
          <w:color w:val="000000"/>
          <w:sz w:val="24"/>
          <w:szCs w:val="24"/>
        </w:rPr>
        <w:t xml:space="preserve"> of the 2024 Authorisation</w:t>
      </w:r>
      <w:r w:rsidR="00E4014D" w:rsidRPr="00C10820">
        <w:rPr>
          <w:sz w:val="24"/>
          <w:szCs w:val="24"/>
        </w:rPr>
        <w:t>—A</w:t>
      </w:r>
      <w:r w:rsidR="00E4014D" w:rsidRPr="00C10820">
        <w:rPr>
          <w:sz w:val="24"/>
          <w:szCs w:val="24"/>
        </w:rPr>
        <w:noBreakHyphen/>
        <w:t xml:space="preserve"> (or the Moody’s or Fitch’s equivalent) or better; and</w:t>
      </w:r>
    </w:p>
    <w:p w14:paraId="08EEC8C9" w14:textId="359D630D" w:rsidR="00B20467" w:rsidRPr="00C10820" w:rsidRDefault="0070323A" w:rsidP="00C10820">
      <w:pPr>
        <w:pStyle w:val="ListParagraph"/>
        <w:numPr>
          <w:ilvl w:val="0"/>
          <w:numId w:val="13"/>
        </w:numPr>
        <w:shd w:val="clear" w:color="auto" w:fill="FFFFFF"/>
        <w:spacing w:before="0" w:after="0"/>
        <w:rPr>
          <w:color w:val="000000"/>
          <w:szCs w:val="24"/>
        </w:rPr>
      </w:pPr>
      <w:r w:rsidRPr="00C10820">
        <w:rPr>
          <w:color w:val="000000"/>
          <w:szCs w:val="24"/>
        </w:rPr>
        <w:t xml:space="preserve"> </w:t>
      </w:r>
      <w:r w:rsidR="0046444B" w:rsidRPr="00C10820">
        <w:t>for Part 3—BBB</w:t>
      </w:r>
      <w:r w:rsidR="0046444B" w:rsidRPr="00C10820">
        <w:noBreakHyphen/>
        <w:t xml:space="preserve"> (or the Moody’s or Fitch’s equivalent) or better.</w:t>
      </w:r>
    </w:p>
    <w:p w14:paraId="2BD7A907" w14:textId="77777777" w:rsidR="003364CA" w:rsidRPr="00C10820" w:rsidRDefault="003364CA" w:rsidP="00C10820">
      <w:pPr>
        <w:shd w:val="clear" w:color="auto" w:fill="FFFFFF"/>
        <w:spacing w:before="0" w:after="0"/>
        <w:rPr>
          <w:color w:val="000000"/>
          <w:szCs w:val="24"/>
        </w:rPr>
      </w:pPr>
    </w:p>
    <w:p w14:paraId="7E877BBA" w14:textId="1C15B094" w:rsidR="00B61BD8" w:rsidRPr="00C10820" w:rsidRDefault="00A6455C" w:rsidP="00C10820">
      <w:pPr>
        <w:shd w:val="clear" w:color="auto" w:fill="FFFFFF"/>
        <w:spacing w:before="0" w:after="0"/>
        <w:rPr>
          <w:color w:val="000000"/>
          <w:szCs w:val="24"/>
        </w:rPr>
      </w:pPr>
      <w:r w:rsidRPr="00C10820">
        <w:rPr>
          <w:color w:val="000000"/>
          <w:szCs w:val="24"/>
        </w:rPr>
        <w:t>Standard and Poor’s</w:t>
      </w:r>
      <w:r w:rsidR="006302E6">
        <w:rPr>
          <w:color w:val="000000"/>
          <w:szCs w:val="24"/>
        </w:rPr>
        <w:t xml:space="preserve"> is a </w:t>
      </w:r>
      <w:r w:rsidRPr="00C10820">
        <w:rPr>
          <w:color w:val="000000"/>
          <w:szCs w:val="24"/>
        </w:rPr>
        <w:t xml:space="preserve">private </w:t>
      </w:r>
      <w:r w:rsidR="00207A14" w:rsidRPr="00C10820">
        <w:rPr>
          <w:color w:val="000000"/>
          <w:szCs w:val="24"/>
        </w:rPr>
        <w:t xml:space="preserve">credit rating agency </w:t>
      </w:r>
      <w:r w:rsidR="007077DA" w:rsidRPr="00C10820">
        <w:rPr>
          <w:color w:val="000000"/>
          <w:szCs w:val="24"/>
        </w:rPr>
        <w:t xml:space="preserve">that issues credit </w:t>
      </w:r>
      <w:r w:rsidR="00581FA6" w:rsidRPr="00C10820">
        <w:rPr>
          <w:color w:val="000000"/>
          <w:szCs w:val="24"/>
        </w:rPr>
        <w:t>ratings</w:t>
      </w:r>
      <w:r w:rsidR="000508AD">
        <w:rPr>
          <w:color w:val="000000"/>
          <w:szCs w:val="24"/>
        </w:rPr>
        <w:t xml:space="preserve"> to companies</w:t>
      </w:r>
      <w:r w:rsidR="00E11002">
        <w:rPr>
          <w:color w:val="000000"/>
          <w:szCs w:val="24"/>
        </w:rPr>
        <w:t xml:space="preserve"> and</w:t>
      </w:r>
      <w:r w:rsidR="002B5080">
        <w:rPr>
          <w:color w:val="000000"/>
          <w:szCs w:val="24"/>
        </w:rPr>
        <w:t xml:space="preserve"> </w:t>
      </w:r>
      <w:r w:rsidR="000508AD">
        <w:rPr>
          <w:color w:val="000000"/>
          <w:szCs w:val="24"/>
        </w:rPr>
        <w:t>countries</w:t>
      </w:r>
      <w:r w:rsidR="00CD106E">
        <w:rPr>
          <w:color w:val="000000"/>
          <w:szCs w:val="24"/>
        </w:rPr>
        <w:t xml:space="preserve"> </w:t>
      </w:r>
      <w:r w:rsidR="00EB1032">
        <w:rPr>
          <w:color w:val="000000"/>
          <w:szCs w:val="24"/>
        </w:rPr>
        <w:t>(</w:t>
      </w:r>
      <w:r w:rsidR="00CD106E">
        <w:rPr>
          <w:color w:val="000000"/>
          <w:szCs w:val="24"/>
        </w:rPr>
        <w:t>and the debt</w:t>
      </w:r>
      <w:r w:rsidR="0051678C">
        <w:rPr>
          <w:color w:val="000000"/>
          <w:szCs w:val="24"/>
        </w:rPr>
        <w:t xml:space="preserve"> they issue</w:t>
      </w:r>
      <w:r w:rsidR="00567335">
        <w:rPr>
          <w:color w:val="000000"/>
          <w:szCs w:val="24"/>
        </w:rPr>
        <w:t>)</w:t>
      </w:r>
      <w:r w:rsidR="00BD15DB">
        <w:rPr>
          <w:color w:val="000000"/>
          <w:szCs w:val="24"/>
        </w:rPr>
        <w:t xml:space="preserve"> on a scale of AAA to D</w:t>
      </w:r>
      <w:r w:rsidR="007F1FCF">
        <w:rPr>
          <w:color w:val="000000"/>
          <w:szCs w:val="24"/>
        </w:rPr>
        <w:t>, indicating their degree of investment risk</w:t>
      </w:r>
      <w:r w:rsidR="00581FA6" w:rsidRPr="00C10820">
        <w:rPr>
          <w:color w:val="000000"/>
          <w:szCs w:val="24"/>
        </w:rPr>
        <w:t>.</w:t>
      </w:r>
      <w:r w:rsidR="00C822D4">
        <w:rPr>
          <w:color w:val="000000"/>
          <w:szCs w:val="24"/>
        </w:rPr>
        <w:t xml:space="preserve"> Definitions for Standard and Poor’s credit ratings can be found on their website. </w:t>
      </w:r>
      <w:r w:rsidR="005A0932" w:rsidRPr="00C10820">
        <w:rPr>
          <w:color w:val="000000"/>
          <w:szCs w:val="24"/>
        </w:rPr>
        <w:t xml:space="preserve">Fitch and Moody’s are </w:t>
      </w:r>
      <w:r w:rsidR="00363058" w:rsidRPr="00C10820">
        <w:rPr>
          <w:color w:val="000000"/>
          <w:szCs w:val="24"/>
        </w:rPr>
        <w:t xml:space="preserve">also private credit rating agencies that issue credit ratings. </w:t>
      </w:r>
      <w:r w:rsidR="00556AEE">
        <w:rPr>
          <w:color w:val="000000"/>
          <w:szCs w:val="24"/>
        </w:rPr>
        <w:t xml:space="preserve">Definitions for Fitch and Moody’s </w:t>
      </w:r>
      <w:r w:rsidR="00A221B5">
        <w:rPr>
          <w:color w:val="000000"/>
          <w:szCs w:val="24"/>
        </w:rPr>
        <w:t xml:space="preserve">credit ratings can be found on their respective websites. </w:t>
      </w:r>
    </w:p>
    <w:p w14:paraId="55E0D088" w14:textId="77777777" w:rsidR="003B4F91" w:rsidRDefault="003B4F91" w:rsidP="00C10820">
      <w:pPr>
        <w:spacing w:before="0" w:after="0"/>
        <w:ind w:right="91"/>
        <w:rPr>
          <w:b/>
        </w:rPr>
      </w:pPr>
    </w:p>
    <w:p w14:paraId="1220E1C7" w14:textId="77777777" w:rsidR="00A221B5" w:rsidRDefault="00A221B5" w:rsidP="00C10820">
      <w:pPr>
        <w:spacing w:before="0" w:after="0"/>
        <w:ind w:right="91"/>
        <w:rPr>
          <w:b/>
        </w:rPr>
      </w:pPr>
    </w:p>
    <w:p w14:paraId="2C9596BA" w14:textId="77777777" w:rsidR="00A221B5" w:rsidRDefault="00A221B5" w:rsidP="00C10820">
      <w:pPr>
        <w:spacing w:before="0" w:after="0"/>
        <w:ind w:right="91"/>
        <w:rPr>
          <w:b/>
        </w:rPr>
      </w:pPr>
    </w:p>
    <w:p w14:paraId="5F5DAB03" w14:textId="77777777" w:rsidR="00A221B5" w:rsidRPr="00C10820" w:rsidRDefault="00A221B5" w:rsidP="00C10820">
      <w:pPr>
        <w:spacing w:before="0" w:after="0"/>
        <w:ind w:right="91"/>
        <w:rPr>
          <w:b/>
        </w:rPr>
      </w:pPr>
    </w:p>
    <w:p w14:paraId="4D84175E" w14:textId="4D6279A0" w:rsidR="00CA1F6D" w:rsidRPr="00C10820" w:rsidRDefault="007A0529" w:rsidP="00C10820">
      <w:pPr>
        <w:spacing w:before="0" w:after="0"/>
        <w:ind w:right="91"/>
        <w:rPr>
          <w:b/>
        </w:rPr>
      </w:pPr>
      <w:r w:rsidRPr="00C10820">
        <w:rPr>
          <w:b/>
        </w:rPr>
        <w:lastRenderedPageBreak/>
        <w:t>a</w:t>
      </w:r>
      <w:r w:rsidR="00CA1F6D" w:rsidRPr="00C10820">
        <w:rPr>
          <w:b/>
        </w:rPr>
        <w:t>pproved</w:t>
      </w:r>
      <w:r w:rsidR="004C48F9" w:rsidRPr="00C10820">
        <w:rPr>
          <w:b/>
        </w:rPr>
        <w:t xml:space="preserve"> entity</w:t>
      </w:r>
    </w:p>
    <w:p w14:paraId="7A56125C" w14:textId="260E3DC6" w:rsidR="00CA1F6D" w:rsidRPr="00C10820" w:rsidRDefault="00CA1F6D" w:rsidP="00C10820">
      <w:pPr>
        <w:shd w:val="clear" w:color="auto" w:fill="FFFFFF"/>
        <w:spacing w:before="0" w:after="0"/>
        <w:rPr>
          <w:color w:val="000000"/>
          <w:szCs w:val="24"/>
        </w:rPr>
      </w:pPr>
      <w:r w:rsidRPr="00C10820">
        <w:rPr>
          <w:color w:val="000000"/>
          <w:szCs w:val="24"/>
        </w:rPr>
        <w:t xml:space="preserve">‘Approved </w:t>
      </w:r>
      <w:r w:rsidR="003013E1" w:rsidRPr="00C10820">
        <w:rPr>
          <w:color w:val="000000"/>
          <w:szCs w:val="24"/>
        </w:rPr>
        <w:t>entity</w:t>
      </w:r>
      <w:r w:rsidRPr="00C10820">
        <w:rPr>
          <w:color w:val="000000"/>
          <w:szCs w:val="24"/>
        </w:rPr>
        <w:t xml:space="preserve">’ </w:t>
      </w:r>
      <w:r w:rsidR="003013E1" w:rsidRPr="00C10820">
        <w:rPr>
          <w:color w:val="000000"/>
          <w:szCs w:val="24"/>
        </w:rPr>
        <w:t xml:space="preserve">is defined </w:t>
      </w:r>
      <w:r w:rsidR="00BB694F">
        <w:rPr>
          <w:color w:val="000000"/>
          <w:szCs w:val="24"/>
        </w:rPr>
        <w:t>in the instrument</w:t>
      </w:r>
      <w:r w:rsidR="003013E1" w:rsidRPr="00C10820">
        <w:rPr>
          <w:color w:val="000000"/>
          <w:szCs w:val="24"/>
        </w:rPr>
        <w:t xml:space="preserve"> as an entity </w:t>
      </w:r>
      <w:r w:rsidR="002F3EDD" w:rsidRPr="00C10820">
        <w:rPr>
          <w:color w:val="000000"/>
          <w:szCs w:val="24"/>
        </w:rPr>
        <w:t>that operates inside or outside Australia and has a Standard and Poor’s l</w:t>
      </w:r>
      <w:r w:rsidR="00953C91" w:rsidRPr="00C10820">
        <w:rPr>
          <w:color w:val="000000"/>
          <w:szCs w:val="24"/>
        </w:rPr>
        <w:t>ong-term rating of AA-</w:t>
      </w:r>
      <w:r w:rsidR="009F6071" w:rsidRPr="00C10820">
        <w:rPr>
          <w:color w:val="000000"/>
          <w:szCs w:val="24"/>
        </w:rPr>
        <w:t xml:space="preserve"> (</w:t>
      </w:r>
      <w:r w:rsidR="006473A7" w:rsidRPr="00C10820">
        <w:rPr>
          <w:color w:val="000000"/>
          <w:szCs w:val="24"/>
        </w:rPr>
        <w:t xml:space="preserve">or the </w:t>
      </w:r>
      <w:r w:rsidR="00567C5D" w:rsidRPr="00C10820">
        <w:rPr>
          <w:color w:val="000000"/>
          <w:szCs w:val="24"/>
        </w:rPr>
        <w:t>M</w:t>
      </w:r>
      <w:r w:rsidR="006473A7" w:rsidRPr="00C10820">
        <w:rPr>
          <w:color w:val="000000"/>
          <w:szCs w:val="24"/>
        </w:rPr>
        <w:t>oody’</w:t>
      </w:r>
      <w:r w:rsidR="00E52C0C" w:rsidRPr="00C10820">
        <w:rPr>
          <w:color w:val="000000"/>
          <w:szCs w:val="24"/>
        </w:rPr>
        <w:t>s</w:t>
      </w:r>
      <w:r w:rsidR="006473A7" w:rsidRPr="00C10820">
        <w:rPr>
          <w:color w:val="000000"/>
          <w:szCs w:val="24"/>
        </w:rPr>
        <w:t xml:space="preserve"> or Fitch’s equivalent) or better</w:t>
      </w:r>
      <w:r w:rsidR="007A0529" w:rsidRPr="00C10820">
        <w:rPr>
          <w:color w:val="000000"/>
          <w:szCs w:val="24"/>
        </w:rPr>
        <w:t>.</w:t>
      </w:r>
    </w:p>
    <w:p w14:paraId="09F31467" w14:textId="77777777" w:rsidR="003B4F91" w:rsidRPr="00C10820" w:rsidRDefault="003B4F91" w:rsidP="00C10820">
      <w:pPr>
        <w:spacing w:before="0" w:after="0"/>
        <w:ind w:right="91"/>
        <w:rPr>
          <w:b/>
        </w:rPr>
      </w:pPr>
    </w:p>
    <w:p w14:paraId="3EEE1B6E" w14:textId="07635CFD" w:rsidR="007A0529" w:rsidRPr="00C10820" w:rsidRDefault="003A100A" w:rsidP="00C10820">
      <w:pPr>
        <w:spacing w:before="0" w:after="0"/>
        <w:ind w:right="91"/>
        <w:rPr>
          <w:b/>
        </w:rPr>
      </w:pPr>
      <w:r w:rsidRPr="00C10820">
        <w:rPr>
          <w:b/>
        </w:rPr>
        <w:t>d</w:t>
      </w:r>
      <w:r w:rsidR="007A0529" w:rsidRPr="00C10820">
        <w:rPr>
          <w:b/>
        </w:rPr>
        <w:t>ematerialised security</w:t>
      </w:r>
    </w:p>
    <w:p w14:paraId="4F9F245A" w14:textId="28BD05AA" w:rsidR="007A0529" w:rsidRPr="00C10820" w:rsidRDefault="008A7545" w:rsidP="00C10820">
      <w:pPr>
        <w:shd w:val="clear" w:color="auto" w:fill="FFFFFF"/>
        <w:spacing w:before="0" w:after="0"/>
        <w:rPr>
          <w:color w:val="000000"/>
          <w:szCs w:val="24"/>
        </w:rPr>
      </w:pPr>
      <w:r>
        <w:rPr>
          <w:color w:val="000000"/>
          <w:szCs w:val="24"/>
        </w:rPr>
        <w:t xml:space="preserve">‘Dematerialised security’ is defined </w:t>
      </w:r>
      <w:r w:rsidR="00BB694F">
        <w:rPr>
          <w:color w:val="000000"/>
          <w:szCs w:val="24"/>
        </w:rPr>
        <w:t xml:space="preserve">in the instrument </w:t>
      </w:r>
      <w:r>
        <w:rPr>
          <w:color w:val="000000"/>
          <w:szCs w:val="24"/>
        </w:rPr>
        <w:t>as a security that is deposited in the Austracl</w:t>
      </w:r>
      <w:r w:rsidR="00BB694F">
        <w:rPr>
          <w:color w:val="000000"/>
          <w:szCs w:val="24"/>
        </w:rPr>
        <w:t>e</w:t>
      </w:r>
      <w:r>
        <w:rPr>
          <w:color w:val="000000"/>
          <w:szCs w:val="24"/>
        </w:rPr>
        <w:t xml:space="preserve">ar system. </w:t>
      </w:r>
      <w:r w:rsidR="00297E74" w:rsidRPr="00C10820">
        <w:rPr>
          <w:color w:val="000000"/>
          <w:szCs w:val="24"/>
        </w:rPr>
        <w:t xml:space="preserve">Dematerialised securities are securities that exist (i.e are created, registered and traded) only in electronic form. Austraclear, Australia’s major central debt registry and settlement facility, introduced dematerialised securities in 1999 and since 2002, the Commonwealth has issued all new Treasury Bonds and </w:t>
      </w:r>
      <w:r w:rsidR="00E76413" w:rsidRPr="00C10820">
        <w:rPr>
          <w:color w:val="000000"/>
          <w:szCs w:val="24"/>
        </w:rPr>
        <w:t>Treasury</w:t>
      </w:r>
      <w:r w:rsidR="00297E74" w:rsidRPr="00C10820">
        <w:rPr>
          <w:color w:val="000000"/>
          <w:szCs w:val="24"/>
        </w:rPr>
        <w:t xml:space="preserve"> Notes in the </w:t>
      </w:r>
      <w:r w:rsidR="0003593D" w:rsidRPr="00C10820">
        <w:rPr>
          <w:color w:val="000000"/>
          <w:szCs w:val="24"/>
        </w:rPr>
        <w:t>dematerialised</w:t>
      </w:r>
      <w:r w:rsidR="00297E74" w:rsidRPr="00C10820">
        <w:rPr>
          <w:color w:val="000000"/>
          <w:szCs w:val="24"/>
        </w:rPr>
        <w:t xml:space="preserve"> form. </w:t>
      </w:r>
    </w:p>
    <w:p w14:paraId="4A786263" w14:textId="77777777" w:rsidR="003B4F91" w:rsidRPr="00C10820" w:rsidRDefault="003B4F91" w:rsidP="00C10820">
      <w:pPr>
        <w:spacing w:before="0" w:after="0"/>
        <w:ind w:right="91"/>
        <w:rPr>
          <w:b/>
        </w:rPr>
      </w:pPr>
    </w:p>
    <w:p w14:paraId="70BA5936" w14:textId="40A30EB7" w:rsidR="00653BBF" w:rsidRPr="00C10820" w:rsidRDefault="00653BBF" w:rsidP="00C10820">
      <w:pPr>
        <w:spacing w:before="0" w:after="0"/>
        <w:ind w:right="91"/>
        <w:rPr>
          <w:b/>
        </w:rPr>
      </w:pPr>
      <w:r w:rsidRPr="00C10820">
        <w:rPr>
          <w:b/>
        </w:rPr>
        <w:t>securities</w:t>
      </w:r>
    </w:p>
    <w:p w14:paraId="37FD573E" w14:textId="5E35AC84" w:rsidR="00653BBF" w:rsidRPr="00C10820" w:rsidRDefault="00421AC3" w:rsidP="00C10820">
      <w:pPr>
        <w:shd w:val="clear" w:color="auto" w:fill="FFFFFF"/>
        <w:spacing w:before="0" w:after="0"/>
        <w:rPr>
          <w:color w:val="000000"/>
          <w:szCs w:val="24"/>
        </w:rPr>
      </w:pPr>
      <w:r w:rsidRPr="00C10820">
        <w:rPr>
          <w:color w:val="000000"/>
          <w:szCs w:val="24"/>
        </w:rPr>
        <w:t xml:space="preserve">‘Securities’ is defined </w:t>
      </w:r>
      <w:r w:rsidR="00BB694F">
        <w:rPr>
          <w:color w:val="000000"/>
          <w:szCs w:val="24"/>
        </w:rPr>
        <w:t xml:space="preserve">in the instrument </w:t>
      </w:r>
      <w:r w:rsidRPr="00C10820">
        <w:rPr>
          <w:color w:val="000000"/>
          <w:szCs w:val="24"/>
        </w:rPr>
        <w:t>as:</w:t>
      </w:r>
    </w:p>
    <w:p w14:paraId="6D9A13AB" w14:textId="77777777" w:rsidR="00421AC3" w:rsidRPr="00C10820" w:rsidRDefault="00421AC3" w:rsidP="00C10820">
      <w:pPr>
        <w:shd w:val="clear" w:color="auto" w:fill="FFFFFF"/>
        <w:spacing w:before="0" w:after="0"/>
        <w:rPr>
          <w:color w:val="000000"/>
          <w:szCs w:val="24"/>
        </w:rPr>
      </w:pPr>
    </w:p>
    <w:p w14:paraId="2BB99151" w14:textId="2991D12E" w:rsidR="00421AC3" w:rsidRPr="00C10820" w:rsidRDefault="001A2C53" w:rsidP="00C10820">
      <w:pPr>
        <w:pStyle w:val="ListParagraph"/>
        <w:numPr>
          <w:ilvl w:val="0"/>
          <w:numId w:val="14"/>
        </w:numPr>
        <w:shd w:val="clear" w:color="auto" w:fill="FFFFFF"/>
        <w:spacing w:before="0" w:after="0"/>
        <w:rPr>
          <w:color w:val="000000"/>
          <w:szCs w:val="24"/>
        </w:rPr>
      </w:pPr>
      <w:r w:rsidRPr="00C10820">
        <w:rPr>
          <w:color w:val="000000"/>
          <w:szCs w:val="24"/>
        </w:rPr>
        <w:t xml:space="preserve">debentures, bonds, </w:t>
      </w:r>
      <w:r w:rsidR="00C141C0" w:rsidRPr="00C10820">
        <w:rPr>
          <w:color w:val="000000"/>
          <w:szCs w:val="24"/>
        </w:rPr>
        <w:t>promissory notes, commercial paper, bills of exchange, certificates of deposit and fixed and floating rate notes issued under a senior debt program, and their dematerialised security equi</w:t>
      </w:r>
      <w:r w:rsidR="005A061F" w:rsidRPr="00C10820">
        <w:rPr>
          <w:color w:val="000000"/>
          <w:szCs w:val="24"/>
        </w:rPr>
        <w:t>valents; but</w:t>
      </w:r>
    </w:p>
    <w:p w14:paraId="5D50A239" w14:textId="3FEF99FC" w:rsidR="00077FD9" w:rsidRPr="008444D6" w:rsidRDefault="005A061F" w:rsidP="008444D6">
      <w:pPr>
        <w:pStyle w:val="ListParagraph"/>
        <w:numPr>
          <w:ilvl w:val="0"/>
          <w:numId w:val="14"/>
        </w:numPr>
        <w:shd w:val="clear" w:color="auto" w:fill="FFFFFF"/>
        <w:spacing w:before="0" w:after="0"/>
        <w:rPr>
          <w:color w:val="000000"/>
          <w:szCs w:val="24"/>
        </w:rPr>
      </w:pPr>
      <w:r w:rsidRPr="00C10820">
        <w:rPr>
          <w:color w:val="000000"/>
          <w:szCs w:val="24"/>
        </w:rPr>
        <w:t xml:space="preserve">does not include any instrument or document that is in the nature of equity, subordinate debt or hybrid equity. </w:t>
      </w:r>
    </w:p>
    <w:p w14:paraId="4A07CE40" w14:textId="77777777" w:rsidR="00077FD9" w:rsidRPr="00C10820" w:rsidRDefault="00077FD9" w:rsidP="00C10820">
      <w:pPr>
        <w:spacing w:before="0" w:after="0"/>
        <w:ind w:right="91"/>
        <w:rPr>
          <w:b/>
        </w:rPr>
      </w:pPr>
    </w:p>
    <w:p w14:paraId="4886304C" w14:textId="27E9FB9F" w:rsidR="00A5504A" w:rsidRPr="00C10820" w:rsidRDefault="00A5504A" w:rsidP="00C10820">
      <w:pPr>
        <w:spacing w:before="0" w:after="0"/>
        <w:ind w:right="91"/>
        <w:rPr>
          <w:b/>
        </w:rPr>
      </w:pPr>
      <w:r w:rsidRPr="00C10820">
        <w:rPr>
          <w:b/>
        </w:rPr>
        <w:t>senior debt program</w:t>
      </w:r>
    </w:p>
    <w:p w14:paraId="5EF7B7C9" w14:textId="4E5C414C" w:rsidR="00A5504A" w:rsidRPr="00C10820" w:rsidRDefault="003C05B1" w:rsidP="00C10820">
      <w:pPr>
        <w:shd w:val="clear" w:color="auto" w:fill="FFFFFF"/>
        <w:spacing w:before="0" w:after="0"/>
        <w:rPr>
          <w:color w:val="000000"/>
          <w:szCs w:val="24"/>
        </w:rPr>
      </w:pPr>
      <w:r w:rsidRPr="00C10820">
        <w:rPr>
          <w:color w:val="000000"/>
          <w:szCs w:val="24"/>
        </w:rPr>
        <w:t xml:space="preserve">‘Senior debt program’ </w:t>
      </w:r>
      <w:r w:rsidR="0071774A" w:rsidRPr="00C10820">
        <w:rPr>
          <w:color w:val="000000"/>
          <w:szCs w:val="24"/>
        </w:rPr>
        <w:t xml:space="preserve">means a program under which debt is issued and ranked ahead of other debt; and has priority if debt has to be redeemed in cases of liquidation. </w:t>
      </w:r>
    </w:p>
    <w:p w14:paraId="5265B580" w14:textId="77777777" w:rsidR="00C10820" w:rsidRDefault="00C10820" w:rsidP="00C10820">
      <w:pPr>
        <w:spacing w:before="0" w:after="0"/>
        <w:rPr>
          <w:b/>
        </w:rPr>
      </w:pPr>
    </w:p>
    <w:p w14:paraId="4A879D77" w14:textId="53C547F0" w:rsidR="0086640C" w:rsidRPr="00C10820" w:rsidRDefault="0086640C" w:rsidP="00C10820">
      <w:pPr>
        <w:spacing w:before="0" w:after="0"/>
        <w:rPr>
          <w:b/>
          <w:sz w:val="22"/>
          <w:szCs w:val="22"/>
          <w:lang w:eastAsia="en-US"/>
        </w:rPr>
      </w:pPr>
      <w:r w:rsidRPr="00C10820">
        <w:rPr>
          <w:b/>
        </w:rPr>
        <w:t xml:space="preserve">Part 2 – </w:t>
      </w:r>
      <w:r w:rsidR="006C3592" w:rsidRPr="00C10820">
        <w:rPr>
          <w:b/>
        </w:rPr>
        <w:t>The Australian Broadcasting Corporation</w:t>
      </w:r>
    </w:p>
    <w:p w14:paraId="0D8ADC33" w14:textId="77777777" w:rsidR="00C10820" w:rsidRDefault="00C10820" w:rsidP="00C10820">
      <w:pPr>
        <w:shd w:val="clear" w:color="auto" w:fill="FFFFFF" w:themeFill="background1"/>
        <w:spacing w:before="0" w:after="0"/>
        <w:rPr>
          <w:b/>
          <w:szCs w:val="24"/>
        </w:rPr>
      </w:pPr>
    </w:p>
    <w:p w14:paraId="5FB73EB1" w14:textId="22F0DE3F" w:rsidR="00982404" w:rsidRPr="00C10820" w:rsidRDefault="00982404" w:rsidP="00C10820">
      <w:pPr>
        <w:shd w:val="clear" w:color="auto" w:fill="FFFFFF" w:themeFill="background1"/>
        <w:spacing w:before="0" w:after="0"/>
        <w:rPr>
          <w:b/>
          <w:szCs w:val="24"/>
        </w:rPr>
      </w:pPr>
      <w:r w:rsidRPr="00C10820">
        <w:rPr>
          <w:b/>
          <w:szCs w:val="24"/>
        </w:rPr>
        <w:t>Section 6</w:t>
      </w:r>
    </w:p>
    <w:p w14:paraId="0D88B9B2" w14:textId="77777777" w:rsidR="003B4F91" w:rsidRPr="00C10820" w:rsidRDefault="003B4F91" w:rsidP="00C10820">
      <w:pPr>
        <w:shd w:val="clear" w:color="auto" w:fill="FFFFFF" w:themeFill="background1"/>
        <w:spacing w:before="0" w:after="0"/>
      </w:pPr>
    </w:p>
    <w:p w14:paraId="5C17C0C5" w14:textId="2542C4E8" w:rsidR="004D7ACC" w:rsidRPr="00C10820" w:rsidRDefault="004D7ACC" w:rsidP="00C10820">
      <w:pPr>
        <w:shd w:val="clear" w:color="auto" w:fill="FFFFFF" w:themeFill="background1"/>
        <w:spacing w:before="0" w:after="0"/>
      </w:pPr>
      <w:r w:rsidRPr="00C10820">
        <w:t>This section provides that the Australian Broadcasting Corporation</w:t>
      </w:r>
      <w:r w:rsidR="00FC1299" w:rsidRPr="00C10820">
        <w:t xml:space="preserve"> (the ABC)</w:t>
      </w:r>
      <w:r w:rsidRPr="00C10820">
        <w:t xml:space="preserve"> </w:t>
      </w:r>
      <w:r w:rsidR="00EB257A" w:rsidRPr="00C10820">
        <w:t>is authorised</w:t>
      </w:r>
      <w:r w:rsidR="00DE16E8" w:rsidRPr="00C10820">
        <w:t xml:space="preserve"> to </w:t>
      </w:r>
      <w:r w:rsidRPr="00C10820">
        <w:t>inve</w:t>
      </w:r>
      <w:r w:rsidR="0096250F" w:rsidRPr="00C10820">
        <w:t>st relevant money for which they are responsible in:</w:t>
      </w:r>
    </w:p>
    <w:p w14:paraId="45CEED36" w14:textId="39185049" w:rsidR="0096250F" w:rsidRPr="00C10820" w:rsidRDefault="0096250F" w:rsidP="00C10820">
      <w:pPr>
        <w:pStyle w:val="ListParagraph"/>
        <w:numPr>
          <w:ilvl w:val="0"/>
          <w:numId w:val="15"/>
        </w:numPr>
        <w:shd w:val="clear" w:color="auto" w:fill="FFFFFF" w:themeFill="background1"/>
        <w:spacing w:before="0" w:after="0"/>
        <w:rPr>
          <w:b/>
          <w:szCs w:val="24"/>
        </w:rPr>
      </w:pPr>
      <w:r w:rsidRPr="00C10820">
        <w:rPr>
          <w:bCs/>
          <w:szCs w:val="24"/>
        </w:rPr>
        <w:t>bills of exchange accepted or endorsed only by an approved bank</w:t>
      </w:r>
      <w:r w:rsidR="001C3C24" w:rsidRPr="00C10820">
        <w:rPr>
          <w:bCs/>
          <w:szCs w:val="24"/>
        </w:rPr>
        <w:t xml:space="preserve">; </w:t>
      </w:r>
    </w:p>
    <w:p w14:paraId="6FA8A6B3" w14:textId="04504448" w:rsidR="001C3C24" w:rsidRPr="00C10820" w:rsidRDefault="001C3C24" w:rsidP="00C10820">
      <w:pPr>
        <w:pStyle w:val="ListParagraph"/>
        <w:numPr>
          <w:ilvl w:val="0"/>
          <w:numId w:val="15"/>
        </w:numPr>
        <w:shd w:val="clear" w:color="auto" w:fill="FFFFFF" w:themeFill="background1"/>
        <w:spacing w:before="0" w:after="0"/>
        <w:rPr>
          <w:b/>
          <w:szCs w:val="24"/>
        </w:rPr>
      </w:pPr>
      <w:r w:rsidRPr="00C10820">
        <w:rPr>
          <w:bCs/>
          <w:szCs w:val="24"/>
        </w:rPr>
        <w:t xml:space="preserve">certificates of deposit with an approved bank. </w:t>
      </w:r>
    </w:p>
    <w:p w14:paraId="1C060A40" w14:textId="77777777" w:rsidR="0086640C" w:rsidRPr="00C10820" w:rsidRDefault="0086640C" w:rsidP="00C10820">
      <w:pPr>
        <w:shd w:val="clear" w:color="auto" w:fill="FFFFFF"/>
        <w:spacing w:before="0" w:after="0"/>
        <w:rPr>
          <w:color w:val="000000"/>
          <w:szCs w:val="24"/>
        </w:rPr>
      </w:pPr>
    </w:p>
    <w:p w14:paraId="48EA8573" w14:textId="7078CC1B" w:rsidR="00B15685" w:rsidRPr="00C10820" w:rsidRDefault="000D7B5C" w:rsidP="00C10820">
      <w:pPr>
        <w:shd w:val="clear" w:color="auto" w:fill="FFFFFF"/>
        <w:spacing w:before="0" w:after="0"/>
        <w:rPr>
          <w:color w:val="000000"/>
          <w:szCs w:val="24"/>
        </w:rPr>
      </w:pPr>
      <w:r w:rsidRPr="00C10820">
        <w:rPr>
          <w:color w:val="000000"/>
          <w:szCs w:val="24"/>
        </w:rPr>
        <w:t xml:space="preserve">They may also </w:t>
      </w:r>
      <w:r w:rsidR="00C470BA" w:rsidRPr="00C10820">
        <w:rPr>
          <w:color w:val="000000"/>
          <w:szCs w:val="24"/>
        </w:rPr>
        <w:t>invest in dematerialised securities that</w:t>
      </w:r>
      <w:r w:rsidR="00FC1299" w:rsidRPr="00C10820">
        <w:rPr>
          <w:color w:val="000000"/>
          <w:szCs w:val="24"/>
        </w:rPr>
        <w:t xml:space="preserve"> are</w:t>
      </w:r>
      <w:r w:rsidR="00C470BA" w:rsidRPr="00C10820">
        <w:rPr>
          <w:color w:val="000000"/>
          <w:szCs w:val="24"/>
        </w:rPr>
        <w:t xml:space="preserve"> the equivalent of the above. Investments must be in the name of the </w:t>
      </w:r>
      <w:r w:rsidR="00FC1299" w:rsidRPr="00C10820">
        <w:rPr>
          <w:color w:val="000000"/>
          <w:szCs w:val="24"/>
        </w:rPr>
        <w:t>ABC</w:t>
      </w:r>
      <w:r w:rsidR="00C470BA" w:rsidRPr="00C10820">
        <w:rPr>
          <w:color w:val="000000"/>
          <w:szCs w:val="24"/>
        </w:rPr>
        <w:t xml:space="preserve"> and denominated in Australian currency. </w:t>
      </w:r>
    </w:p>
    <w:p w14:paraId="4D68F099" w14:textId="77777777" w:rsidR="00CF2A28" w:rsidRPr="00C10820" w:rsidRDefault="00CF2A28" w:rsidP="00C10820">
      <w:pPr>
        <w:shd w:val="clear" w:color="auto" w:fill="FFFFFF"/>
        <w:spacing w:before="0" w:after="0"/>
        <w:rPr>
          <w:color w:val="000000"/>
          <w:szCs w:val="24"/>
        </w:rPr>
      </w:pPr>
    </w:p>
    <w:p w14:paraId="248ABE2C" w14:textId="065B3C5C" w:rsidR="0053589B" w:rsidRPr="00C10820" w:rsidRDefault="0053589B" w:rsidP="00C10820">
      <w:pPr>
        <w:spacing w:before="0" w:after="0"/>
        <w:rPr>
          <w:b/>
          <w:sz w:val="22"/>
          <w:szCs w:val="22"/>
          <w:lang w:eastAsia="en-US"/>
        </w:rPr>
      </w:pPr>
      <w:r w:rsidRPr="00C10820">
        <w:rPr>
          <w:b/>
        </w:rPr>
        <w:t xml:space="preserve">Part 3 – The </w:t>
      </w:r>
      <w:r w:rsidR="005F3FAF" w:rsidRPr="00C10820">
        <w:rPr>
          <w:b/>
        </w:rPr>
        <w:t>Export Finance and Insurance Corporation</w:t>
      </w:r>
    </w:p>
    <w:p w14:paraId="410D8ADF" w14:textId="77777777" w:rsidR="00C10820" w:rsidRDefault="00C10820" w:rsidP="00C10820">
      <w:pPr>
        <w:shd w:val="clear" w:color="auto" w:fill="FFFFFF" w:themeFill="background1"/>
        <w:spacing w:before="0" w:after="0"/>
        <w:rPr>
          <w:b/>
          <w:szCs w:val="24"/>
        </w:rPr>
      </w:pPr>
    </w:p>
    <w:p w14:paraId="79AE5820" w14:textId="232E44AE" w:rsidR="0053589B" w:rsidRPr="00C10820" w:rsidRDefault="0086360F" w:rsidP="00C10820">
      <w:pPr>
        <w:shd w:val="clear" w:color="auto" w:fill="FFFFFF" w:themeFill="background1"/>
        <w:spacing w:before="0" w:after="0"/>
        <w:rPr>
          <w:b/>
          <w:szCs w:val="24"/>
        </w:rPr>
      </w:pPr>
      <w:r w:rsidRPr="00C10820">
        <w:rPr>
          <w:b/>
          <w:szCs w:val="24"/>
        </w:rPr>
        <w:t>Sub</w:t>
      </w:r>
      <w:r w:rsidR="00393B05" w:rsidRPr="00C10820">
        <w:rPr>
          <w:b/>
          <w:szCs w:val="24"/>
        </w:rPr>
        <w:t>s</w:t>
      </w:r>
      <w:r w:rsidR="0053589B" w:rsidRPr="00C10820">
        <w:rPr>
          <w:b/>
          <w:szCs w:val="24"/>
        </w:rPr>
        <w:t xml:space="preserve">ection </w:t>
      </w:r>
      <w:r w:rsidRPr="00C10820">
        <w:rPr>
          <w:b/>
          <w:szCs w:val="24"/>
        </w:rPr>
        <w:t>7</w:t>
      </w:r>
      <w:r w:rsidR="00393B05" w:rsidRPr="00C10820">
        <w:rPr>
          <w:b/>
          <w:szCs w:val="24"/>
        </w:rPr>
        <w:t>(1)</w:t>
      </w:r>
    </w:p>
    <w:p w14:paraId="61B72971" w14:textId="77777777" w:rsidR="00C10820" w:rsidRDefault="00C10820" w:rsidP="00C10820">
      <w:pPr>
        <w:shd w:val="clear" w:color="auto" w:fill="FFFFFF" w:themeFill="background1"/>
        <w:spacing w:before="0" w:after="0"/>
      </w:pPr>
    </w:p>
    <w:p w14:paraId="1ADFFC70" w14:textId="3F9567AD" w:rsidR="0086360F" w:rsidRPr="00C10820" w:rsidRDefault="0086360F" w:rsidP="00C10820">
      <w:pPr>
        <w:shd w:val="clear" w:color="auto" w:fill="FFFFFF" w:themeFill="background1"/>
        <w:spacing w:before="0" w:after="0"/>
      </w:pPr>
      <w:r w:rsidRPr="00C10820">
        <w:t xml:space="preserve">This </w:t>
      </w:r>
      <w:r w:rsidR="00D92CFD" w:rsidRPr="00C10820">
        <w:t>sub</w:t>
      </w:r>
      <w:r w:rsidRPr="00C10820">
        <w:t xml:space="preserve">section provides that </w:t>
      </w:r>
      <w:r w:rsidR="002E156E" w:rsidRPr="00C10820">
        <w:t xml:space="preserve">the Export Finance and Insurance Corporation (EFIC) </w:t>
      </w:r>
      <w:r w:rsidR="00F743D3" w:rsidRPr="00C10820">
        <w:t>is authorised to invest relevant money for which EFIC is responsible in accordance with section 7.</w:t>
      </w:r>
    </w:p>
    <w:p w14:paraId="5FDC6139" w14:textId="77777777" w:rsidR="0053589B" w:rsidRPr="00C10820" w:rsidRDefault="0053589B" w:rsidP="00C10820">
      <w:pPr>
        <w:shd w:val="clear" w:color="auto" w:fill="FFFFFF"/>
        <w:spacing w:before="0" w:after="0"/>
        <w:rPr>
          <w:color w:val="000000"/>
          <w:szCs w:val="24"/>
        </w:rPr>
      </w:pPr>
    </w:p>
    <w:p w14:paraId="6E680016" w14:textId="77777777" w:rsidR="00C10820" w:rsidRDefault="00C10820" w:rsidP="00C10820">
      <w:pPr>
        <w:shd w:val="clear" w:color="auto" w:fill="FFFFFF" w:themeFill="background1"/>
        <w:spacing w:before="0" w:after="0"/>
        <w:rPr>
          <w:b/>
          <w:szCs w:val="24"/>
        </w:rPr>
      </w:pPr>
    </w:p>
    <w:p w14:paraId="49939295" w14:textId="4ABDCCD6" w:rsidR="00D92CFD" w:rsidRPr="00C10820" w:rsidRDefault="00D92CFD" w:rsidP="00C10820">
      <w:pPr>
        <w:shd w:val="clear" w:color="auto" w:fill="FFFFFF" w:themeFill="background1"/>
        <w:spacing w:before="0" w:after="0"/>
        <w:rPr>
          <w:b/>
          <w:szCs w:val="24"/>
        </w:rPr>
      </w:pPr>
      <w:r w:rsidRPr="00C10820">
        <w:rPr>
          <w:b/>
          <w:szCs w:val="24"/>
        </w:rPr>
        <w:t>Subsection 7(2)</w:t>
      </w:r>
    </w:p>
    <w:p w14:paraId="50C524F2" w14:textId="77777777" w:rsidR="00C10820" w:rsidRDefault="00C10820" w:rsidP="00C10820">
      <w:pPr>
        <w:shd w:val="clear" w:color="auto" w:fill="FFFFFF" w:themeFill="background1"/>
        <w:spacing w:before="0" w:after="0"/>
      </w:pPr>
    </w:p>
    <w:p w14:paraId="3D6B2982" w14:textId="26D83DBC" w:rsidR="00D92CFD" w:rsidRPr="00C10820" w:rsidRDefault="00D92CFD" w:rsidP="00C10820">
      <w:pPr>
        <w:shd w:val="clear" w:color="auto" w:fill="FFFFFF" w:themeFill="background1"/>
        <w:spacing w:before="0" w:after="0"/>
      </w:pPr>
      <w:r w:rsidRPr="00C10820">
        <w:lastRenderedPageBreak/>
        <w:t>This subsection provides that EFIC may invest money in one or more of the following ways:</w:t>
      </w:r>
    </w:p>
    <w:p w14:paraId="112CAC11" w14:textId="5E18ABEB" w:rsidR="00D92CFD" w:rsidRPr="00C10820" w:rsidRDefault="002046B8" w:rsidP="00C10820">
      <w:pPr>
        <w:pStyle w:val="ListParagraph"/>
        <w:numPr>
          <w:ilvl w:val="0"/>
          <w:numId w:val="16"/>
        </w:numPr>
        <w:shd w:val="clear" w:color="auto" w:fill="FFFFFF" w:themeFill="background1"/>
        <w:spacing w:before="0" w:after="0"/>
      </w:pPr>
      <w:r w:rsidRPr="00C10820">
        <w:t>in securities issued by an approved bank</w:t>
      </w:r>
      <w:r w:rsidR="006E2151" w:rsidRPr="00C10820">
        <w:t>;</w:t>
      </w:r>
    </w:p>
    <w:p w14:paraId="4A7D7B7D" w14:textId="4A99EBC6" w:rsidR="006E2151" w:rsidRPr="00C10820" w:rsidRDefault="006E2151" w:rsidP="00C10820">
      <w:pPr>
        <w:pStyle w:val="ListParagraph"/>
        <w:numPr>
          <w:ilvl w:val="0"/>
          <w:numId w:val="16"/>
        </w:numPr>
        <w:shd w:val="clear" w:color="auto" w:fill="FFFFFF" w:themeFill="background1"/>
        <w:spacing w:before="0" w:after="0"/>
      </w:pPr>
      <w:r w:rsidRPr="00C10820">
        <w:t xml:space="preserve">on deposit with, or in securities issued or guaranteed by, an approved entity. </w:t>
      </w:r>
    </w:p>
    <w:p w14:paraId="43A5C56C" w14:textId="77777777" w:rsidR="00D92CFD" w:rsidRPr="00C10820" w:rsidRDefault="00D92CFD" w:rsidP="00C10820">
      <w:pPr>
        <w:shd w:val="clear" w:color="auto" w:fill="FFFFFF"/>
        <w:spacing w:before="0" w:after="0"/>
        <w:rPr>
          <w:color w:val="000000"/>
          <w:szCs w:val="24"/>
        </w:rPr>
      </w:pPr>
    </w:p>
    <w:p w14:paraId="5CA8D4C2" w14:textId="6A2213DD" w:rsidR="003919E6" w:rsidRPr="00C10820" w:rsidRDefault="003919E6" w:rsidP="00C10820">
      <w:pPr>
        <w:shd w:val="clear" w:color="auto" w:fill="FFFFFF" w:themeFill="background1"/>
        <w:spacing w:before="0" w:after="0"/>
        <w:rPr>
          <w:b/>
          <w:szCs w:val="24"/>
        </w:rPr>
      </w:pPr>
      <w:r w:rsidRPr="00C10820">
        <w:rPr>
          <w:b/>
          <w:szCs w:val="24"/>
        </w:rPr>
        <w:t>Subsection 7(3)</w:t>
      </w:r>
    </w:p>
    <w:p w14:paraId="1928253A" w14:textId="77777777" w:rsidR="00C10820" w:rsidRDefault="00C10820" w:rsidP="00C10820">
      <w:pPr>
        <w:shd w:val="clear" w:color="auto" w:fill="FFFFFF" w:themeFill="background1"/>
        <w:spacing w:before="0" w:after="0"/>
      </w:pPr>
    </w:p>
    <w:p w14:paraId="53F70871" w14:textId="362734FA" w:rsidR="003919E6" w:rsidRPr="00C10820" w:rsidRDefault="003919E6" w:rsidP="00C10820">
      <w:pPr>
        <w:shd w:val="clear" w:color="auto" w:fill="FFFFFF" w:themeFill="background1"/>
        <w:spacing w:before="0" w:after="0"/>
      </w:pPr>
      <w:r w:rsidRPr="00C10820">
        <w:t xml:space="preserve">This subsection provides that investments must be in the name of EFIC. </w:t>
      </w:r>
    </w:p>
    <w:p w14:paraId="5F0BA43E" w14:textId="77777777" w:rsidR="003919E6" w:rsidRPr="00C10820" w:rsidRDefault="003919E6" w:rsidP="00C10820">
      <w:pPr>
        <w:shd w:val="clear" w:color="auto" w:fill="FFFFFF"/>
        <w:spacing w:before="0" w:after="0"/>
        <w:rPr>
          <w:color w:val="000000"/>
          <w:szCs w:val="24"/>
        </w:rPr>
      </w:pPr>
    </w:p>
    <w:p w14:paraId="0876B669" w14:textId="48DCE6FE" w:rsidR="00FF26DA" w:rsidRPr="00C10820" w:rsidRDefault="00FF26DA" w:rsidP="00C10820">
      <w:pPr>
        <w:shd w:val="clear" w:color="auto" w:fill="FFFFFF" w:themeFill="background1"/>
        <w:spacing w:before="0" w:after="0"/>
        <w:rPr>
          <w:b/>
          <w:szCs w:val="24"/>
        </w:rPr>
      </w:pPr>
      <w:r w:rsidRPr="00C10820">
        <w:rPr>
          <w:b/>
          <w:szCs w:val="24"/>
        </w:rPr>
        <w:t>Subsection 7(4)</w:t>
      </w:r>
    </w:p>
    <w:p w14:paraId="1FB47517" w14:textId="77777777" w:rsidR="00C10820" w:rsidRDefault="00C10820" w:rsidP="00C10820">
      <w:pPr>
        <w:shd w:val="clear" w:color="auto" w:fill="FFFFFF" w:themeFill="background1"/>
        <w:spacing w:before="0" w:after="0"/>
      </w:pPr>
    </w:p>
    <w:p w14:paraId="4D40842E" w14:textId="3428E3B5" w:rsidR="00FF26DA" w:rsidRPr="00C10820" w:rsidRDefault="00FF26DA" w:rsidP="00C10820">
      <w:pPr>
        <w:shd w:val="clear" w:color="auto" w:fill="FFFFFF" w:themeFill="background1"/>
        <w:spacing w:before="0" w:after="0"/>
      </w:pPr>
      <w:r w:rsidRPr="00C10820">
        <w:t xml:space="preserve">This subsection provides that </w:t>
      </w:r>
      <w:r w:rsidR="006D74C2" w:rsidRPr="00C10820">
        <w:t>subsections 5 to 7 apply if an investment</w:t>
      </w:r>
      <w:r w:rsidR="00DD3B47" w:rsidRPr="00C10820">
        <w:t>:</w:t>
      </w:r>
    </w:p>
    <w:p w14:paraId="558A0FE7" w14:textId="533CBADE" w:rsidR="00DD3B47" w:rsidRPr="00C10820" w:rsidRDefault="00DD3B47" w:rsidP="00C10820">
      <w:pPr>
        <w:pStyle w:val="ListParagraph"/>
        <w:numPr>
          <w:ilvl w:val="0"/>
          <w:numId w:val="17"/>
        </w:numPr>
        <w:shd w:val="clear" w:color="auto" w:fill="FFFFFF" w:themeFill="background1"/>
        <w:spacing w:before="0" w:after="0"/>
      </w:pPr>
      <w:r w:rsidRPr="00C10820">
        <w:t>is securities issued by an approved bank; and</w:t>
      </w:r>
    </w:p>
    <w:p w14:paraId="4D149D5A" w14:textId="34862551" w:rsidR="00DD3B47" w:rsidRPr="00C10820" w:rsidRDefault="00DD3B47" w:rsidP="00C10820">
      <w:pPr>
        <w:pStyle w:val="ListParagraph"/>
        <w:numPr>
          <w:ilvl w:val="0"/>
          <w:numId w:val="17"/>
        </w:numPr>
        <w:shd w:val="clear" w:color="auto" w:fill="FFFFFF" w:themeFill="background1"/>
        <w:spacing w:before="0" w:after="0"/>
      </w:pPr>
      <w:r w:rsidRPr="00C10820">
        <w:t>has a Standard and Poor’s long-term rating lower than A- (or the Moody’s or Fitch’s equivalent).</w:t>
      </w:r>
    </w:p>
    <w:p w14:paraId="086E8E9F" w14:textId="77777777" w:rsidR="00DD3B47" w:rsidRPr="00C10820" w:rsidRDefault="00DD3B47" w:rsidP="00C10820">
      <w:pPr>
        <w:shd w:val="clear" w:color="auto" w:fill="FFFFFF" w:themeFill="background1"/>
        <w:spacing w:before="0" w:after="0"/>
      </w:pPr>
    </w:p>
    <w:p w14:paraId="45440D46" w14:textId="05EFF9A4" w:rsidR="00B258DC" w:rsidRPr="00C10820" w:rsidRDefault="00B258DC" w:rsidP="00C10820">
      <w:pPr>
        <w:shd w:val="clear" w:color="auto" w:fill="FFFFFF" w:themeFill="background1"/>
        <w:spacing w:before="0" w:after="0"/>
        <w:rPr>
          <w:b/>
          <w:szCs w:val="24"/>
        </w:rPr>
      </w:pPr>
      <w:r w:rsidRPr="00C10820">
        <w:rPr>
          <w:b/>
          <w:szCs w:val="24"/>
        </w:rPr>
        <w:t>Subsection 7(5)</w:t>
      </w:r>
    </w:p>
    <w:p w14:paraId="4389FDA8" w14:textId="77777777" w:rsidR="00C10820" w:rsidRDefault="00C10820" w:rsidP="00C10820">
      <w:pPr>
        <w:shd w:val="clear" w:color="auto" w:fill="FFFFFF" w:themeFill="background1"/>
        <w:spacing w:before="0" w:after="0"/>
      </w:pPr>
    </w:p>
    <w:p w14:paraId="5EBE13CA" w14:textId="68FCC121" w:rsidR="00B258DC" w:rsidRPr="00C10820" w:rsidRDefault="00B258DC" w:rsidP="00C10820">
      <w:pPr>
        <w:shd w:val="clear" w:color="auto" w:fill="FFFFFF" w:themeFill="background1"/>
        <w:spacing w:before="0" w:after="0"/>
      </w:pPr>
      <w:r w:rsidRPr="00C10820">
        <w:t>This subsection provides tha</w:t>
      </w:r>
      <w:r w:rsidR="00DB1C47" w:rsidRPr="00C10820">
        <w:t xml:space="preserve">t </w:t>
      </w:r>
      <w:r w:rsidR="00CD7C99" w:rsidRPr="00C10820">
        <w:t>the investment together with any other such investments of EFIC in the approved bank, must no</w:t>
      </w:r>
      <w:r w:rsidR="0049533E" w:rsidRPr="00C10820">
        <w:t>t</w:t>
      </w:r>
      <w:r w:rsidR="00CD7C99" w:rsidRPr="00C10820">
        <w:t xml:space="preserve"> exceed 10% of the total investments of EFIC. This ensures that </w:t>
      </w:r>
      <w:r w:rsidR="00897263" w:rsidRPr="00C10820">
        <w:t xml:space="preserve">EFIC’s investments do not become overly concentrated in one approved bank. </w:t>
      </w:r>
    </w:p>
    <w:p w14:paraId="0AE2EB00" w14:textId="77777777" w:rsidR="00F075A6" w:rsidRPr="00C10820" w:rsidRDefault="00F075A6" w:rsidP="00C10820">
      <w:pPr>
        <w:shd w:val="clear" w:color="auto" w:fill="FFFFFF" w:themeFill="background1"/>
        <w:spacing w:before="0" w:after="0"/>
      </w:pPr>
    </w:p>
    <w:p w14:paraId="2C876122" w14:textId="2827D437" w:rsidR="00F075A6" w:rsidRPr="00C10820" w:rsidRDefault="00F075A6" w:rsidP="00C10820">
      <w:pPr>
        <w:shd w:val="clear" w:color="auto" w:fill="FFFFFF" w:themeFill="background1"/>
        <w:spacing w:before="0" w:after="0"/>
        <w:rPr>
          <w:b/>
          <w:szCs w:val="24"/>
        </w:rPr>
      </w:pPr>
      <w:r w:rsidRPr="00C10820">
        <w:rPr>
          <w:b/>
          <w:szCs w:val="24"/>
        </w:rPr>
        <w:t>Subsection 7(6)</w:t>
      </w:r>
    </w:p>
    <w:p w14:paraId="48A3DCEE" w14:textId="77777777" w:rsidR="00C10820" w:rsidRDefault="00C10820" w:rsidP="00C10820">
      <w:pPr>
        <w:shd w:val="clear" w:color="auto" w:fill="FFFFFF" w:themeFill="background1"/>
        <w:spacing w:before="0" w:after="0"/>
      </w:pPr>
    </w:p>
    <w:p w14:paraId="60A61FC1" w14:textId="1FD4FABD" w:rsidR="00F075A6" w:rsidRPr="00C10820" w:rsidRDefault="00F075A6" w:rsidP="00C10820">
      <w:pPr>
        <w:shd w:val="clear" w:color="auto" w:fill="FFFFFF" w:themeFill="background1"/>
        <w:spacing w:before="0" w:after="0"/>
      </w:pPr>
      <w:r w:rsidRPr="00C10820">
        <w:t xml:space="preserve">This subsection provides that the investment, together with any other such investments of EFIC in any approved bank, must not </w:t>
      </w:r>
      <w:r w:rsidR="00826DD0" w:rsidRPr="00C10820">
        <w:t xml:space="preserve">exceed 25% of the total investments of EFIC. </w:t>
      </w:r>
    </w:p>
    <w:p w14:paraId="105B9427" w14:textId="77777777" w:rsidR="00DD5EA1" w:rsidRPr="00C10820" w:rsidRDefault="00DD5EA1" w:rsidP="00C10820">
      <w:pPr>
        <w:shd w:val="clear" w:color="auto" w:fill="FFFFFF" w:themeFill="background1"/>
        <w:spacing w:before="0" w:after="0"/>
      </w:pPr>
    </w:p>
    <w:p w14:paraId="39FB0F08" w14:textId="3FA9FFDA" w:rsidR="005D7031" w:rsidRPr="00C10820" w:rsidRDefault="005D7031" w:rsidP="00C10820">
      <w:pPr>
        <w:shd w:val="clear" w:color="auto" w:fill="FFFFFF" w:themeFill="background1"/>
        <w:spacing w:before="0" w:after="0"/>
        <w:rPr>
          <w:b/>
          <w:szCs w:val="24"/>
        </w:rPr>
      </w:pPr>
      <w:r w:rsidRPr="00C10820">
        <w:rPr>
          <w:b/>
          <w:szCs w:val="24"/>
        </w:rPr>
        <w:t>Subsection 7(7)</w:t>
      </w:r>
    </w:p>
    <w:p w14:paraId="57C2905B" w14:textId="77777777" w:rsidR="00C10820" w:rsidRDefault="00C10820" w:rsidP="00C10820">
      <w:pPr>
        <w:shd w:val="clear" w:color="auto" w:fill="FFFFFF" w:themeFill="background1"/>
        <w:spacing w:before="0" w:after="0"/>
      </w:pPr>
    </w:p>
    <w:p w14:paraId="6F7C80A4" w14:textId="515F801C" w:rsidR="005D7031" w:rsidRPr="00C10820" w:rsidRDefault="005D7031" w:rsidP="00C10820">
      <w:pPr>
        <w:shd w:val="clear" w:color="auto" w:fill="FFFFFF" w:themeFill="background1"/>
        <w:spacing w:before="0" w:after="0"/>
      </w:pPr>
      <w:r w:rsidRPr="00C10820">
        <w:t>This subsection provides that the investment:</w:t>
      </w:r>
    </w:p>
    <w:p w14:paraId="2546B374" w14:textId="64073FFB" w:rsidR="005D7031" w:rsidRPr="00C10820" w:rsidRDefault="00E24438" w:rsidP="00C10820">
      <w:pPr>
        <w:pStyle w:val="ListParagraph"/>
        <w:numPr>
          <w:ilvl w:val="0"/>
          <w:numId w:val="18"/>
        </w:numPr>
        <w:shd w:val="clear" w:color="auto" w:fill="FFFFFF" w:themeFill="background1"/>
        <w:spacing w:before="0" w:after="0"/>
      </w:pPr>
      <w:r w:rsidRPr="00C10820">
        <w:t xml:space="preserve">must not have a </w:t>
      </w:r>
      <w:r w:rsidR="00BA33F8" w:rsidRPr="00C10820">
        <w:t>term longer</w:t>
      </w:r>
      <w:r w:rsidRPr="00C10820">
        <w:t xml:space="preserve"> than 3 years; and</w:t>
      </w:r>
    </w:p>
    <w:p w14:paraId="725B45CF" w14:textId="7C184246" w:rsidR="00E24438" w:rsidRPr="00C10820" w:rsidRDefault="00E24438" w:rsidP="00C10820">
      <w:pPr>
        <w:pStyle w:val="ListParagraph"/>
        <w:numPr>
          <w:ilvl w:val="0"/>
          <w:numId w:val="18"/>
        </w:numPr>
        <w:shd w:val="clear" w:color="auto" w:fill="FFFFFF" w:themeFill="background1"/>
        <w:spacing w:before="0" w:after="0"/>
      </w:pPr>
      <w:r w:rsidRPr="00C10820">
        <w:t>if the investment has a term longer than 6 months</w:t>
      </w:r>
      <w:r w:rsidR="00A94896" w:rsidRPr="00C10820">
        <w:t xml:space="preserve"> it </w:t>
      </w:r>
      <w:r w:rsidRPr="00C10820">
        <w:t xml:space="preserve">must be able to be traded in the secondary market. </w:t>
      </w:r>
    </w:p>
    <w:p w14:paraId="10F46706" w14:textId="77777777" w:rsidR="00DD5EA1" w:rsidRPr="00C10820" w:rsidRDefault="00DD5EA1" w:rsidP="00C10820">
      <w:pPr>
        <w:shd w:val="clear" w:color="auto" w:fill="FFFFFF" w:themeFill="background1"/>
        <w:spacing w:before="0" w:after="0"/>
      </w:pPr>
    </w:p>
    <w:p w14:paraId="611FAC08" w14:textId="03C92EBA" w:rsidR="00343C57" w:rsidRPr="00C10820" w:rsidRDefault="00343C57" w:rsidP="00C10820">
      <w:pPr>
        <w:shd w:val="clear" w:color="auto" w:fill="FFFFFF" w:themeFill="background1"/>
        <w:spacing w:before="0" w:after="0"/>
      </w:pPr>
      <w:r w:rsidRPr="00C10820">
        <w:t xml:space="preserve">A secondary market is </w:t>
      </w:r>
      <w:r w:rsidR="0024280E" w:rsidRPr="00C10820">
        <w:t>where investors purchase securities from other investors rather than from the issuing institution itself. The</w:t>
      </w:r>
      <w:r w:rsidR="003943A0" w:rsidRPr="00C10820">
        <w:t xml:space="preserve"> requirements in this subsection assist in ensuring that EFIC does not invest in illiquid investments. </w:t>
      </w:r>
    </w:p>
    <w:p w14:paraId="26B9397E" w14:textId="77777777" w:rsidR="00122DDD" w:rsidRPr="00C10820" w:rsidRDefault="00122DDD" w:rsidP="00C10820">
      <w:pPr>
        <w:shd w:val="clear" w:color="auto" w:fill="FFFFFF" w:themeFill="background1"/>
        <w:spacing w:before="0" w:after="0"/>
      </w:pPr>
    </w:p>
    <w:p w14:paraId="12A8B395" w14:textId="355CBBFF" w:rsidR="008333F5" w:rsidRPr="00C10820" w:rsidRDefault="008333F5" w:rsidP="00C10820">
      <w:pPr>
        <w:spacing w:before="0" w:after="0"/>
        <w:rPr>
          <w:b/>
          <w:sz w:val="22"/>
          <w:szCs w:val="22"/>
          <w:lang w:eastAsia="en-US"/>
        </w:rPr>
      </w:pPr>
      <w:r w:rsidRPr="00C10820">
        <w:rPr>
          <w:b/>
        </w:rPr>
        <w:t>Part 4 – The Grains Research and Development Corporation</w:t>
      </w:r>
    </w:p>
    <w:p w14:paraId="6023AFE3" w14:textId="77777777" w:rsidR="00C10820" w:rsidRDefault="00C10820" w:rsidP="00C10820">
      <w:pPr>
        <w:shd w:val="clear" w:color="auto" w:fill="FFFFFF" w:themeFill="background1"/>
        <w:spacing w:before="0" w:after="0"/>
        <w:rPr>
          <w:b/>
          <w:szCs w:val="24"/>
        </w:rPr>
      </w:pPr>
    </w:p>
    <w:p w14:paraId="6CFE1845" w14:textId="5E28D942" w:rsidR="008333F5" w:rsidRPr="00C10820" w:rsidRDefault="008333F5" w:rsidP="00C10820">
      <w:pPr>
        <w:shd w:val="clear" w:color="auto" w:fill="FFFFFF" w:themeFill="background1"/>
        <w:spacing w:before="0" w:after="0"/>
        <w:rPr>
          <w:b/>
          <w:szCs w:val="24"/>
        </w:rPr>
      </w:pPr>
      <w:r w:rsidRPr="00C10820">
        <w:rPr>
          <w:b/>
          <w:szCs w:val="24"/>
        </w:rPr>
        <w:t xml:space="preserve">Subsection </w:t>
      </w:r>
      <w:r w:rsidR="00753EE2" w:rsidRPr="00C10820">
        <w:rPr>
          <w:b/>
          <w:szCs w:val="24"/>
        </w:rPr>
        <w:t>8</w:t>
      </w:r>
      <w:r w:rsidRPr="00C10820">
        <w:rPr>
          <w:b/>
          <w:szCs w:val="24"/>
        </w:rPr>
        <w:t>(1)</w:t>
      </w:r>
    </w:p>
    <w:p w14:paraId="56CE9D8C" w14:textId="77777777" w:rsidR="00C10820" w:rsidRDefault="00C10820" w:rsidP="00C10820">
      <w:pPr>
        <w:shd w:val="clear" w:color="auto" w:fill="FFFFFF" w:themeFill="background1"/>
        <w:spacing w:before="0" w:after="0"/>
      </w:pPr>
    </w:p>
    <w:p w14:paraId="6AF5F14C" w14:textId="541F7B6B" w:rsidR="008333F5" w:rsidRPr="00C10820" w:rsidRDefault="008333F5" w:rsidP="00C10820">
      <w:pPr>
        <w:shd w:val="clear" w:color="auto" w:fill="FFFFFF" w:themeFill="background1"/>
        <w:spacing w:before="0" w:after="0"/>
      </w:pPr>
      <w:r w:rsidRPr="00C10820">
        <w:t xml:space="preserve">This subsection provides that the </w:t>
      </w:r>
      <w:r w:rsidR="00757B5F" w:rsidRPr="00C10820">
        <w:t>Grains Research and Development Corporation</w:t>
      </w:r>
      <w:r w:rsidRPr="00C10820">
        <w:t xml:space="preserve"> (</w:t>
      </w:r>
      <w:r w:rsidR="00757B5F" w:rsidRPr="00C10820">
        <w:t>GRDC)</w:t>
      </w:r>
      <w:r w:rsidRPr="00C10820">
        <w:t xml:space="preserve"> is authorised to invest relevant money for which </w:t>
      </w:r>
      <w:r w:rsidR="00757B5F" w:rsidRPr="00C10820">
        <w:t>GRDC</w:t>
      </w:r>
      <w:r w:rsidRPr="00C10820">
        <w:t xml:space="preserve"> is responsible in accordance with section </w:t>
      </w:r>
      <w:r w:rsidR="007B7A1E" w:rsidRPr="00C10820">
        <w:t>8</w:t>
      </w:r>
      <w:r w:rsidRPr="00C10820">
        <w:t>.</w:t>
      </w:r>
    </w:p>
    <w:p w14:paraId="37B5DDFD" w14:textId="77777777" w:rsidR="00F075A6" w:rsidRPr="00C10820" w:rsidRDefault="00F075A6" w:rsidP="00C10820">
      <w:pPr>
        <w:shd w:val="clear" w:color="auto" w:fill="FFFFFF" w:themeFill="background1"/>
        <w:spacing w:before="0" w:after="0"/>
      </w:pPr>
    </w:p>
    <w:p w14:paraId="0A33824D" w14:textId="3F6BEF4A" w:rsidR="00B82B0F" w:rsidRPr="00C10820" w:rsidRDefault="00B82B0F" w:rsidP="00C10820">
      <w:pPr>
        <w:shd w:val="clear" w:color="auto" w:fill="FFFFFF" w:themeFill="background1"/>
        <w:spacing w:before="0" w:after="0"/>
        <w:rPr>
          <w:b/>
          <w:szCs w:val="24"/>
        </w:rPr>
      </w:pPr>
      <w:r w:rsidRPr="00C10820">
        <w:rPr>
          <w:b/>
          <w:szCs w:val="24"/>
        </w:rPr>
        <w:t>Subsection 8(2)</w:t>
      </w:r>
    </w:p>
    <w:p w14:paraId="53D7AD7F" w14:textId="77777777" w:rsidR="00C10820" w:rsidRDefault="00C10820" w:rsidP="00C10820">
      <w:pPr>
        <w:shd w:val="clear" w:color="auto" w:fill="FFFFFF" w:themeFill="background1"/>
        <w:spacing w:before="0" w:after="0"/>
      </w:pPr>
    </w:p>
    <w:p w14:paraId="751A74AC" w14:textId="4F7EF05B" w:rsidR="00B82B0F" w:rsidRPr="00C10820" w:rsidRDefault="00B82B0F" w:rsidP="00C10820">
      <w:pPr>
        <w:shd w:val="clear" w:color="auto" w:fill="FFFFFF" w:themeFill="background1"/>
        <w:spacing w:before="0" w:after="0"/>
      </w:pPr>
      <w:r w:rsidRPr="00C10820">
        <w:lastRenderedPageBreak/>
        <w:t>T</w:t>
      </w:r>
      <w:r w:rsidR="0093255D" w:rsidRPr="00C10820">
        <w:t>his subsection provides that the GRDC may invest in one or more of the following:</w:t>
      </w:r>
    </w:p>
    <w:p w14:paraId="226143E7" w14:textId="5ACEA84E" w:rsidR="00FF26DA" w:rsidRPr="00C10820" w:rsidRDefault="00D4760C" w:rsidP="00C10820">
      <w:pPr>
        <w:pStyle w:val="ListParagraph"/>
        <w:numPr>
          <w:ilvl w:val="0"/>
          <w:numId w:val="19"/>
        </w:numPr>
        <w:shd w:val="clear" w:color="auto" w:fill="FFFFFF"/>
        <w:spacing w:before="0" w:after="0"/>
        <w:rPr>
          <w:color w:val="000000"/>
          <w:szCs w:val="24"/>
        </w:rPr>
      </w:pPr>
      <w:r w:rsidRPr="00C10820">
        <w:rPr>
          <w:color w:val="000000"/>
          <w:szCs w:val="24"/>
        </w:rPr>
        <w:t>bills of exchange accepted or en</w:t>
      </w:r>
      <w:r w:rsidR="00E372FD" w:rsidRPr="00C10820">
        <w:rPr>
          <w:color w:val="000000"/>
          <w:szCs w:val="24"/>
        </w:rPr>
        <w:t>dorsed only by an approved bank;</w:t>
      </w:r>
    </w:p>
    <w:p w14:paraId="502D9E37" w14:textId="7D477889" w:rsidR="00E372FD" w:rsidRPr="00C10820" w:rsidRDefault="00E372FD" w:rsidP="00C10820">
      <w:pPr>
        <w:pStyle w:val="ListParagraph"/>
        <w:numPr>
          <w:ilvl w:val="0"/>
          <w:numId w:val="19"/>
        </w:numPr>
        <w:shd w:val="clear" w:color="auto" w:fill="FFFFFF"/>
        <w:spacing w:before="0" w:after="0"/>
        <w:rPr>
          <w:color w:val="000000"/>
          <w:szCs w:val="24"/>
        </w:rPr>
      </w:pPr>
      <w:r w:rsidRPr="00C10820">
        <w:rPr>
          <w:color w:val="000000"/>
          <w:szCs w:val="24"/>
        </w:rPr>
        <w:t xml:space="preserve">certificates </w:t>
      </w:r>
      <w:r w:rsidR="00AA653A" w:rsidRPr="00C10820">
        <w:rPr>
          <w:color w:val="000000"/>
          <w:szCs w:val="24"/>
        </w:rPr>
        <w:t xml:space="preserve">of deposit with an approved bank; </w:t>
      </w:r>
    </w:p>
    <w:p w14:paraId="1861ADBE" w14:textId="06F7B4C0" w:rsidR="00AA653A" w:rsidRPr="00C10820" w:rsidRDefault="00AA653A" w:rsidP="00C10820">
      <w:pPr>
        <w:pStyle w:val="ListParagraph"/>
        <w:numPr>
          <w:ilvl w:val="0"/>
          <w:numId w:val="19"/>
        </w:numPr>
        <w:shd w:val="clear" w:color="auto" w:fill="FFFFFF"/>
        <w:spacing w:before="0" w:after="0"/>
        <w:rPr>
          <w:color w:val="000000"/>
          <w:szCs w:val="24"/>
        </w:rPr>
      </w:pPr>
      <w:r w:rsidRPr="00C10820">
        <w:rPr>
          <w:color w:val="000000"/>
          <w:szCs w:val="24"/>
        </w:rPr>
        <w:t>floating rate notes issued by an approved bank under a senior debt program;</w:t>
      </w:r>
    </w:p>
    <w:p w14:paraId="618A3CB2" w14:textId="0019390E" w:rsidR="00BA5B9C" w:rsidRPr="00C10820" w:rsidRDefault="00BA5B9C" w:rsidP="00C10820">
      <w:pPr>
        <w:pStyle w:val="ListParagraph"/>
        <w:numPr>
          <w:ilvl w:val="0"/>
          <w:numId w:val="19"/>
        </w:numPr>
        <w:shd w:val="clear" w:color="auto" w:fill="FFFFFF"/>
        <w:spacing w:before="0" w:after="0"/>
        <w:rPr>
          <w:color w:val="000000"/>
          <w:szCs w:val="24"/>
        </w:rPr>
      </w:pPr>
      <w:r w:rsidRPr="00C10820">
        <w:rPr>
          <w:color w:val="000000"/>
          <w:szCs w:val="24"/>
        </w:rPr>
        <w:t xml:space="preserve">11 am call deposits with </w:t>
      </w:r>
      <w:r w:rsidR="00E10916" w:rsidRPr="00C10820">
        <w:rPr>
          <w:color w:val="000000"/>
          <w:szCs w:val="24"/>
        </w:rPr>
        <w:t>an approved bank.</w:t>
      </w:r>
    </w:p>
    <w:p w14:paraId="3C63C86E" w14:textId="77777777" w:rsidR="009B1BAC" w:rsidRPr="00C10820" w:rsidRDefault="009B1BAC" w:rsidP="00C10820">
      <w:pPr>
        <w:shd w:val="clear" w:color="auto" w:fill="FFFFFF"/>
        <w:spacing w:before="0" w:after="0"/>
        <w:rPr>
          <w:color w:val="000000"/>
          <w:szCs w:val="24"/>
        </w:rPr>
      </w:pPr>
    </w:p>
    <w:p w14:paraId="620D7A2F" w14:textId="63FB73A5" w:rsidR="00E10916" w:rsidRPr="00C10820" w:rsidRDefault="00E10916" w:rsidP="00C10820">
      <w:pPr>
        <w:spacing w:before="0" w:after="0"/>
        <w:rPr>
          <w:bCs/>
        </w:rPr>
      </w:pPr>
      <w:r w:rsidRPr="00C10820">
        <w:rPr>
          <w:bCs/>
        </w:rPr>
        <w:t xml:space="preserve">The GRDC </w:t>
      </w:r>
      <w:r w:rsidR="009B1BAC" w:rsidRPr="00C10820">
        <w:rPr>
          <w:bCs/>
        </w:rPr>
        <w:t>may also invest in dematerialised securities that are equivalent to</w:t>
      </w:r>
      <w:r w:rsidR="008B11D6" w:rsidRPr="00C10820">
        <w:rPr>
          <w:bCs/>
        </w:rPr>
        <w:t xml:space="preserve"> the above (with the exception of 11 am call deposits). </w:t>
      </w:r>
      <w:r w:rsidR="004840E5" w:rsidRPr="00C10820">
        <w:rPr>
          <w:bCs/>
        </w:rPr>
        <w:t xml:space="preserve">11 am call deposits </w:t>
      </w:r>
      <w:r w:rsidR="00DB4982" w:rsidRPr="00C10820">
        <w:rPr>
          <w:bCs/>
        </w:rPr>
        <w:t xml:space="preserve">are overnight deposit facilities </w:t>
      </w:r>
      <w:r w:rsidR="00450223" w:rsidRPr="00C10820">
        <w:rPr>
          <w:bCs/>
        </w:rPr>
        <w:t xml:space="preserve">where </w:t>
      </w:r>
      <w:r w:rsidR="00CA54BB" w:rsidRPr="00C10820">
        <w:rPr>
          <w:bCs/>
        </w:rPr>
        <w:t xml:space="preserve">daily access to funds </w:t>
      </w:r>
      <w:r w:rsidR="00643E85" w:rsidRPr="00C10820">
        <w:rPr>
          <w:bCs/>
        </w:rPr>
        <w:t xml:space="preserve">is </w:t>
      </w:r>
      <w:r w:rsidR="00FB1EDF" w:rsidRPr="00C10820">
        <w:rPr>
          <w:bCs/>
        </w:rPr>
        <w:t xml:space="preserve">provided as long as </w:t>
      </w:r>
      <w:r w:rsidR="00A37D16" w:rsidRPr="00C10820">
        <w:rPr>
          <w:bCs/>
        </w:rPr>
        <w:t xml:space="preserve">notice is provided by 11 am that funds are required. </w:t>
      </w:r>
    </w:p>
    <w:p w14:paraId="549E6A96" w14:textId="77777777" w:rsidR="00C10820" w:rsidRDefault="00C10820" w:rsidP="00C10820">
      <w:pPr>
        <w:shd w:val="clear" w:color="auto" w:fill="FFFFFF" w:themeFill="background1"/>
        <w:spacing w:before="0" w:after="0"/>
        <w:rPr>
          <w:b/>
          <w:szCs w:val="24"/>
        </w:rPr>
      </w:pPr>
    </w:p>
    <w:p w14:paraId="01431800" w14:textId="1427C432" w:rsidR="009A37F2" w:rsidRPr="00C10820" w:rsidRDefault="009A37F2" w:rsidP="00C10820">
      <w:pPr>
        <w:shd w:val="clear" w:color="auto" w:fill="FFFFFF" w:themeFill="background1"/>
        <w:spacing w:before="0" w:after="0"/>
        <w:rPr>
          <w:b/>
          <w:szCs w:val="24"/>
        </w:rPr>
      </w:pPr>
      <w:r w:rsidRPr="00C10820">
        <w:rPr>
          <w:b/>
          <w:szCs w:val="24"/>
        </w:rPr>
        <w:t>Subsection 8(3)</w:t>
      </w:r>
    </w:p>
    <w:p w14:paraId="2EBFBB6D" w14:textId="77777777" w:rsidR="00C10820" w:rsidRDefault="00C10820" w:rsidP="00C10820">
      <w:pPr>
        <w:shd w:val="clear" w:color="auto" w:fill="FFFFFF" w:themeFill="background1"/>
        <w:spacing w:before="0" w:after="0"/>
      </w:pPr>
    </w:p>
    <w:p w14:paraId="05FC5BE5" w14:textId="5C6BCDB7" w:rsidR="009A37F2" w:rsidRPr="00C10820" w:rsidRDefault="009A37F2" w:rsidP="00C10820">
      <w:pPr>
        <w:shd w:val="clear" w:color="auto" w:fill="FFFFFF" w:themeFill="background1"/>
        <w:spacing w:before="0" w:after="0"/>
      </w:pPr>
      <w:r w:rsidRPr="00C10820">
        <w:t xml:space="preserve">This subsection provides that investments must be in the name of the GRDC and denominated in Australian currency. </w:t>
      </w:r>
    </w:p>
    <w:p w14:paraId="21B389F0" w14:textId="77777777" w:rsidR="008C4B88" w:rsidRPr="00C10820" w:rsidRDefault="008C4B88" w:rsidP="00C10820">
      <w:pPr>
        <w:shd w:val="clear" w:color="auto" w:fill="FFFFFF" w:themeFill="background1"/>
        <w:spacing w:before="0" w:after="0"/>
        <w:rPr>
          <w:b/>
          <w:szCs w:val="24"/>
        </w:rPr>
      </w:pPr>
    </w:p>
    <w:p w14:paraId="61D1F868" w14:textId="738100FF" w:rsidR="008C4B88" w:rsidRPr="00C10820" w:rsidRDefault="008C4B88" w:rsidP="00C10820">
      <w:pPr>
        <w:shd w:val="clear" w:color="auto" w:fill="FFFFFF" w:themeFill="background1"/>
        <w:spacing w:before="0" w:after="0"/>
        <w:rPr>
          <w:b/>
          <w:szCs w:val="24"/>
        </w:rPr>
      </w:pPr>
      <w:r w:rsidRPr="00C10820">
        <w:rPr>
          <w:b/>
          <w:szCs w:val="24"/>
        </w:rPr>
        <w:t>Subsection 8(4)</w:t>
      </w:r>
    </w:p>
    <w:p w14:paraId="0C81CBF2" w14:textId="77777777" w:rsidR="00C10820" w:rsidRDefault="00C10820" w:rsidP="00C10820">
      <w:pPr>
        <w:shd w:val="clear" w:color="auto" w:fill="FFFFFF" w:themeFill="background1"/>
        <w:spacing w:before="0" w:after="0"/>
      </w:pPr>
    </w:p>
    <w:p w14:paraId="4F339110" w14:textId="0C860530" w:rsidR="008C4B88" w:rsidRPr="00C10820" w:rsidRDefault="008C4B88" w:rsidP="00C10820">
      <w:pPr>
        <w:shd w:val="clear" w:color="auto" w:fill="FFFFFF" w:themeFill="background1"/>
        <w:spacing w:before="0" w:after="0"/>
      </w:pPr>
      <w:r w:rsidRPr="00C10820">
        <w:t xml:space="preserve">This subsection provides that </w:t>
      </w:r>
      <w:r w:rsidR="0052709F" w:rsidRPr="00C10820">
        <w:t>investments</w:t>
      </w:r>
      <w:r w:rsidR="00E91CBF" w:rsidRPr="00C10820">
        <w:t xml:space="preserve"> in</w:t>
      </w:r>
      <w:r w:rsidR="0052709F" w:rsidRPr="00C10820">
        <w:t xml:space="preserve"> </w:t>
      </w:r>
      <w:r w:rsidR="000E6503" w:rsidRPr="00C10820">
        <w:t xml:space="preserve">floating </w:t>
      </w:r>
      <w:r w:rsidR="008368EB" w:rsidRPr="00C10820">
        <w:t>rate notes issued by an approved bank under a senior debt program</w:t>
      </w:r>
      <w:r w:rsidR="00B63BC0" w:rsidRPr="00C10820">
        <w:t xml:space="preserve"> (or </w:t>
      </w:r>
      <w:r w:rsidR="00AC127B" w:rsidRPr="00C10820">
        <w:t xml:space="preserve">the equivalent in dematerialised </w:t>
      </w:r>
      <w:r w:rsidR="003870C7" w:rsidRPr="00C10820">
        <w:t>securities</w:t>
      </w:r>
      <w:r w:rsidR="00AC127B" w:rsidRPr="00C10820">
        <w:t xml:space="preserve">) must </w:t>
      </w:r>
      <w:r w:rsidR="00595920" w:rsidRPr="00C10820">
        <w:t xml:space="preserve">not </w:t>
      </w:r>
      <w:r w:rsidR="00AC127B" w:rsidRPr="00C10820">
        <w:t xml:space="preserve">either cumulatively or singly </w:t>
      </w:r>
      <w:r w:rsidR="00E112FB" w:rsidRPr="00C10820">
        <w:t xml:space="preserve">exceed 20% of the total </w:t>
      </w:r>
      <w:r w:rsidR="005C0635" w:rsidRPr="00C10820">
        <w:t xml:space="preserve">investments of the GRDC. </w:t>
      </w:r>
    </w:p>
    <w:p w14:paraId="5B6DBF74" w14:textId="77777777" w:rsidR="00C10820" w:rsidRDefault="00C10820" w:rsidP="00C10820">
      <w:pPr>
        <w:spacing w:before="0" w:after="0"/>
        <w:rPr>
          <w:b/>
        </w:rPr>
      </w:pPr>
    </w:p>
    <w:p w14:paraId="07E938D3" w14:textId="6A79BDA8" w:rsidR="005153C7" w:rsidRPr="00C10820" w:rsidRDefault="005153C7" w:rsidP="00C10820">
      <w:pPr>
        <w:spacing w:before="0" w:after="0"/>
        <w:rPr>
          <w:b/>
          <w:sz w:val="22"/>
          <w:szCs w:val="22"/>
          <w:lang w:eastAsia="en-US"/>
        </w:rPr>
      </w:pPr>
      <w:r w:rsidRPr="00C10820">
        <w:rPr>
          <w:b/>
        </w:rPr>
        <w:t xml:space="preserve">Part 5 – The Rural </w:t>
      </w:r>
      <w:r w:rsidR="009778DD" w:rsidRPr="00C10820">
        <w:rPr>
          <w:b/>
        </w:rPr>
        <w:t>Industries Research and Development Corporation</w:t>
      </w:r>
      <w:r w:rsidRPr="00C10820">
        <w:rPr>
          <w:b/>
        </w:rPr>
        <w:t xml:space="preserve"> </w:t>
      </w:r>
    </w:p>
    <w:p w14:paraId="45624F39" w14:textId="77777777" w:rsidR="00C10820" w:rsidRDefault="00C10820" w:rsidP="00C10820">
      <w:pPr>
        <w:shd w:val="clear" w:color="auto" w:fill="FFFFFF" w:themeFill="background1"/>
        <w:spacing w:before="0" w:after="0"/>
        <w:rPr>
          <w:b/>
          <w:szCs w:val="24"/>
        </w:rPr>
      </w:pPr>
    </w:p>
    <w:p w14:paraId="1935BB37" w14:textId="1C56B4C9" w:rsidR="005153C7" w:rsidRPr="00C10820" w:rsidRDefault="005153C7" w:rsidP="00C10820">
      <w:pPr>
        <w:shd w:val="clear" w:color="auto" w:fill="FFFFFF" w:themeFill="background1"/>
        <w:spacing w:before="0" w:after="0"/>
        <w:rPr>
          <w:b/>
          <w:szCs w:val="24"/>
        </w:rPr>
      </w:pPr>
      <w:r w:rsidRPr="00C10820">
        <w:rPr>
          <w:b/>
          <w:szCs w:val="24"/>
        </w:rPr>
        <w:t xml:space="preserve">Section </w:t>
      </w:r>
      <w:r w:rsidR="00A76FBF" w:rsidRPr="00C10820">
        <w:rPr>
          <w:b/>
          <w:szCs w:val="24"/>
        </w:rPr>
        <w:t>9</w:t>
      </w:r>
    </w:p>
    <w:p w14:paraId="1CB29983" w14:textId="77777777" w:rsidR="00C10820" w:rsidRDefault="00C10820" w:rsidP="00C10820">
      <w:pPr>
        <w:spacing w:before="0" w:after="0"/>
        <w:rPr>
          <w:bCs/>
        </w:rPr>
      </w:pPr>
    </w:p>
    <w:p w14:paraId="46691F4C" w14:textId="5E023F94" w:rsidR="00272F3D" w:rsidRPr="00C10820" w:rsidRDefault="009D30F1" w:rsidP="00C10820">
      <w:pPr>
        <w:spacing w:before="0" w:after="0"/>
        <w:rPr>
          <w:bCs/>
        </w:rPr>
      </w:pPr>
      <w:r w:rsidRPr="00C10820">
        <w:rPr>
          <w:bCs/>
        </w:rPr>
        <w:t>This section provides that the Rural Industries Research and Development Corporation (</w:t>
      </w:r>
      <w:r w:rsidR="005A2963">
        <w:rPr>
          <w:bCs/>
        </w:rPr>
        <w:t>RIRDC</w:t>
      </w:r>
      <w:r w:rsidRPr="00C10820">
        <w:rPr>
          <w:bCs/>
        </w:rPr>
        <w:t xml:space="preserve">) </w:t>
      </w:r>
      <w:r w:rsidR="00892756" w:rsidRPr="00C10820">
        <w:rPr>
          <w:bCs/>
        </w:rPr>
        <w:t>is authorised to</w:t>
      </w:r>
      <w:r w:rsidR="00BE68C5" w:rsidRPr="00C10820">
        <w:rPr>
          <w:bCs/>
        </w:rPr>
        <w:t xml:space="preserve"> invest </w:t>
      </w:r>
      <w:r w:rsidR="00840260" w:rsidRPr="00C10820">
        <w:rPr>
          <w:bCs/>
        </w:rPr>
        <w:t>relevant money for which they are responsible in</w:t>
      </w:r>
      <w:r w:rsidR="004379A4" w:rsidRPr="00C10820">
        <w:rPr>
          <w:bCs/>
        </w:rPr>
        <w:t xml:space="preserve"> </w:t>
      </w:r>
      <w:r w:rsidR="00F544B5" w:rsidRPr="00C10820">
        <w:rPr>
          <w:bCs/>
        </w:rPr>
        <w:t>bills of exchange accepted or endorsed only by an approved bank</w:t>
      </w:r>
      <w:r w:rsidR="004379A4" w:rsidRPr="00C10820">
        <w:rPr>
          <w:bCs/>
        </w:rPr>
        <w:t xml:space="preserve"> (or </w:t>
      </w:r>
      <w:r w:rsidR="00F003C6" w:rsidRPr="00C10820">
        <w:rPr>
          <w:bCs/>
        </w:rPr>
        <w:t xml:space="preserve">the </w:t>
      </w:r>
      <w:r w:rsidR="00622AF6" w:rsidRPr="00C10820">
        <w:rPr>
          <w:bCs/>
        </w:rPr>
        <w:t xml:space="preserve">equivalent </w:t>
      </w:r>
      <w:r w:rsidR="00F003C6" w:rsidRPr="00C10820">
        <w:rPr>
          <w:bCs/>
        </w:rPr>
        <w:t xml:space="preserve">in </w:t>
      </w:r>
      <w:r w:rsidR="004379A4" w:rsidRPr="00C10820">
        <w:rPr>
          <w:bCs/>
        </w:rPr>
        <w:t>dematerialised securities</w:t>
      </w:r>
      <w:r w:rsidR="00553732" w:rsidRPr="00C10820">
        <w:rPr>
          <w:bCs/>
        </w:rPr>
        <w:t xml:space="preserve">). </w:t>
      </w:r>
      <w:r w:rsidR="00AD25AE" w:rsidRPr="00C10820">
        <w:rPr>
          <w:bCs/>
        </w:rPr>
        <w:t xml:space="preserve">Investments must be in the name of the </w:t>
      </w:r>
      <w:r w:rsidR="005A2963">
        <w:rPr>
          <w:bCs/>
        </w:rPr>
        <w:t>RIRDC</w:t>
      </w:r>
      <w:r w:rsidR="00AD25AE" w:rsidRPr="00C10820">
        <w:rPr>
          <w:bCs/>
        </w:rPr>
        <w:t xml:space="preserve"> and denominated in Australian currency. </w:t>
      </w:r>
      <w:r w:rsidR="00622AF6" w:rsidRPr="00C10820">
        <w:rPr>
          <w:bCs/>
        </w:rPr>
        <w:t xml:space="preserve"> </w:t>
      </w:r>
    </w:p>
    <w:p w14:paraId="4C258526" w14:textId="77777777" w:rsidR="00C10820" w:rsidRDefault="00C10820" w:rsidP="00C10820">
      <w:pPr>
        <w:spacing w:before="0" w:after="0"/>
        <w:rPr>
          <w:b/>
        </w:rPr>
      </w:pPr>
    </w:p>
    <w:p w14:paraId="1F96263E" w14:textId="0AB7E6FF" w:rsidR="00CF2A28" w:rsidRPr="00C10820" w:rsidRDefault="00CF2A28" w:rsidP="00C10820">
      <w:pPr>
        <w:spacing w:before="0" w:after="0"/>
        <w:rPr>
          <w:b/>
          <w:sz w:val="22"/>
          <w:szCs w:val="22"/>
          <w:lang w:eastAsia="en-US"/>
        </w:rPr>
      </w:pPr>
      <w:r w:rsidRPr="00C10820">
        <w:rPr>
          <w:b/>
        </w:rPr>
        <w:t xml:space="preserve">Part 6 – The Commonwealth Scientific </w:t>
      </w:r>
      <w:r w:rsidR="00363463" w:rsidRPr="00C10820">
        <w:rPr>
          <w:b/>
        </w:rPr>
        <w:t xml:space="preserve">and Industrial Research </w:t>
      </w:r>
      <w:r w:rsidR="00C66AF4" w:rsidRPr="00C10820">
        <w:rPr>
          <w:b/>
        </w:rPr>
        <w:t>Organisation</w:t>
      </w:r>
      <w:r w:rsidR="00363463" w:rsidRPr="00C10820">
        <w:rPr>
          <w:b/>
        </w:rPr>
        <w:t xml:space="preserve"> </w:t>
      </w:r>
    </w:p>
    <w:p w14:paraId="6B6C3D9E" w14:textId="77777777" w:rsidR="00C10820" w:rsidRDefault="00C10820" w:rsidP="00C10820">
      <w:pPr>
        <w:shd w:val="clear" w:color="auto" w:fill="FFFFFF" w:themeFill="background1"/>
        <w:spacing w:before="0" w:after="0"/>
        <w:rPr>
          <w:b/>
          <w:szCs w:val="24"/>
        </w:rPr>
      </w:pPr>
    </w:p>
    <w:p w14:paraId="5E45CB79" w14:textId="5671EBB4" w:rsidR="00CF2A28" w:rsidRPr="00C10820" w:rsidRDefault="00CF2A28" w:rsidP="00C10820">
      <w:pPr>
        <w:shd w:val="clear" w:color="auto" w:fill="FFFFFF" w:themeFill="background1"/>
        <w:spacing w:before="0" w:after="0"/>
        <w:rPr>
          <w:b/>
          <w:szCs w:val="24"/>
        </w:rPr>
      </w:pPr>
      <w:r w:rsidRPr="00C10820">
        <w:rPr>
          <w:b/>
          <w:szCs w:val="24"/>
        </w:rPr>
        <w:t xml:space="preserve">Section </w:t>
      </w:r>
      <w:r w:rsidR="0090434C" w:rsidRPr="00C10820">
        <w:rPr>
          <w:b/>
          <w:szCs w:val="24"/>
        </w:rPr>
        <w:t>10</w:t>
      </w:r>
    </w:p>
    <w:p w14:paraId="29B16BBB" w14:textId="77777777" w:rsidR="00C10820" w:rsidRDefault="00C10820" w:rsidP="00C10820">
      <w:pPr>
        <w:shd w:val="clear" w:color="auto" w:fill="FFFFFF" w:themeFill="background1"/>
        <w:spacing w:before="0" w:after="0"/>
      </w:pPr>
    </w:p>
    <w:p w14:paraId="369BCE94" w14:textId="3284BF73" w:rsidR="00CF2A28" w:rsidRPr="00C10820" w:rsidRDefault="00CF2A28" w:rsidP="00C10820">
      <w:pPr>
        <w:shd w:val="clear" w:color="auto" w:fill="FFFFFF" w:themeFill="background1"/>
        <w:spacing w:before="0" w:after="0"/>
      </w:pPr>
      <w:r w:rsidRPr="00C10820">
        <w:t xml:space="preserve">This section provides that the </w:t>
      </w:r>
      <w:r w:rsidR="00C66AF4" w:rsidRPr="00C10820">
        <w:t>Commonwealth Scientific and Industrial Research Organisation</w:t>
      </w:r>
      <w:r w:rsidRPr="00C10820">
        <w:t xml:space="preserve"> (the </w:t>
      </w:r>
      <w:r w:rsidR="00C66AF4" w:rsidRPr="00C10820">
        <w:t>CSIRO</w:t>
      </w:r>
      <w:r w:rsidRPr="00C10820">
        <w:t xml:space="preserve">) </w:t>
      </w:r>
      <w:r w:rsidR="00887A08" w:rsidRPr="00C10820">
        <w:t xml:space="preserve">is authorised to </w:t>
      </w:r>
      <w:r w:rsidRPr="00C10820">
        <w:t>invest relevant money for which they are responsible in:</w:t>
      </w:r>
    </w:p>
    <w:p w14:paraId="1250D3A4" w14:textId="77777777" w:rsidR="00CF2A28" w:rsidRPr="00C10820" w:rsidRDefault="00CF2A28" w:rsidP="00C10820">
      <w:pPr>
        <w:pStyle w:val="ListParagraph"/>
        <w:numPr>
          <w:ilvl w:val="0"/>
          <w:numId w:val="15"/>
        </w:numPr>
        <w:shd w:val="clear" w:color="auto" w:fill="FFFFFF" w:themeFill="background1"/>
        <w:spacing w:before="0" w:after="0"/>
        <w:rPr>
          <w:b/>
          <w:szCs w:val="24"/>
        </w:rPr>
      </w:pPr>
      <w:r w:rsidRPr="00C10820">
        <w:rPr>
          <w:bCs/>
          <w:szCs w:val="24"/>
        </w:rPr>
        <w:t xml:space="preserve">bills of exchange accepted or endorsed only by an approved bank; </w:t>
      </w:r>
    </w:p>
    <w:p w14:paraId="41D4062E" w14:textId="77777777" w:rsidR="00CF2A28" w:rsidRPr="00C10820" w:rsidRDefault="00CF2A28" w:rsidP="00C10820">
      <w:pPr>
        <w:pStyle w:val="ListParagraph"/>
        <w:numPr>
          <w:ilvl w:val="0"/>
          <w:numId w:val="15"/>
        </w:numPr>
        <w:shd w:val="clear" w:color="auto" w:fill="FFFFFF" w:themeFill="background1"/>
        <w:spacing w:before="0" w:after="0"/>
        <w:rPr>
          <w:b/>
          <w:szCs w:val="24"/>
        </w:rPr>
      </w:pPr>
      <w:r w:rsidRPr="00C10820">
        <w:rPr>
          <w:bCs/>
          <w:szCs w:val="24"/>
        </w:rPr>
        <w:t xml:space="preserve">certificates of deposit with an approved bank. </w:t>
      </w:r>
    </w:p>
    <w:p w14:paraId="7DFDF71D" w14:textId="77777777" w:rsidR="00CF2A28" w:rsidRPr="00C10820" w:rsidRDefault="00CF2A28" w:rsidP="00C10820">
      <w:pPr>
        <w:shd w:val="clear" w:color="auto" w:fill="FFFFFF"/>
        <w:spacing w:before="0" w:after="0"/>
        <w:rPr>
          <w:color w:val="000000"/>
          <w:szCs w:val="24"/>
        </w:rPr>
      </w:pPr>
    </w:p>
    <w:p w14:paraId="5CE5E56D" w14:textId="47D4334C" w:rsidR="00616D1B" w:rsidRPr="00C10820" w:rsidRDefault="00CF2A28" w:rsidP="00C10820">
      <w:pPr>
        <w:shd w:val="clear" w:color="auto" w:fill="FFFFFF"/>
        <w:spacing w:before="0" w:after="0"/>
        <w:rPr>
          <w:color w:val="000000"/>
          <w:szCs w:val="24"/>
        </w:rPr>
      </w:pPr>
      <w:r w:rsidRPr="00C10820">
        <w:rPr>
          <w:color w:val="000000"/>
          <w:szCs w:val="24"/>
        </w:rPr>
        <w:t xml:space="preserve">They may also invest in dematerialised securities that are the equivalent of the above. Investments must be in the name of the </w:t>
      </w:r>
      <w:r w:rsidR="005748BC" w:rsidRPr="00C10820">
        <w:rPr>
          <w:color w:val="000000"/>
          <w:szCs w:val="24"/>
        </w:rPr>
        <w:t xml:space="preserve">CSIRO </w:t>
      </w:r>
      <w:r w:rsidRPr="00C10820">
        <w:rPr>
          <w:color w:val="000000"/>
          <w:szCs w:val="24"/>
        </w:rPr>
        <w:t xml:space="preserve">and denominated in Australian currency. </w:t>
      </w:r>
    </w:p>
    <w:p w14:paraId="14CBC1BD" w14:textId="77777777" w:rsidR="00C10820" w:rsidRDefault="00C10820" w:rsidP="00C10820">
      <w:pPr>
        <w:spacing w:before="0" w:after="0"/>
        <w:rPr>
          <w:b/>
        </w:rPr>
      </w:pPr>
    </w:p>
    <w:p w14:paraId="3AA64D4A" w14:textId="382FA598" w:rsidR="00616D1B" w:rsidRPr="00C10820" w:rsidRDefault="00616D1B" w:rsidP="00C10820">
      <w:pPr>
        <w:spacing w:before="0" w:after="0"/>
        <w:rPr>
          <w:b/>
          <w:sz w:val="22"/>
          <w:szCs w:val="22"/>
          <w:lang w:eastAsia="en-US"/>
        </w:rPr>
      </w:pPr>
      <w:r w:rsidRPr="00C10820">
        <w:rPr>
          <w:b/>
        </w:rPr>
        <w:t xml:space="preserve">Part 7 – The Civil Aviation Safety Authority  </w:t>
      </w:r>
    </w:p>
    <w:p w14:paraId="506EA639" w14:textId="77777777" w:rsidR="00C10820" w:rsidRDefault="00C10820" w:rsidP="00C10820">
      <w:pPr>
        <w:shd w:val="clear" w:color="auto" w:fill="FFFFFF" w:themeFill="background1"/>
        <w:spacing w:before="0" w:after="0"/>
        <w:rPr>
          <w:b/>
          <w:szCs w:val="24"/>
        </w:rPr>
      </w:pPr>
    </w:p>
    <w:p w14:paraId="18EFF5F0" w14:textId="67D423CF" w:rsidR="00616D1B" w:rsidRPr="00C10820" w:rsidRDefault="00616D1B" w:rsidP="00C10820">
      <w:pPr>
        <w:shd w:val="clear" w:color="auto" w:fill="FFFFFF" w:themeFill="background1"/>
        <w:spacing w:before="0" w:after="0"/>
        <w:rPr>
          <w:b/>
          <w:szCs w:val="24"/>
        </w:rPr>
      </w:pPr>
      <w:r w:rsidRPr="00C10820">
        <w:rPr>
          <w:b/>
          <w:szCs w:val="24"/>
        </w:rPr>
        <w:t>Section 1</w:t>
      </w:r>
      <w:r w:rsidR="00FF4764" w:rsidRPr="00C10820">
        <w:rPr>
          <w:b/>
          <w:szCs w:val="24"/>
        </w:rPr>
        <w:t>1</w:t>
      </w:r>
    </w:p>
    <w:p w14:paraId="253BF096" w14:textId="77777777" w:rsidR="00C10820" w:rsidRDefault="00C10820" w:rsidP="00C10820">
      <w:pPr>
        <w:shd w:val="clear" w:color="auto" w:fill="FFFFFF" w:themeFill="background1"/>
        <w:spacing w:before="0" w:after="0"/>
      </w:pPr>
    </w:p>
    <w:p w14:paraId="48BABACC" w14:textId="2500A80E" w:rsidR="00616D1B" w:rsidRPr="00C10820" w:rsidRDefault="00616D1B" w:rsidP="00C10820">
      <w:pPr>
        <w:shd w:val="clear" w:color="auto" w:fill="FFFFFF" w:themeFill="background1"/>
        <w:spacing w:before="0" w:after="0"/>
      </w:pPr>
      <w:r w:rsidRPr="00C10820">
        <w:lastRenderedPageBreak/>
        <w:t xml:space="preserve">This section provides that the </w:t>
      </w:r>
      <w:r w:rsidR="00FF4764" w:rsidRPr="00C10820">
        <w:t>Civil Aviation Safety Authority</w:t>
      </w:r>
      <w:r w:rsidRPr="00C10820">
        <w:t xml:space="preserve"> (</w:t>
      </w:r>
      <w:r w:rsidR="00FF4764" w:rsidRPr="00C10820">
        <w:t>CASA</w:t>
      </w:r>
      <w:r w:rsidRPr="00C10820">
        <w:t xml:space="preserve">) </w:t>
      </w:r>
      <w:r w:rsidR="00F63260" w:rsidRPr="00C10820">
        <w:t>is authorised to invest</w:t>
      </w:r>
      <w:r w:rsidRPr="00C10820">
        <w:t xml:space="preserve"> relevant money for which they are responsible in:</w:t>
      </w:r>
    </w:p>
    <w:p w14:paraId="3E9D104E" w14:textId="77777777" w:rsidR="00616D1B" w:rsidRPr="00C10820" w:rsidRDefault="00616D1B" w:rsidP="00C10820">
      <w:pPr>
        <w:pStyle w:val="ListParagraph"/>
        <w:numPr>
          <w:ilvl w:val="0"/>
          <w:numId w:val="15"/>
        </w:numPr>
        <w:shd w:val="clear" w:color="auto" w:fill="FFFFFF" w:themeFill="background1"/>
        <w:spacing w:before="0" w:after="0"/>
        <w:rPr>
          <w:b/>
          <w:szCs w:val="24"/>
        </w:rPr>
      </w:pPr>
      <w:r w:rsidRPr="00C10820">
        <w:rPr>
          <w:bCs/>
          <w:szCs w:val="24"/>
        </w:rPr>
        <w:t xml:space="preserve">bills of exchange accepted or endorsed only by an approved bank; </w:t>
      </w:r>
    </w:p>
    <w:p w14:paraId="2A876544" w14:textId="77777777" w:rsidR="00616D1B" w:rsidRPr="00C10820" w:rsidRDefault="00616D1B" w:rsidP="00C10820">
      <w:pPr>
        <w:pStyle w:val="ListParagraph"/>
        <w:numPr>
          <w:ilvl w:val="0"/>
          <w:numId w:val="15"/>
        </w:numPr>
        <w:shd w:val="clear" w:color="auto" w:fill="FFFFFF" w:themeFill="background1"/>
        <w:spacing w:before="0" w:after="0"/>
        <w:rPr>
          <w:b/>
          <w:szCs w:val="24"/>
        </w:rPr>
      </w:pPr>
      <w:r w:rsidRPr="00C10820">
        <w:rPr>
          <w:bCs/>
          <w:szCs w:val="24"/>
        </w:rPr>
        <w:t xml:space="preserve">certificates of deposit with an approved bank. </w:t>
      </w:r>
    </w:p>
    <w:p w14:paraId="2744AEE2" w14:textId="77777777" w:rsidR="00616D1B" w:rsidRPr="00C10820" w:rsidRDefault="00616D1B" w:rsidP="00C10820">
      <w:pPr>
        <w:shd w:val="clear" w:color="auto" w:fill="FFFFFF"/>
        <w:spacing w:before="0" w:after="0"/>
        <w:rPr>
          <w:color w:val="000000"/>
          <w:szCs w:val="24"/>
        </w:rPr>
      </w:pPr>
    </w:p>
    <w:p w14:paraId="5428C1F9" w14:textId="27F84608" w:rsidR="00616D1B" w:rsidRPr="00C10820" w:rsidRDefault="00616D1B" w:rsidP="00C10820">
      <w:pPr>
        <w:shd w:val="clear" w:color="auto" w:fill="FFFFFF"/>
        <w:spacing w:before="0" w:after="0"/>
        <w:rPr>
          <w:color w:val="000000"/>
          <w:szCs w:val="24"/>
        </w:rPr>
      </w:pPr>
      <w:r w:rsidRPr="00C10820">
        <w:rPr>
          <w:color w:val="000000"/>
          <w:szCs w:val="24"/>
        </w:rPr>
        <w:t xml:space="preserve">They may also invest in dematerialised securities that are the equivalent of the above. Investments must be in the name of </w:t>
      </w:r>
      <w:r w:rsidR="00FF4764" w:rsidRPr="00C10820">
        <w:rPr>
          <w:color w:val="000000"/>
          <w:szCs w:val="24"/>
        </w:rPr>
        <w:t xml:space="preserve">CASA </w:t>
      </w:r>
      <w:r w:rsidRPr="00C10820">
        <w:rPr>
          <w:color w:val="000000"/>
          <w:szCs w:val="24"/>
        </w:rPr>
        <w:t xml:space="preserve">and denominated in Australian currency. </w:t>
      </w:r>
    </w:p>
    <w:p w14:paraId="400B750B" w14:textId="77777777" w:rsidR="00C10820" w:rsidRDefault="00C10820" w:rsidP="00C10820">
      <w:pPr>
        <w:spacing w:before="0" w:after="0"/>
        <w:rPr>
          <w:b/>
        </w:rPr>
      </w:pPr>
    </w:p>
    <w:p w14:paraId="6EAB5167" w14:textId="0789799F" w:rsidR="003A1224" w:rsidRPr="00C10820" w:rsidRDefault="003A1224" w:rsidP="00C10820">
      <w:pPr>
        <w:spacing w:before="0" w:after="0"/>
        <w:rPr>
          <w:b/>
          <w:sz w:val="22"/>
          <w:szCs w:val="22"/>
          <w:lang w:eastAsia="en-US"/>
        </w:rPr>
      </w:pPr>
      <w:r w:rsidRPr="00C10820">
        <w:rPr>
          <w:b/>
        </w:rPr>
        <w:t xml:space="preserve">Part 8 – Australian Hearing Services  </w:t>
      </w:r>
    </w:p>
    <w:p w14:paraId="21AD6C44" w14:textId="77777777" w:rsidR="00C10820" w:rsidRDefault="00C10820" w:rsidP="00C10820">
      <w:pPr>
        <w:shd w:val="clear" w:color="auto" w:fill="FFFFFF" w:themeFill="background1"/>
        <w:spacing w:before="0" w:after="0"/>
        <w:rPr>
          <w:b/>
          <w:szCs w:val="24"/>
        </w:rPr>
      </w:pPr>
    </w:p>
    <w:p w14:paraId="3D5ED02F" w14:textId="12960E40" w:rsidR="003A1224" w:rsidRPr="00C10820" w:rsidRDefault="003A1224" w:rsidP="00C10820">
      <w:pPr>
        <w:shd w:val="clear" w:color="auto" w:fill="FFFFFF" w:themeFill="background1"/>
        <w:spacing w:before="0" w:after="0"/>
        <w:rPr>
          <w:b/>
          <w:szCs w:val="24"/>
        </w:rPr>
      </w:pPr>
      <w:r w:rsidRPr="00C10820">
        <w:rPr>
          <w:b/>
          <w:szCs w:val="24"/>
        </w:rPr>
        <w:t>Section 1</w:t>
      </w:r>
      <w:r w:rsidR="003E6DB8" w:rsidRPr="00C10820">
        <w:rPr>
          <w:b/>
          <w:szCs w:val="24"/>
        </w:rPr>
        <w:t>2</w:t>
      </w:r>
    </w:p>
    <w:p w14:paraId="6A808413" w14:textId="77777777" w:rsidR="00C10820" w:rsidRDefault="00C10820" w:rsidP="00C10820">
      <w:pPr>
        <w:shd w:val="clear" w:color="auto" w:fill="FFFFFF" w:themeFill="background1"/>
        <w:spacing w:before="0" w:after="0"/>
      </w:pPr>
    </w:p>
    <w:p w14:paraId="1931AEC6" w14:textId="151F3D54" w:rsidR="003A1224" w:rsidRPr="00C10820" w:rsidRDefault="003A1224" w:rsidP="00C10820">
      <w:pPr>
        <w:shd w:val="clear" w:color="auto" w:fill="FFFFFF" w:themeFill="background1"/>
        <w:spacing w:before="0" w:after="0"/>
        <w:rPr>
          <w:color w:val="000000"/>
          <w:szCs w:val="24"/>
        </w:rPr>
      </w:pPr>
      <w:r w:rsidRPr="00C10820">
        <w:t xml:space="preserve">This section provides that </w:t>
      </w:r>
      <w:r w:rsidR="00AC720A" w:rsidRPr="00C10820">
        <w:t xml:space="preserve">Australian Hearing </w:t>
      </w:r>
      <w:r w:rsidR="00655AF4" w:rsidRPr="00C10820">
        <w:t xml:space="preserve">Services </w:t>
      </w:r>
      <w:r w:rsidR="00A27FD5" w:rsidRPr="00C10820">
        <w:t xml:space="preserve">is authorised to invest relevant money for which they are </w:t>
      </w:r>
      <w:r w:rsidR="007411E6" w:rsidRPr="00C10820">
        <w:t>responsible</w:t>
      </w:r>
      <w:r w:rsidR="00A27FD5" w:rsidRPr="00C10820">
        <w:t xml:space="preserve"> in bills of exchange accepted or endorsed only by an approved bank (or the equi</w:t>
      </w:r>
      <w:r w:rsidR="00DA0E07" w:rsidRPr="00C10820">
        <w:t xml:space="preserve">valent in dematerialised securities). Investments must be in the name of Australian Hearing Services and denominated in Australian currency. </w:t>
      </w:r>
    </w:p>
    <w:p w14:paraId="41CCAB60" w14:textId="77777777" w:rsidR="00C10820" w:rsidRDefault="00C10820" w:rsidP="00C10820">
      <w:pPr>
        <w:spacing w:before="0" w:after="0"/>
        <w:rPr>
          <w:b/>
        </w:rPr>
      </w:pPr>
    </w:p>
    <w:p w14:paraId="38A8BF7A" w14:textId="5F57AE75" w:rsidR="00231FCC" w:rsidRPr="00C10820" w:rsidRDefault="00231FCC" w:rsidP="00C10820">
      <w:pPr>
        <w:spacing w:before="0" w:after="0"/>
        <w:rPr>
          <w:b/>
          <w:sz w:val="22"/>
          <w:szCs w:val="22"/>
          <w:lang w:eastAsia="en-US"/>
        </w:rPr>
      </w:pPr>
      <w:r w:rsidRPr="00C10820">
        <w:rPr>
          <w:b/>
        </w:rPr>
        <w:t xml:space="preserve">Part </w:t>
      </w:r>
      <w:r w:rsidR="008716D6" w:rsidRPr="00C10820">
        <w:rPr>
          <w:b/>
        </w:rPr>
        <w:t>9</w:t>
      </w:r>
      <w:r w:rsidRPr="00C10820">
        <w:rPr>
          <w:b/>
        </w:rPr>
        <w:t xml:space="preserve"> – </w:t>
      </w:r>
      <w:r w:rsidR="008716D6" w:rsidRPr="00C10820">
        <w:rPr>
          <w:b/>
        </w:rPr>
        <w:t xml:space="preserve">The Australian Nuclear Science and Technology </w:t>
      </w:r>
      <w:r w:rsidR="005A35CE" w:rsidRPr="00C10820">
        <w:rPr>
          <w:b/>
        </w:rPr>
        <w:t>O</w:t>
      </w:r>
      <w:r w:rsidR="008716D6" w:rsidRPr="00C10820">
        <w:rPr>
          <w:b/>
        </w:rPr>
        <w:t xml:space="preserve">rganisation </w:t>
      </w:r>
      <w:r w:rsidRPr="00C10820">
        <w:rPr>
          <w:b/>
        </w:rPr>
        <w:t xml:space="preserve">  </w:t>
      </w:r>
    </w:p>
    <w:p w14:paraId="57763232" w14:textId="77777777" w:rsidR="00C10820" w:rsidRDefault="00C10820" w:rsidP="00C10820">
      <w:pPr>
        <w:shd w:val="clear" w:color="auto" w:fill="FFFFFF" w:themeFill="background1"/>
        <w:spacing w:before="0" w:after="0"/>
        <w:rPr>
          <w:b/>
          <w:szCs w:val="24"/>
        </w:rPr>
      </w:pPr>
    </w:p>
    <w:p w14:paraId="3CC687C8" w14:textId="63D758CA" w:rsidR="00231FCC" w:rsidRPr="00C10820" w:rsidRDefault="00231FCC" w:rsidP="00C10820">
      <w:pPr>
        <w:shd w:val="clear" w:color="auto" w:fill="FFFFFF" w:themeFill="background1"/>
        <w:spacing w:before="0" w:after="0"/>
        <w:rPr>
          <w:b/>
          <w:szCs w:val="24"/>
        </w:rPr>
      </w:pPr>
      <w:r w:rsidRPr="00C10820">
        <w:rPr>
          <w:b/>
          <w:szCs w:val="24"/>
        </w:rPr>
        <w:t>Section 1</w:t>
      </w:r>
      <w:r w:rsidR="00FB7E27" w:rsidRPr="00C10820">
        <w:rPr>
          <w:b/>
          <w:szCs w:val="24"/>
        </w:rPr>
        <w:t>3</w:t>
      </w:r>
    </w:p>
    <w:p w14:paraId="343DC644" w14:textId="77777777" w:rsidR="00C10820" w:rsidRDefault="00C10820" w:rsidP="00C10820">
      <w:pPr>
        <w:shd w:val="clear" w:color="auto" w:fill="FFFFFF" w:themeFill="background1"/>
        <w:spacing w:before="0" w:after="0"/>
      </w:pPr>
    </w:p>
    <w:p w14:paraId="2753E30B" w14:textId="6C7088D2" w:rsidR="00231FCC" w:rsidRPr="00C10820" w:rsidRDefault="00231FCC" w:rsidP="00C10820">
      <w:pPr>
        <w:shd w:val="clear" w:color="auto" w:fill="FFFFFF" w:themeFill="background1"/>
        <w:spacing w:before="0" w:after="0"/>
      </w:pPr>
      <w:r w:rsidRPr="00C10820">
        <w:t xml:space="preserve">This section provides that Australian </w:t>
      </w:r>
      <w:r w:rsidR="004B301A" w:rsidRPr="00C10820">
        <w:t>Nuclear Science and Technology Organisation</w:t>
      </w:r>
      <w:r w:rsidR="00FB7E27" w:rsidRPr="00C10820">
        <w:t xml:space="preserve"> (ANSTO)</w:t>
      </w:r>
      <w:r w:rsidRPr="00C10820">
        <w:t xml:space="preserve"> </w:t>
      </w:r>
      <w:r w:rsidR="00FF5831" w:rsidRPr="00C10820">
        <w:t>is authorised to</w:t>
      </w:r>
      <w:r w:rsidRPr="00C10820">
        <w:t xml:space="preserve"> invest relevant money for which they are responsible in:</w:t>
      </w:r>
    </w:p>
    <w:p w14:paraId="5839D93D" w14:textId="77777777" w:rsidR="00231FCC" w:rsidRPr="00C10820" w:rsidRDefault="00231FCC" w:rsidP="00C10820">
      <w:pPr>
        <w:pStyle w:val="ListParagraph"/>
        <w:numPr>
          <w:ilvl w:val="0"/>
          <w:numId w:val="15"/>
        </w:numPr>
        <w:shd w:val="clear" w:color="auto" w:fill="FFFFFF" w:themeFill="background1"/>
        <w:spacing w:before="0" w:after="0"/>
        <w:rPr>
          <w:b/>
          <w:szCs w:val="24"/>
        </w:rPr>
      </w:pPr>
      <w:r w:rsidRPr="00C10820">
        <w:rPr>
          <w:bCs/>
          <w:szCs w:val="24"/>
        </w:rPr>
        <w:t xml:space="preserve">bills of exchange accepted or endorsed only by an approved bank; </w:t>
      </w:r>
    </w:p>
    <w:p w14:paraId="3E4FD480" w14:textId="77777777" w:rsidR="00231FCC" w:rsidRPr="00C10820" w:rsidRDefault="00231FCC" w:rsidP="00C10820">
      <w:pPr>
        <w:pStyle w:val="ListParagraph"/>
        <w:numPr>
          <w:ilvl w:val="0"/>
          <w:numId w:val="15"/>
        </w:numPr>
        <w:shd w:val="clear" w:color="auto" w:fill="FFFFFF" w:themeFill="background1"/>
        <w:spacing w:before="0" w:after="0"/>
        <w:rPr>
          <w:b/>
          <w:szCs w:val="24"/>
        </w:rPr>
      </w:pPr>
      <w:r w:rsidRPr="00C10820">
        <w:rPr>
          <w:bCs/>
          <w:szCs w:val="24"/>
        </w:rPr>
        <w:t xml:space="preserve">certificates of deposit with an approved bank. </w:t>
      </w:r>
    </w:p>
    <w:p w14:paraId="1797F617" w14:textId="77777777" w:rsidR="00231FCC" w:rsidRPr="00C10820" w:rsidRDefault="00231FCC" w:rsidP="00C10820">
      <w:pPr>
        <w:shd w:val="clear" w:color="auto" w:fill="FFFFFF"/>
        <w:spacing w:before="0" w:after="0"/>
        <w:rPr>
          <w:color w:val="000000"/>
          <w:szCs w:val="24"/>
        </w:rPr>
      </w:pPr>
    </w:p>
    <w:p w14:paraId="3BC87DB0" w14:textId="4608B462" w:rsidR="00231FCC" w:rsidRPr="00C10820" w:rsidRDefault="00231FCC" w:rsidP="00C10820">
      <w:pPr>
        <w:shd w:val="clear" w:color="auto" w:fill="FFFFFF"/>
        <w:spacing w:before="0" w:after="0"/>
        <w:rPr>
          <w:color w:val="000000"/>
          <w:szCs w:val="24"/>
        </w:rPr>
      </w:pPr>
      <w:r w:rsidRPr="00C10820">
        <w:rPr>
          <w:color w:val="000000"/>
          <w:szCs w:val="24"/>
        </w:rPr>
        <w:t>They may also invest in dematerialised securities that are the equivalent of the above. Investments must be in the name of</w:t>
      </w:r>
      <w:r w:rsidR="00FB7E27" w:rsidRPr="00C10820">
        <w:rPr>
          <w:color w:val="000000"/>
          <w:szCs w:val="24"/>
        </w:rPr>
        <w:t xml:space="preserve"> ANSTO</w:t>
      </w:r>
      <w:r w:rsidRPr="00C10820">
        <w:rPr>
          <w:color w:val="000000"/>
          <w:szCs w:val="24"/>
        </w:rPr>
        <w:t xml:space="preserve"> and denominated in Australian currency. </w:t>
      </w:r>
    </w:p>
    <w:p w14:paraId="18B62AD7" w14:textId="77777777" w:rsidR="00CF2A28" w:rsidRPr="00C10820" w:rsidRDefault="00CF2A28" w:rsidP="00C10820">
      <w:pPr>
        <w:shd w:val="clear" w:color="auto" w:fill="FFFFFF"/>
        <w:spacing w:before="0" w:after="0"/>
        <w:rPr>
          <w:color w:val="000000"/>
          <w:szCs w:val="24"/>
        </w:rPr>
      </w:pPr>
    </w:p>
    <w:p w14:paraId="1CB69B7C" w14:textId="4820537A" w:rsidR="00912678" w:rsidRPr="00C10820" w:rsidRDefault="00912678" w:rsidP="00C10820">
      <w:pPr>
        <w:spacing w:before="0" w:after="0"/>
        <w:rPr>
          <w:b/>
          <w:sz w:val="22"/>
          <w:szCs w:val="22"/>
          <w:lang w:eastAsia="en-US"/>
        </w:rPr>
      </w:pPr>
      <w:r w:rsidRPr="00C10820">
        <w:rPr>
          <w:b/>
        </w:rPr>
        <w:t>Part 10 –</w:t>
      </w:r>
      <w:r w:rsidR="00D03B97">
        <w:rPr>
          <w:b/>
        </w:rPr>
        <w:t xml:space="preserve"> </w:t>
      </w:r>
      <w:r w:rsidR="00F154F6" w:rsidRPr="00C10820">
        <w:rPr>
          <w:b/>
        </w:rPr>
        <w:t xml:space="preserve">Airservices Australia </w:t>
      </w:r>
      <w:r w:rsidRPr="00C10820">
        <w:rPr>
          <w:b/>
        </w:rPr>
        <w:t xml:space="preserve">   </w:t>
      </w:r>
    </w:p>
    <w:p w14:paraId="38E6EFF1" w14:textId="77777777" w:rsidR="00C10820" w:rsidRDefault="00C10820" w:rsidP="00C10820">
      <w:pPr>
        <w:shd w:val="clear" w:color="auto" w:fill="FFFFFF" w:themeFill="background1"/>
        <w:spacing w:before="0" w:after="0"/>
        <w:rPr>
          <w:b/>
          <w:szCs w:val="24"/>
        </w:rPr>
      </w:pPr>
    </w:p>
    <w:p w14:paraId="1BE96779" w14:textId="40EC00C9" w:rsidR="002C1F3F" w:rsidRPr="00C10820" w:rsidRDefault="002C1F3F" w:rsidP="00C10820">
      <w:pPr>
        <w:shd w:val="clear" w:color="auto" w:fill="FFFFFF" w:themeFill="background1"/>
        <w:spacing w:before="0" w:after="0"/>
        <w:rPr>
          <w:b/>
          <w:szCs w:val="24"/>
        </w:rPr>
      </w:pPr>
      <w:r w:rsidRPr="00C10820">
        <w:rPr>
          <w:b/>
          <w:szCs w:val="24"/>
        </w:rPr>
        <w:t>Section 14</w:t>
      </w:r>
    </w:p>
    <w:p w14:paraId="3E51249F" w14:textId="77777777" w:rsidR="00C10820" w:rsidRDefault="00C10820" w:rsidP="00C10820">
      <w:pPr>
        <w:shd w:val="clear" w:color="auto" w:fill="FFFFFF" w:themeFill="background1"/>
        <w:spacing w:before="0" w:after="0"/>
      </w:pPr>
    </w:p>
    <w:p w14:paraId="64334B72" w14:textId="15E756B5" w:rsidR="002C1F3F" w:rsidRPr="00C10820" w:rsidRDefault="002C1F3F" w:rsidP="00C10820">
      <w:pPr>
        <w:shd w:val="clear" w:color="auto" w:fill="FFFFFF" w:themeFill="background1"/>
        <w:spacing w:before="0" w:after="0"/>
      </w:pPr>
      <w:r w:rsidRPr="00C10820">
        <w:t xml:space="preserve">This section provides that Airservices Australia </w:t>
      </w:r>
      <w:r w:rsidR="00AD397B" w:rsidRPr="00C10820">
        <w:t xml:space="preserve">is authorised to </w:t>
      </w:r>
      <w:r w:rsidRPr="00C10820">
        <w:t>invest</w:t>
      </w:r>
      <w:r w:rsidR="00B35203" w:rsidRPr="00C10820">
        <w:t xml:space="preserve"> </w:t>
      </w:r>
      <w:r w:rsidR="00612AA8" w:rsidRPr="00C10820">
        <w:t>up to $20</w:t>
      </w:r>
      <w:r w:rsidR="004D1BA4">
        <w:t> </w:t>
      </w:r>
      <w:r w:rsidR="00612AA8" w:rsidRPr="00C10820">
        <w:t>million of</w:t>
      </w:r>
      <w:r w:rsidRPr="00C10820">
        <w:t xml:space="preserve"> relevant money for which they are responsible in</w:t>
      </w:r>
      <w:r w:rsidR="00612AA8" w:rsidRPr="00C10820">
        <w:t xml:space="preserve"> floating rate notes issued by an approved bank under a senior</w:t>
      </w:r>
      <w:r w:rsidR="00F003C6" w:rsidRPr="00C10820">
        <w:t xml:space="preserve"> debt program (or the equivalent in </w:t>
      </w:r>
      <w:r w:rsidR="00664B3B" w:rsidRPr="00C10820">
        <w:t xml:space="preserve">dematerialised securities). The investments must be in the name of Airservices Australia and denominated in Australian currency. </w:t>
      </w:r>
    </w:p>
    <w:p w14:paraId="54275274" w14:textId="3D376F9A" w:rsidR="002529EC" w:rsidRPr="00C10820" w:rsidRDefault="002529EC" w:rsidP="00C10820">
      <w:pPr>
        <w:shd w:val="clear" w:color="auto" w:fill="FFFFFF"/>
        <w:spacing w:before="0" w:after="0"/>
        <w:rPr>
          <w:b/>
          <w:bCs/>
          <w:color w:val="000000"/>
          <w:szCs w:val="24"/>
        </w:rPr>
      </w:pPr>
    </w:p>
    <w:p w14:paraId="7F64BDBB" w14:textId="2FF19CAA" w:rsidR="003A2E13" w:rsidRPr="00C10820" w:rsidRDefault="003A2E13" w:rsidP="00C10820">
      <w:pPr>
        <w:spacing w:before="0" w:after="0"/>
        <w:rPr>
          <w:b/>
          <w:sz w:val="22"/>
          <w:szCs w:val="22"/>
          <w:lang w:eastAsia="en-US"/>
        </w:rPr>
      </w:pPr>
      <w:r w:rsidRPr="00C10820">
        <w:rPr>
          <w:b/>
        </w:rPr>
        <w:t xml:space="preserve">Part </w:t>
      </w:r>
      <w:r w:rsidR="00574F14" w:rsidRPr="00C10820">
        <w:rPr>
          <w:b/>
        </w:rPr>
        <w:t>11</w:t>
      </w:r>
      <w:r w:rsidRPr="00C10820">
        <w:rPr>
          <w:b/>
        </w:rPr>
        <w:t xml:space="preserve"> – </w:t>
      </w:r>
      <w:r w:rsidR="00574F14" w:rsidRPr="00C10820">
        <w:rPr>
          <w:b/>
        </w:rPr>
        <w:t xml:space="preserve">Housing Australia </w:t>
      </w:r>
    </w:p>
    <w:p w14:paraId="17C1E166" w14:textId="77777777" w:rsidR="00C10820" w:rsidRDefault="00C10820" w:rsidP="00C10820">
      <w:pPr>
        <w:shd w:val="clear" w:color="auto" w:fill="FFFFFF" w:themeFill="background1"/>
        <w:spacing w:before="0" w:after="0"/>
        <w:rPr>
          <w:b/>
          <w:szCs w:val="24"/>
        </w:rPr>
      </w:pPr>
    </w:p>
    <w:p w14:paraId="56CFB547" w14:textId="49F6AFC4" w:rsidR="003A2E13" w:rsidRPr="00C10820" w:rsidRDefault="003A2E13" w:rsidP="00C10820">
      <w:pPr>
        <w:shd w:val="clear" w:color="auto" w:fill="FFFFFF" w:themeFill="background1"/>
        <w:spacing w:before="0" w:after="0"/>
        <w:rPr>
          <w:b/>
          <w:szCs w:val="24"/>
        </w:rPr>
      </w:pPr>
      <w:r w:rsidRPr="00C10820">
        <w:rPr>
          <w:b/>
          <w:szCs w:val="24"/>
        </w:rPr>
        <w:t xml:space="preserve">Subsection </w:t>
      </w:r>
      <w:r w:rsidR="00574F14" w:rsidRPr="00C10820">
        <w:rPr>
          <w:b/>
          <w:szCs w:val="24"/>
        </w:rPr>
        <w:t>15</w:t>
      </w:r>
      <w:r w:rsidRPr="00C10820">
        <w:rPr>
          <w:b/>
          <w:szCs w:val="24"/>
        </w:rPr>
        <w:t>(1)</w:t>
      </w:r>
    </w:p>
    <w:p w14:paraId="483AC359" w14:textId="77777777" w:rsidR="00C10820" w:rsidRDefault="00C10820" w:rsidP="00C10820">
      <w:pPr>
        <w:shd w:val="clear" w:color="auto" w:fill="FFFFFF" w:themeFill="background1"/>
        <w:spacing w:before="0" w:after="0"/>
      </w:pPr>
    </w:p>
    <w:p w14:paraId="796A58DB" w14:textId="2177CD0C" w:rsidR="003A2E13" w:rsidRPr="00C10820" w:rsidRDefault="003A2E13" w:rsidP="00C10820">
      <w:pPr>
        <w:shd w:val="clear" w:color="auto" w:fill="FFFFFF" w:themeFill="background1"/>
        <w:spacing w:before="0" w:after="0"/>
      </w:pPr>
      <w:r w:rsidRPr="00C10820">
        <w:t xml:space="preserve">This subsection provides that </w:t>
      </w:r>
      <w:r w:rsidR="00574F14" w:rsidRPr="00C10820">
        <w:t>Housing Australia</w:t>
      </w:r>
      <w:r w:rsidRPr="00C10820">
        <w:t xml:space="preserve"> is authorised to invest relevant money for which </w:t>
      </w:r>
      <w:r w:rsidR="00A92057">
        <w:t>Housing Australia</w:t>
      </w:r>
      <w:r w:rsidR="00A92057" w:rsidRPr="00C10820">
        <w:t xml:space="preserve"> </w:t>
      </w:r>
      <w:r w:rsidRPr="00C10820">
        <w:t xml:space="preserve">is responsible in accordance with section </w:t>
      </w:r>
      <w:r w:rsidR="00574F14" w:rsidRPr="00C10820">
        <w:t>15</w:t>
      </w:r>
      <w:r w:rsidRPr="00C10820">
        <w:t>.</w:t>
      </w:r>
    </w:p>
    <w:p w14:paraId="7FDFB141" w14:textId="77777777" w:rsidR="003A2E13" w:rsidRPr="00C10820" w:rsidRDefault="003A2E13" w:rsidP="00C10820">
      <w:pPr>
        <w:shd w:val="clear" w:color="auto" w:fill="FFFFFF"/>
        <w:spacing w:before="0" w:after="0"/>
        <w:rPr>
          <w:color w:val="000000"/>
          <w:szCs w:val="24"/>
        </w:rPr>
      </w:pPr>
    </w:p>
    <w:p w14:paraId="43A019CD" w14:textId="6F2E18ED" w:rsidR="003A2E13" w:rsidRPr="00C10820" w:rsidRDefault="003A2E13" w:rsidP="00C10820">
      <w:pPr>
        <w:shd w:val="clear" w:color="auto" w:fill="FFFFFF" w:themeFill="background1"/>
        <w:spacing w:before="0" w:after="0"/>
        <w:rPr>
          <w:b/>
          <w:szCs w:val="24"/>
        </w:rPr>
      </w:pPr>
      <w:r w:rsidRPr="00C10820">
        <w:rPr>
          <w:b/>
          <w:szCs w:val="24"/>
        </w:rPr>
        <w:t xml:space="preserve">Subsection </w:t>
      </w:r>
      <w:r w:rsidR="00574F14" w:rsidRPr="00C10820">
        <w:rPr>
          <w:b/>
          <w:szCs w:val="24"/>
        </w:rPr>
        <w:t>15</w:t>
      </w:r>
      <w:r w:rsidRPr="00C10820">
        <w:rPr>
          <w:b/>
          <w:szCs w:val="24"/>
        </w:rPr>
        <w:t>(2)</w:t>
      </w:r>
    </w:p>
    <w:p w14:paraId="6E9414D7" w14:textId="77777777" w:rsidR="00C10820" w:rsidRDefault="00C10820" w:rsidP="00C10820">
      <w:pPr>
        <w:shd w:val="clear" w:color="auto" w:fill="FFFFFF" w:themeFill="background1"/>
        <w:spacing w:before="0" w:after="0"/>
      </w:pPr>
    </w:p>
    <w:p w14:paraId="700AABCE" w14:textId="1165199B" w:rsidR="003A2E13" w:rsidRPr="00C10820" w:rsidRDefault="003A2E13" w:rsidP="00C10820">
      <w:pPr>
        <w:shd w:val="clear" w:color="auto" w:fill="FFFFFF" w:themeFill="background1"/>
        <w:spacing w:before="0" w:after="0"/>
      </w:pPr>
      <w:r w:rsidRPr="00C10820">
        <w:lastRenderedPageBreak/>
        <w:t xml:space="preserve">This subsection provides that </w:t>
      </w:r>
      <w:r w:rsidR="00DF6B71" w:rsidRPr="00C10820">
        <w:t>Housing Australia</w:t>
      </w:r>
      <w:r w:rsidRPr="00C10820">
        <w:t xml:space="preserve"> may invest money in one or more of the following ways:</w:t>
      </w:r>
    </w:p>
    <w:p w14:paraId="646DF1F9" w14:textId="77777777" w:rsidR="003A2E13" w:rsidRPr="00C10820" w:rsidRDefault="003A2E13" w:rsidP="00C10820">
      <w:pPr>
        <w:pStyle w:val="ListParagraph"/>
        <w:numPr>
          <w:ilvl w:val="0"/>
          <w:numId w:val="16"/>
        </w:numPr>
        <w:shd w:val="clear" w:color="auto" w:fill="FFFFFF" w:themeFill="background1"/>
        <w:spacing w:before="0" w:after="0"/>
      </w:pPr>
      <w:r w:rsidRPr="00C10820">
        <w:t>in securities issued by an approved bank;</w:t>
      </w:r>
    </w:p>
    <w:p w14:paraId="68E8CC46" w14:textId="77777777" w:rsidR="003A2E13" w:rsidRPr="00C10820" w:rsidRDefault="003A2E13" w:rsidP="00C10820">
      <w:pPr>
        <w:pStyle w:val="ListParagraph"/>
        <w:numPr>
          <w:ilvl w:val="0"/>
          <w:numId w:val="16"/>
        </w:numPr>
        <w:shd w:val="clear" w:color="auto" w:fill="FFFFFF" w:themeFill="background1"/>
        <w:spacing w:before="0" w:after="0"/>
      </w:pPr>
      <w:r w:rsidRPr="00C10820">
        <w:t xml:space="preserve">on deposit with, or in securities issued or guaranteed by, an approved entity. </w:t>
      </w:r>
    </w:p>
    <w:p w14:paraId="45F18C12" w14:textId="77777777" w:rsidR="003A2E13" w:rsidRPr="00C10820" w:rsidRDefault="003A2E13" w:rsidP="00C10820">
      <w:pPr>
        <w:shd w:val="clear" w:color="auto" w:fill="FFFFFF"/>
        <w:spacing w:before="0" w:after="0"/>
        <w:rPr>
          <w:color w:val="000000"/>
          <w:szCs w:val="24"/>
        </w:rPr>
      </w:pPr>
    </w:p>
    <w:p w14:paraId="5E9764EE" w14:textId="5CF2C1B8" w:rsidR="003A2E13" w:rsidRPr="00C10820" w:rsidRDefault="003A2E13" w:rsidP="00C10820">
      <w:pPr>
        <w:shd w:val="clear" w:color="auto" w:fill="FFFFFF" w:themeFill="background1"/>
        <w:spacing w:before="0" w:after="0"/>
        <w:rPr>
          <w:b/>
          <w:szCs w:val="24"/>
        </w:rPr>
      </w:pPr>
      <w:r w:rsidRPr="00C10820">
        <w:rPr>
          <w:b/>
          <w:szCs w:val="24"/>
        </w:rPr>
        <w:t xml:space="preserve">Subsection </w:t>
      </w:r>
      <w:r w:rsidR="00DF6B71" w:rsidRPr="00C10820">
        <w:rPr>
          <w:b/>
          <w:szCs w:val="24"/>
        </w:rPr>
        <w:t>15</w:t>
      </w:r>
      <w:r w:rsidRPr="00C10820">
        <w:rPr>
          <w:b/>
          <w:szCs w:val="24"/>
        </w:rPr>
        <w:t>(3)</w:t>
      </w:r>
    </w:p>
    <w:p w14:paraId="3F59D16A" w14:textId="77777777" w:rsidR="00C10820" w:rsidRDefault="00C10820" w:rsidP="00C10820">
      <w:pPr>
        <w:shd w:val="clear" w:color="auto" w:fill="FFFFFF" w:themeFill="background1"/>
        <w:spacing w:before="0" w:after="0"/>
      </w:pPr>
    </w:p>
    <w:p w14:paraId="7107E8DB" w14:textId="41F06B86" w:rsidR="003A2E13" w:rsidRPr="00C10820" w:rsidRDefault="003A2E13" w:rsidP="00C10820">
      <w:pPr>
        <w:shd w:val="clear" w:color="auto" w:fill="FFFFFF" w:themeFill="background1"/>
        <w:spacing w:before="0" w:after="0"/>
      </w:pPr>
      <w:r w:rsidRPr="00C10820">
        <w:t xml:space="preserve">This subsection provides that investments must be in the name of </w:t>
      </w:r>
      <w:r w:rsidR="00C924B4" w:rsidRPr="00C10820">
        <w:t>Housing Australia</w:t>
      </w:r>
      <w:r w:rsidRPr="00C10820">
        <w:t xml:space="preserve">. </w:t>
      </w:r>
    </w:p>
    <w:p w14:paraId="577D1710" w14:textId="77777777" w:rsidR="003A2E13" w:rsidRPr="00C10820" w:rsidRDefault="003A2E13" w:rsidP="00C10820">
      <w:pPr>
        <w:shd w:val="clear" w:color="auto" w:fill="FFFFFF"/>
        <w:spacing w:before="0" w:after="0"/>
        <w:rPr>
          <w:color w:val="000000"/>
          <w:szCs w:val="24"/>
        </w:rPr>
      </w:pPr>
    </w:p>
    <w:p w14:paraId="74EAA43D" w14:textId="670F5590" w:rsidR="003A2E13" w:rsidRPr="00C10820" w:rsidRDefault="003A2E13" w:rsidP="00C10820">
      <w:pPr>
        <w:shd w:val="clear" w:color="auto" w:fill="FFFFFF" w:themeFill="background1"/>
        <w:spacing w:before="0" w:after="0"/>
        <w:rPr>
          <w:b/>
          <w:szCs w:val="24"/>
        </w:rPr>
      </w:pPr>
      <w:r w:rsidRPr="00C10820">
        <w:rPr>
          <w:b/>
          <w:szCs w:val="24"/>
        </w:rPr>
        <w:t xml:space="preserve">Subsection </w:t>
      </w:r>
      <w:r w:rsidR="00DF6B71" w:rsidRPr="00C10820">
        <w:rPr>
          <w:b/>
          <w:szCs w:val="24"/>
        </w:rPr>
        <w:t>15</w:t>
      </w:r>
      <w:r w:rsidRPr="00C10820">
        <w:rPr>
          <w:b/>
          <w:szCs w:val="24"/>
        </w:rPr>
        <w:t>(4)</w:t>
      </w:r>
    </w:p>
    <w:p w14:paraId="359A9D9D" w14:textId="77777777" w:rsidR="00C10820" w:rsidRDefault="00C10820" w:rsidP="00C10820">
      <w:pPr>
        <w:shd w:val="clear" w:color="auto" w:fill="FFFFFF" w:themeFill="background1"/>
        <w:spacing w:before="0" w:after="0"/>
      </w:pPr>
    </w:p>
    <w:p w14:paraId="68ABB9C9" w14:textId="73C3B243" w:rsidR="003A2E13" w:rsidRPr="00C10820" w:rsidRDefault="003A2E13" w:rsidP="00C10820">
      <w:pPr>
        <w:shd w:val="clear" w:color="auto" w:fill="FFFFFF" w:themeFill="background1"/>
        <w:spacing w:before="0" w:after="0"/>
      </w:pPr>
      <w:r w:rsidRPr="00C10820">
        <w:t>This subsection provides that subsections 5 to 7 apply if an investment:</w:t>
      </w:r>
    </w:p>
    <w:p w14:paraId="1F033727" w14:textId="77777777" w:rsidR="003A2E13" w:rsidRPr="00C10820" w:rsidRDefault="003A2E13" w:rsidP="00C10820">
      <w:pPr>
        <w:pStyle w:val="ListParagraph"/>
        <w:numPr>
          <w:ilvl w:val="0"/>
          <w:numId w:val="17"/>
        </w:numPr>
        <w:shd w:val="clear" w:color="auto" w:fill="FFFFFF" w:themeFill="background1"/>
        <w:spacing w:before="0" w:after="0"/>
      </w:pPr>
      <w:r w:rsidRPr="00C10820">
        <w:t>is securities issued by an approved bank; and</w:t>
      </w:r>
    </w:p>
    <w:p w14:paraId="5967928E" w14:textId="77777777" w:rsidR="003A2E13" w:rsidRPr="00C10820" w:rsidRDefault="003A2E13" w:rsidP="00C10820">
      <w:pPr>
        <w:pStyle w:val="ListParagraph"/>
        <w:numPr>
          <w:ilvl w:val="0"/>
          <w:numId w:val="17"/>
        </w:numPr>
        <w:shd w:val="clear" w:color="auto" w:fill="FFFFFF" w:themeFill="background1"/>
        <w:spacing w:before="0" w:after="0"/>
      </w:pPr>
      <w:r w:rsidRPr="00C10820">
        <w:t>has a Standard and Poor’s long-term rating lower than A- (or the Moody’s or Fitch’s equivalent).</w:t>
      </w:r>
    </w:p>
    <w:p w14:paraId="756E450C" w14:textId="77777777" w:rsidR="003A2E13" w:rsidRPr="00C10820" w:rsidRDefault="003A2E13" w:rsidP="00C10820">
      <w:pPr>
        <w:shd w:val="clear" w:color="auto" w:fill="FFFFFF" w:themeFill="background1"/>
        <w:spacing w:before="0" w:after="0"/>
      </w:pPr>
    </w:p>
    <w:p w14:paraId="225BDA0B" w14:textId="0FD0FE04" w:rsidR="003A2E13" w:rsidRPr="00C10820" w:rsidRDefault="003A2E13" w:rsidP="00C10820">
      <w:pPr>
        <w:shd w:val="clear" w:color="auto" w:fill="FFFFFF" w:themeFill="background1"/>
        <w:spacing w:before="0" w:after="0"/>
        <w:rPr>
          <w:b/>
          <w:szCs w:val="24"/>
        </w:rPr>
      </w:pPr>
      <w:r w:rsidRPr="00C10820">
        <w:rPr>
          <w:b/>
          <w:szCs w:val="24"/>
        </w:rPr>
        <w:t xml:space="preserve">Subsection </w:t>
      </w:r>
      <w:r w:rsidR="003A201E" w:rsidRPr="00C10820">
        <w:rPr>
          <w:b/>
          <w:szCs w:val="24"/>
        </w:rPr>
        <w:t>15</w:t>
      </w:r>
      <w:r w:rsidRPr="00C10820">
        <w:rPr>
          <w:b/>
          <w:szCs w:val="24"/>
        </w:rPr>
        <w:t>(5)</w:t>
      </w:r>
    </w:p>
    <w:p w14:paraId="3E243A57" w14:textId="77777777" w:rsidR="00C10820" w:rsidRDefault="00C10820" w:rsidP="00C10820">
      <w:pPr>
        <w:shd w:val="clear" w:color="auto" w:fill="FFFFFF" w:themeFill="background1"/>
        <w:spacing w:before="0" w:after="0"/>
      </w:pPr>
    </w:p>
    <w:p w14:paraId="38C89510" w14:textId="079D71D2" w:rsidR="003A2E13" w:rsidRPr="00C10820" w:rsidRDefault="003A2E13" w:rsidP="00C10820">
      <w:pPr>
        <w:shd w:val="clear" w:color="auto" w:fill="FFFFFF" w:themeFill="background1"/>
        <w:spacing w:before="0" w:after="0"/>
      </w:pPr>
      <w:r w:rsidRPr="00C10820">
        <w:t xml:space="preserve">This subsection provides that the investment together with any other such investments of </w:t>
      </w:r>
      <w:r w:rsidR="00DF6B71" w:rsidRPr="00C10820">
        <w:t>Housing Australia</w:t>
      </w:r>
      <w:r w:rsidRPr="00C10820">
        <w:t xml:space="preserve"> in the approved bank, must not exceed 10% of the total investments of </w:t>
      </w:r>
      <w:r w:rsidR="00C339AF" w:rsidRPr="00C10820">
        <w:t>Housing Australia</w:t>
      </w:r>
      <w:r w:rsidRPr="00C10820">
        <w:t xml:space="preserve">. This ensures that </w:t>
      </w:r>
      <w:r w:rsidR="00DF6B71" w:rsidRPr="00C10820">
        <w:t>Housing Australia’s</w:t>
      </w:r>
      <w:r w:rsidRPr="00C10820">
        <w:t xml:space="preserve"> investments do not become overly concentrated in one approved bank. </w:t>
      </w:r>
    </w:p>
    <w:p w14:paraId="020B6214" w14:textId="77777777" w:rsidR="003A2E13" w:rsidRPr="00C10820" w:rsidRDefault="003A2E13" w:rsidP="00C10820">
      <w:pPr>
        <w:shd w:val="clear" w:color="auto" w:fill="FFFFFF" w:themeFill="background1"/>
        <w:spacing w:before="0" w:after="0"/>
      </w:pPr>
    </w:p>
    <w:p w14:paraId="09BE55E3" w14:textId="7571C3C3" w:rsidR="003A2E13" w:rsidRPr="00C10820" w:rsidRDefault="003A2E13" w:rsidP="00C10820">
      <w:pPr>
        <w:shd w:val="clear" w:color="auto" w:fill="FFFFFF" w:themeFill="background1"/>
        <w:spacing w:before="0" w:after="0"/>
        <w:rPr>
          <w:b/>
          <w:szCs w:val="24"/>
        </w:rPr>
      </w:pPr>
      <w:r w:rsidRPr="00C10820">
        <w:rPr>
          <w:b/>
          <w:szCs w:val="24"/>
        </w:rPr>
        <w:t xml:space="preserve">Subsection </w:t>
      </w:r>
      <w:r w:rsidR="003A201E" w:rsidRPr="00C10820">
        <w:rPr>
          <w:b/>
          <w:szCs w:val="24"/>
        </w:rPr>
        <w:t>15</w:t>
      </w:r>
      <w:r w:rsidRPr="00C10820">
        <w:rPr>
          <w:b/>
          <w:szCs w:val="24"/>
        </w:rPr>
        <w:t>(6)</w:t>
      </w:r>
    </w:p>
    <w:p w14:paraId="18308279" w14:textId="77777777" w:rsidR="00C10820" w:rsidRDefault="00C10820" w:rsidP="00C10820">
      <w:pPr>
        <w:shd w:val="clear" w:color="auto" w:fill="FFFFFF" w:themeFill="background1"/>
        <w:spacing w:before="0" w:after="0"/>
      </w:pPr>
    </w:p>
    <w:p w14:paraId="65F196EB" w14:textId="0EDEE62A" w:rsidR="003A2E13" w:rsidRPr="00C10820" w:rsidRDefault="003A2E13" w:rsidP="00C10820">
      <w:pPr>
        <w:shd w:val="clear" w:color="auto" w:fill="FFFFFF" w:themeFill="background1"/>
        <w:spacing w:before="0" w:after="0"/>
      </w:pPr>
      <w:r w:rsidRPr="00C10820">
        <w:t xml:space="preserve">This subsection provides that the investment, together with any other such investments of </w:t>
      </w:r>
      <w:r w:rsidR="003A201E" w:rsidRPr="00C10820">
        <w:t>Housing Australia</w:t>
      </w:r>
      <w:r w:rsidRPr="00C10820">
        <w:t xml:space="preserve"> in any approved bank, must not exceed 25% of the total investments of </w:t>
      </w:r>
      <w:r w:rsidR="003A201E" w:rsidRPr="00C10820">
        <w:t>Housing Australia</w:t>
      </w:r>
      <w:r w:rsidRPr="00C10820">
        <w:t xml:space="preserve">. </w:t>
      </w:r>
    </w:p>
    <w:p w14:paraId="0037A1B6" w14:textId="77777777" w:rsidR="003A2E13" w:rsidRPr="00C10820" w:rsidRDefault="003A2E13" w:rsidP="00C10820">
      <w:pPr>
        <w:shd w:val="clear" w:color="auto" w:fill="FFFFFF" w:themeFill="background1"/>
        <w:spacing w:before="0" w:after="0"/>
      </w:pPr>
    </w:p>
    <w:p w14:paraId="71438055" w14:textId="0D052B69" w:rsidR="003A2E13" w:rsidRPr="00C10820" w:rsidRDefault="003A2E13" w:rsidP="00C10820">
      <w:pPr>
        <w:shd w:val="clear" w:color="auto" w:fill="FFFFFF" w:themeFill="background1"/>
        <w:spacing w:before="0" w:after="0"/>
        <w:rPr>
          <w:b/>
          <w:szCs w:val="24"/>
        </w:rPr>
      </w:pPr>
      <w:r w:rsidRPr="00C10820">
        <w:rPr>
          <w:b/>
          <w:szCs w:val="24"/>
        </w:rPr>
        <w:t xml:space="preserve">Subsection </w:t>
      </w:r>
      <w:r w:rsidR="003A201E" w:rsidRPr="00C10820">
        <w:rPr>
          <w:b/>
          <w:szCs w:val="24"/>
        </w:rPr>
        <w:t>15</w:t>
      </w:r>
      <w:r w:rsidRPr="00C10820">
        <w:rPr>
          <w:b/>
          <w:szCs w:val="24"/>
        </w:rPr>
        <w:t>(7)</w:t>
      </w:r>
    </w:p>
    <w:p w14:paraId="546F2D76" w14:textId="77777777" w:rsidR="00C10820" w:rsidRDefault="00C10820" w:rsidP="00C10820">
      <w:pPr>
        <w:shd w:val="clear" w:color="auto" w:fill="FFFFFF" w:themeFill="background1"/>
        <w:spacing w:before="0" w:after="0"/>
      </w:pPr>
    </w:p>
    <w:p w14:paraId="459F2614" w14:textId="180A0BB0" w:rsidR="003A2E13" w:rsidRPr="00C10820" w:rsidRDefault="003A2E13" w:rsidP="00C10820">
      <w:pPr>
        <w:shd w:val="clear" w:color="auto" w:fill="FFFFFF" w:themeFill="background1"/>
        <w:spacing w:before="0" w:after="0"/>
      </w:pPr>
      <w:r w:rsidRPr="00C10820">
        <w:t>This subsection provides that the investment:</w:t>
      </w:r>
    </w:p>
    <w:p w14:paraId="0584B665" w14:textId="77777777" w:rsidR="003A2E13" w:rsidRPr="00C10820" w:rsidRDefault="003A2E13" w:rsidP="00C10820">
      <w:pPr>
        <w:pStyle w:val="ListParagraph"/>
        <w:numPr>
          <w:ilvl w:val="0"/>
          <w:numId w:val="18"/>
        </w:numPr>
        <w:shd w:val="clear" w:color="auto" w:fill="FFFFFF" w:themeFill="background1"/>
        <w:spacing w:before="0" w:after="0"/>
      </w:pPr>
      <w:r w:rsidRPr="00C10820">
        <w:t>must not have a longer term than 3 years; and</w:t>
      </w:r>
    </w:p>
    <w:p w14:paraId="4F55EE19" w14:textId="4CBABD91" w:rsidR="003A2E13" w:rsidRPr="00C10820" w:rsidRDefault="003A2E13" w:rsidP="00C10820">
      <w:pPr>
        <w:pStyle w:val="ListParagraph"/>
        <w:numPr>
          <w:ilvl w:val="0"/>
          <w:numId w:val="18"/>
        </w:numPr>
        <w:shd w:val="clear" w:color="auto" w:fill="FFFFFF" w:themeFill="background1"/>
        <w:spacing w:before="0" w:after="0"/>
      </w:pPr>
      <w:r w:rsidRPr="00C10820">
        <w:t>if the investment has a term longer than 6 months</w:t>
      </w:r>
      <w:r w:rsidR="00917246" w:rsidRPr="00C10820">
        <w:t xml:space="preserve"> it </w:t>
      </w:r>
      <w:r w:rsidRPr="00C10820">
        <w:t xml:space="preserve">must be able to be traded in the secondary market. </w:t>
      </w:r>
    </w:p>
    <w:p w14:paraId="2E9C11C5" w14:textId="77777777" w:rsidR="003A2E13" w:rsidRPr="00C10820" w:rsidRDefault="003A2E13" w:rsidP="00C10820">
      <w:pPr>
        <w:shd w:val="clear" w:color="auto" w:fill="FFFFFF" w:themeFill="background1"/>
        <w:spacing w:before="0" w:after="0"/>
      </w:pPr>
    </w:p>
    <w:p w14:paraId="3462807E" w14:textId="23727F39" w:rsidR="003A2E13" w:rsidRPr="00C10820" w:rsidRDefault="003A2E13" w:rsidP="00C10820">
      <w:pPr>
        <w:shd w:val="clear" w:color="auto" w:fill="FFFFFF" w:themeFill="background1"/>
        <w:spacing w:before="0" w:after="0"/>
      </w:pPr>
      <w:r w:rsidRPr="00C10820">
        <w:t xml:space="preserve">A secondary market is where investors purchase securities from other investors rather than from the issuing institution itself. The requirements in this subsection assist in ensuring that </w:t>
      </w:r>
      <w:r w:rsidR="00C339AF" w:rsidRPr="00C10820">
        <w:t xml:space="preserve">Housing Australia </w:t>
      </w:r>
      <w:r w:rsidRPr="00C10820">
        <w:t xml:space="preserve">does not invest in illiquid investments. </w:t>
      </w:r>
    </w:p>
    <w:p w14:paraId="3C72C7AC" w14:textId="77777777" w:rsidR="002529EC" w:rsidRPr="00C10820" w:rsidRDefault="002529EC" w:rsidP="00C10820">
      <w:pPr>
        <w:shd w:val="clear" w:color="auto" w:fill="FFFFFF"/>
        <w:spacing w:before="0" w:after="0"/>
        <w:rPr>
          <w:b/>
          <w:bCs/>
          <w:color w:val="000000"/>
          <w:szCs w:val="24"/>
        </w:rPr>
      </w:pPr>
    </w:p>
    <w:p w14:paraId="7C417A4B" w14:textId="039313FF" w:rsidR="00B90EB4" w:rsidRPr="00C10820" w:rsidRDefault="00B90EB4" w:rsidP="00C10820">
      <w:pPr>
        <w:shd w:val="clear" w:color="auto" w:fill="FFFFFF"/>
        <w:spacing w:before="0" w:after="0"/>
        <w:rPr>
          <w:b/>
          <w:bCs/>
          <w:color w:val="000000"/>
          <w:szCs w:val="24"/>
        </w:rPr>
      </w:pPr>
      <w:r w:rsidRPr="00C10820">
        <w:rPr>
          <w:b/>
          <w:bCs/>
          <w:color w:val="000000"/>
          <w:szCs w:val="24"/>
        </w:rPr>
        <w:t>Schedule 1—</w:t>
      </w:r>
      <w:r w:rsidR="00231490" w:rsidRPr="00C10820">
        <w:rPr>
          <w:b/>
          <w:bCs/>
          <w:color w:val="000000"/>
          <w:szCs w:val="24"/>
        </w:rPr>
        <w:t>Repeals</w:t>
      </w:r>
    </w:p>
    <w:p w14:paraId="085EF6B9" w14:textId="7B3BF3E4" w:rsidR="00B90EB4" w:rsidRPr="00C10820" w:rsidRDefault="00B90EB4" w:rsidP="00C10820">
      <w:pPr>
        <w:shd w:val="clear" w:color="auto" w:fill="FFFFFF"/>
        <w:spacing w:before="0" w:after="0"/>
        <w:rPr>
          <w:color w:val="000000"/>
          <w:szCs w:val="24"/>
        </w:rPr>
      </w:pPr>
    </w:p>
    <w:p w14:paraId="46085C14" w14:textId="06CA15CA" w:rsidR="00423FC8" w:rsidRPr="005F4474" w:rsidRDefault="005F4474" w:rsidP="00C10820">
      <w:pPr>
        <w:shd w:val="clear" w:color="auto" w:fill="FFFFFF"/>
        <w:spacing w:before="0" w:after="0"/>
        <w:rPr>
          <w:b/>
          <w:bCs/>
          <w:i/>
          <w:color w:val="000000"/>
          <w:szCs w:val="24"/>
        </w:rPr>
      </w:pPr>
      <w:r w:rsidRPr="005F4474">
        <w:rPr>
          <w:b/>
          <w:bCs/>
          <w:i/>
          <w:iCs/>
        </w:rPr>
        <w:t xml:space="preserve">Public Governance, Performance and Accountability (Investment) Authorisation 2014 </w:t>
      </w:r>
    </w:p>
    <w:p w14:paraId="0ED56527" w14:textId="2B963A3F" w:rsidR="00D07E4A" w:rsidRPr="00C10820" w:rsidRDefault="00D07E4A" w:rsidP="00C10820">
      <w:pPr>
        <w:shd w:val="clear" w:color="auto" w:fill="FFFFFF"/>
        <w:spacing w:before="0" w:after="0"/>
        <w:rPr>
          <w:b/>
          <w:i/>
          <w:color w:val="000000"/>
          <w:szCs w:val="24"/>
        </w:rPr>
      </w:pPr>
    </w:p>
    <w:p w14:paraId="3D455BC1" w14:textId="7C490275" w:rsidR="00D07E4A" w:rsidRPr="00C10820" w:rsidRDefault="00D07E4A" w:rsidP="00C10820">
      <w:pPr>
        <w:shd w:val="clear" w:color="auto" w:fill="FFFFFF" w:themeFill="background1"/>
        <w:spacing w:before="0" w:after="0"/>
        <w:rPr>
          <w:b/>
          <w:szCs w:val="24"/>
        </w:rPr>
      </w:pPr>
      <w:r w:rsidRPr="00C10820">
        <w:rPr>
          <w:b/>
          <w:szCs w:val="24"/>
        </w:rPr>
        <w:t>Item 1 –</w:t>
      </w:r>
      <w:r w:rsidR="00380742" w:rsidRPr="00C10820">
        <w:rPr>
          <w:b/>
          <w:szCs w:val="24"/>
        </w:rPr>
        <w:t xml:space="preserve"> </w:t>
      </w:r>
      <w:r w:rsidR="005545DC" w:rsidRPr="00C10820">
        <w:rPr>
          <w:b/>
          <w:szCs w:val="24"/>
        </w:rPr>
        <w:t>The whole of the instrument</w:t>
      </w:r>
    </w:p>
    <w:p w14:paraId="7F486967" w14:textId="4509D313" w:rsidR="00C22E78" w:rsidRPr="00C10820" w:rsidRDefault="0096143A" w:rsidP="00C10820">
      <w:pPr>
        <w:shd w:val="clear" w:color="auto" w:fill="FFFFFF" w:themeFill="background1"/>
        <w:spacing w:before="0" w:after="0"/>
      </w:pPr>
      <w:r w:rsidRPr="00C10820">
        <w:t>This item</w:t>
      </w:r>
      <w:r w:rsidR="00BE7D7A" w:rsidRPr="00C10820">
        <w:t xml:space="preserve"> would</w:t>
      </w:r>
      <w:r w:rsidR="00347B5D" w:rsidRPr="00C10820">
        <w:t xml:space="preserve"> repeal the </w:t>
      </w:r>
      <w:r w:rsidR="004A638B" w:rsidRPr="00C10820">
        <w:rPr>
          <w:i/>
          <w:iCs/>
        </w:rPr>
        <w:t xml:space="preserve">Public Governance, Performance and Accountability </w:t>
      </w:r>
      <w:r w:rsidR="06EE3AE0" w:rsidRPr="00C10820">
        <w:rPr>
          <w:i/>
          <w:iCs/>
        </w:rPr>
        <w:t>(Investment) Authorisation</w:t>
      </w:r>
      <w:r w:rsidR="004A638B" w:rsidRPr="00C10820">
        <w:rPr>
          <w:i/>
          <w:iCs/>
        </w:rPr>
        <w:t xml:space="preserve"> 2014</w:t>
      </w:r>
      <w:r w:rsidR="00445FC3" w:rsidRPr="00C10820">
        <w:t xml:space="preserve">. </w:t>
      </w:r>
    </w:p>
    <w:p w14:paraId="56F7BF72" w14:textId="69E2F0E3" w:rsidR="007302BB" w:rsidRPr="005F3DF4" w:rsidRDefault="007302BB" w:rsidP="007302BB">
      <w:pPr>
        <w:spacing w:before="0" w:after="0"/>
        <w:jc w:val="center"/>
        <w:textAlignment w:val="baseline"/>
      </w:pPr>
    </w:p>
    <w:sectPr w:rsidR="007302BB" w:rsidRPr="005F3DF4" w:rsidSect="00392BBA">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90A2E" w14:textId="77777777" w:rsidR="002C7037" w:rsidRDefault="002C7037" w:rsidP="00954679">
      <w:pPr>
        <w:spacing w:before="0" w:after="0"/>
      </w:pPr>
      <w:r>
        <w:separator/>
      </w:r>
    </w:p>
  </w:endnote>
  <w:endnote w:type="continuationSeparator" w:id="0">
    <w:p w14:paraId="3E82D91A" w14:textId="77777777" w:rsidR="002C7037" w:rsidRDefault="002C7037" w:rsidP="00954679">
      <w:pPr>
        <w:spacing w:before="0" w:after="0"/>
      </w:pPr>
      <w:r>
        <w:continuationSeparator/>
      </w:r>
    </w:p>
  </w:endnote>
  <w:endnote w:type="continuationNotice" w:id="1">
    <w:p w14:paraId="034D53A1" w14:textId="77777777" w:rsidR="002C7037" w:rsidRDefault="002C703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1C1F0" w14:textId="77777777" w:rsidR="00655583" w:rsidRDefault="00655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628A906" w14:textId="77777777" w:rsidR="00A052A6" w:rsidRDefault="00A052A6"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0EDCD" w14:textId="77777777" w:rsidR="00655583" w:rsidRDefault="00655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A0793" w14:textId="77777777" w:rsidR="002C7037" w:rsidRDefault="002C7037" w:rsidP="00954679">
      <w:pPr>
        <w:spacing w:before="0" w:after="0"/>
      </w:pPr>
      <w:r>
        <w:separator/>
      </w:r>
    </w:p>
  </w:footnote>
  <w:footnote w:type="continuationSeparator" w:id="0">
    <w:p w14:paraId="27B030C5" w14:textId="77777777" w:rsidR="002C7037" w:rsidRDefault="002C7037" w:rsidP="00954679">
      <w:pPr>
        <w:spacing w:before="0" w:after="0"/>
      </w:pPr>
      <w:r>
        <w:continuationSeparator/>
      </w:r>
    </w:p>
  </w:footnote>
  <w:footnote w:type="continuationNotice" w:id="1">
    <w:p w14:paraId="4CEB4249" w14:textId="77777777" w:rsidR="002C7037" w:rsidRDefault="002C703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7677E" w14:textId="77777777" w:rsidR="00655583" w:rsidRDefault="006555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26B38" w14:textId="42337DF9" w:rsidR="00655583" w:rsidRDefault="006555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33963" w14:textId="77777777" w:rsidR="00655583" w:rsidRDefault="00655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C5872"/>
    <w:multiLevelType w:val="hybridMultilevel"/>
    <w:tmpl w:val="98DC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3E07E49"/>
    <w:multiLevelType w:val="hybridMultilevel"/>
    <w:tmpl w:val="22A44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0622B8"/>
    <w:multiLevelType w:val="hybridMultilevel"/>
    <w:tmpl w:val="48F8D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837CA8"/>
    <w:multiLevelType w:val="hybridMultilevel"/>
    <w:tmpl w:val="04AED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0146A0"/>
    <w:multiLevelType w:val="hybridMultilevel"/>
    <w:tmpl w:val="49EC5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7" w15:restartNumberingAfterBreak="0">
    <w:nsid w:val="35D72549"/>
    <w:multiLevelType w:val="hybridMultilevel"/>
    <w:tmpl w:val="28245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6A07C7"/>
    <w:multiLevelType w:val="hybridMultilevel"/>
    <w:tmpl w:val="1994C1BE"/>
    <w:lvl w:ilvl="0" w:tplc="0C090001">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9" w15:restartNumberingAfterBreak="0">
    <w:nsid w:val="42CC0953"/>
    <w:multiLevelType w:val="hybridMultilevel"/>
    <w:tmpl w:val="FFFFFFFF"/>
    <w:lvl w:ilvl="0" w:tplc="09C04904">
      <w:start w:val="1"/>
      <w:numFmt w:val="lowerLetter"/>
      <w:lvlText w:val="(%1)"/>
      <w:lvlJc w:val="left"/>
      <w:pPr>
        <w:ind w:left="720" w:hanging="360"/>
      </w:pPr>
    </w:lvl>
    <w:lvl w:ilvl="1" w:tplc="82649F90">
      <w:start w:val="1"/>
      <w:numFmt w:val="lowerLetter"/>
      <w:lvlText w:val="%2."/>
      <w:lvlJc w:val="left"/>
      <w:pPr>
        <w:ind w:left="1440" w:hanging="360"/>
      </w:pPr>
    </w:lvl>
    <w:lvl w:ilvl="2" w:tplc="FA9483F2">
      <w:start w:val="1"/>
      <w:numFmt w:val="lowerRoman"/>
      <w:lvlText w:val="%3."/>
      <w:lvlJc w:val="right"/>
      <w:pPr>
        <w:ind w:left="2160" w:hanging="180"/>
      </w:pPr>
    </w:lvl>
    <w:lvl w:ilvl="3" w:tplc="42CACD6A">
      <w:start w:val="1"/>
      <w:numFmt w:val="decimal"/>
      <w:lvlText w:val="%4."/>
      <w:lvlJc w:val="left"/>
      <w:pPr>
        <w:ind w:left="2880" w:hanging="360"/>
      </w:pPr>
    </w:lvl>
    <w:lvl w:ilvl="4" w:tplc="E3967966">
      <w:start w:val="1"/>
      <w:numFmt w:val="lowerLetter"/>
      <w:lvlText w:val="%5."/>
      <w:lvlJc w:val="left"/>
      <w:pPr>
        <w:ind w:left="3600" w:hanging="360"/>
      </w:pPr>
    </w:lvl>
    <w:lvl w:ilvl="5" w:tplc="DFD6B7B6">
      <w:start w:val="1"/>
      <w:numFmt w:val="lowerRoman"/>
      <w:lvlText w:val="%6."/>
      <w:lvlJc w:val="right"/>
      <w:pPr>
        <w:ind w:left="4320" w:hanging="180"/>
      </w:pPr>
    </w:lvl>
    <w:lvl w:ilvl="6" w:tplc="3250B67A">
      <w:start w:val="1"/>
      <w:numFmt w:val="decimal"/>
      <w:lvlText w:val="%7."/>
      <w:lvlJc w:val="left"/>
      <w:pPr>
        <w:ind w:left="5040" w:hanging="360"/>
      </w:pPr>
    </w:lvl>
    <w:lvl w:ilvl="7" w:tplc="1CEE212A">
      <w:start w:val="1"/>
      <w:numFmt w:val="lowerLetter"/>
      <w:lvlText w:val="%8."/>
      <w:lvlJc w:val="left"/>
      <w:pPr>
        <w:ind w:left="5760" w:hanging="360"/>
      </w:pPr>
    </w:lvl>
    <w:lvl w:ilvl="8" w:tplc="A4E69B80">
      <w:start w:val="1"/>
      <w:numFmt w:val="lowerRoman"/>
      <w:lvlText w:val="%9."/>
      <w:lvlJc w:val="right"/>
      <w:pPr>
        <w:ind w:left="6480" w:hanging="180"/>
      </w:pPr>
    </w:lvl>
  </w:abstractNum>
  <w:abstractNum w:abstractNumId="10" w15:restartNumberingAfterBreak="0">
    <w:nsid w:val="437F1DA5"/>
    <w:multiLevelType w:val="hybridMultilevel"/>
    <w:tmpl w:val="F94A2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A03022"/>
    <w:multiLevelType w:val="hybridMultilevel"/>
    <w:tmpl w:val="6DEC8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ED24AC"/>
    <w:multiLevelType w:val="hybridMultilevel"/>
    <w:tmpl w:val="2D0C8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536E64"/>
    <w:multiLevelType w:val="hybridMultilevel"/>
    <w:tmpl w:val="8D6E1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A26E3E"/>
    <w:multiLevelType w:val="hybridMultilevel"/>
    <w:tmpl w:val="40427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1740C4"/>
    <w:multiLevelType w:val="hybridMultilevel"/>
    <w:tmpl w:val="FFFAD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264363"/>
    <w:multiLevelType w:val="hybridMultilevel"/>
    <w:tmpl w:val="DBBA3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FE73C5A"/>
    <w:multiLevelType w:val="hybridMultilevel"/>
    <w:tmpl w:val="F01AA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7247FC0"/>
    <w:multiLevelType w:val="hybridMultilevel"/>
    <w:tmpl w:val="95EA9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061C80"/>
    <w:multiLevelType w:val="hybridMultilevel"/>
    <w:tmpl w:val="35C2DDF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7D601990"/>
    <w:multiLevelType w:val="hybridMultilevel"/>
    <w:tmpl w:val="D6728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6821680">
    <w:abstractNumId w:val="6"/>
  </w:num>
  <w:num w:numId="2" w16cid:durableId="419722841">
    <w:abstractNumId w:val="17"/>
  </w:num>
  <w:num w:numId="3" w16cid:durableId="1559248825">
    <w:abstractNumId w:val="1"/>
  </w:num>
  <w:num w:numId="4" w16cid:durableId="279186392">
    <w:abstractNumId w:val="8"/>
  </w:num>
  <w:num w:numId="5" w16cid:durableId="1200121446">
    <w:abstractNumId w:val="18"/>
  </w:num>
  <w:num w:numId="6" w16cid:durableId="1332948010">
    <w:abstractNumId w:val="21"/>
  </w:num>
  <w:num w:numId="7" w16cid:durableId="719746037">
    <w:abstractNumId w:val="3"/>
  </w:num>
  <w:num w:numId="8" w16cid:durableId="1134640866">
    <w:abstractNumId w:val="14"/>
  </w:num>
  <w:num w:numId="9" w16cid:durableId="1498109542">
    <w:abstractNumId w:val="11"/>
  </w:num>
  <w:num w:numId="10" w16cid:durableId="1473138792">
    <w:abstractNumId w:val="15"/>
  </w:num>
  <w:num w:numId="11" w16cid:durableId="1523401267">
    <w:abstractNumId w:val="13"/>
  </w:num>
  <w:num w:numId="12" w16cid:durableId="1229654394">
    <w:abstractNumId w:val="12"/>
  </w:num>
  <w:num w:numId="13" w16cid:durableId="1068571228">
    <w:abstractNumId w:val="16"/>
  </w:num>
  <w:num w:numId="14" w16cid:durableId="2022009412">
    <w:abstractNumId w:val="19"/>
  </w:num>
  <w:num w:numId="15" w16cid:durableId="330254782">
    <w:abstractNumId w:val="7"/>
  </w:num>
  <w:num w:numId="16" w16cid:durableId="1994017577">
    <w:abstractNumId w:val="4"/>
  </w:num>
  <w:num w:numId="17" w16cid:durableId="2066678457">
    <w:abstractNumId w:val="0"/>
  </w:num>
  <w:num w:numId="18" w16cid:durableId="581260134">
    <w:abstractNumId w:val="10"/>
  </w:num>
  <w:num w:numId="19" w16cid:durableId="522474448">
    <w:abstractNumId w:val="5"/>
  </w:num>
  <w:num w:numId="20" w16cid:durableId="848526807">
    <w:abstractNumId w:val="20"/>
  </w:num>
  <w:num w:numId="21" w16cid:durableId="1990667057">
    <w:abstractNumId w:val="2"/>
  </w:num>
  <w:num w:numId="22" w16cid:durableId="3593609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embedSystemFonts/>
  <w:hideSpellingErrors/>
  <w:hideGrammaticalError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D74"/>
    <w:rsid w:val="00000A05"/>
    <w:rsid w:val="00000E7D"/>
    <w:rsid w:val="0000158D"/>
    <w:rsid w:val="000021DF"/>
    <w:rsid w:val="000023F9"/>
    <w:rsid w:val="0000373B"/>
    <w:rsid w:val="00003F56"/>
    <w:rsid w:val="0000502A"/>
    <w:rsid w:val="00005D12"/>
    <w:rsid w:val="00005F9F"/>
    <w:rsid w:val="00006C24"/>
    <w:rsid w:val="0000707F"/>
    <w:rsid w:val="0000780D"/>
    <w:rsid w:val="00010000"/>
    <w:rsid w:val="00010D4E"/>
    <w:rsid w:val="000120B8"/>
    <w:rsid w:val="000126D3"/>
    <w:rsid w:val="00013015"/>
    <w:rsid w:val="000130C6"/>
    <w:rsid w:val="00013390"/>
    <w:rsid w:val="00014C72"/>
    <w:rsid w:val="000158E8"/>
    <w:rsid w:val="00015996"/>
    <w:rsid w:val="00016EA2"/>
    <w:rsid w:val="0001715E"/>
    <w:rsid w:val="00017751"/>
    <w:rsid w:val="0002063D"/>
    <w:rsid w:val="00020D44"/>
    <w:rsid w:val="00022C64"/>
    <w:rsid w:val="00022EFF"/>
    <w:rsid w:val="00023521"/>
    <w:rsid w:val="000237CE"/>
    <w:rsid w:val="0002445A"/>
    <w:rsid w:val="00024C6C"/>
    <w:rsid w:val="00025050"/>
    <w:rsid w:val="00025721"/>
    <w:rsid w:val="0002642B"/>
    <w:rsid w:val="00026F74"/>
    <w:rsid w:val="000312C0"/>
    <w:rsid w:val="00034E20"/>
    <w:rsid w:val="000355D0"/>
    <w:rsid w:val="0003593D"/>
    <w:rsid w:val="00035D74"/>
    <w:rsid w:val="000360ED"/>
    <w:rsid w:val="000366E6"/>
    <w:rsid w:val="00037B7F"/>
    <w:rsid w:val="00041386"/>
    <w:rsid w:val="0004289A"/>
    <w:rsid w:val="00042976"/>
    <w:rsid w:val="00043AC2"/>
    <w:rsid w:val="00044FAD"/>
    <w:rsid w:val="00045EE2"/>
    <w:rsid w:val="0004645D"/>
    <w:rsid w:val="00046602"/>
    <w:rsid w:val="000467FA"/>
    <w:rsid w:val="00046930"/>
    <w:rsid w:val="00046DE9"/>
    <w:rsid w:val="0004716A"/>
    <w:rsid w:val="000508AD"/>
    <w:rsid w:val="0005143B"/>
    <w:rsid w:val="00053153"/>
    <w:rsid w:val="00054258"/>
    <w:rsid w:val="00055144"/>
    <w:rsid w:val="000559CC"/>
    <w:rsid w:val="00056E9B"/>
    <w:rsid w:val="00060484"/>
    <w:rsid w:val="00064D4D"/>
    <w:rsid w:val="000650AC"/>
    <w:rsid w:val="00066A63"/>
    <w:rsid w:val="00066C73"/>
    <w:rsid w:val="0006788A"/>
    <w:rsid w:val="00070326"/>
    <w:rsid w:val="000703FA"/>
    <w:rsid w:val="0007062D"/>
    <w:rsid w:val="00070FD1"/>
    <w:rsid w:val="000715D5"/>
    <w:rsid w:val="000719AF"/>
    <w:rsid w:val="000729BD"/>
    <w:rsid w:val="000741F4"/>
    <w:rsid w:val="00075BB3"/>
    <w:rsid w:val="00076178"/>
    <w:rsid w:val="00077328"/>
    <w:rsid w:val="00077FD9"/>
    <w:rsid w:val="000804AC"/>
    <w:rsid w:val="00081670"/>
    <w:rsid w:val="000817A3"/>
    <w:rsid w:val="000826EC"/>
    <w:rsid w:val="000842D5"/>
    <w:rsid w:val="0008525F"/>
    <w:rsid w:val="00087446"/>
    <w:rsid w:val="000878C9"/>
    <w:rsid w:val="000919BD"/>
    <w:rsid w:val="000920F9"/>
    <w:rsid w:val="000926CA"/>
    <w:rsid w:val="0009421B"/>
    <w:rsid w:val="00094D13"/>
    <w:rsid w:val="00095211"/>
    <w:rsid w:val="000967EC"/>
    <w:rsid w:val="000968B5"/>
    <w:rsid w:val="0009758A"/>
    <w:rsid w:val="000A0225"/>
    <w:rsid w:val="000A0BCC"/>
    <w:rsid w:val="000A0EAE"/>
    <w:rsid w:val="000A1084"/>
    <w:rsid w:val="000A4FDA"/>
    <w:rsid w:val="000A5C16"/>
    <w:rsid w:val="000A66E4"/>
    <w:rsid w:val="000A6A3A"/>
    <w:rsid w:val="000A6D33"/>
    <w:rsid w:val="000A721E"/>
    <w:rsid w:val="000B0617"/>
    <w:rsid w:val="000B09C6"/>
    <w:rsid w:val="000B0E33"/>
    <w:rsid w:val="000B39A1"/>
    <w:rsid w:val="000B47B9"/>
    <w:rsid w:val="000B5787"/>
    <w:rsid w:val="000B5C3A"/>
    <w:rsid w:val="000B5D81"/>
    <w:rsid w:val="000B5E48"/>
    <w:rsid w:val="000B703A"/>
    <w:rsid w:val="000B7FDD"/>
    <w:rsid w:val="000C067E"/>
    <w:rsid w:val="000C0AD7"/>
    <w:rsid w:val="000C10DF"/>
    <w:rsid w:val="000C131D"/>
    <w:rsid w:val="000C4AD6"/>
    <w:rsid w:val="000C4E5F"/>
    <w:rsid w:val="000C52E7"/>
    <w:rsid w:val="000C54CF"/>
    <w:rsid w:val="000C6935"/>
    <w:rsid w:val="000C7022"/>
    <w:rsid w:val="000C7190"/>
    <w:rsid w:val="000C7660"/>
    <w:rsid w:val="000C7DDC"/>
    <w:rsid w:val="000D0AF7"/>
    <w:rsid w:val="000D0E68"/>
    <w:rsid w:val="000D2842"/>
    <w:rsid w:val="000D337D"/>
    <w:rsid w:val="000D3469"/>
    <w:rsid w:val="000D4260"/>
    <w:rsid w:val="000D59E3"/>
    <w:rsid w:val="000D6BF4"/>
    <w:rsid w:val="000D72D9"/>
    <w:rsid w:val="000D78E9"/>
    <w:rsid w:val="000D7B5C"/>
    <w:rsid w:val="000D7E49"/>
    <w:rsid w:val="000E0D16"/>
    <w:rsid w:val="000E1A8B"/>
    <w:rsid w:val="000E207A"/>
    <w:rsid w:val="000E32E3"/>
    <w:rsid w:val="000E3629"/>
    <w:rsid w:val="000E41D5"/>
    <w:rsid w:val="000E46D0"/>
    <w:rsid w:val="000E4E66"/>
    <w:rsid w:val="000E530A"/>
    <w:rsid w:val="000E59FF"/>
    <w:rsid w:val="000E6503"/>
    <w:rsid w:val="000F0695"/>
    <w:rsid w:val="000F0D4A"/>
    <w:rsid w:val="000F1D1B"/>
    <w:rsid w:val="000F2916"/>
    <w:rsid w:val="000F2E3E"/>
    <w:rsid w:val="000F47E6"/>
    <w:rsid w:val="000F539A"/>
    <w:rsid w:val="000F7574"/>
    <w:rsid w:val="00101214"/>
    <w:rsid w:val="001012D9"/>
    <w:rsid w:val="001016F6"/>
    <w:rsid w:val="00103220"/>
    <w:rsid w:val="0010372D"/>
    <w:rsid w:val="00103C7B"/>
    <w:rsid w:val="00103EB6"/>
    <w:rsid w:val="0010428C"/>
    <w:rsid w:val="00105402"/>
    <w:rsid w:val="001060C3"/>
    <w:rsid w:val="00106BCF"/>
    <w:rsid w:val="00107D73"/>
    <w:rsid w:val="00112347"/>
    <w:rsid w:val="00112600"/>
    <w:rsid w:val="00113B45"/>
    <w:rsid w:val="001157BE"/>
    <w:rsid w:val="00116F51"/>
    <w:rsid w:val="001172E1"/>
    <w:rsid w:val="00117A8E"/>
    <w:rsid w:val="00117C02"/>
    <w:rsid w:val="00122DDD"/>
    <w:rsid w:val="00123DC2"/>
    <w:rsid w:val="00124D0F"/>
    <w:rsid w:val="001262C7"/>
    <w:rsid w:val="001265E2"/>
    <w:rsid w:val="001273C4"/>
    <w:rsid w:val="0013093E"/>
    <w:rsid w:val="00131EBA"/>
    <w:rsid w:val="00132998"/>
    <w:rsid w:val="0013491C"/>
    <w:rsid w:val="00135658"/>
    <w:rsid w:val="00137BCE"/>
    <w:rsid w:val="00137BDA"/>
    <w:rsid w:val="00137E3C"/>
    <w:rsid w:val="001405D7"/>
    <w:rsid w:val="00140A77"/>
    <w:rsid w:val="001428B9"/>
    <w:rsid w:val="00142B77"/>
    <w:rsid w:val="001431AC"/>
    <w:rsid w:val="00143DF2"/>
    <w:rsid w:val="00150067"/>
    <w:rsid w:val="00150120"/>
    <w:rsid w:val="0015274D"/>
    <w:rsid w:val="00154F9E"/>
    <w:rsid w:val="0015605B"/>
    <w:rsid w:val="00156FE4"/>
    <w:rsid w:val="00157885"/>
    <w:rsid w:val="00157BB6"/>
    <w:rsid w:val="0016003E"/>
    <w:rsid w:val="00160DDD"/>
    <w:rsid w:val="00161298"/>
    <w:rsid w:val="00161AC5"/>
    <w:rsid w:val="00161C17"/>
    <w:rsid w:val="00162531"/>
    <w:rsid w:val="00163784"/>
    <w:rsid w:val="001649B4"/>
    <w:rsid w:val="00167644"/>
    <w:rsid w:val="00170DE1"/>
    <w:rsid w:val="00173461"/>
    <w:rsid w:val="001761EE"/>
    <w:rsid w:val="001766B3"/>
    <w:rsid w:val="00176967"/>
    <w:rsid w:val="001779F5"/>
    <w:rsid w:val="00184FC0"/>
    <w:rsid w:val="00186520"/>
    <w:rsid w:val="00190C01"/>
    <w:rsid w:val="00195542"/>
    <w:rsid w:val="00195C6F"/>
    <w:rsid w:val="001960A8"/>
    <w:rsid w:val="001962D8"/>
    <w:rsid w:val="0019703C"/>
    <w:rsid w:val="001A2C53"/>
    <w:rsid w:val="001A4535"/>
    <w:rsid w:val="001A4F45"/>
    <w:rsid w:val="001A674E"/>
    <w:rsid w:val="001A70B9"/>
    <w:rsid w:val="001B0497"/>
    <w:rsid w:val="001B0BF0"/>
    <w:rsid w:val="001B19AC"/>
    <w:rsid w:val="001B2246"/>
    <w:rsid w:val="001B32C6"/>
    <w:rsid w:val="001B337A"/>
    <w:rsid w:val="001B3E31"/>
    <w:rsid w:val="001B4A39"/>
    <w:rsid w:val="001B4F89"/>
    <w:rsid w:val="001B4FD6"/>
    <w:rsid w:val="001B6256"/>
    <w:rsid w:val="001B7535"/>
    <w:rsid w:val="001B76A0"/>
    <w:rsid w:val="001B7F7B"/>
    <w:rsid w:val="001C0906"/>
    <w:rsid w:val="001C2C28"/>
    <w:rsid w:val="001C2CAA"/>
    <w:rsid w:val="001C3C24"/>
    <w:rsid w:val="001C3D07"/>
    <w:rsid w:val="001C4590"/>
    <w:rsid w:val="001C5022"/>
    <w:rsid w:val="001C53D7"/>
    <w:rsid w:val="001C576A"/>
    <w:rsid w:val="001C6B53"/>
    <w:rsid w:val="001D0F60"/>
    <w:rsid w:val="001D2360"/>
    <w:rsid w:val="001D2CC0"/>
    <w:rsid w:val="001D33E1"/>
    <w:rsid w:val="001D3A23"/>
    <w:rsid w:val="001D51D0"/>
    <w:rsid w:val="001D6A2A"/>
    <w:rsid w:val="001E0562"/>
    <w:rsid w:val="001E220B"/>
    <w:rsid w:val="001E3B11"/>
    <w:rsid w:val="001E4298"/>
    <w:rsid w:val="001E6A74"/>
    <w:rsid w:val="001E75C8"/>
    <w:rsid w:val="001E766F"/>
    <w:rsid w:val="001E7CB7"/>
    <w:rsid w:val="001F0D7C"/>
    <w:rsid w:val="001F1943"/>
    <w:rsid w:val="001F1C0C"/>
    <w:rsid w:val="001F41D0"/>
    <w:rsid w:val="001F4BD2"/>
    <w:rsid w:val="001F5898"/>
    <w:rsid w:val="001F62D0"/>
    <w:rsid w:val="001F6BB2"/>
    <w:rsid w:val="001F7868"/>
    <w:rsid w:val="001F78BE"/>
    <w:rsid w:val="00200033"/>
    <w:rsid w:val="002002B2"/>
    <w:rsid w:val="00201E00"/>
    <w:rsid w:val="00202018"/>
    <w:rsid w:val="002046B8"/>
    <w:rsid w:val="002047FC"/>
    <w:rsid w:val="00205572"/>
    <w:rsid w:val="0020582E"/>
    <w:rsid w:val="00206442"/>
    <w:rsid w:val="00206FB8"/>
    <w:rsid w:val="002076E9"/>
    <w:rsid w:val="00207A14"/>
    <w:rsid w:val="00211A1E"/>
    <w:rsid w:val="00212718"/>
    <w:rsid w:val="002129B0"/>
    <w:rsid w:val="00212D35"/>
    <w:rsid w:val="00212E04"/>
    <w:rsid w:val="00212F12"/>
    <w:rsid w:val="00214D09"/>
    <w:rsid w:val="00215D66"/>
    <w:rsid w:val="00216111"/>
    <w:rsid w:val="002162FF"/>
    <w:rsid w:val="002163F9"/>
    <w:rsid w:val="00216E7B"/>
    <w:rsid w:val="00216EAF"/>
    <w:rsid w:val="00220B17"/>
    <w:rsid w:val="00220CB6"/>
    <w:rsid w:val="00220F16"/>
    <w:rsid w:val="00221472"/>
    <w:rsid w:val="00222149"/>
    <w:rsid w:val="00222E62"/>
    <w:rsid w:val="00222ED4"/>
    <w:rsid w:val="002235A2"/>
    <w:rsid w:val="00223956"/>
    <w:rsid w:val="0022397C"/>
    <w:rsid w:val="00223C7B"/>
    <w:rsid w:val="0022438F"/>
    <w:rsid w:val="002249E0"/>
    <w:rsid w:val="002255C7"/>
    <w:rsid w:val="00225994"/>
    <w:rsid w:val="002259CF"/>
    <w:rsid w:val="00226CA0"/>
    <w:rsid w:val="00227D0C"/>
    <w:rsid w:val="00230B99"/>
    <w:rsid w:val="00231490"/>
    <w:rsid w:val="00231F56"/>
    <w:rsid w:val="00231FCC"/>
    <w:rsid w:val="00233967"/>
    <w:rsid w:val="00237116"/>
    <w:rsid w:val="0023737A"/>
    <w:rsid w:val="00240878"/>
    <w:rsid w:val="0024231D"/>
    <w:rsid w:val="0024280E"/>
    <w:rsid w:val="00242B8C"/>
    <w:rsid w:val="00243369"/>
    <w:rsid w:val="00245DAC"/>
    <w:rsid w:val="00247F90"/>
    <w:rsid w:val="00250FF7"/>
    <w:rsid w:val="00251110"/>
    <w:rsid w:val="00251852"/>
    <w:rsid w:val="00251A75"/>
    <w:rsid w:val="002529EC"/>
    <w:rsid w:val="00254C5B"/>
    <w:rsid w:val="0025544A"/>
    <w:rsid w:val="0025673C"/>
    <w:rsid w:val="00256A26"/>
    <w:rsid w:val="00256BBE"/>
    <w:rsid w:val="00257CA2"/>
    <w:rsid w:val="00260321"/>
    <w:rsid w:val="00261D79"/>
    <w:rsid w:val="002624A8"/>
    <w:rsid w:val="00262EFF"/>
    <w:rsid w:val="0026349B"/>
    <w:rsid w:val="002654E6"/>
    <w:rsid w:val="00265B68"/>
    <w:rsid w:val="00265B6B"/>
    <w:rsid w:val="002666BD"/>
    <w:rsid w:val="0026676D"/>
    <w:rsid w:val="0026714F"/>
    <w:rsid w:val="00267B76"/>
    <w:rsid w:val="00267F61"/>
    <w:rsid w:val="00270889"/>
    <w:rsid w:val="00271330"/>
    <w:rsid w:val="0027185E"/>
    <w:rsid w:val="00271A38"/>
    <w:rsid w:val="002721D7"/>
    <w:rsid w:val="002724DD"/>
    <w:rsid w:val="00272F3D"/>
    <w:rsid w:val="0027335B"/>
    <w:rsid w:val="0027369F"/>
    <w:rsid w:val="00273AC1"/>
    <w:rsid w:val="002744EC"/>
    <w:rsid w:val="00274793"/>
    <w:rsid w:val="00274E87"/>
    <w:rsid w:val="00275C86"/>
    <w:rsid w:val="002765C0"/>
    <w:rsid w:val="002777D2"/>
    <w:rsid w:val="00281D3E"/>
    <w:rsid w:val="002821C8"/>
    <w:rsid w:val="00283712"/>
    <w:rsid w:val="00283A05"/>
    <w:rsid w:val="00284930"/>
    <w:rsid w:val="002858A9"/>
    <w:rsid w:val="00286C0A"/>
    <w:rsid w:val="00292985"/>
    <w:rsid w:val="00292A1B"/>
    <w:rsid w:val="00296561"/>
    <w:rsid w:val="002979AA"/>
    <w:rsid w:val="00297E74"/>
    <w:rsid w:val="002A0759"/>
    <w:rsid w:val="002A0CD0"/>
    <w:rsid w:val="002A15B9"/>
    <w:rsid w:val="002A1A5D"/>
    <w:rsid w:val="002A561E"/>
    <w:rsid w:val="002A5BF8"/>
    <w:rsid w:val="002A664E"/>
    <w:rsid w:val="002A7E1F"/>
    <w:rsid w:val="002B230C"/>
    <w:rsid w:val="002B2C49"/>
    <w:rsid w:val="002B2DDC"/>
    <w:rsid w:val="002B2F59"/>
    <w:rsid w:val="002B3CBC"/>
    <w:rsid w:val="002B43C6"/>
    <w:rsid w:val="002B5080"/>
    <w:rsid w:val="002B537E"/>
    <w:rsid w:val="002B7187"/>
    <w:rsid w:val="002B7C52"/>
    <w:rsid w:val="002C1F3F"/>
    <w:rsid w:val="002C226C"/>
    <w:rsid w:val="002C379F"/>
    <w:rsid w:val="002C3CB2"/>
    <w:rsid w:val="002C531D"/>
    <w:rsid w:val="002C563F"/>
    <w:rsid w:val="002C7037"/>
    <w:rsid w:val="002D05AE"/>
    <w:rsid w:val="002D0FEB"/>
    <w:rsid w:val="002D1619"/>
    <w:rsid w:val="002D22E7"/>
    <w:rsid w:val="002D2401"/>
    <w:rsid w:val="002D4925"/>
    <w:rsid w:val="002D59C0"/>
    <w:rsid w:val="002D5F23"/>
    <w:rsid w:val="002D62F3"/>
    <w:rsid w:val="002D6B13"/>
    <w:rsid w:val="002D733E"/>
    <w:rsid w:val="002E0E24"/>
    <w:rsid w:val="002E156E"/>
    <w:rsid w:val="002E1DD0"/>
    <w:rsid w:val="002E2406"/>
    <w:rsid w:val="002E3917"/>
    <w:rsid w:val="002E4EF8"/>
    <w:rsid w:val="002E66D4"/>
    <w:rsid w:val="002E701F"/>
    <w:rsid w:val="002F022D"/>
    <w:rsid w:val="002F0B47"/>
    <w:rsid w:val="002F1ADA"/>
    <w:rsid w:val="002F2086"/>
    <w:rsid w:val="002F28D5"/>
    <w:rsid w:val="002F3756"/>
    <w:rsid w:val="002F3D3B"/>
    <w:rsid w:val="002F3EDD"/>
    <w:rsid w:val="002F626B"/>
    <w:rsid w:val="002F6D71"/>
    <w:rsid w:val="002F7084"/>
    <w:rsid w:val="002F773D"/>
    <w:rsid w:val="0030006A"/>
    <w:rsid w:val="003013E1"/>
    <w:rsid w:val="00302AC4"/>
    <w:rsid w:val="00302C3C"/>
    <w:rsid w:val="003041FA"/>
    <w:rsid w:val="003049E8"/>
    <w:rsid w:val="00304CFC"/>
    <w:rsid w:val="00305269"/>
    <w:rsid w:val="0030555A"/>
    <w:rsid w:val="00307975"/>
    <w:rsid w:val="003104B2"/>
    <w:rsid w:val="003104F2"/>
    <w:rsid w:val="00310D8D"/>
    <w:rsid w:val="00311BE3"/>
    <w:rsid w:val="00312CD1"/>
    <w:rsid w:val="00314633"/>
    <w:rsid w:val="00314667"/>
    <w:rsid w:val="00316B27"/>
    <w:rsid w:val="00317003"/>
    <w:rsid w:val="00321007"/>
    <w:rsid w:val="00321081"/>
    <w:rsid w:val="003210C7"/>
    <w:rsid w:val="00321878"/>
    <w:rsid w:val="00321DBB"/>
    <w:rsid w:val="003225E8"/>
    <w:rsid w:val="003231EF"/>
    <w:rsid w:val="00325A81"/>
    <w:rsid w:val="00327806"/>
    <w:rsid w:val="00330042"/>
    <w:rsid w:val="00331AAA"/>
    <w:rsid w:val="00332AF3"/>
    <w:rsid w:val="00332EE8"/>
    <w:rsid w:val="00333631"/>
    <w:rsid w:val="003342CD"/>
    <w:rsid w:val="003345BF"/>
    <w:rsid w:val="00334ADF"/>
    <w:rsid w:val="00335042"/>
    <w:rsid w:val="00335E92"/>
    <w:rsid w:val="003364CA"/>
    <w:rsid w:val="00336542"/>
    <w:rsid w:val="00337821"/>
    <w:rsid w:val="003404B6"/>
    <w:rsid w:val="00341183"/>
    <w:rsid w:val="003416E4"/>
    <w:rsid w:val="00342E61"/>
    <w:rsid w:val="00343C57"/>
    <w:rsid w:val="00345377"/>
    <w:rsid w:val="003457E1"/>
    <w:rsid w:val="00347339"/>
    <w:rsid w:val="00347B5D"/>
    <w:rsid w:val="003520F9"/>
    <w:rsid w:val="003528F9"/>
    <w:rsid w:val="0035526F"/>
    <w:rsid w:val="00355514"/>
    <w:rsid w:val="00355DCA"/>
    <w:rsid w:val="00356B62"/>
    <w:rsid w:val="00357A70"/>
    <w:rsid w:val="00357F29"/>
    <w:rsid w:val="003608FD"/>
    <w:rsid w:val="00360BD5"/>
    <w:rsid w:val="00361D5D"/>
    <w:rsid w:val="00361D8C"/>
    <w:rsid w:val="00362B70"/>
    <w:rsid w:val="00363058"/>
    <w:rsid w:val="00363463"/>
    <w:rsid w:val="003634D0"/>
    <w:rsid w:val="00363715"/>
    <w:rsid w:val="00363E7B"/>
    <w:rsid w:val="003663C2"/>
    <w:rsid w:val="00370CC5"/>
    <w:rsid w:val="003722A0"/>
    <w:rsid w:val="00372E28"/>
    <w:rsid w:val="00372F43"/>
    <w:rsid w:val="003736FE"/>
    <w:rsid w:val="00375E0B"/>
    <w:rsid w:val="00376CD8"/>
    <w:rsid w:val="0037742F"/>
    <w:rsid w:val="00380742"/>
    <w:rsid w:val="003808EC"/>
    <w:rsid w:val="00380970"/>
    <w:rsid w:val="00381D2D"/>
    <w:rsid w:val="00381F46"/>
    <w:rsid w:val="00382BCA"/>
    <w:rsid w:val="00384267"/>
    <w:rsid w:val="003870C7"/>
    <w:rsid w:val="00387E0D"/>
    <w:rsid w:val="00387F6B"/>
    <w:rsid w:val="00390E36"/>
    <w:rsid w:val="0039102C"/>
    <w:rsid w:val="003919E6"/>
    <w:rsid w:val="00391D81"/>
    <w:rsid w:val="00392BBA"/>
    <w:rsid w:val="00393B05"/>
    <w:rsid w:val="003943A0"/>
    <w:rsid w:val="003954FD"/>
    <w:rsid w:val="00395CCF"/>
    <w:rsid w:val="003A0F62"/>
    <w:rsid w:val="003A100A"/>
    <w:rsid w:val="003A1224"/>
    <w:rsid w:val="003A201E"/>
    <w:rsid w:val="003A2ADB"/>
    <w:rsid w:val="003A2E13"/>
    <w:rsid w:val="003A319C"/>
    <w:rsid w:val="003A3B20"/>
    <w:rsid w:val="003A3E7C"/>
    <w:rsid w:val="003A4E11"/>
    <w:rsid w:val="003A522D"/>
    <w:rsid w:val="003A5497"/>
    <w:rsid w:val="003A5AB7"/>
    <w:rsid w:val="003A66CF"/>
    <w:rsid w:val="003A6D3D"/>
    <w:rsid w:val="003A6E20"/>
    <w:rsid w:val="003B0C97"/>
    <w:rsid w:val="003B10A2"/>
    <w:rsid w:val="003B1318"/>
    <w:rsid w:val="003B15DB"/>
    <w:rsid w:val="003B3308"/>
    <w:rsid w:val="003B3344"/>
    <w:rsid w:val="003B3BFE"/>
    <w:rsid w:val="003B443A"/>
    <w:rsid w:val="003B4B82"/>
    <w:rsid w:val="003B4F91"/>
    <w:rsid w:val="003B5447"/>
    <w:rsid w:val="003B59F5"/>
    <w:rsid w:val="003B747F"/>
    <w:rsid w:val="003C05B1"/>
    <w:rsid w:val="003C0ADD"/>
    <w:rsid w:val="003C25B8"/>
    <w:rsid w:val="003C35B7"/>
    <w:rsid w:val="003C3F04"/>
    <w:rsid w:val="003C44A5"/>
    <w:rsid w:val="003C56EC"/>
    <w:rsid w:val="003C6EDA"/>
    <w:rsid w:val="003C7104"/>
    <w:rsid w:val="003C7907"/>
    <w:rsid w:val="003C7F99"/>
    <w:rsid w:val="003D06E8"/>
    <w:rsid w:val="003D60D7"/>
    <w:rsid w:val="003D6FF3"/>
    <w:rsid w:val="003D78D1"/>
    <w:rsid w:val="003E0808"/>
    <w:rsid w:val="003E1B26"/>
    <w:rsid w:val="003E1CE3"/>
    <w:rsid w:val="003E2F7E"/>
    <w:rsid w:val="003E39CD"/>
    <w:rsid w:val="003E5DDC"/>
    <w:rsid w:val="003E6DB8"/>
    <w:rsid w:val="003E769B"/>
    <w:rsid w:val="003E7D7E"/>
    <w:rsid w:val="003F0C52"/>
    <w:rsid w:val="003F1664"/>
    <w:rsid w:val="003F17CC"/>
    <w:rsid w:val="003F1C2D"/>
    <w:rsid w:val="003F4723"/>
    <w:rsid w:val="003F4ECC"/>
    <w:rsid w:val="003F78C9"/>
    <w:rsid w:val="003F79AC"/>
    <w:rsid w:val="004009DD"/>
    <w:rsid w:val="00401CEB"/>
    <w:rsid w:val="00403839"/>
    <w:rsid w:val="00403BF1"/>
    <w:rsid w:val="00404FAF"/>
    <w:rsid w:val="00405328"/>
    <w:rsid w:val="00407BF9"/>
    <w:rsid w:val="00407E41"/>
    <w:rsid w:val="004118F0"/>
    <w:rsid w:val="004122CC"/>
    <w:rsid w:val="00413C8B"/>
    <w:rsid w:val="00413E94"/>
    <w:rsid w:val="00416EE9"/>
    <w:rsid w:val="004218A7"/>
    <w:rsid w:val="00421AC3"/>
    <w:rsid w:val="00423ED7"/>
    <w:rsid w:val="00423FC8"/>
    <w:rsid w:val="0042485D"/>
    <w:rsid w:val="00424A53"/>
    <w:rsid w:val="00424AFC"/>
    <w:rsid w:val="004262C6"/>
    <w:rsid w:val="00426549"/>
    <w:rsid w:val="00426F62"/>
    <w:rsid w:val="004278A1"/>
    <w:rsid w:val="00427DB2"/>
    <w:rsid w:val="0043088D"/>
    <w:rsid w:val="00433264"/>
    <w:rsid w:val="00434CCE"/>
    <w:rsid w:val="00434FA4"/>
    <w:rsid w:val="00436DB4"/>
    <w:rsid w:val="004379A4"/>
    <w:rsid w:val="0044024F"/>
    <w:rsid w:val="00440259"/>
    <w:rsid w:val="004404D2"/>
    <w:rsid w:val="0044417D"/>
    <w:rsid w:val="004444AC"/>
    <w:rsid w:val="00444DDA"/>
    <w:rsid w:val="00445FC3"/>
    <w:rsid w:val="00446CA3"/>
    <w:rsid w:val="00447069"/>
    <w:rsid w:val="0044739C"/>
    <w:rsid w:val="00450223"/>
    <w:rsid w:val="00451575"/>
    <w:rsid w:val="00451868"/>
    <w:rsid w:val="004532FC"/>
    <w:rsid w:val="0045643F"/>
    <w:rsid w:val="00456A47"/>
    <w:rsid w:val="00457138"/>
    <w:rsid w:val="004571EE"/>
    <w:rsid w:val="0046167A"/>
    <w:rsid w:val="00461C95"/>
    <w:rsid w:val="00462095"/>
    <w:rsid w:val="00462E13"/>
    <w:rsid w:val="0046444B"/>
    <w:rsid w:val="004647B6"/>
    <w:rsid w:val="00464930"/>
    <w:rsid w:val="00465A46"/>
    <w:rsid w:val="00465BCE"/>
    <w:rsid w:val="0046623D"/>
    <w:rsid w:val="00466D48"/>
    <w:rsid w:val="00466D83"/>
    <w:rsid w:val="004670F9"/>
    <w:rsid w:val="004714CA"/>
    <w:rsid w:val="004729A3"/>
    <w:rsid w:val="00473AD6"/>
    <w:rsid w:val="0047643C"/>
    <w:rsid w:val="0047740A"/>
    <w:rsid w:val="00480033"/>
    <w:rsid w:val="004818AE"/>
    <w:rsid w:val="00482B81"/>
    <w:rsid w:val="00482D4C"/>
    <w:rsid w:val="0048372B"/>
    <w:rsid w:val="004840E5"/>
    <w:rsid w:val="0048419C"/>
    <w:rsid w:val="004847E4"/>
    <w:rsid w:val="004851C3"/>
    <w:rsid w:val="00485D3A"/>
    <w:rsid w:val="00485DF4"/>
    <w:rsid w:val="0049215E"/>
    <w:rsid w:val="00492CAC"/>
    <w:rsid w:val="0049394D"/>
    <w:rsid w:val="00493F4B"/>
    <w:rsid w:val="0049533E"/>
    <w:rsid w:val="00496AFF"/>
    <w:rsid w:val="004A0E04"/>
    <w:rsid w:val="004A16E1"/>
    <w:rsid w:val="004A24F6"/>
    <w:rsid w:val="004A2AAB"/>
    <w:rsid w:val="004A4B48"/>
    <w:rsid w:val="004A5D1E"/>
    <w:rsid w:val="004A638B"/>
    <w:rsid w:val="004A7481"/>
    <w:rsid w:val="004B060C"/>
    <w:rsid w:val="004B0EFA"/>
    <w:rsid w:val="004B220D"/>
    <w:rsid w:val="004B22C7"/>
    <w:rsid w:val="004B301A"/>
    <w:rsid w:val="004B3C0F"/>
    <w:rsid w:val="004B4011"/>
    <w:rsid w:val="004B4E30"/>
    <w:rsid w:val="004B5DF9"/>
    <w:rsid w:val="004B67CE"/>
    <w:rsid w:val="004B6D87"/>
    <w:rsid w:val="004C05E4"/>
    <w:rsid w:val="004C0EDD"/>
    <w:rsid w:val="004C48F9"/>
    <w:rsid w:val="004C4E76"/>
    <w:rsid w:val="004C63F4"/>
    <w:rsid w:val="004C6EDE"/>
    <w:rsid w:val="004C7B38"/>
    <w:rsid w:val="004C7EE7"/>
    <w:rsid w:val="004D0575"/>
    <w:rsid w:val="004D0821"/>
    <w:rsid w:val="004D19AB"/>
    <w:rsid w:val="004D1BA4"/>
    <w:rsid w:val="004D2B96"/>
    <w:rsid w:val="004D3B70"/>
    <w:rsid w:val="004D434F"/>
    <w:rsid w:val="004D4D94"/>
    <w:rsid w:val="004D4E7D"/>
    <w:rsid w:val="004D6F7B"/>
    <w:rsid w:val="004D72CD"/>
    <w:rsid w:val="004D7ACC"/>
    <w:rsid w:val="004E059F"/>
    <w:rsid w:val="004E077A"/>
    <w:rsid w:val="004E0C57"/>
    <w:rsid w:val="004E39E1"/>
    <w:rsid w:val="004E5ED1"/>
    <w:rsid w:val="004E7BF9"/>
    <w:rsid w:val="004F0FB8"/>
    <w:rsid w:val="004F117B"/>
    <w:rsid w:val="004F38BB"/>
    <w:rsid w:val="004F4CA8"/>
    <w:rsid w:val="004F56D0"/>
    <w:rsid w:val="005017C2"/>
    <w:rsid w:val="00502DE9"/>
    <w:rsid w:val="00503062"/>
    <w:rsid w:val="00503E44"/>
    <w:rsid w:val="005040D1"/>
    <w:rsid w:val="005041FE"/>
    <w:rsid w:val="0050461D"/>
    <w:rsid w:val="0050539E"/>
    <w:rsid w:val="00505C66"/>
    <w:rsid w:val="00507B29"/>
    <w:rsid w:val="00507C93"/>
    <w:rsid w:val="00507D12"/>
    <w:rsid w:val="005132E3"/>
    <w:rsid w:val="00513C89"/>
    <w:rsid w:val="00514A59"/>
    <w:rsid w:val="0051502B"/>
    <w:rsid w:val="00515283"/>
    <w:rsid w:val="005153C7"/>
    <w:rsid w:val="00515665"/>
    <w:rsid w:val="0051678C"/>
    <w:rsid w:val="0051681A"/>
    <w:rsid w:val="005207B6"/>
    <w:rsid w:val="00520EF0"/>
    <w:rsid w:val="00521AE7"/>
    <w:rsid w:val="005225D0"/>
    <w:rsid w:val="00523572"/>
    <w:rsid w:val="0052427F"/>
    <w:rsid w:val="0052709F"/>
    <w:rsid w:val="0053001D"/>
    <w:rsid w:val="005317C4"/>
    <w:rsid w:val="00532BAD"/>
    <w:rsid w:val="005333B7"/>
    <w:rsid w:val="00533926"/>
    <w:rsid w:val="0053589B"/>
    <w:rsid w:val="00535F0E"/>
    <w:rsid w:val="005378B0"/>
    <w:rsid w:val="00537926"/>
    <w:rsid w:val="00537A4E"/>
    <w:rsid w:val="00537DF1"/>
    <w:rsid w:val="00540ED8"/>
    <w:rsid w:val="00540F45"/>
    <w:rsid w:val="00541AC4"/>
    <w:rsid w:val="0054238A"/>
    <w:rsid w:val="00542A4A"/>
    <w:rsid w:val="00543539"/>
    <w:rsid w:val="0054432D"/>
    <w:rsid w:val="00544ADD"/>
    <w:rsid w:val="00545191"/>
    <w:rsid w:val="005459D9"/>
    <w:rsid w:val="0054619A"/>
    <w:rsid w:val="005466B1"/>
    <w:rsid w:val="00546B85"/>
    <w:rsid w:val="00547C8F"/>
    <w:rsid w:val="005500F9"/>
    <w:rsid w:val="005525F3"/>
    <w:rsid w:val="005531A8"/>
    <w:rsid w:val="00553732"/>
    <w:rsid w:val="005545DC"/>
    <w:rsid w:val="0055461A"/>
    <w:rsid w:val="00554660"/>
    <w:rsid w:val="00554EA3"/>
    <w:rsid w:val="0055675D"/>
    <w:rsid w:val="00556AEE"/>
    <w:rsid w:val="00560603"/>
    <w:rsid w:val="00561297"/>
    <w:rsid w:val="0056278D"/>
    <w:rsid w:val="00563FE3"/>
    <w:rsid w:val="00564216"/>
    <w:rsid w:val="0056457D"/>
    <w:rsid w:val="005646D9"/>
    <w:rsid w:val="005649A4"/>
    <w:rsid w:val="00565366"/>
    <w:rsid w:val="0056581F"/>
    <w:rsid w:val="00565E30"/>
    <w:rsid w:val="0056621F"/>
    <w:rsid w:val="00566380"/>
    <w:rsid w:val="00566E8F"/>
    <w:rsid w:val="00567335"/>
    <w:rsid w:val="00567C5D"/>
    <w:rsid w:val="00571068"/>
    <w:rsid w:val="005727C4"/>
    <w:rsid w:val="00572F14"/>
    <w:rsid w:val="005738C9"/>
    <w:rsid w:val="0057422E"/>
    <w:rsid w:val="005748BC"/>
    <w:rsid w:val="00574F14"/>
    <w:rsid w:val="0057736B"/>
    <w:rsid w:val="00577712"/>
    <w:rsid w:val="005779CD"/>
    <w:rsid w:val="00577FEB"/>
    <w:rsid w:val="00581CA7"/>
    <w:rsid w:val="00581FA6"/>
    <w:rsid w:val="00582C1F"/>
    <w:rsid w:val="005833BE"/>
    <w:rsid w:val="00584E1C"/>
    <w:rsid w:val="005876CD"/>
    <w:rsid w:val="00590210"/>
    <w:rsid w:val="00591FBA"/>
    <w:rsid w:val="00592226"/>
    <w:rsid w:val="005923C1"/>
    <w:rsid w:val="00593A83"/>
    <w:rsid w:val="00594A6B"/>
    <w:rsid w:val="0059526D"/>
    <w:rsid w:val="00595920"/>
    <w:rsid w:val="00595D28"/>
    <w:rsid w:val="00596D0B"/>
    <w:rsid w:val="0059793A"/>
    <w:rsid w:val="00597B20"/>
    <w:rsid w:val="005A0487"/>
    <w:rsid w:val="005A061F"/>
    <w:rsid w:val="005A0932"/>
    <w:rsid w:val="005A22A6"/>
    <w:rsid w:val="005A2963"/>
    <w:rsid w:val="005A32D0"/>
    <w:rsid w:val="005A35CE"/>
    <w:rsid w:val="005A43B6"/>
    <w:rsid w:val="005A453C"/>
    <w:rsid w:val="005A4711"/>
    <w:rsid w:val="005A5717"/>
    <w:rsid w:val="005A6006"/>
    <w:rsid w:val="005A7D16"/>
    <w:rsid w:val="005A7E4F"/>
    <w:rsid w:val="005B0BB0"/>
    <w:rsid w:val="005B1438"/>
    <w:rsid w:val="005B1481"/>
    <w:rsid w:val="005B1654"/>
    <w:rsid w:val="005B25AC"/>
    <w:rsid w:val="005B2F07"/>
    <w:rsid w:val="005B353C"/>
    <w:rsid w:val="005B3E4D"/>
    <w:rsid w:val="005B3EBE"/>
    <w:rsid w:val="005B3F0A"/>
    <w:rsid w:val="005B42ED"/>
    <w:rsid w:val="005B4FCD"/>
    <w:rsid w:val="005B609C"/>
    <w:rsid w:val="005C0358"/>
    <w:rsid w:val="005C0635"/>
    <w:rsid w:val="005C15F5"/>
    <w:rsid w:val="005C1929"/>
    <w:rsid w:val="005C1D16"/>
    <w:rsid w:val="005C3751"/>
    <w:rsid w:val="005C4F09"/>
    <w:rsid w:val="005C5847"/>
    <w:rsid w:val="005D0EE6"/>
    <w:rsid w:val="005D2831"/>
    <w:rsid w:val="005D29B5"/>
    <w:rsid w:val="005D5B26"/>
    <w:rsid w:val="005D6B8F"/>
    <w:rsid w:val="005D7031"/>
    <w:rsid w:val="005D7D5A"/>
    <w:rsid w:val="005E0757"/>
    <w:rsid w:val="005E16CB"/>
    <w:rsid w:val="005E2D83"/>
    <w:rsid w:val="005E4AB3"/>
    <w:rsid w:val="005E4AF6"/>
    <w:rsid w:val="005E4BAC"/>
    <w:rsid w:val="005E63A0"/>
    <w:rsid w:val="005E642A"/>
    <w:rsid w:val="005E7D3D"/>
    <w:rsid w:val="005F07CD"/>
    <w:rsid w:val="005F3478"/>
    <w:rsid w:val="005F398F"/>
    <w:rsid w:val="005F3DF4"/>
    <w:rsid w:val="005F3FA5"/>
    <w:rsid w:val="005F3FAF"/>
    <w:rsid w:val="005F4474"/>
    <w:rsid w:val="005F45E4"/>
    <w:rsid w:val="005F4642"/>
    <w:rsid w:val="005F596B"/>
    <w:rsid w:val="005F67EF"/>
    <w:rsid w:val="005F753F"/>
    <w:rsid w:val="005F7EFB"/>
    <w:rsid w:val="00600508"/>
    <w:rsid w:val="0060130D"/>
    <w:rsid w:val="00601336"/>
    <w:rsid w:val="006022CE"/>
    <w:rsid w:val="00602924"/>
    <w:rsid w:val="00605965"/>
    <w:rsid w:val="006068CD"/>
    <w:rsid w:val="006100E5"/>
    <w:rsid w:val="00611ED0"/>
    <w:rsid w:val="0061206C"/>
    <w:rsid w:val="00612AA8"/>
    <w:rsid w:val="00614190"/>
    <w:rsid w:val="00614BBF"/>
    <w:rsid w:val="00614F46"/>
    <w:rsid w:val="00616337"/>
    <w:rsid w:val="00616D1B"/>
    <w:rsid w:val="00620056"/>
    <w:rsid w:val="00620A49"/>
    <w:rsid w:val="00621167"/>
    <w:rsid w:val="006219A7"/>
    <w:rsid w:val="006224B9"/>
    <w:rsid w:val="00622AF6"/>
    <w:rsid w:val="00622F2A"/>
    <w:rsid w:val="006237E4"/>
    <w:rsid w:val="00624E09"/>
    <w:rsid w:val="00630287"/>
    <w:rsid w:val="006302E6"/>
    <w:rsid w:val="0063086A"/>
    <w:rsid w:val="0063193E"/>
    <w:rsid w:val="00634FE7"/>
    <w:rsid w:val="006368E3"/>
    <w:rsid w:val="006374F0"/>
    <w:rsid w:val="0064129F"/>
    <w:rsid w:val="00641586"/>
    <w:rsid w:val="00642ADF"/>
    <w:rsid w:val="006435EA"/>
    <w:rsid w:val="00643E85"/>
    <w:rsid w:val="0064496F"/>
    <w:rsid w:val="006473A7"/>
    <w:rsid w:val="00647920"/>
    <w:rsid w:val="00647BB7"/>
    <w:rsid w:val="00650B74"/>
    <w:rsid w:val="00650D37"/>
    <w:rsid w:val="00651221"/>
    <w:rsid w:val="00651A96"/>
    <w:rsid w:val="00652583"/>
    <w:rsid w:val="00653BBF"/>
    <w:rsid w:val="00655583"/>
    <w:rsid w:val="00655AF4"/>
    <w:rsid w:val="00655B54"/>
    <w:rsid w:val="00661542"/>
    <w:rsid w:val="00662465"/>
    <w:rsid w:val="00664515"/>
    <w:rsid w:val="00664B3B"/>
    <w:rsid w:val="006661F6"/>
    <w:rsid w:val="00667FAE"/>
    <w:rsid w:val="00671663"/>
    <w:rsid w:val="00671F4E"/>
    <w:rsid w:val="00674BA5"/>
    <w:rsid w:val="0067507C"/>
    <w:rsid w:val="0067576F"/>
    <w:rsid w:val="00675F7E"/>
    <w:rsid w:val="00676485"/>
    <w:rsid w:val="00680297"/>
    <w:rsid w:val="0068095B"/>
    <w:rsid w:val="006813BB"/>
    <w:rsid w:val="00681F43"/>
    <w:rsid w:val="006822B1"/>
    <w:rsid w:val="00685CB9"/>
    <w:rsid w:val="00685EEF"/>
    <w:rsid w:val="006873CE"/>
    <w:rsid w:val="006877C0"/>
    <w:rsid w:val="00691309"/>
    <w:rsid w:val="00694AD3"/>
    <w:rsid w:val="00697465"/>
    <w:rsid w:val="006A0786"/>
    <w:rsid w:val="006A1B27"/>
    <w:rsid w:val="006A4CD9"/>
    <w:rsid w:val="006A5E2D"/>
    <w:rsid w:val="006A6877"/>
    <w:rsid w:val="006B0BA9"/>
    <w:rsid w:val="006B0D2B"/>
    <w:rsid w:val="006B34F8"/>
    <w:rsid w:val="006B5390"/>
    <w:rsid w:val="006B5E7A"/>
    <w:rsid w:val="006B759B"/>
    <w:rsid w:val="006B7818"/>
    <w:rsid w:val="006C0476"/>
    <w:rsid w:val="006C1D29"/>
    <w:rsid w:val="006C29F2"/>
    <w:rsid w:val="006C3592"/>
    <w:rsid w:val="006C372B"/>
    <w:rsid w:val="006C5DA3"/>
    <w:rsid w:val="006C625D"/>
    <w:rsid w:val="006C648D"/>
    <w:rsid w:val="006C7FDF"/>
    <w:rsid w:val="006D0168"/>
    <w:rsid w:val="006D0DD0"/>
    <w:rsid w:val="006D13C5"/>
    <w:rsid w:val="006D201B"/>
    <w:rsid w:val="006D3352"/>
    <w:rsid w:val="006D5008"/>
    <w:rsid w:val="006D65A0"/>
    <w:rsid w:val="006D6B14"/>
    <w:rsid w:val="006D6CF9"/>
    <w:rsid w:val="006D726F"/>
    <w:rsid w:val="006D74C2"/>
    <w:rsid w:val="006D7760"/>
    <w:rsid w:val="006D7A71"/>
    <w:rsid w:val="006E0092"/>
    <w:rsid w:val="006E1B60"/>
    <w:rsid w:val="006E1C05"/>
    <w:rsid w:val="006E2151"/>
    <w:rsid w:val="006E317C"/>
    <w:rsid w:val="006E3B80"/>
    <w:rsid w:val="006E4A20"/>
    <w:rsid w:val="006E5F30"/>
    <w:rsid w:val="006E7EED"/>
    <w:rsid w:val="006F1455"/>
    <w:rsid w:val="006F1EF3"/>
    <w:rsid w:val="006F33DD"/>
    <w:rsid w:val="006F3765"/>
    <w:rsid w:val="006F539E"/>
    <w:rsid w:val="006F58C2"/>
    <w:rsid w:val="006F5988"/>
    <w:rsid w:val="006F5D21"/>
    <w:rsid w:val="006F66B0"/>
    <w:rsid w:val="006F6E58"/>
    <w:rsid w:val="006F749F"/>
    <w:rsid w:val="007010A8"/>
    <w:rsid w:val="0070224C"/>
    <w:rsid w:val="0070323A"/>
    <w:rsid w:val="00705E6E"/>
    <w:rsid w:val="007077DA"/>
    <w:rsid w:val="0071057C"/>
    <w:rsid w:val="00710B11"/>
    <w:rsid w:val="00710E94"/>
    <w:rsid w:val="00711056"/>
    <w:rsid w:val="0071118A"/>
    <w:rsid w:val="007116D7"/>
    <w:rsid w:val="00713E70"/>
    <w:rsid w:val="0071401C"/>
    <w:rsid w:val="007141EA"/>
    <w:rsid w:val="007150E0"/>
    <w:rsid w:val="0071639F"/>
    <w:rsid w:val="00716AC9"/>
    <w:rsid w:val="00717613"/>
    <w:rsid w:val="0071774A"/>
    <w:rsid w:val="0071797D"/>
    <w:rsid w:val="00721126"/>
    <w:rsid w:val="00721DEB"/>
    <w:rsid w:val="00723324"/>
    <w:rsid w:val="00725251"/>
    <w:rsid w:val="0072537F"/>
    <w:rsid w:val="0072566E"/>
    <w:rsid w:val="00727195"/>
    <w:rsid w:val="00727D8A"/>
    <w:rsid w:val="007302BB"/>
    <w:rsid w:val="00730AE9"/>
    <w:rsid w:val="007318D7"/>
    <w:rsid w:val="00731FEA"/>
    <w:rsid w:val="007341DB"/>
    <w:rsid w:val="00735222"/>
    <w:rsid w:val="00736F61"/>
    <w:rsid w:val="00740B33"/>
    <w:rsid w:val="007411E6"/>
    <w:rsid w:val="007412D6"/>
    <w:rsid w:val="0074150A"/>
    <w:rsid w:val="00742253"/>
    <w:rsid w:val="00742D2E"/>
    <w:rsid w:val="00743BEA"/>
    <w:rsid w:val="00744E78"/>
    <w:rsid w:val="007458DD"/>
    <w:rsid w:val="00745D27"/>
    <w:rsid w:val="00746141"/>
    <w:rsid w:val="00746617"/>
    <w:rsid w:val="00747EB6"/>
    <w:rsid w:val="00750869"/>
    <w:rsid w:val="007508A6"/>
    <w:rsid w:val="00752812"/>
    <w:rsid w:val="00753EE2"/>
    <w:rsid w:val="00757B5F"/>
    <w:rsid w:val="007613D3"/>
    <w:rsid w:val="00761528"/>
    <w:rsid w:val="007619E8"/>
    <w:rsid w:val="00761A16"/>
    <w:rsid w:val="0076216D"/>
    <w:rsid w:val="00762DD8"/>
    <w:rsid w:val="00763172"/>
    <w:rsid w:val="00763AEE"/>
    <w:rsid w:val="00765AB2"/>
    <w:rsid w:val="00765EE4"/>
    <w:rsid w:val="007662C7"/>
    <w:rsid w:val="00766AF8"/>
    <w:rsid w:val="007702DB"/>
    <w:rsid w:val="00770609"/>
    <w:rsid w:val="00771F5C"/>
    <w:rsid w:val="00774B7E"/>
    <w:rsid w:val="00774BD4"/>
    <w:rsid w:val="00776306"/>
    <w:rsid w:val="00777E8E"/>
    <w:rsid w:val="00777ECA"/>
    <w:rsid w:val="00780900"/>
    <w:rsid w:val="00780CFC"/>
    <w:rsid w:val="00781805"/>
    <w:rsid w:val="00781E0D"/>
    <w:rsid w:val="007826BA"/>
    <w:rsid w:val="007844DE"/>
    <w:rsid w:val="00784955"/>
    <w:rsid w:val="00785016"/>
    <w:rsid w:val="00786026"/>
    <w:rsid w:val="0078670B"/>
    <w:rsid w:val="00791FC2"/>
    <w:rsid w:val="0079270E"/>
    <w:rsid w:val="0079281C"/>
    <w:rsid w:val="00792C5F"/>
    <w:rsid w:val="00792DCA"/>
    <w:rsid w:val="007933F9"/>
    <w:rsid w:val="007952B6"/>
    <w:rsid w:val="007960C8"/>
    <w:rsid w:val="00797BE7"/>
    <w:rsid w:val="007A0529"/>
    <w:rsid w:val="007A06C1"/>
    <w:rsid w:val="007A18D7"/>
    <w:rsid w:val="007A206A"/>
    <w:rsid w:val="007A2722"/>
    <w:rsid w:val="007A31C1"/>
    <w:rsid w:val="007A34EB"/>
    <w:rsid w:val="007A4C41"/>
    <w:rsid w:val="007A55A7"/>
    <w:rsid w:val="007A6954"/>
    <w:rsid w:val="007B1F10"/>
    <w:rsid w:val="007B29BE"/>
    <w:rsid w:val="007B335E"/>
    <w:rsid w:val="007B4F04"/>
    <w:rsid w:val="007B4F95"/>
    <w:rsid w:val="007B690E"/>
    <w:rsid w:val="007B799F"/>
    <w:rsid w:val="007B7A1E"/>
    <w:rsid w:val="007BFFB3"/>
    <w:rsid w:val="007C0142"/>
    <w:rsid w:val="007C1AD9"/>
    <w:rsid w:val="007C233D"/>
    <w:rsid w:val="007C62A1"/>
    <w:rsid w:val="007C6D79"/>
    <w:rsid w:val="007C7D64"/>
    <w:rsid w:val="007D0FFB"/>
    <w:rsid w:val="007D3198"/>
    <w:rsid w:val="007D4B44"/>
    <w:rsid w:val="007D4FEB"/>
    <w:rsid w:val="007D5091"/>
    <w:rsid w:val="007D560D"/>
    <w:rsid w:val="007D5DFF"/>
    <w:rsid w:val="007E018D"/>
    <w:rsid w:val="007E070C"/>
    <w:rsid w:val="007E1144"/>
    <w:rsid w:val="007E1C88"/>
    <w:rsid w:val="007E1EE3"/>
    <w:rsid w:val="007E2A85"/>
    <w:rsid w:val="007E3927"/>
    <w:rsid w:val="007E39FE"/>
    <w:rsid w:val="007E3C3D"/>
    <w:rsid w:val="007E6EF6"/>
    <w:rsid w:val="007E6F82"/>
    <w:rsid w:val="007E749B"/>
    <w:rsid w:val="007F01AD"/>
    <w:rsid w:val="007F05CA"/>
    <w:rsid w:val="007F099D"/>
    <w:rsid w:val="007F1B71"/>
    <w:rsid w:val="007F1FCF"/>
    <w:rsid w:val="007F51A3"/>
    <w:rsid w:val="007F61C6"/>
    <w:rsid w:val="007F6921"/>
    <w:rsid w:val="00800578"/>
    <w:rsid w:val="008013AA"/>
    <w:rsid w:val="00801A7D"/>
    <w:rsid w:val="00801DFF"/>
    <w:rsid w:val="00802A45"/>
    <w:rsid w:val="00804439"/>
    <w:rsid w:val="00804966"/>
    <w:rsid w:val="008064DB"/>
    <w:rsid w:val="00807E7D"/>
    <w:rsid w:val="00811FF9"/>
    <w:rsid w:val="00813B29"/>
    <w:rsid w:val="00814D4D"/>
    <w:rsid w:val="00814E0D"/>
    <w:rsid w:val="0081610F"/>
    <w:rsid w:val="00820F04"/>
    <w:rsid w:val="00821054"/>
    <w:rsid w:val="008215D8"/>
    <w:rsid w:val="008219DA"/>
    <w:rsid w:val="00821C6D"/>
    <w:rsid w:val="00822119"/>
    <w:rsid w:val="008234EC"/>
    <w:rsid w:val="0082516B"/>
    <w:rsid w:val="00825266"/>
    <w:rsid w:val="0082631D"/>
    <w:rsid w:val="00826A03"/>
    <w:rsid w:val="00826DD0"/>
    <w:rsid w:val="008278DE"/>
    <w:rsid w:val="00830832"/>
    <w:rsid w:val="00830E06"/>
    <w:rsid w:val="00830E10"/>
    <w:rsid w:val="00831578"/>
    <w:rsid w:val="00831675"/>
    <w:rsid w:val="008327DB"/>
    <w:rsid w:val="00832B20"/>
    <w:rsid w:val="00832D50"/>
    <w:rsid w:val="008333F5"/>
    <w:rsid w:val="00833733"/>
    <w:rsid w:val="008340C1"/>
    <w:rsid w:val="0083491A"/>
    <w:rsid w:val="0083521A"/>
    <w:rsid w:val="00835DC3"/>
    <w:rsid w:val="008368EB"/>
    <w:rsid w:val="0083737C"/>
    <w:rsid w:val="00837666"/>
    <w:rsid w:val="00840260"/>
    <w:rsid w:val="008403FF"/>
    <w:rsid w:val="00840FAD"/>
    <w:rsid w:val="008415F4"/>
    <w:rsid w:val="00841C72"/>
    <w:rsid w:val="00843809"/>
    <w:rsid w:val="008444D6"/>
    <w:rsid w:val="00845A23"/>
    <w:rsid w:val="00846382"/>
    <w:rsid w:val="008466C1"/>
    <w:rsid w:val="00847070"/>
    <w:rsid w:val="008543AE"/>
    <w:rsid w:val="00855C6D"/>
    <w:rsid w:val="00856DCE"/>
    <w:rsid w:val="00856E33"/>
    <w:rsid w:val="00862837"/>
    <w:rsid w:val="0086360F"/>
    <w:rsid w:val="00863A42"/>
    <w:rsid w:val="008642A1"/>
    <w:rsid w:val="00864666"/>
    <w:rsid w:val="00864C48"/>
    <w:rsid w:val="0086640C"/>
    <w:rsid w:val="00866FD6"/>
    <w:rsid w:val="008676C5"/>
    <w:rsid w:val="00867A2E"/>
    <w:rsid w:val="00867D01"/>
    <w:rsid w:val="008716D6"/>
    <w:rsid w:val="008739FD"/>
    <w:rsid w:val="00873BFA"/>
    <w:rsid w:val="008749A3"/>
    <w:rsid w:val="00874A1A"/>
    <w:rsid w:val="008757A6"/>
    <w:rsid w:val="00876946"/>
    <w:rsid w:val="00882D02"/>
    <w:rsid w:val="00883BAA"/>
    <w:rsid w:val="00884167"/>
    <w:rsid w:val="0088467C"/>
    <w:rsid w:val="00884705"/>
    <w:rsid w:val="008850C9"/>
    <w:rsid w:val="008855BD"/>
    <w:rsid w:val="00885680"/>
    <w:rsid w:val="0088634A"/>
    <w:rsid w:val="00886B1C"/>
    <w:rsid w:val="00887837"/>
    <w:rsid w:val="00887A08"/>
    <w:rsid w:val="008905F9"/>
    <w:rsid w:val="00890EA1"/>
    <w:rsid w:val="00890EED"/>
    <w:rsid w:val="00891BBD"/>
    <w:rsid w:val="00892756"/>
    <w:rsid w:val="00894579"/>
    <w:rsid w:val="00894F54"/>
    <w:rsid w:val="008969C4"/>
    <w:rsid w:val="00897263"/>
    <w:rsid w:val="008A029F"/>
    <w:rsid w:val="008A073F"/>
    <w:rsid w:val="008A1273"/>
    <w:rsid w:val="008A214A"/>
    <w:rsid w:val="008A2240"/>
    <w:rsid w:val="008A3D0F"/>
    <w:rsid w:val="008A43E9"/>
    <w:rsid w:val="008A4D55"/>
    <w:rsid w:val="008A4E53"/>
    <w:rsid w:val="008A5B67"/>
    <w:rsid w:val="008A5CCD"/>
    <w:rsid w:val="008A7545"/>
    <w:rsid w:val="008B0CC5"/>
    <w:rsid w:val="008B10EE"/>
    <w:rsid w:val="008B11D6"/>
    <w:rsid w:val="008B15E7"/>
    <w:rsid w:val="008B2BFF"/>
    <w:rsid w:val="008B4215"/>
    <w:rsid w:val="008B4485"/>
    <w:rsid w:val="008B4E00"/>
    <w:rsid w:val="008B5109"/>
    <w:rsid w:val="008B6A30"/>
    <w:rsid w:val="008C4B88"/>
    <w:rsid w:val="008C6E12"/>
    <w:rsid w:val="008D0958"/>
    <w:rsid w:val="008D0E22"/>
    <w:rsid w:val="008D16F7"/>
    <w:rsid w:val="008D1EB2"/>
    <w:rsid w:val="008D20E5"/>
    <w:rsid w:val="008D24EE"/>
    <w:rsid w:val="008D367F"/>
    <w:rsid w:val="008D3827"/>
    <w:rsid w:val="008D40AE"/>
    <w:rsid w:val="008D45DF"/>
    <w:rsid w:val="008D54CA"/>
    <w:rsid w:val="008D66F3"/>
    <w:rsid w:val="008D7EC6"/>
    <w:rsid w:val="008E1108"/>
    <w:rsid w:val="008E1427"/>
    <w:rsid w:val="008E3905"/>
    <w:rsid w:val="008E4D40"/>
    <w:rsid w:val="008F03F8"/>
    <w:rsid w:val="008F3906"/>
    <w:rsid w:val="008F450B"/>
    <w:rsid w:val="008F49D3"/>
    <w:rsid w:val="008F5CCB"/>
    <w:rsid w:val="008F64F4"/>
    <w:rsid w:val="00901D84"/>
    <w:rsid w:val="00902776"/>
    <w:rsid w:val="0090434C"/>
    <w:rsid w:val="00904787"/>
    <w:rsid w:val="009066C9"/>
    <w:rsid w:val="0090787D"/>
    <w:rsid w:val="00910AEC"/>
    <w:rsid w:val="00912678"/>
    <w:rsid w:val="009143A0"/>
    <w:rsid w:val="00917246"/>
    <w:rsid w:val="0091725F"/>
    <w:rsid w:val="009177A1"/>
    <w:rsid w:val="00921598"/>
    <w:rsid w:val="00922055"/>
    <w:rsid w:val="00924DA0"/>
    <w:rsid w:val="0092549A"/>
    <w:rsid w:val="00927393"/>
    <w:rsid w:val="00927718"/>
    <w:rsid w:val="009278D5"/>
    <w:rsid w:val="0093041B"/>
    <w:rsid w:val="00930D1D"/>
    <w:rsid w:val="0093255D"/>
    <w:rsid w:val="00936902"/>
    <w:rsid w:val="00936A30"/>
    <w:rsid w:val="00936FB4"/>
    <w:rsid w:val="009372B8"/>
    <w:rsid w:val="00942879"/>
    <w:rsid w:val="009435DB"/>
    <w:rsid w:val="009437AC"/>
    <w:rsid w:val="00946C34"/>
    <w:rsid w:val="00947203"/>
    <w:rsid w:val="00951A75"/>
    <w:rsid w:val="00953141"/>
    <w:rsid w:val="009535DE"/>
    <w:rsid w:val="00953737"/>
    <w:rsid w:val="00953C91"/>
    <w:rsid w:val="009543A8"/>
    <w:rsid w:val="00954679"/>
    <w:rsid w:val="009550DA"/>
    <w:rsid w:val="009554EA"/>
    <w:rsid w:val="00956ABB"/>
    <w:rsid w:val="00957406"/>
    <w:rsid w:val="0096020D"/>
    <w:rsid w:val="00961088"/>
    <w:rsid w:val="0096143A"/>
    <w:rsid w:val="00961816"/>
    <w:rsid w:val="0096250F"/>
    <w:rsid w:val="009628BB"/>
    <w:rsid w:val="0096337D"/>
    <w:rsid w:val="009647DD"/>
    <w:rsid w:val="00964F70"/>
    <w:rsid w:val="0096503A"/>
    <w:rsid w:val="00974D42"/>
    <w:rsid w:val="00975023"/>
    <w:rsid w:val="009778DD"/>
    <w:rsid w:val="00977C30"/>
    <w:rsid w:val="00980A05"/>
    <w:rsid w:val="009810C3"/>
    <w:rsid w:val="00982404"/>
    <w:rsid w:val="0098297E"/>
    <w:rsid w:val="0098350A"/>
    <w:rsid w:val="00983E62"/>
    <w:rsid w:val="009845A8"/>
    <w:rsid w:val="009853C6"/>
    <w:rsid w:val="0098545B"/>
    <w:rsid w:val="00987426"/>
    <w:rsid w:val="0098744D"/>
    <w:rsid w:val="009876FB"/>
    <w:rsid w:val="00987A00"/>
    <w:rsid w:val="009901C8"/>
    <w:rsid w:val="00991EDE"/>
    <w:rsid w:val="0099257F"/>
    <w:rsid w:val="009929D3"/>
    <w:rsid w:val="00992B7A"/>
    <w:rsid w:val="00993EE8"/>
    <w:rsid w:val="0099470B"/>
    <w:rsid w:val="0099512E"/>
    <w:rsid w:val="00995BB9"/>
    <w:rsid w:val="00996CE1"/>
    <w:rsid w:val="009A007B"/>
    <w:rsid w:val="009A0445"/>
    <w:rsid w:val="009A0F1B"/>
    <w:rsid w:val="009A163F"/>
    <w:rsid w:val="009A2B8D"/>
    <w:rsid w:val="009A37F2"/>
    <w:rsid w:val="009A403B"/>
    <w:rsid w:val="009A4E00"/>
    <w:rsid w:val="009A6278"/>
    <w:rsid w:val="009A6349"/>
    <w:rsid w:val="009B1BAC"/>
    <w:rsid w:val="009B1F01"/>
    <w:rsid w:val="009B1FD9"/>
    <w:rsid w:val="009B2452"/>
    <w:rsid w:val="009B3527"/>
    <w:rsid w:val="009B3AE2"/>
    <w:rsid w:val="009B3D59"/>
    <w:rsid w:val="009B5BF4"/>
    <w:rsid w:val="009B603F"/>
    <w:rsid w:val="009C191A"/>
    <w:rsid w:val="009C1A1D"/>
    <w:rsid w:val="009C2C1A"/>
    <w:rsid w:val="009C3892"/>
    <w:rsid w:val="009C3B74"/>
    <w:rsid w:val="009C42C9"/>
    <w:rsid w:val="009C4FC5"/>
    <w:rsid w:val="009C5A28"/>
    <w:rsid w:val="009C62E2"/>
    <w:rsid w:val="009C6A1E"/>
    <w:rsid w:val="009C7A00"/>
    <w:rsid w:val="009D1608"/>
    <w:rsid w:val="009D234F"/>
    <w:rsid w:val="009D27AA"/>
    <w:rsid w:val="009D28BB"/>
    <w:rsid w:val="009D2ED8"/>
    <w:rsid w:val="009D30F1"/>
    <w:rsid w:val="009D4660"/>
    <w:rsid w:val="009D53FA"/>
    <w:rsid w:val="009E1D8D"/>
    <w:rsid w:val="009E28C3"/>
    <w:rsid w:val="009E2F86"/>
    <w:rsid w:val="009E3866"/>
    <w:rsid w:val="009E422F"/>
    <w:rsid w:val="009E4370"/>
    <w:rsid w:val="009E45A5"/>
    <w:rsid w:val="009E5CBD"/>
    <w:rsid w:val="009E65F9"/>
    <w:rsid w:val="009E67EA"/>
    <w:rsid w:val="009E6865"/>
    <w:rsid w:val="009E73C8"/>
    <w:rsid w:val="009F032D"/>
    <w:rsid w:val="009F040D"/>
    <w:rsid w:val="009F0CA5"/>
    <w:rsid w:val="009F0CF4"/>
    <w:rsid w:val="009F39BD"/>
    <w:rsid w:val="009F6071"/>
    <w:rsid w:val="009F60A3"/>
    <w:rsid w:val="009F7C6B"/>
    <w:rsid w:val="00A009FA"/>
    <w:rsid w:val="00A01FFD"/>
    <w:rsid w:val="00A024CF"/>
    <w:rsid w:val="00A047B2"/>
    <w:rsid w:val="00A048D1"/>
    <w:rsid w:val="00A052A6"/>
    <w:rsid w:val="00A05F40"/>
    <w:rsid w:val="00A076B4"/>
    <w:rsid w:val="00A077A1"/>
    <w:rsid w:val="00A07863"/>
    <w:rsid w:val="00A10D27"/>
    <w:rsid w:val="00A110C4"/>
    <w:rsid w:val="00A12209"/>
    <w:rsid w:val="00A12C4F"/>
    <w:rsid w:val="00A12E1C"/>
    <w:rsid w:val="00A158B3"/>
    <w:rsid w:val="00A15C4A"/>
    <w:rsid w:val="00A17725"/>
    <w:rsid w:val="00A17CAF"/>
    <w:rsid w:val="00A213DC"/>
    <w:rsid w:val="00A21F03"/>
    <w:rsid w:val="00A221B5"/>
    <w:rsid w:val="00A22860"/>
    <w:rsid w:val="00A23DCC"/>
    <w:rsid w:val="00A245E0"/>
    <w:rsid w:val="00A24697"/>
    <w:rsid w:val="00A24E61"/>
    <w:rsid w:val="00A26CA2"/>
    <w:rsid w:val="00A26D86"/>
    <w:rsid w:val="00A279CC"/>
    <w:rsid w:val="00A27B61"/>
    <w:rsid w:val="00A27F8D"/>
    <w:rsid w:val="00A27FD5"/>
    <w:rsid w:val="00A30E45"/>
    <w:rsid w:val="00A31CEC"/>
    <w:rsid w:val="00A31FC8"/>
    <w:rsid w:val="00A33949"/>
    <w:rsid w:val="00A34A1A"/>
    <w:rsid w:val="00A34CA4"/>
    <w:rsid w:val="00A350A8"/>
    <w:rsid w:val="00A35654"/>
    <w:rsid w:val="00A35888"/>
    <w:rsid w:val="00A35E09"/>
    <w:rsid w:val="00A35F39"/>
    <w:rsid w:val="00A36DF3"/>
    <w:rsid w:val="00A37D16"/>
    <w:rsid w:val="00A409AE"/>
    <w:rsid w:val="00A428CC"/>
    <w:rsid w:val="00A44DFC"/>
    <w:rsid w:val="00A452AD"/>
    <w:rsid w:val="00A452F7"/>
    <w:rsid w:val="00A4546C"/>
    <w:rsid w:val="00A461E3"/>
    <w:rsid w:val="00A46642"/>
    <w:rsid w:val="00A47438"/>
    <w:rsid w:val="00A47889"/>
    <w:rsid w:val="00A50C49"/>
    <w:rsid w:val="00A512EC"/>
    <w:rsid w:val="00A514AA"/>
    <w:rsid w:val="00A51AAA"/>
    <w:rsid w:val="00A532DD"/>
    <w:rsid w:val="00A5369C"/>
    <w:rsid w:val="00A54429"/>
    <w:rsid w:val="00A5504A"/>
    <w:rsid w:val="00A57D65"/>
    <w:rsid w:val="00A605A6"/>
    <w:rsid w:val="00A606E8"/>
    <w:rsid w:val="00A62D8B"/>
    <w:rsid w:val="00A63DFD"/>
    <w:rsid w:val="00A6455C"/>
    <w:rsid w:val="00A6457B"/>
    <w:rsid w:val="00A6460B"/>
    <w:rsid w:val="00A655B7"/>
    <w:rsid w:val="00A65F13"/>
    <w:rsid w:val="00A66EA2"/>
    <w:rsid w:val="00A6729F"/>
    <w:rsid w:val="00A71219"/>
    <w:rsid w:val="00A71B48"/>
    <w:rsid w:val="00A72F12"/>
    <w:rsid w:val="00A73781"/>
    <w:rsid w:val="00A74A4A"/>
    <w:rsid w:val="00A74BEC"/>
    <w:rsid w:val="00A76FBF"/>
    <w:rsid w:val="00A80BCF"/>
    <w:rsid w:val="00A80E8D"/>
    <w:rsid w:val="00A82C54"/>
    <w:rsid w:val="00A830FA"/>
    <w:rsid w:val="00A8369C"/>
    <w:rsid w:val="00A83B3F"/>
    <w:rsid w:val="00A83C39"/>
    <w:rsid w:val="00A83D9C"/>
    <w:rsid w:val="00A848D7"/>
    <w:rsid w:val="00A854D2"/>
    <w:rsid w:val="00A87554"/>
    <w:rsid w:val="00A90CFE"/>
    <w:rsid w:val="00A91EC6"/>
    <w:rsid w:val="00A92057"/>
    <w:rsid w:val="00A94896"/>
    <w:rsid w:val="00A94B88"/>
    <w:rsid w:val="00A96876"/>
    <w:rsid w:val="00A970B2"/>
    <w:rsid w:val="00A97408"/>
    <w:rsid w:val="00A976E3"/>
    <w:rsid w:val="00A97B69"/>
    <w:rsid w:val="00AA1689"/>
    <w:rsid w:val="00AA237E"/>
    <w:rsid w:val="00AA27AB"/>
    <w:rsid w:val="00AA33E5"/>
    <w:rsid w:val="00AA5770"/>
    <w:rsid w:val="00AA653A"/>
    <w:rsid w:val="00AA75F3"/>
    <w:rsid w:val="00AB0670"/>
    <w:rsid w:val="00AB0D26"/>
    <w:rsid w:val="00AB189E"/>
    <w:rsid w:val="00AB1902"/>
    <w:rsid w:val="00AB305D"/>
    <w:rsid w:val="00AB3A11"/>
    <w:rsid w:val="00AB517B"/>
    <w:rsid w:val="00AB6997"/>
    <w:rsid w:val="00AC0909"/>
    <w:rsid w:val="00AC0CC0"/>
    <w:rsid w:val="00AC127B"/>
    <w:rsid w:val="00AC14C4"/>
    <w:rsid w:val="00AC1D15"/>
    <w:rsid w:val="00AC1FBA"/>
    <w:rsid w:val="00AC2341"/>
    <w:rsid w:val="00AC2651"/>
    <w:rsid w:val="00AC2794"/>
    <w:rsid w:val="00AC4EF9"/>
    <w:rsid w:val="00AC551C"/>
    <w:rsid w:val="00AC5BA3"/>
    <w:rsid w:val="00AC5E3D"/>
    <w:rsid w:val="00AC605F"/>
    <w:rsid w:val="00AC720A"/>
    <w:rsid w:val="00AC7F58"/>
    <w:rsid w:val="00AD1FB1"/>
    <w:rsid w:val="00AD25AE"/>
    <w:rsid w:val="00AD263F"/>
    <w:rsid w:val="00AD397B"/>
    <w:rsid w:val="00AD5A76"/>
    <w:rsid w:val="00AD7AF6"/>
    <w:rsid w:val="00AD7D93"/>
    <w:rsid w:val="00AE1CF1"/>
    <w:rsid w:val="00AE2B85"/>
    <w:rsid w:val="00AE4840"/>
    <w:rsid w:val="00AE4E85"/>
    <w:rsid w:val="00AF1356"/>
    <w:rsid w:val="00AF2984"/>
    <w:rsid w:val="00AF4B3C"/>
    <w:rsid w:val="00AF769C"/>
    <w:rsid w:val="00AF76D3"/>
    <w:rsid w:val="00AF7C98"/>
    <w:rsid w:val="00AF7F17"/>
    <w:rsid w:val="00B00E07"/>
    <w:rsid w:val="00B0161C"/>
    <w:rsid w:val="00B04E86"/>
    <w:rsid w:val="00B0754D"/>
    <w:rsid w:val="00B07B0C"/>
    <w:rsid w:val="00B11762"/>
    <w:rsid w:val="00B123F7"/>
    <w:rsid w:val="00B12768"/>
    <w:rsid w:val="00B13289"/>
    <w:rsid w:val="00B15685"/>
    <w:rsid w:val="00B1571E"/>
    <w:rsid w:val="00B15AB0"/>
    <w:rsid w:val="00B15FA0"/>
    <w:rsid w:val="00B15FC4"/>
    <w:rsid w:val="00B16199"/>
    <w:rsid w:val="00B16419"/>
    <w:rsid w:val="00B1686D"/>
    <w:rsid w:val="00B1710A"/>
    <w:rsid w:val="00B2032D"/>
    <w:rsid w:val="00B20467"/>
    <w:rsid w:val="00B209F1"/>
    <w:rsid w:val="00B20A40"/>
    <w:rsid w:val="00B22390"/>
    <w:rsid w:val="00B23284"/>
    <w:rsid w:val="00B246E5"/>
    <w:rsid w:val="00B25563"/>
    <w:rsid w:val="00B258DC"/>
    <w:rsid w:val="00B25DD3"/>
    <w:rsid w:val="00B26D48"/>
    <w:rsid w:val="00B26DE5"/>
    <w:rsid w:val="00B312C4"/>
    <w:rsid w:val="00B34BB8"/>
    <w:rsid w:val="00B35203"/>
    <w:rsid w:val="00B35633"/>
    <w:rsid w:val="00B360DA"/>
    <w:rsid w:val="00B36ABB"/>
    <w:rsid w:val="00B424C6"/>
    <w:rsid w:val="00B42EE1"/>
    <w:rsid w:val="00B4347E"/>
    <w:rsid w:val="00B434F5"/>
    <w:rsid w:val="00B44864"/>
    <w:rsid w:val="00B4580B"/>
    <w:rsid w:val="00B468C2"/>
    <w:rsid w:val="00B479F9"/>
    <w:rsid w:val="00B500EC"/>
    <w:rsid w:val="00B53CC1"/>
    <w:rsid w:val="00B55F5E"/>
    <w:rsid w:val="00B564BB"/>
    <w:rsid w:val="00B57AA7"/>
    <w:rsid w:val="00B601E8"/>
    <w:rsid w:val="00B605D6"/>
    <w:rsid w:val="00B61BD8"/>
    <w:rsid w:val="00B63BC0"/>
    <w:rsid w:val="00B64981"/>
    <w:rsid w:val="00B64BFA"/>
    <w:rsid w:val="00B66AE8"/>
    <w:rsid w:val="00B70A7F"/>
    <w:rsid w:val="00B70D03"/>
    <w:rsid w:val="00B70ECB"/>
    <w:rsid w:val="00B71084"/>
    <w:rsid w:val="00B7131C"/>
    <w:rsid w:val="00B72083"/>
    <w:rsid w:val="00B75472"/>
    <w:rsid w:val="00B81915"/>
    <w:rsid w:val="00B82015"/>
    <w:rsid w:val="00B82402"/>
    <w:rsid w:val="00B8293D"/>
    <w:rsid w:val="00B82B0F"/>
    <w:rsid w:val="00B840AB"/>
    <w:rsid w:val="00B848F4"/>
    <w:rsid w:val="00B855BC"/>
    <w:rsid w:val="00B864F8"/>
    <w:rsid w:val="00B906CC"/>
    <w:rsid w:val="00B90EB4"/>
    <w:rsid w:val="00B92478"/>
    <w:rsid w:val="00B94C9F"/>
    <w:rsid w:val="00B95414"/>
    <w:rsid w:val="00B97EA4"/>
    <w:rsid w:val="00BA006C"/>
    <w:rsid w:val="00BA01B9"/>
    <w:rsid w:val="00BA0DE3"/>
    <w:rsid w:val="00BA2D61"/>
    <w:rsid w:val="00BA2DAD"/>
    <w:rsid w:val="00BA33F8"/>
    <w:rsid w:val="00BA34A3"/>
    <w:rsid w:val="00BA34B7"/>
    <w:rsid w:val="00BA4952"/>
    <w:rsid w:val="00BA5455"/>
    <w:rsid w:val="00BA5B9C"/>
    <w:rsid w:val="00BA5CAB"/>
    <w:rsid w:val="00BA6188"/>
    <w:rsid w:val="00BA7B3E"/>
    <w:rsid w:val="00BB018D"/>
    <w:rsid w:val="00BB0493"/>
    <w:rsid w:val="00BB070A"/>
    <w:rsid w:val="00BB13FA"/>
    <w:rsid w:val="00BB14A4"/>
    <w:rsid w:val="00BB3787"/>
    <w:rsid w:val="00BB3F2D"/>
    <w:rsid w:val="00BB5478"/>
    <w:rsid w:val="00BB694F"/>
    <w:rsid w:val="00BB6C03"/>
    <w:rsid w:val="00BB714D"/>
    <w:rsid w:val="00BC2889"/>
    <w:rsid w:val="00BC2BC6"/>
    <w:rsid w:val="00BC315B"/>
    <w:rsid w:val="00BC5063"/>
    <w:rsid w:val="00BC6404"/>
    <w:rsid w:val="00BC6958"/>
    <w:rsid w:val="00BC76EE"/>
    <w:rsid w:val="00BD071F"/>
    <w:rsid w:val="00BD13AC"/>
    <w:rsid w:val="00BD15DB"/>
    <w:rsid w:val="00BD234B"/>
    <w:rsid w:val="00BD28AA"/>
    <w:rsid w:val="00BD33B3"/>
    <w:rsid w:val="00BD3482"/>
    <w:rsid w:val="00BD5ABC"/>
    <w:rsid w:val="00BD5C18"/>
    <w:rsid w:val="00BD5E64"/>
    <w:rsid w:val="00BD61A2"/>
    <w:rsid w:val="00BD707A"/>
    <w:rsid w:val="00BD7835"/>
    <w:rsid w:val="00BE2757"/>
    <w:rsid w:val="00BE484D"/>
    <w:rsid w:val="00BE5B80"/>
    <w:rsid w:val="00BE68C5"/>
    <w:rsid w:val="00BE7D7A"/>
    <w:rsid w:val="00BF03EE"/>
    <w:rsid w:val="00BF0517"/>
    <w:rsid w:val="00BF07A8"/>
    <w:rsid w:val="00BF1523"/>
    <w:rsid w:val="00BF1ABF"/>
    <w:rsid w:val="00BF1B28"/>
    <w:rsid w:val="00BF2ECF"/>
    <w:rsid w:val="00BF2FE2"/>
    <w:rsid w:val="00BF3F86"/>
    <w:rsid w:val="00BF5075"/>
    <w:rsid w:val="00BF63F7"/>
    <w:rsid w:val="00BF6474"/>
    <w:rsid w:val="00C027B6"/>
    <w:rsid w:val="00C04037"/>
    <w:rsid w:val="00C05888"/>
    <w:rsid w:val="00C07BBB"/>
    <w:rsid w:val="00C07EB4"/>
    <w:rsid w:val="00C10653"/>
    <w:rsid w:val="00C10820"/>
    <w:rsid w:val="00C120FB"/>
    <w:rsid w:val="00C128D7"/>
    <w:rsid w:val="00C13F3B"/>
    <w:rsid w:val="00C13FFD"/>
    <w:rsid w:val="00C141C0"/>
    <w:rsid w:val="00C14CE2"/>
    <w:rsid w:val="00C1501D"/>
    <w:rsid w:val="00C15163"/>
    <w:rsid w:val="00C15498"/>
    <w:rsid w:val="00C22E78"/>
    <w:rsid w:val="00C247EA"/>
    <w:rsid w:val="00C24A21"/>
    <w:rsid w:val="00C25FC7"/>
    <w:rsid w:val="00C278CB"/>
    <w:rsid w:val="00C32524"/>
    <w:rsid w:val="00C32C43"/>
    <w:rsid w:val="00C339AF"/>
    <w:rsid w:val="00C33E10"/>
    <w:rsid w:val="00C3400F"/>
    <w:rsid w:val="00C36815"/>
    <w:rsid w:val="00C37E05"/>
    <w:rsid w:val="00C40039"/>
    <w:rsid w:val="00C4042C"/>
    <w:rsid w:val="00C40566"/>
    <w:rsid w:val="00C4167B"/>
    <w:rsid w:val="00C42487"/>
    <w:rsid w:val="00C448F4"/>
    <w:rsid w:val="00C4493D"/>
    <w:rsid w:val="00C45B32"/>
    <w:rsid w:val="00C469B4"/>
    <w:rsid w:val="00C470BA"/>
    <w:rsid w:val="00C47789"/>
    <w:rsid w:val="00C51A63"/>
    <w:rsid w:val="00C51D8F"/>
    <w:rsid w:val="00C52100"/>
    <w:rsid w:val="00C5239C"/>
    <w:rsid w:val="00C52CC1"/>
    <w:rsid w:val="00C542AC"/>
    <w:rsid w:val="00C55CF3"/>
    <w:rsid w:val="00C55D29"/>
    <w:rsid w:val="00C55F35"/>
    <w:rsid w:val="00C62189"/>
    <w:rsid w:val="00C62392"/>
    <w:rsid w:val="00C634EC"/>
    <w:rsid w:val="00C6377F"/>
    <w:rsid w:val="00C63EED"/>
    <w:rsid w:val="00C63F53"/>
    <w:rsid w:val="00C6450E"/>
    <w:rsid w:val="00C65982"/>
    <w:rsid w:val="00C659BA"/>
    <w:rsid w:val="00C65BA6"/>
    <w:rsid w:val="00C65D62"/>
    <w:rsid w:val="00C65EE7"/>
    <w:rsid w:val="00C66038"/>
    <w:rsid w:val="00C66348"/>
    <w:rsid w:val="00C66AF4"/>
    <w:rsid w:val="00C6770B"/>
    <w:rsid w:val="00C67916"/>
    <w:rsid w:val="00C702D2"/>
    <w:rsid w:val="00C72C09"/>
    <w:rsid w:val="00C75AB3"/>
    <w:rsid w:val="00C81297"/>
    <w:rsid w:val="00C820C3"/>
    <w:rsid w:val="00C8216A"/>
    <w:rsid w:val="00C822D4"/>
    <w:rsid w:val="00C82ACC"/>
    <w:rsid w:val="00C82B7C"/>
    <w:rsid w:val="00C8358A"/>
    <w:rsid w:val="00C852C7"/>
    <w:rsid w:val="00C871E3"/>
    <w:rsid w:val="00C9117B"/>
    <w:rsid w:val="00C919B4"/>
    <w:rsid w:val="00C91B4B"/>
    <w:rsid w:val="00C91FCF"/>
    <w:rsid w:val="00C924B4"/>
    <w:rsid w:val="00C92B8D"/>
    <w:rsid w:val="00C9352A"/>
    <w:rsid w:val="00C94A63"/>
    <w:rsid w:val="00C96F37"/>
    <w:rsid w:val="00C97A0E"/>
    <w:rsid w:val="00C97BF5"/>
    <w:rsid w:val="00CA0892"/>
    <w:rsid w:val="00CA0961"/>
    <w:rsid w:val="00CA0BE9"/>
    <w:rsid w:val="00CA138D"/>
    <w:rsid w:val="00CA1F6D"/>
    <w:rsid w:val="00CA2571"/>
    <w:rsid w:val="00CA54BB"/>
    <w:rsid w:val="00CA5F09"/>
    <w:rsid w:val="00CA65C3"/>
    <w:rsid w:val="00CB0761"/>
    <w:rsid w:val="00CB0C98"/>
    <w:rsid w:val="00CB3F06"/>
    <w:rsid w:val="00CB4FFF"/>
    <w:rsid w:val="00CB72C0"/>
    <w:rsid w:val="00CC0954"/>
    <w:rsid w:val="00CC2C98"/>
    <w:rsid w:val="00CC3174"/>
    <w:rsid w:val="00CC3E2D"/>
    <w:rsid w:val="00CC41BF"/>
    <w:rsid w:val="00CC428A"/>
    <w:rsid w:val="00CC439D"/>
    <w:rsid w:val="00CC6695"/>
    <w:rsid w:val="00CC7641"/>
    <w:rsid w:val="00CD106E"/>
    <w:rsid w:val="00CD2724"/>
    <w:rsid w:val="00CD2739"/>
    <w:rsid w:val="00CD2F58"/>
    <w:rsid w:val="00CD3322"/>
    <w:rsid w:val="00CD3A8F"/>
    <w:rsid w:val="00CD48AC"/>
    <w:rsid w:val="00CD57B4"/>
    <w:rsid w:val="00CD5C7E"/>
    <w:rsid w:val="00CD726C"/>
    <w:rsid w:val="00CD7986"/>
    <w:rsid w:val="00CD7C8F"/>
    <w:rsid w:val="00CD7C99"/>
    <w:rsid w:val="00CE12EC"/>
    <w:rsid w:val="00CE1785"/>
    <w:rsid w:val="00CE1CD6"/>
    <w:rsid w:val="00CE2F69"/>
    <w:rsid w:val="00CE4E02"/>
    <w:rsid w:val="00CE54AB"/>
    <w:rsid w:val="00CE578E"/>
    <w:rsid w:val="00CE59F7"/>
    <w:rsid w:val="00CE710F"/>
    <w:rsid w:val="00CE7CB6"/>
    <w:rsid w:val="00CF05E7"/>
    <w:rsid w:val="00CF24FD"/>
    <w:rsid w:val="00CF2639"/>
    <w:rsid w:val="00CF2A28"/>
    <w:rsid w:val="00CF3783"/>
    <w:rsid w:val="00CF3D4F"/>
    <w:rsid w:val="00CF7EF9"/>
    <w:rsid w:val="00D008ED"/>
    <w:rsid w:val="00D012AB"/>
    <w:rsid w:val="00D01A4E"/>
    <w:rsid w:val="00D01BAD"/>
    <w:rsid w:val="00D01F7B"/>
    <w:rsid w:val="00D039D6"/>
    <w:rsid w:val="00D03B97"/>
    <w:rsid w:val="00D03C87"/>
    <w:rsid w:val="00D0675F"/>
    <w:rsid w:val="00D06815"/>
    <w:rsid w:val="00D06E09"/>
    <w:rsid w:val="00D073A4"/>
    <w:rsid w:val="00D07C88"/>
    <w:rsid w:val="00D07DBF"/>
    <w:rsid w:val="00D07E4A"/>
    <w:rsid w:val="00D07E98"/>
    <w:rsid w:val="00D1031F"/>
    <w:rsid w:val="00D129E0"/>
    <w:rsid w:val="00D12D17"/>
    <w:rsid w:val="00D13794"/>
    <w:rsid w:val="00D141B2"/>
    <w:rsid w:val="00D170C8"/>
    <w:rsid w:val="00D22D07"/>
    <w:rsid w:val="00D22DCC"/>
    <w:rsid w:val="00D233DF"/>
    <w:rsid w:val="00D24052"/>
    <w:rsid w:val="00D241DE"/>
    <w:rsid w:val="00D24386"/>
    <w:rsid w:val="00D249F1"/>
    <w:rsid w:val="00D256DB"/>
    <w:rsid w:val="00D26416"/>
    <w:rsid w:val="00D266B7"/>
    <w:rsid w:val="00D26AD2"/>
    <w:rsid w:val="00D26ECA"/>
    <w:rsid w:val="00D30030"/>
    <w:rsid w:val="00D31575"/>
    <w:rsid w:val="00D31F3C"/>
    <w:rsid w:val="00D32415"/>
    <w:rsid w:val="00D32C08"/>
    <w:rsid w:val="00D33625"/>
    <w:rsid w:val="00D33A9A"/>
    <w:rsid w:val="00D34626"/>
    <w:rsid w:val="00D34FB4"/>
    <w:rsid w:val="00D35369"/>
    <w:rsid w:val="00D3572F"/>
    <w:rsid w:val="00D370BE"/>
    <w:rsid w:val="00D40A5F"/>
    <w:rsid w:val="00D4257A"/>
    <w:rsid w:val="00D4443E"/>
    <w:rsid w:val="00D44791"/>
    <w:rsid w:val="00D44AB3"/>
    <w:rsid w:val="00D4760C"/>
    <w:rsid w:val="00D47A4D"/>
    <w:rsid w:val="00D47B53"/>
    <w:rsid w:val="00D47EA3"/>
    <w:rsid w:val="00D51CA4"/>
    <w:rsid w:val="00D52D37"/>
    <w:rsid w:val="00D541AF"/>
    <w:rsid w:val="00D551C3"/>
    <w:rsid w:val="00D5526F"/>
    <w:rsid w:val="00D557FD"/>
    <w:rsid w:val="00D5608B"/>
    <w:rsid w:val="00D56D69"/>
    <w:rsid w:val="00D5768C"/>
    <w:rsid w:val="00D6239D"/>
    <w:rsid w:val="00D62665"/>
    <w:rsid w:val="00D634BA"/>
    <w:rsid w:val="00D63B3F"/>
    <w:rsid w:val="00D63DD7"/>
    <w:rsid w:val="00D64062"/>
    <w:rsid w:val="00D6441A"/>
    <w:rsid w:val="00D644B2"/>
    <w:rsid w:val="00D650FB"/>
    <w:rsid w:val="00D657DD"/>
    <w:rsid w:val="00D657F9"/>
    <w:rsid w:val="00D66BC8"/>
    <w:rsid w:val="00D66C71"/>
    <w:rsid w:val="00D67F91"/>
    <w:rsid w:val="00D708DC"/>
    <w:rsid w:val="00D70FB6"/>
    <w:rsid w:val="00D71977"/>
    <w:rsid w:val="00D71D0D"/>
    <w:rsid w:val="00D74C8E"/>
    <w:rsid w:val="00D759A6"/>
    <w:rsid w:val="00D7762A"/>
    <w:rsid w:val="00D77631"/>
    <w:rsid w:val="00D77B06"/>
    <w:rsid w:val="00D80F46"/>
    <w:rsid w:val="00D81858"/>
    <w:rsid w:val="00D82E47"/>
    <w:rsid w:val="00D82FB6"/>
    <w:rsid w:val="00D83035"/>
    <w:rsid w:val="00D8330F"/>
    <w:rsid w:val="00D84D00"/>
    <w:rsid w:val="00D85598"/>
    <w:rsid w:val="00D871C2"/>
    <w:rsid w:val="00D87430"/>
    <w:rsid w:val="00D8745E"/>
    <w:rsid w:val="00D87F63"/>
    <w:rsid w:val="00D90869"/>
    <w:rsid w:val="00D91B88"/>
    <w:rsid w:val="00D91FB3"/>
    <w:rsid w:val="00D92CFD"/>
    <w:rsid w:val="00D9559D"/>
    <w:rsid w:val="00D95B9C"/>
    <w:rsid w:val="00D960EE"/>
    <w:rsid w:val="00D97BFA"/>
    <w:rsid w:val="00DA0138"/>
    <w:rsid w:val="00DA0C68"/>
    <w:rsid w:val="00DA0D25"/>
    <w:rsid w:val="00DA0E07"/>
    <w:rsid w:val="00DA0EF5"/>
    <w:rsid w:val="00DA13D9"/>
    <w:rsid w:val="00DA159A"/>
    <w:rsid w:val="00DA2706"/>
    <w:rsid w:val="00DA3099"/>
    <w:rsid w:val="00DA38D6"/>
    <w:rsid w:val="00DA480A"/>
    <w:rsid w:val="00DA71F0"/>
    <w:rsid w:val="00DB1C47"/>
    <w:rsid w:val="00DB2F6C"/>
    <w:rsid w:val="00DB379D"/>
    <w:rsid w:val="00DB4982"/>
    <w:rsid w:val="00DB5F89"/>
    <w:rsid w:val="00DB65E7"/>
    <w:rsid w:val="00DB72E6"/>
    <w:rsid w:val="00DC0CDE"/>
    <w:rsid w:val="00DC1AD9"/>
    <w:rsid w:val="00DC1C97"/>
    <w:rsid w:val="00DC2249"/>
    <w:rsid w:val="00DC2EAF"/>
    <w:rsid w:val="00DC49F4"/>
    <w:rsid w:val="00DC4D72"/>
    <w:rsid w:val="00DC7923"/>
    <w:rsid w:val="00DC7CD9"/>
    <w:rsid w:val="00DD3A24"/>
    <w:rsid w:val="00DD3B47"/>
    <w:rsid w:val="00DD4931"/>
    <w:rsid w:val="00DD58DA"/>
    <w:rsid w:val="00DD5EA1"/>
    <w:rsid w:val="00DD67CD"/>
    <w:rsid w:val="00DD73D8"/>
    <w:rsid w:val="00DE05A4"/>
    <w:rsid w:val="00DE0BC9"/>
    <w:rsid w:val="00DE16E8"/>
    <w:rsid w:val="00DE18C9"/>
    <w:rsid w:val="00DE48B3"/>
    <w:rsid w:val="00DE5EDD"/>
    <w:rsid w:val="00DE632C"/>
    <w:rsid w:val="00DE7CE1"/>
    <w:rsid w:val="00DF1074"/>
    <w:rsid w:val="00DF2478"/>
    <w:rsid w:val="00DF2765"/>
    <w:rsid w:val="00DF31AF"/>
    <w:rsid w:val="00DF34A2"/>
    <w:rsid w:val="00DF54C2"/>
    <w:rsid w:val="00DF6B71"/>
    <w:rsid w:val="00DF7C23"/>
    <w:rsid w:val="00E0072C"/>
    <w:rsid w:val="00E00880"/>
    <w:rsid w:val="00E00A6B"/>
    <w:rsid w:val="00E00FBA"/>
    <w:rsid w:val="00E018FB"/>
    <w:rsid w:val="00E04941"/>
    <w:rsid w:val="00E0624D"/>
    <w:rsid w:val="00E075CF"/>
    <w:rsid w:val="00E10916"/>
    <w:rsid w:val="00E11002"/>
    <w:rsid w:val="00E112FB"/>
    <w:rsid w:val="00E11597"/>
    <w:rsid w:val="00E11B0D"/>
    <w:rsid w:val="00E121D1"/>
    <w:rsid w:val="00E12689"/>
    <w:rsid w:val="00E13C64"/>
    <w:rsid w:val="00E156D5"/>
    <w:rsid w:val="00E15761"/>
    <w:rsid w:val="00E17458"/>
    <w:rsid w:val="00E17E67"/>
    <w:rsid w:val="00E20070"/>
    <w:rsid w:val="00E203C9"/>
    <w:rsid w:val="00E20CE6"/>
    <w:rsid w:val="00E234BB"/>
    <w:rsid w:val="00E23B66"/>
    <w:rsid w:val="00E23F5C"/>
    <w:rsid w:val="00E24438"/>
    <w:rsid w:val="00E250EC"/>
    <w:rsid w:val="00E259DD"/>
    <w:rsid w:val="00E27179"/>
    <w:rsid w:val="00E27817"/>
    <w:rsid w:val="00E27D0A"/>
    <w:rsid w:val="00E303AD"/>
    <w:rsid w:val="00E306FA"/>
    <w:rsid w:val="00E31E98"/>
    <w:rsid w:val="00E32C67"/>
    <w:rsid w:val="00E342E2"/>
    <w:rsid w:val="00E35260"/>
    <w:rsid w:val="00E353A3"/>
    <w:rsid w:val="00E36BEC"/>
    <w:rsid w:val="00E372FD"/>
    <w:rsid w:val="00E374DF"/>
    <w:rsid w:val="00E4014D"/>
    <w:rsid w:val="00E41619"/>
    <w:rsid w:val="00E4191F"/>
    <w:rsid w:val="00E41A4C"/>
    <w:rsid w:val="00E41FDC"/>
    <w:rsid w:val="00E421EA"/>
    <w:rsid w:val="00E4266D"/>
    <w:rsid w:val="00E4375E"/>
    <w:rsid w:val="00E4438C"/>
    <w:rsid w:val="00E44DF7"/>
    <w:rsid w:val="00E457F3"/>
    <w:rsid w:val="00E47629"/>
    <w:rsid w:val="00E50BE5"/>
    <w:rsid w:val="00E5182A"/>
    <w:rsid w:val="00E52C0C"/>
    <w:rsid w:val="00E53E98"/>
    <w:rsid w:val="00E5624B"/>
    <w:rsid w:val="00E56CEE"/>
    <w:rsid w:val="00E56EB1"/>
    <w:rsid w:val="00E57DAF"/>
    <w:rsid w:val="00E61087"/>
    <w:rsid w:val="00E61287"/>
    <w:rsid w:val="00E61A54"/>
    <w:rsid w:val="00E61D28"/>
    <w:rsid w:val="00E6251A"/>
    <w:rsid w:val="00E62F39"/>
    <w:rsid w:val="00E63862"/>
    <w:rsid w:val="00E66215"/>
    <w:rsid w:val="00E66E16"/>
    <w:rsid w:val="00E67392"/>
    <w:rsid w:val="00E67486"/>
    <w:rsid w:val="00E6759C"/>
    <w:rsid w:val="00E67F73"/>
    <w:rsid w:val="00E71406"/>
    <w:rsid w:val="00E7163D"/>
    <w:rsid w:val="00E71FFD"/>
    <w:rsid w:val="00E7448D"/>
    <w:rsid w:val="00E75114"/>
    <w:rsid w:val="00E760A5"/>
    <w:rsid w:val="00E76413"/>
    <w:rsid w:val="00E7689C"/>
    <w:rsid w:val="00E76D09"/>
    <w:rsid w:val="00E775D9"/>
    <w:rsid w:val="00E80AB4"/>
    <w:rsid w:val="00E81502"/>
    <w:rsid w:val="00E839D1"/>
    <w:rsid w:val="00E84638"/>
    <w:rsid w:val="00E85D69"/>
    <w:rsid w:val="00E91CBF"/>
    <w:rsid w:val="00E9255D"/>
    <w:rsid w:val="00E92873"/>
    <w:rsid w:val="00E94586"/>
    <w:rsid w:val="00E94E82"/>
    <w:rsid w:val="00E97564"/>
    <w:rsid w:val="00EA0811"/>
    <w:rsid w:val="00EA20A1"/>
    <w:rsid w:val="00EA3AE4"/>
    <w:rsid w:val="00EA4DD8"/>
    <w:rsid w:val="00EA6DA9"/>
    <w:rsid w:val="00EA742B"/>
    <w:rsid w:val="00EA75F1"/>
    <w:rsid w:val="00EA7B70"/>
    <w:rsid w:val="00EB0738"/>
    <w:rsid w:val="00EB0AA9"/>
    <w:rsid w:val="00EB1032"/>
    <w:rsid w:val="00EB154C"/>
    <w:rsid w:val="00EB181A"/>
    <w:rsid w:val="00EB257A"/>
    <w:rsid w:val="00EB2AEF"/>
    <w:rsid w:val="00EB3A22"/>
    <w:rsid w:val="00EB4CB9"/>
    <w:rsid w:val="00EB4FF3"/>
    <w:rsid w:val="00EB6C2D"/>
    <w:rsid w:val="00EB6E43"/>
    <w:rsid w:val="00EB7E71"/>
    <w:rsid w:val="00EC185C"/>
    <w:rsid w:val="00EC37E4"/>
    <w:rsid w:val="00EC3A61"/>
    <w:rsid w:val="00EC4FDE"/>
    <w:rsid w:val="00EC5163"/>
    <w:rsid w:val="00EC62C1"/>
    <w:rsid w:val="00EC69E8"/>
    <w:rsid w:val="00EC7217"/>
    <w:rsid w:val="00EC7572"/>
    <w:rsid w:val="00EC7C1D"/>
    <w:rsid w:val="00ED2990"/>
    <w:rsid w:val="00ED3226"/>
    <w:rsid w:val="00ED4F6E"/>
    <w:rsid w:val="00ED5B5A"/>
    <w:rsid w:val="00ED6013"/>
    <w:rsid w:val="00ED708E"/>
    <w:rsid w:val="00ED73C8"/>
    <w:rsid w:val="00EE0C3A"/>
    <w:rsid w:val="00EE1796"/>
    <w:rsid w:val="00EE1A17"/>
    <w:rsid w:val="00EE46D6"/>
    <w:rsid w:val="00EE54DA"/>
    <w:rsid w:val="00EE5C3B"/>
    <w:rsid w:val="00EE6399"/>
    <w:rsid w:val="00EE6BCC"/>
    <w:rsid w:val="00EE7C9A"/>
    <w:rsid w:val="00EF0617"/>
    <w:rsid w:val="00EF10CD"/>
    <w:rsid w:val="00EF1E81"/>
    <w:rsid w:val="00EF27CA"/>
    <w:rsid w:val="00EF2C83"/>
    <w:rsid w:val="00EF2F77"/>
    <w:rsid w:val="00EF50A2"/>
    <w:rsid w:val="00EF638A"/>
    <w:rsid w:val="00EF692C"/>
    <w:rsid w:val="00EF78ED"/>
    <w:rsid w:val="00F003C6"/>
    <w:rsid w:val="00F00E3B"/>
    <w:rsid w:val="00F01EC4"/>
    <w:rsid w:val="00F046D3"/>
    <w:rsid w:val="00F073CF"/>
    <w:rsid w:val="00F075A6"/>
    <w:rsid w:val="00F109D4"/>
    <w:rsid w:val="00F114B4"/>
    <w:rsid w:val="00F1211A"/>
    <w:rsid w:val="00F128F4"/>
    <w:rsid w:val="00F14614"/>
    <w:rsid w:val="00F14EB1"/>
    <w:rsid w:val="00F154F6"/>
    <w:rsid w:val="00F15EE9"/>
    <w:rsid w:val="00F16CAA"/>
    <w:rsid w:val="00F2067C"/>
    <w:rsid w:val="00F20B5F"/>
    <w:rsid w:val="00F21DA3"/>
    <w:rsid w:val="00F21E54"/>
    <w:rsid w:val="00F22BBA"/>
    <w:rsid w:val="00F23626"/>
    <w:rsid w:val="00F23999"/>
    <w:rsid w:val="00F24917"/>
    <w:rsid w:val="00F252A1"/>
    <w:rsid w:val="00F337C9"/>
    <w:rsid w:val="00F33969"/>
    <w:rsid w:val="00F343A7"/>
    <w:rsid w:val="00F4079A"/>
    <w:rsid w:val="00F41904"/>
    <w:rsid w:val="00F41D0C"/>
    <w:rsid w:val="00F439B1"/>
    <w:rsid w:val="00F44DE6"/>
    <w:rsid w:val="00F45679"/>
    <w:rsid w:val="00F45988"/>
    <w:rsid w:val="00F45A52"/>
    <w:rsid w:val="00F4641E"/>
    <w:rsid w:val="00F46FEF"/>
    <w:rsid w:val="00F47585"/>
    <w:rsid w:val="00F47EFC"/>
    <w:rsid w:val="00F507C9"/>
    <w:rsid w:val="00F515BD"/>
    <w:rsid w:val="00F536A1"/>
    <w:rsid w:val="00F53F65"/>
    <w:rsid w:val="00F544B5"/>
    <w:rsid w:val="00F5707F"/>
    <w:rsid w:val="00F5783A"/>
    <w:rsid w:val="00F602ED"/>
    <w:rsid w:val="00F61041"/>
    <w:rsid w:val="00F63260"/>
    <w:rsid w:val="00F65EE9"/>
    <w:rsid w:val="00F65FE1"/>
    <w:rsid w:val="00F67151"/>
    <w:rsid w:val="00F6734A"/>
    <w:rsid w:val="00F743D3"/>
    <w:rsid w:val="00F7491D"/>
    <w:rsid w:val="00F74CE4"/>
    <w:rsid w:val="00F756E4"/>
    <w:rsid w:val="00F75D0F"/>
    <w:rsid w:val="00F76594"/>
    <w:rsid w:val="00F768B9"/>
    <w:rsid w:val="00F76D47"/>
    <w:rsid w:val="00F77545"/>
    <w:rsid w:val="00F77D98"/>
    <w:rsid w:val="00F80184"/>
    <w:rsid w:val="00F80497"/>
    <w:rsid w:val="00F80D74"/>
    <w:rsid w:val="00F814F8"/>
    <w:rsid w:val="00F8308B"/>
    <w:rsid w:val="00F83885"/>
    <w:rsid w:val="00F83F99"/>
    <w:rsid w:val="00F84F5C"/>
    <w:rsid w:val="00F857CB"/>
    <w:rsid w:val="00F85DC1"/>
    <w:rsid w:val="00F85E6F"/>
    <w:rsid w:val="00F86C8F"/>
    <w:rsid w:val="00F874D9"/>
    <w:rsid w:val="00F87C9C"/>
    <w:rsid w:val="00F90342"/>
    <w:rsid w:val="00F9068C"/>
    <w:rsid w:val="00F91B20"/>
    <w:rsid w:val="00F92E7D"/>
    <w:rsid w:val="00F931F5"/>
    <w:rsid w:val="00F9360A"/>
    <w:rsid w:val="00F936E5"/>
    <w:rsid w:val="00F948D9"/>
    <w:rsid w:val="00F94AC2"/>
    <w:rsid w:val="00F95004"/>
    <w:rsid w:val="00F95633"/>
    <w:rsid w:val="00F97329"/>
    <w:rsid w:val="00F979CE"/>
    <w:rsid w:val="00FA147D"/>
    <w:rsid w:val="00FA1BB9"/>
    <w:rsid w:val="00FA2DF9"/>
    <w:rsid w:val="00FA36BF"/>
    <w:rsid w:val="00FA4084"/>
    <w:rsid w:val="00FA4F55"/>
    <w:rsid w:val="00FA5545"/>
    <w:rsid w:val="00FA7519"/>
    <w:rsid w:val="00FB0BBD"/>
    <w:rsid w:val="00FB1EDF"/>
    <w:rsid w:val="00FB25CA"/>
    <w:rsid w:val="00FB56FE"/>
    <w:rsid w:val="00FB616D"/>
    <w:rsid w:val="00FB6D03"/>
    <w:rsid w:val="00FB7E27"/>
    <w:rsid w:val="00FC0D65"/>
    <w:rsid w:val="00FC1299"/>
    <w:rsid w:val="00FC2CAE"/>
    <w:rsid w:val="00FC5A05"/>
    <w:rsid w:val="00FC668D"/>
    <w:rsid w:val="00FD039B"/>
    <w:rsid w:val="00FD15FB"/>
    <w:rsid w:val="00FD1D79"/>
    <w:rsid w:val="00FD241B"/>
    <w:rsid w:val="00FD5C93"/>
    <w:rsid w:val="00FD7AF1"/>
    <w:rsid w:val="00FE04E4"/>
    <w:rsid w:val="00FE4D49"/>
    <w:rsid w:val="00FE69E5"/>
    <w:rsid w:val="00FE6A4D"/>
    <w:rsid w:val="00FE73F9"/>
    <w:rsid w:val="00FE7414"/>
    <w:rsid w:val="00FE7515"/>
    <w:rsid w:val="00FE796A"/>
    <w:rsid w:val="00FF0C31"/>
    <w:rsid w:val="00FF1057"/>
    <w:rsid w:val="00FF2689"/>
    <w:rsid w:val="00FF26DA"/>
    <w:rsid w:val="00FF3E25"/>
    <w:rsid w:val="00FF4389"/>
    <w:rsid w:val="00FF4764"/>
    <w:rsid w:val="00FF5831"/>
    <w:rsid w:val="00FF5DEE"/>
    <w:rsid w:val="00FF5F00"/>
    <w:rsid w:val="00FF6021"/>
    <w:rsid w:val="00FF7CC8"/>
    <w:rsid w:val="02C0A1D9"/>
    <w:rsid w:val="030076BA"/>
    <w:rsid w:val="0312BE78"/>
    <w:rsid w:val="033F3645"/>
    <w:rsid w:val="041E1E74"/>
    <w:rsid w:val="046D0C5A"/>
    <w:rsid w:val="0540708B"/>
    <w:rsid w:val="065E9287"/>
    <w:rsid w:val="06DE13A6"/>
    <w:rsid w:val="06EE3AE0"/>
    <w:rsid w:val="070EF2D4"/>
    <w:rsid w:val="085D821B"/>
    <w:rsid w:val="093171C2"/>
    <w:rsid w:val="09339622"/>
    <w:rsid w:val="0A03E632"/>
    <w:rsid w:val="0D1642BD"/>
    <w:rsid w:val="0D43DD2F"/>
    <w:rsid w:val="0D6BEF27"/>
    <w:rsid w:val="0D6D0371"/>
    <w:rsid w:val="0DC626BC"/>
    <w:rsid w:val="0F351132"/>
    <w:rsid w:val="105CF67B"/>
    <w:rsid w:val="11F307C6"/>
    <w:rsid w:val="13401FE0"/>
    <w:rsid w:val="14602E52"/>
    <w:rsid w:val="155D855E"/>
    <w:rsid w:val="15D1FA54"/>
    <w:rsid w:val="1690AE05"/>
    <w:rsid w:val="17AC0D02"/>
    <w:rsid w:val="17E15E9A"/>
    <w:rsid w:val="185A7D4B"/>
    <w:rsid w:val="197BDEFE"/>
    <w:rsid w:val="19B8DCA1"/>
    <w:rsid w:val="1A49E40F"/>
    <w:rsid w:val="1A7C8810"/>
    <w:rsid w:val="1AF684B3"/>
    <w:rsid w:val="1B56EE62"/>
    <w:rsid w:val="1B9BA73A"/>
    <w:rsid w:val="1BEFA1AE"/>
    <w:rsid w:val="1C033729"/>
    <w:rsid w:val="1FB0F7B9"/>
    <w:rsid w:val="20748DD8"/>
    <w:rsid w:val="2103086B"/>
    <w:rsid w:val="21E99564"/>
    <w:rsid w:val="222FE721"/>
    <w:rsid w:val="223F4537"/>
    <w:rsid w:val="23FA35C2"/>
    <w:rsid w:val="28408E5A"/>
    <w:rsid w:val="2B1A7264"/>
    <w:rsid w:val="2B363376"/>
    <w:rsid w:val="2B578364"/>
    <w:rsid w:val="2B720763"/>
    <w:rsid w:val="2CD441AF"/>
    <w:rsid w:val="2CFEE152"/>
    <w:rsid w:val="2D915BE1"/>
    <w:rsid w:val="2E035587"/>
    <w:rsid w:val="2F803F4D"/>
    <w:rsid w:val="2FBC7EBD"/>
    <w:rsid w:val="303E8145"/>
    <w:rsid w:val="318CD08D"/>
    <w:rsid w:val="31B0B61F"/>
    <w:rsid w:val="326D30DE"/>
    <w:rsid w:val="32B5CF66"/>
    <w:rsid w:val="32C777DB"/>
    <w:rsid w:val="3309EFA8"/>
    <w:rsid w:val="34204478"/>
    <w:rsid w:val="3584A852"/>
    <w:rsid w:val="370F2BC9"/>
    <w:rsid w:val="37717EDD"/>
    <w:rsid w:val="378217EE"/>
    <w:rsid w:val="383DBD36"/>
    <w:rsid w:val="396A43CC"/>
    <w:rsid w:val="39DD9BD7"/>
    <w:rsid w:val="3A201476"/>
    <w:rsid w:val="3AF1BF02"/>
    <w:rsid w:val="3BB6D8D0"/>
    <w:rsid w:val="3BEB239E"/>
    <w:rsid w:val="3D221169"/>
    <w:rsid w:val="3E2A5EEE"/>
    <w:rsid w:val="3EAEFF27"/>
    <w:rsid w:val="3ECA1D3E"/>
    <w:rsid w:val="3F463072"/>
    <w:rsid w:val="3FA6AEE7"/>
    <w:rsid w:val="3FF71525"/>
    <w:rsid w:val="413C36D8"/>
    <w:rsid w:val="419DAABF"/>
    <w:rsid w:val="41A16EDE"/>
    <w:rsid w:val="41E3F475"/>
    <w:rsid w:val="42531F2B"/>
    <w:rsid w:val="428E66F0"/>
    <w:rsid w:val="42902672"/>
    <w:rsid w:val="43084A85"/>
    <w:rsid w:val="43258AFB"/>
    <w:rsid w:val="4340A441"/>
    <w:rsid w:val="457677B4"/>
    <w:rsid w:val="457AF9F3"/>
    <w:rsid w:val="464061FA"/>
    <w:rsid w:val="46C17F0F"/>
    <w:rsid w:val="47666307"/>
    <w:rsid w:val="47DFAC6C"/>
    <w:rsid w:val="482AD3EB"/>
    <w:rsid w:val="48635E2F"/>
    <w:rsid w:val="48B9EAA2"/>
    <w:rsid w:val="48C7B07E"/>
    <w:rsid w:val="49825EFE"/>
    <w:rsid w:val="4AF241F7"/>
    <w:rsid w:val="4B107669"/>
    <w:rsid w:val="4B5C0253"/>
    <w:rsid w:val="4C9BF811"/>
    <w:rsid w:val="4D757D20"/>
    <w:rsid w:val="4DDCA33C"/>
    <w:rsid w:val="4F0A2BDF"/>
    <w:rsid w:val="506AF1E8"/>
    <w:rsid w:val="516DA305"/>
    <w:rsid w:val="52AEB724"/>
    <w:rsid w:val="52C1B751"/>
    <w:rsid w:val="52EB77E3"/>
    <w:rsid w:val="52EF7CFD"/>
    <w:rsid w:val="53F40323"/>
    <w:rsid w:val="54C53BA5"/>
    <w:rsid w:val="54C6FAEB"/>
    <w:rsid w:val="54FCF593"/>
    <w:rsid w:val="553694B8"/>
    <w:rsid w:val="55C8B7A0"/>
    <w:rsid w:val="56D37C3C"/>
    <w:rsid w:val="57732738"/>
    <w:rsid w:val="5CADDEEE"/>
    <w:rsid w:val="5D3E7621"/>
    <w:rsid w:val="5DB041DE"/>
    <w:rsid w:val="5E6E6274"/>
    <w:rsid w:val="5FB10758"/>
    <w:rsid w:val="606F2342"/>
    <w:rsid w:val="607A746B"/>
    <w:rsid w:val="6161B9EE"/>
    <w:rsid w:val="62C4BD5D"/>
    <w:rsid w:val="62D6634D"/>
    <w:rsid w:val="647FCE6F"/>
    <w:rsid w:val="65187D5F"/>
    <w:rsid w:val="652FAC0F"/>
    <w:rsid w:val="668CE719"/>
    <w:rsid w:val="675A3B8A"/>
    <w:rsid w:val="67C9A87A"/>
    <w:rsid w:val="67D082F7"/>
    <w:rsid w:val="68BF40D9"/>
    <w:rsid w:val="69BFA69F"/>
    <w:rsid w:val="6A53A1FB"/>
    <w:rsid w:val="6AA95695"/>
    <w:rsid w:val="6C64C065"/>
    <w:rsid w:val="6C75D0C5"/>
    <w:rsid w:val="6EF83068"/>
    <w:rsid w:val="6F1D58F5"/>
    <w:rsid w:val="6F35367D"/>
    <w:rsid w:val="6F6B74ED"/>
    <w:rsid w:val="70661E52"/>
    <w:rsid w:val="70A3FC50"/>
    <w:rsid w:val="7298F812"/>
    <w:rsid w:val="72B6C3C4"/>
    <w:rsid w:val="7361C6BA"/>
    <w:rsid w:val="73FC769F"/>
    <w:rsid w:val="752FBBD9"/>
    <w:rsid w:val="753D5436"/>
    <w:rsid w:val="77727B55"/>
    <w:rsid w:val="78953CC0"/>
    <w:rsid w:val="78A819E0"/>
    <w:rsid w:val="795B0811"/>
    <w:rsid w:val="797E884D"/>
    <w:rsid w:val="7B2F0587"/>
    <w:rsid w:val="7DE1FCE3"/>
    <w:rsid w:val="7E049393"/>
    <w:rsid w:val="7E2200FE"/>
    <w:rsid w:val="7E6E7B41"/>
    <w:rsid w:val="7E87E663"/>
    <w:rsid w:val="7FC0A5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9E7E2D"/>
  <w15:docId w15:val="{9F6740BF-BCBD-442F-AE1C-B277B1F8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1EF"/>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paragraph" w:styleId="Heading5">
    <w:name w:val="heading 5"/>
    <w:basedOn w:val="Normal"/>
    <w:next w:val="Normal"/>
    <w:link w:val="Heading5Char"/>
    <w:uiPriority w:val="9"/>
    <w:semiHidden/>
    <w:unhideWhenUsed/>
    <w:qFormat/>
    <w:rsid w:val="00964F70"/>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76D4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NormalWeb">
    <w:name w:val="Normal (Web)"/>
    <w:basedOn w:val="Normal"/>
    <w:uiPriority w:val="99"/>
    <w:unhideWhenUsed/>
    <w:rsid w:val="00F439B1"/>
    <w:pPr>
      <w:spacing w:before="100" w:beforeAutospacing="1" w:after="100" w:afterAutospacing="1"/>
    </w:pPr>
    <w:rPr>
      <w:szCs w:val="24"/>
    </w:rPr>
  </w:style>
  <w:style w:type="paragraph" w:customStyle="1" w:styleId="socpara">
    <w:name w:val="socpara"/>
    <w:basedOn w:val="Normal"/>
    <w:rsid w:val="0072566E"/>
    <w:pPr>
      <w:spacing w:before="100" w:beforeAutospacing="1" w:after="100" w:afterAutospacing="1"/>
    </w:pPr>
    <w:rPr>
      <w:szCs w:val="24"/>
    </w:rPr>
  </w:style>
  <w:style w:type="character" w:customStyle="1" w:styleId="Heading5Char">
    <w:name w:val="Heading 5 Char"/>
    <w:basedOn w:val="DefaultParagraphFont"/>
    <w:link w:val="Heading5"/>
    <w:uiPriority w:val="9"/>
    <w:semiHidden/>
    <w:rsid w:val="00964F70"/>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F76D47"/>
    <w:rPr>
      <w:rFonts w:asciiTheme="majorHAnsi" w:eastAsiaTheme="majorEastAsia" w:hAnsiTheme="majorHAnsi" w:cstheme="majorBidi"/>
      <w:color w:val="243F60" w:themeColor="accent1" w:themeShade="7F"/>
      <w:sz w:val="24"/>
    </w:rPr>
  </w:style>
  <w:style w:type="paragraph" w:customStyle="1" w:styleId="dot">
    <w:name w:val="dot"/>
    <w:basedOn w:val="Normal"/>
    <w:rsid w:val="00F76D47"/>
    <w:pPr>
      <w:spacing w:before="100" w:beforeAutospacing="1" w:after="100" w:afterAutospacing="1"/>
    </w:pPr>
    <w:rPr>
      <w:szCs w:val="24"/>
    </w:rPr>
  </w:style>
  <w:style w:type="paragraph" w:customStyle="1" w:styleId="chapterheading">
    <w:name w:val="chapterheading"/>
    <w:basedOn w:val="Normal"/>
    <w:rsid w:val="00B20A40"/>
    <w:pPr>
      <w:spacing w:before="100" w:beforeAutospacing="1" w:after="100" w:afterAutospacing="1"/>
    </w:pPr>
    <w:rPr>
      <w:szCs w:val="24"/>
    </w:rPr>
  </w:style>
  <w:style w:type="character" w:customStyle="1" w:styleId="chapternameonly">
    <w:name w:val="chapternameonly"/>
    <w:basedOn w:val="DefaultParagraphFont"/>
    <w:rsid w:val="00B20A40"/>
  </w:style>
  <w:style w:type="character" w:customStyle="1" w:styleId="paragraphchar">
    <w:name w:val="paragraphchar"/>
    <w:basedOn w:val="DefaultParagraphFont"/>
    <w:rsid w:val="00B20A40"/>
  </w:style>
  <w:style w:type="paragraph" w:customStyle="1" w:styleId="consequentialbillpara">
    <w:name w:val="consequentialbillpara"/>
    <w:basedOn w:val="Normal"/>
    <w:rsid w:val="00B20A40"/>
    <w:pPr>
      <w:spacing w:before="100" w:beforeAutospacing="1" w:after="100" w:afterAutospacing="1"/>
    </w:pPr>
    <w:rPr>
      <w:szCs w:val="24"/>
    </w:rPr>
  </w:style>
  <w:style w:type="paragraph" w:styleId="ListParagraph">
    <w:name w:val="List Paragraph"/>
    <w:basedOn w:val="Normal"/>
    <w:uiPriority w:val="34"/>
    <w:qFormat/>
    <w:rsid w:val="00D74C8E"/>
    <w:pPr>
      <w:ind w:left="720"/>
      <w:contextualSpacing/>
    </w:pPr>
  </w:style>
  <w:style w:type="paragraph" w:customStyle="1" w:styleId="paragraph">
    <w:name w:val="paragraph"/>
    <w:aliases w:val="a"/>
    <w:basedOn w:val="Normal"/>
    <w:rsid w:val="001431AC"/>
    <w:pPr>
      <w:tabs>
        <w:tab w:val="right" w:pos="1531"/>
      </w:tabs>
      <w:spacing w:before="40" w:after="0"/>
      <w:ind w:left="1644" w:hanging="1644"/>
    </w:pPr>
    <w:rPr>
      <w:sz w:val="22"/>
    </w:rPr>
  </w:style>
  <w:style w:type="character" w:styleId="UnresolvedMention">
    <w:name w:val="Unresolved Mention"/>
    <w:basedOn w:val="DefaultParagraphFont"/>
    <w:uiPriority w:val="99"/>
    <w:semiHidden/>
    <w:unhideWhenUsed/>
    <w:rsid w:val="00D06815"/>
    <w:rPr>
      <w:color w:val="605E5C"/>
      <w:shd w:val="clear" w:color="auto" w:fill="E1DFDD"/>
    </w:rPr>
  </w:style>
  <w:style w:type="paragraph" w:styleId="Revision">
    <w:name w:val="Revision"/>
    <w:hidden/>
    <w:uiPriority w:val="99"/>
    <w:semiHidden/>
    <w:rsid w:val="00C82B7C"/>
    <w:rPr>
      <w:sz w:val="24"/>
    </w:rPr>
  </w:style>
  <w:style w:type="character" w:customStyle="1" w:styleId="normaltextrun">
    <w:name w:val="normaltextrun"/>
    <w:basedOn w:val="DefaultParagraphFont"/>
    <w:rsid w:val="007302BB"/>
  </w:style>
  <w:style w:type="character" w:customStyle="1" w:styleId="eop">
    <w:name w:val="eop"/>
    <w:basedOn w:val="DefaultParagraphFont"/>
    <w:rsid w:val="007302BB"/>
  </w:style>
  <w:style w:type="paragraph" w:customStyle="1" w:styleId="ParaNumbering">
    <w:name w:val="Para Numbering"/>
    <w:basedOn w:val="Normal"/>
    <w:rsid w:val="00CF3D4F"/>
    <w:pPr>
      <w:tabs>
        <w:tab w:val="num" w:pos="360"/>
        <w:tab w:val="left" w:pos="567"/>
      </w:tabs>
      <w:spacing w:before="0" w:after="0" w:line="240" w:lineRule="atLeast"/>
    </w:pPr>
    <w:rPr>
      <w:lang w:eastAsia="en-US"/>
    </w:rPr>
  </w:style>
  <w:style w:type="paragraph" w:customStyle="1" w:styleId="paragraphsub">
    <w:name w:val="paragraph(sub)"/>
    <w:aliases w:val="aa"/>
    <w:basedOn w:val="Normal"/>
    <w:rsid w:val="00E4014D"/>
    <w:pPr>
      <w:tabs>
        <w:tab w:val="right" w:pos="1985"/>
      </w:tabs>
      <w:spacing w:before="40" w:after="0"/>
      <w:ind w:left="2098" w:hanging="2098"/>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924294">
      <w:bodyDiv w:val="1"/>
      <w:marLeft w:val="0"/>
      <w:marRight w:val="0"/>
      <w:marTop w:val="0"/>
      <w:marBottom w:val="0"/>
      <w:divBdr>
        <w:top w:val="none" w:sz="0" w:space="0" w:color="auto"/>
        <w:left w:val="none" w:sz="0" w:space="0" w:color="auto"/>
        <w:bottom w:val="none" w:sz="0" w:space="0" w:color="auto"/>
        <w:right w:val="none" w:sz="0" w:space="0" w:color="auto"/>
      </w:divBdr>
    </w:div>
    <w:div w:id="773552351">
      <w:bodyDiv w:val="1"/>
      <w:marLeft w:val="0"/>
      <w:marRight w:val="0"/>
      <w:marTop w:val="0"/>
      <w:marBottom w:val="0"/>
      <w:divBdr>
        <w:top w:val="none" w:sz="0" w:space="0" w:color="auto"/>
        <w:left w:val="none" w:sz="0" w:space="0" w:color="auto"/>
        <w:bottom w:val="none" w:sz="0" w:space="0" w:color="auto"/>
        <w:right w:val="none" w:sz="0" w:space="0" w:color="auto"/>
      </w:divBdr>
    </w:div>
    <w:div w:id="948243685">
      <w:bodyDiv w:val="1"/>
      <w:marLeft w:val="0"/>
      <w:marRight w:val="0"/>
      <w:marTop w:val="0"/>
      <w:marBottom w:val="0"/>
      <w:divBdr>
        <w:top w:val="none" w:sz="0" w:space="0" w:color="auto"/>
        <w:left w:val="none" w:sz="0" w:space="0" w:color="auto"/>
        <w:bottom w:val="none" w:sz="0" w:space="0" w:color="auto"/>
        <w:right w:val="none" w:sz="0" w:space="0" w:color="auto"/>
      </w:divBdr>
    </w:div>
    <w:div w:id="953438593">
      <w:bodyDiv w:val="1"/>
      <w:marLeft w:val="0"/>
      <w:marRight w:val="0"/>
      <w:marTop w:val="0"/>
      <w:marBottom w:val="0"/>
      <w:divBdr>
        <w:top w:val="none" w:sz="0" w:space="0" w:color="auto"/>
        <w:left w:val="none" w:sz="0" w:space="0" w:color="auto"/>
        <w:bottom w:val="none" w:sz="0" w:space="0" w:color="auto"/>
        <w:right w:val="none" w:sz="0" w:space="0" w:color="auto"/>
      </w:divBdr>
    </w:div>
    <w:div w:id="1175879514">
      <w:bodyDiv w:val="1"/>
      <w:marLeft w:val="0"/>
      <w:marRight w:val="0"/>
      <w:marTop w:val="0"/>
      <w:marBottom w:val="0"/>
      <w:divBdr>
        <w:top w:val="none" w:sz="0" w:space="0" w:color="auto"/>
        <w:left w:val="none" w:sz="0" w:space="0" w:color="auto"/>
        <w:bottom w:val="none" w:sz="0" w:space="0" w:color="auto"/>
        <w:right w:val="none" w:sz="0" w:space="0" w:color="auto"/>
      </w:divBdr>
    </w:div>
    <w:div w:id="1220752158">
      <w:bodyDiv w:val="1"/>
      <w:marLeft w:val="0"/>
      <w:marRight w:val="0"/>
      <w:marTop w:val="0"/>
      <w:marBottom w:val="0"/>
      <w:divBdr>
        <w:top w:val="none" w:sz="0" w:space="0" w:color="auto"/>
        <w:left w:val="none" w:sz="0" w:space="0" w:color="auto"/>
        <w:bottom w:val="none" w:sz="0" w:space="0" w:color="auto"/>
        <w:right w:val="none" w:sz="0" w:space="0" w:color="auto"/>
      </w:divBdr>
    </w:div>
    <w:div w:id="1331760935">
      <w:bodyDiv w:val="1"/>
      <w:marLeft w:val="0"/>
      <w:marRight w:val="0"/>
      <w:marTop w:val="0"/>
      <w:marBottom w:val="0"/>
      <w:divBdr>
        <w:top w:val="none" w:sz="0" w:space="0" w:color="auto"/>
        <w:left w:val="none" w:sz="0" w:space="0" w:color="auto"/>
        <w:bottom w:val="none" w:sz="0" w:space="0" w:color="auto"/>
        <w:right w:val="none" w:sz="0" w:space="0" w:color="auto"/>
      </w:divBdr>
    </w:div>
    <w:div w:id="1434857251">
      <w:bodyDiv w:val="1"/>
      <w:marLeft w:val="0"/>
      <w:marRight w:val="0"/>
      <w:marTop w:val="0"/>
      <w:marBottom w:val="0"/>
      <w:divBdr>
        <w:top w:val="none" w:sz="0" w:space="0" w:color="auto"/>
        <w:left w:val="none" w:sz="0" w:space="0" w:color="auto"/>
        <w:bottom w:val="none" w:sz="0" w:space="0" w:color="auto"/>
        <w:right w:val="none" w:sz="0" w:space="0" w:color="auto"/>
      </w:divBdr>
    </w:div>
    <w:div w:id="1438406851">
      <w:bodyDiv w:val="1"/>
      <w:marLeft w:val="0"/>
      <w:marRight w:val="0"/>
      <w:marTop w:val="0"/>
      <w:marBottom w:val="0"/>
      <w:divBdr>
        <w:top w:val="none" w:sz="0" w:space="0" w:color="auto"/>
        <w:left w:val="none" w:sz="0" w:space="0" w:color="auto"/>
        <w:bottom w:val="none" w:sz="0" w:space="0" w:color="auto"/>
        <w:right w:val="none" w:sz="0" w:space="0" w:color="auto"/>
      </w:divBdr>
      <w:divsChild>
        <w:div w:id="915480991">
          <w:marLeft w:val="0"/>
          <w:marRight w:val="0"/>
          <w:marTop w:val="0"/>
          <w:marBottom w:val="0"/>
          <w:divBdr>
            <w:top w:val="none" w:sz="0" w:space="0" w:color="auto"/>
            <w:left w:val="none" w:sz="0" w:space="0" w:color="auto"/>
            <w:bottom w:val="single" w:sz="8" w:space="1" w:color="auto"/>
            <w:right w:val="none" w:sz="0" w:space="0" w:color="auto"/>
          </w:divBdr>
        </w:div>
      </w:divsChild>
    </w:div>
    <w:div w:id="1467428119">
      <w:bodyDiv w:val="1"/>
      <w:marLeft w:val="0"/>
      <w:marRight w:val="0"/>
      <w:marTop w:val="0"/>
      <w:marBottom w:val="0"/>
      <w:divBdr>
        <w:top w:val="none" w:sz="0" w:space="0" w:color="auto"/>
        <w:left w:val="none" w:sz="0" w:space="0" w:color="auto"/>
        <w:bottom w:val="none" w:sz="0" w:space="0" w:color="auto"/>
        <w:right w:val="none" w:sz="0" w:space="0" w:color="auto"/>
      </w:divBdr>
    </w:div>
    <w:div w:id="1487934221">
      <w:bodyDiv w:val="1"/>
      <w:marLeft w:val="0"/>
      <w:marRight w:val="0"/>
      <w:marTop w:val="0"/>
      <w:marBottom w:val="0"/>
      <w:divBdr>
        <w:top w:val="none" w:sz="0" w:space="0" w:color="auto"/>
        <w:left w:val="none" w:sz="0" w:space="0" w:color="auto"/>
        <w:bottom w:val="none" w:sz="0" w:space="0" w:color="auto"/>
        <w:right w:val="none" w:sz="0" w:space="0" w:color="auto"/>
      </w:divBdr>
      <w:divsChild>
        <w:div w:id="1811556077">
          <w:marLeft w:val="0"/>
          <w:marRight w:val="0"/>
          <w:marTop w:val="0"/>
          <w:marBottom w:val="0"/>
          <w:divBdr>
            <w:top w:val="none" w:sz="0" w:space="0" w:color="auto"/>
            <w:left w:val="none" w:sz="0" w:space="0" w:color="auto"/>
            <w:bottom w:val="single" w:sz="8" w:space="1" w:color="auto"/>
            <w:right w:val="none" w:sz="0" w:space="0" w:color="auto"/>
          </w:divBdr>
        </w:div>
      </w:divsChild>
    </w:div>
    <w:div w:id="1622760138">
      <w:bodyDiv w:val="1"/>
      <w:marLeft w:val="0"/>
      <w:marRight w:val="0"/>
      <w:marTop w:val="0"/>
      <w:marBottom w:val="0"/>
      <w:divBdr>
        <w:top w:val="none" w:sz="0" w:space="0" w:color="auto"/>
        <w:left w:val="none" w:sz="0" w:space="0" w:color="auto"/>
        <w:bottom w:val="none" w:sz="0" w:space="0" w:color="auto"/>
        <w:right w:val="none" w:sz="0" w:space="0" w:color="auto"/>
      </w:divBdr>
    </w:div>
    <w:div w:id="1703162884">
      <w:bodyDiv w:val="1"/>
      <w:marLeft w:val="0"/>
      <w:marRight w:val="0"/>
      <w:marTop w:val="0"/>
      <w:marBottom w:val="0"/>
      <w:divBdr>
        <w:top w:val="none" w:sz="0" w:space="0" w:color="auto"/>
        <w:left w:val="none" w:sz="0" w:space="0" w:color="auto"/>
        <w:bottom w:val="none" w:sz="0" w:space="0" w:color="auto"/>
        <w:right w:val="none" w:sz="0" w:space="0" w:color="auto"/>
      </w:divBdr>
    </w:div>
    <w:div w:id="1817145356">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873810414">
      <w:bodyDiv w:val="1"/>
      <w:marLeft w:val="0"/>
      <w:marRight w:val="0"/>
      <w:marTop w:val="0"/>
      <w:marBottom w:val="0"/>
      <w:divBdr>
        <w:top w:val="none" w:sz="0" w:space="0" w:color="auto"/>
        <w:left w:val="none" w:sz="0" w:space="0" w:color="auto"/>
        <w:bottom w:val="none" w:sz="0" w:space="0" w:color="auto"/>
        <w:right w:val="none" w:sz="0" w:space="0" w:color="auto"/>
      </w:divBdr>
    </w:div>
    <w:div w:id="1986158244">
      <w:bodyDiv w:val="1"/>
      <w:marLeft w:val="0"/>
      <w:marRight w:val="0"/>
      <w:marTop w:val="0"/>
      <w:marBottom w:val="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
        <w:div w:id="1078096731">
          <w:marLeft w:val="0"/>
          <w:marRight w:val="0"/>
          <w:marTop w:val="0"/>
          <w:marBottom w:val="0"/>
          <w:divBdr>
            <w:top w:val="none" w:sz="0" w:space="0" w:color="auto"/>
            <w:left w:val="none" w:sz="0" w:space="0" w:color="auto"/>
            <w:bottom w:val="none" w:sz="0" w:space="0" w:color="auto"/>
            <w:right w:val="none" w:sz="0" w:space="0" w:color="auto"/>
          </w:divBdr>
        </w:div>
      </w:divsChild>
    </w:div>
    <w:div w:id="204494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30</Value>
      <Value>1</Value>
    </TaxCatchAll>
    <e0fcb3f570964638902a63147cd98219 xmlns="a334ba3b-e131-42d3-95f3-2728f5a41884">
      <Terms xmlns="http://schemas.microsoft.com/office/infopath/2007/PartnerControl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FIN33960-1789766110-435</_dlc_DocId>
    <_dlc_DocIdUrl xmlns="6a7e9632-768a-49bf-85ac-c69233ab2a52">
      <Url>https://financegovau.sharepoint.com/sites/M365_DoF_50033960/_layouts/15/DocIdRedir.aspx?ID=FIN33960-1789766110-435</Url>
      <Description>FIN33960-1789766110-435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9BC0ECC4E73FC344A9FCE4CB259EE32A" ma:contentTypeVersion="82" ma:contentTypeDescription="" ma:contentTypeScope="" ma:versionID="2be6343b53d327b3b8d1a549610294a9">
  <xsd:schema xmlns:xsd="http://www.w3.org/2001/XMLSchema" xmlns:xs="http://www.w3.org/2001/XMLSchema" xmlns:p="http://schemas.microsoft.com/office/2006/metadata/properties" xmlns:ns2="a334ba3b-e131-42d3-95f3-2728f5a41884" xmlns:ns3="6a7e9632-768a-49bf-85ac-c69233ab2a52" targetNamespace="http://schemas.microsoft.com/office/2006/metadata/properties" ma:root="true" ma:fieldsID="51f46ca02b7fae70e7f66c765cff77f6" ns2:_="" ns3:_="">
    <xsd:import namespace="a334ba3b-e131-42d3-95f3-2728f5a41884"/>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00ddb619-6e4d-4680-9b53-e17f276458d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00ddb619-6e4d-4680-9b53-e17f276458d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46278533-3486-40E5-9013-DD26FD164D39}">
  <ds:schemaRefs>
    <ds:schemaRef ds:uri="http://schemas.microsoft.com/office/2006/documentManagement/types"/>
    <ds:schemaRef ds:uri="http://schemas.microsoft.com/office/2006/metadata/properties"/>
    <ds:schemaRef ds:uri="85FE4739-1965-4DBC-8230-1F76DEDCBB31"/>
    <ds:schemaRef ds:uri="http://purl.org/dc/elements/1.1/"/>
    <ds:schemaRef ds:uri="http://schemas.openxmlformats.org/package/2006/metadata/core-properties"/>
    <ds:schemaRef ds:uri="http://www.w3.org/XML/1998/namespace"/>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B85D7E68-5B63-41A7-8E45-EA7D82F75077}"/>
</file>

<file path=customXml/itemProps4.xml><?xml version="1.0" encoding="utf-8"?>
<ds:datastoreItem xmlns:ds="http://schemas.openxmlformats.org/officeDocument/2006/customXml" ds:itemID="{82B392D5-EDDC-4038-8CFD-BA3792A1A044}">
  <ds:schemaRefs>
    <ds:schemaRef ds:uri="http://schemas.openxmlformats.org/officeDocument/2006/bibliography"/>
  </ds:schemaRefs>
</ds:datastoreItem>
</file>

<file path=customXml/itemProps5.xml><?xml version="1.0" encoding="utf-8"?>
<ds:datastoreItem xmlns:ds="http://schemas.openxmlformats.org/officeDocument/2006/customXml" ds:itemID="{24611DE3-47E0-4DA2-8AE8-AD7DECF60565}"/>
</file>

<file path=customXml/itemProps6.xml><?xml version="1.0" encoding="utf-8"?>
<ds:datastoreItem xmlns:ds="http://schemas.openxmlformats.org/officeDocument/2006/customXml" ds:itemID="{AFF1C176-AC44-4536-A6CE-C162027EDFD2}"/>
</file>

<file path=docProps/app.xml><?xml version="1.0" encoding="utf-8"?>
<Properties xmlns="http://schemas.openxmlformats.org/officeDocument/2006/extended-properties" xmlns:vt="http://schemas.openxmlformats.org/officeDocument/2006/docPropsVTypes">
  <Template>Sub-ES</Template>
  <TotalTime>0</TotalTime>
  <Pages>8</Pages>
  <Words>2310</Words>
  <Characters>13123</Characters>
  <Application>Microsoft Office Word</Application>
  <DocSecurity>0</DocSecurity>
  <Lines>374</Lines>
  <Paragraphs>177</Paragraphs>
  <ScaleCrop>false</ScaleCrop>
  <HeadingPairs>
    <vt:vector size="2" baseType="variant">
      <vt:variant>
        <vt:lpstr>Title</vt:lpstr>
      </vt:variant>
      <vt:variant>
        <vt:i4>1</vt:i4>
      </vt:variant>
    </vt:vector>
  </HeadingPairs>
  <TitlesOfParts>
    <vt:vector size="1" baseType="lpstr">
      <vt:lpstr>LI_ES_MTA_2022_Spring</vt:lpstr>
    </vt:vector>
  </TitlesOfParts>
  <Company>Treasury</Company>
  <LinksUpToDate>false</LinksUpToDate>
  <CharactersWithSpaces>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LI_ES_MTA_2022_Spring</dc:title>
  <dc:subject/>
  <dc:creator>Godfrey, Elizabeth</dc:creator>
  <cp:keywords>[SEC=OFFICIAL]</cp:keywords>
  <dc:description/>
  <cp:lastModifiedBy>Heng, Holly</cp:lastModifiedBy>
  <cp:revision>2</cp:revision>
  <cp:lastPrinted>2024-08-05T23:53:00Z</cp:lastPrinted>
  <dcterms:created xsi:type="dcterms:W3CDTF">2024-08-29T02:21:00Z</dcterms:created>
  <dcterms:modified xsi:type="dcterms:W3CDTF">2024-08-29T02:21:00Z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0x010100B7B479F47583304BA8B631462CC772D7009BC0ECC4E73FC344A9FCE4CB259EE32A</vt:lpwstr>
  </property>
  <property fmtid="{D5CDD505-2E9C-101B-9397-08002B2CF9AE}" pid="4" name="TSYRecordClass">
    <vt:lpwstr>1;#AE-20260-Destroy 7 years after action completed|623f5ec9-ec5d-4824-8e13-9c9bfc51fe7e</vt:lpwstr>
  </property>
  <property fmtid="{D5CDD505-2E9C-101B-9397-08002B2CF9AE}" pid="5" name="_dlc_DocIdItemGuid">
    <vt:lpwstr>f8bec899-fcb4-426c-b73a-e7df11eb2ec4</vt:lpwstr>
  </property>
  <property fmtid="{D5CDD505-2E9C-101B-9397-08002B2CF9AE}" pid="6" name="TSYTopic">
    <vt:lpwstr/>
  </property>
  <property fmtid="{D5CDD505-2E9C-101B-9397-08002B2CF9AE}" pid="7" name="PM_Namespace">
    <vt:lpwstr>gov.au</vt:lpwstr>
  </property>
  <property fmtid="{D5CDD505-2E9C-101B-9397-08002B2CF9AE}" pid="8" name="PM_Caveats_Count">
    <vt:lpwstr>0</vt:lpwstr>
  </property>
  <property fmtid="{D5CDD505-2E9C-101B-9397-08002B2CF9AE}" pid="9" name="PM_Version">
    <vt:lpwstr>2018.4</vt:lpwstr>
  </property>
  <property fmtid="{D5CDD505-2E9C-101B-9397-08002B2CF9AE}" pid="10" name="PM_Note">
    <vt:lpwstr/>
  </property>
  <property fmtid="{D5CDD505-2E9C-101B-9397-08002B2CF9AE}" pid="11" name="PM_Qualifier">
    <vt:lpwstr/>
  </property>
  <property fmtid="{D5CDD505-2E9C-101B-9397-08002B2CF9AE}" pid="12" name="PM_SecurityClassification">
    <vt:lpwstr>OFFICIAL</vt:lpwstr>
  </property>
  <property fmtid="{D5CDD505-2E9C-101B-9397-08002B2CF9AE}" pid="13" name="PM_ProtectiveMarkingValue_Header">
    <vt:lpwstr>OFFICIAL</vt:lpwstr>
  </property>
  <property fmtid="{D5CDD505-2E9C-101B-9397-08002B2CF9AE}" pid="14" name="PM_OriginationTimeStamp">
    <vt:lpwstr>2023-08-08T02:32:03Z</vt:lpwstr>
  </property>
  <property fmtid="{D5CDD505-2E9C-101B-9397-08002B2CF9AE}" pid="15" name="PM_Markers">
    <vt:lpwstr/>
  </property>
  <property fmtid="{D5CDD505-2E9C-101B-9397-08002B2CF9AE}" pid="16" name="MSIP_Label_87d6481e-ccdd-4ab6-8b26-05a0df5699e7_Name">
    <vt:lpwstr>OFFICIAL</vt:lpwstr>
  </property>
  <property fmtid="{D5CDD505-2E9C-101B-9397-08002B2CF9AE}" pid="17" name="MSIP_Label_87d6481e-ccdd-4ab6-8b26-05a0df5699e7_SiteId">
    <vt:lpwstr>08954cee-4782-4ff6-9ad5-1997dccef4b0</vt:lpwstr>
  </property>
  <property fmtid="{D5CDD505-2E9C-101B-9397-08002B2CF9AE}" pid="18" name="MSIP_Label_87d6481e-ccdd-4ab6-8b26-05a0df5699e7_Enabled">
    <vt:lpwstr>true</vt:lpwstr>
  </property>
  <property fmtid="{D5CDD505-2E9C-101B-9397-08002B2CF9AE}" pid="19" name="MSIP_Label_87d6481e-ccdd-4ab6-8b26-05a0df5699e7_SetDate">
    <vt:lpwstr>2023-08-08T02:32:03Z</vt:lpwstr>
  </property>
  <property fmtid="{D5CDD505-2E9C-101B-9397-08002B2CF9AE}" pid="20" name="MSIP_Label_87d6481e-ccdd-4ab6-8b26-05a0df5699e7_Method">
    <vt:lpwstr>Privileged</vt:lpwstr>
  </property>
  <property fmtid="{D5CDD505-2E9C-101B-9397-08002B2CF9AE}" pid="21" name="MSIP_Label_87d6481e-ccdd-4ab6-8b26-05a0df5699e7_ContentBits">
    <vt:lpwstr>0</vt:lpwstr>
  </property>
  <property fmtid="{D5CDD505-2E9C-101B-9397-08002B2CF9AE}" pid="22" name="PM_InsertionValue">
    <vt:lpwstr>OFFICIAL</vt:lpwstr>
  </property>
  <property fmtid="{D5CDD505-2E9C-101B-9397-08002B2CF9AE}" pid="23" name="PM_DisplayValueSecClassificationWithQualifier">
    <vt:lpwstr>OFFICIAL</vt:lpwstr>
  </property>
  <property fmtid="{D5CDD505-2E9C-101B-9397-08002B2CF9AE}" pid="24" name="PM_Originating_FileId">
    <vt:lpwstr>F4A1F5560FA8422BB26DE07C7F7ED005</vt:lpwstr>
  </property>
  <property fmtid="{D5CDD505-2E9C-101B-9397-08002B2CF9AE}" pid="25" name="PM_ProtectiveMarkingValue_Footer">
    <vt:lpwstr>OFFICIAL</vt:lpwstr>
  </property>
  <property fmtid="{D5CDD505-2E9C-101B-9397-08002B2CF9AE}" pid="26" name="PM_ProtectiveMarkingImage_Header">
    <vt:lpwstr>C:\Program Files\Common Files\janusNET Shared\janusSEAL\Images\DocumentSlashBlue.png</vt:lpwstr>
  </property>
  <property fmtid="{D5CDD505-2E9C-101B-9397-08002B2CF9AE}" pid="27" name="PM_ProtectiveMarkingImage_Footer">
    <vt:lpwstr>C:\Program Files\Common Files\janusNET Shared\janusSEAL\Images\DocumentSlashBlue.png</vt:lpwstr>
  </property>
  <property fmtid="{D5CDD505-2E9C-101B-9397-08002B2CF9AE}" pid="28" name="PM_Display">
    <vt:lpwstr>OFFICIAL</vt:lpwstr>
  </property>
  <property fmtid="{D5CDD505-2E9C-101B-9397-08002B2CF9AE}" pid="29" name="PM_OriginatorDomainName_SHA256">
    <vt:lpwstr>325440F6CA31C4C3BCE4433552DC42928CAAD3E2731ABE35FDE729ECEB763AF0</vt:lpwstr>
  </property>
  <property fmtid="{D5CDD505-2E9C-101B-9397-08002B2CF9AE}" pid="30" name="PMUuid">
    <vt:lpwstr>v=2022.2;d=gov.au;g=46DD6D7C-8107-577B-BC6E-F348953B2E44</vt:lpwstr>
  </property>
  <property fmtid="{D5CDD505-2E9C-101B-9397-08002B2CF9AE}" pid="31" name="PM_Hash_Version">
    <vt:lpwstr>2022.1</vt:lpwstr>
  </property>
  <property fmtid="{D5CDD505-2E9C-101B-9397-08002B2CF9AE}" pid="32" name="PM_SecurityClassification_Prev">
    <vt:lpwstr>OFFICIAL</vt:lpwstr>
  </property>
  <property fmtid="{D5CDD505-2E9C-101B-9397-08002B2CF9AE}" pid="33" name="PM_Qualifier_Prev">
    <vt:lpwstr/>
  </property>
  <property fmtid="{D5CDD505-2E9C-101B-9397-08002B2CF9AE}" pid="34" name="TaxKeyword">
    <vt:lpwstr>30;#[SEC=OFFICIAL]|07351cc0-de73-4913-be2f-56f124cbf8bb</vt:lpwstr>
  </property>
  <property fmtid="{D5CDD505-2E9C-101B-9397-08002B2CF9AE}" pid="35" name="About Entity">
    <vt:lpwstr>1;#Department of Finance|fd660e8f-8f31-49bd-92a3-d31d4da31afe</vt:lpwstr>
  </property>
  <property fmtid="{D5CDD505-2E9C-101B-9397-08002B2CF9AE}" pid="36" name="Initiating Entity">
    <vt:lpwstr>1;#Department of Finance|fd660e8f-8f31-49bd-92a3-d31d4da31afe</vt:lpwstr>
  </property>
  <property fmtid="{D5CDD505-2E9C-101B-9397-08002B2CF9AE}" pid="37" name="Organisation Unit">
    <vt:lpwstr/>
  </property>
  <property fmtid="{D5CDD505-2E9C-101B-9397-08002B2CF9AE}" pid="38" name="Function and Activity">
    <vt:lpwstr/>
  </property>
  <property fmtid="{D5CDD505-2E9C-101B-9397-08002B2CF9AE}" pid="39" name="PMHMAC">
    <vt:lpwstr>v=2022.1;a=SHA256;h=D5795EFB16BF11BB497E529A53EC7C62F8B2BBAA1CB0DF1BB47E9FEE9CE8A3EE</vt:lpwstr>
  </property>
  <property fmtid="{D5CDD505-2E9C-101B-9397-08002B2CF9AE}" pid="40" name="MSIP_Label_87d6481e-ccdd-4ab6-8b26-05a0df5699e7_ActionId">
    <vt:lpwstr>8342fb75eda3460f954cc83f6bfddbf0</vt:lpwstr>
  </property>
  <property fmtid="{D5CDD505-2E9C-101B-9397-08002B2CF9AE}" pid="41" name="PM_Hash_Salt_Prev">
    <vt:lpwstr>AF0DB3E3975EC06B97890E9F66E49996</vt:lpwstr>
  </property>
  <property fmtid="{D5CDD505-2E9C-101B-9397-08002B2CF9AE}" pid="42" name="PM_Hash_Salt">
    <vt:lpwstr>DF0D3547370FFBE7352E5577A9E257ED</vt:lpwstr>
  </property>
  <property fmtid="{D5CDD505-2E9C-101B-9397-08002B2CF9AE}" pid="43" name="PM_Hash_SHA1">
    <vt:lpwstr>6D12D848D1734C502F9E98DBAF83D0EEF96E8536</vt:lpwstr>
  </property>
  <property fmtid="{D5CDD505-2E9C-101B-9397-08002B2CF9AE}" pid="44" name="PM_OriginatorUserAccountName_SHA256">
    <vt:lpwstr>BA693377AE7B04E47C1FEBAFAE175F52515476277B840E36EA14C110A895D4B0</vt:lpwstr>
  </property>
  <property fmtid="{D5CDD505-2E9C-101B-9397-08002B2CF9AE}" pid="45" name="PM_Originator_Hash_SHA1">
    <vt:lpwstr>726DF4033D8429A87AB98662AD99B21E3883B801</vt:lpwstr>
  </property>
</Properties>
</file>