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C57786" w14:textId="77777777" w:rsidR="000F714F" w:rsidRDefault="000F714F" w:rsidP="00D84FC2">
      <w:r>
        <w:rPr>
          <w:noProof/>
          <w:lang w:eastAsia="en-AU"/>
        </w:rPr>
        <w:drawing>
          <wp:inline distT="0" distB="0" distL="0" distR="0" wp14:anchorId="66344BA8" wp14:editId="3025D0DA">
            <wp:extent cx="1419225" cy="1104900"/>
            <wp:effectExtent l="0" t="0" r="9525" b="0"/>
            <wp:docPr id="2" name="Picture 2" descr="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ommonwealth Coat of Arm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19225" cy="1104900"/>
                    </a:xfrm>
                    <a:prstGeom prst="rect">
                      <a:avLst/>
                    </a:prstGeom>
                    <a:noFill/>
                    <a:ln>
                      <a:noFill/>
                    </a:ln>
                  </pic:spPr>
                </pic:pic>
              </a:graphicData>
            </a:graphic>
          </wp:inline>
        </w:drawing>
      </w:r>
    </w:p>
    <w:p w14:paraId="0023E077" w14:textId="7DEB6C23" w:rsidR="009E608E" w:rsidRPr="00BE04FC" w:rsidRDefault="005A46D1" w:rsidP="0048407B">
      <w:pPr>
        <w:spacing w:before="480" w:after="120"/>
        <w:ind w:right="96"/>
        <w:rPr>
          <w:rFonts w:ascii="Times New Roman" w:hAnsi="Times New Roman"/>
          <w:b/>
          <w:sz w:val="40"/>
          <w:szCs w:val="28"/>
          <w:lang w:val="en-US"/>
        </w:rPr>
      </w:pPr>
      <w:r w:rsidRPr="005A46D1">
        <w:rPr>
          <w:rFonts w:cs="Arial"/>
          <w:b/>
          <w:bCs/>
          <w:sz w:val="40"/>
          <w:szCs w:val="28"/>
          <w:lang w:val="en-US"/>
        </w:rPr>
        <w:t xml:space="preserve">Banking, Insurance, Life Insurance, Health Insurance and Superannuation (prudential standard) </w:t>
      </w:r>
      <w:r w:rsidR="009301C0">
        <w:rPr>
          <w:rFonts w:cs="Arial"/>
          <w:b/>
          <w:bCs/>
          <w:sz w:val="40"/>
          <w:szCs w:val="28"/>
          <w:lang w:val="en-US"/>
        </w:rPr>
        <w:t>variation</w:t>
      </w:r>
      <w:r w:rsidRPr="005A46D1">
        <w:rPr>
          <w:rFonts w:cs="Arial"/>
          <w:b/>
          <w:bCs/>
          <w:sz w:val="40"/>
          <w:szCs w:val="28"/>
          <w:lang w:val="en-US"/>
        </w:rPr>
        <w:t xml:space="preserve"> No. </w:t>
      </w:r>
      <w:r w:rsidR="00CA0BAB">
        <w:rPr>
          <w:rFonts w:cs="Arial"/>
          <w:b/>
          <w:bCs/>
          <w:sz w:val="40"/>
          <w:szCs w:val="28"/>
          <w:lang w:val="en-US"/>
        </w:rPr>
        <w:t xml:space="preserve">1 </w:t>
      </w:r>
      <w:r w:rsidR="009E608E" w:rsidRPr="00BE04FC">
        <w:rPr>
          <w:rFonts w:cs="Arial"/>
          <w:b/>
          <w:bCs/>
          <w:sz w:val="40"/>
          <w:szCs w:val="28"/>
          <w:lang w:val="en-US"/>
        </w:rPr>
        <w:t xml:space="preserve">of </w:t>
      </w:r>
      <w:r>
        <w:rPr>
          <w:rFonts w:cs="Arial"/>
          <w:b/>
          <w:bCs/>
          <w:sz w:val="40"/>
          <w:szCs w:val="28"/>
          <w:lang w:val="en-US"/>
        </w:rPr>
        <w:t>2024</w:t>
      </w:r>
      <w:r w:rsidR="009E608E" w:rsidRPr="00BE04FC">
        <w:rPr>
          <w:rFonts w:cs="Arial"/>
          <w:b/>
          <w:bCs/>
          <w:sz w:val="40"/>
          <w:szCs w:val="28"/>
          <w:lang w:val="en-US"/>
        </w:rPr>
        <w:t xml:space="preserve"> </w:t>
      </w:r>
    </w:p>
    <w:p w14:paraId="7B66D5AC" w14:textId="0F3A18EE" w:rsidR="009E608E" w:rsidRPr="005A46D1" w:rsidRDefault="00534C43" w:rsidP="00882CE9">
      <w:pPr>
        <w:numPr>
          <w:ilvl w:val="0"/>
          <w:numId w:val="0"/>
        </w:numPr>
        <w:spacing w:before="360"/>
        <w:jc w:val="left"/>
        <w:rPr>
          <w:rFonts w:ascii="Times New Roman" w:hAnsi="Times New Roman"/>
          <w:b/>
          <w:sz w:val="28"/>
          <w:szCs w:val="28"/>
          <w:lang w:val="en-US"/>
        </w:rPr>
      </w:pPr>
      <w:r w:rsidRPr="005A46D1">
        <w:rPr>
          <w:b/>
          <w:sz w:val="28"/>
          <w:szCs w:val="28"/>
        </w:rPr>
        <w:t>Prudential Standard CPS 230 Operational Risk</w:t>
      </w:r>
      <w:r>
        <w:rPr>
          <w:b/>
          <w:sz w:val="28"/>
          <w:szCs w:val="28"/>
        </w:rPr>
        <w:t xml:space="preserve"> </w:t>
      </w:r>
      <w:r w:rsidRPr="005A46D1">
        <w:rPr>
          <w:b/>
          <w:sz w:val="28"/>
          <w:szCs w:val="28"/>
        </w:rPr>
        <w:t>Managemen</w:t>
      </w:r>
      <w:r>
        <w:rPr>
          <w:b/>
          <w:sz w:val="28"/>
          <w:szCs w:val="28"/>
        </w:rPr>
        <w:t>t</w:t>
      </w:r>
    </w:p>
    <w:p w14:paraId="70462B86" w14:textId="5B78E877" w:rsidR="0000010D" w:rsidRPr="0000010D" w:rsidRDefault="0000010D" w:rsidP="0000010D">
      <w:pPr>
        <w:pBdr>
          <w:bottom w:val="single" w:sz="4" w:space="1" w:color="000000" w:themeColor="text1"/>
        </w:pBdr>
        <w:spacing w:before="360"/>
        <w:contextualSpacing/>
        <w:jc w:val="left"/>
        <w:rPr>
          <w:rFonts w:cs="Arial"/>
          <w:i/>
          <w:iCs/>
          <w:sz w:val="28"/>
          <w:szCs w:val="28"/>
          <w:lang w:val="en-US"/>
        </w:rPr>
      </w:pPr>
      <w:r w:rsidRPr="0000010D">
        <w:rPr>
          <w:rFonts w:cs="Arial"/>
          <w:i/>
          <w:iCs/>
          <w:sz w:val="28"/>
          <w:szCs w:val="28"/>
          <w:lang w:val="en-US"/>
        </w:rPr>
        <w:t>Banking Act 1959</w:t>
      </w:r>
    </w:p>
    <w:p w14:paraId="4F00A8A4" w14:textId="77777777" w:rsidR="0000010D" w:rsidRPr="0000010D" w:rsidRDefault="0000010D" w:rsidP="0000010D">
      <w:pPr>
        <w:pBdr>
          <w:bottom w:val="single" w:sz="4" w:space="1" w:color="000000" w:themeColor="text1"/>
        </w:pBdr>
        <w:spacing w:before="360"/>
        <w:contextualSpacing/>
        <w:jc w:val="left"/>
        <w:rPr>
          <w:rFonts w:cs="Arial"/>
          <w:i/>
          <w:iCs/>
          <w:sz w:val="28"/>
          <w:szCs w:val="28"/>
          <w:lang w:val="en-US"/>
        </w:rPr>
      </w:pPr>
      <w:r w:rsidRPr="0000010D">
        <w:rPr>
          <w:rFonts w:cs="Arial"/>
          <w:i/>
          <w:iCs/>
          <w:sz w:val="28"/>
          <w:szCs w:val="28"/>
          <w:lang w:val="en-US"/>
        </w:rPr>
        <w:t>Insurance Act 1973</w:t>
      </w:r>
    </w:p>
    <w:p w14:paraId="67528A3F" w14:textId="77777777" w:rsidR="0000010D" w:rsidRPr="0000010D" w:rsidRDefault="0000010D" w:rsidP="0000010D">
      <w:pPr>
        <w:pBdr>
          <w:bottom w:val="single" w:sz="4" w:space="1" w:color="000000" w:themeColor="text1"/>
        </w:pBdr>
        <w:spacing w:before="360"/>
        <w:contextualSpacing/>
        <w:jc w:val="left"/>
        <w:rPr>
          <w:rFonts w:cs="Arial"/>
          <w:i/>
          <w:iCs/>
          <w:sz w:val="28"/>
          <w:szCs w:val="28"/>
          <w:lang w:val="en-US"/>
        </w:rPr>
      </w:pPr>
      <w:r w:rsidRPr="0000010D">
        <w:rPr>
          <w:rFonts w:cs="Arial"/>
          <w:i/>
          <w:iCs/>
          <w:sz w:val="28"/>
          <w:szCs w:val="28"/>
          <w:lang w:val="en-US"/>
        </w:rPr>
        <w:t>Life Insurance Act 1995</w:t>
      </w:r>
    </w:p>
    <w:p w14:paraId="648E7797" w14:textId="77777777" w:rsidR="0000010D" w:rsidRPr="0000010D" w:rsidRDefault="0000010D" w:rsidP="0000010D">
      <w:pPr>
        <w:pBdr>
          <w:bottom w:val="single" w:sz="4" w:space="1" w:color="000000" w:themeColor="text1"/>
        </w:pBdr>
        <w:spacing w:before="360"/>
        <w:contextualSpacing/>
        <w:jc w:val="left"/>
        <w:rPr>
          <w:rFonts w:cs="Arial"/>
          <w:i/>
          <w:iCs/>
          <w:sz w:val="28"/>
          <w:szCs w:val="28"/>
          <w:lang w:val="en-US"/>
        </w:rPr>
      </w:pPr>
      <w:r w:rsidRPr="0000010D">
        <w:rPr>
          <w:rFonts w:cs="Arial"/>
          <w:i/>
          <w:iCs/>
          <w:sz w:val="28"/>
          <w:szCs w:val="28"/>
          <w:lang w:val="en-US"/>
        </w:rPr>
        <w:t>Private Health Insurance (Prudential Supervision) Act 2015</w:t>
      </w:r>
    </w:p>
    <w:p w14:paraId="5EB3FEEC" w14:textId="046CC2C6" w:rsidR="0000010D" w:rsidRPr="0000010D" w:rsidRDefault="0000010D" w:rsidP="0000010D">
      <w:pPr>
        <w:pBdr>
          <w:bottom w:val="single" w:sz="4" w:space="1" w:color="000000" w:themeColor="text1"/>
        </w:pBdr>
        <w:spacing w:before="360"/>
        <w:contextualSpacing/>
        <w:jc w:val="left"/>
        <w:rPr>
          <w:rFonts w:cs="Arial"/>
          <w:i/>
          <w:iCs/>
          <w:sz w:val="28"/>
          <w:szCs w:val="28"/>
          <w:lang w:val="en-US"/>
        </w:rPr>
      </w:pPr>
      <w:r w:rsidRPr="0000010D">
        <w:rPr>
          <w:rFonts w:cs="Arial"/>
          <w:i/>
          <w:iCs/>
          <w:sz w:val="28"/>
          <w:szCs w:val="28"/>
          <w:lang w:val="en-US"/>
        </w:rPr>
        <w:t>Superannuation Industry (Supervision) Act 1993</w:t>
      </w:r>
    </w:p>
    <w:p w14:paraId="0430A833" w14:textId="77777777" w:rsidR="00FE2CC9" w:rsidRDefault="00FE2CC9" w:rsidP="009E608E">
      <w:pPr>
        <w:spacing w:after="0"/>
        <w:rPr>
          <w:rFonts w:cs="Arial"/>
        </w:rPr>
      </w:pPr>
    </w:p>
    <w:p w14:paraId="2A9C82CE" w14:textId="5416BDB1" w:rsidR="009E608E" w:rsidRPr="00EF0BB3" w:rsidRDefault="009E608E" w:rsidP="003C3EFC">
      <w:pPr>
        <w:numPr>
          <w:ilvl w:val="0"/>
          <w:numId w:val="0"/>
        </w:numPr>
        <w:spacing w:after="0"/>
        <w:rPr>
          <w:rFonts w:cs="Arial"/>
        </w:rPr>
      </w:pPr>
      <w:r w:rsidRPr="00693371">
        <w:rPr>
          <w:rFonts w:cs="Arial"/>
        </w:rPr>
        <w:t xml:space="preserve">I, </w:t>
      </w:r>
      <w:r w:rsidR="00882CE9">
        <w:rPr>
          <w:rFonts w:cs="Arial"/>
        </w:rPr>
        <w:t>John Lonsdale</w:t>
      </w:r>
      <w:r w:rsidRPr="00693371">
        <w:rPr>
          <w:rFonts w:cs="Arial"/>
        </w:rPr>
        <w:t xml:space="preserve">, </w:t>
      </w:r>
      <w:r w:rsidR="00691CAD">
        <w:rPr>
          <w:rFonts w:cs="Arial"/>
        </w:rPr>
        <w:t>a delegate of APRA</w:t>
      </w:r>
      <w:r w:rsidR="00EF0BB3">
        <w:rPr>
          <w:rFonts w:cs="Arial"/>
        </w:rPr>
        <w:t xml:space="preserve">, </w:t>
      </w:r>
      <w:r w:rsidR="00EF0BB3" w:rsidRPr="00EF0BB3">
        <w:rPr>
          <w:rFonts w:cs="Arial"/>
        </w:rPr>
        <w:t xml:space="preserve">under </w:t>
      </w:r>
      <w:r w:rsidR="008F44EF">
        <w:rPr>
          <w:rFonts w:cs="Arial"/>
        </w:rPr>
        <w:t>subsections</w:t>
      </w:r>
      <w:r w:rsidR="00EF0BB3" w:rsidRPr="00EF0BB3">
        <w:rPr>
          <w:rFonts w:cs="Arial"/>
        </w:rPr>
        <w:t xml:space="preserve"> 11AF(</w:t>
      </w:r>
      <w:r w:rsidR="0000010D">
        <w:rPr>
          <w:rFonts w:cs="Arial"/>
        </w:rPr>
        <w:t>3</w:t>
      </w:r>
      <w:r w:rsidR="00EF0BB3" w:rsidRPr="00EF0BB3">
        <w:rPr>
          <w:rFonts w:cs="Arial"/>
        </w:rPr>
        <w:t xml:space="preserve">) </w:t>
      </w:r>
      <w:r w:rsidR="008F44EF">
        <w:rPr>
          <w:rFonts w:cs="Arial"/>
        </w:rPr>
        <w:t xml:space="preserve">of the </w:t>
      </w:r>
      <w:r w:rsidR="0000010D" w:rsidRPr="003C3EFC">
        <w:rPr>
          <w:rFonts w:cs="Arial"/>
          <w:i/>
        </w:rPr>
        <w:t>Banking Act</w:t>
      </w:r>
      <w:r w:rsidR="008F44EF" w:rsidRPr="003C3EFC">
        <w:rPr>
          <w:rFonts w:cs="Arial"/>
          <w:i/>
        </w:rPr>
        <w:t xml:space="preserve"> 1959</w:t>
      </w:r>
      <w:r w:rsidR="0000010D" w:rsidRPr="0000010D">
        <w:rPr>
          <w:rFonts w:cs="Arial"/>
        </w:rPr>
        <w:t xml:space="preserve">, 32(4) of the </w:t>
      </w:r>
      <w:r w:rsidR="0000010D" w:rsidRPr="003C3EFC">
        <w:rPr>
          <w:rFonts w:cs="Arial"/>
          <w:i/>
        </w:rPr>
        <w:t>Insurance Act</w:t>
      </w:r>
      <w:r w:rsidR="008F44EF" w:rsidRPr="003C3EFC">
        <w:rPr>
          <w:rFonts w:cs="Arial"/>
          <w:i/>
        </w:rPr>
        <w:t xml:space="preserve"> 1973</w:t>
      </w:r>
      <w:r w:rsidR="0000010D" w:rsidRPr="0000010D">
        <w:rPr>
          <w:rFonts w:cs="Arial"/>
        </w:rPr>
        <w:t xml:space="preserve">, 230A(5) of the </w:t>
      </w:r>
      <w:r w:rsidR="0000010D" w:rsidRPr="003C3EFC">
        <w:rPr>
          <w:rFonts w:cs="Arial"/>
          <w:i/>
        </w:rPr>
        <w:t>Life Insurance Act</w:t>
      </w:r>
      <w:r w:rsidR="008F44EF" w:rsidRPr="003C3EFC">
        <w:rPr>
          <w:rFonts w:cs="Arial"/>
          <w:i/>
        </w:rPr>
        <w:t xml:space="preserve"> 1995</w:t>
      </w:r>
      <w:r w:rsidR="0000010D" w:rsidRPr="0000010D">
        <w:rPr>
          <w:rFonts w:cs="Arial"/>
        </w:rPr>
        <w:t xml:space="preserve">, 92(5) of the </w:t>
      </w:r>
      <w:r w:rsidR="008F44EF" w:rsidRPr="00006DD0">
        <w:rPr>
          <w:rFonts w:cs="Arial"/>
          <w:i/>
        </w:rPr>
        <w:t>Private Health Insurance (Prudential Supervision) Act 2015</w:t>
      </w:r>
      <w:r w:rsidR="0000010D" w:rsidRPr="00006DD0">
        <w:rPr>
          <w:rFonts w:cs="Arial"/>
        </w:rPr>
        <w:t xml:space="preserve"> and 34C(6) of the </w:t>
      </w:r>
      <w:r w:rsidR="00006DD0" w:rsidRPr="006B4641">
        <w:rPr>
          <w:rFonts w:asciiTheme="majorHAnsi" w:hAnsiTheme="majorHAnsi" w:cstheme="majorHAnsi"/>
          <w:i/>
        </w:rPr>
        <w:t>Superannuation Industry (Supervision) Act 1993</w:t>
      </w:r>
      <w:r w:rsidR="0000010D" w:rsidRPr="00006DD0">
        <w:rPr>
          <w:rFonts w:cs="Arial"/>
        </w:rPr>
        <w:t xml:space="preserve">, VARY </w:t>
      </w:r>
      <w:r w:rsidR="0000010D" w:rsidRPr="00006DD0">
        <w:rPr>
          <w:rFonts w:cs="Arial"/>
          <w:i/>
        </w:rPr>
        <w:t>Banking, Insurance, Life Insurance, Health Insurance and Superannuation (prudential standard) determination No. 2 of 2023</w:t>
      </w:r>
      <w:r w:rsidR="0062214B" w:rsidRPr="0062214B">
        <w:rPr>
          <w:rFonts w:cs="Arial"/>
        </w:rPr>
        <w:t>,</w:t>
      </w:r>
      <w:r w:rsidR="0000010D" w:rsidRPr="00006DD0">
        <w:rPr>
          <w:rFonts w:cs="Arial"/>
        </w:rPr>
        <w:t xml:space="preserve"> including </w:t>
      </w:r>
      <w:r w:rsidR="0000010D" w:rsidRPr="00006DD0">
        <w:rPr>
          <w:rFonts w:cs="Arial"/>
          <w:i/>
        </w:rPr>
        <w:t xml:space="preserve">Prudential Standard </w:t>
      </w:r>
      <w:r w:rsidR="00B45687">
        <w:rPr>
          <w:rFonts w:cs="Arial"/>
          <w:i/>
        </w:rPr>
        <w:t xml:space="preserve">CPS </w:t>
      </w:r>
      <w:r w:rsidR="0000010D" w:rsidRPr="00006DD0">
        <w:rPr>
          <w:rFonts w:cs="Arial"/>
          <w:i/>
        </w:rPr>
        <w:t>230 Operational Risk Management</w:t>
      </w:r>
      <w:r w:rsidR="00077897" w:rsidRPr="00006DD0">
        <w:rPr>
          <w:rFonts w:cs="Arial"/>
        </w:rPr>
        <w:t xml:space="preserve">, in the manner set out in the </w:t>
      </w:r>
      <w:r w:rsidR="007A7714">
        <w:rPr>
          <w:rFonts w:cs="Arial"/>
        </w:rPr>
        <w:t>s</w:t>
      </w:r>
      <w:r w:rsidR="00077897" w:rsidRPr="00006DD0">
        <w:rPr>
          <w:rFonts w:cs="Arial"/>
        </w:rPr>
        <w:t>chedule</w:t>
      </w:r>
      <w:r w:rsidR="00EF0BB3" w:rsidRPr="00006DD0">
        <w:rPr>
          <w:rFonts w:cs="Arial"/>
        </w:rPr>
        <w:t>.</w:t>
      </w:r>
    </w:p>
    <w:p w14:paraId="79194A59" w14:textId="77777777" w:rsidR="003C3EFC" w:rsidRDefault="003C3EFC" w:rsidP="00DD5DAC">
      <w:pPr>
        <w:spacing w:after="0"/>
        <w:rPr>
          <w:rFonts w:cs="Arial"/>
          <w:lang w:val="en-US"/>
        </w:rPr>
      </w:pPr>
    </w:p>
    <w:p w14:paraId="5152D8E6" w14:textId="501963DF" w:rsidR="009E608E" w:rsidRPr="00DD5DAC" w:rsidRDefault="00077897" w:rsidP="00DD5DAC">
      <w:pPr>
        <w:spacing w:after="0"/>
        <w:rPr>
          <w:rFonts w:cs="Arial"/>
          <w:lang w:val="en-US"/>
        </w:rPr>
      </w:pPr>
      <w:r w:rsidRPr="00077897">
        <w:rPr>
          <w:rFonts w:cs="Arial"/>
          <w:lang w:val="en-US"/>
        </w:rPr>
        <w:t>This instrument commences on 1 July 2025.</w:t>
      </w:r>
    </w:p>
    <w:p w14:paraId="7257D501" w14:textId="77777777" w:rsidR="009E608E" w:rsidRDefault="009E608E" w:rsidP="00D868B3">
      <w:pPr>
        <w:numPr>
          <w:ilvl w:val="0"/>
          <w:numId w:val="0"/>
        </w:numPr>
        <w:spacing w:after="0"/>
        <w:rPr>
          <w:rFonts w:cs="Arial"/>
          <w:spacing w:val="-8"/>
          <w:lang w:val="en-US"/>
        </w:rPr>
      </w:pPr>
    </w:p>
    <w:p w14:paraId="289B1FF4" w14:textId="3A1D286C" w:rsidR="00D868B3" w:rsidRDefault="00D868B3" w:rsidP="00D868B3">
      <w:pPr>
        <w:numPr>
          <w:ilvl w:val="0"/>
          <w:numId w:val="0"/>
        </w:numPr>
        <w:spacing w:after="0"/>
        <w:rPr>
          <w:rFonts w:cs="Arial"/>
          <w:spacing w:val="-8"/>
          <w:lang w:val="en-US"/>
        </w:rPr>
      </w:pPr>
      <w:r>
        <w:rPr>
          <w:rFonts w:cs="Arial"/>
          <w:spacing w:val="-8"/>
          <w:lang w:val="en-US"/>
        </w:rPr>
        <w:t>Dated: 30 August 2024</w:t>
      </w:r>
    </w:p>
    <w:p w14:paraId="4030DC2C" w14:textId="77777777" w:rsidR="00D868B3" w:rsidRDefault="00D868B3" w:rsidP="00D868B3">
      <w:pPr>
        <w:numPr>
          <w:ilvl w:val="0"/>
          <w:numId w:val="0"/>
        </w:numPr>
        <w:spacing w:after="0"/>
        <w:rPr>
          <w:rFonts w:cs="Arial"/>
          <w:spacing w:val="-8"/>
          <w:lang w:val="en-US"/>
        </w:rPr>
      </w:pPr>
    </w:p>
    <w:p w14:paraId="73073F96" w14:textId="686D7F5F" w:rsidR="00D868B3" w:rsidRDefault="00D868B3" w:rsidP="00D868B3">
      <w:pPr>
        <w:numPr>
          <w:ilvl w:val="0"/>
          <w:numId w:val="0"/>
        </w:numPr>
        <w:spacing w:after="0"/>
        <w:rPr>
          <w:rFonts w:cs="Arial"/>
          <w:spacing w:val="-8"/>
          <w:lang w:val="en-US"/>
        </w:rPr>
      </w:pPr>
      <w:r>
        <w:rPr>
          <w:rFonts w:cs="Arial"/>
          <w:spacing w:val="-8"/>
          <w:lang w:val="en-US"/>
        </w:rPr>
        <w:t>John Lonsdale</w:t>
      </w:r>
    </w:p>
    <w:p w14:paraId="103B947F" w14:textId="4DE213DF" w:rsidR="00D868B3" w:rsidRDefault="00D868B3" w:rsidP="00D868B3">
      <w:pPr>
        <w:numPr>
          <w:ilvl w:val="0"/>
          <w:numId w:val="0"/>
        </w:numPr>
        <w:spacing w:after="0"/>
        <w:rPr>
          <w:rFonts w:cs="Arial"/>
          <w:spacing w:val="-8"/>
          <w:lang w:val="en-US"/>
        </w:rPr>
      </w:pPr>
      <w:r>
        <w:rPr>
          <w:rFonts w:cs="Arial"/>
          <w:spacing w:val="-8"/>
          <w:lang w:val="en-US"/>
        </w:rPr>
        <w:t>Chair</w:t>
      </w:r>
    </w:p>
    <w:p w14:paraId="161A6AAB" w14:textId="13F6DAE7" w:rsidR="00D868B3" w:rsidRDefault="00D868B3" w:rsidP="00D868B3">
      <w:pPr>
        <w:numPr>
          <w:ilvl w:val="0"/>
          <w:numId w:val="0"/>
        </w:numPr>
        <w:spacing w:after="0"/>
        <w:rPr>
          <w:rFonts w:cs="Arial"/>
          <w:spacing w:val="-8"/>
          <w:lang w:val="en-US"/>
        </w:rPr>
      </w:pPr>
      <w:r>
        <w:rPr>
          <w:rFonts w:cs="Arial"/>
          <w:spacing w:val="-8"/>
          <w:lang w:val="en-US"/>
        </w:rPr>
        <w:t>APRA</w:t>
      </w:r>
    </w:p>
    <w:p w14:paraId="68F057B6" w14:textId="77777777" w:rsidR="00077897" w:rsidRPr="00C3650A" w:rsidRDefault="00077897" w:rsidP="00077897">
      <w:pPr>
        <w:spacing w:before="480" w:after="0"/>
        <w:rPr>
          <w:rFonts w:asciiTheme="majorHAnsi" w:hAnsiTheme="majorHAnsi" w:cstheme="majorHAnsi"/>
          <w:b/>
        </w:rPr>
      </w:pPr>
      <w:r w:rsidRPr="005C3B90">
        <w:rPr>
          <w:rFonts w:asciiTheme="majorHAnsi" w:hAnsiTheme="majorHAnsi" w:cstheme="majorHAnsi"/>
          <w:b/>
        </w:rPr>
        <w:t>Interpretation</w:t>
      </w:r>
    </w:p>
    <w:p w14:paraId="6761CEE3" w14:textId="6CC717C9" w:rsidR="00077897" w:rsidRPr="005C3B90" w:rsidRDefault="00077897" w:rsidP="00077897">
      <w:pPr>
        <w:spacing w:before="120" w:after="0"/>
        <w:rPr>
          <w:rFonts w:asciiTheme="majorHAnsi" w:hAnsiTheme="majorHAnsi" w:cstheme="majorHAnsi"/>
        </w:rPr>
      </w:pPr>
      <w:r w:rsidRPr="005C3B90">
        <w:rPr>
          <w:rFonts w:asciiTheme="majorHAnsi" w:hAnsiTheme="majorHAnsi" w:cstheme="majorHAnsi"/>
        </w:rPr>
        <w:t xml:space="preserve">In this </w:t>
      </w:r>
      <w:r w:rsidR="00D415F6">
        <w:rPr>
          <w:rFonts w:asciiTheme="majorHAnsi" w:hAnsiTheme="majorHAnsi" w:cstheme="majorHAnsi"/>
        </w:rPr>
        <w:t>instrument</w:t>
      </w:r>
      <w:r w:rsidRPr="005C3B90">
        <w:rPr>
          <w:rFonts w:asciiTheme="majorHAnsi" w:hAnsiTheme="majorHAnsi" w:cstheme="majorHAnsi"/>
        </w:rPr>
        <w:t>:</w:t>
      </w:r>
    </w:p>
    <w:p w14:paraId="038C3F28" w14:textId="77777777" w:rsidR="00077897" w:rsidRPr="005C3B90" w:rsidRDefault="00077897" w:rsidP="00077897">
      <w:pPr>
        <w:pStyle w:val="introto0"/>
        <w:shd w:val="clear" w:color="auto" w:fill="FFFFFF"/>
        <w:spacing w:before="120" w:beforeAutospacing="0" w:after="120" w:afterAutospacing="0"/>
        <w:jc w:val="both"/>
        <w:rPr>
          <w:rFonts w:asciiTheme="majorHAnsi" w:hAnsiTheme="majorHAnsi" w:cstheme="majorHAnsi"/>
          <w:color w:val="000000"/>
          <w:sz w:val="22"/>
          <w:szCs w:val="22"/>
        </w:rPr>
      </w:pPr>
      <w:r w:rsidRPr="005C3B90">
        <w:rPr>
          <w:rFonts w:asciiTheme="majorHAnsi" w:hAnsiTheme="majorHAnsi" w:cstheme="majorHAnsi"/>
          <w:b/>
          <w:i/>
          <w:color w:val="000000"/>
          <w:sz w:val="22"/>
          <w:szCs w:val="22"/>
        </w:rPr>
        <w:t>APRA</w:t>
      </w:r>
      <w:r w:rsidRPr="005C3B90">
        <w:rPr>
          <w:rFonts w:asciiTheme="majorHAnsi" w:hAnsiTheme="majorHAnsi" w:cstheme="majorHAnsi"/>
          <w:color w:val="000000"/>
          <w:sz w:val="22"/>
          <w:szCs w:val="22"/>
        </w:rPr>
        <w:t xml:space="preserve"> means the Australian Prudential Regulation Authority.</w:t>
      </w:r>
    </w:p>
    <w:p w14:paraId="60A59996" w14:textId="77777777" w:rsidR="00077897" w:rsidRDefault="00077897">
      <w:pPr>
        <w:numPr>
          <w:ilvl w:val="0"/>
          <w:numId w:val="0"/>
        </w:numPr>
        <w:rPr>
          <w:rFonts w:cs="Arial"/>
          <w:b/>
          <w:sz w:val="32"/>
          <w:szCs w:val="32"/>
        </w:rPr>
      </w:pPr>
      <w:r>
        <w:rPr>
          <w:rFonts w:cs="Arial"/>
          <w:b/>
          <w:sz w:val="32"/>
          <w:szCs w:val="32"/>
        </w:rPr>
        <w:br w:type="page"/>
      </w:r>
    </w:p>
    <w:p w14:paraId="7D721E9D" w14:textId="5229D8AF" w:rsidR="000F714F" w:rsidRDefault="000F714F" w:rsidP="00D75DA2">
      <w:pPr>
        <w:numPr>
          <w:ilvl w:val="0"/>
          <w:numId w:val="0"/>
        </w:numPr>
        <w:rPr>
          <w:rFonts w:cs="Arial"/>
          <w:b/>
          <w:sz w:val="32"/>
          <w:szCs w:val="32"/>
        </w:rPr>
      </w:pPr>
      <w:r w:rsidRPr="00327B69">
        <w:rPr>
          <w:rFonts w:cs="Arial"/>
          <w:b/>
          <w:sz w:val="32"/>
          <w:szCs w:val="32"/>
        </w:rPr>
        <w:lastRenderedPageBreak/>
        <w:t xml:space="preserve">Schedule </w:t>
      </w:r>
      <w:r w:rsidR="004723ED">
        <w:rPr>
          <w:rFonts w:cs="Arial"/>
          <w:b/>
          <w:sz w:val="32"/>
          <w:szCs w:val="32"/>
        </w:rPr>
        <w:t>–</w:t>
      </w:r>
      <w:r w:rsidR="00A41660">
        <w:rPr>
          <w:rFonts w:cs="Arial"/>
          <w:b/>
          <w:sz w:val="32"/>
          <w:szCs w:val="32"/>
        </w:rPr>
        <w:t xml:space="preserve"> </w:t>
      </w:r>
      <w:r w:rsidR="00B51D26">
        <w:rPr>
          <w:rFonts w:cs="Arial"/>
          <w:b/>
          <w:sz w:val="32"/>
          <w:szCs w:val="32"/>
        </w:rPr>
        <w:t>v</w:t>
      </w:r>
      <w:r w:rsidR="00077897" w:rsidRPr="00077897">
        <w:rPr>
          <w:rFonts w:cs="Arial"/>
          <w:b/>
          <w:sz w:val="32"/>
          <w:szCs w:val="32"/>
        </w:rPr>
        <w:t>ariation</w:t>
      </w:r>
      <w:r w:rsidR="00B51D26">
        <w:rPr>
          <w:rFonts w:cs="Arial"/>
          <w:b/>
          <w:sz w:val="32"/>
          <w:szCs w:val="32"/>
        </w:rPr>
        <w:t>s</w:t>
      </w:r>
    </w:p>
    <w:p w14:paraId="3B6AABC0" w14:textId="77777777" w:rsidR="0058682A" w:rsidRPr="00B11D0E" w:rsidRDefault="0058682A" w:rsidP="0058682A">
      <w:pPr>
        <w:pStyle w:val="List"/>
        <w:numPr>
          <w:ilvl w:val="0"/>
          <w:numId w:val="28"/>
        </w:numPr>
        <w:ind w:left="426" w:hanging="426"/>
        <w:rPr>
          <w:rFonts w:cs="Arial"/>
          <w:b/>
        </w:rPr>
      </w:pPr>
      <w:r w:rsidRPr="00B11D0E">
        <w:rPr>
          <w:rFonts w:cs="Arial"/>
          <w:b/>
        </w:rPr>
        <w:t>Application and commencement (heading)</w:t>
      </w:r>
    </w:p>
    <w:p w14:paraId="064BC676" w14:textId="6AFF772B" w:rsidR="0058682A" w:rsidRPr="00B11D0E" w:rsidRDefault="001602B0" w:rsidP="00E67C33">
      <w:pPr>
        <w:pStyle w:val="List"/>
        <w:numPr>
          <w:ilvl w:val="0"/>
          <w:numId w:val="0"/>
        </w:numPr>
        <w:ind w:left="567" w:hanging="141"/>
        <w:rPr>
          <w:rFonts w:cs="Arial"/>
        </w:rPr>
      </w:pPr>
      <w:r>
        <w:rPr>
          <w:rFonts w:cs="Arial"/>
        </w:rPr>
        <w:t>Omit</w:t>
      </w:r>
      <w:r w:rsidR="0058682A" w:rsidRPr="00B11D0E">
        <w:rPr>
          <w:rFonts w:cs="Arial"/>
        </w:rPr>
        <w:t xml:space="preserve"> the heading, substitute:</w:t>
      </w:r>
    </w:p>
    <w:p w14:paraId="24094AF3" w14:textId="77777777" w:rsidR="0058682A" w:rsidRPr="00B11D0E" w:rsidRDefault="0058682A" w:rsidP="00E67C33">
      <w:pPr>
        <w:pStyle w:val="List"/>
        <w:numPr>
          <w:ilvl w:val="0"/>
          <w:numId w:val="0"/>
        </w:numPr>
        <w:ind w:left="567" w:hanging="141"/>
        <w:rPr>
          <w:rFonts w:cs="Arial"/>
          <w:b/>
        </w:rPr>
      </w:pPr>
      <w:r w:rsidRPr="00B11D0E">
        <w:rPr>
          <w:rFonts w:cs="Arial"/>
          <w:b/>
        </w:rPr>
        <w:t>Application</w:t>
      </w:r>
    </w:p>
    <w:p w14:paraId="138D1AF5" w14:textId="77777777" w:rsidR="0058682A" w:rsidRPr="00B11D0E" w:rsidRDefault="0058682A" w:rsidP="0058682A">
      <w:pPr>
        <w:pStyle w:val="List"/>
        <w:numPr>
          <w:ilvl w:val="0"/>
          <w:numId w:val="28"/>
        </w:numPr>
        <w:ind w:left="426" w:hanging="426"/>
        <w:rPr>
          <w:rFonts w:cs="Arial"/>
          <w:b/>
        </w:rPr>
      </w:pPr>
      <w:r w:rsidRPr="00B11D0E">
        <w:rPr>
          <w:rFonts w:cs="Arial"/>
          <w:b/>
        </w:rPr>
        <w:t>Paragraphs 6 to 7</w:t>
      </w:r>
    </w:p>
    <w:p w14:paraId="274FD1D7" w14:textId="1A02877B" w:rsidR="0058682A" w:rsidRPr="00B11D0E" w:rsidRDefault="001602B0" w:rsidP="00F256CD">
      <w:pPr>
        <w:pStyle w:val="List"/>
        <w:numPr>
          <w:ilvl w:val="0"/>
          <w:numId w:val="0"/>
        </w:numPr>
        <w:ind w:left="425" w:firstLine="1"/>
        <w:rPr>
          <w:rFonts w:cs="Arial"/>
        </w:rPr>
      </w:pPr>
      <w:r>
        <w:rPr>
          <w:rFonts w:cs="Arial"/>
        </w:rPr>
        <w:t>Omit</w:t>
      </w:r>
      <w:r w:rsidR="0058682A" w:rsidRPr="00B11D0E">
        <w:rPr>
          <w:rFonts w:cs="Arial"/>
        </w:rPr>
        <w:t xml:space="preserve"> the paragraphs, substitute:</w:t>
      </w:r>
    </w:p>
    <w:p w14:paraId="3C31FEB8" w14:textId="77777777" w:rsidR="0058682A" w:rsidRPr="00B11D0E" w:rsidRDefault="0058682A" w:rsidP="00F256CD">
      <w:pPr>
        <w:pStyle w:val="List"/>
        <w:numPr>
          <w:ilvl w:val="0"/>
          <w:numId w:val="0"/>
        </w:numPr>
        <w:ind w:left="425" w:firstLine="1"/>
        <w:rPr>
          <w:rFonts w:cs="Arial"/>
        </w:rPr>
      </w:pPr>
      <w:r w:rsidRPr="00B11D0E">
        <w:rPr>
          <w:rFonts w:cs="Arial"/>
          <w:b/>
        </w:rPr>
        <w:t>Transitional Arrangements</w:t>
      </w:r>
    </w:p>
    <w:p w14:paraId="04627A59" w14:textId="77777777" w:rsidR="00D05D92" w:rsidRDefault="0058682A" w:rsidP="00D05D92">
      <w:pPr>
        <w:pStyle w:val="List"/>
        <w:numPr>
          <w:ilvl w:val="0"/>
          <w:numId w:val="29"/>
        </w:numPr>
        <w:ind w:left="851" w:hanging="425"/>
        <w:jc w:val="left"/>
        <w:rPr>
          <w:rFonts w:cs="Arial"/>
        </w:rPr>
      </w:pPr>
      <w:r w:rsidRPr="00B11D0E">
        <w:rPr>
          <w:rFonts w:cs="Arial"/>
        </w:rPr>
        <w:t>Where an APRA-regulated entity has pre-existing contractual arrangements in place with a service provider, the requirements in this Prudential Standard will apply in relation to those arrangements from the earlier of the next renewal date of the contract with the service provider or 1 July 2026.</w:t>
      </w:r>
    </w:p>
    <w:p w14:paraId="6C39F1AB" w14:textId="1E8AB101" w:rsidR="00366C3A" w:rsidRPr="0098275D" w:rsidRDefault="00366C3A" w:rsidP="00366C3A">
      <w:pPr>
        <w:pStyle w:val="List"/>
        <w:numPr>
          <w:ilvl w:val="0"/>
          <w:numId w:val="29"/>
        </w:numPr>
        <w:ind w:left="851" w:hanging="425"/>
        <w:jc w:val="left"/>
        <w:rPr>
          <w:rFonts w:asciiTheme="majorHAnsi" w:hAnsiTheme="majorHAnsi" w:cstheme="majorHAnsi"/>
          <w:lang w:eastAsia="en-AU"/>
        </w:rPr>
      </w:pPr>
      <w:r w:rsidRPr="00366C3A">
        <w:rPr>
          <w:rFonts w:cs="Arial"/>
        </w:rPr>
        <w:t>Deferred</w:t>
      </w:r>
      <w:r>
        <w:rPr>
          <w:lang w:eastAsia="en-AU"/>
        </w:rPr>
        <w:t xml:space="preserve"> </w:t>
      </w:r>
      <w:r w:rsidRPr="0098275D">
        <w:rPr>
          <w:rFonts w:asciiTheme="majorHAnsi" w:hAnsiTheme="majorHAnsi" w:cstheme="majorHAnsi"/>
          <w:lang w:eastAsia="en-AU"/>
        </w:rPr>
        <w:t xml:space="preserve">requirements apply to an APRA-regulated entity that is a </w:t>
      </w:r>
      <w:r w:rsidRPr="0098275D">
        <w:rPr>
          <w:rFonts w:asciiTheme="majorHAnsi" w:hAnsiTheme="majorHAnsi" w:cstheme="majorHAnsi"/>
          <w:b/>
          <w:lang w:eastAsia="en-AU"/>
        </w:rPr>
        <w:t>non-significant financial institution (non-SFI)</w:t>
      </w:r>
      <w:r w:rsidRPr="0098275D">
        <w:rPr>
          <w:rFonts w:asciiTheme="majorHAnsi" w:hAnsiTheme="majorHAnsi" w:cstheme="majorHAnsi"/>
          <w:lang w:eastAsia="en-AU"/>
        </w:rPr>
        <w:t xml:space="preserve"> from 1 July 2026. Despite the revocation of </w:t>
      </w:r>
      <w:r w:rsidRPr="0098275D">
        <w:rPr>
          <w:rFonts w:asciiTheme="majorHAnsi" w:hAnsiTheme="majorHAnsi" w:cstheme="majorHAnsi"/>
          <w:i/>
          <w:lang w:eastAsia="en-AU"/>
        </w:rPr>
        <w:t>Prudential Standard CPS 232 Business Continuity Management</w:t>
      </w:r>
      <w:r w:rsidRPr="0098275D">
        <w:rPr>
          <w:rFonts w:asciiTheme="majorHAnsi" w:hAnsiTheme="majorHAnsi" w:cstheme="majorHAnsi"/>
          <w:lang w:eastAsia="en-AU"/>
        </w:rPr>
        <w:t xml:space="preserve"> </w:t>
      </w:r>
      <w:r w:rsidR="00B47996">
        <w:rPr>
          <w:rFonts w:asciiTheme="majorHAnsi" w:hAnsiTheme="majorHAnsi" w:cstheme="majorHAnsi"/>
          <w:lang w:eastAsia="en-AU"/>
        </w:rPr>
        <w:t xml:space="preserve">(CPS 232) </w:t>
      </w:r>
      <w:r w:rsidRPr="0098275D">
        <w:rPr>
          <w:rFonts w:asciiTheme="majorHAnsi" w:hAnsiTheme="majorHAnsi" w:cstheme="majorHAnsi"/>
          <w:lang w:eastAsia="en-AU"/>
        </w:rPr>
        <w:t xml:space="preserve">and </w:t>
      </w:r>
      <w:r w:rsidRPr="0098275D">
        <w:rPr>
          <w:rFonts w:asciiTheme="majorHAnsi" w:hAnsiTheme="majorHAnsi" w:cstheme="majorHAnsi"/>
          <w:i/>
          <w:lang w:eastAsia="en-AU"/>
        </w:rPr>
        <w:t>Prudential Standard SPS 232 Business Continuity Management</w:t>
      </w:r>
      <w:r w:rsidRPr="0098275D">
        <w:rPr>
          <w:rFonts w:asciiTheme="majorHAnsi" w:hAnsiTheme="majorHAnsi" w:cstheme="majorHAnsi"/>
          <w:lang w:eastAsia="en-AU"/>
        </w:rPr>
        <w:t xml:space="preserve"> (SPS 232), existing requirements continue to apply to the relevant non-SFIs until 30 June 2026, as if that revocation had not happened.</w:t>
      </w:r>
    </w:p>
    <w:p w14:paraId="05F91640" w14:textId="77777777" w:rsidR="00366C3A" w:rsidRPr="0098275D" w:rsidRDefault="00366C3A" w:rsidP="00366C3A">
      <w:pPr>
        <w:numPr>
          <w:ilvl w:val="0"/>
          <w:numId w:val="0"/>
        </w:numPr>
        <w:ind w:left="425" w:firstLine="425"/>
        <w:rPr>
          <w:rFonts w:asciiTheme="majorHAnsi" w:hAnsiTheme="majorHAnsi" w:cstheme="majorHAnsi"/>
          <w:lang w:eastAsia="en-AU"/>
        </w:rPr>
      </w:pPr>
      <w:r w:rsidRPr="0098275D">
        <w:rPr>
          <w:rFonts w:asciiTheme="majorHAnsi" w:hAnsiTheme="majorHAnsi" w:cstheme="majorHAnsi"/>
          <w:lang w:eastAsia="en-AU"/>
        </w:rPr>
        <w:t>For the purposes of this paragraph:</w:t>
      </w:r>
    </w:p>
    <w:p w14:paraId="3FD742BB" w14:textId="77777777" w:rsidR="00366C3A" w:rsidRPr="0098275D" w:rsidRDefault="00366C3A" w:rsidP="0098275D">
      <w:pPr>
        <w:pStyle w:val="PSBodyTextL3"/>
        <w:numPr>
          <w:ilvl w:val="2"/>
          <w:numId w:val="23"/>
        </w:numPr>
        <w:tabs>
          <w:tab w:val="clear" w:pos="1134"/>
          <w:tab w:val="clear" w:pos="1701"/>
          <w:tab w:val="num" w:pos="567"/>
          <w:tab w:val="left" w:pos="1418"/>
        </w:tabs>
        <w:ind w:left="1418"/>
        <w:rPr>
          <w:rFonts w:asciiTheme="majorHAnsi" w:hAnsiTheme="majorHAnsi" w:cstheme="majorHAnsi"/>
          <w:sz w:val="22"/>
          <w:lang w:eastAsia="en-AU"/>
        </w:rPr>
      </w:pPr>
      <w:r w:rsidRPr="0098275D">
        <w:rPr>
          <w:rFonts w:asciiTheme="majorHAnsi" w:hAnsiTheme="majorHAnsi" w:cstheme="majorHAnsi"/>
          <w:sz w:val="22"/>
          <w:lang w:eastAsia="en-AU"/>
        </w:rPr>
        <w:t>deferred requirements means the requirements in paragraphs 40, 41 and 43 to 46 of this Prudential Standard;</w:t>
      </w:r>
    </w:p>
    <w:p w14:paraId="4027E397" w14:textId="41013C45" w:rsidR="00366C3A" w:rsidRPr="0098275D" w:rsidRDefault="00366C3A" w:rsidP="0098275D">
      <w:pPr>
        <w:pStyle w:val="PSBodyTextL3"/>
        <w:numPr>
          <w:ilvl w:val="2"/>
          <w:numId w:val="23"/>
        </w:numPr>
        <w:tabs>
          <w:tab w:val="clear" w:pos="1134"/>
          <w:tab w:val="clear" w:pos="1701"/>
          <w:tab w:val="num" w:pos="567"/>
          <w:tab w:val="left" w:pos="1418"/>
        </w:tabs>
        <w:ind w:left="1418"/>
        <w:rPr>
          <w:rFonts w:asciiTheme="majorHAnsi" w:hAnsiTheme="majorHAnsi" w:cstheme="majorHAnsi"/>
          <w:sz w:val="22"/>
          <w:lang w:eastAsia="en-AU"/>
        </w:rPr>
      </w:pPr>
      <w:r w:rsidRPr="0098275D">
        <w:rPr>
          <w:rFonts w:asciiTheme="majorHAnsi" w:hAnsiTheme="majorHAnsi" w:cstheme="majorHAnsi"/>
          <w:sz w:val="22"/>
          <w:lang w:eastAsia="en-AU"/>
        </w:rPr>
        <w:t xml:space="preserve">existing requirements means the </w:t>
      </w:r>
      <w:r w:rsidR="00004870">
        <w:rPr>
          <w:rFonts w:asciiTheme="majorHAnsi" w:hAnsiTheme="majorHAnsi" w:cstheme="majorHAnsi"/>
          <w:sz w:val="22"/>
          <w:lang w:eastAsia="en-AU"/>
        </w:rPr>
        <w:t xml:space="preserve">following </w:t>
      </w:r>
      <w:r w:rsidRPr="0098275D">
        <w:rPr>
          <w:rFonts w:asciiTheme="majorHAnsi" w:hAnsiTheme="majorHAnsi" w:cstheme="majorHAnsi"/>
          <w:sz w:val="22"/>
          <w:lang w:eastAsia="en-AU"/>
        </w:rPr>
        <w:t>requirements:</w:t>
      </w:r>
    </w:p>
    <w:p w14:paraId="6D9BB2D4" w14:textId="6771FB7B" w:rsidR="0098275D" w:rsidRPr="0098275D" w:rsidRDefault="00B47996" w:rsidP="0098275D">
      <w:pPr>
        <w:pStyle w:val="BodyText4"/>
        <w:numPr>
          <w:ilvl w:val="3"/>
          <w:numId w:val="15"/>
        </w:numPr>
        <w:tabs>
          <w:tab w:val="clear" w:pos="1560"/>
          <w:tab w:val="num" w:pos="1843"/>
        </w:tabs>
        <w:ind w:hanging="142"/>
        <w:rPr>
          <w:rFonts w:asciiTheme="majorHAnsi" w:hAnsiTheme="majorHAnsi" w:cstheme="majorHAnsi"/>
          <w:sz w:val="22"/>
          <w:szCs w:val="22"/>
        </w:rPr>
      </w:pPr>
      <w:r w:rsidRPr="0098275D">
        <w:rPr>
          <w:rFonts w:asciiTheme="majorHAnsi" w:hAnsiTheme="majorHAnsi" w:cstheme="majorHAnsi"/>
          <w:sz w:val="22"/>
          <w:szCs w:val="22"/>
        </w:rPr>
        <w:t>paragraphs 30 to 35 of CPS 232</w:t>
      </w:r>
      <w:r w:rsidR="00366C3A" w:rsidRPr="0098275D">
        <w:rPr>
          <w:rFonts w:asciiTheme="majorHAnsi" w:hAnsiTheme="majorHAnsi" w:cstheme="majorHAnsi"/>
          <w:sz w:val="22"/>
          <w:szCs w:val="22"/>
        </w:rPr>
        <w:t xml:space="preserve">; </w:t>
      </w:r>
    </w:p>
    <w:p w14:paraId="67A7E702" w14:textId="2630184B" w:rsidR="00366C3A" w:rsidRPr="0098275D" w:rsidRDefault="00B47996" w:rsidP="0098275D">
      <w:pPr>
        <w:pStyle w:val="BodyText4"/>
        <w:numPr>
          <w:ilvl w:val="3"/>
          <w:numId w:val="15"/>
        </w:numPr>
        <w:tabs>
          <w:tab w:val="clear" w:pos="1560"/>
          <w:tab w:val="num" w:pos="1843"/>
        </w:tabs>
        <w:ind w:hanging="142"/>
        <w:rPr>
          <w:rFonts w:asciiTheme="majorHAnsi" w:hAnsiTheme="majorHAnsi" w:cstheme="majorHAnsi"/>
          <w:sz w:val="22"/>
          <w:szCs w:val="22"/>
        </w:rPr>
      </w:pPr>
      <w:r w:rsidRPr="0098275D">
        <w:rPr>
          <w:rFonts w:asciiTheme="majorHAnsi" w:hAnsiTheme="majorHAnsi" w:cstheme="majorHAnsi"/>
          <w:sz w:val="22"/>
          <w:szCs w:val="22"/>
        </w:rPr>
        <w:t>paragraphs 21 to 26 of SPS 232</w:t>
      </w:r>
      <w:r w:rsidR="00366C3A" w:rsidRPr="0098275D">
        <w:rPr>
          <w:rFonts w:asciiTheme="majorHAnsi" w:hAnsiTheme="majorHAnsi" w:cstheme="majorHAnsi"/>
          <w:sz w:val="22"/>
          <w:szCs w:val="22"/>
        </w:rPr>
        <w:t xml:space="preserve">; </w:t>
      </w:r>
      <w:r w:rsidR="00091659">
        <w:rPr>
          <w:rFonts w:asciiTheme="majorHAnsi" w:hAnsiTheme="majorHAnsi" w:cstheme="majorHAnsi"/>
          <w:sz w:val="22"/>
          <w:szCs w:val="22"/>
        </w:rPr>
        <w:t>and</w:t>
      </w:r>
    </w:p>
    <w:p w14:paraId="2F563708" w14:textId="3FA8A374" w:rsidR="00366C3A" w:rsidRPr="001714BA" w:rsidRDefault="00366C3A" w:rsidP="001714BA">
      <w:pPr>
        <w:pStyle w:val="PSBodyTextL2"/>
        <w:tabs>
          <w:tab w:val="clear" w:pos="1134"/>
          <w:tab w:val="num" w:pos="567"/>
          <w:tab w:val="left" w:pos="1418"/>
        </w:tabs>
        <w:ind w:left="1418"/>
        <w:rPr>
          <w:rFonts w:asciiTheme="majorHAnsi" w:hAnsiTheme="majorHAnsi" w:cstheme="majorBidi"/>
          <w:sz w:val="22"/>
          <w:lang w:eastAsia="en-AU"/>
        </w:rPr>
      </w:pPr>
      <w:r w:rsidRPr="001714BA">
        <w:rPr>
          <w:rFonts w:asciiTheme="majorHAnsi" w:hAnsiTheme="majorHAnsi" w:cstheme="majorBidi"/>
          <w:sz w:val="22"/>
          <w:lang w:eastAsia="en-AU"/>
        </w:rPr>
        <w:t xml:space="preserve">in relation to RSE </w:t>
      </w:r>
      <w:r w:rsidRPr="40C87DB5">
        <w:rPr>
          <w:rFonts w:asciiTheme="majorHAnsi" w:hAnsiTheme="majorHAnsi" w:cstheme="majorBidi"/>
          <w:sz w:val="22"/>
          <w:lang w:eastAsia="en-AU"/>
        </w:rPr>
        <w:t>licensees</w:t>
      </w:r>
      <w:r w:rsidR="003F5922">
        <w:rPr>
          <w:rStyle w:val="FootnoteReference"/>
          <w:rFonts w:asciiTheme="majorHAnsi" w:hAnsiTheme="majorHAnsi" w:cstheme="majorBidi"/>
          <w:lang w:eastAsia="en-AU"/>
        </w:rPr>
        <w:footnoteReference w:id="2"/>
      </w:r>
      <w:r w:rsidRPr="001714BA">
        <w:rPr>
          <w:rFonts w:asciiTheme="majorHAnsi" w:hAnsiTheme="majorHAnsi" w:cstheme="majorBidi"/>
          <w:sz w:val="22"/>
          <w:lang w:eastAsia="en-AU"/>
        </w:rPr>
        <w:t>:</w:t>
      </w:r>
    </w:p>
    <w:p w14:paraId="1989F8B0" w14:textId="77777777" w:rsidR="002E147E" w:rsidRPr="0098275D" w:rsidRDefault="0058682A" w:rsidP="0098275D">
      <w:pPr>
        <w:pStyle w:val="BodyText3"/>
        <w:numPr>
          <w:ilvl w:val="5"/>
          <w:numId w:val="23"/>
        </w:numPr>
        <w:tabs>
          <w:tab w:val="left" w:pos="720"/>
        </w:tabs>
        <w:ind w:left="1843" w:hanging="425"/>
        <w:jc w:val="left"/>
        <w:rPr>
          <w:rFonts w:asciiTheme="majorHAnsi" w:hAnsiTheme="majorHAnsi" w:cstheme="majorHAnsi"/>
          <w:sz w:val="22"/>
          <w:szCs w:val="22"/>
          <w:lang w:eastAsia="en-AU"/>
        </w:rPr>
      </w:pPr>
      <w:r w:rsidRPr="0098275D">
        <w:rPr>
          <w:rFonts w:asciiTheme="majorHAnsi" w:hAnsiTheme="majorHAnsi" w:cstheme="majorHAnsi"/>
          <w:sz w:val="22"/>
          <w:szCs w:val="22"/>
        </w:rPr>
        <w:t>non-significant financial institution (non-SFI) means an RSE licensee that is not an SFI; and</w:t>
      </w:r>
    </w:p>
    <w:p w14:paraId="5D16360D" w14:textId="77777777" w:rsidR="0058682A" w:rsidRPr="0098275D" w:rsidRDefault="0058682A" w:rsidP="0098275D">
      <w:pPr>
        <w:pStyle w:val="BodyText3"/>
        <w:numPr>
          <w:ilvl w:val="5"/>
          <w:numId w:val="23"/>
        </w:numPr>
        <w:tabs>
          <w:tab w:val="left" w:pos="720"/>
        </w:tabs>
        <w:ind w:left="1843" w:hanging="425"/>
        <w:jc w:val="left"/>
        <w:rPr>
          <w:rFonts w:asciiTheme="majorHAnsi" w:hAnsiTheme="majorHAnsi" w:cstheme="majorHAnsi"/>
          <w:sz w:val="22"/>
          <w:szCs w:val="22"/>
        </w:rPr>
      </w:pPr>
      <w:r w:rsidRPr="0098275D">
        <w:rPr>
          <w:rFonts w:asciiTheme="majorHAnsi" w:hAnsiTheme="majorHAnsi" w:cstheme="majorHAnsi"/>
          <w:sz w:val="22"/>
          <w:szCs w:val="22"/>
        </w:rPr>
        <w:t>significant financial institution (SFI) means an RSE licensee that either:</w:t>
      </w:r>
    </w:p>
    <w:p w14:paraId="382480D1" w14:textId="77777777" w:rsidR="00366C3A" w:rsidRPr="0098275D" w:rsidRDefault="00366C3A" w:rsidP="0098275D">
      <w:pPr>
        <w:pStyle w:val="PSBodyTextL4"/>
        <w:numPr>
          <w:ilvl w:val="3"/>
          <w:numId w:val="33"/>
        </w:numPr>
        <w:ind w:hanging="425"/>
        <w:rPr>
          <w:rFonts w:asciiTheme="majorHAnsi" w:hAnsiTheme="majorHAnsi" w:cstheme="majorHAnsi"/>
          <w:sz w:val="22"/>
        </w:rPr>
      </w:pPr>
      <w:r w:rsidRPr="0098275D">
        <w:rPr>
          <w:rFonts w:asciiTheme="majorHAnsi" w:hAnsiTheme="majorHAnsi" w:cstheme="majorHAnsi"/>
          <w:sz w:val="22"/>
        </w:rPr>
        <w:t xml:space="preserve">has total assets in excess of AUD $30 billion in the case of a single RSE operated by an RSE licensee, or if the RSE licensee operates more than one RSE where the combined total assets of all RSEs exceed this amount; or </w:t>
      </w:r>
    </w:p>
    <w:p w14:paraId="6B6EA192" w14:textId="77777777" w:rsidR="00366C3A" w:rsidRPr="0098275D" w:rsidRDefault="0058682A" w:rsidP="0098275D">
      <w:pPr>
        <w:pStyle w:val="PSBodyTextL4"/>
        <w:numPr>
          <w:ilvl w:val="3"/>
          <w:numId w:val="23"/>
        </w:numPr>
        <w:tabs>
          <w:tab w:val="num" w:pos="360"/>
          <w:tab w:val="num" w:pos="567"/>
        </w:tabs>
        <w:ind w:hanging="425"/>
        <w:rPr>
          <w:rFonts w:asciiTheme="majorHAnsi" w:hAnsiTheme="majorHAnsi" w:cstheme="majorHAnsi"/>
          <w:sz w:val="22"/>
        </w:rPr>
      </w:pPr>
      <w:r w:rsidRPr="0098275D">
        <w:rPr>
          <w:rFonts w:asciiTheme="majorHAnsi" w:hAnsiTheme="majorHAnsi" w:cstheme="majorHAnsi"/>
          <w:sz w:val="22"/>
        </w:rPr>
        <w:lastRenderedPageBreak/>
        <w:t>is determined as such by APRA, having regard to matters such as complexity in its operations or its membership of a group.</w:t>
      </w:r>
    </w:p>
    <w:p w14:paraId="2EBB3C4F" w14:textId="672E096D" w:rsidR="0023580E" w:rsidRPr="003C3EFC" w:rsidRDefault="0023580E" w:rsidP="00D45D62">
      <w:pPr>
        <w:pStyle w:val="BodyText4"/>
        <w:tabs>
          <w:tab w:val="clear" w:pos="2268"/>
        </w:tabs>
        <w:ind w:left="1843" w:hanging="425"/>
        <w:rPr>
          <w:rFonts w:ascii="Arial" w:hAnsi="Arial" w:cs="Arial"/>
          <w:sz w:val="22"/>
          <w:szCs w:val="22"/>
        </w:rPr>
      </w:pPr>
    </w:p>
    <w:sectPr w:rsidR="0023580E" w:rsidRPr="003C3EFC" w:rsidSect="00A01D36">
      <w:footerReference w:type="default" r:id="rId12"/>
      <w:headerReference w:type="first" r:id="rId13"/>
      <w:footerReference w:type="first" r:id="rId14"/>
      <w:footnotePr>
        <w:numStart w:val="4"/>
      </w:footnotePr>
      <w:pgSz w:w="11906" w:h="16838" w:code="9"/>
      <w:pgMar w:top="1440" w:right="1440" w:bottom="1440" w:left="1440"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6A7699" w14:textId="77777777" w:rsidR="00D632CA" w:rsidRPr="000D4EDE" w:rsidRDefault="00D632CA" w:rsidP="000D4EDE">
      <w:r>
        <w:separator/>
      </w:r>
    </w:p>
  </w:endnote>
  <w:endnote w:type="continuationSeparator" w:id="0">
    <w:p w14:paraId="34FFCF98" w14:textId="77777777" w:rsidR="00D632CA" w:rsidRPr="000D4EDE" w:rsidRDefault="00D632CA" w:rsidP="000D4EDE">
      <w:r>
        <w:continuationSeparator/>
      </w:r>
    </w:p>
  </w:endnote>
  <w:endnote w:type="continuationNotice" w:id="1">
    <w:p w14:paraId="2BE365FE" w14:textId="77777777" w:rsidR="00D632CA" w:rsidRDefault="00D632C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dia New">
    <w:altName w:val="Leelawadee UI"/>
    <w:panose1 w:val="020B0304020202020204"/>
    <w:charset w:val="DE"/>
    <w:family w:val="roman"/>
    <w:pitch w:val="variable"/>
    <w:sig w:usb0="01000001" w:usb1="00000000" w:usb2="00000000" w:usb3="00000000" w:csb0="0001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48748012"/>
      <w:docPartObj>
        <w:docPartGallery w:val="Page Numbers (Bottom of Page)"/>
        <w:docPartUnique/>
      </w:docPartObj>
    </w:sdtPr>
    <w:sdtEndPr/>
    <w:sdtContent>
      <w:sdt>
        <w:sdtPr>
          <w:id w:val="-1769616900"/>
          <w:docPartObj>
            <w:docPartGallery w:val="Page Numbers (Top of Page)"/>
            <w:docPartUnique/>
          </w:docPartObj>
        </w:sdtPr>
        <w:sdtEndPr/>
        <w:sdtContent>
          <w:p w14:paraId="38843800" w14:textId="50B97D97" w:rsidR="00570AD9" w:rsidRPr="00570AD9" w:rsidRDefault="00570AD9">
            <w:pPr>
              <w:pStyle w:val="Footer"/>
              <w:jc w:val="right"/>
            </w:pPr>
            <w:r w:rsidRPr="00570AD9">
              <w:t xml:space="preserve">Page </w:t>
            </w:r>
            <w:r w:rsidRPr="00B80937">
              <w:rPr>
                <w:sz w:val="24"/>
                <w:szCs w:val="24"/>
              </w:rPr>
              <w:fldChar w:fldCharType="begin"/>
            </w:r>
            <w:r w:rsidRPr="00B80937">
              <w:instrText xml:space="preserve"> PAGE </w:instrText>
            </w:r>
            <w:r w:rsidRPr="00B80937">
              <w:rPr>
                <w:sz w:val="24"/>
                <w:szCs w:val="24"/>
              </w:rPr>
              <w:fldChar w:fldCharType="separate"/>
            </w:r>
            <w:r w:rsidRPr="00B80937">
              <w:t>2</w:t>
            </w:r>
            <w:r w:rsidRPr="00B80937">
              <w:rPr>
                <w:sz w:val="24"/>
                <w:szCs w:val="24"/>
              </w:rPr>
              <w:fldChar w:fldCharType="end"/>
            </w:r>
            <w:r w:rsidRPr="00570AD9">
              <w:t xml:space="preserve"> of </w:t>
            </w:r>
            <w:r w:rsidRPr="00B80937">
              <w:rPr>
                <w:sz w:val="24"/>
                <w:szCs w:val="24"/>
              </w:rPr>
              <w:fldChar w:fldCharType="begin"/>
            </w:r>
            <w:r w:rsidRPr="00B80937">
              <w:instrText xml:space="preserve"> NUMPAGES  </w:instrText>
            </w:r>
            <w:r w:rsidRPr="00B80937">
              <w:rPr>
                <w:sz w:val="24"/>
                <w:szCs w:val="24"/>
              </w:rPr>
              <w:fldChar w:fldCharType="separate"/>
            </w:r>
            <w:r w:rsidRPr="00B80937">
              <w:t>2</w:t>
            </w:r>
            <w:r w:rsidRPr="00B80937">
              <w:rPr>
                <w:sz w:val="24"/>
                <w:szCs w:val="24"/>
              </w:rPr>
              <w:fldChar w:fldCharType="end"/>
            </w:r>
          </w:p>
        </w:sdtContent>
      </w:sdt>
    </w:sdtContent>
  </w:sdt>
  <w:p w14:paraId="31654C8C" w14:textId="77777777" w:rsidR="00CC1288" w:rsidRDefault="00CC12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2858C4" w14:textId="0381AB70" w:rsidR="00A703D7" w:rsidRPr="00B50C06" w:rsidRDefault="00A703D7" w:rsidP="00B50C06">
    <w:pPr>
      <w:pStyle w:val="Footer"/>
      <w:jc w:val="right"/>
      <w:rPr>
        <w:rFonts w:ascii="Arial" w:hAnsi="Arial" w:cs="Arial"/>
        <w:b/>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12FEC5" w14:textId="77777777" w:rsidR="00D632CA" w:rsidRPr="000D4EDE" w:rsidRDefault="00D632CA" w:rsidP="000D4EDE">
      <w:r>
        <w:separator/>
      </w:r>
    </w:p>
  </w:footnote>
  <w:footnote w:type="continuationSeparator" w:id="0">
    <w:p w14:paraId="090D63D6" w14:textId="77777777" w:rsidR="00D632CA" w:rsidRPr="000D4EDE" w:rsidRDefault="00D632CA" w:rsidP="000D4EDE">
      <w:r>
        <w:continuationSeparator/>
      </w:r>
    </w:p>
  </w:footnote>
  <w:footnote w:type="continuationNotice" w:id="1">
    <w:p w14:paraId="7CBA24C9" w14:textId="77777777" w:rsidR="00D632CA" w:rsidRDefault="00D632CA">
      <w:pPr>
        <w:spacing w:after="0"/>
      </w:pPr>
    </w:p>
  </w:footnote>
  <w:footnote w:id="2">
    <w:p w14:paraId="439376E0" w14:textId="0E2DF0E4" w:rsidR="003F5922" w:rsidRDefault="00CE7C54" w:rsidP="00CE7C54">
      <w:pPr>
        <w:pStyle w:val="FootnoteText"/>
        <w:ind w:left="0" w:firstLine="0"/>
      </w:pPr>
      <w:r>
        <w:rPr>
          <w:rStyle w:val="FootnoteReference"/>
        </w:rPr>
        <w:footnoteRef/>
      </w:r>
      <w:r w:rsidR="003F5922" w:rsidRPr="003F5922">
        <w:tab/>
      </w:r>
      <w:r w:rsidR="003F5922" w:rsidRPr="00CE7C54">
        <w:rPr>
          <w:i/>
        </w:rPr>
        <w:t>Prudential Standard APS 001 Definitions</w:t>
      </w:r>
      <w:r w:rsidR="003F5922" w:rsidRPr="003F5922">
        <w:t xml:space="preserve">, </w:t>
      </w:r>
      <w:r w:rsidR="003F5922" w:rsidRPr="00CE7C54">
        <w:rPr>
          <w:i/>
        </w:rPr>
        <w:t>Prudential Standard GPS 001 Definitions</w:t>
      </w:r>
      <w:r w:rsidR="003F5922" w:rsidRPr="003F5922">
        <w:t xml:space="preserve">, </w:t>
      </w:r>
      <w:r w:rsidR="003F5922" w:rsidRPr="00CE7C54">
        <w:rPr>
          <w:i/>
        </w:rPr>
        <w:t>Prudential Standard LPS 001 Definitions</w:t>
      </w:r>
      <w:r w:rsidR="003F5922" w:rsidRPr="003F5922">
        <w:t xml:space="preserve"> and </w:t>
      </w:r>
      <w:r w:rsidR="003F5922" w:rsidRPr="00CE7C54">
        <w:rPr>
          <w:i/>
        </w:rPr>
        <w:t>Prudential Standard HPS 001 Definitions</w:t>
      </w:r>
      <w:r w:rsidR="003F5922" w:rsidRPr="003F5922">
        <w:t xml:space="preserve"> define these terms in relation to other APRA-regulated entities.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C91EAE" w14:textId="77777777" w:rsidR="00A703D7" w:rsidRDefault="00A703D7" w:rsidP="00A703D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8"/>
    <w:multiLevelType w:val="singleLevel"/>
    <w:tmpl w:val="AC92ED90"/>
    <w:lvl w:ilvl="0">
      <w:start w:val="1"/>
      <w:numFmt w:val="decimal"/>
      <w:lvlText w:val="%1."/>
      <w:lvlJc w:val="left"/>
      <w:pPr>
        <w:tabs>
          <w:tab w:val="num" w:pos="360"/>
        </w:tabs>
        <w:ind w:left="360" w:hanging="360"/>
      </w:pPr>
    </w:lvl>
  </w:abstractNum>
  <w:abstractNum w:abstractNumId="3" w15:restartNumberingAfterBreak="0">
    <w:nsid w:val="03E93595"/>
    <w:multiLevelType w:val="multilevel"/>
    <w:tmpl w:val="44EEB5B2"/>
    <w:lvl w:ilvl="0">
      <w:start w:val="1"/>
      <w:numFmt w:val="decimal"/>
      <w:pStyle w:val="ListNumber"/>
      <w:lvlText w:val="%1."/>
      <w:lvlJc w:val="left"/>
      <w:pPr>
        <w:tabs>
          <w:tab w:val="num" w:pos="851"/>
        </w:tabs>
        <w:ind w:left="851" w:hanging="851"/>
      </w:pPr>
      <w:rPr>
        <w:rFonts w:hint="default"/>
      </w:rPr>
    </w:lvl>
    <w:lvl w:ilvl="1">
      <w:start w:val="1"/>
      <w:numFmt w:val="decimal"/>
      <w:pStyle w:val="ListNumber2"/>
      <w:lvlText w:val="%1.%2."/>
      <w:lvlJc w:val="left"/>
      <w:pPr>
        <w:tabs>
          <w:tab w:val="num" w:pos="1701"/>
        </w:tabs>
        <w:ind w:left="1701" w:hanging="850"/>
      </w:pPr>
      <w:rPr>
        <w:rFonts w:hint="default"/>
      </w:rPr>
    </w:lvl>
    <w:lvl w:ilvl="2">
      <w:start w:val="1"/>
      <w:numFmt w:val="decimal"/>
      <w:pStyle w:val="ListNumber3"/>
      <w:lvlText w:val="%1.%2.%3."/>
      <w:lvlJc w:val="left"/>
      <w:pPr>
        <w:tabs>
          <w:tab w:val="num" w:pos="2552"/>
        </w:tabs>
        <w:ind w:left="2552" w:hanging="85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73A5CAE"/>
    <w:multiLevelType w:val="multilevel"/>
    <w:tmpl w:val="845645BE"/>
    <w:lvl w:ilvl="0">
      <w:start w:val="1"/>
      <w:numFmt w:val="decimal"/>
      <w:pStyle w:val="Heading1Numbers"/>
      <w:lvlText w:val="%1."/>
      <w:lvlJc w:val="left"/>
      <w:pPr>
        <w:tabs>
          <w:tab w:val="num" w:pos="851"/>
        </w:tabs>
        <w:ind w:left="851" w:hanging="851"/>
      </w:pPr>
      <w:rPr>
        <w:rFonts w:hint="default"/>
      </w:rPr>
    </w:lvl>
    <w:lvl w:ilvl="1">
      <w:start w:val="1"/>
      <w:numFmt w:val="decimal"/>
      <w:pStyle w:val="Heading2Numbers"/>
      <w:lvlText w:val="%1.%2"/>
      <w:lvlJc w:val="left"/>
      <w:pPr>
        <w:tabs>
          <w:tab w:val="num" w:pos="851"/>
        </w:tabs>
        <w:ind w:left="851" w:hanging="851"/>
      </w:pPr>
      <w:rPr>
        <w:rFonts w:hint="default"/>
      </w:rPr>
    </w:lvl>
    <w:lvl w:ilvl="2">
      <w:start w:val="1"/>
      <w:numFmt w:val="decimal"/>
      <w:pStyle w:val="Heading3Numbers"/>
      <w:lvlText w:val="%1.%2.%3"/>
      <w:lvlJc w:val="left"/>
      <w:pPr>
        <w:tabs>
          <w:tab w:val="num" w:pos="1276"/>
        </w:tabs>
        <w:ind w:left="851" w:hanging="851"/>
      </w:pPr>
      <w:rPr>
        <w:rFonts w:hint="default"/>
      </w:rPr>
    </w:lvl>
    <w:lvl w:ilvl="3">
      <w:start w:val="1"/>
      <w:numFmt w:val="decimal"/>
      <w:pStyle w:val="Heading4NoNumber"/>
      <w:lvlText w:val="%1.%2.%3.%4"/>
      <w:lvlJc w:val="left"/>
      <w:pPr>
        <w:tabs>
          <w:tab w:val="num" w:pos="1276"/>
        </w:tabs>
        <w:ind w:left="851" w:hanging="851"/>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 w15:restartNumberingAfterBreak="0">
    <w:nsid w:val="083B6478"/>
    <w:multiLevelType w:val="hybridMultilevel"/>
    <w:tmpl w:val="82FCA53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C7D5012"/>
    <w:multiLevelType w:val="hybridMultilevel"/>
    <w:tmpl w:val="DA48A988"/>
    <w:lvl w:ilvl="0" w:tplc="FFFFFFFF">
      <w:start w:val="1"/>
      <w:numFmt w:val="lowerRoman"/>
      <w:lvlText w:val="(%1)"/>
      <w:lvlJc w:val="left"/>
      <w:pPr>
        <w:ind w:left="2138" w:hanging="720"/>
      </w:pPr>
      <w:rPr>
        <w:rFonts w:hint="default"/>
      </w:rPr>
    </w:lvl>
    <w:lvl w:ilvl="1" w:tplc="FFFFFFFF" w:tentative="1">
      <w:start w:val="1"/>
      <w:numFmt w:val="lowerLetter"/>
      <w:lvlText w:val="%2."/>
      <w:lvlJc w:val="left"/>
      <w:pPr>
        <w:ind w:left="2498" w:hanging="360"/>
      </w:pPr>
    </w:lvl>
    <w:lvl w:ilvl="2" w:tplc="FFFFFFFF" w:tentative="1">
      <w:start w:val="1"/>
      <w:numFmt w:val="lowerRoman"/>
      <w:lvlText w:val="%3."/>
      <w:lvlJc w:val="right"/>
      <w:pPr>
        <w:ind w:left="3218" w:hanging="180"/>
      </w:pPr>
    </w:lvl>
    <w:lvl w:ilvl="3" w:tplc="FFFFFFFF" w:tentative="1">
      <w:start w:val="1"/>
      <w:numFmt w:val="decimal"/>
      <w:lvlText w:val="%4."/>
      <w:lvlJc w:val="left"/>
      <w:pPr>
        <w:ind w:left="3938" w:hanging="360"/>
      </w:pPr>
    </w:lvl>
    <w:lvl w:ilvl="4" w:tplc="FFFFFFFF" w:tentative="1">
      <w:start w:val="1"/>
      <w:numFmt w:val="lowerLetter"/>
      <w:lvlText w:val="%5."/>
      <w:lvlJc w:val="left"/>
      <w:pPr>
        <w:ind w:left="4658" w:hanging="360"/>
      </w:pPr>
    </w:lvl>
    <w:lvl w:ilvl="5" w:tplc="FFFFFFFF" w:tentative="1">
      <w:start w:val="1"/>
      <w:numFmt w:val="lowerRoman"/>
      <w:lvlText w:val="%6."/>
      <w:lvlJc w:val="right"/>
      <w:pPr>
        <w:ind w:left="5378" w:hanging="180"/>
      </w:pPr>
    </w:lvl>
    <w:lvl w:ilvl="6" w:tplc="FFFFFFFF" w:tentative="1">
      <w:start w:val="1"/>
      <w:numFmt w:val="decimal"/>
      <w:lvlText w:val="%7."/>
      <w:lvlJc w:val="left"/>
      <w:pPr>
        <w:ind w:left="6098" w:hanging="360"/>
      </w:pPr>
    </w:lvl>
    <w:lvl w:ilvl="7" w:tplc="FFFFFFFF" w:tentative="1">
      <w:start w:val="1"/>
      <w:numFmt w:val="lowerLetter"/>
      <w:lvlText w:val="%8."/>
      <w:lvlJc w:val="left"/>
      <w:pPr>
        <w:ind w:left="6818" w:hanging="360"/>
      </w:pPr>
    </w:lvl>
    <w:lvl w:ilvl="8" w:tplc="FFFFFFFF" w:tentative="1">
      <w:start w:val="1"/>
      <w:numFmt w:val="lowerRoman"/>
      <w:lvlText w:val="%9."/>
      <w:lvlJc w:val="right"/>
      <w:pPr>
        <w:ind w:left="7538" w:hanging="180"/>
      </w:pPr>
    </w:lvl>
  </w:abstractNum>
  <w:abstractNum w:abstractNumId="8" w15:restartNumberingAfterBreak="0">
    <w:nsid w:val="11C14274"/>
    <w:multiLevelType w:val="hybridMultilevel"/>
    <w:tmpl w:val="89CE3E0C"/>
    <w:lvl w:ilvl="0" w:tplc="BFA6C39C">
      <w:start w:val="1"/>
      <w:numFmt w:val="lowerLetter"/>
      <w:lvlText w:val="(%1)"/>
      <w:lvlJc w:val="left"/>
      <w:pPr>
        <w:ind w:left="2138" w:hanging="720"/>
      </w:pPr>
      <w:rPr>
        <w:rFonts w:ascii="Arial" w:eastAsiaTheme="minorHAnsi" w:hAnsi="Arial" w:cs="Arial"/>
      </w:rPr>
    </w:lvl>
    <w:lvl w:ilvl="1" w:tplc="0C090019" w:tentative="1">
      <w:start w:val="1"/>
      <w:numFmt w:val="lowerLetter"/>
      <w:lvlText w:val="%2."/>
      <w:lvlJc w:val="left"/>
      <w:pPr>
        <w:ind w:left="2498" w:hanging="360"/>
      </w:pPr>
    </w:lvl>
    <w:lvl w:ilvl="2" w:tplc="0C09001B" w:tentative="1">
      <w:start w:val="1"/>
      <w:numFmt w:val="lowerRoman"/>
      <w:lvlText w:val="%3."/>
      <w:lvlJc w:val="right"/>
      <w:pPr>
        <w:ind w:left="3218" w:hanging="180"/>
      </w:pPr>
    </w:lvl>
    <w:lvl w:ilvl="3" w:tplc="0C09000F" w:tentative="1">
      <w:start w:val="1"/>
      <w:numFmt w:val="decimal"/>
      <w:lvlText w:val="%4."/>
      <w:lvlJc w:val="left"/>
      <w:pPr>
        <w:ind w:left="3938" w:hanging="360"/>
      </w:pPr>
    </w:lvl>
    <w:lvl w:ilvl="4" w:tplc="0C090019" w:tentative="1">
      <w:start w:val="1"/>
      <w:numFmt w:val="lowerLetter"/>
      <w:lvlText w:val="%5."/>
      <w:lvlJc w:val="left"/>
      <w:pPr>
        <w:ind w:left="4658" w:hanging="360"/>
      </w:pPr>
    </w:lvl>
    <w:lvl w:ilvl="5" w:tplc="0C09001B" w:tentative="1">
      <w:start w:val="1"/>
      <w:numFmt w:val="lowerRoman"/>
      <w:lvlText w:val="%6."/>
      <w:lvlJc w:val="right"/>
      <w:pPr>
        <w:ind w:left="5378" w:hanging="180"/>
      </w:pPr>
    </w:lvl>
    <w:lvl w:ilvl="6" w:tplc="0C09000F" w:tentative="1">
      <w:start w:val="1"/>
      <w:numFmt w:val="decimal"/>
      <w:lvlText w:val="%7."/>
      <w:lvlJc w:val="left"/>
      <w:pPr>
        <w:ind w:left="6098" w:hanging="360"/>
      </w:pPr>
    </w:lvl>
    <w:lvl w:ilvl="7" w:tplc="0C090019" w:tentative="1">
      <w:start w:val="1"/>
      <w:numFmt w:val="lowerLetter"/>
      <w:lvlText w:val="%8."/>
      <w:lvlJc w:val="left"/>
      <w:pPr>
        <w:ind w:left="6818" w:hanging="360"/>
      </w:pPr>
    </w:lvl>
    <w:lvl w:ilvl="8" w:tplc="0C09001B" w:tentative="1">
      <w:start w:val="1"/>
      <w:numFmt w:val="lowerRoman"/>
      <w:lvlText w:val="%9."/>
      <w:lvlJc w:val="right"/>
      <w:pPr>
        <w:ind w:left="7538" w:hanging="180"/>
      </w:pPr>
    </w:lvl>
  </w:abstractNum>
  <w:abstractNum w:abstractNumId="9" w15:restartNumberingAfterBreak="0">
    <w:nsid w:val="16463545"/>
    <w:multiLevelType w:val="multilevel"/>
    <w:tmpl w:val="AA449A20"/>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ascii="Arial" w:hAnsi="Arial" w:hint="default"/>
        <w:b w:val="0"/>
        <w:i w:val="0"/>
        <w:caps w:val="0"/>
        <w:strike w:val="0"/>
        <w:dstrike w:val="0"/>
        <w:vanish w:val="0"/>
        <w:sz w:val="22"/>
        <w:szCs w:val="24"/>
        <w:vertAlign w:val="baseline"/>
      </w:rPr>
    </w:lvl>
    <w:lvl w:ilvl="2">
      <w:start w:val="1"/>
      <w:numFmt w:val="lowerRoman"/>
      <w:lvlText w:val="(%3)"/>
      <w:lvlJc w:val="left"/>
      <w:pPr>
        <w:tabs>
          <w:tab w:val="num" w:pos="1701"/>
        </w:tabs>
        <w:ind w:left="1701" w:hanging="567"/>
      </w:pPr>
      <w:rPr>
        <w:rFonts w:hint="default"/>
      </w:rPr>
    </w:lvl>
    <w:lvl w:ilvl="3">
      <w:start w:val="1"/>
      <w:numFmt w:val="lowerRoman"/>
      <w:lvlText w:val="(%4)"/>
      <w:lvlJc w:val="left"/>
      <w:pPr>
        <w:tabs>
          <w:tab w:val="num" w:pos="1560"/>
        </w:tabs>
        <w:ind w:left="1560" w:hanging="567"/>
      </w:pPr>
      <w:rPr>
        <w:rFonts w:ascii="Arial" w:eastAsia="Calibri" w:hAnsi="Arial" w:cs="Arial"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39D6AEE"/>
    <w:multiLevelType w:val="multilevel"/>
    <w:tmpl w:val="0C090023"/>
    <w:styleLink w:val="ArticleSection"/>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1" w15:restartNumberingAfterBreak="0">
    <w:nsid w:val="295C709A"/>
    <w:multiLevelType w:val="hybridMultilevel"/>
    <w:tmpl w:val="F9C82FD2"/>
    <w:lvl w:ilvl="0" w:tplc="8C4813D4">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C6E2E20"/>
    <w:multiLevelType w:val="hybridMultilevel"/>
    <w:tmpl w:val="53A2E68C"/>
    <w:lvl w:ilvl="0" w:tplc="1C60E128">
      <w:start w:val="1"/>
      <w:numFmt w:val="bullet"/>
      <w:pStyle w:val="BULLET1"/>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01F50AC"/>
    <w:multiLevelType w:val="multilevel"/>
    <w:tmpl w:val="AC5E151C"/>
    <w:styleLink w:val="BulletList"/>
    <w:lvl w:ilvl="0">
      <w:start w:val="1"/>
      <w:numFmt w:val="bullet"/>
      <w:pStyle w:val="ListBullet"/>
      <w:lvlText w:val=""/>
      <w:lvlJc w:val="left"/>
      <w:pPr>
        <w:tabs>
          <w:tab w:val="num" w:pos="425"/>
        </w:tabs>
        <w:ind w:left="425" w:hanging="425"/>
      </w:pPr>
      <w:rPr>
        <w:rFonts w:ascii="Symbol" w:hAnsi="Symbol" w:hint="default"/>
        <w:color w:val="000000" w:themeColor="text1"/>
      </w:rPr>
    </w:lvl>
    <w:lvl w:ilvl="1">
      <w:start w:val="1"/>
      <w:numFmt w:val="bullet"/>
      <w:pStyle w:val="ListBullet2"/>
      <w:lvlText w:val="-"/>
      <w:lvlJc w:val="left"/>
      <w:pPr>
        <w:tabs>
          <w:tab w:val="num" w:pos="851"/>
        </w:tabs>
        <w:ind w:left="851" w:hanging="426"/>
      </w:pPr>
      <w:rPr>
        <w:rFonts w:ascii="Arial" w:hAnsi="Arial" w:hint="default"/>
        <w:color w:val="000000" w:themeColor="text1"/>
      </w:rPr>
    </w:lvl>
    <w:lvl w:ilvl="2">
      <w:start w:val="1"/>
      <w:numFmt w:val="bullet"/>
      <w:pStyle w:val="ListBullet3"/>
      <w:lvlText w:val="o"/>
      <w:lvlJc w:val="left"/>
      <w:pPr>
        <w:tabs>
          <w:tab w:val="num" w:pos="1276"/>
        </w:tabs>
        <w:ind w:left="1276" w:hanging="425"/>
      </w:pPr>
      <w:rPr>
        <w:rFonts w:ascii="Courier New" w:hAnsi="Courier New" w:hint="default"/>
        <w:color w:val="000000" w:themeColor="text1"/>
      </w:rPr>
    </w:lvl>
    <w:lvl w:ilvl="3">
      <w:start w:val="1"/>
      <w:numFmt w:val="none"/>
      <w:suff w:val="nothing"/>
      <w:lvlText w:val=""/>
      <w:lvlJc w:val="left"/>
      <w:pPr>
        <w:ind w:left="425" w:firstLine="0"/>
      </w:pPr>
      <w:rPr>
        <w:rFonts w:hint="default"/>
      </w:rPr>
    </w:lvl>
    <w:lvl w:ilvl="4">
      <w:start w:val="1"/>
      <w:numFmt w:val="none"/>
      <w:suff w:val="nothing"/>
      <w:lvlText w:val=""/>
      <w:lvlJc w:val="left"/>
      <w:pPr>
        <w:ind w:left="425" w:firstLine="0"/>
      </w:pPr>
      <w:rPr>
        <w:rFonts w:hint="default"/>
      </w:rPr>
    </w:lvl>
    <w:lvl w:ilvl="5">
      <w:start w:val="1"/>
      <w:numFmt w:val="none"/>
      <w:suff w:val="nothing"/>
      <w:lvlText w:val=""/>
      <w:lvlJc w:val="left"/>
      <w:pPr>
        <w:ind w:left="425" w:firstLine="0"/>
      </w:pPr>
      <w:rPr>
        <w:rFonts w:hint="default"/>
      </w:rPr>
    </w:lvl>
    <w:lvl w:ilvl="6">
      <w:start w:val="1"/>
      <w:numFmt w:val="none"/>
      <w:suff w:val="nothing"/>
      <w:lvlText w:val=""/>
      <w:lvlJc w:val="left"/>
      <w:pPr>
        <w:ind w:left="425" w:firstLine="0"/>
      </w:pPr>
      <w:rPr>
        <w:rFonts w:hint="default"/>
      </w:rPr>
    </w:lvl>
    <w:lvl w:ilvl="7">
      <w:start w:val="1"/>
      <w:numFmt w:val="none"/>
      <w:suff w:val="nothing"/>
      <w:lvlText w:val=""/>
      <w:lvlJc w:val="left"/>
      <w:pPr>
        <w:ind w:left="425" w:firstLine="0"/>
      </w:pPr>
      <w:rPr>
        <w:rFonts w:hint="default"/>
      </w:rPr>
    </w:lvl>
    <w:lvl w:ilvl="8">
      <w:start w:val="1"/>
      <w:numFmt w:val="none"/>
      <w:suff w:val="nothing"/>
      <w:lvlText w:val=""/>
      <w:lvlJc w:val="left"/>
      <w:pPr>
        <w:ind w:left="425" w:firstLine="0"/>
      </w:pPr>
      <w:rPr>
        <w:rFonts w:hint="default"/>
      </w:rPr>
    </w:lvl>
  </w:abstractNum>
  <w:abstractNum w:abstractNumId="14" w15:restartNumberingAfterBreak="0">
    <w:nsid w:val="401F291E"/>
    <w:multiLevelType w:val="multilevel"/>
    <w:tmpl w:val="6DA6D796"/>
    <w:lvl w:ilvl="0">
      <w:start w:val="1"/>
      <w:numFmt w:val="decimal"/>
      <w:pStyle w:val="PSBodyTextL1"/>
      <w:lvlText w:val="%1."/>
      <w:lvlJc w:val="left"/>
      <w:pPr>
        <w:tabs>
          <w:tab w:val="num" w:pos="567"/>
        </w:tabs>
        <w:ind w:left="567" w:hanging="567"/>
      </w:pPr>
      <w:rPr>
        <w:rFonts w:hint="default"/>
        <w:b w:val="0"/>
      </w:rPr>
    </w:lvl>
    <w:lvl w:ilvl="1">
      <w:start w:val="1"/>
      <w:numFmt w:val="lowerLetter"/>
      <w:pStyle w:val="PSBodyTextL2"/>
      <w:lvlText w:val="(%2)"/>
      <w:lvlJc w:val="left"/>
      <w:pPr>
        <w:tabs>
          <w:tab w:val="num" w:pos="1134"/>
        </w:tabs>
        <w:ind w:left="1134" w:hanging="567"/>
      </w:pPr>
      <w:rPr>
        <w:rFonts w:hint="default"/>
      </w:rPr>
    </w:lvl>
    <w:lvl w:ilvl="2">
      <w:start w:val="1"/>
      <w:numFmt w:val="lowerLetter"/>
      <w:pStyle w:val="PSBodyTextL3"/>
      <w:lvlText w:val="(%3)"/>
      <w:lvlJc w:val="left"/>
      <w:pPr>
        <w:tabs>
          <w:tab w:val="num" w:pos="1701"/>
        </w:tabs>
        <w:ind w:left="1701" w:hanging="567"/>
      </w:pPr>
      <w:rPr>
        <w:rFonts w:asciiTheme="majorHAnsi" w:eastAsiaTheme="minorHAnsi" w:hAnsiTheme="majorHAnsi" w:cstheme="majorHAnsi" w:hint="default"/>
      </w:rPr>
    </w:lvl>
    <w:lvl w:ilvl="3">
      <w:start w:val="1"/>
      <w:numFmt w:val="upperLetter"/>
      <w:pStyle w:val="PSBodyTextL4"/>
      <w:lvlText w:val="(%4)"/>
      <w:lvlJc w:val="left"/>
      <w:pPr>
        <w:tabs>
          <w:tab w:val="num" w:pos="2268"/>
        </w:tabs>
        <w:ind w:left="2268" w:hanging="56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0FE1B54"/>
    <w:multiLevelType w:val="multilevel"/>
    <w:tmpl w:val="03EA69FC"/>
    <w:styleLink w:val="HeadingList"/>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851"/>
        </w:tabs>
        <w:ind w:left="425" w:hanging="425"/>
      </w:pPr>
      <w:rPr>
        <w:rFonts w:hint="default"/>
      </w:rPr>
    </w:lvl>
    <w:lvl w:ilvl="2">
      <w:start w:val="1"/>
      <w:numFmt w:val="decimal"/>
      <w:lvlText w:val="%1.%2.%3"/>
      <w:lvlJc w:val="left"/>
      <w:pPr>
        <w:tabs>
          <w:tab w:val="num" w:pos="1276"/>
        </w:tabs>
        <w:ind w:left="851" w:hanging="851"/>
      </w:pPr>
      <w:rPr>
        <w:rFonts w:hint="default"/>
      </w:rPr>
    </w:lvl>
    <w:lvl w:ilvl="3">
      <w:start w:val="1"/>
      <w:numFmt w:val="decimal"/>
      <w:lvlText w:val="%1.%2.%3.%4"/>
      <w:lvlJc w:val="left"/>
      <w:pPr>
        <w:tabs>
          <w:tab w:val="num" w:pos="1276"/>
        </w:tabs>
        <w:ind w:left="851" w:hanging="851"/>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46B00DDF"/>
    <w:multiLevelType w:val="hybridMultilevel"/>
    <w:tmpl w:val="C64CDF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6C65D33"/>
    <w:multiLevelType w:val="hybridMultilevel"/>
    <w:tmpl w:val="FFD65E8C"/>
    <w:lvl w:ilvl="0" w:tplc="F5AA375A">
      <w:start w:val="1"/>
      <w:numFmt w:val="lowerLetter"/>
      <w:lvlText w:val="(%1)"/>
      <w:lvlJc w:val="left"/>
      <w:pPr>
        <w:ind w:left="1494" w:hanging="36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18" w15:restartNumberingAfterBreak="0">
    <w:nsid w:val="540E5588"/>
    <w:multiLevelType w:val="multilevel"/>
    <w:tmpl w:val="060A2B94"/>
    <w:styleLink w:val="111111"/>
    <w:lvl w:ilvl="0">
      <w:start w:val="1"/>
      <w:numFmt w:val="decimal"/>
      <w:lvlText w:val="%1."/>
      <w:lvlJc w:val="left"/>
      <w:pPr>
        <w:tabs>
          <w:tab w:val="num" w:pos="851"/>
        </w:tabs>
        <w:ind w:left="425" w:hanging="425"/>
      </w:pPr>
      <w:rPr>
        <w:rFonts w:hint="default"/>
      </w:rPr>
    </w:lvl>
    <w:lvl w:ilvl="1">
      <w:start w:val="1"/>
      <w:numFmt w:val="decimal"/>
      <w:lvlText w:val="%1.%2."/>
      <w:lvlJc w:val="left"/>
      <w:pPr>
        <w:tabs>
          <w:tab w:val="num" w:pos="1276"/>
        </w:tabs>
        <w:ind w:left="851" w:hanging="426"/>
      </w:pPr>
      <w:rPr>
        <w:rFonts w:hint="default"/>
      </w:rPr>
    </w:lvl>
    <w:lvl w:ilvl="2">
      <w:start w:val="1"/>
      <w:numFmt w:val="decimal"/>
      <w:lvlText w:val="%1.%2.%3."/>
      <w:lvlJc w:val="left"/>
      <w:pPr>
        <w:tabs>
          <w:tab w:val="num" w:pos="1276"/>
        </w:tabs>
        <w:ind w:left="1276" w:hanging="425"/>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5A716129"/>
    <w:multiLevelType w:val="hybridMultilevel"/>
    <w:tmpl w:val="05B0AD14"/>
    <w:lvl w:ilvl="0" w:tplc="77488648">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0" w15:restartNumberingAfterBreak="0">
    <w:nsid w:val="5AAE1D69"/>
    <w:multiLevelType w:val="hybridMultilevel"/>
    <w:tmpl w:val="9A5C4264"/>
    <w:lvl w:ilvl="0" w:tplc="45846D10">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997219D"/>
    <w:multiLevelType w:val="hybridMultilevel"/>
    <w:tmpl w:val="215AE40C"/>
    <w:lvl w:ilvl="0" w:tplc="25ACB0A6">
      <w:start w:val="1"/>
      <w:numFmt w:val="decimal"/>
      <w:lvlText w:val="%1."/>
      <w:lvlJc w:val="left"/>
      <w:pPr>
        <w:ind w:left="720" w:hanging="360"/>
      </w:pPr>
      <w:rPr>
        <w:rFonts w:ascii="Arial" w:eastAsiaTheme="minorHAnsi" w:hAnsi="Arial" w:cs="Arial"/>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9B17A3F"/>
    <w:multiLevelType w:val="multilevel"/>
    <w:tmpl w:val="8EA00C60"/>
    <w:styleLink w:val="1ai"/>
    <w:lvl w:ilvl="0">
      <w:start w:val="1"/>
      <w:numFmt w:val="none"/>
      <w:pStyle w:val="Normal"/>
      <w:suff w:val="nothing"/>
      <w:lvlText w:val=""/>
      <w:lvlJc w:val="left"/>
      <w:pPr>
        <w:ind w:left="0" w:firstLine="0"/>
      </w:pPr>
      <w:rPr>
        <w:rFonts w:hint="default"/>
      </w:rPr>
    </w:lvl>
    <w:lvl w:ilvl="1">
      <w:start w:val="1"/>
      <w:numFmt w:val="decimal"/>
      <w:pStyle w:val="List"/>
      <w:lvlText w:val="%2."/>
      <w:lvlJc w:val="left"/>
      <w:pPr>
        <w:tabs>
          <w:tab w:val="num" w:pos="709"/>
        </w:tabs>
        <w:ind w:left="709" w:hanging="425"/>
      </w:pPr>
      <w:rPr>
        <w:rFonts w:hint="default"/>
      </w:rPr>
    </w:lvl>
    <w:lvl w:ilvl="2">
      <w:start w:val="1"/>
      <w:numFmt w:val="lowerLetter"/>
      <w:pStyle w:val="List2"/>
      <w:lvlText w:val="%3."/>
      <w:lvlJc w:val="left"/>
      <w:pPr>
        <w:tabs>
          <w:tab w:val="num" w:pos="851"/>
        </w:tabs>
        <w:ind w:left="851" w:hanging="426"/>
      </w:pPr>
      <w:rPr>
        <w:rFonts w:hint="default"/>
      </w:rPr>
    </w:lvl>
    <w:lvl w:ilvl="3">
      <w:start w:val="1"/>
      <w:numFmt w:val="lowerRoman"/>
      <w:pStyle w:val="List3"/>
      <w:lvlText w:val="%4."/>
      <w:lvlJc w:val="left"/>
      <w:pPr>
        <w:tabs>
          <w:tab w:val="num" w:pos="1276"/>
        </w:tabs>
        <w:ind w:left="1276" w:hanging="425"/>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3" w15:restartNumberingAfterBreak="0">
    <w:nsid w:val="73153696"/>
    <w:multiLevelType w:val="hybridMultilevel"/>
    <w:tmpl w:val="A34C444E"/>
    <w:lvl w:ilvl="0" w:tplc="8DD6F514">
      <w:start w:val="6"/>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7BB35E31"/>
    <w:multiLevelType w:val="hybridMultilevel"/>
    <w:tmpl w:val="8966B4A4"/>
    <w:lvl w:ilvl="0" w:tplc="9FE46678">
      <w:start w:val="1"/>
      <w:numFmt w:val="bullet"/>
      <w:pStyle w:val="APRABullet3"/>
      <w:lvlText w:val="o"/>
      <w:lvlJc w:val="left"/>
      <w:pPr>
        <w:ind w:left="1930" w:hanging="360"/>
      </w:pPr>
      <w:rPr>
        <w:rFonts w:ascii="Courier New" w:hAnsi="Courier New" w:cs="Courier New" w:hint="default"/>
      </w:rPr>
    </w:lvl>
    <w:lvl w:ilvl="1" w:tplc="0C090003" w:tentative="1">
      <w:start w:val="1"/>
      <w:numFmt w:val="bullet"/>
      <w:lvlText w:val="o"/>
      <w:lvlJc w:val="left"/>
      <w:pPr>
        <w:ind w:left="2650" w:hanging="360"/>
      </w:pPr>
      <w:rPr>
        <w:rFonts w:ascii="Courier New" w:hAnsi="Courier New" w:cs="Courier New" w:hint="default"/>
      </w:rPr>
    </w:lvl>
    <w:lvl w:ilvl="2" w:tplc="0C090005" w:tentative="1">
      <w:start w:val="1"/>
      <w:numFmt w:val="bullet"/>
      <w:lvlText w:val=""/>
      <w:lvlJc w:val="left"/>
      <w:pPr>
        <w:ind w:left="3370" w:hanging="360"/>
      </w:pPr>
      <w:rPr>
        <w:rFonts w:ascii="Wingdings" w:hAnsi="Wingdings" w:hint="default"/>
      </w:rPr>
    </w:lvl>
    <w:lvl w:ilvl="3" w:tplc="0C090001" w:tentative="1">
      <w:start w:val="1"/>
      <w:numFmt w:val="bullet"/>
      <w:lvlText w:val=""/>
      <w:lvlJc w:val="left"/>
      <w:pPr>
        <w:ind w:left="4090" w:hanging="360"/>
      </w:pPr>
      <w:rPr>
        <w:rFonts w:ascii="Symbol" w:hAnsi="Symbol" w:hint="default"/>
      </w:rPr>
    </w:lvl>
    <w:lvl w:ilvl="4" w:tplc="0C090003" w:tentative="1">
      <w:start w:val="1"/>
      <w:numFmt w:val="bullet"/>
      <w:lvlText w:val="o"/>
      <w:lvlJc w:val="left"/>
      <w:pPr>
        <w:ind w:left="4810" w:hanging="360"/>
      </w:pPr>
      <w:rPr>
        <w:rFonts w:ascii="Courier New" w:hAnsi="Courier New" w:cs="Courier New" w:hint="default"/>
      </w:rPr>
    </w:lvl>
    <w:lvl w:ilvl="5" w:tplc="0C090005" w:tentative="1">
      <w:start w:val="1"/>
      <w:numFmt w:val="bullet"/>
      <w:lvlText w:val=""/>
      <w:lvlJc w:val="left"/>
      <w:pPr>
        <w:ind w:left="5530" w:hanging="360"/>
      </w:pPr>
      <w:rPr>
        <w:rFonts w:ascii="Wingdings" w:hAnsi="Wingdings" w:hint="default"/>
      </w:rPr>
    </w:lvl>
    <w:lvl w:ilvl="6" w:tplc="0C090001" w:tentative="1">
      <w:start w:val="1"/>
      <w:numFmt w:val="bullet"/>
      <w:lvlText w:val=""/>
      <w:lvlJc w:val="left"/>
      <w:pPr>
        <w:ind w:left="6250" w:hanging="360"/>
      </w:pPr>
      <w:rPr>
        <w:rFonts w:ascii="Symbol" w:hAnsi="Symbol" w:hint="default"/>
      </w:rPr>
    </w:lvl>
    <w:lvl w:ilvl="7" w:tplc="0C090003" w:tentative="1">
      <w:start w:val="1"/>
      <w:numFmt w:val="bullet"/>
      <w:lvlText w:val="o"/>
      <w:lvlJc w:val="left"/>
      <w:pPr>
        <w:ind w:left="6970" w:hanging="360"/>
      </w:pPr>
      <w:rPr>
        <w:rFonts w:ascii="Courier New" w:hAnsi="Courier New" w:cs="Courier New" w:hint="default"/>
      </w:rPr>
    </w:lvl>
    <w:lvl w:ilvl="8" w:tplc="0C090005" w:tentative="1">
      <w:start w:val="1"/>
      <w:numFmt w:val="bullet"/>
      <w:lvlText w:val=""/>
      <w:lvlJc w:val="left"/>
      <w:pPr>
        <w:ind w:left="7690" w:hanging="360"/>
      </w:pPr>
      <w:rPr>
        <w:rFonts w:ascii="Wingdings" w:hAnsi="Wingdings" w:hint="default"/>
      </w:rPr>
    </w:lvl>
  </w:abstractNum>
  <w:num w:numId="1" w16cid:durableId="358968231">
    <w:abstractNumId w:val="1"/>
  </w:num>
  <w:num w:numId="2" w16cid:durableId="592591192">
    <w:abstractNumId w:val="0"/>
  </w:num>
  <w:num w:numId="3" w16cid:durableId="1016418981">
    <w:abstractNumId w:val="4"/>
  </w:num>
  <w:num w:numId="4" w16cid:durableId="2006542698">
    <w:abstractNumId w:val="18"/>
  </w:num>
  <w:num w:numId="5" w16cid:durableId="1076711214">
    <w:abstractNumId w:val="22"/>
  </w:num>
  <w:num w:numId="6" w16cid:durableId="640960306">
    <w:abstractNumId w:val="15"/>
  </w:num>
  <w:num w:numId="7" w16cid:durableId="24773369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64253997">
    <w:abstractNumId w:val="13"/>
  </w:num>
  <w:num w:numId="9" w16cid:durableId="930701886">
    <w:abstractNumId w:val="2"/>
  </w:num>
  <w:num w:numId="10" w16cid:durableId="1398285045">
    <w:abstractNumId w:val="5"/>
  </w:num>
  <w:num w:numId="11" w16cid:durableId="1626503905">
    <w:abstractNumId w:val="3"/>
  </w:num>
  <w:num w:numId="12" w16cid:durableId="253058321">
    <w:abstractNumId w:val="16"/>
  </w:num>
  <w:num w:numId="13" w16cid:durableId="1235625721">
    <w:abstractNumId w:val="24"/>
  </w:num>
  <w:num w:numId="14" w16cid:durableId="889655703">
    <w:abstractNumId w:val="9"/>
  </w:num>
  <w:num w:numId="15" w16cid:durableId="20900394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70628308">
    <w:abstractNumId w:val="12"/>
  </w:num>
  <w:num w:numId="17" w16cid:durableId="620572344">
    <w:abstractNumId w:val="21"/>
  </w:num>
  <w:num w:numId="18" w16cid:durableId="2071074340">
    <w:abstractNumId w:val="20"/>
  </w:num>
  <w:num w:numId="19" w16cid:durableId="1568998894">
    <w:abstractNumId w:val="11"/>
  </w:num>
  <w:num w:numId="20" w16cid:durableId="384372298">
    <w:abstractNumId w:val="17"/>
  </w:num>
  <w:num w:numId="21" w16cid:durableId="1105223346">
    <w:abstractNumId w:val="19"/>
  </w:num>
  <w:num w:numId="22" w16cid:durableId="1619794010">
    <w:abstractNumId w:val="14"/>
  </w:num>
  <w:num w:numId="23" w16cid:durableId="74291680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90271961">
    <w:abstractNumId w:val="22"/>
    <w:lvlOverride w:ilvl="0">
      <w:startOverride w:val="1"/>
    </w:lvlOverride>
    <w:lvlOverride w:ilvl="1">
      <w:startOverride w:val="7"/>
    </w:lvlOverride>
  </w:num>
  <w:num w:numId="25" w16cid:durableId="1614823067">
    <w:abstractNumId w:val="22"/>
  </w:num>
  <w:num w:numId="26" w16cid:durableId="1693072811">
    <w:abstractNumId w:val="22"/>
  </w:num>
  <w:num w:numId="27" w16cid:durableId="675887906">
    <w:abstractNumId w:val="10"/>
  </w:num>
  <w:num w:numId="28" w16cid:durableId="2108382531">
    <w:abstractNumId w:val="6"/>
  </w:num>
  <w:num w:numId="29" w16cid:durableId="1550454220">
    <w:abstractNumId w:val="23"/>
  </w:num>
  <w:num w:numId="30" w16cid:durableId="1130440113">
    <w:abstractNumId w:val="8"/>
  </w:num>
  <w:num w:numId="31" w16cid:durableId="10645495">
    <w:abstractNumId w:val="7"/>
  </w:num>
  <w:num w:numId="32" w16cid:durableId="1899051395">
    <w:abstractNumId w:val="22"/>
  </w:num>
  <w:num w:numId="33" w16cid:durableId="8854089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3669215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8563">
    <w:abstractNumId w:val="1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60478410">
    <w:abstractNumId w:val="1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formatting="1" w:enforcement="0"/>
  <w:styleLockTheme/>
  <w:styleLockQFSet/>
  <w:defaultTabStop w:val="425"/>
  <w:characterSpacingControl w:val="doNotCompress"/>
  <w:hdrShapeDefaults>
    <o:shapedefaults v:ext="edit" spidmax="2050"/>
  </w:hdrShapeDefaults>
  <w:footnotePr>
    <w:numStart w:val="4"/>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714F"/>
    <w:rsid w:val="0000010D"/>
    <w:rsid w:val="00002355"/>
    <w:rsid w:val="00004870"/>
    <w:rsid w:val="00004ED1"/>
    <w:rsid w:val="00005D98"/>
    <w:rsid w:val="00005F96"/>
    <w:rsid w:val="00006DD0"/>
    <w:rsid w:val="00007262"/>
    <w:rsid w:val="00011C96"/>
    <w:rsid w:val="000141B9"/>
    <w:rsid w:val="00021C59"/>
    <w:rsid w:val="000239BB"/>
    <w:rsid w:val="00023D8B"/>
    <w:rsid w:val="00027489"/>
    <w:rsid w:val="0002781D"/>
    <w:rsid w:val="00031BBC"/>
    <w:rsid w:val="00034A19"/>
    <w:rsid w:val="00035FD7"/>
    <w:rsid w:val="00036433"/>
    <w:rsid w:val="00036F9E"/>
    <w:rsid w:val="000413B3"/>
    <w:rsid w:val="000453D9"/>
    <w:rsid w:val="000559A1"/>
    <w:rsid w:val="000573E5"/>
    <w:rsid w:val="00057B71"/>
    <w:rsid w:val="00066264"/>
    <w:rsid w:val="0007202C"/>
    <w:rsid w:val="00072426"/>
    <w:rsid w:val="00072B30"/>
    <w:rsid w:val="0007319C"/>
    <w:rsid w:val="000732AA"/>
    <w:rsid w:val="00073E88"/>
    <w:rsid w:val="000767DD"/>
    <w:rsid w:val="00077897"/>
    <w:rsid w:val="0008011A"/>
    <w:rsid w:val="00084296"/>
    <w:rsid w:val="00084EE6"/>
    <w:rsid w:val="00084F8B"/>
    <w:rsid w:val="0008500D"/>
    <w:rsid w:val="000851D0"/>
    <w:rsid w:val="00086D07"/>
    <w:rsid w:val="00086F71"/>
    <w:rsid w:val="000906C6"/>
    <w:rsid w:val="00091659"/>
    <w:rsid w:val="00093915"/>
    <w:rsid w:val="00093B04"/>
    <w:rsid w:val="000949AD"/>
    <w:rsid w:val="00095109"/>
    <w:rsid w:val="00096B0F"/>
    <w:rsid w:val="000A490E"/>
    <w:rsid w:val="000B04C5"/>
    <w:rsid w:val="000B1F29"/>
    <w:rsid w:val="000B5C8B"/>
    <w:rsid w:val="000B63CA"/>
    <w:rsid w:val="000B7470"/>
    <w:rsid w:val="000B752A"/>
    <w:rsid w:val="000C14D9"/>
    <w:rsid w:val="000C15C7"/>
    <w:rsid w:val="000C305B"/>
    <w:rsid w:val="000C4407"/>
    <w:rsid w:val="000C6CFF"/>
    <w:rsid w:val="000D4EDE"/>
    <w:rsid w:val="000E2460"/>
    <w:rsid w:val="000E2E09"/>
    <w:rsid w:val="000E43AC"/>
    <w:rsid w:val="000E6E37"/>
    <w:rsid w:val="000F0E6F"/>
    <w:rsid w:val="000F714F"/>
    <w:rsid w:val="001002B7"/>
    <w:rsid w:val="001018A5"/>
    <w:rsid w:val="00102F1E"/>
    <w:rsid w:val="0010408D"/>
    <w:rsid w:val="00106F56"/>
    <w:rsid w:val="00112A7B"/>
    <w:rsid w:val="00115A39"/>
    <w:rsid w:val="00117479"/>
    <w:rsid w:val="00117F6F"/>
    <w:rsid w:val="001209AF"/>
    <w:rsid w:val="00123576"/>
    <w:rsid w:val="001241CB"/>
    <w:rsid w:val="00124B21"/>
    <w:rsid w:val="00132552"/>
    <w:rsid w:val="001327B8"/>
    <w:rsid w:val="00132E90"/>
    <w:rsid w:val="0013471B"/>
    <w:rsid w:val="001352D4"/>
    <w:rsid w:val="00137FE5"/>
    <w:rsid w:val="00155789"/>
    <w:rsid w:val="00157C98"/>
    <w:rsid w:val="001602B0"/>
    <w:rsid w:val="00161BE5"/>
    <w:rsid w:val="001636E8"/>
    <w:rsid w:val="001653B6"/>
    <w:rsid w:val="00165BF6"/>
    <w:rsid w:val="00166008"/>
    <w:rsid w:val="001714BA"/>
    <w:rsid w:val="00174B0F"/>
    <w:rsid w:val="00176398"/>
    <w:rsid w:val="0018235E"/>
    <w:rsid w:val="00184187"/>
    <w:rsid w:val="001A4EA4"/>
    <w:rsid w:val="001A51BB"/>
    <w:rsid w:val="001A664F"/>
    <w:rsid w:val="001B26EA"/>
    <w:rsid w:val="001B2DB7"/>
    <w:rsid w:val="001B3A9F"/>
    <w:rsid w:val="001B5964"/>
    <w:rsid w:val="001B7291"/>
    <w:rsid w:val="001C5C50"/>
    <w:rsid w:val="001D0C02"/>
    <w:rsid w:val="001D1B64"/>
    <w:rsid w:val="001D3121"/>
    <w:rsid w:val="001D3D43"/>
    <w:rsid w:val="001E0F51"/>
    <w:rsid w:val="001E1B83"/>
    <w:rsid w:val="001E53AF"/>
    <w:rsid w:val="001E55BF"/>
    <w:rsid w:val="001F1753"/>
    <w:rsid w:val="001F6E1A"/>
    <w:rsid w:val="001F780A"/>
    <w:rsid w:val="001F785A"/>
    <w:rsid w:val="001F7917"/>
    <w:rsid w:val="00200613"/>
    <w:rsid w:val="0020453E"/>
    <w:rsid w:val="002108C9"/>
    <w:rsid w:val="00214883"/>
    <w:rsid w:val="002156F6"/>
    <w:rsid w:val="002170E2"/>
    <w:rsid w:val="00217C8E"/>
    <w:rsid w:val="00220550"/>
    <w:rsid w:val="002249B5"/>
    <w:rsid w:val="00225B3A"/>
    <w:rsid w:val="002301A2"/>
    <w:rsid w:val="00233C40"/>
    <w:rsid w:val="0023580E"/>
    <w:rsid w:val="00236086"/>
    <w:rsid w:val="00236C2D"/>
    <w:rsid w:val="002374B7"/>
    <w:rsid w:val="00240126"/>
    <w:rsid w:val="00241D16"/>
    <w:rsid w:val="00242384"/>
    <w:rsid w:val="0024304D"/>
    <w:rsid w:val="00244826"/>
    <w:rsid w:val="00247ACA"/>
    <w:rsid w:val="00252E6A"/>
    <w:rsid w:val="00255A20"/>
    <w:rsid w:val="0025782A"/>
    <w:rsid w:val="00263414"/>
    <w:rsid w:val="002661A6"/>
    <w:rsid w:val="00266C23"/>
    <w:rsid w:val="00275EA4"/>
    <w:rsid w:val="00277D6C"/>
    <w:rsid w:val="0028409F"/>
    <w:rsid w:val="00286EAD"/>
    <w:rsid w:val="00291085"/>
    <w:rsid w:val="002927A0"/>
    <w:rsid w:val="00292A60"/>
    <w:rsid w:val="0029389B"/>
    <w:rsid w:val="00293C73"/>
    <w:rsid w:val="002A1894"/>
    <w:rsid w:val="002A2188"/>
    <w:rsid w:val="002A36F2"/>
    <w:rsid w:val="002A7D14"/>
    <w:rsid w:val="002B03B4"/>
    <w:rsid w:val="002B0913"/>
    <w:rsid w:val="002B28E4"/>
    <w:rsid w:val="002B7504"/>
    <w:rsid w:val="002C0D97"/>
    <w:rsid w:val="002C1493"/>
    <w:rsid w:val="002C533C"/>
    <w:rsid w:val="002C66D1"/>
    <w:rsid w:val="002C7065"/>
    <w:rsid w:val="002C7F4A"/>
    <w:rsid w:val="002D24E7"/>
    <w:rsid w:val="002D2804"/>
    <w:rsid w:val="002D4AD8"/>
    <w:rsid w:val="002D4B6C"/>
    <w:rsid w:val="002D5274"/>
    <w:rsid w:val="002E0FDD"/>
    <w:rsid w:val="002E147E"/>
    <w:rsid w:val="002E1EE3"/>
    <w:rsid w:val="002F0135"/>
    <w:rsid w:val="002F0C2C"/>
    <w:rsid w:val="00300655"/>
    <w:rsid w:val="0030129E"/>
    <w:rsid w:val="00302FB9"/>
    <w:rsid w:val="00303D18"/>
    <w:rsid w:val="00304F36"/>
    <w:rsid w:val="00307ADD"/>
    <w:rsid w:val="00307E55"/>
    <w:rsid w:val="003123C1"/>
    <w:rsid w:val="00312A66"/>
    <w:rsid w:val="003130CA"/>
    <w:rsid w:val="00314F79"/>
    <w:rsid w:val="0031527A"/>
    <w:rsid w:val="00321179"/>
    <w:rsid w:val="0032180D"/>
    <w:rsid w:val="0032298D"/>
    <w:rsid w:val="0032362F"/>
    <w:rsid w:val="00327B69"/>
    <w:rsid w:val="003306A5"/>
    <w:rsid w:val="00335C68"/>
    <w:rsid w:val="00347661"/>
    <w:rsid w:val="00347B5F"/>
    <w:rsid w:val="00351937"/>
    <w:rsid w:val="00355D40"/>
    <w:rsid w:val="00356245"/>
    <w:rsid w:val="003611B8"/>
    <w:rsid w:val="003623E6"/>
    <w:rsid w:val="00363A72"/>
    <w:rsid w:val="00366C3A"/>
    <w:rsid w:val="00371AAC"/>
    <w:rsid w:val="00371F54"/>
    <w:rsid w:val="00374BF3"/>
    <w:rsid w:val="003763D0"/>
    <w:rsid w:val="0037770C"/>
    <w:rsid w:val="00377C8B"/>
    <w:rsid w:val="0038262D"/>
    <w:rsid w:val="00382868"/>
    <w:rsid w:val="00383A95"/>
    <w:rsid w:val="00385CA0"/>
    <w:rsid w:val="00391C3B"/>
    <w:rsid w:val="003A2733"/>
    <w:rsid w:val="003A3021"/>
    <w:rsid w:val="003A627E"/>
    <w:rsid w:val="003A6C88"/>
    <w:rsid w:val="003A79EE"/>
    <w:rsid w:val="003B105A"/>
    <w:rsid w:val="003B1341"/>
    <w:rsid w:val="003B6E16"/>
    <w:rsid w:val="003C180A"/>
    <w:rsid w:val="003C1E25"/>
    <w:rsid w:val="003C20A6"/>
    <w:rsid w:val="003C3EFC"/>
    <w:rsid w:val="003C519D"/>
    <w:rsid w:val="003D14AF"/>
    <w:rsid w:val="003D27CB"/>
    <w:rsid w:val="003D329D"/>
    <w:rsid w:val="003E32F9"/>
    <w:rsid w:val="003E6BF6"/>
    <w:rsid w:val="003E7E20"/>
    <w:rsid w:val="003F0F0D"/>
    <w:rsid w:val="003F5922"/>
    <w:rsid w:val="003F710F"/>
    <w:rsid w:val="0040173E"/>
    <w:rsid w:val="0040481B"/>
    <w:rsid w:val="00407525"/>
    <w:rsid w:val="00416D5C"/>
    <w:rsid w:val="00423408"/>
    <w:rsid w:val="0042453F"/>
    <w:rsid w:val="00425A8F"/>
    <w:rsid w:val="004314DF"/>
    <w:rsid w:val="00435339"/>
    <w:rsid w:val="004371C6"/>
    <w:rsid w:val="004410DC"/>
    <w:rsid w:val="0044153F"/>
    <w:rsid w:val="0044447D"/>
    <w:rsid w:val="00446D34"/>
    <w:rsid w:val="00450C67"/>
    <w:rsid w:val="00454958"/>
    <w:rsid w:val="00460CF7"/>
    <w:rsid w:val="00461061"/>
    <w:rsid w:val="00463A65"/>
    <w:rsid w:val="00463FA8"/>
    <w:rsid w:val="00466648"/>
    <w:rsid w:val="004723ED"/>
    <w:rsid w:val="00472CBC"/>
    <w:rsid w:val="00473E48"/>
    <w:rsid w:val="004765B3"/>
    <w:rsid w:val="0047747E"/>
    <w:rsid w:val="0048167A"/>
    <w:rsid w:val="00481A0C"/>
    <w:rsid w:val="0048407B"/>
    <w:rsid w:val="00484164"/>
    <w:rsid w:val="004843CA"/>
    <w:rsid w:val="00486B66"/>
    <w:rsid w:val="00490A83"/>
    <w:rsid w:val="00491A0A"/>
    <w:rsid w:val="00493DAA"/>
    <w:rsid w:val="00494335"/>
    <w:rsid w:val="00495A4C"/>
    <w:rsid w:val="00495FA3"/>
    <w:rsid w:val="004967A1"/>
    <w:rsid w:val="00497B24"/>
    <w:rsid w:val="004B584E"/>
    <w:rsid w:val="004B6FCE"/>
    <w:rsid w:val="004C1106"/>
    <w:rsid w:val="004C6D4B"/>
    <w:rsid w:val="004C766B"/>
    <w:rsid w:val="004C7A5B"/>
    <w:rsid w:val="004D33E3"/>
    <w:rsid w:val="004D63C4"/>
    <w:rsid w:val="004D76C1"/>
    <w:rsid w:val="004D7C22"/>
    <w:rsid w:val="004E059A"/>
    <w:rsid w:val="004E2269"/>
    <w:rsid w:val="004E451A"/>
    <w:rsid w:val="004E5B50"/>
    <w:rsid w:val="004F3339"/>
    <w:rsid w:val="004F6A86"/>
    <w:rsid w:val="004F72A2"/>
    <w:rsid w:val="004F78E5"/>
    <w:rsid w:val="005007B4"/>
    <w:rsid w:val="005026D4"/>
    <w:rsid w:val="00503A51"/>
    <w:rsid w:val="00506774"/>
    <w:rsid w:val="00512309"/>
    <w:rsid w:val="00515E92"/>
    <w:rsid w:val="00520FAF"/>
    <w:rsid w:val="00524A02"/>
    <w:rsid w:val="00530C89"/>
    <w:rsid w:val="00534C43"/>
    <w:rsid w:val="00534F12"/>
    <w:rsid w:val="0053665B"/>
    <w:rsid w:val="00541D54"/>
    <w:rsid w:val="00542522"/>
    <w:rsid w:val="0054526E"/>
    <w:rsid w:val="00545CE1"/>
    <w:rsid w:val="005476B5"/>
    <w:rsid w:val="005549D7"/>
    <w:rsid w:val="005602DA"/>
    <w:rsid w:val="00561498"/>
    <w:rsid w:val="00562087"/>
    <w:rsid w:val="0056698D"/>
    <w:rsid w:val="00567537"/>
    <w:rsid w:val="005678FC"/>
    <w:rsid w:val="00570AD9"/>
    <w:rsid w:val="0057138A"/>
    <w:rsid w:val="00573327"/>
    <w:rsid w:val="00580A95"/>
    <w:rsid w:val="00581F82"/>
    <w:rsid w:val="005864D6"/>
    <w:rsid w:val="0058682A"/>
    <w:rsid w:val="00592F64"/>
    <w:rsid w:val="00596D11"/>
    <w:rsid w:val="0059704B"/>
    <w:rsid w:val="005A2877"/>
    <w:rsid w:val="005A3F63"/>
    <w:rsid w:val="005A46D1"/>
    <w:rsid w:val="005A4C43"/>
    <w:rsid w:val="005A59D0"/>
    <w:rsid w:val="005B073E"/>
    <w:rsid w:val="005B227F"/>
    <w:rsid w:val="005B247A"/>
    <w:rsid w:val="005B63AC"/>
    <w:rsid w:val="005B647F"/>
    <w:rsid w:val="005B7801"/>
    <w:rsid w:val="005C5891"/>
    <w:rsid w:val="005D04CC"/>
    <w:rsid w:val="005D0A1A"/>
    <w:rsid w:val="005D1468"/>
    <w:rsid w:val="005D5FAE"/>
    <w:rsid w:val="005D75ED"/>
    <w:rsid w:val="005E18AF"/>
    <w:rsid w:val="005E1D70"/>
    <w:rsid w:val="005E4BC9"/>
    <w:rsid w:val="005E636B"/>
    <w:rsid w:val="005F0339"/>
    <w:rsid w:val="005F102F"/>
    <w:rsid w:val="005F29B7"/>
    <w:rsid w:val="005F2C16"/>
    <w:rsid w:val="005F2F71"/>
    <w:rsid w:val="005F33EA"/>
    <w:rsid w:val="005F4704"/>
    <w:rsid w:val="005F7A62"/>
    <w:rsid w:val="0060421A"/>
    <w:rsid w:val="00605A10"/>
    <w:rsid w:val="00606EB5"/>
    <w:rsid w:val="00606FC8"/>
    <w:rsid w:val="006121F5"/>
    <w:rsid w:val="00616C90"/>
    <w:rsid w:val="00617FDA"/>
    <w:rsid w:val="0062063E"/>
    <w:rsid w:val="0062116F"/>
    <w:rsid w:val="0062214B"/>
    <w:rsid w:val="00623FD7"/>
    <w:rsid w:val="00624BC6"/>
    <w:rsid w:val="00625331"/>
    <w:rsid w:val="00626087"/>
    <w:rsid w:val="00626438"/>
    <w:rsid w:val="00634E4C"/>
    <w:rsid w:val="00636B8B"/>
    <w:rsid w:val="00641EAA"/>
    <w:rsid w:val="006427FE"/>
    <w:rsid w:val="00643022"/>
    <w:rsid w:val="006506C1"/>
    <w:rsid w:val="00657459"/>
    <w:rsid w:val="0065747A"/>
    <w:rsid w:val="00660C7A"/>
    <w:rsid w:val="00662E28"/>
    <w:rsid w:val="0066674D"/>
    <w:rsid w:val="00666A78"/>
    <w:rsid w:val="006744E4"/>
    <w:rsid w:val="00675F08"/>
    <w:rsid w:val="00676C12"/>
    <w:rsid w:val="00683DB9"/>
    <w:rsid w:val="00691CAD"/>
    <w:rsid w:val="0069375D"/>
    <w:rsid w:val="0069407C"/>
    <w:rsid w:val="0069574E"/>
    <w:rsid w:val="006969C0"/>
    <w:rsid w:val="00696B26"/>
    <w:rsid w:val="00697E6E"/>
    <w:rsid w:val="006A1921"/>
    <w:rsid w:val="006A2303"/>
    <w:rsid w:val="006A2C82"/>
    <w:rsid w:val="006A320E"/>
    <w:rsid w:val="006B1FF6"/>
    <w:rsid w:val="006C46BC"/>
    <w:rsid w:val="006C76A7"/>
    <w:rsid w:val="006D2A45"/>
    <w:rsid w:val="006D315C"/>
    <w:rsid w:val="006D3CA7"/>
    <w:rsid w:val="006D6C35"/>
    <w:rsid w:val="006D71B8"/>
    <w:rsid w:val="006E4272"/>
    <w:rsid w:val="006E7F2E"/>
    <w:rsid w:val="006F145A"/>
    <w:rsid w:val="006F27CB"/>
    <w:rsid w:val="006F359B"/>
    <w:rsid w:val="006F449C"/>
    <w:rsid w:val="006F5691"/>
    <w:rsid w:val="006F5865"/>
    <w:rsid w:val="006F617C"/>
    <w:rsid w:val="006F6C12"/>
    <w:rsid w:val="00701EC6"/>
    <w:rsid w:val="00702D99"/>
    <w:rsid w:val="00706179"/>
    <w:rsid w:val="00714F78"/>
    <w:rsid w:val="007152B0"/>
    <w:rsid w:val="0071687A"/>
    <w:rsid w:val="007170F7"/>
    <w:rsid w:val="00717589"/>
    <w:rsid w:val="00717D5D"/>
    <w:rsid w:val="00722F9F"/>
    <w:rsid w:val="007253B8"/>
    <w:rsid w:val="0072783A"/>
    <w:rsid w:val="00734984"/>
    <w:rsid w:val="00735990"/>
    <w:rsid w:val="00736E7D"/>
    <w:rsid w:val="007376E8"/>
    <w:rsid w:val="00742AE0"/>
    <w:rsid w:val="0074415B"/>
    <w:rsid w:val="00750058"/>
    <w:rsid w:val="007509A6"/>
    <w:rsid w:val="00751457"/>
    <w:rsid w:val="00753F83"/>
    <w:rsid w:val="007541B0"/>
    <w:rsid w:val="0075469B"/>
    <w:rsid w:val="00754CA5"/>
    <w:rsid w:val="00755163"/>
    <w:rsid w:val="00756AAB"/>
    <w:rsid w:val="00757F63"/>
    <w:rsid w:val="007611A6"/>
    <w:rsid w:val="007645AE"/>
    <w:rsid w:val="00764992"/>
    <w:rsid w:val="00765749"/>
    <w:rsid w:val="007663C9"/>
    <w:rsid w:val="00775AA0"/>
    <w:rsid w:val="00776184"/>
    <w:rsid w:val="007764AC"/>
    <w:rsid w:val="007770FA"/>
    <w:rsid w:val="007800C3"/>
    <w:rsid w:val="00783E39"/>
    <w:rsid w:val="00784966"/>
    <w:rsid w:val="00786628"/>
    <w:rsid w:val="00791738"/>
    <w:rsid w:val="00791780"/>
    <w:rsid w:val="00792D37"/>
    <w:rsid w:val="00795EA6"/>
    <w:rsid w:val="00797EB3"/>
    <w:rsid w:val="007A0B4E"/>
    <w:rsid w:val="007A0EB7"/>
    <w:rsid w:val="007A4732"/>
    <w:rsid w:val="007A6B02"/>
    <w:rsid w:val="007A721D"/>
    <w:rsid w:val="007A7714"/>
    <w:rsid w:val="007B6871"/>
    <w:rsid w:val="007B7899"/>
    <w:rsid w:val="007C086D"/>
    <w:rsid w:val="007C08B1"/>
    <w:rsid w:val="007C12EB"/>
    <w:rsid w:val="007C2CC2"/>
    <w:rsid w:val="007C38BD"/>
    <w:rsid w:val="007C79AA"/>
    <w:rsid w:val="007D0565"/>
    <w:rsid w:val="007D31DA"/>
    <w:rsid w:val="007D6387"/>
    <w:rsid w:val="007D6D4E"/>
    <w:rsid w:val="007D72C5"/>
    <w:rsid w:val="007E525D"/>
    <w:rsid w:val="007F0323"/>
    <w:rsid w:val="007F19A9"/>
    <w:rsid w:val="007F1B9C"/>
    <w:rsid w:val="007F1EDC"/>
    <w:rsid w:val="007F379E"/>
    <w:rsid w:val="007F4207"/>
    <w:rsid w:val="007F471C"/>
    <w:rsid w:val="00800C90"/>
    <w:rsid w:val="00800DE2"/>
    <w:rsid w:val="0080222B"/>
    <w:rsid w:val="00810363"/>
    <w:rsid w:val="008125F8"/>
    <w:rsid w:val="0081336B"/>
    <w:rsid w:val="008208A8"/>
    <w:rsid w:val="00826012"/>
    <w:rsid w:val="00826624"/>
    <w:rsid w:val="00834CE0"/>
    <w:rsid w:val="0083621C"/>
    <w:rsid w:val="0084110F"/>
    <w:rsid w:val="008443B4"/>
    <w:rsid w:val="00844B1D"/>
    <w:rsid w:val="00844F5C"/>
    <w:rsid w:val="00845843"/>
    <w:rsid w:val="00846D34"/>
    <w:rsid w:val="0085458D"/>
    <w:rsid w:val="00861F87"/>
    <w:rsid w:val="00863020"/>
    <w:rsid w:val="008637EC"/>
    <w:rsid w:val="00867AFA"/>
    <w:rsid w:val="00870BC6"/>
    <w:rsid w:val="00871D8D"/>
    <w:rsid w:val="00875DAD"/>
    <w:rsid w:val="00877B84"/>
    <w:rsid w:val="00877E5F"/>
    <w:rsid w:val="0088036D"/>
    <w:rsid w:val="00880580"/>
    <w:rsid w:val="00881155"/>
    <w:rsid w:val="00882892"/>
    <w:rsid w:val="00882CE9"/>
    <w:rsid w:val="00884047"/>
    <w:rsid w:val="00885A14"/>
    <w:rsid w:val="0088689B"/>
    <w:rsid w:val="00890FA0"/>
    <w:rsid w:val="00891AC4"/>
    <w:rsid w:val="008947BF"/>
    <w:rsid w:val="00894936"/>
    <w:rsid w:val="008A0CBE"/>
    <w:rsid w:val="008A1CA8"/>
    <w:rsid w:val="008A214D"/>
    <w:rsid w:val="008A37E5"/>
    <w:rsid w:val="008A3A8C"/>
    <w:rsid w:val="008A6100"/>
    <w:rsid w:val="008A72D2"/>
    <w:rsid w:val="008A74A3"/>
    <w:rsid w:val="008B4FC5"/>
    <w:rsid w:val="008B6868"/>
    <w:rsid w:val="008B6D24"/>
    <w:rsid w:val="008B7050"/>
    <w:rsid w:val="008B7BE6"/>
    <w:rsid w:val="008C297A"/>
    <w:rsid w:val="008C34F7"/>
    <w:rsid w:val="008C6A43"/>
    <w:rsid w:val="008D080C"/>
    <w:rsid w:val="008D0AB0"/>
    <w:rsid w:val="008D10E5"/>
    <w:rsid w:val="008D1867"/>
    <w:rsid w:val="008D18E2"/>
    <w:rsid w:val="008D2111"/>
    <w:rsid w:val="008D6235"/>
    <w:rsid w:val="008D6437"/>
    <w:rsid w:val="008D6EDF"/>
    <w:rsid w:val="008E3597"/>
    <w:rsid w:val="008E3EF5"/>
    <w:rsid w:val="008E7185"/>
    <w:rsid w:val="008F2105"/>
    <w:rsid w:val="008F33B5"/>
    <w:rsid w:val="008F3D8B"/>
    <w:rsid w:val="008F44EF"/>
    <w:rsid w:val="008F5BB9"/>
    <w:rsid w:val="008F6963"/>
    <w:rsid w:val="00901414"/>
    <w:rsid w:val="00903E98"/>
    <w:rsid w:val="00906799"/>
    <w:rsid w:val="0091431B"/>
    <w:rsid w:val="00915DF1"/>
    <w:rsid w:val="00922193"/>
    <w:rsid w:val="00924152"/>
    <w:rsid w:val="009301C0"/>
    <w:rsid w:val="0093194D"/>
    <w:rsid w:val="00933AF7"/>
    <w:rsid w:val="00934C3F"/>
    <w:rsid w:val="009417AE"/>
    <w:rsid w:val="00945B3F"/>
    <w:rsid w:val="00950D3F"/>
    <w:rsid w:val="00950DCB"/>
    <w:rsid w:val="00952D47"/>
    <w:rsid w:val="00952D4C"/>
    <w:rsid w:val="00956572"/>
    <w:rsid w:val="00960246"/>
    <w:rsid w:val="009720E1"/>
    <w:rsid w:val="00974F0E"/>
    <w:rsid w:val="00975CD7"/>
    <w:rsid w:val="009772A9"/>
    <w:rsid w:val="00980CA1"/>
    <w:rsid w:val="0098275D"/>
    <w:rsid w:val="00985E70"/>
    <w:rsid w:val="0098783B"/>
    <w:rsid w:val="00993C2B"/>
    <w:rsid w:val="009979F4"/>
    <w:rsid w:val="009A00A5"/>
    <w:rsid w:val="009A1E0E"/>
    <w:rsid w:val="009A246D"/>
    <w:rsid w:val="009A45B2"/>
    <w:rsid w:val="009A50A6"/>
    <w:rsid w:val="009A5585"/>
    <w:rsid w:val="009A59D5"/>
    <w:rsid w:val="009A6063"/>
    <w:rsid w:val="009B0C0D"/>
    <w:rsid w:val="009B2CB7"/>
    <w:rsid w:val="009C12BD"/>
    <w:rsid w:val="009C2198"/>
    <w:rsid w:val="009C4CD5"/>
    <w:rsid w:val="009C5962"/>
    <w:rsid w:val="009C6E12"/>
    <w:rsid w:val="009C795F"/>
    <w:rsid w:val="009D1F3C"/>
    <w:rsid w:val="009D2DDD"/>
    <w:rsid w:val="009E0C10"/>
    <w:rsid w:val="009E4116"/>
    <w:rsid w:val="009E4FE3"/>
    <w:rsid w:val="009E529F"/>
    <w:rsid w:val="009E608E"/>
    <w:rsid w:val="009F248F"/>
    <w:rsid w:val="009F452A"/>
    <w:rsid w:val="009F670D"/>
    <w:rsid w:val="009F7C8E"/>
    <w:rsid w:val="00A01D36"/>
    <w:rsid w:val="00A038EA"/>
    <w:rsid w:val="00A060D1"/>
    <w:rsid w:val="00A10DA6"/>
    <w:rsid w:val="00A11568"/>
    <w:rsid w:val="00A12EBF"/>
    <w:rsid w:val="00A151E9"/>
    <w:rsid w:val="00A15DBB"/>
    <w:rsid w:val="00A21133"/>
    <w:rsid w:val="00A211AB"/>
    <w:rsid w:val="00A259F2"/>
    <w:rsid w:val="00A2758A"/>
    <w:rsid w:val="00A309F0"/>
    <w:rsid w:val="00A33802"/>
    <w:rsid w:val="00A34ADD"/>
    <w:rsid w:val="00A360BD"/>
    <w:rsid w:val="00A37162"/>
    <w:rsid w:val="00A37E51"/>
    <w:rsid w:val="00A41660"/>
    <w:rsid w:val="00A440C3"/>
    <w:rsid w:val="00A458D1"/>
    <w:rsid w:val="00A51E2D"/>
    <w:rsid w:val="00A5319F"/>
    <w:rsid w:val="00A533A9"/>
    <w:rsid w:val="00A53690"/>
    <w:rsid w:val="00A615BF"/>
    <w:rsid w:val="00A62D31"/>
    <w:rsid w:val="00A63380"/>
    <w:rsid w:val="00A64218"/>
    <w:rsid w:val="00A703D7"/>
    <w:rsid w:val="00A70EB4"/>
    <w:rsid w:val="00A73C6D"/>
    <w:rsid w:val="00A809E1"/>
    <w:rsid w:val="00A8129D"/>
    <w:rsid w:val="00A818E6"/>
    <w:rsid w:val="00A82188"/>
    <w:rsid w:val="00A84DFA"/>
    <w:rsid w:val="00A865C7"/>
    <w:rsid w:val="00A902BB"/>
    <w:rsid w:val="00A909CC"/>
    <w:rsid w:val="00A9232D"/>
    <w:rsid w:val="00A92349"/>
    <w:rsid w:val="00A95177"/>
    <w:rsid w:val="00A964A5"/>
    <w:rsid w:val="00A97E3B"/>
    <w:rsid w:val="00AA00CB"/>
    <w:rsid w:val="00AA20A1"/>
    <w:rsid w:val="00AA3B7F"/>
    <w:rsid w:val="00AA41F2"/>
    <w:rsid w:val="00AB039E"/>
    <w:rsid w:val="00AB4206"/>
    <w:rsid w:val="00AB481C"/>
    <w:rsid w:val="00AB76BE"/>
    <w:rsid w:val="00AC1B19"/>
    <w:rsid w:val="00AC3180"/>
    <w:rsid w:val="00AC7E54"/>
    <w:rsid w:val="00AD2688"/>
    <w:rsid w:val="00AE6A4E"/>
    <w:rsid w:val="00AE7B98"/>
    <w:rsid w:val="00AF129F"/>
    <w:rsid w:val="00AF2F79"/>
    <w:rsid w:val="00AF446E"/>
    <w:rsid w:val="00AF464D"/>
    <w:rsid w:val="00AF4AFC"/>
    <w:rsid w:val="00AF7C65"/>
    <w:rsid w:val="00B0332C"/>
    <w:rsid w:val="00B07CBD"/>
    <w:rsid w:val="00B12DC9"/>
    <w:rsid w:val="00B13744"/>
    <w:rsid w:val="00B1385D"/>
    <w:rsid w:val="00B13F84"/>
    <w:rsid w:val="00B14604"/>
    <w:rsid w:val="00B15ABA"/>
    <w:rsid w:val="00B20FA0"/>
    <w:rsid w:val="00B24DD4"/>
    <w:rsid w:val="00B259C1"/>
    <w:rsid w:val="00B27189"/>
    <w:rsid w:val="00B275A0"/>
    <w:rsid w:val="00B34339"/>
    <w:rsid w:val="00B34B76"/>
    <w:rsid w:val="00B40B7D"/>
    <w:rsid w:val="00B42B2F"/>
    <w:rsid w:val="00B44900"/>
    <w:rsid w:val="00B45687"/>
    <w:rsid w:val="00B467F6"/>
    <w:rsid w:val="00B470D1"/>
    <w:rsid w:val="00B472E1"/>
    <w:rsid w:val="00B47996"/>
    <w:rsid w:val="00B47F66"/>
    <w:rsid w:val="00B50C06"/>
    <w:rsid w:val="00B51D26"/>
    <w:rsid w:val="00B52821"/>
    <w:rsid w:val="00B55F47"/>
    <w:rsid w:val="00B56C63"/>
    <w:rsid w:val="00B572C9"/>
    <w:rsid w:val="00B634CA"/>
    <w:rsid w:val="00B664C7"/>
    <w:rsid w:val="00B71170"/>
    <w:rsid w:val="00B720ED"/>
    <w:rsid w:val="00B73427"/>
    <w:rsid w:val="00B74406"/>
    <w:rsid w:val="00B74A52"/>
    <w:rsid w:val="00B7522C"/>
    <w:rsid w:val="00B80937"/>
    <w:rsid w:val="00B80BCE"/>
    <w:rsid w:val="00B81524"/>
    <w:rsid w:val="00B81740"/>
    <w:rsid w:val="00B83542"/>
    <w:rsid w:val="00B84117"/>
    <w:rsid w:val="00B85D7B"/>
    <w:rsid w:val="00B900EA"/>
    <w:rsid w:val="00B91069"/>
    <w:rsid w:val="00B92842"/>
    <w:rsid w:val="00B96CEA"/>
    <w:rsid w:val="00BA2713"/>
    <w:rsid w:val="00BA2941"/>
    <w:rsid w:val="00BA4C61"/>
    <w:rsid w:val="00BA4D12"/>
    <w:rsid w:val="00BA627A"/>
    <w:rsid w:val="00BA7A57"/>
    <w:rsid w:val="00BA7A8F"/>
    <w:rsid w:val="00BB1C89"/>
    <w:rsid w:val="00BB22FA"/>
    <w:rsid w:val="00BB61CE"/>
    <w:rsid w:val="00BC47D7"/>
    <w:rsid w:val="00BD12A1"/>
    <w:rsid w:val="00BD1543"/>
    <w:rsid w:val="00BD1D09"/>
    <w:rsid w:val="00BD7B83"/>
    <w:rsid w:val="00BE04FC"/>
    <w:rsid w:val="00BE1890"/>
    <w:rsid w:val="00BE37D9"/>
    <w:rsid w:val="00BF17C6"/>
    <w:rsid w:val="00BF2289"/>
    <w:rsid w:val="00BF4DBF"/>
    <w:rsid w:val="00BF6BCE"/>
    <w:rsid w:val="00BF6C7D"/>
    <w:rsid w:val="00BF6F09"/>
    <w:rsid w:val="00BF7F04"/>
    <w:rsid w:val="00C00FDA"/>
    <w:rsid w:val="00C02EB9"/>
    <w:rsid w:val="00C0373C"/>
    <w:rsid w:val="00C04E4B"/>
    <w:rsid w:val="00C07E28"/>
    <w:rsid w:val="00C11531"/>
    <w:rsid w:val="00C11B56"/>
    <w:rsid w:val="00C12E9F"/>
    <w:rsid w:val="00C14C04"/>
    <w:rsid w:val="00C1529E"/>
    <w:rsid w:val="00C1566E"/>
    <w:rsid w:val="00C16045"/>
    <w:rsid w:val="00C17D30"/>
    <w:rsid w:val="00C21E27"/>
    <w:rsid w:val="00C2332A"/>
    <w:rsid w:val="00C233E4"/>
    <w:rsid w:val="00C24B0F"/>
    <w:rsid w:val="00C30762"/>
    <w:rsid w:val="00C34C4E"/>
    <w:rsid w:val="00C403BA"/>
    <w:rsid w:val="00C42EA5"/>
    <w:rsid w:val="00C42FF0"/>
    <w:rsid w:val="00C45687"/>
    <w:rsid w:val="00C45EEE"/>
    <w:rsid w:val="00C46485"/>
    <w:rsid w:val="00C5007E"/>
    <w:rsid w:val="00C516ED"/>
    <w:rsid w:val="00C539A5"/>
    <w:rsid w:val="00C62BF5"/>
    <w:rsid w:val="00C636DA"/>
    <w:rsid w:val="00C648BE"/>
    <w:rsid w:val="00C67E22"/>
    <w:rsid w:val="00C72271"/>
    <w:rsid w:val="00C72A17"/>
    <w:rsid w:val="00C76376"/>
    <w:rsid w:val="00C802CA"/>
    <w:rsid w:val="00C806AE"/>
    <w:rsid w:val="00C81356"/>
    <w:rsid w:val="00C813CD"/>
    <w:rsid w:val="00C858D9"/>
    <w:rsid w:val="00C87DA0"/>
    <w:rsid w:val="00CA0BAB"/>
    <w:rsid w:val="00CA10F5"/>
    <w:rsid w:val="00CA4E4D"/>
    <w:rsid w:val="00CA6FF9"/>
    <w:rsid w:val="00CB4238"/>
    <w:rsid w:val="00CB5938"/>
    <w:rsid w:val="00CB5B27"/>
    <w:rsid w:val="00CC1288"/>
    <w:rsid w:val="00CC13F5"/>
    <w:rsid w:val="00CC1A64"/>
    <w:rsid w:val="00CC34EB"/>
    <w:rsid w:val="00CC66EA"/>
    <w:rsid w:val="00CC7F27"/>
    <w:rsid w:val="00CD113B"/>
    <w:rsid w:val="00CD1CB6"/>
    <w:rsid w:val="00CD3AF0"/>
    <w:rsid w:val="00CD3C17"/>
    <w:rsid w:val="00CD3FDF"/>
    <w:rsid w:val="00CE1F9C"/>
    <w:rsid w:val="00CE2E48"/>
    <w:rsid w:val="00CE4350"/>
    <w:rsid w:val="00CE52F1"/>
    <w:rsid w:val="00CE7C54"/>
    <w:rsid w:val="00CF0184"/>
    <w:rsid w:val="00CF55F6"/>
    <w:rsid w:val="00CF59E0"/>
    <w:rsid w:val="00CF6672"/>
    <w:rsid w:val="00D021F7"/>
    <w:rsid w:val="00D05D92"/>
    <w:rsid w:val="00D069C7"/>
    <w:rsid w:val="00D078A2"/>
    <w:rsid w:val="00D175C4"/>
    <w:rsid w:val="00D21123"/>
    <w:rsid w:val="00D24B9E"/>
    <w:rsid w:val="00D26BB7"/>
    <w:rsid w:val="00D26E60"/>
    <w:rsid w:val="00D27126"/>
    <w:rsid w:val="00D367EB"/>
    <w:rsid w:val="00D36C91"/>
    <w:rsid w:val="00D37098"/>
    <w:rsid w:val="00D400D5"/>
    <w:rsid w:val="00D415F6"/>
    <w:rsid w:val="00D41871"/>
    <w:rsid w:val="00D42301"/>
    <w:rsid w:val="00D45954"/>
    <w:rsid w:val="00D45D62"/>
    <w:rsid w:val="00D461C2"/>
    <w:rsid w:val="00D53631"/>
    <w:rsid w:val="00D57E26"/>
    <w:rsid w:val="00D61AAE"/>
    <w:rsid w:val="00D62E86"/>
    <w:rsid w:val="00D6308C"/>
    <w:rsid w:val="00D632CA"/>
    <w:rsid w:val="00D63D2C"/>
    <w:rsid w:val="00D64CB8"/>
    <w:rsid w:val="00D720AE"/>
    <w:rsid w:val="00D72FD8"/>
    <w:rsid w:val="00D75A8B"/>
    <w:rsid w:val="00D75DA2"/>
    <w:rsid w:val="00D80028"/>
    <w:rsid w:val="00D800E3"/>
    <w:rsid w:val="00D816C9"/>
    <w:rsid w:val="00D84FC2"/>
    <w:rsid w:val="00D868B3"/>
    <w:rsid w:val="00D92A45"/>
    <w:rsid w:val="00D95690"/>
    <w:rsid w:val="00D96795"/>
    <w:rsid w:val="00D9697A"/>
    <w:rsid w:val="00DA2F39"/>
    <w:rsid w:val="00DA3023"/>
    <w:rsid w:val="00DA4503"/>
    <w:rsid w:val="00DA4C48"/>
    <w:rsid w:val="00DA727D"/>
    <w:rsid w:val="00DB1C3F"/>
    <w:rsid w:val="00DB1C7B"/>
    <w:rsid w:val="00DB53A7"/>
    <w:rsid w:val="00DB758C"/>
    <w:rsid w:val="00DC5105"/>
    <w:rsid w:val="00DD170F"/>
    <w:rsid w:val="00DD2486"/>
    <w:rsid w:val="00DD5DAC"/>
    <w:rsid w:val="00DD6427"/>
    <w:rsid w:val="00DD797D"/>
    <w:rsid w:val="00DE0A8A"/>
    <w:rsid w:val="00DE1259"/>
    <w:rsid w:val="00DE3DD9"/>
    <w:rsid w:val="00DE61A4"/>
    <w:rsid w:val="00DF0D1B"/>
    <w:rsid w:val="00DF2F8B"/>
    <w:rsid w:val="00DF51F6"/>
    <w:rsid w:val="00DF6837"/>
    <w:rsid w:val="00DF68E4"/>
    <w:rsid w:val="00DF6E54"/>
    <w:rsid w:val="00E04228"/>
    <w:rsid w:val="00E04457"/>
    <w:rsid w:val="00E04665"/>
    <w:rsid w:val="00E04BBC"/>
    <w:rsid w:val="00E10450"/>
    <w:rsid w:val="00E1478E"/>
    <w:rsid w:val="00E159D7"/>
    <w:rsid w:val="00E160D9"/>
    <w:rsid w:val="00E20C22"/>
    <w:rsid w:val="00E213AB"/>
    <w:rsid w:val="00E21653"/>
    <w:rsid w:val="00E21C9B"/>
    <w:rsid w:val="00E2414E"/>
    <w:rsid w:val="00E25CAA"/>
    <w:rsid w:val="00E26830"/>
    <w:rsid w:val="00E26FAF"/>
    <w:rsid w:val="00E31218"/>
    <w:rsid w:val="00E36928"/>
    <w:rsid w:val="00E40B36"/>
    <w:rsid w:val="00E41D16"/>
    <w:rsid w:val="00E51672"/>
    <w:rsid w:val="00E522FC"/>
    <w:rsid w:val="00E55EE5"/>
    <w:rsid w:val="00E5782B"/>
    <w:rsid w:val="00E61423"/>
    <w:rsid w:val="00E61784"/>
    <w:rsid w:val="00E625B3"/>
    <w:rsid w:val="00E63810"/>
    <w:rsid w:val="00E64743"/>
    <w:rsid w:val="00E66457"/>
    <w:rsid w:val="00E67C33"/>
    <w:rsid w:val="00E718A8"/>
    <w:rsid w:val="00E71EBE"/>
    <w:rsid w:val="00E723B0"/>
    <w:rsid w:val="00E7257D"/>
    <w:rsid w:val="00E728CB"/>
    <w:rsid w:val="00E72D04"/>
    <w:rsid w:val="00E7336F"/>
    <w:rsid w:val="00E74F3B"/>
    <w:rsid w:val="00E76262"/>
    <w:rsid w:val="00E777CF"/>
    <w:rsid w:val="00E80BC2"/>
    <w:rsid w:val="00E84A6B"/>
    <w:rsid w:val="00E86A93"/>
    <w:rsid w:val="00E92385"/>
    <w:rsid w:val="00E92D5D"/>
    <w:rsid w:val="00E93F74"/>
    <w:rsid w:val="00E9497B"/>
    <w:rsid w:val="00E96DEA"/>
    <w:rsid w:val="00EA1585"/>
    <w:rsid w:val="00EA48AE"/>
    <w:rsid w:val="00EA568B"/>
    <w:rsid w:val="00EA67D7"/>
    <w:rsid w:val="00EB014E"/>
    <w:rsid w:val="00EB09E2"/>
    <w:rsid w:val="00EB1DCB"/>
    <w:rsid w:val="00EB4EFA"/>
    <w:rsid w:val="00EB74A5"/>
    <w:rsid w:val="00EC26ED"/>
    <w:rsid w:val="00EC2F41"/>
    <w:rsid w:val="00EC3AA7"/>
    <w:rsid w:val="00EC6AE4"/>
    <w:rsid w:val="00ED07DC"/>
    <w:rsid w:val="00ED2475"/>
    <w:rsid w:val="00ED6F07"/>
    <w:rsid w:val="00ED6F33"/>
    <w:rsid w:val="00EE0126"/>
    <w:rsid w:val="00EE0C89"/>
    <w:rsid w:val="00EE47FE"/>
    <w:rsid w:val="00EE50C6"/>
    <w:rsid w:val="00EE5D41"/>
    <w:rsid w:val="00EE766D"/>
    <w:rsid w:val="00EF0BB3"/>
    <w:rsid w:val="00EF2A15"/>
    <w:rsid w:val="00EF5BFD"/>
    <w:rsid w:val="00EF7B33"/>
    <w:rsid w:val="00F00470"/>
    <w:rsid w:val="00F01C6F"/>
    <w:rsid w:val="00F02EFA"/>
    <w:rsid w:val="00F0509B"/>
    <w:rsid w:val="00F059D6"/>
    <w:rsid w:val="00F06EE2"/>
    <w:rsid w:val="00F070CB"/>
    <w:rsid w:val="00F074DC"/>
    <w:rsid w:val="00F11C3D"/>
    <w:rsid w:val="00F132D7"/>
    <w:rsid w:val="00F1385F"/>
    <w:rsid w:val="00F15632"/>
    <w:rsid w:val="00F17535"/>
    <w:rsid w:val="00F20949"/>
    <w:rsid w:val="00F24F8F"/>
    <w:rsid w:val="00F256CD"/>
    <w:rsid w:val="00F303B2"/>
    <w:rsid w:val="00F307E0"/>
    <w:rsid w:val="00F34D63"/>
    <w:rsid w:val="00F51418"/>
    <w:rsid w:val="00F52E2A"/>
    <w:rsid w:val="00F56900"/>
    <w:rsid w:val="00F57F7A"/>
    <w:rsid w:val="00F6232E"/>
    <w:rsid w:val="00F6269C"/>
    <w:rsid w:val="00F62D33"/>
    <w:rsid w:val="00F64AB3"/>
    <w:rsid w:val="00F6570B"/>
    <w:rsid w:val="00F67615"/>
    <w:rsid w:val="00F756BD"/>
    <w:rsid w:val="00F76266"/>
    <w:rsid w:val="00F76C98"/>
    <w:rsid w:val="00F804CD"/>
    <w:rsid w:val="00F80750"/>
    <w:rsid w:val="00F84D73"/>
    <w:rsid w:val="00F85F59"/>
    <w:rsid w:val="00F8600C"/>
    <w:rsid w:val="00F86538"/>
    <w:rsid w:val="00F86717"/>
    <w:rsid w:val="00F86DD4"/>
    <w:rsid w:val="00F960D7"/>
    <w:rsid w:val="00F97C7A"/>
    <w:rsid w:val="00FA0429"/>
    <w:rsid w:val="00FA2887"/>
    <w:rsid w:val="00FA2909"/>
    <w:rsid w:val="00FA3CEC"/>
    <w:rsid w:val="00FA432F"/>
    <w:rsid w:val="00FA4930"/>
    <w:rsid w:val="00FA58DB"/>
    <w:rsid w:val="00FA6CBE"/>
    <w:rsid w:val="00FA7F47"/>
    <w:rsid w:val="00FA7FC7"/>
    <w:rsid w:val="00FB4CF2"/>
    <w:rsid w:val="00FC0B69"/>
    <w:rsid w:val="00FC4845"/>
    <w:rsid w:val="00FC565C"/>
    <w:rsid w:val="00FC6A70"/>
    <w:rsid w:val="00FC6B03"/>
    <w:rsid w:val="00FD06D5"/>
    <w:rsid w:val="00FD28FF"/>
    <w:rsid w:val="00FD67BF"/>
    <w:rsid w:val="00FD68A1"/>
    <w:rsid w:val="00FE2CC9"/>
    <w:rsid w:val="00FE419E"/>
    <w:rsid w:val="00FE7795"/>
    <w:rsid w:val="00FF2484"/>
    <w:rsid w:val="00FF4201"/>
    <w:rsid w:val="40C87DB5"/>
    <w:rsid w:val="5E8DDB99"/>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F881E0"/>
  <w15:chartTrackingRefBased/>
  <w15:docId w15:val="{D6A5C85B-BB0B-426E-93AF-141CA1F41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color w:val="000000"/>
        <w:sz w:val="22"/>
        <w:szCs w:val="22"/>
        <w:lang w:val="en-AU" w:eastAsia="en-US" w:bidi="ar-SA"/>
      </w:rPr>
    </w:rPrDefault>
    <w:pPrDefault>
      <w:pPr>
        <w:spacing w:after="240"/>
        <w:jc w:val="both"/>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locked="0" w:semiHidden="1" w:uiPriority="0"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qFormat="1"/>
    <w:lsdException w:name="annotation text" w:semiHidden="1" w:uiPriority="49" w:unhideWhenUsed="1"/>
    <w:lsdException w:name="header" w:locked="0" w:uiPriority="1" w:unhideWhenUsed="1"/>
    <w:lsdException w:name="footer" w:locked="0" w:unhideWhenUsed="1"/>
    <w:lsdException w:name="index heading" w:semiHidden="1" w:unhideWhenUsed="1"/>
    <w:lsdException w:name="caption" w:uiPriority="34"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iPriority="49"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iPriority="17" w:unhideWhenUsed="1" w:qFormat="1"/>
    <w:lsdException w:name="List Bullet" w:uiPriority="13" w:unhideWhenUsed="1" w:qFormat="1"/>
    <w:lsdException w:name="List Number" w:uiPriority="15" w:qFormat="1"/>
    <w:lsdException w:name="List 2" w:semiHidden="1" w:uiPriority="17" w:unhideWhenUsed="1" w:qFormat="1"/>
    <w:lsdException w:name="List 3" w:semiHidden="1" w:uiPriority="17" w:unhideWhenUsed="1" w:qFormat="1"/>
    <w:lsdException w:name="List 4" w:semiHidden="1" w:unhideWhenUsed="1"/>
    <w:lsdException w:name="List 5" w:semiHidden="1" w:unhideWhenUsed="1"/>
    <w:lsdException w:name="List Bullet 2" w:uiPriority="13" w:unhideWhenUsed="1" w:qFormat="1"/>
    <w:lsdException w:name="List Bullet 3" w:uiPriority="13" w:unhideWhenUsed="1" w:qFormat="1"/>
    <w:lsdException w:name="List Bullet 4" w:semiHidden="1" w:qFormat="1"/>
    <w:lsdException w:name="List Bullet 5" w:semiHidden="1" w:unhideWhenUsed="1"/>
    <w:lsdException w:name="List Number 2" w:uiPriority="16" w:unhideWhenUsed="1" w:qFormat="1"/>
    <w:lsdException w:name="List Number 3" w:uiPriority="16" w:unhideWhenUsed="1" w:qFormat="1"/>
    <w:lsdException w:name="List Number 4" w:uiPriority="16" w:unhideWhenUsed="1" w:qFormat="1"/>
    <w:lsdException w:name="List Number 5" w:semiHidden="1" w:unhideWhenUsed="1"/>
    <w:lsdException w:name="Title" w:uiPriority="1"/>
    <w:lsdException w:name="Closing" w:semiHidden="1" w:unhideWhenUsed="1"/>
    <w:lsdException w:name="Signature" w:semiHidden="1" w:uiPriority="29"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iPriority="2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semiHidden="1" w:unhideWhenUsed="1"/>
    <w:lsdException w:name="Outline List 3" w:locked="0"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17" w:qFormat="1"/>
    <w:lsdException w:name="Quote" w:uiPriority="1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4D76C1"/>
    <w:pPr>
      <w:numPr>
        <w:numId w:val="5"/>
      </w:numPr>
    </w:pPr>
  </w:style>
  <w:style w:type="paragraph" w:styleId="Heading1">
    <w:name w:val="heading 1"/>
    <w:basedOn w:val="Normal"/>
    <w:next w:val="Normal"/>
    <w:link w:val="Heading1Char"/>
    <w:uiPriority w:val="9"/>
    <w:qFormat/>
    <w:rsid w:val="00004ED1"/>
    <w:pPr>
      <w:keepNext/>
      <w:keepLines/>
      <w:numPr>
        <w:numId w:val="27"/>
      </w:numPr>
      <w:spacing w:before="360"/>
      <w:outlineLvl w:val="0"/>
    </w:pPr>
    <w:rPr>
      <w:rFonts w:asciiTheme="majorHAnsi" w:eastAsiaTheme="majorEastAsia" w:hAnsiTheme="majorHAnsi" w:cstheme="majorBidi"/>
      <w:b/>
      <w:bCs/>
      <w:color w:val="000000" w:themeColor="text1"/>
      <w:sz w:val="32"/>
      <w:szCs w:val="28"/>
    </w:rPr>
  </w:style>
  <w:style w:type="paragraph" w:styleId="Heading2">
    <w:name w:val="heading 2"/>
    <w:basedOn w:val="Normal"/>
    <w:next w:val="Normal"/>
    <w:link w:val="Heading2Char"/>
    <w:uiPriority w:val="9"/>
    <w:qFormat/>
    <w:rsid w:val="00004ED1"/>
    <w:pPr>
      <w:keepNext/>
      <w:keepLines/>
      <w:numPr>
        <w:ilvl w:val="1"/>
        <w:numId w:val="27"/>
      </w:numPr>
      <w:spacing w:before="360"/>
      <w:outlineLvl w:val="1"/>
    </w:pPr>
    <w:rPr>
      <w:rFonts w:asciiTheme="majorHAnsi" w:eastAsiaTheme="majorEastAsia" w:hAnsiTheme="majorHAnsi" w:cstheme="majorBidi"/>
      <w:b/>
      <w:bCs/>
      <w:i/>
      <w:color w:val="000000" w:themeColor="text1"/>
      <w:sz w:val="28"/>
      <w:szCs w:val="26"/>
    </w:rPr>
  </w:style>
  <w:style w:type="paragraph" w:styleId="Heading3">
    <w:name w:val="heading 3"/>
    <w:basedOn w:val="Normal"/>
    <w:next w:val="Normal"/>
    <w:link w:val="Heading3Char"/>
    <w:uiPriority w:val="9"/>
    <w:qFormat/>
    <w:rsid w:val="009E529F"/>
    <w:pPr>
      <w:keepNext/>
      <w:keepLines/>
      <w:numPr>
        <w:ilvl w:val="2"/>
        <w:numId w:val="27"/>
      </w:numPr>
      <w:spacing w:before="240" w:after="120"/>
      <w:outlineLvl w:val="2"/>
    </w:pPr>
    <w:rPr>
      <w:rFonts w:asciiTheme="majorHAnsi" w:eastAsiaTheme="majorEastAsia" w:hAnsiTheme="majorHAnsi" w:cstheme="majorBidi"/>
      <w:b/>
      <w:bCs/>
      <w:color w:val="000000" w:themeColor="text1"/>
      <w:sz w:val="24"/>
    </w:rPr>
  </w:style>
  <w:style w:type="paragraph" w:styleId="Heading4">
    <w:name w:val="heading 4"/>
    <w:basedOn w:val="Normal"/>
    <w:next w:val="Normal"/>
    <w:link w:val="Heading4Char"/>
    <w:qFormat/>
    <w:rsid w:val="005D04CC"/>
    <w:pPr>
      <w:keepNext/>
      <w:keepLines/>
      <w:numPr>
        <w:ilvl w:val="3"/>
        <w:numId w:val="27"/>
      </w:numPr>
      <w:spacing w:before="240" w:after="12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qFormat/>
    <w:rsid w:val="009E529F"/>
    <w:pPr>
      <w:keepNext/>
      <w:keepLines/>
      <w:numPr>
        <w:ilvl w:val="4"/>
        <w:numId w:val="27"/>
      </w:numPr>
      <w:spacing w:before="240" w:after="120"/>
      <w:outlineLvl w:val="4"/>
    </w:pPr>
    <w:rPr>
      <w:rFonts w:asciiTheme="majorHAnsi" w:eastAsiaTheme="majorEastAsia" w:hAnsiTheme="majorHAnsi" w:cstheme="majorBidi"/>
      <w:b/>
      <w:color w:val="000000" w:themeColor="text1"/>
    </w:rPr>
  </w:style>
  <w:style w:type="paragraph" w:styleId="Heading6">
    <w:name w:val="heading 6"/>
    <w:basedOn w:val="Normal"/>
    <w:next w:val="Normal"/>
    <w:link w:val="Heading6Char"/>
    <w:uiPriority w:val="9"/>
    <w:qFormat/>
    <w:rsid w:val="00E522FC"/>
    <w:pPr>
      <w:keepNext/>
      <w:keepLines/>
      <w:numPr>
        <w:ilvl w:val="5"/>
        <w:numId w:val="27"/>
      </w:numPr>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semiHidden/>
    <w:qFormat/>
    <w:rsid w:val="00B56C63"/>
    <w:pPr>
      <w:keepNext/>
      <w:keepLines/>
      <w:numPr>
        <w:ilvl w:val="6"/>
        <w:numId w:val="27"/>
      </w:numPr>
      <w:spacing w:before="240" w:after="12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qFormat/>
    <w:rsid w:val="00B56C63"/>
    <w:pPr>
      <w:keepNext/>
      <w:keepLines/>
      <w:numPr>
        <w:ilvl w:val="7"/>
        <w:numId w:val="27"/>
      </w:numPr>
      <w:spacing w:before="240" w:after="120"/>
      <w:outlineLvl w:val="7"/>
    </w:pPr>
    <w:rPr>
      <w:rFonts w:asciiTheme="majorHAnsi" w:eastAsiaTheme="majorEastAsia" w:hAnsiTheme="majorHAnsi" w:cstheme="majorBidi"/>
      <w:i/>
      <w:color w:val="000000" w:themeColor="text1"/>
    </w:rPr>
  </w:style>
  <w:style w:type="paragraph" w:styleId="Heading9">
    <w:name w:val="heading 9"/>
    <w:basedOn w:val="Normal"/>
    <w:next w:val="Normal"/>
    <w:link w:val="Heading9Char"/>
    <w:uiPriority w:val="9"/>
    <w:semiHidden/>
    <w:qFormat/>
    <w:rsid w:val="00B56C63"/>
    <w:pPr>
      <w:keepNext/>
      <w:keepLines/>
      <w:numPr>
        <w:ilvl w:val="8"/>
        <w:numId w:val="27"/>
      </w:numPr>
      <w:spacing w:before="240" w:after="120"/>
      <w:outlineLvl w:val="8"/>
    </w:pPr>
    <w:rPr>
      <w:rFonts w:asciiTheme="majorHAnsi" w:eastAsiaTheme="majorEastAsia" w:hAnsiTheme="majorHAnsi"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4ED1"/>
    <w:rPr>
      <w:rFonts w:asciiTheme="majorHAnsi" w:eastAsiaTheme="majorEastAsia" w:hAnsiTheme="majorHAnsi" w:cstheme="majorBidi"/>
      <w:b/>
      <w:bCs/>
      <w:color w:val="000000" w:themeColor="text1"/>
      <w:sz w:val="32"/>
      <w:szCs w:val="28"/>
    </w:rPr>
  </w:style>
  <w:style w:type="character" w:customStyle="1" w:styleId="Heading2Char">
    <w:name w:val="Heading 2 Char"/>
    <w:basedOn w:val="DefaultParagraphFont"/>
    <w:link w:val="Heading2"/>
    <w:uiPriority w:val="9"/>
    <w:rsid w:val="00004ED1"/>
    <w:rPr>
      <w:rFonts w:asciiTheme="majorHAnsi" w:eastAsiaTheme="majorEastAsia" w:hAnsiTheme="majorHAnsi" w:cstheme="majorBidi"/>
      <w:b/>
      <w:bCs/>
      <w:i/>
      <w:color w:val="000000" w:themeColor="text1"/>
      <w:sz w:val="28"/>
      <w:szCs w:val="26"/>
    </w:rPr>
  </w:style>
  <w:style w:type="character" w:customStyle="1" w:styleId="Heading3Char">
    <w:name w:val="Heading 3 Char"/>
    <w:basedOn w:val="DefaultParagraphFont"/>
    <w:link w:val="Heading3"/>
    <w:uiPriority w:val="9"/>
    <w:rsid w:val="009E529F"/>
    <w:rPr>
      <w:rFonts w:asciiTheme="majorHAnsi" w:eastAsiaTheme="majorEastAsia" w:hAnsiTheme="majorHAnsi" w:cstheme="majorBidi"/>
      <w:b/>
      <w:bCs/>
      <w:color w:val="000000" w:themeColor="text1"/>
      <w:sz w:val="24"/>
    </w:rPr>
  </w:style>
  <w:style w:type="paragraph" w:customStyle="1" w:styleId="CoverSubtitle">
    <w:name w:val="Cover Subtitle"/>
    <w:basedOn w:val="Normal"/>
    <w:next w:val="Normal"/>
    <w:uiPriority w:val="21"/>
    <w:semiHidden/>
    <w:locked/>
    <w:rsid w:val="00072B30"/>
    <w:pPr>
      <w:numPr>
        <w:numId w:val="0"/>
      </w:numPr>
      <w:spacing w:after="0"/>
    </w:pPr>
    <w:rPr>
      <w:rFonts w:asciiTheme="majorHAnsi" w:hAnsiTheme="majorHAnsi"/>
      <w:b/>
      <w:color w:val="000000" w:themeColor="text1"/>
      <w:sz w:val="48"/>
    </w:rPr>
  </w:style>
  <w:style w:type="paragraph" w:customStyle="1" w:styleId="SubHeadingNoTOC">
    <w:name w:val="Sub Heading (No TOC)"/>
    <w:basedOn w:val="Normal"/>
    <w:next w:val="Normal"/>
    <w:uiPriority w:val="9"/>
    <w:qFormat/>
    <w:rsid w:val="00F64AB3"/>
    <w:pPr>
      <w:keepNext/>
      <w:keepLines/>
      <w:numPr>
        <w:numId w:val="0"/>
      </w:numPr>
      <w:spacing w:before="240" w:after="120"/>
    </w:pPr>
    <w:rPr>
      <w:b/>
      <w:color w:val="000000" w:themeColor="text1"/>
    </w:rPr>
  </w:style>
  <w:style w:type="character" w:customStyle="1" w:styleId="Heading4Char">
    <w:name w:val="Heading 4 Char"/>
    <w:basedOn w:val="DefaultParagraphFont"/>
    <w:link w:val="Heading4"/>
    <w:rsid w:val="005D04CC"/>
    <w:rPr>
      <w:rFonts w:asciiTheme="majorHAnsi" w:eastAsiaTheme="majorEastAsia" w:hAnsiTheme="majorHAnsi" w:cstheme="majorBidi"/>
      <w:b/>
      <w:bCs/>
      <w:i/>
      <w:iCs/>
      <w:color w:val="000000" w:themeColor="text1"/>
    </w:rPr>
  </w:style>
  <w:style w:type="paragraph" w:styleId="ListBullet">
    <w:name w:val="List Bullet"/>
    <w:basedOn w:val="Normal"/>
    <w:uiPriority w:val="13"/>
    <w:qFormat/>
    <w:rsid w:val="00641EAA"/>
    <w:pPr>
      <w:numPr>
        <w:numId w:val="8"/>
      </w:numPr>
    </w:pPr>
  </w:style>
  <w:style w:type="paragraph" w:styleId="ListBullet2">
    <w:name w:val="List Bullet 2"/>
    <w:basedOn w:val="ListBullet"/>
    <w:uiPriority w:val="13"/>
    <w:qFormat/>
    <w:rsid w:val="00641EAA"/>
    <w:pPr>
      <w:numPr>
        <w:ilvl w:val="1"/>
      </w:numPr>
    </w:pPr>
  </w:style>
  <w:style w:type="paragraph" w:styleId="ListNumber">
    <w:name w:val="List Number"/>
    <w:basedOn w:val="Normal"/>
    <w:uiPriority w:val="15"/>
    <w:qFormat/>
    <w:rsid w:val="00662E28"/>
    <w:pPr>
      <w:numPr>
        <w:numId w:val="11"/>
      </w:numPr>
    </w:pPr>
  </w:style>
  <w:style w:type="paragraph" w:styleId="ListNumber2">
    <w:name w:val="List Number 2"/>
    <w:basedOn w:val="Normal"/>
    <w:uiPriority w:val="16"/>
    <w:qFormat/>
    <w:rsid w:val="00662E28"/>
    <w:pPr>
      <w:numPr>
        <w:ilvl w:val="1"/>
        <w:numId w:val="11"/>
      </w:numPr>
    </w:pPr>
  </w:style>
  <w:style w:type="numbering" w:customStyle="1" w:styleId="HeadingList">
    <w:name w:val="Heading List"/>
    <w:uiPriority w:val="99"/>
    <w:rsid w:val="001241CB"/>
    <w:pPr>
      <w:numPr>
        <w:numId w:val="6"/>
      </w:numPr>
    </w:pPr>
  </w:style>
  <w:style w:type="paragraph" w:styleId="ListNumber3">
    <w:name w:val="List Number 3"/>
    <w:basedOn w:val="Normal"/>
    <w:uiPriority w:val="16"/>
    <w:qFormat/>
    <w:rsid w:val="00662E28"/>
    <w:pPr>
      <w:numPr>
        <w:ilvl w:val="2"/>
        <w:numId w:val="11"/>
      </w:numPr>
    </w:pPr>
  </w:style>
  <w:style w:type="paragraph" w:styleId="Title">
    <w:name w:val="Title"/>
    <w:basedOn w:val="Normal"/>
    <w:next w:val="Normal"/>
    <w:link w:val="TitleChar"/>
    <w:uiPriority w:val="1"/>
    <w:rsid w:val="0057138A"/>
    <w:pPr>
      <w:numPr>
        <w:numId w:val="0"/>
      </w:numPr>
    </w:pPr>
    <w:rPr>
      <w:rFonts w:asciiTheme="majorHAnsi" w:eastAsiaTheme="majorEastAsia" w:hAnsiTheme="majorHAnsi" w:cstheme="majorBidi"/>
      <w:b/>
      <w:caps/>
      <w:color w:val="000000" w:themeColor="text1"/>
      <w:sz w:val="40"/>
      <w:szCs w:val="52"/>
    </w:rPr>
  </w:style>
  <w:style w:type="character" w:customStyle="1" w:styleId="TitleChar">
    <w:name w:val="Title Char"/>
    <w:basedOn w:val="DefaultParagraphFont"/>
    <w:link w:val="Title"/>
    <w:uiPriority w:val="1"/>
    <w:rsid w:val="0057138A"/>
    <w:rPr>
      <w:rFonts w:asciiTheme="majorHAnsi" w:eastAsiaTheme="majorEastAsia" w:hAnsiTheme="majorHAnsi" w:cstheme="majorBidi"/>
      <w:b/>
      <w:caps/>
      <w:color w:val="000000" w:themeColor="text1"/>
      <w:sz w:val="40"/>
      <w:szCs w:val="52"/>
    </w:rPr>
  </w:style>
  <w:style w:type="numbering" w:styleId="111111">
    <w:name w:val="Outline List 2"/>
    <w:basedOn w:val="NoList"/>
    <w:uiPriority w:val="99"/>
    <w:semiHidden/>
    <w:unhideWhenUsed/>
    <w:locked/>
    <w:rsid w:val="00466648"/>
    <w:pPr>
      <w:numPr>
        <w:numId w:val="4"/>
      </w:numPr>
    </w:pPr>
  </w:style>
  <w:style w:type="paragraph" w:styleId="TOC1">
    <w:name w:val="toc 1"/>
    <w:basedOn w:val="Normal"/>
    <w:next w:val="Normal"/>
    <w:autoRedefine/>
    <w:uiPriority w:val="39"/>
    <w:unhideWhenUsed/>
    <w:rsid w:val="000453D9"/>
    <w:pPr>
      <w:numPr>
        <w:numId w:val="0"/>
      </w:numPr>
      <w:tabs>
        <w:tab w:val="left" w:pos="851"/>
        <w:tab w:val="right" w:pos="9027"/>
      </w:tabs>
      <w:ind w:left="851" w:hanging="851"/>
      <w:jc w:val="left"/>
    </w:pPr>
    <w:rPr>
      <w:i/>
      <w:sz w:val="28"/>
    </w:rPr>
  </w:style>
  <w:style w:type="paragraph" w:styleId="TOCHeading">
    <w:name w:val="TOC Heading"/>
    <w:basedOn w:val="Heading1"/>
    <w:next w:val="Normal"/>
    <w:uiPriority w:val="38"/>
    <w:unhideWhenUsed/>
    <w:rsid w:val="000453D9"/>
    <w:pPr>
      <w:outlineLvl w:val="9"/>
    </w:pPr>
    <w:rPr>
      <w:b w:val="0"/>
      <w:i/>
    </w:rPr>
  </w:style>
  <w:style w:type="paragraph" w:styleId="Footer">
    <w:name w:val="footer"/>
    <w:basedOn w:val="Normal"/>
    <w:link w:val="FooterChar"/>
    <w:uiPriority w:val="99"/>
    <w:rsid w:val="00722F9F"/>
    <w:pPr>
      <w:numPr>
        <w:numId w:val="0"/>
      </w:numPr>
      <w:tabs>
        <w:tab w:val="right" w:pos="9639"/>
      </w:tabs>
      <w:spacing w:after="0" w:line="200" w:lineRule="exact"/>
      <w:contextualSpacing/>
    </w:pPr>
    <w:rPr>
      <w:rFonts w:asciiTheme="majorHAnsi" w:hAnsiTheme="majorHAnsi"/>
      <w:sz w:val="16"/>
    </w:rPr>
  </w:style>
  <w:style w:type="character" w:customStyle="1" w:styleId="FooterChar">
    <w:name w:val="Footer Char"/>
    <w:basedOn w:val="DefaultParagraphFont"/>
    <w:link w:val="Footer"/>
    <w:uiPriority w:val="99"/>
    <w:rsid w:val="00714F78"/>
    <w:rPr>
      <w:rFonts w:asciiTheme="majorHAnsi" w:hAnsiTheme="majorHAnsi"/>
      <w:sz w:val="16"/>
    </w:rPr>
  </w:style>
  <w:style w:type="paragraph" w:styleId="ListBullet3">
    <w:name w:val="List Bullet 3"/>
    <w:basedOn w:val="Normal"/>
    <w:uiPriority w:val="13"/>
    <w:qFormat/>
    <w:rsid w:val="00641EAA"/>
    <w:pPr>
      <w:numPr>
        <w:ilvl w:val="2"/>
        <w:numId w:val="8"/>
      </w:numPr>
    </w:pPr>
  </w:style>
  <w:style w:type="table" w:styleId="TableGrid">
    <w:name w:val="Table Grid"/>
    <w:basedOn w:val="TableNormal"/>
    <w:uiPriority w:val="59"/>
    <w:rsid w:val="00826012"/>
    <w:pPr>
      <w:spacing w:before="60" w:after="60"/>
      <w:jc w:val="left"/>
    </w:pPr>
    <w:tblPr>
      <w:tblStyleRowBandSize w:val="1"/>
      <w:tblStyleColBandSize w:val="1"/>
      <w:tblBorders>
        <w:bottom w:val="single" w:sz="4" w:space="0" w:color="FFFFFF" w:themeColor="background1"/>
        <w:insideH w:val="single" w:sz="4" w:space="0" w:color="FFFFFF" w:themeColor="background1"/>
        <w:insideV w:val="single" w:sz="4" w:space="0" w:color="FFFFFF" w:themeColor="background1"/>
      </w:tblBorders>
      <w:tblCellMar>
        <w:top w:w="28" w:type="dxa"/>
        <w:bottom w:w="28" w:type="dxa"/>
      </w:tblCellMar>
    </w:tblPr>
    <w:tcPr>
      <w:shd w:val="clear" w:color="auto" w:fill="EAECEE" w:themeFill="accent4" w:themeFillTint="33"/>
    </w:tcPr>
    <w:tblStylePr w:type="firstRow">
      <w:rPr>
        <w:b w:val="0"/>
        <w:color w:val="FFFFFF" w:themeColor="background1"/>
      </w:rPr>
      <w:tblPr/>
      <w:trPr>
        <w:cantSplit/>
        <w:tblHeader/>
      </w:trPr>
      <w:tcPr>
        <w:shd w:val="clear" w:color="auto" w:fill="012169" w:themeFill="accent1"/>
      </w:tcPr>
    </w:tblStylePr>
    <w:tblStylePr w:type="lastRow">
      <w:rPr>
        <w:b/>
      </w:rPr>
      <w:tblPr/>
      <w:tcPr>
        <w:shd w:val="clear" w:color="auto" w:fill="EAECEE" w:themeFill="accent4" w:themeFillTint="33"/>
      </w:tcPr>
    </w:tblStylePr>
    <w:tblStylePr w:type="firstCol">
      <w:rPr>
        <w:b/>
        <w:color w:val="auto"/>
      </w:rPr>
    </w:tblStylePr>
    <w:tblStylePr w:type="lastCol">
      <w:pPr>
        <w:jc w:val="right"/>
      </w:pPr>
      <w:rPr>
        <w:b/>
      </w:rPr>
    </w:tblStylePr>
    <w:tblStylePr w:type="band1Horz">
      <w:tblPr/>
      <w:tcPr>
        <w:shd w:val="clear" w:color="auto" w:fill="EAECEE" w:themeFill="accent4" w:themeFillTint="33"/>
      </w:tcPr>
    </w:tblStylePr>
    <w:tblStylePr w:type="band2Horz">
      <w:tblPr/>
      <w:tcPr>
        <w:shd w:val="clear" w:color="auto" w:fill="C1C8CE" w:themeFill="accent4" w:themeFillTint="99"/>
      </w:tcPr>
    </w:tblStylePr>
  </w:style>
  <w:style w:type="paragraph" w:styleId="Caption">
    <w:name w:val="caption"/>
    <w:next w:val="Normal"/>
    <w:uiPriority w:val="34"/>
    <w:qFormat/>
    <w:rsid w:val="00F15632"/>
    <w:pPr>
      <w:spacing w:before="60" w:after="360"/>
    </w:pPr>
    <w:rPr>
      <w:bCs/>
      <w:i/>
      <w:sz w:val="16"/>
      <w:szCs w:val="18"/>
    </w:rPr>
  </w:style>
  <w:style w:type="paragraph" w:styleId="Header">
    <w:name w:val="header"/>
    <w:basedOn w:val="Normal"/>
    <w:link w:val="HeaderChar"/>
    <w:uiPriority w:val="1"/>
    <w:rsid w:val="00722F9F"/>
    <w:pPr>
      <w:numPr>
        <w:numId w:val="0"/>
      </w:numPr>
      <w:tabs>
        <w:tab w:val="center" w:pos="4513"/>
        <w:tab w:val="right" w:pos="9026"/>
      </w:tabs>
      <w:spacing w:after="0"/>
    </w:pPr>
    <w:rPr>
      <w:sz w:val="16"/>
    </w:rPr>
  </w:style>
  <w:style w:type="character" w:customStyle="1" w:styleId="HeaderChar">
    <w:name w:val="Header Char"/>
    <w:basedOn w:val="DefaultParagraphFont"/>
    <w:link w:val="Header"/>
    <w:uiPriority w:val="1"/>
    <w:rsid w:val="00E93F74"/>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sz w:val="16"/>
      <w:szCs w:val="16"/>
    </w:rPr>
  </w:style>
  <w:style w:type="character" w:styleId="PlaceholderText">
    <w:name w:val="Placeholder Text"/>
    <w:basedOn w:val="DefaultParagraphFont"/>
    <w:uiPriority w:val="99"/>
    <w:semiHidden/>
    <w:rsid w:val="009E0C10"/>
    <w:rPr>
      <w:noProof w:val="0"/>
      <w:color w:val="000000" w:themeColor="text1"/>
      <w:sz w:val="22"/>
      <w:lang w:val="en-AU"/>
    </w:rPr>
  </w:style>
  <w:style w:type="paragraph" w:styleId="ListNumber4">
    <w:name w:val="List Number 4"/>
    <w:basedOn w:val="Normal"/>
    <w:uiPriority w:val="16"/>
    <w:semiHidden/>
    <w:qFormat/>
    <w:locked/>
    <w:rsid w:val="00A909CC"/>
    <w:pPr>
      <w:numPr>
        <w:numId w:val="0"/>
      </w:numPr>
    </w:pPr>
  </w:style>
  <w:style w:type="character" w:styleId="Hyperlink">
    <w:name w:val="Hyperlink"/>
    <w:basedOn w:val="DefaultParagraphFont"/>
    <w:uiPriority w:val="99"/>
    <w:rsid w:val="00616C90"/>
    <w:rPr>
      <w:noProof w:val="0"/>
      <w:color w:val="0000FF"/>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012169" w:themeColor="accent1"/>
        <w:left w:val="single" w:sz="2" w:space="10" w:color="012169" w:themeColor="accent1"/>
        <w:bottom w:val="single" w:sz="2" w:space="10" w:color="012169" w:themeColor="accent1"/>
        <w:right w:val="single" w:sz="2" w:space="10" w:color="012169" w:themeColor="accent1"/>
      </w:pBdr>
      <w:ind w:left="1152" w:right="1152"/>
    </w:pPr>
    <w:rPr>
      <w:rFonts w:asciiTheme="minorHAnsi" w:eastAsiaTheme="minorEastAsia" w:hAnsiTheme="minorHAnsi"/>
      <w:i/>
      <w:iCs/>
      <w:color w:val="01216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style>
  <w:style w:type="paragraph" w:styleId="BodyText2">
    <w:name w:val="Body Text 2"/>
    <w:basedOn w:val="Normal"/>
    <w:link w:val="BodyText2Char"/>
    <w:uiPriority w:val="99"/>
    <w:unhideWhenUsed/>
    <w:qFormat/>
    <w:locked/>
    <w:rsid w:val="00F80750"/>
    <w:pPr>
      <w:spacing w:line="480" w:lineRule="auto"/>
    </w:pPr>
  </w:style>
  <w:style w:type="character" w:customStyle="1" w:styleId="BodyText2Char">
    <w:name w:val="Body Text 2 Char"/>
    <w:basedOn w:val="DefaultParagraphFont"/>
    <w:link w:val="BodyText2"/>
    <w:uiPriority w:val="99"/>
    <w:rsid w:val="00F80750"/>
  </w:style>
  <w:style w:type="paragraph" w:styleId="BodyText3">
    <w:name w:val="Body Text 3"/>
    <w:basedOn w:val="Normal"/>
    <w:link w:val="BodyText3Char"/>
    <w:uiPriority w:val="99"/>
    <w:unhideWhenUsed/>
    <w:qFormat/>
    <w:locked/>
    <w:rsid w:val="00F80750"/>
    <w:rPr>
      <w:sz w:val="16"/>
      <w:szCs w:val="16"/>
    </w:rPr>
  </w:style>
  <w:style w:type="character" w:customStyle="1" w:styleId="BodyText3Char">
    <w:name w:val="Body Text 3 Char"/>
    <w:basedOn w:val="DefaultParagraphFont"/>
    <w:link w:val="BodyText3"/>
    <w:uiPriority w:val="99"/>
    <w:rsid w:val="00F80750"/>
    <w:rPr>
      <w:sz w:val="16"/>
      <w:szCs w:val="16"/>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sz w:val="16"/>
      <w:szCs w:val="16"/>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AEC7FE" w:themeFill="accent1" w:themeFillTint="33"/>
    </w:tcPr>
    <w:tblStylePr w:type="firstRow">
      <w:rPr>
        <w:b/>
        <w:bCs/>
      </w:rPr>
      <w:tblPr/>
      <w:tcPr>
        <w:shd w:val="clear" w:color="auto" w:fill="5E8FFD" w:themeFill="accent1" w:themeFillTint="66"/>
      </w:tcPr>
    </w:tblStylePr>
    <w:tblStylePr w:type="lastRow">
      <w:rPr>
        <w:b/>
        <w:bCs/>
        <w:color w:val="000000" w:themeColor="text1"/>
      </w:rPr>
      <w:tblPr/>
      <w:tcPr>
        <w:shd w:val="clear" w:color="auto" w:fill="5E8FFD" w:themeFill="accent1" w:themeFillTint="66"/>
      </w:tcPr>
    </w:tblStylePr>
    <w:tblStylePr w:type="firstCol">
      <w:rPr>
        <w:color w:val="FFFFFF" w:themeColor="background1"/>
      </w:rPr>
      <w:tblPr/>
      <w:tcPr>
        <w:shd w:val="clear" w:color="auto" w:fill="00184E" w:themeFill="accent1" w:themeFillShade="BF"/>
      </w:tcPr>
    </w:tblStylePr>
    <w:tblStylePr w:type="lastCol">
      <w:rPr>
        <w:color w:val="FFFFFF" w:themeColor="background1"/>
      </w:rPr>
      <w:tblPr/>
      <w:tcPr>
        <w:shd w:val="clear" w:color="auto" w:fill="00184E" w:themeFill="accent1" w:themeFillShade="BF"/>
      </w:tcPr>
    </w:tblStylePr>
    <w:tblStylePr w:type="band1Vert">
      <w:tblPr/>
      <w:tcPr>
        <w:shd w:val="clear" w:color="auto" w:fill="3773FD" w:themeFill="accent1" w:themeFillTint="7F"/>
      </w:tcPr>
    </w:tblStylePr>
    <w:tblStylePr w:type="band1Horz">
      <w:tblPr/>
      <w:tcPr>
        <w:shd w:val="clear" w:color="auto" w:fill="3773FD"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5F0FF" w:themeFill="accent2" w:themeFillTint="33"/>
    </w:tcPr>
    <w:tblStylePr w:type="firstRow">
      <w:rPr>
        <w:b/>
        <w:bCs/>
      </w:rPr>
      <w:tblPr/>
      <w:tcPr>
        <w:shd w:val="clear" w:color="auto" w:fill="8CE2FF" w:themeFill="accent2" w:themeFillTint="66"/>
      </w:tcPr>
    </w:tblStylePr>
    <w:tblStylePr w:type="lastRow">
      <w:rPr>
        <w:b/>
        <w:bCs/>
        <w:color w:val="000000" w:themeColor="text1"/>
      </w:rPr>
      <w:tblPr/>
      <w:tcPr>
        <w:shd w:val="clear" w:color="auto" w:fill="8CE2FF" w:themeFill="accent2" w:themeFillTint="66"/>
      </w:tcPr>
    </w:tblStylePr>
    <w:tblStylePr w:type="firstCol">
      <w:rPr>
        <w:color w:val="FFFFFF" w:themeColor="background1"/>
      </w:rPr>
      <w:tblPr/>
      <w:tcPr>
        <w:shd w:val="clear" w:color="auto" w:fill="007EA7" w:themeFill="accent2" w:themeFillShade="BF"/>
      </w:tcPr>
    </w:tblStylePr>
    <w:tblStylePr w:type="lastCol">
      <w:rPr>
        <w:color w:val="FFFFFF" w:themeColor="background1"/>
      </w:rPr>
      <w:tblPr/>
      <w:tcPr>
        <w:shd w:val="clear" w:color="auto" w:fill="007EA7" w:themeFill="accent2" w:themeFillShade="BF"/>
      </w:tcPr>
    </w:tblStylePr>
    <w:tblStylePr w:type="band1Vert">
      <w:tblPr/>
      <w:tcPr>
        <w:shd w:val="clear" w:color="auto" w:fill="70DBFF" w:themeFill="accent2" w:themeFillTint="7F"/>
      </w:tcPr>
    </w:tblStylePr>
    <w:tblStylePr w:type="band1Horz">
      <w:tblPr/>
      <w:tcPr>
        <w:shd w:val="clear" w:color="auto" w:fill="70DBF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E3FF" w:themeFill="accent3" w:themeFillTint="33"/>
    </w:tcPr>
    <w:tblStylePr w:type="firstRow">
      <w:rPr>
        <w:b/>
        <w:bCs/>
      </w:rPr>
      <w:tblPr/>
      <w:tcPr>
        <w:shd w:val="clear" w:color="auto" w:fill="85C8FF" w:themeFill="accent3" w:themeFillTint="66"/>
      </w:tcPr>
    </w:tblStylePr>
    <w:tblStylePr w:type="lastRow">
      <w:rPr>
        <w:b/>
        <w:bCs/>
        <w:color w:val="000000" w:themeColor="text1"/>
      </w:rPr>
      <w:tblPr/>
      <w:tcPr>
        <w:shd w:val="clear" w:color="auto" w:fill="85C8FF" w:themeFill="accent3" w:themeFillTint="66"/>
      </w:tcPr>
    </w:tblStylePr>
    <w:tblStylePr w:type="firstCol">
      <w:rPr>
        <w:color w:val="FFFFFF" w:themeColor="background1"/>
      </w:rPr>
      <w:tblPr/>
      <w:tcPr>
        <w:shd w:val="clear" w:color="auto" w:fill="00559A" w:themeFill="accent3" w:themeFillShade="BF"/>
      </w:tcPr>
    </w:tblStylePr>
    <w:tblStylePr w:type="lastCol">
      <w:rPr>
        <w:color w:val="FFFFFF" w:themeColor="background1"/>
      </w:rPr>
      <w:tblPr/>
      <w:tcPr>
        <w:shd w:val="clear" w:color="auto" w:fill="00559A" w:themeFill="accent3" w:themeFillShade="BF"/>
      </w:tcPr>
    </w:tblStylePr>
    <w:tblStylePr w:type="band1Vert">
      <w:tblPr/>
      <w:tcPr>
        <w:shd w:val="clear" w:color="auto" w:fill="67BBFF" w:themeFill="accent3" w:themeFillTint="7F"/>
      </w:tcPr>
    </w:tblStylePr>
    <w:tblStylePr w:type="band1Horz">
      <w:tblPr/>
      <w:tcPr>
        <w:shd w:val="clear" w:color="auto" w:fill="67BBFF"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AECEE" w:themeFill="accent4" w:themeFillTint="33"/>
    </w:tcPr>
    <w:tblStylePr w:type="firstRow">
      <w:rPr>
        <w:b/>
        <w:bCs/>
      </w:rPr>
      <w:tblPr/>
      <w:tcPr>
        <w:shd w:val="clear" w:color="auto" w:fill="D5DADE" w:themeFill="accent4" w:themeFillTint="66"/>
      </w:tcPr>
    </w:tblStylePr>
    <w:tblStylePr w:type="lastRow">
      <w:rPr>
        <w:b/>
        <w:bCs/>
        <w:color w:val="000000" w:themeColor="text1"/>
      </w:rPr>
      <w:tblPr/>
      <w:tcPr>
        <w:shd w:val="clear" w:color="auto" w:fill="D5DADE" w:themeFill="accent4" w:themeFillTint="66"/>
      </w:tcPr>
    </w:tblStylePr>
    <w:tblStylePr w:type="firstCol">
      <w:rPr>
        <w:color w:val="FFFFFF" w:themeColor="background1"/>
      </w:rPr>
      <w:tblPr/>
      <w:tcPr>
        <w:shd w:val="clear" w:color="auto" w:fill="6B7B88" w:themeFill="accent4" w:themeFillShade="BF"/>
      </w:tcPr>
    </w:tblStylePr>
    <w:tblStylePr w:type="lastCol">
      <w:rPr>
        <w:color w:val="FFFFFF" w:themeColor="background1"/>
      </w:rPr>
      <w:tblPr/>
      <w:tcPr>
        <w:shd w:val="clear" w:color="auto" w:fill="6B7B88" w:themeFill="accent4" w:themeFillShade="BF"/>
      </w:tcPr>
    </w:tblStylePr>
    <w:tblStylePr w:type="band1Vert">
      <w:tblPr/>
      <w:tcPr>
        <w:shd w:val="clear" w:color="auto" w:fill="CBD1D6" w:themeFill="accent4" w:themeFillTint="7F"/>
      </w:tcPr>
    </w:tblStylePr>
    <w:tblStylePr w:type="band1Horz">
      <w:tblPr/>
      <w:tcPr>
        <w:shd w:val="clear" w:color="auto" w:fill="CBD1D6"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9E3E9" w:themeFill="accent5" w:themeFillTint="33"/>
    </w:tcPr>
    <w:tblStylePr w:type="firstRow">
      <w:rPr>
        <w:b/>
        <w:bCs/>
      </w:rPr>
      <w:tblPr/>
      <w:tcPr>
        <w:shd w:val="clear" w:color="auto" w:fill="B4C8D4" w:themeFill="accent5" w:themeFillTint="66"/>
      </w:tcPr>
    </w:tblStylePr>
    <w:tblStylePr w:type="lastRow">
      <w:rPr>
        <w:b/>
        <w:bCs/>
        <w:color w:val="000000" w:themeColor="text1"/>
      </w:rPr>
      <w:tblPr/>
      <w:tcPr>
        <w:shd w:val="clear" w:color="auto" w:fill="B4C8D4" w:themeFill="accent5" w:themeFillTint="66"/>
      </w:tcPr>
    </w:tblStylePr>
    <w:tblStylePr w:type="firstCol">
      <w:rPr>
        <w:color w:val="FFFFFF" w:themeColor="background1"/>
      </w:rPr>
      <w:tblPr/>
      <w:tcPr>
        <w:shd w:val="clear" w:color="auto" w:fill="3B5767" w:themeFill="accent5" w:themeFillShade="BF"/>
      </w:tcPr>
    </w:tblStylePr>
    <w:tblStylePr w:type="lastCol">
      <w:rPr>
        <w:color w:val="FFFFFF" w:themeColor="background1"/>
      </w:rPr>
      <w:tblPr/>
      <w:tcPr>
        <w:shd w:val="clear" w:color="auto" w:fill="3B5767" w:themeFill="accent5" w:themeFillShade="BF"/>
      </w:tcPr>
    </w:tblStylePr>
    <w:tblStylePr w:type="band1Vert">
      <w:tblPr/>
      <w:tcPr>
        <w:shd w:val="clear" w:color="auto" w:fill="A2BBCA" w:themeFill="accent5" w:themeFillTint="7F"/>
      </w:tcPr>
    </w:tblStylePr>
    <w:tblStylePr w:type="band1Horz">
      <w:tblPr/>
      <w:tcPr>
        <w:shd w:val="clear" w:color="auto" w:fill="A2BBCA"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2F3FA" w:themeFill="accent6" w:themeFillTint="33"/>
    </w:tcPr>
    <w:tblStylePr w:type="firstRow">
      <w:rPr>
        <w:b/>
        <w:bCs/>
      </w:rPr>
      <w:tblPr/>
      <w:tcPr>
        <w:shd w:val="clear" w:color="auto" w:fill="C6E7F5" w:themeFill="accent6" w:themeFillTint="66"/>
      </w:tcPr>
    </w:tblStylePr>
    <w:tblStylePr w:type="lastRow">
      <w:rPr>
        <w:b/>
        <w:bCs/>
        <w:color w:val="000000" w:themeColor="text1"/>
      </w:rPr>
      <w:tblPr/>
      <w:tcPr>
        <w:shd w:val="clear" w:color="auto" w:fill="C6E7F5" w:themeFill="accent6" w:themeFillTint="66"/>
      </w:tcPr>
    </w:tblStylePr>
    <w:tblStylePr w:type="firstCol">
      <w:rPr>
        <w:color w:val="FFFFFF" w:themeColor="background1"/>
      </w:rPr>
      <w:tblPr/>
      <w:tcPr>
        <w:shd w:val="clear" w:color="auto" w:fill="26A6DC" w:themeFill="accent6" w:themeFillShade="BF"/>
      </w:tcPr>
    </w:tblStylePr>
    <w:tblStylePr w:type="lastCol">
      <w:rPr>
        <w:color w:val="FFFFFF" w:themeColor="background1"/>
      </w:rPr>
      <w:tblPr/>
      <w:tcPr>
        <w:shd w:val="clear" w:color="auto" w:fill="26A6DC" w:themeFill="accent6" w:themeFillShade="BF"/>
      </w:tcPr>
    </w:tblStylePr>
    <w:tblStylePr w:type="band1Vert">
      <w:tblPr/>
      <w:tcPr>
        <w:shd w:val="clear" w:color="auto" w:fill="B8E2F3" w:themeFill="accent6" w:themeFillTint="7F"/>
      </w:tcPr>
    </w:tblStylePr>
    <w:tblStylePr w:type="band1Horz">
      <w:tblPr/>
      <w:tcPr>
        <w:shd w:val="clear" w:color="auto" w:fill="B8E2F3"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D7E3FE" w:themeFill="accent1"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BB9FE" w:themeFill="accent1" w:themeFillTint="3F"/>
      </w:tcPr>
    </w:tblStylePr>
    <w:tblStylePr w:type="band1Horz">
      <w:tblPr/>
      <w:tcPr>
        <w:shd w:val="clear" w:color="auto" w:fill="AEC7FE"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2F8FF" w:themeFill="accent2"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8EDFF" w:themeFill="accent2" w:themeFillTint="3F"/>
      </w:tcPr>
    </w:tblStylePr>
    <w:tblStylePr w:type="band1Horz">
      <w:tblPr/>
      <w:tcPr>
        <w:shd w:val="clear" w:color="auto" w:fill="C5F0FF"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E1F1FF" w:themeFill="accent3" w:themeFillTint="19"/>
    </w:tcPr>
    <w:tblStylePr w:type="firstRow">
      <w:rPr>
        <w:b/>
        <w:bCs/>
        <w:color w:val="FFFFFF" w:themeColor="background1"/>
      </w:rPr>
      <w:tblPr/>
      <w:tcPr>
        <w:tcBorders>
          <w:bottom w:val="single" w:sz="12" w:space="0" w:color="FFFFFF" w:themeColor="background1"/>
        </w:tcBorders>
        <w:shd w:val="clear" w:color="auto" w:fill="738391" w:themeFill="accent4" w:themeFillShade="CC"/>
      </w:tcPr>
    </w:tblStylePr>
    <w:tblStylePr w:type="lastRow">
      <w:rPr>
        <w:b/>
        <w:bCs/>
        <w:color w:val="738391"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DDFF" w:themeFill="accent3" w:themeFillTint="3F"/>
      </w:tcPr>
    </w:tblStylePr>
    <w:tblStylePr w:type="band1Horz">
      <w:tblPr/>
      <w:tcPr>
        <w:shd w:val="clear" w:color="auto" w:fill="C2E3FF"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F4F5F7" w:themeFill="accent4" w:themeFillTint="19"/>
    </w:tcPr>
    <w:tblStylePr w:type="firstRow">
      <w:rPr>
        <w:b/>
        <w:bCs/>
        <w:color w:val="FFFFFF" w:themeColor="background1"/>
      </w:rPr>
      <w:tblPr/>
      <w:tcPr>
        <w:tcBorders>
          <w:bottom w:val="single" w:sz="12" w:space="0" w:color="FFFFFF" w:themeColor="background1"/>
        </w:tcBorders>
        <w:shd w:val="clear" w:color="auto" w:fill="005BA4" w:themeFill="accent3" w:themeFillShade="CC"/>
      </w:tcPr>
    </w:tblStylePr>
    <w:tblStylePr w:type="lastRow">
      <w:rPr>
        <w:b/>
        <w:bCs/>
        <w:color w:val="005BA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8EB" w:themeFill="accent4" w:themeFillTint="3F"/>
      </w:tcPr>
    </w:tblStylePr>
    <w:tblStylePr w:type="band1Horz">
      <w:tblPr/>
      <w:tcPr>
        <w:shd w:val="clear" w:color="auto" w:fill="EAECEE"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ECF1F4" w:themeFill="accent5" w:themeFillTint="19"/>
    </w:tcPr>
    <w:tblStylePr w:type="firstRow">
      <w:rPr>
        <w:b/>
        <w:bCs/>
        <w:color w:val="FFFFFF" w:themeColor="background1"/>
      </w:rPr>
      <w:tblPr/>
      <w:tcPr>
        <w:tcBorders>
          <w:bottom w:val="single" w:sz="12" w:space="0" w:color="FFFFFF" w:themeColor="background1"/>
        </w:tcBorders>
        <w:shd w:val="clear" w:color="auto" w:fill="35ACDE" w:themeFill="accent6" w:themeFillShade="CC"/>
      </w:tcPr>
    </w:tblStylePr>
    <w:tblStylePr w:type="lastRow">
      <w:rPr>
        <w:b/>
        <w:bCs/>
        <w:color w:val="35ACD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DE4" w:themeFill="accent5" w:themeFillTint="3F"/>
      </w:tcPr>
    </w:tblStylePr>
    <w:tblStylePr w:type="band1Horz">
      <w:tblPr/>
      <w:tcPr>
        <w:shd w:val="clear" w:color="auto" w:fill="D9E3E9"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F0F9FC" w:themeFill="accent6" w:themeFillTint="19"/>
    </w:tcPr>
    <w:tblStylePr w:type="firstRow">
      <w:rPr>
        <w:b/>
        <w:bCs/>
        <w:color w:val="FFFFFF" w:themeColor="background1"/>
      </w:rPr>
      <w:tblPr/>
      <w:tcPr>
        <w:tcBorders>
          <w:bottom w:val="single" w:sz="12" w:space="0" w:color="FFFFFF" w:themeColor="background1"/>
        </w:tcBorders>
        <w:shd w:val="clear" w:color="auto" w:fill="3F5D6F" w:themeFill="accent5" w:themeFillShade="CC"/>
      </w:tcPr>
    </w:tblStylePr>
    <w:tblStylePr w:type="lastRow">
      <w:rPr>
        <w:b/>
        <w:bCs/>
        <w:color w:val="3F5D6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F0F9" w:themeFill="accent6" w:themeFillTint="3F"/>
      </w:tcPr>
    </w:tblStylePr>
    <w:tblStylePr w:type="band1Horz">
      <w:tblPr/>
      <w:tcPr>
        <w:shd w:val="clear" w:color="auto" w:fill="E2F3FA"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00A9E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00A9E0" w:themeColor="accent2"/>
        <w:left w:val="single" w:sz="4" w:space="0" w:color="012169" w:themeColor="accent1"/>
        <w:bottom w:val="single" w:sz="4" w:space="0" w:color="012169" w:themeColor="accent1"/>
        <w:right w:val="single" w:sz="4" w:space="0" w:color="012169" w:themeColor="accent1"/>
        <w:insideH w:val="single" w:sz="4" w:space="0" w:color="FFFFFF" w:themeColor="background1"/>
        <w:insideV w:val="single" w:sz="4" w:space="0" w:color="FFFFFF" w:themeColor="background1"/>
      </w:tblBorders>
    </w:tblPr>
    <w:tcPr>
      <w:shd w:val="clear" w:color="auto" w:fill="D7E3FE" w:themeFill="accent1"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33E" w:themeFill="accent1" w:themeFillShade="99"/>
      </w:tcPr>
    </w:tblStylePr>
    <w:tblStylePr w:type="firstCol">
      <w:rPr>
        <w:color w:val="FFFFFF" w:themeColor="background1"/>
      </w:rPr>
      <w:tblPr/>
      <w:tcPr>
        <w:tcBorders>
          <w:top w:val="nil"/>
          <w:left w:val="nil"/>
          <w:bottom w:val="nil"/>
          <w:right w:val="nil"/>
          <w:insideH w:val="single" w:sz="4" w:space="0" w:color="00133E" w:themeColor="accent1" w:themeShade="99"/>
          <w:insideV w:val="nil"/>
        </w:tcBorders>
        <w:shd w:val="clear" w:color="auto" w:fill="00133E"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133E" w:themeFill="accent1" w:themeFillShade="99"/>
      </w:tcPr>
    </w:tblStylePr>
    <w:tblStylePr w:type="band1Vert">
      <w:tblPr/>
      <w:tcPr>
        <w:shd w:val="clear" w:color="auto" w:fill="5E8FFD" w:themeFill="accent1" w:themeFillTint="66"/>
      </w:tcPr>
    </w:tblStylePr>
    <w:tblStylePr w:type="band1Horz">
      <w:tblPr/>
      <w:tcPr>
        <w:shd w:val="clear" w:color="auto" w:fill="3773F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00A9E0" w:themeColor="accent2"/>
        <w:left w:val="single" w:sz="4" w:space="0" w:color="00A9E0" w:themeColor="accent2"/>
        <w:bottom w:val="single" w:sz="4" w:space="0" w:color="00A9E0" w:themeColor="accent2"/>
        <w:right w:val="single" w:sz="4" w:space="0" w:color="00A9E0" w:themeColor="accent2"/>
        <w:insideH w:val="single" w:sz="4" w:space="0" w:color="FFFFFF" w:themeColor="background1"/>
        <w:insideV w:val="single" w:sz="4" w:space="0" w:color="FFFFFF" w:themeColor="background1"/>
      </w:tblBorders>
    </w:tblPr>
    <w:tcPr>
      <w:shd w:val="clear" w:color="auto" w:fill="E2F8FF" w:themeFill="accent2"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586" w:themeFill="accent2" w:themeFillShade="99"/>
      </w:tcPr>
    </w:tblStylePr>
    <w:tblStylePr w:type="firstCol">
      <w:rPr>
        <w:color w:val="FFFFFF" w:themeColor="background1"/>
      </w:rPr>
      <w:tblPr/>
      <w:tcPr>
        <w:tcBorders>
          <w:top w:val="nil"/>
          <w:left w:val="nil"/>
          <w:bottom w:val="nil"/>
          <w:right w:val="nil"/>
          <w:insideH w:val="single" w:sz="4" w:space="0" w:color="006586" w:themeColor="accent2" w:themeShade="99"/>
          <w:insideV w:val="nil"/>
        </w:tcBorders>
        <w:shd w:val="clear" w:color="auto" w:fill="00658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6586" w:themeFill="accent2" w:themeFillShade="99"/>
      </w:tcPr>
    </w:tblStylePr>
    <w:tblStylePr w:type="band1Vert">
      <w:tblPr/>
      <w:tcPr>
        <w:shd w:val="clear" w:color="auto" w:fill="8CE2FF" w:themeFill="accent2" w:themeFillTint="66"/>
      </w:tcPr>
    </w:tblStylePr>
    <w:tblStylePr w:type="band1Horz">
      <w:tblPr/>
      <w:tcPr>
        <w:shd w:val="clear" w:color="auto" w:fill="70DB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98A4AE" w:themeColor="accent4"/>
        <w:left w:val="single" w:sz="4" w:space="0" w:color="0072CE" w:themeColor="accent3"/>
        <w:bottom w:val="single" w:sz="4" w:space="0" w:color="0072CE" w:themeColor="accent3"/>
        <w:right w:val="single" w:sz="4" w:space="0" w:color="0072CE" w:themeColor="accent3"/>
        <w:insideH w:val="single" w:sz="4" w:space="0" w:color="FFFFFF" w:themeColor="background1"/>
        <w:insideV w:val="single" w:sz="4" w:space="0" w:color="FFFFFF" w:themeColor="background1"/>
      </w:tblBorders>
    </w:tblPr>
    <w:tcPr>
      <w:shd w:val="clear" w:color="auto" w:fill="E1F1FF" w:themeFill="accent3" w:themeFillTint="19"/>
    </w:tcPr>
    <w:tblStylePr w:type="firstRow">
      <w:rPr>
        <w:b/>
        <w:bCs/>
      </w:rPr>
      <w:tblPr/>
      <w:tcPr>
        <w:tcBorders>
          <w:top w:val="nil"/>
          <w:left w:val="nil"/>
          <w:bottom w:val="single" w:sz="24" w:space="0" w:color="98A4AE"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47B" w:themeFill="accent3" w:themeFillShade="99"/>
      </w:tcPr>
    </w:tblStylePr>
    <w:tblStylePr w:type="firstCol">
      <w:rPr>
        <w:color w:val="FFFFFF" w:themeColor="background1"/>
      </w:rPr>
      <w:tblPr/>
      <w:tcPr>
        <w:tcBorders>
          <w:top w:val="nil"/>
          <w:left w:val="nil"/>
          <w:bottom w:val="nil"/>
          <w:right w:val="nil"/>
          <w:insideH w:val="single" w:sz="4" w:space="0" w:color="00447B" w:themeColor="accent3" w:themeShade="99"/>
          <w:insideV w:val="nil"/>
        </w:tcBorders>
        <w:shd w:val="clear" w:color="auto" w:fill="00447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447B" w:themeFill="accent3" w:themeFillShade="99"/>
      </w:tcPr>
    </w:tblStylePr>
    <w:tblStylePr w:type="band1Vert">
      <w:tblPr/>
      <w:tcPr>
        <w:shd w:val="clear" w:color="auto" w:fill="85C8FF" w:themeFill="accent3" w:themeFillTint="66"/>
      </w:tcPr>
    </w:tblStylePr>
    <w:tblStylePr w:type="band1Horz">
      <w:tblPr/>
      <w:tcPr>
        <w:shd w:val="clear" w:color="auto" w:fill="67BBFF"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0072CE" w:themeColor="accent3"/>
        <w:left w:val="single" w:sz="4" w:space="0" w:color="98A4AE" w:themeColor="accent4"/>
        <w:bottom w:val="single" w:sz="4" w:space="0" w:color="98A4AE" w:themeColor="accent4"/>
        <w:right w:val="single" w:sz="4" w:space="0" w:color="98A4AE" w:themeColor="accent4"/>
        <w:insideH w:val="single" w:sz="4" w:space="0" w:color="FFFFFF" w:themeColor="background1"/>
        <w:insideV w:val="single" w:sz="4" w:space="0" w:color="FFFFFF" w:themeColor="background1"/>
      </w:tblBorders>
    </w:tblPr>
    <w:tcPr>
      <w:shd w:val="clear" w:color="auto" w:fill="F4F5F7" w:themeFill="accent4" w:themeFillTint="19"/>
    </w:tcPr>
    <w:tblStylePr w:type="firstRow">
      <w:rPr>
        <w:b/>
        <w:bCs/>
      </w:rPr>
      <w:tblPr/>
      <w:tcPr>
        <w:tcBorders>
          <w:top w:val="nil"/>
          <w:left w:val="nil"/>
          <w:bottom w:val="single" w:sz="24" w:space="0" w:color="0072C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6626D" w:themeFill="accent4" w:themeFillShade="99"/>
      </w:tcPr>
    </w:tblStylePr>
    <w:tblStylePr w:type="firstCol">
      <w:rPr>
        <w:color w:val="FFFFFF" w:themeColor="background1"/>
      </w:rPr>
      <w:tblPr/>
      <w:tcPr>
        <w:tcBorders>
          <w:top w:val="nil"/>
          <w:left w:val="nil"/>
          <w:bottom w:val="nil"/>
          <w:right w:val="nil"/>
          <w:insideH w:val="single" w:sz="4" w:space="0" w:color="56626D" w:themeColor="accent4" w:themeShade="99"/>
          <w:insideV w:val="nil"/>
        </w:tcBorders>
        <w:shd w:val="clear" w:color="auto" w:fill="56626D"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6626D" w:themeFill="accent4" w:themeFillShade="99"/>
      </w:tcPr>
    </w:tblStylePr>
    <w:tblStylePr w:type="band1Vert">
      <w:tblPr/>
      <w:tcPr>
        <w:shd w:val="clear" w:color="auto" w:fill="D5DADE" w:themeFill="accent4" w:themeFillTint="66"/>
      </w:tcPr>
    </w:tblStylePr>
    <w:tblStylePr w:type="band1Horz">
      <w:tblPr/>
      <w:tcPr>
        <w:shd w:val="clear" w:color="auto" w:fill="CBD1D6"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71C5E8" w:themeColor="accent6"/>
        <w:left w:val="single" w:sz="4" w:space="0" w:color="4F758B" w:themeColor="accent5"/>
        <w:bottom w:val="single" w:sz="4" w:space="0" w:color="4F758B" w:themeColor="accent5"/>
        <w:right w:val="single" w:sz="4" w:space="0" w:color="4F758B" w:themeColor="accent5"/>
        <w:insideH w:val="single" w:sz="4" w:space="0" w:color="FFFFFF" w:themeColor="background1"/>
        <w:insideV w:val="single" w:sz="4" w:space="0" w:color="FFFFFF" w:themeColor="background1"/>
      </w:tblBorders>
    </w:tblPr>
    <w:tcPr>
      <w:shd w:val="clear" w:color="auto" w:fill="ECF1F4" w:themeFill="accent5" w:themeFillTint="19"/>
    </w:tcPr>
    <w:tblStylePr w:type="firstRow">
      <w:rPr>
        <w:b/>
        <w:bCs/>
      </w:rPr>
      <w:tblPr/>
      <w:tcPr>
        <w:tcBorders>
          <w:top w:val="nil"/>
          <w:left w:val="nil"/>
          <w:bottom w:val="single" w:sz="24" w:space="0" w:color="71C5E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F4653" w:themeFill="accent5" w:themeFillShade="99"/>
      </w:tcPr>
    </w:tblStylePr>
    <w:tblStylePr w:type="firstCol">
      <w:rPr>
        <w:color w:val="FFFFFF" w:themeColor="background1"/>
      </w:rPr>
      <w:tblPr/>
      <w:tcPr>
        <w:tcBorders>
          <w:top w:val="nil"/>
          <w:left w:val="nil"/>
          <w:bottom w:val="nil"/>
          <w:right w:val="nil"/>
          <w:insideH w:val="single" w:sz="4" w:space="0" w:color="2F4653" w:themeColor="accent5" w:themeShade="99"/>
          <w:insideV w:val="nil"/>
        </w:tcBorders>
        <w:shd w:val="clear" w:color="auto" w:fill="2F465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F4653" w:themeFill="accent5" w:themeFillShade="99"/>
      </w:tcPr>
    </w:tblStylePr>
    <w:tblStylePr w:type="band1Vert">
      <w:tblPr/>
      <w:tcPr>
        <w:shd w:val="clear" w:color="auto" w:fill="B4C8D4" w:themeFill="accent5" w:themeFillTint="66"/>
      </w:tcPr>
    </w:tblStylePr>
    <w:tblStylePr w:type="band1Horz">
      <w:tblPr/>
      <w:tcPr>
        <w:shd w:val="clear" w:color="auto" w:fill="A2BBC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4F758B" w:themeColor="accent5"/>
        <w:left w:val="single" w:sz="4" w:space="0" w:color="71C5E8" w:themeColor="accent6"/>
        <w:bottom w:val="single" w:sz="4" w:space="0" w:color="71C5E8" w:themeColor="accent6"/>
        <w:right w:val="single" w:sz="4" w:space="0" w:color="71C5E8" w:themeColor="accent6"/>
        <w:insideH w:val="single" w:sz="4" w:space="0" w:color="FFFFFF" w:themeColor="background1"/>
        <w:insideV w:val="single" w:sz="4" w:space="0" w:color="FFFFFF" w:themeColor="background1"/>
      </w:tblBorders>
    </w:tblPr>
    <w:tcPr>
      <w:shd w:val="clear" w:color="auto" w:fill="F0F9FC" w:themeFill="accent6" w:themeFillTint="19"/>
    </w:tcPr>
    <w:tblStylePr w:type="firstRow">
      <w:rPr>
        <w:b/>
        <w:bCs/>
      </w:rPr>
      <w:tblPr/>
      <w:tcPr>
        <w:tcBorders>
          <w:top w:val="nil"/>
          <w:left w:val="nil"/>
          <w:bottom w:val="single" w:sz="24" w:space="0" w:color="4F758B"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D86B2" w:themeFill="accent6" w:themeFillShade="99"/>
      </w:tcPr>
    </w:tblStylePr>
    <w:tblStylePr w:type="firstCol">
      <w:rPr>
        <w:color w:val="FFFFFF" w:themeColor="background1"/>
      </w:rPr>
      <w:tblPr/>
      <w:tcPr>
        <w:tcBorders>
          <w:top w:val="nil"/>
          <w:left w:val="nil"/>
          <w:bottom w:val="nil"/>
          <w:right w:val="nil"/>
          <w:insideH w:val="single" w:sz="4" w:space="0" w:color="1D86B2" w:themeColor="accent6" w:themeShade="99"/>
          <w:insideV w:val="nil"/>
        </w:tcBorders>
        <w:shd w:val="clear" w:color="auto" w:fill="1D86B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1D86B2" w:themeFill="accent6" w:themeFillShade="99"/>
      </w:tcPr>
    </w:tblStylePr>
    <w:tblStylePr w:type="band1Vert">
      <w:tblPr/>
      <w:tcPr>
        <w:shd w:val="clear" w:color="auto" w:fill="C6E7F5" w:themeFill="accent6" w:themeFillTint="66"/>
      </w:tcPr>
    </w:tblStylePr>
    <w:tblStylePr w:type="band1Horz">
      <w:tblPr/>
      <w:tcPr>
        <w:shd w:val="clear" w:color="auto" w:fill="B8E2F3"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49"/>
    <w:semiHidden/>
    <w:unhideWhenUsed/>
    <w:locked/>
    <w:rsid w:val="00F80750"/>
    <w:rPr>
      <w:noProof w:val="0"/>
      <w:sz w:val="16"/>
      <w:szCs w:val="16"/>
      <w:lang w:val="en-AU"/>
    </w:rPr>
  </w:style>
  <w:style w:type="paragraph" w:styleId="CommentText">
    <w:name w:val="annotation text"/>
    <w:basedOn w:val="Normal"/>
    <w:link w:val="CommentTextChar"/>
    <w:uiPriority w:val="49"/>
    <w:unhideWhenUsed/>
    <w:locked/>
    <w:rsid w:val="00F80750"/>
  </w:style>
  <w:style w:type="character" w:customStyle="1" w:styleId="CommentTextChar">
    <w:name w:val="Comment Text Char"/>
    <w:basedOn w:val="DefaultParagraphFont"/>
    <w:link w:val="CommentText"/>
    <w:uiPriority w:val="49"/>
    <w:rsid w:val="00F80750"/>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01216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03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184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184E" w:themeFill="accent1" w:themeFillShade="BF"/>
      </w:tcPr>
    </w:tblStylePr>
    <w:tblStylePr w:type="band1Vert">
      <w:tblPr/>
      <w:tcPr>
        <w:tcBorders>
          <w:top w:val="nil"/>
          <w:left w:val="nil"/>
          <w:bottom w:val="nil"/>
          <w:right w:val="nil"/>
          <w:insideH w:val="nil"/>
          <w:insideV w:val="nil"/>
        </w:tcBorders>
        <w:shd w:val="clear" w:color="auto" w:fill="00184E" w:themeFill="accent1" w:themeFillShade="BF"/>
      </w:tcPr>
    </w:tblStylePr>
    <w:tblStylePr w:type="band1Horz">
      <w:tblPr/>
      <w:tcPr>
        <w:tcBorders>
          <w:top w:val="nil"/>
          <w:left w:val="nil"/>
          <w:bottom w:val="nil"/>
          <w:right w:val="nil"/>
          <w:insideH w:val="nil"/>
          <w:insideV w:val="nil"/>
        </w:tcBorders>
        <w:shd w:val="clear" w:color="auto" w:fill="00184E"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00A9E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36F"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7EA7"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7EA7" w:themeFill="accent2" w:themeFillShade="BF"/>
      </w:tcPr>
    </w:tblStylePr>
    <w:tblStylePr w:type="band1Vert">
      <w:tblPr/>
      <w:tcPr>
        <w:tcBorders>
          <w:top w:val="nil"/>
          <w:left w:val="nil"/>
          <w:bottom w:val="nil"/>
          <w:right w:val="nil"/>
          <w:insideH w:val="nil"/>
          <w:insideV w:val="nil"/>
        </w:tcBorders>
        <w:shd w:val="clear" w:color="auto" w:fill="007EA7" w:themeFill="accent2" w:themeFillShade="BF"/>
      </w:tcPr>
    </w:tblStylePr>
    <w:tblStylePr w:type="band1Horz">
      <w:tblPr/>
      <w:tcPr>
        <w:tcBorders>
          <w:top w:val="nil"/>
          <w:left w:val="nil"/>
          <w:bottom w:val="nil"/>
          <w:right w:val="nil"/>
          <w:insideH w:val="nil"/>
          <w:insideV w:val="nil"/>
        </w:tcBorders>
        <w:shd w:val="clear" w:color="auto" w:fill="007EA7"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0072C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86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559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559A" w:themeFill="accent3" w:themeFillShade="BF"/>
      </w:tcPr>
    </w:tblStylePr>
    <w:tblStylePr w:type="band1Vert">
      <w:tblPr/>
      <w:tcPr>
        <w:tcBorders>
          <w:top w:val="nil"/>
          <w:left w:val="nil"/>
          <w:bottom w:val="nil"/>
          <w:right w:val="nil"/>
          <w:insideH w:val="nil"/>
          <w:insideV w:val="nil"/>
        </w:tcBorders>
        <w:shd w:val="clear" w:color="auto" w:fill="00559A" w:themeFill="accent3" w:themeFillShade="BF"/>
      </w:tcPr>
    </w:tblStylePr>
    <w:tblStylePr w:type="band1Horz">
      <w:tblPr/>
      <w:tcPr>
        <w:tcBorders>
          <w:top w:val="nil"/>
          <w:left w:val="nil"/>
          <w:bottom w:val="nil"/>
          <w:right w:val="nil"/>
          <w:insideH w:val="nil"/>
          <w:insideV w:val="nil"/>
        </w:tcBorders>
        <w:shd w:val="clear" w:color="auto" w:fill="00559A"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98A4AE"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7525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B7B8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B7B88" w:themeFill="accent4" w:themeFillShade="BF"/>
      </w:tcPr>
    </w:tblStylePr>
    <w:tblStylePr w:type="band1Vert">
      <w:tblPr/>
      <w:tcPr>
        <w:tcBorders>
          <w:top w:val="nil"/>
          <w:left w:val="nil"/>
          <w:bottom w:val="nil"/>
          <w:right w:val="nil"/>
          <w:insideH w:val="nil"/>
          <w:insideV w:val="nil"/>
        </w:tcBorders>
        <w:shd w:val="clear" w:color="auto" w:fill="6B7B88" w:themeFill="accent4" w:themeFillShade="BF"/>
      </w:tcPr>
    </w:tblStylePr>
    <w:tblStylePr w:type="band1Horz">
      <w:tblPr/>
      <w:tcPr>
        <w:tcBorders>
          <w:top w:val="nil"/>
          <w:left w:val="nil"/>
          <w:bottom w:val="nil"/>
          <w:right w:val="nil"/>
          <w:insideH w:val="nil"/>
          <w:insideV w:val="nil"/>
        </w:tcBorders>
        <w:shd w:val="clear" w:color="auto" w:fill="6B7B88"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4F758B"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73A4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B576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B5767" w:themeFill="accent5" w:themeFillShade="BF"/>
      </w:tcPr>
    </w:tblStylePr>
    <w:tblStylePr w:type="band1Vert">
      <w:tblPr/>
      <w:tcPr>
        <w:tcBorders>
          <w:top w:val="nil"/>
          <w:left w:val="nil"/>
          <w:bottom w:val="nil"/>
          <w:right w:val="nil"/>
          <w:insideH w:val="nil"/>
          <w:insideV w:val="nil"/>
        </w:tcBorders>
        <w:shd w:val="clear" w:color="auto" w:fill="3B5767" w:themeFill="accent5" w:themeFillShade="BF"/>
      </w:tcPr>
    </w:tblStylePr>
    <w:tblStylePr w:type="band1Horz">
      <w:tblPr/>
      <w:tcPr>
        <w:tcBorders>
          <w:top w:val="nil"/>
          <w:left w:val="nil"/>
          <w:bottom w:val="nil"/>
          <w:right w:val="nil"/>
          <w:insideH w:val="nil"/>
          <w:insideV w:val="nil"/>
        </w:tcBorders>
        <w:shd w:val="clear" w:color="auto" w:fill="3B5767"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71C5E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86F9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26A6DC"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26A6DC" w:themeFill="accent6" w:themeFillShade="BF"/>
      </w:tcPr>
    </w:tblStylePr>
    <w:tblStylePr w:type="band1Vert">
      <w:tblPr/>
      <w:tcPr>
        <w:tcBorders>
          <w:top w:val="nil"/>
          <w:left w:val="nil"/>
          <w:bottom w:val="nil"/>
          <w:right w:val="nil"/>
          <w:insideH w:val="nil"/>
          <w:insideV w:val="nil"/>
        </w:tcBorders>
        <w:shd w:val="clear" w:color="auto" w:fill="26A6DC" w:themeFill="accent6" w:themeFillShade="BF"/>
      </w:tcPr>
    </w:tblStylePr>
    <w:tblStylePr w:type="band1Horz">
      <w:tblPr/>
      <w:tcPr>
        <w:tcBorders>
          <w:top w:val="nil"/>
          <w:left w:val="nil"/>
          <w:bottom w:val="nil"/>
          <w:right w:val="nil"/>
          <w:insideH w:val="nil"/>
          <w:insideV w:val="nil"/>
        </w:tcBorders>
        <w:shd w:val="clear" w:color="auto" w:fill="26A6DC" w:themeFill="accent6" w:themeFillShade="BF"/>
      </w:tcPr>
    </w:tblStylePr>
  </w:style>
  <w:style w:type="paragraph" w:styleId="Date">
    <w:name w:val="Date"/>
    <w:basedOn w:val="Normal"/>
    <w:next w:val="Normal"/>
    <w:link w:val="DateChar"/>
    <w:uiPriority w:val="99"/>
    <w:semiHidden/>
    <w:unhideWhenUsed/>
    <w:locked/>
    <w:rsid w:val="00F80750"/>
  </w:style>
  <w:style w:type="character" w:customStyle="1" w:styleId="DateChar">
    <w:name w:val="Date Char"/>
    <w:basedOn w:val="DefaultParagraphFont"/>
    <w:link w:val="Date"/>
    <w:uiPriority w:val="99"/>
    <w:semiHidden/>
    <w:rsid w:val="00F80750"/>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sz w:val="16"/>
      <w:szCs w:val="16"/>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semiHidden/>
    <w:rsid w:val="00E64743"/>
    <w:rPr>
      <w:noProof w:val="0"/>
      <w:sz w:val="16"/>
      <w:vertAlign w:val="superscript"/>
      <w:lang w:val="en-AU"/>
    </w:rPr>
  </w:style>
  <w:style w:type="paragraph" w:styleId="EndnoteText">
    <w:name w:val="endnote text"/>
    <w:basedOn w:val="Normal"/>
    <w:link w:val="EndnoteTextChar"/>
    <w:uiPriority w:val="99"/>
    <w:semiHidden/>
    <w:rsid w:val="00722F9F"/>
    <w:pPr>
      <w:numPr>
        <w:numId w:val="0"/>
      </w:numPr>
      <w:spacing w:after="0"/>
    </w:pPr>
    <w:rPr>
      <w:sz w:val="16"/>
    </w:rPr>
  </w:style>
  <w:style w:type="character" w:customStyle="1" w:styleId="EndnoteTextChar">
    <w:name w:val="Endnote Text Char"/>
    <w:basedOn w:val="DefaultParagraphFont"/>
    <w:link w:val="EndnoteText"/>
    <w:uiPriority w:val="99"/>
    <w:semiHidden/>
    <w:rsid w:val="000573E5"/>
    <w:rPr>
      <w:sz w:val="16"/>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semiHidden/>
    <w:rsid w:val="00355D40"/>
    <w:rPr>
      <w:noProof w:val="0"/>
      <w:color w:val="7030A0"/>
      <w:u w:val="single"/>
      <w:lang w:val="en-AU"/>
    </w:rPr>
  </w:style>
  <w:style w:type="character" w:styleId="FootnoteReference">
    <w:name w:val="footnote reference"/>
    <w:basedOn w:val="DefaultParagraphFont"/>
    <w:uiPriority w:val="99"/>
    <w:rsid w:val="000573E5"/>
    <w:rPr>
      <w:noProof w:val="0"/>
      <w:sz w:val="18"/>
      <w:vertAlign w:val="superscript"/>
      <w:lang w:val="en-AU"/>
    </w:rPr>
  </w:style>
  <w:style w:type="paragraph" w:styleId="FootnoteText">
    <w:name w:val="footnote text"/>
    <w:basedOn w:val="Normal"/>
    <w:link w:val="FootnoteTextChar"/>
    <w:uiPriority w:val="99"/>
    <w:qFormat/>
    <w:rsid w:val="00C0373C"/>
    <w:pPr>
      <w:numPr>
        <w:numId w:val="0"/>
      </w:numPr>
      <w:tabs>
        <w:tab w:val="left" w:pos="170"/>
      </w:tabs>
      <w:spacing w:after="120"/>
      <w:ind w:left="170" w:hanging="170"/>
    </w:pPr>
    <w:rPr>
      <w:sz w:val="18"/>
    </w:rPr>
  </w:style>
  <w:style w:type="character" w:customStyle="1" w:styleId="FootnoteTextChar">
    <w:name w:val="Footnote Text Char"/>
    <w:basedOn w:val="DefaultParagraphFont"/>
    <w:link w:val="FootnoteText"/>
    <w:uiPriority w:val="99"/>
    <w:rsid w:val="00C0373C"/>
    <w:rPr>
      <w:sz w:val="18"/>
    </w:rPr>
  </w:style>
  <w:style w:type="character" w:customStyle="1" w:styleId="Heading5Char">
    <w:name w:val="Heading 5 Char"/>
    <w:basedOn w:val="DefaultParagraphFont"/>
    <w:link w:val="Heading5"/>
    <w:uiPriority w:val="9"/>
    <w:rsid w:val="009E529F"/>
    <w:rPr>
      <w:rFonts w:asciiTheme="majorHAnsi" w:eastAsiaTheme="majorEastAsia" w:hAnsiTheme="majorHAnsi" w:cstheme="majorBidi"/>
      <w:b/>
      <w:color w:val="000000" w:themeColor="text1"/>
    </w:rPr>
  </w:style>
  <w:style w:type="character" w:customStyle="1" w:styleId="Heading6Char">
    <w:name w:val="Heading 6 Char"/>
    <w:basedOn w:val="DefaultParagraphFont"/>
    <w:link w:val="Heading6"/>
    <w:uiPriority w:val="9"/>
    <w:rsid w:val="00004ED1"/>
    <w:rPr>
      <w:rFonts w:asciiTheme="majorHAnsi" w:eastAsiaTheme="majorEastAsia" w:hAnsiTheme="majorHAnsi" w:cstheme="majorBidi"/>
      <w:i/>
      <w:iCs/>
    </w:rPr>
  </w:style>
  <w:style w:type="character" w:customStyle="1" w:styleId="Heading7Char">
    <w:name w:val="Heading 7 Char"/>
    <w:basedOn w:val="DefaultParagraphFont"/>
    <w:link w:val="Heading7"/>
    <w:uiPriority w:val="9"/>
    <w:semiHidden/>
    <w:rsid w:val="00B56C63"/>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B56C63"/>
    <w:rPr>
      <w:rFonts w:asciiTheme="majorHAnsi" w:eastAsiaTheme="majorEastAsia" w:hAnsiTheme="majorHAnsi" w:cstheme="majorBidi"/>
      <w:i/>
      <w:color w:val="000000" w:themeColor="text1"/>
    </w:rPr>
  </w:style>
  <w:style w:type="character" w:customStyle="1" w:styleId="Heading9Char">
    <w:name w:val="Heading 9 Char"/>
    <w:basedOn w:val="DefaultParagraphFont"/>
    <w:link w:val="Heading9"/>
    <w:uiPriority w:val="9"/>
    <w:semiHidden/>
    <w:rsid w:val="00B56C63"/>
    <w:rPr>
      <w:rFonts w:asciiTheme="majorHAnsi" w:eastAsiaTheme="majorEastAsia" w:hAnsiTheme="majorHAnsi" w:cstheme="majorBidi"/>
      <w:i/>
      <w:iCs/>
      <w:color w:val="000000" w:themeColor="text1"/>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01216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012169" w:themeColor="accent1"/>
      </w:pBdr>
      <w:spacing w:before="200" w:after="280"/>
      <w:ind w:left="936" w:right="936"/>
    </w:pPr>
    <w:rPr>
      <w:b/>
      <w:bCs/>
      <w:i/>
      <w:iCs/>
      <w:color w:val="012169" w:themeColor="accent1"/>
    </w:rPr>
  </w:style>
  <w:style w:type="character" w:customStyle="1" w:styleId="IntenseQuoteChar">
    <w:name w:val="Intense Quote Char"/>
    <w:basedOn w:val="DefaultParagraphFont"/>
    <w:link w:val="IntenseQuote"/>
    <w:uiPriority w:val="30"/>
    <w:semiHidden/>
    <w:rsid w:val="00F80750"/>
    <w:rPr>
      <w:b/>
      <w:bCs/>
      <w:i/>
      <w:iCs/>
      <w:color w:val="012169" w:themeColor="accent1"/>
    </w:rPr>
  </w:style>
  <w:style w:type="character" w:styleId="IntenseReference">
    <w:name w:val="Intense Reference"/>
    <w:basedOn w:val="DefaultParagraphFont"/>
    <w:uiPriority w:val="32"/>
    <w:semiHidden/>
    <w:qFormat/>
    <w:locked/>
    <w:rsid w:val="00F80750"/>
    <w:rPr>
      <w:b/>
      <w:bCs/>
      <w:smallCaps/>
      <w:noProof w:val="0"/>
      <w:color w:val="00A9E0"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insideH w:val="single" w:sz="8" w:space="0" w:color="012169" w:themeColor="accent1"/>
        <w:insideV w:val="single" w:sz="8" w:space="0" w:color="01216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12169" w:themeColor="accent1"/>
          <w:left w:val="single" w:sz="8" w:space="0" w:color="012169" w:themeColor="accent1"/>
          <w:bottom w:val="single" w:sz="18" w:space="0" w:color="012169" w:themeColor="accent1"/>
          <w:right w:val="single" w:sz="8" w:space="0" w:color="012169" w:themeColor="accent1"/>
          <w:insideH w:val="nil"/>
          <w:insideV w:val="single" w:sz="8" w:space="0" w:color="01216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12169" w:themeColor="accent1"/>
          <w:left w:val="single" w:sz="8" w:space="0" w:color="012169" w:themeColor="accent1"/>
          <w:bottom w:val="single" w:sz="8" w:space="0" w:color="012169" w:themeColor="accent1"/>
          <w:right w:val="single" w:sz="8" w:space="0" w:color="012169" w:themeColor="accent1"/>
          <w:insideH w:val="nil"/>
          <w:insideV w:val="single" w:sz="8" w:space="0" w:color="01216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tblStylePr w:type="band1Vert">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shd w:val="clear" w:color="auto" w:fill="9BB9FE" w:themeFill="accent1" w:themeFillTint="3F"/>
      </w:tcPr>
    </w:tblStylePr>
    <w:tblStylePr w:type="band1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insideV w:val="single" w:sz="8" w:space="0" w:color="012169" w:themeColor="accent1"/>
        </w:tcBorders>
        <w:shd w:val="clear" w:color="auto" w:fill="9BB9FE" w:themeFill="accent1" w:themeFillTint="3F"/>
      </w:tcPr>
    </w:tblStylePr>
    <w:tblStylePr w:type="band2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insideV w:val="single" w:sz="8" w:space="0" w:color="01216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insideH w:val="single" w:sz="8" w:space="0" w:color="00A9E0" w:themeColor="accent2"/>
        <w:insideV w:val="single" w:sz="8" w:space="0" w:color="00A9E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9E0" w:themeColor="accent2"/>
          <w:left w:val="single" w:sz="8" w:space="0" w:color="00A9E0" w:themeColor="accent2"/>
          <w:bottom w:val="single" w:sz="18" w:space="0" w:color="00A9E0" w:themeColor="accent2"/>
          <w:right w:val="single" w:sz="8" w:space="0" w:color="00A9E0" w:themeColor="accent2"/>
          <w:insideH w:val="nil"/>
          <w:insideV w:val="single" w:sz="8" w:space="0" w:color="00A9E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9E0" w:themeColor="accent2"/>
          <w:left w:val="single" w:sz="8" w:space="0" w:color="00A9E0" w:themeColor="accent2"/>
          <w:bottom w:val="single" w:sz="8" w:space="0" w:color="00A9E0" w:themeColor="accent2"/>
          <w:right w:val="single" w:sz="8" w:space="0" w:color="00A9E0" w:themeColor="accent2"/>
          <w:insideH w:val="nil"/>
          <w:insideV w:val="single" w:sz="8" w:space="0" w:color="00A9E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tblStylePr w:type="band1Vert">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shd w:val="clear" w:color="auto" w:fill="B8EDFF" w:themeFill="accent2" w:themeFillTint="3F"/>
      </w:tcPr>
    </w:tblStylePr>
    <w:tblStylePr w:type="band1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insideV w:val="single" w:sz="8" w:space="0" w:color="00A9E0" w:themeColor="accent2"/>
        </w:tcBorders>
        <w:shd w:val="clear" w:color="auto" w:fill="B8EDFF" w:themeFill="accent2" w:themeFillTint="3F"/>
      </w:tcPr>
    </w:tblStylePr>
    <w:tblStylePr w:type="band2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insideV w:val="single" w:sz="8" w:space="0" w:color="00A9E0"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insideH w:val="single" w:sz="8" w:space="0" w:color="0072CE" w:themeColor="accent3"/>
        <w:insideV w:val="single" w:sz="8" w:space="0" w:color="0072C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CE" w:themeColor="accent3"/>
          <w:left w:val="single" w:sz="8" w:space="0" w:color="0072CE" w:themeColor="accent3"/>
          <w:bottom w:val="single" w:sz="18" w:space="0" w:color="0072CE" w:themeColor="accent3"/>
          <w:right w:val="single" w:sz="8" w:space="0" w:color="0072CE" w:themeColor="accent3"/>
          <w:insideH w:val="nil"/>
          <w:insideV w:val="single" w:sz="8" w:space="0" w:color="0072C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CE" w:themeColor="accent3"/>
          <w:left w:val="single" w:sz="8" w:space="0" w:color="0072CE" w:themeColor="accent3"/>
          <w:bottom w:val="single" w:sz="8" w:space="0" w:color="0072CE" w:themeColor="accent3"/>
          <w:right w:val="single" w:sz="8" w:space="0" w:color="0072CE" w:themeColor="accent3"/>
          <w:insideH w:val="nil"/>
          <w:insideV w:val="single" w:sz="8" w:space="0" w:color="0072C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tblStylePr w:type="band1Vert">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shd w:val="clear" w:color="auto" w:fill="B3DDFF" w:themeFill="accent3" w:themeFillTint="3F"/>
      </w:tcPr>
    </w:tblStylePr>
    <w:tblStylePr w:type="band1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insideV w:val="single" w:sz="8" w:space="0" w:color="0072CE" w:themeColor="accent3"/>
        </w:tcBorders>
        <w:shd w:val="clear" w:color="auto" w:fill="B3DDFF" w:themeFill="accent3" w:themeFillTint="3F"/>
      </w:tcPr>
    </w:tblStylePr>
    <w:tblStylePr w:type="band2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insideV w:val="single" w:sz="8" w:space="0" w:color="0072CE"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insideH w:val="single" w:sz="8" w:space="0" w:color="98A4AE" w:themeColor="accent4"/>
        <w:insideV w:val="single" w:sz="8" w:space="0" w:color="98A4AE"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8A4AE" w:themeColor="accent4"/>
          <w:left w:val="single" w:sz="8" w:space="0" w:color="98A4AE" w:themeColor="accent4"/>
          <w:bottom w:val="single" w:sz="18" w:space="0" w:color="98A4AE" w:themeColor="accent4"/>
          <w:right w:val="single" w:sz="8" w:space="0" w:color="98A4AE" w:themeColor="accent4"/>
          <w:insideH w:val="nil"/>
          <w:insideV w:val="single" w:sz="8" w:space="0" w:color="98A4AE"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8A4AE" w:themeColor="accent4"/>
          <w:left w:val="single" w:sz="8" w:space="0" w:color="98A4AE" w:themeColor="accent4"/>
          <w:bottom w:val="single" w:sz="8" w:space="0" w:color="98A4AE" w:themeColor="accent4"/>
          <w:right w:val="single" w:sz="8" w:space="0" w:color="98A4AE" w:themeColor="accent4"/>
          <w:insideH w:val="nil"/>
          <w:insideV w:val="single" w:sz="8" w:space="0" w:color="98A4AE"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tblStylePr w:type="band1Vert">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shd w:val="clear" w:color="auto" w:fill="E5E8EB" w:themeFill="accent4" w:themeFillTint="3F"/>
      </w:tcPr>
    </w:tblStylePr>
    <w:tblStylePr w:type="band1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insideV w:val="single" w:sz="8" w:space="0" w:color="98A4AE" w:themeColor="accent4"/>
        </w:tcBorders>
        <w:shd w:val="clear" w:color="auto" w:fill="E5E8EB" w:themeFill="accent4" w:themeFillTint="3F"/>
      </w:tcPr>
    </w:tblStylePr>
    <w:tblStylePr w:type="band2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insideV w:val="single" w:sz="8" w:space="0" w:color="98A4AE"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insideH w:val="single" w:sz="8" w:space="0" w:color="4F758B" w:themeColor="accent5"/>
        <w:insideV w:val="single" w:sz="8" w:space="0" w:color="4F758B"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758B" w:themeColor="accent5"/>
          <w:left w:val="single" w:sz="8" w:space="0" w:color="4F758B" w:themeColor="accent5"/>
          <w:bottom w:val="single" w:sz="18" w:space="0" w:color="4F758B" w:themeColor="accent5"/>
          <w:right w:val="single" w:sz="8" w:space="0" w:color="4F758B" w:themeColor="accent5"/>
          <w:insideH w:val="nil"/>
          <w:insideV w:val="single" w:sz="8" w:space="0" w:color="4F758B"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758B" w:themeColor="accent5"/>
          <w:left w:val="single" w:sz="8" w:space="0" w:color="4F758B" w:themeColor="accent5"/>
          <w:bottom w:val="single" w:sz="8" w:space="0" w:color="4F758B" w:themeColor="accent5"/>
          <w:right w:val="single" w:sz="8" w:space="0" w:color="4F758B" w:themeColor="accent5"/>
          <w:insideH w:val="nil"/>
          <w:insideV w:val="single" w:sz="8" w:space="0" w:color="4F758B"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tblStylePr w:type="band1Vert">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shd w:val="clear" w:color="auto" w:fill="D0DDE4" w:themeFill="accent5" w:themeFillTint="3F"/>
      </w:tcPr>
    </w:tblStylePr>
    <w:tblStylePr w:type="band1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insideV w:val="single" w:sz="8" w:space="0" w:color="4F758B" w:themeColor="accent5"/>
        </w:tcBorders>
        <w:shd w:val="clear" w:color="auto" w:fill="D0DDE4" w:themeFill="accent5" w:themeFillTint="3F"/>
      </w:tcPr>
    </w:tblStylePr>
    <w:tblStylePr w:type="band2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insideV w:val="single" w:sz="8" w:space="0" w:color="4F758B"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insideH w:val="single" w:sz="8" w:space="0" w:color="71C5E8" w:themeColor="accent6"/>
        <w:insideV w:val="single" w:sz="8" w:space="0" w:color="71C5E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C5E8" w:themeColor="accent6"/>
          <w:left w:val="single" w:sz="8" w:space="0" w:color="71C5E8" w:themeColor="accent6"/>
          <w:bottom w:val="single" w:sz="18" w:space="0" w:color="71C5E8" w:themeColor="accent6"/>
          <w:right w:val="single" w:sz="8" w:space="0" w:color="71C5E8" w:themeColor="accent6"/>
          <w:insideH w:val="nil"/>
          <w:insideV w:val="single" w:sz="8" w:space="0" w:color="71C5E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C5E8" w:themeColor="accent6"/>
          <w:left w:val="single" w:sz="8" w:space="0" w:color="71C5E8" w:themeColor="accent6"/>
          <w:bottom w:val="single" w:sz="8" w:space="0" w:color="71C5E8" w:themeColor="accent6"/>
          <w:right w:val="single" w:sz="8" w:space="0" w:color="71C5E8" w:themeColor="accent6"/>
          <w:insideH w:val="nil"/>
          <w:insideV w:val="single" w:sz="8" w:space="0" w:color="71C5E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tblStylePr w:type="band1Vert">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shd w:val="clear" w:color="auto" w:fill="DBF0F9" w:themeFill="accent6" w:themeFillTint="3F"/>
      </w:tcPr>
    </w:tblStylePr>
    <w:tblStylePr w:type="band1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insideV w:val="single" w:sz="8" w:space="0" w:color="71C5E8" w:themeColor="accent6"/>
        </w:tcBorders>
        <w:shd w:val="clear" w:color="auto" w:fill="DBF0F9" w:themeFill="accent6" w:themeFillTint="3F"/>
      </w:tcPr>
    </w:tblStylePr>
    <w:tblStylePr w:type="band2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insideV w:val="single" w:sz="8" w:space="0" w:color="71C5E8"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tblBorders>
    </w:tblPr>
    <w:tblStylePr w:type="firstRow">
      <w:pPr>
        <w:spacing w:before="0" w:after="0" w:line="240" w:lineRule="auto"/>
      </w:pPr>
      <w:rPr>
        <w:b/>
        <w:bCs/>
        <w:color w:val="FFFFFF" w:themeColor="background1"/>
      </w:rPr>
      <w:tblPr/>
      <w:tcPr>
        <w:shd w:val="clear" w:color="auto" w:fill="012169" w:themeFill="accent1"/>
      </w:tcPr>
    </w:tblStylePr>
    <w:tblStylePr w:type="lastRow">
      <w:pPr>
        <w:spacing w:before="0" w:after="0" w:line="240" w:lineRule="auto"/>
      </w:pPr>
      <w:rPr>
        <w:b/>
        <w:bCs/>
      </w:rPr>
      <w:tblPr/>
      <w:tcPr>
        <w:tcBorders>
          <w:top w:val="double" w:sz="6" w:space="0" w:color="012169" w:themeColor="accent1"/>
          <w:left w:val="single" w:sz="8" w:space="0" w:color="012169" w:themeColor="accent1"/>
          <w:bottom w:val="single" w:sz="8" w:space="0" w:color="012169" w:themeColor="accent1"/>
          <w:right w:val="single" w:sz="8" w:space="0" w:color="012169" w:themeColor="accent1"/>
        </w:tcBorders>
      </w:tcPr>
    </w:tblStylePr>
    <w:tblStylePr w:type="firstCol">
      <w:rPr>
        <w:b/>
        <w:bCs/>
      </w:rPr>
    </w:tblStylePr>
    <w:tblStylePr w:type="lastCol">
      <w:rPr>
        <w:b/>
        <w:bCs/>
      </w:rPr>
    </w:tblStylePr>
    <w:tblStylePr w:type="band1Vert">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tblStylePr w:type="band1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tblBorders>
    </w:tblPr>
    <w:tblStylePr w:type="firstRow">
      <w:pPr>
        <w:spacing w:before="0" w:after="0" w:line="240" w:lineRule="auto"/>
      </w:pPr>
      <w:rPr>
        <w:b/>
        <w:bCs/>
        <w:color w:val="FFFFFF" w:themeColor="background1"/>
      </w:rPr>
      <w:tblPr/>
      <w:tcPr>
        <w:shd w:val="clear" w:color="auto" w:fill="00A9E0" w:themeFill="accent2"/>
      </w:tcPr>
    </w:tblStylePr>
    <w:tblStylePr w:type="lastRow">
      <w:pPr>
        <w:spacing w:before="0" w:after="0" w:line="240" w:lineRule="auto"/>
      </w:pPr>
      <w:rPr>
        <w:b/>
        <w:bCs/>
      </w:rPr>
      <w:tblPr/>
      <w:tcPr>
        <w:tcBorders>
          <w:top w:val="double" w:sz="6" w:space="0" w:color="00A9E0" w:themeColor="accent2"/>
          <w:left w:val="single" w:sz="8" w:space="0" w:color="00A9E0" w:themeColor="accent2"/>
          <w:bottom w:val="single" w:sz="8" w:space="0" w:color="00A9E0" w:themeColor="accent2"/>
          <w:right w:val="single" w:sz="8" w:space="0" w:color="00A9E0" w:themeColor="accent2"/>
        </w:tcBorders>
      </w:tcPr>
    </w:tblStylePr>
    <w:tblStylePr w:type="firstCol">
      <w:rPr>
        <w:b/>
        <w:bCs/>
      </w:rPr>
    </w:tblStylePr>
    <w:tblStylePr w:type="lastCol">
      <w:rPr>
        <w:b/>
        <w:bCs/>
      </w:rPr>
    </w:tblStylePr>
    <w:tblStylePr w:type="band1Vert">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tblStylePr w:type="band1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tblBorders>
    </w:tblPr>
    <w:tblStylePr w:type="firstRow">
      <w:pPr>
        <w:spacing w:before="0" w:after="0" w:line="240" w:lineRule="auto"/>
      </w:pPr>
      <w:rPr>
        <w:b/>
        <w:bCs/>
        <w:color w:val="FFFFFF" w:themeColor="background1"/>
      </w:rPr>
      <w:tblPr/>
      <w:tcPr>
        <w:shd w:val="clear" w:color="auto" w:fill="0072CE" w:themeFill="accent3"/>
      </w:tcPr>
    </w:tblStylePr>
    <w:tblStylePr w:type="lastRow">
      <w:pPr>
        <w:spacing w:before="0" w:after="0" w:line="240" w:lineRule="auto"/>
      </w:pPr>
      <w:rPr>
        <w:b/>
        <w:bCs/>
      </w:rPr>
      <w:tblPr/>
      <w:tcPr>
        <w:tcBorders>
          <w:top w:val="double" w:sz="6" w:space="0" w:color="0072CE" w:themeColor="accent3"/>
          <w:left w:val="single" w:sz="8" w:space="0" w:color="0072CE" w:themeColor="accent3"/>
          <w:bottom w:val="single" w:sz="8" w:space="0" w:color="0072CE" w:themeColor="accent3"/>
          <w:right w:val="single" w:sz="8" w:space="0" w:color="0072CE" w:themeColor="accent3"/>
        </w:tcBorders>
      </w:tcPr>
    </w:tblStylePr>
    <w:tblStylePr w:type="firstCol">
      <w:rPr>
        <w:b/>
        <w:bCs/>
      </w:rPr>
    </w:tblStylePr>
    <w:tblStylePr w:type="lastCol">
      <w:rPr>
        <w:b/>
        <w:bCs/>
      </w:rPr>
    </w:tblStylePr>
    <w:tblStylePr w:type="band1Vert">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tblStylePr w:type="band1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tblBorders>
    </w:tblPr>
    <w:tblStylePr w:type="firstRow">
      <w:pPr>
        <w:spacing w:before="0" w:after="0" w:line="240" w:lineRule="auto"/>
      </w:pPr>
      <w:rPr>
        <w:b/>
        <w:bCs/>
        <w:color w:val="FFFFFF" w:themeColor="background1"/>
      </w:rPr>
      <w:tblPr/>
      <w:tcPr>
        <w:shd w:val="clear" w:color="auto" w:fill="98A4AE" w:themeFill="accent4"/>
      </w:tcPr>
    </w:tblStylePr>
    <w:tblStylePr w:type="lastRow">
      <w:pPr>
        <w:spacing w:before="0" w:after="0" w:line="240" w:lineRule="auto"/>
      </w:pPr>
      <w:rPr>
        <w:b/>
        <w:bCs/>
      </w:rPr>
      <w:tblPr/>
      <w:tcPr>
        <w:tcBorders>
          <w:top w:val="double" w:sz="6" w:space="0" w:color="98A4AE" w:themeColor="accent4"/>
          <w:left w:val="single" w:sz="8" w:space="0" w:color="98A4AE" w:themeColor="accent4"/>
          <w:bottom w:val="single" w:sz="8" w:space="0" w:color="98A4AE" w:themeColor="accent4"/>
          <w:right w:val="single" w:sz="8" w:space="0" w:color="98A4AE" w:themeColor="accent4"/>
        </w:tcBorders>
      </w:tcPr>
    </w:tblStylePr>
    <w:tblStylePr w:type="firstCol">
      <w:rPr>
        <w:b/>
        <w:bCs/>
      </w:rPr>
    </w:tblStylePr>
    <w:tblStylePr w:type="lastCol">
      <w:rPr>
        <w:b/>
        <w:bCs/>
      </w:rPr>
    </w:tblStylePr>
    <w:tblStylePr w:type="band1Vert">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tblStylePr w:type="band1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tblBorders>
    </w:tblPr>
    <w:tblStylePr w:type="firstRow">
      <w:pPr>
        <w:spacing w:before="0" w:after="0" w:line="240" w:lineRule="auto"/>
      </w:pPr>
      <w:rPr>
        <w:b/>
        <w:bCs/>
        <w:color w:val="FFFFFF" w:themeColor="background1"/>
      </w:rPr>
      <w:tblPr/>
      <w:tcPr>
        <w:shd w:val="clear" w:color="auto" w:fill="4F758B" w:themeFill="accent5"/>
      </w:tcPr>
    </w:tblStylePr>
    <w:tblStylePr w:type="lastRow">
      <w:pPr>
        <w:spacing w:before="0" w:after="0" w:line="240" w:lineRule="auto"/>
      </w:pPr>
      <w:rPr>
        <w:b/>
        <w:bCs/>
      </w:rPr>
      <w:tblPr/>
      <w:tcPr>
        <w:tcBorders>
          <w:top w:val="double" w:sz="6" w:space="0" w:color="4F758B" w:themeColor="accent5"/>
          <w:left w:val="single" w:sz="8" w:space="0" w:color="4F758B" w:themeColor="accent5"/>
          <w:bottom w:val="single" w:sz="8" w:space="0" w:color="4F758B" w:themeColor="accent5"/>
          <w:right w:val="single" w:sz="8" w:space="0" w:color="4F758B" w:themeColor="accent5"/>
        </w:tcBorders>
      </w:tcPr>
    </w:tblStylePr>
    <w:tblStylePr w:type="firstCol">
      <w:rPr>
        <w:b/>
        <w:bCs/>
      </w:rPr>
    </w:tblStylePr>
    <w:tblStylePr w:type="lastCol">
      <w:rPr>
        <w:b/>
        <w:bCs/>
      </w:rPr>
    </w:tblStylePr>
    <w:tblStylePr w:type="band1Vert">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tblStylePr w:type="band1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tblBorders>
    </w:tblPr>
    <w:tblStylePr w:type="firstRow">
      <w:pPr>
        <w:spacing w:before="0" w:after="0" w:line="240" w:lineRule="auto"/>
      </w:pPr>
      <w:rPr>
        <w:b/>
        <w:bCs/>
        <w:color w:val="FFFFFF" w:themeColor="background1"/>
      </w:rPr>
      <w:tblPr/>
      <w:tcPr>
        <w:shd w:val="clear" w:color="auto" w:fill="71C5E8" w:themeFill="accent6"/>
      </w:tcPr>
    </w:tblStylePr>
    <w:tblStylePr w:type="lastRow">
      <w:pPr>
        <w:spacing w:before="0" w:after="0" w:line="240" w:lineRule="auto"/>
      </w:pPr>
      <w:rPr>
        <w:b/>
        <w:bCs/>
      </w:rPr>
      <w:tblPr/>
      <w:tcPr>
        <w:tcBorders>
          <w:top w:val="double" w:sz="6" w:space="0" w:color="71C5E8" w:themeColor="accent6"/>
          <w:left w:val="single" w:sz="8" w:space="0" w:color="71C5E8" w:themeColor="accent6"/>
          <w:bottom w:val="single" w:sz="8" w:space="0" w:color="71C5E8" w:themeColor="accent6"/>
          <w:right w:val="single" w:sz="8" w:space="0" w:color="71C5E8" w:themeColor="accent6"/>
        </w:tcBorders>
      </w:tcPr>
    </w:tblStylePr>
    <w:tblStylePr w:type="firstCol">
      <w:rPr>
        <w:b/>
        <w:bCs/>
      </w:rPr>
    </w:tblStylePr>
    <w:tblStylePr w:type="lastCol">
      <w:rPr>
        <w:b/>
        <w:bCs/>
      </w:rPr>
    </w:tblStylePr>
    <w:tblStylePr w:type="band1Vert">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tblStylePr w:type="band1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00184E" w:themeColor="accent1" w:themeShade="BF"/>
    </w:rPr>
    <w:tblPr>
      <w:tblStyleRowBandSize w:val="1"/>
      <w:tblStyleColBandSize w:val="1"/>
      <w:tblBorders>
        <w:top w:val="single" w:sz="8" w:space="0" w:color="012169" w:themeColor="accent1"/>
        <w:bottom w:val="single" w:sz="8" w:space="0" w:color="012169" w:themeColor="accent1"/>
      </w:tblBorders>
    </w:tblPr>
    <w:tblStylePr w:type="firstRow">
      <w:pPr>
        <w:spacing w:before="0" w:after="0" w:line="240" w:lineRule="auto"/>
      </w:pPr>
      <w:rPr>
        <w:b/>
        <w:bCs/>
      </w:rPr>
      <w:tblPr/>
      <w:tcPr>
        <w:tcBorders>
          <w:top w:val="single" w:sz="8" w:space="0" w:color="012169" w:themeColor="accent1"/>
          <w:left w:val="nil"/>
          <w:bottom w:val="single" w:sz="8" w:space="0" w:color="012169" w:themeColor="accent1"/>
          <w:right w:val="nil"/>
          <w:insideH w:val="nil"/>
          <w:insideV w:val="nil"/>
        </w:tcBorders>
      </w:tcPr>
    </w:tblStylePr>
    <w:tblStylePr w:type="lastRow">
      <w:pPr>
        <w:spacing w:before="0" w:after="0" w:line="240" w:lineRule="auto"/>
      </w:pPr>
      <w:rPr>
        <w:b/>
        <w:bCs/>
      </w:rPr>
      <w:tblPr/>
      <w:tcPr>
        <w:tcBorders>
          <w:top w:val="single" w:sz="8" w:space="0" w:color="012169" w:themeColor="accent1"/>
          <w:left w:val="nil"/>
          <w:bottom w:val="single" w:sz="8" w:space="0" w:color="01216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BB9FE" w:themeFill="accent1" w:themeFillTint="3F"/>
      </w:tcPr>
    </w:tblStylePr>
    <w:tblStylePr w:type="band1Horz">
      <w:tblPr/>
      <w:tcPr>
        <w:tcBorders>
          <w:left w:val="nil"/>
          <w:right w:val="nil"/>
          <w:insideH w:val="nil"/>
          <w:insideV w:val="nil"/>
        </w:tcBorders>
        <w:shd w:val="clear" w:color="auto" w:fill="9BB9FE" w:themeFill="accent1" w:themeFillTint="3F"/>
      </w:tcPr>
    </w:tblStylePr>
  </w:style>
  <w:style w:type="table" w:styleId="LightShading-Accent2">
    <w:name w:val="Light Shading Accent 2"/>
    <w:basedOn w:val="TableNormal"/>
    <w:uiPriority w:val="60"/>
    <w:locked/>
    <w:rsid w:val="00F80750"/>
    <w:pPr>
      <w:spacing w:after="0"/>
    </w:pPr>
    <w:rPr>
      <w:color w:val="007EA7" w:themeColor="accent2" w:themeShade="BF"/>
    </w:rPr>
    <w:tblPr>
      <w:tblStyleRowBandSize w:val="1"/>
      <w:tblStyleColBandSize w:val="1"/>
      <w:tblBorders>
        <w:top w:val="single" w:sz="8" w:space="0" w:color="00A9E0" w:themeColor="accent2"/>
        <w:bottom w:val="single" w:sz="8" w:space="0" w:color="00A9E0" w:themeColor="accent2"/>
      </w:tblBorders>
    </w:tblPr>
    <w:tblStylePr w:type="firstRow">
      <w:pPr>
        <w:spacing w:before="0" w:after="0" w:line="240" w:lineRule="auto"/>
      </w:pPr>
      <w:rPr>
        <w:b/>
        <w:bCs/>
      </w:rPr>
      <w:tblPr/>
      <w:tcPr>
        <w:tcBorders>
          <w:top w:val="single" w:sz="8" w:space="0" w:color="00A9E0" w:themeColor="accent2"/>
          <w:left w:val="nil"/>
          <w:bottom w:val="single" w:sz="8" w:space="0" w:color="00A9E0" w:themeColor="accent2"/>
          <w:right w:val="nil"/>
          <w:insideH w:val="nil"/>
          <w:insideV w:val="nil"/>
        </w:tcBorders>
      </w:tcPr>
    </w:tblStylePr>
    <w:tblStylePr w:type="lastRow">
      <w:pPr>
        <w:spacing w:before="0" w:after="0" w:line="240" w:lineRule="auto"/>
      </w:pPr>
      <w:rPr>
        <w:b/>
        <w:bCs/>
      </w:rPr>
      <w:tblPr/>
      <w:tcPr>
        <w:tcBorders>
          <w:top w:val="single" w:sz="8" w:space="0" w:color="00A9E0" w:themeColor="accent2"/>
          <w:left w:val="nil"/>
          <w:bottom w:val="single" w:sz="8" w:space="0" w:color="00A9E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8EDFF" w:themeFill="accent2" w:themeFillTint="3F"/>
      </w:tcPr>
    </w:tblStylePr>
    <w:tblStylePr w:type="band1Horz">
      <w:tblPr/>
      <w:tcPr>
        <w:tcBorders>
          <w:left w:val="nil"/>
          <w:right w:val="nil"/>
          <w:insideH w:val="nil"/>
          <w:insideV w:val="nil"/>
        </w:tcBorders>
        <w:shd w:val="clear" w:color="auto" w:fill="B8EDFF" w:themeFill="accent2" w:themeFillTint="3F"/>
      </w:tcPr>
    </w:tblStylePr>
  </w:style>
  <w:style w:type="table" w:styleId="LightShading-Accent3">
    <w:name w:val="Light Shading Accent 3"/>
    <w:basedOn w:val="TableNormal"/>
    <w:uiPriority w:val="60"/>
    <w:locked/>
    <w:rsid w:val="00F80750"/>
    <w:pPr>
      <w:spacing w:after="0"/>
    </w:pPr>
    <w:rPr>
      <w:color w:val="00559A" w:themeColor="accent3" w:themeShade="BF"/>
    </w:rPr>
    <w:tblPr>
      <w:tblStyleRowBandSize w:val="1"/>
      <w:tblStyleColBandSize w:val="1"/>
      <w:tblBorders>
        <w:top w:val="single" w:sz="8" w:space="0" w:color="0072CE" w:themeColor="accent3"/>
        <w:bottom w:val="single" w:sz="8" w:space="0" w:color="0072CE" w:themeColor="accent3"/>
      </w:tblBorders>
    </w:tblPr>
    <w:tblStylePr w:type="firstRow">
      <w:pPr>
        <w:spacing w:before="0" w:after="0" w:line="240" w:lineRule="auto"/>
      </w:pPr>
      <w:rPr>
        <w:b/>
        <w:bCs/>
      </w:rPr>
      <w:tblPr/>
      <w:tcPr>
        <w:tcBorders>
          <w:top w:val="single" w:sz="8" w:space="0" w:color="0072CE" w:themeColor="accent3"/>
          <w:left w:val="nil"/>
          <w:bottom w:val="single" w:sz="8" w:space="0" w:color="0072CE" w:themeColor="accent3"/>
          <w:right w:val="nil"/>
          <w:insideH w:val="nil"/>
          <w:insideV w:val="nil"/>
        </w:tcBorders>
      </w:tcPr>
    </w:tblStylePr>
    <w:tblStylePr w:type="lastRow">
      <w:pPr>
        <w:spacing w:before="0" w:after="0" w:line="240" w:lineRule="auto"/>
      </w:pPr>
      <w:rPr>
        <w:b/>
        <w:bCs/>
      </w:rPr>
      <w:tblPr/>
      <w:tcPr>
        <w:tcBorders>
          <w:top w:val="single" w:sz="8" w:space="0" w:color="0072CE" w:themeColor="accent3"/>
          <w:left w:val="nil"/>
          <w:bottom w:val="single" w:sz="8" w:space="0" w:color="0072C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DDFF" w:themeFill="accent3" w:themeFillTint="3F"/>
      </w:tcPr>
    </w:tblStylePr>
    <w:tblStylePr w:type="band1Horz">
      <w:tblPr/>
      <w:tcPr>
        <w:tcBorders>
          <w:left w:val="nil"/>
          <w:right w:val="nil"/>
          <w:insideH w:val="nil"/>
          <w:insideV w:val="nil"/>
        </w:tcBorders>
        <w:shd w:val="clear" w:color="auto" w:fill="B3DDFF" w:themeFill="accent3" w:themeFillTint="3F"/>
      </w:tcPr>
    </w:tblStylePr>
  </w:style>
  <w:style w:type="table" w:styleId="LightShading-Accent4">
    <w:name w:val="Light Shading Accent 4"/>
    <w:basedOn w:val="TableNormal"/>
    <w:uiPriority w:val="60"/>
    <w:locked/>
    <w:rsid w:val="00F80750"/>
    <w:pPr>
      <w:spacing w:after="0"/>
    </w:pPr>
    <w:rPr>
      <w:color w:val="6B7B88" w:themeColor="accent4" w:themeShade="BF"/>
    </w:rPr>
    <w:tblPr>
      <w:tblStyleRowBandSize w:val="1"/>
      <w:tblStyleColBandSize w:val="1"/>
      <w:tblBorders>
        <w:top w:val="single" w:sz="8" w:space="0" w:color="98A4AE" w:themeColor="accent4"/>
        <w:bottom w:val="single" w:sz="8" w:space="0" w:color="98A4AE" w:themeColor="accent4"/>
      </w:tblBorders>
    </w:tblPr>
    <w:tblStylePr w:type="firstRow">
      <w:pPr>
        <w:spacing w:before="0" w:after="0" w:line="240" w:lineRule="auto"/>
      </w:pPr>
      <w:rPr>
        <w:b/>
        <w:bCs/>
      </w:rPr>
      <w:tblPr/>
      <w:tcPr>
        <w:tcBorders>
          <w:top w:val="single" w:sz="8" w:space="0" w:color="98A4AE" w:themeColor="accent4"/>
          <w:left w:val="nil"/>
          <w:bottom w:val="single" w:sz="8" w:space="0" w:color="98A4AE" w:themeColor="accent4"/>
          <w:right w:val="nil"/>
          <w:insideH w:val="nil"/>
          <w:insideV w:val="nil"/>
        </w:tcBorders>
      </w:tcPr>
    </w:tblStylePr>
    <w:tblStylePr w:type="lastRow">
      <w:pPr>
        <w:spacing w:before="0" w:after="0" w:line="240" w:lineRule="auto"/>
      </w:pPr>
      <w:rPr>
        <w:b/>
        <w:bCs/>
      </w:rPr>
      <w:tblPr/>
      <w:tcPr>
        <w:tcBorders>
          <w:top w:val="single" w:sz="8" w:space="0" w:color="98A4AE" w:themeColor="accent4"/>
          <w:left w:val="nil"/>
          <w:bottom w:val="single" w:sz="8" w:space="0" w:color="98A4AE"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8EB" w:themeFill="accent4" w:themeFillTint="3F"/>
      </w:tcPr>
    </w:tblStylePr>
    <w:tblStylePr w:type="band1Horz">
      <w:tblPr/>
      <w:tcPr>
        <w:tcBorders>
          <w:left w:val="nil"/>
          <w:right w:val="nil"/>
          <w:insideH w:val="nil"/>
          <w:insideV w:val="nil"/>
        </w:tcBorders>
        <w:shd w:val="clear" w:color="auto" w:fill="E5E8EB" w:themeFill="accent4" w:themeFillTint="3F"/>
      </w:tcPr>
    </w:tblStylePr>
  </w:style>
  <w:style w:type="table" w:styleId="LightShading-Accent5">
    <w:name w:val="Light Shading Accent 5"/>
    <w:basedOn w:val="TableNormal"/>
    <w:uiPriority w:val="60"/>
    <w:locked/>
    <w:rsid w:val="00F80750"/>
    <w:pPr>
      <w:spacing w:after="0"/>
    </w:pPr>
    <w:rPr>
      <w:color w:val="3B5767" w:themeColor="accent5" w:themeShade="BF"/>
    </w:rPr>
    <w:tblPr>
      <w:tblStyleRowBandSize w:val="1"/>
      <w:tblStyleColBandSize w:val="1"/>
      <w:tblBorders>
        <w:top w:val="single" w:sz="8" w:space="0" w:color="4F758B" w:themeColor="accent5"/>
        <w:bottom w:val="single" w:sz="8" w:space="0" w:color="4F758B" w:themeColor="accent5"/>
      </w:tblBorders>
    </w:tblPr>
    <w:tblStylePr w:type="firstRow">
      <w:pPr>
        <w:spacing w:before="0" w:after="0" w:line="240" w:lineRule="auto"/>
      </w:pPr>
      <w:rPr>
        <w:b/>
        <w:bCs/>
      </w:rPr>
      <w:tblPr/>
      <w:tcPr>
        <w:tcBorders>
          <w:top w:val="single" w:sz="8" w:space="0" w:color="4F758B" w:themeColor="accent5"/>
          <w:left w:val="nil"/>
          <w:bottom w:val="single" w:sz="8" w:space="0" w:color="4F758B" w:themeColor="accent5"/>
          <w:right w:val="nil"/>
          <w:insideH w:val="nil"/>
          <w:insideV w:val="nil"/>
        </w:tcBorders>
      </w:tcPr>
    </w:tblStylePr>
    <w:tblStylePr w:type="lastRow">
      <w:pPr>
        <w:spacing w:before="0" w:after="0" w:line="240" w:lineRule="auto"/>
      </w:pPr>
      <w:rPr>
        <w:b/>
        <w:bCs/>
      </w:rPr>
      <w:tblPr/>
      <w:tcPr>
        <w:tcBorders>
          <w:top w:val="single" w:sz="8" w:space="0" w:color="4F758B" w:themeColor="accent5"/>
          <w:left w:val="nil"/>
          <w:bottom w:val="single" w:sz="8" w:space="0" w:color="4F758B"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DE4" w:themeFill="accent5" w:themeFillTint="3F"/>
      </w:tcPr>
    </w:tblStylePr>
    <w:tblStylePr w:type="band1Horz">
      <w:tblPr/>
      <w:tcPr>
        <w:tcBorders>
          <w:left w:val="nil"/>
          <w:right w:val="nil"/>
          <w:insideH w:val="nil"/>
          <w:insideV w:val="nil"/>
        </w:tcBorders>
        <w:shd w:val="clear" w:color="auto" w:fill="D0DDE4" w:themeFill="accent5" w:themeFillTint="3F"/>
      </w:tcPr>
    </w:tblStylePr>
  </w:style>
  <w:style w:type="table" w:styleId="LightShading-Accent6">
    <w:name w:val="Light Shading Accent 6"/>
    <w:basedOn w:val="TableNormal"/>
    <w:uiPriority w:val="60"/>
    <w:locked/>
    <w:rsid w:val="00F80750"/>
    <w:pPr>
      <w:spacing w:after="0"/>
    </w:pPr>
    <w:rPr>
      <w:color w:val="26A6DC" w:themeColor="accent6" w:themeShade="BF"/>
    </w:rPr>
    <w:tblPr>
      <w:tblStyleRowBandSize w:val="1"/>
      <w:tblStyleColBandSize w:val="1"/>
      <w:tblBorders>
        <w:top w:val="single" w:sz="8" w:space="0" w:color="71C5E8" w:themeColor="accent6"/>
        <w:bottom w:val="single" w:sz="8" w:space="0" w:color="71C5E8" w:themeColor="accent6"/>
      </w:tblBorders>
    </w:tblPr>
    <w:tblStylePr w:type="firstRow">
      <w:pPr>
        <w:spacing w:before="0" w:after="0" w:line="240" w:lineRule="auto"/>
      </w:pPr>
      <w:rPr>
        <w:b/>
        <w:bCs/>
      </w:rPr>
      <w:tblPr/>
      <w:tcPr>
        <w:tcBorders>
          <w:top w:val="single" w:sz="8" w:space="0" w:color="71C5E8" w:themeColor="accent6"/>
          <w:left w:val="nil"/>
          <w:bottom w:val="single" w:sz="8" w:space="0" w:color="71C5E8" w:themeColor="accent6"/>
          <w:right w:val="nil"/>
          <w:insideH w:val="nil"/>
          <w:insideV w:val="nil"/>
        </w:tcBorders>
      </w:tcPr>
    </w:tblStylePr>
    <w:tblStylePr w:type="lastRow">
      <w:pPr>
        <w:spacing w:before="0" w:after="0" w:line="240" w:lineRule="auto"/>
      </w:pPr>
      <w:rPr>
        <w:b/>
        <w:bCs/>
      </w:rPr>
      <w:tblPr/>
      <w:tcPr>
        <w:tcBorders>
          <w:top w:val="single" w:sz="8" w:space="0" w:color="71C5E8" w:themeColor="accent6"/>
          <w:left w:val="nil"/>
          <w:bottom w:val="single" w:sz="8" w:space="0" w:color="71C5E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F0F9" w:themeFill="accent6" w:themeFillTint="3F"/>
      </w:tcPr>
    </w:tblStylePr>
    <w:tblStylePr w:type="band1Horz">
      <w:tblPr/>
      <w:tcPr>
        <w:tcBorders>
          <w:left w:val="nil"/>
          <w:right w:val="nil"/>
          <w:insideH w:val="nil"/>
          <w:insideV w:val="nil"/>
        </w:tcBorders>
        <w:shd w:val="clear" w:color="auto" w:fill="DBF0F9"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7"/>
    <w:qFormat/>
    <w:rsid w:val="00A8129D"/>
    <w:pPr>
      <w:numPr>
        <w:ilvl w:val="1"/>
      </w:numPr>
    </w:pPr>
  </w:style>
  <w:style w:type="paragraph" w:styleId="List2">
    <w:name w:val="List 2"/>
    <w:basedOn w:val="Normal"/>
    <w:uiPriority w:val="17"/>
    <w:qFormat/>
    <w:rsid w:val="00A8129D"/>
    <w:pPr>
      <w:numPr>
        <w:ilvl w:val="2"/>
      </w:numPr>
    </w:pPr>
  </w:style>
  <w:style w:type="paragraph" w:styleId="List3">
    <w:name w:val="List 3"/>
    <w:basedOn w:val="Normal"/>
    <w:uiPriority w:val="17"/>
    <w:qFormat/>
    <w:rsid w:val="00A8129D"/>
    <w:pPr>
      <w:numPr>
        <w:ilvl w:val="3"/>
      </w:numPr>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1"/>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2"/>
      </w:numPr>
      <w:contextualSpacing/>
    </w:pPr>
  </w:style>
  <w:style w:type="paragraph" w:styleId="ListParagraph">
    <w:name w:val="List Paragraph"/>
    <w:uiPriority w:val="17"/>
    <w:qFormat/>
    <w:rsid w:val="006D315C"/>
    <w:pPr>
      <w:tabs>
        <w:tab w:val="left" w:pos="425"/>
        <w:tab w:val="left" w:pos="851"/>
      </w:tabs>
      <w:ind w:left="425"/>
      <w:contextualSpacing/>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single" w:sz="8" w:space="0" w:color="0240CD" w:themeColor="accent1" w:themeTint="BF"/>
        <w:insideV w:val="single" w:sz="8" w:space="0" w:color="0240CD" w:themeColor="accent1" w:themeTint="BF"/>
      </w:tblBorders>
    </w:tblPr>
    <w:tcPr>
      <w:shd w:val="clear" w:color="auto" w:fill="9BB9FE" w:themeFill="accent1" w:themeFillTint="3F"/>
    </w:tcPr>
    <w:tblStylePr w:type="firstRow">
      <w:rPr>
        <w:b/>
        <w:bCs/>
      </w:rPr>
    </w:tblStylePr>
    <w:tblStylePr w:type="lastRow">
      <w:rPr>
        <w:b/>
        <w:bCs/>
      </w:rPr>
      <w:tblPr/>
      <w:tcPr>
        <w:tcBorders>
          <w:top w:val="single" w:sz="18" w:space="0" w:color="0240CD" w:themeColor="accent1" w:themeTint="BF"/>
        </w:tcBorders>
      </w:tcPr>
    </w:tblStylePr>
    <w:tblStylePr w:type="firstCol">
      <w:rPr>
        <w:b/>
        <w:bCs/>
      </w:rPr>
    </w:tblStylePr>
    <w:tblStylePr w:type="lastCol">
      <w:rPr>
        <w:b/>
        <w:bCs/>
      </w:rPr>
    </w:tblStylePr>
    <w:tblStylePr w:type="band1Vert">
      <w:tblPr/>
      <w:tcPr>
        <w:shd w:val="clear" w:color="auto" w:fill="3773FD" w:themeFill="accent1" w:themeFillTint="7F"/>
      </w:tcPr>
    </w:tblStylePr>
    <w:tblStylePr w:type="band1Horz">
      <w:tblPr/>
      <w:tcPr>
        <w:shd w:val="clear" w:color="auto" w:fill="3773FD"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single" w:sz="8" w:space="0" w:color="28CAFF" w:themeColor="accent2" w:themeTint="BF"/>
        <w:insideV w:val="single" w:sz="8" w:space="0" w:color="28CAFF" w:themeColor="accent2" w:themeTint="BF"/>
      </w:tblBorders>
    </w:tblPr>
    <w:tcPr>
      <w:shd w:val="clear" w:color="auto" w:fill="B8EDFF" w:themeFill="accent2" w:themeFillTint="3F"/>
    </w:tcPr>
    <w:tblStylePr w:type="firstRow">
      <w:rPr>
        <w:b/>
        <w:bCs/>
      </w:rPr>
    </w:tblStylePr>
    <w:tblStylePr w:type="lastRow">
      <w:rPr>
        <w:b/>
        <w:bCs/>
      </w:rPr>
      <w:tblPr/>
      <w:tcPr>
        <w:tcBorders>
          <w:top w:val="single" w:sz="18" w:space="0" w:color="28CAFF" w:themeColor="accent2" w:themeTint="BF"/>
        </w:tcBorders>
      </w:tcPr>
    </w:tblStylePr>
    <w:tblStylePr w:type="firstCol">
      <w:rPr>
        <w:b/>
        <w:bCs/>
      </w:rPr>
    </w:tblStylePr>
    <w:tblStylePr w:type="lastCol">
      <w:rPr>
        <w:b/>
        <w:bCs/>
      </w:rPr>
    </w:tblStylePr>
    <w:tblStylePr w:type="band1Vert">
      <w:tblPr/>
      <w:tcPr>
        <w:shd w:val="clear" w:color="auto" w:fill="70DBFF" w:themeFill="accent2" w:themeFillTint="7F"/>
      </w:tcPr>
    </w:tblStylePr>
    <w:tblStylePr w:type="band1Horz">
      <w:tblPr/>
      <w:tcPr>
        <w:shd w:val="clear" w:color="auto" w:fill="70DBF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single" w:sz="8" w:space="0" w:color="1B99FF" w:themeColor="accent3" w:themeTint="BF"/>
        <w:insideV w:val="single" w:sz="8" w:space="0" w:color="1B99FF" w:themeColor="accent3" w:themeTint="BF"/>
      </w:tblBorders>
    </w:tblPr>
    <w:tcPr>
      <w:shd w:val="clear" w:color="auto" w:fill="B3DDFF" w:themeFill="accent3" w:themeFillTint="3F"/>
    </w:tcPr>
    <w:tblStylePr w:type="firstRow">
      <w:rPr>
        <w:b/>
        <w:bCs/>
      </w:rPr>
    </w:tblStylePr>
    <w:tblStylePr w:type="lastRow">
      <w:rPr>
        <w:b/>
        <w:bCs/>
      </w:rPr>
      <w:tblPr/>
      <w:tcPr>
        <w:tcBorders>
          <w:top w:val="single" w:sz="18" w:space="0" w:color="1B99FF" w:themeColor="accent3" w:themeTint="BF"/>
        </w:tcBorders>
      </w:tcPr>
    </w:tblStylePr>
    <w:tblStylePr w:type="firstCol">
      <w:rPr>
        <w:b/>
        <w:bCs/>
      </w:rPr>
    </w:tblStylePr>
    <w:tblStylePr w:type="lastCol">
      <w:rPr>
        <w:b/>
        <w:bCs/>
      </w:rPr>
    </w:tblStylePr>
    <w:tblStylePr w:type="band1Vert">
      <w:tblPr/>
      <w:tcPr>
        <w:shd w:val="clear" w:color="auto" w:fill="67BBFF" w:themeFill="accent3" w:themeFillTint="7F"/>
      </w:tcPr>
    </w:tblStylePr>
    <w:tblStylePr w:type="band1Horz">
      <w:tblPr/>
      <w:tcPr>
        <w:shd w:val="clear" w:color="auto" w:fill="67BBFF"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single" w:sz="8" w:space="0" w:color="B1BAC2" w:themeColor="accent4" w:themeTint="BF"/>
        <w:insideV w:val="single" w:sz="8" w:space="0" w:color="B1BAC2" w:themeColor="accent4" w:themeTint="BF"/>
      </w:tblBorders>
    </w:tblPr>
    <w:tcPr>
      <w:shd w:val="clear" w:color="auto" w:fill="E5E8EB" w:themeFill="accent4" w:themeFillTint="3F"/>
    </w:tcPr>
    <w:tblStylePr w:type="firstRow">
      <w:rPr>
        <w:b/>
        <w:bCs/>
      </w:rPr>
    </w:tblStylePr>
    <w:tblStylePr w:type="lastRow">
      <w:rPr>
        <w:b/>
        <w:bCs/>
      </w:rPr>
      <w:tblPr/>
      <w:tcPr>
        <w:tcBorders>
          <w:top w:val="single" w:sz="18" w:space="0" w:color="B1BAC2" w:themeColor="accent4" w:themeTint="BF"/>
        </w:tcBorders>
      </w:tcPr>
    </w:tblStylePr>
    <w:tblStylePr w:type="firstCol">
      <w:rPr>
        <w:b/>
        <w:bCs/>
      </w:rPr>
    </w:tblStylePr>
    <w:tblStylePr w:type="lastCol">
      <w:rPr>
        <w:b/>
        <w:bCs/>
      </w:rPr>
    </w:tblStylePr>
    <w:tblStylePr w:type="band1Vert">
      <w:tblPr/>
      <w:tcPr>
        <w:shd w:val="clear" w:color="auto" w:fill="CBD1D6" w:themeFill="accent4" w:themeFillTint="7F"/>
      </w:tcPr>
    </w:tblStylePr>
    <w:tblStylePr w:type="band1Horz">
      <w:tblPr/>
      <w:tcPr>
        <w:shd w:val="clear" w:color="auto" w:fill="CBD1D6"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single" w:sz="8" w:space="0" w:color="7399AF" w:themeColor="accent5" w:themeTint="BF"/>
        <w:insideV w:val="single" w:sz="8" w:space="0" w:color="7399AF" w:themeColor="accent5" w:themeTint="BF"/>
      </w:tblBorders>
    </w:tblPr>
    <w:tcPr>
      <w:shd w:val="clear" w:color="auto" w:fill="D0DDE4" w:themeFill="accent5" w:themeFillTint="3F"/>
    </w:tcPr>
    <w:tblStylePr w:type="firstRow">
      <w:rPr>
        <w:b/>
        <w:bCs/>
      </w:rPr>
    </w:tblStylePr>
    <w:tblStylePr w:type="lastRow">
      <w:rPr>
        <w:b/>
        <w:bCs/>
      </w:rPr>
      <w:tblPr/>
      <w:tcPr>
        <w:tcBorders>
          <w:top w:val="single" w:sz="18" w:space="0" w:color="7399AF" w:themeColor="accent5" w:themeTint="BF"/>
        </w:tcBorders>
      </w:tcPr>
    </w:tblStylePr>
    <w:tblStylePr w:type="firstCol">
      <w:rPr>
        <w:b/>
        <w:bCs/>
      </w:rPr>
    </w:tblStylePr>
    <w:tblStylePr w:type="lastCol">
      <w:rPr>
        <w:b/>
        <w:bCs/>
      </w:rPr>
    </w:tblStylePr>
    <w:tblStylePr w:type="band1Vert">
      <w:tblPr/>
      <w:tcPr>
        <w:shd w:val="clear" w:color="auto" w:fill="A2BBCA" w:themeFill="accent5" w:themeFillTint="7F"/>
      </w:tcPr>
    </w:tblStylePr>
    <w:tblStylePr w:type="band1Horz">
      <w:tblPr/>
      <w:tcPr>
        <w:shd w:val="clear" w:color="auto" w:fill="A2BBCA"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single" w:sz="8" w:space="0" w:color="94D3ED" w:themeColor="accent6" w:themeTint="BF"/>
        <w:insideV w:val="single" w:sz="8" w:space="0" w:color="94D3ED" w:themeColor="accent6" w:themeTint="BF"/>
      </w:tblBorders>
    </w:tblPr>
    <w:tcPr>
      <w:shd w:val="clear" w:color="auto" w:fill="DBF0F9" w:themeFill="accent6" w:themeFillTint="3F"/>
    </w:tcPr>
    <w:tblStylePr w:type="firstRow">
      <w:rPr>
        <w:b/>
        <w:bCs/>
      </w:rPr>
    </w:tblStylePr>
    <w:tblStylePr w:type="lastRow">
      <w:rPr>
        <w:b/>
        <w:bCs/>
      </w:rPr>
      <w:tblPr/>
      <w:tcPr>
        <w:tcBorders>
          <w:top w:val="single" w:sz="18" w:space="0" w:color="94D3ED" w:themeColor="accent6" w:themeTint="BF"/>
        </w:tcBorders>
      </w:tcPr>
    </w:tblStylePr>
    <w:tblStylePr w:type="firstCol">
      <w:rPr>
        <w:b/>
        <w:bCs/>
      </w:rPr>
    </w:tblStylePr>
    <w:tblStylePr w:type="lastCol">
      <w:rPr>
        <w:b/>
        <w:bCs/>
      </w:rPr>
    </w:tblStylePr>
    <w:tblStylePr w:type="band1Vert">
      <w:tblPr/>
      <w:tcPr>
        <w:shd w:val="clear" w:color="auto" w:fill="B8E2F3" w:themeFill="accent6" w:themeFillTint="7F"/>
      </w:tcPr>
    </w:tblStylePr>
    <w:tblStylePr w:type="band1Horz">
      <w:tblPr/>
      <w:tcPr>
        <w:shd w:val="clear" w:color="auto" w:fill="B8E2F3"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insideH w:val="single" w:sz="8" w:space="0" w:color="012169" w:themeColor="accent1"/>
        <w:insideV w:val="single" w:sz="8" w:space="0" w:color="012169" w:themeColor="accent1"/>
      </w:tblBorders>
    </w:tblPr>
    <w:tcPr>
      <w:shd w:val="clear" w:color="auto" w:fill="9BB9FE" w:themeFill="accent1" w:themeFillTint="3F"/>
    </w:tcPr>
    <w:tblStylePr w:type="firstRow">
      <w:rPr>
        <w:b/>
        <w:bCs/>
        <w:color w:val="000000" w:themeColor="text1"/>
      </w:rPr>
      <w:tblPr/>
      <w:tcPr>
        <w:shd w:val="clear" w:color="auto" w:fill="D7E3FE"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EC7FE" w:themeFill="accent1" w:themeFillTint="33"/>
      </w:tcPr>
    </w:tblStylePr>
    <w:tblStylePr w:type="band1Vert">
      <w:tblPr/>
      <w:tcPr>
        <w:shd w:val="clear" w:color="auto" w:fill="3773FD" w:themeFill="accent1" w:themeFillTint="7F"/>
      </w:tcPr>
    </w:tblStylePr>
    <w:tblStylePr w:type="band1Horz">
      <w:tblPr/>
      <w:tcPr>
        <w:tcBorders>
          <w:insideH w:val="single" w:sz="6" w:space="0" w:color="012169" w:themeColor="accent1"/>
          <w:insideV w:val="single" w:sz="6" w:space="0" w:color="012169" w:themeColor="accent1"/>
        </w:tcBorders>
        <w:shd w:val="clear" w:color="auto" w:fill="3773F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insideH w:val="single" w:sz="8" w:space="0" w:color="00A9E0" w:themeColor="accent2"/>
        <w:insideV w:val="single" w:sz="8" w:space="0" w:color="00A9E0" w:themeColor="accent2"/>
      </w:tblBorders>
    </w:tblPr>
    <w:tcPr>
      <w:shd w:val="clear" w:color="auto" w:fill="B8EDFF" w:themeFill="accent2" w:themeFillTint="3F"/>
    </w:tcPr>
    <w:tblStylePr w:type="firstRow">
      <w:rPr>
        <w:b/>
        <w:bCs/>
        <w:color w:val="000000" w:themeColor="text1"/>
      </w:rPr>
      <w:tblPr/>
      <w:tcPr>
        <w:shd w:val="clear" w:color="auto" w:fill="E2F8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F0FF" w:themeFill="accent2" w:themeFillTint="33"/>
      </w:tcPr>
    </w:tblStylePr>
    <w:tblStylePr w:type="band1Vert">
      <w:tblPr/>
      <w:tcPr>
        <w:shd w:val="clear" w:color="auto" w:fill="70DBFF" w:themeFill="accent2" w:themeFillTint="7F"/>
      </w:tcPr>
    </w:tblStylePr>
    <w:tblStylePr w:type="band1Horz">
      <w:tblPr/>
      <w:tcPr>
        <w:tcBorders>
          <w:insideH w:val="single" w:sz="6" w:space="0" w:color="00A9E0" w:themeColor="accent2"/>
          <w:insideV w:val="single" w:sz="6" w:space="0" w:color="00A9E0" w:themeColor="accent2"/>
        </w:tcBorders>
        <w:shd w:val="clear" w:color="auto" w:fill="70DB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insideH w:val="single" w:sz="8" w:space="0" w:color="0072CE" w:themeColor="accent3"/>
        <w:insideV w:val="single" w:sz="8" w:space="0" w:color="0072CE" w:themeColor="accent3"/>
      </w:tblBorders>
    </w:tblPr>
    <w:tcPr>
      <w:shd w:val="clear" w:color="auto" w:fill="B3DDFF" w:themeFill="accent3" w:themeFillTint="3F"/>
    </w:tcPr>
    <w:tblStylePr w:type="firstRow">
      <w:rPr>
        <w:b/>
        <w:bCs/>
        <w:color w:val="000000" w:themeColor="text1"/>
      </w:rPr>
      <w:tblPr/>
      <w:tcPr>
        <w:shd w:val="clear" w:color="auto" w:fill="E1F1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E3FF" w:themeFill="accent3" w:themeFillTint="33"/>
      </w:tcPr>
    </w:tblStylePr>
    <w:tblStylePr w:type="band1Vert">
      <w:tblPr/>
      <w:tcPr>
        <w:shd w:val="clear" w:color="auto" w:fill="67BBFF" w:themeFill="accent3" w:themeFillTint="7F"/>
      </w:tcPr>
    </w:tblStylePr>
    <w:tblStylePr w:type="band1Horz">
      <w:tblPr/>
      <w:tcPr>
        <w:tcBorders>
          <w:insideH w:val="single" w:sz="6" w:space="0" w:color="0072CE" w:themeColor="accent3"/>
          <w:insideV w:val="single" w:sz="6" w:space="0" w:color="0072CE" w:themeColor="accent3"/>
        </w:tcBorders>
        <w:shd w:val="clear" w:color="auto" w:fill="67BB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insideH w:val="single" w:sz="8" w:space="0" w:color="98A4AE" w:themeColor="accent4"/>
        <w:insideV w:val="single" w:sz="8" w:space="0" w:color="98A4AE" w:themeColor="accent4"/>
      </w:tblBorders>
    </w:tblPr>
    <w:tcPr>
      <w:shd w:val="clear" w:color="auto" w:fill="E5E8EB" w:themeFill="accent4" w:themeFillTint="3F"/>
    </w:tcPr>
    <w:tblStylePr w:type="firstRow">
      <w:rPr>
        <w:b/>
        <w:bCs/>
        <w:color w:val="000000" w:themeColor="text1"/>
      </w:rPr>
      <w:tblPr/>
      <w:tcPr>
        <w:shd w:val="clear" w:color="auto" w:fill="F4F5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CEE" w:themeFill="accent4" w:themeFillTint="33"/>
      </w:tcPr>
    </w:tblStylePr>
    <w:tblStylePr w:type="band1Vert">
      <w:tblPr/>
      <w:tcPr>
        <w:shd w:val="clear" w:color="auto" w:fill="CBD1D6" w:themeFill="accent4" w:themeFillTint="7F"/>
      </w:tcPr>
    </w:tblStylePr>
    <w:tblStylePr w:type="band1Horz">
      <w:tblPr/>
      <w:tcPr>
        <w:tcBorders>
          <w:insideH w:val="single" w:sz="6" w:space="0" w:color="98A4AE" w:themeColor="accent4"/>
          <w:insideV w:val="single" w:sz="6" w:space="0" w:color="98A4AE" w:themeColor="accent4"/>
        </w:tcBorders>
        <w:shd w:val="clear" w:color="auto" w:fill="CBD1D6"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insideH w:val="single" w:sz="8" w:space="0" w:color="4F758B" w:themeColor="accent5"/>
        <w:insideV w:val="single" w:sz="8" w:space="0" w:color="4F758B" w:themeColor="accent5"/>
      </w:tblBorders>
    </w:tblPr>
    <w:tcPr>
      <w:shd w:val="clear" w:color="auto" w:fill="D0DDE4" w:themeFill="accent5" w:themeFillTint="3F"/>
    </w:tcPr>
    <w:tblStylePr w:type="firstRow">
      <w:rPr>
        <w:b/>
        <w:bCs/>
        <w:color w:val="000000" w:themeColor="text1"/>
      </w:rPr>
      <w:tblPr/>
      <w:tcPr>
        <w:shd w:val="clear" w:color="auto" w:fill="ECF1F4"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3E9" w:themeFill="accent5" w:themeFillTint="33"/>
      </w:tcPr>
    </w:tblStylePr>
    <w:tblStylePr w:type="band1Vert">
      <w:tblPr/>
      <w:tcPr>
        <w:shd w:val="clear" w:color="auto" w:fill="A2BBCA" w:themeFill="accent5" w:themeFillTint="7F"/>
      </w:tcPr>
    </w:tblStylePr>
    <w:tblStylePr w:type="band1Horz">
      <w:tblPr/>
      <w:tcPr>
        <w:tcBorders>
          <w:insideH w:val="single" w:sz="6" w:space="0" w:color="4F758B" w:themeColor="accent5"/>
          <w:insideV w:val="single" w:sz="6" w:space="0" w:color="4F758B" w:themeColor="accent5"/>
        </w:tcBorders>
        <w:shd w:val="clear" w:color="auto" w:fill="A2BBC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insideH w:val="single" w:sz="8" w:space="0" w:color="71C5E8" w:themeColor="accent6"/>
        <w:insideV w:val="single" w:sz="8" w:space="0" w:color="71C5E8" w:themeColor="accent6"/>
      </w:tblBorders>
    </w:tblPr>
    <w:tcPr>
      <w:shd w:val="clear" w:color="auto" w:fill="DBF0F9" w:themeFill="accent6" w:themeFillTint="3F"/>
    </w:tcPr>
    <w:tblStylePr w:type="firstRow">
      <w:rPr>
        <w:b/>
        <w:bCs/>
        <w:color w:val="000000" w:themeColor="text1"/>
      </w:rPr>
      <w:tblPr/>
      <w:tcPr>
        <w:shd w:val="clear" w:color="auto" w:fill="F0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F3FA" w:themeFill="accent6" w:themeFillTint="33"/>
      </w:tcPr>
    </w:tblStylePr>
    <w:tblStylePr w:type="band1Vert">
      <w:tblPr/>
      <w:tcPr>
        <w:shd w:val="clear" w:color="auto" w:fill="B8E2F3" w:themeFill="accent6" w:themeFillTint="7F"/>
      </w:tcPr>
    </w:tblStylePr>
    <w:tblStylePr w:type="band1Horz">
      <w:tblPr/>
      <w:tcPr>
        <w:tcBorders>
          <w:insideH w:val="single" w:sz="6" w:space="0" w:color="71C5E8" w:themeColor="accent6"/>
          <w:insideV w:val="single" w:sz="6" w:space="0" w:color="71C5E8" w:themeColor="accent6"/>
        </w:tcBorders>
        <w:shd w:val="clear" w:color="auto" w:fill="B8E2F3"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BB9F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1216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1216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1216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1216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773F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773FD"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8ED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9E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9E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9E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9E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0DB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0DBF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DD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2C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2C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2C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2C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BB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BBFF"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8EB"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8A4AE"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8A4AE"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8A4AE"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8A4AE"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BD1D6"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BD1D6"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DE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758B"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758B"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758B"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758B"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2BBC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2BBCA"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F0F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C5E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C5E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C5E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C5E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8E2F3"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8E2F3"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12169"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012169" w:themeColor="accent1"/>
        <w:bottom w:val="single" w:sz="8" w:space="0" w:color="012169" w:themeColor="accent1"/>
      </w:tblBorders>
    </w:tblPr>
    <w:tblStylePr w:type="firstRow">
      <w:rPr>
        <w:rFonts w:asciiTheme="majorHAnsi" w:eastAsiaTheme="majorEastAsia" w:hAnsiTheme="majorHAnsi" w:cstheme="majorBidi"/>
      </w:rPr>
      <w:tblPr/>
      <w:tcPr>
        <w:tcBorders>
          <w:top w:val="nil"/>
          <w:bottom w:val="single" w:sz="8" w:space="0" w:color="012169" w:themeColor="accent1"/>
        </w:tcBorders>
      </w:tcPr>
    </w:tblStylePr>
    <w:tblStylePr w:type="lastRow">
      <w:rPr>
        <w:b/>
        <w:bCs/>
        <w:color w:val="012169" w:themeColor="text2"/>
      </w:rPr>
      <w:tblPr/>
      <w:tcPr>
        <w:tcBorders>
          <w:top w:val="single" w:sz="8" w:space="0" w:color="012169" w:themeColor="accent1"/>
          <w:bottom w:val="single" w:sz="8" w:space="0" w:color="012169" w:themeColor="accent1"/>
        </w:tcBorders>
      </w:tcPr>
    </w:tblStylePr>
    <w:tblStylePr w:type="firstCol">
      <w:rPr>
        <w:b/>
        <w:bCs/>
      </w:rPr>
    </w:tblStylePr>
    <w:tblStylePr w:type="lastCol">
      <w:rPr>
        <w:b/>
        <w:bCs/>
      </w:rPr>
      <w:tblPr/>
      <w:tcPr>
        <w:tcBorders>
          <w:top w:val="single" w:sz="8" w:space="0" w:color="012169" w:themeColor="accent1"/>
          <w:bottom w:val="single" w:sz="8" w:space="0" w:color="012169" w:themeColor="accent1"/>
        </w:tcBorders>
      </w:tcPr>
    </w:tblStylePr>
    <w:tblStylePr w:type="band1Vert">
      <w:tblPr/>
      <w:tcPr>
        <w:shd w:val="clear" w:color="auto" w:fill="9BB9FE" w:themeFill="accent1" w:themeFillTint="3F"/>
      </w:tcPr>
    </w:tblStylePr>
    <w:tblStylePr w:type="band1Horz">
      <w:tblPr/>
      <w:tcPr>
        <w:shd w:val="clear" w:color="auto" w:fill="9BB9FE"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00A9E0" w:themeColor="accent2"/>
        <w:bottom w:val="single" w:sz="8" w:space="0" w:color="00A9E0" w:themeColor="accent2"/>
      </w:tblBorders>
    </w:tblPr>
    <w:tblStylePr w:type="firstRow">
      <w:rPr>
        <w:rFonts w:asciiTheme="majorHAnsi" w:eastAsiaTheme="majorEastAsia" w:hAnsiTheme="majorHAnsi" w:cstheme="majorBidi"/>
      </w:rPr>
      <w:tblPr/>
      <w:tcPr>
        <w:tcBorders>
          <w:top w:val="nil"/>
          <w:bottom w:val="single" w:sz="8" w:space="0" w:color="00A9E0" w:themeColor="accent2"/>
        </w:tcBorders>
      </w:tcPr>
    </w:tblStylePr>
    <w:tblStylePr w:type="lastRow">
      <w:rPr>
        <w:b/>
        <w:bCs/>
        <w:color w:val="012169" w:themeColor="text2"/>
      </w:rPr>
      <w:tblPr/>
      <w:tcPr>
        <w:tcBorders>
          <w:top w:val="single" w:sz="8" w:space="0" w:color="00A9E0" w:themeColor="accent2"/>
          <w:bottom w:val="single" w:sz="8" w:space="0" w:color="00A9E0" w:themeColor="accent2"/>
        </w:tcBorders>
      </w:tcPr>
    </w:tblStylePr>
    <w:tblStylePr w:type="firstCol">
      <w:rPr>
        <w:b/>
        <w:bCs/>
      </w:rPr>
    </w:tblStylePr>
    <w:tblStylePr w:type="lastCol">
      <w:rPr>
        <w:b/>
        <w:bCs/>
      </w:rPr>
      <w:tblPr/>
      <w:tcPr>
        <w:tcBorders>
          <w:top w:val="single" w:sz="8" w:space="0" w:color="00A9E0" w:themeColor="accent2"/>
          <w:bottom w:val="single" w:sz="8" w:space="0" w:color="00A9E0" w:themeColor="accent2"/>
        </w:tcBorders>
      </w:tcPr>
    </w:tblStylePr>
    <w:tblStylePr w:type="band1Vert">
      <w:tblPr/>
      <w:tcPr>
        <w:shd w:val="clear" w:color="auto" w:fill="B8EDFF" w:themeFill="accent2" w:themeFillTint="3F"/>
      </w:tcPr>
    </w:tblStylePr>
    <w:tblStylePr w:type="band1Horz">
      <w:tblPr/>
      <w:tcPr>
        <w:shd w:val="clear" w:color="auto" w:fill="B8EDFF"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0072CE" w:themeColor="accent3"/>
        <w:bottom w:val="single" w:sz="8" w:space="0" w:color="0072CE" w:themeColor="accent3"/>
      </w:tblBorders>
    </w:tblPr>
    <w:tblStylePr w:type="firstRow">
      <w:rPr>
        <w:rFonts w:asciiTheme="majorHAnsi" w:eastAsiaTheme="majorEastAsia" w:hAnsiTheme="majorHAnsi" w:cstheme="majorBidi"/>
      </w:rPr>
      <w:tblPr/>
      <w:tcPr>
        <w:tcBorders>
          <w:top w:val="nil"/>
          <w:bottom w:val="single" w:sz="8" w:space="0" w:color="0072CE" w:themeColor="accent3"/>
        </w:tcBorders>
      </w:tcPr>
    </w:tblStylePr>
    <w:tblStylePr w:type="lastRow">
      <w:rPr>
        <w:b/>
        <w:bCs/>
        <w:color w:val="012169" w:themeColor="text2"/>
      </w:rPr>
      <w:tblPr/>
      <w:tcPr>
        <w:tcBorders>
          <w:top w:val="single" w:sz="8" w:space="0" w:color="0072CE" w:themeColor="accent3"/>
          <w:bottom w:val="single" w:sz="8" w:space="0" w:color="0072CE" w:themeColor="accent3"/>
        </w:tcBorders>
      </w:tcPr>
    </w:tblStylePr>
    <w:tblStylePr w:type="firstCol">
      <w:rPr>
        <w:b/>
        <w:bCs/>
      </w:rPr>
    </w:tblStylePr>
    <w:tblStylePr w:type="lastCol">
      <w:rPr>
        <w:b/>
        <w:bCs/>
      </w:rPr>
      <w:tblPr/>
      <w:tcPr>
        <w:tcBorders>
          <w:top w:val="single" w:sz="8" w:space="0" w:color="0072CE" w:themeColor="accent3"/>
          <w:bottom w:val="single" w:sz="8" w:space="0" w:color="0072CE" w:themeColor="accent3"/>
        </w:tcBorders>
      </w:tcPr>
    </w:tblStylePr>
    <w:tblStylePr w:type="band1Vert">
      <w:tblPr/>
      <w:tcPr>
        <w:shd w:val="clear" w:color="auto" w:fill="B3DDFF" w:themeFill="accent3" w:themeFillTint="3F"/>
      </w:tcPr>
    </w:tblStylePr>
    <w:tblStylePr w:type="band1Horz">
      <w:tblPr/>
      <w:tcPr>
        <w:shd w:val="clear" w:color="auto" w:fill="B3DDFF"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98A4AE" w:themeColor="accent4"/>
        <w:bottom w:val="single" w:sz="8" w:space="0" w:color="98A4AE" w:themeColor="accent4"/>
      </w:tblBorders>
    </w:tblPr>
    <w:tblStylePr w:type="firstRow">
      <w:rPr>
        <w:rFonts w:asciiTheme="majorHAnsi" w:eastAsiaTheme="majorEastAsia" w:hAnsiTheme="majorHAnsi" w:cstheme="majorBidi"/>
      </w:rPr>
      <w:tblPr/>
      <w:tcPr>
        <w:tcBorders>
          <w:top w:val="nil"/>
          <w:bottom w:val="single" w:sz="8" w:space="0" w:color="98A4AE" w:themeColor="accent4"/>
        </w:tcBorders>
      </w:tcPr>
    </w:tblStylePr>
    <w:tblStylePr w:type="lastRow">
      <w:rPr>
        <w:b/>
        <w:bCs/>
        <w:color w:val="012169" w:themeColor="text2"/>
      </w:rPr>
      <w:tblPr/>
      <w:tcPr>
        <w:tcBorders>
          <w:top w:val="single" w:sz="8" w:space="0" w:color="98A4AE" w:themeColor="accent4"/>
          <w:bottom w:val="single" w:sz="8" w:space="0" w:color="98A4AE" w:themeColor="accent4"/>
        </w:tcBorders>
      </w:tcPr>
    </w:tblStylePr>
    <w:tblStylePr w:type="firstCol">
      <w:rPr>
        <w:b/>
        <w:bCs/>
      </w:rPr>
    </w:tblStylePr>
    <w:tblStylePr w:type="lastCol">
      <w:rPr>
        <w:b/>
        <w:bCs/>
      </w:rPr>
      <w:tblPr/>
      <w:tcPr>
        <w:tcBorders>
          <w:top w:val="single" w:sz="8" w:space="0" w:color="98A4AE" w:themeColor="accent4"/>
          <w:bottom w:val="single" w:sz="8" w:space="0" w:color="98A4AE" w:themeColor="accent4"/>
        </w:tcBorders>
      </w:tcPr>
    </w:tblStylePr>
    <w:tblStylePr w:type="band1Vert">
      <w:tblPr/>
      <w:tcPr>
        <w:shd w:val="clear" w:color="auto" w:fill="E5E8EB" w:themeFill="accent4" w:themeFillTint="3F"/>
      </w:tcPr>
    </w:tblStylePr>
    <w:tblStylePr w:type="band1Horz">
      <w:tblPr/>
      <w:tcPr>
        <w:shd w:val="clear" w:color="auto" w:fill="E5E8EB"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4F758B" w:themeColor="accent5"/>
        <w:bottom w:val="single" w:sz="8" w:space="0" w:color="4F758B" w:themeColor="accent5"/>
      </w:tblBorders>
    </w:tblPr>
    <w:tblStylePr w:type="firstRow">
      <w:rPr>
        <w:rFonts w:asciiTheme="majorHAnsi" w:eastAsiaTheme="majorEastAsia" w:hAnsiTheme="majorHAnsi" w:cstheme="majorBidi"/>
      </w:rPr>
      <w:tblPr/>
      <w:tcPr>
        <w:tcBorders>
          <w:top w:val="nil"/>
          <w:bottom w:val="single" w:sz="8" w:space="0" w:color="4F758B" w:themeColor="accent5"/>
        </w:tcBorders>
      </w:tcPr>
    </w:tblStylePr>
    <w:tblStylePr w:type="lastRow">
      <w:rPr>
        <w:b/>
        <w:bCs/>
        <w:color w:val="012169" w:themeColor="text2"/>
      </w:rPr>
      <w:tblPr/>
      <w:tcPr>
        <w:tcBorders>
          <w:top w:val="single" w:sz="8" w:space="0" w:color="4F758B" w:themeColor="accent5"/>
          <w:bottom w:val="single" w:sz="8" w:space="0" w:color="4F758B" w:themeColor="accent5"/>
        </w:tcBorders>
      </w:tcPr>
    </w:tblStylePr>
    <w:tblStylePr w:type="firstCol">
      <w:rPr>
        <w:b/>
        <w:bCs/>
      </w:rPr>
    </w:tblStylePr>
    <w:tblStylePr w:type="lastCol">
      <w:rPr>
        <w:b/>
        <w:bCs/>
      </w:rPr>
      <w:tblPr/>
      <w:tcPr>
        <w:tcBorders>
          <w:top w:val="single" w:sz="8" w:space="0" w:color="4F758B" w:themeColor="accent5"/>
          <w:bottom w:val="single" w:sz="8" w:space="0" w:color="4F758B" w:themeColor="accent5"/>
        </w:tcBorders>
      </w:tcPr>
    </w:tblStylePr>
    <w:tblStylePr w:type="band1Vert">
      <w:tblPr/>
      <w:tcPr>
        <w:shd w:val="clear" w:color="auto" w:fill="D0DDE4" w:themeFill="accent5" w:themeFillTint="3F"/>
      </w:tcPr>
    </w:tblStylePr>
    <w:tblStylePr w:type="band1Horz">
      <w:tblPr/>
      <w:tcPr>
        <w:shd w:val="clear" w:color="auto" w:fill="D0DDE4"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71C5E8" w:themeColor="accent6"/>
        <w:bottom w:val="single" w:sz="8" w:space="0" w:color="71C5E8" w:themeColor="accent6"/>
      </w:tblBorders>
    </w:tblPr>
    <w:tblStylePr w:type="firstRow">
      <w:rPr>
        <w:rFonts w:asciiTheme="majorHAnsi" w:eastAsiaTheme="majorEastAsia" w:hAnsiTheme="majorHAnsi" w:cstheme="majorBidi"/>
      </w:rPr>
      <w:tblPr/>
      <w:tcPr>
        <w:tcBorders>
          <w:top w:val="nil"/>
          <w:bottom w:val="single" w:sz="8" w:space="0" w:color="71C5E8" w:themeColor="accent6"/>
        </w:tcBorders>
      </w:tcPr>
    </w:tblStylePr>
    <w:tblStylePr w:type="lastRow">
      <w:rPr>
        <w:b/>
        <w:bCs/>
        <w:color w:val="012169" w:themeColor="text2"/>
      </w:rPr>
      <w:tblPr/>
      <w:tcPr>
        <w:tcBorders>
          <w:top w:val="single" w:sz="8" w:space="0" w:color="71C5E8" w:themeColor="accent6"/>
          <w:bottom w:val="single" w:sz="8" w:space="0" w:color="71C5E8" w:themeColor="accent6"/>
        </w:tcBorders>
      </w:tcPr>
    </w:tblStylePr>
    <w:tblStylePr w:type="firstCol">
      <w:rPr>
        <w:b/>
        <w:bCs/>
      </w:rPr>
    </w:tblStylePr>
    <w:tblStylePr w:type="lastCol">
      <w:rPr>
        <w:b/>
        <w:bCs/>
      </w:rPr>
      <w:tblPr/>
      <w:tcPr>
        <w:tcBorders>
          <w:top w:val="single" w:sz="8" w:space="0" w:color="71C5E8" w:themeColor="accent6"/>
          <w:bottom w:val="single" w:sz="8" w:space="0" w:color="71C5E8" w:themeColor="accent6"/>
        </w:tcBorders>
      </w:tcPr>
    </w:tblStylePr>
    <w:tblStylePr w:type="band1Vert">
      <w:tblPr/>
      <w:tcPr>
        <w:shd w:val="clear" w:color="auto" w:fill="DBF0F9" w:themeFill="accent6" w:themeFillTint="3F"/>
      </w:tcPr>
    </w:tblStylePr>
    <w:tblStylePr w:type="band1Horz">
      <w:tblPr/>
      <w:tcPr>
        <w:shd w:val="clear" w:color="auto" w:fill="DBF0F9"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tblBorders>
    </w:tblPr>
    <w:tblStylePr w:type="firstRow">
      <w:rPr>
        <w:sz w:val="24"/>
        <w:szCs w:val="24"/>
      </w:rPr>
      <w:tblPr/>
      <w:tcPr>
        <w:tcBorders>
          <w:top w:val="nil"/>
          <w:left w:val="nil"/>
          <w:bottom w:val="single" w:sz="24" w:space="0" w:color="012169" w:themeColor="accent1"/>
          <w:right w:val="nil"/>
          <w:insideH w:val="nil"/>
          <w:insideV w:val="nil"/>
        </w:tcBorders>
        <w:shd w:val="clear" w:color="auto" w:fill="FFFFFF" w:themeFill="background1"/>
      </w:tcPr>
    </w:tblStylePr>
    <w:tblStylePr w:type="lastRow">
      <w:tblPr/>
      <w:tcPr>
        <w:tcBorders>
          <w:top w:val="single" w:sz="8" w:space="0" w:color="01216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12169" w:themeColor="accent1"/>
          <w:insideH w:val="nil"/>
          <w:insideV w:val="nil"/>
        </w:tcBorders>
        <w:shd w:val="clear" w:color="auto" w:fill="FFFFFF" w:themeFill="background1"/>
      </w:tcPr>
    </w:tblStylePr>
    <w:tblStylePr w:type="lastCol">
      <w:tblPr/>
      <w:tcPr>
        <w:tcBorders>
          <w:top w:val="nil"/>
          <w:left w:val="single" w:sz="8" w:space="0" w:color="01216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BB9FE" w:themeFill="accent1" w:themeFillTint="3F"/>
      </w:tcPr>
    </w:tblStylePr>
    <w:tblStylePr w:type="band1Horz">
      <w:tblPr/>
      <w:tcPr>
        <w:tcBorders>
          <w:top w:val="nil"/>
          <w:bottom w:val="nil"/>
          <w:insideH w:val="nil"/>
          <w:insideV w:val="nil"/>
        </w:tcBorders>
        <w:shd w:val="clear" w:color="auto" w:fill="9BB9F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tblBorders>
    </w:tblPr>
    <w:tblStylePr w:type="firstRow">
      <w:rPr>
        <w:sz w:val="24"/>
        <w:szCs w:val="24"/>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tblPr/>
      <w:tcPr>
        <w:tcBorders>
          <w:top w:val="single" w:sz="8" w:space="0" w:color="00A9E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9E0" w:themeColor="accent2"/>
          <w:insideH w:val="nil"/>
          <w:insideV w:val="nil"/>
        </w:tcBorders>
        <w:shd w:val="clear" w:color="auto" w:fill="FFFFFF" w:themeFill="background1"/>
      </w:tcPr>
    </w:tblStylePr>
    <w:tblStylePr w:type="lastCol">
      <w:tblPr/>
      <w:tcPr>
        <w:tcBorders>
          <w:top w:val="nil"/>
          <w:left w:val="single" w:sz="8" w:space="0" w:color="00A9E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8EDFF" w:themeFill="accent2" w:themeFillTint="3F"/>
      </w:tcPr>
    </w:tblStylePr>
    <w:tblStylePr w:type="band1Horz">
      <w:tblPr/>
      <w:tcPr>
        <w:tcBorders>
          <w:top w:val="nil"/>
          <w:bottom w:val="nil"/>
          <w:insideH w:val="nil"/>
          <w:insideV w:val="nil"/>
        </w:tcBorders>
        <w:shd w:val="clear" w:color="auto" w:fill="B8ED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tblBorders>
    </w:tblPr>
    <w:tblStylePr w:type="firstRow">
      <w:rPr>
        <w:sz w:val="24"/>
        <w:szCs w:val="24"/>
      </w:rPr>
      <w:tblPr/>
      <w:tcPr>
        <w:tcBorders>
          <w:top w:val="nil"/>
          <w:left w:val="nil"/>
          <w:bottom w:val="single" w:sz="24" w:space="0" w:color="0072CE" w:themeColor="accent3"/>
          <w:right w:val="nil"/>
          <w:insideH w:val="nil"/>
          <w:insideV w:val="nil"/>
        </w:tcBorders>
        <w:shd w:val="clear" w:color="auto" w:fill="FFFFFF" w:themeFill="background1"/>
      </w:tcPr>
    </w:tblStylePr>
    <w:tblStylePr w:type="lastRow">
      <w:tblPr/>
      <w:tcPr>
        <w:tcBorders>
          <w:top w:val="single" w:sz="8" w:space="0" w:color="0072CE"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2CE" w:themeColor="accent3"/>
          <w:insideH w:val="nil"/>
          <w:insideV w:val="nil"/>
        </w:tcBorders>
        <w:shd w:val="clear" w:color="auto" w:fill="FFFFFF" w:themeFill="background1"/>
      </w:tcPr>
    </w:tblStylePr>
    <w:tblStylePr w:type="lastCol">
      <w:tblPr/>
      <w:tcPr>
        <w:tcBorders>
          <w:top w:val="nil"/>
          <w:left w:val="single" w:sz="8" w:space="0" w:color="0072C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DDFF" w:themeFill="accent3" w:themeFillTint="3F"/>
      </w:tcPr>
    </w:tblStylePr>
    <w:tblStylePr w:type="band1Horz">
      <w:tblPr/>
      <w:tcPr>
        <w:tcBorders>
          <w:top w:val="nil"/>
          <w:bottom w:val="nil"/>
          <w:insideH w:val="nil"/>
          <w:insideV w:val="nil"/>
        </w:tcBorders>
        <w:shd w:val="clear" w:color="auto" w:fill="B3DD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tblBorders>
    </w:tblPr>
    <w:tblStylePr w:type="firstRow">
      <w:rPr>
        <w:sz w:val="24"/>
        <w:szCs w:val="24"/>
      </w:rPr>
      <w:tblPr/>
      <w:tcPr>
        <w:tcBorders>
          <w:top w:val="nil"/>
          <w:left w:val="nil"/>
          <w:bottom w:val="single" w:sz="24" w:space="0" w:color="98A4AE" w:themeColor="accent4"/>
          <w:right w:val="nil"/>
          <w:insideH w:val="nil"/>
          <w:insideV w:val="nil"/>
        </w:tcBorders>
        <w:shd w:val="clear" w:color="auto" w:fill="FFFFFF" w:themeFill="background1"/>
      </w:tcPr>
    </w:tblStylePr>
    <w:tblStylePr w:type="lastRow">
      <w:tblPr/>
      <w:tcPr>
        <w:tcBorders>
          <w:top w:val="single" w:sz="8" w:space="0" w:color="98A4AE"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8A4AE" w:themeColor="accent4"/>
          <w:insideH w:val="nil"/>
          <w:insideV w:val="nil"/>
        </w:tcBorders>
        <w:shd w:val="clear" w:color="auto" w:fill="FFFFFF" w:themeFill="background1"/>
      </w:tcPr>
    </w:tblStylePr>
    <w:tblStylePr w:type="lastCol">
      <w:tblPr/>
      <w:tcPr>
        <w:tcBorders>
          <w:top w:val="nil"/>
          <w:left w:val="single" w:sz="8" w:space="0" w:color="98A4AE"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8EB" w:themeFill="accent4" w:themeFillTint="3F"/>
      </w:tcPr>
    </w:tblStylePr>
    <w:tblStylePr w:type="band1Horz">
      <w:tblPr/>
      <w:tcPr>
        <w:tcBorders>
          <w:top w:val="nil"/>
          <w:bottom w:val="nil"/>
          <w:insideH w:val="nil"/>
          <w:insideV w:val="nil"/>
        </w:tcBorders>
        <w:shd w:val="clear" w:color="auto" w:fill="E5E8EB"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tblBorders>
    </w:tblPr>
    <w:tblStylePr w:type="firstRow">
      <w:rPr>
        <w:sz w:val="24"/>
        <w:szCs w:val="24"/>
      </w:rPr>
      <w:tblPr/>
      <w:tcPr>
        <w:tcBorders>
          <w:top w:val="nil"/>
          <w:left w:val="nil"/>
          <w:bottom w:val="single" w:sz="24" w:space="0" w:color="4F758B" w:themeColor="accent5"/>
          <w:right w:val="nil"/>
          <w:insideH w:val="nil"/>
          <w:insideV w:val="nil"/>
        </w:tcBorders>
        <w:shd w:val="clear" w:color="auto" w:fill="FFFFFF" w:themeFill="background1"/>
      </w:tcPr>
    </w:tblStylePr>
    <w:tblStylePr w:type="lastRow">
      <w:tblPr/>
      <w:tcPr>
        <w:tcBorders>
          <w:top w:val="single" w:sz="8" w:space="0" w:color="4F758B"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758B" w:themeColor="accent5"/>
          <w:insideH w:val="nil"/>
          <w:insideV w:val="nil"/>
        </w:tcBorders>
        <w:shd w:val="clear" w:color="auto" w:fill="FFFFFF" w:themeFill="background1"/>
      </w:tcPr>
    </w:tblStylePr>
    <w:tblStylePr w:type="lastCol">
      <w:tblPr/>
      <w:tcPr>
        <w:tcBorders>
          <w:top w:val="nil"/>
          <w:left w:val="single" w:sz="8" w:space="0" w:color="4F758B"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DE4" w:themeFill="accent5" w:themeFillTint="3F"/>
      </w:tcPr>
    </w:tblStylePr>
    <w:tblStylePr w:type="band1Horz">
      <w:tblPr/>
      <w:tcPr>
        <w:tcBorders>
          <w:top w:val="nil"/>
          <w:bottom w:val="nil"/>
          <w:insideH w:val="nil"/>
          <w:insideV w:val="nil"/>
        </w:tcBorders>
        <w:shd w:val="clear" w:color="auto" w:fill="D0DDE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tblBorders>
    </w:tblPr>
    <w:tblStylePr w:type="firstRow">
      <w:rPr>
        <w:sz w:val="24"/>
        <w:szCs w:val="24"/>
      </w:rPr>
      <w:tblPr/>
      <w:tcPr>
        <w:tcBorders>
          <w:top w:val="nil"/>
          <w:left w:val="nil"/>
          <w:bottom w:val="single" w:sz="24" w:space="0" w:color="71C5E8" w:themeColor="accent6"/>
          <w:right w:val="nil"/>
          <w:insideH w:val="nil"/>
          <w:insideV w:val="nil"/>
        </w:tcBorders>
        <w:shd w:val="clear" w:color="auto" w:fill="FFFFFF" w:themeFill="background1"/>
      </w:tcPr>
    </w:tblStylePr>
    <w:tblStylePr w:type="lastRow">
      <w:tblPr/>
      <w:tcPr>
        <w:tcBorders>
          <w:top w:val="single" w:sz="8" w:space="0" w:color="71C5E8"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C5E8" w:themeColor="accent6"/>
          <w:insideH w:val="nil"/>
          <w:insideV w:val="nil"/>
        </w:tcBorders>
        <w:shd w:val="clear" w:color="auto" w:fill="FFFFFF" w:themeFill="background1"/>
      </w:tcPr>
    </w:tblStylePr>
    <w:tblStylePr w:type="lastCol">
      <w:tblPr/>
      <w:tcPr>
        <w:tcBorders>
          <w:top w:val="nil"/>
          <w:left w:val="single" w:sz="8" w:space="0" w:color="71C5E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F0F9" w:themeFill="accent6" w:themeFillTint="3F"/>
      </w:tcPr>
    </w:tblStylePr>
    <w:tblStylePr w:type="band1Horz">
      <w:tblPr/>
      <w:tcPr>
        <w:tcBorders>
          <w:top w:val="nil"/>
          <w:bottom w:val="nil"/>
          <w:insideH w:val="nil"/>
          <w:insideV w:val="nil"/>
        </w:tcBorders>
        <w:shd w:val="clear" w:color="auto" w:fill="DBF0F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single" w:sz="8" w:space="0" w:color="0240CD" w:themeColor="accent1" w:themeTint="BF"/>
      </w:tblBorders>
    </w:tblPr>
    <w:tblStylePr w:type="firstRow">
      <w:pPr>
        <w:spacing w:before="0" w:after="0" w:line="240" w:lineRule="auto"/>
      </w:pPr>
      <w:rPr>
        <w:b/>
        <w:bCs/>
        <w:color w:val="FFFFFF" w:themeColor="background1"/>
      </w:rPr>
      <w:tblPr/>
      <w:tcPr>
        <w:tc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nil"/>
          <w:insideV w:val="nil"/>
        </w:tcBorders>
        <w:shd w:val="clear" w:color="auto" w:fill="012169" w:themeFill="accent1"/>
      </w:tcPr>
    </w:tblStylePr>
    <w:tblStylePr w:type="lastRow">
      <w:pPr>
        <w:spacing w:before="0" w:after="0" w:line="240" w:lineRule="auto"/>
      </w:pPr>
      <w:rPr>
        <w:b/>
        <w:bCs/>
      </w:rPr>
      <w:tblPr/>
      <w:tcPr>
        <w:tcBorders>
          <w:top w:val="double" w:sz="6"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9BB9FE" w:themeFill="accent1" w:themeFillTint="3F"/>
      </w:tcPr>
    </w:tblStylePr>
    <w:tblStylePr w:type="band1Horz">
      <w:tblPr/>
      <w:tcPr>
        <w:tcBorders>
          <w:insideH w:val="nil"/>
          <w:insideV w:val="nil"/>
        </w:tcBorders>
        <w:shd w:val="clear" w:color="auto" w:fill="9BB9F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single" w:sz="8" w:space="0" w:color="28CAFF" w:themeColor="accent2" w:themeTint="BF"/>
      </w:tblBorders>
    </w:tblPr>
    <w:tblStylePr w:type="firstRow">
      <w:pPr>
        <w:spacing w:before="0" w:after="0" w:line="240" w:lineRule="auto"/>
      </w:pPr>
      <w:rPr>
        <w:b/>
        <w:bCs/>
        <w:color w:val="FFFFFF" w:themeColor="background1"/>
      </w:rPr>
      <w:tblPr/>
      <w:tcPr>
        <w:tc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nil"/>
          <w:insideV w:val="nil"/>
        </w:tcBorders>
        <w:shd w:val="clear" w:color="auto" w:fill="00A9E0" w:themeFill="accent2"/>
      </w:tcPr>
    </w:tblStylePr>
    <w:tblStylePr w:type="lastRow">
      <w:pPr>
        <w:spacing w:before="0" w:after="0" w:line="240" w:lineRule="auto"/>
      </w:pPr>
      <w:rPr>
        <w:b/>
        <w:bCs/>
      </w:rPr>
      <w:tblPr/>
      <w:tcPr>
        <w:tcBorders>
          <w:top w:val="double" w:sz="6"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B8EDFF" w:themeFill="accent2" w:themeFillTint="3F"/>
      </w:tcPr>
    </w:tblStylePr>
    <w:tblStylePr w:type="band1Horz">
      <w:tblPr/>
      <w:tcPr>
        <w:tcBorders>
          <w:insideH w:val="nil"/>
          <w:insideV w:val="nil"/>
        </w:tcBorders>
        <w:shd w:val="clear" w:color="auto" w:fill="B8ED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single" w:sz="8" w:space="0" w:color="1B99FF" w:themeColor="accent3" w:themeTint="BF"/>
      </w:tblBorders>
    </w:tblPr>
    <w:tblStylePr w:type="firstRow">
      <w:pPr>
        <w:spacing w:before="0" w:after="0" w:line="240" w:lineRule="auto"/>
      </w:pPr>
      <w:rPr>
        <w:b/>
        <w:bCs/>
        <w:color w:val="FFFFFF" w:themeColor="background1"/>
      </w:rPr>
      <w:tblPr/>
      <w:tcPr>
        <w:tc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nil"/>
          <w:insideV w:val="nil"/>
        </w:tcBorders>
        <w:shd w:val="clear" w:color="auto" w:fill="0072CE" w:themeFill="accent3"/>
      </w:tcPr>
    </w:tblStylePr>
    <w:tblStylePr w:type="lastRow">
      <w:pPr>
        <w:spacing w:before="0" w:after="0" w:line="240" w:lineRule="auto"/>
      </w:pPr>
      <w:rPr>
        <w:b/>
        <w:bCs/>
      </w:rPr>
      <w:tblPr/>
      <w:tcPr>
        <w:tcBorders>
          <w:top w:val="double" w:sz="6"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DDFF" w:themeFill="accent3" w:themeFillTint="3F"/>
      </w:tcPr>
    </w:tblStylePr>
    <w:tblStylePr w:type="band1Horz">
      <w:tblPr/>
      <w:tcPr>
        <w:tcBorders>
          <w:insideH w:val="nil"/>
          <w:insideV w:val="nil"/>
        </w:tcBorders>
        <w:shd w:val="clear" w:color="auto" w:fill="B3DD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single" w:sz="8" w:space="0" w:color="B1BAC2" w:themeColor="accent4" w:themeTint="BF"/>
      </w:tblBorders>
    </w:tblPr>
    <w:tblStylePr w:type="firstRow">
      <w:pPr>
        <w:spacing w:before="0" w:after="0" w:line="240" w:lineRule="auto"/>
      </w:pPr>
      <w:rPr>
        <w:b/>
        <w:bCs/>
        <w:color w:val="FFFFFF" w:themeColor="background1"/>
      </w:rPr>
      <w:tblPr/>
      <w:tcPr>
        <w:tc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nil"/>
          <w:insideV w:val="nil"/>
        </w:tcBorders>
        <w:shd w:val="clear" w:color="auto" w:fill="98A4AE" w:themeFill="accent4"/>
      </w:tcPr>
    </w:tblStylePr>
    <w:tblStylePr w:type="lastRow">
      <w:pPr>
        <w:spacing w:before="0" w:after="0" w:line="240" w:lineRule="auto"/>
      </w:pPr>
      <w:rPr>
        <w:b/>
        <w:bCs/>
      </w:rPr>
      <w:tblPr/>
      <w:tcPr>
        <w:tcBorders>
          <w:top w:val="double" w:sz="6"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8EB" w:themeFill="accent4" w:themeFillTint="3F"/>
      </w:tcPr>
    </w:tblStylePr>
    <w:tblStylePr w:type="band1Horz">
      <w:tblPr/>
      <w:tcPr>
        <w:tcBorders>
          <w:insideH w:val="nil"/>
          <w:insideV w:val="nil"/>
        </w:tcBorders>
        <w:shd w:val="clear" w:color="auto" w:fill="E5E8EB"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single" w:sz="8" w:space="0" w:color="7399AF" w:themeColor="accent5" w:themeTint="BF"/>
      </w:tblBorders>
    </w:tblPr>
    <w:tblStylePr w:type="firstRow">
      <w:pPr>
        <w:spacing w:before="0" w:after="0" w:line="240" w:lineRule="auto"/>
      </w:pPr>
      <w:rPr>
        <w:b/>
        <w:bCs/>
        <w:color w:val="FFFFFF" w:themeColor="background1"/>
      </w:rPr>
      <w:tblPr/>
      <w:tcPr>
        <w:tc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nil"/>
          <w:insideV w:val="nil"/>
        </w:tcBorders>
        <w:shd w:val="clear" w:color="auto" w:fill="4F758B" w:themeFill="accent5"/>
      </w:tcPr>
    </w:tblStylePr>
    <w:tblStylePr w:type="lastRow">
      <w:pPr>
        <w:spacing w:before="0" w:after="0" w:line="240" w:lineRule="auto"/>
      </w:pPr>
      <w:rPr>
        <w:b/>
        <w:bCs/>
      </w:rPr>
      <w:tblPr/>
      <w:tcPr>
        <w:tcBorders>
          <w:top w:val="double" w:sz="6"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DE4" w:themeFill="accent5" w:themeFillTint="3F"/>
      </w:tcPr>
    </w:tblStylePr>
    <w:tblStylePr w:type="band1Horz">
      <w:tblPr/>
      <w:tcPr>
        <w:tcBorders>
          <w:insideH w:val="nil"/>
          <w:insideV w:val="nil"/>
        </w:tcBorders>
        <w:shd w:val="clear" w:color="auto" w:fill="D0DDE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single" w:sz="8" w:space="0" w:color="94D3ED" w:themeColor="accent6" w:themeTint="BF"/>
      </w:tblBorders>
    </w:tblPr>
    <w:tblStylePr w:type="firstRow">
      <w:pPr>
        <w:spacing w:before="0" w:after="0" w:line="240" w:lineRule="auto"/>
      </w:pPr>
      <w:rPr>
        <w:b/>
        <w:bCs/>
        <w:color w:val="FFFFFF" w:themeColor="background1"/>
      </w:rPr>
      <w:tblPr/>
      <w:tcPr>
        <w:tc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nil"/>
          <w:insideV w:val="nil"/>
        </w:tcBorders>
        <w:shd w:val="clear" w:color="auto" w:fill="71C5E8" w:themeFill="accent6"/>
      </w:tcPr>
    </w:tblStylePr>
    <w:tblStylePr w:type="lastRow">
      <w:pPr>
        <w:spacing w:before="0" w:after="0" w:line="240" w:lineRule="auto"/>
      </w:pPr>
      <w:rPr>
        <w:b/>
        <w:bCs/>
      </w:rPr>
      <w:tblPr/>
      <w:tcPr>
        <w:tcBorders>
          <w:top w:val="double" w:sz="6"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F0F9" w:themeFill="accent6" w:themeFillTint="3F"/>
      </w:tcPr>
    </w:tblStylePr>
    <w:tblStylePr w:type="band1Horz">
      <w:tblPr/>
      <w:tcPr>
        <w:tcBorders>
          <w:insideH w:val="nil"/>
          <w:insideV w:val="nil"/>
        </w:tcBorders>
        <w:shd w:val="clear" w:color="auto" w:fill="DBF0F9"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1216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12169" w:themeFill="accent1"/>
      </w:tcPr>
    </w:tblStylePr>
    <w:tblStylePr w:type="lastCol">
      <w:rPr>
        <w:b/>
        <w:bCs/>
        <w:color w:val="FFFFFF" w:themeColor="background1"/>
      </w:rPr>
      <w:tblPr/>
      <w:tcPr>
        <w:tcBorders>
          <w:left w:val="nil"/>
          <w:right w:val="nil"/>
          <w:insideH w:val="nil"/>
          <w:insideV w:val="nil"/>
        </w:tcBorders>
        <w:shd w:val="clear" w:color="auto" w:fill="01216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9E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9E0" w:themeFill="accent2"/>
      </w:tcPr>
    </w:tblStylePr>
    <w:tblStylePr w:type="lastCol">
      <w:rPr>
        <w:b/>
        <w:bCs/>
        <w:color w:val="FFFFFF" w:themeColor="background1"/>
      </w:rPr>
      <w:tblPr/>
      <w:tcPr>
        <w:tcBorders>
          <w:left w:val="nil"/>
          <w:right w:val="nil"/>
          <w:insideH w:val="nil"/>
          <w:insideV w:val="nil"/>
        </w:tcBorders>
        <w:shd w:val="clear" w:color="auto" w:fill="00A9E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2C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2CE" w:themeFill="accent3"/>
      </w:tcPr>
    </w:tblStylePr>
    <w:tblStylePr w:type="lastCol">
      <w:rPr>
        <w:b/>
        <w:bCs/>
        <w:color w:val="FFFFFF" w:themeColor="background1"/>
      </w:rPr>
      <w:tblPr/>
      <w:tcPr>
        <w:tcBorders>
          <w:left w:val="nil"/>
          <w:right w:val="nil"/>
          <w:insideH w:val="nil"/>
          <w:insideV w:val="nil"/>
        </w:tcBorders>
        <w:shd w:val="clear" w:color="auto" w:fill="0072C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8A4AE"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8A4AE" w:themeFill="accent4"/>
      </w:tcPr>
    </w:tblStylePr>
    <w:tblStylePr w:type="lastCol">
      <w:rPr>
        <w:b/>
        <w:bCs/>
        <w:color w:val="FFFFFF" w:themeColor="background1"/>
      </w:rPr>
      <w:tblPr/>
      <w:tcPr>
        <w:tcBorders>
          <w:left w:val="nil"/>
          <w:right w:val="nil"/>
          <w:insideH w:val="nil"/>
          <w:insideV w:val="nil"/>
        </w:tcBorders>
        <w:shd w:val="clear" w:color="auto" w:fill="98A4AE"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758B"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758B" w:themeFill="accent5"/>
      </w:tcPr>
    </w:tblStylePr>
    <w:tblStylePr w:type="lastCol">
      <w:rPr>
        <w:b/>
        <w:bCs/>
        <w:color w:val="FFFFFF" w:themeColor="background1"/>
      </w:rPr>
      <w:tblPr/>
      <w:tcPr>
        <w:tcBorders>
          <w:left w:val="nil"/>
          <w:right w:val="nil"/>
          <w:insideH w:val="nil"/>
          <w:insideV w:val="nil"/>
        </w:tcBorders>
        <w:shd w:val="clear" w:color="auto" w:fill="4F758B"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C5E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1C5E8" w:themeFill="accent6"/>
      </w:tcPr>
    </w:tblStylePr>
    <w:tblStylePr w:type="lastCol">
      <w:rPr>
        <w:b/>
        <w:bCs/>
        <w:color w:val="FFFFFF" w:themeColor="background1"/>
      </w:rPr>
      <w:tblPr/>
      <w:tcPr>
        <w:tcBorders>
          <w:left w:val="nil"/>
          <w:right w:val="nil"/>
          <w:insideH w:val="nil"/>
          <w:insideV w:val="nil"/>
        </w:tcBorders>
        <w:shd w:val="clear" w:color="auto" w:fill="71C5E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shd w:val="pct20" w:color="auto" w:fill="auto"/>
    </w:rPr>
  </w:style>
  <w:style w:type="paragraph" w:styleId="NoSpacing">
    <w:name w:val="No Spacing"/>
    <w:uiPriority w:val="1"/>
    <w:semiHidden/>
    <w:qFormat/>
    <w:rsid w:val="00F80750"/>
    <w:pPr>
      <w:spacing w:after="0"/>
    </w:pPr>
  </w:style>
  <w:style w:type="paragraph" w:styleId="NormalWeb">
    <w:name w:val="Normal (Web)"/>
    <w:basedOn w:val="Normal"/>
    <w:uiPriority w:val="20"/>
    <w:rsid w:val="00606FC8"/>
    <w:pPr>
      <w:numPr>
        <w:numId w:val="0"/>
      </w:numPr>
    </w:pPr>
    <w:rPr>
      <w:rFonts w:asciiTheme="minorHAnsi" w:hAnsiTheme="minorHAnsi"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sz w:val="21"/>
      <w:szCs w:val="21"/>
    </w:rPr>
  </w:style>
  <w:style w:type="paragraph" w:styleId="Quote">
    <w:name w:val="Quote"/>
    <w:basedOn w:val="Normal"/>
    <w:next w:val="Normal"/>
    <w:link w:val="QuoteChar"/>
    <w:uiPriority w:val="19"/>
    <w:qFormat/>
    <w:rsid w:val="005D04CC"/>
    <w:pPr>
      <w:numPr>
        <w:numId w:val="0"/>
      </w:numPr>
      <w:ind w:left="425" w:right="425"/>
    </w:pPr>
    <w:rPr>
      <w:i/>
      <w:iCs/>
    </w:rPr>
  </w:style>
  <w:style w:type="character" w:customStyle="1" w:styleId="QuoteChar">
    <w:name w:val="Quote Char"/>
    <w:basedOn w:val="DefaultParagraphFont"/>
    <w:link w:val="Quote"/>
    <w:uiPriority w:val="19"/>
    <w:rsid w:val="005D04CC"/>
    <w:rPr>
      <w:i/>
      <w:iCs/>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style>
  <w:style w:type="paragraph" w:styleId="Signature">
    <w:name w:val="Signature"/>
    <w:basedOn w:val="Normal"/>
    <w:link w:val="SignatureChar"/>
    <w:uiPriority w:val="29"/>
    <w:semiHidden/>
    <w:locked/>
    <w:rsid w:val="00F00470"/>
    <w:pPr>
      <w:numPr>
        <w:numId w:val="0"/>
      </w:numPr>
      <w:contextualSpacing/>
      <w:jc w:val="left"/>
    </w:pPr>
  </w:style>
  <w:style w:type="character" w:customStyle="1" w:styleId="SignatureChar">
    <w:name w:val="Signature Char"/>
    <w:basedOn w:val="DefaultParagraphFont"/>
    <w:link w:val="Signature"/>
    <w:uiPriority w:val="29"/>
    <w:semiHidden/>
    <w:rsid w:val="00EE50C6"/>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01216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01216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00A9E0"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unhideWhenUsed/>
    <w:rsid w:val="000453D9"/>
    <w:pPr>
      <w:numPr>
        <w:numId w:val="0"/>
      </w:numPr>
      <w:tabs>
        <w:tab w:val="left" w:pos="851"/>
        <w:tab w:val="right" w:pos="9027"/>
      </w:tabs>
      <w:ind w:left="851" w:hanging="851"/>
      <w:jc w:val="left"/>
    </w:pPr>
    <w:rPr>
      <w:b/>
      <w:sz w:val="24"/>
    </w:rPr>
  </w:style>
  <w:style w:type="paragraph" w:styleId="TOC3">
    <w:name w:val="toc 3"/>
    <w:basedOn w:val="Normal"/>
    <w:next w:val="Normal"/>
    <w:autoRedefine/>
    <w:uiPriority w:val="39"/>
    <w:unhideWhenUsed/>
    <w:rsid w:val="00E21C9B"/>
    <w:pPr>
      <w:numPr>
        <w:numId w:val="0"/>
      </w:numPr>
      <w:tabs>
        <w:tab w:val="left" w:pos="851"/>
        <w:tab w:val="right" w:pos="9038"/>
      </w:tabs>
      <w:ind w:left="851" w:hanging="851"/>
      <w:jc w:val="left"/>
    </w:pPr>
    <w:rPr>
      <w:b/>
    </w:rPr>
  </w:style>
  <w:style w:type="paragraph" w:styleId="TOC4">
    <w:name w:val="toc 4"/>
    <w:basedOn w:val="Normal"/>
    <w:next w:val="Normal"/>
    <w:autoRedefine/>
    <w:uiPriority w:val="39"/>
    <w:unhideWhenUsed/>
    <w:locked/>
    <w:rsid w:val="000453D9"/>
    <w:pPr>
      <w:numPr>
        <w:numId w:val="0"/>
      </w:numPr>
      <w:tabs>
        <w:tab w:val="left" w:pos="851"/>
        <w:tab w:val="right" w:pos="9027"/>
      </w:tabs>
    </w:pPr>
    <w:rPr>
      <w:i/>
      <w:sz w:val="28"/>
    </w:rPr>
  </w:style>
  <w:style w:type="paragraph" w:styleId="TOC5">
    <w:name w:val="toc 5"/>
    <w:basedOn w:val="Normal"/>
    <w:next w:val="Normal"/>
    <w:autoRedefine/>
    <w:uiPriority w:val="39"/>
    <w:unhideWhenUsed/>
    <w:locked/>
    <w:rsid w:val="000453D9"/>
    <w:pPr>
      <w:numPr>
        <w:numId w:val="0"/>
      </w:numPr>
      <w:tabs>
        <w:tab w:val="left" w:pos="851"/>
        <w:tab w:val="right" w:pos="9027"/>
      </w:tabs>
    </w:pPr>
    <w:rPr>
      <w:b/>
      <w:sz w:val="24"/>
    </w:rPr>
  </w:style>
  <w:style w:type="paragraph" w:styleId="TOC6">
    <w:name w:val="toc 6"/>
    <w:basedOn w:val="Normal"/>
    <w:next w:val="Normal"/>
    <w:autoRedefine/>
    <w:uiPriority w:val="39"/>
    <w:unhideWhenUsed/>
    <w:locked/>
    <w:rsid w:val="00E21C9B"/>
    <w:pPr>
      <w:numPr>
        <w:numId w:val="0"/>
      </w:numPr>
      <w:tabs>
        <w:tab w:val="left" w:pos="851"/>
        <w:tab w:val="right" w:pos="9027"/>
      </w:tabs>
    </w:pPr>
    <w:rPr>
      <w:b/>
    </w:r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ai">
    <w:name w:val="Outline List 1"/>
    <w:basedOn w:val="NoList"/>
    <w:uiPriority w:val="99"/>
    <w:semiHidden/>
    <w:unhideWhenUsed/>
    <w:rsid w:val="00A8129D"/>
    <w:pPr>
      <w:numPr>
        <w:numId w:val="5"/>
      </w:numPr>
    </w:pPr>
  </w:style>
  <w:style w:type="numbering" w:customStyle="1" w:styleId="BulletList">
    <w:name w:val="Bullet List"/>
    <w:uiPriority w:val="99"/>
    <w:rsid w:val="00641EAA"/>
    <w:pPr>
      <w:numPr>
        <w:numId w:val="8"/>
      </w:numPr>
    </w:pPr>
  </w:style>
  <w:style w:type="paragraph" w:customStyle="1" w:styleId="Introduction">
    <w:name w:val="Introduction"/>
    <w:basedOn w:val="Normal"/>
    <w:uiPriority w:val="11"/>
    <w:semiHidden/>
    <w:qFormat/>
    <w:rsid w:val="00072B30"/>
    <w:pPr>
      <w:numPr>
        <w:numId w:val="0"/>
      </w:numPr>
    </w:pPr>
    <w:rPr>
      <w:b/>
      <w:color w:val="000000" w:themeColor="text1"/>
    </w:rPr>
  </w:style>
  <w:style w:type="table" w:styleId="TableGridLight">
    <w:name w:val="Grid Table Light"/>
    <w:aliases w:val="Hidden"/>
    <w:basedOn w:val="TableNormal"/>
    <w:uiPriority w:val="40"/>
    <w:locked/>
    <w:rsid w:val="00592F64"/>
    <w:tblPr>
      <w:tblCellMar>
        <w:left w:w="0" w:type="dxa"/>
        <w:right w:w="0" w:type="dxa"/>
      </w:tblCellMar>
    </w:tblPr>
  </w:style>
  <w:style w:type="numbering" w:customStyle="1" w:styleId="AppendixList">
    <w:name w:val="Appendix List"/>
    <w:uiPriority w:val="99"/>
    <w:rsid w:val="00495A4C"/>
    <w:pPr>
      <w:numPr>
        <w:numId w:val="3"/>
      </w:numPr>
    </w:pPr>
  </w:style>
  <w:style w:type="paragraph" w:customStyle="1" w:styleId="AppendixHeading">
    <w:name w:val="Appendix Heading"/>
    <w:basedOn w:val="Heading1"/>
    <w:uiPriority w:val="10"/>
    <w:semiHidden/>
    <w:qFormat/>
    <w:rsid w:val="003A2733"/>
    <w:pPr>
      <w:numPr>
        <w:numId w:val="3"/>
      </w:numPr>
    </w:pPr>
  </w:style>
  <w:style w:type="paragraph" w:customStyle="1" w:styleId="AppendixSubHeading">
    <w:name w:val="Appendix Sub Heading"/>
    <w:basedOn w:val="Heading2"/>
    <w:uiPriority w:val="10"/>
    <w:semiHidden/>
    <w:qFormat/>
    <w:rsid w:val="003A2733"/>
  </w:style>
  <w:style w:type="paragraph" w:customStyle="1" w:styleId="Heading1Numbers">
    <w:name w:val="Heading 1 Numbers"/>
    <w:basedOn w:val="Heading1"/>
    <w:next w:val="Normal"/>
    <w:uiPriority w:val="9"/>
    <w:qFormat/>
    <w:rsid w:val="00BA627A"/>
    <w:pPr>
      <w:numPr>
        <w:numId w:val="10"/>
      </w:numPr>
    </w:pPr>
  </w:style>
  <w:style w:type="paragraph" w:customStyle="1" w:styleId="Heading2Numbers">
    <w:name w:val="Heading 2 Numbers"/>
    <w:basedOn w:val="Heading2"/>
    <w:next w:val="Normal"/>
    <w:uiPriority w:val="9"/>
    <w:qFormat/>
    <w:rsid w:val="00E61784"/>
    <w:pPr>
      <w:numPr>
        <w:numId w:val="10"/>
      </w:numPr>
    </w:pPr>
    <w:rPr>
      <w:bCs w:val="0"/>
    </w:rPr>
  </w:style>
  <w:style w:type="paragraph" w:customStyle="1" w:styleId="Heading3Numbers">
    <w:name w:val="Heading 3 Numbers"/>
    <w:basedOn w:val="Heading3"/>
    <w:next w:val="Normal"/>
    <w:uiPriority w:val="9"/>
    <w:qFormat/>
    <w:rsid w:val="00BA627A"/>
    <w:pPr>
      <w:numPr>
        <w:numId w:val="10"/>
      </w:numPr>
    </w:pPr>
  </w:style>
  <w:style w:type="paragraph" w:customStyle="1" w:styleId="Heading4NoNumber">
    <w:name w:val="Heading 4 No Number"/>
    <w:basedOn w:val="Heading4"/>
    <w:uiPriority w:val="9"/>
    <w:qFormat/>
    <w:rsid w:val="00BA627A"/>
    <w:pPr>
      <w:numPr>
        <w:numId w:val="10"/>
      </w:numPr>
    </w:pPr>
  </w:style>
  <w:style w:type="paragraph" w:customStyle="1" w:styleId="JanusSeal">
    <w:name w:val="Janus Seal"/>
    <w:basedOn w:val="Normal"/>
    <w:uiPriority w:val="18"/>
    <w:qFormat/>
    <w:rsid w:val="00877B84"/>
    <w:pPr>
      <w:jc w:val="center"/>
    </w:pPr>
    <w:rPr>
      <w:b/>
      <w:color w:val="FF0000"/>
      <w:sz w:val="24"/>
    </w:rPr>
  </w:style>
  <w:style w:type="paragraph" w:customStyle="1" w:styleId="LetterCAPSTitle">
    <w:name w:val="Letter CAPS Title"/>
    <w:basedOn w:val="Normal"/>
    <w:uiPriority w:val="19"/>
    <w:qFormat/>
    <w:rsid w:val="00722F9F"/>
    <w:pPr>
      <w:numPr>
        <w:numId w:val="0"/>
      </w:numPr>
    </w:pPr>
    <w:rPr>
      <w:b/>
      <w:caps/>
      <w:shd w:val="clear" w:color="auto" w:fill="FFFFFF"/>
    </w:rPr>
  </w:style>
  <w:style w:type="table" w:styleId="PlainTable5">
    <w:name w:val="Plain Table 5"/>
    <w:basedOn w:val="TableNormal"/>
    <w:uiPriority w:val="45"/>
    <w:locked/>
    <w:rsid w:val="00F0509B"/>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Coverdate">
    <w:name w:val="Cover date"/>
    <w:basedOn w:val="Address"/>
    <w:uiPriority w:val="29"/>
    <w:semiHidden/>
    <w:qFormat/>
    <w:rsid w:val="00592F64"/>
  </w:style>
  <w:style w:type="paragraph" w:customStyle="1" w:styleId="Address">
    <w:name w:val="Address"/>
    <w:basedOn w:val="Normal"/>
    <w:uiPriority w:val="19"/>
    <w:qFormat/>
    <w:rsid w:val="00592F64"/>
    <w:pPr>
      <w:numPr>
        <w:numId w:val="0"/>
      </w:numPr>
      <w:spacing w:after="840"/>
      <w:contextualSpacing/>
    </w:pPr>
  </w:style>
  <w:style w:type="paragraph" w:customStyle="1" w:styleId="Sincerely">
    <w:name w:val="Sincerely"/>
    <w:basedOn w:val="Normal"/>
    <w:uiPriority w:val="29"/>
    <w:semiHidden/>
    <w:qFormat/>
    <w:rsid w:val="00592F64"/>
    <w:pPr>
      <w:numPr>
        <w:numId w:val="0"/>
      </w:numPr>
      <w:spacing w:before="720" w:after="600"/>
    </w:pPr>
  </w:style>
  <w:style w:type="paragraph" w:customStyle="1" w:styleId="Subject">
    <w:name w:val="Subject"/>
    <w:basedOn w:val="Normal"/>
    <w:uiPriority w:val="29"/>
    <w:semiHidden/>
    <w:qFormat/>
    <w:rsid w:val="00592F64"/>
    <w:pPr>
      <w:numPr>
        <w:numId w:val="0"/>
      </w:numPr>
      <w:spacing w:before="480" w:after="480"/>
    </w:pPr>
    <w:rPr>
      <w:b/>
    </w:rPr>
  </w:style>
  <w:style w:type="table" w:customStyle="1" w:styleId="TableOption2">
    <w:name w:val="Table Option 2"/>
    <w:basedOn w:val="TableGrid"/>
    <w:uiPriority w:val="99"/>
    <w:rsid w:val="00826012"/>
    <w:tblPr/>
    <w:tcPr>
      <w:shd w:val="clear" w:color="auto" w:fill="EAECEE" w:themeFill="accent4" w:themeFillTint="33"/>
    </w:tcPr>
    <w:tblStylePr w:type="firstRow">
      <w:rPr>
        <w:b w:val="0"/>
        <w:color w:val="FFFFFF" w:themeColor="background1"/>
      </w:rPr>
      <w:tblPr/>
      <w:trPr>
        <w:cantSplit/>
        <w:tblHeader/>
      </w:trPr>
      <w:tcPr>
        <w:shd w:val="clear" w:color="auto" w:fill="012169" w:themeFill="accent1"/>
      </w:tcPr>
    </w:tblStylePr>
    <w:tblStylePr w:type="lastRow">
      <w:rPr>
        <w:b/>
      </w:rPr>
      <w:tblPr/>
      <w:tcPr>
        <w:shd w:val="clear" w:color="auto" w:fill="EAECEE" w:themeFill="accent4" w:themeFillTint="33"/>
      </w:tcPr>
    </w:tblStylePr>
    <w:tblStylePr w:type="firstCol">
      <w:rPr>
        <w:b w:val="0"/>
        <w:color w:val="auto"/>
      </w:rPr>
      <w:tblPr/>
      <w:tcPr>
        <w:shd w:val="clear" w:color="auto" w:fill="012169" w:themeFill="accent1"/>
      </w:tcPr>
    </w:tblStylePr>
    <w:tblStylePr w:type="lastCol">
      <w:pPr>
        <w:jc w:val="right"/>
      </w:pPr>
      <w:rPr>
        <w:b/>
      </w:rPr>
    </w:tblStylePr>
    <w:tblStylePr w:type="band1Horz">
      <w:tblPr/>
      <w:tcPr>
        <w:shd w:val="clear" w:color="auto" w:fill="EAECEE" w:themeFill="accent4" w:themeFillTint="33"/>
      </w:tcPr>
    </w:tblStylePr>
    <w:tblStylePr w:type="band2Horz">
      <w:tblPr/>
      <w:tcPr>
        <w:shd w:val="clear" w:color="auto" w:fill="C1C8CE" w:themeFill="accent4" w:themeFillTint="99"/>
      </w:tcPr>
    </w:tblStylePr>
  </w:style>
  <w:style w:type="paragraph" w:customStyle="1" w:styleId="TableHeading">
    <w:name w:val="Table Heading"/>
    <w:basedOn w:val="Normal"/>
    <w:next w:val="Normal"/>
    <w:uiPriority w:val="10"/>
    <w:qFormat/>
    <w:rsid w:val="004C766B"/>
    <w:pPr>
      <w:keepNext/>
      <w:numPr>
        <w:numId w:val="0"/>
      </w:numPr>
      <w:spacing w:before="240" w:after="120"/>
    </w:pPr>
    <w:rPr>
      <w:b/>
      <w:i/>
    </w:rPr>
  </w:style>
  <w:style w:type="paragraph" w:customStyle="1" w:styleId="NameTitleDivision">
    <w:name w:val="Name/Title/Division"/>
    <w:basedOn w:val="Normal"/>
    <w:uiPriority w:val="18"/>
    <w:qFormat/>
    <w:rsid w:val="000573E5"/>
    <w:pPr>
      <w:numPr>
        <w:numId w:val="0"/>
      </w:numPr>
      <w:contextualSpacing/>
    </w:pPr>
    <w:rPr>
      <w:i/>
    </w:rPr>
  </w:style>
  <w:style w:type="paragraph" w:customStyle="1" w:styleId="TableText">
    <w:name w:val="Table Text"/>
    <w:basedOn w:val="Normal"/>
    <w:uiPriority w:val="10"/>
    <w:qFormat/>
    <w:rsid w:val="009E529F"/>
    <w:pPr>
      <w:numPr>
        <w:numId w:val="0"/>
      </w:numPr>
      <w:spacing w:before="60" w:after="60"/>
      <w:jc w:val="left"/>
    </w:pPr>
  </w:style>
  <w:style w:type="paragraph" w:customStyle="1" w:styleId="Postscript">
    <w:name w:val="Postscript"/>
    <w:basedOn w:val="Normal"/>
    <w:uiPriority w:val="19"/>
    <w:qFormat/>
    <w:rsid w:val="00B40B7D"/>
    <w:pPr>
      <w:numPr>
        <w:numId w:val="0"/>
      </w:numPr>
    </w:pPr>
    <w:rPr>
      <w:sz w:val="20"/>
    </w:rPr>
  </w:style>
  <w:style w:type="paragraph" w:customStyle="1" w:styleId="ActTitle">
    <w:name w:val="Act Title"/>
    <w:basedOn w:val="Normal"/>
    <w:next w:val="Normal"/>
    <w:rsid w:val="000F714F"/>
    <w:pPr>
      <w:numPr>
        <w:numId w:val="0"/>
      </w:numPr>
      <w:pBdr>
        <w:bottom w:val="single" w:sz="4" w:space="3" w:color="auto"/>
      </w:pBdr>
      <w:spacing w:before="480"/>
      <w:jc w:val="left"/>
    </w:pPr>
    <w:rPr>
      <w:rFonts w:eastAsia="Times New Roman" w:cs="Times New Roman"/>
      <w:i/>
      <w:iCs/>
      <w:color w:val="auto"/>
      <w:sz w:val="28"/>
      <w:szCs w:val="20"/>
      <w:lang w:eastAsia="en-AU"/>
    </w:rPr>
  </w:style>
  <w:style w:type="paragraph" w:customStyle="1" w:styleId="IntroTo">
    <w:name w:val="IntroTo:"/>
    <w:basedOn w:val="Normal"/>
    <w:rsid w:val="000F714F"/>
    <w:pPr>
      <w:numPr>
        <w:numId w:val="0"/>
      </w:numPr>
      <w:spacing w:after="0"/>
      <w:ind w:left="720" w:hanging="720"/>
      <w:jc w:val="left"/>
    </w:pPr>
    <w:rPr>
      <w:rFonts w:ascii="Times New Roman" w:eastAsia="Times New Roman" w:hAnsi="Times New Roman" w:cs="Times New Roman"/>
      <w:color w:val="auto"/>
      <w:sz w:val="24"/>
      <w:szCs w:val="20"/>
    </w:rPr>
  </w:style>
  <w:style w:type="paragraph" w:customStyle="1" w:styleId="APRABullet3">
    <w:name w:val="APRA Bullet 3"/>
    <w:basedOn w:val="Normal"/>
    <w:qFormat/>
    <w:rsid w:val="009E608E"/>
    <w:pPr>
      <w:numPr>
        <w:numId w:val="13"/>
      </w:numPr>
      <w:ind w:left="1208" w:hanging="357"/>
    </w:pPr>
    <w:rPr>
      <w:rFonts w:eastAsia="Times New Roman" w:cs="Arial"/>
      <w:szCs w:val="24"/>
      <w:lang w:eastAsia="en-AU"/>
    </w:rPr>
  </w:style>
  <w:style w:type="character" w:customStyle="1" w:styleId="BodyText1Char">
    <w:name w:val="Body Text 1 Char"/>
    <w:basedOn w:val="DefaultParagraphFont"/>
    <w:link w:val="BodyText1"/>
    <w:rsid w:val="00CC7F27"/>
    <w:rPr>
      <w:rFonts w:ascii="Times New Roman" w:hAnsi="Times New Roman"/>
      <w:sz w:val="24"/>
      <w:szCs w:val="24"/>
    </w:rPr>
  </w:style>
  <w:style w:type="paragraph" w:customStyle="1" w:styleId="BodyText1">
    <w:name w:val="Body Text 1"/>
    <w:basedOn w:val="Normal"/>
    <w:link w:val="BodyText1Char"/>
    <w:qFormat/>
    <w:rsid w:val="00CC7F27"/>
    <w:pPr>
      <w:numPr>
        <w:numId w:val="0"/>
      </w:numPr>
      <w:tabs>
        <w:tab w:val="num" w:pos="567"/>
      </w:tabs>
      <w:ind w:left="567" w:hanging="567"/>
    </w:pPr>
    <w:rPr>
      <w:rFonts w:ascii="Times New Roman" w:hAnsi="Times New Roman"/>
      <w:sz w:val="24"/>
      <w:szCs w:val="24"/>
    </w:rPr>
  </w:style>
  <w:style w:type="paragraph" w:customStyle="1" w:styleId="BodyText4">
    <w:name w:val="Body Text 4"/>
    <w:basedOn w:val="Normal"/>
    <w:qFormat/>
    <w:rsid w:val="00CC7F27"/>
    <w:pPr>
      <w:numPr>
        <w:numId w:val="0"/>
      </w:numPr>
      <w:tabs>
        <w:tab w:val="num" w:pos="2268"/>
      </w:tabs>
      <w:ind w:left="2268" w:hanging="567"/>
      <w:jc w:val="left"/>
    </w:pPr>
    <w:rPr>
      <w:rFonts w:ascii="Times New Roman" w:eastAsia="Calibri" w:hAnsi="Times New Roman" w:cs="Times New Roman"/>
      <w:color w:val="auto"/>
      <w:sz w:val="24"/>
      <w:szCs w:val="24"/>
      <w:lang w:eastAsia="en-AU"/>
    </w:rPr>
  </w:style>
  <w:style w:type="paragraph" w:customStyle="1" w:styleId="AS">
    <w:name w:val="AS"/>
    <w:aliases w:val="Schedule title Amendment"/>
    <w:basedOn w:val="Normal"/>
    <w:next w:val="Normal"/>
    <w:rsid w:val="00CC7F27"/>
    <w:pPr>
      <w:keepNext/>
      <w:numPr>
        <w:numId w:val="0"/>
      </w:numPr>
      <w:autoSpaceDE w:val="0"/>
      <w:autoSpaceDN w:val="0"/>
      <w:spacing w:before="480" w:after="0"/>
      <w:ind w:left="2410" w:hanging="2410"/>
      <w:jc w:val="left"/>
    </w:pPr>
    <w:rPr>
      <w:rFonts w:eastAsia="Times New Roman" w:cs="Arial"/>
      <w:b/>
      <w:bCs/>
      <w:color w:val="auto"/>
      <w:sz w:val="32"/>
      <w:szCs w:val="32"/>
      <w:lang w:eastAsia="en-AU"/>
    </w:rPr>
  </w:style>
  <w:style w:type="character" w:customStyle="1" w:styleId="CharSchNo">
    <w:name w:val="CharSchNo"/>
    <w:basedOn w:val="DefaultParagraphFont"/>
    <w:rsid w:val="00CC7F27"/>
  </w:style>
  <w:style w:type="character" w:customStyle="1" w:styleId="CharSchText">
    <w:name w:val="CharSchText"/>
    <w:basedOn w:val="DefaultParagraphFont"/>
    <w:rsid w:val="00CC7F27"/>
  </w:style>
  <w:style w:type="paragraph" w:customStyle="1" w:styleId="BoxHeading">
    <w:name w:val="Box Heading"/>
    <w:next w:val="Normal"/>
    <w:uiPriority w:val="1"/>
    <w:qFormat/>
    <w:rsid w:val="00CC7F27"/>
    <w:pPr>
      <w:spacing w:before="120" w:after="360"/>
      <w:jc w:val="left"/>
    </w:pPr>
    <w:rPr>
      <w:rFonts w:eastAsia="Times New Roman" w:cs="Arial"/>
      <w:b/>
      <w:bCs/>
      <w:color w:val="auto"/>
      <w:sz w:val="32"/>
      <w:szCs w:val="32"/>
      <w:lang w:eastAsia="en-AU"/>
    </w:rPr>
  </w:style>
  <w:style w:type="paragraph" w:customStyle="1" w:styleId="BULLET1">
    <w:name w:val="BULLET 1"/>
    <w:basedOn w:val="Normal"/>
    <w:qFormat/>
    <w:rsid w:val="005A4C43"/>
    <w:pPr>
      <w:numPr>
        <w:numId w:val="16"/>
      </w:numPr>
    </w:pPr>
    <w:rPr>
      <w:rFonts w:eastAsiaTheme="minorEastAsia"/>
      <w:color w:val="auto"/>
      <w:lang w:eastAsia="en-AU"/>
    </w:rPr>
  </w:style>
  <w:style w:type="paragraph" w:customStyle="1" w:styleId="Default">
    <w:name w:val="Default"/>
    <w:rsid w:val="005A4C43"/>
    <w:pPr>
      <w:widowControl w:val="0"/>
      <w:autoSpaceDE w:val="0"/>
      <w:autoSpaceDN w:val="0"/>
      <w:adjustRightInd w:val="0"/>
      <w:spacing w:after="0"/>
      <w:jc w:val="left"/>
    </w:pPr>
    <w:rPr>
      <w:rFonts w:eastAsiaTheme="minorEastAsia" w:cs="Arial"/>
      <w:sz w:val="24"/>
      <w:szCs w:val="24"/>
      <w:lang w:eastAsia="en-AU"/>
    </w:rPr>
  </w:style>
  <w:style w:type="paragraph" w:customStyle="1" w:styleId="CM5">
    <w:name w:val="CM5"/>
    <w:basedOn w:val="Default"/>
    <w:next w:val="Default"/>
    <w:uiPriority w:val="99"/>
    <w:rsid w:val="005A4C43"/>
    <w:pPr>
      <w:tabs>
        <w:tab w:val="left" w:pos="851"/>
      </w:tabs>
      <w:ind w:left="851" w:hanging="567"/>
    </w:pPr>
    <w:rPr>
      <w:rFonts w:ascii="Times New Roman" w:hAnsi="Times New Roman" w:cs="Times New Roman"/>
    </w:rPr>
  </w:style>
  <w:style w:type="character" w:customStyle="1" w:styleId="Style1">
    <w:name w:val="Style1"/>
    <w:basedOn w:val="DefaultParagraphFont"/>
    <w:uiPriority w:val="1"/>
    <w:qFormat/>
    <w:rsid w:val="005A4C43"/>
    <w:rPr>
      <w:rFonts w:ascii="Times New Roman" w:hAnsi="Times New Roman"/>
      <w:sz w:val="22"/>
    </w:rPr>
  </w:style>
  <w:style w:type="character" w:styleId="UnresolvedMention">
    <w:name w:val="Unresolved Mention"/>
    <w:basedOn w:val="DefaultParagraphFont"/>
    <w:uiPriority w:val="99"/>
    <w:semiHidden/>
    <w:unhideWhenUsed/>
    <w:rsid w:val="00F11C3D"/>
    <w:rPr>
      <w:color w:val="605E5C"/>
      <w:shd w:val="clear" w:color="auto" w:fill="E1DFDD"/>
    </w:rPr>
  </w:style>
  <w:style w:type="paragraph" w:styleId="Revision">
    <w:name w:val="Revision"/>
    <w:hidden/>
    <w:uiPriority w:val="99"/>
    <w:semiHidden/>
    <w:rsid w:val="00E92D5D"/>
    <w:pPr>
      <w:spacing w:after="0"/>
      <w:jc w:val="left"/>
    </w:pPr>
  </w:style>
  <w:style w:type="paragraph" w:customStyle="1" w:styleId="introto0">
    <w:name w:val="introto"/>
    <w:basedOn w:val="Normal"/>
    <w:rsid w:val="00077897"/>
    <w:pPr>
      <w:numPr>
        <w:numId w:val="0"/>
      </w:numPr>
      <w:spacing w:before="100" w:beforeAutospacing="1" w:after="100" w:afterAutospacing="1"/>
      <w:jc w:val="left"/>
    </w:pPr>
    <w:rPr>
      <w:rFonts w:ascii="Times New Roman" w:eastAsia="Times New Roman" w:hAnsi="Times New Roman" w:cs="Times New Roman"/>
      <w:color w:val="auto"/>
      <w:sz w:val="24"/>
      <w:szCs w:val="24"/>
      <w:lang w:eastAsia="en-AU"/>
    </w:rPr>
  </w:style>
  <w:style w:type="paragraph" w:customStyle="1" w:styleId="PSBodyTextL1">
    <w:name w:val="_PS_Body_Text_L1"/>
    <w:qFormat/>
    <w:rsid w:val="0023580E"/>
    <w:pPr>
      <w:numPr>
        <w:numId w:val="36"/>
      </w:numPr>
    </w:pPr>
    <w:rPr>
      <w:rFonts w:ascii="Times New Roman" w:hAnsi="Times New Roman"/>
      <w:sz w:val="24"/>
    </w:rPr>
  </w:style>
  <w:style w:type="paragraph" w:customStyle="1" w:styleId="PSBodyTextL2">
    <w:name w:val="_PS_Body_Text_L2"/>
    <w:basedOn w:val="PSBodyTextL1"/>
    <w:qFormat/>
    <w:rsid w:val="0023580E"/>
    <w:pPr>
      <w:numPr>
        <w:ilvl w:val="1"/>
      </w:numPr>
    </w:pPr>
  </w:style>
  <w:style w:type="paragraph" w:customStyle="1" w:styleId="PSBodyTextL3">
    <w:name w:val="_PS_Body_Text_L3"/>
    <w:basedOn w:val="PSBodyTextL2"/>
    <w:qFormat/>
    <w:rsid w:val="0023580E"/>
    <w:pPr>
      <w:numPr>
        <w:ilvl w:val="2"/>
      </w:numPr>
      <w:tabs>
        <w:tab w:val="left" w:pos="1134"/>
      </w:tabs>
    </w:pPr>
  </w:style>
  <w:style w:type="paragraph" w:customStyle="1" w:styleId="PSBodyTextL4">
    <w:name w:val="_PS_Body_Text_L4"/>
    <w:basedOn w:val="PSBodyTextL3"/>
    <w:qFormat/>
    <w:rsid w:val="0023580E"/>
    <w:pPr>
      <w:numPr>
        <w:ilvl w:val="3"/>
      </w:numPr>
      <w:tabs>
        <w:tab w:val="clear" w:pos="1134"/>
        <w:tab w:val="left" w:pos="1701"/>
      </w:tabs>
    </w:pPr>
  </w:style>
  <w:style w:type="numbering" w:styleId="ArticleSection">
    <w:name w:val="Outline List 3"/>
    <w:basedOn w:val="NoList"/>
    <w:rsid w:val="0058682A"/>
    <w:pPr>
      <w:numPr>
        <w:numId w:val="2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 w:id="1610891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APRA">
      <a:dk1>
        <a:sysClr val="windowText" lastClr="000000"/>
      </a:dk1>
      <a:lt1>
        <a:sysClr val="window" lastClr="FFFFFF"/>
      </a:lt1>
      <a:dk2>
        <a:srgbClr val="012169"/>
      </a:dk2>
      <a:lt2>
        <a:srgbClr val="00A9E0"/>
      </a:lt2>
      <a:accent1>
        <a:srgbClr val="012169"/>
      </a:accent1>
      <a:accent2>
        <a:srgbClr val="00A9E0"/>
      </a:accent2>
      <a:accent3>
        <a:srgbClr val="0072CE"/>
      </a:accent3>
      <a:accent4>
        <a:srgbClr val="98A4AE"/>
      </a:accent4>
      <a:accent5>
        <a:srgbClr val="4F758B"/>
      </a:accent5>
      <a:accent6>
        <a:srgbClr val="71C5E8"/>
      </a:accent6>
      <a:hlink>
        <a:srgbClr val="0000FF"/>
      </a:hlink>
      <a:folHlink>
        <a:srgbClr val="7030A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0D163DB4DEE504FAB457909715FEC45" ma:contentTypeVersion="18" ma:contentTypeDescription="Create a new document." ma:contentTypeScope="" ma:versionID="0a455cd4abff4ab3fc4dbda0a9687c91">
  <xsd:schema xmlns:xsd="http://www.w3.org/2001/XMLSchema" xmlns:xs="http://www.w3.org/2001/XMLSchema" xmlns:p="http://schemas.microsoft.com/office/2006/metadata/properties" xmlns:ns1="http://schemas.microsoft.com/sharepoint/v3" xmlns:ns2="92a8a7e8-49a1-4017-acf0-0edc7cce208b" xmlns:ns3="f4148c6b-f494-43bd-afec-4c4bbfd3890b" targetNamespace="http://schemas.microsoft.com/office/2006/metadata/properties" ma:root="true" ma:fieldsID="af50fcd2de5446aacfa0ed2cb009c1dd" ns1:_="" ns2:_="" ns3:_="">
    <xsd:import namespace="http://schemas.microsoft.com/sharepoint/v3"/>
    <xsd:import namespace="92a8a7e8-49a1-4017-acf0-0edc7cce208b"/>
    <xsd:import namespace="f4148c6b-f494-43bd-afec-4c4bbfd3890b"/>
    <xsd:element name="properties">
      <xsd:complexType>
        <xsd:sequence>
          <xsd:element name="documentManagement">
            <xsd:complexType>
              <xsd:all>
                <xsd:element ref="ns2:i05115a133414b4dabee2531e4b46b67" minOccurs="0"/>
                <xsd:element ref="ns2:TaxCatchAll" minOccurs="0"/>
                <xsd:element ref="ns2:h67caa35a4114acd8e15fe89b3f29f9e" minOccurs="0"/>
                <xsd:element ref="ns2:k4bcc0d734474fea9fb713d9c415b4b0" minOccurs="0"/>
                <xsd:element ref="ns2:l003ee8eff60461aa1bd0027aba92ea4" minOccurs="0"/>
                <xsd:element ref="ns2:b37d8d7e823543f58f89056343a9035c" minOccurs="0"/>
                <xsd:element ref="ns2:j163382b748246d3b6e7caae71dbeeb0" minOccurs="0"/>
                <xsd:element ref="ns1:_ExtendedDescription" minOccurs="0"/>
                <xsd:element ref="ns2:APRASecurityClassification" minOccurs="0"/>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ExtendedDescription" ma:index="17" nillable="true" ma:displayName="Description" ma:internalName="_Extended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a8a7e8-49a1-4017-acf0-0edc7cce208b" elementFormDefault="qualified">
    <xsd:import namespace="http://schemas.microsoft.com/office/2006/documentManagement/types"/>
    <xsd:import namespace="http://schemas.microsoft.com/office/infopath/2007/PartnerControls"/>
    <xsd:element name="i05115a133414b4dabee2531e4b46b67" ma:index="8" nillable="true" ma:taxonomy="true" ma:internalName="i05115a133414b4dabee2531e4b46b67" ma:taxonomyFieldName="APRAActivity" ma:displayName="Activity" ma:readOnly="false" ma:fieldId="{205115a1-3341-4b4d-abee-2531e4b46b67}" ma:taxonomyMulti="true" ma:sspId="4ff776a0-f2ac-455d-9889-a581410000f1" ma:termSetId="0a2aee47-fbed-4b43-b934-0547b3421a87"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a70a7764-7edc-438b-b2cf-51576a8fe6f7}" ma:internalName="TaxCatchAll" ma:showField="CatchAllData" ma:web="92a8a7e8-49a1-4017-acf0-0edc7cce208b">
      <xsd:complexType>
        <xsd:complexContent>
          <xsd:extension base="dms:MultiChoiceLookup">
            <xsd:sequence>
              <xsd:element name="Value" type="dms:Lookup" maxOccurs="unbounded" minOccurs="0" nillable="true"/>
            </xsd:sequence>
          </xsd:extension>
        </xsd:complexContent>
      </xsd:complexType>
    </xsd:element>
    <xsd:element name="h67caa35a4114acd8e15fe89b3f29f9e" ma:index="10" nillable="true" ma:taxonomy="true" ma:internalName="h67caa35a4114acd8e15fe89b3f29f9e" ma:taxonomyFieldName="APRADocumentType" ma:displayName="Document type" ma:readOnly="false" ma:fieldId="{167caa35-a411-4acd-8e15-fe89b3f29f9e}" ma:taxonomyMulti="true" ma:sspId="4ff776a0-f2ac-455d-9889-a581410000f1" ma:termSetId="af1c35f7-5763-4cde-bc1a-b0c7e164f1eb" ma:anchorId="00000000-0000-0000-0000-000000000000" ma:open="false" ma:isKeyword="false">
      <xsd:complexType>
        <xsd:sequence>
          <xsd:element ref="pc:Terms" minOccurs="0" maxOccurs="1"/>
        </xsd:sequence>
      </xsd:complexType>
    </xsd:element>
    <xsd:element name="k4bcc0d734474fea9fb713d9c415b4b0" ma:index="11" nillable="true" ma:taxonomy="true" ma:internalName="k4bcc0d734474fea9fb713d9c415b4b0" ma:taxonomyFieldName="APRAEntityAdviceSupport" ma:displayName="Entity (advice/support)" ma:readOnly="false" ma:fieldId="{44bcc0d7-3447-4fea-9fb7-13d9c415b4b0}" ma:taxonomyMulti="true" ma:sspId="4ff776a0-f2ac-455d-9889-a581410000f1" ma:termSetId="65e4e273-0c24-4815-bb8d-38cd0e8111f8" ma:anchorId="00000000-0000-0000-0000-000000000000" ma:open="false" ma:isKeyword="false">
      <xsd:complexType>
        <xsd:sequence>
          <xsd:element ref="pc:Terms" minOccurs="0" maxOccurs="1"/>
        </xsd:sequence>
      </xsd:complexType>
    </xsd:element>
    <xsd:element name="l003ee8eff60461aa1bd0027aba92ea4" ma:index="12" nillable="true" ma:taxonomy="true" ma:internalName="l003ee8eff60461aa1bd0027aba92ea4" ma:taxonomyFieldName="APRAIndustry" ma:displayName="Industry/Sector" ma:readOnly="false" ma:fieldId="{5003ee8e-ff60-461a-a1bd-0027aba92ea4}" ma:taxonomyMulti="true" ma:sspId="4ff776a0-f2ac-455d-9889-a581410000f1" ma:termSetId="d46a36ff-b81c-47a6-84c2-b6a574ca6a5d" ma:anchorId="00000000-0000-0000-0000-000000000000" ma:open="false" ma:isKeyword="false">
      <xsd:complexType>
        <xsd:sequence>
          <xsd:element ref="pc:Terms" minOccurs="0" maxOccurs="1"/>
        </xsd:sequence>
      </xsd:complexType>
    </xsd:element>
    <xsd:element name="b37d8d7e823543f58f89056343a9035c" ma:index="13" nillable="true" ma:taxonomy="true" ma:internalName="b37d8d7e823543f58f89056343a9035c" ma:taxonomyFieldName="APRALegislation" ma:displayName="Legislation" ma:readOnly="false" ma:fieldId="{b37d8d7e-8235-43f5-8f89-056343a9035c}" ma:taxonomyMulti="true" ma:sspId="4ff776a0-f2ac-455d-9889-a581410000f1" ma:termSetId="67e0a470-b4af-4691-908a-b900ee38db35" ma:anchorId="00000000-0000-0000-0000-000000000000" ma:open="false" ma:isKeyword="false">
      <xsd:complexType>
        <xsd:sequence>
          <xsd:element ref="pc:Terms" minOccurs="0" maxOccurs="1"/>
        </xsd:sequence>
      </xsd:complexType>
    </xsd:element>
    <xsd:element name="j163382b748246d3b6e7caae71dbeeb0" ma:index="14" nillable="true" ma:taxonomy="true" ma:internalName="j163382b748246d3b6e7caae71dbeeb0" ma:taxonomyFieldName="APRAStatus" ma:displayName="Status" ma:readOnly="false" ma:default="-1;#Draft|0e1556d2-3fe8-443a-ada7-3620563b46b3" ma:fieldId="{3163382b-7482-46d3-b6e7-caae71dbeeb0}" ma:sspId="4ff776a0-f2ac-455d-9889-a581410000f1" ma:termSetId="7eb4e65e-417b-4c63-9676-ecbbffa46ffa" ma:anchorId="00000000-0000-0000-0000-000000000000" ma:open="false" ma:isKeyword="false">
      <xsd:complexType>
        <xsd:sequence>
          <xsd:element ref="pc:Terms" minOccurs="0" maxOccurs="1"/>
        </xsd:sequence>
      </xsd:complexType>
    </xsd:element>
    <xsd:element name="APRASecurityClassification" ma:index="21" nillable="true" ma:displayName="Security classification" ma:default="OFFICIAL: Sensitive" ma:format="Dropdown" ma:internalName="APRASecurityClassification" ma:readOnly="false">
      <xsd:simpleType>
        <xsd:restriction base="dms:Choice">
          <xsd:enumeration value="OFFICIAL"/>
          <xsd:enumeration value="OFFICIAL: Sensitive"/>
          <xsd:enumeration value="OFFICIAL: Sensitive (APRA Act s56)"/>
          <xsd:enumeration value="OFFICIAL: Sensitive (Personal privacy)"/>
          <xsd:enumeration value="OFFICIAL: Sensitive (Legal privilege)"/>
          <xsd:enumeration value="OFFICIAL: Sensitive: NATIONAL CABINET"/>
          <xsd:enumeration value="OFFICIAL: Sensitive: NATIONAL CABINET (APRA Act s56)"/>
          <xsd:enumeration value="OFFICIAL: Sensitive: NATIONAL CABINET (Personal privacy)"/>
          <xsd:enumeration value="OFFICIAL: Sensitive: NATIONAL CABINET (Legal privilege)"/>
          <xsd:enumeration value="PROTECTED"/>
          <xsd:enumeration value="PROTECTED (APRA Act s56)"/>
          <xsd:enumeration value="PROTECTED (Personal privacy)"/>
          <xsd:enumeration value="PROTECTED (Legal privilege)"/>
          <xsd:enumeration value="PROTECTED: CABINET"/>
          <xsd:enumeration value="PROTECTED: CABINET (APRA Act s56)"/>
          <xsd:enumeration value="PROTECTED: CABINET (Personal privacy)"/>
          <xsd:enumeration value="PROTECTED: CABINET (Legal privilege)"/>
          <xsd:enumeration value="PROTECTED: NATIONAL CABINET"/>
          <xsd:enumeration value="PROTECTED: NATIONAL CABINET (APRA Act s56)"/>
          <xsd:enumeration value="PROTECTED: NATIONAL CABINET (Personal privacy)"/>
          <xsd:enumeration value="PROTECTED: NATIONAL CABINET (Legal privilege)"/>
          <xsd:enumeration value="UNCLASSIFIED"/>
          <xsd:enumeration value="DLM: For Official Use Only"/>
          <xsd:enumeration value="DLM: Sensitive"/>
          <xsd:enumeration value="DLM: Sensitive: Legal"/>
          <xsd:enumeration value="DLM: Sensitive: Personal"/>
          <xsd:enumeration value="PROTECTED: Sensitive: Cabinet"/>
          <xsd:enumeration value="UNOFFICIAL"/>
        </xsd:restriction>
      </xsd:simple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4148c6b-f494-43bd-afec-4c4bbfd3890b"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k4bcc0d734474fea9fb713d9c415b4b0 xmlns="92a8a7e8-49a1-4017-acf0-0edc7cce208b">
      <Terms xmlns="http://schemas.microsoft.com/office/infopath/2007/PartnerControls"/>
    </k4bcc0d734474fea9fb713d9c415b4b0>
    <APRASecurityClassification xmlns="92a8a7e8-49a1-4017-acf0-0edc7cce208b">OFFICIAL: Sensitive</APRASecurityClassification>
    <i05115a133414b4dabee2531e4b46b67 xmlns="92a8a7e8-49a1-4017-acf0-0edc7cce208b">
      <Terms xmlns="http://schemas.microsoft.com/office/infopath/2007/PartnerControls">
        <TermInfo xmlns="http://schemas.microsoft.com/office/infopath/2007/PartnerControls">
          <TermName xmlns="http://schemas.microsoft.com/office/infopath/2007/PartnerControls">Legal</TermName>
          <TermId xmlns="http://schemas.microsoft.com/office/infopath/2007/PartnerControls">b42a91f5-fceb-4fbb-955b-19409a9e4079</TermId>
        </TermInfo>
      </Terms>
    </i05115a133414b4dabee2531e4b46b67>
    <h67caa35a4114acd8e15fe89b3f29f9e xmlns="92a8a7e8-49a1-4017-acf0-0edc7cce208b">
      <Terms xmlns="http://schemas.microsoft.com/office/infopath/2007/PartnerControls">
        <TermInfo xmlns="http://schemas.microsoft.com/office/infopath/2007/PartnerControls">
          <TermName xmlns="http://schemas.microsoft.com/office/infopath/2007/PartnerControls">Legal instrument</TermName>
          <TermId xmlns="http://schemas.microsoft.com/office/infopath/2007/PartnerControls">71fd6ed3-d6d6-4975-ba99-bfe45802e734</TermId>
        </TermInfo>
      </Terms>
    </h67caa35a4114acd8e15fe89b3f29f9e>
    <l003ee8eff60461aa1bd0027aba92ea4 xmlns="92a8a7e8-49a1-4017-acf0-0edc7cce208b">
      <Terms xmlns="http://schemas.microsoft.com/office/infopath/2007/PartnerControls">
        <TermInfo xmlns="http://schemas.microsoft.com/office/infopath/2007/PartnerControls">
          <TermName xmlns="http://schemas.microsoft.com/office/infopath/2007/PartnerControls">ADI</TermName>
          <TermId xmlns="http://schemas.microsoft.com/office/infopath/2007/PartnerControls">906b8d6f-8851-e311-9e2e-005056b54f10</TermId>
        </TermInfo>
      </Terms>
    </l003ee8eff60461aa1bd0027aba92ea4>
    <_ExtendedDescription xmlns="http://schemas.microsoft.com/sharepoint/v3" xsi:nil="true"/>
    <TaxCatchAll xmlns="92a8a7e8-49a1-4017-acf0-0edc7cce208b">
      <Value>20</Value>
      <Value>12</Value>
      <Value>15</Value>
      <Value>197</Value>
      <Value>28</Value>
    </TaxCatchAll>
    <j163382b748246d3b6e7caae71dbeeb0 xmlns="92a8a7e8-49a1-4017-acf0-0edc7cce208b">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0e1556d2-3fe8-443a-ada7-3620563b46b3</TermId>
        </TermInfo>
      </Terms>
    </j163382b748246d3b6e7caae71dbeeb0>
    <b37d8d7e823543f58f89056343a9035c xmlns="92a8a7e8-49a1-4017-acf0-0edc7cce208b">
      <Terms xmlns="http://schemas.microsoft.com/office/infopath/2007/PartnerControls">
        <TermInfo xmlns="http://schemas.microsoft.com/office/infopath/2007/PartnerControls">
          <TermName xmlns="http://schemas.microsoft.com/office/infopath/2007/PartnerControls">Banking Act 1959</TermName>
          <TermId xmlns="http://schemas.microsoft.com/office/infopath/2007/PartnerControls">c9b951c8-0856-4021-9498-b6928b31a39e</TermId>
        </TermInfo>
      </Terms>
    </b37d8d7e823543f58f89056343a9035c>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1FEA56-11E0-4720-81D3-E5ACD0D02FAD}">
  <ds:schemaRefs>
    <ds:schemaRef ds:uri="http://schemas.microsoft.com/sharepoint/v3/contenttype/forms"/>
  </ds:schemaRefs>
</ds:datastoreItem>
</file>

<file path=customXml/itemProps2.xml><?xml version="1.0" encoding="utf-8"?>
<ds:datastoreItem xmlns:ds="http://schemas.openxmlformats.org/officeDocument/2006/customXml" ds:itemID="{09EA06EB-14E7-4B0E-BB5C-F216E6EB39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2a8a7e8-49a1-4017-acf0-0edc7cce208b"/>
    <ds:schemaRef ds:uri="f4148c6b-f494-43bd-afec-4c4bbfd389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66208C-89EA-450E-BA15-444249069C72}">
  <ds:schemaRefs>
    <ds:schemaRef ds:uri="http://purl.org/dc/terms/"/>
    <ds:schemaRef ds:uri="http://schemas.microsoft.com/office/2006/documentManagement/types"/>
    <ds:schemaRef ds:uri="http://schemas.microsoft.com/office/2006/metadata/properties"/>
    <ds:schemaRef ds:uri="http://schemas.microsoft.com/office/infopath/2007/PartnerControls"/>
    <ds:schemaRef ds:uri="http://purl.org/dc/dcmitype/"/>
    <ds:schemaRef ds:uri="http://purl.org/dc/elements/1.1/"/>
    <ds:schemaRef ds:uri="79530295-9eea-494d-b82a-9ff74409eafc"/>
    <ds:schemaRef ds:uri="http://www.w3.org/XML/1998/namespace"/>
    <ds:schemaRef ds:uri="5664482d-1961-4d38-bfc2-b109b3418834"/>
    <ds:schemaRef ds:uri="http://schemas.openxmlformats.org/package/2006/metadata/core-properties"/>
    <ds:schemaRef ds:uri="92a8a7e8-49a1-4017-acf0-0edc7cce208b"/>
    <ds:schemaRef ds:uri="http://schemas.microsoft.com/sharepoint/v3"/>
  </ds:schemaRefs>
</ds:datastoreItem>
</file>

<file path=customXml/itemProps4.xml><?xml version="1.0" encoding="utf-8"?>
<ds:datastoreItem xmlns:ds="http://schemas.openxmlformats.org/officeDocument/2006/customXml" ds:itemID="{F4C87FDD-0D6C-496D-8407-2DFEE311B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429</Words>
  <Characters>2392</Characters>
  <Application>Microsoft Office Word</Application>
  <DocSecurity>0</DocSecurity>
  <Lines>62</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Shum, Letitia</dc:creator>
  <cp:keywords>[SEC=OFFICIAL]</cp:keywords>
  <dc:description/>
  <cp:lastModifiedBy>Toni Michalis</cp:lastModifiedBy>
  <cp:revision>7</cp:revision>
  <cp:lastPrinted>2014-02-02T12:10:00Z</cp:lastPrinted>
  <dcterms:created xsi:type="dcterms:W3CDTF">2024-08-30T07:11:00Z</dcterms:created>
  <dcterms:modified xsi:type="dcterms:W3CDTF">2024-08-30T07:30:00Z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Value_Footer">
    <vt:lpwstr>OFFICIAL</vt:lpwstr>
  </property>
  <property fmtid="{D5CDD505-2E9C-101B-9397-08002B2CF9AE}" pid="3" name="PM_Caveats_Count">
    <vt:lpwstr>0</vt:lpwstr>
  </property>
  <property fmtid="{D5CDD505-2E9C-101B-9397-08002B2CF9AE}" pid="4" name="PM_SecurityClassification">
    <vt:lpwstr>OFFICIAL</vt:lpwstr>
  </property>
  <property fmtid="{D5CDD505-2E9C-101B-9397-08002B2CF9AE}" pid="5" name="PM_DisplayValueSecClassificationWithQualifier">
    <vt:lpwstr>OFFICIAL</vt:lpwstr>
  </property>
  <property fmtid="{D5CDD505-2E9C-101B-9397-08002B2CF9AE}" pid="6" name="PM_Qualifier">
    <vt:lpwstr/>
  </property>
  <property fmtid="{D5CDD505-2E9C-101B-9397-08002B2CF9AE}" pid="7" name="PM_ProtectiveMarkingImage_Header">
    <vt:lpwstr>C:\Program Files\Common Files\janusNET Shared\janusSEAL\Images\DocumentSlashBlue.png</vt:lpwstr>
  </property>
  <property fmtid="{D5CDD505-2E9C-101B-9397-08002B2CF9AE}" pid="8" name="PM_InsertionValue">
    <vt:lpwstr>OFFICIAL</vt:lpwstr>
  </property>
  <property fmtid="{D5CDD505-2E9C-101B-9397-08002B2CF9AE}" pid="9" name="PM_ProtectiveMarkingValue_Header">
    <vt:lpwstr>OFFICIAL</vt:lpwstr>
  </property>
  <property fmtid="{D5CDD505-2E9C-101B-9397-08002B2CF9AE}" pid="10" name="PM_ProtectiveMarkingImage_Footer">
    <vt:lpwstr>C:\Program Files\Common Files\janusNET Shared\janusSEAL\Images\DocumentSlashBlue.png</vt:lpwstr>
  </property>
  <property fmtid="{D5CDD505-2E9C-101B-9397-08002B2CF9AE}" pid="11" name="PM_Namespace">
    <vt:lpwstr>gov.au</vt:lpwstr>
  </property>
  <property fmtid="{D5CDD505-2E9C-101B-9397-08002B2CF9AE}" pid="12" name="PM_Version">
    <vt:lpwstr>2018.3</vt:lpwstr>
  </property>
  <property fmtid="{D5CDD505-2E9C-101B-9397-08002B2CF9AE}" pid="13" name="PM_Originating_FileId">
    <vt:lpwstr>56DC6E77CD4F4834B5BB56F27AB56C5C</vt:lpwstr>
  </property>
  <property fmtid="{D5CDD505-2E9C-101B-9397-08002B2CF9AE}" pid="14" name="PM_Note">
    <vt:lpwstr/>
  </property>
  <property fmtid="{D5CDD505-2E9C-101B-9397-08002B2CF9AE}" pid="15" name="PM_Markers">
    <vt:lpwstr/>
  </property>
  <property fmtid="{D5CDD505-2E9C-101B-9397-08002B2CF9AE}" pid="16" name="PM_OriginationTimeStamp">
    <vt:lpwstr>2023-01-10T03:04:14Z</vt:lpwstr>
  </property>
  <property fmtid="{D5CDD505-2E9C-101B-9397-08002B2CF9AE}" pid="17" name="PM_Hash_Version">
    <vt:lpwstr>2022.1</vt:lpwstr>
  </property>
  <property fmtid="{D5CDD505-2E9C-101B-9397-08002B2CF9AE}" pid="18" name="PM_SecurityClassification_Prev">
    <vt:lpwstr>OFFICIAL</vt:lpwstr>
  </property>
  <property fmtid="{D5CDD505-2E9C-101B-9397-08002B2CF9AE}" pid="19" name="PM_Qualifier_Prev">
    <vt:lpwstr/>
  </property>
  <property fmtid="{D5CDD505-2E9C-101B-9397-08002B2CF9AE}" pid="20" name="ContentTypeId">
    <vt:lpwstr>0x01010080D163DB4DEE504FAB457909715FEC45</vt:lpwstr>
  </property>
  <property fmtid="{D5CDD505-2E9C-101B-9397-08002B2CF9AE}" pid="21" name="APRAStatus">
    <vt:lpwstr>28;#Draft|0e1556d2-3fe8-443a-ada7-3620563b46b3</vt:lpwstr>
  </property>
  <property fmtid="{D5CDD505-2E9C-101B-9397-08002B2CF9AE}" pid="22" name="APRADocumentType">
    <vt:lpwstr>197;#Legal instrument|71fd6ed3-d6d6-4975-ba99-bfe45802e734</vt:lpwstr>
  </property>
  <property fmtid="{D5CDD505-2E9C-101B-9397-08002B2CF9AE}" pid="23" name="_dlc_DocIdItemGuid">
    <vt:lpwstr>5e9b3c3b-b160-44d2-9322-ab12114a0e6d</vt:lpwstr>
  </property>
  <property fmtid="{D5CDD505-2E9C-101B-9397-08002B2CF9AE}" pid="24" name="IsLocked">
    <vt:lpwstr>Yes</vt:lpwstr>
  </property>
  <property fmtid="{D5CDD505-2E9C-101B-9397-08002B2CF9AE}" pid="25" name="RecordPoint_WorkflowType">
    <vt:lpwstr>ActiveSubmitStub</vt:lpwstr>
  </property>
  <property fmtid="{D5CDD505-2E9C-101B-9397-08002B2CF9AE}" pid="26" name="RecordPoint_ActiveItemWebId">
    <vt:lpwstr>{75a71c27-8d66-4282-ae60-1bfc22a83be1}</vt:lpwstr>
  </property>
  <property fmtid="{D5CDD505-2E9C-101B-9397-08002B2CF9AE}" pid="27" name="RecordPoint_ActiveItemSiteId">
    <vt:lpwstr>{88691c01-5bbb-4215-adc0-66cb7065b0af}</vt:lpwstr>
  </property>
  <property fmtid="{D5CDD505-2E9C-101B-9397-08002B2CF9AE}" pid="28" name="RecordPoint_ActiveItemListId">
    <vt:lpwstr>{82da8866-0ec7-4084-a9c1-7964ff0daab3}</vt:lpwstr>
  </property>
  <property fmtid="{D5CDD505-2E9C-101B-9397-08002B2CF9AE}" pid="29" name="RecordPoint_ActiveItemUniqueId">
    <vt:lpwstr>{40bc75f2-e645-48e7-a7c2-946916023a0a}</vt:lpwstr>
  </property>
  <property fmtid="{D5CDD505-2E9C-101B-9397-08002B2CF9AE}" pid="30" name="RecordPoint_RecordNumberSubmitted">
    <vt:lpwstr/>
  </property>
  <property fmtid="{D5CDD505-2E9C-101B-9397-08002B2CF9AE}" pid="31" name="RecordPoint_SubmissionCompleted">
    <vt:lpwstr/>
  </property>
  <property fmtid="{D5CDD505-2E9C-101B-9397-08002B2CF9AE}" pid="32" name="APRATemplateType">
    <vt:lpwstr>338;#Legal Instruments - Banking Act|66d1e8b3-2280-4424-a918-1df8384715b0</vt:lpwstr>
  </property>
  <property fmtid="{D5CDD505-2E9C-101B-9397-08002B2CF9AE}" pid="33" name="PM_Display">
    <vt:lpwstr>OFFICIAL</vt:lpwstr>
  </property>
  <property fmtid="{D5CDD505-2E9C-101B-9397-08002B2CF9AE}" pid="34" name="PMUuid">
    <vt:lpwstr>v=2022.2;d=gov.au;g=46DD6D7C-8107-577B-BC6E-F348953B2E44</vt:lpwstr>
  </property>
  <property fmtid="{D5CDD505-2E9C-101B-9397-08002B2CF9AE}" pid="35" name="PM_OriginatorDomainName_SHA256">
    <vt:lpwstr>ECBDE2B44A971754412B3FB70606937A119CC0D4B6C1B658A40FBD41C30BE3EC</vt:lpwstr>
  </property>
  <property fmtid="{D5CDD505-2E9C-101B-9397-08002B2CF9AE}" pid="36" name="RecordPoint_SubmissionDate">
    <vt:lpwstr/>
  </property>
  <property fmtid="{D5CDD505-2E9C-101B-9397-08002B2CF9AE}" pid="37" name="RecordPoint_ActiveItemMoved">
    <vt:lpwstr/>
  </property>
  <property fmtid="{D5CDD505-2E9C-101B-9397-08002B2CF9AE}" pid="38" name="RecordPoint_RecordFormat">
    <vt:lpwstr/>
  </property>
  <property fmtid="{D5CDD505-2E9C-101B-9397-08002B2CF9AE}" pid="39" name="WorkflowChangePath">
    <vt:lpwstr>c9c18eda-a448-413f-af6c-a8e48b3d3d85,88;c9c18eda-a448-413f-af6c-a8e48b3d3d85,90;c9c18eda-a448-413f-af6c-a8e48b3d3d85,92;c9c18eda-a448-413f-af6c-a8e48b3d3d85,93;</vt:lpwstr>
  </property>
  <property fmtid="{D5CDD505-2E9C-101B-9397-08002B2CF9AE}" pid="40" name="Order">
    <vt:r8>1085000</vt:r8>
  </property>
  <property fmtid="{D5CDD505-2E9C-101B-9397-08002B2CF9AE}" pid="41" name="APRACostCentre">
    <vt:lpwstr>374;#Legal - ADI|652d8d2a-ab45-47b4-ac6e-fe6ac9299b39</vt:lpwstr>
  </property>
  <property fmtid="{D5CDD505-2E9C-101B-9397-08002B2CF9AE}" pid="42" name="APRAPRSG">
    <vt:lpwstr/>
  </property>
  <property fmtid="{D5CDD505-2E9C-101B-9397-08002B2CF9AE}" pid="43" name="APRAActivity">
    <vt:lpwstr>12;#Legal|b42a91f5-fceb-4fbb-955b-19409a9e4079</vt:lpwstr>
  </property>
  <property fmtid="{D5CDD505-2E9C-101B-9397-08002B2CF9AE}" pid="44" name="APRAYear">
    <vt:lpwstr>373;#2022|c15887ee-fc3e-4879-bd3d-5a13724ac42c</vt:lpwstr>
  </property>
  <property fmtid="{D5CDD505-2E9C-101B-9397-08002B2CF9AE}" pid="45" name="APRAIndustry">
    <vt:lpwstr>15;#ADI|906b8d6f-8851-e311-9e2e-005056b54f10</vt:lpwstr>
  </property>
  <property fmtid="{D5CDD505-2E9C-101B-9397-08002B2CF9AE}" pid="46" name="APRAPeriod">
    <vt:lpwstr/>
  </property>
  <property fmtid="{D5CDD505-2E9C-101B-9397-08002B2CF9AE}" pid="47" name="APRACategory">
    <vt:lpwstr/>
  </property>
  <property fmtid="{D5CDD505-2E9C-101B-9397-08002B2CF9AE}" pid="48" name="APRAEntityAdviceSupport">
    <vt:lpwstr/>
  </property>
  <property fmtid="{D5CDD505-2E9C-101B-9397-08002B2CF9AE}" pid="49" name="APRALegislation">
    <vt:lpwstr>20;#Banking Act 1959|c9b951c8-0856-4021-9498-b6928b31a39e</vt:lpwstr>
  </property>
  <property fmtid="{D5CDD505-2E9C-101B-9397-08002B2CF9AE}" pid="50" name="APRAExternalOrganisation">
    <vt:lpwstr/>
  </property>
  <property fmtid="{D5CDD505-2E9C-101B-9397-08002B2CF9AE}" pid="51" name="APRAIRTR">
    <vt:lpwstr/>
  </property>
  <property fmtid="{D5CDD505-2E9C-101B-9397-08002B2CF9AE}" pid="52" name="IT system type">
    <vt:lpwstr/>
  </property>
  <property fmtid="{D5CDD505-2E9C-101B-9397-08002B2CF9AE}" pid="53" name="pd5eb3932cdc44769efe1cf62794c8b4">
    <vt:lpwstr>Banking Act 1959|c9b951c8-0856-4021-9498-b6928b31a39e</vt:lpwstr>
  </property>
  <property fmtid="{D5CDD505-2E9C-101B-9397-08002B2CF9AE}" pid="54" name="p10c80fc2da942ae8f2ea9b33b6ea0ba">
    <vt:lpwstr>Legal - ADI|652d8d2a-ab45-47b4-ac6e-fe6ac9299b39</vt:lpwstr>
  </property>
  <property fmtid="{D5CDD505-2E9C-101B-9397-08002B2CF9AE}" pid="55" name="i08e72d8ce2b4ffa9361f9f4e0a63abc">
    <vt:lpwstr>2022|c15887ee-fc3e-4879-bd3d-5a13724ac42c</vt:lpwstr>
  </property>
  <property fmtid="{D5CDD505-2E9C-101B-9397-08002B2CF9AE}" pid="56" name="i05115a133414b4dabee2531e4b46b67">
    <vt:lpwstr>Legal|b42a91f5-fceb-4fbb-955b-19409a9e4079</vt:lpwstr>
  </property>
  <property fmtid="{D5CDD505-2E9C-101B-9397-08002B2CF9AE}" pid="57" name="b37d8d7e823543f58f89056343a9035c">
    <vt:lpwstr>Banking Act 1959|c9b951c8-0856-4021-9498-b6928b31a39e</vt:lpwstr>
  </property>
  <property fmtid="{D5CDD505-2E9C-101B-9397-08002B2CF9AE}" pid="58" name="ka2715b9eb154114a4f57d7fbf82ec75">
    <vt:lpwstr/>
  </property>
  <property fmtid="{D5CDD505-2E9C-101B-9397-08002B2CF9AE}" pid="59" name="pa005173035e41c3986b37b8e650f3ef">
    <vt:lpwstr/>
  </property>
  <property fmtid="{D5CDD505-2E9C-101B-9397-08002B2CF9AE}" pid="60" name="k4bcc0d734474fea9fb713d9c415b4b0">
    <vt:lpwstr/>
  </property>
  <property fmtid="{D5CDD505-2E9C-101B-9397-08002B2CF9AE}" pid="61" name="j724204a644741eb9f777fcb03fe8840">
    <vt:lpwstr/>
  </property>
  <property fmtid="{D5CDD505-2E9C-101B-9397-08002B2CF9AE}" pid="62" name="aa36a5a650d54f768f171f4d17b8b238">
    <vt:lpwstr/>
  </property>
  <property fmtid="{D5CDD505-2E9C-101B-9397-08002B2CF9AE}" pid="63" name="d9a849fd1b8e46ada0321eb0681a10ee">
    <vt:lpwstr/>
  </property>
  <property fmtid="{D5CDD505-2E9C-101B-9397-08002B2CF9AE}" pid="64" name="ic4067bd02f14cf3a95ad35878404a71">
    <vt:lpwstr/>
  </property>
  <property fmtid="{D5CDD505-2E9C-101B-9397-08002B2CF9AE}" pid="65" name="MSIP_Label_c0129afb-6481-4f92-bc9f-5a4a6346364d_SetDate">
    <vt:lpwstr>2023-01-10T03:04:14Z</vt:lpwstr>
  </property>
  <property fmtid="{D5CDD505-2E9C-101B-9397-08002B2CF9AE}" pid="66" name="MSIP_Label_c0129afb-6481-4f92-bc9f-5a4a6346364d_Name">
    <vt:lpwstr>OFFICIAL</vt:lpwstr>
  </property>
  <property fmtid="{D5CDD505-2E9C-101B-9397-08002B2CF9AE}" pid="67" name="MSIP_Label_c0129afb-6481-4f92-bc9f-5a4a6346364d_SiteId">
    <vt:lpwstr>c05e3ffd-b491-4431-9809-e61d4dc78816</vt:lpwstr>
  </property>
  <property fmtid="{D5CDD505-2E9C-101B-9397-08002B2CF9AE}" pid="68" name="MSIP_Label_c0129afb-6481-4f92-bc9f-5a4a6346364d_Enabled">
    <vt:lpwstr>true</vt:lpwstr>
  </property>
  <property fmtid="{D5CDD505-2E9C-101B-9397-08002B2CF9AE}" pid="69" name="MSIP_Label_c0129afb-6481-4f92-bc9f-5a4a6346364d_Method">
    <vt:lpwstr>Privileged</vt:lpwstr>
  </property>
  <property fmtid="{D5CDD505-2E9C-101B-9397-08002B2CF9AE}" pid="70" name="MSIP_Label_c0129afb-6481-4f92-bc9f-5a4a6346364d_ContentBits">
    <vt:lpwstr>0</vt:lpwstr>
  </property>
  <property fmtid="{D5CDD505-2E9C-101B-9397-08002B2CF9AE}" pid="71" name="Delegate">
    <vt:lpwstr/>
  </property>
  <property fmtid="{D5CDD505-2E9C-101B-9397-08002B2CF9AE}" pid="72" name="ga29a0036bd848f3be04e8a72e0ff975">
    <vt:lpwstr>Draft|0e1556d2-3fe8-443a-ada7-3620563b46b3</vt:lpwstr>
  </property>
  <property fmtid="{D5CDD505-2E9C-101B-9397-08002B2CF9AE}" pid="73" name="jd7c79d217dc479b911f3961464794aa">
    <vt:lpwstr>Banking Act 1959|c9b951c8-0856-4021-9498-b6928b31a39e</vt:lpwstr>
  </property>
  <property fmtid="{D5CDD505-2E9C-101B-9397-08002B2CF9AE}" pid="74" name="Approved By">
    <vt:lpwstr/>
  </property>
  <property fmtid="{D5CDD505-2E9C-101B-9397-08002B2CF9AE}" pid="75" name="APRAStaff">
    <vt:lpwstr/>
  </property>
  <property fmtid="{D5CDD505-2E9C-101B-9397-08002B2CF9AE}" pid="76" name="Owner">
    <vt:lpwstr/>
  </property>
  <property fmtid="{D5CDD505-2E9C-101B-9397-08002B2CF9AE}" pid="77" name="Reviewer">
    <vt:lpwstr/>
  </property>
  <property fmtid="{D5CDD505-2E9C-101B-9397-08002B2CF9AE}" pid="78" name="TaxCatchAll">
    <vt:lpwstr>28;#;#40;#</vt:lpwstr>
  </property>
  <property fmtid="{D5CDD505-2E9C-101B-9397-08002B2CF9AE}" pid="79" name="APRAToBeGazetted">
    <vt:bool>false</vt:bool>
  </property>
  <property fmtid="{D5CDD505-2E9C-101B-9397-08002B2CF9AE}" pid="80" name="ApprovedBy">
    <vt:lpwstr/>
  </property>
  <property fmtid="{D5CDD505-2E9C-101B-9397-08002B2CF9AE}" pid="81" name="LinkToDocumentPack">
    <vt:lpwstr>, </vt:lpwstr>
  </property>
  <property fmtid="{D5CDD505-2E9C-101B-9397-08002B2CF9AE}" pid="82" name="Security classification">
    <vt:lpwstr>OFFICIAL: Sensitive (Legal privilege)</vt:lpwstr>
  </property>
  <property fmtid="{D5CDD505-2E9C-101B-9397-08002B2CF9AE}" pid="83" name="APRANotifyRegistrar">
    <vt:bool>false</vt:bool>
  </property>
  <property fmtid="{D5CDD505-2E9C-101B-9397-08002B2CF9AE}" pid="84" name="APRAReviewer">
    <vt:lpwstr/>
  </property>
  <property fmtid="{D5CDD505-2E9C-101B-9397-08002B2CF9AE}" pid="85" name="Peer Reviewer">
    <vt:lpwstr/>
  </property>
  <property fmtid="{D5CDD505-2E9C-101B-9397-08002B2CF9AE}" pid="86" name="APRADelegate">
    <vt:lpwstr/>
  </property>
  <property fmtid="{D5CDD505-2E9C-101B-9397-08002B2CF9AE}" pid="87" name="APRAPeerReviewer">
    <vt:lpwstr/>
  </property>
  <property fmtid="{D5CDD505-2E9C-101B-9397-08002B2CF9AE}" pid="88" name="xd_ProgID">
    <vt:lpwstr/>
  </property>
  <property fmtid="{D5CDD505-2E9C-101B-9397-08002B2CF9AE}" pid="89" name="ComplianceAssetId">
    <vt:lpwstr/>
  </property>
  <property fmtid="{D5CDD505-2E9C-101B-9397-08002B2CF9AE}" pid="90" name="TemplateUrl">
    <vt:lpwstr/>
  </property>
  <property fmtid="{D5CDD505-2E9C-101B-9397-08002B2CF9AE}" pid="91" name="xd_Signature">
    <vt:bool>false</vt:bool>
  </property>
  <property fmtid="{D5CDD505-2E9C-101B-9397-08002B2CF9AE}" pid="92" name="TriggerFlowInfo">
    <vt:lpwstr/>
  </property>
  <property fmtid="{D5CDD505-2E9C-101B-9397-08002B2CF9AE}" pid="93" name="APRALIAct">
    <vt:lpwstr>5;#Banking Act 1959|0408896b-ded7-4d03-96a0-d0d02ffca05f</vt:lpwstr>
  </property>
  <property fmtid="{D5CDD505-2E9C-101B-9397-08002B2CF9AE}" pid="94" name="MediaServiceImageTags">
    <vt:lpwstr/>
  </property>
  <property fmtid="{D5CDD505-2E9C-101B-9397-08002B2CF9AE}" pid="95" name="PM_Hash_Salt_Prev">
    <vt:lpwstr>5D14268951982BBF98DAD7095354C8C0</vt:lpwstr>
  </property>
  <property fmtid="{D5CDD505-2E9C-101B-9397-08002B2CF9AE}" pid="96" name="PM_Originator_Hash_SHA1">
    <vt:lpwstr>C3AD57350F36D8E1BD75F8F67CB06D435C9C43CA</vt:lpwstr>
  </property>
  <property fmtid="{D5CDD505-2E9C-101B-9397-08002B2CF9AE}" pid="97" name="PM_Hash_SHA1">
    <vt:lpwstr>ABC2F6D1037DB3D08AB86D1F3CDAFEF4D7C7408A</vt:lpwstr>
  </property>
  <property fmtid="{D5CDD505-2E9C-101B-9397-08002B2CF9AE}" pid="98" name="PM_Hash_Salt">
    <vt:lpwstr>97CEFC6B8DBB16B47424F734CDCAC075</vt:lpwstr>
  </property>
  <property fmtid="{D5CDD505-2E9C-101B-9397-08002B2CF9AE}" pid="99" name="PM_OriginatorUserAccountName_SHA256">
    <vt:lpwstr>6E3018F28A186D2E5FF5207C041E7A82E907C3008E071057026A53705873B72E</vt:lpwstr>
  </property>
  <property fmtid="{D5CDD505-2E9C-101B-9397-08002B2CF9AE}" pid="100" name="PMHMAC">
    <vt:lpwstr>v=2022.1;a=SHA256;h=AB71BA832A8525068762066E8F19EE8D4AB98B9B609D96771DEFC9F11E073E00</vt:lpwstr>
  </property>
  <property fmtid="{D5CDD505-2E9C-101B-9397-08002B2CF9AE}" pid="101" name="MSIP_Label_c0129afb-6481-4f92-bc9f-5a4a6346364d_ActionId">
    <vt:lpwstr>662cac255db2498aafde30ad25b978d5</vt:lpwstr>
  </property>
</Properties>
</file>