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91F5A" w14:textId="77777777" w:rsidR="00715914" w:rsidRPr="00824B04" w:rsidRDefault="00DA186E" w:rsidP="00B05CF4">
      <w:pPr>
        <w:rPr>
          <w:sz w:val="28"/>
        </w:rPr>
      </w:pPr>
      <w:r w:rsidRPr="00824B04">
        <w:rPr>
          <w:noProof/>
          <w:lang w:eastAsia="en-AU"/>
        </w:rPr>
        <w:drawing>
          <wp:inline distT="0" distB="0" distL="0" distR="0" wp14:anchorId="6254A3FA" wp14:editId="6423A6C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D84B70F" w14:textId="77777777" w:rsidR="00715914" w:rsidRPr="00824B04" w:rsidRDefault="00715914" w:rsidP="00715914">
      <w:pPr>
        <w:rPr>
          <w:sz w:val="19"/>
        </w:rPr>
      </w:pPr>
    </w:p>
    <w:p w14:paraId="076F7B91" w14:textId="77777777" w:rsidR="0013579F" w:rsidRPr="00824B04" w:rsidRDefault="00E53DE0" w:rsidP="0013579F">
      <w:pPr>
        <w:pStyle w:val="ShortT"/>
      </w:pPr>
      <w:r w:rsidRPr="00824B04">
        <w:t xml:space="preserve">Explosives </w:t>
      </w:r>
      <w:r w:rsidR="00B523A5" w:rsidRPr="00824B04">
        <w:t>Regulations 2</w:t>
      </w:r>
      <w:r w:rsidRPr="00824B04">
        <w:t>02</w:t>
      </w:r>
      <w:r w:rsidR="0013579F" w:rsidRPr="00824B04">
        <w:t>4</w:t>
      </w:r>
    </w:p>
    <w:p w14:paraId="5AE4173B" w14:textId="2702733E" w:rsidR="009F4F62" w:rsidRPr="00824B04" w:rsidRDefault="009F4F62" w:rsidP="009F4F62">
      <w:pPr>
        <w:pStyle w:val="SignCoverPageStart"/>
        <w:spacing w:before="240"/>
        <w:rPr>
          <w:szCs w:val="22"/>
        </w:rPr>
      </w:pPr>
      <w:r w:rsidRPr="00824B04">
        <w:rPr>
          <w:szCs w:val="22"/>
        </w:rPr>
        <w:t xml:space="preserve">I, </w:t>
      </w:r>
      <w:r w:rsidR="00F964A1">
        <w:rPr>
          <w:szCs w:val="22"/>
        </w:rPr>
        <w:t xml:space="preserve">the Honourable </w:t>
      </w:r>
      <w:r w:rsidR="00B50DD8" w:rsidRPr="00824B04">
        <w:rPr>
          <w:szCs w:val="22"/>
        </w:rPr>
        <w:t xml:space="preserve">Frances Adamson AC, Administrator </w:t>
      </w:r>
      <w:r w:rsidRPr="00824B04">
        <w:rPr>
          <w:szCs w:val="22"/>
        </w:rPr>
        <w:t>of the Commonwealth of Australia, acting with the advice of the Federal Executive Council, make the following regulations.</w:t>
      </w:r>
    </w:p>
    <w:p w14:paraId="7B5C1D0E" w14:textId="534938E2" w:rsidR="009F4F62" w:rsidRPr="00824B04" w:rsidRDefault="009F4F62" w:rsidP="009F4F62">
      <w:pPr>
        <w:keepNext/>
        <w:spacing w:before="720" w:line="240" w:lineRule="atLeast"/>
        <w:ind w:right="397"/>
        <w:jc w:val="both"/>
        <w:rPr>
          <w:szCs w:val="22"/>
        </w:rPr>
      </w:pPr>
      <w:r w:rsidRPr="00824B04">
        <w:rPr>
          <w:szCs w:val="22"/>
        </w:rPr>
        <w:t xml:space="preserve">Dated </w:t>
      </w:r>
      <w:r w:rsidRPr="00824B04">
        <w:rPr>
          <w:szCs w:val="22"/>
        </w:rPr>
        <w:tab/>
      </w:r>
      <w:r w:rsidRPr="00824B04">
        <w:rPr>
          <w:szCs w:val="22"/>
        </w:rPr>
        <w:tab/>
      </w:r>
      <w:r w:rsidR="00FC348D" w:rsidRPr="00824B04">
        <w:rPr>
          <w:szCs w:val="22"/>
        </w:rPr>
        <w:t xml:space="preserve">29 August </w:t>
      </w:r>
      <w:r w:rsidRPr="00824B04">
        <w:rPr>
          <w:szCs w:val="22"/>
        </w:rPr>
        <w:fldChar w:fldCharType="begin"/>
      </w:r>
      <w:r w:rsidRPr="00824B04">
        <w:rPr>
          <w:szCs w:val="22"/>
        </w:rPr>
        <w:instrText xml:space="preserve"> DOCPROPERTY  DateMade </w:instrText>
      </w:r>
      <w:r w:rsidRPr="00824B04">
        <w:rPr>
          <w:szCs w:val="22"/>
        </w:rPr>
        <w:fldChar w:fldCharType="separate"/>
      </w:r>
      <w:r w:rsidR="00443E66" w:rsidRPr="00824B04">
        <w:rPr>
          <w:szCs w:val="22"/>
        </w:rPr>
        <w:t>2024</w:t>
      </w:r>
      <w:r w:rsidRPr="00824B04">
        <w:rPr>
          <w:szCs w:val="22"/>
        </w:rPr>
        <w:fldChar w:fldCharType="end"/>
      </w:r>
    </w:p>
    <w:p w14:paraId="17D38E23" w14:textId="5909D1B9" w:rsidR="009F4F62" w:rsidRPr="00824B04" w:rsidRDefault="00AD44E0" w:rsidP="009F4F62">
      <w:pPr>
        <w:keepNext/>
        <w:tabs>
          <w:tab w:val="left" w:pos="3402"/>
        </w:tabs>
        <w:spacing w:before="1080" w:line="300" w:lineRule="atLeast"/>
        <w:ind w:left="397" w:right="397"/>
        <w:jc w:val="right"/>
        <w:rPr>
          <w:szCs w:val="22"/>
        </w:rPr>
      </w:pPr>
      <w:r w:rsidRPr="00824B04">
        <w:rPr>
          <w:szCs w:val="22"/>
        </w:rPr>
        <w:t>Frances Adamson AC</w:t>
      </w:r>
    </w:p>
    <w:p w14:paraId="2A00857F" w14:textId="28ABE7C0" w:rsidR="009F4F62" w:rsidRPr="00824B04" w:rsidRDefault="00AD44E0" w:rsidP="009F4F62">
      <w:pPr>
        <w:keepNext/>
        <w:tabs>
          <w:tab w:val="left" w:pos="3402"/>
        </w:tabs>
        <w:spacing w:line="300" w:lineRule="atLeast"/>
        <w:ind w:left="397" w:right="397"/>
        <w:jc w:val="right"/>
        <w:rPr>
          <w:szCs w:val="22"/>
        </w:rPr>
      </w:pPr>
      <w:r w:rsidRPr="00824B04">
        <w:rPr>
          <w:szCs w:val="22"/>
        </w:rPr>
        <w:t>Administrator</w:t>
      </w:r>
    </w:p>
    <w:p w14:paraId="710E1620" w14:textId="77777777" w:rsidR="009F4F62" w:rsidRPr="00824B04" w:rsidRDefault="009F4F62" w:rsidP="009F4F62">
      <w:pPr>
        <w:keepNext/>
        <w:tabs>
          <w:tab w:val="left" w:pos="3402"/>
        </w:tabs>
        <w:spacing w:before="840" w:after="1080" w:line="300" w:lineRule="atLeast"/>
        <w:ind w:right="397"/>
        <w:rPr>
          <w:szCs w:val="22"/>
        </w:rPr>
      </w:pPr>
      <w:r w:rsidRPr="00824B04">
        <w:rPr>
          <w:szCs w:val="22"/>
        </w:rPr>
        <w:t xml:space="preserve">By </w:t>
      </w:r>
      <w:r w:rsidR="006055AF" w:rsidRPr="00824B04">
        <w:rPr>
          <w:szCs w:val="22"/>
        </w:rPr>
        <w:t>Her</w:t>
      </w:r>
      <w:r w:rsidRPr="00824B04">
        <w:rPr>
          <w:szCs w:val="22"/>
        </w:rPr>
        <w:t xml:space="preserve"> Excellency’s Command</w:t>
      </w:r>
    </w:p>
    <w:p w14:paraId="4473C448" w14:textId="77777777" w:rsidR="009F4F62" w:rsidRPr="00824B04" w:rsidRDefault="009F4F62" w:rsidP="009F4F62">
      <w:pPr>
        <w:keepNext/>
        <w:tabs>
          <w:tab w:val="left" w:pos="3402"/>
        </w:tabs>
        <w:spacing w:before="480" w:line="300" w:lineRule="atLeast"/>
        <w:ind w:right="397"/>
        <w:rPr>
          <w:szCs w:val="22"/>
        </w:rPr>
      </w:pPr>
      <w:r w:rsidRPr="00824B04">
        <w:rPr>
          <w:szCs w:val="22"/>
        </w:rPr>
        <w:t xml:space="preserve">Richard </w:t>
      </w:r>
      <w:proofErr w:type="spellStart"/>
      <w:r w:rsidRPr="00824B04">
        <w:rPr>
          <w:szCs w:val="22"/>
        </w:rPr>
        <w:t>Marles</w:t>
      </w:r>
      <w:proofErr w:type="spellEnd"/>
    </w:p>
    <w:p w14:paraId="283DE556" w14:textId="77777777" w:rsidR="009F4F62" w:rsidRPr="00824B04" w:rsidRDefault="009F4F62" w:rsidP="009F4F62">
      <w:pPr>
        <w:pStyle w:val="SignCoverPageEnd"/>
        <w:rPr>
          <w:szCs w:val="22"/>
        </w:rPr>
      </w:pPr>
      <w:r w:rsidRPr="00824B04">
        <w:rPr>
          <w:szCs w:val="22"/>
        </w:rPr>
        <w:t>Minister for Defence</w:t>
      </w:r>
    </w:p>
    <w:p w14:paraId="6993CC49" w14:textId="77777777" w:rsidR="009F4F62" w:rsidRPr="00824B04" w:rsidRDefault="009F4F62" w:rsidP="009F4F62"/>
    <w:p w14:paraId="661107A0" w14:textId="77777777" w:rsidR="009F4F62" w:rsidRPr="00824B04" w:rsidRDefault="009F4F62" w:rsidP="009F4F62"/>
    <w:p w14:paraId="365E6FAD" w14:textId="77777777" w:rsidR="009F4F62" w:rsidRPr="00824B04" w:rsidRDefault="009F4F62" w:rsidP="009F4F62"/>
    <w:p w14:paraId="5FEEFE90" w14:textId="77777777" w:rsidR="00876AFF" w:rsidRPr="00824B04" w:rsidRDefault="00876AFF" w:rsidP="001F741D">
      <w:pPr>
        <w:pStyle w:val="Header"/>
        <w:tabs>
          <w:tab w:val="clear" w:pos="4150"/>
          <w:tab w:val="clear" w:pos="8307"/>
        </w:tabs>
      </w:pPr>
      <w:r w:rsidRPr="00824B04">
        <w:rPr>
          <w:rStyle w:val="CharChapNo"/>
        </w:rPr>
        <w:t xml:space="preserve"> </w:t>
      </w:r>
      <w:r w:rsidRPr="00824B04">
        <w:rPr>
          <w:rStyle w:val="CharChapText"/>
        </w:rPr>
        <w:t xml:space="preserve"> </w:t>
      </w:r>
    </w:p>
    <w:p w14:paraId="6EA8B56C" w14:textId="77777777" w:rsidR="00876AFF" w:rsidRPr="00824B04" w:rsidRDefault="00876AFF" w:rsidP="001F741D">
      <w:pPr>
        <w:pStyle w:val="Header"/>
        <w:tabs>
          <w:tab w:val="clear" w:pos="4150"/>
          <w:tab w:val="clear" w:pos="8307"/>
        </w:tabs>
      </w:pPr>
      <w:r w:rsidRPr="00824B04">
        <w:rPr>
          <w:rStyle w:val="CharPartNo"/>
        </w:rPr>
        <w:t xml:space="preserve"> </w:t>
      </w:r>
      <w:r w:rsidRPr="00824B04">
        <w:rPr>
          <w:rStyle w:val="CharPartText"/>
        </w:rPr>
        <w:t xml:space="preserve"> </w:t>
      </w:r>
    </w:p>
    <w:p w14:paraId="5944EBA4" w14:textId="77777777" w:rsidR="00876AFF" w:rsidRPr="00824B04" w:rsidRDefault="00876AFF" w:rsidP="001F741D">
      <w:pPr>
        <w:pStyle w:val="Header"/>
        <w:tabs>
          <w:tab w:val="clear" w:pos="4150"/>
          <w:tab w:val="clear" w:pos="8307"/>
        </w:tabs>
      </w:pPr>
      <w:r w:rsidRPr="00824B04">
        <w:rPr>
          <w:rStyle w:val="CharDivNo"/>
        </w:rPr>
        <w:t xml:space="preserve"> </w:t>
      </w:r>
      <w:r w:rsidRPr="00824B04">
        <w:rPr>
          <w:rStyle w:val="CharDivText"/>
        </w:rPr>
        <w:t xml:space="preserve"> </w:t>
      </w:r>
    </w:p>
    <w:p w14:paraId="4410D2B6" w14:textId="77777777" w:rsidR="00876AFF" w:rsidRPr="00824B04" w:rsidRDefault="00876AFF" w:rsidP="001F741D">
      <w:pPr>
        <w:sectPr w:rsidR="00876AFF" w:rsidRPr="00824B04" w:rsidSect="003B1A5F">
          <w:headerReference w:type="even" r:id="rId12"/>
          <w:headerReference w:type="default" r:id="rId13"/>
          <w:footerReference w:type="even" r:id="rId14"/>
          <w:footerReference w:type="default" r:id="rId15"/>
          <w:headerReference w:type="first" r:id="rId16"/>
          <w:footerReference w:type="first" r:id="rId17"/>
          <w:pgSz w:w="11907" w:h="16839"/>
          <w:pgMar w:top="2233" w:right="1797" w:bottom="1440" w:left="1797" w:header="720" w:footer="708" w:gutter="0"/>
          <w:cols w:space="708"/>
          <w:docGrid w:linePitch="360"/>
        </w:sectPr>
      </w:pPr>
      <w:bookmarkStart w:id="0" w:name="OPCSB_CoverPageA4"/>
    </w:p>
    <w:bookmarkEnd w:id="0"/>
    <w:p w14:paraId="54706BAE" w14:textId="77777777" w:rsidR="00F67BCA" w:rsidRPr="00824B04" w:rsidRDefault="00715914" w:rsidP="00715914">
      <w:pPr>
        <w:outlineLvl w:val="0"/>
        <w:rPr>
          <w:sz w:val="36"/>
        </w:rPr>
      </w:pPr>
      <w:r w:rsidRPr="00824B04">
        <w:rPr>
          <w:sz w:val="36"/>
        </w:rPr>
        <w:lastRenderedPageBreak/>
        <w:t>Contents</w:t>
      </w:r>
    </w:p>
    <w:p w14:paraId="77DFCAB3" w14:textId="0FA6FDC8" w:rsidR="009E0AF4" w:rsidRPr="00824B04" w:rsidRDefault="009E0AF4">
      <w:pPr>
        <w:pStyle w:val="TOC2"/>
        <w:rPr>
          <w:rFonts w:asciiTheme="minorHAnsi" w:eastAsiaTheme="minorEastAsia" w:hAnsiTheme="minorHAnsi" w:cstheme="minorBidi"/>
          <w:b w:val="0"/>
          <w:noProof/>
          <w:kern w:val="0"/>
          <w:sz w:val="22"/>
          <w:szCs w:val="22"/>
        </w:rPr>
      </w:pPr>
      <w:r w:rsidRPr="00824B04">
        <w:fldChar w:fldCharType="begin"/>
      </w:r>
      <w:r w:rsidRPr="00824B04">
        <w:instrText xml:space="preserve"> TOC \o "1-9" </w:instrText>
      </w:r>
      <w:r w:rsidRPr="00824B04">
        <w:fldChar w:fldCharType="separate"/>
      </w:r>
      <w:r w:rsidRPr="00824B04">
        <w:rPr>
          <w:noProof/>
        </w:rPr>
        <w:t>Part 1—Preliminary</w:t>
      </w:r>
      <w:r w:rsidRPr="00824B04">
        <w:rPr>
          <w:b w:val="0"/>
          <w:noProof/>
          <w:sz w:val="18"/>
        </w:rPr>
        <w:tab/>
      </w:r>
      <w:r w:rsidRPr="00824B04">
        <w:rPr>
          <w:b w:val="0"/>
          <w:noProof/>
          <w:sz w:val="18"/>
        </w:rPr>
        <w:fldChar w:fldCharType="begin"/>
      </w:r>
      <w:r w:rsidRPr="00824B04">
        <w:rPr>
          <w:b w:val="0"/>
          <w:noProof/>
          <w:sz w:val="18"/>
        </w:rPr>
        <w:instrText xml:space="preserve"> PAGEREF _Toc170463314 \h </w:instrText>
      </w:r>
      <w:r w:rsidRPr="00824B04">
        <w:rPr>
          <w:b w:val="0"/>
          <w:noProof/>
          <w:sz w:val="18"/>
        </w:rPr>
      </w:r>
      <w:r w:rsidRPr="00824B04">
        <w:rPr>
          <w:b w:val="0"/>
          <w:noProof/>
          <w:sz w:val="18"/>
        </w:rPr>
        <w:fldChar w:fldCharType="separate"/>
      </w:r>
      <w:r w:rsidR="00443E66" w:rsidRPr="00824B04">
        <w:rPr>
          <w:b w:val="0"/>
          <w:noProof/>
          <w:sz w:val="18"/>
        </w:rPr>
        <w:t>1</w:t>
      </w:r>
      <w:r w:rsidRPr="00824B04">
        <w:rPr>
          <w:b w:val="0"/>
          <w:noProof/>
          <w:sz w:val="18"/>
        </w:rPr>
        <w:fldChar w:fldCharType="end"/>
      </w:r>
    </w:p>
    <w:p w14:paraId="5F7022B9" w14:textId="2686F970" w:rsidR="009E0AF4" w:rsidRPr="00824B04" w:rsidRDefault="009E0AF4">
      <w:pPr>
        <w:pStyle w:val="TOC5"/>
        <w:rPr>
          <w:rFonts w:asciiTheme="minorHAnsi" w:eastAsiaTheme="minorEastAsia" w:hAnsiTheme="minorHAnsi" w:cstheme="minorBidi"/>
          <w:noProof/>
          <w:kern w:val="0"/>
          <w:sz w:val="22"/>
          <w:szCs w:val="22"/>
        </w:rPr>
      </w:pPr>
      <w:r w:rsidRPr="00824B04">
        <w:rPr>
          <w:noProof/>
        </w:rPr>
        <w:t>1</w:t>
      </w:r>
      <w:r w:rsidRPr="00824B04">
        <w:rPr>
          <w:noProof/>
        </w:rPr>
        <w:tab/>
        <w:t>Name</w:t>
      </w:r>
      <w:r w:rsidRPr="00824B04">
        <w:rPr>
          <w:noProof/>
        </w:rPr>
        <w:tab/>
      </w:r>
      <w:r w:rsidRPr="00824B04">
        <w:rPr>
          <w:noProof/>
        </w:rPr>
        <w:fldChar w:fldCharType="begin"/>
      </w:r>
      <w:r w:rsidRPr="00824B04">
        <w:rPr>
          <w:noProof/>
        </w:rPr>
        <w:instrText xml:space="preserve"> PAGEREF _Toc170463315 \h </w:instrText>
      </w:r>
      <w:r w:rsidRPr="00824B04">
        <w:rPr>
          <w:noProof/>
        </w:rPr>
      </w:r>
      <w:r w:rsidRPr="00824B04">
        <w:rPr>
          <w:noProof/>
        </w:rPr>
        <w:fldChar w:fldCharType="separate"/>
      </w:r>
      <w:r w:rsidR="00443E66" w:rsidRPr="00824B04">
        <w:rPr>
          <w:noProof/>
        </w:rPr>
        <w:t>1</w:t>
      </w:r>
      <w:r w:rsidRPr="00824B04">
        <w:rPr>
          <w:noProof/>
        </w:rPr>
        <w:fldChar w:fldCharType="end"/>
      </w:r>
    </w:p>
    <w:p w14:paraId="6BF0EA0C" w14:textId="042D50D8" w:rsidR="009E0AF4" w:rsidRPr="00824B04" w:rsidRDefault="009E0AF4">
      <w:pPr>
        <w:pStyle w:val="TOC5"/>
        <w:rPr>
          <w:rFonts w:asciiTheme="minorHAnsi" w:eastAsiaTheme="minorEastAsia" w:hAnsiTheme="minorHAnsi" w:cstheme="minorBidi"/>
          <w:noProof/>
          <w:kern w:val="0"/>
          <w:sz w:val="22"/>
          <w:szCs w:val="22"/>
        </w:rPr>
      </w:pPr>
      <w:r w:rsidRPr="00824B04">
        <w:rPr>
          <w:noProof/>
        </w:rPr>
        <w:t>2</w:t>
      </w:r>
      <w:r w:rsidRPr="00824B04">
        <w:rPr>
          <w:noProof/>
        </w:rPr>
        <w:tab/>
        <w:t>Commencement</w:t>
      </w:r>
      <w:r w:rsidRPr="00824B04">
        <w:rPr>
          <w:noProof/>
        </w:rPr>
        <w:tab/>
      </w:r>
      <w:r w:rsidRPr="00824B04">
        <w:rPr>
          <w:noProof/>
        </w:rPr>
        <w:fldChar w:fldCharType="begin"/>
      </w:r>
      <w:r w:rsidRPr="00824B04">
        <w:rPr>
          <w:noProof/>
        </w:rPr>
        <w:instrText xml:space="preserve"> PAGEREF _Toc170463316 \h </w:instrText>
      </w:r>
      <w:r w:rsidRPr="00824B04">
        <w:rPr>
          <w:noProof/>
        </w:rPr>
      </w:r>
      <w:r w:rsidRPr="00824B04">
        <w:rPr>
          <w:noProof/>
        </w:rPr>
        <w:fldChar w:fldCharType="separate"/>
      </w:r>
      <w:r w:rsidR="00443E66" w:rsidRPr="00824B04">
        <w:rPr>
          <w:noProof/>
        </w:rPr>
        <w:t>1</w:t>
      </w:r>
      <w:r w:rsidRPr="00824B04">
        <w:rPr>
          <w:noProof/>
        </w:rPr>
        <w:fldChar w:fldCharType="end"/>
      </w:r>
    </w:p>
    <w:p w14:paraId="144FBC35" w14:textId="179488C3" w:rsidR="009E0AF4" w:rsidRPr="00824B04" w:rsidRDefault="009E0AF4">
      <w:pPr>
        <w:pStyle w:val="TOC5"/>
        <w:rPr>
          <w:rFonts w:asciiTheme="minorHAnsi" w:eastAsiaTheme="minorEastAsia" w:hAnsiTheme="minorHAnsi" w:cstheme="minorBidi"/>
          <w:noProof/>
          <w:kern w:val="0"/>
          <w:sz w:val="22"/>
          <w:szCs w:val="22"/>
        </w:rPr>
      </w:pPr>
      <w:r w:rsidRPr="00824B04">
        <w:rPr>
          <w:noProof/>
        </w:rPr>
        <w:t>3</w:t>
      </w:r>
      <w:r w:rsidRPr="00824B04">
        <w:rPr>
          <w:noProof/>
        </w:rPr>
        <w:tab/>
        <w:t>Authority</w:t>
      </w:r>
      <w:r w:rsidRPr="00824B04">
        <w:rPr>
          <w:noProof/>
        </w:rPr>
        <w:tab/>
      </w:r>
      <w:r w:rsidRPr="00824B04">
        <w:rPr>
          <w:noProof/>
        </w:rPr>
        <w:fldChar w:fldCharType="begin"/>
      </w:r>
      <w:r w:rsidRPr="00824B04">
        <w:rPr>
          <w:noProof/>
        </w:rPr>
        <w:instrText xml:space="preserve"> PAGEREF _Toc170463317 \h </w:instrText>
      </w:r>
      <w:r w:rsidRPr="00824B04">
        <w:rPr>
          <w:noProof/>
        </w:rPr>
      </w:r>
      <w:r w:rsidRPr="00824B04">
        <w:rPr>
          <w:noProof/>
        </w:rPr>
        <w:fldChar w:fldCharType="separate"/>
      </w:r>
      <w:r w:rsidR="00443E66" w:rsidRPr="00824B04">
        <w:rPr>
          <w:noProof/>
        </w:rPr>
        <w:t>1</w:t>
      </w:r>
      <w:r w:rsidRPr="00824B04">
        <w:rPr>
          <w:noProof/>
        </w:rPr>
        <w:fldChar w:fldCharType="end"/>
      </w:r>
    </w:p>
    <w:p w14:paraId="51F3FBD1" w14:textId="555FC4BC" w:rsidR="009E0AF4" w:rsidRPr="00824B04" w:rsidRDefault="009E0AF4">
      <w:pPr>
        <w:pStyle w:val="TOC5"/>
        <w:rPr>
          <w:rFonts w:asciiTheme="minorHAnsi" w:eastAsiaTheme="minorEastAsia" w:hAnsiTheme="minorHAnsi" w:cstheme="minorBidi"/>
          <w:noProof/>
          <w:kern w:val="0"/>
          <w:sz w:val="22"/>
          <w:szCs w:val="22"/>
        </w:rPr>
      </w:pPr>
      <w:r w:rsidRPr="00824B04">
        <w:rPr>
          <w:noProof/>
        </w:rPr>
        <w:t>4</w:t>
      </w:r>
      <w:r w:rsidRPr="00824B04">
        <w:rPr>
          <w:noProof/>
        </w:rPr>
        <w:tab/>
        <w:t>Schedule 3</w:t>
      </w:r>
      <w:r w:rsidRPr="00824B04">
        <w:rPr>
          <w:noProof/>
        </w:rPr>
        <w:tab/>
      </w:r>
      <w:r w:rsidRPr="00824B04">
        <w:rPr>
          <w:noProof/>
        </w:rPr>
        <w:fldChar w:fldCharType="begin"/>
      </w:r>
      <w:r w:rsidRPr="00824B04">
        <w:rPr>
          <w:noProof/>
        </w:rPr>
        <w:instrText xml:space="preserve"> PAGEREF _Toc170463318 \h </w:instrText>
      </w:r>
      <w:r w:rsidRPr="00824B04">
        <w:rPr>
          <w:noProof/>
        </w:rPr>
      </w:r>
      <w:r w:rsidRPr="00824B04">
        <w:rPr>
          <w:noProof/>
        </w:rPr>
        <w:fldChar w:fldCharType="separate"/>
      </w:r>
      <w:r w:rsidR="00443E66" w:rsidRPr="00824B04">
        <w:rPr>
          <w:noProof/>
        </w:rPr>
        <w:t>1</w:t>
      </w:r>
      <w:r w:rsidRPr="00824B04">
        <w:rPr>
          <w:noProof/>
        </w:rPr>
        <w:fldChar w:fldCharType="end"/>
      </w:r>
    </w:p>
    <w:p w14:paraId="18107478" w14:textId="0B87F6F0" w:rsidR="009E0AF4" w:rsidRPr="00824B04" w:rsidRDefault="009E0AF4">
      <w:pPr>
        <w:pStyle w:val="TOC5"/>
        <w:rPr>
          <w:rFonts w:asciiTheme="minorHAnsi" w:eastAsiaTheme="minorEastAsia" w:hAnsiTheme="minorHAnsi" w:cstheme="minorBidi"/>
          <w:noProof/>
          <w:kern w:val="0"/>
          <w:sz w:val="22"/>
          <w:szCs w:val="22"/>
        </w:rPr>
      </w:pPr>
      <w:r w:rsidRPr="00824B04">
        <w:rPr>
          <w:noProof/>
        </w:rPr>
        <w:t>5</w:t>
      </w:r>
      <w:r w:rsidRPr="00824B04">
        <w:rPr>
          <w:noProof/>
        </w:rPr>
        <w:tab/>
        <w:t>Definitions</w:t>
      </w:r>
      <w:r w:rsidRPr="00824B04">
        <w:rPr>
          <w:noProof/>
        </w:rPr>
        <w:tab/>
      </w:r>
      <w:r w:rsidRPr="00824B04">
        <w:rPr>
          <w:noProof/>
        </w:rPr>
        <w:fldChar w:fldCharType="begin"/>
      </w:r>
      <w:r w:rsidRPr="00824B04">
        <w:rPr>
          <w:noProof/>
        </w:rPr>
        <w:instrText xml:space="preserve"> PAGEREF _Toc170463319 \h </w:instrText>
      </w:r>
      <w:r w:rsidRPr="00824B04">
        <w:rPr>
          <w:noProof/>
        </w:rPr>
      </w:r>
      <w:r w:rsidRPr="00824B04">
        <w:rPr>
          <w:noProof/>
        </w:rPr>
        <w:fldChar w:fldCharType="separate"/>
      </w:r>
      <w:r w:rsidR="00443E66" w:rsidRPr="00824B04">
        <w:rPr>
          <w:noProof/>
        </w:rPr>
        <w:t>1</w:t>
      </w:r>
      <w:r w:rsidRPr="00824B04">
        <w:rPr>
          <w:noProof/>
        </w:rPr>
        <w:fldChar w:fldCharType="end"/>
      </w:r>
    </w:p>
    <w:p w14:paraId="4A50D684" w14:textId="2CD2FA6A" w:rsidR="009E0AF4" w:rsidRPr="00824B04" w:rsidRDefault="009E0AF4">
      <w:pPr>
        <w:pStyle w:val="TOC5"/>
        <w:rPr>
          <w:rFonts w:asciiTheme="minorHAnsi" w:eastAsiaTheme="minorEastAsia" w:hAnsiTheme="minorHAnsi" w:cstheme="minorBidi"/>
          <w:noProof/>
          <w:kern w:val="0"/>
          <w:sz w:val="22"/>
          <w:szCs w:val="22"/>
        </w:rPr>
      </w:pPr>
      <w:r w:rsidRPr="00824B04">
        <w:rPr>
          <w:noProof/>
        </w:rPr>
        <w:t>6</w:t>
      </w:r>
      <w:r w:rsidRPr="00824B04">
        <w:rPr>
          <w:noProof/>
        </w:rPr>
        <w:tab/>
        <w:t>References in AE Code to Competent Authority</w:t>
      </w:r>
      <w:r w:rsidRPr="00824B04">
        <w:rPr>
          <w:noProof/>
        </w:rPr>
        <w:tab/>
      </w:r>
      <w:r w:rsidRPr="00824B04">
        <w:rPr>
          <w:noProof/>
        </w:rPr>
        <w:fldChar w:fldCharType="begin"/>
      </w:r>
      <w:r w:rsidRPr="00824B04">
        <w:rPr>
          <w:noProof/>
        </w:rPr>
        <w:instrText xml:space="preserve"> PAGEREF _Toc170463320 \h </w:instrText>
      </w:r>
      <w:r w:rsidRPr="00824B04">
        <w:rPr>
          <w:noProof/>
        </w:rPr>
      </w:r>
      <w:r w:rsidRPr="00824B04">
        <w:rPr>
          <w:noProof/>
        </w:rPr>
        <w:fldChar w:fldCharType="separate"/>
      </w:r>
      <w:r w:rsidR="00443E66" w:rsidRPr="00824B04">
        <w:rPr>
          <w:noProof/>
        </w:rPr>
        <w:t>4</w:t>
      </w:r>
      <w:r w:rsidRPr="00824B04">
        <w:rPr>
          <w:noProof/>
        </w:rPr>
        <w:fldChar w:fldCharType="end"/>
      </w:r>
    </w:p>
    <w:p w14:paraId="1A426544" w14:textId="31744BF9" w:rsidR="009E0AF4" w:rsidRPr="00824B04" w:rsidRDefault="009E0AF4">
      <w:pPr>
        <w:pStyle w:val="TOC5"/>
        <w:rPr>
          <w:rFonts w:asciiTheme="minorHAnsi" w:eastAsiaTheme="minorEastAsia" w:hAnsiTheme="minorHAnsi" w:cstheme="minorBidi"/>
          <w:noProof/>
          <w:kern w:val="0"/>
          <w:sz w:val="22"/>
          <w:szCs w:val="22"/>
        </w:rPr>
      </w:pPr>
      <w:r w:rsidRPr="00824B04">
        <w:rPr>
          <w:noProof/>
        </w:rPr>
        <w:t>7</w:t>
      </w:r>
      <w:r w:rsidRPr="00824B04">
        <w:rPr>
          <w:noProof/>
        </w:rPr>
        <w:tab/>
        <w:t>Commonwealth explosives area</w:t>
      </w:r>
      <w:r w:rsidRPr="00824B04">
        <w:rPr>
          <w:noProof/>
        </w:rPr>
        <w:tab/>
      </w:r>
      <w:r w:rsidRPr="00824B04">
        <w:rPr>
          <w:noProof/>
        </w:rPr>
        <w:fldChar w:fldCharType="begin"/>
      </w:r>
      <w:r w:rsidRPr="00824B04">
        <w:rPr>
          <w:noProof/>
        </w:rPr>
        <w:instrText xml:space="preserve"> PAGEREF _Toc170463321 \h </w:instrText>
      </w:r>
      <w:r w:rsidRPr="00824B04">
        <w:rPr>
          <w:noProof/>
        </w:rPr>
      </w:r>
      <w:r w:rsidRPr="00824B04">
        <w:rPr>
          <w:noProof/>
        </w:rPr>
        <w:fldChar w:fldCharType="separate"/>
      </w:r>
      <w:r w:rsidR="00443E66" w:rsidRPr="00824B04">
        <w:rPr>
          <w:noProof/>
        </w:rPr>
        <w:t>4</w:t>
      </w:r>
      <w:r w:rsidRPr="00824B04">
        <w:rPr>
          <w:noProof/>
        </w:rPr>
        <w:fldChar w:fldCharType="end"/>
      </w:r>
    </w:p>
    <w:p w14:paraId="003396FB" w14:textId="10DFB571" w:rsidR="009E0AF4" w:rsidRPr="00824B04" w:rsidRDefault="009E0AF4">
      <w:pPr>
        <w:pStyle w:val="TOC2"/>
        <w:rPr>
          <w:rFonts w:asciiTheme="minorHAnsi" w:eastAsiaTheme="minorEastAsia" w:hAnsiTheme="minorHAnsi" w:cstheme="minorBidi"/>
          <w:b w:val="0"/>
          <w:noProof/>
          <w:kern w:val="0"/>
          <w:sz w:val="22"/>
          <w:szCs w:val="22"/>
        </w:rPr>
      </w:pPr>
      <w:r w:rsidRPr="00824B04">
        <w:rPr>
          <w:noProof/>
        </w:rPr>
        <w:t>Part 2—Handling of explosives</w:t>
      </w:r>
      <w:r w:rsidRPr="00824B04">
        <w:rPr>
          <w:b w:val="0"/>
          <w:noProof/>
          <w:sz w:val="18"/>
        </w:rPr>
        <w:tab/>
      </w:r>
      <w:r w:rsidRPr="00824B04">
        <w:rPr>
          <w:b w:val="0"/>
          <w:noProof/>
          <w:sz w:val="18"/>
        </w:rPr>
        <w:fldChar w:fldCharType="begin"/>
      </w:r>
      <w:r w:rsidRPr="00824B04">
        <w:rPr>
          <w:b w:val="0"/>
          <w:noProof/>
          <w:sz w:val="18"/>
        </w:rPr>
        <w:instrText xml:space="preserve"> PAGEREF _Toc170463322 \h </w:instrText>
      </w:r>
      <w:r w:rsidRPr="00824B04">
        <w:rPr>
          <w:b w:val="0"/>
          <w:noProof/>
          <w:sz w:val="18"/>
        </w:rPr>
      </w:r>
      <w:r w:rsidRPr="00824B04">
        <w:rPr>
          <w:b w:val="0"/>
          <w:noProof/>
          <w:sz w:val="18"/>
        </w:rPr>
        <w:fldChar w:fldCharType="separate"/>
      </w:r>
      <w:r w:rsidR="00443E66" w:rsidRPr="00824B04">
        <w:rPr>
          <w:b w:val="0"/>
          <w:noProof/>
          <w:sz w:val="18"/>
        </w:rPr>
        <w:t>5</w:t>
      </w:r>
      <w:r w:rsidRPr="00824B04">
        <w:rPr>
          <w:b w:val="0"/>
          <w:noProof/>
          <w:sz w:val="18"/>
        </w:rPr>
        <w:fldChar w:fldCharType="end"/>
      </w:r>
    </w:p>
    <w:p w14:paraId="5633D447" w14:textId="515BDF81"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1—Preliminary</w:t>
      </w:r>
      <w:r w:rsidRPr="00824B04">
        <w:rPr>
          <w:b w:val="0"/>
          <w:noProof/>
          <w:sz w:val="18"/>
        </w:rPr>
        <w:tab/>
      </w:r>
      <w:r w:rsidRPr="00824B04">
        <w:rPr>
          <w:b w:val="0"/>
          <w:noProof/>
          <w:sz w:val="18"/>
        </w:rPr>
        <w:fldChar w:fldCharType="begin"/>
      </w:r>
      <w:r w:rsidRPr="00824B04">
        <w:rPr>
          <w:b w:val="0"/>
          <w:noProof/>
          <w:sz w:val="18"/>
        </w:rPr>
        <w:instrText xml:space="preserve"> PAGEREF _Toc170463323 \h </w:instrText>
      </w:r>
      <w:r w:rsidRPr="00824B04">
        <w:rPr>
          <w:b w:val="0"/>
          <w:noProof/>
          <w:sz w:val="18"/>
        </w:rPr>
      </w:r>
      <w:r w:rsidRPr="00824B04">
        <w:rPr>
          <w:b w:val="0"/>
          <w:noProof/>
          <w:sz w:val="18"/>
        </w:rPr>
        <w:fldChar w:fldCharType="separate"/>
      </w:r>
      <w:r w:rsidR="00443E66" w:rsidRPr="00824B04">
        <w:rPr>
          <w:b w:val="0"/>
          <w:noProof/>
          <w:sz w:val="18"/>
        </w:rPr>
        <w:t>5</w:t>
      </w:r>
      <w:r w:rsidRPr="00824B04">
        <w:rPr>
          <w:b w:val="0"/>
          <w:noProof/>
          <w:sz w:val="18"/>
        </w:rPr>
        <w:fldChar w:fldCharType="end"/>
      </w:r>
    </w:p>
    <w:p w14:paraId="1D63915F" w14:textId="51F31DC1" w:rsidR="009E0AF4" w:rsidRPr="00824B04" w:rsidRDefault="009E0AF4">
      <w:pPr>
        <w:pStyle w:val="TOC5"/>
        <w:rPr>
          <w:rFonts w:asciiTheme="minorHAnsi" w:eastAsiaTheme="minorEastAsia" w:hAnsiTheme="minorHAnsi" w:cstheme="minorBidi"/>
          <w:noProof/>
          <w:kern w:val="0"/>
          <w:sz w:val="22"/>
          <w:szCs w:val="22"/>
        </w:rPr>
      </w:pPr>
      <w:r w:rsidRPr="00824B04">
        <w:rPr>
          <w:noProof/>
        </w:rPr>
        <w:t>8</w:t>
      </w:r>
      <w:r w:rsidRPr="00824B04">
        <w:rPr>
          <w:noProof/>
        </w:rPr>
        <w:tab/>
        <w:t>Purpose of this Part</w:t>
      </w:r>
      <w:r w:rsidRPr="00824B04">
        <w:rPr>
          <w:noProof/>
        </w:rPr>
        <w:tab/>
      </w:r>
      <w:r w:rsidRPr="00824B04">
        <w:rPr>
          <w:noProof/>
        </w:rPr>
        <w:fldChar w:fldCharType="begin"/>
      </w:r>
      <w:r w:rsidRPr="00824B04">
        <w:rPr>
          <w:noProof/>
        </w:rPr>
        <w:instrText xml:space="preserve"> PAGEREF _Toc170463324 \h </w:instrText>
      </w:r>
      <w:r w:rsidRPr="00824B04">
        <w:rPr>
          <w:noProof/>
        </w:rPr>
      </w:r>
      <w:r w:rsidRPr="00824B04">
        <w:rPr>
          <w:noProof/>
        </w:rPr>
        <w:fldChar w:fldCharType="separate"/>
      </w:r>
      <w:r w:rsidR="00443E66" w:rsidRPr="00824B04">
        <w:rPr>
          <w:noProof/>
        </w:rPr>
        <w:t>5</w:t>
      </w:r>
      <w:r w:rsidRPr="00824B04">
        <w:rPr>
          <w:noProof/>
        </w:rPr>
        <w:fldChar w:fldCharType="end"/>
      </w:r>
    </w:p>
    <w:p w14:paraId="0FCCA8C1" w14:textId="22430B32" w:rsidR="009E0AF4" w:rsidRPr="00824B04" w:rsidRDefault="009E0AF4">
      <w:pPr>
        <w:pStyle w:val="TOC5"/>
        <w:rPr>
          <w:rFonts w:asciiTheme="minorHAnsi" w:eastAsiaTheme="minorEastAsia" w:hAnsiTheme="minorHAnsi" w:cstheme="minorBidi"/>
          <w:noProof/>
          <w:kern w:val="0"/>
          <w:sz w:val="22"/>
          <w:szCs w:val="22"/>
        </w:rPr>
      </w:pPr>
      <w:r w:rsidRPr="00824B04">
        <w:rPr>
          <w:noProof/>
        </w:rPr>
        <w:t>9</w:t>
      </w:r>
      <w:r w:rsidRPr="00824B04">
        <w:rPr>
          <w:noProof/>
        </w:rPr>
        <w:tab/>
        <w:t>This Part not to apply in certain circumstances</w:t>
      </w:r>
      <w:r w:rsidRPr="00824B04">
        <w:rPr>
          <w:noProof/>
        </w:rPr>
        <w:tab/>
      </w:r>
      <w:r w:rsidRPr="00824B04">
        <w:rPr>
          <w:noProof/>
        </w:rPr>
        <w:fldChar w:fldCharType="begin"/>
      </w:r>
      <w:r w:rsidRPr="00824B04">
        <w:rPr>
          <w:noProof/>
        </w:rPr>
        <w:instrText xml:space="preserve"> PAGEREF _Toc170463325 \h </w:instrText>
      </w:r>
      <w:r w:rsidRPr="00824B04">
        <w:rPr>
          <w:noProof/>
        </w:rPr>
      </w:r>
      <w:r w:rsidRPr="00824B04">
        <w:rPr>
          <w:noProof/>
        </w:rPr>
        <w:fldChar w:fldCharType="separate"/>
      </w:r>
      <w:r w:rsidR="00443E66" w:rsidRPr="00824B04">
        <w:rPr>
          <w:noProof/>
        </w:rPr>
        <w:t>5</w:t>
      </w:r>
      <w:r w:rsidRPr="00824B04">
        <w:rPr>
          <w:noProof/>
        </w:rPr>
        <w:fldChar w:fldCharType="end"/>
      </w:r>
    </w:p>
    <w:p w14:paraId="3972B347" w14:textId="0F60A8C4"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2—General rules relating to the transport of explosives</w:t>
      </w:r>
      <w:r w:rsidRPr="00824B04">
        <w:rPr>
          <w:b w:val="0"/>
          <w:noProof/>
          <w:sz w:val="18"/>
        </w:rPr>
        <w:tab/>
      </w:r>
      <w:r w:rsidRPr="00824B04">
        <w:rPr>
          <w:b w:val="0"/>
          <w:noProof/>
          <w:sz w:val="18"/>
        </w:rPr>
        <w:fldChar w:fldCharType="begin"/>
      </w:r>
      <w:r w:rsidRPr="00824B04">
        <w:rPr>
          <w:b w:val="0"/>
          <w:noProof/>
          <w:sz w:val="18"/>
        </w:rPr>
        <w:instrText xml:space="preserve"> PAGEREF _Toc170463326 \h </w:instrText>
      </w:r>
      <w:r w:rsidRPr="00824B04">
        <w:rPr>
          <w:b w:val="0"/>
          <w:noProof/>
          <w:sz w:val="18"/>
        </w:rPr>
      </w:r>
      <w:r w:rsidRPr="00824B04">
        <w:rPr>
          <w:b w:val="0"/>
          <w:noProof/>
          <w:sz w:val="18"/>
        </w:rPr>
        <w:fldChar w:fldCharType="separate"/>
      </w:r>
      <w:r w:rsidR="00443E66" w:rsidRPr="00824B04">
        <w:rPr>
          <w:b w:val="0"/>
          <w:noProof/>
          <w:sz w:val="18"/>
        </w:rPr>
        <w:t>7</w:t>
      </w:r>
      <w:r w:rsidRPr="00824B04">
        <w:rPr>
          <w:b w:val="0"/>
          <w:noProof/>
          <w:sz w:val="18"/>
        </w:rPr>
        <w:fldChar w:fldCharType="end"/>
      </w:r>
    </w:p>
    <w:p w14:paraId="0054895B" w14:textId="7F3B200E" w:rsidR="009E0AF4" w:rsidRPr="00824B04" w:rsidRDefault="009E0AF4">
      <w:pPr>
        <w:pStyle w:val="TOC5"/>
        <w:rPr>
          <w:rFonts w:asciiTheme="minorHAnsi" w:eastAsiaTheme="minorEastAsia" w:hAnsiTheme="minorHAnsi" w:cstheme="minorBidi"/>
          <w:noProof/>
          <w:kern w:val="0"/>
          <w:sz w:val="22"/>
          <w:szCs w:val="22"/>
        </w:rPr>
      </w:pPr>
      <w:r w:rsidRPr="00824B04">
        <w:rPr>
          <w:noProof/>
        </w:rPr>
        <w:t>10</w:t>
      </w:r>
      <w:r w:rsidRPr="00824B04">
        <w:rPr>
          <w:noProof/>
        </w:rPr>
        <w:tab/>
        <w:t>Transport of unauthorised Commonwealth explosives prohibited</w:t>
      </w:r>
      <w:r w:rsidRPr="00824B04">
        <w:rPr>
          <w:noProof/>
        </w:rPr>
        <w:tab/>
      </w:r>
      <w:r w:rsidRPr="00824B04">
        <w:rPr>
          <w:noProof/>
        </w:rPr>
        <w:fldChar w:fldCharType="begin"/>
      </w:r>
      <w:r w:rsidRPr="00824B04">
        <w:rPr>
          <w:noProof/>
        </w:rPr>
        <w:instrText xml:space="preserve"> PAGEREF _Toc170463327 \h </w:instrText>
      </w:r>
      <w:r w:rsidRPr="00824B04">
        <w:rPr>
          <w:noProof/>
        </w:rPr>
      </w:r>
      <w:r w:rsidRPr="00824B04">
        <w:rPr>
          <w:noProof/>
        </w:rPr>
        <w:fldChar w:fldCharType="separate"/>
      </w:r>
      <w:r w:rsidR="00443E66" w:rsidRPr="00824B04">
        <w:rPr>
          <w:noProof/>
        </w:rPr>
        <w:t>7</w:t>
      </w:r>
      <w:r w:rsidRPr="00824B04">
        <w:rPr>
          <w:noProof/>
        </w:rPr>
        <w:fldChar w:fldCharType="end"/>
      </w:r>
    </w:p>
    <w:p w14:paraId="46262460" w14:textId="1618D2FB" w:rsidR="009E0AF4" w:rsidRPr="00824B04" w:rsidRDefault="009E0AF4">
      <w:pPr>
        <w:pStyle w:val="TOC5"/>
        <w:rPr>
          <w:rFonts w:asciiTheme="minorHAnsi" w:eastAsiaTheme="minorEastAsia" w:hAnsiTheme="minorHAnsi" w:cstheme="minorBidi"/>
          <w:noProof/>
          <w:kern w:val="0"/>
          <w:sz w:val="22"/>
          <w:szCs w:val="22"/>
        </w:rPr>
      </w:pPr>
      <w:r w:rsidRPr="00824B04">
        <w:rPr>
          <w:noProof/>
        </w:rPr>
        <w:t>11</w:t>
      </w:r>
      <w:r w:rsidRPr="00824B04">
        <w:rPr>
          <w:noProof/>
        </w:rPr>
        <w:tab/>
        <w:t>Transport of certain authorised Commonwealth explosives prohibited</w:t>
      </w:r>
      <w:r w:rsidRPr="00824B04">
        <w:rPr>
          <w:noProof/>
        </w:rPr>
        <w:tab/>
      </w:r>
      <w:r w:rsidRPr="00824B04">
        <w:rPr>
          <w:noProof/>
        </w:rPr>
        <w:fldChar w:fldCharType="begin"/>
      </w:r>
      <w:r w:rsidRPr="00824B04">
        <w:rPr>
          <w:noProof/>
        </w:rPr>
        <w:instrText xml:space="preserve"> PAGEREF _Toc170463328 \h </w:instrText>
      </w:r>
      <w:r w:rsidRPr="00824B04">
        <w:rPr>
          <w:noProof/>
        </w:rPr>
      </w:r>
      <w:r w:rsidRPr="00824B04">
        <w:rPr>
          <w:noProof/>
        </w:rPr>
        <w:fldChar w:fldCharType="separate"/>
      </w:r>
      <w:r w:rsidR="00443E66" w:rsidRPr="00824B04">
        <w:rPr>
          <w:noProof/>
        </w:rPr>
        <w:t>7</w:t>
      </w:r>
      <w:r w:rsidRPr="00824B04">
        <w:rPr>
          <w:noProof/>
        </w:rPr>
        <w:fldChar w:fldCharType="end"/>
      </w:r>
    </w:p>
    <w:p w14:paraId="404E592F" w14:textId="5046E662" w:rsidR="009E0AF4" w:rsidRPr="00824B04" w:rsidRDefault="009E0AF4">
      <w:pPr>
        <w:pStyle w:val="TOC5"/>
        <w:rPr>
          <w:rFonts w:asciiTheme="minorHAnsi" w:eastAsiaTheme="minorEastAsia" w:hAnsiTheme="minorHAnsi" w:cstheme="minorBidi"/>
          <w:noProof/>
          <w:kern w:val="0"/>
          <w:sz w:val="22"/>
          <w:szCs w:val="22"/>
        </w:rPr>
      </w:pPr>
      <w:r w:rsidRPr="00824B04">
        <w:rPr>
          <w:noProof/>
        </w:rPr>
        <w:t>12</w:t>
      </w:r>
      <w:r w:rsidRPr="00824B04">
        <w:rPr>
          <w:noProof/>
        </w:rPr>
        <w:tab/>
        <w:t>Application of AE Code</w:t>
      </w:r>
      <w:r w:rsidRPr="00824B04">
        <w:rPr>
          <w:noProof/>
        </w:rPr>
        <w:tab/>
      </w:r>
      <w:r w:rsidRPr="00824B04">
        <w:rPr>
          <w:noProof/>
        </w:rPr>
        <w:fldChar w:fldCharType="begin"/>
      </w:r>
      <w:r w:rsidRPr="00824B04">
        <w:rPr>
          <w:noProof/>
        </w:rPr>
        <w:instrText xml:space="preserve"> PAGEREF _Toc170463329 \h </w:instrText>
      </w:r>
      <w:r w:rsidRPr="00824B04">
        <w:rPr>
          <w:noProof/>
        </w:rPr>
      </w:r>
      <w:r w:rsidRPr="00824B04">
        <w:rPr>
          <w:noProof/>
        </w:rPr>
        <w:fldChar w:fldCharType="separate"/>
      </w:r>
      <w:r w:rsidR="00443E66" w:rsidRPr="00824B04">
        <w:rPr>
          <w:noProof/>
        </w:rPr>
        <w:t>7</w:t>
      </w:r>
      <w:r w:rsidRPr="00824B04">
        <w:rPr>
          <w:noProof/>
        </w:rPr>
        <w:fldChar w:fldCharType="end"/>
      </w:r>
    </w:p>
    <w:p w14:paraId="18C02DED" w14:textId="04ADB310" w:rsidR="009E0AF4" w:rsidRPr="00824B04" w:rsidRDefault="009E0AF4">
      <w:pPr>
        <w:pStyle w:val="TOC5"/>
        <w:rPr>
          <w:rFonts w:asciiTheme="minorHAnsi" w:eastAsiaTheme="minorEastAsia" w:hAnsiTheme="minorHAnsi" w:cstheme="minorBidi"/>
          <w:noProof/>
          <w:kern w:val="0"/>
          <w:sz w:val="22"/>
          <w:szCs w:val="22"/>
        </w:rPr>
      </w:pPr>
      <w:r w:rsidRPr="00824B04">
        <w:rPr>
          <w:noProof/>
        </w:rPr>
        <w:t>13</w:t>
      </w:r>
      <w:r w:rsidRPr="00824B04">
        <w:rPr>
          <w:noProof/>
        </w:rPr>
        <w:tab/>
        <w:t>Persons around vehicles during loading and unloading of explosives</w:t>
      </w:r>
      <w:r w:rsidRPr="00824B04">
        <w:rPr>
          <w:noProof/>
        </w:rPr>
        <w:tab/>
      </w:r>
      <w:r w:rsidRPr="00824B04">
        <w:rPr>
          <w:noProof/>
        </w:rPr>
        <w:fldChar w:fldCharType="begin"/>
      </w:r>
      <w:r w:rsidRPr="00824B04">
        <w:rPr>
          <w:noProof/>
        </w:rPr>
        <w:instrText xml:space="preserve"> PAGEREF _Toc170463330 \h </w:instrText>
      </w:r>
      <w:r w:rsidRPr="00824B04">
        <w:rPr>
          <w:noProof/>
        </w:rPr>
      </w:r>
      <w:r w:rsidRPr="00824B04">
        <w:rPr>
          <w:noProof/>
        </w:rPr>
        <w:fldChar w:fldCharType="separate"/>
      </w:r>
      <w:r w:rsidR="00443E66" w:rsidRPr="00824B04">
        <w:rPr>
          <w:noProof/>
        </w:rPr>
        <w:t>8</w:t>
      </w:r>
      <w:r w:rsidRPr="00824B04">
        <w:rPr>
          <w:noProof/>
        </w:rPr>
        <w:fldChar w:fldCharType="end"/>
      </w:r>
    </w:p>
    <w:p w14:paraId="1FAEAC60" w14:textId="229EF665" w:rsidR="009E0AF4" w:rsidRPr="00824B04" w:rsidRDefault="009E0AF4">
      <w:pPr>
        <w:pStyle w:val="TOC5"/>
        <w:rPr>
          <w:rFonts w:asciiTheme="minorHAnsi" w:eastAsiaTheme="minorEastAsia" w:hAnsiTheme="minorHAnsi" w:cstheme="minorBidi"/>
          <w:noProof/>
          <w:kern w:val="0"/>
          <w:sz w:val="22"/>
          <w:szCs w:val="22"/>
        </w:rPr>
      </w:pPr>
      <w:r w:rsidRPr="00824B04">
        <w:rPr>
          <w:noProof/>
        </w:rPr>
        <w:t>14</w:t>
      </w:r>
      <w:r w:rsidRPr="00824B04">
        <w:rPr>
          <w:noProof/>
        </w:rPr>
        <w:tab/>
        <w:t>Smoking and other fire hazards around vehicles prohibited</w:t>
      </w:r>
      <w:r w:rsidRPr="00824B04">
        <w:rPr>
          <w:noProof/>
        </w:rPr>
        <w:tab/>
      </w:r>
      <w:r w:rsidRPr="00824B04">
        <w:rPr>
          <w:noProof/>
        </w:rPr>
        <w:fldChar w:fldCharType="begin"/>
      </w:r>
      <w:r w:rsidRPr="00824B04">
        <w:rPr>
          <w:noProof/>
        </w:rPr>
        <w:instrText xml:space="preserve"> PAGEREF _Toc170463331 \h </w:instrText>
      </w:r>
      <w:r w:rsidRPr="00824B04">
        <w:rPr>
          <w:noProof/>
        </w:rPr>
      </w:r>
      <w:r w:rsidRPr="00824B04">
        <w:rPr>
          <w:noProof/>
        </w:rPr>
        <w:fldChar w:fldCharType="separate"/>
      </w:r>
      <w:r w:rsidR="00443E66" w:rsidRPr="00824B04">
        <w:rPr>
          <w:noProof/>
        </w:rPr>
        <w:t>8</w:t>
      </w:r>
      <w:r w:rsidRPr="00824B04">
        <w:rPr>
          <w:noProof/>
        </w:rPr>
        <w:fldChar w:fldCharType="end"/>
      </w:r>
    </w:p>
    <w:p w14:paraId="0B179919" w14:textId="2D27275A" w:rsidR="009E0AF4" w:rsidRPr="00824B04" w:rsidRDefault="009E0AF4">
      <w:pPr>
        <w:pStyle w:val="TOC5"/>
        <w:rPr>
          <w:rFonts w:asciiTheme="minorHAnsi" w:eastAsiaTheme="minorEastAsia" w:hAnsiTheme="minorHAnsi" w:cstheme="minorBidi"/>
          <w:noProof/>
          <w:kern w:val="0"/>
          <w:sz w:val="22"/>
          <w:szCs w:val="22"/>
        </w:rPr>
      </w:pPr>
      <w:r w:rsidRPr="00824B04">
        <w:rPr>
          <w:noProof/>
        </w:rPr>
        <w:t>15</w:t>
      </w:r>
      <w:r w:rsidRPr="00824B04">
        <w:rPr>
          <w:noProof/>
        </w:rPr>
        <w:tab/>
        <w:t>Sections 12 and 13 do not apply in certain circumstances</w:t>
      </w:r>
      <w:r w:rsidRPr="00824B04">
        <w:rPr>
          <w:noProof/>
        </w:rPr>
        <w:tab/>
      </w:r>
      <w:r w:rsidRPr="00824B04">
        <w:rPr>
          <w:noProof/>
        </w:rPr>
        <w:fldChar w:fldCharType="begin"/>
      </w:r>
      <w:r w:rsidRPr="00824B04">
        <w:rPr>
          <w:noProof/>
        </w:rPr>
        <w:instrText xml:space="preserve"> PAGEREF _Toc170463332 \h </w:instrText>
      </w:r>
      <w:r w:rsidRPr="00824B04">
        <w:rPr>
          <w:noProof/>
        </w:rPr>
      </w:r>
      <w:r w:rsidRPr="00824B04">
        <w:rPr>
          <w:noProof/>
        </w:rPr>
        <w:fldChar w:fldCharType="separate"/>
      </w:r>
      <w:r w:rsidR="00443E66" w:rsidRPr="00824B04">
        <w:rPr>
          <w:noProof/>
        </w:rPr>
        <w:t>8</w:t>
      </w:r>
      <w:r w:rsidRPr="00824B04">
        <w:rPr>
          <w:noProof/>
        </w:rPr>
        <w:fldChar w:fldCharType="end"/>
      </w:r>
    </w:p>
    <w:p w14:paraId="23590CBB" w14:textId="4DDD3A86"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3—Transport of explosives under approved security plans</w:t>
      </w:r>
      <w:r w:rsidRPr="00824B04">
        <w:rPr>
          <w:b w:val="0"/>
          <w:noProof/>
          <w:sz w:val="18"/>
        </w:rPr>
        <w:tab/>
      </w:r>
      <w:r w:rsidRPr="00824B04">
        <w:rPr>
          <w:b w:val="0"/>
          <w:noProof/>
          <w:sz w:val="18"/>
        </w:rPr>
        <w:fldChar w:fldCharType="begin"/>
      </w:r>
      <w:r w:rsidRPr="00824B04">
        <w:rPr>
          <w:b w:val="0"/>
          <w:noProof/>
          <w:sz w:val="18"/>
        </w:rPr>
        <w:instrText xml:space="preserve"> PAGEREF _Toc170463333 \h </w:instrText>
      </w:r>
      <w:r w:rsidRPr="00824B04">
        <w:rPr>
          <w:b w:val="0"/>
          <w:noProof/>
          <w:sz w:val="18"/>
        </w:rPr>
      </w:r>
      <w:r w:rsidRPr="00824B04">
        <w:rPr>
          <w:b w:val="0"/>
          <w:noProof/>
          <w:sz w:val="18"/>
        </w:rPr>
        <w:fldChar w:fldCharType="separate"/>
      </w:r>
      <w:r w:rsidR="00443E66" w:rsidRPr="00824B04">
        <w:rPr>
          <w:b w:val="0"/>
          <w:noProof/>
          <w:sz w:val="18"/>
        </w:rPr>
        <w:t>10</w:t>
      </w:r>
      <w:r w:rsidRPr="00824B04">
        <w:rPr>
          <w:b w:val="0"/>
          <w:noProof/>
          <w:sz w:val="18"/>
        </w:rPr>
        <w:fldChar w:fldCharType="end"/>
      </w:r>
    </w:p>
    <w:p w14:paraId="2A4A21B3" w14:textId="15B362B5" w:rsidR="009E0AF4" w:rsidRPr="00824B04" w:rsidRDefault="009E0AF4">
      <w:pPr>
        <w:pStyle w:val="TOC5"/>
        <w:rPr>
          <w:rFonts w:asciiTheme="minorHAnsi" w:eastAsiaTheme="minorEastAsia" w:hAnsiTheme="minorHAnsi" w:cstheme="minorBidi"/>
          <w:noProof/>
          <w:kern w:val="0"/>
          <w:sz w:val="22"/>
          <w:szCs w:val="22"/>
        </w:rPr>
      </w:pPr>
      <w:r w:rsidRPr="00824B04">
        <w:rPr>
          <w:noProof/>
        </w:rPr>
        <w:t>16</w:t>
      </w:r>
      <w:r w:rsidRPr="00824B04">
        <w:rPr>
          <w:noProof/>
        </w:rPr>
        <w:tab/>
        <w:t>Approved security plan required for regulated Commonwealth agencies</w:t>
      </w:r>
      <w:r w:rsidRPr="00824B04">
        <w:rPr>
          <w:noProof/>
        </w:rPr>
        <w:tab/>
      </w:r>
      <w:r w:rsidRPr="00824B04">
        <w:rPr>
          <w:noProof/>
        </w:rPr>
        <w:fldChar w:fldCharType="begin"/>
      </w:r>
      <w:r w:rsidRPr="00824B04">
        <w:rPr>
          <w:noProof/>
        </w:rPr>
        <w:instrText xml:space="preserve"> PAGEREF _Toc170463334 \h </w:instrText>
      </w:r>
      <w:r w:rsidRPr="00824B04">
        <w:rPr>
          <w:noProof/>
        </w:rPr>
      </w:r>
      <w:r w:rsidRPr="00824B04">
        <w:rPr>
          <w:noProof/>
        </w:rPr>
        <w:fldChar w:fldCharType="separate"/>
      </w:r>
      <w:r w:rsidR="00443E66" w:rsidRPr="00824B04">
        <w:rPr>
          <w:noProof/>
        </w:rPr>
        <w:t>10</w:t>
      </w:r>
      <w:r w:rsidRPr="00824B04">
        <w:rPr>
          <w:noProof/>
        </w:rPr>
        <w:fldChar w:fldCharType="end"/>
      </w:r>
    </w:p>
    <w:p w14:paraId="78FB999B" w14:textId="7A7891F0" w:rsidR="009E0AF4" w:rsidRPr="00824B04" w:rsidRDefault="009E0AF4">
      <w:pPr>
        <w:pStyle w:val="TOC5"/>
        <w:rPr>
          <w:rFonts w:asciiTheme="minorHAnsi" w:eastAsiaTheme="minorEastAsia" w:hAnsiTheme="minorHAnsi" w:cstheme="minorBidi"/>
          <w:noProof/>
          <w:kern w:val="0"/>
          <w:sz w:val="22"/>
          <w:szCs w:val="22"/>
        </w:rPr>
      </w:pPr>
      <w:r w:rsidRPr="00824B04">
        <w:rPr>
          <w:noProof/>
        </w:rPr>
        <w:t>17</w:t>
      </w:r>
      <w:r w:rsidRPr="00824B04">
        <w:rPr>
          <w:noProof/>
        </w:rPr>
        <w:tab/>
        <w:t>Compliance with approved security plans</w:t>
      </w:r>
      <w:r w:rsidRPr="00824B04">
        <w:rPr>
          <w:noProof/>
        </w:rPr>
        <w:tab/>
      </w:r>
      <w:r w:rsidRPr="00824B04">
        <w:rPr>
          <w:noProof/>
        </w:rPr>
        <w:fldChar w:fldCharType="begin"/>
      </w:r>
      <w:r w:rsidRPr="00824B04">
        <w:rPr>
          <w:noProof/>
        </w:rPr>
        <w:instrText xml:space="preserve"> PAGEREF _Toc170463335 \h </w:instrText>
      </w:r>
      <w:r w:rsidRPr="00824B04">
        <w:rPr>
          <w:noProof/>
        </w:rPr>
      </w:r>
      <w:r w:rsidRPr="00824B04">
        <w:rPr>
          <w:noProof/>
        </w:rPr>
        <w:fldChar w:fldCharType="separate"/>
      </w:r>
      <w:r w:rsidR="00443E66" w:rsidRPr="00824B04">
        <w:rPr>
          <w:noProof/>
        </w:rPr>
        <w:t>10</w:t>
      </w:r>
      <w:r w:rsidRPr="00824B04">
        <w:rPr>
          <w:noProof/>
        </w:rPr>
        <w:fldChar w:fldCharType="end"/>
      </w:r>
    </w:p>
    <w:p w14:paraId="6740B762" w14:textId="18BF9F40"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4—Exemptions relating to transport of explosives</w:t>
      </w:r>
      <w:r w:rsidRPr="00824B04">
        <w:rPr>
          <w:b w:val="0"/>
          <w:noProof/>
          <w:sz w:val="18"/>
        </w:rPr>
        <w:tab/>
      </w:r>
      <w:r w:rsidRPr="00824B04">
        <w:rPr>
          <w:b w:val="0"/>
          <w:noProof/>
          <w:sz w:val="18"/>
        </w:rPr>
        <w:fldChar w:fldCharType="begin"/>
      </w:r>
      <w:r w:rsidRPr="00824B04">
        <w:rPr>
          <w:b w:val="0"/>
          <w:noProof/>
          <w:sz w:val="18"/>
        </w:rPr>
        <w:instrText xml:space="preserve"> PAGEREF _Toc170463336 \h </w:instrText>
      </w:r>
      <w:r w:rsidRPr="00824B04">
        <w:rPr>
          <w:b w:val="0"/>
          <w:noProof/>
          <w:sz w:val="18"/>
        </w:rPr>
      </w:r>
      <w:r w:rsidRPr="00824B04">
        <w:rPr>
          <w:b w:val="0"/>
          <w:noProof/>
          <w:sz w:val="18"/>
        </w:rPr>
        <w:fldChar w:fldCharType="separate"/>
      </w:r>
      <w:r w:rsidR="00443E66" w:rsidRPr="00824B04">
        <w:rPr>
          <w:b w:val="0"/>
          <w:noProof/>
          <w:sz w:val="18"/>
        </w:rPr>
        <w:t>12</w:t>
      </w:r>
      <w:r w:rsidRPr="00824B04">
        <w:rPr>
          <w:b w:val="0"/>
          <w:noProof/>
          <w:sz w:val="18"/>
        </w:rPr>
        <w:fldChar w:fldCharType="end"/>
      </w:r>
    </w:p>
    <w:p w14:paraId="38C80FFB" w14:textId="4C16C795" w:rsidR="009E0AF4" w:rsidRPr="00824B04" w:rsidRDefault="009E0AF4">
      <w:pPr>
        <w:pStyle w:val="TOC5"/>
        <w:rPr>
          <w:rFonts w:asciiTheme="minorHAnsi" w:eastAsiaTheme="minorEastAsia" w:hAnsiTheme="minorHAnsi" w:cstheme="minorBidi"/>
          <w:noProof/>
          <w:kern w:val="0"/>
          <w:sz w:val="22"/>
          <w:szCs w:val="22"/>
        </w:rPr>
      </w:pPr>
      <w:r w:rsidRPr="00824B04">
        <w:rPr>
          <w:noProof/>
        </w:rPr>
        <w:t>18</w:t>
      </w:r>
      <w:r w:rsidRPr="00824B04">
        <w:rPr>
          <w:noProof/>
        </w:rPr>
        <w:tab/>
        <w:t>Applying for exemptions</w:t>
      </w:r>
      <w:r w:rsidRPr="00824B04">
        <w:rPr>
          <w:noProof/>
        </w:rPr>
        <w:tab/>
      </w:r>
      <w:r w:rsidRPr="00824B04">
        <w:rPr>
          <w:noProof/>
        </w:rPr>
        <w:fldChar w:fldCharType="begin"/>
      </w:r>
      <w:r w:rsidRPr="00824B04">
        <w:rPr>
          <w:noProof/>
        </w:rPr>
        <w:instrText xml:space="preserve"> PAGEREF _Toc170463337 \h </w:instrText>
      </w:r>
      <w:r w:rsidRPr="00824B04">
        <w:rPr>
          <w:noProof/>
        </w:rPr>
      </w:r>
      <w:r w:rsidRPr="00824B04">
        <w:rPr>
          <w:noProof/>
        </w:rPr>
        <w:fldChar w:fldCharType="separate"/>
      </w:r>
      <w:r w:rsidR="00443E66" w:rsidRPr="00824B04">
        <w:rPr>
          <w:noProof/>
        </w:rPr>
        <w:t>12</w:t>
      </w:r>
      <w:r w:rsidRPr="00824B04">
        <w:rPr>
          <w:noProof/>
        </w:rPr>
        <w:fldChar w:fldCharType="end"/>
      </w:r>
    </w:p>
    <w:p w14:paraId="6E19E0CE" w14:textId="3899C693" w:rsidR="009E0AF4" w:rsidRPr="00824B04" w:rsidRDefault="009E0AF4">
      <w:pPr>
        <w:pStyle w:val="TOC5"/>
        <w:rPr>
          <w:rFonts w:asciiTheme="minorHAnsi" w:eastAsiaTheme="minorEastAsia" w:hAnsiTheme="minorHAnsi" w:cstheme="minorBidi"/>
          <w:noProof/>
          <w:kern w:val="0"/>
          <w:sz w:val="22"/>
          <w:szCs w:val="22"/>
        </w:rPr>
      </w:pPr>
      <w:r w:rsidRPr="00824B04">
        <w:rPr>
          <w:noProof/>
        </w:rPr>
        <w:t>19</w:t>
      </w:r>
      <w:r w:rsidRPr="00824B04">
        <w:rPr>
          <w:noProof/>
        </w:rPr>
        <w:tab/>
        <w:t>Competent Authority may grant exemptions</w:t>
      </w:r>
      <w:r w:rsidRPr="00824B04">
        <w:rPr>
          <w:noProof/>
        </w:rPr>
        <w:tab/>
      </w:r>
      <w:r w:rsidRPr="00824B04">
        <w:rPr>
          <w:noProof/>
        </w:rPr>
        <w:fldChar w:fldCharType="begin"/>
      </w:r>
      <w:r w:rsidRPr="00824B04">
        <w:rPr>
          <w:noProof/>
        </w:rPr>
        <w:instrText xml:space="preserve"> PAGEREF _Toc170463338 \h </w:instrText>
      </w:r>
      <w:r w:rsidRPr="00824B04">
        <w:rPr>
          <w:noProof/>
        </w:rPr>
      </w:r>
      <w:r w:rsidRPr="00824B04">
        <w:rPr>
          <w:noProof/>
        </w:rPr>
        <w:fldChar w:fldCharType="separate"/>
      </w:r>
      <w:r w:rsidR="00443E66" w:rsidRPr="00824B04">
        <w:rPr>
          <w:noProof/>
        </w:rPr>
        <w:t>12</w:t>
      </w:r>
      <w:r w:rsidRPr="00824B04">
        <w:rPr>
          <w:noProof/>
        </w:rPr>
        <w:fldChar w:fldCharType="end"/>
      </w:r>
    </w:p>
    <w:p w14:paraId="71D229C2" w14:textId="56404D20" w:rsidR="009E0AF4" w:rsidRPr="00824B04" w:rsidRDefault="009E0AF4">
      <w:pPr>
        <w:pStyle w:val="TOC5"/>
        <w:rPr>
          <w:rFonts w:asciiTheme="minorHAnsi" w:eastAsiaTheme="minorEastAsia" w:hAnsiTheme="minorHAnsi" w:cstheme="minorBidi"/>
          <w:noProof/>
          <w:kern w:val="0"/>
          <w:sz w:val="22"/>
          <w:szCs w:val="22"/>
        </w:rPr>
      </w:pPr>
      <w:r w:rsidRPr="00824B04">
        <w:rPr>
          <w:noProof/>
        </w:rPr>
        <w:t>20</w:t>
      </w:r>
      <w:r w:rsidRPr="00824B04">
        <w:rPr>
          <w:noProof/>
        </w:rPr>
        <w:tab/>
        <w:t>AAT review of decisions</w:t>
      </w:r>
      <w:r w:rsidRPr="00824B04">
        <w:rPr>
          <w:noProof/>
        </w:rPr>
        <w:tab/>
      </w:r>
      <w:r w:rsidRPr="00824B04">
        <w:rPr>
          <w:noProof/>
        </w:rPr>
        <w:fldChar w:fldCharType="begin"/>
      </w:r>
      <w:r w:rsidRPr="00824B04">
        <w:rPr>
          <w:noProof/>
        </w:rPr>
        <w:instrText xml:space="preserve"> PAGEREF _Toc170463339 \h </w:instrText>
      </w:r>
      <w:r w:rsidRPr="00824B04">
        <w:rPr>
          <w:noProof/>
        </w:rPr>
      </w:r>
      <w:r w:rsidRPr="00824B04">
        <w:rPr>
          <w:noProof/>
        </w:rPr>
        <w:fldChar w:fldCharType="separate"/>
      </w:r>
      <w:r w:rsidR="00443E66" w:rsidRPr="00824B04">
        <w:rPr>
          <w:noProof/>
        </w:rPr>
        <w:t>13</w:t>
      </w:r>
      <w:r w:rsidRPr="00824B04">
        <w:rPr>
          <w:noProof/>
        </w:rPr>
        <w:fldChar w:fldCharType="end"/>
      </w:r>
    </w:p>
    <w:p w14:paraId="2698D91C" w14:textId="34ED7ACC" w:rsidR="009E0AF4" w:rsidRPr="00824B04" w:rsidRDefault="009E0AF4">
      <w:pPr>
        <w:pStyle w:val="TOC5"/>
        <w:rPr>
          <w:rFonts w:asciiTheme="minorHAnsi" w:eastAsiaTheme="minorEastAsia" w:hAnsiTheme="minorHAnsi" w:cstheme="minorBidi"/>
          <w:noProof/>
          <w:kern w:val="0"/>
          <w:sz w:val="22"/>
          <w:szCs w:val="22"/>
        </w:rPr>
      </w:pPr>
      <w:r w:rsidRPr="00824B04">
        <w:rPr>
          <w:noProof/>
        </w:rPr>
        <w:t>21</w:t>
      </w:r>
      <w:r w:rsidRPr="00824B04">
        <w:rPr>
          <w:noProof/>
        </w:rPr>
        <w:tab/>
        <w:t>Carriage of exemptions in vehicles</w:t>
      </w:r>
      <w:r w:rsidRPr="00824B04">
        <w:rPr>
          <w:noProof/>
        </w:rPr>
        <w:tab/>
      </w:r>
      <w:r w:rsidRPr="00824B04">
        <w:rPr>
          <w:noProof/>
        </w:rPr>
        <w:fldChar w:fldCharType="begin"/>
      </w:r>
      <w:r w:rsidRPr="00824B04">
        <w:rPr>
          <w:noProof/>
        </w:rPr>
        <w:instrText xml:space="preserve"> PAGEREF _Toc170463340 \h </w:instrText>
      </w:r>
      <w:r w:rsidRPr="00824B04">
        <w:rPr>
          <w:noProof/>
        </w:rPr>
      </w:r>
      <w:r w:rsidRPr="00824B04">
        <w:rPr>
          <w:noProof/>
        </w:rPr>
        <w:fldChar w:fldCharType="separate"/>
      </w:r>
      <w:r w:rsidR="00443E66" w:rsidRPr="00824B04">
        <w:rPr>
          <w:noProof/>
        </w:rPr>
        <w:t>14</w:t>
      </w:r>
      <w:r w:rsidRPr="00824B04">
        <w:rPr>
          <w:noProof/>
        </w:rPr>
        <w:fldChar w:fldCharType="end"/>
      </w:r>
    </w:p>
    <w:p w14:paraId="50CDD4B9" w14:textId="531AE80D"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5—Containers previously containing Commonwealth explosives</w:t>
      </w:r>
      <w:r w:rsidRPr="00824B04">
        <w:rPr>
          <w:b w:val="0"/>
          <w:noProof/>
          <w:sz w:val="18"/>
        </w:rPr>
        <w:tab/>
      </w:r>
      <w:r w:rsidRPr="00824B04">
        <w:rPr>
          <w:b w:val="0"/>
          <w:noProof/>
          <w:sz w:val="18"/>
        </w:rPr>
        <w:fldChar w:fldCharType="begin"/>
      </w:r>
      <w:r w:rsidRPr="00824B04">
        <w:rPr>
          <w:b w:val="0"/>
          <w:noProof/>
          <w:sz w:val="18"/>
        </w:rPr>
        <w:instrText xml:space="preserve"> PAGEREF _Toc170463341 \h </w:instrText>
      </w:r>
      <w:r w:rsidRPr="00824B04">
        <w:rPr>
          <w:b w:val="0"/>
          <w:noProof/>
          <w:sz w:val="18"/>
        </w:rPr>
      </w:r>
      <w:r w:rsidRPr="00824B04">
        <w:rPr>
          <w:b w:val="0"/>
          <w:noProof/>
          <w:sz w:val="18"/>
        </w:rPr>
        <w:fldChar w:fldCharType="separate"/>
      </w:r>
      <w:r w:rsidR="00443E66" w:rsidRPr="00824B04">
        <w:rPr>
          <w:b w:val="0"/>
          <w:noProof/>
          <w:sz w:val="18"/>
        </w:rPr>
        <w:t>15</w:t>
      </w:r>
      <w:r w:rsidRPr="00824B04">
        <w:rPr>
          <w:b w:val="0"/>
          <w:noProof/>
          <w:sz w:val="18"/>
        </w:rPr>
        <w:fldChar w:fldCharType="end"/>
      </w:r>
    </w:p>
    <w:p w14:paraId="036696FA" w14:textId="5A74447B" w:rsidR="009E0AF4" w:rsidRPr="00824B04" w:rsidRDefault="009E0AF4">
      <w:pPr>
        <w:pStyle w:val="TOC5"/>
        <w:rPr>
          <w:rFonts w:asciiTheme="minorHAnsi" w:eastAsiaTheme="minorEastAsia" w:hAnsiTheme="minorHAnsi" w:cstheme="minorBidi"/>
          <w:noProof/>
          <w:kern w:val="0"/>
          <w:sz w:val="22"/>
          <w:szCs w:val="22"/>
        </w:rPr>
      </w:pPr>
      <w:r w:rsidRPr="00824B04">
        <w:rPr>
          <w:noProof/>
        </w:rPr>
        <w:t>22</w:t>
      </w:r>
      <w:r w:rsidRPr="00824B04">
        <w:rPr>
          <w:noProof/>
        </w:rPr>
        <w:tab/>
        <w:t>Certification that containers are free from explosives</w:t>
      </w:r>
      <w:r w:rsidRPr="00824B04">
        <w:rPr>
          <w:noProof/>
        </w:rPr>
        <w:tab/>
      </w:r>
      <w:r w:rsidRPr="00824B04">
        <w:rPr>
          <w:noProof/>
        </w:rPr>
        <w:fldChar w:fldCharType="begin"/>
      </w:r>
      <w:r w:rsidRPr="00824B04">
        <w:rPr>
          <w:noProof/>
        </w:rPr>
        <w:instrText xml:space="preserve"> PAGEREF _Toc170463342 \h </w:instrText>
      </w:r>
      <w:r w:rsidRPr="00824B04">
        <w:rPr>
          <w:noProof/>
        </w:rPr>
      </w:r>
      <w:r w:rsidRPr="00824B04">
        <w:rPr>
          <w:noProof/>
        </w:rPr>
        <w:fldChar w:fldCharType="separate"/>
      </w:r>
      <w:r w:rsidR="00443E66" w:rsidRPr="00824B04">
        <w:rPr>
          <w:noProof/>
        </w:rPr>
        <w:t>15</w:t>
      </w:r>
      <w:r w:rsidRPr="00824B04">
        <w:rPr>
          <w:noProof/>
        </w:rPr>
        <w:fldChar w:fldCharType="end"/>
      </w:r>
    </w:p>
    <w:p w14:paraId="11BA992A" w14:textId="30B9FD37" w:rsidR="009E0AF4" w:rsidRPr="00824B04" w:rsidRDefault="009E0AF4">
      <w:pPr>
        <w:pStyle w:val="TOC2"/>
        <w:rPr>
          <w:rFonts w:asciiTheme="minorHAnsi" w:eastAsiaTheme="minorEastAsia" w:hAnsiTheme="minorHAnsi" w:cstheme="minorBidi"/>
          <w:b w:val="0"/>
          <w:noProof/>
          <w:kern w:val="0"/>
          <w:sz w:val="22"/>
          <w:szCs w:val="22"/>
        </w:rPr>
      </w:pPr>
      <w:r w:rsidRPr="00824B04">
        <w:rPr>
          <w:rFonts w:eastAsiaTheme="majorEastAsia"/>
          <w:noProof/>
        </w:rPr>
        <w:t>Part 3</w:t>
      </w:r>
      <w:r w:rsidRPr="00824B04">
        <w:rPr>
          <w:noProof/>
        </w:rPr>
        <w:t>—</w:t>
      </w:r>
      <w:r w:rsidRPr="00824B04">
        <w:rPr>
          <w:rFonts w:eastAsiaTheme="majorEastAsia"/>
          <w:noProof/>
        </w:rPr>
        <w:t>Control of Commonwealth explosives areas</w:t>
      </w:r>
      <w:r w:rsidRPr="00824B04">
        <w:rPr>
          <w:b w:val="0"/>
          <w:noProof/>
          <w:sz w:val="18"/>
        </w:rPr>
        <w:tab/>
      </w:r>
      <w:r w:rsidRPr="00824B04">
        <w:rPr>
          <w:b w:val="0"/>
          <w:noProof/>
          <w:sz w:val="18"/>
        </w:rPr>
        <w:fldChar w:fldCharType="begin"/>
      </w:r>
      <w:r w:rsidRPr="00824B04">
        <w:rPr>
          <w:b w:val="0"/>
          <w:noProof/>
          <w:sz w:val="18"/>
        </w:rPr>
        <w:instrText xml:space="preserve"> PAGEREF _Toc170463343 \h </w:instrText>
      </w:r>
      <w:r w:rsidRPr="00824B04">
        <w:rPr>
          <w:b w:val="0"/>
          <w:noProof/>
          <w:sz w:val="18"/>
        </w:rPr>
      </w:r>
      <w:r w:rsidRPr="00824B04">
        <w:rPr>
          <w:b w:val="0"/>
          <w:noProof/>
          <w:sz w:val="18"/>
        </w:rPr>
        <w:fldChar w:fldCharType="separate"/>
      </w:r>
      <w:r w:rsidR="00443E66" w:rsidRPr="00824B04">
        <w:rPr>
          <w:b w:val="0"/>
          <w:noProof/>
          <w:sz w:val="18"/>
        </w:rPr>
        <w:t>16</w:t>
      </w:r>
      <w:r w:rsidRPr="00824B04">
        <w:rPr>
          <w:b w:val="0"/>
          <w:noProof/>
          <w:sz w:val="18"/>
        </w:rPr>
        <w:fldChar w:fldCharType="end"/>
      </w:r>
    </w:p>
    <w:p w14:paraId="3E929768" w14:textId="6821892F"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1—Preliminary</w:t>
      </w:r>
      <w:r w:rsidRPr="00824B04">
        <w:rPr>
          <w:b w:val="0"/>
          <w:noProof/>
          <w:sz w:val="18"/>
        </w:rPr>
        <w:tab/>
      </w:r>
      <w:r w:rsidRPr="00824B04">
        <w:rPr>
          <w:b w:val="0"/>
          <w:noProof/>
          <w:sz w:val="18"/>
        </w:rPr>
        <w:fldChar w:fldCharType="begin"/>
      </w:r>
      <w:r w:rsidRPr="00824B04">
        <w:rPr>
          <w:b w:val="0"/>
          <w:noProof/>
          <w:sz w:val="18"/>
        </w:rPr>
        <w:instrText xml:space="preserve"> PAGEREF _Toc170463344 \h </w:instrText>
      </w:r>
      <w:r w:rsidRPr="00824B04">
        <w:rPr>
          <w:b w:val="0"/>
          <w:noProof/>
          <w:sz w:val="18"/>
        </w:rPr>
      </w:r>
      <w:r w:rsidRPr="00824B04">
        <w:rPr>
          <w:b w:val="0"/>
          <w:noProof/>
          <w:sz w:val="18"/>
        </w:rPr>
        <w:fldChar w:fldCharType="separate"/>
      </w:r>
      <w:r w:rsidR="00443E66" w:rsidRPr="00824B04">
        <w:rPr>
          <w:b w:val="0"/>
          <w:noProof/>
          <w:sz w:val="18"/>
        </w:rPr>
        <w:t>16</w:t>
      </w:r>
      <w:r w:rsidRPr="00824B04">
        <w:rPr>
          <w:b w:val="0"/>
          <w:noProof/>
          <w:sz w:val="18"/>
        </w:rPr>
        <w:fldChar w:fldCharType="end"/>
      </w:r>
    </w:p>
    <w:p w14:paraId="18C73EA2" w14:textId="22B530EC" w:rsidR="009E0AF4" w:rsidRPr="00824B04" w:rsidRDefault="009E0AF4">
      <w:pPr>
        <w:pStyle w:val="TOC5"/>
        <w:rPr>
          <w:rFonts w:asciiTheme="minorHAnsi" w:eastAsiaTheme="minorEastAsia" w:hAnsiTheme="minorHAnsi" w:cstheme="minorBidi"/>
          <w:noProof/>
          <w:kern w:val="0"/>
          <w:sz w:val="22"/>
          <w:szCs w:val="22"/>
        </w:rPr>
      </w:pPr>
      <w:r w:rsidRPr="00824B04">
        <w:rPr>
          <w:noProof/>
        </w:rPr>
        <w:t>23</w:t>
      </w:r>
      <w:r w:rsidRPr="00824B04">
        <w:rPr>
          <w:noProof/>
        </w:rPr>
        <w:tab/>
        <w:t>Purpose of this Part</w:t>
      </w:r>
      <w:r w:rsidRPr="00824B04">
        <w:rPr>
          <w:noProof/>
        </w:rPr>
        <w:tab/>
      </w:r>
      <w:r w:rsidRPr="00824B04">
        <w:rPr>
          <w:noProof/>
        </w:rPr>
        <w:fldChar w:fldCharType="begin"/>
      </w:r>
      <w:r w:rsidRPr="00824B04">
        <w:rPr>
          <w:noProof/>
        </w:rPr>
        <w:instrText xml:space="preserve"> PAGEREF _Toc170463345 \h </w:instrText>
      </w:r>
      <w:r w:rsidRPr="00824B04">
        <w:rPr>
          <w:noProof/>
        </w:rPr>
      </w:r>
      <w:r w:rsidRPr="00824B04">
        <w:rPr>
          <w:noProof/>
        </w:rPr>
        <w:fldChar w:fldCharType="separate"/>
      </w:r>
      <w:r w:rsidR="00443E66" w:rsidRPr="00824B04">
        <w:rPr>
          <w:noProof/>
        </w:rPr>
        <w:t>16</w:t>
      </w:r>
      <w:r w:rsidRPr="00824B04">
        <w:rPr>
          <w:noProof/>
        </w:rPr>
        <w:fldChar w:fldCharType="end"/>
      </w:r>
    </w:p>
    <w:p w14:paraId="2EBA9C21" w14:textId="733C80DB"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2—Prohibited activities</w:t>
      </w:r>
      <w:r w:rsidRPr="00824B04">
        <w:rPr>
          <w:b w:val="0"/>
          <w:noProof/>
          <w:sz w:val="18"/>
        </w:rPr>
        <w:tab/>
      </w:r>
      <w:r w:rsidRPr="00824B04">
        <w:rPr>
          <w:b w:val="0"/>
          <w:noProof/>
          <w:sz w:val="18"/>
        </w:rPr>
        <w:fldChar w:fldCharType="begin"/>
      </w:r>
      <w:r w:rsidRPr="00824B04">
        <w:rPr>
          <w:b w:val="0"/>
          <w:noProof/>
          <w:sz w:val="18"/>
        </w:rPr>
        <w:instrText xml:space="preserve"> PAGEREF _Toc170463346 \h </w:instrText>
      </w:r>
      <w:r w:rsidRPr="00824B04">
        <w:rPr>
          <w:b w:val="0"/>
          <w:noProof/>
          <w:sz w:val="18"/>
        </w:rPr>
      </w:r>
      <w:r w:rsidRPr="00824B04">
        <w:rPr>
          <w:b w:val="0"/>
          <w:noProof/>
          <w:sz w:val="18"/>
        </w:rPr>
        <w:fldChar w:fldCharType="separate"/>
      </w:r>
      <w:r w:rsidR="00443E66" w:rsidRPr="00824B04">
        <w:rPr>
          <w:b w:val="0"/>
          <w:noProof/>
          <w:sz w:val="18"/>
        </w:rPr>
        <w:t>17</w:t>
      </w:r>
      <w:r w:rsidRPr="00824B04">
        <w:rPr>
          <w:b w:val="0"/>
          <w:noProof/>
          <w:sz w:val="18"/>
        </w:rPr>
        <w:fldChar w:fldCharType="end"/>
      </w:r>
    </w:p>
    <w:p w14:paraId="48045835" w14:textId="69D31A3E" w:rsidR="009E0AF4" w:rsidRPr="00824B04" w:rsidRDefault="009E0AF4">
      <w:pPr>
        <w:pStyle w:val="TOC5"/>
        <w:rPr>
          <w:rFonts w:asciiTheme="minorHAnsi" w:eastAsiaTheme="minorEastAsia" w:hAnsiTheme="minorHAnsi" w:cstheme="minorBidi"/>
          <w:noProof/>
          <w:kern w:val="0"/>
          <w:sz w:val="22"/>
          <w:szCs w:val="22"/>
        </w:rPr>
      </w:pPr>
      <w:r w:rsidRPr="00824B04">
        <w:rPr>
          <w:noProof/>
        </w:rPr>
        <w:t>24</w:t>
      </w:r>
      <w:r w:rsidRPr="00824B04">
        <w:rPr>
          <w:noProof/>
        </w:rPr>
        <w:tab/>
        <w:t>Entry into a Commonwealth explosives area</w:t>
      </w:r>
      <w:r w:rsidRPr="00824B04">
        <w:rPr>
          <w:noProof/>
        </w:rPr>
        <w:tab/>
      </w:r>
      <w:r w:rsidRPr="00824B04">
        <w:rPr>
          <w:noProof/>
        </w:rPr>
        <w:fldChar w:fldCharType="begin"/>
      </w:r>
      <w:r w:rsidRPr="00824B04">
        <w:rPr>
          <w:noProof/>
        </w:rPr>
        <w:instrText xml:space="preserve"> PAGEREF _Toc170463347 \h </w:instrText>
      </w:r>
      <w:r w:rsidRPr="00824B04">
        <w:rPr>
          <w:noProof/>
        </w:rPr>
      </w:r>
      <w:r w:rsidRPr="00824B04">
        <w:rPr>
          <w:noProof/>
        </w:rPr>
        <w:fldChar w:fldCharType="separate"/>
      </w:r>
      <w:r w:rsidR="00443E66" w:rsidRPr="00824B04">
        <w:rPr>
          <w:noProof/>
        </w:rPr>
        <w:t>17</w:t>
      </w:r>
      <w:r w:rsidRPr="00824B04">
        <w:rPr>
          <w:noProof/>
        </w:rPr>
        <w:fldChar w:fldCharType="end"/>
      </w:r>
    </w:p>
    <w:p w14:paraId="69B8C843" w14:textId="17F57FD5" w:rsidR="009E0AF4" w:rsidRPr="00824B04" w:rsidRDefault="009E0AF4">
      <w:pPr>
        <w:pStyle w:val="TOC5"/>
        <w:rPr>
          <w:rFonts w:asciiTheme="minorHAnsi" w:eastAsiaTheme="minorEastAsia" w:hAnsiTheme="minorHAnsi" w:cstheme="minorBidi"/>
          <w:noProof/>
          <w:kern w:val="0"/>
          <w:sz w:val="22"/>
          <w:szCs w:val="22"/>
        </w:rPr>
      </w:pPr>
      <w:r w:rsidRPr="00824B04">
        <w:rPr>
          <w:noProof/>
        </w:rPr>
        <w:t>25</w:t>
      </w:r>
      <w:r w:rsidRPr="00824B04">
        <w:rPr>
          <w:noProof/>
        </w:rPr>
        <w:tab/>
        <w:t>Hindrance, obstruction and failure to comply with directions</w:t>
      </w:r>
      <w:r w:rsidRPr="00824B04">
        <w:rPr>
          <w:noProof/>
        </w:rPr>
        <w:tab/>
      </w:r>
      <w:r w:rsidRPr="00824B04">
        <w:rPr>
          <w:noProof/>
        </w:rPr>
        <w:fldChar w:fldCharType="begin"/>
      </w:r>
      <w:r w:rsidRPr="00824B04">
        <w:rPr>
          <w:noProof/>
        </w:rPr>
        <w:instrText xml:space="preserve"> PAGEREF _Toc170463348 \h </w:instrText>
      </w:r>
      <w:r w:rsidRPr="00824B04">
        <w:rPr>
          <w:noProof/>
        </w:rPr>
      </w:r>
      <w:r w:rsidRPr="00824B04">
        <w:rPr>
          <w:noProof/>
        </w:rPr>
        <w:fldChar w:fldCharType="separate"/>
      </w:r>
      <w:r w:rsidR="00443E66" w:rsidRPr="00824B04">
        <w:rPr>
          <w:noProof/>
        </w:rPr>
        <w:t>17</w:t>
      </w:r>
      <w:r w:rsidRPr="00824B04">
        <w:rPr>
          <w:noProof/>
        </w:rPr>
        <w:fldChar w:fldCharType="end"/>
      </w:r>
    </w:p>
    <w:p w14:paraId="70E79877" w14:textId="6A23F72D" w:rsidR="009E0AF4" w:rsidRPr="00824B04" w:rsidRDefault="009E0AF4">
      <w:pPr>
        <w:pStyle w:val="TOC5"/>
        <w:rPr>
          <w:rFonts w:asciiTheme="minorHAnsi" w:eastAsiaTheme="minorEastAsia" w:hAnsiTheme="minorHAnsi" w:cstheme="minorBidi"/>
          <w:noProof/>
          <w:kern w:val="0"/>
          <w:sz w:val="22"/>
          <w:szCs w:val="22"/>
        </w:rPr>
      </w:pPr>
      <w:r w:rsidRPr="00824B04">
        <w:rPr>
          <w:noProof/>
        </w:rPr>
        <w:t>26</w:t>
      </w:r>
      <w:r w:rsidRPr="00824B04">
        <w:rPr>
          <w:noProof/>
        </w:rPr>
        <w:tab/>
        <w:t>Parking, stopping and mooring</w:t>
      </w:r>
      <w:r w:rsidRPr="00824B04">
        <w:rPr>
          <w:noProof/>
        </w:rPr>
        <w:tab/>
      </w:r>
      <w:r w:rsidRPr="00824B04">
        <w:rPr>
          <w:noProof/>
        </w:rPr>
        <w:fldChar w:fldCharType="begin"/>
      </w:r>
      <w:r w:rsidRPr="00824B04">
        <w:rPr>
          <w:noProof/>
        </w:rPr>
        <w:instrText xml:space="preserve"> PAGEREF _Toc170463349 \h </w:instrText>
      </w:r>
      <w:r w:rsidRPr="00824B04">
        <w:rPr>
          <w:noProof/>
        </w:rPr>
      </w:r>
      <w:r w:rsidRPr="00824B04">
        <w:rPr>
          <w:noProof/>
        </w:rPr>
        <w:fldChar w:fldCharType="separate"/>
      </w:r>
      <w:r w:rsidR="00443E66" w:rsidRPr="00824B04">
        <w:rPr>
          <w:noProof/>
        </w:rPr>
        <w:t>17</w:t>
      </w:r>
      <w:r w:rsidRPr="00824B04">
        <w:rPr>
          <w:noProof/>
        </w:rPr>
        <w:fldChar w:fldCharType="end"/>
      </w:r>
    </w:p>
    <w:p w14:paraId="7FD0FD2B" w14:textId="090C0B13" w:rsidR="009E0AF4" w:rsidRPr="00824B04" w:rsidRDefault="009E0AF4">
      <w:pPr>
        <w:pStyle w:val="TOC5"/>
        <w:rPr>
          <w:rFonts w:asciiTheme="minorHAnsi" w:eastAsiaTheme="minorEastAsia" w:hAnsiTheme="minorHAnsi" w:cstheme="minorBidi"/>
          <w:noProof/>
          <w:kern w:val="0"/>
          <w:sz w:val="22"/>
          <w:szCs w:val="22"/>
        </w:rPr>
      </w:pPr>
      <w:r w:rsidRPr="00824B04">
        <w:rPr>
          <w:noProof/>
        </w:rPr>
        <w:t>27</w:t>
      </w:r>
      <w:r w:rsidRPr="00824B04">
        <w:rPr>
          <w:noProof/>
        </w:rPr>
        <w:tab/>
        <w:t>Maximum speed limits</w:t>
      </w:r>
      <w:r w:rsidRPr="00824B04">
        <w:rPr>
          <w:noProof/>
        </w:rPr>
        <w:tab/>
      </w:r>
      <w:r w:rsidRPr="00824B04">
        <w:rPr>
          <w:noProof/>
        </w:rPr>
        <w:fldChar w:fldCharType="begin"/>
      </w:r>
      <w:r w:rsidRPr="00824B04">
        <w:rPr>
          <w:noProof/>
        </w:rPr>
        <w:instrText xml:space="preserve"> PAGEREF _Toc170463350 \h </w:instrText>
      </w:r>
      <w:r w:rsidRPr="00824B04">
        <w:rPr>
          <w:noProof/>
        </w:rPr>
      </w:r>
      <w:r w:rsidRPr="00824B04">
        <w:rPr>
          <w:noProof/>
        </w:rPr>
        <w:fldChar w:fldCharType="separate"/>
      </w:r>
      <w:r w:rsidR="00443E66" w:rsidRPr="00824B04">
        <w:rPr>
          <w:noProof/>
        </w:rPr>
        <w:t>17</w:t>
      </w:r>
      <w:r w:rsidRPr="00824B04">
        <w:rPr>
          <w:noProof/>
        </w:rPr>
        <w:fldChar w:fldCharType="end"/>
      </w:r>
    </w:p>
    <w:p w14:paraId="0F8D6937" w14:textId="734D97B3" w:rsidR="009E0AF4" w:rsidRPr="00824B04" w:rsidRDefault="009E0AF4">
      <w:pPr>
        <w:pStyle w:val="TOC5"/>
        <w:rPr>
          <w:rFonts w:asciiTheme="minorHAnsi" w:eastAsiaTheme="minorEastAsia" w:hAnsiTheme="minorHAnsi" w:cstheme="minorBidi"/>
          <w:noProof/>
          <w:kern w:val="0"/>
          <w:sz w:val="22"/>
          <w:szCs w:val="22"/>
        </w:rPr>
      </w:pPr>
      <w:r w:rsidRPr="00824B04">
        <w:rPr>
          <w:noProof/>
        </w:rPr>
        <w:t>28</w:t>
      </w:r>
      <w:r w:rsidRPr="00824B04">
        <w:rPr>
          <w:noProof/>
        </w:rPr>
        <w:tab/>
        <w:t>Smoking and other fire hazards</w:t>
      </w:r>
      <w:r w:rsidRPr="00824B04">
        <w:rPr>
          <w:noProof/>
        </w:rPr>
        <w:tab/>
      </w:r>
      <w:r w:rsidRPr="00824B04">
        <w:rPr>
          <w:noProof/>
        </w:rPr>
        <w:fldChar w:fldCharType="begin"/>
      </w:r>
      <w:r w:rsidRPr="00824B04">
        <w:rPr>
          <w:noProof/>
        </w:rPr>
        <w:instrText xml:space="preserve"> PAGEREF _Toc170463351 \h </w:instrText>
      </w:r>
      <w:r w:rsidRPr="00824B04">
        <w:rPr>
          <w:noProof/>
        </w:rPr>
      </w:r>
      <w:r w:rsidRPr="00824B04">
        <w:rPr>
          <w:noProof/>
        </w:rPr>
        <w:fldChar w:fldCharType="separate"/>
      </w:r>
      <w:r w:rsidR="00443E66" w:rsidRPr="00824B04">
        <w:rPr>
          <w:noProof/>
        </w:rPr>
        <w:t>17</w:t>
      </w:r>
      <w:r w:rsidRPr="00824B04">
        <w:rPr>
          <w:noProof/>
        </w:rPr>
        <w:fldChar w:fldCharType="end"/>
      </w:r>
    </w:p>
    <w:p w14:paraId="3F0A0992" w14:textId="5B2D7051" w:rsidR="009E0AF4" w:rsidRPr="00824B04" w:rsidRDefault="009E0AF4">
      <w:pPr>
        <w:pStyle w:val="TOC5"/>
        <w:rPr>
          <w:rFonts w:asciiTheme="minorHAnsi" w:eastAsiaTheme="minorEastAsia" w:hAnsiTheme="minorHAnsi" w:cstheme="minorBidi"/>
          <w:noProof/>
          <w:kern w:val="0"/>
          <w:sz w:val="22"/>
          <w:szCs w:val="22"/>
        </w:rPr>
      </w:pPr>
      <w:r w:rsidRPr="00824B04">
        <w:rPr>
          <w:noProof/>
        </w:rPr>
        <w:t>29</w:t>
      </w:r>
      <w:r w:rsidRPr="00824B04">
        <w:rPr>
          <w:noProof/>
        </w:rPr>
        <w:tab/>
        <w:t>Persons under the influence of alcohol or drugs</w:t>
      </w:r>
      <w:r w:rsidRPr="00824B04">
        <w:rPr>
          <w:noProof/>
        </w:rPr>
        <w:tab/>
      </w:r>
      <w:r w:rsidRPr="00824B04">
        <w:rPr>
          <w:noProof/>
        </w:rPr>
        <w:fldChar w:fldCharType="begin"/>
      </w:r>
      <w:r w:rsidRPr="00824B04">
        <w:rPr>
          <w:noProof/>
        </w:rPr>
        <w:instrText xml:space="preserve"> PAGEREF _Toc170463352 \h </w:instrText>
      </w:r>
      <w:r w:rsidRPr="00824B04">
        <w:rPr>
          <w:noProof/>
        </w:rPr>
      </w:r>
      <w:r w:rsidRPr="00824B04">
        <w:rPr>
          <w:noProof/>
        </w:rPr>
        <w:fldChar w:fldCharType="separate"/>
      </w:r>
      <w:r w:rsidR="00443E66" w:rsidRPr="00824B04">
        <w:rPr>
          <w:noProof/>
        </w:rPr>
        <w:t>18</w:t>
      </w:r>
      <w:r w:rsidRPr="00824B04">
        <w:rPr>
          <w:noProof/>
        </w:rPr>
        <w:fldChar w:fldCharType="end"/>
      </w:r>
    </w:p>
    <w:p w14:paraId="7F1DEE6B" w14:textId="5C15C6DE" w:rsidR="009E0AF4" w:rsidRPr="00824B04" w:rsidRDefault="009E0AF4">
      <w:pPr>
        <w:pStyle w:val="TOC2"/>
        <w:rPr>
          <w:rFonts w:asciiTheme="minorHAnsi" w:eastAsiaTheme="minorEastAsia" w:hAnsiTheme="minorHAnsi" w:cstheme="minorBidi"/>
          <w:b w:val="0"/>
          <w:noProof/>
          <w:kern w:val="0"/>
          <w:sz w:val="22"/>
          <w:szCs w:val="22"/>
        </w:rPr>
      </w:pPr>
      <w:r w:rsidRPr="00824B04">
        <w:rPr>
          <w:noProof/>
        </w:rPr>
        <w:t>Part 4—Other matters</w:t>
      </w:r>
      <w:r w:rsidRPr="00824B04">
        <w:rPr>
          <w:b w:val="0"/>
          <w:noProof/>
          <w:sz w:val="18"/>
        </w:rPr>
        <w:tab/>
      </w:r>
      <w:r w:rsidRPr="00824B04">
        <w:rPr>
          <w:b w:val="0"/>
          <w:noProof/>
          <w:sz w:val="18"/>
        </w:rPr>
        <w:fldChar w:fldCharType="begin"/>
      </w:r>
      <w:r w:rsidRPr="00824B04">
        <w:rPr>
          <w:b w:val="0"/>
          <w:noProof/>
          <w:sz w:val="18"/>
        </w:rPr>
        <w:instrText xml:space="preserve"> PAGEREF _Toc170463353 \h </w:instrText>
      </w:r>
      <w:r w:rsidRPr="00824B04">
        <w:rPr>
          <w:b w:val="0"/>
          <w:noProof/>
          <w:sz w:val="18"/>
        </w:rPr>
      </w:r>
      <w:r w:rsidRPr="00824B04">
        <w:rPr>
          <w:b w:val="0"/>
          <w:noProof/>
          <w:sz w:val="18"/>
        </w:rPr>
        <w:fldChar w:fldCharType="separate"/>
      </w:r>
      <w:r w:rsidR="00443E66" w:rsidRPr="00824B04">
        <w:rPr>
          <w:b w:val="0"/>
          <w:noProof/>
          <w:sz w:val="18"/>
        </w:rPr>
        <w:t>19</w:t>
      </w:r>
      <w:r w:rsidRPr="00824B04">
        <w:rPr>
          <w:b w:val="0"/>
          <w:noProof/>
          <w:sz w:val="18"/>
        </w:rPr>
        <w:fldChar w:fldCharType="end"/>
      </w:r>
    </w:p>
    <w:p w14:paraId="3A506A8B" w14:textId="6EBA5C26"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1—Competent Authority</w:t>
      </w:r>
      <w:r w:rsidRPr="00824B04">
        <w:rPr>
          <w:b w:val="0"/>
          <w:noProof/>
          <w:sz w:val="18"/>
        </w:rPr>
        <w:tab/>
      </w:r>
      <w:r w:rsidRPr="00824B04">
        <w:rPr>
          <w:b w:val="0"/>
          <w:noProof/>
          <w:sz w:val="18"/>
        </w:rPr>
        <w:fldChar w:fldCharType="begin"/>
      </w:r>
      <w:r w:rsidRPr="00824B04">
        <w:rPr>
          <w:b w:val="0"/>
          <w:noProof/>
          <w:sz w:val="18"/>
        </w:rPr>
        <w:instrText xml:space="preserve"> PAGEREF _Toc170463354 \h </w:instrText>
      </w:r>
      <w:r w:rsidRPr="00824B04">
        <w:rPr>
          <w:b w:val="0"/>
          <w:noProof/>
          <w:sz w:val="18"/>
        </w:rPr>
      </w:r>
      <w:r w:rsidRPr="00824B04">
        <w:rPr>
          <w:b w:val="0"/>
          <w:noProof/>
          <w:sz w:val="18"/>
        </w:rPr>
        <w:fldChar w:fldCharType="separate"/>
      </w:r>
      <w:r w:rsidR="00443E66" w:rsidRPr="00824B04">
        <w:rPr>
          <w:b w:val="0"/>
          <w:noProof/>
          <w:sz w:val="18"/>
        </w:rPr>
        <w:t>19</w:t>
      </w:r>
      <w:r w:rsidRPr="00824B04">
        <w:rPr>
          <w:b w:val="0"/>
          <w:noProof/>
          <w:sz w:val="18"/>
        </w:rPr>
        <w:fldChar w:fldCharType="end"/>
      </w:r>
    </w:p>
    <w:p w14:paraId="3A143116" w14:textId="5D2C7664" w:rsidR="009E0AF4" w:rsidRPr="00824B04" w:rsidRDefault="009E0AF4">
      <w:pPr>
        <w:pStyle w:val="TOC5"/>
        <w:rPr>
          <w:rFonts w:asciiTheme="minorHAnsi" w:eastAsiaTheme="minorEastAsia" w:hAnsiTheme="minorHAnsi" w:cstheme="minorBidi"/>
          <w:noProof/>
          <w:kern w:val="0"/>
          <w:sz w:val="22"/>
          <w:szCs w:val="22"/>
        </w:rPr>
      </w:pPr>
      <w:r w:rsidRPr="00824B04">
        <w:rPr>
          <w:noProof/>
        </w:rPr>
        <w:t>30</w:t>
      </w:r>
      <w:r w:rsidRPr="00824B04">
        <w:rPr>
          <w:noProof/>
        </w:rPr>
        <w:tab/>
        <w:t>Appointment and powers of Competent Authority</w:t>
      </w:r>
      <w:r w:rsidRPr="00824B04">
        <w:rPr>
          <w:noProof/>
        </w:rPr>
        <w:tab/>
      </w:r>
      <w:r w:rsidRPr="00824B04">
        <w:rPr>
          <w:noProof/>
        </w:rPr>
        <w:fldChar w:fldCharType="begin"/>
      </w:r>
      <w:r w:rsidRPr="00824B04">
        <w:rPr>
          <w:noProof/>
        </w:rPr>
        <w:instrText xml:space="preserve"> PAGEREF _Toc170463355 \h </w:instrText>
      </w:r>
      <w:r w:rsidRPr="00824B04">
        <w:rPr>
          <w:noProof/>
        </w:rPr>
      </w:r>
      <w:r w:rsidRPr="00824B04">
        <w:rPr>
          <w:noProof/>
        </w:rPr>
        <w:fldChar w:fldCharType="separate"/>
      </w:r>
      <w:r w:rsidR="00443E66" w:rsidRPr="00824B04">
        <w:rPr>
          <w:noProof/>
        </w:rPr>
        <w:t>19</w:t>
      </w:r>
      <w:r w:rsidRPr="00824B04">
        <w:rPr>
          <w:noProof/>
        </w:rPr>
        <w:fldChar w:fldCharType="end"/>
      </w:r>
    </w:p>
    <w:p w14:paraId="33ABE39F" w14:textId="1EA3BD23" w:rsidR="009E0AF4" w:rsidRPr="00824B04" w:rsidRDefault="009E0AF4">
      <w:pPr>
        <w:pStyle w:val="TOC5"/>
        <w:rPr>
          <w:rFonts w:asciiTheme="minorHAnsi" w:eastAsiaTheme="minorEastAsia" w:hAnsiTheme="minorHAnsi" w:cstheme="minorBidi"/>
          <w:noProof/>
          <w:kern w:val="0"/>
          <w:sz w:val="22"/>
          <w:szCs w:val="22"/>
        </w:rPr>
      </w:pPr>
      <w:r w:rsidRPr="00824B04">
        <w:rPr>
          <w:noProof/>
        </w:rPr>
        <w:t>31</w:t>
      </w:r>
      <w:r w:rsidRPr="00824B04">
        <w:rPr>
          <w:noProof/>
        </w:rPr>
        <w:tab/>
        <w:t>Delegation by Competent Authority</w:t>
      </w:r>
      <w:r w:rsidRPr="00824B04">
        <w:rPr>
          <w:noProof/>
        </w:rPr>
        <w:tab/>
      </w:r>
      <w:r w:rsidRPr="00824B04">
        <w:rPr>
          <w:noProof/>
        </w:rPr>
        <w:fldChar w:fldCharType="begin"/>
      </w:r>
      <w:r w:rsidRPr="00824B04">
        <w:rPr>
          <w:noProof/>
        </w:rPr>
        <w:instrText xml:space="preserve"> PAGEREF _Toc170463356 \h </w:instrText>
      </w:r>
      <w:r w:rsidRPr="00824B04">
        <w:rPr>
          <w:noProof/>
        </w:rPr>
      </w:r>
      <w:r w:rsidRPr="00824B04">
        <w:rPr>
          <w:noProof/>
        </w:rPr>
        <w:fldChar w:fldCharType="separate"/>
      </w:r>
      <w:r w:rsidR="00443E66" w:rsidRPr="00824B04">
        <w:rPr>
          <w:noProof/>
        </w:rPr>
        <w:t>19</w:t>
      </w:r>
      <w:r w:rsidRPr="00824B04">
        <w:rPr>
          <w:noProof/>
        </w:rPr>
        <w:fldChar w:fldCharType="end"/>
      </w:r>
    </w:p>
    <w:p w14:paraId="6448214D" w14:textId="0E6F7A8C"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2—Compliance auditors</w:t>
      </w:r>
      <w:r w:rsidRPr="00824B04">
        <w:rPr>
          <w:b w:val="0"/>
          <w:noProof/>
          <w:sz w:val="18"/>
        </w:rPr>
        <w:tab/>
      </w:r>
      <w:r w:rsidRPr="00824B04">
        <w:rPr>
          <w:b w:val="0"/>
          <w:noProof/>
          <w:sz w:val="18"/>
        </w:rPr>
        <w:fldChar w:fldCharType="begin"/>
      </w:r>
      <w:r w:rsidRPr="00824B04">
        <w:rPr>
          <w:b w:val="0"/>
          <w:noProof/>
          <w:sz w:val="18"/>
        </w:rPr>
        <w:instrText xml:space="preserve"> PAGEREF _Toc170463357 \h </w:instrText>
      </w:r>
      <w:r w:rsidRPr="00824B04">
        <w:rPr>
          <w:b w:val="0"/>
          <w:noProof/>
          <w:sz w:val="18"/>
        </w:rPr>
      </w:r>
      <w:r w:rsidRPr="00824B04">
        <w:rPr>
          <w:b w:val="0"/>
          <w:noProof/>
          <w:sz w:val="18"/>
        </w:rPr>
        <w:fldChar w:fldCharType="separate"/>
      </w:r>
      <w:r w:rsidR="00443E66" w:rsidRPr="00824B04">
        <w:rPr>
          <w:b w:val="0"/>
          <w:noProof/>
          <w:sz w:val="18"/>
        </w:rPr>
        <w:t>20</w:t>
      </w:r>
      <w:r w:rsidRPr="00824B04">
        <w:rPr>
          <w:b w:val="0"/>
          <w:noProof/>
          <w:sz w:val="18"/>
        </w:rPr>
        <w:fldChar w:fldCharType="end"/>
      </w:r>
    </w:p>
    <w:p w14:paraId="3E327F4F" w14:textId="1D138851" w:rsidR="009E0AF4" w:rsidRPr="00824B04" w:rsidRDefault="009E0AF4">
      <w:pPr>
        <w:pStyle w:val="TOC5"/>
        <w:rPr>
          <w:rFonts w:asciiTheme="minorHAnsi" w:eastAsiaTheme="minorEastAsia" w:hAnsiTheme="minorHAnsi" w:cstheme="minorBidi"/>
          <w:noProof/>
          <w:kern w:val="0"/>
          <w:sz w:val="22"/>
          <w:szCs w:val="22"/>
        </w:rPr>
      </w:pPr>
      <w:r w:rsidRPr="00824B04">
        <w:rPr>
          <w:noProof/>
        </w:rPr>
        <w:t>32</w:t>
      </w:r>
      <w:r w:rsidRPr="00824B04">
        <w:rPr>
          <w:noProof/>
        </w:rPr>
        <w:tab/>
        <w:t>Appointment of compliance auditors</w:t>
      </w:r>
      <w:r w:rsidRPr="00824B04">
        <w:rPr>
          <w:noProof/>
        </w:rPr>
        <w:tab/>
      </w:r>
      <w:r w:rsidRPr="00824B04">
        <w:rPr>
          <w:noProof/>
        </w:rPr>
        <w:fldChar w:fldCharType="begin"/>
      </w:r>
      <w:r w:rsidRPr="00824B04">
        <w:rPr>
          <w:noProof/>
        </w:rPr>
        <w:instrText xml:space="preserve"> PAGEREF _Toc170463358 \h </w:instrText>
      </w:r>
      <w:r w:rsidRPr="00824B04">
        <w:rPr>
          <w:noProof/>
        </w:rPr>
      </w:r>
      <w:r w:rsidRPr="00824B04">
        <w:rPr>
          <w:noProof/>
        </w:rPr>
        <w:fldChar w:fldCharType="separate"/>
      </w:r>
      <w:r w:rsidR="00443E66" w:rsidRPr="00824B04">
        <w:rPr>
          <w:noProof/>
        </w:rPr>
        <w:t>20</w:t>
      </w:r>
      <w:r w:rsidRPr="00824B04">
        <w:rPr>
          <w:noProof/>
        </w:rPr>
        <w:fldChar w:fldCharType="end"/>
      </w:r>
    </w:p>
    <w:p w14:paraId="324AC89A" w14:textId="5B4C6EDD" w:rsidR="009E0AF4" w:rsidRPr="00824B04" w:rsidRDefault="009E0AF4">
      <w:pPr>
        <w:pStyle w:val="TOC5"/>
        <w:rPr>
          <w:rFonts w:asciiTheme="minorHAnsi" w:eastAsiaTheme="minorEastAsia" w:hAnsiTheme="minorHAnsi" w:cstheme="minorBidi"/>
          <w:noProof/>
          <w:kern w:val="0"/>
          <w:sz w:val="22"/>
          <w:szCs w:val="22"/>
        </w:rPr>
      </w:pPr>
      <w:r w:rsidRPr="00824B04">
        <w:rPr>
          <w:noProof/>
        </w:rPr>
        <w:lastRenderedPageBreak/>
        <w:t>33</w:t>
      </w:r>
      <w:r w:rsidRPr="00824B04">
        <w:rPr>
          <w:noProof/>
        </w:rPr>
        <w:tab/>
        <w:t>Compliance audits</w:t>
      </w:r>
      <w:r w:rsidRPr="00824B04">
        <w:rPr>
          <w:noProof/>
        </w:rPr>
        <w:tab/>
      </w:r>
      <w:r w:rsidRPr="00824B04">
        <w:rPr>
          <w:noProof/>
        </w:rPr>
        <w:fldChar w:fldCharType="begin"/>
      </w:r>
      <w:r w:rsidRPr="00824B04">
        <w:rPr>
          <w:noProof/>
        </w:rPr>
        <w:instrText xml:space="preserve"> PAGEREF _Toc170463359 \h </w:instrText>
      </w:r>
      <w:r w:rsidRPr="00824B04">
        <w:rPr>
          <w:noProof/>
        </w:rPr>
      </w:r>
      <w:r w:rsidRPr="00824B04">
        <w:rPr>
          <w:noProof/>
        </w:rPr>
        <w:fldChar w:fldCharType="separate"/>
      </w:r>
      <w:r w:rsidR="00443E66" w:rsidRPr="00824B04">
        <w:rPr>
          <w:noProof/>
        </w:rPr>
        <w:t>20</w:t>
      </w:r>
      <w:r w:rsidRPr="00824B04">
        <w:rPr>
          <w:noProof/>
        </w:rPr>
        <w:fldChar w:fldCharType="end"/>
      </w:r>
    </w:p>
    <w:p w14:paraId="79FE79AF" w14:textId="7E1D38A7" w:rsidR="009E0AF4" w:rsidRPr="00824B04" w:rsidRDefault="009E0AF4">
      <w:pPr>
        <w:pStyle w:val="TOC5"/>
        <w:rPr>
          <w:rFonts w:asciiTheme="minorHAnsi" w:eastAsiaTheme="minorEastAsia" w:hAnsiTheme="minorHAnsi" w:cstheme="minorBidi"/>
          <w:noProof/>
          <w:kern w:val="0"/>
          <w:sz w:val="22"/>
          <w:szCs w:val="22"/>
        </w:rPr>
      </w:pPr>
      <w:r w:rsidRPr="00824B04">
        <w:rPr>
          <w:noProof/>
        </w:rPr>
        <w:t>34</w:t>
      </w:r>
      <w:r w:rsidRPr="00824B04">
        <w:rPr>
          <w:noProof/>
        </w:rPr>
        <w:tab/>
        <w:t>Identity cards for compliance auditors</w:t>
      </w:r>
      <w:r w:rsidRPr="00824B04">
        <w:rPr>
          <w:noProof/>
        </w:rPr>
        <w:tab/>
      </w:r>
      <w:r w:rsidRPr="00824B04">
        <w:rPr>
          <w:noProof/>
        </w:rPr>
        <w:fldChar w:fldCharType="begin"/>
      </w:r>
      <w:r w:rsidRPr="00824B04">
        <w:rPr>
          <w:noProof/>
        </w:rPr>
        <w:instrText xml:space="preserve"> PAGEREF _Toc170463360 \h </w:instrText>
      </w:r>
      <w:r w:rsidRPr="00824B04">
        <w:rPr>
          <w:noProof/>
        </w:rPr>
      </w:r>
      <w:r w:rsidRPr="00824B04">
        <w:rPr>
          <w:noProof/>
        </w:rPr>
        <w:fldChar w:fldCharType="separate"/>
      </w:r>
      <w:r w:rsidR="00443E66" w:rsidRPr="00824B04">
        <w:rPr>
          <w:noProof/>
        </w:rPr>
        <w:t>21</w:t>
      </w:r>
      <w:r w:rsidRPr="00824B04">
        <w:rPr>
          <w:noProof/>
        </w:rPr>
        <w:fldChar w:fldCharType="end"/>
      </w:r>
    </w:p>
    <w:p w14:paraId="328F2231" w14:textId="7B5C6C11"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3—Area managers</w:t>
      </w:r>
      <w:r w:rsidRPr="00824B04">
        <w:rPr>
          <w:b w:val="0"/>
          <w:noProof/>
          <w:sz w:val="18"/>
        </w:rPr>
        <w:tab/>
      </w:r>
      <w:r w:rsidRPr="00824B04">
        <w:rPr>
          <w:b w:val="0"/>
          <w:noProof/>
          <w:sz w:val="18"/>
        </w:rPr>
        <w:fldChar w:fldCharType="begin"/>
      </w:r>
      <w:r w:rsidRPr="00824B04">
        <w:rPr>
          <w:b w:val="0"/>
          <w:noProof/>
          <w:sz w:val="18"/>
        </w:rPr>
        <w:instrText xml:space="preserve"> PAGEREF _Toc170463361 \h </w:instrText>
      </w:r>
      <w:r w:rsidRPr="00824B04">
        <w:rPr>
          <w:b w:val="0"/>
          <w:noProof/>
          <w:sz w:val="18"/>
        </w:rPr>
      </w:r>
      <w:r w:rsidRPr="00824B04">
        <w:rPr>
          <w:b w:val="0"/>
          <w:noProof/>
          <w:sz w:val="18"/>
        </w:rPr>
        <w:fldChar w:fldCharType="separate"/>
      </w:r>
      <w:r w:rsidR="00443E66" w:rsidRPr="00824B04">
        <w:rPr>
          <w:b w:val="0"/>
          <w:noProof/>
          <w:sz w:val="18"/>
        </w:rPr>
        <w:t>22</w:t>
      </w:r>
      <w:r w:rsidRPr="00824B04">
        <w:rPr>
          <w:b w:val="0"/>
          <w:noProof/>
          <w:sz w:val="18"/>
        </w:rPr>
        <w:fldChar w:fldCharType="end"/>
      </w:r>
    </w:p>
    <w:p w14:paraId="381F6FC4" w14:textId="69492965" w:rsidR="009E0AF4" w:rsidRPr="00824B04" w:rsidRDefault="009E0AF4">
      <w:pPr>
        <w:pStyle w:val="TOC5"/>
        <w:rPr>
          <w:rFonts w:asciiTheme="minorHAnsi" w:eastAsiaTheme="minorEastAsia" w:hAnsiTheme="minorHAnsi" w:cstheme="minorBidi"/>
          <w:noProof/>
          <w:kern w:val="0"/>
          <w:sz w:val="22"/>
          <w:szCs w:val="22"/>
        </w:rPr>
      </w:pPr>
      <w:r w:rsidRPr="00824B04">
        <w:rPr>
          <w:noProof/>
        </w:rPr>
        <w:t>35</w:t>
      </w:r>
      <w:r w:rsidRPr="00824B04">
        <w:rPr>
          <w:noProof/>
        </w:rPr>
        <w:tab/>
        <w:t>Area manager</w:t>
      </w:r>
      <w:r w:rsidRPr="00824B04">
        <w:rPr>
          <w:noProof/>
        </w:rPr>
        <w:tab/>
      </w:r>
      <w:r w:rsidRPr="00824B04">
        <w:rPr>
          <w:noProof/>
        </w:rPr>
        <w:fldChar w:fldCharType="begin"/>
      </w:r>
      <w:r w:rsidRPr="00824B04">
        <w:rPr>
          <w:noProof/>
        </w:rPr>
        <w:instrText xml:space="preserve"> PAGEREF _Toc170463362 \h </w:instrText>
      </w:r>
      <w:r w:rsidRPr="00824B04">
        <w:rPr>
          <w:noProof/>
        </w:rPr>
      </w:r>
      <w:r w:rsidRPr="00824B04">
        <w:rPr>
          <w:noProof/>
        </w:rPr>
        <w:fldChar w:fldCharType="separate"/>
      </w:r>
      <w:r w:rsidR="00443E66" w:rsidRPr="00824B04">
        <w:rPr>
          <w:noProof/>
        </w:rPr>
        <w:t>22</w:t>
      </w:r>
      <w:r w:rsidRPr="00824B04">
        <w:rPr>
          <w:noProof/>
        </w:rPr>
        <w:fldChar w:fldCharType="end"/>
      </w:r>
    </w:p>
    <w:p w14:paraId="290F945C" w14:textId="63F36757" w:rsidR="009E0AF4" w:rsidRPr="00824B04" w:rsidRDefault="009E0AF4">
      <w:pPr>
        <w:pStyle w:val="TOC5"/>
        <w:rPr>
          <w:rFonts w:asciiTheme="minorHAnsi" w:eastAsiaTheme="minorEastAsia" w:hAnsiTheme="minorHAnsi" w:cstheme="minorBidi"/>
          <w:noProof/>
          <w:kern w:val="0"/>
          <w:sz w:val="22"/>
          <w:szCs w:val="22"/>
        </w:rPr>
      </w:pPr>
      <w:r w:rsidRPr="00824B04">
        <w:rPr>
          <w:noProof/>
        </w:rPr>
        <w:t>36</w:t>
      </w:r>
      <w:r w:rsidRPr="00824B04">
        <w:rPr>
          <w:noProof/>
        </w:rPr>
        <w:tab/>
        <w:t>Consent to enter area</w:t>
      </w:r>
      <w:r w:rsidRPr="00824B04">
        <w:rPr>
          <w:noProof/>
        </w:rPr>
        <w:tab/>
      </w:r>
      <w:r w:rsidRPr="00824B04">
        <w:rPr>
          <w:noProof/>
        </w:rPr>
        <w:fldChar w:fldCharType="begin"/>
      </w:r>
      <w:r w:rsidRPr="00824B04">
        <w:rPr>
          <w:noProof/>
        </w:rPr>
        <w:instrText xml:space="preserve"> PAGEREF _Toc170463363 \h </w:instrText>
      </w:r>
      <w:r w:rsidRPr="00824B04">
        <w:rPr>
          <w:noProof/>
        </w:rPr>
      </w:r>
      <w:r w:rsidRPr="00824B04">
        <w:rPr>
          <w:noProof/>
        </w:rPr>
        <w:fldChar w:fldCharType="separate"/>
      </w:r>
      <w:r w:rsidR="00443E66" w:rsidRPr="00824B04">
        <w:rPr>
          <w:noProof/>
        </w:rPr>
        <w:t>22</w:t>
      </w:r>
      <w:r w:rsidRPr="00824B04">
        <w:rPr>
          <w:noProof/>
        </w:rPr>
        <w:fldChar w:fldCharType="end"/>
      </w:r>
    </w:p>
    <w:p w14:paraId="55BB6550" w14:textId="523B9321" w:rsidR="009E0AF4" w:rsidRPr="00824B04" w:rsidRDefault="009E0AF4">
      <w:pPr>
        <w:pStyle w:val="TOC5"/>
        <w:rPr>
          <w:rFonts w:asciiTheme="minorHAnsi" w:eastAsiaTheme="minorEastAsia" w:hAnsiTheme="minorHAnsi" w:cstheme="minorBidi"/>
          <w:noProof/>
          <w:kern w:val="0"/>
          <w:sz w:val="22"/>
          <w:szCs w:val="22"/>
        </w:rPr>
      </w:pPr>
      <w:r w:rsidRPr="00824B04">
        <w:rPr>
          <w:noProof/>
        </w:rPr>
        <w:t>37</w:t>
      </w:r>
      <w:r w:rsidRPr="00824B04">
        <w:rPr>
          <w:noProof/>
        </w:rPr>
        <w:tab/>
        <w:t>Signs relating to entering Commonwealth explosives areas</w:t>
      </w:r>
      <w:r w:rsidRPr="00824B04">
        <w:rPr>
          <w:noProof/>
        </w:rPr>
        <w:tab/>
      </w:r>
      <w:r w:rsidRPr="00824B04">
        <w:rPr>
          <w:noProof/>
        </w:rPr>
        <w:fldChar w:fldCharType="begin"/>
      </w:r>
      <w:r w:rsidRPr="00824B04">
        <w:rPr>
          <w:noProof/>
        </w:rPr>
        <w:instrText xml:space="preserve"> PAGEREF _Toc170463364 \h </w:instrText>
      </w:r>
      <w:r w:rsidRPr="00824B04">
        <w:rPr>
          <w:noProof/>
        </w:rPr>
      </w:r>
      <w:r w:rsidRPr="00824B04">
        <w:rPr>
          <w:noProof/>
        </w:rPr>
        <w:fldChar w:fldCharType="separate"/>
      </w:r>
      <w:r w:rsidR="00443E66" w:rsidRPr="00824B04">
        <w:rPr>
          <w:noProof/>
        </w:rPr>
        <w:t>22</w:t>
      </w:r>
      <w:r w:rsidRPr="00824B04">
        <w:rPr>
          <w:noProof/>
        </w:rPr>
        <w:fldChar w:fldCharType="end"/>
      </w:r>
    </w:p>
    <w:p w14:paraId="112A8A61" w14:textId="4C71F370" w:rsidR="009E0AF4" w:rsidRPr="00824B04" w:rsidRDefault="009E0AF4">
      <w:pPr>
        <w:pStyle w:val="TOC5"/>
        <w:rPr>
          <w:rFonts w:asciiTheme="minorHAnsi" w:eastAsiaTheme="minorEastAsia" w:hAnsiTheme="minorHAnsi" w:cstheme="minorBidi"/>
          <w:noProof/>
          <w:kern w:val="0"/>
          <w:sz w:val="22"/>
          <w:szCs w:val="22"/>
        </w:rPr>
      </w:pPr>
      <w:r w:rsidRPr="00824B04">
        <w:rPr>
          <w:noProof/>
        </w:rPr>
        <w:t>38</w:t>
      </w:r>
      <w:r w:rsidRPr="00824B04">
        <w:rPr>
          <w:noProof/>
        </w:rPr>
        <w:tab/>
        <w:t>Determinations and signs for vehicles or vessels</w:t>
      </w:r>
      <w:r w:rsidRPr="00824B04">
        <w:rPr>
          <w:noProof/>
        </w:rPr>
        <w:tab/>
      </w:r>
      <w:r w:rsidRPr="00824B04">
        <w:rPr>
          <w:noProof/>
        </w:rPr>
        <w:fldChar w:fldCharType="begin"/>
      </w:r>
      <w:r w:rsidRPr="00824B04">
        <w:rPr>
          <w:noProof/>
        </w:rPr>
        <w:instrText xml:space="preserve"> PAGEREF _Toc170463365 \h </w:instrText>
      </w:r>
      <w:r w:rsidRPr="00824B04">
        <w:rPr>
          <w:noProof/>
        </w:rPr>
      </w:r>
      <w:r w:rsidRPr="00824B04">
        <w:rPr>
          <w:noProof/>
        </w:rPr>
        <w:fldChar w:fldCharType="separate"/>
      </w:r>
      <w:r w:rsidR="00443E66" w:rsidRPr="00824B04">
        <w:rPr>
          <w:noProof/>
        </w:rPr>
        <w:t>22</w:t>
      </w:r>
      <w:r w:rsidRPr="00824B04">
        <w:rPr>
          <w:noProof/>
        </w:rPr>
        <w:fldChar w:fldCharType="end"/>
      </w:r>
    </w:p>
    <w:p w14:paraId="280B5653" w14:textId="510E6C57" w:rsidR="009E0AF4" w:rsidRPr="00824B04" w:rsidRDefault="009E0AF4">
      <w:pPr>
        <w:pStyle w:val="TOC5"/>
        <w:rPr>
          <w:rFonts w:asciiTheme="minorHAnsi" w:eastAsiaTheme="minorEastAsia" w:hAnsiTheme="minorHAnsi" w:cstheme="minorBidi"/>
          <w:noProof/>
          <w:kern w:val="0"/>
          <w:sz w:val="22"/>
          <w:szCs w:val="22"/>
        </w:rPr>
      </w:pPr>
      <w:r w:rsidRPr="00824B04">
        <w:rPr>
          <w:noProof/>
        </w:rPr>
        <w:t>39</w:t>
      </w:r>
      <w:r w:rsidRPr="00824B04">
        <w:rPr>
          <w:noProof/>
        </w:rPr>
        <w:tab/>
        <w:t>Determinations and signs in relation to fire hazard areas</w:t>
      </w:r>
      <w:r w:rsidRPr="00824B04">
        <w:rPr>
          <w:noProof/>
        </w:rPr>
        <w:tab/>
      </w:r>
      <w:r w:rsidRPr="00824B04">
        <w:rPr>
          <w:noProof/>
        </w:rPr>
        <w:fldChar w:fldCharType="begin"/>
      </w:r>
      <w:r w:rsidRPr="00824B04">
        <w:rPr>
          <w:noProof/>
        </w:rPr>
        <w:instrText xml:space="preserve"> PAGEREF _Toc170463366 \h </w:instrText>
      </w:r>
      <w:r w:rsidRPr="00824B04">
        <w:rPr>
          <w:noProof/>
        </w:rPr>
      </w:r>
      <w:r w:rsidRPr="00824B04">
        <w:rPr>
          <w:noProof/>
        </w:rPr>
        <w:fldChar w:fldCharType="separate"/>
      </w:r>
      <w:r w:rsidR="00443E66" w:rsidRPr="00824B04">
        <w:rPr>
          <w:noProof/>
        </w:rPr>
        <w:t>23</w:t>
      </w:r>
      <w:r w:rsidRPr="00824B04">
        <w:rPr>
          <w:noProof/>
        </w:rPr>
        <w:fldChar w:fldCharType="end"/>
      </w:r>
    </w:p>
    <w:p w14:paraId="55FB72A3" w14:textId="28F2CDD7" w:rsidR="009E0AF4" w:rsidRPr="00824B04" w:rsidRDefault="009E0AF4">
      <w:pPr>
        <w:pStyle w:val="TOC5"/>
        <w:rPr>
          <w:rFonts w:asciiTheme="minorHAnsi" w:eastAsiaTheme="minorEastAsia" w:hAnsiTheme="minorHAnsi" w:cstheme="minorBidi"/>
          <w:noProof/>
          <w:kern w:val="0"/>
          <w:sz w:val="22"/>
          <w:szCs w:val="22"/>
        </w:rPr>
      </w:pPr>
      <w:r w:rsidRPr="00824B04">
        <w:rPr>
          <w:noProof/>
        </w:rPr>
        <w:t>40</w:t>
      </w:r>
      <w:r w:rsidRPr="00824B04">
        <w:rPr>
          <w:noProof/>
        </w:rPr>
        <w:tab/>
        <w:t>Directions</w:t>
      </w:r>
      <w:r w:rsidRPr="00824B04">
        <w:rPr>
          <w:noProof/>
        </w:rPr>
        <w:tab/>
      </w:r>
      <w:r w:rsidRPr="00824B04">
        <w:rPr>
          <w:noProof/>
        </w:rPr>
        <w:fldChar w:fldCharType="begin"/>
      </w:r>
      <w:r w:rsidRPr="00824B04">
        <w:rPr>
          <w:noProof/>
        </w:rPr>
        <w:instrText xml:space="preserve"> PAGEREF _Toc170463367 \h </w:instrText>
      </w:r>
      <w:r w:rsidRPr="00824B04">
        <w:rPr>
          <w:noProof/>
        </w:rPr>
      </w:r>
      <w:r w:rsidRPr="00824B04">
        <w:rPr>
          <w:noProof/>
        </w:rPr>
        <w:fldChar w:fldCharType="separate"/>
      </w:r>
      <w:r w:rsidR="00443E66" w:rsidRPr="00824B04">
        <w:rPr>
          <w:noProof/>
        </w:rPr>
        <w:t>23</w:t>
      </w:r>
      <w:r w:rsidRPr="00824B04">
        <w:rPr>
          <w:noProof/>
        </w:rPr>
        <w:fldChar w:fldCharType="end"/>
      </w:r>
    </w:p>
    <w:p w14:paraId="2A69B1CE" w14:textId="00EAD2F3" w:rsidR="009E0AF4" w:rsidRPr="00824B04" w:rsidRDefault="009E0AF4">
      <w:pPr>
        <w:pStyle w:val="TOC5"/>
        <w:rPr>
          <w:rFonts w:asciiTheme="minorHAnsi" w:eastAsiaTheme="minorEastAsia" w:hAnsiTheme="minorHAnsi" w:cstheme="minorBidi"/>
          <w:noProof/>
          <w:kern w:val="0"/>
          <w:sz w:val="22"/>
          <w:szCs w:val="22"/>
        </w:rPr>
      </w:pPr>
      <w:r w:rsidRPr="00824B04">
        <w:rPr>
          <w:noProof/>
        </w:rPr>
        <w:t>41</w:t>
      </w:r>
      <w:r w:rsidRPr="00824B04">
        <w:rPr>
          <w:noProof/>
        </w:rPr>
        <w:tab/>
        <w:t>Removal of persons, vehicles etc.</w:t>
      </w:r>
      <w:r w:rsidRPr="00824B04">
        <w:rPr>
          <w:noProof/>
        </w:rPr>
        <w:tab/>
      </w:r>
      <w:r w:rsidRPr="00824B04">
        <w:rPr>
          <w:noProof/>
        </w:rPr>
        <w:fldChar w:fldCharType="begin"/>
      </w:r>
      <w:r w:rsidRPr="00824B04">
        <w:rPr>
          <w:noProof/>
        </w:rPr>
        <w:instrText xml:space="preserve"> PAGEREF _Toc170463368 \h </w:instrText>
      </w:r>
      <w:r w:rsidRPr="00824B04">
        <w:rPr>
          <w:noProof/>
        </w:rPr>
      </w:r>
      <w:r w:rsidRPr="00824B04">
        <w:rPr>
          <w:noProof/>
        </w:rPr>
        <w:fldChar w:fldCharType="separate"/>
      </w:r>
      <w:r w:rsidR="00443E66" w:rsidRPr="00824B04">
        <w:rPr>
          <w:noProof/>
        </w:rPr>
        <w:t>23</w:t>
      </w:r>
      <w:r w:rsidRPr="00824B04">
        <w:rPr>
          <w:noProof/>
        </w:rPr>
        <w:fldChar w:fldCharType="end"/>
      </w:r>
    </w:p>
    <w:p w14:paraId="33D6F677" w14:textId="0B6A3543"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4—Committees of Advice</w:t>
      </w:r>
      <w:r w:rsidRPr="00824B04">
        <w:rPr>
          <w:b w:val="0"/>
          <w:noProof/>
          <w:sz w:val="18"/>
        </w:rPr>
        <w:tab/>
      </w:r>
      <w:r w:rsidRPr="00824B04">
        <w:rPr>
          <w:b w:val="0"/>
          <w:noProof/>
          <w:sz w:val="18"/>
        </w:rPr>
        <w:fldChar w:fldCharType="begin"/>
      </w:r>
      <w:r w:rsidRPr="00824B04">
        <w:rPr>
          <w:b w:val="0"/>
          <w:noProof/>
          <w:sz w:val="18"/>
        </w:rPr>
        <w:instrText xml:space="preserve"> PAGEREF _Toc170463369 \h </w:instrText>
      </w:r>
      <w:r w:rsidRPr="00824B04">
        <w:rPr>
          <w:b w:val="0"/>
          <w:noProof/>
          <w:sz w:val="18"/>
        </w:rPr>
      </w:r>
      <w:r w:rsidRPr="00824B04">
        <w:rPr>
          <w:b w:val="0"/>
          <w:noProof/>
          <w:sz w:val="18"/>
        </w:rPr>
        <w:fldChar w:fldCharType="separate"/>
      </w:r>
      <w:r w:rsidR="00443E66" w:rsidRPr="00824B04">
        <w:rPr>
          <w:b w:val="0"/>
          <w:noProof/>
          <w:sz w:val="18"/>
        </w:rPr>
        <w:t>24</w:t>
      </w:r>
      <w:r w:rsidRPr="00824B04">
        <w:rPr>
          <w:b w:val="0"/>
          <w:noProof/>
          <w:sz w:val="18"/>
        </w:rPr>
        <w:fldChar w:fldCharType="end"/>
      </w:r>
    </w:p>
    <w:p w14:paraId="58BA09C5" w14:textId="3D632533" w:rsidR="009E0AF4" w:rsidRPr="00824B04" w:rsidRDefault="009E0AF4">
      <w:pPr>
        <w:pStyle w:val="TOC5"/>
        <w:rPr>
          <w:rFonts w:asciiTheme="minorHAnsi" w:eastAsiaTheme="minorEastAsia" w:hAnsiTheme="minorHAnsi" w:cstheme="minorBidi"/>
          <w:noProof/>
          <w:kern w:val="0"/>
          <w:sz w:val="22"/>
          <w:szCs w:val="22"/>
        </w:rPr>
      </w:pPr>
      <w:r w:rsidRPr="00824B04">
        <w:rPr>
          <w:noProof/>
        </w:rPr>
        <w:t>42</w:t>
      </w:r>
      <w:r w:rsidRPr="00824B04">
        <w:rPr>
          <w:noProof/>
        </w:rPr>
        <w:tab/>
        <w:t>Committees of advice</w:t>
      </w:r>
      <w:r w:rsidRPr="00824B04">
        <w:rPr>
          <w:noProof/>
        </w:rPr>
        <w:tab/>
      </w:r>
      <w:r w:rsidRPr="00824B04">
        <w:rPr>
          <w:noProof/>
        </w:rPr>
        <w:fldChar w:fldCharType="begin"/>
      </w:r>
      <w:r w:rsidRPr="00824B04">
        <w:rPr>
          <w:noProof/>
        </w:rPr>
        <w:instrText xml:space="preserve"> PAGEREF _Toc170463370 \h </w:instrText>
      </w:r>
      <w:r w:rsidRPr="00824B04">
        <w:rPr>
          <w:noProof/>
        </w:rPr>
      </w:r>
      <w:r w:rsidRPr="00824B04">
        <w:rPr>
          <w:noProof/>
        </w:rPr>
        <w:fldChar w:fldCharType="separate"/>
      </w:r>
      <w:r w:rsidR="00443E66" w:rsidRPr="00824B04">
        <w:rPr>
          <w:noProof/>
        </w:rPr>
        <w:t>24</w:t>
      </w:r>
      <w:r w:rsidRPr="00824B04">
        <w:rPr>
          <w:noProof/>
        </w:rPr>
        <w:fldChar w:fldCharType="end"/>
      </w:r>
    </w:p>
    <w:p w14:paraId="7415C2E6" w14:textId="7E582493"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5—Orders</w:t>
      </w:r>
      <w:r w:rsidRPr="00824B04">
        <w:rPr>
          <w:b w:val="0"/>
          <w:noProof/>
          <w:sz w:val="18"/>
        </w:rPr>
        <w:tab/>
      </w:r>
      <w:r w:rsidRPr="00824B04">
        <w:rPr>
          <w:b w:val="0"/>
          <w:noProof/>
          <w:sz w:val="18"/>
        </w:rPr>
        <w:fldChar w:fldCharType="begin"/>
      </w:r>
      <w:r w:rsidRPr="00824B04">
        <w:rPr>
          <w:b w:val="0"/>
          <w:noProof/>
          <w:sz w:val="18"/>
        </w:rPr>
        <w:instrText xml:space="preserve"> PAGEREF _Toc170463371 \h </w:instrText>
      </w:r>
      <w:r w:rsidRPr="00824B04">
        <w:rPr>
          <w:b w:val="0"/>
          <w:noProof/>
          <w:sz w:val="18"/>
        </w:rPr>
      </w:r>
      <w:r w:rsidRPr="00824B04">
        <w:rPr>
          <w:b w:val="0"/>
          <w:noProof/>
          <w:sz w:val="18"/>
        </w:rPr>
        <w:fldChar w:fldCharType="separate"/>
      </w:r>
      <w:r w:rsidR="00443E66" w:rsidRPr="00824B04">
        <w:rPr>
          <w:b w:val="0"/>
          <w:noProof/>
          <w:sz w:val="18"/>
        </w:rPr>
        <w:t>25</w:t>
      </w:r>
      <w:r w:rsidRPr="00824B04">
        <w:rPr>
          <w:b w:val="0"/>
          <w:noProof/>
          <w:sz w:val="18"/>
        </w:rPr>
        <w:fldChar w:fldCharType="end"/>
      </w:r>
    </w:p>
    <w:p w14:paraId="01E2E6D2" w14:textId="48E13B63" w:rsidR="009E0AF4" w:rsidRPr="00824B04" w:rsidRDefault="009E0AF4">
      <w:pPr>
        <w:pStyle w:val="TOC5"/>
        <w:rPr>
          <w:rFonts w:asciiTheme="minorHAnsi" w:eastAsiaTheme="minorEastAsia" w:hAnsiTheme="minorHAnsi" w:cstheme="minorBidi"/>
          <w:noProof/>
          <w:kern w:val="0"/>
          <w:sz w:val="22"/>
          <w:szCs w:val="22"/>
        </w:rPr>
      </w:pPr>
      <w:r w:rsidRPr="00824B04">
        <w:rPr>
          <w:noProof/>
        </w:rPr>
        <w:t>43</w:t>
      </w:r>
      <w:r w:rsidRPr="00824B04">
        <w:rPr>
          <w:noProof/>
        </w:rPr>
        <w:tab/>
        <w:t>List of authorised Commonwealth explosives</w:t>
      </w:r>
      <w:r w:rsidRPr="00824B04">
        <w:rPr>
          <w:noProof/>
        </w:rPr>
        <w:tab/>
      </w:r>
      <w:r w:rsidRPr="00824B04">
        <w:rPr>
          <w:noProof/>
        </w:rPr>
        <w:fldChar w:fldCharType="begin"/>
      </w:r>
      <w:r w:rsidRPr="00824B04">
        <w:rPr>
          <w:noProof/>
        </w:rPr>
        <w:instrText xml:space="preserve"> PAGEREF _Toc170463372 \h </w:instrText>
      </w:r>
      <w:r w:rsidRPr="00824B04">
        <w:rPr>
          <w:noProof/>
        </w:rPr>
      </w:r>
      <w:r w:rsidRPr="00824B04">
        <w:rPr>
          <w:noProof/>
        </w:rPr>
        <w:fldChar w:fldCharType="separate"/>
      </w:r>
      <w:r w:rsidR="00443E66" w:rsidRPr="00824B04">
        <w:rPr>
          <w:noProof/>
        </w:rPr>
        <w:t>25</w:t>
      </w:r>
      <w:r w:rsidRPr="00824B04">
        <w:rPr>
          <w:noProof/>
        </w:rPr>
        <w:fldChar w:fldCharType="end"/>
      </w:r>
    </w:p>
    <w:p w14:paraId="78BDC41A" w14:textId="16BFF4D4" w:rsidR="009E0AF4" w:rsidRPr="00824B04" w:rsidRDefault="009E0AF4">
      <w:pPr>
        <w:pStyle w:val="TOC5"/>
        <w:rPr>
          <w:rFonts w:asciiTheme="minorHAnsi" w:eastAsiaTheme="minorEastAsia" w:hAnsiTheme="minorHAnsi" w:cstheme="minorBidi"/>
          <w:noProof/>
          <w:kern w:val="0"/>
          <w:sz w:val="22"/>
          <w:szCs w:val="22"/>
        </w:rPr>
      </w:pPr>
      <w:r w:rsidRPr="00824B04">
        <w:rPr>
          <w:noProof/>
        </w:rPr>
        <w:t>44</w:t>
      </w:r>
      <w:r w:rsidRPr="00824B04">
        <w:rPr>
          <w:noProof/>
        </w:rPr>
        <w:tab/>
        <w:t>Circumstances requiring special provision</w:t>
      </w:r>
      <w:r w:rsidRPr="00824B04">
        <w:rPr>
          <w:noProof/>
        </w:rPr>
        <w:tab/>
      </w:r>
      <w:r w:rsidRPr="00824B04">
        <w:rPr>
          <w:noProof/>
        </w:rPr>
        <w:fldChar w:fldCharType="begin"/>
      </w:r>
      <w:r w:rsidRPr="00824B04">
        <w:rPr>
          <w:noProof/>
        </w:rPr>
        <w:instrText xml:space="preserve"> PAGEREF _Toc170463373 \h </w:instrText>
      </w:r>
      <w:r w:rsidRPr="00824B04">
        <w:rPr>
          <w:noProof/>
        </w:rPr>
      </w:r>
      <w:r w:rsidRPr="00824B04">
        <w:rPr>
          <w:noProof/>
        </w:rPr>
        <w:fldChar w:fldCharType="separate"/>
      </w:r>
      <w:r w:rsidR="00443E66" w:rsidRPr="00824B04">
        <w:rPr>
          <w:noProof/>
        </w:rPr>
        <w:t>25</w:t>
      </w:r>
      <w:r w:rsidRPr="00824B04">
        <w:rPr>
          <w:noProof/>
        </w:rPr>
        <w:fldChar w:fldCharType="end"/>
      </w:r>
    </w:p>
    <w:p w14:paraId="23191408" w14:textId="3758D843" w:rsidR="009E0AF4" w:rsidRPr="00824B04" w:rsidRDefault="009E0AF4">
      <w:pPr>
        <w:pStyle w:val="TOC2"/>
        <w:rPr>
          <w:rFonts w:asciiTheme="minorHAnsi" w:eastAsiaTheme="minorEastAsia" w:hAnsiTheme="minorHAnsi" w:cstheme="minorBidi"/>
          <w:b w:val="0"/>
          <w:noProof/>
          <w:kern w:val="0"/>
          <w:sz w:val="22"/>
          <w:szCs w:val="22"/>
        </w:rPr>
      </w:pPr>
      <w:r w:rsidRPr="00824B04">
        <w:rPr>
          <w:noProof/>
        </w:rPr>
        <w:t>Part 5—Application, saving and transitional provisions</w:t>
      </w:r>
      <w:r w:rsidRPr="00824B04">
        <w:rPr>
          <w:b w:val="0"/>
          <w:noProof/>
          <w:sz w:val="18"/>
        </w:rPr>
        <w:tab/>
      </w:r>
      <w:r w:rsidRPr="00824B04">
        <w:rPr>
          <w:b w:val="0"/>
          <w:noProof/>
          <w:sz w:val="18"/>
        </w:rPr>
        <w:fldChar w:fldCharType="begin"/>
      </w:r>
      <w:r w:rsidRPr="00824B04">
        <w:rPr>
          <w:b w:val="0"/>
          <w:noProof/>
          <w:sz w:val="18"/>
        </w:rPr>
        <w:instrText xml:space="preserve"> PAGEREF _Toc170463374 \h </w:instrText>
      </w:r>
      <w:r w:rsidRPr="00824B04">
        <w:rPr>
          <w:b w:val="0"/>
          <w:noProof/>
          <w:sz w:val="18"/>
        </w:rPr>
      </w:r>
      <w:r w:rsidRPr="00824B04">
        <w:rPr>
          <w:b w:val="0"/>
          <w:noProof/>
          <w:sz w:val="18"/>
        </w:rPr>
        <w:fldChar w:fldCharType="separate"/>
      </w:r>
      <w:r w:rsidR="00443E66" w:rsidRPr="00824B04">
        <w:rPr>
          <w:b w:val="0"/>
          <w:noProof/>
          <w:sz w:val="18"/>
        </w:rPr>
        <w:t>26</w:t>
      </w:r>
      <w:r w:rsidRPr="00824B04">
        <w:rPr>
          <w:b w:val="0"/>
          <w:noProof/>
          <w:sz w:val="18"/>
        </w:rPr>
        <w:fldChar w:fldCharType="end"/>
      </w:r>
    </w:p>
    <w:p w14:paraId="142247C2" w14:textId="093D2781"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1—Amendments made by the Customs and Other Legislation Amendment (Australian Border Force) Regulation 2015</w:t>
      </w:r>
      <w:r w:rsidRPr="00824B04">
        <w:rPr>
          <w:b w:val="0"/>
          <w:noProof/>
          <w:sz w:val="18"/>
        </w:rPr>
        <w:tab/>
      </w:r>
      <w:r w:rsidRPr="00824B04">
        <w:rPr>
          <w:b w:val="0"/>
          <w:noProof/>
          <w:sz w:val="18"/>
        </w:rPr>
        <w:fldChar w:fldCharType="begin"/>
      </w:r>
      <w:r w:rsidRPr="00824B04">
        <w:rPr>
          <w:b w:val="0"/>
          <w:noProof/>
          <w:sz w:val="18"/>
        </w:rPr>
        <w:instrText xml:space="preserve"> PAGEREF _Toc170463375 \h </w:instrText>
      </w:r>
      <w:r w:rsidRPr="00824B04">
        <w:rPr>
          <w:b w:val="0"/>
          <w:noProof/>
          <w:sz w:val="18"/>
        </w:rPr>
      </w:r>
      <w:r w:rsidRPr="00824B04">
        <w:rPr>
          <w:b w:val="0"/>
          <w:noProof/>
          <w:sz w:val="18"/>
        </w:rPr>
        <w:fldChar w:fldCharType="separate"/>
      </w:r>
      <w:r w:rsidR="00443E66" w:rsidRPr="00824B04">
        <w:rPr>
          <w:b w:val="0"/>
          <w:noProof/>
          <w:sz w:val="18"/>
        </w:rPr>
        <w:t>26</w:t>
      </w:r>
      <w:r w:rsidRPr="00824B04">
        <w:rPr>
          <w:b w:val="0"/>
          <w:noProof/>
          <w:sz w:val="18"/>
        </w:rPr>
        <w:fldChar w:fldCharType="end"/>
      </w:r>
    </w:p>
    <w:p w14:paraId="02279095" w14:textId="35B00E4E" w:rsidR="009E0AF4" w:rsidRPr="00824B04" w:rsidRDefault="009E0AF4">
      <w:pPr>
        <w:pStyle w:val="TOC5"/>
        <w:rPr>
          <w:rFonts w:asciiTheme="minorHAnsi" w:eastAsiaTheme="minorEastAsia" w:hAnsiTheme="minorHAnsi" w:cstheme="minorBidi"/>
          <w:noProof/>
          <w:kern w:val="0"/>
          <w:sz w:val="22"/>
          <w:szCs w:val="22"/>
        </w:rPr>
      </w:pPr>
      <w:r w:rsidRPr="00824B04">
        <w:rPr>
          <w:noProof/>
        </w:rPr>
        <w:t>45</w:t>
      </w:r>
      <w:r w:rsidRPr="00824B04">
        <w:rPr>
          <w:noProof/>
        </w:rPr>
        <w:tab/>
        <w:t xml:space="preserve">Amendments made by the </w:t>
      </w:r>
      <w:r w:rsidRPr="00824B04">
        <w:rPr>
          <w:i/>
          <w:noProof/>
        </w:rPr>
        <w:t>Customs and Other Legislation Amendment (Australian Border Force) Regulation 2015</w:t>
      </w:r>
      <w:r w:rsidRPr="00824B04">
        <w:rPr>
          <w:noProof/>
        </w:rPr>
        <w:tab/>
      </w:r>
      <w:r w:rsidRPr="00824B04">
        <w:rPr>
          <w:noProof/>
        </w:rPr>
        <w:fldChar w:fldCharType="begin"/>
      </w:r>
      <w:r w:rsidRPr="00824B04">
        <w:rPr>
          <w:noProof/>
        </w:rPr>
        <w:instrText xml:space="preserve"> PAGEREF _Toc170463376 \h </w:instrText>
      </w:r>
      <w:r w:rsidRPr="00824B04">
        <w:rPr>
          <w:noProof/>
        </w:rPr>
      </w:r>
      <w:r w:rsidRPr="00824B04">
        <w:rPr>
          <w:noProof/>
        </w:rPr>
        <w:fldChar w:fldCharType="separate"/>
      </w:r>
      <w:r w:rsidR="00443E66" w:rsidRPr="00824B04">
        <w:rPr>
          <w:noProof/>
        </w:rPr>
        <w:t>26</w:t>
      </w:r>
      <w:r w:rsidRPr="00824B04">
        <w:rPr>
          <w:noProof/>
        </w:rPr>
        <w:fldChar w:fldCharType="end"/>
      </w:r>
    </w:p>
    <w:p w14:paraId="42E252F6" w14:textId="2AEB1172" w:rsidR="009E0AF4" w:rsidRPr="00824B04" w:rsidRDefault="009E0AF4">
      <w:pPr>
        <w:pStyle w:val="TOC3"/>
        <w:rPr>
          <w:rFonts w:asciiTheme="minorHAnsi" w:eastAsiaTheme="minorEastAsia" w:hAnsiTheme="minorHAnsi" w:cstheme="minorBidi"/>
          <w:b w:val="0"/>
          <w:noProof/>
          <w:kern w:val="0"/>
          <w:szCs w:val="22"/>
        </w:rPr>
      </w:pPr>
      <w:r w:rsidRPr="00824B04">
        <w:rPr>
          <w:noProof/>
        </w:rPr>
        <w:t>Division 2—Transitional provisions relating to the commencement of this instrument</w:t>
      </w:r>
      <w:r w:rsidRPr="00824B04">
        <w:rPr>
          <w:b w:val="0"/>
          <w:noProof/>
          <w:sz w:val="18"/>
        </w:rPr>
        <w:tab/>
      </w:r>
      <w:r w:rsidRPr="00824B04">
        <w:rPr>
          <w:b w:val="0"/>
          <w:noProof/>
          <w:sz w:val="18"/>
        </w:rPr>
        <w:fldChar w:fldCharType="begin"/>
      </w:r>
      <w:r w:rsidRPr="00824B04">
        <w:rPr>
          <w:b w:val="0"/>
          <w:noProof/>
          <w:sz w:val="18"/>
        </w:rPr>
        <w:instrText xml:space="preserve"> PAGEREF _Toc170463377 \h </w:instrText>
      </w:r>
      <w:r w:rsidRPr="00824B04">
        <w:rPr>
          <w:b w:val="0"/>
          <w:noProof/>
          <w:sz w:val="18"/>
        </w:rPr>
      </w:r>
      <w:r w:rsidRPr="00824B04">
        <w:rPr>
          <w:b w:val="0"/>
          <w:noProof/>
          <w:sz w:val="18"/>
        </w:rPr>
        <w:fldChar w:fldCharType="separate"/>
      </w:r>
      <w:r w:rsidR="00443E66" w:rsidRPr="00824B04">
        <w:rPr>
          <w:b w:val="0"/>
          <w:noProof/>
          <w:sz w:val="18"/>
        </w:rPr>
        <w:t>27</w:t>
      </w:r>
      <w:r w:rsidRPr="00824B04">
        <w:rPr>
          <w:b w:val="0"/>
          <w:noProof/>
          <w:sz w:val="18"/>
        </w:rPr>
        <w:fldChar w:fldCharType="end"/>
      </w:r>
    </w:p>
    <w:p w14:paraId="7F956EFF" w14:textId="4EC8123F" w:rsidR="009E0AF4" w:rsidRPr="00824B04" w:rsidRDefault="009E0AF4">
      <w:pPr>
        <w:pStyle w:val="TOC5"/>
        <w:rPr>
          <w:rFonts w:asciiTheme="minorHAnsi" w:eastAsiaTheme="minorEastAsia" w:hAnsiTheme="minorHAnsi" w:cstheme="minorBidi"/>
          <w:noProof/>
          <w:kern w:val="0"/>
          <w:sz w:val="22"/>
          <w:szCs w:val="22"/>
        </w:rPr>
      </w:pPr>
      <w:r w:rsidRPr="00824B04">
        <w:rPr>
          <w:noProof/>
        </w:rPr>
        <w:t>46</w:t>
      </w:r>
      <w:r w:rsidRPr="00824B04">
        <w:rPr>
          <w:noProof/>
        </w:rPr>
        <w:tab/>
        <w:t>Definitions</w:t>
      </w:r>
      <w:r w:rsidRPr="00824B04">
        <w:rPr>
          <w:noProof/>
        </w:rPr>
        <w:tab/>
      </w:r>
      <w:r w:rsidRPr="00824B04">
        <w:rPr>
          <w:noProof/>
        </w:rPr>
        <w:fldChar w:fldCharType="begin"/>
      </w:r>
      <w:r w:rsidRPr="00824B04">
        <w:rPr>
          <w:noProof/>
        </w:rPr>
        <w:instrText xml:space="preserve"> PAGEREF _Toc170463378 \h </w:instrText>
      </w:r>
      <w:r w:rsidRPr="00824B04">
        <w:rPr>
          <w:noProof/>
        </w:rPr>
      </w:r>
      <w:r w:rsidRPr="00824B04">
        <w:rPr>
          <w:noProof/>
        </w:rPr>
        <w:fldChar w:fldCharType="separate"/>
      </w:r>
      <w:r w:rsidR="00443E66" w:rsidRPr="00824B04">
        <w:rPr>
          <w:noProof/>
        </w:rPr>
        <w:t>27</w:t>
      </w:r>
      <w:r w:rsidRPr="00824B04">
        <w:rPr>
          <w:noProof/>
        </w:rPr>
        <w:fldChar w:fldCharType="end"/>
      </w:r>
    </w:p>
    <w:p w14:paraId="22D0365B" w14:textId="434F6AB2" w:rsidR="009E0AF4" w:rsidRPr="00824B04" w:rsidRDefault="009E0AF4">
      <w:pPr>
        <w:pStyle w:val="TOC5"/>
        <w:rPr>
          <w:rFonts w:asciiTheme="minorHAnsi" w:eastAsiaTheme="minorEastAsia" w:hAnsiTheme="minorHAnsi" w:cstheme="minorBidi"/>
          <w:noProof/>
          <w:kern w:val="0"/>
          <w:sz w:val="22"/>
          <w:szCs w:val="22"/>
        </w:rPr>
      </w:pPr>
      <w:r w:rsidRPr="00824B04">
        <w:rPr>
          <w:noProof/>
        </w:rPr>
        <w:t>47</w:t>
      </w:r>
      <w:r w:rsidRPr="00824B04">
        <w:rPr>
          <w:noProof/>
        </w:rPr>
        <w:tab/>
        <w:t>Things done under the old area regulations and the old transport regulations</w:t>
      </w:r>
      <w:r w:rsidRPr="00824B04">
        <w:rPr>
          <w:noProof/>
        </w:rPr>
        <w:tab/>
      </w:r>
      <w:r w:rsidRPr="00824B04">
        <w:rPr>
          <w:noProof/>
        </w:rPr>
        <w:fldChar w:fldCharType="begin"/>
      </w:r>
      <w:r w:rsidRPr="00824B04">
        <w:rPr>
          <w:noProof/>
        </w:rPr>
        <w:instrText xml:space="preserve"> PAGEREF _Toc170463379 \h </w:instrText>
      </w:r>
      <w:r w:rsidRPr="00824B04">
        <w:rPr>
          <w:noProof/>
        </w:rPr>
      </w:r>
      <w:r w:rsidRPr="00824B04">
        <w:rPr>
          <w:noProof/>
        </w:rPr>
        <w:fldChar w:fldCharType="separate"/>
      </w:r>
      <w:r w:rsidR="00443E66" w:rsidRPr="00824B04">
        <w:rPr>
          <w:noProof/>
        </w:rPr>
        <w:t>27</w:t>
      </w:r>
      <w:r w:rsidRPr="00824B04">
        <w:rPr>
          <w:noProof/>
        </w:rPr>
        <w:fldChar w:fldCharType="end"/>
      </w:r>
    </w:p>
    <w:p w14:paraId="28C21581" w14:textId="64F6A5D0" w:rsidR="009E0AF4" w:rsidRPr="00824B04" w:rsidRDefault="009E0AF4">
      <w:pPr>
        <w:pStyle w:val="TOC5"/>
        <w:rPr>
          <w:rFonts w:asciiTheme="minorHAnsi" w:eastAsiaTheme="minorEastAsia" w:hAnsiTheme="minorHAnsi" w:cstheme="minorBidi"/>
          <w:noProof/>
          <w:kern w:val="0"/>
          <w:sz w:val="22"/>
          <w:szCs w:val="22"/>
        </w:rPr>
      </w:pPr>
      <w:r w:rsidRPr="00824B04">
        <w:rPr>
          <w:noProof/>
        </w:rPr>
        <w:t>48</w:t>
      </w:r>
      <w:r w:rsidRPr="00824B04">
        <w:rPr>
          <w:noProof/>
        </w:rPr>
        <w:tab/>
        <w:t>Audits</w:t>
      </w:r>
      <w:r w:rsidRPr="00824B04">
        <w:rPr>
          <w:noProof/>
        </w:rPr>
        <w:tab/>
      </w:r>
      <w:r w:rsidRPr="00824B04">
        <w:rPr>
          <w:noProof/>
        </w:rPr>
        <w:fldChar w:fldCharType="begin"/>
      </w:r>
      <w:r w:rsidRPr="00824B04">
        <w:rPr>
          <w:noProof/>
        </w:rPr>
        <w:instrText xml:space="preserve"> PAGEREF _Toc170463380 \h </w:instrText>
      </w:r>
      <w:r w:rsidRPr="00824B04">
        <w:rPr>
          <w:noProof/>
        </w:rPr>
      </w:r>
      <w:r w:rsidRPr="00824B04">
        <w:rPr>
          <w:noProof/>
        </w:rPr>
        <w:fldChar w:fldCharType="separate"/>
      </w:r>
      <w:r w:rsidR="00443E66" w:rsidRPr="00824B04">
        <w:rPr>
          <w:noProof/>
        </w:rPr>
        <w:t>27</w:t>
      </w:r>
      <w:r w:rsidRPr="00824B04">
        <w:rPr>
          <w:noProof/>
        </w:rPr>
        <w:fldChar w:fldCharType="end"/>
      </w:r>
    </w:p>
    <w:p w14:paraId="38BFC48A" w14:textId="7D2DC99E" w:rsidR="009E0AF4" w:rsidRPr="00824B04" w:rsidRDefault="009E0AF4">
      <w:pPr>
        <w:pStyle w:val="TOC5"/>
        <w:rPr>
          <w:rFonts w:asciiTheme="minorHAnsi" w:eastAsiaTheme="minorEastAsia" w:hAnsiTheme="minorHAnsi" w:cstheme="minorBidi"/>
          <w:noProof/>
          <w:kern w:val="0"/>
          <w:sz w:val="22"/>
          <w:szCs w:val="22"/>
        </w:rPr>
      </w:pPr>
      <w:r w:rsidRPr="00824B04">
        <w:rPr>
          <w:noProof/>
        </w:rPr>
        <w:t>49</w:t>
      </w:r>
      <w:r w:rsidRPr="00824B04">
        <w:rPr>
          <w:noProof/>
        </w:rPr>
        <w:tab/>
        <w:t>Review by the Administrative Appeals Tribunal of exemption decisions of the Competent Authority</w:t>
      </w:r>
      <w:r w:rsidRPr="00824B04">
        <w:rPr>
          <w:noProof/>
        </w:rPr>
        <w:tab/>
      </w:r>
      <w:r w:rsidRPr="00824B04">
        <w:rPr>
          <w:noProof/>
        </w:rPr>
        <w:fldChar w:fldCharType="begin"/>
      </w:r>
      <w:r w:rsidRPr="00824B04">
        <w:rPr>
          <w:noProof/>
        </w:rPr>
        <w:instrText xml:space="preserve"> PAGEREF _Toc170463381 \h </w:instrText>
      </w:r>
      <w:r w:rsidRPr="00824B04">
        <w:rPr>
          <w:noProof/>
        </w:rPr>
      </w:r>
      <w:r w:rsidRPr="00824B04">
        <w:rPr>
          <w:noProof/>
        </w:rPr>
        <w:fldChar w:fldCharType="separate"/>
      </w:r>
      <w:r w:rsidR="00443E66" w:rsidRPr="00824B04">
        <w:rPr>
          <w:noProof/>
        </w:rPr>
        <w:t>27</w:t>
      </w:r>
      <w:r w:rsidRPr="00824B04">
        <w:rPr>
          <w:noProof/>
        </w:rPr>
        <w:fldChar w:fldCharType="end"/>
      </w:r>
    </w:p>
    <w:p w14:paraId="2FE3B155" w14:textId="77628558" w:rsidR="009E0AF4" w:rsidRPr="00824B04" w:rsidRDefault="009E0AF4">
      <w:pPr>
        <w:pStyle w:val="TOC1"/>
        <w:rPr>
          <w:rFonts w:asciiTheme="minorHAnsi" w:eastAsiaTheme="minorEastAsia" w:hAnsiTheme="minorHAnsi" w:cstheme="minorBidi"/>
          <w:b w:val="0"/>
          <w:noProof/>
          <w:kern w:val="0"/>
          <w:sz w:val="22"/>
          <w:szCs w:val="22"/>
        </w:rPr>
      </w:pPr>
      <w:r w:rsidRPr="00824B04">
        <w:rPr>
          <w:noProof/>
        </w:rPr>
        <w:t>Schedule 1—Modifications of the AE Code in relation to Commonwealth explosives</w:t>
      </w:r>
      <w:r w:rsidRPr="00824B04">
        <w:rPr>
          <w:b w:val="0"/>
          <w:noProof/>
          <w:sz w:val="18"/>
        </w:rPr>
        <w:tab/>
      </w:r>
      <w:r w:rsidRPr="00824B04">
        <w:rPr>
          <w:b w:val="0"/>
          <w:noProof/>
          <w:sz w:val="18"/>
        </w:rPr>
        <w:fldChar w:fldCharType="begin"/>
      </w:r>
      <w:r w:rsidRPr="00824B04">
        <w:rPr>
          <w:b w:val="0"/>
          <w:noProof/>
          <w:sz w:val="18"/>
        </w:rPr>
        <w:instrText xml:space="preserve"> PAGEREF _Toc170463382 \h </w:instrText>
      </w:r>
      <w:r w:rsidRPr="00824B04">
        <w:rPr>
          <w:b w:val="0"/>
          <w:noProof/>
          <w:sz w:val="18"/>
        </w:rPr>
      </w:r>
      <w:r w:rsidRPr="00824B04">
        <w:rPr>
          <w:b w:val="0"/>
          <w:noProof/>
          <w:sz w:val="18"/>
        </w:rPr>
        <w:fldChar w:fldCharType="separate"/>
      </w:r>
      <w:r w:rsidR="00443E66" w:rsidRPr="00824B04">
        <w:rPr>
          <w:b w:val="0"/>
          <w:noProof/>
          <w:sz w:val="18"/>
        </w:rPr>
        <w:t>28</w:t>
      </w:r>
      <w:r w:rsidRPr="00824B04">
        <w:rPr>
          <w:b w:val="0"/>
          <w:noProof/>
          <w:sz w:val="18"/>
        </w:rPr>
        <w:fldChar w:fldCharType="end"/>
      </w:r>
    </w:p>
    <w:p w14:paraId="4D16E37E" w14:textId="07D282E0" w:rsidR="009E0AF4" w:rsidRPr="00824B04" w:rsidRDefault="009E0AF4">
      <w:pPr>
        <w:pStyle w:val="TOC1"/>
        <w:rPr>
          <w:rFonts w:asciiTheme="minorHAnsi" w:eastAsiaTheme="minorEastAsia" w:hAnsiTheme="minorHAnsi" w:cstheme="minorBidi"/>
          <w:b w:val="0"/>
          <w:noProof/>
          <w:kern w:val="0"/>
          <w:sz w:val="22"/>
          <w:szCs w:val="22"/>
        </w:rPr>
      </w:pPr>
      <w:r w:rsidRPr="00824B04">
        <w:rPr>
          <w:rFonts w:eastAsiaTheme="majorEastAsia"/>
          <w:noProof/>
        </w:rPr>
        <w:t>Schedule 2</w:t>
      </w:r>
      <w:r w:rsidRPr="00824B04">
        <w:rPr>
          <w:noProof/>
        </w:rPr>
        <w:t>—</w:t>
      </w:r>
      <w:r w:rsidRPr="00824B04">
        <w:rPr>
          <w:rFonts w:eastAsiaTheme="majorEastAsia"/>
          <w:noProof/>
        </w:rPr>
        <w:t>Commonwealth explosives areas</w:t>
      </w:r>
      <w:r w:rsidRPr="00824B04">
        <w:rPr>
          <w:b w:val="0"/>
          <w:noProof/>
          <w:sz w:val="18"/>
        </w:rPr>
        <w:tab/>
      </w:r>
      <w:r w:rsidRPr="00824B04">
        <w:rPr>
          <w:b w:val="0"/>
          <w:noProof/>
          <w:sz w:val="18"/>
        </w:rPr>
        <w:fldChar w:fldCharType="begin"/>
      </w:r>
      <w:r w:rsidRPr="00824B04">
        <w:rPr>
          <w:b w:val="0"/>
          <w:noProof/>
          <w:sz w:val="18"/>
        </w:rPr>
        <w:instrText xml:space="preserve"> PAGEREF _Toc170463383 \h </w:instrText>
      </w:r>
      <w:r w:rsidRPr="00824B04">
        <w:rPr>
          <w:b w:val="0"/>
          <w:noProof/>
          <w:sz w:val="18"/>
        </w:rPr>
      </w:r>
      <w:r w:rsidRPr="00824B04">
        <w:rPr>
          <w:b w:val="0"/>
          <w:noProof/>
          <w:sz w:val="18"/>
        </w:rPr>
        <w:fldChar w:fldCharType="separate"/>
      </w:r>
      <w:r w:rsidR="00443E66" w:rsidRPr="00824B04">
        <w:rPr>
          <w:b w:val="0"/>
          <w:noProof/>
          <w:sz w:val="18"/>
        </w:rPr>
        <w:t>30</w:t>
      </w:r>
      <w:r w:rsidRPr="00824B04">
        <w:rPr>
          <w:b w:val="0"/>
          <w:noProof/>
          <w:sz w:val="18"/>
        </w:rPr>
        <w:fldChar w:fldCharType="end"/>
      </w:r>
    </w:p>
    <w:p w14:paraId="02223BE8" w14:textId="6364F93D" w:rsidR="009E0AF4" w:rsidRPr="00824B04" w:rsidRDefault="009E0AF4">
      <w:pPr>
        <w:pStyle w:val="TOC2"/>
        <w:rPr>
          <w:rFonts w:asciiTheme="minorHAnsi" w:eastAsiaTheme="minorEastAsia" w:hAnsiTheme="minorHAnsi" w:cstheme="minorBidi"/>
          <w:b w:val="0"/>
          <w:noProof/>
          <w:kern w:val="0"/>
          <w:sz w:val="22"/>
          <w:szCs w:val="22"/>
        </w:rPr>
      </w:pPr>
      <w:r w:rsidRPr="00824B04">
        <w:rPr>
          <w:rFonts w:eastAsiaTheme="majorEastAsia"/>
          <w:noProof/>
        </w:rPr>
        <w:t>Part 1</w:t>
      </w:r>
      <w:r w:rsidRPr="00824B04">
        <w:rPr>
          <w:noProof/>
        </w:rPr>
        <w:t>—</w:t>
      </w:r>
      <w:r w:rsidRPr="00824B04">
        <w:rPr>
          <w:rFonts w:eastAsiaTheme="majorEastAsia"/>
          <w:noProof/>
        </w:rPr>
        <w:t>Hut Forest Road, South Kiah</w:t>
      </w:r>
      <w:r w:rsidRPr="00824B04">
        <w:rPr>
          <w:b w:val="0"/>
          <w:noProof/>
          <w:sz w:val="18"/>
        </w:rPr>
        <w:tab/>
      </w:r>
      <w:r w:rsidRPr="00824B04">
        <w:rPr>
          <w:b w:val="0"/>
          <w:noProof/>
          <w:sz w:val="18"/>
        </w:rPr>
        <w:fldChar w:fldCharType="begin"/>
      </w:r>
      <w:r w:rsidRPr="00824B04">
        <w:rPr>
          <w:b w:val="0"/>
          <w:noProof/>
          <w:sz w:val="18"/>
        </w:rPr>
        <w:instrText xml:space="preserve"> PAGEREF _Toc170463384 \h </w:instrText>
      </w:r>
      <w:r w:rsidRPr="00824B04">
        <w:rPr>
          <w:b w:val="0"/>
          <w:noProof/>
          <w:sz w:val="18"/>
        </w:rPr>
      </w:r>
      <w:r w:rsidRPr="00824B04">
        <w:rPr>
          <w:b w:val="0"/>
          <w:noProof/>
          <w:sz w:val="18"/>
        </w:rPr>
        <w:fldChar w:fldCharType="separate"/>
      </w:r>
      <w:r w:rsidR="00443E66" w:rsidRPr="00824B04">
        <w:rPr>
          <w:b w:val="0"/>
          <w:noProof/>
          <w:sz w:val="18"/>
        </w:rPr>
        <w:t>30</w:t>
      </w:r>
      <w:r w:rsidRPr="00824B04">
        <w:rPr>
          <w:b w:val="0"/>
          <w:noProof/>
          <w:sz w:val="18"/>
        </w:rPr>
        <w:fldChar w:fldCharType="end"/>
      </w:r>
    </w:p>
    <w:p w14:paraId="7660F2AB" w14:textId="1624D2C8" w:rsidR="009E0AF4" w:rsidRPr="00824B04" w:rsidRDefault="009E0AF4">
      <w:pPr>
        <w:pStyle w:val="TOC5"/>
        <w:rPr>
          <w:rFonts w:asciiTheme="minorHAnsi" w:eastAsiaTheme="minorEastAsia" w:hAnsiTheme="minorHAnsi" w:cstheme="minorBidi"/>
          <w:noProof/>
          <w:kern w:val="0"/>
          <w:sz w:val="22"/>
          <w:szCs w:val="22"/>
        </w:rPr>
      </w:pPr>
      <w:r w:rsidRPr="00824B04">
        <w:rPr>
          <w:noProof/>
        </w:rPr>
        <w:t>1.1</w:t>
      </w:r>
      <w:r w:rsidRPr="00824B04">
        <w:rPr>
          <w:noProof/>
        </w:rPr>
        <w:tab/>
        <w:t>Land acquired by the Commonwealth</w:t>
      </w:r>
      <w:r w:rsidRPr="00824B04">
        <w:rPr>
          <w:noProof/>
        </w:rPr>
        <w:tab/>
      </w:r>
      <w:r w:rsidRPr="00824B04">
        <w:rPr>
          <w:noProof/>
        </w:rPr>
        <w:fldChar w:fldCharType="begin"/>
      </w:r>
      <w:r w:rsidRPr="00824B04">
        <w:rPr>
          <w:noProof/>
        </w:rPr>
        <w:instrText xml:space="preserve"> PAGEREF _Toc170463385 \h </w:instrText>
      </w:r>
      <w:r w:rsidRPr="00824B04">
        <w:rPr>
          <w:noProof/>
        </w:rPr>
      </w:r>
      <w:r w:rsidRPr="00824B04">
        <w:rPr>
          <w:noProof/>
        </w:rPr>
        <w:fldChar w:fldCharType="separate"/>
      </w:r>
      <w:r w:rsidR="00443E66" w:rsidRPr="00824B04">
        <w:rPr>
          <w:noProof/>
        </w:rPr>
        <w:t>30</w:t>
      </w:r>
      <w:r w:rsidRPr="00824B04">
        <w:rPr>
          <w:noProof/>
        </w:rPr>
        <w:fldChar w:fldCharType="end"/>
      </w:r>
    </w:p>
    <w:p w14:paraId="004A7D98" w14:textId="12014604" w:rsidR="009E0AF4" w:rsidRPr="00824B04" w:rsidRDefault="009E0AF4">
      <w:pPr>
        <w:pStyle w:val="TOC5"/>
        <w:rPr>
          <w:rFonts w:asciiTheme="minorHAnsi" w:eastAsiaTheme="minorEastAsia" w:hAnsiTheme="minorHAnsi" w:cstheme="minorBidi"/>
          <w:noProof/>
          <w:kern w:val="0"/>
          <w:sz w:val="22"/>
          <w:szCs w:val="22"/>
        </w:rPr>
      </w:pPr>
      <w:r w:rsidRPr="00824B04">
        <w:rPr>
          <w:noProof/>
        </w:rPr>
        <w:t>1.2</w:t>
      </w:r>
      <w:r w:rsidRPr="00824B04">
        <w:rPr>
          <w:noProof/>
        </w:rPr>
        <w:tab/>
        <w:t>Plan</w:t>
      </w:r>
      <w:r w:rsidRPr="00824B04">
        <w:rPr>
          <w:noProof/>
        </w:rPr>
        <w:tab/>
      </w:r>
      <w:r w:rsidRPr="00824B04">
        <w:rPr>
          <w:noProof/>
        </w:rPr>
        <w:fldChar w:fldCharType="begin"/>
      </w:r>
      <w:r w:rsidRPr="00824B04">
        <w:rPr>
          <w:noProof/>
        </w:rPr>
        <w:instrText xml:space="preserve"> PAGEREF _Toc170463386 \h </w:instrText>
      </w:r>
      <w:r w:rsidRPr="00824B04">
        <w:rPr>
          <w:noProof/>
        </w:rPr>
      </w:r>
      <w:r w:rsidRPr="00824B04">
        <w:rPr>
          <w:noProof/>
        </w:rPr>
        <w:fldChar w:fldCharType="separate"/>
      </w:r>
      <w:r w:rsidR="00443E66" w:rsidRPr="00824B04">
        <w:rPr>
          <w:noProof/>
        </w:rPr>
        <w:t>31</w:t>
      </w:r>
      <w:r w:rsidRPr="00824B04">
        <w:rPr>
          <w:noProof/>
        </w:rPr>
        <w:fldChar w:fldCharType="end"/>
      </w:r>
    </w:p>
    <w:p w14:paraId="44C0D0D0" w14:textId="3476FF98" w:rsidR="009E0AF4" w:rsidRPr="00824B04" w:rsidRDefault="009E0AF4">
      <w:pPr>
        <w:pStyle w:val="TOC5"/>
        <w:rPr>
          <w:rFonts w:asciiTheme="minorHAnsi" w:eastAsiaTheme="minorEastAsia" w:hAnsiTheme="minorHAnsi" w:cstheme="minorBidi"/>
          <w:noProof/>
          <w:kern w:val="0"/>
          <w:sz w:val="22"/>
          <w:szCs w:val="22"/>
        </w:rPr>
      </w:pPr>
      <w:r w:rsidRPr="00824B04">
        <w:rPr>
          <w:noProof/>
        </w:rPr>
        <w:t>1.3</w:t>
      </w:r>
      <w:r w:rsidRPr="00824B04">
        <w:rPr>
          <w:noProof/>
        </w:rPr>
        <w:tab/>
        <w:t>Land over which Commonwealth has rights</w:t>
      </w:r>
      <w:r w:rsidRPr="00824B04">
        <w:rPr>
          <w:noProof/>
        </w:rPr>
        <w:tab/>
      </w:r>
      <w:r w:rsidRPr="00824B04">
        <w:rPr>
          <w:noProof/>
        </w:rPr>
        <w:fldChar w:fldCharType="begin"/>
      </w:r>
      <w:r w:rsidRPr="00824B04">
        <w:rPr>
          <w:noProof/>
        </w:rPr>
        <w:instrText xml:space="preserve"> PAGEREF _Toc170463387 \h </w:instrText>
      </w:r>
      <w:r w:rsidRPr="00824B04">
        <w:rPr>
          <w:noProof/>
        </w:rPr>
      </w:r>
      <w:r w:rsidRPr="00824B04">
        <w:rPr>
          <w:noProof/>
        </w:rPr>
        <w:fldChar w:fldCharType="separate"/>
      </w:r>
      <w:r w:rsidR="00443E66" w:rsidRPr="00824B04">
        <w:rPr>
          <w:noProof/>
        </w:rPr>
        <w:t>32</w:t>
      </w:r>
      <w:r w:rsidRPr="00824B04">
        <w:rPr>
          <w:noProof/>
        </w:rPr>
        <w:fldChar w:fldCharType="end"/>
      </w:r>
    </w:p>
    <w:p w14:paraId="341795EE" w14:textId="0AA986E1" w:rsidR="009E0AF4" w:rsidRPr="00824B04" w:rsidRDefault="009E0AF4">
      <w:pPr>
        <w:pStyle w:val="TOC5"/>
        <w:rPr>
          <w:rFonts w:asciiTheme="minorHAnsi" w:eastAsiaTheme="minorEastAsia" w:hAnsiTheme="minorHAnsi" w:cstheme="minorBidi"/>
          <w:noProof/>
          <w:kern w:val="0"/>
          <w:sz w:val="22"/>
          <w:szCs w:val="22"/>
        </w:rPr>
      </w:pPr>
      <w:r w:rsidRPr="00824B04">
        <w:rPr>
          <w:noProof/>
        </w:rPr>
        <w:t>1.4</w:t>
      </w:r>
      <w:r w:rsidRPr="00824B04">
        <w:rPr>
          <w:noProof/>
        </w:rPr>
        <w:tab/>
        <w:t>Plan</w:t>
      </w:r>
      <w:r w:rsidRPr="00824B04">
        <w:rPr>
          <w:noProof/>
        </w:rPr>
        <w:tab/>
      </w:r>
      <w:r w:rsidRPr="00824B04">
        <w:rPr>
          <w:noProof/>
        </w:rPr>
        <w:fldChar w:fldCharType="begin"/>
      </w:r>
      <w:r w:rsidRPr="00824B04">
        <w:rPr>
          <w:noProof/>
        </w:rPr>
        <w:instrText xml:space="preserve"> PAGEREF _Toc170463388 \h </w:instrText>
      </w:r>
      <w:r w:rsidRPr="00824B04">
        <w:rPr>
          <w:noProof/>
        </w:rPr>
      </w:r>
      <w:r w:rsidRPr="00824B04">
        <w:rPr>
          <w:noProof/>
        </w:rPr>
        <w:fldChar w:fldCharType="separate"/>
      </w:r>
      <w:r w:rsidR="00443E66" w:rsidRPr="00824B04">
        <w:rPr>
          <w:noProof/>
        </w:rPr>
        <w:t>33</w:t>
      </w:r>
      <w:r w:rsidRPr="00824B04">
        <w:rPr>
          <w:noProof/>
        </w:rPr>
        <w:fldChar w:fldCharType="end"/>
      </w:r>
    </w:p>
    <w:p w14:paraId="07DF8F93" w14:textId="600182F8" w:rsidR="009E0AF4" w:rsidRPr="00824B04" w:rsidRDefault="009E0AF4">
      <w:pPr>
        <w:pStyle w:val="TOC2"/>
        <w:rPr>
          <w:rFonts w:asciiTheme="minorHAnsi" w:eastAsiaTheme="minorEastAsia" w:hAnsiTheme="minorHAnsi" w:cstheme="minorBidi"/>
          <w:b w:val="0"/>
          <w:noProof/>
          <w:kern w:val="0"/>
          <w:sz w:val="22"/>
          <w:szCs w:val="22"/>
        </w:rPr>
      </w:pPr>
      <w:r w:rsidRPr="00824B04">
        <w:rPr>
          <w:rFonts w:eastAsiaTheme="majorEastAsia"/>
          <w:noProof/>
        </w:rPr>
        <w:t>Part 2</w:t>
      </w:r>
      <w:r w:rsidRPr="00824B04">
        <w:rPr>
          <w:noProof/>
        </w:rPr>
        <w:t>—</w:t>
      </w:r>
      <w:r w:rsidRPr="00824B04">
        <w:rPr>
          <w:rFonts w:eastAsiaTheme="majorEastAsia"/>
          <w:noProof/>
        </w:rPr>
        <w:t>Twofold Bay, Eden</w:t>
      </w:r>
      <w:r w:rsidRPr="00824B04">
        <w:rPr>
          <w:b w:val="0"/>
          <w:noProof/>
          <w:sz w:val="18"/>
        </w:rPr>
        <w:tab/>
      </w:r>
      <w:r w:rsidRPr="00824B04">
        <w:rPr>
          <w:b w:val="0"/>
          <w:noProof/>
          <w:sz w:val="18"/>
        </w:rPr>
        <w:fldChar w:fldCharType="begin"/>
      </w:r>
      <w:r w:rsidRPr="00824B04">
        <w:rPr>
          <w:b w:val="0"/>
          <w:noProof/>
          <w:sz w:val="18"/>
        </w:rPr>
        <w:instrText xml:space="preserve"> PAGEREF _Toc170463389 \h </w:instrText>
      </w:r>
      <w:r w:rsidRPr="00824B04">
        <w:rPr>
          <w:b w:val="0"/>
          <w:noProof/>
          <w:sz w:val="18"/>
        </w:rPr>
      </w:r>
      <w:r w:rsidRPr="00824B04">
        <w:rPr>
          <w:b w:val="0"/>
          <w:noProof/>
          <w:sz w:val="18"/>
        </w:rPr>
        <w:fldChar w:fldCharType="separate"/>
      </w:r>
      <w:r w:rsidR="00443E66" w:rsidRPr="00824B04">
        <w:rPr>
          <w:b w:val="0"/>
          <w:noProof/>
          <w:sz w:val="18"/>
        </w:rPr>
        <w:t>34</w:t>
      </w:r>
      <w:r w:rsidRPr="00824B04">
        <w:rPr>
          <w:b w:val="0"/>
          <w:noProof/>
          <w:sz w:val="18"/>
        </w:rPr>
        <w:fldChar w:fldCharType="end"/>
      </w:r>
    </w:p>
    <w:p w14:paraId="2693B227" w14:textId="685DC44F" w:rsidR="009E0AF4" w:rsidRPr="00824B04" w:rsidRDefault="009E0AF4">
      <w:pPr>
        <w:pStyle w:val="TOC5"/>
        <w:rPr>
          <w:rFonts w:asciiTheme="minorHAnsi" w:eastAsiaTheme="minorEastAsia" w:hAnsiTheme="minorHAnsi" w:cstheme="minorBidi"/>
          <w:noProof/>
          <w:kern w:val="0"/>
          <w:sz w:val="22"/>
          <w:szCs w:val="22"/>
        </w:rPr>
      </w:pPr>
      <w:r w:rsidRPr="00824B04">
        <w:rPr>
          <w:noProof/>
        </w:rPr>
        <w:t>2.1</w:t>
      </w:r>
      <w:r w:rsidRPr="00824B04">
        <w:rPr>
          <w:noProof/>
        </w:rPr>
        <w:tab/>
        <w:t>Land over which Commonwealth has rights</w:t>
      </w:r>
      <w:r w:rsidRPr="00824B04">
        <w:rPr>
          <w:noProof/>
        </w:rPr>
        <w:tab/>
      </w:r>
      <w:r w:rsidRPr="00824B04">
        <w:rPr>
          <w:noProof/>
        </w:rPr>
        <w:fldChar w:fldCharType="begin"/>
      </w:r>
      <w:r w:rsidRPr="00824B04">
        <w:rPr>
          <w:noProof/>
        </w:rPr>
        <w:instrText xml:space="preserve"> PAGEREF _Toc170463390 \h </w:instrText>
      </w:r>
      <w:r w:rsidRPr="00824B04">
        <w:rPr>
          <w:noProof/>
        </w:rPr>
      </w:r>
      <w:r w:rsidRPr="00824B04">
        <w:rPr>
          <w:noProof/>
        </w:rPr>
        <w:fldChar w:fldCharType="separate"/>
      </w:r>
      <w:r w:rsidR="00443E66" w:rsidRPr="00824B04">
        <w:rPr>
          <w:noProof/>
        </w:rPr>
        <w:t>34</w:t>
      </w:r>
      <w:r w:rsidRPr="00824B04">
        <w:rPr>
          <w:noProof/>
        </w:rPr>
        <w:fldChar w:fldCharType="end"/>
      </w:r>
    </w:p>
    <w:p w14:paraId="0B263B0B" w14:textId="071316B6" w:rsidR="009E0AF4" w:rsidRPr="00824B04" w:rsidRDefault="009E0AF4">
      <w:pPr>
        <w:pStyle w:val="TOC5"/>
        <w:rPr>
          <w:rFonts w:asciiTheme="minorHAnsi" w:eastAsiaTheme="minorEastAsia" w:hAnsiTheme="minorHAnsi" w:cstheme="minorBidi"/>
          <w:noProof/>
          <w:kern w:val="0"/>
          <w:sz w:val="22"/>
          <w:szCs w:val="22"/>
        </w:rPr>
      </w:pPr>
      <w:r w:rsidRPr="00824B04">
        <w:rPr>
          <w:noProof/>
        </w:rPr>
        <w:t>2.2</w:t>
      </w:r>
      <w:r w:rsidRPr="00824B04">
        <w:rPr>
          <w:noProof/>
        </w:rPr>
        <w:tab/>
        <w:t>Plan</w:t>
      </w:r>
      <w:r w:rsidRPr="00824B04">
        <w:rPr>
          <w:noProof/>
        </w:rPr>
        <w:tab/>
      </w:r>
      <w:r w:rsidRPr="00824B04">
        <w:rPr>
          <w:noProof/>
        </w:rPr>
        <w:fldChar w:fldCharType="begin"/>
      </w:r>
      <w:r w:rsidRPr="00824B04">
        <w:rPr>
          <w:noProof/>
        </w:rPr>
        <w:instrText xml:space="preserve"> PAGEREF _Toc170463391 \h </w:instrText>
      </w:r>
      <w:r w:rsidRPr="00824B04">
        <w:rPr>
          <w:noProof/>
        </w:rPr>
      </w:r>
      <w:r w:rsidRPr="00824B04">
        <w:rPr>
          <w:noProof/>
        </w:rPr>
        <w:fldChar w:fldCharType="separate"/>
      </w:r>
      <w:r w:rsidR="00443E66" w:rsidRPr="00824B04">
        <w:rPr>
          <w:noProof/>
        </w:rPr>
        <w:t>35</w:t>
      </w:r>
      <w:r w:rsidRPr="00824B04">
        <w:rPr>
          <w:noProof/>
        </w:rPr>
        <w:fldChar w:fldCharType="end"/>
      </w:r>
    </w:p>
    <w:p w14:paraId="54B3C34D" w14:textId="75D0DFC9" w:rsidR="009E0AF4" w:rsidRPr="00824B04" w:rsidRDefault="009E0AF4">
      <w:pPr>
        <w:pStyle w:val="TOC6"/>
        <w:rPr>
          <w:rFonts w:asciiTheme="minorHAnsi" w:eastAsiaTheme="minorEastAsia" w:hAnsiTheme="minorHAnsi" w:cstheme="minorBidi"/>
          <w:b w:val="0"/>
          <w:noProof/>
          <w:kern w:val="0"/>
          <w:sz w:val="22"/>
          <w:szCs w:val="22"/>
        </w:rPr>
      </w:pPr>
      <w:r w:rsidRPr="00824B04">
        <w:rPr>
          <w:noProof/>
        </w:rPr>
        <w:t>Schedule 3—Repeals</w:t>
      </w:r>
      <w:r w:rsidRPr="00824B04">
        <w:rPr>
          <w:b w:val="0"/>
          <w:noProof/>
          <w:sz w:val="18"/>
        </w:rPr>
        <w:tab/>
      </w:r>
      <w:r w:rsidRPr="00824B04">
        <w:rPr>
          <w:b w:val="0"/>
          <w:noProof/>
          <w:sz w:val="18"/>
        </w:rPr>
        <w:fldChar w:fldCharType="begin"/>
      </w:r>
      <w:r w:rsidRPr="00824B04">
        <w:rPr>
          <w:b w:val="0"/>
          <w:noProof/>
          <w:sz w:val="18"/>
        </w:rPr>
        <w:instrText xml:space="preserve"> PAGEREF _Toc170463392 \h </w:instrText>
      </w:r>
      <w:r w:rsidRPr="00824B04">
        <w:rPr>
          <w:b w:val="0"/>
          <w:noProof/>
          <w:sz w:val="18"/>
        </w:rPr>
      </w:r>
      <w:r w:rsidRPr="00824B04">
        <w:rPr>
          <w:b w:val="0"/>
          <w:noProof/>
          <w:sz w:val="18"/>
        </w:rPr>
        <w:fldChar w:fldCharType="separate"/>
      </w:r>
      <w:r w:rsidR="00443E66" w:rsidRPr="00824B04">
        <w:rPr>
          <w:b w:val="0"/>
          <w:noProof/>
          <w:sz w:val="18"/>
        </w:rPr>
        <w:t>36</w:t>
      </w:r>
      <w:r w:rsidRPr="00824B04">
        <w:rPr>
          <w:b w:val="0"/>
          <w:noProof/>
          <w:sz w:val="18"/>
        </w:rPr>
        <w:fldChar w:fldCharType="end"/>
      </w:r>
    </w:p>
    <w:p w14:paraId="0F58448E" w14:textId="763E15EA" w:rsidR="009E0AF4" w:rsidRPr="00824B04" w:rsidRDefault="009E0AF4">
      <w:pPr>
        <w:pStyle w:val="TOC9"/>
        <w:rPr>
          <w:rFonts w:asciiTheme="minorHAnsi" w:eastAsiaTheme="minorEastAsia" w:hAnsiTheme="minorHAnsi" w:cstheme="minorBidi"/>
          <w:i w:val="0"/>
          <w:noProof/>
          <w:kern w:val="0"/>
          <w:sz w:val="22"/>
          <w:szCs w:val="22"/>
        </w:rPr>
      </w:pPr>
      <w:r w:rsidRPr="00824B04">
        <w:rPr>
          <w:noProof/>
        </w:rPr>
        <w:t>Explosives Areas Regulations 2003</w:t>
      </w:r>
      <w:r w:rsidRPr="00824B04">
        <w:rPr>
          <w:i w:val="0"/>
          <w:noProof/>
          <w:sz w:val="18"/>
        </w:rPr>
        <w:tab/>
      </w:r>
      <w:r w:rsidRPr="00824B04">
        <w:rPr>
          <w:i w:val="0"/>
          <w:noProof/>
          <w:sz w:val="18"/>
        </w:rPr>
        <w:fldChar w:fldCharType="begin"/>
      </w:r>
      <w:r w:rsidRPr="00824B04">
        <w:rPr>
          <w:i w:val="0"/>
          <w:noProof/>
          <w:sz w:val="18"/>
        </w:rPr>
        <w:instrText xml:space="preserve"> PAGEREF _Toc170463393 \h </w:instrText>
      </w:r>
      <w:r w:rsidRPr="00824B04">
        <w:rPr>
          <w:i w:val="0"/>
          <w:noProof/>
          <w:sz w:val="18"/>
        </w:rPr>
      </w:r>
      <w:r w:rsidRPr="00824B04">
        <w:rPr>
          <w:i w:val="0"/>
          <w:noProof/>
          <w:sz w:val="18"/>
        </w:rPr>
        <w:fldChar w:fldCharType="separate"/>
      </w:r>
      <w:r w:rsidR="00443E66" w:rsidRPr="00824B04">
        <w:rPr>
          <w:i w:val="0"/>
          <w:noProof/>
          <w:sz w:val="18"/>
        </w:rPr>
        <w:t>36</w:t>
      </w:r>
      <w:r w:rsidRPr="00824B04">
        <w:rPr>
          <w:i w:val="0"/>
          <w:noProof/>
          <w:sz w:val="18"/>
        </w:rPr>
        <w:fldChar w:fldCharType="end"/>
      </w:r>
    </w:p>
    <w:p w14:paraId="484ABE6C" w14:textId="7467BDE9" w:rsidR="009E0AF4" w:rsidRPr="00824B04" w:rsidRDefault="009E0AF4">
      <w:pPr>
        <w:pStyle w:val="TOC9"/>
        <w:rPr>
          <w:rFonts w:asciiTheme="minorHAnsi" w:eastAsiaTheme="minorEastAsia" w:hAnsiTheme="minorHAnsi" w:cstheme="minorBidi"/>
          <w:i w:val="0"/>
          <w:noProof/>
          <w:kern w:val="0"/>
          <w:sz w:val="22"/>
          <w:szCs w:val="22"/>
        </w:rPr>
      </w:pPr>
      <w:r w:rsidRPr="00824B04">
        <w:rPr>
          <w:noProof/>
        </w:rPr>
        <w:t>Explosives Transport Regulations 2002</w:t>
      </w:r>
      <w:r w:rsidRPr="00824B04">
        <w:rPr>
          <w:i w:val="0"/>
          <w:noProof/>
          <w:sz w:val="18"/>
        </w:rPr>
        <w:tab/>
      </w:r>
      <w:r w:rsidRPr="00824B04">
        <w:rPr>
          <w:i w:val="0"/>
          <w:noProof/>
          <w:sz w:val="18"/>
        </w:rPr>
        <w:fldChar w:fldCharType="begin"/>
      </w:r>
      <w:r w:rsidRPr="00824B04">
        <w:rPr>
          <w:i w:val="0"/>
          <w:noProof/>
          <w:sz w:val="18"/>
        </w:rPr>
        <w:instrText xml:space="preserve"> PAGEREF _Toc170463394 \h </w:instrText>
      </w:r>
      <w:r w:rsidRPr="00824B04">
        <w:rPr>
          <w:i w:val="0"/>
          <w:noProof/>
          <w:sz w:val="18"/>
        </w:rPr>
      </w:r>
      <w:r w:rsidRPr="00824B04">
        <w:rPr>
          <w:i w:val="0"/>
          <w:noProof/>
          <w:sz w:val="18"/>
        </w:rPr>
        <w:fldChar w:fldCharType="separate"/>
      </w:r>
      <w:r w:rsidR="00443E66" w:rsidRPr="00824B04">
        <w:rPr>
          <w:i w:val="0"/>
          <w:noProof/>
          <w:sz w:val="18"/>
        </w:rPr>
        <w:t>36</w:t>
      </w:r>
      <w:r w:rsidRPr="00824B04">
        <w:rPr>
          <w:i w:val="0"/>
          <w:noProof/>
          <w:sz w:val="18"/>
        </w:rPr>
        <w:fldChar w:fldCharType="end"/>
      </w:r>
    </w:p>
    <w:p w14:paraId="76780FF8" w14:textId="77777777" w:rsidR="00670EA1" w:rsidRPr="00824B04" w:rsidRDefault="009E0AF4" w:rsidP="00715914">
      <w:r w:rsidRPr="00824B04">
        <w:fldChar w:fldCharType="end"/>
      </w:r>
    </w:p>
    <w:p w14:paraId="77099C05" w14:textId="77777777" w:rsidR="00EF1F1D" w:rsidRPr="00824B04" w:rsidRDefault="00EF1F1D" w:rsidP="00EF1F1D">
      <w:pPr>
        <w:sectPr w:rsidR="00EF1F1D" w:rsidRPr="00824B04" w:rsidSect="003B1A5F">
          <w:headerReference w:type="even" r:id="rId18"/>
          <w:headerReference w:type="default" r:id="rId19"/>
          <w:footerReference w:type="even" r:id="rId20"/>
          <w:footerReference w:type="default" r:id="rId21"/>
          <w:headerReference w:type="first" r:id="rId22"/>
          <w:footerReference w:type="first" r:id="rId23"/>
          <w:pgSz w:w="11907" w:h="16839"/>
          <w:pgMar w:top="2381" w:right="1797" w:bottom="1440" w:left="1797" w:header="720" w:footer="709" w:gutter="0"/>
          <w:pgNumType w:fmt="lowerRoman" w:start="1"/>
          <w:cols w:space="708"/>
          <w:docGrid w:linePitch="360"/>
        </w:sectPr>
      </w:pPr>
    </w:p>
    <w:p w14:paraId="46B360A1" w14:textId="77777777" w:rsidR="00715914" w:rsidRPr="00824B04" w:rsidRDefault="00715914" w:rsidP="00715914">
      <w:pPr>
        <w:pStyle w:val="ActHead2"/>
      </w:pPr>
      <w:bookmarkStart w:id="1" w:name="_Toc170463314"/>
      <w:r w:rsidRPr="00824B04">
        <w:rPr>
          <w:rStyle w:val="CharPartNo"/>
        </w:rPr>
        <w:lastRenderedPageBreak/>
        <w:t>Part 1</w:t>
      </w:r>
      <w:r w:rsidRPr="00824B04">
        <w:t>—</w:t>
      </w:r>
      <w:r w:rsidRPr="00824B04">
        <w:rPr>
          <w:rStyle w:val="CharPartText"/>
        </w:rPr>
        <w:t>Preliminary</w:t>
      </w:r>
      <w:bookmarkEnd w:id="1"/>
    </w:p>
    <w:p w14:paraId="6A8EE138" w14:textId="77777777" w:rsidR="00715914" w:rsidRPr="00824B04" w:rsidRDefault="00715914" w:rsidP="00715914">
      <w:pPr>
        <w:pStyle w:val="Header"/>
      </w:pPr>
      <w:r w:rsidRPr="00824B04">
        <w:rPr>
          <w:rStyle w:val="CharDivNo"/>
        </w:rPr>
        <w:t xml:space="preserve"> </w:t>
      </w:r>
      <w:r w:rsidRPr="00824B04">
        <w:rPr>
          <w:rStyle w:val="CharDivText"/>
        </w:rPr>
        <w:t xml:space="preserve"> </w:t>
      </w:r>
    </w:p>
    <w:p w14:paraId="06630E4B" w14:textId="77777777" w:rsidR="00715914" w:rsidRPr="00824B04" w:rsidRDefault="001436C7" w:rsidP="00715914">
      <w:pPr>
        <w:pStyle w:val="ActHead5"/>
      </w:pPr>
      <w:bookmarkStart w:id="2" w:name="_Toc170463315"/>
      <w:r w:rsidRPr="00824B04">
        <w:rPr>
          <w:rStyle w:val="CharSectno"/>
        </w:rPr>
        <w:t>1</w:t>
      </w:r>
      <w:r w:rsidR="00715914" w:rsidRPr="00824B04">
        <w:t xml:space="preserve">  </w:t>
      </w:r>
      <w:r w:rsidR="00CE493D" w:rsidRPr="00824B04">
        <w:t>Name</w:t>
      </w:r>
      <w:bookmarkEnd w:id="2"/>
    </w:p>
    <w:p w14:paraId="21280AC5" w14:textId="77777777" w:rsidR="00715914" w:rsidRPr="00824B04" w:rsidRDefault="00715914" w:rsidP="00715914">
      <w:pPr>
        <w:pStyle w:val="subsection"/>
      </w:pPr>
      <w:r w:rsidRPr="00824B04">
        <w:tab/>
      </w:r>
      <w:r w:rsidRPr="00824B04">
        <w:tab/>
      </w:r>
      <w:r w:rsidR="00E53DE0" w:rsidRPr="00824B04">
        <w:t>This instrument is</w:t>
      </w:r>
      <w:r w:rsidR="00CE493D" w:rsidRPr="00824B04">
        <w:t xml:space="preserve"> the </w:t>
      </w:r>
      <w:r w:rsidR="00B523A5" w:rsidRPr="00824B04">
        <w:rPr>
          <w:i/>
          <w:noProof/>
        </w:rPr>
        <w:t>Explosives Regulations 2024</w:t>
      </w:r>
      <w:r w:rsidRPr="00824B04">
        <w:t>.</w:t>
      </w:r>
    </w:p>
    <w:p w14:paraId="1831F1E6" w14:textId="77777777" w:rsidR="00715914" w:rsidRPr="00824B04" w:rsidRDefault="001436C7" w:rsidP="00715914">
      <w:pPr>
        <w:pStyle w:val="ActHead5"/>
      </w:pPr>
      <w:bookmarkStart w:id="3" w:name="_Toc170463316"/>
      <w:r w:rsidRPr="00824B04">
        <w:rPr>
          <w:rStyle w:val="CharSectno"/>
        </w:rPr>
        <w:t>2</w:t>
      </w:r>
      <w:r w:rsidR="00715914" w:rsidRPr="00824B04">
        <w:t xml:space="preserve">  Commencement</w:t>
      </w:r>
      <w:bookmarkEnd w:id="3"/>
    </w:p>
    <w:p w14:paraId="4F19BF39" w14:textId="77777777" w:rsidR="00AE3652" w:rsidRPr="00824B04" w:rsidRDefault="00807626" w:rsidP="00AE3652">
      <w:pPr>
        <w:pStyle w:val="subsection"/>
      </w:pPr>
      <w:r w:rsidRPr="00824B04">
        <w:tab/>
      </w:r>
      <w:r w:rsidR="00AE3652" w:rsidRPr="00824B04">
        <w:t>(1)</w:t>
      </w:r>
      <w:r w:rsidR="00AE3652" w:rsidRPr="00824B04">
        <w:tab/>
        <w:t xml:space="preserve">Each provision of </w:t>
      </w:r>
      <w:r w:rsidR="00E53DE0" w:rsidRPr="00824B04">
        <w:t>this instrument</w:t>
      </w:r>
      <w:r w:rsidR="00AE3652" w:rsidRPr="00824B04">
        <w:t xml:space="preserve"> specified in column 1 of the table commences, or is taken to have commenced, in accordance with column 2 of the table. Any other statement in column 2 has effect according to its terms.</w:t>
      </w:r>
    </w:p>
    <w:p w14:paraId="29C9D02A" w14:textId="77777777" w:rsidR="00AE3652" w:rsidRPr="00824B04"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14"/>
        <w:gridCol w:w="4368"/>
        <w:gridCol w:w="1831"/>
      </w:tblGrid>
      <w:tr w:rsidR="00AE3652" w:rsidRPr="00824B04" w14:paraId="44AA2739" w14:textId="77777777" w:rsidTr="00876AFF">
        <w:trPr>
          <w:tblHeader/>
        </w:trPr>
        <w:tc>
          <w:tcPr>
            <w:tcW w:w="5000" w:type="pct"/>
            <w:gridSpan w:val="3"/>
            <w:tcBorders>
              <w:top w:val="single" w:sz="12" w:space="0" w:color="auto"/>
              <w:bottom w:val="single" w:sz="6" w:space="0" w:color="auto"/>
            </w:tcBorders>
            <w:shd w:val="clear" w:color="auto" w:fill="auto"/>
            <w:hideMark/>
          </w:tcPr>
          <w:p w14:paraId="3E43A8A9" w14:textId="77777777" w:rsidR="00AE3652" w:rsidRPr="00824B04" w:rsidRDefault="00AE3652" w:rsidP="00164639">
            <w:pPr>
              <w:pStyle w:val="TableHeading"/>
            </w:pPr>
            <w:r w:rsidRPr="00824B04">
              <w:t>Commencement information</w:t>
            </w:r>
          </w:p>
        </w:tc>
      </w:tr>
      <w:tr w:rsidR="00AE3652" w:rsidRPr="00824B04" w14:paraId="38B796AE" w14:textId="77777777" w:rsidTr="00876AFF">
        <w:trPr>
          <w:tblHeader/>
        </w:trPr>
        <w:tc>
          <w:tcPr>
            <w:tcW w:w="1272" w:type="pct"/>
            <w:tcBorders>
              <w:top w:val="single" w:sz="6" w:space="0" w:color="auto"/>
              <w:bottom w:val="single" w:sz="6" w:space="0" w:color="auto"/>
            </w:tcBorders>
            <w:shd w:val="clear" w:color="auto" w:fill="auto"/>
            <w:hideMark/>
          </w:tcPr>
          <w:p w14:paraId="4EAF88A7" w14:textId="77777777" w:rsidR="00AE3652" w:rsidRPr="00824B04" w:rsidRDefault="00AE3652" w:rsidP="00164639">
            <w:pPr>
              <w:pStyle w:val="TableHeading"/>
            </w:pPr>
            <w:r w:rsidRPr="00824B04">
              <w:t>Column 1</w:t>
            </w:r>
          </w:p>
        </w:tc>
        <w:tc>
          <w:tcPr>
            <w:tcW w:w="2627" w:type="pct"/>
            <w:tcBorders>
              <w:top w:val="single" w:sz="6" w:space="0" w:color="auto"/>
              <w:bottom w:val="single" w:sz="6" w:space="0" w:color="auto"/>
            </w:tcBorders>
            <w:shd w:val="clear" w:color="auto" w:fill="auto"/>
            <w:hideMark/>
          </w:tcPr>
          <w:p w14:paraId="3F1A4B6E" w14:textId="77777777" w:rsidR="00AE3652" w:rsidRPr="00824B04" w:rsidRDefault="00AE3652" w:rsidP="00164639">
            <w:pPr>
              <w:pStyle w:val="TableHeading"/>
            </w:pPr>
            <w:r w:rsidRPr="00824B04">
              <w:t>Column 2</w:t>
            </w:r>
          </w:p>
        </w:tc>
        <w:tc>
          <w:tcPr>
            <w:tcW w:w="1102" w:type="pct"/>
            <w:tcBorders>
              <w:top w:val="single" w:sz="6" w:space="0" w:color="auto"/>
              <w:bottom w:val="single" w:sz="6" w:space="0" w:color="auto"/>
            </w:tcBorders>
            <w:shd w:val="clear" w:color="auto" w:fill="auto"/>
            <w:hideMark/>
          </w:tcPr>
          <w:p w14:paraId="6ECC8FDA" w14:textId="77777777" w:rsidR="00AE3652" w:rsidRPr="00824B04" w:rsidRDefault="00AE3652" w:rsidP="00164639">
            <w:pPr>
              <w:pStyle w:val="TableHeading"/>
            </w:pPr>
            <w:r w:rsidRPr="00824B04">
              <w:t>Column 3</w:t>
            </w:r>
          </w:p>
        </w:tc>
      </w:tr>
      <w:tr w:rsidR="00AE3652" w:rsidRPr="00824B04" w14:paraId="3406C2B5" w14:textId="77777777" w:rsidTr="00876AFF">
        <w:trPr>
          <w:tblHeader/>
        </w:trPr>
        <w:tc>
          <w:tcPr>
            <w:tcW w:w="1272" w:type="pct"/>
            <w:tcBorders>
              <w:top w:val="single" w:sz="6" w:space="0" w:color="auto"/>
              <w:bottom w:val="single" w:sz="12" w:space="0" w:color="auto"/>
            </w:tcBorders>
            <w:shd w:val="clear" w:color="auto" w:fill="auto"/>
            <w:hideMark/>
          </w:tcPr>
          <w:p w14:paraId="761C6E0B" w14:textId="77777777" w:rsidR="00AE3652" w:rsidRPr="00824B04" w:rsidRDefault="00AE3652" w:rsidP="00164639">
            <w:pPr>
              <w:pStyle w:val="TableHeading"/>
            </w:pPr>
            <w:r w:rsidRPr="00824B04">
              <w:t>Provisions</w:t>
            </w:r>
          </w:p>
        </w:tc>
        <w:tc>
          <w:tcPr>
            <w:tcW w:w="2627" w:type="pct"/>
            <w:tcBorders>
              <w:top w:val="single" w:sz="6" w:space="0" w:color="auto"/>
              <w:bottom w:val="single" w:sz="12" w:space="0" w:color="auto"/>
            </w:tcBorders>
            <w:shd w:val="clear" w:color="auto" w:fill="auto"/>
            <w:hideMark/>
          </w:tcPr>
          <w:p w14:paraId="3BB69E39" w14:textId="77777777" w:rsidR="00AE3652" w:rsidRPr="00824B04" w:rsidRDefault="00AE3652" w:rsidP="00164639">
            <w:pPr>
              <w:pStyle w:val="TableHeading"/>
            </w:pPr>
            <w:r w:rsidRPr="00824B04">
              <w:t>Commencement</w:t>
            </w:r>
          </w:p>
        </w:tc>
        <w:tc>
          <w:tcPr>
            <w:tcW w:w="1102" w:type="pct"/>
            <w:tcBorders>
              <w:top w:val="single" w:sz="6" w:space="0" w:color="auto"/>
              <w:bottom w:val="single" w:sz="12" w:space="0" w:color="auto"/>
            </w:tcBorders>
            <w:shd w:val="clear" w:color="auto" w:fill="auto"/>
            <w:hideMark/>
          </w:tcPr>
          <w:p w14:paraId="67E0BEDB" w14:textId="77777777" w:rsidR="00AE3652" w:rsidRPr="00824B04" w:rsidRDefault="00AE3652" w:rsidP="00164639">
            <w:pPr>
              <w:pStyle w:val="TableHeading"/>
            </w:pPr>
            <w:r w:rsidRPr="00824B04">
              <w:t>Date/Details</w:t>
            </w:r>
          </w:p>
        </w:tc>
      </w:tr>
      <w:tr w:rsidR="00AE3652" w:rsidRPr="00824B04" w14:paraId="360D9A37" w14:textId="77777777" w:rsidTr="00876AFF">
        <w:tc>
          <w:tcPr>
            <w:tcW w:w="1272" w:type="pct"/>
            <w:tcBorders>
              <w:top w:val="single" w:sz="12" w:space="0" w:color="auto"/>
              <w:bottom w:val="single" w:sz="12" w:space="0" w:color="auto"/>
            </w:tcBorders>
            <w:shd w:val="clear" w:color="auto" w:fill="auto"/>
            <w:hideMark/>
          </w:tcPr>
          <w:p w14:paraId="026869DB" w14:textId="77777777" w:rsidR="00AE3652" w:rsidRPr="00824B04" w:rsidRDefault="00AE3652" w:rsidP="00164639">
            <w:pPr>
              <w:pStyle w:val="Tabletext"/>
            </w:pPr>
            <w:r w:rsidRPr="00824B04">
              <w:t xml:space="preserve">1.  The whole of </w:t>
            </w:r>
            <w:r w:rsidR="00E53DE0" w:rsidRPr="00824B04">
              <w:t>this instrument</w:t>
            </w:r>
          </w:p>
        </w:tc>
        <w:tc>
          <w:tcPr>
            <w:tcW w:w="2627" w:type="pct"/>
            <w:tcBorders>
              <w:top w:val="single" w:sz="12" w:space="0" w:color="auto"/>
              <w:bottom w:val="single" w:sz="12" w:space="0" w:color="auto"/>
            </w:tcBorders>
            <w:shd w:val="clear" w:color="auto" w:fill="auto"/>
            <w:hideMark/>
          </w:tcPr>
          <w:p w14:paraId="7AB1B0B3" w14:textId="77777777" w:rsidR="00AE3652" w:rsidRPr="00824B04" w:rsidRDefault="0055526D" w:rsidP="00164639">
            <w:pPr>
              <w:pStyle w:val="Tabletext"/>
            </w:pPr>
            <w:r w:rsidRPr="00824B04">
              <w:t>The day after the end of the period of</w:t>
            </w:r>
            <w:r w:rsidR="00FA3E4C" w:rsidRPr="00824B04">
              <w:t xml:space="preserve"> 28 days</w:t>
            </w:r>
            <w:r w:rsidRPr="00824B04">
              <w:t xml:space="preserve"> beginning on the day this instrument is registered.</w:t>
            </w:r>
          </w:p>
        </w:tc>
        <w:tc>
          <w:tcPr>
            <w:tcW w:w="1102" w:type="pct"/>
            <w:tcBorders>
              <w:top w:val="single" w:sz="12" w:space="0" w:color="auto"/>
              <w:bottom w:val="single" w:sz="12" w:space="0" w:color="auto"/>
            </w:tcBorders>
            <w:shd w:val="clear" w:color="auto" w:fill="auto"/>
          </w:tcPr>
          <w:p w14:paraId="0DD4C170" w14:textId="5E48CA20" w:rsidR="00AE3652" w:rsidRPr="00824B04" w:rsidRDefault="00556B9A" w:rsidP="00164639">
            <w:pPr>
              <w:pStyle w:val="Tabletext"/>
            </w:pPr>
            <w:r>
              <w:t>27 September 202</w:t>
            </w:r>
            <w:bookmarkStart w:id="4" w:name="_GoBack"/>
            <w:bookmarkEnd w:id="4"/>
            <w:r>
              <w:t>4</w:t>
            </w:r>
          </w:p>
        </w:tc>
      </w:tr>
    </w:tbl>
    <w:p w14:paraId="42E1F01F" w14:textId="77777777" w:rsidR="00AE3652" w:rsidRPr="00824B04" w:rsidRDefault="00AE3652" w:rsidP="00AE3652">
      <w:pPr>
        <w:pStyle w:val="notetext"/>
      </w:pPr>
      <w:r w:rsidRPr="00824B04">
        <w:rPr>
          <w:snapToGrid w:val="0"/>
          <w:lang w:eastAsia="en-US"/>
        </w:rPr>
        <w:t>Note:</w:t>
      </w:r>
      <w:r w:rsidRPr="00824B04">
        <w:rPr>
          <w:snapToGrid w:val="0"/>
          <w:lang w:eastAsia="en-US"/>
        </w:rPr>
        <w:tab/>
        <w:t xml:space="preserve">This table relates only to the provisions of </w:t>
      </w:r>
      <w:r w:rsidR="00E53DE0" w:rsidRPr="00824B04">
        <w:rPr>
          <w:snapToGrid w:val="0"/>
          <w:lang w:eastAsia="en-US"/>
        </w:rPr>
        <w:t>this instrument</w:t>
      </w:r>
      <w:r w:rsidRPr="00824B04">
        <w:t xml:space="preserve"> </w:t>
      </w:r>
      <w:r w:rsidRPr="00824B04">
        <w:rPr>
          <w:snapToGrid w:val="0"/>
          <w:lang w:eastAsia="en-US"/>
        </w:rPr>
        <w:t xml:space="preserve">as originally made. It will not be amended to deal with any later amendments of </w:t>
      </w:r>
      <w:r w:rsidR="00E53DE0" w:rsidRPr="00824B04">
        <w:rPr>
          <w:snapToGrid w:val="0"/>
          <w:lang w:eastAsia="en-US"/>
        </w:rPr>
        <w:t>this instrument</w:t>
      </w:r>
      <w:r w:rsidRPr="00824B04">
        <w:rPr>
          <w:snapToGrid w:val="0"/>
          <w:lang w:eastAsia="en-US"/>
        </w:rPr>
        <w:t>.</w:t>
      </w:r>
    </w:p>
    <w:p w14:paraId="70C59B51" w14:textId="77777777" w:rsidR="00807626" w:rsidRPr="00824B04" w:rsidRDefault="00AE3652" w:rsidP="00AE3652">
      <w:pPr>
        <w:pStyle w:val="subsection"/>
      </w:pPr>
      <w:r w:rsidRPr="00824B04">
        <w:tab/>
        <w:t>(2)</w:t>
      </w:r>
      <w:r w:rsidRPr="00824B04">
        <w:tab/>
        <w:t xml:space="preserve">Any information in column 3 of the table is not part of </w:t>
      </w:r>
      <w:r w:rsidR="00E53DE0" w:rsidRPr="00824B04">
        <w:t>this instrument</w:t>
      </w:r>
      <w:r w:rsidRPr="00824B04">
        <w:t xml:space="preserve">. Information may be inserted in this column, or information in it may be edited, in any published version of </w:t>
      </w:r>
      <w:r w:rsidR="00E53DE0" w:rsidRPr="00824B04">
        <w:t>this instrument</w:t>
      </w:r>
      <w:r w:rsidRPr="00824B04">
        <w:t>.</w:t>
      </w:r>
    </w:p>
    <w:p w14:paraId="67E46C42" w14:textId="77777777" w:rsidR="007500C8" w:rsidRPr="00824B04" w:rsidRDefault="001436C7" w:rsidP="007500C8">
      <w:pPr>
        <w:pStyle w:val="ActHead5"/>
      </w:pPr>
      <w:bookmarkStart w:id="5" w:name="_Toc170463317"/>
      <w:r w:rsidRPr="00824B04">
        <w:rPr>
          <w:rStyle w:val="CharSectno"/>
        </w:rPr>
        <w:t>3</w:t>
      </w:r>
      <w:r w:rsidR="007500C8" w:rsidRPr="00824B04">
        <w:t xml:space="preserve">  Authority</w:t>
      </w:r>
      <w:bookmarkEnd w:id="5"/>
    </w:p>
    <w:p w14:paraId="411A074E" w14:textId="77777777" w:rsidR="004C282C" w:rsidRPr="00824B04" w:rsidRDefault="007500C8" w:rsidP="00E11269">
      <w:pPr>
        <w:pStyle w:val="subsection"/>
      </w:pPr>
      <w:r w:rsidRPr="00824B04">
        <w:tab/>
      </w:r>
      <w:r w:rsidRPr="00824B04">
        <w:tab/>
      </w:r>
      <w:r w:rsidR="00E53DE0" w:rsidRPr="00824B04">
        <w:t>This instrument is</w:t>
      </w:r>
      <w:r w:rsidRPr="00824B04">
        <w:t xml:space="preserve"> made under the</w:t>
      </w:r>
      <w:r w:rsidR="002013BC" w:rsidRPr="00824B04">
        <w:t xml:space="preserve"> </w:t>
      </w:r>
      <w:r w:rsidR="002013BC" w:rsidRPr="00824B04">
        <w:rPr>
          <w:i/>
        </w:rPr>
        <w:t xml:space="preserve">Explosives </w:t>
      </w:r>
      <w:r w:rsidR="002C4A40" w:rsidRPr="00824B04">
        <w:rPr>
          <w:i/>
        </w:rPr>
        <w:t>A</w:t>
      </w:r>
      <w:r w:rsidRPr="00824B04">
        <w:rPr>
          <w:i/>
        </w:rPr>
        <w:t>ct</w:t>
      </w:r>
      <w:r w:rsidR="00157E92" w:rsidRPr="00824B04">
        <w:rPr>
          <w:i/>
        </w:rPr>
        <w:t xml:space="preserve"> 1961</w:t>
      </w:r>
      <w:r w:rsidR="00F4350D" w:rsidRPr="00824B04">
        <w:t>.</w:t>
      </w:r>
    </w:p>
    <w:p w14:paraId="1E970152" w14:textId="77777777" w:rsidR="00267E2A" w:rsidRPr="00824B04" w:rsidRDefault="001436C7" w:rsidP="00267E2A">
      <w:pPr>
        <w:pStyle w:val="ActHead5"/>
      </w:pPr>
      <w:bookmarkStart w:id="6" w:name="_Toc170463318"/>
      <w:r w:rsidRPr="00824B04">
        <w:rPr>
          <w:rStyle w:val="CharSectno"/>
        </w:rPr>
        <w:t>4</w:t>
      </w:r>
      <w:r w:rsidR="00035A23" w:rsidRPr="00824B04">
        <w:t xml:space="preserve">  </w:t>
      </w:r>
      <w:r w:rsidR="00672653" w:rsidRPr="00824B04">
        <w:t>Schedule 3</w:t>
      </w:r>
      <w:bookmarkEnd w:id="6"/>
    </w:p>
    <w:p w14:paraId="221A734B" w14:textId="77777777" w:rsidR="00267E2A" w:rsidRPr="00824B04" w:rsidRDefault="00267E2A" w:rsidP="00267E2A">
      <w:pPr>
        <w:pStyle w:val="subsection"/>
      </w:pPr>
      <w:r w:rsidRPr="00824B04">
        <w:tab/>
      </w:r>
      <w:r w:rsidRPr="00824B04">
        <w:tab/>
        <w:t xml:space="preserve">Each instrument that is specified in </w:t>
      </w:r>
      <w:r w:rsidR="00672653" w:rsidRPr="00824B04">
        <w:t>Schedule 3</w:t>
      </w:r>
      <w:r w:rsidRPr="00824B04">
        <w:t xml:space="preserve"> to this instrument is amended or repealed as set out in the applicable items in that Schedule, and any other item in that Schedule has effect according to its terms.</w:t>
      </w:r>
    </w:p>
    <w:p w14:paraId="6BC5C92E" w14:textId="77777777" w:rsidR="00164639" w:rsidRPr="00824B04" w:rsidRDefault="001436C7" w:rsidP="00267E2A">
      <w:pPr>
        <w:pStyle w:val="ActHead5"/>
      </w:pPr>
      <w:bookmarkStart w:id="7" w:name="_Toc170463319"/>
      <w:r w:rsidRPr="00824B04">
        <w:rPr>
          <w:rStyle w:val="CharSectno"/>
        </w:rPr>
        <w:t>5</w:t>
      </w:r>
      <w:r w:rsidR="00164639" w:rsidRPr="00824B04">
        <w:t xml:space="preserve">  Definitions</w:t>
      </w:r>
      <w:bookmarkEnd w:id="7"/>
    </w:p>
    <w:p w14:paraId="1DC3C7C0" w14:textId="77777777" w:rsidR="009C1C0F" w:rsidRPr="00824B04" w:rsidRDefault="009C1C0F" w:rsidP="009C1C0F">
      <w:pPr>
        <w:pStyle w:val="notetext"/>
      </w:pPr>
      <w:r w:rsidRPr="00824B04">
        <w:t>Note:</w:t>
      </w:r>
      <w:r w:rsidRPr="00824B04">
        <w:tab/>
      </w:r>
      <w:r w:rsidR="00B817DC" w:rsidRPr="00824B04">
        <w:t xml:space="preserve">The following </w:t>
      </w:r>
      <w:r w:rsidRPr="00824B04">
        <w:t>expressions used in this instrument are defined in the Act:</w:t>
      </w:r>
    </w:p>
    <w:p w14:paraId="7AD2C2B9" w14:textId="77777777" w:rsidR="009C1C0F" w:rsidRPr="00824B04" w:rsidRDefault="009C1C0F" w:rsidP="009C1C0F">
      <w:pPr>
        <w:pStyle w:val="notepara"/>
      </w:pPr>
      <w:r w:rsidRPr="00824B04">
        <w:t>(a)</w:t>
      </w:r>
      <w:r w:rsidRPr="00824B04">
        <w:tab/>
      </w:r>
      <w:r w:rsidR="00B817DC" w:rsidRPr="00824B04">
        <w:t>explosives</w:t>
      </w:r>
      <w:r w:rsidRPr="00824B04">
        <w:t>;</w:t>
      </w:r>
    </w:p>
    <w:p w14:paraId="02853955" w14:textId="77777777" w:rsidR="009C1C0F" w:rsidRPr="00824B04" w:rsidRDefault="009C1C0F" w:rsidP="009C1C0F">
      <w:pPr>
        <w:pStyle w:val="notepara"/>
      </w:pPr>
      <w:r w:rsidRPr="00824B04">
        <w:t>(b)</w:t>
      </w:r>
      <w:r w:rsidRPr="00824B04">
        <w:tab/>
      </w:r>
      <w:r w:rsidR="00B817DC" w:rsidRPr="00824B04">
        <w:t>handling</w:t>
      </w:r>
      <w:r w:rsidRPr="00824B04">
        <w:t>;</w:t>
      </w:r>
    </w:p>
    <w:p w14:paraId="4BF52AC0" w14:textId="77777777" w:rsidR="009C1C0F" w:rsidRPr="00824B04" w:rsidRDefault="009C1C0F" w:rsidP="00B817DC">
      <w:pPr>
        <w:pStyle w:val="notepara"/>
      </w:pPr>
      <w:r w:rsidRPr="00824B04">
        <w:t>(c)</w:t>
      </w:r>
      <w:r w:rsidRPr="00824B04">
        <w:tab/>
      </w:r>
      <w:r w:rsidR="00B817DC" w:rsidRPr="00824B04">
        <w:t>vessel.</w:t>
      </w:r>
    </w:p>
    <w:p w14:paraId="1775DC6D" w14:textId="77777777" w:rsidR="00164639" w:rsidRPr="00824B04" w:rsidRDefault="00164639" w:rsidP="00164639">
      <w:pPr>
        <w:pStyle w:val="subsection"/>
      </w:pPr>
      <w:r w:rsidRPr="00824B04">
        <w:tab/>
      </w:r>
      <w:r w:rsidRPr="00824B04">
        <w:tab/>
        <w:t xml:space="preserve">In </w:t>
      </w:r>
      <w:r w:rsidR="00C45F6C" w:rsidRPr="00824B04">
        <w:t>this instrument</w:t>
      </w:r>
      <w:r w:rsidRPr="00824B04">
        <w:t>:</w:t>
      </w:r>
    </w:p>
    <w:p w14:paraId="1F95EF75" w14:textId="77777777" w:rsidR="00164639" w:rsidRPr="00824B04" w:rsidRDefault="00164639" w:rsidP="00164639">
      <w:pPr>
        <w:pStyle w:val="Definition"/>
      </w:pPr>
      <w:r w:rsidRPr="00824B04">
        <w:rPr>
          <w:b/>
          <w:i/>
        </w:rPr>
        <w:t xml:space="preserve">Act </w:t>
      </w:r>
      <w:r w:rsidRPr="00824B04">
        <w:t xml:space="preserve">means the </w:t>
      </w:r>
      <w:r w:rsidRPr="00824B04">
        <w:rPr>
          <w:i/>
        </w:rPr>
        <w:t>Explosives Act 1961</w:t>
      </w:r>
      <w:r w:rsidRPr="00824B04">
        <w:t>.</w:t>
      </w:r>
    </w:p>
    <w:p w14:paraId="56101546" w14:textId="77777777" w:rsidR="00164639" w:rsidRPr="00824B04" w:rsidRDefault="00164639" w:rsidP="00164639">
      <w:pPr>
        <w:pStyle w:val="Definition"/>
      </w:pPr>
      <w:r w:rsidRPr="00824B04">
        <w:rPr>
          <w:b/>
          <w:i/>
        </w:rPr>
        <w:t xml:space="preserve">AE Code </w:t>
      </w:r>
      <w:r w:rsidR="00B0762D" w:rsidRPr="00824B04">
        <w:t>(short f</w:t>
      </w:r>
      <w:r w:rsidRPr="00824B04">
        <w:t>or Australian Explosives Code</w:t>
      </w:r>
      <w:r w:rsidR="00B0762D" w:rsidRPr="00824B04">
        <w:t>)</w:t>
      </w:r>
      <w:r w:rsidRPr="00824B04">
        <w:rPr>
          <w:b/>
          <w:i/>
        </w:rPr>
        <w:t xml:space="preserve"> </w:t>
      </w:r>
      <w:r w:rsidRPr="00824B04">
        <w:t xml:space="preserve">means the third edition of the </w:t>
      </w:r>
      <w:r w:rsidRPr="00824B04">
        <w:rPr>
          <w:i/>
        </w:rPr>
        <w:t xml:space="preserve">Australian Code for the Transport of Explosives by Road and Rail </w:t>
      </w:r>
      <w:r w:rsidRPr="00824B04">
        <w:t>endorsed by the Workplace Relations Ministers’ Council on 3 April 2009.</w:t>
      </w:r>
    </w:p>
    <w:p w14:paraId="420CF9FE" w14:textId="77777777" w:rsidR="00164639" w:rsidRPr="00824B04" w:rsidRDefault="00164639" w:rsidP="00164639">
      <w:pPr>
        <w:pStyle w:val="notetext"/>
      </w:pPr>
      <w:r w:rsidRPr="00824B04">
        <w:t>Note:</w:t>
      </w:r>
      <w:r w:rsidRPr="00824B04">
        <w:tab/>
        <w:t>The A</w:t>
      </w:r>
      <w:r w:rsidR="00B0762D" w:rsidRPr="00824B04">
        <w:t>E</w:t>
      </w:r>
      <w:r w:rsidRPr="00824B04">
        <w:t xml:space="preserve"> Code can be viewed</w:t>
      </w:r>
      <w:r w:rsidR="00314199" w:rsidRPr="00824B04">
        <w:t xml:space="preserve"> on the Safe Work Australia website</w:t>
      </w:r>
      <w:r w:rsidRPr="00824B04">
        <w:t xml:space="preserve"> </w:t>
      </w:r>
      <w:r w:rsidR="00C24B3A" w:rsidRPr="00824B04">
        <w:t>(</w:t>
      </w:r>
      <w:r w:rsidRPr="00824B04">
        <w:t>http</w:t>
      </w:r>
      <w:r w:rsidR="0016729D" w:rsidRPr="00824B04">
        <w:t>s</w:t>
      </w:r>
      <w:r w:rsidRPr="00824B04">
        <w:t>://www.</w:t>
      </w:r>
      <w:r w:rsidR="0016729D" w:rsidRPr="00824B04">
        <w:t>safeworkaustralia</w:t>
      </w:r>
      <w:r w:rsidRPr="00824B04">
        <w:t>.gov.au</w:t>
      </w:r>
      <w:r w:rsidR="00C24B3A" w:rsidRPr="00824B04">
        <w:t>)</w:t>
      </w:r>
      <w:r w:rsidR="0016729D" w:rsidRPr="00824B04">
        <w:t>.</w:t>
      </w:r>
    </w:p>
    <w:p w14:paraId="06DF5DC4" w14:textId="77777777" w:rsidR="00164639" w:rsidRPr="00824B04" w:rsidRDefault="004C49DC" w:rsidP="009E5F70">
      <w:pPr>
        <w:pStyle w:val="Definition"/>
      </w:pPr>
      <w:r w:rsidRPr="00824B04">
        <w:rPr>
          <w:b/>
          <w:i/>
        </w:rPr>
        <w:lastRenderedPageBreak/>
        <w:t>approved security plan</w:t>
      </w:r>
      <w:r w:rsidRPr="00824B04">
        <w:t xml:space="preserve"> </w:t>
      </w:r>
      <w:r w:rsidR="00BE38F2" w:rsidRPr="00824B04">
        <w:t>for</w:t>
      </w:r>
      <w:r w:rsidRPr="00824B04">
        <w:t xml:space="preserve"> a regulated Commonwealth agency means a security plan approved by the Competent Authority</w:t>
      </w:r>
      <w:r w:rsidR="00C7563B" w:rsidRPr="00824B04">
        <w:t xml:space="preserve"> under </w:t>
      </w:r>
      <w:r w:rsidR="00C5351E" w:rsidRPr="00824B04">
        <w:t>subsection 1</w:t>
      </w:r>
      <w:r w:rsidR="001436C7" w:rsidRPr="00824B04">
        <w:t>6</w:t>
      </w:r>
      <w:r w:rsidR="00C7563B" w:rsidRPr="00824B04">
        <w:t>(</w:t>
      </w:r>
      <w:r w:rsidR="009E5F70" w:rsidRPr="00824B04">
        <w:t>2</w:t>
      </w:r>
      <w:r w:rsidR="00C7563B" w:rsidRPr="00824B04">
        <w:t>)</w:t>
      </w:r>
      <w:r w:rsidR="00BE38F2" w:rsidRPr="00824B04">
        <w:t>, for the regulated Commonwealth agency</w:t>
      </w:r>
      <w:r w:rsidR="00F16C62" w:rsidRPr="00824B04">
        <w:t>.</w:t>
      </w:r>
    </w:p>
    <w:p w14:paraId="421CEF89" w14:textId="77777777" w:rsidR="004F2031" w:rsidRPr="00824B04" w:rsidRDefault="00164639" w:rsidP="003507F2">
      <w:pPr>
        <w:pStyle w:val="Definition"/>
      </w:pPr>
      <w:r w:rsidRPr="00824B04">
        <w:rPr>
          <w:b/>
          <w:i/>
        </w:rPr>
        <w:t xml:space="preserve">authorised Commonwealth explosive </w:t>
      </w:r>
      <w:r w:rsidRPr="00824B04">
        <w:t xml:space="preserve">means a Commonwealth explosive, or a kind of Commonwealth explosive, </w:t>
      </w:r>
      <w:r w:rsidR="00AA3B8A" w:rsidRPr="00824B04">
        <w:t>specified</w:t>
      </w:r>
      <w:r w:rsidRPr="00824B04">
        <w:t xml:space="preserve"> in </w:t>
      </w:r>
      <w:r w:rsidR="00937E59" w:rsidRPr="00824B04">
        <w:t>an order made under</w:t>
      </w:r>
      <w:r w:rsidR="003507F2" w:rsidRPr="00824B04">
        <w:t xml:space="preserve"> </w:t>
      </w:r>
      <w:r w:rsidR="00C5351E" w:rsidRPr="00824B04">
        <w:t>subsection 4</w:t>
      </w:r>
      <w:r w:rsidR="001436C7" w:rsidRPr="00824B04">
        <w:t>3</w:t>
      </w:r>
      <w:r w:rsidR="00A6434A" w:rsidRPr="00824B04">
        <w:t>(1</w:t>
      </w:r>
      <w:r w:rsidR="001F298D" w:rsidRPr="00824B04">
        <w:t>)</w:t>
      </w:r>
      <w:r w:rsidR="003507F2" w:rsidRPr="00824B04">
        <w:t>.</w:t>
      </w:r>
    </w:p>
    <w:p w14:paraId="6B1E319C" w14:textId="77777777" w:rsidR="00164639" w:rsidRPr="00824B04" w:rsidRDefault="00164639" w:rsidP="00164639">
      <w:pPr>
        <w:pStyle w:val="Definition"/>
      </w:pPr>
      <w:r w:rsidRPr="00824B04">
        <w:rPr>
          <w:b/>
          <w:i/>
        </w:rPr>
        <w:t xml:space="preserve">Commonwealth explosives </w:t>
      </w:r>
      <w:r w:rsidRPr="00824B04">
        <w:t xml:space="preserve">means explosives to which </w:t>
      </w:r>
      <w:r w:rsidR="00DF20A9" w:rsidRPr="00824B04">
        <w:t>Part I</w:t>
      </w:r>
      <w:r w:rsidRPr="00824B04">
        <w:t>I of the Act applies.</w:t>
      </w:r>
    </w:p>
    <w:p w14:paraId="00621B85" w14:textId="77777777" w:rsidR="00164639" w:rsidRPr="00824B04" w:rsidRDefault="00164639" w:rsidP="00164639">
      <w:pPr>
        <w:pStyle w:val="notetext"/>
      </w:pPr>
      <w:r w:rsidRPr="00824B04">
        <w:t>Note:</w:t>
      </w:r>
      <w:r w:rsidRPr="00824B04">
        <w:tab/>
        <w:t>See sections 5 and 9 of the Act</w:t>
      </w:r>
      <w:r w:rsidR="002B63F4" w:rsidRPr="00824B04">
        <w:t>.</w:t>
      </w:r>
    </w:p>
    <w:p w14:paraId="4EC67BE2" w14:textId="77777777" w:rsidR="005E2688" w:rsidRPr="00824B04" w:rsidRDefault="005E2688" w:rsidP="005E2688">
      <w:pPr>
        <w:pStyle w:val="Definition"/>
      </w:pPr>
      <w:r w:rsidRPr="00824B04">
        <w:rPr>
          <w:b/>
          <w:i/>
        </w:rPr>
        <w:t>Commonwealth explosives area</w:t>
      </w:r>
      <w:r w:rsidRPr="00824B04">
        <w:t xml:space="preserve"> has the meaning given by </w:t>
      </w:r>
      <w:r w:rsidR="00C5351E" w:rsidRPr="00824B04">
        <w:t>section 1</w:t>
      </w:r>
      <w:r w:rsidRPr="00824B04">
        <w:t>3 of the Act.</w:t>
      </w:r>
    </w:p>
    <w:p w14:paraId="2F8B5A48" w14:textId="77777777" w:rsidR="005E2688" w:rsidRPr="00824B04" w:rsidRDefault="005E2688" w:rsidP="005E2688">
      <w:pPr>
        <w:pStyle w:val="notetext"/>
      </w:pPr>
      <w:r w:rsidRPr="00824B04">
        <w:t>Note:</w:t>
      </w:r>
      <w:r w:rsidRPr="00824B04">
        <w:tab/>
        <w:t xml:space="preserve">See also </w:t>
      </w:r>
      <w:r w:rsidR="00C5351E" w:rsidRPr="00824B04">
        <w:t>section 7</w:t>
      </w:r>
      <w:r w:rsidRPr="00824B04">
        <w:t xml:space="preserve"> of this instrument.</w:t>
      </w:r>
    </w:p>
    <w:p w14:paraId="10134178" w14:textId="77777777" w:rsidR="00AE39D5" w:rsidRPr="00824B04" w:rsidRDefault="00AE39D5" w:rsidP="00AE39D5">
      <w:pPr>
        <w:pStyle w:val="Definition"/>
      </w:pPr>
      <w:r w:rsidRPr="00824B04">
        <w:rPr>
          <w:b/>
          <w:i/>
        </w:rPr>
        <w:t>Commonwealth land</w:t>
      </w:r>
      <w:r w:rsidRPr="00824B04">
        <w:t xml:space="preserve"> has the meaning given by </w:t>
      </w:r>
      <w:r w:rsidR="00C5351E" w:rsidRPr="00824B04">
        <w:t>section 1</w:t>
      </w:r>
      <w:r w:rsidRPr="00824B04">
        <w:t>3 of the Act.</w:t>
      </w:r>
    </w:p>
    <w:p w14:paraId="4DC34CBE" w14:textId="77777777" w:rsidR="00164639" w:rsidRPr="00824B04" w:rsidRDefault="00164639" w:rsidP="004F2031">
      <w:pPr>
        <w:pStyle w:val="Definition"/>
      </w:pPr>
      <w:r w:rsidRPr="00824B04">
        <w:rPr>
          <w:b/>
          <w:i/>
        </w:rPr>
        <w:t xml:space="preserve">Commonwealth public official </w:t>
      </w:r>
      <w:r w:rsidRPr="00824B04">
        <w:t>has the meaning</w:t>
      </w:r>
      <w:r w:rsidR="00160740" w:rsidRPr="00824B04">
        <w:t xml:space="preserve"> given</w:t>
      </w:r>
      <w:r w:rsidRPr="00824B04">
        <w:t xml:space="preserve"> </w:t>
      </w:r>
      <w:r w:rsidR="004F2031" w:rsidRPr="00824B04">
        <w:t xml:space="preserve">by the </w:t>
      </w:r>
      <w:r w:rsidRPr="00824B04">
        <w:rPr>
          <w:i/>
        </w:rPr>
        <w:t>Criminal Code</w:t>
      </w:r>
      <w:r w:rsidRPr="00824B04">
        <w:t>.</w:t>
      </w:r>
    </w:p>
    <w:p w14:paraId="5863FF0C" w14:textId="77777777" w:rsidR="00164639" w:rsidRPr="00824B04" w:rsidRDefault="00164639" w:rsidP="00164639">
      <w:pPr>
        <w:pStyle w:val="Definition"/>
      </w:pPr>
      <w:r w:rsidRPr="00824B04">
        <w:rPr>
          <w:b/>
          <w:i/>
        </w:rPr>
        <w:t xml:space="preserve">Competent Authority </w:t>
      </w:r>
      <w:r w:rsidRPr="00824B04">
        <w:t xml:space="preserve">means </w:t>
      </w:r>
      <w:r w:rsidR="00B21A6F" w:rsidRPr="00824B04">
        <w:t>the</w:t>
      </w:r>
      <w:r w:rsidRPr="00824B04">
        <w:t xml:space="preserve"> person appointed under </w:t>
      </w:r>
      <w:r w:rsidR="00C5351E" w:rsidRPr="00824B04">
        <w:t>section 3</w:t>
      </w:r>
      <w:r w:rsidR="001436C7" w:rsidRPr="00824B04">
        <w:t>0</w:t>
      </w:r>
      <w:r w:rsidRPr="00824B04">
        <w:t xml:space="preserve"> </w:t>
      </w:r>
      <w:r w:rsidR="007C1FDC" w:rsidRPr="00824B04">
        <w:t>as</w:t>
      </w:r>
      <w:r w:rsidRPr="00824B04">
        <w:t xml:space="preserve"> the Competent Authority.</w:t>
      </w:r>
    </w:p>
    <w:p w14:paraId="0F3C4A07" w14:textId="77777777" w:rsidR="005815AB" w:rsidRPr="00824B04" w:rsidRDefault="005815AB" w:rsidP="005815AB">
      <w:pPr>
        <w:pStyle w:val="notetext"/>
      </w:pPr>
      <w:r w:rsidRPr="00824B04">
        <w:t>Note:</w:t>
      </w:r>
      <w:r w:rsidRPr="00824B04">
        <w:tab/>
        <w:t xml:space="preserve">See also </w:t>
      </w:r>
      <w:r w:rsidR="00C5351E" w:rsidRPr="00824B04">
        <w:t>section 6</w:t>
      </w:r>
      <w:r w:rsidRPr="00824B04">
        <w:t xml:space="preserve"> on references in the AE Code to Competent Authority.</w:t>
      </w:r>
    </w:p>
    <w:p w14:paraId="16F099C8" w14:textId="77777777" w:rsidR="00164639" w:rsidRPr="00824B04" w:rsidRDefault="00164639" w:rsidP="00164639">
      <w:pPr>
        <w:pStyle w:val="Definition"/>
      </w:pPr>
      <w:r w:rsidRPr="00824B04">
        <w:rPr>
          <w:b/>
          <w:i/>
        </w:rPr>
        <w:t xml:space="preserve">compliance auditor </w:t>
      </w:r>
      <w:r w:rsidRPr="00824B04">
        <w:t xml:space="preserve">means a person appointed under </w:t>
      </w:r>
      <w:r w:rsidR="00C5351E" w:rsidRPr="00824B04">
        <w:t>section 3</w:t>
      </w:r>
      <w:r w:rsidR="001436C7" w:rsidRPr="00824B04">
        <w:t>2</w:t>
      </w:r>
      <w:r w:rsidRPr="00824B04">
        <w:t xml:space="preserve"> to be a compliance auditor </w:t>
      </w:r>
      <w:r w:rsidR="00FB2097" w:rsidRPr="00824B04">
        <w:t>for</w:t>
      </w:r>
      <w:r w:rsidR="00160740" w:rsidRPr="00824B04">
        <w:t xml:space="preserve"> the purposes of</w:t>
      </w:r>
      <w:r w:rsidR="00FB2097" w:rsidRPr="00824B04">
        <w:t xml:space="preserve"> this instrument.</w:t>
      </w:r>
    </w:p>
    <w:p w14:paraId="274839B7" w14:textId="77777777" w:rsidR="00571F3D" w:rsidRPr="00824B04" w:rsidRDefault="00F03F18" w:rsidP="00DA04BD">
      <w:pPr>
        <w:pStyle w:val="Definition"/>
      </w:pPr>
      <w:r w:rsidRPr="00824B04">
        <w:rPr>
          <w:b/>
          <w:i/>
        </w:rPr>
        <w:t>fire hazard area</w:t>
      </w:r>
      <w:r w:rsidRPr="00824B04">
        <w:t xml:space="preserve"> means an area of a Commonwealth explosives area to which a determination</w:t>
      </w:r>
      <w:r w:rsidR="00571F3D" w:rsidRPr="00824B04">
        <w:t xml:space="preserve"> under </w:t>
      </w:r>
      <w:r w:rsidR="00C5351E" w:rsidRPr="00824B04">
        <w:t>section 3</w:t>
      </w:r>
      <w:r w:rsidR="001436C7" w:rsidRPr="00824B04">
        <w:t>9</w:t>
      </w:r>
      <w:r w:rsidR="00571F3D" w:rsidRPr="00824B04">
        <w:t xml:space="preserve"> applies.</w:t>
      </w:r>
    </w:p>
    <w:p w14:paraId="18DAF3D4" w14:textId="77777777" w:rsidR="00334969" w:rsidRPr="00824B04" w:rsidRDefault="00334969" w:rsidP="00914ECD">
      <w:pPr>
        <w:pStyle w:val="Definition"/>
      </w:pPr>
      <w:r w:rsidRPr="00824B04">
        <w:rPr>
          <w:b/>
          <w:i/>
        </w:rPr>
        <w:t>involved</w:t>
      </w:r>
      <w:r w:rsidRPr="00824B04">
        <w:t xml:space="preserve">: a person who is </w:t>
      </w:r>
      <w:r w:rsidRPr="00824B04">
        <w:rPr>
          <w:b/>
          <w:i/>
        </w:rPr>
        <w:t xml:space="preserve">involved </w:t>
      </w:r>
      <w:r w:rsidRPr="00824B04">
        <w:t>in the transport of Commonwealth explosives or authorised Commonwealth explosives includes:</w:t>
      </w:r>
    </w:p>
    <w:p w14:paraId="22C8D765" w14:textId="77777777" w:rsidR="00334969" w:rsidRPr="00824B04" w:rsidRDefault="00334969" w:rsidP="00334969">
      <w:pPr>
        <w:pStyle w:val="paragraph"/>
      </w:pPr>
      <w:r w:rsidRPr="00824B04">
        <w:tab/>
        <w:t>(a)</w:t>
      </w:r>
      <w:r w:rsidRPr="00824B04">
        <w:tab/>
        <w:t>a person who does one or more of the following:</w:t>
      </w:r>
    </w:p>
    <w:p w14:paraId="0DFC0D32" w14:textId="77777777" w:rsidR="00334969" w:rsidRPr="00824B04" w:rsidRDefault="00334969" w:rsidP="00334969">
      <w:pPr>
        <w:pStyle w:val="paragraphsub"/>
      </w:pPr>
      <w:r w:rsidRPr="00824B04">
        <w:tab/>
        <w:t>(</w:t>
      </w:r>
      <w:proofErr w:type="spellStart"/>
      <w:r w:rsidRPr="00824B04">
        <w:t>i</w:t>
      </w:r>
      <w:proofErr w:type="spellEnd"/>
      <w:r w:rsidRPr="00824B04">
        <w:t>)</w:t>
      </w:r>
      <w:r w:rsidRPr="00824B04">
        <w:tab/>
        <w:t>packs, or marks packages containing, Commonwealth explosives for transport by road or rail;</w:t>
      </w:r>
    </w:p>
    <w:p w14:paraId="1992DFED" w14:textId="77777777" w:rsidR="00334969" w:rsidRPr="00824B04" w:rsidRDefault="00334969" w:rsidP="00334969">
      <w:pPr>
        <w:pStyle w:val="paragraphsub"/>
      </w:pPr>
      <w:r w:rsidRPr="00824B04">
        <w:tab/>
        <w:t>(ii)</w:t>
      </w:r>
      <w:r w:rsidRPr="00824B04">
        <w:tab/>
        <w:t>marks or placards freight containers and vehicles in which Commonwealth explosives are transported by road or rail;</w:t>
      </w:r>
    </w:p>
    <w:p w14:paraId="32A559BF" w14:textId="77777777" w:rsidR="00334969" w:rsidRPr="00824B04" w:rsidRDefault="00334969" w:rsidP="00334969">
      <w:pPr>
        <w:pStyle w:val="paragraphsub"/>
      </w:pPr>
      <w:r w:rsidRPr="00824B04">
        <w:tab/>
        <w:t>(iii)</w:t>
      </w:r>
      <w:r w:rsidRPr="00824B04">
        <w:tab/>
        <w:t>consigns Commonwealth explosives for transport by road or rail, including preparing any documents and giving notices or other information required by or under the AE Code for the consignment of such explosives;</w:t>
      </w:r>
    </w:p>
    <w:p w14:paraId="0C70B547" w14:textId="77777777" w:rsidR="00334969" w:rsidRPr="00824B04" w:rsidRDefault="00334969" w:rsidP="00334969">
      <w:pPr>
        <w:pStyle w:val="paragraphsub"/>
      </w:pPr>
      <w:r w:rsidRPr="00824B04">
        <w:tab/>
        <w:t>(iv)</w:t>
      </w:r>
      <w:r w:rsidRPr="00824B04">
        <w:tab/>
        <w:t>loads Commonwealth explosives onto a vehicle for transport by road or rail, including securing the explosives on the vehicle and doing anything to comply with any requirement of the AE Code limiting the quantity of such explosives that may be carried on the vehicle;</w:t>
      </w:r>
    </w:p>
    <w:p w14:paraId="5AE723CE" w14:textId="77777777" w:rsidR="00334969" w:rsidRPr="00824B04" w:rsidRDefault="00334969" w:rsidP="00334969">
      <w:pPr>
        <w:pStyle w:val="paragraphsub"/>
      </w:pPr>
      <w:r w:rsidRPr="00824B04">
        <w:tab/>
        <w:t>(v)</w:t>
      </w:r>
      <w:r w:rsidRPr="00824B04">
        <w:tab/>
        <w:t>unloads Commonwealth explosives that have been transported by road or rail;</w:t>
      </w:r>
    </w:p>
    <w:p w14:paraId="70558CD2" w14:textId="77777777" w:rsidR="00334969" w:rsidRPr="00824B04" w:rsidRDefault="00334969" w:rsidP="00334969">
      <w:pPr>
        <w:pStyle w:val="paragraphsub"/>
      </w:pPr>
      <w:r w:rsidRPr="00824B04">
        <w:rPr>
          <w:b/>
          <w:i/>
        </w:rPr>
        <w:tab/>
      </w:r>
      <w:r w:rsidRPr="00824B04">
        <w:t>(vi)</w:t>
      </w:r>
      <w:r w:rsidRPr="00824B04">
        <w:rPr>
          <w:b/>
          <w:i/>
        </w:rPr>
        <w:tab/>
      </w:r>
      <w:r w:rsidRPr="00824B04">
        <w:t>undertakes a task that is required, in accordance with a</w:t>
      </w:r>
      <w:r w:rsidR="006F2383" w:rsidRPr="00824B04">
        <w:t>n approved</w:t>
      </w:r>
      <w:r w:rsidRPr="00824B04">
        <w:t xml:space="preserve"> security plan, to be undertaken for the security of Commonwealth explosives to which the security plan relates;</w:t>
      </w:r>
    </w:p>
    <w:p w14:paraId="1D083F37" w14:textId="77777777" w:rsidR="00334969" w:rsidRPr="00824B04" w:rsidRDefault="00334969" w:rsidP="00334969">
      <w:pPr>
        <w:pStyle w:val="paragraphsub"/>
      </w:pPr>
      <w:r w:rsidRPr="00824B04">
        <w:tab/>
        <w:t>(vii)</w:t>
      </w:r>
      <w:r w:rsidRPr="00824B04">
        <w:tab/>
        <w:t>drives a road vehicle carrying Commonwealth explosives or acts as an attendant</w:t>
      </w:r>
      <w:r w:rsidR="006F2383" w:rsidRPr="00824B04">
        <w:t xml:space="preserve"> (</w:t>
      </w:r>
      <w:r w:rsidRPr="00824B04">
        <w:t>within the meaning of the AE Code</w:t>
      </w:r>
      <w:r w:rsidR="006F2383" w:rsidRPr="00824B04">
        <w:t>)</w:t>
      </w:r>
      <w:r w:rsidRPr="00824B04">
        <w:t xml:space="preserve"> for the transport of those explosives;</w:t>
      </w:r>
    </w:p>
    <w:p w14:paraId="606DDC3F" w14:textId="77777777" w:rsidR="00334969" w:rsidRPr="00824B04" w:rsidRDefault="00334969" w:rsidP="00334969">
      <w:pPr>
        <w:pStyle w:val="paragraphsub"/>
      </w:pPr>
      <w:r w:rsidRPr="00824B04">
        <w:lastRenderedPageBreak/>
        <w:tab/>
        <w:t>(viii)</w:t>
      </w:r>
      <w:r w:rsidRPr="00824B04">
        <w:tab/>
        <w:t>drives a rail vehicle carrying Commonwealth explosives or a train of which a rail vehicle carrying such explosives forms part;</w:t>
      </w:r>
    </w:p>
    <w:p w14:paraId="71A750B9" w14:textId="77777777" w:rsidR="00334969" w:rsidRPr="00824B04" w:rsidRDefault="00334969" w:rsidP="00334969">
      <w:pPr>
        <w:pStyle w:val="paragraphsub"/>
      </w:pPr>
      <w:r w:rsidRPr="00824B04">
        <w:tab/>
        <w:t>(ix)</w:t>
      </w:r>
      <w:r w:rsidRPr="00824B04">
        <w:tab/>
        <w:t>undertakes maintenance on vehicles that are used to transport Commonwealth explosives by road or rail;</w:t>
      </w:r>
    </w:p>
    <w:p w14:paraId="3AD0C25E" w14:textId="77777777" w:rsidR="00334969" w:rsidRPr="00824B04" w:rsidRDefault="00334969" w:rsidP="00334969">
      <w:pPr>
        <w:pStyle w:val="paragraphsub"/>
      </w:pPr>
      <w:r w:rsidRPr="00824B04">
        <w:rPr>
          <w:b/>
          <w:i/>
        </w:rPr>
        <w:tab/>
      </w:r>
      <w:r w:rsidRPr="00824B04">
        <w:t>(x)</w:t>
      </w:r>
      <w:r w:rsidRPr="00824B04">
        <w:rPr>
          <w:b/>
          <w:i/>
        </w:rPr>
        <w:tab/>
      </w:r>
      <w:r w:rsidRPr="00824B04">
        <w:t>undertakes a task in relation to the segregation of Commonwealth explosives from other Commonwealth explosives or other explosives including, if more than 2 rail vehicles are used to transport the explosives, a task in relation to the separation of the rail vehicles;</w:t>
      </w:r>
    </w:p>
    <w:p w14:paraId="75BD5F0C" w14:textId="77777777" w:rsidR="00334969" w:rsidRPr="00824B04" w:rsidRDefault="00334969" w:rsidP="00334969">
      <w:pPr>
        <w:pStyle w:val="paragraphsub"/>
      </w:pPr>
      <w:r w:rsidRPr="00824B04">
        <w:rPr>
          <w:b/>
          <w:i/>
        </w:rPr>
        <w:tab/>
      </w:r>
      <w:r w:rsidRPr="00824B04">
        <w:t>(xi)</w:t>
      </w:r>
      <w:r w:rsidRPr="00824B04">
        <w:rPr>
          <w:b/>
          <w:i/>
        </w:rPr>
        <w:tab/>
      </w:r>
      <w:r w:rsidRPr="00824B04">
        <w:t xml:space="preserve">in the event of an emergency of a kind referred to in the AE Code involving Commonwealth explosives—anything that is required to be done by the </w:t>
      </w:r>
      <w:r w:rsidR="006F2383" w:rsidRPr="00824B04">
        <w:t xml:space="preserve">AE </w:t>
      </w:r>
      <w:r w:rsidRPr="00824B04">
        <w:t>Code in such an emergency;</w:t>
      </w:r>
    </w:p>
    <w:p w14:paraId="7CF43376" w14:textId="77777777" w:rsidR="00334969" w:rsidRPr="00824B04" w:rsidRDefault="00334969" w:rsidP="00334969">
      <w:pPr>
        <w:pStyle w:val="paragraphsub"/>
      </w:pPr>
      <w:r w:rsidRPr="00824B04">
        <w:rPr>
          <w:b/>
          <w:i/>
        </w:rPr>
        <w:tab/>
      </w:r>
      <w:r w:rsidRPr="00824B04">
        <w:t>(xii)</w:t>
      </w:r>
      <w:r w:rsidRPr="00824B04">
        <w:rPr>
          <w:b/>
          <w:i/>
        </w:rPr>
        <w:tab/>
      </w:r>
      <w:r w:rsidRPr="00824B04">
        <w:t>provides training relating to Commonwealth explosives to drivers of vehicles transporting the explosives; and</w:t>
      </w:r>
    </w:p>
    <w:p w14:paraId="3F67297B" w14:textId="77777777" w:rsidR="00334969" w:rsidRPr="00824B04" w:rsidRDefault="00334969" w:rsidP="00334969">
      <w:pPr>
        <w:pStyle w:val="paragraph"/>
      </w:pPr>
      <w:r w:rsidRPr="00824B04">
        <w:tab/>
        <w:t>(b)</w:t>
      </w:r>
      <w:r w:rsidRPr="00824B04">
        <w:tab/>
        <w:t>the owner</w:t>
      </w:r>
      <w:r w:rsidR="00175EE9" w:rsidRPr="00824B04">
        <w:t xml:space="preserve"> (within the meaning of the AE Code)</w:t>
      </w:r>
      <w:r w:rsidRPr="00824B04">
        <w:t xml:space="preserve"> of a road vehicle that is being used to transport Commonwealth explosives; and</w:t>
      </w:r>
    </w:p>
    <w:p w14:paraId="73AF3802" w14:textId="77777777" w:rsidR="00334969" w:rsidRPr="00824B04" w:rsidRDefault="00334969" w:rsidP="00334969">
      <w:pPr>
        <w:pStyle w:val="paragraph"/>
      </w:pPr>
      <w:r w:rsidRPr="00824B04">
        <w:tab/>
        <w:t>(c)</w:t>
      </w:r>
      <w:r w:rsidRPr="00824B04">
        <w:tab/>
        <w:t>a prime contractor</w:t>
      </w:r>
      <w:r w:rsidR="00175EE9" w:rsidRPr="00824B04">
        <w:t xml:space="preserve"> (within the meaning of the AE Code)</w:t>
      </w:r>
      <w:r w:rsidRPr="00824B04">
        <w:t xml:space="preserve"> having responsibility for the transport of Commonwealth explosives by road or rail; and</w:t>
      </w:r>
    </w:p>
    <w:p w14:paraId="2404AD3F" w14:textId="77777777" w:rsidR="00334969" w:rsidRPr="00824B04" w:rsidRDefault="00334969" w:rsidP="00334969">
      <w:pPr>
        <w:pStyle w:val="paragraph"/>
      </w:pPr>
      <w:r w:rsidRPr="00824B04">
        <w:tab/>
        <w:t>(d)</w:t>
      </w:r>
      <w:r w:rsidRPr="00824B04">
        <w:tab/>
        <w:t xml:space="preserve">a rail operator </w:t>
      </w:r>
      <w:r w:rsidR="00175EE9" w:rsidRPr="00824B04">
        <w:t xml:space="preserve">(within the meaning of the AE Code) </w:t>
      </w:r>
      <w:r w:rsidRPr="00824B04">
        <w:t>having responsibility for:</w:t>
      </w:r>
    </w:p>
    <w:p w14:paraId="627721ED" w14:textId="77777777" w:rsidR="00334969" w:rsidRPr="00824B04" w:rsidRDefault="00334969" w:rsidP="00334969">
      <w:pPr>
        <w:pStyle w:val="paragraphsub"/>
      </w:pPr>
      <w:r w:rsidRPr="00824B04">
        <w:tab/>
        <w:t>(</w:t>
      </w:r>
      <w:proofErr w:type="spellStart"/>
      <w:r w:rsidRPr="00824B04">
        <w:t>i</w:t>
      </w:r>
      <w:proofErr w:type="spellEnd"/>
      <w:r w:rsidRPr="00824B04">
        <w:t>)</w:t>
      </w:r>
      <w:r w:rsidRPr="00824B04">
        <w:tab/>
        <w:t>the transport of Commonwealth explosives by rail; or</w:t>
      </w:r>
    </w:p>
    <w:p w14:paraId="0F5D6B59" w14:textId="77777777" w:rsidR="00334969" w:rsidRPr="00824B04" w:rsidRDefault="00334969" w:rsidP="00334969">
      <w:pPr>
        <w:pStyle w:val="paragraphsub"/>
      </w:pPr>
      <w:r w:rsidRPr="00824B04">
        <w:tab/>
        <w:t>(ii)</w:t>
      </w:r>
      <w:r w:rsidRPr="00824B04">
        <w:tab/>
        <w:t>the condition of a rail vehicle transporting those explosives; and</w:t>
      </w:r>
    </w:p>
    <w:p w14:paraId="0DEBFE8A" w14:textId="77777777" w:rsidR="00334969" w:rsidRPr="00824B04" w:rsidRDefault="00334969" w:rsidP="00334969">
      <w:pPr>
        <w:pStyle w:val="paragraph"/>
      </w:pPr>
      <w:r w:rsidRPr="00824B04">
        <w:tab/>
        <w:t>(e)</w:t>
      </w:r>
      <w:r w:rsidRPr="00824B04">
        <w:tab/>
        <w:t>a person who:</w:t>
      </w:r>
    </w:p>
    <w:p w14:paraId="3190B95E" w14:textId="77777777" w:rsidR="00334969" w:rsidRPr="00824B04" w:rsidRDefault="00334969" w:rsidP="00334969">
      <w:pPr>
        <w:pStyle w:val="paragraphsub"/>
      </w:pPr>
      <w:r w:rsidRPr="00824B04">
        <w:tab/>
        <w:t>(</w:t>
      </w:r>
      <w:proofErr w:type="spellStart"/>
      <w:r w:rsidRPr="00824B04">
        <w:t>i</w:t>
      </w:r>
      <w:proofErr w:type="spellEnd"/>
      <w:r w:rsidRPr="00824B04">
        <w:t>)</w:t>
      </w:r>
      <w:r w:rsidRPr="00824B04">
        <w:tab/>
        <w:t>is, within the meaning of the AE Code, a supervisor or a person in charge; and</w:t>
      </w:r>
    </w:p>
    <w:p w14:paraId="18241EB2" w14:textId="77777777" w:rsidR="00334969" w:rsidRPr="00824B04" w:rsidRDefault="00334969" w:rsidP="00334969">
      <w:pPr>
        <w:pStyle w:val="paragraphsub"/>
      </w:pPr>
      <w:r w:rsidRPr="00824B04">
        <w:tab/>
        <w:t>(ii)</w:t>
      </w:r>
      <w:r w:rsidRPr="00824B04">
        <w:tab/>
        <w:t xml:space="preserve">supervises, or is in charge of, an activity, or part of an activity, covered by this </w:t>
      </w:r>
      <w:r w:rsidR="006F2383" w:rsidRPr="00824B04">
        <w:t>definition</w:t>
      </w:r>
      <w:r w:rsidRPr="00824B04">
        <w:t>; and</w:t>
      </w:r>
    </w:p>
    <w:p w14:paraId="3CBA5A72" w14:textId="77777777" w:rsidR="00334969" w:rsidRPr="00824B04" w:rsidRDefault="00334969" w:rsidP="00175EE9">
      <w:pPr>
        <w:pStyle w:val="paragraph"/>
      </w:pPr>
      <w:r w:rsidRPr="00824B04">
        <w:tab/>
        <w:t>(f)</w:t>
      </w:r>
      <w:r w:rsidRPr="00824B04">
        <w:tab/>
        <w:t xml:space="preserve">a Commonwealth public official, not covered by another paragraph of this </w:t>
      </w:r>
      <w:r w:rsidR="006F2383" w:rsidRPr="00824B04">
        <w:t>definition</w:t>
      </w:r>
      <w:r w:rsidRPr="00824B04">
        <w:t>, whose functions or duties include responsibility for the transport of Commonwealth explosives by road or rail.</w:t>
      </w:r>
    </w:p>
    <w:p w14:paraId="542CA1B4" w14:textId="77777777" w:rsidR="00845D36" w:rsidRPr="00824B04" w:rsidRDefault="007772A3" w:rsidP="00845D36">
      <w:pPr>
        <w:pStyle w:val="Definition"/>
      </w:pPr>
      <w:r w:rsidRPr="00824B04">
        <w:rPr>
          <w:b/>
          <w:i/>
        </w:rPr>
        <w:t>n</w:t>
      </w:r>
      <w:r w:rsidR="00845D36" w:rsidRPr="00824B04">
        <w:rPr>
          <w:b/>
          <w:i/>
        </w:rPr>
        <w:t xml:space="preserve">et </w:t>
      </w:r>
      <w:r w:rsidRPr="00824B04">
        <w:rPr>
          <w:b/>
          <w:i/>
        </w:rPr>
        <w:t>e</w:t>
      </w:r>
      <w:r w:rsidR="00845D36" w:rsidRPr="00824B04">
        <w:rPr>
          <w:b/>
          <w:i/>
        </w:rPr>
        <w:t xml:space="preserve">xplosive </w:t>
      </w:r>
      <w:r w:rsidRPr="00824B04">
        <w:rPr>
          <w:b/>
          <w:i/>
        </w:rPr>
        <w:t>q</w:t>
      </w:r>
      <w:r w:rsidR="00845D36" w:rsidRPr="00824B04">
        <w:rPr>
          <w:b/>
          <w:i/>
        </w:rPr>
        <w:t xml:space="preserve">uantity </w:t>
      </w:r>
      <w:r w:rsidR="00845D36" w:rsidRPr="00824B04">
        <w:t>means</w:t>
      </w:r>
      <w:r w:rsidR="00B96694" w:rsidRPr="00824B04">
        <w:t xml:space="preserve"> the actual quantity, expressed by mass, of explosive substance in an article, package or container.</w:t>
      </w:r>
    </w:p>
    <w:p w14:paraId="4F444B82" w14:textId="77777777" w:rsidR="00164639" w:rsidRPr="00824B04" w:rsidRDefault="00164639" w:rsidP="00164639">
      <w:pPr>
        <w:pStyle w:val="Definition"/>
      </w:pPr>
      <w:r w:rsidRPr="00824B04">
        <w:rPr>
          <w:b/>
          <w:i/>
        </w:rPr>
        <w:t xml:space="preserve">rail vehicle </w:t>
      </w:r>
      <w:r w:rsidRPr="00824B04">
        <w:t>means a unit of rail rolling stock used for transporting goods on a railway.</w:t>
      </w:r>
    </w:p>
    <w:p w14:paraId="0A11A142" w14:textId="77777777" w:rsidR="00631102" w:rsidRPr="00824B04" w:rsidRDefault="00631102" w:rsidP="00631102">
      <w:pPr>
        <w:pStyle w:val="Definition"/>
      </w:pPr>
      <w:r w:rsidRPr="00824B04">
        <w:rPr>
          <w:b/>
          <w:i/>
        </w:rPr>
        <w:t xml:space="preserve">regulated Commonwealth agency </w:t>
      </w:r>
      <w:r w:rsidRPr="00824B04">
        <w:t>means:</w:t>
      </w:r>
    </w:p>
    <w:p w14:paraId="61640B16" w14:textId="77777777" w:rsidR="00631102" w:rsidRPr="00824B04" w:rsidRDefault="00631102" w:rsidP="00631102">
      <w:pPr>
        <w:pStyle w:val="paragraph"/>
      </w:pPr>
      <w:r w:rsidRPr="00824B04">
        <w:tab/>
        <w:t>(a)</w:t>
      </w:r>
      <w:r w:rsidRPr="00824B04">
        <w:tab/>
        <w:t>the Australian Defence Force; or</w:t>
      </w:r>
    </w:p>
    <w:p w14:paraId="560A27FA" w14:textId="77777777" w:rsidR="00631102" w:rsidRPr="00824B04" w:rsidRDefault="00631102" w:rsidP="00631102">
      <w:pPr>
        <w:pStyle w:val="paragraph"/>
      </w:pPr>
      <w:r w:rsidRPr="00824B04">
        <w:tab/>
        <w:t>(b)</w:t>
      </w:r>
      <w:r w:rsidRPr="00824B04">
        <w:tab/>
        <w:t>the Australian Federal Police; or</w:t>
      </w:r>
    </w:p>
    <w:p w14:paraId="5EAC8B9E" w14:textId="77777777" w:rsidR="00631102" w:rsidRPr="00824B04" w:rsidRDefault="00631102" w:rsidP="00631102">
      <w:pPr>
        <w:pStyle w:val="paragraph"/>
      </w:pPr>
      <w:r w:rsidRPr="00824B04">
        <w:tab/>
        <w:t>(c)</w:t>
      </w:r>
      <w:r w:rsidRPr="00824B04">
        <w:tab/>
        <w:t xml:space="preserve">the Department administered by the Minister administering Part XII of the </w:t>
      </w:r>
      <w:r w:rsidRPr="00824B04">
        <w:rPr>
          <w:i/>
        </w:rPr>
        <w:t>Customs Act 1901</w:t>
      </w:r>
      <w:r w:rsidRPr="00824B04">
        <w:t>; or</w:t>
      </w:r>
    </w:p>
    <w:p w14:paraId="1C751886" w14:textId="77777777" w:rsidR="00631102" w:rsidRPr="00824B04" w:rsidRDefault="00631102" w:rsidP="00631102">
      <w:pPr>
        <w:pStyle w:val="paragraph"/>
      </w:pPr>
      <w:r w:rsidRPr="00824B04">
        <w:tab/>
        <w:t>(d)</w:t>
      </w:r>
      <w:r w:rsidRPr="00824B04">
        <w:tab/>
        <w:t>the Department.</w:t>
      </w:r>
    </w:p>
    <w:p w14:paraId="533A8447" w14:textId="77777777" w:rsidR="00164639" w:rsidRPr="00824B04" w:rsidRDefault="00164639" w:rsidP="00164639">
      <w:pPr>
        <w:pStyle w:val="Definition"/>
      </w:pPr>
      <w:r w:rsidRPr="00824B04">
        <w:rPr>
          <w:b/>
          <w:i/>
        </w:rPr>
        <w:t xml:space="preserve">road vehicle </w:t>
      </w:r>
      <w:r w:rsidRPr="00824B04">
        <w:t>means a vehicle of a kind used for transporting goods on a road and includes a combination road vehicle</w:t>
      </w:r>
      <w:r w:rsidR="00630115" w:rsidRPr="00824B04">
        <w:t xml:space="preserve"> (within the meaning of the AE Code)</w:t>
      </w:r>
      <w:r w:rsidRPr="00824B04">
        <w:t>.</w:t>
      </w:r>
    </w:p>
    <w:p w14:paraId="06F16918" w14:textId="77777777" w:rsidR="00780655" w:rsidRPr="00824B04" w:rsidRDefault="00164639" w:rsidP="00A6434A">
      <w:pPr>
        <w:pStyle w:val="Definition"/>
      </w:pPr>
      <w:r w:rsidRPr="00824B04">
        <w:rPr>
          <w:b/>
          <w:i/>
        </w:rPr>
        <w:t xml:space="preserve">unauthorised Commonwealth explosive </w:t>
      </w:r>
      <w:r w:rsidRPr="00824B04">
        <w:t xml:space="preserve">means a Commonwealth explosive, or a kind of Commonwealth explosive, that is not </w:t>
      </w:r>
      <w:r w:rsidR="00B27BCD" w:rsidRPr="00824B04">
        <w:t>specified</w:t>
      </w:r>
      <w:r w:rsidRPr="00824B04">
        <w:t xml:space="preserve"> in</w:t>
      </w:r>
      <w:r w:rsidR="00A6434A" w:rsidRPr="00824B04">
        <w:t xml:space="preserve"> an order made under </w:t>
      </w:r>
      <w:r w:rsidR="00C5351E" w:rsidRPr="00824B04">
        <w:t>subsection 4</w:t>
      </w:r>
      <w:r w:rsidR="001436C7" w:rsidRPr="00824B04">
        <w:t>3</w:t>
      </w:r>
      <w:r w:rsidR="00A6434A" w:rsidRPr="00824B04">
        <w:t>(1).</w:t>
      </w:r>
    </w:p>
    <w:p w14:paraId="76597443" w14:textId="77777777" w:rsidR="00164639" w:rsidRPr="00824B04" w:rsidRDefault="00164639" w:rsidP="00164639">
      <w:pPr>
        <w:pStyle w:val="Definition"/>
      </w:pPr>
      <w:r w:rsidRPr="00824B04">
        <w:rPr>
          <w:b/>
          <w:i/>
        </w:rPr>
        <w:lastRenderedPageBreak/>
        <w:t xml:space="preserve">vehicle </w:t>
      </w:r>
      <w:r w:rsidRPr="00824B04">
        <w:t>means a road vehicle or a rail vehicle.</w:t>
      </w:r>
    </w:p>
    <w:p w14:paraId="60CE3788" w14:textId="77777777" w:rsidR="005815AB" w:rsidRPr="00824B04" w:rsidRDefault="001436C7" w:rsidP="005815AB">
      <w:pPr>
        <w:pStyle w:val="ActHead5"/>
      </w:pPr>
      <w:bookmarkStart w:id="8" w:name="_Toc170463320"/>
      <w:r w:rsidRPr="00824B04">
        <w:rPr>
          <w:rStyle w:val="CharSectno"/>
        </w:rPr>
        <w:t>6</w:t>
      </w:r>
      <w:r w:rsidR="005815AB" w:rsidRPr="00824B04">
        <w:t xml:space="preserve">  References in AE Code to Competent Authority</w:t>
      </w:r>
      <w:bookmarkEnd w:id="8"/>
    </w:p>
    <w:p w14:paraId="62354CB9" w14:textId="77777777" w:rsidR="005815AB" w:rsidRPr="00824B04" w:rsidRDefault="005815AB" w:rsidP="005815AB">
      <w:pPr>
        <w:pStyle w:val="subsection"/>
      </w:pPr>
      <w:r w:rsidRPr="00824B04">
        <w:tab/>
      </w:r>
      <w:r w:rsidRPr="00824B04">
        <w:tab/>
        <w:t xml:space="preserve">For the purposes of </w:t>
      </w:r>
      <w:r w:rsidR="00D77DEE" w:rsidRPr="00824B04">
        <w:t>this instrument</w:t>
      </w:r>
      <w:r w:rsidRPr="00824B04">
        <w:t xml:space="preserve">, a reference in the AE Code to the Competent Authority is to be read, in relation to any matter concerning Commonwealth explosives, as if it were a reference to the Competent Authority appointed under </w:t>
      </w:r>
      <w:r w:rsidR="00C5351E" w:rsidRPr="00824B04">
        <w:t>section 3</w:t>
      </w:r>
      <w:r w:rsidR="001436C7" w:rsidRPr="00824B04">
        <w:t>0</w:t>
      </w:r>
      <w:r w:rsidR="00CA5A43" w:rsidRPr="00824B04">
        <w:t>.</w:t>
      </w:r>
    </w:p>
    <w:p w14:paraId="31CD39C3" w14:textId="77777777" w:rsidR="00101A65" w:rsidRPr="00824B04" w:rsidRDefault="001436C7" w:rsidP="00101A65">
      <w:pPr>
        <w:pStyle w:val="ActHead5"/>
      </w:pPr>
      <w:bookmarkStart w:id="9" w:name="_Toc170463321"/>
      <w:r w:rsidRPr="00824B04">
        <w:rPr>
          <w:rStyle w:val="CharSectno"/>
        </w:rPr>
        <w:t>7</w:t>
      </w:r>
      <w:r w:rsidR="00101A65" w:rsidRPr="00824B04">
        <w:t xml:space="preserve">  Commonwealth explosives area</w:t>
      </w:r>
      <w:bookmarkEnd w:id="9"/>
    </w:p>
    <w:p w14:paraId="292DBE8A" w14:textId="77777777" w:rsidR="00101A65" w:rsidRPr="00824B04" w:rsidRDefault="00101A65" w:rsidP="00101A65">
      <w:pPr>
        <w:pStyle w:val="subsection"/>
      </w:pPr>
      <w:r w:rsidRPr="00824B04">
        <w:tab/>
      </w:r>
      <w:r w:rsidRPr="00824B04">
        <w:tab/>
        <w:t xml:space="preserve">For the </w:t>
      </w:r>
      <w:r w:rsidR="00D77DEE" w:rsidRPr="00824B04">
        <w:t xml:space="preserve">purposes </w:t>
      </w:r>
      <w:r w:rsidRPr="00824B04">
        <w:t xml:space="preserve">of </w:t>
      </w:r>
      <w:r w:rsidR="003E600D" w:rsidRPr="00824B04">
        <w:t xml:space="preserve">the definition of </w:t>
      </w:r>
      <w:r w:rsidRPr="00824B04">
        <w:rPr>
          <w:b/>
          <w:bCs/>
          <w:i/>
          <w:iCs/>
        </w:rPr>
        <w:t>Commonwealth explosives area</w:t>
      </w:r>
      <w:r w:rsidRPr="00824B04">
        <w:t xml:space="preserve"> in </w:t>
      </w:r>
      <w:r w:rsidR="00C5351E" w:rsidRPr="00824B04">
        <w:t>section 1</w:t>
      </w:r>
      <w:r w:rsidRPr="00824B04">
        <w:t>3 of the Act, each area of Commonwealth land</w:t>
      </w:r>
      <w:r w:rsidR="001D71D2" w:rsidRPr="00824B04">
        <w:t xml:space="preserve"> </w:t>
      </w:r>
      <w:r w:rsidRPr="00824B04">
        <w:t xml:space="preserve">mentioned in </w:t>
      </w:r>
      <w:r w:rsidR="007651AF" w:rsidRPr="00824B04">
        <w:t>Schedule 2</w:t>
      </w:r>
      <w:r w:rsidRPr="00824B04">
        <w:t xml:space="preserve"> </w:t>
      </w:r>
      <w:r w:rsidR="00D77DEE" w:rsidRPr="00824B04">
        <w:t xml:space="preserve">of this instrument </w:t>
      </w:r>
      <w:r w:rsidRPr="00824B04">
        <w:t>is declared to be a Commonwealth explosives area.</w:t>
      </w:r>
    </w:p>
    <w:p w14:paraId="5AF37FA9" w14:textId="77777777" w:rsidR="00B275D5" w:rsidRPr="00824B04" w:rsidRDefault="00240D90" w:rsidP="00C5351E">
      <w:pPr>
        <w:pStyle w:val="ActHead2"/>
        <w:pageBreakBefore/>
      </w:pPr>
      <w:bookmarkStart w:id="10" w:name="_Toc170463322"/>
      <w:r w:rsidRPr="00824B04">
        <w:rPr>
          <w:rStyle w:val="CharPartNo"/>
        </w:rPr>
        <w:lastRenderedPageBreak/>
        <w:t>Part 2</w:t>
      </w:r>
      <w:r w:rsidR="007924F8" w:rsidRPr="00824B04">
        <w:t>—</w:t>
      </w:r>
      <w:r w:rsidR="00C25BF4" w:rsidRPr="00824B04">
        <w:rPr>
          <w:rStyle w:val="CharPartText"/>
        </w:rPr>
        <w:t>Handling of explosives</w:t>
      </w:r>
      <w:bookmarkEnd w:id="10"/>
    </w:p>
    <w:p w14:paraId="4A7553D4" w14:textId="77777777" w:rsidR="001314CF" w:rsidRPr="00824B04" w:rsidRDefault="00864AFB" w:rsidP="001314CF">
      <w:pPr>
        <w:pStyle w:val="ActHead3"/>
      </w:pPr>
      <w:bookmarkStart w:id="11" w:name="_Toc170463323"/>
      <w:r w:rsidRPr="00824B04">
        <w:rPr>
          <w:rStyle w:val="CharDivNo"/>
        </w:rPr>
        <w:t>Division 1</w:t>
      </w:r>
      <w:r w:rsidR="001314CF" w:rsidRPr="00824B04">
        <w:t>—</w:t>
      </w:r>
      <w:r w:rsidR="00EE5254" w:rsidRPr="00824B04">
        <w:rPr>
          <w:rStyle w:val="CharDivText"/>
        </w:rPr>
        <w:t>Preliminary</w:t>
      </w:r>
      <w:bookmarkEnd w:id="11"/>
    </w:p>
    <w:p w14:paraId="121DD944" w14:textId="77777777" w:rsidR="00C40716" w:rsidRPr="00824B04" w:rsidRDefault="001436C7" w:rsidP="00C40716">
      <w:pPr>
        <w:pStyle w:val="ActHead5"/>
      </w:pPr>
      <w:bookmarkStart w:id="12" w:name="_Toc170463324"/>
      <w:r w:rsidRPr="00824B04">
        <w:rPr>
          <w:rStyle w:val="CharSectno"/>
        </w:rPr>
        <w:t>8</w:t>
      </w:r>
      <w:r w:rsidR="00C40716" w:rsidRPr="00824B04">
        <w:t xml:space="preserve">  </w:t>
      </w:r>
      <w:r w:rsidR="008B59D2" w:rsidRPr="00824B04">
        <w:t>Purpose of this Part</w:t>
      </w:r>
      <w:bookmarkEnd w:id="12"/>
    </w:p>
    <w:p w14:paraId="1E24B2BD" w14:textId="77777777" w:rsidR="00505575" w:rsidRPr="00824B04" w:rsidRDefault="00631102" w:rsidP="00505575">
      <w:pPr>
        <w:pStyle w:val="subsection"/>
      </w:pPr>
      <w:r w:rsidRPr="00824B04">
        <w:tab/>
      </w:r>
      <w:r w:rsidRPr="00824B04">
        <w:tab/>
      </w:r>
      <w:r w:rsidR="00505575" w:rsidRPr="00824B04">
        <w:t xml:space="preserve">This </w:t>
      </w:r>
      <w:r w:rsidR="00DF20A9" w:rsidRPr="00824B04">
        <w:t>Part i</w:t>
      </w:r>
      <w:r w:rsidR="00505575" w:rsidRPr="00824B04">
        <w:t xml:space="preserve">s made for the purposes of </w:t>
      </w:r>
      <w:r w:rsidR="00C5351E" w:rsidRPr="00824B04">
        <w:t>section 1</w:t>
      </w:r>
      <w:r w:rsidR="00413BAE" w:rsidRPr="00824B04">
        <w:t>0</w:t>
      </w:r>
      <w:r w:rsidR="00D01189" w:rsidRPr="00824B04">
        <w:t xml:space="preserve"> </w:t>
      </w:r>
      <w:r w:rsidR="00505575" w:rsidRPr="00824B04">
        <w:t>of the Act.</w:t>
      </w:r>
    </w:p>
    <w:p w14:paraId="00E9B682" w14:textId="77777777" w:rsidR="00633EDC" w:rsidRPr="00824B04" w:rsidRDefault="001436C7" w:rsidP="00633EDC">
      <w:pPr>
        <w:pStyle w:val="ActHead5"/>
      </w:pPr>
      <w:bookmarkStart w:id="13" w:name="_Toc170463325"/>
      <w:r w:rsidRPr="00824B04">
        <w:rPr>
          <w:rStyle w:val="CharSectno"/>
        </w:rPr>
        <w:t>9</w:t>
      </w:r>
      <w:r w:rsidR="00633EDC" w:rsidRPr="00824B04">
        <w:t xml:space="preserve">  </w:t>
      </w:r>
      <w:r w:rsidR="009217E5" w:rsidRPr="00824B04">
        <w:t>This Part</w:t>
      </w:r>
      <w:r w:rsidR="00633EDC" w:rsidRPr="00824B04">
        <w:t xml:space="preserve"> not to apply in certain circumstance</w:t>
      </w:r>
      <w:r w:rsidR="006041BC" w:rsidRPr="00824B04">
        <w:t>s</w:t>
      </w:r>
      <w:bookmarkEnd w:id="13"/>
    </w:p>
    <w:p w14:paraId="210B5565" w14:textId="77777777" w:rsidR="00633EDC" w:rsidRPr="00824B04" w:rsidRDefault="00633EDC" w:rsidP="00633EDC">
      <w:pPr>
        <w:pStyle w:val="subsection"/>
      </w:pPr>
      <w:r w:rsidRPr="00824B04">
        <w:tab/>
        <w:t>(1)</w:t>
      </w:r>
      <w:r w:rsidRPr="00824B04">
        <w:tab/>
        <w:t>This Part does not apply to:</w:t>
      </w:r>
    </w:p>
    <w:p w14:paraId="4AD7D810" w14:textId="77777777" w:rsidR="00633EDC" w:rsidRPr="00824B04" w:rsidRDefault="00633EDC" w:rsidP="00633EDC">
      <w:pPr>
        <w:pStyle w:val="paragraph"/>
      </w:pPr>
      <w:r w:rsidRPr="00824B04">
        <w:tab/>
        <w:t>(a)</w:t>
      </w:r>
      <w:r w:rsidRPr="00824B04">
        <w:tab/>
        <w:t>the packaging and marking, by the Australian Defence Force or the Department, of a Commonwealth explosive that has been recovered in an explosive ordnance disposal operation conducted by the Australian Defence Force or the Department; or</w:t>
      </w:r>
    </w:p>
    <w:p w14:paraId="5588B105" w14:textId="77777777" w:rsidR="00633EDC" w:rsidRPr="00824B04" w:rsidRDefault="00633EDC" w:rsidP="00633EDC">
      <w:pPr>
        <w:pStyle w:val="paragraph"/>
      </w:pPr>
      <w:r w:rsidRPr="00824B04">
        <w:tab/>
        <w:t>(b)</w:t>
      </w:r>
      <w:r w:rsidRPr="00824B04">
        <w:tab/>
        <w:t>a person who is involved in the transport of Commonwealth explosives during:</w:t>
      </w:r>
    </w:p>
    <w:p w14:paraId="77FBEED2" w14:textId="77777777" w:rsidR="00633EDC" w:rsidRPr="00824B04" w:rsidRDefault="00633EDC" w:rsidP="00633EDC">
      <w:pPr>
        <w:pStyle w:val="paragraphsub"/>
      </w:pPr>
      <w:r w:rsidRPr="00824B04">
        <w:tab/>
        <w:t>(</w:t>
      </w:r>
      <w:proofErr w:type="spellStart"/>
      <w:r w:rsidRPr="00824B04">
        <w:t>i</w:t>
      </w:r>
      <w:proofErr w:type="spellEnd"/>
      <w:r w:rsidRPr="00824B04">
        <w:t>)</w:t>
      </w:r>
      <w:r w:rsidRPr="00824B04">
        <w:tab/>
        <w:t>an approved special activity carried on by the Australian Defence Force; or</w:t>
      </w:r>
    </w:p>
    <w:p w14:paraId="1705DE9C" w14:textId="77777777" w:rsidR="00633EDC" w:rsidRPr="00824B04" w:rsidRDefault="00633EDC" w:rsidP="00633EDC">
      <w:pPr>
        <w:pStyle w:val="paragraphsub"/>
      </w:pPr>
      <w:r w:rsidRPr="00824B04">
        <w:tab/>
        <w:t>(ii)</w:t>
      </w:r>
      <w:r w:rsidRPr="00824B04">
        <w:tab/>
        <w:t>any training or other activity carried on for that approved special activity; or</w:t>
      </w:r>
    </w:p>
    <w:p w14:paraId="5739C4F0" w14:textId="77777777" w:rsidR="00633EDC" w:rsidRPr="00824B04" w:rsidRDefault="00633EDC" w:rsidP="00633EDC">
      <w:pPr>
        <w:pStyle w:val="paragraph"/>
      </w:pPr>
      <w:r w:rsidRPr="00824B04">
        <w:tab/>
        <w:t>(c)</w:t>
      </w:r>
      <w:r w:rsidRPr="00824B04">
        <w:tab/>
        <w:t>the transport of an explosives demolition kit by the Australian Defence Force or the Australian Federal Police for the demolition of explosives; or</w:t>
      </w:r>
    </w:p>
    <w:p w14:paraId="5E4502DA" w14:textId="77777777" w:rsidR="00633EDC" w:rsidRPr="00824B04" w:rsidRDefault="00633EDC" w:rsidP="00633EDC">
      <w:pPr>
        <w:pStyle w:val="paragraph"/>
      </w:pPr>
      <w:r w:rsidRPr="00824B04">
        <w:tab/>
        <w:t>(d)</w:t>
      </w:r>
      <w:r w:rsidRPr="00824B04">
        <w:tab/>
        <w:t>a person who is involved in the transport of Commonwealth explosives during:</w:t>
      </w:r>
    </w:p>
    <w:p w14:paraId="188B52F8" w14:textId="77777777" w:rsidR="00633EDC" w:rsidRPr="00824B04" w:rsidRDefault="00633EDC" w:rsidP="00633EDC">
      <w:pPr>
        <w:pStyle w:val="paragraphsub"/>
      </w:pPr>
      <w:r w:rsidRPr="00824B04">
        <w:tab/>
        <w:t>(</w:t>
      </w:r>
      <w:proofErr w:type="spellStart"/>
      <w:r w:rsidRPr="00824B04">
        <w:t>i</w:t>
      </w:r>
      <w:proofErr w:type="spellEnd"/>
      <w:r w:rsidRPr="00824B04">
        <w:t>)</w:t>
      </w:r>
      <w:r w:rsidRPr="00824B04">
        <w:tab/>
        <w:t>an authorised covert operation carried on by the Australian Federal Police; or</w:t>
      </w:r>
    </w:p>
    <w:p w14:paraId="33FAAB8B" w14:textId="77777777" w:rsidR="00633EDC" w:rsidRPr="00824B04" w:rsidRDefault="00633EDC" w:rsidP="00633EDC">
      <w:pPr>
        <w:pStyle w:val="paragraphsub"/>
      </w:pPr>
      <w:r w:rsidRPr="00824B04">
        <w:tab/>
        <w:t>(ii)</w:t>
      </w:r>
      <w:r w:rsidRPr="00824B04">
        <w:tab/>
        <w:t>any training or other activity carried on for that operation; or</w:t>
      </w:r>
    </w:p>
    <w:p w14:paraId="3293B6DC" w14:textId="77777777" w:rsidR="00633EDC" w:rsidRPr="00824B04" w:rsidRDefault="00633EDC" w:rsidP="00633EDC">
      <w:pPr>
        <w:pStyle w:val="paragraph"/>
      </w:pPr>
      <w:r w:rsidRPr="00824B04">
        <w:tab/>
        <w:t>(e)</w:t>
      </w:r>
      <w:r w:rsidRPr="00824B04">
        <w:tab/>
        <w:t>a person who is involved in the transport of Commonwealth explosives during:</w:t>
      </w:r>
    </w:p>
    <w:p w14:paraId="67DAD4B6" w14:textId="77777777" w:rsidR="00633EDC" w:rsidRPr="00824B04" w:rsidRDefault="00633EDC" w:rsidP="00633EDC">
      <w:pPr>
        <w:pStyle w:val="paragraphsub"/>
      </w:pPr>
      <w:r w:rsidRPr="00824B04">
        <w:tab/>
        <w:t>(</w:t>
      </w:r>
      <w:proofErr w:type="spellStart"/>
      <w:r w:rsidRPr="00824B04">
        <w:t>i</w:t>
      </w:r>
      <w:proofErr w:type="spellEnd"/>
      <w:r w:rsidRPr="00824B04">
        <w:t>)</w:t>
      </w:r>
      <w:r w:rsidRPr="00824B04">
        <w:tab/>
        <w:t>an operation carried on by that part of the Australian Federal Police known as the AFP special operations team; or</w:t>
      </w:r>
    </w:p>
    <w:p w14:paraId="511F2C33" w14:textId="77777777" w:rsidR="00633EDC" w:rsidRPr="00824B04" w:rsidRDefault="00633EDC" w:rsidP="00633EDC">
      <w:pPr>
        <w:pStyle w:val="paragraphsub"/>
      </w:pPr>
      <w:r w:rsidRPr="00824B04">
        <w:tab/>
        <w:t>(ii)</w:t>
      </w:r>
      <w:r w:rsidRPr="00824B04">
        <w:tab/>
        <w:t>any training or other activity carried on by that team for that operation; or</w:t>
      </w:r>
    </w:p>
    <w:p w14:paraId="33EF7173" w14:textId="77777777" w:rsidR="00AA12F8" w:rsidRPr="00824B04" w:rsidRDefault="00AA12F8" w:rsidP="009101C8">
      <w:pPr>
        <w:pStyle w:val="paragraph"/>
      </w:pPr>
      <w:r w:rsidRPr="00824B04">
        <w:tab/>
        <w:t>(f)</w:t>
      </w:r>
      <w:r w:rsidR="009101C8" w:rsidRPr="00824B04">
        <w:tab/>
        <w:t xml:space="preserve">explosives subject to customs control under the </w:t>
      </w:r>
      <w:r w:rsidR="009101C8" w:rsidRPr="00824B04">
        <w:rPr>
          <w:i/>
        </w:rPr>
        <w:t>Customs Act 1901</w:t>
      </w:r>
      <w:r w:rsidR="009101C8" w:rsidRPr="00824B04">
        <w:t xml:space="preserve">, other than any of those explosives for which a permission to move under </w:t>
      </w:r>
      <w:r w:rsidR="00C5351E" w:rsidRPr="00824B04">
        <w:t>section 7</w:t>
      </w:r>
      <w:r w:rsidR="009101C8" w:rsidRPr="00824B04">
        <w:t>1E of that Act has been given; or</w:t>
      </w:r>
    </w:p>
    <w:p w14:paraId="03E02937" w14:textId="77777777" w:rsidR="00633EDC" w:rsidRPr="00824B04" w:rsidRDefault="00633EDC" w:rsidP="00D80585">
      <w:pPr>
        <w:pStyle w:val="paragraph"/>
      </w:pPr>
      <w:r w:rsidRPr="00824B04">
        <w:rPr>
          <w:snapToGrid w:val="0"/>
        </w:rPr>
        <w:tab/>
      </w:r>
      <w:r w:rsidRPr="00824B04">
        <w:t>(</w:t>
      </w:r>
      <w:r w:rsidR="009101C8" w:rsidRPr="00824B04">
        <w:t>g</w:t>
      </w:r>
      <w:r w:rsidRPr="00824B04">
        <w:t>)</w:t>
      </w:r>
      <w:r w:rsidRPr="00824B04">
        <w:tab/>
        <w:t>a person who is involved in the transport of Commonwealth explosives that have been detected and seized by a Commonwealth public official in circumstances in which it is reasonable to believe that there is a threat to national security or public safety; or</w:t>
      </w:r>
    </w:p>
    <w:p w14:paraId="4999CDB0" w14:textId="77777777" w:rsidR="00633EDC" w:rsidRPr="00824B04" w:rsidRDefault="00633EDC" w:rsidP="00633EDC">
      <w:pPr>
        <w:pStyle w:val="paragraph"/>
      </w:pPr>
      <w:r w:rsidRPr="00824B04">
        <w:tab/>
        <w:t>(</w:t>
      </w:r>
      <w:r w:rsidR="009101C8" w:rsidRPr="00824B04">
        <w:t>h</w:t>
      </w:r>
      <w:r w:rsidRPr="00824B04">
        <w:t>)</w:t>
      </w:r>
      <w:r w:rsidRPr="00824B04">
        <w:tab/>
        <w:t>the transport of Commonwealth explosives on a light vehicle by a Commonwealth public official if:</w:t>
      </w:r>
    </w:p>
    <w:p w14:paraId="2C74C74F" w14:textId="77777777" w:rsidR="00633EDC" w:rsidRPr="00824B04" w:rsidRDefault="00633EDC" w:rsidP="00633EDC">
      <w:pPr>
        <w:pStyle w:val="paragraphsub"/>
      </w:pPr>
      <w:r w:rsidRPr="00824B04">
        <w:tab/>
        <w:t>(</w:t>
      </w:r>
      <w:proofErr w:type="spellStart"/>
      <w:r w:rsidRPr="00824B04">
        <w:t>i</w:t>
      </w:r>
      <w:proofErr w:type="spellEnd"/>
      <w:r w:rsidRPr="00824B04">
        <w:t>)</w:t>
      </w:r>
      <w:r w:rsidRPr="00824B04">
        <w:tab/>
        <w:t>the explosives are authorised explosives within the meaning of the AE Code; and</w:t>
      </w:r>
    </w:p>
    <w:p w14:paraId="170EEA88" w14:textId="77777777" w:rsidR="00633EDC" w:rsidRPr="00824B04" w:rsidRDefault="00633EDC" w:rsidP="00633EDC">
      <w:pPr>
        <w:pStyle w:val="paragraphsub"/>
      </w:pPr>
      <w:r w:rsidRPr="00824B04">
        <w:tab/>
        <w:t>(ii)</w:t>
      </w:r>
      <w:r w:rsidRPr="00824B04">
        <w:tab/>
        <w:t>the explosives do not include detonators; and</w:t>
      </w:r>
    </w:p>
    <w:p w14:paraId="32482C2A" w14:textId="77777777" w:rsidR="00633EDC" w:rsidRPr="00824B04" w:rsidRDefault="00633EDC" w:rsidP="00633EDC">
      <w:pPr>
        <w:pStyle w:val="paragraphsub"/>
      </w:pPr>
      <w:r w:rsidRPr="00824B04">
        <w:tab/>
        <w:t>(iii)</w:t>
      </w:r>
      <w:r w:rsidRPr="00824B04">
        <w:tab/>
        <w:t xml:space="preserve">the </w:t>
      </w:r>
      <w:r w:rsidR="007772A3" w:rsidRPr="00824B04">
        <w:t>n</w:t>
      </w:r>
      <w:r w:rsidR="00845D36" w:rsidRPr="00824B04">
        <w:t xml:space="preserve">et </w:t>
      </w:r>
      <w:r w:rsidR="007772A3" w:rsidRPr="00824B04">
        <w:t>e</w:t>
      </w:r>
      <w:r w:rsidR="00845D36" w:rsidRPr="00824B04">
        <w:t xml:space="preserve">xplosive </w:t>
      </w:r>
      <w:r w:rsidR="007772A3" w:rsidRPr="00824B04">
        <w:t>q</w:t>
      </w:r>
      <w:r w:rsidR="00845D36" w:rsidRPr="00824B04">
        <w:t xml:space="preserve">uantity </w:t>
      </w:r>
      <w:r w:rsidRPr="00824B04">
        <w:t xml:space="preserve">of the explosives </w:t>
      </w:r>
      <w:r w:rsidR="00801E91" w:rsidRPr="00824B04">
        <w:t>is</w:t>
      </w:r>
      <w:r w:rsidRPr="00824B04">
        <w:t xml:space="preserve"> one kilogram</w:t>
      </w:r>
      <w:r w:rsidR="00801E91" w:rsidRPr="00824B04">
        <w:t xml:space="preserve"> or less</w:t>
      </w:r>
      <w:r w:rsidRPr="00824B04">
        <w:t>.</w:t>
      </w:r>
    </w:p>
    <w:p w14:paraId="15D3090C" w14:textId="77777777" w:rsidR="00291B28" w:rsidRPr="00824B04" w:rsidRDefault="00530B11" w:rsidP="00530B11">
      <w:pPr>
        <w:pStyle w:val="subsection"/>
      </w:pPr>
      <w:r w:rsidRPr="00824B04">
        <w:lastRenderedPageBreak/>
        <w:tab/>
        <w:t>(2)</w:t>
      </w:r>
      <w:r w:rsidRPr="00824B04">
        <w:tab/>
      </w:r>
      <w:r w:rsidR="002C66EB" w:rsidRPr="00824B04">
        <w:t>The Chief of the Defence Force, or a service chief, may</w:t>
      </w:r>
      <w:r w:rsidR="00291B28" w:rsidRPr="00824B04">
        <w:t>,</w:t>
      </w:r>
      <w:r w:rsidR="00976B65" w:rsidRPr="00824B04">
        <w:t xml:space="preserve"> in writing,</w:t>
      </w:r>
      <w:r w:rsidR="002C66EB" w:rsidRPr="00824B04">
        <w:t xml:space="preserve"> </w:t>
      </w:r>
      <w:r w:rsidR="00EC39C1" w:rsidRPr="00824B04">
        <w:t>authorise</w:t>
      </w:r>
      <w:r w:rsidR="00291B28" w:rsidRPr="00824B04">
        <w:t xml:space="preserve"> a person </w:t>
      </w:r>
      <w:r w:rsidR="00976B65" w:rsidRPr="00824B04">
        <w:t xml:space="preserve">for the purposes of this </w:t>
      </w:r>
      <w:r w:rsidR="005525CC" w:rsidRPr="00824B04">
        <w:t>sub</w:t>
      </w:r>
      <w:r w:rsidR="00976B65" w:rsidRPr="00824B04">
        <w:t xml:space="preserve">section, </w:t>
      </w:r>
      <w:r w:rsidR="00291B28" w:rsidRPr="00824B04">
        <w:t>if the person is:</w:t>
      </w:r>
    </w:p>
    <w:p w14:paraId="5C0ED744" w14:textId="77777777" w:rsidR="00B33B8B" w:rsidRPr="00824B04" w:rsidRDefault="00291B28" w:rsidP="00B33B8B">
      <w:pPr>
        <w:pStyle w:val="paragraph"/>
      </w:pPr>
      <w:r w:rsidRPr="00824B04">
        <w:tab/>
        <w:t>(a)</w:t>
      </w:r>
      <w:r w:rsidRPr="00824B04">
        <w:tab/>
      </w:r>
      <w:r w:rsidR="00B33B8B" w:rsidRPr="00824B04">
        <w:t>an officer of the Navy who holds the rank of Lieutenant Commander or a higher rank; or</w:t>
      </w:r>
    </w:p>
    <w:p w14:paraId="4065379A" w14:textId="77777777" w:rsidR="00B33B8B" w:rsidRPr="00824B04" w:rsidRDefault="00B33B8B" w:rsidP="00B33B8B">
      <w:pPr>
        <w:pStyle w:val="paragraph"/>
      </w:pPr>
      <w:r w:rsidRPr="00824B04">
        <w:tab/>
        <w:t>(b)</w:t>
      </w:r>
      <w:r w:rsidRPr="00824B04">
        <w:tab/>
        <w:t>an officer of the Army who holds the rank of Major or a higher rank; or</w:t>
      </w:r>
    </w:p>
    <w:p w14:paraId="0612D801" w14:textId="77777777" w:rsidR="00B22C9B" w:rsidRPr="00824B04" w:rsidRDefault="00B33B8B" w:rsidP="00B22C9B">
      <w:pPr>
        <w:pStyle w:val="paragraph"/>
      </w:pPr>
      <w:r w:rsidRPr="00824B04">
        <w:tab/>
        <w:t>(c)</w:t>
      </w:r>
      <w:r w:rsidRPr="00824B04">
        <w:tab/>
        <w:t>an officer of the Air Force who holds the rank of Squadron Leader or a higher rank</w:t>
      </w:r>
      <w:r w:rsidR="00B22C9B" w:rsidRPr="00824B04">
        <w:t>.</w:t>
      </w:r>
    </w:p>
    <w:p w14:paraId="1BF555AA" w14:textId="77777777" w:rsidR="0079541D" w:rsidRPr="00824B04" w:rsidRDefault="00B22C9B" w:rsidP="00B22C9B">
      <w:pPr>
        <w:pStyle w:val="subsection"/>
      </w:pPr>
      <w:r w:rsidRPr="00824B04">
        <w:tab/>
      </w:r>
      <w:r w:rsidR="003223A1" w:rsidRPr="00824B04">
        <w:t>(3)</w:t>
      </w:r>
      <w:r w:rsidR="003223A1" w:rsidRPr="00824B04">
        <w:tab/>
        <w:t xml:space="preserve">An authorised officer may, </w:t>
      </w:r>
      <w:r w:rsidR="0040187E" w:rsidRPr="00824B04">
        <w:t xml:space="preserve">in writing, </w:t>
      </w:r>
      <w:r w:rsidR="003223A1" w:rsidRPr="00824B04">
        <w:t xml:space="preserve">for the purposes of </w:t>
      </w:r>
      <w:r w:rsidR="00E32ADD" w:rsidRPr="00824B04">
        <w:t>this</w:t>
      </w:r>
      <w:r w:rsidR="003223A1" w:rsidRPr="00824B04">
        <w:t xml:space="preserve"> </w:t>
      </w:r>
      <w:r w:rsidR="005525CC" w:rsidRPr="00824B04">
        <w:t>sub</w:t>
      </w:r>
      <w:r w:rsidR="003223A1" w:rsidRPr="00824B04">
        <w:t xml:space="preserve">section, </w:t>
      </w:r>
      <w:r w:rsidR="0079541D" w:rsidRPr="00824B04">
        <w:t>approve an activity</w:t>
      </w:r>
      <w:r w:rsidR="00524B54" w:rsidRPr="00824B04">
        <w:t>,</w:t>
      </w:r>
      <w:r w:rsidR="0079541D" w:rsidRPr="00824B04">
        <w:t xml:space="preserve"> if the activity is:</w:t>
      </w:r>
    </w:p>
    <w:p w14:paraId="2DE4102F" w14:textId="77777777" w:rsidR="00833758" w:rsidRPr="00824B04" w:rsidRDefault="00833758" w:rsidP="00833758">
      <w:pPr>
        <w:pStyle w:val="paragraph"/>
      </w:pPr>
      <w:r w:rsidRPr="00824B04">
        <w:tab/>
        <w:t>(a)</w:t>
      </w:r>
      <w:r w:rsidRPr="00824B04">
        <w:tab/>
        <w:t>for the purposes of, or a purpose related to, the defence of the Commonwealth; or</w:t>
      </w:r>
    </w:p>
    <w:p w14:paraId="214DA21C" w14:textId="77777777" w:rsidR="003F3A13" w:rsidRPr="00824B04" w:rsidRDefault="00833758" w:rsidP="00C90B36">
      <w:pPr>
        <w:pStyle w:val="paragraph"/>
      </w:pPr>
      <w:r w:rsidRPr="00824B04">
        <w:tab/>
        <w:t>(b)</w:t>
      </w:r>
      <w:r w:rsidRPr="00824B04">
        <w:tab/>
        <w:t xml:space="preserve">for any utilisation of the Australian Defence Force under </w:t>
      </w:r>
      <w:r w:rsidR="00DF20A9" w:rsidRPr="00824B04">
        <w:t>Part I</w:t>
      </w:r>
      <w:r w:rsidRPr="00824B04">
        <w:t xml:space="preserve">IIAAA of the </w:t>
      </w:r>
      <w:r w:rsidRPr="00824B04">
        <w:rPr>
          <w:i/>
        </w:rPr>
        <w:t>Defence Act 1903</w:t>
      </w:r>
      <w:r w:rsidRPr="00824B04">
        <w:t>.</w:t>
      </w:r>
    </w:p>
    <w:p w14:paraId="3A50C724" w14:textId="77777777" w:rsidR="00633EDC" w:rsidRPr="00824B04" w:rsidRDefault="00633EDC" w:rsidP="00633BF9">
      <w:pPr>
        <w:pStyle w:val="subsection"/>
      </w:pPr>
      <w:r w:rsidRPr="00824B04">
        <w:tab/>
        <w:t>(</w:t>
      </w:r>
      <w:r w:rsidR="00C90B36" w:rsidRPr="00824B04">
        <w:t>4</w:t>
      </w:r>
      <w:r w:rsidRPr="00824B04">
        <w:t>)</w:t>
      </w:r>
      <w:r w:rsidRPr="00824B04">
        <w:tab/>
        <w:t xml:space="preserve">In this </w:t>
      </w:r>
      <w:r w:rsidR="009217E5" w:rsidRPr="00824B04">
        <w:t>section</w:t>
      </w:r>
      <w:r w:rsidRPr="00824B04">
        <w:t>:</w:t>
      </w:r>
    </w:p>
    <w:p w14:paraId="47F4880B" w14:textId="77777777" w:rsidR="00833758" w:rsidRPr="00824B04" w:rsidRDefault="00633EDC" w:rsidP="00833758">
      <w:pPr>
        <w:pStyle w:val="Definition"/>
      </w:pPr>
      <w:r w:rsidRPr="00824B04">
        <w:rPr>
          <w:b/>
          <w:i/>
        </w:rPr>
        <w:t xml:space="preserve">approved special activity </w:t>
      </w:r>
      <w:r w:rsidRPr="00824B04">
        <w:t xml:space="preserve">means an activity approved </w:t>
      </w:r>
      <w:r w:rsidR="00833758" w:rsidRPr="00824B04">
        <w:t xml:space="preserve">under </w:t>
      </w:r>
      <w:r w:rsidR="00240D90" w:rsidRPr="00824B04">
        <w:t>subsection (</w:t>
      </w:r>
      <w:r w:rsidR="00833758" w:rsidRPr="00824B04">
        <w:t>3).</w:t>
      </w:r>
    </w:p>
    <w:p w14:paraId="0B13F148" w14:textId="77777777" w:rsidR="003B20CC" w:rsidRPr="00824B04" w:rsidRDefault="003B20CC" w:rsidP="003B20CC">
      <w:pPr>
        <w:pStyle w:val="Definition"/>
      </w:pPr>
      <w:r w:rsidRPr="00824B04">
        <w:rPr>
          <w:b/>
          <w:i/>
        </w:rPr>
        <w:t xml:space="preserve">authorised covert operation </w:t>
      </w:r>
      <w:r w:rsidRPr="00824B04">
        <w:t xml:space="preserve">means an operation within the functions of the Australian Federal Police that is authorised as a covert operation by a member of the Australian Federal Police </w:t>
      </w:r>
      <w:r w:rsidR="00CC4112" w:rsidRPr="00824B04">
        <w:t xml:space="preserve">at or above </w:t>
      </w:r>
      <w:r w:rsidRPr="00824B04">
        <w:t>the rank of sergeant.</w:t>
      </w:r>
    </w:p>
    <w:p w14:paraId="171BFE1F" w14:textId="77777777" w:rsidR="00530B11" w:rsidRPr="00824B04" w:rsidRDefault="00633EDC" w:rsidP="00185BE8">
      <w:pPr>
        <w:pStyle w:val="Definition"/>
      </w:pPr>
      <w:r w:rsidRPr="00824B04">
        <w:rPr>
          <w:b/>
          <w:i/>
        </w:rPr>
        <w:t xml:space="preserve">authorised officer </w:t>
      </w:r>
      <w:r w:rsidRPr="00824B04">
        <w:t xml:space="preserve">means an officer </w:t>
      </w:r>
      <w:r w:rsidR="00EC39C1" w:rsidRPr="00824B04">
        <w:t>authorised</w:t>
      </w:r>
      <w:r w:rsidR="00530B11" w:rsidRPr="00824B04">
        <w:t xml:space="preserve"> under </w:t>
      </w:r>
      <w:r w:rsidR="00240D90" w:rsidRPr="00824B04">
        <w:t>subsection (</w:t>
      </w:r>
      <w:r w:rsidR="00530B11" w:rsidRPr="00824B04">
        <w:t>2).</w:t>
      </w:r>
    </w:p>
    <w:p w14:paraId="27F0B01F" w14:textId="77777777" w:rsidR="00633EDC" w:rsidRPr="00824B04" w:rsidRDefault="00633EDC" w:rsidP="00530B11">
      <w:pPr>
        <w:pStyle w:val="Definition"/>
      </w:pPr>
      <w:r w:rsidRPr="00824B04">
        <w:rPr>
          <w:b/>
          <w:i/>
        </w:rPr>
        <w:t xml:space="preserve">light vehicle </w:t>
      </w:r>
      <w:r w:rsidRPr="00824B04">
        <w:t xml:space="preserve">means a </w:t>
      </w:r>
      <w:r w:rsidR="000668B0" w:rsidRPr="00824B04">
        <w:t xml:space="preserve">road </w:t>
      </w:r>
      <w:r w:rsidRPr="00824B04">
        <w:t xml:space="preserve">vehicle that has a </w:t>
      </w:r>
      <w:r w:rsidR="007772A3" w:rsidRPr="00824B04">
        <w:t>maximum laden mass</w:t>
      </w:r>
      <w:r w:rsidR="00453D59" w:rsidRPr="00824B04">
        <w:t>,</w:t>
      </w:r>
      <w:r w:rsidR="007772A3" w:rsidRPr="00824B04">
        <w:t xml:space="preserve"> as specified by the manufacturer</w:t>
      </w:r>
      <w:r w:rsidR="00453D59" w:rsidRPr="00824B04">
        <w:t>,</w:t>
      </w:r>
      <w:r w:rsidR="007772A3" w:rsidRPr="00824B04">
        <w:t xml:space="preserve"> </w:t>
      </w:r>
      <w:r w:rsidR="00CF6236" w:rsidRPr="00824B04">
        <w:t>of</w:t>
      </w:r>
      <w:r w:rsidRPr="00824B04">
        <w:t xml:space="preserve"> 4.5 tonnes</w:t>
      </w:r>
      <w:r w:rsidR="00CF6236" w:rsidRPr="00824B04">
        <w:t xml:space="preserve"> or less</w:t>
      </w:r>
      <w:r w:rsidRPr="00824B04">
        <w:t>.</w:t>
      </w:r>
    </w:p>
    <w:p w14:paraId="57A16C54" w14:textId="77777777" w:rsidR="004C282C" w:rsidRPr="00824B04" w:rsidRDefault="00864AFB" w:rsidP="006F298C">
      <w:pPr>
        <w:pStyle w:val="ActHead3"/>
        <w:pageBreakBefore/>
      </w:pPr>
      <w:bookmarkStart w:id="14" w:name="_Toc170463326"/>
      <w:r w:rsidRPr="00824B04">
        <w:rPr>
          <w:rStyle w:val="CharDivNo"/>
        </w:rPr>
        <w:lastRenderedPageBreak/>
        <w:t>Division 2</w:t>
      </w:r>
      <w:r w:rsidR="004C282C" w:rsidRPr="00824B04">
        <w:t>—</w:t>
      </w:r>
      <w:r w:rsidR="00E604AA" w:rsidRPr="00824B04">
        <w:rPr>
          <w:rStyle w:val="CharDivText"/>
        </w:rPr>
        <w:t>Genera</w:t>
      </w:r>
      <w:r w:rsidR="00B96F69" w:rsidRPr="00824B04">
        <w:rPr>
          <w:rStyle w:val="CharDivText"/>
        </w:rPr>
        <w:t>l</w:t>
      </w:r>
      <w:r w:rsidR="00C25BF4" w:rsidRPr="00824B04">
        <w:rPr>
          <w:rStyle w:val="CharDivText"/>
        </w:rPr>
        <w:t xml:space="preserve"> rules relating t</w:t>
      </w:r>
      <w:r w:rsidR="00E91C52" w:rsidRPr="00824B04">
        <w:rPr>
          <w:rStyle w:val="CharDivText"/>
        </w:rPr>
        <w:t xml:space="preserve">o the </w:t>
      </w:r>
      <w:r w:rsidR="00C25BF4" w:rsidRPr="00824B04">
        <w:rPr>
          <w:rStyle w:val="CharDivText"/>
        </w:rPr>
        <w:t>transport of explosives</w:t>
      </w:r>
      <w:bookmarkEnd w:id="14"/>
    </w:p>
    <w:p w14:paraId="66C5AEE6" w14:textId="77777777" w:rsidR="004C282C" w:rsidRPr="00824B04" w:rsidRDefault="001436C7" w:rsidP="004C282C">
      <w:pPr>
        <w:pStyle w:val="ActHead5"/>
      </w:pPr>
      <w:bookmarkStart w:id="15" w:name="_Toc170463327"/>
      <w:r w:rsidRPr="00824B04">
        <w:rPr>
          <w:rStyle w:val="CharSectno"/>
        </w:rPr>
        <w:t>10</w:t>
      </w:r>
      <w:r w:rsidR="004C282C" w:rsidRPr="00824B04">
        <w:t xml:space="preserve">  Transport of unauthorised Commonwealth explosives prohibited</w:t>
      </w:r>
      <w:bookmarkEnd w:id="15"/>
    </w:p>
    <w:p w14:paraId="48D3AC55" w14:textId="77777777" w:rsidR="004C282C" w:rsidRPr="00824B04" w:rsidRDefault="004C282C" w:rsidP="004C282C">
      <w:pPr>
        <w:pStyle w:val="subsection"/>
      </w:pPr>
      <w:r w:rsidRPr="00824B04">
        <w:tab/>
      </w:r>
      <w:r w:rsidRPr="00824B04">
        <w:tab/>
        <w:t>A person must not transport unauthorised Commonwealth explosives, or permit unauthorised Commonwealth explosives to be transported, by road or rail.</w:t>
      </w:r>
    </w:p>
    <w:p w14:paraId="7B871F9A" w14:textId="77777777" w:rsidR="0046552C" w:rsidRPr="00824B04" w:rsidRDefault="0046552C" w:rsidP="0046552C">
      <w:pPr>
        <w:pStyle w:val="notetext"/>
      </w:pPr>
      <w:r w:rsidRPr="00824B04">
        <w:t>Note:</w:t>
      </w:r>
      <w:r w:rsidRPr="00824B04">
        <w:tab/>
        <w:t xml:space="preserve">Penalties for a failure to comply with this section are set by </w:t>
      </w:r>
      <w:r w:rsidR="008B59D2" w:rsidRPr="00824B04">
        <w:t>section 2</w:t>
      </w:r>
      <w:r w:rsidRPr="00824B04">
        <w:t>0 of the Act.</w:t>
      </w:r>
    </w:p>
    <w:p w14:paraId="09D45846" w14:textId="77777777" w:rsidR="00E604AA" w:rsidRPr="00824B04" w:rsidRDefault="001436C7" w:rsidP="00E604AA">
      <w:pPr>
        <w:pStyle w:val="ActHead5"/>
      </w:pPr>
      <w:bookmarkStart w:id="16" w:name="_Toc170463328"/>
      <w:r w:rsidRPr="00824B04">
        <w:rPr>
          <w:rStyle w:val="CharSectno"/>
        </w:rPr>
        <w:t>11</w:t>
      </w:r>
      <w:r w:rsidR="00E604AA" w:rsidRPr="00824B04">
        <w:t xml:space="preserve">  Transport of certain authorised Commonwealth explosives prohibited</w:t>
      </w:r>
      <w:bookmarkEnd w:id="16"/>
    </w:p>
    <w:p w14:paraId="324B3CB0" w14:textId="77777777" w:rsidR="00ED5A87" w:rsidRPr="00824B04" w:rsidRDefault="00E604AA" w:rsidP="00E604AA">
      <w:pPr>
        <w:pStyle w:val="subsection"/>
      </w:pPr>
      <w:r w:rsidRPr="00824B04">
        <w:tab/>
        <w:t>(1)</w:t>
      </w:r>
      <w:r w:rsidRPr="00824B04">
        <w:tab/>
      </w:r>
      <w:r w:rsidR="00F558F7" w:rsidRPr="00824B04">
        <w:t xml:space="preserve">A person </w:t>
      </w:r>
      <w:r w:rsidR="00ED5A87" w:rsidRPr="00824B04">
        <w:t>contravenes this subsection if:</w:t>
      </w:r>
    </w:p>
    <w:p w14:paraId="0B63FBD1" w14:textId="77777777" w:rsidR="000247A8" w:rsidRPr="00824B04" w:rsidRDefault="00ED5A87" w:rsidP="00ED5A87">
      <w:pPr>
        <w:pStyle w:val="paragraph"/>
      </w:pPr>
      <w:r w:rsidRPr="00824B04">
        <w:tab/>
        <w:t>(a)</w:t>
      </w:r>
      <w:r w:rsidRPr="00824B04">
        <w:tab/>
        <w:t xml:space="preserve">the person </w:t>
      </w:r>
      <w:r w:rsidR="00F558F7" w:rsidRPr="00824B04">
        <w:t>transport</w:t>
      </w:r>
      <w:r w:rsidRPr="00824B04">
        <w:t>s</w:t>
      </w:r>
      <w:r w:rsidR="00F558F7" w:rsidRPr="00824B04">
        <w:t>, by road or rail, authorised Commonwealth explosives</w:t>
      </w:r>
      <w:r w:rsidR="000247A8" w:rsidRPr="00824B04">
        <w:t>; and</w:t>
      </w:r>
    </w:p>
    <w:p w14:paraId="15C0262B" w14:textId="77777777" w:rsidR="000247A8" w:rsidRPr="00824B04" w:rsidRDefault="000247A8" w:rsidP="000247A8">
      <w:pPr>
        <w:pStyle w:val="paragraph"/>
      </w:pPr>
      <w:r w:rsidRPr="00824B04">
        <w:tab/>
        <w:t>(b)</w:t>
      </w:r>
      <w:r w:rsidRPr="00824B04">
        <w:tab/>
        <w:t>the explosives are:</w:t>
      </w:r>
    </w:p>
    <w:p w14:paraId="0784FDAA" w14:textId="77777777" w:rsidR="00E604AA" w:rsidRPr="00824B04" w:rsidRDefault="000247A8" w:rsidP="000247A8">
      <w:pPr>
        <w:pStyle w:val="paragraphsub"/>
      </w:pPr>
      <w:r w:rsidRPr="00824B04">
        <w:tab/>
        <w:t>(</w:t>
      </w:r>
      <w:proofErr w:type="spellStart"/>
      <w:r w:rsidRPr="00824B04">
        <w:t>i</w:t>
      </w:r>
      <w:proofErr w:type="spellEnd"/>
      <w:r w:rsidRPr="00824B04">
        <w:t>)</w:t>
      </w:r>
      <w:r w:rsidRPr="00824B04">
        <w:tab/>
      </w:r>
      <w:r w:rsidR="00E604AA" w:rsidRPr="00824B04">
        <w:t>not stable;</w:t>
      </w:r>
      <w:r w:rsidRPr="00824B04">
        <w:t xml:space="preserve"> or</w:t>
      </w:r>
    </w:p>
    <w:p w14:paraId="14042586" w14:textId="77777777" w:rsidR="00F86222" w:rsidRPr="00824B04" w:rsidRDefault="000247A8" w:rsidP="000247A8">
      <w:pPr>
        <w:pStyle w:val="paragraphsub"/>
      </w:pPr>
      <w:r w:rsidRPr="00824B04">
        <w:tab/>
        <w:t>(ii)</w:t>
      </w:r>
      <w:r w:rsidRPr="00824B04">
        <w:tab/>
      </w:r>
      <w:r w:rsidR="00F86222" w:rsidRPr="00824B04">
        <w:t xml:space="preserve">of a kind that are </w:t>
      </w:r>
      <w:r w:rsidR="004E60F8" w:rsidRPr="00824B04">
        <w:t>classified in the AE Code as</w:t>
      </w:r>
      <w:r w:rsidR="00F86222" w:rsidRPr="00824B04">
        <w:t xml:space="preserve"> in class 1.1A</w:t>
      </w:r>
      <w:r w:rsidR="004E60F8" w:rsidRPr="00824B04">
        <w:t>;</w:t>
      </w:r>
      <w:r w:rsidRPr="00824B04">
        <w:t xml:space="preserve"> or</w:t>
      </w:r>
    </w:p>
    <w:p w14:paraId="7E203315" w14:textId="77777777" w:rsidR="00E604AA" w:rsidRPr="00824B04" w:rsidRDefault="00E604AA" w:rsidP="00754C82">
      <w:pPr>
        <w:pStyle w:val="paragraphsub"/>
      </w:pPr>
      <w:r w:rsidRPr="00824B04">
        <w:tab/>
        <w:t>(</w:t>
      </w:r>
      <w:r w:rsidR="00754C82" w:rsidRPr="00824B04">
        <w:t>iii</w:t>
      </w:r>
      <w:r w:rsidRPr="00824B04">
        <w:t>)</w:t>
      </w:r>
      <w:r w:rsidRPr="00824B04">
        <w:tab/>
        <w:t xml:space="preserve">not capable of passing the tests, or meeting the criteria, applicable to the explosives set out or referred to in the United Nations manual called </w:t>
      </w:r>
      <w:r w:rsidRPr="00824B04">
        <w:rPr>
          <w:i/>
        </w:rPr>
        <w:t>Manual of Tests and Criteria</w:t>
      </w:r>
      <w:r w:rsidR="002030FE" w:rsidRPr="00824B04">
        <w:rPr>
          <w:i/>
        </w:rPr>
        <w:t xml:space="preserve"> </w:t>
      </w:r>
      <w:r w:rsidR="009E0AF4" w:rsidRPr="00824B04">
        <w:rPr>
          <w:i/>
        </w:rPr>
        <w:noBreakHyphen/>
      </w:r>
      <w:r w:rsidR="002030FE" w:rsidRPr="00824B04">
        <w:rPr>
          <w:i/>
        </w:rPr>
        <w:t xml:space="preserve"> Eighth Revised Edition</w:t>
      </w:r>
      <w:r w:rsidR="00BB6117" w:rsidRPr="00824B04">
        <w:t xml:space="preserve"> (ISBN: 9789210019033)</w:t>
      </w:r>
      <w:r w:rsidR="002030FE" w:rsidRPr="00824B04">
        <w:t xml:space="preserve">, </w:t>
      </w:r>
      <w:r w:rsidR="00624E3C" w:rsidRPr="00824B04">
        <w:t xml:space="preserve">published </w:t>
      </w:r>
      <w:r w:rsidR="00C43A1B" w:rsidRPr="00824B04">
        <w:t>in</w:t>
      </w:r>
      <w:r w:rsidR="00624E3C" w:rsidRPr="00824B04">
        <w:t xml:space="preserve"> October 2023, </w:t>
      </w:r>
      <w:r w:rsidR="002030FE" w:rsidRPr="00824B04">
        <w:t xml:space="preserve">part of </w:t>
      </w:r>
      <w:r w:rsidR="00045FCC" w:rsidRPr="00824B04">
        <w:t xml:space="preserve">the </w:t>
      </w:r>
      <w:r w:rsidR="002030FE" w:rsidRPr="00824B04">
        <w:t>periodical Recommendations on the Transport of Dangerous Goods: Tests and Criteria</w:t>
      </w:r>
      <w:r w:rsidR="00754C82" w:rsidRPr="00824B04">
        <w:t>; and</w:t>
      </w:r>
    </w:p>
    <w:p w14:paraId="3454AFAE" w14:textId="77777777" w:rsidR="00754C82" w:rsidRPr="00824B04" w:rsidRDefault="00754C82" w:rsidP="00754C82">
      <w:pPr>
        <w:pStyle w:val="paragraph"/>
      </w:pPr>
      <w:r w:rsidRPr="00824B04">
        <w:tab/>
        <w:t>(c)</w:t>
      </w:r>
      <w:r w:rsidRPr="00824B04">
        <w:tab/>
        <w:t>either:</w:t>
      </w:r>
    </w:p>
    <w:p w14:paraId="2FE47436" w14:textId="77777777" w:rsidR="00754C82" w:rsidRPr="00824B04" w:rsidRDefault="00754C82" w:rsidP="00754C82">
      <w:pPr>
        <w:pStyle w:val="paragraphsub"/>
      </w:pPr>
      <w:r w:rsidRPr="00824B04">
        <w:tab/>
        <w:t>(</w:t>
      </w:r>
      <w:proofErr w:type="spellStart"/>
      <w:r w:rsidRPr="00824B04">
        <w:t>i</w:t>
      </w:r>
      <w:proofErr w:type="spellEnd"/>
      <w:r w:rsidRPr="00824B04">
        <w:t>)</w:t>
      </w:r>
      <w:r w:rsidRPr="00824B04">
        <w:tab/>
        <w:t xml:space="preserve">the person does not have written permission </w:t>
      </w:r>
      <w:r w:rsidR="00AE10E3" w:rsidRPr="00824B04">
        <w:t xml:space="preserve">under </w:t>
      </w:r>
      <w:r w:rsidR="00240D90" w:rsidRPr="00824B04">
        <w:t>subsection (</w:t>
      </w:r>
      <w:r w:rsidR="00AE10E3" w:rsidRPr="00824B04">
        <w:t>2)</w:t>
      </w:r>
      <w:r w:rsidRPr="00824B04">
        <w:t xml:space="preserve"> to transport the explosives; or</w:t>
      </w:r>
    </w:p>
    <w:p w14:paraId="6A4B18D3" w14:textId="77777777" w:rsidR="00754C82" w:rsidRPr="00824B04" w:rsidRDefault="00754C82" w:rsidP="00754C82">
      <w:pPr>
        <w:pStyle w:val="paragraphsub"/>
      </w:pPr>
      <w:r w:rsidRPr="00824B04">
        <w:tab/>
        <w:t>(ii)</w:t>
      </w:r>
      <w:r w:rsidRPr="00824B04">
        <w:tab/>
      </w:r>
      <w:r w:rsidR="00275B11" w:rsidRPr="00824B04">
        <w:t xml:space="preserve">if </w:t>
      </w:r>
      <w:r w:rsidR="008D74AA" w:rsidRPr="00824B04">
        <w:t>the person has written permission</w:t>
      </w:r>
      <w:r w:rsidR="00A81CC4" w:rsidRPr="00824B04">
        <w:t xml:space="preserve"> under </w:t>
      </w:r>
      <w:r w:rsidR="00240D90" w:rsidRPr="00824B04">
        <w:t>subsection (</w:t>
      </w:r>
      <w:r w:rsidR="00A81CC4" w:rsidRPr="00824B04">
        <w:t>2)</w:t>
      </w:r>
      <w:r w:rsidR="008D74AA" w:rsidRPr="00824B04">
        <w:t xml:space="preserve"> to transport the explosives</w:t>
      </w:r>
      <w:r w:rsidR="00275B11" w:rsidRPr="00824B04">
        <w:t>—</w:t>
      </w:r>
      <w:r w:rsidR="008D74AA" w:rsidRPr="00824B04">
        <w:t xml:space="preserve">the person does not comply with </w:t>
      </w:r>
      <w:r w:rsidR="00327A5D" w:rsidRPr="00824B04">
        <w:t>a</w:t>
      </w:r>
      <w:r w:rsidR="008D74AA" w:rsidRPr="00824B04">
        <w:t xml:space="preserve"> condition of the permission.</w:t>
      </w:r>
    </w:p>
    <w:p w14:paraId="5E04555B" w14:textId="77777777" w:rsidR="00EE4229" w:rsidRPr="00824B04" w:rsidRDefault="00E604AA" w:rsidP="00EE4229">
      <w:pPr>
        <w:pStyle w:val="notetext"/>
      </w:pPr>
      <w:r w:rsidRPr="00824B04">
        <w:t>Note</w:t>
      </w:r>
      <w:r w:rsidR="00B40187" w:rsidRPr="00824B04">
        <w:t xml:space="preserve"> 1</w:t>
      </w:r>
      <w:r w:rsidRPr="00824B04">
        <w:t>:</w:t>
      </w:r>
      <w:r w:rsidRPr="00824B04">
        <w:tab/>
      </w:r>
      <w:bookmarkStart w:id="17" w:name="_Hlk170462145"/>
      <w:r w:rsidRPr="00824B04">
        <w:t xml:space="preserve">The </w:t>
      </w:r>
      <w:r w:rsidRPr="00824B04">
        <w:rPr>
          <w:i/>
        </w:rPr>
        <w:t>Manual of Tests and Criteria</w:t>
      </w:r>
      <w:r w:rsidR="00C43A1B" w:rsidRPr="00824B04">
        <w:rPr>
          <w:i/>
        </w:rPr>
        <w:t xml:space="preserve"> </w:t>
      </w:r>
      <w:r w:rsidR="009E0AF4" w:rsidRPr="00824B04">
        <w:rPr>
          <w:i/>
        </w:rPr>
        <w:noBreakHyphen/>
      </w:r>
      <w:r w:rsidR="00C43A1B" w:rsidRPr="00824B04">
        <w:rPr>
          <w:i/>
        </w:rPr>
        <w:t xml:space="preserve"> Eight Revised Edition</w:t>
      </w:r>
      <w:r w:rsidR="00C43A1B" w:rsidRPr="00824B04">
        <w:t xml:space="preserve"> could in 2024 be viewed on the</w:t>
      </w:r>
      <w:r w:rsidRPr="00824B04">
        <w:t xml:space="preserve"> United Nations </w:t>
      </w:r>
      <w:proofErr w:type="spellStart"/>
      <w:r w:rsidR="00D10BFD" w:rsidRPr="00824B04">
        <w:t>iLibrary</w:t>
      </w:r>
      <w:proofErr w:type="spellEnd"/>
      <w:r w:rsidR="00D10BFD" w:rsidRPr="00824B04">
        <w:t xml:space="preserve"> website</w:t>
      </w:r>
      <w:r w:rsidRPr="00824B04">
        <w:t> </w:t>
      </w:r>
      <w:r w:rsidR="00C24B3A" w:rsidRPr="00824B04">
        <w:t>(</w:t>
      </w:r>
      <w:r w:rsidRPr="00824B04">
        <w:t>https://www.un</w:t>
      </w:r>
      <w:r w:rsidR="009E0AF4" w:rsidRPr="00824B04">
        <w:noBreakHyphen/>
      </w:r>
      <w:r w:rsidRPr="00824B04">
        <w:t>ilibrary.org</w:t>
      </w:r>
      <w:r w:rsidR="00C24B3A" w:rsidRPr="00824B04">
        <w:t>)</w:t>
      </w:r>
      <w:r w:rsidRPr="00824B04">
        <w:t>.</w:t>
      </w:r>
      <w:bookmarkEnd w:id="17"/>
    </w:p>
    <w:p w14:paraId="674B63D1" w14:textId="77777777" w:rsidR="00B40187" w:rsidRPr="00824B04" w:rsidRDefault="00B40187" w:rsidP="00EE4229">
      <w:pPr>
        <w:pStyle w:val="notetext"/>
      </w:pPr>
      <w:r w:rsidRPr="00824B04">
        <w:t>Note 2:</w:t>
      </w:r>
      <w:r w:rsidRPr="00824B04">
        <w:tab/>
        <w:t xml:space="preserve">Penalties for a failure to comply with this subsection are set by </w:t>
      </w:r>
      <w:r w:rsidR="008B59D2" w:rsidRPr="00824B04">
        <w:t>section 2</w:t>
      </w:r>
      <w:r w:rsidRPr="00824B04">
        <w:t>0 of the Act.</w:t>
      </w:r>
    </w:p>
    <w:p w14:paraId="52412802" w14:textId="77777777" w:rsidR="0050323A" w:rsidRPr="00824B04" w:rsidRDefault="00E604AA" w:rsidP="0050323A">
      <w:pPr>
        <w:pStyle w:val="subsection"/>
      </w:pPr>
      <w:r w:rsidRPr="00824B04">
        <w:tab/>
        <w:t>(2)</w:t>
      </w:r>
      <w:r w:rsidRPr="00824B04">
        <w:tab/>
      </w:r>
      <w:r w:rsidR="008D74AA" w:rsidRPr="00824B04">
        <w:t>T</w:t>
      </w:r>
      <w:r w:rsidR="00AA30E5" w:rsidRPr="00824B04">
        <w:t>he Competent Authority may</w:t>
      </w:r>
      <w:r w:rsidR="005A49BF" w:rsidRPr="00824B04">
        <w:t xml:space="preserve">, for the purposes of </w:t>
      </w:r>
      <w:r w:rsidR="00580258" w:rsidRPr="00824B04">
        <w:t>subparagraph (</w:t>
      </w:r>
      <w:r w:rsidR="005A49BF" w:rsidRPr="00824B04">
        <w:t>1)(c)(ii),</w:t>
      </w:r>
      <w:r w:rsidR="00AA30E5" w:rsidRPr="00824B04">
        <w:t xml:space="preserve"> grant written permission</w:t>
      </w:r>
      <w:r w:rsidR="0050323A" w:rsidRPr="00824B04">
        <w:t>, subject to any conditions specified in the permission</w:t>
      </w:r>
      <w:r w:rsidR="005A49BF" w:rsidRPr="00824B04">
        <w:t>,</w:t>
      </w:r>
      <w:r w:rsidR="00AA30E5" w:rsidRPr="00824B04">
        <w:t xml:space="preserve"> </w:t>
      </w:r>
      <w:r w:rsidR="000B70FD" w:rsidRPr="00824B04">
        <w:t xml:space="preserve">to a person to </w:t>
      </w:r>
      <w:r w:rsidRPr="00824B04">
        <w:t>transport, by road or rail, authorised Commonwealth explosives</w:t>
      </w:r>
      <w:r w:rsidR="005A49BF" w:rsidRPr="00824B04">
        <w:t>.</w:t>
      </w:r>
    </w:p>
    <w:p w14:paraId="28A8C1D3" w14:textId="77777777" w:rsidR="004C282C" w:rsidRPr="00824B04" w:rsidRDefault="001436C7" w:rsidP="004C282C">
      <w:pPr>
        <w:pStyle w:val="ActHead5"/>
      </w:pPr>
      <w:bookmarkStart w:id="18" w:name="_Toc170463329"/>
      <w:r w:rsidRPr="00824B04">
        <w:rPr>
          <w:rStyle w:val="CharSectno"/>
        </w:rPr>
        <w:t>12</w:t>
      </w:r>
      <w:r w:rsidR="004C282C" w:rsidRPr="00824B04">
        <w:t xml:space="preserve">  Application of AE Code</w:t>
      </w:r>
      <w:bookmarkEnd w:id="18"/>
    </w:p>
    <w:p w14:paraId="6D20811C" w14:textId="77777777" w:rsidR="004C282C" w:rsidRPr="00824B04" w:rsidRDefault="004C282C" w:rsidP="004C282C">
      <w:pPr>
        <w:pStyle w:val="subsection"/>
      </w:pPr>
      <w:r w:rsidRPr="00824B04">
        <w:tab/>
        <w:t>(1)</w:t>
      </w:r>
      <w:r w:rsidRPr="00824B04">
        <w:tab/>
        <w:t xml:space="preserve">A person who is involved in the transport of authorised Commonwealth explosives must comply with any requirement of the AE Code, as modified by </w:t>
      </w:r>
      <w:r w:rsidR="007651AF" w:rsidRPr="00824B04">
        <w:t>Schedule 1</w:t>
      </w:r>
      <w:r w:rsidRPr="00824B04">
        <w:t xml:space="preserve"> of </w:t>
      </w:r>
      <w:r w:rsidR="00A8047A" w:rsidRPr="00824B04">
        <w:t>this instrument</w:t>
      </w:r>
      <w:r w:rsidRPr="00824B04">
        <w:t>, that is applicable to the person.</w:t>
      </w:r>
    </w:p>
    <w:p w14:paraId="1305F7A0" w14:textId="77777777" w:rsidR="00B14E71" w:rsidRPr="00824B04" w:rsidRDefault="00B14E71" w:rsidP="00B14E71">
      <w:pPr>
        <w:pStyle w:val="notetext"/>
      </w:pPr>
      <w:r w:rsidRPr="00824B04">
        <w:t>Note:</w:t>
      </w:r>
      <w:r w:rsidRPr="00824B04">
        <w:tab/>
        <w:t xml:space="preserve">Penalties for a failure to comply with this subsection are set by </w:t>
      </w:r>
      <w:r w:rsidR="008B59D2" w:rsidRPr="00824B04">
        <w:t>section 2</w:t>
      </w:r>
      <w:r w:rsidRPr="00824B04">
        <w:t>0 of the Act.</w:t>
      </w:r>
    </w:p>
    <w:p w14:paraId="66F970B1" w14:textId="77777777" w:rsidR="00AE47E7" w:rsidRPr="00824B04" w:rsidRDefault="00AE47E7" w:rsidP="00AE47E7">
      <w:pPr>
        <w:pStyle w:val="subsection"/>
      </w:pPr>
      <w:r w:rsidRPr="00824B04">
        <w:tab/>
        <w:t>(2)</w:t>
      </w:r>
      <w:r w:rsidRPr="00824B04">
        <w:tab/>
        <w:t xml:space="preserve">However, if there is an inconsistency between a requirement of </w:t>
      </w:r>
      <w:r w:rsidR="00C21C14" w:rsidRPr="00824B04">
        <w:t>the AE Code</w:t>
      </w:r>
      <w:r w:rsidRPr="00824B04">
        <w:t xml:space="preserve">, as it applies to the person, and a requirement of </w:t>
      </w:r>
      <w:r w:rsidR="00A8047A" w:rsidRPr="00824B04">
        <w:t>this instrument</w:t>
      </w:r>
      <w:r w:rsidRPr="00824B04">
        <w:t xml:space="preserve">, or of an order made under </w:t>
      </w:r>
      <w:r w:rsidR="00C5351E" w:rsidRPr="00824B04">
        <w:t>paragraph 4</w:t>
      </w:r>
      <w:r w:rsidR="001436C7" w:rsidRPr="00824B04">
        <w:t>4</w:t>
      </w:r>
      <w:r w:rsidR="00DB28BB" w:rsidRPr="00824B04">
        <w:t>(1)</w:t>
      </w:r>
      <w:r w:rsidR="003E600D" w:rsidRPr="00824B04">
        <w:t>(a) or (b)</w:t>
      </w:r>
      <w:r w:rsidRPr="00824B04">
        <w:t xml:space="preserve">, as it applies to the person, the requirement of </w:t>
      </w:r>
      <w:r w:rsidR="001015AD" w:rsidRPr="00824B04">
        <w:t>this instrument</w:t>
      </w:r>
      <w:r w:rsidRPr="00824B04">
        <w:t>, or of the order, prevails to the extent of the inconsistency.</w:t>
      </w:r>
    </w:p>
    <w:p w14:paraId="0A651FA7" w14:textId="77777777" w:rsidR="004C282C" w:rsidRPr="00824B04" w:rsidRDefault="001436C7" w:rsidP="004C282C">
      <w:pPr>
        <w:pStyle w:val="ActHead5"/>
      </w:pPr>
      <w:bookmarkStart w:id="19" w:name="_Toc170463330"/>
      <w:r w:rsidRPr="00824B04">
        <w:rPr>
          <w:rStyle w:val="CharSectno"/>
        </w:rPr>
        <w:lastRenderedPageBreak/>
        <w:t>13</w:t>
      </w:r>
      <w:r w:rsidR="004C282C" w:rsidRPr="00824B04">
        <w:t xml:space="preserve">  </w:t>
      </w:r>
      <w:r w:rsidR="00AF6955" w:rsidRPr="00824B04">
        <w:t>P</w:t>
      </w:r>
      <w:r w:rsidR="004C282C" w:rsidRPr="00824B04">
        <w:t xml:space="preserve">ersons </w:t>
      </w:r>
      <w:r w:rsidR="00482CDE" w:rsidRPr="00824B04">
        <w:t>around vehicles</w:t>
      </w:r>
      <w:r w:rsidR="004D1834" w:rsidRPr="00824B04">
        <w:t xml:space="preserve"> during loading and unloading of explosives</w:t>
      </w:r>
      <w:bookmarkEnd w:id="19"/>
    </w:p>
    <w:p w14:paraId="647C0BFA" w14:textId="77777777" w:rsidR="008B1614" w:rsidRPr="00824B04" w:rsidRDefault="0019695A" w:rsidP="0019695A">
      <w:pPr>
        <w:pStyle w:val="subsection"/>
      </w:pPr>
      <w:r w:rsidRPr="00824B04">
        <w:tab/>
      </w:r>
      <w:r w:rsidR="004C282C" w:rsidRPr="00824B04">
        <w:t>(1)</w:t>
      </w:r>
      <w:r w:rsidR="004C282C" w:rsidRPr="00824B04">
        <w:tab/>
      </w:r>
      <w:r w:rsidR="008B1614" w:rsidRPr="00824B04">
        <w:t xml:space="preserve">A person (other than a person mentioned in </w:t>
      </w:r>
      <w:r w:rsidR="00240D90" w:rsidRPr="00824B04">
        <w:t>subsection (</w:t>
      </w:r>
      <w:r w:rsidR="008B1614" w:rsidRPr="00824B04">
        <w:t>2)) must not be in, on or in the vicinity of a vehicle if:</w:t>
      </w:r>
    </w:p>
    <w:p w14:paraId="05E46C83" w14:textId="77777777" w:rsidR="00221B7B" w:rsidRPr="00824B04" w:rsidRDefault="008B1614" w:rsidP="008B1614">
      <w:pPr>
        <w:pStyle w:val="paragraph"/>
      </w:pPr>
      <w:r w:rsidRPr="00824B04">
        <w:tab/>
        <w:t>(a)</w:t>
      </w:r>
      <w:r w:rsidRPr="00824B04">
        <w:tab/>
      </w:r>
      <w:r w:rsidR="004C282C" w:rsidRPr="00824B04">
        <w:t xml:space="preserve">authorised Commonwealth explosives are being loaded onto, or unloaded from, </w:t>
      </w:r>
      <w:r w:rsidR="00221B7B" w:rsidRPr="00824B04">
        <w:t>the</w:t>
      </w:r>
      <w:r w:rsidR="004C282C" w:rsidRPr="00824B04">
        <w:t xml:space="preserve"> vehicle</w:t>
      </w:r>
      <w:r w:rsidR="00221B7B" w:rsidRPr="00824B04">
        <w:t>; and</w:t>
      </w:r>
    </w:p>
    <w:p w14:paraId="27238647" w14:textId="77777777" w:rsidR="0019695A" w:rsidRPr="00824B04" w:rsidRDefault="00221B7B" w:rsidP="00221B7B">
      <w:pPr>
        <w:pStyle w:val="paragraph"/>
      </w:pPr>
      <w:r w:rsidRPr="00824B04">
        <w:tab/>
        <w:t>(b)</w:t>
      </w:r>
      <w:r w:rsidRPr="00824B04">
        <w:tab/>
        <w:t>the</w:t>
      </w:r>
      <w:r w:rsidR="004C282C" w:rsidRPr="00824B04">
        <w:t xml:space="preserve"> person</w:t>
      </w:r>
      <w:r w:rsidR="004F68A3" w:rsidRPr="00824B04">
        <w:t xml:space="preserve"> </w:t>
      </w:r>
      <w:r w:rsidRPr="00824B04">
        <w:t xml:space="preserve">does </w:t>
      </w:r>
      <w:r w:rsidR="0084669C" w:rsidRPr="00824B04">
        <w:t>not have</w:t>
      </w:r>
      <w:r w:rsidRPr="00824B04">
        <w:t xml:space="preserve"> the </w:t>
      </w:r>
      <w:r w:rsidR="0019695A" w:rsidRPr="00824B04">
        <w:t>consent of the person in charge of the vehicle.</w:t>
      </w:r>
    </w:p>
    <w:p w14:paraId="18E31D79" w14:textId="77777777" w:rsidR="00E02923" w:rsidRPr="00824B04" w:rsidRDefault="00E02923" w:rsidP="00E02923">
      <w:pPr>
        <w:pStyle w:val="notetext"/>
      </w:pPr>
      <w:r w:rsidRPr="00824B04">
        <w:t>Note</w:t>
      </w:r>
      <w:r w:rsidR="00B14E71" w:rsidRPr="00824B04">
        <w:t xml:space="preserve"> 1</w:t>
      </w:r>
      <w:r w:rsidRPr="00824B04">
        <w:t>:</w:t>
      </w:r>
      <w:r w:rsidRPr="00824B04">
        <w:tab/>
        <w:t>The AE Code includes provisions about persons riding in vehicles that are carrying explosives.</w:t>
      </w:r>
    </w:p>
    <w:p w14:paraId="5BEE6FF7" w14:textId="77777777" w:rsidR="00B14E71" w:rsidRPr="00824B04" w:rsidRDefault="00B14E71" w:rsidP="00E02923">
      <w:pPr>
        <w:pStyle w:val="notetext"/>
      </w:pPr>
      <w:r w:rsidRPr="00824B04">
        <w:t>Note 2:</w:t>
      </w:r>
      <w:r w:rsidRPr="00824B04">
        <w:tab/>
        <w:t xml:space="preserve">Penalties for a failure to comply with this subsection are set by </w:t>
      </w:r>
      <w:r w:rsidR="008B59D2" w:rsidRPr="00824B04">
        <w:t>section 2</w:t>
      </w:r>
      <w:r w:rsidRPr="00824B04">
        <w:t>0 of the Act.</w:t>
      </w:r>
    </w:p>
    <w:p w14:paraId="654A3BBB" w14:textId="77777777" w:rsidR="004C282C" w:rsidRPr="00824B04" w:rsidRDefault="00710EBC" w:rsidP="00710EBC">
      <w:pPr>
        <w:pStyle w:val="subsection"/>
      </w:pPr>
      <w:r w:rsidRPr="00824B04">
        <w:tab/>
        <w:t>(2)</w:t>
      </w:r>
      <w:r w:rsidRPr="00824B04">
        <w:tab/>
      </w:r>
      <w:r w:rsidR="00F03274" w:rsidRPr="00824B04">
        <w:t xml:space="preserve">For the purposes of </w:t>
      </w:r>
      <w:r w:rsidR="00240D90" w:rsidRPr="00824B04">
        <w:t>subsection (</w:t>
      </w:r>
      <w:r w:rsidR="00F03274" w:rsidRPr="00824B04">
        <w:t xml:space="preserve">1), the persons </w:t>
      </w:r>
      <w:r w:rsidR="00791F69" w:rsidRPr="00824B04">
        <w:t>are</w:t>
      </w:r>
      <w:r w:rsidR="0084669C" w:rsidRPr="00824B04">
        <w:t xml:space="preserve"> as follows</w:t>
      </w:r>
      <w:r w:rsidR="00F03274" w:rsidRPr="00824B04">
        <w:t>:</w:t>
      </w:r>
    </w:p>
    <w:p w14:paraId="6BE26F70" w14:textId="77777777" w:rsidR="004C282C" w:rsidRPr="00824B04" w:rsidRDefault="004C282C" w:rsidP="004C282C">
      <w:pPr>
        <w:pStyle w:val="paragraph"/>
      </w:pPr>
      <w:r w:rsidRPr="00824B04">
        <w:tab/>
        <w:t>(a)</w:t>
      </w:r>
      <w:r w:rsidRPr="00824B04">
        <w:tab/>
        <w:t>the driver of the vehicle;</w:t>
      </w:r>
    </w:p>
    <w:p w14:paraId="68DA1B37" w14:textId="77777777" w:rsidR="004C282C" w:rsidRPr="00824B04" w:rsidRDefault="004C282C" w:rsidP="004C282C">
      <w:pPr>
        <w:pStyle w:val="paragraph"/>
      </w:pPr>
      <w:r w:rsidRPr="00824B04">
        <w:tab/>
        <w:t>(b)</w:t>
      </w:r>
      <w:r w:rsidRPr="00824B04">
        <w:tab/>
        <w:t>a person involved in loading or unloading the vehicle;</w:t>
      </w:r>
    </w:p>
    <w:p w14:paraId="1252ECD1" w14:textId="77777777" w:rsidR="004C282C" w:rsidRPr="00824B04" w:rsidRDefault="004C282C" w:rsidP="004C282C">
      <w:pPr>
        <w:pStyle w:val="paragraph"/>
      </w:pPr>
      <w:r w:rsidRPr="00824B04">
        <w:tab/>
        <w:t>(c)</w:t>
      </w:r>
      <w:r w:rsidRPr="00824B04">
        <w:tab/>
        <w:t xml:space="preserve">a member of </w:t>
      </w:r>
      <w:r w:rsidR="00F03274" w:rsidRPr="00824B04">
        <w:t>a fire brigade established by or under a law of a State or Territory</w:t>
      </w:r>
      <w:r w:rsidR="006E4B1C" w:rsidRPr="00824B04">
        <w:t>;</w:t>
      </w:r>
    </w:p>
    <w:p w14:paraId="1253CD9E" w14:textId="77777777" w:rsidR="00F03274" w:rsidRPr="00824B04" w:rsidRDefault="004C282C" w:rsidP="00F03274">
      <w:pPr>
        <w:pStyle w:val="paragraph"/>
      </w:pPr>
      <w:r w:rsidRPr="00824B04">
        <w:tab/>
      </w:r>
      <w:r w:rsidR="00F03274" w:rsidRPr="00824B04">
        <w:t>(d)</w:t>
      </w:r>
      <w:r w:rsidR="00F03274" w:rsidRPr="00824B04">
        <w:tab/>
        <w:t>a member or special member of the Australian Federal Police;</w:t>
      </w:r>
    </w:p>
    <w:p w14:paraId="3403E903" w14:textId="77777777" w:rsidR="004C282C" w:rsidRPr="00824B04" w:rsidRDefault="00F03274" w:rsidP="004C282C">
      <w:pPr>
        <w:pStyle w:val="paragraph"/>
      </w:pPr>
      <w:r w:rsidRPr="00824B04">
        <w:tab/>
        <w:t>(e)</w:t>
      </w:r>
      <w:r w:rsidRPr="00824B04">
        <w:tab/>
        <w:t>an officer of the Police of a State or Territory.</w:t>
      </w:r>
    </w:p>
    <w:p w14:paraId="150EDDED" w14:textId="77777777" w:rsidR="00633D3D" w:rsidRPr="00824B04" w:rsidRDefault="001436C7" w:rsidP="00633D3D">
      <w:pPr>
        <w:pStyle w:val="ActHead5"/>
      </w:pPr>
      <w:bookmarkStart w:id="20" w:name="_Toc170463331"/>
      <w:r w:rsidRPr="00824B04">
        <w:rPr>
          <w:rStyle w:val="CharSectno"/>
        </w:rPr>
        <w:t>14</w:t>
      </w:r>
      <w:r w:rsidR="00633D3D" w:rsidRPr="00824B04">
        <w:t xml:space="preserve">  Smoking and other fire hazards around</w:t>
      </w:r>
      <w:r w:rsidR="00034280" w:rsidRPr="00824B04">
        <w:t xml:space="preserve"> vehicles</w:t>
      </w:r>
      <w:r w:rsidR="00633D3D" w:rsidRPr="00824B04">
        <w:t xml:space="preserve"> prohibited</w:t>
      </w:r>
      <w:bookmarkEnd w:id="20"/>
    </w:p>
    <w:p w14:paraId="76648BA9" w14:textId="77777777" w:rsidR="0089320E" w:rsidRPr="00824B04" w:rsidRDefault="00633D3D" w:rsidP="001F7EFC">
      <w:pPr>
        <w:pStyle w:val="subsection"/>
      </w:pPr>
      <w:r w:rsidRPr="00824B04">
        <w:tab/>
        <w:t>(1)</w:t>
      </w:r>
      <w:r w:rsidRPr="00824B04">
        <w:tab/>
      </w:r>
      <w:r w:rsidR="001E6777" w:rsidRPr="00824B04">
        <w:t xml:space="preserve">A person contravenes </w:t>
      </w:r>
      <w:r w:rsidR="0089320E" w:rsidRPr="00824B04">
        <w:t>this subsection if:</w:t>
      </w:r>
    </w:p>
    <w:p w14:paraId="0A4EC5F0" w14:textId="77777777" w:rsidR="0089320E" w:rsidRPr="00824B04" w:rsidRDefault="0089320E" w:rsidP="0089320E">
      <w:pPr>
        <w:pStyle w:val="paragraph"/>
      </w:pPr>
      <w:r w:rsidRPr="00824B04">
        <w:tab/>
        <w:t>(a)</w:t>
      </w:r>
      <w:r w:rsidRPr="00824B04">
        <w:tab/>
        <w:t>the</w:t>
      </w:r>
      <w:r w:rsidR="00633D3D" w:rsidRPr="00824B04">
        <w:t xml:space="preserve"> person is within 6 metres of a vehicle on which authorised Commonwealth explosives are loaded</w:t>
      </w:r>
      <w:r w:rsidRPr="00824B04">
        <w:t>; and</w:t>
      </w:r>
    </w:p>
    <w:p w14:paraId="0B0C3F43" w14:textId="77777777" w:rsidR="00633D3D" w:rsidRPr="00824B04" w:rsidRDefault="0089320E" w:rsidP="0089320E">
      <w:pPr>
        <w:pStyle w:val="paragraph"/>
      </w:pPr>
      <w:r w:rsidRPr="00824B04">
        <w:tab/>
        <w:t>(b)</w:t>
      </w:r>
      <w:r w:rsidRPr="00824B04">
        <w:tab/>
      </w:r>
      <w:r w:rsidR="00633D3D" w:rsidRPr="00824B04">
        <w:t>the person</w:t>
      </w:r>
      <w:r w:rsidRPr="00824B04">
        <w:t>:</w:t>
      </w:r>
    </w:p>
    <w:p w14:paraId="6FE3B438" w14:textId="77777777" w:rsidR="00633D3D" w:rsidRPr="00824B04" w:rsidRDefault="00633D3D" w:rsidP="00633D3D">
      <w:pPr>
        <w:pStyle w:val="paragraphsub"/>
      </w:pPr>
      <w:r w:rsidRPr="00824B04">
        <w:tab/>
        <w:t>(</w:t>
      </w:r>
      <w:proofErr w:type="spellStart"/>
      <w:r w:rsidRPr="00824B04">
        <w:t>i</w:t>
      </w:r>
      <w:proofErr w:type="spellEnd"/>
      <w:r w:rsidRPr="00824B04">
        <w:t>)</w:t>
      </w:r>
      <w:r w:rsidRPr="00824B04">
        <w:tab/>
        <w:t>smoke</w:t>
      </w:r>
      <w:r w:rsidR="0089320E" w:rsidRPr="00824B04">
        <w:t>s</w:t>
      </w:r>
      <w:r w:rsidRPr="00824B04">
        <w:t>; or</w:t>
      </w:r>
    </w:p>
    <w:p w14:paraId="0D85C21B" w14:textId="77777777" w:rsidR="00633D3D" w:rsidRPr="00824B04" w:rsidRDefault="00633D3D" w:rsidP="00633D3D">
      <w:pPr>
        <w:pStyle w:val="paragraphsub"/>
      </w:pPr>
      <w:r w:rsidRPr="00824B04">
        <w:tab/>
        <w:t>(ii)</w:t>
      </w:r>
      <w:r w:rsidRPr="00824B04">
        <w:tab/>
      </w:r>
      <w:r w:rsidR="0089320E" w:rsidRPr="00824B04">
        <w:t>is</w:t>
      </w:r>
      <w:r w:rsidRPr="00824B04">
        <w:t xml:space="preserve"> in possession of, create</w:t>
      </w:r>
      <w:r w:rsidR="0089320E" w:rsidRPr="00824B04">
        <w:t>s</w:t>
      </w:r>
      <w:r w:rsidRPr="00824B04">
        <w:t xml:space="preserve"> or use</w:t>
      </w:r>
      <w:r w:rsidR="0089320E" w:rsidRPr="00824B04">
        <w:t>s</w:t>
      </w:r>
      <w:r w:rsidRPr="00824B04">
        <w:t xml:space="preserve"> any fire or naked light.</w:t>
      </w:r>
    </w:p>
    <w:p w14:paraId="5F743FBA" w14:textId="77777777" w:rsidR="0089320E" w:rsidRPr="00824B04" w:rsidRDefault="00633D3D" w:rsidP="00633D3D">
      <w:pPr>
        <w:pStyle w:val="subsection"/>
      </w:pPr>
      <w:r w:rsidRPr="00824B04">
        <w:tab/>
        <w:t>(2)</w:t>
      </w:r>
      <w:r w:rsidRPr="00824B04">
        <w:tab/>
        <w:t xml:space="preserve">A person </w:t>
      </w:r>
      <w:r w:rsidR="0089320E" w:rsidRPr="00824B04">
        <w:t>contravenes this subsection if:</w:t>
      </w:r>
    </w:p>
    <w:p w14:paraId="09BDAC13" w14:textId="77777777" w:rsidR="00A23B46" w:rsidRPr="00824B04" w:rsidRDefault="0089320E" w:rsidP="0089320E">
      <w:pPr>
        <w:pStyle w:val="paragraph"/>
      </w:pPr>
      <w:r w:rsidRPr="00824B04">
        <w:tab/>
        <w:t>(a)</w:t>
      </w:r>
      <w:r w:rsidRPr="00824B04">
        <w:tab/>
        <w:t xml:space="preserve">the person is </w:t>
      </w:r>
      <w:r w:rsidR="00633D3D" w:rsidRPr="00824B04">
        <w:t>in the vicinity of</w:t>
      </w:r>
      <w:r w:rsidR="001F7EFC" w:rsidRPr="00824B04">
        <w:t xml:space="preserve"> </w:t>
      </w:r>
      <w:r w:rsidR="00633D3D" w:rsidRPr="00824B04">
        <w:t>a vehicle on which authorised Commonwealth explosives are loaded</w:t>
      </w:r>
      <w:r w:rsidR="00A23B46" w:rsidRPr="00824B04">
        <w:t>; and</w:t>
      </w:r>
    </w:p>
    <w:p w14:paraId="4C7EFEC9" w14:textId="77777777" w:rsidR="00633D3D" w:rsidRPr="00824B04" w:rsidRDefault="00A23B46" w:rsidP="00A23B46">
      <w:pPr>
        <w:pStyle w:val="paragraph"/>
      </w:pPr>
      <w:r w:rsidRPr="00824B04">
        <w:tab/>
        <w:t>(b)</w:t>
      </w:r>
      <w:r w:rsidRPr="00824B04">
        <w:tab/>
        <w:t>the person</w:t>
      </w:r>
      <w:r w:rsidR="00633D3D" w:rsidRPr="00824B04">
        <w:t xml:space="preserve"> engage</w:t>
      </w:r>
      <w:r w:rsidRPr="00824B04">
        <w:t>s</w:t>
      </w:r>
      <w:r w:rsidR="00633D3D" w:rsidRPr="00824B04">
        <w:t xml:space="preserve"> in conduct that is likely to result in a fire or explosion affecting the explosives on the vehicle.</w:t>
      </w:r>
    </w:p>
    <w:p w14:paraId="3F015377" w14:textId="77777777" w:rsidR="00633D3D" w:rsidRPr="00824B04" w:rsidRDefault="00633D3D" w:rsidP="00633D3D">
      <w:pPr>
        <w:pStyle w:val="notetext"/>
      </w:pPr>
      <w:r w:rsidRPr="00824B04">
        <w:t>Note 1:</w:t>
      </w:r>
      <w:r w:rsidRPr="00824B04">
        <w:tab/>
        <w:t>See the provisions of the AE Code about smoking and other fire hazards near vehicles that are carrying explosives.</w:t>
      </w:r>
    </w:p>
    <w:p w14:paraId="30EBCC08" w14:textId="77777777" w:rsidR="00633D3D" w:rsidRPr="00824B04" w:rsidRDefault="00633D3D" w:rsidP="00633D3D">
      <w:pPr>
        <w:pStyle w:val="notetext"/>
      </w:pPr>
      <w:r w:rsidRPr="00824B04">
        <w:t>Note 2:</w:t>
      </w:r>
      <w:r w:rsidRPr="00824B04">
        <w:tab/>
        <w:t xml:space="preserve">Penalties for a failure to comply with </w:t>
      </w:r>
      <w:r w:rsidR="00524F40" w:rsidRPr="00824B04">
        <w:t>subsections (</w:t>
      </w:r>
      <w:r w:rsidRPr="00824B04">
        <w:t xml:space="preserve">1) and (2) </w:t>
      </w:r>
      <w:r w:rsidR="003A52F9" w:rsidRPr="00824B04">
        <w:t xml:space="preserve">of this section </w:t>
      </w:r>
      <w:r w:rsidRPr="00824B04">
        <w:t>are set by section 20 of the Act.</w:t>
      </w:r>
    </w:p>
    <w:p w14:paraId="60FF138A" w14:textId="77777777" w:rsidR="0009370D" w:rsidRPr="00824B04" w:rsidRDefault="001436C7" w:rsidP="0009370D">
      <w:pPr>
        <w:pStyle w:val="ActHead5"/>
      </w:pPr>
      <w:bookmarkStart w:id="21" w:name="_Toc170463332"/>
      <w:r w:rsidRPr="00824B04">
        <w:rPr>
          <w:rStyle w:val="CharSectno"/>
        </w:rPr>
        <w:t>15</w:t>
      </w:r>
      <w:r w:rsidR="0009370D" w:rsidRPr="00824B04">
        <w:t xml:space="preserve">  </w:t>
      </w:r>
      <w:r w:rsidR="00C5351E" w:rsidRPr="00824B04">
        <w:t>Sections 1</w:t>
      </w:r>
      <w:r w:rsidRPr="00824B04">
        <w:t>2</w:t>
      </w:r>
      <w:r w:rsidR="00390C2E" w:rsidRPr="00824B04">
        <w:t xml:space="preserve"> and </w:t>
      </w:r>
      <w:r w:rsidRPr="00824B04">
        <w:t>13</w:t>
      </w:r>
      <w:r w:rsidR="00390C2E" w:rsidRPr="00824B04">
        <w:t xml:space="preserve"> do not</w:t>
      </w:r>
      <w:r w:rsidR="0009370D" w:rsidRPr="00824B04">
        <w:t xml:space="preserve"> apply in certain circumstances</w:t>
      </w:r>
      <w:bookmarkEnd w:id="21"/>
    </w:p>
    <w:p w14:paraId="349D7DA9" w14:textId="77777777" w:rsidR="0009370D" w:rsidRPr="00824B04" w:rsidRDefault="0009370D" w:rsidP="0009370D">
      <w:pPr>
        <w:pStyle w:val="subsection"/>
      </w:pPr>
      <w:r w:rsidRPr="00824B04">
        <w:tab/>
        <w:t>(1)</w:t>
      </w:r>
      <w:r w:rsidRPr="00824B04">
        <w:tab/>
      </w:r>
      <w:r w:rsidR="00C5351E" w:rsidRPr="00824B04">
        <w:t>Sections 1</w:t>
      </w:r>
      <w:r w:rsidR="001436C7" w:rsidRPr="00824B04">
        <w:t>2</w:t>
      </w:r>
      <w:r w:rsidR="0016231F" w:rsidRPr="00824B04">
        <w:t xml:space="preserve"> and </w:t>
      </w:r>
      <w:r w:rsidR="001436C7" w:rsidRPr="00824B04">
        <w:t>13</w:t>
      </w:r>
      <w:r w:rsidR="0016231F" w:rsidRPr="00824B04">
        <w:t xml:space="preserve"> do</w:t>
      </w:r>
      <w:r w:rsidRPr="00824B04">
        <w:t xml:space="preserve"> not apply to:</w:t>
      </w:r>
    </w:p>
    <w:p w14:paraId="18EA7EC9" w14:textId="77777777" w:rsidR="0009370D" w:rsidRPr="00824B04" w:rsidRDefault="0009370D" w:rsidP="0009370D">
      <w:pPr>
        <w:pStyle w:val="paragraph"/>
      </w:pPr>
      <w:r w:rsidRPr="00824B04">
        <w:tab/>
        <w:t>(a)</w:t>
      </w:r>
      <w:r w:rsidRPr="00824B04">
        <w:tab/>
        <w:t>a person who is involved in the transport of authorised</w:t>
      </w:r>
      <w:r w:rsidRPr="00824B04">
        <w:rPr>
          <w:b/>
          <w:i/>
        </w:rPr>
        <w:t xml:space="preserve"> </w:t>
      </w:r>
      <w:r w:rsidRPr="00824B04">
        <w:t>Commonwealth explosives in a place:</w:t>
      </w:r>
    </w:p>
    <w:p w14:paraId="770E95F2" w14:textId="77777777" w:rsidR="0009370D" w:rsidRPr="00824B04" w:rsidRDefault="0009370D" w:rsidP="0009370D">
      <w:pPr>
        <w:pStyle w:val="paragraphsub"/>
      </w:pPr>
      <w:r w:rsidRPr="00824B04">
        <w:tab/>
        <w:t>(</w:t>
      </w:r>
      <w:proofErr w:type="spellStart"/>
      <w:r w:rsidRPr="00824B04">
        <w:t>i</w:t>
      </w:r>
      <w:proofErr w:type="spellEnd"/>
      <w:r w:rsidRPr="00824B04">
        <w:t>)</w:t>
      </w:r>
      <w:r w:rsidRPr="00824B04">
        <w:tab/>
        <w:t>that is occupied or controlled by the Defence Force or a part of the Defence Force; or</w:t>
      </w:r>
    </w:p>
    <w:p w14:paraId="059B5636" w14:textId="77777777" w:rsidR="0009370D" w:rsidRPr="00824B04" w:rsidRDefault="0009370D" w:rsidP="0009370D">
      <w:pPr>
        <w:pStyle w:val="paragraphsub"/>
      </w:pPr>
      <w:r w:rsidRPr="00824B04">
        <w:tab/>
        <w:t>(ii)</w:t>
      </w:r>
      <w:r w:rsidRPr="00824B04">
        <w:tab/>
        <w:t xml:space="preserve">that </w:t>
      </w:r>
      <w:r w:rsidR="00161C9E" w:rsidRPr="00824B04">
        <w:t>wa</w:t>
      </w:r>
      <w:r w:rsidRPr="00824B04">
        <w:t xml:space="preserve">s declared, under </w:t>
      </w:r>
      <w:r w:rsidR="00161C9E" w:rsidRPr="00824B04">
        <w:t xml:space="preserve">repealed </w:t>
      </w:r>
      <w:r w:rsidRPr="00824B04">
        <w:t xml:space="preserve">regulation 49 of the </w:t>
      </w:r>
      <w:r w:rsidRPr="00824B04">
        <w:rPr>
          <w:i/>
        </w:rPr>
        <w:t>Defence Force Regulations 1952</w:t>
      </w:r>
      <w:r w:rsidRPr="00824B04">
        <w:t>, to be a defence practice area; or</w:t>
      </w:r>
    </w:p>
    <w:p w14:paraId="3346FB4F" w14:textId="77777777" w:rsidR="0009370D" w:rsidRPr="00824B04" w:rsidRDefault="0009370D" w:rsidP="0009370D">
      <w:pPr>
        <w:pStyle w:val="paragraphsub"/>
      </w:pPr>
      <w:r w:rsidRPr="00824B04">
        <w:tab/>
        <w:t>(iii)</w:t>
      </w:r>
      <w:r w:rsidRPr="00824B04">
        <w:tab/>
        <w:t xml:space="preserve">that is declared, under </w:t>
      </w:r>
      <w:r w:rsidR="005F444B" w:rsidRPr="00824B04">
        <w:t xml:space="preserve">regulations made for the purposes of the </w:t>
      </w:r>
      <w:r w:rsidR="005F444B" w:rsidRPr="00824B04">
        <w:rPr>
          <w:i/>
        </w:rPr>
        <w:t>Defence Act 1903</w:t>
      </w:r>
      <w:r w:rsidR="005F444B" w:rsidRPr="00824B04">
        <w:t>,</w:t>
      </w:r>
      <w:r w:rsidRPr="00824B04">
        <w:t xml:space="preserve"> to be a defence area; or</w:t>
      </w:r>
    </w:p>
    <w:p w14:paraId="4523C730" w14:textId="77777777" w:rsidR="0009370D" w:rsidRPr="00824B04" w:rsidRDefault="0009370D" w:rsidP="0009370D">
      <w:pPr>
        <w:pStyle w:val="paragraphsub"/>
      </w:pPr>
      <w:r w:rsidRPr="00824B04">
        <w:lastRenderedPageBreak/>
        <w:tab/>
        <w:t>(iv)</w:t>
      </w:r>
      <w:r w:rsidRPr="00824B04">
        <w:tab/>
        <w:t>where Commonwealth explosives are manufactured or tested; or</w:t>
      </w:r>
    </w:p>
    <w:p w14:paraId="089D4CD7" w14:textId="77777777" w:rsidR="0009370D" w:rsidRPr="00824B04" w:rsidRDefault="0009370D" w:rsidP="0009370D">
      <w:pPr>
        <w:pStyle w:val="paragraph"/>
      </w:pPr>
      <w:r w:rsidRPr="00824B04">
        <w:tab/>
        <w:t>(b)</w:t>
      </w:r>
      <w:r w:rsidRPr="00824B04">
        <w:tab/>
        <w:t>the transport, between a place that is occupied or controlled by a part of the Defence Force and a nearby place where a particular training exercise is being, or is to be, carried out by that part of the Defence Force, on a vehicle forming part of the equipment of that part of the Defence Force, of authorised Commonwealth explosives to be used for the purposes of that training exercise.</w:t>
      </w:r>
    </w:p>
    <w:p w14:paraId="159983C3" w14:textId="77777777" w:rsidR="0009370D" w:rsidRPr="00824B04" w:rsidRDefault="0009370D" w:rsidP="0009370D">
      <w:pPr>
        <w:pStyle w:val="notetext"/>
      </w:pPr>
      <w:r w:rsidRPr="00824B04">
        <w:t>Note</w:t>
      </w:r>
      <w:r w:rsidR="00B17CB8" w:rsidRPr="00824B04">
        <w:t xml:space="preserve"> 1</w:t>
      </w:r>
      <w:r w:rsidRPr="00824B04">
        <w:t>:</w:t>
      </w:r>
      <w:r w:rsidRPr="00824B04">
        <w:tab/>
      </w:r>
      <w:r w:rsidR="00091D2A" w:rsidRPr="00824B04">
        <w:t>In relation to</w:t>
      </w:r>
      <w:r w:rsidR="004F11A0" w:rsidRPr="00824B04">
        <w:t xml:space="preserve"> </w:t>
      </w:r>
      <w:r w:rsidR="00580258" w:rsidRPr="00824B04">
        <w:t>subparagraph (</w:t>
      </w:r>
      <w:r w:rsidR="004F11A0" w:rsidRPr="00824B04">
        <w:t>1)(a)(ii)</w:t>
      </w:r>
      <w:r w:rsidR="008174D5" w:rsidRPr="00824B04">
        <w:t xml:space="preserve">: </w:t>
      </w:r>
      <w:r w:rsidRPr="00824B04">
        <w:t xml:space="preserve">Part XI of the </w:t>
      </w:r>
      <w:r w:rsidRPr="00824B04">
        <w:rPr>
          <w:i/>
        </w:rPr>
        <w:t>Defence Force Regulations 1952</w:t>
      </w:r>
      <w:r w:rsidRPr="00824B04">
        <w:t xml:space="preserve"> continues to apply in relation to a defence practice area that was, immediately before the repeal of those regulations, declared under </w:t>
      </w:r>
      <w:proofErr w:type="spellStart"/>
      <w:r w:rsidRPr="00824B04">
        <w:t>subregulation</w:t>
      </w:r>
      <w:proofErr w:type="spellEnd"/>
      <w:r w:rsidRPr="00824B04">
        <w:t xml:space="preserve"> 49(1) of those regulations (see </w:t>
      </w:r>
      <w:r w:rsidR="00B275D5" w:rsidRPr="00824B04">
        <w:t>sub</w:t>
      </w:r>
      <w:r w:rsidR="00241478" w:rsidRPr="00824B04">
        <w:t>section</w:t>
      </w:r>
      <w:r w:rsidR="00B275D5" w:rsidRPr="00824B04">
        <w:t> 8</w:t>
      </w:r>
      <w:r w:rsidRPr="00824B04">
        <w:t xml:space="preserve">7(3) of the </w:t>
      </w:r>
      <w:r w:rsidRPr="00824B04">
        <w:rPr>
          <w:i/>
        </w:rPr>
        <w:t xml:space="preserve">Defence </w:t>
      </w:r>
      <w:r w:rsidR="007651AF" w:rsidRPr="00824B04">
        <w:rPr>
          <w:i/>
        </w:rPr>
        <w:t>Regulation 2</w:t>
      </w:r>
      <w:r w:rsidRPr="00824B04">
        <w:rPr>
          <w:i/>
        </w:rPr>
        <w:t>016</w:t>
      </w:r>
      <w:r w:rsidRPr="00824B04">
        <w:t>).</w:t>
      </w:r>
    </w:p>
    <w:p w14:paraId="3D609766" w14:textId="77777777" w:rsidR="00B17CB8" w:rsidRPr="00824B04" w:rsidRDefault="00B17CB8" w:rsidP="0009370D">
      <w:pPr>
        <w:pStyle w:val="notetext"/>
      </w:pPr>
      <w:r w:rsidRPr="00824B04">
        <w:t>Note 2:</w:t>
      </w:r>
      <w:r w:rsidRPr="00824B04">
        <w:tab/>
        <w:t>There are also exemptions included in the AE Code (see Chapter 1 of the AE Code).</w:t>
      </w:r>
    </w:p>
    <w:p w14:paraId="3D9CE970" w14:textId="77777777" w:rsidR="0009370D" w:rsidRPr="00824B04" w:rsidRDefault="0009370D" w:rsidP="0009370D">
      <w:pPr>
        <w:pStyle w:val="subsection"/>
      </w:pPr>
      <w:r w:rsidRPr="00824B04">
        <w:tab/>
        <w:t>(2)</w:t>
      </w:r>
      <w:r w:rsidRPr="00824B04">
        <w:tab/>
        <w:t xml:space="preserve">In this </w:t>
      </w:r>
      <w:r w:rsidR="00221B7B" w:rsidRPr="00824B04">
        <w:t>section</w:t>
      </w:r>
      <w:r w:rsidRPr="00824B04">
        <w:t>:</w:t>
      </w:r>
    </w:p>
    <w:p w14:paraId="47B44F2B" w14:textId="77777777" w:rsidR="00221B7B" w:rsidRPr="00824B04" w:rsidRDefault="0009370D" w:rsidP="0009370D">
      <w:pPr>
        <w:pStyle w:val="Definition"/>
      </w:pPr>
      <w:r w:rsidRPr="00824B04">
        <w:rPr>
          <w:b/>
          <w:i/>
        </w:rPr>
        <w:t xml:space="preserve">Defence Force </w:t>
      </w:r>
      <w:r w:rsidRPr="00824B04">
        <w:t>means</w:t>
      </w:r>
      <w:r w:rsidR="00221B7B" w:rsidRPr="00824B04">
        <w:t>:</w:t>
      </w:r>
    </w:p>
    <w:p w14:paraId="6B4E0A85" w14:textId="77777777" w:rsidR="00221B7B" w:rsidRPr="00824B04" w:rsidRDefault="00221B7B" w:rsidP="00221B7B">
      <w:pPr>
        <w:pStyle w:val="paragraph"/>
      </w:pPr>
      <w:r w:rsidRPr="00824B04">
        <w:tab/>
        <w:t>(a)</w:t>
      </w:r>
      <w:r w:rsidRPr="00824B04">
        <w:tab/>
      </w:r>
      <w:r w:rsidR="0009370D" w:rsidRPr="00824B04">
        <w:t>the Australian Defence Force</w:t>
      </w:r>
      <w:r w:rsidRPr="00824B04">
        <w:t>; or</w:t>
      </w:r>
    </w:p>
    <w:p w14:paraId="2BF691B8" w14:textId="77777777" w:rsidR="00180746" w:rsidRPr="00824B04" w:rsidRDefault="00221B7B" w:rsidP="00A72895">
      <w:pPr>
        <w:pStyle w:val="paragraph"/>
      </w:pPr>
      <w:r w:rsidRPr="00824B04">
        <w:tab/>
        <w:t>(b)</w:t>
      </w:r>
      <w:r w:rsidRPr="00824B04">
        <w:tab/>
      </w:r>
      <w:r w:rsidR="0009370D" w:rsidRPr="00824B04">
        <w:t>the naval, military or air forces of another country that are in the Commonwealth or a</w:t>
      </w:r>
      <w:r w:rsidR="005B475E" w:rsidRPr="00824B04">
        <w:t xml:space="preserve"> </w:t>
      </w:r>
      <w:r w:rsidR="0009370D" w:rsidRPr="00824B04">
        <w:t>Territory</w:t>
      </w:r>
      <w:r w:rsidR="00631BE6" w:rsidRPr="00824B04">
        <w:t>,</w:t>
      </w:r>
      <w:r w:rsidR="0009370D" w:rsidRPr="00824B04">
        <w:t xml:space="preserve"> with the approval of the Commonwealth for the purposes of, or a purpose related to, the defence of the Commonwealth.</w:t>
      </w:r>
    </w:p>
    <w:p w14:paraId="2D410DFF" w14:textId="77777777" w:rsidR="00F558F7" w:rsidRPr="00824B04" w:rsidRDefault="008B59D2" w:rsidP="008C2AD0">
      <w:pPr>
        <w:pStyle w:val="ActHead3"/>
        <w:pageBreakBefore/>
      </w:pPr>
      <w:bookmarkStart w:id="22" w:name="_Toc170463333"/>
      <w:r w:rsidRPr="00824B04">
        <w:rPr>
          <w:rStyle w:val="CharDivNo"/>
        </w:rPr>
        <w:lastRenderedPageBreak/>
        <w:t>Division </w:t>
      </w:r>
      <w:r w:rsidR="00F83D16" w:rsidRPr="00824B04">
        <w:rPr>
          <w:rStyle w:val="CharDivNo"/>
        </w:rPr>
        <w:t>3</w:t>
      </w:r>
      <w:r w:rsidR="004C282C" w:rsidRPr="00824B04">
        <w:t>—</w:t>
      </w:r>
      <w:r w:rsidR="00D80155" w:rsidRPr="00824B04">
        <w:rPr>
          <w:rStyle w:val="CharDivText"/>
        </w:rPr>
        <w:t>T</w:t>
      </w:r>
      <w:r w:rsidR="00C25BF4" w:rsidRPr="00824B04">
        <w:rPr>
          <w:rStyle w:val="CharDivText"/>
        </w:rPr>
        <w:t>ransport of explosives under a</w:t>
      </w:r>
      <w:r w:rsidR="00E604AA" w:rsidRPr="00824B04">
        <w:rPr>
          <w:rStyle w:val="CharDivText"/>
        </w:rPr>
        <w:t>pproved security plan</w:t>
      </w:r>
      <w:r w:rsidR="00AD68D7" w:rsidRPr="00824B04">
        <w:rPr>
          <w:rStyle w:val="CharDivText"/>
        </w:rPr>
        <w:t>s</w:t>
      </w:r>
      <w:bookmarkEnd w:id="22"/>
    </w:p>
    <w:p w14:paraId="33C2B46C" w14:textId="77777777" w:rsidR="004C282C" w:rsidRPr="00824B04" w:rsidRDefault="001436C7" w:rsidP="004C282C">
      <w:pPr>
        <w:pStyle w:val="ActHead5"/>
      </w:pPr>
      <w:bookmarkStart w:id="23" w:name="_Toc170463334"/>
      <w:r w:rsidRPr="00824B04">
        <w:rPr>
          <w:rStyle w:val="CharSectno"/>
        </w:rPr>
        <w:t>16</w:t>
      </w:r>
      <w:r w:rsidR="004C282C" w:rsidRPr="00824B04">
        <w:t xml:space="preserve">  </w:t>
      </w:r>
      <w:r w:rsidR="00410154" w:rsidRPr="00824B04">
        <w:t>A</w:t>
      </w:r>
      <w:r w:rsidR="004C282C" w:rsidRPr="00824B04">
        <w:t>pproved security plan</w:t>
      </w:r>
      <w:r w:rsidR="00410154" w:rsidRPr="00824B04">
        <w:t xml:space="preserve"> required </w:t>
      </w:r>
      <w:r w:rsidR="006B695F" w:rsidRPr="00824B04">
        <w:t>for regulated Commonwealth agencies</w:t>
      </w:r>
      <w:bookmarkEnd w:id="23"/>
    </w:p>
    <w:p w14:paraId="4F906355" w14:textId="77777777" w:rsidR="0081292E" w:rsidRPr="00824B04" w:rsidRDefault="0020509F" w:rsidP="004C282C">
      <w:pPr>
        <w:pStyle w:val="subsection"/>
      </w:pPr>
      <w:r w:rsidRPr="00824B04">
        <w:tab/>
        <w:t>(1)</w:t>
      </w:r>
      <w:r w:rsidRPr="00824B04">
        <w:tab/>
      </w:r>
      <w:r w:rsidR="00F558F7" w:rsidRPr="00824B04">
        <w:t xml:space="preserve">A </w:t>
      </w:r>
      <w:r w:rsidR="00FC6D7F" w:rsidRPr="00824B04">
        <w:t xml:space="preserve">regulated </w:t>
      </w:r>
      <w:r w:rsidR="00F558F7" w:rsidRPr="00824B04">
        <w:t>Commonwealth agency</w:t>
      </w:r>
      <w:r w:rsidR="00E02923" w:rsidRPr="00824B04">
        <w:t xml:space="preserve"> that transports, or will transport, Commonwealth explosives by road or rail must ensure that an approved security plan </w:t>
      </w:r>
      <w:r w:rsidR="0081292E" w:rsidRPr="00824B04">
        <w:t>for the regulated Commonwealth agency:</w:t>
      </w:r>
    </w:p>
    <w:p w14:paraId="713F9462" w14:textId="77777777" w:rsidR="0081292E" w:rsidRPr="00824B04" w:rsidRDefault="0081292E" w:rsidP="0081292E">
      <w:pPr>
        <w:pStyle w:val="paragraph"/>
      </w:pPr>
      <w:r w:rsidRPr="00824B04">
        <w:tab/>
        <w:t>(a)</w:t>
      </w:r>
      <w:r w:rsidRPr="00824B04">
        <w:tab/>
        <w:t>is in place; and</w:t>
      </w:r>
    </w:p>
    <w:p w14:paraId="2F2C7202" w14:textId="77777777" w:rsidR="0020509F" w:rsidRPr="00824B04" w:rsidRDefault="0081292E" w:rsidP="0081292E">
      <w:pPr>
        <w:pStyle w:val="paragraph"/>
      </w:pPr>
      <w:r w:rsidRPr="00824B04">
        <w:tab/>
        <w:t>(b)</w:t>
      </w:r>
      <w:r w:rsidRPr="00824B04">
        <w:tab/>
        <w:t>covers the transport of the Commonwealth explosives.</w:t>
      </w:r>
    </w:p>
    <w:p w14:paraId="571E7AAF" w14:textId="77777777" w:rsidR="005679B0" w:rsidRPr="00824B04" w:rsidRDefault="005679B0" w:rsidP="005679B0">
      <w:pPr>
        <w:pStyle w:val="notetext"/>
      </w:pPr>
      <w:r w:rsidRPr="00824B04">
        <w:t>Note:</w:t>
      </w:r>
      <w:r w:rsidRPr="00824B04">
        <w:tab/>
        <w:t xml:space="preserve">Penalties for a failure to comply with this subsection are set by </w:t>
      </w:r>
      <w:r w:rsidR="008B59D2" w:rsidRPr="00824B04">
        <w:t>section 2</w:t>
      </w:r>
      <w:r w:rsidRPr="00824B04">
        <w:t>0 of the Act.</w:t>
      </w:r>
    </w:p>
    <w:p w14:paraId="4755821C" w14:textId="77777777" w:rsidR="00277FF7" w:rsidRPr="00824B04" w:rsidRDefault="00936159" w:rsidP="004C49DC">
      <w:pPr>
        <w:pStyle w:val="subsection"/>
      </w:pPr>
      <w:r w:rsidRPr="00824B04">
        <w:tab/>
      </w:r>
      <w:r w:rsidR="004C282C" w:rsidRPr="00824B04">
        <w:t>(</w:t>
      </w:r>
      <w:r w:rsidR="008230C6" w:rsidRPr="00824B04">
        <w:t>2</w:t>
      </w:r>
      <w:r w:rsidR="004C282C" w:rsidRPr="00824B04">
        <w:t>)</w:t>
      </w:r>
      <w:r w:rsidR="004C282C" w:rsidRPr="00824B04">
        <w:tab/>
      </w:r>
      <w:r w:rsidR="00277FF7" w:rsidRPr="00824B04">
        <w:t>The Competent Authority may approve a</w:t>
      </w:r>
      <w:r w:rsidR="004C282C" w:rsidRPr="00824B04">
        <w:t xml:space="preserve"> security plan </w:t>
      </w:r>
      <w:r w:rsidR="00B73F1E" w:rsidRPr="00824B04">
        <w:t>for</w:t>
      </w:r>
      <w:r w:rsidR="004C282C" w:rsidRPr="00824B04">
        <w:t xml:space="preserve"> a</w:t>
      </w:r>
      <w:r w:rsidR="00277FF7" w:rsidRPr="00824B04">
        <w:t xml:space="preserve"> regulated</w:t>
      </w:r>
      <w:r w:rsidR="004C282C" w:rsidRPr="00824B04">
        <w:t xml:space="preserve"> Commonwealth agency </w:t>
      </w:r>
      <w:r w:rsidR="00277FF7" w:rsidRPr="00824B04">
        <w:t>if the security plan:</w:t>
      </w:r>
    </w:p>
    <w:p w14:paraId="366D53A6" w14:textId="77777777" w:rsidR="004C282C" w:rsidRPr="00824B04" w:rsidRDefault="00277FF7" w:rsidP="00277FF7">
      <w:pPr>
        <w:pStyle w:val="paragraph"/>
      </w:pPr>
      <w:r w:rsidRPr="00824B04">
        <w:tab/>
        <w:t>(a)</w:t>
      </w:r>
      <w:r w:rsidRPr="00824B04">
        <w:tab/>
      </w:r>
      <w:r w:rsidR="004C282C" w:rsidRPr="00824B04">
        <w:t>cover</w:t>
      </w:r>
      <w:r w:rsidRPr="00824B04">
        <w:t>s</w:t>
      </w:r>
      <w:r w:rsidR="004C282C" w:rsidRPr="00824B04">
        <w:t xml:space="preserve"> the arrangements and procedures for the transport of</w:t>
      </w:r>
      <w:r w:rsidR="006842CB" w:rsidRPr="00824B04">
        <w:t xml:space="preserve"> </w:t>
      </w:r>
      <w:r w:rsidR="004C282C" w:rsidRPr="00824B04">
        <w:t>Commonwealth explosives by road or rail by or for the agency</w:t>
      </w:r>
      <w:r w:rsidR="00A64AE9" w:rsidRPr="00824B04">
        <w:t>; and</w:t>
      </w:r>
    </w:p>
    <w:p w14:paraId="1B2EDB3A" w14:textId="77777777" w:rsidR="00A64AE9" w:rsidRPr="00824B04" w:rsidRDefault="00A64AE9" w:rsidP="00A64AE9">
      <w:pPr>
        <w:pStyle w:val="paragraph"/>
      </w:pPr>
      <w:r w:rsidRPr="00824B04">
        <w:tab/>
        <w:t>(b)</w:t>
      </w:r>
      <w:r w:rsidRPr="00824B04">
        <w:tab/>
        <w:t>includes the following:</w:t>
      </w:r>
    </w:p>
    <w:p w14:paraId="6F9D0454" w14:textId="77777777" w:rsidR="004C282C" w:rsidRPr="00824B04" w:rsidRDefault="004C282C" w:rsidP="00A64AE9">
      <w:pPr>
        <w:pStyle w:val="paragraphsub"/>
      </w:pPr>
      <w:r w:rsidRPr="00824B04">
        <w:tab/>
        <w:t>(</w:t>
      </w:r>
      <w:proofErr w:type="spellStart"/>
      <w:r w:rsidR="00A64AE9" w:rsidRPr="00824B04">
        <w:t>i</w:t>
      </w:r>
      <w:proofErr w:type="spellEnd"/>
      <w:r w:rsidRPr="00824B04">
        <w:t>)</w:t>
      </w:r>
      <w:r w:rsidRPr="00824B04">
        <w:tab/>
        <w:t>a description of the measures for preventing the theft of Commonwealth explosives being transported by road or rail and for preventing unauthorised people from having access to those explosives;</w:t>
      </w:r>
    </w:p>
    <w:p w14:paraId="75BBF68F" w14:textId="77777777" w:rsidR="004C282C" w:rsidRPr="00824B04" w:rsidRDefault="004C282C" w:rsidP="00A64AE9">
      <w:pPr>
        <w:pStyle w:val="paragraphsub"/>
      </w:pPr>
      <w:r w:rsidRPr="00824B04">
        <w:tab/>
        <w:t>(</w:t>
      </w:r>
      <w:r w:rsidR="00A64AE9" w:rsidRPr="00824B04">
        <w:t>ii</w:t>
      </w:r>
      <w:r w:rsidRPr="00824B04">
        <w:t>)</w:t>
      </w:r>
      <w:r w:rsidRPr="00824B04">
        <w:tab/>
        <w:t>a statement setting out the vehicle design requirements for vehicles used to transport Commonwealth explosives, and the load securing requirements for securing and protecting those explosives;</w:t>
      </w:r>
    </w:p>
    <w:p w14:paraId="46EEC974" w14:textId="77777777" w:rsidR="004C282C" w:rsidRPr="00824B04" w:rsidRDefault="004C282C" w:rsidP="00A64AE9">
      <w:pPr>
        <w:pStyle w:val="paragraphsub"/>
      </w:pPr>
      <w:r w:rsidRPr="00824B04">
        <w:tab/>
        <w:t>(</w:t>
      </w:r>
      <w:r w:rsidR="00A64AE9" w:rsidRPr="00824B04">
        <w:t>iii</w:t>
      </w:r>
      <w:r w:rsidRPr="00824B04">
        <w:t>)</w:t>
      </w:r>
      <w:r w:rsidRPr="00824B04">
        <w:tab/>
        <w:t>a description of the arrangements for emergency communications in the event of an emergency involving those explosives;</w:t>
      </w:r>
    </w:p>
    <w:p w14:paraId="51B34A92" w14:textId="77777777" w:rsidR="004C282C" w:rsidRPr="00824B04" w:rsidRDefault="004C282C" w:rsidP="00A64AE9">
      <w:pPr>
        <w:pStyle w:val="paragraphsub"/>
      </w:pPr>
      <w:r w:rsidRPr="00824B04">
        <w:tab/>
        <w:t>(</w:t>
      </w:r>
      <w:r w:rsidR="00A64AE9" w:rsidRPr="00824B04">
        <w:t>iv</w:t>
      </w:r>
      <w:r w:rsidRPr="00824B04">
        <w:t>)</w:t>
      </w:r>
      <w:r w:rsidRPr="00824B04">
        <w:tab/>
        <w:t>a statement setting out the requirements for training for persons involved in the transport of Commonwealth explosives by road or rail;</w:t>
      </w:r>
    </w:p>
    <w:p w14:paraId="66409E4D" w14:textId="77777777" w:rsidR="004C282C" w:rsidRPr="00824B04" w:rsidRDefault="004C282C" w:rsidP="00A64AE9">
      <w:pPr>
        <w:pStyle w:val="paragraphsub"/>
      </w:pPr>
      <w:r w:rsidRPr="00824B04">
        <w:tab/>
        <w:t>(</w:t>
      </w:r>
      <w:r w:rsidR="00A64AE9" w:rsidRPr="00824B04">
        <w:t>v</w:t>
      </w:r>
      <w:r w:rsidRPr="00824B04">
        <w:t>)</w:t>
      </w:r>
      <w:r w:rsidRPr="00824B04">
        <w:tab/>
        <w:t>a statement setting out the requirements for ensuring that vehicles transporting Commonwealth explosives travel by the safest practicable route, including the procedures for planning transport routes;</w:t>
      </w:r>
    </w:p>
    <w:p w14:paraId="5805D2F4" w14:textId="77777777" w:rsidR="004C282C" w:rsidRPr="00824B04" w:rsidRDefault="004C282C" w:rsidP="00A64AE9">
      <w:pPr>
        <w:pStyle w:val="paragraphsub"/>
      </w:pPr>
      <w:r w:rsidRPr="00824B04">
        <w:tab/>
        <w:t>(</w:t>
      </w:r>
      <w:r w:rsidR="00A64AE9" w:rsidRPr="00824B04">
        <w:t>vi</w:t>
      </w:r>
      <w:r w:rsidRPr="00824B04">
        <w:t>)</w:t>
      </w:r>
      <w:r w:rsidRPr="00824B04">
        <w:tab/>
        <w:t>a statement setting out the requirements for consultation with State and Territory bodies concerned with the transport of explosives by road or rail</w:t>
      </w:r>
      <w:r w:rsidR="00A64AE9" w:rsidRPr="00824B04">
        <w:t>;</w:t>
      </w:r>
    </w:p>
    <w:p w14:paraId="727AB274" w14:textId="77777777" w:rsidR="00A64AE9" w:rsidRPr="00824B04" w:rsidRDefault="00A64AE9" w:rsidP="00A64AE9">
      <w:pPr>
        <w:pStyle w:val="paragraphsub"/>
      </w:pPr>
      <w:r w:rsidRPr="00824B04">
        <w:tab/>
        <w:t>(vii)</w:t>
      </w:r>
      <w:r w:rsidRPr="00824B04">
        <w:tab/>
        <w:t xml:space="preserve">any other matter the Competent Authority </w:t>
      </w:r>
      <w:r w:rsidR="00663EC0" w:rsidRPr="00824B04">
        <w:t>considers necessary for the transport.</w:t>
      </w:r>
    </w:p>
    <w:p w14:paraId="681D07D8" w14:textId="77777777" w:rsidR="004C282C" w:rsidRPr="00824B04" w:rsidRDefault="001436C7" w:rsidP="004C282C">
      <w:pPr>
        <w:pStyle w:val="ActHead5"/>
      </w:pPr>
      <w:bookmarkStart w:id="24" w:name="_Toc170463335"/>
      <w:r w:rsidRPr="00824B04">
        <w:rPr>
          <w:rStyle w:val="CharSectno"/>
        </w:rPr>
        <w:t>17</w:t>
      </w:r>
      <w:r w:rsidR="004C282C" w:rsidRPr="00824B04">
        <w:t xml:space="preserve">  Compliance with approved security plans</w:t>
      </w:r>
      <w:bookmarkEnd w:id="24"/>
    </w:p>
    <w:p w14:paraId="3CC2E57A" w14:textId="77777777" w:rsidR="004C282C" w:rsidRPr="00824B04" w:rsidRDefault="004C282C" w:rsidP="004C282C">
      <w:pPr>
        <w:pStyle w:val="subsection"/>
      </w:pPr>
      <w:r w:rsidRPr="00824B04">
        <w:tab/>
        <w:t>(1)</w:t>
      </w:r>
      <w:r w:rsidRPr="00824B04">
        <w:tab/>
        <w:t xml:space="preserve">A person who transports authorised Commonwealth explosives for a </w:t>
      </w:r>
      <w:r w:rsidR="00B73F1E" w:rsidRPr="00824B04">
        <w:t xml:space="preserve">regulated </w:t>
      </w:r>
      <w:r w:rsidRPr="00824B04">
        <w:t>Commonwealth agency must comply with any requirement of an approved security plan</w:t>
      </w:r>
      <w:r w:rsidR="00B73F1E" w:rsidRPr="00824B04">
        <w:t xml:space="preserve"> for the regulated Commonwealth agency</w:t>
      </w:r>
      <w:r w:rsidRPr="00824B04">
        <w:t xml:space="preserve"> that:</w:t>
      </w:r>
    </w:p>
    <w:p w14:paraId="1BEA4467" w14:textId="77777777" w:rsidR="004C282C" w:rsidRPr="00824B04" w:rsidRDefault="004C282C" w:rsidP="004C282C">
      <w:pPr>
        <w:pStyle w:val="paragraph"/>
      </w:pPr>
      <w:r w:rsidRPr="00824B04">
        <w:tab/>
        <w:t>(a)</w:t>
      </w:r>
      <w:r w:rsidRPr="00824B04">
        <w:tab/>
        <w:t>is applicable to the person; and</w:t>
      </w:r>
    </w:p>
    <w:p w14:paraId="054ED70C" w14:textId="77777777" w:rsidR="004C282C" w:rsidRPr="00824B04" w:rsidRDefault="004C282C" w:rsidP="004C282C">
      <w:pPr>
        <w:pStyle w:val="paragraph"/>
      </w:pPr>
      <w:r w:rsidRPr="00824B04">
        <w:tab/>
        <w:t>(b)</w:t>
      </w:r>
      <w:r w:rsidRPr="00824B04">
        <w:tab/>
        <w:t>the agency has expressly made known to the person.</w:t>
      </w:r>
    </w:p>
    <w:p w14:paraId="3C9CA09B" w14:textId="77777777" w:rsidR="005F5366" w:rsidRPr="00824B04" w:rsidRDefault="005F5366" w:rsidP="005F5366">
      <w:pPr>
        <w:pStyle w:val="notetext"/>
      </w:pPr>
      <w:r w:rsidRPr="00824B04">
        <w:t>Note:</w:t>
      </w:r>
      <w:r w:rsidRPr="00824B04">
        <w:tab/>
        <w:t xml:space="preserve">Penalties for a failure to comply with this subsection are set by </w:t>
      </w:r>
      <w:r w:rsidR="008B59D2" w:rsidRPr="00824B04">
        <w:t>section 2</w:t>
      </w:r>
      <w:r w:rsidRPr="00824B04">
        <w:t>0 of the Act.</w:t>
      </w:r>
    </w:p>
    <w:p w14:paraId="5FCA2B74" w14:textId="77777777" w:rsidR="004C282C" w:rsidRPr="00824B04" w:rsidRDefault="004C282C" w:rsidP="004C282C">
      <w:pPr>
        <w:pStyle w:val="subsection"/>
      </w:pPr>
      <w:r w:rsidRPr="00824B04">
        <w:tab/>
        <w:t>(2)</w:t>
      </w:r>
      <w:r w:rsidRPr="00824B04">
        <w:tab/>
        <w:t xml:space="preserve">However, if there is an inconsistency between a requirement of an approved security plan, as it applies to the person, and a requirement of </w:t>
      </w:r>
      <w:r w:rsidR="00A8047A" w:rsidRPr="00824B04">
        <w:t>this instrument</w:t>
      </w:r>
      <w:r w:rsidRPr="00824B04">
        <w:t xml:space="preserve">, or of an order made under </w:t>
      </w:r>
      <w:r w:rsidR="00C5351E" w:rsidRPr="00824B04">
        <w:t>paragraph 4</w:t>
      </w:r>
      <w:r w:rsidR="001436C7" w:rsidRPr="00824B04">
        <w:t>4</w:t>
      </w:r>
      <w:r w:rsidR="00CF619F" w:rsidRPr="00824B04">
        <w:t>(1)</w:t>
      </w:r>
      <w:r w:rsidR="003E600D" w:rsidRPr="00824B04">
        <w:t>(a) or (b)</w:t>
      </w:r>
      <w:r w:rsidRPr="00824B04">
        <w:t xml:space="preserve">, as it applies to the person, the </w:t>
      </w:r>
      <w:r w:rsidRPr="00824B04">
        <w:lastRenderedPageBreak/>
        <w:t>requirement of th</w:t>
      </w:r>
      <w:r w:rsidR="00A8047A" w:rsidRPr="00824B04">
        <w:t>is instrument</w:t>
      </w:r>
      <w:r w:rsidRPr="00824B04">
        <w:t>, or of the order, prevails to the extent of the inconsistency.</w:t>
      </w:r>
    </w:p>
    <w:p w14:paraId="69F1F67A" w14:textId="77777777" w:rsidR="002549D8" w:rsidRPr="00824B04" w:rsidRDefault="002549D8" w:rsidP="005B00A4">
      <w:pPr>
        <w:pStyle w:val="ActHead3"/>
        <w:pageBreakBefore/>
      </w:pPr>
      <w:bookmarkStart w:id="25" w:name="_Toc170463336"/>
      <w:r w:rsidRPr="00824B04">
        <w:rPr>
          <w:rStyle w:val="CharDivNo"/>
        </w:rPr>
        <w:lastRenderedPageBreak/>
        <w:t>Division </w:t>
      </w:r>
      <w:r w:rsidR="00B042DF" w:rsidRPr="00824B04">
        <w:rPr>
          <w:rStyle w:val="CharDivNo"/>
        </w:rPr>
        <w:t>4</w:t>
      </w:r>
      <w:r w:rsidRPr="00824B04">
        <w:t>—</w:t>
      </w:r>
      <w:r w:rsidRPr="00824B04">
        <w:rPr>
          <w:rStyle w:val="CharDivText"/>
        </w:rPr>
        <w:t>Exemptions relating to transport of explosives</w:t>
      </w:r>
      <w:bookmarkEnd w:id="25"/>
    </w:p>
    <w:p w14:paraId="02899166" w14:textId="77777777" w:rsidR="002549D8" w:rsidRPr="00824B04" w:rsidRDefault="001436C7" w:rsidP="002549D8">
      <w:pPr>
        <w:pStyle w:val="ActHead5"/>
      </w:pPr>
      <w:bookmarkStart w:id="26" w:name="_Toc170463337"/>
      <w:r w:rsidRPr="00824B04">
        <w:rPr>
          <w:rStyle w:val="CharSectno"/>
        </w:rPr>
        <w:t>18</w:t>
      </w:r>
      <w:r w:rsidR="002549D8" w:rsidRPr="00824B04">
        <w:t xml:space="preserve">  Appl</w:t>
      </w:r>
      <w:r w:rsidR="00E94FFE" w:rsidRPr="00824B04">
        <w:t>ying for</w:t>
      </w:r>
      <w:r w:rsidR="002549D8" w:rsidRPr="00824B04">
        <w:t xml:space="preserve"> exemption</w:t>
      </w:r>
      <w:r w:rsidR="003E600D" w:rsidRPr="00824B04">
        <w:t>s</w:t>
      </w:r>
      <w:bookmarkEnd w:id="26"/>
    </w:p>
    <w:p w14:paraId="729B98D2" w14:textId="77777777" w:rsidR="002549D8" w:rsidRPr="00824B04" w:rsidRDefault="002549D8" w:rsidP="002549D8">
      <w:pPr>
        <w:pStyle w:val="subsection"/>
      </w:pPr>
      <w:r w:rsidRPr="00824B04">
        <w:tab/>
        <w:t>(1)</w:t>
      </w:r>
      <w:r w:rsidRPr="00824B04">
        <w:tab/>
        <w:t xml:space="preserve">A person (the </w:t>
      </w:r>
      <w:r w:rsidRPr="00824B04">
        <w:rPr>
          <w:b/>
          <w:i/>
        </w:rPr>
        <w:t>applicant</w:t>
      </w:r>
      <w:r w:rsidRPr="00824B04">
        <w:t>) may apply to the Competent Authority for an exemption from compliance with a provision of</w:t>
      </w:r>
      <w:r w:rsidR="000F6320" w:rsidRPr="00824B04">
        <w:t xml:space="preserve"> </w:t>
      </w:r>
      <w:r w:rsidR="00D96415" w:rsidRPr="00824B04">
        <w:t>this instrument</w:t>
      </w:r>
      <w:r w:rsidR="00AA420D" w:rsidRPr="00824B04">
        <w:t>.</w:t>
      </w:r>
    </w:p>
    <w:p w14:paraId="564294EB" w14:textId="77777777" w:rsidR="002549D8" w:rsidRPr="00824B04" w:rsidRDefault="002549D8" w:rsidP="002549D8">
      <w:pPr>
        <w:pStyle w:val="subsection"/>
      </w:pPr>
      <w:r w:rsidRPr="00824B04">
        <w:tab/>
        <w:t>(2)</w:t>
      </w:r>
      <w:r w:rsidRPr="00824B04">
        <w:tab/>
        <w:t>An application for an exemption must:</w:t>
      </w:r>
    </w:p>
    <w:p w14:paraId="5357EA0A" w14:textId="77777777" w:rsidR="002549D8" w:rsidRPr="00824B04" w:rsidRDefault="002549D8" w:rsidP="002549D8">
      <w:pPr>
        <w:pStyle w:val="paragraph"/>
      </w:pPr>
      <w:r w:rsidRPr="00824B04">
        <w:tab/>
        <w:t>(a)</w:t>
      </w:r>
      <w:r w:rsidRPr="00824B04">
        <w:tab/>
        <w:t>be in writing; and</w:t>
      </w:r>
    </w:p>
    <w:p w14:paraId="6EBA6655" w14:textId="77777777" w:rsidR="002549D8" w:rsidRPr="00824B04" w:rsidRDefault="002549D8" w:rsidP="002549D8">
      <w:pPr>
        <w:pStyle w:val="paragraph"/>
      </w:pPr>
      <w:r w:rsidRPr="00824B04">
        <w:tab/>
        <w:t>(b)</w:t>
      </w:r>
      <w:r w:rsidRPr="00824B04">
        <w:tab/>
        <w:t>state the applicant’s name and address; and</w:t>
      </w:r>
    </w:p>
    <w:p w14:paraId="7FF4CFE0" w14:textId="77777777" w:rsidR="002549D8" w:rsidRPr="00824B04" w:rsidRDefault="002549D8" w:rsidP="002549D8">
      <w:pPr>
        <w:pStyle w:val="paragraph"/>
      </w:pPr>
      <w:r w:rsidRPr="00824B04">
        <w:tab/>
        <w:t>(c)</w:t>
      </w:r>
      <w:r w:rsidRPr="00824B04">
        <w:tab/>
        <w:t xml:space="preserve">specify the provision, or each provision, of </w:t>
      </w:r>
      <w:r w:rsidR="00C50FCA" w:rsidRPr="00824B04">
        <w:t>th</w:t>
      </w:r>
      <w:r w:rsidR="000444D6" w:rsidRPr="00824B04">
        <w:t>is instrumen</w:t>
      </w:r>
      <w:r w:rsidR="0017268C" w:rsidRPr="00824B04">
        <w:t>t</w:t>
      </w:r>
      <w:r w:rsidRPr="00824B04">
        <w:t>, and, if applicable, of the AE Code, to which the application relates; and</w:t>
      </w:r>
    </w:p>
    <w:p w14:paraId="6DD7AE19" w14:textId="77777777" w:rsidR="002549D8" w:rsidRPr="00824B04" w:rsidRDefault="002549D8" w:rsidP="002549D8">
      <w:pPr>
        <w:pStyle w:val="paragraph"/>
      </w:pPr>
      <w:r w:rsidRPr="00824B04">
        <w:tab/>
        <w:t>(d)</w:t>
      </w:r>
      <w:r w:rsidRPr="00824B04">
        <w:tab/>
        <w:t>state whether the exemption is to apply only to a specified person or to every person included in a class of persons who might otherwise be bound to comply with the provision or provisions; and</w:t>
      </w:r>
    </w:p>
    <w:p w14:paraId="063EDA50" w14:textId="77777777" w:rsidR="002549D8" w:rsidRPr="00824B04" w:rsidRDefault="002549D8" w:rsidP="002549D8">
      <w:pPr>
        <w:pStyle w:val="paragraph"/>
      </w:pPr>
      <w:r w:rsidRPr="00824B04">
        <w:tab/>
        <w:t>(e)</w:t>
      </w:r>
      <w:r w:rsidRPr="00824B04">
        <w:tab/>
        <w:t>specify the Commonwealth explosives to which the application relates; and</w:t>
      </w:r>
    </w:p>
    <w:p w14:paraId="3449F1D3" w14:textId="77777777" w:rsidR="002549D8" w:rsidRPr="00824B04" w:rsidRDefault="002549D8" w:rsidP="002549D8">
      <w:pPr>
        <w:pStyle w:val="paragraph"/>
      </w:pPr>
      <w:r w:rsidRPr="00824B04">
        <w:tab/>
        <w:t>(f)</w:t>
      </w:r>
      <w:r w:rsidRPr="00824B04">
        <w:tab/>
        <w:t>state the reasons why the applicant thinks that the exemption is necessary; and</w:t>
      </w:r>
    </w:p>
    <w:p w14:paraId="13CEFF6D" w14:textId="77777777" w:rsidR="002549D8" w:rsidRPr="00824B04" w:rsidRDefault="002549D8" w:rsidP="002549D8">
      <w:pPr>
        <w:pStyle w:val="paragraph"/>
      </w:pPr>
      <w:r w:rsidRPr="00824B04">
        <w:tab/>
        <w:t>(g)</w:t>
      </w:r>
      <w:r w:rsidRPr="00824B04">
        <w:tab/>
        <w:t>set out details of how the applicant proposes to ensure that the explosives will be handled in a way that:</w:t>
      </w:r>
    </w:p>
    <w:p w14:paraId="0729AEED" w14:textId="77777777" w:rsidR="002549D8" w:rsidRPr="00824B04" w:rsidRDefault="002549D8" w:rsidP="002549D8">
      <w:pPr>
        <w:pStyle w:val="paragraphsub"/>
      </w:pPr>
      <w:r w:rsidRPr="00824B04">
        <w:tab/>
        <w:t>(</w:t>
      </w:r>
      <w:proofErr w:type="spellStart"/>
      <w:r w:rsidRPr="00824B04">
        <w:t>i</w:t>
      </w:r>
      <w:proofErr w:type="spellEnd"/>
      <w:r w:rsidRPr="00824B04">
        <w:t>)</w:t>
      </w:r>
      <w:r w:rsidRPr="00824B04">
        <w:tab/>
        <w:t>reduces as far as practicable the risks of personal injury, property damage and environmental harm arising from the transport of Commonwealth explosives by road or rail</w:t>
      </w:r>
      <w:r w:rsidR="006C19C3" w:rsidRPr="00824B04">
        <w:t>,</w:t>
      </w:r>
      <w:r w:rsidRPr="00824B04">
        <w:t xml:space="preserve"> and the risk of that transport endangering public safety; and</w:t>
      </w:r>
    </w:p>
    <w:p w14:paraId="652861A8" w14:textId="77777777" w:rsidR="002549D8" w:rsidRPr="00824B04" w:rsidRDefault="002549D8" w:rsidP="002549D8">
      <w:pPr>
        <w:pStyle w:val="paragraphsub"/>
      </w:pPr>
      <w:r w:rsidRPr="00824B04">
        <w:tab/>
        <w:t>(ii)</w:t>
      </w:r>
      <w:r w:rsidRPr="00824B04">
        <w:tab/>
      </w:r>
      <w:r w:rsidR="00C3283F" w:rsidRPr="00824B04">
        <w:t>ensures the security of the</w:t>
      </w:r>
      <w:r w:rsidR="00F1065A" w:rsidRPr="00824B04">
        <w:t xml:space="preserve"> explosives</w:t>
      </w:r>
      <w:r w:rsidRPr="00824B04">
        <w:t>; and</w:t>
      </w:r>
    </w:p>
    <w:p w14:paraId="593766A3" w14:textId="77777777" w:rsidR="002549D8" w:rsidRPr="00824B04" w:rsidRDefault="002549D8" w:rsidP="002549D8">
      <w:pPr>
        <w:pStyle w:val="paragraph"/>
      </w:pPr>
      <w:r w:rsidRPr="00824B04">
        <w:tab/>
        <w:t>(h)</w:t>
      </w:r>
      <w:r w:rsidRPr="00824B04">
        <w:tab/>
        <w:t>if the application relates to a vehicle, equipment, packaging or other thing—describe the thing; and</w:t>
      </w:r>
    </w:p>
    <w:p w14:paraId="3D6957AD" w14:textId="77777777" w:rsidR="002549D8" w:rsidRPr="00824B04" w:rsidRDefault="002549D8" w:rsidP="002549D8">
      <w:pPr>
        <w:pStyle w:val="paragraph"/>
      </w:pPr>
      <w:r w:rsidRPr="00824B04">
        <w:tab/>
        <w:t>(</w:t>
      </w:r>
      <w:proofErr w:type="spellStart"/>
      <w:r w:rsidRPr="00824B04">
        <w:t>i</w:t>
      </w:r>
      <w:proofErr w:type="spellEnd"/>
      <w:r w:rsidRPr="00824B04">
        <w:t>)</w:t>
      </w:r>
      <w:r w:rsidRPr="00824B04">
        <w:tab/>
        <w:t>state the period for which the exemption is sought; and</w:t>
      </w:r>
    </w:p>
    <w:p w14:paraId="0D55673C" w14:textId="77777777" w:rsidR="002549D8" w:rsidRPr="00824B04" w:rsidRDefault="002549D8" w:rsidP="002549D8">
      <w:pPr>
        <w:pStyle w:val="paragraph"/>
      </w:pPr>
      <w:r w:rsidRPr="00824B04">
        <w:tab/>
        <w:t>(j)</w:t>
      </w:r>
      <w:r w:rsidRPr="00824B04">
        <w:tab/>
        <w:t>state the geographical area within which the exemption is to apply.</w:t>
      </w:r>
    </w:p>
    <w:p w14:paraId="2066250B" w14:textId="77777777" w:rsidR="002549D8" w:rsidRPr="00824B04" w:rsidRDefault="002549D8" w:rsidP="002549D8">
      <w:pPr>
        <w:pStyle w:val="subsection"/>
      </w:pPr>
      <w:r w:rsidRPr="00824B04">
        <w:tab/>
        <w:t>(3)</w:t>
      </w:r>
      <w:r w:rsidRPr="00824B04">
        <w:tab/>
        <w:t>If the Competent Authority reasonably needs more information or another document to allow the Competent Authority to consider the application, the Competent Authority may, in writing, request the applicant to give the Competent Authority the information, the document or a copy of the document, specified in the request.</w:t>
      </w:r>
    </w:p>
    <w:p w14:paraId="09A7CBF9" w14:textId="77777777" w:rsidR="002549D8" w:rsidRPr="00824B04" w:rsidRDefault="002549D8" w:rsidP="002549D8">
      <w:pPr>
        <w:pStyle w:val="subsection"/>
      </w:pPr>
      <w:r w:rsidRPr="00824B04">
        <w:tab/>
        <w:t>(4)</w:t>
      </w:r>
      <w:r w:rsidRPr="00824B04">
        <w:tab/>
        <w:t>If the Competent Authority asks for informatio</w:t>
      </w:r>
      <w:r w:rsidR="00D242DF" w:rsidRPr="00824B04">
        <w:t>n</w:t>
      </w:r>
      <w:r w:rsidRPr="00824B04">
        <w:t xml:space="preserve"> or a document</w:t>
      </w:r>
      <w:r w:rsidR="006F1DF0" w:rsidRPr="00824B04">
        <w:t xml:space="preserve"> </w:t>
      </w:r>
      <w:r w:rsidRPr="00824B04">
        <w:t xml:space="preserve">under </w:t>
      </w:r>
      <w:r w:rsidR="00240D90" w:rsidRPr="00824B04">
        <w:t>subsection (</w:t>
      </w:r>
      <w:r w:rsidRPr="00824B04">
        <w:t xml:space="preserve">3), the Competent Authority </w:t>
      </w:r>
      <w:r w:rsidR="00A46537" w:rsidRPr="00824B04">
        <w:t xml:space="preserve">may choose to not </w:t>
      </w:r>
      <w:r w:rsidR="00A96C71" w:rsidRPr="00824B04">
        <w:t>consider the application further</w:t>
      </w:r>
      <w:r w:rsidR="00A46537" w:rsidRPr="00824B04">
        <w:t xml:space="preserve"> </w:t>
      </w:r>
      <w:r w:rsidRPr="00824B04">
        <w:t xml:space="preserve">until the applicant gives to the Competent Authority the information, </w:t>
      </w:r>
      <w:r w:rsidR="0001549F" w:rsidRPr="00824B04">
        <w:t xml:space="preserve">the </w:t>
      </w:r>
      <w:r w:rsidRPr="00824B04">
        <w:t>document or</w:t>
      </w:r>
      <w:r w:rsidR="0001549F" w:rsidRPr="00824B04">
        <w:t xml:space="preserve"> a</w:t>
      </w:r>
      <w:r w:rsidRPr="00824B04">
        <w:t xml:space="preserve"> copy.</w:t>
      </w:r>
    </w:p>
    <w:p w14:paraId="0548D30C" w14:textId="77777777" w:rsidR="002549D8" w:rsidRPr="00824B04" w:rsidRDefault="001436C7" w:rsidP="002549D8">
      <w:pPr>
        <w:pStyle w:val="ActHead5"/>
      </w:pPr>
      <w:bookmarkStart w:id="27" w:name="_Toc170463338"/>
      <w:r w:rsidRPr="00824B04">
        <w:rPr>
          <w:rStyle w:val="CharSectno"/>
        </w:rPr>
        <w:t>19</w:t>
      </w:r>
      <w:r w:rsidR="002549D8" w:rsidRPr="00824B04">
        <w:t xml:space="preserve">  Competent Authority may grant exemptions</w:t>
      </w:r>
      <w:bookmarkEnd w:id="27"/>
    </w:p>
    <w:p w14:paraId="55D520B1" w14:textId="77777777" w:rsidR="002549D8" w:rsidRPr="00824B04" w:rsidRDefault="002549D8" w:rsidP="002549D8">
      <w:pPr>
        <w:pStyle w:val="subsection"/>
      </w:pPr>
      <w:r w:rsidRPr="00824B04">
        <w:tab/>
        <w:t>(1)</w:t>
      </w:r>
      <w:r w:rsidRPr="00824B04">
        <w:tab/>
        <w:t>The Competent Authority may</w:t>
      </w:r>
      <w:r w:rsidR="00BB5625" w:rsidRPr="00824B04">
        <w:t xml:space="preserve">, </w:t>
      </w:r>
      <w:r w:rsidRPr="00824B04">
        <w:t xml:space="preserve">on application, grant an exemption from compliance with a provision of </w:t>
      </w:r>
      <w:r w:rsidR="001A03F4" w:rsidRPr="00824B04">
        <w:t>th</w:t>
      </w:r>
      <w:r w:rsidR="000444D6" w:rsidRPr="00824B04">
        <w:t>is instrument</w:t>
      </w:r>
      <w:r w:rsidRPr="00824B04">
        <w:t>.</w:t>
      </w:r>
    </w:p>
    <w:p w14:paraId="6C53FC04" w14:textId="77777777" w:rsidR="00A24FBE" w:rsidRPr="00824B04" w:rsidRDefault="00A24FBE" w:rsidP="00A24FBE">
      <w:pPr>
        <w:pStyle w:val="subsection"/>
      </w:pPr>
      <w:r w:rsidRPr="00824B04">
        <w:tab/>
        <w:t>(2)</w:t>
      </w:r>
      <w:r w:rsidRPr="00824B04">
        <w:tab/>
        <w:t xml:space="preserve">An exemption granted under </w:t>
      </w:r>
      <w:r w:rsidR="00240D90" w:rsidRPr="00824B04">
        <w:t>subsection (</w:t>
      </w:r>
      <w:r w:rsidRPr="00824B04">
        <w:t>1) must be in writing.</w:t>
      </w:r>
    </w:p>
    <w:p w14:paraId="6CF81DDC" w14:textId="77777777" w:rsidR="002549D8" w:rsidRPr="00824B04" w:rsidRDefault="002549D8" w:rsidP="002549D8">
      <w:pPr>
        <w:pStyle w:val="subsection"/>
      </w:pPr>
      <w:r w:rsidRPr="00824B04">
        <w:tab/>
        <w:t>(</w:t>
      </w:r>
      <w:r w:rsidR="002653B0" w:rsidRPr="00824B04">
        <w:t>3</w:t>
      </w:r>
      <w:r w:rsidRPr="00824B04">
        <w:t>)</w:t>
      </w:r>
      <w:r w:rsidRPr="00824B04">
        <w:tab/>
        <w:t>In deciding whether to grant the exemption, the Competent Authority must have regard to whether the explosives proposed to be covered by the exemption will be handled in a way that:</w:t>
      </w:r>
    </w:p>
    <w:p w14:paraId="059E7D3B" w14:textId="77777777" w:rsidR="002549D8" w:rsidRPr="00824B04" w:rsidRDefault="002549D8" w:rsidP="002549D8">
      <w:pPr>
        <w:pStyle w:val="paragraph"/>
      </w:pPr>
      <w:r w:rsidRPr="00824B04">
        <w:lastRenderedPageBreak/>
        <w:tab/>
        <w:t>(a)</w:t>
      </w:r>
      <w:r w:rsidRPr="00824B04">
        <w:tab/>
        <w:t>reduces as far as practicable:</w:t>
      </w:r>
    </w:p>
    <w:p w14:paraId="2C370119" w14:textId="77777777" w:rsidR="002549D8" w:rsidRPr="00824B04" w:rsidRDefault="002549D8" w:rsidP="002549D8">
      <w:pPr>
        <w:pStyle w:val="paragraphsub"/>
      </w:pPr>
      <w:r w:rsidRPr="00824B04">
        <w:tab/>
        <w:t>(</w:t>
      </w:r>
      <w:proofErr w:type="spellStart"/>
      <w:r w:rsidRPr="00824B04">
        <w:t>i</w:t>
      </w:r>
      <w:proofErr w:type="spellEnd"/>
      <w:r w:rsidRPr="00824B04">
        <w:t>)</w:t>
      </w:r>
      <w:r w:rsidRPr="00824B04">
        <w:tab/>
        <w:t xml:space="preserve">the risks of personal injury, property damage and environmental harm arising from the transport of </w:t>
      </w:r>
      <w:r w:rsidR="006C19C3" w:rsidRPr="00824B04">
        <w:t>the</w:t>
      </w:r>
      <w:r w:rsidRPr="00824B04">
        <w:t xml:space="preserve"> explosives by road or rail; and</w:t>
      </w:r>
    </w:p>
    <w:p w14:paraId="5531EC8E" w14:textId="77777777" w:rsidR="002549D8" w:rsidRPr="00824B04" w:rsidRDefault="002549D8" w:rsidP="002549D8">
      <w:pPr>
        <w:pStyle w:val="paragraphsub"/>
      </w:pPr>
      <w:r w:rsidRPr="00824B04">
        <w:tab/>
        <w:t>(ii)</w:t>
      </w:r>
      <w:r w:rsidRPr="00824B04">
        <w:tab/>
        <w:t>the risk of that transport endangering public safety; and</w:t>
      </w:r>
    </w:p>
    <w:p w14:paraId="774CE092" w14:textId="77777777" w:rsidR="002549D8" w:rsidRPr="00824B04" w:rsidRDefault="002549D8" w:rsidP="002549D8">
      <w:pPr>
        <w:pStyle w:val="paragraph"/>
      </w:pPr>
      <w:r w:rsidRPr="00824B04">
        <w:tab/>
        <w:t>(b)</w:t>
      </w:r>
      <w:r w:rsidRPr="00824B04">
        <w:tab/>
        <w:t xml:space="preserve">ensures the security of </w:t>
      </w:r>
      <w:r w:rsidR="00C3283F" w:rsidRPr="00824B04">
        <w:t xml:space="preserve">the </w:t>
      </w:r>
      <w:r w:rsidR="00F1065A" w:rsidRPr="00824B04">
        <w:t>explosives</w:t>
      </w:r>
      <w:r w:rsidRPr="00824B04">
        <w:t>.</w:t>
      </w:r>
    </w:p>
    <w:p w14:paraId="5B502AD6" w14:textId="77777777" w:rsidR="002549D8" w:rsidRPr="00824B04" w:rsidRDefault="002549D8" w:rsidP="002549D8">
      <w:pPr>
        <w:pStyle w:val="subsection"/>
      </w:pPr>
      <w:r w:rsidRPr="00824B04">
        <w:tab/>
        <w:t>(</w:t>
      </w:r>
      <w:r w:rsidR="00E94FFE" w:rsidRPr="00824B04">
        <w:t>4</w:t>
      </w:r>
      <w:r w:rsidRPr="00824B04">
        <w:t>)</w:t>
      </w:r>
      <w:r w:rsidRPr="00824B04">
        <w:tab/>
        <w:t>An exemption may be granted subject to the applicant, specified person or each person in the class</w:t>
      </w:r>
      <w:r w:rsidR="00F1065A" w:rsidRPr="00824B04">
        <w:t>,</w:t>
      </w:r>
      <w:r w:rsidRPr="00824B04">
        <w:t xml:space="preserve"> complying with any conditions that the Competent Authority considers necessary to:</w:t>
      </w:r>
    </w:p>
    <w:p w14:paraId="2D883FDD" w14:textId="77777777" w:rsidR="002549D8" w:rsidRPr="00824B04" w:rsidRDefault="002549D8" w:rsidP="002549D8">
      <w:pPr>
        <w:pStyle w:val="paragraph"/>
      </w:pPr>
      <w:r w:rsidRPr="00824B04">
        <w:tab/>
        <w:t>(a)</w:t>
      </w:r>
      <w:r w:rsidRPr="00824B04">
        <w:tab/>
        <w:t>reduce as far as practicable:</w:t>
      </w:r>
    </w:p>
    <w:p w14:paraId="5F06DF3E" w14:textId="77777777" w:rsidR="002549D8" w:rsidRPr="00824B04" w:rsidRDefault="002549D8" w:rsidP="002549D8">
      <w:pPr>
        <w:pStyle w:val="paragraphsub"/>
      </w:pPr>
      <w:r w:rsidRPr="00824B04">
        <w:tab/>
        <w:t>(</w:t>
      </w:r>
      <w:proofErr w:type="spellStart"/>
      <w:r w:rsidRPr="00824B04">
        <w:t>i</w:t>
      </w:r>
      <w:proofErr w:type="spellEnd"/>
      <w:r w:rsidRPr="00824B04">
        <w:t>)</w:t>
      </w:r>
      <w:r w:rsidRPr="00824B04">
        <w:tab/>
        <w:t>the risks of personal injury, property damage and environmental harm arising from the transport of the explosives to which the exemption relates by road or rail; and</w:t>
      </w:r>
    </w:p>
    <w:p w14:paraId="25AF4530" w14:textId="77777777" w:rsidR="002549D8" w:rsidRPr="00824B04" w:rsidRDefault="002549D8" w:rsidP="002549D8">
      <w:pPr>
        <w:pStyle w:val="paragraphsub"/>
      </w:pPr>
      <w:r w:rsidRPr="00824B04">
        <w:tab/>
        <w:t>(ii)</w:t>
      </w:r>
      <w:r w:rsidRPr="00824B04">
        <w:tab/>
        <w:t>the risk of that transport endangering public safety; and</w:t>
      </w:r>
    </w:p>
    <w:p w14:paraId="4FFDF8FC" w14:textId="77777777" w:rsidR="002549D8" w:rsidRPr="00824B04" w:rsidRDefault="002549D8" w:rsidP="002549D8">
      <w:pPr>
        <w:pStyle w:val="paragraph"/>
      </w:pPr>
      <w:r w:rsidRPr="00824B04">
        <w:tab/>
        <w:t>(b)</w:t>
      </w:r>
      <w:r w:rsidRPr="00824B04">
        <w:tab/>
        <w:t xml:space="preserve">ensure the security of </w:t>
      </w:r>
      <w:r w:rsidR="006C19C3" w:rsidRPr="00824B04">
        <w:t>the</w:t>
      </w:r>
      <w:r w:rsidRPr="00824B04">
        <w:t xml:space="preserve"> explosives.</w:t>
      </w:r>
    </w:p>
    <w:p w14:paraId="5D45BE60" w14:textId="77777777" w:rsidR="002549D8" w:rsidRPr="00824B04" w:rsidRDefault="002549D8" w:rsidP="002549D8">
      <w:pPr>
        <w:pStyle w:val="subsection"/>
      </w:pPr>
      <w:r w:rsidRPr="00824B04">
        <w:tab/>
        <w:t>(</w:t>
      </w:r>
      <w:r w:rsidR="00A559C7" w:rsidRPr="00824B04">
        <w:t>5</w:t>
      </w:r>
      <w:r w:rsidRPr="00824B04">
        <w:t>)</w:t>
      </w:r>
      <w:r w:rsidRPr="00824B04">
        <w:tab/>
        <w:t>After making a decision on an application for an exemption, the Competent Authority must notify the applicant in writing as soon as practicable of the decision.</w:t>
      </w:r>
    </w:p>
    <w:p w14:paraId="57A5591E" w14:textId="77777777" w:rsidR="002549D8" w:rsidRPr="00824B04" w:rsidRDefault="002549D8" w:rsidP="002549D8">
      <w:pPr>
        <w:pStyle w:val="subsection"/>
      </w:pPr>
      <w:r w:rsidRPr="00824B04">
        <w:tab/>
        <w:t>(</w:t>
      </w:r>
      <w:r w:rsidR="005C75E8" w:rsidRPr="00824B04">
        <w:t>6</w:t>
      </w:r>
      <w:r w:rsidRPr="00824B04">
        <w:t>)</w:t>
      </w:r>
      <w:r w:rsidRPr="00824B04">
        <w:tab/>
        <w:t>If the decision is to grant the exemption, the notice</w:t>
      </w:r>
      <w:r w:rsidR="00131D78" w:rsidRPr="00824B04">
        <w:t xml:space="preserve"> must</w:t>
      </w:r>
      <w:r w:rsidRPr="00824B04">
        <w:t>:</w:t>
      </w:r>
    </w:p>
    <w:p w14:paraId="7D58B17B" w14:textId="77777777" w:rsidR="002549D8" w:rsidRPr="00824B04" w:rsidRDefault="002549D8" w:rsidP="002549D8">
      <w:pPr>
        <w:pStyle w:val="paragraph"/>
      </w:pPr>
      <w:r w:rsidRPr="00824B04">
        <w:tab/>
        <w:t>(a)</w:t>
      </w:r>
      <w:r w:rsidRPr="00824B04">
        <w:tab/>
        <w:t>state the provision</w:t>
      </w:r>
      <w:r w:rsidR="002950E6" w:rsidRPr="00824B04">
        <w:t xml:space="preserve"> that is,</w:t>
      </w:r>
      <w:r w:rsidRPr="00824B04">
        <w:t xml:space="preserve"> or provisions</w:t>
      </w:r>
      <w:r w:rsidR="002950E6" w:rsidRPr="00824B04">
        <w:t xml:space="preserve"> that are,</w:t>
      </w:r>
      <w:r w:rsidRPr="00824B04">
        <w:t xml:space="preserve"> the subject of the exemption; and</w:t>
      </w:r>
    </w:p>
    <w:p w14:paraId="4E9DB6DD" w14:textId="77777777" w:rsidR="002549D8" w:rsidRPr="00824B04" w:rsidRDefault="002549D8" w:rsidP="002549D8">
      <w:pPr>
        <w:pStyle w:val="paragraph"/>
      </w:pPr>
      <w:r w:rsidRPr="00824B04">
        <w:tab/>
        <w:t>(b)</w:t>
      </w:r>
      <w:r w:rsidRPr="00824B04">
        <w:tab/>
        <w:t>specify the person, or describe the class of persons, to whom the exemption applies; and</w:t>
      </w:r>
    </w:p>
    <w:p w14:paraId="137D2DCE" w14:textId="77777777" w:rsidR="002549D8" w:rsidRPr="00824B04" w:rsidRDefault="002549D8" w:rsidP="002549D8">
      <w:pPr>
        <w:pStyle w:val="paragraph"/>
      </w:pPr>
      <w:r w:rsidRPr="00824B04">
        <w:tab/>
        <w:t>(c)</w:t>
      </w:r>
      <w:r w:rsidRPr="00824B04">
        <w:tab/>
        <w:t>specify the Commonwealth explosives to which the exemption relates; and</w:t>
      </w:r>
    </w:p>
    <w:p w14:paraId="4452F26E" w14:textId="77777777" w:rsidR="002549D8" w:rsidRPr="00824B04" w:rsidRDefault="002549D8" w:rsidP="002549D8">
      <w:pPr>
        <w:pStyle w:val="paragraph"/>
      </w:pPr>
      <w:r w:rsidRPr="00824B04">
        <w:tab/>
        <w:t>(d)</w:t>
      </w:r>
      <w:r w:rsidRPr="00824B04">
        <w:tab/>
        <w:t>state the period (which must be no longer than 12 months) for which the exemption is to remain in force; and</w:t>
      </w:r>
    </w:p>
    <w:p w14:paraId="3D2B4173" w14:textId="77777777" w:rsidR="002549D8" w:rsidRPr="00824B04" w:rsidRDefault="002549D8" w:rsidP="002549D8">
      <w:pPr>
        <w:pStyle w:val="paragraph"/>
      </w:pPr>
      <w:r w:rsidRPr="00824B04">
        <w:tab/>
        <w:t>(e)</w:t>
      </w:r>
      <w:r w:rsidRPr="00824B04">
        <w:tab/>
        <w:t xml:space="preserve">state any conditions considered necessary under </w:t>
      </w:r>
      <w:r w:rsidR="00240D90" w:rsidRPr="00824B04">
        <w:t>subsection (</w:t>
      </w:r>
      <w:r w:rsidR="007A31A6" w:rsidRPr="00824B04">
        <w:t>4</w:t>
      </w:r>
      <w:r w:rsidRPr="00824B04">
        <w:t>) to which the exemption is subject; and</w:t>
      </w:r>
    </w:p>
    <w:p w14:paraId="3F7AAA4D" w14:textId="77777777" w:rsidR="002549D8" w:rsidRPr="00824B04" w:rsidRDefault="002549D8" w:rsidP="002549D8">
      <w:pPr>
        <w:pStyle w:val="paragraph"/>
      </w:pPr>
      <w:r w:rsidRPr="00824B04">
        <w:tab/>
        <w:t>(f)</w:t>
      </w:r>
      <w:r w:rsidRPr="00824B04">
        <w:tab/>
        <w:t>specify the geographical area to which the exemption applies.</w:t>
      </w:r>
    </w:p>
    <w:p w14:paraId="5FE4176C" w14:textId="77777777" w:rsidR="002549D8" w:rsidRPr="00824B04" w:rsidRDefault="002549D8" w:rsidP="002549D8">
      <w:pPr>
        <w:pStyle w:val="subsection"/>
      </w:pPr>
      <w:r w:rsidRPr="00824B04">
        <w:tab/>
        <w:t>(</w:t>
      </w:r>
      <w:r w:rsidR="007A31A6" w:rsidRPr="00824B04">
        <w:t>7</w:t>
      </w:r>
      <w:r w:rsidRPr="00824B04">
        <w:t>)</w:t>
      </w:r>
      <w:r w:rsidRPr="00824B04">
        <w:tab/>
        <w:t>Unless sooner revoked, the exemption remains in force for the period specified in the notice.</w:t>
      </w:r>
    </w:p>
    <w:p w14:paraId="4C638711" w14:textId="77777777" w:rsidR="002549D8" w:rsidRPr="00824B04" w:rsidRDefault="002549D8" w:rsidP="002549D8">
      <w:pPr>
        <w:pStyle w:val="subsection"/>
      </w:pPr>
      <w:r w:rsidRPr="00824B04">
        <w:tab/>
        <w:t>(</w:t>
      </w:r>
      <w:r w:rsidR="007A31A6" w:rsidRPr="00824B04">
        <w:t>8</w:t>
      </w:r>
      <w:r w:rsidRPr="00824B04">
        <w:t>)</w:t>
      </w:r>
      <w:r w:rsidRPr="00824B04">
        <w:tab/>
        <w:t>The Competent Authority must retain a copy of each exemption granted for 2 years after the day it was given.</w:t>
      </w:r>
    </w:p>
    <w:p w14:paraId="2141622E" w14:textId="77777777" w:rsidR="004422EC" w:rsidRPr="00824B04" w:rsidRDefault="004422EC" w:rsidP="004422EC">
      <w:pPr>
        <w:pStyle w:val="notetext"/>
      </w:pPr>
      <w:r w:rsidRPr="00824B04">
        <w:t>Note:</w:t>
      </w:r>
      <w:r w:rsidRPr="00824B04">
        <w:tab/>
        <w:t xml:space="preserve">Penalties for a failure to comply with this subsection are set by </w:t>
      </w:r>
      <w:r w:rsidR="008B59D2" w:rsidRPr="00824B04">
        <w:t>section 2</w:t>
      </w:r>
      <w:r w:rsidRPr="00824B04">
        <w:t>0 of the Act.</w:t>
      </w:r>
    </w:p>
    <w:p w14:paraId="646051BB" w14:textId="77777777" w:rsidR="002549D8" w:rsidRPr="00824B04" w:rsidRDefault="001436C7" w:rsidP="002549D8">
      <w:pPr>
        <w:pStyle w:val="ActHead5"/>
      </w:pPr>
      <w:bookmarkStart w:id="28" w:name="_Toc170463339"/>
      <w:r w:rsidRPr="00824B04">
        <w:rPr>
          <w:rStyle w:val="CharSectno"/>
        </w:rPr>
        <w:t>20</w:t>
      </w:r>
      <w:r w:rsidR="002549D8" w:rsidRPr="00824B04">
        <w:t xml:space="preserve">  AAT review of decisions</w:t>
      </w:r>
      <w:bookmarkEnd w:id="28"/>
    </w:p>
    <w:p w14:paraId="5E2C56A9" w14:textId="77777777" w:rsidR="002549D8" w:rsidRPr="00824B04" w:rsidRDefault="002549D8" w:rsidP="002549D8">
      <w:pPr>
        <w:pStyle w:val="subsection"/>
      </w:pPr>
      <w:r w:rsidRPr="00824B04">
        <w:tab/>
      </w:r>
      <w:r w:rsidRPr="00824B04">
        <w:tab/>
        <w:t>Application</w:t>
      </w:r>
      <w:r w:rsidR="00D838E4" w:rsidRPr="00824B04">
        <w:t>s</w:t>
      </w:r>
      <w:r w:rsidRPr="00824B04">
        <w:t xml:space="preserve"> may be made to the Administrative Appeals Tribunal for review of decision</w:t>
      </w:r>
      <w:r w:rsidR="00D838E4" w:rsidRPr="00824B04">
        <w:t>s</w:t>
      </w:r>
      <w:r w:rsidRPr="00824B04">
        <w:t xml:space="preserve"> of the Competent Authority under </w:t>
      </w:r>
      <w:r w:rsidR="00C5351E" w:rsidRPr="00824B04">
        <w:t>section 1</w:t>
      </w:r>
      <w:r w:rsidR="001436C7" w:rsidRPr="00824B04">
        <w:t>9</w:t>
      </w:r>
      <w:r w:rsidRPr="00824B04">
        <w:t xml:space="preserve"> to:</w:t>
      </w:r>
    </w:p>
    <w:p w14:paraId="66058887" w14:textId="77777777" w:rsidR="002549D8" w:rsidRPr="00824B04" w:rsidRDefault="002549D8" w:rsidP="002549D8">
      <w:pPr>
        <w:pStyle w:val="paragraph"/>
      </w:pPr>
      <w:r w:rsidRPr="00824B04">
        <w:tab/>
        <w:t>(a)</w:t>
      </w:r>
      <w:r w:rsidRPr="00824B04">
        <w:tab/>
        <w:t>refuse to grant an exemption; or</w:t>
      </w:r>
    </w:p>
    <w:p w14:paraId="7D539BE6" w14:textId="77777777" w:rsidR="002549D8" w:rsidRPr="00824B04" w:rsidRDefault="002549D8" w:rsidP="002549D8">
      <w:pPr>
        <w:pStyle w:val="paragraph"/>
      </w:pPr>
      <w:r w:rsidRPr="00824B04">
        <w:tab/>
        <w:t>(b)</w:t>
      </w:r>
      <w:r w:rsidRPr="00824B04">
        <w:tab/>
        <w:t>grant an exemption on terms not sought by the applicant; or</w:t>
      </w:r>
    </w:p>
    <w:p w14:paraId="0B90C63C" w14:textId="77777777" w:rsidR="002549D8" w:rsidRPr="00824B04" w:rsidRDefault="002549D8" w:rsidP="002549D8">
      <w:pPr>
        <w:pStyle w:val="paragraph"/>
      </w:pPr>
      <w:r w:rsidRPr="00824B04">
        <w:tab/>
        <w:t>(c)</w:t>
      </w:r>
      <w:r w:rsidRPr="00824B04">
        <w:tab/>
        <w:t>impose a particular condition on an exemption.</w:t>
      </w:r>
    </w:p>
    <w:p w14:paraId="4C11B30E" w14:textId="77777777" w:rsidR="002549D8" w:rsidRPr="00824B04" w:rsidRDefault="001436C7" w:rsidP="002549D8">
      <w:pPr>
        <w:pStyle w:val="ActHead5"/>
      </w:pPr>
      <w:bookmarkStart w:id="29" w:name="_Toc170463340"/>
      <w:r w:rsidRPr="00824B04">
        <w:rPr>
          <w:rStyle w:val="CharSectno"/>
        </w:rPr>
        <w:lastRenderedPageBreak/>
        <w:t>21</w:t>
      </w:r>
      <w:r w:rsidR="002549D8" w:rsidRPr="00824B04">
        <w:t xml:space="preserve">  Carriage of exemptions in vehicles</w:t>
      </w:r>
      <w:bookmarkEnd w:id="29"/>
    </w:p>
    <w:p w14:paraId="5E0EEFF5" w14:textId="77777777" w:rsidR="002549D8" w:rsidRPr="00824B04" w:rsidRDefault="002549D8" w:rsidP="002549D8">
      <w:pPr>
        <w:pStyle w:val="subsection"/>
      </w:pPr>
      <w:r w:rsidRPr="00824B04">
        <w:tab/>
      </w:r>
      <w:r w:rsidRPr="00824B04">
        <w:tab/>
        <w:t>Sections 8.2.8 and 8.2.9 of Chapter 8 of the AE Code apply in relation to an exemption</w:t>
      </w:r>
      <w:r w:rsidR="003E600D" w:rsidRPr="00824B04">
        <w:t xml:space="preserve"> granted</w:t>
      </w:r>
      <w:r w:rsidRPr="00824B04">
        <w:t xml:space="preserve"> under </w:t>
      </w:r>
      <w:r w:rsidR="00C5351E" w:rsidRPr="00824B04">
        <w:t>section 1</w:t>
      </w:r>
      <w:r w:rsidR="001436C7" w:rsidRPr="00824B04">
        <w:t>9</w:t>
      </w:r>
      <w:r w:rsidRPr="00824B04">
        <w:t xml:space="preserve"> as if a reference to </w:t>
      </w:r>
      <w:r w:rsidR="00F27770" w:rsidRPr="00824B04">
        <w:t>transport documentation</w:t>
      </w:r>
      <w:r w:rsidRPr="00824B04">
        <w:t xml:space="preserve"> in those sections were a reference to the exemption.</w:t>
      </w:r>
    </w:p>
    <w:p w14:paraId="7E187BF7" w14:textId="77777777" w:rsidR="00435D9A" w:rsidRPr="00824B04" w:rsidRDefault="00435D9A" w:rsidP="005B00A4">
      <w:pPr>
        <w:pStyle w:val="ActHead3"/>
        <w:pageBreakBefore/>
      </w:pPr>
      <w:bookmarkStart w:id="30" w:name="_Toc170463341"/>
      <w:r w:rsidRPr="00824B04">
        <w:rPr>
          <w:rStyle w:val="CharDivNo"/>
        </w:rPr>
        <w:lastRenderedPageBreak/>
        <w:t>Division </w:t>
      </w:r>
      <w:r w:rsidR="00B042DF" w:rsidRPr="00824B04">
        <w:rPr>
          <w:rStyle w:val="CharDivNo"/>
        </w:rPr>
        <w:t>5</w:t>
      </w:r>
      <w:r w:rsidRPr="00824B04">
        <w:t>—</w:t>
      </w:r>
      <w:r w:rsidRPr="00824B04">
        <w:rPr>
          <w:rStyle w:val="CharDivText"/>
        </w:rPr>
        <w:t>Containers previously containing Commonwealth explosives</w:t>
      </w:r>
      <w:bookmarkEnd w:id="30"/>
    </w:p>
    <w:p w14:paraId="0C58BD80" w14:textId="77777777" w:rsidR="00435D9A" w:rsidRPr="00824B04" w:rsidRDefault="001436C7" w:rsidP="00435D9A">
      <w:pPr>
        <w:pStyle w:val="ActHead5"/>
      </w:pPr>
      <w:bookmarkStart w:id="31" w:name="_Toc170463342"/>
      <w:r w:rsidRPr="00824B04">
        <w:rPr>
          <w:rStyle w:val="CharSectno"/>
        </w:rPr>
        <w:t>22</w:t>
      </w:r>
      <w:r w:rsidR="00435D9A" w:rsidRPr="00824B04">
        <w:t xml:space="preserve">  Certification that containers are free from explosives</w:t>
      </w:r>
      <w:bookmarkEnd w:id="31"/>
    </w:p>
    <w:p w14:paraId="436A9A43" w14:textId="77777777" w:rsidR="00435D9A" w:rsidRPr="00824B04" w:rsidRDefault="00435D9A" w:rsidP="00435D9A">
      <w:pPr>
        <w:pStyle w:val="subsection"/>
      </w:pPr>
      <w:r w:rsidRPr="00824B04">
        <w:tab/>
        <w:t>(1)</w:t>
      </w:r>
      <w:r w:rsidRPr="00824B04">
        <w:tab/>
        <w:t>If:</w:t>
      </w:r>
    </w:p>
    <w:p w14:paraId="6BACD01B" w14:textId="77777777" w:rsidR="00435D9A" w:rsidRPr="00824B04" w:rsidRDefault="00435D9A" w:rsidP="00435D9A">
      <w:pPr>
        <w:pStyle w:val="paragraph"/>
      </w:pPr>
      <w:r w:rsidRPr="00824B04">
        <w:tab/>
        <w:t>(a)</w:t>
      </w:r>
      <w:r w:rsidRPr="00824B04">
        <w:tab/>
        <w:t>a consignor consigns a container that previously contained Commonwealth explosives; and</w:t>
      </w:r>
    </w:p>
    <w:p w14:paraId="5FB89EDB" w14:textId="77777777" w:rsidR="00435D9A" w:rsidRPr="00824B04" w:rsidRDefault="00435D9A" w:rsidP="00435D9A">
      <w:pPr>
        <w:pStyle w:val="paragraph"/>
      </w:pPr>
      <w:r w:rsidRPr="00824B04">
        <w:tab/>
        <w:t>(b)</w:t>
      </w:r>
      <w:r w:rsidRPr="00824B04">
        <w:tab/>
        <w:t>the container is free from explosives;</w:t>
      </w:r>
    </w:p>
    <w:p w14:paraId="48B32BEC" w14:textId="77777777" w:rsidR="00435D9A" w:rsidRPr="00824B04" w:rsidRDefault="00435D9A" w:rsidP="00435D9A">
      <w:pPr>
        <w:pStyle w:val="subsection2"/>
      </w:pPr>
      <w:r w:rsidRPr="00824B04">
        <w:t>the consignor must certify that the container is free from explosives.</w:t>
      </w:r>
    </w:p>
    <w:p w14:paraId="1CA8D9F3" w14:textId="77777777" w:rsidR="00435D9A" w:rsidRPr="00824B04" w:rsidRDefault="00435D9A" w:rsidP="00435D9A">
      <w:pPr>
        <w:pStyle w:val="subsection"/>
      </w:pPr>
      <w:r w:rsidRPr="00824B04">
        <w:tab/>
        <w:t>(2)</w:t>
      </w:r>
      <w:r w:rsidRPr="00824B04">
        <w:tab/>
        <w:t>If the consignor certifies a container as free from explosives, the consignor must remove from the container, deface or cover, any label or marking that specifies a classification code or United Nations number.</w:t>
      </w:r>
    </w:p>
    <w:p w14:paraId="14BDF142" w14:textId="77777777" w:rsidR="00435D9A" w:rsidRPr="00824B04" w:rsidRDefault="00435D9A" w:rsidP="00435D9A">
      <w:pPr>
        <w:pStyle w:val="subsection"/>
      </w:pPr>
      <w:r w:rsidRPr="00824B04">
        <w:tab/>
        <w:t>(3)</w:t>
      </w:r>
      <w:r w:rsidRPr="00824B04">
        <w:tab/>
        <w:t xml:space="preserve">If a container or package that has contained Commonwealth explosives, or purports to have contained Commonwealth explosives, has not been certified in accordance with </w:t>
      </w:r>
      <w:r w:rsidR="00240D90" w:rsidRPr="00824B04">
        <w:t>subsection (</w:t>
      </w:r>
      <w:r w:rsidRPr="00824B04">
        <w:t>1), a person must not cause any label affixed to, or marking on, the container or package specifying a classification code or United Nations number to be defaced or obscured.</w:t>
      </w:r>
    </w:p>
    <w:p w14:paraId="55DD2A5F" w14:textId="77777777" w:rsidR="00435D9A" w:rsidRPr="00824B04" w:rsidRDefault="00435D9A" w:rsidP="00435D9A">
      <w:pPr>
        <w:pStyle w:val="subsection"/>
      </w:pPr>
      <w:r w:rsidRPr="00824B04">
        <w:tab/>
        <w:t>(4)</w:t>
      </w:r>
      <w:r w:rsidRPr="00824B04">
        <w:tab/>
        <w:t xml:space="preserve">If a container or package that has contained Commonwealth explosives, or purports to have contained Commonwealth explosives, has not been certified as free from explosives in accordance with </w:t>
      </w:r>
      <w:r w:rsidR="00240D90" w:rsidRPr="00824B04">
        <w:t>subsection (</w:t>
      </w:r>
      <w:r w:rsidRPr="00824B04">
        <w:t>1), a person must handle the package or container as if it contains explosives.</w:t>
      </w:r>
    </w:p>
    <w:p w14:paraId="20AF5D99" w14:textId="77777777" w:rsidR="00435D9A" w:rsidRPr="00824B04" w:rsidRDefault="00435D9A" w:rsidP="00435D9A">
      <w:pPr>
        <w:pStyle w:val="notetext"/>
      </w:pPr>
      <w:r w:rsidRPr="00824B04">
        <w:t>Note:</w:t>
      </w:r>
      <w:r w:rsidRPr="00824B04">
        <w:tab/>
        <w:t xml:space="preserve">Penalties for a failure to comply with </w:t>
      </w:r>
      <w:r w:rsidR="00240D90" w:rsidRPr="00824B04">
        <w:t>subsection (</w:t>
      </w:r>
      <w:r w:rsidRPr="00824B04">
        <w:t xml:space="preserve">1), (2), (3) or (4) </w:t>
      </w:r>
      <w:r w:rsidR="00826C73" w:rsidRPr="00824B04">
        <w:t xml:space="preserve">of this section </w:t>
      </w:r>
      <w:r w:rsidRPr="00824B04">
        <w:t>are set by section 20 of the Act.</w:t>
      </w:r>
    </w:p>
    <w:p w14:paraId="02A67D52" w14:textId="77777777" w:rsidR="00435D9A" w:rsidRPr="00824B04" w:rsidRDefault="00435D9A" w:rsidP="00435D9A">
      <w:pPr>
        <w:pStyle w:val="subsection"/>
      </w:pPr>
      <w:r w:rsidRPr="00824B04">
        <w:tab/>
        <w:t>(5)</w:t>
      </w:r>
      <w:r w:rsidRPr="00824B04">
        <w:tab/>
        <w:t>In this section:</w:t>
      </w:r>
    </w:p>
    <w:p w14:paraId="482251E2" w14:textId="77777777" w:rsidR="00435D9A" w:rsidRPr="00824B04" w:rsidRDefault="00435D9A" w:rsidP="00422AC9">
      <w:pPr>
        <w:pStyle w:val="Definition"/>
      </w:pPr>
      <w:r w:rsidRPr="00824B04">
        <w:rPr>
          <w:b/>
          <w:i/>
        </w:rPr>
        <w:t>classification code</w:t>
      </w:r>
      <w:r w:rsidRPr="00824B04">
        <w:t xml:space="preserve"> has the meaning given by the AE Code</w:t>
      </w:r>
      <w:r w:rsidR="00614361" w:rsidRPr="00824B04">
        <w:t>.</w:t>
      </w:r>
    </w:p>
    <w:p w14:paraId="67AC338D" w14:textId="77777777" w:rsidR="00435D9A" w:rsidRPr="00824B04" w:rsidRDefault="00435D9A" w:rsidP="00422AC9">
      <w:pPr>
        <w:pStyle w:val="Definition"/>
      </w:pPr>
      <w:r w:rsidRPr="00824B04">
        <w:rPr>
          <w:b/>
          <w:i/>
        </w:rPr>
        <w:t>consignor</w:t>
      </w:r>
      <w:r w:rsidRPr="00824B04">
        <w:t xml:space="preserve"> has the meaning given by the AE Code</w:t>
      </w:r>
      <w:r w:rsidR="00614361" w:rsidRPr="00824B04">
        <w:t>.</w:t>
      </w:r>
    </w:p>
    <w:p w14:paraId="5442A102" w14:textId="77777777" w:rsidR="00435D9A" w:rsidRPr="00824B04" w:rsidRDefault="00435D9A" w:rsidP="00422AC9">
      <w:pPr>
        <w:pStyle w:val="Definition"/>
      </w:pPr>
      <w:r w:rsidRPr="00824B04">
        <w:rPr>
          <w:b/>
          <w:i/>
        </w:rPr>
        <w:t>United Nations number</w:t>
      </w:r>
      <w:r w:rsidRPr="00824B04">
        <w:t xml:space="preserve"> has the meaning given by the AE Code.</w:t>
      </w:r>
    </w:p>
    <w:p w14:paraId="1B279C13" w14:textId="77777777" w:rsidR="00C20EF8" w:rsidRPr="00824B04" w:rsidRDefault="00C20EF8" w:rsidP="00C20EF8">
      <w:pPr>
        <w:pStyle w:val="ActHead2"/>
        <w:pageBreakBefore/>
      </w:pPr>
      <w:bookmarkStart w:id="32" w:name="_Toc170463343"/>
      <w:r w:rsidRPr="00824B04">
        <w:rPr>
          <w:rStyle w:val="CharPartNo"/>
          <w:rFonts w:eastAsiaTheme="majorEastAsia"/>
        </w:rPr>
        <w:lastRenderedPageBreak/>
        <w:t>Part </w:t>
      </w:r>
      <w:r w:rsidR="00D80155" w:rsidRPr="00824B04">
        <w:rPr>
          <w:rStyle w:val="CharPartNo"/>
          <w:rFonts w:eastAsiaTheme="majorEastAsia"/>
        </w:rPr>
        <w:t>3</w:t>
      </w:r>
      <w:r w:rsidRPr="00824B04">
        <w:t>—</w:t>
      </w:r>
      <w:r w:rsidRPr="00824B04">
        <w:rPr>
          <w:rStyle w:val="CharPartText"/>
          <w:rFonts w:eastAsiaTheme="majorEastAsia"/>
        </w:rPr>
        <w:t>Control of Commonwealth explosives areas</w:t>
      </w:r>
      <w:bookmarkEnd w:id="32"/>
    </w:p>
    <w:p w14:paraId="599B5047" w14:textId="77777777" w:rsidR="00C20EF8" w:rsidRPr="00824B04" w:rsidRDefault="00864AFB" w:rsidP="00791655">
      <w:pPr>
        <w:pStyle w:val="ActHead3"/>
      </w:pPr>
      <w:bookmarkStart w:id="33" w:name="_Toc170463344"/>
      <w:r w:rsidRPr="00824B04">
        <w:rPr>
          <w:rStyle w:val="CharDivNo"/>
        </w:rPr>
        <w:t>Division 1</w:t>
      </w:r>
      <w:r w:rsidR="00791655" w:rsidRPr="00824B04">
        <w:t>—</w:t>
      </w:r>
      <w:r w:rsidR="00791655" w:rsidRPr="00824B04">
        <w:rPr>
          <w:rStyle w:val="CharDivText"/>
        </w:rPr>
        <w:t>Preliminary</w:t>
      </w:r>
      <w:bookmarkEnd w:id="33"/>
    </w:p>
    <w:p w14:paraId="3663A9A8" w14:textId="77777777" w:rsidR="00791655" w:rsidRPr="00824B04" w:rsidRDefault="001436C7" w:rsidP="00791655">
      <w:pPr>
        <w:pStyle w:val="ActHead5"/>
      </w:pPr>
      <w:bookmarkStart w:id="34" w:name="_Toc170463345"/>
      <w:r w:rsidRPr="00824B04">
        <w:rPr>
          <w:rStyle w:val="CharSectno"/>
        </w:rPr>
        <w:t>23</w:t>
      </w:r>
      <w:r w:rsidR="008B59D2" w:rsidRPr="00824B04">
        <w:t xml:space="preserve">  Purpose of this Part</w:t>
      </w:r>
      <w:bookmarkEnd w:id="34"/>
    </w:p>
    <w:p w14:paraId="28706128" w14:textId="77777777" w:rsidR="00C406EA" w:rsidRPr="00824B04" w:rsidRDefault="00631102" w:rsidP="00C406EA">
      <w:pPr>
        <w:pStyle w:val="subsection"/>
      </w:pPr>
      <w:r w:rsidRPr="00824B04">
        <w:tab/>
      </w:r>
      <w:r w:rsidRPr="00824B04">
        <w:tab/>
      </w:r>
      <w:r w:rsidR="00791655" w:rsidRPr="00824B04">
        <w:t xml:space="preserve">This </w:t>
      </w:r>
      <w:r w:rsidR="00DF20A9" w:rsidRPr="00824B04">
        <w:t>Part i</w:t>
      </w:r>
      <w:r w:rsidR="00791655" w:rsidRPr="00824B04">
        <w:t xml:space="preserve">s made for the purposes of </w:t>
      </w:r>
      <w:r w:rsidR="00C5351E" w:rsidRPr="00824B04">
        <w:t>section 1</w:t>
      </w:r>
      <w:r w:rsidR="00FB4D8E" w:rsidRPr="00824B04">
        <w:t>4</w:t>
      </w:r>
      <w:r w:rsidR="00791655" w:rsidRPr="00824B04">
        <w:t xml:space="preserve"> of the Act.</w:t>
      </w:r>
    </w:p>
    <w:p w14:paraId="7A4C0E2D" w14:textId="77777777" w:rsidR="00791655" w:rsidRPr="00824B04" w:rsidRDefault="00864AFB" w:rsidP="005B00A4">
      <w:pPr>
        <w:pStyle w:val="ActHead3"/>
        <w:pageBreakBefore/>
      </w:pPr>
      <w:bookmarkStart w:id="35" w:name="_Toc170463346"/>
      <w:r w:rsidRPr="00824B04">
        <w:rPr>
          <w:rStyle w:val="CharDivNo"/>
        </w:rPr>
        <w:lastRenderedPageBreak/>
        <w:t>Division 2</w:t>
      </w:r>
      <w:r w:rsidR="00FB4D8E" w:rsidRPr="00824B04">
        <w:t>—</w:t>
      </w:r>
      <w:r w:rsidR="00246071" w:rsidRPr="00824B04">
        <w:rPr>
          <w:rStyle w:val="CharDivText"/>
        </w:rPr>
        <w:t>Prohibited</w:t>
      </w:r>
      <w:r w:rsidR="00C406EA" w:rsidRPr="00824B04">
        <w:rPr>
          <w:rStyle w:val="CharDivText"/>
        </w:rPr>
        <w:t xml:space="preserve"> activities</w:t>
      </w:r>
      <w:bookmarkEnd w:id="35"/>
    </w:p>
    <w:p w14:paraId="52C8BB99" w14:textId="77777777" w:rsidR="00B45D60" w:rsidRPr="00824B04" w:rsidRDefault="001436C7" w:rsidP="00B45D60">
      <w:pPr>
        <w:pStyle w:val="ActHead5"/>
      </w:pPr>
      <w:bookmarkStart w:id="36" w:name="_Toc170463347"/>
      <w:r w:rsidRPr="00824B04">
        <w:rPr>
          <w:rStyle w:val="CharSectno"/>
        </w:rPr>
        <w:t>24</w:t>
      </w:r>
      <w:r w:rsidR="00C303B3" w:rsidRPr="00824B04">
        <w:t xml:space="preserve">  Entry </w:t>
      </w:r>
      <w:r w:rsidR="00865E70" w:rsidRPr="00824B04">
        <w:t>into</w:t>
      </w:r>
      <w:r w:rsidR="00C303B3" w:rsidRPr="00824B04">
        <w:t xml:space="preserve"> a Commonwealth explosives area</w:t>
      </w:r>
      <w:bookmarkEnd w:id="36"/>
    </w:p>
    <w:p w14:paraId="79D1C21B" w14:textId="77777777" w:rsidR="00B718FA" w:rsidRPr="00824B04" w:rsidRDefault="00B45D60" w:rsidP="00B45D60">
      <w:pPr>
        <w:pStyle w:val="subsection"/>
      </w:pPr>
      <w:r w:rsidRPr="00824B04">
        <w:tab/>
      </w:r>
      <w:r w:rsidR="00B718FA" w:rsidRPr="00824B04">
        <w:t>(1)</w:t>
      </w:r>
      <w:r w:rsidRPr="00824B04">
        <w:tab/>
      </w:r>
      <w:r w:rsidR="00C303B3" w:rsidRPr="00824B04">
        <w:t>A person</w:t>
      </w:r>
      <w:r w:rsidR="00E02923" w:rsidRPr="00824B04">
        <w:t xml:space="preserve"> </w:t>
      </w:r>
      <w:r w:rsidR="00C303B3" w:rsidRPr="00824B04">
        <w:t>must not enter</w:t>
      </w:r>
      <w:r w:rsidR="00B403CA" w:rsidRPr="00824B04">
        <w:t xml:space="preserve"> or remain within</w:t>
      </w:r>
      <w:r w:rsidR="00C303B3" w:rsidRPr="00824B04">
        <w:t xml:space="preserve"> a Commonwealth explosives area</w:t>
      </w:r>
      <w:r w:rsidR="00B718FA" w:rsidRPr="00824B04">
        <w:t>.</w:t>
      </w:r>
    </w:p>
    <w:p w14:paraId="7F108ABA" w14:textId="77777777" w:rsidR="008B6C34" w:rsidRPr="00824B04" w:rsidRDefault="00B718FA" w:rsidP="00B718FA">
      <w:pPr>
        <w:pStyle w:val="subsection"/>
      </w:pPr>
      <w:r w:rsidRPr="00824B04">
        <w:tab/>
        <w:t>(2)</w:t>
      </w:r>
      <w:r w:rsidRPr="00824B04">
        <w:tab/>
      </w:r>
      <w:r w:rsidR="00524F40" w:rsidRPr="00824B04">
        <w:t>Subsection (</w:t>
      </w:r>
      <w:r w:rsidRPr="00824B04">
        <w:t>1) does not apply if the person is:</w:t>
      </w:r>
    </w:p>
    <w:p w14:paraId="38A70AC4" w14:textId="77777777" w:rsidR="002528EF" w:rsidRPr="00824B04" w:rsidRDefault="002528EF" w:rsidP="002528EF">
      <w:pPr>
        <w:pStyle w:val="paragraph"/>
      </w:pPr>
      <w:r w:rsidRPr="00824B04">
        <w:tab/>
        <w:t>(a)</w:t>
      </w:r>
      <w:r w:rsidRPr="00824B04">
        <w:tab/>
        <w:t>the area manager for the Commonwealth explosives area</w:t>
      </w:r>
      <w:r w:rsidR="005E063C" w:rsidRPr="00824B04">
        <w:t>,</w:t>
      </w:r>
      <w:r w:rsidRPr="00824B04">
        <w:t xml:space="preserve"> appointed under </w:t>
      </w:r>
      <w:r w:rsidR="00C5351E" w:rsidRPr="00824B04">
        <w:t>section 3</w:t>
      </w:r>
      <w:r w:rsidR="001436C7" w:rsidRPr="00824B04">
        <w:t>5</w:t>
      </w:r>
      <w:r w:rsidRPr="00824B04">
        <w:t>; or</w:t>
      </w:r>
    </w:p>
    <w:p w14:paraId="7B54CB27" w14:textId="77777777" w:rsidR="00F975E6" w:rsidRPr="00824B04" w:rsidRDefault="002528EF" w:rsidP="002528EF">
      <w:pPr>
        <w:pStyle w:val="paragraph"/>
      </w:pPr>
      <w:r w:rsidRPr="00824B04">
        <w:tab/>
        <w:t>(b)</w:t>
      </w:r>
      <w:r w:rsidRPr="00824B04">
        <w:tab/>
      </w:r>
      <w:r w:rsidR="00A84BC3" w:rsidRPr="00824B04">
        <w:t>acting</w:t>
      </w:r>
      <w:r w:rsidRPr="00824B04">
        <w:t xml:space="preserve"> in accordance with </w:t>
      </w:r>
      <w:r w:rsidR="00B718FA" w:rsidRPr="00824B04">
        <w:t xml:space="preserve">written </w:t>
      </w:r>
      <w:r w:rsidRPr="00824B04">
        <w:t xml:space="preserve">consent provided by the area manager for the area under </w:t>
      </w:r>
      <w:r w:rsidR="00C5351E" w:rsidRPr="00824B04">
        <w:t>section 3</w:t>
      </w:r>
      <w:r w:rsidR="001436C7" w:rsidRPr="00824B04">
        <w:t>6</w:t>
      </w:r>
      <w:r w:rsidRPr="00824B04">
        <w:t>.</w:t>
      </w:r>
    </w:p>
    <w:p w14:paraId="7F02A215" w14:textId="77777777" w:rsidR="0043503C" w:rsidRPr="00824B04" w:rsidRDefault="0043503C" w:rsidP="004422EC">
      <w:pPr>
        <w:pStyle w:val="notetext"/>
      </w:pPr>
      <w:r w:rsidRPr="00824B04">
        <w:t>Note 1:</w:t>
      </w:r>
      <w:r w:rsidRPr="00824B04">
        <w:tab/>
        <w:t xml:space="preserve">A defendant bears an evidential burden in relation to the matter in </w:t>
      </w:r>
      <w:r w:rsidR="00240D90" w:rsidRPr="00824B04">
        <w:t>subsection (</w:t>
      </w:r>
      <w:r w:rsidRPr="00824B04">
        <w:t xml:space="preserve">2) (see </w:t>
      </w:r>
      <w:r w:rsidR="00C5351E" w:rsidRPr="00824B04">
        <w:t>subsection 1</w:t>
      </w:r>
      <w:r w:rsidRPr="00824B04">
        <w:t>3.3(3) of the Criminal Code).</w:t>
      </w:r>
    </w:p>
    <w:p w14:paraId="2310F6D8" w14:textId="77777777" w:rsidR="0043503C" w:rsidRPr="00824B04" w:rsidRDefault="004422EC" w:rsidP="004422EC">
      <w:pPr>
        <w:pStyle w:val="notetext"/>
      </w:pPr>
      <w:r w:rsidRPr="00824B04">
        <w:t>Note</w:t>
      </w:r>
      <w:r w:rsidR="0043503C" w:rsidRPr="00824B04">
        <w:t xml:space="preserve"> 2</w:t>
      </w:r>
      <w:r w:rsidRPr="00824B04">
        <w:t>:</w:t>
      </w:r>
      <w:r w:rsidRPr="00824B04">
        <w:tab/>
        <w:t xml:space="preserve">Penalties for a failure to comply with this section are set by </w:t>
      </w:r>
      <w:r w:rsidR="008B59D2" w:rsidRPr="00824B04">
        <w:t>section 2</w:t>
      </w:r>
      <w:r w:rsidRPr="00824B04">
        <w:t>0 of the Act.</w:t>
      </w:r>
    </w:p>
    <w:p w14:paraId="5CDA6FA5" w14:textId="77777777" w:rsidR="00C20EF8" w:rsidRPr="00824B04" w:rsidRDefault="001436C7" w:rsidP="00C20EF8">
      <w:pPr>
        <w:pStyle w:val="ActHead5"/>
      </w:pPr>
      <w:bookmarkStart w:id="37" w:name="_Toc170463348"/>
      <w:r w:rsidRPr="00824B04">
        <w:rPr>
          <w:rStyle w:val="CharSectno"/>
        </w:rPr>
        <w:t>25</w:t>
      </w:r>
      <w:r w:rsidR="0016231F" w:rsidRPr="00824B04">
        <w:t xml:space="preserve">  </w:t>
      </w:r>
      <w:r w:rsidR="00783DE4" w:rsidRPr="00824B04">
        <w:t>Hindrance, obstruction and failure to comply with directions</w:t>
      </w:r>
      <w:bookmarkEnd w:id="37"/>
    </w:p>
    <w:p w14:paraId="42F9E91A" w14:textId="77777777" w:rsidR="00C20EF8" w:rsidRPr="00824B04" w:rsidRDefault="00C20EF8" w:rsidP="00C20EF8">
      <w:pPr>
        <w:pStyle w:val="subsection"/>
      </w:pPr>
      <w:r w:rsidRPr="00824B04">
        <w:tab/>
      </w:r>
      <w:r w:rsidR="005D5798" w:rsidRPr="00824B04">
        <w:t>(1)</w:t>
      </w:r>
      <w:r w:rsidR="008B6C34" w:rsidRPr="00824B04">
        <w:tab/>
      </w:r>
      <w:r w:rsidRPr="00824B04">
        <w:t>A person in a Commonwealth explosives area must not:</w:t>
      </w:r>
    </w:p>
    <w:p w14:paraId="08707453" w14:textId="77777777" w:rsidR="00C20EF8" w:rsidRPr="00824B04" w:rsidRDefault="00C20EF8" w:rsidP="00C20EF8">
      <w:pPr>
        <w:pStyle w:val="paragraph"/>
      </w:pPr>
      <w:r w:rsidRPr="00824B04">
        <w:tab/>
        <w:t>(a)</w:t>
      </w:r>
      <w:r w:rsidRPr="00824B04">
        <w:tab/>
        <w:t xml:space="preserve">hinder or obstruct the area manager of a Commonwealth explosives area in the exercise of </w:t>
      </w:r>
      <w:r w:rsidR="008B6C34" w:rsidRPr="00824B04">
        <w:t>the area manager’s</w:t>
      </w:r>
      <w:r w:rsidRPr="00824B04">
        <w:t xml:space="preserve"> powers or functions; or</w:t>
      </w:r>
    </w:p>
    <w:p w14:paraId="5D2B3A84" w14:textId="77777777" w:rsidR="00783DE4" w:rsidRPr="00824B04" w:rsidRDefault="00C20EF8" w:rsidP="005E063C">
      <w:pPr>
        <w:pStyle w:val="paragraph"/>
      </w:pPr>
      <w:r w:rsidRPr="00824B04">
        <w:tab/>
        <w:t>(b)</w:t>
      </w:r>
      <w:r w:rsidRPr="00824B04">
        <w:tab/>
        <w:t>fail to comply with a direction under</w:t>
      </w:r>
      <w:r w:rsidR="008B6C34" w:rsidRPr="00824B04">
        <w:t xml:space="preserve"> </w:t>
      </w:r>
      <w:r w:rsidR="00C5351E" w:rsidRPr="00824B04">
        <w:t>section 4</w:t>
      </w:r>
      <w:r w:rsidR="001436C7" w:rsidRPr="00824B04">
        <w:t>0</w:t>
      </w:r>
      <w:r w:rsidR="008B6C34" w:rsidRPr="00824B04">
        <w:t>.</w:t>
      </w:r>
    </w:p>
    <w:p w14:paraId="5E70B3CA" w14:textId="77777777" w:rsidR="00D7427C" w:rsidRPr="00824B04" w:rsidRDefault="00D7427C" w:rsidP="00D7427C">
      <w:pPr>
        <w:pStyle w:val="notetext"/>
      </w:pPr>
      <w:r w:rsidRPr="00824B04">
        <w:t>Note:</w:t>
      </w:r>
      <w:r w:rsidRPr="00824B04">
        <w:tab/>
        <w:t xml:space="preserve">Penalties for a failure to comply with this subsection are set by </w:t>
      </w:r>
      <w:r w:rsidR="008B59D2" w:rsidRPr="00824B04">
        <w:t>section 2</w:t>
      </w:r>
      <w:r w:rsidRPr="00824B04">
        <w:t>0 of the Act.</w:t>
      </w:r>
    </w:p>
    <w:p w14:paraId="24AE446C" w14:textId="77777777" w:rsidR="005D5798" w:rsidRPr="00824B04" w:rsidRDefault="005D5798" w:rsidP="005D5798">
      <w:pPr>
        <w:pStyle w:val="subsection"/>
      </w:pPr>
      <w:r w:rsidRPr="00824B04">
        <w:tab/>
        <w:t>(2)</w:t>
      </w:r>
      <w:r w:rsidRPr="00824B04">
        <w:tab/>
      </w:r>
      <w:r w:rsidR="003649DB" w:rsidRPr="00824B04">
        <w:t>P</w:t>
      </w:r>
      <w:r w:rsidR="008B59D2" w:rsidRPr="00824B04">
        <w:t>aragraph (</w:t>
      </w:r>
      <w:r w:rsidRPr="00824B04">
        <w:t xml:space="preserve">1)(b) </w:t>
      </w:r>
      <w:r w:rsidR="003649DB" w:rsidRPr="00824B04">
        <w:t>does not apply if</w:t>
      </w:r>
      <w:r w:rsidRPr="00824B04">
        <w:t xml:space="preserve"> the person ha</w:t>
      </w:r>
      <w:r w:rsidR="003649DB" w:rsidRPr="00824B04">
        <w:t>s</w:t>
      </w:r>
      <w:r w:rsidRPr="00824B04">
        <w:t xml:space="preserve"> a reasonable excuse.</w:t>
      </w:r>
    </w:p>
    <w:p w14:paraId="4C839643" w14:textId="77777777" w:rsidR="00851451" w:rsidRPr="00824B04" w:rsidRDefault="00851451" w:rsidP="00851451">
      <w:pPr>
        <w:pStyle w:val="notetext"/>
      </w:pPr>
      <w:r w:rsidRPr="00824B04">
        <w:t>Note:</w:t>
      </w:r>
      <w:r w:rsidRPr="00824B04">
        <w:tab/>
        <w:t xml:space="preserve">A defendant bears an evidential burden in relation to the matter in this </w:t>
      </w:r>
      <w:r w:rsidR="00240D90" w:rsidRPr="00824B04">
        <w:t>subsection (</w:t>
      </w:r>
      <w:r w:rsidRPr="00824B04">
        <w:t xml:space="preserve">see </w:t>
      </w:r>
      <w:r w:rsidR="00C5351E" w:rsidRPr="00824B04">
        <w:t>subsection 1</w:t>
      </w:r>
      <w:r w:rsidRPr="00824B04">
        <w:t>3.3(3) of the Criminal Code).</w:t>
      </w:r>
    </w:p>
    <w:p w14:paraId="6F285690" w14:textId="77777777" w:rsidR="00C20EF8" w:rsidRPr="00824B04" w:rsidRDefault="001436C7" w:rsidP="00C20EF8">
      <w:pPr>
        <w:pStyle w:val="ActHead5"/>
      </w:pPr>
      <w:bookmarkStart w:id="38" w:name="_Toc170463349"/>
      <w:r w:rsidRPr="00824B04">
        <w:rPr>
          <w:rStyle w:val="CharSectno"/>
        </w:rPr>
        <w:t>26</w:t>
      </w:r>
      <w:r w:rsidR="00C20EF8" w:rsidRPr="00824B04">
        <w:t xml:space="preserve">  Parking, stopping and mooring</w:t>
      </w:r>
      <w:bookmarkEnd w:id="38"/>
    </w:p>
    <w:p w14:paraId="798DC46D" w14:textId="77777777" w:rsidR="00C20EF8" w:rsidRPr="00824B04" w:rsidRDefault="00C20EF8" w:rsidP="00C20EF8">
      <w:pPr>
        <w:pStyle w:val="subsection"/>
      </w:pPr>
      <w:r w:rsidRPr="00824B04">
        <w:tab/>
      </w:r>
      <w:r w:rsidRPr="00824B04">
        <w:tab/>
        <w:t xml:space="preserve">A person </w:t>
      </w:r>
      <w:r w:rsidR="008B6C34" w:rsidRPr="00824B04">
        <w:t xml:space="preserve">in a Commonwealth explosives area </w:t>
      </w:r>
      <w:r w:rsidRPr="00824B04">
        <w:t>must not park or stop a vehicle, or moor or stop a vessel:</w:t>
      </w:r>
    </w:p>
    <w:p w14:paraId="4EB57C03" w14:textId="77777777" w:rsidR="00C20EF8" w:rsidRPr="00824B04" w:rsidRDefault="00C20EF8" w:rsidP="00C20EF8">
      <w:pPr>
        <w:pStyle w:val="paragraph"/>
      </w:pPr>
      <w:r w:rsidRPr="00824B04">
        <w:tab/>
        <w:t>(a)</w:t>
      </w:r>
      <w:r w:rsidRPr="00824B04">
        <w:tab/>
        <w:t>in contravention of a sign erected by the area manager; or</w:t>
      </w:r>
    </w:p>
    <w:p w14:paraId="23636704" w14:textId="77777777" w:rsidR="00C20EF8" w:rsidRPr="00824B04" w:rsidRDefault="00C20EF8" w:rsidP="00C20EF8">
      <w:pPr>
        <w:pStyle w:val="paragraph"/>
      </w:pPr>
      <w:r w:rsidRPr="00824B04">
        <w:tab/>
        <w:t>(b)</w:t>
      </w:r>
      <w:r w:rsidRPr="00824B04">
        <w:tab/>
        <w:t>in a way that would unreasonably obstruct the passage of other vehicles or vessels.</w:t>
      </w:r>
    </w:p>
    <w:p w14:paraId="3773DBD2" w14:textId="77777777" w:rsidR="00D7427C" w:rsidRPr="00824B04" w:rsidRDefault="00D7427C" w:rsidP="00D7427C">
      <w:pPr>
        <w:pStyle w:val="notetext"/>
      </w:pPr>
      <w:r w:rsidRPr="00824B04">
        <w:t>Note:</w:t>
      </w:r>
      <w:r w:rsidRPr="00824B04">
        <w:tab/>
        <w:t xml:space="preserve">Penalties for a failure to comply with this section are set by </w:t>
      </w:r>
      <w:r w:rsidR="008B59D2" w:rsidRPr="00824B04">
        <w:t>section 2</w:t>
      </w:r>
      <w:r w:rsidRPr="00824B04">
        <w:t>0 of the Act.</w:t>
      </w:r>
    </w:p>
    <w:p w14:paraId="72C4D92F" w14:textId="77777777" w:rsidR="00C20EF8" w:rsidRPr="00824B04" w:rsidRDefault="001436C7" w:rsidP="00C20EF8">
      <w:pPr>
        <w:pStyle w:val="ActHead5"/>
      </w:pPr>
      <w:bookmarkStart w:id="39" w:name="_Toc170463350"/>
      <w:r w:rsidRPr="00824B04">
        <w:rPr>
          <w:rStyle w:val="CharSectno"/>
        </w:rPr>
        <w:t>27</w:t>
      </w:r>
      <w:r w:rsidR="00C20EF8" w:rsidRPr="00824B04">
        <w:t xml:space="preserve">  Maximum speed limits</w:t>
      </w:r>
      <w:bookmarkEnd w:id="39"/>
    </w:p>
    <w:p w14:paraId="04CCCE5F" w14:textId="77777777" w:rsidR="00C20EF8" w:rsidRPr="00824B04" w:rsidRDefault="00C20EF8" w:rsidP="00C20EF8">
      <w:pPr>
        <w:pStyle w:val="subsection"/>
      </w:pPr>
      <w:r w:rsidRPr="00824B04">
        <w:tab/>
      </w:r>
      <w:r w:rsidRPr="00824B04">
        <w:tab/>
        <w:t>A person</w:t>
      </w:r>
      <w:r w:rsidR="008B6C34" w:rsidRPr="00824B04">
        <w:t xml:space="preserve"> in a Commonwealth explosives area</w:t>
      </w:r>
      <w:r w:rsidRPr="00824B04">
        <w:t xml:space="preserve"> must not drive or ride a vehicle, or operate a vessel, on a part of a Commonwealth explosives area at more than the maximum speed</w:t>
      </w:r>
      <w:r w:rsidR="00151421" w:rsidRPr="00824B04">
        <w:t xml:space="preserve"> permitted</w:t>
      </w:r>
      <w:r w:rsidR="00246071" w:rsidRPr="00824B04">
        <w:t xml:space="preserve"> </w:t>
      </w:r>
      <w:r w:rsidRPr="00824B04">
        <w:t>for the vehicle or vessel in that part of the area</w:t>
      </w:r>
      <w:r w:rsidR="00A76756" w:rsidRPr="00824B04">
        <w:t>, as indicated by</w:t>
      </w:r>
      <w:r w:rsidR="005A5DC6" w:rsidRPr="00824B04">
        <w:t xml:space="preserve"> any</w:t>
      </w:r>
      <w:r w:rsidR="00A76756" w:rsidRPr="00824B04">
        <w:t xml:space="preserve"> sign erected by the area manager</w:t>
      </w:r>
      <w:r w:rsidRPr="00824B04">
        <w:t>.</w:t>
      </w:r>
    </w:p>
    <w:p w14:paraId="4015D460" w14:textId="77777777" w:rsidR="0074280F" w:rsidRPr="00824B04" w:rsidRDefault="0074280F" w:rsidP="0074280F">
      <w:pPr>
        <w:pStyle w:val="notetext"/>
      </w:pPr>
      <w:r w:rsidRPr="00824B04">
        <w:t>Note:</w:t>
      </w:r>
      <w:r w:rsidRPr="00824B04">
        <w:tab/>
        <w:t xml:space="preserve">Penalties for a failure to comply with this section are set by </w:t>
      </w:r>
      <w:r w:rsidR="008B59D2" w:rsidRPr="00824B04">
        <w:t>section 2</w:t>
      </w:r>
      <w:r w:rsidRPr="00824B04">
        <w:t>0 of the Act.</w:t>
      </w:r>
    </w:p>
    <w:p w14:paraId="208133C1" w14:textId="77777777" w:rsidR="00C20EF8" w:rsidRPr="00824B04" w:rsidRDefault="001436C7" w:rsidP="00C20EF8">
      <w:pPr>
        <w:pStyle w:val="ActHead5"/>
      </w:pPr>
      <w:bookmarkStart w:id="40" w:name="_Toc170463351"/>
      <w:r w:rsidRPr="00824B04">
        <w:rPr>
          <w:rStyle w:val="CharSectno"/>
        </w:rPr>
        <w:t>28</w:t>
      </w:r>
      <w:r w:rsidR="00C20EF8" w:rsidRPr="00824B04">
        <w:t xml:space="preserve">  </w:t>
      </w:r>
      <w:r w:rsidR="008B6C34" w:rsidRPr="00824B04">
        <w:t>S</w:t>
      </w:r>
      <w:r w:rsidR="00C20EF8" w:rsidRPr="00824B04">
        <w:t>moking and other fire hazards</w:t>
      </w:r>
      <w:bookmarkEnd w:id="40"/>
    </w:p>
    <w:p w14:paraId="17AB3487" w14:textId="77777777" w:rsidR="00C755AA" w:rsidRPr="00824B04" w:rsidRDefault="00C20EF8" w:rsidP="00F34B4A">
      <w:pPr>
        <w:pStyle w:val="subsection"/>
      </w:pPr>
      <w:r w:rsidRPr="00824B04">
        <w:tab/>
      </w:r>
      <w:r w:rsidR="00F34B4A" w:rsidRPr="00824B04">
        <w:tab/>
      </w:r>
      <w:r w:rsidR="0075585F" w:rsidRPr="00824B04">
        <w:t xml:space="preserve">A person contravenes this </w:t>
      </w:r>
      <w:r w:rsidR="00F34B4A" w:rsidRPr="00824B04">
        <w:t>section</w:t>
      </w:r>
      <w:r w:rsidR="0075585F" w:rsidRPr="00824B04">
        <w:t xml:space="preserve"> if</w:t>
      </w:r>
      <w:r w:rsidR="00C755AA" w:rsidRPr="00824B04">
        <w:t>:</w:t>
      </w:r>
    </w:p>
    <w:p w14:paraId="1E0AE87A" w14:textId="77777777" w:rsidR="004433A2" w:rsidRPr="00824B04" w:rsidRDefault="00C755AA" w:rsidP="00C755AA">
      <w:pPr>
        <w:pStyle w:val="paragraph"/>
      </w:pPr>
      <w:r w:rsidRPr="00824B04">
        <w:tab/>
        <w:t>(a)</w:t>
      </w:r>
      <w:r w:rsidRPr="00824B04">
        <w:tab/>
      </w:r>
      <w:r w:rsidR="004321B1" w:rsidRPr="00824B04">
        <w:t xml:space="preserve">the person </w:t>
      </w:r>
      <w:r w:rsidR="0075585F" w:rsidRPr="00824B04">
        <w:t xml:space="preserve">is </w:t>
      </w:r>
      <w:r w:rsidR="004433A2" w:rsidRPr="00824B04">
        <w:t>in a Commonwealth explosives area; and</w:t>
      </w:r>
    </w:p>
    <w:p w14:paraId="23854419" w14:textId="77777777" w:rsidR="004433A2" w:rsidRPr="00824B04" w:rsidRDefault="004433A2" w:rsidP="004433A2">
      <w:pPr>
        <w:pStyle w:val="paragraph"/>
      </w:pPr>
      <w:r w:rsidRPr="00824B04">
        <w:tab/>
        <w:t>(b)</w:t>
      </w:r>
      <w:r w:rsidRPr="00824B04">
        <w:tab/>
      </w:r>
      <w:r w:rsidR="004321B1" w:rsidRPr="00824B04">
        <w:t xml:space="preserve">the person is </w:t>
      </w:r>
      <w:r w:rsidRPr="00824B04">
        <w:t>either:</w:t>
      </w:r>
    </w:p>
    <w:p w14:paraId="4A923A43" w14:textId="77777777" w:rsidR="006311B3" w:rsidRPr="00824B04" w:rsidRDefault="004433A2" w:rsidP="004433A2">
      <w:pPr>
        <w:pStyle w:val="paragraphsub"/>
      </w:pPr>
      <w:r w:rsidRPr="00824B04">
        <w:lastRenderedPageBreak/>
        <w:tab/>
        <w:t>(</w:t>
      </w:r>
      <w:proofErr w:type="spellStart"/>
      <w:r w:rsidRPr="00824B04">
        <w:t>i</w:t>
      </w:r>
      <w:proofErr w:type="spellEnd"/>
      <w:r w:rsidRPr="00824B04">
        <w:t>)</w:t>
      </w:r>
      <w:r w:rsidRPr="00824B04">
        <w:tab/>
      </w:r>
      <w:r w:rsidR="00151421" w:rsidRPr="00824B04">
        <w:t xml:space="preserve">within 6 metres of </w:t>
      </w:r>
      <w:r w:rsidR="00C755AA" w:rsidRPr="00824B04">
        <w:t>explosives</w:t>
      </w:r>
      <w:r w:rsidR="006311B3" w:rsidRPr="00824B04">
        <w:t>;</w:t>
      </w:r>
      <w:r w:rsidR="00C755AA" w:rsidRPr="00824B04">
        <w:t xml:space="preserve"> or</w:t>
      </w:r>
    </w:p>
    <w:p w14:paraId="66D20B9B" w14:textId="77777777" w:rsidR="00151421" w:rsidRPr="00824B04" w:rsidRDefault="006311B3" w:rsidP="006311B3">
      <w:pPr>
        <w:pStyle w:val="paragraphsub"/>
      </w:pPr>
      <w:r w:rsidRPr="00824B04">
        <w:tab/>
        <w:t>(ii)</w:t>
      </w:r>
      <w:r w:rsidRPr="00824B04">
        <w:tab/>
      </w:r>
      <w:r w:rsidR="00422C24" w:rsidRPr="00824B04">
        <w:t>in</w:t>
      </w:r>
      <w:r w:rsidR="00A435AD" w:rsidRPr="00824B04">
        <w:t xml:space="preserve"> a fire hazard</w:t>
      </w:r>
      <w:r w:rsidR="00422C24" w:rsidRPr="00824B04">
        <w:t xml:space="preserve"> area</w:t>
      </w:r>
      <w:r w:rsidR="0075585F" w:rsidRPr="00824B04">
        <w:t>; and</w:t>
      </w:r>
    </w:p>
    <w:p w14:paraId="23142F66" w14:textId="77777777" w:rsidR="0045099E" w:rsidRPr="00824B04" w:rsidRDefault="0075585F" w:rsidP="0045099E">
      <w:pPr>
        <w:pStyle w:val="paragraph"/>
      </w:pPr>
      <w:r w:rsidRPr="00824B04">
        <w:tab/>
        <w:t>(c)</w:t>
      </w:r>
      <w:r w:rsidRPr="00824B04">
        <w:tab/>
        <w:t>the person:</w:t>
      </w:r>
    </w:p>
    <w:p w14:paraId="586B19B8" w14:textId="77777777" w:rsidR="00151421" w:rsidRPr="00824B04" w:rsidRDefault="0045099E" w:rsidP="0045099E">
      <w:pPr>
        <w:pStyle w:val="paragraphsub"/>
      </w:pPr>
      <w:r w:rsidRPr="00824B04">
        <w:tab/>
        <w:t>(</w:t>
      </w:r>
      <w:proofErr w:type="spellStart"/>
      <w:r w:rsidRPr="00824B04">
        <w:t>i</w:t>
      </w:r>
      <w:proofErr w:type="spellEnd"/>
      <w:r w:rsidRPr="00824B04">
        <w:t>)</w:t>
      </w:r>
      <w:r w:rsidRPr="00824B04">
        <w:tab/>
      </w:r>
      <w:r w:rsidR="00151421" w:rsidRPr="00824B04">
        <w:t>smoke</w:t>
      </w:r>
      <w:r w:rsidR="00235F45" w:rsidRPr="00824B04">
        <w:t>s</w:t>
      </w:r>
      <w:r w:rsidR="00151421" w:rsidRPr="00824B04">
        <w:t>; or</w:t>
      </w:r>
    </w:p>
    <w:p w14:paraId="1FC6947E" w14:textId="77777777" w:rsidR="0090589E" w:rsidRPr="00824B04" w:rsidRDefault="00151421" w:rsidP="0045099E">
      <w:pPr>
        <w:pStyle w:val="paragraphsub"/>
      </w:pPr>
      <w:r w:rsidRPr="00824B04">
        <w:tab/>
        <w:t>(</w:t>
      </w:r>
      <w:r w:rsidR="0045099E" w:rsidRPr="00824B04">
        <w:t>ii</w:t>
      </w:r>
      <w:r w:rsidRPr="00824B04">
        <w:t>)</w:t>
      </w:r>
      <w:r w:rsidRPr="00824B04">
        <w:tab/>
      </w:r>
      <w:r w:rsidR="00235F45" w:rsidRPr="00824B04">
        <w:t xml:space="preserve">is </w:t>
      </w:r>
      <w:r w:rsidRPr="00824B04">
        <w:t>in possession of, create</w:t>
      </w:r>
      <w:r w:rsidR="00235F45" w:rsidRPr="00824B04">
        <w:t>s</w:t>
      </w:r>
      <w:r w:rsidRPr="00824B04">
        <w:t xml:space="preserve"> or use</w:t>
      </w:r>
      <w:r w:rsidR="00235F45" w:rsidRPr="00824B04">
        <w:t>s</w:t>
      </w:r>
      <w:r w:rsidRPr="00824B04">
        <w:t xml:space="preserve"> any fire or naked light</w:t>
      </w:r>
      <w:r w:rsidR="00D26C96" w:rsidRPr="00824B04">
        <w:t>; or</w:t>
      </w:r>
    </w:p>
    <w:p w14:paraId="203B67CA" w14:textId="77777777" w:rsidR="00151421" w:rsidRPr="00824B04" w:rsidRDefault="0090589E" w:rsidP="0045099E">
      <w:pPr>
        <w:pStyle w:val="paragraphsub"/>
      </w:pPr>
      <w:r w:rsidRPr="00824B04">
        <w:tab/>
        <w:t>(</w:t>
      </w:r>
      <w:r w:rsidR="0045099E" w:rsidRPr="00824B04">
        <w:t>iii</w:t>
      </w:r>
      <w:r w:rsidRPr="00824B04">
        <w:t>)</w:t>
      </w:r>
      <w:r w:rsidRPr="00824B04">
        <w:tab/>
      </w:r>
      <w:r w:rsidR="00151421" w:rsidRPr="00824B04">
        <w:t>engage</w:t>
      </w:r>
      <w:r w:rsidR="00235F45" w:rsidRPr="00824B04">
        <w:t>s</w:t>
      </w:r>
      <w:r w:rsidR="00151421" w:rsidRPr="00824B04">
        <w:t xml:space="preserve"> in conduct that is likely to result in a fire or </w:t>
      </w:r>
      <w:r w:rsidR="00997969" w:rsidRPr="00824B04">
        <w:t xml:space="preserve">an </w:t>
      </w:r>
      <w:r w:rsidR="00151421" w:rsidRPr="00824B04">
        <w:t>explosion</w:t>
      </w:r>
      <w:r w:rsidR="00535AA0" w:rsidRPr="00824B04">
        <w:t>.</w:t>
      </w:r>
    </w:p>
    <w:p w14:paraId="220964D6" w14:textId="77777777" w:rsidR="00151421" w:rsidRPr="00824B04" w:rsidRDefault="00151421" w:rsidP="00535AA0">
      <w:pPr>
        <w:pStyle w:val="notetext"/>
      </w:pPr>
      <w:r w:rsidRPr="00824B04">
        <w:t>Note:</w:t>
      </w:r>
      <w:r w:rsidRPr="00824B04">
        <w:tab/>
        <w:t xml:space="preserve">Penalties for a failure to comply with </w:t>
      </w:r>
      <w:r w:rsidR="005D0A5A" w:rsidRPr="00824B04">
        <w:t xml:space="preserve">this </w:t>
      </w:r>
      <w:r w:rsidRPr="00824B04">
        <w:t>section are set by section 20 of the Act.</w:t>
      </w:r>
    </w:p>
    <w:p w14:paraId="5D6E1EE9" w14:textId="77777777" w:rsidR="00C20EF8" w:rsidRPr="00824B04" w:rsidRDefault="001436C7" w:rsidP="00C20EF8">
      <w:pPr>
        <w:pStyle w:val="ActHead5"/>
      </w:pPr>
      <w:bookmarkStart w:id="41" w:name="_Toc170463352"/>
      <w:r w:rsidRPr="00824B04">
        <w:rPr>
          <w:rStyle w:val="CharSectno"/>
        </w:rPr>
        <w:t>29</w:t>
      </w:r>
      <w:r w:rsidR="00C20EF8" w:rsidRPr="00824B04">
        <w:t xml:space="preserve">  Persons under the influence of alcohol or drugs</w:t>
      </w:r>
      <w:bookmarkEnd w:id="41"/>
    </w:p>
    <w:p w14:paraId="64A4C12F" w14:textId="77777777" w:rsidR="00C20EF8" w:rsidRPr="00824B04" w:rsidRDefault="00C20EF8" w:rsidP="00C20EF8">
      <w:pPr>
        <w:pStyle w:val="subsection"/>
      </w:pPr>
      <w:r w:rsidRPr="00824B04">
        <w:tab/>
      </w:r>
      <w:r w:rsidRPr="00824B04">
        <w:tab/>
        <w:t xml:space="preserve">A person </w:t>
      </w:r>
      <w:r w:rsidR="008B6C34" w:rsidRPr="00824B04">
        <w:t>must not be</w:t>
      </w:r>
      <w:r w:rsidRPr="00824B04">
        <w:t xml:space="preserve"> under the influence of alcohol or a drug in or near a part of a Commonwealth explosives area in which explosives are being handled.</w:t>
      </w:r>
    </w:p>
    <w:p w14:paraId="1F942189" w14:textId="77777777" w:rsidR="0074280F" w:rsidRPr="00824B04" w:rsidRDefault="0074280F" w:rsidP="0074280F">
      <w:pPr>
        <w:pStyle w:val="notetext"/>
      </w:pPr>
      <w:r w:rsidRPr="00824B04">
        <w:t>Note:</w:t>
      </w:r>
      <w:r w:rsidRPr="00824B04">
        <w:tab/>
        <w:t xml:space="preserve">Penalties for a failure to comply with this section are set by </w:t>
      </w:r>
      <w:r w:rsidR="008B59D2" w:rsidRPr="00824B04">
        <w:t>section 2</w:t>
      </w:r>
      <w:r w:rsidRPr="00824B04">
        <w:t>0 of the Act.</w:t>
      </w:r>
    </w:p>
    <w:p w14:paraId="10D7491B" w14:textId="77777777" w:rsidR="00164639" w:rsidRPr="00824B04" w:rsidRDefault="00DF20A9" w:rsidP="005B00A4">
      <w:pPr>
        <w:pStyle w:val="ActHead2"/>
        <w:pageBreakBefore/>
      </w:pPr>
      <w:bookmarkStart w:id="42" w:name="_Toc170463353"/>
      <w:r w:rsidRPr="00824B04">
        <w:rPr>
          <w:rStyle w:val="CharPartNo"/>
        </w:rPr>
        <w:lastRenderedPageBreak/>
        <w:t>Part 4</w:t>
      </w:r>
      <w:r w:rsidR="00164639" w:rsidRPr="00824B04">
        <w:t>—</w:t>
      </w:r>
      <w:r w:rsidR="002A6C91" w:rsidRPr="00824B04">
        <w:rPr>
          <w:rStyle w:val="CharPartText"/>
        </w:rPr>
        <w:t>Other matters</w:t>
      </w:r>
      <w:bookmarkEnd w:id="42"/>
    </w:p>
    <w:p w14:paraId="2E1C5D76" w14:textId="77777777" w:rsidR="00164639" w:rsidRPr="00824B04" w:rsidRDefault="00864AFB" w:rsidP="00164639">
      <w:pPr>
        <w:pStyle w:val="ActHead3"/>
      </w:pPr>
      <w:bookmarkStart w:id="43" w:name="_Toc170463354"/>
      <w:r w:rsidRPr="00824B04">
        <w:rPr>
          <w:rStyle w:val="CharDivNo"/>
        </w:rPr>
        <w:t>Division 1</w:t>
      </w:r>
      <w:r w:rsidR="00164639" w:rsidRPr="00824B04">
        <w:t>—</w:t>
      </w:r>
      <w:r w:rsidR="00164639" w:rsidRPr="00824B04">
        <w:rPr>
          <w:rStyle w:val="CharDivText"/>
        </w:rPr>
        <w:t>Competent Authority</w:t>
      </w:r>
      <w:bookmarkEnd w:id="43"/>
    </w:p>
    <w:p w14:paraId="113A4ABE" w14:textId="77777777" w:rsidR="00164639" w:rsidRPr="00824B04" w:rsidRDefault="001436C7" w:rsidP="00164639">
      <w:pPr>
        <w:pStyle w:val="ActHead5"/>
      </w:pPr>
      <w:bookmarkStart w:id="44" w:name="_Toc170463355"/>
      <w:r w:rsidRPr="00824B04">
        <w:rPr>
          <w:rStyle w:val="CharSectno"/>
        </w:rPr>
        <w:t>30</w:t>
      </w:r>
      <w:r w:rsidR="00164639" w:rsidRPr="00824B04">
        <w:t xml:space="preserve">  </w:t>
      </w:r>
      <w:r w:rsidR="00572401" w:rsidRPr="00824B04">
        <w:t xml:space="preserve">Appointment and powers of </w:t>
      </w:r>
      <w:r w:rsidR="00164639" w:rsidRPr="00824B04">
        <w:t>Competent Authority</w:t>
      </w:r>
      <w:bookmarkEnd w:id="44"/>
    </w:p>
    <w:p w14:paraId="04520A75" w14:textId="77777777" w:rsidR="00164639" w:rsidRPr="00824B04" w:rsidRDefault="00164639" w:rsidP="006C674A">
      <w:pPr>
        <w:pStyle w:val="subsection"/>
      </w:pPr>
      <w:r w:rsidRPr="00824B04">
        <w:tab/>
      </w:r>
      <w:bookmarkStart w:id="45" w:name="_Hlk169687049"/>
      <w:r w:rsidRPr="00824B04">
        <w:t>(1)</w:t>
      </w:r>
      <w:r w:rsidRPr="00824B04">
        <w:tab/>
        <w:t>The Minister may</w:t>
      </w:r>
      <w:r w:rsidR="00EC0EEC" w:rsidRPr="00824B04">
        <w:t>,</w:t>
      </w:r>
      <w:r w:rsidR="00C4667F" w:rsidRPr="00824B04">
        <w:t xml:space="preserve"> in writing</w:t>
      </w:r>
      <w:r w:rsidR="00EC0EEC" w:rsidRPr="00824B04">
        <w:t xml:space="preserve">, </w:t>
      </w:r>
      <w:r w:rsidRPr="00824B04">
        <w:t xml:space="preserve">appoint as the Competent Authority for the purposes of </w:t>
      </w:r>
      <w:r w:rsidR="00C4667F" w:rsidRPr="00824B04">
        <w:t>this instrument</w:t>
      </w:r>
      <w:r w:rsidRPr="00824B04">
        <w:t>:</w:t>
      </w:r>
    </w:p>
    <w:p w14:paraId="5A67DD27" w14:textId="77777777" w:rsidR="00E90048" w:rsidRPr="00824B04" w:rsidRDefault="006C674A" w:rsidP="006C674A">
      <w:pPr>
        <w:pStyle w:val="paragraph"/>
      </w:pPr>
      <w:r w:rsidRPr="00824B04">
        <w:tab/>
      </w:r>
      <w:r w:rsidR="00E54798" w:rsidRPr="00824B04">
        <w:t>(a)</w:t>
      </w:r>
      <w:r w:rsidR="00E54798" w:rsidRPr="00824B04">
        <w:tab/>
        <w:t>a</w:t>
      </w:r>
      <w:r w:rsidR="00D0052C" w:rsidRPr="00824B04">
        <w:t>n</w:t>
      </w:r>
      <w:r w:rsidR="00E54798" w:rsidRPr="00824B04">
        <w:t xml:space="preserve"> SES employee</w:t>
      </w:r>
      <w:r w:rsidR="007677F9" w:rsidRPr="00824B04">
        <w:t>, or acting SES employee,</w:t>
      </w:r>
      <w:r w:rsidR="00E54798" w:rsidRPr="00824B04">
        <w:t xml:space="preserve"> </w:t>
      </w:r>
      <w:r w:rsidR="00D0052C" w:rsidRPr="00824B04">
        <w:t>in</w:t>
      </w:r>
      <w:r w:rsidR="00E54798" w:rsidRPr="00824B04">
        <w:t xml:space="preserve"> the Department; or</w:t>
      </w:r>
    </w:p>
    <w:p w14:paraId="5D9C1947" w14:textId="77777777" w:rsidR="006C674A" w:rsidRPr="00824B04" w:rsidRDefault="00E54798" w:rsidP="006C674A">
      <w:pPr>
        <w:pStyle w:val="paragraph"/>
      </w:pPr>
      <w:r w:rsidRPr="00824B04">
        <w:tab/>
      </w:r>
      <w:r w:rsidR="006C674A" w:rsidRPr="00824B04">
        <w:t>(</w:t>
      </w:r>
      <w:r w:rsidR="007677F9" w:rsidRPr="00824B04">
        <w:t>b</w:t>
      </w:r>
      <w:r w:rsidR="006C674A" w:rsidRPr="00824B04">
        <w:t>)</w:t>
      </w:r>
      <w:r w:rsidR="006C674A" w:rsidRPr="00824B04">
        <w:tab/>
        <w:t>an officer of the Navy who holds the rank of Commodore or a higher rank; or</w:t>
      </w:r>
    </w:p>
    <w:p w14:paraId="48829927" w14:textId="77777777" w:rsidR="006C674A" w:rsidRPr="00824B04" w:rsidRDefault="006C674A" w:rsidP="006C674A">
      <w:pPr>
        <w:pStyle w:val="paragraph"/>
      </w:pPr>
      <w:r w:rsidRPr="00824B04">
        <w:tab/>
        <w:t>(</w:t>
      </w:r>
      <w:r w:rsidR="007677F9" w:rsidRPr="00824B04">
        <w:t>c</w:t>
      </w:r>
      <w:r w:rsidRPr="00824B04">
        <w:t>)</w:t>
      </w:r>
      <w:r w:rsidRPr="00824B04">
        <w:tab/>
        <w:t>an officer of the Army who holds the rank of Brigadier or a higher rank; or</w:t>
      </w:r>
    </w:p>
    <w:p w14:paraId="553A3745" w14:textId="77777777" w:rsidR="00164639" w:rsidRPr="00824B04" w:rsidRDefault="006C674A" w:rsidP="006B2A8E">
      <w:pPr>
        <w:pStyle w:val="paragraph"/>
      </w:pPr>
      <w:r w:rsidRPr="00824B04">
        <w:tab/>
        <w:t>(</w:t>
      </w:r>
      <w:r w:rsidR="007677F9" w:rsidRPr="00824B04">
        <w:t>d</w:t>
      </w:r>
      <w:r w:rsidRPr="00824B04">
        <w:t>)</w:t>
      </w:r>
      <w:r w:rsidRPr="00824B04">
        <w:tab/>
        <w:t>an officer of the Air Force who holds the rank of Air Commodore or a higher rank</w:t>
      </w:r>
      <w:r w:rsidR="00164639" w:rsidRPr="00824B04">
        <w:t>.</w:t>
      </w:r>
    </w:p>
    <w:bookmarkEnd w:id="45"/>
    <w:p w14:paraId="3567448F" w14:textId="77777777" w:rsidR="006C0E59" w:rsidRPr="00824B04" w:rsidRDefault="006C0E59" w:rsidP="00C4667F">
      <w:pPr>
        <w:pStyle w:val="subsection"/>
      </w:pPr>
      <w:r w:rsidRPr="00824B04">
        <w:tab/>
        <w:t>(</w:t>
      </w:r>
      <w:r w:rsidR="00C4667F" w:rsidRPr="00824B04">
        <w:t>2</w:t>
      </w:r>
      <w:r w:rsidRPr="00824B04">
        <w:t>)</w:t>
      </w:r>
      <w:r w:rsidRPr="00824B04">
        <w:tab/>
        <w:t>The Competent Authority may exercise all the powers of a compliance auditor.</w:t>
      </w:r>
    </w:p>
    <w:p w14:paraId="55BDEA67" w14:textId="77777777" w:rsidR="00164639" w:rsidRPr="00824B04" w:rsidRDefault="00164639" w:rsidP="00164639">
      <w:pPr>
        <w:pStyle w:val="subsection"/>
      </w:pPr>
      <w:r w:rsidRPr="00824B04">
        <w:tab/>
        <w:t>(</w:t>
      </w:r>
      <w:r w:rsidR="004D3491" w:rsidRPr="00824B04">
        <w:t>3</w:t>
      </w:r>
      <w:r w:rsidRPr="00824B04">
        <w:t>)</w:t>
      </w:r>
      <w:r w:rsidRPr="00824B04">
        <w:tab/>
        <w:t xml:space="preserve">An appointment </w:t>
      </w:r>
      <w:r w:rsidR="006C0E59" w:rsidRPr="00824B04">
        <w:t xml:space="preserve">under </w:t>
      </w:r>
      <w:r w:rsidR="00240D90" w:rsidRPr="00824B04">
        <w:t>subsection (</w:t>
      </w:r>
      <w:r w:rsidR="006C0E59" w:rsidRPr="00824B04">
        <w:t xml:space="preserve">1) </w:t>
      </w:r>
      <w:r w:rsidRPr="00824B04">
        <w:t>may be made subject to conditions stated in the instrument of appointment.</w:t>
      </w:r>
    </w:p>
    <w:p w14:paraId="71D6640E" w14:textId="77777777" w:rsidR="002134B1" w:rsidRPr="00824B04" w:rsidRDefault="001436C7" w:rsidP="002134B1">
      <w:pPr>
        <w:pStyle w:val="ActHead5"/>
      </w:pPr>
      <w:bookmarkStart w:id="46" w:name="_Toc170463356"/>
      <w:r w:rsidRPr="00824B04">
        <w:rPr>
          <w:rStyle w:val="CharSectno"/>
        </w:rPr>
        <w:t>31</w:t>
      </w:r>
      <w:r w:rsidR="002134B1" w:rsidRPr="00824B04">
        <w:t xml:space="preserve">  Delegation by</w:t>
      </w:r>
      <w:r w:rsidR="0017005A" w:rsidRPr="00824B04">
        <w:t xml:space="preserve"> </w:t>
      </w:r>
      <w:r w:rsidR="002134B1" w:rsidRPr="00824B04">
        <w:t>Competent Authority</w:t>
      </w:r>
      <w:bookmarkEnd w:id="46"/>
    </w:p>
    <w:p w14:paraId="48C969D7" w14:textId="77777777" w:rsidR="002134B1" w:rsidRPr="00824B04" w:rsidRDefault="0047058C" w:rsidP="00BC6A99">
      <w:pPr>
        <w:pStyle w:val="subsection"/>
      </w:pPr>
      <w:r w:rsidRPr="00824B04">
        <w:tab/>
      </w:r>
      <w:r w:rsidR="002134B1" w:rsidRPr="00824B04">
        <w:t>(</w:t>
      </w:r>
      <w:r w:rsidR="00BC6A99" w:rsidRPr="00824B04">
        <w:t>1</w:t>
      </w:r>
      <w:r w:rsidR="002134B1" w:rsidRPr="00824B04">
        <w:t>)</w:t>
      </w:r>
      <w:r w:rsidR="002134B1" w:rsidRPr="00824B04">
        <w:tab/>
        <w:t xml:space="preserve">The Competent Authority may, in writing, delegate to a person referred to in </w:t>
      </w:r>
      <w:r w:rsidR="00240D90" w:rsidRPr="00824B04">
        <w:t>subsection (</w:t>
      </w:r>
      <w:r w:rsidR="00BC6A99" w:rsidRPr="00824B04">
        <w:t>2</w:t>
      </w:r>
      <w:r w:rsidR="002134B1" w:rsidRPr="00824B04">
        <w:t xml:space="preserve">) all or any of the </w:t>
      </w:r>
      <w:r w:rsidR="00E47C54" w:rsidRPr="00824B04">
        <w:t xml:space="preserve">duties, </w:t>
      </w:r>
      <w:r w:rsidR="002134B1" w:rsidRPr="00824B04">
        <w:t xml:space="preserve">functions and powers </w:t>
      </w:r>
      <w:r w:rsidR="00E47C54" w:rsidRPr="00824B04">
        <w:t xml:space="preserve">(however described) </w:t>
      </w:r>
      <w:r w:rsidR="002134B1" w:rsidRPr="00824B04">
        <w:t>of the Competent Authority under th</w:t>
      </w:r>
      <w:r w:rsidR="008C5CBF" w:rsidRPr="00824B04">
        <w:t xml:space="preserve">is instrument </w:t>
      </w:r>
      <w:r w:rsidR="002134B1" w:rsidRPr="00824B04">
        <w:t>other than:</w:t>
      </w:r>
    </w:p>
    <w:p w14:paraId="71EE4793" w14:textId="77777777" w:rsidR="002134B1" w:rsidRPr="00824B04" w:rsidRDefault="002134B1" w:rsidP="002134B1">
      <w:pPr>
        <w:pStyle w:val="paragraph"/>
      </w:pPr>
      <w:r w:rsidRPr="00824B04">
        <w:tab/>
        <w:t>(a)</w:t>
      </w:r>
      <w:r w:rsidRPr="00824B04">
        <w:tab/>
        <w:t xml:space="preserve">the power to appoint a person to be a compliance auditor under </w:t>
      </w:r>
      <w:r w:rsidR="00C5351E" w:rsidRPr="00824B04">
        <w:t>section 3</w:t>
      </w:r>
      <w:r w:rsidR="001436C7" w:rsidRPr="00824B04">
        <w:t>2</w:t>
      </w:r>
      <w:r w:rsidRPr="00824B04">
        <w:t>; and</w:t>
      </w:r>
    </w:p>
    <w:p w14:paraId="5D3CD6E0" w14:textId="77777777" w:rsidR="006A36DF" w:rsidRPr="00824B04" w:rsidRDefault="002134B1" w:rsidP="00814FD8">
      <w:pPr>
        <w:pStyle w:val="paragraph"/>
      </w:pPr>
      <w:r w:rsidRPr="00824B04">
        <w:tab/>
        <w:t>(b)</w:t>
      </w:r>
      <w:r w:rsidRPr="00824B04">
        <w:tab/>
        <w:t xml:space="preserve">the power to grant exemptions under </w:t>
      </w:r>
      <w:r w:rsidR="00C5351E" w:rsidRPr="00824B04">
        <w:t>section 1</w:t>
      </w:r>
      <w:r w:rsidR="001436C7" w:rsidRPr="00824B04">
        <w:t>9</w:t>
      </w:r>
      <w:r w:rsidR="00D344D5" w:rsidRPr="00824B04">
        <w:t>; and</w:t>
      </w:r>
    </w:p>
    <w:p w14:paraId="020C2E9D" w14:textId="77777777" w:rsidR="00D344D5" w:rsidRPr="00824B04" w:rsidRDefault="00D344D5" w:rsidP="00D344D5">
      <w:pPr>
        <w:pStyle w:val="paragraph"/>
      </w:pPr>
      <w:r w:rsidRPr="00824B04">
        <w:tab/>
        <w:t>(c)</w:t>
      </w:r>
      <w:r w:rsidRPr="00824B04">
        <w:tab/>
        <w:t xml:space="preserve">the power to make an order under </w:t>
      </w:r>
      <w:r w:rsidR="00C5351E" w:rsidRPr="00824B04">
        <w:t>section 4</w:t>
      </w:r>
      <w:r w:rsidR="001436C7" w:rsidRPr="00824B04">
        <w:t>3</w:t>
      </w:r>
      <w:r w:rsidRPr="00824B04">
        <w:t>.</w:t>
      </w:r>
    </w:p>
    <w:p w14:paraId="2864EB58" w14:textId="77777777" w:rsidR="002134B1" w:rsidRPr="00824B04" w:rsidRDefault="002134B1" w:rsidP="008C5CBF">
      <w:pPr>
        <w:pStyle w:val="subsection"/>
      </w:pPr>
      <w:r w:rsidRPr="00824B04">
        <w:tab/>
      </w:r>
      <w:bookmarkStart w:id="47" w:name="_Hlk169686970"/>
      <w:r w:rsidRPr="00824B04">
        <w:t>(</w:t>
      </w:r>
      <w:r w:rsidR="00BC6A99" w:rsidRPr="00824B04">
        <w:t>2</w:t>
      </w:r>
      <w:r w:rsidRPr="00824B04">
        <w:t>)</w:t>
      </w:r>
      <w:r w:rsidRPr="00824B04">
        <w:tab/>
        <w:t xml:space="preserve">For </w:t>
      </w:r>
      <w:r w:rsidR="00631102" w:rsidRPr="00824B04">
        <w:t xml:space="preserve">the purposes of </w:t>
      </w:r>
      <w:r w:rsidR="00240D90" w:rsidRPr="00824B04">
        <w:t>subsection (</w:t>
      </w:r>
      <w:r w:rsidR="00BC6A99" w:rsidRPr="00824B04">
        <w:t>1</w:t>
      </w:r>
      <w:r w:rsidRPr="00824B04">
        <w:t>), the persons</w:t>
      </w:r>
      <w:r w:rsidR="00330963" w:rsidRPr="00824B04">
        <w:t xml:space="preserve"> are as follows</w:t>
      </w:r>
      <w:r w:rsidRPr="00824B04">
        <w:t>:</w:t>
      </w:r>
    </w:p>
    <w:p w14:paraId="42A54C30" w14:textId="77777777" w:rsidR="00150F28" w:rsidRPr="00824B04" w:rsidRDefault="002134B1" w:rsidP="00150F28">
      <w:pPr>
        <w:pStyle w:val="paragraph"/>
      </w:pPr>
      <w:r w:rsidRPr="00824B04">
        <w:tab/>
      </w:r>
      <w:r w:rsidR="00150F28" w:rsidRPr="00824B04">
        <w:t>(a)</w:t>
      </w:r>
      <w:r w:rsidR="00150F28" w:rsidRPr="00824B04">
        <w:tab/>
        <w:t>an APS employee in the Department who is:</w:t>
      </w:r>
    </w:p>
    <w:p w14:paraId="5A68A746" w14:textId="77777777" w:rsidR="00150F28" w:rsidRPr="00824B04" w:rsidRDefault="00150F28" w:rsidP="00150F28">
      <w:pPr>
        <w:pStyle w:val="paragraphsub"/>
      </w:pPr>
      <w:r w:rsidRPr="00824B04">
        <w:tab/>
        <w:t>(</w:t>
      </w:r>
      <w:proofErr w:type="spellStart"/>
      <w:r w:rsidRPr="00824B04">
        <w:t>i</w:t>
      </w:r>
      <w:proofErr w:type="spellEnd"/>
      <w:r w:rsidRPr="00824B04">
        <w:t>)</w:t>
      </w:r>
      <w:r w:rsidRPr="00824B04">
        <w:tab/>
        <w:t>classified as Executive Level 2</w:t>
      </w:r>
      <w:r w:rsidR="00A9748D" w:rsidRPr="00824B04">
        <w:t>,</w:t>
      </w:r>
      <w:r w:rsidRPr="00824B04">
        <w:t xml:space="preserve"> or equivalent</w:t>
      </w:r>
      <w:r w:rsidR="008E1626" w:rsidRPr="00824B04">
        <w:t>, or higher</w:t>
      </w:r>
      <w:r w:rsidRPr="00824B04">
        <w:t>;</w:t>
      </w:r>
      <w:r w:rsidR="008D1131" w:rsidRPr="00824B04">
        <w:t xml:space="preserve"> or</w:t>
      </w:r>
    </w:p>
    <w:p w14:paraId="7BE62076" w14:textId="77777777" w:rsidR="0094701A" w:rsidRPr="00824B04" w:rsidRDefault="00150F28" w:rsidP="00150F28">
      <w:pPr>
        <w:pStyle w:val="paragraphsub"/>
      </w:pPr>
      <w:r w:rsidRPr="00824B04">
        <w:tab/>
        <w:t>(ii)</w:t>
      </w:r>
      <w:r w:rsidRPr="00824B04">
        <w:tab/>
        <w:t>acting in a position usually occupied by an APS employee who is so classified;</w:t>
      </w:r>
    </w:p>
    <w:p w14:paraId="46784E9F" w14:textId="77777777" w:rsidR="00466D56" w:rsidRPr="00824B04" w:rsidRDefault="00874245" w:rsidP="00466D56">
      <w:pPr>
        <w:pStyle w:val="paragraph"/>
      </w:pPr>
      <w:r w:rsidRPr="00824B04">
        <w:tab/>
      </w:r>
      <w:r w:rsidR="00466D56" w:rsidRPr="00824B04">
        <w:t>(</w:t>
      </w:r>
      <w:r w:rsidR="00D95284" w:rsidRPr="00824B04">
        <w:t>b</w:t>
      </w:r>
      <w:r w:rsidR="00466D56" w:rsidRPr="00824B04">
        <w:t>)</w:t>
      </w:r>
      <w:r w:rsidR="00466D56" w:rsidRPr="00824B04">
        <w:tab/>
        <w:t>an officer of the Navy who holds the rank of Captain or a higher rank;</w:t>
      </w:r>
    </w:p>
    <w:p w14:paraId="106CF811" w14:textId="77777777" w:rsidR="00466D56" w:rsidRPr="00824B04" w:rsidRDefault="00466D56" w:rsidP="00466D56">
      <w:pPr>
        <w:pStyle w:val="paragraph"/>
      </w:pPr>
      <w:r w:rsidRPr="00824B04">
        <w:tab/>
        <w:t>(</w:t>
      </w:r>
      <w:r w:rsidR="00D95284" w:rsidRPr="00824B04">
        <w:t>c</w:t>
      </w:r>
      <w:r w:rsidRPr="00824B04">
        <w:t>)</w:t>
      </w:r>
      <w:r w:rsidRPr="00824B04">
        <w:tab/>
        <w:t>an officer of the Army who holds the rank of Colonel or a higher rank;</w:t>
      </w:r>
    </w:p>
    <w:p w14:paraId="3F755089" w14:textId="77777777" w:rsidR="006E745F" w:rsidRPr="00824B04" w:rsidRDefault="00466D56" w:rsidP="008C5CBF">
      <w:pPr>
        <w:pStyle w:val="paragraph"/>
      </w:pPr>
      <w:r w:rsidRPr="00824B04">
        <w:tab/>
        <w:t>(</w:t>
      </w:r>
      <w:r w:rsidR="00D95284" w:rsidRPr="00824B04">
        <w:t>d</w:t>
      </w:r>
      <w:r w:rsidRPr="00824B04">
        <w:t>)</w:t>
      </w:r>
      <w:r w:rsidRPr="00824B04">
        <w:tab/>
        <w:t>an officer of the Air Force who holds the rank of Group Captain or a higher ran</w:t>
      </w:r>
      <w:r w:rsidR="00874245" w:rsidRPr="00824B04">
        <w:t>k</w:t>
      </w:r>
      <w:r w:rsidR="002134B1" w:rsidRPr="00824B04">
        <w:t>.</w:t>
      </w:r>
    </w:p>
    <w:p w14:paraId="129F5FA1" w14:textId="77777777" w:rsidR="00F144AE" w:rsidRPr="00824B04" w:rsidRDefault="00864AFB" w:rsidP="00330963">
      <w:pPr>
        <w:pStyle w:val="ActHead3"/>
        <w:pageBreakBefore/>
      </w:pPr>
      <w:bookmarkStart w:id="48" w:name="_Toc170463357"/>
      <w:bookmarkEnd w:id="47"/>
      <w:r w:rsidRPr="00824B04">
        <w:rPr>
          <w:rStyle w:val="CharDivNo"/>
        </w:rPr>
        <w:lastRenderedPageBreak/>
        <w:t>Division 2</w:t>
      </w:r>
      <w:r w:rsidR="00F144AE" w:rsidRPr="00824B04">
        <w:t>—</w:t>
      </w:r>
      <w:r w:rsidR="00F144AE" w:rsidRPr="00824B04">
        <w:rPr>
          <w:rStyle w:val="CharDivText"/>
        </w:rPr>
        <w:t>Compliance auditors</w:t>
      </w:r>
      <w:bookmarkEnd w:id="48"/>
    </w:p>
    <w:p w14:paraId="07245E63" w14:textId="77777777" w:rsidR="00F144AE" w:rsidRPr="00824B04" w:rsidRDefault="001436C7" w:rsidP="00F144AE">
      <w:pPr>
        <w:pStyle w:val="ActHead5"/>
      </w:pPr>
      <w:bookmarkStart w:id="49" w:name="_Toc170463358"/>
      <w:r w:rsidRPr="00824B04">
        <w:rPr>
          <w:rStyle w:val="CharSectno"/>
        </w:rPr>
        <w:t>32</w:t>
      </w:r>
      <w:r w:rsidR="00F144AE" w:rsidRPr="00824B04">
        <w:t xml:space="preserve">  Appointment of compliance auditors</w:t>
      </w:r>
      <w:bookmarkEnd w:id="49"/>
    </w:p>
    <w:p w14:paraId="1945A69A" w14:textId="77777777" w:rsidR="00F144AE" w:rsidRPr="00824B04" w:rsidRDefault="00F144AE" w:rsidP="00F144AE">
      <w:pPr>
        <w:pStyle w:val="subsection"/>
      </w:pPr>
      <w:r w:rsidRPr="00824B04">
        <w:tab/>
        <w:t>(1)</w:t>
      </w:r>
      <w:r w:rsidRPr="00824B04">
        <w:tab/>
        <w:t xml:space="preserve">The Competent Authority may, </w:t>
      </w:r>
      <w:r w:rsidR="00E075F1" w:rsidRPr="00824B04">
        <w:t>in writing</w:t>
      </w:r>
      <w:r w:rsidRPr="00824B04">
        <w:t>, appoint as a compliance auditor a person who:</w:t>
      </w:r>
    </w:p>
    <w:p w14:paraId="201522FC" w14:textId="77777777" w:rsidR="00F144AE" w:rsidRPr="00824B04" w:rsidRDefault="00F144AE" w:rsidP="00F144AE">
      <w:pPr>
        <w:pStyle w:val="paragraph"/>
      </w:pPr>
      <w:r w:rsidRPr="00824B04">
        <w:tab/>
        <w:t>(a)</w:t>
      </w:r>
      <w:r w:rsidRPr="00824B04">
        <w:tab/>
        <w:t>is experienced and trained in the safe handling of explosives; and</w:t>
      </w:r>
    </w:p>
    <w:p w14:paraId="65EBEA7F" w14:textId="77777777" w:rsidR="00F144AE" w:rsidRPr="00824B04" w:rsidRDefault="00F144AE" w:rsidP="00F144AE">
      <w:pPr>
        <w:pStyle w:val="paragraph"/>
      </w:pPr>
      <w:r w:rsidRPr="00824B04">
        <w:tab/>
        <w:t>(b)</w:t>
      </w:r>
      <w:r w:rsidRPr="00824B04">
        <w:tab/>
        <w:t>has practical knowledge of Commonwealth explosives and of the legislation relating to the transport of such explosives by road or rail.</w:t>
      </w:r>
    </w:p>
    <w:p w14:paraId="268FF8E2" w14:textId="77777777" w:rsidR="00F144AE" w:rsidRPr="00824B04" w:rsidRDefault="00F144AE" w:rsidP="00F144AE">
      <w:pPr>
        <w:pStyle w:val="subsection"/>
      </w:pPr>
      <w:r w:rsidRPr="00824B04">
        <w:tab/>
        <w:t>(2)</w:t>
      </w:r>
      <w:r w:rsidRPr="00824B04">
        <w:tab/>
        <w:t>An appointment may be made subject to conditions stated in the instrument of appointment.</w:t>
      </w:r>
    </w:p>
    <w:p w14:paraId="7C4BBB68" w14:textId="77777777" w:rsidR="00F144AE" w:rsidRPr="00824B04" w:rsidRDefault="001436C7" w:rsidP="00F144AE">
      <w:pPr>
        <w:pStyle w:val="ActHead5"/>
      </w:pPr>
      <w:bookmarkStart w:id="50" w:name="_Toc170463359"/>
      <w:r w:rsidRPr="00824B04">
        <w:rPr>
          <w:rStyle w:val="CharSectno"/>
        </w:rPr>
        <w:t>33</w:t>
      </w:r>
      <w:r w:rsidR="00F144AE" w:rsidRPr="00824B04">
        <w:t xml:space="preserve">  Compliance audits</w:t>
      </w:r>
      <w:bookmarkEnd w:id="50"/>
    </w:p>
    <w:p w14:paraId="006185AA" w14:textId="77777777" w:rsidR="00F144AE" w:rsidRPr="00824B04" w:rsidRDefault="00F144AE" w:rsidP="00F144AE">
      <w:pPr>
        <w:pStyle w:val="subsection"/>
      </w:pPr>
      <w:r w:rsidRPr="00824B04">
        <w:tab/>
        <w:t>(1)</w:t>
      </w:r>
      <w:r w:rsidRPr="00824B04">
        <w:tab/>
        <w:t>For the purposes of finding out if the appropriate legislation is being complied with, a compliance auditor may:</w:t>
      </w:r>
    </w:p>
    <w:p w14:paraId="3851680E" w14:textId="77777777" w:rsidR="00F144AE" w:rsidRPr="00824B04" w:rsidRDefault="00F144AE" w:rsidP="00F144AE">
      <w:pPr>
        <w:pStyle w:val="paragraph"/>
      </w:pPr>
      <w:r w:rsidRPr="00824B04">
        <w:tab/>
        <w:t>(a)</w:t>
      </w:r>
      <w:r w:rsidRPr="00824B04">
        <w:tab/>
        <w:t>enter premises connected with, or used for the purposes of, activities carried on in relation to, or in relation to any matter incidental to, the transport of Commonwealth explosives by road or rail, or where any documents relating to those activities are kept; and</w:t>
      </w:r>
    </w:p>
    <w:p w14:paraId="2611BBC1" w14:textId="77777777" w:rsidR="00F144AE" w:rsidRPr="00824B04" w:rsidRDefault="00F144AE" w:rsidP="00F144AE">
      <w:pPr>
        <w:pStyle w:val="paragraph"/>
      </w:pPr>
      <w:r w:rsidRPr="00824B04">
        <w:tab/>
        <w:t>(b)</w:t>
      </w:r>
      <w:r w:rsidRPr="00824B04">
        <w:tab/>
        <w:t>conduct an audit by way of an examination or review of any aspect of those activities.</w:t>
      </w:r>
    </w:p>
    <w:p w14:paraId="115C94BC" w14:textId="77777777" w:rsidR="00F144AE" w:rsidRPr="00824B04" w:rsidRDefault="00F144AE" w:rsidP="00F144AE">
      <w:pPr>
        <w:pStyle w:val="subsection"/>
      </w:pPr>
      <w:r w:rsidRPr="00824B04">
        <w:tab/>
        <w:t>(2)</w:t>
      </w:r>
      <w:r w:rsidRPr="00824B04">
        <w:tab/>
        <w:t>However, a compliance auditor is not authorised to enter premises unless:</w:t>
      </w:r>
    </w:p>
    <w:p w14:paraId="27C2BDED" w14:textId="77777777" w:rsidR="00F144AE" w:rsidRPr="00824B04" w:rsidRDefault="00F144AE" w:rsidP="00F144AE">
      <w:pPr>
        <w:pStyle w:val="paragraph"/>
      </w:pPr>
      <w:r w:rsidRPr="00824B04">
        <w:tab/>
        <w:t>(a)</w:t>
      </w:r>
      <w:r w:rsidRPr="00824B04">
        <w:tab/>
        <w:t>the auditor produces the auditor’s identity card for inspection by the occupier of the premises; and</w:t>
      </w:r>
    </w:p>
    <w:p w14:paraId="74FCE777" w14:textId="77777777" w:rsidR="00F144AE" w:rsidRPr="00824B04" w:rsidRDefault="00F144AE" w:rsidP="00F144AE">
      <w:pPr>
        <w:pStyle w:val="paragraph"/>
      </w:pPr>
      <w:r w:rsidRPr="00824B04">
        <w:tab/>
        <w:t>(b)</w:t>
      </w:r>
      <w:r w:rsidRPr="00824B04">
        <w:tab/>
        <w:t>the occupier of the premises has consented to the entry.</w:t>
      </w:r>
    </w:p>
    <w:p w14:paraId="2548AD2E" w14:textId="77777777" w:rsidR="00F144AE" w:rsidRPr="00824B04" w:rsidRDefault="00F144AE" w:rsidP="00F144AE">
      <w:pPr>
        <w:pStyle w:val="subsection"/>
      </w:pPr>
      <w:r w:rsidRPr="00824B04">
        <w:tab/>
        <w:t>(3)</w:t>
      </w:r>
      <w:r w:rsidRPr="00824B04">
        <w:tab/>
        <w:t>In conducting the audit, the compliance auditor may exercise the following powers:</w:t>
      </w:r>
    </w:p>
    <w:p w14:paraId="70287561" w14:textId="77777777" w:rsidR="00F144AE" w:rsidRPr="00824B04" w:rsidRDefault="00F144AE" w:rsidP="00F144AE">
      <w:pPr>
        <w:pStyle w:val="paragraph"/>
      </w:pPr>
      <w:r w:rsidRPr="00824B04">
        <w:tab/>
        <w:t>(a)</w:t>
      </w:r>
      <w:r w:rsidRPr="00824B04">
        <w:tab/>
        <w:t>the power to inspect the premises or anything found there that is connected with, or has been, is being or is likely to be used for the purposes of, the transport of Commonwealth explosives by road or rail;</w:t>
      </w:r>
    </w:p>
    <w:p w14:paraId="5B2C08DE" w14:textId="77777777" w:rsidR="00F144AE" w:rsidRPr="00824B04" w:rsidRDefault="00F144AE" w:rsidP="00F144AE">
      <w:pPr>
        <w:pStyle w:val="paragraph"/>
      </w:pPr>
      <w:r w:rsidRPr="00824B04">
        <w:tab/>
        <w:t>(b)</w:t>
      </w:r>
      <w:r w:rsidRPr="00824B04">
        <w:tab/>
        <w:t xml:space="preserve">the power to take copies of or extracts from any documents inspected under </w:t>
      </w:r>
      <w:r w:rsidR="00240D90" w:rsidRPr="00824B04">
        <w:t>paragraph (</w:t>
      </w:r>
      <w:r w:rsidRPr="00824B04">
        <w:t>a);</w:t>
      </w:r>
    </w:p>
    <w:p w14:paraId="435D0597" w14:textId="77777777" w:rsidR="00F144AE" w:rsidRPr="00824B04" w:rsidRDefault="00F144AE" w:rsidP="00F144AE">
      <w:pPr>
        <w:pStyle w:val="paragraph"/>
      </w:pPr>
      <w:r w:rsidRPr="00824B04">
        <w:tab/>
        <w:t>(c)</w:t>
      </w:r>
      <w:r w:rsidRPr="00824B04">
        <w:tab/>
        <w:t>the power to take measurements of anything in or on the premises concerning the explosives;</w:t>
      </w:r>
    </w:p>
    <w:p w14:paraId="62AC3CA2" w14:textId="77777777" w:rsidR="00F144AE" w:rsidRPr="00824B04" w:rsidRDefault="00F144AE" w:rsidP="00F144AE">
      <w:pPr>
        <w:pStyle w:val="paragraph"/>
      </w:pPr>
      <w:r w:rsidRPr="00824B04">
        <w:tab/>
        <w:t>(d)</w:t>
      </w:r>
      <w:r w:rsidRPr="00824B04">
        <w:tab/>
        <w:t>the power to make sketches or take photographs of anything in or on the premises concerning the explosives.</w:t>
      </w:r>
    </w:p>
    <w:p w14:paraId="049EF756" w14:textId="77777777" w:rsidR="00F144AE" w:rsidRPr="00824B04" w:rsidRDefault="00F144AE" w:rsidP="00F144AE">
      <w:pPr>
        <w:pStyle w:val="subsection"/>
      </w:pPr>
      <w:r w:rsidRPr="00824B04">
        <w:tab/>
        <w:t>(4)</w:t>
      </w:r>
      <w:r w:rsidRPr="00824B04">
        <w:tab/>
        <w:t xml:space="preserve">Nothing in this </w:t>
      </w:r>
      <w:r w:rsidR="004D3491" w:rsidRPr="00824B04">
        <w:t>section</w:t>
      </w:r>
      <w:r w:rsidRPr="00824B04">
        <w:t xml:space="preserve"> authorises a compliance auditor:</w:t>
      </w:r>
    </w:p>
    <w:p w14:paraId="6183419B" w14:textId="77777777" w:rsidR="00F144AE" w:rsidRPr="00824B04" w:rsidRDefault="00F144AE" w:rsidP="00F144AE">
      <w:pPr>
        <w:pStyle w:val="paragraph"/>
      </w:pPr>
      <w:r w:rsidRPr="00824B04">
        <w:tab/>
        <w:t>(a)</w:t>
      </w:r>
      <w:r w:rsidRPr="00824B04">
        <w:tab/>
        <w:t>to use force to any extent for the purpose of conducting the audit; or</w:t>
      </w:r>
    </w:p>
    <w:p w14:paraId="0378CD53" w14:textId="77777777" w:rsidR="00F144AE" w:rsidRPr="00824B04" w:rsidRDefault="00F144AE" w:rsidP="00F144AE">
      <w:pPr>
        <w:pStyle w:val="paragraph"/>
      </w:pPr>
      <w:r w:rsidRPr="00824B04">
        <w:tab/>
        <w:t>(b)</w:t>
      </w:r>
      <w:r w:rsidRPr="00824B04">
        <w:tab/>
        <w:t>to conduct the audit against the expressed wishes of the occupier.</w:t>
      </w:r>
    </w:p>
    <w:p w14:paraId="4C699FD9" w14:textId="77777777" w:rsidR="00F144AE" w:rsidRPr="00824B04" w:rsidRDefault="00F144AE" w:rsidP="00F144AE">
      <w:pPr>
        <w:pStyle w:val="subsection"/>
      </w:pPr>
      <w:r w:rsidRPr="00824B04">
        <w:tab/>
        <w:t>(5)</w:t>
      </w:r>
      <w:r w:rsidRPr="00824B04">
        <w:tab/>
        <w:t>A compliance auditor must, within 14 days after completing an audit, give to the Competent Authority a written report of the audit setting out the results of the audit.</w:t>
      </w:r>
    </w:p>
    <w:p w14:paraId="0B26389A" w14:textId="77777777" w:rsidR="00F144AE" w:rsidRPr="00824B04" w:rsidRDefault="00F144AE" w:rsidP="00F144AE">
      <w:pPr>
        <w:pStyle w:val="subsection"/>
      </w:pPr>
      <w:r w:rsidRPr="00824B04">
        <w:tab/>
        <w:t>(6)</w:t>
      </w:r>
      <w:r w:rsidRPr="00824B04">
        <w:tab/>
        <w:t xml:space="preserve">In this </w:t>
      </w:r>
      <w:r w:rsidR="004D3491" w:rsidRPr="00824B04">
        <w:t>section</w:t>
      </w:r>
      <w:r w:rsidRPr="00824B04">
        <w:t>:</w:t>
      </w:r>
    </w:p>
    <w:p w14:paraId="54562D95" w14:textId="77777777" w:rsidR="00F144AE" w:rsidRPr="00824B04" w:rsidRDefault="00F144AE" w:rsidP="00F144AE">
      <w:pPr>
        <w:pStyle w:val="Definition"/>
      </w:pPr>
      <w:r w:rsidRPr="00824B04">
        <w:rPr>
          <w:b/>
          <w:i/>
        </w:rPr>
        <w:lastRenderedPageBreak/>
        <w:t xml:space="preserve">appropriate legislation </w:t>
      </w:r>
      <w:r w:rsidRPr="00824B04">
        <w:t xml:space="preserve">means </w:t>
      </w:r>
      <w:r w:rsidR="00240D90" w:rsidRPr="00824B04">
        <w:t>Part 2</w:t>
      </w:r>
      <w:r w:rsidRPr="00824B04">
        <w:t xml:space="preserve"> of </w:t>
      </w:r>
      <w:r w:rsidR="000D55E0" w:rsidRPr="00824B04">
        <w:t>this instrument</w:t>
      </w:r>
      <w:r w:rsidRPr="00824B04">
        <w:t xml:space="preserve"> </w:t>
      </w:r>
      <w:r w:rsidR="003A38E9" w:rsidRPr="00824B04">
        <w:t>or</w:t>
      </w:r>
      <w:r w:rsidRPr="00824B04">
        <w:t xml:space="preserve"> orders made under </w:t>
      </w:r>
      <w:r w:rsidR="00C5351E" w:rsidRPr="00824B04">
        <w:t>paragraph 4</w:t>
      </w:r>
      <w:r w:rsidR="001436C7" w:rsidRPr="00824B04">
        <w:t>4</w:t>
      </w:r>
      <w:r w:rsidRPr="00824B04">
        <w:t xml:space="preserve">(1)(a) </w:t>
      </w:r>
      <w:r w:rsidR="003A38E9" w:rsidRPr="00824B04">
        <w:t>or</w:t>
      </w:r>
      <w:r w:rsidRPr="00824B04">
        <w:t xml:space="preserve"> (b).</w:t>
      </w:r>
    </w:p>
    <w:p w14:paraId="091F8B78" w14:textId="77777777" w:rsidR="00F144AE" w:rsidRPr="00824B04" w:rsidRDefault="00F144AE" w:rsidP="00F144AE">
      <w:pPr>
        <w:pStyle w:val="Definition"/>
      </w:pPr>
      <w:r w:rsidRPr="00824B04">
        <w:rPr>
          <w:b/>
          <w:i/>
        </w:rPr>
        <w:t>occupier</w:t>
      </w:r>
      <w:r w:rsidRPr="00824B04">
        <w:t>, in relation to a vehicle, means the person in charge or apparently in charge of the vehicle.</w:t>
      </w:r>
    </w:p>
    <w:p w14:paraId="1A362202" w14:textId="77777777" w:rsidR="00F144AE" w:rsidRPr="00824B04" w:rsidRDefault="00F144AE" w:rsidP="00F144AE">
      <w:pPr>
        <w:pStyle w:val="Definition"/>
      </w:pPr>
      <w:r w:rsidRPr="00824B04">
        <w:rPr>
          <w:b/>
          <w:i/>
        </w:rPr>
        <w:t xml:space="preserve">premises </w:t>
      </w:r>
      <w:r w:rsidRPr="00824B04">
        <w:t>includes any place, whether enclosed, built on or not, any vehicle and any part of premises.</w:t>
      </w:r>
    </w:p>
    <w:p w14:paraId="29C36F09" w14:textId="77777777" w:rsidR="005A6244" w:rsidRPr="00824B04" w:rsidRDefault="005A6244" w:rsidP="005A6244">
      <w:pPr>
        <w:pStyle w:val="notetext"/>
      </w:pPr>
      <w:r w:rsidRPr="00824B04">
        <w:t>Note:</w:t>
      </w:r>
      <w:r w:rsidRPr="00824B04">
        <w:tab/>
        <w:t xml:space="preserve">Penalties for a failure to comply with </w:t>
      </w:r>
      <w:r w:rsidR="00240D90" w:rsidRPr="00824B04">
        <w:t>subsection (</w:t>
      </w:r>
      <w:r w:rsidRPr="00824B04">
        <w:t>2), (4) or (5)</w:t>
      </w:r>
      <w:r w:rsidR="003A52F9" w:rsidRPr="00824B04">
        <w:t xml:space="preserve"> of this section</w:t>
      </w:r>
      <w:r w:rsidRPr="00824B04">
        <w:t xml:space="preserve"> are set by </w:t>
      </w:r>
      <w:r w:rsidR="008B59D2" w:rsidRPr="00824B04">
        <w:t>section 2</w:t>
      </w:r>
      <w:r w:rsidRPr="00824B04">
        <w:t>0 of the Act.</w:t>
      </w:r>
    </w:p>
    <w:p w14:paraId="49876A9C" w14:textId="77777777" w:rsidR="00F144AE" w:rsidRPr="00824B04" w:rsidRDefault="001436C7" w:rsidP="00F144AE">
      <w:pPr>
        <w:pStyle w:val="ActHead5"/>
      </w:pPr>
      <w:bookmarkStart w:id="51" w:name="_Toc170463360"/>
      <w:r w:rsidRPr="00824B04">
        <w:rPr>
          <w:rStyle w:val="CharSectno"/>
        </w:rPr>
        <w:t>34</w:t>
      </w:r>
      <w:r w:rsidR="00F144AE" w:rsidRPr="00824B04">
        <w:t xml:space="preserve">  Identity cards for compliance auditors</w:t>
      </w:r>
      <w:bookmarkEnd w:id="51"/>
    </w:p>
    <w:p w14:paraId="6B11C14E" w14:textId="77777777" w:rsidR="00F144AE" w:rsidRPr="00824B04" w:rsidRDefault="00F144AE" w:rsidP="00F144AE">
      <w:pPr>
        <w:pStyle w:val="subsection"/>
      </w:pPr>
      <w:r w:rsidRPr="00824B04">
        <w:tab/>
        <w:t>(1)</w:t>
      </w:r>
      <w:r w:rsidRPr="00824B04">
        <w:tab/>
        <w:t>The Competent Authority must issue to a compliance auditor an identity card that:</w:t>
      </w:r>
    </w:p>
    <w:p w14:paraId="2331B6FD" w14:textId="77777777" w:rsidR="00F144AE" w:rsidRPr="00824B04" w:rsidRDefault="00F144AE" w:rsidP="00F144AE">
      <w:pPr>
        <w:pStyle w:val="paragraph"/>
      </w:pPr>
      <w:r w:rsidRPr="00824B04">
        <w:tab/>
        <w:t>(a)</w:t>
      </w:r>
      <w:r w:rsidRPr="00824B04">
        <w:tab/>
        <w:t>shows a recent photograph of the compliance auditor; and</w:t>
      </w:r>
    </w:p>
    <w:p w14:paraId="4545BFE2" w14:textId="77777777" w:rsidR="00F144AE" w:rsidRPr="00824B04" w:rsidRDefault="00F144AE" w:rsidP="00F144AE">
      <w:pPr>
        <w:pStyle w:val="paragraph"/>
      </w:pPr>
      <w:r w:rsidRPr="00824B04">
        <w:tab/>
        <w:t>(b)</w:t>
      </w:r>
      <w:r w:rsidRPr="00824B04">
        <w:tab/>
        <w:t>includes:</w:t>
      </w:r>
    </w:p>
    <w:p w14:paraId="1FDF0EE1" w14:textId="77777777" w:rsidR="00F144AE" w:rsidRPr="00824B04" w:rsidRDefault="00F144AE" w:rsidP="00F144AE">
      <w:pPr>
        <w:pStyle w:val="paragraphsub"/>
      </w:pPr>
      <w:r w:rsidRPr="00824B04">
        <w:tab/>
        <w:t>(</w:t>
      </w:r>
      <w:proofErr w:type="spellStart"/>
      <w:r w:rsidRPr="00824B04">
        <w:t>i</w:t>
      </w:r>
      <w:proofErr w:type="spellEnd"/>
      <w:r w:rsidRPr="00824B04">
        <w:t>)</w:t>
      </w:r>
      <w:r w:rsidRPr="00824B04">
        <w:tab/>
        <w:t>the signature of the compliance auditor; and</w:t>
      </w:r>
    </w:p>
    <w:p w14:paraId="4B4A960B" w14:textId="77777777" w:rsidR="00F144AE" w:rsidRPr="00824B04" w:rsidRDefault="00F144AE" w:rsidP="00F144AE">
      <w:pPr>
        <w:pStyle w:val="paragraphsub"/>
      </w:pPr>
      <w:r w:rsidRPr="00824B04">
        <w:tab/>
        <w:t>(ii)</w:t>
      </w:r>
      <w:r w:rsidRPr="00824B04">
        <w:tab/>
        <w:t>the name and office of the compliance auditor; and</w:t>
      </w:r>
    </w:p>
    <w:p w14:paraId="076B08B4" w14:textId="77777777" w:rsidR="00F144AE" w:rsidRPr="00824B04" w:rsidRDefault="00F144AE" w:rsidP="00F144AE">
      <w:pPr>
        <w:pStyle w:val="paragraphsub"/>
      </w:pPr>
      <w:r w:rsidRPr="00824B04">
        <w:tab/>
        <w:t>(iii)</w:t>
      </w:r>
      <w:r w:rsidRPr="00824B04">
        <w:tab/>
        <w:t>the date that the card expires.</w:t>
      </w:r>
    </w:p>
    <w:p w14:paraId="303999AA" w14:textId="77777777" w:rsidR="00F144AE" w:rsidRPr="00824B04" w:rsidRDefault="00F144AE" w:rsidP="00F144AE">
      <w:pPr>
        <w:pStyle w:val="subsection"/>
      </w:pPr>
      <w:r w:rsidRPr="00824B04">
        <w:tab/>
        <w:t>(2)</w:t>
      </w:r>
      <w:r w:rsidRPr="00824B04">
        <w:tab/>
        <w:t>A person who ceases to be a compliance auditor must, as soon as practicable, return the person’s identity card to the Competent Authority.</w:t>
      </w:r>
    </w:p>
    <w:p w14:paraId="2CC8D20B" w14:textId="77777777" w:rsidR="003A38E9" w:rsidRPr="00824B04" w:rsidRDefault="003A38E9" w:rsidP="00631102">
      <w:pPr>
        <w:pStyle w:val="notetext"/>
      </w:pPr>
      <w:r w:rsidRPr="00824B04">
        <w:t>Note:</w:t>
      </w:r>
      <w:r w:rsidRPr="00824B04">
        <w:tab/>
        <w:t xml:space="preserve">Penalties for a failure to comply with </w:t>
      </w:r>
      <w:r w:rsidR="00240D90" w:rsidRPr="00824B04">
        <w:t>subsection (</w:t>
      </w:r>
      <w:r w:rsidRPr="00824B04">
        <w:t xml:space="preserve">1) or (2) </w:t>
      </w:r>
      <w:r w:rsidR="00826C73" w:rsidRPr="00824B04">
        <w:t xml:space="preserve">of this section </w:t>
      </w:r>
      <w:r w:rsidRPr="00824B04">
        <w:t xml:space="preserve">are set by </w:t>
      </w:r>
      <w:r w:rsidR="008B59D2" w:rsidRPr="00824B04">
        <w:t>section 2</w:t>
      </w:r>
      <w:r w:rsidRPr="00824B04">
        <w:t>0 of the Act.</w:t>
      </w:r>
    </w:p>
    <w:p w14:paraId="2F2ECE2F" w14:textId="77777777" w:rsidR="00C20EF8" w:rsidRPr="00824B04" w:rsidRDefault="00D81F4F" w:rsidP="008B6C34">
      <w:pPr>
        <w:pStyle w:val="ActHead3"/>
        <w:pageBreakBefore/>
      </w:pPr>
      <w:bookmarkStart w:id="52" w:name="_Toc170463361"/>
      <w:r w:rsidRPr="00824B04">
        <w:rPr>
          <w:rStyle w:val="CharDivNo"/>
        </w:rPr>
        <w:lastRenderedPageBreak/>
        <w:t>Division 3</w:t>
      </w:r>
      <w:r w:rsidR="00C20EF8" w:rsidRPr="00824B04">
        <w:t>—</w:t>
      </w:r>
      <w:r w:rsidR="00C20EF8" w:rsidRPr="00824B04">
        <w:rPr>
          <w:rStyle w:val="CharDivText"/>
        </w:rPr>
        <w:t>Area managers</w:t>
      </w:r>
      <w:bookmarkEnd w:id="52"/>
    </w:p>
    <w:p w14:paraId="31A8A0EA" w14:textId="77777777" w:rsidR="00C20EF8" w:rsidRPr="00824B04" w:rsidRDefault="001436C7" w:rsidP="00C20EF8">
      <w:pPr>
        <w:pStyle w:val="ActHead5"/>
      </w:pPr>
      <w:bookmarkStart w:id="53" w:name="_Toc170463362"/>
      <w:r w:rsidRPr="00824B04">
        <w:rPr>
          <w:rStyle w:val="CharSectno"/>
        </w:rPr>
        <w:t>35</w:t>
      </w:r>
      <w:r w:rsidR="00C20EF8" w:rsidRPr="00824B04">
        <w:t xml:space="preserve">  Area manager</w:t>
      </w:r>
      <w:bookmarkEnd w:id="53"/>
    </w:p>
    <w:p w14:paraId="2D32018F" w14:textId="77777777" w:rsidR="00C20EF8" w:rsidRPr="00824B04" w:rsidRDefault="00C20EF8" w:rsidP="00C20EF8">
      <w:pPr>
        <w:pStyle w:val="subsection"/>
      </w:pPr>
      <w:r w:rsidRPr="00824B04">
        <w:tab/>
        <w:t>(1)</w:t>
      </w:r>
      <w:r w:rsidRPr="00824B04">
        <w:tab/>
        <w:t xml:space="preserve">The </w:t>
      </w:r>
      <w:r w:rsidR="00F97075" w:rsidRPr="00824B04">
        <w:t>Competent Authority</w:t>
      </w:r>
      <w:r w:rsidRPr="00824B04">
        <w:t xml:space="preserve"> must</w:t>
      </w:r>
      <w:r w:rsidR="00B671A2" w:rsidRPr="00824B04">
        <w:t xml:space="preserve">, in writing, </w:t>
      </w:r>
      <w:r w:rsidRPr="00824B04">
        <w:t>appoint an area manager for each Commonwealth explosives area.</w:t>
      </w:r>
    </w:p>
    <w:p w14:paraId="7272888A" w14:textId="77777777" w:rsidR="008B6C34" w:rsidRPr="00824B04" w:rsidRDefault="008B6C34" w:rsidP="008B6C34">
      <w:pPr>
        <w:pStyle w:val="subsection"/>
      </w:pPr>
      <w:r w:rsidRPr="00824B04">
        <w:tab/>
        <w:t>(2)</w:t>
      </w:r>
      <w:r w:rsidRPr="00824B04">
        <w:tab/>
        <w:t>The area manager of a Commonwealth explosives area:</w:t>
      </w:r>
    </w:p>
    <w:p w14:paraId="2EECFBD0" w14:textId="77777777" w:rsidR="008B6C34" w:rsidRPr="00824B04" w:rsidRDefault="008B6C34" w:rsidP="008B6C34">
      <w:pPr>
        <w:pStyle w:val="paragraph"/>
      </w:pPr>
      <w:r w:rsidRPr="00824B04">
        <w:tab/>
        <w:t>(a)</w:t>
      </w:r>
      <w:r w:rsidRPr="00824B04">
        <w:tab/>
        <w:t>is responsible for the management and control of the area; and</w:t>
      </w:r>
    </w:p>
    <w:p w14:paraId="548520C5" w14:textId="77777777" w:rsidR="008B6C34" w:rsidRPr="00824B04" w:rsidRDefault="008B6C34" w:rsidP="008B6C34">
      <w:pPr>
        <w:pStyle w:val="paragraph"/>
      </w:pPr>
      <w:r w:rsidRPr="00824B04">
        <w:tab/>
        <w:t>(b)</w:t>
      </w:r>
      <w:r w:rsidRPr="00824B04">
        <w:tab/>
        <w:t xml:space="preserve">may carry out the area manager’s duties under </w:t>
      </w:r>
      <w:r w:rsidR="00E12697" w:rsidRPr="00824B04">
        <w:t>this Division</w:t>
      </w:r>
      <w:r w:rsidRPr="00824B04">
        <w:t xml:space="preserve"> with any assistance the area manager thinks necessary.</w:t>
      </w:r>
    </w:p>
    <w:p w14:paraId="124706FA" w14:textId="77777777" w:rsidR="00ED491B" w:rsidRPr="00824B04" w:rsidRDefault="00C20EF8" w:rsidP="00ED491B">
      <w:pPr>
        <w:pStyle w:val="subsection"/>
      </w:pPr>
      <w:r w:rsidRPr="00824B04">
        <w:tab/>
        <w:t>(</w:t>
      </w:r>
      <w:r w:rsidR="008B6C34" w:rsidRPr="00824B04">
        <w:t>3</w:t>
      </w:r>
      <w:r w:rsidRPr="00824B04">
        <w:t>)</w:t>
      </w:r>
      <w:r w:rsidRPr="00824B04">
        <w:tab/>
        <w:t xml:space="preserve">An appointment may be made subject to conditions </w:t>
      </w:r>
      <w:r w:rsidR="00D73AC5" w:rsidRPr="00824B04">
        <w:t>specified</w:t>
      </w:r>
      <w:r w:rsidRPr="00824B04">
        <w:t xml:space="preserve"> in the instrument of appointment.</w:t>
      </w:r>
    </w:p>
    <w:p w14:paraId="49E35D64" w14:textId="77777777" w:rsidR="008B6C34" w:rsidRPr="00824B04" w:rsidRDefault="001436C7" w:rsidP="008B6C34">
      <w:pPr>
        <w:pStyle w:val="ActHead5"/>
      </w:pPr>
      <w:bookmarkStart w:id="54" w:name="_Toc170463363"/>
      <w:r w:rsidRPr="00824B04">
        <w:rPr>
          <w:rStyle w:val="CharSectno"/>
        </w:rPr>
        <w:t>36</w:t>
      </w:r>
      <w:r w:rsidR="008B6C34" w:rsidRPr="00824B04">
        <w:t xml:space="preserve">  Consent </w:t>
      </w:r>
      <w:r w:rsidR="00576E78" w:rsidRPr="00824B04">
        <w:t>to enter area</w:t>
      </w:r>
      <w:bookmarkEnd w:id="54"/>
    </w:p>
    <w:p w14:paraId="3282A47D" w14:textId="77777777" w:rsidR="008B6C34" w:rsidRPr="00824B04" w:rsidRDefault="008B6C34" w:rsidP="008B6C34">
      <w:pPr>
        <w:pStyle w:val="subsection"/>
      </w:pPr>
      <w:r w:rsidRPr="00824B04">
        <w:tab/>
        <w:t>(1)</w:t>
      </w:r>
      <w:r w:rsidRPr="00824B04">
        <w:tab/>
        <w:t xml:space="preserve">An area manager for a Commonwealth explosives area may, for the purposes of </w:t>
      </w:r>
      <w:r w:rsidR="00C5351E" w:rsidRPr="00824B04">
        <w:t>paragraph 2</w:t>
      </w:r>
      <w:r w:rsidR="001436C7" w:rsidRPr="00824B04">
        <w:t>4</w:t>
      </w:r>
      <w:r w:rsidR="007F3FD7" w:rsidRPr="00824B04">
        <w:t>(</w:t>
      </w:r>
      <w:r w:rsidR="00A27783" w:rsidRPr="00824B04">
        <w:t>2</w:t>
      </w:r>
      <w:r w:rsidR="007F3FD7" w:rsidRPr="00824B04">
        <w:t>)</w:t>
      </w:r>
      <w:r w:rsidRPr="00824B04">
        <w:t>(</w:t>
      </w:r>
      <w:r w:rsidR="00033B09" w:rsidRPr="00824B04">
        <w:t>b</w:t>
      </w:r>
      <w:r w:rsidRPr="00824B04">
        <w:t>), give written consent to a person</w:t>
      </w:r>
      <w:r w:rsidR="004842F7" w:rsidRPr="00824B04">
        <w:t xml:space="preserve"> t</w:t>
      </w:r>
      <w:r w:rsidRPr="00824B04">
        <w:t>o enter the area.</w:t>
      </w:r>
    </w:p>
    <w:p w14:paraId="58ED1D1C" w14:textId="77777777" w:rsidR="00C7005E" w:rsidRPr="00824B04" w:rsidRDefault="008B6C34" w:rsidP="008B6C34">
      <w:pPr>
        <w:pStyle w:val="subsection"/>
      </w:pPr>
      <w:r w:rsidRPr="00824B04">
        <w:tab/>
        <w:t>(2)</w:t>
      </w:r>
      <w:r w:rsidRPr="00824B04">
        <w:tab/>
        <w:t xml:space="preserve">Consent may be given subject to conditions </w:t>
      </w:r>
      <w:r w:rsidR="00D73AC5" w:rsidRPr="00824B04">
        <w:t>specified</w:t>
      </w:r>
      <w:r w:rsidRPr="00824B04">
        <w:t xml:space="preserve"> in the instrument of consent.</w:t>
      </w:r>
    </w:p>
    <w:p w14:paraId="1B82A2E0" w14:textId="77777777" w:rsidR="008B6C34" w:rsidRPr="00824B04" w:rsidRDefault="00C7005E" w:rsidP="00C7005E">
      <w:pPr>
        <w:pStyle w:val="subsection"/>
      </w:pPr>
      <w:r w:rsidRPr="00824B04">
        <w:tab/>
        <w:t>(3)</w:t>
      </w:r>
      <w:r w:rsidRPr="00824B04">
        <w:tab/>
        <w:t xml:space="preserve">Without limiting </w:t>
      </w:r>
      <w:r w:rsidR="00240D90" w:rsidRPr="00824B04">
        <w:t>subsection (</w:t>
      </w:r>
      <w:r w:rsidRPr="00824B04">
        <w:t>2), c</w:t>
      </w:r>
      <w:r w:rsidR="008B6C34" w:rsidRPr="00824B04">
        <w:t>onditions may include requiring the person to observe signs displayed in the area indicating times during which persons with consent may or may not access the area.</w:t>
      </w:r>
    </w:p>
    <w:p w14:paraId="7DAF2DD5" w14:textId="77777777" w:rsidR="00822A9F" w:rsidRPr="00824B04" w:rsidRDefault="001436C7" w:rsidP="00822A9F">
      <w:pPr>
        <w:pStyle w:val="ActHead5"/>
      </w:pPr>
      <w:bookmarkStart w:id="55" w:name="_Toc170463364"/>
      <w:r w:rsidRPr="00824B04">
        <w:rPr>
          <w:rStyle w:val="CharSectno"/>
        </w:rPr>
        <w:t>37</w:t>
      </w:r>
      <w:r w:rsidR="00822A9F" w:rsidRPr="00824B04">
        <w:t xml:space="preserve">  Signs </w:t>
      </w:r>
      <w:r w:rsidR="00BF292E" w:rsidRPr="00824B04">
        <w:t>relating</w:t>
      </w:r>
      <w:r w:rsidR="00822A9F" w:rsidRPr="00824B04">
        <w:t xml:space="preserve"> to </w:t>
      </w:r>
      <w:r w:rsidR="006C1765" w:rsidRPr="00824B04">
        <w:t>enteri</w:t>
      </w:r>
      <w:r w:rsidR="00822A9F" w:rsidRPr="00824B04">
        <w:t xml:space="preserve">ng </w:t>
      </w:r>
      <w:r w:rsidR="006C1765" w:rsidRPr="00824B04">
        <w:t>Commonwealth explosives area</w:t>
      </w:r>
      <w:r w:rsidR="001A41C9" w:rsidRPr="00824B04">
        <w:t>s</w:t>
      </w:r>
      <w:bookmarkEnd w:id="55"/>
    </w:p>
    <w:p w14:paraId="447E4901" w14:textId="77777777" w:rsidR="00822A9F" w:rsidRPr="00824B04" w:rsidRDefault="00822A9F" w:rsidP="00C7005E">
      <w:pPr>
        <w:pStyle w:val="subsection"/>
      </w:pPr>
      <w:r w:rsidRPr="00824B04">
        <w:tab/>
      </w:r>
      <w:r w:rsidRPr="00824B04">
        <w:tab/>
        <w:t xml:space="preserve">The area manager may erect </w:t>
      </w:r>
      <w:r w:rsidR="00E96609" w:rsidRPr="00824B04">
        <w:t>a si</w:t>
      </w:r>
      <w:r w:rsidRPr="00824B04">
        <w:t>gn</w:t>
      </w:r>
      <w:r w:rsidR="00E96609" w:rsidRPr="00824B04">
        <w:t xml:space="preserve"> in a Commonwealth explosives area</w:t>
      </w:r>
      <w:r w:rsidR="008728D8" w:rsidRPr="00824B04">
        <w:t>,</w:t>
      </w:r>
      <w:r w:rsidR="00E96609" w:rsidRPr="00824B04">
        <w:t xml:space="preserve"> including </w:t>
      </w:r>
      <w:r w:rsidR="008728D8" w:rsidRPr="00824B04">
        <w:t xml:space="preserve">to indicate </w:t>
      </w:r>
      <w:r w:rsidR="00E96609" w:rsidRPr="00824B04">
        <w:t xml:space="preserve">any restrictions that apply </w:t>
      </w:r>
      <w:r w:rsidRPr="00824B04">
        <w:t xml:space="preserve">in relation </w:t>
      </w:r>
      <w:r w:rsidR="006F1658" w:rsidRPr="00824B04">
        <w:t xml:space="preserve">to </w:t>
      </w:r>
      <w:r w:rsidR="00E96609" w:rsidRPr="00824B04">
        <w:t>entering the area</w:t>
      </w:r>
      <w:r w:rsidRPr="00824B04">
        <w:t>.</w:t>
      </w:r>
    </w:p>
    <w:p w14:paraId="3BC37252" w14:textId="77777777" w:rsidR="008B6C34" w:rsidRPr="00824B04" w:rsidRDefault="001436C7" w:rsidP="008B6C34">
      <w:pPr>
        <w:pStyle w:val="ActHead5"/>
      </w:pPr>
      <w:bookmarkStart w:id="56" w:name="_Toc170463365"/>
      <w:r w:rsidRPr="00824B04">
        <w:rPr>
          <w:rStyle w:val="CharSectno"/>
        </w:rPr>
        <w:t>38</w:t>
      </w:r>
      <w:r w:rsidR="008B6C34" w:rsidRPr="00824B04">
        <w:t xml:space="preserve">  </w:t>
      </w:r>
      <w:r w:rsidR="009A7E7E" w:rsidRPr="00824B04">
        <w:t>Determinations and signs</w:t>
      </w:r>
      <w:r w:rsidR="008B6C34" w:rsidRPr="00824B04">
        <w:t xml:space="preserve"> for vehicles or vessels</w:t>
      </w:r>
      <w:bookmarkEnd w:id="56"/>
    </w:p>
    <w:p w14:paraId="54058E27" w14:textId="77777777" w:rsidR="008B6C34" w:rsidRPr="00824B04" w:rsidRDefault="008B6C34" w:rsidP="008B6C34">
      <w:pPr>
        <w:pStyle w:val="subsection"/>
      </w:pPr>
      <w:r w:rsidRPr="00824B04">
        <w:tab/>
      </w:r>
      <w:r w:rsidR="003D12EC" w:rsidRPr="00824B04">
        <w:t>(1)</w:t>
      </w:r>
      <w:r w:rsidRPr="00824B04">
        <w:tab/>
        <w:t>The area manager of a Commonwealth explosives area may</w:t>
      </w:r>
      <w:r w:rsidR="009B0B2C" w:rsidRPr="00824B04">
        <w:t>, in writing,</w:t>
      </w:r>
      <w:r w:rsidRPr="00824B04">
        <w:t xml:space="preserve"> determine</w:t>
      </w:r>
      <w:r w:rsidR="000A7274" w:rsidRPr="00824B04">
        <w:t>:</w:t>
      </w:r>
    </w:p>
    <w:p w14:paraId="742B4A41" w14:textId="77777777" w:rsidR="008B6C34" w:rsidRPr="00824B04" w:rsidRDefault="008B6C34" w:rsidP="008B6C34">
      <w:pPr>
        <w:pStyle w:val="paragraph"/>
      </w:pPr>
      <w:r w:rsidRPr="00824B04">
        <w:tab/>
        <w:t>(a)</w:t>
      </w:r>
      <w:r w:rsidRPr="00824B04">
        <w:tab/>
        <w:t>places in the area where a person is, or is not, permitted to park or stop a vehicle or a class of vehicles or to moor or stop a vessel or a class of vessels; and</w:t>
      </w:r>
    </w:p>
    <w:p w14:paraId="3BCC8285" w14:textId="77777777" w:rsidR="008B6C34" w:rsidRPr="00824B04" w:rsidRDefault="008B6C34" w:rsidP="008B6C34">
      <w:pPr>
        <w:pStyle w:val="paragraph"/>
      </w:pPr>
      <w:r w:rsidRPr="00824B04">
        <w:tab/>
        <w:t>(b)</w:t>
      </w:r>
      <w:r w:rsidRPr="00824B04">
        <w:tab/>
        <w:t>the conditions under which a person is, or is not, permitted to park or stop a vehicle or a class of vehicles, or to moor or stop a vessel or a class of vessels, in those places; and</w:t>
      </w:r>
    </w:p>
    <w:p w14:paraId="2FB7F92A" w14:textId="77777777" w:rsidR="008B6C34" w:rsidRPr="00824B04" w:rsidRDefault="008B6C34" w:rsidP="008B6C34">
      <w:pPr>
        <w:pStyle w:val="paragraph"/>
      </w:pPr>
      <w:r w:rsidRPr="00824B04">
        <w:tab/>
        <w:t>(c)</w:t>
      </w:r>
      <w:r w:rsidRPr="00824B04">
        <w:tab/>
        <w:t>the maximum speed for a vehicle or vessel, or a class of vehicles or vessels, in all or part of the area.</w:t>
      </w:r>
    </w:p>
    <w:p w14:paraId="3FDE99B9" w14:textId="77777777" w:rsidR="003D12EC" w:rsidRPr="00824B04" w:rsidRDefault="003D12EC" w:rsidP="003D12EC">
      <w:pPr>
        <w:pStyle w:val="subsection"/>
      </w:pPr>
      <w:r w:rsidRPr="00824B04">
        <w:tab/>
        <w:t>(2)</w:t>
      </w:r>
      <w:r w:rsidRPr="00824B04">
        <w:tab/>
        <w:t xml:space="preserve">The area manager must erect prominently displayed signs in relation to any determinations made under </w:t>
      </w:r>
      <w:r w:rsidR="00240D90" w:rsidRPr="00824B04">
        <w:t>subsection (</w:t>
      </w:r>
      <w:r w:rsidRPr="00824B04">
        <w:t>1).</w:t>
      </w:r>
    </w:p>
    <w:p w14:paraId="59BC2366" w14:textId="77777777" w:rsidR="00E41D30" w:rsidRPr="00824B04" w:rsidRDefault="001436C7" w:rsidP="00E41D30">
      <w:pPr>
        <w:pStyle w:val="ActHead5"/>
      </w:pPr>
      <w:bookmarkStart w:id="57" w:name="_Toc170463366"/>
      <w:r w:rsidRPr="00824B04">
        <w:rPr>
          <w:rStyle w:val="CharSectno"/>
        </w:rPr>
        <w:t>39</w:t>
      </w:r>
      <w:r w:rsidR="00E41D30" w:rsidRPr="00824B04">
        <w:t xml:space="preserve">  </w:t>
      </w:r>
      <w:r w:rsidR="009A7E7E" w:rsidRPr="00824B04">
        <w:t>Determinations and signs in relation to</w:t>
      </w:r>
      <w:r w:rsidR="00E41D30" w:rsidRPr="00824B04">
        <w:t xml:space="preserve"> </w:t>
      </w:r>
      <w:r w:rsidR="003343A8" w:rsidRPr="00824B04">
        <w:t>fire hazard</w:t>
      </w:r>
      <w:r w:rsidR="00E41D30" w:rsidRPr="00824B04">
        <w:t xml:space="preserve"> areas</w:t>
      </w:r>
      <w:bookmarkEnd w:id="57"/>
    </w:p>
    <w:p w14:paraId="21A6EE0D" w14:textId="77777777" w:rsidR="00E41D30" w:rsidRPr="00824B04" w:rsidRDefault="00E41D30" w:rsidP="00E41D30">
      <w:pPr>
        <w:pStyle w:val="subsection"/>
      </w:pPr>
      <w:r w:rsidRPr="00824B04">
        <w:tab/>
      </w:r>
      <w:r w:rsidR="008876CE" w:rsidRPr="00824B04">
        <w:t>(1)</w:t>
      </w:r>
      <w:r w:rsidR="005154ED" w:rsidRPr="00824B04">
        <w:tab/>
      </w:r>
      <w:r w:rsidR="00B70C03" w:rsidRPr="00824B04">
        <w:t>The area manager may</w:t>
      </w:r>
      <w:r w:rsidR="009B0B2C" w:rsidRPr="00824B04">
        <w:t xml:space="preserve">, in writing, </w:t>
      </w:r>
      <w:r w:rsidR="00B70C03" w:rsidRPr="00824B04">
        <w:t xml:space="preserve">determine </w:t>
      </w:r>
      <w:r w:rsidR="008876CE" w:rsidRPr="00824B04">
        <w:t xml:space="preserve">an area of a Commonwealth explosives </w:t>
      </w:r>
      <w:r w:rsidR="00B70C03" w:rsidRPr="00824B04">
        <w:t>area</w:t>
      </w:r>
      <w:r w:rsidR="008876CE" w:rsidRPr="00824B04">
        <w:t xml:space="preserve"> as a fire hazard area.</w:t>
      </w:r>
    </w:p>
    <w:p w14:paraId="1C073514" w14:textId="77777777" w:rsidR="008876CE" w:rsidRPr="00824B04" w:rsidRDefault="008876CE" w:rsidP="00E41D30">
      <w:pPr>
        <w:pStyle w:val="subsection"/>
      </w:pPr>
      <w:r w:rsidRPr="00824B04">
        <w:lastRenderedPageBreak/>
        <w:tab/>
        <w:t>(2)</w:t>
      </w:r>
      <w:r w:rsidRPr="00824B04">
        <w:tab/>
        <w:t xml:space="preserve">The area manager must erect prominently displayed signs in relation to any determinations made under </w:t>
      </w:r>
      <w:r w:rsidR="00240D90" w:rsidRPr="00824B04">
        <w:t>subsection (</w:t>
      </w:r>
      <w:r w:rsidRPr="00824B04">
        <w:t>1).</w:t>
      </w:r>
    </w:p>
    <w:p w14:paraId="5B8BF743" w14:textId="77777777" w:rsidR="008B6C34" w:rsidRPr="00824B04" w:rsidRDefault="001436C7" w:rsidP="00873E34">
      <w:pPr>
        <w:pStyle w:val="ActHead5"/>
      </w:pPr>
      <w:bookmarkStart w:id="58" w:name="_Toc170463367"/>
      <w:r w:rsidRPr="00824B04">
        <w:rPr>
          <w:rStyle w:val="CharSectno"/>
        </w:rPr>
        <w:t>40</w:t>
      </w:r>
      <w:r w:rsidR="008B6C34" w:rsidRPr="00824B04">
        <w:t xml:space="preserve">  Directions</w:t>
      </w:r>
      <w:bookmarkEnd w:id="58"/>
    </w:p>
    <w:p w14:paraId="2399AB9E" w14:textId="77777777" w:rsidR="00C20EF8" w:rsidRPr="00824B04" w:rsidRDefault="00C20EF8" w:rsidP="008B6C34">
      <w:pPr>
        <w:pStyle w:val="subsection"/>
      </w:pPr>
      <w:r w:rsidRPr="00824B04">
        <w:tab/>
        <w:t>(</w:t>
      </w:r>
      <w:r w:rsidR="008B6C34" w:rsidRPr="00824B04">
        <w:t>1</w:t>
      </w:r>
      <w:r w:rsidRPr="00824B04">
        <w:t>)</w:t>
      </w:r>
      <w:r w:rsidRPr="00824B04">
        <w:tab/>
      </w:r>
      <w:r w:rsidR="008B6C34" w:rsidRPr="00824B04">
        <w:t xml:space="preserve">The area manager for a Commonwealth explosives area </w:t>
      </w:r>
      <w:r w:rsidRPr="00824B04">
        <w:t>may give directions to a person in the area to ensure:</w:t>
      </w:r>
    </w:p>
    <w:p w14:paraId="5959A3EA" w14:textId="77777777" w:rsidR="00C20EF8" w:rsidRPr="00824B04" w:rsidRDefault="00C20EF8" w:rsidP="00C33291">
      <w:pPr>
        <w:pStyle w:val="paragraph"/>
      </w:pPr>
      <w:r w:rsidRPr="00824B04">
        <w:tab/>
        <w:t>(</w:t>
      </w:r>
      <w:r w:rsidR="00C33291" w:rsidRPr="00824B04">
        <w:t>a</w:t>
      </w:r>
      <w:r w:rsidRPr="00824B04">
        <w:t>)</w:t>
      </w:r>
      <w:r w:rsidRPr="00824B04">
        <w:tab/>
        <w:t>the safety of any person in or near the area; or</w:t>
      </w:r>
    </w:p>
    <w:p w14:paraId="5EF227D7" w14:textId="77777777" w:rsidR="00C20EF8" w:rsidRPr="00824B04" w:rsidRDefault="00C20EF8" w:rsidP="00C33291">
      <w:pPr>
        <w:pStyle w:val="paragraph"/>
      </w:pPr>
      <w:r w:rsidRPr="00824B04">
        <w:tab/>
        <w:t>(</w:t>
      </w:r>
      <w:r w:rsidR="00C33291" w:rsidRPr="00824B04">
        <w:t>b</w:t>
      </w:r>
      <w:r w:rsidRPr="00824B04">
        <w:t>)</w:t>
      </w:r>
      <w:r w:rsidRPr="00824B04">
        <w:tab/>
        <w:t>protection from damage of any property in or near the are</w:t>
      </w:r>
      <w:r w:rsidR="00BB2D49" w:rsidRPr="00824B04">
        <w:t>a.</w:t>
      </w:r>
    </w:p>
    <w:p w14:paraId="0AEF4929" w14:textId="77777777" w:rsidR="008B6C34" w:rsidRPr="00824B04" w:rsidRDefault="008B6C34" w:rsidP="008B6C34">
      <w:pPr>
        <w:pStyle w:val="subsection"/>
      </w:pPr>
      <w:r w:rsidRPr="00824B04">
        <w:tab/>
        <w:t>(2)</w:t>
      </w:r>
      <w:r w:rsidRPr="00824B04">
        <w:tab/>
        <w:t>The area manager for a Commonwealth explosives area may give directions to a person about handling explosives in or near the area if:</w:t>
      </w:r>
    </w:p>
    <w:p w14:paraId="18D66C82" w14:textId="77777777" w:rsidR="008B6C34" w:rsidRPr="00824B04" w:rsidRDefault="008B6C34" w:rsidP="008B6C34">
      <w:pPr>
        <w:pStyle w:val="paragraph"/>
      </w:pPr>
      <w:r w:rsidRPr="00824B04">
        <w:tab/>
        <w:t>(a)</w:t>
      </w:r>
      <w:r w:rsidRPr="00824B04">
        <w:tab/>
        <w:t>the explosives have spilled from their container; or</w:t>
      </w:r>
    </w:p>
    <w:p w14:paraId="750D7D0F" w14:textId="77777777" w:rsidR="008B6C34" w:rsidRPr="00824B04" w:rsidRDefault="008B6C34" w:rsidP="008B6C34">
      <w:pPr>
        <w:pStyle w:val="paragraph"/>
      </w:pPr>
      <w:r w:rsidRPr="00824B04">
        <w:tab/>
        <w:t>(b)</w:t>
      </w:r>
      <w:r w:rsidRPr="00824B04">
        <w:tab/>
        <w:t>the explosives are in a damaged container.</w:t>
      </w:r>
    </w:p>
    <w:p w14:paraId="21838D61" w14:textId="77777777" w:rsidR="000C707A" w:rsidRPr="00824B04" w:rsidRDefault="001436C7" w:rsidP="000C707A">
      <w:pPr>
        <w:pStyle w:val="ActHead5"/>
      </w:pPr>
      <w:bookmarkStart w:id="59" w:name="_Toc170463368"/>
      <w:r w:rsidRPr="00824B04">
        <w:rPr>
          <w:rStyle w:val="CharSectno"/>
        </w:rPr>
        <w:t>41</w:t>
      </w:r>
      <w:r w:rsidR="000C707A" w:rsidRPr="00824B04">
        <w:t xml:space="preserve">  Removal of </w:t>
      </w:r>
      <w:r w:rsidR="008B6C34" w:rsidRPr="00824B04">
        <w:t xml:space="preserve">persons, </w:t>
      </w:r>
      <w:r w:rsidR="000C707A" w:rsidRPr="00824B04">
        <w:t>vehicles</w:t>
      </w:r>
      <w:r w:rsidR="008B6C34" w:rsidRPr="00824B04">
        <w:t xml:space="preserve"> etc.</w:t>
      </w:r>
      <w:bookmarkEnd w:id="59"/>
    </w:p>
    <w:p w14:paraId="4ED38F7D" w14:textId="77777777" w:rsidR="008B6C34" w:rsidRPr="00824B04" w:rsidRDefault="000C707A" w:rsidP="008B6C34">
      <w:pPr>
        <w:pStyle w:val="subsection"/>
      </w:pPr>
      <w:r w:rsidRPr="00824B04">
        <w:tab/>
      </w:r>
      <w:r w:rsidR="008B6C34" w:rsidRPr="00824B04">
        <w:t>(1)</w:t>
      </w:r>
      <w:r w:rsidR="008B6C34" w:rsidRPr="00824B04">
        <w:tab/>
        <w:t>The area manager of a Commonwealth explosives area may remove from the area:</w:t>
      </w:r>
    </w:p>
    <w:p w14:paraId="253492AB" w14:textId="77777777" w:rsidR="008B6C34" w:rsidRPr="00824B04" w:rsidRDefault="008B6C34" w:rsidP="00576E78">
      <w:pPr>
        <w:pStyle w:val="paragraph"/>
      </w:pPr>
      <w:r w:rsidRPr="00824B04">
        <w:tab/>
        <w:t>(</w:t>
      </w:r>
      <w:r w:rsidR="00576E78" w:rsidRPr="00824B04">
        <w:t>a</w:t>
      </w:r>
      <w:r w:rsidRPr="00824B04">
        <w:t>)</w:t>
      </w:r>
      <w:r w:rsidRPr="00824B04">
        <w:tab/>
        <w:t>a person who has entered the area without consent and any vehicle or vessel used by the person; or</w:t>
      </w:r>
    </w:p>
    <w:p w14:paraId="6CEB5EF1" w14:textId="77777777" w:rsidR="008B6C34" w:rsidRPr="00824B04" w:rsidRDefault="008B6C34" w:rsidP="00576E78">
      <w:pPr>
        <w:pStyle w:val="paragraph"/>
      </w:pPr>
      <w:r w:rsidRPr="00824B04">
        <w:tab/>
        <w:t>(</w:t>
      </w:r>
      <w:r w:rsidR="00576E78" w:rsidRPr="00824B04">
        <w:t>b</w:t>
      </w:r>
      <w:r w:rsidRPr="00824B04">
        <w:t>)</w:t>
      </w:r>
      <w:r w:rsidRPr="00824B04">
        <w:tab/>
        <w:t>a person who</w:t>
      </w:r>
      <w:r w:rsidR="005422A4" w:rsidRPr="00824B04">
        <w:t xml:space="preserve"> </w:t>
      </w:r>
      <w:r w:rsidRPr="00824B04">
        <w:t>the area manager</w:t>
      </w:r>
      <w:r w:rsidR="005422A4" w:rsidRPr="00824B04">
        <w:t xml:space="preserve"> reasonably believes</w:t>
      </w:r>
      <w:r w:rsidRPr="00824B04">
        <w:t xml:space="preserve"> has endangered or may endanger the safety of persons, or has damaged or may damage property, in or near the area.</w:t>
      </w:r>
    </w:p>
    <w:p w14:paraId="1CA645EE" w14:textId="77777777" w:rsidR="008B6C34" w:rsidRPr="00824B04" w:rsidRDefault="008B6C34" w:rsidP="008B6C34">
      <w:pPr>
        <w:pStyle w:val="subsection"/>
      </w:pPr>
      <w:r w:rsidRPr="00824B04">
        <w:tab/>
        <w:t>(2)</w:t>
      </w:r>
      <w:r w:rsidRPr="00824B04">
        <w:tab/>
        <w:t>The area manager of a Commonwealth explosives area may move a vehicle or vessel to another place in the area if:</w:t>
      </w:r>
    </w:p>
    <w:p w14:paraId="31D57109" w14:textId="77777777" w:rsidR="008B6C34" w:rsidRPr="00824B04" w:rsidRDefault="008B6C34" w:rsidP="008B6C34">
      <w:pPr>
        <w:pStyle w:val="paragraph"/>
      </w:pPr>
      <w:r w:rsidRPr="00824B04">
        <w:tab/>
        <w:t>(a)</w:t>
      </w:r>
      <w:r w:rsidRPr="00824B04">
        <w:tab/>
        <w:t xml:space="preserve">the person in control of the vehicle or vessel refuses or fails to comply with a direction under </w:t>
      </w:r>
      <w:r w:rsidR="00C5351E" w:rsidRPr="00824B04">
        <w:t>section 4</w:t>
      </w:r>
      <w:r w:rsidR="001436C7" w:rsidRPr="00824B04">
        <w:t>0</w:t>
      </w:r>
      <w:r w:rsidRPr="00824B04">
        <w:t xml:space="preserve"> to remove the vehicle or vessel from the place where it is parked, moored or stopped; or</w:t>
      </w:r>
    </w:p>
    <w:p w14:paraId="645E3B3C" w14:textId="77777777" w:rsidR="00D93811" w:rsidRPr="00824B04" w:rsidRDefault="008B6C34" w:rsidP="008B6C34">
      <w:pPr>
        <w:pStyle w:val="paragraph"/>
      </w:pPr>
      <w:r w:rsidRPr="00824B04">
        <w:tab/>
        <w:t>(b)</w:t>
      </w:r>
      <w:r w:rsidRPr="00824B04">
        <w:tab/>
        <w:t>for a parked vehicle or moored vessel</w:t>
      </w:r>
      <w:r w:rsidR="00D93811" w:rsidRPr="00824B04">
        <w:t>:</w:t>
      </w:r>
    </w:p>
    <w:p w14:paraId="0E136C41" w14:textId="77777777" w:rsidR="00794FDF" w:rsidRPr="00824B04" w:rsidRDefault="00D93811" w:rsidP="00A62D8E">
      <w:pPr>
        <w:pStyle w:val="paragraphsub"/>
      </w:pPr>
      <w:r w:rsidRPr="00824B04">
        <w:tab/>
        <w:t>(</w:t>
      </w:r>
      <w:proofErr w:type="spellStart"/>
      <w:r w:rsidRPr="00824B04">
        <w:t>i</w:t>
      </w:r>
      <w:proofErr w:type="spellEnd"/>
      <w:r w:rsidRPr="00824B04">
        <w:t>)</w:t>
      </w:r>
      <w:r w:rsidRPr="00824B04">
        <w:tab/>
      </w:r>
      <w:r w:rsidR="00401554" w:rsidRPr="00824B04">
        <w:t xml:space="preserve">the area manager </w:t>
      </w:r>
      <w:r w:rsidR="008B6C34" w:rsidRPr="00824B04">
        <w:t>cannot communicate with the driver or master after taking reasonable steps to do so</w:t>
      </w:r>
      <w:r w:rsidRPr="00824B04">
        <w:t>;</w:t>
      </w:r>
      <w:r w:rsidR="00401554" w:rsidRPr="00824B04">
        <w:t xml:space="preserve"> and</w:t>
      </w:r>
    </w:p>
    <w:p w14:paraId="1A2CABF8" w14:textId="77777777" w:rsidR="00401554" w:rsidRPr="00824B04" w:rsidRDefault="00401554" w:rsidP="00401554">
      <w:pPr>
        <w:pStyle w:val="paragraphsub"/>
      </w:pPr>
      <w:r w:rsidRPr="00824B04">
        <w:tab/>
        <w:t>(ii)</w:t>
      </w:r>
      <w:r w:rsidRPr="00824B04">
        <w:tab/>
        <w:t xml:space="preserve">had the area manager been able to communicate with the driver or master, the area manager would have given the driver or master a direction under </w:t>
      </w:r>
      <w:r w:rsidR="00C5351E" w:rsidRPr="00824B04">
        <w:t>section 4</w:t>
      </w:r>
      <w:r w:rsidR="001436C7" w:rsidRPr="00824B04">
        <w:t>0</w:t>
      </w:r>
      <w:r w:rsidR="00F37BEE" w:rsidRPr="00824B04">
        <w:t xml:space="preserve"> to move the vehicle or vessel.</w:t>
      </w:r>
    </w:p>
    <w:p w14:paraId="3ECDFEF8" w14:textId="77777777" w:rsidR="00164639" w:rsidRPr="00824B04" w:rsidRDefault="00B275D5" w:rsidP="005B00A4">
      <w:pPr>
        <w:pStyle w:val="ActHead3"/>
        <w:pageBreakBefore/>
      </w:pPr>
      <w:bookmarkStart w:id="60" w:name="_Toc170463369"/>
      <w:r w:rsidRPr="00824B04">
        <w:rPr>
          <w:rStyle w:val="CharDivNo"/>
        </w:rPr>
        <w:lastRenderedPageBreak/>
        <w:t>Division </w:t>
      </w:r>
      <w:r w:rsidR="002F542A" w:rsidRPr="00824B04">
        <w:rPr>
          <w:rStyle w:val="CharDivNo"/>
        </w:rPr>
        <w:t>4</w:t>
      </w:r>
      <w:r w:rsidR="00164639" w:rsidRPr="00824B04">
        <w:t>—</w:t>
      </w:r>
      <w:r w:rsidR="002134B1" w:rsidRPr="00824B04">
        <w:rPr>
          <w:rStyle w:val="CharDivText"/>
        </w:rPr>
        <w:t>Committees of Advice</w:t>
      </w:r>
      <w:bookmarkEnd w:id="60"/>
    </w:p>
    <w:p w14:paraId="7FBB3A92" w14:textId="77777777" w:rsidR="008D3BBF" w:rsidRPr="00824B04" w:rsidRDefault="001436C7" w:rsidP="008D3BBF">
      <w:pPr>
        <w:pStyle w:val="ActHead5"/>
      </w:pPr>
      <w:bookmarkStart w:id="61" w:name="_Toc170463370"/>
      <w:bookmarkStart w:id="62" w:name="OPCSB_BodyPrincipleB5"/>
      <w:r w:rsidRPr="00824B04">
        <w:rPr>
          <w:rStyle w:val="CharSectno"/>
        </w:rPr>
        <w:t>42</w:t>
      </w:r>
      <w:r w:rsidR="008D3BBF" w:rsidRPr="00824B04">
        <w:t xml:space="preserve">  Committees</w:t>
      </w:r>
      <w:r w:rsidR="008B6C34" w:rsidRPr="00824B04">
        <w:t xml:space="preserve"> of advice</w:t>
      </w:r>
      <w:bookmarkEnd w:id="61"/>
    </w:p>
    <w:p w14:paraId="4CC2E202" w14:textId="77777777" w:rsidR="002A6C91" w:rsidRPr="00824B04" w:rsidRDefault="008D3BBF" w:rsidP="00205EC5">
      <w:pPr>
        <w:pStyle w:val="subsection"/>
      </w:pPr>
      <w:r w:rsidRPr="00824B04">
        <w:tab/>
      </w:r>
      <w:r w:rsidRPr="00824B04">
        <w:tab/>
        <w:t>The Minister may, in writing, establish a committee or committees, consisting of persons appointed by the Minister, to advise the Minister on matters relating to explosives and the handling of explosives.</w:t>
      </w:r>
    </w:p>
    <w:p w14:paraId="6B654103" w14:textId="77777777" w:rsidR="002A6C91" w:rsidRPr="00824B04" w:rsidRDefault="008B59D2" w:rsidP="002A6C91">
      <w:pPr>
        <w:pStyle w:val="ActHead3"/>
        <w:pageBreakBefore/>
      </w:pPr>
      <w:bookmarkStart w:id="63" w:name="_Toc170463371"/>
      <w:r w:rsidRPr="00824B04">
        <w:rPr>
          <w:rStyle w:val="CharDivNo"/>
        </w:rPr>
        <w:lastRenderedPageBreak/>
        <w:t>Division 5</w:t>
      </w:r>
      <w:r w:rsidR="002A6C91" w:rsidRPr="00824B04">
        <w:t>—</w:t>
      </w:r>
      <w:r w:rsidR="002A6C91" w:rsidRPr="00824B04">
        <w:rPr>
          <w:rStyle w:val="CharDivText"/>
        </w:rPr>
        <w:t>Orders</w:t>
      </w:r>
      <w:bookmarkEnd w:id="63"/>
    </w:p>
    <w:p w14:paraId="267C0B93" w14:textId="77777777" w:rsidR="00E817C3" w:rsidRPr="00824B04" w:rsidRDefault="001436C7" w:rsidP="002A6C91">
      <w:pPr>
        <w:pStyle w:val="ActHead5"/>
      </w:pPr>
      <w:bookmarkStart w:id="64" w:name="_Toc170463372"/>
      <w:r w:rsidRPr="00824B04">
        <w:rPr>
          <w:rStyle w:val="CharSectno"/>
        </w:rPr>
        <w:t>43</w:t>
      </w:r>
      <w:r w:rsidR="00E817C3" w:rsidRPr="00824B04">
        <w:t xml:space="preserve">  List of authorised Commonwealth explosives</w:t>
      </w:r>
      <w:bookmarkEnd w:id="64"/>
    </w:p>
    <w:p w14:paraId="7FD4C710" w14:textId="77777777" w:rsidR="00E817C3" w:rsidRPr="00824B04" w:rsidRDefault="00E817C3" w:rsidP="00E817C3">
      <w:pPr>
        <w:pStyle w:val="subsection"/>
      </w:pPr>
      <w:r w:rsidRPr="00824B04">
        <w:tab/>
      </w:r>
      <w:r w:rsidR="00417AD9" w:rsidRPr="00824B04">
        <w:t>(1)</w:t>
      </w:r>
      <w:r w:rsidR="00417AD9" w:rsidRPr="00824B04">
        <w:tab/>
      </w:r>
      <w:r w:rsidR="00CF68A7" w:rsidRPr="00824B04">
        <w:t>T</w:t>
      </w:r>
      <w:r w:rsidRPr="00824B04">
        <w:t xml:space="preserve">he </w:t>
      </w:r>
      <w:r w:rsidR="007D1293" w:rsidRPr="00824B04">
        <w:t>Competent Authority</w:t>
      </w:r>
      <w:r w:rsidRPr="00824B04">
        <w:t xml:space="preserve"> must </w:t>
      </w:r>
      <w:r w:rsidR="0091041B" w:rsidRPr="00824B04">
        <w:t>specify</w:t>
      </w:r>
      <w:r w:rsidRPr="00824B04">
        <w:t>, by order, Commonwealth explosives</w:t>
      </w:r>
      <w:r w:rsidR="0051342E" w:rsidRPr="00824B04">
        <w:t>, or kinds of Commonwealth explosives,</w:t>
      </w:r>
      <w:r w:rsidRPr="00824B04">
        <w:t xml:space="preserve"> </w:t>
      </w:r>
      <w:r w:rsidR="0091041B" w:rsidRPr="00824B04">
        <w:t>for the purposes of this subsection</w:t>
      </w:r>
      <w:r w:rsidRPr="00824B04">
        <w:t>.</w:t>
      </w:r>
    </w:p>
    <w:p w14:paraId="20E5A7A7" w14:textId="77777777" w:rsidR="00E817C3" w:rsidRPr="00824B04" w:rsidRDefault="00E817C3" w:rsidP="00E817C3">
      <w:pPr>
        <w:pStyle w:val="notetext"/>
      </w:pPr>
      <w:r w:rsidRPr="00824B04">
        <w:t>Not</w:t>
      </w:r>
      <w:r w:rsidR="00B922F7" w:rsidRPr="00824B04">
        <w:t>e</w:t>
      </w:r>
      <w:r w:rsidRPr="00824B04">
        <w:t>:</w:t>
      </w:r>
      <w:r w:rsidRPr="00824B04">
        <w:tab/>
        <w:t xml:space="preserve">Orders </w:t>
      </w:r>
      <w:r w:rsidR="0091041B" w:rsidRPr="00824B04">
        <w:t>are legislative instruments</w:t>
      </w:r>
      <w:r w:rsidR="00CF68A7" w:rsidRPr="00824B04">
        <w:t xml:space="preserve"> (</w:t>
      </w:r>
      <w:r w:rsidR="0091041B" w:rsidRPr="00824B04">
        <w:t xml:space="preserve">see </w:t>
      </w:r>
      <w:r w:rsidR="00C5351E" w:rsidRPr="00824B04">
        <w:t>subsection 1</w:t>
      </w:r>
      <w:r w:rsidR="0091041B" w:rsidRPr="00824B04">
        <w:t>6(1) of the Act</w:t>
      </w:r>
      <w:r w:rsidR="00CF68A7" w:rsidRPr="00824B04">
        <w:t>)</w:t>
      </w:r>
      <w:r w:rsidR="0091041B" w:rsidRPr="00824B04">
        <w:t>.</w:t>
      </w:r>
    </w:p>
    <w:p w14:paraId="255D6871" w14:textId="77777777" w:rsidR="00417AD9" w:rsidRPr="00824B04" w:rsidRDefault="00417AD9" w:rsidP="00417AD9">
      <w:pPr>
        <w:pStyle w:val="subsection"/>
      </w:pPr>
      <w:r w:rsidRPr="00824B04">
        <w:tab/>
        <w:t>(2)</w:t>
      </w:r>
      <w:r w:rsidRPr="00824B04">
        <w:tab/>
        <w:t xml:space="preserve">For the purposes of </w:t>
      </w:r>
      <w:r w:rsidR="00C5351E" w:rsidRPr="00824B04">
        <w:t>section 1</w:t>
      </w:r>
      <w:r w:rsidRPr="00824B04">
        <w:t xml:space="preserve">7 of the Act, an order made under </w:t>
      </w:r>
      <w:r w:rsidR="00240D90" w:rsidRPr="00824B04">
        <w:t>subsection (</w:t>
      </w:r>
      <w:r w:rsidRPr="00824B04">
        <w:t>1) of this section takes effect at the start of the day after the day the instrument is registered.</w:t>
      </w:r>
    </w:p>
    <w:p w14:paraId="0B7C886D" w14:textId="77777777" w:rsidR="002A6C91" w:rsidRPr="00824B04" w:rsidRDefault="001436C7" w:rsidP="002A6C91">
      <w:pPr>
        <w:pStyle w:val="ActHead5"/>
      </w:pPr>
      <w:bookmarkStart w:id="65" w:name="_Toc170463373"/>
      <w:r w:rsidRPr="00824B04">
        <w:rPr>
          <w:rStyle w:val="CharSectno"/>
        </w:rPr>
        <w:t>44</w:t>
      </w:r>
      <w:r w:rsidR="002A6C91" w:rsidRPr="00824B04">
        <w:t xml:space="preserve">  </w:t>
      </w:r>
      <w:r w:rsidR="00E817C3" w:rsidRPr="00824B04">
        <w:t>Circumstances requiring special provision</w:t>
      </w:r>
      <w:bookmarkEnd w:id="65"/>
    </w:p>
    <w:p w14:paraId="438A7B1D" w14:textId="77777777" w:rsidR="002A6C91" w:rsidRPr="00824B04" w:rsidRDefault="002A6C91" w:rsidP="002A6C91">
      <w:pPr>
        <w:pStyle w:val="subsection"/>
      </w:pPr>
      <w:r w:rsidRPr="00824B04">
        <w:tab/>
        <w:t>(1)</w:t>
      </w:r>
      <w:r w:rsidRPr="00824B04">
        <w:tab/>
      </w:r>
      <w:r w:rsidR="003F3790" w:rsidRPr="00824B04">
        <w:t>I</w:t>
      </w:r>
      <w:r w:rsidRPr="00824B04">
        <w:t xml:space="preserve">f the Minister is satisfied that there are circumstances requiring special provision to be made under this </w:t>
      </w:r>
      <w:r w:rsidR="007F3FD7" w:rsidRPr="00824B04">
        <w:t>section</w:t>
      </w:r>
      <w:r w:rsidRPr="00824B04">
        <w:t>, the Minister may make provision, by order:</w:t>
      </w:r>
    </w:p>
    <w:p w14:paraId="32A1E63F" w14:textId="77777777" w:rsidR="002A6C91" w:rsidRPr="00824B04" w:rsidRDefault="002A6C91" w:rsidP="002A6C91">
      <w:pPr>
        <w:pStyle w:val="paragraph"/>
      </w:pPr>
      <w:r w:rsidRPr="00824B04">
        <w:tab/>
        <w:t>(a)</w:t>
      </w:r>
      <w:r w:rsidRPr="00824B04">
        <w:tab/>
        <w:t>in relation to, or in relation to any matter incidental to, the handling of Commonwealth explosives; and</w:t>
      </w:r>
    </w:p>
    <w:p w14:paraId="080AC925" w14:textId="77777777" w:rsidR="002A6C91" w:rsidRPr="00824B04" w:rsidRDefault="002A6C91" w:rsidP="002A6C91">
      <w:pPr>
        <w:pStyle w:val="paragraph"/>
      </w:pPr>
      <w:r w:rsidRPr="00824B04">
        <w:tab/>
        <w:t>(b)</w:t>
      </w:r>
      <w:r w:rsidRPr="00824B04">
        <w:tab/>
        <w:t>in relation to safety measures to be observed at, in or on a place, vehicle, aircraft or vessel at, in, on or in the vicinity of which there are Commonwealth explosives; and</w:t>
      </w:r>
    </w:p>
    <w:p w14:paraId="20D34425" w14:textId="77777777" w:rsidR="002A6C91" w:rsidRPr="00824B04" w:rsidRDefault="002A6C91" w:rsidP="002A6C91">
      <w:pPr>
        <w:pStyle w:val="paragraph"/>
      </w:pPr>
      <w:r w:rsidRPr="00824B04">
        <w:tab/>
        <w:t>(c)</w:t>
      </w:r>
      <w:r w:rsidRPr="00824B04">
        <w:tab/>
        <w:t>for safety measures to be observed in or near a Commonwealth explosives area.</w:t>
      </w:r>
    </w:p>
    <w:p w14:paraId="63E9FFA7" w14:textId="77777777" w:rsidR="003A4CCE" w:rsidRPr="00824B04" w:rsidRDefault="002A6C91" w:rsidP="00DB5F71">
      <w:pPr>
        <w:pStyle w:val="notetext"/>
      </w:pPr>
      <w:r w:rsidRPr="00824B04">
        <w:t>Note 1:</w:t>
      </w:r>
      <w:r w:rsidRPr="00824B04">
        <w:tab/>
        <w:t xml:space="preserve">Penalties for a failure to comply with an order are set by </w:t>
      </w:r>
      <w:r w:rsidR="008B59D2" w:rsidRPr="00824B04">
        <w:t>section 2</w:t>
      </w:r>
      <w:r w:rsidRPr="00824B04">
        <w:t>0 of the Act.</w:t>
      </w:r>
    </w:p>
    <w:p w14:paraId="23019D0F" w14:textId="77777777" w:rsidR="00CF68A7" w:rsidRPr="00824B04" w:rsidRDefault="00CF68A7" w:rsidP="00CF68A7">
      <w:pPr>
        <w:pStyle w:val="notetext"/>
      </w:pPr>
      <w:r w:rsidRPr="00824B04">
        <w:t>Note 2:</w:t>
      </w:r>
      <w:r w:rsidRPr="00824B04">
        <w:tab/>
        <w:t xml:space="preserve">Orders are legislative instruments (see </w:t>
      </w:r>
      <w:r w:rsidR="00C5351E" w:rsidRPr="00824B04">
        <w:t>subsection 1</w:t>
      </w:r>
      <w:r w:rsidRPr="00824B04">
        <w:t>6(1) of the Act).</w:t>
      </w:r>
    </w:p>
    <w:p w14:paraId="0FF317CD" w14:textId="77777777" w:rsidR="00417AD9" w:rsidRPr="00824B04" w:rsidRDefault="00417AD9" w:rsidP="00417AD9">
      <w:pPr>
        <w:pStyle w:val="subsection"/>
      </w:pPr>
      <w:r w:rsidRPr="00824B04">
        <w:tab/>
        <w:t>(2)</w:t>
      </w:r>
      <w:r w:rsidRPr="00824B04">
        <w:tab/>
        <w:t xml:space="preserve">For the purposes of </w:t>
      </w:r>
      <w:r w:rsidR="00C5351E" w:rsidRPr="00824B04">
        <w:t>section 1</w:t>
      </w:r>
      <w:r w:rsidRPr="00824B04">
        <w:t xml:space="preserve">7 of the Act, an order made under </w:t>
      </w:r>
      <w:r w:rsidR="00240D90" w:rsidRPr="00824B04">
        <w:t>subsection (</w:t>
      </w:r>
      <w:r w:rsidRPr="00824B04">
        <w:t>1) of this section takes effect at the start of the day after the day the instrument is registered.</w:t>
      </w:r>
    </w:p>
    <w:p w14:paraId="7BE4D4A8" w14:textId="77777777" w:rsidR="002A6C91" w:rsidRPr="00824B04" w:rsidRDefault="002A6C91" w:rsidP="002A6C91">
      <w:pPr>
        <w:pStyle w:val="subsection"/>
      </w:pPr>
      <w:r w:rsidRPr="00824B04">
        <w:tab/>
        <w:t>(3)</w:t>
      </w:r>
      <w:r w:rsidRPr="00824B04">
        <w:tab/>
        <w:t xml:space="preserve">If there is an inconsistency between a provision of </w:t>
      </w:r>
      <w:r w:rsidR="00BC4D80" w:rsidRPr="00824B04">
        <w:t>this instrument</w:t>
      </w:r>
      <w:r w:rsidRPr="00824B04">
        <w:t xml:space="preserve"> and a provision of an order made by the Minister under this </w:t>
      </w:r>
      <w:r w:rsidR="00BC4D80" w:rsidRPr="00824B04">
        <w:t>section</w:t>
      </w:r>
      <w:r w:rsidRPr="00824B04">
        <w:t>, the order prevails to the extent of the inconsistency.</w:t>
      </w:r>
    </w:p>
    <w:p w14:paraId="14BF3249" w14:textId="77777777" w:rsidR="001D7A5E" w:rsidRPr="00824B04" w:rsidRDefault="002A6C91" w:rsidP="008623E6">
      <w:pPr>
        <w:pStyle w:val="subsection"/>
      </w:pPr>
      <w:r w:rsidRPr="00824B04">
        <w:tab/>
        <w:t>(4)</w:t>
      </w:r>
      <w:r w:rsidRPr="00824B04">
        <w:tab/>
        <w:t xml:space="preserve">An order ceases to have effect at </w:t>
      </w:r>
      <w:r w:rsidR="001D7A5E" w:rsidRPr="00824B04">
        <w:t>the earliest of the following:</w:t>
      </w:r>
    </w:p>
    <w:p w14:paraId="05F8DABD" w14:textId="77777777" w:rsidR="001D7A5E" w:rsidRPr="00824B04" w:rsidRDefault="001D7A5E" w:rsidP="001D7A5E">
      <w:pPr>
        <w:pStyle w:val="paragraph"/>
      </w:pPr>
      <w:r w:rsidRPr="00824B04">
        <w:tab/>
        <w:t>(a)</w:t>
      </w:r>
      <w:r w:rsidRPr="00824B04">
        <w:tab/>
      </w:r>
      <w:r w:rsidR="002A6C91" w:rsidRPr="00824B04">
        <w:t xml:space="preserve">the end of 12 months after the day on which </w:t>
      </w:r>
      <w:r w:rsidRPr="00824B04">
        <w:t>the order</w:t>
      </w:r>
      <w:r w:rsidR="002A6C91" w:rsidRPr="00824B04">
        <w:t xml:space="preserve"> takes effect</w:t>
      </w:r>
      <w:r w:rsidRPr="00824B04">
        <w:t>;</w:t>
      </w:r>
    </w:p>
    <w:p w14:paraId="36EC2B53" w14:textId="77777777" w:rsidR="00F579FB" w:rsidRPr="00824B04" w:rsidRDefault="001D7A5E" w:rsidP="001D7A5E">
      <w:pPr>
        <w:pStyle w:val="paragraph"/>
      </w:pPr>
      <w:r w:rsidRPr="00824B04">
        <w:tab/>
        <w:t>(b)</w:t>
      </w:r>
      <w:r w:rsidRPr="00824B04">
        <w:tab/>
      </w:r>
      <w:r w:rsidR="002A6C91" w:rsidRPr="00824B04">
        <w:t>the end of any shorter period that is specified in the order</w:t>
      </w:r>
      <w:r w:rsidR="00F579FB" w:rsidRPr="00824B04">
        <w:t>;</w:t>
      </w:r>
    </w:p>
    <w:p w14:paraId="1D46DE81" w14:textId="77777777" w:rsidR="002A6C91" w:rsidRPr="00824B04" w:rsidRDefault="00F579FB" w:rsidP="00F579FB">
      <w:pPr>
        <w:pStyle w:val="paragraph"/>
      </w:pPr>
      <w:r w:rsidRPr="00824B04">
        <w:tab/>
        <w:t>(c)</w:t>
      </w:r>
      <w:r w:rsidRPr="00824B04">
        <w:tab/>
        <w:t>the order is</w:t>
      </w:r>
      <w:r w:rsidR="002A6C91" w:rsidRPr="00824B04">
        <w:t xml:space="preserve"> revoked.</w:t>
      </w:r>
    </w:p>
    <w:p w14:paraId="42D2BC0D" w14:textId="77777777" w:rsidR="008623E6" w:rsidRPr="00824B04" w:rsidRDefault="008B59D2" w:rsidP="008623E6">
      <w:pPr>
        <w:pStyle w:val="ActHead2"/>
        <w:pageBreakBefore/>
      </w:pPr>
      <w:bookmarkStart w:id="66" w:name="_Toc170463374"/>
      <w:r w:rsidRPr="00824B04">
        <w:rPr>
          <w:rStyle w:val="CharPartNo"/>
        </w:rPr>
        <w:lastRenderedPageBreak/>
        <w:t>Part 5</w:t>
      </w:r>
      <w:r w:rsidR="008623E6" w:rsidRPr="00824B04">
        <w:t>—</w:t>
      </w:r>
      <w:r w:rsidR="008623E6" w:rsidRPr="00824B04">
        <w:rPr>
          <w:rStyle w:val="CharPartText"/>
        </w:rPr>
        <w:t>Application</w:t>
      </w:r>
      <w:r w:rsidR="00B746C8" w:rsidRPr="00824B04">
        <w:rPr>
          <w:rStyle w:val="CharPartText"/>
        </w:rPr>
        <w:t>, saving</w:t>
      </w:r>
      <w:r w:rsidR="008623E6" w:rsidRPr="00824B04">
        <w:rPr>
          <w:rStyle w:val="CharPartText"/>
        </w:rPr>
        <w:t xml:space="preserve"> and transitional provisions</w:t>
      </w:r>
      <w:bookmarkEnd w:id="66"/>
    </w:p>
    <w:p w14:paraId="2985199D" w14:textId="77777777" w:rsidR="000743E9" w:rsidRPr="00824B04" w:rsidRDefault="00864AFB" w:rsidP="00593998">
      <w:pPr>
        <w:pStyle w:val="ActHead3"/>
        <w:rPr>
          <w:b w:val="0"/>
        </w:rPr>
      </w:pPr>
      <w:bookmarkStart w:id="67" w:name="_Toc170463375"/>
      <w:r w:rsidRPr="00824B04">
        <w:rPr>
          <w:rStyle w:val="CharDivNo"/>
        </w:rPr>
        <w:t>Division 1</w:t>
      </w:r>
      <w:r w:rsidR="00593998" w:rsidRPr="00824B04">
        <w:t>—</w:t>
      </w:r>
      <w:r w:rsidR="00A90BC6" w:rsidRPr="00824B04">
        <w:rPr>
          <w:rStyle w:val="CharDivText"/>
        </w:rPr>
        <w:t>Amendments made by the Customs and Other Legislation Amendment (Australian Border Force) Regulation 2015</w:t>
      </w:r>
      <w:bookmarkEnd w:id="67"/>
    </w:p>
    <w:p w14:paraId="72345C2C" w14:textId="77777777" w:rsidR="008623E6" w:rsidRPr="00824B04" w:rsidRDefault="001436C7" w:rsidP="009C43E2">
      <w:pPr>
        <w:pStyle w:val="ActHead5"/>
      </w:pPr>
      <w:bookmarkStart w:id="68" w:name="_Toc170463376"/>
      <w:r w:rsidRPr="00824B04">
        <w:rPr>
          <w:rStyle w:val="CharSectno"/>
        </w:rPr>
        <w:t>45</w:t>
      </w:r>
      <w:r w:rsidR="008623E6" w:rsidRPr="00824B04">
        <w:t xml:space="preserve">  </w:t>
      </w:r>
      <w:r w:rsidR="004871AC" w:rsidRPr="00824B04">
        <w:t>A</w:t>
      </w:r>
      <w:r w:rsidR="008623E6" w:rsidRPr="00824B04">
        <w:t xml:space="preserve">mendments made by the </w:t>
      </w:r>
      <w:r w:rsidR="008623E6" w:rsidRPr="00824B04">
        <w:rPr>
          <w:i/>
        </w:rPr>
        <w:t xml:space="preserve">Customs and Other Legislation Amendment (Australian Border Force) </w:t>
      </w:r>
      <w:r w:rsidR="007651AF" w:rsidRPr="00824B04">
        <w:rPr>
          <w:i/>
        </w:rPr>
        <w:t>Regulation 2</w:t>
      </w:r>
      <w:r w:rsidR="008623E6" w:rsidRPr="00824B04">
        <w:rPr>
          <w:i/>
        </w:rPr>
        <w:t>015</w:t>
      </w:r>
      <w:bookmarkEnd w:id="68"/>
    </w:p>
    <w:p w14:paraId="5DC0F067" w14:textId="77777777" w:rsidR="00DE1063" w:rsidRPr="00824B04" w:rsidRDefault="008623E6" w:rsidP="00AE77CA">
      <w:pPr>
        <w:pStyle w:val="subsection"/>
      </w:pPr>
      <w:r w:rsidRPr="00824B04">
        <w:tab/>
      </w:r>
      <w:r w:rsidR="00AE77CA" w:rsidRPr="00824B04">
        <w:tab/>
      </w:r>
      <w:r w:rsidRPr="00824B04">
        <w:t xml:space="preserve">An approved security plan of the Australian Customs and Border Protection Service that was in force under regulation 26 of the </w:t>
      </w:r>
      <w:r w:rsidRPr="00824B04">
        <w:rPr>
          <w:i/>
        </w:rPr>
        <w:t xml:space="preserve">Explosives Transport </w:t>
      </w:r>
      <w:r w:rsidR="00B523A5" w:rsidRPr="00824B04">
        <w:rPr>
          <w:i/>
        </w:rPr>
        <w:t>Regulations 2</w:t>
      </w:r>
      <w:r w:rsidRPr="00824B04">
        <w:rPr>
          <w:i/>
        </w:rPr>
        <w:t xml:space="preserve">002 </w:t>
      </w:r>
      <w:r w:rsidRPr="00824B04">
        <w:t xml:space="preserve">immediately before 1 July 2015 continues in force on and after that day as if it were an approved security plan of the Department administered by the Minister administering Part XII of the </w:t>
      </w:r>
      <w:r w:rsidRPr="00824B04">
        <w:rPr>
          <w:i/>
        </w:rPr>
        <w:t>Customs Act 1901</w:t>
      </w:r>
      <w:r w:rsidRPr="00824B04">
        <w:t>.</w:t>
      </w:r>
    </w:p>
    <w:p w14:paraId="4DD39953" w14:textId="77777777" w:rsidR="00A90BC6" w:rsidRPr="00824B04" w:rsidRDefault="00864AFB" w:rsidP="00A90BC6">
      <w:pPr>
        <w:pStyle w:val="ActHead3"/>
        <w:pageBreakBefore/>
      </w:pPr>
      <w:bookmarkStart w:id="69" w:name="_Toc170463377"/>
      <w:r w:rsidRPr="00824B04">
        <w:rPr>
          <w:rStyle w:val="CharDivNo"/>
        </w:rPr>
        <w:lastRenderedPageBreak/>
        <w:t>Division 2</w:t>
      </w:r>
      <w:r w:rsidR="0091580F" w:rsidRPr="00824B04">
        <w:t>—</w:t>
      </w:r>
      <w:r w:rsidR="0091580F" w:rsidRPr="00824B04">
        <w:rPr>
          <w:rStyle w:val="CharDivText"/>
        </w:rPr>
        <w:t xml:space="preserve">Transitional provisions </w:t>
      </w:r>
      <w:r w:rsidR="006E745F" w:rsidRPr="00824B04">
        <w:rPr>
          <w:rStyle w:val="CharDivText"/>
        </w:rPr>
        <w:t xml:space="preserve">relating </w:t>
      </w:r>
      <w:r w:rsidR="0091580F" w:rsidRPr="00824B04">
        <w:rPr>
          <w:rStyle w:val="CharDivText"/>
        </w:rPr>
        <w:t>to the commencement of this instrument</w:t>
      </w:r>
      <w:bookmarkEnd w:id="69"/>
    </w:p>
    <w:p w14:paraId="49ADF34C" w14:textId="77777777" w:rsidR="002542A5" w:rsidRPr="00824B04" w:rsidRDefault="001436C7" w:rsidP="002542A5">
      <w:pPr>
        <w:pStyle w:val="ActHead5"/>
      </w:pPr>
      <w:bookmarkStart w:id="70" w:name="_Toc170463378"/>
      <w:r w:rsidRPr="00824B04">
        <w:rPr>
          <w:rStyle w:val="CharSectno"/>
        </w:rPr>
        <w:t>46</w:t>
      </w:r>
      <w:r w:rsidR="002542A5" w:rsidRPr="00824B04">
        <w:t xml:space="preserve">  Definitions</w:t>
      </w:r>
      <w:bookmarkEnd w:id="70"/>
    </w:p>
    <w:p w14:paraId="315B84E6" w14:textId="77777777" w:rsidR="002542A5" w:rsidRPr="00824B04" w:rsidRDefault="002542A5" w:rsidP="002542A5">
      <w:pPr>
        <w:pStyle w:val="subsection"/>
      </w:pPr>
      <w:r w:rsidRPr="00824B04">
        <w:tab/>
      </w:r>
      <w:r w:rsidRPr="00824B04">
        <w:tab/>
        <w:t>In this Division:</w:t>
      </w:r>
    </w:p>
    <w:p w14:paraId="1F0640AD" w14:textId="77777777" w:rsidR="0091580F" w:rsidRPr="00824B04" w:rsidRDefault="0091580F" w:rsidP="0091580F">
      <w:pPr>
        <w:pStyle w:val="Definition"/>
      </w:pPr>
      <w:r w:rsidRPr="00824B04">
        <w:rPr>
          <w:b/>
          <w:i/>
        </w:rPr>
        <w:t>old area regulations</w:t>
      </w:r>
      <w:r w:rsidRPr="00824B04">
        <w:t xml:space="preserve"> means the </w:t>
      </w:r>
      <w:r w:rsidRPr="00824B04">
        <w:rPr>
          <w:i/>
        </w:rPr>
        <w:t xml:space="preserve">Explosives Areas </w:t>
      </w:r>
      <w:r w:rsidR="00B523A5" w:rsidRPr="00824B04">
        <w:rPr>
          <w:i/>
        </w:rPr>
        <w:t>Regulations 2</w:t>
      </w:r>
      <w:r w:rsidRPr="00824B04">
        <w:rPr>
          <w:i/>
        </w:rPr>
        <w:t>00</w:t>
      </w:r>
      <w:r w:rsidR="002C5534" w:rsidRPr="00824B04">
        <w:rPr>
          <w:i/>
        </w:rPr>
        <w:t>3</w:t>
      </w:r>
      <w:r w:rsidRPr="00824B04">
        <w:t>, as in force immediately before the commencement of this section.</w:t>
      </w:r>
    </w:p>
    <w:p w14:paraId="4DEBED83" w14:textId="77777777" w:rsidR="002542A5" w:rsidRPr="00824B04" w:rsidRDefault="002542A5" w:rsidP="002542A5">
      <w:pPr>
        <w:pStyle w:val="Definition"/>
      </w:pPr>
      <w:r w:rsidRPr="00824B04">
        <w:rPr>
          <w:b/>
          <w:i/>
        </w:rPr>
        <w:t xml:space="preserve">old </w:t>
      </w:r>
      <w:r w:rsidR="0091580F" w:rsidRPr="00824B04">
        <w:rPr>
          <w:b/>
          <w:i/>
        </w:rPr>
        <w:t>transport</w:t>
      </w:r>
      <w:r w:rsidRPr="00824B04">
        <w:rPr>
          <w:b/>
          <w:i/>
        </w:rPr>
        <w:t xml:space="preserve"> regulations</w:t>
      </w:r>
      <w:r w:rsidRPr="00824B04">
        <w:t xml:space="preserve"> means the </w:t>
      </w:r>
      <w:r w:rsidR="0091580F" w:rsidRPr="00824B04">
        <w:rPr>
          <w:i/>
        </w:rPr>
        <w:t xml:space="preserve">Explosives Transport </w:t>
      </w:r>
      <w:r w:rsidR="00B523A5" w:rsidRPr="00824B04">
        <w:rPr>
          <w:i/>
        </w:rPr>
        <w:t>Regulations 2</w:t>
      </w:r>
      <w:r w:rsidR="0091580F" w:rsidRPr="00824B04">
        <w:rPr>
          <w:i/>
        </w:rPr>
        <w:t>002</w:t>
      </w:r>
      <w:r w:rsidR="0091580F" w:rsidRPr="00824B04">
        <w:t>,</w:t>
      </w:r>
      <w:r w:rsidRPr="00824B04">
        <w:t xml:space="preserve"> as in force immediately before the commencement of this section.</w:t>
      </w:r>
    </w:p>
    <w:p w14:paraId="6F038B0F" w14:textId="77777777" w:rsidR="002542A5" w:rsidRPr="00824B04" w:rsidRDefault="001436C7" w:rsidP="002542A5">
      <w:pPr>
        <w:pStyle w:val="ActHead5"/>
      </w:pPr>
      <w:bookmarkStart w:id="71" w:name="_Toc170463379"/>
      <w:r w:rsidRPr="00824B04">
        <w:rPr>
          <w:rStyle w:val="CharSectno"/>
        </w:rPr>
        <w:t>47</w:t>
      </w:r>
      <w:r w:rsidR="002542A5" w:rsidRPr="00824B04">
        <w:t xml:space="preserve">  Things done under the old </w:t>
      </w:r>
      <w:r w:rsidR="002C5534" w:rsidRPr="00824B04">
        <w:t>area</w:t>
      </w:r>
      <w:r w:rsidR="002542A5" w:rsidRPr="00824B04">
        <w:t xml:space="preserve"> regulations and the old </w:t>
      </w:r>
      <w:r w:rsidR="002C5534" w:rsidRPr="00824B04">
        <w:t>transport</w:t>
      </w:r>
      <w:r w:rsidR="002542A5" w:rsidRPr="00824B04">
        <w:t xml:space="preserve"> regulations</w:t>
      </w:r>
      <w:bookmarkEnd w:id="71"/>
    </w:p>
    <w:p w14:paraId="75FAC1CC" w14:textId="77777777" w:rsidR="002542A5" w:rsidRPr="00824B04" w:rsidRDefault="002542A5" w:rsidP="002542A5">
      <w:pPr>
        <w:pStyle w:val="subsection"/>
      </w:pPr>
      <w:r w:rsidRPr="00824B04">
        <w:tab/>
        <w:t>(1)</w:t>
      </w:r>
      <w:r w:rsidRPr="00824B04">
        <w:tab/>
        <w:t>If:</w:t>
      </w:r>
    </w:p>
    <w:p w14:paraId="2FE998FC" w14:textId="77777777" w:rsidR="002542A5" w:rsidRPr="00824B04" w:rsidRDefault="002542A5" w:rsidP="002542A5">
      <w:pPr>
        <w:pStyle w:val="paragraph"/>
      </w:pPr>
      <w:r w:rsidRPr="00824B04">
        <w:tab/>
        <w:t>(a)</w:t>
      </w:r>
      <w:r w:rsidRPr="00824B04">
        <w:tab/>
        <w:t xml:space="preserve">a thing was done for a particular purpose under the old </w:t>
      </w:r>
      <w:r w:rsidR="002C5534" w:rsidRPr="00824B04">
        <w:t>area</w:t>
      </w:r>
      <w:r w:rsidRPr="00824B04">
        <w:t xml:space="preserve"> regulations or the old </w:t>
      </w:r>
      <w:r w:rsidR="002C5534" w:rsidRPr="00824B04">
        <w:t>transport</w:t>
      </w:r>
      <w:r w:rsidRPr="00824B04">
        <w:t xml:space="preserve"> regulations; and</w:t>
      </w:r>
    </w:p>
    <w:p w14:paraId="2F9EC85A" w14:textId="77777777" w:rsidR="002542A5" w:rsidRPr="00824B04" w:rsidRDefault="002542A5" w:rsidP="002542A5">
      <w:pPr>
        <w:pStyle w:val="paragraph"/>
      </w:pPr>
      <w:r w:rsidRPr="00824B04">
        <w:tab/>
        <w:t>(b)</w:t>
      </w:r>
      <w:r w:rsidRPr="00824B04">
        <w:tab/>
        <w:t>the thing could be done for that purpose under this instrument;</w:t>
      </w:r>
    </w:p>
    <w:p w14:paraId="7978DF23" w14:textId="77777777" w:rsidR="002542A5" w:rsidRPr="00824B04" w:rsidRDefault="002542A5" w:rsidP="002542A5">
      <w:pPr>
        <w:pStyle w:val="subsection2"/>
      </w:pPr>
      <w:r w:rsidRPr="00824B04">
        <w:t>the thing has effect for the purposes of this instrument as if it had been done for that purpose under this instrument.</w:t>
      </w:r>
    </w:p>
    <w:p w14:paraId="2D1535A1" w14:textId="77777777" w:rsidR="002542A5" w:rsidRPr="00824B04" w:rsidRDefault="002542A5" w:rsidP="002542A5">
      <w:pPr>
        <w:pStyle w:val="subsection"/>
      </w:pPr>
      <w:r w:rsidRPr="00824B04">
        <w:tab/>
        <w:t>(2)</w:t>
      </w:r>
      <w:r w:rsidRPr="00824B04">
        <w:tab/>
        <w:t xml:space="preserve">Without limiting subsection (1), a reference in that subsection to a thing being done includes a reference to </w:t>
      </w:r>
      <w:r w:rsidR="00707AE4" w:rsidRPr="00824B04">
        <w:t xml:space="preserve">an </w:t>
      </w:r>
      <w:r w:rsidR="008874E0" w:rsidRPr="00824B04">
        <w:t xml:space="preserve">application, </w:t>
      </w:r>
      <w:r w:rsidR="00707AE4" w:rsidRPr="00824B04">
        <w:t xml:space="preserve">appointment, </w:t>
      </w:r>
      <w:r w:rsidR="001F451C" w:rsidRPr="00824B04">
        <w:t>determination, direction</w:t>
      </w:r>
      <w:r w:rsidR="0086464E" w:rsidRPr="00824B04">
        <w:t>,</w:t>
      </w:r>
      <w:r w:rsidR="001F451C" w:rsidRPr="00824B04">
        <w:t xml:space="preserve"> </w:t>
      </w:r>
      <w:r w:rsidR="00707AE4" w:rsidRPr="00824B04">
        <w:t>exemption,</w:t>
      </w:r>
      <w:r w:rsidR="008874E0" w:rsidRPr="00824B04">
        <w:t xml:space="preserve"> notice or order</w:t>
      </w:r>
      <w:r w:rsidRPr="00824B04">
        <w:t xml:space="preserve"> being given or made.</w:t>
      </w:r>
    </w:p>
    <w:p w14:paraId="21B73B54" w14:textId="77777777" w:rsidR="00F64C7F" w:rsidRPr="00824B04" w:rsidRDefault="001436C7" w:rsidP="0084735C">
      <w:pPr>
        <w:pStyle w:val="ActHead5"/>
      </w:pPr>
      <w:bookmarkStart w:id="72" w:name="_Toc170463380"/>
      <w:r w:rsidRPr="00824B04">
        <w:rPr>
          <w:rStyle w:val="CharSectno"/>
        </w:rPr>
        <w:t>48</w:t>
      </w:r>
      <w:r w:rsidR="00F64C7F" w:rsidRPr="00824B04">
        <w:t xml:space="preserve">  </w:t>
      </w:r>
      <w:r w:rsidR="0084735C" w:rsidRPr="00824B04">
        <w:t>Audits</w:t>
      </w:r>
      <w:bookmarkEnd w:id="72"/>
    </w:p>
    <w:p w14:paraId="0D6BD731" w14:textId="77777777" w:rsidR="00A15FC8" w:rsidRPr="00824B04" w:rsidRDefault="0084735C" w:rsidP="0084735C">
      <w:pPr>
        <w:pStyle w:val="subsection"/>
      </w:pPr>
      <w:r w:rsidRPr="00824B04">
        <w:tab/>
      </w:r>
      <w:r w:rsidRPr="00824B04">
        <w:tab/>
        <w:t xml:space="preserve">Despite the repeal of the old transport regulations, </w:t>
      </w:r>
      <w:r w:rsidR="00864AFB" w:rsidRPr="00824B04">
        <w:t>regulation 1</w:t>
      </w:r>
      <w:r w:rsidR="00A15FC8" w:rsidRPr="00824B04">
        <w:t xml:space="preserve">3 of the </w:t>
      </w:r>
      <w:r w:rsidRPr="00824B04">
        <w:t>old transport regulations continue</w:t>
      </w:r>
      <w:r w:rsidR="00A15FC8" w:rsidRPr="00824B04">
        <w:t>s</w:t>
      </w:r>
      <w:r w:rsidRPr="00824B04">
        <w:t xml:space="preserve"> to apply</w:t>
      </w:r>
      <w:r w:rsidR="001E4F49" w:rsidRPr="00824B04">
        <w:t>,</w:t>
      </w:r>
      <w:r w:rsidRPr="00824B04">
        <w:t xml:space="preserve"> after the commencement of this section</w:t>
      </w:r>
      <w:r w:rsidR="001E4F49" w:rsidRPr="00824B04">
        <w:t>, in relation t</w:t>
      </w:r>
      <w:r w:rsidRPr="00824B04">
        <w:t xml:space="preserve">o an </w:t>
      </w:r>
      <w:r w:rsidR="00A15FC8" w:rsidRPr="00824B04">
        <w:t>audit that was commenced but not concluded at that commencement as if that repeal had not happened.</w:t>
      </w:r>
    </w:p>
    <w:p w14:paraId="7D2B25D3" w14:textId="77777777" w:rsidR="002C5534" w:rsidRPr="00824B04" w:rsidRDefault="001436C7" w:rsidP="006D4E83">
      <w:pPr>
        <w:pStyle w:val="ActHead5"/>
      </w:pPr>
      <w:bookmarkStart w:id="73" w:name="_Toc170463381"/>
      <w:r w:rsidRPr="00824B04">
        <w:rPr>
          <w:rStyle w:val="CharSectno"/>
        </w:rPr>
        <w:t>49</w:t>
      </w:r>
      <w:r w:rsidR="002C5534" w:rsidRPr="00824B04">
        <w:t xml:space="preserve">  Review by the Administrative Appeals Tribunal of </w:t>
      </w:r>
      <w:r w:rsidR="00285883" w:rsidRPr="00824B04">
        <w:t xml:space="preserve">exemption </w:t>
      </w:r>
      <w:r w:rsidR="002C5534" w:rsidRPr="00824B04">
        <w:t xml:space="preserve">decisions of the </w:t>
      </w:r>
      <w:r w:rsidR="006D4E83" w:rsidRPr="00824B04">
        <w:t>Competent Authority</w:t>
      </w:r>
      <w:bookmarkEnd w:id="73"/>
    </w:p>
    <w:p w14:paraId="7B57043D" w14:textId="77777777" w:rsidR="002C5534" w:rsidRPr="00824B04" w:rsidRDefault="002C5534" w:rsidP="002C5534">
      <w:pPr>
        <w:pStyle w:val="subsection"/>
      </w:pPr>
      <w:r w:rsidRPr="00824B04">
        <w:tab/>
        <w:t>(1)</w:t>
      </w:r>
      <w:r w:rsidRPr="00824B04">
        <w:tab/>
        <w:t>This section applies if:</w:t>
      </w:r>
    </w:p>
    <w:p w14:paraId="544A8A46" w14:textId="77777777" w:rsidR="002C5534" w:rsidRPr="00824B04" w:rsidRDefault="002C5534" w:rsidP="006D4E83">
      <w:pPr>
        <w:pStyle w:val="paragraph"/>
      </w:pPr>
      <w:r w:rsidRPr="00824B04">
        <w:tab/>
        <w:t>(a)</w:t>
      </w:r>
      <w:r w:rsidRPr="00824B04">
        <w:tab/>
        <w:t xml:space="preserve">the </w:t>
      </w:r>
      <w:r w:rsidR="006D4E83" w:rsidRPr="00824B04">
        <w:t xml:space="preserve">Competent Authority </w:t>
      </w:r>
      <w:r w:rsidRPr="00824B04">
        <w:t xml:space="preserve">makes a decision under </w:t>
      </w:r>
      <w:r w:rsidR="00864AFB" w:rsidRPr="00824B04">
        <w:t>regulation 1</w:t>
      </w:r>
      <w:r w:rsidR="00285883" w:rsidRPr="00824B04">
        <w:t>6</w:t>
      </w:r>
      <w:r w:rsidRPr="00824B04">
        <w:t xml:space="preserve"> of the old </w:t>
      </w:r>
      <w:r w:rsidR="005F3184" w:rsidRPr="00824B04">
        <w:t>transport</w:t>
      </w:r>
      <w:r w:rsidR="00285883" w:rsidRPr="00824B04">
        <w:t xml:space="preserve"> </w:t>
      </w:r>
      <w:r w:rsidRPr="00824B04">
        <w:t>regulations before the commencement of this section; and</w:t>
      </w:r>
    </w:p>
    <w:p w14:paraId="4AA791D8" w14:textId="77777777" w:rsidR="002C5534" w:rsidRPr="00824B04" w:rsidRDefault="002C5534" w:rsidP="007F5CF5">
      <w:pPr>
        <w:pStyle w:val="paragraph"/>
      </w:pPr>
      <w:r w:rsidRPr="00824B04">
        <w:tab/>
        <w:t>(b)</w:t>
      </w:r>
      <w:r w:rsidRPr="00824B04">
        <w:tab/>
        <w:t xml:space="preserve">immediately before that commencement, an application has not been made under </w:t>
      </w:r>
      <w:r w:rsidR="00864AFB" w:rsidRPr="00824B04">
        <w:t>regulation 1</w:t>
      </w:r>
      <w:r w:rsidR="007F5CF5" w:rsidRPr="00824B04">
        <w:t>9</w:t>
      </w:r>
      <w:r w:rsidRPr="00824B04">
        <w:t xml:space="preserve"> of the old </w:t>
      </w:r>
      <w:r w:rsidR="005F3184" w:rsidRPr="00824B04">
        <w:t>transport</w:t>
      </w:r>
      <w:r w:rsidR="007F5CF5" w:rsidRPr="00824B04">
        <w:t xml:space="preserve"> </w:t>
      </w:r>
      <w:r w:rsidRPr="00824B04">
        <w:t>regulations for review by the Administrative Appeals Tribunal of that decision; and</w:t>
      </w:r>
    </w:p>
    <w:p w14:paraId="1992F352" w14:textId="77777777" w:rsidR="002C5534" w:rsidRPr="00824B04" w:rsidRDefault="002C5534" w:rsidP="007F5CF5">
      <w:pPr>
        <w:pStyle w:val="paragraph"/>
      </w:pPr>
      <w:r w:rsidRPr="00824B04">
        <w:tab/>
        <w:t>(c)</w:t>
      </w:r>
      <w:r w:rsidRPr="00824B04">
        <w:tab/>
        <w:t xml:space="preserve">immediately before that commencement, the time for a person to make such an application has not ended (including any extensions of that time under section 29 of the </w:t>
      </w:r>
      <w:r w:rsidRPr="00824B04">
        <w:rPr>
          <w:i/>
        </w:rPr>
        <w:t>Administrative Appeals Tribunal Act 1975</w:t>
      </w:r>
      <w:r w:rsidRPr="00824B04">
        <w:t>).</w:t>
      </w:r>
    </w:p>
    <w:p w14:paraId="358D6130" w14:textId="77777777" w:rsidR="002C5534" w:rsidRPr="00824B04" w:rsidRDefault="002C5534" w:rsidP="002C5534">
      <w:pPr>
        <w:pStyle w:val="subsection"/>
      </w:pPr>
      <w:r w:rsidRPr="00824B04">
        <w:tab/>
        <w:t>(2)</w:t>
      </w:r>
      <w:r w:rsidRPr="00824B04">
        <w:tab/>
        <w:t xml:space="preserve">Despite the repeal of </w:t>
      </w:r>
      <w:r w:rsidR="00864AFB" w:rsidRPr="00824B04">
        <w:t>regulation 1</w:t>
      </w:r>
      <w:r w:rsidR="007F5CF5" w:rsidRPr="00824B04">
        <w:t>9</w:t>
      </w:r>
      <w:r w:rsidRPr="00824B04">
        <w:t xml:space="preserve"> of the old </w:t>
      </w:r>
      <w:r w:rsidR="005F3184" w:rsidRPr="00824B04">
        <w:t>transport</w:t>
      </w:r>
      <w:r w:rsidR="007F5CF5" w:rsidRPr="00824B04">
        <w:t xml:space="preserve"> </w:t>
      </w:r>
      <w:r w:rsidRPr="00824B04">
        <w:t xml:space="preserve">regulations, that </w:t>
      </w:r>
      <w:r w:rsidR="007F5CF5" w:rsidRPr="00824B04">
        <w:t>r</w:t>
      </w:r>
      <w:r w:rsidRPr="00824B04">
        <w:t xml:space="preserve">egulation, as in force immediately before the commencement of this section, continues to apply in relation to the </w:t>
      </w:r>
      <w:r w:rsidR="007F5CF5" w:rsidRPr="00824B04">
        <w:t>Competent Authority’s</w:t>
      </w:r>
      <w:r w:rsidRPr="00824B04">
        <w:t xml:space="preserve"> decision as if that repeal had not happened.</w:t>
      </w:r>
    </w:p>
    <w:p w14:paraId="0BD64475" w14:textId="77777777" w:rsidR="0076037D" w:rsidRPr="00824B04" w:rsidRDefault="0076037D" w:rsidP="0076037D">
      <w:pPr>
        <w:sectPr w:rsidR="0076037D" w:rsidRPr="00824B04" w:rsidSect="003B1A5F">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8" w:gutter="0"/>
          <w:pgNumType w:start="1"/>
          <w:cols w:space="708"/>
          <w:docGrid w:linePitch="360"/>
        </w:sectPr>
      </w:pPr>
    </w:p>
    <w:p w14:paraId="360D0410" w14:textId="77777777" w:rsidR="002E483F" w:rsidRPr="00824B04" w:rsidRDefault="002E483F" w:rsidP="00E17022">
      <w:pPr>
        <w:pStyle w:val="ActHead1"/>
        <w:pageBreakBefore/>
      </w:pPr>
      <w:bookmarkStart w:id="74" w:name="_Toc170463382"/>
      <w:bookmarkEnd w:id="62"/>
      <w:r w:rsidRPr="00824B04">
        <w:rPr>
          <w:rStyle w:val="CharChapNo"/>
        </w:rPr>
        <w:lastRenderedPageBreak/>
        <w:t>Schedule 1</w:t>
      </w:r>
      <w:r w:rsidRPr="00824B04">
        <w:t>—</w:t>
      </w:r>
      <w:r w:rsidRPr="00824B04">
        <w:rPr>
          <w:rStyle w:val="CharChapText"/>
        </w:rPr>
        <w:t>Modifications of the AE Code in relation to Commonwealth explosives</w:t>
      </w:r>
      <w:bookmarkEnd w:id="74"/>
    </w:p>
    <w:p w14:paraId="2C619F33" w14:textId="77777777" w:rsidR="002E483F" w:rsidRPr="00824B04" w:rsidRDefault="00170776" w:rsidP="00B44D7E">
      <w:pPr>
        <w:pStyle w:val="notemargin"/>
      </w:pPr>
      <w:r w:rsidRPr="00824B04">
        <w:t>Note:</w:t>
      </w:r>
      <w:r w:rsidRPr="00824B04">
        <w:tab/>
        <w:t xml:space="preserve">See </w:t>
      </w:r>
      <w:r w:rsidR="00C5351E" w:rsidRPr="00824B04">
        <w:t>section 1</w:t>
      </w:r>
      <w:r w:rsidR="001436C7" w:rsidRPr="00824B04">
        <w:t>2</w:t>
      </w:r>
      <w:r w:rsidRPr="00824B04">
        <w:t>.</w:t>
      </w:r>
    </w:p>
    <w:p w14:paraId="382522A6" w14:textId="77777777" w:rsidR="00FD0489" w:rsidRPr="00824B04" w:rsidRDefault="00FD0489" w:rsidP="00FD0489">
      <w:pPr>
        <w:pStyle w:val="Header"/>
      </w:pPr>
      <w:r w:rsidRPr="00824B04">
        <w:rPr>
          <w:rStyle w:val="CharPartNo"/>
        </w:rPr>
        <w:t xml:space="preserve"> </w:t>
      </w:r>
      <w:r w:rsidRPr="00824B04">
        <w:rPr>
          <w:rStyle w:val="CharPartText"/>
        </w:rPr>
        <w:t xml:space="preserve"> </w:t>
      </w:r>
    </w:p>
    <w:p w14:paraId="03AEF9D9" w14:textId="77777777" w:rsidR="002C6D1B" w:rsidRPr="00824B04" w:rsidRDefault="002C6D1B" w:rsidP="002C6D1B">
      <w:pPr>
        <w:pStyle w:val="Header"/>
      </w:pPr>
      <w:r w:rsidRPr="00824B04">
        <w:rPr>
          <w:rStyle w:val="CharDivNo"/>
        </w:rPr>
        <w:t xml:space="preserve"> </w:t>
      </w:r>
      <w:r w:rsidRPr="00824B04">
        <w:rPr>
          <w:rStyle w:val="CharDivText"/>
        </w:rPr>
        <w:t xml:space="preserve"> </w:t>
      </w:r>
    </w:p>
    <w:p w14:paraId="6AB3AE81" w14:textId="77777777" w:rsidR="002E483F" w:rsidRPr="00824B04" w:rsidRDefault="002E483F" w:rsidP="002E483F">
      <w:pPr>
        <w:pStyle w:val="ItemHead"/>
        <w:rPr>
          <w:rFonts w:cs="Arial"/>
        </w:rPr>
      </w:pPr>
      <w:r w:rsidRPr="00824B04">
        <w:rPr>
          <w:rFonts w:cs="Arial"/>
        </w:rPr>
        <w:t xml:space="preserve">1  After </w:t>
      </w:r>
      <w:r w:rsidR="00C5351E" w:rsidRPr="00824B04">
        <w:rPr>
          <w:rFonts w:cs="Arial"/>
        </w:rPr>
        <w:t>section 3</w:t>
      </w:r>
      <w:r w:rsidRPr="00824B04">
        <w:rPr>
          <w:rFonts w:cs="Arial"/>
        </w:rPr>
        <w:t>.6(3)</w:t>
      </w:r>
    </w:p>
    <w:p w14:paraId="0A3A7F4E" w14:textId="77777777" w:rsidR="002E483F" w:rsidRPr="00824B04" w:rsidRDefault="002E483F" w:rsidP="002E483F">
      <w:pPr>
        <w:pStyle w:val="Item"/>
        <w:rPr>
          <w:i/>
        </w:rPr>
      </w:pPr>
      <w:r w:rsidRPr="00824B04">
        <w:rPr>
          <w:i/>
        </w:rPr>
        <w:t>insert</w:t>
      </w:r>
    </w:p>
    <w:p w14:paraId="01329128" w14:textId="77777777" w:rsidR="002E483F" w:rsidRPr="00824B04" w:rsidRDefault="002E483F" w:rsidP="002E483F">
      <w:pPr>
        <w:pStyle w:val="subsection"/>
      </w:pPr>
      <w:r w:rsidRPr="00824B04">
        <w:tab/>
        <w:t>(4)</w:t>
      </w:r>
      <w:r w:rsidRPr="00824B04">
        <w:tab/>
        <w:t>However, a Class label for Commonwealth explosives that:</w:t>
      </w:r>
    </w:p>
    <w:p w14:paraId="0BF75964" w14:textId="77777777" w:rsidR="002E483F" w:rsidRPr="00824B04" w:rsidRDefault="002E483F" w:rsidP="002E483F">
      <w:pPr>
        <w:pStyle w:val="paragraph"/>
      </w:pPr>
      <w:r w:rsidRPr="00824B04">
        <w:tab/>
        <w:t>(a)</w:t>
      </w:r>
      <w:r w:rsidRPr="00824B04">
        <w:tab/>
        <w:t xml:space="preserve">are included in </w:t>
      </w:r>
      <w:r w:rsidR="00864AFB" w:rsidRPr="00824B04">
        <w:t>Division 1</w:t>
      </w:r>
      <w:r w:rsidRPr="00824B04">
        <w:t>.4, 1.5 or 1.6; and</w:t>
      </w:r>
    </w:p>
    <w:p w14:paraId="2B2D0B1A" w14:textId="77777777" w:rsidR="002E483F" w:rsidRPr="00824B04" w:rsidRDefault="002E483F" w:rsidP="002E483F">
      <w:pPr>
        <w:pStyle w:val="paragraph"/>
      </w:pPr>
      <w:r w:rsidRPr="00824B04">
        <w:tab/>
        <w:t>(b)</w:t>
      </w:r>
      <w:r w:rsidRPr="00824B04">
        <w:tab/>
        <w:t xml:space="preserve">were manufactured before </w:t>
      </w:r>
      <w:r w:rsidR="008114DD" w:rsidRPr="00824B04">
        <w:t>9 May</w:t>
      </w:r>
      <w:r w:rsidR="00B43634" w:rsidRPr="00824B04">
        <w:rPr>
          <w:i/>
        </w:rPr>
        <w:t> </w:t>
      </w:r>
      <w:r w:rsidR="00B43634" w:rsidRPr="00824B04">
        <w:t>2</w:t>
      </w:r>
      <w:r w:rsidRPr="00824B04">
        <w:t>002;</w:t>
      </w:r>
    </w:p>
    <w:p w14:paraId="7A0FA525" w14:textId="77777777" w:rsidR="002E483F" w:rsidRPr="00824B04" w:rsidRDefault="002E483F" w:rsidP="002E483F">
      <w:pPr>
        <w:pStyle w:val="subsection2"/>
      </w:pPr>
      <w:r w:rsidRPr="00824B04">
        <w:t xml:space="preserve">may also display the symbol depicting an exploding bomb that is displayed on the label for explosives included in </w:t>
      </w:r>
      <w:r w:rsidR="00864AFB" w:rsidRPr="00824B04">
        <w:t>Division 1</w:t>
      </w:r>
      <w:r w:rsidRPr="00824B04">
        <w:t>.1, 1.2 or 1.3, as shown in Figure 3.1.</w:t>
      </w:r>
    </w:p>
    <w:p w14:paraId="453F6395" w14:textId="77777777" w:rsidR="002E483F" w:rsidRPr="00824B04" w:rsidRDefault="002E483F" w:rsidP="002E483F">
      <w:pPr>
        <w:pStyle w:val="ItemHead"/>
        <w:rPr>
          <w:rFonts w:cs="Arial"/>
        </w:rPr>
      </w:pPr>
      <w:r w:rsidRPr="00824B04">
        <w:rPr>
          <w:rFonts w:cs="Arial"/>
        </w:rPr>
        <w:t>2  Section 6.2(5)</w:t>
      </w:r>
    </w:p>
    <w:p w14:paraId="2BDC12FD" w14:textId="77777777" w:rsidR="002E483F" w:rsidRPr="00824B04" w:rsidRDefault="002E483F" w:rsidP="002E483F">
      <w:pPr>
        <w:pStyle w:val="Item"/>
        <w:rPr>
          <w:i/>
        </w:rPr>
      </w:pPr>
      <w:r w:rsidRPr="00824B04">
        <w:rPr>
          <w:i/>
        </w:rPr>
        <w:t>substitute</w:t>
      </w:r>
    </w:p>
    <w:p w14:paraId="34D12ECE" w14:textId="77777777" w:rsidR="002E483F" w:rsidRPr="00824B04" w:rsidRDefault="002E483F" w:rsidP="002E483F">
      <w:pPr>
        <w:pStyle w:val="subsection"/>
      </w:pPr>
      <w:r w:rsidRPr="00824B04">
        <w:tab/>
        <w:t>(5)</w:t>
      </w:r>
      <w:r w:rsidRPr="00824B04">
        <w:tab/>
        <w:t xml:space="preserve">The above requirements do not apply to Commonwealth explosives when transported in or on a Commonwealth vehicle, within the meaning of the </w:t>
      </w:r>
      <w:r w:rsidRPr="00824B04">
        <w:rPr>
          <w:i/>
        </w:rPr>
        <w:t>Commonwealth Vehicles (Registration and Exemption from Taxation) Act 1997</w:t>
      </w:r>
      <w:r w:rsidRPr="00824B04">
        <w:t>, that displays registration plates issued for the Australian Defence Force.</w:t>
      </w:r>
    </w:p>
    <w:p w14:paraId="57FD65D5" w14:textId="77777777" w:rsidR="007940B7" w:rsidRPr="00824B04" w:rsidRDefault="007940B7" w:rsidP="002E483F">
      <w:pPr>
        <w:pStyle w:val="subsection"/>
      </w:pPr>
      <w:r w:rsidRPr="00824B04">
        <w:tab/>
        <w:t>(6)</w:t>
      </w:r>
      <w:r w:rsidRPr="00824B04">
        <w:tab/>
      </w:r>
      <w:r w:rsidR="000C29EC" w:rsidRPr="00824B04">
        <w:t xml:space="preserve">The above requirements do not apply to Commonwealth explosives that </w:t>
      </w:r>
      <w:r w:rsidRPr="00824B04">
        <w:t>are</w:t>
      </w:r>
      <w:r w:rsidR="000C29EC" w:rsidRPr="00824B04">
        <w:t xml:space="preserve"> being transported in or on a vehicle forming</w:t>
      </w:r>
      <w:r w:rsidR="00BD1855" w:rsidRPr="00824B04">
        <w:t xml:space="preserve"> part of</w:t>
      </w:r>
      <w:r w:rsidRPr="00824B04">
        <w:t xml:space="preserve"> the naval, military or air forces of another country </w:t>
      </w:r>
      <w:r w:rsidR="004F78C4" w:rsidRPr="00824B04">
        <w:t>that</w:t>
      </w:r>
      <w:r w:rsidRPr="00824B04">
        <w:t xml:space="preserve"> are in the Commonwealth or a</w:t>
      </w:r>
      <w:r w:rsidR="00822A4F" w:rsidRPr="00824B04">
        <w:t xml:space="preserve"> </w:t>
      </w:r>
      <w:r w:rsidRPr="00824B04">
        <w:t>Territory with the approval of the Commonwealth for the purposes of, or a purpose related to, the defence of the Commonwealth.</w:t>
      </w:r>
    </w:p>
    <w:p w14:paraId="2F3883C8" w14:textId="77777777" w:rsidR="002E483F" w:rsidRPr="00824B04" w:rsidRDefault="002E483F" w:rsidP="002E483F">
      <w:pPr>
        <w:pStyle w:val="subsection"/>
      </w:pPr>
      <w:r w:rsidRPr="00824B04">
        <w:tab/>
        <w:t>(</w:t>
      </w:r>
      <w:r w:rsidR="002E35FE" w:rsidRPr="00824B04">
        <w:t>7</w:t>
      </w:r>
      <w:r w:rsidRPr="00824B04">
        <w:t>)</w:t>
      </w:r>
      <w:r w:rsidRPr="00824B04">
        <w:tab/>
        <w:t>Despite anything else in this Chapter, a load of Commonwealth explosives may be transported in or on a vehicle that is approved for that purpose by the Competent Authority if it is impracticable to transport the load in an enclosed vehicle body that meets the applicable requirements of this Chapter because of the size or shape of the load or the way in which the vehicle is to be loaded or unloaded.</w:t>
      </w:r>
    </w:p>
    <w:p w14:paraId="26245C9C" w14:textId="77777777" w:rsidR="002E483F" w:rsidRPr="00824B04" w:rsidRDefault="002E483F" w:rsidP="002E483F">
      <w:pPr>
        <w:pStyle w:val="ItemHead"/>
        <w:rPr>
          <w:rFonts w:cs="Arial"/>
        </w:rPr>
      </w:pPr>
      <w:r w:rsidRPr="00824B04">
        <w:rPr>
          <w:rFonts w:cs="Arial"/>
        </w:rPr>
        <w:t>3  Table 7.2, including the notes</w:t>
      </w:r>
    </w:p>
    <w:p w14:paraId="5C01950D" w14:textId="77777777" w:rsidR="002E483F" w:rsidRPr="00824B04" w:rsidRDefault="002E483F" w:rsidP="002E483F">
      <w:pPr>
        <w:pStyle w:val="Item"/>
        <w:rPr>
          <w:i/>
        </w:rPr>
      </w:pPr>
      <w:r w:rsidRPr="00824B04">
        <w:rPr>
          <w:i/>
        </w:rPr>
        <w:t>substitute</w:t>
      </w:r>
    </w:p>
    <w:p w14:paraId="43BFFF65" w14:textId="77777777" w:rsidR="002E483F" w:rsidRPr="00824B04" w:rsidRDefault="002E483F" w:rsidP="002E483F"/>
    <w:p w14:paraId="37B5A035" w14:textId="77777777" w:rsidR="002E483F" w:rsidRPr="00824B04" w:rsidRDefault="002E483F" w:rsidP="002E483F">
      <w:pPr>
        <w:pStyle w:val="Item"/>
      </w:pPr>
      <w:r w:rsidRPr="00824B04">
        <w:rPr>
          <w:b/>
          <w:bCs/>
        </w:rPr>
        <w:t>TABLE 7.2</w:t>
      </w:r>
    </w:p>
    <w:p w14:paraId="4DCFD4EA" w14:textId="77777777" w:rsidR="002E483F" w:rsidRPr="00824B04" w:rsidRDefault="002E483F" w:rsidP="002E483F">
      <w:pPr>
        <w:pStyle w:val="Item"/>
      </w:pPr>
      <w:r w:rsidRPr="00824B04">
        <w:t>Permitted mixed transport for Commonwealth Explosives</w:t>
      </w:r>
    </w:p>
    <w:p w14:paraId="3927EFAC" w14:textId="77777777" w:rsidR="002E483F" w:rsidRPr="00824B04" w:rsidRDefault="002E483F" w:rsidP="002E483F">
      <w:pPr>
        <w:keepNext/>
      </w:pPr>
    </w:p>
    <w:p w14:paraId="4C226B15" w14:textId="77777777" w:rsidR="002E483F" w:rsidRPr="00824B04" w:rsidRDefault="002E483F" w:rsidP="002E483F">
      <w:pPr>
        <w:pStyle w:val="Tabletext"/>
      </w:pPr>
    </w:p>
    <w:tbl>
      <w:tblPr>
        <w:tblW w:w="5000" w:type="pct"/>
        <w:tblCellMar>
          <w:left w:w="0" w:type="dxa"/>
          <w:right w:w="0" w:type="dxa"/>
        </w:tblCellMar>
        <w:tblLook w:val="0000" w:firstRow="0" w:lastRow="0" w:firstColumn="0" w:lastColumn="0" w:noHBand="0" w:noVBand="0"/>
      </w:tblPr>
      <w:tblGrid>
        <w:gridCol w:w="1322"/>
        <w:gridCol w:w="582"/>
        <w:gridCol w:w="415"/>
        <w:gridCol w:w="582"/>
        <w:gridCol w:w="573"/>
        <w:gridCol w:w="456"/>
        <w:gridCol w:w="456"/>
        <w:gridCol w:w="456"/>
        <w:gridCol w:w="456"/>
        <w:gridCol w:w="573"/>
        <w:gridCol w:w="424"/>
        <w:gridCol w:w="425"/>
        <w:gridCol w:w="425"/>
        <w:gridCol w:w="574"/>
        <w:gridCol w:w="578"/>
      </w:tblGrid>
      <w:tr w:rsidR="002E483F" w:rsidRPr="00824B04" w14:paraId="53B0E011" w14:textId="77777777" w:rsidTr="00876AFF">
        <w:trPr>
          <w:cantSplit/>
        </w:trPr>
        <w:tc>
          <w:tcPr>
            <w:tcW w:w="5000" w:type="pct"/>
            <w:gridSpan w:val="15"/>
            <w:tcBorders>
              <w:top w:val="single" w:sz="6" w:space="0" w:color="auto"/>
              <w:left w:val="single" w:sz="6" w:space="0" w:color="auto"/>
              <w:bottom w:val="nil"/>
              <w:right w:val="single" w:sz="6" w:space="0" w:color="auto"/>
            </w:tcBorders>
          </w:tcPr>
          <w:p w14:paraId="5F72D70C" w14:textId="77777777" w:rsidR="002E483F" w:rsidRPr="00824B04" w:rsidRDefault="002E483F" w:rsidP="00BD1855">
            <w:pPr>
              <w:pStyle w:val="TableHeading"/>
            </w:pPr>
            <w:r w:rsidRPr="00824B04">
              <w:t>Compatibility Group</w:t>
            </w:r>
          </w:p>
        </w:tc>
      </w:tr>
      <w:tr w:rsidR="002E483F" w:rsidRPr="00824B04" w14:paraId="71948517" w14:textId="77777777" w:rsidTr="00876AFF">
        <w:trPr>
          <w:cantSplit/>
        </w:trPr>
        <w:tc>
          <w:tcPr>
            <w:tcW w:w="808" w:type="pct"/>
            <w:vMerge w:val="restart"/>
            <w:tcBorders>
              <w:top w:val="nil"/>
              <w:left w:val="single" w:sz="6" w:space="0" w:color="auto"/>
              <w:bottom w:val="single" w:sz="6" w:space="0" w:color="auto"/>
              <w:right w:val="single" w:sz="6" w:space="0" w:color="auto"/>
            </w:tcBorders>
            <w:textDirection w:val="btLr"/>
          </w:tcPr>
          <w:p w14:paraId="4390DDEB" w14:textId="77777777" w:rsidR="002E483F" w:rsidRPr="00824B04" w:rsidRDefault="002E483F" w:rsidP="00BD1855">
            <w:pPr>
              <w:pStyle w:val="TableHeading"/>
            </w:pPr>
            <w:r w:rsidRPr="00824B04">
              <w:t>Compatibility Group</w:t>
            </w:r>
          </w:p>
        </w:tc>
        <w:tc>
          <w:tcPr>
            <w:tcW w:w="357" w:type="pct"/>
            <w:tcBorders>
              <w:top w:val="single" w:sz="6" w:space="0" w:color="auto"/>
              <w:left w:val="single" w:sz="6" w:space="0" w:color="auto"/>
              <w:bottom w:val="single" w:sz="6" w:space="0" w:color="auto"/>
              <w:right w:val="single" w:sz="6" w:space="0" w:color="auto"/>
            </w:tcBorders>
          </w:tcPr>
          <w:p w14:paraId="279E4FDF" w14:textId="77777777" w:rsidR="002E483F" w:rsidRPr="00824B04" w:rsidRDefault="002E483F" w:rsidP="00BD1855">
            <w:pPr>
              <w:pStyle w:val="Body"/>
              <w:keepNext/>
              <w:keepLines/>
              <w:ind w:left="85" w:right="85"/>
            </w:pPr>
          </w:p>
        </w:tc>
        <w:tc>
          <w:tcPr>
            <w:tcW w:w="267" w:type="pct"/>
            <w:tcBorders>
              <w:top w:val="single" w:sz="6" w:space="0" w:color="auto"/>
              <w:left w:val="nil"/>
              <w:bottom w:val="single" w:sz="6" w:space="0" w:color="auto"/>
              <w:right w:val="single" w:sz="6" w:space="0" w:color="auto"/>
            </w:tcBorders>
          </w:tcPr>
          <w:p w14:paraId="7F6AED22" w14:textId="77777777" w:rsidR="002E483F" w:rsidRPr="00824B04" w:rsidRDefault="002E483F" w:rsidP="00BD1855">
            <w:pPr>
              <w:pStyle w:val="TableHeading"/>
            </w:pPr>
            <w:r w:rsidRPr="00824B04">
              <w:t>A</w:t>
            </w:r>
            <w:r w:rsidRPr="00824B04">
              <w:rPr>
                <w:vertAlign w:val="superscript"/>
              </w:rPr>
              <w:t>(a)</w:t>
            </w:r>
          </w:p>
        </w:tc>
        <w:tc>
          <w:tcPr>
            <w:tcW w:w="268" w:type="pct"/>
            <w:tcBorders>
              <w:top w:val="single" w:sz="6" w:space="0" w:color="auto"/>
              <w:left w:val="single" w:sz="6" w:space="0" w:color="auto"/>
              <w:bottom w:val="single" w:sz="6" w:space="0" w:color="auto"/>
              <w:right w:val="single" w:sz="6" w:space="0" w:color="auto"/>
            </w:tcBorders>
          </w:tcPr>
          <w:p w14:paraId="44182A5C" w14:textId="77777777" w:rsidR="002E483F" w:rsidRPr="00824B04" w:rsidRDefault="002E483F" w:rsidP="00BD1855">
            <w:pPr>
              <w:pStyle w:val="TableHeading"/>
            </w:pPr>
            <w:r w:rsidRPr="00824B04">
              <w:t>B</w:t>
            </w:r>
            <w:r w:rsidRPr="00824B04">
              <w:rPr>
                <w:vertAlign w:val="superscript"/>
              </w:rPr>
              <w:t>(b)(c)(j)</w:t>
            </w:r>
          </w:p>
        </w:tc>
        <w:tc>
          <w:tcPr>
            <w:tcW w:w="357" w:type="pct"/>
            <w:tcBorders>
              <w:top w:val="single" w:sz="6" w:space="0" w:color="auto"/>
              <w:left w:val="single" w:sz="6" w:space="0" w:color="auto"/>
              <w:bottom w:val="single" w:sz="6" w:space="0" w:color="auto"/>
              <w:right w:val="single" w:sz="6" w:space="0" w:color="auto"/>
            </w:tcBorders>
          </w:tcPr>
          <w:p w14:paraId="6E1DF2BF" w14:textId="77777777" w:rsidR="002E483F" w:rsidRPr="00824B04" w:rsidRDefault="002E483F" w:rsidP="00BD1855">
            <w:pPr>
              <w:pStyle w:val="TableHeading"/>
            </w:pPr>
            <w:r w:rsidRPr="00824B04">
              <w:t>C</w:t>
            </w:r>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0DF675BD" w14:textId="77777777" w:rsidR="002E483F" w:rsidRPr="00824B04" w:rsidRDefault="002E483F" w:rsidP="00BD1855">
            <w:pPr>
              <w:pStyle w:val="TableHeading"/>
            </w:pPr>
            <w:r w:rsidRPr="00824B04">
              <w:t>D</w:t>
            </w:r>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430F79F3" w14:textId="77777777" w:rsidR="002E483F" w:rsidRPr="00824B04" w:rsidRDefault="002E483F" w:rsidP="00BD1855">
            <w:pPr>
              <w:pStyle w:val="TableHeading"/>
            </w:pPr>
            <w:r w:rsidRPr="00824B04">
              <w:t>E</w:t>
            </w:r>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43C63226" w14:textId="77777777" w:rsidR="002E483F" w:rsidRPr="00824B04" w:rsidRDefault="002E483F" w:rsidP="00BD1855">
            <w:pPr>
              <w:pStyle w:val="TableHeading"/>
            </w:pPr>
            <w:r w:rsidRPr="00824B04">
              <w:t>F</w:t>
            </w:r>
            <w:r w:rsidRPr="00824B04">
              <w:rPr>
                <w:vertAlign w:val="superscript"/>
              </w:rPr>
              <w:t>(j)</w:t>
            </w:r>
          </w:p>
        </w:tc>
        <w:tc>
          <w:tcPr>
            <w:tcW w:w="268" w:type="pct"/>
            <w:tcBorders>
              <w:top w:val="single" w:sz="6" w:space="0" w:color="auto"/>
              <w:left w:val="single" w:sz="6" w:space="0" w:color="auto"/>
              <w:bottom w:val="single" w:sz="6" w:space="0" w:color="auto"/>
              <w:right w:val="single" w:sz="6" w:space="0" w:color="auto"/>
            </w:tcBorders>
          </w:tcPr>
          <w:p w14:paraId="257EB199" w14:textId="77777777" w:rsidR="002E483F" w:rsidRPr="00824B04" w:rsidRDefault="002E483F" w:rsidP="00BD1855">
            <w:pPr>
              <w:pStyle w:val="TableHeading"/>
            </w:pPr>
            <w:r w:rsidRPr="00824B04">
              <w:t>G</w:t>
            </w:r>
            <w:r w:rsidRPr="00824B04">
              <w:rPr>
                <w:vertAlign w:val="superscript"/>
              </w:rPr>
              <w:t>(j)</w:t>
            </w:r>
          </w:p>
        </w:tc>
        <w:tc>
          <w:tcPr>
            <w:tcW w:w="357" w:type="pct"/>
            <w:tcBorders>
              <w:top w:val="single" w:sz="6" w:space="0" w:color="auto"/>
              <w:left w:val="single" w:sz="6" w:space="0" w:color="auto"/>
              <w:bottom w:val="single" w:sz="6" w:space="0" w:color="auto"/>
              <w:right w:val="single" w:sz="6" w:space="0" w:color="auto"/>
            </w:tcBorders>
          </w:tcPr>
          <w:p w14:paraId="0870139A" w14:textId="77777777" w:rsidR="002E483F" w:rsidRPr="00824B04" w:rsidRDefault="002E483F" w:rsidP="00BD1855">
            <w:pPr>
              <w:pStyle w:val="TableHeading"/>
            </w:pPr>
            <w:r w:rsidRPr="00824B04">
              <w:t>H</w:t>
            </w:r>
          </w:p>
        </w:tc>
        <w:tc>
          <w:tcPr>
            <w:tcW w:w="267" w:type="pct"/>
            <w:tcBorders>
              <w:top w:val="single" w:sz="6" w:space="0" w:color="auto"/>
              <w:left w:val="single" w:sz="6" w:space="0" w:color="auto"/>
              <w:bottom w:val="single" w:sz="6" w:space="0" w:color="auto"/>
              <w:right w:val="single" w:sz="6" w:space="0" w:color="auto"/>
            </w:tcBorders>
          </w:tcPr>
          <w:p w14:paraId="4EACA654" w14:textId="77777777" w:rsidR="002E483F" w:rsidRPr="00824B04" w:rsidRDefault="002E483F" w:rsidP="00BD1855">
            <w:pPr>
              <w:pStyle w:val="TableHeading"/>
            </w:pPr>
            <w:r w:rsidRPr="00824B04">
              <w:t>J</w:t>
            </w:r>
          </w:p>
        </w:tc>
        <w:tc>
          <w:tcPr>
            <w:tcW w:w="267" w:type="pct"/>
            <w:tcBorders>
              <w:top w:val="single" w:sz="6" w:space="0" w:color="auto"/>
              <w:left w:val="single" w:sz="6" w:space="0" w:color="auto"/>
              <w:bottom w:val="single" w:sz="6" w:space="0" w:color="auto"/>
              <w:right w:val="single" w:sz="6" w:space="0" w:color="auto"/>
            </w:tcBorders>
          </w:tcPr>
          <w:p w14:paraId="5075C4DF" w14:textId="77777777" w:rsidR="002E483F" w:rsidRPr="00824B04" w:rsidRDefault="002E483F" w:rsidP="00BD1855">
            <w:pPr>
              <w:pStyle w:val="TableHeading"/>
            </w:pPr>
            <w:r w:rsidRPr="00824B04">
              <w:t>K</w:t>
            </w:r>
            <w:r w:rsidRPr="00824B04">
              <w:rPr>
                <w:vertAlign w:val="superscript"/>
              </w:rPr>
              <w:t>(g)</w:t>
            </w:r>
          </w:p>
        </w:tc>
        <w:tc>
          <w:tcPr>
            <w:tcW w:w="267" w:type="pct"/>
            <w:tcBorders>
              <w:top w:val="single" w:sz="6" w:space="0" w:color="auto"/>
              <w:left w:val="single" w:sz="6" w:space="0" w:color="auto"/>
              <w:bottom w:val="single" w:sz="6" w:space="0" w:color="auto"/>
              <w:right w:val="single" w:sz="6" w:space="0" w:color="auto"/>
            </w:tcBorders>
          </w:tcPr>
          <w:p w14:paraId="510E8F7A" w14:textId="77777777" w:rsidR="002E483F" w:rsidRPr="00824B04" w:rsidRDefault="002E483F" w:rsidP="00BD1855">
            <w:pPr>
              <w:pStyle w:val="TableHeading"/>
            </w:pPr>
            <w:r w:rsidRPr="00824B04">
              <w:t>L</w:t>
            </w:r>
            <w:r w:rsidRPr="00824B04">
              <w:rPr>
                <w:vertAlign w:val="superscript"/>
              </w:rPr>
              <w:t>(h)</w:t>
            </w:r>
          </w:p>
        </w:tc>
        <w:tc>
          <w:tcPr>
            <w:tcW w:w="357" w:type="pct"/>
            <w:tcBorders>
              <w:top w:val="single" w:sz="6" w:space="0" w:color="auto"/>
              <w:left w:val="single" w:sz="6" w:space="0" w:color="auto"/>
              <w:bottom w:val="single" w:sz="6" w:space="0" w:color="auto"/>
              <w:right w:val="single" w:sz="6" w:space="0" w:color="auto"/>
            </w:tcBorders>
          </w:tcPr>
          <w:p w14:paraId="36A32DD0" w14:textId="77777777" w:rsidR="002E483F" w:rsidRPr="00824B04" w:rsidRDefault="002E483F" w:rsidP="00BD1855">
            <w:pPr>
              <w:pStyle w:val="TableHeading"/>
            </w:pPr>
            <w:r w:rsidRPr="00824B04">
              <w:t>N</w:t>
            </w:r>
            <w:r w:rsidRPr="00824B04">
              <w:rPr>
                <w:vertAlign w:val="superscript"/>
              </w:rPr>
              <w:t>(j)</w:t>
            </w:r>
          </w:p>
        </w:tc>
        <w:tc>
          <w:tcPr>
            <w:tcW w:w="359" w:type="pct"/>
            <w:tcBorders>
              <w:top w:val="single" w:sz="6" w:space="0" w:color="auto"/>
              <w:left w:val="single" w:sz="6" w:space="0" w:color="auto"/>
              <w:bottom w:val="single" w:sz="6" w:space="0" w:color="auto"/>
              <w:right w:val="single" w:sz="6" w:space="0" w:color="auto"/>
            </w:tcBorders>
          </w:tcPr>
          <w:p w14:paraId="2D214D05" w14:textId="77777777" w:rsidR="002E483F" w:rsidRPr="00824B04" w:rsidRDefault="002E483F" w:rsidP="00BD1855">
            <w:pPr>
              <w:pStyle w:val="TableHeading"/>
            </w:pPr>
            <w:r w:rsidRPr="00824B04">
              <w:t>S</w:t>
            </w:r>
            <w:r w:rsidRPr="00824B04">
              <w:rPr>
                <w:vertAlign w:val="superscript"/>
              </w:rPr>
              <w:t>(</w:t>
            </w:r>
            <w:proofErr w:type="spellStart"/>
            <w:r w:rsidRPr="00824B04">
              <w:rPr>
                <w:vertAlign w:val="superscript"/>
              </w:rPr>
              <w:t>i</w:t>
            </w:r>
            <w:proofErr w:type="spellEnd"/>
            <w:r w:rsidRPr="00824B04">
              <w:rPr>
                <w:vertAlign w:val="superscript"/>
              </w:rPr>
              <w:t>)(j)</w:t>
            </w:r>
          </w:p>
        </w:tc>
      </w:tr>
      <w:tr w:rsidR="002E483F" w:rsidRPr="00824B04" w14:paraId="444D3195"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69C2C01C" w14:textId="77777777" w:rsidR="002E483F" w:rsidRPr="00824B04" w:rsidRDefault="002E483F" w:rsidP="00BD1855">
            <w:pPr>
              <w:keepLines/>
              <w:ind w:left="28" w:right="28"/>
            </w:pPr>
          </w:p>
        </w:tc>
        <w:tc>
          <w:tcPr>
            <w:tcW w:w="357" w:type="pct"/>
            <w:tcBorders>
              <w:top w:val="nil"/>
              <w:left w:val="single" w:sz="6" w:space="0" w:color="auto"/>
              <w:bottom w:val="single" w:sz="6" w:space="0" w:color="auto"/>
              <w:right w:val="single" w:sz="6" w:space="0" w:color="auto"/>
            </w:tcBorders>
          </w:tcPr>
          <w:p w14:paraId="6F50DCA4" w14:textId="77777777" w:rsidR="002E483F" w:rsidRPr="00824B04" w:rsidRDefault="002E483F" w:rsidP="00BD1855">
            <w:pPr>
              <w:pStyle w:val="TableHeading"/>
            </w:pPr>
            <w:r w:rsidRPr="00824B04">
              <w:t>A</w:t>
            </w:r>
            <w:r w:rsidRPr="00824B04">
              <w:rPr>
                <w:vertAlign w:val="superscript"/>
              </w:rPr>
              <w:t>(a)</w:t>
            </w:r>
          </w:p>
        </w:tc>
        <w:tc>
          <w:tcPr>
            <w:tcW w:w="267" w:type="pct"/>
            <w:tcBorders>
              <w:top w:val="single" w:sz="6" w:space="0" w:color="auto"/>
              <w:left w:val="single" w:sz="6" w:space="0" w:color="auto"/>
              <w:bottom w:val="single" w:sz="6" w:space="0" w:color="auto"/>
              <w:right w:val="single" w:sz="6" w:space="0" w:color="auto"/>
            </w:tcBorders>
          </w:tcPr>
          <w:p w14:paraId="0C2D840E" w14:textId="77777777" w:rsidR="002E483F" w:rsidRPr="00824B04" w:rsidRDefault="002E483F" w:rsidP="00BD1855">
            <w:pPr>
              <w:pStyle w:val="Tabletext"/>
              <w:rPr>
                <w:vertAlign w:val="superscript"/>
              </w:rPr>
            </w:pPr>
            <w:r w:rsidRPr="00824B04">
              <w:rPr>
                <w:vertAlign w:val="superscript"/>
              </w:rPr>
              <w:t>(a)</w:t>
            </w:r>
          </w:p>
        </w:tc>
        <w:tc>
          <w:tcPr>
            <w:tcW w:w="268" w:type="pct"/>
            <w:tcBorders>
              <w:top w:val="single" w:sz="6" w:space="0" w:color="auto"/>
              <w:left w:val="single" w:sz="6" w:space="0" w:color="auto"/>
              <w:bottom w:val="single" w:sz="6" w:space="0" w:color="auto"/>
              <w:right w:val="single" w:sz="6" w:space="0" w:color="auto"/>
            </w:tcBorders>
          </w:tcPr>
          <w:p w14:paraId="492FC5F5"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48CA1CAC"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0CBAD611"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76B30D02"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4E0706D4"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7E9DCBA7"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069AC14E"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79F675B8"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7F0F105F"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7FF40884"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4FF7A178" w14:textId="77777777" w:rsidR="002E483F" w:rsidRPr="00824B04" w:rsidRDefault="002E483F" w:rsidP="00BD1855">
            <w:pPr>
              <w:pStyle w:val="Tabletext"/>
            </w:pPr>
          </w:p>
        </w:tc>
        <w:tc>
          <w:tcPr>
            <w:tcW w:w="359" w:type="pct"/>
            <w:tcBorders>
              <w:top w:val="single" w:sz="6" w:space="0" w:color="auto"/>
              <w:left w:val="single" w:sz="6" w:space="0" w:color="auto"/>
              <w:bottom w:val="single" w:sz="6" w:space="0" w:color="auto"/>
              <w:right w:val="single" w:sz="6" w:space="0" w:color="auto"/>
            </w:tcBorders>
          </w:tcPr>
          <w:p w14:paraId="69FA59A0" w14:textId="77777777" w:rsidR="002E483F" w:rsidRPr="00824B04" w:rsidRDefault="002E483F" w:rsidP="00BD1855">
            <w:pPr>
              <w:pStyle w:val="Tabletext"/>
            </w:pPr>
          </w:p>
        </w:tc>
      </w:tr>
      <w:tr w:rsidR="002E483F" w:rsidRPr="00824B04" w14:paraId="122E5ACE"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6073EE87"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5A92A33B" w14:textId="77777777" w:rsidR="002E483F" w:rsidRPr="00824B04" w:rsidRDefault="002E483F" w:rsidP="00BD1855">
            <w:pPr>
              <w:pStyle w:val="TableHeading"/>
            </w:pPr>
            <w:r w:rsidRPr="00824B04">
              <w:t>B</w:t>
            </w:r>
            <w:r w:rsidRPr="00824B04">
              <w:rPr>
                <w:vertAlign w:val="superscript"/>
              </w:rPr>
              <w:t>(b)(c)(j)</w:t>
            </w:r>
          </w:p>
        </w:tc>
        <w:tc>
          <w:tcPr>
            <w:tcW w:w="267" w:type="pct"/>
            <w:tcBorders>
              <w:top w:val="single" w:sz="6" w:space="0" w:color="auto"/>
              <w:left w:val="single" w:sz="6" w:space="0" w:color="auto"/>
              <w:bottom w:val="single" w:sz="6" w:space="0" w:color="auto"/>
              <w:right w:val="single" w:sz="6" w:space="0" w:color="auto"/>
            </w:tcBorders>
          </w:tcPr>
          <w:p w14:paraId="468D07BE"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2B6EE0C9" w14:textId="77777777" w:rsidR="002E483F" w:rsidRPr="00824B04" w:rsidRDefault="002E483F" w:rsidP="00BD1855">
            <w:pPr>
              <w:pStyle w:val="Tabletext"/>
            </w:pPr>
            <w:r w:rsidRPr="00824B04">
              <w:t>X</w:t>
            </w:r>
          </w:p>
        </w:tc>
        <w:tc>
          <w:tcPr>
            <w:tcW w:w="357" w:type="pct"/>
            <w:tcBorders>
              <w:top w:val="single" w:sz="6" w:space="0" w:color="auto"/>
              <w:left w:val="single" w:sz="6" w:space="0" w:color="auto"/>
              <w:bottom w:val="single" w:sz="6" w:space="0" w:color="auto"/>
              <w:right w:val="single" w:sz="6" w:space="0" w:color="auto"/>
            </w:tcBorders>
          </w:tcPr>
          <w:p w14:paraId="57B253EA" w14:textId="77777777" w:rsidR="002E483F" w:rsidRPr="00824B04" w:rsidRDefault="002E483F" w:rsidP="00BD1855">
            <w:pPr>
              <w:pStyle w:val="Tabletext"/>
            </w:pPr>
            <w:r w:rsidRPr="00824B04">
              <w:t>X</w:t>
            </w:r>
            <w:r w:rsidRPr="00824B04">
              <w:rPr>
                <w:vertAlign w:val="superscript"/>
              </w:rPr>
              <w:t>(b)(c)</w:t>
            </w:r>
          </w:p>
        </w:tc>
        <w:tc>
          <w:tcPr>
            <w:tcW w:w="267" w:type="pct"/>
            <w:tcBorders>
              <w:top w:val="single" w:sz="6" w:space="0" w:color="auto"/>
              <w:left w:val="single" w:sz="6" w:space="0" w:color="auto"/>
              <w:bottom w:val="single" w:sz="6" w:space="0" w:color="auto"/>
              <w:right w:val="single" w:sz="6" w:space="0" w:color="auto"/>
            </w:tcBorders>
          </w:tcPr>
          <w:p w14:paraId="6F4A0A20" w14:textId="77777777" w:rsidR="002E483F" w:rsidRPr="00824B04" w:rsidRDefault="002E483F" w:rsidP="00BD1855">
            <w:pPr>
              <w:pStyle w:val="Tabletext"/>
            </w:pPr>
            <w:r w:rsidRPr="00824B04">
              <w:t>X</w:t>
            </w:r>
            <w:r w:rsidRPr="00824B04">
              <w:rPr>
                <w:vertAlign w:val="superscript"/>
              </w:rPr>
              <w:t>(b)(c)</w:t>
            </w:r>
          </w:p>
        </w:tc>
        <w:tc>
          <w:tcPr>
            <w:tcW w:w="267" w:type="pct"/>
            <w:tcBorders>
              <w:top w:val="single" w:sz="6" w:space="0" w:color="auto"/>
              <w:left w:val="single" w:sz="6" w:space="0" w:color="auto"/>
              <w:bottom w:val="single" w:sz="6" w:space="0" w:color="auto"/>
              <w:right w:val="single" w:sz="6" w:space="0" w:color="auto"/>
            </w:tcBorders>
          </w:tcPr>
          <w:p w14:paraId="067370D4" w14:textId="77777777" w:rsidR="002E483F" w:rsidRPr="00824B04" w:rsidRDefault="002E483F" w:rsidP="00BD1855">
            <w:pPr>
              <w:pStyle w:val="Tabletext"/>
            </w:pPr>
            <w:r w:rsidRPr="00824B04">
              <w:t>X</w:t>
            </w:r>
            <w:r w:rsidRPr="00824B04">
              <w:rPr>
                <w:vertAlign w:val="superscript"/>
              </w:rPr>
              <w:t>(b)(c)</w:t>
            </w:r>
          </w:p>
        </w:tc>
        <w:tc>
          <w:tcPr>
            <w:tcW w:w="267" w:type="pct"/>
            <w:tcBorders>
              <w:top w:val="single" w:sz="6" w:space="0" w:color="auto"/>
              <w:left w:val="single" w:sz="6" w:space="0" w:color="auto"/>
              <w:bottom w:val="single" w:sz="6" w:space="0" w:color="auto"/>
              <w:right w:val="single" w:sz="6" w:space="0" w:color="auto"/>
            </w:tcBorders>
          </w:tcPr>
          <w:p w14:paraId="15BC2A98" w14:textId="77777777" w:rsidR="002E483F" w:rsidRPr="00824B04" w:rsidRDefault="002E483F" w:rsidP="00BD1855">
            <w:pPr>
              <w:pStyle w:val="Tabletext"/>
            </w:pPr>
            <w:r w:rsidRPr="00824B04">
              <w:t>X</w:t>
            </w:r>
            <w:r w:rsidRPr="00824B04">
              <w:rPr>
                <w:vertAlign w:val="superscript"/>
              </w:rPr>
              <w:t>(b)(c)</w:t>
            </w:r>
          </w:p>
        </w:tc>
        <w:tc>
          <w:tcPr>
            <w:tcW w:w="268" w:type="pct"/>
            <w:tcBorders>
              <w:top w:val="single" w:sz="6" w:space="0" w:color="auto"/>
              <w:left w:val="single" w:sz="6" w:space="0" w:color="auto"/>
              <w:bottom w:val="single" w:sz="6" w:space="0" w:color="auto"/>
              <w:right w:val="single" w:sz="6" w:space="0" w:color="auto"/>
            </w:tcBorders>
          </w:tcPr>
          <w:p w14:paraId="6EBAB7D2" w14:textId="77777777" w:rsidR="002E483F" w:rsidRPr="00824B04" w:rsidRDefault="002E483F" w:rsidP="00BD1855">
            <w:pPr>
              <w:pStyle w:val="Tabletext"/>
            </w:pPr>
            <w:r w:rsidRPr="00824B04">
              <w:t>X</w:t>
            </w:r>
            <w:r w:rsidRPr="00824B04">
              <w:rPr>
                <w:vertAlign w:val="superscript"/>
              </w:rPr>
              <w:t>(b)(c)</w:t>
            </w:r>
          </w:p>
        </w:tc>
        <w:tc>
          <w:tcPr>
            <w:tcW w:w="357" w:type="pct"/>
            <w:tcBorders>
              <w:top w:val="single" w:sz="6" w:space="0" w:color="auto"/>
              <w:left w:val="single" w:sz="6" w:space="0" w:color="auto"/>
              <w:bottom w:val="single" w:sz="6" w:space="0" w:color="auto"/>
              <w:right w:val="single" w:sz="6" w:space="0" w:color="auto"/>
            </w:tcBorders>
          </w:tcPr>
          <w:p w14:paraId="0C2AF2BF"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66AF3BD0"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6B967DC4"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0763B4EE"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1720B128" w14:textId="77777777" w:rsidR="002E483F" w:rsidRPr="00824B04" w:rsidRDefault="002E483F" w:rsidP="00BD1855">
            <w:pPr>
              <w:pStyle w:val="Tabletext"/>
            </w:pPr>
          </w:p>
        </w:tc>
        <w:tc>
          <w:tcPr>
            <w:tcW w:w="359" w:type="pct"/>
            <w:tcBorders>
              <w:top w:val="single" w:sz="6" w:space="0" w:color="auto"/>
              <w:left w:val="single" w:sz="6" w:space="0" w:color="auto"/>
              <w:bottom w:val="single" w:sz="6" w:space="0" w:color="auto"/>
              <w:right w:val="single" w:sz="6" w:space="0" w:color="auto"/>
            </w:tcBorders>
          </w:tcPr>
          <w:p w14:paraId="5C3902D4" w14:textId="77777777" w:rsidR="002E483F" w:rsidRPr="00824B04" w:rsidRDefault="002E483F" w:rsidP="00BD1855">
            <w:pPr>
              <w:pStyle w:val="Tabletext"/>
            </w:pPr>
            <w:r w:rsidRPr="00824B04">
              <w:t>X</w:t>
            </w:r>
          </w:p>
        </w:tc>
      </w:tr>
      <w:tr w:rsidR="002E483F" w:rsidRPr="00824B04" w14:paraId="6622B70E"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175E57DF"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195DC0FC" w14:textId="77777777" w:rsidR="002E483F" w:rsidRPr="00824B04" w:rsidRDefault="002E483F" w:rsidP="00BD1855">
            <w:pPr>
              <w:pStyle w:val="TableHeading"/>
            </w:pPr>
            <w:r w:rsidRPr="00824B04">
              <w:t>C</w:t>
            </w:r>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3CC13526"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5B20D615" w14:textId="77777777" w:rsidR="002E483F" w:rsidRPr="00824B04" w:rsidRDefault="002E483F" w:rsidP="00BD1855">
            <w:pPr>
              <w:pStyle w:val="Tabletext"/>
            </w:pPr>
            <w:r w:rsidRPr="00824B04">
              <w:t>X</w:t>
            </w:r>
            <w:r w:rsidRPr="00824B04">
              <w:rPr>
                <w:vertAlign w:val="superscript"/>
              </w:rPr>
              <w:t>(b)(c)</w:t>
            </w:r>
          </w:p>
        </w:tc>
        <w:tc>
          <w:tcPr>
            <w:tcW w:w="357" w:type="pct"/>
            <w:tcBorders>
              <w:top w:val="single" w:sz="6" w:space="0" w:color="auto"/>
              <w:left w:val="single" w:sz="6" w:space="0" w:color="auto"/>
              <w:bottom w:val="single" w:sz="6" w:space="0" w:color="auto"/>
              <w:right w:val="single" w:sz="6" w:space="0" w:color="auto"/>
            </w:tcBorders>
          </w:tcPr>
          <w:p w14:paraId="15C1D752"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486E29A6"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45409C5F"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5ABBC4E6" w14:textId="77777777" w:rsidR="002E483F" w:rsidRPr="00824B04" w:rsidRDefault="002E483F" w:rsidP="00BD1855">
            <w:pPr>
              <w:pStyle w:val="Tabletext"/>
            </w:pPr>
            <w:r w:rsidRPr="00824B04">
              <w:t>X</w:t>
            </w:r>
            <w:r w:rsidRPr="00824B04">
              <w:rPr>
                <w:vertAlign w:val="superscript"/>
              </w:rPr>
              <w:t>(d)</w:t>
            </w:r>
          </w:p>
        </w:tc>
        <w:tc>
          <w:tcPr>
            <w:tcW w:w="268" w:type="pct"/>
            <w:tcBorders>
              <w:top w:val="single" w:sz="6" w:space="0" w:color="auto"/>
              <w:left w:val="single" w:sz="6" w:space="0" w:color="auto"/>
              <w:bottom w:val="single" w:sz="6" w:space="0" w:color="auto"/>
              <w:right w:val="single" w:sz="6" w:space="0" w:color="auto"/>
            </w:tcBorders>
          </w:tcPr>
          <w:p w14:paraId="707D83F8" w14:textId="77777777" w:rsidR="002E483F" w:rsidRPr="00824B04" w:rsidRDefault="002E483F" w:rsidP="00BD1855">
            <w:pPr>
              <w:pStyle w:val="Tabletext"/>
            </w:pPr>
            <w:r w:rsidRPr="00824B04">
              <w:t>X</w:t>
            </w:r>
            <w:r w:rsidRPr="00824B04">
              <w:rPr>
                <w:vertAlign w:val="superscript"/>
              </w:rPr>
              <w:t>(f)(e)</w:t>
            </w:r>
          </w:p>
        </w:tc>
        <w:tc>
          <w:tcPr>
            <w:tcW w:w="357" w:type="pct"/>
            <w:tcBorders>
              <w:top w:val="single" w:sz="6" w:space="0" w:color="auto"/>
              <w:left w:val="single" w:sz="6" w:space="0" w:color="auto"/>
              <w:bottom w:val="single" w:sz="6" w:space="0" w:color="auto"/>
              <w:right w:val="single" w:sz="6" w:space="0" w:color="auto"/>
            </w:tcBorders>
          </w:tcPr>
          <w:p w14:paraId="1A3CA7D3"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23FEFE54"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086FAA98"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3EF04709"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22E1F87E" w14:textId="77777777" w:rsidR="002E483F" w:rsidRPr="00824B04" w:rsidRDefault="002E483F" w:rsidP="00BD1855">
            <w:pPr>
              <w:pStyle w:val="Tabletext"/>
            </w:pPr>
            <w:r w:rsidRPr="00824B04">
              <w:t>X</w:t>
            </w:r>
            <w:r w:rsidRPr="00824B04">
              <w:rPr>
                <w:vertAlign w:val="superscript"/>
              </w:rPr>
              <w:t>(d)(e)</w:t>
            </w:r>
          </w:p>
        </w:tc>
        <w:tc>
          <w:tcPr>
            <w:tcW w:w="359" w:type="pct"/>
            <w:tcBorders>
              <w:top w:val="single" w:sz="6" w:space="0" w:color="auto"/>
              <w:left w:val="single" w:sz="6" w:space="0" w:color="auto"/>
              <w:bottom w:val="single" w:sz="6" w:space="0" w:color="auto"/>
              <w:right w:val="single" w:sz="6" w:space="0" w:color="auto"/>
            </w:tcBorders>
          </w:tcPr>
          <w:p w14:paraId="5206B38B" w14:textId="77777777" w:rsidR="002E483F" w:rsidRPr="00824B04" w:rsidRDefault="002E483F" w:rsidP="00BD1855">
            <w:pPr>
              <w:pStyle w:val="Tabletext"/>
            </w:pPr>
            <w:r w:rsidRPr="00824B04">
              <w:t>X</w:t>
            </w:r>
          </w:p>
        </w:tc>
      </w:tr>
      <w:tr w:rsidR="002E483F" w:rsidRPr="00824B04" w14:paraId="19D44E4D"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5CD592F0"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0872EEE3" w14:textId="77777777" w:rsidR="002E483F" w:rsidRPr="00824B04" w:rsidRDefault="002E483F" w:rsidP="00BD1855">
            <w:pPr>
              <w:pStyle w:val="TableHeading"/>
            </w:pPr>
            <w:r w:rsidRPr="00824B04">
              <w:t>D</w:t>
            </w:r>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3C432AF2"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77D34D64" w14:textId="77777777" w:rsidR="002E483F" w:rsidRPr="00824B04" w:rsidRDefault="002E483F" w:rsidP="00BD1855">
            <w:pPr>
              <w:pStyle w:val="Tabletext"/>
            </w:pPr>
            <w:r w:rsidRPr="00824B04">
              <w:t>X</w:t>
            </w:r>
            <w:r w:rsidRPr="00824B04">
              <w:rPr>
                <w:vertAlign w:val="superscript"/>
              </w:rPr>
              <w:t>(b)(c)</w:t>
            </w:r>
          </w:p>
        </w:tc>
        <w:tc>
          <w:tcPr>
            <w:tcW w:w="357" w:type="pct"/>
            <w:tcBorders>
              <w:top w:val="single" w:sz="6" w:space="0" w:color="auto"/>
              <w:left w:val="single" w:sz="6" w:space="0" w:color="auto"/>
              <w:bottom w:val="single" w:sz="6" w:space="0" w:color="auto"/>
              <w:right w:val="single" w:sz="6" w:space="0" w:color="auto"/>
            </w:tcBorders>
          </w:tcPr>
          <w:p w14:paraId="004D0079"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2517E146"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202A0091"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06647D24" w14:textId="77777777" w:rsidR="002E483F" w:rsidRPr="00824B04" w:rsidRDefault="002E483F" w:rsidP="00BD1855">
            <w:pPr>
              <w:pStyle w:val="Tabletext"/>
            </w:pPr>
            <w:r w:rsidRPr="00824B04">
              <w:t>X</w:t>
            </w:r>
            <w:r w:rsidRPr="00824B04">
              <w:rPr>
                <w:vertAlign w:val="superscript"/>
              </w:rPr>
              <w:t>(d)</w:t>
            </w:r>
          </w:p>
        </w:tc>
        <w:tc>
          <w:tcPr>
            <w:tcW w:w="268" w:type="pct"/>
            <w:tcBorders>
              <w:top w:val="single" w:sz="6" w:space="0" w:color="auto"/>
              <w:left w:val="single" w:sz="6" w:space="0" w:color="auto"/>
              <w:bottom w:val="single" w:sz="6" w:space="0" w:color="auto"/>
              <w:right w:val="single" w:sz="6" w:space="0" w:color="auto"/>
            </w:tcBorders>
          </w:tcPr>
          <w:p w14:paraId="582185F9" w14:textId="77777777" w:rsidR="002E483F" w:rsidRPr="00824B04" w:rsidRDefault="002E483F" w:rsidP="00BD1855">
            <w:pPr>
              <w:pStyle w:val="Tabletext"/>
            </w:pPr>
            <w:r w:rsidRPr="00824B04">
              <w:t>X</w:t>
            </w:r>
            <w:r w:rsidRPr="00824B04">
              <w:rPr>
                <w:vertAlign w:val="superscript"/>
              </w:rPr>
              <w:t>(f)(e)</w:t>
            </w:r>
          </w:p>
        </w:tc>
        <w:tc>
          <w:tcPr>
            <w:tcW w:w="357" w:type="pct"/>
            <w:tcBorders>
              <w:top w:val="single" w:sz="6" w:space="0" w:color="auto"/>
              <w:left w:val="single" w:sz="6" w:space="0" w:color="auto"/>
              <w:bottom w:val="single" w:sz="6" w:space="0" w:color="auto"/>
              <w:right w:val="single" w:sz="6" w:space="0" w:color="auto"/>
            </w:tcBorders>
          </w:tcPr>
          <w:p w14:paraId="191D8EA1"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1DF582EB"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6EAC2F56"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5EA0D866"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5B9A9918" w14:textId="77777777" w:rsidR="002E483F" w:rsidRPr="00824B04" w:rsidRDefault="002E483F" w:rsidP="00BD1855">
            <w:pPr>
              <w:pStyle w:val="Tabletext"/>
            </w:pPr>
            <w:r w:rsidRPr="00824B04">
              <w:t>X</w:t>
            </w:r>
            <w:r w:rsidRPr="00824B04">
              <w:rPr>
                <w:vertAlign w:val="superscript"/>
              </w:rPr>
              <w:t>(d)(e)</w:t>
            </w:r>
          </w:p>
        </w:tc>
        <w:tc>
          <w:tcPr>
            <w:tcW w:w="359" w:type="pct"/>
            <w:tcBorders>
              <w:top w:val="single" w:sz="6" w:space="0" w:color="auto"/>
              <w:left w:val="single" w:sz="6" w:space="0" w:color="auto"/>
              <w:bottom w:val="single" w:sz="6" w:space="0" w:color="auto"/>
              <w:right w:val="single" w:sz="6" w:space="0" w:color="auto"/>
            </w:tcBorders>
          </w:tcPr>
          <w:p w14:paraId="54F017F7" w14:textId="77777777" w:rsidR="002E483F" w:rsidRPr="00824B04" w:rsidRDefault="002E483F" w:rsidP="00BD1855">
            <w:pPr>
              <w:pStyle w:val="Tabletext"/>
            </w:pPr>
            <w:r w:rsidRPr="00824B04">
              <w:t>X</w:t>
            </w:r>
          </w:p>
        </w:tc>
      </w:tr>
      <w:tr w:rsidR="002E483F" w:rsidRPr="00824B04" w14:paraId="3F103A0F"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00CCA536"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45EAB5CD" w14:textId="77777777" w:rsidR="002E483F" w:rsidRPr="00824B04" w:rsidRDefault="002E483F" w:rsidP="00BD1855">
            <w:pPr>
              <w:pStyle w:val="TableHeading"/>
            </w:pPr>
            <w:r w:rsidRPr="00824B04">
              <w:t>E</w:t>
            </w:r>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584D4141"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26CD405E" w14:textId="77777777" w:rsidR="002E483F" w:rsidRPr="00824B04" w:rsidRDefault="002E483F" w:rsidP="00BD1855">
            <w:pPr>
              <w:pStyle w:val="Tabletext"/>
            </w:pPr>
            <w:r w:rsidRPr="00824B04">
              <w:t>X</w:t>
            </w:r>
            <w:r w:rsidRPr="00824B04">
              <w:rPr>
                <w:vertAlign w:val="superscript"/>
              </w:rPr>
              <w:t>(b)(c)</w:t>
            </w:r>
          </w:p>
        </w:tc>
        <w:tc>
          <w:tcPr>
            <w:tcW w:w="357" w:type="pct"/>
            <w:tcBorders>
              <w:top w:val="single" w:sz="6" w:space="0" w:color="auto"/>
              <w:left w:val="single" w:sz="6" w:space="0" w:color="auto"/>
              <w:bottom w:val="single" w:sz="6" w:space="0" w:color="auto"/>
              <w:right w:val="single" w:sz="6" w:space="0" w:color="auto"/>
            </w:tcBorders>
          </w:tcPr>
          <w:p w14:paraId="2B2B2340"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30F42492"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212BB21C"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245C9113" w14:textId="77777777" w:rsidR="002E483F" w:rsidRPr="00824B04" w:rsidRDefault="002E483F" w:rsidP="00BD1855">
            <w:pPr>
              <w:pStyle w:val="Tabletext"/>
            </w:pPr>
            <w:r w:rsidRPr="00824B04">
              <w:t>X</w:t>
            </w:r>
            <w:r w:rsidRPr="00824B04">
              <w:rPr>
                <w:vertAlign w:val="superscript"/>
              </w:rPr>
              <w:t>(d)</w:t>
            </w:r>
          </w:p>
        </w:tc>
        <w:tc>
          <w:tcPr>
            <w:tcW w:w="268" w:type="pct"/>
            <w:tcBorders>
              <w:top w:val="single" w:sz="6" w:space="0" w:color="auto"/>
              <w:left w:val="single" w:sz="6" w:space="0" w:color="auto"/>
              <w:bottom w:val="single" w:sz="6" w:space="0" w:color="auto"/>
              <w:right w:val="single" w:sz="6" w:space="0" w:color="auto"/>
            </w:tcBorders>
          </w:tcPr>
          <w:p w14:paraId="0E364286" w14:textId="77777777" w:rsidR="002E483F" w:rsidRPr="00824B04" w:rsidRDefault="002E483F" w:rsidP="00BD1855">
            <w:pPr>
              <w:pStyle w:val="Tabletext"/>
            </w:pPr>
            <w:r w:rsidRPr="00824B04">
              <w:t>X</w:t>
            </w:r>
            <w:r w:rsidRPr="00824B04">
              <w:rPr>
                <w:vertAlign w:val="superscript"/>
              </w:rPr>
              <w:t>(e)</w:t>
            </w:r>
          </w:p>
        </w:tc>
        <w:tc>
          <w:tcPr>
            <w:tcW w:w="357" w:type="pct"/>
            <w:tcBorders>
              <w:top w:val="single" w:sz="6" w:space="0" w:color="auto"/>
              <w:left w:val="single" w:sz="6" w:space="0" w:color="auto"/>
              <w:bottom w:val="single" w:sz="6" w:space="0" w:color="auto"/>
              <w:right w:val="single" w:sz="6" w:space="0" w:color="auto"/>
            </w:tcBorders>
          </w:tcPr>
          <w:p w14:paraId="52A2C022"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48B1ADB2"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63615B3B"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28F5D0E9"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795C3263" w14:textId="77777777" w:rsidR="002E483F" w:rsidRPr="00824B04" w:rsidRDefault="002E483F" w:rsidP="00BD1855">
            <w:pPr>
              <w:pStyle w:val="Tabletext"/>
            </w:pPr>
            <w:r w:rsidRPr="00824B04">
              <w:t>X</w:t>
            </w:r>
            <w:r w:rsidRPr="00824B04">
              <w:rPr>
                <w:vertAlign w:val="superscript"/>
              </w:rPr>
              <w:t>(d)(e)</w:t>
            </w:r>
          </w:p>
        </w:tc>
        <w:tc>
          <w:tcPr>
            <w:tcW w:w="359" w:type="pct"/>
            <w:tcBorders>
              <w:top w:val="single" w:sz="6" w:space="0" w:color="auto"/>
              <w:left w:val="single" w:sz="6" w:space="0" w:color="auto"/>
              <w:bottom w:val="single" w:sz="6" w:space="0" w:color="auto"/>
              <w:right w:val="single" w:sz="6" w:space="0" w:color="auto"/>
            </w:tcBorders>
          </w:tcPr>
          <w:p w14:paraId="6106058F" w14:textId="77777777" w:rsidR="002E483F" w:rsidRPr="00824B04" w:rsidRDefault="002E483F" w:rsidP="00BD1855">
            <w:pPr>
              <w:pStyle w:val="Tabletext"/>
            </w:pPr>
            <w:r w:rsidRPr="00824B04">
              <w:t>X</w:t>
            </w:r>
          </w:p>
        </w:tc>
      </w:tr>
      <w:tr w:rsidR="002E483F" w:rsidRPr="00824B04" w14:paraId="61E7CDE1"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6C9015A2"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6E9ACCED" w14:textId="77777777" w:rsidR="002E483F" w:rsidRPr="00824B04" w:rsidRDefault="002E483F" w:rsidP="00BD1855">
            <w:pPr>
              <w:pStyle w:val="TableHeading"/>
            </w:pPr>
            <w:r w:rsidRPr="00824B04">
              <w:t>F</w:t>
            </w:r>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43B4A1A6"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03AA3965" w14:textId="77777777" w:rsidR="002E483F" w:rsidRPr="00824B04" w:rsidRDefault="002E483F" w:rsidP="00BD1855">
            <w:pPr>
              <w:pStyle w:val="Tabletext"/>
            </w:pPr>
            <w:r w:rsidRPr="00824B04">
              <w:t>X</w:t>
            </w:r>
            <w:r w:rsidRPr="00824B04">
              <w:rPr>
                <w:vertAlign w:val="superscript"/>
              </w:rPr>
              <w:t>(b)(c)</w:t>
            </w:r>
          </w:p>
        </w:tc>
        <w:tc>
          <w:tcPr>
            <w:tcW w:w="357" w:type="pct"/>
            <w:tcBorders>
              <w:top w:val="single" w:sz="6" w:space="0" w:color="auto"/>
              <w:left w:val="single" w:sz="6" w:space="0" w:color="auto"/>
              <w:bottom w:val="single" w:sz="6" w:space="0" w:color="auto"/>
              <w:right w:val="single" w:sz="6" w:space="0" w:color="auto"/>
            </w:tcBorders>
          </w:tcPr>
          <w:p w14:paraId="3468943C" w14:textId="77777777" w:rsidR="002E483F" w:rsidRPr="00824B04" w:rsidRDefault="002E483F" w:rsidP="00BD1855">
            <w:pPr>
              <w:pStyle w:val="Tabletext"/>
            </w:pPr>
            <w:r w:rsidRPr="00824B04">
              <w:t>X</w:t>
            </w:r>
            <w:r w:rsidRPr="00824B04">
              <w:rPr>
                <w:vertAlign w:val="superscript"/>
              </w:rPr>
              <w:t>(d)</w:t>
            </w:r>
          </w:p>
        </w:tc>
        <w:tc>
          <w:tcPr>
            <w:tcW w:w="267" w:type="pct"/>
            <w:tcBorders>
              <w:top w:val="single" w:sz="6" w:space="0" w:color="auto"/>
              <w:left w:val="single" w:sz="6" w:space="0" w:color="auto"/>
              <w:bottom w:val="single" w:sz="6" w:space="0" w:color="auto"/>
              <w:right w:val="single" w:sz="6" w:space="0" w:color="auto"/>
            </w:tcBorders>
          </w:tcPr>
          <w:p w14:paraId="2B0B92A5" w14:textId="77777777" w:rsidR="002E483F" w:rsidRPr="00824B04" w:rsidRDefault="002E483F" w:rsidP="00BD1855">
            <w:pPr>
              <w:pStyle w:val="Tabletext"/>
            </w:pPr>
            <w:r w:rsidRPr="00824B04">
              <w:t>X</w:t>
            </w:r>
            <w:r w:rsidRPr="00824B04">
              <w:rPr>
                <w:vertAlign w:val="superscript"/>
              </w:rPr>
              <w:t>(d)</w:t>
            </w:r>
          </w:p>
        </w:tc>
        <w:tc>
          <w:tcPr>
            <w:tcW w:w="267" w:type="pct"/>
            <w:tcBorders>
              <w:top w:val="single" w:sz="6" w:space="0" w:color="auto"/>
              <w:left w:val="single" w:sz="6" w:space="0" w:color="auto"/>
              <w:bottom w:val="single" w:sz="6" w:space="0" w:color="auto"/>
              <w:right w:val="single" w:sz="6" w:space="0" w:color="auto"/>
            </w:tcBorders>
          </w:tcPr>
          <w:p w14:paraId="76059D67" w14:textId="77777777" w:rsidR="002E483F" w:rsidRPr="00824B04" w:rsidRDefault="002E483F" w:rsidP="00BD1855">
            <w:pPr>
              <w:pStyle w:val="Tabletext"/>
            </w:pPr>
            <w:r w:rsidRPr="00824B04">
              <w:t>X</w:t>
            </w:r>
            <w:r w:rsidRPr="00824B04">
              <w:rPr>
                <w:vertAlign w:val="superscript"/>
              </w:rPr>
              <w:t>(d)</w:t>
            </w:r>
          </w:p>
        </w:tc>
        <w:tc>
          <w:tcPr>
            <w:tcW w:w="267" w:type="pct"/>
            <w:tcBorders>
              <w:top w:val="single" w:sz="6" w:space="0" w:color="auto"/>
              <w:left w:val="single" w:sz="6" w:space="0" w:color="auto"/>
              <w:bottom w:val="single" w:sz="6" w:space="0" w:color="auto"/>
              <w:right w:val="single" w:sz="6" w:space="0" w:color="auto"/>
            </w:tcBorders>
          </w:tcPr>
          <w:p w14:paraId="507473F9" w14:textId="77777777" w:rsidR="002E483F" w:rsidRPr="00824B04" w:rsidRDefault="002E483F" w:rsidP="00BD1855">
            <w:pPr>
              <w:pStyle w:val="Tabletext"/>
            </w:pPr>
            <w:r w:rsidRPr="00824B04">
              <w:t>X</w:t>
            </w:r>
          </w:p>
        </w:tc>
        <w:tc>
          <w:tcPr>
            <w:tcW w:w="268" w:type="pct"/>
            <w:tcBorders>
              <w:top w:val="single" w:sz="6" w:space="0" w:color="auto"/>
              <w:left w:val="single" w:sz="6" w:space="0" w:color="auto"/>
              <w:bottom w:val="single" w:sz="6" w:space="0" w:color="auto"/>
              <w:right w:val="single" w:sz="6" w:space="0" w:color="auto"/>
            </w:tcBorders>
          </w:tcPr>
          <w:p w14:paraId="1E920587" w14:textId="77777777" w:rsidR="002E483F" w:rsidRPr="00824B04" w:rsidRDefault="002E483F" w:rsidP="00BD1855">
            <w:pPr>
              <w:pStyle w:val="Tabletext"/>
            </w:pPr>
            <w:r w:rsidRPr="00824B04">
              <w:t>X</w:t>
            </w:r>
            <w:r w:rsidRPr="00824B04">
              <w:rPr>
                <w:vertAlign w:val="superscript"/>
              </w:rPr>
              <w:t>(d)</w:t>
            </w:r>
          </w:p>
        </w:tc>
        <w:tc>
          <w:tcPr>
            <w:tcW w:w="357" w:type="pct"/>
            <w:tcBorders>
              <w:top w:val="single" w:sz="6" w:space="0" w:color="auto"/>
              <w:left w:val="single" w:sz="6" w:space="0" w:color="auto"/>
              <w:bottom w:val="single" w:sz="6" w:space="0" w:color="auto"/>
              <w:right w:val="single" w:sz="6" w:space="0" w:color="auto"/>
            </w:tcBorders>
          </w:tcPr>
          <w:p w14:paraId="62EADF5D"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6787CC06"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5FAAE8D4"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3AB30760"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012EB91B" w14:textId="77777777" w:rsidR="002E483F" w:rsidRPr="00824B04" w:rsidRDefault="002E483F" w:rsidP="00BD1855">
            <w:pPr>
              <w:pStyle w:val="Tabletext"/>
            </w:pPr>
            <w:r w:rsidRPr="00824B04">
              <w:t>X</w:t>
            </w:r>
            <w:r w:rsidRPr="00824B04">
              <w:rPr>
                <w:vertAlign w:val="superscript"/>
              </w:rPr>
              <w:t>(d)</w:t>
            </w:r>
          </w:p>
        </w:tc>
        <w:tc>
          <w:tcPr>
            <w:tcW w:w="359" w:type="pct"/>
            <w:tcBorders>
              <w:top w:val="single" w:sz="6" w:space="0" w:color="auto"/>
              <w:left w:val="single" w:sz="6" w:space="0" w:color="auto"/>
              <w:bottom w:val="single" w:sz="6" w:space="0" w:color="auto"/>
              <w:right w:val="single" w:sz="6" w:space="0" w:color="auto"/>
            </w:tcBorders>
          </w:tcPr>
          <w:p w14:paraId="7880025E" w14:textId="77777777" w:rsidR="002E483F" w:rsidRPr="00824B04" w:rsidRDefault="002E483F" w:rsidP="00BD1855">
            <w:pPr>
              <w:pStyle w:val="Tabletext"/>
            </w:pPr>
            <w:r w:rsidRPr="00824B04">
              <w:t>X</w:t>
            </w:r>
          </w:p>
        </w:tc>
      </w:tr>
      <w:tr w:rsidR="002E483F" w:rsidRPr="00824B04" w14:paraId="1588128C"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14D20E2D"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59769B3B" w14:textId="77777777" w:rsidR="002E483F" w:rsidRPr="00824B04" w:rsidRDefault="002E483F" w:rsidP="00BD1855">
            <w:pPr>
              <w:pStyle w:val="TableHeading"/>
            </w:pPr>
            <w:r w:rsidRPr="00824B04">
              <w:t>G</w:t>
            </w:r>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362DF9D4"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1CD61A3A" w14:textId="77777777" w:rsidR="002E483F" w:rsidRPr="00824B04" w:rsidRDefault="002E483F" w:rsidP="00BD1855">
            <w:pPr>
              <w:pStyle w:val="Tabletext"/>
            </w:pPr>
            <w:r w:rsidRPr="00824B04">
              <w:t>X</w:t>
            </w:r>
            <w:r w:rsidRPr="00824B04">
              <w:rPr>
                <w:vertAlign w:val="superscript"/>
              </w:rPr>
              <w:t>(b)(c)</w:t>
            </w:r>
          </w:p>
        </w:tc>
        <w:tc>
          <w:tcPr>
            <w:tcW w:w="357" w:type="pct"/>
            <w:tcBorders>
              <w:top w:val="single" w:sz="6" w:space="0" w:color="auto"/>
              <w:left w:val="single" w:sz="6" w:space="0" w:color="auto"/>
              <w:bottom w:val="single" w:sz="6" w:space="0" w:color="auto"/>
              <w:right w:val="single" w:sz="6" w:space="0" w:color="auto"/>
            </w:tcBorders>
          </w:tcPr>
          <w:p w14:paraId="5CB8DF3C" w14:textId="77777777" w:rsidR="002E483F" w:rsidRPr="00824B04" w:rsidRDefault="002E483F" w:rsidP="00BD1855">
            <w:pPr>
              <w:pStyle w:val="Tabletext"/>
            </w:pPr>
            <w:r w:rsidRPr="00824B04">
              <w:t>X</w:t>
            </w:r>
            <w:r w:rsidRPr="00824B04">
              <w:rPr>
                <w:vertAlign w:val="superscript"/>
              </w:rPr>
              <w:t>(f)(e)</w:t>
            </w:r>
          </w:p>
        </w:tc>
        <w:tc>
          <w:tcPr>
            <w:tcW w:w="267" w:type="pct"/>
            <w:tcBorders>
              <w:top w:val="single" w:sz="6" w:space="0" w:color="auto"/>
              <w:left w:val="single" w:sz="6" w:space="0" w:color="auto"/>
              <w:bottom w:val="single" w:sz="6" w:space="0" w:color="auto"/>
              <w:right w:val="single" w:sz="6" w:space="0" w:color="auto"/>
            </w:tcBorders>
          </w:tcPr>
          <w:p w14:paraId="3B58FB88" w14:textId="77777777" w:rsidR="002E483F" w:rsidRPr="00824B04" w:rsidRDefault="002E483F" w:rsidP="00BD1855">
            <w:pPr>
              <w:pStyle w:val="Tabletext"/>
            </w:pPr>
            <w:r w:rsidRPr="00824B04">
              <w:t>X</w:t>
            </w:r>
            <w:r w:rsidRPr="00824B04">
              <w:rPr>
                <w:vertAlign w:val="superscript"/>
              </w:rPr>
              <w:t>(f)(e)</w:t>
            </w:r>
          </w:p>
        </w:tc>
        <w:tc>
          <w:tcPr>
            <w:tcW w:w="267" w:type="pct"/>
            <w:tcBorders>
              <w:top w:val="single" w:sz="6" w:space="0" w:color="auto"/>
              <w:left w:val="single" w:sz="6" w:space="0" w:color="auto"/>
              <w:bottom w:val="single" w:sz="6" w:space="0" w:color="auto"/>
              <w:right w:val="single" w:sz="6" w:space="0" w:color="auto"/>
            </w:tcBorders>
          </w:tcPr>
          <w:p w14:paraId="5FB6581C" w14:textId="77777777" w:rsidR="002E483F" w:rsidRPr="00824B04" w:rsidRDefault="002E483F" w:rsidP="00BD1855">
            <w:pPr>
              <w:pStyle w:val="Tabletext"/>
            </w:pPr>
            <w:r w:rsidRPr="00824B04">
              <w:t>X</w:t>
            </w:r>
            <w:r w:rsidRPr="00824B04">
              <w:rPr>
                <w:vertAlign w:val="superscript"/>
              </w:rPr>
              <w:t>(e)</w:t>
            </w:r>
          </w:p>
        </w:tc>
        <w:tc>
          <w:tcPr>
            <w:tcW w:w="267" w:type="pct"/>
            <w:tcBorders>
              <w:top w:val="single" w:sz="6" w:space="0" w:color="auto"/>
              <w:left w:val="single" w:sz="6" w:space="0" w:color="auto"/>
              <w:bottom w:val="single" w:sz="6" w:space="0" w:color="auto"/>
              <w:right w:val="single" w:sz="6" w:space="0" w:color="auto"/>
            </w:tcBorders>
          </w:tcPr>
          <w:p w14:paraId="715F23DA" w14:textId="77777777" w:rsidR="002E483F" w:rsidRPr="00824B04" w:rsidRDefault="002E483F" w:rsidP="00BD1855">
            <w:pPr>
              <w:pStyle w:val="Tabletext"/>
            </w:pPr>
            <w:r w:rsidRPr="00824B04">
              <w:t>X</w:t>
            </w:r>
            <w:r w:rsidRPr="00824B04">
              <w:rPr>
                <w:vertAlign w:val="superscript"/>
              </w:rPr>
              <w:t>(d)</w:t>
            </w:r>
          </w:p>
        </w:tc>
        <w:tc>
          <w:tcPr>
            <w:tcW w:w="268" w:type="pct"/>
            <w:tcBorders>
              <w:top w:val="single" w:sz="6" w:space="0" w:color="auto"/>
              <w:left w:val="single" w:sz="6" w:space="0" w:color="auto"/>
              <w:bottom w:val="single" w:sz="6" w:space="0" w:color="auto"/>
              <w:right w:val="single" w:sz="6" w:space="0" w:color="auto"/>
            </w:tcBorders>
          </w:tcPr>
          <w:p w14:paraId="69EF61CC" w14:textId="77777777" w:rsidR="002E483F" w:rsidRPr="00824B04" w:rsidRDefault="002E483F" w:rsidP="00BD1855">
            <w:pPr>
              <w:pStyle w:val="Tabletext"/>
            </w:pPr>
            <w:r w:rsidRPr="00824B04">
              <w:t>X</w:t>
            </w:r>
          </w:p>
        </w:tc>
        <w:tc>
          <w:tcPr>
            <w:tcW w:w="357" w:type="pct"/>
            <w:tcBorders>
              <w:top w:val="single" w:sz="6" w:space="0" w:color="auto"/>
              <w:left w:val="single" w:sz="6" w:space="0" w:color="auto"/>
              <w:bottom w:val="single" w:sz="6" w:space="0" w:color="auto"/>
              <w:right w:val="single" w:sz="6" w:space="0" w:color="auto"/>
            </w:tcBorders>
          </w:tcPr>
          <w:p w14:paraId="1F87B5D7"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3457ADB5"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22AFBFDD"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4B604339"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46FFB58D" w14:textId="77777777" w:rsidR="002E483F" w:rsidRPr="00824B04" w:rsidRDefault="002E483F" w:rsidP="00BD1855">
            <w:pPr>
              <w:pStyle w:val="Tabletext"/>
            </w:pPr>
            <w:r w:rsidRPr="00824B04">
              <w:t>X</w:t>
            </w:r>
            <w:r w:rsidRPr="00824B04">
              <w:rPr>
                <w:vertAlign w:val="superscript"/>
              </w:rPr>
              <w:t>(e)</w:t>
            </w:r>
          </w:p>
        </w:tc>
        <w:tc>
          <w:tcPr>
            <w:tcW w:w="359" w:type="pct"/>
            <w:tcBorders>
              <w:top w:val="single" w:sz="6" w:space="0" w:color="auto"/>
              <w:left w:val="single" w:sz="6" w:space="0" w:color="auto"/>
              <w:bottom w:val="single" w:sz="6" w:space="0" w:color="auto"/>
              <w:right w:val="single" w:sz="6" w:space="0" w:color="auto"/>
            </w:tcBorders>
          </w:tcPr>
          <w:p w14:paraId="5AE4C5E0" w14:textId="77777777" w:rsidR="002E483F" w:rsidRPr="00824B04" w:rsidRDefault="002E483F" w:rsidP="00BD1855">
            <w:pPr>
              <w:pStyle w:val="Tabletext"/>
            </w:pPr>
            <w:r w:rsidRPr="00824B04">
              <w:t>X</w:t>
            </w:r>
          </w:p>
        </w:tc>
      </w:tr>
      <w:tr w:rsidR="002E483F" w:rsidRPr="00824B04" w14:paraId="5CFA8F0C"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203C351E"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40CE727A" w14:textId="77777777" w:rsidR="002E483F" w:rsidRPr="00824B04" w:rsidRDefault="002E483F" w:rsidP="00BD1855">
            <w:pPr>
              <w:pStyle w:val="TableHeading"/>
            </w:pPr>
            <w:r w:rsidRPr="00824B04">
              <w:t>H</w:t>
            </w:r>
          </w:p>
        </w:tc>
        <w:tc>
          <w:tcPr>
            <w:tcW w:w="267" w:type="pct"/>
            <w:tcBorders>
              <w:top w:val="single" w:sz="6" w:space="0" w:color="auto"/>
              <w:left w:val="single" w:sz="6" w:space="0" w:color="auto"/>
              <w:bottom w:val="single" w:sz="6" w:space="0" w:color="auto"/>
              <w:right w:val="single" w:sz="6" w:space="0" w:color="auto"/>
            </w:tcBorders>
          </w:tcPr>
          <w:p w14:paraId="4B0A7D19"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6C6E0C8F"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54E4BA0A"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65C207A5"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5FAC2200"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69A14AC4"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6BBE2934"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793F8E39"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164014EC"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336F7116"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55521A2E"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49C33199" w14:textId="77777777" w:rsidR="002E483F" w:rsidRPr="00824B04" w:rsidRDefault="002E483F" w:rsidP="00BD1855">
            <w:pPr>
              <w:pStyle w:val="Tabletext"/>
            </w:pPr>
          </w:p>
        </w:tc>
        <w:tc>
          <w:tcPr>
            <w:tcW w:w="359" w:type="pct"/>
            <w:tcBorders>
              <w:top w:val="single" w:sz="6" w:space="0" w:color="auto"/>
              <w:left w:val="single" w:sz="6" w:space="0" w:color="auto"/>
              <w:bottom w:val="single" w:sz="6" w:space="0" w:color="auto"/>
              <w:right w:val="single" w:sz="6" w:space="0" w:color="auto"/>
            </w:tcBorders>
          </w:tcPr>
          <w:p w14:paraId="6052A115" w14:textId="77777777" w:rsidR="002E483F" w:rsidRPr="00824B04" w:rsidRDefault="002E483F" w:rsidP="00BD1855">
            <w:pPr>
              <w:pStyle w:val="Tabletext"/>
            </w:pPr>
            <w:r w:rsidRPr="00824B04">
              <w:t>X</w:t>
            </w:r>
          </w:p>
        </w:tc>
      </w:tr>
      <w:tr w:rsidR="002E483F" w:rsidRPr="00824B04" w14:paraId="0ACB2DEE"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134EB932"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4E2373FA" w14:textId="77777777" w:rsidR="002E483F" w:rsidRPr="00824B04" w:rsidRDefault="002E483F" w:rsidP="00BD1855">
            <w:pPr>
              <w:pStyle w:val="TableHeading"/>
            </w:pPr>
            <w:r w:rsidRPr="00824B04">
              <w:t>J</w:t>
            </w:r>
          </w:p>
        </w:tc>
        <w:tc>
          <w:tcPr>
            <w:tcW w:w="267" w:type="pct"/>
            <w:tcBorders>
              <w:top w:val="single" w:sz="6" w:space="0" w:color="auto"/>
              <w:left w:val="single" w:sz="6" w:space="0" w:color="auto"/>
              <w:bottom w:val="single" w:sz="6" w:space="0" w:color="auto"/>
              <w:right w:val="single" w:sz="6" w:space="0" w:color="auto"/>
            </w:tcBorders>
          </w:tcPr>
          <w:p w14:paraId="41251C3B"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47B8D82D"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194A20E6"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4BDCD645"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7214F02D"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284EE9C2"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766A713E"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6C875972"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1F7F696B"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75FC0336"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60142A8C"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00B1277D" w14:textId="77777777" w:rsidR="002E483F" w:rsidRPr="00824B04" w:rsidRDefault="002E483F" w:rsidP="00BD1855">
            <w:pPr>
              <w:pStyle w:val="Tabletext"/>
            </w:pPr>
          </w:p>
        </w:tc>
        <w:tc>
          <w:tcPr>
            <w:tcW w:w="359" w:type="pct"/>
            <w:tcBorders>
              <w:top w:val="single" w:sz="6" w:space="0" w:color="auto"/>
              <w:left w:val="single" w:sz="6" w:space="0" w:color="auto"/>
              <w:bottom w:val="single" w:sz="6" w:space="0" w:color="auto"/>
              <w:right w:val="single" w:sz="6" w:space="0" w:color="auto"/>
            </w:tcBorders>
          </w:tcPr>
          <w:p w14:paraId="274485BB" w14:textId="77777777" w:rsidR="002E483F" w:rsidRPr="00824B04" w:rsidRDefault="002E483F" w:rsidP="00BD1855">
            <w:pPr>
              <w:pStyle w:val="Tabletext"/>
            </w:pPr>
            <w:r w:rsidRPr="00824B04">
              <w:t>X</w:t>
            </w:r>
          </w:p>
        </w:tc>
      </w:tr>
      <w:tr w:rsidR="002E483F" w:rsidRPr="00824B04" w14:paraId="53E10B59"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2FADBE05"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375F8AA4" w14:textId="77777777" w:rsidR="002E483F" w:rsidRPr="00824B04" w:rsidRDefault="002E483F" w:rsidP="00BD1855">
            <w:pPr>
              <w:pStyle w:val="TableHeading"/>
            </w:pPr>
            <w:r w:rsidRPr="00824B04">
              <w:t>K</w:t>
            </w:r>
            <w:r w:rsidRPr="00824B04">
              <w:rPr>
                <w:vertAlign w:val="superscript"/>
              </w:rPr>
              <w:t>(g)</w:t>
            </w:r>
          </w:p>
        </w:tc>
        <w:tc>
          <w:tcPr>
            <w:tcW w:w="267" w:type="pct"/>
            <w:tcBorders>
              <w:top w:val="single" w:sz="6" w:space="0" w:color="auto"/>
              <w:left w:val="single" w:sz="6" w:space="0" w:color="auto"/>
              <w:bottom w:val="single" w:sz="6" w:space="0" w:color="auto"/>
              <w:right w:val="single" w:sz="6" w:space="0" w:color="auto"/>
            </w:tcBorders>
          </w:tcPr>
          <w:p w14:paraId="675675FA"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7AF8E969"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3A1F4912"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5D430EFB"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70A28C0C"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26E39289"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03795416"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609B79F3"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47A254B1"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3997D5FB" w14:textId="77777777" w:rsidR="002E483F" w:rsidRPr="00824B04" w:rsidRDefault="002E483F" w:rsidP="00BD1855">
            <w:pPr>
              <w:pStyle w:val="Tabletext"/>
            </w:pPr>
            <w:r w:rsidRPr="00824B04">
              <w:t>X</w:t>
            </w:r>
            <w:r w:rsidRPr="00824B04">
              <w:rPr>
                <w:vertAlign w:val="superscript"/>
              </w:rPr>
              <w:t>(g)</w:t>
            </w:r>
          </w:p>
        </w:tc>
        <w:tc>
          <w:tcPr>
            <w:tcW w:w="267" w:type="pct"/>
            <w:tcBorders>
              <w:top w:val="single" w:sz="6" w:space="0" w:color="auto"/>
              <w:left w:val="single" w:sz="6" w:space="0" w:color="auto"/>
              <w:bottom w:val="single" w:sz="6" w:space="0" w:color="auto"/>
              <w:right w:val="single" w:sz="6" w:space="0" w:color="auto"/>
            </w:tcBorders>
          </w:tcPr>
          <w:p w14:paraId="10F8C332"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326513CE" w14:textId="77777777" w:rsidR="002E483F" w:rsidRPr="00824B04" w:rsidRDefault="002E483F" w:rsidP="00BD1855">
            <w:pPr>
              <w:pStyle w:val="Tabletext"/>
            </w:pPr>
          </w:p>
        </w:tc>
        <w:tc>
          <w:tcPr>
            <w:tcW w:w="359" w:type="pct"/>
            <w:tcBorders>
              <w:top w:val="single" w:sz="6" w:space="0" w:color="auto"/>
              <w:left w:val="single" w:sz="6" w:space="0" w:color="auto"/>
              <w:bottom w:val="single" w:sz="6" w:space="0" w:color="auto"/>
              <w:right w:val="single" w:sz="6" w:space="0" w:color="auto"/>
            </w:tcBorders>
          </w:tcPr>
          <w:p w14:paraId="6AB599FA" w14:textId="77777777" w:rsidR="002E483F" w:rsidRPr="00824B04" w:rsidRDefault="002E483F" w:rsidP="00BD1855">
            <w:pPr>
              <w:pStyle w:val="Tabletext"/>
            </w:pPr>
          </w:p>
        </w:tc>
      </w:tr>
      <w:tr w:rsidR="002E483F" w:rsidRPr="00824B04" w14:paraId="0965A1F5"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7B7D3503"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0D67B292" w14:textId="77777777" w:rsidR="002E483F" w:rsidRPr="00824B04" w:rsidRDefault="002E483F" w:rsidP="00BD1855">
            <w:pPr>
              <w:pStyle w:val="TableHeading"/>
            </w:pPr>
            <w:r w:rsidRPr="00824B04">
              <w:t>L</w:t>
            </w:r>
            <w:r w:rsidRPr="00824B04">
              <w:rPr>
                <w:vertAlign w:val="superscript"/>
              </w:rPr>
              <w:t>(h)</w:t>
            </w:r>
          </w:p>
        </w:tc>
        <w:tc>
          <w:tcPr>
            <w:tcW w:w="267" w:type="pct"/>
            <w:tcBorders>
              <w:top w:val="single" w:sz="6" w:space="0" w:color="auto"/>
              <w:left w:val="single" w:sz="6" w:space="0" w:color="auto"/>
              <w:bottom w:val="single" w:sz="6" w:space="0" w:color="auto"/>
              <w:right w:val="single" w:sz="6" w:space="0" w:color="auto"/>
            </w:tcBorders>
          </w:tcPr>
          <w:p w14:paraId="5E3A55E4"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7EFDF746"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70042466"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69F55384"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0391CF8A"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0BD399C8"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4FBF4D6B"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7909F1D0"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0D8EA0A4"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33B57298"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52FA01D7" w14:textId="77777777" w:rsidR="002E483F" w:rsidRPr="00824B04" w:rsidRDefault="002E483F" w:rsidP="00BD1855">
            <w:pPr>
              <w:pStyle w:val="Tabletext"/>
              <w:rPr>
                <w:vertAlign w:val="superscript"/>
              </w:rPr>
            </w:pPr>
            <w:r w:rsidRPr="00824B04">
              <w:rPr>
                <w:vertAlign w:val="superscript"/>
              </w:rPr>
              <w:t>(h)</w:t>
            </w:r>
          </w:p>
        </w:tc>
        <w:tc>
          <w:tcPr>
            <w:tcW w:w="357" w:type="pct"/>
            <w:tcBorders>
              <w:top w:val="single" w:sz="6" w:space="0" w:color="auto"/>
              <w:left w:val="single" w:sz="6" w:space="0" w:color="auto"/>
              <w:bottom w:val="single" w:sz="6" w:space="0" w:color="auto"/>
              <w:right w:val="single" w:sz="6" w:space="0" w:color="auto"/>
            </w:tcBorders>
          </w:tcPr>
          <w:p w14:paraId="5C258007" w14:textId="77777777" w:rsidR="002E483F" w:rsidRPr="00824B04" w:rsidRDefault="002E483F" w:rsidP="00BD1855">
            <w:pPr>
              <w:pStyle w:val="Tabletext"/>
            </w:pPr>
          </w:p>
        </w:tc>
        <w:tc>
          <w:tcPr>
            <w:tcW w:w="359" w:type="pct"/>
            <w:tcBorders>
              <w:top w:val="single" w:sz="6" w:space="0" w:color="auto"/>
              <w:left w:val="single" w:sz="6" w:space="0" w:color="auto"/>
              <w:bottom w:val="single" w:sz="6" w:space="0" w:color="auto"/>
              <w:right w:val="single" w:sz="6" w:space="0" w:color="auto"/>
            </w:tcBorders>
          </w:tcPr>
          <w:p w14:paraId="25AD6E1A" w14:textId="77777777" w:rsidR="002E483F" w:rsidRPr="00824B04" w:rsidRDefault="002E483F" w:rsidP="00BD1855">
            <w:pPr>
              <w:pStyle w:val="Tabletext"/>
            </w:pPr>
          </w:p>
        </w:tc>
      </w:tr>
      <w:tr w:rsidR="002E483F" w:rsidRPr="00824B04" w14:paraId="073424DC"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1B02E48F"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59071066" w14:textId="77777777" w:rsidR="002E483F" w:rsidRPr="00824B04" w:rsidRDefault="002E483F" w:rsidP="00BD1855">
            <w:pPr>
              <w:pStyle w:val="TableHeading"/>
            </w:pPr>
            <w:r w:rsidRPr="00824B04">
              <w:t>N</w:t>
            </w:r>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7F0CF9B5"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2FD4A119"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0B34F7CE" w14:textId="77777777" w:rsidR="002E483F" w:rsidRPr="00824B04" w:rsidRDefault="002E483F" w:rsidP="00BD1855">
            <w:pPr>
              <w:pStyle w:val="Tabletext"/>
            </w:pPr>
            <w:r w:rsidRPr="00824B04">
              <w:t>X</w:t>
            </w:r>
            <w:r w:rsidRPr="00824B04">
              <w:rPr>
                <w:vertAlign w:val="superscript"/>
              </w:rPr>
              <w:t>(d)(e)</w:t>
            </w:r>
          </w:p>
        </w:tc>
        <w:tc>
          <w:tcPr>
            <w:tcW w:w="267" w:type="pct"/>
            <w:tcBorders>
              <w:top w:val="single" w:sz="6" w:space="0" w:color="auto"/>
              <w:left w:val="single" w:sz="6" w:space="0" w:color="auto"/>
              <w:bottom w:val="single" w:sz="6" w:space="0" w:color="auto"/>
              <w:right w:val="single" w:sz="6" w:space="0" w:color="auto"/>
            </w:tcBorders>
          </w:tcPr>
          <w:p w14:paraId="0A134466" w14:textId="77777777" w:rsidR="002E483F" w:rsidRPr="00824B04" w:rsidRDefault="002E483F" w:rsidP="00BD1855">
            <w:pPr>
              <w:pStyle w:val="Tabletext"/>
            </w:pPr>
            <w:r w:rsidRPr="00824B04">
              <w:t>X</w:t>
            </w:r>
            <w:r w:rsidRPr="00824B04">
              <w:rPr>
                <w:vertAlign w:val="superscript"/>
              </w:rPr>
              <w:t>(d)(e)</w:t>
            </w:r>
          </w:p>
        </w:tc>
        <w:tc>
          <w:tcPr>
            <w:tcW w:w="267" w:type="pct"/>
            <w:tcBorders>
              <w:top w:val="single" w:sz="6" w:space="0" w:color="auto"/>
              <w:left w:val="single" w:sz="6" w:space="0" w:color="auto"/>
              <w:bottom w:val="single" w:sz="6" w:space="0" w:color="auto"/>
              <w:right w:val="single" w:sz="6" w:space="0" w:color="auto"/>
            </w:tcBorders>
          </w:tcPr>
          <w:p w14:paraId="2033B720" w14:textId="77777777" w:rsidR="002E483F" w:rsidRPr="00824B04" w:rsidRDefault="002E483F" w:rsidP="00BD1855">
            <w:pPr>
              <w:pStyle w:val="Tabletext"/>
            </w:pPr>
            <w:r w:rsidRPr="00824B04">
              <w:t>X</w:t>
            </w:r>
            <w:r w:rsidRPr="00824B04">
              <w:rPr>
                <w:vertAlign w:val="superscript"/>
              </w:rPr>
              <w:t>(d)(e)</w:t>
            </w:r>
          </w:p>
        </w:tc>
        <w:tc>
          <w:tcPr>
            <w:tcW w:w="267" w:type="pct"/>
            <w:tcBorders>
              <w:top w:val="single" w:sz="6" w:space="0" w:color="auto"/>
              <w:left w:val="single" w:sz="6" w:space="0" w:color="auto"/>
              <w:bottom w:val="single" w:sz="6" w:space="0" w:color="auto"/>
              <w:right w:val="single" w:sz="6" w:space="0" w:color="auto"/>
            </w:tcBorders>
          </w:tcPr>
          <w:p w14:paraId="7B0517B2" w14:textId="77777777" w:rsidR="002E483F" w:rsidRPr="00824B04" w:rsidRDefault="002E483F" w:rsidP="00BD1855">
            <w:pPr>
              <w:pStyle w:val="Tabletext"/>
            </w:pPr>
            <w:r w:rsidRPr="00824B04">
              <w:t>X</w:t>
            </w:r>
            <w:r w:rsidRPr="00824B04">
              <w:rPr>
                <w:vertAlign w:val="superscript"/>
              </w:rPr>
              <w:t>(d)</w:t>
            </w:r>
          </w:p>
        </w:tc>
        <w:tc>
          <w:tcPr>
            <w:tcW w:w="268" w:type="pct"/>
            <w:tcBorders>
              <w:top w:val="single" w:sz="6" w:space="0" w:color="auto"/>
              <w:left w:val="single" w:sz="6" w:space="0" w:color="auto"/>
              <w:bottom w:val="single" w:sz="6" w:space="0" w:color="auto"/>
              <w:right w:val="single" w:sz="6" w:space="0" w:color="auto"/>
            </w:tcBorders>
          </w:tcPr>
          <w:p w14:paraId="0D6AF609" w14:textId="77777777" w:rsidR="002E483F" w:rsidRPr="00824B04" w:rsidRDefault="002E483F" w:rsidP="00BD1855">
            <w:pPr>
              <w:pStyle w:val="Tabletext"/>
            </w:pPr>
            <w:r w:rsidRPr="00824B04">
              <w:t>X</w:t>
            </w:r>
            <w:r w:rsidRPr="00824B04">
              <w:rPr>
                <w:vertAlign w:val="superscript"/>
              </w:rPr>
              <w:t>(e)</w:t>
            </w:r>
          </w:p>
        </w:tc>
        <w:tc>
          <w:tcPr>
            <w:tcW w:w="357" w:type="pct"/>
            <w:tcBorders>
              <w:top w:val="single" w:sz="6" w:space="0" w:color="auto"/>
              <w:left w:val="single" w:sz="6" w:space="0" w:color="auto"/>
              <w:bottom w:val="single" w:sz="6" w:space="0" w:color="auto"/>
              <w:right w:val="single" w:sz="6" w:space="0" w:color="auto"/>
            </w:tcBorders>
          </w:tcPr>
          <w:p w14:paraId="5B6D802C"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12DB0E13"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78B7AC91"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39642353"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51ABE950" w14:textId="77777777" w:rsidR="002E483F" w:rsidRPr="00824B04" w:rsidRDefault="002E483F" w:rsidP="00BD1855">
            <w:pPr>
              <w:pStyle w:val="Tabletext"/>
            </w:pPr>
            <w:r w:rsidRPr="00824B04">
              <w:t>X</w:t>
            </w:r>
          </w:p>
        </w:tc>
        <w:tc>
          <w:tcPr>
            <w:tcW w:w="359" w:type="pct"/>
            <w:tcBorders>
              <w:top w:val="single" w:sz="6" w:space="0" w:color="auto"/>
              <w:left w:val="single" w:sz="6" w:space="0" w:color="auto"/>
              <w:bottom w:val="single" w:sz="6" w:space="0" w:color="auto"/>
              <w:right w:val="single" w:sz="6" w:space="0" w:color="auto"/>
            </w:tcBorders>
          </w:tcPr>
          <w:p w14:paraId="4B228AD0" w14:textId="77777777" w:rsidR="002E483F" w:rsidRPr="00824B04" w:rsidRDefault="002E483F" w:rsidP="00BD1855">
            <w:pPr>
              <w:pStyle w:val="Tabletext"/>
            </w:pPr>
            <w:r w:rsidRPr="00824B04">
              <w:t>X</w:t>
            </w:r>
          </w:p>
        </w:tc>
      </w:tr>
      <w:tr w:rsidR="002E483F" w:rsidRPr="00824B04" w14:paraId="351B2565" w14:textId="77777777" w:rsidTr="00876AFF">
        <w:trPr>
          <w:cantSplit/>
        </w:trPr>
        <w:tc>
          <w:tcPr>
            <w:tcW w:w="808" w:type="pct"/>
            <w:vMerge/>
            <w:tcBorders>
              <w:top w:val="single" w:sz="6" w:space="0" w:color="auto"/>
              <w:left w:val="single" w:sz="6" w:space="0" w:color="auto"/>
              <w:bottom w:val="single" w:sz="6" w:space="0" w:color="auto"/>
              <w:right w:val="single" w:sz="6" w:space="0" w:color="auto"/>
            </w:tcBorders>
          </w:tcPr>
          <w:p w14:paraId="7676B07C" w14:textId="77777777" w:rsidR="002E483F" w:rsidRPr="00824B04" w:rsidRDefault="002E483F" w:rsidP="00BD1855">
            <w:pPr>
              <w:keepLines/>
              <w:ind w:left="28" w:right="28"/>
            </w:pPr>
          </w:p>
        </w:tc>
        <w:tc>
          <w:tcPr>
            <w:tcW w:w="357" w:type="pct"/>
            <w:tcBorders>
              <w:top w:val="single" w:sz="6" w:space="0" w:color="auto"/>
              <w:left w:val="single" w:sz="6" w:space="0" w:color="auto"/>
              <w:bottom w:val="single" w:sz="6" w:space="0" w:color="auto"/>
              <w:right w:val="single" w:sz="6" w:space="0" w:color="auto"/>
            </w:tcBorders>
          </w:tcPr>
          <w:p w14:paraId="425D7776" w14:textId="77777777" w:rsidR="002E483F" w:rsidRPr="00824B04" w:rsidRDefault="002E483F" w:rsidP="00BD1855">
            <w:pPr>
              <w:pStyle w:val="TableHeading"/>
            </w:pPr>
            <w:r w:rsidRPr="00824B04">
              <w:t>S</w:t>
            </w:r>
            <w:r w:rsidRPr="00824B04">
              <w:rPr>
                <w:vertAlign w:val="superscript"/>
              </w:rPr>
              <w:t>(</w:t>
            </w:r>
            <w:proofErr w:type="spellStart"/>
            <w:r w:rsidRPr="00824B04">
              <w:rPr>
                <w:vertAlign w:val="superscript"/>
              </w:rPr>
              <w:t>i</w:t>
            </w:r>
            <w:proofErr w:type="spellEnd"/>
            <w:r w:rsidRPr="00824B04">
              <w:rPr>
                <w:vertAlign w:val="superscript"/>
              </w:rPr>
              <w:t>)(j)</w:t>
            </w:r>
          </w:p>
        </w:tc>
        <w:tc>
          <w:tcPr>
            <w:tcW w:w="267" w:type="pct"/>
            <w:tcBorders>
              <w:top w:val="single" w:sz="6" w:space="0" w:color="auto"/>
              <w:left w:val="single" w:sz="6" w:space="0" w:color="auto"/>
              <w:bottom w:val="single" w:sz="6" w:space="0" w:color="auto"/>
              <w:right w:val="single" w:sz="6" w:space="0" w:color="auto"/>
            </w:tcBorders>
          </w:tcPr>
          <w:p w14:paraId="16BCD1CC" w14:textId="77777777" w:rsidR="002E483F" w:rsidRPr="00824B04" w:rsidRDefault="002E483F" w:rsidP="00BD1855">
            <w:pPr>
              <w:pStyle w:val="Tabletext"/>
            </w:pPr>
          </w:p>
        </w:tc>
        <w:tc>
          <w:tcPr>
            <w:tcW w:w="268" w:type="pct"/>
            <w:tcBorders>
              <w:top w:val="single" w:sz="6" w:space="0" w:color="auto"/>
              <w:left w:val="single" w:sz="6" w:space="0" w:color="auto"/>
              <w:bottom w:val="single" w:sz="6" w:space="0" w:color="auto"/>
              <w:right w:val="single" w:sz="6" w:space="0" w:color="auto"/>
            </w:tcBorders>
          </w:tcPr>
          <w:p w14:paraId="64C9301C" w14:textId="77777777" w:rsidR="002E483F" w:rsidRPr="00824B04" w:rsidRDefault="002E483F" w:rsidP="00BD1855">
            <w:pPr>
              <w:pStyle w:val="Tabletext"/>
            </w:pPr>
            <w:r w:rsidRPr="00824B04">
              <w:t>X</w:t>
            </w:r>
          </w:p>
        </w:tc>
        <w:tc>
          <w:tcPr>
            <w:tcW w:w="357" w:type="pct"/>
            <w:tcBorders>
              <w:top w:val="single" w:sz="6" w:space="0" w:color="auto"/>
              <w:left w:val="single" w:sz="6" w:space="0" w:color="auto"/>
              <w:bottom w:val="single" w:sz="6" w:space="0" w:color="auto"/>
              <w:right w:val="single" w:sz="6" w:space="0" w:color="auto"/>
            </w:tcBorders>
          </w:tcPr>
          <w:p w14:paraId="15479A6F"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76FC5C41"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4A6C11D7"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2EF5320F" w14:textId="77777777" w:rsidR="002E483F" w:rsidRPr="00824B04" w:rsidRDefault="002E483F" w:rsidP="00BD1855">
            <w:pPr>
              <w:pStyle w:val="Tabletext"/>
            </w:pPr>
            <w:r w:rsidRPr="00824B04">
              <w:t>X</w:t>
            </w:r>
          </w:p>
        </w:tc>
        <w:tc>
          <w:tcPr>
            <w:tcW w:w="268" w:type="pct"/>
            <w:tcBorders>
              <w:top w:val="single" w:sz="6" w:space="0" w:color="auto"/>
              <w:left w:val="single" w:sz="6" w:space="0" w:color="auto"/>
              <w:bottom w:val="single" w:sz="6" w:space="0" w:color="auto"/>
              <w:right w:val="single" w:sz="6" w:space="0" w:color="auto"/>
            </w:tcBorders>
          </w:tcPr>
          <w:p w14:paraId="0F8E31D5" w14:textId="77777777" w:rsidR="002E483F" w:rsidRPr="00824B04" w:rsidRDefault="002E483F" w:rsidP="00BD1855">
            <w:pPr>
              <w:pStyle w:val="Tabletext"/>
            </w:pPr>
            <w:r w:rsidRPr="00824B04">
              <w:t>X</w:t>
            </w:r>
          </w:p>
        </w:tc>
        <w:tc>
          <w:tcPr>
            <w:tcW w:w="357" w:type="pct"/>
            <w:tcBorders>
              <w:top w:val="single" w:sz="6" w:space="0" w:color="auto"/>
              <w:left w:val="single" w:sz="6" w:space="0" w:color="auto"/>
              <w:bottom w:val="single" w:sz="6" w:space="0" w:color="auto"/>
              <w:right w:val="single" w:sz="6" w:space="0" w:color="auto"/>
            </w:tcBorders>
          </w:tcPr>
          <w:p w14:paraId="5D1A7DB0"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5C54A373" w14:textId="77777777" w:rsidR="002E483F" w:rsidRPr="00824B04" w:rsidRDefault="002E483F" w:rsidP="00BD1855">
            <w:pPr>
              <w:pStyle w:val="Tabletext"/>
            </w:pPr>
            <w:r w:rsidRPr="00824B04">
              <w:t>X</w:t>
            </w:r>
          </w:p>
        </w:tc>
        <w:tc>
          <w:tcPr>
            <w:tcW w:w="267" w:type="pct"/>
            <w:tcBorders>
              <w:top w:val="single" w:sz="6" w:space="0" w:color="auto"/>
              <w:left w:val="single" w:sz="6" w:space="0" w:color="auto"/>
              <w:bottom w:val="single" w:sz="6" w:space="0" w:color="auto"/>
              <w:right w:val="single" w:sz="6" w:space="0" w:color="auto"/>
            </w:tcBorders>
          </w:tcPr>
          <w:p w14:paraId="360F5CCD" w14:textId="77777777" w:rsidR="002E483F" w:rsidRPr="00824B04" w:rsidRDefault="002E483F" w:rsidP="00BD1855">
            <w:pPr>
              <w:pStyle w:val="Tabletext"/>
            </w:pPr>
          </w:p>
        </w:tc>
        <w:tc>
          <w:tcPr>
            <w:tcW w:w="267" w:type="pct"/>
            <w:tcBorders>
              <w:top w:val="single" w:sz="6" w:space="0" w:color="auto"/>
              <w:left w:val="single" w:sz="6" w:space="0" w:color="auto"/>
              <w:bottom w:val="single" w:sz="6" w:space="0" w:color="auto"/>
              <w:right w:val="single" w:sz="6" w:space="0" w:color="auto"/>
            </w:tcBorders>
          </w:tcPr>
          <w:p w14:paraId="0667FF24" w14:textId="77777777" w:rsidR="002E483F" w:rsidRPr="00824B04" w:rsidRDefault="002E483F" w:rsidP="00BD1855">
            <w:pPr>
              <w:pStyle w:val="Tabletext"/>
            </w:pPr>
          </w:p>
        </w:tc>
        <w:tc>
          <w:tcPr>
            <w:tcW w:w="357" w:type="pct"/>
            <w:tcBorders>
              <w:top w:val="single" w:sz="6" w:space="0" w:color="auto"/>
              <w:left w:val="single" w:sz="6" w:space="0" w:color="auto"/>
              <w:bottom w:val="single" w:sz="6" w:space="0" w:color="auto"/>
              <w:right w:val="single" w:sz="6" w:space="0" w:color="auto"/>
            </w:tcBorders>
          </w:tcPr>
          <w:p w14:paraId="5EB3B34F" w14:textId="77777777" w:rsidR="002E483F" w:rsidRPr="00824B04" w:rsidRDefault="002E483F" w:rsidP="00BD1855">
            <w:pPr>
              <w:pStyle w:val="Tabletext"/>
            </w:pPr>
            <w:r w:rsidRPr="00824B04">
              <w:t>X</w:t>
            </w:r>
          </w:p>
        </w:tc>
        <w:tc>
          <w:tcPr>
            <w:tcW w:w="359" w:type="pct"/>
            <w:tcBorders>
              <w:top w:val="single" w:sz="6" w:space="0" w:color="auto"/>
              <w:left w:val="single" w:sz="6" w:space="0" w:color="auto"/>
              <w:bottom w:val="single" w:sz="6" w:space="0" w:color="auto"/>
              <w:right w:val="single" w:sz="6" w:space="0" w:color="auto"/>
            </w:tcBorders>
          </w:tcPr>
          <w:p w14:paraId="2EF2D67C" w14:textId="77777777" w:rsidR="002E483F" w:rsidRPr="00824B04" w:rsidRDefault="002E483F" w:rsidP="00BD1855">
            <w:pPr>
              <w:pStyle w:val="Tabletext"/>
            </w:pPr>
            <w:r w:rsidRPr="00824B04">
              <w:t>X</w:t>
            </w:r>
          </w:p>
        </w:tc>
      </w:tr>
    </w:tbl>
    <w:p w14:paraId="6D765F11" w14:textId="77777777" w:rsidR="002E483F" w:rsidRPr="00824B04" w:rsidRDefault="002E483F" w:rsidP="002E483F">
      <w:pPr>
        <w:pStyle w:val="Body"/>
        <w:tabs>
          <w:tab w:val="left" w:pos="350"/>
        </w:tabs>
        <w:jc w:val="both"/>
        <w:rPr>
          <w:bCs/>
          <w:sz w:val="16"/>
          <w:szCs w:val="16"/>
        </w:rPr>
      </w:pPr>
      <w:r w:rsidRPr="00824B04">
        <w:rPr>
          <w:bCs/>
          <w:sz w:val="16"/>
          <w:szCs w:val="16"/>
        </w:rPr>
        <w:t xml:space="preserve">‘X’ indicates that explosives of the corresponding compatibility groups may be transported in the same compartment, carry box, freight container or vehicle (see </w:t>
      </w:r>
      <w:r w:rsidR="00C5351E" w:rsidRPr="00824B04">
        <w:rPr>
          <w:bCs/>
          <w:sz w:val="16"/>
          <w:szCs w:val="16"/>
        </w:rPr>
        <w:t>section 7</w:t>
      </w:r>
      <w:r w:rsidRPr="00824B04">
        <w:rPr>
          <w:bCs/>
          <w:sz w:val="16"/>
          <w:szCs w:val="16"/>
        </w:rPr>
        <w:t>.3.2(3)).</w:t>
      </w:r>
    </w:p>
    <w:p w14:paraId="712A0509" w14:textId="77777777" w:rsidR="002E483F" w:rsidRPr="00824B04" w:rsidRDefault="002E483F" w:rsidP="002E483F">
      <w:pPr>
        <w:pStyle w:val="Body"/>
        <w:tabs>
          <w:tab w:val="left" w:pos="350"/>
        </w:tabs>
        <w:jc w:val="both"/>
        <w:rPr>
          <w:b/>
          <w:i/>
          <w:sz w:val="20"/>
        </w:rPr>
      </w:pPr>
      <w:r w:rsidRPr="00824B04">
        <w:rPr>
          <w:b/>
          <w:i/>
          <w:sz w:val="20"/>
        </w:rPr>
        <w:t>Notes:</w:t>
      </w:r>
    </w:p>
    <w:p w14:paraId="74101FD4" w14:textId="77777777" w:rsidR="002E483F" w:rsidRPr="00824B04" w:rsidRDefault="002E483F" w:rsidP="00356BAA">
      <w:pPr>
        <w:pStyle w:val="notemargin"/>
        <w:rPr>
          <w:i/>
        </w:rPr>
      </w:pPr>
      <w:r w:rsidRPr="00824B04">
        <w:rPr>
          <w:i/>
        </w:rPr>
        <w:t>(a)</w:t>
      </w:r>
      <w:r w:rsidRPr="00824B04">
        <w:rPr>
          <w:i/>
        </w:rPr>
        <w:tab/>
        <w:t>Substances that are included in compatibility group A must not form mixed loads with substances or articles that are included in another compatibility group and may be transported only with the written approval of the Competent Authority and in accordance with any conditions specified in the approval.</w:t>
      </w:r>
    </w:p>
    <w:p w14:paraId="29A20812" w14:textId="77777777" w:rsidR="002E483F" w:rsidRPr="00824B04" w:rsidRDefault="002E483F" w:rsidP="00356BAA">
      <w:pPr>
        <w:pStyle w:val="notemargin"/>
        <w:rPr>
          <w:i/>
        </w:rPr>
      </w:pPr>
      <w:r w:rsidRPr="00824B04">
        <w:rPr>
          <w:i/>
        </w:rPr>
        <w:t>(b)</w:t>
      </w:r>
      <w:r w:rsidRPr="00824B04">
        <w:rPr>
          <w:i/>
        </w:rPr>
        <w:tab/>
        <w:t xml:space="preserve">Articles that are included in compatibility group B must not be transported in or on the same vehicle on which there are explosives that are included in another compatibility group, but </w:t>
      </w:r>
      <w:proofErr w:type="spellStart"/>
      <w:r w:rsidRPr="00824B04">
        <w:rPr>
          <w:i/>
        </w:rPr>
        <w:t>fuzes</w:t>
      </w:r>
      <w:proofErr w:type="spellEnd"/>
      <w:r w:rsidRPr="00824B04">
        <w:rPr>
          <w:i/>
        </w:rPr>
        <w:t xml:space="preserve"> that are included in compatibility group B may be carried with the articles to which the </w:t>
      </w:r>
      <w:proofErr w:type="spellStart"/>
      <w:r w:rsidRPr="00824B04">
        <w:rPr>
          <w:i/>
        </w:rPr>
        <w:t>fuzes</w:t>
      </w:r>
      <w:proofErr w:type="spellEnd"/>
      <w:r w:rsidRPr="00824B04">
        <w:rPr>
          <w:i/>
        </w:rPr>
        <w:t xml:space="preserve"> are designed to be attached. In this case, the </w:t>
      </w:r>
      <w:proofErr w:type="spellStart"/>
      <w:r w:rsidRPr="00824B04">
        <w:rPr>
          <w:i/>
        </w:rPr>
        <w:t>NEQ</w:t>
      </w:r>
      <w:proofErr w:type="spellEnd"/>
      <w:r w:rsidRPr="00824B04">
        <w:rPr>
          <w:i/>
        </w:rPr>
        <w:t xml:space="preserve"> of the </w:t>
      </w:r>
      <w:proofErr w:type="spellStart"/>
      <w:r w:rsidRPr="00824B04">
        <w:rPr>
          <w:i/>
        </w:rPr>
        <w:t>fuzes</w:t>
      </w:r>
      <w:proofErr w:type="spellEnd"/>
      <w:r w:rsidRPr="00824B04">
        <w:rPr>
          <w:i/>
        </w:rPr>
        <w:t xml:space="preserve"> is to be aggregated with that of the articles and the combined load is to be treated as a load of explosives that are included in compatibility group F.</w:t>
      </w:r>
    </w:p>
    <w:p w14:paraId="481C5E59" w14:textId="77777777" w:rsidR="002E483F" w:rsidRPr="00824B04" w:rsidRDefault="002E483F" w:rsidP="00356BAA">
      <w:pPr>
        <w:pStyle w:val="notemargin"/>
        <w:rPr>
          <w:i/>
        </w:rPr>
      </w:pPr>
      <w:r w:rsidRPr="00824B04">
        <w:rPr>
          <w:i/>
        </w:rPr>
        <w:t>(c)</w:t>
      </w:r>
      <w:r w:rsidRPr="00824B04">
        <w:rPr>
          <w:i/>
        </w:rPr>
        <w:tab/>
        <w:t>Detonators that are included in compatibility group B and packed in a manner approved by a Competent Authority as being effective to prevent propagation may be mixed in transport with explosives that are included in compatibility group C, D, E or F or with articles included in compatibility group G that are not liable to give rise to loose explosive powder. The combined load is to be treated as a load of explosives that are included in compatibility group F.</w:t>
      </w:r>
    </w:p>
    <w:p w14:paraId="035C64F0" w14:textId="77777777" w:rsidR="002E483F" w:rsidRPr="00824B04" w:rsidRDefault="002E483F" w:rsidP="00356BAA">
      <w:pPr>
        <w:pStyle w:val="notemargin"/>
        <w:rPr>
          <w:i/>
        </w:rPr>
      </w:pPr>
      <w:r w:rsidRPr="00824B04">
        <w:rPr>
          <w:i/>
        </w:rPr>
        <w:t>(d)</w:t>
      </w:r>
      <w:r w:rsidRPr="00824B04">
        <w:rPr>
          <w:i/>
        </w:rPr>
        <w:tab/>
        <w:t>Articles that are included in compatibility group F may be mixed in transport with articles that are included in compatibility group C, D, E or N or with articles included in compatibility group G that are not liable to give rise to loose explosive powder. The combined load is to be treated as a load of explosives that are included in compatibility group F.</w:t>
      </w:r>
    </w:p>
    <w:p w14:paraId="0A98EE2F" w14:textId="77777777" w:rsidR="002E483F" w:rsidRPr="00824B04" w:rsidRDefault="002E483F" w:rsidP="00356BAA">
      <w:pPr>
        <w:pStyle w:val="notemargin"/>
        <w:rPr>
          <w:i/>
        </w:rPr>
      </w:pPr>
      <w:r w:rsidRPr="00824B04">
        <w:rPr>
          <w:i/>
        </w:rPr>
        <w:t>(e)</w:t>
      </w:r>
      <w:r w:rsidRPr="00824B04">
        <w:rPr>
          <w:i/>
        </w:rPr>
        <w:tab/>
        <w:t>Articles that are included in compatibility group C, D, E or N and articles included in compatibility group G that are not liable to give rise to loose explosive powder may be mixed in transport. However, when articles that are included in compatibility group C, D or E are mixed with articles that are included in compatibility group N, the articles that are included in compatibility group N should be treated as articles that are included in compatibility group D.</w:t>
      </w:r>
    </w:p>
    <w:p w14:paraId="27F62DE2" w14:textId="77777777" w:rsidR="002E483F" w:rsidRPr="00824B04" w:rsidRDefault="002E483F" w:rsidP="00356BAA">
      <w:pPr>
        <w:pStyle w:val="notemargin"/>
        <w:rPr>
          <w:i/>
        </w:rPr>
      </w:pPr>
      <w:r w:rsidRPr="00824B04">
        <w:rPr>
          <w:i/>
        </w:rPr>
        <w:t>(f)</w:t>
      </w:r>
      <w:r w:rsidRPr="00824B04">
        <w:rPr>
          <w:i/>
        </w:rPr>
        <w:tab/>
        <w:t>Substances included in compatibility group C, D or G that are packaged so as not to give rise to loose powder, and that are less sensitive to mechanical stimuli than dry RDX, may be mixed in transport. The combined load is to be treated as a single group.</w:t>
      </w:r>
    </w:p>
    <w:p w14:paraId="2A4B0268" w14:textId="77777777" w:rsidR="002E483F" w:rsidRPr="00824B04" w:rsidRDefault="002E483F" w:rsidP="00356BAA">
      <w:pPr>
        <w:pStyle w:val="notemargin"/>
        <w:rPr>
          <w:i/>
        </w:rPr>
      </w:pPr>
      <w:r w:rsidRPr="00824B04">
        <w:rPr>
          <w:i/>
        </w:rPr>
        <w:t>(g)</w:t>
      </w:r>
      <w:r w:rsidRPr="00824B04">
        <w:rPr>
          <w:i/>
        </w:rPr>
        <w:tab/>
        <w:t>Articles that are included in compatibility group K must not be transported in or on the same vehicle as explosives that are included in any other compatibility group.</w:t>
      </w:r>
    </w:p>
    <w:p w14:paraId="1AA81850" w14:textId="77777777" w:rsidR="002E483F" w:rsidRPr="00824B04" w:rsidRDefault="002E483F" w:rsidP="00356BAA">
      <w:pPr>
        <w:pStyle w:val="notemargin"/>
        <w:rPr>
          <w:i/>
        </w:rPr>
      </w:pPr>
      <w:r w:rsidRPr="00824B04">
        <w:rPr>
          <w:i/>
        </w:rPr>
        <w:t>(h)</w:t>
      </w:r>
      <w:r w:rsidRPr="00824B04">
        <w:rPr>
          <w:i/>
        </w:rPr>
        <w:tab/>
        <w:t>Substances and articles that are included in compatibility group L may only be transported in or on the same vehicle as other articles and substances of the same kind and must not be mixed with other substances or articles.</w:t>
      </w:r>
    </w:p>
    <w:p w14:paraId="3DB9884F" w14:textId="77777777" w:rsidR="002E483F" w:rsidRPr="00824B04" w:rsidRDefault="002E483F" w:rsidP="00356BAA">
      <w:pPr>
        <w:pStyle w:val="notemargin"/>
        <w:rPr>
          <w:i/>
        </w:rPr>
      </w:pPr>
      <w:r w:rsidRPr="00824B04">
        <w:rPr>
          <w:i/>
        </w:rPr>
        <w:t>(</w:t>
      </w:r>
      <w:proofErr w:type="spellStart"/>
      <w:r w:rsidRPr="00824B04">
        <w:rPr>
          <w:i/>
        </w:rPr>
        <w:t>i</w:t>
      </w:r>
      <w:proofErr w:type="spellEnd"/>
      <w:r w:rsidRPr="00824B04">
        <w:rPr>
          <w:i/>
        </w:rPr>
        <w:t>)</w:t>
      </w:r>
      <w:r w:rsidRPr="00824B04">
        <w:rPr>
          <w:i/>
        </w:rPr>
        <w:tab/>
        <w:t>Inert items, and substances and articles that are included in compatibility group S, may be transported on the same vehicle as substances and articles that are included in another compatibility group, except compatibility group A, K or L.</w:t>
      </w:r>
    </w:p>
    <w:p w14:paraId="11AF10F9" w14:textId="77777777" w:rsidR="002E483F" w:rsidRPr="00824B04" w:rsidRDefault="002E483F" w:rsidP="00356BAA">
      <w:pPr>
        <w:pStyle w:val="notemargin"/>
        <w:rPr>
          <w:i/>
        </w:rPr>
      </w:pPr>
      <w:r w:rsidRPr="00824B04">
        <w:rPr>
          <w:i/>
        </w:rPr>
        <w:t>(j)</w:t>
      </w:r>
      <w:r w:rsidRPr="00824B04">
        <w:rPr>
          <w:i/>
        </w:rPr>
        <w:tab/>
        <w:t>Articles of HD 1.4 may be mixed in transport with articles of compatibility group B, C, D, E, F, G, N or S.</w:t>
      </w:r>
    </w:p>
    <w:p w14:paraId="042AE4DF" w14:textId="77777777" w:rsidR="00876AFF" w:rsidRPr="00824B04" w:rsidRDefault="00876AFF" w:rsidP="001F741D">
      <w:pPr>
        <w:sectPr w:rsidR="00876AFF" w:rsidRPr="00824B04" w:rsidSect="003B1A5F">
          <w:headerReference w:type="even" r:id="rId30"/>
          <w:headerReference w:type="default" r:id="rId31"/>
          <w:footerReference w:type="even" r:id="rId32"/>
          <w:footerReference w:type="default" r:id="rId33"/>
          <w:headerReference w:type="first" r:id="rId34"/>
          <w:footerReference w:type="first" r:id="rId35"/>
          <w:pgSz w:w="11907" w:h="16839" w:code="9"/>
          <w:pgMar w:top="2233" w:right="1797" w:bottom="1440" w:left="1797" w:header="720" w:footer="708" w:gutter="0"/>
          <w:cols w:space="708"/>
          <w:docGrid w:linePitch="360"/>
        </w:sectPr>
      </w:pPr>
    </w:p>
    <w:p w14:paraId="7C9AEC44" w14:textId="77777777" w:rsidR="002E483F" w:rsidRPr="00824B04" w:rsidRDefault="002E483F" w:rsidP="00E17022">
      <w:pPr>
        <w:pStyle w:val="ActHead1"/>
        <w:pageBreakBefore/>
      </w:pPr>
      <w:bookmarkStart w:id="75" w:name="_Toc170463383"/>
      <w:r w:rsidRPr="00824B04">
        <w:rPr>
          <w:rStyle w:val="CharChapNo"/>
          <w:rFonts w:eastAsiaTheme="majorEastAsia"/>
        </w:rPr>
        <w:lastRenderedPageBreak/>
        <w:t>Schedule 2</w:t>
      </w:r>
      <w:r w:rsidRPr="00824B04">
        <w:t>—</w:t>
      </w:r>
      <w:r w:rsidRPr="00824B04">
        <w:rPr>
          <w:rStyle w:val="CharChapText"/>
          <w:rFonts w:eastAsiaTheme="majorEastAsia"/>
        </w:rPr>
        <w:t>Commonwealth explosives areas</w:t>
      </w:r>
      <w:bookmarkEnd w:id="75"/>
    </w:p>
    <w:p w14:paraId="5E66E1D1" w14:textId="77777777" w:rsidR="002E483F" w:rsidRPr="00824B04" w:rsidRDefault="00170776" w:rsidP="002E483F">
      <w:pPr>
        <w:pStyle w:val="notemargin"/>
      </w:pPr>
      <w:r w:rsidRPr="00824B04">
        <w:t>Note:</w:t>
      </w:r>
      <w:r w:rsidRPr="00824B04">
        <w:tab/>
        <w:t xml:space="preserve">See </w:t>
      </w:r>
      <w:r w:rsidR="00C5351E" w:rsidRPr="00824B04">
        <w:t>section 7</w:t>
      </w:r>
      <w:r w:rsidRPr="00824B04">
        <w:t>.</w:t>
      </w:r>
    </w:p>
    <w:p w14:paraId="2BF1E52B" w14:textId="77777777" w:rsidR="002E483F" w:rsidRPr="00824B04" w:rsidRDefault="002E483F" w:rsidP="005E1C76">
      <w:pPr>
        <w:pStyle w:val="ActHead2"/>
        <w:rPr>
          <w:rFonts w:eastAsiaTheme="majorEastAsia"/>
        </w:rPr>
      </w:pPr>
      <w:bookmarkStart w:id="76" w:name="_Toc170463384"/>
      <w:r w:rsidRPr="00824B04">
        <w:rPr>
          <w:rStyle w:val="CharPartNo"/>
          <w:rFonts w:eastAsiaTheme="majorEastAsia"/>
        </w:rPr>
        <w:t>Part 1</w:t>
      </w:r>
      <w:r w:rsidRPr="00824B04">
        <w:t>—</w:t>
      </w:r>
      <w:r w:rsidRPr="00824B04">
        <w:rPr>
          <w:rStyle w:val="CharPartText"/>
          <w:rFonts w:eastAsiaTheme="majorEastAsia"/>
        </w:rPr>
        <w:t>Hut Forest Road, South Kiah</w:t>
      </w:r>
      <w:bookmarkEnd w:id="76"/>
    </w:p>
    <w:p w14:paraId="79F17F14" w14:textId="77777777" w:rsidR="00FD0489" w:rsidRPr="00824B04" w:rsidRDefault="00FD0489" w:rsidP="00FD0489">
      <w:pPr>
        <w:pStyle w:val="Header"/>
        <w:rPr>
          <w:rFonts w:eastAsiaTheme="majorEastAsia"/>
        </w:rPr>
      </w:pPr>
      <w:r w:rsidRPr="00824B04">
        <w:rPr>
          <w:rStyle w:val="CharDivNo"/>
          <w:rFonts w:eastAsiaTheme="majorEastAsia"/>
        </w:rPr>
        <w:t xml:space="preserve"> </w:t>
      </w:r>
      <w:r w:rsidRPr="00824B04">
        <w:rPr>
          <w:rStyle w:val="CharDivText"/>
          <w:rFonts w:eastAsiaTheme="majorEastAsia"/>
        </w:rPr>
        <w:t xml:space="preserve"> </w:t>
      </w:r>
    </w:p>
    <w:p w14:paraId="40A52803" w14:textId="77777777" w:rsidR="002E483F" w:rsidRPr="00824B04" w:rsidRDefault="002E483F" w:rsidP="009A406B">
      <w:pPr>
        <w:pStyle w:val="ActHead5"/>
      </w:pPr>
      <w:bookmarkStart w:id="77" w:name="_Toc170463385"/>
      <w:r w:rsidRPr="00824B04">
        <w:rPr>
          <w:rStyle w:val="CharSectno"/>
        </w:rPr>
        <w:t>1.1</w:t>
      </w:r>
      <w:r w:rsidRPr="00824B04">
        <w:t xml:space="preserve">  Land acquired by the Commonwealth</w:t>
      </w:r>
      <w:bookmarkEnd w:id="77"/>
    </w:p>
    <w:p w14:paraId="1AFCDDC6" w14:textId="77777777" w:rsidR="008F22CD" w:rsidRPr="00824B04" w:rsidRDefault="008F22CD" w:rsidP="008F22CD">
      <w:pPr>
        <w:pStyle w:val="TableHeading"/>
      </w:pPr>
    </w:p>
    <w:tbl>
      <w:tblPr>
        <w:tblW w:w="5000" w:type="pct"/>
        <w:tblLook w:val="0000" w:firstRow="0" w:lastRow="0" w:firstColumn="0" w:lastColumn="0" w:noHBand="0" w:noVBand="0"/>
      </w:tblPr>
      <w:tblGrid>
        <w:gridCol w:w="872"/>
        <w:gridCol w:w="1481"/>
        <w:gridCol w:w="5960"/>
      </w:tblGrid>
      <w:tr w:rsidR="002E483F" w:rsidRPr="00824B04" w14:paraId="55500C6A" w14:textId="77777777" w:rsidTr="00876AFF">
        <w:trPr>
          <w:tblHeader/>
        </w:trPr>
        <w:tc>
          <w:tcPr>
            <w:tcW w:w="524" w:type="pct"/>
            <w:tcBorders>
              <w:top w:val="nil"/>
              <w:left w:val="nil"/>
              <w:bottom w:val="single" w:sz="4" w:space="0" w:color="auto"/>
              <w:right w:val="nil"/>
            </w:tcBorders>
          </w:tcPr>
          <w:p w14:paraId="71D4B0DF" w14:textId="77777777" w:rsidR="002E483F" w:rsidRPr="00824B04" w:rsidRDefault="002E483F" w:rsidP="009A406B">
            <w:pPr>
              <w:pStyle w:val="TableHeading"/>
            </w:pPr>
            <w:r w:rsidRPr="00824B04">
              <w:t>Item</w:t>
            </w:r>
          </w:p>
        </w:tc>
        <w:tc>
          <w:tcPr>
            <w:tcW w:w="891" w:type="pct"/>
            <w:tcBorders>
              <w:top w:val="nil"/>
              <w:left w:val="nil"/>
              <w:bottom w:val="single" w:sz="4" w:space="0" w:color="auto"/>
              <w:right w:val="nil"/>
            </w:tcBorders>
          </w:tcPr>
          <w:p w14:paraId="079240D8" w14:textId="77777777" w:rsidR="002E483F" w:rsidRPr="00824B04" w:rsidRDefault="002E483F" w:rsidP="00BD1855">
            <w:pPr>
              <w:pStyle w:val="TableHeading"/>
            </w:pPr>
            <w:r w:rsidRPr="00824B04">
              <w:t>Descriptor</w:t>
            </w:r>
          </w:p>
        </w:tc>
        <w:tc>
          <w:tcPr>
            <w:tcW w:w="3585" w:type="pct"/>
            <w:tcBorders>
              <w:top w:val="nil"/>
              <w:left w:val="nil"/>
              <w:bottom w:val="single" w:sz="4" w:space="0" w:color="auto"/>
              <w:right w:val="nil"/>
            </w:tcBorders>
          </w:tcPr>
          <w:p w14:paraId="10CE4C41" w14:textId="77777777" w:rsidR="002E483F" w:rsidRPr="00824B04" w:rsidRDefault="002E483F" w:rsidP="00BD1855">
            <w:pPr>
              <w:pStyle w:val="TableHeading"/>
            </w:pPr>
            <w:r w:rsidRPr="00824B04">
              <w:t>Description</w:t>
            </w:r>
          </w:p>
        </w:tc>
      </w:tr>
      <w:tr w:rsidR="002E483F" w:rsidRPr="00824B04" w14:paraId="16ABAD28" w14:textId="77777777" w:rsidTr="00876AFF">
        <w:tc>
          <w:tcPr>
            <w:tcW w:w="524" w:type="pct"/>
            <w:tcBorders>
              <w:top w:val="single" w:sz="4" w:space="0" w:color="auto"/>
              <w:left w:val="nil"/>
              <w:bottom w:val="nil"/>
              <w:right w:val="nil"/>
            </w:tcBorders>
          </w:tcPr>
          <w:p w14:paraId="7AF91E30" w14:textId="77777777" w:rsidR="002E483F" w:rsidRPr="00824B04" w:rsidRDefault="002E483F" w:rsidP="0047356C">
            <w:pPr>
              <w:pStyle w:val="Tabletext"/>
            </w:pPr>
            <w:r w:rsidRPr="00824B04">
              <w:t>1</w:t>
            </w:r>
          </w:p>
        </w:tc>
        <w:tc>
          <w:tcPr>
            <w:tcW w:w="891" w:type="pct"/>
            <w:tcBorders>
              <w:top w:val="single" w:sz="4" w:space="0" w:color="auto"/>
              <w:left w:val="nil"/>
              <w:bottom w:val="nil"/>
              <w:right w:val="nil"/>
            </w:tcBorders>
          </w:tcPr>
          <w:p w14:paraId="420815EB" w14:textId="77777777" w:rsidR="002E483F" w:rsidRPr="00824B04" w:rsidRDefault="002E483F" w:rsidP="0047356C">
            <w:pPr>
              <w:pStyle w:val="Tabletext"/>
            </w:pPr>
            <w:r w:rsidRPr="00824B04">
              <w:t>Area</w:t>
            </w:r>
          </w:p>
        </w:tc>
        <w:tc>
          <w:tcPr>
            <w:tcW w:w="3585" w:type="pct"/>
            <w:tcBorders>
              <w:top w:val="single" w:sz="4" w:space="0" w:color="auto"/>
              <w:left w:val="nil"/>
              <w:bottom w:val="nil"/>
              <w:right w:val="nil"/>
            </w:tcBorders>
          </w:tcPr>
          <w:p w14:paraId="4B3DA339" w14:textId="77777777" w:rsidR="002E483F" w:rsidRPr="00824B04" w:rsidRDefault="002E483F" w:rsidP="0047356C">
            <w:pPr>
              <w:pStyle w:val="Tabletext"/>
            </w:pPr>
            <w:r w:rsidRPr="00824B04">
              <w:t>151.8 ha</w:t>
            </w:r>
          </w:p>
        </w:tc>
      </w:tr>
      <w:tr w:rsidR="002E483F" w:rsidRPr="00824B04" w14:paraId="1B2953B6" w14:textId="77777777" w:rsidTr="00876AFF">
        <w:tc>
          <w:tcPr>
            <w:tcW w:w="524" w:type="pct"/>
            <w:tcBorders>
              <w:top w:val="nil"/>
              <w:left w:val="nil"/>
              <w:bottom w:val="nil"/>
              <w:right w:val="nil"/>
            </w:tcBorders>
          </w:tcPr>
          <w:p w14:paraId="531E9D24" w14:textId="77777777" w:rsidR="002E483F" w:rsidRPr="00824B04" w:rsidRDefault="002E483F" w:rsidP="0047356C">
            <w:pPr>
              <w:pStyle w:val="Tabletext"/>
            </w:pPr>
            <w:r w:rsidRPr="00824B04">
              <w:t>2</w:t>
            </w:r>
          </w:p>
        </w:tc>
        <w:tc>
          <w:tcPr>
            <w:tcW w:w="891" w:type="pct"/>
            <w:tcBorders>
              <w:top w:val="nil"/>
              <w:left w:val="nil"/>
              <w:bottom w:val="nil"/>
              <w:right w:val="nil"/>
            </w:tcBorders>
          </w:tcPr>
          <w:p w14:paraId="587F3E1A" w14:textId="77777777" w:rsidR="002E483F" w:rsidRPr="00824B04" w:rsidRDefault="002E483F" w:rsidP="0047356C">
            <w:pPr>
              <w:pStyle w:val="Tabletext"/>
            </w:pPr>
            <w:r w:rsidRPr="00824B04">
              <w:t>Parish</w:t>
            </w:r>
          </w:p>
        </w:tc>
        <w:tc>
          <w:tcPr>
            <w:tcW w:w="3585" w:type="pct"/>
            <w:tcBorders>
              <w:top w:val="nil"/>
              <w:left w:val="nil"/>
              <w:bottom w:val="nil"/>
              <w:right w:val="nil"/>
            </w:tcBorders>
          </w:tcPr>
          <w:p w14:paraId="247E44FD" w14:textId="77777777" w:rsidR="002E483F" w:rsidRPr="00824B04" w:rsidRDefault="002E483F" w:rsidP="0047356C">
            <w:pPr>
              <w:pStyle w:val="Tabletext"/>
            </w:pPr>
            <w:proofErr w:type="spellStart"/>
            <w:r w:rsidRPr="00824B04">
              <w:t>Wonboyn</w:t>
            </w:r>
            <w:proofErr w:type="spellEnd"/>
          </w:p>
        </w:tc>
      </w:tr>
      <w:tr w:rsidR="002E483F" w:rsidRPr="00824B04" w14:paraId="6028A9F6" w14:textId="77777777" w:rsidTr="00876AFF">
        <w:tc>
          <w:tcPr>
            <w:tcW w:w="524" w:type="pct"/>
            <w:tcBorders>
              <w:top w:val="nil"/>
              <w:left w:val="nil"/>
              <w:bottom w:val="nil"/>
              <w:right w:val="nil"/>
            </w:tcBorders>
          </w:tcPr>
          <w:p w14:paraId="1B7D30A1" w14:textId="77777777" w:rsidR="002E483F" w:rsidRPr="00824B04" w:rsidRDefault="002E483F" w:rsidP="0047356C">
            <w:pPr>
              <w:pStyle w:val="Tabletext"/>
            </w:pPr>
            <w:r w:rsidRPr="00824B04">
              <w:t>3</w:t>
            </w:r>
          </w:p>
        </w:tc>
        <w:tc>
          <w:tcPr>
            <w:tcW w:w="891" w:type="pct"/>
            <w:tcBorders>
              <w:top w:val="nil"/>
              <w:left w:val="nil"/>
              <w:bottom w:val="nil"/>
              <w:right w:val="nil"/>
            </w:tcBorders>
          </w:tcPr>
          <w:p w14:paraId="2CBF5D37" w14:textId="77777777" w:rsidR="002E483F" w:rsidRPr="00824B04" w:rsidRDefault="002E483F" w:rsidP="0047356C">
            <w:pPr>
              <w:pStyle w:val="Tabletext"/>
            </w:pPr>
            <w:r w:rsidRPr="00824B04">
              <w:t>County</w:t>
            </w:r>
          </w:p>
        </w:tc>
        <w:tc>
          <w:tcPr>
            <w:tcW w:w="3585" w:type="pct"/>
            <w:tcBorders>
              <w:top w:val="nil"/>
              <w:left w:val="nil"/>
              <w:bottom w:val="nil"/>
              <w:right w:val="nil"/>
            </w:tcBorders>
          </w:tcPr>
          <w:p w14:paraId="4467E0D2" w14:textId="77777777" w:rsidR="002E483F" w:rsidRPr="00824B04" w:rsidRDefault="002E483F" w:rsidP="0047356C">
            <w:pPr>
              <w:pStyle w:val="Tabletext"/>
            </w:pPr>
            <w:r w:rsidRPr="00824B04">
              <w:t>Auckland</w:t>
            </w:r>
          </w:p>
        </w:tc>
      </w:tr>
      <w:tr w:rsidR="002E483F" w:rsidRPr="00824B04" w14:paraId="1B5D4F7F" w14:textId="77777777" w:rsidTr="00876AFF">
        <w:tc>
          <w:tcPr>
            <w:tcW w:w="524" w:type="pct"/>
            <w:tcBorders>
              <w:top w:val="nil"/>
              <w:left w:val="nil"/>
              <w:bottom w:val="nil"/>
              <w:right w:val="nil"/>
            </w:tcBorders>
          </w:tcPr>
          <w:p w14:paraId="130D1BC2" w14:textId="77777777" w:rsidR="002E483F" w:rsidRPr="00824B04" w:rsidRDefault="002E483F" w:rsidP="0047356C">
            <w:pPr>
              <w:pStyle w:val="Tabletext"/>
            </w:pPr>
            <w:r w:rsidRPr="00824B04">
              <w:t>4</w:t>
            </w:r>
          </w:p>
        </w:tc>
        <w:tc>
          <w:tcPr>
            <w:tcW w:w="891" w:type="pct"/>
            <w:tcBorders>
              <w:top w:val="nil"/>
              <w:left w:val="nil"/>
              <w:bottom w:val="nil"/>
              <w:right w:val="nil"/>
            </w:tcBorders>
          </w:tcPr>
          <w:p w14:paraId="78EEAFB3" w14:textId="77777777" w:rsidR="002E483F" w:rsidRPr="00824B04" w:rsidRDefault="002E483F" w:rsidP="0047356C">
            <w:pPr>
              <w:pStyle w:val="Tabletext"/>
            </w:pPr>
            <w:r w:rsidRPr="00824B04">
              <w:t>State</w:t>
            </w:r>
          </w:p>
        </w:tc>
        <w:tc>
          <w:tcPr>
            <w:tcW w:w="3585" w:type="pct"/>
            <w:tcBorders>
              <w:top w:val="nil"/>
              <w:left w:val="nil"/>
              <w:bottom w:val="nil"/>
              <w:right w:val="nil"/>
            </w:tcBorders>
          </w:tcPr>
          <w:p w14:paraId="77D75824" w14:textId="77777777" w:rsidR="002E483F" w:rsidRPr="00824B04" w:rsidRDefault="002E483F" w:rsidP="0047356C">
            <w:pPr>
              <w:pStyle w:val="Tabletext"/>
            </w:pPr>
            <w:r w:rsidRPr="00824B04">
              <w:t>New South Wales</w:t>
            </w:r>
          </w:p>
        </w:tc>
      </w:tr>
      <w:tr w:rsidR="002E483F" w:rsidRPr="00824B04" w14:paraId="54C6F2DC" w14:textId="77777777" w:rsidTr="00876AFF">
        <w:tc>
          <w:tcPr>
            <w:tcW w:w="524" w:type="pct"/>
            <w:tcBorders>
              <w:top w:val="nil"/>
              <w:left w:val="nil"/>
              <w:bottom w:val="nil"/>
              <w:right w:val="nil"/>
            </w:tcBorders>
          </w:tcPr>
          <w:p w14:paraId="65BF7CB2" w14:textId="77777777" w:rsidR="002E483F" w:rsidRPr="00824B04" w:rsidRDefault="002E483F" w:rsidP="0047356C">
            <w:pPr>
              <w:pStyle w:val="Tabletext"/>
            </w:pPr>
            <w:r w:rsidRPr="00824B04">
              <w:t>5</w:t>
            </w:r>
          </w:p>
        </w:tc>
        <w:tc>
          <w:tcPr>
            <w:tcW w:w="891" w:type="pct"/>
            <w:tcBorders>
              <w:top w:val="nil"/>
              <w:left w:val="nil"/>
              <w:bottom w:val="nil"/>
              <w:right w:val="nil"/>
            </w:tcBorders>
          </w:tcPr>
          <w:p w14:paraId="7E1FB664" w14:textId="77777777" w:rsidR="002E483F" w:rsidRPr="00824B04" w:rsidRDefault="002E483F" w:rsidP="0047356C">
            <w:pPr>
              <w:pStyle w:val="Tabletext"/>
            </w:pPr>
            <w:r w:rsidRPr="00824B04">
              <w:t>Location</w:t>
            </w:r>
          </w:p>
        </w:tc>
        <w:tc>
          <w:tcPr>
            <w:tcW w:w="3585" w:type="pct"/>
            <w:tcBorders>
              <w:top w:val="nil"/>
              <w:left w:val="nil"/>
              <w:bottom w:val="nil"/>
              <w:right w:val="nil"/>
            </w:tcBorders>
          </w:tcPr>
          <w:p w14:paraId="21A51297" w14:textId="77777777" w:rsidR="002E483F" w:rsidRPr="00824B04" w:rsidRDefault="002E483F" w:rsidP="006B02B0">
            <w:pPr>
              <w:pStyle w:val="Tabletext"/>
            </w:pPr>
            <w:r w:rsidRPr="00824B04">
              <w:t xml:space="preserve">About 15 km south of Eden, about 1.9 km east of the junction of the Princes Highway and </w:t>
            </w:r>
            <w:proofErr w:type="spellStart"/>
            <w:r w:rsidRPr="00824B04">
              <w:t>Edrom</w:t>
            </w:r>
            <w:proofErr w:type="spellEnd"/>
            <w:r w:rsidRPr="00824B04">
              <w:t xml:space="preserve"> Road</w:t>
            </w:r>
          </w:p>
        </w:tc>
      </w:tr>
      <w:tr w:rsidR="002E483F" w:rsidRPr="00824B04" w14:paraId="5F6D6811" w14:textId="77777777" w:rsidTr="00876AFF">
        <w:tc>
          <w:tcPr>
            <w:tcW w:w="524" w:type="pct"/>
            <w:tcBorders>
              <w:top w:val="nil"/>
              <w:left w:val="nil"/>
              <w:bottom w:val="single" w:sz="4" w:space="0" w:color="auto"/>
              <w:right w:val="nil"/>
            </w:tcBorders>
          </w:tcPr>
          <w:p w14:paraId="6F5FD11D" w14:textId="77777777" w:rsidR="002E483F" w:rsidRPr="00824B04" w:rsidRDefault="002E483F" w:rsidP="0047356C">
            <w:pPr>
              <w:pStyle w:val="Tabletext"/>
            </w:pPr>
            <w:r w:rsidRPr="00824B04">
              <w:t>6</w:t>
            </w:r>
          </w:p>
        </w:tc>
        <w:tc>
          <w:tcPr>
            <w:tcW w:w="891" w:type="pct"/>
            <w:tcBorders>
              <w:top w:val="nil"/>
              <w:left w:val="nil"/>
              <w:bottom w:val="single" w:sz="4" w:space="0" w:color="auto"/>
              <w:right w:val="nil"/>
            </w:tcBorders>
          </w:tcPr>
          <w:p w14:paraId="49E634A7" w14:textId="77777777" w:rsidR="002E483F" w:rsidRPr="00824B04" w:rsidRDefault="002E483F" w:rsidP="0047356C">
            <w:pPr>
              <w:pStyle w:val="Tabletext"/>
            </w:pPr>
            <w:r w:rsidRPr="00824B04">
              <w:t>Boundaries</w:t>
            </w:r>
          </w:p>
        </w:tc>
        <w:tc>
          <w:tcPr>
            <w:tcW w:w="3585" w:type="pct"/>
            <w:tcBorders>
              <w:top w:val="nil"/>
              <w:left w:val="nil"/>
              <w:bottom w:val="single" w:sz="4" w:space="0" w:color="auto"/>
              <w:right w:val="nil"/>
            </w:tcBorders>
          </w:tcPr>
          <w:p w14:paraId="1F7ED2E5" w14:textId="77777777" w:rsidR="002E483F" w:rsidRPr="00824B04" w:rsidRDefault="002E483F" w:rsidP="0047356C">
            <w:pPr>
              <w:pStyle w:val="Tabletext"/>
            </w:pPr>
            <w:r w:rsidRPr="00824B04">
              <w:t xml:space="preserve">As shown on the plan in </w:t>
            </w:r>
            <w:r w:rsidR="00C5351E" w:rsidRPr="00824B04">
              <w:t>section 1</w:t>
            </w:r>
            <w:r w:rsidRPr="00824B04">
              <w:t>.2</w:t>
            </w:r>
            <w:r w:rsidR="00267F72" w:rsidRPr="00824B04">
              <w:t xml:space="preserve"> of this Schedule</w:t>
            </w:r>
            <w:r w:rsidRPr="00824B04">
              <w:t>, between Permanent Survey Marks 124670 and 124671</w:t>
            </w:r>
          </w:p>
        </w:tc>
      </w:tr>
    </w:tbl>
    <w:p w14:paraId="033E3BF5" w14:textId="77777777" w:rsidR="002E483F" w:rsidRPr="00824B04" w:rsidRDefault="002E483F" w:rsidP="002E483F">
      <w:pPr>
        <w:pStyle w:val="ActHead5"/>
      </w:pPr>
      <w:bookmarkStart w:id="78" w:name="_Toc170463386"/>
      <w:r w:rsidRPr="00824B04">
        <w:rPr>
          <w:rStyle w:val="CharSectno"/>
        </w:rPr>
        <w:lastRenderedPageBreak/>
        <w:t>1.2</w:t>
      </w:r>
      <w:r w:rsidRPr="00824B04">
        <w:t xml:space="preserve">  Plan</w:t>
      </w:r>
      <w:bookmarkEnd w:id="78"/>
    </w:p>
    <w:p w14:paraId="058EC913" w14:textId="77777777" w:rsidR="00273C5F" w:rsidRPr="00824B04" w:rsidRDefault="00273C5F" w:rsidP="00273C5F">
      <w:pPr>
        <w:pStyle w:val="subsection"/>
      </w:pPr>
      <w:r w:rsidRPr="00824B04">
        <w:rPr>
          <w:noProof/>
        </w:rPr>
        <w:drawing>
          <wp:inline distT="0" distB="0" distL="0" distR="0" wp14:anchorId="46C11A65" wp14:editId="791E7E30">
            <wp:extent cx="5436000" cy="7462800"/>
            <wp:effectExtent l="0" t="0" r="0" b="5080"/>
            <wp:docPr id="3" name="Picture 3" descr="Plan showing dimensions of area for acquisition for armaments storage facility at Hut Forest Road, South Kiah - About 15 km south of Eden, about 1.9 km east of the junction of the Princes Highway and Edrom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urvey%20Maps_0003"/>
                    <pic:cNvPicPr>
                      <a:picLocks noChangeAspect="1" noChangeArrowheads="1"/>
                    </pic:cNvPicPr>
                  </pic:nvPicPr>
                  <pic:blipFill>
                    <a:blip r:embed="rId36" cstate="print">
                      <a:extLst>
                        <a:ext uri="{28A0092B-C50C-407E-A947-70E740481C1C}">
                          <a14:useLocalDpi xmlns:a14="http://schemas.microsoft.com/office/drawing/2010/main" val="0"/>
                        </a:ext>
                      </a:extLst>
                    </a:blip>
                    <a:srcRect l="1427" t="1680" r="3323" b="5719"/>
                    <a:stretch>
                      <a:fillRect/>
                    </a:stretch>
                  </pic:blipFill>
                  <pic:spPr bwMode="auto">
                    <a:xfrm>
                      <a:off x="0" y="0"/>
                      <a:ext cx="5436000" cy="7462800"/>
                    </a:xfrm>
                    <a:prstGeom prst="rect">
                      <a:avLst/>
                    </a:prstGeom>
                    <a:noFill/>
                    <a:ln>
                      <a:noFill/>
                    </a:ln>
                  </pic:spPr>
                </pic:pic>
              </a:graphicData>
            </a:graphic>
          </wp:inline>
        </w:drawing>
      </w:r>
    </w:p>
    <w:p w14:paraId="51C491AE" w14:textId="77777777" w:rsidR="002E483F" w:rsidRPr="00824B04" w:rsidRDefault="002E483F" w:rsidP="008F22CD">
      <w:pPr>
        <w:pStyle w:val="ActHead5"/>
      </w:pPr>
      <w:bookmarkStart w:id="79" w:name="_Toc170463387"/>
      <w:r w:rsidRPr="00824B04">
        <w:rPr>
          <w:rStyle w:val="CharSectno"/>
        </w:rPr>
        <w:lastRenderedPageBreak/>
        <w:t>1.3</w:t>
      </w:r>
      <w:r w:rsidRPr="00824B04">
        <w:t xml:space="preserve">  Land over which Commonwealth has rights</w:t>
      </w:r>
      <w:bookmarkEnd w:id="79"/>
    </w:p>
    <w:p w14:paraId="7D159E62" w14:textId="77777777" w:rsidR="008F22CD" w:rsidRPr="00824B04" w:rsidRDefault="008F22CD" w:rsidP="008F22CD">
      <w:pPr>
        <w:pStyle w:val="TableHeading"/>
      </w:pPr>
    </w:p>
    <w:tbl>
      <w:tblPr>
        <w:tblW w:w="5000" w:type="pct"/>
        <w:tblLook w:val="0000" w:firstRow="0" w:lastRow="0" w:firstColumn="0" w:lastColumn="0" w:noHBand="0" w:noVBand="0"/>
      </w:tblPr>
      <w:tblGrid>
        <w:gridCol w:w="872"/>
        <w:gridCol w:w="1481"/>
        <w:gridCol w:w="5960"/>
      </w:tblGrid>
      <w:tr w:rsidR="002E483F" w:rsidRPr="00824B04" w14:paraId="1E7260B8" w14:textId="77777777" w:rsidTr="00876AFF">
        <w:trPr>
          <w:tblHeader/>
        </w:trPr>
        <w:tc>
          <w:tcPr>
            <w:tcW w:w="524" w:type="pct"/>
            <w:tcBorders>
              <w:top w:val="nil"/>
              <w:left w:val="nil"/>
              <w:bottom w:val="single" w:sz="4" w:space="0" w:color="auto"/>
              <w:right w:val="nil"/>
            </w:tcBorders>
          </w:tcPr>
          <w:p w14:paraId="416A12E2" w14:textId="77777777" w:rsidR="002E483F" w:rsidRPr="00824B04" w:rsidRDefault="002E483F" w:rsidP="00BD1855">
            <w:pPr>
              <w:pStyle w:val="TableHeading"/>
            </w:pPr>
            <w:r w:rsidRPr="00824B04">
              <w:t>Item</w:t>
            </w:r>
          </w:p>
        </w:tc>
        <w:tc>
          <w:tcPr>
            <w:tcW w:w="891" w:type="pct"/>
            <w:tcBorders>
              <w:top w:val="nil"/>
              <w:left w:val="nil"/>
              <w:bottom w:val="single" w:sz="4" w:space="0" w:color="auto"/>
              <w:right w:val="nil"/>
            </w:tcBorders>
          </w:tcPr>
          <w:p w14:paraId="1D63368E" w14:textId="77777777" w:rsidR="002E483F" w:rsidRPr="00824B04" w:rsidRDefault="002E483F" w:rsidP="00BD1855">
            <w:pPr>
              <w:pStyle w:val="TableHeading"/>
            </w:pPr>
            <w:r w:rsidRPr="00824B04">
              <w:t>Descriptor</w:t>
            </w:r>
          </w:p>
        </w:tc>
        <w:tc>
          <w:tcPr>
            <w:tcW w:w="3585" w:type="pct"/>
            <w:tcBorders>
              <w:top w:val="nil"/>
              <w:left w:val="nil"/>
              <w:bottom w:val="single" w:sz="4" w:space="0" w:color="auto"/>
              <w:right w:val="nil"/>
            </w:tcBorders>
          </w:tcPr>
          <w:p w14:paraId="02309FE2" w14:textId="77777777" w:rsidR="002E483F" w:rsidRPr="00824B04" w:rsidRDefault="002E483F" w:rsidP="00BD1855">
            <w:pPr>
              <w:pStyle w:val="TableHeading"/>
            </w:pPr>
            <w:r w:rsidRPr="00824B04">
              <w:t>Description</w:t>
            </w:r>
          </w:p>
        </w:tc>
      </w:tr>
      <w:tr w:rsidR="002E483F" w:rsidRPr="00824B04" w14:paraId="286C2DD0" w14:textId="77777777" w:rsidTr="00876AFF">
        <w:tc>
          <w:tcPr>
            <w:tcW w:w="524" w:type="pct"/>
            <w:tcBorders>
              <w:top w:val="single" w:sz="4" w:space="0" w:color="auto"/>
              <w:left w:val="nil"/>
              <w:bottom w:val="nil"/>
              <w:right w:val="nil"/>
            </w:tcBorders>
          </w:tcPr>
          <w:p w14:paraId="24F52E7E" w14:textId="77777777" w:rsidR="002E483F" w:rsidRPr="00824B04" w:rsidRDefault="002E483F" w:rsidP="008F22CD">
            <w:pPr>
              <w:pStyle w:val="Tabletext"/>
            </w:pPr>
            <w:r w:rsidRPr="00824B04">
              <w:t>1</w:t>
            </w:r>
          </w:p>
        </w:tc>
        <w:tc>
          <w:tcPr>
            <w:tcW w:w="891" w:type="pct"/>
            <w:tcBorders>
              <w:top w:val="single" w:sz="4" w:space="0" w:color="auto"/>
              <w:left w:val="nil"/>
              <w:bottom w:val="nil"/>
              <w:right w:val="nil"/>
            </w:tcBorders>
          </w:tcPr>
          <w:p w14:paraId="6D05525D" w14:textId="77777777" w:rsidR="002E483F" w:rsidRPr="00824B04" w:rsidRDefault="002E483F" w:rsidP="00BD1855">
            <w:pPr>
              <w:pStyle w:val="Tabletext"/>
            </w:pPr>
            <w:r w:rsidRPr="00824B04">
              <w:t>Area</w:t>
            </w:r>
          </w:p>
        </w:tc>
        <w:tc>
          <w:tcPr>
            <w:tcW w:w="3585" w:type="pct"/>
            <w:tcBorders>
              <w:top w:val="single" w:sz="4" w:space="0" w:color="auto"/>
              <w:left w:val="nil"/>
              <w:bottom w:val="nil"/>
              <w:right w:val="nil"/>
            </w:tcBorders>
          </w:tcPr>
          <w:p w14:paraId="0035BBA4" w14:textId="77777777" w:rsidR="002E483F" w:rsidRPr="00824B04" w:rsidRDefault="002E483F" w:rsidP="00BD1855">
            <w:pPr>
              <w:pStyle w:val="Tabletext"/>
            </w:pPr>
            <w:r w:rsidRPr="00824B04">
              <w:t>555.84 ha</w:t>
            </w:r>
          </w:p>
        </w:tc>
      </w:tr>
      <w:tr w:rsidR="002E483F" w:rsidRPr="00824B04" w14:paraId="1EDEF28C" w14:textId="77777777" w:rsidTr="00876AFF">
        <w:tc>
          <w:tcPr>
            <w:tcW w:w="524" w:type="pct"/>
            <w:tcBorders>
              <w:top w:val="nil"/>
              <w:left w:val="nil"/>
              <w:bottom w:val="nil"/>
              <w:right w:val="nil"/>
            </w:tcBorders>
          </w:tcPr>
          <w:p w14:paraId="592656FC" w14:textId="77777777" w:rsidR="002E483F" w:rsidRPr="00824B04" w:rsidRDefault="002E483F" w:rsidP="00BD1855">
            <w:pPr>
              <w:pStyle w:val="Tabletext"/>
            </w:pPr>
            <w:r w:rsidRPr="00824B04">
              <w:t>2</w:t>
            </w:r>
          </w:p>
        </w:tc>
        <w:tc>
          <w:tcPr>
            <w:tcW w:w="891" w:type="pct"/>
            <w:tcBorders>
              <w:top w:val="nil"/>
              <w:left w:val="nil"/>
              <w:bottom w:val="nil"/>
              <w:right w:val="nil"/>
            </w:tcBorders>
          </w:tcPr>
          <w:p w14:paraId="2EE3E248" w14:textId="77777777" w:rsidR="002E483F" w:rsidRPr="00824B04" w:rsidRDefault="002E483F" w:rsidP="00BD1855">
            <w:pPr>
              <w:pStyle w:val="Tabletext"/>
            </w:pPr>
            <w:r w:rsidRPr="00824B04">
              <w:t>Parish</w:t>
            </w:r>
          </w:p>
        </w:tc>
        <w:tc>
          <w:tcPr>
            <w:tcW w:w="3585" w:type="pct"/>
            <w:tcBorders>
              <w:top w:val="nil"/>
              <w:left w:val="nil"/>
              <w:bottom w:val="nil"/>
              <w:right w:val="nil"/>
            </w:tcBorders>
          </w:tcPr>
          <w:p w14:paraId="776CAABC" w14:textId="77777777" w:rsidR="002E483F" w:rsidRPr="00824B04" w:rsidRDefault="002E483F" w:rsidP="00BD1855">
            <w:pPr>
              <w:pStyle w:val="Tabletext"/>
            </w:pPr>
            <w:proofErr w:type="spellStart"/>
            <w:r w:rsidRPr="00824B04">
              <w:t>Wonboyn</w:t>
            </w:r>
            <w:proofErr w:type="spellEnd"/>
          </w:p>
        </w:tc>
      </w:tr>
      <w:tr w:rsidR="002E483F" w:rsidRPr="00824B04" w14:paraId="7F844353" w14:textId="77777777" w:rsidTr="00876AFF">
        <w:tc>
          <w:tcPr>
            <w:tcW w:w="524" w:type="pct"/>
            <w:tcBorders>
              <w:top w:val="nil"/>
              <w:left w:val="nil"/>
              <w:bottom w:val="nil"/>
              <w:right w:val="nil"/>
            </w:tcBorders>
          </w:tcPr>
          <w:p w14:paraId="6A0BAF43" w14:textId="77777777" w:rsidR="002E483F" w:rsidRPr="00824B04" w:rsidRDefault="002E483F" w:rsidP="00BD1855">
            <w:pPr>
              <w:pStyle w:val="Tabletext"/>
            </w:pPr>
            <w:r w:rsidRPr="00824B04">
              <w:t>3</w:t>
            </w:r>
          </w:p>
        </w:tc>
        <w:tc>
          <w:tcPr>
            <w:tcW w:w="891" w:type="pct"/>
            <w:tcBorders>
              <w:top w:val="nil"/>
              <w:left w:val="nil"/>
              <w:bottom w:val="nil"/>
              <w:right w:val="nil"/>
            </w:tcBorders>
          </w:tcPr>
          <w:p w14:paraId="5D4F8557" w14:textId="77777777" w:rsidR="002E483F" w:rsidRPr="00824B04" w:rsidRDefault="002E483F" w:rsidP="00BD1855">
            <w:pPr>
              <w:pStyle w:val="Tabletext"/>
            </w:pPr>
            <w:r w:rsidRPr="00824B04">
              <w:t>County</w:t>
            </w:r>
          </w:p>
        </w:tc>
        <w:tc>
          <w:tcPr>
            <w:tcW w:w="3585" w:type="pct"/>
            <w:tcBorders>
              <w:top w:val="nil"/>
              <w:left w:val="nil"/>
              <w:bottom w:val="nil"/>
              <w:right w:val="nil"/>
            </w:tcBorders>
          </w:tcPr>
          <w:p w14:paraId="4EBB38F1" w14:textId="77777777" w:rsidR="002E483F" w:rsidRPr="00824B04" w:rsidRDefault="002E483F" w:rsidP="00BD1855">
            <w:pPr>
              <w:pStyle w:val="Tabletext"/>
            </w:pPr>
            <w:r w:rsidRPr="00824B04">
              <w:t>Auckland</w:t>
            </w:r>
          </w:p>
        </w:tc>
      </w:tr>
      <w:tr w:rsidR="002E483F" w:rsidRPr="00824B04" w14:paraId="38E952D2" w14:textId="77777777" w:rsidTr="00876AFF">
        <w:tc>
          <w:tcPr>
            <w:tcW w:w="524" w:type="pct"/>
            <w:tcBorders>
              <w:top w:val="nil"/>
              <w:left w:val="nil"/>
              <w:bottom w:val="nil"/>
              <w:right w:val="nil"/>
            </w:tcBorders>
          </w:tcPr>
          <w:p w14:paraId="1017B5D3" w14:textId="77777777" w:rsidR="002E483F" w:rsidRPr="00824B04" w:rsidRDefault="002E483F" w:rsidP="00BD1855">
            <w:pPr>
              <w:pStyle w:val="Tabletext"/>
            </w:pPr>
            <w:r w:rsidRPr="00824B04">
              <w:t>4</w:t>
            </w:r>
          </w:p>
        </w:tc>
        <w:tc>
          <w:tcPr>
            <w:tcW w:w="891" w:type="pct"/>
            <w:tcBorders>
              <w:top w:val="nil"/>
              <w:left w:val="nil"/>
              <w:bottom w:val="nil"/>
              <w:right w:val="nil"/>
            </w:tcBorders>
          </w:tcPr>
          <w:p w14:paraId="78A71E11" w14:textId="77777777" w:rsidR="002E483F" w:rsidRPr="00824B04" w:rsidRDefault="002E483F" w:rsidP="00BD1855">
            <w:pPr>
              <w:pStyle w:val="Tabletext"/>
            </w:pPr>
            <w:r w:rsidRPr="00824B04">
              <w:t>State</w:t>
            </w:r>
          </w:p>
        </w:tc>
        <w:tc>
          <w:tcPr>
            <w:tcW w:w="3585" w:type="pct"/>
            <w:tcBorders>
              <w:top w:val="nil"/>
              <w:left w:val="nil"/>
              <w:bottom w:val="nil"/>
              <w:right w:val="nil"/>
            </w:tcBorders>
          </w:tcPr>
          <w:p w14:paraId="3E3957C7" w14:textId="77777777" w:rsidR="002E483F" w:rsidRPr="00824B04" w:rsidRDefault="002E483F" w:rsidP="00BD1855">
            <w:pPr>
              <w:pStyle w:val="Tabletext"/>
            </w:pPr>
            <w:r w:rsidRPr="00824B04">
              <w:t>New South Wales</w:t>
            </w:r>
          </w:p>
        </w:tc>
      </w:tr>
      <w:tr w:rsidR="002E483F" w:rsidRPr="00824B04" w14:paraId="21A94D05" w14:textId="77777777" w:rsidTr="00876AFF">
        <w:tc>
          <w:tcPr>
            <w:tcW w:w="524" w:type="pct"/>
            <w:tcBorders>
              <w:top w:val="nil"/>
              <w:left w:val="nil"/>
              <w:bottom w:val="nil"/>
              <w:right w:val="nil"/>
            </w:tcBorders>
          </w:tcPr>
          <w:p w14:paraId="6A1B20D9" w14:textId="77777777" w:rsidR="002E483F" w:rsidRPr="00824B04" w:rsidRDefault="002E483F" w:rsidP="00BD1855">
            <w:pPr>
              <w:pStyle w:val="Tabletext"/>
            </w:pPr>
            <w:r w:rsidRPr="00824B04">
              <w:t>5</w:t>
            </w:r>
          </w:p>
        </w:tc>
        <w:tc>
          <w:tcPr>
            <w:tcW w:w="891" w:type="pct"/>
            <w:tcBorders>
              <w:top w:val="nil"/>
              <w:left w:val="nil"/>
              <w:bottom w:val="nil"/>
              <w:right w:val="nil"/>
            </w:tcBorders>
          </w:tcPr>
          <w:p w14:paraId="2DC80784" w14:textId="77777777" w:rsidR="002E483F" w:rsidRPr="00824B04" w:rsidRDefault="002E483F" w:rsidP="00BD1855">
            <w:pPr>
              <w:pStyle w:val="Tabletext"/>
            </w:pPr>
            <w:r w:rsidRPr="00824B04">
              <w:t>Location</w:t>
            </w:r>
          </w:p>
        </w:tc>
        <w:tc>
          <w:tcPr>
            <w:tcW w:w="3585" w:type="pct"/>
            <w:tcBorders>
              <w:top w:val="nil"/>
              <w:left w:val="nil"/>
              <w:bottom w:val="nil"/>
              <w:right w:val="nil"/>
            </w:tcBorders>
          </w:tcPr>
          <w:p w14:paraId="6DD50EE5" w14:textId="77777777" w:rsidR="002E483F" w:rsidRPr="00824B04" w:rsidRDefault="002E483F" w:rsidP="006B02B0">
            <w:pPr>
              <w:pStyle w:val="Tabletext"/>
            </w:pPr>
            <w:r w:rsidRPr="00824B04">
              <w:t xml:space="preserve">About 15 km south of Eden, about 1.9 km east of the junction of the Princes Highway and </w:t>
            </w:r>
            <w:proofErr w:type="spellStart"/>
            <w:r w:rsidRPr="00824B04">
              <w:t>Edrom</w:t>
            </w:r>
            <w:proofErr w:type="spellEnd"/>
            <w:r w:rsidRPr="00824B04">
              <w:t xml:space="preserve"> Road, surrounding the land mentioned in </w:t>
            </w:r>
            <w:r w:rsidR="00C5351E" w:rsidRPr="00824B04">
              <w:t>section 1</w:t>
            </w:r>
            <w:r w:rsidRPr="00824B04">
              <w:t>.1</w:t>
            </w:r>
            <w:r w:rsidR="00221929" w:rsidRPr="00824B04">
              <w:t xml:space="preserve"> of this Schedule</w:t>
            </w:r>
          </w:p>
        </w:tc>
      </w:tr>
      <w:tr w:rsidR="002E483F" w:rsidRPr="00824B04" w14:paraId="41854936" w14:textId="77777777" w:rsidTr="00876AFF">
        <w:tc>
          <w:tcPr>
            <w:tcW w:w="524" w:type="pct"/>
            <w:tcBorders>
              <w:top w:val="nil"/>
              <w:left w:val="nil"/>
              <w:bottom w:val="single" w:sz="4" w:space="0" w:color="auto"/>
              <w:right w:val="nil"/>
            </w:tcBorders>
          </w:tcPr>
          <w:p w14:paraId="76FC8CF5" w14:textId="77777777" w:rsidR="002E483F" w:rsidRPr="00824B04" w:rsidRDefault="002E483F" w:rsidP="00BD1855">
            <w:pPr>
              <w:pStyle w:val="Tabletext"/>
            </w:pPr>
            <w:r w:rsidRPr="00824B04">
              <w:t>6</w:t>
            </w:r>
          </w:p>
        </w:tc>
        <w:tc>
          <w:tcPr>
            <w:tcW w:w="891" w:type="pct"/>
            <w:tcBorders>
              <w:top w:val="nil"/>
              <w:left w:val="nil"/>
              <w:bottom w:val="single" w:sz="4" w:space="0" w:color="auto"/>
              <w:right w:val="nil"/>
            </w:tcBorders>
          </w:tcPr>
          <w:p w14:paraId="51B89288" w14:textId="77777777" w:rsidR="002E483F" w:rsidRPr="00824B04" w:rsidRDefault="002E483F" w:rsidP="00BD1855">
            <w:pPr>
              <w:pStyle w:val="Tabletext"/>
            </w:pPr>
            <w:r w:rsidRPr="00824B04">
              <w:t>Boundaries</w:t>
            </w:r>
          </w:p>
        </w:tc>
        <w:tc>
          <w:tcPr>
            <w:tcW w:w="3585" w:type="pct"/>
            <w:tcBorders>
              <w:top w:val="nil"/>
              <w:left w:val="nil"/>
              <w:bottom w:val="single" w:sz="4" w:space="0" w:color="auto"/>
              <w:right w:val="nil"/>
            </w:tcBorders>
          </w:tcPr>
          <w:p w14:paraId="30DA4B3E" w14:textId="77777777" w:rsidR="002E483F" w:rsidRPr="00824B04" w:rsidRDefault="002E483F" w:rsidP="00BD1855">
            <w:pPr>
              <w:pStyle w:val="Tabletext"/>
            </w:pPr>
            <w:r w:rsidRPr="00824B04">
              <w:t xml:space="preserve">As shown on the plan in </w:t>
            </w:r>
            <w:r w:rsidR="00C5351E" w:rsidRPr="00824B04">
              <w:t>section 1</w:t>
            </w:r>
            <w:r w:rsidRPr="00824B04">
              <w:t>.4</w:t>
            </w:r>
            <w:r w:rsidR="00267F72" w:rsidRPr="00824B04">
              <w:t xml:space="preserve"> of this Schedule</w:t>
            </w:r>
            <w:r w:rsidRPr="00824B04">
              <w:t>, between Permanent Survey Marks 124670 and 124671</w:t>
            </w:r>
          </w:p>
        </w:tc>
      </w:tr>
    </w:tbl>
    <w:p w14:paraId="31568598" w14:textId="77777777" w:rsidR="002E483F" w:rsidRPr="00824B04" w:rsidRDefault="002E483F" w:rsidP="002E483F">
      <w:pPr>
        <w:pStyle w:val="ActHead5"/>
      </w:pPr>
      <w:bookmarkStart w:id="80" w:name="_Toc170463388"/>
      <w:r w:rsidRPr="00824B04">
        <w:rPr>
          <w:rStyle w:val="CharSectno"/>
        </w:rPr>
        <w:lastRenderedPageBreak/>
        <w:t>1.4</w:t>
      </w:r>
      <w:r w:rsidRPr="00824B04">
        <w:t xml:space="preserve">  Plan</w:t>
      </w:r>
      <w:bookmarkEnd w:id="80"/>
    </w:p>
    <w:p w14:paraId="5F4FDE0D" w14:textId="77777777" w:rsidR="005A76C0" w:rsidRPr="00824B04" w:rsidRDefault="005A76C0" w:rsidP="005A76C0">
      <w:pPr>
        <w:pStyle w:val="subsection"/>
      </w:pPr>
      <w:r w:rsidRPr="00824B04">
        <w:rPr>
          <w:noProof/>
        </w:rPr>
        <w:drawing>
          <wp:inline distT="0" distB="0" distL="0" distR="0" wp14:anchorId="21DBEE0D" wp14:editId="0D4830E2">
            <wp:extent cx="4971600" cy="7038000"/>
            <wp:effectExtent l="0" t="0" r="635" b="0"/>
            <wp:docPr id="2" name="Picture 2" descr="Plan showing areas subject to restriction for armaments storage facility at Hut Forest Road, South Kiah - About 15 km south of Eden, about 1.9 km east of the junction of the Princes Highway and Edrom Road, surround the land mentioned in paragrap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urvey%20Maps_0002"/>
                    <pic:cNvPicPr>
                      <a:picLocks noChangeAspect="1" noChangeArrowheads="1"/>
                    </pic:cNvPicPr>
                  </pic:nvPicPr>
                  <pic:blipFill>
                    <a:blip r:embed="rId37" cstate="print">
                      <a:extLst>
                        <a:ext uri="{28A0092B-C50C-407E-A947-70E740481C1C}">
                          <a14:useLocalDpi xmlns:a14="http://schemas.microsoft.com/office/drawing/2010/main" val="0"/>
                        </a:ext>
                      </a:extLst>
                    </a:blip>
                    <a:srcRect l="2376" t="1680" r="3802" b="4372"/>
                    <a:stretch>
                      <a:fillRect/>
                    </a:stretch>
                  </pic:blipFill>
                  <pic:spPr bwMode="auto">
                    <a:xfrm>
                      <a:off x="0" y="0"/>
                      <a:ext cx="4971600" cy="7038000"/>
                    </a:xfrm>
                    <a:prstGeom prst="rect">
                      <a:avLst/>
                    </a:prstGeom>
                    <a:noFill/>
                    <a:ln>
                      <a:noFill/>
                    </a:ln>
                  </pic:spPr>
                </pic:pic>
              </a:graphicData>
            </a:graphic>
          </wp:inline>
        </w:drawing>
      </w:r>
    </w:p>
    <w:p w14:paraId="16067DA7" w14:textId="77777777" w:rsidR="004E6DCB" w:rsidRPr="00824B04" w:rsidRDefault="00240D90" w:rsidP="004E6DCB">
      <w:pPr>
        <w:pStyle w:val="ActHead2"/>
        <w:pageBreakBefore/>
        <w:rPr>
          <w:rFonts w:eastAsiaTheme="majorEastAsia"/>
        </w:rPr>
      </w:pPr>
      <w:bookmarkStart w:id="81" w:name="_Toc170463389"/>
      <w:r w:rsidRPr="00824B04">
        <w:rPr>
          <w:rStyle w:val="CharPartNo"/>
          <w:rFonts w:eastAsiaTheme="majorEastAsia"/>
        </w:rPr>
        <w:lastRenderedPageBreak/>
        <w:t>Part 2</w:t>
      </w:r>
      <w:r w:rsidR="002E483F" w:rsidRPr="00824B04">
        <w:t>—</w:t>
      </w:r>
      <w:r w:rsidR="002E483F" w:rsidRPr="00824B04">
        <w:rPr>
          <w:rStyle w:val="CharPartText"/>
          <w:rFonts w:eastAsiaTheme="majorEastAsia"/>
        </w:rPr>
        <w:t>Twofold Bay, Eden</w:t>
      </w:r>
      <w:bookmarkEnd w:id="81"/>
    </w:p>
    <w:p w14:paraId="120F3CD9" w14:textId="77777777" w:rsidR="004E6DCB" w:rsidRPr="00824B04" w:rsidRDefault="004E6DCB" w:rsidP="004E6DCB">
      <w:pPr>
        <w:pStyle w:val="Header"/>
        <w:rPr>
          <w:rFonts w:eastAsiaTheme="majorEastAsia"/>
        </w:rPr>
      </w:pPr>
      <w:r w:rsidRPr="00824B04">
        <w:rPr>
          <w:rStyle w:val="CharDivNo"/>
          <w:rFonts w:eastAsiaTheme="majorEastAsia"/>
        </w:rPr>
        <w:t xml:space="preserve"> </w:t>
      </w:r>
      <w:r w:rsidRPr="00824B04">
        <w:rPr>
          <w:rStyle w:val="CharDivText"/>
          <w:rFonts w:eastAsiaTheme="majorEastAsia"/>
        </w:rPr>
        <w:t xml:space="preserve"> </w:t>
      </w:r>
    </w:p>
    <w:p w14:paraId="6D9E07C1" w14:textId="77777777" w:rsidR="002E483F" w:rsidRPr="00824B04" w:rsidRDefault="002E483F" w:rsidP="004E6DCB">
      <w:pPr>
        <w:pStyle w:val="ActHead5"/>
        <w:rPr>
          <w:rFonts w:eastAsiaTheme="majorEastAsia"/>
        </w:rPr>
      </w:pPr>
      <w:bookmarkStart w:id="82" w:name="_Toc170463390"/>
      <w:r w:rsidRPr="00824B04">
        <w:rPr>
          <w:rStyle w:val="CharSectno"/>
        </w:rPr>
        <w:t>2.1</w:t>
      </w:r>
      <w:r w:rsidRPr="00824B04">
        <w:t xml:space="preserve">  Land over which Commonwealth has rights</w:t>
      </w:r>
      <w:bookmarkEnd w:id="82"/>
    </w:p>
    <w:p w14:paraId="629C566C" w14:textId="77777777" w:rsidR="0047356C" w:rsidRPr="00824B04" w:rsidRDefault="0047356C" w:rsidP="0047356C">
      <w:pPr>
        <w:pStyle w:val="TableHeading"/>
      </w:pPr>
    </w:p>
    <w:tbl>
      <w:tblPr>
        <w:tblW w:w="5000" w:type="pct"/>
        <w:tblLook w:val="0000" w:firstRow="0" w:lastRow="0" w:firstColumn="0" w:lastColumn="0" w:noHBand="0" w:noVBand="0"/>
      </w:tblPr>
      <w:tblGrid>
        <w:gridCol w:w="872"/>
        <w:gridCol w:w="1481"/>
        <w:gridCol w:w="5960"/>
      </w:tblGrid>
      <w:tr w:rsidR="002E483F" w:rsidRPr="00824B04" w14:paraId="62E1FBD6" w14:textId="77777777" w:rsidTr="00876AFF">
        <w:trPr>
          <w:tblHeader/>
        </w:trPr>
        <w:tc>
          <w:tcPr>
            <w:tcW w:w="524" w:type="pct"/>
            <w:tcBorders>
              <w:top w:val="nil"/>
              <w:left w:val="nil"/>
              <w:bottom w:val="single" w:sz="4" w:space="0" w:color="auto"/>
              <w:right w:val="nil"/>
            </w:tcBorders>
          </w:tcPr>
          <w:p w14:paraId="22AC48E0" w14:textId="77777777" w:rsidR="002E483F" w:rsidRPr="00824B04" w:rsidRDefault="002E483F" w:rsidP="00BD1855">
            <w:pPr>
              <w:pStyle w:val="TableHeading"/>
            </w:pPr>
            <w:r w:rsidRPr="00824B04">
              <w:t>Item</w:t>
            </w:r>
          </w:p>
        </w:tc>
        <w:tc>
          <w:tcPr>
            <w:tcW w:w="891" w:type="pct"/>
            <w:tcBorders>
              <w:top w:val="nil"/>
              <w:left w:val="nil"/>
              <w:bottom w:val="single" w:sz="4" w:space="0" w:color="auto"/>
              <w:right w:val="nil"/>
            </w:tcBorders>
          </w:tcPr>
          <w:p w14:paraId="46747278" w14:textId="77777777" w:rsidR="002E483F" w:rsidRPr="00824B04" w:rsidRDefault="002E483F" w:rsidP="00BD1855">
            <w:pPr>
              <w:pStyle w:val="TableHeading"/>
            </w:pPr>
            <w:r w:rsidRPr="00824B04">
              <w:t>Descriptor</w:t>
            </w:r>
          </w:p>
        </w:tc>
        <w:tc>
          <w:tcPr>
            <w:tcW w:w="3585" w:type="pct"/>
            <w:tcBorders>
              <w:top w:val="nil"/>
              <w:left w:val="nil"/>
              <w:bottom w:val="single" w:sz="4" w:space="0" w:color="auto"/>
              <w:right w:val="nil"/>
            </w:tcBorders>
          </w:tcPr>
          <w:p w14:paraId="7C584F2A" w14:textId="77777777" w:rsidR="002E483F" w:rsidRPr="00824B04" w:rsidRDefault="002E483F" w:rsidP="00BD1855">
            <w:pPr>
              <w:pStyle w:val="TableHeading"/>
            </w:pPr>
            <w:r w:rsidRPr="00824B04">
              <w:t>Description</w:t>
            </w:r>
          </w:p>
        </w:tc>
      </w:tr>
      <w:tr w:rsidR="002E483F" w:rsidRPr="00824B04" w14:paraId="79F9151E" w14:textId="77777777" w:rsidTr="00876AFF">
        <w:tc>
          <w:tcPr>
            <w:tcW w:w="524" w:type="pct"/>
            <w:tcBorders>
              <w:top w:val="single" w:sz="4" w:space="0" w:color="auto"/>
              <w:left w:val="nil"/>
              <w:bottom w:val="nil"/>
              <w:right w:val="nil"/>
            </w:tcBorders>
          </w:tcPr>
          <w:p w14:paraId="12872B12" w14:textId="77777777" w:rsidR="002E483F" w:rsidRPr="00824B04" w:rsidRDefault="002E483F" w:rsidP="001A62D0">
            <w:pPr>
              <w:pStyle w:val="Tabletext"/>
            </w:pPr>
            <w:r w:rsidRPr="00824B04">
              <w:t>1</w:t>
            </w:r>
          </w:p>
        </w:tc>
        <w:tc>
          <w:tcPr>
            <w:tcW w:w="891" w:type="pct"/>
            <w:tcBorders>
              <w:top w:val="single" w:sz="4" w:space="0" w:color="auto"/>
              <w:left w:val="nil"/>
              <w:bottom w:val="nil"/>
              <w:right w:val="nil"/>
            </w:tcBorders>
          </w:tcPr>
          <w:p w14:paraId="668BFB59" w14:textId="77777777" w:rsidR="002E483F" w:rsidRPr="00824B04" w:rsidRDefault="002E483F" w:rsidP="001A62D0">
            <w:pPr>
              <w:pStyle w:val="Tabletext"/>
            </w:pPr>
            <w:r w:rsidRPr="00824B04">
              <w:t>Area</w:t>
            </w:r>
          </w:p>
        </w:tc>
        <w:tc>
          <w:tcPr>
            <w:tcW w:w="3585" w:type="pct"/>
            <w:tcBorders>
              <w:top w:val="single" w:sz="4" w:space="0" w:color="auto"/>
              <w:left w:val="nil"/>
              <w:bottom w:val="nil"/>
              <w:right w:val="nil"/>
            </w:tcBorders>
          </w:tcPr>
          <w:p w14:paraId="23366CCF" w14:textId="77777777" w:rsidR="002E483F" w:rsidRPr="00824B04" w:rsidRDefault="002E483F" w:rsidP="001A62D0">
            <w:pPr>
              <w:pStyle w:val="Tabletext"/>
            </w:pPr>
            <w:r w:rsidRPr="00824B04">
              <w:t>598.285 ha</w:t>
            </w:r>
          </w:p>
        </w:tc>
      </w:tr>
      <w:tr w:rsidR="002E483F" w:rsidRPr="00824B04" w14:paraId="27785B9B" w14:textId="77777777" w:rsidTr="00876AFF">
        <w:tc>
          <w:tcPr>
            <w:tcW w:w="524" w:type="pct"/>
            <w:tcBorders>
              <w:top w:val="nil"/>
              <w:left w:val="nil"/>
              <w:bottom w:val="nil"/>
              <w:right w:val="nil"/>
            </w:tcBorders>
          </w:tcPr>
          <w:p w14:paraId="63AC0A85" w14:textId="77777777" w:rsidR="002E483F" w:rsidRPr="00824B04" w:rsidRDefault="002E483F" w:rsidP="001A62D0">
            <w:pPr>
              <w:pStyle w:val="Tabletext"/>
            </w:pPr>
            <w:r w:rsidRPr="00824B04">
              <w:t>2</w:t>
            </w:r>
          </w:p>
        </w:tc>
        <w:tc>
          <w:tcPr>
            <w:tcW w:w="891" w:type="pct"/>
            <w:tcBorders>
              <w:top w:val="nil"/>
              <w:left w:val="nil"/>
              <w:bottom w:val="nil"/>
              <w:right w:val="nil"/>
            </w:tcBorders>
          </w:tcPr>
          <w:p w14:paraId="5A1C7C70" w14:textId="77777777" w:rsidR="002E483F" w:rsidRPr="00824B04" w:rsidRDefault="002E483F" w:rsidP="001A62D0">
            <w:pPr>
              <w:pStyle w:val="Tabletext"/>
            </w:pPr>
            <w:r w:rsidRPr="00824B04">
              <w:t>Parish</w:t>
            </w:r>
          </w:p>
        </w:tc>
        <w:tc>
          <w:tcPr>
            <w:tcW w:w="3585" w:type="pct"/>
            <w:tcBorders>
              <w:top w:val="nil"/>
              <w:left w:val="nil"/>
              <w:bottom w:val="nil"/>
              <w:right w:val="nil"/>
            </w:tcBorders>
          </w:tcPr>
          <w:p w14:paraId="11DEB2A7" w14:textId="77777777" w:rsidR="002E483F" w:rsidRPr="00824B04" w:rsidRDefault="002E483F" w:rsidP="001A62D0">
            <w:pPr>
              <w:pStyle w:val="Tabletext"/>
            </w:pPr>
            <w:r w:rsidRPr="00824B04">
              <w:t>Kiah</w:t>
            </w:r>
          </w:p>
        </w:tc>
      </w:tr>
      <w:tr w:rsidR="002E483F" w:rsidRPr="00824B04" w14:paraId="65690BD6" w14:textId="77777777" w:rsidTr="00876AFF">
        <w:tc>
          <w:tcPr>
            <w:tcW w:w="524" w:type="pct"/>
            <w:tcBorders>
              <w:top w:val="nil"/>
              <w:left w:val="nil"/>
              <w:bottom w:val="nil"/>
              <w:right w:val="nil"/>
            </w:tcBorders>
          </w:tcPr>
          <w:p w14:paraId="4F5EFFDB" w14:textId="77777777" w:rsidR="002E483F" w:rsidRPr="00824B04" w:rsidRDefault="002E483F" w:rsidP="001A62D0">
            <w:pPr>
              <w:pStyle w:val="Tabletext"/>
            </w:pPr>
            <w:r w:rsidRPr="00824B04">
              <w:t>3</w:t>
            </w:r>
          </w:p>
        </w:tc>
        <w:tc>
          <w:tcPr>
            <w:tcW w:w="891" w:type="pct"/>
            <w:tcBorders>
              <w:top w:val="nil"/>
              <w:left w:val="nil"/>
              <w:bottom w:val="nil"/>
              <w:right w:val="nil"/>
            </w:tcBorders>
          </w:tcPr>
          <w:p w14:paraId="0A8A5765" w14:textId="77777777" w:rsidR="002E483F" w:rsidRPr="00824B04" w:rsidRDefault="002E483F" w:rsidP="001A62D0">
            <w:pPr>
              <w:pStyle w:val="Tabletext"/>
            </w:pPr>
            <w:r w:rsidRPr="00824B04">
              <w:t>County</w:t>
            </w:r>
          </w:p>
        </w:tc>
        <w:tc>
          <w:tcPr>
            <w:tcW w:w="3585" w:type="pct"/>
            <w:tcBorders>
              <w:top w:val="nil"/>
              <w:left w:val="nil"/>
              <w:bottom w:val="nil"/>
              <w:right w:val="nil"/>
            </w:tcBorders>
          </w:tcPr>
          <w:p w14:paraId="78476134" w14:textId="77777777" w:rsidR="002E483F" w:rsidRPr="00824B04" w:rsidRDefault="002E483F" w:rsidP="001A62D0">
            <w:pPr>
              <w:pStyle w:val="Tabletext"/>
            </w:pPr>
            <w:r w:rsidRPr="00824B04">
              <w:t>Auckland</w:t>
            </w:r>
          </w:p>
        </w:tc>
      </w:tr>
      <w:tr w:rsidR="002E483F" w:rsidRPr="00824B04" w14:paraId="4B0BF2F2" w14:textId="77777777" w:rsidTr="00876AFF">
        <w:tc>
          <w:tcPr>
            <w:tcW w:w="524" w:type="pct"/>
            <w:tcBorders>
              <w:top w:val="nil"/>
              <w:left w:val="nil"/>
              <w:bottom w:val="nil"/>
              <w:right w:val="nil"/>
            </w:tcBorders>
          </w:tcPr>
          <w:p w14:paraId="09F80C01" w14:textId="77777777" w:rsidR="002E483F" w:rsidRPr="00824B04" w:rsidRDefault="002E483F" w:rsidP="001A62D0">
            <w:pPr>
              <w:pStyle w:val="Tabletext"/>
            </w:pPr>
            <w:r w:rsidRPr="00824B04">
              <w:t>4</w:t>
            </w:r>
          </w:p>
        </w:tc>
        <w:tc>
          <w:tcPr>
            <w:tcW w:w="891" w:type="pct"/>
            <w:tcBorders>
              <w:top w:val="nil"/>
              <w:left w:val="nil"/>
              <w:bottom w:val="nil"/>
              <w:right w:val="nil"/>
            </w:tcBorders>
          </w:tcPr>
          <w:p w14:paraId="0BF12E20" w14:textId="77777777" w:rsidR="002E483F" w:rsidRPr="00824B04" w:rsidRDefault="002E483F" w:rsidP="001A62D0">
            <w:pPr>
              <w:pStyle w:val="Tabletext"/>
            </w:pPr>
            <w:r w:rsidRPr="00824B04">
              <w:t>State</w:t>
            </w:r>
          </w:p>
        </w:tc>
        <w:tc>
          <w:tcPr>
            <w:tcW w:w="3585" w:type="pct"/>
            <w:tcBorders>
              <w:top w:val="nil"/>
              <w:left w:val="nil"/>
              <w:bottom w:val="nil"/>
              <w:right w:val="nil"/>
            </w:tcBorders>
          </w:tcPr>
          <w:p w14:paraId="3E833819" w14:textId="77777777" w:rsidR="002E483F" w:rsidRPr="00824B04" w:rsidRDefault="002E483F" w:rsidP="001A62D0">
            <w:pPr>
              <w:pStyle w:val="Tabletext"/>
            </w:pPr>
            <w:r w:rsidRPr="00824B04">
              <w:t>New South Wales</w:t>
            </w:r>
          </w:p>
        </w:tc>
      </w:tr>
      <w:tr w:rsidR="002E483F" w:rsidRPr="00824B04" w14:paraId="1979AA56" w14:textId="77777777" w:rsidTr="00876AFF">
        <w:tc>
          <w:tcPr>
            <w:tcW w:w="524" w:type="pct"/>
            <w:tcBorders>
              <w:top w:val="nil"/>
              <w:left w:val="nil"/>
              <w:bottom w:val="nil"/>
              <w:right w:val="nil"/>
            </w:tcBorders>
          </w:tcPr>
          <w:p w14:paraId="2473FBEB" w14:textId="77777777" w:rsidR="002E483F" w:rsidRPr="00824B04" w:rsidRDefault="002E483F" w:rsidP="001A62D0">
            <w:pPr>
              <w:pStyle w:val="Tabletext"/>
            </w:pPr>
            <w:r w:rsidRPr="00824B04">
              <w:t>5</w:t>
            </w:r>
          </w:p>
        </w:tc>
        <w:tc>
          <w:tcPr>
            <w:tcW w:w="891" w:type="pct"/>
            <w:tcBorders>
              <w:top w:val="nil"/>
              <w:left w:val="nil"/>
              <w:bottom w:val="nil"/>
              <w:right w:val="nil"/>
            </w:tcBorders>
          </w:tcPr>
          <w:p w14:paraId="10941D39" w14:textId="77777777" w:rsidR="002E483F" w:rsidRPr="00824B04" w:rsidRDefault="002E483F" w:rsidP="001A62D0">
            <w:pPr>
              <w:pStyle w:val="Tabletext"/>
            </w:pPr>
            <w:r w:rsidRPr="00824B04">
              <w:t>Location</w:t>
            </w:r>
          </w:p>
        </w:tc>
        <w:tc>
          <w:tcPr>
            <w:tcW w:w="3585" w:type="pct"/>
            <w:tcBorders>
              <w:top w:val="nil"/>
              <w:left w:val="nil"/>
              <w:bottom w:val="nil"/>
              <w:right w:val="nil"/>
            </w:tcBorders>
          </w:tcPr>
          <w:p w14:paraId="1D31C5B0" w14:textId="77777777" w:rsidR="002E483F" w:rsidRPr="00824B04" w:rsidRDefault="002E483F" w:rsidP="001A62D0">
            <w:pPr>
              <w:pStyle w:val="Tabletext"/>
            </w:pPr>
            <w:r w:rsidRPr="00824B04">
              <w:t>About 5 km south of Eden</w:t>
            </w:r>
          </w:p>
        </w:tc>
      </w:tr>
      <w:tr w:rsidR="002E483F" w:rsidRPr="00824B04" w14:paraId="1BACA564" w14:textId="77777777" w:rsidTr="00876AFF">
        <w:tc>
          <w:tcPr>
            <w:tcW w:w="524" w:type="pct"/>
            <w:tcBorders>
              <w:top w:val="nil"/>
              <w:left w:val="nil"/>
              <w:bottom w:val="single" w:sz="4" w:space="0" w:color="auto"/>
              <w:right w:val="nil"/>
            </w:tcBorders>
          </w:tcPr>
          <w:p w14:paraId="6B885DF6" w14:textId="77777777" w:rsidR="002E483F" w:rsidRPr="00824B04" w:rsidRDefault="002E483F" w:rsidP="001A62D0">
            <w:pPr>
              <w:pStyle w:val="Tabletext"/>
            </w:pPr>
            <w:r w:rsidRPr="00824B04">
              <w:t>6</w:t>
            </w:r>
          </w:p>
        </w:tc>
        <w:tc>
          <w:tcPr>
            <w:tcW w:w="891" w:type="pct"/>
            <w:tcBorders>
              <w:top w:val="nil"/>
              <w:left w:val="nil"/>
              <w:bottom w:val="single" w:sz="4" w:space="0" w:color="auto"/>
              <w:right w:val="nil"/>
            </w:tcBorders>
          </w:tcPr>
          <w:p w14:paraId="69899376" w14:textId="77777777" w:rsidR="002E483F" w:rsidRPr="00824B04" w:rsidRDefault="002E483F" w:rsidP="001A62D0">
            <w:pPr>
              <w:pStyle w:val="Tabletext"/>
            </w:pPr>
            <w:r w:rsidRPr="00824B04">
              <w:t>Boundaries</w:t>
            </w:r>
          </w:p>
        </w:tc>
        <w:tc>
          <w:tcPr>
            <w:tcW w:w="3585" w:type="pct"/>
            <w:tcBorders>
              <w:top w:val="nil"/>
              <w:left w:val="nil"/>
              <w:bottom w:val="single" w:sz="4" w:space="0" w:color="auto"/>
              <w:right w:val="nil"/>
            </w:tcBorders>
          </w:tcPr>
          <w:p w14:paraId="5DEB01B0" w14:textId="77777777" w:rsidR="002E483F" w:rsidRPr="00824B04" w:rsidRDefault="002E483F" w:rsidP="001A62D0">
            <w:pPr>
              <w:pStyle w:val="Tabletext"/>
            </w:pPr>
            <w:r w:rsidRPr="00824B04">
              <w:t xml:space="preserve">As shown on the plan in </w:t>
            </w:r>
            <w:r w:rsidR="00221929" w:rsidRPr="00824B04">
              <w:t>section</w:t>
            </w:r>
            <w:r w:rsidRPr="00824B04">
              <w:t> 2.2</w:t>
            </w:r>
            <w:r w:rsidR="00221929" w:rsidRPr="00824B04">
              <w:t xml:space="preserve"> of this Schedule</w:t>
            </w:r>
            <w:r w:rsidRPr="00824B04">
              <w:t xml:space="preserve">, being the land within a </w:t>
            </w:r>
            <w:r w:rsidR="00524F40" w:rsidRPr="00824B04">
              <w:t>1 3</w:t>
            </w:r>
            <w:r w:rsidRPr="00824B04">
              <w:t>80 m radius of the centre point of the wharf</w:t>
            </w:r>
          </w:p>
        </w:tc>
      </w:tr>
    </w:tbl>
    <w:p w14:paraId="4951A8BF" w14:textId="77777777" w:rsidR="005A76C0" w:rsidRPr="00824B04" w:rsidRDefault="002E483F" w:rsidP="00F63575">
      <w:pPr>
        <w:pStyle w:val="ActHead5"/>
        <w:pageBreakBefore/>
      </w:pPr>
      <w:bookmarkStart w:id="83" w:name="_Toc170463391"/>
      <w:r w:rsidRPr="00824B04">
        <w:rPr>
          <w:rStyle w:val="CharSectno"/>
        </w:rPr>
        <w:lastRenderedPageBreak/>
        <w:t>2.2</w:t>
      </w:r>
      <w:r w:rsidRPr="00824B04">
        <w:t xml:space="preserve">  Plan</w:t>
      </w:r>
      <w:bookmarkEnd w:id="83"/>
    </w:p>
    <w:p w14:paraId="5CC382CC" w14:textId="77777777" w:rsidR="005A76C0" w:rsidRPr="00824B04" w:rsidRDefault="005A76C0" w:rsidP="005A76C0">
      <w:pPr>
        <w:pStyle w:val="subsection"/>
        <w:sectPr w:rsidR="005A76C0" w:rsidRPr="00824B04" w:rsidSect="003B1A5F">
          <w:headerReference w:type="even" r:id="rId38"/>
          <w:headerReference w:type="default" r:id="rId39"/>
          <w:footerReference w:type="even" r:id="rId40"/>
          <w:footerReference w:type="default" r:id="rId41"/>
          <w:headerReference w:type="first" r:id="rId42"/>
          <w:footerReference w:type="first" r:id="rId43"/>
          <w:pgSz w:w="11907" w:h="16839" w:code="9"/>
          <w:pgMar w:top="2233" w:right="1797" w:bottom="1440" w:left="1797" w:header="720" w:footer="708" w:gutter="0"/>
          <w:cols w:space="708"/>
          <w:docGrid w:linePitch="360"/>
        </w:sectPr>
      </w:pPr>
      <w:r w:rsidRPr="00824B04">
        <w:rPr>
          <w:noProof/>
        </w:rPr>
        <w:drawing>
          <wp:inline distT="0" distB="0" distL="0" distR="0" wp14:anchorId="2587FE82" wp14:editId="6D3B81BD">
            <wp:extent cx="5184000" cy="6105600"/>
            <wp:effectExtent l="0" t="0" r="0" b="0"/>
            <wp:docPr id="7" name="Picture 7" descr="Plan of crown land within Twofold Bay subject to safeguarding arcs associated with the Twofold Bay Ammunitioning Facility, Twofold Bay, Eden - About 5 km south of Eden, shown on the plan being the land within a 1 380 m radius of the centre point of the wha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84000" cy="6105600"/>
                    </a:xfrm>
                    <a:prstGeom prst="rect">
                      <a:avLst/>
                    </a:prstGeom>
                    <a:noFill/>
                  </pic:spPr>
                </pic:pic>
              </a:graphicData>
            </a:graphic>
          </wp:inline>
        </w:drawing>
      </w:r>
    </w:p>
    <w:p w14:paraId="537DBD07" w14:textId="77777777" w:rsidR="00112202" w:rsidRPr="00824B04" w:rsidRDefault="00672653" w:rsidP="00666417">
      <w:pPr>
        <w:pStyle w:val="ActHead6"/>
        <w:pageBreakBefore/>
      </w:pPr>
      <w:bookmarkStart w:id="84" w:name="_Toc170463392"/>
      <w:r w:rsidRPr="00824B04">
        <w:rPr>
          <w:rStyle w:val="CharAmSchNo"/>
        </w:rPr>
        <w:lastRenderedPageBreak/>
        <w:t>Schedule 3</w:t>
      </w:r>
      <w:r w:rsidR="002B21FB" w:rsidRPr="00824B04">
        <w:t>—</w:t>
      </w:r>
      <w:r w:rsidR="002B21FB" w:rsidRPr="00824B04">
        <w:rPr>
          <w:rStyle w:val="CharAmSchText"/>
        </w:rPr>
        <w:t>Repeals</w:t>
      </w:r>
      <w:bookmarkEnd w:id="84"/>
    </w:p>
    <w:p w14:paraId="19C9851F" w14:textId="77777777" w:rsidR="00666417" w:rsidRPr="00824B04" w:rsidRDefault="00666417" w:rsidP="00666417">
      <w:pPr>
        <w:pStyle w:val="Header"/>
      </w:pPr>
      <w:r w:rsidRPr="00824B04">
        <w:rPr>
          <w:rStyle w:val="CharAmPartNo"/>
        </w:rPr>
        <w:t xml:space="preserve"> </w:t>
      </w:r>
      <w:r w:rsidRPr="00824B04">
        <w:rPr>
          <w:rStyle w:val="CharAmPartText"/>
        </w:rPr>
        <w:t xml:space="preserve"> </w:t>
      </w:r>
    </w:p>
    <w:p w14:paraId="6304A5FD" w14:textId="77777777" w:rsidR="009774A0" w:rsidRPr="00824B04" w:rsidRDefault="00B42CA3" w:rsidP="009774A0">
      <w:pPr>
        <w:pStyle w:val="ActHead9"/>
      </w:pPr>
      <w:bookmarkStart w:id="85" w:name="_Toc170463393"/>
      <w:r w:rsidRPr="00824B04">
        <w:t xml:space="preserve">Explosives Areas </w:t>
      </w:r>
      <w:r w:rsidR="00B523A5" w:rsidRPr="00824B04">
        <w:t>Regulations 2</w:t>
      </w:r>
      <w:r w:rsidRPr="00824B04">
        <w:t>003</w:t>
      </w:r>
      <w:bookmarkEnd w:id="85"/>
    </w:p>
    <w:p w14:paraId="4460CFCC" w14:textId="77777777" w:rsidR="00D211D9" w:rsidRPr="00824B04" w:rsidRDefault="002B21FB" w:rsidP="00D211D9">
      <w:pPr>
        <w:pStyle w:val="ItemHead"/>
      </w:pPr>
      <w:r w:rsidRPr="00824B04">
        <w:t xml:space="preserve">1  </w:t>
      </w:r>
      <w:r w:rsidR="00D211D9" w:rsidRPr="00824B04">
        <w:t xml:space="preserve">The whole of the </w:t>
      </w:r>
      <w:r w:rsidR="0053042C" w:rsidRPr="00824B04">
        <w:t>instrument</w:t>
      </w:r>
    </w:p>
    <w:p w14:paraId="5110ACBC" w14:textId="77777777" w:rsidR="00D211D9" w:rsidRPr="00824B04" w:rsidRDefault="00D211D9" w:rsidP="00D211D9">
      <w:pPr>
        <w:pStyle w:val="Item"/>
      </w:pPr>
      <w:r w:rsidRPr="00824B04">
        <w:t xml:space="preserve">Repeal the </w:t>
      </w:r>
      <w:r w:rsidR="0053042C" w:rsidRPr="00824B04">
        <w:t>instrument</w:t>
      </w:r>
      <w:r w:rsidRPr="00824B04">
        <w:t>.</w:t>
      </w:r>
    </w:p>
    <w:p w14:paraId="07BF8A28" w14:textId="77777777" w:rsidR="00432D0B" w:rsidRPr="00824B04" w:rsidRDefault="00432D0B" w:rsidP="00432D0B">
      <w:pPr>
        <w:pStyle w:val="ActHead9"/>
      </w:pPr>
      <w:bookmarkStart w:id="86" w:name="_Toc170463394"/>
      <w:r w:rsidRPr="00824B04">
        <w:t xml:space="preserve">Explosives Transport </w:t>
      </w:r>
      <w:r w:rsidR="00B523A5" w:rsidRPr="00824B04">
        <w:t>Regulations 2</w:t>
      </w:r>
      <w:r w:rsidRPr="00824B04">
        <w:t>002</w:t>
      </w:r>
      <w:bookmarkEnd w:id="86"/>
    </w:p>
    <w:p w14:paraId="5A23DC8C" w14:textId="77777777" w:rsidR="00432D0B" w:rsidRPr="00824B04" w:rsidRDefault="00432D0B" w:rsidP="00432D0B">
      <w:pPr>
        <w:pStyle w:val="ItemHead"/>
      </w:pPr>
      <w:r w:rsidRPr="00824B04">
        <w:t xml:space="preserve">2  The whole of the </w:t>
      </w:r>
      <w:r w:rsidR="0053042C" w:rsidRPr="00824B04">
        <w:t>instrument</w:t>
      </w:r>
    </w:p>
    <w:p w14:paraId="2CD0D3A8" w14:textId="77777777" w:rsidR="00876AFF" w:rsidRPr="009E0AF4" w:rsidRDefault="00432D0B" w:rsidP="00580258">
      <w:pPr>
        <w:pStyle w:val="Item"/>
      </w:pPr>
      <w:r w:rsidRPr="00824B04">
        <w:t xml:space="preserve">Repeal the </w:t>
      </w:r>
      <w:r w:rsidR="0053042C" w:rsidRPr="00824B04">
        <w:t>instrument</w:t>
      </w:r>
      <w:r w:rsidRPr="00824B04">
        <w:t>.</w:t>
      </w:r>
    </w:p>
    <w:sectPr w:rsidR="00876AFF" w:rsidRPr="009E0AF4" w:rsidSect="003B1A5F">
      <w:headerReference w:type="even" r:id="rId45"/>
      <w:headerReference w:type="default" r:id="rId46"/>
      <w:footerReference w:type="even" r:id="rId47"/>
      <w:footerReference w:type="default" r:id="rId48"/>
      <w:headerReference w:type="first" r:id="rId49"/>
      <w:footerReference w:type="first" r:id="rId50"/>
      <w:type w:val="continuous"/>
      <w:pgSz w:w="11907" w:h="16839"/>
      <w:pgMar w:top="2233" w:right="1797" w:bottom="1440" w:left="1797"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37770" w14:textId="77777777" w:rsidR="00F55185" w:rsidRDefault="00F55185" w:rsidP="00715914">
      <w:pPr>
        <w:spacing w:line="240" w:lineRule="auto"/>
      </w:pPr>
      <w:r>
        <w:separator/>
      </w:r>
    </w:p>
  </w:endnote>
  <w:endnote w:type="continuationSeparator" w:id="0">
    <w:p w14:paraId="0701DB86" w14:textId="77777777" w:rsidR="00F55185" w:rsidRDefault="00F5518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1EAE" w14:textId="77777777" w:rsidR="00EC4CFC" w:rsidRPr="003B1A5F" w:rsidRDefault="003B1A5F" w:rsidP="003B1A5F">
    <w:pPr>
      <w:pStyle w:val="Footer"/>
      <w:rPr>
        <w:i/>
        <w:sz w:val="18"/>
      </w:rPr>
    </w:pPr>
    <w:r w:rsidRPr="003B1A5F">
      <w:rPr>
        <w:i/>
        <w:sz w:val="18"/>
      </w:rPr>
      <w:t>OPC66601 - 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29F2" w14:textId="77777777" w:rsidR="00B523A5" w:rsidRPr="00E33C1C" w:rsidRDefault="00B523A5" w:rsidP="001F741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B523A5" w14:paraId="6073E17D" w14:textId="77777777" w:rsidTr="00876AFF">
      <w:tc>
        <w:tcPr>
          <w:tcW w:w="418" w:type="pct"/>
          <w:tcBorders>
            <w:top w:val="nil"/>
            <w:left w:val="nil"/>
            <w:bottom w:val="nil"/>
            <w:right w:val="nil"/>
          </w:tcBorders>
        </w:tcPr>
        <w:p w14:paraId="61E3345B" w14:textId="5E12DC39" w:rsidR="00B523A5" w:rsidRDefault="00B523A5" w:rsidP="001F741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4A1">
            <w:rPr>
              <w:i/>
              <w:noProof/>
              <w:sz w:val="18"/>
            </w:rPr>
            <w:t>28</w:t>
          </w:r>
          <w:r w:rsidRPr="00ED79B6">
            <w:rPr>
              <w:i/>
              <w:sz w:val="18"/>
            </w:rPr>
            <w:fldChar w:fldCharType="end"/>
          </w:r>
        </w:p>
      </w:tc>
      <w:tc>
        <w:tcPr>
          <w:tcW w:w="3765" w:type="pct"/>
          <w:tcBorders>
            <w:top w:val="nil"/>
            <w:left w:val="nil"/>
            <w:bottom w:val="nil"/>
            <w:right w:val="nil"/>
          </w:tcBorders>
        </w:tcPr>
        <w:p w14:paraId="645C623F" w14:textId="65F2519A"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817" w:type="pct"/>
          <w:tcBorders>
            <w:top w:val="nil"/>
            <w:left w:val="nil"/>
            <w:bottom w:val="nil"/>
            <w:right w:val="nil"/>
          </w:tcBorders>
        </w:tcPr>
        <w:p w14:paraId="4731E6E6" w14:textId="77777777" w:rsidR="00B523A5" w:rsidRDefault="00B523A5" w:rsidP="001F741D">
          <w:pPr>
            <w:spacing w:line="0" w:lineRule="atLeast"/>
            <w:jc w:val="right"/>
            <w:rPr>
              <w:sz w:val="18"/>
            </w:rPr>
          </w:pPr>
        </w:p>
      </w:tc>
    </w:tr>
  </w:tbl>
  <w:p w14:paraId="589E73BE" w14:textId="77777777" w:rsidR="00B523A5" w:rsidRPr="003B1A5F" w:rsidRDefault="003B1A5F" w:rsidP="003B1A5F">
    <w:pPr>
      <w:rPr>
        <w:rFonts w:cs="Times New Roman"/>
        <w:i/>
        <w:sz w:val="18"/>
      </w:rPr>
    </w:pPr>
    <w:r w:rsidRPr="003B1A5F">
      <w:rPr>
        <w:rFonts w:cs="Times New Roman"/>
        <w:i/>
        <w:sz w:val="18"/>
      </w:rPr>
      <w:t>OPC66601 - 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F463F" w14:textId="77777777" w:rsidR="00B523A5" w:rsidRPr="00E33C1C" w:rsidRDefault="00B523A5" w:rsidP="001F741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B523A5" w14:paraId="08DEFF6F" w14:textId="77777777" w:rsidTr="00876AFF">
      <w:tc>
        <w:tcPr>
          <w:tcW w:w="817" w:type="pct"/>
          <w:tcBorders>
            <w:top w:val="nil"/>
            <w:left w:val="nil"/>
            <w:bottom w:val="nil"/>
            <w:right w:val="nil"/>
          </w:tcBorders>
        </w:tcPr>
        <w:p w14:paraId="4E86E17C" w14:textId="77777777" w:rsidR="00B523A5" w:rsidRDefault="00B523A5" w:rsidP="001F741D">
          <w:pPr>
            <w:spacing w:line="0" w:lineRule="atLeast"/>
            <w:rPr>
              <w:sz w:val="18"/>
            </w:rPr>
          </w:pPr>
        </w:p>
      </w:tc>
      <w:tc>
        <w:tcPr>
          <w:tcW w:w="3765" w:type="pct"/>
          <w:tcBorders>
            <w:top w:val="nil"/>
            <w:left w:val="nil"/>
            <w:bottom w:val="nil"/>
            <w:right w:val="nil"/>
          </w:tcBorders>
        </w:tcPr>
        <w:p w14:paraId="278542F7" w14:textId="2F43425C"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418" w:type="pct"/>
          <w:tcBorders>
            <w:top w:val="nil"/>
            <w:left w:val="nil"/>
            <w:bottom w:val="nil"/>
            <w:right w:val="nil"/>
          </w:tcBorders>
        </w:tcPr>
        <w:p w14:paraId="3E66CD4E" w14:textId="4169FA14" w:rsidR="00B523A5" w:rsidRDefault="00B523A5" w:rsidP="001F74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4A1">
            <w:rPr>
              <w:i/>
              <w:noProof/>
              <w:sz w:val="18"/>
            </w:rPr>
            <w:t>29</w:t>
          </w:r>
          <w:r w:rsidRPr="00ED79B6">
            <w:rPr>
              <w:i/>
              <w:sz w:val="18"/>
            </w:rPr>
            <w:fldChar w:fldCharType="end"/>
          </w:r>
        </w:p>
      </w:tc>
    </w:tr>
  </w:tbl>
  <w:p w14:paraId="6DF9ED7C" w14:textId="77777777" w:rsidR="00B523A5" w:rsidRPr="003B1A5F" w:rsidRDefault="003B1A5F" w:rsidP="003B1A5F">
    <w:pPr>
      <w:rPr>
        <w:rFonts w:cs="Times New Roman"/>
        <w:i/>
        <w:sz w:val="18"/>
      </w:rPr>
    </w:pPr>
    <w:r w:rsidRPr="003B1A5F">
      <w:rPr>
        <w:rFonts w:cs="Times New Roman"/>
        <w:i/>
        <w:sz w:val="18"/>
      </w:rPr>
      <w:t>OPC66601 - 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4A3C" w14:textId="77777777" w:rsidR="00B523A5" w:rsidRPr="00E33C1C" w:rsidRDefault="00B523A5" w:rsidP="001F741D">
    <w:pPr>
      <w:pBdr>
        <w:top w:val="single" w:sz="6" w:space="1" w:color="auto"/>
      </w:pBdr>
      <w:spacing w:line="0" w:lineRule="atLeast"/>
      <w:rPr>
        <w:sz w:val="16"/>
        <w:szCs w:val="16"/>
      </w:rPr>
    </w:pPr>
  </w:p>
  <w:tbl>
    <w:tblPr>
      <w:tblStyle w:val="TableGrid"/>
      <w:tblW w:w="4873" w:type="pct"/>
      <w:tblLook w:val="04A0" w:firstRow="1" w:lastRow="0" w:firstColumn="1" w:lastColumn="0" w:noHBand="0" w:noVBand="1"/>
    </w:tblPr>
    <w:tblGrid>
      <w:gridCol w:w="1368"/>
      <w:gridCol w:w="6240"/>
      <w:gridCol w:w="705"/>
    </w:tblGrid>
    <w:tr w:rsidR="00B523A5" w14:paraId="58D0B34D" w14:textId="77777777" w:rsidTr="007C1F49">
      <w:tc>
        <w:tcPr>
          <w:tcW w:w="823" w:type="pct"/>
          <w:tcBorders>
            <w:top w:val="nil"/>
            <w:left w:val="nil"/>
            <w:bottom w:val="nil"/>
            <w:right w:val="nil"/>
          </w:tcBorders>
        </w:tcPr>
        <w:p w14:paraId="37CEB01F" w14:textId="77777777" w:rsidR="00B523A5" w:rsidRDefault="00B523A5" w:rsidP="001F741D">
          <w:pPr>
            <w:spacing w:line="0" w:lineRule="atLeast"/>
            <w:rPr>
              <w:sz w:val="18"/>
            </w:rPr>
          </w:pPr>
        </w:p>
      </w:tc>
      <w:tc>
        <w:tcPr>
          <w:tcW w:w="3753" w:type="pct"/>
          <w:tcBorders>
            <w:top w:val="nil"/>
            <w:left w:val="nil"/>
            <w:bottom w:val="nil"/>
            <w:right w:val="nil"/>
          </w:tcBorders>
        </w:tcPr>
        <w:p w14:paraId="0F476FC7" w14:textId="6A425C37"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424" w:type="pct"/>
          <w:tcBorders>
            <w:top w:val="nil"/>
            <w:left w:val="nil"/>
            <w:bottom w:val="nil"/>
            <w:right w:val="nil"/>
          </w:tcBorders>
        </w:tcPr>
        <w:p w14:paraId="4297E8F4" w14:textId="77777777" w:rsidR="00B523A5" w:rsidRDefault="00B523A5" w:rsidP="001F74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97B88EE" w14:textId="77777777" w:rsidR="00B523A5" w:rsidRPr="003B1A5F" w:rsidRDefault="003B1A5F" w:rsidP="003B1A5F">
    <w:pPr>
      <w:rPr>
        <w:rFonts w:cs="Times New Roman"/>
        <w:i/>
        <w:sz w:val="18"/>
      </w:rPr>
    </w:pPr>
    <w:r w:rsidRPr="003B1A5F">
      <w:rPr>
        <w:rFonts w:cs="Times New Roman"/>
        <w:i/>
        <w:sz w:val="18"/>
      </w:rPr>
      <w:t>OPC66601 - 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FE2F" w14:textId="77777777" w:rsidR="00B523A5" w:rsidRPr="00E33C1C" w:rsidRDefault="00B523A5" w:rsidP="001F741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B523A5" w14:paraId="6F121A69" w14:textId="77777777" w:rsidTr="00876AFF">
      <w:tc>
        <w:tcPr>
          <w:tcW w:w="418" w:type="pct"/>
          <w:tcBorders>
            <w:top w:val="nil"/>
            <w:left w:val="nil"/>
            <w:bottom w:val="nil"/>
            <w:right w:val="nil"/>
          </w:tcBorders>
        </w:tcPr>
        <w:p w14:paraId="5C2E017A" w14:textId="031D1B9E" w:rsidR="00B523A5" w:rsidRDefault="00B523A5" w:rsidP="001F741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4A1">
            <w:rPr>
              <w:i/>
              <w:noProof/>
              <w:sz w:val="18"/>
            </w:rPr>
            <w:t>34</w:t>
          </w:r>
          <w:r w:rsidRPr="00ED79B6">
            <w:rPr>
              <w:i/>
              <w:sz w:val="18"/>
            </w:rPr>
            <w:fldChar w:fldCharType="end"/>
          </w:r>
        </w:p>
      </w:tc>
      <w:tc>
        <w:tcPr>
          <w:tcW w:w="3765" w:type="pct"/>
          <w:tcBorders>
            <w:top w:val="nil"/>
            <w:left w:val="nil"/>
            <w:bottom w:val="nil"/>
            <w:right w:val="nil"/>
          </w:tcBorders>
        </w:tcPr>
        <w:p w14:paraId="6BFB8C32" w14:textId="568AFAC8"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817" w:type="pct"/>
          <w:tcBorders>
            <w:top w:val="nil"/>
            <w:left w:val="nil"/>
            <w:bottom w:val="nil"/>
            <w:right w:val="nil"/>
          </w:tcBorders>
        </w:tcPr>
        <w:p w14:paraId="2C3E5A11" w14:textId="77777777" w:rsidR="00B523A5" w:rsidRDefault="00B523A5" w:rsidP="001F741D">
          <w:pPr>
            <w:spacing w:line="0" w:lineRule="atLeast"/>
            <w:jc w:val="right"/>
            <w:rPr>
              <w:sz w:val="18"/>
            </w:rPr>
          </w:pPr>
        </w:p>
      </w:tc>
    </w:tr>
  </w:tbl>
  <w:p w14:paraId="248C1EFD" w14:textId="77777777" w:rsidR="00B523A5" w:rsidRPr="003B1A5F" w:rsidRDefault="003B1A5F" w:rsidP="003B1A5F">
    <w:pPr>
      <w:rPr>
        <w:rFonts w:cs="Times New Roman"/>
        <w:i/>
        <w:sz w:val="18"/>
      </w:rPr>
    </w:pPr>
    <w:r w:rsidRPr="003B1A5F">
      <w:rPr>
        <w:rFonts w:cs="Times New Roman"/>
        <w:i/>
        <w:sz w:val="18"/>
      </w:rPr>
      <w:t>OPC66601 - 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99E9" w14:textId="77777777" w:rsidR="00B523A5" w:rsidRPr="00E33C1C" w:rsidRDefault="00B523A5" w:rsidP="001F741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B523A5" w14:paraId="24978517" w14:textId="77777777" w:rsidTr="00876AFF">
      <w:tc>
        <w:tcPr>
          <w:tcW w:w="817" w:type="pct"/>
          <w:tcBorders>
            <w:top w:val="nil"/>
            <w:left w:val="nil"/>
            <w:bottom w:val="nil"/>
            <w:right w:val="nil"/>
          </w:tcBorders>
        </w:tcPr>
        <w:p w14:paraId="28EB458E" w14:textId="77777777" w:rsidR="00B523A5" w:rsidRDefault="00B523A5" w:rsidP="001F741D">
          <w:pPr>
            <w:spacing w:line="0" w:lineRule="atLeast"/>
            <w:rPr>
              <w:sz w:val="18"/>
            </w:rPr>
          </w:pPr>
        </w:p>
      </w:tc>
      <w:tc>
        <w:tcPr>
          <w:tcW w:w="3765" w:type="pct"/>
          <w:tcBorders>
            <w:top w:val="nil"/>
            <w:left w:val="nil"/>
            <w:bottom w:val="nil"/>
            <w:right w:val="nil"/>
          </w:tcBorders>
        </w:tcPr>
        <w:p w14:paraId="64D81E1E" w14:textId="6A92B666"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418" w:type="pct"/>
          <w:tcBorders>
            <w:top w:val="nil"/>
            <w:left w:val="nil"/>
            <w:bottom w:val="nil"/>
            <w:right w:val="nil"/>
          </w:tcBorders>
        </w:tcPr>
        <w:p w14:paraId="52085451" w14:textId="06A4A5DB" w:rsidR="00B523A5" w:rsidRDefault="00B523A5" w:rsidP="001F74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4A1">
            <w:rPr>
              <w:i/>
              <w:noProof/>
              <w:sz w:val="18"/>
            </w:rPr>
            <w:t>35</w:t>
          </w:r>
          <w:r w:rsidRPr="00ED79B6">
            <w:rPr>
              <w:i/>
              <w:sz w:val="18"/>
            </w:rPr>
            <w:fldChar w:fldCharType="end"/>
          </w:r>
        </w:p>
      </w:tc>
    </w:tr>
  </w:tbl>
  <w:p w14:paraId="63D978C7" w14:textId="77777777" w:rsidR="00B523A5" w:rsidRPr="003B1A5F" w:rsidRDefault="003B1A5F" w:rsidP="003B1A5F">
    <w:pPr>
      <w:rPr>
        <w:rFonts w:cs="Times New Roman"/>
        <w:i/>
        <w:sz w:val="18"/>
      </w:rPr>
    </w:pPr>
    <w:r w:rsidRPr="003B1A5F">
      <w:rPr>
        <w:rFonts w:cs="Times New Roman"/>
        <w:i/>
        <w:sz w:val="18"/>
      </w:rPr>
      <w:t>OPC66601 - 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E531" w14:textId="77777777" w:rsidR="00B523A5" w:rsidRPr="00E33C1C" w:rsidRDefault="00B523A5" w:rsidP="001F741D">
    <w:pPr>
      <w:pBdr>
        <w:top w:val="single" w:sz="6" w:space="1" w:color="auto"/>
      </w:pBdr>
      <w:spacing w:line="0" w:lineRule="atLeast"/>
      <w:rPr>
        <w:sz w:val="16"/>
        <w:szCs w:val="16"/>
      </w:rPr>
    </w:pPr>
  </w:p>
  <w:tbl>
    <w:tblPr>
      <w:tblStyle w:val="TableGrid"/>
      <w:tblW w:w="4873" w:type="pct"/>
      <w:tblLook w:val="04A0" w:firstRow="1" w:lastRow="0" w:firstColumn="1" w:lastColumn="0" w:noHBand="0" w:noVBand="1"/>
    </w:tblPr>
    <w:tblGrid>
      <w:gridCol w:w="1368"/>
      <w:gridCol w:w="6240"/>
      <w:gridCol w:w="705"/>
    </w:tblGrid>
    <w:tr w:rsidR="00B523A5" w14:paraId="4DDADF54" w14:textId="77777777" w:rsidTr="007C1F49">
      <w:tc>
        <w:tcPr>
          <w:tcW w:w="823" w:type="pct"/>
          <w:tcBorders>
            <w:top w:val="nil"/>
            <w:left w:val="nil"/>
            <w:bottom w:val="nil"/>
            <w:right w:val="nil"/>
          </w:tcBorders>
        </w:tcPr>
        <w:p w14:paraId="351C2FD7" w14:textId="77777777" w:rsidR="00B523A5" w:rsidRDefault="00B523A5" w:rsidP="001F741D">
          <w:pPr>
            <w:spacing w:line="0" w:lineRule="atLeast"/>
            <w:rPr>
              <w:sz w:val="18"/>
            </w:rPr>
          </w:pPr>
        </w:p>
      </w:tc>
      <w:tc>
        <w:tcPr>
          <w:tcW w:w="3753" w:type="pct"/>
          <w:tcBorders>
            <w:top w:val="nil"/>
            <w:left w:val="nil"/>
            <w:bottom w:val="nil"/>
            <w:right w:val="nil"/>
          </w:tcBorders>
        </w:tcPr>
        <w:p w14:paraId="156416F0" w14:textId="6C245EC7"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424" w:type="pct"/>
          <w:tcBorders>
            <w:top w:val="nil"/>
            <w:left w:val="nil"/>
            <w:bottom w:val="nil"/>
            <w:right w:val="nil"/>
          </w:tcBorders>
        </w:tcPr>
        <w:p w14:paraId="3BD0A1C5" w14:textId="77777777" w:rsidR="00B523A5" w:rsidRDefault="00B523A5" w:rsidP="001F74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0B66E68" w14:textId="77777777" w:rsidR="00B523A5" w:rsidRPr="003B1A5F" w:rsidRDefault="003B1A5F" w:rsidP="003B1A5F">
    <w:pPr>
      <w:rPr>
        <w:rFonts w:cs="Times New Roman"/>
        <w:i/>
        <w:sz w:val="18"/>
      </w:rPr>
    </w:pPr>
    <w:r w:rsidRPr="003B1A5F">
      <w:rPr>
        <w:rFonts w:cs="Times New Roman"/>
        <w:i/>
        <w:sz w:val="18"/>
      </w:rPr>
      <w:t>OPC66601 - C</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5E9A1" w14:textId="77777777" w:rsidR="00B523A5" w:rsidRPr="00EF5531" w:rsidRDefault="00B523A5" w:rsidP="001F741D">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523A5" w14:paraId="22216CD0" w14:textId="77777777" w:rsidTr="007C1F49">
      <w:tc>
        <w:tcPr>
          <w:tcW w:w="709" w:type="dxa"/>
          <w:tcBorders>
            <w:top w:val="nil"/>
            <w:left w:val="nil"/>
            <w:bottom w:val="nil"/>
            <w:right w:val="nil"/>
          </w:tcBorders>
        </w:tcPr>
        <w:p w14:paraId="11A08375" w14:textId="3A5FC6DB" w:rsidR="00B523A5" w:rsidRDefault="00B523A5" w:rsidP="001F741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4A1">
            <w:rPr>
              <w:i/>
              <w:noProof/>
              <w:sz w:val="18"/>
            </w:rPr>
            <w:t>36</w:t>
          </w:r>
          <w:r w:rsidRPr="00ED79B6">
            <w:rPr>
              <w:i/>
              <w:sz w:val="18"/>
            </w:rPr>
            <w:fldChar w:fldCharType="end"/>
          </w:r>
        </w:p>
      </w:tc>
      <w:tc>
        <w:tcPr>
          <w:tcW w:w="6379" w:type="dxa"/>
          <w:tcBorders>
            <w:top w:val="nil"/>
            <w:left w:val="nil"/>
            <w:bottom w:val="nil"/>
            <w:right w:val="nil"/>
          </w:tcBorders>
        </w:tcPr>
        <w:p w14:paraId="55DFDB4C" w14:textId="776A64EF"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1384" w:type="dxa"/>
          <w:tcBorders>
            <w:top w:val="nil"/>
            <w:left w:val="nil"/>
            <w:bottom w:val="nil"/>
            <w:right w:val="nil"/>
          </w:tcBorders>
        </w:tcPr>
        <w:p w14:paraId="07ECCA81" w14:textId="77777777" w:rsidR="00B523A5" w:rsidRDefault="00B523A5" w:rsidP="001F741D">
          <w:pPr>
            <w:spacing w:line="0" w:lineRule="atLeast"/>
            <w:jc w:val="right"/>
            <w:rPr>
              <w:sz w:val="18"/>
            </w:rPr>
          </w:pPr>
        </w:p>
      </w:tc>
    </w:tr>
  </w:tbl>
  <w:p w14:paraId="77583902" w14:textId="77777777" w:rsidR="00B523A5" w:rsidRPr="003B1A5F" w:rsidRDefault="003B1A5F" w:rsidP="003B1A5F">
    <w:pPr>
      <w:rPr>
        <w:rFonts w:cs="Times New Roman"/>
        <w:i/>
        <w:sz w:val="18"/>
      </w:rPr>
    </w:pPr>
    <w:r w:rsidRPr="003B1A5F">
      <w:rPr>
        <w:rFonts w:cs="Times New Roman"/>
        <w:i/>
        <w:sz w:val="18"/>
      </w:rPr>
      <w:t>OPC66601 - C</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9E24" w14:textId="77777777" w:rsidR="00B523A5" w:rsidRPr="00A41F52" w:rsidRDefault="00B523A5" w:rsidP="001F741D">
    <w:pPr>
      <w:pBdr>
        <w:top w:val="single" w:sz="6" w:space="1" w:color="auto"/>
      </w:pBdr>
      <w:spacing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B523A5" w14:paraId="4B45B8BE" w14:textId="77777777" w:rsidTr="001F741D">
      <w:tc>
        <w:tcPr>
          <w:tcW w:w="1384" w:type="dxa"/>
          <w:tcBorders>
            <w:top w:val="nil"/>
            <w:left w:val="nil"/>
            <w:bottom w:val="nil"/>
            <w:right w:val="nil"/>
          </w:tcBorders>
        </w:tcPr>
        <w:p w14:paraId="6886A3A4" w14:textId="77777777" w:rsidR="00B523A5" w:rsidRDefault="00B523A5" w:rsidP="001F741D">
          <w:pPr>
            <w:spacing w:line="0" w:lineRule="atLeast"/>
            <w:rPr>
              <w:sz w:val="18"/>
            </w:rPr>
          </w:pPr>
        </w:p>
      </w:tc>
      <w:tc>
        <w:tcPr>
          <w:tcW w:w="6379" w:type="dxa"/>
          <w:tcBorders>
            <w:top w:val="nil"/>
            <w:left w:val="nil"/>
            <w:bottom w:val="nil"/>
            <w:right w:val="nil"/>
          </w:tcBorders>
        </w:tcPr>
        <w:p w14:paraId="1040BF3F" w14:textId="21B6F720"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709" w:type="dxa"/>
          <w:tcBorders>
            <w:top w:val="nil"/>
            <w:left w:val="nil"/>
            <w:bottom w:val="nil"/>
            <w:right w:val="nil"/>
          </w:tcBorders>
        </w:tcPr>
        <w:p w14:paraId="1EF5803F" w14:textId="77777777" w:rsidR="00B523A5" w:rsidRDefault="00B523A5" w:rsidP="001F74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CCD3248" w14:textId="77777777" w:rsidR="00B523A5" w:rsidRPr="003B1A5F" w:rsidRDefault="003B1A5F" w:rsidP="003B1A5F">
    <w:pPr>
      <w:rPr>
        <w:rFonts w:cs="Times New Roman"/>
        <w:i/>
        <w:sz w:val="18"/>
      </w:rPr>
    </w:pPr>
    <w:r w:rsidRPr="003B1A5F">
      <w:rPr>
        <w:rFonts w:cs="Times New Roman"/>
        <w:i/>
        <w:sz w:val="18"/>
      </w:rPr>
      <w:t>OPC66601 - C</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81A7" w14:textId="77777777" w:rsidR="00B523A5" w:rsidRPr="00E33C1C" w:rsidRDefault="00B523A5" w:rsidP="001F741D">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523A5" w14:paraId="5B457949" w14:textId="77777777" w:rsidTr="001F741D">
      <w:tc>
        <w:tcPr>
          <w:tcW w:w="1384" w:type="dxa"/>
          <w:tcBorders>
            <w:top w:val="nil"/>
            <w:left w:val="nil"/>
            <w:bottom w:val="nil"/>
            <w:right w:val="nil"/>
          </w:tcBorders>
        </w:tcPr>
        <w:p w14:paraId="6188CF57" w14:textId="77777777" w:rsidR="00B523A5" w:rsidRDefault="00B523A5" w:rsidP="001F741D">
          <w:pPr>
            <w:spacing w:line="0" w:lineRule="atLeast"/>
            <w:rPr>
              <w:sz w:val="18"/>
            </w:rPr>
          </w:pPr>
        </w:p>
      </w:tc>
      <w:tc>
        <w:tcPr>
          <w:tcW w:w="6379" w:type="dxa"/>
          <w:tcBorders>
            <w:top w:val="nil"/>
            <w:left w:val="nil"/>
            <w:bottom w:val="nil"/>
            <w:right w:val="nil"/>
          </w:tcBorders>
        </w:tcPr>
        <w:p w14:paraId="58871731" w14:textId="60C1582C"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709" w:type="dxa"/>
          <w:tcBorders>
            <w:top w:val="nil"/>
            <w:left w:val="nil"/>
            <w:bottom w:val="nil"/>
            <w:right w:val="nil"/>
          </w:tcBorders>
        </w:tcPr>
        <w:p w14:paraId="5191A3CB" w14:textId="77777777" w:rsidR="00B523A5" w:rsidRDefault="00B523A5" w:rsidP="001F74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34ADDDB" w14:textId="77777777" w:rsidR="00B523A5" w:rsidRPr="003B1A5F" w:rsidRDefault="003B1A5F" w:rsidP="003B1A5F">
    <w:pPr>
      <w:rPr>
        <w:rFonts w:cs="Times New Roman"/>
        <w:i/>
        <w:sz w:val="18"/>
      </w:rPr>
    </w:pPr>
    <w:r w:rsidRPr="003B1A5F">
      <w:rPr>
        <w:rFonts w:cs="Times New Roman"/>
        <w:i/>
        <w:sz w:val="18"/>
      </w:rPr>
      <w:t>OPC66601 -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F78BA" w14:textId="77777777" w:rsidR="00EC4CFC" w:rsidRPr="003B1A5F" w:rsidRDefault="003B1A5F" w:rsidP="003B1A5F">
    <w:pPr>
      <w:pStyle w:val="Footer"/>
      <w:rPr>
        <w:i/>
        <w:sz w:val="18"/>
      </w:rPr>
    </w:pPr>
    <w:r w:rsidRPr="003B1A5F">
      <w:rPr>
        <w:i/>
        <w:sz w:val="18"/>
      </w:rPr>
      <w:t>OPC66601 -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03E1" w14:textId="77777777" w:rsidR="00B523A5" w:rsidRPr="003B1A5F" w:rsidRDefault="003B1A5F" w:rsidP="003B1A5F">
    <w:pPr>
      <w:pStyle w:val="Footer"/>
      <w:tabs>
        <w:tab w:val="clear" w:pos="4153"/>
        <w:tab w:val="clear" w:pos="8306"/>
        <w:tab w:val="center" w:pos="4150"/>
        <w:tab w:val="right" w:pos="8307"/>
      </w:tabs>
      <w:spacing w:before="120"/>
      <w:rPr>
        <w:i/>
        <w:sz w:val="18"/>
      </w:rPr>
    </w:pPr>
    <w:r w:rsidRPr="003B1A5F">
      <w:rPr>
        <w:i/>
        <w:sz w:val="18"/>
      </w:rPr>
      <w:t>OPC66601 -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3395" w14:textId="77777777" w:rsidR="00B523A5" w:rsidRPr="00E33C1C" w:rsidRDefault="00B523A5" w:rsidP="00EF1F1D">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523A5" w14:paraId="3227B386" w14:textId="77777777" w:rsidTr="007C1F49">
      <w:tc>
        <w:tcPr>
          <w:tcW w:w="709" w:type="dxa"/>
          <w:tcBorders>
            <w:top w:val="nil"/>
            <w:left w:val="nil"/>
            <w:bottom w:val="nil"/>
            <w:right w:val="nil"/>
          </w:tcBorders>
        </w:tcPr>
        <w:p w14:paraId="7A06BA82" w14:textId="2B4CE7DE" w:rsidR="00B523A5" w:rsidRDefault="00B523A5" w:rsidP="00EF1F1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4A1">
            <w:rPr>
              <w:i/>
              <w:noProof/>
              <w:sz w:val="18"/>
            </w:rPr>
            <w:t>ii</w:t>
          </w:r>
          <w:r w:rsidRPr="00ED79B6">
            <w:rPr>
              <w:i/>
              <w:sz w:val="18"/>
            </w:rPr>
            <w:fldChar w:fldCharType="end"/>
          </w:r>
        </w:p>
      </w:tc>
      <w:tc>
        <w:tcPr>
          <w:tcW w:w="6379" w:type="dxa"/>
          <w:tcBorders>
            <w:top w:val="nil"/>
            <w:left w:val="nil"/>
            <w:bottom w:val="nil"/>
            <w:right w:val="nil"/>
          </w:tcBorders>
        </w:tcPr>
        <w:p w14:paraId="6F2E1631" w14:textId="0C6222C7" w:rsidR="00B523A5" w:rsidRDefault="00B523A5" w:rsidP="00EF1F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1384" w:type="dxa"/>
          <w:tcBorders>
            <w:top w:val="nil"/>
            <w:left w:val="nil"/>
            <w:bottom w:val="nil"/>
            <w:right w:val="nil"/>
          </w:tcBorders>
        </w:tcPr>
        <w:p w14:paraId="56165780" w14:textId="77777777" w:rsidR="00B523A5" w:rsidRDefault="00B523A5" w:rsidP="00EF1F1D">
          <w:pPr>
            <w:spacing w:line="0" w:lineRule="atLeast"/>
            <w:jc w:val="right"/>
            <w:rPr>
              <w:sz w:val="18"/>
            </w:rPr>
          </w:pPr>
        </w:p>
      </w:tc>
    </w:tr>
  </w:tbl>
  <w:p w14:paraId="381EF658" w14:textId="77777777" w:rsidR="00B523A5" w:rsidRPr="003B1A5F" w:rsidRDefault="003B1A5F" w:rsidP="003B1A5F">
    <w:pPr>
      <w:rPr>
        <w:rFonts w:cs="Times New Roman"/>
        <w:i/>
        <w:sz w:val="18"/>
      </w:rPr>
    </w:pPr>
    <w:r w:rsidRPr="003B1A5F">
      <w:rPr>
        <w:rFonts w:cs="Times New Roman"/>
        <w:i/>
        <w:sz w:val="18"/>
      </w:rPr>
      <w:t>OPC66601 -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1019" w14:textId="77777777" w:rsidR="00B523A5" w:rsidRPr="00E33C1C" w:rsidRDefault="00B523A5" w:rsidP="00EF1F1D">
    <w:pPr>
      <w:pBdr>
        <w:top w:val="single" w:sz="6" w:space="1" w:color="auto"/>
      </w:pBdr>
      <w:spacing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B523A5" w14:paraId="225253EF" w14:textId="77777777" w:rsidTr="00EF1F1D">
      <w:tc>
        <w:tcPr>
          <w:tcW w:w="1383" w:type="dxa"/>
          <w:tcBorders>
            <w:top w:val="nil"/>
            <w:left w:val="nil"/>
            <w:bottom w:val="nil"/>
            <w:right w:val="nil"/>
          </w:tcBorders>
        </w:tcPr>
        <w:p w14:paraId="5B7E616D" w14:textId="77777777" w:rsidR="00B523A5" w:rsidRDefault="00B523A5" w:rsidP="00EF1F1D">
          <w:pPr>
            <w:spacing w:line="0" w:lineRule="atLeast"/>
            <w:rPr>
              <w:sz w:val="18"/>
            </w:rPr>
          </w:pPr>
        </w:p>
      </w:tc>
      <w:tc>
        <w:tcPr>
          <w:tcW w:w="6380" w:type="dxa"/>
          <w:tcBorders>
            <w:top w:val="nil"/>
            <w:left w:val="nil"/>
            <w:bottom w:val="nil"/>
            <w:right w:val="nil"/>
          </w:tcBorders>
        </w:tcPr>
        <w:p w14:paraId="1A6C8457" w14:textId="53843A1C" w:rsidR="00B523A5" w:rsidRDefault="00B523A5" w:rsidP="00EF1F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709" w:type="dxa"/>
          <w:tcBorders>
            <w:top w:val="nil"/>
            <w:left w:val="nil"/>
            <w:bottom w:val="nil"/>
            <w:right w:val="nil"/>
          </w:tcBorders>
        </w:tcPr>
        <w:p w14:paraId="501DCD1B" w14:textId="0622537B" w:rsidR="00B523A5" w:rsidRDefault="00B523A5" w:rsidP="00EF1F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4A1">
            <w:rPr>
              <w:i/>
              <w:noProof/>
              <w:sz w:val="18"/>
            </w:rPr>
            <w:t>i</w:t>
          </w:r>
          <w:r w:rsidRPr="00ED79B6">
            <w:rPr>
              <w:i/>
              <w:sz w:val="18"/>
            </w:rPr>
            <w:fldChar w:fldCharType="end"/>
          </w:r>
        </w:p>
      </w:tc>
    </w:tr>
  </w:tbl>
  <w:p w14:paraId="4B6ACA78" w14:textId="77777777" w:rsidR="00B523A5" w:rsidRPr="003B1A5F" w:rsidRDefault="003B1A5F" w:rsidP="003B1A5F">
    <w:pPr>
      <w:rPr>
        <w:rFonts w:cs="Times New Roman"/>
        <w:i/>
        <w:sz w:val="18"/>
      </w:rPr>
    </w:pPr>
    <w:r w:rsidRPr="003B1A5F">
      <w:rPr>
        <w:rFonts w:cs="Times New Roman"/>
        <w:i/>
        <w:sz w:val="18"/>
      </w:rPr>
      <w:t>OPC66601 -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1D11" w14:textId="77777777" w:rsidR="00B523A5" w:rsidRPr="003B1A5F" w:rsidRDefault="003B1A5F" w:rsidP="003B1A5F">
    <w:pPr>
      <w:pStyle w:val="Footer"/>
      <w:rPr>
        <w:i/>
        <w:sz w:val="18"/>
      </w:rPr>
    </w:pPr>
    <w:r w:rsidRPr="003B1A5F">
      <w:rPr>
        <w:i/>
        <w:sz w:val="18"/>
      </w:rPr>
      <w:t>OPC66601 -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CE2A" w14:textId="77777777" w:rsidR="00B523A5" w:rsidRPr="00E33C1C" w:rsidRDefault="00B523A5" w:rsidP="001F741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B523A5" w14:paraId="01D9381B" w14:textId="77777777" w:rsidTr="00876AFF">
      <w:tc>
        <w:tcPr>
          <w:tcW w:w="418" w:type="pct"/>
          <w:tcBorders>
            <w:top w:val="nil"/>
            <w:left w:val="nil"/>
            <w:bottom w:val="nil"/>
            <w:right w:val="nil"/>
          </w:tcBorders>
        </w:tcPr>
        <w:p w14:paraId="30580BBB" w14:textId="437E9B9E" w:rsidR="00B523A5" w:rsidRDefault="00B523A5" w:rsidP="001F741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4A1">
            <w:rPr>
              <w:i/>
              <w:noProof/>
              <w:sz w:val="18"/>
            </w:rPr>
            <w:t>16</w:t>
          </w:r>
          <w:r w:rsidRPr="00ED79B6">
            <w:rPr>
              <w:i/>
              <w:sz w:val="18"/>
            </w:rPr>
            <w:fldChar w:fldCharType="end"/>
          </w:r>
        </w:p>
      </w:tc>
      <w:tc>
        <w:tcPr>
          <w:tcW w:w="3765" w:type="pct"/>
          <w:tcBorders>
            <w:top w:val="nil"/>
            <w:left w:val="nil"/>
            <w:bottom w:val="nil"/>
            <w:right w:val="nil"/>
          </w:tcBorders>
        </w:tcPr>
        <w:p w14:paraId="3CC6E30B" w14:textId="4C56F748"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817" w:type="pct"/>
          <w:tcBorders>
            <w:top w:val="nil"/>
            <w:left w:val="nil"/>
            <w:bottom w:val="nil"/>
            <w:right w:val="nil"/>
          </w:tcBorders>
        </w:tcPr>
        <w:p w14:paraId="3500FC3B" w14:textId="77777777" w:rsidR="00B523A5" w:rsidRDefault="00B523A5" w:rsidP="001F741D">
          <w:pPr>
            <w:spacing w:line="0" w:lineRule="atLeast"/>
            <w:jc w:val="right"/>
            <w:rPr>
              <w:sz w:val="18"/>
            </w:rPr>
          </w:pPr>
        </w:p>
      </w:tc>
    </w:tr>
  </w:tbl>
  <w:p w14:paraId="054A2107" w14:textId="77777777" w:rsidR="00B523A5" w:rsidRPr="003B1A5F" w:rsidRDefault="003B1A5F" w:rsidP="003B1A5F">
    <w:pPr>
      <w:rPr>
        <w:rFonts w:cs="Times New Roman"/>
        <w:i/>
        <w:sz w:val="18"/>
      </w:rPr>
    </w:pPr>
    <w:r w:rsidRPr="003B1A5F">
      <w:rPr>
        <w:rFonts w:cs="Times New Roman"/>
        <w:i/>
        <w:sz w:val="18"/>
      </w:rPr>
      <w:t>OPC66601 -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96F7" w14:textId="77777777" w:rsidR="00B523A5" w:rsidRPr="00E33C1C" w:rsidRDefault="00B523A5" w:rsidP="001F741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B523A5" w14:paraId="48482B0D" w14:textId="77777777" w:rsidTr="00876AFF">
      <w:tc>
        <w:tcPr>
          <w:tcW w:w="817" w:type="pct"/>
          <w:tcBorders>
            <w:top w:val="nil"/>
            <w:left w:val="nil"/>
            <w:bottom w:val="nil"/>
            <w:right w:val="nil"/>
          </w:tcBorders>
        </w:tcPr>
        <w:p w14:paraId="202E8EB3" w14:textId="77777777" w:rsidR="00B523A5" w:rsidRDefault="00B523A5" w:rsidP="001F741D">
          <w:pPr>
            <w:spacing w:line="0" w:lineRule="atLeast"/>
            <w:rPr>
              <w:sz w:val="18"/>
            </w:rPr>
          </w:pPr>
        </w:p>
      </w:tc>
      <w:tc>
        <w:tcPr>
          <w:tcW w:w="3765" w:type="pct"/>
          <w:tcBorders>
            <w:top w:val="nil"/>
            <w:left w:val="nil"/>
            <w:bottom w:val="nil"/>
            <w:right w:val="nil"/>
          </w:tcBorders>
        </w:tcPr>
        <w:p w14:paraId="35253D79" w14:textId="6205D529"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418" w:type="pct"/>
          <w:tcBorders>
            <w:top w:val="nil"/>
            <w:left w:val="nil"/>
            <w:bottom w:val="nil"/>
            <w:right w:val="nil"/>
          </w:tcBorders>
        </w:tcPr>
        <w:p w14:paraId="70B419A1" w14:textId="175866DB" w:rsidR="00B523A5" w:rsidRDefault="00B523A5" w:rsidP="001F74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4A1">
            <w:rPr>
              <w:i/>
              <w:noProof/>
              <w:sz w:val="18"/>
            </w:rPr>
            <w:t>17</w:t>
          </w:r>
          <w:r w:rsidRPr="00ED79B6">
            <w:rPr>
              <w:i/>
              <w:sz w:val="18"/>
            </w:rPr>
            <w:fldChar w:fldCharType="end"/>
          </w:r>
        </w:p>
      </w:tc>
    </w:tr>
  </w:tbl>
  <w:p w14:paraId="13A86B6A" w14:textId="77777777" w:rsidR="00B523A5" w:rsidRPr="003B1A5F" w:rsidRDefault="003B1A5F" w:rsidP="003B1A5F">
    <w:pPr>
      <w:rPr>
        <w:rFonts w:cs="Times New Roman"/>
        <w:i/>
        <w:sz w:val="18"/>
      </w:rPr>
    </w:pPr>
    <w:r w:rsidRPr="003B1A5F">
      <w:rPr>
        <w:rFonts w:cs="Times New Roman"/>
        <w:i/>
        <w:sz w:val="18"/>
      </w:rPr>
      <w:t>OPC66601 - 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6086" w14:textId="77777777" w:rsidR="00B523A5" w:rsidRPr="00E33C1C" w:rsidRDefault="00B523A5" w:rsidP="001F741D">
    <w:pPr>
      <w:pBdr>
        <w:top w:val="single" w:sz="6" w:space="1" w:color="auto"/>
      </w:pBdr>
      <w:spacing w:line="0" w:lineRule="atLeast"/>
      <w:rPr>
        <w:sz w:val="16"/>
        <w:szCs w:val="16"/>
      </w:rPr>
    </w:pPr>
  </w:p>
  <w:tbl>
    <w:tblPr>
      <w:tblStyle w:val="TableGrid"/>
      <w:tblW w:w="4873" w:type="pct"/>
      <w:tblLook w:val="04A0" w:firstRow="1" w:lastRow="0" w:firstColumn="1" w:lastColumn="0" w:noHBand="0" w:noVBand="1"/>
    </w:tblPr>
    <w:tblGrid>
      <w:gridCol w:w="1368"/>
      <w:gridCol w:w="6240"/>
      <w:gridCol w:w="705"/>
    </w:tblGrid>
    <w:tr w:rsidR="00B523A5" w14:paraId="0A0E1E65" w14:textId="77777777" w:rsidTr="007C1F49">
      <w:tc>
        <w:tcPr>
          <w:tcW w:w="823" w:type="pct"/>
          <w:tcBorders>
            <w:top w:val="nil"/>
            <w:left w:val="nil"/>
            <w:bottom w:val="nil"/>
            <w:right w:val="nil"/>
          </w:tcBorders>
        </w:tcPr>
        <w:p w14:paraId="5A58C381" w14:textId="77777777" w:rsidR="00B523A5" w:rsidRDefault="00B523A5" w:rsidP="001F741D">
          <w:pPr>
            <w:spacing w:line="0" w:lineRule="atLeast"/>
            <w:rPr>
              <w:sz w:val="18"/>
            </w:rPr>
          </w:pPr>
        </w:p>
      </w:tc>
      <w:tc>
        <w:tcPr>
          <w:tcW w:w="3753" w:type="pct"/>
          <w:tcBorders>
            <w:top w:val="nil"/>
            <w:left w:val="nil"/>
            <w:bottom w:val="nil"/>
            <w:right w:val="nil"/>
          </w:tcBorders>
        </w:tcPr>
        <w:p w14:paraId="1A510900" w14:textId="7683B3D5" w:rsidR="00B523A5" w:rsidRDefault="00B523A5" w:rsidP="001F74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E66">
            <w:rPr>
              <w:i/>
              <w:sz w:val="18"/>
            </w:rPr>
            <w:t>Explosives Regulations 2024</w:t>
          </w:r>
          <w:r w:rsidRPr="007A1328">
            <w:rPr>
              <w:i/>
              <w:sz w:val="18"/>
            </w:rPr>
            <w:fldChar w:fldCharType="end"/>
          </w:r>
        </w:p>
      </w:tc>
      <w:tc>
        <w:tcPr>
          <w:tcW w:w="424" w:type="pct"/>
          <w:tcBorders>
            <w:top w:val="nil"/>
            <w:left w:val="nil"/>
            <w:bottom w:val="nil"/>
            <w:right w:val="nil"/>
          </w:tcBorders>
        </w:tcPr>
        <w:p w14:paraId="31D31660" w14:textId="77777777" w:rsidR="00B523A5" w:rsidRDefault="00B523A5" w:rsidP="001F74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AB0C109" w14:textId="77777777" w:rsidR="00B523A5" w:rsidRPr="003B1A5F" w:rsidRDefault="003B1A5F" w:rsidP="003B1A5F">
    <w:pPr>
      <w:rPr>
        <w:rFonts w:cs="Times New Roman"/>
        <w:i/>
        <w:sz w:val="18"/>
      </w:rPr>
    </w:pPr>
    <w:r w:rsidRPr="003B1A5F">
      <w:rPr>
        <w:rFonts w:cs="Times New Roman"/>
        <w:i/>
        <w:sz w:val="18"/>
      </w:rPr>
      <w:t>OPC66601 -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33660" w14:textId="77777777" w:rsidR="00F55185" w:rsidRDefault="00F55185" w:rsidP="00715914">
      <w:pPr>
        <w:spacing w:line="240" w:lineRule="auto"/>
      </w:pPr>
      <w:r>
        <w:separator/>
      </w:r>
    </w:p>
  </w:footnote>
  <w:footnote w:type="continuationSeparator" w:id="0">
    <w:p w14:paraId="27BEEE7D" w14:textId="77777777" w:rsidR="00F55185" w:rsidRDefault="00F5518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8B64" w14:textId="77777777" w:rsidR="00B523A5" w:rsidRPr="005F1388" w:rsidRDefault="00B523A5" w:rsidP="001F741D">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EC87" w14:textId="6B6248D6" w:rsidR="00B523A5" w:rsidRDefault="00B523A5" w:rsidP="001F741D">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56B9A">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56B9A">
      <w:rPr>
        <w:noProof/>
        <w:sz w:val="20"/>
      </w:rPr>
      <w:t>Modifications of the AE Code in relation to Commonwealth explosives</w:t>
    </w:r>
    <w:r>
      <w:rPr>
        <w:sz w:val="20"/>
      </w:rPr>
      <w:fldChar w:fldCharType="end"/>
    </w:r>
  </w:p>
  <w:p w14:paraId="2073DD9F" w14:textId="5C9BB85C" w:rsidR="00B523A5" w:rsidRDefault="00B523A5" w:rsidP="001F741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809E9CA" w14:textId="4BD4F640" w:rsidR="00B523A5" w:rsidRPr="007A1328" w:rsidRDefault="00B523A5" w:rsidP="001F741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F5AB9BB" w14:textId="77777777" w:rsidR="00B523A5" w:rsidRPr="007A1328" w:rsidRDefault="00B523A5" w:rsidP="001F741D">
    <w:pPr>
      <w:rPr>
        <w:b/>
        <w:sz w:val="24"/>
      </w:rPr>
    </w:pPr>
  </w:p>
  <w:p w14:paraId="6694227C" w14:textId="77777777" w:rsidR="00B523A5" w:rsidRPr="007A1328" w:rsidRDefault="00B523A5" w:rsidP="001F741D">
    <w:pPr>
      <w:pBdr>
        <w:bottom w:val="single" w:sz="6" w:space="1" w:color="auto"/>
      </w:pBd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BC53" w14:textId="25CC78DC" w:rsidR="00B523A5" w:rsidRPr="007A1328" w:rsidRDefault="00B523A5" w:rsidP="001F741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56B9A">
      <w:rPr>
        <w:noProof/>
        <w:sz w:val="20"/>
      </w:rPr>
      <w:t>Modifications of the AE Code in relation to Commonwealth explosives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56B9A">
      <w:rPr>
        <w:b/>
        <w:noProof/>
        <w:sz w:val="20"/>
      </w:rPr>
      <w:t>Schedule 1</w:t>
    </w:r>
    <w:r>
      <w:rPr>
        <w:b/>
        <w:sz w:val="20"/>
      </w:rPr>
      <w:fldChar w:fldCharType="end"/>
    </w:r>
  </w:p>
  <w:p w14:paraId="4A0BA893" w14:textId="11824193" w:rsidR="00B523A5" w:rsidRPr="007A1328" w:rsidRDefault="00B523A5" w:rsidP="001F741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C4EE2DF" w14:textId="1C30F626" w:rsidR="00B523A5" w:rsidRPr="007A1328" w:rsidRDefault="00B523A5" w:rsidP="001F741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9626C30" w14:textId="77777777" w:rsidR="00B523A5" w:rsidRPr="007A1328" w:rsidRDefault="00B523A5" w:rsidP="001F741D">
    <w:pPr>
      <w:jc w:val="right"/>
      <w:rPr>
        <w:b/>
        <w:sz w:val="24"/>
      </w:rPr>
    </w:pPr>
  </w:p>
  <w:p w14:paraId="0FDD4BDA" w14:textId="77777777" w:rsidR="00B523A5" w:rsidRPr="007A1328" w:rsidRDefault="00B523A5" w:rsidP="001F741D">
    <w:pPr>
      <w:pBdr>
        <w:bottom w:val="single" w:sz="6" w:space="1" w:color="auto"/>
      </w:pBdr>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C96A" w14:textId="77777777" w:rsidR="00B523A5" w:rsidRPr="007A1328" w:rsidRDefault="00B523A5" w:rsidP="001F741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423C" w14:textId="75291465" w:rsidR="00B523A5" w:rsidRDefault="00B523A5" w:rsidP="001F741D">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56B9A">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56B9A">
      <w:rPr>
        <w:noProof/>
        <w:sz w:val="20"/>
      </w:rPr>
      <w:t>Commonwealth explosives areas</w:t>
    </w:r>
    <w:r>
      <w:rPr>
        <w:sz w:val="20"/>
      </w:rPr>
      <w:fldChar w:fldCharType="end"/>
    </w:r>
  </w:p>
  <w:p w14:paraId="784EC33F" w14:textId="0F65BA11" w:rsidR="00B523A5" w:rsidRDefault="00B523A5" w:rsidP="001F741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56B9A">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56B9A">
      <w:rPr>
        <w:noProof/>
        <w:sz w:val="20"/>
      </w:rPr>
      <w:t>Hut Forest Road, South Kiah</w:t>
    </w:r>
    <w:r>
      <w:rPr>
        <w:sz w:val="20"/>
      </w:rPr>
      <w:fldChar w:fldCharType="end"/>
    </w:r>
  </w:p>
  <w:p w14:paraId="00A544B9" w14:textId="7DB115A6" w:rsidR="00B523A5" w:rsidRPr="007A1328" w:rsidRDefault="00B523A5" w:rsidP="001F741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F4A11FF" w14:textId="77777777" w:rsidR="00B523A5" w:rsidRPr="007A1328" w:rsidRDefault="00B523A5" w:rsidP="001F741D">
    <w:pPr>
      <w:rPr>
        <w:b/>
        <w:sz w:val="24"/>
      </w:rPr>
    </w:pPr>
  </w:p>
  <w:p w14:paraId="37A14499" w14:textId="2BA50CE5" w:rsidR="00B523A5" w:rsidRPr="007A1328" w:rsidRDefault="00B523A5" w:rsidP="001F741D">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443E6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56B9A">
      <w:rPr>
        <w:noProof/>
        <w:sz w:val="24"/>
      </w:rPr>
      <w:t>1.1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FB7D" w14:textId="00F018CF" w:rsidR="00B523A5" w:rsidRPr="007A1328" w:rsidRDefault="00B523A5" w:rsidP="001F741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56B9A">
      <w:rPr>
        <w:noProof/>
        <w:sz w:val="20"/>
      </w:rPr>
      <w:t>Commonwealth explosives areas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56B9A">
      <w:rPr>
        <w:b/>
        <w:noProof/>
        <w:sz w:val="20"/>
      </w:rPr>
      <w:t>Schedule 2</w:t>
    </w:r>
    <w:r>
      <w:rPr>
        <w:b/>
        <w:sz w:val="20"/>
      </w:rPr>
      <w:fldChar w:fldCharType="end"/>
    </w:r>
  </w:p>
  <w:p w14:paraId="694FCB84" w14:textId="44106B7F" w:rsidR="00B523A5" w:rsidRPr="007A1328" w:rsidRDefault="00B523A5" w:rsidP="001F741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56B9A">
      <w:rPr>
        <w:noProof/>
        <w:sz w:val="20"/>
      </w:rPr>
      <w:t>Hut Forest Road, South Kiah</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56B9A">
      <w:rPr>
        <w:b/>
        <w:noProof/>
        <w:sz w:val="20"/>
      </w:rPr>
      <w:t>Part 1</w:t>
    </w:r>
    <w:r>
      <w:rPr>
        <w:b/>
        <w:sz w:val="20"/>
      </w:rPr>
      <w:fldChar w:fldCharType="end"/>
    </w:r>
  </w:p>
  <w:p w14:paraId="353F7061" w14:textId="3D3D6731" w:rsidR="00B523A5" w:rsidRPr="007A1328" w:rsidRDefault="00B523A5" w:rsidP="001F741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DC70284" w14:textId="77777777" w:rsidR="00B523A5" w:rsidRPr="007A1328" w:rsidRDefault="00B523A5" w:rsidP="001F741D">
    <w:pPr>
      <w:jc w:val="right"/>
      <w:rPr>
        <w:b/>
        <w:sz w:val="24"/>
      </w:rPr>
    </w:pPr>
  </w:p>
  <w:p w14:paraId="36B87485" w14:textId="360779F9" w:rsidR="00B523A5" w:rsidRPr="007A1328" w:rsidRDefault="00B523A5" w:rsidP="001F741D">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443E6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56B9A">
      <w:rPr>
        <w:noProof/>
        <w:sz w:val="24"/>
      </w:rPr>
      <w:t>1.2</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DC45" w14:textId="77777777" w:rsidR="00B523A5" w:rsidRPr="007A1328" w:rsidRDefault="00B523A5" w:rsidP="001F741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018A" w14:textId="4A840047" w:rsidR="00B523A5" w:rsidRDefault="00B523A5">
    <w:pPr>
      <w:rPr>
        <w:sz w:val="20"/>
      </w:rPr>
    </w:pPr>
    <w:r>
      <w:rPr>
        <w:b/>
        <w:sz w:val="20"/>
      </w:rPr>
      <w:fldChar w:fldCharType="begin"/>
    </w:r>
    <w:r>
      <w:rPr>
        <w:b/>
        <w:sz w:val="20"/>
      </w:rPr>
      <w:instrText xml:space="preserve"> STYLEREF CharAmSchNo </w:instrText>
    </w:r>
    <w:r>
      <w:rPr>
        <w:b/>
        <w:sz w:val="20"/>
      </w:rPr>
      <w:fldChar w:fldCharType="separate"/>
    </w:r>
    <w:r w:rsidR="00556B9A">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56B9A">
      <w:rPr>
        <w:noProof/>
        <w:sz w:val="20"/>
      </w:rPr>
      <w:t>Repeals</w:t>
    </w:r>
    <w:r>
      <w:rPr>
        <w:sz w:val="20"/>
      </w:rPr>
      <w:fldChar w:fldCharType="end"/>
    </w:r>
  </w:p>
  <w:p w14:paraId="4230E6FF" w14:textId="7AFF32C9" w:rsidR="00B523A5" w:rsidRDefault="00B523A5">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691A92A3" w14:textId="77777777" w:rsidR="00B523A5" w:rsidRDefault="00B523A5">
    <w:pPr>
      <w:pBdr>
        <w:bottom w:val="single" w:sz="6"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B1F1" w14:textId="2B2A9978" w:rsidR="00B523A5" w:rsidRDefault="00B523A5">
    <w:pPr>
      <w:jc w:val="right"/>
      <w:rPr>
        <w:sz w:val="20"/>
      </w:rPr>
    </w:pPr>
    <w:r>
      <w:rPr>
        <w:sz w:val="20"/>
      </w:rPr>
      <w:fldChar w:fldCharType="begin"/>
    </w:r>
    <w:r>
      <w:rPr>
        <w:sz w:val="20"/>
      </w:rPr>
      <w:instrText xml:space="preserve"> STYLEREF CharAmSchText </w:instrText>
    </w:r>
    <w:r>
      <w:rPr>
        <w:sz w:val="20"/>
      </w:rPr>
      <w:fldChar w:fldCharType="separate"/>
    </w:r>
    <w:r w:rsidR="00443E66">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443E66">
      <w:rPr>
        <w:b/>
        <w:noProof/>
        <w:sz w:val="20"/>
      </w:rPr>
      <w:t>Schedule 3</w:t>
    </w:r>
    <w:r>
      <w:rPr>
        <w:b/>
        <w:sz w:val="20"/>
      </w:rPr>
      <w:fldChar w:fldCharType="end"/>
    </w:r>
  </w:p>
  <w:p w14:paraId="7CF623F1" w14:textId="512253E5" w:rsidR="00B523A5" w:rsidRDefault="00B523A5">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09CDDA00" w14:textId="77777777" w:rsidR="00B523A5" w:rsidRDefault="00B523A5">
    <w:pPr>
      <w:pBdr>
        <w:bottom w:val="single" w:sz="6" w:space="1" w:color="auto"/>
      </w:pBd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E5093" w14:textId="77777777" w:rsidR="00B523A5" w:rsidRDefault="00B523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794D" w14:textId="77777777" w:rsidR="00B523A5" w:rsidRPr="005F1388" w:rsidRDefault="00B523A5" w:rsidP="001F741D">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29AD" w14:textId="77777777" w:rsidR="00B523A5" w:rsidRPr="005F1388" w:rsidRDefault="00B523A5" w:rsidP="001F741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7ED5" w14:textId="77777777" w:rsidR="00B523A5" w:rsidRPr="000B5E62" w:rsidRDefault="00B523A5" w:rsidP="00EF1F1D">
    <w:pPr>
      <w:pBdr>
        <w:bottom w:val="single" w:sz="6" w:space="1" w:color="auto"/>
      </w:pBdr>
      <w:spacing w:before="100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3251" w14:textId="77777777" w:rsidR="00B523A5" w:rsidRPr="000B5E62" w:rsidRDefault="00B523A5" w:rsidP="00EF1F1D">
    <w:pPr>
      <w:pBdr>
        <w:bottom w:val="single" w:sz="6" w:space="1" w:color="auto"/>
      </w:pBdr>
      <w:spacing w:before="100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F7D9" w14:textId="77777777" w:rsidR="00B523A5" w:rsidRPr="000B5E62" w:rsidRDefault="00B523A5" w:rsidP="00EF1F1D">
    <w:pPr>
      <w:pStyle w:val="Header"/>
      <w:tabs>
        <w:tab w:val="clear" w:pos="4150"/>
        <w:tab w:val="clear" w:pos="8307"/>
      </w:tabs>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9306" w14:textId="06156545" w:rsidR="00B523A5" w:rsidRDefault="00B523A5" w:rsidP="001F741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985FDBB" w14:textId="50B0BD9C" w:rsidR="00B523A5" w:rsidRDefault="00B523A5" w:rsidP="001F741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56B9A">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56B9A">
      <w:rPr>
        <w:noProof/>
        <w:sz w:val="20"/>
      </w:rPr>
      <w:t>Preliminary</w:t>
    </w:r>
    <w:r>
      <w:rPr>
        <w:sz w:val="20"/>
      </w:rPr>
      <w:fldChar w:fldCharType="end"/>
    </w:r>
  </w:p>
  <w:p w14:paraId="5463E3BF" w14:textId="3D9D6E7D" w:rsidR="00B523A5" w:rsidRPr="007A1328" w:rsidRDefault="00B523A5" w:rsidP="001F741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724F70C" w14:textId="77777777" w:rsidR="00B523A5" w:rsidRPr="007A1328" w:rsidRDefault="00B523A5" w:rsidP="001F741D">
    <w:pPr>
      <w:rPr>
        <w:b/>
        <w:sz w:val="24"/>
      </w:rPr>
    </w:pPr>
  </w:p>
  <w:p w14:paraId="002646FA" w14:textId="4F1ACEFA" w:rsidR="00B523A5" w:rsidRPr="007A1328" w:rsidRDefault="00B523A5" w:rsidP="001F741D">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443E6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56B9A">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1BF31" w14:textId="012D4DAF" w:rsidR="00B523A5" w:rsidRPr="007A1328" w:rsidRDefault="00B523A5" w:rsidP="001F741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1906103" w14:textId="5079A93D" w:rsidR="00B523A5" w:rsidRPr="007A1328" w:rsidRDefault="00B523A5" w:rsidP="001F741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56B9A">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56B9A">
      <w:rPr>
        <w:b/>
        <w:noProof/>
        <w:sz w:val="20"/>
      </w:rPr>
      <w:t>Part 1</w:t>
    </w:r>
    <w:r>
      <w:rPr>
        <w:b/>
        <w:sz w:val="20"/>
      </w:rPr>
      <w:fldChar w:fldCharType="end"/>
    </w:r>
  </w:p>
  <w:p w14:paraId="2AE6A25B" w14:textId="7D908FDA" w:rsidR="00B523A5" w:rsidRPr="007A1328" w:rsidRDefault="00B523A5" w:rsidP="001F741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CEF56F8" w14:textId="77777777" w:rsidR="00B523A5" w:rsidRPr="007A1328" w:rsidRDefault="00B523A5" w:rsidP="001F741D">
    <w:pPr>
      <w:jc w:val="right"/>
      <w:rPr>
        <w:b/>
        <w:sz w:val="24"/>
      </w:rPr>
    </w:pPr>
  </w:p>
  <w:p w14:paraId="34E86719" w14:textId="4048A1E9" w:rsidR="00B523A5" w:rsidRPr="007A1328" w:rsidRDefault="00B523A5" w:rsidP="001F741D">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443E6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56B9A">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7D28" w14:textId="77777777" w:rsidR="00B523A5" w:rsidRPr="007A1328" w:rsidRDefault="00B523A5" w:rsidP="001F74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E5374C1"/>
    <w:multiLevelType w:val="hybridMultilevel"/>
    <w:tmpl w:val="4DEA5910"/>
    <w:lvl w:ilvl="0" w:tplc="2FE82984">
      <w:numFmt w:val="bullet"/>
      <w:lvlText w:val="-"/>
      <w:lvlJc w:val="left"/>
      <w:pPr>
        <w:ind w:left="420" w:hanging="360"/>
      </w:pPr>
      <w:rPr>
        <w:rFonts w:ascii="Times New Roman" w:eastAsiaTheme="minorHAnsi" w:hAnsi="Times New Roman" w:cs="Times New Roman" w:hint="default"/>
        <w:color w:val="auto"/>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6B61277F"/>
    <w:multiLevelType w:val="hybridMultilevel"/>
    <w:tmpl w:val="C6DA4E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6"/>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DE0"/>
    <w:rsid w:val="00001B7E"/>
    <w:rsid w:val="00003B09"/>
    <w:rsid w:val="00004470"/>
    <w:rsid w:val="00007EB2"/>
    <w:rsid w:val="00007FAD"/>
    <w:rsid w:val="000118C5"/>
    <w:rsid w:val="000121BB"/>
    <w:rsid w:val="000136AF"/>
    <w:rsid w:val="00013C42"/>
    <w:rsid w:val="0001549F"/>
    <w:rsid w:val="00022E1D"/>
    <w:rsid w:val="0002346B"/>
    <w:rsid w:val="00023F45"/>
    <w:rsid w:val="000247A8"/>
    <w:rsid w:val="00027601"/>
    <w:rsid w:val="00027C8E"/>
    <w:rsid w:val="000309A9"/>
    <w:rsid w:val="0003165D"/>
    <w:rsid w:val="00033B09"/>
    <w:rsid w:val="00034280"/>
    <w:rsid w:val="000342E5"/>
    <w:rsid w:val="00035A23"/>
    <w:rsid w:val="00040A78"/>
    <w:rsid w:val="000437C1"/>
    <w:rsid w:val="000444D6"/>
    <w:rsid w:val="00045036"/>
    <w:rsid w:val="00045A52"/>
    <w:rsid w:val="00045EE4"/>
    <w:rsid w:val="00045FCC"/>
    <w:rsid w:val="00046230"/>
    <w:rsid w:val="00046F48"/>
    <w:rsid w:val="000507F4"/>
    <w:rsid w:val="00051739"/>
    <w:rsid w:val="00053470"/>
    <w:rsid w:val="0005365D"/>
    <w:rsid w:val="000545F8"/>
    <w:rsid w:val="000608B6"/>
    <w:rsid w:val="00060B65"/>
    <w:rsid w:val="000614BF"/>
    <w:rsid w:val="00062DBF"/>
    <w:rsid w:val="000640AC"/>
    <w:rsid w:val="0006493E"/>
    <w:rsid w:val="000668B0"/>
    <w:rsid w:val="0007277F"/>
    <w:rsid w:val="00072C0D"/>
    <w:rsid w:val="000743E9"/>
    <w:rsid w:val="000773EA"/>
    <w:rsid w:val="00080B3B"/>
    <w:rsid w:val="00080BC6"/>
    <w:rsid w:val="00081E3D"/>
    <w:rsid w:val="00082388"/>
    <w:rsid w:val="0008319C"/>
    <w:rsid w:val="00083BFB"/>
    <w:rsid w:val="00083E7F"/>
    <w:rsid w:val="00084CC5"/>
    <w:rsid w:val="00085195"/>
    <w:rsid w:val="00085C39"/>
    <w:rsid w:val="00085CE2"/>
    <w:rsid w:val="0008754A"/>
    <w:rsid w:val="000908D2"/>
    <w:rsid w:val="00090D39"/>
    <w:rsid w:val="000915AA"/>
    <w:rsid w:val="00091610"/>
    <w:rsid w:val="00091D2A"/>
    <w:rsid w:val="000926F0"/>
    <w:rsid w:val="000927F6"/>
    <w:rsid w:val="00092FB4"/>
    <w:rsid w:val="0009370D"/>
    <w:rsid w:val="00095D9A"/>
    <w:rsid w:val="000977EA"/>
    <w:rsid w:val="000A010C"/>
    <w:rsid w:val="000A0696"/>
    <w:rsid w:val="000A161D"/>
    <w:rsid w:val="000A2239"/>
    <w:rsid w:val="000A2995"/>
    <w:rsid w:val="000A4042"/>
    <w:rsid w:val="000A7274"/>
    <w:rsid w:val="000B30A9"/>
    <w:rsid w:val="000B58FA"/>
    <w:rsid w:val="000B5F63"/>
    <w:rsid w:val="000B70FD"/>
    <w:rsid w:val="000B7E30"/>
    <w:rsid w:val="000C0223"/>
    <w:rsid w:val="000C0A02"/>
    <w:rsid w:val="000C0E7B"/>
    <w:rsid w:val="000C20C5"/>
    <w:rsid w:val="000C29EC"/>
    <w:rsid w:val="000C339D"/>
    <w:rsid w:val="000C707A"/>
    <w:rsid w:val="000C7469"/>
    <w:rsid w:val="000D05EF"/>
    <w:rsid w:val="000D0D19"/>
    <w:rsid w:val="000D326C"/>
    <w:rsid w:val="000D3690"/>
    <w:rsid w:val="000D4F31"/>
    <w:rsid w:val="000D4FC7"/>
    <w:rsid w:val="000D55E0"/>
    <w:rsid w:val="000D5948"/>
    <w:rsid w:val="000D7337"/>
    <w:rsid w:val="000E1232"/>
    <w:rsid w:val="000E1E2A"/>
    <w:rsid w:val="000E2261"/>
    <w:rsid w:val="000E2CC9"/>
    <w:rsid w:val="000E3006"/>
    <w:rsid w:val="000E439D"/>
    <w:rsid w:val="000E572D"/>
    <w:rsid w:val="000E7B17"/>
    <w:rsid w:val="000F0064"/>
    <w:rsid w:val="000F21C1"/>
    <w:rsid w:val="000F6320"/>
    <w:rsid w:val="001015AD"/>
    <w:rsid w:val="00101A65"/>
    <w:rsid w:val="00104B8F"/>
    <w:rsid w:val="0010745C"/>
    <w:rsid w:val="00112202"/>
    <w:rsid w:val="00115AFF"/>
    <w:rsid w:val="00116663"/>
    <w:rsid w:val="00116EC8"/>
    <w:rsid w:val="00121C5B"/>
    <w:rsid w:val="00121C67"/>
    <w:rsid w:val="0012244C"/>
    <w:rsid w:val="001237A1"/>
    <w:rsid w:val="0012667E"/>
    <w:rsid w:val="001274F5"/>
    <w:rsid w:val="00127E0C"/>
    <w:rsid w:val="00127E76"/>
    <w:rsid w:val="001302EF"/>
    <w:rsid w:val="001314CF"/>
    <w:rsid w:val="00131D78"/>
    <w:rsid w:val="00132CEB"/>
    <w:rsid w:val="00134B36"/>
    <w:rsid w:val="0013579F"/>
    <w:rsid w:val="001366B9"/>
    <w:rsid w:val="00140B71"/>
    <w:rsid w:val="00141598"/>
    <w:rsid w:val="001417F6"/>
    <w:rsid w:val="001419BC"/>
    <w:rsid w:val="00142020"/>
    <w:rsid w:val="00142B62"/>
    <w:rsid w:val="00142FC6"/>
    <w:rsid w:val="001436C7"/>
    <w:rsid w:val="001436FF"/>
    <w:rsid w:val="00144AA1"/>
    <w:rsid w:val="0014539C"/>
    <w:rsid w:val="0014643C"/>
    <w:rsid w:val="00146AEA"/>
    <w:rsid w:val="0015048F"/>
    <w:rsid w:val="00150841"/>
    <w:rsid w:val="00150999"/>
    <w:rsid w:val="00150AA4"/>
    <w:rsid w:val="00150F28"/>
    <w:rsid w:val="001513ED"/>
    <w:rsid w:val="00151421"/>
    <w:rsid w:val="00151DA2"/>
    <w:rsid w:val="00153893"/>
    <w:rsid w:val="001555BF"/>
    <w:rsid w:val="00157B8B"/>
    <w:rsid w:val="00157BA3"/>
    <w:rsid w:val="00157E92"/>
    <w:rsid w:val="00157F36"/>
    <w:rsid w:val="00160740"/>
    <w:rsid w:val="0016175F"/>
    <w:rsid w:val="00161C9E"/>
    <w:rsid w:val="0016231F"/>
    <w:rsid w:val="0016390B"/>
    <w:rsid w:val="00164639"/>
    <w:rsid w:val="00166C2F"/>
    <w:rsid w:val="00167137"/>
    <w:rsid w:val="0016729D"/>
    <w:rsid w:val="00167C03"/>
    <w:rsid w:val="0017005A"/>
    <w:rsid w:val="0017048D"/>
    <w:rsid w:val="00170776"/>
    <w:rsid w:val="00171D1C"/>
    <w:rsid w:val="001721AC"/>
    <w:rsid w:val="0017268C"/>
    <w:rsid w:val="00172C9A"/>
    <w:rsid w:val="00174D8D"/>
    <w:rsid w:val="00175EE9"/>
    <w:rsid w:val="001769A7"/>
    <w:rsid w:val="00177E1B"/>
    <w:rsid w:val="00180746"/>
    <w:rsid w:val="001809D7"/>
    <w:rsid w:val="00182CB0"/>
    <w:rsid w:val="00183133"/>
    <w:rsid w:val="001851A1"/>
    <w:rsid w:val="00185BE8"/>
    <w:rsid w:val="00186668"/>
    <w:rsid w:val="00190882"/>
    <w:rsid w:val="00190DF2"/>
    <w:rsid w:val="001939E1"/>
    <w:rsid w:val="00194C3E"/>
    <w:rsid w:val="00195382"/>
    <w:rsid w:val="001957A0"/>
    <w:rsid w:val="00196481"/>
    <w:rsid w:val="0019695A"/>
    <w:rsid w:val="00196D39"/>
    <w:rsid w:val="00196D8B"/>
    <w:rsid w:val="001A03F4"/>
    <w:rsid w:val="001A0569"/>
    <w:rsid w:val="001A391A"/>
    <w:rsid w:val="001A41C9"/>
    <w:rsid w:val="001A62D0"/>
    <w:rsid w:val="001B3D60"/>
    <w:rsid w:val="001B609B"/>
    <w:rsid w:val="001B6D99"/>
    <w:rsid w:val="001B6DCD"/>
    <w:rsid w:val="001B757A"/>
    <w:rsid w:val="001B7DF5"/>
    <w:rsid w:val="001C0ABD"/>
    <w:rsid w:val="001C15E3"/>
    <w:rsid w:val="001C382D"/>
    <w:rsid w:val="001C54F1"/>
    <w:rsid w:val="001C61C5"/>
    <w:rsid w:val="001C65CF"/>
    <w:rsid w:val="001C69C4"/>
    <w:rsid w:val="001C7C83"/>
    <w:rsid w:val="001D0FED"/>
    <w:rsid w:val="001D37EF"/>
    <w:rsid w:val="001D3F90"/>
    <w:rsid w:val="001D4242"/>
    <w:rsid w:val="001D5C59"/>
    <w:rsid w:val="001D6BF9"/>
    <w:rsid w:val="001D71D2"/>
    <w:rsid w:val="001D7A5E"/>
    <w:rsid w:val="001E3590"/>
    <w:rsid w:val="001E4F49"/>
    <w:rsid w:val="001E6250"/>
    <w:rsid w:val="001E6777"/>
    <w:rsid w:val="001E7407"/>
    <w:rsid w:val="001F098B"/>
    <w:rsid w:val="001F1727"/>
    <w:rsid w:val="001F298D"/>
    <w:rsid w:val="001F2C8F"/>
    <w:rsid w:val="001F451C"/>
    <w:rsid w:val="001F53B4"/>
    <w:rsid w:val="001F5D5E"/>
    <w:rsid w:val="001F6219"/>
    <w:rsid w:val="001F66AB"/>
    <w:rsid w:val="001F6CD4"/>
    <w:rsid w:val="001F7341"/>
    <w:rsid w:val="001F741D"/>
    <w:rsid w:val="001F7EFC"/>
    <w:rsid w:val="002013BC"/>
    <w:rsid w:val="002018E9"/>
    <w:rsid w:val="00202AD1"/>
    <w:rsid w:val="002030FE"/>
    <w:rsid w:val="00204235"/>
    <w:rsid w:val="0020461B"/>
    <w:rsid w:val="0020509F"/>
    <w:rsid w:val="00205295"/>
    <w:rsid w:val="00205EC5"/>
    <w:rsid w:val="00206C4D"/>
    <w:rsid w:val="0020789F"/>
    <w:rsid w:val="0021053C"/>
    <w:rsid w:val="00210922"/>
    <w:rsid w:val="00212321"/>
    <w:rsid w:val="00212E68"/>
    <w:rsid w:val="002134B1"/>
    <w:rsid w:val="002150FD"/>
    <w:rsid w:val="00215AF1"/>
    <w:rsid w:val="00215F20"/>
    <w:rsid w:val="0021628F"/>
    <w:rsid w:val="00221929"/>
    <w:rsid w:val="00221B7B"/>
    <w:rsid w:val="00226562"/>
    <w:rsid w:val="002321E8"/>
    <w:rsid w:val="00234250"/>
    <w:rsid w:val="00235A75"/>
    <w:rsid w:val="00235F45"/>
    <w:rsid w:val="00236B2C"/>
    <w:rsid w:val="00236EEC"/>
    <w:rsid w:val="0024010F"/>
    <w:rsid w:val="00240215"/>
    <w:rsid w:val="00240749"/>
    <w:rsid w:val="00240996"/>
    <w:rsid w:val="00240D90"/>
    <w:rsid w:val="00241478"/>
    <w:rsid w:val="00243018"/>
    <w:rsid w:val="00245CA2"/>
    <w:rsid w:val="00246056"/>
    <w:rsid w:val="00246071"/>
    <w:rsid w:val="0025005F"/>
    <w:rsid w:val="002501E6"/>
    <w:rsid w:val="002528EF"/>
    <w:rsid w:val="002542A5"/>
    <w:rsid w:val="002549D8"/>
    <w:rsid w:val="002564A4"/>
    <w:rsid w:val="00256AE2"/>
    <w:rsid w:val="00257019"/>
    <w:rsid w:val="0025783D"/>
    <w:rsid w:val="0026048F"/>
    <w:rsid w:val="002653B0"/>
    <w:rsid w:val="0026736C"/>
    <w:rsid w:val="002675A3"/>
    <w:rsid w:val="00267E2A"/>
    <w:rsid w:val="00267F72"/>
    <w:rsid w:val="00271915"/>
    <w:rsid w:val="00273C5F"/>
    <w:rsid w:val="002750AA"/>
    <w:rsid w:val="00275B11"/>
    <w:rsid w:val="002767AC"/>
    <w:rsid w:val="00277FF7"/>
    <w:rsid w:val="00281308"/>
    <w:rsid w:val="00283BF3"/>
    <w:rsid w:val="00284719"/>
    <w:rsid w:val="00284B0C"/>
    <w:rsid w:val="00285293"/>
    <w:rsid w:val="00285883"/>
    <w:rsid w:val="00286CEA"/>
    <w:rsid w:val="00291B28"/>
    <w:rsid w:val="00292DC2"/>
    <w:rsid w:val="00293104"/>
    <w:rsid w:val="0029359D"/>
    <w:rsid w:val="00293874"/>
    <w:rsid w:val="002950E6"/>
    <w:rsid w:val="00296063"/>
    <w:rsid w:val="00297ECB"/>
    <w:rsid w:val="002A405A"/>
    <w:rsid w:val="002A60B1"/>
    <w:rsid w:val="002A6759"/>
    <w:rsid w:val="002A6C91"/>
    <w:rsid w:val="002A7BCF"/>
    <w:rsid w:val="002B21FB"/>
    <w:rsid w:val="002B38CF"/>
    <w:rsid w:val="002B42AB"/>
    <w:rsid w:val="002B559E"/>
    <w:rsid w:val="002B63F4"/>
    <w:rsid w:val="002C1BAA"/>
    <w:rsid w:val="002C2E33"/>
    <w:rsid w:val="002C4A40"/>
    <w:rsid w:val="002C5534"/>
    <w:rsid w:val="002C6157"/>
    <w:rsid w:val="002C66EB"/>
    <w:rsid w:val="002C6D1B"/>
    <w:rsid w:val="002D043A"/>
    <w:rsid w:val="002D358A"/>
    <w:rsid w:val="002D5779"/>
    <w:rsid w:val="002D6224"/>
    <w:rsid w:val="002E3212"/>
    <w:rsid w:val="002E35FE"/>
    <w:rsid w:val="002E3A85"/>
    <w:rsid w:val="002E3F4B"/>
    <w:rsid w:val="002E483F"/>
    <w:rsid w:val="002F0E6C"/>
    <w:rsid w:val="002F542A"/>
    <w:rsid w:val="002F58E6"/>
    <w:rsid w:val="002F6B91"/>
    <w:rsid w:val="002F76FF"/>
    <w:rsid w:val="002F77FD"/>
    <w:rsid w:val="00304F8B"/>
    <w:rsid w:val="0031397A"/>
    <w:rsid w:val="00313B98"/>
    <w:rsid w:val="00314038"/>
    <w:rsid w:val="00314199"/>
    <w:rsid w:val="00314D39"/>
    <w:rsid w:val="00316CA4"/>
    <w:rsid w:val="00321A66"/>
    <w:rsid w:val="003223A1"/>
    <w:rsid w:val="00322BD7"/>
    <w:rsid w:val="00323E6C"/>
    <w:rsid w:val="00324231"/>
    <w:rsid w:val="00325628"/>
    <w:rsid w:val="00327A5D"/>
    <w:rsid w:val="00330963"/>
    <w:rsid w:val="003316F1"/>
    <w:rsid w:val="00331A2F"/>
    <w:rsid w:val="003338EA"/>
    <w:rsid w:val="003343A8"/>
    <w:rsid w:val="00334969"/>
    <w:rsid w:val="003354D2"/>
    <w:rsid w:val="00335BC6"/>
    <w:rsid w:val="00336B0F"/>
    <w:rsid w:val="00336BF2"/>
    <w:rsid w:val="003400BF"/>
    <w:rsid w:val="003415D3"/>
    <w:rsid w:val="00343314"/>
    <w:rsid w:val="00344701"/>
    <w:rsid w:val="00345200"/>
    <w:rsid w:val="003461C0"/>
    <w:rsid w:val="003507F2"/>
    <w:rsid w:val="003521B2"/>
    <w:rsid w:val="00352B0F"/>
    <w:rsid w:val="00353F75"/>
    <w:rsid w:val="003540ED"/>
    <w:rsid w:val="003550E8"/>
    <w:rsid w:val="00356049"/>
    <w:rsid w:val="00356690"/>
    <w:rsid w:val="00356BAA"/>
    <w:rsid w:val="00357BF6"/>
    <w:rsid w:val="00360459"/>
    <w:rsid w:val="00363EC6"/>
    <w:rsid w:val="003649DB"/>
    <w:rsid w:val="00365905"/>
    <w:rsid w:val="003706C7"/>
    <w:rsid w:val="00370C4F"/>
    <w:rsid w:val="00376A06"/>
    <w:rsid w:val="00377C00"/>
    <w:rsid w:val="00381C7F"/>
    <w:rsid w:val="00381D99"/>
    <w:rsid w:val="0038283F"/>
    <w:rsid w:val="003834C0"/>
    <w:rsid w:val="00390C2E"/>
    <w:rsid w:val="00393B57"/>
    <w:rsid w:val="00397AC1"/>
    <w:rsid w:val="003A277B"/>
    <w:rsid w:val="003A30B7"/>
    <w:rsid w:val="003A34ED"/>
    <w:rsid w:val="003A38E9"/>
    <w:rsid w:val="003A4CCE"/>
    <w:rsid w:val="003A52F9"/>
    <w:rsid w:val="003A77E6"/>
    <w:rsid w:val="003B03D6"/>
    <w:rsid w:val="003B13C3"/>
    <w:rsid w:val="003B1A5F"/>
    <w:rsid w:val="003B20CC"/>
    <w:rsid w:val="003B77A7"/>
    <w:rsid w:val="003C14B6"/>
    <w:rsid w:val="003C1C46"/>
    <w:rsid w:val="003C2826"/>
    <w:rsid w:val="003C2F9A"/>
    <w:rsid w:val="003C557D"/>
    <w:rsid w:val="003C5B0B"/>
    <w:rsid w:val="003C6231"/>
    <w:rsid w:val="003D0B31"/>
    <w:rsid w:val="003D0BFE"/>
    <w:rsid w:val="003D1090"/>
    <w:rsid w:val="003D10B5"/>
    <w:rsid w:val="003D12EC"/>
    <w:rsid w:val="003D27C3"/>
    <w:rsid w:val="003D2D5F"/>
    <w:rsid w:val="003D5700"/>
    <w:rsid w:val="003D680B"/>
    <w:rsid w:val="003E0839"/>
    <w:rsid w:val="003E09B2"/>
    <w:rsid w:val="003E2CB5"/>
    <w:rsid w:val="003E341B"/>
    <w:rsid w:val="003E4029"/>
    <w:rsid w:val="003E4D1D"/>
    <w:rsid w:val="003E5697"/>
    <w:rsid w:val="003E5C25"/>
    <w:rsid w:val="003E600D"/>
    <w:rsid w:val="003F2925"/>
    <w:rsid w:val="003F3790"/>
    <w:rsid w:val="003F3A13"/>
    <w:rsid w:val="003F501B"/>
    <w:rsid w:val="003F777B"/>
    <w:rsid w:val="00400247"/>
    <w:rsid w:val="0040070B"/>
    <w:rsid w:val="00401554"/>
    <w:rsid w:val="0040187E"/>
    <w:rsid w:val="00403362"/>
    <w:rsid w:val="00410154"/>
    <w:rsid w:val="004116CD"/>
    <w:rsid w:val="00412727"/>
    <w:rsid w:val="00412850"/>
    <w:rsid w:val="00413BAE"/>
    <w:rsid w:val="004144EC"/>
    <w:rsid w:val="0041703E"/>
    <w:rsid w:val="00417AD9"/>
    <w:rsid w:val="00417EB9"/>
    <w:rsid w:val="00420E00"/>
    <w:rsid w:val="00421969"/>
    <w:rsid w:val="00422AC9"/>
    <w:rsid w:val="00422C24"/>
    <w:rsid w:val="00423E8B"/>
    <w:rsid w:val="00424CA9"/>
    <w:rsid w:val="004263E4"/>
    <w:rsid w:val="00431B6A"/>
    <w:rsid w:val="00431E9B"/>
    <w:rsid w:val="004321B1"/>
    <w:rsid w:val="00432D0B"/>
    <w:rsid w:val="004333B6"/>
    <w:rsid w:val="004347E1"/>
    <w:rsid w:val="00434CBD"/>
    <w:rsid w:val="0043503C"/>
    <w:rsid w:val="00435D9A"/>
    <w:rsid w:val="00435E2E"/>
    <w:rsid w:val="004374BA"/>
    <w:rsid w:val="004379E3"/>
    <w:rsid w:val="00437D4C"/>
    <w:rsid w:val="00437E5C"/>
    <w:rsid w:val="0044015E"/>
    <w:rsid w:val="004422EC"/>
    <w:rsid w:val="0044291A"/>
    <w:rsid w:val="0044299D"/>
    <w:rsid w:val="004433A2"/>
    <w:rsid w:val="004438DD"/>
    <w:rsid w:val="00443CC1"/>
    <w:rsid w:val="00443E66"/>
    <w:rsid w:val="00444ABD"/>
    <w:rsid w:val="00445986"/>
    <w:rsid w:val="00446A00"/>
    <w:rsid w:val="00446AB3"/>
    <w:rsid w:val="00447A68"/>
    <w:rsid w:val="00447E22"/>
    <w:rsid w:val="0045099E"/>
    <w:rsid w:val="00453D59"/>
    <w:rsid w:val="00455599"/>
    <w:rsid w:val="0045731A"/>
    <w:rsid w:val="00461C81"/>
    <w:rsid w:val="00461CC5"/>
    <w:rsid w:val="00462601"/>
    <w:rsid w:val="00463445"/>
    <w:rsid w:val="00463F64"/>
    <w:rsid w:val="0046552C"/>
    <w:rsid w:val="00466D56"/>
    <w:rsid w:val="00467661"/>
    <w:rsid w:val="0047058C"/>
    <w:rsid w:val="004705B7"/>
    <w:rsid w:val="00470B19"/>
    <w:rsid w:val="00472D9C"/>
    <w:rsid w:val="00472DBE"/>
    <w:rsid w:val="0047356C"/>
    <w:rsid w:val="004746C5"/>
    <w:rsid w:val="00474A19"/>
    <w:rsid w:val="00474C02"/>
    <w:rsid w:val="00480121"/>
    <w:rsid w:val="00482CDE"/>
    <w:rsid w:val="00482DF2"/>
    <w:rsid w:val="004842F7"/>
    <w:rsid w:val="004871AC"/>
    <w:rsid w:val="00487974"/>
    <w:rsid w:val="00487E48"/>
    <w:rsid w:val="0049109C"/>
    <w:rsid w:val="004927AC"/>
    <w:rsid w:val="0049414E"/>
    <w:rsid w:val="00495BC3"/>
    <w:rsid w:val="00496F97"/>
    <w:rsid w:val="0049753C"/>
    <w:rsid w:val="004A0D02"/>
    <w:rsid w:val="004A1454"/>
    <w:rsid w:val="004A39AC"/>
    <w:rsid w:val="004A5717"/>
    <w:rsid w:val="004A66A8"/>
    <w:rsid w:val="004A7768"/>
    <w:rsid w:val="004B1F50"/>
    <w:rsid w:val="004B2511"/>
    <w:rsid w:val="004B2ECC"/>
    <w:rsid w:val="004B3E2E"/>
    <w:rsid w:val="004B577E"/>
    <w:rsid w:val="004B7DC1"/>
    <w:rsid w:val="004C282C"/>
    <w:rsid w:val="004C2A13"/>
    <w:rsid w:val="004C49DC"/>
    <w:rsid w:val="004C4F27"/>
    <w:rsid w:val="004C5FFA"/>
    <w:rsid w:val="004C6AE8"/>
    <w:rsid w:val="004C7770"/>
    <w:rsid w:val="004D0A6B"/>
    <w:rsid w:val="004D1834"/>
    <w:rsid w:val="004D3491"/>
    <w:rsid w:val="004D3593"/>
    <w:rsid w:val="004D42D2"/>
    <w:rsid w:val="004D4B08"/>
    <w:rsid w:val="004D604B"/>
    <w:rsid w:val="004D6523"/>
    <w:rsid w:val="004E063A"/>
    <w:rsid w:val="004E2F35"/>
    <w:rsid w:val="004E35AE"/>
    <w:rsid w:val="004E60F8"/>
    <w:rsid w:val="004E6DCB"/>
    <w:rsid w:val="004E7519"/>
    <w:rsid w:val="004E79D0"/>
    <w:rsid w:val="004E7BEC"/>
    <w:rsid w:val="004F0AFA"/>
    <w:rsid w:val="004F11A0"/>
    <w:rsid w:val="004F1CB5"/>
    <w:rsid w:val="004F2031"/>
    <w:rsid w:val="004F2A74"/>
    <w:rsid w:val="004F53FA"/>
    <w:rsid w:val="004F59E4"/>
    <w:rsid w:val="004F68A3"/>
    <w:rsid w:val="004F78C4"/>
    <w:rsid w:val="004F7EAA"/>
    <w:rsid w:val="00500E65"/>
    <w:rsid w:val="00502C3D"/>
    <w:rsid w:val="0050323A"/>
    <w:rsid w:val="00505575"/>
    <w:rsid w:val="005055A9"/>
    <w:rsid w:val="00505D3D"/>
    <w:rsid w:val="005062D6"/>
    <w:rsid w:val="00506AF6"/>
    <w:rsid w:val="0050732B"/>
    <w:rsid w:val="005123F1"/>
    <w:rsid w:val="0051342E"/>
    <w:rsid w:val="0051480D"/>
    <w:rsid w:val="005154ED"/>
    <w:rsid w:val="00515618"/>
    <w:rsid w:val="00516B8D"/>
    <w:rsid w:val="00517C3A"/>
    <w:rsid w:val="00520A34"/>
    <w:rsid w:val="00522BC3"/>
    <w:rsid w:val="005244F9"/>
    <w:rsid w:val="00524B54"/>
    <w:rsid w:val="00524F40"/>
    <w:rsid w:val="005251FB"/>
    <w:rsid w:val="005260D5"/>
    <w:rsid w:val="00526BB3"/>
    <w:rsid w:val="0053042C"/>
    <w:rsid w:val="00530B11"/>
    <w:rsid w:val="00530F9A"/>
    <w:rsid w:val="00534827"/>
    <w:rsid w:val="0053487C"/>
    <w:rsid w:val="00535AA0"/>
    <w:rsid w:val="00537121"/>
    <w:rsid w:val="00537FBC"/>
    <w:rsid w:val="00541F96"/>
    <w:rsid w:val="005422A4"/>
    <w:rsid w:val="00543D97"/>
    <w:rsid w:val="005468A6"/>
    <w:rsid w:val="00550BD5"/>
    <w:rsid w:val="005516F3"/>
    <w:rsid w:val="005525CC"/>
    <w:rsid w:val="00554954"/>
    <w:rsid w:val="0055526D"/>
    <w:rsid w:val="005564B2"/>
    <w:rsid w:val="0055659E"/>
    <w:rsid w:val="005567A7"/>
    <w:rsid w:val="00556B9A"/>
    <w:rsid w:val="005574D1"/>
    <w:rsid w:val="00557DAD"/>
    <w:rsid w:val="00557F80"/>
    <w:rsid w:val="005607E6"/>
    <w:rsid w:val="005609A9"/>
    <w:rsid w:val="005679B0"/>
    <w:rsid w:val="005713A6"/>
    <w:rsid w:val="00571F3D"/>
    <w:rsid w:val="00572401"/>
    <w:rsid w:val="00574FC9"/>
    <w:rsid w:val="00575040"/>
    <w:rsid w:val="0057593D"/>
    <w:rsid w:val="00575B7C"/>
    <w:rsid w:val="00576E78"/>
    <w:rsid w:val="00580258"/>
    <w:rsid w:val="005815AB"/>
    <w:rsid w:val="00582970"/>
    <w:rsid w:val="00584468"/>
    <w:rsid w:val="00584811"/>
    <w:rsid w:val="00584D56"/>
    <w:rsid w:val="005852E1"/>
    <w:rsid w:val="0058543D"/>
    <w:rsid w:val="00585784"/>
    <w:rsid w:val="0058605D"/>
    <w:rsid w:val="00587035"/>
    <w:rsid w:val="0058711C"/>
    <w:rsid w:val="00587E08"/>
    <w:rsid w:val="00591D15"/>
    <w:rsid w:val="00592A56"/>
    <w:rsid w:val="00593998"/>
    <w:rsid w:val="00593AA6"/>
    <w:rsid w:val="00594161"/>
    <w:rsid w:val="00594749"/>
    <w:rsid w:val="00595C95"/>
    <w:rsid w:val="005960A4"/>
    <w:rsid w:val="00596E80"/>
    <w:rsid w:val="005A375D"/>
    <w:rsid w:val="005A49BF"/>
    <w:rsid w:val="005A49C5"/>
    <w:rsid w:val="005A4D8D"/>
    <w:rsid w:val="005A4F27"/>
    <w:rsid w:val="005A545C"/>
    <w:rsid w:val="005A5DC6"/>
    <w:rsid w:val="005A6244"/>
    <w:rsid w:val="005A6983"/>
    <w:rsid w:val="005A74B5"/>
    <w:rsid w:val="005A76C0"/>
    <w:rsid w:val="005A7D04"/>
    <w:rsid w:val="005A7E11"/>
    <w:rsid w:val="005B00A4"/>
    <w:rsid w:val="005B0A19"/>
    <w:rsid w:val="005B10D0"/>
    <w:rsid w:val="005B31E6"/>
    <w:rsid w:val="005B4067"/>
    <w:rsid w:val="005B42FB"/>
    <w:rsid w:val="005B475E"/>
    <w:rsid w:val="005B5C08"/>
    <w:rsid w:val="005C1252"/>
    <w:rsid w:val="005C3098"/>
    <w:rsid w:val="005C3F41"/>
    <w:rsid w:val="005C4BCF"/>
    <w:rsid w:val="005C75E8"/>
    <w:rsid w:val="005C7D70"/>
    <w:rsid w:val="005D0214"/>
    <w:rsid w:val="005D0A5A"/>
    <w:rsid w:val="005D2015"/>
    <w:rsid w:val="005D2D09"/>
    <w:rsid w:val="005D4C9B"/>
    <w:rsid w:val="005D5798"/>
    <w:rsid w:val="005E063C"/>
    <w:rsid w:val="005E1C76"/>
    <w:rsid w:val="005E2318"/>
    <w:rsid w:val="005E2688"/>
    <w:rsid w:val="005E58C4"/>
    <w:rsid w:val="005F1A31"/>
    <w:rsid w:val="005F2CDF"/>
    <w:rsid w:val="005F3184"/>
    <w:rsid w:val="005F3693"/>
    <w:rsid w:val="005F3A5D"/>
    <w:rsid w:val="005F444B"/>
    <w:rsid w:val="005F5366"/>
    <w:rsid w:val="005F7660"/>
    <w:rsid w:val="005F7762"/>
    <w:rsid w:val="00600219"/>
    <w:rsid w:val="00603333"/>
    <w:rsid w:val="00603DC4"/>
    <w:rsid w:val="006041BC"/>
    <w:rsid w:val="00605469"/>
    <w:rsid w:val="006055AF"/>
    <w:rsid w:val="006062E4"/>
    <w:rsid w:val="006123BE"/>
    <w:rsid w:val="00612664"/>
    <w:rsid w:val="00613078"/>
    <w:rsid w:val="00613D40"/>
    <w:rsid w:val="00614361"/>
    <w:rsid w:val="0061558C"/>
    <w:rsid w:val="00617B9E"/>
    <w:rsid w:val="00620076"/>
    <w:rsid w:val="00620670"/>
    <w:rsid w:val="00621650"/>
    <w:rsid w:val="00622B08"/>
    <w:rsid w:val="00624E3C"/>
    <w:rsid w:val="006278F7"/>
    <w:rsid w:val="00630115"/>
    <w:rsid w:val="00631102"/>
    <w:rsid w:val="006311B3"/>
    <w:rsid w:val="00631BE6"/>
    <w:rsid w:val="00633BF9"/>
    <w:rsid w:val="00633D3D"/>
    <w:rsid w:val="00633EDC"/>
    <w:rsid w:val="006348BA"/>
    <w:rsid w:val="0063507A"/>
    <w:rsid w:val="0063726D"/>
    <w:rsid w:val="006379CC"/>
    <w:rsid w:val="00640BC5"/>
    <w:rsid w:val="00640D24"/>
    <w:rsid w:val="0064198A"/>
    <w:rsid w:val="00645BCE"/>
    <w:rsid w:val="00647A48"/>
    <w:rsid w:val="00650252"/>
    <w:rsid w:val="006520E6"/>
    <w:rsid w:val="00654944"/>
    <w:rsid w:val="006609DA"/>
    <w:rsid w:val="00662566"/>
    <w:rsid w:val="0066289D"/>
    <w:rsid w:val="00662A17"/>
    <w:rsid w:val="00663EC0"/>
    <w:rsid w:val="00666417"/>
    <w:rsid w:val="00666855"/>
    <w:rsid w:val="0067042E"/>
    <w:rsid w:val="00670EA1"/>
    <w:rsid w:val="006715DB"/>
    <w:rsid w:val="00672027"/>
    <w:rsid w:val="00672653"/>
    <w:rsid w:val="006750D8"/>
    <w:rsid w:val="00676D0E"/>
    <w:rsid w:val="00677C38"/>
    <w:rsid w:val="00677CC2"/>
    <w:rsid w:val="00682F12"/>
    <w:rsid w:val="00683C06"/>
    <w:rsid w:val="006842CB"/>
    <w:rsid w:val="00684748"/>
    <w:rsid w:val="00685A16"/>
    <w:rsid w:val="0068600E"/>
    <w:rsid w:val="0068747D"/>
    <w:rsid w:val="0068755C"/>
    <w:rsid w:val="0069042E"/>
    <w:rsid w:val="006905DE"/>
    <w:rsid w:val="0069088D"/>
    <w:rsid w:val="0069207B"/>
    <w:rsid w:val="006921D3"/>
    <w:rsid w:val="00692391"/>
    <w:rsid w:val="0069294D"/>
    <w:rsid w:val="006929FA"/>
    <w:rsid w:val="00692B75"/>
    <w:rsid w:val="006944A8"/>
    <w:rsid w:val="00695578"/>
    <w:rsid w:val="006A21B8"/>
    <w:rsid w:val="006A3322"/>
    <w:rsid w:val="006A36DF"/>
    <w:rsid w:val="006A7A09"/>
    <w:rsid w:val="006B02B0"/>
    <w:rsid w:val="006B2A8E"/>
    <w:rsid w:val="006B2B21"/>
    <w:rsid w:val="006B317F"/>
    <w:rsid w:val="006B4A78"/>
    <w:rsid w:val="006B4E6E"/>
    <w:rsid w:val="006B5789"/>
    <w:rsid w:val="006B695F"/>
    <w:rsid w:val="006C0525"/>
    <w:rsid w:val="006C0E0D"/>
    <w:rsid w:val="006C0E59"/>
    <w:rsid w:val="006C1765"/>
    <w:rsid w:val="006C19C3"/>
    <w:rsid w:val="006C30C5"/>
    <w:rsid w:val="006C58B6"/>
    <w:rsid w:val="006C674A"/>
    <w:rsid w:val="006C7F8C"/>
    <w:rsid w:val="006D00AF"/>
    <w:rsid w:val="006D0A08"/>
    <w:rsid w:val="006D2753"/>
    <w:rsid w:val="006D2EFF"/>
    <w:rsid w:val="006D43F4"/>
    <w:rsid w:val="006D4E83"/>
    <w:rsid w:val="006D5A8E"/>
    <w:rsid w:val="006D5B09"/>
    <w:rsid w:val="006E14E2"/>
    <w:rsid w:val="006E4B1C"/>
    <w:rsid w:val="006E6246"/>
    <w:rsid w:val="006E745F"/>
    <w:rsid w:val="006F1658"/>
    <w:rsid w:val="006F1DF0"/>
    <w:rsid w:val="006F20EE"/>
    <w:rsid w:val="006F2383"/>
    <w:rsid w:val="006F298C"/>
    <w:rsid w:val="006F318F"/>
    <w:rsid w:val="006F4226"/>
    <w:rsid w:val="0070017E"/>
    <w:rsid w:val="00700B2C"/>
    <w:rsid w:val="00701739"/>
    <w:rsid w:val="00702462"/>
    <w:rsid w:val="007047E9"/>
    <w:rsid w:val="007050A2"/>
    <w:rsid w:val="007054C1"/>
    <w:rsid w:val="007060C8"/>
    <w:rsid w:val="00707AE4"/>
    <w:rsid w:val="00710418"/>
    <w:rsid w:val="00710EBC"/>
    <w:rsid w:val="00710F89"/>
    <w:rsid w:val="00711A73"/>
    <w:rsid w:val="00713084"/>
    <w:rsid w:val="00714F20"/>
    <w:rsid w:val="0071590F"/>
    <w:rsid w:val="00715914"/>
    <w:rsid w:val="00715995"/>
    <w:rsid w:val="00716FD3"/>
    <w:rsid w:val="00717CB4"/>
    <w:rsid w:val="007214B2"/>
    <w:rsid w:val="007223CD"/>
    <w:rsid w:val="00722FDF"/>
    <w:rsid w:val="007259C7"/>
    <w:rsid w:val="00730ECE"/>
    <w:rsid w:val="00731E00"/>
    <w:rsid w:val="007334FD"/>
    <w:rsid w:val="00734A38"/>
    <w:rsid w:val="00735B35"/>
    <w:rsid w:val="007361F7"/>
    <w:rsid w:val="00736976"/>
    <w:rsid w:val="00736AF3"/>
    <w:rsid w:val="0073722E"/>
    <w:rsid w:val="00741515"/>
    <w:rsid w:val="0074280F"/>
    <w:rsid w:val="007440B7"/>
    <w:rsid w:val="007469D5"/>
    <w:rsid w:val="007478BA"/>
    <w:rsid w:val="007500C8"/>
    <w:rsid w:val="00751840"/>
    <w:rsid w:val="00752F05"/>
    <w:rsid w:val="007543BE"/>
    <w:rsid w:val="00754400"/>
    <w:rsid w:val="00754C82"/>
    <w:rsid w:val="0075585F"/>
    <w:rsid w:val="00756272"/>
    <w:rsid w:val="00757455"/>
    <w:rsid w:val="0075791E"/>
    <w:rsid w:val="0076037D"/>
    <w:rsid w:val="007651AF"/>
    <w:rsid w:val="00765D1D"/>
    <w:rsid w:val="0076681A"/>
    <w:rsid w:val="00766DE9"/>
    <w:rsid w:val="0076711B"/>
    <w:rsid w:val="0076729E"/>
    <w:rsid w:val="007677F9"/>
    <w:rsid w:val="00767F68"/>
    <w:rsid w:val="00770ADC"/>
    <w:rsid w:val="007715C9"/>
    <w:rsid w:val="00771613"/>
    <w:rsid w:val="00771EBA"/>
    <w:rsid w:val="007720CF"/>
    <w:rsid w:val="00772AD6"/>
    <w:rsid w:val="0077499D"/>
    <w:rsid w:val="00774EDD"/>
    <w:rsid w:val="0077518D"/>
    <w:rsid w:val="007757EC"/>
    <w:rsid w:val="007766B5"/>
    <w:rsid w:val="007772A3"/>
    <w:rsid w:val="00780257"/>
    <w:rsid w:val="00780655"/>
    <w:rsid w:val="00782662"/>
    <w:rsid w:val="00782B62"/>
    <w:rsid w:val="00782EC8"/>
    <w:rsid w:val="007831DD"/>
    <w:rsid w:val="00783DE4"/>
    <w:rsid w:val="00783E89"/>
    <w:rsid w:val="00784494"/>
    <w:rsid w:val="00790995"/>
    <w:rsid w:val="007913C4"/>
    <w:rsid w:val="00791655"/>
    <w:rsid w:val="00791F69"/>
    <w:rsid w:val="007924F8"/>
    <w:rsid w:val="00793915"/>
    <w:rsid w:val="007940B7"/>
    <w:rsid w:val="00794FDF"/>
    <w:rsid w:val="0079541D"/>
    <w:rsid w:val="00795598"/>
    <w:rsid w:val="007A01F1"/>
    <w:rsid w:val="007A0E9F"/>
    <w:rsid w:val="007A31A6"/>
    <w:rsid w:val="007A3942"/>
    <w:rsid w:val="007A5487"/>
    <w:rsid w:val="007A549C"/>
    <w:rsid w:val="007A71E5"/>
    <w:rsid w:val="007B3461"/>
    <w:rsid w:val="007B3DF6"/>
    <w:rsid w:val="007B75B4"/>
    <w:rsid w:val="007C1F49"/>
    <w:rsid w:val="007C1FDC"/>
    <w:rsid w:val="007C2253"/>
    <w:rsid w:val="007C2612"/>
    <w:rsid w:val="007C267B"/>
    <w:rsid w:val="007C2F5A"/>
    <w:rsid w:val="007C4BFA"/>
    <w:rsid w:val="007C5354"/>
    <w:rsid w:val="007C7A3F"/>
    <w:rsid w:val="007D0A1F"/>
    <w:rsid w:val="007D1293"/>
    <w:rsid w:val="007D18DF"/>
    <w:rsid w:val="007D29A8"/>
    <w:rsid w:val="007D375A"/>
    <w:rsid w:val="007D5A63"/>
    <w:rsid w:val="007D6CC0"/>
    <w:rsid w:val="007D7B81"/>
    <w:rsid w:val="007E163D"/>
    <w:rsid w:val="007E375E"/>
    <w:rsid w:val="007E57ED"/>
    <w:rsid w:val="007E5D95"/>
    <w:rsid w:val="007E667A"/>
    <w:rsid w:val="007F28C9"/>
    <w:rsid w:val="007F28D9"/>
    <w:rsid w:val="007F2F1C"/>
    <w:rsid w:val="007F39A0"/>
    <w:rsid w:val="007F3FD7"/>
    <w:rsid w:val="007F41CA"/>
    <w:rsid w:val="007F4A15"/>
    <w:rsid w:val="007F5CF5"/>
    <w:rsid w:val="007F6051"/>
    <w:rsid w:val="007F74B3"/>
    <w:rsid w:val="007F7520"/>
    <w:rsid w:val="00800296"/>
    <w:rsid w:val="00801E91"/>
    <w:rsid w:val="0080206E"/>
    <w:rsid w:val="00803587"/>
    <w:rsid w:val="00805A65"/>
    <w:rsid w:val="00807626"/>
    <w:rsid w:val="008114DD"/>
    <w:rsid w:val="008117E9"/>
    <w:rsid w:val="00812432"/>
    <w:rsid w:val="0081292E"/>
    <w:rsid w:val="00814E56"/>
    <w:rsid w:val="00814FD8"/>
    <w:rsid w:val="008174D5"/>
    <w:rsid w:val="00820BA6"/>
    <w:rsid w:val="00821177"/>
    <w:rsid w:val="008223A4"/>
    <w:rsid w:val="00822A4F"/>
    <w:rsid w:val="00822A9F"/>
    <w:rsid w:val="00822F9F"/>
    <w:rsid w:val="008230C6"/>
    <w:rsid w:val="00824498"/>
    <w:rsid w:val="00824B04"/>
    <w:rsid w:val="00826C73"/>
    <w:rsid w:val="00827D77"/>
    <w:rsid w:val="00830114"/>
    <w:rsid w:val="0083164A"/>
    <w:rsid w:val="008320E7"/>
    <w:rsid w:val="00833593"/>
    <w:rsid w:val="00833758"/>
    <w:rsid w:val="008341DA"/>
    <w:rsid w:val="0083514B"/>
    <w:rsid w:val="0083572B"/>
    <w:rsid w:val="00840EF3"/>
    <w:rsid w:val="008410FD"/>
    <w:rsid w:val="008420B8"/>
    <w:rsid w:val="00843897"/>
    <w:rsid w:val="0084503A"/>
    <w:rsid w:val="00845D36"/>
    <w:rsid w:val="008464D6"/>
    <w:rsid w:val="0084669C"/>
    <w:rsid w:val="0084735C"/>
    <w:rsid w:val="00850981"/>
    <w:rsid w:val="00851451"/>
    <w:rsid w:val="00852513"/>
    <w:rsid w:val="008549E9"/>
    <w:rsid w:val="008560E2"/>
    <w:rsid w:val="00856A31"/>
    <w:rsid w:val="008623E6"/>
    <w:rsid w:val="008626F5"/>
    <w:rsid w:val="0086464E"/>
    <w:rsid w:val="00864AFB"/>
    <w:rsid w:val="00864B24"/>
    <w:rsid w:val="00865CC7"/>
    <w:rsid w:val="00865E70"/>
    <w:rsid w:val="008663DA"/>
    <w:rsid w:val="008677F3"/>
    <w:rsid w:val="00867B37"/>
    <w:rsid w:val="00870167"/>
    <w:rsid w:val="0087036D"/>
    <w:rsid w:val="00871C5B"/>
    <w:rsid w:val="00871D7D"/>
    <w:rsid w:val="008728D8"/>
    <w:rsid w:val="00873E34"/>
    <w:rsid w:val="00874245"/>
    <w:rsid w:val="008754D0"/>
    <w:rsid w:val="008758D9"/>
    <w:rsid w:val="00876AFF"/>
    <w:rsid w:val="008811FC"/>
    <w:rsid w:val="00882CBD"/>
    <w:rsid w:val="00884EB1"/>
    <w:rsid w:val="008855C9"/>
    <w:rsid w:val="00886456"/>
    <w:rsid w:val="0088694E"/>
    <w:rsid w:val="008874E0"/>
    <w:rsid w:val="008876CE"/>
    <w:rsid w:val="00890A99"/>
    <w:rsid w:val="00891E12"/>
    <w:rsid w:val="0089320E"/>
    <w:rsid w:val="008969CF"/>
    <w:rsid w:val="008A1727"/>
    <w:rsid w:val="008A1C93"/>
    <w:rsid w:val="008A46E1"/>
    <w:rsid w:val="008A4F43"/>
    <w:rsid w:val="008A4F66"/>
    <w:rsid w:val="008A669F"/>
    <w:rsid w:val="008A782E"/>
    <w:rsid w:val="008B0BD1"/>
    <w:rsid w:val="008B1614"/>
    <w:rsid w:val="008B2706"/>
    <w:rsid w:val="008B4CDD"/>
    <w:rsid w:val="008B5477"/>
    <w:rsid w:val="008B59D2"/>
    <w:rsid w:val="008B6C34"/>
    <w:rsid w:val="008C1B94"/>
    <w:rsid w:val="008C2AD0"/>
    <w:rsid w:val="008C305E"/>
    <w:rsid w:val="008C3C2A"/>
    <w:rsid w:val="008C529F"/>
    <w:rsid w:val="008C5CBF"/>
    <w:rsid w:val="008C6464"/>
    <w:rsid w:val="008D0EE0"/>
    <w:rsid w:val="008D1131"/>
    <w:rsid w:val="008D2CEB"/>
    <w:rsid w:val="008D38F0"/>
    <w:rsid w:val="008D3BBF"/>
    <w:rsid w:val="008D4A04"/>
    <w:rsid w:val="008D7271"/>
    <w:rsid w:val="008D74AA"/>
    <w:rsid w:val="008E142C"/>
    <w:rsid w:val="008E1626"/>
    <w:rsid w:val="008E2A6D"/>
    <w:rsid w:val="008E2D1C"/>
    <w:rsid w:val="008E3B48"/>
    <w:rsid w:val="008E6067"/>
    <w:rsid w:val="008E6331"/>
    <w:rsid w:val="008E7E5B"/>
    <w:rsid w:val="008F0AE0"/>
    <w:rsid w:val="008F22CD"/>
    <w:rsid w:val="008F2BCE"/>
    <w:rsid w:val="008F319D"/>
    <w:rsid w:val="008F54E7"/>
    <w:rsid w:val="008F74B8"/>
    <w:rsid w:val="00903422"/>
    <w:rsid w:val="0090589E"/>
    <w:rsid w:val="00907F80"/>
    <w:rsid w:val="009101C8"/>
    <w:rsid w:val="0091041B"/>
    <w:rsid w:val="00910660"/>
    <w:rsid w:val="009119C1"/>
    <w:rsid w:val="00912DD3"/>
    <w:rsid w:val="00913611"/>
    <w:rsid w:val="00913990"/>
    <w:rsid w:val="00914ECD"/>
    <w:rsid w:val="0091580F"/>
    <w:rsid w:val="009159EA"/>
    <w:rsid w:val="00915DF9"/>
    <w:rsid w:val="00916AC0"/>
    <w:rsid w:val="00920F22"/>
    <w:rsid w:val="009217E5"/>
    <w:rsid w:val="00923B72"/>
    <w:rsid w:val="009254C3"/>
    <w:rsid w:val="0093125B"/>
    <w:rsid w:val="009313D9"/>
    <w:rsid w:val="00932377"/>
    <w:rsid w:val="00932CD3"/>
    <w:rsid w:val="00934DCF"/>
    <w:rsid w:val="00936159"/>
    <w:rsid w:val="009367ED"/>
    <w:rsid w:val="00936FF5"/>
    <w:rsid w:val="00937944"/>
    <w:rsid w:val="00937E59"/>
    <w:rsid w:val="00940A2E"/>
    <w:rsid w:val="009422AD"/>
    <w:rsid w:val="00942DAF"/>
    <w:rsid w:val="00943743"/>
    <w:rsid w:val="00944178"/>
    <w:rsid w:val="00945196"/>
    <w:rsid w:val="009457BC"/>
    <w:rsid w:val="00946099"/>
    <w:rsid w:val="0094701A"/>
    <w:rsid w:val="00947D5A"/>
    <w:rsid w:val="009531ED"/>
    <w:rsid w:val="009532A5"/>
    <w:rsid w:val="0095567D"/>
    <w:rsid w:val="00955B2F"/>
    <w:rsid w:val="00956B2C"/>
    <w:rsid w:val="009577C7"/>
    <w:rsid w:val="00963E7B"/>
    <w:rsid w:val="0096454B"/>
    <w:rsid w:val="00965639"/>
    <w:rsid w:val="009658E0"/>
    <w:rsid w:val="00966515"/>
    <w:rsid w:val="00966DD3"/>
    <w:rsid w:val="00966DEC"/>
    <w:rsid w:val="00971542"/>
    <w:rsid w:val="00976B65"/>
    <w:rsid w:val="009774A0"/>
    <w:rsid w:val="00981BD8"/>
    <w:rsid w:val="00982242"/>
    <w:rsid w:val="009868E9"/>
    <w:rsid w:val="00992029"/>
    <w:rsid w:val="00992DF3"/>
    <w:rsid w:val="00994E5C"/>
    <w:rsid w:val="0099557E"/>
    <w:rsid w:val="00997969"/>
    <w:rsid w:val="009A0AB2"/>
    <w:rsid w:val="009A120C"/>
    <w:rsid w:val="009A18B8"/>
    <w:rsid w:val="009A3639"/>
    <w:rsid w:val="009A39AC"/>
    <w:rsid w:val="009A3FF0"/>
    <w:rsid w:val="009A406B"/>
    <w:rsid w:val="009A5085"/>
    <w:rsid w:val="009A56FA"/>
    <w:rsid w:val="009A7E7E"/>
    <w:rsid w:val="009B01F0"/>
    <w:rsid w:val="009B0743"/>
    <w:rsid w:val="009B0B2C"/>
    <w:rsid w:val="009B0C3B"/>
    <w:rsid w:val="009B1D13"/>
    <w:rsid w:val="009B2C41"/>
    <w:rsid w:val="009B5A45"/>
    <w:rsid w:val="009B5AB3"/>
    <w:rsid w:val="009C09C2"/>
    <w:rsid w:val="009C17F6"/>
    <w:rsid w:val="009C1C0F"/>
    <w:rsid w:val="009C2BF1"/>
    <w:rsid w:val="009C43E2"/>
    <w:rsid w:val="009C50D5"/>
    <w:rsid w:val="009C7E4C"/>
    <w:rsid w:val="009D0398"/>
    <w:rsid w:val="009D48FC"/>
    <w:rsid w:val="009D4CE1"/>
    <w:rsid w:val="009D65B5"/>
    <w:rsid w:val="009D65C9"/>
    <w:rsid w:val="009D664F"/>
    <w:rsid w:val="009D6835"/>
    <w:rsid w:val="009E0AF4"/>
    <w:rsid w:val="009E11C7"/>
    <w:rsid w:val="009E11F8"/>
    <w:rsid w:val="009E1604"/>
    <w:rsid w:val="009E34B5"/>
    <w:rsid w:val="009E4FEE"/>
    <w:rsid w:val="009E5CFC"/>
    <w:rsid w:val="009E5F70"/>
    <w:rsid w:val="009E6C57"/>
    <w:rsid w:val="009E7320"/>
    <w:rsid w:val="009E7FC7"/>
    <w:rsid w:val="009F20E7"/>
    <w:rsid w:val="009F4F62"/>
    <w:rsid w:val="009F5B49"/>
    <w:rsid w:val="009F673B"/>
    <w:rsid w:val="00A0127E"/>
    <w:rsid w:val="00A016C9"/>
    <w:rsid w:val="00A01A7A"/>
    <w:rsid w:val="00A06D3F"/>
    <w:rsid w:val="00A079CB"/>
    <w:rsid w:val="00A07F31"/>
    <w:rsid w:val="00A10B0C"/>
    <w:rsid w:val="00A11A6C"/>
    <w:rsid w:val="00A12128"/>
    <w:rsid w:val="00A12927"/>
    <w:rsid w:val="00A15BC2"/>
    <w:rsid w:val="00A15FC8"/>
    <w:rsid w:val="00A16E8D"/>
    <w:rsid w:val="00A174B8"/>
    <w:rsid w:val="00A21B86"/>
    <w:rsid w:val="00A2258F"/>
    <w:rsid w:val="00A22C98"/>
    <w:rsid w:val="00A231E2"/>
    <w:rsid w:val="00A23B46"/>
    <w:rsid w:val="00A2410A"/>
    <w:rsid w:val="00A24CF1"/>
    <w:rsid w:val="00A24FBE"/>
    <w:rsid w:val="00A25F8C"/>
    <w:rsid w:val="00A26000"/>
    <w:rsid w:val="00A27783"/>
    <w:rsid w:val="00A32028"/>
    <w:rsid w:val="00A33F79"/>
    <w:rsid w:val="00A36BB0"/>
    <w:rsid w:val="00A373DF"/>
    <w:rsid w:val="00A41411"/>
    <w:rsid w:val="00A42220"/>
    <w:rsid w:val="00A435AD"/>
    <w:rsid w:val="00A43F83"/>
    <w:rsid w:val="00A44A0F"/>
    <w:rsid w:val="00A45ACE"/>
    <w:rsid w:val="00A46537"/>
    <w:rsid w:val="00A51558"/>
    <w:rsid w:val="00A51ACE"/>
    <w:rsid w:val="00A52B95"/>
    <w:rsid w:val="00A53CC2"/>
    <w:rsid w:val="00A559C7"/>
    <w:rsid w:val="00A56C94"/>
    <w:rsid w:val="00A56EEE"/>
    <w:rsid w:val="00A57E6A"/>
    <w:rsid w:val="00A60E2D"/>
    <w:rsid w:val="00A62D8E"/>
    <w:rsid w:val="00A62E2A"/>
    <w:rsid w:val="00A6434A"/>
    <w:rsid w:val="00A648EE"/>
    <w:rsid w:val="00A64912"/>
    <w:rsid w:val="00A64A08"/>
    <w:rsid w:val="00A64AE9"/>
    <w:rsid w:val="00A65102"/>
    <w:rsid w:val="00A70A74"/>
    <w:rsid w:val="00A71536"/>
    <w:rsid w:val="00A725DE"/>
    <w:rsid w:val="00A72895"/>
    <w:rsid w:val="00A76756"/>
    <w:rsid w:val="00A7721E"/>
    <w:rsid w:val="00A8047A"/>
    <w:rsid w:val="00A80C76"/>
    <w:rsid w:val="00A81CC4"/>
    <w:rsid w:val="00A82847"/>
    <w:rsid w:val="00A84BC3"/>
    <w:rsid w:val="00A87296"/>
    <w:rsid w:val="00A905FB"/>
    <w:rsid w:val="00A906AB"/>
    <w:rsid w:val="00A90BC6"/>
    <w:rsid w:val="00A94BF3"/>
    <w:rsid w:val="00A95E0C"/>
    <w:rsid w:val="00A96C71"/>
    <w:rsid w:val="00A9737A"/>
    <w:rsid w:val="00A9748D"/>
    <w:rsid w:val="00AA005A"/>
    <w:rsid w:val="00AA12F8"/>
    <w:rsid w:val="00AA1FF2"/>
    <w:rsid w:val="00AA30E5"/>
    <w:rsid w:val="00AA3B8A"/>
    <w:rsid w:val="00AA420D"/>
    <w:rsid w:val="00AA5256"/>
    <w:rsid w:val="00AA73E5"/>
    <w:rsid w:val="00AA7A37"/>
    <w:rsid w:val="00AB3F1E"/>
    <w:rsid w:val="00AB608B"/>
    <w:rsid w:val="00AB68B6"/>
    <w:rsid w:val="00AC2710"/>
    <w:rsid w:val="00AC684D"/>
    <w:rsid w:val="00AC68C6"/>
    <w:rsid w:val="00AC6D45"/>
    <w:rsid w:val="00AD0765"/>
    <w:rsid w:val="00AD0E07"/>
    <w:rsid w:val="00AD3DF5"/>
    <w:rsid w:val="00AD44E0"/>
    <w:rsid w:val="00AD4C5E"/>
    <w:rsid w:val="00AD5641"/>
    <w:rsid w:val="00AD68D7"/>
    <w:rsid w:val="00AD7889"/>
    <w:rsid w:val="00AE05DC"/>
    <w:rsid w:val="00AE10E3"/>
    <w:rsid w:val="00AE323D"/>
    <w:rsid w:val="00AE33AC"/>
    <w:rsid w:val="00AE3652"/>
    <w:rsid w:val="00AE39D5"/>
    <w:rsid w:val="00AE47E7"/>
    <w:rsid w:val="00AE5FFC"/>
    <w:rsid w:val="00AE77CA"/>
    <w:rsid w:val="00AE7E2A"/>
    <w:rsid w:val="00AF021B"/>
    <w:rsid w:val="00AF06CF"/>
    <w:rsid w:val="00AF4B25"/>
    <w:rsid w:val="00AF6955"/>
    <w:rsid w:val="00AF6E5F"/>
    <w:rsid w:val="00B027D1"/>
    <w:rsid w:val="00B0342F"/>
    <w:rsid w:val="00B03B49"/>
    <w:rsid w:val="00B042DF"/>
    <w:rsid w:val="00B05CF4"/>
    <w:rsid w:val="00B0762D"/>
    <w:rsid w:val="00B07CDB"/>
    <w:rsid w:val="00B145D7"/>
    <w:rsid w:val="00B14A94"/>
    <w:rsid w:val="00B14E71"/>
    <w:rsid w:val="00B16A31"/>
    <w:rsid w:val="00B17927"/>
    <w:rsid w:val="00B179D0"/>
    <w:rsid w:val="00B17CB8"/>
    <w:rsid w:val="00B17DFD"/>
    <w:rsid w:val="00B21A6F"/>
    <w:rsid w:val="00B21E6B"/>
    <w:rsid w:val="00B22C9B"/>
    <w:rsid w:val="00B23477"/>
    <w:rsid w:val="00B260A1"/>
    <w:rsid w:val="00B275D5"/>
    <w:rsid w:val="00B27BCD"/>
    <w:rsid w:val="00B308FE"/>
    <w:rsid w:val="00B30A1A"/>
    <w:rsid w:val="00B3333A"/>
    <w:rsid w:val="00B33709"/>
    <w:rsid w:val="00B33A4A"/>
    <w:rsid w:val="00B33B3C"/>
    <w:rsid w:val="00B33B8B"/>
    <w:rsid w:val="00B3633E"/>
    <w:rsid w:val="00B369A4"/>
    <w:rsid w:val="00B3732A"/>
    <w:rsid w:val="00B40187"/>
    <w:rsid w:val="00B403CA"/>
    <w:rsid w:val="00B42CA3"/>
    <w:rsid w:val="00B43634"/>
    <w:rsid w:val="00B444A1"/>
    <w:rsid w:val="00B44D7E"/>
    <w:rsid w:val="00B457A2"/>
    <w:rsid w:val="00B458F3"/>
    <w:rsid w:val="00B45D60"/>
    <w:rsid w:val="00B502EA"/>
    <w:rsid w:val="00B50ADC"/>
    <w:rsid w:val="00B50DD8"/>
    <w:rsid w:val="00B523A5"/>
    <w:rsid w:val="00B525E5"/>
    <w:rsid w:val="00B54947"/>
    <w:rsid w:val="00B559FD"/>
    <w:rsid w:val="00B55C71"/>
    <w:rsid w:val="00B55DF0"/>
    <w:rsid w:val="00B566B1"/>
    <w:rsid w:val="00B56A93"/>
    <w:rsid w:val="00B56F46"/>
    <w:rsid w:val="00B5704D"/>
    <w:rsid w:val="00B57801"/>
    <w:rsid w:val="00B57F7F"/>
    <w:rsid w:val="00B63327"/>
    <w:rsid w:val="00B633F3"/>
    <w:rsid w:val="00B63834"/>
    <w:rsid w:val="00B64E4B"/>
    <w:rsid w:val="00B65F8A"/>
    <w:rsid w:val="00B66128"/>
    <w:rsid w:val="00B6633B"/>
    <w:rsid w:val="00B670AB"/>
    <w:rsid w:val="00B671A2"/>
    <w:rsid w:val="00B675DE"/>
    <w:rsid w:val="00B7001A"/>
    <w:rsid w:val="00B70C03"/>
    <w:rsid w:val="00B718FA"/>
    <w:rsid w:val="00B72734"/>
    <w:rsid w:val="00B73F1E"/>
    <w:rsid w:val="00B746C8"/>
    <w:rsid w:val="00B76088"/>
    <w:rsid w:val="00B80199"/>
    <w:rsid w:val="00B817DC"/>
    <w:rsid w:val="00B83204"/>
    <w:rsid w:val="00B84366"/>
    <w:rsid w:val="00B86233"/>
    <w:rsid w:val="00B87DD2"/>
    <w:rsid w:val="00B910B2"/>
    <w:rsid w:val="00B922F7"/>
    <w:rsid w:val="00B9281C"/>
    <w:rsid w:val="00B93F79"/>
    <w:rsid w:val="00B96694"/>
    <w:rsid w:val="00B96F69"/>
    <w:rsid w:val="00B974C1"/>
    <w:rsid w:val="00BA0287"/>
    <w:rsid w:val="00BA0C87"/>
    <w:rsid w:val="00BA220B"/>
    <w:rsid w:val="00BA2945"/>
    <w:rsid w:val="00BA3A2F"/>
    <w:rsid w:val="00BA3A57"/>
    <w:rsid w:val="00BA3BBB"/>
    <w:rsid w:val="00BA42B6"/>
    <w:rsid w:val="00BA512C"/>
    <w:rsid w:val="00BA691F"/>
    <w:rsid w:val="00BB1495"/>
    <w:rsid w:val="00BB2D49"/>
    <w:rsid w:val="00BB41D0"/>
    <w:rsid w:val="00BB4DD4"/>
    <w:rsid w:val="00BB4E1A"/>
    <w:rsid w:val="00BB5625"/>
    <w:rsid w:val="00BB6117"/>
    <w:rsid w:val="00BB6139"/>
    <w:rsid w:val="00BC015E"/>
    <w:rsid w:val="00BC05D2"/>
    <w:rsid w:val="00BC0D9B"/>
    <w:rsid w:val="00BC2448"/>
    <w:rsid w:val="00BC3826"/>
    <w:rsid w:val="00BC4D80"/>
    <w:rsid w:val="00BC5C5E"/>
    <w:rsid w:val="00BC6A99"/>
    <w:rsid w:val="00BC76AC"/>
    <w:rsid w:val="00BD0ECB"/>
    <w:rsid w:val="00BD1855"/>
    <w:rsid w:val="00BE2155"/>
    <w:rsid w:val="00BE2213"/>
    <w:rsid w:val="00BE38F2"/>
    <w:rsid w:val="00BE719A"/>
    <w:rsid w:val="00BE720A"/>
    <w:rsid w:val="00BE7673"/>
    <w:rsid w:val="00BF0D73"/>
    <w:rsid w:val="00BF2465"/>
    <w:rsid w:val="00BF292E"/>
    <w:rsid w:val="00BF6262"/>
    <w:rsid w:val="00C009ED"/>
    <w:rsid w:val="00C04D98"/>
    <w:rsid w:val="00C06E9C"/>
    <w:rsid w:val="00C07FF2"/>
    <w:rsid w:val="00C13F83"/>
    <w:rsid w:val="00C1758E"/>
    <w:rsid w:val="00C20EF8"/>
    <w:rsid w:val="00C21C14"/>
    <w:rsid w:val="00C24B3A"/>
    <w:rsid w:val="00C25BF4"/>
    <w:rsid w:val="00C25E7F"/>
    <w:rsid w:val="00C2746F"/>
    <w:rsid w:val="00C303B3"/>
    <w:rsid w:val="00C305CF"/>
    <w:rsid w:val="00C3226C"/>
    <w:rsid w:val="00C324A0"/>
    <w:rsid w:val="00C3283F"/>
    <w:rsid w:val="00C3300F"/>
    <w:rsid w:val="00C33291"/>
    <w:rsid w:val="00C33A00"/>
    <w:rsid w:val="00C36528"/>
    <w:rsid w:val="00C365CD"/>
    <w:rsid w:val="00C370A6"/>
    <w:rsid w:val="00C37794"/>
    <w:rsid w:val="00C37952"/>
    <w:rsid w:val="00C37F50"/>
    <w:rsid w:val="00C406EA"/>
    <w:rsid w:val="00C40716"/>
    <w:rsid w:val="00C41E7E"/>
    <w:rsid w:val="00C42291"/>
    <w:rsid w:val="00C42BF8"/>
    <w:rsid w:val="00C43124"/>
    <w:rsid w:val="00C43A1B"/>
    <w:rsid w:val="00C443EA"/>
    <w:rsid w:val="00C45F6C"/>
    <w:rsid w:val="00C4667F"/>
    <w:rsid w:val="00C46F10"/>
    <w:rsid w:val="00C50043"/>
    <w:rsid w:val="00C50FCA"/>
    <w:rsid w:val="00C5193B"/>
    <w:rsid w:val="00C5351E"/>
    <w:rsid w:val="00C544D9"/>
    <w:rsid w:val="00C54B1C"/>
    <w:rsid w:val="00C55B05"/>
    <w:rsid w:val="00C579F8"/>
    <w:rsid w:val="00C60DC7"/>
    <w:rsid w:val="00C61B36"/>
    <w:rsid w:val="00C620F5"/>
    <w:rsid w:val="00C625EA"/>
    <w:rsid w:val="00C629FC"/>
    <w:rsid w:val="00C6593E"/>
    <w:rsid w:val="00C66DE1"/>
    <w:rsid w:val="00C7005E"/>
    <w:rsid w:val="00C70C62"/>
    <w:rsid w:val="00C74124"/>
    <w:rsid w:val="00C747C0"/>
    <w:rsid w:val="00C74BED"/>
    <w:rsid w:val="00C755AA"/>
    <w:rsid w:val="00C7563B"/>
    <w:rsid w:val="00C7573B"/>
    <w:rsid w:val="00C80786"/>
    <w:rsid w:val="00C83361"/>
    <w:rsid w:val="00C83423"/>
    <w:rsid w:val="00C8360F"/>
    <w:rsid w:val="00C87720"/>
    <w:rsid w:val="00C90B36"/>
    <w:rsid w:val="00C90D12"/>
    <w:rsid w:val="00C9152B"/>
    <w:rsid w:val="00C928D9"/>
    <w:rsid w:val="00C93C03"/>
    <w:rsid w:val="00C9486C"/>
    <w:rsid w:val="00C951DB"/>
    <w:rsid w:val="00CA27EC"/>
    <w:rsid w:val="00CA5494"/>
    <w:rsid w:val="00CA55A7"/>
    <w:rsid w:val="00CA5A43"/>
    <w:rsid w:val="00CA6C12"/>
    <w:rsid w:val="00CB011D"/>
    <w:rsid w:val="00CB1952"/>
    <w:rsid w:val="00CB2C8E"/>
    <w:rsid w:val="00CB3561"/>
    <w:rsid w:val="00CB509A"/>
    <w:rsid w:val="00CB5C00"/>
    <w:rsid w:val="00CB602E"/>
    <w:rsid w:val="00CB68AF"/>
    <w:rsid w:val="00CB7D59"/>
    <w:rsid w:val="00CC1B6B"/>
    <w:rsid w:val="00CC4112"/>
    <w:rsid w:val="00CC5E98"/>
    <w:rsid w:val="00CC6884"/>
    <w:rsid w:val="00CC6885"/>
    <w:rsid w:val="00CC6CCD"/>
    <w:rsid w:val="00CD0D3A"/>
    <w:rsid w:val="00CD0F02"/>
    <w:rsid w:val="00CD0FEB"/>
    <w:rsid w:val="00CD2B3C"/>
    <w:rsid w:val="00CD424B"/>
    <w:rsid w:val="00CE051D"/>
    <w:rsid w:val="00CE0E6E"/>
    <w:rsid w:val="00CE1335"/>
    <w:rsid w:val="00CE208C"/>
    <w:rsid w:val="00CE261E"/>
    <w:rsid w:val="00CE493D"/>
    <w:rsid w:val="00CE54EF"/>
    <w:rsid w:val="00CE603F"/>
    <w:rsid w:val="00CE63DA"/>
    <w:rsid w:val="00CF07FA"/>
    <w:rsid w:val="00CF0B05"/>
    <w:rsid w:val="00CF0BB2"/>
    <w:rsid w:val="00CF2529"/>
    <w:rsid w:val="00CF3EE8"/>
    <w:rsid w:val="00CF54D2"/>
    <w:rsid w:val="00CF619F"/>
    <w:rsid w:val="00CF6236"/>
    <w:rsid w:val="00CF68A7"/>
    <w:rsid w:val="00D0052C"/>
    <w:rsid w:val="00D00895"/>
    <w:rsid w:val="00D01189"/>
    <w:rsid w:val="00D015CB"/>
    <w:rsid w:val="00D03D4F"/>
    <w:rsid w:val="00D03E4F"/>
    <w:rsid w:val="00D050E6"/>
    <w:rsid w:val="00D07B12"/>
    <w:rsid w:val="00D1032D"/>
    <w:rsid w:val="00D10617"/>
    <w:rsid w:val="00D10BFD"/>
    <w:rsid w:val="00D126B6"/>
    <w:rsid w:val="00D12BBE"/>
    <w:rsid w:val="00D12E3B"/>
    <w:rsid w:val="00D13441"/>
    <w:rsid w:val="00D13E10"/>
    <w:rsid w:val="00D150E7"/>
    <w:rsid w:val="00D1517A"/>
    <w:rsid w:val="00D211D9"/>
    <w:rsid w:val="00D220BD"/>
    <w:rsid w:val="00D23BE5"/>
    <w:rsid w:val="00D23FFD"/>
    <w:rsid w:val="00D242DF"/>
    <w:rsid w:val="00D26C96"/>
    <w:rsid w:val="00D3095B"/>
    <w:rsid w:val="00D31412"/>
    <w:rsid w:val="00D32F65"/>
    <w:rsid w:val="00D344D5"/>
    <w:rsid w:val="00D34CF1"/>
    <w:rsid w:val="00D350DF"/>
    <w:rsid w:val="00D35E60"/>
    <w:rsid w:val="00D370F6"/>
    <w:rsid w:val="00D400BC"/>
    <w:rsid w:val="00D40A49"/>
    <w:rsid w:val="00D4336D"/>
    <w:rsid w:val="00D44F5C"/>
    <w:rsid w:val="00D477D9"/>
    <w:rsid w:val="00D5097C"/>
    <w:rsid w:val="00D50B82"/>
    <w:rsid w:val="00D52DC2"/>
    <w:rsid w:val="00D53BCC"/>
    <w:rsid w:val="00D53E00"/>
    <w:rsid w:val="00D5525C"/>
    <w:rsid w:val="00D55A96"/>
    <w:rsid w:val="00D63C3A"/>
    <w:rsid w:val="00D64C23"/>
    <w:rsid w:val="00D64F5F"/>
    <w:rsid w:val="00D65D07"/>
    <w:rsid w:val="00D664AE"/>
    <w:rsid w:val="00D66619"/>
    <w:rsid w:val="00D67E8A"/>
    <w:rsid w:val="00D70DFB"/>
    <w:rsid w:val="00D7137F"/>
    <w:rsid w:val="00D72189"/>
    <w:rsid w:val="00D73AC5"/>
    <w:rsid w:val="00D7427C"/>
    <w:rsid w:val="00D766DF"/>
    <w:rsid w:val="00D77163"/>
    <w:rsid w:val="00D77DEE"/>
    <w:rsid w:val="00D80155"/>
    <w:rsid w:val="00D80465"/>
    <w:rsid w:val="00D804E1"/>
    <w:rsid w:val="00D80585"/>
    <w:rsid w:val="00D81F4F"/>
    <w:rsid w:val="00D836BF"/>
    <w:rsid w:val="00D838E4"/>
    <w:rsid w:val="00D843DE"/>
    <w:rsid w:val="00D84F80"/>
    <w:rsid w:val="00D9274F"/>
    <w:rsid w:val="00D93811"/>
    <w:rsid w:val="00D94207"/>
    <w:rsid w:val="00D95284"/>
    <w:rsid w:val="00D95475"/>
    <w:rsid w:val="00D9582A"/>
    <w:rsid w:val="00D95AFD"/>
    <w:rsid w:val="00D96415"/>
    <w:rsid w:val="00D96D1E"/>
    <w:rsid w:val="00DA04BD"/>
    <w:rsid w:val="00DA186E"/>
    <w:rsid w:val="00DA1946"/>
    <w:rsid w:val="00DA1F11"/>
    <w:rsid w:val="00DA2396"/>
    <w:rsid w:val="00DA284D"/>
    <w:rsid w:val="00DA4116"/>
    <w:rsid w:val="00DA671F"/>
    <w:rsid w:val="00DA72BF"/>
    <w:rsid w:val="00DA7B40"/>
    <w:rsid w:val="00DB0CAD"/>
    <w:rsid w:val="00DB251C"/>
    <w:rsid w:val="00DB28BB"/>
    <w:rsid w:val="00DB4630"/>
    <w:rsid w:val="00DB5F71"/>
    <w:rsid w:val="00DB7E8A"/>
    <w:rsid w:val="00DC0B2B"/>
    <w:rsid w:val="00DC4F3E"/>
    <w:rsid w:val="00DC4F88"/>
    <w:rsid w:val="00DC6944"/>
    <w:rsid w:val="00DD54DE"/>
    <w:rsid w:val="00DD5770"/>
    <w:rsid w:val="00DE0765"/>
    <w:rsid w:val="00DE1063"/>
    <w:rsid w:val="00DE6961"/>
    <w:rsid w:val="00DF0249"/>
    <w:rsid w:val="00DF20A9"/>
    <w:rsid w:val="00DF492A"/>
    <w:rsid w:val="00E01347"/>
    <w:rsid w:val="00E01F43"/>
    <w:rsid w:val="00E02923"/>
    <w:rsid w:val="00E02E8E"/>
    <w:rsid w:val="00E04C85"/>
    <w:rsid w:val="00E05704"/>
    <w:rsid w:val="00E069BE"/>
    <w:rsid w:val="00E075F1"/>
    <w:rsid w:val="00E10B3C"/>
    <w:rsid w:val="00E11269"/>
    <w:rsid w:val="00E11E44"/>
    <w:rsid w:val="00E12697"/>
    <w:rsid w:val="00E14099"/>
    <w:rsid w:val="00E1486A"/>
    <w:rsid w:val="00E160A3"/>
    <w:rsid w:val="00E1680A"/>
    <w:rsid w:val="00E17022"/>
    <w:rsid w:val="00E254CE"/>
    <w:rsid w:val="00E311D8"/>
    <w:rsid w:val="00E3270E"/>
    <w:rsid w:val="00E32AB6"/>
    <w:rsid w:val="00E32ADD"/>
    <w:rsid w:val="00E338EF"/>
    <w:rsid w:val="00E3725A"/>
    <w:rsid w:val="00E41D30"/>
    <w:rsid w:val="00E46421"/>
    <w:rsid w:val="00E478D9"/>
    <w:rsid w:val="00E47C54"/>
    <w:rsid w:val="00E50F10"/>
    <w:rsid w:val="00E531DA"/>
    <w:rsid w:val="00E53DE0"/>
    <w:rsid w:val="00E543CD"/>
    <w:rsid w:val="00E544BB"/>
    <w:rsid w:val="00E54798"/>
    <w:rsid w:val="00E57B50"/>
    <w:rsid w:val="00E604AA"/>
    <w:rsid w:val="00E6294C"/>
    <w:rsid w:val="00E62BFD"/>
    <w:rsid w:val="00E630BB"/>
    <w:rsid w:val="00E63A0D"/>
    <w:rsid w:val="00E662CB"/>
    <w:rsid w:val="00E67A72"/>
    <w:rsid w:val="00E71219"/>
    <w:rsid w:val="00E715DF"/>
    <w:rsid w:val="00E71C90"/>
    <w:rsid w:val="00E731A2"/>
    <w:rsid w:val="00E74114"/>
    <w:rsid w:val="00E74351"/>
    <w:rsid w:val="00E74DC7"/>
    <w:rsid w:val="00E7511F"/>
    <w:rsid w:val="00E75AE4"/>
    <w:rsid w:val="00E76163"/>
    <w:rsid w:val="00E76792"/>
    <w:rsid w:val="00E76806"/>
    <w:rsid w:val="00E76F95"/>
    <w:rsid w:val="00E7755F"/>
    <w:rsid w:val="00E77807"/>
    <w:rsid w:val="00E8015B"/>
    <w:rsid w:val="00E8075A"/>
    <w:rsid w:val="00E817C3"/>
    <w:rsid w:val="00E8284F"/>
    <w:rsid w:val="00E8314C"/>
    <w:rsid w:val="00E84E38"/>
    <w:rsid w:val="00E87E6B"/>
    <w:rsid w:val="00E90048"/>
    <w:rsid w:val="00E91C52"/>
    <w:rsid w:val="00E9243C"/>
    <w:rsid w:val="00E932A0"/>
    <w:rsid w:val="00E93682"/>
    <w:rsid w:val="00E93C63"/>
    <w:rsid w:val="00E94D5E"/>
    <w:rsid w:val="00E94FD6"/>
    <w:rsid w:val="00E94FFE"/>
    <w:rsid w:val="00E95D44"/>
    <w:rsid w:val="00E96609"/>
    <w:rsid w:val="00EA0073"/>
    <w:rsid w:val="00EA1C73"/>
    <w:rsid w:val="00EA25EC"/>
    <w:rsid w:val="00EA34FC"/>
    <w:rsid w:val="00EA51AA"/>
    <w:rsid w:val="00EA7100"/>
    <w:rsid w:val="00EA7F9F"/>
    <w:rsid w:val="00EB1274"/>
    <w:rsid w:val="00EB319C"/>
    <w:rsid w:val="00EB365B"/>
    <w:rsid w:val="00EB3D1D"/>
    <w:rsid w:val="00EB5A9E"/>
    <w:rsid w:val="00EB6AD0"/>
    <w:rsid w:val="00EB7216"/>
    <w:rsid w:val="00EB74DA"/>
    <w:rsid w:val="00EC0EEC"/>
    <w:rsid w:val="00EC222B"/>
    <w:rsid w:val="00EC39C1"/>
    <w:rsid w:val="00EC4CFC"/>
    <w:rsid w:val="00EC5532"/>
    <w:rsid w:val="00EC6B37"/>
    <w:rsid w:val="00EC6F8E"/>
    <w:rsid w:val="00ED19C8"/>
    <w:rsid w:val="00ED2BB6"/>
    <w:rsid w:val="00ED2C5D"/>
    <w:rsid w:val="00ED34E1"/>
    <w:rsid w:val="00ED3B8D"/>
    <w:rsid w:val="00ED40AD"/>
    <w:rsid w:val="00ED491B"/>
    <w:rsid w:val="00ED5A87"/>
    <w:rsid w:val="00ED659C"/>
    <w:rsid w:val="00ED74C0"/>
    <w:rsid w:val="00EE215A"/>
    <w:rsid w:val="00EE34EB"/>
    <w:rsid w:val="00EE4229"/>
    <w:rsid w:val="00EE4490"/>
    <w:rsid w:val="00EE4B3D"/>
    <w:rsid w:val="00EE5254"/>
    <w:rsid w:val="00EE5793"/>
    <w:rsid w:val="00EE68E5"/>
    <w:rsid w:val="00EE6973"/>
    <w:rsid w:val="00EF1F1D"/>
    <w:rsid w:val="00EF2E3A"/>
    <w:rsid w:val="00EF510B"/>
    <w:rsid w:val="00EF6345"/>
    <w:rsid w:val="00EF6E1E"/>
    <w:rsid w:val="00F00EE2"/>
    <w:rsid w:val="00F01B65"/>
    <w:rsid w:val="00F022B6"/>
    <w:rsid w:val="00F0233F"/>
    <w:rsid w:val="00F0289B"/>
    <w:rsid w:val="00F02FDD"/>
    <w:rsid w:val="00F03274"/>
    <w:rsid w:val="00F03F18"/>
    <w:rsid w:val="00F044D2"/>
    <w:rsid w:val="00F04CBE"/>
    <w:rsid w:val="00F066F1"/>
    <w:rsid w:val="00F072A7"/>
    <w:rsid w:val="00F078DC"/>
    <w:rsid w:val="00F10200"/>
    <w:rsid w:val="00F1065A"/>
    <w:rsid w:val="00F144AE"/>
    <w:rsid w:val="00F16C62"/>
    <w:rsid w:val="00F2080A"/>
    <w:rsid w:val="00F20EEE"/>
    <w:rsid w:val="00F25F59"/>
    <w:rsid w:val="00F274B7"/>
    <w:rsid w:val="00F27770"/>
    <w:rsid w:val="00F302C9"/>
    <w:rsid w:val="00F30A2F"/>
    <w:rsid w:val="00F32BA8"/>
    <w:rsid w:val="00F33162"/>
    <w:rsid w:val="00F33C86"/>
    <w:rsid w:val="00F3411B"/>
    <w:rsid w:val="00F349F1"/>
    <w:rsid w:val="00F34B4A"/>
    <w:rsid w:val="00F36F36"/>
    <w:rsid w:val="00F37216"/>
    <w:rsid w:val="00F372BF"/>
    <w:rsid w:val="00F37BEE"/>
    <w:rsid w:val="00F4200B"/>
    <w:rsid w:val="00F4350D"/>
    <w:rsid w:val="00F46E48"/>
    <w:rsid w:val="00F46F43"/>
    <w:rsid w:val="00F504CC"/>
    <w:rsid w:val="00F52724"/>
    <w:rsid w:val="00F54D9A"/>
    <w:rsid w:val="00F55185"/>
    <w:rsid w:val="00F558F7"/>
    <w:rsid w:val="00F567F7"/>
    <w:rsid w:val="00F579FB"/>
    <w:rsid w:val="00F57A0D"/>
    <w:rsid w:val="00F62036"/>
    <w:rsid w:val="00F62760"/>
    <w:rsid w:val="00F63575"/>
    <w:rsid w:val="00F645CB"/>
    <w:rsid w:val="00F64C7F"/>
    <w:rsid w:val="00F65B52"/>
    <w:rsid w:val="00F67058"/>
    <w:rsid w:val="00F67BCA"/>
    <w:rsid w:val="00F727C6"/>
    <w:rsid w:val="00F73A02"/>
    <w:rsid w:val="00F73BD6"/>
    <w:rsid w:val="00F7792F"/>
    <w:rsid w:val="00F831C8"/>
    <w:rsid w:val="00F837CC"/>
    <w:rsid w:val="00F83989"/>
    <w:rsid w:val="00F83D16"/>
    <w:rsid w:val="00F84BDF"/>
    <w:rsid w:val="00F85099"/>
    <w:rsid w:val="00F86222"/>
    <w:rsid w:val="00F86F7A"/>
    <w:rsid w:val="00F91BD3"/>
    <w:rsid w:val="00F9379C"/>
    <w:rsid w:val="00F95681"/>
    <w:rsid w:val="00F96215"/>
    <w:rsid w:val="00F9632C"/>
    <w:rsid w:val="00F964A1"/>
    <w:rsid w:val="00F97075"/>
    <w:rsid w:val="00F975E6"/>
    <w:rsid w:val="00F97DB0"/>
    <w:rsid w:val="00FA18CD"/>
    <w:rsid w:val="00FA1E52"/>
    <w:rsid w:val="00FA366E"/>
    <w:rsid w:val="00FA3E4C"/>
    <w:rsid w:val="00FB1102"/>
    <w:rsid w:val="00FB1409"/>
    <w:rsid w:val="00FB2097"/>
    <w:rsid w:val="00FB2609"/>
    <w:rsid w:val="00FB32EF"/>
    <w:rsid w:val="00FB3943"/>
    <w:rsid w:val="00FB4D8E"/>
    <w:rsid w:val="00FB4E07"/>
    <w:rsid w:val="00FB7672"/>
    <w:rsid w:val="00FC2346"/>
    <w:rsid w:val="00FC2D9A"/>
    <w:rsid w:val="00FC348D"/>
    <w:rsid w:val="00FC3536"/>
    <w:rsid w:val="00FC4DAC"/>
    <w:rsid w:val="00FC6344"/>
    <w:rsid w:val="00FC6B4D"/>
    <w:rsid w:val="00FC6D7F"/>
    <w:rsid w:val="00FC75F4"/>
    <w:rsid w:val="00FD0489"/>
    <w:rsid w:val="00FD08E7"/>
    <w:rsid w:val="00FD43B7"/>
    <w:rsid w:val="00FD6CDC"/>
    <w:rsid w:val="00FD6EB7"/>
    <w:rsid w:val="00FD7D50"/>
    <w:rsid w:val="00FE0119"/>
    <w:rsid w:val="00FE4688"/>
    <w:rsid w:val="00FE5560"/>
    <w:rsid w:val="00FE5ED8"/>
    <w:rsid w:val="00FE7CC2"/>
    <w:rsid w:val="00FF1CA8"/>
    <w:rsid w:val="00FF3978"/>
    <w:rsid w:val="00FF71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2F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523A5"/>
    <w:pPr>
      <w:spacing w:line="260" w:lineRule="atLeast"/>
    </w:pPr>
    <w:rPr>
      <w:sz w:val="22"/>
    </w:rPr>
  </w:style>
  <w:style w:type="paragraph" w:styleId="Heading1">
    <w:name w:val="heading 1"/>
    <w:basedOn w:val="Normal"/>
    <w:next w:val="Normal"/>
    <w:link w:val="Heading1Char"/>
    <w:uiPriority w:val="9"/>
    <w:qFormat/>
    <w:rsid w:val="00B523A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3A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3A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23A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23A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523A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523A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523A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523A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523A5"/>
  </w:style>
  <w:style w:type="paragraph" w:customStyle="1" w:styleId="OPCParaBase">
    <w:name w:val="OPCParaBase"/>
    <w:qFormat/>
    <w:rsid w:val="00B523A5"/>
    <w:pPr>
      <w:spacing w:line="260" w:lineRule="atLeast"/>
    </w:pPr>
    <w:rPr>
      <w:rFonts w:eastAsia="Times New Roman" w:cs="Times New Roman"/>
      <w:sz w:val="22"/>
      <w:lang w:eastAsia="en-AU"/>
    </w:rPr>
  </w:style>
  <w:style w:type="paragraph" w:customStyle="1" w:styleId="ShortT">
    <w:name w:val="ShortT"/>
    <w:basedOn w:val="OPCParaBase"/>
    <w:next w:val="Normal"/>
    <w:qFormat/>
    <w:rsid w:val="00B523A5"/>
    <w:pPr>
      <w:spacing w:line="240" w:lineRule="auto"/>
    </w:pPr>
    <w:rPr>
      <w:b/>
      <w:sz w:val="40"/>
    </w:rPr>
  </w:style>
  <w:style w:type="paragraph" w:customStyle="1" w:styleId="ActHead1">
    <w:name w:val="ActHead 1"/>
    <w:aliases w:val="c"/>
    <w:basedOn w:val="OPCParaBase"/>
    <w:next w:val="Normal"/>
    <w:qFormat/>
    <w:rsid w:val="00B523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523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523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523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523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523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523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523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523A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523A5"/>
  </w:style>
  <w:style w:type="paragraph" w:customStyle="1" w:styleId="Blocks">
    <w:name w:val="Blocks"/>
    <w:aliases w:val="bb"/>
    <w:basedOn w:val="OPCParaBase"/>
    <w:qFormat/>
    <w:rsid w:val="00B523A5"/>
    <w:pPr>
      <w:spacing w:line="240" w:lineRule="auto"/>
    </w:pPr>
    <w:rPr>
      <w:sz w:val="24"/>
    </w:rPr>
  </w:style>
  <w:style w:type="paragraph" w:customStyle="1" w:styleId="BoxText">
    <w:name w:val="BoxText"/>
    <w:aliases w:val="bt"/>
    <w:basedOn w:val="OPCParaBase"/>
    <w:qFormat/>
    <w:rsid w:val="00B523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523A5"/>
    <w:rPr>
      <w:b/>
    </w:rPr>
  </w:style>
  <w:style w:type="paragraph" w:customStyle="1" w:styleId="BoxHeadItalic">
    <w:name w:val="BoxHeadItalic"/>
    <w:aliases w:val="bhi"/>
    <w:basedOn w:val="BoxText"/>
    <w:next w:val="BoxStep"/>
    <w:qFormat/>
    <w:rsid w:val="00B523A5"/>
    <w:rPr>
      <w:i/>
    </w:rPr>
  </w:style>
  <w:style w:type="paragraph" w:customStyle="1" w:styleId="BoxList">
    <w:name w:val="BoxList"/>
    <w:aliases w:val="bl"/>
    <w:basedOn w:val="BoxText"/>
    <w:qFormat/>
    <w:rsid w:val="00B523A5"/>
    <w:pPr>
      <w:ind w:left="1559" w:hanging="425"/>
    </w:pPr>
  </w:style>
  <w:style w:type="paragraph" w:customStyle="1" w:styleId="BoxNote">
    <w:name w:val="BoxNote"/>
    <w:aliases w:val="bn"/>
    <w:basedOn w:val="BoxText"/>
    <w:qFormat/>
    <w:rsid w:val="00B523A5"/>
    <w:pPr>
      <w:tabs>
        <w:tab w:val="left" w:pos="1985"/>
      </w:tabs>
      <w:spacing w:before="122" w:line="198" w:lineRule="exact"/>
      <w:ind w:left="2948" w:hanging="1814"/>
    </w:pPr>
    <w:rPr>
      <w:sz w:val="18"/>
    </w:rPr>
  </w:style>
  <w:style w:type="paragraph" w:customStyle="1" w:styleId="BoxPara">
    <w:name w:val="BoxPara"/>
    <w:aliases w:val="bp"/>
    <w:basedOn w:val="BoxText"/>
    <w:qFormat/>
    <w:rsid w:val="00B523A5"/>
    <w:pPr>
      <w:tabs>
        <w:tab w:val="right" w:pos="2268"/>
      </w:tabs>
      <w:ind w:left="2552" w:hanging="1418"/>
    </w:pPr>
  </w:style>
  <w:style w:type="paragraph" w:customStyle="1" w:styleId="BoxStep">
    <w:name w:val="BoxStep"/>
    <w:aliases w:val="bs"/>
    <w:basedOn w:val="BoxText"/>
    <w:qFormat/>
    <w:rsid w:val="00B523A5"/>
    <w:pPr>
      <w:ind w:left="1985" w:hanging="851"/>
    </w:pPr>
  </w:style>
  <w:style w:type="character" w:customStyle="1" w:styleId="CharAmPartNo">
    <w:name w:val="CharAmPartNo"/>
    <w:basedOn w:val="OPCCharBase"/>
    <w:qFormat/>
    <w:rsid w:val="00B523A5"/>
  </w:style>
  <w:style w:type="character" w:customStyle="1" w:styleId="CharAmPartText">
    <w:name w:val="CharAmPartText"/>
    <w:basedOn w:val="OPCCharBase"/>
    <w:qFormat/>
    <w:rsid w:val="00B523A5"/>
  </w:style>
  <w:style w:type="character" w:customStyle="1" w:styleId="CharAmSchNo">
    <w:name w:val="CharAmSchNo"/>
    <w:basedOn w:val="OPCCharBase"/>
    <w:qFormat/>
    <w:rsid w:val="00B523A5"/>
  </w:style>
  <w:style w:type="character" w:customStyle="1" w:styleId="CharAmSchText">
    <w:name w:val="CharAmSchText"/>
    <w:basedOn w:val="OPCCharBase"/>
    <w:qFormat/>
    <w:rsid w:val="00B523A5"/>
  </w:style>
  <w:style w:type="character" w:customStyle="1" w:styleId="CharBoldItalic">
    <w:name w:val="CharBoldItalic"/>
    <w:basedOn w:val="OPCCharBase"/>
    <w:uiPriority w:val="1"/>
    <w:qFormat/>
    <w:rsid w:val="00B523A5"/>
    <w:rPr>
      <w:b/>
      <w:i/>
    </w:rPr>
  </w:style>
  <w:style w:type="character" w:customStyle="1" w:styleId="CharChapNo">
    <w:name w:val="CharChapNo"/>
    <w:basedOn w:val="OPCCharBase"/>
    <w:uiPriority w:val="1"/>
    <w:qFormat/>
    <w:rsid w:val="00B523A5"/>
  </w:style>
  <w:style w:type="character" w:customStyle="1" w:styleId="CharChapText">
    <w:name w:val="CharChapText"/>
    <w:basedOn w:val="OPCCharBase"/>
    <w:uiPriority w:val="1"/>
    <w:qFormat/>
    <w:rsid w:val="00B523A5"/>
  </w:style>
  <w:style w:type="character" w:customStyle="1" w:styleId="CharDivNo">
    <w:name w:val="CharDivNo"/>
    <w:basedOn w:val="OPCCharBase"/>
    <w:uiPriority w:val="1"/>
    <w:qFormat/>
    <w:rsid w:val="00B523A5"/>
  </w:style>
  <w:style w:type="character" w:customStyle="1" w:styleId="CharDivText">
    <w:name w:val="CharDivText"/>
    <w:basedOn w:val="OPCCharBase"/>
    <w:uiPriority w:val="1"/>
    <w:qFormat/>
    <w:rsid w:val="00B523A5"/>
  </w:style>
  <w:style w:type="character" w:customStyle="1" w:styleId="CharItalic">
    <w:name w:val="CharItalic"/>
    <w:basedOn w:val="OPCCharBase"/>
    <w:uiPriority w:val="1"/>
    <w:qFormat/>
    <w:rsid w:val="00B523A5"/>
    <w:rPr>
      <w:i/>
    </w:rPr>
  </w:style>
  <w:style w:type="character" w:customStyle="1" w:styleId="CharPartNo">
    <w:name w:val="CharPartNo"/>
    <w:basedOn w:val="OPCCharBase"/>
    <w:uiPriority w:val="1"/>
    <w:qFormat/>
    <w:rsid w:val="00B523A5"/>
  </w:style>
  <w:style w:type="character" w:customStyle="1" w:styleId="CharPartText">
    <w:name w:val="CharPartText"/>
    <w:basedOn w:val="OPCCharBase"/>
    <w:uiPriority w:val="1"/>
    <w:qFormat/>
    <w:rsid w:val="00B523A5"/>
  </w:style>
  <w:style w:type="character" w:customStyle="1" w:styleId="CharSectno">
    <w:name w:val="CharSectno"/>
    <w:basedOn w:val="OPCCharBase"/>
    <w:qFormat/>
    <w:rsid w:val="00B523A5"/>
  </w:style>
  <w:style w:type="character" w:customStyle="1" w:styleId="CharSubdNo">
    <w:name w:val="CharSubdNo"/>
    <w:basedOn w:val="OPCCharBase"/>
    <w:uiPriority w:val="1"/>
    <w:qFormat/>
    <w:rsid w:val="00B523A5"/>
  </w:style>
  <w:style w:type="character" w:customStyle="1" w:styleId="CharSubdText">
    <w:name w:val="CharSubdText"/>
    <w:basedOn w:val="OPCCharBase"/>
    <w:uiPriority w:val="1"/>
    <w:qFormat/>
    <w:rsid w:val="00B523A5"/>
  </w:style>
  <w:style w:type="paragraph" w:customStyle="1" w:styleId="CTA--">
    <w:name w:val="CTA --"/>
    <w:basedOn w:val="OPCParaBase"/>
    <w:next w:val="Normal"/>
    <w:rsid w:val="00B523A5"/>
    <w:pPr>
      <w:spacing w:before="60" w:line="240" w:lineRule="atLeast"/>
      <w:ind w:left="142" w:hanging="142"/>
    </w:pPr>
    <w:rPr>
      <w:sz w:val="20"/>
    </w:rPr>
  </w:style>
  <w:style w:type="paragraph" w:customStyle="1" w:styleId="CTA-">
    <w:name w:val="CTA -"/>
    <w:basedOn w:val="OPCParaBase"/>
    <w:rsid w:val="00B523A5"/>
    <w:pPr>
      <w:spacing w:before="60" w:line="240" w:lineRule="atLeast"/>
      <w:ind w:left="85" w:hanging="85"/>
    </w:pPr>
    <w:rPr>
      <w:sz w:val="20"/>
    </w:rPr>
  </w:style>
  <w:style w:type="paragraph" w:customStyle="1" w:styleId="CTA---">
    <w:name w:val="CTA ---"/>
    <w:basedOn w:val="OPCParaBase"/>
    <w:next w:val="Normal"/>
    <w:rsid w:val="00B523A5"/>
    <w:pPr>
      <w:spacing w:before="60" w:line="240" w:lineRule="atLeast"/>
      <w:ind w:left="198" w:hanging="198"/>
    </w:pPr>
    <w:rPr>
      <w:sz w:val="20"/>
    </w:rPr>
  </w:style>
  <w:style w:type="paragraph" w:customStyle="1" w:styleId="CTA----">
    <w:name w:val="CTA ----"/>
    <w:basedOn w:val="OPCParaBase"/>
    <w:next w:val="Normal"/>
    <w:rsid w:val="00B523A5"/>
    <w:pPr>
      <w:spacing w:before="60" w:line="240" w:lineRule="atLeast"/>
      <w:ind w:left="255" w:hanging="255"/>
    </w:pPr>
    <w:rPr>
      <w:sz w:val="20"/>
    </w:rPr>
  </w:style>
  <w:style w:type="paragraph" w:customStyle="1" w:styleId="CTA1a">
    <w:name w:val="CTA 1(a)"/>
    <w:basedOn w:val="OPCParaBase"/>
    <w:rsid w:val="00B523A5"/>
    <w:pPr>
      <w:tabs>
        <w:tab w:val="right" w:pos="414"/>
      </w:tabs>
      <w:spacing w:before="40" w:line="240" w:lineRule="atLeast"/>
      <w:ind w:left="675" w:hanging="675"/>
    </w:pPr>
    <w:rPr>
      <w:sz w:val="20"/>
    </w:rPr>
  </w:style>
  <w:style w:type="paragraph" w:customStyle="1" w:styleId="CTA1ai">
    <w:name w:val="CTA 1(a)(i)"/>
    <w:basedOn w:val="OPCParaBase"/>
    <w:rsid w:val="00B523A5"/>
    <w:pPr>
      <w:tabs>
        <w:tab w:val="right" w:pos="1004"/>
      </w:tabs>
      <w:spacing w:before="40" w:line="240" w:lineRule="atLeast"/>
      <w:ind w:left="1253" w:hanging="1253"/>
    </w:pPr>
    <w:rPr>
      <w:sz w:val="20"/>
    </w:rPr>
  </w:style>
  <w:style w:type="paragraph" w:customStyle="1" w:styleId="CTA2a">
    <w:name w:val="CTA 2(a)"/>
    <w:basedOn w:val="OPCParaBase"/>
    <w:rsid w:val="00B523A5"/>
    <w:pPr>
      <w:tabs>
        <w:tab w:val="right" w:pos="482"/>
      </w:tabs>
      <w:spacing w:before="40" w:line="240" w:lineRule="atLeast"/>
      <w:ind w:left="748" w:hanging="748"/>
    </w:pPr>
    <w:rPr>
      <w:sz w:val="20"/>
    </w:rPr>
  </w:style>
  <w:style w:type="paragraph" w:customStyle="1" w:styleId="CTA2ai">
    <w:name w:val="CTA 2(a)(i)"/>
    <w:basedOn w:val="OPCParaBase"/>
    <w:rsid w:val="00B523A5"/>
    <w:pPr>
      <w:tabs>
        <w:tab w:val="right" w:pos="1089"/>
      </w:tabs>
      <w:spacing w:before="40" w:line="240" w:lineRule="atLeast"/>
      <w:ind w:left="1327" w:hanging="1327"/>
    </w:pPr>
    <w:rPr>
      <w:sz w:val="20"/>
    </w:rPr>
  </w:style>
  <w:style w:type="paragraph" w:customStyle="1" w:styleId="CTA3a">
    <w:name w:val="CTA 3(a)"/>
    <w:basedOn w:val="OPCParaBase"/>
    <w:rsid w:val="00B523A5"/>
    <w:pPr>
      <w:tabs>
        <w:tab w:val="right" w:pos="556"/>
      </w:tabs>
      <w:spacing w:before="40" w:line="240" w:lineRule="atLeast"/>
      <w:ind w:left="805" w:hanging="805"/>
    </w:pPr>
    <w:rPr>
      <w:sz w:val="20"/>
    </w:rPr>
  </w:style>
  <w:style w:type="paragraph" w:customStyle="1" w:styleId="CTA3ai">
    <w:name w:val="CTA 3(a)(i)"/>
    <w:basedOn w:val="OPCParaBase"/>
    <w:rsid w:val="00B523A5"/>
    <w:pPr>
      <w:tabs>
        <w:tab w:val="right" w:pos="1140"/>
      </w:tabs>
      <w:spacing w:before="40" w:line="240" w:lineRule="atLeast"/>
      <w:ind w:left="1361" w:hanging="1361"/>
    </w:pPr>
    <w:rPr>
      <w:sz w:val="20"/>
    </w:rPr>
  </w:style>
  <w:style w:type="paragraph" w:customStyle="1" w:styleId="CTA4a">
    <w:name w:val="CTA 4(a)"/>
    <w:basedOn w:val="OPCParaBase"/>
    <w:rsid w:val="00B523A5"/>
    <w:pPr>
      <w:tabs>
        <w:tab w:val="right" w:pos="624"/>
      </w:tabs>
      <w:spacing w:before="40" w:line="240" w:lineRule="atLeast"/>
      <w:ind w:left="873" w:hanging="873"/>
    </w:pPr>
    <w:rPr>
      <w:sz w:val="20"/>
    </w:rPr>
  </w:style>
  <w:style w:type="paragraph" w:customStyle="1" w:styleId="CTA4ai">
    <w:name w:val="CTA 4(a)(i)"/>
    <w:basedOn w:val="OPCParaBase"/>
    <w:rsid w:val="00B523A5"/>
    <w:pPr>
      <w:tabs>
        <w:tab w:val="right" w:pos="1213"/>
      </w:tabs>
      <w:spacing w:before="40" w:line="240" w:lineRule="atLeast"/>
      <w:ind w:left="1452" w:hanging="1452"/>
    </w:pPr>
    <w:rPr>
      <w:sz w:val="20"/>
    </w:rPr>
  </w:style>
  <w:style w:type="paragraph" w:customStyle="1" w:styleId="CTACAPS">
    <w:name w:val="CTA CAPS"/>
    <w:basedOn w:val="OPCParaBase"/>
    <w:rsid w:val="00B523A5"/>
    <w:pPr>
      <w:spacing w:before="60" w:line="240" w:lineRule="atLeast"/>
    </w:pPr>
    <w:rPr>
      <w:sz w:val="20"/>
    </w:rPr>
  </w:style>
  <w:style w:type="paragraph" w:customStyle="1" w:styleId="CTAright">
    <w:name w:val="CTA right"/>
    <w:basedOn w:val="OPCParaBase"/>
    <w:rsid w:val="00B523A5"/>
    <w:pPr>
      <w:spacing w:before="60" w:line="240" w:lineRule="auto"/>
      <w:jc w:val="right"/>
    </w:pPr>
    <w:rPr>
      <w:sz w:val="20"/>
    </w:rPr>
  </w:style>
  <w:style w:type="paragraph" w:customStyle="1" w:styleId="subsection">
    <w:name w:val="subsection"/>
    <w:aliases w:val="ss"/>
    <w:basedOn w:val="OPCParaBase"/>
    <w:link w:val="subsectionChar"/>
    <w:rsid w:val="00B523A5"/>
    <w:pPr>
      <w:tabs>
        <w:tab w:val="right" w:pos="1021"/>
      </w:tabs>
      <w:spacing w:before="180" w:line="240" w:lineRule="auto"/>
      <w:ind w:left="1134" w:hanging="1134"/>
    </w:pPr>
  </w:style>
  <w:style w:type="paragraph" w:customStyle="1" w:styleId="Definition">
    <w:name w:val="Definition"/>
    <w:aliases w:val="dd"/>
    <w:basedOn w:val="OPCParaBase"/>
    <w:rsid w:val="00B523A5"/>
    <w:pPr>
      <w:spacing w:before="180" w:line="240" w:lineRule="auto"/>
      <w:ind w:left="1134"/>
    </w:pPr>
  </w:style>
  <w:style w:type="paragraph" w:customStyle="1" w:styleId="EndNotespara">
    <w:name w:val="EndNotes(para)"/>
    <w:aliases w:val="eta"/>
    <w:basedOn w:val="OPCParaBase"/>
    <w:next w:val="EndNotessubpara"/>
    <w:rsid w:val="00B523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523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523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523A5"/>
    <w:pPr>
      <w:tabs>
        <w:tab w:val="right" w:pos="1412"/>
      </w:tabs>
      <w:spacing w:before="60" w:line="240" w:lineRule="auto"/>
      <w:ind w:left="1525" w:hanging="1525"/>
    </w:pPr>
    <w:rPr>
      <w:sz w:val="20"/>
    </w:rPr>
  </w:style>
  <w:style w:type="paragraph" w:customStyle="1" w:styleId="Formula">
    <w:name w:val="Formula"/>
    <w:basedOn w:val="OPCParaBase"/>
    <w:rsid w:val="00B523A5"/>
    <w:pPr>
      <w:spacing w:line="240" w:lineRule="auto"/>
      <w:ind w:left="1134"/>
    </w:pPr>
    <w:rPr>
      <w:sz w:val="20"/>
    </w:rPr>
  </w:style>
  <w:style w:type="paragraph" w:styleId="Header">
    <w:name w:val="header"/>
    <w:basedOn w:val="OPCParaBase"/>
    <w:link w:val="HeaderChar"/>
    <w:unhideWhenUsed/>
    <w:rsid w:val="00B523A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523A5"/>
    <w:rPr>
      <w:rFonts w:eastAsia="Times New Roman" w:cs="Times New Roman"/>
      <w:sz w:val="16"/>
      <w:lang w:eastAsia="en-AU"/>
    </w:rPr>
  </w:style>
  <w:style w:type="paragraph" w:customStyle="1" w:styleId="House">
    <w:name w:val="House"/>
    <w:basedOn w:val="OPCParaBase"/>
    <w:rsid w:val="00B523A5"/>
    <w:pPr>
      <w:spacing w:line="240" w:lineRule="auto"/>
    </w:pPr>
    <w:rPr>
      <w:sz w:val="28"/>
    </w:rPr>
  </w:style>
  <w:style w:type="paragraph" w:customStyle="1" w:styleId="Item">
    <w:name w:val="Item"/>
    <w:aliases w:val="i"/>
    <w:basedOn w:val="OPCParaBase"/>
    <w:next w:val="ItemHead"/>
    <w:rsid w:val="00B523A5"/>
    <w:pPr>
      <w:keepLines/>
      <w:spacing w:before="80" w:line="240" w:lineRule="auto"/>
      <w:ind w:left="709"/>
    </w:pPr>
  </w:style>
  <w:style w:type="paragraph" w:customStyle="1" w:styleId="ItemHead">
    <w:name w:val="ItemHead"/>
    <w:aliases w:val="ih"/>
    <w:basedOn w:val="OPCParaBase"/>
    <w:next w:val="Item"/>
    <w:rsid w:val="00B523A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523A5"/>
    <w:pPr>
      <w:spacing w:line="240" w:lineRule="auto"/>
    </w:pPr>
    <w:rPr>
      <w:b/>
      <w:sz w:val="32"/>
    </w:rPr>
  </w:style>
  <w:style w:type="paragraph" w:customStyle="1" w:styleId="notedraft">
    <w:name w:val="note(draft)"/>
    <w:aliases w:val="nd"/>
    <w:basedOn w:val="OPCParaBase"/>
    <w:rsid w:val="00B523A5"/>
    <w:pPr>
      <w:spacing w:before="240" w:line="240" w:lineRule="auto"/>
      <w:ind w:left="284" w:hanging="284"/>
    </w:pPr>
    <w:rPr>
      <w:i/>
      <w:sz w:val="24"/>
    </w:rPr>
  </w:style>
  <w:style w:type="paragraph" w:customStyle="1" w:styleId="notemargin">
    <w:name w:val="note(margin)"/>
    <w:aliases w:val="nm"/>
    <w:basedOn w:val="OPCParaBase"/>
    <w:rsid w:val="00B523A5"/>
    <w:pPr>
      <w:tabs>
        <w:tab w:val="left" w:pos="709"/>
      </w:tabs>
      <w:spacing w:before="122" w:line="198" w:lineRule="exact"/>
      <w:ind w:left="709" w:hanging="709"/>
    </w:pPr>
    <w:rPr>
      <w:sz w:val="18"/>
    </w:rPr>
  </w:style>
  <w:style w:type="paragraph" w:customStyle="1" w:styleId="noteToPara">
    <w:name w:val="noteToPara"/>
    <w:aliases w:val="ntp"/>
    <w:basedOn w:val="OPCParaBase"/>
    <w:rsid w:val="00B523A5"/>
    <w:pPr>
      <w:spacing w:before="122" w:line="198" w:lineRule="exact"/>
      <w:ind w:left="2353" w:hanging="709"/>
    </w:pPr>
    <w:rPr>
      <w:sz w:val="18"/>
    </w:rPr>
  </w:style>
  <w:style w:type="paragraph" w:customStyle="1" w:styleId="noteParlAmend">
    <w:name w:val="note(ParlAmend)"/>
    <w:aliases w:val="npp"/>
    <w:basedOn w:val="OPCParaBase"/>
    <w:next w:val="ParlAmend"/>
    <w:rsid w:val="00B523A5"/>
    <w:pPr>
      <w:spacing w:line="240" w:lineRule="auto"/>
      <w:jc w:val="right"/>
    </w:pPr>
    <w:rPr>
      <w:rFonts w:ascii="Arial" w:hAnsi="Arial"/>
      <w:b/>
      <w:i/>
    </w:rPr>
  </w:style>
  <w:style w:type="paragraph" w:customStyle="1" w:styleId="Page1">
    <w:name w:val="Page1"/>
    <w:basedOn w:val="OPCParaBase"/>
    <w:rsid w:val="00B523A5"/>
    <w:pPr>
      <w:spacing w:before="5600" w:line="240" w:lineRule="auto"/>
    </w:pPr>
    <w:rPr>
      <w:b/>
      <w:sz w:val="32"/>
    </w:rPr>
  </w:style>
  <w:style w:type="paragraph" w:customStyle="1" w:styleId="PageBreak">
    <w:name w:val="PageBreak"/>
    <w:aliases w:val="pb"/>
    <w:basedOn w:val="OPCParaBase"/>
    <w:rsid w:val="00B523A5"/>
    <w:pPr>
      <w:spacing w:line="240" w:lineRule="auto"/>
    </w:pPr>
    <w:rPr>
      <w:sz w:val="20"/>
    </w:rPr>
  </w:style>
  <w:style w:type="paragraph" w:customStyle="1" w:styleId="paragraphsub">
    <w:name w:val="paragraph(sub)"/>
    <w:aliases w:val="aa"/>
    <w:basedOn w:val="OPCParaBase"/>
    <w:rsid w:val="00B523A5"/>
    <w:pPr>
      <w:tabs>
        <w:tab w:val="right" w:pos="1985"/>
      </w:tabs>
      <w:spacing w:before="40" w:line="240" w:lineRule="auto"/>
      <w:ind w:left="2098" w:hanging="2098"/>
    </w:pPr>
  </w:style>
  <w:style w:type="paragraph" w:customStyle="1" w:styleId="paragraphsub-sub">
    <w:name w:val="paragraph(sub-sub)"/>
    <w:aliases w:val="aaa"/>
    <w:basedOn w:val="OPCParaBase"/>
    <w:rsid w:val="00B523A5"/>
    <w:pPr>
      <w:tabs>
        <w:tab w:val="right" w:pos="2722"/>
      </w:tabs>
      <w:spacing w:before="40" w:line="240" w:lineRule="auto"/>
      <w:ind w:left="2835" w:hanging="2835"/>
    </w:pPr>
  </w:style>
  <w:style w:type="paragraph" w:customStyle="1" w:styleId="paragraph">
    <w:name w:val="paragraph"/>
    <w:aliases w:val="a"/>
    <w:basedOn w:val="OPCParaBase"/>
    <w:rsid w:val="00B523A5"/>
    <w:pPr>
      <w:tabs>
        <w:tab w:val="right" w:pos="1531"/>
      </w:tabs>
      <w:spacing w:before="40" w:line="240" w:lineRule="auto"/>
      <w:ind w:left="1644" w:hanging="1644"/>
    </w:pPr>
  </w:style>
  <w:style w:type="paragraph" w:customStyle="1" w:styleId="ParlAmend">
    <w:name w:val="ParlAmend"/>
    <w:aliases w:val="pp"/>
    <w:basedOn w:val="OPCParaBase"/>
    <w:rsid w:val="00B523A5"/>
    <w:pPr>
      <w:spacing w:before="240" w:line="240" w:lineRule="atLeast"/>
      <w:ind w:hanging="567"/>
    </w:pPr>
    <w:rPr>
      <w:sz w:val="24"/>
    </w:rPr>
  </w:style>
  <w:style w:type="paragraph" w:customStyle="1" w:styleId="Penalty">
    <w:name w:val="Penalty"/>
    <w:basedOn w:val="OPCParaBase"/>
    <w:rsid w:val="00B523A5"/>
    <w:pPr>
      <w:tabs>
        <w:tab w:val="left" w:pos="2977"/>
      </w:tabs>
      <w:spacing w:before="180" w:line="240" w:lineRule="auto"/>
      <w:ind w:left="1985" w:hanging="851"/>
    </w:pPr>
  </w:style>
  <w:style w:type="paragraph" w:customStyle="1" w:styleId="Portfolio">
    <w:name w:val="Portfolio"/>
    <w:basedOn w:val="OPCParaBase"/>
    <w:rsid w:val="00B523A5"/>
    <w:pPr>
      <w:spacing w:line="240" w:lineRule="auto"/>
    </w:pPr>
    <w:rPr>
      <w:i/>
      <w:sz w:val="20"/>
    </w:rPr>
  </w:style>
  <w:style w:type="paragraph" w:customStyle="1" w:styleId="Preamble">
    <w:name w:val="Preamble"/>
    <w:basedOn w:val="OPCParaBase"/>
    <w:next w:val="Normal"/>
    <w:rsid w:val="00B523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523A5"/>
    <w:pPr>
      <w:spacing w:line="240" w:lineRule="auto"/>
    </w:pPr>
    <w:rPr>
      <w:i/>
      <w:sz w:val="20"/>
    </w:rPr>
  </w:style>
  <w:style w:type="paragraph" w:customStyle="1" w:styleId="Session">
    <w:name w:val="Session"/>
    <w:basedOn w:val="OPCParaBase"/>
    <w:rsid w:val="00B523A5"/>
    <w:pPr>
      <w:spacing w:line="240" w:lineRule="auto"/>
    </w:pPr>
    <w:rPr>
      <w:sz w:val="28"/>
    </w:rPr>
  </w:style>
  <w:style w:type="paragraph" w:customStyle="1" w:styleId="Sponsor">
    <w:name w:val="Sponsor"/>
    <w:basedOn w:val="OPCParaBase"/>
    <w:rsid w:val="00B523A5"/>
    <w:pPr>
      <w:spacing w:line="240" w:lineRule="auto"/>
    </w:pPr>
    <w:rPr>
      <w:i/>
    </w:rPr>
  </w:style>
  <w:style w:type="paragraph" w:customStyle="1" w:styleId="Subitem">
    <w:name w:val="Subitem"/>
    <w:aliases w:val="iss"/>
    <w:basedOn w:val="OPCParaBase"/>
    <w:rsid w:val="00B523A5"/>
    <w:pPr>
      <w:spacing w:before="180" w:line="240" w:lineRule="auto"/>
      <w:ind w:left="709" w:hanging="709"/>
    </w:pPr>
  </w:style>
  <w:style w:type="paragraph" w:customStyle="1" w:styleId="SubitemHead">
    <w:name w:val="SubitemHead"/>
    <w:aliases w:val="issh"/>
    <w:basedOn w:val="OPCParaBase"/>
    <w:rsid w:val="00B523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523A5"/>
    <w:pPr>
      <w:spacing w:before="40" w:line="240" w:lineRule="auto"/>
      <w:ind w:left="1134"/>
    </w:pPr>
  </w:style>
  <w:style w:type="paragraph" w:customStyle="1" w:styleId="SubsectionHead">
    <w:name w:val="SubsectionHead"/>
    <w:aliases w:val="ssh"/>
    <w:basedOn w:val="OPCParaBase"/>
    <w:next w:val="subsection"/>
    <w:rsid w:val="00B523A5"/>
    <w:pPr>
      <w:keepNext/>
      <w:keepLines/>
      <w:spacing w:before="240" w:line="240" w:lineRule="auto"/>
      <w:ind w:left="1134"/>
    </w:pPr>
    <w:rPr>
      <w:i/>
    </w:rPr>
  </w:style>
  <w:style w:type="paragraph" w:customStyle="1" w:styleId="Tablea">
    <w:name w:val="Table(a)"/>
    <w:aliases w:val="ta"/>
    <w:basedOn w:val="OPCParaBase"/>
    <w:rsid w:val="00B523A5"/>
    <w:pPr>
      <w:spacing w:before="60" w:line="240" w:lineRule="auto"/>
      <w:ind w:left="284" w:hanging="284"/>
    </w:pPr>
    <w:rPr>
      <w:sz w:val="20"/>
    </w:rPr>
  </w:style>
  <w:style w:type="paragraph" w:customStyle="1" w:styleId="TableAA">
    <w:name w:val="Table(AA)"/>
    <w:aliases w:val="taaa"/>
    <w:basedOn w:val="OPCParaBase"/>
    <w:rsid w:val="00B523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523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523A5"/>
    <w:pPr>
      <w:spacing w:before="60" w:line="240" w:lineRule="atLeast"/>
    </w:pPr>
    <w:rPr>
      <w:sz w:val="20"/>
    </w:rPr>
  </w:style>
  <w:style w:type="paragraph" w:customStyle="1" w:styleId="TLPBoxTextnote">
    <w:name w:val="TLPBoxText(note"/>
    <w:aliases w:val="right)"/>
    <w:basedOn w:val="OPCParaBase"/>
    <w:rsid w:val="00B523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523A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523A5"/>
    <w:pPr>
      <w:spacing w:before="122" w:line="198" w:lineRule="exact"/>
      <w:ind w:left="1985" w:hanging="851"/>
      <w:jc w:val="right"/>
    </w:pPr>
    <w:rPr>
      <w:sz w:val="18"/>
    </w:rPr>
  </w:style>
  <w:style w:type="paragraph" w:customStyle="1" w:styleId="TLPTableBullet">
    <w:name w:val="TLPTableBullet"/>
    <w:aliases w:val="ttb"/>
    <w:basedOn w:val="OPCParaBase"/>
    <w:rsid w:val="00B523A5"/>
    <w:pPr>
      <w:spacing w:line="240" w:lineRule="exact"/>
      <w:ind w:left="284" w:hanging="284"/>
    </w:pPr>
    <w:rPr>
      <w:sz w:val="20"/>
    </w:rPr>
  </w:style>
  <w:style w:type="paragraph" w:styleId="TOC1">
    <w:name w:val="toc 1"/>
    <w:basedOn w:val="Normal"/>
    <w:next w:val="Normal"/>
    <w:uiPriority w:val="39"/>
    <w:unhideWhenUsed/>
    <w:rsid w:val="00B523A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523A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523A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523A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523A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523A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523A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523A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523A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523A5"/>
    <w:pPr>
      <w:keepLines/>
      <w:spacing w:before="240" w:after="120" w:line="240" w:lineRule="auto"/>
      <w:ind w:left="794"/>
    </w:pPr>
    <w:rPr>
      <w:b/>
      <w:kern w:val="28"/>
      <w:sz w:val="20"/>
    </w:rPr>
  </w:style>
  <w:style w:type="paragraph" w:customStyle="1" w:styleId="TofSectsHeading">
    <w:name w:val="TofSects(Heading)"/>
    <w:basedOn w:val="OPCParaBase"/>
    <w:rsid w:val="00B523A5"/>
    <w:pPr>
      <w:spacing w:before="240" w:after="120" w:line="240" w:lineRule="auto"/>
    </w:pPr>
    <w:rPr>
      <w:b/>
      <w:sz w:val="24"/>
    </w:rPr>
  </w:style>
  <w:style w:type="paragraph" w:customStyle="1" w:styleId="TofSectsSection">
    <w:name w:val="TofSects(Section)"/>
    <w:basedOn w:val="OPCParaBase"/>
    <w:rsid w:val="00B523A5"/>
    <w:pPr>
      <w:keepLines/>
      <w:spacing w:before="40" w:line="240" w:lineRule="auto"/>
      <w:ind w:left="1588" w:hanging="794"/>
    </w:pPr>
    <w:rPr>
      <w:kern w:val="28"/>
      <w:sz w:val="18"/>
    </w:rPr>
  </w:style>
  <w:style w:type="paragraph" w:customStyle="1" w:styleId="TofSectsSubdiv">
    <w:name w:val="TofSects(Subdiv)"/>
    <w:basedOn w:val="OPCParaBase"/>
    <w:rsid w:val="00B523A5"/>
    <w:pPr>
      <w:keepLines/>
      <w:spacing w:before="80" w:line="240" w:lineRule="auto"/>
      <w:ind w:left="1588" w:hanging="794"/>
    </w:pPr>
    <w:rPr>
      <w:kern w:val="28"/>
    </w:rPr>
  </w:style>
  <w:style w:type="paragraph" w:customStyle="1" w:styleId="WRStyle">
    <w:name w:val="WR Style"/>
    <w:aliases w:val="WR"/>
    <w:basedOn w:val="OPCParaBase"/>
    <w:rsid w:val="00B523A5"/>
    <w:pPr>
      <w:spacing w:before="240" w:line="240" w:lineRule="auto"/>
      <w:ind w:left="284" w:hanging="284"/>
    </w:pPr>
    <w:rPr>
      <w:b/>
      <w:i/>
      <w:kern w:val="28"/>
      <w:sz w:val="24"/>
    </w:rPr>
  </w:style>
  <w:style w:type="paragraph" w:customStyle="1" w:styleId="notepara">
    <w:name w:val="note(para)"/>
    <w:aliases w:val="na"/>
    <w:basedOn w:val="OPCParaBase"/>
    <w:rsid w:val="00B523A5"/>
    <w:pPr>
      <w:spacing w:before="40" w:line="198" w:lineRule="exact"/>
      <w:ind w:left="2354" w:hanging="369"/>
    </w:pPr>
    <w:rPr>
      <w:sz w:val="18"/>
    </w:rPr>
  </w:style>
  <w:style w:type="paragraph" w:styleId="Footer">
    <w:name w:val="footer"/>
    <w:link w:val="FooterChar"/>
    <w:rsid w:val="00B523A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523A5"/>
    <w:rPr>
      <w:rFonts w:eastAsia="Times New Roman" w:cs="Times New Roman"/>
      <w:sz w:val="22"/>
      <w:szCs w:val="24"/>
      <w:lang w:eastAsia="en-AU"/>
    </w:rPr>
  </w:style>
  <w:style w:type="character" w:styleId="LineNumber">
    <w:name w:val="line number"/>
    <w:basedOn w:val="OPCCharBase"/>
    <w:uiPriority w:val="99"/>
    <w:unhideWhenUsed/>
    <w:rsid w:val="00B523A5"/>
    <w:rPr>
      <w:sz w:val="16"/>
    </w:rPr>
  </w:style>
  <w:style w:type="table" w:customStyle="1" w:styleId="CFlag">
    <w:name w:val="CFlag"/>
    <w:basedOn w:val="TableNormal"/>
    <w:uiPriority w:val="99"/>
    <w:rsid w:val="00B523A5"/>
    <w:rPr>
      <w:rFonts w:eastAsia="Times New Roman" w:cs="Times New Roman"/>
      <w:lang w:eastAsia="en-AU"/>
    </w:rPr>
    <w:tblPr/>
  </w:style>
  <w:style w:type="paragraph" w:styleId="BalloonText">
    <w:name w:val="Balloon Text"/>
    <w:basedOn w:val="Normal"/>
    <w:link w:val="BalloonTextChar"/>
    <w:uiPriority w:val="99"/>
    <w:unhideWhenUsed/>
    <w:rsid w:val="00B523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523A5"/>
    <w:rPr>
      <w:rFonts w:ascii="Tahoma" w:hAnsi="Tahoma" w:cs="Tahoma"/>
      <w:sz w:val="16"/>
      <w:szCs w:val="16"/>
    </w:rPr>
  </w:style>
  <w:style w:type="table" w:styleId="TableGrid">
    <w:name w:val="Table Grid"/>
    <w:basedOn w:val="TableNormal"/>
    <w:uiPriority w:val="59"/>
    <w:rsid w:val="00B5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523A5"/>
    <w:rPr>
      <w:b/>
      <w:sz w:val="28"/>
      <w:szCs w:val="32"/>
    </w:rPr>
  </w:style>
  <w:style w:type="paragraph" w:customStyle="1" w:styleId="LegislationMadeUnder">
    <w:name w:val="LegislationMadeUnder"/>
    <w:basedOn w:val="OPCParaBase"/>
    <w:next w:val="Normal"/>
    <w:rsid w:val="00B523A5"/>
    <w:rPr>
      <w:i/>
      <w:sz w:val="32"/>
      <w:szCs w:val="32"/>
    </w:rPr>
  </w:style>
  <w:style w:type="paragraph" w:customStyle="1" w:styleId="SignCoverPageEnd">
    <w:name w:val="SignCoverPageEnd"/>
    <w:basedOn w:val="OPCParaBase"/>
    <w:next w:val="Normal"/>
    <w:rsid w:val="00B523A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523A5"/>
    <w:pPr>
      <w:pBdr>
        <w:top w:val="single" w:sz="4" w:space="1" w:color="auto"/>
      </w:pBdr>
      <w:spacing w:before="360"/>
      <w:ind w:right="397"/>
      <w:jc w:val="both"/>
    </w:pPr>
  </w:style>
  <w:style w:type="paragraph" w:customStyle="1" w:styleId="NotesHeading1">
    <w:name w:val="NotesHeading 1"/>
    <w:basedOn w:val="OPCParaBase"/>
    <w:next w:val="Normal"/>
    <w:rsid w:val="00B523A5"/>
    <w:rPr>
      <w:b/>
      <w:sz w:val="28"/>
      <w:szCs w:val="28"/>
    </w:rPr>
  </w:style>
  <w:style w:type="paragraph" w:customStyle="1" w:styleId="NotesHeading2">
    <w:name w:val="NotesHeading 2"/>
    <w:basedOn w:val="OPCParaBase"/>
    <w:next w:val="Normal"/>
    <w:rsid w:val="00B523A5"/>
    <w:rPr>
      <w:b/>
      <w:sz w:val="28"/>
      <w:szCs w:val="28"/>
    </w:rPr>
  </w:style>
  <w:style w:type="paragraph" w:customStyle="1" w:styleId="CompiledActNo">
    <w:name w:val="CompiledActNo"/>
    <w:basedOn w:val="OPCParaBase"/>
    <w:next w:val="Normal"/>
    <w:rsid w:val="00B523A5"/>
    <w:rPr>
      <w:b/>
      <w:sz w:val="24"/>
      <w:szCs w:val="24"/>
    </w:rPr>
  </w:style>
  <w:style w:type="paragraph" w:customStyle="1" w:styleId="ENotesText">
    <w:name w:val="ENotesText"/>
    <w:aliases w:val="Ent"/>
    <w:basedOn w:val="OPCParaBase"/>
    <w:next w:val="Normal"/>
    <w:rsid w:val="00B523A5"/>
    <w:pPr>
      <w:spacing w:before="120"/>
    </w:pPr>
  </w:style>
  <w:style w:type="paragraph" w:customStyle="1" w:styleId="CompiledMadeUnder">
    <w:name w:val="CompiledMadeUnder"/>
    <w:basedOn w:val="OPCParaBase"/>
    <w:next w:val="Normal"/>
    <w:rsid w:val="00B523A5"/>
    <w:rPr>
      <w:i/>
      <w:sz w:val="24"/>
      <w:szCs w:val="24"/>
    </w:rPr>
  </w:style>
  <w:style w:type="paragraph" w:customStyle="1" w:styleId="Paragraphsub-sub-sub">
    <w:name w:val="Paragraph(sub-sub-sub)"/>
    <w:aliases w:val="aaaa"/>
    <w:basedOn w:val="OPCParaBase"/>
    <w:rsid w:val="00B523A5"/>
    <w:pPr>
      <w:tabs>
        <w:tab w:val="right" w:pos="3402"/>
      </w:tabs>
      <w:spacing w:before="40" w:line="240" w:lineRule="auto"/>
      <w:ind w:left="3402" w:hanging="3402"/>
    </w:pPr>
  </w:style>
  <w:style w:type="paragraph" w:customStyle="1" w:styleId="TableTextEndNotes">
    <w:name w:val="TableTextEndNotes"/>
    <w:aliases w:val="Tten"/>
    <w:basedOn w:val="Normal"/>
    <w:rsid w:val="00B523A5"/>
    <w:pPr>
      <w:spacing w:before="60" w:line="240" w:lineRule="auto"/>
    </w:pPr>
    <w:rPr>
      <w:rFonts w:cs="Arial"/>
      <w:sz w:val="20"/>
      <w:szCs w:val="22"/>
    </w:rPr>
  </w:style>
  <w:style w:type="paragraph" w:customStyle="1" w:styleId="NoteToSubpara">
    <w:name w:val="NoteToSubpara"/>
    <w:aliases w:val="nts"/>
    <w:basedOn w:val="OPCParaBase"/>
    <w:rsid w:val="00B523A5"/>
    <w:pPr>
      <w:spacing w:before="40" w:line="198" w:lineRule="exact"/>
      <w:ind w:left="2835" w:hanging="709"/>
    </w:pPr>
    <w:rPr>
      <w:sz w:val="18"/>
    </w:rPr>
  </w:style>
  <w:style w:type="paragraph" w:customStyle="1" w:styleId="ENoteTableHeading">
    <w:name w:val="ENoteTableHeading"/>
    <w:aliases w:val="enth"/>
    <w:basedOn w:val="OPCParaBase"/>
    <w:rsid w:val="00B523A5"/>
    <w:pPr>
      <w:keepNext/>
      <w:spacing w:before="60" w:line="240" w:lineRule="atLeast"/>
    </w:pPr>
    <w:rPr>
      <w:rFonts w:ascii="Arial" w:hAnsi="Arial"/>
      <w:b/>
      <w:sz w:val="16"/>
    </w:rPr>
  </w:style>
  <w:style w:type="paragraph" w:customStyle="1" w:styleId="ENoteTTi">
    <w:name w:val="ENoteTTi"/>
    <w:aliases w:val="entti"/>
    <w:basedOn w:val="OPCParaBase"/>
    <w:rsid w:val="00B523A5"/>
    <w:pPr>
      <w:keepNext/>
      <w:spacing w:before="60" w:line="240" w:lineRule="atLeast"/>
      <w:ind w:left="170"/>
    </w:pPr>
    <w:rPr>
      <w:sz w:val="16"/>
    </w:rPr>
  </w:style>
  <w:style w:type="paragraph" w:customStyle="1" w:styleId="ENotesHeading1">
    <w:name w:val="ENotesHeading 1"/>
    <w:aliases w:val="Enh1"/>
    <w:basedOn w:val="OPCParaBase"/>
    <w:next w:val="Normal"/>
    <w:rsid w:val="00B523A5"/>
    <w:pPr>
      <w:spacing w:before="120"/>
      <w:outlineLvl w:val="1"/>
    </w:pPr>
    <w:rPr>
      <w:b/>
      <w:sz w:val="28"/>
      <w:szCs w:val="28"/>
    </w:rPr>
  </w:style>
  <w:style w:type="paragraph" w:customStyle="1" w:styleId="ENotesHeading2">
    <w:name w:val="ENotesHeading 2"/>
    <w:aliases w:val="Enh2"/>
    <w:basedOn w:val="OPCParaBase"/>
    <w:next w:val="Normal"/>
    <w:rsid w:val="00B523A5"/>
    <w:pPr>
      <w:spacing w:before="120" w:after="120"/>
      <w:outlineLvl w:val="2"/>
    </w:pPr>
    <w:rPr>
      <w:b/>
      <w:sz w:val="24"/>
      <w:szCs w:val="28"/>
    </w:rPr>
  </w:style>
  <w:style w:type="paragraph" w:customStyle="1" w:styleId="ENoteTTIndentHeading">
    <w:name w:val="ENoteTTIndentHeading"/>
    <w:aliases w:val="enTTHi"/>
    <w:basedOn w:val="OPCParaBase"/>
    <w:rsid w:val="00B523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523A5"/>
    <w:pPr>
      <w:spacing w:before="60" w:line="240" w:lineRule="atLeast"/>
    </w:pPr>
    <w:rPr>
      <w:sz w:val="16"/>
    </w:rPr>
  </w:style>
  <w:style w:type="paragraph" w:customStyle="1" w:styleId="MadeunderText">
    <w:name w:val="MadeunderText"/>
    <w:basedOn w:val="OPCParaBase"/>
    <w:next w:val="Normal"/>
    <w:rsid w:val="00B523A5"/>
    <w:pPr>
      <w:spacing w:before="240"/>
    </w:pPr>
    <w:rPr>
      <w:sz w:val="24"/>
      <w:szCs w:val="24"/>
    </w:rPr>
  </w:style>
  <w:style w:type="paragraph" w:customStyle="1" w:styleId="ENotesHeading3">
    <w:name w:val="ENotesHeading 3"/>
    <w:aliases w:val="Enh3"/>
    <w:basedOn w:val="OPCParaBase"/>
    <w:next w:val="Normal"/>
    <w:rsid w:val="00B523A5"/>
    <w:pPr>
      <w:keepNext/>
      <w:spacing w:before="120" w:line="240" w:lineRule="auto"/>
      <w:outlineLvl w:val="4"/>
    </w:pPr>
    <w:rPr>
      <w:b/>
      <w:szCs w:val="24"/>
    </w:rPr>
  </w:style>
  <w:style w:type="character" w:customStyle="1" w:styleId="CharSubPartTextCASA">
    <w:name w:val="CharSubPartText(CASA)"/>
    <w:basedOn w:val="OPCCharBase"/>
    <w:uiPriority w:val="1"/>
    <w:rsid w:val="00B523A5"/>
  </w:style>
  <w:style w:type="character" w:customStyle="1" w:styleId="CharSubPartNoCASA">
    <w:name w:val="CharSubPartNo(CASA)"/>
    <w:basedOn w:val="OPCCharBase"/>
    <w:uiPriority w:val="1"/>
    <w:rsid w:val="00B523A5"/>
  </w:style>
  <w:style w:type="paragraph" w:customStyle="1" w:styleId="ENoteTTIndentHeadingSub">
    <w:name w:val="ENoteTTIndentHeadingSub"/>
    <w:aliases w:val="enTTHis"/>
    <w:basedOn w:val="OPCParaBase"/>
    <w:rsid w:val="00B523A5"/>
    <w:pPr>
      <w:keepNext/>
      <w:spacing w:before="60" w:line="240" w:lineRule="atLeast"/>
      <w:ind w:left="340"/>
    </w:pPr>
    <w:rPr>
      <w:b/>
      <w:sz w:val="16"/>
    </w:rPr>
  </w:style>
  <w:style w:type="paragraph" w:customStyle="1" w:styleId="ENoteTTiSub">
    <w:name w:val="ENoteTTiSub"/>
    <w:aliases w:val="enttis"/>
    <w:basedOn w:val="OPCParaBase"/>
    <w:rsid w:val="00B523A5"/>
    <w:pPr>
      <w:keepNext/>
      <w:spacing w:before="60" w:line="240" w:lineRule="atLeast"/>
      <w:ind w:left="340"/>
    </w:pPr>
    <w:rPr>
      <w:sz w:val="16"/>
    </w:rPr>
  </w:style>
  <w:style w:type="paragraph" w:customStyle="1" w:styleId="SubDivisionMigration">
    <w:name w:val="SubDivisionMigration"/>
    <w:aliases w:val="sdm"/>
    <w:basedOn w:val="OPCParaBase"/>
    <w:rsid w:val="00B523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523A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523A5"/>
    <w:pPr>
      <w:spacing w:before="122" w:line="240" w:lineRule="auto"/>
      <w:ind w:left="1985" w:hanging="851"/>
    </w:pPr>
    <w:rPr>
      <w:sz w:val="18"/>
    </w:rPr>
  </w:style>
  <w:style w:type="paragraph" w:customStyle="1" w:styleId="FreeForm">
    <w:name w:val="FreeForm"/>
    <w:rsid w:val="00B523A5"/>
    <w:rPr>
      <w:rFonts w:ascii="Arial" w:hAnsi="Arial"/>
      <w:sz w:val="22"/>
    </w:rPr>
  </w:style>
  <w:style w:type="paragraph" w:customStyle="1" w:styleId="SOText">
    <w:name w:val="SO Text"/>
    <w:aliases w:val="sot"/>
    <w:link w:val="SOTextChar"/>
    <w:rsid w:val="00B523A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523A5"/>
    <w:rPr>
      <w:sz w:val="22"/>
    </w:rPr>
  </w:style>
  <w:style w:type="paragraph" w:customStyle="1" w:styleId="SOTextNote">
    <w:name w:val="SO TextNote"/>
    <w:aliases w:val="sont"/>
    <w:basedOn w:val="SOText"/>
    <w:qFormat/>
    <w:rsid w:val="00B523A5"/>
    <w:pPr>
      <w:spacing w:before="122" w:line="198" w:lineRule="exact"/>
      <w:ind w:left="1843" w:hanging="709"/>
    </w:pPr>
    <w:rPr>
      <w:sz w:val="18"/>
    </w:rPr>
  </w:style>
  <w:style w:type="paragraph" w:customStyle="1" w:styleId="SOPara">
    <w:name w:val="SO Para"/>
    <w:aliases w:val="soa"/>
    <w:basedOn w:val="SOText"/>
    <w:link w:val="SOParaChar"/>
    <w:qFormat/>
    <w:rsid w:val="00B523A5"/>
    <w:pPr>
      <w:tabs>
        <w:tab w:val="right" w:pos="1786"/>
      </w:tabs>
      <w:spacing w:before="40"/>
      <w:ind w:left="2070" w:hanging="936"/>
    </w:pPr>
  </w:style>
  <w:style w:type="character" w:customStyle="1" w:styleId="SOParaChar">
    <w:name w:val="SO Para Char"/>
    <w:aliases w:val="soa Char"/>
    <w:basedOn w:val="DefaultParagraphFont"/>
    <w:link w:val="SOPara"/>
    <w:rsid w:val="00B523A5"/>
    <w:rPr>
      <w:sz w:val="22"/>
    </w:rPr>
  </w:style>
  <w:style w:type="paragraph" w:customStyle="1" w:styleId="FileName">
    <w:name w:val="FileName"/>
    <w:basedOn w:val="Normal"/>
    <w:rsid w:val="00B523A5"/>
  </w:style>
  <w:style w:type="paragraph" w:customStyle="1" w:styleId="TableHeading">
    <w:name w:val="TableHeading"/>
    <w:aliases w:val="th"/>
    <w:basedOn w:val="OPCParaBase"/>
    <w:next w:val="Tabletext"/>
    <w:rsid w:val="00B523A5"/>
    <w:pPr>
      <w:keepNext/>
      <w:spacing w:before="60" w:line="240" w:lineRule="atLeast"/>
    </w:pPr>
    <w:rPr>
      <w:b/>
      <w:sz w:val="20"/>
    </w:rPr>
  </w:style>
  <w:style w:type="paragraph" w:customStyle="1" w:styleId="SOHeadBold">
    <w:name w:val="SO HeadBold"/>
    <w:aliases w:val="sohb"/>
    <w:basedOn w:val="SOText"/>
    <w:next w:val="SOText"/>
    <w:link w:val="SOHeadBoldChar"/>
    <w:qFormat/>
    <w:rsid w:val="00B523A5"/>
    <w:rPr>
      <w:b/>
    </w:rPr>
  </w:style>
  <w:style w:type="character" w:customStyle="1" w:styleId="SOHeadBoldChar">
    <w:name w:val="SO HeadBold Char"/>
    <w:aliases w:val="sohb Char"/>
    <w:basedOn w:val="DefaultParagraphFont"/>
    <w:link w:val="SOHeadBold"/>
    <w:rsid w:val="00B523A5"/>
    <w:rPr>
      <w:b/>
      <w:sz w:val="22"/>
    </w:rPr>
  </w:style>
  <w:style w:type="paragraph" w:customStyle="1" w:styleId="SOHeadItalic">
    <w:name w:val="SO HeadItalic"/>
    <w:aliases w:val="sohi"/>
    <w:basedOn w:val="SOText"/>
    <w:next w:val="SOText"/>
    <w:link w:val="SOHeadItalicChar"/>
    <w:qFormat/>
    <w:rsid w:val="00B523A5"/>
    <w:rPr>
      <w:i/>
    </w:rPr>
  </w:style>
  <w:style w:type="character" w:customStyle="1" w:styleId="SOHeadItalicChar">
    <w:name w:val="SO HeadItalic Char"/>
    <w:aliases w:val="sohi Char"/>
    <w:basedOn w:val="DefaultParagraphFont"/>
    <w:link w:val="SOHeadItalic"/>
    <w:rsid w:val="00B523A5"/>
    <w:rPr>
      <w:i/>
      <w:sz w:val="22"/>
    </w:rPr>
  </w:style>
  <w:style w:type="paragraph" w:customStyle="1" w:styleId="SOBullet">
    <w:name w:val="SO Bullet"/>
    <w:aliases w:val="sotb"/>
    <w:basedOn w:val="SOText"/>
    <w:link w:val="SOBulletChar"/>
    <w:qFormat/>
    <w:rsid w:val="00B523A5"/>
    <w:pPr>
      <w:ind w:left="1559" w:hanging="425"/>
    </w:pPr>
  </w:style>
  <w:style w:type="character" w:customStyle="1" w:styleId="SOBulletChar">
    <w:name w:val="SO Bullet Char"/>
    <w:aliases w:val="sotb Char"/>
    <w:basedOn w:val="DefaultParagraphFont"/>
    <w:link w:val="SOBullet"/>
    <w:rsid w:val="00B523A5"/>
    <w:rPr>
      <w:sz w:val="22"/>
    </w:rPr>
  </w:style>
  <w:style w:type="paragraph" w:customStyle="1" w:styleId="SOBulletNote">
    <w:name w:val="SO BulletNote"/>
    <w:aliases w:val="sonb"/>
    <w:basedOn w:val="SOTextNote"/>
    <w:link w:val="SOBulletNoteChar"/>
    <w:qFormat/>
    <w:rsid w:val="00B523A5"/>
    <w:pPr>
      <w:tabs>
        <w:tab w:val="left" w:pos="1560"/>
      </w:tabs>
      <w:ind w:left="2268" w:hanging="1134"/>
    </w:pPr>
  </w:style>
  <w:style w:type="character" w:customStyle="1" w:styleId="SOBulletNoteChar">
    <w:name w:val="SO BulletNote Char"/>
    <w:aliases w:val="sonb Char"/>
    <w:basedOn w:val="DefaultParagraphFont"/>
    <w:link w:val="SOBulletNote"/>
    <w:rsid w:val="00B523A5"/>
    <w:rPr>
      <w:sz w:val="18"/>
    </w:rPr>
  </w:style>
  <w:style w:type="paragraph" w:customStyle="1" w:styleId="SOText2">
    <w:name w:val="SO Text2"/>
    <w:aliases w:val="sot2"/>
    <w:basedOn w:val="Normal"/>
    <w:next w:val="SOText"/>
    <w:link w:val="SOText2Char"/>
    <w:rsid w:val="00B523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523A5"/>
    <w:rPr>
      <w:sz w:val="22"/>
    </w:rPr>
  </w:style>
  <w:style w:type="paragraph" w:customStyle="1" w:styleId="SubPartCASA">
    <w:name w:val="SubPart(CASA)"/>
    <w:aliases w:val="csp"/>
    <w:basedOn w:val="OPCParaBase"/>
    <w:next w:val="ActHead3"/>
    <w:rsid w:val="00B523A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523A5"/>
    <w:rPr>
      <w:rFonts w:eastAsia="Times New Roman" w:cs="Times New Roman"/>
      <w:sz w:val="22"/>
      <w:lang w:eastAsia="en-AU"/>
    </w:rPr>
  </w:style>
  <w:style w:type="character" w:customStyle="1" w:styleId="notetextChar">
    <w:name w:val="note(text) Char"/>
    <w:aliases w:val="n Char"/>
    <w:basedOn w:val="DefaultParagraphFont"/>
    <w:link w:val="notetext"/>
    <w:rsid w:val="00B523A5"/>
    <w:rPr>
      <w:rFonts w:eastAsia="Times New Roman" w:cs="Times New Roman"/>
      <w:sz w:val="18"/>
      <w:lang w:eastAsia="en-AU"/>
    </w:rPr>
  </w:style>
  <w:style w:type="character" w:customStyle="1" w:styleId="Heading1Char">
    <w:name w:val="Heading 1 Char"/>
    <w:basedOn w:val="DefaultParagraphFont"/>
    <w:link w:val="Heading1"/>
    <w:uiPriority w:val="9"/>
    <w:rsid w:val="00B523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3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3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523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523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523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523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523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523A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B523A5"/>
    <w:rPr>
      <w:rFonts w:ascii="Arial" w:hAnsi="Arial" w:cs="Arial" w:hint="default"/>
      <w:b/>
      <w:bCs/>
      <w:sz w:val="28"/>
      <w:szCs w:val="28"/>
    </w:rPr>
  </w:style>
  <w:style w:type="paragraph" w:styleId="Index1">
    <w:name w:val="index 1"/>
    <w:basedOn w:val="Normal"/>
    <w:next w:val="Normal"/>
    <w:autoRedefine/>
    <w:rsid w:val="00B523A5"/>
    <w:pPr>
      <w:ind w:left="240" w:hanging="240"/>
    </w:pPr>
  </w:style>
  <w:style w:type="paragraph" w:styleId="Index2">
    <w:name w:val="index 2"/>
    <w:basedOn w:val="Normal"/>
    <w:next w:val="Normal"/>
    <w:autoRedefine/>
    <w:rsid w:val="00B523A5"/>
    <w:pPr>
      <w:ind w:left="480" w:hanging="240"/>
    </w:pPr>
  </w:style>
  <w:style w:type="paragraph" w:styleId="Index3">
    <w:name w:val="index 3"/>
    <w:basedOn w:val="Normal"/>
    <w:next w:val="Normal"/>
    <w:autoRedefine/>
    <w:rsid w:val="00B523A5"/>
    <w:pPr>
      <w:ind w:left="720" w:hanging="240"/>
    </w:pPr>
  </w:style>
  <w:style w:type="paragraph" w:styleId="Index4">
    <w:name w:val="index 4"/>
    <w:basedOn w:val="Normal"/>
    <w:next w:val="Normal"/>
    <w:autoRedefine/>
    <w:rsid w:val="00B523A5"/>
    <w:pPr>
      <w:ind w:left="960" w:hanging="240"/>
    </w:pPr>
  </w:style>
  <w:style w:type="paragraph" w:styleId="Index5">
    <w:name w:val="index 5"/>
    <w:basedOn w:val="Normal"/>
    <w:next w:val="Normal"/>
    <w:autoRedefine/>
    <w:rsid w:val="00B523A5"/>
    <w:pPr>
      <w:ind w:left="1200" w:hanging="240"/>
    </w:pPr>
  </w:style>
  <w:style w:type="paragraph" w:styleId="Index6">
    <w:name w:val="index 6"/>
    <w:basedOn w:val="Normal"/>
    <w:next w:val="Normal"/>
    <w:autoRedefine/>
    <w:rsid w:val="00B523A5"/>
    <w:pPr>
      <w:ind w:left="1440" w:hanging="240"/>
    </w:pPr>
  </w:style>
  <w:style w:type="paragraph" w:styleId="Index7">
    <w:name w:val="index 7"/>
    <w:basedOn w:val="Normal"/>
    <w:next w:val="Normal"/>
    <w:autoRedefine/>
    <w:rsid w:val="00B523A5"/>
    <w:pPr>
      <w:ind w:left="1680" w:hanging="240"/>
    </w:pPr>
  </w:style>
  <w:style w:type="paragraph" w:styleId="Index8">
    <w:name w:val="index 8"/>
    <w:basedOn w:val="Normal"/>
    <w:next w:val="Normal"/>
    <w:autoRedefine/>
    <w:rsid w:val="00B523A5"/>
    <w:pPr>
      <w:ind w:left="1920" w:hanging="240"/>
    </w:pPr>
  </w:style>
  <w:style w:type="paragraph" w:styleId="Index9">
    <w:name w:val="index 9"/>
    <w:basedOn w:val="Normal"/>
    <w:next w:val="Normal"/>
    <w:autoRedefine/>
    <w:rsid w:val="00B523A5"/>
    <w:pPr>
      <w:ind w:left="2160" w:hanging="240"/>
    </w:pPr>
  </w:style>
  <w:style w:type="paragraph" w:styleId="NormalIndent">
    <w:name w:val="Normal Indent"/>
    <w:basedOn w:val="Normal"/>
    <w:rsid w:val="00B523A5"/>
    <w:pPr>
      <w:ind w:left="720"/>
    </w:pPr>
  </w:style>
  <w:style w:type="paragraph" w:styleId="FootnoteText">
    <w:name w:val="footnote text"/>
    <w:basedOn w:val="Normal"/>
    <w:link w:val="FootnoteTextChar"/>
    <w:rsid w:val="00B523A5"/>
    <w:rPr>
      <w:sz w:val="20"/>
    </w:rPr>
  </w:style>
  <w:style w:type="character" w:customStyle="1" w:styleId="FootnoteTextChar">
    <w:name w:val="Footnote Text Char"/>
    <w:basedOn w:val="DefaultParagraphFont"/>
    <w:link w:val="FootnoteText"/>
    <w:rsid w:val="00B523A5"/>
  </w:style>
  <w:style w:type="paragraph" w:styleId="CommentText">
    <w:name w:val="annotation text"/>
    <w:basedOn w:val="Normal"/>
    <w:link w:val="CommentTextChar"/>
    <w:rsid w:val="00B523A5"/>
    <w:rPr>
      <w:sz w:val="20"/>
    </w:rPr>
  </w:style>
  <w:style w:type="character" w:customStyle="1" w:styleId="CommentTextChar">
    <w:name w:val="Comment Text Char"/>
    <w:basedOn w:val="DefaultParagraphFont"/>
    <w:link w:val="CommentText"/>
    <w:rsid w:val="00B523A5"/>
  </w:style>
  <w:style w:type="paragraph" w:styleId="IndexHeading">
    <w:name w:val="index heading"/>
    <w:basedOn w:val="Normal"/>
    <w:next w:val="Index1"/>
    <w:rsid w:val="00B523A5"/>
    <w:rPr>
      <w:rFonts w:ascii="Arial" w:hAnsi="Arial" w:cs="Arial"/>
      <w:b/>
      <w:bCs/>
    </w:rPr>
  </w:style>
  <w:style w:type="paragraph" w:styleId="Caption">
    <w:name w:val="caption"/>
    <w:basedOn w:val="Normal"/>
    <w:next w:val="Normal"/>
    <w:qFormat/>
    <w:rsid w:val="00B523A5"/>
    <w:pPr>
      <w:spacing w:before="120" w:after="120"/>
    </w:pPr>
    <w:rPr>
      <w:b/>
      <w:bCs/>
      <w:sz w:val="20"/>
    </w:rPr>
  </w:style>
  <w:style w:type="paragraph" w:styleId="TableofFigures">
    <w:name w:val="table of figures"/>
    <w:basedOn w:val="Normal"/>
    <w:next w:val="Normal"/>
    <w:rsid w:val="00B523A5"/>
    <w:pPr>
      <w:ind w:left="480" w:hanging="480"/>
    </w:pPr>
  </w:style>
  <w:style w:type="paragraph" w:styleId="EnvelopeAddress">
    <w:name w:val="envelope address"/>
    <w:basedOn w:val="Normal"/>
    <w:rsid w:val="00B523A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523A5"/>
    <w:rPr>
      <w:rFonts w:ascii="Arial" w:hAnsi="Arial" w:cs="Arial"/>
      <w:sz w:val="20"/>
    </w:rPr>
  </w:style>
  <w:style w:type="character" w:styleId="FootnoteReference">
    <w:name w:val="footnote reference"/>
    <w:basedOn w:val="DefaultParagraphFont"/>
    <w:rsid w:val="00B523A5"/>
    <w:rPr>
      <w:rFonts w:ascii="Times New Roman" w:hAnsi="Times New Roman"/>
      <w:sz w:val="20"/>
      <w:vertAlign w:val="superscript"/>
    </w:rPr>
  </w:style>
  <w:style w:type="character" w:styleId="CommentReference">
    <w:name w:val="annotation reference"/>
    <w:basedOn w:val="DefaultParagraphFont"/>
    <w:rsid w:val="00B523A5"/>
    <w:rPr>
      <w:sz w:val="16"/>
      <w:szCs w:val="16"/>
    </w:rPr>
  </w:style>
  <w:style w:type="character" w:styleId="PageNumber">
    <w:name w:val="page number"/>
    <w:basedOn w:val="DefaultParagraphFont"/>
    <w:rsid w:val="00B523A5"/>
  </w:style>
  <w:style w:type="character" w:styleId="EndnoteReference">
    <w:name w:val="endnote reference"/>
    <w:basedOn w:val="DefaultParagraphFont"/>
    <w:rsid w:val="00B523A5"/>
    <w:rPr>
      <w:vertAlign w:val="superscript"/>
    </w:rPr>
  </w:style>
  <w:style w:type="paragraph" w:styleId="EndnoteText">
    <w:name w:val="endnote text"/>
    <w:basedOn w:val="Normal"/>
    <w:link w:val="EndnoteTextChar"/>
    <w:rsid w:val="00B523A5"/>
    <w:rPr>
      <w:sz w:val="20"/>
    </w:rPr>
  </w:style>
  <w:style w:type="character" w:customStyle="1" w:styleId="EndnoteTextChar">
    <w:name w:val="Endnote Text Char"/>
    <w:basedOn w:val="DefaultParagraphFont"/>
    <w:link w:val="EndnoteText"/>
    <w:rsid w:val="00B523A5"/>
  </w:style>
  <w:style w:type="paragraph" w:styleId="TableofAuthorities">
    <w:name w:val="table of authorities"/>
    <w:basedOn w:val="Normal"/>
    <w:next w:val="Normal"/>
    <w:rsid w:val="00B523A5"/>
    <w:pPr>
      <w:ind w:left="240" w:hanging="240"/>
    </w:pPr>
  </w:style>
  <w:style w:type="paragraph" w:styleId="MacroText">
    <w:name w:val="macro"/>
    <w:link w:val="MacroTextChar"/>
    <w:rsid w:val="00B523A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523A5"/>
    <w:rPr>
      <w:rFonts w:ascii="Courier New" w:eastAsia="Times New Roman" w:hAnsi="Courier New" w:cs="Courier New"/>
      <w:lang w:eastAsia="en-AU"/>
    </w:rPr>
  </w:style>
  <w:style w:type="paragraph" w:styleId="TOAHeading">
    <w:name w:val="toa heading"/>
    <w:basedOn w:val="Normal"/>
    <w:next w:val="Normal"/>
    <w:rsid w:val="00B523A5"/>
    <w:pPr>
      <w:spacing w:before="120"/>
    </w:pPr>
    <w:rPr>
      <w:rFonts w:ascii="Arial" w:hAnsi="Arial" w:cs="Arial"/>
      <w:b/>
      <w:bCs/>
    </w:rPr>
  </w:style>
  <w:style w:type="paragraph" w:styleId="List">
    <w:name w:val="List"/>
    <w:basedOn w:val="Normal"/>
    <w:rsid w:val="00B523A5"/>
    <w:pPr>
      <w:ind w:left="283" w:hanging="283"/>
    </w:pPr>
  </w:style>
  <w:style w:type="paragraph" w:styleId="ListBullet">
    <w:name w:val="List Bullet"/>
    <w:basedOn w:val="Normal"/>
    <w:autoRedefine/>
    <w:rsid w:val="00B523A5"/>
    <w:pPr>
      <w:tabs>
        <w:tab w:val="num" w:pos="360"/>
      </w:tabs>
      <w:ind w:left="360" w:hanging="360"/>
    </w:pPr>
  </w:style>
  <w:style w:type="paragraph" w:styleId="ListNumber">
    <w:name w:val="List Number"/>
    <w:basedOn w:val="Normal"/>
    <w:rsid w:val="00B523A5"/>
    <w:pPr>
      <w:tabs>
        <w:tab w:val="num" w:pos="360"/>
      </w:tabs>
      <w:ind w:left="360" w:hanging="360"/>
    </w:pPr>
  </w:style>
  <w:style w:type="paragraph" w:styleId="List2">
    <w:name w:val="List 2"/>
    <w:basedOn w:val="Normal"/>
    <w:rsid w:val="00B523A5"/>
    <w:pPr>
      <w:ind w:left="566" w:hanging="283"/>
    </w:pPr>
  </w:style>
  <w:style w:type="paragraph" w:styleId="List3">
    <w:name w:val="List 3"/>
    <w:basedOn w:val="Normal"/>
    <w:rsid w:val="00B523A5"/>
    <w:pPr>
      <w:ind w:left="849" w:hanging="283"/>
    </w:pPr>
  </w:style>
  <w:style w:type="paragraph" w:styleId="List4">
    <w:name w:val="List 4"/>
    <w:basedOn w:val="Normal"/>
    <w:rsid w:val="00B523A5"/>
    <w:pPr>
      <w:ind w:left="1132" w:hanging="283"/>
    </w:pPr>
  </w:style>
  <w:style w:type="paragraph" w:styleId="List5">
    <w:name w:val="List 5"/>
    <w:basedOn w:val="Normal"/>
    <w:rsid w:val="00B523A5"/>
    <w:pPr>
      <w:ind w:left="1415" w:hanging="283"/>
    </w:pPr>
  </w:style>
  <w:style w:type="paragraph" w:styleId="ListBullet2">
    <w:name w:val="List Bullet 2"/>
    <w:basedOn w:val="Normal"/>
    <w:autoRedefine/>
    <w:rsid w:val="00B523A5"/>
    <w:pPr>
      <w:tabs>
        <w:tab w:val="num" w:pos="360"/>
      </w:tabs>
    </w:pPr>
  </w:style>
  <w:style w:type="paragraph" w:styleId="ListBullet3">
    <w:name w:val="List Bullet 3"/>
    <w:basedOn w:val="Normal"/>
    <w:autoRedefine/>
    <w:rsid w:val="00B523A5"/>
    <w:pPr>
      <w:tabs>
        <w:tab w:val="num" w:pos="926"/>
      </w:tabs>
      <w:ind w:left="926" w:hanging="360"/>
    </w:pPr>
  </w:style>
  <w:style w:type="paragraph" w:styleId="ListBullet4">
    <w:name w:val="List Bullet 4"/>
    <w:basedOn w:val="Normal"/>
    <w:autoRedefine/>
    <w:rsid w:val="00B523A5"/>
    <w:pPr>
      <w:tabs>
        <w:tab w:val="num" w:pos="1209"/>
      </w:tabs>
      <w:ind w:left="1209" w:hanging="360"/>
    </w:pPr>
  </w:style>
  <w:style w:type="paragraph" w:styleId="ListBullet5">
    <w:name w:val="List Bullet 5"/>
    <w:basedOn w:val="Normal"/>
    <w:autoRedefine/>
    <w:rsid w:val="00B523A5"/>
    <w:pPr>
      <w:tabs>
        <w:tab w:val="num" w:pos="1492"/>
      </w:tabs>
      <w:ind w:left="1492" w:hanging="360"/>
    </w:pPr>
  </w:style>
  <w:style w:type="paragraph" w:styleId="ListNumber2">
    <w:name w:val="List Number 2"/>
    <w:basedOn w:val="Normal"/>
    <w:rsid w:val="00B523A5"/>
    <w:pPr>
      <w:tabs>
        <w:tab w:val="num" w:pos="643"/>
      </w:tabs>
      <w:ind w:left="643" w:hanging="360"/>
    </w:pPr>
  </w:style>
  <w:style w:type="paragraph" w:styleId="ListNumber3">
    <w:name w:val="List Number 3"/>
    <w:basedOn w:val="Normal"/>
    <w:rsid w:val="00B523A5"/>
    <w:pPr>
      <w:tabs>
        <w:tab w:val="num" w:pos="926"/>
      </w:tabs>
      <w:ind w:left="926" w:hanging="360"/>
    </w:pPr>
  </w:style>
  <w:style w:type="paragraph" w:styleId="ListNumber4">
    <w:name w:val="List Number 4"/>
    <w:basedOn w:val="Normal"/>
    <w:rsid w:val="00B523A5"/>
    <w:pPr>
      <w:tabs>
        <w:tab w:val="num" w:pos="1209"/>
      </w:tabs>
      <w:ind w:left="1209" w:hanging="360"/>
    </w:pPr>
  </w:style>
  <w:style w:type="paragraph" w:styleId="ListNumber5">
    <w:name w:val="List Number 5"/>
    <w:basedOn w:val="Normal"/>
    <w:rsid w:val="00B523A5"/>
    <w:pPr>
      <w:tabs>
        <w:tab w:val="num" w:pos="1492"/>
      </w:tabs>
      <w:ind w:left="1492" w:hanging="360"/>
    </w:pPr>
  </w:style>
  <w:style w:type="paragraph" w:styleId="Title">
    <w:name w:val="Title"/>
    <w:basedOn w:val="Normal"/>
    <w:link w:val="TitleChar"/>
    <w:qFormat/>
    <w:rsid w:val="00B523A5"/>
    <w:pPr>
      <w:spacing w:before="240" w:after="60"/>
    </w:pPr>
    <w:rPr>
      <w:rFonts w:ascii="Arial" w:hAnsi="Arial" w:cs="Arial"/>
      <w:b/>
      <w:bCs/>
      <w:sz w:val="40"/>
      <w:szCs w:val="40"/>
    </w:rPr>
  </w:style>
  <w:style w:type="character" w:customStyle="1" w:styleId="TitleChar">
    <w:name w:val="Title Char"/>
    <w:basedOn w:val="DefaultParagraphFont"/>
    <w:link w:val="Title"/>
    <w:rsid w:val="00B523A5"/>
    <w:rPr>
      <w:rFonts w:ascii="Arial" w:hAnsi="Arial" w:cs="Arial"/>
      <w:b/>
      <w:bCs/>
      <w:sz w:val="40"/>
      <w:szCs w:val="40"/>
    </w:rPr>
  </w:style>
  <w:style w:type="paragraph" w:styleId="Closing">
    <w:name w:val="Closing"/>
    <w:basedOn w:val="Normal"/>
    <w:link w:val="ClosingChar"/>
    <w:rsid w:val="00B523A5"/>
    <w:pPr>
      <w:ind w:left="4252"/>
    </w:pPr>
  </w:style>
  <w:style w:type="character" w:customStyle="1" w:styleId="ClosingChar">
    <w:name w:val="Closing Char"/>
    <w:basedOn w:val="DefaultParagraphFont"/>
    <w:link w:val="Closing"/>
    <w:rsid w:val="00B523A5"/>
    <w:rPr>
      <w:sz w:val="22"/>
    </w:rPr>
  </w:style>
  <w:style w:type="paragraph" w:styleId="Signature">
    <w:name w:val="Signature"/>
    <w:basedOn w:val="Normal"/>
    <w:link w:val="SignatureChar"/>
    <w:rsid w:val="00B523A5"/>
    <w:pPr>
      <w:ind w:left="4252"/>
    </w:pPr>
  </w:style>
  <w:style w:type="character" w:customStyle="1" w:styleId="SignatureChar">
    <w:name w:val="Signature Char"/>
    <w:basedOn w:val="DefaultParagraphFont"/>
    <w:link w:val="Signature"/>
    <w:rsid w:val="00B523A5"/>
    <w:rPr>
      <w:sz w:val="22"/>
    </w:rPr>
  </w:style>
  <w:style w:type="paragraph" w:styleId="BodyText">
    <w:name w:val="Body Text"/>
    <w:basedOn w:val="Normal"/>
    <w:link w:val="BodyTextChar"/>
    <w:rsid w:val="00B523A5"/>
    <w:pPr>
      <w:spacing w:after="120"/>
    </w:pPr>
  </w:style>
  <w:style w:type="character" w:customStyle="1" w:styleId="BodyTextChar">
    <w:name w:val="Body Text Char"/>
    <w:basedOn w:val="DefaultParagraphFont"/>
    <w:link w:val="BodyText"/>
    <w:rsid w:val="00B523A5"/>
    <w:rPr>
      <w:sz w:val="22"/>
    </w:rPr>
  </w:style>
  <w:style w:type="paragraph" w:styleId="BodyTextIndent">
    <w:name w:val="Body Text Indent"/>
    <w:basedOn w:val="Normal"/>
    <w:link w:val="BodyTextIndentChar"/>
    <w:rsid w:val="00B523A5"/>
    <w:pPr>
      <w:spacing w:after="120"/>
      <w:ind w:left="283"/>
    </w:pPr>
  </w:style>
  <w:style w:type="character" w:customStyle="1" w:styleId="BodyTextIndentChar">
    <w:name w:val="Body Text Indent Char"/>
    <w:basedOn w:val="DefaultParagraphFont"/>
    <w:link w:val="BodyTextIndent"/>
    <w:rsid w:val="00B523A5"/>
    <w:rPr>
      <w:sz w:val="22"/>
    </w:rPr>
  </w:style>
  <w:style w:type="paragraph" w:styleId="ListContinue">
    <w:name w:val="List Continue"/>
    <w:basedOn w:val="Normal"/>
    <w:rsid w:val="00B523A5"/>
    <w:pPr>
      <w:spacing w:after="120"/>
      <w:ind w:left="283"/>
    </w:pPr>
  </w:style>
  <w:style w:type="paragraph" w:styleId="ListContinue2">
    <w:name w:val="List Continue 2"/>
    <w:basedOn w:val="Normal"/>
    <w:rsid w:val="00B523A5"/>
    <w:pPr>
      <w:spacing w:after="120"/>
      <w:ind w:left="566"/>
    </w:pPr>
  </w:style>
  <w:style w:type="paragraph" w:styleId="ListContinue3">
    <w:name w:val="List Continue 3"/>
    <w:basedOn w:val="Normal"/>
    <w:rsid w:val="00B523A5"/>
    <w:pPr>
      <w:spacing w:after="120"/>
      <w:ind w:left="849"/>
    </w:pPr>
  </w:style>
  <w:style w:type="paragraph" w:styleId="ListContinue4">
    <w:name w:val="List Continue 4"/>
    <w:basedOn w:val="Normal"/>
    <w:rsid w:val="00B523A5"/>
    <w:pPr>
      <w:spacing w:after="120"/>
      <w:ind w:left="1132"/>
    </w:pPr>
  </w:style>
  <w:style w:type="paragraph" w:styleId="ListContinue5">
    <w:name w:val="List Continue 5"/>
    <w:basedOn w:val="Normal"/>
    <w:rsid w:val="00B523A5"/>
    <w:pPr>
      <w:spacing w:after="120"/>
      <w:ind w:left="1415"/>
    </w:pPr>
  </w:style>
  <w:style w:type="paragraph" w:styleId="MessageHeader">
    <w:name w:val="Message Header"/>
    <w:basedOn w:val="Normal"/>
    <w:link w:val="MessageHeaderChar"/>
    <w:rsid w:val="00B523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523A5"/>
    <w:rPr>
      <w:rFonts w:ascii="Arial" w:hAnsi="Arial" w:cs="Arial"/>
      <w:sz w:val="22"/>
      <w:shd w:val="pct20" w:color="auto" w:fill="auto"/>
    </w:rPr>
  </w:style>
  <w:style w:type="paragraph" w:styleId="Subtitle">
    <w:name w:val="Subtitle"/>
    <w:basedOn w:val="Normal"/>
    <w:link w:val="SubtitleChar"/>
    <w:qFormat/>
    <w:rsid w:val="00B523A5"/>
    <w:pPr>
      <w:spacing w:after="60"/>
      <w:jc w:val="center"/>
      <w:outlineLvl w:val="1"/>
    </w:pPr>
    <w:rPr>
      <w:rFonts w:ascii="Arial" w:hAnsi="Arial" w:cs="Arial"/>
    </w:rPr>
  </w:style>
  <w:style w:type="character" w:customStyle="1" w:styleId="SubtitleChar">
    <w:name w:val="Subtitle Char"/>
    <w:basedOn w:val="DefaultParagraphFont"/>
    <w:link w:val="Subtitle"/>
    <w:rsid w:val="00B523A5"/>
    <w:rPr>
      <w:rFonts w:ascii="Arial" w:hAnsi="Arial" w:cs="Arial"/>
      <w:sz w:val="22"/>
    </w:rPr>
  </w:style>
  <w:style w:type="paragraph" w:styleId="Salutation">
    <w:name w:val="Salutation"/>
    <w:basedOn w:val="Normal"/>
    <w:next w:val="Normal"/>
    <w:link w:val="SalutationChar"/>
    <w:rsid w:val="00B523A5"/>
  </w:style>
  <w:style w:type="character" w:customStyle="1" w:styleId="SalutationChar">
    <w:name w:val="Salutation Char"/>
    <w:basedOn w:val="DefaultParagraphFont"/>
    <w:link w:val="Salutation"/>
    <w:rsid w:val="00B523A5"/>
    <w:rPr>
      <w:sz w:val="22"/>
    </w:rPr>
  </w:style>
  <w:style w:type="paragraph" w:styleId="Date">
    <w:name w:val="Date"/>
    <w:basedOn w:val="Normal"/>
    <w:next w:val="Normal"/>
    <w:link w:val="DateChar"/>
    <w:rsid w:val="00B523A5"/>
  </w:style>
  <w:style w:type="character" w:customStyle="1" w:styleId="DateChar">
    <w:name w:val="Date Char"/>
    <w:basedOn w:val="DefaultParagraphFont"/>
    <w:link w:val="Date"/>
    <w:rsid w:val="00B523A5"/>
    <w:rPr>
      <w:sz w:val="22"/>
    </w:rPr>
  </w:style>
  <w:style w:type="paragraph" w:styleId="BodyTextFirstIndent">
    <w:name w:val="Body Text First Indent"/>
    <w:basedOn w:val="BodyText"/>
    <w:link w:val="BodyTextFirstIndentChar"/>
    <w:rsid w:val="00B523A5"/>
    <w:pPr>
      <w:ind w:firstLine="210"/>
    </w:pPr>
  </w:style>
  <w:style w:type="character" w:customStyle="1" w:styleId="BodyTextFirstIndentChar">
    <w:name w:val="Body Text First Indent Char"/>
    <w:basedOn w:val="BodyTextChar"/>
    <w:link w:val="BodyTextFirstIndent"/>
    <w:rsid w:val="00B523A5"/>
    <w:rPr>
      <w:sz w:val="22"/>
    </w:rPr>
  </w:style>
  <w:style w:type="paragraph" w:styleId="BodyTextFirstIndent2">
    <w:name w:val="Body Text First Indent 2"/>
    <w:basedOn w:val="BodyTextIndent"/>
    <w:link w:val="BodyTextFirstIndent2Char"/>
    <w:rsid w:val="00B523A5"/>
    <w:pPr>
      <w:ind w:firstLine="210"/>
    </w:pPr>
  </w:style>
  <w:style w:type="character" w:customStyle="1" w:styleId="BodyTextFirstIndent2Char">
    <w:name w:val="Body Text First Indent 2 Char"/>
    <w:basedOn w:val="BodyTextIndentChar"/>
    <w:link w:val="BodyTextFirstIndent2"/>
    <w:rsid w:val="00B523A5"/>
    <w:rPr>
      <w:sz w:val="22"/>
    </w:rPr>
  </w:style>
  <w:style w:type="paragraph" w:styleId="BodyText2">
    <w:name w:val="Body Text 2"/>
    <w:basedOn w:val="Normal"/>
    <w:link w:val="BodyText2Char"/>
    <w:rsid w:val="00B523A5"/>
    <w:pPr>
      <w:spacing w:after="120" w:line="480" w:lineRule="auto"/>
    </w:pPr>
  </w:style>
  <w:style w:type="character" w:customStyle="1" w:styleId="BodyText2Char">
    <w:name w:val="Body Text 2 Char"/>
    <w:basedOn w:val="DefaultParagraphFont"/>
    <w:link w:val="BodyText2"/>
    <w:rsid w:val="00B523A5"/>
    <w:rPr>
      <w:sz w:val="22"/>
    </w:rPr>
  </w:style>
  <w:style w:type="paragraph" w:styleId="BodyText3">
    <w:name w:val="Body Text 3"/>
    <w:basedOn w:val="Normal"/>
    <w:link w:val="BodyText3Char"/>
    <w:rsid w:val="00B523A5"/>
    <w:pPr>
      <w:spacing w:after="120"/>
    </w:pPr>
    <w:rPr>
      <w:sz w:val="16"/>
      <w:szCs w:val="16"/>
    </w:rPr>
  </w:style>
  <w:style w:type="character" w:customStyle="1" w:styleId="BodyText3Char">
    <w:name w:val="Body Text 3 Char"/>
    <w:basedOn w:val="DefaultParagraphFont"/>
    <w:link w:val="BodyText3"/>
    <w:rsid w:val="00B523A5"/>
    <w:rPr>
      <w:sz w:val="16"/>
      <w:szCs w:val="16"/>
    </w:rPr>
  </w:style>
  <w:style w:type="paragraph" w:styleId="BodyTextIndent2">
    <w:name w:val="Body Text Indent 2"/>
    <w:basedOn w:val="Normal"/>
    <w:link w:val="BodyTextIndent2Char"/>
    <w:rsid w:val="00B523A5"/>
    <w:pPr>
      <w:spacing w:after="120" w:line="480" w:lineRule="auto"/>
      <w:ind w:left="283"/>
    </w:pPr>
  </w:style>
  <w:style w:type="character" w:customStyle="1" w:styleId="BodyTextIndent2Char">
    <w:name w:val="Body Text Indent 2 Char"/>
    <w:basedOn w:val="DefaultParagraphFont"/>
    <w:link w:val="BodyTextIndent2"/>
    <w:rsid w:val="00B523A5"/>
    <w:rPr>
      <w:sz w:val="22"/>
    </w:rPr>
  </w:style>
  <w:style w:type="paragraph" w:styleId="BodyTextIndent3">
    <w:name w:val="Body Text Indent 3"/>
    <w:basedOn w:val="Normal"/>
    <w:link w:val="BodyTextIndent3Char"/>
    <w:rsid w:val="00B523A5"/>
    <w:pPr>
      <w:spacing w:after="120"/>
      <w:ind w:left="283"/>
    </w:pPr>
    <w:rPr>
      <w:sz w:val="16"/>
      <w:szCs w:val="16"/>
    </w:rPr>
  </w:style>
  <w:style w:type="character" w:customStyle="1" w:styleId="BodyTextIndent3Char">
    <w:name w:val="Body Text Indent 3 Char"/>
    <w:basedOn w:val="DefaultParagraphFont"/>
    <w:link w:val="BodyTextIndent3"/>
    <w:rsid w:val="00B523A5"/>
    <w:rPr>
      <w:sz w:val="16"/>
      <w:szCs w:val="16"/>
    </w:rPr>
  </w:style>
  <w:style w:type="paragraph" w:styleId="BlockText">
    <w:name w:val="Block Text"/>
    <w:basedOn w:val="Normal"/>
    <w:rsid w:val="00B523A5"/>
    <w:pPr>
      <w:spacing w:after="120"/>
      <w:ind w:left="1440" w:right="1440"/>
    </w:pPr>
  </w:style>
  <w:style w:type="character" w:styleId="Hyperlink">
    <w:name w:val="Hyperlink"/>
    <w:basedOn w:val="DefaultParagraphFont"/>
    <w:rsid w:val="00B523A5"/>
    <w:rPr>
      <w:color w:val="0000FF"/>
      <w:u w:val="single"/>
    </w:rPr>
  </w:style>
  <w:style w:type="character" w:styleId="FollowedHyperlink">
    <w:name w:val="FollowedHyperlink"/>
    <w:basedOn w:val="DefaultParagraphFont"/>
    <w:rsid w:val="00B523A5"/>
    <w:rPr>
      <w:color w:val="800080"/>
      <w:u w:val="single"/>
    </w:rPr>
  </w:style>
  <w:style w:type="character" w:styleId="Strong">
    <w:name w:val="Strong"/>
    <w:basedOn w:val="DefaultParagraphFont"/>
    <w:qFormat/>
    <w:rsid w:val="00B523A5"/>
    <w:rPr>
      <w:b/>
      <w:bCs/>
    </w:rPr>
  </w:style>
  <w:style w:type="character" w:styleId="Emphasis">
    <w:name w:val="Emphasis"/>
    <w:basedOn w:val="DefaultParagraphFont"/>
    <w:qFormat/>
    <w:rsid w:val="00B523A5"/>
    <w:rPr>
      <w:i/>
      <w:iCs/>
    </w:rPr>
  </w:style>
  <w:style w:type="paragraph" w:styleId="DocumentMap">
    <w:name w:val="Document Map"/>
    <w:basedOn w:val="Normal"/>
    <w:link w:val="DocumentMapChar"/>
    <w:rsid w:val="00B523A5"/>
    <w:pPr>
      <w:shd w:val="clear" w:color="auto" w:fill="000080"/>
    </w:pPr>
    <w:rPr>
      <w:rFonts w:ascii="Tahoma" w:hAnsi="Tahoma" w:cs="Tahoma"/>
    </w:rPr>
  </w:style>
  <w:style w:type="character" w:customStyle="1" w:styleId="DocumentMapChar">
    <w:name w:val="Document Map Char"/>
    <w:basedOn w:val="DefaultParagraphFont"/>
    <w:link w:val="DocumentMap"/>
    <w:rsid w:val="00B523A5"/>
    <w:rPr>
      <w:rFonts w:ascii="Tahoma" w:hAnsi="Tahoma" w:cs="Tahoma"/>
      <w:sz w:val="22"/>
      <w:shd w:val="clear" w:color="auto" w:fill="000080"/>
    </w:rPr>
  </w:style>
  <w:style w:type="paragraph" w:styleId="PlainText">
    <w:name w:val="Plain Text"/>
    <w:basedOn w:val="Normal"/>
    <w:link w:val="PlainTextChar"/>
    <w:rsid w:val="00B523A5"/>
    <w:rPr>
      <w:rFonts w:ascii="Courier New" w:hAnsi="Courier New" w:cs="Courier New"/>
      <w:sz w:val="20"/>
    </w:rPr>
  </w:style>
  <w:style w:type="character" w:customStyle="1" w:styleId="PlainTextChar">
    <w:name w:val="Plain Text Char"/>
    <w:basedOn w:val="DefaultParagraphFont"/>
    <w:link w:val="PlainText"/>
    <w:rsid w:val="00B523A5"/>
    <w:rPr>
      <w:rFonts w:ascii="Courier New" w:hAnsi="Courier New" w:cs="Courier New"/>
    </w:rPr>
  </w:style>
  <w:style w:type="paragraph" w:styleId="E-mailSignature">
    <w:name w:val="E-mail Signature"/>
    <w:basedOn w:val="Normal"/>
    <w:link w:val="E-mailSignatureChar"/>
    <w:rsid w:val="00B523A5"/>
  </w:style>
  <w:style w:type="character" w:customStyle="1" w:styleId="E-mailSignatureChar">
    <w:name w:val="E-mail Signature Char"/>
    <w:basedOn w:val="DefaultParagraphFont"/>
    <w:link w:val="E-mailSignature"/>
    <w:rsid w:val="00B523A5"/>
    <w:rPr>
      <w:sz w:val="22"/>
    </w:rPr>
  </w:style>
  <w:style w:type="paragraph" w:styleId="NormalWeb">
    <w:name w:val="Normal (Web)"/>
    <w:basedOn w:val="Normal"/>
    <w:rsid w:val="00B523A5"/>
  </w:style>
  <w:style w:type="character" w:styleId="HTMLAcronym">
    <w:name w:val="HTML Acronym"/>
    <w:basedOn w:val="DefaultParagraphFont"/>
    <w:rsid w:val="00B523A5"/>
  </w:style>
  <w:style w:type="paragraph" w:styleId="HTMLAddress">
    <w:name w:val="HTML Address"/>
    <w:basedOn w:val="Normal"/>
    <w:link w:val="HTMLAddressChar"/>
    <w:rsid w:val="00B523A5"/>
    <w:rPr>
      <w:i/>
      <w:iCs/>
    </w:rPr>
  </w:style>
  <w:style w:type="character" w:customStyle="1" w:styleId="HTMLAddressChar">
    <w:name w:val="HTML Address Char"/>
    <w:basedOn w:val="DefaultParagraphFont"/>
    <w:link w:val="HTMLAddress"/>
    <w:rsid w:val="00B523A5"/>
    <w:rPr>
      <w:i/>
      <w:iCs/>
      <w:sz w:val="22"/>
    </w:rPr>
  </w:style>
  <w:style w:type="character" w:styleId="HTMLCite">
    <w:name w:val="HTML Cite"/>
    <w:basedOn w:val="DefaultParagraphFont"/>
    <w:rsid w:val="00B523A5"/>
    <w:rPr>
      <w:i/>
      <w:iCs/>
    </w:rPr>
  </w:style>
  <w:style w:type="character" w:styleId="HTMLCode">
    <w:name w:val="HTML Code"/>
    <w:basedOn w:val="DefaultParagraphFont"/>
    <w:rsid w:val="00B523A5"/>
    <w:rPr>
      <w:rFonts w:ascii="Courier New" w:hAnsi="Courier New" w:cs="Courier New"/>
      <w:sz w:val="20"/>
      <w:szCs w:val="20"/>
    </w:rPr>
  </w:style>
  <w:style w:type="character" w:styleId="HTMLDefinition">
    <w:name w:val="HTML Definition"/>
    <w:basedOn w:val="DefaultParagraphFont"/>
    <w:rsid w:val="00B523A5"/>
    <w:rPr>
      <w:i/>
      <w:iCs/>
    </w:rPr>
  </w:style>
  <w:style w:type="character" w:styleId="HTMLKeyboard">
    <w:name w:val="HTML Keyboard"/>
    <w:basedOn w:val="DefaultParagraphFont"/>
    <w:rsid w:val="00B523A5"/>
    <w:rPr>
      <w:rFonts w:ascii="Courier New" w:hAnsi="Courier New" w:cs="Courier New"/>
      <w:sz w:val="20"/>
      <w:szCs w:val="20"/>
    </w:rPr>
  </w:style>
  <w:style w:type="paragraph" w:styleId="HTMLPreformatted">
    <w:name w:val="HTML Preformatted"/>
    <w:basedOn w:val="Normal"/>
    <w:link w:val="HTMLPreformattedChar"/>
    <w:rsid w:val="00B523A5"/>
    <w:rPr>
      <w:rFonts w:ascii="Courier New" w:hAnsi="Courier New" w:cs="Courier New"/>
      <w:sz w:val="20"/>
    </w:rPr>
  </w:style>
  <w:style w:type="character" w:customStyle="1" w:styleId="HTMLPreformattedChar">
    <w:name w:val="HTML Preformatted Char"/>
    <w:basedOn w:val="DefaultParagraphFont"/>
    <w:link w:val="HTMLPreformatted"/>
    <w:rsid w:val="00B523A5"/>
    <w:rPr>
      <w:rFonts w:ascii="Courier New" w:hAnsi="Courier New" w:cs="Courier New"/>
    </w:rPr>
  </w:style>
  <w:style w:type="character" w:styleId="HTMLSample">
    <w:name w:val="HTML Sample"/>
    <w:basedOn w:val="DefaultParagraphFont"/>
    <w:rsid w:val="00B523A5"/>
    <w:rPr>
      <w:rFonts w:ascii="Courier New" w:hAnsi="Courier New" w:cs="Courier New"/>
    </w:rPr>
  </w:style>
  <w:style w:type="character" w:styleId="HTMLTypewriter">
    <w:name w:val="HTML Typewriter"/>
    <w:basedOn w:val="DefaultParagraphFont"/>
    <w:rsid w:val="00B523A5"/>
    <w:rPr>
      <w:rFonts w:ascii="Courier New" w:hAnsi="Courier New" w:cs="Courier New"/>
      <w:sz w:val="20"/>
      <w:szCs w:val="20"/>
    </w:rPr>
  </w:style>
  <w:style w:type="character" w:styleId="HTMLVariable">
    <w:name w:val="HTML Variable"/>
    <w:basedOn w:val="DefaultParagraphFont"/>
    <w:rsid w:val="00B523A5"/>
    <w:rPr>
      <w:i/>
      <w:iCs/>
    </w:rPr>
  </w:style>
  <w:style w:type="paragraph" w:styleId="CommentSubject">
    <w:name w:val="annotation subject"/>
    <w:basedOn w:val="CommentText"/>
    <w:next w:val="CommentText"/>
    <w:link w:val="CommentSubjectChar"/>
    <w:rsid w:val="00B523A5"/>
    <w:rPr>
      <w:b/>
      <w:bCs/>
    </w:rPr>
  </w:style>
  <w:style w:type="character" w:customStyle="1" w:styleId="CommentSubjectChar">
    <w:name w:val="Comment Subject Char"/>
    <w:basedOn w:val="CommentTextChar"/>
    <w:link w:val="CommentSubject"/>
    <w:rsid w:val="00B523A5"/>
    <w:rPr>
      <w:b/>
      <w:bCs/>
    </w:rPr>
  </w:style>
  <w:style w:type="numbering" w:styleId="1ai">
    <w:name w:val="Outline List 1"/>
    <w:basedOn w:val="NoList"/>
    <w:rsid w:val="00B523A5"/>
    <w:pPr>
      <w:numPr>
        <w:numId w:val="14"/>
      </w:numPr>
    </w:pPr>
  </w:style>
  <w:style w:type="numbering" w:styleId="111111">
    <w:name w:val="Outline List 2"/>
    <w:basedOn w:val="NoList"/>
    <w:rsid w:val="00B523A5"/>
    <w:pPr>
      <w:numPr>
        <w:numId w:val="15"/>
      </w:numPr>
    </w:pPr>
  </w:style>
  <w:style w:type="numbering" w:styleId="ArticleSection">
    <w:name w:val="Outline List 3"/>
    <w:basedOn w:val="NoList"/>
    <w:rsid w:val="00B523A5"/>
    <w:pPr>
      <w:numPr>
        <w:numId w:val="17"/>
      </w:numPr>
    </w:pPr>
  </w:style>
  <w:style w:type="table" w:styleId="TableSimple1">
    <w:name w:val="Table Simple 1"/>
    <w:basedOn w:val="TableNormal"/>
    <w:rsid w:val="00B523A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523A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523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523A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523A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523A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523A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523A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523A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523A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523A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523A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523A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523A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523A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523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523A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523A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523A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523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523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523A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523A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523A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523A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523A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523A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523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3A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523A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523A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523A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523A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523A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523A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523A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523A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523A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523A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523A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523A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523A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523A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523A5"/>
    <w:rPr>
      <w:rFonts w:eastAsia="Times New Roman" w:cs="Times New Roman"/>
      <w:b/>
      <w:kern w:val="28"/>
      <w:sz w:val="24"/>
      <w:lang w:eastAsia="en-AU"/>
    </w:rPr>
  </w:style>
  <w:style w:type="paragraph" w:customStyle="1" w:styleId="ETAsubitem">
    <w:name w:val="ETA(subitem)"/>
    <w:basedOn w:val="OPCParaBase"/>
    <w:rsid w:val="00B523A5"/>
    <w:pPr>
      <w:tabs>
        <w:tab w:val="right" w:pos="340"/>
      </w:tabs>
      <w:spacing w:before="60" w:line="240" w:lineRule="auto"/>
      <w:ind w:left="454" w:hanging="454"/>
    </w:pPr>
    <w:rPr>
      <w:sz w:val="20"/>
    </w:rPr>
  </w:style>
  <w:style w:type="paragraph" w:customStyle="1" w:styleId="ETApara">
    <w:name w:val="ETA(para)"/>
    <w:basedOn w:val="OPCParaBase"/>
    <w:rsid w:val="00B523A5"/>
    <w:pPr>
      <w:tabs>
        <w:tab w:val="right" w:pos="754"/>
      </w:tabs>
      <w:spacing w:before="60" w:line="240" w:lineRule="auto"/>
      <w:ind w:left="828" w:hanging="828"/>
    </w:pPr>
    <w:rPr>
      <w:sz w:val="20"/>
    </w:rPr>
  </w:style>
  <w:style w:type="paragraph" w:customStyle="1" w:styleId="ETAsubpara">
    <w:name w:val="ETA(subpara)"/>
    <w:basedOn w:val="OPCParaBase"/>
    <w:rsid w:val="00B523A5"/>
    <w:pPr>
      <w:tabs>
        <w:tab w:val="right" w:pos="1083"/>
      </w:tabs>
      <w:spacing w:before="60" w:line="240" w:lineRule="auto"/>
      <w:ind w:left="1191" w:hanging="1191"/>
    </w:pPr>
    <w:rPr>
      <w:sz w:val="20"/>
    </w:rPr>
  </w:style>
  <w:style w:type="paragraph" w:customStyle="1" w:styleId="ETAsub-subpara">
    <w:name w:val="ETA(sub-subpara)"/>
    <w:basedOn w:val="OPCParaBase"/>
    <w:rsid w:val="00B523A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523A5"/>
  </w:style>
  <w:style w:type="paragraph" w:styleId="Bibliography">
    <w:name w:val="Bibliography"/>
    <w:basedOn w:val="Normal"/>
    <w:next w:val="Normal"/>
    <w:uiPriority w:val="37"/>
    <w:semiHidden/>
    <w:unhideWhenUsed/>
    <w:rsid w:val="00B523A5"/>
  </w:style>
  <w:style w:type="character" w:styleId="BookTitle">
    <w:name w:val="Book Title"/>
    <w:basedOn w:val="DefaultParagraphFont"/>
    <w:uiPriority w:val="33"/>
    <w:qFormat/>
    <w:rsid w:val="00B523A5"/>
    <w:rPr>
      <w:b/>
      <w:bCs/>
      <w:i/>
      <w:iCs/>
      <w:spacing w:val="5"/>
    </w:rPr>
  </w:style>
  <w:style w:type="table" w:styleId="ColorfulGrid">
    <w:name w:val="Colorful Grid"/>
    <w:basedOn w:val="TableNormal"/>
    <w:uiPriority w:val="73"/>
    <w:semiHidden/>
    <w:unhideWhenUsed/>
    <w:rsid w:val="00B523A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23A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523A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523A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523A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523A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523A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523A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23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523A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523A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523A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523A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523A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523A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23A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23A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23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523A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23A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23A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523A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23A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523A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523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523A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523A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523A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523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23A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23A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23A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23A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23A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23A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23A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23A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523A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523A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523A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523A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523A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52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2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52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52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52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52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52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52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2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52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52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52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52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52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52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2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52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52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52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52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52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523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23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523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523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523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523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523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523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23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523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523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523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523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523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B523A5"/>
    <w:rPr>
      <w:color w:val="2B579A"/>
      <w:shd w:val="clear" w:color="auto" w:fill="E1DFDD"/>
    </w:rPr>
  </w:style>
  <w:style w:type="character" w:styleId="IntenseEmphasis">
    <w:name w:val="Intense Emphasis"/>
    <w:basedOn w:val="DefaultParagraphFont"/>
    <w:uiPriority w:val="21"/>
    <w:qFormat/>
    <w:rsid w:val="00B523A5"/>
    <w:rPr>
      <w:i/>
      <w:iCs/>
      <w:color w:val="4F81BD" w:themeColor="accent1"/>
    </w:rPr>
  </w:style>
  <w:style w:type="paragraph" w:styleId="IntenseQuote">
    <w:name w:val="Intense Quote"/>
    <w:basedOn w:val="Normal"/>
    <w:next w:val="Normal"/>
    <w:link w:val="IntenseQuoteChar"/>
    <w:uiPriority w:val="30"/>
    <w:qFormat/>
    <w:rsid w:val="00B523A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23A5"/>
    <w:rPr>
      <w:i/>
      <w:iCs/>
      <w:color w:val="4F81BD" w:themeColor="accent1"/>
      <w:sz w:val="22"/>
    </w:rPr>
  </w:style>
  <w:style w:type="character" w:styleId="IntenseReference">
    <w:name w:val="Intense Reference"/>
    <w:basedOn w:val="DefaultParagraphFont"/>
    <w:uiPriority w:val="32"/>
    <w:qFormat/>
    <w:rsid w:val="00B523A5"/>
    <w:rPr>
      <w:b/>
      <w:bCs/>
      <w:smallCaps/>
      <w:color w:val="4F81BD" w:themeColor="accent1"/>
      <w:spacing w:val="5"/>
    </w:rPr>
  </w:style>
  <w:style w:type="table" w:styleId="LightGrid">
    <w:name w:val="Light Grid"/>
    <w:basedOn w:val="TableNormal"/>
    <w:uiPriority w:val="62"/>
    <w:semiHidden/>
    <w:unhideWhenUsed/>
    <w:rsid w:val="00B52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23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523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523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523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523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523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52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23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523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523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523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523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523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523A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23A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523A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523A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523A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523A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523A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523A5"/>
    <w:pPr>
      <w:ind w:left="720"/>
      <w:contextualSpacing/>
    </w:pPr>
  </w:style>
  <w:style w:type="table" w:styleId="ListTable1Light">
    <w:name w:val="List Table 1 Light"/>
    <w:basedOn w:val="TableNormal"/>
    <w:uiPriority w:val="46"/>
    <w:rsid w:val="00B523A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23A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523A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523A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523A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523A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523A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523A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23A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523A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523A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523A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523A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523A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523A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23A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523A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523A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523A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523A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523A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52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2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52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52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52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52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52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523A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23A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23A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23A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23A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23A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23A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23A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23A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523A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523A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523A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523A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523A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523A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23A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23A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23A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23A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23A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23A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523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23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523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523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523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523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523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2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2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52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52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52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52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52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523A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23A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523A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523A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523A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523A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523A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23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23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23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23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23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23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23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23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2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2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2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2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2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2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2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B523A5"/>
    <w:rPr>
      <w:color w:val="2B579A"/>
      <w:shd w:val="clear" w:color="auto" w:fill="E1DFDD"/>
    </w:rPr>
  </w:style>
  <w:style w:type="paragraph" w:styleId="NoSpacing">
    <w:name w:val="No Spacing"/>
    <w:uiPriority w:val="1"/>
    <w:qFormat/>
    <w:rsid w:val="00B523A5"/>
    <w:rPr>
      <w:sz w:val="22"/>
    </w:rPr>
  </w:style>
  <w:style w:type="paragraph" w:styleId="NoteHeading">
    <w:name w:val="Note Heading"/>
    <w:basedOn w:val="Normal"/>
    <w:next w:val="Normal"/>
    <w:link w:val="NoteHeadingChar"/>
    <w:uiPriority w:val="99"/>
    <w:semiHidden/>
    <w:unhideWhenUsed/>
    <w:rsid w:val="00B523A5"/>
    <w:pPr>
      <w:spacing w:line="240" w:lineRule="auto"/>
    </w:pPr>
  </w:style>
  <w:style w:type="character" w:customStyle="1" w:styleId="NoteHeadingChar">
    <w:name w:val="Note Heading Char"/>
    <w:basedOn w:val="DefaultParagraphFont"/>
    <w:link w:val="NoteHeading"/>
    <w:uiPriority w:val="99"/>
    <w:semiHidden/>
    <w:rsid w:val="00B523A5"/>
    <w:rPr>
      <w:sz w:val="22"/>
    </w:rPr>
  </w:style>
  <w:style w:type="character" w:styleId="PlaceholderText">
    <w:name w:val="Placeholder Text"/>
    <w:basedOn w:val="DefaultParagraphFont"/>
    <w:uiPriority w:val="99"/>
    <w:semiHidden/>
    <w:rsid w:val="00B523A5"/>
    <w:rPr>
      <w:color w:val="808080"/>
    </w:rPr>
  </w:style>
  <w:style w:type="table" w:styleId="PlainTable1">
    <w:name w:val="Plain Table 1"/>
    <w:basedOn w:val="TableNormal"/>
    <w:uiPriority w:val="41"/>
    <w:rsid w:val="00B523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23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23A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23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23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523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23A5"/>
    <w:rPr>
      <w:i/>
      <w:iCs/>
      <w:color w:val="404040" w:themeColor="text1" w:themeTint="BF"/>
      <w:sz w:val="22"/>
    </w:rPr>
  </w:style>
  <w:style w:type="character" w:customStyle="1" w:styleId="SmartHyperlink1">
    <w:name w:val="Smart Hyperlink1"/>
    <w:basedOn w:val="DefaultParagraphFont"/>
    <w:uiPriority w:val="99"/>
    <w:semiHidden/>
    <w:unhideWhenUsed/>
    <w:rsid w:val="00B523A5"/>
    <w:rPr>
      <w:u w:val="dotted"/>
    </w:rPr>
  </w:style>
  <w:style w:type="character" w:styleId="SubtleEmphasis">
    <w:name w:val="Subtle Emphasis"/>
    <w:basedOn w:val="DefaultParagraphFont"/>
    <w:uiPriority w:val="19"/>
    <w:qFormat/>
    <w:rsid w:val="00B523A5"/>
    <w:rPr>
      <w:i/>
      <w:iCs/>
      <w:color w:val="404040" w:themeColor="text1" w:themeTint="BF"/>
    </w:rPr>
  </w:style>
  <w:style w:type="character" w:styleId="SubtleReference">
    <w:name w:val="Subtle Reference"/>
    <w:basedOn w:val="DefaultParagraphFont"/>
    <w:uiPriority w:val="31"/>
    <w:qFormat/>
    <w:rsid w:val="00B523A5"/>
    <w:rPr>
      <w:smallCaps/>
      <w:color w:val="5A5A5A" w:themeColor="text1" w:themeTint="A5"/>
    </w:rPr>
  </w:style>
  <w:style w:type="table" w:styleId="TableGridLight">
    <w:name w:val="Grid Table Light"/>
    <w:basedOn w:val="TableNormal"/>
    <w:uiPriority w:val="40"/>
    <w:rsid w:val="00B523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523A5"/>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B523A5"/>
    <w:rPr>
      <w:color w:val="605E5C"/>
      <w:shd w:val="clear" w:color="auto" w:fill="E1DFDD"/>
    </w:rPr>
  </w:style>
  <w:style w:type="paragraph" w:customStyle="1" w:styleId="Body">
    <w:name w:val="Body"/>
    <w:aliases w:val="b"/>
    <w:basedOn w:val="OPCParaBase"/>
    <w:rsid w:val="002E483F"/>
    <w:pPr>
      <w:spacing w:before="24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666578">
      <w:bodyDiv w:val="1"/>
      <w:marLeft w:val="0"/>
      <w:marRight w:val="0"/>
      <w:marTop w:val="0"/>
      <w:marBottom w:val="0"/>
      <w:divBdr>
        <w:top w:val="none" w:sz="0" w:space="0" w:color="auto"/>
        <w:left w:val="none" w:sz="0" w:space="0" w:color="auto"/>
        <w:bottom w:val="none" w:sz="0" w:space="0" w:color="auto"/>
        <w:right w:val="none" w:sz="0" w:space="0" w:color="auto"/>
      </w:divBdr>
    </w:div>
    <w:div w:id="11342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footer" Target="footer16.xml"/><Relationship Id="rId50" Type="http://schemas.openxmlformats.org/officeDocument/2006/relationships/footer" Target="foot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image" Target="media/image3.png"/><Relationship Id="rId40" Type="http://schemas.openxmlformats.org/officeDocument/2006/relationships/footer" Target="footer13.xml"/><Relationship Id="rId45"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image" Target="media/image2.png"/><Relationship Id="rId49"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image" Target="media/image4.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665B17A-5F3D-4445-AF88-9FFC27C067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9325FC1912CEC4AA7720D7BF0AE6055" ma:contentTypeVersion="" ma:contentTypeDescription="PDMS Document Site Content Type" ma:contentTypeScope="" ma:versionID="c5c00cf38261b92aaefd908611a316a1">
  <xsd:schema xmlns:xsd="http://www.w3.org/2001/XMLSchema" xmlns:xs="http://www.w3.org/2001/XMLSchema" xmlns:p="http://schemas.microsoft.com/office/2006/metadata/properties" xmlns:ns2="D665B17A-5F3D-4445-AF88-9FFC27C067A9" targetNamespace="http://schemas.microsoft.com/office/2006/metadata/properties" ma:root="true" ma:fieldsID="9127c781f3053f5993e71aa2b4402fc6" ns2:_="">
    <xsd:import namespace="D665B17A-5F3D-4445-AF88-9FFC27C067A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B17A-5F3D-4445-AF88-9FFC27C067A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A47F-19AC-4CD5-AC9D-A7BB4CCA4742}">
  <ds:schemaRefs>
    <ds:schemaRef ds:uri="http://purl.org/dc/elements/1.1/"/>
    <ds:schemaRef ds:uri="http://schemas.microsoft.com/office/2006/metadata/properties"/>
    <ds:schemaRef ds:uri="http://purl.org/dc/terms/"/>
    <ds:schemaRef ds:uri="D665B17A-5F3D-4445-AF88-9FFC27C067A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0379AB5-A257-40FD-9818-35D9A26C4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5B17A-5F3D-4445-AF88-9FFC27C06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278CF-4596-4116-9061-8E7830ABE5B2}">
  <ds:schemaRefs>
    <ds:schemaRef ds:uri="http://schemas.microsoft.com/sharepoint/v3/contenttype/forms"/>
  </ds:schemaRefs>
</ds:datastoreItem>
</file>

<file path=customXml/itemProps4.xml><?xml version="1.0" encoding="utf-8"?>
<ds:datastoreItem xmlns:ds="http://schemas.openxmlformats.org/officeDocument/2006/customXml" ds:itemID="{68434B14-4C7E-4629-B724-F12DA89A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40</Pages>
  <Words>8350</Words>
  <Characters>47600</Characters>
  <Application>Microsoft Office Word</Application>
  <DocSecurity>0</DocSecurity>
  <PresentationFormat/>
  <Lines>396</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2024-04-15T01:02:00Z</cp:lastPrinted>
  <dcterms:created xsi:type="dcterms:W3CDTF">2024-08-30T02:39:00Z</dcterms:created>
  <dcterms:modified xsi:type="dcterms:W3CDTF">2024-08-30T02:39:00Z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Explosives Regulations 2024</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OPC66601</vt:lpwstr>
  </property>
  <property fmtid="{D5CDD505-2E9C-101B-9397-08002B2CF9AE}" pid="12" name="DLM">
    <vt:lpwstr> </vt:lpwstr>
  </property>
  <property fmtid="{D5CDD505-2E9C-101B-9397-08002B2CF9AE}" pid="13" name="Classification">
    <vt:lpwstr> </vt:lpwstr>
  </property>
  <property fmtid="{D5CDD505-2E9C-101B-9397-08002B2CF9AE}" pid="14" name="Number">
    <vt:lpwstr>C</vt:lpwstr>
  </property>
  <property fmtid="{D5CDD505-2E9C-101B-9397-08002B2CF9AE}" pid="15" name="CounterSign">
    <vt:lpwstr/>
  </property>
  <property fmtid="{D5CDD505-2E9C-101B-9397-08002B2CF9AE}" pid="16" name="ContentTypeId">
    <vt:lpwstr>0x010100266966F133664895A6EE3632470D45F500C9325FC1912CEC4AA7720D7BF0AE6055</vt:lpwstr>
  </property>
</Properties>
</file>