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EA04C" w14:textId="0AE5FF32" w:rsidR="00043DA2" w:rsidRPr="00ED19D5" w:rsidRDefault="00043DA2" w:rsidP="00043DA2">
      <w:pPr>
        <w:pStyle w:val="Heading"/>
        <w:spacing w:after="240"/>
        <w:jc w:val="center"/>
        <w:rPr>
          <w:rFonts w:ascii="Times New Roman" w:hAnsi="Times New Roman"/>
          <w:i/>
          <w:sz w:val="24"/>
          <w:szCs w:val="24"/>
        </w:rPr>
      </w:pPr>
      <w:r w:rsidRPr="00ED19D5">
        <w:rPr>
          <w:rFonts w:ascii="Times New Roman" w:hAnsi="Times New Roman"/>
          <w:i/>
          <w:sz w:val="24"/>
          <w:szCs w:val="24"/>
        </w:rPr>
        <w:t xml:space="preserve">Banking (prudential standard) determination No. </w:t>
      </w:r>
      <w:r w:rsidR="00803F97">
        <w:rPr>
          <w:rFonts w:ascii="Times New Roman" w:hAnsi="Times New Roman"/>
          <w:i/>
          <w:sz w:val="24"/>
          <w:szCs w:val="24"/>
        </w:rPr>
        <w:t>3</w:t>
      </w:r>
      <w:r w:rsidRPr="00ED19D5">
        <w:rPr>
          <w:rFonts w:ascii="Times New Roman" w:hAnsi="Times New Roman"/>
          <w:i/>
          <w:sz w:val="24"/>
          <w:szCs w:val="24"/>
        </w:rPr>
        <w:t xml:space="preserve"> of 202</w:t>
      </w:r>
      <w:r w:rsidR="00FE2E8B">
        <w:rPr>
          <w:rFonts w:ascii="Times New Roman" w:hAnsi="Times New Roman"/>
          <w:i/>
          <w:sz w:val="24"/>
          <w:szCs w:val="24"/>
        </w:rPr>
        <w:t>4</w:t>
      </w:r>
    </w:p>
    <w:p w14:paraId="4F78671D" w14:textId="77777777" w:rsidR="00043DA2" w:rsidRPr="00590C51" w:rsidRDefault="00043DA2" w:rsidP="00043DA2">
      <w:pPr>
        <w:pStyle w:val="Heading"/>
        <w:tabs>
          <w:tab w:val="left" w:pos="360"/>
        </w:tabs>
        <w:spacing w:after="240"/>
        <w:jc w:val="center"/>
        <w:rPr>
          <w:rFonts w:ascii="Times New Roman" w:hAnsi="Times New Roman"/>
          <w:sz w:val="24"/>
          <w:szCs w:val="24"/>
          <w:u w:val="single"/>
        </w:rPr>
      </w:pPr>
      <w:bookmarkStart w:id="0" w:name="bkInstrumentSubTitle"/>
      <w:bookmarkEnd w:id="0"/>
      <w:r w:rsidRPr="00590C51">
        <w:rPr>
          <w:rFonts w:ascii="Times New Roman" w:hAnsi="Times New Roman"/>
          <w:sz w:val="24"/>
          <w:szCs w:val="24"/>
          <w:u w:val="single"/>
        </w:rPr>
        <w:t>EXPLANATORY STATEMENT</w:t>
      </w:r>
    </w:p>
    <w:p w14:paraId="5918A5C4" w14:textId="77777777" w:rsidR="00043DA2" w:rsidRPr="00590C51" w:rsidRDefault="00043DA2" w:rsidP="00043DA2">
      <w:pPr>
        <w:pStyle w:val="Heading"/>
        <w:spacing w:after="240"/>
        <w:jc w:val="center"/>
        <w:rPr>
          <w:rFonts w:ascii="Times New Roman" w:hAnsi="Times New Roman"/>
          <w:sz w:val="24"/>
          <w:szCs w:val="24"/>
        </w:rPr>
      </w:pPr>
      <w:r w:rsidRPr="00590C51">
        <w:rPr>
          <w:rFonts w:ascii="Times New Roman" w:hAnsi="Times New Roman"/>
          <w:sz w:val="24"/>
          <w:szCs w:val="24"/>
        </w:rPr>
        <w:t>Prepared by the Australian Prudential Regulation Authority (APRA)</w:t>
      </w:r>
    </w:p>
    <w:p w14:paraId="219C2F11" w14:textId="17E43B48" w:rsidR="00043DA2" w:rsidRPr="00590C51" w:rsidRDefault="00043DA2" w:rsidP="00043DA2">
      <w:pPr>
        <w:pStyle w:val="Heading"/>
        <w:tabs>
          <w:tab w:val="left" w:pos="360"/>
        </w:tabs>
        <w:spacing w:after="240"/>
        <w:jc w:val="center"/>
        <w:rPr>
          <w:rFonts w:ascii="Times New Roman" w:hAnsi="Times New Roman"/>
          <w:b w:val="0"/>
          <w:color w:val="000000"/>
          <w:sz w:val="24"/>
          <w:szCs w:val="24"/>
        </w:rPr>
      </w:pPr>
      <w:r w:rsidRPr="00590C51">
        <w:rPr>
          <w:rFonts w:ascii="Times New Roman" w:hAnsi="Times New Roman"/>
          <w:b w:val="0"/>
          <w:i/>
          <w:sz w:val="24"/>
          <w:szCs w:val="24"/>
        </w:rPr>
        <w:t>Banking Act 1959</w:t>
      </w:r>
      <w:r w:rsidRPr="00590C51">
        <w:rPr>
          <w:rFonts w:ascii="Times New Roman" w:hAnsi="Times New Roman"/>
          <w:b w:val="0"/>
          <w:sz w:val="24"/>
          <w:szCs w:val="24"/>
        </w:rPr>
        <w:t xml:space="preserve">, </w:t>
      </w:r>
      <w:r w:rsidRPr="00590C51">
        <w:rPr>
          <w:rFonts w:ascii="Times New Roman" w:hAnsi="Times New Roman"/>
          <w:b w:val="0"/>
          <w:color w:val="000000"/>
          <w:sz w:val="24"/>
          <w:szCs w:val="24"/>
        </w:rPr>
        <w:t>section 11AF</w:t>
      </w:r>
    </w:p>
    <w:p w14:paraId="52774B77" w14:textId="77777777" w:rsidR="00E6118A" w:rsidRDefault="00E6118A" w:rsidP="00E6118A">
      <w:pPr>
        <w:widowControl w:val="0"/>
        <w:spacing w:after="240"/>
        <w:jc w:val="both"/>
        <w:rPr>
          <w:rFonts w:ascii="Times New Roman" w:hAnsi="Times New Roman"/>
          <w:sz w:val="24"/>
          <w:szCs w:val="24"/>
        </w:rPr>
      </w:pPr>
      <w:bookmarkStart w:id="1" w:name="bkAct"/>
      <w:bookmarkStart w:id="2" w:name="bkExplanatory"/>
      <w:bookmarkEnd w:id="1"/>
      <w:bookmarkEnd w:id="2"/>
      <w:r>
        <w:rPr>
          <w:rFonts w:ascii="Times New Roman" w:hAnsi="Times New Roman"/>
          <w:sz w:val="24"/>
          <w:szCs w:val="24"/>
        </w:rPr>
        <w:t>Under subsection 11</w:t>
      </w:r>
      <w:proofErr w:type="gramStart"/>
      <w:r>
        <w:rPr>
          <w:rFonts w:ascii="Times New Roman" w:hAnsi="Times New Roman"/>
          <w:sz w:val="24"/>
          <w:szCs w:val="24"/>
        </w:rPr>
        <w:t>AF(</w:t>
      </w:r>
      <w:proofErr w:type="gramEnd"/>
      <w:r>
        <w:rPr>
          <w:rFonts w:ascii="Times New Roman" w:hAnsi="Times New Roman"/>
          <w:sz w:val="24"/>
          <w:szCs w:val="24"/>
        </w:rPr>
        <w:t xml:space="preserve">1) of the </w:t>
      </w:r>
      <w:r w:rsidRPr="00F623DC">
        <w:rPr>
          <w:rFonts w:ascii="Times New Roman" w:hAnsi="Times New Roman"/>
          <w:i/>
          <w:sz w:val="24"/>
          <w:szCs w:val="24"/>
        </w:rPr>
        <w:t>Banking Act 1959</w:t>
      </w:r>
      <w:r>
        <w:rPr>
          <w:rFonts w:ascii="Times New Roman" w:hAnsi="Times New Roman"/>
          <w:sz w:val="24"/>
          <w:szCs w:val="24"/>
        </w:rPr>
        <w:t xml:space="preserve"> (the Act), APRA has the power to determine standards (prudential standards), in writing, in relation to prudential matters to be complied with by authorised deposit-taking institutions (ADIs) and authorised non-operating holding companies (authorised NOHCs). Under subsection 11</w:t>
      </w:r>
      <w:proofErr w:type="gramStart"/>
      <w:r>
        <w:rPr>
          <w:rFonts w:ascii="Times New Roman" w:hAnsi="Times New Roman"/>
          <w:sz w:val="24"/>
          <w:szCs w:val="24"/>
        </w:rPr>
        <w:t>AF(</w:t>
      </w:r>
      <w:proofErr w:type="gramEnd"/>
      <w:r>
        <w:rPr>
          <w:rFonts w:ascii="Times New Roman" w:hAnsi="Times New Roman"/>
          <w:sz w:val="24"/>
          <w:szCs w:val="24"/>
        </w:rPr>
        <w:t>3) of the Act, APRA may, in writing, vary or revoke a prudential standard.</w:t>
      </w:r>
    </w:p>
    <w:p w14:paraId="3295885A" w14:textId="39DD02DD" w:rsidR="00504519" w:rsidRPr="00590C51" w:rsidRDefault="00504519" w:rsidP="00504519">
      <w:pPr>
        <w:widowControl w:val="0"/>
        <w:spacing w:after="240"/>
        <w:jc w:val="both"/>
        <w:rPr>
          <w:rFonts w:ascii="Times New Roman" w:hAnsi="Times New Roman"/>
          <w:sz w:val="24"/>
          <w:szCs w:val="24"/>
        </w:rPr>
      </w:pPr>
      <w:r w:rsidRPr="00590C51">
        <w:rPr>
          <w:rFonts w:ascii="Times New Roman" w:hAnsi="Times New Roman"/>
          <w:sz w:val="24"/>
          <w:szCs w:val="24"/>
        </w:rPr>
        <w:t>On</w:t>
      </w:r>
      <w:r w:rsidR="00471569">
        <w:rPr>
          <w:rFonts w:ascii="Times New Roman" w:hAnsi="Times New Roman"/>
          <w:sz w:val="24"/>
          <w:szCs w:val="24"/>
        </w:rPr>
        <w:t xml:space="preserve"> </w:t>
      </w:r>
      <w:r w:rsidR="00611F36">
        <w:rPr>
          <w:rFonts w:ascii="Times New Roman" w:hAnsi="Times New Roman"/>
          <w:sz w:val="24"/>
          <w:szCs w:val="24"/>
        </w:rPr>
        <w:t>2</w:t>
      </w:r>
      <w:r w:rsidR="00471569">
        <w:rPr>
          <w:rFonts w:ascii="Times New Roman" w:hAnsi="Times New Roman"/>
          <w:sz w:val="24"/>
          <w:szCs w:val="24"/>
        </w:rPr>
        <w:t xml:space="preserve">7 August </w:t>
      </w:r>
      <w:r w:rsidRPr="00EB11DD">
        <w:rPr>
          <w:rFonts w:ascii="Times New Roman" w:hAnsi="Times New Roman"/>
          <w:sz w:val="24"/>
          <w:szCs w:val="24"/>
        </w:rPr>
        <w:t>202</w:t>
      </w:r>
      <w:r w:rsidR="00FE2E8B">
        <w:rPr>
          <w:rFonts w:ascii="Times New Roman" w:hAnsi="Times New Roman"/>
          <w:sz w:val="24"/>
          <w:szCs w:val="24"/>
        </w:rPr>
        <w:t>4</w:t>
      </w:r>
      <w:r w:rsidRPr="00590C51">
        <w:rPr>
          <w:rFonts w:ascii="Times New Roman" w:hAnsi="Times New Roman"/>
          <w:sz w:val="24"/>
          <w:szCs w:val="24"/>
        </w:rPr>
        <w:t xml:space="preserve">, APRA made </w:t>
      </w:r>
      <w:r w:rsidR="0077263C" w:rsidRPr="00B20E33">
        <w:rPr>
          <w:rFonts w:ascii="Times New Roman" w:hAnsi="Times New Roman"/>
          <w:iCs/>
          <w:sz w:val="24"/>
          <w:szCs w:val="24"/>
        </w:rPr>
        <w:t xml:space="preserve">Banking (prudential standard) determination No. </w:t>
      </w:r>
      <w:r w:rsidR="00803F97">
        <w:rPr>
          <w:rFonts w:ascii="Times New Roman" w:hAnsi="Times New Roman"/>
          <w:iCs/>
          <w:sz w:val="24"/>
          <w:szCs w:val="24"/>
        </w:rPr>
        <w:t>3</w:t>
      </w:r>
      <w:r w:rsidR="0077263C" w:rsidRPr="00B20E33">
        <w:rPr>
          <w:rFonts w:ascii="Times New Roman" w:hAnsi="Times New Roman"/>
          <w:iCs/>
          <w:sz w:val="24"/>
          <w:szCs w:val="24"/>
        </w:rPr>
        <w:t xml:space="preserve"> of 202</w:t>
      </w:r>
      <w:r w:rsidR="00FE2E8B" w:rsidRPr="00B20E33">
        <w:rPr>
          <w:rFonts w:ascii="Times New Roman" w:hAnsi="Times New Roman"/>
          <w:iCs/>
          <w:sz w:val="24"/>
          <w:szCs w:val="24"/>
        </w:rPr>
        <w:t>4</w:t>
      </w:r>
      <w:r w:rsidR="0077263C" w:rsidRPr="0077263C">
        <w:rPr>
          <w:rFonts w:ascii="Times New Roman" w:hAnsi="Times New Roman"/>
          <w:sz w:val="24"/>
          <w:szCs w:val="24"/>
        </w:rPr>
        <w:t xml:space="preserve"> </w:t>
      </w:r>
      <w:r w:rsidRPr="00590C51">
        <w:rPr>
          <w:rFonts w:ascii="Times New Roman" w:hAnsi="Times New Roman"/>
          <w:sz w:val="24"/>
          <w:szCs w:val="24"/>
        </w:rPr>
        <w:t xml:space="preserve">(the instrument), which revokes </w:t>
      </w:r>
      <w:r w:rsidRPr="00590C51">
        <w:rPr>
          <w:rFonts w:ascii="Times New Roman" w:hAnsi="Times New Roman"/>
          <w:i/>
          <w:iCs/>
          <w:sz w:val="24"/>
          <w:szCs w:val="24"/>
        </w:rPr>
        <w:t xml:space="preserve">Prudential Standard </w:t>
      </w:r>
      <w:r w:rsidR="00BA44E0">
        <w:rPr>
          <w:rFonts w:ascii="Times New Roman" w:hAnsi="Times New Roman"/>
          <w:i/>
          <w:iCs/>
          <w:sz w:val="24"/>
          <w:szCs w:val="24"/>
        </w:rPr>
        <w:t>APS 330 Public Disclosure</w:t>
      </w:r>
      <w:r w:rsidRPr="00590C51">
        <w:rPr>
          <w:rFonts w:ascii="Times New Roman" w:hAnsi="Times New Roman"/>
          <w:sz w:val="24"/>
          <w:szCs w:val="24"/>
        </w:rPr>
        <w:t xml:space="preserve"> </w:t>
      </w:r>
      <w:r w:rsidR="009D5A7D">
        <w:rPr>
          <w:rFonts w:ascii="Times New Roman" w:hAnsi="Times New Roman"/>
          <w:sz w:val="24"/>
          <w:szCs w:val="24"/>
        </w:rPr>
        <w:t>m</w:t>
      </w:r>
      <w:r w:rsidRPr="00590C51">
        <w:rPr>
          <w:rFonts w:ascii="Times New Roman" w:hAnsi="Times New Roman"/>
          <w:sz w:val="24"/>
          <w:szCs w:val="24"/>
        </w:rPr>
        <w:t xml:space="preserve">ade under </w:t>
      </w:r>
      <w:r w:rsidRPr="00B20E33">
        <w:rPr>
          <w:rFonts w:ascii="Times New Roman" w:hAnsi="Times New Roman"/>
          <w:iCs/>
          <w:sz w:val="24"/>
          <w:szCs w:val="24"/>
        </w:rPr>
        <w:t>Banking (prudential standard) determinatio</w:t>
      </w:r>
      <w:r w:rsidRPr="00BE446E">
        <w:rPr>
          <w:rFonts w:ascii="Times New Roman" w:hAnsi="Times New Roman"/>
          <w:iCs/>
          <w:sz w:val="24"/>
          <w:szCs w:val="24"/>
        </w:rPr>
        <w:t xml:space="preserve">n No. </w:t>
      </w:r>
      <w:r w:rsidR="00412595" w:rsidRPr="00BE446E">
        <w:rPr>
          <w:rFonts w:ascii="Times New Roman" w:hAnsi="Times New Roman"/>
          <w:iCs/>
          <w:sz w:val="24"/>
          <w:szCs w:val="24"/>
        </w:rPr>
        <w:t>1</w:t>
      </w:r>
      <w:r w:rsidRPr="00BE446E">
        <w:rPr>
          <w:rFonts w:ascii="Times New Roman" w:hAnsi="Times New Roman"/>
          <w:iCs/>
          <w:sz w:val="24"/>
          <w:szCs w:val="24"/>
        </w:rPr>
        <w:t xml:space="preserve"> of 202</w:t>
      </w:r>
      <w:r w:rsidR="00412595" w:rsidRPr="00BE446E">
        <w:rPr>
          <w:rFonts w:ascii="Times New Roman" w:hAnsi="Times New Roman"/>
          <w:iCs/>
          <w:sz w:val="24"/>
          <w:szCs w:val="24"/>
        </w:rPr>
        <w:t>3</w:t>
      </w:r>
      <w:r w:rsidRPr="00BE446E">
        <w:rPr>
          <w:rFonts w:ascii="Times New Roman" w:hAnsi="Times New Roman"/>
          <w:sz w:val="24"/>
          <w:szCs w:val="24"/>
        </w:rPr>
        <w:t xml:space="preserve"> a</w:t>
      </w:r>
      <w:r w:rsidRPr="00590C51">
        <w:rPr>
          <w:rFonts w:ascii="Times New Roman" w:hAnsi="Times New Roman"/>
          <w:sz w:val="24"/>
          <w:szCs w:val="24"/>
        </w:rPr>
        <w:t xml:space="preserve">nd determines a new </w:t>
      </w:r>
      <w:r w:rsidR="009D5A7D" w:rsidRPr="009D5A7D">
        <w:rPr>
          <w:rFonts w:ascii="Times New Roman" w:hAnsi="Times New Roman"/>
          <w:i/>
          <w:sz w:val="24"/>
          <w:szCs w:val="24"/>
        </w:rPr>
        <w:t xml:space="preserve">Prudential Standard </w:t>
      </w:r>
      <w:r w:rsidR="003E3ECE">
        <w:rPr>
          <w:rFonts w:ascii="Times New Roman" w:hAnsi="Times New Roman"/>
          <w:i/>
          <w:sz w:val="24"/>
          <w:szCs w:val="24"/>
        </w:rPr>
        <w:t>APS 330 Public Disclosure</w:t>
      </w:r>
      <w:r w:rsidR="009D5A7D" w:rsidRPr="009D5A7D">
        <w:rPr>
          <w:rFonts w:ascii="Times New Roman" w:hAnsi="Times New Roman"/>
          <w:sz w:val="24"/>
          <w:szCs w:val="24"/>
        </w:rPr>
        <w:t xml:space="preserve"> </w:t>
      </w:r>
      <w:r w:rsidR="009D5A7D">
        <w:rPr>
          <w:rFonts w:ascii="Times New Roman" w:hAnsi="Times New Roman"/>
          <w:sz w:val="24"/>
          <w:szCs w:val="24"/>
        </w:rPr>
        <w:t>(</w:t>
      </w:r>
      <w:r w:rsidR="008E7679" w:rsidRPr="00590C51">
        <w:rPr>
          <w:rFonts w:ascii="Times New Roman" w:hAnsi="Times New Roman"/>
          <w:sz w:val="24"/>
          <w:szCs w:val="24"/>
        </w:rPr>
        <w:t xml:space="preserve">APS </w:t>
      </w:r>
      <w:r w:rsidR="003E3ECE">
        <w:rPr>
          <w:rFonts w:ascii="Times New Roman" w:hAnsi="Times New Roman"/>
          <w:sz w:val="24"/>
          <w:szCs w:val="24"/>
        </w:rPr>
        <w:t>330</w:t>
      </w:r>
      <w:r w:rsidR="009D5A7D">
        <w:rPr>
          <w:rFonts w:ascii="Times New Roman" w:hAnsi="Times New Roman"/>
          <w:sz w:val="24"/>
          <w:szCs w:val="24"/>
        </w:rPr>
        <w:t>)</w:t>
      </w:r>
      <w:r w:rsidR="008E7679" w:rsidRPr="00590C51">
        <w:rPr>
          <w:rFonts w:ascii="Times New Roman" w:hAnsi="Times New Roman"/>
          <w:sz w:val="24"/>
          <w:szCs w:val="24"/>
        </w:rPr>
        <w:t>.</w:t>
      </w:r>
    </w:p>
    <w:p w14:paraId="793B17E6" w14:textId="12C3FCA0" w:rsidR="00504519" w:rsidRPr="00590C51" w:rsidRDefault="00504519" w:rsidP="00504519">
      <w:pPr>
        <w:widowControl w:val="0"/>
        <w:spacing w:after="240"/>
        <w:jc w:val="both"/>
        <w:rPr>
          <w:rFonts w:ascii="Times New Roman" w:hAnsi="Times New Roman"/>
          <w:sz w:val="24"/>
          <w:szCs w:val="24"/>
        </w:rPr>
      </w:pPr>
      <w:r w:rsidRPr="00590C51">
        <w:rPr>
          <w:rFonts w:ascii="Times New Roman" w:hAnsi="Times New Roman"/>
          <w:sz w:val="24"/>
          <w:szCs w:val="24"/>
        </w:rPr>
        <w:t xml:space="preserve">The instrument commences </w:t>
      </w:r>
      <w:r w:rsidR="00586AE8">
        <w:rPr>
          <w:rFonts w:ascii="Times New Roman" w:hAnsi="Times New Roman"/>
          <w:sz w:val="24"/>
          <w:szCs w:val="24"/>
        </w:rPr>
        <w:t xml:space="preserve">on 1 </w:t>
      </w:r>
      <w:r w:rsidR="00C13933">
        <w:rPr>
          <w:rFonts w:ascii="Times New Roman" w:hAnsi="Times New Roman"/>
          <w:sz w:val="24"/>
          <w:szCs w:val="24"/>
        </w:rPr>
        <w:t xml:space="preserve">January </w:t>
      </w:r>
      <w:r w:rsidR="00FE2E8B">
        <w:rPr>
          <w:rFonts w:ascii="Times New Roman" w:hAnsi="Times New Roman"/>
          <w:sz w:val="24"/>
          <w:szCs w:val="24"/>
        </w:rPr>
        <w:t>2025</w:t>
      </w:r>
      <w:r w:rsidRPr="00590C51">
        <w:rPr>
          <w:rFonts w:ascii="Times New Roman" w:hAnsi="Times New Roman"/>
          <w:sz w:val="24"/>
          <w:szCs w:val="24"/>
        </w:rPr>
        <w:t>.</w:t>
      </w:r>
    </w:p>
    <w:p w14:paraId="7B0F57CA" w14:textId="77777777" w:rsidR="00043DA2" w:rsidRPr="00590C51" w:rsidRDefault="00043DA2" w:rsidP="00043DA2">
      <w:pPr>
        <w:pStyle w:val="Heading"/>
        <w:keepNext/>
        <w:numPr>
          <w:ilvl w:val="0"/>
          <w:numId w:val="12"/>
        </w:numPr>
        <w:spacing w:after="240"/>
        <w:ind w:left="0" w:firstLine="0"/>
        <w:outlineLvl w:val="0"/>
        <w:rPr>
          <w:rFonts w:ascii="Times New Roman" w:hAnsi="Times New Roman"/>
          <w:sz w:val="24"/>
          <w:szCs w:val="24"/>
        </w:rPr>
      </w:pPr>
      <w:r w:rsidRPr="00590C51">
        <w:rPr>
          <w:rFonts w:ascii="Times New Roman" w:hAnsi="Times New Roman"/>
          <w:sz w:val="24"/>
          <w:szCs w:val="24"/>
        </w:rPr>
        <w:t>Background</w:t>
      </w:r>
    </w:p>
    <w:p w14:paraId="199A7108" w14:textId="7C52FD7D" w:rsidR="008E7679" w:rsidRPr="00590C51" w:rsidRDefault="008E7679" w:rsidP="008E7679">
      <w:pPr>
        <w:spacing w:after="240"/>
        <w:jc w:val="both"/>
        <w:rPr>
          <w:rFonts w:ascii="Times New Roman" w:hAnsi="Times New Roman"/>
          <w:sz w:val="24"/>
          <w:szCs w:val="24"/>
        </w:rPr>
      </w:pPr>
      <w:r w:rsidRPr="00590C51">
        <w:rPr>
          <w:rFonts w:ascii="Times New Roman" w:hAnsi="Times New Roman"/>
          <w:sz w:val="24"/>
          <w:szCs w:val="24"/>
        </w:rPr>
        <w:t xml:space="preserve">APRA’s mandate is to ensure the safety and soundness of prudentially regulated financial institutions so that they can meet their financial promises to depositors, </w:t>
      </w:r>
      <w:r w:rsidR="00A10754" w:rsidRPr="00590C51">
        <w:rPr>
          <w:rFonts w:ascii="Times New Roman" w:hAnsi="Times New Roman"/>
          <w:sz w:val="24"/>
          <w:szCs w:val="24"/>
        </w:rPr>
        <w:t>policyholders,</w:t>
      </w:r>
      <w:r w:rsidRPr="00590C51">
        <w:rPr>
          <w:rFonts w:ascii="Times New Roman" w:hAnsi="Times New Roman"/>
          <w:sz w:val="24"/>
          <w:szCs w:val="24"/>
        </w:rPr>
        <w:t xml:space="preserve"> and fund members within a stable, </w:t>
      </w:r>
      <w:r w:rsidR="00A10754" w:rsidRPr="00590C51">
        <w:rPr>
          <w:rFonts w:ascii="Times New Roman" w:hAnsi="Times New Roman"/>
          <w:sz w:val="24"/>
          <w:szCs w:val="24"/>
        </w:rPr>
        <w:t>efficient,</w:t>
      </w:r>
      <w:r w:rsidRPr="00590C51">
        <w:rPr>
          <w:rFonts w:ascii="Times New Roman" w:hAnsi="Times New Roman"/>
          <w:sz w:val="24"/>
          <w:szCs w:val="24"/>
        </w:rPr>
        <w:t xml:space="preserve"> and competitive financial system.</w:t>
      </w:r>
    </w:p>
    <w:p w14:paraId="54EEEC56" w14:textId="58553EF0" w:rsidR="008E7679" w:rsidRPr="00590C51" w:rsidRDefault="008E7679" w:rsidP="008E7679">
      <w:pPr>
        <w:spacing w:after="240"/>
        <w:jc w:val="both"/>
        <w:rPr>
          <w:rFonts w:ascii="Times New Roman" w:hAnsi="Times New Roman"/>
          <w:sz w:val="24"/>
          <w:szCs w:val="24"/>
        </w:rPr>
      </w:pPr>
      <w:r w:rsidRPr="00590C51">
        <w:rPr>
          <w:rFonts w:ascii="Times New Roman" w:hAnsi="Times New Roman"/>
          <w:sz w:val="24"/>
          <w:szCs w:val="24"/>
        </w:rPr>
        <w:t xml:space="preserve">APRA carries out this mandate through a multi-layered prudential framework that encompasses licensing and supervision of </w:t>
      </w:r>
      <w:r w:rsidRPr="008C398C">
        <w:rPr>
          <w:rFonts w:ascii="Times New Roman" w:hAnsi="Times New Roman"/>
          <w:sz w:val="24"/>
          <w:szCs w:val="24"/>
        </w:rPr>
        <w:t>institutions</w:t>
      </w:r>
      <w:r w:rsidRPr="00590C51">
        <w:rPr>
          <w:rFonts w:ascii="Times New Roman" w:hAnsi="Times New Roman"/>
          <w:sz w:val="24"/>
          <w:szCs w:val="24"/>
        </w:rPr>
        <w:t xml:space="preserve">. In the case of the banking industry, APRA is empowered under the Act to issue legally binding prudential standards that set out specific prudential requirements with which ADIs must comply. </w:t>
      </w:r>
    </w:p>
    <w:p w14:paraId="2C77FEBC" w14:textId="664B6260" w:rsidR="0056465A" w:rsidRPr="003615B4" w:rsidRDefault="0056465A" w:rsidP="0056465A">
      <w:pPr>
        <w:spacing w:before="240" w:after="240"/>
        <w:jc w:val="both"/>
        <w:rPr>
          <w:rFonts w:ascii="Times New Roman" w:eastAsiaTheme="minorEastAsia" w:hAnsi="Times New Roman"/>
          <w:sz w:val="24"/>
          <w:szCs w:val="24"/>
          <w:lang w:eastAsia="en-US"/>
        </w:rPr>
      </w:pPr>
      <w:r w:rsidRPr="003615B4">
        <w:rPr>
          <w:rFonts w:ascii="Times New Roman" w:eastAsiaTheme="minorEastAsia" w:hAnsi="Times New Roman"/>
          <w:sz w:val="24"/>
          <w:szCs w:val="24"/>
          <w:lang w:eastAsia="en-US"/>
        </w:rPr>
        <w:t xml:space="preserve">APRA regularly reviews its regulatory regime and amends its prudential requirements </w:t>
      </w:r>
      <w:proofErr w:type="gramStart"/>
      <w:r w:rsidRPr="003615B4">
        <w:rPr>
          <w:rFonts w:ascii="Times New Roman" w:eastAsiaTheme="minorEastAsia" w:hAnsi="Times New Roman"/>
          <w:sz w:val="24"/>
          <w:szCs w:val="24"/>
          <w:lang w:eastAsia="en-US"/>
        </w:rPr>
        <w:t>as a result of</w:t>
      </w:r>
      <w:proofErr w:type="gramEnd"/>
      <w:r w:rsidRPr="003615B4">
        <w:rPr>
          <w:rFonts w:ascii="Times New Roman" w:eastAsiaTheme="minorEastAsia" w:hAnsi="Times New Roman"/>
          <w:sz w:val="24"/>
          <w:szCs w:val="24"/>
          <w:lang w:eastAsia="en-US"/>
        </w:rPr>
        <w:t xml:space="preserve"> a number of factors</w:t>
      </w:r>
      <w:r w:rsidR="00C91098">
        <w:rPr>
          <w:rFonts w:ascii="Times New Roman" w:eastAsiaTheme="minorEastAsia" w:hAnsi="Times New Roman"/>
          <w:sz w:val="24"/>
          <w:szCs w:val="24"/>
          <w:lang w:eastAsia="en-US"/>
        </w:rPr>
        <w:t>,</w:t>
      </w:r>
      <w:r w:rsidRPr="003615B4">
        <w:rPr>
          <w:rFonts w:ascii="Times New Roman" w:eastAsiaTheme="minorEastAsia" w:hAnsi="Times New Roman"/>
          <w:sz w:val="24"/>
          <w:szCs w:val="24"/>
          <w:lang w:eastAsia="en-US"/>
        </w:rPr>
        <w:t xml:space="preserve"> including:</w:t>
      </w:r>
    </w:p>
    <w:p w14:paraId="12743702" w14:textId="77777777" w:rsidR="0056465A" w:rsidRDefault="0056465A" w:rsidP="0056465A">
      <w:pPr>
        <w:numPr>
          <w:ilvl w:val="0"/>
          <w:numId w:val="24"/>
        </w:numPr>
        <w:spacing w:before="120" w:after="60"/>
        <w:ind w:left="567" w:hanging="567"/>
        <w:jc w:val="both"/>
        <w:rPr>
          <w:rFonts w:ascii="Times New Roman" w:eastAsia="Trebuchet MS" w:hAnsi="Times New Roman"/>
          <w:spacing w:val="-5"/>
          <w:sz w:val="24"/>
          <w:szCs w:val="24"/>
          <w:lang w:eastAsia="en-US"/>
        </w:rPr>
      </w:pPr>
      <w:r w:rsidRPr="003615B4">
        <w:rPr>
          <w:rFonts w:ascii="Times New Roman" w:eastAsia="Trebuchet MS" w:hAnsi="Times New Roman"/>
          <w:spacing w:val="-5"/>
          <w:sz w:val="24"/>
          <w:szCs w:val="24"/>
          <w:lang w:eastAsia="en-US"/>
        </w:rPr>
        <w:t xml:space="preserve">international </w:t>
      </w:r>
      <w:proofErr w:type="gramStart"/>
      <w:r w:rsidRPr="003615B4">
        <w:rPr>
          <w:rFonts w:ascii="Times New Roman" w:eastAsia="Trebuchet MS" w:hAnsi="Times New Roman"/>
          <w:spacing w:val="-5"/>
          <w:sz w:val="24"/>
          <w:szCs w:val="24"/>
          <w:lang w:eastAsia="en-US"/>
        </w:rPr>
        <w:t>developments;</w:t>
      </w:r>
      <w:proofErr w:type="gramEnd"/>
    </w:p>
    <w:p w14:paraId="0F6F10DC" w14:textId="77777777" w:rsidR="0056465A" w:rsidRDefault="0056465A" w:rsidP="0056465A">
      <w:pPr>
        <w:numPr>
          <w:ilvl w:val="0"/>
          <w:numId w:val="24"/>
        </w:numPr>
        <w:spacing w:before="120" w:after="60"/>
        <w:ind w:left="567" w:hanging="567"/>
        <w:jc w:val="both"/>
        <w:rPr>
          <w:rFonts w:ascii="Times New Roman" w:eastAsia="Trebuchet MS" w:hAnsi="Times New Roman"/>
          <w:spacing w:val="-5"/>
          <w:sz w:val="24"/>
          <w:szCs w:val="24"/>
          <w:lang w:eastAsia="en-US"/>
        </w:rPr>
      </w:pPr>
      <w:r w:rsidRPr="001B1EE6">
        <w:rPr>
          <w:rFonts w:ascii="Times New Roman" w:eastAsia="Trebuchet MS" w:hAnsi="Times New Roman"/>
          <w:spacing w:val="-5"/>
          <w:sz w:val="24"/>
          <w:szCs w:val="24"/>
          <w:lang w:eastAsia="en-US"/>
        </w:rPr>
        <w:t>changes in financial market conditions or changes in risk management practices, in response to identified weaknesses in the prudential framework; and</w:t>
      </w:r>
    </w:p>
    <w:p w14:paraId="32E68630" w14:textId="77777777" w:rsidR="0056465A" w:rsidRPr="001B1EE6" w:rsidRDefault="0056465A" w:rsidP="0056465A">
      <w:pPr>
        <w:numPr>
          <w:ilvl w:val="0"/>
          <w:numId w:val="24"/>
        </w:numPr>
        <w:spacing w:before="120" w:after="240"/>
        <w:ind w:left="567" w:hanging="567"/>
        <w:jc w:val="both"/>
        <w:rPr>
          <w:rFonts w:ascii="Times New Roman" w:eastAsia="Trebuchet MS" w:hAnsi="Times New Roman"/>
          <w:spacing w:val="-5"/>
          <w:sz w:val="24"/>
          <w:szCs w:val="24"/>
          <w:lang w:eastAsia="en-US"/>
        </w:rPr>
      </w:pPr>
      <w:r w:rsidRPr="001B1EE6">
        <w:rPr>
          <w:rFonts w:ascii="Times New Roman" w:eastAsia="Trebuchet MS" w:hAnsi="Times New Roman"/>
          <w:spacing w:val="-5"/>
          <w:sz w:val="24"/>
          <w:szCs w:val="24"/>
          <w:lang w:eastAsia="en-US"/>
        </w:rPr>
        <w:t>to reduce potential negative impacts of emerging industry issues.</w:t>
      </w:r>
    </w:p>
    <w:p w14:paraId="5E675B10" w14:textId="5230CD4C" w:rsidR="00A467A8" w:rsidRDefault="0056465A" w:rsidP="00B152AD">
      <w:pPr>
        <w:spacing w:after="240"/>
        <w:jc w:val="both"/>
        <w:rPr>
          <w:rFonts w:ascii="Times New Roman" w:eastAsiaTheme="minorEastAsia" w:hAnsi="Times New Roman"/>
          <w:sz w:val="24"/>
          <w:szCs w:val="24"/>
        </w:rPr>
      </w:pPr>
      <w:r w:rsidRPr="003615B4">
        <w:rPr>
          <w:rFonts w:ascii="Times New Roman" w:hAnsi="Times New Roman"/>
          <w:sz w:val="24"/>
          <w:szCs w:val="24"/>
        </w:rPr>
        <w:t>APRA’s prudential framework for ADIs is based on the framework agreed by the Basel Committee on Banking Supervision (</w:t>
      </w:r>
      <w:r w:rsidR="00F0360D">
        <w:rPr>
          <w:rFonts w:ascii="Times New Roman" w:hAnsi="Times New Roman"/>
          <w:sz w:val="24"/>
          <w:szCs w:val="24"/>
        </w:rPr>
        <w:t>BCBS</w:t>
      </w:r>
      <w:r w:rsidRPr="003615B4">
        <w:rPr>
          <w:rFonts w:ascii="Times New Roman" w:hAnsi="Times New Roman"/>
          <w:sz w:val="24"/>
          <w:szCs w:val="24"/>
        </w:rPr>
        <w:t>).</w:t>
      </w:r>
      <w:r>
        <w:rPr>
          <w:rStyle w:val="FootnoteReference"/>
          <w:rFonts w:ascii="Times New Roman" w:hAnsi="Times New Roman"/>
          <w:sz w:val="24"/>
          <w:szCs w:val="24"/>
        </w:rPr>
        <w:footnoteReference w:id="2"/>
      </w:r>
      <w:r w:rsidR="007E2FB9" w:rsidRPr="007E2FB9">
        <w:rPr>
          <w:rFonts w:ascii="Times New Roman" w:eastAsiaTheme="minorEastAsia" w:hAnsi="Times New Roman"/>
          <w:sz w:val="24"/>
          <w:szCs w:val="24"/>
          <w:lang w:eastAsia="en-US"/>
        </w:rPr>
        <w:t xml:space="preserve"> </w:t>
      </w:r>
      <w:r w:rsidR="007E2FB9" w:rsidRPr="00726D6F">
        <w:rPr>
          <w:rFonts w:ascii="Times New Roman" w:eastAsiaTheme="minorEastAsia" w:hAnsi="Times New Roman"/>
          <w:sz w:val="24"/>
          <w:szCs w:val="24"/>
          <w:lang w:eastAsia="en-US"/>
        </w:rPr>
        <w:t xml:space="preserve">APS </w:t>
      </w:r>
      <w:r w:rsidR="00B152AD">
        <w:rPr>
          <w:rFonts w:ascii="Times New Roman" w:eastAsiaTheme="minorEastAsia" w:hAnsi="Times New Roman"/>
          <w:sz w:val="24"/>
          <w:szCs w:val="24"/>
          <w:lang w:eastAsia="en-US"/>
        </w:rPr>
        <w:t xml:space="preserve">330 </w:t>
      </w:r>
      <w:r w:rsidR="007E2FB9" w:rsidRPr="00726D6F">
        <w:rPr>
          <w:rFonts w:ascii="Times New Roman" w:eastAsiaTheme="minorEastAsia" w:hAnsi="Times New Roman"/>
          <w:sz w:val="24"/>
          <w:szCs w:val="24"/>
          <w:lang w:eastAsia="en-US"/>
        </w:rPr>
        <w:t xml:space="preserve">follows closely the principles underpinning the BCBS’s </w:t>
      </w:r>
      <w:r w:rsidR="00B152AD">
        <w:rPr>
          <w:rFonts w:ascii="Times New Roman" w:eastAsiaTheme="minorEastAsia" w:hAnsi="Times New Roman"/>
          <w:sz w:val="24"/>
          <w:szCs w:val="24"/>
          <w:lang w:eastAsia="en-US"/>
        </w:rPr>
        <w:t xml:space="preserve">disclosure requirements, known as Pillar 3, </w:t>
      </w:r>
      <w:r w:rsidR="007E2FB9" w:rsidRPr="00726D6F">
        <w:rPr>
          <w:rFonts w:ascii="Times New Roman" w:eastAsiaTheme="minorEastAsia" w:hAnsi="Times New Roman"/>
          <w:sz w:val="24"/>
          <w:szCs w:val="24"/>
          <w:lang w:eastAsia="en-US"/>
        </w:rPr>
        <w:t>with appropriate Australian adjustments</w:t>
      </w:r>
      <w:r w:rsidR="007E2FB9">
        <w:rPr>
          <w:rFonts w:ascii="Times New Roman" w:eastAsiaTheme="minorEastAsia" w:hAnsi="Times New Roman"/>
          <w:sz w:val="24"/>
          <w:szCs w:val="24"/>
          <w:lang w:eastAsia="en-US"/>
        </w:rPr>
        <w:t>.</w:t>
      </w:r>
      <w:r w:rsidR="00B152AD">
        <w:rPr>
          <w:rFonts w:ascii="Times New Roman" w:eastAsiaTheme="minorEastAsia" w:hAnsi="Times New Roman"/>
          <w:sz w:val="24"/>
          <w:szCs w:val="24"/>
          <w:lang w:eastAsia="en-US"/>
        </w:rPr>
        <w:t xml:space="preserve"> </w:t>
      </w:r>
      <w:r w:rsidR="00A467A8" w:rsidRPr="003615B4">
        <w:rPr>
          <w:rFonts w:ascii="Times New Roman" w:eastAsiaTheme="minorEastAsia" w:hAnsi="Times New Roman"/>
          <w:sz w:val="24"/>
          <w:szCs w:val="24"/>
        </w:rPr>
        <w:t xml:space="preserve">The Pillar 3 framework facilitates market discipline by </w:t>
      </w:r>
      <w:r w:rsidR="00A467A8" w:rsidRPr="003615B4">
        <w:rPr>
          <w:rFonts w:ascii="Times New Roman" w:eastAsiaTheme="minorEastAsia" w:hAnsi="Times New Roman"/>
          <w:sz w:val="24"/>
          <w:szCs w:val="24"/>
        </w:rPr>
        <w:lastRenderedPageBreak/>
        <w:t xml:space="preserve">providing a set of common disclosure requirements to allow market participants to assess banks’ capital adequacy, and other indicators of financial health. </w:t>
      </w:r>
    </w:p>
    <w:p w14:paraId="3DA5572D" w14:textId="77777777" w:rsidR="00043DA2" w:rsidRPr="00590C51" w:rsidRDefault="00043DA2" w:rsidP="00043DA2">
      <w:pPr>
        <w:pStyle w:val="Heading"/>
        <w:keepNext/>
        <w:numPr>
          <w:ilvl w:val="0"/>
          <w:numId w:val="12"/>
        </w:numPr>
        <w:spacing w:after="240"/>
        <w:ind w:left="0" w:firstLine="0"/>
        <w:outlineLvl w:val="0"/>
        <w:rPr>
          <w:rFonts w:ascii="Times New Roman" w:hAnsi="Times New Roman"/>
          <w:sz w:val="24"/>
          <w:szCs w:val="24"/>
        </w:rPr>
      </w:pPr>
      <w:r w:rsidRPr="00590C51">
        <w:rPr>
          <w:rFonts w:ascii="Times New Roman" w:hAnsi="Times New Roman"/>
          <w:sz w:val="24"/>
          <w:szCs w:val="24"/>
        </w:rPr>
        <w:t>Purpose and operation of the instrument</w:t>
      </w:r>
    </w:p>
    <w:p w14:paraId="6A4789AB" w14:textId="105F0307" w:rsidR="002D08B8" w:rsidRDefault="00585D8F" w:rsidP="008E7679">
      <w:pPr>
        <w:spacing w:after="240"/>
        <w:jc w:val="both"/>
        <w:rPr>
          <w:rFonts w:ascii="Times New Roman" w:hAnsi="Times New Roman"/>
          <w:sz w:val="24"/>
          <w:szCs w:val="24"/>
        </w:rPr>
      </w:pPr>
      <w:bookmarkStart w:id="3" w:name="bkPurpose"/>
      <w:bookmarkEnd w:id="3"/>
      <w:r>
        <w:rPr>
          <w:rFonts w:ascii="Times New Roman" w:hAnsi="Times New Roman"/>
          <w:sz w:val="24"/>
          <w:szCs w:val="24"/>
        </w:rPr>
        <w:t>The purpose of the instrument is to revoke</w:t>
      </w:r>
      <w:r w:rsidR="00AD0719">
        <w:rPr>
          <w:rFonts w:ascii="Times New Roman" w:hAnsi="Times New Roman"/>
          <w:sz w:val="24"/>
          <w:szCs w:val="24"/>
        </w:rPr>
        <w:t xml:space="preserve"> the existing APS 330</w:t>
      </w:r>
      <w:r>
        <w:rPr>
          <w:rFonts w:ascii="Times New Roman" w:hAnsi="Times New Roman"/>
          <w:sz w:val="24"/>
          <w:szCs w:val="24"/>
        </w:rPr>
        <w:t xml:space="preserve"> </w:t>
      </w:r>
      <w:r w:rsidRPr="00590C51">
        <w:rPr>
          <w:rFonts w:ascii="Times New Roman" w:hAnsi="Times New Roman"/>
          <w:sz w:val="24"/>
          <w:szCs w:val="24"/>
        </w:rPr>
        <w:t xml:space="preserve">and replace it with a new version of </w:t>
      </w:r>
      <w:r w:rsidR="007F60C1">
        <w:rPr>
          <w:rFonts w:ascii="Times New Roman" w:hAnsi="Times New Roman"/>
          <w:sz w:val="24"/>
          <w:szCs w:val="24"/>
        </w:rPr>
        <w:t>APS 330</w:t>
      </w:r>
      <w:r w:rsidRPr="00590C51">
        <w:rPr>
          <w:rFonts w:ascii="Times New Roman" w:hAnsi="Times New Roman"/>
          <w:sz w:val="24"/>
          <w:szCs w:val="24"/>
        </w:rPr>
        <w:t>.</w:t>
      </w:r>
    </w:p>
    <w:p w14:paraId="280337E9" w14:textId="2CB130DA" w:rsidR="00F541D0" w:rsidRPr="002A7FDF" w:rsidRDefault="00F541D0" w:rsidP="002A7FDF">
      <w:pPr>
        <w:spacing w:before="240" w:after="240"/>
        <w:jc w:val="both"/>
        <w:rPr>
          <w:rFonts w:ascii="Times New Roman" w:eastAsiaTheme="minorEastAsia" w:hAnsi="Times New Roman"/>
          <w:sz w:val="24"/>
          <w:szCs w:val="24"/>
        </w:rPr>
      </w:pPr>
      <w:r>
        <w:rPr>
          <w:rFonts w:ascii="Times New Roman" w:hAnsi="Times New Roman"/>
          <w:sz w:val="24"/>
          <w:szCs w:val="24"/>
        </w:rPr>
        <w:t xml:space="preserve">APS 330 requires </w:t>
      </w:r>
      <w:r w:rsidR="0036718E">
        <w:rPr>
          <w:rFonts w:ascii="Times New Roman" w:hAnsi="Times New Roman"/>
          <w:sz w:val="24"/>
          <w:szCs w:val="24"/>
        </w:rPr>
        <w:t>ADI</w:t>
      </w:r>
      <w:r w:rsidR="00E83899">
        <w:rPr>
          <w:rFonts w:ascii="Times New Roman" w:hAnsi="Times New Roman"/>
          <w:sz w:val="24"/>
          <w:szCs w:val="24"/>
        </w:rPr>
        <w:t>s</w:t>
      </w:r>
      <w:r w:rsidR="0036718E">
        <w:rPr>
          <w:rFonts w:ascii="Times New Roman" w:hAnsi="Times New Roman"/>
          <w:sz w:val="24"/>
          <w:szCs w:val="24"/>
        </w:rPr>
        <w:t xml:space="preserve"> to publicly disclose key prudential information</w:t>
      </w:r>
      <w:r w:rsidR="00555197">
        <w:rPr>
          <w:rFonts w:ascii="Times New Roman" w:hAnsi="Times New Roman"/>
          <w:sz w:val="24"/>
          <w:szCs w:val="24"/>
        </w:rPr>
        <w:t>.</w:t>
      </w:r>
      <w:r w:rsidR="00E83899">
        <w:rPr>
          <w:rFonts w:ascii="Times New Roman" w:hAnsi="Times New Roman"/>
          <w:sz w:val="24"/>
          <w:szCs w:val="24"/>
        </w:rPr>
        <w:t xml:space="preserve"> </w:t>
      </w:r>
      <w:r w:rsidR="00E83899">
        <w:rPr>
          <w:rFonts w:ascii="Times New Roman" w:eastAsiaTheme="minorEastAsia" w:hAnsi="Times New Roman"/>
          <w:sz w:val="24"/>
          <w:szCs w:val="24"/>
        </w:rPr>
        <w:t xml:space="preserve">The new </w:t>
      </w:r>
      <w:r w:rsidR="00E83899" w:rsidRPr="00684F90">
        <w:rPr>
          <w:rFonts w:ascii="Times New Roman" w:eastAsiaTheme="minorEastAsia" w:hAnsi="Times New Roman"/>
          <w:sz w:val="24"/>
          <w:szCs w:val="24"/>
        </w:rPr>
        <w:t>APS</w:t>
      </w:r>
      <w:r w:rsidR="0025150D">
        <w:rPr>
          <w:rFonts w:ascii="Times New Roman" w:eastAsiaTheme="minorEastAsia" w:hAnsi="Times New Roman"/>
          <w:sz w:val="24"/>
          <w:szCs w:val="24"/>
        </w:rPr>
        <w:t> </w:t>
      </w:r>
      <w:r w:rsidR="00E83899" w:rsidRPr="00684F90">
        <w:rPr>
          <w:rFonts w:ascii="Times New Roman" w:eastAsiaTheme="minorEastAsia" w:hAnsi="Times New Roman"/>
          <w:sz w:val="24"/>
          <w:szCs w:val="24"/>
        </w:rPr>
        <w:t xml:space="preserve">330 reflects APRA’s incorporation of greater proportionality within its prudential framework by reducing regulatory requirements for smaller and less complex entities. </w:t>
      </w:r>
      <w:r w:rsidR="00E83899">
        <w:rPr>
          <w:rFonts w:ascii="Times New Roman" w:eastAsiaTheme="minorEastAsia" w:hAnsi="Times New Roman"/>
          <w:sz w:val="24"/>
          <w:szCs w:val="24"/>
        </w:rPr>
        <w:t xml:space="preserve">The new </w:t>
      </w:r>
      <w:r w:rsidR="00E83899" w:rsidRPr="00684F90">
        <w:rPr>
          <w:rFonts w:ascii="Times New Roman" w:eastAsiaTheme="minorEastAsia" w:hAnsi="Times New Roman"/>
          <w:sz w:val="24"/>
          <w:szCs w:val="24"/>
        </w:rPr>
        <w:t xml:space="preserve">APS 330 applies to </w:t>
      </w:r>
      <w:proofErr w:type="gramStart"/>
      <w:r w:rsidR="00E83899">
        <w:rPr>
          <w:rFonts w:ascii="Times New Roman" w:eastAsiaTheme="minorEastAsia" w:hAnsi="Times New Roman"/>
          <w:sz w:val="24"/>
          <w:szCs w:val="24"/>
        </w:rPr>
        <w:t>locally-incorporated</w:t>
      </w:r>
      <w:proofErr w:type="gramEnd"/>
      <w:r w:rsidR="00E83899">
        <w:rPr>
          <w:rFonts w:ascii="Times New Roman" w:eastAsiaTheme="minorEastAsia" w:hAnsi="Times New Roman"/>
          <w:sz w:val="24"/>
          <w:szCs w:val="24"/>
        </w:rPr>
        <w:t xml:space="preserve"> </w:t>
      </w:r>
      <w:r w:rsidR="00E83899" w:rsidRPr="00684F90">
        <w:rPr>
          <w:rFonts w:ascii="Times New Roman" w:eastAsiaTheme="minorEastAsia" w:hAnsi="Times New Roman"/>
          <w:sz w:val="24"/>
          <w:szCs w:val="24"/>
        </w:rPr>
        <w:t xml:space="preserve">ADIs determined to be significant financial institutions (SFIs). ADI SFIs are entities with assets above a certain size or entities determined as such by APRA, </w:t>
      </w:r>
      <w:proofErr w:type="gramStart"/>
      <w:r w:rsidR="00E83899" w:rsidRPr="00684F90">
        <w:rPr>
          <w:rFonts w:ascii="Times New Roman" w:eastAsiaTheme="minorEastAsia" w:hAnsi="Times New Roman"/>
          <w:sz w:val="24"/>
          <w:szCs w:val="24"/>
        </w:rPr>
        <w:t>taking into account</w:t>
      </w:r>
      <w:proofErr w:type="gramEnd"/>
      <w:r w:rsidR="00E83899" w:rsidRPr="00684F90">
        <w:rPr>
          <w:rFonts w:ascii="Times New Roman" w:eastAsiaTheme="minorEastAsia" w:hAnsi="Times New Roman"/>
          <w:sz w:val="24"/>
          <w:szCs w:val="24"/>
        </w:rPr>
        <w:t xml:space="preserve"> matters such as complexity and group membership.</w:t>
      </w:r>
      <w:r w:rsidR="000D64FC">
        <w:rPr>
          <w:rStyle w:val="FootnoteReference"/>
          <w:rFonts w:ascii="Times New Roman" w:eastAsiaTheme="minorEastAsia" w:hAnsi="Times New Roman"/>
          <w:szCs w:val="24"/>
        </w:rPr>
        <w:footnoteReference w:id="3"/>
      </w:r>
    </w:p>
    <w:p w14:paraId="5642DECF" w14:textId="77777777" w:rsidR="006F6D2F" w:rsidRPr="00EC3425" w:rsidRDefault="006F6D2F" w:rsidP="006F6D2F">
      <w:pPr>
        <w:spacing w:after="240"/>
        <w:jc w:val="both"/>
        <w:rPr>
          <w:rFonts w:ascii="Times New Roman" w:hAnsi="Times New Roman"/>
          <w:b/>
          <w:i/>
          <w:sz w:val="24"/>
          <w:szCs w:val="24"/>
        </w:rPr>
      </w:pPr>
      <w:r>
        <w:rPr>
          <w:rFonts w:ascii="Times New Roman" w:hAnsi="Times New Roman"/>
          <w:b/>
          <w:i/>
          <w:sz w:val="24"/>
          <w:szCs w:val="24"/>
        </w:rPr>
        <w:t>Details of the new prudential standard</w:t>
      </w:r>
    </w:p>
    <w:p w14:paraId="5E6A9346" w14:textId="77777777" w:rsidR="006F6D2F" w:rsidRPr="00585D8F" w:rsidRDefault="006F6D2F" w:rsidP="006F6D2F">
      <w:pPr>
        <w:spacing w:after="240"/>
        <w:jc w:val="both"/>
        <w:rPr>
          <w:rFonts w:ascii="Times New Roman" w:hAnsi="Times New Roman"/>
          <w:sz w:val="24"/>
          <w:szCs w:val="24"/>
        </w:rPr>
      </w:pPr>
      <w:r>
        <w:rPr>
          <w:rFonts w:ascii="Times New Roman" w:hAnsi="Times New Roman"/>
          <w:sz w:val="24"/>
          <w:szCs w:val="24"/>
        </w:rPr>
        <w:t>See Attachment A.</w:t>
      </w:r>
    </w:p>
    <w:p w14:paraId="2341EF38" w14:textId="77777777" w:rsidR="00FD51F0" w:rsidRPr="00C873A0" w:rsidRDefault="00FD51F0" w:rsidP="00FD51F0">
      <w:pPr>
        <w:pStyle w:val="Heading"/>
        <w:spacing w:after="240"/>
        <w:rPr>
          <w:rFonts w:ascii="Times New Roman" w:hAnsi="Times New Roman"/>
          <w:i/>
          <w:sz w:val="24"/>
          <w:szCs w:val="24"/>
        </w:rPr>
      </w:pPr>
      <w:r w:rsidRPr="00C873A0">
        <w:rPr>
          <w:rFonts w:ascii="Times New Roman" w:hAnsi="Times New Roman"/>
          <w:i/>
          <w:sz w:val="24"/>
          <w:szCs w:val="24"/>
        </w:rPr>
        <w:t>Documents incorporated by reference</w:t>
      </w:r>
    </w:p>
    <w:p w14:paraId="646FA911" w14:textId="77777777" w:rsidR="00F02A79" w:rsidRDefault="00F02A79" w:rsidP="00F02A79">
      <w:pPr>
        <w:jc w:val="both"/>
        <w:rPr>
          <w:rFonts w:ascii="Times New Roman" w:hAnsi="Times New Roman"/>
          <w:sz w:val="24"/>
          <w:szCs w:val="24"/>
        </w:rPr>
      </w:pPr>
      <w:r w:rsidRPr="00867A66">
        <w:rPr>
          <w:rFonts w:ascii="Times New Roman" w:hAnsi="Times New Roman"/>
          <w:sz w:val="24"/>
          <w:szCs w:val="24"/>
        </w:rPr>
        <w:t xml:space="preserve">Under paragraph 14(1)(a) of the </w:t>
      </w:r>
      <w:r w:rsidRPr="00867A66">
        <w:rPr>
          <w:rFonts w:ascii="Times New Roman" w:hAnsi="Times New Roman"/>
          <w:i/>
          <w:sz w:val="24"/>
          <w:szCs w:val="24"/>
        </w:rPr>
        <w:t>Legislation Act 2003</w:t>
      </w:r>
      <w:r w:rsidRPr="00867A66">
        <w:rPr>
          <w:rFonts w:ascii="Times New Roman" w:hAnsi="Times New Roman"/>
          <w:sz w:val="24"/>
          <w:szCs w:val="24"/>
        </w:rPr>
        <w:t>, the standard incorporates by reference as in force from time to time:</w:t>
      </w:r>
    </w:p>
    <w:p w14:paraId="2AB5DA74" w14:textId="77777777" w:rsidR="00F02A79" w:rsidRPr="00867A66" w:rsidRDefault="00F02A79" w:rsidP="00F02A79">
      <w:pPr>
        <w:jc w:val="both"/>
        <w:rPr>
          <w:rFonts w:ascii="Times New Roman" w:hAnsi="Times New Roman"/>
          <w:sz w:val="24"/>
          <w:szCs w:val="24"/>
        </w:rPr>
      </w:pPr>
    </w:p>
    <w:p w14:paraId="1D8A4F7C" w14:textId="2D8DC8BB" w:rsidR="00F02A79" w:rsidRPr="00867A66" w:rsidRDefault="00F02A79" w:rsidP="00F02A79">
      <w:pPr>
        <w:pStyle w:val="ListBullet"/>
        <w:spacing w:after="240"/>
        <w:jc w:val="both"/>
        <w:rPr>
          <w:rFonts w:ascii="Times New Roman" w:hAnsi="Times New Roman"/>
          <w:sz w:val="24"/>
          <w:szCs w:val="24"/>
        </w:rPr>
      </w:pPr>
      <w:r w:rsidRPr="00867A66">
        <w:rPr>
          <w:rFonts w:ascii="Times New Roman" w:hAnsi="Times New Roman"/>
          <w:sz w:val="24"/>
          <w:szCs w:val="24"/>
        </w:rPr>
        <w:t xml:space="preserve">Acts of Parliament and associated delegated </w:t>
      </w:r>
      <w:proofErr w:type="gramStart"/>
      <w:r w:rsidRPr="00867A66">
        <w:rPr>
          <w:rFonts w:ascii="Times New Roman" w:hAnsi="Times New Roman"/>
          <w:sz w:val="24"/>
          <w:szCs w:val="24"/>
        </w:rPr>
        <w:t>laws;</w:t>
      </w:r>
      <w:proofErr w:type="gramEnd"/>
      <w:r w:rsidRPr="00867A66">
        <w:rPr>
          <w:rFonts w:ascii="Times New Roman" w:hAnsi="Times New Roman"/>
          <w:sz w:val="24"/>
          <w:szCs w:val="24"/>
        </w:rPr>
        <w:t xml:space="preserve"> </w:t>
      </w:r>
    </w:p>
    <w:p w14:paraId="4BB3AF8B" w14:textId="77777777" w:rsidR="00283E24" w:rsidRDefault="00F02A79" w:rsidP="00F02A79">
      <w:pPr>
        <w:pStyle w:val="ListBullet"/>
        <w:spacing w:after="240"/>
        <w:jc w:val="both"/>
        <w:rPr>
          <w:rFonts w:ascii="Times New Roman" w:hAnsi="Times New Roman"/>
          <w:sz w:val="24"/>
          <w:szCs w:val="24"/>
        </w:rPr>
      </w:pPr>
      <w:r w:rsidRPr="00867A66">
        <w:rPr>
          <w:rFonts w:ascii="Times New Roman" w:hAnsi="Times New Roman"/>
          <w:sz w:val="24"/>
          <w:szCs w:val="24"/>
        </w:rPr>
        <w:t>Prudential Standards determined by APRA under subsection 11</w:t>
      </w:r>
      <w:proofErr w:type="gramStart"/>
      <w:r w:rsidRPr="00867A66">
        <w:rPr>
          <w:rFonts w:ascii="Times New Roman" w:hAnsi="Times New Roman"/>
          <w:sz w:val="24"/>
          <w:szCs w:val="24"/>
        </w:rPr>
        <w:t>AF(</w:t>
      </w:r>
      <w:proofErr w:type="gramEnd"/>
      <w:r w:rsidRPr="00867A66">
        <w:rPr>
          <w:rFonts w:ascii="Times New Roman" w:hAnsi="Times New Roman"/>
          <w:sz w:val="24"/>
          <w:szCs w:val="24"/>
        </w:rPr>
        <w:t>1) of the Act</w:t>
      </w:r>
      <w:r w:rsidR="00283E24">
        <w:rPr>
          <w:rFonts w:ascii="Times New Roman" w:hAnsi="Times New Roman"/>
          <w:sz w:val="24"/>
          <w:szCs w:val="24"/>
        </w:rPr>
        <w:t>; and</w:t>
      </w:r>
    </w:p>
    <w:p w14:paraId="5E181C7D" w14:textId="765AC1FF" w:rsidR="00F02A79" w:rsidRPr="00867A66" w:rsidRDefault="00283E24" w:rsidP="00F02A79">
      <w:pPr>
        <w:pStyle w:val="ListBullet"/>
        <w:spacing w:after="240"/>
        <w:jc w:val="both"/>
        <w:rPr>
          <w:rFonts w:ascii="Times New Roman" w:hAnsi="Times New Roman"/>
          <w:sz w:val="24"/>
          <w:szCs w:val="24"/>
        </w:rPr>
      </w:pPr>
      <w:r>
        <w:rPr>
          <w:rFonts w:ascii="Times New Roman" w:hAnsi="Times New Roman"/>
          <w:sz w:val="24"/>
          <w:szCs w:val="24"/>
        </w:rPr>
        <w:t>Reporting Standards</w:t>
      </w:r>
      <w:r w:rsidR="00B45E46">
        <w:rPr>
          <w:rFonts w:ascii="Times New Roman" w:hAnsi="Times New Roman"/>
          <w:sz w:val="24"/>
          <w:szCs w:val="24"/>
        </w:rPr>
        <w:t xml:space="preserve"> determined by APRA under subsection 13(1) of the </w:t>
      </w:r>
      <w:r w:rsidR="00B45E46" w:rsidRPr="002A7FDF">
        <w:rPr>
          <w:rFonts w:ascii="Times New Roman" w:hAnsi="Times New Roman"/>
          <w:i/>
          <w:sz w:val="24"/>
          <w:szCs w:val="24"/>
        </w:rPr>
        <w:t>Financial Sector (Collection of Data) Act 2001</w:t>
      </w:r>
      <w:r w:rsidR="00F02A79">
        <w:rPr>
          <w:rFonts w:ascii="Times New Roman" w:hAnsi="Times New Roman"/>
          <w:sz w:val="24"/>
          <w:szCs w:val="24"/>
        </w:rPr>
        <w:t>.</w:t>
      </w:r>
    </w:p>
    <w:p w14:paraId="5E09DC72" w14:textId="77777777" w:rsidR="00F02A79" w:rsidRDefault="00F02A79" w:rsidP="00F02A79">
      <w:pPr>
        <w:jc w:val="both"/>
        <w:rPr>
          <w:rFonts w:ascii="Times New Roman" w:hAnsi="Times New Roman"/>
          <w:sz w:val="24"/>
          <w:szCs w:val="24"/>
        </w:rPr>
      </w:pPr>
      <w:r w:rsidRPr="00867A66">
        <w:rPr>
          <w:rFonts w:ascii="Times New Roman" w:hAnsi="Times New Roman"/>
          <w:sz w:val="24"/>
          <w:szCs w:val="24"/>
        </w:rPr>
        <w:t>These documents may be freely obtained on the Federal Register of Legislation at www.legislation.gov.au.</w:t>
      </w:r>
    </w:p>
    <w:p w14:paraId="4237B7C9" w14:textId="77777777" w:rsidR="00FD51F0" w:rsidRPr="00C873A0" w:rsidRDefault="00FD51F0" w:rsidP="00FD51F0">
      <w:pPr>
        <w:rPr>
          <w:rFonts w:ascii="Times New Roman" w:hAnsi="Times New Roman"/>
          <w:sz w:val="24"/>
          <w:szCs w:val="24"/>
        </w:rPr>
      </w:pPr>
    </w:p>
    <w:p w14:paraId="6E927CB3" w14:textId="63E98DD7" w:rsidR="00FD51F0" w:rsidRPr="00C873A0" w:rsidRDefault="00F003CF" w:rsidP="002A7FDF">
      <w:pPr>
        <w:jc w:val="both"/>
        <w:rPr>
          <w:rFonts w:ascii="Times New Roman" w:hAnsi="Times New Roman"/>
          <w:sz w:val="24"/>
          <w:szCs w:val="24"/>
        </w:rPr>
      </w:pPr>
      <w:r>
        <w:rPr>
          <w:rFonts w:ascii="Times New Roman" w:hAnsi="Times New Roman"/>
          <w:sz w:val="24"/>
          <w:szCs w:val="24"/>
        </w:rPr>
        <w:t>S</w:t>
      </w:r>
      <w:r w:rsidR="00E54514">
        <w:rPr>
          <w:rFonts w:ascii="Times New Roman" w:hAnsi="Times New Roman"/>
          <w:sz w:val="24"/>
          <w:szCs w:val="24"/>
        </w:rPr>
        <w:t>ubsection 11AF(7BA) of the Act</w:t>
      </w:r>
      <w:r w:rsidR="00031622">
        <w:rPr>
          <w:rFonts w:ascii="Times New Roman" w:hAnsi="Times New Roman"/>
          <w:sz w:val="24"/>
          <w:szCs w:val="24"/>
        </w:rPr>
        <w:t xml:space="preserve"> provides that a prudential standard may provide for a matter by applying, adopting or incorporating any matter contained in an instrument or other writing as in force or existing from time to time</w:t>
      </w:r>
      <w:r w:rsidR="00E54514">
        <w:rPr>
          <w:rFonts w:ascii="Times New Roman" w:hAnsi="Times New Roman"/>
          <w:sz w:val="24"/>
          <w:szCs w:val="24"/>
        </w:rPr>
        <w:t xml:space="preserve">, </w:t>
      </w:r>
      <w:r w:rsidR="001E16B0">
        <w:rPr>
          <w:rFonts w:ascii="Times New Roman" w:hAnsi="Times New Roman"/>
          <w:sz w:val="24"/>
          <w:szCs w:val="24"/>
        </w:rPr>
        <w:t xml:space="preserve">despite section 46AA of the </w:t>
      </w:r>
      <w:r w:rsidR="001E16B0" w:rsidRPr="00C67CB7">
        <w:rPr>
          <w:rFonts w:ascii="Times New Roman" w:hAnsi="Times New Roman"/>
          <w:i/>
          <w:sz w:val="24"/>
          <w:szCs w:val="24"/>
        </w:rPr>
        <w:t>Acts Interpretation Act 1901</w:t>
      </w:r>
      <w:r w:rsidR="001E16B0">
        <w:rPr>
          <w:rFonts w:ascii="Times New Roman" w:hAnsi="Times New Roman"/>
          <w:sz w:val="24"/>
          <w:szCs w:val="24"/>
        </w:rPr>
        <w:t xml:space="preserve"> and section 14 of the </w:t>
      </w:r>
      <w:r w:rsidR="001E16B0" w:rsidRPr="00C67CB7">
        <w:rPr>
          <w:rFonts w:ascii="Times New Roman" w:hAnsi="Times New Roman"/>
          <w:i/>
          <w:sz w:val="24"/>
          <w:szCs w:val="24"/>
        </w:rPr>
        <w:t>Legislation Act 2003</w:t>
      </w:r>
      <w:r w:rsidR="001E16B0">
        <w:rPr>
          <w:rFonts w:ascii="Times New Roman" w:hAnsi="Times New Roman"/>
          <w:sz w:val="24"/>
          <w:szCs w:val="24"/>
        </w:rPr>
        <w:t xml:space="preserve">. </w:t>
      </w:r>
      <w:r w:rsidR="00FD51F0" w:rsidRPr="00C873A0">
        <w:rPr>
          <w:rFonts w:ascii="Times New Roman" w:hAnsi="Times New Roman"/>
          <w:sz w:val="24"/>
          <w:szCs w:val="24"/>
        </w:rPr>
        <w:t xml:space="preserve">APS 330 </w:t>
      </w:r>
      <w:r w:rsidR="001F4594">
        <w:rPr>
          <w:rFonts w:ascii="Times New Roman" w:hAnsi="Times New Roman"/>
          <w:sz w:val="24"/>
          <w:szCs w:val="24"/>
        </w:rPr>
        <w:t>relies on subsection 11AF(</w:t>
      </w:r>
      <w:r w:rsidR="008E69F8">
        <w:rPr>
          <w:rFonts w:ascii="Times New Roman" w:hAnsi="Times New Roman"/>
          <w:sz w:val="24"/>
          <w:szCs w:val="24"/>
        </w:rPr>
        <w:t xml:space="preserve">7BA) and </w:t>
      </w:r>
      <w:r w:rsidR="00FD51F0" w:rsidRPr="00C873A0">
        <w:rPr>
          <w:rFonts w:ascii="Times New Roman" w:hAnsi="Times New Roman"/>
          <w:sz w:val="24"/>
          <w:szCs w:val="24"/>
        </w:rPr>
        <w:t>incorporates by reference the following document</w:t>
      </w:r>
      <w:r w:rsidR="008E69F8">
        <w:rPr>
          <w:rFonts w:ascii="Times New Roman" w:hAnsi="Times New Roman"/>
          <w:sz w:val="24"/>
          <w:szCs w:val="24"/>
        </w:rPr>
        <w:t xml:space="preserve"> as existing from time to time</w:t>
      </w:r>
      <w:r w:rsidR="00FD51F0" w:rsidRPr="00C873A0">
        <w:rPr>
          <w:rFonts w:ascii="Times New Roman" w:hAnsi="Times New Roman"/>
          <w:sz w:val="24"/>
          <w:szCs w:val="24"/>
        </w:rPr>
        <w:t>:</w:t>
      </w:r>
    </w:p>
    <w:p w14:paraId="04C6C156" w14:textId="77777777" w:rsidR="00FD51F0" w:rsidRPr="00C873A0" w:rsidRDefault="00FD51F0" w:rsidP="00FD51F0">
      <w:pPr>
        <w:rPr>
          <w:rFonts w:ascii="Times New Roman" w:hAnsi="Times New Roman"/>
          <w:sz w:val="24"/>
          <w:szCs w:val="24"/>
        </w:rPr>
      </w:pPr>
    </w:p>
    <w:p w14:paraId="7E0BBC40" w14:textId="11D24C46" w:rsidR="00FD51F0" w:rsidRPr="00C67CB7" w:rsidRDefault="00FD51F0" w:rsidP="00C67CB7">
      <w:pPr>
        <w:pStyle w:val="ListParagraph"/>
        <w:numPr>
          <w:ilvl w:val="0"/>
          <w:numId w:val="26"/>
        </w:numPr>
        <w:rPr>
          <w:rFonts w:ascii="Times New Roman" w:hAnsi="Times New Roman" w:cs="Times New Roman"/>
          <w:sz w:val="24"/>
          <w:szCs w:val="24"/>
        </w:rPr>
      </w:pPr>
      <w:r w:rsidRPr="00C67CB7">
        <w:rPr>
          <w:rFonts w:ascii="Times New Roman" w:hAnsi="Times New Roman" w:cs="Times New Roman"/>
          <w:i/>
          <w:iCs/>
          <w:sz w:val="24"/>
          <w:szCs w:val="24"/>
        </w:rPr>
        <w:t>DIS – Disclosure requirements</w:t>
      </w:r>
      <w:r w:rsidRPr="00C67CB7">
        <w:rPr>
          <w:rFonts w:ascii="Times New Roman" w:hAnsi="Times New Roman" w:cs="Times New Roman"/>
          <w:sz w:val="24"/>
          <w:szCs w:val="24"/>
        </w:rPr>
        <w:t xml:space="preserve">, published by the </w:t>
      </w:r>
      <w:r w:rsidR="008E69F8" w:rsidRPr="00C67CB7">
        <w:rPr>
          <w:rFonts w:ascii="Times New Roman" w:hAnsi="Times New Roman" w:cs="Times New Roman"/>
          <w:sz w:val="24"/>
          <w:szCs w:val="24"/>
        </w:rPr>
        <w:t xml:space="preserve">BCBS </w:t>
      </w:r>
      <w:r w:rsidRPr="00C67CB7">
        <w:rPr>
          <w:rFonts w:ascii="Times New Roman" w:hAnsi="Times New Roman" w:cs="Times New Roman"/>
          <w:sz w:val="24"/>
          <w:szCs w:val="24"/>
        </w:rPr>
        <w:t>and available at:</w:t>
      </w:r>
      <w:r w:rsidR="00F5763D" w:rsidRPr="00C67CB7">
        <w:rPr>
          <w:rFonts w:ascii="Times New Roman" w:hAnsi="Times New Roman" w:cs="Times New Roman"/>
          <w:sz w:val="24"/>
          <w:szCs w:val="24"/>
        </w:rPr>
        <w:t xml:space="preserve"> </w:t>
      </w:r>
      <w:r w:rsidR="002C7679" w:rsidRPr="00C67CB7">
        <w:rPr>
          <w:rFonts w:ascii="Times New Roman" w:hAnsi="Times New Roman" w:cs="Times New Roman"/>
          <w:sz w:val="24"/>
          <w:szCs w:val="24"/>
        </w:rPr>
        <w:t>https://www.bis.org/basel_framework/standard/DIS.htm</w:t>
      </w:r>
      <w:r w:rsidR="00F5763D" w:rsidRPr="00C67CB7">
        <w:rPr>
          <w:rFonts w:ascii="Times New Roman" w:hAnsi="Times New Roman" w:cs="Times New Roman"/>
          <w:sz w:val="24"/>
          <w:szCs w:val="24"/>
        </w:rPr>
        <w:t xml:space="preserve">. </w:t>
      </w:r>
    </w:p>
    <w:p w14:paraId="3315AE3A" w14:textId="77777777" w:rsidR="006C25D0" w:rsidRPr="00C873A0" w:rsidRDefault="006C25D0" w:rsidP="002A7FDF">
      <w:pPr>
        <w:pStyle w:val="Heading"/>
        <w:keepNext/>
        <w:spacing w:after="240"/>
        <w:rPr>
          <w:rFonts w:ascii="Times New Roman" w:hAnsi="Times New Roman"/>
          <w:i/>
          <w:sz w:val="24"/>
          <w:szCs w:val="24"/>
        </w:rPr>
      </w:pPr>
      <w:r w:rsidRPr="00C873A0">
        <w:rPr>
          <w:rFonts w:ascii="Times New Roman" w:hAnsi="Times New Roman"/>
          <w:i/>
          <w:sz w:val="24"/>
          <w:szCs w:val="24"/>
        </w:rPr>
        <w:lastRenderedPageBreak/>
        <w:t>Exercise of discretion by APRA</w:t>
      </w:r>
    </w:p>
    <w:p w14:paraId="61C9C6D1" w14:textId="09469FA9" w:rsidR="006C25D0" w:rsidRDefault="006C25D0" w:rsidP="006C25D0">
      <w:pPr>
        <w:spacing w:after="240"/>
        <w:jc w:val="both"/>
        <w:rPr>
          <w:rFonts w:ascii="Times New Roman" w:hAnsi="Times New Roman"/>
          <w:sz w:val="24"/>
          <w:szCs w:val="24"/>
        </w:rPr>
      </w:pPr>
      <w:r>
        <w:rPr>
          <w:rFonts w:ascii="Times New Roman" w:hAnsi="Times New Roman"/>
          <w:sz w:val="24"/>
          <w:szCs w:val="24"/>
        </w:rPr>
        <w:t>Under subsection 11</w:t>
      </w:r>
      <w:proofErr w:type="gramStart"/>
      <w:r>
        <w:rPr>
          <w:rFonts w:ascii="Times New Roman" w:hAnsi="Times New Roman"/>
          <w:sz w:val="24"/>
          <w:szCs w:val="24"/>
        </w:rPr>
        <w:t>AF(</w:t>
      </w:r>
      <w:proofErr w:type="gramEnd"/>
      <w:r>
        <w:rPr>
          <w:rFonts w:ascii="Times New Roman" w:hAnsi="Times New Roman"/>
          <w:sz w:val="24"/>
          <w:szCs w:val="24"/>
        </w:rPr>
        <w:t>2) of the Act, a prudential standard may provide for APRA to exercise powers and discretions under the standard, including (but not limited to) discretions to approve, impose, adjust or exclude specific prudential requirements in relation to on</w:t>
      </w:r>
      <w:r w:rsidR="007C22A0">
        <w:rPr>
          <w:rFonts w:ascii="Times New Roman" w:hAnsi="Times New Roman"/>
          <w:sz w:val="24"/>
          <w:szCs w:val="24"/>
        </w:rPr>
        <w:t>e</w:t>
      </w:r>
      <w:r>
        <w:rPr>
          <w:rFonts w:ascii="Times New Roman" w:hAnsi="Times New Roman"/>
          <w:sz w:val="24"/>
          <w:szCs w:val="24"/>
        </w:rPr>
        <w:t xml:space="preserve"> or more specified ADIs or authorised NOHCs. </w:t>
      </w:r>
    </w:p>
    <w:p w14:paraId="14DD3621" w14:textId="77777777" w:rsidR="006C25D0" w:rsidRDefault="006C25D0" w:rsidP="006C25D0">
      <w:pPr>
        <w:spacing w:after="240"/>
        <w:jc w:val="both"/>
        <w:rPr>
          <w:rFonts w:ascii="Times New Roman" w:hAnsi="Times New Roman"/>
          <w:sz w:val="24"/>
          <w:szCs w:val="24"/>
        </w:rPr>
      </w:pPr>
      <w:r>
        <w:rPr>
          <w:rFonts w:ascii="Times New Roman" w:hAnsi="Times New Roman"/>
          <w:sz w:val="24"/>
          <w:szCs w:val="24"/>
        </w:rPr>
        <w:t xml:space="preserve">APRA’s prudential standards include powers that may be exercised by APRA that involve an element of discretion and that may affect the interests of the entities to which the standards apply. These powers include a power to adjust or exclude a provision of the standard. </w:t>
      </w:r>
    </w:p>
    <w:p w14:paraId="057244E4" w14:textId="77777777" w:rsidR="006C25D0" w:rsidRDefault="006C25D0" w:rsidP="006C25D0">
      <w:pPr>
        <w:spacing w:after="240"/>
        <w:jc w:val="both"/>
        <w:rPr>
          <w:rFonts w:ascii="Times New Roman" w:hAnsi="Times New Roman"/>
          <w:sz w:val="24"/>
          <w:szCs w:val="24"/>
        </w:rPr>
      </w:pPr>
      <w:r>
        <w:rPr>
          <w:rFonts w:ascii="Times New Roman" w:hAnsi="Times New Roman"/>
          <w:sz w:val="24"/>
          <w:szCs w:val="24"/>
        </w:rPr>
        <w:t xml:space="preserve">The need to apply discretion is driven by entity-specific issues and circumstances that are not adequately addressed by the generally applicable provisions of the prudential standards. </w:t>
      </w:r>
      <w:r w:rsidRPr="00C873A0">
        <w:rPr>
          <w:rFonts w:ascii="Times New Roman" w:hAnsi="Times New Roman"/>
          <w:sz w:val="24"/>
          <w:szCs w:val="24"/>
        </w:rPr>
        <w:t xml:space="preserve">For example, adjustment or exclusion </w:t>
      </w:r>
      <w:r>
        <w:rPr>
          <w:rFonts w:ascii="Times New Roman" w:hAnsi="Times New Roman"/>
          <w:sz w:val="24"/>
          <w:szCs w:val="24"/>
        </w:rPr>
        <w:t xml:space="preserve">of a provision </w:t>
      </w:r>
      <w:r w:rsidRPr="00C873A0">
        <w:rPr>
          <w:rFonts w:ascii="Times New Roman" w:hAnsi="Times New Roman"/>
          <w:sz w:val="24"/>
          <w:szCs w:val="24"/>
        </w:rPr>
        <w:t xml:space="preserve">may be necessary to obtain a better prudential outcome than would be the case if the prudential requirement were applied unaltered to a particular regulated entity. </w:t>
      </w:r>
    </w:p>
    <w:p w14:paraId="0BC99B73" w14:textId="77777777" w:rsidR="006C25D0" w:rsidRPr="00C873A0" w:rsidRDefault="006C25D0" w:rsidP="006C25D0">
      <w:pPr>
        <w:spacing w:after="240"/>
        <w:jc w:val="both"/>
        <w:rPr>
          <w:rFonts w:ascii="Times New Roman" w:hAnsi="Times New Roman"/>
          <w:sz w:val="24"/>
          <w:szCs w:val="24"/>
        </w:rPr>
      </w:pPr>
      <w:r>
        <w:rPr>
          <w:rFonts w:ascii="Times New Roman" w:hAnsi="Times New Roman"/>
          <w:sz w:val="24"/>
          <w:szCs w:val="24"/>
        </w:rPr>
        <w:t xml:space="preserve">When exercising its discretion, APRA considers a wide range of factors, including the considerations set out in the Act and the </w:t>
      </w:r>
      <w:r w:rsidRPr="00F623DC">
        <w:rPr>
          <w:rFonts w:ascii="Times New Roman" w:hAnsi="Times New Roman"/>
          <w:i/>
          <w:sz w:val="24"/>
          <w:szCs w:val="24"/>
        </w:rPr>
        <w:t>Australian Prudential Regulation Authority Act 1998</w:t>
      </w:r>
      <w:r>
        <w:rPr>
          <w:rFonts w:ascii="Times New Roman" w:hAnsi="Times New Roman"/>
          <w:sz w:val="24"/>
          <w:szCs w:val="24"/>
        </w:rPr>
        <w:t xml:space="preserve">. </w:t>
      </w:r>
    </w:p>
    <w:p w14:paraId="505D3C3B" w14:textId="77777777" w:rsidR="006C25D0" w:rsidRDefault="006C25D0" w:rsidP="006C25D0">
      <w:pPr>
        <w:spacing w:after="240"/>
        <w:jc w:val="both"/>
        <w:rPr>
          <w:rFonts w:ascii="Times New Roman" w:hAnsi="Times New Roman"/>
          <w:sz w:val="24"/>
          <w:szCs w:val="24"/>
        </w:rPr>
      </w:pPr>
      <w:r w:rsidRPr="00C873A0">
        <w:rPr>
          <w:rFonts w:ascii="Times New Roman" w:hAnsi="Times New Roman"/>
          <w:sz w:val="24"/>
          <w:szCs w:val="24"/>
        </w:rPr>
        <w:t>The exercise of APRA's powers is governed by a robust decision-making framework which is documented in APRA's internal policies. This framework supports APRA in fulfilling its mandate by limiting decision making to those senior APRA officers with the appropriate experience and skill to exercise prudent judgement. The framework also requires decision makers to seek advice from internal technical experts.</w:t>
      </w:r>
    </w:p>
    <w:p w14:paraId="23DC78C7" w14:textId="77777777" w:rsidR="006C25D0" w:rsidRPr="00C873A0" w:rsidRDefault="006C25D0" w:rsidP="006C25D0">
      <w:pPr>
        <w:spacing w:after="240"/>
        <w:jc w:val="both"/>
        <w:rPr>
          <w:rFonts w:ascii="Times New Roman" w:hAnsi="Times New Roman"/>
          <w:sz w:val="24"/>
          <w:szCs w:val="24"/>
        </w:rPr>
      </w:pPr>
      <w:r>
        <w:rPr>
          <w:rFonts w:ascii="Times New Roman" w:hAnsi="Times New Roman"/>
          <w:sz w:val="24"/>
          <w:szCs w:val="24"/>
        </w:rPr>
        <w:t>The power is also exercised following discussion with the relevant entity about its appropriateness and the impact it may have on the entity.</w:t>
      </w:r>
    </w:p>
    <w:p w14:paraId="5C123FDC" w14:textId="77777777" w:rsidR="006C25D0" w:rsidRPr="00F623DC" w:rsidRDefault="006C25D0" w:rsidP="006C25D0">
      <w:pPr>
        <w:shd w:val="clear" w:color="auto" w:fill="FFFFFF"/>
        <w:spacing w:after="240"/>
        <w:jc w:val="both"/>
        <w:rPr>
          <w:rFonts w:ascii="Times New Roman" w:hAnsi="Times New Roman"/>
          <w:b/>
          <w:i/>
          <w:color w:val="000000"/>
          <w:sz w:val="24"/>
          <w:szCs w:val="24"/>
        </w:rPr>
      </w:pPr>
      <w:r>
        <w:rPr>
          <w:rFonts w:ascii="Times New Roman" w:hAnsi="Times New Roman"/>
          <w:b/>
          <w:i/>
          <w:color w:val="000000"/>
          <w:sz w:val="24"/>
          <w:szCs w:val="24"/>
        </w:rPr>
        <w:t>Review of decisions</w:t>
      </w:r>
    </w:p>
    <w:p w14:paraId="4328C565" w14:textId="77777777" w:rsidR="006C25D0" w:rsidRPr="00C873A0" w:rsidRDefault="006C25D0" w:rsidP="006C25D0">
      <w:pPr>
        <w:shd w:val="clear" w:color="auto" w:fill="FFFFFF"/>
        <w:spacing w:after="240"/>
        <w:jc w:val="both"/>
        <w:rPr>
          <w:rFonts w:ascii="Times New Roman" w:hAnsi="Times New Roman"/>
          <w:color w:val="000000"/>
          <w:sz w:val="24"/>
          <w:szCs w:val="24"/>
        </w:rPr>
      </w:pPr>
      <w:r w:rsidRPr="00C873A0">
        <w:rPr>
          <w:rFonts w:ascii="Times New Roman" w:hAnsi="Times New Roman"/>
          <w:color w:val="000000"/>
          <w:sz w:val="24"/>
          <w:szCs w:val="24"/>
        </w:rPr>
        <w:t xml:space="preserve">Decisions made by APRA exercising </w:t>
      </w:r>
      <w:r>
        <w:rPr>
          <w:rFonts w:ascii="Times New Roman" w:hAnsi="Times New Roman"/>
          <w:color w:val="000000"/>
          <w:sz w:val="24"/>
          <w:szCs w:val="24"/>
        </w:rPr>
        <w:t xml:space="preserve">powers in prudential standards </w:t>
      </w:r>
      <w:r w:rsidRPr="00C873A0">
        <w:rPr>
          <w:rFonts w:ascii="Times New Roman" w:hAnsi="Times New Roman"/>
          <w:color w:val="000000"/>
          <w:sz w:val="24"/>
          <w:szCs w:val="24"/>
        </w:rPr>
        <w:t>are not subject to merits review. This is because these decisions are preliminary decisions that may facilitate or lead to substantive decisions which are subject to merits review.</w:t>
      </w:r>
    </w:p>
    <w:p w14:paraId="0E2991CE" w14:textId="77777777" w:rsidR="006C25D0" w:rsidRPr="00C873A0" w:rsidRDefault="006C25D0" w:rsidP="006C25D0">
      <w:pPr>
        <w:shd w:val="clear" w:color="auto" w:fill="FFFFFF"/>
        <w:spacing w:after="240"/>
        <w:jc w:val="both"/>
        <w:rPr>
          <w:rFonts w:ascii="Times New Roman" w:hAnsi="Times New Roman"/>
          <w:b/>
          <w:bCs/>
          <w:color w:val="000000"/>
          <w:sz w:val="24"/>
          <w:szCs w:val="24"/>
        </w:rPr>
      </w:pPr>
      <w:r w:rsidRPr="00C873A0">
        <w:rPr>
          <w:rFonts w:ascii="Times New Roman" w:hAnsi="Times New Roman"/>
          <w:color w:val="000000"/>
          <w:sz w:val="24"/>
          <w:szCs w:val="24"/>
        </w:rPr>
        <w:t xml:space="preserve">A breach of a prudential standard is also a breach of the Act, as </w:t>
      </w:r>
      <w:r>
        <w:rPr>
          <w:rFonts w:ascii="Times New Roman" w:hAnsi="Times New Roman"/>
          <w:color w:val="000000"/>
          <w:sz w:val="24"/>
          <w:szCs w:val="24"/>
        </w:rPr>
        <w:t xml:space="preserve">section 11AG of </w:t>
      </w:r>
      <w:r w:rsidRPr="00C873A0">
        <w:rPr>
          <w:rFonts w:ascii="Times New Roman" w:hAnsi="Times New Roman"/>
          <w:color w:val="000000"/>
          <w:sz w:val="24"/>
          <w:szCs w:val="24"/>
        </w:rPr>
        <w:t xml:space="preserve">the Act provides that </w:t>
      </w:r>
      <w:r>
        <w:rPr>
          <w:rFonts w:ascii="Times New Roman" w:hAnsi="Times New Roman"/>
          <w:color w:val="000000"/>
          <w:sz w:val="24"/>
          <w:szCs w:val="24"/>
        </w:rPr>
        <w:t xml:space="preserve">ADIs and authorised NOHCs </w:t>
      </w:r>
      <w:r w:rsidRPr="00C873A0">
        <w:rPr>
          <w:rFonts w:ascii="Times New Roman" w:hAnsi="Times New Roman"/>
          <w:color w:val="000000"/>
          <w:sz w:val="24"/>
          <w:szCs w:val="24"/>
        </w:rPr>
        <w:t xml:space="preserve">must comply with </w:t>
      </w:r>
      <w:r>
        <w:rPr>
          <w:rFonts w:ascii="Times New Roman" w:hAnsi="Times New Roman"/>
          <w:color w:val="000000"/>
          <w:sz w:val="24"/>
          <w:szCs w:val="24"/>
        </w:rPr>
        <w:t xml:space="preserve">applicable prudential </w:t>
      </w:r>
      <w:r w:rsidRPr="00C873A0">
        <w:rPr>
          <w:rFonts w:ascii="Times New Roman" w:hAnsi="Times New Roman"/>
          <w:color w:val="000000"/>
          <w:sz w:val="24"/>
          <w:szCs w:val="24"/>
        </w:rPr>
        <w:t>standard</w:t>
      </w:r>
      <w:r>
        <w:rPr>
          <w:rFonts w:ascii="Times New Roman" w:hAnsi="Times New Roman"/>
          <w:color w:val="000000"/>
          <w:sz w:val="24"/>
          <w:szCs w:val="24"/>
        </w:rPr>
        <w:t>s</w:t>
      </w:r>
      <w:r w:rsidRPr="00C873A0">
        <w:rPr>
          <w:rFonts w:ascii="Times New Roman" w:hAnsi="Times New Roman"/>
          <w:color w:val="000000"/>
          <w:sz w:val="24"/>
          <w:szCs w:val="24"/>
        </w:rPr>
        <w:t>. However, there are no penalties prescribed for such breaches.</w:t>
      </w:r>
      <w:r w:rsidRPr="00C873A0">
        <w:rPr>
          <w:rFonts w:ascii="Times New Roman" w:hAnsi="Times New Roman"/>
          <w:b/>
          <w:bCs/>
          <w:color w:val="000000"/>
          <w:sz w:val="24"/>
          <w:szCs w:val="24"/>
        </w:rPr>
        <w:t> </w:t>
      </w:r>
      <w:r w:rsidRPr="00C873A0">
        <w:rPr>
          <w:rFonts w:ascii="Times New Roman" w:hAnsi="Times New Roman"/>
          <w:color w:val="000000"/>
          <w:sz w:val="24"/>
          <w:szCs w:val="24"/>
        </w:rPr>
        <w:t>Instead, an ADI’s breach of a provision in the Act is grounds for APRA to make further, substantive decisions under the Act in relation to the ADI. Those decisions are:</w:t>
      </w:r>
    </w:p>
    <w:p w14:paraId="6BCB44B4" w14:textId="77777777" w:rsidR="006C25D0" w:rsidRPr="00C873A0" w:rsidRDefault="006C25D0" w:rsidP="006C25D0">
      <w:pPr>
        <w:pStyle w:val="ListParagraph"/>
        <w:numPr>
          <w:ilvl w:val="0"/>
          <w:numId w:val="29"/>
        </w:numPr>
        <w:shd w:val="clear" w:color="auto" w:fill="FFFFFF"/>
        <w:rPr>
          <w:rFonts w:ascii="Times New Roman" w:hAnsi="Times New Roman"/>
          <w:sz w:val="24"/>
          <w:szCs w:val="24"/>
        </w:rPr>
      </w:pPr>
      <w:r w:rsidRPr="00C873A0">
        <w:rPr>
          <w:rFonts w:ascii="Times New Roman" w:hAnsi="Times New Roman"/>
          <w:sz w:val="24"/>
          <w:szCs w:val="24"/>
        </w:rPr>
        <w:t>to revoke an authority to carry on banking business (section 9A of the Act); and</w:t>
      </w:r>
    </w:p>
    <w:p w14:paraId="7017A86C" w14:textId="77777777" w:rsidR="006C25D0" w:rsidRPr="00C873A0" w:rsidRDefault="006C25D0" w:rsidP="006C25D0">
      <w:pPr>
        <w:pStyle w:val="ListParagraph"/>
        <w:numPr>
          <w:ilvl w:val="0"/>
          <w:numId w:val="29"/>
        </w:numPr>
        <w:shd w:val="clear" w:color="auto" w:fill="FFFFFF"/>
        <w:rPr>
          <w:rFonts w:ascii="Times New Roman" w:hAnsi="Times New Roman"/>
          <w:sz w:val="24"/>
          <w:szCs w:val="24"/>
        </w:rPr>
      </w:pPr>
      <w:r w:rsidRPr="00C873A0">
        <w:rPr>
          <w:rFonts w:ascii="Times New Roman" w:hAnsi="Times New Roman"/>
          <w:sz w:val="24"/>
          <w:szCs w:val="24"/>
        </w:rPr>
        <w:t>to issue a direction to the ADI, including a direction to comply with the whole or part of a prudential standard (section 11CA of the Act).</w:t>
      </w:r>
    </w:p>
    <w:p w14:paraId="56A51AF6" w14:textId="77777777" w:rsidR="006C25D0" w:rsidRPr="00C873A0" w:rsidRDefault="006C25D0" w:rsidP="006C25D0">
      <w:pPr>
        <w:shd w:val="clear" w:color="auto" w:fill="FFFFFF"/>
        <w:spacing w:after="240"/>
        <w:jc w:val="both"/>
        <w:rPr>
          <w:rFonts w:ascii="Times New Roman" w:hAnsi="Times New Roman"/>
          <w:color w:val="000000"/>
          <w:sz w:val="24"/>
          <w:szCs w:val="24"/>
        </w:rPr>
      </w:pPr>
      <w:r w:rsidRPr="00C873A0">
        <w:rPr>
          <w:rFonts w:ascii="Times New Roman" w:hAnsi="Times New Roman"/>
          <w:color w:val="000000"/>
          <w:sz w:val="24"/>
          <w:szCs w:val="24"/>
        </w:rPr>
        <w:t>It is only at this stage that an ADI is exposed to a penalty: loss of its authority under section 9A or 50 penalty units if it breaches the direction (section 11CG of the Act). In nearly all cases the decision is preceded by a full consultation with the ADI to raise any concerns it may have in relation to the decision.</w:t>
      </w:r>
    </w:p>
    <w:p w14:paraId="17084695" w14:textId="77777777" w:rsidR="006C25D0" w:rsidRPr="00C873A0" w:rsidRDefault="006C25D0" w:rsidP="006C25D0">
      <w:pPr>
        <w:shd w:val="clear" w:color="auto" w:fill="FFFFFF"/>
        <w:spacing w:after="240"/>
        <w:jc w:val="both"/>
        <w:rPr>
          <w:rFonts w:ascii="Times New Roman" w:hAnsi="Times New Roman"/>
          <w:color w:val="000000"/>
          <w:sz w:val="24"/>
          <w:szCs w:val="24"/>
        </w:rPr>
      </w:pPr>
      <w:r w:rsidRPr="00C873A0">
        <w:rPr>
          <w:rFonts w:ascii="Times New Roman" w:hAnsi="Times New Roman"/>
          <w:color w:val="000000"/>
          <w:sz w:val="24"/>
          <w:szCs w:val="24"/>
        </w:rPr>
        <w:lastRenderedPageBreak/>
        <w:t>A decision of APRA to impose a direction is subject to merits review under section 11CA of the Act, which is appropriately available at the point where an ADI could be exposed to a penalty.</w:t>
      </w:r>
    </w:p>
    <w:p w14:paraId="3388753B" w14:textId="77777777" w:rsidR="006C25D0" w:rsidRPr="00C873A0" w:rsidRDefault="006C25D0" w:rsidP="006C25D0">
      <w:pPr>
        <w:shd w:val="clear" w:color="auto" w:fill="FFFFFF"/>
        <w:spacing w:after="240"/>
        <w:jc w:val="both"/>
        <w:rPr>
          <w:rFonts w:ascii="Times New Roman" w:hAnsi="Times New Roman"/>
          <w:color w:val="000000"/>
          <w:sz w:val="24"/>
          <w:szCs w:val="24"/>
        </w:rPr>
      </w:pPr>
      <w:r w:rsidRPr="00C873A0">
        <w:rPr>
          <w:rFonts w:ascii="Times New Roman" w:hAnsi="Times New Roman"/>
          <w:color w:val="000000"/>
          <w:sz w:val="24"/>
          <w:szCs w:val="24"/>
        </w:rPr>
        <w:t>A decision of APRA to revoke an authority under the Act is subject to merits review, unless either:</w:t>
      </w:r>
    </w:p>
    <w:p w14:paraId="15062DA1" w14:textId="77777777" w:rsidR="006C25D0" w:rsidRPr="00C873A0" w:rsidRDefault="006C25D0" w:rsidP="006C25D0">
      <w:pPr>
        <w:pStyle w:val="ListParagraph"/>
        <w:numPr>
          <w:ilvl w:val="0"/>
          <w:numId w:val="27"/>
        </w:numPr>
        <w:shd w:val="clear" w:color="auto" w:fill="FFFFFF"/>
        <w:rPr>
          <w:rFonts w:ascii="Times New Roman" w:hAnsi="Times New Roman"/>
          <w:sz w:val="24"/>
          <w:szCs w:val="24"/>
        </w:rPr>
      </w:pPr>
      <w:r w:rsidRPr="00C873A0">
        <w:rPr>
          <w:rFonts w:ascii="Times New Roman" w:hAnsi="Times New Roman"/>
          <w:sz w:val="24"/>
          <w:szCs w:val="24"/>
        </w:rPr>
        <w:t>APRA has determined that access to natural justice and merits review is con</w:t>
      </w:r>
      <w:r>
        <w:rPr>
          <w:rFonts w:ascii="Times New Roman" w:hAnsi="Times New Roman"/>
          <w:sz w:val="24"/>
          <w:szCs w:val="24"/>
        </w:rPr>
        <w:t>t</w:t>
      </w:r>
      <w:r w:rsidRPr="00C873A0">
        <w:rPr>
          <w:rFonts w:ascii="Times New Roman" w:hAnsi="Times New Roman"/>
          <w:sz w:val="24"/>
          <w:szCs w:val="24"/>
        </w:rPr>
        <w:t>rary to the national interest or contrary to the interests of depositors with the ADI; or</w:t>
      </w:r>
    </w:p>
    <w:p w14:paraId="2911411F" w14:textId="77777777" w:rsidR="006C25D0" w:rsidRPr="00C873A0" w:rsidRDefault="006C25D0" w:rsidP="006C25D0">
      <w:pPr>
        <w:pStyle w:val="ListParagraph"/>
        <w:numPr>
          <w:ilvl w:val="0"/>
          <w:numId w:val="27"/>
        </w:numPr>
        <w:shd w:val="clear" w:color="auto" w:fill="FFFFFF"/>
        <w:rPr>
          <w:rFonts w:ascii="Times New Roman" w:hAnsi="Times New Roman"/>
          <w:sz w:val="24"/>
          <w:szCs w:val="24"/>
        </w:rPr>
      </w:pPr>
      <w:r w:rsidRPr="00C873A0">
        <w:rPr>
          <w:rFonts w:ascii="Times New Roman" w:hAnsi="Times New Roman"/>
          <w:sz w:val="24"/>
          <w:szCs w:val="24"/>
        </w:rPr>
        <w:t>the authority is an authority that is to cease to have effect on a day specified in the authority (section 9</w:t>
      </w:r>
      <w:proofErr w:type="gramStart"/>
      <w:r w:rsidRPr="00C873A0">
        <w:rPr>
          <w:rFonts w:ascii="Times New Roman" w:hAnsi="Times New Roman"/>
          <w:sz w:val="24"/>
          <w:szCs w:val="24"/>
        </w:rPr>
        <w:t>A(</w:t>
      </w:r>
      <w:proofErr w:type="gramEnd"/>
      <w:r w:rsidRPr="00C873A0">
        <w:rPr>
          <w:rFonts w:ascii="Times New Roman" w:hAnsi="Times New Roman"/>
          <w:sz w:val="24"/>
          <w:szCs w:val="24"/>
        </w:rPr>
        <w:t>8) of the Act).</w:t>
      </w:r>
    </w:p>
    <w:p w14:paraId="274A29CD" w14:textId="7CBCBE9F" w:rsidR="008B3D26" w:rsidRPr="00C873A0" w:rsidRDefault="008B3D26" w:rsidP="00B20E33">
      <w:pPr>
        <w:pStyle w:val="Heading"/>
        <w:numPr>
          <w:ilvl w:val="0"/>
          <w:numId w:val="12"/>
        </w:numPr>
        <w:spacing w:after="240"/>
        <w:rPr>
          <w:rFonts w:ascii="Times New Roman" w:hAnsi="Times New Roman"/>
          <w:sz w:val="24"/>
          <w:szCs w:val="24"/>
        </w:rPr>
      </w:pPr>
      <w:bookmarkStart w:id="4" w:name="bkConsultation"/>
      <w:bookmarkStart w:id="5" w:name="bkRISNO"/>
      <w:bookmarkStart w:id="6" w:name="bkRIS"/>
      <w:bookmarkEnd w:id="4"/>
      <w:bookmarkEnd w:id="5"/>
      <w:r>
        <w:rPr>
          <w:rFonts w:ascii="Times New Roman" w:hAnsi="Times New Roman"/>
          <w:sz w:val="24"/>
          <w:szCs w:val="24"/>
        </w:rPr>
        <w:t>Consultation</w:t>
      </w:r>
    </w:p>
    <w:p w14:paraId="57179FD8" w14:textId="41A07BCF" w:rsidR="00CD2BDA" w:rsidRDefault="001D326F" w:rsidP="001D326F">
      <w:pPr>
        <w:spacing w:after="240"/>
        <w:jc w:val="both"/>
        <w:rPr>
          <w:rFonts w:ascii="Times New Roman" w:eastAsiaTheme="minorEastAsia" w:hAnsi="Times New Roman"/>
          <w:sz w:val="24"/>
          <w:szCs w:val="24"/>
        </w:rPr>
      </w:pPr>
      <w:r>
        <w:rPr>
          <w:rFonts w:ascii="Times New Roman" w:eastAsiaTheme="minorEastAsia" w:hAnsi="Times New Roman"/>
          <w:sz w:val="24"/>
          <w:szCs w:val="24"/>
        </w:rPr>
        <w:t xml:space="preserve">In 2022, APRA consulted on </w:t>
      </w:r>
      <w:r w:rsidR="007464C3">
        <w:rPr>
          <w:rFonts w:ascii="Times New Roman" w:eastAsiaTheme="minorEastAsia" w:hAnsi="Times New Roman"/>
          <w:sz w:val="24"/>
          <w:szCs w:val="24"/>
        </w:rPr>
        <w:t>the</w:t>
      </w:r>
      <w:r>
        <w:rPr>
          <w:rFonts w:ascii="Times New Roman" w:eastAsiaTheme="minorEastAsia" w:hAnsi="Times New Roman"/>
          <w:sz w:val="24"/>
          <w:szCs w:val="24"/>
        </w:rPr>
        <w:t xml:space="preserve"> new APS 330, with an effective date of 1 January 202</w:t>
      </w:r>
      <w:r w:rsidR="009E7200">
        <w:rPr>
          <w:rFonts w:ascii="Times New Roman" w:eastAsiaTheme="minorEastAsia" w:hAnsi="Times New Roman"/>
          <w:sz w:val="24"/>
          <w:szCs w:val="24"/>
        </w:rPr>
        <w:t>4</w:t>
      </w:r>
      <w:r>
        <w:rPr>
          <w:rFonts w:ascii="Times New Roman" w:eastAsiaTheme="minorEastAsia" w:hAnsi="Times New Roman"/>
          <w:sz w:val="24"/>
          <w:szCs w:val="24"/>
        </w:rPr>
        <w:t xml:space="preserve"> (to provide industry </w:t>
      </w:r>
      <w:r w:rsidR="009123B5">
        <w:rPr>
          <w:rFonts w:ascii="Times New Roman" w:eastAsiaTheme="minorEastAsia" w:hAnsi="Times New Roman"/>
          <w:sz w:val="24"/>
          <w:szCs w:val="24"/>
        </w:rPr>
        <w:t xml:space="preserve">12 </w:t>
      </w:r>
      <w:r w:rsidR="004A6BCF">
        <w:rPr>
          <w:rFonts w:ascii="Times New Roman" w:eastAsiaTheme="minorEastAsia" w:hAnsi="Times New Roman"/>
          <w:sz w:val="24"/>
          <w:szCs w:val="24"/>
        </w:rPr>
        <w:t xml:space="preserve">months </w:t>
      </w:r>
      <w:r>
        <w:rPr>
          <w:rFonts w:ascii="Times New Roman" w:eastAsiaTheme="minorEastAsia" w:hAnsi="Times New Roman"/>
          <w:sz w:val="24"/>
          <w:szCs w:val="24"/>
        </w:rPr>
        <w:t xml:space="preserve">for implementation). The new APS 330 incorporates the BCBS’s Pillar 3 disclosure framework by reference, with </w:t>
      </w:r>
      <w:r w:rsidRPr="00684F90">
        <w:rPr>
          <w:rFonts w:ascii="Times New Roman" w:eastAsiaTheme="minorEastAsia" w:hAnsi="Times New Roman"/>
          <w:sz w:val="24"/>
          <w:szCs w:val="24"/>
        </w:rPr>
        <w:t xml:space="preserve">appropriate adjustments for the Australian context. </w:t>
      </w:r>
    </w:p>
    <w:p w14:paraId="61F8E0BE" w14:textId="0A057721" w:rsidR="001D326F" w:rsidRPr="00684F90" w:rsidRDefault="00D42CA1" w:rsidP="001D326F">
      <w:pPr>
        <w:spacing w:after="240"/>
        <w:jc w:val="both"/>
        <w:rPr>
          <w:rFonts w:ascii="Times New Roman" w:eastAsiaTheme="minorEastAsia" w:hAnsi="Times New Roman"/>
          <w:sz w:val="24"/>
          <w:szCs w:val="24"/>
        </w:rPr>
      </w:pPr>
      <w:r>
        <w:rPr>
          <w:rFonts w:ascii="Times New Roman" w:eastAsiaTheme="minorEastAsia" w:hAnsi="Times New Roman"/>
          <w:sz w:val="24"/>
          <w:szCs w:val="24"/>
        </w:rPr>
        <w:t xml:space="preserve">APRA received </w:t>
      </w:r>
      <w:r w:rsidR="007449FA">
        <w:rPr>
          <w:rFonts w:ascii="Times New Roman" w:eastAsiaTheme="minorEastAsia" w:hAnsi="Times New Roman"/>
          <w:sz w:val="24"/>
          <w:szCs w:val="24"/>
        </w:rPr>
        <w:t xml:space="preserve">five submissions </w:t>
      </w:r>
      <w:r w:rsidR="000A203A">
        <w:rPr>
          <w:rFonts w:ascii="Times New Roman" w:eastAsiaTheme="minorEastAsia" w:hAnsi="Times New Roman"/>
          <w:sz w:val="24"/>
          <w:szCs w:val="24"/>
        </w:rPr>
        <w:t xml:space="preserve">to this </w:t>
      </w:r>
      <w:r w:rsidR="007449FA">
        <w:rPr>
          <w:rFonts w:ascii="Times New Roman" w:eastAsiaTheme="minorEastAsia" w:hAnsi="Times New Roman"/>
          <w:sz w:val="24"/>
          <w:szCs w:val="24"/>
        </w:rPr>
        <w:t xml:space="preserve">consultation and engaged with market participants </w:t>
      </w:r>
      <w:r w:rsidR="00F53884">
        <w:rPr>
          <w:rFonts w:ascii="Times New Roman" w:eastAsiaTheme="minorEastAsia" w:hAnsi="Times New Roman"/>
          <w:sz w:val="24"/>
          <w:szCs w:val="24"/>
        </w:rPr>
        <w:t xml:space="preserve">through industry workshops and bilaterally. </w:t>
      </w:r>
      <w:r w:rsidR="00A1180C">
        <w:rPr>
          <w:rFonts w:ascii="Times New Roman" w:eastAsiaTheme="minorEastAsia" w:hAnsi="Times New Roman"/>
          <w:sz w:val="24"/>
          <w:szCs w:val="24"/>
        </w:rPr>
        <w:t>Submissions to the consultation were generally supportive of APRA’s objectives in the review and provided suggestions to amend the timing and format of the standard to ease implementation pressures and to clarify APRA’s requirements.</w:t>
      </w:r>
      <w:r w:rsidR="00565D99">
        <w:rPr>
          <w:rFonts w:ascii="Times New Roman" w:eastAsiaTheme="minorEastAsia" w:hAnsi="Times New Roman"/>
          <w:sz w:val="24"/>
          <w:szCs w:val="24"/>
        </w:rPr>
        <w:t xml:space="preserve"> This </w:t>
      </w:r>
      <w:r w:rsidR="00365966">
        <w:rPr>
          <w:rFonts w:ascii="Times New Roman" w:eastAsiaTheme="minorEastAsia" w:hAnsi="Times New Roman"/>
          <w:sz w:val="24"/>
          <w:szCs w:val="24"/>
        </w:rPr>
        <w:t xml:space="preserve">feedback </w:t>
      </w:r>
      <w:r w:rsidR="00565D99">
        <w:rPr>
          <w:rFonts w:ascii="Times New Roman" w:eastAsiaTheme="minorEastAsia" w:hAnsi="Times New Roman"/>
          <w:sz w:val="24"/>
          <w:szCs w:val="24"/>
        </w:rPr>
        <w:t xml:space="preserve">resulted in APRA making technical adjustments to the new standard, </w:t>
      </w:r>
      <w:r w:rsidR="001C0C3E">
        <w:rPr>
          <w:rFonts w:ascii="Times New Roman" w:eastAsiaTheme="minorEastAsia" w:hAnsi="Times New Roman"/>
          <w:sz w:val="24"/>
          <w:szCs w:val="24"/>
        </w:rPr>
        <w:t xml:space="preserve">changing </w:t>
      </w:r>
      <w:r w:rsidR="00F177AF">
        <w:rPr>
          <w:rFonts w:ascii="Times New Roman" w:eastAsiaTheme="minorEastAsia" w:hAnsi="Times New Roman"/>
          <w:sz w:val="24"/>
          <w:szCs w:val="24"/>
        </w:rPr>
        <w:t>transition</w:t>
      </w:r>
      <w:r w:rsidR="00830291">
        <w:rPr>
          <w:rFonts w:ascii="Times New Roman" w:eastAsiaTheme="minorEastAsia" w:hAnsi="Times New Roman"/>
          <w:sz w:val="24"/>
          <w:szCs w:val="24"/>
        </w:rPr>
        <w:t>al</w:t>
      </w:r>
      <w:r w:rsidR="00F177AF">
        <w:rPr>
          <w:rFonts w:ascii="Times New Roman" w:eastAsiaTheme="minorEastAsia" w:hAnsi="Times New Roman"/>
          <w:sz w:val="24"/>
          <w:szCs w:val="24"/>
        </w:rPr>
        <w:t xml:space="preserve"> arrangements </w:t>
      </w:r>
      <w:r w:rsidR="00021901">
        <w:rPr>
          <w:rFonts w:ascii="Times New Roman" w:eastAsiaTheme="minorEastAsia" w:hAnsi="Times New Roman"/>
          <w:sz w:val="24"/>
          <w:szCs w:val="24"/>
        </w:rPr>
        <w:t xml:space="preserve">to </w:t>
      </w:r>
      <w:r w:rsidR="00BE0662">
        <w:rPr>
          <w:rFonts w:ascii="Times New Roman" w:eastAsiaTheme="minorEastAsia" w:hAnsi="Times New Roman"/>
          <w:sz w:val="24"/>
          <w:szCs w:val="24"/>
        </w:rPr>
        <w:t xml:space="preserve">update disclosures for </w:t>
      </w:r>
      <w:r w:rsidR="00266191">
        <w:rPr>
          <w:rFonts w:ascii="Times New Roman" w:eastAsiaTheme="minorEastAsia" w:hAnsi="Times New Roman"/>
          <w:sz w:val="24"/>
          <w:szCs w:val="24"/>
        </w:rPr>
        <w:t xml:space="preserve">APRA’s </w:t>
      </w:r>
      <w:r w:rsidR="00BE0662">
        <w:rPr>
          <w:rFonts w:ascii="Times New Roman" w:eastAsiaTheme="minorEastAsia" w:hAnsi="Times New Roman"/>
          <w:sz w:val="24"/>
          <w:szCs w:val="24"/>
        </w:rPr>
        <w:t xml:space="preserve">new </w:t>
      </w:r>
      <w:r w:rsidR="00266191">
        <w:rPr>
          <w:rFonts w:ascii="Times New Roman" w:eastAsiaTheme="minorEastAsia" w:hAnsi="Times New Roman"/>
          <w:sz w:val="24"/>
          <w:szCs w:val="24"/>
        </w:rPr>
        <w:t>ADI capital</w:t>
      </w:r>
      <w:r w:rsidR="00266191" w:rsidDel="007E1E79">
        <w:rPr>
          <w:rFonts w:ascii="Times New Roman" w:eastAsiaTheme="minorEastAsia" w:hAnsi="Times New Roman"/>
          <w:sz w:val="24"/>
          <w:szCs w:val="24"/>
        </w:rPr>
        <w:t xml:space="preserve"> </w:t>
      </w:r>
      <w:r w:rsidR="00266191">
        <w:rPr>
          <w:rFonts w:ascii="Times New Roman" w:eastAsiaTheme="minorEastAsia" w:hAnsi="Times New Roman"/>
          <w:sz w:val="24"/>
          <w:szCs w:val="24"/>
        </w:rPr>
        <w:t xml:space="preserve">framework that came into effect on 1 January 2023, </w:t>
      </w:r>
      <w:r w:rsidR="002C2AA3">
        <w:rPr>
          <w:rFonts w:ascii="Times New Roman" w:eastAsiaTheme="minorEastAsia" w:hAnsi="Times New Roman"/>
          <w:sz w:val="24"/>
          <w:szCs w:val="24"/>
        </w:rPr>
        <w:t>and delay</w:t>
      </w:r>
      <w:r w:rsidR="001D691F">
        <w:rPr>
          <w:rFonts w:ascii="Times New Roman" w:eastAsiaTheme="minorEastAsia" w:hAnsi="Times New Roman"/>
          <w:sz w:val="24"/>
          <w:szCs w:val="24"/>
        </w:rPr>
        <w:t>ing</w:t>
      </w:r>
      <w:r w:rsidR="002C2AA3">
        <w:rPr>
          <w:rFonts w:ascii="Times New Roman" w:eastAsiaTheme="minorEastAsia" w:hAnsi="Times New Roman"/>
          <w:sz w:val="24"/>
          <w:szCs w:val="24"/>
        </w:rPr>
        <w:t xml:space="preserve"> the </w:t>
      </w:r>
      <w:r w:rsidR="00FF205F">
        <w:rPr>
          <w:rFonts w:ascii="Times New Roman" w:eastAsiaTheme="minorEastAsia" w:hAnsi="Times New Roman"/>
          <w:sz w:val="24"/>
          <w:szCs w:val="24"/>
        </w:rPr>
        <w:t xml:space="preserve">proposed </w:t>
      </w:r>
      <w:r w:rsidR="002C2AA3">
        <w:rPr>
          <w:rFonts w:ascii="Times New Roman" w:eastAsiaTheme="minorEastAsia" w:hAnsi="Times New Roman"/>
          <w:sz w:val="24"/>
          <w:szCs w:val="24"/>
        </w:rPr>
        <w:t xml:space="preserve">effective date </w:t>
      </w:r>
      <w:r w:rsidR="008C3143">
        <w:rPr>
          <w:rFonts w:ascii="Times New Roman" w:eastAsiaTheme="minorEastAsia" w:hAnsi="Times New Roman"/>
          <w:sz w:val="24"/>
          <w:szCs w:val="24"/>
        </w:rPr>
        <w:t xml:space="preserve">for the new APS 330 </w:t>
      </w:r>
      <w:r w:rsidR="002C2AA3">
        <w:rPr>
          <w:rFonts w:ascii="Times New Roman" w:eastAsiaTheme="minorEastAsia" w:hAnsi="Times New Roman"/>
          <w:sz w:val="24"/>
          <w:szCs w:val="24"/>
        </w:rPr>
        <w:t xml:space="preserve">by 12 months to 1 January 2025 to </w:t>
      </w:r>
      <w:r w:rsidR="00CD2BDA">
        <w:rPr>
          <w:rFonts w:ascii="Times New Roman" w:eastAsiaTheme="minorEastAsia" w:hAnsi="Times New Roman"/>
          <w:sz w:val="24"/>
          <w:szCs w:val="24"/>
        </w:rPr>
        <w:t xml:space="preserve">relieve pressure on resourcing as ADIs implement the new capital framework. </w:t>
      </w:r>
      <w:r w:rsidR="001D326F" w:rsidRPr="00684F90">
        <w:rPr>
          <w:rFonts w:ascii="Times New Roman" w:eastAsiaTheme="minorEastAsia" w:hAnsi="Times New Roman"/>
          <w:sz w:val="24"/>
          <w:szCs w:val="24"/>
        </w:rPr>
        <w:t xml:space="preserve"> </w:t>
      </w:r>
    </w:p>
    <w:p w14:paraId="633254B1" w14:textId="644E8A41" w:rsidR="008B3D26" w:rsidRDefault="001D326F" w:rsidP="002A7FDF">
      <w:pPr>
        <w:spacing w:after="240"/>
        <w:jc w:val="both"/>
        <w:rPr>
          <w:rFonts w:ascii="Times New Roman" w:hAnsi="Times New Roman"/>
          <w:sz w:val="24"/>
          <w:szCs w:val="24"/>
        </w:rPr>
      </w:pPr>
      <w:r>
        <w:rPr>
          <w:rFonts w:ascii="Times New Roman" w:eastAsiaTheme="minorEastAsia" w:hAnsi="Times New Roman"/>
          <w:sz w:val="24"/>
          <w:szCs w:val="24"/>
        </w:rPr>
        <w:t xml:space="preserve">As part of industry </w:t>
      </w:r>
      <w:r w:rsidR="003A032C">
        <w:rPr>
          <w:rFonts w:ascii="Times New Roman" w:eastAsiaTheme="minorEastAsia" w:hAnsi="Times New Roman"/>
          <w:sz w:val="24"/>
          <w:szCs w:val="24"/>
        </w:rPr>
        <w:t xml:space="preserve">preparation </w:t>
      </w:r>
      <w:r w:rsidR="009824B5">
        <w:rPr>
          <w:rFonts w:ascii="Times New Roman" w:eastAsiaTheme="minorEastAsia" w:hAnsi="Times New Roman"/>
          <w:sz w:val="24"/>
          <w:szCs w:val="24"/>
        </w:rPr>
        <w:t>over 2023 and 2024</w:t>
      </w:r>
      <w:r w:rsidR="000005ED">
        <w:rPr>
          <w:rFonts w:ascii="Times New Roman" w:eastAsiaTheme="minorEastAsia" w:hAnsi="Times New Roman"/>
          <w:sz w:val="24"/>
          <w:szCs w:val="24"/>
        </w:rPr>
        <w:t xml:space="preserve"> </w:t>
      </w:r>
      <w:r w:rsidR="003A032C">
        <w:rPr>
          <w:rFonts w:ascii="Times New Roman" w:eastAsiaTheme="minorEastAsia" w:hAnsi="Times New Roman"/>
          <w:sz w:val="24"/>
          <w:szCs w:val="24"/>
        </w:rPr>
        <w:t xml:space="preserve">to </w:t>
      </w:r>
      <w:r>
        <w:rPr>
          <w:rFonts w:ascii="Times New Roman" w:eastAsiaTheme="minorEastAsia" w:hAnsi="Times New Roman"/>
          <w:sz w:val="24"/>
          <w:szCs w:val="24"/>
        </w:rPr>
        <w:t>implement APS 330,</w:t>
      </w:r>
      <w:r w:rsidDel="009824B5">
        <w:rPr>
          <w:rFonts w:ascii="Times New Roman" w:eastAsiaTheme="minorEastAsia" w:hAnsi="Times New Roman"/>
          <w:sz w:val="24"/>
          <w:szCs w:val="24"/>
        </w:rPr>
        <w:t xml:space="preserve"> </w:t>
      </w:r>
      <w:r>
        <w:rPr>
          <w:rFonts w:ascii="Times New Roman" w:eastAsiaTheme="minorEastAsia" w:hAnsi="Times New Roman"/>
          <w:sz w:val="24"/>
          <w:szCs w:val="24"/>
        </w:rPr>
        <w:t xml:space="preserve">ADIs raised some technical queries relating to the operation and interpretation of the new standard. In response to these queries, APRA undertook a short consultation in 2024 on further minor changes to APS 330 to support industry implementation of the new public disclosure requirements by 1 January 2025. </w:t>
      </w:r>
      <w:r w:rsidR="008B3D26">
        <w:rPr>
          <w:rFonts w:ascii="Times New Roman" w:hAnsi="Times New Roman"/>
          <w:sz w:val="24"/>
          <w:szCs w:val="24"/>
        </w:rPr>
        <w:t xml:space="preserve">APRA finalised the proposed changes to APS </w:t>
      </w:r>
      <w:r w:rsidR="0021720E">
        <w:rPr>
          <w:rFonts w:ascii="Times New Roman" w:hAnsi="Times New Roman"/>
          <w:sz w:val="24"/>
          <w:szCs w:val="24"/>
        </w:rPr>
        <w:t>330</w:t>
      </w:r>
      <w:r w:rsidR="008B3D26">
        <w:rPr>
          <w:rFonts w:ascii="Times New Roman" w:hAnsi="Times New Roman"/>
          <w:sz w:val="24"/>
          <w:szCs w:val="24"/>
        </w:rPr>
        <w:t xml:space="preserve"> on </w:t>
      </w:r>
      <w:r w:rsidR="007B79C9">
        <w:rPr>
          <w:rFonts w:ascii="Times New Roman" w:hAnsi="Times New Roman"/>
          <w:sz w:val="24"/>
          <w:szCs w:val="24"/>
        </w:rPr>
        <w:t xml:space="preserve">17 July </w:t>
      </w:r>
      <w:r w:rsidR="008B3D26">
        <w:rPr>
          <w:rFonts w:ascii="Times New Roman" w:hAnsi="Times New Roman"/>
          <w:sz w:val="24"/>
          <w:szCs w:val="24"/>
        </w:rPr>
        <w:t xml:space="preserve">2024 following a </w:t>
      </w:r>
      <w:r w:rsidR="007B79C9">
        <w:rPr>
          <w:rFonts w:ascii="Times New Roman" w:hAnsi="Times New Roman"/>
          <w:sz w:val="24"/>
          <w:szCs w:val="24"/>
        </w:rPr>
        <w:t>one-</w:t>
      </w:r>
      <w:r w:rsidR="008B3D26">
        <w:rPr>
          <w:rFonts w:ascii="Times New Roman" w:hAnsi="Times New Roman"/>
          <w:sz w:val="24"/>
          <w:szCs w:val="24"/>
        </w:rPr>
        <w:t>month public consultation period.</w:t>
      </w:r>
    </w:p>
    <w:p w14:paraId="1CE8057C" w14:textId="7251346F" w:rsidR="008B3D26" w:rsidRDefault="008B3D26" w:rsidP="008B3D26">
      <w:pPr>
        <w:pStyle w:val="Heading"/>
        <w:tabs>
          <w:tab w:val="left" w:pos="360"/>
        </w:tabs>
        <w:spacing w:after="240"/>
        <w:rPr>
          <w:rFonts w:ascii="Times New Roman" w:hAnsi="Times New Roman"/>
          <w:b w:val="0"/>
          <w:sz w:val="24"/>
          <w:szCs w:val="24"/>
        </w:rPr>
      </w:pPr>
      <w:r>
        <w:rPr>
          <w:rFonts w:ascii="Times New Roman" w:hAnsi="Times New Roman"/>
          <w:b w:val="0"/>
          <w:sz w:val="24"/>
          <w:szCs w:val="24"/>
        </w:rPr>
        <w:t>APRA received six submissions in response to its consultation on the minor amendments, with non-confidential submissions available on APRA’s website. Respondents were generally industry participants that welcomed the proposals, given the objective of the amendments w</w:t>
      </w:r>
      <w:r w:rsidR="00FF1CFC">
        <w:rPr>
          <w:rFonts w:ascii="Times New Roman" w:hAnsi="Times New Roman"/>
          <w:b w:val="0"/>
          <w:sz w:val="24"/>
          <w:szCs w:val="24"/>
        </w:rPr>
        <w:t>as</w:t>
      </w:r>
      <w:r>
        <w:rPr>
          <w:rFonts w:ascii="Times New Roman" w:hAnsi="Times New Roman"/>
          <w:b w:val="0"/>
          <w:sz w:val="24"/>
          <w:szCs w:val="24"/>
        </w:rPr>
        <w:t xml:space="preserve"> to better support industry implementation of the </w:t>
      </w:r>
      <w:r w:rsidR="000A0DC1">
        <w:rPr>
          <w:rFonts w:ascii="Times New Roman" w:hAnsi="Times New Roman"/>
          <w:b w:val="0"/>
          <w:sz w:val="24"/>
          <w:szCs w:val="24"/>
        </w:rPr>
        <w:t>new APS 330</w:t>
      </w:r>
      <w:r>
        <w:rPr>
          <w:rFonts w:ascii="Times New Roman" w:hAnsi="Times New Roman"/>
          <w:b w:val="0"/>
          <w:sz w:val="24"/>
          <w:szCs w:val="24"/>
        </w:rPr>
        <w:t>. Only minor amendments were made to APRA’s original proposals to provide further clarity for industry.</w:t>
      </w:r>
    </w:p>
    <w:p w14:paraId="3C4FE574" w14:textId="2F0F8290" w:rsidR="00BF56D1" w:rsidRDefault="00FC742C" w:rsidP="008B3D26">
      <w:pPr>
        <w:pStyle w:val="Heading"/>
        <w:tabs>
          <w:tab w:val="left" w:pos="360"/>
        </w:tabs>
        <w:spacing w:after="240"/>
        <w:rPr>
          <w:rFonts w:ascii="Times New Roman" w:hAnsi="Times New Roman"/>
          <w:b w:val="0"/>
          <w:sz w:val="24"/>
          <w:szCs w:val="24"/>
        </w:rPr>
      </w:pPr>
      <w:r>
        <w:rPr>
          <w:rFonts w:ascii="Times New Roman" w:hAnsi="Times New Roman"/>
          <w:b w:val="0"/>
          <w:sz w:val="24"/>
          <w:szCs w:val="24"/>
        </w:rPr>
        <w:t>These minor amendments include:</w:t>
      </w:r>
    </w:p>
    <w:p w14:paraId="7B8C447C" w14:textId="1247B1EA" w:rsidR="00FC742C" w:rsidRDefault="00FC742C" w:rsidP="00FC742C">
      <w:pPr>
        <w:pStyle w:val="Heading"/>
        <w:numPr>
          <w:ilvl w:val="0"/>
          <w:numId w:val="26"/>
        </w:numPr>
        <w:tabs>
          <w:tab w:val="left" w:pos="360"/>
        </w:tabs>
        <w:spacing w:after="240"/>
        <w:rPr>
          <w:rFonts w:ascii="Times New Roman" w:hAnsi="Times New Roman"/>
          <w:b w:val="0"/>
          <w:sz w:val="24"/>
          <w:szCs w:val="24"/>
        </w:rPr>
      </w:pPr>
      <w:r w:rsidRPr="00476946">
        <w:rPr>
          <w:rFonts w:ascii="Times New Roman" w:hAnsi="Times New Roman"/>
          <w:b w:val="0"/>
          <w:i/>
          <w:iCs/>
          <w:sz w:val="24"/>
          <w:szCs w:val="24"/>
        </w:rPr>
        <w:t>Macroprudential supervisory measures</w:t>
      </w:r>
      <w:r>
        <w:rPr>
          <w:rFonts w:ascii="Times New Roman" w:hAnsi="Times New Roman"/>
          <w:b w:val="0"/>
          <w:i/>
          <w:iCs/>
          <w:sz w:val="24"/>
          <w:szCs w:val="24"/>
        </w:rPr>
        <w:t xml:space="preserve"> (paragraph 36 of Attachment A) </w:t>
      </w:r>
      <w:r>
        <w:rPr>
          <w:rFonts w:ascii="Times New Roman" w:hAnsi="Times New Roman"/>
          <w:b w:val="0"/>
          <w:sz w:val="24"/>
          <w:szCs w:val="24"/>
        </w:rPr>
        <w:t xml:space="preserve">– Amendment to </w:t>
      </w:r>
      <w:r w:rsidR="00297BF5">
        <w:rPr>
          <w:rFonts w:ascii="Times New Roman" w:hAnsi="Times New Roman"/>
          <w:b w:val="0"/>
          <w:sz w:val="24"/>
          <w:szCs w:val="24"/>
        </w:rPr>
        <w:t xml:space="preserve">provide additional </w:t>
      </w:r>
      <w:r>
        <w:rPr>
          <w:rFonts w:ascii="Times New Roman" w:hAnsi="Times New Roman"/>
          <w:b w:val="0"/>
          <w:sz w:val="24"/>
          <w:szCs w:val="24"/>
        </w:rPr>
        <w:t>flexibility for banks that</w:t>
      </w:r>
      <w:r w:rsidR="00297BF5">
        <w:rPr>
          <w:rFonts w:ascii="Times New Roman" w:hAnsi="Times New Roman"/>
          <w:b w:val="0"/>
          <w:sz w:val="24"/>
          <w:szCs w:val="24"/>
        </w:rPr>
        <w:t xml:space="preserve"> are</w:t>
      </w:r>
      <w:r>
        <w:rPr>
          <w:rFonts w:ascii="Times New Roman" w:hAnsi="Times New Roman"/>
          <w:b w:val="0"/>
          <w:sz w:val="24"/>
          <w:szCs w:val="24"/>
        </w:rPr>
        <w:t xml:space="preserve"> required to disclose global systemically important </w:t>
      </w:r>
      <w:r w:rsidR="00A61541">
        <w:rPr>
          <w:rFonts w:ascii="Times New Roman" w:hAnsi="Times New Roman"/>
          <w:b w:val="0"/>
          <w:sz w:val="24"/>
          <w:szCs w:val="24"/>
        </w:rPr>
        <w:t xml:space="preserve">bank </w:t>
      </w:r>
      <w:proofErr w:type="gramStart"/>
      <w:r w:rsidR="00A61541">
        <w:rPr>
          <w:rFonts w:ascii="Times New Roman" w:hAnsi="Times New Roman"/>
          <w:b w:val="0"/>
          <w:sz w:val="24"/>
          <w:szCs w:val="24"/>
        </w:rPr>
        <w:t>indicators;</w:t>
      </w:r>
      <w:proofErr w:type="gramEnd"/>
    </w:p>
    <w:p w14:paraId="7184071F" w14:textId="7046EA03" w:rsidR="00A61541" w:rsidRDefault="00A61541" w:rsidP="00FC742C">
      <w:pPr>
        <w:pStyle w:val="Heading"/>
        <w:numPr>
          <w:ilvl w:val="0"/>
          <w:numId w:val="26"/>
        </w:numPr>
        <w:tabs>
          <w:tab w:val="left" w:pos="360"/>
        </w:tabs>
        <w:spacing w:after="240"/>
        <w:rPr>
          <w:rFonts w:ascii="Times New Roman" w:hAnsi="Times New Roman"/>
          <w:b w:val="0"/>
          <w:sz w:val="24"/>
          <w:szCs w:val="24"/>
        </w:rPr>
      </w:pPr>
      <w:r>
        <w:rPr>
          <w:rFonts w:ascii="Times New Roman" w:hAnsi="Times New Roman"/>
          <w:b w:val="0"/>
          <w:i/>
          <w:iCs/>
          <w:sz w:val="24"/>
          <w:szCs w:val="24"/>
        </w:rPr>
        <w:lastRenderedPageBreak/>
        <w:t xml:space="preserve">Format of disclosures (paragraph 35) </w:t>
      </w:r>
      <w:r>
        <w:rPr>
          <w:rFonts w:ascii="Times New Roman" w:hAnsi="Times New Roman"/>
          <w:b w:val="0"/>
          <w:sz w:val="24"/>
          <w:szCs w:val="24"/>
        </w:rPr>
        <w:t xml:space="preserve">– Clarification that banks can publish disclosures in </w:t>
      </w:r>
      <w:r w:rsidR="0045509B">
        <w:rPr>
          <w:rFonts w:ascii="Times New Roman" w:hAnsi="Times New Roman"/>
          <w:b w:val="0"/>
          <w:sz w:val="24"/>
          <w:szCs w:val="24"/>
        </w:rPr>
        <w:t>Microsoft Excel file, or other machine-readable format</w:t>
      </w:r>
      <w:r w:rsidR="00BD2C30">
        <w:rPr>
          <w:rFonts w:ascii="Times New Roman" w:hAnsi="Times New Roman"/>
          <w:b w:val="0"/>
          <w:sz w:val="24"/>
          <w:szCs w:val="24"/>
        </w:rPr>
        <w:t>s</w:t>
      </w:r>
      <w:r w:rsidR="0045509B">
        <w:rPr>
          <w:rFonts w:ascii="Times New Roman" w:hAnsi="Times New Roman"/>
          <w:b w:val="0"/>
          <w:sz w:val="24"/>
          <w:szCs w:val="24"/>
        </w:rPr>
        <w:t xml:space="preserve"> approved by </w:t>
      </w:r>
      <w:proofErr w:type="gramStart"/>
      <w:r w:rsidR="0045509B">
        <w:rPr>
          <w:rFonts w:ascii="Times New Roman" w:hAnsi="Times New Roman"/>
          <w:b w:val="0"/>
          <w:sz w:val="24"/>
          <w:szCs w:val="24"/>
        </w:rPr>
        <w:t>APRA;</w:t>
      </w:r>
      <w:proofErr w:type="gramEnd"/>
    </w:p>
    <w:p w14:paraId="54C55644" w14:textId="588A56D8" w:rsidR="0045509B" w:rsidRDefault="0045509B" w:rsidP="00FC742C">
      <w:pPr>
        <w:pStyle w:val="Heading"/>
        <w:numPr>
          <w:ilvl w:val="0"/>
          <w:numId w:val="26"/>
        </w:numPr>
        <w:tabs>
          <w:tab w:val="left" w:pos="360"/>
        </w:tabs>
        <w:spacing w:after="240"/>
        <w:rPr>
          <w:rFonts w:ascii="Times New Roman" w:hAnsi="Times New Roman"/>
          <w:b w:val="0"/>
          <w:sz w:val="24"/>
          <w:szCs w:val="24"/>
        </w:rPr>
      </w:pPr>
      <w:r>
        <w:rPr>
          <w:rFonts w:ascii="Times New Roman" w:hAnsi="Times New Roman"/>
          <w:b w:val="0"/>
          <w:i/>
          <w:iCs/>
          <w:sz w:val="24"/>
          <w:szCs w:val="24"/>
        </w:rPr>
        <w:t xml:space="preserve">Credit risk asset classes (paragraph 13 of Attachment A) </w:t>
      </w:r>
      <w:r>
        <w:rPr>
          <w:rFonts w:ascii="Times New Roman" w:hAnsi="Times New Roman"/>
          <w:b w:val="0"/>
          <w:sz w:val="24"/>
          <w:szCs w:val="24"/>
        </w:rPr>
        <w:t>– Clarification of which asset classes should be disclosed under the Standardised and Advanced approaches</w:t>
      </w:r>
      <w:r w:rsidR="005A3558">
        <w:rPr>
          <w:rFonts w:ascii="Times New Roman" w:hAnsi="Times New Roman"/>
          <w:b w:val="0"/>
          <w:sz w:val="24"/>
          <w:szCs w:val="24"/>
        </w:rPr>
        <w:t xml:space="preserve"> and inclusion of further flexibility for ADIs in meeting this </w:t>
      </w:r>
      <w:proofErr w:type="gramStart"/>
      <w:r w:rsidR="005A3558">
        <w:rPr>
          <w:rFonts w:ascii="Times New Roman" w:hAnsi="Times New Roman"/>
          <w:b w:val="0"/>
          <w:sz w:val="24"/>
          <w:szCs w:val="24"/>
        </w:rPr>
        <w:t>requirement;</w:t>
      </w:r>
      <w:proofErr w:type="gramEnd"/>
    </w:p>
    <w:p w14:paraId="017B5C5F" w14:textId="7AE4C2C2" w:rsidR="005A3558" w:rsidRDefault="005A3558" w:rsidP="00FC742C">
      <w:pPr>
        <w:pStyle w:val="Heading"/>
        <w:numPr>
          <w:ilvl w:val="0"/>
          <w:numId w:val="26"/>
        </w:numPr>
        <w:tabs>
          <w:tab w:val="left" w:pos="360"/>
        </w:tabs>
        <w:spacing w:after="240"/>
        <w:rPr>
          <w:rFonts w:ascii="Times New Roman" w:hAnsi="Times New Roman"/>
          <w:b w:val="0"/>
          <w:sz w:val="24"/>
          <w:szCs w:val="24"/>
        </w:rPr>
      </w:pPr>
      <w:r>
        <w:rPr>
          <w:rFonts w:ascii="Times New Roman" w:hAnsi="Times New Roman"/>
          <w:b w:val="0"/>
          <w:i/>
          <w:iCs/>
          <w:sz w:val="24"/>
          <w:szCs w:val="24"/>
        </w:rPr>
        <w:t xml:space="preserve">Liquidity (paragraphs 42 and 44 of Attachment A) </w:t>
      </w:r>
      <w:r>
        <w:rPr>
          <w:rFonts w:ascii="Times New Roman" w:hAnsi="Times New Roman"/>
          <w:b w:val="0"/>
          <w:sz w:val="24"/>
          <w:szCs w:val="24"/>
        </w:rPr>
        <w:t xml:space="preserve">– Clarification that ADIs should use the definition of ‘small business customer’ as under </w:t>
      </w:r>
      <w:r>
        <w:rPr>
          <w:rFonts w:ascii="Times New Roman" w:hAnsi="Times New Roman"/>
          <w:b w:val="0"/>
          <w:i/>
          <w:iCs/>
          <w:sz w:val="24"/>
          <w:szCs w:val="24"/>
        </w:rPr>
        <w:t xml:space="preserve">Prudential Standard APS </w:t>
      </w:r>
      <w:r w:rsidR="00476946">
        <w:rPr>
          <w:rFonts w:ascii="Times New Roman" w:hAnsi="Times New Roman"/>
          <w:b w:val="0"/>
          <w:i/>
          <w:iCs/>
          <w:sz w:val="24"/>
          <w:szCs w:val="24"/>
        </w:rPr>
        <w:t>2</w:t>
      </w:r>
      <w:r>
        <w:rPr>
          <w:rFonts w:ascii="Times New Roman" w:hAnsi="Times New Roman"/>
          <w:b w:val="0"/>
          <w:i/>
          <w:iCs/>
          <w:sz w:val="24"/>
          <w:szCs w:val="24"/>
        </w:rPr>
        <w:t xml:space="preserve">10 Liquidity </w:t>
      </w:r>
      <w:r>
        <w:rPr>
          <w:rFonts w:ascii="Times New Roman" w:hAnsi="Times New Roman"/>
          <w:b w:val="0"/>
          <w:sz w:val="24"/>
          <w:szCs w:val="24"/>
        </w:rPr>
        <w:t>rather than under the BCBS Standard; and</w:t>
      </w:r>
    </w:p>
    <w:p w14:paraId="7D47DDDF" w14:textId="14A23974" w:rsidR="005A3558" w:rsidRPr="00FC742C" w:rsidRDefault="005A3558" w:rsidP="00476946">
      <w:pPr>
        <w:pStyle w:val="Heading"/>
        <w:numPr>
          <w:ilvl w:val="0"/>
          <w:numId w:val="26"/>
        </w:numPr>
        <w:tabs>
          <w:tab w:val="left" w:pos="360"/>
        </w:tabs>
        <w:spacing w:after="240"/>
        <w:rPr>
          <w:rFonts w:ascii="Times New Roman" w:hAnsi="Times New Roman"/>
          <w:b w:val="0"/>
          <w:sz w:val="24"/>
          <w:szCs w:val="24"/>
        </w:rPr>
      </w:pPr>
      <w:r>
        <w:rPr>
          <w:rFonts w:ascii="Times New Roman" w:hAnsi="Times New Roman"/>
          <w:b w:val="0"/>
          <w:i/>
          <w:iCs/>
          <w:sz w:val="24"/>
          <w:szCs w:val="24"/>
        </w:rPr>
        <w:t xml:space="preserve">Leverage ratio (paragraphs 38 and 40 of Attachment A) </w:t>
      </w:r>
      <w:r>
        <w:rPr>
          <w:rFonts w:ascii="Times New Roman" w:hAnsi="Times New Roman"/>
          <w:b w:val="0"/>
          <w:sz w:val="24"/>
          <w:szCs w:val="24"/>
        </w:rPr>
        <w:t xml:space="preserve">– Clarification that references to the ‘Basel III leverage ratio’ is a reference to the leverage ratio as defined under </w:t>
      </w:r>
      <w:r>
        <w:rPr>
          <w:rFonts w:ascii="Times New Roman" w:hAnsi="Times New Roman"/>
          <w:b w:val="0"/>
          <w:i/>
          <w:iCs/>
          <w:sz w:val="24"/>
          <w:szCs w:val="24"/>
        </w:rPr>
        <w:t>Prudential Standard APS 110 Capital Adequacy</w:t>
      </w:r>
      <w:r>
        <w:rPr>
          <w:rFonts w:ascii="Times New Roman" w:hAnsi="Times New Roman"/>
          <w:b w:val="0"/>
          <w:sz w:val="24"/>
          <w:szCs w:val="24"/>
        </w:rPr>
        <w:t>. Removal of the requirements for banks to disclose the amount of adjusted gross securities financing transaction assets based on quarter-end values, with banks now only having to disclose based on an average of daily values over the quarter.</w:t>
      </w:r>
    </w:p>
    <w:p w14:paraId="474E92F9" w14:textId="41B54DE2" w:rsidR="00043DA2" w:rsidRPr="00C873A0" w:rsidRDefault="00043DA2" w:rsidP="008423C0">
      <w:pPr>
        <w:pStyle w:val="Heading"/>
        <w:numPr>
          <w:ilvl w:val="0"/>
          <w:numId w:val="12"/>
        </w:numPr>
        <w:spacing w:after="240"/>
        <w:rPr>
          <w:rFonts w:ascii="Times New Roman" w:hAnsi="Times New Roman"/>
          <w:sz w:val="24"/>
          <w:szCs w:val="24"/>
        </w:rPr>
      </w:pPr>
      <w:r w:rsidRPr="00C873A0">
        <w:rPr>
          <w:rFonts w:ascii="Times New Roman" w:hAnsi="Times New Roman"/>
          <w:sz w:val="24"/>
          <w:szCs w:val="24"/>
        </w:rPr>
        <w:t xml:space="preserve">Impact </w:t>
      </w:r>
      <w:r w:rsidR="003B222E">
        <w:rPr>
          <w:rFonts w:ascii="Times New Roman" w:hAnsi="Times New Roman"/>
          <w:sz w:val="24"/>
          <w:szCs w:val="24"/>
        </w:rPr>
        <w:t>Analysis</w:t>
      </w:r>
    </w:p>
    <w:p w14:paraId="2FA3CDBE" w14:textId="54089CA5" w:rsidR="008423C0" w:rsidRPr="00590C51" w:rsidRDefault="008423C0" w:rsidP="008423C0">
      <w:pPr>
        <w:pStyle w:val="Heading"/>
        <w:tabs>
          <w:tab w:val="left" w:pos="360"/>
        </w:tabs>
        <w:spacing w:after="240"/>
        <w:rPr>
          <w:rFonts w:ascii="Times New Roman" w:hAnsi="Times New Roman"/>
          <w:b w:val="0"/>
          <w:sz w:val="24"/>
          <w:szCs w:val="24"/>
        </w:rPr>
      </w:pPr>
      <w:r w:rsidRPr="00590C51">
        <w:rPr>
          <w:rFonts w:ascii="Times New Roman" w:hAnsi="Times New Roman"/>
          <w:b w:val="0"/>
          <w:sz w:val="24"/>
          <w:szCs w:val="24"/>
        </w:rPr>
        <w:t xml:space="preserve">The Office of Impact </w:t>
      </w:r>
      <w:r w:rsidR="00D02729">
        <w:rPr>
          <w:rFonts w:ascii="Times New Roman" w:hAnsi="Times New Roman"/>
          <w:b w:val="0"/>
          <w:sz w:val="24"/>
          <w:szCs w:val="24"/>
        </w:rPr>
        <w:t>Analysis</w:t>
      </w:r>
      <w:r w:rsidR="00D02729" w:rsidRPr="00590C51">
        <w:rPr>
          <w:rFonts w:ascii="Times New Roman" w:hAnsi="Times New Roman"/>
          <w:b w:val="0"/>
          <w:sz w:val="24"/>
          <w:szCs w:val="24"/>
        </w:rPr>
        <w:t xml:space="preserve"> </w:t>
      </w:r>
      <w:r w:rsidR="003B222E">
        <w:rPr>
          <w:rFonts w:ascii="Times New Roman" w:hAnsi="Times New Roman"/>
          <w:b w:val="0"/>
          <w:sz w:val="24"/>
          <w:szCs w:val="24"/>
        </w:rPr>
        <w:t xml:space="preserve">confirmed </w:t>
      </w:r>
      <w:r w:rsidR="00947C38" w:rsidRPr="0026634D">
        <w:rPr>
          <w:rFonts w:ascii="Times New Roman" w:hAnsi="Times New Roman"/>
          <w:b w:val="0"/>
          <w:sz w:val="24"/>
          <w:szCs w:val="24"/>
        </w:rPr>
        <w:t xml:space="preserve">that </w:t>
      </w:r>
      <w:r w:rsidR="003B222E">
        <w:rPr>
          <w:rFonts w:ascii="Times New Roman" w:hAnsi="Times New Roman"/>
          <w:b w:val="0"/>
          <w:sz w:val="24"/>
          <w:szCs w:val="24"/>
        </w:rPr>
        <w:t xml:space="preserve">a </w:t>
      </w:r>
      <w:r w:rsidR="00947C38" w:rsidRPr="0026634D">
        <w:rPr>
          <w:rFonts w:ascii="Times New Roman" w:hAnsi="Times New Roman"/>
          <w:b w:val="0"/>
          <w:sz w:val="24"/>
          <w:szCs w:val="24"/>
        </w:rPr>
        <w:t>Regulat</w:t>
      </w:r>
      <w:r w:rsidR="00947C38">
        <w:rPr>
          <w:rFonts w:ascii="Times New Roman" w:hAnsi="Times New Roman"/>
          <w:b w:val="0"/>
          <w:sz w:val="24"/>
          <w:szCs w:val="24"/>
        </w:rPr>
        <w:t>ion</w:t>
      </w:r>
      <w:r w:rsidR="00947C38" w:rsidRPr="0026634D">
        <w:rPr>
          <w:rFonts w:ascii="Times New Roman" w:hAnsi="Times New Roman"/>
          <w:b w:val="0"/>
          <w:sz w:val="24"/>
          <w:szCs w:val="24"/>
        </w:rPr>
        <w:t xml:space="preserve"> Impact </w:t>
      </w:r>
      <w:r w:rsidR="00947C38">
        <w:rPr>
          <w:rFonts w:ascii="Times New Roman" w:hAnsi="Times New Roman"/>
          <w:b w:val="0"/>
          <w:sz w:val="24"/>
          <w:szCs w:val="24"/>
        </w:rPr>
        <w:t>S</w:t>
      </w:r>
      <w:r w:rsidR="00947C38" w:rsidRPr="0026634D">
        <w:rPr>
          <w:rFonts w:ascii="Times New Roman" w:hAnsi="Times New Roman"/>
          <w:b w:val="0"/>
          <w:sz w:val="24"/>
          <w:szCs w:val="24"/>
        </w:rPr>
        <w:t xml:space="preserve">tatement </w:t>
      </w:r>
      <w:r w:rsidR="00947C38">
        <w:rPr>
          <w:rFonts w:ascii="Times New Roman" w:hAnsi="Times New Roman"/>
          <w:b w:val="0"/>
          <w:sz w:val="24"/>
          <w:szCs w:val="24"/>
        </w:rPr>
        <w:t>was</w:t>
      </w:r>
      <w:r w:rsidR="00947C38" w:rsidRPr="0026634D">
        <w:rPr>
          <w:rFonts w:ascii="Times New Roman" w:hAnsi="Times New Roman"/>
          <w:b w:val="0"/>
          <w:sz w:val="24"/>
          <w:szCs w:val="24"/>
        </w:rPr>
        <w:t xml:space="preserve"> </w:t>
      </w:r>
      <w:r w:rsidR="003B222E">
        <w:rPr>
          <w:rFonts w:ascii="Times New Roman" w:hAnsi="Times New Roman"/>
          <w:b w:val="0"/>
          <w:sz w:val="24"/>
          <w:szCs w:val="24"/>
        </w:rPr>
        <w:t xml:space="preserve">not </w:t>
      </w:r>
      <w:r w:rsidR="00947C38" w:rsidRPr="0026634D">
        <w:rPr>
          <w:rFonts w:ascii="Times New Roman" w:hAnsi="Times New Roman"/>
          <w:b w:val="0"/>
          <w:sz w:val="24"/>
          <w:szCs w:val="24"/>
        </w:rPr>
        <w:t>required</w:t>
      </w:r>
      <w:r w:rsidR="001808E7">
        <w:rPr>
          <w:rFonts w:ascii="Times New Roman" w:hAnsi="Times New Roman"/>
          <w:b w:val="0"/>
          <w:sz w:val="24"/>
          <w:szCs w:val="24"/>
        </w:rPr>
        <w:t>.</w:t>
      </w:r>
    </w:p>
    <w:bookmarkEnd w:id="6"/>
    <w:p w14:paraId="59D1A73F" w14:textId="75EA295D" w:rsidR="00043DA2" w:rsidRDefault="00043DA2" w:rsidP="002A7FDF">
      <w:pPr>
        <w:pStyle w:val="Heading"/>
        <w:keepNext/>
        <w:numPr>
          <w:ilvl w:val="0"/>
          <w:numId w:val="12"/>
        </w:numPr>
        <w:spacing w:after="240"/>
        <w:ind w:left="357" w:hanging="357"/>
        <w:rPr>
          <w:rFonts w:ascii="Times New Roman" w:hAnsi="Times New Roman"/>
          <w:sz w:val="24"/>
          <w:szCs w:val="24"/>
        </w:rPr>
      </w:pPr>
      <w:r w:rsidRPr="000E3BFB">
        <w:rPr>
          <w:rFonts w:ascii="Times New Roman" w:hAnsi="Times New Roman"/>
          <w:sz w:val="24"/>
          <w:szCs w:val="24"/>
        </w:rPr>
        <w:t xml:space="preserve">Statement of compatibility prepared in accordance with Part 3 of the </w:t>
      </w:r>
      <w:r w:rsidRPr="000E3BFB">
        <w:rPr>
          <w:rFonts w:ascii="Times New Roman" w:hAnsi="Times New Roman"/>
          <w:i/>
          <w:sz w:val="24"/>
          <w:szCs w:val="24"/>
        </w:rPr>
        <w:t>Human</w:t>
      </w:r>
      <w:r w:rsidRPr="00ED19D5">
        <w:rPr>
          <w:rFonts w:ascii="Times New Roman" w:hAnsi="Times New Roman"/>
          <w:i/>
          <w:sz w:val="24"/>
          <w:szCs w:val="24"/>
        </w:rPr>
        <w:t xml:space="preserve"> Rights (Parliamentary Scrutiny) Act 2011</w:t>
      </w:r>
    </w:p>
    <w:p w14:paraId="2B88CB30" w14:textId="2FF7797B" w:rsidR="00043DA2" w:rsidRPr="00590C51" w:rsidRDefault="00043DA2" w:rsidP="00C67CB7">
      <w:pPr>
        <w:pStyle w:val="Heading"/>
        <w:spacing w:after="240"/>
        <w:sectPr w:rsidR="00043DA2" w:rsidRPr="00590C51">
          <w:footerReference w:type="default" r:id="rId11"/>
          <w:pgSz w:w="11906" w:h="16838" w:code="9"/>
          <w:pgMar w:top="1440" w:right="1800" w:bottom="1440" w:left="1800" w:header="709" w:footer="709" w:gutter="0"/>
          <w:cols w:space="708"/>
          <w:docGrid w:linePitch="360"/>
        </w:sectPr>
      </w:pPr>
      <w:r w:rsidRPr="00590C51">
        <w:rPr>
          <w:rFonts w:ascii="Times New Roman" w:hAnsi="Times New Roman"/>
          <w:b w:val="0"/>
          <w:sz w:val="24"/>
          <w:szCs w:val="24"/>
        </w:rPr>
        <w:t xml:space="preserve">A </w:t>
      </w:r>
      <w:r w:rsidR="003B222E">
        <w:rPr>
          <w:rFonts w:ascii="Times New Roman" w:hAnsi="Times New Roman"/>
          <w:b w:val="0"/>
          <w:sz w:val="24"/>
          <w:szCs w:val="24"/>
        </w:rPr>
        <w:t>s</w:t>
      </w:r>
      <w:r w:rsidRPr="00590C51">
        <w:rPr>
          <w:rFonts w:ascii="Times New Roman" w:hAnsi="Times New Roman"/>
          <w:b w:val="0"/>
          <w:sz w:val="24"/>
          <w:szCs w:val="24"/>
        </w:rPr>
        <w:t xml:space="preserve">tatement of compatibility prepared in accordance with Part 3 of the </w:t>
      </w:r>
      <w:r w:rsidRPr="00590C51">
        <w:rPr>
          <w:rFonts w:ascii="Times New Roman" w:hAnsi="Times New Roman"/>
          <w:b w:val="0"/>
          <w:i/>
          <w:sz w:val="24"/>
          <w:szCs w:val="24"/>
        </w:rPr>
        <w:t>Human Rights (Parliamentary Scrutiny) Act 2011</w:t>
      </w:r>
      <w:r w:rsidRPr="00590C51">
        <w:rPr>
          <w:rFonts w:ascii="Times New Roman" w:hAnsi="Times New Roman"/>
          <w:b w:val="0"/>
          <w:sz w:val="24"/>
          <w:szCs w:val="24"/>
        </w:rPr>
        <w:t xml:space="preserve"> is provided at Attachment </w:t>
      </w:r>
      <w:r w:rsidR="00026563">
        <w:rPr>
          <w:rFonts w:ascii="Times New Roman" w:hAnsi="Times New Roman"/>
          <w:b w:val="0"/>
          <w:sz w:val="24"/>
          <w:szCs w:val="24"/>
        </w:rPr>
        <w:t>B</w:t>
      </w:r>
      <w:r w:rsidRPr="00590C51">
        <w:rPr>
          <w:rFonts w:ascii="Times New Roman" w:hAnsi="Times New Roman"/>
          <w:b w:val="0"/>
          <w:sz w:val="24"/>
          <w:szCs w:val="24"/>
        </w:rPr>
        <w:t xml:space="preserve"> to this Explanatory Statement.</w:t>
      </w:r>
    </w:p>
    <w:p w14:paraId="11A84A7F" w14:textId="77777777" w:rsidR="006F6D2F" w:rsidRDefault="006F6D2F">
      <w:pPr>
        <w:spacing w:after="240"/>
        <w:jc w:val="both"/>
        <w:rPr>
          <w:rFonts w:ascii="Times New Roman" w:hAnsi="Times New Roman"/>
          <w:sz w:val="24"/>
          <w:szCs w:val="24"/>
          <w:u w:val="single"/>
        </w:rPr>
      </w:pPr>
    </w:p>
    <w:p w14:paraId="2F39AE78" w14:textId="77777777" w:rsidR="006F6D2F" w:rsidRPr="00590C51" w:rsidRDefault="006F6D2F" w:rsidP="006F6D2F">
      <w:pPr>
        <w:spacing w:after="360"/>
        <w:outlineLvl w:val="0"/>
        <w:rPr>
          <w:rFonts w:ascii="Times New Roman" w:hAnsi="Times New Roman"/>
          <w:sz w:val="24"/>
          <w:szCs w:val="24"/>
          <w:u w:val="single"/>
        </w:rPr>
      </w:pPr>
      <w:r w:rsidRPr="00590C51">
        <w:rPr>
          <w:rFonts w:ascii="Times New Roman" w:hAnsi="Times New Roman"/>
          <w:sz w:val="24"/>
          <w:szCs w:val="24"/>
          <w:u w:val="single"/>
        </w:rPr>
        <w:t xml:space="preserve">ATTACHMENT </w:t>
      </w:r>
      <w:r>
        <w:rPr>
          <w:rFonts w:ascii="Times New Roman" w:hAnsi="Times New Roman"/>
          <w:sz w:val="24"/>
          <w:szCs w:val="24"/>
          <w:u w:val="single"/>
        </w:rPr>
        <w:t>A</w:t>
      </w:r>
    </w:p>
    <w:p w14:paraId="1287F54E" w14:textId="45847103" w:rsidR="00352B5A" w:rsidRPr="002A7FDF" w:rsidRDefault="00352B5A" w:rsidP="00A40FE2">
      <w:pPr>
        <w:spacing w:after="240"/>
        <w:jc w:val="both"/>
        <w:rPr>
          <w:rFonts w:ascii="Times New Roman" w:hAnsi="Times New Roman"/>
          <w:b/>
          <w:sz w:val="24"/>
          <w:szCs w:val="24"/>
        </w:rPr>
      </w:pPr>
      <w:r>
        <w:rPr>
          <w:rFonts w:ascii="Times New Roman" w:hAnsi="Times New Roman"/>
          <w:b/>
          <w:bCs/>
          <w:iCs/>
          <w:sz w:val="24"/>
          <w:szCs w:val="24"/>
        </w:rPr>
        <w:t>Details of the new prudential standard</w:t>
      </w:r>
    </w:p>
    <w:p w14:paraId="15286A2B" w14:textId="4A329B98" w:rsidR="00A40FE2" w:rsidRDefault="00A40FE2" w:rsidP="00A40FE2">
      <w:pPr>
        <w:spacing w:after="240"/>
        <w:jc w:val="both"/>
        <w:rPr>
          <w:rFonts w:ascii="Times New Roman" w:hAnsi="Times New Roman"/>
          <w:b/>
          <w:bCs/>
          <w:i/>
          <w:iCs/>
          <w:sz w:val="24"/>
          <w:szCs w:val="24"/>
        </w:rPr>
      </w:pPr>
      <w:r>
        <w:rPr>
          <w:rFonts w:ascii="Times New Roman" w:hAnsi="Times New Roman"/>
          <w:b/>
          <w:bCs/>
          <w:i/>
          <w:iCs/>
          <w:sz w:val="24"/>
          <w:szCs w:val="24"/>
        </w:rPr>
        <w:t>Authority, application, commencement and interpretation</w:t>
      </w:r>
    </w:p>
    <w:p w14:paraId="4A7D9FD4" w14:textId="77777777" w:rsidR="00A40FE2" w:rsidRDefault="00A40FE2" w:rsidP="00A40FE2">
      <w:pPr>
        <w:spacing w:after="240"/>
        <w:jc w:val="both"/>
        <w:rPr>
          <w:rFonts w:ascii="Times New Roman" w:hAnsi="Times New Roman"/>
          <w:bCs/>
          <w:iCs/>
          <w:sz w:val="24"/>
          <w:szCs w:val="24"/>
        </w:rPr>
      </w:pPr>
      <w:r>
        <w:rPr>
          <w:rFonts w:ascii="Times New Roman" w:hAnsi="Times New Roman"/>
          <w:bCs/>
          <w:iCs/>
          <w:sz w:val="24"/>
          <w:szCs w:val="24"/>
        </w:rPr>
        <w:t>Under subsection 11</w:t>
      </w:r>
      <w:proofErr w:type="gramStart"/>
      <w:r>
        <w:rPr>
          <w:rFonts w:ascii="Times New Roman" w:hAnsi="Times New Roman"/>
          <w:bCs/>
          <w:iCs/>
          <w:sz w:val="24"/>
          <w:szCs w:val="24"/>
        </w:rPr>
        <w:t>AF(</w:t>
      </w:r>
      <w:proofErr w:type="gramEnd"/>
      <w:r>
        <w:rPr>
          <w:rFonts w:ascii="Times New Roman" w:hAnsi="Times New Roman"/>
          <w:bCs/>
          <w:iCs/>
          <w:sz w:val="24"/>
          <w:szCs w:val="24"/>
        </w:rPr>
        <w:t>1) of the Act, APRA may determine prudential standards to be complied with by (among others) all, or specified classes of, ADIs and authorised NOHCs.</w:t>
      </w:r>
    </w:p>
    <w:p w14:paraId="5069684C" w14:textId="77777777" w:rsidR="00A40FE2" w:rsidRDefault="00A40FE2" w:rsidP="00A40FE2">
      <w:pPr>
        <w:spacing w:after="240"/>
        <w:jc w:val="both"/>
        <w:rPr>
          <w:rFonts w:ascii="Times New Roman" w:hAnsi="Times New Roman"/>
          <w:bCs/>
          <w:iCs/>
          <w:sz w:val="24"/>
          <w:szCs w:val="24"/>
        </w:rPr>
      </w:pPr>
      <w:r>
        <w:rPr>
          <w:rFonts w:ascii="Times New Roman" w:hAnsi="Times New Roman"/>
          <w:bCs/>
          <w:iCs/>
          <w:sz w:val="24"/>
          <w:szCs w:val="24"/>
        </w:rPr>
        <w:t>Paragraphs 1 to 8 are the machinery provisions relating to the legal authority under which the instrument is made, the ADIs and authorised NOHCs that are required to comply with the standard, the commencement date, and interpretation.</w:t>
      </w:r>
    </w:p>
    <w:p w14:paraId="76D3151B" w14:textId="77777777" w:rsidR="00A40FE2" w:rsidRPr="00F623DC" w:rsidRDefault="00A40FE2" w:rsidP="00A40FE2">
      <w:pPr>
        <w:spacing w:after="240"/>
        <w:jc w:val="both"/>
        <w:rPr>
          <w:rFonts w:ascii="Times New Roman" w:hAnsi="Times New Roman"/>
          <w:b/>
          <w:bCs/>
          <w:i/>
          <w:iCs/>
          <w:sz w:val="24"/>
          <w:szCs w:val="24"/>
        </w:rPr>
      </w:pPr>
      <w:r w:rsidRPr="00F623DC">
        <w:rPr>
          <w:rFonts w:ascii="Times New Roman" w:hAnsi="Times New Roman"/>
          <w:b/>
          <w:bCs/>
          <w:i/>
          <w:iCs/>
          <w:sz w:val="24"/>
          <w:szCs w:val="24"/>
        </w:rPr>
        <w:t xml:space="preserve">Adjustments and exclusions </w:t>
      </w:r>
    </w:p>
    <w:p w14:paraId="1ADDA36C" w14:textId="77777777" w:rsidR="00A40FE2" w:rsidRDefault="00A40FE2" w:rsidP="00A40FE2">
      <w:pPr>
        <w:spacing w:after="240"/>
        <w:jc w:val="both"/>
        <w:rPr>
          <w:rFonts w:ascii="Times New Roman" w:hAnsi="Times New Roman"/>
          <w:bCs/>
          <w:iCs/>
          <w:sz w:val="24"/>
          <w:szCs w:val="24"/>
        </w:rPr>
      </w:pPr>
      <w:r>
        <w:rPr>
          <w:rFonts w:ascii="Times New Roman" w:hAnsi="Times New Roman"/>
          <w:bCs/>
          <w:iCs/>
          <w:sz w:val="24"/>
          <w:szCs w:val="24"/>
        </w:rPr>
        <w:t xml:space="preserve">Paragraph 9 relies on </w:t>
      </w:r>
      <w:r>
        <w:rPr>
          <w:rFonts w:ascii="Times New Roman" w:hAnsi="Times New Roman"/>
          <w:sz w:val="24"/>
          <w:szCs w:val="24"/>
        </w:rPr>
        <w:t>subsection 11</w:t>
      </w:r>
      <w:proofErr w:type="gramStart"/>
      <w:r>
        <w:rPr>
          <w:rFonts w:ascii="Times New Roman" w:hAnsi="Times New Roman"/>
          <w:sz w:val="24"/>
          <w:szCs w:val="24"/>
        </w:rPr>
        <w:t>AF(</w:t>
      </w:r>
      <w:proofErr w:type="gramEnd"/>
      <w:r>
        <w:rPr>
          <w:rFonts w:ascii="Times New Roman" w:hAnsi="Times New Roman"/>
          <w:sz w:val="24"/>
          <w:szCs w:val="24"/>
        </w:rPr>
        <w:t>2) of the Act and provides for APRA to adjust or exclude a specific prudential requirement in the standard in relation to one or more specified ADIs or authorised NOHCs.</w:t>
      </w:r>
    </w:p>
    <w:p w14:paraId="43D32E64" w14:textId="583BF8DA" w:rsidR="00A40FE2" w:rsidRPr="00F623DC" w:rsidRDefault="00BC14C6" w:rsidP="00A40FE2">
      <w:pPr>
        <w:spacing w:after="240"/>
        <w:jc w:val="both"/>
        <w:rPr>
          <w:rFonts w:ascii="Times New Roman" w:hAnsi="Times New Roman"/>
          <w:b/>
          <w:bCs/>
          <w:i/>
          <w:iCs/>
          <w:sz w:val="24"/>
          <w:szCs w:val="24"/>
        </w:rPr>
      </w:pPr>
      <w:r>
        <w:rPr>
          <w:rFonts w:ascii="Times New Roman" w:hAnsi="Times New Roman"/>
          <w:b/>
          <w:bCs/>
          <w:i/>
          <w:iCs/>
          <w:sz w:val="24"/>
          <w:szCs w:val="24"/>
        </w:rPr>
        <w:t>Previous exercise of discretion</w:t>
      </w:r>
    </w:p>
    <w:p w14:paraId="17A78919" w14:textId="3AB2644A" w:rsidR="00A40FE2" w:rsidRDefault="00A40FE2" w:rsidP="00A40FE2">
      <w:pPr>
        <w:spacing w:after="240"/>
        <w:jc w:val="both"/>
        <w:rPr>
          <w:rFonts w:ascii="Times New Roman" w:hAnsi="Times New Roman"/>
          <w:bCs/>
          <w:iCs/>
          <w:sz w:val="24"/>
          <w:szCs w:val="24"/>
        </w:rPr>
      </w:pPr>
      <w:r>
        <w:rPr>
          <w:rFonts w:ascii="Times New Roman" w:hAnsi="Times New Roman"/>
          <w:bCs/>
          <w:iCs/>
          <w:sz w:val="24"/>
          <w:szCs w:val="24"/>
        </w:rPr>
        <w:t xml:space="preserve">Paragraph 10 </w:t>
      </w:r>
      <w:r w:rsidR="00D97421">
        <w:rPr>
          <w:rFonts w:ascii="Times New Roman" w:hAnsi="Times New Roman"/>
          <w:bCs/>
          <w:iCs/>
          <w:sz w:val="24"/>
          <w:szCs w:val="24"/>
        </w:rPr>
        <w:t xml:space="preserve">requires an ADI to contact APRA if it seeks to rely on </w:t>
      </w:r>
      <w:r>
        <w:rPr>
          <w:rFonts w:ascii="Times New Roman" w:hAnsi="Times New Roman"/>
          <w:bCs/>
          <w:iCs/>
          <w:sz w:val="24"/>
          <w:szCs w:val="24"/>
        </w:rPr>
        <w:t>an exercise of APRA’s discretion under a previous version of the standard.</w:t>
      </w:r>
    </w:p>
    <w:p w14:paraId="5E11B335" w14:textId="3F077B86" w:rsidR="006F6D2F" w:rsidRDefault="006F6D2F" w:rsidP="006F6D2F">
      <w:pPr>
        <w:spacing w:after="240"/>
        <w:jc w:val="both"/>
        <w:rPr>
          <w:rFonts w:ascii="Times New Roman" w:hAnsi="Times New Roman"/>
          <w:b/>
          <w:bCs/>
          <w:i/>
          <w:iCs/>
          <w:sz w:val="24"/>
          <w:szCs w:val="24"/>
        </w:rPr>
      </w:pPr>
      <w:r>
        <w:rPr>
          <w:rFonts w:ascii="Times New Roman" w:hAnsi="Times New Roman"/>
          <w:b/>
          <w:bCs/>
          <w:i/>
          <w:iCs/>
          <w:sz w:val="24"/>
          <w:szCs w:val="24"/>
        </w:rPr>
        <w:t>Key principles</w:t>
      </w:r>
    </w:p>
    <w:p w14:paraId="6814E20D" w14:textId="77777777" w:rsidR="006F6D2F" w:rsidRDefault="006F6D2F" w:rsidP="006F6D2F">
      <w:pPr>
        <w:spacing w:after="240"/>
        <w:jc w:val="both"/>
        <w:rPr>
          <w:rFonts w:ascii="Times New Roman" w:hAnsi="Times New Roman"/>
          <w:sz w:val="24"/>
          <w:szCs w:val="24"/>
        </w:rPr>
      </w:pPr>
      <w:r>
        <w:rPr>
          <w:rFonts w:ascii="Times New Roman" w:hAnsi="Times New Roman"/>
          <w:sz w:val="24"/>
          <w:szCs w:val="24"/>
        </w:rPr>
        <w:t xml:space="preserve">Paragraphs 11 to 18 set out the key principles that ADIs must meet when making public disclosures required under APS 330. These key principles broadly align with the key principles under the BCBS’s Pillar 3 framework, including that ADIs must make clear, comprehensive, meaningful, consistent, and comparable public disclosures. </w:t>
      </w:r>
    </w:p>
    <w:p w14:paraId="0430F8D9" w14:textId="77777777" w:rsidR="006F6D2F" w:rsidRDefault="006F6D2F" w:rsidP="006F6D2F">
      <w:pPr>
        <w:spacing w:after="240"/>
        <w:jc w:val="both"/>
        <w:rPr>
          <w:rFonts w:ascii="Times New Roman" w:hAnsi="Times New Roman"/>
          <w:b/>
          <w:bCs/>
          <w:i/>
          <w:iCs/>
          <w:sz w:val="24"/>
          <w:szCs w:val="24"/>
        </w:rPr>
      </w:pPr>
      <w:r>
        <w:rPr>
          <w:rFonts w:ascii="Times New Roman" w:hAnsi="Times New Roman"/>
          <w:b/>
          <w:bCs/>
          <w:i/>
          <w:iCs/>
          <w:sz w:val="24"/>
          <w:szCs w:val="24"/>
        </w:rPr>
        <w:t>General requirements</w:t>
      </w:r>
    </w:p>
    <w:p w14:paraId="25A6D573" w14:textId="4F015E7A" w:rsidR="00297F71" w:rsidRDefault="006F6D2F" w:rsidP="006F6D2F">
      <w:pPr>
        <w:spacing w:after="240"/>
        <w:jc w:val="both"/>
        <w:rPr>
          <w:rFonts w:ascii="Times New Roman" w:hAnsi="Times New Roman"/>
          <w:sz w:val="24"/>
          <w:szCs w:val="24"/>
        </w:rPr>
      </w:pPr>
      <w:r>
        <w:rPr>
          <w:rFonts w:ascii="Times New Roman" w:hAnsi="Times New Roman"/>
          <w:sz w:val="24"/>
          <w:szCs w:val="24"/>
        </w:rPr>
        <w:t xml:space="preserve">Paragraphs 19 to 41 set out the general requirements that ADIs must meet when </w:t>
      </w:r>
      <w:r w:rsidR="000A355F">
        <w:rPr>
          <w:rFonts w:ascii="Times New Roman" w:hAnsi="Times New Roman"/>
          <w:sz w:val="24"/>
          <w:szCs w:val="24"/>
        </w:rPr>
        <w:t>making the public disclosures required under APS 330</w:t>
      </w:r>
      <w:r>
        <w:rPr>
          <w:rFonts w:ascii="Times New Roman" w:hAnsi="Times New Roman"/>
          <w:sz w:val="24"/>
          <w:szCs w:val="24"/>
        </w:rPr>
        <w:t xml:space="preserve">. </w:t>
      </w:r>
    </w:p>
    <w:p w14:paraId="65C7546D" w14:textId="35C25BF3" w:rsidR="006F6D2F" w:rsidRDefault="00297F71" w:rsidP="006F6D2F">
      <w:pPr>
        <w:spacing w:after="240"/>
        <w:jc w:val="both"/>
        <w:rPr>
          <w:rFonts w:ascii="Times New Roman" w:hAnsi="Times New Roman"/>
          <w:sz w:val="24"/>
          <w:szCs w:val="24"/>
        </w:rPr>
      </w:pPr>
      <w:r>
        <w:rPr>
          <w:rFonts w:ascii="Times New Roman" w:hAnsi="Times New Roman"/>
          <w:sz w:val="24"/>
          <w:szCs w:val="24"/>
        </w:rPr>
        <w:t xml:space="preserve">Paragraph 19 </w:t>
      </w:r>
      <w:r w:rsidR="004F5166">
        <w:rPr>
          <w:rFonts w:ascii="Times New Roman" w:hAnsi="Times New Roman"/>
          <w:sz w:val="24"/>
          <w:szCs w:val="24"/>
        </w:rPr>
        <w:t xml:space="preserve">requires ADIs to make the prudential disclosures set out in </w:t>
      </w:r>
      <w:r w:rsidR="006F6D2F">
        <w:rPr>
          <w:rFonts w:ascii="Times New Roman" w:hAnsi="Times New Roman"/>
          <w:sz w:val="24"/>
          <w:szCs w:val="24"/>
        </w:rPr>
        <w:t xml:space="preserve">the BCBS’s disclosure standard (BCBS Standard) as </w:t>
      </w:r>
      <w:r w:rsidR="00F24A4C">
        <w:rPr>
          <w:rFonts w:ascii="Times New Roman" w:hAnsi="Times New Roman"/>
          <w:sz w:val="24"/>
          <w:szCs w:val="24"/>
        </w:rPr>
        <w:t xml:space="preserve">it </w:t>
      </w:r>
      <w:r w:rsidR="006F6D2F">
        <w:rPr>
          <w:rFonts w:ascii="Times New Roman" w:hAnsi="Times New Roman"/>
          <w:sz w:val="24"/>
          <w:szCs w:val="24"/>
        </w:rPr>
        <w:t>exist</w:t>
      </w:r>
      <w:r w:rsidR="00F24A4C">
        <w:rPr>
          <w:rFonts w:ascii="Times New Roman" w:hAnsi="Times New Roman"/>
          <w:sz w:val="24"/>
          <w:szCs w:val="24"/>
        </w:rPr>
        <w:t>s</w:t>
      </w:r>
      <w:r w:rsidR="006F6D2F">
        <w:rPr>
          <w:rFonts w:ascii="Times New Roman" w:hAnsi="Times New Roman"/>
          <w:sz w:val="24"/>
          <w:szCs w:val="24"/>
        </w:rPr>
        <w:t xml:space="preserve"> from time to time, subject to </w:t>
      </w:r>
      <w:r w:rsidR="00F24A4C">
        <w:rPr>
          <w:rFonts w:ascii="Times New Roman" w:hAnsi="Times New Roman"/>
          <w:sz w:val="24"/>
          <w:szCs w:val="24"/>
        </w:rPr>
        <w:t xml:space="preserve">the </w:t>
      </w:r>
      <w:r w:rsidR="006F6D2F">
        <w:rPr>
          <w:rFonts w:ascii="Times New Roman" w:hAnsi="Times New Roman"/>
          <w:sz w:val="24"/>
          <w:szCs w:val="24"/>
        </w:rPr>
        <w:t xml:space="preserve">modifications </w:t>
      </w:r>
      <w:r w:rsidR="00F24A4C">
        <w:rPr>
          <w:rFonts w:ascii="Times New Roman" w:hAnsi="Times New Roman"/>
          <w:sz w:val="24"/>
          <w:szCs w:val="24"/>
        </w:rPr>
        <w:t xml:space="preserve">specified </w:t>
      </w:r>
      <w:r w:rsidR="006F6D2F">
        <w:rPr>
          <w:rFonts w:ascii="Times New Roman" w:hAnsi="Times New Roman"/>
          <w:sz w:val="24"/>
          <w:szCs w:val="24"/>
        </w:rPr>
        <w:t xml:space="preserve">in Attachment A to APS 330. The BCBS Standard is available on the </w:t>
      </w:r>
      <w:r w:rsidR="006F6D2F" w:rsidRPr="0069233E">
        <w:rPr>
          <w:rFonts w:ascii="Times New Roman" w:hAnsi="Times New Roman"/>
          <w:sz w:val="24"/>
          <w:szCs w:val="24"/>
        </w:rPr>
        <w:t>Bank of International Settlements</w:t>
      </w:r>
      <w:r w:rsidR="006F6D2F">
        <w:rPr>
          <w:rFonts w:ascii="Times New Roman" w:hAnsi="Times New Roman"/>
          <w:i/>
          <w:iCs/>
          <w:sz w:val="24"/>
          <w:szCs w:val="24"/>
        </w:rPr>
        <w:t xml:space="preserve"> </w:t>
      </w:r>
      <w:r w:rsidR="006F6D2F">
        <w:rPr>
          <w:rFonts w:ascii="Times New Roman" w:hAnsi="Times New Roman"/>
          <w:sz w:val="24"/>
          <w:szCs w:val="24"/>
        </w:rPr>
        <w:t>website.</w:t>
      </w:r>
    </w:p>
    <w:p w14:paraId="2AA2A032" w14:textId="5FF170DE" w:rsidR="00674EE0" w:rsidRDefault="006F6D2F" w:rsidP="006F6D2F">
      <w:pPr>
        <w:spacing w:after="240"/>
        <w:jc w:val="both"/>
        <w:rPr>
          <w:rFonts w:ascii="Times New Roman" w:hAnsi="Times New Roman"/>
          <w:sz w:val="24"/>
          <w:szCs w:val="24"/>
        </w:rPr>
      </w:pPr>
      <w:r>
        <w:rPr>
          <w:rFonts w:ascii="Times New Roman" w:hAnsi="Times New Roman"/>
          <w:sz w:val="24"/>
          <w:szCs w:val="24"/>
        </w:rPr>
        <w:t xml:space="preserve">Paragraph 20 provides ADIs the flexibility to modify </w:t>
      </w:r>
      <w:r w:rsidR="00C53FE8">
        <w:rPr>
          <w:rFonts w:ascii="Times New Roman" w:hAnsi="Times New Roman"/>
          <w:sz w:val="24"/>
          <w:szCs w:val="24"/>
        </w:rPr>
        <w:t xml:space="preserve">the content of </w:t>
      </w:r>
      <w:r w:rsidR="007D18C8">
        <w:rPr>
          <w:rFonts w:ascii="Times New Roman" w:hAnsi="Times New Roman"/>
          <w:sz w:val="24"/>
          <w:szCs w:val="24"/>
        </w:rPr>
        <w:t xml:space="preserve">its disclosures </w:t>
      </w:r>
      <w:r w:rsidR="00C53FE8">
        <w:rPr>
          <w:rFonts w:ascii="Times New Roman" w:hAnsi="Times New Roman"/>
          <w:sz w:val="24"/>
          <w:szCs w:val="24"/>
        </w:rPr>
        <w:t xml:space="preserve">from that set out in </w:t>
      </w:r>
      <w:r>
        <w:rPr>
          <w:rFonts w:ascii="Times New Roman" w:hAnsi="Times New Roman"/>
          <w:sz w:val="24"/>
          <w:szCs w:val="24"/>
        </w:rPr>
        <w:t xml:space="preserve">the BCBS Standard, where necessary, to correct any inconsistencies between the APRA and BCBS regulatory frameworks. Where an ADI </w:t>
      </w:r>
      <w:r w:rsidR="001614BA">
        <w:rPr>
          <w:rFonts w:ascii="Times New Roman" w:hAnsi="Times New Roman"/>
          <w:sz w:val="24"/>
          <w:szCs w:val="24"/>
        </w:rPr>
        <w:t>modifies its disclosures</w:t>
      </w:r>
      <w:r>
        <w:rPr>
          <w:rFonts w:ascii="Times New Roman" w:hAnsi="Times New Roman"/>
          <w:sz w:val="24"/>
          <w:szCs w:val="24"/>
        </w:rPr>
        <w:t xml:space="preserve">, it must include commentary to explain the modification as part of </w:t>
      </w:r>
      <w:r w:rsidR="001614BA">
        <w:rPr>
          <w:rFonts w:ascii="Times New Roman" w:hAnsi="Times New Roman"/>
          <w:sz w:val="24"/>
          <w:szCs w:val="24"/>
        </w:rPr>
        <w:t xml:space="preserve">its </w:t>
      </w:r>
      <w:r>
        <w:rPr>
          <w:rFonts w:ascii="Times New Roman" w:hAnsi="Times New Roman"/>
          <w:sz w:val="24"/>
          <w:szCs w:val="24"/>
        </w:rPr>
        <w:t xml:space="preserve">disclosures and notify APRA. </w:t>
      </w:r>
    </w:p>
    <w:p w14:paraId="628AF9DB" w14:textId="4CCD3C6D" w:rsidR="00BF2396" w:rsidRDefault="00BF2396" w:rsidP="006F6D2F">
      <w:pPr>
        <w:spacing w:after="240"/>
        <w:jc w:val="both"/>
        <w:rPr>
          <w:rFonts w:ascii="Times New Roman" w:hAnsi="Times New Roman"/>
          <w:sz w:val="24"/>
          <w:szCs w:val="24"/>
        </w:rPr>
      </w:pPr>
      <w:r>
        <w:rPr>
          <w:rFonts w:ascii="Times New Roman" w:hAnsi="Times New Roman"/>
          <w:sz w:val="24"/>
          <w:szCs w:val="24"/>
        </w:rPr>
        <w:t xml:space="preserve">Paragraph 21 notes that the BCBS Standard covers </w:t>
      </w:r>
      <w:r w:rsidR="00D5766A">
        <w:rPr>
          <w:rFonts w:ascii="Times New Roman" w:hAnsi="Times New Roman"/>
          <w:sz w:val="24"/>
          <w:szCs w:val="24"/>
        </w:rPr>
        <w:t xml:space="preserve">disclosure of </w:t>
      </w:r>
      <w:r>
        <w:rPr>
          <w:rFonts w:ascii="Times New Roman" w:hAnsi="Times New Roman"/>
          <w:sz w:val="24"/>
          <w:szCs w:val="24"/>
        </w:rPr>
        <w:t xml:space="preserve">key prudential metrics and </w:t>
      </w:r>
      <w:r w:rsidR="00865D46">
        <w:rPr>
          <w:rFonts w:ascii="Times New Roman" w:hAnsi="Times New Roman"/>
          <w:sz w:val="24"/>
          <w:szCs w:val="24"/>
        </w:rPr>
        <w:t xml:space="preserve">other </w:t>
      </w:r>
      <w:r>
        <w:rPr>
          <w:rFonts w:ascii="Times New Roman" w:hAnsi="Times New Roman"/>
          <w:sz w:val="24"/>
          <w:szCs w:val="24"/>
        </w:rPr>
        <w:t xml:space="preserve">information relating to an ADI’s risk profile and financial resilience. </w:t>
      </w:r>
    </w:p>
    <w:p w14:paraId="5885C2D9" w14:textId="39143370" w:rsidR="00054F3E" w:rsidRDefault="00054F3E" w:rsidP="006F6D2F">
      <w:pPr>
        <w:spacing w:after="240"/>
        <w:jc w:val="both"/>
        <w:rPr>
          <w:rFonts w:ascii="Times New Roman" w:hAnsi="Times New Roman"/>
          <w:sz w:val="24"/>
          <w:szCs w:val="24"/>
        </w:rPr>
      </w:pPr>
      <w:r>
        <w:rPr>
          <w:rFonts w:ascii="Times New Roman" w:hAnsi="Times New Roman"/>
          <w:sz w:val="24"/>
          <w:szCs w:val="24"/>
        </w:rPr>
        <w:lastRenderedPageBreak/>
        <w:t xml:space="preserve">Paragraph 22 </w:t>
      </w:r>
      <w:r w:rsidR="009425AC">
        <w:rPr>
          <w:rFonts w:ascii="Times New Roman" w:hAnsi="Times New Roman"/>
          <w:sz w:val="24"/>
          <w:szCs w:val="24"/>
        </w:rPr>
        <w:t xml:space="preserve">requires that, if an ADI chooses </w:t>
      </w:r>
      <w:r w:rsidR="009F34C7">
        <w:rPr>
          <w:rFonts w:ascii="Times New Roman" w:hAnsi="Times New Roman"/>
          <w:sz w:val="24"/>
          <w:szCs w:val="24"/>
        </w:rPr>
        <w:t xml:space="preserve">(on a voluntary basis) </w:t>
      </w:r>
      <w:r w:rsidR="009425AC">
        <w:rPr>
          <w:rFonts w:ascii="Times New Roman" w:hAnsi="Times New Roman"/>
          <w:sz w:val="24"/>
          <w:szCs w:val="24"/>
        </w:rPr>
        <w:t xml:space="preserve">to </w:t>
      </w:r>
      <w:r w:rsidR="00CD5BC7">
        <w:rPr>
          <w:rFonts w:ascii="Times New Roman" w:hAnsi="Times New Roman"/>
          <w:sz w:val="24"/>
          <w:szCs w:val="24"/>
        </w:rPr>
        <w:t xml:space="preserve">include </w:t>
      </w:r>
      <w:r w:rsidR="009425AC">
        <w:rPr>
          <w:rFonts w:ascii="Times New Roman" w:hAnsi="Times New Roman"/>
          <w:sz w:val="24"/>
          <w:szCs w:val="24"/>
        </w:rPr>
        <w:t xml:space="preserve">any additional </w:t>
      </w:r>
      <w:r w:rsidR="00E43DE3">
        <w:rPr>
          <w:rFonts w:ascii="Times New Roman" w:hAnsi="Times New Roman"/>
          <w:sz w:val="24"/>
          <w:szCs w:val="24"/>
        </w:rPr>
        <w:t xml:space="preserve">information </w:t>
      </w:r>
      <w:r w:rsidR="00CD5BC7">
        <w:rPr>
          <w:rFonts w:ascii="Times New Roman" w:hAnsi="Times New Roman"/>
          <w:sz w:val="24"/>
          <w:szCs w:val="24"/>
        </w:rPr>
        <w:t>in its disclosures</w:t>
      </w:r>
      <w:r w:rsidR="00E43DE3">
        <w:rPr>
          <w:rFonts w:ascii="Times New Roman" w:hAnsi="Times New Roman"/>
          <w:sz w:val="24"/>
          <w:szCs w:val="24"/>
        </w:rPr>
        <w:t>, the information must meet the key principles outlined in APS 330.</w:t>
      </w:r>
    </w:p>
    <w:p w14:paraId="2AFED142" w14:textId="74CFCA26" w:rsidR="006F6D2F" w:rsidRDefault="00CF6551" w:rsidP="006F6D2F">
      <w:pPr>
        <w:spacing w:after="240"/>
        <w:jc w:val="both"/>
        <w:rPr>
          <w:rFonts w:ascii="Times New Roman" w:hAnsi="Times New Roman"/>
          <w:sz w:val="24"/>
          <w:szCs w:val="24"/>
        </w:rPr>
      </w:pPr>
      <w:r>
        <w:rPr>
          <w:rFonts w:ascii="Times New Roman" w:hAnsi="Times New Roman"/>
          <w:sz w:val="24"/>
          <w:szCs w:val="24"/>
        </w:rPr>
        <w:t>Under p</w:t>
      </w:r>
      <w:r w:rsidR="00552F50">
        <w:rPr>
          <w:rFonts w:ascii="Times New Roman" w:hAnsi="Times New Roman"/>
          <w:sz w:val="24"/>
          <w:szCs w:val="24"/>
        </w:rPr>
        <w:t>aragraphs 23 and 24</w:t>
      </w:r>
      <w:r>
        <w:rPr>
          <w:rFonts w:ascii="Times New Roman" w:hAnsi="Times New Roman"/>
          <w:sz w:val="24"/>
          <w:szCs w:val="24"/>
        </w:rPr>
        <w:t>,</w:t>
      </w:r>
      <w:r w:rsidR="00552F50">
        <w:rPr>
          <w:rFonts w:ascii="Times New Roman" w:hAnsi="Times New Roman"/>
          <w:sz w:val="24"/>
          <w:szCs w:val="24"/>
        </w:rPr>
        <w:t xml:space="preserve"> </w:t>
      </w:r>
      <w:r w:rsidR="00442566">
        <w:rPr>
          <w:rFonts w:ascii="Times New Roman" w:hAnsi="Times New Roman"/>
          <w:sz w:val="24"/>
          <w:szCs w:val="24"/>
        </w:rPr>
        <w:t xml:space="preserve">APRA </w:t>
      </w:r>
      <w:r>
        <w:rPr>
          <w:rFonts w:ascii="Times New Roman" w:hAnsi="Times New Roman"/>
          <w:sz w:val="24"/>
          <w:szCs w:val="24"/>
        </w:rPr>
        <w:t>may require an ADI to rectify or make further disclosures</w:t>
      </w:r>
      <w:r w:rsidR="00DA253A">
        <w:rPr>
          <w:rFonts w:ascii="Times New Roman" w:hAnsi="Times New Roman"/>
          <w:sz w:val="24"/>
          <w:szCs w:val="24"/>
        </w:rPr>
        <w:t>, o</w:t>
      </w:r>
      <w:r w:rsidR="00975B40">
        <w:rPr>
          <w:rFonts w:ascii="Times New Roman" w:hAnsi="Times New Roman"/>
          <w:sz w:val="24"/>
          <w:szCs w:val="24"/>
        </w:rPr>
        <w:t>r</w:t>
      </w:r>
      <w:r w:rsidR="00DA253A">
        <w:rPr>
          <w:rFonts w:ascii="Times New Roman" w:hAnsi="Times New Roman"/>
          <w:sz w:val="24"/>
          <w:szCs w:val="24"/>
        </w:rPr>
        <w:t xml:space="preserve"> commission an independent audit of its prudential disclosures,</w:t>
      </w:r>
      <w:r w:rsidR="00A3392C">
        <w:rPr>
          <w:rFonts w:ascii="Times New Roman" w:hAnsi="Times New Roman"/>
          <w:sz w:val="24"/>
          <w:szCs w:val="24"/>
        </w:rPr>
        <w:t xml:space="preserve"> </w:t>
      </w:r>
      <w:r w:rsidR="00D10137">
        <w:rPr>
          <w:rFonts w:ascii="Times New Roman" w:hAnsi="Times New Roman"/>
          <w:sz w:val="24"/>
          <w:szCs w:val="24"/>
        </w:rPr>
        <w:t>if</w:t>
      </w:r>
      <w:r w:rsidR="00260CBF">
        <w:rPr>
          <w:rFonts w:ascii="Times New Roman" w:hAnsi="Times New Roman"/>
          <w:sz w:val="24"/>
          <w:szCs w:val="24"/>
        </w:rPr>
        <w:t xml:space="preserve"> </w:t>
      </w:r>
      <w:r w:rsidR="00751A0A">
        <w:rPr>
          <w:rFonts w:ascii="Times New Roman" w:hAnsi="Times New Roman"/>
          <w:sz w:val="24"/>
          <w:szCs w:val="24"/>
        </w:rPr>
        <w:t xml:space="preserve">there are </w:t>
      </w:r>
      <w:r w:rsidR="00260CBF">
        <w:rPr>
          <w:rFonts w:ascii="Times New Roman" w:hAnsi="Times New Roman"/>
          <w:sz w:val="24"/>
          <w:szCs w:val="24"/>
        </w:rPr>
        <w:t>concerns about the quality of the disclosures.</w:t>
      </w:r>
    </w:p>
    <w:p w14:paraId="0CAEADE4" w14:textId="77777777" w:rsidR="006F6D2F" w:rsidRDefault="006F6D2F" w:rsidP="006F6D2F">
      <w:pPr>
        <w:spacing w:after="240"/>
        <w:jc w:val="both"/>
        <w:rPr>
          <w:rFonts w:ascii="Times New Roman" w:hAnsi="Times New Roman"/>
          <w:i/>
          <w:iCs/>
          <w:sz w:val="24"/>
          <w:szCs w:val="24"/>
        </w:rPr>
      </w:pPr>
      <w:r>
        <w:rPr>
          <w:rFonts w:ascii="Times New Roman" w:hAnsi="Times New Roman"/>
          <w:i/>
          <w:iCs/>
          <w:sz w:val="24"/>
          <w:szCs w:val="24"/>
        </w:rPr>
        <w:t>Disclosure policy</w:t>
      </w:r>
    </w:p>
    <w:p w14:paraId="7FD077D6" w14:textId="77777777" w:rsidR="0078797C" w:rsidRDefault="006F6D2F" w:rsidP="006F6D2F">
      <w:pPr>
        <w:spacing w:after="240"/>
        <w:jc w:val="both"/>
        <w:rPr>
          <w:rFonts w:ascii="Times New Roman" w:hAnsi="Times New Roman"/>
          <w:sz w:val="24"/>
          <w:szCs w:val="24"/>
        </w:rPr>
      </w:pPr>
      <w:r>
        <w:rPr>
          <w:rFonts w:ascii="Times New Roman" w:hAnsi="Times New Roman"/>
          <w:sz w:val="24"/>
          <w:szCs w:val="24"/>
        </w:rPr>
        <w:t xml:space="preserve">Paragraphs 25 to 27 require an ADI to have a formal policy relating to its prudential disclosures approved by the ADI’s Board of Directors. This policy must include how an ADI maintains effective internal controls and procedures for public disclosures. </w:t>
      </w:r>
    </w:p>
    <w:p w14:paraId="2451C04C" w14:textId="08BB72DD" w:rsidR="006F6D2F" w:rsidRDefault="006F6D2F" w:rsidP="006F6D2F">
      <w:pPr>
        <w:spacing w:after="240"/>
        <w:jc w:val="both"/>
        <w:rPr>
          <w:rFonts w:ascii="Times New Roman" w:hAnsi="Times New Roman"/>
          <w:sz w:val="24"/>
          <w:szCs w:val="24"/>
        </w:rPr>
      </w:pPr>
      <w:r>
        <w:rPr>
          <w:rFonts w:ascii="Times New Roman" w:hAnsi="Times New Roman"/>
          <w:sz w:val="24"/>
          <w:szCs w:val="24"/>
        </w:rPr>
        <w:t xml:space="preserve">Under paragraph 27, an ADI may </w:t>
      </w:r>
      <w:r w:rsidR="00111FD1">
        <w:rPr>
          <w:rFonts w:ascii="Times New Roman" w:hAnsi="Times New Roman"/>
          <w:sz w:val="24"/>
          <w:szCs w:val="24"/>
        </w:rPr>
        <w:t xml:space="preserve">elect </w:t>
      </w:r>
      <w:r>
        <w:rPr>
          <w:rFonts w:ascii="Times New Roman" w:hAnsi="Times New Roman"/>
          <w:sz w:val="24"/>
          <w:szCs w:val="24"/>
        </w:rPr>
        <w:t xml:space="preserve">not </w:t>
      </w:r>
      <w:r w:rsidR="00111FD1">
        <w:rPr>
          <w:rFonts w:ascii="Times New Roman" w:hAnsi="Times New Roman"/>
          <w:sz w:val="24"/>
          <w:szCs w:val="24"/>
        </w:rPr>
        <w:t xml:space="preserve">to </w:t>
      </w:r>
      <w:r>
        <w:rPr>
          <w:rFonts w:ascii="Times New Roman" w:hAnsi="Times New Roman"/>
          <w:sz w:val="24"/>
          <w:szCs w:val="24"/>
        </w:rPr>
        <w:t xml:space="preserve">make a particular disclosure if it would prejudice the position of </w:t>
      </w:r>
      <w:r w:rsidR="00E756B0">
        <w:rPr>
          <w:rFonts w:ascii="Times New Roman" w:hAnsi="Times New Roman"/>
          <w:sz w:val="24"/>
          <w:szCs w:val="24"/>
        </w:rPr>
        <w:t>the</w:t>
      </w:r>
      <w:r>
        <w:rPr>
          <w:rFonts w:ascii="Times New Roman" w:hAnsi="Times New Roman"/>
          <w:sz w:val="24"/>
          <w:szCs w:val="24"/>
        </w:rPr>
        <w:t xml:space="preserve"> ADI or any other person</w:t>
      </w:r>
      <w:r w:rsidR="00D4730D">
        <w:rPr>
          <w:rFonts w:ascii="Times New Roman" w:hAnsi="Times New Roman"/>
          <w:sz w:val="24"/>
          <w:szCs w:val="24"/>
        </w:rPr>
        <w:t xml:space="preserve"> by disclosing proprietary</w:t>
      </w:r>
      <w:r w:rsidR="00924E56">
        <w:rPr>
          <w:rFonts w:ascii="Times New Roman" w:hAnsi="Times New Roman"/>
          <w:sz w:val="24"/>
          <w:szCs w:val="24"/>
        </w:rPr>
        <w:t xml:space="preserve"> or</w:t>
      </w:r>
      <w:r w:rsidR="00D4730D">
        <w:rPr>
          <w:rFonts w:ascii="Times New Roman" w:hAnsi="Times New Roman"/>
          <w:sz w:val="24"/>
          <w:szCs w:val="24"/>
        </w:rPr>
        <w:t xml:space="preserve"> confidential </w:t>
      </w:r>
      <w:r w:rsidR="00924E56">
        <w:rPr>
          <w:rFonts w:ascii="Times New Roman" w:hAnsi="Times New Roman"/>
          <w:sz w:val="24"/>
          <w:szCs w:val="24"/>
        </w:rPr>
        <w:t xml:space="preserve">information, </w:t>
      </w:r>
      <w:r w:rsidR="00D4730D">
        <w:rPr>
          <w:rFonts w:ascii="Times New Roman" w:hAnsi="Times New Roman"/>
          <w:sz w:val="24"/>
          <w:szCs w:val="24"/>
        </w:rPr>
        <w:t>or personal information</w:t>
      </w:r>
      <w:r w:rsidR="00924E56">
        <w:rPr>
          <w:rFonts w:ascii="Times New Roman" w:hAnsi="Times New Roman"/>
          <w:sz w:val="24"/>
          <w:szCs w:val="24"/>
        </w:rPr>
        <w:t xml:space="preserve"> as defined in the </w:t>
      </w:r>
      <w:r w:rsidR="00924E56" w:rsidRPr="00C67CB7">
        <w:rPr>
          <w:rFonts w:ascii="Times New Roman" w:hAnsi="Times New Roman"/>
          <w:i/>
          <w:sz w:val="24"/>
          <w:szCs w:val="24"/>
        </w:rPr>
        <w:t>Privacy Act 1988</w:t>
      </w:r>
      <w:r>
        <w:rPr>
          <w:rFonts w:ascii="Times New Roman" w:hAnsi="Times New Roman"/>
          <w:sz w:val="24"/>
          <w:szCs w:val="24"/>
        </w:rPr>
        <w:t>.</w:t>
      </w:r>
    </w:p>
    <w:p w14:paraId="6F4AED7C" w14:textId="77777777" w:rsidR="006F6D2F" w:rsidRDefault="006F6D2F" w:rsidP="006F6D2F">
      <w:pPr>
        <w:spacing w:after="240"/>
        <w:jc w:val="both"/>
        <w:rPr>
          <w:rFonts w:ascii="Times New Roman" w:hAnsi="Times New Roman"/>
          <w:i/>
          <w:iCs/>
          <w:sz w:val="24"/>
          <w:szCs w:val="24"/>
        </w:rPr>
      </w:pPr>
      <w:r>
        <w:rPr>
          <w:rFonts w:ascii="Times New Roman" w:hAnsi="Times New Roman"/>
          <w:i/>
          <w:iCs/>
          <w:sz w:val="24"/>
          <w:szCs w:val="24"/>
        </w:rPr>
        <w:t>Verification of disclosures</w:t>
      </w:r>
    </w:p>
    <w:p w14:paraId="2885B1FF" w14:textId="77777777" w:rsidR="006F6D2F" w:rsidRDefault="006F6D2F" w:rsidP="006F6D2F">
      <w:pPr>
        <w:spacing w:after="240"/>
        <w:jc w:val="both"/>
        <w:rPr>
          <w:rFonts w:ascii="Times New Roman" w:hAnsi="Times New Roman"/>
          <w:sz w:val="24"/>
          <w:szCs w:val="24"/>
        </w:rPr>
      </w:pPr>
      <w:r>
        <w:rPr>
          <w:rFonts w:ascii="Times New Roman" w:hAnsi="Times New Roman"/>
          <w:sz w:val="24"/>
          <w:szCs w:val="24"/>
        </w:rPr>
        <w:t xml:space="preserve">Paragraphs 28 to 30 require an ADI to ensure that its prudential disclosures are verified and are </w:t>
      </w:r>
      <w:proofErr w:type="gramStart"/>
      <w:r>
        <w:rPr>
          <w:rFonts w:ascii="Times New Roman" w:hAnsi="Times New Roman"/>
          <w:sz w:val="24"/>
          <w:szCs w:val="24"/>
        </w:rPr>
        <w:t>reliable, and</w:t>
      </w:r>
      <w:proofErr w:type="gramEnd"/>
      <w:r>
        <w:rPr>
          <w:rFonts w:ascii="Times New Roman" w:hAnsi="Times New Roman"/>
          <w:sz w:val="24"/>
          <w:szCs w:val="24"/>
        </w:rPr>
        <w:t xml:space="preserve"> are consistent with information provided to external auditors and reported to APRA. The Accountable Person of the ADI must attest that disclosures have been made in accordance with the ADI’s disclosure policy required in paragraph 25 of APS 330.</w:t>
      </w:r>
    </w:p>
    <w:p w14:paraId="2C0A5888" w14:textId="77777777" w:rsidR="006F6D2F" w:rsidRDefault="006F6D2F" w:rsidP="006F6D2F">
      <w:pPr>
        <w:spacing w:after="240"/>
        <w:jc w:val="both"/>
        <w:rPr>
          <w:rFonts w:ascii="Times New Roman" w:hAnsi="Times New Roman"/>
          <w:i/>
          <w:iCs/>
          <w:sz w:val="24"/>
          <w:szCs w:val="24"/>
        </w:rPr>
      </w:pPr>
      <w:r>
        <w:rPr>
          <w:rFonts w:ascii="Times New Roman" w:hAnsi="Times New Roman"/>
          <w:i/>
          <w:iCs/>
          <w:sz w:val="24"/>
          <w:szCs w:val="24"/>
        </w:rPr>
        <w:t>Frequency and timing of disclosures</w:t>
      </w:r>
    </w:p>
    <w:p w14:paraId="23F32B88" w14:textId="77777777" w:rsidR="006F6D2F" w:rsidRDefault="006F6D2F" w:rsidP="006F6D2F">
      <w:pPr>
        <w:spacing w:after="240"/>
        <w:jc w:val="both"/>
        <w:rPr>
          <w:rFonts w:ascii="Times New Roman" w:hAnsi="Times New Roman"/>
          <w:sz w:val="24"/>
          <w:szCs w:val="24"/>
        </w:rPr>
      </w:pPr>
      <w:r>
        <w:rPr>
          <w:rFonts w:ascii="Times New Roman" w:hAnsi="Times New Roman"/>
          <w:sz w:val="24"/>
          <w:szCs w:val="24"/>
        </w:rPr>
        <w:t>Paragraphs 31 to 33 require an ADI to publish disclosures with the frequency and timing as required by the BCBS Standard. Prudential disclosures should also be published concurrently with the lodgement of the ADI’s financial reports under the Corporations Act. If disclosures are due during a period where an ADI is not required to produce a financial report, the disclosures must be published as soon as practicable.</w:t>
      </w:r>
    </w:p>
    <w:p w14:paraId="42D9B6E1" w14:textId="77777777" w:rsidR="006F6D2F" w:rsidRDefault="006F6D2F" w:rsidP="006F6D2F">
      <w:pPr>
        <w:spacing w:after="240"/>
        <w:jc w:val="both"/>
        <w:rPr>
          <w:rFonts w:ascii="Times New Roman" w:hAnsi="Times New Roman"/>
          <w:i/>
          <w:iCs/>
          <w:sz w:val="24"/>
          <w:szCs w:val="24"/>
        </w:rPr>
      </w:pPr>
      <w:r>
        <w:rPr>
          <w:rFonts w:ascii="Times New Roman" w:hAnsi="Times New Roman"/>
          <w:i/>
          <w:iCs/>
          <w:sz w:val="24"/>
          <w:szCs w:val="24"/>
        </w:rPr>
        <w:t>Presentation of disclosures</w:t>
      </w:r>
    </w:p>
    <w:p w14:paraId="3549B19A" w14:textId="77777777" w:rsidR="006F6D2F" w:rsidRDefault="006F6D2F" w:rsidP="006F6D2F">
      <w:pPr>
        <w:spacing w:after="240"/>
        <w:jc w:val="both"/>
        <w:rPr>
          <w:rFonts w:ascii="Times New Roman" w:hAnsi="Times New Roman"/>
          <w:sz w:val="24"/>
          <w:szCs w:val="24"/>
        </w:rPr>
      </w:pPr>
      <w:r>
        <w:rPr>
          <w:rFonts w:ascii="Times New Roman" w:hAnsi="Times New Roman"/>
          <w:sz w:val="24"/>
          <w:szCs w:val="24"/>
        </w:rPr>
        <w:t xml:space="preserve">Paragraphs 34 to 41 set out the requirements for an ADI presenting its disclosures. This includes requiring an ADI to have a ‘Regulatory Disclosures’ section on its website that is easily identifiable to users. Additionally, ADIs must publish quantitative disclosures in machine-readable formats (for example, Comma-separated values file or Microsoft Excel file), to facilitate the use of these disclosures. </w:t>
      </w:r>
    </w:p>
    <w:p w14:paraId="672F2EF2" w14:textId="77777777" w:rsidR="006F6D2F" w:rsidRDefault="006F6D2F" w:rsidP="006F6D2F">
      <w:pPr>
        <w:spacing w:after="240"/>
        <w:jc w:val="both"/>
        <w:rPr>
          <w:rFonts w:ascii="Times New Roman" w:hAnsi="Times New Roman"/>
          <w:sz w:val="24"/>
          <w:szCs w:val="24"/>
        </w:rPr>
      </w:pPr>
      <w:r>
        <w:rPr>
          <w:rFonts w:ascii="Times New Roman" w:hAnsi="Times New Roman"/>
          <w:sz w:val="24"/>
          <w:szCs w:val="24"/>
        </w:rPr>
        <w:t xml:space="preserve">Paragraph 39 requires that ADIs must make disclosures that are meaningful to users. Where a particular disclosure is not meaningful, for example because the information disclosed is immaterial, an ADI may choose not to disclose </w:t>
      </w:r>
      <w:proofErr w:type="gramStart"/>
      <w:r>
        <w:rPr>
          <w:rFonts w:ascii="Times New Roman" w:hAnsi="Times New Roman"/>
          <w:sz w:val="24"/>
          <w:szCs w:val="24"/>
        </w:rPr>
        <w:t>part</w:t>
      </w:r>
      <w:proofErr w:type="gramEnd"/>
      <w:r>
        <w:rPr>
          <w:rFonts w:ascii="Times New Roman" w:hAnsi="Times New Roman"/>
          <w:sz w:val="24"/>
          <w:szCs w:val="24"/>
        </w:rPr>
        <w:t xml:space="preserve"> or all of the information required in the BCBS Standard. </w:t>
      </w:r>
    </w:p>
    <w:p w14:paraId="1828D721" w14:textId="77777777" w:rsidR="006F6D2F" w:rsidRDefault="006F6D2F" w:rsidP="006F6D2F">
      <w:pPr>
        <w:spacing w:after="240"/>
        <w:jc w:val="both"/>
        <w:rPr>
          <w:rFonts w:ascii="Times New Roman" w:hAnsi="Times New Roman"/>
          <w:b/>
          <w:bCs/>
          <w:i/>
          <w:iCs/>
          <w:sz w:val="24"/>
          <w:szCs w:val="24"/>
        </w:rPr>
      </w:pPr>
      <w:r>
        <w:rPr>
          <w:rFonts w:ascii="Times New Roman" w:hAnsi="Times New Roman"/>
          <w:b/>
          <w:bCs/>
          <w:i/>
          <w:iCs/>
          <w:sz w:val="24"/>
          <w:szCs w:val="24"/>
        </w:rPr>
        <w:t>Modifications to disclosure requirements</w:t>
      </w:r>
    </w:p>
    <w:p w14:paraId="00B48ADA" w14:textId="2A721846" w:rsidR="006F6D2F" w:rsidRPr="00C873A0" w:rsidRDefault="006F6D2F" w:rsidP="00C67CB7">
      <w:pPr>
        <w:spacing w:after="240"/>
        <w:jc w:val="both"/>
        <w:rPr>
          <w:rFonts w:ascii="Times New Roman" w:hAnsi="Times New Roman"/>
          <w:sz w:val="24"/>
          <w:szCs w:val="24"/>
        </w:rPr>
      </w:pPr>
      <w:r>
        <w:rPr>
          <w:rFonts w:ascii="Times New Roman" w:hAnsi="Times New Roman"/>
          <w:sz w:val="24"/>
          <w:szCs w:val="24"/>
        </w:rPr>
        <w:t xml:space="preserve">Attachment A to APS 330 sets out </w:t>
      </w:r>
      <w:r w:rsidR="0022428E">
        <w:rPr>
          <w:rFonts w:ascii="Times New Roman" w:hAnsi="Times New Roman"/>
          <w:sz w:val="24"/>
          <w:szCs w:val="24"/>
        </w:rPr>
        <w:t xml:space="preserve">detailed and technical </w:t>
      </w:r>
      <w:r>
        <w:rPr>
          <w:rFonts w:ascii="Times New Roman" w:hAnsi="Times New Roman"/>
          <w:sz w:val="24"/>
          <w:szCs w:val="24"/>
        </w:rPr>
        <w:t>modifications to disclosure requirements in the BCBS Standard</w:t>
      </w:r>
      <w:r w:rsidR="00EC4C33">
        <w:rPr>
          <w:rFonts w:ascii="Times New Roman" w:hAnsi="Times New Roman"/>
          <w:sz w:val="24"/>
          <w:szCs w:val="24"/>
        </w:rPr>
        <w:t>, as outlined in paragraph 19 of APS 330</w:t>
      </w:r>
      <w:r>
        <w:rPr>
          <w:rFonts w:ascii="Times New Roman" w:hAnsi="Times New Roman"/>
          <w:sz w:val="24"/>
          <w:szCs w:val="24"/>
        </w:rPr>
        <w:t xml:space="preserve">. The </w:t>
      </w:r>
      <w:r>
        <w:rPr>
          <w:rFonts w:ascii="Times New Roman" w:hAnsi="Times New Roman"/>
          <w:sz w:val="24"/>
          <w:szCs w:val="24"/>
        </w:rPr>
        <w:lastRenderedPageBreak/>
        <w:t xml:space="preserve">purpose of this attachment is to reconcile any differences between the APRA and BCBS regulatory frameworks. </w:t>
      </w:r>
    </w:p>
    <w:p w14:paraId="56B8E821" w14:textId="158B076B" w:rsidR="006F6D2F" w:rsidRDefault="006F6D2F">
      <w:pPr>
        <w:spacing w:after="240"/>
        <w:jc w:val="both"/>
        <w:rPr>
          <w:rFonts w:ascii="Times New Roman" w:hAnsi="Times New Roman"/>
          <w:sz w:val="24"/>
          <w:szCs w:val="24"/>
          <w:u w:val="single"/>
        </w:rPr>
      </w:pPr>
      <w:r>
        <w:rPr>
          <w:rFonts w:ascii="Times New Roman" w:hAnsi="Times New Roman"/>
          <w:sz w:val="24"/>
          <w:szCs w:val="24"/>
          <w:u w:val="single"/>
        </w:rPr>
        <w:br w:type="page"/>
      </w:r>
    </w:p>
    <w:p w14:paraId="39E7B8E5" w14:textId="3B5FC13B" w:rsidR="00043DA2" w:rsidRPr="00590C51" w:rsidRDefault="00043DA2" w:rsidP="00043DA2">
      <w:pPr>
        <w:spacing w:after="360"/>
        <w:outlineLvl w:val="0"/>
        <w:rPr>
          <w:rFonts w:ascii="Times New Roman" w:hAnsi="Times New Roman"/>
          <w:sz w:val="24"/>
          <w:szCs w:val="24"/>
          <w:u w:val="single"/>
        </w:rPr>
      </w:pPr>
      <w:r w:rsidRPr="00590C51">
        <w:rPr>
          <w:rFonts w:ascii="Times New Roman" w:hAnsi="Times New Roman"/>
          <w:sz w:val="24"/>
          <w:szCs w:val="24"/>
          <w:u w:val="single"/>
        </w:rPr>
        <w:lastRenderedPageBreak/>
        <w:t xml:space="preserve">ATTACHMENT </w:t>
      </w:r>
      <w:r w:rsidR="006F6D2F">
        <w:rPr>
          <w:rFonts w:ascii="Times New Roman" w:hAnsi="Times New Roman"/>
          <w:sz w:val="24"/>
          <w:szCs w:val="24"/>
          <w:u w:val="single"/>
        </w:rPr>
        <w:t>B</w:t>
      </w:r>
    </w:p>
    <w:p w14:paraId="09ACF579" w14:textId="77777777" w:rsidR="00043DA2" w:rsidRPr="00590C51" w:rsidRDefault="00043DA2" w:rsidP="00043DA2">
      <w:pPr>
        <w:shd w:val="clear" w:color="auto" w:fill="FFFFFF"/>
        <w:spacing w:before="100" w:beforeAutospacing="1" w:after="240"/>
        <w:jc w:val="center"/>
        <w:rPr>
          <w:rFonts w:ascii="Times New Roman" w:hAnsi="Times New Roman"/>
          <w:sz w:val="24"/>
          <w:szCs w:val="24"/>
          <w:lang w:val="en-US"/>
        </w:rPr>
      </w:pPr>
      <w:r w:rsidRPr="00590C51">
        <w:rPr>
          <w:rFonts w:ascii="Times New Roman" w:hAnsi="Times New Roman"/>
          <w:b/>
          <w:bCs/>
          <w:sz w:val="24"/>
          <w:szCs w:val="24"/>
        </w:rPr>
        <w:t>Statement of Compatibility with Human Rights</w:t>
      </w:r>
    </w:p>
    <w:p w14:paraId="4B51D2FC" w14:textId="310324E8" w:rsidR="00043DA2" w:rsidRPr="00590C51" w:rsidRDefault="00043DA2" w:rsidP="00C67CB7">
      <w:pPr>
        <w:shd w:val="clear" w:color="auto" w:fill="FFFFFF"/>
        <w:spacing w:before="100" w:beforeAutospacing="1" w:after="240"/>
        <w:jc w:val="both"/>
        <w:rPr>
          <w:rFonts w:ascii="Times New Roman" w:hAnsi="Times New Roman"/>
          <w:sz w:val="24"/>
          <w:szCs w:val="24"/>
          <w:lang w:val="en-US"/>
        </w:rPr>
      </w:pPr>
      <w:r w:rsidRPr="00590C51">
        <w:rPr>
          <w:rFonts w:ascii="Times New Roman" w:hAnsi="Times New Roman"/>
          <w:sz w:val="24"/>
          <w:szCs w:val="24"/>
        </w:rPr>
        <w:t xml:space="preserve">Prepared in accordance with Part 3 of the </w:t>
      </w:r>
      <w:r w:rsidRPr="00590C51">
        <w:rPr>
          <w:rFonts w:ascii="Times New Roman" w:hAnsi="Times New Roman"/>
          <w:i/>
          <w:iCs/>
          <w:sz w:val="24"/>
          <w:szCs w:val="24"/>
        </w:rPr>
        <w:t>Human Rights (Parliamentary Scrutiny) Act 2011</w:t>
      </w:r>
      <w:r w:rsidR="002D6F96">
        <w:rPr>
          <w:rFonts w:ascii="Times New Roman" w:hAnsi="Times New Roman"/>
          <w:i/>
          <w:iCs/>
          <w:sz w:val="24"/>
          <w:szCs w:val="24"/>
        </w:rPr>
        <w:t>.</w:t>
      </w:r>
    </w:p>
    <w:p w14:paraId="1D17F7F3" w14:textId="64CAD431" w:rsidR="00043DA2" w:rsidRPr="00ED19D5" w:rsidRDefault="00043DA2" w:rsidP="00590C51">
      <w:pPr>
        <w:shd w:val="clear" w:color="auto" w:fill="FFFFFF" w:themeFill="background1"/>
        <w:spacing w:before="100" w:beforeAutospacing="1" w:after="240"/>
        <w:jc w:val="center"/>
        <w:rPr>
          <w:rFonts w:ascii="Times New Roman" w:hAnsi="Times New Roman"/>
          <w:b/>
          <w:bCs/>
          <w:i/>
          <w:sz w:val="24"/>
          <w:szCs w:val="24"/>
          <w:lang w:val="en-US"/>
        </w:rPr>
      </w:pPr>
      <w:r w:rsidRPr="00ED19D5">
        <w:rPr>
          <w:rFonts w:ascii="Times New Roman" w:hAnsi="Times New Roman"/>
          <w:b/>
          <w:bCs/>
          <w:i/>
          <w:sz w:val="24"/>
          <w:szCs w:val="24"/>
        </w:rPr>
        <w:t xml:space="preserve">Banking (prudential standard) determination No. </w:t>
      </w:r>
      <w:r w:rsidR="00030EA9">
        <w:rPr>
          <w:rFonts w:ascii="Times New Roman" w:hAnsi="Times New Roman"/>
          <w:b/>
          <w:bCs/>
          <w:i/>
          <w:sz w:val="24"/>
          <w:szCs w:val="24"/>
        </w:rPr>
        <w:t>3</w:t>
      </w:r>
      <w:r w:rsidRPr="00ED19D5">
        <w:rPr>
          <w:rFonts w:ascii="Times New Roman" w:hAnsi="Times New Roman"/>
          <w:b/>
          <w:bCs/>
          <w:i/>
          <w:sz w:val="24"/>
          <w:szCs w:val="24"/>
        </w:rPr>
        <w:t xml:space="preserve"> of 202</w:t>
      </w:r>
      <w:r w:rsidR="001808E7">
        <w:rPr>
          <w:rFonts w:ascii="Times New Roman" w:hAnsi="Times New Roman"/>
          <w:b/>
          <w:bCs/>
          <w:i/>
          <w:sz w:val="24"/>
          <w:szCs w:val="24"/>
        </w:rPr>
        <w:t>4</w:t>
      </w:r>
    </w:p>
    <w:p w14:paraId="3B8FD60E" w14:textId="59E75C29" w:rsidR="00043DA2" w:rsidRPr="00590C51" w:rsidRDefault="00043DA2" w:rsidP="00043DA2">
      <w:pPr>
        <w:shd w:val="clear" w:color="auto" w:fill="FFFFFF"/>
        <w:spacing w:before="100" w:beforeAutospacing="1" w:after="240"/>
        <w:jc w:val="both"/>
        <w:rPr>
          <w:rFonts w:ascii="Times New Roman" w:hAnsi="Times New Roman"/>
          <w:sz w:val="24"/>
          <w:szCs w:val="24"/>
          <w:lang w:val="en-US"/>
        </w:rPr>
      </w:pPr>
      <w:r w:rsidRPr="00590C51">
        <w:rPr>
          <w:rFonts w:ascii="Times New Roman" w:hAnsi="Times New Roman"/>
          <w:sz w:val="24"/>
          <w:szCs w:val="24"/>
        </w:rPr>
        <w:t>Th</w:t>
      </w:r>
      <w:r w:rsidR="00A81C6A">
        <w:rPr>
          <w:rFonts w:ascii="Times New Roman" w:hAnsi="Times New Roman"/>
          <w:sz w:val="24"/>
          <w:szCs w:val="24"/>
        </w:rPr>
        <w:t>is</w:t>
      </w:r>
      <w:r w:rsidRPr="00590C51">
        <w:rPr>
          <w:rFonts w:ascii="Times New Roman" w:hAnsi="Times New Roman"/>
          <w:sz w:val="24"/>
          <w:szCs w:val="24"/>
        </w:rPr>
        <w:t xml:space="preserve"> legislative instrument</w:t>
      </w:r>
      <w:r w:rsidR="00144C53">
        <w:rPr>
          <w:rFonts w:ascii="Times New Roman" w:hAnsi="Times New Roman"/>
          <w:sz w:val="24"/>
          <w:szCs w:val="24"/>
        </w:rPr>
        <w:t xml:space="preserve"> is</w:t>
      </w:r>
      <w:r w:rsidRPr="00590C51">
        <w:rPr>
          <w:rFonts w:ascii="Times New Roman" w:hAnsi="Times New Roman"/>
          <w:sz w:val="24"/>
          <w:szCs w:val="24"/>
        </w:rPr>
        <w:t xml:space="preserve"> compatible with the human rights and freedoms recognised or declared in the international instrument</w:t>
      </w:r>
      <w:r w:rsidR="008E17E1">
        <w:rPr>
          <w:rFonts w:ascii="Times New Roman" w:hAnsi="Times New Roman"/>
          <w:sz w:val="24"/>
          <w:szCs w:val="24"/>
        </w:rPr>
        <w:t>s</w:t>
      </w:r>
      <w:r w:rsidRPr="00590C51">
        <w:rPr>
          <w:rFonts w:ascii="Times New Roman" w:hAnsi="Times New Roman"/>
          <w:sz w:val="24"/>
          <w:szCs w:val="24"/>
        </w:rPr>
        <w:t xml:space="preserve"> listed in section 3 of the </w:t>
      </w:r>
      <w:r w:rsidRPr="00590C51">
        <w:rPr>
          <w:rFonts w:ascii="Times New Roman" w:hAnsi="Times New Roman"/>
          <w:i/>
          <w:iCs/>
          <w:sz w:val="24"/>
          <w:szCs w:val="24"/>
        </w:rPr>
        <w:t>Human Rights (Parliamentary Scrutiny) Act 2011</w:t>
      </w:r>
      <w:r w:rsidRPr="00590C51">
        <w:rPr>
          <w:rFonts w:ascii="Times New Roman" w:hAnsi="Times New Roman"/>
          <w:sz w:val="24"/>
          <w:szCs w:val="24"/>
        </w:rPr>
        <w:t xml:space="preserve"> (HRPS Act).</w:t>
      </w:r>
    </w:p>
    <w:p w14:paraId="1813BA72" w14:textId="36FAC196" w:rsidR="00043DA2" w:rsidRPr="00590C51" w:rsidRDefault="00043DA2" w:rsidP="00043DA2">
      <w:pPr>
        <w:shd w:val="clear" w:color="auto" w:fill="FFFFFF"/>
        <w:spacing w:before="100" w:beforeAutospacing="1" w:after="240"/>
        <w:jc w:val="both"/>
        <w:rPr>
          <w:rFonts w:ascii="Times New Roman" w:hAnsi="Times New Roman"/>
          <w:sz w:val="24"/>
          <w:szCs w:val="24"/>
          <w:lang w:val="en-US"/>
        </w:rPr>
      </w:pPr>
      <w:r w:rsidRPr="00590C51">
        <w:rPr>
          <w:rFonts w:ascii="Times New Roman" w:hAnsi="Times New Roman"/>
          <w:b/>
          <w:bCs/>
          <w:sz w:val="24"/>
          <w:szCs w:val="24"/>
        </w:rPr>
        <w:t>Overview of the Legislative Instrument</w:t>
      </w:r>
    </w:p>
    <w:p w14:paraId="47E45558" w14:textId="6828A718" w:rsidR="00043DA2" w:rsidRDefault="00043DA2" w:rsidP="00043DA2">
      <w:pPr>
        <w:spacing w:after="240"/>
        <w:jc w:val="both"/>
        <w:rPr>
          <w:rFonts w:ascii="Times New Roman" w:hAnsi="Times New Roman"/>
          <w:iCs/>
          <w:sz w:val="24"/>
          <w:szCs w:val="24"/>
        </w:rPr>
      </w:pPr>
      <w:r w:rsidRPr="00590C51">
        <w:rPr>
          <w:rFonts w:ascii="Times New Roman" w:hAnsi="Times New Roman"/>
          <w:sz w:val="24"/>
          <w:szCs w:val="24"/>
        </w:rPr>
        <w:t>The purpose of the</w:t>
      </w:r>
      <w:r w:rsidR="004E532A">
        <w:rPr>
          <w:rFonts w:ascii="Times New Roman" w:hAnsi="Times New Roman"/>
          <w:sz w:val="24"/>
          <w:szCs w:val="24"/>
        </w:rPr>
        <w:t xml:space="preserve"> legislative</w:t>
      </w:r>
      <w:r w:rsidRPr="00590C51">
        <w:rPr>
          <w:rFonts w:ascii="Times New Roman" w:hAnsi="Times New Roman"/>
          <w:sz w:val="24"/>
          <w:szCs w:val="24"/>
        </w:rPr>
        <w:t xml:space="preserve"> instrument is to revoke </w:t>
      </w:r>
      <w:r w:rsidRPr="00590C51">
        <w:rPr>
          <w:rFonts w:ascii="Times New Roman" w:hAnsi="Times New Roman"/>
          <w:i/>
          <w:iCs/>
          <w:sz w:val="24"/>
          <w:szCs w:val="24"/>
        </w:rPr>
        <w:t xml:space="preserve">Prudential Standard </w:t>
      </w:r>
      <w:r w:rsidR="00104709">
        <w:rPr>
          <w:rFonts w:ascii="Times New Roman" w:hAnsi="Times New Roman"/>
          <w:i/>
          <w:iCs/>
          <w:sz w:val="24"/>
          <w:szCs w:val="24"/>
        </w:rPr>
        <w:t>APS 330 Public Disclosure</w:t>
      </w:r>
      <w:r w:rsidR="002C371F">
        <w:rPr>
          <w:rFonts w:ascii="Times New Roman" w:hAnsi="Times New Roman"/>
          <w:i/>
          <w:iCs/>
          <w:sz w:val="24"/>
          <w:szCs w:val="24"/>
        </w:rPr>
        <w:t xml:space="preserve"> </w:t>
      </w:r>
      <w:r w:rsidR="008D09B0">
        <w:rPr>
          <w:rFonts w:ascii="Times New Roman" w:hAnsi="Times New Roman"/>
          <w:sz w:val="24"/>
          <w:szCs w:val="24"/>
        </w:rPr>
        <w:t>(APS 33</w:t>
      </w:r>
      <w:r w:rsidR="00B20E33">
        <w:rPr>
          <w:rFonts w:ascii="Times New Roman" w:hAnsi="Times New Roman"/>
          <w:sz w:val="24"/>
          <w:szCs w:val="24"/>
        </w:rPr>
        <w:t>0</w:t>
      </w:r>
      <w:r w:rsidR="008D09B0">
        <w:rPr>
          <w:rFonts w:ascii="Times New Roman" w:hAnsi="Times New Roman"/>
          <w:sz w:val="24"/>
          <w:szCs w:val="24"/>
        </w:rPr>
        <w:t xml:space="preserve">) </w:t>
      </w:r>
      <w:r w:rsidRPr="00590C51">
        <w:rPr>
          <w:rFonts w:ascii="Times New Roman" w:hAnsi="Times New Roman"/>
          <w:sz w:val="24"/>
          <w:szCs w:val="24"/>
        </w:rPr>
        <w:t>and</w:t>
      </w:r>
      <w:r w:rsidRPr="00302225">
        <w:rPr>
          <w:rFonts w:ascii="Times New Roman" w:hAnsi="Times New Roman"/>
          <w:sz w:val="24"/>
          <w:szCs w:val="24"/>
        </w:rPr>
        <w:t xml:space="preserve"> replace it with a new</w:t>
      </w:r>
      <w:r w:rsidR="002C371F">
        <w:rPr>
          <w:rFonts w:ascii="Times New Roman" w:hAnsi="Times New Roman"/>
          <w:sz w:val="24"/>
          <w:szCs w:val="24"/>
        </w:rPr>
        <w:t xml:space="preserve"> APS </w:t>
      </w:r>
      <w:r w:rsidR="00104709">
        <w:rPr>
          <w:rFonts w:ascii="Times New Roman" w:hAnsi="Times New Roman"/>
          <w:sz w:val="24"/>
          <w:szCs w:val="24"/>
        </w:rPr>
        <w:t>330</w:t>
      </w:r>
      <w:r w:rsidR="002C371F">
        <w:rPr>
          <w:rFonts w:ascii="Times New Roman" w:hAnsi="Times New Roman"/>
          <w:iCs/>
          <w:sz w:val="24"/>
          <w:szCs w:val="24"/>
        </w:rPr>
        <w:t>.</w:t>
      </w:r>
    </w:p>
    <w:p w14:paraId="1DF210E8" w14:textId="70C6BBC1" w:rsidR="00786C60" w:rsidRDefault="0094423D" w:rsidP="00043DA2">
      <w:pPr>
        <w:spacing w:after="240"/>
        <w:jc w:val="both"/>
        <w:rPr>
          <w:rFonts w:ascii="Times New Roman" w:hAnsi="Times New Roman"/>
          <w:iCs/>
          <w:sz w:val="24"/>
          <w:szCs w:val="24"/>
        </w:rPr>
      </w:pPr>
      <w:r>
        <w:rPr>
          <w:rFonts w:ascii="Times New Roman" w:hAnsi="Times New Roman"/>
          <w:iCs/>
          <w:sz w:val="24"/>
          <w:szCs w:val="24"/>
        </w:rPr>
        <w:t xml:space="preserve">The new APS 330 </w:t>
      </w:r>
      <w:r w:rsidR="0031470E">
        <w:rPr>
          <w:rFonts w:ascii="Times New Roman" w:hAnsi="Times New Roman"/>
          <w:iCs/>
          <w:sz w:val="24"/>
          <w:szCs w:val="24"/>
        </w:rPr>
        <w:t xml:space="preserve">requires </w:t>
      </w:r>
      <w:r w:rsidR="00B82DC1">
        <w:rPr>
          <w:rFonts w:ascii="Times New Roman" w:hAnsi="Times New Roman"/>
          <w:iCs/>
          <w:sz w:val="24"/>
          <w:szCs w:val="24"/>
        </w:rPr>
        <w:t xml:space="preserve">certain </w:t>
      </w:r>
      <w:r w:rsidR="003A0320">
        <w:rPr>
          <w:rFonts w:ascii="Times New Roman" w:hAnsi="Times New Roman"/>
          <w:iCs/>
          <w:sz w:val="24"/>
          <w:szCs w:val="24"/>
        </w:rPr>
        <w:t xml:space="preserve">authorised deposit-taking institutions (ADIs) to </w:t>
      </w:r>
      <w:r w:rsidR="00B82DC1">
        <w:rPr>
          <w:rFonts w:ascii="Times New Roman" w:hAnsi="Times New Roman"/>
          <w:iCs/>
          <w:sz w:val="24"/>
          <w:szCs w:val="24"/>
        </w:rPr>
        <w:t xml:space="preserve">publicly disclose key prudential </w:t>
      </w:r>
      <w:r w:rsidR="00CA6AD5">
        <w:rPr>
          <w:rFonts w:ascii="Times New Roman" w:hAnsi="Times New Roman"/>
          <w:iCs/>
          <w:sz w:val="24"/>
          <w:szCs w:val="24"/>
        </w:rPr>
        <w:t xml:space="preserve">metrics and </w:t>
      </w:r>
      <w:r w:rsidR="00B82DC1">
        <w:rPr>
          <w:rFonts w:ascii="Times New Roman" w:hAnsi="Times New Roman"/>
          <w:iCs/>
          <w:sz w:val="24"/>
          <w:szCs w:val="24"/>
        </w:rPr>
        <w:t>information</w:t>
      </w:r>
      <w:r w:rsidR="00CA6AD5">
        <w:rPr>
          <w:rFonts w:ascii="Times New Roman" w:hAnsi="Times New Roman"/>
          <w:iCs/>
          <w:sz w:val="24"/>
          <w:szCs w:val="24"/>
        </w:rPr>
        <w:t xml:space="preserve"> relating to the</w:t>
      </w:r>
      <w:r w:rsidR="00786C60">
        <w:rPr>
          <w:rFonts w:ascii="Times New Roman" w:hAnsi="Times New Roman"/>
          <w:iCs/>
          <w:sz w:val="24"/>
          <w:szCs w:val="24"/>
        </w:rPr>
        <w:t>ir risk profiles and financial resilience</w:t>
      </w:r>
      <w:r w:rsidR="00B82DC1">
        <w:rPr>
          <w:rFonts w:ascii="Times New Roman" w:hAnsi="Times New Roman"/>
          <w:iCs/>
          <w:sz w:val="24"/>
          <w:szCs w:val="24"/>
        </w:rPr>
        <w:t>, to contribute to the transparency of financial markets and to enhance market discipline</w:t>
      </w:r>
      <w:r w:rsidR="003A0320">
        <w:rPr>
          <w:rFonts w:ascii="Times New Roman" w:hAnsi="Times New Roman"/>
          <w:iCs/>
          <w:sz w:val="24"/>
          <w:szCs w:val="24"/>
        </w:rPr>
        <w:t>.</w:t>
      </w:r>
      <w:r w:rsidR="004145FA">
        <w:rPr>
          <w:rFonts w:ascii="Times New Roman" w:hAnsi="Times New Roman"/>
          <w:iCs/>
          <w:sz w:val="24"/>
          <w:szCs w:val="24"/>
        </w:rPr>
        <w:t xml:space="preserve"> </w:t>
      </w:r>
      <w:r w:rsidR="00EF60A3">
        <w:rPr>
          <w:rFonts w:ascii="Times New Roman" w:hAnsi="Times New Roman"/>
          <w:iCs/>
          <w:sz w:val="24"/>
          <w:szCs w:val="24"/>
        </w:rPr>
        <w:t xml:space="preserve">An ADI is not required to disclose information that may prejudice the position of the ADI or any other person </w:t>
      </w:r>
      <w:r w:rsidR="00984039">
        <w:rPr>
          <w:rFonts w:ascii="Times New Roman" w:hAnsi="Times New Roman"/>
          <w:iCs/>
          <w:sz w:val="24"/>
          <w:szCs w:val="24"/>
        </w:rPr>
        <w:t xml:space="preserve">by disclosing proprietary or confidential information, or personal information </w:t>
      </w:r>
      <w:r w:rsidR="00C2662C">
        <w:rPr>
          <w:rFonts w:ascii="Times New Roman" w:hAnsi="Times New Roman"/>
          <w:iCs/>
          <w:sz w:val="24"/>
          <w:szCs w:val="24"/>
        </w:rPr>
        <w:t xml:space="preserve">as defined in the </w:t>
      </w:r>
      <w:r w:rsidR="00C2662C" w:rsidRPr="00C67CB7">
        <w:rPr>
          <w:rFonts w:ascii="Times New Roman" w:hAnsi="Times New Roman"/>
          <w:i/>
          <w:sz w:val="24"/>
          <w:szCs w:val="24"/>
        </w:rPr>
        <w:t>Privacy Act 1988</w:t>
      </w:r>
      <w:r w:rsidR="00C2662C">
        <w:rPr>
          <w:rFonts w:ascii="Times New Roman" w:hAnsi="Times New Roman"/>
          <w:iCs/>
          <w:sz w:val="24"/>
          <w:szCs w:val="24"/>
        </w:rPr>
        <w:t>.</w:t>
      </w:r>
    </w:p>
    <w:p w14:paraId="3CBF608F" w14:textId="095506C9" w:rsidR="00104709" w:rsidRPr="00590C51" w:rsidRDefault="0031470E" w:rsidP="00043DA2">
      <w:pPr>
        <w:spacing w:after="240"/>
        <w:jc w:val="both"/>
        <w:rPr>
          <w:rFonts w:ascii="Times New Roman" w:hAnsi="Times New Roman"/>
          <w:sz w:val="24"/>
          <w:szCs w:val="24"/>
        </w:rPr>
      </w:pPr>
      <w:r>
        <w:rPr>
          <w:rFonts w:ascii="Times New Roman" w:hAnsi="Times New Roman"/>
          <w:iCs/>
          <w:sz w:val="24"/>
          <w:szCs w:val="24"/>
        </w:rPr>
        <w:t>ADIs are bodies corporate that have be</w:t>
      </w:r>
      <w:r w:rsidR="003A0320">
        <w:rPr>
          <w:rFonts w:ascii="Times New Roman" w:hAnsi="Times New Roman"/>
          <w:iCs/>
          <w:sz w:val="24"/>
          <w:szCs w:val="24"/>
        </w:rPr>
        <w:t>e</w:t>
      </w:r>
      <w:r>
        <w:rPr>
          <w:rFonts w:ascii="Times New Roman" w:hAnsi="Times New Roman"/>
          <w:iCs/>
          <w:sz w:val="24"/>
          <w:szCs w:val="24"/>
        </w:rPr>
        <w:t xml:space="preserve">n granted the authority, under the </w:t>
      </w:r>
      <w:r>
        <w:rPr>
          <w:rFonts w:ascii="Times New Roman" w:hAnsi="Times New Roman"/>
          <w:i/>
          <w:sz w:val="24"/>
          <w:szCs w:val="24"/>
        </w:rPr>
        <w:t>Banking Act 1959</w:t>
      </w:r>
      <w:r>
        <w:rPr>
          <w:rFonts w:ascii="Times New Roman" w:hAnsi="Times New Roman"/>
          <w:iCs/>
          <w:sz w:val="24"/>
          <w:szCs w:val="24"/>
        </w:rPr>
        <w:t xml:space="preserve">, to carry on banking business in Australia. </w:t>
      </w:r>
    </w:p>
    <w:p w14:paraId="42FBA1FB" w14:textId="77777777" w:rsidR="00043DA2" w:rsidRPr="00590C51" w:rsidRDefault="00043DA2" w:rsidP="00043DA2">
      <w:pPr>
        <w:keepNext/>
        <w:shd w:val="clear" w:color="auto" w:fill="FFFFFF"/>
        <w:spacing w:before="100" w:beforeAutospacing="1" w:after="240"/>
        <w:jc w:val="both"/>
        <w:rPr>
          <w:rFonts w:ascii="Times New Roman" w:hAnsi="Times New Roman"/>
          <w:sz w:val="24"/>
          <w:szCs w:val="24"/>
          <w:lang w:val="en-US"/>
        </w:rPr>
      </w:pPr>
      <w:r w:rsidRPr="00590C51">
        <w:rPr>
          <w:rFonts w:ascii="Times New Roman" w:hAnsi="Times New Roman"/>
          <w:b/>
          <w:bCs/>
          <w:sz w:val="24"/>
          <w:szCs w:val="24"/>
        </w:rPr>
        <w:t>Human rights implications</w:t>
      </w:r>
    </w:p>
    <w:p w14:paraId="2D0D7E39" w14:textId="7E63929A" w:rsidR="00646B89" w:rsidRDefault="008064EF" w:rsidP="00043DA2">
      <w:pPr>
        <w:keepNext/>
        <w:shd w:val="clear" w:color="auto" w:fill="FFFFFF"/>
        <w:spacing w:before="100" w:beforeAutospacing="1" w:after="240"/>
        <w:jc w:val="both"/>
        <w:rPr>
          <w:rFonts w:ascii="Times New Roman" w:hAnsi="Times New Roman"/>
          <w:sz w:val="24"/>
          <w:szCs w:val="24"/>
        </w:rPr>
      </w:pPr>
      <w:r>
        <w:rPr>
          <w:rFonts w:ascii="Times New Roman" w:hAnsi="Times New Roman"/>
          <w:sz w:val="24"/>
          <w:szCs w:val="24"/>
        </w:rPr>
        <w:t xml:space="preserve">The publication of personal information would engage the right to privacy under Article 17 of the International Covenant on Civil and Political Rights (ICCPR), an international instrument listed in section </w:t>
      </w:r>
      <w:r w:rsidR="00CB600A">
        <w:rPr>
          <w:rFonts w:ascii="Times New Roman" w:hAnsi="Times New Roman"/>
          <w:sz w:val="24"/>
          <w:szCs w:val="24"/>
        </w:rPr>
        <w:t>3 of the H</w:t>
      </w:r>
      <w:r w:rsidR="00D002EB">
        <w:rPr>
          <w:rFonts w:ascii="Times New Roman" w:hAnsi="Times New Roman"/>
          <w:sz w:val="24"/>
          <w:szCs w:val="24"/>
        </w:rPr>
        <w:t xml:space="preserve">RPS Act. APS 330 expressly provides that an ADI </w:t>
      </w:r>
      <w:r w:rsidR="00484B3A">
        <w:rPr>
          <w:rFonts w:ascii="Times New Roman" w:hAnsi="Times New Roman"/>
          <w:sz w:val="24"/>
          <w:szCs w:val="24"/>
        </w:rPr>
        <w:t>may elect not to disclose persona</w:t>
      </w:r>
      <w:r w:rsidR="00BF766C">
        <w:rPr>
          <w:rFonts w:ascii="Times New Roman" w:hAnsi="Times New Roman"/>
          <w:sz w:val="24"/>
          <w:szCs w:val="24"/>
        </w:rPr>
        <w:t>l information and may instead disclose more general information about the subject matter together with commentary about why the specific information is not disclosed.</w:t>
      </w:r>
    </w:p>
    <w:p w14:paraId="4A81F30C" w14:textId="353B7FB3" w:rsidR="00043DA2" w:rsidRPr="00590C51" w:rsidRDefault="00043DA2" w:rsidP="00043DA2">
      <w:pPr>
        <w:keepNext/>
        <w:shd w:val="clear" w:color="auto" w:fill="FFFFFF"/>
        <w:spacing w:before="100" w:beforeAutospacing="1" w:after="240"/>
        <w:jc w:val="both"/>
        <w:rPr>
          <w:rFonts w:ascii="Times New Roman" w:hAnsi="Times New Roman"/>
          <w:sz w:val="24"/>
          <w:szCs w:val="24"/>
        </w:rPr>
      </w:pPr>
      <w:r w:rsidRPr="00590C51">
        <w:rPr>
          <w:rFonts w:ascii="Times New Roman" w:hAnsi="Times New Roman"/>
          <w:sz w:val="24"/>
          <w:szCs w:val="24"/>
        </w:rPr>
        <w:t xml:space="preserve">APRA has assessed the </w:t>
      </w:r>
      <w:r w:rsidR="00A82582">
        <w:rPr>
          <w:rFonts w:ascii="Times New Roman" w:hAnsi="Times New Roman"/>
          <w:sz w:val="24"/>
          <w:szCs w:val="24"/>
        </w:rPr>
        <w:t>legislative</w:t>
      </w:r>
      <w:r w:rsidR="00A82582" w:rsidRPr="00590C51">
        <w:rPr>
          <w:rFonts w:ascii="Times New Roman" w:hAnsi="Times New Roman"/>
          <w:sz w:val="24"/>
          <w:szCs w:val="24"/>
        </w:rPr>
        <w:t xml:space="preserve"> </w:t>
      </w:r>
      <w:r w:rsidRPr="00590C51">
        <w:rPr>
          <w:rFonts w:ascii="Times New Roman" w:hAnsi="Times New Roman"/>
          <w:sz w:val="24"/>
          <w:szCs w:val="24"/>
        </w:rPr>
        <w:t xml:space="preserve">instrument and is of the view that </w:t>
      </w:r>
      <w:r w:rsidR="00302225">
        <w:rPr>
          <w:rFonts w:ascii="Times New Roman" w:hAnsi="Times New Roman"/>
          <w:sz w:val="24"/>
          <w:szCs w:val="24"/>
        </w:rPr>
        <w:t>it</w:t>
      </w:r>
      <w:r w:rsidRPr="00590C51">
        <w:rPr>
          <w:rFonts w:ascii="Times New Roman" w:hAnsi="Times New Roman"/>
          <w:sz w:val="24"/>
          <w:szCs w:val="24"/>
        </w:rPr>
        <w:t xml:space="preserve"> do</w:t>
      </w:r>
      <w:r w:rsidR="00302225">
        <w:rPr>
          <w:rFonts w:ascii="Times New Roman" w:hAnsi="Times New Roman"/>
          <w:sz w:val="24"/>
          <w:szCs w:val="24"/>
        </w:rPr>
        <w:t>es</w:t>
      </w:r>
      <w:r w:rsidRPr="00590C51">
        <w:rPr>
          <w:rFonts w:ascii="Times New Roman" w:hAnsi="Times New Roman"/>
          <w:sz w:val="24"/>
          <w:szCs w:val="24"/>
        </w:rPr>
        <w:t xml:space="preserve"> not engage any of the applicable rights or freedoms recognised or declared in the international instruments listed in section 3 of the HRPS Act. Accordingly, in APRA’s assessment, the </w:t>
      </w:r>
      <w:r w:rsidR="00A82582">
        <w:rPr>
          <w:rFonts w:ascii="Times New Roman" w:hAnsi="Times New Roman"/>
          <w:sz w:val="24"/>
          <w:szCs w:val="24"/>
        </w:rPr>
        <w:t>legislative</w:t>
      </w:r>
      <w:r w:rsidR="00A82582" w:rsidRPr="00590C51">
        <w:rPr>
          <w:rFonts w:ascii="Times New Roman" w:hAnsi="Times New Roman"/>
          <w:sz w:val="24"/>
          <w:szCs w:val="24"/>
        </w:rPr>
        <w:t xml:space="preserve"> </w:t>
      </w:r>
      <w:r w:rsidRPr="00590C51">
        <w:rPr>
          <w:rFonts w:ascii="Times New Roman" w:hAnsi="Times New Roman"/>
          <w:sz w:val="24"/>
          <w:szCs w:val="24"/>
        </w:rPr>
        <w:t>instrument</w:t>
      </w:r>
      <w:r w:rsidR="00A82582">
        <w:rPr>
          <w:rFonts w:ascii="Times New Roman" w:hAnsi="Times New Roman"/>
          <w:sz w:val="24"/>
          <w:szCs w:val="24"/>
        </w:rPr>
        <w:t xml:space="preserve"> is</w:t>
      </w:r>
      <w:r w:rsidRPr="00590C51">
        <w:rPr>
          <w:rFonts w:ascii="Times New Roman" w:hAnsi="Times New Roman"/>
          <w:sz w:val="24"/>
          <w:szCs w:val="24"/>
        </w:rPr>
        <w:t xml:space="preserve"> compatible with human rights.</w:t>
      </w:r>
    </w:p>
    <w:p w14:paraId="7655FD88" w14:textId="77777777" w:rsidR="00043DA2" w:rsidRPr="00590C51" w:rsidRDefault="00043DA2" w:rsidP="00043DA2">
      <w:pPr>
        <w:shd w:val="clear" w:color="auto" w:fill="FFFFFF"/>
        <w:spacing w:before="100" w:beforeAutospacing="1" w:after="240"/>
        <w:jc w:val="both"/>
        <w:rPr>
          <w:rFonts w:ascii="Times New Roman" w:hAnsi="Times New Roman"/>
          <w:sz w:val="24"/>
          <w:szCs w:val="24"/>
          <w:lang w:val="en-US"/>
        </w:rPr>
      </w:pPr>
      <w:r w:rsidRPr="00590C51">
        <w:rPr>
          <w:rFonts w:ascii="Times New Roman" w:hAnsi="Times New Roman"/>
          <w:b/>
          <w:bCs/>
          <w:sz w:val="24"/>
          <w:szCs w:val="24"/>
        </w:rPr>
        <w:t>Conclusion</w:t>
      </w:r>
    </w:p>
    <w:p w14:paraId="5BEC3301" w14:textId="601EE8D7" w:rsidR="00043DA2" w:rsidRPr="00590C51" w:rsidRDefault="00043DA2" w:rsidP="00043DA2">
      <w:pPr>
        <w:spacing w:after="240"/>
        <w:jc w:val="both"/>
        <w:rPr>
          <w:rFonts w:ascii="Times New Roman" w:hAnsi="Times New Roman"/>
          <w:sz w:val="24"/>
          <w:szCs w:val="24"/>
        </w:rPr>
      </w:pPr>
      <w:r w:rsidRPr="00590C51">
        <w:rPr>
          <w:rFonts w:ascii="Times New Roman" w:hAnsi="Times New Roman"/>
          <w:sz w:val="24"/>
          <w:szCs w:val="24"/>
        </w:rPr>
        <w:t>Th</w:t>
      </w:r>
      <w:r w:rsidR="00EB30F2">
        <w:rPr>
          <w:rFonts w:ascii="Times New Roman" w:hAnsi="Times New Roman"/>
          <w:sz w:val="24"/>
          <w:szCs w:val="24"/>
        </w:rPr>
        <w:t>is</w:t>
      </w:r>
      <w:r w:rsidRPr="00590C51">
        <w:rPr>
          <w:rFonts w:ascii="Times New Roman" w:hAnsi="Times New Roman"/>
          <w:sz w:val="24"/>
          <w:szCs w:val="24"/>
        </w:rPr>
        <w:t xml:space="preserve"> </w:t>
      </w:r>
      <w:r w:rsidR="00302225">
        <w:rPr>
          <w:rFonts w:ascii="Times New Roman" w:hAnsi="Times New Roman"/>
          <w:sz w:val="24"/>
          <w:szCs w:val="24"/>
        </w:rPr>
        <w:t xml:space="preserve">legislative </w:t>
      </w:r>
      <w:r w:rsidRPr="00590C51">
        <w:rPr>
          <w:rFonts w:ascii="Times New Roman" w:hAnsi="Times New Roman"/>
          <w:sz w:val="24"/>
          <w:szCs w:val="24"/>
        </w:rPr>
        <w:t>instrument</w:t>
      </w:r>
      <w:r w:rsidR="00302225">
        <w:rPr>
          <w:rFonts w:ascii="Times New Roman" w:hAnsi="Times New Roman"/>
          <w:sz w:val="24"/>
          <w:szCs w:val="24"/>
        </w:rPr>
        <w:t xml:space="preserve"> is</w:t>
      </w:r>
      <w:r w:rsidRPr="00590C51">
        <w:rPr>
          <w:rFonts w:ascii="Times New Roman" w:hAnsi="Times New Roman"/>
          <w:sz w:val="24"/>
          <w:szCs w:val="24"/>
        </w:rPr>
        <w:t xml:space="preserve"> compatible with human rights as </w:t>
      </w:r>
      <w:r w:rsidR="00144C53">
        <w:rPr>
          <w:rFonts w:ascii="Times New Roman" w:hAnsi="Times New Roman"/>
          <w:sz w:val="24"/>
          <w:szCs w:val="24"/>
        </w:rPr>
        <w:t>it</w:t>
      </w:r>
      <w:r w:rsidR="00144C53" w:rsidRPr="00590C51">
        <w:rPr>
          <w:rFonts w:ascii="Times New Roman" w:hAnsi="Times New Roman"/>
          <w:sz w:val="24"/>
          <w:szCs w:val="24"/>
        </w:rPr>
        <w:t xml:space="preserve"> </w:t>
      </w:r>
      <w:r w:rsidRPr="00590C51">
        <w:rPr>
          <w:rFonts w:ascii="Times New Roman" w:hAnsi="Times New Roman"/>
          <w:sz w:val="24"/>
          <w:szCs w:val="24"/>
        </w:rPr>
        <w:t>do</w:t>
      </w:r>
      <w:r w:rsidR="00144C53">
        <w:rPr>
          <w:rFonts w:ascii="Times New Roman" w:hAnsi="Times New Roman"/>
          <w:sz w:val="24"/>
          <w:szCs w:val="24"/>
        </w:rPr>
        <w:t>es</w:t>
      </w:r>
      <w:r w:rsidRPr="00590C51">
        <w:rPr>
          <w:rFonts w:ascii="Times New Roman" w:hAnsi="Times New Roman"/>
          <w:sz w:val="24"/>
          <w:szCs w:val="24"/>
        </w:rPr>
        <w:t xml:space="preserve"> not raise any human rights issues.</w:t>
      </w:r>
    </w:p>
    <w:p w14:paraId="46F713F4" w14:textId="77777777" w:rsidR="00A533A9" w:rsidRPr="00A34ADD" w:rsidRDefault="00A533A9" w:rsidP="00A34ADD"/>
    <w:sectPr w:rsidR="00A533A9" w:rsidRPr="00A34ADD">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BA98D" w14:textId="77777777" w:rsidR="00D364CE" w:rsidRPr="000D4EDE" w:rsidRDefault="00D364CE" w:rsidP="000D4EDE">
      <w:r>
        <w:separator/>
      </w:r>
    </w:p>
  </w:endnote>
  <w:endnote w:type="continuationSeparator" w:id="0">
    <w:p w14:paraId="0D9B1AD5" w14:textId="77777777" w:rsidR="00D364CE" w:rsidRPr="000D4EDE" w:rsidRDefault="00D364CE" w:rsidP="000D4EDE">
      <w:r>
        <w:continuationSeparator/>
      </w:r>
    </w:p>
  </w:endnote>
  <w:endnote w:type="continuationNotice" w:id="1">
    <w:p w14:paraId="3340372B" w14:textId="77777777" w:rsidR="00D364CE" w:rsidRDefault="00D36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0082579"/>
      <w:docPartObj>
        <w:docPartGallery w:val="Page Numbers (Top of Page)"/>
        <w:docPartUnique/>
      </w:docPartObj>
    </w:sdtPr>
    <w:sdtEndPr>
      <w:rPr>
        <w:rFonts w:ascii="Times New Roman" w:hAnsi="Times New Roman"/>
        <w:sz w:val="24"/>
        <w:szCs w:val="24"/>
      </w:rPr>
    </w:sdtEndPr>
    <w:sdtContent>
      <w:p w14:paraId="0F6D9D16" w14:textId="77777777" w:rsidR="00043DA2" w:rsidRPr="00D85E77" w:rsidRDefault="00043DA2">
        <w:pPr>
          <w:pStyle w:val="Footer"/>
          <w:jc w:val="center"/>
          <w:rPr>
            <w:rFonts w:ascii="Times New Roman" w:hAnsi="Times New Roman"/>
            <w:sz w:val="24"/>
            <w:szCs w:val="24"/>
          </w:rPr>
        </w:pPr>
        <w:r w:rsidRPr="00D85E77">
          <w:rPr>
            <w:rFonts w:ascii="Times New Roman" w:hAnsi="Times New Roman"/>
            <w:bCs/>
            <w:sz w:val="24"/>
            <w:szCs w:val="24"/>
          </w:rPr>
          <w:fldChar w:fldCharType="begin"/>
        </w:r>
        <w:r w:rsidRPr="00D85E77">
          <w:rPr>
            <w:rFonts w:ascii="Times New Roman" w:hAnsi="Times New Roman"/>
            <w:bCs/>
            <w:sz w:val="24"/>
            <w:szCs w:val="24"/>
          </w:rPr>
          <w:instrText xml:space="preserve"> PAGE </w:instrText>
        </w:r>
        <w:r w:rsidRPr="00D85E77">
          <w:rPr>
            <w:rFonts w:ascii="Times New Roman" w:hAnsi="Times New Roman"/>
            <w:bCs/>
            <w:sz w:val="24"/>
            <w:szCs w:val="24"/>
          </w:rPr>
          <w:fldChar w:fldCharType="separate"/>
        </w:r>
        <w:r>
          <w:rPr>
            <w:rFonts w:ascii="Times New Roman" w:hAnsi="Times New Roman"/>
            <w:bCs/>
            <w:noProof/>
            <w:sz w:val="24"/>
            <w:szCs w:val="24"/>
          </w:rPr>
          <w:t>1</w:t>
        </w:r>
        <w:r w:rsidRPr="00D85E77">
          <w:rPr>
            <w:rFonts w:ascii="Times New Roman" w:hAnsi="Times New Roman"/>
            <w:bCs/>
            <w:sz w:val="24"/>
            <w:szCs w:val="24"/>
          </w:rPr>
          <w:fldChar w:fldCharType="end"/>
        </w:r>
      </w:p>
    </w:sdtContent>
  </w:sdt>
  <w:p w14:paraId="7B3001CC" w14:textId="77777777" w:rsidR="00043DA2" w:rsidRDefault="00043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CC88A" w14:textId="77777777" w:rsidR="00D364CE" w:rsidRPr="000D4EDE" w:rsidRDefault="00D364CE" w:rsidP="000D4EDE">
      <w:r>
        <w:separator/>
      </w:r>
    </w:p>
  </w:footnote>
  <w:footnote w:type="continuationSeparator" w:id="0">
    <w:p w14:paraId="60600CAA" w14:textId="77777777" w:rsidR="00D364CE" w:rsidRPr="000D4EDE" w:rsidRDefault="00D364CE" w:rsidP="000D4EDE">
      <w:r>
        <w:continuationSeparator/>
      </w:r>
    </w:p>
  </w:footnote>
  <w:footnote w:type="continuationNotice" w:id="1">
    <w:p w14:paraId="33C0AE90" w14:textId="77777777" w:rsidR="00D364CE" w:rsidRDefault="00D364CE"/>
  </w:footnote>
  <w:footnote w:id="2">
    <w:p w14:paraId="0C9B4E38" w14:textId="77777777" w:rsidR="0056465A" w:rsidRPr="00024403" w:rsidRDefault="0056465A" w:rsidP="003A7322">
      <w:pPr>
        <w:pStyle w:val="FootnoteText"/>
        <w:jc w:val="both"/>
        <w:rPr>
          <w:rFonts w:ascii="Times New Roman" w:hAnsi="Times New Roman"/>
        </w:rPr>
      </w:pPr>
      <w:r w:rsidRPr="00024403">
        <w:rPr>
          <w:rStyle w:val="FootnoteReference"/>
          <w:rFonts w:ascii="Times New Roman" w:hAnsi="Times New Roman"/>
        </w:rPr>
        <w:footnoteRef/>
      </w:r>
      <w:r w:rsidRPr="00024403">
        <w:rPr>
          <w:rFonts w:ascii="Times New Roman" w:hAnsi="Times New Roman"/>
        </w:rPr>
        <w:t xml:space="preserve"> </w:t>
      </w:r>
      <w:r w:rsidRPr="00C67CB7">
        <w:rPr>
          <w:rFonts w:ascii="Times New Roman" w:hAnsi="Times New Roman"/>
          <w:sz w:val="22"/>
          <w:szCs w:val="22"/>
        </w:rPr>
        <w:t>The Basel Committee, of which Australia is a member, is the primary global standard-setter for the prudential regulation of banks and provides a forum for cooperation on banking supervisory matters. Its mandate is to strengthen the regulation, supervision and practices of banks worldwide with the purpose of enhancing financial stability.</w:t>
      </w:r>
      <w:r w:rsidRPr="00024403">
        <w:rPr>
          <w:rFonts w:ascii="Times New Roman" w:hAnsi="Times New Roman"/>
        </w:rPr>
        <w:t xml:space="preserve">  </w:t>
      </w:r>
    </w:p>
  </w:footnote>
  <w:footnote w:id="3">
    <w:p w14:paraId="58ACF952" w14:textId="11D736A3" w:rsidR="000D64FC" w:rsidRDefault="000D64FC" w:rsidP="00C67CB7">
      <w:pPr>
        <w:pStyle w:val="FootnoteText"/>
        <w:jc w:val="both"/>
      </w:pPr>
      <w:r>
        <w:rPr>
          <w:rStyle w:val="FootnoteReference"/>
        </w:rPr>
        <w:footnoteRef/>
      </w:r>
      <w:r>
        <w:t xml:space="preserve"> </w:t>
      </w:r>
      <w:r w:rsidR="00B94265">
        <w:rPr>
          <w:rFonts w:ascii="Times New Roman" w:hAnsi="Times New Roman"/>
          <w:sz w:val="22"/>
          <w:szCs w:val="22"/>
        </w:rPr>
        <w:t xml:space="preserve">As defined in </w:t>
      </w:r>
      <w:r w:rsidR="00B94265" w:rsidRPr="00C67CB7">
        <w:rPr>
          <w:rFonts w:ascii="Times New Roman" w:hAnsi="Times New Roman"/>
          <w:i/>
          <w:sz w:val="22"/>
          <w:szCs w:val="22"/>
        </w:rPr>
        <w:t>Prudential Standard APS 001 Definitions</w:t>
      </w:r>
      <w:r w:rsidR="00B94265">
        <w:rPr>
          <w:rFonts w:ascii="Times New Roman" w:hAnsi="Times New Roman"/>
          <w:sz w:val="22"/>
          <w:szCs w:val="22"/>
        </w:rPr>
        <w:t xml:space="preserve"> and </w:t>
      </w:r>
      <w:r w:rsidR="00B94265" w:rsidRPr="00C67CB7">
        <w:rPr>
          <w:rFonts w:ascii="Times New Roman" w:hAnsi="Times New Roman"/>
          <w:i/>
          <w:sz w:val="22"/>
          <w:szCs w:val="22"/>
        </w:rPr>
        <w:t>Prudential Standard CPS 001 Defined terms</w:t>
      </w:r>
      <w:r w:rsidR="009665D8">
        <w:rPr>
          <w:rFonts w:ascii="Times New Roman" w:hAnsi="Times New Roman"/>
          <w:sz w:val="22"/>
          <w:szCs w:val="22"/>
        </w:rPr>
        <w:t>, both available on www.legislation.gov.au.</w:t>
      </w:r>
      <w:r w:rsidRPr="00C67CB7">
        <w:rPr>
          <w:rFonts w:ascii="Times New Roman" w:hAnsi="Times New Roman"/>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3C70CEC"/>
    <w:multiLevelType w:val="hybridMultilevel"/>
    <w:tmpl w:val="34225274"/>
    <w:lvl w:ilvl="0" w:tplc="87AAF206">
      <w:start w:val="1"/>
      <w:numFmt w:val="lowerLetter"/>
      <w:lvlText w:val="(%1)"/>
      <w:lvlJc w:val="left"/>
      <w:pPr>
        <w:ind w:left="72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0A5C49"/>
    <w:multiLevelType w:val="hybridMultilevel"/>
    <w:tmpl w:val="3722923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8855C20"/>
    <w:multiLevelType w:val="hybridMultilevel"/>
    <w:tmpl w:val="095661DA"/>
    <w:lvl w:ilvl="0" w:tplc="6E86A16A">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8884775"/>
    <w:multiLevelType w:val="hybridMultilevel"/>
    <w:tmpl w:val="10C4A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DF4A92"/>
    <w:multiLevelType w:val="hybridMultilevel"/>
    <w:tmpl w:val="0F3CE0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6622965"/>
    <w:multiLevelType w:val="hybridMultilevel"/>
    <w:tmpl w:val="3DD47156"/>
    <w:lvl w:ilvl="0" w:tplc="2DA43C2E">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EE5DBB"/>
    <w:multiLevelType w:val="hybridMultilevel"/>
    <w:tmpl w:val="1BBC3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07388"/>
    <w:multiLevelType w:val="hybridMultilevel"/>
    <w:tmpl w:val="FFE464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6" w15:restartNumberingAfterBreak="0">
    <w:nsid w:val="3236033A"/>
    <w:multiLevelType w:val="hybridMultilevel"/>
    <w:tmpl w:val="E7FAF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6D35484"/>
    <w:multiLevelType w:val="hybridMultilevel"/>
    <w:tmpl w:val="D8D89602"/>
    <w:lvl w:ilvl="0" w:tplc="ADE01764">
      <w:start w:val="1"/>
      <w:numFmt w:val="lowerLetter"/>
      <w:lvlText w:val="(%1)"/>
      <w:lvlJc w:val="left"/>
      <w:pPr>
        <w:ind w:left="863" w:hanging="503"/>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9447C8"/>
    <w:multiLevelType w:val="hybridMultilevel"/>
    <w:tmpl w:val="F224D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C44575"/>
    <w:multiLevelType w:val="hybridMultilevel"/>
    <w:tmpl w:val="6A2200F8"/>
    <w:lvl w:ilvl="0" w:tplc="F1F253D4">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D735299"/>
    <w:multiLevelType w:val="hybridMultilevel"/>
    <w:tmpl w:val="F5289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FD04D9"/>
    <w:multiLevelType w:val="hybridMultilevel"/>
    <w:tmpl w:val="76BEE380"/>
    <w:lvl w:ilvl="0" w:tplc="6E86A16A">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0612134"/>
    <w:multiLevelType w:val="hybridMultilevel"/>
    <w:tmpl w:val="CC64B0AC"/>
    <w:lvl w:ilvl="0" w:tplc="D79CFE56">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8169A9"/>
    <w:multiLevelType w:val="hybridMultilevel"/>
    <w:tmpl w:val="709446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7212C24"/>
    <w:multiLevelType w:val="hybridMultilevel"/>
    <w:tmpl w:val="5B7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9797526"/>
    <w:multiLevelType w:val="hybridMultilevel"/>
    <w:tmpl w:val="11E6E7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50440272">
    <w:abstractNumId w:val="1"/>
  </w:num>
  <w:num w:numId="2" w16cid:durableId="674959600">
    <w:abstractNumId w:val="0"/>
  </w:num>
  <w:num w:numId="3" w16cid:durableId="158271448">
    <w:abstractNumId w:val="6"/>
  </w:num>
  <w:num w:numId="4" w16cid:durableId="1075130201">
    <w:abstractNumId w:val="21"/>
  </w:num>
  <w:num w:numId="5" w16cid:durableId="380981745">
    <w:abstractNumId w:val="27"/>
  </w:num>
  <w:num w:numId="6" w16cid:durableId="23216293">
    <w:abstractNumId w:val="17"/>
  </w:num>
  <w:num w:numId="7" w16cid:durableId="2048792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5995370">
    <w:abstractNumId w:val="15"/>
  </w:num>
  <w:num w:numId="9" w16cid:durableId="300158696">
    <w:abstractNumId w:val="2"/>
  </w:num>
  <w:num w:numId="10" w16cid:durableId="1477795420">
    <w:abstractNumId w:val="7"/>
  </w:num>
  <w:num w:numId="11" w16cid:durableId="1611547372">
    <w:abstractNumId w:val="4"/>
  </w:num>
  <w:num w:numId="12" w16cid:durableId="149830496">
    <w:abstractNumId w:val="8"/>
  </w:num>
  <w:num w:numId="13" w16cid:durableId="2127851004">
    <w:abstractNumId w:val="5"/>
  </w:num>
  <w:num w:numId="14" w16cid:durableId="432172718">
    <w:abstractNumId w:val="20"/>
  </w:num>
  <w:num w:numId="15" w16cid:durableId="1315598288">
    <w:abstractNumId w:val="3"/>
  </w:num>
  <w:num w:numId="16" w16cid:durableId="1230311589">
    <w:abstractNumId w:val="19"/>
  </w:num>
  <w:num w:numId="17" w16cid:durableId="1606232480">
    <w:abstractNumId w:val="10"/>
  </w:num>
  <w:num w:numId="18" w16cid:durableId="1082406739">
    <w:abstractNumId w:val="16"/>
  </w:num>
  <w:num w:numId="19" w16cid:durableId="13251615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1813594">
    <w:abstractNumId w:val="24"/>
  </w:num>
  <w:num w:numId="21" w16cid:durableId="720590714">
    <w:abstractNumId w:val="14"/>
  </w:num>
  <w:num w:numId="22" w16cid:durableId="383412886">
    <w:abstractNumId w:val="22"/>
  </w:num>
  <w:num w:numId="23" w16cid:durableId="127091599">
    <w:abstractNumId w:val="25"/>
  </w:num>
  <w:num w:numId="24" w16cid:durableId="1934123914">
    <w:abstractNumId w:val="13"/>
  </w:num>
  <w:num w:numId="25" w16cid:durableId="1170173319">
    <w:abstractNumId w:val="11"/>
  </w:num>
  <w:num w:numId="26" w16cid:durableId="800344865">
    <w:abstractNumId w:val="28"/>
  </w:num>
  <w:num w:numId="27" w16cid:durableId="441220521">
    <w:abstractNumId w:val="9"/>
  </w:num>
  <w:num w:numId="28" w16cid:durableId="1070230415">
    <w:abstractNumId w:val="12"/>
  </w:num>
  <w:num w:numId="29" w16cid:durableId="274755957">
    <w:abstractNumId w:val="23"/>
  </w:num>
  <w:num w:numId="30" w16cid:durableId="1687976346">
    <w:abstractNumId w:val="18"/>
  </w:num>
  <w:num w:numId="31" w16cid:durableId="70301589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A2"/>
    <w:rsid w:val="000005ED"/>
    <w:rsid w:val="00004ED1"/>
    <w:rsid w:val="0000577B"/>
    <w:rsid w:val="00005D98"/>
    <w:rsid w:val="00005F96"/>
    <w:rsid w:val="00007262"/>
    <w:rsid w:val="0000748C"/>
    <w:rsid w:val="00007C61"/>
    <w:rsid w:val="00011C96"/>
    <w:rsid w:val="00012027"/>
    <w:rsid w:val="000141B9"/>
    <w:rsid w:val="00016FB5"/>
    <w:rsid w:val="000175BE"/>
    <w:rsid w:val="00021901"/>
    <w:rsid w:val="00021986"/>
    <w:rsid w:val="00024403"/>
    <w:rsid w:val="00026563"/>
    <w:rsid w:val="0002665B"/>
    <w:rsid w:val="000271BF"/>
    <w:rsid w:val="00030EA9"/>
    <w:rsid w:val="00031622"/>
    <w:rsid w:val="00034A19"/>
    <w:rsid w:val="00034E71"/>
    <w:rsid w:val="00036CD7"/>
    <w:rsid w:val="00036F9E"/>
    <w:rsid w:val="00040B6B"/>
    <w:rsid w:val="000413B3"/>
    <w:rsid w:val="00043DA2"/>
    <w:rsid w:val="00044F16"/>
    <w:rsid w:val="000453D9"/>
    <w:rsid w:val="000457A0"/>
    <w:rsid w:val="0005248B"/>
    <w:rsid w:val="00053776"/>
    <w:rsid w:val="00054F3E"/>
    <w:rsid w:val="000572FE"/>
    <w:rsid w:val="000573E5"/>
    <w:rsid w:val="00057B71"/>
    <w:rsid w:val="000715C6"/>
    <w:rsid w:val="0007202C"/>
    <w:rsid w:val="00072B30"/>
    <w:rsid w:val="0007319C"/>
    <w:rsid w:val="000732AA"/>
    <w:rsid w:val="00073C7B"/>
    <w:rsid w:val="000767DD"/>
    <w:rsid w:val="0008011A"/>
    <w:rsid w:val="000828C7"/>
    <w:rsid w:val="000842B7"/>
    <w:rsid w:val="00084C66"/>
    <w:rsid w:val="00084F8B"/>
    <w:rsid w:val="000851D0"/>
    <w:rsid w:val="00085301"/>
    <w:rsid w:val="00085F79"/>
    <w:rsid w:val="00086D07"/>
    <w:rsid w:val="00086F71"/>
    <w:rsid w:val="00087D5F"/>
    <w:rsid w:val="00092410"/>
    <w:rsid w:val="00092B0E"/>
    <w:rsid w:val="00092FFD"/>
    <w:rsid w:val="00093915"/>
    <w:rsid w:val="000949AD"/>
    <w:rsid w:val="00095109"/>
    <w:rsid w:val="000953EF"/>
    <w:rsid w:val="0009685B"/>
    <w:rsid w:val="00096B0F"/>
    <w:rsid w:val="00097F8A"/>
    <w:rsid w:val="000A0AA9"/>
    <w:rsid w:val="000A0DC1"/>
    <w:rsid w:val="000A203A"/>
    <w:rsid w:val="000A2EDF"/>
    <w:rsid w:val="000A355F"/>
    <w:rsid w:val="000A490E"/>
    <w:rsid w:val="000A6E37"/>
    <w:rsid w:val="000B04C5"/>
    <w:rsid w:val="000B154B"/>
    <w:rsid w:val="000B4CC8"/>
    <w:rsid w:val="000B63CA"/>
    <w:rsid w:val="000B752A"/>
    <w:rsid w:val="000C0A5B"/>
    <w:rsid w:val="000C0EA0"/>
    <w:rsid w:val="000C0EB5"/>
    <w:rsid w:val="000C14D9"/>
    <w:rsid w:val="000C15C7"/>
    <w:rsid w:val="000C21EB"/>
    <w:rsid w:val="000C24DF"/>
    <w:rsid w:val="000C2A26"/>
    <w:rsid w:val="000C3ACB"/>
    <w:rsid w:val="000C6962"/>
    <w:rsid w:val="000C72F1"/>
    <w:rsid w:val="000C7956"/>
    <w:rsid w:val="000D0752"/>
    <w:rsid w:val="000D2388"/>
    <w:rsid w:val="000D4EDE"/>
    <w:rsid w:val="000D524F"/>
    <w:rsid w:val="000D5C8A"/>
    <w:rsid w:val="000D64FC"/>
    <w:rsid w:val="000E0BB2"/>
    <w:rsid w:val="000E2460"/>
    <w:rsid w:val="000E24D2"/>
    <w:rsid w:val="000E3BFB"/>
    <w:rsid w:val="000E43AC"/>
    <w:rsid w:val="000E4E83"/>
    <w:rsid w:val="000E6A20"/>
    <w:rsid w:val="000E6E37"/>
    <w:rsid w:val="000F0E6F"/>
    <w:rsid w:val="000F3335"/>
    <w:rsid w:val="001018A5"/>
    <w:rsid w:val="00104709"/>
    <w:rsid w:val="0010555A"/>
    <w:rsid w:val="00106F56"/>
    <w:rsid w:val="00107BF4"/>
    <w:rsid w:val="00110CD8"/>
    <w:rsid w:val="00111FD1"/>
    <w:rsid w:val="00113BA6"/>
    <w:rsid w:val="00115333"/>
    <w:rsid w:val="00115A39"/>
    <w:rsid w:val="001173F4"/>
    <w:rsid w:val="00117479"/>
    <w:rsid w:val="00123576"/>
    <w:rsid w:val="00123BE6"/>
    <w:rsid w:val="001241CB"/>
    <w:rsid w:val="00124B21"/>
    <w:rsid w:val="00127FE2"/>
    <w:rsid w:val="001327B8"/>
    <w:rsid w:val="0013471B"/>
    <w:rsid w:val="001352D4"/>
    <w:rsid w:val="00135896"/>
    <w:rsid w:val="00135A2C"/>
    <w:rsid w:val="0014020C"/>
    <w:rsid w:val="00144C53"/>
    <w:rsid w:val="00146D8A"/>
    <w:rsid w:val="001501E5"/>
    <w:rsid w:val="001505AA"/>
    <w:rsid w:val="0015197C"/>
    <w:rsid w:val="001524E0"/>
    <w:rsid w:val="001526A8"/>
    <w:rsid w:val="00154DDD"/>
    <w:rsid w:val="00155789"/>
    <w:rsid w:val="00156CAE"/>
    <w:rsid w:val="00157C98"/>
    <w:rsid w:val="001614BA"/>
    <w:rsid w:val="00162AFD"/>
    <w:rsid w:val="001653B6"/>
    <w:rsid w:val="00165BF6"/>
    <w:rsid w:val="0016601A"/>
    <w:rsid w:val="00170ED4"/>
    <w:rsid w:val="001711D4"/>
    <w:rsid w:val="00172DCA"/>
    <w:rsid w:val="00174B0F"/>
    <w:rsid w:val="001752C3"/>
    <w:rsid w:val="001759EC"/>
    <w:rsid w:val="001808E7"/>
    <w:rsid w:val="0018235E"/>
    <w:rsid w:val="00184187"/>
    <w:rsid w:val="001950CD"/>
    <w:rsid w:val="001A2332"/>
    <w:rsid w:val="001A46DA"/>
    <w:rsid w:val="001A470D"/>
    <w:rsid w:val="001A4EA4"/>
    <w:rsid w:val="001A5600"/>
    <w:rsid w:val="001A664F"/>
    <w:rsid w:val="001B1127"/>
    <w:rsid w:val="001B2DB7"/>
    <w:rsid w:val="001B3A9F"/>
    <w:rsid w:val="001B3B08"/>
    <w:rsid w:val="001B6FD9"/>
    <w:rsid w:val="001C0C3E"/>
    <w:rsid w:val="001C144A"/>
    <w:rsid w:val="001C23AE"/>
    <w:rsid w:val="001C74A6"/>
    <w:rsid w:val="001D0C02"/>
    <w:rsid w:val="001D326F"/>
    <w:rsid w:val="001D3D43"/>
    <w:rsid w:val="001D4EE5"/>
    <w:rsid w:val="001D5819"/>
    <w:rsid w:val="001D5E47"/>
    <w:rsid w:val="001D691F"/>
    <w:rsid w:val="001D7606"/>
    <w:rsid w:val="001E0023"/>
    <w:rsid w:val="001E0F51"/>
    <w:rsid w:val="001E16B0"/>
    <w:rsid w:val="001E531E"/>
    <w:rsid w:val="001E55BF"/>
    <w:rsid w:val="001E6176"/>
    <w:rsid w:val="001E63AA"/>
    <w:rsid w:val="001E7C63"/>
    <w:rsid w:val="001F1408"/>
    <w:rsid w:val="001F157D"/>
    <w:rsid w:val="001F1D07"/>
    <w:rsid w:val="001F2BF1"/>
    <w:rsid w:val="001F4594"/>
    <w:rsid w:val="001F482C"/>
    <w:rsid w:val="001F66FE"/>
    <w:rsid w:val="001F6E1A"/>
    <w:rsid w:val="001F780A"/>
    <w:rsid w:val="001F7917"/>
    <w:rsid w:val="00200613"/>
    <w:rsid w:val="00201399"/>
    <w:rsid w:val="00205DF4"/>
    <w:rsid w:val="002074BB"/>
    <w:rsid w:val="00207B74"/>
    <w:rsid w:val="00214883"/>
    <w:rsid w:val="00214A15"/>
    <w:rsid w:val="002156F6"/>
    <w:rsid w:val="00216C8C"/>
    <w:rsid w:val="0021720E"/>
    <w:rsid w:val="00220550"/>
    <w:rsid w:val="002206CB"/>
    <w:rsid w:val="0022428E"/>
    <w:rsid w:val="0023017F"/>
    <w:rsid w:val="002301A2"/>
    <w:rsid w:val="0023127D"/>
    <w:rsid w:val="00232B09"/>
    <w:rsid w:val="00233582"/>
    <w:rsid w:val="0023491D"/>
    <w:rsid w:val="00235B3C"/>
    <w:rsid w:val="00236C2D"/>
    <w:rsid w:val="00236F3D"/>
    <w:rsid w:val="002374B7"/>
    <w:rsid w:val="00240126"/>
    <w:rsid w:val="00240902"/>
    <w:rsid w:val="00241D16"/>
    <w:rsid w:val="00242384"/>
    <w:rsid w:val="0024273B"/>
    <w:rsid w:val="0024304D"/>
    <w:rsid w:val="00244826"/>
    <w:rsid w:val="0024553B"/>
    <w:rsid w:val="00247ACA"/>
    <w:rsid w:val="00247E53"/>
    <w:rsid w:val="00250156"/>
    <w:rsid w:val="002509DB"/>
    <w:rsid w:val="00250D59"/>
    <w:rsid w:val="0025150D"/>
    <w:rsid w:val="00252873"/>
    <w:rsid w:val="00252E6A"/>
    <w:rsid w:val="0025380A"/>
    <w:rsid w:val="00255010"/>
    <w:rsid w:val="00255A20"/>
    <w:rsid w:val="0025705A"/>
    <w:rsid w:val="0025713D"/>
    <w:rsid w:val="0025782A"/>
    <w:rsid w:val="00260218"/>
    <w:rsid w:val="002602C8"/>
    <w:rsid w:val="0026044D"/>
    <w:rsid w:val="002606BB"/>
    <w:rsid w:val="00260CBF"/>
    <w:rsid w:val="00260DBF"/>
    <w:rsid w:val="00261970"/>
    <w:rsid w:val="0026206A"/>
    <w:rsid w:val="00263414"/>
    <w:rsid w:val="00266191"/>
    <w:rsid w:val="002661A6"/>
    <w:rsid w:val="00266AE2"/>
    <w:rsid w:val="00266C23"/>
    <w:rsid w:val="0027251C"/>
    <w:rsid w:val="0027254A"/>
    <w:rsid w:val="002750B9"/>
    <w:rsid w:val="00277D6C"/>
    <w:rsid w:val="00283E24"/>
    <w:rsid w:val="00284743"/>
    <w:rsid w:val="00286EAD"/>
    <w:rsid w:val="00292128"/>
    <w:rsid w:val="00292A60"/>
    <w:rsid w:val="0029389B"/>
    <w:rsid w:val="00296E5C"/>
    <w:rsid w:val="0029716E"/>
    <w:rsid w:val="00297BF5"/>
    <w:rsid w:val="00297F71"/>
    <w:rsid w:val="002A040C"/>
    <w:rsid w:val="002A0577"/>
    <w:rsid w:val="002A11A4"/>
    <w:rsid w:val="002A1894"/>
    <w:rsid w:val="002A208A"/>
    <w:rsid w:val="002A2188"/>
    <w:rsid w:val="002A2E5F"/>
    <w:rsid w:val="002A36F2"/>
    <w:rsid w:val="002A5F69"/>
    <w:rsid w:val="002A7D14"/>
    <w:rsid w:val="002A7FDF"/>
    <w:rsid w:val="002B042A"/>
    <w:rsid w:val="002B0913"/>
    <w:rsid w:val="002B28E4"/>
    <w:rsid w:val="002B320F"/>
    <w:rsid w:val="002B5D3B"/>
    <w:rsid w:val="002B6A92"/>
    <w:rsid w:val="002B7504"/>
    <w:rsid w:val="002B7D3F"/>
    <w:rsid w:val="002C0D97"/>
    <w:rsid w:val="002C1704"/>
    <w:rsid w:val="002C24F4"/>
    <w:rsid w:val="002C2AA3"/>
    <w:rsid w:val="002C371F"/>
    <w:rsid w:val="002C66D1"/>
    <w:rsid w:val="002C7065"/>
    <w:rsid w:val="002C7679"/>
    <w:rsid w:val="002C787D"/>
    <w:rsid w:val="002C7F4A"/>
    <w:rsid w:val="002D08B8"/>
    <w:rsid w:val="002D158C"/>
    <w:rsid w:val="002D2804"/>
    <w:rsid w:val="002D4B6C"/>
    <w:rsid w:val="002D5274"/>
    <w:rsid w:val="002D6F96"/>
    <w:rsid w:val="002D71A2"/>
    <w:rsid w:val="002E1EE3"/>
    <w:rsid w:val="002E41BC"/>
    <w:rsid w:val="002E681B"/>
    <w:rsid w:val="002F0135"/>
    <w:rsid w:val="002F0A97"/>
    <w:rsid w:val="002F0C2C"/>
    <w:rsid w:val="002F1173"/>
    <w:rsid w:val="002F17CD"/>
    <w:rsid w:val="002F4F9C"/>
    <w:rsid w:val="00300655"/>
    <w:rsid w:val="00302225"/>
    <w:rsid w:val="00303D18"/>
    <w:rsid w:val="00304419"/>
    <w:rsid w:val="0030441B"/>
    <w:rsid w:val="00307577"/>
    <w:rsid w:val="00307ADD"/>
    <w:rsid w:val="00307E55"/>
    <w:rsid w:val="00312A66"/>
    <w:rsid w:val="003130CA"/>
    <w:rsid w:val="00313C86"/>
    <w:rsid w:val="00314138"/>
    <w:rsid w:val="0031470E"/>
    <w:rsid w:val="0031480E"/>
    <w:rsid w:val="0032180D"/>
    <w:rsid w:val="00321887"/>
    <w:rsid w:val="00321E82"/>
    <w:rsid w:val="00322103"/>
    <w:rsid w:val="00322D9E"/>
    <w:rsid w:val="0032368B"/>
    <w:rsid w:val="00324866"/>
    <w:rsid w:val="003306A5"/>
    <w:rsid w:val="003331A3"/>
    <w:rsid w:val="00336883"/>
    <w:rsid w:val="00341CBC"/>
    <w:rsid w:val="00344FCC"/>
    <w:rsid w:val="00352B5A"/>
    <w:rsid w:val="0035580D"/>
    <w:rsid w:val="00355D40"/>
    <w:rsid w:val="003606CA"/>
    <w:rsid w:val="00365966"/>
    <w:rsid w:val="00366559"/>
    <w:rsid w:val="0036718E"/>
    <w:rsid w:val="003704F7"/>
    <w:rsid w:val="0037089D"/>
    <w:rsid w:val="00371AAC"/>
    <w:rsid w:val="00371F54"/>
    <w:rsid w:val="003722F0"/>
    <w:rsid w:val="003759F9"/>
    <w:rsid w:val="003769E0"/>
    <w:rsid w:val="0037770C"/>
    <w:rsid w:val="00377C8B"/>
    <w:rsid w:val="003800D5"/>
    <w:rsid w:val="00380A73"/>
    <w:rsid w:val="00381A6C"/>
    <w:rsid w:val="00383A95"/>
    <w:rsid w:val="003842A5"/>
    <w:rsid w:val="00385CA0"/>
    <w:rsid w:val="00386DF3"/>
    <w:rsid w:val="00387632"/>
    <w:rsid w:val="003A0320"/>
    <w:rsid w:val="003A032C"/>
    <w:rsid w:val="003A1EB1"/>
    <w:rsid w:val="003A2733"/>
    <w:rsid w:val="003A2CC1"/>
    <w:rsid w:val="003A3021"/>
    <w:rsid w:val="003A52C7"/>
    <w:rsid w:val="003A627E"/>
    <w:rsid w:val="003A7322"/>
    <w:rsid w:val="003A79EE"/>
    <w:rsid w:val="003A7DC1"/>
    <w:rsid w:val="003B222E"/>
    <w:rsid w:val="003B66A8"/>
    <w:rsid w:val="003B6E16"/>
    <w:rsid w:val="003C1601"/>
    <w:rsid w:val="003C180A"/>
    <w:rsid w:val="003C1E25"/>
    <w:rsid w:val="003C5397"/>
    <w:rsid w:val="003C5E43"/>
    <w:rsid w:val="003D0ED1"/>
    <w:rsid w:val="003D12BE"/>
    <w:rsid w:val="003D27CB"/>
    <w:rsid w:val="003D3180"/>
    <w:rsid w:val="003D329D"/>
    <w:rsid w:val="003D4E72"/>
    <w:rsid w:val="003D6613"/>
    <w:rsid w:val="003D7894"/>
    <w:rsid w:val="003D7FE8"/>
    <w:rsid w:val="003E3398"/>
    <w:rsid w:val="003E3D5D"/>
    <w:rsid w:val="003E3ECE"/>
    <w:rsid w:val="003E3F49"/>
    <w:rsid w:val="003E6BF6"/>
    <w:rsid w:val="003F0F0D"/>
    <w:rsid w:val="003F110A"/>
    <w:rsid w:val="003F1805"/>
    <w:rsid w:val="003F34E2"/>
    <w:rsid w:val="003F436A"/>
    <w:rsid w:val="0040173E"/>
    <w:rsid w:val="00412595"/>
    <w:rsid w:val="004145FA"/>
    <w:rsid w:val="00416D07"/>
    <w:rsid w:val="0041717A"/>
    <w:rsid w:val="0041772D"/>
    <w:rsid w:val="00424271"/>
    <w:rsid w:val="00424AED"/>
    <w:rsid w:val="00426E39"/>
    <w:rsid w:val="00427920"/>
    <w:rsid w:val="0043182D"/>
    <w:rsid w:val="00431BD5"/>
    <w:rsid w:val="00432CB5"/>
    <w:rsid w:val="004343DD"/>
    <w:rsid w:val="00435339"/>
    <w:rsid w:val="004410DC"/>
    <w:rsid w:val="00442566"/>
    <w:rsid w:val="00443CCE"/>
    <w:rsid w:val="0044447D"/>
    <w:rsid w:val="00447672"/>
    <w:rsid w:val="004502E3"/>
    <w:rsid w:val="00450C67"/>
    <w:rsid w:val="004511E6"/>
    <w:rsid w:val="0045258C"/>
    <w:rsid w:val="004539C4"/>
    <w:rsid w:val="00454C78"/>
    <w:rsid w:val="0045509B"/>
    <w:rsid w:val="0045697B"/>
    <w:rsid w:val="00457430"/>
    <w:rsid w:val="004605B6"/>
    <w:rsid w:val="00460CF7"/>
    <w:rsid w:val="00461DCE"/>
    <w:rsid w:val="00463107"/>
    <w:rsid w:val="00463FA8"/>
    <w:rsid w:val="00464D17"/>
    <w:rsid w:val="00466648"/>
    <w:rsid w:val="00466683"/>
    <w:rsid w:val="00471569"/>
    <w:rsid w:val="004721E0"/>
    <w:rsid w:val="00472CBC"/>
    <w:rsid w:val="0047466F"/>
    <w:rsid w:val="004765B3"/>
    <w:rsid w:val="00476946"/>
    <w:rsid w:val="00476F3E"/>
    <w:rsid w:val="00477458"/>
    <w:rsid w:val="00481032"/>
    <w:rsid w:val="004843CA"/>
    <w:rsid w:val="00484B3A"/>
    <w:rsid w:val="00485FF7"/>
    <w:rsid w:val="00486753"/>
    <w:rsid w:val="00493DAA"/>
    <w:rsid w:val="00494078"/>
    <w:rsid w:val="00494335"/>
    <w:rsid w:val="00495A4C"/>
    <w:rsid w:val="004967A1"/>
    <w:rsid w:val="00496C47"/>
    <w:rsid w:val="0049731A"/>
    <w:rsid w:val="00497678"/>
    <w:rsid w:val="00497ADE"/>
    <w:rsid w:val="004A042A"/>
    <w:rsid w:val="004A239E"/>
    <w:rsid w:val="004A581A"/>
    <w:rsid w:val="004A6BCF"/>
    <w:rsid w:val="004B2C62"/>
    <w:rsid w:val="004B3637"/>
    <w:rsid w:val="004B4794"/>
    <w:rsid w:val="004B584E"/>
    <w:rsid w:val="004C1106"/>
    <w:rsid w:val="004C16FC"/>
    <w:rsid w:val="004C41BB"/>
    <w:rsid w:val="004C42F5"/>
    <w:rsid w:val="004C496F"/>
    <w:rsid w:val="004C6B8F"/>
    <w:rsid w:val="004C6D4B"/>
    <w:rsid w:val="004C766B"/>
    <w:rsid w:val="004D33E3"/>
    <w:rsid w:val="004D3869"/>
    <w:rsid w:val="004D6585"/>
    <w:rsid w:val="004D76C1"/>
    <w:rsid w:val="004D7C22"/>
    <w:rsid w:val="004E2269"/>
    <w:rsid w:val="004E451A"/>
    <w:rsid w:val="004E468B"/>
    <w:rsid w:val="004E532A"/>
    <w:rsid w:val="004E61CA"/>
    <w:rsid w:val="004F09D0"/>
    <w:rsid w:val="004F0F3B"/>
    <w:rsid w:val="004F3065"/>
    <w:rsid w:val="004F3339"/>
    <w:rsid w:val="004F375D"/>
    <w:rsid w:val="004F5166"/>
    <w:rsid w:val="004F5BA7"/>
    <w:rsid w:val="004F72A2"/>
    <w:rsid w:val="004F78E5"/>
    <w:rsid w:val="005023AF"/>
    <w:rsid w:val="005026D4"/>
    <w:rsid w:val="00502CAD"/>
    <w:rsid w:val="00502D42"/>
    <w:rsid w:val="00503A51"/>
    <w:rsid w:val="00503A65"/>
    <w:rsid w:val="005041DA"/>
    <w:rsid w:val="00504519"/>
    <w:rsid w:val="00506774"/>
    <w:rsid w:val="00506CA8"/>
    <w:rsid w:val="00512309"/>
    <w:rsid w:val="00512398"/>
    <w:rsid w:val="00516E6D"/>
    <w:rsid w:val="0052159E"/>
    <w:rsid w:val="00525F5A"/>
    <w:rsid w:val="00526B02"/>
    <w:rsid w:val="00532447"/>
    <w:rsid w:val="0053629C"/>
    <w:rsid w:val="00536364"/>
    <w:rsid w:val="005373E3"/>
    <w:rsid w:val="00541D54"/>
    <w:rsid w:val="0054234D"/>
    <w:rsid w:val="00542522"/>
    <w:rsid w:val="00542560"/>
    <w:rsid w:val="00544815"/>
    <w:rsid w:val="0054487B"/>
    <w:rsid w:val="0054526E"/>
    <w:rsid w:val="00545CE1"/>
    <w:rsid w:val="005476B5"/>
    <w:rsid w:val="00547A86"/>
    <w:rsid w:val="00550439"/>
    <w:rsid w:val="00550FDC"/>
    <w:rsid w:val="00552104"/>
    <w:rsid w:val="005524A5"/>
    <w:rsid w:val="00552D89"/>
    <w:rsid w:val="00552F50"/>
    <w:rsid w:val="00553DF8"/>
    <w:rsid w:val="005549D7"/>
    <w:rsid w:val="00555197"/>
    <w:rsid w:val="005573F8"/>
    <w:rsid w:val="005602DA"/>
    <w:rsid w:val="005607AE"/>
    <w:rsid w:val="00562087"/>
    <w:rsid w:val="00562DF6"/>
    <w:rsid w:val="00563FCC"/>
    <w:rsid w:val="005642A1"/>
    <w:rsid w:val="0056465A"/>
    <w:rsid w:val="00565D99"/>
    <w:rsid w:val="005678FC"/>
    <w:rsid w:val="0057138A"/>
    <w:rsid w:val="00571CE5"/>
    <w:rsid w:val="00573327"/>
    <w:rsid w:val="00573DB4"/>
    <w:rsid w:val="00576966"/>
    <w:rsid w:val="00584025"/>
    <w:rsid w:val="00585D8F"/>
    <w:rsid w:val="00586AE8"/>
    <w:rsid w:val="005906B5"/>
    <w:rsid w:val="00590C51"/>
    <w:rsid w:val="00591512"/>
    <w:rsid w:val="00592F64"/>
    <w:rsid w:val="00595700"/>
    <w:rsid w:val="00595CD0"/>
    <w:rsid w:val="0059727D"/>
    <w:rsid w:val="005A3558"/>
    <w:rsid w:val="005A3F63"/>
    <w:rsid w:val="005A59D0"/>
    <w:rsid w:val="005A767B"/>
    <w:rsid w:val="005B073E"/>
    <w:rsid w:val="005B0D8F"/>
    <w:rsid w:val="005B227F"/>
    <w:rsid w:val="005B4280"/>
    <w:rsid w:val="005B7801"/>
    <w:rsid w:val="005C00AF"/>
    <w:rsid w:val="005C0853"/>
    <w:rsid w:val="005C1E5D"/>
    <w:rsid w:val="005C5891"/>
    <w:rsid w:val="005D04CC"/>
    <w:rsid w:val="005D1BC0"/>
    <w:rsid w:val="005D1C80"/>
    <w:rsid w:val="005D1FD9"/>
    <w:rsid w:val="005D5FAE"/>
    <w:rsid w:val="005D6204"/>
    <w:rsid w:val="005E067F"/>
    <w:rsid w:val="005E31D1"/>
    <w:rsid w:val="005E4AF2"/>
    <w:rsid w:val="005E4BC9"/>
    <w:rsid w:val="005E4D5E"/>
    <w:rsid w:val="005E5C92"/>
    <w:rsid w:val="005F1090"/>
    <w:rsid w:val="005F18A7"/>
    <w:rsid w:val="005F29B7"/>
    <w:rsid w:val="005F2AB6"/>
    <w:rsid w:val="005F3899"/>
    <w:rsid w:val="005F4F16"/>
    <w:rsid w:val="006011A2"/>
    <w:rsid w:val="006022B2"/>
    <w:rsid w:val="006061AE"/>
    <w:rsid w:val="00606EB5"/>
    <w:rsid w:val="00606FC8"/>
    <w:rsid w:val="00610125"/>
    <w:rsid w:val="00610E2E"/>
    <w:rsid w:val="00611F36"/>
    <w:rsid w:val="00612BED"/>
    <w:rsid w:val="00614B75"/>
    <w:rsid w:val="0061541D"/>
    <w:rsid w:val="00615D64"/>
    <w:rsid w:val="00616C90"/>
    <w:rsid w:val="0061730D"/>
    <w:rsid w:val="00617FDA"/>
    <w:rsid w:val="00617FFB"/>
    <w:rsid w:val="0062116F"/>
    <w:rsid w:val="00623FD7"/>
    <w:rsid w:val="00626087"/>
    <w:rsid w:val="00626A23"/>
    <w:rsid w:val="006277FC"/>
    <w:rsid w:val="00631BBF"/>
    <w:rsid w:val="0063477C"/>
    <w:rsid w:val="00634E4C"/>
    <w:rsid w:val="00636B8B"/>
    <w:rsid w:val="00641ADC"/>
    <w:rsid w:val="00641EAA"/>
    <w:rsid w:val="006427FE"/>
    <w:rsid w:val="006464A6"/>
    <w:rsid w:val="00646B89"/>
    <w:rsid w:val="006504AD"/>
    <w:rsid w:val="006506C1"/>
    <w:rsid w:val="006511DE"/>
    <w:rsid w:val="00651863"/>
    <w:rsid w:val="00653D84"/>
    <w:rsid w:val="006555F9"/>
    <w:rsid w:val="00657459"/>
    <w:rsid w:val="0065747A"/>
    <w:rsid w:val="00661819"/>
    <w:rsid w:val="00662412"/>
    <w:rsid w:val="00662E28"/>
    <w:rsid w:val="0066674D"/>
    <w:rsid w:val="00666A78"/>
    <w:rsid w:val="00671E40"/>
    <w:rsid w:val="0067268C"/>
    <w:rsid w:val="00674EE0"/>
    <w:rsid w:val="00676C12"/>
    <w:rsid w:val="00677C18"/>
    <w:rsid w:val="00680A67"/>
    <w:rsid w:val="006814CE"/>
    <w:rsid w:val="00684F90"/>
    <w:rsid w:val="00685924"/>
    <w:rsid w:val="0068654D"/>
    <w:rsid w:val="0069233E"/>
    <w:rsid w:val="0069375D"/>
    <w:rsid w:val="0069407C"/>
    <w:rsid w:val="00695169"/>
    <w:rsid w:val="0069574E"/>
    <w:rsid w:val="0069608D"/>
    <w:rsid w:val="006969C0"/>
    <w:rsid w:val="006A1921"/>
    <w:rsid w:val="006A2303"/>
    <w:rsid w:val="006A2C82"/>
    <w:rsid w:val="006B1A8D"/>
    <w:rsid w:val="006B21B6"/>
    <w:rsid w:val="006B3818"/>
    <w:rsid w:val="006B5352"/>
    <w:rsid w:val="006B54E1"/>
    <w:rsid w:val="006B7903"/>
    <w:rsid w:val="006C25D0"/>
    <w:rsid w:val="006C2DF1"/>
    <w:rsid w:val="006C5010"/>
    <w:rsid w:val="006C60E1"/>
    <w:rsid w:val="006C69AA"/>
    <w:rsid w:val="006D0356"/>
    <w:rsid w:val="006D2A45"/>
    <w:rsid w:val="006D315C"/>
    <w:rsid w:val="006D4D66"/>
    <w:rsid w:val="006D71B8"/>
    <w:rsid w:val="006E12F1"/>
    <w:rsid w:val="006E2FFE"/>
    <w:rsid w:val="006E4272"/>
    <w:rsid w:val="006E45C6"/>
    <w:rsid w:val="006E4C2B"/>
    <w:rsid w:val="006E6D35"/>
    <w:rsid w:val="006F145A"/>
    <w:rsid w:val="006F1997"/>
    <w:rsid w:val="006F27CB"/>
    <w:rsid w:val="006F2F5B"/>
    <w:rsid w:val="006F359B"/>
    <w:rsid w:val="006F5865"/>
    <w:rsid w:val="006F6D2F"/>
    <w:rsid w:val="006F7C17"/>
    <w:rsid w:val="00700A0A"/>
    <w:rsid w:val="00701EC6"/>
    <w:rsid w:val="00703C9E"/>
    <w:rsid w:val="00706179"/>
    <w:rsid w:val="00711FA0"/>
    <w:rsid w:val="00714F78"/>
    <w:rsid w:val="007152B0"/>
    <w:rsid w:val="007170F7"/>
    <w:rsid w:val="00717589"/>
    <w:rsid w:val="00722D9F"/>
    <w:rsid w:val="00722F9F"/>
    <w:rsid w:val="00724322"/>
    <w:rsid w:val="007249DC"/>
    <w:rsid w:val="007253B8"/>
    <w:rsid w:val="00726D6F"/>
    <w:rsid w:val="0073185A"/>
    <w:rsid w:val="00734028"/>
    <w:rsid w:val="007355A7"/>
    <w:rsid w:val="00736E7D"/>
    <w:rsid w:val="00742FD1"/>
    <w:rsid w:val="007449FA"/>
    <w:rsid w:val="007464C3"/>
    <w:rsid w:val="007509A6"/>
    <w:rsid w:val="00751A0A"/>
    <w:rsid w:val="00753F83"/>
    <w:rsid w:val="007541B0"/>
    <w:rsid w:val="0075469B"/>
    <w:rsid w:val="00755163"/>
    <w:rsid w:val="00756AAB"/>
    <w:rsid w:val="00757F63"/>
    <w:rsid w:val="00761679"/>
    <w:rsid w:val="007645AE"/>
    <w:rsid w:val="00764992"/>
    <w:rsid w:val="00765749"/>
    <w:rsid w:val="00766CBF"/>
    <w:rsid w:val="00766EA2"/>
    <w:rsid w:val="00770F4B"/>
    <w:rsid w:val="0077263C"/>
    <w:rsid w:val="0077273D"/>
    <w:rsid w:val="007751E0"/>
    <w:rsid w:val="00775AA0"/>
    <w:rsid w:val="007764D2"/>
    <w:rsid w:val="007770FA"/>
    <w:rsid w:val="00782C38"/>
    <w:rsid w:val="00786030"/>
    <w:rsid w:val="00786C60"/>
    <w:rsid w:val="0078797C"/>
    <w:rsid w:val="00791738"/>
    <w:rsid w:val="00791780"/>
    <w:rsid w:val="0079261A"/>
    <w:rsid w:val="00792D37"/>
    <w:rsid w:val="00793588"/>
    <w:rsid w:val="007974E7"/>
    <w:rsid w:val="00797853"/>
    <w:rsid w:val="007A0EB7"/>
    <w:rsid w:val="007A44D7"/>
    <w:rsid w:val="007A5981"/>
    <w:rsid w:val="007A6C0F"/>
    <w:rsid w:val="007B1843"/>
    <w:rsid w:val="007B3C56"/>
    <w:rsid w:val="007B40CB"/>
    <w:rsid w:val="007B6506"/>
    <w:rsid w:val="007B6871"/>
    <w:rsid w:val="007B6ACE"/>
    <w:rsid w:val="007B704B"/>
    <w:rsid w:val="007B7899"/>
    <w:rsid w:val="007B79C9"/>
    <w:rsid w:val="007C08B1"/>
    <w:rsid w:val="007C22A0"/>
    <w:rsid w:val="007C2CC2"/>
    <w:rsid w:val="007C38BD"/>
    <w:rsid w:val="007C4C19"/>
    <w:rsid w:val="007C79AA"/>
    <w:rsid w:val="007D01E5"/>
    <w:rsid w:val="007D18C8"/>
    <w:rsid w:val="007D1900"/>
    <w:rsid w:val="007D31DA"/>
    <w:rsid w:val="007D72C5"/>
    <w:rsid w:val="007D786A"/>
    <w:rsid w:val="007E0372"/>
    <w:rsid w:val="007E0941"/>
    <w:rsid w:val="007E1E79"/>
    <w:rsid w:val="007E2FB9"/>
    <w:rsid w:val="007E30AA"/>
    <w:rsid w:val="007E476A"/>
    <w:rsid w:val="007E525D"/>
    <w:rsid w:val="007E7065"/>
    <w:rsid w:val="007F0323"/>
    <w:rsid w:val="007F0588"/>
    <w:rsid w:val="007F0CE7"/>
    <w:rsid w:val="007F379E"/>
    <w:rsid w:val="007F471C"/>
    <w:rsid w:val="007F4797"/>
    <w:rsid w:val="007F5610"/>
    <w:rsid w:val="007F60C1"/>
    <w:rsid w:val="007F7910"/>
    <w:rsid w:val="008007B7"/>
    <w:rsid w:val="00800C90"/>
    <w:rsid w:val="00802E56"/>
    <w:rsid w:val="00803F97"/>
    <w:rsid w:val="008064EF"/>
    <w:rsid w:val="008068B5"/>
    <w:rsid w:val="008121C9"/>
    <w:rsid w:val="008125F8"/>
    <w:rsid w:val="008208A8"/>
    <w:rsid w:val="0082122F"/>
    <w:rsid w:val="00824269"/>
    <w:rsid w:val="00826012"/>
    <w:rsid w:val="00830291"/>
    <w:rsid w:val="00834A0F"/>
    <w:rsid w:val="00834CE0"/>
    <w:rsid w:val="008363F1"/>
    <w:rsid w:val="0084061A"/>
    <w:rsid w:val="0084110F"/>
    <w:rsid w:val="0084148B"/>
    <w:rsid w:val="008423C0"/>
    <w:rsid w:val="008434C7"/>
    <w:rsid w:val="00843A99"/>
    <w:rsid w:val="00844B1D"/>
    <w:rsid w:val="00844F5C"/>
    <w:rsid w:val="00845843"/>
    <w:rsid w:val="00845AB8"/>
    <w:rsid w:val="00846D34"/>
    <w:rsid w:val="008502C0"/>
    <w:rsid w:val="008517D0"/>
    <w:rsid w:val="008523F8"/>
    <w:rsid w:val="00852C37"/>
    <w:rsid w:val="00856DF9"/>
    <w:rsid w:val="008614F0"/>
    <w:rsid w:val="0086260D"/>
    <w:rsid w:val="00862892"/>
    <w:rsid w:val="00863020"/>
    <w:rsid w:val="008631C7"/>
    <w:rsid w:val="008637EC"/>
    <w:rsid w:val="00865D46"/>
    <w:rsid w:val="00865DC3"/>
    <w:rsid w:val="00866489"/>
    <w:rsid w:val="008668E2"/>
    <w:rsid w:val="00866B4C"/>
    <w:rsid w:val="008676EE"/>
    <w:rsid w:val="00870BC6"/>
    <w:rsid w:val="00871615"/>
    <w:rsid w:val="00871AD6"/>
    <w:rsid w:val="00872389"/>
    <w:rsid w:val="00873DB0"/>
    <w:rsid w:val="00875DAD"/>
    <w:rsid w:val="00876A88"/>
    <w:rsid w:val="008777B3"/>
    <w:rsid w:val="00877B84"/>
    <w:rsid w:val="00877E5F"/>
    <w:rsid w:val="00880093"/>
    <w:rsid w:val="0088036D"/>
    <w:rsid w:val="00881155"/>
    <w:rsid w:val="008815B8"/>
    <w:rsid w:val="0088171E"/>
    <w:rsid w:val="00882892"/>
    <w:rsid w:val="00885A14"/>
    <w:rsid w:val="008865F6"/>
    <w:rsid w:val="0088689B"/>
    <w:rsid w:val="00886FA8"/>
    <w:rsid w:val="00887A8F"/>
    <w:rsid w:val="00890FA0"/>
    <w:rsid w:val="008947BF"/>
    <w:rsid w:val="00896625"/>
    <w:rsid w:val="008A0CBE"/>
    <w:rsid w:val="008A12DF"/>
    <w:rsid w:val="008A1CA8"/>
    <w:rsid w:val="008A214D"/>
    <w:rsid w:val="008A5201"/>
    <w:rsid w:val="008A623A"/>
    <w:rsid w:val="008A6A7E"/>
    <w:rsid w:val="008A72D2"/>
    <w:rsid w:val="008A74A3"/>
    <w:rsid w:val="008A774A"/>
    <w:rsid w:val="008B268A"/>
    <w:rsid w:val="008B3D26"/>
    <w:rsid w:val="008B6868"/>
    <w:rsid w:val="008B6D24"/>
    <w:rsid w:val="008C04B6"/>
    <w:rsid w:val="008C2BF3"/>
    <w:rsid w:val="008C3143"/>
    <w:rsid w:val="008C34F7"/>
    <w:rsid w:val="008C398C"/>
    <w:rsid w:val="008C66E1"/>
    <w:rsid w:val="008C6A43"/>
    <w:rsid w:val="008D080C"/>
    <w:rsid w:val="008D09B0"/>
    <w:rsid w:val="008D1867"/>
    <w:rsid w:val="008D3B29"/>
    <w:rsid w:val="008D4CC0"/>
    <w:rsid w:val="008D5172"/>
    <w:rsid w:val="008D6437"/>
    <w:rsid w:val="008D6EDF"/>
    <w:rsid w:val="008D742A"/>
    <w:rsid w:val="008E0607"/>
    <w:rsid w:val="008E1452"/>
    <w:rsid w:val="008E17E1"/>
    <w:rsid w:val="008E3207"/>
    <w:rsid w:val="008E3EF5"/>
    <w:rsid w:val="008E4B14"/>
    <w:rsid w:val="008E69F8"/>
    <w:rsid w:val="008E7679"/>
    <w:rsid w:val="008F33B5"/>
    <w:rsid w:val="008F6570"/>
    <w:rsid w:val="00900247"/>
    <w:rsid w:val="00901414"/>
    <w:rsid w:val="0090304D"/>
    <w:rsid w:val="00905A3E"/>
    <w:rsid w:val="00906799"/>
    <w:rsid w:val="009116AC"/>
    <w:rsid w:val="009123B5"/>
    <w:rsid w:val="0091498A"/>
    <w:rsid w:val="00922193"/>
    <w:rsid w:val="00923A58"/>
    <w:rsid w:val="00924152"/>
    <w:rsid w:val="00924E56"/>
    <w:rsid w:val="009252E5"/>
    <w:rsid w:val="0092712D"/>
    <w:rsid w:val="00927693"/>
    <w:rsid w:val="00927764"/>
    <w:rsid w:val="009278A6"/>
    <w:rsid w:val="00927CE6"/>
    <w:rsid w:val="0093194D"/>
    <w:rsid w:val="00934C3F"/>
    <w:rsid w:val="009417AE"/>
    <w:rsid w:val="009418E9"/>
    <w:rsid w:val="009425AC"/>
    <w:rsid w:val="0094339C"/>
    <w:rsid w:val="0094423D"/>
    <w:rsid w:val="00944F64"/>
    <w:rsid w:val="00945504"/>
    <w:rsid w:val="00945B3F"/>
    <w:rsid w:val="00947831"/>
    <w:rsid w:val="00947C38"/>
    <w:rsid w:val="00950DCB"/>
    <w:rsid w:val="00951B3B"/>
    <w:rsid w:val="00952D47"/>
    <w:rsid w:val="00952D4C"/>
    <w:rsid w:val="00954E48"/>
    <w:rsid w:val="00960246"/>
    <w:rsid w:val="0096155E"/>
    <w:rsid w:val="00965A9B"/>
    <w:rsid w:val="00965E12"/>
    <w:rsid w:val="009665D8"/>
    <w:rsid w:val="00967111"/>
    <w:rsid w:val="009674AD"/>
    <w:rsid w:val="009720E1"/>
    <w:rsid w:val="0097361D"/>
    <w:rsid w:val="009740E5"/>
    <w:rsid w:val="00974B8B"/>
    <w:rsid w:val="00974F0E"/>
    <w:rsid w:val="00975B40"/>
    <w:rsid w:val="00975CD7"/>
    <w:rsid w:val="00976C08"/>
    <w:rsid w:val="00977489"/>
    <w:rsid w:val="00980CA1"/>
    <w:rsid w:val="00981429"/>
    <w:rsid w:val="00981666"/>
    <w:rsid w:val="009824B5"/>
    <w:rsid w:val="00983F50"/>
    <w:rsid w:val="00984039"/>
    <w:rsid w:val="00985E70"/>
    <w:rsid w:val="0098692D"/>
    <w:rsid w:val="00987482"/>
    <w:rsid w:val="0098783B"/>
    <w:rsid w:val="00993C2B"/>
    <w:rsid w:val="00993E57"/>
    <w:rsid w:val="009945B2"/>
    <w:rsid w:val="009979F4"/>
    <w:rsid w:val="009A1062"/>
    <w:rsid w:val="009A10E6"/>
    <w:rsid w:val="009A13B6"/>
    <w:rsid w:val="009A174F"/>
    <w:rsid w:val="009A246D"/>
    <w:rsid w:val="009A2EF1"/>
    <w:rsid w:val="009A45B2"/>
    <w:rsid w:val="009A5146"/>
    <w:rsid w:val="009A5585"/>
    <w:rsid w:val="009A59D5"/>
    <w:rsid w:val="009A59D6"/>
    <w:rsid w:val="009A5B35"/>
    <w:rsid w:val="009B2CB7"/>
    <w:rsid w:val="009B34E4"/>
    <w:rsid w:val="009B4BDF"/>
    <w:rsid w:val="009B543C"/>
    <w:rsid w:val="009B612A"/>
    <w:rsid w:val="009C03FE"/>
    <w:rsid w:val="009C102C"/>
    <w:rsid w:val="009C2198"/>
    <w:rsid w:val="009C6260"/>
    <w:rsid w:val="009D2DDD"/>
    <w:rsid w:val="009D380E"/>
    <w:rsid w:val="009D5A7D"/>
    <w:rsid w:val="009D698B"/>
    <w:rsid w:val="009E0917"/>
    <w:rsid w:val="009E0C10"/>
    <w:rsid w:val="009E0F57"/>
    <w:rsid w:val="009E4116"/>
    <w:rsid w:val="009E4BAF"/>
    <w:rsid w:val="009E529F"/>
    <w:rsid w:val="009E626B"/>
    <w:rsid w:val="009E62EE"/>
    <w:rsid w:val="009E6790"/>
    <w:rsid w:val="009E6A2D"/>
    <w:rsid w:val="009E7200"/>
    <w:rsid w:val="009F27F2"/>
    <w:rsid w:val="009F34C7"/>
    <w:rsid w:val="009F5493"/>
    <w:rsid w:val="00A0749B"/>
    <w:rsid w:val="00A10754"/>
    <w:rsid w:val="00A10DA6"/>
    <w:rsid w:val="00A1180C"/>
    <w:rsid w:val="00A1328C"/>
    <w:rsid w:val="00A139D1"/>
    <w:rsid w:val="00A151E9"/>
    <w:rsid w:val="00A15DBB"/>
    <w:rsid w:val="00A163BE"/>
    <w:rsid w:val="00A1659F"/>
    <w:rsid w:val="00A22A84"/>
    <w:rsid w:val="00A24377"/>
    <w:rsid w:val="00A259F2"/>
    <w:rsid w:val="00A25EE6"/>
    <w:rsid w:val="00A2758A"/>
    <w:rsid w:val="00A31328"/>
    <w:rsid w:val="00A33802"/>
    <w:rsid w:val="00A3392C"/>
    <w:rsid w:val="00A34882"/>
    <w:rsid w:val="00A34ADD"/>
    <w:rsid w:val="00A34C83"/>
    <w:rsid w:val="00A37162"/>
    <w:rsid w:val="00A37E51"/>
    <w:rsid w:val="00A403E7"/>
    <w:rsid w:val="00A4061B"/>
    <w:rsid w:val="00A40FE2"/>
    <w:rsid w:val="00A43C18"/>
    <w:rsid w:val="00A45FE1"/>
    <w:rsid w:val="00A467A8"/>
    <w:rsid w:val="00A4723F"/>
    <w:rsid w:val="00A50101"/>
    <w:rsid w:val="00A507AB"/>
    <w:rsid w:val="00A51E2D"/>
    <w:rsid w:val="00A5243B"/>
    <w:rsid w:val="00A5253C"/>
    <w:rsid w:val="00A5287F"/>
    <w:rsid w:val="00A5319F"/>
    <w:rsid w:val="00A533A9"/>
    <w:rsid w:val="00A53690"/>
    <w:rsid w:val="00A543DC"/>
    <w:rsid w:val="00A548B4"/>
    <w:rsid w:val="00A56423"/>
    <w:rsid w:val="00A56E04"/>
    <w:rsid w:val="00A575D7"/>
    <w:rsid w:val="00A57B49"/>
    <w:rsid w:val="00A604DE"/>
    <w:rsid w:val="00A60AA1"/>
    <w:rsid w:val="00A61541"/>
    <w:rsid w:val="00A62D31"/>
    <w:rsid w:val="00A63380"/>
    <w:rsid w:val="00A64052"/>
    <w:rsid w:val="00A65388"/>
    <w:rsid w:val="00A70A6D"/>
    <w:rsid w:val="00A71639"/>
    <w:rsid w:val="00A73B92"/>
    <w:rsid w:val="00A74C76"/>
    <w:rsid w:val="00A7721F"/>
    <w:rsid w:val="00A8129D"/>
    <w:rsid w:val="00A818D0"/>
    <w:rsid w:val="00A81C6A"/>
    <w:rsid w:val="00A82188"/>
    <w:rsid w:val="00A82582"/>
    <w:rsid w:val="00A826C7"/>
    <w:rsid w:val="00A8276C"/>
    <w:rsid w:val="00A865C7"/>
    <w:rsid w:val="00A909CC"/>
    <w:rsid w:val="00A91651"/>
    <w:rsid w:val="00A92126"/>
    <w:rsid w:val="00A95A74"/>
    <w:rsid w:val="00A964A5"/>
    <w:rsid w:val="00A97E3B"/>
    <w:rsid w:val="00AA00CB"/>
    <w:rsid w:val="00AA0EEE"/>
    <w:rsid w:val="00AA20A1"/>
    <w:rsid w:val="00AA41F2"/>
    <w:rsid w:val="00AA5860"/>
    <w:rsid w:val="00AA7D6E"/>
    <w:rsid w:val="00AB039E"/>
    <w:rsid w:val="00AB14C7"/>
    <w:rsid w:val="00AB1E5E"/>
    <w:rsid w:val="00AB4206"/>
    <w:rsid w:val="00AB5B1D"/>
    <w:rsid w:val="00AC0056"/>
    <w:rsid w:val="00AC31D0"/>
    <w:rsid w:val="00AC541A"/>
    <w:rsid w:val="00AC6841"/>
    <w:rsid w:val="00AC7E54"/>
    <w:rsid w:val="00AD0719"/>
    <w:rsid w:val="00AD2D12"/>
    <w:rsid w:val="00AD4197"/>
    <w:rsid w:val="00AD69B6"/>
    <w:rsid w:val="00AD7EAF"/>
    <w:rsid w:val="00AE2064"/>
    <w:rsid w:val="00AE2F92"/>
    <w:rsid w:val="00AE6A4E"/>
    <w:rsid w:val="00AE7970"/>
    <w:rsid w:val="00AE7B98"/>
    <w:rsid w:val="00AF129F"/>
    <w:rsid w:val="00AF17AA"/>
    <w:rsid w:val="00AF296B"/>
    <w:rsid w:val="00AF358E"/>
    <w:rsid w:val="00AF3C92"/>
    <w:rsid w:val="00AF42F9"/>
    <w:rsid w:val="00AF513F"/>
    <w:rsid w:val="00B03849"/>
    <w:rsid w:val="00B054C9"/>
    <w:rsid w:val="00B06172"/>
    <w:rsid w:val="00B1002B"/>
    <w:rsid w:val="00B12DC9"/>
    <w:rsid w:val="00B13F84"/>
    <w:rsid w:val="00B14604"/>
    <w:rsid w:val="00B152AD"/>
    <w:rsid w:val="00B15ABA"/>
    <w:rsid w:val="00B15CE4"/>
    <w:rsid w:val="00B16F9B"/>
    <w:rsid w:val="00B1723A"/>
    <w:rsid w:val="00B20E33"/>
    <w:rsid w:val="00B20FA0"/>
    <w:rsid w:val="00B216AD"/>
    <w:rsid w:val="00B21753"/>
    <w:rsid w:val="00B232D8"/>
    <w:rsid w:val="00B23615"/>
    <w:rsid w:val="00B24DD4"/>
    <w:rsid w:val="00B2654D"/>
    <w:rsid w:val="00B26D0A"/>
    <w:rsid w:val="00B30007"/>
    <w:rsid w:val="00B31529"/>
    <w:rsid w:val="00B31A7E"/>
    <w:rsid w:val="00B34339"/>
    <w:rsid w:val="00B35227"/>
    <w:rsid w:val="00B3574E"/>
    <w:rsid w:val="00B35E6A"/>
    <w:rsid w:val="00B37978"/>
    <w:rsid w:val="00B40B7D"/>
    <w:rsid w:val="00B42B2F"/>
    <w:rsid w:val="00B443BD"/>
    <w:rsid w:val="00B44900"/>
    <w:rsid w:val="00B456EB"/>
    <w:rsid w:val="00B45E46"/>
    <w:rsid w:val="00B467F6"/>
    <w:rsid w:val="00B472E1"/>
    <w:rsid w:val="00B47B6E"/>
    <w:rsid w:val="00B5058E"/>
    <w:rsid w:val="00B52821"/>
    <w:rsid w:val="00B54B85"/>
    <w:rsid w:val="00B54F1F"/>
    <w:rsid w:val="00B56C63"/>
    <w:rsid w:val="00B61236"/>
    <w:rsid w:val="00B6345D"/>
    <w:rsid w:val="00B664C7"/>
    <w:rsid w:val="00B71170"/>
    <w:rsid w:val="00B71C4B"/>
    <w:rsid w:val="00B7486B"/>
    <w:rsid w:val="00B7545F"/>
    <w:rsid w:val="00B76440"/>
    <w:rsid w:val="00B7694A"/>
    <w:rsid w:val="00B76B28"/>
    <w:rsid w:val="00B80BCE"/>
    <w:rsid w:val="00B81524"/>
    <w:rsid w:val="00B81740"/>
    <w:rsid w:val="00B82DC1"/>
    <w:rsid w:val="00B830A2"/>
    <w:rsid w:val="00B83542"/>
    <w:rsid w:val="00B85D7B"/>
    <w:rsid w:val="00B86122"/>
    <w:rsid w:val="00B900EA"/>
    <w:rsid w:val="00B91069"/>
    <w:rsid w:val="00B911D4"/>
    <w:rsid w:val="00B92842"/>
    <w:rsid w:val="00B92BCB"/>
    <w:rsid w:val="00B94265"/>
    <w:rsid w:val="00B95E4E"/>
    <w:rsid w:val="00B96EEE"/>
    <w:rsid w:val="00BA2713"/>
    <w:rsid w:val="00BA2941"/>
    <w:rsid w:val="00BA44E0"/>
    <w:rsid w:val="00BA4C61"/>
    <w:rsid w:val="00BA50DF"/>
    <w:rsid w:val="00BA627A"/>
    <w:rsid w:val="00BA6546"/>
    <w:rsid w:val="00BB14E9"/>
    <w:rsid w:val="00BB1C5C"/>
    <w:rsid w:val="00BB22FA"/>
    <w:rsid w:val="00BB26D4"/>
    <w:rsid w:val="00BB3042"/>
    <w:rsid w:val="00BB45AE"/>
    <w:rsid w:val="00BB60C1"/>
    <w:rsid w:val="00BB6E25"/>
    <w:rsid w:val="00BB7C9A"/>
    <w:rsid w:val="00BC14C6"/>
    <w:rsid w:val="00BC1E90"/>
    <w:rsid w:val="00BC4F42"/>
    <w:rsid w:val="00BC74FA"/>
    <w:rsid w:val="00BC79BD"/>
    <w:rsid w:val="00BD0954"/>
    <w:rsid w:val="00BD12A1"/>
    <w:rsid w:val="00BD14AB"/>
    <w:rsid w:val="00BD1D09"/>
    <w:rsid w:val="00BD2C30"/>
    <w:rsid w:val="00BD51F6"/>
    <w:rsid w:val="00BD6CCD"/>
    <w:rsid w:val="00BD7B83"/>
    <w:rsid w:val="00BE0662"/>
    <w:rsid w:val="00BE0B56"/>
    <w:rsid w:val="00BE122B"/>
    <w:rsid w:val="00BE446E"/>
    <w:rsid w:val="00BE61E2"/>
    <w:rsid w:val="00BE797A"/>
    <w:rsid w:val="00BE7F1B"/>
    <w:rsid w:val="00BF17C6"/>
    <w:rsid w:val="00BF2211"/>
    <w:rsid w:val="00BF2396"/>
    <w:rsid w:val="00BF24E3"/>
    <w:rsid w:val="00BF3716"/>
    <w:rsid w:val="00BF56D1"/>
    <w:rsid w:val="00BF6F09"/>
    <w:rsid w:val="00BF766C"/>
    <w:rsid w:val="00C002E9"/>
    <w:rsid w:val="00C00FDA"/>
    <w:rsid w:val="00C029E7"/>
    <w:rsid w:val="00C02EB9"/>
    <w:rsid w:val="00C0373C"/>
    <w:rsid w:val="00C04E4B"/>
    <w:rsid w:val="00C04E66"/>
    <w:rsid w:val="00C0626D"/>
    <w:rsid w:val="00C11531"/>
    <w:rsid w:val="00C11B56"/>
    <w:rsid w:val="00C126A2"/>
    <w:rsid w:val="00C13933"/>
    <w:rsid w:val="00C14C04"/>
    <w:rsid w:val="00C1529E"/>
    <w:rsid w:val="00C16045"/>
    <w:rsid w:val="00C17862"/>
    <w:rsid w:val="00C17F2B"/>
    <w:rsid w:val="00C21E27"/>
    <w:rsid w:val="00C2332A"/>
    <w:rsid w:val="00C237C1"/>
    <w:rsid w:val="00C24439"/>
    <w:rsid w:val="00C2648B"/>
    <w:rsid w:val="00C2662C"/>
    <w:rsid w:val="00C400D9"/>
    <w:rsid w:val="00C41307"/>
    <w:rsid w:val="00C42EA5"/>
    <w:rsid w:val="00C432F0"/>
    <w:rsid w:val="00C4631E"/>
    <w:rsid w:val="00C47633"/>
    <w:rsid w:val="00C50D40"/>
    <w:rsid w:val="00C53AC2"/>
    <w:rsid w:val="00C53B58"/>
    <w:rsid w:val="00C53FE8"/>
    <w:rsid w:val="00C540F9"/>
    <w:rsid w:val="00C5739D"/>
    <w:rsid w:val="00C608CC"/>
    <w:rsid w:val="00C62B44"/>
    <w:rsid w:val="00C62BF5"/>
    <w:rsid w:val="00C636DA"/>
    <w:rsid w:val="00C63D82"/>
    <w:rsid w:val="00C6670B"/>
    <w:rsid w:val="00C67CB7"/>
    <w:rsid w:val="00C67E22"/>
    <w:rsid w:val="00C72271"/>
    <w:rsid w:val="00C72A17"/>
    <w:rsid w:val="00C7786D"/>
    <w:rsid w:val="00C81356"/>
    <w:rsid w:val="00C813CD"/>
    <w:rsid w:val="00C823C2"/>
    <w:rsid w:val="00C858D9"/>
    <w:rsid w:val="00C873A0"/>
    <w:rsid w:val="00C879CB"/>
    <w:rsid w:val="00C87DA0"/>
    <w:rsid w:val="00C900A9"/>
    <w:rsid w:val="00C91098"/>
    <w:rsid w:val="00C91A5A"/>
    <w:rsid w:val="00C9283F"/>
    <w:rsid w:val="00C941EF"/>
    <w:rsid w:val="00CA1E26"/>
    <w:rsid w:val="00CA2A08"/>
    <w:rsid w:val="00CA40C9"/>
    <w:rsid w:val="00CA4E4D"/>
    <w:rsid w:val="00CA66C4"/>
    <w:rsid w:val="00CA6AD5"/>
    <w:rsid w:val="00CA6FF9"/>
    <w:rsid w:val="00CA7CAF"/>
    <w:rsid w:val="00CB4238"/>
    <w:rsid w:val="00CB5938"/>
    <w:rsid w:val="00CB5B27"/>
    <w:rsid w:val="00CB600A"/>
    <w:rsid w:val="00CC13F5"/>
    <w:rsid w:val="00CC1A64"/>
    <w:rsid w:val="00CC34EB"/>
    <w:rsid w:val="00CC403E"/>
    <w:rsid w:val="00CC482E"/>
    <w:rsid w:val="00CC4FED"/>
    <w:rsid w:val="00CC5C8A"/>
    <w:rsid w:val="00CC66EA"/>
    <w:rsid w:val="00CD2037"/>
    <w:rsid w:val="00CD2BDA"/>
    <w:rsid w:val="00CD3C17"/>
    <w:rsid w:val="00CD3FE0"/>
    <w:rsid w:val="00CD5BC7"/>
    <w:rsid w:val="00CE1489"/>
    <w:rsid w:val="00CE1F9C"/>
    <w:rsid w:val="00CE2481"/>
    <w:rsid w:val="00CE2E48"/>
    <w:rsid w:val="00CE3A9C"/>
    <w:rsid w:val="00CE3CDE"/>
    <w:rsid w:val="00CE5CDF"/>
    <w:rsid w:val="00CE6370"/>
    <w:rsid w:val="00CF0184"/>
    <w:rsid w:val="00CF3790"/>
    <w:rsid w:val="00CF55F6"/>
    <w:rsid w:val="00CF59E0"/>
    <w:rsid w:val="00CF6551"/>
    <w:rsid w:val="00CF6672"/>
    <w:rsid w:val="00CF7BCA"/>
    <w:rsid w:val="00D002EB"/>
    <w:rsid w:val="00D021F7"/>
    <w:rsid w:val="00D02729"/>
    <w:rsid w:val="00D04D32"/>
    <w:rsid w:val="00D069C7"/>
    <w:rsid w:val="00D078A2"/>
    <w:rsid w:val="00D10137"/>
    <w:rsid w:val="00D107C4"/>
    <w:rsid w:val="00D12A4B"/>
    <w:rsid w:val="00D1380F"/>
    <w:rsid w:val="00D14CEF"/>
    <w:rsid w:val="00D17659"/>
    <w:rsid w:val="00D17E5B"/>
    <w:rsid w:val="00D209D5"/>
    <w:rsid w:val="00D21022"/>
    <w:rsid w:val="00D21123"/>
    <w:rsid w:val="00D229E2"/>
    <w:rsid w:val="00D22B55"/>
    <w:rsid w:val="00D24DA3"/>
    <w:rsid w:val="00D26BB7"/>
    <w:rsid w:val="00D300AD"/>
    <w:rsid w:val="00D30235"/>
    <w:rsid w:val="00D317DC"/>
    <w:rsid w:val="00D31D23"/>
    <w:rsid w:val="00D329A9"/>
    <w:rsid w:val="00D3331C"/>
    <w:rsid w:val="00D364CE"/>
    <w:rsid w:val="00D367EB"/>
    <w:rsid w:val="00D36C91"/>
    <w:rsid w:val="00D3703A"/>
    <w:rsid w:val="00D375E6"/>
    <w:rsid w:val="00D41871"/>
    <w:rsid w:val="00D41D24"/>
    <w:rsid w:val="00D42155"/>
    <w:rsid w:val="00D42C1E"/>
    <w:rsid w:val="00D42CA1"/>
    <w:rsid w:val="00D45954"/>
    <w:rsid w:val="00D461C2"/>
    <w:rsid w:val="00D4730D"/>
    <w:rsid w:val="00D4731C"/>
    <w:rsid w:val="00D5766A"/>
    <w:rsid w:val="00D57F40"/>
    <w:rsid w:val="00D610FC"/>
    <w:rsid w:val="00D61AAE"/>
    <w:rsid w:val="00D62977"/>
    <w:rsid w:val="00D64C57"/>
    <w:rsid w:val="00D64CB8"/>
    <w:rsid w:val="00D6547F"/>
    <w:rsid w:val="00D720AE"/>
    <w:rsid w:val="00D72FD8"/>
    <w:rsid w:val="00D75914"/>
    <w:rsid w:val="00D7662D"/>
    <w:rsid w:val="00D80A53"/>
    <w:rsid w:val="00D81428"/>
    <w:rsid w:val="00D827B9"/>
    <w:rsid w:val="00D8615B"/>
    <w:rsid w:val="00D91A70"/>
    <w:rsid w:val="00D92A45"/>
    <w:rsid w:val="00D93CDC"/>
    <w:rsid w:val="00D94453"/>
    <w:rsid w:val="00D952F1"/>
    <w:rsid w:val="00D962E1"/>
    <w:rsid w:val="00D96848"/>
    <w:rsid w:val="00D9697A"/>
    <w:rsid w:val="00D96DE8"/>
    <w:rsid w:val="00D97421"/>
    <w:rsid w:val="00DA0313"/>
    <w:rsid w:val="00DA0465"/>
    <w:rsid w:val="00DA2269"/>
    <w:rsid w:val="00DA253A"/>
    <w:rsid w:val="00DA2566"/>
    <w:rsid w:val="00DA3023"/>
    <w:rsid w:val="00DA4C48"/>
    <w:rsid w:val="00DA727D"/>
    <w:rsid w:val="00DB064D"/>
    <w:rsid w:val="00DB0F18"/>
    <w:rsid w:val="00DB1B02"/>
    <w:rsid w:val="00DB25B2"/>
    <w:rsid w:val="00DB2A44"/>
    <w:rsid w:val="00DB454E"/>
    <w:rsid w:val="00DB53A7"/>
    <w:rsid w:val="00DC143D"/>
    <w:rsid w:val="00DC1F90"/>
    <w:rsid w:val="00DC3F09"/>
    <w:rsid w:val="00DC4B6D"/>
    <w:rsid w:val="00DD0E05"/>
    <w:rsid w:val="00DD170F"/>
    <w:rsid w:val="00DD3CB3"/>
    <w:rsid w:val="00DD4BD4"/>
    <w:rsid w:val="00DD5332"/>
    <w:rsid w:val="00DD5CE0"/>
    <w:rsid w:val="00DD6CCA"/>
    <w:rsid w:val="00DD6E6D"/>
    <w:rsid w:val="00DD6F64"/>
    <w:rsid w:val="00DE0200"/>
    <w:rsid w:val="00DE0A8A"/>
    <w:rsid w:val="00DE3DB7"/>
    <w:rsid w:val="00DE4A7A"/>
    <w:rsid w:val="00DE53EC"/>
    <w:rsid w:val="00DF0D0C"/>
    <w:rsid w:val="00DF12CD"/>
    <w:rsid w:val="00DF1646"/>
    <w:rsid w:val="00DF2F8B"/>
    <w:rsid w:val="00DF3C2B"/>
    <w:rsid w:val="00DF41B3"/>
    <w:rsid w:val="00DF6837"/>
    <w:rsid w:val="00DF68E4"/>
    <w:rsid w:val="00DF6E54"/>
    <w:rsid w:val="00E00DBD"/>
    <w:rsid w:val="00E04228"/>
    <w:rsid w:val="00E04457"/>
    <w:rsid w:val="00E04BBC"/>
    <w:rsid w:val="00E10450"/>
    <w:rsid w:val="00E1478E"/>
    <w:rsid w:val="00E153C8"/>
    <w:rsid w:val="00E159D7"/>
    <w:rsid w:val="00E15C86"/>
    <w:rsid w:val="00E1669F"/>
    <w:rsid w:val="00E16F91"/>
    <w:rsid w:val="00E213AB"/>
    <w:rsid w:val="00E21653"/>
    <w:rsid w:val="00E21C9B"/>
    <w:rsid w:val="00E2414E"/>
    <w:rsid w:val="00E26830"/>
    <w:rsid w:val="00E26FAF"/>
    <w:rsid w:val="00E3378D"/>
    <w:rsid w:val="00E3796B"/>
    <w:rsid w:val="00E40B36"/>
    <w:rsid w:val="00E42A54"/>
    <w:rsid w:val="00E43DE3"/>
    <w:rsid w:val="00E46DEA"/>
    <w:rsid w:val="00E46E28"/>
    <w:rsid w:val="00E5007E"/>
    <w:rsid w:val="00E51672"/>
    <w:rsid w:val="00E522FC"/>
    <w:rsid w:val="00E52704"/>
    <w:rsid w:val="00E52FBE"/>
    <w:rsid w:val="00E54514"/>
    <w:rsid w:val="00E55EE5"/>
    <w:rsid w:val="00E60829"/>
    <w:rsid w:val="00E6118A"/>
    <w:rsid w:val="00E61784"/>
    <w:rsid w:val="00E625B3"/>
    <w:rsid w:val="00E64743"/>
    <w:rsid w:val="00E65560"/>
    <w:rsid w:val="00E657E8"/>
    <w:rsid w:val="00E65E1B"/>
    <w:rsid w:val="00E67C82"/>
    <w:rsid w:val="00E7100D"/>
    <w:rsid w:val="00E7257D"/>
    <w:rsid w:val="00E728CB"/>
    <w:rsid w:val="00E7336F"/>
    <w:rsid w:val="00E74F3B"/>
    <w:rsid w:val="00E756B0"/>
    <w:rsid w:val="00E75DAD"/>
    <w:rsid w:val="00E76262"/>
    <w:rsid w:val="00E837AF"/>
    <w:rsid w:val="00E83899"/>
    <w:rsid w:val="00E847C4"/>
    <w:rsid w:val="00E84A6B"/>
    <w:rsid w:val="00E86159"/>
    <w:rsid w:val="00E86564"/>
    <w:rsid w:val="00E86BF9"/>
    <w:rsid w:val="00E904C5"/>
    <w:rsid w:val="00E916AE"/>
    <w:rsid w:val="00E92385"/>
    <w:rsid w:val="00E92E7C"/>
    <w:rsid w:val="00E93B5A"/>
    <w:rsid w:val="00E93D02"/>
    <w:rsid w:val="00E93E4B"/>
    <w:rsid w:val="00E93F74"/>
    <w:rsid w:val="00E9610D"/>
    <w:rsid w:val="00E96DEA"/>
    <w:rsid w:val="00E9714B"/>
    <w:rsid w:val="00EA11E0"/>
    <w:rsid w:val="00EA1585"/>
    <w:rsid w:val="00EA15CE"/>
    <w:rsid w:val="00EA2A18"/>
    <w:rsid w:val="00EA48AE"/>
    <w:rsid w:val="00EA5B30"/>
    <w:rsid w:val="00EA6E1E"/>
    <w:rsid w:val="00EB09E2"/>
    <w:rsid w:val="00EB11DD"/>
    <w:rsid w:val="00EB30F2"/>
    <w:rsid w:val="00EB59E7"/>
    <w:rsid w:val="00EB74A5"/>
    <w:rsid w:val="00EB7ADC"/>
    <w:rsid w:val="00EB7BC9"/>
    <w:rsid w:val="00EC2708"/>
    <w:rsid w:val="00EC4C33"/>
    <w:rsid w:val="00EC4CC2"/>
    <w:rsid w:val="00EC7422"/>
    <w:rsid w:val="00EC7553"/>
    <w:rsid w:val="00EC7B98"/>
    <w:rsid w:val="00ED08D8"/>
    <w:rsid w:val="00ED19D5"/>
    <w:rsid w:val="00ED1ABA"/>
    <w:rsid w:val="00ED2A49"/>
    <w:rsid w:val="00ED2F27"/>
    <w:rsid w:val="00ED5580"/>
    <w:rsid w:val="00ED61F7"/>
    <w:rsid w:val="00EE00A8"/>
    <w:rsid w:val="00EE0126"/>
    <w:rsid w:val="00EE0C89"/>
    <w:rsid w:val="00EE47FE"/>
    <w:rsid w:val="00EE50C6"/>
    <w:rsid w:val="00EE545D"/>
    <w:rsid w:val="00EE5592"/>
    <w:rsid w:val="00EE5D41"/>
    <w:rsid w:val="00EE61AB"/>
    <w:rsid w:val="00EE766D"/>
    <w:rsid w:val="00EE7E17"/>
    <w:rsid w:val="00EF042E"/>
    <w:rsid w:val="00EF2A15"/>
    <w:rsid w:val="00EF2B3A"/>
    <w:rsid w:val="00EF30DB"/>
    <w:rsid w:val="00EF5806"/>
    <w:rsid w:val="00EF5BFD"/>
    <w:rsid w:val="00EF60A3"/>
    <w:rsid w:val="00EF6B71"/>
    <w:rsid w:val="00EF713B"/>
    <w:rsid w:val="00EF7388"/>
    <w:rsid w:val="00EF7540"/>
    <w:rsid w:val="00EF7B33"/>
    <w:rsid w:val="00F003CF"/>
    <w:rsid w:val="00F00470"/>
    <w:rsid w:val="00F00B49"/>
    <w:rsid w:val="00F01897"/>
    <w:rsid w:val="00F01C6F"/>
    <w:rsid w:val="00F02A79"/>
    <w:rsid w:val="00F02F11"/>
    <w:rsid w:val="00F0360D"/>
    <w:rsid w:val="00F047A9"/>
    <w:rsid w:val="00F0509B"/>
    <w:rsid w:val="00F0661F"/>
    <w:rsid w:val="00F06EE2"/>
    <w:rsid w:val="00F074DC"/>
    <w:rsid w:val="00F074E4"/>
    <w:rsid w:val="00F1117D"/>
    <w:rsid w:val="00F15632"/>
    <w:rsid w:val="00F159D1"/>
    <w:rsid w:val="00F17535"/>
    <w:rsid w:val="00F177AF"/>
    <w:rsid w:val="00F20949"/>
    <w:rsid w:val="00F24A4C"/>
    <w:rsid w:val="00F24F8F"/>
    <w:rsid w:val="00F303B2"/>
    <w:rsid w:val="00F307E0"/>
    <w:rsid w:val="00F322BC"/>
    <w:rsid w:val="00F33DF2"/>
    <w:rsid w:val="00F34D63"/>
    <w:rsid w:val="00F374A8"/>
    <w:rsid w:val="00F37C2B"/>
    <w:rsid w:val="00F40739"/>
    <w:rsid w:val="00F41060"/>
    <w:rsid w:val="00F4665C"/>
    <w:rsid w:val="00F53884"/>
    <w:rsid w:val="00F541D0"/>
    <w:rsid w:val="00F54215"/>
    <w:rsid w:val="00F549E4"/>
    <w:rsid w:val="00F56422"/>
    <w:rsid w:val="00F56DDF"/>
    <w:rsid w:val="00F5763D"/>
    <w:rsid w:val="00F57F7A"/>
    <w:rsid w:val="00F62D33"/>
    <w:rsid w:val="00F645C9"/>
    <w:rsid w:val="00F64AB3"/>
    <w:rsid w:val="00F64E02"/>
    <w:rsid w:val="00F6570B"/>
    <w:rsid w:val="00F66534"/>
    <w:rsid w:val="00F67615"/>
    <w:rsid w:val="00F70F03"/>
    <w:rsid w:val="00F71714"/>
    <w:rsid w:val="00F76C98"/>
    <w:rsid w:val="00F804CD"/>
    <w:rsid w:val="00F80750"/>
    <w:rsid w:val="00F8446B"/>
    <w:rsid w:val="00F84C24"/>
    <w:rsid w:val="00F85F59"/>
    <w:rsid w:val="00F8614A"/>
    <w:rsid w:val="00F8620D"/>
    <w:rsid w:val="00F86538"/>
    <w:rsid w:val="00F86717"/>
    <w:rsid w:val="00F86DD4"/>
    <w:rsid w:val="00F8739D"/>
    <w:rsid w:val="00F87E13"/>
    <w:rsid w:val="00F97C7A"/>
    <w:rsid w:val="00FA1B72"/>
    <w:rsid w:val="00FA2909"/>
    <w:rsid w:val="00FA3CEC"/>
    <w:rsid w:val="00FB11F8"/>
    <w:rsid w:val="00FB224A"/>
    <w:rsid w:val="00FB4CF2"/>
    <w:rsid w:val="00FB63D7"/>
    <w:rsid w:val="00FB7387"/>
    <w:rsid w:val="00FC40F3"/>
    <w:rsid w:val="00FC4845"/>
    <w:rsid w:val="00FC6B03"/>
    <w:rsid w:val="00FC742C"/>
    <w:rsid w:val="00FD06D5"/>
    <w:rsid w:val="00FD28FF"/>
    <w:rsid w:val="00FD3198"/>
    <w:rsid w:val="00FD51F0"/>
    <w:rsid w:val="00FD68A1"/>
    <w:rsid w:val="00FD79C8"/>
    <w:rsid w:val="00FE2E8B"/>
    <w:rsid w:val="00FE419E"/>
    <w:rsid w:val="00FE54B8"/>
    <w:rsid w:val="00FE54E2"/>
    <w:rsid w:val="00FF181B"/>
    <w:rsid w:val="00FF1CFC"/>
    <w:rsid w:val="00FF205F"/>
    <w:rsid w:val="00FF2484"/>
    <w:rsid w:val="00FF4201"/>
    <w:rsid w:val="00FF45DF"/>
    <w:rsid w:val="00FF5A36"/>
    <w:rsid w:val="00FF6389"/>
    <w:rsid w:val="0568495C"/>
    <w:rsid w:val="082A2ECF"/>
    <w:rsid w:val="09E97952"/>
    <w:rsid w:val="111D3630"/>
    <w:rsid w:val="12B90691"/>
    <w:rsid w:val="13BBB713"/>
    <w:rsid w:val="1454D6F2"/>
    <w:rsid w:val="1EA2330F"/>
    <w:rsid w:val="229E7F8C"/>
    <w:rsid w:val="27CBD4EE"/>
    <w:rsid w:val="2A9706B9"/>
    <w:rsid w:val="37643381"/>
    <w:rsid w:val="39387CE5"/>
    <w:rsid w:val="3A1601E2"/>
    <w:rsid w:val="41D5EF62"/>
    <w:rsid w:val="45EF6660"/>
    <w:rsid w:val="47356C1E"/>
    <w:rsid w:val="47C40B61"/>
    <w:rsid w:val="489C979D"/>
    <w:rsid w:val="4AAD0FC6"/>
    <w:rsid w:val="53C1CD1B"/>
    <w:rsid w:val="5CFC6A3D"/>
    <w:rsid w:val="5D6A82CB"/>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9BCD5"/>
  <w15:chartTrackingRefBased/>
  <w15:docId w15:val="{72B45E8A-0F3B-4F9F-AD6A-437D546E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iPriority="13" w:unhideWhenUsed="1" w:qFormat="1"/>
    <w:lsdException w:name="List Bullet 3" w:uiPriority="1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043DA2"/>
    <w:pPr>
      <w:spacing w:after="0"/>
      <w:jc w:val="left"/>
    </w:pPr>
    <w:rPr>
      <w:rFonts w:ascii="Trebuchet MS" w:eastAsia="Times New Roman" w:hAnsi="Trebuchet MS" w:cs="Times New Roman"/>
      <w:color w:val="auto"/>
      <w:szCs w:val="20"/>
      <w:lang w:eastAsia="en-AU"/>
    </w:rPr>
  </w:style>
  <w:style w:type="paragraph" w:styleId="Heading1">
    <w:name w:val="heading 1"/>
    <w:basedOn w:val="Normal"/>
    <w:next w:val="Normal"/>
    <w:link w:val="Heading1Char"/>
    <w:uiPriority w:val="9"/>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tabs>
        <w:tab w:val="left" w:pos="851"/>
        <w:tab w:val="right" w:pos="9027"/>
      </w:tabs>
      <w:ind w:left="851" w:hanging="851"/>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aliases w:val="Char, Char"/>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aliases w:val="Char Char, Char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ind w:left="190" w:hanging="190"/>
    </w:pPr>
  </w:style>
  <w:style w:type="paragraph" w:styleId="Index2">
    <w:name w:val="index 2"/>
    <w:basedOn w:val="Normal"/>
    <w:next w:val="Normal"/>
    <w:autoRedefine/>
    <w:uiPriority w:val="99"/>
    <w:semiHidden/>
    <w:unhideWhenUsed/>
    <w:locked/>
    <w:rsid w:val="00F80750"/>
    <w:pPr>
      <w:ind w:left="380" w:hanging="190"/>
    </w:pPr>
  </w:style>
  <w:style w:type="paragraph" w:styleId="Index3">
    <w:name w:val="index 3"/>
    <w:basedOn w:val="Normal"/>
    <w:next w:val="Normal"/>
    <w:autoRedefine/>
    <w:uiPriority w:val="99"/>
    <w:semiHidden/>
    <w:unhideWhenUsed/>
    <w:locked/>
    <w:rsid w:val="00F80750"/>
    <w:pPr>
      <w:ind w:left="570" w:hanging="190"/>
    </w:pPr>
  </w:style>
  <w:style w:type="paragraph" w:styleId="Index4">
    <w:name w:val="index 4"/>
    <w:basedOn w:val="Normal"/>
    <w:next w:val="Normal"/>
    <w:autoRedefine/>
    <w:uiPriority w:val="99"/>
    <w:semiHidden/>
    <w:unhideWhenUsed/>
    <w:locked/>
    <w:rsid w:val="00F80750"/>
    <w:pPr>
      <w:ind w:left="760" w:hanging="190"/>
    </w:pPr>
  </w:style>
  <w:style w:type="paragraph" w:styleId="Index5">
    <w:name w:val="index 5"/>
    <w:basedOn w:val="Normal"/>
    <w:next w:val="Normal"/>
    <w:autoRedefine/>
    <w:uiPriority w:val="99"/>
    <w:semiHidden/>
    <w:unhideWhenUsed/>
    <w:locked/>
    <w:rsid w:val="00F80750"/>
    <w:pPr>
      <w:ind w:left="950" w:hanging="190"/>
    </w:pPr>
  </w:style>
  <w:style w:type="paragraph" w:styleId="Index6">
    <w:name w:val="index 6"/>
    <w:basedOn w:val="Normal"/>
    <w:next w:val="Normal"/>
    <w:autoRedefine/>
    <w:uiPriority w:val="99"/>
    <w:semiHidden/>
    <w:unhideWhenUsed/>
    <w:locked/>
    <w:rsid w:val="00F80750"/>
    <w:pPr>
      <w:ind w:left="1140" w:hanging="190"/>
    </w:pPr>
  </w:style>
  <w:style w:type="paragraph" w:styleId="Index7">
    <w:name w:val="index 7"/>
    <w:basedOn w:val="Normal"/>
    <w:next w:val="Normal"/>
    <w:autoRedefine/>
    <w:uiPriority w:val="99"/>
    <w:semiHidden/>
    <w:unhideWhenUsed/>
    <w:locked/>
    <w:rsid w:val="00F80750"/>
    <w:pPr>
      <w:ind w:left="1330" w:hanging="190"/>
    </w:pPr>
  </w:style>
  <w:style w:type="paragraph" w:styleId="Index8">
    <w:name w:val="index 8"/>
    <w:basedOn w:val="Normal"/>
    <w:next w:val="Normal"/>
    <w:autoRedefine/>
    <w:uiPriority w:val="99"/>
    <w:semiHidden/>
    <w:unhideWhenUsed/>
    <w:locked/>
    <w:rsid w:val="00F80750"/>
    <w:pPr>
      <w:ind w:left="1520" w:hanging="190"/>
    </w:pPr>
  </w:style>
  <w:style w:type="paragraph" w:styleId="Index9">
    <w:name w:val="index 9"/>
    <w:basedOn w:val="Normal"/>
    <w:next w:val="Normal"/>
    <w:autoRedefine/>
    <w:uiPriority w:val="99"/>
    <w:semiHidden/>
    <w:unhideWhenUsed/>
    <w:locked/>
    <w:rsid w:val="00F80750"/>
    <w:pPr>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rPr>
      <w:rFonts w:asciiTheme="minorHAnsi" w:hAnsiTheme="minorHAnsi"/>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ind w:left="190" w:hanging="190"/>
    </w:pPr>
  </w:style>
  <w:style w:type="paragraph" w:styleId="TableofFigures">
    <w:name w:val="table of figures"/>
    <w:basedOn w:val="Normal"/>
    <w:next w:val="Normal"/>
    <w:uiPriority w:val="99"/>
    <w:semiHidden/>
    <w:unhideWhenUsed/>
    <w:rsid w:val="00F80750"/>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pPr>
    <w:rPr>
      <w:b/>
      <w:sz w:val="24"/>
    </w:rPr>
  </w:style>
  <w:style w:type="paragraph" w:styleId="TOC3">
    <w:name w:val="toc 3"/>
    <w:basedOn w:val="Normal"/>
    <w:next w:val="Normal"/>
    <w:autoRedefine/>
    <w:uiPriority w:val="39"/>
    <w:unhideWhenUsed/>
    <w:rsid w:val="00E21C9B"/>
    <w:pPr>
      <w:tabs>
        <w:tab w:val="left" w:pos="851"/>
        <w:tab w:val="right" w:pos="9038"/>
      </w:tabs>
      <w:ind w:left="851" w:hanging="851"/>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sz w:val="24"/>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pPr>
  </w:style>
  <w:style w:type="paragraph" w:customStyle="1" w:styleId="Postscript">
    <w:name w:val="Postscript"/>
    <w:basedOn w:val="Normal"/>
    <w:uiPriority w:val="19"/>
    <w:qFormat/>
    <w:rsid w:val="00B40B7D"/>
    <w:rPr>
      <w:sz w:val="20"/>
    </w:rPr>
  </w:style>
  <w:style w:type="paragraph" w:customStyle="1" w:styleId="Heading">
    <w:name w:val="Heading"/>
    <w:basedOn w:val="Normal"/>
    <w:rsid w:val="00043DA2"/>
    <w:pPr>
      <w:jc w:val="both"/>
    </w:pPr>
    <w:rPr>
      <w:b/>
      <w:sz w:val="26"/>
      <w:szCs w:val="22"/>
    </w:rPr>
  </w:style>
  <w:style w:type="character" w:styleId="UnresolvedMention">
    <w:name w:val="Unresolved Mention"/>
    <w:basedOn w:val="DefaultParagraphFont"/>
    <w:uiPriority w:val="99"/>
    <w:semiHidden/>
    <w:unhideWhenUsed/>
    <w:locked/>
    <w:rsid w:val="00504519"/>
    <w:rPr>
      <w:color w:val="605E5C"/>
      <w:shd w:val="clear" w:color="auto" w:fill="E1DFDD"/>
    </w:rPr>
  </w:style>
  <w:style w:type="paragraph" w:customStyle="1" w:styleId="paragraph">
    <w:name w:val="paragraph"/>
    <w:basedOn w:val="Normal"/>
    <w:rsid w:val="008423C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423C0"/>
  </w:style>
  <w:style w:type="character" w:customStyle="1" w:styleId="eop">
    <w:name w:val="eop"/>
    <w:basedOn w:val="DefaultParagraphFont"/>
    <w:rsid w:val="008423C0"/>
  </w:style>
  <w:style w:type="paragraph" w:styleId="Revision">
    <w:name w:val="Revision"/>
    <w:hidden/>
    <w:uiPriority w:val="99"/>
    <w:semiHidden/>
    <w:rsid w:val="004A239E"/>
    <w:pPr>
      <w:spacing w:after="0"/>
      <w:jc w:val="left"/>
    </w:pPr>
    <w:rPr>
      <w:rFonts w:ascii="Trebuchet MS" w:eastAsia="Times New Roman" w:hAnsi="Trebuchet MS" w:cs="Times New Roman"/>
      <w:color w:val="auto"/>
      <w:szCs w:val="20"/>
      <w:lang w:eastAsia="en-AU"/>
    </w:rPr>
  </w:style>
  <w:style w:type="paragraph" w:customStyle="1" w:styleId="Default">
    <w:name w:val="Default"/>
    <w:rsid w:val="00A467A8"/>
    <w:pPr>
      <w:autoSpaceDE w:val="0"/>
      <w:autoSpaceDN w:val="0"/>
      <w:adjustRightInd w:val="0"/>
      <w:spacing w:after="0"/>
      <w:jc w:val="left"/>
    </w:pPr>
    <w:rPr>
      <w:rFonts w:eastAsia="Calibri" w:cs="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5954370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247424897">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7210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2a8a7e8-49a1-4017-acf0-0edc7cce208b">
      <UserInfo>
        <DisplayName>Toni Michalis</DisplayName>
        <AccountId>342</AccountId>
        <AccountType/>
      </UserInfo>
      <UserInfo>
        <DisplayName>Gideon Holland</DisplayName>
        <AccountId>23</AccountId>
        <AccountType/>
      </UserInfo>
      <UserInfo>
        <DisplayName>Vasili Pirozek</DisplayName>
        <AccountId>211</AccountId>
        <AccountType/>
      </UserInfo>
      <UserInfo>
        <DisplayName>Kara Hooper</DisplayName>
        <AccountId>35</AccountId>
        <AccountType/>
      </UserInfo>
    </SharedWithUsers>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i05115a133414b4dabee2531e4b46b67>
    <h67caa35a4114acd8e15fe89b3f29f9e xmlns="92a8a7e8-49a1-4017-acf0-0edc7cce208b">
      <Terms xmlns="http://schemas.microsoft.com/office/infopath/2007/PartnerControl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TaxCatchAll xmlns="92a8a7e8-49a1-4017-acf0-0edc7cce208b" xsi:nil="true"/>
    <j163382b748246d3b6e7caae71dbeeb0 xmlns="92a8a7e8-49a1-4017-acf0-0edc7cce208b">
      <Terms xmlns="http://schemas.microsoft.com/office/infopath/2007/PartnerControls"/>
    </j163382b748246d3b6e7caae71dbeeb0>
    <b37d8d7e823543f58f89056343a9035c xmlns="92a8a7e8-49a1-4017-acf0-0edc7cce208b">
      <Terms xmlns="http://schemas.microsoft.com/office/infopath/2007/PartnerControls"/>
    </b37d8d7e823543f58f89056343a9035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B89AB-BA10-444F-8F37-6777D6804FF7}">
  <ds:schemaRefs>
    <ds:schemaRef ds:uri="http://www.w3.org/XML/1998/namespace"/>
    <ds:schemaRef ds:uri="http://schemas.microsoft.com/sharepoint/v3"/>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79530295-9eea-494d-b82a-9ff74409eafc"/>
    <ds:schemaRef ds:uri="5664482d-1961-4d38-bfc2-b109b3418834"/>
    <ds:schemaRef ds:uri="http://purl.org/dc/dcmitype/"/>
  </ds:schemaRefs>
</ds:datastoreItem>
</file>

<file path=customXml/itemProps2.xml><?xml version="1.0" encoding="utf-8"?>
<ds:datastoreItem xmlns:ds="http://schemas.openxmlformats.org/officeDocument/2006/customXml" ds:itemID="{F5B016D4-2043-41E1-A30F-E9F0EB27A9A0}">
  <ds:schemaRefs>
    <ds:schemaRef ds:uri="http://schemas.microsoft.com/sharepoint/v3/contenttype/forms"/>
  </ds:schemaRefs>
</ds:datastoreItem>
</file>

<file path=customXml/itemProps3.xml><?xml version="1.0" encoding="utf-8"?>
<ds:datastoreItem xmlns:ds="http://schemas.openxmlformats.org/officeDocument/2006/customXml" ds:itemID="{DE61301C-25CE-4602-9FCF-813A20180B78}">
  <ds:schemaRefs>
    <ds:schemaRef ds:uri="http://schemas.openxmlformats.org/officeDocument/2006/bibliography"/>
  </ds:schemaRefs>
</ds:datastoreItem>
</file>

<file path=customXml/itemProps4.xml><?xml version="1.0" encoding="utf-8"?>
<ds:datastoreItem xmlns:ds="http://schemas.openxmlformats.org/officeDocument/2006/customXml" ds:itemID="{68FDF2ED-B67A-445E-8CC5-FD799AA26F67}"/>
</file>

<file path=docProps/app.xml><?xml version="1.0" encoding="utf-8"?>
<Properties xmlns="http://schemas.openxmlformats.org/officeDocument/2006/extended-properties" xmlns:vt="http://schemas.openxmlformats.org/officeDocument/2006/docPropsVTypes">
  <Template>Normal.dotm</Template>
  <TotalTime>0</TotalTime>
  <Pages>9</Pages>
  <Words>2868</Words>
  <Characters>15867</Characters>
  <Application>Microsoft Office Word</Application>
  <DocSecurity>0</DocSecurity>
  <Lines>282</Lines>
  <Paragraphs>104</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Riley</dc:creator>
  <cp:keywords>[SEC=UNOFFICIAL]</cp:keywords>
  <dc:description/>
  <cp:lastModifiedBy>Toni Michalis</cp:lastModifiedBy>
  <cp:revision>3</cp:revision>
  <cp:lastPrinted>2014-02-04T02:10:00Z</cp:lastPrinted>
  <dcterms:created xsi:type="dcterms:W3CDTF">2024-08-29T03:07:00Z</dcterms:created>
  <dcterms:modified xsi:type="dcterms:W3CDTF">2024-08-29T03:07:00Z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_Qualifier">
    <vt:lpwstr/>
  </property>
  <property fmtid="{D5CDD505-2E9C-101B-9397-08002B2CF9AE}" pid="7" name="PM_SecurityClassification">
    <vt:lpwstr>UNOFFICIAL</vt:lpwstr>
  </property>
  <property fmtid="{D5CDD505-2E9C-101B-9397-08002B2CF9AE}" pid="8" name="PM_ProtectiveMarkingValue_Header">
    <vt:lpwstr>Personal</vt:lpwstr>
  </property>
  <property fmtid="{D5CDD505-2E9C-101B-9397-08002B2CF9AE}" pid="9" name="PM_OriginationTimeStamp">
    <vt:lpwstr>2023-10-20T05:44:29Z</vt:lpwstr>
  </property>
  <property fmtid="{D5CDD505-2E9C-101B-9397-08002B2CF9AE}" pid="10" name="PM_Markers">
    <vt:lpwstr/>
  </property>
  <property fmtid="{D5CDD505-2E9C-101B-9397-08002B2CF9AE}" pid="11" name="MSIP_Label_bfd5df59-fc4a-42eb-ac4e-d9fda266b5d9_Name">
    <vt:lpwstr>UNOFFICIAL</vt:lpwstr>
  </property>
  <property fmtid="{D5CDD505-2E9C-101B-9397-08002B2CF9AE}" pid="12" name="MSIP_Label_bfd5df59-fc4a-42eb-ac4e-d9fda266b5d9_SiteId">
    <vt:lpwstr>c05e3ffd-b491-4431-9809-e61d4dc78816</vt:lpwstr>
  </property>
  <property fmtid="{D5CDD505-2E9C-101B-9397-08002B2CF9AE}" pid="13" name="MSIP_Label_bfd5df59-fc4a-42eb-ac4e-d9fda266b5d9_ContentBits">
    <vt:lpwstr>0</vt:lpwstr>
  </property>
  <property fmtid="{D5CDD505-2E9C-101B-9397-08002B2CF9AE}" pid="14" name="MSIP_Label_bfd5df59-fc4a-42eb-ac4e-d9fda266b5d9_Enabled">
    <vt:lpwstr>true</vt:lpwstr>
  </property>
  <property fmtid="{D5CDD505-2E9C-101B-9397-08002B2CF9AE}" pid="15" name="MSIP_Label_bfd5df59-fc4a-42eb-ac4e-d9fda266b5d9_SetDate">
    <vt:lpwstr>2023-10-20T05:44:29Z</vt:lpwstr>
  </property>
  <property fmtid="{D5CDD505-2E9C-101B-9397-08002B2CF9AE}" pid="16" name="MSIP_Label_bfd5df59-fc4a-42eb-ac4e-d9fda266b5d9_Method">
    <vt:lpwstr>Privileged</vt:lpwstr>
  </property>
  <property fmtid="{D5CDD505-2E9C-101B-9397-08002B2CF9AE}" pid="17" name="PM_InsertionValue">
    <vt:lpwstr>Personal</vt:lpwstr>
  </property>
  <property fmtid="{D5CDD505-2E9C-101B-9397-08002B2CF9AE}" pid="18" name="PM_DisplayValueSecClassificationWithQualifier">
    <vt:lpwstr>Personal</vt:lpwstr>
  </property>
  <property fmtid="{D5CDD505-2E9C-101B-9397-08002B2CF9AE}" pid="19" name="PM_Originating_FileId">
    <vt:lpwstr>2911774FEB384721AC4DCD70E5D26A03</vt:lpwstr>
  </property>
  <property fmtid="{D5CDD505-2E9C-101B-9397-08002B2CF9AE}" pid="20" name="PM_ProtectiveMarkingValue_Footer">
    <vt:lpwstr>Personal</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Display">
    <vt:lpwstr>Personal</vt:lpwstr>
  </property>
  <property fmtid="{D5CDD505-2E9C-101B-9397-08002B2CF9AE}" pid="24" name="PM_OriginatorDomainName_SHA256">
    <vt:lpwstr>ECBDE2B44A971754412B3FB70606937A119CC0D4B6C1B658A40FBD41C30BE3EC</vt:lpwstr>
  </property>
  <property fmtid="{D5CDD505-2E9C-101B-9397-08002B2CF9AE}" pid="25" name="PMUuid">
    <vt:lpwstr>v=2022.2;d=gov.au;g=65417EFE-F3B9-5E66-BD91-1E689FEC2EA6</vt:lpwstr>
  </property>
  <property fmtid="{D5CDD505-2E9C-101B-9397-08002B2CF9AE}" pid="26" name="PM_Hash_Version">
    <vt:lpwstr>2022.1</vt:lpwstr>
  </property>
  <property fmtid="{D5CDD505-2E9C-101B-9397-08002B2CF9AE}" pid="27" name="PM_SecurityClassification_Prev">
    <vt:lpwstr>UNOFFICIAL</vt:lpwstr>
  </property>
  <property fmtid="{D5CDD505-2E9C-101B-9397-08002B2CF9AE}" pid="28" name="PM_Qualifier_Prev">
    <vt:lpwstr/>
  </property>
  <property fmtid="{D5CDD505-2E9C-101B-9397-08002B2CF9AE}" pid="29" name="ContentTypeId">
    <vt:lpwstr>0x01010080D163DB4DEE504FAB457909715FEC45</vt:lpwstr>
  </property>
  <property fmtid="{D5CDD505-2E9C-101B-9397-08002B2CF9AE}" pid="30" name="MediaServiceImageTags">
    <vt:lpwstr/>
  </property>
  <property fmtid="{D5CDD505-2E9C-101B-9397-08002B2CF9AE}" pid="31" name="PM_Originator_Hash_SHA1">
    <vt:lpwstr>C3AD57350F36D8E1BD75F8F67CB06D435C9C43CA</vt:lpwstr>
  </property>
  <property fmtid="{D5CDD505-2E9C-101B-9397-08002B2CF9AE}" pid="32" name="PM_OriginatorUserAccountName_SHA256">
    <vt:lpwstr>6E3018F28A186D2E5FF5207C041E7A82E907C3008E071057026A53705873B72E</vt:lpwstr>
  </property>
  <property fmtid="{D5CDD505-2E9C-101B-9397-08002B2CF9AE}" pid="33" name="PMHMAC">
    <vt:lpwstr>v=2022.1;a=SHA256;h=7F89B12C4ADF944E766C607AC4D8D545C614EB215A39AB3F41823B8999E253F2</vt:lpwstr>
  </property>
  <property fmtid="{D5CDD505-2E9C-101B-9397-08002B2CF9AE}" pid="34" name="MSIP_Label_bfd5df59-fc4a-42eb-ac4e-d9fda266b5d9_ActionId">
    <vt:lpwstr>400611c7aa4343a1b25611949a53a199</vt:lpwstr>
  </property>
  <property fmtid="{D5CDD505-2E9C-101B-9397-08002B2CF9AE}" pid="35" name="PM_Hash_Salt_Prev">
    <vt:lpwstr>A4D6FA1006E512794FACD4D99642B701</vt:lpwstr>
  </property>
  <property fmtid="{D5CDD505-2E9C-101B-9397-08002B2CF9AE}" pid="36" name="PM_Hash_Salt">
    <vt:lpwstr>349C574EAC8AFE97839416DF35B4D143</vt:lpwstr>
  </property>
  <property fmtid="{D5CDD505-2E9C-101B-9397-08002B2CF9AE}" pid="37" name="PM_Hash_SHA1">
    <vt:lpwstr>CC6BDABC43C8830A1ECAB3BD99A9ADEEA66942A9</vt:lpwstr>
  </property>
  <property fmtid="{D5CDD505-2E9C-101B-9397-08002B2CF9AE}" pid="38" name="APRAStatus">
    <vt:lpwstr/>
  </property>
  <property fmtid="{D5CDD505-2E9C-101B-9397-08002B2CF9AE}" pid="39" name="APRADocumentType">
    <vt:lpwstr/>
  </property>
  <property fmtid="{D5CDD505-2E9C-101B-9397-08002B2CF9AE}" pid="40" name="APRAActivity">
    <vt:lpwstr/>
  </property>
  <property fmtid="{D5CDD505-2E9C-101B-9397-08002B2CF9AE}" pid="41" name="APRALegislation">
    <vt:lpwstr/>
  </property>
  <property fmtid="{D5CDD505-2E9C-101B-9397-08002B2CF9AE}" pid="42" name="APRAIndustry">
    <vt:lpwstr/>
  </property>
  <property fmtid="{D5CDD505-2E9C-101B-9397-08002B2CF9AE}" pid="43" name="APRAEntityAdviceSupport">
    <vt:lpwstr/>
  </property>
</Properties>
</file>