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F988E" w14:textId="77777777" w:rsidR="00443CA9" w:rsidRDefault="00443CA9" w:rsidP="00443CA9">
      <w:r>
        <w:rPr>
          <w:noProof/>
        </w:rPr>
        <w:drawing>
          <wp:inline distT="0" distB="0" distL="0" distR="0" wp14:anchorId="7261D48B" wp14:editId="2E23C3CB">
            <wp:extent cx="1419225" cy="1104900"/>
            <wp:effectExtent l="0" t="0" r="9525" b="0"/>
            <wp:docPr id="1162732831" name="Picture 116273283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094C4BDE" w14:textId="55716D5B" w:rsidR="00443CA9" w:rsidRPr="00510145" w:rsidRDefault="00443CA9" w:rsidP="00443CA9">
      <w:pPr>
        <w:spacing w:before="480" w:after="120"/>
        <w:ind w:right="96"/>
        <w:rPr>
          <w:rFonts w:asciiTheme="majorHAnsi" w:hAnsiTheme="majorHAnsi" w:cstheme="majorHAnsi"/>
          <w:b/>
          <w:sz w:val="40"/>
          <w:szCs w:val="28"/>
          <w:lang w:val="en-US"/>
        </w:rPr>
      </w:pPr>
      <w:r w:rsidRPr="00510145">
        <w:rPr>
          <w:rFonts w:asciiTheme="majorHAnsi" w:hAnsiTheme="majorHAnsi" w:cstheme="majorHAnsi"/>
          <w:b/>
          <w:bCs/>
          <w:sz w:val="40"/>
          <w:szCs w:val="28"/>
          <w:lang w:val="en-US"/>
        </w:rPr>
        <w:t xml:space="preserve">Banking (prudential standard) determination No. </w:t>
      </w:r>
      <w:r w:rsidR="00334960">
        <w:rPr>
          <w:rFonts w:asciiTheme="majorHAnsi" w:hAnsiTheme="majorHAnsi" w:cstheme="majorHAnsi"/>
          <w:b/>
          <w:bCs/>
          <w:sz w:val="40"/>
          <w:szCs w:val="28"/>
          <w:lang w:val="en-US"/>
        </w:rPr>
        <w:t>2</w:t>
      </w:r>
      <w:r w:rsidRPr="00510145">
        <w:rPr>
          <w:rFonts w:asciiTheme="majorHAnsi" w:hAnsiTheme="majorHAnsi" w:cstheme="majorHAnsi"/>
          <w:b/>
          <w:bCs/>
          <w:sz w:val="40"/>
          <w:szCs w:val="28"/>
          <w:lang w:val="en-US"/>
        </w:rPr>
        <w:t xml:space="preserve"> of 20</w:t>
      </w:r>
      <w:r w:rsidR="000772AB">
        <w:rPr>
          <w:rFonts w:asciiTheme="majorHAnsi" w:hAnsiTheme="majorHAnsi" w:cstheme="majorHAnsi"/>
          <w:b/>
          <w:bCs/>
          <w:sz w:val="40"/>
          <w:szCs w:val="28"/>
          <w:lang w:val="en-US"/>
        </w:rPr>
        <w:t>24</w:t>
      </w:r>
      <w:r w:rsidRPr="00510145">
        <w:rPr>
          <w:rFonts w:asciiTheme="majorHAnsi" w:hAnsiTheme="majorHAnsi" w:cstheme="majorHAnsi"/>
          <w:b/>
          <w:bCs/>
          <w:sz w:val="40"/>
          <w:szCs w:val="28"/>
          <w:lang w:val="en-US"/>
        </w:rPr>
        <w:t xml:space="preserve"> </w:t>
      </w:r>
    </w:p>
    <w:p w14:paraId="4F0733AD" w14:textId="799FD094" w:rsidR="00443CA9" w:rsidRPr="00510145" w:rsidRDefault="00443CA9" w:rsidP="00443CA9">
      <w:pPr>
        <w:spacing w:before="360" w:after="120"/>
        <w:rPr>
          <w:rFonts w:asciiTheme="majorHAnsi" w:hAnsiTheme="majorHAnsi" w:cstheme="majorHAnsi"/>
          <w:b/>
          <w:sz w:val="28"/>
          <w:szCs w:val="28"/>
          <w:lang w:val="en-US"/>
        </w:rPr>
      </w:pPr>
      <w:r w:rsidRPr="00510145">
        <w:rPr>
          <w:rFonts w:asciiTheme="majorHAnsi" w:hAnsiTheme="majorHAnsi" w:cstheme="majorHAnsi"/>
          <w:b/>
          <w:sz w:val="28"/>
          <w:szCs w:val="28"/>
        </w:rPr>
        <w:t xml:space="preserve">Prudential Standard APS </w:t>
      </w:r>
      <w:r w:rsidR="00B34642">
        <w:rPr>
          <w:rFonts w:asciiTheme="majorHAnsi" w:hAnsiTheme="majorHAnsi" w:cstheme="majorHAnsi"/>
          <w:b/>
          <w:sz w:val="28"/>
          <w:szCs w:val="28"/>
        </w:rPr>
        <w:t>113 Capital Adequacy: Internal Ratings-based Approach to Credit Risk</w:t>
      </w:r>
    </w:p>
    <w:p w14:paraId="62565E3E" w14:textId="77777777" w:rsidR="00443CA9" w:rsidRPr="00D6773B" w:rsidRDefault="00443CA9" w:rsidP="00443CA9">
      <w:pPr>
        <w:pBdr>
          <w:bottom w:val="single" w:sz="4" w:space="1" w:color="000000" w:themeColor="text1"/>
        </w:pBdr>
        <w:spacing w:before="360"/>
        <w:rPr>
          <w:rFonts w:asciiTheme="majorHAnsi" w:hAnsiTheme="majorHAnsi" w:cstheme="majorHAnsi"/>
          <w:sz w:val="28"/>
          <w:szCs w:val="28"/>
          <w:lang w:val="en-US"/>
        </w:rPr>
      </w:pPr>
      <w:r w:rsidRPr="00D6773B">
        <w:rPr>
          <w:rFonts w:asciiTheme="majorHAnsi" w:hAnsiTheme="majorHAnsi" w:cstheme="majorHAnsi"/>
          <w:i/>
          <w:iCs/>
          <w:sz w:val="28"/>
          <w:szCs w:val="28"/>
          <w:lang w:val="en-US"/>
        </w:rPr>
        <w:t>Banking</w:t>
      </w:r>
      <w:r w:rsidRPr="00D6773B">
        <w:rPr>
          <w:rFonts w:asciiTheme="majorHAnsi" w:hAnsiTheme="majorHAnsi" w:cstheme="majorHAnsi"/>
          <w:i/>
          <w:iCs/>
          <w:spacing w:val="-10"/>
          <w:sz w:val="28"/>
          <w:szCs w:val="28"/>
          <w:lang w:val="en-US"/>
        </w:rPr>
        <w:t xml:space="preserve"> </w:t>
      </w:r>
      <w:r w:rsidRPr="00D6773B">
        <w:rPr>
          <w:rFonts w:asciiTheme="majorHAnsi" w:hAnsiTheme="majorHAnsi" w:cstheme="majorHAnsi"/>
          <w:i/>
          <w:iCs/>
          <w:sz w:val="28"/>
          <w:szCs w:val="28"/>
          <w:lang w:val="en-US"/>
        </w:rPr>
        <w:t>Act</w:t>
      </w:r>
      <w:r w:rsidRPr="00D6773B">
        <w:rPr>
          <w:rFonts w:asciiTheme="majorHAnsi" w:hAnsiTheme="majorHAnsi" w:cstheme="majorHAnsi"/>
          <w:i/>
          <w:iCs/>
          <w:spacing w:val="-9"/>
          <w:sz w:val="28"/>
          <w:szCs w:val="28"/>
          <w:lang w:val="en-US"/>
        </w:rPr>
        <w:t xml:space="preserve"> </w:t>
      </w:r>
      <w:r w:rsidRPr="00D6773B">
        <w:rPr>
          <w:rFonts w:asciiTheme="majorHAnsi" w:hAnsiTheme="majorHAnsi" w:cstheme="majorHAnsi"/>
          <w:i/>
          <w:iCs/>
          <w:sz w:val="28"/>
          <w:szCs w:val="28"/>
          <w:lang w:val="en-US"/>
        </w:rPr>
        <w:t>1959</w:t>
      </w:r>
    </w:p>
    <w:p w14:paraId="266A6E08" w14:textId="77777777" w:rsidR="00443CA9" w:rsidRPr="00D6773B" w:rsidRDefault="00443CA9" w:rsidP="00443CA9">
      <w:pPr>
        <w:spacing w:after="0"/>
        <w:rPr>
          <w:rFonts w:asciiTheme="majorHAnsi" w:hAnsiTheme="majorHAnsi" w:cstheme="majorHAnsi"/>
        </w:rPr>
      </w:pPr>
      <w:r w:rsidRPr="00D6773B">
        <w:rPr>
          <w:rFonts w:asciiTheme="majorHAnsi" w:hAnsiTheme="majorHAnsi" w:cstheme="majorHAnsi"/>
        </w:rPr>
        <w:t>I, Clare Gibney, a delegate of APRA:</w:t>
      </w:r>
    </w:p>
    <w:p w14:paraId="5C0BE5E6" w14:textId="77777777" w:rsidR="00443CA9" w:rsidRPr="00D6773B" w:rsidRDefault="00443CA9" w:rsidP="00443CA9">
      <w:pPr>
        <w:spacing w:after="0"/>
        <w:rPr>
          <w:rFonts w:asciiTheme="majorHAnsi" w:hAnsiTheme="majorHAnsi" w:cstheme="majorHAnsi"/>
        </w:rPr>
      </w:pPr>
    </w:p>
    <w:p w14:paraId="4F7F7CD9" w14:textId="2AA67D7E" w:rsidR="00443CA9" w:rsidRPr="00D6773B" w:rsidRDefault="00443CA9" w:rsidP="00443CA9">
      <w:pPr>
        <w:spacing w:after="0"/>
        <w:ind w:left="567" w:hanging="567"/>
        <w:rPr>
          <w:rFonts w:asciiTheme="majorHAnsi" w:hAnsiTheme="majorHAnsi" w:cstheme="majorHAnsi"/>
        </w:rPr>
      </w:pPr>
      <w:r w:rsidRPr="00D6773B">
        <w:rPr>
          <w:rFonts w:asciiTheme="majorHAnsi" w:hAnsiTheme="majorHAnsi" w:cstheme="majorHAnsi"/>
        </w:rPr>
        <w:t>(a)</w:t>
      </w:r>
      <w:r w:rsidRPr="00D6773B">
        <w:rPr>
          <w:rFonts w:asciiTheme="majorHAnsi" w:hAnsiTheme="majorHAnsi" w:cstheme="majorHAnsi"/>
        </w:rPr>
        <w:tab/>
        <w:t xml:space="preserve">under subsection 11AF(3) of the </w:t>
      </w:r>
      <w:r w:rsidRPr="00D6773B">
        <w:rPr>
          <w:rFonts w:asciiTheme="majorHAnsi" w:hAnsiTheme="majorHAnsi" w:cstheme="majorHAnsi"/>
          <w:i/>
        </w:rPr>
        <w:t>Banking Act 1959</w:t>
      </w:r>
      <w:r w:rsidRPr="00D6773B">
        <w:rPr>
          <w:rFonts w:asciiTheme="majorHAnsi" w:hAnsiTheme="majorHAnsi" w:cstheme="majorHAnsi"/>
        </w:rPr>
        <w:t xml:space="preserve"> (the Act), REVOKE Banking (prudential standard) determination No. </w:t>
      </w:r>
      <w:r w:rsidR="00B34642" w:rsidRPr="00D6773B">
        <w:rPr>
          <w:rFonts w:asciiTheme="majorHAnsi" w:hAnsiTheme="majorHAnsi" w:cstheme="majorHAnsi"/>
        </w:rPr>
        <w:t>7</w:t>
      </w:r>
      <w:r w:rsidRPr="00D6773B">
        <w:rPr>
          <w:rFonts w:asciiTheme="majorHAnsi" w:hAnsiTheme="majorHAnsi" w:cstheme="majorHAnsi"/>
        </w:rPr>
        <w:t xml:space="preserve"> of 20</w:t>
      </w:r>
      <w:r w:rsidR="00B34642" w:rsidRPr="00D6773B">
        <w:rPr>
          <w:rFonts w:asciiTheme="majorHAnsi" w:hAnsiTheme="majorHAnsi" w:cstheme="majorHAnsi"/>
        </w:rPr>
        <w:t>22</w:t>
      </w:r>
      <w:r w:rsidRPr="00D6773B">
        <w:rPr>
          <w:rFonts w:asciiTheme="majorHAnsi" w:hAnsiTheme="majorHAnsi" w:cstheme="majorHAnsi"/>
        </w:rPr>
        <w:t xml:space="preserve">, including </w:t>
      </w:r>
      <w:r w:rsidRPr="00D6773B">
        <w:rPr>
          <w:rFonts w:asciiTheme="majorHAnsi" w:hAnsiTheme="majorHAnsi" w:cstheme="majorHAnsi"/>
          <w:i/>
        </w:rPr>
        <w:t xml:space="preserve">Prudential Standard APS </w:t>
      </w:r>
      <w:r w:rsidR="00B34642" w:rsidRPr="00D6773B">
        <w:rPr>
          <w:rFonts w:asciiTheme="majorHAnsi" w:hAnsiTheme="majorHAnsi" w:cstheme="majorHAnsi"/>
          <w:i/>
        </w:rPr>
        <w:t>113 Capital Adequacy: Internal Ratings-based Approach to Credit Risk</w:t>
      </w:r>
      <w:r w:rsidRPr="00D6773B">
        <w:rPr>
          <w:rFonts w:asciiTheme="majorHAnsi" w:hAnsiTheme="majorHAnsi" w:cstheme="majorHAnsi"/>
        </w:rPr>
        <w:t xml:space="preserve"> made under that determination; and</w:t>
      </w:r>
    </w:p>
    <w:p w14:paraId="68E577EE" w14:textId="77777777" w:rsidR="00443CA9" w:rsidRPr="00D6773B" w:rsidRDefault="00443CA9" w:rsidP="00443CA9">
      <w:pPr>
        <w:spacing w:after="0"/>
        <w:ind w:left="567" w:hanging="567"/>
        <w:rPr>
          <w:rFonts w:asciiTheme="majorHAnsi" w:hAnsiTheme="majorHAnsi" w:cstheme="majorHAnsi"/>
        </w:rPr>
      </w:pPr>
    </w:p>
    <w:p w14:paraId="4636E344" w14:textId="15AB79F7" w:rsidR="00443CA9" w:rsidRPr="00D6773B" w:rsidRDefault="00443CA9" w:rsidP="00443CA9">
      <w:pPr>
        <w:spacing w:after="0"/>
        <w:ind w:left="567" w:hanging="567"/>
        <w:rPr>
          <w:rFonts w:asciiTheme="majorHAnsi" w:hAnsiTheme="majorHAnsi" w:cstheme="majorHAnsi"/>
        </w:rPr>
      </w:pPr>
      <w:r w:rsidRPr="00D6773B">
        <w:rPr>
          <w:rFonts w:asciiTheme="majorHAnsi" w:hAnsiTheme="majorHAnsi" w:cstheme="majorHAnsi"/>
        </w:rPr>
        <w:t>(b)</w:t>
      </w:r>
      <w:r w:rsidRPr="00D6773B">
        <w:rPr>
          <w:rFonts w:asciiTheme="majorHAnsi" w:hAnsiTheme="majorHAnsi" w:cstheme="majorHAnsi"/>
        </w:rPr>
        <w:tab/>
        <w:t xml:space="preserve">under subsection 11AF(1) of the Act, DETERMINE </w:t>
      </w:r>
      <w:r w:rsidRPr="00D6773B">
        <w:rPr>
          <w:rFonts w:asciiTheme="majorHAnsi" w:hAnsiTheme="majorHAnsi" w:cstheme="majorHAnsi"/>
          <w:i/>
        </w:rPr>
        <w:t xml:space="preserve">Prudential Standard APS </w:t>
      </w:r>
      <w:r w:rsidR="00B34642" w:rsidRPr="00D6773B">
        <w:rPr>
          <w:rFonts w:asciiTheme="majorHAnsi" w:hAnsiTheme="majorHAnsi" w:cstheme="majorHAnsi"/>
          <w:i/>
        </w:rPr>
        <w:t>113 Capital Adequacy: Internal Ratings-based Approach to Credit Risk</w:t>
      </w:r>
      <w:r w:rsidRPr="00D6773B">
        <w:rPr>
          <w:rFonts w:asciiTheme="majorHAnsi" w:hAnsiTheme="majorHAnsi" w:cstheme="majorHAnsi"/>
        </w:rPr>
        <w:t xml:space="preserve"> in the form set out in the schedule, which applies to all ADIs and authorised NOHCs to the extent provided in paragraphs 2 to 4 of the prudential standard.</w:t>
      </w:r>
    </w:p>
    <w:p w14:paraId="42B98091" w14:textId="77777777" w:rsidR="00443CA9" w:rsidRPr="00D6773B" w:rsidRDefault="00443CA9" w:rsidP="00443CA9">
      <w:pPr>
        <w:spacing w:after="0"/>
        <w:rPr>
          <w:rFonts w:asciiTheme="majorHAnsi" w:hAnsiTheme="majorHAnsi" w:cstheme="majorHAnsi"/>
        </w:rPr>
      </w:pPr>
    </w:p>
    <w:p w14:paraId="618624D9" w14:textId="409F0457" w:rsidR="00443CA9" w:rsidRPr="00D6773B" w:rsidRDefault="00443CA9" w:rsidP="00443CA9">
      <w:pPr>
        <w:spacing w:after="0"/>
        <w:rPr>
          <w:rFonts w:asciiTheme="majorHAnsi" w:hAnsiTheme="majorHAnsi" w:cstheme="majorHAnsi"/>
          <w:lang w:val="en-US"/>
        </w:rPr>
      </w:pPr>
      <w:r w:rsidRPr="00D6773B">
        <w:rPr>
          <w:rFonts w:asciiTheme="majorHAnsi" w:hAnsiTheme="majorHAnsi" w:cstheme="majorHAnsi"/>
          <w:lang w:val="en-US"/>
        </w:rPr>
        <w:t xml:space="preserve">This instrument commences on </w:t>
      </w:r>
      <w:r w:rsidR="00B34642" w:rsidRPr="00D6773B">
        <w:rPr>
          <w:rFonts w:asciiTheme="majorHAnsi" w:hAnsiTheme="majorHAnsi" w:cstheme="majorHAnsi"/>
          <w:lang w:val="en-US"/>
        </w:rPr>
        <w:t>30 September 2024</w:t>
      </w:r>
      <w:r w:rsidRPr="00D6773B">
        <w:rPr>
          <w:rFonts w:asciiTheme="majorHAnsi" w:hAnsiTheme="majorHAnsi" w:cstheme="majorHAnsi"/>
          <w:lang w:val="en-US"/>
        </w:rPr>
        <w:t>.</w:t>
      </w:r>
    </w:p>
    <w:p w14:paraId="7240816E" w14:textId="77777777" w:rsidR="00443CA9" w:rsidRPr="00D6773B" w:rsidRDefault="00443CA9" w:rsidP="00443CA9">
      <w:pPr>
        <w:spacing w:after="0"/>
        <w:rPr>
          <w:rFonts w:asciiTheme="majorHAnsi" w:hAnsiTheme="majorHAnsi" w:cstheme="majorHAnsi"/>
          <w:spacing w:val="-8"/>
          <w:lang w:val="en-US"/>
        </w:rPr>
      </w:pPr>
    </w:p>
    <w:p w14:paraId="2FB248AE" w14:textId="09462B8C" w:rsidR="00443CA9" w:rsidRPr="00D6773B" w:rsidRDefault="00443CA9" w:rsidP="0FD668CB">
      <w:pPr>
        <w:pStyle w:val="IntroTo"/>
        <w:jc w:val="both"/>
        <w:rPr>
          <w:rFonts w:asciiTheme="majorHAnsi" w:hAnsiTheme="majorHAnsi" w:cstheme="majorBidi"/>
          <w:sz w:val="22"/>
          <w:szCs w:val="22"/>
        </w:rPr>
      </w:pPr>
      <w:r w:rsidRPr="00D6773B">
        <w:rPr>
          <w:rFonts w:asciiTheme="majorHAnsi" w:hAnsiTheme="majorHAnsi" w:cstheme="majorBidi"/>
          <w:sz w:val="22"/>
          <w:szCs w:val="22"/>
        </w:rPr>
        <w:t xml:space="preserve">Dated: </w:t>
      </w:r>
      <w:r w:rsidR="54693802" w:rsidRPr="00D6773B">
        <w:rPr>
          <w:rFonts w:asciiTheme="majorHAnsi" w:hAnsiTheme="majorHAnsi" w:cstheme="majorBidi"/>
          <w:sz w:val="22"/>
          <w:szCs w:val="22"/>
        </w:rPr>
        <w:t>2</w:t>
      </w:r>
      <w:r w:rsidR="00FA5995" w:rsidRPr="00D6773B">
        <w:rPr>
          <w:rFonts w:asciiTheme="majorHAnsi" w:hAnsiTheme="majorHAnsi" w:cstheme="majorBidi"/>
          <w:sz w:val="22"/>
          <w:szCs w:val="22"/>
        </w:rPr>
        <w:t>7</w:t>
      </w:r>
      <w:r w:rsidR="54693802" w:rsidRPr="00D6773B">
        <w:rPr>
          <w:rFonts w:asciiTheme="majorHAnsi" w:hAnsiTheme="majorHAnsi" w:cstheme="majorBidi"/>
          <w:sz w:val="22"/>
          <w:szCs w:val="22"/>
        </w:rPr>
        <w:t xml:space="preserve"> August 2024</w:t>
      </w:r>
    </w:p>
    <w:p w14:paraId="659B0E74" w14:textId="77777777" w:rsidR="00443CA9" w:rsidRPr="00D6773B" w:rsidRDefault="00443CA9" w:rsidP="00443CA9">
      <w:pPr>
        <w:pStyle w:val="IntroTo"/>
        <w:jc w:val="both"/>
        <w:rPr>
          <w:rFonts w:asciiTheme="majorHAnsi" w:hAnsiTheme="majorHAnsi" w:cstheme="majorHAnsi"/>
          <w:b/>
          <w:sz w:val="22"/>
          <w:szCs w:val="22"/>
        </w:rPr>
      </w:pPr>
    </w:p>
    <w:p w14:paraId="088670C7" w14:textId="5972E25E" w:rsidR="00443CA9" w:rsidRPr="00D6773B" w:rsidRDefault="00443CA9" w:rsidP="00443CA9">
      <w:pPr>
        <w:pStyle w:val="IntroTo"/>
        <w:jc w:val="both"/>
        <w:rPr>
          <w:rFonts w:asciiTheme="majorHAnsi" w:hAnsiTheme="majorHAnsi" w:cstheme="majorHAnsi"/>
          <w:b/>
          <w:sz w:val="22"/>
          <w:szCs w:val="22"/>
        </w:rPr>
      </w:pPr>
    </w:p>
    <w:p w14:paraId="2422162E" w14:textId="3D2A800E" w:rsidR="0FD668CB" w:rsidRPr="00D6773B" w:rsidRDefault="0FD668CB" w:rsidP="0FD668CB">
      <w:pPr>
        <w:pStyle w:val="Default"/>
        <w:rPr>
          <w:rFonts w:asciiTheme="majorHAnsi" w:hAnsiTheme="majorHAnsi" w:cstheme="majorBidi"/>
          <w:sz w:val="22"/>
          <w:szCs w:val="22"/>
        </w:rPr>
      </w:pPr>
    </w:p>
    <w:p w14:paraId="694DDE38" w14:textId="72D3C4D5" w:rsidR="0FD668CB" w:rsidRPr="00D6773B" w:rsidRDefault="0FD668CB" w:rsidP="0FD668CB">
      <w:pPr>
        <w:pStyle w:val="Default"/>
        <w:rPr>
          <w:rFonts w:asciiTheme="majorHAnsi" w:hAnsiTheme="majorHAnsi" w:cstheme="majorBidi"/>
          <w:sz w:val="22"/>
          <w:szCs w:val="22"/>
        </w:rPr>
      </w:pPr>
    </w:p>
    <w:p w14:paraId="28A146B4" w14:textId="77777777" w:rsidR="00443CA9" w:rsidRPr="00D6773B" w:rsidRDefault="00443CA9" w:rsidP="00443CA9">
      <w:pPr>
        <w:pStyle w:val="Default"/>
        <w:rPr>
          <w:rFonts w:asciiTheme="majorHAnsi" w:hAnsiTheme="majorHAnsi" w:cstheme="majorHAnsi"/>
          <w:sz w:val="22"/>
          <w:szCs w:val="22"/>
        </w:rPr>
      </w:pPr>
      <w:r w:rsidRPr="00D6773B">
        <w:rPr>
          <w:rFonts w:asciiTheme="majorHAnsi" w:hAnsiTheme="majorHAnsi" w:cstheme="majorHAnsi"/>
          <w:sz w:val="22"/>
          <w:szCs w:val="22"/>
        </w:rPr>
        <w:t>Clare Gibney</w:t>
      </w:r>
    </w:p>
    <w:p w14:paraId="4E223B03" w14:textId="77777777" w:rsidR="00443CA9" w:rsidRPr="00D6773B" w:rsidRDefault="00443CA9" w:rsidP="00443CA9">
      <w:pPr>
        <w:pStyle w:val="Default"/>
        <w:rPr>
          <w:rFonts w:asciiTheme="majorHAnsi" w:hAnsiTheme="majorHAnsi" w:cstheme="majorHAnsi"/>
          <w:sz w:val="22"/>
          <w:szCs w:val="22"/>
        </w:rPr>
      </w:pPr>
      <w:r w:rsidRPr="00D6773B">
        <w:rPr>
          <w:rFonts w:asciiTheme="majorHAnsi" w:hAnsiTheme="majorHAnsi" w:cstheme="majorHAnsi"/>
          <w:sz w:val="22"/>
          <w:szCs w:val="22"/>
        </w:rPr>
        <w:t>Executive Director</w:t>
      </w:r>
    </w:p>
    <w:p w14:paraId="123EB0D8" w14:textId="3CBD494D" w:rsidR="00443CA9" w:rsidRPr="00D6773B" w:rsidRDefault="00443CA9" w:rsidP="00443CA9">
      <w:pPr>
        <w:pStyle w:val="Default"/>
        <w:rPr>
          <w:rFonts w:asciiTheme="majorHAnsi" w:hAnsiTheme="majorHAnsi" w:cstheme="majorHAnsi"/>
          <w:sz w:val="22"/>
          <w:szCs w:val="22"/>
        </w:rPr>
      </w:pPr>
      <w:r w:rsidRPr="00D6773B">
        <w:rPr>
          <w:rFonts w:asciiTheme="majorHAnsi" w:hAnsiTheme="majorHAnsi" w:cstheme="majorHAnsi"/>
          <w:sz w:val="22"/>
          <w:szCs w:val="22"/>
        </w:rPr>
        <w:t xml:space="preserve">Policy </w:t>
      </w:r>
      <w:r w:rsidR="00BA7706" w:rsidRPr="00D6773B">
        <w:rPr>
          <w:rFonts w:asciiTheme="majorHAnsi" w:hAnsiTheme="majorHAnsi" w:cstheme="majorHAnsi"/>
          <w:sz w:val="22"/>
          <w:szCs w:val="22"/>
        </w:rPr>
        <w:t>&amp;</w:t>
      </w:r>
      <w:r w:rsidRPr="00D6773B">
        <w:rPr>
          <w:rFonts w:asciiTheme="majorHAnsi" w:hAnsiTheme="majorHAnsi" w:cstheme="majorHAnsi"/>
          <w:sz w:val="22"/>
          <w:szCs w:val="22"/>
        </w:rPr>
        <w:t xml:space="preserve"> Advice Division</w:t>
      </w:r>
    </w:p>
    <w:p w14:paraId="0A12FE47" w14:textId="77777777" w:rsidR="00443CA9" w:rsidRPr="00510145" w:rsidRDefault="00443CA9" w:rsidP="00443CA9">
      <w:pPr>
        <w:pStyle w:val="Heading6"/>
        <w:spacing w:before="480" w:after="0"/>
        <w:rPr>
          <w:rFonts w:asciiTheme="majorHAnsi" w:hAnsiTheme="majorHAnsi" w:cstheme="majorHAnsi"/>
          <w:b/>
          <w:color w:val="auto"/>
          <w:sz w:val="24"/>
        </w:rPr>
      </w:pPr>
      <w:r w:rsidRPr="00D6773B">
        <w:rPr>
          <w:rFonts w:asciiTheme="majorHAnsi" w:hAnsiTheme="majorHAnsi" w:cstheme="majorHAnsi"/>
          <w:b/>
          <w:color w:val="auto"/>
          <w:sz w:val="24"/>
        </w:rPr>
        <w:t>Interpretation</w:t>
      </w:r>
    </w:p>
    <w:p w14:paraId="15B198ED" w14:textId="77777777" w:rsidR="00443CA9" w:rsidRPr="00510145" w:rsidRDefault="00443CA9" w:rsidP="00443CA9">
      <w:pPr>
        <w:pStyle w:val="BodyText1"/>
        <w:numPr>
          <w:ilvl w:val="0"/>
          <w:numId w:val="0"/>
        </w:numPr>
        <w:ind w:left="567" w:hanging="567"/>
        <w:rPr>
          <w:rFonts w:asciiTheme="majorHAnsi" w:hAnsiTheme="majorHAnsi" w:cstheme="majorHAnsi"/>
          <w:i/>
        </w:rPr>
      </w:pPr>
      <w:r w:rsidRPr="00510145">
        <w:rPr>
          <w:rFonts w:asciiTheme="majorHAnsi" w:hAnsiTheme="majorHAnsi" w:cstheme="majorHAnsi"/>
        </w:rPr>
        <w:t>In this instrument:</w:t>
      </w:r>
    </w:p>
    <w:p w14:paraId="5944793D" w14:textId="77777777" w:rsidR="00443CA9" w:rsidRPr="00510145" w:rsidRDefault="00443CA9" w:rsidP="00443CA9">
      <w:pPr>
        <w:pStyle w:val="CM5"/>
        <w:spacing w:before="120"/>
        <w:ind w:left="567"/>
        <w:jc w:val="both"/>
        <w:rPr>
          <w:rFonts w:asciiTheme="majorHAnsi" w:hAnsiTheme="majorHAnsi" w:cstheme="majorHAnsi"/>
          <w:sz w:val="22"/>
          <w:szCs w:val="22"/>
        </w:rPr>
      </w:pPr>
      <w:r w:rsidRPr="00510145">
        <w:rPr>
          <w:rFonts w:asciiTheme="majorHAnsi" w:hAnsiTheme="majorHAnsi" w:cstheme="majorHAnsi"/>
          <w:b/>
          <w:i/>
          <w:sz w:val="22"/>
          <w:szCs w:val="22"/>
        </w:rPr>
        <w:t>APRA</w:t>
      </w:r>
      <w:r w:rsidRPr="00510145">
        <w:rPr>
          <w:rFonts w:asciiTheme="majorHAnsi" w:hAnsiTheme="majorHAnsi" w:cstheme="majorHAnsi"/>
          <w:sz w:val="22"/>
          <w:szCs w:val="22"/>
        </w:rPr>
        <w:t xml:space="preserve"> means the Australian Prudential Regulation Authority.</w:t>
      </w:r>
    </w:p>
    <w:p w14:paraId="32EBFB64" w14:textId="77777777" w:rsidR="00443CA9" w:rsidRPr="00510145" w:rsidRDefault="00443CA9" w:rsidP="00443CA9">
      <w:pPr>
        <w:pStyle w:val="CM5"/>
        <w:tabs>
          <w:tab w:val="clear" w:pos="851"/>
          <w:tab w:val="left" w:pos="284"/>
        </w:tabs>
        <w:spacing w:before="120"/>
        <w:ind w:left="0" w:firstLine="0"/>
        <w:jc w:val="both"/>
        <w:rPr>
          <w:rFonts w:asciiTheme="majorHAnsi" w:hAnsiTheme="majorHAnsi" w:cstheme="majorHAnsi"/>
          <w:sz w:val="22"/>
          <w:szCs w:val="22"/>
        </w:rPr>
      </w:pPr>
      <w:r w:rsidRPr="00510145">
        <w:rPr>
          <w:rFonts w:asciiTheme="majorHAnsi" w:hAnsiTheme="majorHAnsi" w:cstheme="majorHAnsi"/>
          <w:b/>
          <w:i/>
          <w:sz w:val="22"/>
          <w:szCs w:val="22"/>
        </w:rPr>
        <w:t>ADI</w:t>
      </w:r>
      <w:r w:rsidRPr="00510145">
        <w:rPr>
          <w:rFonts w:asciiTheme="majorHAnsi" w:hAnsiTheme="majorHAnsi" w:cstheme="majorHAnsi"/>
          <w:sz w:val="22"/>
          <w:szCs w:val="22"/>
        </w:rPr>
        <w:t xml:space="preserve">, </w:t>
      </w:r>
      <w:r w:rsidRPr="00510145">
        <w:rPr>
          <w:rFonts w:asciiTheme="majorHAnsi" w:hAnsiTheme="majorHAnsi" w:cstheme="majorHAnsi"/>
          <w:b/>
          <w:i/>
          <w:sz w:val="22"/>
          <w:szCs w:val="22"/>
        </w:rPr>
        <w:t>authorised</w:t>
      </w:r>
      <w:r w:rsidRPr="00510145">
        <w:rPr>
          <w:rFonts w:asciiTheme="majorHAnsi" w:hAnsiTheme="majorHAnsi" w:cstheme="majorHAnsi"/>
          <w:sz w:val="22"/>
          <w:szCs w:val="22"/>
        </w:rPr>
        <w:t xml:space="preserve"> </w:t>
      </w:r>
      <w:r w:rsidRPr="00510145">
        <w:rPr>
          <w:rFonts w:asciiTheme="majorHAnsi" w:hAnsiTheme="majorHAnsi" w:cstheme="majorHAnsi"/>
          <w:b/>
          <w:i/>
          <w:sz w:val="22"/>
          <w:szCs w:val="22"/>
        </w:rPr>
        <w:t>NOHC</w:t>
      </w:r>
      <w:r w:rsidRPr="00510145">
        <w:rPr>
          <w:rFonts w:asciiTheme="majorHAnsi" w:hAnsiTheme="majorHAnsi" w:cstheme="majorHAnsi"/>
          <w:sz w:val="22"/>
          <w:szCs w:val="22"/>
        </w:rPr>
        <w:t xml:space="preserve"> and </w:t>
      </w:r>
      <w:r w:rsidRPr="00510145">
        <w:rPr>
          <w:rFonts w:asciiTheme="majorHAnsi" w:hAnsiTheme="majorHAnsi" w:cstheme="majorHAnsi"/>
          <w:b/>
          <w:i/>
          <w:sz w:val="22"/>
          <w:szCs w:val="22"/>
        </w:rPr>
        <w:t xml:space="preserve">prudential standard </w:t>
      </w:r>
      <w:r w:rsidRPr="00510145">
        <w:rPr>
          <w:rFonts w:asciiTheme="majorHAnsi" w:hAnsiTheme="majorHAnsi" w:cstheme="majorHAnsi"/>
          <w:sz w:val="22"/>
          <w:szCs w:val="22"/>
        </w:rPr>
        <w:t>have their respective meanings given in subsection 5(1) of the Act.</w:t>
      </w:r>
    </w:p>
    <w:p w14:paraId="22180A31" w14:textId="77777777" w:rsidR="00443CA9" w:rsidRPr="00510145" w:rsidRDefault="00443CA9" w:rsidP="00443CA9">
      <w:pPr>
        <w:rPr>
          <w:rFonts w:asciiTheme="majorHAnsi" w:hAnsiTheme="majorHAnsi" w:cstheme="majorHAnsi"/>
          <w:b/>
          <w:sz w:val="32"/>
          <w:szCs w:val="32"/>
        </w:rPr>
      </w:pPr>
    </w:p>
    <w:p w14:paraId="0F4BABA2" w14:textId="5776C2C7" w:rsidR="00443CA9" w:rsidRPr="00510145" w:rsidRDefault="009D3F7C" w:rsidP="009D3F7C">
      <w:pPr>
        <w:tabs>
          <w:tab w:val="left" w:pos="7217"/>
        </w:tabs>
        <w:rPr>
          <w:rFonts w:asciiTheme="majorHAnsi" w:hAnsiTheme="majorHAnsi" w:cstheme="majorHAnsi"/>
          <w:b/>
          <w:sz w:val="32"/>
          <w:szCs w:val="32"/>
        </w:rPr>
      </w:pPr>
      <w:r>
        <w:rPr>
          <w:rFonts w:asciiTheme="majorHAnsi" w:hAnsiTheme="majorHAnsi" w:cstheme="majorHAnsi"/>
          <w:b/>
          <w:sz w:val="32"/>
          <w:szCs w:val="32"/>
        </w:rPr>
        <w:lastRenderedPageBreak/>
        <w:tab/>
      </w:r>
    </w:p>
    <w:p w14:paraId="6818EB06" w14:textId="77777777" w:rsidR="00443CA9" w:rsidRPr="00510145" w:rsidRDefault="00443CA9" w:rsidP="00443CA9">
      <w:pPr>
        <w:rPr>
          <w:rFonts w:asciiTheme="majorHAnsi" w:hAnsiTheme="majorHAnsi" w:cstheme="majorHAnsi"/>
          <w:b/>
          <w:sz w:val="32"/>
          <w:szCs w:val="32"/>
        </w:rPr>
      </w:pPr>
      <w:r w:rsidRPr="00510145">
        <w:rPr>
          <w:rFonts w:asciiTheme="majorHAnsi" w:hAnsiTheme="majorHAnsi" w:cstheme="majorHAnsi"/>
          <w:b/>
          <w:sz w:val="32"/>
          <w:szCs w:val="32"/>
        </w:rPr>
        <w:t>Schedule</w:t>
      </w:r>
    </w:p>
    <w:p w14:paraId="1EFD3187" w14:textId="5A0B0A29" w:rsidR="00443CA9" w:rsidRPr="00510145" w:rsidRDefault="00443CA9" w:rsidP="00443CA9">
      <w:pPr>
        <w:pStyle w:val="Header"/>
        <w:jc w:val="both"/>
        <w:rPr>
          <w:rFonts w:asciiTheme="majorHAnsi" w:hAnsiTheme="majorHAnsi" w:cstheme="majorHAnsi"/>
          <w:b w:val="0"/>
          <w:bCs/>
          <w:sz w:val="22"/>
        </w:rPr>
      </w:pPr>
      <w:r w:rsidRPr="00510145">
        <w:rPr>
          <w:rFonts w:asciiTheme="majorHAnsi" w:hAnsiTheme="majorHAnsi" w:cstheme="majorHAnsi"/>
          <w:b w:val="0"/>
          <w:bCs/>
          <w:i/>
          <w:sz w:val="22"/>
        </w:rPr>
        <w:t xml:space="preserve">Prudential Standard APS </w:t>
      </w:r>
      <w:r w:rsidR="00FC514E">
        <w:rPr>
          <w:rFonts w:asciiTheme="majorHAnsi" w:hAnsiTheme="majorHAnsi" w:cstheme="majorHAnsi"/>
          <w:b w:val="0"/>
          <w:bCs/>
          <w:i/>
          <w:sz w:val="22"/>
        </w:rPr>
        <w:t xml:space="preserve">113 </w:t>
      </w:r>
      <w:r w:rsidR="0039741D">
        <w:rPr>
          <w:rFonts w:asciiTheme="majorHAnsi" w:hAnsiTheme="majorHAnsi" w:cstheme="majorHAnsi"/>
          <w:b w:val="0"/>
          <w:bCs/>
          <w:i/>
          <w:sz w:val="22"/>
        </w:rPr>
        <w:t>Capital Adequacy: Internal Ratings-based Approach to Credit Risk</w:t>
      </w:r>
      <w:r w:rsidRPr="00510145">
        <w:rPr>
          <w:rFonts w:asciiTheme="majorHAnsi" w:hAnsiTheme="majorHAnsi" w:cstheme="majorHAnsi"/>
          <w:b w:val="0"/>
          <w:bCs/>
          <w:sz w:val="22"/>
        </w:rPr>
        <w:t xml:space="preserve"> comprises the document commencing on the following page.</w:t>
      </w:r>
    </w:p>
    <w:p w14:paraId="356F097B" w14:textId="77777777" w:rsidR="007F40EE" w:rsidRDefault="007F40EE">
      <w:pPr>
        <w:sectPr w:rsidR="007F40EE" w:rsidSect="007F40EE">
          <w:headerReference w:type="default" r:id="rId12"/>
          <w:headerReference w:type="first" r:id="rId13"/>
          <w:pgSz w:w="11906" w:h="16838" w:code="9"/>
          <w:pgMar w:top="1440" w:right="1797" w:bottom="1440" w:left="1797" w:header="709" w:footer="709" w:gutter="0"/>
          <w:cols w:space="708"/>
          <w:docGrid w:linePitch="360"/>
        </w:sectPr>
      </w:pPr>
    </w:p>
    <w:p w14:paraId="7969D602" w14:textId="163E2F20" w:rsidR="003B52EB" w:rsidRDefault="00506079" w:rsidP="00BD713D">
      <w:pPr>
        <w:spacing w:before="480" w:after="0"/>
      </w:pPr>
      <w:r>
        <w:rPr>
          <w:noProof/>
        </w:rPr>
        <w:lastRenderedPageBreak/>
        <w:drawing>
          <wp:inline distT="0" distB="0" distL="0" distR="0" wp14:anchorId="16D04D4E" wp14:editId="405A7561">
            <wp:extent cx="1485900" cy="1095375"/>
            <wp:effectExtent l="0" t="0" r="0" b="9525"/>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mmonwealth Coat of Ar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p>
    <w:p w14:paraId="6C440887" w14:textId="2CB425C7" w:rsidR="00DA3651" w:rsidRPr="009B6212" w:rsidRDefault="006A6A52" w:rsidP="00BD713D">
      <w:pPr>
        <w:pStyle w:val="Title"/>
        <w:spacing w:before="480"/>
      </w:pPr>
      <w:bookmarkStart w:id="0" w:name="_Toc326937696"/>
      <w:r w:rsidRPr="00F77AF0">
        <w:t>Prudential Standard</w:t>
      </w:r>
      <w:r w:rsidRPr="00F77AF0">
        <w:rPr>
          <w:rStyle w:val="PSNofieldtext"/>
        </w:rPr>
        <w:t xml:space="preserve"> </w:t>
      </w:r>
      <w:r w:rsidR="00F77AF0">
        <w:rPr>
          <w:rStyle w:val="PSNofieldtext"/>
        </w:rPr>
        <w:t>APS 113</w:t>
      </w:r>
    </w:p>
    <w:bookmarkEnd w:id="0"/>
    <w:p w14:paraId="0908225A" w14:textId="763D6AE3" w:rsidR="00BC2D08" w:rsidRPr="00110917" w:rsidRDefault="00F77AF0" w:rsidP="001F6B8D">
      <w:pPr>
        <w:pStyle w:val="Title"/>
      </w:pPr>
      <w:r>
        <w:rPr>
          <w:rStyle w:val="PSNamefieldtext"/>
        </w:rPr>
        <w:t>Capital Adequacy: Internal Ratings-based Approach to Credit Risk</w:t>
      </w:r>
    </w:p>
    <w:tbl>
      <w:tblPr>
        <w:tblStyle w:val="TableGrid"/>
        <w:tblW w:w="0" w:type="auto"/>
        <w:shd w:val="clear" w:color="auto" w:fill="DDDDDD"/>
        <w:tblLook w:val="04A0" w:firstRow="1" w:lastRow="0" w:firstColumn="1" w:lastColumn="0" w:noHBand="0" w:noVBand="1"/>
      </w:tblPr>
      <w:tblGrid>
        <w:gridCol w:w="8302"/>
      </w:tblGrid>
      <w:tr w:rsidR="0048511B" w14:paraId="3169EA74" w14:textId="77777777" w:rsidTr="00DF539C">
        <w:tc>
          <w:tcPr>
            <w:tcW w:w="8528" w:type="dxa"/>
            <w:shd w:val="clear" w:color="auto" w:fill="DDDDDD"/>
          </w:tcPr>
          <w:p w14:paraId="181A7B30" w14:textId="6A26583D" w:rsidR="003C46D7" w:rsidRPr="00B37C03" w:rsidRDefault="003C46D7" w:rsidP="00656D42">
            <w:pPr>
              <w:pStyle w:val="BoxHeading"/>
            </w:pPr>
            <w:r w:rsidRPr="00B37C03">
              <w:t xml:space="preserve">Objectives and key requirements of this Prudential </w:t>
            </w:r>
            <w:r w:rsidRPr="00173A04">
              <w:t>Standard</w:t>
            </w:r>
          </w:p>
          <w:p w14:paraId="4F414B60" w14:textId="0B855DD5" w:rsidR="00FB7F3D" w:rsidRDefault="00F71ABB" w:rsidP="00834597">
            <w:pPr>
              <w:jc w:val="both"/>
            </w:pPr>
            <w:r w:rsidRPr="00F71ABB">
              <w:t>This Prudential Standard sets out the requirements that an authorised deposit-taking institution that has</w:t>
            </w:r>
            <w:r w:rsidR="00BD713D">
              <w:t>, or is seeking,</w:t>
            </w:r>
            <w:r w:rsidRPr="00F71ABB">
              <w:t xml:space="preserve"> approval to use an internal ratings-based approach to credit risk must meet</w:t>
            </w:r>
            <w:r w:rsidR="003A4A0F">
              <w:t>,</w:t>
            </w:r>
            <w:r w:rsidRPr="00F71ABB">
              <w:t xml:space="preserve"> both at the time of initial implementation and on an ongoing basis</w:t>
            </w:r>
            <w:r>
              <w:t>.</w:t>
            </w:r>
          </w:p>
          <w:p w14:paraId="267ECB4A" w14:textId="77777777" w:rsidR="00F71ABB" w:rsidRDefault="00F71ABB" w:rsidP="00834597">
            <w:pPr>
              <w:jc w:val="both"/>
            </w:pPr>
            <w:r w:rsidRPr="00F71ABB">
              <w:t>The key requirements of this Prudential Standard are that an authorised deposit-taking institution must:</w:t>
            </w:r>
          </w:p>
          <w:p w14:paraId="091A6B3F" w14:textId="166D592C" w:rsidR="00B05752" w:rsidRDefault="00F71ABB" w:rsidP="00834597">
            <w:pPr>
              <w:pStyle w:val="BoxBullet"/>
              <w:jc w:val="both"/>
            </w:pPr>
            <w:r w:rsidRPr="00F71ABB">
              <w:t>determine the capital requirement for a given credit exposure</w:t>
            </w:r>
            <w:r w:rsidR="00FB7F3D">
              <w:t>, within certain parameters set by APRA</w:t>
            </w:r>
            <w:r w:rsidRPr="00F71ABB">
              <w:t>;</w:t>
            </w:r>
          </w:p>
          <w:p w14:paraId="1946DE2B" w14:textId="2A6AB418" w:rsidR="00FB7F3D" w:rsidRDefault="00162E41" w:rsidP="00834597">
            <w:pPr>
              <w:pStyle w:val="BoxBullet"/>
              <w:jc w:val="both"/>
            </w:pPr>
            <w:r>
              <w:t xml:space="preserve">develop and maintain </w:t>
            </w:r>
            <w:r w:rsidR="001A01DD">
              <w:t>rating and risk estimation systems and processes that provide for a meaningful assessment of borrower and transaction characteristics, meaningful differentiation of risk, and accurate and consistent quantitative estimates of risk</w:t>
            </w:r>
            <w:r w:rsidR="00FB7F3D">
              <w:t>; and</w:t>
            </w:r>
          </w:p>
          <w:p w14:paraId="496E8ED2" w14:textId="578F7493" w:rsidR="00173A04" w:rsidRDefault="00FB7F3D" w:rsidP="00834597">
            <w:pPr>
              <w:pStyle w:val="BoxBullet"/>
              <w:jc w:val="both"/>
            </w:pPr>
            <w:r>
              <w:t xml:space="preserve">ensure that </w:t>
            </w:r>
            <w:r w:rsidR="001A01DD">
              <w:t xml:space="preserve">systems and processes </w:t>
            </w:r>
            <w:r>
              <w:t>for the internal ratings-based approach to determining capital also</w:t>
            </w:r>
            <w:r w:rsidR="001A01DD">
              <w:t xml:space="preserve"> play an integral role in the institution’s credit approval, risk management and internal capital allocation functions</w:t>
            </w:r>
            <w:r w:rsidR="00F71ABB" w:rsidRPr="00F71ABB">
              <w:t>.</w:t>
            </w:r>
          </w:p>
        </w:tc>
      </w:tr>
    </w:tbl>
    <w:p w14:paraId="475427A7" w14:textId="77777777" w:rsidR="00BC2D08" w:rsidRDefault="00BC2D08" w:rsidP="00BC2D08">
      <w:pPr>
        <w:spacing w:after="0"/>
      </w:pPr>
    </w:p>
    <w:p w14:paraId="0281FE66" w14:textId="77777777" w:rsidR="00C67A76" w:rsidRDefault="00C67A76" w:rsidP="00C67A76"/>
    <w:p w14:paraId="50094288" w14:textId="77777777" w:rsidR="00C67A76" w:rsidRDefault="00C67A76" w:rsidP="00C67A76">
      <w:pPr>
        <w:sectPr w:rsidR="00C67A76" w:rsidSect="00806E44">
          <w:pgSz w:w="11906" w:h="16838" w:code="9"/>
          <w:pgMar w:top="1440" w:right="1797" w:bottom="1440" w:left="1797" w:header="709" w:footer="709" w:gutter="0"/>
          <w:cols w:space="708"/>
          <w:titlePg/>
          <w:docGrid w:linePitch="360"/>
        </w:sectPr>
      </w:pPr>
    </w:p>
    <w:p w14:paraId="0E4A2D15" w14:textId="77777777" w:rsidR="00C6788C" w:rsidRPr="00D7465F" w:rsidRDefault="009D467A" w:rsidP="001F6B8D">
      <w:pPr>
        <w:pStyle w:val="TOCHeading"/>
      </w:pPr>
      <w:bookmarkStart w:id="1" w:name="_Toc326676936"/>
      <w:bookmarkStart w:id="2" w:name="_Toc326756341"/>
      <w:bookmarkStart w:id="3" w:name="_Toc256519850"/>
      <w:r>
        <w:lastRenderedPageBreak/>
        <w:t>Table of Contents</w:t>
      </w:r>
    </w:p>
    <w:bookmarkStart w:id="4" w:name="_Toc326937698"/>
    <w:bookmarkStart w:id="5" w:name="_Toc326938615"/>
    <w:bookmarkStart w:id="6" w:name="_Toc326938830"/>
    <w:bookmarkEnd w:id="1"/>
    <w:bookmarkEnd w:id="2"/>
    <w:p w14:paraId="6497A067" w14:textId="38DDF53F" w:rsidR="008B55B1" w:rsidRDefault="00115253">
      <w:pPr>
        <w:pStyle w:val="TOC2"/>
        <w:rPr>
          <w:rFonts w:asciiTheme="minorHAnsi" w:eastAsiaTheme="minorEastAsia" w:hAnsiTheme="minorHAnsi" w:cstheme="minorBidi"/>
          <w:kern w:val="2"/>
          <w14:ligatures w14:val="standardContextual"/>
        </w:rPr>
      </w:pPr>
      <w:r>
        <w:rPr>
          <w:rFonts w:asciiTheme="majorHAnsi" w:hAnsiTheme="majorHAnsi" w:cstheme="majorHAnsi"/>
        </w:rPr>
        <w:fldChar w:fldCharType="begin"/>
      </w:r>
      <w:r>
        <w:rPr>
          <w:rFonts w:asciiTheme="majorHAnsi" w:hAnsiTheme="majorHAnsi" w:cstheme="majorHAnsi"/>
        </w:rPr>
        <w:instrText xml:space="preserve"> TOC \o "1-1" \z \u \t "Heading 2_body,2" </w:instrText>
      </w:r>
      <w:r>
        <w:rPr>
          <w:rFonts w:asciiTheme="majorHAnsi" w:hAnsiTheme="majorHAnsi" w:cstheme="majorHAnsi"/>
        </w:rPr>
        <w:fldChar w:fldCharType="separate"/>
      </w:r>
      <w:r w:rsidR="008B55B1">
        <w:t>Authority</w:t>
      </w:r>
      <w:r w:rsidR="008B55B1">
        <w:rPr>
          <w:webHidden/>
        </w:rPr>
        <w:tab/>
      </w:r>
      <w:r w:rsidR="008B55B1">
        <w:rPr>
          <w:webHidden/>
        </w:rPr>
        <w:fldChar w:fldCharType="begin"/>
      </w:r>
      <w:r w:rsidR="008B55B1">
        <w:rPr>
          <w:webHidden/>
        </w:rPr>
        <w:instrText xml:space="preserve"> PAGEREF _Toc176183655 \h </w:instrText>
      </w:r>
      <w:r w:rsidR="008B55B1">
        <w:rPr>
          <w:webHidden/>
        </w:rPr>
      </w:r>
      <w:r w:rsidR="008B55B1">
        <w:rPr>
          <w:webHidden/>
        </w:rPr>
        <w:fldChar w:fldCharType="separate"/>
      </w:r>
      <w:r w:rsidR="008B55B1">
        <w:rPr>
          <w:webHidden/>
        </w:rPr>
        <w:t>3</w:t>
      </w:r>
      <w:r w:rsidR="008B55B1">
        <w:rPr>
          <w:webHidden/>
        </w:rPr>
        <w:fldChar w:fldCharType="end"/>
      </w:r>
    </w:p>
    <w:p w14:paraId="27F18402" w14:textId="30540604" w:rsidR="008B55B1" w:rsidRDefault="008B55B1">
      <w:pPr>
        <w:pStyle w:val="TOC2"/>
        <w:rPr>
          <w:rFonts w:asciiTheme="minorHAnsi" w:eastAsiaTheme="minorEastAsia" w:hAnsiTheme="minorHAnsi" w:cstheme="minorBidi"/>
          <w:kern w:val="2"/>
          <w14:ligatures w14:val="standardContextual"/>
        </w:rPr>
      </w:pPr>
      <w:r>
        <w:t>Application and commencement</w:t>
      </w:r>
      <w:r>
        <w:rPr>
          <w:webHidden/>
        </w:rPr>
        <w:tab/>
      </w:r>
      <w:r>
        <w:rPr>
          <w:webHidden/>
        </w:rPr>
        <w:fldChar w:fldCharType="begin"/>
      </w:r>
      <w:r>
        <w:rPr>
          <w:webHidden/>
        </w:rPr>
        <w:instrText xml:space="preserve"> PAGEREF _Toc176183656 \h </w:instrText>
      </w:r>
      <w:r>
        <w:rPr>
          <w:webHidden/>
        </w:rPr>
      </w:r>
      <w:r>
        <w:rPr>
          <w:webHidden/>
        </w:rPr>
        <w:fldChar w:fldCharType="separate"/>
      </w:r>
      <w:r>
        <w:rPr>
          <w:webHidden/>
        </w:rPr>
        <w:t>3</w:t>
      </w:r>
      <w:r>
        <w:rPr>
          <w:webHidden/>
        </w:rPr>
        <w:fldChar w:fldCharType="end"/>
      </w:r>
    </w:p>
    <w:p w14:paraId="77620C7A" w14:textId="535F7D3E" w:rsidR="008B55B1" w:rsidRDefault="008B55B1">
      <w:pPr>
        <w:pStyle w:val="TOC2"/>
        <w:rPr>
          <w:rFonts w:asciiTheme="minorHAnsi" w:eastAsiaTheme="minorEastAsia" w:hAnsiTheme="minorHAnsi" w:cstheme="minorBidi"/>
          <w:kern w:val="2"/>
          <w14:ligatures w14:val="standardContextual"/>
        </w:rPr>
      </w:pPr>
      <w:r>
        <w:t>Interpretation</w:t>
      </w:r>
      <w:r>
        <w:rPr>
          <w:webHidden/>
        </w:rPr>
        <w:tab/>
      </w:r>
      <w:r>
        <w:rPr>
          <w:webHidden/>
        </w:rPr>
        <w:fldChar w:fldCharType="begin"/>
      </w:r>
      <w:r>
        <w:rPr>
          <w:webHidden/>
        </w:rPr>
        <w:instrText xml:space="preserve"> PAGEREF _Toc176183657 \h </w:instrText>
      </w:r>
      <w:r>
        <w:rPr>
          <w:webHidden/>
        </w:rPr>
      </w:r>
      <w:r>
        <w:rPr>
          <w:webHidden/>
        </w:rPr>
        <w:fldChar w:fldCharType="separate"/>
      </w:r>
      <w:r>
        <w:rPr>
          <w:webHidden/>
        </w:rPr>
        <w:t>3</w:t>
      </w:r>
      <w:r>
        <w:rPr>
          <w:webHidden/>
        </w:rPr>
        <w:fldChar w:fldCharType="end"/>
      </w:r>
    </w:p>
    <w:p w14:paraId="078596AA" w14:textId="265CA25C" w:rsidR="008B55B1" w:rsidRDefault="008B55B1">
      <w:pPr>
        <w:pStyle w:val="TOC2"/>
        <w:rPr>
          <w:rFonts w:asciiTheme="minorHAnsi" w:eastAsiaTheme="minorEastAsia" w:hAnsiTheme="minorHAnsi" w:cstheme="minorBidi"/>
          <w:kern w:val="2"/>
          <w14:ligatures w14:val="standardContextual"/>
        </w:rPr>
      </w:pPr>
      <w:r>
        <w:t>Adjustments and exclusions</w:t>
      </w:r>
      <w:r>
        <w:rPr>
          <w:webHidden/>
        </w:rPr>
        <w:tab/>
      </w:r>
      <w:r>
        <w:rPr>
          <w:webHidden/>
        </w:rPr>
        <w:fldChar w:fldCharType="begin"/>
      </w:r>
      <w:r>
        <w:rPr>
          <w:webHidden/>
        </w:rPr>
        <w:instrText xml:space="preserve"> PAGEREF _Toc176183658 \h </w:instrText>
      </w:r>
      <w:r>
        <w:rPr>
          <w:webHidden/>
        </w:rPr>
      </w:r>
      <w:r>
        <w:rPr>
          <w:webHidden/>
        </w:rPr>
        <w:fldChar w:fldCharType="separate"/>
      </w:r>
      <w:r>
        <w:rPr>
          <w:webHidden/>
        </w:rPr>
        <w:t>3</w:t>
      </w:r>
      <w:r>
        <w:rPr>
          <w:webHidden/>
        </w:rPr>
        <w:fldChar w:fldCharType="end"/>
      </w:r>
    </w:p>
    <w:p w14:paraId="2AF1B26E" w14:textId="7908E479" w:rsidR="008B55B1" w:rsidRDefault="008B55B1">
      <w:pPr>
        <w:pStyle w:val="TOC2"/>
        <w:rPr>
          <w:rFonts w:asciiTheme="minorHAnsi" w:eastAsiaTheme="minorEastAsia" w:hAnsiTheme="minorHAnsi" w:cstheme="minorBidi"/>
          <w:kern w:val="2"/>
          <w14:ligatures w14:val="standardContextual"/>
        </w:rPr>
      </w:pPr>
      <w:r>
        <w:t>Previous exercise of discretion</w:t>
      </w:r>
      <w:r>
        <w:rPr>
          <w:webHidden/>
        </w:rPr>
        <w:tab/>
      </w:r>
      <w:r>
        <w:rPr>
          <w:webHidden/>
        </w:rPr>
        <w:fldChar w:fldCharType="begin"/>
      </w:r>
      <w:r>
        <w:rPr>
          <w:webHidden/>
        </w:rPr>
        <w:instrText xml:space="preserve"> PAGEREF _Toc176183659 \h </w:instrText>
      </w:r>
      <w:r>
        <w:rPr>
          <w:webHidden/>
        </w:rPr>
      </w:r>
      <w:r>
        <w:rPr>
          <w:webHidden/>
        </w:rPr>
        <w:fldChar w:fldCharType="separate"/>
      </w:r>
      <w:r>
        <w:rPr>
          <w:webHidden/>
        </w:rPr>
        <w:t>4</w:t>
      </w:r>
      <w:r>
        <w:rPr>
          <w:webHidden/>
        </w:rPr>
        <w:fldChar w:fldCharType="end"/>
      </w:r>
    </w:p>
    <w:p w14:paraId="1556E20E" w14:textId="128F6606" w:rsidR="008B55B1" w:rsidRDefault="008B55B1">
      <w:pPr>
        <w:pStyle w:val="TOC2"/>
        <w:rPr>
          <w:rFonts w:asciiTheme="minorHAnsi" w:eastAsiaTheme="minorEastAsia" w:hAnsiTheme="minorHAnsi" w:cstheme="minorBidi"/>
          <w:kern w:val="2"/>
          <w14:ligatures w14:val="standardContextual"/>
        </w:rPr>
      </w:pPr>
      <w:r>
        <w:t>Scope</w:t>
      </w:r>
      <w:r>
        <w:rPr>
          <w:webHidden/>
        </w:rPr>
        <w:tab/>
      </w:r>
      <w:r>
        <w:rPr>
          <w:webHidden/>
        </w:rPr>
        <w:fldChar w:fldCharType="begin"/>
      </w:r>
      <w:r>
        <w:rPr>
          <w:webHidden/>
        </w:rPr>
        <w:instrText xml:space="preserve"> PAGEREF _Toc176183660 \h </w:instrText>
      </w:r>
      <w:r>
        <w:rPr>
          <w:webHidden/>
        </w:rPr>
      </w:r>
      <w:r>
        <w:rPr>
          <w:webHidden/>
        </w:rPr>
        <w:fldChar w:fldCharType="separate"/>
      </w:r>
      <w:r>
        <w:rPr>
          <w:webHidden/>
        </w:rPr>
        <w:t>4</w:t>
      </w:r>
      <w:r>
        <w:rPr>
          <w:webHidden/>
        </w:rPr>
        <w:fldChar w:fldCharType="end"/>
      </w:r>
    </w:p>
    <w:p w14:paraId="412B007D" w14:textId="6D08A07F" w:rsidR="008B55B1" w:rsidRDefault="008B55B1">
      <w:pPr>
        <w:pStyle w:val="TOC2"/>
        <w:rPr>
          <w:rFonts w:asciiTheme="minorHAnsi" w:eastAsiaTheme="minorEastAsia" w:hAnsiTheme="minorHAnsi" w:cstheme="minorBidi"/>
          <w:kern w:val="2"/>
          <w14:ligatures w14:val="standardContextual"/>
        </w:rPr>
      </w:pPr>
      <w:r>
        <w:t>Definitions</w:t>
      </w:r>
      <w:r>
        <w:rPr>
          <w:webHidden/>
        </w:rPr>
        <w:tab/>
      </w:r>
      <w:r>
        <w:rPr>
          <w:webHidden/>
        </w:rPr>
        <w:fldChar w:fldCharType="begin"/>
      </w:r>
      <w:r>
        <w:rPr>
          <w:webHidden/>
        </w:rPr>
        <w:instrText xml:space="preserve"> PAGEREF _Toc176183661 \h </w:instrText>
      </w:r>
      <w:r>
        <w:rPr>
          <w:webHidden/>
        </w:rPr>
      </w:r>
      <w:r>
        <w:rPr>
          <w:webHidden/>
        </w:rPr>
        <w:fldChar w:fldCharType="separate"/>
      </w:r>
      <w:r>
        <w:rPr>
          <w:webHidden/>
        </w:rPr>
        <w:t>5</w:t>
      </w:r>
      <w:r>
        <w:rPr>
          <w:webHidden/>
        </w:rPr>
        <w:fldChar w:fldCharType="end"/>
      </w:r>
    </w:p>
    <w:p w14:paraId="29BE873D" w14:textId="3920AC91" w:rsidR="008B55B1" w:rsidRDefault="008B55B1">
      <w:pPr>
        <w:pStyle w:val="TOC2"/>
        <w:rPr>
          <w:rFonts w:asciiTheme="minorHAnsi" w:eastAsiaTheme="minorEastAsia" w:hAnsiTheme="minorHAnsi" w:cstheme="minorBidi"/>
          <w:kern w:val="2"/>
          <w14:ligatures w14:val="standardContextual"/>
        </w:rPr>
      </w:pPr>
      <w:r>
        <w:t>Key principles</w:t>
      </w:r>
      <w:r>
        <w:rPr>
          <w:webHidden/>
        </w:rPr>
        <w:tab/>
      </w:r>
      <w:r>
        <w:rPr>
          <w:webHidden/>
        </w:rPr>
        <w:fldChar w:fldCharType="begin"/>
      </w:r>
      <w:r>
        <w:rPr>
          <w:webHidden/>
        </w:rPr>
        <w:instrText xml:space="preserve"> PAGEREF _Toc176183662 \h </w:instrText>
      </w:r>
      <w:r>
        <w:rPr>
          <w:webHidden/>
        </w:rPr>
      </w:r>
      <w:r>
        <w:rPr>
          <w:webHidden/>
        </w:rPr>
        <w:fldChar w:fldCharType="separate"/>
      </w:r>
      <w:r>
        <w:rPr>
          <w:webHidden/>
        </w:rPr>
        <w:t>7</w:t>
      </w:r>
      <w:r>
        <w:rPr>
          <w:webHidden/>
        </w:rPr>
        <w:fldChar w:fldCharType="end"/>
      </w:r>
    </w:p>
    <w:p w14:paraId="0D57021C" w14:textId="72714D7E" w:rsidR="008B55B1" w:rsidRDefault="008B55B1">
      <w:pPr>
        <w:pStyle w:val="TOC2"/>
        <w:rPr>
          <w:rFonts w:asciiTheme="minorHAnsi" w:eastAsiaTheme="minorEastAsia" w:hAnsiTheme="minorHAnsi" w:cstheme="minorBidi"/>
          <w:kern w:val="2"/>
          <w14:ligatures w14:val="standardContextual"/>
        </w:rPr>
      </w:pPr>
      <w:r>
        <w:t>Governance and oversight</w:t>
      </w:r>
      <w:r>
        <w:rPr>
          <w:webHidden/>
        </w:rPr>
        <w:tab/>
      </w:r>
      <w:r>
        <w:rPr>
          <w:webHidden/>
        </w:rPr>
        <w:fldChar w:fldCharType="begin"/>
      </w:r>
      <w:r>
        <w:rPr>
          <w:webHidden/>
        </w:rPr>
        <w:instrText xml:space="preserve"> PAGEREF _Toc176183663 \h </w:instrText>
      </w:r>
      <w:r>
        <w:rPr>
          <w:webHidden/>
        </w:rPr>
      </w:r>
      <w:r>
        <w:rPr>
          <w:webHidden/>
        </w:rPr>
        <w:fldChar w:fldCharType="separate"/>
      </w:r>
      <w:r>
        <w:rPr>
          <w:webHidden/>
        </w:rPr>
        <w:t>8</w:t>
      </w:r>
      <w:r>
        <w:rPr>
          <w:webHidden/>
        </w:rPr>
        <w:fldChar w:fldCharType="end"/>
      </w:r>
    </w:p>
    <w:p w14:paraId="5DF8A291" w14:textId="146240F9" w:rsidR="008B55B1" w:rsidRDefault="008B55B1">
      <w:pPr>
        <w:pStyle w:val="TOC2"/>
        <w:rPr>
          <w:rFonts w:asciiTheme="minorHAnsi" w:eastAsiaTheme="minorEastAsia" w:hAnsiTheme="minorHAnsi" w:cstheme="minorBidi"/>
          <w:kern w:val="2"/>
          <w14:ligatures w14:val="standardContextual"/>
        </w:rPr>
      </w:pPr>
      <w:r>
        <w:t>Asset classes</w:t>
      </w:r>
      <w:r>
        <w:rPr>
          <w:webHidden/>
        </w:rPr>
        <w:tab/>
      </w:r>
      <w:r>
        <w:rPr>
          <w:webHidden/>
        </w:rPr>
        <w:fldChar w:fldCharType="begin"/>
      </w:r>
      <w:r>
        <w:rPr>
          <w:webHidden/>
        </w:rPr>
        <w:instrText xml:space="preserve"> PAGEREF _Toc176183664 \h </w:instrText>
      </w:r>
      <w:r>
        <w:rPr>
          <w:webHidden/>
        </w:rPr>
      </w:r>
      <w:r>
        <w:rPr>
          <w:webHidden/>
        </w:rPr>
        <w:fldChar w:fldCharType="separate"/>
      </w:r>
      <w:r>
        <w:rPr>
          <w:webHidden/>
        </w:rPr>
        <w:t>10</w:t>
      </w:r>
      <w:r>
        <w:rPr>
          <w:webHidden/>
        </w:rPr>
        <w:fldChar w:fldCharType="end"/>
      </w:r>
    </w:p>
    <w:p w14:paraId="26818FEF" w14:textId="7947B4B5" w:rsidR="008B55B1" w:rsidRDefault="008B55B1">
      <w:pPr>
        <w:pStyle w:val="TOC2"/>
        <w:rPr>
          <w:rFonts w:asciiTheme="minorHAnsi" w:eastAsiaTheme="minorEastAsia" w:hAnsiTheme="minorHAnsi" w:cstheme="minorBidi"/>
          <w:kern w:val="2"/>
          <w14:ligatures w14:val="standardContextual"/>
        </w:rPr>
      </w:pPr>
      <w:r>
        <w:t>IRB approval</w:t>
      </w:r>
      <w:r>
        <w:rPr>
          <w:webHidden/>
        </w:rPr>
        <w:tab/>
      </w:r>
      <w:r>
        <w:rPr>
          <w:webHidden/>
        </w:rPr>
        <w:fldChar w:fldCharType="begin"/>
      </w:r>
      <w:r>
        <w:rPr>
          <w:webHidden/>
        </w:rPr>
        <w:instrText xml:space="preserve"> PAGEREF _Toc176183665 \h </w:instrText>
      </w:r>
      <w:r>
        <w:rPr>
          <w:webHidden/>
        </w:rPr>
      </w:r>
      <w:r>
        <w:rPr>
          <w:webHidden/>
        </w:rPr>
        <w:fldChar w:fldCharType="separate"/>
      </w:r>
      <w:r>
        <w:rPr>
          <w:webHidden/>
        </w:rPr>
        <w:t>13</w:t>
      </w:r>
      <w:r>
        <w:rPr>
          <w:webHidden/>
        </w:rPr>
        <w:fldChar w:fldCharType="end"/>
      </w:r>
    </w:p>
    <w:p w14:paraId="537B95F2" w14:textId="7ED84AE8" w:rsidR="008B55B1" w:rsidRDefault="008B55B1">
      <w:pPr>
        <w:pStyle w:val="TOC1"/>
        <w:rPr>
          <w:rFonts w:asciiTheme="minorHAnsi" w:eastAsiaTheme="minorEastAsia" w:hAnsiTheme="minorHAnsi" w:cstheme="minorBidi"/>
          <w:kern w:val="2"/>
          <w14:ligatures w14:val="standardContextual"/>
        </w:rPr>
      </w:pPr>
      <w:r>
        <w:t>Attachment A - IRB risk-weight functions</w:t>
      </w:r>
      <w:r>
        <w:rPr>
          <w:webHidden/>
        </w:rPr>
        <w:tab/>
      </w:r>
      <w:r>
        <w:rPr>
          <w:webHidden/>
        </w:rPr>
        <w:fldChar w:fldCharType="begin"/>
      </w:r>
      <w:r>
        <w:rPr>
          <w:webHidden/>
        </w:rPr>
        <w:instrText xml:space="preserve"> PAGEREF _Toc176183666 \h </w:instrText>
      </w:r>
      <w:r>
        <w:rPr>
          <w:webHidden/>
        </w:rPr>
      </w:r>
      <w:r>
        <w:rPr>
          <w:webHidden/>
        </w:rPr>
        <w:fldChar w:fldCharType="separate"/>
      </w:r>
      <w:r>
        <w:rPr>
          <w:webHidden/>
        </w:rPr>
        <w:t>17</w:t>
      </w:r>
      <w:r>
        <w:rPr>
          <w:webHidden/>
        </w:rPr>
        <w:fldChar w:fldCharType="end"/>
      </w:r>
    </w:p>
    <w:p w14:paraId="473441C0" w14:textId="4D1E1424" w:rsidR="008B55B1" w:rsidRDefault="008B55B1">
      <w:pPr>
        <w:pStyle w:val="TOC1"/>
        <w:rPr>
          <w:rFonts w:asciiTheme="minorHAnsi" w:eastAsiaTheme="minorEastAsia" w:hAnsiTheme="minorHAnsi" w:cstheme="minorBidi"/>
          <w:kern w:val="2"/>
          <w14:ligatures w14:val="standardContextual"/>
        </w:rPr>
      </w:pPr>
      <w:r>
        <w:t xml:space="preserve">Attachment B </w:t>
      </w:r>
      <w:r>
        <w:rPr>
          <w:rFonts w:hint="eastAsia"/>
        </w:rPr>
        <w:t>–</w:t>
      </w:r>
      <w:r>
        <w:t xml:space="preserve"> Risk components for each asset class</w:t>
      </w:r>
      <w:r>
        <w:rPr>
          <w:webHidden/>
        </w:rPr>
        <w:tab/>
      </w:r>
      <w:r>
        <w:rPr>
          <w:webHidden/>
        </w:rPr>
        <w:fldChar w:fldCharType="begin"/>
      </w:r>
      <w:r>
        <w:rPr>
          <w:webHidden/>
        </w:rPr>
        <w:instrText xml:space="preserve"> PAGEREF _Toc176183667 \h </w:instrText>
      </w:r>
      <w:r>
        <w:rPr>
          <w:webHidden/>
        </w:rPr>
      </w:r>
      <w:r>
        <w:rPr>
          <w:webHidden/>
        </w:rPr>
        <w:fldChar w:fldCharType="separate"/>
      </w:r>
      <w:r>
        <w:rPr>
          <w:webHidden/>
        </w:rPr>
        <w:t>23</w:t>
      </w:r>
      <w:r>
        <w:rPr>
          <w:webHidden/>
        </w:rPr>
        <w:fldChar w:fldCharType="end"/>
      </w:r>
    </w:p>
    <w:p w14:paraId="3ACB3E9D" w14:textId="075A2584" w:rsidR="008B55B1" w:rsidRDefault="008B55B1">
      <w:pPr>
        <w:pStyle w:val="TOC1"/>
        <w:rPr>
          <w:rFonts w:asciiTheme="minorHAnsi" w:eastAsiaTheme="minorEastAsia" w:hAnsiTheme="minorHAnsi" w:cstheme="minorBidi"/>
          <w:kern w:val="2"/>
          <w14:ligatures w14:val="standardContextual"/>
        </w:rPr>
      </w:pPr>
      <w:r>
        <w:t>Attachment C - Treatment of expected losses and provisions</w:t>
      </w:r>
      <w:r>
        <w:rPr>
          <w:webHidden/>
        </w:rPr>
        <w:tab/>
      </w:r>
      <w:r>
        <w:rPr>
          <w:webHidden/>
        </w:rPr>
        <w:fldChar w:fldCharType="begin"/>
      </w:r>
      <w:r>
        <w:rPr>
          <w:webHidden/>
        </w:rPr>
        <w:instrText xml:space="preserve"> PAGEREF _Toc176183668 \h </w:instrText>
      </w:r>
      <w:r>
        <w:rPr>
          <w:webHidden/>
        </w:rPr>
      </w:r>
      <w:r>
        <w:rPr>
          <w:webHidden/>
        </w:rPr>
        <w:fldChar w:fldCharType="separate"/>
      </w:r>
      <w:r>
        <w:rPr>
          <w:webHidden/>
        </w:rPr>
        <w:t>35</w:t>
      </w:r>
      <w:r>
        <w:rPr>
          <w:webHidden/>
        </w:rPr>
        <w:fldChar w:fldCharType="end"/>
      </w:r>
    </w:p>
    <w:p w14:paraId="222DDB0A" w14:textId="6190D3D0" w:rsidR="008B55B1" w:rsidRDefault="008B55B1">
      <w:pPr>
        <w:pStyle w:val="TOC1"/>
        <w:rPr>
          <w:rFonts w:asciiTheme="minorHAnsi" w:eastAsiaTheme="minorEastAsia" w:hAnsiTheme="minorHAnsi" w:cstheme="minorBidi"/>
          <w:kern w:val="2"/>
          <w14:ligatures w14:val="standardContextual"/>
        </w:rPr>
      </w:pPr>
      <w:r>
        <w:t>Attachment D - Minimum requirements for the use of an IRB approach</w:t>
      </w:r>
      <w:r>
        <w:rPr>
          <w:webHidden/>
        </w:rPr>
        <w:tab/>
      </w:r>
      <w:r>
        <w:rPr>
          <w:webHidden/>
        </w:rPr>
        <w:fldChar w:fldCharType="begin"/>
      </w:r>
      <w:r>
        <w:rPr>
          <w:webHidden/>
        </w:rPr>
        <w:instrText xml:space="preserve"> PAGEREF _Toc176183669 \h </w:instrText>
      </w:r>
      <w:r>
        <w:rPr>
          <w:webHidden/>
        </w:rPr>
      </w:r>
      <w:r>
        <w:rPr>
          <w:webHidden/>
        </w:rPr>
        <w:fldChar w:fldCharType="separate"/>
      </w:r>
      <w:r>
        <w:rPr>
          <w:webHidden/>
        </w:rPr>
        <w:t>37</w:t>
      </w:r>
      <w:r>
        <w:rPr>
          <w:webHidden/>
        </w:rPr>
        <w:fldChar w:fldCharType="end"/>
      </w:r>
    </w:p>
    <w:p w14:paraId="5438C57B" w14:textId="50C49099" w:rsidR="008B55B1" w:rsidRDefault="008B55B1">
      <w:pPr>
        <w:pStyle w:val="TOC1"/>
        <w:rPr>
          <w:rFonts w:asciiTheme="minorHAnsi" w:eastAsiaTheme="minorEastAsia" w:hAnsiTheme="minorHAnsi" w:cstheme="minorBidi"/>
          <w:kern w:val="2"/>
          <w14:ligatures w14:val="standardContextual"/>
        </w:rPr>
      </w:pPr>
      <w:r>
        <w:t>Attachment E - Requirements for recognition of collateral and credit risk mitigation</w:t>
      </w:r>
      <w:r>
        <w:rPr>
          <w:webHidden/>
        </w:rPr>
        <w:tab/>
      </w:r>
      <w:r>
        <w:rPr>
          <w:webHidden/>
        </w:rPr>
        <w:fldChar w:fldCharType="begin"/>
      </w:r>
      <w:r>
        <w:rPr>
          <w:webHidden/>
        </w:rPr>
        <w:instrText xml:space="preserve"> PAGEREF _Toc176183670 \h </w:instrText>
      </w:r>
      <w:r>
        <w:rPr>
          <w:webHidden/>
        </w:rPr>
      </w:r>
      <w:r>
        <w:rPr>
          <w:webHidden/>
        </w:rPr>
        <w:fldChar w:fldCharType="separate"/>
      </w:r>
      <w:r>
        <w:rPr>
          <w:webHidden/>
        </w:rPr>
        <w:t>53</w:t>
      </w:r>
      <w:r>
        <w:rPr>
          <w:webHidden/>
        </w:rPr>
        <w:fldChar w:fldCharType="end"/>
      </w:r>
    </w:p>
    <w:p w14:paraId="20FCD807" w14:textId="116274BF" w:rsidR="008B55B1" w:rsidRDefault="008B55B1">
      <w:pPr>
        <w:pStyle w:val="TOC1"/>
        <w:rPr>
          <w:rFonts w:asciiTheme="minorHAnsi" w:eastAsiaTheme="minorEastAsia" w:hAnsiTheme="minorHAnsi" w:cstheme="minorBidi"/>
          <w:kern w:val="2"/>
          <w14:ligatures w14:val="standardContextual"/>
        </w:rPr>
      </w:pPr>
      <w:r>
        <w:t>Attachment F - Risk-weighted assets for purchased receivables</w:t>
      </w:r>
      <w:r>
        <w:rPr>
          <w:webHidden/>
        </w:rPr>
        <w:tab/>
      </w:r>
      <w:r>
        <w:rPr>
          <w:webHidden/>
        </w:rPr>
        <w:fldChar w:fldCharType="begin"/>
      </w:r>
      <w:r>
        <w:rPr>
          <w:webHidden/>
        </w:rPr>
        <w:instrText xml:space="preserve"> PAGEREF _Toc176183671 \h </w:instrText>
      </w:r>
      <w:r>
        <w:rPr>
          <w:webHidden/>
        </w:rPr>
      </w:r>
      <w:r>
        <w:rPr>
          <w:webHidden/>
        </w:rPr>
        <w:fldChar w:fldCharType="separate"/>
      </w:r>
      <w:r>
        <w:rPr>
          <w:webHidden/>
        </w:rPr>
        <w:t>60</w:t>
      </w:r>
      <w:r>
        <w:rPr>
          <w:webHidden/>
        </w:rPr>
        <w:fldChar w:fldCharType="end"/>
      </w:r>
    </w:p>
    <w:p w14:paraId="1EF83DF1" w14:textId="382D44AC" w:rsidR="008B55B1" w:rsidRDefault="008B55B1">
      <w:pPr>
        <w:pStyle w:val="TOC1"/>
        <w:rPr>
          <w:rFonts w:asciiTheme="minorHAnsi" w:eastAsiaTheme="minorEastAsia" w:hAnsiTheme="minorHAnsi" w:cstheme="minorBidi"/>
          <w:kern w:val="2"/>
          <w14:ligatures w14:val="standardContextual"/>
        </w:rPr>
      </w:pPr>
      <w:r>
        <w:t>Attachment G - Supervisory slotting criteria</w:t>
      </w:r>
      <w:r>
        <w:rPr>
          <w:webHidden/>
        </w:rPr>
        <w:tab/>
      </w:r>
      <w:r>
        <w:rPr>
          <w:webHidden/>
        </w:rPr>
        <w:fldChar w:fldCharType="begin"/>
      </w:r>
      <w:r>
        <w:rPr>
          <w:webHidden/>
        </w:rPr>
        <w:instrText xml:space="preserve"> PAGEREF _Toc176183672 \h </w:instrText>
      </w:r>
      <w:r>
        <w:rPr>
          <w:webHidden/>
        </w:rPr>
      </w:r>
      <w:r>
        <w:rPr>
          <w:webHidden/>
        </w:rPr>
        <w:fldChar w:fldCharType="separate"/>
      </w:r>
      <w:r>
        <w:rPr>
          <w:webHidden/>
        </w:rPr>
        <w:t>64</w:t>
      </w:r>
      <w:r>
        <w:rPr>
          <w:webHidden/>
        </w:rPr>
        <w:fldChar w:fldCharType="end"/>
      </w:r>
    </w:p>
    <w:p w14:paraId="472ACB60" w14:textId="346CFF46" w:rsidR="009D467A" w:rsidRDefault="00115253" w:rsidP="00115253">
      <w:r>
        <w:rPr>
          <w:rFonts w:asciiTheme="majorHAnsi" w:hAnsiTheme="majorHAnsi" w:cstheme="majorHAnsi"/>
          <w:noProof/>
        </w:rPr>
        <w:fldChar w:fldCharType="end"/>
      </w:r>
    </w:p>
    <w:p w14:paraId="4FC8F079" w14:textId="77777777" w:rsidR="00E96B6D" w:rsidRPr="000858E1" w:rsidRDefault="00E96B6D" w:rsidP="001F6B8D">
      <w:pPr>
        <w:pStyle w:val="Heading1"/>
        <w:sectPr w:rsidR="00E96B6D" w:rsidRPr="000858E1" w:rsidSect="00AA5018">
          <w:headerReference w:type="default" r:id="rId15"/>
          <w:footerReference w:type="default" r:id="rId16"/>
          <w:pgSz w:w="11906" w:h="16838" w:code="9"/>
          <w:pgMar w:top="1440" w:right="1797" w:bottom="1440" w:left="1797" w:header="709" w:footer="709" w:gutter="0"/>
          <w:pgNumType w:start="2"/>
          <w:cols w:space="708"/>
          <w:docGrid w:linePitch="360"/>
        </w:sectPr>
      </w:pPr>
      <w:bookmarkStart w:id="7" w:name="_Toc314733116"/>
      <w:bookmarkStart w:id="8" w:name="_Toc341686774"/>
      <w:bookmarkEnd w:id="3"/>
      <w:bookmarkEnd w:id="4"/>
      <w:bookmarkEnd w:id="5"/>
      <w:bookmarkEnd w:id="6"/>
    </w:p>
    <w:p w14:paraId="6ABE408D" w14:textId="063A87D3" w:rsidR="00E07F40" w:rsidRPr="00E5267D" w:rsidRDefault="00E07F40" w:rsidP="00115253">
      <w:pPr>
        <w:pStyle w:val="Heading2body"/>
      </w:pPr>
      <w:bookmarkStart w:id="9" w:name="_Toc176183655"/>
      <w:r w:rsidRPr="00B37C03">
        <w:lastRenderedPageBreak/>
        <w:t>Authority</w:t>
      </w:r>
      <w:bookmarkEnd w:id="7"/>
      <w:bookmarkEnd w:id="8"/>
      <w:bookmarkEnd w:id="9"/>
    </w:p>
    <w:p w14:paraId="1FBF3EF6" w14:textId="39636AC6" w:rsidR="00E07F40" w:rsidRDefault="00E07F40" w:rsidP="001C755C">
      <w:pPr>
        <w:pStyle w:val="BodyText1"/>
      </w:pPr>
      <w:r w:rsidRPr="00B37C03">
        <w:t xml:space="preserve">This Prudential Standard is made under section 11AF of the </w:t>
      </w:r>
      <w:r w:rsidRPr="00B37C03">
        <w:rPr>
          <w:i/>
          <w:iCs/>
        </w:rPr>
        <w:t xml:space="preserve">Banking Act 1959 </w:t>
      </w:r>
      <w:r w:rsidRPr="00B37C03">
        <w:t>(</w:t>
      </w:r>
      <w:r w:rsidRPr="0036233D">
        <w:rPr>
          <w:b/>
        </w:rPr>
        <w:t>Banking Act</w:t>
      </w:r>
      <w:r w:rsidRPr="00B37C03">
        <w:t>).</w:t>
      </w:r>
      <w:r w:rsidR="00E96B6D">
        <w:t xml:space="preserve"> </w:t>
      </w:r>
    </w:p>
    <w:p w14:paraId="06DF1FC3" w14:textId="44BAA135" w:rsidR="00E07F40" w:rsidRDefault="00E07F40" w:rsidP="00115253">
      <w:pPr>
        <w:pStyle w:val="Heading2body"/>
      </w:pPr>
      <w:bookmarkStart w:id="10" w:name="_Toc314733118"/>
      <w:bookmarkStart w:id="11" w:name="_Toc341686775"/>
      <w:bookmarkStart w:id="12" w:name="_Toc176183656"/>
      <w:r w:rsidRPr="00B37C03">
        <w:t>Application</w:t>
      </w:r>
      <w:bookmarkEnd w:id="10"/>
      <w:bookmarkEnd w:id="11"/>
      <w:r w:rsidR="008F1767">
        <w:t xml:space="preserve"> and commencement</w:t>
      </w:r>
      <w:bookmarkEnd w:id="12"/>
    </w:p>
    <w:p w14:paraId="38D23EC0" w14:textId="6D4F0D73" w:rsidR="007414A5" w:rsidRPr="007414A5" w:rsidRDefault="007414A5" w:rsidP="007414A5">
      <w:pPr>
        <w:pStyle w:val="BodyText1"/>
      </w:pPr>
      <w:r w:rsidRPr="007414A5">
        <w:t xml:space="preserve">This Prudential Standard applies to </w:t>
      </w:r>
      <w:r w:rsidRPr="00BD713D">
        <w:t>authorised deposit-taking institutions</w:t>
      </w:r>
      <w:r>
        <w:t xml:space="preserve"> (</w:t>
      </w:r>
      <w:r w:rsidRPr="007414A5">
        <w:rPr>
          <w:b/>
        </w:rPr>
        <w:t>ADI</w:t>
      </w:r>
      <w:r>
        <w:t>s) that are seeking</w:t>
      </w:r>
      <w:r w:rsidRPr="007414A5">
        <w:t xml:space="preserve">, or have been </w:t>
      </w:r>
      <w:r w:rsidR="005455A2">
        <w:t>approved</w:t>
      </w:r>
      <w:r w:rsidRPr="007414A5">
        <w:t xml:space="preserve">, to use </w:t>
      </w:r>
      <w:r>
        <w:t xml:space="preserve">an </w:t>
      </w:r>
      <w:r w:rsidRPr="00850D38">
        <w:rPr>
          <w:b/>
        </w:rPr>
        <w:t>internal ratings-based (IRB) approach to credit risk</w:t>
      </w:r>
      <w:r w:rsidRPr="009716FB">
        <w:t xml:space="preserve"> </w:t>
      </w:r>
      <w:r w:rsidRPr="007414A5">
        <w:t xml:space="preserve">for the purpose of determining </w:t>
      </w:r>
      <w:r w:rsidR="0012682C">
        <w:t xml:space="preserve">the </w:t>
      </w:r>
      <w:r w:rsidRPr="007414A5">
        <w:rPr>
          <w:b/>
        </w:rPr>
        <w:t>Regulatory Capital</w:t>
      </w:r>
      <w:r w:rsidR="00A1492D">
        <w:rPr>
          <w:b/>
        </w:rPr>
        <w:t xml:space="preserve"> </w:t>
      </w:r>
      <w:r w:rsidR="00A1492D" w:rsidRPr="00735CC0">
        <w:t>requirement</w:t>
      </w:r>
      <w:r w:rsidR="0012682C">
        <w:t xml:space="preserve"> for credit risk</w:t>
      </w:r>
      <w:r w:rsidRPr="007414A5">
        <w:t xml:space="preserve">. </w:t>
      </w:r>
    </w:p>
    <w:p w14:paraId="74BE2D74" w14:textId="77777777" w:rsidR="008F1767" w:rsidRDefault="008F1767" w:rsidP="008F1767">
      <w:pPr>
        <w:pStyle w:val="BodyText1"/>
      </w:pPr>
      <w:r>
        <w:t>A reference to an ADI in this Prudential Standard, unless otherwise indicated, is a reference to:</w:t>
      </w:r>
    </w:p>
    <w:p w14:paraId="3EE2B5F3" w14:textId="77777777" w:rsidR="008F1767" w:rsidRDefault="008F1767" w:rsidP="008F1767">
      <w:pPr>
        <w:pStyle w:val="BodyText2"/>
      </w:pPr>
      <w:r>
        <w:t xml:space="preserve">an ADI on a </w:t>
      </w:r>
      <w:r w:rsidRPr="008F1767">
        <w:rPr>
          <w:b/>
        </w:rPr>
        <w:t>Level 1</w:t>
      </w:r>
      <w:r>
        <w:t xml:space="preserve"> basis; and </w:t>
      </w:r>
    </w:p>
    <w:p w14:paraId="1A6AFA08" w14:textId="77777777" w:rsidR="008F1767" w:rsidRDefault="008F1767" w:rsidP="008F1767">
      <w:pPr>
        <w:pStyle w:val="BodyText2"/>
      </w:pPr>
      <w:r>
        <w:t xml:space="preserve">a </w:t>
      </w:r>
      <w:r w:rsidRPr="008F1767">
        <w:rPr>
          <w:b/>
        </w:rPr>
        <w:t>group</w:t>
      </w:r>
      <w:r>
        <w:t xml:space="preserve"> of which an ADI is a member on a </w:t>
      </w:r>
      <w:r w:rsidRPr="008F1767">
        <w:rPr>
          <w:b/>
        </w:rPr>
        <w:t>Level 2</w:t>
      </w:r>
      <w:r>
        <w:t xml:space="preserve"> basis. </w:t>
      </w:r>
    </w:p>
    <w:p w14:paraId="1506B4B7" w14:textId="77777777" w:rsidR="008F1767" w:rsidRDefault="008F1767" w:rsidP="008F1767">
      <w:pPr>
        <w:pStyle w:val="BodyText1"/>
      </w:pPr>
      <w:r>
        <w:t>If an ADI to which this Prudential Standard applies is:</w:t>
      </w:r>
    </w:p>
    <w:p w14:paraId="3D4F7F9C" w14:textId="77777777" w:rsidR="008F1767" w:rsidRDefault="008F1767" w:rsidP="008F1767">
      <w:pPr>
        <w:pStyle w:val="BodyText2"/>
      </w:pPr>
      <w:r>
        <w:t xml:space="preserve">the holding company for a group, the ADI must ensure that the requirements in this Prudential Standard are met on a Level 2 basis, where applicable; or </w:t>
      </w:r>
    </w:p>
    <w:p w14:paraId="2DDF672E" w14:textId="77777777" w:rsidR="008F1767" w:rsidRDefault="008F1767" w:rsidP="008F1767">
      <w:pPr>
        <w:pStyle w:val="BodyText2"/>
      </w:pPr>
      <w:r>
        <w:t xml:space="preserve">a </w:t>
      </w:r>
      <w:r w:rsidRPr="008F1767">
        <w:rPr>
          <w:b/>
        </w:rPr>
        <w:t>subsidiary</w:t>
      </w:r>
      <w:r>
        <w:t xml:space="preserve"> of an </w:t>
      </w:r>
      <w:r w:rsidRPr="00850D38">
        <w:t>authorised</w:t>
      </w:r>
      <w:r w:rsidRPr="00E01A0C">
        <w:rPr>
          <w:b/>
        </w:rPr>
        <w:t xml:space="preserve"> </w:t>
      </w:r>
      <w:r w:rsidRPr="008F1767">
        <w:rPr>
          <w:b/>
        </w:rPr>
        <w:t>non-operating holding company</w:t>
      </w:r>
      <w:r>
        <w:t xml:space="preserve"> (</w:t>
      </w:r>
      <w:r w:rsidRPr="008F1767">
        <w:rPr>
          <w:b/>
        </w:rPr>
        <w:t>authorised NOHC</w:t>
      </w:r>
      <w:r>
        <w:t>), the authorised NOHC must ensure that the requirements in this Prudential Standard are met on a Level 2 basis, where applicable.</w:t>
      </w:r>
    </w:p>
    <w:p w14:paraId="6E860B93" w14:textId="571E3916" w:rsidR="00DF539C" w:rsidRPr="00D7465F" w:rsidRDefault="008F1767" w:rsidP="00DF539C">
      <w:pPr>
        <w:pStyle w:val="BodyText1"/>
      </w:pPr>
      <w:r>
        <w:t xml:space="preserve">This Prudential Standard commences </w:t>
      </w:r>
      <w:r w:rsidRPr="00D7465F">
        <w:t xml:space="preserve">on </w:t>
      </w:r>
      <w:r w:rsidR="009A3C81">
        <w:t>30 September 2024</w:t>
      </w:r>
      <w:r w:rsidRPr="00D7465F">
        <w:t>.</w:t>
      </w:r>
    </w:p>
    <w:p w14:paraId="27770BA0" w14:textId="77777777" w:rsidR="00E83A76" w:rsidRDefault="008F1767" w:rsidP="00115253">
      <w:pPr>
        <w:pStyle w:val="Heading2body"/>
      </w:pPr>
      <w:bookmarkStart w:id="13" w:name="_Toc176183657"/>
      <w:r>
        <w:t>Interpretation</w:t>
      </w:r>
      <w:bookmarkEnd w:id="13"/>
    </w:p>
    <w:p w14:paraId="1D05D178" w14:textId="737E0106" w:rsidR="009D7D7F" w:rsidRPr="009D7D7F" w:rsidRDefault="009D7D7F" w:rsidP="009D7D7F">
      <w:pPr>
        <w:pStyle w:val="BodyText1"/>
      </w:pPr>
      <w:r w:rsidRPr="009D7D7F">
        <w:t xml:space="preserve">Terms that are defined in </w:t>
      </w:r>
      <w:r w:rsidRPr="009D7D7F">
        <w:rPr>
          <w:i/>
        </w:rPr>
        <w:t>Prudential Standard APS</w:t>
      </w:r>
      <w:r w:rsidR="00236026">
        <w:rPr>
          <w:i/>
        </w:rPr>
        <w:t> </w:t>
      </w:r>
      <w:r w:rsidRPr="009D7D7F">
        <w:rPr>
          <w:i/>
        </w:rPr>
        <w:t>001 Definitions</w:t>
      </w:r>
      <w:r>
        <w:t xml:space="preserve"> </w:t>
      </w:r>
      <w:r w:rsidR="00E9244C">
        <w:t xml:space="preserve">or </w:t>
      </w:r>
      <w:r w:rsidR="00E9244C" w:rsidRPr="00E9244C">
        <w:rPr>
          <w:i/>
        </w:rPr>
        <w:t>Prudential Standard CPS 001 Defined terms</w:t>
      </w:r>
      <w:r w:rsidR="00E9244C">
        <w:t xml:space="preserve"> </w:t>
      </w:r>
      <w:r w:rsidRPr="009D7D7F">
        <w:t>appear in bold the first time they are used in this Prudential Standard.</w:t>
      </w:r>
    </w:p>
    <w:p w14:paraId="0341A1FE" w14:textId="77777777" w:rsidR="009D7D7F" w:rsidRDefault="009D7D7F" w:rsidP="009D7D7F">
      <w:pPr>
        <w:pStyle w:val="BodyText1"/>
      </w:pPr>
      <w:r w:rsidRPr="009D7D7F">
        <w:t>Where this Prudential Standard provides for APRA to exercise a power or discretion, the power or discretion is to be exercised in writing.</w:t>
      </w:r>
    </w:p>
    <w:p w14:paraId="07F045FF" w14:textId="77777777" w:rsidR="009D7D7F" w:rsidRDefault="009D7D7F" w:rsidP="009D7D7F">
      <w:pPr>
        <w:pStyle w:val="BodyText1"/>
      </w:pPr>
      <w:r w:rsidRPr="009D7D7F">
        <w:t>In this Prudential Standard, unless the contrary intention appears, a reference to an Act, Regulations or Prudential Standard, is a reference to the Act, Regulations or Prudential Standard as in force from time to time.</w:t>
      </w:r>
    </w:p>
    <w:p w14:paraId="27BA0E60" w14:textId="77777777" w:rsidR="009D7D7F" w:rsidRDefault="009D7D7F" w:rsidP="00115253">
      <w:pPr>
        <w:pStyle w:val="Heading2body"/>
      </w:pPr>
      <w:bookmarkStart w:id="14" w:name="_Toc176183658"/>
      <w:r>
        <w:t>Adjustments and exclusions</w:t>
      </w:r>
      <w:bookmarkEnd w:id="14"/>
    </w:p>
    <w:p w14:paraId="27C62EF7" w14:textId="64169390" w:rsidR="009D7D7F" w:rsidRPr="009D7D7F" w:rsidRDefault="009D7D7F" w:rsidP="009D7D7F">
      <w:pPr>
        <w:pStyle w:val="BodyText1"/>
      </w:pPr>
      <w:r w:rsidRPr="009D7D7F">
        <w:t>APRA may adjust or exclude a specific prudential requirement in this Prudential Standard in relation to one or more specified ADIs</w:t>
      </w:r>
      <w:r w:rsidR="009D1880">
        <w:t xml:space="preserve"> or</w:t>
      </w:r>
      <w:r w:rsidR="009D1880" w:rsidRPr="009D7D7F">
        <w:t xml:space="preserve"> </w:t>
      </w:r>
      <w:r w:rsidRPr="009D7D7F">
        <w:t>authorised NOHCs.</w:t>
      </w:r>
      <w:r w:rsidR="00BE7059">
        <w:rPr>
          <w:rStyle w:val="FootnoteReference"/>
        </w:rPr>
        <w:footnoteReference w:id="2"/>
      </w:r>
    </w:p>
    <w:p w14:paraId="790489DD" w14:textId="77777777" w:rsidR="009D7D7F" w:rsidRDefault="009D7D7F" w:rsidP="00115253">
      <w:pPr>
        <w:pStyle w:val="Heading2body"/>
      </w:pPr>
      <w:bookmarkStart w:id="15" w:name="_Toc176183659"/>
      <w:r>
        <w:lastRenderedPageBreak/>
        <w:t>Previous exercise of discretion</w:t>
      </w:r>
      <w:bookmarkEnd w:id="15"/>
    </w:p>
    <w:p w14:paraId="3E29DA76" w14:textId="4E0B3BD6" w:rsidR="009D7D7F" w:rsidRPr="009D7D7F" w:rsidRDefault="006B4F62" w:rsidP="009D7D7F">
      <w:pPr>
        <w:pStyle w:val="BodyText1"/>
      </w:pPr>
      <w:r>
        <w:t>An exercise of APRA’s discretion (such as an approval, waiver or direction) under a previous version of this Prudential Standard continues to have effect as though exercised pursuant to a corresponding power (if any) exercisable by APRA under this Prudential Standard.</w:t>
      </w:r>
    </w:p>
    <w:p w14:paraId="66AEA3C7" w14:textId="1FCF43D8" w:rsidR="009D7D7F" w:rsidRDefault="009D7D7F" w:rsidP="00115253">
      <w:pPr>
        <w:pStyle w:val="Heading2body"/>
      </w:pPr>
      <w:bookmarkStart w:id="16" w:name="_Toc176183660"/>
      <w:r>
        <w:t>Scope</w:t>
      </w:r>
      <w:bookmarkEnd w:id="16"/>
    </w:p>
    <w:p w14:paraId="7ABD3371" w14:textId="4FC39704" w:rsidR="0014470E" w:rsidRDefault="0014470E" w:rsidP="0014470E">
      <w:pPr>
        <w:pStyle w:val="BodyText1"/>
      </w:pPr>
      <w:r>
        <w:t>The following items are excluded from the scope of this Prudential Standard:</w:t>
      </w:r>
    </w:p>
    <w:p w14:paraId="29F80C84" w14:textId="645EEB9D" w:rsidR="00331EFE" w:rsidRPr="00331EFE" w:rsidRDefault="00331EFE" w:rsidP="00331EFE">
      <w:pPr>
        <w:pStyle w:val="BodyText2"/>
      </w:pPr>
      <w:r w:rsidRPr="00331EFE">
        <w:t xml:space="preserve">non-standard </w:t>
      </w:r>
      <w:r w:rsidR="00870647">
        <w:t xml:space="preserve">retail </w:t>
      </w:r>
      <w:r w:rsidRPr="00331EFE">
        <w:t>residential mortgage</w:t>
      </w:r>
      <w:r w:rsidR="006E7E34">
        <w:t xml:space="preserve"> exposure</w:t>
      </w:r>
      <w:r w:rsidRPr="00331EFE">
        <w:t>s,</w:t>
      </w:r>
      <w:r w:rsidR="00016CAA">
        <w:rPr>
          <w:rStyle w:val="FootnoteReference"/>
        </w:rPr>
        <w:footnoteReference w:id="3"/>
      </w:r>
      <w:r w:rsidRPr="00331EFE">
        <w:t xml:space="preserve"> equity exposures, margin lending exposures, cash items, fixed assets, </w:t>
      </w:r>
      <w:r w:rsidR="00016CAA">
        <w:t>u</w:t>
      </w:r>
      <w:r w:rsidRPr="00331EFE">
        <w:t>nsettled and failed transactions</w:t>
      </w:r>
      <w:r w:rsidR="00E47B15">
        <w:t>, and related-party exposures</w:t>
      </w:r>
      <w:r w:rsidRPr="00331EFE">
        <w:t xml:space="preserve"> that are subject to the requirements of </w:t>
      </w:r>
      <w:r w:rsidRPr="00331EFE">
        <w:rPr>
          <w:i/>
        </w:rPr>
        <w:t xml:space="preserve">Prudential Standard APS 112 Capital Adequacy: Standardised Approach to Credit Risk </w:t>
      </w:r>
      <w:r w:rsidRPr="00331EFE">
        <w:t>(APS</w:t>
      </w:r>
      <w:r>
        <w:t> </w:t>
      </w:r>
      <w:r w:rsidRPr="00331EFE">
        <w:t xml:space="preserve">112); </w:t>
      </w:r>
    </w:p>
    <w:p w14:paraId="476B6B17" w14:textId="0BAEDA18" w:rsidR="0014470E" w:rsidRDefault="0014470E" w:rsidP="0014470E">
      <w:pPr>
        <w:pStyle w:val="BodyText2"/>
      </w:pPr>
      <w:r>
        <w:t xml:space="preserve">assets or investments that are required to be deducted from </w:t>
      </w:r>
      <w:r w:rsidRPr="0014470E">
        <w:rPr>
          <w:b/>
        </w:rPr>
        <w:t>Common Equity Tier 1 Capital</w:t>
      </w:r>
      <w:r>
        <w:t xml:space="preserve">, </w:t>
      </w:r>
      <w:r w:rsidRPr="0014470E">
        <w:rPr>
          <w:b/>
        </w:rPr>
        <w:t>Tier 1 Capital</w:t>
      </w:r>
      <w:r>
        <w:t xml:space="preserve"> or </w:t>
      </w:r>
      <w:r w:rsidRPr="0014470E">
        <w:rPr>
          <w:b/>
        </w:rPr>
        <w:t>Total Capital</w:t>
      </w:r>
      <w:r>
        <w:t xml:space="preserve"> under </w:t>
      </w:r>
      <w:r w:rsidRPr="0014470E">
        <w:rPr>
          <w:i/>
        </w:rPr>
        <w:t>Prudential Standard APS 111 Capital Adequacy: Measurement of Capital</w:t>
      </w:r>
      <w:r>
        <w:t xml:space="preserve"> (APS 111);</w:t>
      </w:r>
    </w:p>
    <w:p w14:paraId="7EF820B3" w14:textId="531387A4" w:rsidR="0014470E" w:rsidRDefault="0014470E" w:rsidP="0014470E">
      <w:pPr>
        <w:pStyle w:val="BodyText2"/>
      </w:pPr>
      <w:bookmarkStart w:id="17" w:name="_Hlk88488429"/>
      <w:r w:rsidRPr="00850D38">
        <w:rPr>
          <w:b/>
        </w:rPr>
        <w:t>securitisation</w:t>
      </w:r>
      <w:r>
        <w:t xml:space="preserve"> exposures that are subject to the requirements of </w:t>
      </w:r>
      <w:r w:rsidRPr="0014470E">
        <w:rPr>
          <w:i/>
        </w:rPr>
        <w:t>Prudential Standard APS</w:t>
      </w:r>
      <w:r>
        <w:rPr>
          <w:i/>
        </w:rPr>
        <w:t> </w:t>
      </w:r>
      <w:r w:rsidRPr="0014470E">
        <w:rPr>
          <w:i/>
        </w:rPr>
        <w:t xml:space="preserve">120 Securitisation </w:t>
      </w:r>
      <w:r>
        <w:t>(APS 120), excluding funding-only or synthetic securitisations for which an ADI must include the underlying exposures in the pool in its calculation of</w:t>
      </w:r>
      <w:r w:rsidR="0013013A">
        <w:t xml:space="preserve"> the</w:t>
      </w:r>
      <w:r>
        <w:t xml:space="preserve"> Regulatory Capital </w:t>
      </w:r>
      <w:r w:rsidR="0013013A">
        <w:t xml:space="preserve">requirement </w:t>
      </w:r>
      <w:r>
        <w:t>for credit risk under this Prudential Standard;</w:t>
      </w:r>
    </w:p>
    <w:bookmarkEnd w:id="17"/>
    <w:p w14:paraId="100B80F2" w14:textId="54C2D588" w:rsidR="0014470E" w:rsidRDefault="0014470E" w:rsidP="0014470E">
      <w:pPr>
        <w:pStyle w:val="BodyText2"/>
      </w:pPr>
      <w:r>
        <w:t xml:space="preserve">liabilities of a covered bond special purpose vehicle to an issuing ADI as specified in </w:t>
      </w:r>
      <w:r w:rsidRPr="0014470E">
        <w:rPr>
          <w:i/>
        </w:rPr>
        <w:t>Prudential Standard APS</w:t>
      </w:r>
      <w:r>
        <w:rPr>
          <w:i/>
        </w:rPr>
        <w:t> </w:t>
      </w:r>
      <w:r w:rsidRPr="0014470E">
        <w:rPr>
          <w:i/>
        </w:rPr>
        <w:t>121 Covered Bonds</w:t>
      </w:r>
      <w:r>
        <w:t xml:space="preserve"> (APS 121); and </w:t>
      </w:r>
    </w:p>
    <w:p w14:paraId="245E7897" w14:textId="4E241F76" w:rsidR="0014470E" w:rsidRDefault="0014470E" w:rsidP="0014470E">
      <w:pPr>
        <w:pStyle w:val="BodyText2"/>
      </w:pPr>
      <w:r>
        <w:t xml:space="preserve">items that are subject to capital requirements under </w:t>
      </w:r>
      <w:r w:rsidRPr="0014470E">
        <w:rPr>
          <w:i/>
        </w:rPr>
        <w:t xml:space="preserve">Prudential Standard APS 116 Capital Adequacy: Market Risk </w:t>
      </w:r>
      <w:r>
        <w:t>(</w:t>
      </w:r>
      <w:r w:rsidRPr="001F0F8B">
        <w:t>APS 116</w:t>
      </w:r>
      <w:r>
        <w:t xml:space="preserve">) </w:t>
      </w:r>
      <w:r w:rsidR="005E0EF8">
        <w:t xml:space="preserve">which do not have a counterparty credit risk exposure under </w:t>
      </w:r>
      <w:r w:rsidR="005E0EF8" w:rsidRPr="005E0EF8">
        <w:rPr>
          <w:i/>
        </w:rPr>
        <w:t>Prudential Standard APS 180 Capital Adequacy: Counterparty Credit Risk</w:t>
      </w:r>
      <w:r w:rsidR="005E0EF8">
        <w:t xml:space="preserve"> (APS 180)</w:t>
      </w:r>
      <w:r>
        <w:t>.</w:t>
      </w:r>
    </w:p>
    <w:p w14:paraId="5497FCF3" w14:textId="2305B6C1" w:rsidR="00D04330" w:rsidRDefault="00E6007E" w:rsidP="00D04330">
      <w:pPr>
        <w:pStyle w:val="BodyText1"/>
      </w:pPr>
      <w:r>
        <w:t xml:space="preserve">Subject </w:t>
      </w:r>
      <w:r w:rsidRPr="00A40FB5">
        <w:t>to</w:t>
      </w:r>
      <w:r w:rsidR="000F2802">
        <w:t xml:space="preserve"> </w:t>
      </w:r>
      <w:r w:rsidR="00A40FB5" w:rsidRPr="00A40FB5">
        <w:t xml:space="preserve">paragraph </w:t>
      </w:r>
      <w:r w:rsidR="00A40FB5" w:rsidRPr="00A40FB5">
        <w:fldChar w:fldCharType="begin"/>
      </w:r>
      <w:r w:rsidR="00A40FB5" w:rsidRPr="00A40FB5">
        <w:instrText xml:space="preserve"> REF _Ref34113536 \r \h </w:instrText>
      </w:r>
      <w:r w:rsidR="00A40FB5">
        <w:instrText xml:space="preserve"> \* MERGEFORMAT </w:instrText>
      </w:r>
      <w:r w:rsidR="00A40FB5" w:rsidRPr="00A40FB5">
        <w:fldChar w:fldCharType="separate"/>
      </w:r>
      <w:r w:rsidR="00550C88">
        <w:t>13</w:t>
      </w:r>
      <w:r w:rsidR="00A40FB5" w:rsidRPr="00A40FB5">
        <w:fldChar w:fldCharType="end"/>
      </w:r>
      <w:r w:rsidR="0022036D">
        <w:t xml:space="preserve"> of this Prudential Standard</w:t>
      </w:r>
      <w:r>
        <w:t xml:space="preserve">, an ADI must apply the requirements set out in this Prudential Standard to calculate </w:t>
      </w:r>
      <w:r w:rsidR="008D2A9A">
        <w:t>risk-weighted assets (</w:t>
      </w:r>
      <w:r>
        <w:t>RWA</w:t>
      </w:r>
      <w:r w:rsidR="008D2A9A">
        <w:t>)</w:t>
      </w:r>
      <w:r>
        <w:t xml:space="preserve"> and</w:t>
      </w:r>
      <w:r w:rsidR="008D2A9A">
        <w:t xml:space="preserve"> expected loss</w:t>
      </w:r>
      <w:r>
        <w:t xml:space="preserve"> </w:t>
      </w:r>
      <w:r w:rsidR="008D2A9A">
        <w:t>(</w:t>
      </w:r>
      <w:r>
        <w:t>EL</w:t>
      </w:r>
      <w:r w:rsidR="008D2A9A">
        <w:t>)</w:t>
      </w:r>
      <w:r>
        <w:t xml:space="preserve"> for any exposures </w:t>
      </w:r>
      <w:r w:rsidR="005156C6">
        <w:t xml:space="preserve">of </w:t>
      </w:r>
      <w:r>
        <w:t xml:space="preserve">overseas banking subsidiaries that form part of the Level 2 group. </w:t>
      </w:r>
    </w:p>
    <w:p w14:paraId="3F27C450" w14:textId="3E197891" w:rsidR="0022527A" w:rsidRDefault="00E6007E" w:rsidP="00D04330">
      <w:pPr>
        <w:pStyle w:val="BodyText1"/>
      </w:pPr>
      <w:bookmarkStart w:id="18" w:name="_Ref34113536"/>
      <w:r>
        <w:t xml:space="preserve">For the purpose of calculating </w:t>
      </w:r>
      <w:r w:rsidR="001110C9">
        <w:t xml:space="preserve">the </w:t>
      </w:r>
      <w:r>
        <w:t xml:space="preserve">Level 2 </w:t>
      </w:r>
      <w:r w:rsidR="008A624E">
        <w:t>Regulatory C</w:t>
      </w:r>
      <w:r>
        <w:t>apital</w:t>
      </w:r>
      <w:r w:rsidR="001110C9">
        <w:t xml:space="preserve"> requirement</w:t>
      </w:r>
      <w:r>
        <w:t xml:space="preserve"> for exposures of an overseas banking subsidiary that is prudentially regulated by </w:t>
      </w:r>
      <w:r w:rsidR="00EF0114">
        <w:t xml:space="preserve">a prescribed New Zealand </w:t>
      </w:r>
      <w:r w:rsidR="00092C77">
        <w:t>a</w:t>
      </w:r>
      <w:r w:rsidR="00EF0114">
        <w:t>uthority</w:t>
      </w:r>
      <w:r>
        <w:t xml:space="preserve">, an ADI must calculate RWA and EL using the </w:t>
      </w:r>
      <w:r w:rsidR="008C36A4">
        <w:t xml:space="preserve">prescribed New Zealand </w:t>
      </w:r>
      <w:r w:rsidR="00092C77">
        <w:t>a</w:t>
      </w:r>
      <w:r w:rsidR="008C36A4">
        <w:t>uthority’s</w:t>
      </w:r>
      <w:r>
        <w:t xml:space="preserve"> </w:t>
      </w:r>
      <w:r w:rsidR="00B03384">
        <w:t xml:space="preserve">equivalent </w:t>
      </w:r>
      <w:r>
        <w:t>prudential rules</w:t>
      </w:r>
      <w:r w:rsidR="009D1880">
        <w:t xml:space="preserve"> as in force from time to time</w:t>
      </w:r>
      <w:bookmarkEnd w:id="18"/>
      <w:r>
        <w:t xml:space="preserve"> </w:t>
      </w:r>
      <w:r w:rsidR="00DE4E3D">
        <w:t>except</w:t>
      </w:r>
      <w:r w:rsidR="00021738" w:rsidRPr="00021738">
        <w:t xml:space="preserve"> </w:t>
      </w:r>
      <w:r w:rsidR="0022527A">
        <w:t>that, i</w:t>
      </w:r>
      <w:r w:rsidR="00C210A6">
        <w:t>n calculating RWA</w:t>
      </w:r>
      <w:r w:rsidR="00021738" w:rsidRPr="00021738">
        <w:t xml:space="preserve">, </w:t>
      </w:r>
      <w:r w:rsidR="00021738">
        <w:t xml:space="preserve">the ADI </w:t>
      </w:r>
      <w:r w:rsidR="007110DD">
        <w:t>must</w:t>
      </w:r>
      <w:r w:rsidR="00CD25CD">
        <w:t xml:space="preserve"> not</w:t>
      </w:r>
      <w:r w:rsidR="007110DD">
        <w:t xml:space="preserve"> apply the</w:t>
      </w:r>
      <w:r w:rsidR="00CD25CD">
        <w:t xml:space="preserve"> </w:t>
      </w:r>
      <w:r w:rsidR="002B0630">
        <w:t xml:space="preserve">prescribed </w:t>
      </w:r>
      <w:r w:rsidR="00CD25CD">
        <w:t>New Zealand authority’s</w:t>
      </w:r>
      <w:r w:rsidR="0022527A">
        <w:t>:</w:t>
      </w:r>
      <w:r w:rsidR="00CC6032">
        <w:rPr>
          <w:rStyle w:val="FootnoteReference"/>
        </w:rPr>
        <w:footnoteReference w:id="4"/>
      </w:r>
    </w:p>
    <w:p w14:paraId="6FC5B792" w14:textId="0DE398AC" w:rsidR="0022527A" w:rsidRDefault="00540247" w:rsidP="00D4165B">
      <w:pPr>
        <w:pStyle w:val="BodyText2"/>
      </w:pPr>
      <w:r>
        <w:rPr>
          <w:rFonts w:cs="Arial"/>
          <w:iCs/>
        </w:rPr>
        <w:lastRenderedPageBreak/>
        <w:t xml:space="preserve">scalar for </w:t>
      </w:r>
      <w:r w:rsidR="00AD07AF" w:rsidRPr="009E3A02">
        <w:rPr>
          <w:rFonts w:cs="Arial"/>
          <w:iCs/>
        </w:rPr>
        <w:t xml:space="preserve">IRB </w:t>
      </w:r>
      <w:r>
        <w:rPr>
          <w:rFonts w:cs="Arial"/>
          <w:iCs/>
        </w:rPr>
        <w:t>RWA</w:t>
      </w:r>
      <w:r w:rsidR="00AD07AF" w:rsidRPr="009E3A02">
        <w:rPr>
          <w:rFonts w:cs="Arial"/>
          <w:iCs/>
        </w:rPr>
        <w:t>, and instead must apply a scaling factor of 1.1</w:t>
      </w:r>
      <w:r w:rsidR="00AD07AF">
        <w:rPr>
          <w:rFonts w:cs="Arial"/>
          <w:iCs/>
        </w:rPr>
        <w:t>;</w:t>
      </w:r>
      <w:r w:rsidR="0022527A">
        <w:t xml:space="preserve"> </w:t>
      </w:r>
      <w:r w:rsidR="007110DD">
        <w:t xml:space="preserve">and </w:t>
      </w:r>
    </w:p>
    <w:p w14:paraId="0421EE92" w14:textId="4846A5D5" w:rsidR="00AC6681" w:rsidRDefault="007110DD" w:rsidP="00A608B4">
      <w:pPr>
        <w:pStyle w:val="BodyText2"/>
      </w:pPr>
      <w:r>
        <w:t xml:space="preserve">floor </w:t>
      </w:r>
      <w:r w:rsidR="0022527A">
        <w:t>value and</w:t>
      </w:r>
      <w:r>
        <w:t xml:space="preserve"> calculation </w:t>
      </w:r>
      <w:r w:rsidR="00CD25CD">
        <w:t xml:space="preserve">that is equivalent to </w:t>
      </w:r>
      <w:r w:rsidR="00D3496B">
        <w:t>paragraph 4 of</w:t>
      </w:r>
      <w:r>
        <w:t xml:space="preserve"> Attachment</w:t>
      </w:r>
      <w:r w:rsidR="00D3127A">
        <w:t> </w:t>
      </w:r>
      <w:r>
        <w:t xml:space="preserve">A to </w:t>
      </w:r>
      <w:r w:rsidR="00CA259F" w:rsidRPr="00A608B4">
        <w:rPr>
          <w:i/>
        </w:rPr>
        <w:t>Prudential Standard APS 110 Capital Adequacy</w:t>
      </w:r>
      <w:r w:rsidR="00CA259F">
        <w:t xml:space="preserve"> (</w:t>
      </w:r>
      <w:r>
        <w:t>APS 110</w:t>
      </w:r>
      <w:r w:rsidR="0076714A">
        <w:t>)</w:t>
      </w:r>
      <w:r w:rsidR="007E1C87">
        <w:t>,</w:t>
      </w:r>
      <w:r w:rsidR="0076714A">
        <w:t xml:space="preserve"> and instead </w:t>
      </w:r>
      <w:r w:rsidR="00DE4E3D">
        <w:t xml:space="preserve">must </w:t>
      </w:r>
      <w:r w:rsidR="0076714A">
        <w:t>only apply the floor value and calculation in APS 110.</w:t>
      </w:r>
      <w:r w:rsidR="00AC6681">
        <w:t xml:space="preserve"> </w:t>
      </w:r>
    </w:p>
    <w:p w14:paraId="574506EE" w14:textId="77777777" w:rsidR="009D7D7F" w:rsidRDefault="009D7D7F" w:rsidP="00115253">
      <w:pPr>
        <w:pStyle w:val="Heading2body"/>
      </w:pPr>
      <w:bookmarkStart w:id="20" w:name="_Toc176183661"/>
      <w:r>
        <w:t>Definitions</w:t>
      </w:r>
      <w:bookmarkEnd w:id="20"/>
    </w:p>
    <w:p w14:paraId="0E27BCA5" w14:textId="1A4957DA" w:rsidR="009D7D7F" w:rsidRPr="009D7D7F" w:rsidRDefault="009F796E" w:rsidP="009D7D7F">
      <w:pPr>
        <w:pStyle w:val="BodyText1"/>
      </w:pPr>
      <w:bookmarkStart w:id="21" w:name="_Ref54359758"/>
      <w:r w:rsidRPr="009F796E">
        <w:t>The following definitions are used in this Prudential Standard</w:t>
      </w:r>
      <w:r w:rsidR="009D7D7F" w:rsidRPr="009D7D7F">
        <w:t>:</w:t>
      </w:r>
      <w:bookmarkEnd w:id="21"/>
    </w:p>
    <w:p w14:paraId="0BF92CD4" w14:textId="790DD398" w:rsidR="00FA21DE" w:rsidRDefault="00FA21DE" w:rsidP="00FA21DE">
      <w:pPr>
        <w:pStyle w:val="BodyText2"/>
      </w:pPr>
      <w:r>
        <w:t xml:space="preserve">capital requirement (K) – means the capital requirement for unexpected loss derived from </w:t>
      </w:r>
      <w:r w:rsidR="00B8250B">
        <w:t xml:space="preserve">inputting </w:t>
      </w:r>
      <w:r>
        <w:t xml:space="preserve">the risk components </w:t>
      </w:r>
      <w:r w:rsidR="00B8250B">
        <w:t xml:space="preserve">to the </w:t>
      </w:r>
      <w:r>
        <w:t>risk-weight functions;</w:t>
      </w:r>
    </w:p>
    <w:p w14:paraId="68795949" w14:textId="134DE93F" w:rsidR="004658F6" w:rsidRDefault="004658F6" w:rsidP="00FA21DE">
      <w:pPr>
        <w:pStyle w:val="BodyText2"/>
      </w:pPr>
      <w:r>
        <w:t>commitment – has the meaning given in APS 112;</w:t>
      </w:r>
    </w:p>
    <w:p w14:paraId="63649268" w14:textId="2B683A39" w:rsidR="007F5FD0" w:rsidRDefault="007F5FD0" w:rsidP="009D7D7F">
      <w:pPr>
        <w:pStyle w:val="BodyText2"/>
      </w:pPr>
      <w:r>
        <w:t xml:space="preserve">commodities finance – has the meaning given in APS 112; </w:t>
      </w:r>
    </w:p>
    <w:p w14:paraId="3C0A793E" w14:textId="2B1194DC" w:rsidR="009D7D7F" w:rsidRDefault="009D7D7F" w:rsidP="009D7D7F">
      <w:pPr>
        <w:pStyle w:val="BodyText2"/>
      </w:pPr>
      <w:r>
        <w:t xml:space="preserve">corporate exposure </w:t>
      </w:r>
      <w:r w:rsidR="0030266E">
        <w:t>–</w:t>
      </w:r>
      <w:r>
        <w:t xml:space="preserve"> </w:t>
      </w:r>
      <w:r w:rsidR="00460CC4">
        <w:t xml:space="preserve">has the meaning given in paragraph </w:t>
      </w:r>
      <w:r w:rsidR="00460CC4">
        <w:fldChar w:fldCharType="begin"/>
      </w:r>
      <w:r w:rsidR="00460CC4">
        <w:instrText xml:space="preserve"> REF _Ref34292642 \r \h </w:instrText>
      </w:r>
      <w:r w:rsidR="00460CC4">
        <w:fldChar w:fldCharType="separate"/>
      </w:r>
      <w:r w:rsidR="00550C88">
        <w:t>30</w:t>
      </w:r>
      <w:r w:rsidR="00460CC4">
        <w:fldChar w:fldCharType="end"/>
      </w:r>
      <w:r w:rsidR="00460CC4">
        <w:t xml:space="preserve"> of this Prudential Standard</w:t>
      </w:r>
      <w:r>
        <w:t>;</w:t>
      </w:r>
    </w:p>
    <w:p w14:paraId="01BED452" w14:textId="2E50D269" w:rsidR="000131EB" w:rsidRDefault="000131EB" w:rsidP="009D7D7F">
      <w:pPr>
        <w:pStyle w:val="BodyText2"/>
      </w:pPr>
      <w:r>
        <w:t>credit conversion factor (CCF) – means the percentage value used to convert an off-balance sheet exposure into an on-balance sheet equivalent;</w:t>
      </w:r>
    </w:p>
    <w:p w14:paraId="78DA1B15" w14:textId="31DA7F92" w:rsidR="009D7D7F" w:rsidRDefault="009D7D7F" w:rsidP="009D7D7F">
      <w:pPr>
        <w:pStyle w:val="BodyText2"/>
      </w:pPr>
      <w:r>
        <w:t xml:space="preserve">credit obligation </w:t>
      </w:r>
      <w:r w:rsidR="0030266E">
        <w:t>–</w:t>
      </w:r>
      <w:r>
        <w:t xml:space="preserve"> </w:t>
      </w:r>
      <w:r w:rsidR="0030266E">
        <w:t xml:space="preserve">means </w:t>
      </w:r>
      <w:r>
        <w:t>a contractual agreement in which a borrower receives something of value now (usually cash) with the agreement to repay the ADI at some stated date;</w:t>
      </w:r>
    </w:p>
    <w:p w14:paraId="028158B3" w14:textId="01620309" w:rsidR="00F33C28" w:rsidRDefault="00F33C28" w:rsidP="009D7D7F">
      <w:pPr>
        <w:pStyle w:val="BodyText2"/>
      </w:pPr>
      <w:r>
        <w:t>credit risk mitigation (CRM) – means a</w:t>
      </w:r>
      <w:r w:rsidR="00EE3FF5">
        <w:t xml:space="preserve"> </w:t>
      </w:r>
      <w:r>
        <w:t>credit risk mitigation technique that meets the requirements detailed in Attachment E to this Prudential Standard</w:t>
      </w:r>
      <w:r w:rsidR="00810492">
        <w:t xml:space="preserve"> and APS 112 where applicable</w:t>
      </w:r>
      <w:r>
        <w:t xml:space="preserve">; </w:t>
      </w:r>
    </w:p>
    <w:p w14:paraId="5C5BD46A" w14:textId="10B4D77B" w:rsidR="00DE1BE1" w:rsidRDefault="00DE1BE1" w:rsidP="009D7D7F">
      <w:pPr>
        <w:pStyle w:val="BodyText2"/>
      </w:pPr>
      <w:r>
        <w:t xml:space="preserve">defaulted exposure – </w:t>
      </w:r>
      <w:r w:rsidR="00253BFF">
        <w:t xml:space="preserve">means a non-performing exposure as defined in </w:t>
      </w:r>
      <w:r w:rsidR="00253BFF" w:rsidRPr="00253BFF">
        <w:rPr>
          <w:i/>
        </w:rPr>
        <w:t>Prudential Standard APS 220 Credit Risk Management</w:t>
      </w:r>
      <w:r>
        <w:t xml:space="preserve"> </w:t>
      </w:r>
      <w:r w:rsidR="00253BFF">
        <w:t>(</w:t>
      </w:r>
      <w:r>
        <w:t>APS 220</w:t>
      </w:r>
      <w:r w:rsidR="00253BFF">
        <w:t>)</w:t>
      </w:r>
      <w:r>
        <w:t xml:space="preserve">; </w:t>
      </w:r>
    </w:p>
    <w:p w14:paraId="32022079" w14:textId="0718DB15" w:rsidR="00C0672F" w:rsidRDefault="009D7D7F" w:rsidP="009D7D7F">
      <w:pPr>
        <w:pStyle w:val="BodyText2"/>
      </w:pPr>
      <w:r>
        <w:t xml:space="preserve">dilution risk </w:t>
      </w:r>
      <w:r w:rsidR="0030266E">
        <w:t>–</w:t>
      </w:r>
      <w:r>
        <w:t xml:space="preserve"> </w:t>
      </w:r>
      <w:r w:rsidR="0030266E">
        <w:t xml:space="preserve">means </w:t>
      </w:r>
      <w:r>
        <w:t>the possibility that the total amount of purchased receivables is reduced through cash or non-cash credits to the receivables’ obligors</w:t>
      </w:r>
      <w:r w:rsidR="00561017">
        <w:t>;</w:t>
      </w:r>
    </w:p>
    <w:p w14:paraId="7CD1A9C0" w14:textId="72867072" w:rsidR="00C0672F" w:rsidRDefault="00C0672F" w:rsidP="00C0672F">
      <w:pPr>
        <w:pStyle w:val="BodyText2"/>
      </w:pPr>
      <w:r>
        <w:t>effective maturity (M) – means the</w:t>
      </w:r>
      <w:r w:rsidR="00A972E9">
        <w:t xml:space="preserve"> remaining</w:t>
      </w:r>
      <w:r>
        <w:t xml:space="preserve"> effective term of </w:t>
      </w:r>
      <w:r w:rsidR="00817ADA">
        <w:t xml:space="preserve">a </w:t>
      </w:r>
      <w:r>
        <w:t>credit obligation;</w:t>
      </w:r>
    </w:p>
    <w:p w14:paraId="6B672535" w14:textId="4A422598" w:rsidR="00496F29" w:rsidRPr="003A6290" w:rsidRDefault="00496F29" w:rsidP="009D7D7F">
      <w:pPr>
        <w:pStyle w:val="BodyText2"/>
      </w:pPr>
      <w:r w:rsidRPr="003A6290">
        <w:t>expected loss (EL) – means</w:t>
      </w:r>
      <w:r w:rsidR="00472E99" w:rsidRPr="003A6290">
        <w:t xml:space="preserve"> the average credit loss that </w:t>
      </w:r>
      <w:r w:rsidR="001110C9">
        <w:t>the</w:t>
      </w:r>
      <w:r w:rsidR="001110C9" w:rsidRPr="003A6290">
        <w:t xml:space="preserve"> </w:t>
      </w:r>
      <w:r w:rsidR="00472E99" w:rsidRPr="003A6290">
        <w:t>ADI is reasonably expected to experience</w:t>
      </w:r>
      <w:r w:rsidR="00092646" w:rsidRPr="003A6290">
        <w:t>;</w:t>
      </w:r>
    </w:p>
    <w:p w14:paraId="6382A374" w14:textId="450461E0" w:rsidR="009D7D7F" w:rsidRDefault="009D7D7F" w:rsidP="009D7D7F">
      <w:pPr>
        <w:pStyle w:val="BodyText2"/>
      </w:pPr>
      <w:r>
        <w:t xml:space="preserve">exposure at default (EAD) </w:t>
      </w:r>
      <w:r w:rsidR="0030266E">
        <w:t>–</w:t>
      </w:r>
      <w:r>
        <w:t xml:space="preserve"> </w:t>
      </w:r>
      <w:r w:rsidR="0030266E">
        <w:t xml:space="preserve">means </w:t>
      </w:r>
      <w:r>
        <w:t>the gross exposure</w:t>
      </w:r>
      <w:r w:rsidR="00E43AEC">
        <w:t xml:space="preserve"> (including accrued interest)</w:t>
      </w:r>
      <w:r>
        <w:t xml:space="preserve"> under a facility (i.e. the amount that is legally owed to the ADI) upon </w:t>
      </w:r>
      <w:r w:rsidR="00461420">
        <w:t xml:space="preserve">the </w:t>
      </w:r>
      <w:r>
        <w:t xml:space="preserve">default of </w:t>
      </w:r>
      <w:r w:rsidR="004D6F01">
        <w:t>a borrower</w:t>
      </w:r>
      <w:r>
        <w:t>;</w:t>
      </w:r>
    </w:p>
    <w:p w14:paraId="24A8C8EE" w14:textId="7E25942C" w:rsidR="000423C5" w:rsidRDefault="0033162C" w:rsidP="009D7D7F">
      <w:pPr>
        <w:pStyle w:val="BodyText2"/>
      </w:pPr>
      <w:r>
        <w:t>financial institution</w:t>
      </w:r>
      <w:r w:rsidR="000423C5">
        <w:t xml:space="preserve"> – </w:t>
      </w:r>
      <w:r w:rsidR="00B70BA3">
        <w:t xml:space="preserve">has the meaning given in </w:t>
      </w:r>
      <w:r w:rsidR="00B70BA3" w:rsidRPr="005E6364">
        <w:t>paragraph</w:t>
      </w:r>
      <w:r w:rsidR="005E6364" w:rsidRPr="005E6364">
        <w:t xml:space="preserve"> </w:t>
      </w:r>
      <w:r w:rsidR="005E6364" w:rsidRPr="005E6364">
        <w:fldChar w:fldCharType="begin"/>
      </w:r>
      <w:r w:rsidR="005E6364" w:rsidRPr="005E6364">
        <w:instrText xml:space="preserve"> REF _Ref34235941 \r \h </w:instrText>
      </w:r>
      <w:r w:rsidR="005E6364">
        <w:instrText xml:space="preserve"> \* MERGEFORMAT </w:instrText>
      </w:r>
      <w:r w:rsidR="005E6364" w:rsidRPr="005E6364">
        <w:fldChar w:fldCharType="separate"/>
      </w:r>
      <w:r w:rsidR="00550C88">
        <w:t>34</w:t>
      </w:r>
      <w:r w:rsidR="005E6364" w:rsidRPr="005E6364">
        <w:fldChar w:fldCharType="end"/>
      </w:r>
      <w:r w:rsidR="005E6364" w:rsidRPr="005E6364">
        <w:t xml:space="preserve"> </w:t>
      </w:r>
      <w:r w:rsidR="005E6364">
        <w:t>of this Prudential Standard</w:t>
      </w:r>
      <w:r w:rsidR="00B70BA3">
        <w:t>;</w:t>
      </w:r>
    </w:p>
    <w:p w14:paraId="033A74E2" w14:textId="7EFDA846" w:rsidR="006652B0" w:rsidRDefault="001A1484" w:rsidP="009D1E60">
      <w:pPr>
        <w:pStyle w:val="BodyText2"/>
      </w:pPr>
      <w:r>
        <w:lastRenderedPageBreak/>
        <w:t>group of connected borrowers –</w:t>
      </w:r>
      <w:r w:rsidR="009D1E60">
        <w:t xml:space="preserve"> </w:t>
      </w:r>
      <w:r w:rsidR="00367B4D">
        <w:t>means</w:t>
      </w:r>
      <w:r w:rsidR="009D1E60">
        <w:t xml:space="preserve"> a group of connected counterparties </w:t>
      </w:r>
      <w:r w:rsidR="00367B4D">
        <w:t>that is connected by control or single</w:t>
      </w:r>
      <w:r w:rsidR="007D247F">
        <w:t>-</w:t>
      </w:r>
      <w:r w:rsidR="00367B4D">
        <w:t>risk relationships under</w:t>
      </w:r>
      <w:r w:rsidR="009D1E60">
        <w:t xml:space="preserve"> </w:t>
      </w:r>
      <w:r w:rsidR="009D1E60">
        <w:rPr>
          <w:i/>
        </w:rPr>
        <w:t xml:space="preserve">Prudential Standard APS 221 Large </w:t>
      </w:r>
      <w:r w:rsidR="009D1E60" w:rsidRPr="008B6F92">
        <w:rPr>
          <w:i/>
        </w:rPr>
        <w:t>Exposures</w:t>
      </w:r>
      <w:r w:rsidR="009D1E60" w:rsidRPr="00AD6E3F">
        <w:rPr>
          <w:i/>
        </w:rPr>
        <w:t xml:space="preserve"> </w:t>
      </w:r>
      <w:r w:rsidR="009D1E60" w:rsidRPr="009D1E60">
        <w:t>(APS 2</w:t>
      </w:r>
      <w:r w:rsidR="009D1E60" w:rsidRPr="006652B0">
        <w:t>21)</w:t>
      </w:r>
      <w:r w:rsidR="006652B0">
        <w:t xml:space="preserve">. Where </w:t>
      </w:r>
      <w:r w:rsidR="008B6F92">
        <w:t xml:space="preserve">an ADI assesses that a borrower may form part of more than one </w:t>
      </w:r>
      <w:r w:rsidR="00367B4D">
        <w:t>group</w:t>
      </w:r>
      <w:r w:rsidR="00986BF2">
        <w:t xml:space="preserve"> of connected borrowers</w:t>
      </w:r>
      <w:r w:rsidR="008B6F92">
        <w:t xml:space="preserve">, the ADI may </w:t>
      </w:r>
      <w:r w:rsidR="005F161B">
        <w:t>primarily</w:t>
      </w:r>
      <w:r w:rsidR="008B6F92">
        <w:t xml:space="preserve"> assign the borrower </w:t>
      </w:r>
      <w:r w:rsidR="00986BF2">
        <w:t>based on</w:t>
      </w:r>
      <w:r w:rsidR="00367B4D">
        <w:t xml:space="preserve"> </w:t>
      </w:r>
      <w:r w:rsidR="008B6F92">
        <w:t>a control relationship</w:t>
      </w:r>
      <w:r w:rsidR="0087167A">
        <w:t xml:space="preserve"> rather than a single-risk relationship</w:t>
      </w:r>
      <w:r w:rsidR="0043490C">
        <w:t xml:space="preserve"> for the purpose of this Prudential Standard</w:t>
      </w:r>
      <w:r w:rsidR="008B6F92">
        <w:t xml:space="preserve">; </w:t>
      </w:r>
    </w:p>
    <w:p w14:paraId="5AD3DAB6" w14:textId="109882FA" w:rsidR="00534463" w:rsidRPr="00A40FB5" w:rsidRDefault="00534463" w:rsidP="009D7D7F">
      <w:pPr>
        <w:pStyle w:val="BodyText2"/>
      </w:pPr>
      <w:r w:rsidRPr="00A40FB5">
        <w:t xml:space="preserve">income-producing real estate (IPRE) – </w:t>
      </w:r>
      <w:r w:rsidR="0022036D" w:rsidRPr="00A40FB5">
        <w:t>has t</w:t>
      </w:r>
      <w:r w:rsidR="005E6364">
        <w:t xml:space="preserve">he meaning given in paragraph </w:t>
      </w:r>
      <w:r w:rsidR="005E6364">
        <w:fldChar w:fldCharType="begin"/>
      </w:r>
      <w:r w:rsidR="005E6364">
        <w:instrText xml:space="preserve"> REF _Ref34235996 \r \h </w:instrText>
      </w:r>
      <w:r w:rsidR="005E6364">
        <w:fldChar w:fldCharType="separate"/>
      </w:r>
      <w:r w:rsidR="00550C88">
        <w:t>31</w:t>
      </w:r>
      <w:r w:rsidR="005E6364">
        <w:fldChar w:fldCharType="end"/>
      </w:r>
      <w:r w:rsidR="0022036D" w:rsidRPr="00A40FB5">
        <w:t xml:space="preserve"> of this </w:t>
      </w:r>
      <w:r w:rsidR="005E6364">
        <w:t>Prudential Standard</w:t>
      </w:r>
      <w:r w:rsidR="00085EDE" w:rsidRPr="00A40FB5">
        <w:t>;</w:t>
      </w:r>
      <w:r w:rsidRPr="00A40FB5">
        <w:t xml:space="preserve"> </w:t>
      </w:r>
    </w:p>
    <w:p w14:paraId="46CEF270" w14:textId="20150767" w:rsidR="00CA045A" w:rsidRDefault="00CA045A" w:rsidP="009D7D7F">
      <w:pPr>
        <w:pStyle w:val="BodyText2"/>
      </w:pPr>
      <w:r>
        <w:t>large corporate – means a corporate counterparty with total consolidated annual revenue greater than $750 million</w:t>
      </w:r>
      <w:r w:rsidR="00072212">
        <w:t xml:space="preserve"> as reported</w:t>
      </w:r>
      <w:r w:rsidR="000227EB">
        <w:t xml:space="preserve"> in the audited financial statements of the corporate counterparty or</w:t>
      </w:r>
      <w:r w:rsidR="00FD2E88">
        <w:t>,</w:t>
      </w:r>
      <w:r w:rsidR="000227EB">
        <w:t xml:space="preserve"> where the counterparty is part of a group, the </w:t>
      </w:r>
      <w:r w:rsidR="00C56D64">
        <w:t xml:space="preserve">audited </w:t>
      </w:r>
      <w:r w:rsidR="000227EB">
        <w:t>financial statements of the group. The revenue amount must be</w:t>
      </w:r>
      <w:r w:rsidR="00072212">
        <w:t xml:space="preserve"> </w:t>
      </w:r>
      <w:r w:rsidR="000227EB">
        <w:t>based on the average amount calculated over the prior three years, or on the latest amount updated at least every three years by the ADI</w:t>
      </w:r>
      <w:r>
        <w:t>;</w:t>
      </w:r>
      <w:r w:rsidR="001D4E9E" w:rsidDel="001D4E9E">
        <w:rPr>
          <w:rStyle w:val="FootnoteReference"/>
        </w:rPr>
        <w:t xml:space="preserve"> </w:t>
      </w:r>
    </w:p>
    <w:p w14:paraId="6B7334BD" w14:textId="3F212AB5" w:rsidR="001F4E3E" w:rsidRDefault="001F4E3E" w:rsidP="009D7D7F">
      <w:pPr>
        <w:pStyle w:val="BodyText2"/>
      </w:pPr>
      <w:r>
        <w:t xml:space="preserve">lenders’ mortgage insurance (LMI) – </w:t>
      </w:r>
      <w:r w:rsidR="00DD615F">
        <w:t>has the meaning given in</w:t>
      </w:r>
      <w:r>
        <w:t xml:space="preserve"> APS 112;</w:t>
      </w:r>
    </w:p>
    <w:p w14:paraId="23713201" w14:textId="78F96CCA" w:rsidR="009D7D7F" w:rsidRDefault="009D7D7F" w:rsidP="009D7D7F">
      <w:pPr>
        <w:pStyle w:val="BodyText2"/>
      </w:pPr>
      <w:r>
        <w:t xml:space="preserve">loss given default (LGD) </w:t>
      </w:r>
      <w:r w:rsidR="00A83833">
        <w:t>–</w:t>
      </w:r>
      <w:r>
        <w:t xml:space="preserve"> </w:t>
      </w:r>
      <w:r w:rsidR="00A83833">
        <w:t xml:space="preserve">means </w:t>
      </w:r>
      <w:r>
        <w:t xml:space="preserve">the ADI’s economic loss upon the default of </w:t>
      </w:r>
      <w:r w:rsidR="004D6F01">
        <w:t>a borrower</w:t>
      </w:r>
      <w:r>
        <w:t>;</w:t>
      </w:r>
    </w:p>
    <w:p w14:paraId="28B098CE" w14:textId="36828E43" w:rsidR="007F5FD0" w:rsidRDefault="007F5FD0" w:rsidP="009D7D7F">
      <w:pPr>
        <w:pStyle w:val="BodyText2"/>
      </w:pPr>
      <w:r>
        <w:t>object finance – ha</w:t>
      </w:r>
      <w:r w:rsidR="000A403A">
        <w:t>s the meaning given in APS 112;</w:t>
      </w:r>
    </w:p>
    <w:p w14:paraId="48980F27" w14:textId="3074C186" w:rsidR="009D7D7F" w:rsidRDefault="009D7D7F" w:rsidP="009D7D7F">
      <w:pPr>
        <w:pStyle w:val="BodyText2"/>
      </w:pPr>
      <w:r>
        <w:t xml:space="preserve">probability of default (PD) </w:t>
      </w:r>
      <w:r w:rsidR="00A83833">
        <w:t>–</w:t>
      </w:r>
      <w:r>
        <w:t xml:space="preserve"> </w:t>
      </w:r>
      <w:r w:rsidR="00A83833">
        <w:t xml:space="preserve">means </w:t>
      </w:r>
      <w:r>
        <w:t xml:space="preserve">the risk of </w:t>
      </w:r>
      <w:r w:rsidR="004D6F01">
        <w:t xml:space="preserve">borrower </w:t>
      </w:r>
      <w:r>
        <w:t>default;</w:t>
      </w:r>
    </w:p>
    <w:p w14:paraId="63F3E0C4" w14:textId="04474347" w:rsidR="007F5FD0" w:rsidRDefault="007F5FD0" w:rsidP="009D7D7F">
      <w:pPr>
        <w:pStyle w:val="BodyText2"/>
      </w:pPr>
      <w:r>
        <w:t>project finance – ha</w:t>
      </w:r>
      <w:r w:rsidR="000A403A">
        <w:t>s the meaning given in APS 112;</w:t>
      </w:r>
    </w:p>
    <w:p w14:paraId="0C8A2D41" w14:textId="16EA5F88" w:rsidR="009D7D7F" w:rsidRDefault="009D7D7F" w:rsidP="009D7D7F">
      <w:pPr>
        <w:pStyle w:val="BodyText2"/>
      </w:pPr>
      <w:r>
        <w:t xml:space="preserve">purchased receivables </w:t>
      </w:r>
      <w:r w:rsidR="00A83833">
        <w:t>–</w:t>
      </w:r>
      <w:r>
        <w:t xml:space="preserve"> </w:t>
      </w:r>
      <w:r w:rsidR="00A83833">
        <w:t xml:space="preserve">means </w:t>
      </w:r>
      <w:r>
        <w:t xml:space="preserve">a pool of receivables that </w:t>
      </w:r>
      <w:r w:rsidR="001110C9">
        <w:t xml:space="preserve">has </w:t>
      </w:r>
      <w:r>
        <w:t xml:space="preserve">been purchased by </w:t>
      </w:r>
      <w:r w:rsidR="00495529">
        <w:t xml:space="preserve">the </w:t>
      </w:r>
      <w:r>
        <w:t>ADI from another entity;</w:t>
      </w:r>
    </w:p>
    <w:p w14:paraId="2BF6C12D" w14:textId="5E23E34C" w:rsidR="009D7D7F" w:rsidRDefault="009D7D7F" w:rsidP="009D7D7F">
      <w:pPr>
        <w:pStyle w:val="BodyText2"/>
      </w:pPr>
      <w:r>
        <w:t xml:space="preserve">rating system </w:t>
      </w:r>
      <w:r w:rsidR="00A83833">
        <w:t>–</w:t>
      </w:r>
      <w:r>
        <w:t xml:space="preserve"> </w:t>
      </w:r>
      <w:r w:rsidR="00A83833">
        <w:t xml:space="preserve">means </w:t>
      </w:r>
      <w:r>
        <w:t>all of the methods, processes, controls, data collection and technology that support the assessment of credit risk, the assignment of internal credit risk ratings and the quantification of associated defaul</w:t>
      </w:r>
      <w:r w:rsidR="000A403A">
        <w:t>t, exposure and loss estimates;</w:t>
      </w:r>
    </w:p>
    <w:p w14:paraId="0AE948A2" w14:textId="43582865" w:rsidR="00B009E4" w:rsidRDefault="00B009E4" w:rsidP="00B009E4">
      <w:pPr>
        <w:pStyle w:val="BodyText2"/>
      </w:pPr>
      <w:r>
        <w:t xml:space="preserve">regulated financial institution – </w:t>
      </w:r>
      <w:r w:rsidR="008305C8" w:rsidRPr="008305C8">
        <w:t>means a financial institution that is subject to prudential requirements that are broadly equivalent to APRA’s prudential requirement, or is part of a group where any material legal entity within the group is subject to prudential requirements that are broadly equivalent to those set by APRA</w:t>
      </w:r>
      <w:r w:rsidR="000A403A">
        <w:t>;</w:t>
      </w:r>
    </w:p>
    <w:p w14:paraId="353467CF" w14:textId="2AE68C51" w:rsidR="00254F45" w:rsidRDefault="00254F45" w:rsidP="00B009E4">
      <w:pPr>
        <w:pStyle w:val="BodyText2"/>
      </w:pPr>
      <w:r>
        <w:t xml:space="preserve">revolving exposure – means an exposure where </w:t>
      </w:r>
      <w:r w:rsidR="004D6F01">
        <w:t>a borrower’s</w:t>
      </w:r>
      <w:r>
        <w:t xml:space="preserve"> outstanding balance is permitted to fluctuate based on their decision to borrow and repay, up to a limit established by the ADI. This does not include exposures that allow prepayments and subsequent redraws of those prepayments;</w:t>
      </w:r>
    </w:p>
    <w:p w14:paraId="77CD25EC" w14:textId="03AFD594" w:rsidR="00465037" w:rsidRDefault="00465037" w:rsidP="00B009E4">
      <w:pPr>
        <w:pStyle w:val="BodyText2"/>
      </w:pPr>
      <w:r>
        <w:t xml:space="preserve">risk component – means </w:t>
      </w:r>
      <w:r w:rsidR="001110C9">
        <w:t xml:space="preserve">the </w:t>
      </w:r>
      <w:r w:rsidR="005E58A5">
        <w:t xml:space="preserve">ADI’s internal </w:t>
      </w:r>
      <w:r>
        <w:t>estimate</w:t>
      </w:r>
      <w:r w:rsidR="005E58A5">
        <w:t>, or a supervisory estimate</w:t>
      </w:r>
      <w:r w:rsidR="008305C8">
        <w:t xml:space="preserve"> provided in this Prudential Standard</w:t>
      </w:r>
      <w:r w:rsidR="005E58A5">
        <w:t>,</w:t>
      </w:r>
      <w:r>
        <w:t xml:space="preserve"> of probability of default, loss </w:t>
      </w:r>
      <w:r>
        <w:lastRenderedPageBreak/>
        <w:t xml:space="preserve">given default, exposure at default or </w:t>
      </w:r>
      <w:r w:rsidR="00495529">
        <w:t xml:space="preserve">effective </w:t>
      </w:r>
      <w:r>
        <w:t>maturity</w:t>
      </w:r>
      <w:r w:rsidR="00B8250B">
        <w:t xml:space="preserve"> required as inputs to the risk-weight functions</w:t>
      </w:r>
      <w:r w:rsidR="007A6AC9">
        <w:t>;</w:t>
      </w:r>
    </w:p>
    <w:p w14:paraId="06F3871B" w14:textId="0DC8E59D" w:rsidR="00830447" w:rsidRDefault="00465037" w:rsidP="00B009E4">
      <w:pPr>
        <w:pStyle w:val="BodyText2"/>
      </w:pPr>
      <w:r>
        <w:t>risk-weight function – means the calculation method that transforms the risk components into</w:t>
      </w:r>
      <w:r w:rsidR="00B8518B">
        <w:t xml:space="preserve"> the capital requirement</w:t>
      </w:r>
      <w:r w:rsidR="005E58A5">
        <w:t xml:space="preserve"> for unexpected loss</w:t>
      </w:r>
      <w:r w:rsidR="007A6AC9">
        <w:t>;</w:t>
      </w:r>
    </w:p>
    <w:p w14:paraId="53D2E91C" w14:textId="0ECE1899" w:rsidR="00C96184" w:rsidRDefault="00B65389" w:rsidP="009444C3">
      <w:pPr>
        <w:pStyle w:val="BodyText2"/>
        <w:numPr>
          <w:ilvl w:val="0"/>
          <w:numId w:val="0"/>
        </w:numPr>
        <w:ind w:left="1134" w:hanging="567"/>
      </w:pPr>
      <w:r>
        <w:t xml:space="preserve">(ab) </w:t>
      </w:r>
      <w:r w:rsidR="009444C3">
        <w:t xml:space="preserve">  </w:t>
      </w:r>
      <w:r w:rsidR="00C96184">
        <w:t xml:space="preserve">securities financing transaction (SFT) – </w:t>
      </w:r>
      <w:r w:rsidR="001E7938">
        <w:t>has the meaning given in APS 112;</w:t>
      </w:r>
    </w:p>
    <w:p w14:paraId="44D982FF" w14:textId="56B5D10F" w:rsidR="00C66EE8" w:rsidRDefault="00B65389" w:rsidP="009444C3">
      <w:pPr>
        <w:pStyle w:val="BodyText2"/>
        <w:numPr>
          <w:ilvl w:val="0"/>
          <w:numId w:val="0"/>
        </w:numPr>
        <w:ind w:left="1134" w:hanging="567"/>
      </w:pPr>
      <w:r>
        <w:t xml:space="preserve">(ac) </w:t>
      </w:r>
      <w:r w:rsidR="009444C3">
        <w:t xml:space="preserve">  </w:t>
      </w:r>
      <w:r w:rsidR="00C66EE8">
        <w:t>sovereign – has the meaning given in APS 112;</w:t>
      </w:r>
    </w:p>
    <w:p w14:paraId="6A992CF2" w14:textId="083EBFBD" w:rsidR="005C14D4" w:rsidRDefault="00B65389" w:rsidP="009444C3">
      <w:pPr>
        <w:pStyle w:val="BodyText2"/>
        <w:numPr>
          <w:ilvl w:val="0"/>
          <w:numId w:val="0"/>
        </w:numPr>
        <w:ind w:left="1134" w:hanging="567"/>
      </w:pPr>
      <w:r>
        <w:t>(ad)</w:t>
      </w:r>
      <w:r w:rsidR="009444C3">
        <w:t xml:space="preserve">  </w:t>
      </w:r>
      <w:r w:rsidR="005C14D4">
        <w:t>specialised lending – has the meaning given in APS 112</w:t>
      </w:r>
      <w:r w:rsidR="00A21FE5">
        <w:t xml:space="preserve"> but also includes </w:t>
      </w:r>
      <w:r w:rsidR="001E7938">
        <w:t xml:space="preserve">IPRE </w:t>
      </w:r>
      <w:r w:rsidR="005E223A">
        <w:t>as defined in this Prudential Standard</w:t>
      </w:r>
      <w:r w:rsidR="000A403A">
        <w:t>;</w:t>
      </w:r>
    </w:p>
    <w:p w14:paraId="3E74AD34" w14:textId="351577F0" w:rsidR="00B009E4" w:rsidRPr="009E2D79" w:rsidRDefault="00B65389" w:rsidP="009444C3">
      <w:pPr>
        <w:pStyle w:val="BodyText2"/>
        <w:numPr>
          <w:ilvl w:val="0"/>
          <w:numId w:val="0"/>
        </w:numPr>
        <w:ind w:left="1134" w:hanging="567"/>
      </w:pPr>
      <w:r>
        <w:t>(ae)</w:t>
      </w:r>
      <w:r w:rsidR="009444C3">
        <w:t xml:space="preserve">  </w:t>
      </w:r>
      <w:r>
        <w:t xml:space="preserve"> </w:t>
      </w:r>
      <w:r w:rsidR="00496F29" w:rsidRPr="005E58A5">
        <w:t>unexpected loss (UL) – means</w:t>
      </w:r>
      <w:r w:rsidR="00472E99" w:rsidRPr="005E58A5">
        <w:t xml:space="preserve"> the credit loss </w:t>
      </w:r>
      <w:r w:rsidR="00295EF6">
        <w:t>in excess of</w:t>
      </w:r>
      <w:r w:rsidR="00472E99" w:rsidRPr="005E58A5">
        <w:t xml:space="preserve"> expected loss</w:t>
      </w:r>
      <w:r w:rsidR="00472E99" w:rsidRPr="009E2D79">
        <w:t>;</w:t>
      </w:r>
      <w:r w:rsidR="004926CE">
        <w:t xml:space="preserve"> and</w:t>
      </w:r>
    </w:p>
    <w:p w14:paraId="3A1C20BA" w14:textId="3BC72826" w:rsidR="00284099" w:rsidRDefault="00B65389" w:rsidP="009444C3">
      <w:pPr>
        <w:pStyle w:val="BodyText2"/>
        <w:numPr>
          <w:ilvl w:val="0"/>
          <w:numId w:val="0"/>
        </w:numPr>
        <w:ind w:left="1134" w:hanging="567"/>
      </w:pPr>
      <w:r>
        <w:t>(</w:t>
      </w:r>
      <w:proofErr w:type="spellStart"/>
      <w:r>
        <w:t>a</w:t>
      </w:r>
      <w:r w:rsidR="009444C3">
        <w:t>f</w:t>
      </w:r>
      <w:proofErr w:type="spellEnd"/>
      <w:r w:rsidR="009444C3">
        <w:t xml:space="preserve">)   </w:t>
      </w:r>
      <w:r w:rsidR="00B009E4">
        <w:t xml:space="preserve">unregulated financial institution – means </w:t>
      </w:r>
      <w:r w:rsidR="000B3AE4">
        <w:t xml:space="preserve">a </w:t>
      </w:r>
      <w:r w:rsidR="00CB37EA">
        <w:t xml:space="preserve">financial institution that is not </w:t>
      </w:r>
      <w:r w:rsidR="00C96184">
        <w:t>a</w:t>
      </w:r>
      <w:r w:rsidR="00D37456">
        <w:t xml:space="preserve"> regulated financial institution</w:t>
      </w:r>
      <w:r w:rsidR="009D7D7F">
        <w:t>.</w:t>
      </w:r>
    </w:p>
    <w:p w14:paraId="68D0A75B" w14:textId="77777777" w:rsidR="007944BD" w:rsidRDefault="007944BD" w:rsidP="00115253">
      <w:pPr>
        <w:pStyle w:val="Heading2body"/>
      </w:pPr>
      <w:bookmarkStart w:id="22" w:name="_Toc176183662"/>
      <w:r>
        <w:t>Key principles</w:t>
      </w:r>
      <w:bookmarkEnd w:id="22"/>
    </w:p>
    <w:p w14:paraId="27B136CF" w14:textId="1A3560D3" w:rsidR="007944BD" w:rsidRDefault="007944BD" w:rsidP="007944BD">
      <w:pPr>
        <w:pStyle w:val="BodyText1"/>
      </w:pPr>
      <w:r w:rsidRPr="00801F41">
        <w:t xml:space="preserve">An ADI that has received </w:t>
      </w:r>
      <w:r w:rsidRPr="00A60668">
        <w:t>IRB approval</w:t>
      </w:r>
      <w:r w:rsidRPr="00801F41">
        <w:t xml:space="preserve"> from APRA may rely on</w:t>
      </w:r>
      <w:r w:rsidR="006C4732">
        <w:t xml:space="preserve"> its</w:t>
      </w:r>
      <w:r w:rsidRPr="00801F41">
        <w:t xml:space="preserve"> internal estimates for some</w:t>
      </w:r>
      <w:r w:rsidR="00087F65">
        <w:t>,</w:t>
      </w:r>
      <w:r w:rsidRPr="00801F41">
        <w:t xml:space="preserve"> or all</w:t>
      </w:r>
      <w:r w:rsidR="00087F65">
        <w:t>,</w:t>
      </w:r>
      <w:r w:rsidRPr="00801F41">
        <w:t xml:space="preserve"> of the risk components</w:t>
      </w:r>
      <w:r w:rsidR="00087F65">
        <w:t xml:space="preserve"> required as inputs to </w:t>
      </w:r>
      <w:r w:rsidR="006C4732">
        <w:t xml:space="preserve">the </w:t>
      </w:r>
      <w:r w:rsidR="00087F65">
        <w:t>risk-weight function</w:t>
      </w:r>
      <w:r w:rsidR="007A6AC9">
        <w:t>s</w:t>
      </w:r>
      <w:r w:rsidR="00085EDE">
        <w:t xml:space="preserve"> used in determining the </w:t>
      </w:r>
      <w:r w:rsidR="002957AA">
        <w:t>Regulatory C</w:t>
      </w:r>
      <w:r w:rsidR="00085EDE">
        <w:t>apital requirement for credit exposure</w:t>
      </w:r>
      <w:r w:rsidR="007A6AC9">
        <w:t>s</w:t>
      </w:r>
      <w:r w:rsidRPr="00801F41">
        <w:t xml:space="preserve">. The risk components include </w:t>
      </w:r>
      <w:r w:rsidR="000A403A">
        <w:t>measures of PD, LGD, EAD and M.</w:t>
      </w:r>
    </w:p>
    <w:p w14:paraId="54907A7D" w14:textId="5AA1C3CD" w:rsidR="007944BD" w:rsidRPr="00801F41" w:rsidRDefault="00A566F8" w:rsidP="007944BD">
      <w:pPr>
        <w:pStyle w:val="BodyText1"/>
      </w:pPr>
      <w:r>
        <w:t xml:space="preserve">An ADI must meet the relevant minimum requirements detailed in this Prudential Standard to use </w:t>
      </w:r>
      <w:r w:rsidR="000D64E7">
        <w:t xml:space="preserve">an </w:t>
      </w:r>
      <w:r>
        <w:t>IRB approach for a given asset class.</w:t>
      </w:r>
    </w:p>
    <w:p w14:paraId="1B0DFB18" w14:textId="0D1D3697" w:rsidR="00A566F8" w:rsidRDefault="00F84FF0" w:rsidP="007944BD">
      <w:pPr>
        <w:pStyle w:val="BodyText1"/>
      </w:pPr>
      <w:r>
        <w:t>An ADI must</w:t>
      </w:r>
      <w:r w:rsidR="00A55950">
        <w:t xml:space="preserve"> apply a foundation IRB (</w:t>
      </w:r>
      <w:r w:rsidR="00A55950" w:rsidRPr="00A60668">
        <w:t>FIRB</w:t>
      </w:r>
      <w:r w:rsidR="00A55950">
        <w:t>)</w:t>
      </w:r>
      <w:r w:rsidR="00530A45">
        <w:t>,</w:t>
      </w:r>
      <w:r w:rsidR="00A55950">
        <w:t xml:space="preserve"> advanced IRB (</w:t>
      </w:r>
      <w:r w:rsidR="00A55950" w:rsidRPr="00A60668">
        <w:t>AIRB</w:t>
      </w:r>
      <w:r w:rsidR="00A55950">
        <w:t>)</w:t>
      </w:r>
      <w:r w:rsidR="00F11B25">
        <w:t>, retail IRB or supervisory slotting approach</w:t>
      </w:r>
      <w:r w:rsidR="00EB3F5D">
        <w:t xml:space="preserve"> </w:t>
      </w:r>
      <w:r w:rsidR="00691B8C">
        <w:t xml:space="preserve">to </w:t>
      </w:r>
      <w:r w:rsidR="00EB3F5D">
        <w:t>a given asset class</w:t>
      </w:r>
      <w:r w:rsidR="00A55950">
        <w:t xml:space="preserve"> </w:t>
      </w:r>
      <w:r w:rsidR="00EB3F5D">
        <w:t>in accordance with</w:t>
      </w:r>
      <w:r w:rsidR="00A55950">
        <w:t xml:space="preserve"> its </w:t>
      </w:r>
      <w:r w:rsidR="00F11B25">
        <w:t>IRB</w:t>
      </w:r>
      <w:r w:rsidR="00A55950">
        <w:t xml:space="preserve"> approval and subject to the constraints set out </w:t>
      </w:r>
      <w:r w:rsidR="00A55950" w:rsidRPr="00F93B3E">
        <w:t xml:space="preserve">in </w:t>
      </w:r>
      <w:r w:rsidR="00F93B3E" w:rsidRPr="00F93B3E">
        <w:t xml:space="preserve">paragraph </w:t>
      </w:r>
      <w:r w:rsidR="00F93B3E" w:rsidRPr="00F93B3E">
        <w:fldChar w:fldCharType="begin"/>
      </w:r>
      <w:r w:rsidR="00F93B3E" w:rsidRPr="00F93B3E">
        <w:instrText xml:space="preserve"> REF _Ref34114174 \r \h </w:instrText>
      </w:r>
      <w:r w:rsidR="00F93B3E">
        <w:instrText xml:space="preserve"> \* MERGEFORMAT </w:instrText>
      </w:r>
      <w:r w:rsidR="00F93B3E" w:rsidRPr="00F93B3E">
        <w:fldChar w:fldCharType="separate"/>
      </w:r>
      <w:r w:rsidR="00550C88">
        <w:t>18</w:t>
      </w:r>
      <w:r w:rsidR="00F93B3E" w:rsidRPr="00F93B3E">
        <w:fldChar w:fldCharType="end"/>
      </w:r>
      <w:r w:rsidR="00A55950" w:rsidRPr="00F93B3E">
        <w:t xml:space="preserve"> of</w:t>
      </w:r>
      <w:r w:rsidR="00A55950">
        <w:t xml:space="preserve"> this Prudential Standard. Where</w:t>
      </w:r>
      <w:r w:rsidR="00A55950" w:rsidDel="0082005C">
        <w:t xml:space="preserve"> </w:t>
      </w:r>
      <w:r w:rsidR="0082005C">
        <w:t xml:space="preserve">the </w:t>
      </w:r>
      <w:r w:rsidR="00A55950">
        <w:t>ADI uses</w:t>
      </w:r>
      <w:r w:rsidR="007944BD" w:rsidRPr="00801F41">
        <w:t xml:space="preserve"> the</w:t>
      </w:r>
      <w:r w:rsidR="00A566F8">
        <w:t>:</w:t>
      </w:r>
    </w:p>
    <w:p w14:paraId="2C2B7A33" w14:textId="19B2B04A" w:rsidR="00A566F8" w:rsidRDefault="007944BD" w:rsidP="00A566F8">
      <w:pPr>
        <w:pStyle w:val="BodyText2"/>
      </w:pPr>
      <w:r w:rsidRPr="00801F41">
        <w:t xml:space="preserve">FIRB approach, </w:t>
      </w:r>
      <w:r w:rsidR="00A55950">
        <w:t>it</w:t>
      </w:r>
      <w:r w:rsidRPr="00801F41">
        <w:t xml:space="preserve"> must provide its own estimates of PD and M</w:t>
      </w:r>
      <w:r w:rsidR="00691B8C">
        <w:t>,</w:t>
      </w:r>
      <w:r w:rsidRPr="00801F41">
        <w:t xml:space="preserve"> and rely on supervisory estimates for LGD and EAD</w:t>
      </w:r>
      <w:r w:rsidR="000A403A">
        <w:t>;</w:t>
      </w:r>
    </w:p>
    <w:p w14:paraId="19DFAA6F" w14:textId="11BCA770" w:rsidR="00F11B25" w:rsidRDefault="007944BD" w:rsidP="00A566F8">
      <w:pPr>
        <w:pStyle w:val="BodyText2"/>
      </w:pPr>
      <w:r w:rsidRPr="00801F41">
        <w:t xml:space="preserve">AIRB approach, </w:t>
      </w:r>
      <w:r w:rsidR="00A566F8">
        <w:t>it</w:t>
      </w:r>
      <w:r w:rsidRPr="00801F41">
        <w:t xml:space="preserve"> must provide its own estimates of</w:t>
      </w:r>
      <w:r w:rsidR="00F11B25">
        <w:t xml:space="preserve"> PD, LGD</w:t>
      </w:r>
      <w:r w:rsidR="00372315">
        <w:t xml:space="preserve"> (excluding </w:t>
      </w:r>
      <w:r w:rsidR="00B8250B">
        <w:t xml:space="preserve">senior </w:t>
      </w:r>
      <w:r w:rsidR="00C67EE3">
        <w:t xml:space="preserve">unsecured </w:t>
      </w:r>
      <w:r w:rsidR="00372315">
        <w:t>and subordinated</w:t>
      </w:r>
      <w:r w:rsidR="00422F1F">
        <w:t xml:space="preserve"> corporate</w:t>
      </w:r>
      <w:r w:rsidR="00C67EE3">
        <w:t xml:space="preserve"> exposures</w:t>
      </w:r>
      <w:r w:rsidR="009459A3">
        <w:t xml:space="preserve"> for which </w:t>
      </w:r>
      <w:r w:rsidR="0082005C">
        <w:t>the</w:t>
      </w:r>
      <w:r w:rsidR="009459A3">
        <w:t xml:space="preserve"> ADI must use supervisory LGD estimates</w:t>
      </w:r>
      <w:r w:rsidR="00C67EE3">
        <w:t>)</w:t>
      </w:r>
      <w:r w:rsidR="00F11B25">
        <w:t xml:space="preserve"> and M</w:t>
      </w:r>
      <w:r w:rsidR="00691B8C">
        <w:t>,</w:t>
      </w:r>
      <w:r w:rsidR="00F11B25">
        <w:t xml:space="preserve"> and rely on supervisory estimates for EAD;</w:t>
      </w:r>
    </w:p>
    <w:p w14:paraId="683DDB9C" w14:textId="279398E4" w:rsidR="00F11B25" w:rsidRDefault="00F11B25" w:rsidP="00A566F8">
      <w:pPr>
        <w:pStyle w:val="BodyText2"/>
      </w:pPr>
      <w:r>
        <w:t>retail IRB approach, it must provide its own estimates of PD, LGD and EAD</w:t>
      </w:r>
      <w:r w:rsidR="00C67EE3">
        <w:t xml:space="preserve"> (excluding non-revolving retail exposures for which </w:t>
      </w:r>
      <w:r w:rsidR="0082005C">
        <w:t>the</w:t>
      </w:r>
      <w:r w:rsidR="00C67EE3">
        <w:t xml:space="preserve"> ADI must use supervisory EAD estimates)</w:t>
      </w:r>
      <w:r>
        <w:t>; and</w:t>
      </w:r>
    </w:p>
    <w:p w14:paraId="3970ACFB" w14:textId="30AAA55D" w:rsidR="00A566F8" w:rsidRDefault="00F11B25" w:rsidP="00A566F8">
      <w:pPr>
        <w:pStyle w:val="BodyText2"/>
      </w:pPr>
      <w:r>
        <w:t xml:space="preserve">supervisory slotting approach, it must provide its own mapping of </w:t>
      </w:r>
      <w:r w:rsidR="00A01C8C">
        <w:t xml:space="preserve">credit </w:t>
      </w:r>
      <w:r>
        <w:t>exposures to the supervisory slotting categories</w:t>
      </w:r>
      <w:r w:rsidR="00F73767">
        <w:t>,</w:t>
      </w:r>
      <w:r>
        <w:t xml:space="preserve"> and rely on supervisory risk</w:t>
      </w:r>
      <w:r w:rsidR="004122FD">
        <w:t xml:space="preserve"> </w:t>
      </w:r>
      <w:r>
        <w:t>weights</w:t>
      </w:r>
      <w:r w:rsidR="007F62AC">
        <w:t xml:space="preserve"> for the</w:t>
      </w:r>
      <w:r w:rsidR="00B97EF3">
        <w:t xml:space="preserve"> slotting</w:t>
      </w:r>
      <w:r w:rsidR="007F62AC">
        <w:t xml:space="preserve"> categories</w:t>
      </w:r>
      <w:r w:rsidR="00F73767">
        <w:t xml:space="preserve"> and supervisory estimates for EAD</w:t>
      </w:r>
      <w:r w:rsidR="00A01C8C">
        <w:t>.</w:t>
      </w:r>
    </w:p>
    <w:p w14:paraId="3EB30B71" w14:textId="1D96C09F" w:rsidR="007944BD" w:rsidRPr="00801F41" w:rsidRDefault="007944BD" w:rsidP="00A566F8">
      <w:pPr>
        <w:ind w:left="567"/>
        <w:jc w:val="both"/>
      </w:pPr>
      <w:r w:rsidRPr="00801F41">
        <w:t xml:space="preserve">Under </w:t>
      </w:r>
      <w:r w:rsidR="00A01C8C">
        <w:t>all</w:t>
      </w:r>
      <w:r w:rsidR="00A01C8C" w:rsidRPr="00801F41">
        <w:t xml:space="preserve"> </w:t>
      </w:r>
      <w:r w:rsidRPr="00801F41">
        <w:t xml:space="preserve">approaches, </w:t>
      </w:r>
      <w:r w:rsidR="0082005C">
        <w:t>the</w:t>
      </w:r>
      <w:r w:rsidR="0082005C" w:rsidRPr="00801F41">
        <w:t xml:space="preserve"> </w:t>
      </w:r>
      <w:r w:rsidRPr="00801F41">
        <w:t>ADI must use the relevant IRB risk-weight function</w:t>
      </w:r>
      <w:r w:rsidR="00A01C8C">
        <w:t xml:space="preserve"> or schedule</w:t>
      </w:r>
      <w:r w:rsidRPr="00801F41">
        <w:t>, as detailed in Attachment</w:t>
      </w:r>
      <w:r w:rsidR="00FD5137">
        <w:t xml:space="preserve"> A</w:t>
      </w:r>
      <w:r w:rsidR="00A53E29">
        <w:t xml:space="preserve"> to this Prudential Standard</w:t>
      </w:r>
      <w:r w:rsidRPr="00801F41">
        <w:t xml:space="preserve">, </w:t>
      </w:r>
      <w:r w:rsidR="00AA4E67">
        <w:t>to derive</w:t>
      </w:r>
      <w:r w:rsidRPr="00801F41">
        <w:t xml:space="preserve"> </w:t>
      </w:r>
      <w:r w:rsidR="00FD5137">
        <w:t>RWA</w:t>
      </w:r>
      <w:r w:rsidRPr="00801F41" w:rsidDel="00BE3A22">
        <w:t xml:space="preserve"> </w:t>
      </w:r>
      <w:r w:rsidRPr="00801F41" w:rsidDel="00BE3A22">
        <w:lastRenderedPageBreak/>
        <w:t>for UL</w:t>
      </w:r>
      <w:r w:rsidR="00803C29" w:rsidDel="00BE3A22">
        <w:t xml:space="preserve"> </w:t>
      </w:r>
      <w:r w:rsidR="00803C29" w:rsidDel="001A6713">
        <w:t>and</w:t>
      </w:r>
      <w:r w:rsidR="00803C29" w:rsidDel="009640DD">
        <w:t xml:space="preserve"> </w:t>
      </w:r>
      <w:r w:rsidR="00AA4E67">
        <w:t xml:space="preserve">the approach </w:t>
      </w:r>
      <w:r w:rsidR="00B97EF3">
        <w:t>detailed</w:t>
      </w:r>
      <w:r w:rsidR="00AA4E67">
        <w:t xml:space="preserve"> in Attachment </w:t>
      </w:r>
      <w:r w:rsidR="00FD5137">
        <w:t>C</w:t>
      </w:r>
      <w:r w:rsidR="00A53E29">
        <w:t xml:space="preserve"> to this Prudential Standard</w:t>
      </w:r>
      <w:r w:rsidR="00AA4E67">
        <w:t xml:space="preserve"> to de</w:t>
      </w:r>
      <w:r w:rsidR="008555B7">
        <w:t>rive</w:t>
      </w:r>
      <w:r w:rsidR="00AA4E67">
        <w:t xml:space="preserve"> EL</w:t>
      </w:r>
      <w:r w:rsidR="000A403A">
        <w:t>.</w:t>
      </w:r>
    </w:p>
    <w:p w14:paraId="7D92DEF9" w14:textId="36CF4558" w:rsidR="007944BD" w:rsidRPr="002744F4" w:rsidRDefault="004413C0" w:rsidP="007944BD">
      <w:pPr>
        <w:pStyle w:val="BodyText1"/>
      </w:pPr>
      <w:bookmarkStart w:id="23" w:name="_Ref34114174"/>
      <w:r>
        <w:t>An</w:t>
      </w:r>
      <w:r w:rsidR="002D30DE">
        <w:t xml:space="preserve"> </w:t>
      </w:r>
      <w:r w:rsidR="007944BD" w:rsidRPr="002744F4">
        <w:t>ADI must apply the:</w:t>
      </w:r>
      <w:bookmarkEnd w:id="23"/>
    </w:p>
    <w:p w14:paraId="1B1041F9" w14:textId="02DC7963" w:rsidR="00A60668" w:rsidRDefault="00A60668" w:rsidP="00A60668">
      <w:pPr>
        <w:pStyle w:val="BodyText2"/>
      </w:pPr>
      <w:r>
        <w:t>FIRB approach to all sovereign, financial institution</w:t>
      </w:r>
      <w:r w:rsidR="000A403A">
        <w:t xml:space="preserve"> and large corporate exposures</w:t>
      </w:r>
      <w:r w:rsidR="00C210A6">
        <w:t>,</w:t>
      </w:r>
      <w:r w:rsidR="00777D07">
        <w:t xml:space="preserve"> except IPRE</w:t>
      </w:r>
      <w:r w:rsidR="00D65AF7">
        <w:t xml:space="preserve"> exposures</w:t>
      </w:r>
      <w:r w:rsidR="00777D07">
        <w:t xml:space="preserve"> that meet </w:t>
      </w:r>
      <w:r w:rsidR="00D65AF7">
        <w:t>the</w:t>
      </w:r>
      <w:r w:rsidR="00777D07">
        <w:t xml:space="preserve"> definition of </w:t>
      </w:r>
      <w:r w:rsidR="00D65AF7">
        <w:t xml:space="preserve">a </w:t>
      </w:r>
      <w:r w:rsidR="00777D07">
        <w:t>large corporate</w:t>
      </w:r>
      <w:r w:rsidR="00D65AF7">
        <w:t xml:space="preserve"> exposure</w:t>
      </w:r>
      <w:r w:rsidR="00777D07">
        <w:t xml:space="preserve"> </w:t>
      </w:r>
      <w:r w:rsidR="00C210A6">
        <w:t>where</w:t>
      </w:r>
      <w:r w:rsidR="00777D07">
        <w:t xml:space="preserve"> the ADI may apply a FIRB or </w:t>
      </w:r>
      <w:r w:rsidR="00D65AF7">
        <w:t xml:space="preserve">supervisory </w:t>
      </w:r>
      <w:r w:rsidR="00777D07">
        <w:t>slotting approach in accordance with its IRB approval</w:t>
      </w:r>
      <w:r w:rsidR="000A403A">
        <w:t>;</w:t>
      </w:r>
    </w:p>
    <w:p w14:paraId="14167610" w14:textId="1ECB1A4B" w:rsidR="007944BD" w:rsidRDefault="00421317" w:rsidP="00A60668">
      <w:pPr>
        <w:pStyle w:val="BodyText2"/>
      </w:pPr>
      <w:r>
        <w:t xml:space="preserve">retail IRB approach </w:t>
      </w:r>
      <w:r w:rsidR="00EB3F5D">
        <w:t>to</w:t>
      </w:r>
      <w:r>
        <w:t xml:space="preserve"> all retail exposures; </w:t>
      </w:r>
      <w:r w:rsidR="007944BD">
        <w:t>and</w:t>
      </w:r>
    </w:p>
    <w:p w14:paraId="3CBBECF3" w14:textId="2AC01BB9" w:rsidR="007944BD" w:rsidRDefault="007944BD" w:rsidP="007944BD">
      <w:pPr>
        <w:pStyle w:val="BodyText2"/>
      </w:pPr>
      <w:r w:rsidRPr="002744F4">
        <w:t xml:space="preserve">supervisory slotting approach </w:t>
      </w:r>
      <w:r w:rsidR="00EB3F5D">
        <w:t>to</w:t>
      </w:r>
      <w:r w:rsidRPr="002744F4">
        <w:t xml:space="preserve"> all </w:t>
      </w:r>
      <w:r w:rsidR="00D65AF7">
        <w:t>project finance</w:t>
      </w:r>
      <w:r w:rsidR="00777D07">
        <w:t xml:space="preserve">, </w:t>
      </w:r>
      <w:r w:rsidR="00D65AF7">
        <w:t>object finance and commodities finance exposures.</w:t>
      </w:r>
      <w:r w:rsidR="0034646E">
        <w:t xml:space="preserve"> </w:t>
      </w:r>
    </w:p>
    <w:p w14:paraId="57165640" w14:textId="43943FF5" w:rsidR="00FE643D" w:rsidRDefault="00FE643D" w:rsidP="004F479D">
      <w:pPr>
        <w:pStyle w:val="BodyText1"/>
      </w:pPr>
      <w:r>
        <w:t>An ADI may reduce</w:t>
      </w:r>
      <w:r w:rsidR="004F479D">
        <w:t xml:space="preserve"> its Regulatory Capital requirement through the use of </w:t>
      </w:r>
      <w:r w:rsidR="00F27FA6">
        <w:t>CRM</w:t>
      </w:r>
      <w:r w:rsidR="007574F3">
        <w:t xml:space="preserve"> where it meets the requirements detailed in Attachment</w:t>
      </w:r>
      <w:r w:rsidR="0046186E">
        <w:t>s</w:t>
      </w:r>
      <w:r w:rsidR="0033162C">
        <w:t xml:space="preserve"> B, E</w:t>
      </w:r>
      <w:r w:rsidR="007574F3">
        <w:t xml:space="preserve"> and F</w:t>
      </w:r>
      <w:r w:rsidR="00A53E29">
        <w:t xml:space="preserve"> to this Prudential Standard</w:t>
      </w:r>
      <w:r w:rsidR="00015123">
        <w:t>, and APS 112 where applicable</w:t>
      </w:r>
      <w:r w:rsidR="004F479D">
        <w:t>.</w:t>
      </w:r>
    </w:p>
    <w:p w14:paraId="356EC18C" w14:textId="7B5AB3E3" w:rsidR="00AF3259" w:rsidRDefault="00AF3259" w:rsidP="00115253">
      <w:pPr>
        <w:pStyle w:val="Heading2body"/>
      </w:pPr>
      <w:bookmarkStart w:id="24" w:name="_Toc176183663"/>
      <w:r>
        <w:t>Governance and oversight</w:t>
      </w:r>
      <w:bookmarkEnd w:id="24"/>
    </w:p>
    <w:p w14:paraId="7503F478" w14:textId="0F7B1B08" w:rsidR="00AF3259" w:rsidRPr="00165E81" w:rsidRDefault="00AF3259" w:rsidP="00AF3259">
      <w:pPr>
        <w:pStyle w:val="BodyText1"/>
      </w:pPr>
      <w:r w:rsidRPr="00165E81">
        <w:t xml:space="preserve">All material aspects of an ADI’s rating and estimation processes must be approved by the ADI’s </w:t>
      </w:r>
      <w:r w:rsidRPr="00A64E29">
        <w:rPr>
          <w:b/>
        </w:rPr>
        <w:t>Board</w:t>
      </w:r>
      <w:r w:rsidRPr="00165E81">
        <w:t>, or</w:t>
      </w:r>
      <w:r>
        <w:t xml:space="preserve"> relevant</w:t>
      </w:r>
      <w:r w:rsidRPr="00165E81">
        <w:t xml:space="preserve"> Board committee, and senior management. Those parties must possess a general understanding of the ADI’s rating systems and a detailed understanding of the associated management reports. Senior management must notify the Board, or </w:t>
      </w:r>
      <w:r>
        <w:t xml:space="preserve">Board </w:t>
      </w:r>
      <w:r w:rsidRPr="00165E81">
        <w:t>committee, of material changes or exceptions from established policies that could have a material impact on the ADI’s rating system</w:t>
      </w:r>
      <w:r>
        <w:t>s</w:t>
      </w:r>
      <w:r w:rsidR="000A403A">
        <w:t>.</w:t>
      </w:r>
    </w:p>
    <w:p w14:paraId="33C68CEA" w14:textId="20D43C80" w:rsidR="00AF3259" w:rsidRPr="00165E81" w:rsidRDefault="00AF3259" w:rsidP="00AF3259">
      <w:pPr>
        <w:pStyle w:val="BodyText1"/>
      </w:pPr>
      <w:r w:rsidRPr="00165E81">
        <w:t xml:space="preserve">Senior management must understand the design and operation of </w:t>
      </w:r>
      <w:r>
        <w:t>an</w:t>
      </w:r>
      <w:r w:rsidRPr="00165E81">
        <w:t xml:space="preserve"> ADI’s rating systems and approve any material differences identified between established procedures and actual practice. Senior management must ensure that the rating system</w:t>
      </w:r>
      <w:r w:rsidR="004D411F">
        <w:t>s</w:t>
      </w:r>
      <w:r w:rsidRPr="00165E81">
        <w:t xml:space="preserve"> </w:t>
      </w:r>
      <w:r w:rsidR="004D411F">
        <w:t>are</w:t>
      </w:r>
      <w:r w:rsidR="004D411F" w:rsidRPr="00165E81">
        <w:t xml:space="preserve"> </w:t>
      </w:r>
      <w:r w:rsidRPr="00165E81">
        <w:t>operating as intended on an ongoing basis. Senior management and staff in the credit risk control function must meet regularly to discuss the performance of the rating process, areas requiring improvement and the status of efforts to improve prev</w:t>
      </w:r>
      <w:r w:rsidR="000A403A">
        <w:t>iously identified deficiencies.</w:t>
      </w:r>
    </w:p>
    <w:p w14:paraId="6318C772" w14:textId="77777777" w:rsidR="00AF3259" w:rsidRDefault="00AF3259" w:rsidP="00AF3259">
      <w:pPr>
        <w:pStyle w:val="BodyText1"/>
      </w:pPr>
      <w:r w:rsidRPr="00003398">
        <w:t>Internal ratings must be an essential part of the reporting to the Board and senior management.</w:t>
      </w:r>
      <w:r w:rsidRPr="00165E81">
        <w:t xml:space="preserve"> Reporting must include</w:t>
      </w:r>
      <w:r>
        <w:t>:</w:t>
      </w:r>
    </w:p>
    <w:p w14:paraId="48A84378" w14:textId="77777777" w:rsidR="00AF3259" w:rsidRDefault="00AF3259" w:rsidP="00AF3259">
      <w:pPr>
        <w:pStyle w:val="BodyText2"/>
      </w:pPr>
      <w:r w:rsidRPr="00165E81">
        <w:t>risk profile by grade</w:t>
      </w:r>
      <w:r>
        <w:t>;</w:t>
      </w:r>
    </w:p>
    <w:p w14:paraId="7A313160" w14:textId="44E23FFD" w:rsidR="00AF3259" w:rsidRDefault="00AF3259" w:rsidP="00AF3259">
      <w:pPr>
        <w:pStyle w:val="BodyText2"/>
      </w:pPr>
      <w:r w:rsidRPr="00165E81">
        <w:t xml:space="preserve">migration across </w:t>
      </w:r>
      <w:r w:rsidR="004D6F01">
        <w:t>borrower</w:t>
      </w:r>
      <w:r w:rsidRPr="00165E81">
        <w:t xml:space="preserve"> grades</w:t>
      </w:r>
      <w:r>
        <w:t>;</w:t>
      </w:r>
    </w:p>
    <w:p w14:paraId="4C402776" w14:textId="68E190B2" w:rsidR="00AF3259" w:rsidRDefault="00AF3259" w:rsidP="00AF3259">
      <w:pPr>
        <w:pStyle w:val="BodyText2"/>
      </w:pPr>
      <w:r w:rsidRPr="00165E81">
        <w:t xml:space="preserve">quantitative estimates of the relevant parameters for each </w:t>
      </w:r>
      <w:r w:rsidR="004D6F01">
        <w:t>borrower</w:t>
      </w:r>
      <w:r w:rsidRPr="00165E81">
        <w:t xml:space="preserve"> grade and</w:t>
      </w:r>
      <w:r>
        <w:t>,</w:t>
      </w:r>
      <w:r w:rsidRPr="00165E81">
        <w:t xml:space="preserve"> where relevant, facility grade</w:t>
      </w:r>
      <w:r>
        <w:t>;</w:t>
      </w:r>
      <w:r w:rsidR="000A403A">
        <w:t xml:space="preserve"> and</w:t>
      </w:r>
    </w:p>
    <w:p w14:paraId="5436AFCF" w14:textId="3C1346A7" w:rsidR="00AF3259" w:rsidRDefault="00AF3259" w:rsidP="00AF3259">
      <w:pPr>
        <w:pStyle w:val="BodyText2"/>
      </w:pPr>
      <w:r w:rsidRPr="00165E81">
        <w:t>comparison of realised default rates (and</w:t>
      </w:r>
      <w:r w:rsidR="004D411F">
        <w:t>, where relevant,</w:t>
      </w:r>
      <w:r w:rsidRPr="00165E81">
        <w:t xml:space="preserve"> realised LGD and EAD rates</w:t>
      </w:r>
      <w:r w:rsidR="000A403A">
        <w:t>) against expectations.</w:t>
      </w:r>
    </w:p>
    <w:p w14:paraId="51037F26" w14:textId="77777777" w:rsidR="00AF3259" w:rsidRDefault="00AF3259" w:rsidP="00AF3259">
      <w:pPr>
        <w:pStyle w:val="BodyText2"/>
        <w:numPr>
          <w:ilvl w:val="0"/>
          <w:numId w:val="0"/>
        </w:numPr>
        <w:ind w:left="567"/>
      </w:pPr>
      <w:r w:rsidRPr="00165E81">
        <w:t>Reporting frequencies may vary with the significance and type of information and the level of the recipients.</w:t>
      </w:r>
    </w:p>
    <w:p w14:paraId="0E31C4AD" w14:textId="64D63372" w:rsidR="00AF3259" w:rsidRDefault="00AF3259" w:rsidP="00AF3259">
      <w:pPr>
        <w:pStyle w:val="BodyText1"/>
      </w:pPr>
      <w:r>
        <w:lastRenderedPageBreak/>
        <w:t xml:space="preserve">An ADI must have </w:t>
      </w:r>
      <w:r w:rsidR="006531F1">
        <w:t xml:space="preserve">documented </w:t>
      </w:r>
      <w:r>
        <w:t xml:space="preserve">policies that detail sound rating </w:t>
      </w:r>
      <w:r w:rsidR="00F902ED">
        <w:t xml:space="preserve">system </w:t>
      </w:r>
      <w:r>
        <w:t>development, validation, implementation, governance and control processes. These policies must:</w:t>
      </w:r>
    </w:p>
    <w:p w14:paraId="2652DB98" w14:textId="5DF7663C" w:rsidR="00AF3259" w:rsidRDefault="00CF089B" w:rsidP="00AF3259">
      <w:pPr>
        <w:pStyle w:val="BodyText2"/>
      </w:pPr>
      <w:r>
        <w:t>be</w:t>
      </w:r>
      <w:r w:rsidR="00AF3259">
        <w:t xml:space="preserve"> approved and actively discussed by the ADI’s Board or a delegated committee;</w:t>
      </w:r>
    </w:p>
    <w:p w14:paraId="53BF1947" w14:textId="75E2F221" w:rsidR="00AF3259" w:rsidRDefault="00AF3259" w:rsidP="00AF3259">
      <w:pPr>
        <w:pStyle w:val="BodyText2"/>
      </w:pPr>
      <w:r>
        <w:t xml:space="preserve">define the roles and responsibilities of </w:t>
      </w:r>
      <w:r w:rsidR="006531F1">
        <w:t>p</w:t>
      </w:r>
      <w:r w:rsidR="00CF089B">
        <w:t>arties</w:t>
      </w:r>
      <w:r w:rsidR="006531F1">
        <w:t xml:space="preserve"> </w:t>
      </w:r>
      <w:r>
        <w:t xml:space="preserve">involved in rating </w:t>
      </w:r>
      <w:r w:rsidR="00F902ED">
        <w:t xml:space="preserve">system </w:t>
      </w:r>
      <w:r>
        <w:t>development, validation, approval and implementation;</w:t>
      </w:r>
    </w:p>
    <w:p w14:paraId="6539A86F" w14:textId="77777777" w:rsidR="00AF3259" w:rsidRDefault="00AF3259" w:rsidP="00AF3259">
      <w:pPr>
        <w:pStyle w:val="BodyText2"/>
      </w:pPr>
      <w:r>
        <w:t>be actively enforced by senior management;</w:t>
      </w:r>
    </w:p>
    <w:p w14:paraId="6FFF9CE3" w14:textId="7DEF5E21" w:rsidR="00AF3259" w:rsidRDefault="00AF3259" w:rsidP="00AF3259">
      <w:pPr>
        <w:pStyle w:val="BodyText2"/>
      </w:pPr>
      <w:r>
        <w:t>outline the processes for the development, validation, approval</w:t>
      </w:r>
      <w:r w:rsidR="00CF089B">
        <w:t>,</w:t>
      </w:r>
      <w:r>
        <w:t xml:space="preserve"> implementation</w:t>
      </w:r>
      <w:r w:rsidR="00CF089B">
        <w:t xml:space="preserve"> and governance</w:t>
      </w:r>
      <w:r>
        <w:t xml:space="preserve"> of all rating and estimation processes. This must include the formation of:</w:t>
      </w:r>
    </w:p>
    <w:p w14:paraId="3C32A641" w14:textId="7839698A" w:rsidR="00AF3259" w:rsidRDefault="00AF3259" w:rsidP="00AF3259">
      <w:pPr>
        <w:pStyle w:val="BodyText3"/>
      </w:pPr>
      <w:r>
        <w:t>a register that documents the specification, application</w:t>
      </w:r>
      <w:r w:rsidR="004D411F">
        <w:t>,</w:t>
      </w:r>
      <w:r>
        <w:t xml:space="preserve"> risk classification (materiality)</w:t>
      </w:r>
      <w:r w:rsidR="004D411F">
        <w:t xml:space="preserve"> and owner</w:t>
      </w:r>
      <w:r>
        <w:t xml:space="preserve"> of each </w:t>
      </w:r>
      <w:r w:rsidDel="00F902ED">
        <w:t xml:space="preserve">rating </w:t>
      </w:r>
      <w:r w:rsidR="006531F1">
        <w:t>system</w:t>
      </w:r>
      <w:r>
        <w:t>;</w:t>
      </w:r>
    </w:p>
    <w:p w14:paraId="7E20D3C4" w14:textId="42876E42" w:rsidR="00AF3259" w:rsidRDefault="00AF3259" w:rsidP="00AF3259">
      <w:pPr>
        <w:pStyle w:val="BodyText3"/>
      </w:pPr>
      <w:r>
        <w:t xml:space="preserve">a change log covering all </w:t>
      </w:r>
      <w:r w:rsidR="00F902ED">
        <w:t>rating system</w:t>
      </w:r>
      <w:r>
        <w:t xml:space="preserve"> changes; and</w:t>
      </w:r>
    </w:p>
    <w:p w14:paraId="4C690355" w14:textId="6C25DBF6" w:rsidR="00AF3259" w:rsidRDefault="00AF3259" w:rsidP="00AF3259">
      <w:pPr>
        <w:pStyle w:val="BodyText3"/>
      </w:pPr>
      <w:r>
        <w:t xml:space="preserve">a centralised issues register that records issues relating to each </w:t>
      </w:r>
      <w:r w:rsidR="00F902ED">
        <w:t>rating system</w:t>
      </w:r>
      <w:r>
        <w:t>;</w:t>
      </w:r>
      <w:r w:rsidR="004D411F">
        <w:t xml:space="preserve"> and</w:t>
      </w:r>
    </w:p>
    <w:p w14:paraId="73B1BAE7" w14:textId="1A67545D" w:rsidR="00AF3259" w:rsidRDefault="00AF3259" w:rsidP="00AF3259">
      <w:pPr>
        <w:pStyle w:val="BodyText2"/>
      </w:pPr>
      <w:r>
        <w:t xml:space="preserve">outline an ongoing monitoring and validation cycle for each rating </w:t>
      </w:r>
      <w:r w:rsidR="00F902ED">
        <w:t>system</w:t>
      </w:r>
      <w:r w:rsidR="000A403A">
        <w:t>.</w:t>
      </w:r>
    </w:p>
    <w:p w14:paraId="4EB5111A" w14:textId="77777777" w:rsidR="00D37456" w:rsidRDefault="00D37456" w:rsidP="00D37456">
      <w:pPr>
        <w:pStyle w:val="Heading3"/>
      </w:pPr>
      <w:r>
        <w:t>Credit risk control</w:t>
      </w:r>
    </w:p>
    <w:p w14:paraId="135DF282" w14:textId="77777777" w:rsidR="00D37456" w:rsidRPr="00165E81" w:rsidRDefault="00D37456" w:rsidP="00D37456">
      <w:pPr>
        <w:pStyle w:val="BodyText1"/>
      </w:pPr>
      <w:r w:rsidRPr="00165E81">
        <w:t>An ADI must have an independent credit risk control unit that is responsible for the design or selection, implementation and performance of the ADI’s rating systems. The unit must be functionally independent of the personnel and management functions responsible for originating exposures. Areas of responsibility must include:</w:t>
      </w:r>
    </w:p>
    <w:p w14:paraId="162D1376" w14:textId="76B37602" w:rsidR="00D37456" w:rsidRPr="00165E81" w:rsidRDefault="00D37456" w:rsidP="00D37456">
      <w:pPr>
        <w:pStyle w:val="BodyText2"/>
      </w:pPr>
      <w:r w:rsidRPr="00165E81">
        <w:t xml:space="preserve">testing and monitoring internal </w:t>
      </w:r>
      <w:r w:rsidR="004D6F01">
        <w:t>borrower</w:t>
      </w:r>
      <w:r w:rsidR="004D6F01" w:rsidRPr="00165E81">
        <w:t xml:space="preserve"> </w:t>
      </w:r>
      <w:r w:rsidRPr="00165E81">
        <w:t>and facility grades</w:t>
      </w:r>
      <w:r>
        <w:t>, and pools</w:t>
      </w:r>
      <w:r w:rsidRPr="00165E81">
        <w:t>;</w:t>
      </w:r>
    </w:p>
    <w:p w14:paraId="5A504C1D" w14:textId="5AD3055E" w:rsidR="00D37456" w:rsidRPr="00165E81" w:rsidRDefault="00D37456" w:rsidP="00D37456">
      <w:pPr>
        <w:pStyle w:val="BodyText2"/>
      </w:pPr>
      <w:r w:rsidRPr="00165E81">
        <w:t>production and analysis of summary reports from the ADI’s rating system</w:t>
      </w:r>
      <w:r>
        <w:t>s</w:t>
      </w:r>
      <w:r w:rsidRPr="00165E81">
        <w:t xml:space="preserve">, including historical default data sorted by </w:t>
      </w:r>
      <w:r w:rsidR="00A56E36">
        <w:t xml:space="preserve">the </w:t>
      </w:r>
      <w:r w:rsidRPr="00165E81">
        <w:t>rating at the time of default and one year prior to default, migration analysis and monitoring of</w:t>
      </w:r>
      <w:r>
        <w:t xml:space="preserve"> trends in key rating criteria;</w:t>
      </w:r>
    </w:p>
    <w:p w14:paraId="5584E1DB" w14:textId="77777777" w:rsidR="00D37456" w:rsidRPr="00165E81" w:rsidRDefault="00D37456" w:rsidP="00D37456">
      <w:pPr>
        <w:pStyle w:val="BodyText2"/>
      </w:pPr>
      <w:r w:rsidRPr="00165E81">
        <w:t xml:space="preserve">implementing procedures to verify that rating definitions are consistently applied across </w:t>
      </w:r>
      <w:r>
        <w:t>business units</w:t>
      </w:r>
      <w:r w:rsidRPr="00165E81">
        <w:t xml:space="preserve"> </w:t>
      </w:r>
      <w:r>
        <w:t>and geographic areas;</w:t>
      </w:r>
    </w:p>
    <w:p w14:paraId="65D968EC" w14:textId="77777777" w:rsidR="00D37456" w:rsidRPr="00165E81" w:rsidRDefault="00D37456" w:rsidP="00D37456">
      <w:pPr>
        <w:pStyle w:val="BodyText2"/>
      </w:pPr>
      <w:r w:rsidRPr="00165E81">
        <w:t>reviewing and documenting any changes to the rating process, including the reasons for those changes; and</w:t>
      </w:r>
    </w:p>
    <w:p w14:paraId="609B01D2" w14:textId="77777777" w:rsidR="00D37456" w:rsidRPr="00165E81" w:rsidRDefault="00D37456" w:rsidP="00D37456">
      <w:pPr>
        <w:pStyle w:val="BodyText2"/>
      </w:pPr>
      <w:r w:rsidRPr="00165E81">
        <w:t xml:space="preserve">reviewing the rating criteria to evaluate if </w:t>
      </w:r>
      <w:r>
        <w:t>they remain predictive of risk.</w:t>
      </w:r>
    </w:p>
    <w:p w14:paraId="35A1B832" w14:textId="77777777" w:rsidR="00D37456" w:rsidRDefault="00D37456" w:rsidP="00D37456">
      <w:pPr>
        <w:pStyle w:val="BodyText1"/>
      </w:pPr>
      <w:r w:rsidRPr="00165E81">
        <w:t xml:space="preserve">The credit risk control unit must actively participate in the development, selection, implementation and validation of rating models. It must assume oversight and supervision responsibilities for any models used in the rating </w:t>
      </w:r>
      <w:r w:rsidRPr="00165E81">
        <w:lastRenderedPageBreak/>
        <w:t>process and have ultimate responsibility for the ongoing review of, and alterations to, the ADI’s rating models</w:t>
      </w:r>
      <w:r>
        <w:t>.</w:t>
      </w:r>
    </w:p>
    <w:p w14:paraId="18242704" w14:textId="680B9884" w:rsidR="00D37456" w:rsidRPr="00165E81" w:rsidRDefault="00D37456" w:rsidP="00D37456">
      <w:pPr>
        <w:pStyle w:val="BodyText1"/>
      </w:pPr>
      <w:r>
        <w:t xml:space="preserve">In order to ensure proper accountability, an ADI’s policies must </w:t>
      </w:r>
      <w:r w:rsidR="009E7883">
        <w:t>clearly define and document the responsibilities of, and performance standards for, personnel within the credit risk control unit</w:t>
      </w:r>
      <w:r>
        <w:t xml:space="preserve">. </w:t>
      </w:r>
      <w:r w:rsidR="0040081E">
        <w:t xml:space="preserve">Personnel </w:t>
      </w:r>
      <w:r>
        <w:t xml:space="preserve">must have </w:t>
      </w:r>
      <w:r w:rsidR="0040081E">
        <w:t xml:space="preserve">the </w:t>
      </w:r>
      <w:r>
        <w:t>appropriate incentives to meet their performance standards and the knowledge, skills, tools and resources necessary to carry out their responsibilities.</w:t>
      </w:r>
    </w:p>
    <w:p w14:paraId="3DF9778E" w14:textId="77777777" w:rsidR="00D37456" w:rsidRDefault="00D37456" w:rsidP="00D37456">
      <w:pPr>
        <w:pStyle w:val="Heading3"/>
      </w:pPr>
      <w:r>
        <w:t>Independent review</w:t>
      </w:r>
    </w:p>
    <w:p w14:paraId="266C57C8" w14:textId="26F45C21" w:rsidR="00D37456" w:rsidRDefault="00D37456" w:rsidP="00D37456">
      <w:pPr>
        <w:pStyle w:val="BodyText1"/>
      </w:pPr>
      <w:r w:rsidRPr="00165E81">
        <w:t>An ADI’s rating system</w:t>
      </w:r>
      <w:r>
        <w:t>s</w:t>
      </w:r>
      <w:r w:rsidRPr="00165E81">
        <w:t xml:space="preserve"> and operations</w:t>
      </w:r>
      <w:r>
        <w:t xml:space="preserve"> must be reviewed at least annually by internal audit or an equally independent function. The review must assess </w:t>
      </w:r>
      <w:r w:rsidR="001B5F5B">
        <w:t xml:space="preserve">whether </w:t>
      </w:r>
      <w:r>
        <w:t xml:space="preserve">the ADI’s development, implementation, validation, governance and control processes are </w:t>
      </w:r>
      <w:r w:rsidR="00F3560B">
        <w:t xml:space="preserve">effective and </w:t>
      </w:r>
      <w:r>
        <w:t>operating as designed. The areas of review must include:</w:t>
      </w:r>
    </w:p>
    <w:p w14:paraId="25705B4A" w14:textId="747D3B88" w:rsidR="00D37456" w:rsidRDefault="00D37456" w:rsidP="00D37456">
      <w:pPr>
        <w:pStyle w:val="BodyText2"/>
      </w:pPr>
      <w:r w:rsidRPr="00165E81">
        <w:t>the operations of the credit risk control function</w:t>
      </w:r>
      <w:r>
        <w:t>;</w:t>
      </w:r>
    </w:p>
    <w:p w14:paraId="626AF23C" w14:textId="7C108A9D" w:rsidR="00D37456" w:rsidRDefault="00D37456" w:rsidP="00D37456">
      <w:pPr>
        <w:pStyle w:val="BodyText2"/>
      </w:pPr>
      <w:r w:rsidRPr="00165E81">
        <w:t>the estimation of PD and, where relevant, LGD and EAD</w:t>
      </w:r>
      <w:r>
        <w:t>; and</w:t>
      </w:r>
    </w:p>
    <w:p w14:paraId="3BDBC528" w14:textId="18CA155C" w:rsidR="00D37456" w:rsidRDefault="00D37456" w:rsidP="00D37456">
      <w:pPr>
        <w:pStyle w:val="BodyText2"/>
      </w:pPr>
      <w:r>
        <w:t xml:space="preserve">the ADI’s </w:t>
      </w:r>
      <w:r w:rsidRPr="00165E81">
        <w:t>adherence to all applicable minimum requiremen</w:t>
      </w:r>
      <w:r>
        <w:t xml:space="preserve">ts detailed in this </w:t>
      </w:r>
      <w:r w:rsidR="00A50D74">
        <w:t>Prudential Standard</w:t>
      </w:r>
      <w:r>
        <w:t>.</w:t>
      </w:r>
    </w:p>
    <w:p w14:paraId="792775CE" w14:textId="77777777" w:rsidR="00D37456" w:rsidRPr="00165E81" w:rsidRDefault="00D37456" w:rsidP="00D37456">
      <w:pPr>
        <w:ind w:left="567"/>
      </w:pPr>
      <w:r w:rsidRPr="00165E81">
        <w:t>The findings of this review</w:t>
      </w:r>
      <w:r>
        <w:t xml:space="preserve"> must be documented.</w:t>
      </w:r>
    </w:p>
    <w:p w14:paraId="74659609" w14:textId="40E55E5A" w:rsidR="00A6042D" w:rsidRDefault="00A6042D" w:rsidP="00115253">
      <w:pPr>
        <w:pStyle w:val="Heading2body"/>
      </w:pPr>
      <w:bookmarkStart w:id="25" w:name="_Toc176183664"/>
      <w:r>
        <w:t>Asset classes</w:t>
      </w:r>
      <w:bookmarkEnd w:id="25"/>
    </w:p>
    <w:p w14:paraId="01A81F58" w14:textId="28302B1E" w:rsidR="006F2EDD" w:rsidRDefault="00437678" w:rsidP="006F2EDD">
      <w:pPr>
        <w:pStyle w:val="BodyText1"/>
      </w:pPr>
      <w:r>
        <w:t xml:space="preserve">For the purpose of deriving </w:t>
      </w:r>
      <w:r w:rsidR="00300231">
        <w:t>the</w:t>
      </w:r>
      <w:r w:rsidR="00803C29">
        <w:t xml:space="preserve"> Regulatory</w:t>
      </w:r>
      <w:r w:rsidR="00300231">
        <w:t xml:space="preserve"> </w:t>
      </w:r>
      <w:r w:rsidR="00803C29">
        <w:t>C</w:t>
      </w:r>
      <w:r>
        <w:t>apital requirement</w:t>
      </w:r>
      <w:r w:rsidR="009213DD">
        <w:t xml:space="preserve"> under </w:t>
      </w:r>
      <w:r w:rsidR="00BC61C7">
        <w:t xml:space="preserve">an </w:t>
      </w:r>
      <w:r w:rsidR="009213DD">
        <w:t>IRB approach</w:t>
      </w:r>
      <w:r>
        <w:t xml:space="preserve">, </w:t>
      </w:r>
      <w:r w:rsidR="006F2EDD" w:rsidRPr="008C0428">
        <w:t>an ADI must</w:t>
      </w:r>
      <w:r w:rsidR="009213DD">
        <w:t xml:space="preserve"> assign its</w:t>
      </w:r>
      <w:r w:rsidR="006F2EDD" w:rsidRPr="008C0428">
        <w:t xml:space="preserve"> banking book exposures to </w:t>
      </w:r>
      <w:r w:rsidR="009213DD">
        <w:t>one of the following IRB asset classes</w:t>
      </w:r>
      <w:r w:rsidR="006F2EDD" w:rsidRPr="008C0428">
        <w:t xml:space="preserve">: </w:t>
      </w:r>
    </w:p>
    <w:p w14:paraId="29C71609" w14:textId="346B69C8" w:rsidR="006F2EDD" w:rsidRDefault="006F2EDD" w:rsidP="006F2EDD">
      <w:pPr>
        <w:pStyle w:val="BodyText2"/>
      </w:pPr>
      <w:r w:rsidRPr="008C0428">
        <w:t xml:space="preserve">corporate (which includes </w:t>
      </w:r>
      <w:r>
        <w:t xml:space="preserve">the </w:t>
      </w:r>
      <w:r w:rsidRPr="008C0428">
        <w:t xml:space="preserve">four sub-asset classes of </w:t>
      </w:r>
      <w:r>
        <w:t>specialised lending</w:t>
      </w:r>
      <w:r w:rsidRPr="008C0428">
        <w:t>)</w:t>
      </w:r>
      <w:r>
        <w:t>;</w:t>
      </w:r>
    </w:p>
    <w:p w14:paraId="55A53169" w14:textId="17C5DD6C" w:rsidR="006F2EDD" w:rsidRDefault="006F2EDD" w:rsidP="006F2EDD">
      <w:pPr>
        <w:pStyle w:val="BodyText2"/>
      </w:pPr>
      <w:r w:rsidRPr="008C0428">
        <w:t>sovereign</w:t>
      </w:r>
      <w:r>
        <w:t>;</w:t>
      </w:r>
      <w:r w:rsidRPr="008C0428">
        <w:t xml:space="preserve"> </w:t>
      </w:r>
    </w:p>
    <w:p w14:paraId="3D655BD4" w14:textId="4442B1F9" w:rsidR="006F2EDD" w:rsidRDefault="00850AF0" w:rsidP="006F2EDD">
      <w:pPr>
        <w:pStyle w:val="BodyText2"/>
      </w:pPr>
      <w:r>
        <w:t>financial institution</w:t>
      </w:r>
      <w:r w:rsidR="006F2EDD">
        <w:t>;</w:t>
      </w:r>
      <w:r w:rsidR="006F2EDD" w:rsidRPr="008C0428">
        <w:t xml:space="preserve"> </w:t>
      </w:r>
      <w:r w:rsidR="006F2EDD">
        <w:t>and</w:t>
      </w:r>
    </w:p>
    <w:p w14:paraId="0741603E" w14:textId="78871B15" w:rsidR="006F2EDD" w:rsidRDefault="006F2EDD" w:rsidP="00A005FA">
      <w:pPr>
        <w:pStyle w:val="BodyText2"/>
      </w:pPr>
      <w:r w:rsidRPr="008C0428">
        <w:t xml:space="preserve">retail (which consists of </w:t>
      </w:r>
      <w:r w:rsidR="00300231">
        <w:t>four</w:t>
      </w:r>
      <w:r w:rsidR="00300231" w:rsidRPr="008C0428">
        <w:t xml:space="preserve"> </w:t>
      </w:r>
      <w:r w:rsidRPr="008C0428">
        <w:t>separate sub-asset classes)</w:t>
      </w:r>
      <w:r>
        <w:t>.</w:t>
      </w:r>
    </w:p>
    <w:p w14:paraId="7215EA49" w14:textId="1109AE2B" w:rsidR="006F2EDD" w:rsidRDefault="006F2EDD" w:rsidP="006F2EDD">
      <w:pPr>
        <w:pStyle w:val="BodyText1"/>
      </w:pPr>
      <w:r>
        <w:t>An</w:t>
      </w:r>
      <w:r w:rsidRPr="008C0428">
        <w:t xml:space="preserve"> ADI must ensure that its methodology for assigning credit exposures to different IRB asset classes complies with its IRB approval and is consistent over time. </w:t>
      </w:r>
    </w:p>
    <w:p w14:paraId="3C6D1AE4" w14:textId="4F13222C" w:rsidR="007027EA" w:rsidRPr="008C0428" w:rsidRDefault="007027EA" w:rsidP="007027EA">
      <w:pPr>
        <w:pStyle w:val="Heading3"/>
      </w:pPr>
      <w:r>
        <w:t>Definition of corporate exposures</w:t>
      </w:r>
    </w:p>
    <w:p w14:paraId="712D59B9" w14:textId="4DB344C4" w:rsidR="00B70BA3" w:rsidRDefault="006F2EDD" w:rsidP="00EB3F5D">
      <w:pPr>
        <w:pStyle w:val="BodyText1"/>
      </w:pPr>
      <w:bookmarkStart w:id="26" w:name="_Ref34292642"/>
      <w:r>
        <w:t>The corporate IRB asset class includes all</w:t>
      </w:r>
      <w:r w:rsidR="00613A4D">
        <w:t xml:space="preserve"> credit exposures to</w:t>
      </w:r>
      <w:r>
        <w:t xml:space="preserve"> corporate </w:t>
      </w:r>
      <w:r w:rsidR="00613A4D">
        <w:t>counterparties</w:t>
      </w:r>
      <w:r w:rsidR="00EE713D">
        <w:t xml:space="preserve"> and public sector entities</w:t>
      </w:r>
      <w:r>
        <w:t>, including</w:t>
      </w:r>
      <w:r w:rsidR="004D5743">
        <w:t xml:space="preserve"> exposures within</w:t>
      </w:r>
      <w:r w:rsidR="008C0809">
        <w:t xml:space="preserve"> the four</w:t>
      </w:r>
      <w:r w:rsidR="007027EA">
        <w:t xml:space="preserve"> </w:t>
      </w:r>
      <w:r>
        <w:t xml:space="preserve">specialised lending </w:t>
      </w:r>
      <w:r w:rsidR="008C0809">
        <w:t xml:space="preserve">sub-asset classes of project finance, object finance, commodities finance and </w:t>
      </w:r>
      <w:r w:rsidR="00A50D74">
        <w:t>IPRE</w:t>
      </w:r>
      <w:r>
        <w:t xml:space="preserve">. </w:t>
      </w:r>
      <w:r w:rsidR="00E3308A">
        <w:t>Public sector entities that meet th</w:t>
      </w:r>
      <w:r w:rsidR="00B37AC6">
        <w:t xml:space="preserve">e definition in paragraph 34 are excluded from this asset class. </w:t>
      </w:r>
      <w:r w:rsidR="00460CC4">
        <w:t>A corporate exposure means a credit obligation of a corporation, partnership</w:t>
      </w:r>
      <w:r w:rsidR="00EE713D">
        <w:t>,</w:t>
      </w:r>
      <w:r w:rsidR="00460CC4">
        <w:t xml:space="preserve"> proprietorship</w:t>
      </w:r>
      <w:r w:rsidR="00EE713D">
        <w:t xml:space="preserve"> or public sector </w:t>
      </w:r>
      <w:r w:rsidR="00EE713D">
        <w:lastRenderedPageBreak/>
        <w:t>entity</w:t>
      </w:r>
      <w:r w:rsidR="004D411F">
        <w:t>,</w:t>
      </w:r>
      <w:r w:rsidR="00460CC4">
        <w:t xml:space="preserve"> </w:t>
      </w:r>
      <w:r w:rsidR="004D411F">
        <w:t xml:space="preserve">or </w:t>
      </w:r>
      <w:r w:rsidR="00460CC4">
        <w:t>any other credit exposure that does not meet the criteria of any other defined IRB asset class.</w:t>
      </w:r>
      <w:bookmarkEnd w:id="26"/>
    </w:p>
    <w:p w14:paraId="5CC55BF9" w14:textId="028A64E1" w:rsidR="0022036D" w:rsidRDefault="0022036D" w:rsidP="002723E8">
      <w:pPr>
        <w:pStyle w:val="Heading4"/>
      </w:pPr>
      <w:r>
        <w:t>Income</w:t>
      </w:r>
      <w:r w:rsidR="005E11B4">
        <w:t>-</w:t>
      </w:r>
      <w:r>
        <w:t>producing real estate</w:t>
      </w:r>
    </w:p>
    <w:p w14:paraId="22A0C206" w14:textId="0F2B8576" w:rsidR="002723E8" w:rsidRDefault="00A50D74" w:rsidP="002723E8">
      <w:pPr>
        <w:pStyle w:val="BodyText1"/>
      </w:pPr>
      <w:bookmarkStart w:id="27" w:name="_Ref34235996"/>
      <w:r>
        <w:t>IPRE</w:t>
      </w:r>
      <w:r w:rsidR="0022036D" w:rsidRPr="0022036D">
        <w:t xml:space="preserve"> means a method of providing funding for real estate where the prospects for repayment of the exposure depend primarily on the cash flows generated by</w:t>
      </w:r>
      <w:r w:rsidR="0022036D" w:rsidRPr="0022036D" w:rsidDel="00C304FC">
        <w:t xml:space="preserve"> </w:t>
      </w:r>
      <w:r w:rsidR="0022036D" w:rsidRPr="0022036D" w:rsidDel="002C1E85">
        <w:t xml:space="preserve">the </w:t>
      </w:r>
      <w:r w:rsidR="00C304FC">
        <w:t>asset</w:t>
      </w:r>
      <w:r w:rsidR="002C1E85">
        <w:t xml:space="preserve"> </w:t>
      </w:r>
      <w:r w:rsidR="0022036D" w:rsidRPr="0022036D">
        <w:t xml:space="preserve">or other </w:t>
      </w:r>
      <w:r w:rsidR="002C1E85">
        <w:t>real estate</w:t>
      </w:r>
      <w:r w:rsidR="00A9206E">
        <w:t xml:space="preserve"> assets</w:t>
      </w:r>
      <w:r w:rsidR="002C1E85" w:rsidRPr="0022036D">
        <w:t xml:space="preserve"> </w:t>
      </w:r>
      <w:r w:rsidR="0022036D" w:rsidRPr="0022036D">
        <w:t xml:space="preserve">owned by the </w:t>
      </w:r>
      <w:r w:rsidR="004D6F01">
        <w:t>borrower</w:t>
      </w:r>
      <w:r w:rsidR="0022036D">
        <w:t>.</w:t>
      </w:r>
      <w:bookmarkEnd w:id="27"/>
      <w:r w:rsidR="0022036D">
        <w:t xml:space="preserve"> </w:t>
      </w:r>
    </w:p>
    <w:p w14:paraId="54C241F9" w14:textId="3ECE3091" w:rsidR="002723E8" w:rsidRDefault="002723E8" w:rsidP="002723E8">
      <w:pPr>
        <w:pStyle w:val="BodyText1"/>
      </w:pPr>
      <w:r>
        <w:t xml:space="preserve">In order to treat </w:t>
      </w:r>
      <w:r w:rsidR="005E11B4">
        <w:t>an</w:t>
      </w:r>
      <w:r>
        <w:t xml:space="preserve"> exposure as a general corporate exposure rather than IPRE, an ADI must have recourse to </w:t>
      </w:r>
      <w:r w:rsidR="004D6F01">
        <w:t>a borrower</w:t>
      </w:r>
      <w:r w:rsidR="005E11B4">
        <w:t xml:space="preserve"> </w:t>
      </w:r>
      <w:r>
        <w:t>that meets all of the following criteria:</w:t>
      </w:r>
    </w:p>
    <w:p w14:paraId="70DB91A0" w14:textId="3C7ABCE5" w:rsidR="002723E8" w:rsidRDefault="002723E8" w:rsidP="002723E8">
      <w:pPr>
        <w:pStyle w:val="BodyText2"/>
      </w:pPr>
      <w:r>
        <w:t xml:space="preserve">the </w:t>
      </w:r>
      <w:r w:rsidR="000A403A">
        <w:t>borrower</w:t>
      </w:r>
      <w:r w:rsidR="002C1E85">
        <w:t xml:space="preserve"> </w:t>
      </w:r>
      <w:r>
        <w:t xml:space="preserve">is a </w:t>
      </w:r>
      <w:r w:rsidR="001107C8">
        <w:t>corporate entity that</w:t>
      </w:r>
      <w:r>
        <w:t xml:space="preserve"> is managed by a recognised, professional and reputable management team;</w:t>
      </w:r>
    </w:p>
    <w:p w14:paraId="4D97666B" w14:textId="45976708" w:rsidR="002723E8" w:rsidRDefault="002723E8" w:rsidP="002723E8">
      <w:pPr>
        <w:pStyle w:val="BodyText2"/>
      </w:pPr>
      <w:r>
        <w:t xml:space="preserve">the ADI’s exposure to the </w:t>
      </w:r>
      <w:r w:rsidR="000A403A">
        <w:t>borrower</w:t>
      </w:r>
      <w:r w:rsidR="002C1E85">
        <w:t xml:space="preserve"> </w:t>
      </w:r>
      <w:r>
        <w:t>is not specifically or substantially financing limited recourse development projects;</w:t>
      </w:r>
    </w:p>
    <w:p w14:paraId="59D4805D" w14:textId="7D0521A4" w:rsidR="002723E8" w:rsidRDefault="002723E8" w:rsidP="002723E8">
      <w:pPr>
        <w:pStyle w:val="BodyText2"/>
      </w:pPr>
      <w:r>
        <w:t xml:space="preserve">the </w:t>
      </w:r>
      <w:r w:rsidR="000A403A">
        <w:t>borrower</w:t>
      </w:r>
      <w:r w:rsidR="002C1E85">
        <w:t xml:space="preserve"> </w:t>
      </w:r>
      <w:r>
        <w:t>has greater than $250 million in tangible assets, to which the ADI has unconditional recourse;</w:t>
      </w:r>
    </w:p>
    <w:p w14:paraId="1635BEEB" w14:textId="4A2D3459" w:rsidR="002723E8" w:rsidRDefault="002C1E85" w:rsidP="002723E8">
      <w:pPr>
        <w:pStyle w:val="BodyText2"/>
      </w:pPr>
      <w:r>
        <w:t xml:space="preserve">real estate </w:t>
      </w:r>
      <w:r w:rsidR="002723E8">
        <w:t>assets are sufficiently diversified such that:</w:t>
      </w:r>
    </w:p>
    <w:p w14:paraId="393BC764" w14:textId="3A24DF3E" w:rsidR="002723E8" w:rsidRDefault="002723E8" w:rsidP="002723E8">
      <w:pPr>
        <w:pStyle w:val="BodyText3"/>
      </w:pPr>
      <w:r>
        <w:t xml:space="preserve">no single asset represents greater than 25 per cent of the </w:t>
      </w:r>
      <w:r w:rsidR="000A403A">
        <w:t>borrower</w:t>
      </w:r>
      <w:r w:rsidR="002C1E85">
        <w:t>’s</w:t>
      </w:r>
      <w:r w:rsidDel="002C1E85">
        <w:t xml:space="preserve"> </w:t>
      </w:r>
      <w:r w:rsidR="002C1E85">
        <w:t xml:space="preserve">real estate </w:t>
      </w:r>
      <w:r>
        <w:t>portfolio by value; and</w:t>
      </w:r>
    </w:p>
    <w:p w14:paraId="17FCE126" w14:textId="57FB428A" w:rsidR="002723E8" w:rsidRDefault="002C1E85" w:rsidP="002723E8">
      <w:pPr>
        <w:pStyle w:val="BodyText3"/>
      </w:pPr>
      <w:r>
        <w:t xml:space="preserve">real estate </w:t>
      </w:r>
      <w:r w:rsidR="002723E8">
        <w:t xml:space="preserve">assets are not concentrated in one particular specific geographic location; </w:t>
      </w:r>
      <w:r w:rsidR="001E6664">
        <w:t>and</w:t>
      </w:r>
    </w:p>
    <w:p w14:paraId="02F7DE20" w14:textId="67886766" w:rsidR="002723E8" w:rsidRDefault="002723E8" w:rsidP="002723E8">
      <w:pPr>
        <w:pStyle w:val="BodyText2"/>
      </w:pPr>
      <w:r>
        <w:t>for</w:t>
      </w:r>
      <w:r w:rsidDel="002C1E85">
        <w:t xml:space="preserve"> </w:t>
      </w:r>
      <w:r w:rsidR="002C1E85">
        <w:t xml:space="preserve">real estate </w:t>
      </w:r>
      <w:r>
        <w:t>operators or investors, tenants are sufficiently diversified such that no single tenant represents:</w:t>
      </w:r>
    </w:p>
    <w:p w14:paraId="13B6F698" w14:textId="77777777" w:rsidR="006436B2" w:rsidRDefault="002723E8" w:rsidP="002723E8">
      <w:pPr>
        <w:pStyle w:val="BodyText3"/>
      </w:pPr>
      <w:r>
        <w:t>greater than 25 per cent of portfolio net rental income for portfolios of retail shopping centres that typically require significant anchor tenants to attract speciality tenants</w:t>
      </w:r>
      <w:r w:rsidR="006436B2">
        <w:t>; and</w:t>
      </w:r>
    </w:p>
    <w:p w14:paraId="0D670D3C" w14:textId="4BE6158D" w:rsidR="006436B2" w:rsidRDefault="006436B2" w:rsidP="006436B2">
      <w:pPr>
        <w:pStyle w:val="BodyText3"/>
      </w:pPr>
      <w:r>
        <w:t>greater than 10 per cent of portfolio net rental income for all other portfolios of real estate assets (e.g. commercial offices, industrial buildings, hotels), with the exception of Government tenants.</w:t>
      </w:r>
    </w:p>
    <w:p w14:paraId="0B97AEF3" w14:textId="13BF6B5F" w:rsidR="002E558F" w:rsidRDefault="002E558F" w:rsidP="002E558F">
      <w:pPr>
        <w:pStyle w:val="Heading3"/>
      </w:pPr>
      <w:r>
        <w:t>Definition of sovereign exposures</w:t>
      </w:r>
    </w:p>
    <w:p w14:paraId="76237975" w14:textId="68A728D3" w:rsidR="002E558F" w:rsidRDefault="006F2EDD" w:rsidP="002E558F">
      <w:pPr>
        <w:pStyle w:val="BodyText1"/>
      </w:pPr>
      <w:r w:rsidRPr="008C0428">
        <w:t>The sovereign IRB asset class includes</w:t>
      </w:r>
      <w:r>
        <w:t xml:space="preserve"> all</w:t>
      </w:r>
      <w:r w:rsidR="00613A4D">
        <w:t xml:space="preserve"> credit exposures to</w:t>
      </w:r>
      <w:r>
        <w:t xml:space="preserve"> sovereign</w:t>
      </w:r>
      <w:r w:rsidR="00613A4D">
        <w:t xml:space="preserve"> counterparties</w:t>
      </w:r>
      <w:r>
        <w:t xml:space="preserve"> as defined in APS</w:t>
      </w:r>
      <w:r w:rsidR="00C66EE8">
        <w:t> </w:t>
      </w:r>
      <w:r>
        <w:t>112.</w:t>
      </w:r>
    </w:p>
    <w:p w14:paraId="76FC50C4" w14:textId="10E1D6E8" w:rsidR="006F2EDD" w:rsidRPr="008C0428" w:rsidRDefault="002E558F" w:rsidP="002E558F">
      <w:pPr>
        <w:pStyle w:val="Heading3"/>
      </w:pPr>
      <w:r>
        <w:t>Definition of financial institution exposures</w:t>
      </w:r>
    </w:p>
    <w:p w14:paraId="04ED382B" w14:textId="4F8A7241" w:rsidR="00B70BA3" w:rsidRDefault="00797BF1" w:rsidP="00B70BA3">
      <w:pPr>
        <w:pStyle w:val="BodyText1"/>
      </w:pPr>
      <w:bookmarkStart w:id="28" w:name="_Ref34235941"/>
      <w:r w:rsidRPr="008C0428">
        <w:t xml:space="preserve">The </w:t>
      </w:r>
      <w:r w:rsidR="00C66EE8">
        <w:t>financial institution</w:t>
      </w:r>
      <w:r w:rsidRPr="008C0428">
        <w:t xml:space="preserve"> </w:t>
      </w:r>
      <w:r w:rsidR="002C1E85">
        <w:t xml:space="preserve">IRB </w:t>
      </w:r>
      <w:r w:rsidRPr="008C0428">
        <w:t xml:space="preserve">asset class includes </w:t>
      </w:r>
      <w:r>
        <w:t xml:space="preserve">all </w:t>
      </w:r>
      <w:r w:rsidRPr="008C0428">
        <w:t>credit exposures to</w:t>
      </w:r>
      <w:r>
        <w:t xml:space="preserve"> </w:t>
      </w:r>
      <w:r w:rsidR="00EF4465">
        <w:t>financial institution</w:t>
      </w:r>
      <w:r w:rsidRPr="008C0428">
        <w:t xml:space="preserve"> counterparties</w:t>
      </w:r>
      <w:r w:rsidR="00DE68AB">
        <w:t xml:space="preserve"> </w:t>
      </w:r>
      <w:r w:rsidR="00DE68AB" w:rsidRPr="008D4839">
        <w:rPr>
          <w:rFonts w:cs="Arial"/>
          <w:iCs/>
        </w:rPr>
        <w:t>and public sector entities that carry out the functions of a financial institution</w:t>
      </w:r>
      <w:r>
        <w:t>.</w:t>
      </w:r>
      <w:r w:rsidRPr="008C0428">
        <w:t xml:space="preserve"> </w:t>
      </w:r>
      <w:r w:rsidR="00B70BA3">
        <w:t xml:space="preserve">A financial institution </w:t>
      </w:r>
      <w:r w:rsidR="00B70BA3" w:rsidRPr="00B70BA3">
        <w:t xml:space="preserve">means a legal entity whose main business includes: the management of financial assets, lending, factoring, leasing, provision of credit enhancements, securitisation, investments, financial </w:t>
      </w:r>
      <w:r w:rsidR="00B70BA3" w:rsidRPr="00B70BA3">
        <w:lastRenderedPageBreak/>
        <w:t xml:space="preserve">custody, central counterparty services, </w:t>
      </w:r>
      <w:r w:rsidR="001771A5">
        <w:t xml:space="preserve">or </w:t>
      </w:r>
      <w:r w:rsidR="00B70BA3" w:rsidRPr="00B70BA3">
        <w:t xml:space="preserve">proprietary trading. </w:t>
      </w:r>
      <w:r w:rsidR="00013896">
        <w:t>APRA may also determine other activities to be financial in nature. Financial institutions</w:t>
      </w:r>
      <w:r w:rsidR="00B70BA3" w:rsidRPr="00B70BA3">
        <w:t xml:space="preserve"> include, but </w:t>
      </w:r>
      <w:r w:rsidR="00013896">
        <w:t>are</w:t>
      </w:r>
      <w:r w:rsidR="00B70BA3" w:rsidRPr="00B70BA3">
        <w:t xml:space="preserve"> not limited to, banks, securities firms, insuranc</w:t>
      </w:r>
      <w:r w:rsidR="00B70BA3">
        <w:t>e companies</w:t>
      </w:r>
      <w:r w:rsidR="00EE713D">
        <w:t xml:space="preserve"> and</w:t>
      </w:r>
      <w:r w:rsidR="00B70BA3">
        <w:t xml:space="preserve"> leveraged funds.</w:t>
      </w:r>
      <w:bookmarkEnd w:id="28"/>
    </w:p>
    <w:p w14:paraId="4534EF19" w14:textId="6DF67F5E" w:rsidR="002E558F" w:rsidRDefault="002E558F" w:rsidP="002E558F">
      <w:pPr>
        <w:pStyle w:val="Heading3"/>
      </w:pPr>
      <w:r>
        <w:t>Definition of retail exposures</w:t>
      </w:r>
    </w:p>
    <w:p w14:paraId="4FEA694F" w14:textId="313CD1BE" w:rsidR="008A35BF" w:rsidRDefault="00C66EE8" w:rsidP="002E558F">
      <w:pPr>
        <w:pStyle w:val="BodyText1"/>
      </w:pPr>
      <w:r>
        <w:t>T</w:t>
      </w:r>
      <w:r w:rsidR="006F2EDD">
        <w:t xml:space="preserve">he retail IRB asset class includes </w:t>
      </w:r>
      <w:r w:rsidR="00734215">
        <w:t>any</w:t>
      </w:r>
      <w:r w:rsidR="006F2EDD">
        <w:t xml:space="preserve"> exposure </w:t>
      </w:r>
      <w:r w:rsidR="00734215">
        <w:t>that</w:t>
      </w:r>
      <w:r w:rsidR="008A35BF">
        <w:t>:</w:t>
      </w:r>
      <w:r w:rsidR="006F2EDD">
        <w:t xml:space="preserve"> </w:t>
      </w:r>
    </w:p>
    <w:p w14:paraId="6575BDD1" w14:textId="1FC8A2D0" w:rsidR="008A35BF" w:rsidRDefault="00734215" w:rsidP="00C66EE8">
      <w:pPr>
        <w:pStyle w:val="BodyText2"/>
      </w:pPr>
      <w:r>
        <w:t xml:space="preserve">is </w:t>
      </w:r>
      <w:r w:rsidR="006F2EDD">
        <w:t>extended to an individual (that is, a natural person) or individuals</w:t>
      </w:r>
      <w:r w:rsidR="008A35BF">
        <w:t>;</w:t>
      </w:r>
      <w:r>
        <w:t xml:space="preserve"> and</w:t>
      </w:r>
    </w:p>
    <w:p w14:paraId="79A20CC4" w14:textId="045626C7" w:rsidR="008A35BF" w:rsidRDefault="00734215" w:rsidP="00B51351">
      <w:pPr>
        <w:pStyle w:val="BodyText2"/>
      </w:pPr>
      <w:r>
        <w:t xml:space="preserve">forms </w:t>
      </w:r>
      <w:r w:rsidR="006F2EDD">
        <w:t xml:space="preserve">part of a large pool of exposures that </w:t>
      </w:r>
      <w:r w:rsidR="00EB38E2">
        <w:t xml:space="preserve">is </w:t>
      </w:r>
      <w:r w:rsidR="006F2EDD">
        <w:t xml:space="preserve">managed by </w:t>
      </w:r>
      <w:r w:rsidR="00194D7F">
        <w:t xml:space="preserve">the </w:t>
      </w:r>
      <w:r w:rsidR="006F2EDD">
        <w:t>ADI on a pooled basis</w:t>
      </w:r>
      <w:r>
        <w:t>.</w:t>
      </w:r>
    </w:p>
    <w:p w14:paraId="39BA244F" w14:textId="28E17FA1" w:rsidR="00E0218C" w:rsidRDefault="00E354F6" w:rsidP="00664B5C">
      <w:pPr>
        <w:pStyle w:val="BodyText2"/>
        <w:numPr>
          <w:ilvl w:val="0"/>
          <w:numId w:val="0"/>
        </w:numPr>
        <w:ind w:left="567"/>
      </w:pPr>
      <w:r>
        <w:t>S</w:t>
      </w:r>
      <w:r w:rsidR="00F33AC7">
        <w:t>mall-</w:t>
      </w:r>
      <w:r w:rsidR="00434784">
        <w:t>business</w:t>
      </w:r>
      <w:r w:rsidR="00E0218C">
        <w:t xml:space="preserve"> exposures</w:t>
      </w:r>
      <w:r w:rsidR="008D4264">
        <w:t xml:space="preserve"> or </w:t>
      </w:r>
      <w:r w:rsidR="008D4264" w:rsidRPr="0034015D">
        <w:t xml:space="preserve">exposures secured by residential </w:t>
      </w:r>
      <w:r w:rsidR="00B56EED">
        <w:t>real estate</w:t>
      </w:r>
      <w:r w:rsidR="0061681A" w:rsidRPr="0034015D">
        <w:t>,</w:t>
      </w:r>
      <w:r w:rsidR="0061681A">
        <w:t xml:space="preserve"> whether or </w:t>
      </w:r>
      <w:r w:rsidR="00785DBA">
        <w:t xml:space="preserve">not </w:t>
      </w:r>
      <w:r w:rsidR="0061681A">
        <w:t>extended to an individual,</w:t>
      </w:r>
      <w:r w:rsidR="00E0218C">
        <w:t xml:space="preserve"> may be classified as retail exposures where they satis</w:t>
      </w:r>
      <w:r w:rsidR="003D2C7A">
        <w:t xml:space="preserve">fy the criteria </w:t>
      </w:r>
      <w:r w:rsidR="003D2C7A" w:rsidRPr="001433C2">
        <w:t>in paragraph</w:t>
      </w:r>
      <w:r w:rsidR="00B96243" w:rsidRPr="001433C2">
        <w:t>s</w:t>
      </w:r>
      <w:r w:rsidR="003D2C7A" w:rsidRPr="001433C2">
        <w:t xml:space="preserve"> </w:t>
      </w:r>
      <w:r w:rsidR="001433C2" w:rsidRPr="001433C2">
        <w:fldChar w:fldCharType="begin"/>
      </w:r>
      <w:r w:rsidR="001433C2" w:rsidRPr="001433C2">
        <w:instrText xml:space="preserve"> REF _Ref34374538 \r \h </w:instrText>
      </w:r>
      <w:r w:rsidR="001433C2">
        <w:instrText xml:space="preserve"> \* MERGEFORMAT </w:instrText>
      </w:r>
      <w:r w:rsidR="001433C2" w:rsidRPr="001433C2">
        <w:fldChar w:fldCharType="separate"/>
      </w:r>
      <w:r w:rsidR="00550C88">
        <w:t>37</w:t>
      </w:r>
      <w:r w:rsidR="001433C2" w:rsidRPr="001433C2">
        <w:fldChar w:fldCharType="end"/>
      </w:r>
      <w:r w:rsidR="001433C2" w:rsidRPr="001433C2">
        <w:t xml:space="preserve"> or </w:t>
      </w:r>
      <w:r w:rsidR="001433C2" w:rsidRPr="001433C2">
        <w:fldChar w:fldCharType="begin"/>
      </w:r>
      <w:r w:rsidR="001433C2" w:rsidRPr="001433C2">
        <w:instrText xml:space="preserve"> REF _Ref34374542 \r \h </w:instrText>
      </w:r>
      <w:r w:rsidR="001433C2">
        <w:instrText xml:space="preserve"> \* MERGEFORMAT </w:instrText>
      </w:r>
      <w:r w:rsidR="001433C2" w:rsidRPr="001433C2">
        <w:fldChar w:fldCharType="separate"/>
      </w:r>
      <w:r w:rsidR="00550C88">
        <w:t>40</w:t>
      </w:r>
      <w:r w:rsidR="001433C2" w:rsidRPr="001433C2">
        <w:fldChar w:fldCharType="end"/>
      </w:r>
      <w:r w:rsidR="00E32BE1">
        <w:t xml:space="preserve"> of this Prudential Standard</w:t>
      </w:r>
      <w:r w:rsidR="00F67BD0">
        <w:t>, respectively</w:t>
      </w:r>
      <w:r w:rsidR="00E32BE1">
        <w:t>.</w:t>
      </w:r>
    </w:p>
    <w:p w14:paraId="2EDA31AC" w14:textId="45EE4D84" w:rsidR="006F2EDD" w:rsidRDefault="00D02D84" w:rsidP="009E56A2">
      <w:pPr>
        <w:pStyle w:val="BodyText1"/>
      </w:pPr>
      <w:r w:rsidRPr="002E15E0">
        <w:t xml:space="preserve">An </w:t>
      </w:r>
      <w:r w:rsidR="006F2EDD" w:rsidRPr="002E15E0">
        <w:t xml:space="preserve">ADI </w:t>
      </w:r>
      <w:r w:rsidRPr="002E15E0">
        <w:t>must assign its retail exposures to</w:t>
      </w:r>
      <w:r w:rsidR="00C3066E">
        <w:t xml:space="preserve"> either the retail residential mortgage, qualifying revolving retail (QRR), </w:t>
      </w:r>
      <w:r w:rsidR="009B4440">
        <w:t xml:space="preserve">small- </w:t>
      </w:r>
      <w:r w:rsidR="00F469E3">
        <w:t>and</w:t>
      </w:r>
      <w:r w:rsidR="007A3908">
        <w:t xml:space="preserve"> </w:t>
      </w:r>
      <w:r w:rsidR="009B4440">
        <w:t>medium</w:t>
      </w:r>
      <w:r w:rsidR="007A3908">
        <w:t>-</w:t>
      </w:r>
      <w:r w:rsidR="009B4440">
        <w:t>sized enterprise (</w:t>
      </w:r>
      <w:r w:rsidR="00C3066E">
        <w:t>SME</w:t>
      </w:r>
      <w:r w:rsidR="009B4440">
        <w:t>)</w:t>
      </w:r>
      <w:r w:rsidR="00C3066E">
        <w:t xml:space="preserve"> retail or other retail sub-asset classes.</w:t>
      </w:r>
    </w:p>
    <w:p w14:paraId="0C8FAC5E" w14:textId="481B806D" w:rsidR="00C3066E" w:rsidRPr="002E15E0" w:rsidRDefault="00C3066E" w:rsidP="00C3066E">
      <w:pPr>
        <w:pStyle w:val="Heading4"/>
      </w:pPr>
      <w:r>
        <w:t>Retail residential mortgage</w:t>
      </w:r>
    </w:p>
    <w:p w14:paraId="0DE45CB8" w14:textId="13BC72A1" w:rsidR="007A3908" w:rsidRDefault="00C3066E" w:rsidP="00C3066E">
      <w:pPr>
        <w:pStyle w:val="BodyText1"/>
      </w:pPr>
      <w:bookmarkStart w:id="29" w:name="_Ref34374538"/>
      <w:r>
        <w:t xml:space="preserve">The </w:t>
      </w:r>
      <w:r w:rsidR="0061681A" w:rsidRPr="002E15E0">
        <w:t xml:space="preserve">retail </w:t>
      </w:r>
      <w:r w:rsidR="00A24F37" w:rsidRPr="002E15E0">
        <w:t>residential mortgage</w:t>
      </w:r>
      <w:r w:rsidR="0061681A" w:rsidRPr="002E15E0">
        <w:t xml:space="preserve"> </w:t>
      </w:r>
      <w:r w:rsidR="00EE35BF">
        <w:t xml:space="preserve">IRB </w:t>
      </w:r>
      <w:r w:rsidR="00A24F37" w:rsidRPr="002E15E0">
        <w:t>sub-asset class</w:t>
      </w:r>
      <w:r w:rsidR="00655DD1" w:rsidRPr="002E15E0">
        <w:t xml:space="preserve"> includes exposures</w:t>
      </w:r>
      <w:r w:rsidR="00A24F37" w:rsidRPr="002E15E0">
        <w:t xml:space="preserve"> </w:t>
      </w:r>
      <w:r w:rsidR="006F2EDD" w:rsidRPr="002E15E0">
        <w:t>that are</w:t>
      </w:r>
      <w:r w:rsidR="007A3908">
        <w:t>:</w:t>
      </w:r>
    </w:p>
    <w:p w14:paraId="5E28480D" w14:textId="07FD6FC9" w:rsidR="007A3908" w:rsidRDefault="006F2EDD" w:rsidP="00E4214A">
      <w:pPr>
        <w:pStyle w:val="BodyText2"/>
      </w:pPr>
      <w:r w:rsidRPr="002E15E0">
        <w:t xml:space="preserve">partly or fully secured by residential </w:t>
      </w:r>
      <w:r w:rsidR="00B56EED">
        <w:t>real estate</w:t>
      </w:r>
      <w:r w:rsidR="007A3908">
        <w:t>;</w:t>
      </w:r>
      <w:r w:rsidR="00655DD1" w:rsidRPr="002E15E0">
        <w:t xml:space="preserve"> </w:t>
      </w:r>
    </w:p>
    <w:p w14:paraId="272A0273" w14:textId="3BA53271" w:rsidR="007A3908" w:rsidRDefault="003973DF" w:rsidP="00E4214A">
      <w:pPr>
        <w:pStyle w:val="BodyText2"/>
      </w:pPr>
      <w:r>
        <w:t>managed in a similar manner to other retail exposures</w:t>
      </w:r>
      <w:r w:rsidR="007A3908">
        <w:t>;</w:t>
      </w:r>
      <w:r w:rsidRPr="002E15E0" w:rsidDel="00C665EA">
        <w:t xml:space="preserve"> </w:t>
      </w:r>
      <w:r w:rsidR="00655DD1" w:rsidRPr="002E15E0">
        <w:t>and</w:t>
      </w:r>
      <w:r w:rsidR="00A5110C" w:rsidRPr="002E15E0">
        <w:t xml:space="preserve"> </w:t>
      </w:r>
    </w:p>
    <w:p w14:paraId="03B056D9" w14:textId="11ACBCD0" w:rsidR="006F2EDD" w:rsidRDefault="009148A6" w:rsidP="00E4214A">
      <w:pPr>
        <w:pStyle w:val="BodyText2"/>
      </w:pPr>
      <w:r w:rsidRPr="002E15E0">
        <w:t>not for business purposes</w:t>
      </w:r>
      <w:r w:rsidR="00381457" w:rsidRPr="002E15E0">
        <w:t>.</w:t>
      </w:r>
      <w:bookmarkEnd w:id="29"/>
      <w:r w:rsidR="00381457" w:rsidRPr="002E15E0">
        <w:t xml:space="preserve"> </w:t>
      </w:r>
    </w:p>
    <w:p w14:paraId="621ABFD8" w14:textId="708EAD62" w:rsidR="00C3066E" w:rsidRPr="002E15E0" w:rsidRDefault="00C3066E" w:rsidP="00C3066E">
      <w:pPr>
        <w:pStyle w:val="Heading4"/>
      </w:pPr>
      <w:r>
        <w:t>Qualifying revolving retail</w:t>
      </w:r>
    </w:p>
    <w:p w14:paraId="1F0081A0" w14:textId="3982B34B" w:rsidR="006F2EDD" w:rsidRPr="00DC46A3" w:rsidRDefault="00C3066E" w:rsidP="00C3066E">
      <w:pPr>
        <w:pStyle w:val="BodyText1"/>
      </w:pPr>
      <w:r>
        <w:t>The QRR</w:t>
      </w:r>
      <w:r w:rsidR="00655DD1" w:rsidRPr="002E15E0">
        <w:t xml:space="preserve"> </w:t>
      </w:r>
      <w:r w:rsidR="00EE35BF">
        <w:t xml:space="preserve">IRB </w:t>
      </w:r>
      <w:r w:rsidR="00655DD1" w:rsidRPr="002E15E0">
        <w:t>sub-asset class</w:t>
      </w:r>
      <w:r>
        <w:t xml:space="preserve"> </w:t>
      </w:r>
      <w:r w:rsidR="009148A6" w:rsidRPr="002E15E0">
        <w:t>includes exposures</w:t>
      </w:r>
      <w:r w:rsidR="009148A6">
        <w:t xml:space="preserve"> that sati</w:t>
      </w:r>
      <w:r w:rsidR="000A6FE7">
        <w:t>sfy</w:t>
      </w:r>
      <w:r w:rsidR="006F2EDD" w:rsidRPr="00DC46A3">
        <w:t xml:space="preserve"> </w:t>
      </w:r>
      <w:r w:rsidR="000A6FE7">
        <w:t>t</w:t>
      </w:r>
      <w:r w:rsidR="006F2EDD" w:rsidRPr="00DC46A3">
        <w:t>he following criteria:</w:t>
      </w:r>
    </w:p>
    <w:p w14:paraId="717992D7" w14:textId="0ADE21E4" w:rsidR="006F2EDD" w:rsidRPr="00DC46A3" w:rsidRDefault="006F2EDD" w:rsidP="00C3066E">
      <w:pPr>
        <w:pStyle w:val="BodyText2"/>
      </w:pPr>
      <w:r w:rsidRPr="00DC46A3">
        <w:t xml:space="preserve">the exposures are revolving, unsecured and unconditionally cancellable (both contractually and in practice) by </w:t>
      </w:r>
      <w:r w:rsidR="002414A4">
        <w:t>the</w:t>
      </w:r>
      <w:r w:rsidR="002414A4" w:rsidRPr="00DC46A3">
        <w:t xml:space="preserve"> </w:t>
      </w:r>
      <w:r w:rsidRPr="00DC46A3">
        <w:t>ADI</w:t>
      </w:r>
      <w:r w:rsidR="0001608E">
        <w:t xml:space="preserve">. </w:t>
      </w:r>
      <w:r w:rsidR="0001608E" w:rsidRPr="0001608E">
        <w:t>Exposures may be considered unconditionally cancellable if the terms of the contract permit the ADI to cancel at any time any existing credit lines or limits provided to a borrower at the ADI’s discretion, and demand immediate repayment for any outstanding balance to the full extent allowable under consumer protection and related legislation</w:t>
      </w:r>
      <w:r w:rsidR="008367FC">
        <w:t>;</w:t>
      </w:r>
      <w:r w:rsidR="0001608E" w:rsidDel="0001608E">
        <w:rPr>
          <w:rStyle w:val="FootnoteReference"/>
        </w:rPr>
        <w:t xml:space="preserve"> </w:t>
      </w:r>
      <w:r w:rsidRPr="00DC46A3">
        <w:t xml:space="preserve"> </w:t>
      </w:r>
    </w:p>
    <w:p w14:paraId="60033964" w14:textId="5BF6526B" w:rsidR="006F2EDD" w:rsidRPr="00DC46A3" w:rsidRDefault="006F2EDD" w:rsidP="009B4440">
      <w:pPr>
        <w:pStyle w:val="BodyText2"/>
      </w:pPr>
      <w:r w:rsidRPr="00DC46A3">
        <w:t>the exposures are to individuals and not for business purposes;</w:t>
      </w:r>
    </w:p>
    <w:p w14:paraId="76BD91C2" w14:textId="3DE4236A" w:rsidR="006F2EDD" w:rsidRPr="00DC46A3" w:rsidRDefault="006F2EDD" w:rsidP="009B4440">
      <w:pPr>
        <w:pStyle w:val="BodyText2"/>
      </w:pPr>
      <w:r w:rsidRPr="00DC46A3">
        <w:t>the maximum exposure of an individual account in the sub-portfolio is $100,000;</w:t>
      </w:r>
      <w:r w:rsidR="00EB5EAA">
        <w:t xml:space="preserve"> and</w:t>
      </w:r>
    </w:p>
    <w:p w14:paraId="6EA4F037" w14:textId="1CCCA6EB" w:rsidR="002E15E0" w:rsidRPr="00DC46A3" w:rsidRDefault="006F2EDD" w:rsidP="009B4440">
      <w:pPr>
        <w:pStyle w:val="BodyText2"/>
      </w:pPr>
      <w:r w:rsidRPr="00DC46A3">
        <w:t>the</w:t>
      </w:r>
      <w:r w:rsidR="00913DE9">
        <w:t xml:space="preserve"> exposures exhibit</w:t>
      </w:r>
      <w:r w:rsidRPr="00DC46A3">
        <w:t xml:space="preserve">, in comparison with other types of </w:t>
      </w:r>
      <w:r w:rsidR="00FD2854">
        <w:t xml:space="preserve">retail </w:t>
      </w:r>
      <w:r w:rsidRPr="00DC46A3">
        <w:t xml:space="preserve">lending products, low loss rate volatility relative to the average level of loss rates (especially within low PD bands). </w:t>
      </w:r>
    </w:p>
    <w:p w14:paraId="7425B821" w14:textId="1C5E7636" w:rsidR="002E15E0" w:rsidRDefault="002E15E0" w:rsidP="009B4440">
      <w:pPr>
        <w:pStyle w:val="BodyText1"/>
      </w:pPr>
      <w:r>
        <w:lastRenderedPageBreak/>
        <w:t xml:space="preserve">QRR exposures must be further split into exposures to transactors and revolvers. For this purpose: </w:t>
      </w:r>
    </w:p>
    <w:p w14:paraId="53C8CB34" w14:textId="12E0D28B" w:rsidR="002E15E0" w:rsidRDefault="002E15E0" w:rsidP="009B4440">
      <w:pPr>
        <w:pStyle w:val="BodyText2"/>
      </w:pPr>
      <w:r>
        <w:t xml:space="preserve">a QRR transactor is </w:t>
      </w:r>
      <w:r w:rsidR="000A403A">
        <w:t>a borrower</w:t>
      </w:r>
      <w:r w:rsidR="00DC21E6">
        <w:t xml:space="preserve"> that has repaid the</w:t>
      </w:r>
      <w:r>
        <w:t xml:space="preserve"> balance</w:t>
      </w:r>
      <w:r w:rsidR="00DC21E6">
        <w:t xml:space="preserve"> of the</w:t>
      </w:r>
      <w:r w:rsidR="007435EA">
        <w:t>ir</w:t>
      </w:r>
      <w:r w:rsidR="00DC21E6">
        <w:t xml:space="preserve"> facility</w:t>
      </w:r>
      <w:r>
        <w:t xml:space="preserve"> in full at each scheduled repayment date for the previous 12 months; and</w:t>
      </w:r>
    </w:p>
    <w:p w14:paraId="14AEF72B" w14:textId="30801EFE" w:rsidR="006F2EDD" w:rsidRDefault="002E15E0" w:rsidP="009B4440">
      <w:pPr>
        <w:pStyle w:val="BodyText2"/>
      </w:pPr>
      <w:r>
        <w:t xml:space="preserve">a QRR revolver is </w:t>
      </w:r>
      <w:r w:rsidR="00DC21E6">
        <w:t xml:space="preserve">a </w:t>
      </w:r>
      <w:r w:rsidR="000A403A">
        <w:t>borrower</w:t>
      </w:r>
      <w:r>
        <w:t xml:space="preserve"> that do</w:t>
      </w:r>
      <w:r w:rsidR="00DC21E6">
        <w:t>es</w:t>
      </w:r>
      <w:r>
        <w:t xml:space="preserve"> not meet the criteria for treatment as a QRR transactor. An ADI must treat any QRR exposure with less than 12 months of repayment history as a</w:t>
      </w:r>
      <w:r w:rsidR="00DC21E6">
        <w:t>n exposure to a</w:t>
      </w:r>
      <w:r>
        <w:t xml:space="preserve"> QRR revolver.</w:t>
      </w:r>
    </w:p>
    <w:p w14:paraId="1909E29E" w14:textId="30ECA633" w:rsidR="009B4440" w:rsidRPr="00DC46A3" w:rsidRDefault="009B4440" w:rsidP="009B4440">
      <w:pPr>
        <w:pStyle w:val="Heading4"/>
      </w:pPr>
      <w:r>
        <w:t xml:space="preserve">Small- </w:t>
      </w:r>
      <w:r w:rsidR="00F469E3">
        <w:t>and</w:t>
      </w:r>
      <w:r>
        <w:t xml:space="preserve"> medium-sized enterprise retail</w:t>
      </w:r>
    </w:p>
    <w:p w14:paraId="7AC8160E" w14:textId="13F76832" w:rsidR="006F2EDD" w:rsidRDefault="009B4440" w:rsidP="009B4440">
      <w:pPr>
        <w:pStyle w:val="BodyText1"/>
      </w:pPr>
      <w:bookmarkStart w:id="30" w:name="_Ref34374542"/>
      <w:r>
        <w:t xml:space="preserve">The </w:t>
      </w:r>
      <w:r w:rsidR="000A6FE7" w:rsidRPr="0061681A">
        <w:t xml:space="preserve">SME </w:t>
      </w:r>
      <w:r w:rsidR="0061681A" w:rsidRPr="0061681A">
        <w:t xml:space="preserve">retail </w:t>
      </w:r>
      <w:r w:rsidR="002F0C3E">
        <w:t xml:space="preserve">IRB </w:t>
      </w:r>
      <w:r>
        <w:t>sub-asset class</w:t>
      </w:r>
      <w:r w:rsidR="000A6FE7" w:rsidRPr="0061681A">
        <w:t xml:space="preserve"> includes exposures that meet the following criteria:</w:t>
      </w:r>
      <w:bookmarkEnd w:id="30"/>
      <w:r w:rsidR="000A6FE7" w:rsidRPr="0061681A">
        <w:t xml:space="preserve"> </w:t>
      </w:r>
    </w:p>
    <w:p w14:paraId="6902FFFC" w14:textId="154380E2" w:rsidR="006F2EDD" w:rsidRDefault="006F2EDD" w:rsidP="009B4440">
      <w:pPr>
        <w:pStyle w:val="BodyText2"/>
      </w:pPr>
      <w:r>
        <w:t xml:space="preserve">the total business-related exposure of </w:t>
      </w:r>
      <w:r w:rsidR="0001608E">
        <w:t xml:space="preserve">the </w:t>
      </w:r>
      <w:r w:rsidR="00E0218C">
        <w:t xml:space="preserve">ADI </w:t>
      </w:r>
      <w:r>
        <w:t xml:space="preserve">to a </w:t>
      </w:r>
      <w:r w:rsidR="00A31B5B">
        <w:t>small-</w:t>
      </w:r>
      <w:r w:rsidR="00434784">
        <w:t xml:space="preserve">business </w:t>
      </w:r>
      <w:r w:rsidR="000A403A">
        <w:t xml:space="preserve">borrower </w:t>
      </w:r>
      <w:r>
        <w:t xml:space="preserve">or group of connected </w:t>
      </w:r>
      <w:r w:rsidR="000A403A">
        <w:t xml:space="preserve">borrowers </w:t>
      </w:r>
      <w:r w:rsidR="007944BD">
        <w:t>is</w:t>
      </w:r>
      <w:r>
        <w:t xml:space="preserve"> less than $1</w:t>
      </w:r>
      <w:r w:rsidR="00FE643D">
        <w:t>.5</w:t>
      </w:r>
      <w:r>
        <w:t xml:space="preserve"> million.</w:t>
      </w:r>
      <w:r w:rsidR="00B43E17" w:rsidRPr="0061681A" w:rsidDel="00B43E17">
        <w:rPr>
          <w:vertAlign w:val="superscript"/>
        </w:rPr>
        <w:t xml:space="preserve"> </w:t>
      </w:r>
      <w:r>
        <w:t xml:space="preserve"> </w:t>
      </w:r>
      <w:r w:rsidR="00434784">
        <w:t>S</w:t>
      </w:r>
      <w:r w:rsidR="00A31B5B">
        <w:t>mall-</w:t>
      </w:r>
      <w:r w:rsidR="00434784">
        <w:t>business</w:t>
      </w:r>
      <w:r>
        <w:t xml:space="preserve"> </w:t>
      </w:r>
      <w:r w:rsidR="0061681A">
        <w:t>exposures</w:t>
      </w:r>
      <w:r>
        <w:t xml:space="preserve"> extended </w:t>
      </w:r>
      <w:r w:rsidR="00F33AC7">
        <w:t>to</w:t>
      </w:r>
      <w:r>
        <w:t>, or guaranteed by, an individual are subject t</w:t>
      </w:r>
      <w:r w:rsidR="00B96243">
        <w:t>o the same exposure threshold</w:t>
      </w:r>
      <w:r w:rsidR="00B43E17">
        <w:t xml:space="preserve">. For a subsidiary of the ADI operating in a jurisdiction that applies a different threshold for SME retail, as set by the overseas prudential regulator, the ADI may apply that jurisdiction’s threshold </w:t>
      </w:r>
      <w:r w:rsidR="00B43E17" w:rsidRPr="00B43E17">
        <w:t>for the calculation of its Level 2 Regulatory Capital requirement</w:t>
      </w:r>
      <w:r w:rsidR="00B43E17">
        <w:t xml:space="preserve"> for the relevant exposures</w:t>
      </w:r>
      <w:r w:rsidR="00B96243">
        <w:t>;</w:t>
      </w:r>
    </w:p>
    <w:p w14:paraId="5AF2EE4D" w14:textId="59B40BA8" w:rsidR="0034015D" w:rsidRDefault="006F4ADC" w:rsidP="009B4440">
      <w:pPr>
        <w:pStyle w:val="BodyText2"/>
      </w:pPr>
      <w:r>
        <w:t xml:space="preserve">the reported </w:t>
      </w:r>
      <w:r w:rsidR="000103E0">
        <w:t xml:space="preserve">consolidated </w:t>
      </w:r>
      <w:r>
        <w:t xml:space="preserve">annual </w:t>
      </w:r>
      <w:r w:rsidR="00FC5B50">
        <w:t xml:space="preserve">revenue </w:t>
      </w:r>
      <w:r>
        <w:t xml:space="preserve">of </w:t>
      </w:r>
      <w:r w:rsidR="00F33AC7">
        <w:t>a</w:t>
      </w:r>
      <w:r>
        <w:t xml:space="preserve"> </w:t>
      </w:r>
      <w:r w:rsidR="000103E0">
        <w:t xml:space="preserve">small-business </w:t>
      </w:r>
      <w:r w:rsidR="000A403A">
        <w:t>borrower</w:t>
      </w:r>
      <w:r>
        <w:t xml:space="preserve"> or group of connected </w:t>
      </w:r>
      <w:r w:rsidR="000A403A">
        <w:t>borrowers</w:t>
      </w:r>
      <w:r>
        <w:t xml:space="preserve"> </w:t>
      </w:r>
      <w:r w:rsidR="00114C8D">
        <w:t xml:space="preserve">is less than $75 million; </w:t>
      </w:r>
    </w:p>
    <w:p w14:paraId="27757BA3" w14:textId="21CB161C" w:rsidR="006F4ADC" w:rsidRDefault="0034015D" w:rsidP="009B4440">
      <w:pPr>
        <w:pStyle w:val="BodyText2"/>
      </w:pPr>
      <w:r>
        <w:t xml:space="preserve">both the </w:t>
      </w:r>
      <w:r w:rsidR="000A403A">
        <w:t>borrower</w:t>
      </w:r>
      <w:r>
        <w:t xml:space="preserve"> and exposure are non-complex; and</w:t>
      </w:r>
    </w:p>
    <w:p w14:paraId="5775333F" w14:textId="6D6453A0" w:rsidR="005E6E2B" w:rsidRDefault="006F2EDD" w:rsidP="009B4440">
      <w:pPr>
        <w:pStyle w:val="BodyText2"/>
      </w:pPr>
      <w:r>
        <w:t xml:space="preserve">the ADI treats </w:t>
      </w:r>
      <w:r w:rsidR="002942D0">
        <w:t xml:space="preserve">small-business </w:t>
      </w:r>
      <w:r>
        <w:t>exposures in its internal risk management systems in the same manner as other retail exposures consistently over time. This requires that such exposures</w:t>
      </w:r>
      <w:r w:rsidR="005E6E2B">
        <w:t>:</w:t>
      </w:r>
      <w:r>
        <w:t xml:space="preserve"> </w:t>
      </w:r>
    </w:p>
    <w:p w14:paraId="47FF5488" w14:textId="77777777" w:rsidR="005E6E2B" w:rsidRDefault="006F2EDD" w:rsidP="005E6E2B">
      <w:pPr>
        <w:pStyle w:val="BodyText3"/>
      </w:pPr>
      <w:r>
        <w:t>are originated in a similar manner to other retail exposures</w:t>
      </w:r>
      <w:r w:rsidR="005E6E2B">
        <w:t>; and</w:t>
      </w:r>
      <w:r>
        <w:t xml:space="preserve"> </w:t>
      </w:r>
    </w:p>
    <w:p w14:paraId="467D72A6" w14:textId="204C7E1E" w:rsidR="0061681A" w:rsidRDefault="006F2EDD" w:rsidP="00A608B4">
      <w:pPr>
        <w:pStyle w:val="BodyText3"/>
      </w:pPr>
      <w:r>
        <w:t>must not be managed individually in a way that is comparable to an exposure in the corporate IRB asset class but rather as part of a portfolio segment or pool of exposures with similar risk characteristics for the purposes of risk assessment and quantification.</w:t>
      </w:r>
      <w:r w:rsidR="008046E2">
        <w:t xml:space="preserve"> </w:t>
      </w:r>
      <w:r>
        <w:t>This does not preclude these exposures from being managed individually at some stages of the risk management process</w:t>
      </w:r>
      <w:r w:rsidR="009B4440">
        <w:t>.</w:t>
      </w:r>
    </w:p>
    <w:p w14:paraId="2C9E7446" w14:textId="4F1C8A7B" w:rsidR="00C3066E" w:rsidRDefault="00C3066E" w:rsidP="00C3066E">
      <w:pPr>
        <w:pStyle w:val="Heading4"/>
      </w:pPr>
      <w:r>
        <w:t>Other retail</w:t>
      </w:r>
    </w:p>
    <w:p w14:paraId="33234BC7" w14:textId="79D36A23" w:rsidR="006F2EDD" w:rsidRDefault="00C3066E" w:rsidP="00C3066E">
      <w:pPr>
        <w:pStyle w:val="BodyText1"/>
      </w:pPr>
      <w:r>
        <w:t xml:space="preserve">The </w:t>
      </w:r>
      <w:r w:rsidR="0061681A">
        <w:t>oth</w:t>
      </w:r>
      <w:r>
        <w:t xml:space="preserve">er retail </w:t>
      </w:r>
      <w:r w:rsidR="004633D5">
        <w:t xml:space="preserve">IRB </w:t>
      </w:r>
      <w:r>
        <w:t>sub-asset class</w:t>
      </w:r>
      <w:r w:rsidR="0061681A">
        <w:t xml:space="preserve"> includes all other retail exposures. </w:t>
      </w:r>
    </w:p>
    <w:p w14:paraId="483048C4" w14:textId="653A9CAA" w:rsidR="00801F41" w:rsidRDefault="00A5528E" w:rsidP="00115253">
      <w:pPr>
        <w:pStyle w:val="Heading2body"/>
      </w:pPr>
      <w:bookmarkStart w:id="31" w:name="_Toc176183665"/>
      <w:r>
        <w:t>IRB approval</w:t>
      </w:r>
      <w:bookmarkEnd w:id="31"/>
    </w:p>
    <w:p w14:paraId="04CDCCE8" w14:textId="059C2E65" w:rsidR="007B5589" w:rsidRDefault="007B5589" w:rsidP="00F85346">
      <w:pPr>
        <w:pStyle w:val="BodyText1"/>
      </w:pPr>
      <w:r>
        <w:t xml:space="preserve">APRA may approve an ADI to use an IRB approach for Regulatory Capital purposes. </w:t>
      </w:r>
      <w:r w:rsidR="00926C12">
        <w:t xml:space="preserve">APRA may impose conditions on </w:t>
      </w:r>
      <w:r w:rsidR="004633D5">
        <w:t>the</w:t>
      </w:r>
      <w:r w:rsidR="00926C12">
        <w:t xml:space="preserve"> ADI’s use of an IRB approach for Regulatory Capital</w:t>
      </w:r>
      <w:r w:rsidR="004633D5">
        <w:t xml:space="preserve"> purposes</w:t>
      </w:r>
      <w:r w:rsidR="00926C12">
        <w:t xml:space="preserve">. </w:t>
      </w:r>
    </w:p>
    <w:p w14:paraId="0671A403" w14:textId="5787ECFB" w:rsidR="005C4107" w:rsidRDefault="00AB6CC2" w:rsidP="00F85346">
      <w:pPr>
        <w:pStyle w:val="BodyText1"/>
      </w:pPr>
      <w:r>
        <w:lastRenderedPageBreak/>
        <w:t xml:space="preserve">An ADI must obtain prior approval from </w:t>
      </w:r>
      <w:r w:rsidR="00F85346" w:rsidRPr="00F85346">
        <w:t>APRA</w:t>
      </w:r>
      <w:r>
        <w:t xml:space="preserve"> to use an IRB approach for Regulatory Capital purposes</w:t>
      </w:r>
      <w:r w:rsidR="00F85346" w:rsidRPr="00F85346">
        <w:t xml:space="preserve">. </w:t>
      </w:r>
      <w:r w:rsidR="00524DE0">
        <w:t xml:space="preserve">Where APRA approves </w:t>
      </w:r>
      <w:r w:rsidR="00155A8D">
        <w:t>the</w:t>
      </w:r>
      <w:r w:rsidR="00F80D1C">
        <w:t xml:space="preserve"> use</w:t>
      </w:r>
      <w:r w:rsidR="00155A8D">
        <w:t xml:space="preserve"> of</w:t>
      </w:r>
      <w:r w:rsidR="00F80D1C">
        <w:t xml:space="preserve"> </w:t>
      </w:r>
      <w:r w:rsidR="00AA3422">
        <w:t xml:space="preserve">an </w:t>
      </w:r>
      <w:r w:rsidR="00F80D1C">
        <w:t>IRB approach, it will specify how the IRB approach applies in relation to the ADI.</w:t>
      </w:r>
    </w:p>
    <w:p w14:paraId="2A08057E" w14:textId="5FE24D66" w:rsidR="00A5528E" w:rsidRPr="00A5528E" w:rsidRDefault="00A5528E" w:rsidP="0037783A">
      <w:pPr>
        <w:pStyle w:val="Heading3"/>
      </w:pPr>
      <w:r>
        <w:t>Initial approval</w:t>
      </w:r>
    </w:p>
    <w:p w14:paraId="1D1DAA9D" w14:textId="4D54DEE6" w:rsidR="00E55A13" w:rsidRDefault="00892F83" w:rsidP="008B6C0C">
      <w:pPr>
        <w:pStyle w:val="BodyText1"/>
      </w:pPr>
      <w:r w:rsidRPr="000F58EB">
        <w:t>In its</w:t>
      </w:r>
      <w:r w:rsidR="00286499">
        <w:t xml:space="preserve"> initial</w:t>
      </w:r>
      <w:r w:rsidRPr="000F58EB">
        <w:t xml:space="preserve"> application</w:t>
      </w:r>
      <w:r w:rsidR="00687302" w:rsidRPr="000F58EB">
        <w:t xml:space="preserve"> </w:t>
      </w:r>
      <w:r w:rsidR="000F58EB" w:rsidRPr="000F58EB">
        <w:t>to use an IRB approach</w:t>
      </w:r>
      <w:r w:rsidRPr="000F58EB">
        <w:t xml:space="preserve">, </w:t>
      </w:r>
      <w:r w:rsidR="000F58EB" w:rsidRPr="000F58EB">
        <w:t>an</w:t>
      </w:r>
      <w:r w:rsidRPr="000F58EB">
        <w:t xml:space="preserve"> ADI must seek </w:t>
      </w:r>
      <w:r w:rsidR="00F228CA">
        <w:t xml:space="preserve">IRB </w:t>
      </w:r>
      <w:r w:rsidRPr="000F58EB">
        <w:t xml:space="preserve">approval </w:t>
      </w:r>
      <w:r w:rsidR="0084090D" w:rsidRPr="000F58EB">
        <w:t>for all material asset classes and business units of the ADI.</w:t>
      </w:r>
      <w:r w:rsidR="000F58EB">
        <w:t xml:space="preserve"> The ADI must demonstrate that it complies with the minimum requirements </w:t>
      </w:r>
      <w:r w:rsidR="00E311DD">
        <w:t xml:space="preserve">of </w:t>
      </w:r>
      <w:r w:rsidR="000F58EB">
        <w:t xml:space="preserve">this Prudential Standard for the relevant IRB asset classes or sub-asset classes, and </w:t>
      </w:r>
      <w:r w:rsidR="000F58EB" w:rsidRPr="00892F83">
        <w:t>has been using rating systems</w:t>
      </w:r>
      <w:r w:rsidR="000F58EB">
        <w:t xml:space="preserve"> and risk components</w:t>
      </w:r>
      <w:r w:rsidR="000F58EB" w:rsidRPr="00892F83">
        <w:t xml:space="preserve"> that are broadly in line with the requirements of this Prudential Standard for at least three years prior to an IRB approval being given.</w:t>
      </w:r>
      <w:r w:rsidR="0013744C">
        <w:rPr>
          <w:rStyle w:val="FootnoteReference"/>
        </w:rPr>
        <w:footnoteReference w:id="5"/>
      </w:r>
      <w:r w:rsidR="000F58EB" w:rsidRPr="00892F83">
        <w:t xml:space="preserve"> </w:t>
      </w:r>
    </w:p>
    <w:p w14:paraId="194E938D" w14:textId="569368F8" w:rsidR="00892F83" w:rsidRDefault="00E55A13" w:rsidP="00900E8E">
      <w:pPr>
        <w:pStyle w:val="BodyText1"/>
      </w:pPr>
      <w:r w:rsidRPr="00E55A13">
        <w:t xml:space="preserve">In its </w:t>
      </w:r>
      <w:r w:rsidR="00286499">
        <w:t xml:space="preserve">initial </w:t>
      </w:r>
      <w:r w:rsidRPr="00E55A13">
        <w:t>application</w:t>
      </w:r>
      <w:r w:rsidR="00E311DD">
        <w:t xml:space="preserve"> to use an IRB approach</w:t>
      </w:r>
      <w:r w:rsidRPr="00E55A13">
        <w:t xml:space="preserve">, </w:t>
      </w:r>
      <w:r w:rsidR="00AA3422">
        <w:t>an</w:t>
      </w:r>
      <w:r w:rsidR="00AA3422" w:rsidRPr="00E55A13">
        <w:t xml:space="preserve"> </w:t>
      </w:r>
      <w:r w:rsidRPr="00E55A13">
        <w:t xml:space="preserve">ADI must, unless determined otherwise by </w:t>
      </w:r>
      <w:r w:rsidR="00EF62FD">
        <w:t>APRA, also seek approval to use</w:t>
      </w:r>
      <w:r w:rsidRPr="00E55A13">
        <w:t xml:space="preserve"> </w:t>
      </w:r>
      <w:r w:rsidR="00892F83" w:rsidRPr="00E55A13">
        <w:t>an internal risk measurement model for the p</w:t>
      </w:r>
      <w:r w:rsidR="00EF62FD">
        <w:t xml:space="preserve">urpose of determining </w:t>
      </w:r>
      <w:r w:rsidR="006C7921">
        <w:t xml:space="preserve">the </w:t>
      </w:r>
      <w:r w:rsidR="00892F83" w:rsidRPr="00E55A13">
        <w:t>Regulatory Capital</w:t>
      </w:r>
      <w:r w:rsidR="006C7921">
        <w:t xml:space="preserve"> requirement</w:t>
      </w:r>
      <w:r w:rsidR="00892F83" w:rsidRPr="00E55A13">
        <w:t xml:space="preserve"> for interest rate risk in the banking book </w:t>
      </w:r>
      <w:r w:rsidR="008D06AF" w:rsidRPr="00E55A13">
        <w:t>as set out in</w:t>
      </w:r>
      <w:r w:rsidR="00892F83" w:rsidRPr="00DA2EDA">
        <w:rPr>
          <w:i/>
        </w:rPr>
        <w:t xml:space="preserve"> Prudential Standard APS 117 Capital Adequacy: Interest Rate Risk in the Banking Book</w:t>
      </w:r>
      <w:r w:rsidR="00DA2EDA" w:rsidRPr="00DA2EDA">
        <w:t>.</w:t>
      </w:r>
    </w:p>
    <w:p w14:paraId="6A3EFA59" w14:textId="77334E14" w:rsidR="002359F6" w:rsidRDefault="00763B6E" w:rsidP="002F183D">
      <w:pPr>
        <w:pStyle w:val="BodyText1"/>
      </w:pPr>
      <w:r>
        <w:t xml:space="preserve">In addition to credit exposures for which an ADI must use the standardised approach to credit risk, </w:t>
      </w:r>
      <w:r w:rsidR="008B6C0C">
        <w:t xml:space="preserve">APRA may permit </w:t>
      </w:r>
      <w:r w:rsidR="00B7468C">
        <w:t>the</w:t>
      </w:r>
      <w:r w:rsidR="008B6C0C">
        <w:t xml:space="preserve"> ADI to use a combination of </w:t>
      </w:r>
      <w:r w:rsidR="005321E7">
        <w:t>an</w:t>
      </w:r>
      <w:r w:rsidR="008B6C0C">
        <w:t xml:space="preserve"> IRB approach and the standardised approach</w:t>
      </w:r>
      <w:r w:rsidR="002D28D2">
        <w:t xml:space="preserve"> </w:t>
      </w:r>
      <w:r w:rsidR="005321E7">
        <w:t>for Regulatory C</w:t>
      </w:r>
      <w:r w:rsidR="00632B0A">
        <w:t>apital purposes</w:t>
      </w:r>
      <w:r w:rsidR="008B6C0C">
        <w:t>. This approach is referred to as ‘partial use’.</w:t>
      </w:r>
      <w:r w:rsidR="00A47AE6">
        <w:t xml:space="preserve"> Partial use may apply on a temporary or permanent basis. </w:t>
      </w:r>
    </w:p>
    <w:p w14:paraId="41A4FE63" w14:textId="0B39C40B" w:rsidR="008B6C0C" w:rsidRDefault="008B6C0C" w:rsidP="002F183D">
      <w:pPr>
        <w:pStyle w:val="BodyText1"/>
      </w:pPr>
      <w:r>
        <w:t>An ADI seeking approval to adopt partial use must provide APRA</w:t>
      </w:r>
      <w:r w:rsidR="00524DE0">
        <w:t xml:space="preserve"> with</w:t>
      </w:r>
      <w:r>
        <w:t xml:space="preserve"> </w:t>
      </w:r>
      <w:r w:rsidR="00524DE0">
        <w:t xml:space="preserve">information on any business activities for which the ADI proposes to use the standardised approach to credit risk. </w:t>
      </w:r>
      <w:r>
        <w:t>This information must be provided both at the time of the ADI’s initial application for the</w:t>
      </w:r>
      <w:r w:rsidR="005321E7">
        <w:t xml:space="preserve"> use of an</w:t>
      </w:r>
      <w:r>
        <w:t xml:space="preserve"> IRB approach and subsequent to the ADI obtaining IRB approval.</w:t>
      </w:r>
    </w:p>
    <w:p w14:paraId="286E72ED" w14:textId="7FDC9A95" w:rsidR="00866F2B" w:rsidRPr="005B3043" w:rsidRDefault="00866F2B" w:rsidP="00866F2B">
      <w:pPr>
        <w:pStyle w:val="Heading4"/>
      </w:pPr>
      <w:r w:rsidRPr="005B3043">
        <w:t>Phased roll-out</w:t>
      </w:r>
    </w:p>
    <w:p w14:paraId="71BFE1B8" w14:textId="18860B0E" w:rsidR="008B6C0C" w:rsidRDefault="002E469F" w:rsidP="008B6C0C">
      <w:pPr>
        <w:pStyle w:val="BodyText1"/>
      </w:pPr>
      <w:r>
        <w:t xml:space="preserve">Where it is not practical for an ADI to implement </w:t>
      </w:r>
      <w:r w:rsidR="00213900">
        <w:t>an</w:t>
      </w:r>
      <w:r>
        <w:t xml:space="preserve"> IRB approach across all material asset classes and business units at the same time, </w:t>
      </w:r>
      <w:r w:rsidR="008B6C0C">
        <w:t xml:space="preserve">APRA may approve a phased roll-out of </w:t>
      </w:r>
      <w:r w:rsidR="00213900">
        <w:t>an</w:t>
      </w:r>
      <w:r w:rsidR="008B6C0C">
        <w:t xml:space="preserve"> IRB approach</w:t>
      </w:r>
      <w:r w:rsidR="00765A1F">
        <w:t xml:space="preserve"> by </w:t>
      </w:r>
      <w:r w:rsidR="00213900">
        <w:t>the</w:t>
      </w:r>
      <w:r w:rsidR="00765A1F">
        <w:t xml:space="preserve"> ADI</w:t>
      </w:r>
      <w:r w:rsidR="00A63843">
        <w:t xml:space="preserve">. </w:t>
      </w:r>
      <w:r w:rsidR="00D61EAC">
        <w:t xml:space="preserve">A phased roll-out is where </w:t>
      </w:r>
      <w:r w:rsidR="00286499">
        <w:t>the</w:t>
      </w:r>
      <w:r w:rsidR="00D61EAC">
        <w:t xml:space="preserve"> ADI</w:t>
      </w:r>
      <w:r w:rsidR="00D20F30">
        <w:t>,</w:t>
      </w:r>
      <w:r w:rsidR="00D61EAC">
        <w:t xml:space="preserve"> in accordance with a specified timetable</w:t>
      </w:r>
      <w:r w:rsidR="008B6C0C">
        <w:t>:</w:t>
      </w:r>
    </w:p>
    <w:p w14:paraId="6943542A" w14:textId="59CBC104" w:rsidR="008B6C0C" w:rsidRDefault="008B6C0C" w:rsidP="008B6C0C">
      <w:pPr>
        <w:pStyle w:val="BodyText2"/>
      </w:pPr>
      <w:r>
        <w:t>adopt</w:t>
      </w:r>
      <w:r w:rsidR="00D61EAC">
        <w:t>s</w:t>
      </w:r>
      <w:r>
        <w:t xml:space="preserve"> </w:t>
      </w:r>
      <w:r w:rsidR="00213900">
        <w:t>an</w:t>
      </w:r>
      <w:r w:rsidR="00C66BD0">
        <w:t xml:space="preserve"> </w:t>
      </w:r>
      <w:r>
        <w:t>IRB</w:t>
      </w:r>
      <w:r w:rsidR="00C66BD0">
        <w:t xml:space="preserve"> approach</w:t>
      </w:r>
      <w:r w:rsidR="00D61EAC">
        <w:t xml:space="preserve"> </w:t>
      </w:r>
      <w:r>
        <w:t>across asset class</w:t>
      </w:r>
      <w:r w:rsidR="00C66BD0">
        <w:t>es</w:t>
      </w:r>
      <w:r>
        <w:t xml:space="preserve"> within </w:t>
      </w:r>
      <w:r w:rsidR="00C66BD0">
        <w:t>a particular</w:t>
      </w:r>
      <w:r>
        <w:t xml:space="preserve"> business unit;</w:t>
      </w:r>
    </w:p>
    <w:p w14:paraId="5700C711" w14:textId="130078CB" w:rsidR="008B6C0C" w:rsidRDefault="008B6C0C" w:rsidP="008B6C0C">
      <w:pPr>
        <w:pStyle w:val="BodyText2"/>
      </w:pPr>
      <w:r>
        <w:t>adopt</w:t>
      </w:r>
      <w:r w:rsidR="00D61EAC">
        <w:t>s</w:t>
      </w:r>
      <w:r>
        <w:t xml:space="preserve"> </w:t>
      </w:r>
      <w:r w:rsidR="00213900">
        <w:t>an</w:t>
      </w:r>
      <w:r w:rsidR="00C66BD0">
        <w:t xml:space="preserve"> </w:t>
      </w:r>
      <w:r>
        <w:t>IRB</w:t>
      </w:r>
      <w:r w:rsidR="00C66BD0">
        <w:t xml:space="preserve"> approach</w:t>
      </w:r>
      <w:r>
        <w:t xml:space="preserve"> across business units</w:t>
      </w:r>
      <w:r w:rsidR="002D29CE">
        <w:t xml:space="preserve"> in the Level 2 group</w:t>
      </w:r>
      <w:r>
        <w:t>;</w:t>
      </w:r>
    </w:p>
    <w:p w14:paraId="53E1C206" w14:textId="4F3829DF" w:rsidR="008B6C0C" w:rsidRDefault="00D61EAC" w:rsidP="008B6C0C">
      <w:pPr>
        <w:pStyle w:val="BodyText2"/>
      </w:pPr>
      <w:r>
        <w:t xml:space="preserve">moves </w:t>
      </w:r>
      <w:r w:rsidR="008B6C0C">
        <w:t>from the FIRB approach to the AIRB approach</w:t>
      </w:r>
      <w:r w:rsidR="002D29CE">
        <w:t xml:space="preserve">, </w:t>
      </w:r>
      <w:r w:rsidR="008B6C0C">
        <w:t xml:space="preserve">where </w:t>
      </w:r>
      <w:r w:rsidR="00C66BD0">
        <w:t xml:space="preserve">the </w:t>
      </w:r>
      <w:r w:rsidR="008B6C0C">
        <w:t>use of the AIRB approach is permitted</w:t>
      </w:r>
      <w:r w:rsidR="00B60C3F">
        <w:t>; and</w:t>
      </w:r>
    </w:p>
    <w:p w14:paraId="7D14ED52" w14:textId="5A4C24B1" w:rsidR="00B60C3F" w:rsidRDefault="00B60C3F" w:rsidP="008B6C0C">
      <w:pPr>
        <w:pStyle w:val="BodyText2"/>
      </w:pPr>
      <w:r>
        <w:lastRenderedPageBreak/>
        <w:t>mov</w:t>
      </w:r>
      <w:r w:rsidR="00D61EAC">
        <w:t>es</w:t>
      </w:r>
      <w:r>
        <w:t xml:space="preserve"> from the </w:t>
      </w:r>
      <w:r w:rsidR="006C7921">
        <w:t xml:space="preserve">supervisory </w:t>
      </w:r>
      <w:r>
        <w:t>slotting approach</w:t>
      </w:r>
      <w:r w:rsidR="00D61EAC">
        <w:t xml:space="preserve"> </w:t>
      </w:r>
      <w:r>
        <w:t xml:space="preserve">to the FIRB or AIRB approach for </w:t>
      </w:r>
      <w:r w:rsidR="00D03252">
        <w:t>IPRE</w:t>
      </w:r>
      <w:r>
        <w:t>.</w:t>
      </w:r>
    </w:p>
    <w:p w14:paraId="16DD3AC5" w14:textId="36288DEB" w:rsidR="008B6C0C" w:rsidRDefault="00BF6B33" w:rsidP="00D02980">
      <w:pPr>
        <w:ind w:left="567"/>
        <w:jc w:val="both"/>
      </w:pPr>
      <w:r>
        <w:t>However, w</w:t>
      </w:r>
      <w:r w:rsidR="006E31D7">
        <w:t>here</w:t>
      </w:r>
      <w:r w:rsidR="008B6C0C">
        <w:t xml:space="preserve"> </w:t>
      </w:r>
      <w:r w:rsidR="003A0C55">
        <w:t xml:space="preserve">the </w:t>
      </w:r>
      <w:r w:rsidR="008B6C0C">
        <w:t xml:space="preserve">ADI adopts </w:t>
      </w:r>
      <w:r w:rsidR="00213900">
        <w:t xml:space="preserve">an </w:t>
      </w:r>
      <w:r w:rsidR="008B6C0C">
        <w:t>IRB approach for an asset</w:t>
      </w:r>
      <w:r>
        <w:t xml:space="preserve"> class</w:t>
      </w:r>
      <w:r w:rsidR="008B6C0C">
        <w:t xml:space="preserve"> or sub-asset class within a particular business unit, it </w:t>
      </w:r>
      <w:r w:rsidR="00765A1F">
        <w:t>must</w:t>
      </w:r>
      <w:r w:rsidR="008B6C0C">
        <w:t xml:space="preserve"> apply that IRB approach to all exposures in that asset</w:t>
      </w:r>
      <w:r w:rsidR="00213900">
        <w:t xml:space="preserve"> class</w:t>
      </w:r>
      <w:r w:rsidR="008B6C0C">
        <w:t xml:space="preserve"> or sub-asset class within that business unit.</w:t>
      </w:r>
    </w:p>
    <w:p w14:paraId="1D1DE1C0" w14:textId="279171C3" w:rsidR="00CE450B" w:rsidRDefault="008B6C0C" w:rsidP="008B6C0C">
      <w:pPr>
        <w:pStyle w:val="BodyText1"/>
      </w:pPr>
      <w:r>
        <w:t xml:space="preserve">An ADI that has received approval to adopt a phased roll-out of </w:t>
      </w:r>
      <w:r w:rsidR="00253015">
        <w:t xml:space="preserve">an </w:t>
      </w:r>
      <w:r>
        <w:t xml:space="preserve">IRB approach must have </w:t>
      </w:r>
      <w:r w:rsidR="009C0329">
        <w:t>an</w:t>
      </w:r>
      <w:r>
        <w:t xml:space="preserve"> implementation plan in place that specifies the extent and timing of roll-out of the IRB approach across all significant asset</w:t>
      </w:r>
      <w:r w:rsidR="003150C2">
        <w:t xml:space="preserve"> classes</w:t>
      </w:r>
      <w:r>
        <w:t xml:space="preserve"> or sub-asset classes and business units. </w:t>
      </w:r>
    </w:p>
    <w:p w14:paraId="36AE6F11" w14:textId="4CD92E43" w:rsidR="00D03252" w:rsidRDefault="008B6C0C" w:rsidP="008B6C0C">
      <w:pPr>
        <w:pStyle w:val="BodyText1"/>
      </w:pPr>
      <w:r>
        <w:t>During the roll-out period</w:t>
      </w:r>
      <w:r w:rsidR="00D03252">
        <w:t xml:space="preserve">: </w:t>
      </w:r>
    </w:p>
    <w:p w14:paraId="3E2DBD18" w14:textId="10E21241" w:rsidR="00D03252" w:rsidRDefault="00D03252" w:rsidP="00652511">
      <w:pPr>
        <w:pStyle w:val="BodyText2"/>
      </w:pPr>
      <w:r>
        <w:t xml:space="preserve">a significant portion (at APRA’s discretion) of any expected </w:t>
      </w:r>
      <w:r w:rsidR="00544D35">
        <w:t>R</w:t>
      </w:r>
      <w:r>
        <w:t xml:space="preserve">egulatory </w:t>
      </w:r>
      <w:r w:rsidR="00544D35">
        <w:t>C</w:t>
      </w:r>
      <w:r>
        <w:t xml:space="preserve">apital </w:t>
      </w:r>
      <w:r w:rsidR="00652511">
        <w:t xml:space="preserve">benefit from </w:t>
      </w:r>
      <w:r w:rsidR="00F83AD7">
        <w:t xml:space="preserve">initial </w:t>
      </w:r>
      <w:r w:rsidR="00F01DFE">
        <w:t>IRB approval</w:t>
      </w:r>
      <w:r w:rsidR="00652511">
        <w:t xml:space="preserve"> </w:t>
      </w:r>
      <w:r w:rsidR="00F83AD7">
        <w:t>may</w:t>
      </w:r>
      <w:r>
        <w:t xml:space="preserve"> only become available after obtaining </w:t>
      </w:r>
      <w:r w:rsidR="00F83AD7">
        <w:t>final</w:t>
      </w:r>
      <w:r>
        <w:t xml:space="preserve"> </w:t>
      </w:r>
      <w:r w:rsidR="00F01DFE">
        <w:t>approval</w:t>
      </w:r>
      <w:r>
        <w:t xml:space="preserve">. </w:t>
      </w:r>
      <w:r w:rsidR="00652511">
        <w:t xml:space="preserve">APRA may vary this percentage during the period from initial to final </w:t>
      </w:r>
      <w:r w:rsidR="00F01DFE">
        <w:t>approval</w:t>
      </w:r>
      <w:r w:rsidR="00652511">
        <w:t xml:space="preserve"> to reflect</w:t>
      </w:r>
      <w:r w:rsidR="00F861E2">
        <w:t xml:space="preserve"> APRA’s assessment of the ADI’s ability to progress to final approval; </w:t>
      </w:r>
      <w:r w:rsidR="00652511">
        <w:t>and</w:t>
      </w:r>
    </w:p>
    <w:p w14:paraId="4ED7EEB5" w14:textId="5CE7A83B" w:rsidR="008B6C0C" w:rsidRDefault="008B6C0C" w:rsidP="00652511">
      <w:pPr>
        <w:pStyle w:val="BodyText2"/>
      </w:pPr>
      <w:r>
        <w:t xml:space="preserve">no capital relief will be granted for intra-group transactions that reduce </w:t>
      </w:r>
      <w:r w:rsidR="003150C2">
        <w:t xml:space="preserve">an </w:t>
      </w:r>
      <w:r>
        <w:t>ADI’s aggregate capital requirement by transferring credit risk among entities on the standardised approach to credit risk, FIRB approach and AIRB approach. This includes, but is not limited to, asset sales and cross-guarantees.</w:t>
      </w:r>
    </w:p>
    <w:p w14:paraId="3DEF3064" w14:textId="77777777" w:rsidR="006C6C33" w:rsidRPr="005B3043" w:rsidRDefault="006C6C33" w:rsidP="006C6C33">
      <w:pPr>
        <w:pStyle w:val="Heading4"/>
      </w:pPr>
      <w:r w:rsidRPr="005B3043">
        <w:t>Permanent partial use</w:t>
      </w:r>
    </w:p>
    <w:p w14:paraId="1C2045B8" w14:textId="4714016D" w:rsidR="006C6C33" w:rsidRDefault="006C6C33" w:rsidP="006C6C33">
      <w:pPr>
        <w:pStyle w:val="BodyText1"/>
      </w:pPr>
      <w:r>
        <w:t>APRA will approve permanent partial use of an IRB approach only in exceptional circumstances. An ADI seeking such approval must be able to demonstrate that the relevant business activities to which an IRB approach does not apply are immaterial in terms of size and perceived risk profile.</w:t>
      </w:r>
    </w:p>
    <w:p w14:paraId="07C0245D" w14:textId="4ABD35D4" w:rsidR="00A5528E" w:rsidRDefault="00A5528E" w:rsidP="00A5528E">
      <w:pPr>
        <w:pStyle w:val="Heading3"/>
      </w:pPr>
      <w:r w:rsidRPr="00652511">
        <w:t>Ongoing</w:t>
      </w:r>
      <w:r w:rsidR="00652511" w:rsidRPr="00652511">
        <w:t xml:space="preserve"> requirements</w:t>
      </w:r>
    </w:p>
    <w:p w14:paraId="26BABA72" w14:textId="74DA89E8" w:rsidR="00E41C16" w:rsidRDefault="00A5528E" w:rsidP="00E41C16">
      <w:pPr>
        <w:pStyle w:val="BodyText1"/>
      </w:pPr>
      <w:r>
        <w:t>An</w:t>
      </w:r>
      <w:r w:rsidR="00892F83" w:rsidRPr="00892F83">
        <w:t xml:space="preserve"> ADI </w:t>
      </w:r>
      <w:r w:rsidR="00866A51">
        <w:t xml:space="preserve">that has obtained IRB approval </w:t>
      </w:r>
      <w:r w:rsidR="00892F83" w:rsidRPr="00892F83">
        <w:t xml:space="preserve">must </w:t>
      </w:r>
      <w:r w:rsidR="002D02C0">
        <w:t>seek prior approval from</w:t>
      </w:r>
      <w:r w:rsidR="002D02C0" w:rsidRPr="00892F83">
        <w:t xml:space="preserve"> </w:t>
      </w:r>
      <w:r w:rsidR="00892F83" w:rsidRPr="00892F83">
        <w:t>APRA</w:t>
      </w:r>
      <w:r w:rsidR="00E41C16">
        <w:t xml:space="preserve"> where</w:t>
      </w:r>
      <w:r w:rsidR="00A15DE3">
        <w:t xml:space="preserve"> it intends to make</w:t>
      </w:r>
      <w:r w:rsidR="00E41C16">
        <w:t>:</w:t>
      </w:r>
    </w:p>
    <w:p w14:paraId="21258EBD" w14:textId="0ECC76F0" w:rsidR="00E41C16" w:rsidRDefault="00892F83" w:rsidP="00E41C16">
      <w:pPr>
        <w:pStyle w:val="BodyText2"/>
      </w:pPr>
      <w:r w:rsidRPr="00892F83">
        <w:t xml:space="preserve">changes to its rating systems that will result in a material change in </w:t>
      </w:r>
      <w:r w:rsidR="00077B2D">
        <w:t>RWA</w:t>
      </w:r>
      <w:r w:rsidRPr="00892F83">
        <w:t xml:space="preserve"> for a given type of exposure</w:t>
      </w:r>
      <w:r w:rsidR="00E41C16">
        <w:t>;</w:t>
      </w:r>
      <w:r w:rsidRPr="00892F83">
        <w:t xml:space="preserve"> or  </w:t>
      </w:r>
    </w:p>
    <w:p w14:paraId="1E21BBF8" w14:textId="24671EAA" w:rsidR="00892F83" w:rsidRPr="00892F83" w:rsidRDefault="00892F83" w:rsidP="00E41C16">
      <w:pPr>
        <w:pStyle w:val="BodyText2"/>
      </w:pPr>
      <w:r w:rsidRPr="00892F83">
        <w:t xml:space="preserve">a significant change to its modelling assumptions. </w:t>
      </w:r>
    </w:p>
    <w:p w14:paraId="1D09B7D9" w14:textId="57EB660E" w:rsidR="00B60C3F" w:rsidRPr="00892F83" w:rsidRDefault="00A63843" w:rsidP="00B60C3F">
      <w:pPr>
        <w:pStyle w:val="BodyText1"/>
      </w:pPr>
      <w:r>
        <w:t>A</w:t>
      </w:r>
      <w:r w:rsidR="00B60C3F" w:rsidRPr="00892F83">
        <w:t xml:space="preserve">n ADI </w:t>
      </w:r>
      <w:r>
        <w:t xml:space="preserve">that </w:t>
      </w:r>
      <w:r w:rsidR="00B60C3F" w:rsidRPr="00892F83">
        <w:t xml:space="preserve">has obtained IRB approval must continue to employ that IRB approach on an </w:t>
      </w:r>
      <w:r w:rsidR="00652511">
        <w:t xml:space="preserve">ongoing basis </w:t>
      </w:r>
      <w:r w:rsidR="007634A0">
        <w:t>except</w:t>
      </w:r>
      <w:r w:rsidR="00652511">
        <w:t xml:space="preserve"> </w:t>
      </w:r>
      <w:r w:rsidR="00B60C3F" w:rsidRPr="00892F83">
        <w:t>to the extent that the IRB approval is revoked or suspended for some or all of the ADI’s operations. A return to the standardised approach to credit risk</w:t>
      </w:r>
      <w:r w:rsidR="00B60C3F">
        <w:t xml:space="preserve">, </w:t>
      </w:r>
      <w:r w:rsidR="00B60C3F" w:rsidRPr="00892F83">
        <w:t>or the use of the FIRB approach where the ADI has approval to use the AIRB approach, will generally only be permitted in exceptional circumstances.</w:t>
      </w:r>
    </w:p>
    <w:p w14:paraId="7C2D31C7" w14:textId="7FB63F63" w:rsidR="00B60C3F" w:rsidRDefault="00B60C3F" w:rsidP="00B60C3F">
      <w:pPr>
        <w:pStyle w:val="BodyText1"/>
      </w:pPr>
      <w:r>
        <w:t xml:space="preserve">APRA may, at any time, vary or revoke an IRB approval, or impose additional conditions on the IRB approval if it considers that: </w:t>
      </w:r>
    </w:p>
    <w:p w14:paraId="6CDB8DF6" w14:textId="6D993C51" w:rsidR="00B60C3F" w:rsidRDefault="00B60C3F" w:rsidP="00B60C3F">
      <w:pPr>
        <w:pStyle w:val="BodyText2"/>
      </w:pPr>
      <w:r>
        <w:lastRenderedPageBreak/>
        <w:t>an ADI is not complying with this Prudential Standard; or</w:t>
      </w:r>
    </w:p>
    <w:p w14:paraId="3DE1FB25" w14:textId="2AABDA20" w:rsidR="00B60C3F" w:rsidRDefault="00B60C3F" w:rsidP="00B60C3F">
      <w:pPr>
        <w:pStyle w:val="BodyText2"/>
      </w:pPr>
      <w:r>
        <w:t>it is appropriate, having regard to the particular circumstances of the ADI.</w:t>
      </w:r>
    </w:p>
    <w:p w14:paraId="216CA01F" w14:textId="1C949952" w:rsidR="00B60C3F" w:rsidRDefault="00B60C3F" w:rsidP="00B60C3F">
      <w:pPr>
        <w:ind w:left="567"/>
        <w:jc w:val="both"/>
      </w:pPr>
      <w:r>
        <w:t xml:space="preserve">Where APRA has varied or revoked an IRB approval, it may require the ADI to apply the standardised approach to credit risk for some or all of its operations, until it meets the conditions specified by APRA for returning to </w:t>
      </w:r>
      <w:r w:rsidR="00F6131D">
        <w:t xml:space="preserve">an </w:t>
      </w:r>
      <w:r>
        <w:t>IRB approach.</w:t>
      </w:r>
    </w:p>
    <w:p w14:paraId="2A489B31" w14:textId="14034EDE" w:rsidR="005D6605" w:rsidRDefault="005D6605" w:rsidP="005D6605">
      <w:pPr>
        <w:pStyle w:val="BodyText1"/>
      </w:pPr>
      <w:r>
        <w:t xml:space="preserve">APRA may require an ADI to reduce its level of credit risk or increase its capital if APRA considers that the ADI’s capital for credit risk under </w:t>
      </w:r>
      <w:r w:rsidR="00A63843">
        <w:t xml:space="preserve">an </w:t>
      </w:r>
      <w:r>
        <w:t>IRB approach is not commensurate with its credit risk profile.</w:t>
      </w:r>
    </w:p>
    <w:p w14:paraId="463174C9" w14:textId="19E33AB2" w:rsidR="0088250F" w:rsidRDefault="00A74FCA" w:rsidP="00B60C3F">
      <w:pPr>
        <w:pStyle w:val="BodyText1"/>
      </w:pPr>
      <w:r>
        <w:t>If an</w:t>
      </w:r>
      <w:r w:rsidR="0014325A">
        <w:t xml:space="preserve"> </w:t>
      </w:r>
      <w:r w:rsidR="00892F83">
        <w:t>ADI become</w:t>
      </w:r>
      <w:r>
        <w:t>s</w:t>
      </w:r>
      <w:r w:rsidR="00892F83">
        <w:t xml:space="preserve"> aware that it is not complying with a requirement of this Prudential Standard</w:t>
      </w:r>
      <w:r>
        <w:t xml:space="preserve">, it </w:t>
      </w:r>
      <w:r w:rsidR="00892F83">
        <w:t xml:space="preserve">must notify APRA and provide </w:t>
      </w:r>
      <w:r w:rsidR="0014325A">
        <w:t>a</w:t>
      </w:r>
      <w:r w:rsidR="00892F83">
        <w:t xml:space="preserve"> plan for </w:t>
      </w:r>
      <w:r w:rsidR="0014325A">
        <w:t xml:space="preserve">its </w:t>
      </w:r>
      <w:r w:rsidR="00892F83">
        <w:t xml:space="preserve">timely return to compliance. </w:t>
      </w:r>
    </w:p>
    <w:p w14:paraId="5856D66E" w14:textId="77777777" w:rsidR="00DF539C" w:rsidRDefault="00DF539C" w:rsidP="0038413F">
      <w:pPr>
        <w:pStyle w:val="BodyText1"/>
        <w:numPr>
          <w:ilvl w:val="0"/>
          <w:numId w:val="0"/>
        </w:numPr>
        <w:sectPr w:rsidR="00DF539C" w:rsidSect="00AA5018">
          <w:headerReference w:type="default" r:id="rId17"/>
          <w:pgSz w:w="11906" w:h="16838" w:code="9"/>
          <w:pgMar w:top="1440" w:right="1797" w:bottom="1440" w:left="1797" w:header="709" w:footer="709" w:gutter="0"/>
          <w:cols w:space="708"/>
          <w:docGrid w:linePitch="360"/>
        </w:sectPr>
      </w:pPr>
    </w:p>
    <w:p w14:paraId="166D221D" w14:textId="6C51050B" w:rsidR="0038413F" w:rsidRPr="006C17A5" w:rsidRDefault="00E16DD9" w:rsidP="00EA31FC">
      <w:pPr>
        <w:pStyle w:val="Heading1"/>
      </w:pPr>
      <w:bookmarkStart w:id="32" w:name="_Toc19714493"/>
      <w:bookmarkStart w:id="33" w:name="_Toc176183666"/>
      <w:r w:rsidRPr="001F6B8D">
        <w:lastRenderedPageBreak/>
        <w:t xml:space="preserve">Attachment </w:t>
      </w:r>
      <w:r w:rsidR="00407816">
        <w:rPr>
          <w:rStyle w:val="Attachmentfieldtext"/>
        </w:rPr>
        <w:t>A</w:t>
      </w:r>
      <w:r w:rsidR="001F6B8D" w:rsidRPr="001F6B8D">
        <w:t xml:space="preserve"> </w:t>
      </w:r>
      <w:r w:rsidR="003A6F4C">
        <w:t>-</w:t>
      </w:r>
      <w:r w:rsidR="001F6B8D" w:rsidRPr="001F6B8D">
        <w:t xml:space="preserve"> </w:t>
      </w:r>
      <w:bookmarkEnd w:id="32"/>
      <w:r w:rsidR="00F77AF0">
        <w:t>IRB risk-weight functions</w:t>
      </w:r>
      <w:bookmarkEnd w:id="33"/>
    </w:p>
    <w:p w14:paraId="61DB8478" w14:textId="13FBD227" w:rsidR="001C56EA" w:rsidRDefault="00FC07B7" w:rsidP="002A2D6D">
      <w:pPr>
        <w:pStyle w:val="BodyText1"/>
        <w:numPr>
          <w:ilvl w:val="0"/>
          <w:numId w:val="3"/>
        </w:numPr>
      </w:pPr>
      <w:r>
        <w:t>An ADI must apply the risk-weight functions</w:t>
      </w:r>
      <w:r w:rsidR="00DD5DFB">
        <w:t xml:space="preserve"> </w:t>
      </w:r>
      <w:r w:rsidR="00866A51">
        <w:t xml:space="preserve">and </w:t>
      </w:r>
      <w:r w:rsidR="00DD5DFB">
        <w:t>schedule</w:t>
      </w:r>
      <w:r w:rsidR="004E047E">
        <w:t>s</w:t>
      </w:r>
      <w:r>
        <w:t xml:space="preserve"> set out in this Attachment to calculate RWA</w:t>
      </w:r>
      <w:r w:rsidR="00835F30">
        <w:t xml:space="preserve"> for UL</w:t>
      </w:r>
      <w:r>
        <w:t xml:space="preserve"> </w:t>
      </w:r>
      <w:r w:rsidR="0047329C">
        <w:t xml:space="preserve">for </w:t>
      </w:r>
      <w:r w:rsidR="00225780">
        <w:t xml:space="preserve">corporate, </w:t>
      </w:r>
      <w:r w:rsidR="00AD456C">
        <w:t xml:space="preserve">sovereign, </w:t>
      </w:r>
      <w:r w:rsidR="00121664">
        <w:t>financial institution</w:t>
      </w:r>
      <w:r w:rsidR="0047329C">
        <w:t xml:space="preserve"> and retail exposures</w:t>
      </w:r>
      <w:r w:rsidR="00225780">
        <w:t xml:space="preserve">. </w:t>
      </w:r>
      <w:r w:rsidR="001C56EA">
        <w:t>In calculating RWA:</w:t>
      </w:r>
    </w:p>
    <w:p w14:paraId="32C1F76F" w14:textId="359AD5EA" w:rsidR="001C56EA" w:rsidRDefault="001C56EA" w:rsidP="001C56EA">
      <w:pPr>
        <w:pStyle w:val="BodyText2"/>
      </w:pPr>
      <w:r>
        <w:t xml:space="preserve">PD and LGD are expressed as </w:t>
      </w:r>
      <w:r w:rsidR="00B90FF0">
        <w:t>percentages;</w:t>
      </w:r>
      <w:r>
        <w:t xml:space="preserve"> </w:t>
      </w:r>
    </w:p>
    <w:p w14:paraId="22A01C5A" w14:textId="260F4FD8" w:rsidR="001C56EA" w:rsidRDefault="001C56EA" w:rsidP="001C56EA">
      <w:pPr>
        <w:pStyle w:val="BodyText2"/>
      </w:pPr>
      <w:r>
        <w:t>EAD is expressed in Australian dollars;</w:t>
      </w:r>
    </w:p>
    <w:p w14:paraId="2C3C72DD" w14:textId="08037EEB" w:rsidR="001C56EA" w:rsidRDefault="001C56EA" w:rsidP="001C56EA">
      <w:pPr>
        <w:pStyle w:val="BodyText2"/>
      </w:pPr>
      <w:r w:rsidRPr="001C56EA">
        <w:t>ln denotes the natural logarithm</w:t>
      </w:r>
      <w:r>
        <w:t>;</w:t>
      </w:r>
    </w:p>
    <w:p w14:paraId="7BA870FC" w14:textId="47BD076B" w:rsidR="001C56EA" w:rsidRDefault="00AD456C" w:rsidP="001C56EA">
      <w:pPr>
        <w:pStyle w:val="BodyText2"/>
      </w:pPr>
      <w:r>
        <w:t>N</w:t>
      </w:r>
      <w:r w:rsidR="001C56EA" w:rsidRPr="001C56EA">
        <w:t>(x) denotes the cumulative distribution function for a standard normal random variable (i.e. the probability that a normal random variable with mean zero and variance of one is less than or equal to x)</w:t>
      </w:r>
      <w:r w:rsidR="001C56EA">
        <w:t>; and</w:t>
      </w:r>
    </w:p>
    <w:p w14:paraId="3B1BD95A" w14:textId="5F1FDC0B" w:rsidR="001C56EA" w:rsidRDefault="00AD456C" w:rsidP="001C56EA">
      <w:pPr>
        <w:pStyle w:val="BodyText2"/>
      </w:pPr>
      <w:r>
        <w:t>G</w:t>
      </w:r>
      <w:r w:rsidR="001C56EA" w:rsidRPr="001C56EA">
        <w:t>(z) denotes the inverse cumulative distribution function for a standard normal random variable (i.e. the value of x such that N(x) = z).</w:t>
      </w:r>
    </w:p>
    <w:p w14:paraId="0F28EAE1" w14:textId="00294B7C" w:rsidR="00E46ADF" w:rsidRDefault="00E46ADF" w:rsidP="00E46ADF">
      <w:pPr>
        <w:pStyle w:val="BodyText1"/>
      </w:pPr>
      <w:r>
        <w:t>To determine total RWA under an IRB approach, the ADI must sum:</w:t>
      </w:r>
    </w:p>
    <w:p w14:paraId="67595CB3" w14:textId="0CBD266D" w:rsidR="00E46ADF" w:rsidRDefault="00E46ADF" w:rsidP="00BD0859">
      <w:pPr>
        <w:pStyle w:val="BodyText2"/>
      </w:pPr>
      <w:r>
        <w:t xml:space="preserve">RWA for UL for all IRB asset classes, aside from those </w:t>
      </w:r>
      <w:r w:rsidR="008B022B">
        <w:t xml:space="preserve">exposures </w:t>
      </w:r>
      <w:r w:rsidR="00062C5E">
        <w:t xml:space="preserve">excluded </w:t>
      </w:r>
      <w:r w:rsidR="000A1A59">
        <w:t xml:space="preserve">in </w:t>
      </w:r>
      <w:r w:rsidR="000A1A59">
        <w:fldChar w:fldCharType="begin"/>
      </w:r>
      <w:r w:rsidR="000A1A59">
        <w:instrText xml:space="preserve"> REF _Ref85623536 \r \h </w:instrText>
      </w:r>
      <w:r w:rsidR="000A1A59">
        <w:fldChar w:fldCharType="separate"/>
      </w:r>
      <w:r w:rsidR="00550C88">
        <w:t>(b)</w:t>
      </w:r>
      <w:r w:rsidR="000A1A59">
        <w:fldChar w:fldCharType="end"/>
      </w:r>
      <w:r w:rsidR="000A1A59">
        <w:t xml:space="preserve"> and</w:t>
      </w:r>
      <w:r w:rsidR="003A324B">
        <w:t xml:space="preserve"> </w:t>
      </w:r>
      <w:r w:rsidR="003A324B">
        <w:fldChar w:fldCharType="begin"/>
      </w:r>
      <w:r w:rsidR="003A324B">
        <w:instrText xml:space="preserve"> REF _Ref88549883 \r \h </w:instrText>
      </w:r>
      <w:r w:rsidR="003A324B">
        <w:fldChar w:fldCharType="separate"/>
      </w:r>
      <w:r w:rsidR="00550C88">
        <w:t>(c)</w:t>
      </w:r>
      <w:r w:rsidR="003A324B">
        <w:fldChar w:fldCharType="end"/>
      </w:r>
      <w:r w:rsidR="000A1A59">
        <w:t xml:space="preserve"> below,</w:t>
      </w:r>
      <w:r>
        <w:t xml:space="preserve"> and multiply th</w:t>
      </w:r>
      <w:r w:rsidR="00D52F01">
        <w:t>e</w:t>
      </w:r>
      <w:r>
        <w:t xml:space="preserve"> amount by a scaling factor of 1.1;</w:t>
      </w:r>
    </w:p>
    <w:p w14:paraId="249F33FF" w14:textId="77777777" w:rsidR="000A1A59" w:rsidRDefault="00E46ADF">
      <w:pPr>
        <w:pStyle w:val="BodyText2"/>
      </w:pPr>
      <w:bookmarkStart w:id="34" w:name="_Ref85623536"/>
      <w:r>
        <w:t>RWA for UL for exposures under the supervisory slotting approach</w:t>
      </w:r>
      <w:r w:rsidR="000A1A59">
        <w:t>; and</w:t>
      </w:r>
    </w:p>
    <w:p w14:paraId="694E4D0E" w14:textId="492EF44B" w:rsidR="00E46ADF" w:rsidRDefault="000A1A59">
      <w:pPr>
        <w:pStyle w:val="BodyText2"/>
      </w:pPr>
      <w:bookmarkStart w:id="35" w:name="_Ref88549883"/>
      <w:r>
        <w:t xml:space="preserve">RWA for UL for </w:t>
      </w:r>
      <w:r w:rsidR="00062C5E">
        <w:t xml:space="preserve">aggregate residual value of lease exposures which are risk weighted according to </w:t>
      </w:r>
      <w:r w:rsidR="00062C5E">
        <w:fldChar w:fldCharType="begin"/>
      </w:r>
      <w:r w:rsidR="00062C5E">
        <w:instrText xml:space="preserve"> REF _Ref36569392 \r \h </w:instrText>
      </w:r>
      <w:r w:rsidR="00062C5E">
        <w:fldChar w:fldCharType="separate"/>
      </w:r>
      <w:r w:rsidR="00550C88">
        <w:t>Table 2</w:t>
      </w:r>
      <w:r w:rsidR="00062C5E">
        <w:fldChar w:fldCharType="end"/>
      </w:r>
      <w:r w:rsidR="00062C5E">
        <w:t xml:space="preserve"> of this Attachment</w:t>
      </w:r>
      <w:r w:rsidR="00E46ADF">
        <w:t>.</w:t>
      </w:r>
      <w:bookmarkEnd w:id="34"/>
      <w:bookmarkEnd w:id="35"/>
    </w:p>
    <w:p w14:paraId="069372F4" w14:textId="50FE4485" w:rsidR="0029455F" w:rsidRDefault="0017752E" w:rsidP="00EA31FC">
      <w:pPr>
        <w:pStyle w:val="Heading2"/>
      </w:pPr>
      <w:r>
        <w:t>Risk-weighted</w:t>
      </w:r>
      <w:r w:rsidR="00225780">
        <w:t xml:space="preserve"> assets for corporate</w:t>
      </w:r>
      <w:r w:rsidR="00682D7E">
        <w:t>, sovereign</w:t>
      </w:r>
      <w:r w:rsidR="00225780">
        <w:t xml:space="preserve"> </w:t>
      </w:r>
      <w:r>
        <w:t xml:space="preserve">and </w:t>
      </w:r>
      <w:r w:rsidR="00850AF0">
        <w:t xml:space="preserve">financial institution </w:t>
      </w:r>
      <w:r w:rsidRPr="0047329C">
        <w:t>exposures</w:t>
      </w:r>
    </w:p>
    <w:p w14:paraId="55C69D30" w14:textId="33721A72" w:rsidR="009B2939" w:rsidRDefault="009B2939" w:rsidP="009B2939">
      <w:pPr>
        <w:pStyle w:val="BodyText1"/>
      </w:pPr>
      <w:r w:rsidRPr="0047329C">
        <w:t xml:space="preserve">Except where the </w:t>
      </w:r>
      <w:r w:rsidR="0045274C">
        <w:t xml:space="preserve">supervisory </w:t>
      </w:r>
      <w:r w:rsidRPr="0047329C">
        <w:t xml:space="preserve">slotting approach applies to </w:t>
      </w:r>
      <w:r w:rsidR="00075F51">
        <w:t>specialised lending</w:t>
      </w:r>
      <w:r w:rsidR="00075F51" w:rsidRPr="0047329C">
        <w:t xml:space="preserve"> </w:t>
      </w:r>
      <w:r w:rsidRPr="0047329C">
        <w:t xml:space="preserve">exposures, </w:t>
      </w:r>
      <w:r w:rsidR="002F7F6F">
        <w:t xml:space="preserve">an ADI must calculate </w:t>
      </w:r>
      <w:r w:rsidR="00971805" w:rsidRPr="0047329C">
        <w:t xml:space="preserve">RWA </w:t>
      </w:r>
      <w:r w:rsidRPr="0047329C">
        <w:t xml:space="preserve">for corporate, sovereign and </w:t>
      </w:r>
      <w:r w:rsidR="00850AF0">
        <w:t>financial institution</w:t>
      </w:r>
      <w:r w:rsidRPr="0047329C">
        <w:t xml:space="preserve"> </w:t>
      </w:r>
      <w:r w:rsidR="0047329C" w:rsidRPr="0047329C">
        <w:t>exposures</w:t>
      </w:r>
      <w:r w:rsidRPr="0047329C">
        <w:t xml:space="preserve"> </w:t>
      </w:r>
      <w:r w:rsidR="00971805" w:rsidRPr="0047329C">
        <w:t>using</w:t>
      </w:r>
      <w:r w:rsidRPr="0047329C">
        <w:t xml:space="preserve"> assigned estimates of PD, LGD, EAD and M for a given exposure</w:t>
      </w:r>
      <w:r w:rsidR="00FF1D80">
        <w:t>.</w:t>
      </w:r>
      <w:r w:rsidR="00046845">
        <w:t xml:space="preserve"> </w:t>
      </w:r>
      <w:r w:rsidR="00FF1D80">
        <w:t xml:space="preserve">These estimates must be </w:t>
      </w:r>
      <w:r w:rsidR="00046845">
        <w:t>calculated in accordance with Attachment</w:t>
      </w:r>
      <w:r w:rsidR="00D77E1D">
        <w:t>s</w:t>
      </w:r>
      <w:r w:rsidR="00046845">
        <w:t xml:space="preserve"> B</w:t>
      </w:r>
      <w:r w:rsidR="00D77E1D">
        <w:t xml:space="preserve"> and </w:t>
      </w:r>
      <w:r w:rsidR="005341C6">
        <w:t>D</w:t>
      </w:r>
      <w:r w:rsidR="00046845">
        <w:t xml:space="preserve"> to this Prudential Standard</w:t>
      </w:r>
      <w:r w:rsidRPr="0047329C">
        <w:t xml:space="preserve">. </w:t>
      </w:r>
    </w:p>
    <w:p w14:paraId="7B88E23C" w14:textId="797111AA" w:rsidR="009B2939" w:rsidRPr="009B2939" w:rsidRDefault="008A1328" w:rsidP="009B2939">
      <w:pPr>
        <w:pStyle w:val="BodyText1"/>
      </w:pPr>
      <w:bookmarkStart w:id="36" w:name="_Ref34314509"/>
      <w:r>
        <w:t>F</w:t>
      </w:r>
      <w:r w:rsidRPr="009B2939">
        <w:t xml:space="preserve">or </w:t>
      </w:r>
      <w:r w:rsidR="009B2939" w:rsidRPr="009B2939">
        <w:t xml:space="preserve">non-defaulted corporate, sovereign and </w:t>
      </w:r>
      <w:r w:rsidR="00850AF0">
        <w:t>financial institution</w:t>
      </w:r>
      <w:r w:rsidR="00850AF0" w:rsidRPr="009B2939">
        <w:t xml:space="preserve"> </w:t>
      </w:r>
      <w:r w:rsidR="0047329C">
        <w:t>exposures</w:t>
      </w:r>
      <w:r w:rsidR="009B2939" w:rsidRPr="009B2939">
        <w:t xml:space="preserve">, </w:t>
      </w:r>
      <w:r w:rsidR="009B2939">
        <w:t xml:space="preserve">the </w:t>
      </w:r>
      <w:r w:rsidR="00A63843">
        <w:t>calculation of RWA</w:t>
      </w:r>
      <w:r w:rsidR="001868DF">
        <w:t xml:space="preserve"> for UL</w:t>
      </w:r>
      <w:r w:rsidR="009B2939">
        <w:t xml:space="preserve"> is:</w:t>
      </w:r>
      <w:bookmarkEnd w:id="36"/>
    </w:p>
    <w:p w14:paraId="33C2F267" w14:textId="29E34FAB" w:rsidR="009B2939" w:rsidRPr="0068408F" w:rsidRDefault="009B2939" w:rsidP="00A253FC">
      <w:pPr>
        <w:tabs>
          <w:tab w:val="num" w:pos="1134"/>
          <w:tab w:val="left" w:pos="3544"/>
        </w:tabs>
        <w:ind w:left="3537" w:hanging="2970"/>
      </w:pPr>
      <w:r w:rsidRPr="00ED263D">
        <w:t>Correlation (R) =</w:t>
      </w:r>
      <w:r w:rsidR="009550ED">
        <w:t xml:space="preserve"> </w:t>
      </w:r>
      <w:r w:rsidR="008F5047">
        <w:rPr>
          <w:noProof/>
        </w:rPr>
        <w:drawing>
          <wp:inline distT="0" distB="0" distL="0" distR="0" wp14:anchorId="10742279" wp14:editId="525B3D25">
            <wp:extent cx="3192145" cy="281940"/>
            <wp:effectExtent l="0" t="0" r="8255" b="3810"/>
            <wp:docPr id="1" name="Picture 1" descr="Formula for correlation factor, R, an input for the calculation of RWA for 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rmula for correlation factor, R, an input for the calculation of RWA for UL."/>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92145" cy="281940"/>
                    </a:xfrm>
                    <a:prstGeom prst="rect">
                      <a:avLst/>
                    </a:prstGeom>
                  </pic:spPr>
                </pic:pic>
              </a:graphicData>
            </a:graphic>
          </wp:inline>
        </w:drawing>
      </w:r>
    </w:p>
    <w:p w14:paraId="1B2BA03F" w14:textId="66CD3D22" w:rsidR="00A253FC" w:rsidRDefault="009B2939" w:rsidP="009B2939">
      <w:pPr>
        <w:tabs>
          <w:tab w:val="num" w:pos="1134"/>
          <w:tab w:val="left" w:pos="3544"/>
        </w:tabs>
        <w:ind w:left="1134" w:hanging="567"/>
      </w:pPr>
      <w:r w:rsidRPr="009562D6">
        <w:t>Maturity adjustment (</w:t>
      </w:r>
      <w:r w:rsidRPr="00615005">
        <w:t>b</w:t>
      </w:r>
      <w:r w:rsidRPr="009562D6">
        <w:t>) =</w:t>
      </w:r>
      <w:r w:rsidR="009550ED">
        <w:t xml:space="preserve"> </w:t>
      </w:r>
      <w:r w:rsidR="008F5047">
        <w:rPr>
          <w:noProof/>
        </w:rPr>
        <w:drawing>
          <wp:inline distT="0" distB="0" distL="0" distR="0" wp14:anchorId="6AAF2B26" wp14:editId="5D173CED">
            <wp:extent cx="1924050" cy="223520"/>
            <wp:effectExtent l="0" t="0" r="0" b="5080"/>
            <wp:docPr id="4" name="Picture 4" descr="Formula for the maturity adjustment, b, an input for the calculation of RWA for 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ormula for the maturity adjustment, b, an input for the calculation of RWA for UL."/>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24050" cy="223520"/>
                    </a:xfrm>
                    <a:prstGeom prst="rect">
                      <a:avLst/>
                    </a:prstGeom>
                  </pic:spPr>
                </pic:pic>
              </a:graphicData>
            </a:graphic>
          </wp:inline>
        </w:drawing>
      </w:r>
    </w:p>
    <w:p w14:paraId="4E26E492" w14:textId="77777777" w:rsidR="008F5047" w:rsidRDefault="009B2939" w:rsidP="009B2939">
      <w:pPr>
        <w:tabs>
          <w:tab w:val="num" w:pos="1134"/>
          <w:tab w:val="left" w:pos="3544"/>
        </w:tabs>
        <w:ind w:left="3537" w:hanging="2970"/>
      </w:pPr>
      <w:r w:rsidRPr="009562D6">
        <w:t>Capital requirement (</w:t>
      </w:r>
      <w:r w:rsidRPr="00615005">
        <w:t>K</w:t>
      </w:r>
      <w:r>
        <w:t>)</w:t>
      </w:r>
      <w:r w:rsidR="004E047E">
        <w:t xml:space="preserve"> </w:t>
      </w:r>
      <w:r w:rsidR="00CB06C9">
        <w:t>=</w:t>
      </w:r>
    </w:p>
    <w:p w14:paraId="175A43C9" w14:textId="0FBC8429" w:rsidR="009B2939" w:rsidRDefault="008F5047" w:rsidP="00887E4E">
      <w:pPr>
        <w:tabs>
          <w:tab w:val="num" w:pos="1134"/>
          <w:tab w:val="left" w:pos="3544"/>
        </w:tabs>
        <w:ind w:left="3537" w:hanging="2970"/>
      </w:pPr>
      <w:r>
        <w:rPr>
          <w:noProof/>
        </w:rPr>
        <w:drawing>
          <wp:inline distT="0" distB="0" distL="0" distR="0" wp14:anchorId="0C592BAA" wp14:editId="53ECC065">
            <wp:extent cx="4762500" cy="478155"/>
            <wp:effectExtent l="0" t="0" r="0" b="0"/>
            <wp:docPr id="5" name="Picture 5" descr="Formula for the capital requirement, K, an input for the calculation of RWA for 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ormula for the capital requirement, K, an input for the calculation of RWA for UL."/>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762500" cy="478155"/>
                    </a:xfrm>
                    <a:prstGeom prst="rect">
                      <a:avLst/>
                    </a:prstGeom>
                  </pic:spPr>
                </pic:pic>
              </a:graphicData>
            </a:graphic>
          </wp:inline>
        </w:drawing>
      </w:r>
    </w:p>
    <w:p w14:paraId="19649BFD" w14:textId="587A7C50" w:rsidR="009550ED" w:rsidRDefault="009550ED" w:rsidP="009B2939">
      <w:pPr>
        <w:tabs>
          <w:tab w:val="num" w:pos="1134"/>
          <w:tab w:val="left" w:pos="3544"/>
        </w:tabs>
        <w:ind w:left="3537" w:hanging="2970"/>
      </w:pPr>
    </w:p>
    <w:p w14:paraId="32E8D31F" w14:textId="3E4532DC" w:rsidR="00E4495C" w:rsidRDefault="00E4495C" w:rsidP="00CB06C9">
      <w:pPr>
        <w:ind w:left="567"/>
      </w:pPr>
      <w:r>
        <w:t>RWA = K × 12.5 × EAD</w:t>
      </w:r>
    </w:p>
    <w:p w14:paraId="7FBCEE6C" w14:textId="0C4B4E27" w:rsidR="00DC483F" w:rsidRDefault="00DC483F" w:rsidP="00CB06C9">
      <w:pPr>
        <w:ind w:left="567"/>
      </w:pPr>
      <w:r>
        <w:t>If the K calculation results in a negative capital requirement, an ADI must apply a zero capital requirement for that exposure</w:t>
      </w:r>
      <w:r w:rsidR="00E3768B">
        <w:t>.</w:t>
      </w:r>
    </w:p>
    <w:p w14:paraId="38AD6F98" w14:textId="23FF5A9A" w:rsidR="0017752E" w:rsidRDefault="001133BF" w:rsidP="005F275E">
      <w:pPr>
        <w:pStyle w:val="BodyText1"/>
      </w:pPr>
      <w:r w:rsidRPr="001133BF">
        <w:t>An ADI must set the asset value correlation multiplier (AVCM) equal to 1</w:t>
      </w:r>
      <w:r w:rsidR="000E655E">
        <w:t xml:space="preserve">. However, </w:t>
      </w:r>
      <w:r w:rsidRPr="001133BF">
        <w:t>where the exposure is to a financial institution</w:t>
      </w:r>
      <w:r w:rsidR="000D1673">
        <w:t xml:space="preserve"> and</w:t>
      </w:r>
      <w:r w:rsidR="00DD0899">
        <w:t xml:space="preserve"> either of</w:t>
      </w:r>
      <w:r w:rsidR="000D1673">
        <w:t xml:space="preserve"> the below conditions are met</w:t>
      </w:r>
      <w:r w:rsidR="000E655E">
        <w:t xml:space="preserve">, </w:t>
      </w:r>
      <w:r w:rsidR="001868DF">
        <w:t>the</w:t>
      </w:r>
      <w:r w:rsidR="001868DF" w:rsidRPr="001133BF">
        <w:t xml:space="preserve"> </w:t>
      </w:r>
      <w:r w:rsidRPr="001133BF">
        <w:t>ADI must set AVCM equal to 1.25:</w:t>
      </w:r>
    </w:p>
    <w:p w14:paraId="6D4899A7" w14:textId="506ABF8E" w:rsidR="001133BF" w:rsidRDefault="001133BF" w:rsidP="001133BF">
      <w:pPr>
        <w:pStyle w:val="BodyText2"/>
      </w:pPr>
      <w:r>
        <w:t xml:space="preserve">where the exposure is to a regulated financial institution </w:t>
      </w:r>
      <w:r w:rsidR="00432918">
        <w:t xml:space="preserve">that has </w:t>
      </w:r>
      <w:r>
        <w:t xml:space="preserve">total assets </w:t>
      </w:r>
      <w:r w:rsidR="00432918">
        <w:t xml:space="preserve">of </w:t>
      </w:r>
      <w:r>
        <w:t xml:space="preserve">greater than or equal to </w:t>
      </w:r>
      <w:r w:rsidR="000B48C1">
        <w:t>$</w:t>
      </w:r>
      <w:r>
        <w:t>1</w:t>
      </w:r>
      <w:r w:rsidR="002F4F94">
        <w:t>25</w:t>
      </w:r>
      <w:r>
        <w:t xml:space="preserve"> billion</w:t>
      </w:r>
      <w:r w:rsidR="00C57ACF">
        <w:t>. For the purpose of determining total assets, an ADI must use the amounts as reported in</w:t>
      </w:r>
      <w:r>
        <w:t xml:space="preserve"> the most recent audited financial statement</w:t>
      </w:r>
      <w:r w:rsidR="007A605A">
        <w:t>s</w:t>
      </w:r>
      <w:r w:rsidR="00C57ACF">
        <w:t xml:space="preserve"> of the financial institution, or where the financial institution forms part of a group, the audited financial statements of the group</w:t>
      </w:r>
      <w:r w:rsidR="00C55233">
        <w:t>;</w:t>
      </w:r>
      <w:r>
        <w:t xml:space="preserve"> </w:t>
      </w:r>
      <w:r w:rsidR="00B009E4">
        <w:t>or</w:t>
      </w:r>
    </w:p>
    <w:p w14:paraId="51409647" w14:textId="16437A19" w:rsidR="00720911" w:rsidRDefault="001133BF" w:rsidP="00720911">
      <w:pPr>
        <w:pStyle w:val="BodyText2"/>
      </w:pPr>
      <w:r>
        <w:t>where the exposure is to an unregulated financial institution regardless of size.</w:t>
      </w:r>
    </w:p>
    <w:p w14:paraId="406ED4E0" w14:textId="0DAD5BD5" w:rsidR="001133BF" w:rsidRDefault="001133BF" w:rsidP="00694E49">
      <w:pPr>
        <w:pStyle w:val="Heading3"/>
      </w:pPr>
      <w:r>
        <w:t>Firm</w:t>
      </w:r>
      <w:r w:rsidR="001868DF">
        <w:t>-</w:t>
      </w:r>
      <w:r>
        <w:t xml:space="preserve">size adjustment for </w:t>
      </w:r>
      <w:r w:rsidR="00A63843">
        <w:t>small</w:t>
      </w:r>
      <w:r w:rsidR="00995EC7">
        <w:t>-</w:t>
      </w:r>
      <w:r w:rsidR="00A63843">
        <w:t xml:space="preserve"> </w:t>
      </w:r>
      <w:r w:rsidR="00F469E3">
        <w:t>and</w:t>
      </w:r>
      <w:r w:rsidR="00A63843">
        <w:t xml:space="preserve"> medium-sized enterprises </w:t>
      </w:r>
    </w:p>
    <w:p w14:paraId="32BC2CC3" w14:textId="78E2ED46" w:rsidR="003C48FA" w:rsidRDefault="003C48FA" w:rsidP="003C48FA">
      <w:pPr>
        <w:pStyle w:val="BodyText1"/>
      </w:pPr>
      <w:bookmarkStart w:id="37" w:name="_Ref34394124"/>
      <w:r w:rsidRPr="003C48FA">
        <w:t xml:space="preserve">Where </w:t>
      </w:r>
      <w:r w:rsidR="00316618">
        <w:t>corporate counterparties</w:t>
      </w:r>
      <w:r w:rsidR="00316618" w:rsidRPr="003C48FA">
        <w:t xml:space="preserve"> </w:t>
      </w:r>
      <w:r w:rsidRPr="003C48FA">
        <w:t>form part of a group</w:t>
      </w:r>
      <w:r w:rsidR="00C53C11">
        <w:t xml:space="preserve"> of connected </w:t>
      </w:r>
      <w:r w:rsidR="001A1484">
        <w:t>borrowers</w:t>
      </w:r>
      <w:r w:rsidRPr="003C48FA">
        <w:t xml:space="preserve"> that has reported consolidated annual </w:t>
      </w:r>
      <w:r w:rsidR="000103E0">
        <w:t>revenue</w:t>
      </w:r>
      <w:r w:rsidR="000103E0" w:rsidRPr="003C48FA">
        <w:t xml:space="preserve"> </w:t>
      </w:r>
      <w:r w:rsidRPr="003C48FA">
        <w:t>of less than $</w:t>
      </w:r>
      <w:r w:rsidR="00B12435">
        <w:t xml:space="preserve">75 </w:t>
      </w:r>
      <w:r w:rsidRPr="003C48FA">
        <w:t xml:space="preserve">million, an </w:t>
      </w:r>
      <w:r w:rsidR="00F47C05">
        <w:t xml:space="preserve">ADI may apply an </w:t>
      </w:r>
      <w:r w:rsidRPr="003C48FA">
        <w:t xml:space="preserve">adjustment to the corporate risk-weight function by substituting the following correlation formula for that in </w:t>
      </w:r>
      <w:r w:rsidRPr="001433C2">
        <w:t xml:space="preserve">paragraph </w:t>
      </w:r>
      <w:r w:rsidR="000D2FC8" w:rsidRPr="001433C2">
        <w:fldChar w:fldCharType="begin"/>
      </w:r>
      <w:r w:rsidR="000D2FC8" w:rsidRPr="001433C2">
        <w:instrText xml:space="preserve"> REF _Ref34314509 \r \h </w:instrText>
      </w:r>
      <w:r w:rsidR="001433C2">
        <w:instrText xml:space="preserve"> \* MERGEFORMAT </w:instrText>
      </w:r>
      <w:r w:rsidR="000D2FC8" w:rsidRPr="001433C2">
        <w:fldChar w:fldCharType="separate"/>
      </w:r>
      <w:r w:rsidR="00550C88">
        <w:t>4</w:t>
      </w:r>
      <w:r w:rsidR="000D2FC8" w:rsidRPr="001433C2">
        <w:fldChar w:fldCharType="end"/>
      </w:r>
      <w:r w:rsidR="000D2FC8" w:rsidRPr="001433C2">
        <w:t xml:space="preserve"> </w:t>
      </w:r>
      <w:r w:rsidRPr="001433C2">
        <w:t>of this Attachment:</w:t>
      </w:r>
      <w:bookmarkEnd w:id="37"/>
    </w:p>
    <w:p w14:paraId="45BD33E3" w14:textId="23F7B80C" w:rsidR="00890BA2" w:rsidRPr="00890BA2" w:rsidRDefault="003C48FA" w:rsidP="003C48FA">
      <w:pPr>
        <w:ind w:left="567"/>
      </w:pPr>
      <w:r>
        <w:t>Correlation (R)</w:t>
      </w:r>
      <w:r w:rsidR="000D2FC8">
        <w:t xml:space="preserve"> </w:t>
      </w:r>
      <w:r w:rsidR="00CB06C9">
        <w:t>=</w:t>
      </w:r>
    </w:p>
    <w:p w14:paraId="52B64D75" w14:textId="4A481893" w:rsidR="009550ED" w:rsidRDefault="009550ED" w:rsidP="003C48FA">
      <w:pPr>
        <w:ind w:left="567"/>
      </w:pPr>
      <w:r>
        <w:rPr>
          <w:noProof/>
        </w:rPr>
        <w:drawing>
          <wp:inline distT="0" distB="0" distL="0" distR="0" wp14:anchorId="4AE38C0E" wp14:editId="7D6B0DB2">
            <wp:extent cx="4202264" cy="1002032"/>
            <wp:effectExtent l="0" t="0" r="8255" b="7620"/>
            <wp:docPr id="6" name="Picture 6" descr="The correlation formula used in the corporate risk-weight function where the corporate counterparties form part of a group of connected borrowers that has reported consolidated annual revenue of less than $75 m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correlation formula used in the corporate risk-weight function where the corporate counterparties form part of a group of connected borrowers that has reported consolidated annual revenue of less than $75 million."/>
                    <pic:cNvPicPr/>
                  </pic:nvPicPr>
                  <pic:blipFill>
                    <a:blip r:embed="rId21"/>
                    <a:stretch>
                      <a:fillRect/>
                    </a:stretch>
                  </pic:blipFill>
                  <pic:spPr>
                    <a:xfrm>
                      <a:off x="0" y="0"/>
                      <a:ext cx="4211957" cy="1004343"/>
                    </a:xfrm>
                    <a:prstGeom prst="rect">
                      <a:avLst/>
                    </a:prstGeom>
                  </pic:spPr>
                </pic:pic>
              </a:graphicData>
            </a:graphic>
          </wp:inline>
        </w:drawing>
      </w:r>
    </w:p>
    <w:p w14:paraId="3FFEE6A3" w14:textId="1153B0E7" w:rsidR="003C48FA" w:rsidRDefault="003C48FA" w:rsidP="003C48FA">
      <w:pPr>
        <w:ind w:left="567"/>
      </w:pPr>
      <w:r>
        <w:t>where:</w:t>
      </w:r>
    </w:p>
    <w:p w14:paraId="1C8AEC2E" w14:textId="7151CAF1" w:rsidR="003C48FA" w:rsidRDefault="003C48FA" w:rsidP="00FC1DDD">
      <w:pPr>
        <w:ind w:left="567"/>
        <w:jc w:val="both"/>
      </w:pPr>
      <w:r w:rsidRPr="00F47C05">
        <w:rPr>
          <w:i/>
        </w:rPr>
        <w:t>S</w:t>
      </w:r>
      <w:r w:rsidRPr="003C48FA">
        <w:t xml:space="preserve"> is expressed as total </w:t>
      </w:r>
      <w:r w:rsidR="000103E0">
        <w:t xml:space="preserve">consolidated </w:t>
      </w:r>
      <w:r w:rsidRPr="003C48FA">
        <w:t xml:space="preserve">annual </w:t>
      </w:r>
      <w:r w:rsidR="000103E0">
        <w:t>revenue</w:t>
      </w:r>
      <w:r w:rsidR="000103E0" w:rsidRPr="003C48FA">
        <w:t xml:space="preserve"> </w:t>
      </w:r>
      <w:r w:rsidRPr="003C48FA">
        <w:t>between $</w:t>
      </w:r>
      <w:r w:rsidR="00B12435">
        <w:t>7.</w:t>
      </w:r>
      <w:r w:rsidRPr="003C48FA">
        <w:t>5 million and $</w:t>
      </w:r>
      <w:r w:rsidR="00B12435">
        <w:t>75</w:t>
      </w:r>
      <w:r w:rsidR="00B12435" w:rsidRPr="003C48FA">
        <w:t xml:space="preserve"> </w:t>
      </w:r>
      <w:r w:rsidRPr="003C48FA">
        <w:t xml:space="preserve">million. </w:t>
      </w:r>
      <w:r w:rsidRPr="00F47C05">
        <w:rPr>
          <w:i/>
        </w:rPr>
        <w:t>S</w:t>
      </w:r>
      <w:r w:rsidRPr="003C48FA">
        <w:t xml:space="preserve"> has a minimum value of $</w:t>
      </w:r>
      <w:r w:rsidR="00B12435">
        <w:t>7.</w:t>
      </w:r>
      <w:r w:rsidRPr="003C48FA">
        <w:t>5 million.</w:t>
      </w:r>
    </w:p>
    <w:p w14:paraId="49523EAE" w14:textId="06ED2D83" w:rsidR="005825FA" w:rsidRDefault="005825FA" w:rsidP="005825FA">
      <w:pPr>
        <w:pStyle w:val="BodyText1"/>
      </w:pPr>
      <w:r>
        <w:t xml:space="preserve">Where </w:t>
      </w:r>
      <w:r w:rsidR="00EB3823">
        <w:t>revenue</w:t>
      </w:r>
      <w:r>
        <w:t xml:space="preserve"> data is </w:t>
      </w:r>
      <w:r w:rsidR="00D005EF">
        <w:t>unavailable</w:t>
      </w:r>
      <w:r>
        <w:t>, an ADI must apply the following minimum values:</w:t>
      </w:r>
    </w:p>
    <w:p w14:paraId="06745332" w14:textId="40EFB757" w:rsidR="005825FA" w:rsidRDefault="005825FA" w:rsidP="005825FA">
      <w:pPr>
        <w:pStyle w:val="BodyText2"/>
      </w:pPr>
      <w:r>
        <w:t>$</w:t>
      </w:r>
      <w:r w:rsidR="00C3266E">
        <w:t>45</w:t>
      </w:r>
      <w:r>
        <w:t xml:space="preserve"> million where EAD is less than $5 million; and</w:t>
      </w:r>
    </w:p>
    <w:p w14:paraId="21E4806D" w14:textId="61A91C2B" w:rsidR="005825FA" w:rsidRDefault="005825FA" w:rsidP="005825FA">
      <w:pPr>
        <w:pStyle w:val="BodyText2"/>
      </w:pPr>
      <w:r>
        <w:t>$</w:t>
      </w:r>
      <w:r w:rsidR="00C3266E">
        <w:t>7</w:t>
      </w:r>
      <w:r>
        <w:t xml:space="preserve">5 million where EAD is greater than or equal to $5 million. </w:t>
      </w:r>
    </w:p>
    <w:p w14:paraId="64B9211C" w14:textId="3E442F04" w:rsidR="00123F31" w:rsidRDefault="00123F31" w:rsidP="00694E49">
      <w:pPr>
        <w:pStyle w:val="Heading3"/>
      </w:pPr>
      <w:r>
        <w:lastRenderedPageBreak/>
        <w:t>R</w:t>
      </w:r>
      <w:r w:rsidR="00565AEF">
        <w:t>isk-weighted asset</w:t>
      </w:r>
      <w:r>
        <w:t xml:space="preserve"> adjustment for </w:t>
      </w:r>
      <w:r w:rsidR="001868DF">
        <w:t xml:space="preserve">income-producing real estate </w:t>
      </w:r>
    </w:p>
    <w:p w14:paraId="21090177" w14:textId="00651FD6" w:rsidR="008C1F40" w:rsidRDefault="008C1F40" w:rsidP="008C1F40">
      <w:pPr>
        <w:pStyle w:val="BodyText1"/>
      </w:pPr>
      <w:r w:rsidRPr="008C505F">
        <w:t xml:space="preserve">For non-defaulted </w:t>
      </w:r>
      <w:r>
        <w:t>IPRE</w:t>
      </w:r>
      <w:r w:rsidR="00C73A74">
        <w:t xml:space="preserve"> exposures</w:t>
      </w:r>
      <w:r w:rsidR="00037997">
        <w:t xml:space="preserve"> subject to the FIRB or AIRB approach</w:t>
      </w:r>
      <w:r w:rsidRPr="008C505F">
        <w:t xml:space="preserve">, </w:t>
      </w:r>
      <w:r w:rsidR="001868DF">
        <w:t xml:space="preserve">the calculation of </w:t>
      </w:r>
      <w:r>
        <w:t xml:space="preserve">RWA </w:t>
      </w:r>
      <w:r w:rsidR="004C7448">
        <w:t>for UL</w:t>
      </w:r>
      <w:r w:rsidR="001868DF">
        <w:t xml:space="preserve"> is</w:t>
      </w:r>
      <w:r w:rsidRPr="008C505F">
        <w:t>:</w:t>
      </w:r>
    </w:p>
    <w:p w14:paraId="72CAA01B" w14:textId="5D761BB5" w:rsidR="003F6015" w:rsidRDefault="008C1F40" w:rsidP="00D27BF3">
      <w:pPr>
        <w:ind w:left="567"/>
        <w:jc w:val="both"/>
      </w:pPr>
      <w:r>
        <w:t xml:space="preserve">RWA = K </w:t>
      </w:r>
      <w:r w:rsidR="00053602">
        <w:t>×</w:t>
      </w:r>
      <w:r>
        <w:t xml:space="preserve"> 12.5 </w:t>
      </w:r>
      <w:r w:rsidR="00053602">
        <w:t>×</w:t>
      </w:r>
      <w:r>
        <w:t xml:space="preserve"> EAD </w:t>
      </w:r>
      <w:r w:rsidR="00053602">
        <w:t>×</w:t>
      </w:r>
      <w:r>
        <w:t xml:space="preserve"> 1.</w:t>
      </w:r>
      <w:r w:rsidR="00BF32DF">
        <w:t>5</w:t>
      </w:r>
    </w:p>
    <w:p w14:paraId="309F47F8" w14:textId="3B723740" w:rsidR="005F11D9" w:rsidRDefault="007C1A58" w:rsidP="00A22711">
      <w:pPr>
        <w:pStyle w:val="Heading2"/>
      </w:pPr>
      <w:r>
        <w:t>Risk-weighted assets for</w:t>
      </w:r>
      <w:r w:rsidR="005F11D9">
        <w:t xml:space="preserve"> specialised lending exposures</w:t>
      </w:r>
      <w:r>
        <w:t xml:space="preserve"> </w:t>
      </w:r>
      <w:r w:rsidR="00EB3823">
        <w:t>subject to</w:t>
      </w:r>
      <w:r>
        <w:t xml:space="preserve"> the supervisory slotting approach</w:t>
      </w:r>
    </w:p>
    <w:p w14:paraId="5D25D1BE" w14:textId="7F24EB01" w:rsidR="005E388E" w:rsidRDefault="005F11D9" w:rsidP="002A2D6D">
      <w:pPr>
        <w:pStyle w:val="BodyText1"/>
      </w:pPr>
      <w:r>
        <w:t xml:space="preserve">For </w:t>
      </w:r>
      <w:r w:rsidR="007E780F">
        <w:t xml:space="preserve">non-defaulted </w:t>
      </w:r>
      <w:r w:rsidR="00D05867">
        <w:t xml:space="preserve">specialised lending </w:t>
      </w:r>
      <w:r>
        <w:t xml:space="preserve">exposures subject to the supervisory slotting approach, an </w:t>
      </w:r>
      <w:r w:rsidRPr="003C48FA">
        <w:t>ADI must map its internal rating grades for those exposures to the slotting categories of strong, good, satisfactory</w:t>
      </w:r>
      <w:r w:rsidR="007E780F">
        <w:t xml:space="preserve"> and</w:t>
      </w:r>
      <w:r w:rsidRPr="003C48FA">
        <w:t xml:space="preserve"> weak </w:t>
      </w:r>
      <w:r>
        <w:t xml:space="preserve">by applying the criteria detailed in </w:t>
      </w:r>
      <w:r w:rsidRPr="009411E2">
        <w:t xml:space="preserve">Attachment </w:t>
      </w:r>
      <w:r w:rsidR="009411E2" w:rsidRPr="009411E2">
        <w:t>G</w:t>
      </w:r>
      <w:r>
        <w:t xml:space="preserve"> to this Prudential Standard</w:t>
      </w:r>
      <w:r w:rsidRPr="003C48FA">
        <w:t xml:space="preserve">. </w:t>
      </w:r>
    </w:p>
    <w:p w14:paraId="5DCB7D1B" w14:textId="784D2BA8" w:rsidR="002007D6" w:rsidRDefault="002007D6" w:rsidP="002007D6">
      <w:pPr>
        <w:pStyle w:val="BodyText1"/>
        <w:spacing w:before="240"/>
      </w:pPr>
      <w:r>
        <w:t xml:space="preserve">To calculate RWA in respect of UL for non-defaulted </w:t>
      </w:r>
      <w:r w:rsidR="00AD20BF">
        <w:t xml:space="preserve">specialised lending </w:t>
      </w:r>
      <w:r>
        <w:t>exposures subject to the supervisory slotting approach, an ADI must multiply EAD</w:t>
      </w:r>
      <w:r w:rsidR="007B1A93">
        <w:t>,</w:t>
      </w:r>
      <w:r>
        <w:t xml:space="preserve"> calculated in accordance with </w:t>
      </w:r>
      <w:r w:rsidRPr="009411E2">
        <w:t>Attachment B to this</w:t>
      </w:r>
      <w:r>
        <w:t xml:space="preserve"> Prudential Standard</w:t>
      </w:r>
      <w:r w:rsidR="007B1A93">
        <w:t>,</w:t>
      </w:r>
      <w:r>
        <w:t xml:space="preserve"> by the relevant risk</w:t>
      </w:r>
      <w:r w:rsidR="004122FD">
        <w:t xml:space="preserve"> </w:t>
      </w:r>
      <w:r>
        <w:t xml:space="preserve">weight in </w:t>
      </w:r>
      <w:r>
        <w:fldChar w:fldCharType="begin"/>
      </w:r>
      <w:r>
        <w:instrText xml:space="preserve"> REF _Ref34375166 \r \h </w:instrText>
      </w:r>
      <w:r>
        <w:fldChar w:fldCharType="separate"/>
      </w:r>
      <w:r w:rsidR="00550C88">
        <w:t>Table 1</w:t>
      </w:r>
      <w:r>
        <w:fldChar w:fldCharType="end"/>
      </w:r>
      <w:r>
        <w:t>.</w:t>
      </w:r>
    </w:p>
    <w:p w14:paraId="255EA2F9" w14:textId="110D9519" w:rsidR="005F11D9" w:rsidRDefault="005F11D9" w:rsidP="005E388E">
      <w:pPr>
        <w:pStyle w:val="TableHeadNumber"/>
      </w:pPr>
      <w:bookmarkStart w:id="38" w:name="_Ref34375166"/>
      <w:r>
        <w:t>Risk</w:t>
      </w:r>
      <w:r w:rsidR="004122FD">
        <w:t xml:space="preserve"> </w:t>
      </w:r>
      <w:r>
        <w:t>weights for UL under the supervisory slotting approach</w:t>
      </w:r>
      <w:bookmarkEnd w:id="38"/>
    </w:p>
    <w:tbl>
      <w:tblPr>
        <w:tblStyle w:val="TableGrid"/>
        <w:tblW w:w="8359" w:type="dxa"/>
        <w:tblLayout w:type="fixed"/>
        <w:tblLook w:val="04A0" w:firstRow="1" w:lastRow="0" w:firstColumn="1" w:lastColumn="0" w:noHBand="0" w:noVBand="1"/>
      </w:tblPr>
      <w:tblGrid>
        <w:gridCol w:w="2547"/>
        <w:gridCol w:w="1453"/>
        <w:gridCol w:w="1453"/>
        <w:gridCol w:w="1453"/>
        <w:gridCol w:w="1453"/>
      </w:tblGrid>
      <w:tr w:rsidR="002474D9" w14:paraId="674FE567" w14:textId="77777777" w:rsidTr="000E37D5">
        <w:tc>
          <w:tcPr>
            <w:tcW w:w="2547" w:type="dxa"/>
          </w:tcPr>
          <w:p w14:paraId="3A9EF862" w14:textId="77777777" w:rsidR="002474D9" w:rsidRPr="002B3AEE" w:rsidRDefault="002474D9" w:rsidP="00EB1F61">
            <w:pPr>
              <w:spacing w:before="60" w:after="60"/>
              <w:rPr>
                <w:b/>
              </w:rPr>
            </w:pPr>
            <w:r w:rsidRPr="002B3AEE">
              <w:rPr>
                <w:b/>
              </w:rPr>
              <w:t>Supervisory category</w:t>
            </w:r>
          </w:p>
        </w:tc>
        <w:tc>
          <w:tcPr>
            <w:tcW w:w="1453" w:type="dxa"/>
            <w:vAlign w:val="center"/>
          </w:tcPr>
          <w:p w14:paraId="7FAB9DD7" w14:textId="77777777" w:rsidR="002474D9" w:rsidRPr="00756FE6" w:rsidRDefault="002474D9" w:rsidP="00EB1F61">
            <w:pPr>
              <w:spacing w:before="60" w:after="60"/>
              <w:jc w:val="center"/>
              <w:rPr>
                <w:b/>
              </w:rPr>
            </w:pPr>
            <w:r w:rsidRPr="00756FE6">
              <w:rPr>
                <w:b/>
              </w:rPr>
              <w:t>Strong</w:t>
            </w:r>
          </w:p>
        </w:tc>
        <w:tc>
          <w:tcPr>
            <w:tcW w:w="1453" w:type="dxa"/>
            <w:vAlign w:val="center"/>
          </w:tcPr>
          <w:p w14:paraId="75D343ED" w14:textId="77777777" w:rsidR="002474D9" w:rsidRPr="00756FE6" w:rsidRDefault="002474D9" w:rsidP="00EB1F61">
            <w:pPr>
              <w:spacing w:before="60" w:after="60"/>
              <w:jc w:val="center"/>
              <w:rPr>
                <w:b/>
              </w:rPr>
            </w:pPr>
            <w:r w:rsidRPr="00756FE6">
              <w:rPr>
                <w:b/>
              </w:rPr>
              <w:t>Good</w:t>
            </w:r>
          </w:p>
        </w:tc>
        <w:tc>
          <w:tcPr>
            <w:tcW w:w="1453" w:type="dxa"/>
            <w:vAlign w:val="center"/>
          </w:tcPr>
          <w:p w14:paraId="44E1E0FF" w14:textId="77777777" w:rsidR="002474D9" w:rsidRPr="00756FE6" w:rsidRDefault="002474D9" w:rsidP="00EB1F61">
            <w:pPr>
              <w:spacing w:before="60" w:after="60"/>
              <w:jc w:val="center"/>
              <w:rPr>
                <w:b/>
              </w:rPr>
            </w:pPr>
            <w:r w:rsidRPr="00756FE6">
              <w:rPr>
                <w:b/>
              </w:rPr>
              <w:t>Satisfactory</w:t>
            </w:r>
          </w:p>
        </w:tc>
        <w:tc>
          <w:tcPr>
            <w:tcW w:w="1453" w:type="dxa"/>
            <w:vAlign w:val="center"/>
          </w:tcPr>
          <w:p w14:paraId="288160E4" w14:textId="77777777" w:rsidR="002474D9" w:rsidRPr="00756FE6" w:rsidRDefault="002474D9" w:rsidP="00EB1F61">
            <w:pPr>
              <w:spacing w:before="60" w:after="60"/>
              <w:jc w:val="center"/>
              <w:rPr>
                <w:b/>
              </w:rPr>
            </w:pPr>
            <w:r w:rsidRPr="00756FE6">
              <w:rPr>
                <w:b/>
              </w:rPr>
              <w:t>Weak</w:t>
            </w:r>
          </w:p>
        </w:tc>
      </w:tr>
      <w:tr w:rsidR="002474D9" w14:paraId="0EE6449B" w14:textId="77777777" w:rsidTr="000E37D5">
        <w:tc>
          <w:tcPr>
            <w:tcW w:w="2547" w:type="dxa"/>
          </w:tcPr>
          <w:p w14:paraId="7F2093CE" w14:textId="53F79F74" w:rsidR="002474D9" w:rsidRPr="00756FE6" w:rsidRDefault="00DB7B98" w:rsidP="00EB1F61">
            <w:pPr>
              <w:spacing w:before="60" w:after="60"/>
              <w:rPr>
                <w:b/>
              </w:rPr>
            </w:pPr>
            <w:r>
              <w:rPr>
                <w:b/>
              </w:rPr>
              <w:t>Risk</w:t>
            </w:r>
            <w:r w:rsidR="004122FD">
              <w:rPr>
                <w:b/>
              </w:rPr>
              <w:t xml:space="preserve"> </w:t>
            </w:r>
            <w:r>
              <w:rPr>
                <w:b/>
              </w:rPr>
              <w:t>weight</w:t>
            </w:r>
          </w:p>
        </w:tc>
        <w:tc>
          <w:tcPr>
            <w:tcW w:w="1453" w:type="dxa"/>
            <w:vAlign w:val="center"/>
          </w:tcPr>
          <w:p w14:paraId="1FD33B8D" w14:textId="77777777" w:rsidR="002474D9" w:rsidRDefault="002474D9" w:rsidP="00EB1F61">
            <w:pPr>
              <w:spacing w:before="60" w:after="60"/>
              <w:jc w:val="center"/>
            </w:pPr>
            <w:r>
              <w:t>70%</w:t>
            </w:r>
          </w:p>
        </w:tc>
        <w:tc>
          <w:tcPr>
            <w:tcW w:w="1453" w:type="dxa"/>
            <w:vAlign w:val="center"/>
          </w:tcPr>
          <w:p w14:paraId="05A0517D" w14:textId="77777777" w:rsidR="002474D9" w:rsidRDefault="002474D9" w:rsidP="00EB1F61">
            <w:pPr>
              <w:spacing w:before="60" w:after="60"/>
              <w:jc w:val="center"/>
            </w:pPr>
            <w:r>
              <w:t>90%</w:t>
            </w:r>
          </w:p>
        </w:tc>
        <w:tc>
          <w:tcPr>
            <w:tcW w:w="1453" w:type="dxa"/>
            <w:vAlign w:val="center"/>
          </w:tcPr>
          <w:p w14:paraId="7262E3E7" w14:textId="77777777" w:rsidR="002474D9" w:rsidRDefault="002474D9" w:rsidP="00EB1F61">
            <w:pPr>
              <w:spacing w:before="60" w:after="60"/>
              <w:jc w:val="center"/>
            </w:pPr>
            <w:r>
              <w:t>115%</w:t>
            </w:r>
          </w:p>
        </w:tc>
        <w:tc>
          <w:tcPr>
            <w:tcW w:w="1453" w:type="dxa"/>
            <w:vAlign w:val="center"/>
          </w:tcPr>
          <w:p w14:paraId="56CDF74C" w14:textId="77777777" w:rsidR="002474D9" w:rsidRDefault="002474D9" w:rsidP="00EB1F61">
            <w:pPr>
              <w:spacing w:before="60" w:after="60"/>
              <w:jc w:val="center"/>
            </w:pPr>
            <w:r>
              <w:t>250%</w:t>
            </w:r>
          </w:p>
        </w:tc>
      </w:tr>
    </w:tbl>
    <w:p w14:paraId="7A5D9B7E" w14:textId="77777777" w:rsidR="002007D6" w:rsidRDefault="002007D6" w:rsidP="002007D6"/>
    <w:p w14:paraId="61AD9D55" w14:textId="3FE5E73E" w:rsidR="0029455F" w:rsidRDefault="0017752E" w:rsidP="00EA31FC">
      <w:pPr>
        <w:pStyle w:val="Heading2"/>
      </w:pPr>
      <w:r>
        <w:t>Risk-weighted assets for retail exposures</w:t>
      </w:r>
    </w:p>
    <w:p w14:paraId="08C7CDF8" w14:textId="07D3435E" w:rsidR="008C505F" w:rsidRPr="008C505F" w:rsidRDefault="00971805" w:rsidP="008C505F">
      <w:pPr>
        <w:pStyle w:val="BodyText1"/>
      </w:pPr>
      <w:r>
        <w:t xml:space="preserve">An ADI must calculate </w:t>
      </w:r>
      <w:r w:rsidR="004C7448">
        <w:t>RWA</w:t>
      </w:r>
      <w:r>
        <w:t xml:space="preserve"> for retail exposures </w:t>
      </w:r>
      <w:r w:rsidR="006A4CA8">
        <w:t>using assigned estimates of PD, LGD and EAD</w:t>
      </w:r>
      <w:r w:rsidR="00743D9D">
        <w:t xml:space="preserve"> for a given exposure</w:t>
      </w:r>
      <w:r w:rsidR="00A113F5">
        <w:t>,</w:t>
      </w:r>
      <w:r w:rsidR="00D64CB1">
        <w:t xml:space="preserve"> calculated in accordance </w:t>
      </w:r>
      <w:r w:rsidR="0033349A">
        <w:t xml:space="preserve">with </w:t>
      </w:r>
      <w:r w:rsidR="0033349A" w:rsidRPr="000C49F5">
        <w:t>Attachment</w:t>
      </w:r>
      <w:r w:rsidR="0036157B" w:rsidRPr="000C49F5">
        <w:t>s</w:t>
      </w:r>
      <w:r w:rsidR="0033349A" w:rsidRPr="000C49F5">
        <w:t xml:space="preserve"> B</w:t>
      </w:r>
      <w:r w:rsidR="0036157B" w:rsidRPr="000C49F5">
        <w:t xml:space="preserve"> and </w:t>
      </w:r>
      <w:r w:rsidR="000C49F5" w:rsidRPr="000C49F5">
        <w:t>D</w:t>
      </w:r>
      <w:r w:rsidR="002F7F6F">
        <w:t xml:space="preserve"> to this Prudential Standard</w:t>
      </w:r>
      <w:r>
        <w:t>.</w:t>
      </w:r>
      <w:r w:rsidR="00EB0AA3">
        <w:t xml:space="preserve"> </w:t>
      </w:r>
    </w:p>
    <w:p w14:paraId="1D6D3078" w14:textId="2B9ED450" w:rsidR="0017752E" w:rsidRPr="00F940CA" w:rsidRDefault="00352DCD" w:rsidP="008C505F">
      <w:pPr>
        <w:pStyle w:val="Heading3"/>
      </w:pPr>
      <w:r>
        <w:t>R</w:t>
      </w:r>
      <w:r w:rsidR="0061681A">
        <w:t>etail r</w:t>
      </w:r>
      <w:r w:rsidR="008C505F" w:rsidRPr="00F940CA">
        <w:t>esidential mortgage</w:t>
      </w:r>
      <w:r w:rsidR="0061681A">
        <w:t xml:space="preserve"> </w:t>
      </w:r>
      <w:r w:rsidR="007E1C97" w:rsidRPr="00F940CA">
        <w:t>exposures</w:t>
      </w:r>
    </w:p>
    <w:p w14:paraId="38197035" w14:textId="26B20FAD" w:rsidR="008C505F" w:rsidRPr="008C505F" w:rsidRDefault="008C505F" w:rsidP="008C505F">
      <w:pPr>
        <w:pStyle w:val="BodyText1"/>
      </w:pPr>
      <w:r w:rsidRPr="008C505F">
        <w:t xml:space="preserve">For non-defaulted </w:t>
      </w:r>
      <w:r w:rsidR="00005068">
        <w:t>r</w:t>
      </w:r>
      <w:r w:rsidR="0061681A">
        <w:t>etail r</w:t>
      </w:r>
      <w:r w:rsidR="00005068">
        <w:t xml:space="preserve">esidential mortgage </w:t>
      </w:r>
      <w:r w:rsidRPr="008C505F">
        <w:t>exposures,</w:t>
      </w:r>
      <w:r w:rsidR="00221DD3" w:rsidDel="00221DD3">
        <w:rPr>
          <w:rStyle w:val="FootnoteReference"/>
        </w:rPr>
        <w:t xml:space="preserve"> </w:t>
      </w:r>
      <w:r w:rsidRPr="008C505F">
        <w:t xml:space="preserve"> the risk-weight function is:</w:t>
      </w:r>
    </w:p>
    <w:p w14:paraId="7DFC59E0" w14:textId="7E0CFCD1" w:rsidR="008C505F" w:rsidRDefault="008C505F" w:rsidP="008C505F">
      <w:pPr>
        <w:ind w:left="567"/>
      </w:pPr>
      <w:r w:rsidRPr="008C505F">
        <w:t>Correlation (R) = 0.15</w:t>
      </w:r>
    </w:p>
    <w:p w14:paraId="325D91DC" w14:textId="02F01708" w:rsidR="00CB06C9" w:rsidRDefault="008C505F" w:rsidP="008C505F">
      <w:pPr>
        <w:tabs>
          <w:tab w:val="left" w:pos="3119"/>
          <w:tab w:val="left" w:pos="3544"/>
        </w:tabs>
        <w:ind w:left="3119" w:hanging="2552"/>
      </w:pPr>
      <w:r w:rsidRPr="00041F11">
        <w:t>Capital requirement (</w:t>
      </w:r>
      <w:r w:rsidRPr="00615005">
        <w:t>K</w:t>
      </w:r>
      <w:r w:rsidRPr="00041F11">
        <w:t>) =</w:t>
      </w:r>
      <w:r w:rsidR="00116159">
        <w:t xml:space="preserve"> </w:t>
      </w:r>
      <w:r w:rsidR="00C14138">
        <w:rPr>
          <w:noProof/>
        </w:rPr>
        <w:drawing>
          <wp:inline distT="0" distB="0" distL="0" distR="0" wp14:anchorId="4FB03505" wp14:editId="3D895265">
            <wp:extent cx="2447290" cy="309880"/>
            <wp:effectExtent l="0" t="0" r="0" b="0"/>
            <wp:docPr id="7" name="Picture 7" descr="Formula for the capital requirement for non-defaulted retail residential mortgage expo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ormula for the capital requirement for non-defaulted retail residential mortgage exposure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447290" cy="309880"/>
                    </a:xfrm>
                    <a:prstGeom prst="rect">
                      <a:avLst/>
                    </a:prstGeom>
                  </pic:spPr>
                </pic:pic>
              </a:graphicData>
            </a:graphic>
          </wp:inline>
        </w:drawing>
      </w:r>
    </w:p>
    <w:p w14:paraId="7012B1EF" w14:textId="5D8B79CA" w:rsidR="00221DD3" w:rsidRDefault="0061681A" w:rsidP="00221DD3">
      <w:pPr>
        <w:ind w:left="567"/>
        <w:jc w:val="both"/>
      </w:pPr>
      <w:r>
        <w:t xml:space="preserve">This </w:t>
      </w:r>
      <w:r w:rsidR="00221DD3" w:rsidRPr="00221DD3">
        <w:t xml:space="preserve">risk-weight function also applies to the unsecured portion of exposures that are partly secured by residential </w:t>
      </w:r>
      <w:r w:rsidR="00B56EED">
        <w:t>real estate</w:t>
      </w:r>
      <w:r w:rsidR="00221DD3">
        <w:t>.</w:t>
      </w:r>
    </w:p>
    <w:p w14:paraId="7801BF8E" w14:textId="6FD7C2C4" w:rsidR="008C505F" w:rsidRDefault="008C505F" w:rsidP="008C505F">
      <w:pPr>
        <w:pStyle w:val="BodyText1"/>
      </w:pPr>
      <w:r w:rsidRPr="008C505F">
        <w:t xml:space="preserve">For non-defaulted </w:t>
      </w:r>
      <w:r w:rsidR="008B3A56">
        <w:t>r</w:t>
      </w:r>
      <w:r w:rsidR="0061681A">
        <w:t>etail r</w:t>
      </w:r>
      <w:r w:rsidR="008B3A56">
        <w:t>esidential mortgage</w:t>
      </w:r>
      <w:r w:rsidR="0061681A">
        <w:t xml:space="preserve"> </w:t>
      </w:r>
      <w:r w:rsidRPr="008C505F">
        <w:t>exposures that meet the defi</w:t>
      </w:r>
      <w:r w:rsidR="000C49F5">
        <w:t xml:space="preserve">nition of an owner-occupied, </w:t>
      </w:r>
      <w:r w:rsidRPr="008C505F">
        <w:t xml:space="preserve">principal-and-interest </w:t>
      </w:r>
      <w:r w:rsidR="00F940CA">
        <w:t xml:space="preserve">residential </w:t>
      </w:r>
      <w:r w:rsidRPr="008C505F">
        <w:t>mortgage</w:t>
      </w:r>
      <w:r w:rsidR="00F940CA">
        <w:t xml:space="preserve"> exposure</w:t>
      </w:r>
      <w:r w:rsidRPr="008C505F">
        <w:t xml:space="preserve"> as </w:t>
      </w:r>
      <w:r w:rsidR="000C49F5">
        <w:t>detailed</w:t>
      </w:r>
      <w:r w:rsidRPr="008C505F">
        <w:t xml:space="preserve"> in Attachment A to APS</w:t>
      </w:r>
      <w:r w:rsidR="00081B69">
        <w:t> </w:t>
      </w:r>
      <w:r w:rsidRPr="008C505F">
        <w:t xml:space="preserve">112, </w:t>
      </w:r>
      <w:r w:rsidR="001868DF">
        <w:t xml:space="preserve">the calculation of </w:t>
      </w:r>
      <w:r w:rsidR="00191EDD">
        <w:t>RWA for UL</w:t>
      </w:r>
      <w:r w:rsidR="000D5D9F">
        <w:t xml:space="preserve"> </w:t>
      </w:r>
      <w:r w:rsidR="001868DF">
        <w:t>is</w:t>
      </w:r>
      <w:r w:rsidRPr="008C505F">
        <w:t>:</w:t>
      </w:r>
    </w:p>
    <w:p w14:paraId="25B95A1E" w14:textId="7B2FF2DB" w:rsidR="008C505F" w:rsidRDefault="008C505F" w:rsidP="008B3A56">
      <w:pPr>
        <w:ind w:left="567"/>
      </w:pPr>
      <w:r>
        <w:t>RWA =</w:t>
      </w:r>
      <w:r w:rsidR="00837420">
        <w:t xml:space="preserve"> EAD × </w:t>
      </w:r>
      <w:r w:rsidR="00837420" w:rsidRPr="00837420">
        <w:rPr>
          <w:i/>
        </w:rPr>
        <w:t>Max</w:t>
      </w:r>
      <w:r w:rsidR="00837420">
        <w:t>[</w:t>
      </w:r>
      <w:r>
        <w:t xml:space="preserve">K </w:t>
      </w:r>
      <w:r w:rsidR="006510AA">
        <w:t>×</w:t>
      </w:r>
      <w:r>
        <w:t xml:space="preserve"> 12.5 </w:t>
      </w:r>
      <w:r w:rsidR="006510AA">
        <w:t>×</w:t>
      </w:r>
      <w:r>
        <w:t xml:space="preserve"> </w:t>
      </w:r>
      <w:r w:rsidR="005647F3">
        <w:t>1.4</w:t>
      </w:r>
      <w:r w:rsidR="00837420">
        <w:t>, 0.05]</w:t>
      </w:r>
    </w:p>
    <w:p w14:paraId="477F6F3E" w14:textId="4B34A029" w:rsidR="0079284B" w:rsidRDefault="0079284B" w:rsidP="00837420">
      <w:pPr>
        <w:pStyle w:val="BodyText1"/>
        <w:keepNext/>
      </w:pPr>
      <w:bookmarkStart w:id="39" w:name="_Hlk108186062"/>
      <w:r>
        <w:lastRenderedPageBreak/>
        <w:t xml:space="preserve">For non-defaulted retail residential mortgage exposures </w:t>
      </w:r>
      <w:r w:rsidR="009970DF">
        <w:t xml:space="preserve">to </w:t>
      </w:r>
      <w:r>
        <w:t>borrower</w:t>
      </w:r>
      <w:r w:rsidR="00680641">
        <w:t>s</w:t>
      </w:r>
      <w:r>
        <w:t xml:space="preserve"> </w:t>
      </w:r>
      <w:r w:rsidR="009970DF">
        <w:t xml:space="preserve">that </w:t>
      </w:r>
      <w:r>
        <w:t>ha</w:t>
      </w:r>
      <w:r w:rsidR="00680641">
        <w:t>ve</w:t>
      </w:r>
      <w:r>
        <w:t xml:space="preserve"> mortgaged five or more investment properties,</w:t>
      </w:r>
      <w:r w:rsidR="0035266D">
        <w:rPr>
          <w:rStyle w:val="FootnoteReference"/>
        </w:rPr>
        <w:footnoteReference w:id="6"/>
      </w:r>
      <w:r>
        <w:t xml:space="preserve"> the calculation of RWA for UL is:</w:t>
      </w:r>
    </w:p>
    <w:p w14:paraId="45AA6709" w14:textId="7EA8FEC9" w:rsidR="0079284B" w:rsidRDefault="0079284B" w:rsidP="00D7496B">
      <w:pPr>
        <w:ind w:left="567"/>
      </w:pPr>
      <w:r>
        <w:t xml:space="preserve">RWA = EAD × </w:t>
      </w:r>
      <w:r w:rsidRPr="00837420">
        <w:rPr>
          <w:i/>
        </w:rPr>
        <w:t>Max</w:t>
      </w:r>
      <w:r>
        <w:t>[K × 12.5 × 2.5, 0.05]</w:t>
      </w:r>
      <w:bookmarkEnd w:id="39"/>
    </w:p>
    <w:p w14:paraId="6DFF9D37" w14:textId="7630B55B" w:rsidR="008C505F" w:rsidRPr="008C505F" w:rsidRDefault="008C505F" w:rsidP="00837420">
      <w:pPr>
        <w:pStyle w:val="BodyText1"/>
        <w:keepNext/>
      </w:pPr>
      <w:r w:rsidRPr="008C505F">
        <w:t>For</w:t>
      </w:r>
      <w:r w:rsidR="00191EDD">
        <w:t xml:space="preserve"> all</w:t>
      </w:r>
      <w:r w:rsidRPr="008C505F">
        <w:t xml:space="preserve"> other non-defaulted</w:t>
      </w:r>
      <w:r w:rsidR="0061681A">
        <w:t xml:space="preserve"> retail</w:t>
      </w:r>
      <w:r w:rsidRPr="008C505F">
        <w:t xml:space="preserve"> residential mortgage exposures, </w:t>
      </w:r>
      <w:r w:rsidR="001868DF">
        <w:t xml:space="preserve">the calculation of </w:t>
      </w:r>
      <w:r w:rsidR="00191EDD">
        <w:t>RWA for UL</w:t>
      </w:r>
      <w:r w:rsidR="000D5D9F">
        <w:t xml:space="preserve"> </w:t>
      </w:r>
      <w:r w:rsidR="001868DF">
        <w:t>is</w:t>
      </w:r>
      <w:r w:rsidRPr="008C505F">
        <w:t>:</w:t>
      </w:r>
    </w:p>
    <w:p w14:paraId="60FDD167" w14:textId="52DB1C8B" w:rsidR="00FF6CCC" w:rsidRDefault="008C505F" w:rsidP="00191EDD">
      <w:pPr>
        <w:ind w:left="567"/>
      </w:pPr>
      <w:r>
        <w:t xml:space="preserve">RWA = </w:t>
      </w:r>
      <w:r w:rsidR="00837420">
        <w:t xml:space="preserve">EAD × </w:t>
      </w:r>
      <w:r w:rsidR="00837420" w:rsidRPr="00837420">
        <w:rPr>
          <w:i/>
        </w:rPr>
        <w:t>Max</w:t>
      </w:r>
      <w:r w:rsidR="00837420">
        <w:t>[</w:t>
      </w:r>
      <w:r>
        <w:t xml:space="preserve">K </w:t>
      </w:r>
      <w:r w:rsidR="006510AA">
        <w:t>×</w:t>
      </w:r>
      <w:r>
        <w:t xml:space="preserve"> 12.5 </w:t>
      </w:r>
      <w:r w:rsidR="006510AA">
        <w:t>×</w:t>
      </w:r>
      <w:r w:rsidR="005647F3">
        <w:t xml:space="preserve"> 1.</w:t>
      </w:r>
      <w:r w:rsidR="002B151A">
        <w:t>7</w:t>
      </w:r>
      <w:r w:rsidR="00AC34BB">
        <w:t>,</w:t>
      </w:r>
      <w:r w:rsidR="00837420">
        <w:t xml:space="preserve"> 0.05]</w:t>
      </w:r>
    </w:p>
    <w:p w14:paraId="6D475EC9" w14:textId="31C141FB" w:rsidR="008C505F" w:rsidRPr="0061681A" w:rsidRDefault="008C505F" w:rsidP="008C505F">
      <w:pPr>
        <w:pStyle w:val="Heading3"/>
      </w:pPr>
      <w:r w:rsidRPr="0061681A">
        <w:t xml:space="preserve">Qualifying revolving retail </w:t>
      </w:r>
      <w:r w:rsidR="007864C2" w:rsidRPr="0061681A">
        <w:t>exposures</w:t>
      </w:r>
    </w:p>
    <w:p w14:paraId="76777B5A" w14:textId="135E0C32" w:rsidR="003F794D" w:rsidRPr="003F794D" w:rsidRDefault="003F794D" w:rsidP="003F794D">
      <w:pPr>
        <w:pStyle w:val="BodyText1"/>
      </w:pPr>
      <w:r w:rsidRPr="003F794D">
        <w:t>For non-defaulted QRR exposures</w:t>
      </w:r>
      <w:r>
        <w:t xml:space="preserve">, the </w:t>
      </w:r>
      <w:r w:rsidR="001868DF">
        <w:t>calculation of RWA for UL</w:t>
      </w:r>
      <w:r>
        <w:t xml:space="preserve"> is:</w:t>
      </w:r>
    </w:p>
    <w:p w14:paraId="6EF5A182" w14:textId="4229DBA8" w:rsidR="008C505F" w:rsidRDefault="003F794D" w:rsidP="003F794D">
      <w:pPr>
        <w:ind w:left="567"/>
      </w:pPr>
      <w:r w:rsidRPr="003F794D">
        <w:t>Correlation (R) = 0.04</w:t>
      </w:r>
    </w:p>
    <w:p w14:paraId="2B8E10D3" w14:textId="65C6C08C" w:rsidR="003F794D" w:rsidRDefault="003F794D" w:rsidP="003F794D">
      <w:pPr>
        <w:tabs>
          <w:tab w:val="left" w:pos="3119"/>
        </w:tabs>
        <w:ind w:left="3119" w:hanging="2552"/>
      </w:pPr>
      <w:r w:rsidRPr="00041F11">
        <w:t>Capital requirement (</w:t>
      </w:r>
      <w:r w:rsidRPr="00615005">
        <w:t>K</w:t>
      </w:r>
      <w:r w:rsidRPr="00041F11">
        <w:t xml:space="preserve">) = </w:t>
      </w:r>
      <w:r w:rsidR="00C14138">
        <w:rPr>
          <w:noProof/>
        </w:rPr>
        <w:drawing>
          <wp:inline distT="0" distB="0" distL="0" distR="0" wp14:anchorId="14D5B405" wp14:editId="6567F2A4">
            <wp:extent cx="2383790" cy="296545"/>
            <wp:effectExtent l="0" t="0" r="0" b="8255"/>
            <wp:docPr id="8" name="Picture 8" descr="Formula for the capital requirement for non-defaulted qualifying revolving retail expo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ormula for the capital requirement for non-defaulted qualifying revolving retail exposures."/>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383790" cy="296545"/>
                    </a:xfrm>
                    <a:prstGeom prst="rect">
                      <a:avLst/>
                    </a:prstGeom>
                  </pic:spPr>
                </pic:pic>
              </a:graphicData>
            </a:graphic>
          </wp:inline>
        </w:drawing>
      </w:r>
    </w:p>
    <w:p w14:paraId="34FD427C" w14:textId="6B4CED81" w:rsidR="00522FF3" w:rsidRDefault="008D77DA" w:rsidP="0061681A">
      <w:pPr>
        <w:pStyle w:val="BodyText1"/>
        <w:numPr>
          <w:ilvl w:val="0"/>
          <w:numId w:val="0"/>
        </w:numPr>
        <w:ind w:left="567"/>
      </w:pPr>
      <w:r>
        <w:t>Risk-weighted assets (</w:t>
      </w:r>
      <w:r w:rsidR="00522FF3">
        <w:t>RWA</w:t>
      </w:r>
      <w:r>
        <w:t>)</w:t>
      </w:r>
      <w:r w:rsidR="00522FF3">
        <w:t xml:space="preserve"> = K × 12.5 × EAD</w:t>
      </w:r>
    </w:p>
    <w:p w14:paraId="03FCA500" w14:textId="342B7639" w:rsidR="0061681A" w:rsidRDefault="00A9206E" w:rsidP="0061681A">
      <w:pPr>
        <w:pStyle w:val="Heading3"/>
      </w:pPr>
      <w:r>
        <w:t>Small</w:t>
      </w:r>
      <w:r w:rsidR="00BC4825">
        <w:t>-</w:t>
      </w:r>
      <w:r>
        <w:t xml:space="preserve"> </w:t>
      </w:r>
      <w:r w:rsidR="00F469E3">
        <w:t>and</w:t>
      </w:r>
      <w:r>
        <w:t xml:space="preserve"> medium-sized enterprise </w:t>
      </w:r>
      <w:r w:rsidR="0061681A">
        <w:t>retail exposures</w:t>
      </w:r>
    </w:p>
    <w:p w14:paraId="3D615372" w14:textId="574F8C24" w:rsidR="0061681A" w:rsidRDefault="0061681A" w:rsidP="0061681A">
      <w:pPr>
        <w:pStyle w:val="BodyText1"/>
      </w:pPr>
      <w:r>
        <w:t xml:space="preserve">For non-defaulted SME retail exposures that are fully or partly secured by residential </w:t>
      </w:r>
      <w:r w:rsidR="00B56EED">
        <w:t>real estate</w:t>
      </w:r>
      <w:r>
        <w:t xml:space="preserve">, the </w:t>
      </w:r>
      <w:r w:rsidR="001868DF">
        <w:t>calculation of RWA for UL</w:t>
      </w:r>
      <w:r>
        <w:t xml:space="preserve"> is:</w:t>
      </w:r>
    </w:p>
    <w:p w14:paraId="2F3DC84B" w14:textId="77777777" w:rsidR="0061681A" w:rsidRDefault="0061681A" w:rsidP="0061681A">
      <w:pPr>
        <w:ind w:left="567"/>
      </w:pPr>
      <w:r w:rsidRPr="008C505F">
        <w:t>Correlation (R) = 0.15</w:t>
      </w:r>
    </w:p>
    <w:p w14:paraId="0085B3A9" w14:textId="4CAC7B17" w:rsidR="00C14138" w:rsidRPr="00C14138" w:rsidRDefault="0061681A" w:rsidP="0061681A">
      <w:pPr>
        <w:tabs>
          <w:tab w:val="left" w:pos="3119"/>
          <w:tab w:val="left" w:pos="3544"/>
        </w:tabs>
        <w:ind w:left="3119" w:hanging="2552"/>
      </w:pPr>
      <w:r w:rsidRPr="00041F11">
        <w:t>Capital requirement (</w:t>
      </w:r>
      <w:r w:rsidRPr="00615005">
        <w:t>K</w:t>
      </w:r>
      <w:r w:rsidRPr="00041F11">
        <w:t>) =</w:t>
      </w:r>
      <w:r w:rsidR="00C14138">
        <w:t xml:space="preserve"> </w:t>
      </w:r>
      <w:r w:rsidR="00C14138">
        <w:rPr>
          <w:noProof/>
        </w:rPr>
        <w:drawing>
          <wp:inline distT="0" distB="0" distL="0" distR="0" wp14:anchorId="0FFB0623" wp14:editId="738C9CFA">
            <wp:extent cx="2027582" cy="251205"/>
            <wp:effectExtent l="0" t="0" r="0" b="0"/>
            <wp:docPr id="19" name="Picture 19" descr="Formula for the capital requirement for small- and medium-size enterprise retail expo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ormula for the capital requirement for small- and medium-size enterprise retail exposures."/>
                    <pic:cNvPicPr/>
                  </pic:nvPicPr>
                  <pic:blipFill>
                    <a:blip r:embed="rId24"/>
                    <a:stretch>
                      <a:fillRect/>
                    </a:stretch>
                  </pic:blipFill>
                  <pic:spPr>
                    <a:xfrm>
                      <a:off x="0" y="0"/>
                      <a:ext cx="2103512" cy="260612"/>
                    </a:xfrm>
                    <a:prstGeom prst="rect">
                      <a:avLst/>
                    </a:prstGeom>
                  </pic:spPr>
                </pic:pic>
              </a:graphicData>
            </a:graphic>
          </wp:inline>
        </w:drawing>
      </w:r>
    </w:p>
    <w:p w14:paraId="661B1745" w14:textId="1237C4CD" w:rsidR="008D77DA" w:rsidRPr="00C14138" w:rsidRDefault="008D77DA" w:rsidP="0061681A">
      <w:pPr>
        <w:tabs>
          <w:tab w:val="left" w:pos="3119"/>
          <w:tab w:val="left" w:pos="3544"/>
        </w:tabs>
        <w:ind w:left="3119" w:hanging="2552"/>
      </w:pPr>
      <w:r>
        <w:t>Risk-weighted assets (RWA) = K × 12.5 × EAD</w:t>
      </w:r>
    </w:p>
    <w:p w14:paraId="7327F7DE" w14:textId="4C3E9332" w:rsidR="0061681A" w:rsidRDefault="0061681A" w:rsidP="0061681A">
      <w:pPr>
        <w:ind w:left="567"/>
        <w:jc w:val="both"/>
      </w:pPr>
      <w:r>
        <w:t xml:space="preserve">This </w:t>
      </w:r>
      <w:r w:rsidR="00624186">
        <w:t xml:space="preserve">RWA </w:t>
      </w:r>
      <w:r w:rsidR="001868DF">
        <w:t>calculation</w:t>
      </w:r>
      <w:r w:rsidRPr="00221DD3">
        <w:t xml:space="preserve"> also applies to the unsecured portion of </w:t>
      </w:r>
      <w:r w:rsidR="00A3166D">
        <w:t xml:space="preserve">SME retail </w:t>
      </w:r>
      <w:r w:rsidRPr="00221DD3">
        <w:t xml:space="preserve">exposures that are partly secured by residential </w:t>
      </w:r>
      <w:r w:rsidR="00B56EED">
        <w:t>real estate</w:t>
      </w:r>
      <w:r>
        <w:t>.</w:t>
      </w:r>
    </w:p>
    <w:p w14:paraId="422ACF7D" w14:textId="20FF88BA" w:rsidR="0061681A" w:rsidRDefault="0061681A" w:rsidP="0061681A">
      <w:pPr>
        <w:pStyle w:val="BodyText1"/>
      </w:pPr>
      <w:r>
        <w:t xml:space="preserve">For all other non-defaulted SME retail exposures, the </w:t>
      </w:r>
      <w:r w:rsidR="001868DF">
        <w:t>calculation of RWA</w:t>
      </w:r>
      <w:r w:rsidR="00A9206E">
        <w:t xml:space="preserve"> for UL</w:t>
      </w:r>
      <w:r>
        <w:t xml:space="preserve"> is:</w:t>
      </w:r>
    </w:p>
    <w:p w14:paraId="7B9DFC50" w14:textId="3377C3B9" w:rsidR="0061681A" w:rsidRPr="00041F11" w:rsidRDefault="0061681A" w:rsidP="00CB06C9">
      <w:pPr>
        <w:ind w:left="567"/>
      </w:pPr>
      <w:r w:rsidRPr="00041F11">
        <w:t>Correlation (</w:t>
      </w:r>
      <w:r w:rsidRPr="00615005">
        <w:t>R</w:t>
      </w:r>
      <w:r w:rsidR="00CB06C9">
        <w:t xml:space="preserve">) = </w:t>
      </w:r>
      <w:r w:rsidR="00C14138">
        <w:rPr>
          <w:noProof/>
        </w:rPr>
        <w:drawing>
          <wp:inline distT="0" distB="0" distL="0" distR="0" wp14:anchorId="149C4D94" wp14:editId="4B58D12D">
            <wp:extent cx="2221865" cy="279400"/>
            <wp:effectExtent l="0" t="0" r="6985" b="6350"/>
            <wp:docPr id="9" name="Picture 9" descr="Formula for the correlation factor for non-defaulted SME retail expo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ormula for the correlation factor for non-defaulted SME retail exposures."/>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221865" cy="279400"/>
                    </a:xfrm>
                    <a:prstGeom prst="rect">
                      <a:avLst/>
                    </a:prstGeom>
                  </pic:spPr>
                </pic:pic>
              </a:graphicData>
            </a:graphic>
          </wp:inline>
        </w:drawing>
      </w:r>
    </w:p>
    <w:p w14:paraId="76E578ED" w14:textId="3D24599F" w:rsidR="0061681A" w:rsidRDefault="0061681A" w:rsidP="0061681A">
      <w:pPr>
        <w:ind w:left="3119" w:hanging="2552"/>
      </w:pPr>
      <w:r w:rsidRPr="00041F11">
        <w:t>Capital requirement (</w:t>
      </w:r>
      <w:r w:rsidRPr="00615005">
        <w:t>K</w:t>
      </w:r>
      <w:r w:rsidRPr="00041F11">
        <w:t>) =</w:t>
      </w:r>
      <w:r>
        <w:t xml:space="preserve"> </w:t>
      </w:r>
      <w:r w:rsidR="00C14138">
        <w:rPr>
          <w:noProof/>
        </w:rPr>
        <w:drawing>
          <wp:inline distT="0" distB="0" distL="0" distR="0" wp14:anchorId="368F0EF7" wp14:editId="293DEA48">
            <wp:extent cx="2635250" cy="330835"/>
            <wp:effectExtent l="0" t="0" r="0" b="0"/>
            <wp:docPr id="10" name="Picture 10" descr="Formula for the capital requirement for non-defaulted SME retail expo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ormula for the capital requirement for non-defaulted SME retail exposures."/>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35250" cy="330835"/>
                    </a:xfrm>
                    <a:prstGeom prst="rect">
                      <a:avLst/>
                    </a:prstGeom>
                  </pic:spPr>
                </pic:pic>
              </a:graphicData>
            </a:graphic>
          </wp:inline>
        </w:drawing>
      </w:r>
    </w:p>
    <w:p w14:paraId="22DBDEB6" w14:textId="69EB6707" w:rsidR="0061681A" w:rsidRPr="00041F11" w:rsidRDefault="008D77DA" w:rsidP="0061681A">
      <w:pPr>
        <w:pStyle w:val="BodyText1"/>
        <w:numPr>
          <w:ilvl w:val="0"/>
          <w:numId w:val="0"/>
        </w:numPr>
        <w:ind w:left="567"/>
      </w:pPr>
      <w:r>
        <w:t>Risk-weighted assets (</w:t>
      </w:r>
      <w:r w:rsidR="0061681A">
        <w:t>RWA</w:t>
      </w:r>
      <w:r>
        <w:t>)</w:t>
      </w:r>
      <w:r w:rsidR="0061681A">
        <w:t xml:space="preserve"> = K × 12.5 × EAD</w:t>
      </w:r>
    </w:p>
    <w:p w14:paraId="0ADA55F3" w14:textId="6CCBF5ED" w:rsidR="003F794D" w:rsidRDefault="00694E49" w:rsidP="003F794D">
      <w:pPr>
        <w:pStyle w:val="Heading3"/>
      </w:pPr>
      <w:r>
        <w:lastRenderedPageBreak/>
        <w:t>Other</w:t>
      </w:r>
      <w:r w:rsidR="003F794D">
        <w:t xml:space="preserve"> retail </w:t>
      </w:r>
      <w:r w:rsidR="00695837">
        <w:t>exposures</w:t>
      </w:r>
    </w:p>
    <w:p w14:paraId="3AAD2B0C" w14:textId="63B6E972" w:rsidR="003F794D" w:rsidRPr="003F794D" w:rsidRDefault="00D746DA" w:rsidP="003F794D">
      <w:pPr>
        <w:pStyle w:val="BodyText1"/>
      </w:pPr>
      <w:r>
        <w:t>F</w:t>
      </w:r>
      <w:r w:rsidRPr="003F794D">
        <w:t xml:space="preserve">or </w:t>
      </w:r>
      <w:r w:rsidR="003F794D" w:rsidRPr="003F794D">
        <w:t>all other non-defaulted retail exposures</w:t>
      </w:r>
      <w:r w:rsidR="003F794D">
        <w:t xml:space="preserve">, the </w:t>
      </w:r>
      <w:r w:rsidR="001868DF">
        <w:t>calculation of RWA</w:t>
      </w:r>
      <w:r w:rsidR="00A9206E">
        <w:t xml:space="preserve"> for UL</w:t>
      </w:r>
      <w:r w:rsidR="003F794D">
        <w:t xml:space="preserve"> is:</w:t>
      </w:r>
    </w:p>
    <w:p w14:paraId="1030F948" w14:textId="2DA02093" w:rsidR="00CB06C9" w:rsidRDefault="003F794D" w:rsidP="003F794D">
      <w:pPr>
        <w:tabs>
          <w:tab w:val="num" w:pos="2268"/>
        </w:tabs>
        <w:ind w:left="2268" w:hanging="1701"/>
      </w:pPr>
      <w:r w:rsidRPr="00041F11">
        <w:t>Correlation (</w:t>
      </w:r>
      <w:r w:rsidRPr="00615005">
        <w:t>R</w:t>
      </w:r>
      <w:r>
        <w:t xml:space="preserve">) = </w:t>
      </w:r>
      <w:r w:rsidR="00C14138">
        <w:rPr>
          <w:noProof/>
        </w:rPr>
        <w:drawing>
          <wp:inline distT="0" distB="0" distL="0" distR="0" wp14:anchorId="730E8463" wp14:editId="0EF9B3C4">
            <wp:extent cx="2715260" cy="349885"/>
            <wp:effectExtent l="0" t="0" r="8890" b="0"/>
            <wp:docPr id="11" name="Picture 11" descr="The formula for the correlation factor for other retail expo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formula for the correlation factor for other retail exposures."/>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715260" cy="349885"/>
                    </a:xfrm>
                    <a:prstGeom prst="rect">
                      <a:avLst/>
                    </a:prstGeom>
                  </pic:spPr>
                </pic:pic>
              </a:graphicData>
            </a:graphic>
          </wp:inline>
        </w:drawing>
      </w:r>
    </w:p>
    <w:p w14:paraId="383841CB" w14:textId="7902E5E1" w:rsidR="003F794D" w:rsidRDefault="003F794D" w:rsidP="003F794D">
      <w:pPr>
        <w:ind w:left="3119" w:hanging="2552"/>
      </w:pPr>
      <w:r w:rsidRPr="00041F11">
        <w:t>Capital requirement (</w:t>
      </w:r>
      <w:r w:rsidRPr="00615005">
        <w:t>K</w:t>
      </w:r>
      <w:r w:rsidRPr="00041F11">
        <w:t>) =</w:t>
      </w:r>
      <w:r>
        <w:t xml:space="preserve"> </w:t>
      </w:r>
      <w:r w:rsidR="00C14138">
        <w:rPr>
          <w:noProof/>
        </w:rPr>
        <w:drawing>
          <wp:inline distT="0" distB="0" distL="0" distR="0" wp14:anchorId="7F39DE39" wp14:editId="77388E7F">
            <wp:extent cx="2186305" cy="268605"/>
            <wp:effectExtent l="0" t="0" r="4445" b="0"/>
            <wp:docPr id="12" name="Picture 12" descr="Formula for the capital requirement for non-defaulted retail expo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ormula for the capital requirement for non-defaulted retail exposures."/>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186305" cy="268605"/>
                    </a:xfrm>
                    <a:prstGeom prst="rect">
                      <a:avLst/>
                    </a:prstGeom>
                  </pic:spPr>
                </pic:pic>
              </a:graphicData>
            </a:graphic>
          </wp:inline>
        </w:drawing>
      </w:r>
    </w:p>
    <w:p w14:paraId="15EE9B4F" w14:textId="3A8D507F" w:rsidR="00522FF3" w:rsidRPr="00041F11" w:rsidRDefault="008D77DA" w:rsidP="00522FF3">
      <w:pPr>
        <w:pStyle w:val="BodyText1"/>
        <w:numPr>
          <w:ilvl w:val="0"/>
          <w:numId w:val="0"/>
        </w:numPr>
        <w:ind w:left="567"/>
      </w:pPr>
      <w:r>
        <w:t>Risk-weighted assets (</w:t>
      </w:r>
      <w:r w:rsidR="00522FF3">
        <w:t>RWA</w:t>
      </w:r>
      <w:r>
        <w:t>)</w:t>
      </w:r>
      <w:r w:rsidR="00522FF3">
        <w:t xml:space="preserve"> = K × 12.5 × EAD</w:t>
      </w:r>
    </w:p>
    <w:p w14:paraId="1631FA75" w14:textId="77777777" w:rsidR="00B62505" w:rsidRPr="00CB762D" w:rsidRDefault="00B62505" w:rsidP="00B62505">
      <w:pPr>
        <w:pStyle w:val="Heading2"/>
      </w:pPr>
      <w:r w:rsidRPr="00CB762D">
        <w:t>Risk</w:t>
      </w:r>
      <w:r>
        <w:t>-</w:t>
      </w:r>
      <w:r w:rsidRPr="00CB762D">
        <w:t>weighted assets for leas</w:t>
      </w:r>
      <w:r w:rsidRPr="0092202F">
        <w:t>e exposures</w:t>
      </w:r>
    </w:p>
    <w:p w14:paraId="16620DAF" w14:textId="18ABF198" w:rsidR="00B62505" w:rsidRDefault="006D7BE8" w:rsidP="00B62505">
      <w:pPr>
        <w:pStyle w:val="BodyText1"/>
      </w:pPr>
      <w:r>
        <w:t xml:space="preserve">Lease exposures are defined in APS 112. </w:t>
      </w:r>
      <w:r w:rsidR="00B62505">
        <w:t>Leases, other than those that expose an ADI to residual value risk, may be treated in the same manner as exposures secured by the relevant collateral.</w:t>
      </w:r>
      <w:r w:rsidR="00B62505">
        <w:rPr>
          <w:rStyle w:val="FootnoteReference"/>
        </w:rPr>
        <w:footnoteReference w:id="7"/>
      </w:r>
      <w:r w:rsidR="00B62505">
        <w:t xml:space="preserve"> The</w:t>
      </w:r>
      <w:r w:rsidR="00B62505" w:rsidRPr="001933C5">
        <w:t xml:space="preserve"> ADI may use its own estimates of LGD if it uses the AIRB approach. Where </w:t>
      </w:r>
      <w:r w:rsidR="00B62505">
        <w:t>the</w:t>
      </w:r>
      <w:r w:rsidR="00B62505" w:rsidRPr="001933C5">
        <w:t xml:space="preserve"> ADI uses the FIRB approach, the minimum requirements in relation to eligible collateral must be met </w:t>
      </w:r>
      <w:r w:rsidR="00B62505">
        <w:t xml:space="preserve">as detailed in </w:t>
      </w:r>
      <w:r w:rsidR="00B62505" w:rsidRPr="001933C5">
        <w:t>Attachment E</w:t>
      </w:r>
      <w:r w:rsidR="00B62505">
        <w:t xml:space="preserve"> to this Prudential Standard</w:t>
      </w:r>
      <w:r w:rsidR="00B62505" w:rsidRPr="001933C5">
        <w:t>.</w:t>
      </w:r>
    </w:p>
    <w:p w14:paraId="4AB3A85F" w14:textId="21715427" w:rsidR="00B62505" w:rsidRDefault="00B62505" w:rsidP="00B62505">
      <w:pPr>
        <w:pStyle w:val="BodyText1"/>
      </w:pPr>
      <w:r w:rsidRPr="004743FC">
        <w:t xml:space="preserve">For leases that expose </w:t>
      </w:r>
      <w:r>
        <w:t>an</w:t>
      </w:r>
      <w:r w:rsidRPr="004743FC">
        <w:t xml:space="preserve"> ADI to</w:t>
      </w:r>
      <w:r>
        <w:t xml:space="preserve"> residual value risk, </w:t>
      </w:r>
      <w:r w:rsidRPr="004743FC">
        <w:t>the discounted lease payment stream must be risk</w:t>
      </w:r>
      <w:r w:rsidR="004122FD">
        <w:t xml:space="preserve"> </w:t>
      </w:r>
      <w:r w:rsidRPr="004743FC">
        <w:t>weight</w:t>
      </w:r>
      <w:r>
        <w:t xml:space="preserve">ed according to the PD and LGD </w:t>
      </w:r>
      <w:r w:rsidRPr="004743FC">
        <w:t>the ADI assigns to the lessee</w:t>
      </w:r>
      <w:r w:rsidR="0061647B">
        <w:t>,</w:t>
      </w:r>
      <w:r w:rsidR="00C15482">
        <w:t xml:space="preserve"> and the aggregate residual value of all lease exposures must be risk weighted according to </w:t>
      </w:r>
      <w:r w:rsidR="00C15482">
        <w:fldChar w:fldCharType="begin"/>
      </w:r>
      <w:r w:rsidR="00C15482">
        <w:instrText xml:space="preserve"> REF _Ref36569392 \r \h </w:instrText>
      </w:r>
      <w:r w:rsidR="00C15482">
        <w:fldChar w:fldCharType="separate"/>
      </w:r>
      <w:r w:rsidR="00550C88">
        <w:t>Table 2</w:t>
      </w:r>
      <w:r w:rsidR="00C15482">
        <w:fldChar w:fldCharType="end"/>
      </w:r>
      <w:r w:rsidR="001A6024">
        <w:t>.</w:t>
      </w:r>
    </w:p>
    <w:p w14:paraId="760C08FF" w14:textId="1C2FF609" w:rsidR="00C15482" w:rsidRDefault="00C15482" w:rsidP="00E3371B">
      <w:pPr>
        <w:pStyle w:val="TableHeadNumber"/>
      </w:pPr>
      <w:bookmarkStart w:id="40" w:name="_Ref36569392"/>
      <w:r w:rsidRPr="00C15482">
        <w:t xml:space="preserve">Risk </w:t>
      </w:r>
      <w:r>
        <w:t>weight</w:t>
      </w:r>
      <w:r w:rsidR="00EC5EE8">
        <w:t>s for</w:t>
      </w:r>
      <w:r>
        <w:t xml:space="preserve"> </w:t>
      </w:r>
      <w:r w:rsidRPr="00C15482">
        <w:t xml:space="preserve">residual value </w:t>
      </w:r>
      <w:r w:rsidR="00EC5EE8">
        <w:t>under</w:t>
      </w:r>
      <w:r w:rsidRPr="00C15482">
        <w:t xml:space="preserve"> lease</w:t>
      </w:r>
      <w:r w:rsidR="00EC5EE8">
        <w:t xml:space="preserve"> exposure</w:t>
      </w:r>
      <w:r w:rsidRPr="00C15482">
        <w:t>s</w:t>
      </w:r>
      <w:bookmarkEnd w:id="40"/>
    </w:p>
    <w:tbl>
      <w:tblPr>
        <w:tblStyle w:val="TableGrid"/>
        <w:tblW w:w="0" w:type="auto"/>
        <w:tblLook w:val="04A0" w:firstRow="1" w:lastRow="0" w:firstColumn="1" w:lastColumn="0" w:noHBand="0" w:noVBand="1"/>
      </w:tblPr>
      <w:tblGrid>
        <w:gridCol w:w="2547"/>
        <w:gridCol w:w="2877"/>
        <w:gridCol w:w="2878"/>
      </w:tblGrid>
      <w:tr w:rsidR="00C15482" w:rsidRPr="00364155" w14:paraId="1321C70C" w14:textId="77777777" w:rsidTr="00EC5EE8">
        <w:tc>
          <w:tcPr>
            <w:tcW w:w="2547" w:type="dxa"/>
          </w:tcPr>
          <w:p w14:paraId="664B8BF4" w14:textId="77777777" w:rsidR="00C15482" w:rsidRDefault="00C15482" w:rsidP="00EC5EE8">
            <w:pPr>
              <w:keepNext/>
              <w:spacing w:before="60" w:after="60"/>
            </w:pPr>
          </w:p>
        </w:tc>
        <w:tc>
          <w:tcPr>
            <w:tcW w:w="2877" w:type="dxa"/>
          </w:tcPr>
          <w:p w14:paraId="7B44EB20" w14:textId="7BF30236" w:rsidR="00C15482" w:rsidRPr="00364155" w:rsidRDefault="00C15482" w:rsidP="00EC5EE8">
            <w:pPr>
              <w:spacing w:before="60" w:after="60"/>
              <w:jc w:val="center"/>
              <w:rPr>
                <w:b/>
              </w:rPr>
            </w:pPr>
            <w:r w:rsidRPr="00364155">
              <w:rPr>
                <w:b/>
              </w:rPr>
              <w:t xml:space="preserve">Risk weight (%) applying to the portion of aggregate </w:t>
            </w:r>
            <w:r>
              <w:rPr>
                <w:b/>
              </w:rPr>
              <w:t>residual value</w:t>
            </w:r>
            <w:r w:rsidRPr="00364155">
              <w:rPr>
                <w:b/>
              </w:rPr>
              <w:t xml:space="preserve"> </w:t>
            </w:r>
            <w:r>
              <w:rPr>
                <w:b/>
              </w:rPr>
              <w:t>≤ </w:t>
            </w:r>
            <w:r w:rsidRPr="00364155">
              <w:rPr>
                <w:b/>
              </w:rPr>
              <w:t xml:space="preserve">10% of Tier 1 capital </w:t>
            </w:r>
          </w:p>
        </w:tc>
        <w:tc>
          <w:tcPr>
            <w:tcW w:w="2878" w:type="dxa"/>
          </w:tcPr>
          <w:p w14:paraId="1DFD2283" w14:textId="34A8C768" w:rsidR="00C15482" w:rsidRPr="00364155" w:rsidRDefault="00C15482" w:rsidP="00EC5EE8">
            <w:pPr>
              <w:spacing w:before="60" w:after="60"/>
              <w:jc w:val="center"/>
              <w:rPr>
                <w:b/>
              </w:rPr>
            </w:pPr>
            <w:r w:rsidRPr="00364155">
              <w:rPr>
                <w:b/>
              </w:rPr>
              <w:t xml:space="preserve">Risk weight (%) applying to the portion of aggregate </w:t>
            </w:r>
            <w:r>
              <w:rPr>
                <w:b/>
              </w:rPr>
              <w:t>residual value</w:t>
            </w:r>
            <w:r w:rsidRPr="00364155">
              <w:rPr>
                <w:b/>
              </w:rPr>
              <w:t xml:space="preserve"> </w:t>
            </w:r>
            <w:r>
              <w:rPr>
                <w:b/>
              </w:rPr>
              <w:t>&gt; </w:t>
            </w:r>
            <w:r w:rsidRPr="00364155">
              <w:rPr>
                <w:b/>
              </w:rPr>
              <w:t>10% of Tier 1 capital</w:t>
            </w:r>
          </w:p>
        </w:tc>
      </w:tr>
      <w:tr w:rsidR="00C15482" w14:paraId="17F148A8" w14:textId="77777777" w:rsidTr="00EC5EE8">
        <w:tc>
          <w:tcPr>
            <w:tcW w:w="2547" w:type="dxa"/>
          </w:tcPr>
          <w:p w14:paraId="11DDC777" w14:textId="49F6A8F0" w:rsidR="00C15482" w:rsidRDefault="00C15482" w:rsidP="00EC5EE8">
            <w:pPr>
              <w:keepNext/>
              <w:spacing w:before="60" w:after="60"/>
            </w:pPr>
            <w:r>
              <w:t>Exposures to residual value</w:t>
            </w:r>
          </w:p>
        </w:tc>
        <w:tc>
          <w:tcPr>
            <w:tcW w:w="2877" w:type="dxa"/>
            <w:vAlign w:val="center"/>
          </w:tcPr>
          <w:p w14:paraId="0439EB3D" w14:textId="77777777" w:rsidR="00C15482" w:rsidRDefault="00C15482" w:rsidP="00EC5EE8">
            <w:pPr>
              <w:spacing w:before="60" w:after="60"/>
              <w:jc w:val="center"/>
            </w:pPr>
            <w:r>
              <w:t>100</w:t>
            </w:r>
          </w:p>
        </w:tc>
        <w:tc>
          <w:tcPr>
            <w:tcW w:w="2878" w:type="dxa"/>
            <w:vAlign w:val="center"/>
          </w:tcPr>
          <w:p w14:paraId="3D022FD1" w14:textId="77777777" w:rsidR="00C15482" w:rsidRDefault="00C15482" w:rsidP="00EC5EE8">
            <w:pPr>
              <w:spacing w:before="60" w:after="60"/>
              <w:jc w:val="center"/>
            </w:pPr>
            <w:r>
              <w:t>250</w:t>
            </w:r>
          </w:p>
        </w:tc>
      </w:tr>
    </w:tbl>
    <w:p w14:paraId="289F2C1E" w14:textId="77777777" w:rsidR="00C15482" w:rsidRDefault="00C15482" w:rsidP="00E3371B">
      <w:pPr>
        <w:pStyle w:val="BodyText1"/>
        <w:numPr>
          <w:ilvl w:val="0"/>
          <w:numId w:val="0"/>
        </w:numPr>
        <w:ind w:left="567"/>
      </w:pPr>
    </w:p>
    <w:p w14:paraId="151B1CEB" w14:textId="542B4EFB" w:rsidR="00141CBC" w:rsidRDefault="00141CBC" w:rsidP="00694E49">
      <w:pPr>
        <w:pStyle w:val="Heading2"/>
      </w:pPr>
      <w:r>
        <w:t>Risk-weighted assets for defaulted exposures</w:t>
      </w:r>
    </w:p>
    <w:p w14:paraId="01445B51" w14:textId="08E4CD6E" w:rsidR="00141CBC" w:rsidRDefault="00141CBC">
      <w:pPr>
        <w:pStyle w:val="BodyText1"/>
      </w:pPr>
      <w:r>
        <w:t xml:space="preserve">K in respect of UL for a defaulted exposure under the AIRB or retail IRB approach is equal to the greater of zero and the amount by which </w:t>
      </w:r>
      <w:r w:rsidR="00A9206E">
        <w:t>the</w:t>
      </w:r>
      <w:r>
        <w:t xml:space="preserve"> LGD</w:t>
      </w:r>
      <w:r w:rsidR="00A9206E">
        <w:t xml:space="preserve"> estimate for that exposure</w:t>
      </w:r>
      <w:r>
        <w:t xml:space="preserve"> exceeds </w:t>
      </w:r>
      <w:r w:rsidR="00A9206E">
        <w:t xml:space="preserve">an ADI’s </w:t>
      </w:r>
      <w:r>
        <w:t xml:space="preserve">best estimate of EL given current economic circumstances and the facility’s status. </w:t>
      </w:r>
      <w:r w:rsidR="004656D6">
        <w:t>The calculation of RWA for UL is:</w:t>
      </w:r>
    </w:p>
    <w:p w14:paraId="4CA9AFC7" w14:textId="36FA68C6" w:rsidR="004656D6" w:rsidRDefault="004656D6" w:rsidP="00A608B4">
      <w:pPr>
        <w:pStyle w:val="BodyText1"/>
        <w:numPr>
          <w:ilvl w:val="0"/>
          <w:numId w:val="0"/>
        </w:numPr>
        <w:ind w:left="567"/>
      </w:pPr>
      <w:r>
        <w:t>RWA = K × 12.5 × EAD</w:t>
      </w:r>
    </w:p>
    <w:p w14:paraId="6305AC78" w14:textId="77777777" w:rsidR="00C72D59" w:rsidRDefault="00C72D59" w:rsidP="00C72D59">
      <w:pPr>
        <w:pStyle w:val="BodyText1"/>
      </w:pPr>
      <w:r>
        <w:lastRenderedPageBreak/>
        <w:t>RWA and K in respect of UL for a defaulted exposure under the FIRB or supervisory slotting approach is zero.</w:t>
      </w:r>
    </w:p>
    <w:p w14:paraId="19A10E27" w14:textId="699C7DEF" w:rsidR="00C72D59" w:rsidRDefault="00C72D59" w:rsidP="0017752E">
      <w:pPr>
        <w:sectPr w:rsidR="00C72D59" w:rsidSect="00AA5018">
          <w:footerReference w:type="default" r:id="rId29"/>
          <w:pgSz w:w="11906" w:h="16838" w:code="9"/>
          <w:pgMar w:top="1440" w:right="1797" w:bottom="1440" w:left="1797" w:header="709" w:footer="709" w:gutter="0"/>
          <w:cols w:space="708"/>
          <w:docGrid w:linePitch="360"/>
        </w:sectPr>
      </w:pPr>
    </w:p>
    <w:p w14:paraId="768CE4C3" w14:textId="6A0AA056" w:rsidR="0038413F" w:rsidRPr="0038413F" w:rsidRDefault="0038413F" w:rsidP="00EA31FC">
      <w:pPr>
        <w:pStyle w:val="Heading1"/>
      </w:pPr>
      <w:bookmarkStart w:id="41" w:name="_Toc176183667"/>
      <w:bookmarkStart w:id="42" w:name="_Toc19714494"/>
      <w:r>
        <w:lastRenderedPageBreak/>
        <w:t xml:space="preserve">Attachment </w:t>
      </w:r>
      <w:r w:rsidR="00407816">
        <w:rPr>
          <w:rStyle w:val="Attachmentfieldtext"/>
        </w:rPr>
        <w:t>B</w:t>
      </w:r>
      <w:r w:rsidR="001F6B8D">
        <w:rPr>
          <w:rStyle w:val="Attachmentfieldtext"/>
        </w:rPr>
        <w:t xml:space="preserve"> </w:t>
      </w:r>
      <w:r w:rsidR="003A6F4C">
        <w:rPr>
          <w:rStyle w:val="Attachmentfieldtext"/>
        </w:rPr>
        <w:t>–</w:t>
      </w:r>
      <w:r w:rsidR="001F6B8D">
        <w:rPr>
          <w:rStyle w:val="Attachmentfieldtext"/>
        </w:rPr>
        <w:t xml:space="preserve"> </w:t>
      </w:r>
      <w:r w:rsidR="003A6F4C">
        <w:rPr>
          <w:rStyle w:val="Attachmentfieldtext"/>
        </w:rPr>
        <w:t>Risk components for each asset class</w:t>
      </w:r>
      <w:bookmarkEnd w:id="41"/>
      <w:r w:rsidR="003A6F4C">
        <w:rPr>
          <w:rStyle w:val="Attachmentfieldtext"/>
        </w:rPr>
        <w:t xml:space="preserve"> </w:t>
      </w:r>
      <w:bookmarkEnd w:id="42"/>
    </w:p>
    <w:p w14:paraId="543FC01B" w14:textId="397491C0" w:rsidR="0017752E" w:rsidRPr="00E4495C" w:rsidRDefault="002279CA" w:rsidP="002A2D6D">
      <w:pPr>
        <w:pStyle w:val="BodyText1"/>
        <w:numPr>
          <w:ilvl w:val="0"/>
          <w:numId w:val="4"/>
        </w:numPr>
      </w:pPr>
      <w:r w:rsidRPr="003A52B9">
        <w:t>An ADI must calcu</w:t>
      </w:r>
      <w:r w:rsidR="003A52B9" w:rsidRPr="003A52B9">
        <w:t xml:space="preserve">late the risk components </w:t>
      </w:r>
      <w:r w:rsidRPr="003A52B9">
        <w:t>PD, LGD, EAD and M</w:t>
      </w:r>
      <w:r w:rsidR="003A52B9" w:rsidRPr="003A52B9">
        <w:t xml:space="preserve"> in accordance with the requirements detailed in this Attachment. </w:t>
      </w:r>
      <w:r w:rsidR="00B10849" w:rsidRPr="00B10849">
        <w:t xml:space="preserve">An ADI that uses its own PD, LGD and EAD estimates </w:t>
      </w:r>
      <w:r w:rsidR="008F08CC">
        <w:t xml:space="preserve">for Regulatory Capital purposes </w:t>
      </w:r>
      <w:r w:rsidR="00B10849" w:rsidRPr="00B10849">
        <w:t xml:space="preserve">must </w:t>
      </w:r>
      <w:r w:rsidR="008F08CC">
        <w:t xml:space="preserve">also </w:t>
      </w:r>
      <w:r w:rsidR="00B10849" w:rsidRPr="00B10849">
        <w:t xml:space="preserve">meet the </w:t>
      </w:r>
      <w:r w:rsidR="00B10849" w:rsidRPr="00E4495C">
        <w:t>minimum requirements detailed in Attachment</w:t>
      </w:r>
      <w:r w:rsidR="00C62A22">
        <w:t xml:space="preserve"> </w:t>
      </w:r>
      <w:r w:rsidR="004D0A43">
        <w:t>D</w:t>
      </w:r>
      <w:r w:rsidR="00C62A22">
        <w:t xml:space="preserve"> to this Prudential Standard.</w:t>
      </w:r>
    </w:p>
    <w:p w14:paraId="64752BE6" w14:textId="543F30ED" w:rsidR="002923B2" w:rsidRPr="00E4495C" w:rsidRDefault="002923B2" w:rsidP="002A2D6D">
      <w:pPr>
        <w:pStyle w:val="BodyText1"/>
        <w:numPr>
          <w:ilvl w:val="0"/>
          <w:numId w:val="4"/>
        </w:numPr>
      </w:pPr>
      <w:bookmarkStart w:id="43" w:name="_Ref34383378"/>
      <w:r w:rsidRPr="00E4495C">
        <w:t>Where an exposure is guaranteed by a sovereign,</w:t>
      </w:r>
      <w:r w:rsidR="00FA0937" w:rsidRPr="00E4495C">
        <w:t xml:space="preserve"> and the guarantee meets the requirements set out in Attachment </w:t>
      </w:r>
      <w:r w:rsidR="004D0A43">
        <w:t>E</w:t>
      </w:r>
      <w:r w:rsidR="00E4495C">
        <w:t xml:space="preserve"> to this Prudential Standard</w:t>
      </w:r>
      <w:r w:rsidR="00FA0937" w:rsidRPr="00E4495C">
        <w:t>,</w:t>
      </w:r>
      <w:r w:rsidRPr="00E4495C">
        <w:t xml:space="preserve"> the floors that apply to the risk components </w:t>
      </w:r>
      <w:r w:rsidR="001F0D2F" w:rsidRPr="00E4495C">
        <w:t>do not apply to the portion of the exposure that is covered by the sovereign guarantee.</w:t>
      </w:r>
      <w:bookmarkEnd w:id="43"/>
    </w:p>
    <w:p w14:paraId="6B13F6A0" w14:textId="30D0E1D7" w:rsidR="0017752E" w:rsidRPr="00407816" w:rsidRDefault="004472DD" w:rsidP="009A3003">
      <w:pPr>
        <w:pStyle w:val="Heading2"/>
      </w:pPr>
      <w:r>
        <w:t>Probability of default estimates</w:t>
      </w:r>
    </w:p>
    <w:p w14:paraId="1AD721B2" w14:textId="065FDF4D" w:rsidR="00690BB4" w:rsidRDefault="00C4355B" w:rsidP="004472DD">
      <w:pPr>
        <w:pStyle w:val="BodyText1"/>
      </w:pPr>
      <w:r>
        <w:t>Subject to the exceptions</w:t>
      </w:r>
      <w:r w:rsidR="00326FC7">
        <w:t xml:space="preserve"> </w:t>
      </w:r>
      <w:r w:rsidR="007B1A93">
        <w:t>set out</w:t>
      </w:r>
      <w:r>
        <w:t xml:space="preserve"> in paragraphs </w:t>
      </w:r>
      <w:r>
        <w:fldChar w:fldCharType="begin"/>
      </w:r>
      <w:r>
        <w:instrText xml:space="preserve"> REF _Ref83634771 \r \h </w:instrText>
      </w:r>
      <w:r>
        <w:fldChar w:fldCharType="separate"/>
      </w:r>
      <w:r w:rsidR="00550C88">
        <w:t>4</w:t>
      </w:r>
      <w:r>
        <w:fldChar w:fldCharType="end"/>
      </w:r>
      <w:r>
        <w:t xml:space="preserve"> and </w:t>
      </w:r>
      <w:r>
        <w:fldChar w:fldCharType="begin"/>
      </w:r>
      <w:r>
        <w:instrText xml:space="preserve"> REF _Ref83634775 \r \h </w:instrText>
      </w:r>
      <w:r>
        <w:fldChar w:fldCharType="separate"/>
      </w:r>
      <w:r w:rsidR="00550C88">
        <w:t>5</w:t>
      </w:r>
      <w:r>
        <w:fldChar w:fldCharType="end"/>
      </w:r>
      <w:r>
        <w:t xml:space="preserve"> of this Attachment</w:t>
      </w:r>
      <w:r w:rsidR="004472DD" w:rsidRPr="004472DD">
        <w:t>, PD is the greater of the</w:t>
      </w:r>
      <w:r w:rsidR="00185228">
        <w:t xml:space="preserve"> PD estimate</w:t>
      </w:r>
      <w:r w:rsidR="004472DD" w:rsidRPr="004472DD">
        <w:t xml:space="preserve"> associated with the internal </w:t>
      </w:r>
      <w:r w:rsidR="00F35826">
        <w:t>borrower</w:t>
      </w:r>
      <w:r w:rsidR="004472DD" w:rsidRPr="004472DD">
        <w:t xml:space="preserve"> grade </w:t>
      </w:r>
      <w:r w:rsidR="00184A5E">
        <w:t>or pool</w:t>
      </w:r>
      <w:r w:rsidR="004472DD" w:rsidRPr="004472DD">
        <w:t xml:space="preserve"> to which an exposure</w:t>
      </w:r>
      <w:r w:rsidR="004F7065">
        <w:t xml:space="preserve"> </w:t>
      </w:r>
      <w:r w:rsidR="004472DD" w:rsidRPr="004472DD">
        <w:t>is assigned and 0.</w:t>
      </w:r>
      <w:r w:rsidR="009A3003" w:rsidRPr="004472DD">
        <w:t>0</w:t>
      </w:r>
      <w:r w:rsidR="009A3003">
        <w:t>5</w:t>
      </w:r>
      <w:r w:rsidR="009A3003" w:rsidRPr="004472DD">
        <w:t xml:space="preserve"> </w:t>
      </w:r>
      <w:r w:rsidR="004472DD" w:rsidRPr="004472DD">
        <w:t>per cent</w:t>
      </w:r>
      <w:r w:rsidR="00C62A22">
        <w:t>.</w:t>
      </w:r>
    </w:p>
    <w:p w14:paraId="42284558" w14:textId="3DE0F802" w:rsidR="005354B4" w:rsidRDefault="002B2B52" w:rsidP="004472DD">
      <w:pPr>
        <w:pStyle w:val="BodyText1"/>
      </w:pPr>
      <w:bookmarkStart w:id="44" w:name="_Ref83634771"/>
      <w:r>
        <w:t xml:space="preserve">For </w:t>
      </w:r>
      <w:r w:rsidR="00E449C8">
        <w:t>QRR</w:t>
      </w:r>
      <w:r>
        <w:t xml:space="preserve"> exposures, PD is the greater of</w:t>
      </w:r>
      <w:r w:rsidR="005354B4">
        <w:t>:</w:t>
      </w:r>
      <w:bookmarkEnd w:id="44"/>
    </w:p>
    <w:p w14:paraId="7451D1A9" w14:textId="3541BE77" w:rsidR="005354B4" w:rsidRDefault="002B2B52" w:rsidP="005354B4">
      <w:pPr>
        <w:pStyle w:val="BodyText2"/>
      </w:pPr>
      <w:r>
        <w:t>t</w:t>
      </w:r>
      <w:r w:rsidR="00393E93">
        <w:t xml:space="preserve">he </w:t>
      </w:r>
      <w:r>
        <w:t>PD</w:t>
      </w:r>
      <w:r w:rsidR="00393E93">
        <w:t xml:space="preserve"> estimate</w:t>
      </w:r>
      <w:r>
        <w:t xml:space="preserve"> associated with the internal </w:t>
      </w:r>
      <w:r w:rsidR="00F35826">
        <w:t>borrower</w:t>
      </w:r>
      <w:r>
        <w:t xml:space="preserve"> grade </w:t>
      </w:r>
      <w:r w:rsidR="008C6B95">
        <w:t>or</w:t>
      </w:r>
      <w:r>
        <w:t xml:space="preserve"> pool </w:t>
      </w:r>
      <w:r w:rsidR="008C6B95">
        <w:t xml:space="preserve">to which an </w:t>
      </w:r>
      <w:r>
        <w:t>exposure is assigned</w:t>
      </w:r>
      <w:r w:rsidR="005354B4">
        <w:t>;</w:t>
      </w:r>
      <w:r w:rsidR="00C62A22">
        <w:t xml:space="preserve"> and</w:t>
      </w:r>
    </w:p>
    <w:p w14:paraId="7D540CC5" w14:textId="682856AB" w:rsidR="005059A4" w:rsidRDefault="002B2B52" w:rsidP="005354B4">
      <w:pPr>
        <w:pStyle w:val="BodyText2"/>
      </w:pPr>
      <w:r>
        <w:t>0.1 per cent</w:t>
      </w:r>
      <w:r w:rsidR="005354B4">
        <w:t xml:space="preserve"> for QRR revolvers or 0.05 per cent for QRR transactors</w:t>
      </w:r>
      <w:r>
        <w:t>.</w:t>
      </w:r>
    </w:p>
    <w:p w14:paraId="6456E833" w14:textId="2940AB35" w:rsidR="004472DD" w:rsidRPr="004472DD" w:rsidRDefault="004472DD" w:rsidP="004472DD">
      <w:pPr>
        <w:pStyle w:val="BodyText1"/>
      </w:pPr>
      <w:bookmarkStart w:id="45" w:name="_Ref83634775"/>
      <w:r w:rsidRPr="004472DD">
        <w:t xml:space="preserve">For sovereign </w:t>
      </w:r>
      <w:r w:rsidR="005059A4">
        <w:t>exposures</w:t>
      </w:r>
      <w:r w:rsidRPr="004472DD">
        <w:t>, PD is the PD</w:t>
      </w:r>
      <w:r w:rsidR="00D077D4">
        <w:t xml:space="preserve"> estimate</w:t>
      </w:r>
      <w:r w:rsidRPr="004472DD">
        <w:t xml:space="preserve"> associated with the internal </w:t>
      </w:r>
      <w:r w:rsidR="00F35826">
        <w:t>borrower</w:t>
      </w:r>
      <w:r w:rsidRPr="004472DD">
        <w:t xml:space="preserve"> grade to</w:t>
      </w:r>
      <w:r w:rsidR="00C62A22">
        <w:t xml:space="preserve"> which an exposure is assigned.</w:t>
      </w:r>
      <w:bookmarkEnd w:id="45"/>
    </w:p>
    <w:p w14:paraId="451307B6" w14:textId="53AF0BA1" w:rsidR="004F7065" w:rsidRDefault="004F7065" w:rsidP="004F7065">
      <w:pPr>
        <w:pStyle w:val="BodyText1"/>
      </w:pPr>
      <w:r w:rsidRPr="00630D15">
        <w:t>A</w:t>
      </w:r>
      <w:r>
        <w:t>n ADI must assign a</w:t>
      </w:r>
      <w:r w:rsidRPr="00630D15">
        <w:t xml:space="preserve"> 100 per cent PD to default</w:t>
      </w:r>
      <w:r w:rsidR="00587A18">
        <w:t>ed exposures</w:t>
      </w:r>
      <w:r>
        <w:t>.</w:t>
      </w:r>
    </w:p>
    <w:p w14:paraId="5F32646C" w14:textId="298167BB" w:rsidR="004472DD" w:rsidRDefault="004472DD" w:rsidP="00195713">
      <w:pPr>
        <w:pStyle w:val="Heading2"/>
      </w:pPr>
      <w:r>
        <w:t>Loss given default</w:t>
      </w:r>
      <w:r w:rsidR="002923B2">
        <w:t xml:space="preserve"> estimates</w:t>
      </w:r>
    </w:p>
    <w:p w14:paraId="269CD734" w14:textId="77777777" w:rsidR="00195713" w:rsidRPr="00630D15" w:rsidRDefault="00195713" w:rsidP="00195713">
      <w:pPr>
        <w:pStyle w:val="BodyText1"/>
      </w:pPr>
      <w:r w:rsidRPr="00630D15">
        <w:t>LGD estimates must be measured as a percentage of EAD.</w:t>
      </w:r>
    </w:p>
    <w:p w14:paraId="4C974197" w14:textId="739704A3" w:rsidR="00476855" w:rsidRPr="00A608B4" w:rsidRDefault="00B364A2" w:rsidP="00476855">
      <w:pPr>
        <w:pStyle w:val="Heading3"/>
      </w:pPr>
      <w:r>
        <w:t>Senior u</w:t>
      </w:r>
      <w:r w:rsidR="00476855">
        <w:t xml:space="preserve">nsecured exposures and </w:t>
      </w:r>
      <w:r w:rsidR="00540ED6">
        <w:t xml:space="preserve">senior </w:t>
      </w:r>
      <w:r w:rsidR="00476855">
        <w:t>exposures secured by ineligible collateral</w:t>
      </w:r>
      <w:r w:rsidR="00540ED6">
        <w:t xml:space="preserve"> under the FIRB approach</w:t>
      </w:r>
    </w:p>
    <w:p w14:paraId="342295F2" w14:textId="130EB29F" w:rsidR="00476855" w:rsidRDefault="00764BCB" w:rsidP="00476855">
      <w:pPr>
        <w:pStyle w:val="BodyText1"/>
      </w:pPr>
      <w:bookmarkStart w:id="46" w:name="_Ref34377143"/>
      <w:r>
        <w:t>Subject to the exception</w:t>
      </w:r>
      <w:r w:rsidR="00F13F4D">
        <w:t>s</w:t>
      </w:r>
      <w:r w:rsidR="00326FC7">
        <w:t xml:space="preserve"> </w:t>
      </w:r>
      <w:r w:rsidR="00353D18">
        <w:t xml:space="preserve">set out </w:t>
      </w:r>
      <w:r>
        <w:t>in paragraph</w:t>
      </w:r>
      <w:r w:rsidR="00F13F4D">
        <w:t>s</w:t>
      </w:r>
      <w:r>
        <w:t xml:space="preserve"> </w:t>
      </w:r>
      <w:r w:rsidR="00B72740">
        <w:fldChar w:fldCharType="begin"/>
      </w:r>
      <w:r w:rsidR="00B72740">
        <w:instrText xml:space="preserve"> REF _Ref83385642 \r \h </w:instrText>
      </w:r>
      <w:r w:rsidR="00B72740">
        <w:fldChar w:fldCharType="separate"/>
      </w:r>
      <w:r w:rsidR="00550C88">
        <w:t>9</w:t>
      </w:r>
      <w:r w:rsidR="00B72740">
        <w:fldChar w:fldCharType="end"/>
      </w:r>
      <w:r w:rsidR="00F13F4D">
        <w:t xml:space="preserve"> </w:t>
      </w:r>
      <w:r w:rsidR="00A32807">
        <w:t>to</w:t>
      </w:r>
      <w:r w:rsidR="00F13F4D">
        <w:t xml:space="preserve"> </w:t>
      </w:r>
      <w:r w:rsidR="0025765E">
        <w:fldChar w:fldCharType="begin"/>
      </w:r>
      <w:r w:rsidR="0025765E">
        <w:instrText xml:space="preserve"> REF _Ref83831053 \r \h </w:instrText>
      </w:r>
      <w:r w:rsidR="0025765E">
        <w:fldChar w:fldCharType="separate"/>
      </w:r>
      <w:r w:rsidR="00550C88">
        <w:t>11</w:t>
      </w:r>
      <w:r w:rsidR="0025765E">
        <w:fldChar w:fldCharType="end"/>
      </w:r>
      <w:r>
        <w:t xml:space="preserve"> of this Attachment, a</w:t>
      </w:r>
      <w:r w:rsidR="00476855">
        <w:t>n ADI</w:t>
      </w:r>
      <w:r w:rsidR="00EB5C67">
        <w:t xml:space="preserve"> </w:t>
      </w:r>
      <w:r w:rsidR="006A45AE">
        <w:t>that</w:t>
      </w:r>
      <w:r w:rsidR="00EB5C67">
        <w:t xml:space="preserve"> uses the FIRB approach</w:t>
      </w:r>
      <w:r w:rsidR="00476855">
        <w:t xml:space="preserve"> must assign a 50 per cent LGD to all s</w:t>
      </w:r>
      <w:r w:rsidR="00476855" w:rsidRPr="004F0F6E">
        <w:t xml:space="preserve">enior </w:t>
      </w:r>
      <w:r w:rsidR="00476855">
        <w:t>exposures</w:t>
      </w:r>
      <w:r w:rsidR="00476855" w:rsidRPr="004F0F6E">
        <w:t xml:space="preserve"> that are not secured by eligible collateral.</w:t>
      </w:r>
      <w:r w:rsidR="00647334">
        <w:t xml:space="preserve"> For this purpose, eligible collateral is collateral that meets the minimum requirements detailed in Attachment </w:t>
      </w:r>
      <w:r w:rsidR="00372315">
        <w:t>E</w:t>
      </w:r>
      <w:r w:rsidR="00647334">
        <w:t xml:space="preserve"> to this Prudential Standard.</w:t>
      </w:r>
      <w:bookmarkEnd w:id="46"/>
      <w:r w:rsidR="00647334">
        <w:t xml:space="preserve"> </w:t>
      </w:r>
    </w:p>
    <w:p w14:paraId="25EF8D63" w14:textId="4D5FAA73" w:rsidR="00823A84" w:rsidRPr="006363EE" w:rsidRDefault="00540ED6" w:rsidP="001E74B4">
      <w:pPr>
        <w:pStyle w:val="BodyText1"/>
      </w:pPr>
      <w:bookmarkStart w:id="47" w:name="_Ref83387850"/>
      <w:bookmarkStart w:id="48" w:name="_Ref83385642"/>
      <w:r>
        <w:t>Where an</w:t>
      </w:r>
      <w:r w:rsidR="001E74B4">
        <w:t xml:space="preserve"> ADI </w:t>
      </w:r>
      <w:r>
        <w:t>uses the FIRB approach,</w:t>
      </w:r>
      <w:r w:rsidR="00301CBC" w:rsidRPr="00301CBC">
        <w:t xml:space="preserve"> </w:t>
      </w:r>
      <w:r w:rsidR="00301CBC">
        <w:t xml:space="preserve">it may assign lower LGD estimates to </w:t>
      </w:r>
      <w:r w:rsidR="00CF6FFE">
        <w:t xml:space="preserve">eligible </w:t>
      </w:r>
      <w:r w:rsidR="00301CBC">
        <w:t xml:space="preserve">senior exposures to sovereign counterparties, which are not secured by eligible collateral, using the ratings of </w:t>
      </w:r>
      <w:r w:rsidR="00301CBC" w:rsidRPr="00301CBC">
        <w:rPr>
          <w:b/>
        </w:rPr>
        <w:t>external credit assessment institutions</w:t>
      </w:r>
      <w:r w:rsidR="00301CBC">
        <w:t xml:space="preserve"> (</w:t>
      </w:r>
      <w:r w:rsidR="00301CBC" w:rsidRPr="00301CBC">
        <w:rPr>
          <w:b/>
        </w:rPr>
        <w:t>ECAIs</w:t>
      </w:r>
      <w:r w:rsidR="00301CBC">
        <w:t>). Where the E</w:t>
      </w:r>
      <w:r w:rsidR="00301CBC" w:rsidRPr="00301CBC">
        <w:t>CAI is S&amp;P Global Ratings, Moody’s or Fitch Ratings, ratings</w:t>
      </w:r>
      <w:r w:rsidR="00301CBC">
        <w:t xml:space="preserve"> and the relevant LGD</w:t>
      </w:r>
      <w:r w:rsidR="00301CBC" w:rsidRPr="00301CBC">
        <w:t xml:space="preserve"> must be mapped in accordance with</w:t>
      </w:r>
      <w:r w:rsidR="00301CBC">
        <w:t xml:space="preserve"> </w:t>
      </w:r>
      <w:r w:rsidR="00301CBC">
        <w:fldChar w:fldCharType="begin"/>
      </w:r>
      <w:r w:rsidR="00301CBC">
        <w:instrText xml:space="preserve"> REF _Ref83926665 \r \h </w:instrText>
      </w:r>
      <w:r w:rsidR="00301CBC">
        <w:fldChar w:fldCharType="separate"/>
      </w:r>
      <w:r w:rsidR="00550C88">
        <w:t>Table 3</w:t>
      </w:r>
      <w:r w:rsidR="00301CBC">
        <w:fldChar w:fldCharType="end"/>
      </w:r>
      <w:bookmarkEnd w:id="47"/>
      <w:r w:rsidR="00FB3471">
        <w:t>.</w:t>
      </w:r>
      <w:r w:rsidR="007B1A93">
        <w:t xml:space="preserve"> </w:t>
      </w:r>
      <w:r w:rsidR="007B1A93" w:rsidRPr="007B1A93">
        <w:t xml:space="preserve">Where a sovereign exposure has multiple ECAI ratings that correspond to multiple credit rating grades, </w:t>
      </w:r>
      <w:r w:rsidR="00CF6FFE">
        <w:t>the</w:t>
      </w:r>
      <w:r w:rsidR="007B1A93" w:rsidRPr="007B1A93">
        <w:t xml:space="preserve"> ADI must apply the requirements detailed in </w:t>
      </w:r>
      <w:r w:rsidR="007B1A93" w:rsidRPr="007B1A93">
        <w:lastRenderedPageBreak/>
        <w:t>paragraph 6 of Attachment F to APS 112.</w:t>
      </w:r>
      <w:r w:rsidR="00D4165B">
        <w:t xml:space="preserve"> </w:t>
      </w:r>
      <w:r w:rsidR="00CF6FFE">
        <w:t>The</w:t>
      </w:r>
      <w:r w:rsidR="00D4165B">
        <w:t xml:space="preserve"> ADI must apply the due diligence requirements in Attachment F of </w:t>
      </w:r>
      <w:r w:rsidR="00D4165B" w:rsidRPr="006363EE">
        <w:t>APS 112 when using the ratings of ECAIs.</w:t>
      </w:r>
    </w:p>
    <w:p w14:paraId="00598006" w14:textId="0634F2B4" w:rsidR="00045700" w:rsidRPr="006363EE" w:rsidRDefault="00B72FF3" w:rsidP="0030110C">
      <w:pPr>
        <w:pStyle w:val="TableHeadNumber"/>
      </w:pPr>
      <w:r w:rsidRPr="006363EE">
        <w:tab/>
      </w:r>
      <w:bookmarkStart w:id="49" w:name="_Ref83926665"/>
      <w:r w:rsidR="00045700" w:rsidRPr="006363EE">
        <w:t xml:space="preserve">LGD </w:t>
      </w:r>
      <w:r w:rsidRPr="006363EE">
        <w:t xml:space="preserve">estimates </w:t>
      </w:r>
      <w:r w:rsidR="000D08D6" w:rsidRPr="006363EE">
        <w:t>for</w:t>
      </w:r>
      <w:r w:rsidR="00045700" w:rsidRPr="006363EE">
        <w:t xml:space="preserve"> </w:t>
      </w:r>
      <w:r w:rsidR="00FB3471" w:rsidRPr="006363EE">
        <w:t>eligible sovereign exposures</w:t>
      </w:r>
      <w:bookmarkEnd w:id="49"/>
    </w:p>
    <w:tbl>
      <w:tblPr>
        <w:tblStyle w:val="TableGrid"/>
        <w:tblW w:w="0" w:type="auto"/>
        <w:tblLook w:val="04A0" w:firstRow="1" w:lastRow="0" w:firstColumn="1" w:lastColumn="0" w:noHBand="0" w:noVBand="1"/>
      </w:tblPr>
      <w:tblGrid>
        <w:gridCol w:w="1673"/>
        <w:gridCol w:w="1714"/>
        <w:gridCol w:w="1750"/>
        <w:gridCol w:w="1714"/>
        <w:gridCol w:w="1451"/>
      </w:tblGrid>
      <w:tr w:rsidR="00FF509C" w:rsidRPr="006363EE" w14:paraId="5D93B3EF" w14:textId="1B8F43C8" w:rsidTr="00B259F9">
        <w:tc>
          <w:tcPr>
            <w:tcW w:w="1673" w:type="dxa"/>
            <w:vAlign w:val="center"/>
          </w:tcPr>
          <w:p w14:paraId="053773C0" w14:textId="009AE508" w:rsidR="00FF509C" w:rsidRPr="006363EE" w:rsidRDefault="00FF509C" w:rsidP="00B259F9">
            <w:pPr>
              <w:keepNext/>
              <w:spacing w:before="60" w:after="60"/>
              <w:jc w:val="center"/>
              <w:rPr>
                <w:b/>
              </w:rPr>
            </w:pPr>
          </w:p>
        </w:tc>
        <w:tc>
          <w:tcPr>
            <w:tcW w:w="1714" w:type="dxa"/>
            <w:vAlign w:val="center"/>
          </w:tcPr>
          <w:p w14:paraId="3B604CE4" w14:textId="6E9BD42E" w:rsidR="00FF509C" w:rsidRPr="006363EE" w:rsidRDefault="00FF509C" w:rsidP="00D800D0">
            <w:pPr>
              <w:keepNext/>
              <w:spacing w:before="60" w:after="60"/>
              <w:jc w:val="center"/>
              <w:rPr>
                <w:b/>
              </w:rPr>
            </w:pPr>
            <w:r w:rsidRPr="006363EE">
              <w:rPr>
                <w:b/>
              </w:rPr>
              <w:t>S&amp;P Global Ratings</w:t>
            </w:r>
          </w:p>
        </w:tc>
        <w:tc>
          <w:tcPr>
            <w:tcW w:w="1750" w:type="dxa"/>
            <w:vAlign w:val="center"/>
          </w:tcPr>
          <w:p w14:paraId="5EBC8504" w14:textId="377323A6" w:rsidR="00FF509C" w:rsidRPr="006363EE" w:rsidRDefault="00FF509C" w:rsidP="00D800D0">
            <w:pPr>
              <w:keepNext/>
              <w:spacing w:before="60" w:after="60"/>
              <w:jc w:val="center"/>
              <w:rPr>
                <w:b/>
              </w:rPr>
            </w:pPr>
            <w:r w:rsidRPr="006363EE">
              <w:rPr>
                <w:b/>
              </w:rPr>
              <w:t>Moody’s</w:t>
            </w:r>
          </w:p>
        </w:tc>
        <w:tc>
          <w:tcPr>
            <w:tcW w:w="1714" w:type="dxa"/>
            <w:vAlign w:val="center"/>
          </w:tcPr>
          <w:p w14:paraId="78728CE2" w14:textId="4F91C105" w:rsidR="00FF509C" w:rsidRPr="006363EE" w:rsidRDefault="00FF509C" w:rsidP="00D800D0">
            <w:pPr>
              <w:keepNext/>
              <w:spacing w:before="60" w:after="60"/>
              <w:jc w:val="center"/>
              <w:rPr>
                <w:b/>
              </w:rPr>
            </w:pPr>
            <w:r w:rsidRPr="006363EE">
              <w:rPr>
                <w:b/>
              </w:rPr>
              <w:t>Fitch Ratings</w:t>
            </w:r>
          </w:p>
        </w:tc>
        <w:tc>
          <w:tcPr>
            <w:tcW w:w="1451" w:type="dxa"/>
            <w:vAlign w:val="center"/>
          </w:tcPr>
          <w:p w14:paraId="782784A5" w14:textId="77777777" w:rsidR="00FF509C" w:rsidRPr="006363EE" w:rsidRDefault="00FF509C" w:rsidP="00D800D0">
            <w:pPr>
              <w:keepNext/>
              <w:spacing w:before="60" w:after="60"/>
              <w:jc w:val="center"/>
              <w:rPr>
                <w:b/>
              </w:rPr>
            </w:pPr>
            <w:r w:rsidRPr="006363EE">
              <w:rPr>
                <w:b/>
              </w:rPr>
              <w:t>LGD</w:t>
            </w:r>
          </w:p>
          <w:p w14:paraId="622811AB" w14:textId="45B075D4" w:rsidR="007B7078" w:rsidRPr="006363EE" w:rsidRDefault="007B7078" w:rsidP="00D800D0">
            <w:pPr>
              <w:keepNext/>
              <w:spacing w:before="60" w:after="60"/>
              <w:jc w:val="center"/>
              <w:rPr>
                <w:b/>
              </w:rPr>
            </w:pPr>
            <w:r w:rsidRPr="006363EE">
              <w:rPr>
                <w:b/>
              </w:rPr>
              <w:t>(%)</w:t>
            </w:r>
          </w:p>
        </w:tc>
      </w:tr>
      <w:tr w:rsidR="00D15AC4" w:rsidRPr="006363EE" w14:paraId="08BF1693" w14:textId="77777777" w:rsidTr="00FB0BCF">
        <w:tc>
          <w:tcPr>
            <w:tcW w:w="6851" w:type="dxa"/>
            <w:gridSpan w:val="4"/>
            <w:vAlign w:val="center"/>
          </w:tcPr>
          <w:p w14:paraId="10897C8F" w14:textId="4E0FA712" w:rsidR="00D15AC4" w:rsidRPr="006363EE" w:rsidRDefault="00D15AC4" w:rsidP="00FB0BCF">
            <w:pPr>
              <w:keepNext/>
              <w:spacing w:before="60" w:after="60"/>
            </w:pPr>
            <w:r>
              <w:rPr>
                <w:b/>
              </w:rPr>
              <w:t>Exposure to the Bank for International Settlements, the International Monetary Fund and the World Bank Group</w:t>
            </w:r>
            <w:r w:rsidR="00FE6383">
              <w:rPr>
                <w:rStyle w:val="FootnoteReference"/>
                <w:b/>
              </w:rPr>
              <w:footnoteReference w:id="8"/>
            </w:r>
          </w:p>
        </w:tc>
        <w:tc>
          <w:tcPr>
            <w:tcW w:w="1451" w:type="dxa"/>
            <w:vMerge w:val="restart"/>
            <w:vAlign w:val="center"/>
          </w:tcPr>
          <w:p w14:paraId="057C330C" w14:textId="75E4913C" w:rsidR="00D15AC4" w:rsidRPr="006363EE" w:rsidRDefault="00D15AC4" w:rsidP="00D800D0">
            <w:pPr>
              <w:keepNext/>
              <w:spacing w:before="60" w:after="60"/>
              <w:jc w:val="center"/>
            </w:pPr>
            <w:r w:rsidRPr="006363EE">
              <w:t>5</w:t>
            </w:r>
          </w:p>
        </w:tc>
      </w:tr>
      <w:tr w:rsidR="001D5A48" w:rsidRPr="006363EE" w14:paraId="09D5E86C" w14:textId="3042A29A" w:rsidTr="00B259F9">
        <w:tc>
          <w:tcPr>
            <w:tcW w:w="1673" w:type="dxa"/>
            <w:vMerge w:val="restart"/>
            <w:vAlign w:val="center"/>
          </w:tcPr>
          <w:p w14:paraId="066ABF27" w14:textId="47DA5E15" w:rsidR="001D5A48" w:rsidRPr="006363EE" w:rsidRDefault="001D5A48" w:rsidP="00D800D0">
            <w:pPr>
              <w:keepNext/>
              <w:spacing w:before="60" w:after="60"/>
              <w:jc w:val="center"/>
              <w:rPr>
                <w:b/>
              </w:rPr>
            </w:pPr>
            <w:r w:rsidRPr="006363EE">
              <w:rPr>
                <w:b/>
              </w:rPr>
              <w:t>Credit rating grade of sovereign exposure</w:t>
            </w:r>
          </w:p>
        </w:tc>
        <w:tc>
          <w:tcPr>
            <w:tcW w:w="1714" w:type="dxa"/>
            <w:vAlign w:val="center"/>
          </w:tcPr>
          <w:p w14:paraId="4960F61B" w14:textId="77777777" w:rsidR="001D5A48" w:rsidRPr="006363EE" w:rsidRDefault="001D5A48" w:rsidP="00D800D0">
            <w:pPr>
              <w:keepNext/>
              <w:spacing w:before="60" w:after="60"/>
              <w:jc w:val="center"/>
            </w:pPr>
            <w:r w:rsidRPr="006363EE">
              <w:t>AAA</w:t>
            </w:r>
          </w:p>
          <w:p w14:paraId="62CFC2AA" w14:textId="77777777" w:rsidR="001D5A48" w:rsidRPr="006363EE" w:rsidRDefault="001D5A48" w:rsidP="00D800D0">
            <w:pPr>
              <w:keepNext/>
              <w:spacing w:before="60" w:after="60"/>
              <w:jc w:val="center"/>
            </w:pPr>
            <w:r w:rsidRPr="006363EE">
              <w:t>AA+</w:t>
            </w:r>
          </w:p>
          <w:p w14:paraId="1874B1ED" w14:textId="77777777" w:rsidR="001D5A48" w:rsidRPr="006363EE" w:rsidRDefault="001D5A48" w:rsidP="00D800D0">
            <w:pPr>
              <w:keepNext/>
              <w:spacing w:before="60" w:after="60"/>
              <w:jc w:val="center"/>
            </w:pPr>
            <w:r w:rsidRPr="006363EE">
              <w:t>AA</w:t>
            </w:r>
          </w:p>
          <w:p w14:paraId="48340127" w14:textId="45396218" w:rsidR="001D5A48" w:rsidRPr="006363EE" w:rsidRDefault="001D5A48" w:rsidP="00D800D0">
            <w:pPr>
              <w:keepNext/>
              <w:spacing w:before="60" w:after="60"/>
              <w:jc w:val="center"/>
            </w:pPr>
            <w:r w:rsidRPr="006363EE">
              <w:t>AA-</w:t>
            </w:r>
          </w:p>
        </w:tc>
        <w:tc>
          <w:tcPr>
            <w:tcW w:w="1750" w:type="dxa"/>
            <w:vAlign w:val="center"/>
          </w:tcPr>
          <w:p w14:paraId="56CC95BE" w14:textId="43D336B8" w:rsidR="001D5A48" w:rsidRPr="006363EE" w:rsidRDefault="001D5A48" w:rsidP="00D800D0">
            <w:pPr>
              <w:keepNext/>
              <w:spacing w:before="60" w:after="60"/>
              <w:jc w:val="center"/>
            </w:pPr>
            <w:proofErr w:type="spellStart"/>
            <w:r w:rsidRPr="006363EE">
              <w:t>Aaa</w:t>
            </w:r>
            <w:proofErr w:type="spellEnd"/>
          </w:p>
          <w:p w14:paraId="18E71A58" w14:textId="764BA0A3" w:rsidR="001D5A48" w:rsidRPr="006363EE" w:rsidRDefault="001D5A48" w:rsidP="00D800D0">
            <w:pPr>
              <w:keepNext/>
              <w:spacing w:before="60" w:after="60"/>
              <w:jc w:val="center"/>
            </w:pPr>
            <w:r w:rsidRPr="006363EE">
              <w:t>Aa1</w:t>
            </w:r>
          </w:p>
          <w:p w14:paraId="4E5E7298" w14:textId="466D2B30" w:rsidR="001D5A48" w:rsidRPr="006363EE" w:rsidRDefault="001D5A48" w:rsidP="00D800D0">
            <w:pPr>
              <w:keepNext/>
              <w:spacing w:before="60" w:after="60"/>
              <w:jc w:val="center"/>
            </w:pPr>
            <w:r w:rsidRPr="006363EE">
              <w:t>Aa2</w:t>
            </w:r>
          </w:p>
          <w:p w14:paraId="34306AE4" w14:textId="0ED89F84" w:rsidR="001D5A48" w:rsidRPr="006363EE" w:rsidRDefault="001D5A48" w:rsidP="00D800D0">
            <w:pPr>
              <w:keepNext/>
              <w:spacing w:before="60" w:after="60"/>
              <w:jc w:val="center"/>
            </w:pPr>
            <w:r w:rsidRPr="006363EE">
              <w:t>Aa3</w:t>
            </w:r>
          </w:p>
        </w:tc>
        <w:tc>
          <w:tcPr>
            <w:tcW w:w="1714" w:type="dxa"/>
            <w:vAlign w:val="center"/>
          </w:tcPr>
          <w:p w14:paraId="5E8442C9" w14:textId="77777777" w:rsidR="001D5A48" w:rsidRPr="006363EE" w:rsidRDefault="001D5A48" w:rsidP="00D800D0">
            <w:pPr>
              <w:keepNext/>
              <w:spacing w:before="60" w:after="60"/>
              <w:jc w:val="center"/>
            </w:pPr>
            <w:r w:rsidRPr="006363EE">
              <w:t>AAA</w:t>
            </w:r>
          </w:p>
          <w:p w14:paraId="13030CA3" w14:textId="77777777" w:rsidR="001D5A48" w:rsidRPr="006363EE" w:rsidRDefault="001D5A48" w:rsidP="00D800D0">
            <w:pPr>
              <w:keepNext/>
              <w:spacing w:before="60" w:after="60"/>
              <w:jc w:val="center"/>
            </w:pPr>
            <w:r w:rsidRPr="006363EE">
              <w:t>AA+</w:t>
            </w:r>
          </w:p>
          <w:p w14:paraId="7708871A" w14:textId="77777777" w:rsidR="001D5A48" w:rsidRPr="006363EE" w:rsidRDefault="001D5A48" w:rsidP="00D800D0">
            <w:pPr>
              <w:keepNext/>
              <w:spacing w:before="60" w:after="60"/>
              <w:jc w:val="center"/>
            </w:pPr>
            <w:r w:rsidRPr="006363EE">
              <w:t>AA</w:t>
            </w:r>
          </w:p>
          <w:p w14:paraId="0E1D01AC" w14:textId="1D33F200" w:rsidR="001D5A48" w:rsidRPr="006363EE" w:rsidRDefault="001D5A48" w:rsidP="00D800D0">
            <w:pPr>
              <w:keepNext/>
              <w:spacing w:before="60" w:after="60"/>
              <w:jc w:val="center"/>
            </w:pPr>
            <w:r w:rsidRPr="006363EE">
              <w:t>AA-</w:t>
            </w:r>
          </w:p>
        </w:tc>
        <w:tc>
          <w:tcPr>
            <w:tcW w:w="1451" w:type="dxa"/>
            <w:vMerge/>
            <w:vAlign w:val="center"/>
          </w:tcPr>
          <w:p w14:paraId="0764C10C" w14:textId="19E71DC3" w:rsidR="001D5A48" w:rsidRPr="006363EE" w:rsidRDefault="001D5A48" w:rsidP="00D800D0">
            <w:pPr>
              <w:keepNext/>
              <w:spacing w:before="60" w:after="60"/>
              <w:jc w:val="center"/>
            </w:pPr>
          </w:p>
        </w:tc>
      </w:tr>
      <w:tr w:rsidR="001D5A48" w:rsidRPr="006363EE" w14:paraId="238F8C54" w14:textId="6381F4B5" w:rsidTr="00B259F9">
        <w:tc>
          <w:tcPr>
            <w:tcW w:w="1673" w:type="dxa"/>
            <w:vMerge/>
            <w:vAlign w:val="center"/>
          </w:tcPr>
          <w:p w14:paraId="6E422EE7" w14:textId="628C2DEB" w:rsidR="001D5A48" w:rsidRPr="006363EE" w:rsidRDefault="001D5A48" w:rsidP="00D800D0">
            <w:pPr>
              <w:keepNext/>
              <w:spacing w:before="60" w:after="60"/>
              <w:jc w:val="center"/>
              <w:rPr>
                <w:b/>
              </w:rPr>
            </w:pPr>
          </w:p>
        </w:tc>
        <w:tc>
          <w:tcPr>
            <w:tcW w:w="1714" w:type="dxa"/>
            <w:vAlign w:val="center"/>
          </w:tcPr>
          <w:p w14:paraId="08F01FC7" w14:textId="77777777" w:rsidR="001D5A48" w:rsidRPr="006363EE" w:rsidRDefault="001D5A48" w:rsidP="00D800D0">
            <w:pPr>
              <w:keepNext/>
              <w:spacing w:before="60" w:after="60"/>
              <w:jc w:val="center"/>
            </w:pPr>
            <w:r w:rsidRPr="006363EE">
              <w:t>A+</w:t>
            </w:r>
          </w:p>
          <w:p w14:paraId="7C0E528B" w14:textId="6B52FC2F" w:rsidR="001D5A48" w:rsidRPr="006363EE" w:rsidRDefault="001D5A48" w:rsidP="00D800D0">
            <w:pPr>
              <w:keepNext/>
              <w:spacing w:before="60" w:after="60"/>
              <w:jc w:val="center"/>
            </w:pPr>
            <w:r w:rsidRPr="006363EE">
              <w:t>A</w:t>
            </w:r>
          </w:p>
        </w:tc>
        <w:tc>
          <w:tcPr>
            <w:tcW w:w="1750" w:type="dxa"/>
            <w:vAlign w:val="center"/>
          </w:tcPr>
          <w:p w14:paraId="00123EEA" w14:textId="77777777" w:rsidR="001D5A48" w:rsidRPr="006363EE" w:rsidRDefault="001D5A48" w:rsidP="00D800D0">
            <w:pPr>
              <w:keepNext/>
              <w:spacing w:before="60" w:after="60"/>
              <w:jc w:val="center"/>
            </w:pPr>
            <w:r w:rsidRPr="006363EE">
              <w:t>A1</w:t>
            </w:r>
          </w:p>
          <w:p w14:paraId="77468854" w14:textId="30F7F1DA" w:rsidR="001D5A48" w:rsidRPr="006363EE" w:rsidRDefault="001D5A48" w:rsidP="00D800D0">
            <w:pPr>
              <w:keepNext/>
              <w:spacing w:before="60" w:after="60"/>
              <w:jc w:val="center"/>
            </w:pPr>
            <w:r w:rsidRPr="006363EE">
              <w:t>A2</w:t>
            </w:r>
          </w:p>
        </w:tc>
        <w:tc>
          <w:tcPr>
            <w:tcW w:w="1714" w:type="dxa"/>
            <w:vAlign w:val="center"/>
          </w:tcPr>
          <w:p w14:paraId="42D4B7F7" w14:textId="77777777" w:rsidR="001D5A48" w:rsidRPr="006363EE" w:rsidRDefault="001D5A48" w:rsidP="00D800D0">
            <w:pPr>
              <w:keepNext/>
              <w:spacing w:before="60" w:after="60"/>
              <w:jc w:val="center"/>
            </w:pPr>
            <w:r w:rsidRPr="006363EE">
              <w:t>A+</w:t>
            </w:r>
          </w:p>
          <w:p w14:paraId="4C819DCC" w14:textId="419175A7" w:rsidR="001D5A48" w:rsidRPr="006363EE" w:rsidRDefault="001D5A48" w:rsidP="00D800D0">
            <w:pPr>
              <w:keepNext/>
              <w:spacing w:before="60" w:after="60"/>
              <w:jc w:val="center"/>
            </w:pPr>
            <w:r w:rsidRPr="006363EE">
              <w:t>A</w:t>
            </w:r>
          </w:p>
        </w:tc>
        <w:tc>
          <w:tcPr>
            <w:tcW w:w="1451" w:type="dxa"/>
            <w:vMerge w:val="restart"/>
            <w:vAlign w:val="center"/>
          </w:tcPr>
          <w:p w14:paraId="0B95BFD7" w14:textId="0D89F867" w:rsidR="001D5A48" w:rsidRPr="006363EE" w:rsidRDefault="001D5A48" w:rsidP="00D800D0">
            <w:pPr>
              <w:keepNext/>
              <w:spacing w:before="60" w:after="60"/>
              <w:jc w:val="center"/>
            </w:pPr>
            <w:r w:rsidRPr="006363EE">
              <w:t>25</w:t>
            </w:r>
          </w:p>
        </w:tc>
      </w:tr>
      <w:tr w:rsidR="00D800D0" w:rsidRPr="006363EE" w14:paraId="360FEF7E" w14:textId="77777777" w:rsidTr="008F729B">
        <w:tc>
          <w:tcPr>
            <w:tcW w:w="6851" w:type="dxa"/>
            <w:gridSpan w:val="4"/>
            <w:vAlign w:val="center"/>
          </w:tcPr>
          <w:p w14:paraId="4986A749" w14:textId="3EDC7D2B" w:rsidR="00D800D0" w:rsidRPr="006363EE" w:rsidRDefault="008F1CA4" w:rsidP="005D4B0F">
            <w:pPr>
              <w:keepNext/>
              <w:spacing w:before="60" w:after="60"/>
              <w:rPr>
                <w:b/>
              </w:rPr>
            </w:pPr>
            <w:r w:rsidRPr="006363EE">
              <w:rPr>
                <w:b/>
              </w:rPr>
              <w:t>Unrated exposure</w:t>
            </w:r>
            <w:r w:rsidR="008F729B" w:rsidRPr="006363EE">
              <w:rPr>
                <w:b/>
              </w:rPr>
              <w:t xml:space="preserve"> to an </w:t>
            </w:r>
            <w:r w:rsidR="00D800D0" w:rsidRPr="006363EE">
              <w:rPr>
                <w:b/>
              </w:rPr>
              <w:t xml:space="preserve">Australian local council </w:t>
            </w:r>
          </w:p>
        </w:tc>
        <w:tc>
          <w:tcPr>
            <w:tcW w:w="1451" w:type="dxa"/>
            <w:vMerge/>
          </w:tcPr>
          <w:p w14:paraId="4DCC6A1E" w14:textId="77777777" w:rsidR="00D800D0" w:rsidRPr="006363EE" w:rsidRDefault="00D800D0" w:rsidP="00045700">
            <w:pPr>
              <w:keepNext/>
              <w:spacing w:before="60" w:after="60"/>
              <w:jc w:val="center"/>
            </w:pPr>
          </w:p>
        </w:tc>
      </w:tr>
    </w:tbl>
    <w:p w14:paraId="6BB4FAC7" w14:textId="33D7936B" w:rsidR="00045700" w:rsidRPr="006363EE" w:rsidRDefault="00045700" w:rsidP="00687AB8">
      <w:pPr>
        <w:pStyle w:val="BodyText2"/>
        <w:numPr>
          <w:ilvl w:val="0"/>
          <w:numId w:val="0"/>
        </w:numPr>
      </w:pPr>
    </w:p>
    <w:p w14:paraId="3C4AD3C4" w14:textId="70E6FA8E" w:rsidR="009521F6" w:rsidRDefault="00B81A53" w:rsidP="001E74B4">
      <w:pPr>
        <w:pStyle w:val="BodyText1"/>
      </w:pPr>
      <w:bookmarkStart w:id="50" w:name="_Ref107569277"/>
      <w:bookmarkStart w:id="51" w:name="_Ref83831416"/>
      <w:r>
        <w:t>A</w:t>
      </w:r>
      <w:r w:rsidR="00CB1B23">
        <w:t xml:space="preserve">n ADI </w:t>
      </w:r>
      <w:r>
        <w:t xml:space="preserve">that </w:t>
      </w:r>
      <w:r w:rsidR="00CB1B23">
        <w:t xml:space="preserve">uses the FIRB approach may assign a 25 per cent LGD to </w:t>
      </w:r>
      <w:r w:rsidR="008F729B">
        <w:t xml:space="preserve">senior </w:t>
      </w:r>
      <w:r w:rsidR="00EC5F50">
        <w:t xml:space="preserve">exposures to </w:t>
      </w:r>
      <w:r w:rsidR="00C91654">
        <w:t>borrower</w:t>
      </w:r>
      <w:r w:rsidR="00F841D4">
        <w:t>s</w:t>
      </w:r>
      <w:r w:rsidR="00C91654">
        <w:t xml:space="preserve"> </w:t>
      </w:r>
      <w:r w:rsidR="00F841D4">
        <w:t>that</w:t>
      </w:r>
      <w:r w:rsidR="00C91654">
        <w:t xml:space="preserve"> </w:t>
      </w:r>
      <w:r w:rsidR="00EC5F50">
        <w:t>operat</w:t>
      </w:r>
      <w:r w:rsidR="00F841D4">
        <w:t>e</w:t>
      </w:r>
      <w:r w:rsidR="00EC5F50">
        <w:t xml:space="preserve"> large </w:t>
      </w:r>
      <w:r w:rsidR="00245372">
        <w:t xml:space="preserve">domestic </w:t>
      </w:r>
      <w:r w:rsidR="00EC5F50">
        <w:t xml:space="preserve">public infrastructure </w:t>
      </w:r>
      <w:r w:rsidR="00BB22B2">
        <w:t xml:space="preserve">assets </w:t>
      </w:r>
      <w:r w:rsidR="00EC5F50">
        <w:t>or utilities that</w:t>
      </w:r>
      <w:r w:rsidR="00334604">
        <w:t xml:space="preserve"> </w:t>
      </w:r>
      <w:r w:rsidR="00E02689">
        <w:t>provide essential services to the economy</w:t>
      </w:r>
      <w:r w:rsidR="005B6953">
        <w:t xml:space="preserve"> where the borrower satisfie</w:t>
      </w:r>
      <w:r w:rsidR="00652FCF">
        <w:t>s</w:t>
      </w:r>
      <w:r w:rsidR="000B0413">
        <w:t xml:space="preserve"> one of the following on an ongoing basis</w:t>
      </w:r>
      <w:r w:rsidR="009521F6">
        <w:t>:</w:t>
      </w:r>
      <w:bookmarkEnd w:id="50"/>
    </w:p>
    <w:p w14:paraId="15318BE6" w14:textId="3482C5FA" w:rsidR="000D6A0F" w:rsidRDefault="00CE6BDD" w:rsidP="000D6A0F">
      <w:pPr>
        <w:pStyle w:val="BodyText2"/>
      </w:pPr>
      <w:r>
        <w:t>t</w:t>
      </w:r>
      <w:r w:rsidR="00BE3034" w:rsidRPr="0063323F">
        <w:t>he borrower is a corporation wholly or majority owned by the Australian Government or an Australian State or Territory government and is assessed to have a high degree of government oversight of its operations, investments and financing strategies</w:t>
      </w:r>
      <w:r w:rsidR="003950B3">
        <w:t>,</w:t>
      </w:r>
      <w:r w:rsidR="00BE3034" w:rsidRPr="0063323F">
        <w:t xml:space="preserve"> and the likelihood of government capital contribution in the event of </w:t>
      </w:r>
      <w:r w:rsidR="00BE3034" w:rsidRPr="00DC7CAD">
        <w:t>distress is assessed to be high</w:t>
      </w:r>
      <w:r w:rsidR="004873DD">
        <w:t>;</w:t>
      </w:r>
    </w:p>
    <w:p w14:paraId="51F131A3" w14:textId="1DCD1D05" w:rsidR="007C32B2" w:rsidRDefault="003950B3" w:rsidP="00653698">
      <w:pPr>
        <w:pStyle w:val="BodyText2"/>
      </w:pPr>
      <w:r>
        <w:t>the borrower h</w:t>
      </w:r>
      <w:r w:rsidR="007C32B2" w:rsidRPr="0063323F">
        <w:t>a</w:t>
      </w:r>
      <w:r w:rsidR="00B63460">
        <w:t>s</w:t>
      </w:r>
      <w:r w:rsidR="007C32B2" w:rsidRPr="0063323F">
        <w:t xml:space="preserve"> in place </w:t>
      </w:r>
      <w:r w:rsidR="00C519B8">
        <w:t xml:space="preserve">a relevant </w:t>
      </w:r>
      <w:r w:rsidR="007C32B2" w:rsidRPr="0063323F">
        <w:t>s</w:t>
      </w:r>
      <w:r w:rsidR="00B66AFE">
        <w:t>ecurity agreement</w:t>
      </w:r>
      <w:r w:rsidR="007C32B2" w:rsidRPr="0063323F">
        <w:t xml:space="preserve"> </w:t>
      </w:r>
      <w:r w:rsidR="00C519B8">
        <w:t xml:space="preserve">with the ADI </w:t>
      </w:r>
      <w:r w:rsidR="007C32B2" w:rsidRPr="0063323F">
        <w:t xml:space="preserve">and </w:t>
      </w:r>
      <w:r w:rsidR="003B4D98">
        <w:t xml:space="preserve">a </w:t>
      </w:r>
      <w:r w:rsidR="007C32B2" w:rsidRPr="0063323F">
        <w:t xml:space="preserve">contractual agreement </w:t>
      </w:r>
      <w:r w:rsidR="00C52DC1">
        <w:t xml:space="preserve">(e.g. a tripartite agreement) </w:t>
      </w:r>
      <w:r w:rsidR="007C32B2" w:rsidRPr="0063323F">
        <w:t xml:space="preserve">with the Australian Government or an Australian State or Territory government that provide the ADI with the right to </w:t>
      </w:r>
      <w:r w:rsidR="005F79D6">
        <w:t>step in</w:t>
      </w:r>
      <w:r w:rsidR="00C52DC1">
        <w:t xml:space="preserve"> and remedy</w:t>
      </w:r>
      <w:r w:rsidR="00F06EB5">
        <w:t xml:space="preserve"> </w:t>
      </w:r>
      <w:r w:rsidR="001957C9" w:rsidRPr="001957C9">
        <w:t>(</w:t>
      </w:r>
      <w:r w:rsidR="00C52DC1">
        <w:t>including transfer of ownership if necessary</w:t>
      </w:r>
      <w:r w:rsidR="001957C9" w:rsidRPr="001957C9">
        <w:t>) relevant ‘events of default’ specified in material contractual documents</w:t>
      </w:r>
      <w:r w:rsidR="003F4CF4">
        <w:t xml:space="preserve"> (e.g. </w:t>
      </w:r>
      <w:r w:rsidR="00E13381">
        <w:t>a public private partnership project agreement)</w:t>
      </w:r>
      <w:r w:rsidR="000E796E">
        <w:t>.</w:t>
      </w:r>
      <w:r w:rsidR="00C52DC1">
        <w:t xml:space="preserve"> </w:t>
      </w:r>
      <w:r w:rsidR="00D10BD0">
        <w:t>In addition, w</w:t>
      </w:r>
      <w:r w:rsidR="007C32B2" w:rsidRPr="0063323F">
        <w:t>here the borrower’s revenue is based on fees from service users</w:t>
      </w:r>
      <w:r w:rsidR="007C32B2">
        <w:t>,</w:t>
      </w:r>
      <w:r w:rsidR="007C32B2" w:rsidRPr="0063323F">
        <w:t xml:space="preserve"> demand </w:t>
      </w:r>
      <w:r w:rsidR="00700890">
        <w:t xml:space="preserve">for the service </w:t>
      </w:r>
      <w:r w:rsidR="007C32B2" w:rsidRPr="0063323F">
        <w:t xml:space="preserve">is assessed to be </w:t>
      </w:r>
      <w:r w:rsidR="00700890">
        <w:t>strong</w:t>
      </w:r>
      <w:r w:rsidR="007C32B2" w:rsidRPr="0063323F">
        <w:t xml:space="preserve"> by the ADI</w:t>
      </w:r>
      <w:r w:rsidR="00A81B7D">
        <w:t>; or</w:t>
      </w:r>
    </w:p>
    <w:p w14:paraId="70021646" w14:textId="3E1A3DC5" w:rsidR="00EC5F50" w:rsidRPr="00332E60" w:rsidRDefault="43F951E4" w:rsidP="00E42766">
      <w:pPr>
        <w:pStyle w:val="BodyText2"/>
      </w:pPr>
      <w:r>
        <w:t>t</w:t>
      </w:r>
      <w:r w:rsidR="39E1214F">
        <w:t>he borrower’s revenue is subject to rate-of-return regulation and the ADI deems the operation to be a natural monopoly within the service region with high barriers to entry for an alternative supplier.</w:t>
      </w:r>
      <w:bookmarkEnd w:id="51"/>
    </w:p>
    <w:p w14:paraId="0AE5AD96" w14:textId="03B187CF" w:rsidR="00F13F4D" w:rsidRPr="006363EE" w:rsidRDefault="00DB7B98" w:rsidP="00E42766">
      <w:pPr>
        <w:pStyle w:val="BodyText1"/>
      </w:pPr>
      <w:bookmarkStart w:id="52" w:name="_Ref83831053"/>
      <w:r w:rsidRPr="00332E60">
        <w:t>Where a</w:t>
      </w:r>
      <w:r w:rsidR="00F13F4D" w:rsidRPr="00332E60">
        <w:t xml:space="preserve">n ADI </w:t>
      </w:r>
      <w:bookmarkStart w:id="53" w:name="_Ref83385307"/>
      <w:bookmarkStart w:id="54" w:name="_Ref83387888"/>
      <w:bookmarkEnd w:id="48"/>
      <w:r w:rsidR="003E2A3A" w:rsidRPr="00332E60">
        <w:t>applies</w:t>
      </w:r>
      <w:r w:rsidR="00EC4F37" w:rsidRPr="00332E60">
        <w:t xml:space="preserve"> </w:t>
      </w:r>
      <w:r w:rsidR="00F13F4D" w:rsidRPr="00332E60">
        <w:t>the FIRB approach</w:t>
      </w:r>
      <w:r w:rsidRPr="00332E60">
        <w:t>, it</w:t>
      </w:r>
      <w:r w:rsidR="00F13F4D" w:rsidRPr="00332E60">
        <w:t xml:space="preserve"> may </w:t>
      </w:r>
      <w:r w:rsidR="00EC4F37" w:rsidRPr="00332E60">
        <w:t>use</w:t>
      </w:r>
      <w:r w:rsidR="00F13F4D" w:rsidRPr="00332E60">
        <w:t xml:space="preserve"> the supervisory LGD estimates and </w:t>
      </w:r>
      <w:r w:rsidR="00C4242E" w:rsidRPr="00332E60">
        <w:t xml:space="preserve">collateral </w:t>
      </w:r>
      <w:r w:rsidR="00F13F4D" w:rsidRPr="00332E60">
        <w:t xml:space="preserve">haircuts detailed in </w:t>
      </w:r>
      <w:bookmarkEnd w:id="53"/>
      <w:r w:rsidR="008243C5" w:rsidRPr="00332E60">
        <w:fldChar w:fldCharType="begin"/>
      </w:r>
      <w:r w:rsidR="008243C5" w:rsidRPr="00332E60">
        <w:instrText xml:space="preserve"> REF _Ref83926841 \r \h </w:instrText>
      </w:r>
      <w:r w:rsidR="00332E60">
        <w:instrText xml:space="preserve"> \* MERGEFORMAT </w:instrText>
      </w:r>
      <w:r w:rsidR="008243C5" w:rsidRPr="00332E60">
        <w:fldChar w:fldCharType="separate"/>
      </w:r>
      <w:r w:rsidR="00550C88">
        <w:t>Table 4</w:t>
      </w:r>
      <w:r w:rsidR="008243C5" w:rsidRPr="00332E60">
        <w:fldChar w:fldCharType="end"/>
      </w:r>
      <w:r w:rsidR="008243C5" w:rsidRPr="00332E60">
        <w:t xml:space="preserve"> </w:t>
      </w:r>
      <w:r w:rsidR="00B16456" w:rsidRPr="00332E60">
        <w:t xml:space="preserve">as inputs to the LGD </w:t>
      </w:r>
      <w:r w:rsidR="00B16456" w:rsidRPr="00332E60">
        <w:lastRenderedPageBreak/>
        <w:t>calculation for</w:t>
      </w:r>
      <w:r w:rsidR="007F0920" w:rsidRPr="00332E60">
        <w:t xml:space="preserve"> </w:t>
      </w:r>
      <w:r w:rsidR="005240CA" w:rsidRPr="00332E60">
        <w:t>senior exposures that are not secured by eligible collateral but have</w:t>
      </w:r>
      <w:r w:rsidR="00C963E6" w:rsidRPr="00332E60">
        <w:t xml:space="preserve"> </w:t>
      </w:r>
      <w:r w:rsidR="00B72740" w:rsidRPr="00332E60">
        <w:t>eligible recovery value</w:t>
      </w:r>
      <w:r w:rsidR="008152FE" w:rsidRPr="00332E60">
        <w:t>.</w:t>
      </w:r>
      <w:bookmarkEnd w:id="54"/>
      <w:r w:rsidR="008152FE" w:rsidRPr="00332E60">
        <w:t xml:space="preserve"> </w:t>
      </w:r>
      <w:r w:rsidR="009738EF" w:rsidRPr="006E1333">
        <w:t xml:space="preserve">To qualify, the ADI must have a perfected security interest in the collateral. </w:t>
      </w:r>
      <w:r w:rsidR="00B16456" w:rsidRPr="00332E60">
        <w:t>The LGD must be calculated in accordance with</w:t>
      </w:r>
      <w:r w:rsidR="008C5F15" w:rsidRPr="00332E60">
        <w:t xml:space="preserve"> the methodology detailed in</w:t>
      </w:r>
      <w:r w:rsidR="00B16456" w:rsidRPr="00332E60">
        <w:t xml:space="preserve"> paragraph </w:t>
      </w:r>
      <w:r w:rsidR="00B16456" w:rsidRPr="00332E60">
        <w:fldChar w:fldCharType="begin"/>
      </w:r>
      <w:r w:rsidR="00B16456" w:rsidRPr="00332E60">
        <w:instrText xml:space="preserve"> REF _Ref34378727 \r \h </w:instrText>
      </w:r>
      <w:r w:rsidR="00332E60">
        <w:instrText xml:space="preserve"> \* MERGEFORMAT </w:instrText>
      </w:r>
      <w:r w:rsidR="00B16456" w:rsidRPr="00332E60">
        <w:fldChar w:fldCharType="separate"/>
      </w:r>
      <w:r w:rsidR="00550C88">
        <w:t>16</w:t>
      </w:r>
      <w:r w:rsidR="00B16456" w:rsidRPr="00332E60">
        <w:fldChar w:fldCharType="end"/>
      </w:r>
      <w:r w:rsidR="006D492A">
        <w:t xml:space="preserve"> to </w:t>
      </w:r>
      <w:r w:rsidR="006D492A">
        <w:fldChar w:fldCharType="begin"/>
      </w:r>
      <w:r w:rsidR="006D492A">
        <w:instrText xml:space="preserve"> REF _Ref88498768 \r \h </w:instrText>
      </w:r>
      <w:r w:rsidR="006D492A">
        <w:fldChar w:fldCharType="separate"/>
      </w:r>
      <w:r w:rsidR="00550C88">
        <w:t>18</w:t>
      </w:r>
      <w:r w:rsidR="006D492A">
        <w:fldChar w:fldCharType="end"/>
      </w:r>
      <w:r w:rsidR="00B16456" w:rsidRPr="00332E60">
        <w:t xml:space="preserve"> of this Attachment</w:t>
      </w:r>
      <w:r w:rsidR="00701932" w:rsidRPr="00332E60">
        <w:t>,</w:t>
      </w:r>
      <w:r w:rsidR="00B16456" w:rsidRPr="00332E60">
        <w:t xml:space="preserve"> </w:t>
      </w:r>
      <w:r w:rsidR="008C5F15" w:rsidRPr="00332E60">
        <w:t>where</w:t>
      </w:r>
      <w:r w:rsidR="00B16456" w:rsidRPr="00332E60">
        <w:t xml:space="preserve"> </w:t>
      </w:r>
      <w:r w:rsidR="008C5F15" w:rsidRPr="00332E60">
        <w:t>the LGD</w:t>
      </w:r>
      <w:r w:rsidR="00701932" w:rsidRPr="00332E60">
        <w:t xml:space="preserve"> for the </w:t>
      </w:r>
      <w:r w:rsidR="00701932" w:rsidRPr="006363EE">
        <w:t xml:space="preserve">secured portion </w:t>
      </w:r>
      <w:r w:rsidR="00135201" w:rsidRPr="006363EE">
        <w:t>(</w:t>
      </w:r>
      <w:proofErr w:type="spellStart"/>
      <w:r w:rsidR="00135201" w:rsidRPr="006363EE">
        <w:rPr>
          <w:i/>
        </w:rPr>
        <w:t>LGD</w:t>
      </w:r>
      <w:r w:rsidR="00135201" w:rsidRPr="006363EE">
        <w:rPr>
          <w:i/>
          <w:vertAlign w:val="subscript"/>
        </w:rPr>
        <w:t>Si</w:t>
      </w:r>
      <w:proofErr w:type="spellEnd"/>
      <w:r w:rsidR="00135201" w:rsidRPr="006363EE">
        <w:t>)</w:t>
      </w:r>
      <w:r w:rsidR="00701932" w:rsidRPr="006363EE">
        <w:t xml:space="preserve"> is </w:t>
      </w:r>
      <w:r w:rsidR="00EC4F37" w:rsidRPr="006363EE">
        <w:t>as specified</w:t>
      </w:r>
      <w:r w:rsidR="00701932" w:rsidRPr="006363EE">
        <w:t xml:space="preserve"> in </w:t>
      </w:r>
      <w:r w:rsidR="008243C5" w:rsidRPr="006363EE">
        <w:fldChar w:fldCharType="begin"/>
      </w:r>
      <w:r w:rsidR="008243C5" w:rsidRPr="006363EE">
        <w:instrText xml:space="preserve"> REF _Ref83926841 \r \h </w:instrText>
      </w:r>
      <w:r w:rsidR="00332E60" w:rsidRPr="006363EE">
        <w:instrText xml:space="preserve"> \* MERGEFORMAT </w:instrText>
      </w:r>
      <w:r w:rsidR="008243C5" w:rsidRPr="006363EE">
        <w:fldChar w:fldCharType="separate"/>
      </w:r>
      <w:r w:rsidR="00550C88">
        <w:t>Table 4</w:t>
      </w:r>
      <w:r w:rsidR="008243C5" w:rsidRPr="006363EE">
        <w:fldChar w:fldCharType="end"/>
      </w:r>
      <w:r w:rsidR="008243C5" w:rsidRPr="006363EE">
        <w:t xml:space="preserve"> </w:t>
      </w:r>
      <w:r w:rsidR="00701932" w:rsidRPr="006363EE">
        <w:t>and the LGD</w:t>
      </w:r>
      <w:r w:rsidR="008C5F15" w:rsidRPr="006363EE">
        <w:t xml:space="preserve"> for the</w:t>
      </w:r>
      <w:r w:rsidR="00B16456" w:rsidRPr="006363EE">
        <w:t xml:space="preserve"> unsecured </w:t>
      </w:r>
      <w:r w:rsidR="008C5F15" w:rsidRPr="006363EE">
        <w:t>portion</w:t>
      </w:r>
      <w:r w:rsidR="00701932" w:rsidRPr="006363EE">
        <w:t xml:space="preserve"> </w:t>
      </w:r>
      <w:r w:rsidR="00135201" w:rsidRPr="006363EE">
        <w:t>(</w:t>
      </w:r>
      <w:r w:rsidR="00135201" w:rsidRPr="006363EE">
        <w:rPr>
          <w:i/>
        </w:rPr>
        <w:t>LGD</w:t>
      </w:r>
      <w:r w:rsidR="00135201" w:rsidRPr="006363EE">
        <w:rPr>
          <w:i/>
          <w:vertAlign w:val="subscript"/>
        </w:rPr>
        <w:t>U</w:t>
      </w:r>
      <w:r w:rsidR="00135201" w:rsidRPr="006363EE">
        <w:t xml:space="preserve">) </w:t>
      </w:r>
      <w:r w:rsidR="00701932" w:rsidRPr="006363EE">
        <w:t>is</w:t>
      </w:r>
      <w:r w:rsidR="00EC4F37" w:rsidRPr="006363EE">
        <w:t xml:space="preserve"> as</w:t>
      </w:r>
      <w:r w:rsidR="00B16456" w:rsidRPr="006363EE">
        <w:t xml:space="preserve"> </w:t>
      </w:r>
      <w:r w:rsidR="00EC4F37" w:rsidRPr="006363EE">
        <w:t>specified</w:t>
      </w:r>
      <w:r w:rsidR="00B16456" w:rsidRPr="006363EE">
        <w:t xml:space="preserve"> in paragraph</w:t>
      </w:r>
      <w:r w:rsidR="008C5F15" w:rsidRPr="006363EE">
        <w:t xml:space="preserve"> </w:t>
      </w:r>
      <w:r w:rsidR="005434AF" w:rsidRPr="006363EE">
        <w:fldChar w:fldCharType="begin"/>
      </w:r>
      <w:r w:rsidR="005434AF" w:rsidRPr="006363EE">
        <w:instrText xml:space="preserve"> REF _Ref34377143 \r \h </w:instrText>
      </w:r>
      <w:r w:rsidR="00332E60" w:rsidRPr="006363EE">
        <w:instrText xml:space="preserve"> \* MERGEFORMAT </w:instrText>
      </w:r>
      <w:r w:rsidR="005434AF" w:rsidRPr="006363EE">
        <w:fldChar w:fldCharType="separate"/>
      </w:r>
      <w:r w:rsidR="00550C88">
        <w:t>8</w:t>
      </w:r>
      <w:r w:rsidR="005434AF" w:rsidRPr="006363EE">
        <w:fldChar w:fldCharType="end"/>
      </w:r>
      <w:r w:rsidR="008C5F15" w:rsidRPr="006363EE">
        <w:t xml:space="preserve"> </w:t>
      </w:r>
      <w:r w:rsidR="00423701" w:rsidRPr="006363EE">
        <w:t>o</w:t>
      </w:r>
      <w:r w:rsidR="008C5F15" w:rsidRPr="006363EE">
        <w:t>f this Attachment.</w:t>
      </w:r>
      <w:bookmarkEnd w:id="52"/>
      <w:r w:rsidR="008C5F15" w:rsidRPr="006363EE">
        <w:t xml:space="preserve"> </w:t>
      </w:r>
    </w:p>
    <w:p w14:paraId="5D387766" w14:textId="56FCDAD6" w:rsidR="00264D69" w:rsidRPr="006363EE" w:rsidRDefault="00B72FF3" w:rsidP="0030110C">
      <w:pPr>
        <w:pStyle w:val="TableHeadNumber"/>
      </w:pPr>
      <w:r w:rsidRPr="006363EE">
        <w:tab/>
      </w:r>
      <w:bookmarkStart w:id="55" w:name="_Ref83926841"/>
      <w:r w:rsidR="008152FE" w:rsidRPr="006363EE">
        <w:t xml:space="preserve">Supervisory LGD estimates and </w:t>
      </w:r>
      <w:r w:rsidR="00C4242E" w:rsidRPr="006363EE">
        <w:t xml:space="preserve">collateral </w:t>
      </w:r>
      <w:r w:rsidR="008152FE" w:rsidRPr="006363EE">
        <w:t>haircuts for exposures with eligible recovery value</w:t>
      </w:r>
      <w:bookmarkEnd w:id="55"/>
    </w:p>
    <w:tbl>
      <w:tblPr>
        <w:tblStyle w:val="TableGrid"/>
        <w:tblW w:w="0" w:type="auto"/>
        <w:tblLook w:val="04A0" w:firstRow="1" w:lastRow="0" w:firstColumn="1" w:lastColumn="0" w:noHBand="0" w:noVBand="1"/>
      </w:tblPr>
      <w:tblGrid>
        <w:gridCol w:w="4673"/>
        <w:gridCol w:w="1843"/>
        <w:gridCol w:w="1786"/>
      </w:tblGrid>
      <w:tr w:rsidR="00D644CE" w:rsidRPr="006363EE" w14:paraId="7862F48E" w14:textId="77777777" w:rsidTr="009738EF">
        <w:tc>
          <w:tcPr>
            <w:tcW w:w="4673" w:type="dxa"/>
          </w:tcPr>
          <w:p w14:paraId="4F4EFA3A" w14:textId="77777777" w:rsidR="00D644CE" w:rsidRPr="006363EE" w:rsidRDefault="00D644CE" w:rsidP="00877EAB">
            <w:pPr>
              <w:keepNext/>
              <w:spacing w:before="60" w:after="60"/>
            </w:pPr>
          </w:p>
        </w:tc>
        <w:tc>
          <w:tcPr>
            <w:tcW w:w="1843" w:type="dxa"/>
            <w:vAlign w:val="center"/>
          </w:tcPr>
          <w:p w14:paraId="06AAE0ED" w14:textId="77777777" w:rsidR="00282C4E" w:rsidRPr="006363EE" w:rsidRDefault="00D644CE" w:rsidP="00877EAB">
            <w:pPr>
              <w:keepNext/>
              <w:spacing w:before="60" w:after="60"/>
              <w:jc w:val="center"/>
              <w:rPr>
                <w:b/>
              </w:rPr>
            </w:pPr>
            <w:r w:rsidRPr="006363EE">
              <w:rPr>
                <w:b/>
              </w:rPr>
              <w:t xml:space="preserve">LGD </w:t>
            </w:r>
          </w:p>
          <w:p w14:paraId="23E2521F" w14:textId="61FECA7C" w:rsidR="00D644CE" w:rsidRPr="006363EE" w:rsidRDefault="00D644CE" w:rsidP="00877EAB">
            <w:pPr>
              <w:keepNext/>
              <w:spacing w:before="60" w:after="60"/>
              <w:jc w:val="center"/>
              <w:rPr>
                <w:b/>
              </w:rPr>
            </w:pPr>
            <w:r w:rsidRPr="006363EE">
              <w:rPr>
                <w:b/>
              </w:rPr>
              <w:t>(%)</w:t>
            </w:r>
          </w:p>
        </w:tc>
        <w:tc>
          <w:tcPr>
            <w:tcW w:w="1786" w:type="dxa"/>
            <w:vAlign w:val="center"/>
          </w:tcPr>
          <w:p w14:paraId="1C1705C7" w14:textId="77777777" w:rsidR="00282C4E" w:rsidRPr="006363EE" w:rsidRDefault="00282C4E" w:rsidP="00877EAB">
            <w:pPr>
              <w:keepNext/>
              <w:spacing w:before="60" w:after="60"/>
              <w:jc w:val="center"/>
              <w:rPr>
                <w:b/>
              </w:rPr>
            </w:pPr>
            <w:r w:rsidRPr="006363EE">
              <w:rPr>
                <w:b/>
              </w:rPr>
              <w:t>H</w:t>
            </w:r>
            <w:r w:rsidRPr="006363EE">
              <w:rPr>
                <w:b/>
                <w:i/>
                <w:vertAlign w:val="subscript"/>
              </w:rPr>
              <w:t>C</w:t>
            </w:r>
            <w:r w:rsidRPr="006363EE">
              <w:rPr>
                <w:b/>
              </w:rPr>
              <w:t xml:space="preserve"> </w:t>
            </w:r>
          </w:p>
          <w:p w14:paraId="3C753AF1" w14:textId="2F744F68" w:rsidR="00D644CE" w:rsidRPr="006363EE" w:rsidRDefault="00282C4E" w:rsidP="00877EAB">
            <w:pPr>
              <w:keepNext/>
              <w:spacing w:before="60" w:after="60"/>
              <w:jc w:val="center"/>
              <w:rPr>
                <w:b/>
              </w:rPr>
            </w:pPr>
            <w:r w:rsidRPr="006363EE">
              <w:rPr>
                <w:b/>
              </w:rPr>
              <w:t>(%)</w:t>
            </w:r>
          </w:p>
        </w:tc>
      </w:tr>
      <w:tr w:rsidR="006E1333" w:rsidRPr="006E1333" w14:paraId="338CC8D2" w14:textId="77777777" w:rsidTr="009738EF">
        <w:tc>
          <w:tcPr>
            <w:tcW w:w="4673" w:type="dxa"/>
          </w:tcPr>
          <w:p w14:paraId="738E3A9E" w14:textId="0DC21D06" w:rsidR="008C087A" w:rsidRPr="006363EE" w:rsidRDefault="008C087A" w:rsidP="00877EAB">
            <w:pPr>
              <w:keepNext/>
              <w:spacing w:before="60" w:after="60"/>
            </w:pPr>
            <w:r w:rsidRPr="006363EE">
              <w:rPr>
                <w:b/>
              </w:rPr>
              <w:t>Physical collateral that does not meet the minimum requirements detailed in Attachment E to this Prudential Standard</w:t>
            </w:r>
          </w:p>
        </w:tc>
        <w:tc>
          <w:tcPr>
            <w:tcW w:w="1843" w:type="dxa"/>
            <w:vMerge w:val="restart"/>
            <w:vAlign w:val="center"/>
          </w:tcPr>
          <w:p w14:paraId="1970480C" w14:textId="77777777" w:rsidR="008C087A" w:rsidRPr="006E1333" w:rsidRDefault="008C087A" w:rsidP="00877EAB">
            <w:pPr>
              <w:keepNext/>
              <w:spacing w:before="60" w:after="60"/>
              <w:jc w:val="center"/>
            </w:pPr>
            <w:r w:rsidRPr="006E1333">
              <w:t>Corporate: 40</w:t>
            </w:r>
          </w:p>
          <w:p w14:paraId="326BC658" w14:textId="0388ABBC" w:rsidR="008C087A" w:rsidRPr="006E1333" w:rsidRDefault="008C087A" w:rsidP="00877EAB">
            <w:pPr>
              <w:keepNext/>
              <w:spacing w:before="60" w:after="60"/>
              <w:jc w:val="center"/>
              <w:rPr>
                <w:b/>
              </w:rPr>
            </w:pPr>
            <w:r w:rsidRPr="006E1333">
              <w:t>Sovereign or financial institution: 45</w:t>
            </w:r>
          </w:p>
        </w:tc>
        <w:tc>
          <w:tcPr>
            <w:tcW w:w="1786" w:type="dxa"/>
            <w:vMerge w:val="restart"/>
            <w:vAlign w:val="center"/>
          </w:tcPr>
          <w:p w14:paraId="6BA4FD0D" w14:textId="6EA13D27" w:rsidR="008C087A" w:rsidRPr="006E1333" w:rsidRDefault="008C087A" w:rsidP="00877EAB">
            <w:pPr>
              <w:keepNext/>
              <w:spacing w:before="60" w:after="60"/>
              <w:jc w:val="center"/>
              <w:rPr>
                <w:b/>
              </w:rPr>
            </w:pPr>
            <w:r w:rsidRPr="006E1333">
              <w:t>40</w:t>
            </w:r>
          </w:p>
        </w:tc>
      </w:tr>
      <w:tr w:rsidR="006E1333" w:rsidRPr="006E1333" w14:paraId="4DCC54C2" w14:textId="77777777" w:rsidTr="00877EAB">
        <w:tc>
          <w:tcPr>
            <w:tcW w:w="4673" w:type="dxa"/>
            <w:vAlign w:val="center"/>
          </w:tcPr>
          <w:p w14:paraId="074CF6F5" w14:textId="75C08179" w:rsidR="008C087A" w:rsidRPr="006363EE" w:rsidRDefault="008C087A" w:rsidP="00877EAB">
            <w:pPr>
              <w:keepNext/>
              <w:spacing w:before="60" w:after="60"/>
              <w:rPr>
                <w:b/>
              </w:rPr>
            </w:pPr>
            <w:r w:rsidRPr="006363EE">
              <w:rPr>
                <w:b/>
              </w:rPr>
              <w:t>Australian water entitlements</w:t>
            </w:r>
          </w:p>
        </w:tc>
        <w:tc>
          <w:tcPr>
            <w:tcW w:w="1843" w:type="dxa"/>
            <w:vMerge/>
            <w:vAlign w:val="center"/>
          </w:tcPr>
          <w:p w14:paraId="2EAAC2C9" w14:textId="06274EBE" w:rsidR="008C087A" w:rsidRPr="006363EE" w:rsidRDefault="008C087A" w:rsidP="00877EAB">
            <w:pPr>
              <w:keepNext/>
              <w:spacing w:before="60" w:after="60"/>
              <w:jc w:val="center"/>
            </w:pPr>
          </w:p>
        </w:tc>
        <w:tc>
          <w:tcPr>
            <w:tcW w:w="1786" w:type="dxa"/>
            <w:vMerge/>
            <w:vAlign w:val="center"/>
          </w:tcPr>
          <w:p w14:paraId="67FF722F" w14:textId="155FDA6A" w:rsidR="008C087A" w:rsidRPr="006E1333" w:rsidRDefault="008C087A" w:rsidP="00877EAB">
            <w:pPr>
              <w:keepNext/>
              <w:spacing w:before="60" w:after="60"/>
              <w:jc w:val="center"/>
            </w:pPr>
          </w:p>
        </w:tc>
      </w:tr>
      <w:tr w:rsidR="008C087A" w14:paraId="1F228085" w14:textId="77777777" w:rsidTr="009738EF">
        <w:tc>
          <w:tcPr>
            <w:tcW w:w="4673" w:type="dxa"/>
            <w:vAlign w:val="center"/>
          </w:tcPr>
          <w:p w14:paraId="32DC6E98" w14:textId="3CB2452C" w:rsidR="008C087A" w:rsidRPr="00900E8E" w:rsidRDefault="008C087A" w:rsidP="00877EAB">
            <w:pPr>
              <w:keepNext/>
              <w:spacing w:before="60" w:after="60"/>
              <w:rPr>
                <w:b/>
              </w:rPr>
            </w:pPr>
            <w:r>
              <w:rPr>
                <w:b/>
              </w:rPr>
              <w:t>Carbon credits or allowances</w:t>
            </w:r>
          </w:p>
        </w:tc>
        <w:tc>
          <w:tcPr>
            <w:tcW w:w="1843" w:type="dxa"/>
            <w:vMerge/>
            <w:vAlign w:val="center"/>
          </w:tcPr>
          <w:p w14:paraId="4D8B8812" w14:textId="04B2D68D" w:rsidR="008C087A" w:rsidRDefault="008C087A" w:rsidP="00877EAB">
            <w:pPr>
              <w:keepNext/>
              <w:spacing w:before="60" w:after="60"/>
              <w:jc w:val="center"/>
            </w:pPr>
          </w:p>
        </w:tc>
        <w:tc>
          <w:tcPr>
            <w:tcW w:w="1786" w:type="dxa"/>
            <w:vMerge/>
            <w:vAlign w:val="center"/>
          </w:tcPr>
          <w:p w14:paraId="7CF005FC" w14:textId="71D1478D" w:rsidR="008C087A" w:rsidRDefault="008C087A" w:rsidP="00877EAB">
            <w:pPr>
              <w:keepNext/>
              <w:spacing w:before="60" w:after="60"/>
              <w:jc w:val="center"/>
            </w:pPr>
          </w:p>
        </w:tc>
      </w:tr>
    </w:tbl>
    <w:p w14:paraId="74BCF471" w14:textId="1B454048" w:rsidR="001E74B4" w:rsidDel="009024DC" w:rsidRDefault="001E74B4" w:rsidP="009024DC">
      <w:pPr>
        <w:pStyle w:val="BodyText1"/>
        <w:numPr>
          <w:ilvl w:val="0"/>
          <w:numId w:val="0"/>
        </w:numPr>
        <w:ind w:left="567" w:hanging="567"/>
      </w:pPr>
    </w:p>
    <w:p w14:paraId="4ABFBDA2" w14:textId="248379D8" w:rsidR="00404C4E" w:rsidRPr="00571D86" w:rsidRDefault="00404C4E" w:rsidP="005C12DA">
      <w:pPr>
        <w:pStyle w:val="Heading3"/>
      </w:pPr>
      <w:r w:rsidRPr="00B72F42">
        <w:t>Senior unsecu</w:t>
      </w:r>
      <w:r w:rsidRPr="006B6486">
        <w:t>red</w:t>
      </w:r>
      <w:r w:rsidRPr="00E45BF8">
        <w:t xml:space="preserve"> exposures under the AIRB approach</w:t>
      </w:r>
    </w:p>
    <w:p w14:paraId="0C435374" w14:textId="47035399" w:rsidR="00EB5C67" w:rsidRDefault="00EB5C67" w:rsidP="00637901">
      <w:pPr>
        <w:pStyle w:val="BodyText1"/>
      </w:pPr>
      <w:bookmarkStart w:id="56" w:name="_Ref34384133"/>
      <w:r>
        <w:t xml:space="preserve">An ADI </w:t>
      </w:r>
      <w:r w:rsidR="006A45AE">
        <w:t>that</w:t>
      </w:r>
      <w:r>
        <w:t xml:space="preserve"> uses the AIRB approach must apply a 50 per cent LGD to all senior unsecured exposures</w:t>
      </w:r>
      <w:r w:rsidR="00F256DD">
        <w:t>,</w:t>
      </w:r>
      <w:r w:rsidR="00CB1B23">
        <w:t xml:space="preserve"> </w:t>
      </w:r>
      <w:r w:rsidR="00F256DD">
        <w:t>except in the case o</w:t>
      </w:r>
      <w:r w:rsidR="00CB1B23">
        <w:t xml:space="preserve">f </w:t>
      </w:r>
      <w:r w:rsidR="00F256DD">
        <w:t xml:space="preserve">senior </w:t>
      </w:r>
      <w:r w:rsidR="00CB1B23">
        <w:t xml:space="preserve">exposures to </w:t>
      </w:r>
      <w:r w:rsidR="00367464">
        <w:t xml:space="preserve">borrowers that </w:t>
      </w:r>
      <w:r w:rsidR="00CB1B23">
        <w:t>operat</w:t>
      </w:r>
      <w:r w:rsidR="00367464">
        <w:t>e</w:t>
      </w:r>
      <w:r w:rsidR="00CB1B23">
        <w:t xml:space="preserve"> large </w:t>
      </w:r>
      <w:r w:rsidR="00367464">
        <w:t xml:space="preserve">domestic </w:t>
      </w:r>
      <w:r w:rsidR="00CB1B23">
        <w:t xml:space="preserve">public infrastructure assets or utilities that </w:t>
      </w:r>
      <w:r w:rsidR="009521F6">
        <w:t xml:space="preserve">meet the requirements detailed in paragraph </w:t>
      </w:r>
      <w:r w:rsidR="009521F6">
        <w:fldChar w:fldCharType="begin"/>
      </w:r>
      <w:r w:rsidR="009521F6">
        <w:instrText xml:space="preserve"> REF _Ref107569277 \r \h </w:instrText>
      </w:r>
      <w:r w:rsidR="009521F6">
        <w:fldChar w:fldCharType="separate"/>
      </w:r>
      <w:r w:rsidR="00550C88">
        <w:t>10</w:t>
      </w:r>
      <w:r w:rsidR="009521F6">
        <w:fldChar w:fldCharType="end"/>
      </w:r>
      <w:r w:rsidR="00CB1B23">
        <w:t xml:space="preserve"> </w:t>
      </w:r>
      <w:r w:rsidR="009521F6">
        <w:t xml:space="preserve">of this Attachment </w:t>
      </w:r>
      <w:r w:rsidR="00CB1B23">
        <w:t>where the ADI may apply a 25 per cent LGD</w:t>
      </w:r>
      <w:r>
        <w:t xml:space="preserve">. </w:t>
      </w:r>
      <w:r w:rsidR="00B65310">
        <w:t>T</w:t>
      </w:r>
      <w:r w:rsidR="003269C7">
        <w:t xml:space="preserve">he </w:t>
      </w:r>
      <w:r>
        <w:t>ADI must have a documented policy that details its definition of a</w:t>
      </w:r>
      <w:r w:rsidR="004D2607">
        <w:t xml:space="preserve"> senior</w:t>
      </w:r>
      <w:r>
        <w:t xml:space="preserve"> unsecured exposure.</w:t>
      </w:r>
      <w:bookmarkEnd w:id="56"/>
      <w:r>
        <w:t xml:space="preserve"> </w:t>
      </w:r>
    </w:p>
    <w:p w14:paraId="7245104E" w14:textId="31665E34" w:rsidR="00141E0C" w:rsidRDefault="00141E0C" w:rsidP="00413607">
      <w:pPr>
        <w:pStyle w:val="Heading3"/>
      </w:pPr>
      <w:r>
        <w:t xml:space="preserve">Subordinated </w:t>
      </w:r>
      <w:r w:rsidR="007B7B18">
        <w:t>debt</w:t>
      </w:r>
    </w:p>
    <w:p w14:paraId="6D07413D" w14:textId="1A3C7757" w:rsidR="00141E0C" w:rsidRPr="009D6888" w:rsidRDefault="00141E0C" w:rsidP="00141E0C">
      <w:pPr>
        <w:pStyle w:val="BodyText1"/>
      </w:pPr>
      <w:bookmarkStart w:id="57" w:name="_Hlk55826419"/>
      <w:bookmarkStart w:id="58" w:name="_Ref34377146"/>
      <w:r w:rsidRPr="009D6888">
        <w:t xml:space="preserve">An ADI must assign a 75 per cent LGD to </w:t>
      </w:r>
      <w:r w:rsidR="007F72D5">
        <w:t xml:space="preserve">all </w:t>
      </w:r>
      <w:r w:rsidRPr="009D6888">
        <w:t xml:space="preserve">subordinated </w:t>
      </w:r>
      <w:r w:rsidR="007B7B18">
        <w:t>debt</w:t>
      </w:r>
      <w:r w:rsidR="007B1A93">
        <w:t>, aside from junior liens over commercial real estate or residential real estate that meet the eligibility criteria for recognition as eligible collateral as specified in Attachment E to this Prudential Standard.</w:t>
      </w:r>
      <w:r>
        <w:t xml:space="preserve"> </w:t>
      </w:r>
      <w:r w:rsidR="007B1A93">
        <w:t>T</w:t>
      </w:r>
      <w:r w:rsidR="003269C7">
        <w:t xml:space="preserve">he </w:t>
      </w:r>
      <w:r>
        <w:t>ADI must have a documented policy</w:t>
      </w:r>
      <w:r w:rsidR="00AF50B1">
        <w:t xml:space="preserve"> </w:t>
      </w:r>
      <w:r>
        <w:t>that details its definition of subordination. At a minimum, th</w:t>
      </w:r>
      <w:r w:rsidR="00014C31">
        <w:t>e definition</w:t>
      </w:r>
      <w:r>
        <w:t xml:space="preserve"> must include </w:t>
      </w:r>
      <w:r w:rsidR="009B0AB2">
        <w:t>any facility that is</w:t>
      </w:r>
      <w:r>
        <w:t xml:space="preserve"> expressly subordinated </w:t>
      </w:r>
      <w:r w:rsidR="009B0AB2">
        <w:t xml:space="preserve">to another facility </w:t>
      </w:r>
      <w:r w:rsidR="00DF00CC">
        <w:t xml:space="preserve">and </w:t>
      </w:r>
      <w:r w:rsidR="009B0AB2">
        <w:t>also address</w:t>
      </w:r>
      <w:r w:rsidR="00E67EFB">
        <w:t xml:space="preserve"> economic subordination</w:t>
      </w:r>
      <w:bookmarkEnd w:id="57"/>
      <w:r w:rsidR="00014C31">
        <w:t>.</w:t>
      </w:r>
      <w:bookmarkEnd w:id="58"/>
    </w:p>
    <w:p w14:paraId="0C9D0227" w14:textId="4ED8F600" w:rsidR="004472DD" w:rsidRDefault="00C934DC" w:rsidP="00413607">
      <w:pPr>
        <w:pStyle w:val="Heading3"/>
      </w:pPr>
      <w:r>
        <w:t xml:space="preserve">Exposures secured by eligible collateral </w:t>
      </w:r>
      <w:r w:rsidR="00FF04C4">
        <w:t>under the FIRB approach</w:t>
      </w:r>
    </w:p>
    <w:p w14:paraId="23AFE00D" w14:textId="331DF75E" w:rsidR="0069520C" w:rsidRDefault="00FF04C4" w:rsidP="00FF04C4">
      <w:pPr>
        <w:pStyle w:val="BodyText1"/>
      </w:pPr>
      <w:bookmarkStart w:id="59" w:name="_Ref34377171"/>
      <w:r w:rsidRPr="00FF04C4">
        <w:t xml:space="preserve">Where an ADI </w:t>
      </w:r>
      <w:r w:rsidR="00AB3723">
        <w:t>applies</w:t>
      </w:r>
      <w:r w:rsidRPr="00FF04C4">
        <w:t xml:space="preserve"> the FIRB approach, </w:t>
      </w:r>
      <w:r w:rsidR="00B51351">
        <w:t>it</w:t>
      </w:r>
      <w:r w:rsidRPr="00FF04C4">
        <w:t xml:space="preserve"> must use </w:t>
      </w:r>
      <w:r w:rsidR="00B51351">
        <w:t xml:space="preserve">the </w:t>
      </w:r>
      <w:r w:rsidRPr="00FF04C4">
        <w:t xml:space="preserve">supervisory </w:t>
      </w:r>
      <w:r w:rsidR="00AB3723">
        <w:t xml:space="preserve">LGD </w:t>
      </w:r>
      <w:r w:rsidRPr="00FF04C4">
        <w:t xml:space="preserve">estimates </w:t>
      </w:r>
      <w:r w:rsidR="00A030EA">
        <w:t>and collateral haircuts</w:t>
      </w:r>
      <w:r w:rsidRPr="00FF04C4">
        <w:t xml:space="preserve"> </w:t>
      </w:r>
      <w:r w:rsidR="00E11149">
        <w:t>detailed</w:t>
      </w:r>
      <w:r w:rsidR="00E11149" w:rsidRPr="00FF04C4">
        <w:t xml:space="preserve"> </w:t>
      </w:r>
      <w:r w:rsidR="00BF24AD">
        <w:t xml:space="preserve">in </w:t>
      </w:r>
      <w:r w:rsidR="00BF24AD">
        <w:fldChar w:fldCharType="begin"/>
      </w:r>
      <w:r w:rsidR="00BF24AD">
        <w:instrText xml:space="preserve"> REF _Ref34375614 \r \h </w:instrText>
      </w:r>
      <w:r w:rsidR="00BF24AD">
        <w:fldChar w:fldCharType="separate"/>
      </w:r>
      <w:r w:rsidR="00550C88">
        <w:t>Table 5</w:t>
      </w:r>
      <w:r w:rsidR="00BF24AD">
        <w:fldChar w:fldCharType="end"/>
      </w:r>
      <w:r w:rsidR="00F13F4D">
        <w:t xml:space="preserve"> </w:t>
      </w:r>
      <w:r w:rsidR="00782D6E">
        <w:t>as inputs to</w:t>
      </w:r>
      <w:r w:rsidR="007F0920">
        <w:t xml:space="preserve"> the LGD</w:t>
      </w:r>
      <w:r w:rsidR="00782D6E">
        <w:t xml:space="preserve"> calculation</w:t>
      </w:r>
      <w:r w:rsidR="007F0920">
        <w:t xml:space="preserve"> </w:t>
      </w:r>
      <w:r w:rsidR="00782D6E">
        <w:t>for</w:t>
      </w:r>
      <w:r w:rsidR="007F0920">
        <w:t xml:space="preserve"> exposures secured by eligible collateral</w:t>
      </w:r>
      <w:r w:rsidRPr="00FF04C4">
        <w:t>.</w:t>
      </w:r>
      <w:bookmarkEnd w:id="59"/>
      <w:r w:rsidR="0069520C">
        <w:t xml:space="preserve"> </w:t>
      </w:r>
    </w:p>
    <w:p w14:paraId="0DE0D512" w14:textId="5E164465" w:rsidR="00FF04C4" w:rsidRPr="00D644CE" w:rsidRDefault="00FF04C4" w:rsidP="00BF24AD">
      <w:pPr>
        <w:pStyle w:val="TableHeadNumber"/>
      </w:pPr>
      <w:bookmarkStart w:id="60" w:name="_Ref34375614"/>
      <w:r w:rsidRPr="008152FE">
        <w:lastRenderedPageBreak/>
        <w:t>Supervisory</w:t>
      </w:r>
      <w:r w:rsidR="00AB3723" w:rsidRPr="008152FE">
        <w:t xml:space="preserve"> LGD</w:t>
      </w:r>
      <w:r w:rsidRPr="008152FE">
        <w:t xml:space="preserve"> estimates </w:t>
      </w:r>
      <w:r w:rsidR="00230A23" w:rsidRPr="008152FE">
        <w:t>and collateral haircuts</w:t>
      </w:r>
      <w:bookmarkEnd w:id="60"/>
      <w:r w:rsidR="008152FE" w:rsidRPr="008152FE">
        <w:t xml:space="preserve"> for exposures</w:t>
      </w:r>
      <w:r w:rsidR="008152FE" w:rsidRPr="00264D69">
        <w:t xml:space="preserve"> secure</w:t>
      </w:r>
      <w:r w:rsidR="008152FE" w:rsidRPr="00D644CE">
        <w:t>d by eligible collateral</w:t>
      </w:r>
    </w:p>
    <w:tbl>
      <w:tblPr>
        <w:tblStyle w:val="TableGrid"/>
        <w:tblW w:w="0" w:type="auto"/>
        <w:tblLook w:val="04A0" w:firstRow="1" w:lastRow="0" w:firstColumn="1" w:lastColumn="0" w:noHBand="0" w:noVBand="1"/>
      </w:tblPr>
      <w:tblGrid>
        <w:gridCol w:w="4439"/>
        <w:gridCol w:w="1763"/>
        <w:gridCol w:w="2100"/>
      </w:tblGrid>
      <w:tr w:rsidR="00900E8E" w14:paraId="35146BB0" w14:textId="77777777" w:rsidTr="00240681">
        <w:tc>
          <w:tcPr>
            <w:tcW w:w="4439" w:type="dxa"/>
          </w:tcPr>
          <w:p w14:paraId="3D5626CB" w14:textId="77777777" w:rsidR="00900E8E" w:rsidRDefault="00900E8E" w:rsidP="00EB1F61">
            <w:pPr>
              <w:keepNext/>
              <w:spacing w:before="60" w:after="60"/>
            </w:pPr>
          </w:p>
        </w:tc>
        <w:tc>
          <w:tcPr>
            <w:tcW w:w="1763" w:type="dxa"/>
            <w:vAlign w:val="center"/>
          </w:tcPr>
          <w:p w14:paraId="2D1B0739" w14:textId="463DEC57" w:rsidR="00900E8E" w:rsidRPr="00900E8E" w:rsidRDefault="00900E8E" w:rsidP="00720911">
            <w:pPr>
              <w:keepNext/>
              <w:spacing w:before="60" w:after="60"/>
              <w:jc w:val="center"/>
              <w:rPr>
                <w:b/>
              </w:rPr>
            </w:pPr>
            <w:r w:rsidRPr="00900E8E">
              <w:rPr>
                <w:b/>
              </w:rPr>
              <w:t>LGD</w:t>
            </w:r>
            <w:r w:rsidR="009E3829">
              <w:rPr>
                <w:b/>
              </w:rPr>
              <w:t xml:space="preserve"> </w:t>
            </w:r>
            <w:r w:rsidRPr="00900E8E">
              <w:rPr>
                <w:b/>
              </w:rPr>
              <w:t>(%)</w:t>
            </w:r>
          </w:p>
        </w:tc>
        <w:tc>
          <w:tcPr>
            <w:tcW w:w="2100" w:type="dxa"/>
            <w:vAlign w:val="center"/>
          </w:tcPr>
          <w:p w14:paraId="00F0E882" w14:textId="5267C230" w:rsidR="00900E8E" w:rsidRPr="00900E8E" w:rsidRDefault="00900E8E" w:rsidP="00720911">
            <w:pPr>
              <w:keepNext/>
              <w:spacing w:before="60" w:after="60"/>
              <w:jc w:val="center"/>
              <w:rPr>
                <w:b/>
              </w:rPr>
            </w:pPr>
            <w:r w:rsidRPr="00900E8E">
              <w:rPr>
                <w:b/>
              </w:rPr>
              <w:t>H</w:t>
            </w:r>
            <w:r w:rsidR="00436327" w:rsidRPr="00436327">
              <w:rPr>
                <w:b/>
                <w:i/>
                <w:vertAlign w:val="subscript"/>
              </w:rPr>
              <w:t>C</w:t>
            </w:r>
            <w:r w:rsidR="009E3829">
              <w:rPr>
                <w:b/>
              </w:rPr>
              <w:t xml:space="preserve"> </w:t>
            </w:r>
            <w:r w:rsidRPr="00900E8E">
              <w:rPr>
                <w:b/>
              </w:rPr>
              <w:t>(%)</w:t>
            </w:r>
          </w:p>
        </w:tc>
      </w:tr>
      <w:tr w:rsidR="00900E8E" w14:paraId="1329E690" w14:textId="77777777" w:rsidTr="00240681">
        <w:tc>
          <w:tcPr>
            <w:tcW w:w="4439" w:type="dxa"/>
            <w:vAlign w:val="center"/>
          </w:tcPr>
          <w:p w14:paraId="6B741C12" w14:textId="219262D6" w:rsidR="00900E8E" w:rsidRPr="00900E8E" w:rsidRDefault="00900E8E" w:rsidP="00EB1F61">
            <w:pPr>
              <w:keepNext/>
              <w:spacing w:before="60" w:after="60"/>
              <w:rPr>
                <w:b/>
              </w:rPr>
            </w:pPr>
            <w:r w:rsidRPr="00900E8E">
              <w:rPr>
                <w:b/>
              </w:rPr>
              <w:t>Eligible financial collateral</w:t>
            </w:r>
          </w:p>
        </w:tc>
        <w:tc>
          <w:tcPr>
            <w:tcW w:w="1763" w:type="dxa"/>
            <w:vAlign w:val="center"/>
          </w:tcPr>
          <w:p w14:paraId="6065E1C6" w14:textId="31602117" w:rsidR="00900E8E" w:rsidRDefault="00900E8E" w:rsidP="00EB1F61">
            <w:pPr>
              <w:keepNext/>
              <w:spacing w:before="60" w:after="60"/>
              <w:jc w:val="center"/>
            </w:pPr>
            <w:r>
              <w:t>0</w:t>
            </w:r>
          </w:p>
        </w:tc>
        <w:tc>
          <w:tcPr>
            <w:tcW w:w="2100" w:type="dxa"/>
            <w:vAlign w:val="center"/>
          </w:tcPr>
          <w:p w14:paraId="3F935B7F" w14:textId="23EE55B6" w:rsidR="00900E8E" w:rsidRDefault="00900E8E" w:rsidP="00EB1F61">
            <w:pPr>
              <w:keepNext/>
              <w:spacing w:before="60" w:after="60"/>
              <w:jc w:val="center"/>
            </w:pPr>
            <w:r>
              <w:t>APS 112 comprehensive approach</w:t>
            </w:r>
          </w:p>
        </w:tc>
      </w:tr>
      <w:tr w:rsidR="00900E8E" w14:paraId="1871B083" w14:textId="77777777" w:rsidTr="00240681">
        <w:tc>
          <w:tcPr>
            <w:tcW w:w="4439" w:type="dxa"/>
            <w:vAlign w:val="center"/>
          </w:tcPr>
          <w:p w14:paraId="497EEA78" w14:textId="15DECD51" w:rsidR="00900E8E" w:rsidRPr="00900E8E" w:rsidRDefault="00900E8E" w:rsidP="00EB1F61">
            <w:pPr>
              <w:keepNext/>
              <w:spacing w:before="60" w:after="60"/>
              <w:rPr>
                <w:b/>
              </w:rPr>
            </w:pPr>
            <w:r w:rsidRPr="00900E8E">
              <w:rPr>
                <w:b/>
              </w:rPr>
              <w:t>Eligible receivables</w:t>
            </w:r>
          </w:p>
        </w:tc>
        <w:tc>
          <w:tcPr>
            <w:tcW w:w="1763" w:type="dxa"/>
            <w:vAlign w:val="center"/>
          </w:tcPr>
          <w:p w14:paraId="24F5D45D" w14:textId="24A332A8" w:rsidR="00900E8E" w:rsidRDefault="00900E8E" w:rsidP="00EB1F61">
            <w:pPr>
              <w:keepNext/>
              <w:spacing w:before="60" w:after="60"/>
              <w:jc w:val="center"/>
            </w:pPr>
            <w:r>
              <w:t>20</w:t>
            </w:r>
          </w:p>
        </w:tc>
        <w:tc>
          <w:tcPr>
            <w:tcW w:w="2100" w:type="dxa"/>
            <w:vAlign w:val="center"/>
          </w:tcPr>
          <w:p w14:paraId="05E0B44D" w14:textId="7C47B8E4" w:rsidR="00900E8E" w:rsidRDefault="00900E8E" w:rsidP="00EB1F61">
            <w:pPr>
              <w:keepNext/>
              <w:spacing w:before="60" w:after="60"/>
              <w:jc w:val="center"/>
            </w:pPr>
            <w:r>
              <w:t>40</w:t>
            </w:r>
          </w:p>
        </w:tc>
      </w:tr>
      <w:tr w:rsidR="00900E8E" w14:paraId="31377BC1" w14:textId="77777777" w:rsidTr="00240681">
        <w:tc>
          <w:tcPr>
            <w:tcW w:w="4439" w:type="dxa"/>
            <w:vAlign w:val="center"/>
          </w:tcPr>
          <w:p w14:paraId="5C8D5074" w14:textId="59CF779A" w:rsidR="00900E8E" w:rsidRPr="00900E8E" w:rsidRDefault="00900E8E" w:rsidP="00EB1F61">
            <w:pPr>
              <w:keepNext/>
              <w:spacing w:before="60" w:after="60"/>
              <w:rPr>
                <w:b/>
              </w:rPr>
            </w:pPr>
            <w:r w:rsidRPr="00900E8E">
              <w:rPr>
                <w:b/>
              </w:rPr>
              <w:t xml:space="preserve">Eligible residential real estate </w:t>
            </w:r>
            <w:r w:rsidR="000E1BD2">
              <w:rPr>
                <w:b/>
              </w:rPr>
              <w:t>or</w:t>
            </w:r>
            <w:r w:rsidRPr="00900E8E">
              <w:rPr>
                <w:b/>
              </w:rPr>
              <w:t xml:space="preserve"> commercial real estate</w:t>
            </w:r>
          </w:p>
        </w:tc>
        <w:tc>
          <w:tcPr>
            <w:tcW w:w="1763" w:type="dxa"/>
            <w:vAlign w:val="center"/>
          </w:tcPr>
          <w:p w14:paraId="34545B31" w14:textId="23DB2496" w:rsidR="00900E8E" w:rsidRDefault="00900E8E" w:rsidP="00EB1F61">
            <w:pPr>
              <w:keepNext/>
              <w:spacing w:before="60" w:after="60"/>
              <w:jc w:val="center"/>
            </w:pPr>
            <w:r>
              <w:t>20</w:t>
            </w:r>
          </w:p>
        </w:tc>
        <w:tc>
          <w:tcPr>
            <w:tcW w:w="2100" w:type="dxa"/>
            <w:vAlign w:val="center"/>
          </w:tcPr>
          <w:p w14:paraId="233B339B" w14:textId="668D06B3" w:rsidR="00900E8E" w:rsidRDefault="00900E8E" w:rsidP="00EB1F61">
            <w:pPr>
              <w:keepNext/>
              <w:spacing w:before="60" w:after="60"/>
              <w:jc w:val="center"/>
            </w:pPr>
            <w:r>
              <w:t>40</w:t>
            </w:r>
          </w:p>
        </w:tc>
      </w:tr>
      <w:tr w:rsidR="00900E8E" w14:paraId="5CA5C31C" w14:textId="77777777" w:rsidTr="00240681">
        <w:tc>
          <w:tcPr>
            <w:tcW w:w="4439" w:type="dxa"/>
            <w:vAlign w:val="center"/>
          </w:tcPr>
          <w:p w14:paraId="389368AA" w14:textId="589AA3CF" w:rsidR="00900E8E" w:rsidRPr="00900E8E" w:rsidRDefault="00900E8E" w:rsidP="00EB1F61">
            <w:pPr>
              <w:keepNext/>
              <w:spacing w:before="60" w:after="60"/>
              <w:rPr>
                <w:b/>
              </w:rPr>
            </w:pPr>
            <w:r w:rsidRPr="00900E8E">
              <w:rPr>
                <w:b/>
              </w:rPr>
              <w:t>Other eligible physical collateral</w:t>
            </w:r>
          </w:p>
        </w:tc>
        <w:tc>
          <w:tcPr>
            <w:tcW w:w="1763" w:type="dxa"/>
            <w:vAlign w:val="center"/>
          </w:tcPr>
          <w:p w14:paraId="0A231B87" w14:textId="095AFFC3" w:rsidR="00900E8E" w:rsidRDefault="0036556B" w:rsidP="00EB1F61">
            <w:pPr>
              <w:keepNext/>
              <w:spacing w:before="60" w:after="60"/>
              <w:jc w:val="center"/>
            </w:pPr>
            <w:r>
              <w:t>25</w:t>
            </w:r>
          </w:p>
        </w:tc>
        <w:tc>
          <w:tcPr>
            <w:tcW w:w="2100" w:type="dxa"/>
            <w:vAlign w:val="center"/>
          </w:tcPr>
          <w:p w14:paraId="7FE3AE61" w14:textId="4B46F53E" w:rsidR="00900E8E" w:rsidRDefault="00900E8E" w:rsidP="00EB1F61">
            <w:pPr>
              <w:keepNext/>
              <w:spacing w:before="60" w:after="60"/>
              <w:jc w:val="center"/>
            </w:pPr>
            <w:r>
              <w:t>40</w:t>
            </w:r>
          </w:p>
        </w:tc>
      </w:tr>
    </w:tbl>
    <w:p w14:paraId="75975450" w14:textId="77777777" w:rsidR="0069520C" w:rsidRDefault="0069520C" w:rsidP="0069520C">
      <w:pPr>
        <w:pStyle w:val="BodyText1"/>
        <w:numPr>
          <w:ilvl w:val="0"/>
          <w:numId w:val="0"/>
        </w:numPr>
      </w:pPr>
    </w:p>
    <w:p w14:paraId="61D205AC" w14:textId="2128216E" w:rsidR="0069520C" w:rsidRDefault="0069520C" w:rsidP="006A4E56">
      <w:pPr>
        <w:pStyle w:val="BodyText1"/>
      </w:pPr>
      <w:r>
        <w:t xml:space="preserve">For eligible financial collateral, an ADI must apply the haircuts calculated under the comprehensive approach as set out in Attachment G to APS 112. These haircuts must be adjusted for different holding periods and non-daily </w:t>
      </w:r>
      <w:proofErr w:type="spellStart"/>
      <w:r>
        <w:t>remargining</w:t>
      </w:r>
      <w:proofErr w:type="spellEnd"/>
      <w:r>
        <w:t xml:space="preserve"> or revaluation as detailed in that Attachment.</w:t>
      </w:r>
    </w:p>
    <w:p w14:paraId="55D95544" w14:textId="51DC65ED" w:rsidR="00FA39CB" w:rsidRDefault="00AD4F86" w:rsidP="00413607">
      <w:pPr>
        <w:pStyle w:val="Heading4"/>
      </w:pPr>
      <w:r>
        <w:t>Methodology for recognition of e</w:t>
      </w:r>
      <w:r w:rsidR="00FA39CB">
        <w:t>ligible collateral</w:t>
      </w:r>
    </w:p>
    <w:p w14:paraId="78ADAE70" w14:textId="6B18DDCC" w:rsidR="00AD4F86" w:rsidRDefault="007F72D5" w:rsidP="008D7162">
      <w:pPr>
        <w:pStyle w:val="BodyText1"/>
      </w:pPr>
      <w:bookmarkStart w:id="61" w:name="_Ref34378727"/>
      <w:r>
        <w:t xml:space="preserve">Where an ADI </w:t>
      </w:r>
      <w:r w:rsidR="00862D05">
        <w:t>uses</w:t>
      </w:r>
      <w:r>
        <w:t xml:space="preserve"> the FIRB approach, t</w:t>
      </w:r>
      <w:r w:rsidR="009A4B85">
        <w:t xml:space="preserve">he </w:t>
      </w:r>
      <w:r w:rsidR="00AD4F86">
        <w:t xml:space="preserve">LGD applicable to a collateralised </w:t>
      </w:r>
      <w:r w:rsidR="009A4B85">
        <w:t xml:space="preserve">transaction must be calculated </w:t>
      </w:r>
      <w:r w:rsidR="00AD4F86">
        <w:t>as the exposure</w:t>
      </w:r>
      <w:r w:rsidR="0096665F">
        <w:t>-</w:t>
      </w:r>
      <w:r w:rsidR="00AD4F86">
        <w:t xml:space="preserve">weighted average of the LGD </w:t>
      </w:r>
      <w:r w:rsidR="00AB3723">
        <w:t>for</w:t>
      </w:r>
      <w:r w:rsidR="00AD4F86">
        <w:t xml:space="preserve"> the unsecured </w:t>
      </w:r>
      <w:r w:rsidR="00457AC0">
        <w:t>portion</w:t>
      </w:r>
      <w:r w:rsidR="00AD4F86">
        <w:t xml:space="preserve"> (</w:t>
      </w:r>
      <w:r w:rsidR="00AD4F86" w:rsidRPr="00D3499E">
        <w:rPr>
          <w:i/>
        </w:rPr>
        <w:t>LGD</w:t>
      </w:r>
      <w:r w:rsidR="00AD4F86" w:rsidRPr="00D3499E">
        <w:rPr>
          <w:i/>
          <w:vertAlign w:val="subscript"/>
        </w:rPr>
        <w:t>U</w:t>
      </w:r>
      <w:r w:rsidR="00AD4F86">
        <w:t xml:space="preserve">) and the LGD </w:t>
      </w:r>
      <w:r w:rsidR="00AB3723">
        <w:t>for</w:t>
      </w:r>
      <w:r w:rsidR="00AD4F86">
        <w:t xml:space="preserve"> the collateralised </w:t>
      </w:r>
      <w:r w:rsidR="00457AC0">
        <w:t>portion</w:t>
      </w:r>
      <w:r w:rsidR="00AD4F86">
        <w:t xml:space="preserve"> (</w:t>
      </w:r>
      <w:proofErr w:type="spellStart"/>
      <w:r w:rsidR="00AD4F86" w:rsidRPr="00D3499E">
        <w:rPr>
          <w:i/>
        </w:rPr>
        <w:t>LGD</w:t>
      </w:r>
      <w:r w:rsidR="00AD4F86" w:rsidRPr="00D3499E">
        <w:rPr>
          <w:i/>
          <w:vertAlign w:val="subscript"/>
        </w:rPr>
        <w:t>S</w:t>
      </w:r>
      <w:r w:rsidR="004B4DF7">
        <w:rPr>
          <w:i/>
          <w:vertAlign w:val="subscript"/>
        </w:rPr>
        <w:t>i</w:t>
      </w:r>
      <w:proofErr w:type="spellEnd"/>
      <w:r w:rsidR="00AD4F86">
        <w:t>). Specifically:</w:t>
      </w:r>
      <w:bookmarkEnd w:id="61"/>
    </w:p>
    <w:p w14:paraId="290CC41F" w14:textId="61C74468" w:rsidR="00BC4A24" w:rsidRDefault="00BC4A24" w:rsidP="00887E4E">
      <w:pPr>
        <w:ind w:firstLine="567"/>
      </w:pPr>
      <w:r>
        <w:rPr>
          <w:noProof/>
        </w:rPr>
        <w:drawing>
          <wp:inline distT="0" distB="0" distL="0" distR="0" wp14:anchorId="34983E5F" wp14:editId="257E7DF7">
            <wp:extent cx="3792772" cy="548017"/>
            <wp:effectExtent l="0" t="0" r="0" b="4445"/>
            <wp:docPr id="13" name="Picture 13" descr="The formula for LGD applicable to a collateralised trans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e formula for LGD applicable to a collateralised transaction."/>
                    <pic:cNvPicPr/>
                  </pic:nvPicPr>
                  <pic:blipFill>
                    <a:blip r:embed="rId30"/>
                    <a:stretch>
                      <a:fillRect/>
                    </a:stretch>
                  </pic:blipFill>
                  <pic:spPr>
                    <a:xfrm>
                      <a:off x="0" y="0"/>
                      <a:ext cx="3846453" cy="555773"/>
                    </a:xfrm>
                    <a:prstGeom prst="rect">
                      <a:avLst/>
                    </a:prstGeom>
                  </pic:spPr>
                </pic:pic>
              </a:graphicData>
            </a:graphic>
          </wp:inline>
        </w:drawing>
      </w:r>
    </w:p>
    <w:p w14:paraId="6E6E5F4F" w14:textId="1091162F" w:rsidR="00DA3419" w:rsidRDefault="00E1103B" w:rsidP="00E1103B">
      <w:pPr>
        <w:ind w:firstLine="567"/>
      </w:pPr>
      <w:r>
        <w:t>wher</w:t>
      </w:r>
      <w:r w:rsidR="008D7162">
        <w:t>e:</w:t>
      </w:r>
    </w:p>
    <w:p w14:paraId="431BBA47" w14:textId="58BD6469" w:rsidR="008D7162" w:rsidRDefault="008D7162" w:rsidP="002A2D6D">
      <w:pPr>
        <w:pStyle w:val="BodyText2"/>
        <w:numPr>
          <w:ilvl w:val="0"/>
          <w:numId w:val="9"/>
        </w:numPr>
      </w:pPr>
      <w:r w:rsidRPr="00D3499E">
        <w:rPr>
          <w:i/>
        </w:rPr>
        <w:t>E</w:t>
      </w:r>
      <w:r>
        <w:t xml:space="preserve"> is the </w:t>
      </w:r>
      <w:r w:rsidR="00633FE0">
        <w:t>committed amount</w:t>
      </w:r>
      <w:r w:rsidR="00D3499E">
        <w:t xml:space="preserve">. In the case of securities lent or posted, the exposure value </w:t>
      </w:r>
      <w:r w:rsidR="006D35ED">
        <w:t>must</w:t>
      </w:r>
      <w:r w:rsidR="00D3499E">
        <w:t xml:space="preserve"> be increased by applying the appropriate haircuts (</w:t>
      </w:r>
      <w:r w:rsidR="00D3499E" w:rsidRPr="00D3499E">
        <w:rPr>
          <w:i/>
        </w:rPr>
        <w:t>H</w:t>
      </w:r>
      <w:r w:rsidR="00D3499E" w:rsidRPr="00D3499E">
        <w:rPr>
          <w:i/>
          <w:vertAlign w:val="subscript"/>
        </w:rPr>
        <w:t>E</w:t>
      </w:r>
      <w:r w:rsidR="00D3499E">
        <w:t xml:space="preserve">) according to the comprehensive approach for </w:t>
      </w:r>
      <w:r w:rsidR="00A550F6">
        <w:t xml:space="preserve">the recognition of </w:t>
      </w:r>
      <w:r w:rsidR="00D3499E">
        <w:t xml:space="preserve">financial collateral as detailed in Attachment G to APS 112. </w:t>
      </w:r>
    </w:p>
    <w:p w14:paraId="66F5D717" w14:textId="616D504A" w:rsidR="00D3499E" w:rsidRDefault="00DA3419" w:rsidP="002A2D6D">
      <w:pPr>
        <w:pStyle w:val="BodyText2"/>
        <w:numPr>
          <w:ilvl w:val="0"/>
          <w:numId w:val="9"/>
        </w:numPr>
      </w:pPr>
      <w:r>
        <w:rPr>
          <w:i/>
        </w:rPr>
        <w:t>E</w:t>
      </w:r>
      <w:r>
        <w:rPr>
          <w:i/>
          <w:vertAlign w:val="subscript"/>
        </w:rPr>
        <w:t xml:space="preserve">Si </w:t>
      </w:r>
      <w:r>
        <w:t xml:space="preserve">is the current value of the collateral after </w:t>
      </w:r>
      <w:r w:rsidR="00AF1B61">
        <w:t>applying</w:t>
      </w:r>
      <w:r>
        <w:t xml:space="preserve"> the </w:t>
      </w:r>
      <w:r w:rsidR="00AF1B61">
        <w:t xml:space="preserve">appropriate </w:t>
      </w:r>
      <w:r>
        <w:t>haircut</w:t>
      </w:r>
      <w:r w:rsidR="00AF1B61">
        <w:t>s</w:t>
      </w:r>
      <w:r>
        <w:t xml:space="preserve"> for the</w:t>
      </w:r>
      <w:r w:rsidR="00AF1B61">
        <w:t xml:space="preserve"> type of</w:t>
      </w:r>
      <w:r>
        <w:t xml:space="preserve"> collateral (</w:t>
      </w:r>
      <w:r w:rsidRPr="00847277">
        <w:rPr>
          <w:i/>
        </w:rPr>
        <w:t>H</w:t>
      </w:r>
      <w:r w:rsidRPr="00847277">
        <w:rPr>
          <w:i/>
          <w:vertAlign w:val="subscript"/>
        </w:rPr>
        <w:t>C</w:t>
      </w:r>
      <w:r>
        <w:t xml:space="preserve">) and for any currency mismatch between the exposure and the collateral. The </w:t>
      </w:r>
      <w:r w:rsidR="00AB3723">
        <w:t>sum</w:t>
      </w:r>
      <w:r>
        <w:t xml:space="preserve"> of </w:t>
      </w:r>
      <w:r w:rsidRPr="00F34FB1">
        <w:rPr>
          <w:i/>
        </w:rPr>
        <w:t>E</w:t>
      </w:r>
      <w:r w:rsidRPr="00F34FB1">
        <w:rPr>
          <w:i/>
          <w:vertAlign w:val="subscript"/>
        </w:rPr>
        <w:t>S</w:t>
      </w:r>
      <w:r w:rsidR="00A40258">
        <w:rPr>
          <w:i/>
          <w:vertAlign w:val="subscript"/>
        </w:rPr>
        <w:t>i</w:t>
      </w:r>
      <w:r>
        <w:t xml:space="preserve"> across all collateral types must be capped at the value of</w:t>
      </w:r>
      <w:r w:rsidR="00BC4A24">
        <w:t xml:space="preserve"> </w:t>
      </w:r>
      <w:r w:rsidR="00117C30">
        <w:rPr>
          <w:noProof/>
        </w:rPr>
        <w:drawing>
          <wp:inline distT="0" distB="0" distL="0" distR="0" wp14:anchorId="39AE2031" wp14:editId="1D2A5ED4">
            <wp:extent cx="742950" cy="170815"/>
            <wp:effectExtent l="0" t="0" r="0" b="635"/>
            <wp:docPr id="14" name="Picture 14" descr="Start formula E multiplied by open bracket 1 plus H subscript E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tart formula E multiplied by open bracket 1 plus H subscript E close bracket end formula"/>
                    <pic:cNvPicPr/>
                  </pic:nvPicPr>
                  <pic:blipFill>
                    <a:blip r:embed="rId31" cstate="print">
                      <a:extLst>
                        <a:ext uri="{28A0092B-C50C-407E-A947-70E740481C1C}">
                          <a14:useLocalDpi xmlns:a14="http://schemas.microsoft.com/office/drawing/2010/main" val="0"/>
                        </a:ext>
                      </a:extLst>
                    </a:blip>
                    <a:stretch>
                      <a:fillRect/>
                    </a:stretch>
                  </pic:blipFill>
                  <pic:spPr>
                    <a:xfrm>
                      <a:off x="0" y="0"/>
                      <a:ext cx="742950" cy="170815"/>
                    </a:xfrm>
                    <a:prstGeom prst="rect">
                      <a:avLst/>
                    </a:prstGeom>
                  </pic:spPr>
                </pic:pic>
              </a:graphicData>
            </a:graphic>
          </wp:inline>
        </w:drawing>
      </w:r>
      <w:r w:rsidR="00847277">
        <w:t>.</w:t>
      </w:r>
    </w:p>
    <w:p w14:paraId="68651591" w14:textId="485058E3" w:rsidR="00AB1EF3" w:rsidRDefault="00AB1EF3" w:rsidP="00AB1EF3">
      <w:pPr>
        <w:pStyle w:val="BodyText2"/>
        <w:numPr>
          <w:ilvl w:val="0"/>
          <w:numId w:val="0"/>
        </w:numPr>
        <w:ind w:left="927"/>
      </w:pPr>
      <w:r>
        <w:t xml:space="preserve">For the purpose of determining </w:t>
      </w:r>
      <w:r>
        <w:rPr>
          <w:i/>
        </w:rPr>
        <w:t>E</w:t>
      </w:r>
      <w:r>
        <w:rPr>
          <w:i/>
          <w:vertAlign w:val="subscript"/>
        </w:rPr>
        <w:t xml:space="preserve">Si </w:t>
      </w:r>
      <w:r>
        <w:t xml:space="preserve">for an exposure with a junior lien, </w:t>
      </w:r>
      <w:r w:rsidR="00637901">
        <w:t xml:space="preserve">the </w:t>
      </w:r>
      <w:r>
        <w:t>ADI must apply the appropriate haircuts to the</w:t>
      </w:r>
      <w:r w:rsidR="005051A9">
        <w:t xml:space="preserve"> value of the</w:t>
      </w:r>
      <w:r>
        <w:t xml:space="preserve"> collateral and then reduce it by the sum of all exposures with liens that rank higher than the junior liens. In cases where liens are held by third parties that rank </w:t>
      </w:r>
      <w:proofErr w:type="spellStart"/>
      <w:r w:rsidRPr="00AB1EF3">
        <w:rPr>
          <w:i/>
        </w:rPr>
        <w:t>pari</w:t>
      </w:r>
      <w:proofErr w:type="spellEnd"/>
      <w:r w:rsidRPr="00AB1EF3">
        <w:rPr>
          <w:i/>
        </w:rPr>
        <w:t xml:space="preserve"> passu</w:t>
      </w:r>
      <w:r>
        <w:t xml:space="preserve"> with the lien of the ADI, only the proportion of the</w:t>
      </w:r>
      <w:r w:rsidR="005051A9">
        <w:t xml:space="preserve"> value of the</w:t>
      </w:r>
      <w:r>
        <w:t xml:space="preserve"> collateral (after the application of haircuts and reductions due to exposures with liens that rank higher than the lien of the ADI) that is attributable to the ADI may be recognised.</w:t>
      </w:r>
    </w:p>
    <w:p w14:paraId="68EA6676" w14:textId="3AC50789" w:rsidR="00847277" w:rsidRPr="008D7162" w:rsidRDefault="00117C30" w:rsidP="002A2D6D">
      <w:pPr>
        <w:pStyle w:val="BodyText2"/>
        <w:numPr>
          <w:ilvl w:val="0"/>
          <w:numId w:val="9"/>
        </w:numPr>
      </w:pPr>
      <w:r>
        <w:rPr>
          <w:noProof/>
        </w:rPr>
        <w:lastRenderedPageBreak/>
        <w:drawing>
          <wp:inline distT="0" distB="0" distL="0" distR="0" wp14:anchorId="33BEF36E" wp14:editId="42FFA2D9">
            <wp:extent cx="1396555" cy="163817"/>
            <wp:effectExtent l="0" t="0" r="0" b="8255"/>
            <wp:docPr id="15" name="Picture 15" descr="Start formula E subscript U equals E multiplied by open bracket 1 plus H subscript E close bracket minus the sum of E subscript Si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tart formula E subscript U equals E multiplied by open bracket 1 plus H subscript E close bracket minus the sum of E subscript Si end formula"/>
                    <pic:cNvPicPr/>
                  </pic:nvPicPr>
                  <pic:blipFill>
                    <a:blip r:embed="rId32"/>
                    <a:stretch>
                      <a:fillRect/>
                    </a:stretch>
                  </pic:blipFill>
                  <pic:spPr>
                    <a:xfrm>
                      <a:off x="0" y="0"/>
                      <a:ext cx="1597633" cy="187404"/>
                    </a:xfrm>
                    <a:prstGeom prst="rect">
                      <a:avLst/>
                    </a:prstGeom>
                  </pic:spPr>
                </pic:pic>
              </a:graphicData>
            </a:graphic>
          </wp:inline>
        </w:drawing>
      </w:r>
      <w:r w:rsidR="00847277">
        <w:t xml:space="preserve">. The terms </w:t>
      </w:r>
      <w:r w:rsidR="004964C8">
        <w:rPr>
          <w:i/>
        </w:rPr>
        <w:t>E</w:t>
      </w:r>
      <w:r w:rsidR="004964C8">
        <w:rPr>
          <w:i/>
          <w:vertAlign w:val="subscript"/>
        </w:rPr>
        <w:t xml:space="preserve">U </w:t>
      </w:r>
      <w:r w:rsidR="004964C8">
        <w:t xml:space="preserve">and </w:t>
      </w:r>
      <w:r w:rsidR="004964C8">
        <w:rPr>
          <w:i/>
        </w:rPr>
        <w:t>E</w:t>
      </w:r>
      <w:r w:rsidR="004964C8">
        <w:rPr>
          <w:i/>
          <w:vertAlign w:val="subscript"/>
        </w:rPr>
        <w:t>S</w:t>
      </w:r>
      <w:r w:rsidR="0014703F">
        <w:rPr>
          <w:i/>
          <w:vertAlign w:val="subscript"/>
        </w:rPr>
        <w:t>i</w:t>
      </w:r>
      <w:r w:rsidR="004964C8">
        <w:rPr>
          <w:i/>
          <w:vertAlign w:val="subscript"/>
        </w:rPr>
        <w:t xml:space="preserve"> </w:t>
      </w:r>
      <w:r w:rsidR="004964C8">
        <w:t xml:space="preserve">are only used to calculate </w:t>
      </w:r>
      <w:r w:rsidR="0014703F">
        <w:t xml:space="preserve">the </w:t>
      </w:r>
      <w:r w:rsidR="004964C8">
        <w:t>LGD</w:t>
      </w:r>
      <w:r w:rsidR="0014703F">
        <w:t xml:space="preserve"> applicable to the collateralised transaction</w:t>
      </w:r>
      <w:r w:rsidR="004964C8">
        <w:t xml:space="preserve">. </w:t>
      </w:r>
      <w:r w:rsidR="003269C7">
        <w:t xml:space="preserve">The </w:t>
      </w:r>
      <w:r w:rsidR="004964C8">
        <w:t>ADI must continue to calculate EAD without taking into account the presence of any collateral, unless specified</w:t>
      </w:r>
      <w:r w:rsidR="006D35ED">
        <w:t xml:space="preserve"> otherwise</w:t>
      </w:r>
      <w:r w:rsidR="004964C8">
        <w:t xml:space="preserve">. </w:t>
      </w:r>
    </w:p>
    <w:p w14:paraId="5FAE4CEA" w14:textId="16E54E61" w:rsidR="00B97CC0" w:rsidRDefault="00B97CC0" w:rsidP="002A2D6D">
      <w:pPr>
        <w:pStyle w:val="BodyText2"/>
        <w:numPr>
          <w:ilvl w:val="0"/>
          <w:numId w:val="9"/>
        </w:numPr>
      </w:pPr>
      <w:r>
        <w:rPr>
          <w:i/>
        </w:rPr>
        <w:t>LGD</w:t>
      </w:r>
      <w:r>
        <w:rPr>
          <w:i/>
          <w:vertAlign w:val="subscript"/>
        </w:rPr>
        <w:t>U</w:t>
      </w:r>
      <w:r>
        <w:t xml:space="preserve"> </w:t>
      </w:r>
      <w:r w:rsidR="004A1C46">
        <w:t>is</w:t>
      </w:r>
      <w:r>
        <w:t xml:space="preserve"> the LGD applicable </w:t>
      </w:r>
      <w:r w:rsidR="0014703F">
        <w:t>to</w:t>
      </w:r>
      <w:r>
        <w:t xml:space="preserve"> an unsecured exposure as set out in </w:t>
      </w:r>
      <w:r w:rsidR="002A2D6D" w:rsidRPr="002A2D6D">
        <w:t xml:space="preserve">paragraphs </w:t>
      </w:r>
      <w:r w:rsidR="002A2D6D" w:rsidRPr="002A2D6D">
        <w:fldChar w:fldCharType="begin"/>
      </w:r>
      <w:r w:rsidR="002A2D6D" w:rsidRPr="002A2D6D">
        <w:instrText xml:space="preserve"> REF _Ref34377143 \r \h </w:instrText>
      </w:r>
      <w:r w:rsidR="002A2D6D">
        <w:instrText xml:space="preserve"> \* MERGEFORMAT </w:instrText>
      </w:r>
      <w:r w:rsidR="002A2D6D" w:rsidRPr="002A2D6D">
        <w:fldChar w:fldCharType="separate"/>
      </w:r>
      <w:r w:rsidR="00550C88">
        <w:t>8</w:t>
      </w:r>
      <w:r w:rsidR="002A2D6D" w:rsidRPr="002A2D6D">
        <w:fldChar w:fldCharType="end"/>
      </w:r>
      <w:r w:rsidR="004477E5">
        <w:t xml:space="preserve"> to</w:t>
      </w:r>
      <w:r w:rsidR="002A2D6D" w:rsidRPr="002A2D6D">
        <w:t xml:space="preserve"> </w:t>
      </w:r>
      <w:r w:rsidR="000A4488" w:rsidRPr="00850D38">
        <w:fldChar w:fldCharType="begin"/>
      </w:r>
      <w:r w:rsidR="000A4488" w:rsidRPr="000A4488">
        <w:instrText xml:space="preserve"> REF _Ref83831416 \r \h </w:instrText>
      </w:r>
      <w:r w:rsidR="000A4488">
        <w:instrText xml:space="preserve"> \* MERGEFORMAT </w:instrText>
      </w:r>
      <w:r w:rsidR="000A4488" w:rsidRPr="00850D38">
        <w:fldChar w:fldCharType="separate"/>
      </w:r>
      <w:r w:rsidR="00550C88">
        <w:t>10</w:t>
      </w:r>
      <w:r w:rsidR="000A4488" w:rsidRPr="00850D38">
        <w:fldChar w:fldCharType="end"/>
      </w:r>
      <w:r w:rsidR="001C37AE" w:rsidRPr="00240681">
        <w:t xml:space="preserve"> and</w:t>
      </w:r>
      <w:r w:rsidR="006267D3" w:rsidRPr="00240681">
        <w:t xml:space="preserve"> </w:t>
      </w:r>
      <w:r w:rsidR="002A2D6D" w:rsidRPr="00850D38">
        <w:fldChar w:fldCharType="begin"/>
      </w:r>
      <w:r w:rsidR="002A2D6D" w:rsidRPr="000A4488">
        <w:instrText xml:space="preserve"> REF _Ref34377146 \r \h  \* MERGEFORMAT </w:instrText>
      </w:r>
      <w:r w:rsidR="002A2D6D" w:rsidRPr="00850D38">
        <w:fldChar w:fldCharType="separate"/>
      </w:r>
      <w:r w:rsidR="00550C88">
        <w:t>13</w:t>
      </w:r>
      <w:r w:rsidR="002A2D6D" w:rsidRPr="00850D38">
        <w:fldChar w:fldCharType="end"/>
      </w:r>
      <w:r w:rsidR="00D64855">
        <w:t xml:space="preserve"> of this Attachment</w:t>
      </w:r>
      <w:r>
        <w:t xml:space="preserve">. </w:t>
      </w:r>
    </w:p>
    <w:p w14:paraId="2CC42A52" w14:textId="3D47A4C1" w:rsidR="00B97CC0" w:rsidRPr="008D7162" w:rsidRDefault="00DA3419" w:rsidP="002A2D6D">
      <w:pPr>
        <w:pStyle w:val="BodyText2"/>
        <w:numPr>
          <w:ilvl w:val="0"/>
          <w:numId w:val="9"/>
        </w:numPr>
      </w:pPr>
      <w:proofErr w:type="spellStart"/>
      <w:r>
        <w:rPr>
          <w:i/>
        </w:rPr>
        <w:t>LGD</w:t>
      </w:r>
      <w:r>
        <w:rPr>
          <w:i/>
          <w:vertAlign w:val="subscript"/>
        </w:rPr>
        <w:t>Si</w:t>
      </w:r>
      <w:proofErr w:type="spellEnd"/>
      <w:r>
        <w:t xml:space="preserve"> is the LGD applicable to </w:t>
      </w:r>
      <w:r w:rsidR="00BD7D04">
        <w:t xml:space="preserve">an exposure secured by </w:t>
      </w:r>
      <w:r w:rsidR="00012CC1">
        <w:t>that type of collateral</w:t>
      </w:r>
      <w:r>
        <w:t xml:space="preserve"> as </w:t>
      </w:r>
      <w:r w:rsidR="00BD7D04">
        <w:t>set out</w:t>
      </w:r>
      <w:r>
        <w:t xml:space="preserve"> in </w:t>
      </w:r>
      <w:r w:rsidR="002A2D6D" w:rsidRPr="002A2D6D">
        <w:t>paragraph</w:t>
      </w:r>
      <w:r w:rsidR="00BF6125">
        <w:t xml:space="preserve">s </w:t>
      </w:r>
      <w:r w:rsidR="00BF6125">
        <w:fldChar w:fldCharType="begin"/>
      </w:r>
      <w:r w:rsidR="00BF6125">
        <w:instrText xml:space="preserve"> REF _Ref83831053 \r \h </w:instrText>
      </w:r>
      <w:r w:rsidR="00BF6125">
        <w:fldChar w:fldCharType="separate"/>
      </w:r>
      <w:r w:rsidR="00550C88">
        <w:t>11</w:t>
      </w:r>
      <w:r w:rsidR="00BF6125">
        <w:fldChar w:fldCharType="end"/>
      </w:r>
      <w:r w:rsidR="00BF6125">
        <w:t xml:space="preserve"> and</w:t>
      </w:r>
      <w:r w:rsidR="002A2D6D" w:rsidRPr="002A2D6D">
        <w:t xml:space="preserve"> </w:t>
      </w:r>
      <w:r w:rsidR="00D65DF1">
        <w:fldChar w:fldCharType="begin"/>
      </w:r>
      <w:r w:rsidR="00D65DF1">
        <w:instrText xml:space="preserve"> REF _Ref34377171 \r \h </w:instrText>
      </w:r>
      <w:r w:rsidR="00D65DF1">
        <w:fldChar w:fldCharType="separate"/>
      </w:r>
      <w:r w:rsidR="00550C88">
        <w:t>14</w:t>
      </w:r>
      <w:r w:rsidR="00D65DF1">
        <w:fldChar w:fldCharType="end"/>
      </w:r>
      <w:r w:rsidR="00BF6125">
        <w:t xml:space="preserve"> </w:t>
      </w:r>
      <w:r w:rsidRPr="002A2D6D">
        <w:t>of</w:t>
      </w:r>
      <w:r>
        <w:t xml:space="preserve"> this Attachment.</w:t>
      </w:r>
    </w:p>
    <w:p w14:paraId="1B096E64" w14:textId="0221E3ED" w:rsidR="00FA39CB" w:rsidRDefault="00FA39CB" w:rsidP="00FA39CB">
      <w:pPr>
        <w:pStyle w:val="BodyText1"/>
      </w:pPr>
      <w:bookmarkStart w:id="62" w:name="_Ref88499154"/>
      <w:r>
        <w:t>Whe</w:t>
      </w:r>
      <w:r w:rsidR="0011629B">
        <w:t>re</w:t>
      </w:r>
      <w:r>
        <w:t xml:space="preserve"> eligible collateral is denominated in a different currency to that of the exposure, an ADI must apply a haircut for currency risk</w:t>
      </w:r>
      <w:r w:rsidR="00E37EF3">
        <w:t xml:space="preserve"> (</w:t>
      </w:r>
      <w:proofErr w:type="spellStart"/>
      <w:r w:rsidR="00E37EF3" w:rsidRPr="00D3499E">
        <w:rPr>
          <w:i/>
        </w:rPr>
        <w:t>H</w:t>
      </w:r>
      <w:r w:rsidR="00E37EF3">
        <w:rPr>
          <w:i/>
          <w:vertAlign w:val="subscript"/>
        </w:rPr>
        <w:t>fx</w:t>
      </w:r>
      <w:proofErr w:type="spellEnd"/>
      <w:r w:rsidR="00E37EF3">
        <w:t xml:space="preserve">) </w:t>
      </w:r>
      <w:r>
        <w:t>in accordance with the requirements for the comprehensive approach as detailed in Attachment G to APS</w:t>
      </w:r>
      <w:r w:rsidR="00847277">
        <w:t> </w:t>
      </w:r>
      <w:r>
        <w:t>112.</w:t>
      </w:r>
      <w:bookmarkEnd w:id="62"/>
    </w:p>
    <w:p w14:paraId="6C59E394" w14:textId="6D15666E" w:rsidR="005131CC" w:rsidRDefault="00AA3DA2" w:rsidP="00AA3DA2">
      <w:pPr>
        <w:pStyle w:val="BodyText1"/>
      </w:pPr>
      <w:bookmarkStart w:id="63" w:name="_Ref88498768"/>
      <w:r>
        <w:t>For the purpose of calculating the LGD</w:t>
      </w:r>
      <w:r w:rsidR="00862D05">
        <w:t xml:space="preserve"> applicable</w:t>
      </w:r>
      <w:r>
        <w:t xml:space="preserve"> </w:t>
      </w:r>
      <w:r w:rsidR="00862D05">
        <w:t xml:space="preserve">to </w:t>
      </w:r>
      <w:r w:rsidR="00637901">
        <w:t xml:space="preserve">a </w:t>
      </w:r>
      <w:r w:rsidR="00862D05">
        <w:t>sovereign exposure</w:t>
      </w:r>
      <w:r>
        <w:t xml:space="preserve"> that </w:t>
      </w:r>
      <w:r w:rsidR="00637901">
        <w:t>is</w:t>
      </w:r>
      <w:r>
        <w:t xml:space="preserve"> secured by eligible collateral, </w:t>
      </w:r>
      <w:r w:rsidR="005131CC">
        <w:t xml:space="preserve">where applicable, </w:t>
      </w:r>
      <w:r>
        <w:t>an ADI is permitted to adopt the lower of the</w:t>
      </w:r>
      <w:r w:rsidR="005131CC">
        <w:t>:</w:t>
      </w:r>
      <w:bookmarkEnd w:id="63"/>
    </w:p>
    <w:p w14:paraId="3CAE2046" w14:textId="070CF88E" w:rsidR="005131CC" w:rsidRDefault="00637901" w:rsidP="005131CC">
      <w:pPr>
        <w:pStyle w:val="BodyText2"/>
      </w:pPr>
      <w:r>
        <w:t>relevant</w:t>
      </w:r>
      <w:r w:rsidR="00AA3DA2">
        <w:t xml:space="preserve"> LGD </w:t>
      </w:r>
      <w:r w:rsidR="00EC4F37">
        <w:t>specified</w:t>
      </w:r>
      <w:r w:rsidR="00D65DF1">
        <w:t xml:space="preserve"> in </w:t>
      </w:r>
      <w:r w:rsidR="00877EAB">
        <w:t xml:space="preserve">paragraph </w:t>
      </w:r>
      <w:r w:rsidR="00862D05">
        <w:fldChar w:fldCharType="begin"/>
      </w:r>
      <w:r w:rsidR="00862D05">
        <w:instrText xml:space="preserve"> REF _Ref83387850 \r \h </w:instrText>
      </w:r>
      <w:r w:rsidR="00862D05">
        <w:fldChar w:fldCharType="separate"/>
      </w:r>
      <w:r w:rsidR="00550C88">
        <w:t>9</w:t>
      </w:r>
      <w:r w:rsidR="00862D05">
        <w:fldChar w:fldCharType="end"/>
      </w:r>
      <w:r w:rsidR="00862D05">
        <w:t xml:space="preserve"> </w:t>
      </w:r>
      <w:r w:rsidR="00194CB8">
        <w:t>o</w:t>
      </w:r>
      <w:r w:rsidR="00877EAB">
        <w:t>f this Attachment</w:t>
      </w:r>
      <w:r w:rsidR="005131CC">
        <w:t>;</w:t>
      </w:r>
      <w:r w:rsidR="00AA3DA2">
        <w:t xml:space="preserve"> and </w:t>
      </w:r>
    </w:p>
    <w:p w14:paraId="523E798C" w14:textId="060DBF29" w:rsidR="00AA3DA2" w:rsidRDefault="00AA3DA2" w:rsidP="005131CC">
      <w:pPr>
        <w:pStyle w:val="BodyText2"/>
      </w:pPr>
      <w:r>
        <w:t xml:space="preserve">LGD </w:t>
      </w:r>
      <w:r w:rsidR="00877EAB">
        <w:t>determined</w:t>
      </w:r>
      <w:r>
        <w:t xml:space="preserve"> in</w:t>
      </w:r>
      <w:r w:rsidR="00877EAB">
        <w:t xml:space="preserve"> accordance with</w:t>
      </w:r>
      <w:r>
        <w:t xml:space="preserve"> paragraph </w:t>
      </w:r>
      <w:r w:rsidR="00862D05">
        <w:fldChar w:fldCharType="begin"/>
      </w:r>
      <w:r w:rsidR="00862D05">
        <w:instrText xml:space="preserve"> REF _Ref34378727 \r \h </w:instrText>
      </w:r>
      <w:r w:rsidR="00862D05">
        <w:fldChar w:fldCharType="separate"/>
      </w:r>
      <w:r w:rsidR="00550C88">
        <w:t>16</w:t>
      </w:r>
      <w:r w:rsidR="00862D05">
        <w:fldChar w:fldCharType="end"/>
      </w:r>
      <w:r>
        <w:t xml:space="preserve"> </w:t>
      </w:r>
      <w:r w:rsidR="00C871C2">
        <w:t xml:space="preserve">to </w:t>
      </w:r>
      <w:r w:rsidR="00C871C2">
        <w:fldChar w:fldCharType="begin"/>
      </w:r>
      <w:r w:rsidR="00C871C2">
        <w:instrText xml:space="preserve"> REF _Ref88499154 \r \h </w:instrText>
      </w:r>
      <w:r w:rsidR="00C871C2">
        <w:fldChar w:fldCharType="separate"/>
      </w:r>
      <w:r w:rsidR="00550C88">
        <w:t>17</w:t>
      </w:r>
      <w:r w:rsidR="00C871C2">
        <w:fldChar w:fldCharType="end"/>
      </w:r>
      <w:r w:rsidR="00C871C2">
        <w:t xml:space="preserve"> </w:t>
      </w:r>
      <w:r>
        <w:t xml:space="preserve">of this Attachment. </w:t>
      </w:r>
    </w:p>
    <w:p w14:paraId="34DAE30D" w14:textId="24D6F412" w:rsidR="007213FE" w:rsidRPr="00272651" w:rsidRDefault="00C25553" w:rsidP="00B510C2">
      <w:pPr>
        <w:pStyle w:val="Heading3"/>
      </w:pPr>
      <w:r>
        <w:t>Corporate e</w:t>
      </w:r>
      <w:r w:rsidR="000A7BD6">
        <w:t>xposures</w:t>
      </w:r>
      <w:r w:rsidR="000A7BD6" w:rsidRPr="00F574C7">
        <w:t xml:space="preserve"> </w:t>
      </w:r>
      <w:r w:rsidR="007213FE" w:rsidRPr="00F574C7">
        <w:t>under the AIRB approach</w:t>
      </w:r>
    </w:p>
    <w:p w14:paraId="51058A2F" w14:textId="2597D443" w:rsidR="00AD4E19" w:rsidRDefault="008D0616" w:rsidP="007213FE">
      <w:pPr>
        <w:pStyle w:val="BodyText1"/>
      </w:pPr>
      <w:r>
        <w:t xml:space="preserve">For </w:t>
      </w:r>
      <w:r w:rsidR="00886DDA">
        <w:t xml:space="preserve">corporate </w:t>
      </w:r>
      <w:r>
        <w:t>exposures</w:t>
      </w:r>
      <w:r w:rsidR="008A1D19">
        <w:t xml:space="preserve"> subject to the AIRB approach</w:t>
      </w:r>
      <w:r>
        <w:t>, t</w:t>
      </w:r>
      <w:r w:rsidR="00786CA2">
        <w:t>he LGD for each</w:t>
      </w:r>
      <w:r w:rsidR="008D78B8">
        <w:t xml:space="preserve"> secured or partially secured</w:t>
      </w:r>
      <w:r w:rsidR="00786CA2">
        <w:t xml:space="preserve"> exposure that is used as </w:t>
      </w:r>
      <w:r w:rsidR="00AD0C18">
        <w:t>an</w:t>
      </w:r>
      <w:r w:rsidR="00786CA2">
        <w:t xml:space="preserve"> input to the risk</w:t>
      </w:r>
      <w:r w:rsidR="00AD0C18">
        <w:t>-</w:t>
      </w:r>
      <w:r w:rsidR="00786CA2">
        <w:t xml:space="preserve">weight </w:t>
      </w:r>
      <w:r w:rsidR="00AD0C18">
        <w:t>function</w:t>
      </w:r>
      <w:r w:rsidR="00AD4E19">
        <w:t xml:space="preserve"> and the calculation of </w:t>
      </w:r>
      <w:r w:rsidR="00E8564B">
        <w:t>EL</w:t>
      </w:r>
      <w:r w:rsidR="00AD4E19">
        <w:t xml:space="preserve"> must not be less than the floors detailed in </w:t>
      </w:r>
      <w:r w:rsidR="00EC3661">
        <w:rPr>
          <w:highlight w:val="yellow"/>
        </w:rPr>
        <w:fldChar w:fldCharType="begin"/>
      </w:r>
      <w:r w:rsidR="00EC3661">
        <w:instrText xml:space="preserve"> REF _Ref34377238 \r \h </w:instrText>
      </w:r>
      <w:r w:rsidR="00EC3661">
        <w:rPr>
          <w:highlight w:val="yellow"/>
        </w:rPr>
      </w:r>
      <w:r w:rsidR="00EC3661">
        <w:rPr>
          <w:highlight w:val="yellow"/>
        </w:rPr>
        <w:fldChar w:fldCharType="separate"/>
      </w:r>
      <w:r w:rsidR="00550C88">
        <w:t>Table 6</w:t>
      </w:r>
      <w:r w:rsidR="00EC3661">
        <w:rPr>
          <w:highlight w:val="yellow"/>
        </w:rPr>
        <w:fldChar w:fldCharType="end"/>
      </w:r>
      <w:r w:rsidR="00AD4E19">
        <w:t xml:space="preserve">. </w:t>
      </w:r>
      <w:r w:rsidR="00241468">
        <w:t>However,</w:t>
      </w:r>
      <w:r w:rsidR="00195CE6" w:rsidRPr="00195CE6">
        <w:t xml:space="preserve"> the floor does not apply to the best estimate of EL for defaulted exposures.</w:t>
      </w:r>
    </w:p>
    <w:p w14:paraId="770AEB56" w14:textId="63A92F82" w:rsidR="00AD4E19" w:rsidRDefault="00AD4E19" w:rsidP="00FE0875">
      <w:pPr>
        <w:pStyle w:val="TableHeadNumber"/>
        <w:ind w:left="1701"/>
      </w:pPr>
      <w:bookmarkStart w:id="64" w:name="_Ref34377238"/>
      <w:r>
        <w:t>LGD floors for</w:t>
      </w:r>
      <w:r w:rsidR="00C25553">
        <w:t xml:space="preserve"> </w:t>
      </w:r>
      <w:r w:rsidR="0014055A">
        <w:t>corporate</w:t>
      </w:r>
      <w:r>
        <w:t xml:space="preserve"> exposures</w:t>
      </w:r>
      <w:bookmarkEnd w:id="64"/>
    </w:p>
    <w:tbl>
      <w:tblPr>
        <w:tblStyle w:val="TableGrid"/>
        <w:tblW w:w="0" w:type="auto"/>
        <w:tblInd w:w="567" w:type="dxa"/>
        <w:tblLook w:val="04A0" w:firstRow="1" w:lastRow="0" w:firstColumn="1" w:lastColumn="0" w:noHBand="0" w:noVBand="1"/>
      </w:tblPr>
      <w:tblGrid>
        <w:gridCol w:w="4248"/>
        <w:gridCol w:w="1701"/>
      </w:tblGrid>
      <w:tr w:rsidR="00386E35" w14:paraId="400633C2" w14:textId="77777777" w:rsidTr="00FE0875">
        <w:tc>
          <w:tcPr>
            <w:tcW w:w="4248" w:type="dxa"/>
            <w:vAlign w:val="center"/>
          </w:tcPr>
          <w:p w14:paraId="50B05B2B" w14:textId="6F546558" w:rsidR="00386E35" w:rsidRPr="00386E35" w:rsidRDefault="00386E35" w:rsidP="00EB1F61">
            <w:pPr>
              <w:keepNext/>
              <w:spacing w:before="60" w:after="60"/>
              <w:rPr>
                <w:b/>
              </w:rPr>
            </w:pPr>
            <w:r w:rsidRPr="00386E35">
              <w:rPr>
                <w:b/>
              </w:rPr>
              <w:t>Collateral type</w:t>
            </w:r>
          </w:p>
        </w:tc>
        <w:tc>
          <w:tcPr>
            <w:tcW w:w="1701" w:type="dxa"/>
          </w:tcPr>
          <w:p w14:paraId="584B00F8" w14:textId="77777777" w:rsidR="0084756B" w:rsidRPr="0084756B" w:rsidRDefault="00386E35" w:rsidP="00EB1F61">
            <w:pPr>
              <w:spacing w:before="60" w:after="60"/>
              <w:jc w:val="center"/>
              <w:rPr>
                <w:b/>
              </w:rPr>
            </w:pPr>
            <w:r w:rsidRPr="00386E35">
              <w:rPr>
                <w:b/>
              </w:rPr>
              <w:t xml:space="preserve">LGD </w:t>
            </w:r>
          </w:p>
          <w:p w14:paraId="18A6548C" w14:textId="50711457" w:rsidR="00386E35" w:rsidRPr="00386E35" w:rsidRDefault="00386E35" w:rsidP="00EB1F61">
            <w:pPr>
              <w:spacing w:before="60" w:after="60"/>
              <w:jc w:val="center"/>
              <w:rPr>
                <w:b/>
              </w:rPr>
            </w:pPr>
            <w:r w:rsidRPr="00386E35">
              <w:rPr>
                <w:b/>
              </w:rPr>
              <w:t>(%)</w:t>
            </w:r>
          </w:p>
        </w:tc>
      </w:tr>
      <w:tr w:rsidR="004658F6" w14:paraId="39EC23DA" w14:textId="77777777" w:rsidTr="00FE0875">
        <w:tc>
          <w:tcPr>
            <w:tcW w:w="4248" w:type="dxa"/>
          </w:tcPr>
          <w:p w14:paraId="0A1BF423" w14:textId="3A4205D1" w:rsidR="004658F6" w:rsidRDefault="004658F6" w:rsidP="00EB1F61">
            <w:pPr>
              <w:keepNext/>
              <w:spacing w:before="60" w:after="60"/>
            </w:pPr>
            <w:r>
              <w:t>Secured</w:t>
            </w:r>
          </w:p>
        </w:tc>
        <w:tc>
          <w:tcPr>
            <w:tcW w:w="1701" w:type="dxa"/>
            <w:vAlign w:val="center"/>
          </w:tcPr>
          <w:p w14:paraId="6D719849" w14:textId="77777777" w:rsidR="004658F6" w:rsidRDefault="004658F6" w:rsidP="00EB1F61">
            <w:pPr>
              <w:spacing w:before="60" w:after="60"/>
              <w:jc w:val="center"/>
            </w:pPr>
          </w:p>
        </w:tc>
      </w:tr>
      <w:tr w:rsidR="00386E35" w14:paraId="312B5B22" w14:textId="77777777" w:rsidTr="00FE0875">
        <w:tc>
          <w:tcPr>
            <w:tcW w:w="4248" w:type="dxa"/>
          </w:tcPr>
          <w:p w14:paraId="48FC7C75" w14:textId="452DD2F1" w:rsidR="00386E35" w:rsidRDefault="00386E35" w:rsidP="00EB1F61">
            <w:pPr>
              <w:keepNext/>
              <w:spacing w:before="60" w:after="60"/>
              <w:ind w:left="567"/>
            </w:pPr>
            <w:r>
              <w:t>Financial</w:t>
            </w:r>
            <w:r w:rsidR="00CD0A15">
              <w:t xml:space="preserve"> collateral</w:t>
            </w:r>
          </w:p>
        </w:tc>
        <w:tc>
          <w:tcPr>
            <w:tcW w:w="1701" w:type="dxa"/>
            <w:vAlign w:val="center"/>
          </w:tcPr>
          <w:p w14:paraId="193F6C53" w14:textId="6965065C" w:rsidR="00386E35" w:rsidRDefault="00386E35" w:rsidP="00EB1F61">
            <w:pPr>
              <w:spacing w:before="60" w:after="60"/>
              <w:jc w:val="center"/>
            </w:pPr>
            <w:r>
              <w:t>0</w:t>
            </w:r>
          </w:p>
        </w:tc>
      </w:tr>
      <w:tr w:rsidR="00386E35" w14:paraId="468C1594" w14:textId="77777777" w:rsidTr="00FE0875">
        <w:tc>
          <w:tcPr>
            <w:tcW w:w="4248" w:type="dxa"/>
          </w:tcPr>
          <w:p w14:paraId="6753FCEB" w14:textId="63B1EB7C" w:rsidR="00386E35" w:rsidRDefault="00386E35" w:rsidP="00EB1F61">
            <w:pPr>
              <w:keepNext/>
              <w:spacing w:before="60" w:after="60"/>
              <w:ind w:left="567"/>
            </w:pPr>
            <w:r>
              <w:t>Receivables</w:t>
            </w:r>
          </w:p>
        </w:tc>
        <w:tc>
          <w:tcPr>
            <w:tcW w:w="1701" w:type="dxa"/>
            <w:vAlign w:val="center"/>
          </w:tcPr>
          <w:p w14:paraId="1C1AADD9" w14:textId="3BA3DBC0" w:rsidR="00386E35" w:rsidRDefault="00386E35" w:rsidP="00EB1F61">
            <w:pPr>
              <w:spacing w:before="60" w:after="60"/>
              <w:jc w:val="center"/>
            </w:pPr>
            <w:r>
              <w:t>10</w:t>
            </w:r>
          </w:p>
        </w:tc>
      </w:tr>
      <w:tr w:rsidR="00386E35" w14:paraId="588A25B3" w14:textId="77777777" w:rsidTr="00FE0875">
        <w:tc>
          <w:tcPr>
            <w:tcW w:w="4248" w:type="dxa"/>
          </w:tcPr>
          <w:p w14:paraId="0724AE01" w14:textId="40288BEF" w:rsidR="00386E35" w:rsidRDefault="00CD0A15" w:rsidP="00EB1F61">
            <w:pPr>
              <w:keepNext/>
              <w:spacing w:before="60" w:after="60"/>
              <w:ind w:left="567"/>
            </w:pPr>
            <w:r>
              <w:t>Commercial or residential</w:t>
            </w:r>
            <w:r w:rsidR="00386E35">
              <w:t xml:space="preserve"> real estate</w:t>
            </w:r>
          </w:p>
        </w:tc>
        <w:tc>
          <w:tcPr>
            <w:tcW w:w="1701" w:type="dxa"/>
            <w:vAlign w:val="center"/>
          </w:tcPr>
          <w:p w14:paraId="25340AAC" w14:textId="44649DD9" w:rsidR="00386E35" w:rsidRDefault="00386E35" w:rsidP="00EB1F61">
            <w:pPr>
              <w:spacing w:before="60" w:after="60"/>
              <w:jc w:val="center"/>
            </w:pPr>
            <w:r>
              <w:t>10</w:t>
            </w:r>
          </w:p>
        </w:tc>
      </w:tr>
      <w:tr w:rsidR="00386E35" w14:paraId="2DC55F73" w14:textId="77777777" w:rsidTr="00FE0875">
        <w:tc>
          <w:tcPr>
            <w:tcW w:w="4248" w:type="dxa"/>
          </w:tcPr>
          <w:p w14:paraId="401A42AD" w14:textId="1FCFF1AD" w:rsidR="00386E35" w:rsidRDefault="00386E35" w:rsidP="00EB1F61">
            <w:pPr>
              <w:keepNext/>
              <w:spacing w:before="60" w:after="60"/>
              <w:ind w:left="567"/>
            </w:pPr>
            <w:r>
              <w:t>Other physical</w:t>
            </w:r>
            <w:r w:rsidR="00CD0A15">
              <w:t xml:space="preserve"> collateral</w:t>
            </w:r>
          </w:p>
        </w:tc>
        <w:tc>
          <w:tcPr>
            <w:tcW w:w="1701" w:type="dxa"/>
            <w:vAlign w:val="center"/>
          </w:tcPr>
          <w:p w14:paraId="4A7CB8AB" w14:textId="7150F957" w:rsidR="00386E35" w:rsidRDefault="00386E35" w:rsidP="00EB1F61">
            <w:pPr>
              <w:spacing w:before="60" w:after="60"/>
              <w:jc w:val="center"/>
            </w:pPr>
            <w:r>
              <w:t>15</w:t>
            </w:r>
          </w:p>
        </w:tc>
      </w:tr>
      <w:tr w:rsidR="00C362AC" w14:paraId="0D66A41C" w14:textId="77777777" w:rsidTr="00FE0875">
        <w:tc>
          <w:tcPr>
            <w:tcW w:w="4248" w:type="dxa"/>
          </w:tcPr>
          <w:p w14:paraId="4303870C" w14:textId="675104A4" w:rsidR="00C362AC" w:rsidRDefault="00C362AC" w:rsidP="00EB1F61">
            <w:pPr>
              <w:spacing w:before="60" w:after="60"/>
              <w:ind w:left="567"/>
            </w:pPr>
            <w:r>
              <w:t>All other collateral</w:t>
            </w:r>
          </w:p>
        </w:tc>
        <w:tc>
          <w:tcPr>
            <w:tcW w:w="1701" w:type="dxa"/>
            <w:vAlign w:val="center"/>
          </w:tcPr>
          <w:p w14:paraId="7960B0AC" w14:textId="2A2BF114" w:rsidR="00C362AC" w:rsidRDefault="00C362AC" w:rsidP="00EB1F61">
            <w:pPr>
              <w:spacing w:before="60" w:after="60"/>
              <w:jc w:val="center"/>
            </w:pPr>
            <w:r>
              <w:t>25</w:t>
            </w:r>
          </w:p>
        </w:tc>
      </w:tr>
      <w:tr w:rsidR="00C25553" w14:paraId="338F7173" w14:textId="77777777" w:rsidTr="00FE0875">
        <w:tc>
          <w:tcPr>
            <w:tcW w:w="4248" w:type="dxa"/>
          </w:tcPr>
          <w:p w14:paraId="5CA665C4" w14:textId="6330F6CF" w:rsidR="00C25553" w:rsidRDefault="004658F6" w:rsidP="00EB1F61">
            <w:pPr>
              <w:spacing w:before="60" w:after="60"/>
            </w:pPr>
            <w:r>
              <w:t>U</w:t>
            </w:r>
            <w:r w:rsidR="00C25553">
              <w:t>nsecured</w:t>
            </w:r>
          </w:p>
        </w:tc>
        <w:tc>
          <w:tcPr>
            <w:tcW w:w="1701" w:type="dxa"/>
            <w:vAlign w:val="center"/>
          </w:tcPr>
          <w:p w14:paraId="769B0158" w14:textId="44A84D4B" w:rsidR="00C25553" w:rsidRDefault="00C25553" w:rsidP="00EB1F61">
            <w:pPr>
              <w:spacing w:before="60" w:after="60"/>
              <w:jc w:val="center"/>
            </w:pPr>
            <w:r>
              <w:t>25</w:t>
            </w:r>
          </w:p>
        </w:tc>
      </w:tr>
    </w:tbl>
    <w:p w14:paraId="36AE75ED" w14:textId="77777777" w:rsidR="00AD4E19" w:rsidRDefault="00AD4E19" w:rsidP="00AD4E19">
      <w:pPr>
        <w:spacing w:after="120"/>
      </w:pPr>
    </w:p>
    <w:p w14:paraId="5AA2D06F" w14:textId="755DB87F" w:rsidR="008D0616" w:rsidRDefault="008D0616" w:rsidP="007213FE">
      <w:pPr>
        <w:pStyle w:val="BodyText1"/>
      </w:pPr>
      <w:r>
        <w:lastRenderedPageBreak/>
        <w:t>The LGD floors</w:t>
      </w:r>
      <w:r w:rsidR="00432AB0">
        <w:t xml:space="preserve"> for secured exposures</w:t>
      </w:r>
      <w:r>
        <w:t xml:space="preserve"> </w:t>
      </w:r>
      <w:r w:rsidR="00CA4DCB">
        <w:t xml:space="preserve">specified </w:t>
      </w:r>
      <w:r>
        <w:t xml:space="preserve">in </w:t>
      </w:r>
      <w:r w:rsidR="00EC3661">
        <w:rPr>
          <w:highlight w:val="yellow"/>
        </w:rPr>
        <w:fldChar w:fldCharType="begin"/>
      </w:r>
      <w:r w:rsidR="00EC3661">
        <w:instrText xml:space="preserve"> REF _Ref34377238 \r \h </w:instrText>
      </w:r>
      <w:r w:rsidR="00EC3661">
        <w:rPr>
          <w:highlight w:val="yellow"/>
        </w:rPr>
      </w:r>
      <w:r w:rsidR="00EC3661">
        <w:rPr>
          <w:highlight w:val="yellow"/>
        </w:rPr>
        <w:fldChar w:fldCharType="separate"/>
      </w:r>
      <w:r w:rsidR="00550C88">
        <w:t>Table 6</w:t>
      </w:r>
      <w:r w:rsidR="00EC3661">
        <w:rPr>
          <w:highlight w:val="yellow"/>
        </w:rPr>
        <w:fldChar w:fldCharType="end"/>
      </w:r>
      <w:r>
        <w:t xml:space="preserve"> must be applied whe</w:t>
      </w:r>
      <w:r w:rsidR="00E8564B">
        <w:t>re</w:t>
      </w:r>
      <w:r>
        <w:t xml:space="preserve"> </w:t>
      </w:r>
      <w:r w:rsidR="0014055A">
        <w:t>an</w:t>
      </w:r>
      <w:r>
        <w:t xml:space="preserve"> exposure is fully secured (i.e. the value of collateral after </w:t>
      </w:r>
      <w:r w:rsidR="00E8564B">
        <w:t>applying</w:t>
      </w:r>
      <w:r>
        <w:t xml:space="preserve"> </w:t>
      </w:r>
      <w:r w:rsidR="00781FAD">
        <w:t xml:space="preserve">the </w:t>
      </w:r>
      <w:r>
        <w:t>haircuts</w:t>
      </w:r>
      <w:r w:rsidR="00781FAD">
        <w:t xml:space="preserve"> specified in</w:t>
      </w:r>
      <w:r w:rsidR="009B1989">
        <w:t xml:space="preserve"> </w:t>
      </w:r>
      <w:r w:rsidR="009B1989">
        <w:fldChar w:fldCharType="begin"/>
      </w:r>
      <w:r w:rsidR="009B1989">
        <w:instrText xml:space="preserve"> REF _Ref34375614 \r \h </w:instrText>
      </w:r>
      <w:r w:rsidR="009B1989">
        <w:fldChar w:fldCharType="separate"/>
      </w:r>
      <w:r w:rsidR="00550C88">
        <w:t>Table 5</w:t>
      </w:r>
      <w:r w:rsidR="009B1989">
        <w:fldChar w:fldCharType="end"/>
      </w:r>
      <w:r>
        <w:t xml:space="preserve"> exce</w:t>
      </w:r>
      <w:r w:rsidR="009B1989">
        <w:t>eds the value of the exposure).</w:t>
      </w:r>
    </w:p>
    <w:p w14:paraId="00978CB7" w14:textId="5DDA3175" w:rsidR="008D0616" w:rsidRDefault="008D0616" w:rsidP="007213FE">
      <w:pPr>
        <w:pStyle w:val="BodyText1"/>
      </w:pPr>
      <w:bookmarkStart w:id="65" w:name="_Ref34379182"/>
      <w:r>
        <w:t xml:space="preserve">The LGD floor for a partially secured exposure must be </w:t>
      </w:r>
      <w:r w:rsidR="00402C9C">
        <w:t xml:space="preserve">calculated as </w:t>
      </w:r>
      <w:r w:rsidR="00501E6F">
        <w:t>the</w:t>
      </w:r>
      <w:r w:rsidR="00402C9C">
        <w:t xml:space="preserve"> </w:t>
      </w:r>
      <w:r w:rsidR="00AB3723">
        <w:t>exposure-</w:t>
      </w:r>
      <w:r w:rsidR="00402C9C">
        <w:t xml:space="preserve">weighted average of </w:t>
      </w:r>
      <w:r w:rsidR="00A00E2C">
        <w:t>t</w:t>
      </w:r>
      <w:r w:rsidR="00FF0964">
        <w:t xml:space="preserve">he LGD floor </w:t>
      </w:r>
      <w:r w:rsidR="00402C9C">
        <w:t>for the unsecured portion and the LGD floor for the secured portion</w:t>
      </w:r>
      <w:r w:rsidR="009A57B5">
        <w:t>. The following formula must be used for this purpose:</w:t>
      </w:r>
      <w:bookmarkEnd w:id="65"/>
    </w:p>
    <w:p w14:paraId="20345803" w14:textId="55AB27F6" w:rsidR="00117C30" w:rsidRDefault="00117C30" w:rsidP="00467C41">
      <w:pPr>
        <w:ind w:left="567"/>
      </w:pPr>
      <w:r>
        <w:rPr>
          <w:noProof/>
        </w:rPr>
        <w:drawing>
          <wp:inline distT="0" distB="0" distL="0" distR="0" wp14:anchorId="2228E9ED" wp14:editId="7ABF99DD">
            <wp:extent cx="5278120" cy="539750"/>
            <wp:effectExtent l="0" t="0" r="0" b="0"/>
            <wp:docPr id="16" name="Picture 16" descr="Formula for the LGD floor for corporate exposures under the advanced IRB appr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ormula for the LGD floor for corporate exposures under the advanced IRB approach."/>
                    <pic:cNvPicPr/>
                  </pic:nvPicPr>
                  <pic:blipFill>
                    <a:blip r:embed="rId33"/>
                    <a:stretch>
                      <a:fillRect/>
                    </a:stretch>
                  </pic:blipFill>
                  <pic:spPr>
                    <a:xfrm>
                      <a:off x="0" y="0"/>
                      <a:ext cx="5278120" cy="539750"/>
                    </a:xfrm>
                    <a:prstGeom prst="rect">
                      <a:avLst/>
                    </a:prstGeom>
                  </pic:spPr>
                </pic:pic>
              </a:graphicData>
            </a:graphic>
          </wp:inline>
        </w:drawing>
      </w:r>
    </w:p>
    <w:p w14:paraId="4FE197E2" w14:textId="21499DB8" w:rsidR="00467C41" w:rsidRDefault="00467C41" w:rsidP="00467C41">
      <w:pPr>
        <w:ind w:left="567"/>
      </w:pPr>
      <w:r>
        <w:t>where:</w:t>
      </w:r>
    </w:p>
    <w:p w14:paraId="1C8C94E4" w14:textId="53C7F90B" w:rsidR="00467C41" w:rsidRDefault="00467C41" w:rsidP="002A2D6D">
      <w:pPr>
        <w:pStyle w:val="BodyText2"/>
        <w:numPr>
          <w:ilvl w:val="0"/>
          <w:numId w:val="9"/>
        </w:numPr>
      </w:pPr>
      <w:r w:rsidRPr="00467C41">
        <w:rPr>
          <w:i/>
        </w:rPr>
        <w:t>LGD</w:t>
      </w:r>
      <w:r w:rsidRPr="00467C41">
        <w:rPr>
          <w:i/>
          <w:vertAlign w:val="subscript"/>
        </w:rPr>
        <w:t>U floor</w:t>
      </w:r>
      <w:r>
        <w:t xml:space="preserve"> and </w:t>
      </w:r>
      <w:r w:rsidRPr="00467C41">
        <w:rPr>
          <w:i/>
        </w:rPr>
        <w:t>LGD</w:t>
      </w:r>
      <w:r>
        <w:rPr>
          <w:i/>
          <w:vertAlign w:val="subscript"/>
        </w:rPr>
        <w:t>S</w:t>
      </w:r>
      <w:r w:rsidRPr="00F34FB1">
        <w:rPr>
          <w:i/>
          <w:vertAlign w:val="subscript"/>
        </w:rPr>
        <w:t xml:space="preserve"> floor</w:t>
      </w:r>
      <w:r>
        <w:t xml:space="preserve"> are the floor value</w:t>
      </w:r>
      <w:r w:rsidR="00FF0964">
        <w:t>s for unsecured and fully secured exposures</w:t>
      </w:r>
      <w:r>
        <w:t xml:space="preserve"> as specified in </w:t>
      </w:r>
      <w:r w:rsidR="00703399">
        <w:rPr>
          <w:highlight w:val="yellow"/>
        </w:rPr>
        <w:fldChar w:fldCharType="begin"/>
      </w:r>
      <w:r w:rsidR="00703399">
        <w:instrText xml:space="preserve"> REF _Ref34377238 \r \h </w:instrText>
      </w:r>
      <w:r w:rsidR="00703399">
        <w:rPr>
          <w:highlight w:val="yellow"/>
        </w:rPr>
      </w:r>
      <w:r w:rsidR="00703399">
        <w:rPr>
          <w:highlight w:val="yellow"/>
        </w:rPr>
        <w:fldChar w:fldCharType="separate"/>
      </w:r>
      <w:r w:rsidR="00550C88">
        <w:t>Table 6</w:t>
      </w:r>
      <w:r w:rsidR="00703399">
        <w:rPr>
          <w:highlight w:val="yellow"/>
        </w:rPr>
        <w:fldChar w:fldCharType="end"/>
      </w:r>
      <w:r w:rsidR="00703399">
        <w:t>.</w:t>
      </w:r>
    </w:p>
    <w:p w14:paraId="76187838" w14:textId="3FB45EB6" w:rsidR="00467C41" w:rsidRDefault="00467C41" w:rsidP="002A2D6D">
      <w:pPr>
        <w:pStyle w:val="BodyText2"/>
        <w:numPr>
          <w:ilvl w:val="0"/>
          <w:numId w:val="9"/>
        </w:numPr>
      </w:pPr>
      <w:r>
        <w:t xml:space="preserve">The other terms are as defined </w:t>
      </w:r>
      <w:r w:rsidRPr="00703399">
        <w:t xml:space="preserve">in </w:t>
      </w:r>
      <w:r w:rsidRPr="00332E60">
        <w:t>paragraph</w:t>
      </w:r>
      <w:r w:rsidR="00703399" w:rsidRPr="00332E60">
        <w:t xml:space="preserve">s </w:t>
      </w:r>
      <w:r w:rsidR="00703399" w:rsidRPr="00380054">
        <w:fldChar w:fldCharType="begin"/>
      </w:r>
      <w:r w:rsidR="00703399" w:rsidRPr="00332E60">
        <w:instrText xml:space="preserve"> REF _Ref34377171 \r \h  \* MERGEFORMAT </w:instrText>
      </w:r>
      <w:r w:rsidR="00703399" w:rsidRPr="00380054">
        <w:fldChar w:fldCharType="separate"/>
      </w:r>
      <w:r w:rsidR="00550C88">
        <w:t>14</w:t>
      </w:r>
      <w:r w:rsidR="00703399" w:rsidRPr="00380054">
        <w:fldChar w:fldCharType="end"/>
      </w:r>
      <w:r w:rsidR="00703399" w:rsidRPr="00380054">
        <w:t xml:space="preserve"> and </w:t>
      </w:r>
      <w:r w:rsidR="00703399" w:rsidRPr="00380054">
        <w:fldChar w:fldCharType="begin"/>
      </w:r>
      <w:r w:rsidR="00703399" w:rsidRPr="00332E60">
        <w:instrText xml:space="preserve"> REF _Ref34378727 \r \h  \* MERGEFORMAT </w:instrText>
      </w:r>
      <w:r w:rsidR="00703399" w:rsidRPr="00380054">
        <w:fldChar w:fldCharType="separate"/>
      </w:r>
      <w:r w:rsidR="00550C88">
        <w:t>16</w:t>
      </w:r>
      <w:r w:rsidR="00703399" w:rsidRPr="00380054">
        <w:fldChar w:fldCharType="end"/>
      </w:r>
      <w:r w:rsidRPr="00332E60">
        <w:t xml:space="preserve"> of this</w:t>
      </w:r>
      <w:r>
        <w:t xml:space="preserve"> Attachment.</w:t>
      </w:r>
    </w:p>
    <w:p w14:paraId="5EAB0372" w14:textId="06EC833B" w:rsidR="0074000F" w:rsidRDefault="00501E6F" w:rsidP="00317199">
      <w:pPr>
        <w:pStyle w:val="Heading3"/>
      </w:pPr>
      <w:r>
        <w:t>R</w:t>
      </w:r>
      <w:r w:rsidR="0074000F">
        <w:t xml:space="preserve">etail </w:t>
      </w:r>
      <w:r w:rsidR="00E61FD6">
        <w:t>exposures</w:t>
      </w:r>
    </w:p>
    <w:p w14:paraId="61B00BA5" w14:textId="3CF83E76" w:rsidR="0074000F" w:rsidRDefault="0074000F" w:rsidP="008E6119">
      <w:pPr>
        <w:pStyle w:val="BodyText1"/>
      </w:pPr>
      <w:r>
        <w:t xml:space="preserve">For retail exposures, the LGD for each exposure that is used as </w:t>
      </w:r>
      <w:r w:rsidR="00170565">
        <w:t>an</w:t>
      </w:r>
      <w:r>
        <w:t xml:space="preserve"> input to the risk</w:t>
      </w:r>
      <w:r w:rsidR="00170565">
        <w:t>-</w:t>
      </w:r>
      <w:r>
        <w:t xml:space="preserve">weight </w:t>
      </w:r>
      <w:r w:rsidR="00170565">
        <w:t>function</w:t>
      </w:r>
      <w:r>
        <w:t xml:space="preserve"> and the calculation of </w:t>
      </w:r>
      <w:r w:rsidR="002F4629">
        <w:t>EL</w:t>
      </w:r>
      <w:r>
        <w:t xml:space="preserve"> must not be less than the floors detailed in </w:t>
      </w:r>
      <w:r w:rsidR="00703399">
        <w:rPr>
          <w:highlight w:val="yellow"/>
        </w:rPr>
        <w:fldChar w:fldCharType="begin"/>
      </w:r>
      <w:r w:rsidR="00703399">
        <w:instrText xml:space="preserve"> REF _Ref34378804 \r \h </w:instrText>
      </w:r>
      <w:r w:rsidR="00703399">
        <w:rPr>
          <w:highlight w:val="yellow"/>
        </w:rPr>
      </w:r>
      <w:r w:rsidR="00703399">
        <w:rPr>
          <w:highlight w:val="yellow"/>
        </w:rPr>
        <w:fldChar w:fldCharType="separate"/>
      </w:r>
      <w:r w:rsidR="00550C88">
        <w:t>Table 7</w:t>
      </w:r>
      <w:r w:rsidR="00703399">
        <w:rPr>
          <w:highlight w:val="yellow"/>
        </w:rPr>
        <w:fldChar w:fldCharType="end"/>
      </w:r>
      <w:r>
        <w:t xml:space="preserve">. </w:t>
      </w:r>
      <w:r w:rsidR="00241468">
        <w:t>However,</w:t>
      </w:r>
      <w:r w:rsidR="00195CE6">
        <w:t xml:space="preserve"> the floor does not apply to the best estimate of EL for defaulted exposures.</w:t>
      </w:r>
    </w:p>
    <w:p w14:paraId="69BA9D7A" w14:textId="5B801398" w:rsidR="008E6119" w:rsidRDefault="008E6119" w:rsidP="00FE0875">
      <w:pPr>
        <w:pStyle w:val="TableHeadNumber"/>
        <w:ind w:left="1701"/>
      </w:pPr>
      <w:bookmarkStart w:id="66" w:name="_Ref34378804"/>
      <w:r>
        <w:t>LGD floors for retail exposures</w:t>
      </w:r>
      <w:bookmarkEnd w:id="66"/>
    </w:p>
    <w:tbl>
      <w:tblPr>
        <w:tblStyle w:val="TableGrid"/>
        <w:tblW w:w="0" w:type="auto"/>
        <w:tblInd w:w="562" w:type="dxa"/>
        <w:tblLook w:val="04A0" w:firstRow="1" w:lastRow="0" w:firstColumn="1" w:lastColumn="0" w:noHBand="0" w:noVBand="1"/>
      </w:tblPr>
      <w:tblGrid>
        <w:gridCol w:w="4395"/>
        <w:gridCol w:w="1701"/>
      </w:tblGrid>
      <w:tr w:rsidR="00CD0A15" w14:paraId="3E41EB5E" w14:textId="77777777" w:rsidTr="00FE0875">
        <w:tc>
          <w:tcPr>
            <w:tcW w:w="4395" w:type="dxa"/>
            <w:vAlign w:val="center"/>
          </w:tcPr>
          <w:p w14:paraId="1D29E6EA" w14:textId="705129FF" w:rsidR="00CD0A15" w:rsidRPr="00423533" w:rsidRDefault="00423533" w:rsidP="00EB1F61">
            <w:pPr>
              <w:pStyle w:val="BodyText1"/>
              <w:keepNext/>
              <w:numPr>
                <w:ilvl w:val="0"/>
                <w:numId w:val="0"/>
              </w:numPr>
              <w:spacing w:before="60" w:after="60"/>
              <w:jc w:val="left"/>
              <w:rPr>
                <w:b/>
              </w:rPr>
            </w:pPr>
            <w:r w:rsidRPr="00423533">
              <w:rPr>
                <w:b/>
              </w:rPr>
              <w:t>Exposure</w:t>
            </w:r>
            <w:r w:rsidR="008C5BCF">
              <w:rPr>
                <w:b/>
              </w:rPr>
              <w:t xml:space="preserve"> type</w:t>
            </w:r>
          </w:p>
        </w:tc>
        <w:tc>
          <w:tcPr>
            <w:tcW w:w="1701" w:type="dxa"/>
            <w:vAlign w:val="center"/>
          </w:tcPr>
          <w:p w14:paraId="5BB627B5" w14:textId="464C3ABD" w:rsidR="00CD0A15" w:rsidRDefault="00CD0A15" w:rsidP="00EB1F61">
            <w:pPr>
              <w:pStyle w:val="BodyText1"/>
              <w:numPr>
                <w:ilvl w:val="0"/>
                <w:numId w:val="0"/>
              </w:numPr>
              <w:spacing w:before="60" w:after="60"/>
              <w:jc w:val="center"/>
              <w:rPr>
                <w:b/>
              </w:rPr>
            </w:pPr>
            <w:r>
              <w:rPr>
                <w:b/>
              </w:rPr>
              <w:t>LGD</w:t>
            </w:r>
          </w:p>
          <w:p w14:paraId="6B8C67B0" w14:textId="4B4FCB86" w:rsidR="00CD0A15" w:rsidRPr="00E33FCF" w:rsidRDefault="00CD0A15" w:rsidP="00EB1F61">
            <w:pPr>
              <w:pStyle w:val="BodyText1"/>
              <w:numPr>
                <w:ilvl w:val="0"/>
                <w:numId w:val="0"/>
              </w:numPr>
              <w:spacing w:before="60" w:after="60"/>
              <w:jc w:val="center"/>
              <w:rPr>
                <w:b/>
              </w:rPr>
            </w:pPr>
            <w:r>
              <w:rPr>
                <w:b/>
              </w:rPr>
              <w:t>(%)</w:t>
            </w:r>
          </w:p>
        </w:tc>
      </w:tr>
      <w:tr w:rsidR="00CD0A15" w14:paraId="70893070" w14:textId="77777777" w:rsidTr="00FE0875">
        <w:tc>
          <w:tcPr>
            <w:tcW w:w="4395" w:type="dxa"/>
          </w:tcPr>
          <w:p w14:paraId="01EF4148" w14:textId="4B66B63B" w:rsidR="00CD0A15" w:rsidRPr="00423533" w:rsidRDefault="001919D9" w:rsidP="00EB1F61">
            <w:pPr>
              <w:pStyle w:val="BodyText1"/>
              <w:numPr>
                <w:ilvl w:val="0"/>
                <w:numId w:val="0"/>
              </w:numPr>
              <w:spacing w:before="60" w:after="60"/>
            </w:pPr>
            <w:r>
              <w:t>R</w:t>
            </w:r>
            <w:r w:rsidR="00F35E60">
              <w:t>e</w:t>
            </w:r>
            <w:r w:rsidR="009A1C31">
              <w:t>tail re</w:t>
            </w:r>
            <w:r>
              <w:t>sidential m</w:t>
            </w:r>
            <w:r w:rsidR="00CD0A15" w:rsidRPr="00423533">
              <w:t>ortgage</w:t>
            </w:r>
          </w:p>
        </w:tc>
        <w:tc>
          <w:tcPr>
            <w:tcW w:w="1701" w:type="dxa"/>
            <w:vAlign w:val="center"/>
          </w:tcPr>
          <w:p w14:paraId="52A8093F" w14:textId="047CC172" w:rsidR="00CD0A15" w:rsidRDefault="00CD0A15" w:rsidP="00EB1F61">
            <w:pPr>
              <w:pStyle w:val="BodyText1"/>
              <w:numPr>
                <w:ilvl w:val="0"/>
                <w:numId w:val="0"/>
              </w:numPr>
              <w:spacing w:before="60" w:after="60"/>
              <w:jc w:val="center"/>
            </w:pPr>
            <w:r>
              <w:t>10</w:t>
            </w:r>
          </w:p>
        </w:tc>
      </w:tr>
      <w:tr w:rsidR="00CD0A15" w14:paraId="6FB6EC54" w14:textId="77777777" w:rsidTr="00FE0875">
        <w:tc>
          <w:tcPr>
            <w:tcW w:w="4395" w:type="dxa"/>
          </w:tcPr>
          <w:p w14:paraId="7EF0B465" w14:textId="7D58558E" w:rsidR="00CD0A15" w:rsidRPr="00423533" w:rsidRDefault="00CD0A15" w:rsidP="00EB1F61">
            <w:pPr>
              <w:pStyle w:val="BodyText1"/>
              <w:numPr>
                <w:ilvl w:val="0"/>
                <w:numId w:val="0"/>
              </w:numPr>
              <w:spacing w:before="60" w:after="60"/>
            </w:pPr>
            <w:r w:rsidRPr="00423533">
              <w:t xml:space="preserve">Other secured </w:t>
            </w:r>
          </w:p>
        </w:tc>
        <w:tc>
          <w:tcPr>
            <w:tcW w:w="1701" w:type="dxa"/>
            <w:vAlign w:val="center"/>
          </w:tcPr>
          <w:p w14:paraId="734575F5" w14:textId="584A5334" w:rsidR="00CD0A15" w:rsidRDefault="00CD0A15" w:rsidP="00EB1F61">
            <w:pPr>
              <w:pStyle w:val="BodyText1"/>
              <w:numPr>
                <w:ilvl w:val="0"/>
                <w:numId w:val="0"/>
              </w:numPr>
              <w:spacing w:before="60" w:after="60"/>
              <w:jc w:val="center"/>
            </w:pPr>
          </w:p>
        </w:tc>
      </w:tr>
      <w:tr w:rsidR="00CD0A15" w14:paraId="0656C13D" w14:textId="77777777" w:rsidTr="00FE0875">
        <w:tc>
          <w:tcPr>
            <w:tcW w:w="4395" w:type="dxa"/>
          </w:tcPr>
          <w:p w14:paraId="64F05DF7" w14:textId="5E921B06" w:rsidR="00CD0A15" w:rsidRPr="00423533" w:rsidRDefault="00CD0A15" w:rsidP="00EB1F61">
            <w:pPr>
              <w:pStyle w:val="BodyText1"/>
              <w:numPr>
                <w:ilvl w:val="0"/>
                <w:numId w:val="0"/>
              </w:numPr>
              <w:spacing w:before="60" w:after="60"/>
              <w:ind w:left="567"/>
            </w:pPr>
            <w:r w:rsidRPr="00423533">
              <w:t>Financial collateral</w:t>
            </w:r>
          </w:p>
        </w:tc>
        <w:tc>
          <w:tcPr>
            <w:tcW w:w="1701" w:type="dxa"/>
            <w:vAlign w:val="center"/>
          </w:tcPr>
          <w:p w14:paraId="7451C237" w14:textId="696A850F" w:rsidR="00CD0A15" w:rsidRDefault="00CD0A15" w:rsidP="00EB1F61">
            <w:pPr>
              <w:pStyle w:val="BodyText1"/>
              <w:numPr>
                <w:ilvl w:val="0"/>
                <w:numId w:val="0"/>
              </w:numPr>
              <w:spacing w:before="60" w:after="60"/>
              <w:jc w:val="center"/>
            </w:pPr>
            <w:r>
              <w:t>0</w:t>
            </w:r>
          </w:p>
        </w:tc>
      </w:tr>
      <w:tr w:rsidR="00CD0A15" w14:paraId="034B42B1" w14:textId="77777777" w:rsidTr="00FE0875">
        <w:tc>
          <w:tcPr>
            <w:tcW w:w="4395" w:type="dxa"/>
          </w:tcPr>
          <w:p w14:paraId="6CAC9479" w14:textId="4DB49E1E" w:rsidR="00CD0A15" w:rsidRPr="00423533" w:rsidRDefault="00CD0A15" w:rsidP="00EB1F61">
            <w:pPr>
              <w:pStyle w:val="BodyText1"/>
              <w:numPr>
                <w:ilvl w:val="0"/>
                <w:numId w:val="0"/>
              </w:numPr>
              <w:spacing w:before="60" w:after="60"/>
              <w:ind w:left="567"/>
            </w:pPr>
            <w:r w:rsidRPr="00423533">
              <w:t xml:space="preserve">Receivables </w:t>
            </w:r>
          </w:p>
        </w:tc>
        <w:tc>
          <w:tcPr>
            <w:tcW w:w="1701" w:type="dxa"/>
            <w:vAlign w:val="center"/>
          </w:tcPr>
          <w:p w14:paraId="33C8E9C2" w14:textId="367F7946" w:rsidR="00CD0A15" w:rsidRDefault="00CD0A15" w:rsidP="00EB1F61">
            <w:pPr>
              <w:pStyle w:val="BodyText1"/>
              <w:numPr>
                <w:ilvl w:val="0"/>
                <w:numId w:val="0"/>
              </w:numPr>
              <w:spacing w:before="60" w:after="60"/>
              <w:jc w:val="center"/>
            </w:pPr>
            <w:r>
              <w:t>10</w:t>
            </w:r>
          </w:p>
        </w:tc>
      </w:tr>
      <w:tr w:rsidR="00CD0A15" w14:paraId="2CC1347C" w14:textId="77777777" w:rsidTr="00FE0875">
        <w:tc>
          <w:tcPr>
            <w:tcW w:w="4395" w:type="dxa"/>
          </w:tcPr>
          <w:p w14:paraId="55029441" w14:textId="7BEEC0F7" w:rsidR="00CD0A15" w:rsidRPr="00423533" w:rsidRDefault="0054009A" w:rsidP="00EB1F61">
            <w:pPr>
              <w:pStyle w:val="BodyText1"/>
              <w:numPr>
                <w:ilvl w:val="0"/>
                <w:numId w:val="0"/>
              </w:numPr>
              <w:spacing w:before="60" w:after="60"/>
              <w:ind w:left="567"/>
              <w:jc w:val="left"/>
            </w:pPr>
            <w:r>
              <w:t xml:space="preserve">Commercial </w:t>
            </w:r>
            <w:r w:rsidR="00537632">
              <w:t xml:space="preserve">or residential </w:t>
            </w:r>
            <w:r w:rsidR="00CD0A15" w:rsidRPr="00423533">
              <w:t>real estate</w:t>
            </w:r>
          </w:p>
        </w:tc>
        <w:tc>
          <w:tcPr>
            <w:tcW w:w="1701" w:type="dxa"/>
            <w:vAlign w:val="center"/>
          </w:tcPr>
          <w:p w14:paraId="5EFE5A67" w14:textId="535C50B0" w:rsidR="00CD0A15" w:rsidRDefault="00CD0A15" w:rsidP="00EB1F61">
            <w:pPr>
              <w:pStyle w:val="BodyText1"/>
              <w:numPr>
                <w:ilvl w:val="0"/>
                <w:numId w:val="0"/>
              </w:numPr>
              <w:spacing w:before="60" w:after="60"/>
              <w:jc w:val="center"/>
            </w:pPr>
            <w:r>
              <w:t>10</w:t>
            </w:r>
          </w:p>
        </w:tc>
      </w:tr>
      <w:tr w:rsidR="00CD0A15" w14:paraId="2C6FEA72" w14:textId="77777777" w:rsidTr="00FE0875">
        <w:tc>
          <w:tcPr>
            <w:tcW w:w="4395" w:type="dxa"/>
          </w:tcPr>
          <w:p w14:paraId="34F780CA" w14:textId="2EB439B6" w:rsidR="00CD0A15" w:rsidRPr="00423533" w:rsidRDefault="00CD0A15" w:rsidP="00EB1F61">
            <w:pPr>
              <w:pStyle w:val="BodyText1"/>
              <w:numPr>
                <w:ilvl w:val="0"/>
                <w:numId w:val="0"/>
              </w:numPr>
              <w:spacing w:before="60" w:after="60"/>
              <w:ind w:left="567"/>
            </w:pPr>
            <w:r w:rsidRPr="00423533">
              <w:t>Other physical collateral</w:t>
            </w:r>
          </w:p>
        </w:tc>
        <w:tc>
          <w:tcPr>
            <w:tcW w:w="1701" w:type="dxa"/>
            <w:vAlign w:val="center"/>
          </w:tcPr>
          <w:p w14:paraId="16148646" w14:textId="17905D1C" w:rsidR="00CD0A15" w:rsidRDefault="00CD0A15" w:rsidP="00EB1F61">
            <w:pPr>
              <w:pStyle w:val="BodyText1"/>
              <w:numPr>
                <w:ilvl w:val="0"/>
                <w:numId w:val="0"/>
              </w:numPr>
              <w:spacing w:before="60" w:after="60"/>
              <w:jc w:val="center"/>
            </w:pPr>
            <w:r>
              <w:t>15</w:t>
            </w:r>
          </w:p>
        </w:tc>
      </w:tr>
      <w:tr w:rsidR="001919D9" w14:paraId="2464E634" w14:textId="77777777" w:rsidTr="00FE0875">
        <w:tc>
          <w:tcPr>
            <w:tcW w:w="4395" w:type="dxa"/>
          </w:tcPr>
          <w:p w14:paraId="68382FC5" w14:textId="2C7FBEB5" w:rsidR="001919D9" w:rsidRPr="00423533" w:rsidRDefault="001919D9" w:rsidP="00EB1F61">
            <w:pPr>
              <w:pStyle w:val="BodyText1"/>
              <w:numPr>
                <w:ilvl w:val="0"/>
                <w:numId w:val="0"/>
              </w:numPr>
              <w:spacing w:before="60" w:after="60"/>
              <w:ind w:left="567"/>
            </w:pPr>
            <w:r>
              <w:t>All other collateral</w:t>
            </w:r>
          </w:p>
        </w:tc>
        <w:tc>
          <w:tcPr>
            <w:tcW w:w="1701" w:type="dxa"/>
            <w:vAlign w:val="center"/>
          </w:tcPr>
          <w:p w14:paraId="4E8D78EC" w14:textId="3BC3FC26" w:rsidR="001919D9" w:rsidRDefault="001919D9" w:rsidP="00EB1F61">
            <w:pPr>
              <w:pStyle w:val="BodyText1"/>
              <w:numPr>
                <w:ilvl w:val="0"/>
                <w:numId w:val="0"/>
              </w:numPr>
              <w:spacing w:before="60" w:after="60"/>
              <w:jc w:val="center"/>
            </w:pPr>
            <w:r>
              <w:t>30</w:t>
            </w:r>
          </w:p>
        </w:tc>
      </w:tr>
      <w:tr w:rsidR="00CD0A15" w14:paraId="477A7FE1" w14:textId="77777777" w:rsidTr="00FE0875">
        <w:tc>
          <w:tcPr>
            <w:tcW w:w="4395" w:type="dxa"/>
          </w:tcPr>
          <w:p w14:paraId="01BA4AD8" w14:textId="76856A70" w:rsidR="00CD0A15" w:rsidRPr="00423533" w:rsidRDefault="005F2379" w:rsidP="00EB1F61">
            <w:pPr>
              <w:pStyle w:val="BodyText1"/>
              <w:numPr>
                <w:ilvl w:val="0"/>
                <w:numId w:val="0"/>
              </w:numPr>
              <w:spacing w:before="60" w:after="60"/>
            </w:pPr>
            <w:r>
              <w:t>U</w:t>
            </w:r>
            <w:r w:rsidR="00CD0A15" w:rsidRPr="00423533">
              <w:t>nsecured</w:t>
            </w:r>
          </w:p>
        </w:tc>
        <w:tc>
          <w:tcPr>
            <w:tcW w:w="1701" w:type="dxa"/>
            <w:vAlign w:val="center"/>
          </w:tcPr>
          <w:p w14:paraId="62D60494" w14:textId="77513635" w:rsidR="00CD0A15" w:rsidRDefault="00CD0A15" w:rsidP="00EB1F61">
            <w:pPr>
              <w:pStyle w:val="BodyText1"/>
              <w:numPr>
                <w:ilvl w:val="0"/>
                <w:numId w:val="0"/>
              </w:numPr>
              <w:spacing w:before="60" w:after="60"/>
              <w:jc w:val="center"/>
            </w:pPr>
          </w:p>
        </w:tc>
      </w:tr>
      <w:tr w:rsidR="008F0685" w14:paraId="14782531" w14:textId="77777777" w:rsidTr="00FE0875">
        <w:tc>
          <w:tcPr>
            <w:tcW w:w="4395" w:type="dxa"/>
          </w:tcPr>
          <w:p w14:paraId="47A2B952" w14:textId="7A7EC22E" w:rsidR="008F0685" w:rsidRPr="00423533" w:rsidDel="005F2379" w:rsidRDefault="008F0685" w:rsidP="00EB1F61">
            <w:pPr>
              <w:pStyle w:val="BodyText1"/>
              <w:numPr>
                <w:ilvl w:val="0"/>
                <w:numId w:val="0"/>
              </w:numPr>
              <w:spacing w:before="60" w:after="60"/>
              <w:ind w:left="567"/>
            </w:pPr>
            <w:r>
              <w:t>QRR</w:t>
            </w:r>
          </w:p>
        </w:tc>
        <w:tc>
          <w:tcPr>
            <w:tcW w:w="1701" w:type="dxa"/>
            <w:vAlign w:val="center"/>
          </w:tcPr>
          <w:p w14:paraId="48AC48F8" w14:textId="4E2D1659" w:rsidR="008F0685" w:rsidRDefault="008F0685" w:rsidP="00EB1F61">
            <w:pPr>
              <w:pStyle w:val="BodyText1"/>
              <w:numPr>
                <w:ilvl w:val="0"/>
                <w:numId w:val="0"/>
              </w:numPr>
              <w:spacing w:before="60" w:after="60"/>
              <w:jc w:val="center"/>
            </w:pPr>
            <w:r>
              <w:t>50</w:t>
            </w:r>
          </w:p>
        </w:tc>
      </w:tr>
      <w:tr w:rsidR="008F0685" w14:paraId="7857BDEE" w14:textId="77777777" w:rsidTr="00FE0875">
        <w:tc>
          <w:tcPr>
            <w:tcW w:w="4395" w:type="dxa"/>
          </w:tcPr>
          <w:p w14:paraId="285E9FB0" w14:textId="63A27A60" w:rsidR="008F0685" w:rsidRDefault="008F0685" w:rsidP="00EB1F61">
            <w:pPr>
              <w:pStyle w:val="BodyText1"/>
              <w:numPr>
                <w:ilvl w:val="0"/>
                <w:numId w:val="0"/>
              </w:numPr>
              <w:spacing w:before="60" w:after="60"/>
              <w:ind w:left="567"/>
            </w:pPr>
            <w:r>
              <w:t>All other unsecured</w:t>
            </w:r>
          </w:p>
        </w:tc>
        <w:tc>
          <w:tcPr>
            <w:tcW w:w="1701" w:type="dxa"/>
            <w:vAlign w:val="center"/>
          </w:tcPr>
          <w:p w14:paraId="5120F4AF" w14:textId="635BA746" w:rsidR="008F0685" w:rsidRDefault="008F0685" w:rsidP="00EB1F61">
            <w:pPr>
              <w:pStyle w:val="BodyText1"/>
              <w:numPr>
                <w:ilvl w:val="0"/>
                <w:numId w:val="0"/>
              </w:numPr>
              <w:spacing w:before="60" w:after="60"/>
              <w:jc w:val="center"/>
            </w:pPr>
            <w:r>
              <w:t>30</w:t>
            </w:r>
          </w:p>
        </w:tc>
      </w:tr>
    </w:tbl>
    <w:p w14:paraId="7DE57B54" w14:textId="77777777" w:rsidR="0084756B" w:rsidRDefault="0084756B" w:rsidP="00A25ADC">
      <w:pPr>
        <w:pStyle w:val="BodyText1"/>
        <w:numPr>
          <w:ilvl w:val="0"/>
          <w:numId w:val="0"/>
        </w:numPr>
        <w:ind w:left="567" w:hanging="567"/>
      </w:pPr>
    </w:p>
    <w:p w14:paraId="589D707C" w14:textId="0AB4F949" w:rsidR="00F35E60" w:rsidRDefault="00F35E60" w:rsidP="00B71F35">
      <w:pPr>
        <w:pStyle w:val="BodyText1"/>
      </w:pPr>
      <w:r>
        <w:t>The LGD floors</w:t>
      </w:r>
      <w:r w:rsidR="00FF4B17">
        <w:t xml:space="preserve"> for secured exposures</w:t>
      </w:r>
      <w:r w:rsidR="00CA4DCB">
        <w:t xml:space="preserve"> specified</w:t>
      </w:r>
      <w:r>
        <w:t xml:space="preserve"> in </w:t>
      </w:r>
      <w:r w:rsidR="00703399">
        <w:rPr>
          <w:highlight w:val="yellow"/>
        </w:rPr>
        <w:fldChar w:fldCharType="begin"/>
      </w:r>
      <w:r w:rsidR="00703399">
        <w:instrText xml:space="preserve"> REF _Ref34378804 \r \h </w:instrText>
      </w:r>
      <w:r w:rsidR="00703399">
        <w:rPr>
          <w:highlight w:val="yellow"/>
        </w:rPr>
      </w:r>
      <w:r w:rsidR="00703399">
        <w:rPr>
          <w:highlight w:val="yellow"/>
        </w:rPr>
        <w:fldChar w:fldCharType="separate"/>
      </w:r>
      <w:r w:rsidR="00550C88">
        <w:t>Table 7</w:t>
      </w:r>
      <w:r w:rsidR="00703399">
        <w:rPr>
          <w:highlight w:val="yellow"/>
        </w:rPr>
        <w:fldChar w:fldCharType="end"/>
      </w:r>
      <w:r w:rsidR="00703399">
        <w:t xml:space="preserve"> </w:t>
      </w:r>
      <w:r>
        <w:t>must be applied where an exposure is fully secured</w:t>
      </w:r>
      <w:r w:rsidR="00A31B5B">
        <w:t xml:space="preserve"> (i.e. the value of collateral after applying the haircuts specified in</w:t>
      </w:r>
      <w:r w:rsidR="0054009A">
        <w:t xml:space="preserve"> </w:t>
      </w:r>
      <w:r w:rsidR="0054009A">
        <w:fldChar w:fldCharType="begin"/>
      </w:r>
      <w:r w:rsidR="0054009A">
        <w:instrText xml:space="preserve"> REF _Ref34375614 \r \h </w:instrText>
      </w:r>
      <w:r w:rsidR="0054009A">
        <w:fldChar w:fldCharType="separate"/>
      </w:r>
      <w:r w:rsidR="00550C88">
        <w:t>Table 5</w:t>
      </w:r>
      <w:r w:rsidR="0054009A">
        <w:fldChar w:fldCharType="end"/>
      </w:r>
      <w:r w:rsidR="0054009A">
        <w:t xml:space="preserve"> e</w:t>
      </w:r>
      <w:r w:rsidR="00A31B5B">
        <w:t>xceeds the value of the exposure)</w:t>
      </w:r>
      <w:r>
        <w:t>.</w:t>
      </w:r>
    </w:p>
    <w:p w14:paraId="1CD24466" w14:textId="42128759" w:rsidR="00560494" w:rsidRDefault="00F35E60" w:rsidP="00E367B7">
      <w:pPr>
        <w:pStyle w:val="BodyText1"/>
      </w:pPr>
      <w:r>
        <w:lastRenderedPageBreak/>
        <w:t xml:space="preserve">The LGD floor for a partially secured retail exposure must be calculated according to the formula set out in </w:t>
      </w:r>
      <w:r w:rsidR="0054009A" w:rsidRPr="0054009A">
        <w:t xml:space="preserve">paragraph </w:t>
      </w:r>
      <w:r w:rsidR="0054009A" w:rsidRPr="0054009A">
        <w:fldChar w:fldCharType="begin"/>
      </w:r>
      <w:r w:rsidR="0054009A" w:rsidRPr="0054009A">
        <w:instrText xml:space="preserve"> REF _Ref34379182 \r \h </w:instrText>
      </w:r>
      <w:r w:rsidR="0054009A">
        <w:instrText xml:space="preserve"> \* MERGEFORMAT </w:instrText>
      </w:r>
      <w:r w:rsidR="0054009A" w:rsidRPr="0054009A">
        <w:fldChar w:fldCharType="separate"/>
      </w:r>
      <w:r w:rsidR="00550C88">
        <w:t>21</w:t>
      </w:r>
      <w:r w:rsidR="0054009A" w:rsidRPr="0054009A">
        <w:fldChar w:fldCharType="end"/>
      </w:r>
      <w:r w:rsidRPr="0054009A">
        <w:t xml:space="preserve"> of this</w:t>
      </w:r>
      <w:r>
        <w:t xml:space="preserve"> Attachment</w:t>
      </w:r>
      <w:r w:rsidR="00241468">
        <w:t>, aside from</w:t>
      </w:r>
      <w:r w:rsidR="00E367B7">
        <w:t xml:space="preserve"> the </w:t>
      </w:r>
      <w:r w:rsidR="00B71F35">
        <w:t xml:space="preserve">LGD floor for </w:t>
      </w:r>
      <w:r w:rsidR="008C5BCF">
        <w:t>a retail residential mortgage exposure, which</w:t>
      </w:r>
      <w:r w:rsidR="00B71F35">
        <w:t xml:space="preserve"> </w:t>
      </w:r>
      <w:r w:rsidR="007C708F">
        <w:t>is</w:t>
      </w:r>
      <w:r w:rsidR="00B71F35">
        <w:t xml:space="preserve"> fixed irrespective of the level of collateral provided.</w:t>
      </w:r>
    </w:p>
    <w:p w14:paraId="00251077" w14:textId="1F6667B8" w:rsidR="00F33AA3" w:rsidRDefault="00F33AA3" w:rsidP="00F33AA3">
      <w:pPr>
        <w:pStyle w:val="BodyText1"/>
      </w:pPr>
      <w:r w:rsidRPr="00E0104F">
        <w:t>An ADI</w:t>
      </w:r>
      <w:r>
        <w:t xml:space="preserve"> that has approval to use its</w:t>
      </w:r>
      <w:r w:rsidRPr="00E0104F">
        <w:t xml:space="preserve"> own estimates of LGD for </w:t>
      </w:r>
      <w:r>
        <w:t xml:space="preserve">retail </w:t>
      </w:r>
      <w:r w:rsidRPr="00E0104F">
        <w:t xml:space="preserve">residential mortgage </w:t>
      </w:r>
      <w:r>
        <w:t>exposures</w:t>
      </w:r>
      <w:r w:rsidRPr="00E0104F">
        <w:t xml:space="preserve"> must not </w:t>
      </w:r>
      <w:r>
        <w:t>take into account</w:t>
      </w:r>
      <w:r w:rsidRPr="00E0104F">
        <w:t xml:space="preserve"> recoveries from LMI</w:t>
      </w:r>
      <w:r>
        <w:t xml:space="preserve"> when deriving those LGD estimates</w:t>
      </w:r>
      <w:r w:rsidRPr="00E0104F">
        <w:t xml:space="preserve">. </w:t>
      </w:r>
      <w:r>
        <w:t>The</w:t>
      </w:r>
      <w:r w:rsidRPr="00E0104F">
        <w:t xml:space="preserve"> ADI may</w:t>
      </w:r>
      <w:r w:rsidR="00537632">
        <w:t xml:space="preserve"> instead</w:t>
      </w:r>
      <w:r w:rsidRPr="00E0104F">
        <w:t xml:space="preserve"> recognise</w:t>
      </w:r>
      <w:r>
        <w:t xml:space="preserve"> the risk-mitigating effect of</w:t>
      </w:r>
      <w:r w:rsidRPr="00E0104F">
        <w:t xml:space="preserve"> LMI by applying</w:t>
      </w:r>
      <w:r w:rsidRPr="00927A7C">
        <w:t xml:space="preserve"> a 20 per cent reduction to</w:t>
      </w:r>
      <w:r w:rsidR="00537632">
        <w:t xml:space="preserve"> its</w:t>
      </w:r>
      <w:r w:rsidRPr="00927A7C">
        <w:t xml:space="preserve"> LGD</w:t>
      </w:r>
      <w:r w:rsidR="00537632">
        <w:t xml:space="preserve"> estimates</w:t>
      </w:r>
      <w:r w:rsidR="000D3D8D">
        <w:t xml:space="preserve"> (</w:t>
      </w:r>
      <w:r w:rsidR="00CA4DCB">
        <w:t xml:space="preserve">subject to the floor specified in </w:t>
      </w:r>
      <w:r w:rsidR="00066673">
        <w:rPr>
          <w:highlight w:val="yellow"/>
        </w:rPr>
        <w:fldChar w:fldCharType="begin"/>
      </w:r>
      <w:r w:rsidR="00066673">
        <w:instrText xml:space="preserve"> REF _Ref34378804 \r \h </w:instrText>
      </w:r>
      <w:r w:rsidR="00066673">
        <w:rPr>
          <w:highlight w:val="yellow"/>
        </w:rPr>
      </w:r>
      <w:r w:rsidR="00066673">
        <w:rPr>
          <w:highlight w:val="yellow"/>
        </w:rPr>
        <w:fldChar w:fldCharType="separate"/>
      </w:r>
      <w:r w:rsidR="00550C88">
        <w:t>Table 7</w:t>
      </w:r>
      <w:r w:rsidR="00066673">
        <w:rPr>
          <w:highlight w:val="yellow"/>
        </w:rPr>
        <w:fldChar w:fldCharType="end"/>
      </w:r>
      <w:r w:rsidR="000D3D8D">
        <w:t>)</w:t>
      </w:r>
      <w:r>
        <w:t xml:space="preserve"> </w:t>
      </w:r>
      <w:r w:rsidR="0054055D">
        <w:t>for</w:t>
      </w:r>
      <w:r>
        <w:t xml:space="preserve"> exposures with a loan-to-valuation ratio, as defined in APS 112, of greater than 80 per cent</w:t>
      </w:r>
      <w:r w:rsidR="007E49B6">
        <w:t xml:space="preserve"> that have LMI cover</w:t>
      </w:r>
      <w:r>
        <w:t>.</w:t>
      </w:r>
    </w:p>
    <w:p w14:paraId="45AE7D2D" w14:textId="0D14CE06" w:rsidR="00B71F35" w:rsidRDefault="008C5BCF" w:rsidP="00B71F35">
      <w:pPr>
        <w:pStyle w:val="BodyText1"/>
      </w:pPr>
      <w:r>
        <w:t>A</w:t>
      </w:r>
      <w:r w:rsidR="0092202F">
        <w:t xml:space="preserve">n ADI </w:t>
      </w:r>
      <w:r>
        <w:t xml:space="preserve">that </w:t>
      </w:r>
      <w:r w:rsidR="0092202F">
        <w:t xml:space="preserve">is not approved to use its own estimates of LGD for </w:t>
      </w:r>
      <w:r w:rsidR="009A1C31">
        <w:t xml:space="preserve">retail </w:t>
      </w:r>
      <w:r w:rsidR="0092202F">
        <w:t>residential mortgage exposures</w:t>
      </w:r>
      <w:r w:rsidR="008F0685">
        <w:t xml:space="preserve"> or SME retail exposures</w:t>
      </w:r>
      <w:r w:rsidR="00826AB4">
        <w:t xml:space="preserve"> secured by residential </w:t>
      </w:r>
      <w:r w:rsidR="00B56EED">
        <w:t>real estate</w:t>
      </w:r>
      <w:r w:rsidR="009A1C31">
        <w:t xml:space="preserve"> </w:t>
      </w:r>
      <w:r>
        <w:t xml:space="preserve">must </w:t>
      </w:r>
      <w:r w:rsidR="00A348E6">
        <w:t xml:space="preserve">apply </w:t>
      </w:r>
      <w:r>
        <w:t>a 20 per cent</w:t>
      </w:r>
      <w:r w:rsidR="0092202F">
        <w:t xml:space="preserve"> LGD floor </w:t>
      </w:r>
      <w:r>
        <w:t xml:space="preserve">in place of </w:t>
      </w:r>
      <w:r w:rsidR="00CA4DCB">
        <w:t>the</w:t>
      </w:r>
      <w:r>
        <w:t xml:space="preserve"> floor</w:t>
      </w:r>
      <w:r w:rsidR="00CA4DCB">
        <w:t xml:space="preserve"> specified in </w:t>
      </w:r>
      <w:r w:rsidR="00066673">
        <w:rPr>
          <w:highlight w:val="yellow"/>
        </w:rPr>
        <w:fldChar w:fldCharType="begin"/>
      </w:r>
      <w:r w:rsidR="00066673">
        <w:instrText xml:space="preserve"> REF _Ref34378804 \r \h </w:instrText>
      </w:r>
      <w:r w:rsidR="00066673">
        <w:rPr>
          <w:highlight w:val="yellow"/>
        </w:rPr>
      </w:r>
      <w:r w:rsidR="00066673">
        <w:rPr>
          <w:highlight w:val="yellow"/>
        </w:rPr>
        <w:fldChar w:fldCharType="separate"/>
      </w:r>
      <w:r w:rsidR="00550C88">
        <w:t>Table 7</w:t>
      </w:r>
      <w:r w:rsidR="00066673">
        <w:rPr>
          <w:highlight w:val="yellow"/>
        </w:rPr>
        <w:fldChar w:fldCharType="end"/>
      </w:r>
      <w:r w:rsidR="00066673">
        <w:t>.</w:t>
      </w:r>
    </w:p>
    <w:p w14:paraId="0F7E0AD7" w14:textId="1F9C51DD" w:rsidR="00EF6CE0" w:rsidRDefault="00EF6CE0" w:rsidP="00195713">
      <w:pPr>
        <w:pStyle w:val="Heading2"/>
      </w:pPr>
      <w:r>
        <w:t>Exposure at default estimates</w:t>
      </w:r>
    </w:p>
    <w:p w14:paraId="0C4DEF59" w14:textId="302272E6" w:rsidR="00195713" w:rsidRDefault="00195713" w:rsidP="00195713">
      <w:pPr>
        <w:pStyle w:val="BodyText1"/>
      </w:pPr>
      <w:r w:rsidRPr="00EF6CE0">
        <w:t xml:space="preserve">EAD in respect of each exposure (both on-balance sheet and off-balance sheet) </w:t>
      </w:r>
      <w:r>
        <w:t>must be</w:t>
      </w:r>
      <w:r w:rsidRPr="00EF6CE0">
        <w:t xml:space="preserve"> measured without deducting any provisions</w:t>
      </w:r>
      <w:r w:rsidR="009342B7">
        <w:t xml:space="preserve"> </w:t>
      </w:r>
      <w:r w:rsidR="005354B4">
        <w:t>for</w:t>
      </w:r>
      <w:r w:rsidR="00E30E6E">
        <w:t>,</w:t>
      </w:r>
      <w:r w:rsidR="009342B7">
        <w:t xml:space="preserve"> </w:t>
      </w:r>
      <w:r w:rsidRPr="00EF6CE0">
        <w:t>and partial write-offs</w:t>
      </w:r>
      <w:r w:rsidR="00E30E6E">
        <w:t xml:space="preserve"> of, that exposure</w:t>
      </w:r>
      <w:r w:rsidR="00226E5F">
        <w:t>.</w:t>
      </w:r>
    </w:p>
    <w:p w14:paraId="283F7E5D" w14:textId="0A6E0AD7" w:rsidR="00EF6CE0" w:rsidRDefault="005918AC" w:rsidP="00A82F86">
      <w:pPr>
        <w:pStyle w:val="Heading3"/>
      </w:pPr>
      <w:r>
        <w:t>O</w:t>
      </w:r>
      <w:r w:rsidR="00EF6CE0">
        <w:t>n-balance sheet exposures</w:t>
      </w:r>
    </w:p>
    <w:p w14:paraId="03A66A95" w14:textId="4AB6497C" w:rsidR="00EF6CE0" w:rsidRPr="00EF6CE0" w:rsidRDefault="00EF6CE0" w:rsidP="00EF6CE0">
      <w:pPr>
        <w:pStyle w:val="BodyText1"/>
      </w:pPr>
      <w:bookmarkStart w:id="67" w:name="_Ref35249689"/>
      <w:r w:rsidRPr="00055346">
        <w:t xml:space="preserve">Subject to </w:t>
      </w:r>
      <w:r w:rsidR="00055346" w:rsidRPr="00055346">
        <w:t xml:space="preserve">paragraph </w:t>
      </w:r>
      <w:r w:rsidR="00055346" w:rsidRPr="00055346">
        <w:fldChar w:fldCharType="begin"/>
      </w:r>
      <w:r w:rsidR="00055346" w:rsidRPr="00055346">
        <w:instrText xml:space="preserve"> REF _Ref34381556 \r \h </w:instrText>
      </w:r>
      <w:r w:rsidR="00055346">
        <w:instrText xml:space="preserve"> \* MERGEFORMAT </w:instrText>
      </w:r>
      <w:r w:rsidR="00055346" w:rsidRPr="00055346">
        <w:fldChar w:fldCharType="separate"/>
      </w:r>
      <w:r w:rsidR="00550C88">
        <w:t>31</w:t>
      </w:r>
      <w:r w:rsidR="00055346" w:rsidRPr="00055346">
        <w:fldChar w:fldCharType="end"/>
      </w:r>
      <w:r w:rsidRPr="00055346">
        <w:t xml:space="preserve"> of this Attachment,</w:t>
      </w:r>
      <w:r w:rsidRPr="00EF6CE0">
        <w:t xml:space="preserve"> EAD </w:t>
      </w:r>
      <w:r w:rsidR="008661D2">
        <w:t xml:space="preserve">for </w:t>
      </w:r>
      <w:r w:rsidRPr="00EF6CE0">
        <w:t>a drawn amount (i.e. an on-balance sheet exposure) must not be less than the current contract</w:t>
      </w:r>
      <w:r>
        <w:t xml:space="preserve">ual amount owed by the </w:t>
      </w:r>
      <w:r w:rsidR="00F35826">
        <w:t>borrower</w:t>
      </w:r>
      <w:r>
        <w:t xml:space="preserve"> </w:t>
      </w:r>
      <w:r w:rsidRPr="00EF6CE0">
        <w:t>nor should it be less than the sum of:</w:t>
      </w:r>
      <w:bookmarkEnd w:id="67"/>
    </w:p>
    <w:p w14:paraId="225393CC" w14:textId="0E3455ED" w:rsidR="00EF6CE0" w:rsidRPr="00EF6CE0" w:rsidRDefault="00EF6CE0" w:rsidP="00EF6CE0">
      <w:pPr>
        <w:pStyle w:val="BodyText2"/>
      </w:pPr>
      <w:bookmarkStart w:id="68" w:name="_Ref34381629"/>
      <w:r w:rsidRPr="00EF6CE0">
        <w:t xml:space="preserve">the amount by which </w:t>
      </w:r>
      <w:r w:rsidR="00FF4B17">
        <w:t>an</w:t>
      </w:r>
      <w:r w:rsidR="00FF4B17" w:rsidRPr="00EF6CE0">
        <w:t xml:space="preserve"> </w:t>
      </w:r>
      <w:r w:rsidRPr="00EF6CE0">
        <w:t>ADI’s Common Equity Tier 1 Capital would be reduced if the exposure were fully written-off; and</w:t>
      </w:r>
      <w:bookmarkEnd w:id="68"/>
      <w:r w:rsidRPr="00EF6CE0">
        <w:t xml:space="preserve"> </w:t>
      </w:r>
    </w:p>
    <w:p w14:paraId="7B59BF64" w14:textId="45DE9624" w:rsidR="00EF6CE0" w:rsidRPr="00EF6CE0" w:rsidRDefault="00EF6CE0" w:rsidP="00EF6CE0">
      <w:pPr>
        <w:pStyle w:val="BodyText2"/>
      </w:pPr>
      <w:bookmarkStart w:id="69" w:name="_Ref34381632"/>
      <w:r w:rsidRPr="00EF6CE0">
        <w:t>any associated provisions</w:t>
      </w:r>
      <w:r w:rsidR="009342B7">
        <w:t xml:space="preserve"> </w:t>
      </w:r>
      <w:r w:rsidRPr="00EF6CE0">
        <w:t>and partial write-offs.</w:t>
      </w:r>
      <w:bookmarkEnd w:id="69"/>
      <w:r w:rsidRPr="00EF6CE0">
        <w:t xml:space="preserve"> </w:t>
      </w:r>
    </w:p>
    <w:p w14:paraId="463DBEAD" w14:textId="057C708C" w:rsidR="00EF6CE0" w:rsidRDefault="00EF6CE0" w:rsidP="00EF6CE0">
      <w:pPr>
        <w:pStyle w:val="BodyText1"/>
      </w:pPr>
      <w:bookmarkStart w:id="70" w:name="_Ref34384876"/>
      <w:r w:rsidRPr="00EF6CE0">
        <w:t xml:space="preserve">When the difference between EAD and the </w:t>
      </w:r>
      <w:r w:rsidRPr="00055346">
        <w:t>sum of</w:t>
      </w:r>
      <w:r w:rsidR="00761BB4">
        <w:t xml:space="preserve"> the amounts specified in</w:t>
      </w:r>
      <w:r w:rsidRPr="00055346">
        <w:t xml:space="preserve"> </w:t>
      </w:r>
      <w:r w:rsidR="00055346" w:rsidRPr="00055346">
        <w:t xml:space="preserve">paragraphs </w:t>
      </w:r>
      <w:r w:rsidR="00055346" w:rsidRPr="00055346">
        <w:fldChar w:fldCharType="begin"/>
      </w:r>
      <w:r w:rsidR="00055346" w:rsidRPr="00055346">
        <w:instrText xml:space="preserve"> REF _Ref34381629 \r \h </w:instrText>
      </w:r>
      <w:r w:rsidR="00055346">
        <w:instrText xml:space="preserve"> \* MERGEFORMAT </w:instrText>
      </w:r>
      <w:r w:rsidR="00055346" w:rsidRPr="00055346">
        <w:fldChar w:fldCharType="separate"/>
      </w:r>
      <w:r w:rsidR="00550C88">
        <w:t>28(a)</w:t>
      </w:r>
      <w:r w:rsidR="00055346" w:rsidRPr="00055346">
        <w:fldChar w:fldCharType="end"/>
      </w:r>
      <w:r w:rsidR="00055346" w:rsidRPr="00055346">
        <w:t xml:space="preserve"> and </w:t>
      </w:r>
      <w:r w:rsidR="00055346" w:rsidRPr="00055346">
        <w:fldChar w:fldCharType="begin"/>
      </w:r>
      <w:r w:rsidR="00055346" w:rsidRPr="00055346">
        <w:instrText xml:space="preserve"> REF _Ref34381632 \r \h </w:instrText>
      </w:r>
      <w:r w:rsidR="00055346">
        <w:instrText xml:space="preserve"> \* MERGEFORMAT </w:instrText>
      </w:r>
      <w:r w:rsidR="00055346" w:rsidRPr="00055346">
        <w:fldChar w:fldCharType="separate"/>
      </w:r>
      <w:r w:rsidR="00550C88">
        <w:t>28(b)</w:t>
      </w:r>
      <w:r w:rsidR="00055346" w:rsidRPr="00055346">
        <w:fldChar w:fldCharType="end"/>
      </w:r>
      <w:r w:rsidR="00055346" w:rsidRPr="00055346">
        <w:t xml:space="preserve"> </w:t>
      </w:r>
      <w:r w:rsidRPr="00055346">
        <w:t>of this Attachment is positive, this amount</w:t>
      </w:r>
      <w:r w:rsidRPr="00EF6CE0">
        <w:t xml:space="preserve"> is termed a discount. An ADI must not take into account such discounts when calculating </w:t>
      </w:r>
      <w:r w:rsidR="008930BF">
        <w:t>RWA</w:t>
      </w:r>
      <w:r w:rsidRPr="00EF6CE0">
        <w:t xml:space="preserve">. </w:t>
      </w:r>
      <w:r w:rsidR="00055346">
        <w:t>S</w:t>
      </w:r>
      <w:r w:rsidR="00055346" w:rsidRPr="00EF6CE0">
        <w:t xml:space="preserve">uch </w:t>
      </w:r>
      <w:r w:rsidRPr="00EF6CE0">
        <w:t xml:space="preserve">discounts may be included in the measurement of eligible provisions for the purpose of offsetting EL in calculating the ADI’s </w:t>
      </w:r>
      <w:r w:rsidR="008A624E">
        <w:t>Regulatory C</w:t>
      </w:r>
      <w:r w:rsidRPr="00EF6CE0">
        <w:t>apital requirement</w:t>
      </w:r>
      <w:r w:rsidR="00055346">
        <w:t xml:space="preserve"> in accordance with Attachment C</w:t>
      </w:r>
      <w:r w:rsidR="00A53E29">
        <w:t xml:space="preserve"> to this Prudential Standard</w:t>
      </w:r>
      <w:r w:rsidRPr="00EF6CE0">
        <w:t>.</w:t>
      </w:r>
      <w:bookmarkEnd w:id="70"/>
    </w:p>
    <w:p w14:paraId="04197A15" w14:textId="49E9D094" w:rsidR="0095753D" w:rsidRPr="00EF6CE0" w:rsidRDefault="00B93D26" w:rsidP="0095753D">
      <w:pPr>
        <w:pStyle w:val="BodyText1"/>
      </w:pPr>
      <w:bookmarkStart w:id="71" w:name="_Ref88496915"/>
      <w:r>
        <w:t>Defaulted e</w:t>
      </w:r>
      <w:r w:rsidR="0095753D">
        <w:t>xposures purchased</w:t>
      </w:r>
      <w:r w:rsidR="00D66B43">
        <w:t xml:space="preserve"> by an ADI</w:t>
      </w:r>
      <w:r w:rsidR="0095753D">
        <w:t xml:space="preserve"> are </w:t>
      </w:r>
      <w:r w:rsidR="004B6795">
        <w:t>not subject to</w:t>
      </w:r>
      <w:r w:rsidR="00C559DC" w:rsidDel="004B6795">
        <w:t xml:space="preserve"> </w:t>
      </w:r>
      <w:r w:rsidR="0095753D">
        <w:t xml:space="preserve">the floor </w:t>
      </w:r>
      <w:r w:rsidR="00D66B43">
        <w:t xml:space="preserve">specified </w:t>
      </w:r>
      <w:r w:rsidR="0095753D">
        <w:t xml:space="preserve">in </w:t>
      </w:r>
      <w:r w:rsidR="0095753D" w:rsidRPr="001424EA">
        <w:t>p</w:t>
      </w:r>
      <w:r w:rsidR="001424EA" w:rsidRPr="001424EA">
        <w:t xml:space="preserve">aragraph </w:t>
      </w:r>
      <w:r w:rsidR="001424EA" w:rsidRPr="001424EA">
        <w:fldChar w:fldCharType="begin"/>
      </w:r>
      <w:r w:rsidR="001424EA" w:rsidRPr="001424EA">
        <w:instrText xml:space="preserve"> REF _Ref35249689 \r \h </w:instrText>
      </w:r>
      <w:r w:rsidR="001424EA">
        <w:instrText xml:space="preserve"> \* MERGEFORMAT </w:instrText>
      </w:r>
      <w:r w:rsidR="001424EA" w:rsidRPr="001424EA">
        <w:fldChar w:fldCharType="separate"/>
      </w:r>
      <w:r w:rsidR="00550C88">
        <w:t>28</w:t>
      </w:r>
      <w:r w:rsidR="001424EA" w:rsidRPr="001424EA">
        <w:fldChar w:fldCharType="end"/>
      </w:r>
      <w:r w:rsidR="0095753D" w:rsidRPr="001424EA">
        <w:t xml:space="preserve"> of this Attachment</w:t>
      </w:r>
      <w:r w:rsidR="00B77171" w:rsidRPr="001424EA">
        <w:t>.</w:t>
      </w:r>
      <w:r w:rsidR="00B77171">
        <w:t xml:space="preserve"> For tho</w:t>
      </w:r>
      <w:r w:rsidR="0095753D">
        <w:t xml:space="preserve">se exposures, EAD must be </w:t>
      </w:r>
      <w:r w:rsidR="0066098B">
        <w:t xml:space="preserve">based on the exposure’s carrying value </w:t>
      </w:r>
      <w:r w:rsidR="0095753D">
        <w:t xml:space="preserve">and the discount </w:t>
      </w:r>
      <w:r w:rsidR="00B77171">
        <w:t xml:space="preserve">must be </w:t>
      </w:r>
      <w:r w:rsidR="0095753D">
        <w:t>set equal to zero.</w:t>
      </w:r>
      <w:bookmarkEnd w:id="71"/>
      <w:r w:rsidR="0095753D">
        <w:t xml:space="preserve"> </w:t>
      </w:r>
    </w:p>
    <w:p w14:paraId="49C8C618" w14:textId="14491B36" w:rsidR="00EF6CE0" w:rsidRDefault="00EF6CE0" w:rsidP="00EF6CE0">
      <w:pPr>
        <w:pStyle w:val="BodyText1"/>
      </w:pPr>
      <w:bookmarkStart w:id="72" w:name="_Ref34381556"/>
      <w:r w:rsidRPr="00EF6CE0">
        <w:t xml:space="preserve">An ADI may recognise on-balance sheet netting of </w:t>
      </w:r>
      <w:r w:rsidR="00227417">
        <w:t>assets</w:t>
      </w:r>
      <w:r w:rsidR="00227417" w:rsidRPr="00EF6CE0">
        <w:t xml:space="preserve"> </w:t>
      </w:r>
      <w:r w:rsidRPr="00EF6CE0">
        <w:t xml:space="preserve">and </w:t>
      </w:r>
      <w:r w:rsidR="00227417">
        <w:t>liabilities</w:t>
      </w:r>
      <w:r w:rsidR="00227417" w:rsidRPr="00EF6CE0">
        <w:t xml:space="preserve"> </w:t>
      </w:r>
      <w:r w:rsidR="00227417">
        <w:t>where it meets</w:t>
      </w:r>
      <w:r w:rsidRPr="00EF6CE0">
        <w:t xml:space="preserve"> the criteria detailed </w:t>
      </w:r>
      <w:r w:rsidR="00227417">
        <w:t xml:space="preserve">in </w:t>
      </w:r>
      <w:r w:rsidRPr="00EF6CE0">
        <w:t xml:space="preserve">Attachment </w:t>
      </w:r>
      <w:r w:rsidR="00D40E88">
        <w:t>H</w:t>
      </w:r>
      <w:r w:rsidR="00D40E88" w:rsidRPr="00EF6CE0">
        <w:t xml:space="preserve"> </w:t>
      </w:r>
      <w:r w:rsidR="00227417">
        <w:t>to</w:t>
      </w:r>
      <w:r w:rsidR="00227417" w:rsidRPr="00EF6CE0">
        <w:t xml:space="preserve"> </w:t>
      </w:r>
      <w:r w:rsidRPr="00EF6CE0">
        <w:t>APS</w:t>
      </w:r>
      <w:r>
        <w:t> </w:t>
      </w:r>
      <w:r w:rsidRPr="00EF6CE0">
        <w:t xml:space="preserve">112. Where there is a currency or maturity mismatch between the relevant </w:t>
      </w:r>
      <w:r w:rsidR="00FC2616">
        <w:t>assets</w:t>
      </w:r>
      <w:r w:rsidR="00FC2616" w:rsidRPr="00EF6CE0">
        <w:t xml:space="preserve"> </w:t>
      </w:r>
      <w:r w:rsidRPr="00EF6CE0">
        <w:t xml:space="preserve">and </w:t>
      </w:r>
      <w:r w:rsidR="00FC2616">
        <w:t>liabilities</w:t>
      </w:r>
      <w:r w:rsidRPr="00EF6CE0">
        <w:t xml:space="preserve">, adjustments must be made in </w:t>
      </w:r>
      <w:r w:rsidR="00FC2616">
        <w:t xml:space="preserve">accordance with </w:t>
      </w:r>
      <w:r w:rsidRPr="00EF6CE0">
        <w:t>the</w:t>
      </w:r>
      <w:r w:rsidR="00FC2616">
        <w:t xml:space="preserve"> treatment set out in</w:t>
      </w:r>
      <w:r w:rsidRPr="00EF6CE0">
        <w:t xml:space="preserve"> APS</w:t>
      </w:r>
      <w:r>
        <w:t> </w:t>
      </w:r>
      <w:r w:rsidRPr="00EF6CE0">
        <w:t>112.</w:t>
      </w:r>
      <w:bookmarkEnd w:id="72"/>
      <w:r w:rsidRPr="00EF6CE0">
        <w:t xml:space="preserve"> </w:t>
      </w:r>
    </w:p>
    <w:p w14:paraId="5D5646FC" w14:textId="3471C3BB" w:rsidR="00EF6CE0" w:rsidRPr="008C1A5E" w:rsidRDefault="005918AC" w:rsidP="005A418A">
      <w:pPr>
        <w:pStyle w:val="Heading3"/>
        <w:jc w:val="both"/>
      </w:pPr>
      <w:r w:rsidRPr="008C1A5E">
        <w:lastRenderedPageBreak/>
        <w:t>O</w:t>
      </w:r>
      <w:r w:rsidR="001A7193" w:rsidRPr="00AB4583">
        <w:t xml:space="preserve">ff-balance sheet exposures except those that expose </w:t>
      </w:r>
      <w:r w:rsidRPr="00183C1E">
        <w:t xml:space="preserve">an </w:t>
      </w:r>
      <w:r w:rsidR="001A7193" w:rsidRPr="00183C1E">
        <w:t>ADI to counterparty credit risk</w:t>
      </w:r>
    </w:p>
    <w:p w14:paraId="0A495798" w14:textId="541DF7E0" w:rsidR="00317199" w:rsidRDefault="00254F45" w:rsidP="001A7193">
      <w:pPr>
        <w:pStyle w:val="BodyText1"/>
      </w:pPr>
      <w:r>
        <w:t xml:space="preserve">Where </w:t>
      </w:r>
      <w:r w:rsidR="00A150A2">
        <w:t>an ADI use</w:t>
      </w:r>
      <w:r w:rsidR="001A4E21">
        <w:t>s</w:t>
      </w:r>
      <w:r w:rsidR="00317199">
        <w:t>:</w:t>
      </w:r>
    </w:p>
    <w:p w14:paraId="5CE9587B" w14:textId="44911585" w:rsidR="00317199" w:rsidRDefault="00A150A2" w:rsidP="00317199">
      <w:pPr>
        <w:pStyle w:val="BodyText2"/>
      </w:pPr>
      <w:r>
        <w:t>supervisory estimates of EAD</w:t>
      </w:r>
      <w:r w:rsidR="00254F45">
        <w:t>, EAD</w:t>
      </w:r>
      <w:r>
        <w:t xml:space="preserve"> for an undrawn commitment</w:t>
      </w:r>
      <w:r w:rsidR="00254F45">
        <w:t xml:space="preserve"> is calculated as the </w:t>
      </w:r>
      <w:r w:rsidR="00451228">
        <w:t xml:space="preserve">committed but </w:t>
      </w:r>
      <w:r w:rsidR="00254F45">
        <w:t>undrawn amount multiplied by a CCF</w:t>
      </w:r>
      <w:r w:rsidR="00317199">
        <w:t>; and</w:t>
      </w:r>
    </w:p>
    <w:p w14:paraId="1A25D5CA" w14:textId="51B9D3A7" w:rsidR="001A7193" w:rsidRDefault="00A150A2" w:rsidP="00317199">
      <w:pPr>
        <w:pStyle w:val="BodyText2"/>
      </w:pPr>
      <w:r>
        <w:t>its own estimates of EAD, EAD for an undrawn commitment may be calculated as the committed but undrawn amount multiplied by a CCF or derived from a direct esti</w:t>
      </w:r>
      <w:r w:rsidR="005D73FA">
        <w:t>mate of the total facility EAD.</w:t>
      </w:r>
    </w:p>
    <w:p w14:paraId="73C9366B" w14:textId="068B178E" w:rsidR="001A7193" w:rsidRDefault="003465CA" w:rsidP="001A7193">
      <w:pPr>
        <w:pStyle w:val="BodyText1"/>
      </w:pPr>
      <w:r>
        <w:t xml:space="preserve">Except in the case of retail exposures, </w:t>
      </w:r>
      <w:r w:rsidR="001A7193">
        <w:t xml:space="preserve">CCFs may be applied to the lower of the value of the unused committed credit line and the value of any other constraining factor on the availability of the facility, such as the existence of a ceiling on the potential lending amount that is related to </w:t>
      </w:r>
      <w:r w:rsidR="00F35826">
        <w:t>a borrower’s</w:t>
      </w:r>
      <w:r w:rsidR="001A7193">
        <w:t xml:space="preserve"> reported cash flow or its external credit rating. If the lower value is used, </w:t>
      </w:r>
      <w:r w:rsidR="00DB5B49">
        <w:t xml:space="preserve">an </w:t>
      </w:r>
      <w:r w:rsidR="001A7193">
        <w:t>ADI must have sufficient line monitoring and management procedures to support using the lower value for Regulatory Capital purposes.</w:t>
      </w:r>
    </w:p>
    <w:p w14:paraId="3AACDFDE" w14:textId="5582F981" w:rsidR="00C3630F" w:rsidRDefault="001A7193" w:rsidP="002B5BEC">
      <w:pPr>
        <w:pStyle w:val="BodyText1"/>
      </w:pPr>
      <w:r>
        <w:t xml:space="preserve">Where </w:t>
      </w:r>
      <w:r w:rsidR="007C77A8">
        <w:t>an</w:t>
      </w:r>
      <w:r>
        <w:t xml:space="preserve"> ADI has given a commitment to provide an off-balance sheet exposure, it may apply the lower of the CCFs applicable to the commitment and the off-balance sheet exposure.</w:t>
      </w:r>
    </w:p>
    <w:p w14:paraId="7E50B521" w14:textId="640A746E" w:rsidR="003773CB" w:rsidRDefault="003773CB" w:rsidP="002B5BEC">
      <w:pPr>
        <w:pStyle w:val="BodyText1"/>
      </w:pPr>
      <w:r>
        <w:t xml:space="preserve">An ADI must apply the CCFs </w:t>
      </w:r>
      <w:r w:rsidR="00D97F28">
        <w:t xml:space="preserve">as </w:t>
      </w:r>
      <w:r>
        <w:t>specified in Attachment C to APS 112 when calculating EAD, with the exception of:</w:t>
      </w:r>
    </w:p>
    <w:p w14:paraId="6806FF81" w14:textId="240EEDE4" w:rsidR="003773CB" w:rsidRDefault="003773CB" w:rsidP="003773CB">
      <w:pPr>
        <w:pStyle w:val="BodyText2"/>
      </w:pPr>
      <w:r>
        <w:t>non-revolving retail exposures</w:t>
      </w:r>
      <w:r w:rsidR="00204A0F">
        <w:t xml:space="preserve"> categorised as other commitments </w:t>
      </w:r>
      <w:r w:rsidR="00963694">
        <w:t xml:space="preserve">in accordance with </w:t>
      </w:r>
      <w:r w:rsidR="00204A0F">
        <w:t>Attachment C to APS 112</w:t>
      </w:r>
      <w:r w:rsidR="008E7E58">
        <w:t>,</w:t>
      </w:r>
      <w:r>
        <w:t xml:space="preserve"> for which the </w:t>
      </w:r>
      <w:r w:rsidR="00225B90">
        <w:t>CCF</w:t>
      </w:r>
      <w:r>
        <w:t xml:space="preserve"> is 100 per cent; and</w:t>
      </w:r>
    </w:p>
    <w:p w14:paraId="1403C8EA" w14:textId="35397329" w:rsidR="001A7193" w:rsidRDefault="003773CB" w:rsidP="003773CB">
      <w:pPr>
        <w:pStyle w:val="BodyText2"/>
      </w:pPr>
      <w:r>
        <w:t>revolving retail exposures</w:t>
      </w:r>
      <w:r w:rsidR="00963694">
        <w:t>,</w:t>
      </w:r>
      <w:r w:rsidR="00C5289B">
        <w:t xml:space="preserve"> excluding exposures subject to a CCF of 100 per cent in Attachment C to APS 112</w:t>
      </w:r>
      <w:r>
        <w:t xml:space="preserve">, for which </w:t>
      </w:r>
      <w:r w:rsidR="003269C7">
        <w:t xml:space="preserve">the </w:t>
      </w:r>
      <w:r>
        <w:t>ADI may use its own estimates of EAD</w:t>
      </w:r>
      <w:r w:rsidR="00453F35">
        <w:t>.</w:t>
      </w:r>
    </w:p>
    <w:p w14:paraId="31DEB7E7" w14:textId="5FD2D3B1" w:rsidR="00B45B67" w:rsidRDefault="00B45B67" w:rsidP="00B45B67">
      <w:pPr>
        <w:pStyle w:val="BodyText1"/>
      </w:pPr>
      <w:r>
        <w:t xml:space="preserve">When only the drawn balances of revolving facilities have been securitised, an ADI must ensure that it continues to hold capital against the undrawn balances associated with the securitised exposure. </w:t>
      </w:r>
    </w:p>
    <w:p w14:paraId="30944529" w14:textId="21A87F49" w:rsidR="00406C91" w:rsidRDefault="00FB4FC6" w:rsidP="00ED05BE">
      <w:pPr>
        <w:pStyle w:val="Heading3"/>
        <w:jc w:val="both"/>
      </w:pPr>
      <w:r>
        <w:t>Revolving retail exposures</w:t>
      </w:r>
    </w:p>
    <w:p w14:paraId="654104DA" w14:textId="3610050B" w:rsidR="00D947E1" w:rsidRDefault="003C3549" w:rsidP="00A912B8">
      <w:pPr>
        <w:pStyle w:val="BodyText1"/>
      </w:pPr>
      <w:r>
        <w:t>Where an ADI uses its own estimates of EAD f</w:t>
      </w:r>
      <w:r w:rsidR="00EB2B6C">
        <w:t xml:space="preserve">or revolving retail exposures, </w:t>
      </w:r>
      <w:r w:rsidR="00D947E1">
        <w:t xml:space="preserve">EAD for </w:t>
      </w:r>
      <w:r w:rsidR="00B13808">
        <w:t xml:space="preserve">each </w:t>
      </w:r>
      <w:r w:rsidR="00D947E1">
        <w:t xml:space="preserve">exposure </w:t>
      </w:r>
      <w:r w:rsidR="00B13808">
        <w:t xml:space="preserve">that is used as an input to the risk-weight function and the calculation of </w:t>
      </w:r>
      <w:r w:rsidR="00B85BBC">
        <w:t>EL</w:t>
      </w:r>
      <w:r w:rsidR="00D947E1">
        <w:t xml:space="preserve"> must not be less than the sum of:</w:t>
      </w:r>
    </w:p>
    <w:p w14:paraId="01BB045E" w14:textId="77777777" w:rsidR="00D947E1" w:rsidRDefault="00D947E1" w:rsidP="00D947E1">
      <w:pPr>
        <w:pStyle w:val="BodyText2"/>
      </w:pPr>
      <w:r>
        <w:t xml:space="preserve">the on-balance sheet amount; and </w:t>
      </w:r>
    </w:p>
    <w:p w14:paraId="692DC9A6" w14:textId="2EC7F25A" w:rsidR="00D947E1" w:rsidRPr="00630D15" w:rsidRDefault="00D947E1" w:rsidP="00D947E1">
      <w:pPr>
        <w:pStyle w:val="BodyText2"/>
      </w:pPr>
      <w:r>
        <w:t>50 per cent of the off-balance sheet exposure using the applicable CC</w:t>
      </w:r>
      <w:r w:rsidR="00DE1B24">
        <w:t>F</w:t>
      </w:r>
      <w:r>
        <w:t xml:space="preserve"> in Attachment C to APS</w:t>
      </w:r>
      <w:r w:rsidR="00DE1B24">
        <w:t> </w:t>
      </w:r>
      <w:r>
        <w:t>112.</w:t>
      </w:r>
    </w:p>
    <w:p w14:paraId="6AEFBEA2" w14:textId="4141E883" w:rsidR="009622C0" w:rsidRDefault="009622C0" w:rsidP="002B5BEC">
      <w:pPr>
        <w:pStyle w:val="BodyText1"/>
      </w:pPr>
      <w:r>
        <w:t xml:space="preserve">To the extent that foreign exchange and interest rate commitments exist within an ADI’s retail </w:t>
      </w:r>
      <w:r w:rsidR="00144214">
        <w:t>IRB asset class</w:t>
      </w:r>
      <w:r>
        <w:t xml:space="preserve">, </w:t>
      </w:r>
      <w:r w:rsidR="00144214">
        <w:t xml:space="preserve">the </w:t>
      </w:r>
      <w:r>
        <w:t xml:space="preserve">ADI </w:t>
      </w:r>
      <w:r w:rsidR="00144214">
        <w:t xml:space="preserve">is </w:t>
      </w:r>
      <w:r>
        <w:t xml:space="preserve">not permitted to </w:t>
      </w:r>
      <w:r w:rsidR="00144214">
        <w:t>use its</w:t>
      </w:r>
      <w:r>
        <w:t xml:space="preserve"> internal </w:t>
      </w:r>
      <w:r w:rsidR="00F27FA6">
        <w:lastRenderedPageBreak/>
        <w:t xml:space="preserve">estimates </w:t>
      </w:r>
      <w:r w:rsidR="00A3142E">
        <w:t xml:space="preserve">of </w:t>
      </w:r>
      <w:r w:rsidR="00BD3C1C">
        <w:t>EAD</w:t>
      </w:r>
      <w:r w:rsidR="00E30E6E">
        <w:t xml:space="preserve"> for those commitments</w:t>
      </w:r>
      <w:r w:rsidR="00A3142E">
        <w:t xml:space="preserve"> and</w:t>
      </w:r>
      <w:r w:rsidR="00E853D1">
        <w:t xml:space="preserve"> must</w:t>
      </w:r>
      <w:r w:rsidR="00A3142E">
        <w:t xml:space="preserve"> instead</w:t>
      </w:r>
      <w:r w:rsidR="00E853D1">
        <w:t xml:space="preserve"> apply the CCFs</w:t>
      </w:r>
      <w:r w:rsidR="003C3549">
        <w:t xml:space="preserve"> </w:t>
      </w:r>
      <w:r w:rsidR="00D97F28">
        <w:t>as specified</w:t>
      </w:r>
      <w:r w:rsidR="00E853D1">
        <w:t xml:space="preserve"> in Attachment C to APS 112</w:t>
      </w:r>
      <w:r w:rsidR="00D93ECE">
        <w:t>.</w:t>
      </w:r>
    </w:p>
    <w:p w14:paraId="2AEFB55C" w14:textId="02C56896" w:rsidR="001A7193" w:rsidRPr="00B95608" w:rsidRDefault="005918AC" w:rsidP="005A418A">
      <w:pPr>
        <w:pStyle w:val="Heading3"/>
        <w:jc w:val="both"/>
      </w:pPr>
      <w:r w:rsidRPr="00B95608">
        <w:t>O</w:t>
      </w:r>
      <w:r w:rsidR="001A7193" w:rsidRPr="00B95608">
        <w:t xml:space="preserve">ff-balance sheet exposures that expose </w:t>
      </w:r>
      <w:r w:rsidRPr="00B95608">
        <w:t xml:space="preserve">an </w:t>
      </w:r>
      <w:r w:rsidR="001A7193" w:rsidRPr="00B95608">
        <w:t>ADI to counterparty credit risk</w:t>
      </w:r>
    </w:p>
    <w:p w14:paraId="302B54FB" w14:textId="35402064" w:rsidR="008947CC" w:rsidRDefault="00115C52" w:rsidP="006A02EA">
      <w:pPr>
        <w:pStyle w:val="BodyText1"/>
      </w:pPr>
      <w:r>
        <w:t>F</w:t>
      </w:r>
      <w:r w:rsidRPr="001A7193">
        <w:t xml:space="preserve">or </w:t>
      </w:r>
      <w:r w:rsidR="001A7193" w:rsidRPr="001A7193">
        <w:t xml:space="preserve">off-balance sheet exposures that expose </w:t>
      </w:r>
      <w:r w:rsidR="00EB2B6C">
        <w:t>an</w:t>
      </w:r>
      <w:r w:rsidR="00EB2B6C" w:rsidRPr="001A7193">
        <w:t xml:space="preserve"> </w:t>
      </w:r>
      <w:r w:rsidR="001A7193" w:rsidRPr="001A7193">
        <w:t>ADI to counterparty credit risk</w:t>
      </w:r>
      <w:r>
        <w:t xml:space="preserve">, </w:t>
      </w:r>
      <w:r w:rsidR="003F175C">
        <w:t xml:space="preserve">including </w:t>
      </w:r>
      <w:r w:rsidR="0069520C" w:rsidRPr="0069520C">
        <w:t xml:space="preserve">over-the-counter </w:t>
      </w:r>
      <w:r w:rsidR="0069520C">
        <w:t>(</w:t>
      </w:r>
      <w:r w:rsidR="003F175C">
        <w:t>OTC</w:t>
      </w:r>
      <w:r w:rsidR="0069520C">
        <w:t>)</w:t>
      </w:r>
      <w:r w:rsidR="003F175C">
        <w:t xml:space="preserve"> derivatives</w:t>
      </w:r>
      <w:r w:rsidR="0069520C">
        <w:t xml:space="preserve"> (as defined in APS 112)</w:t>
      </w:r>
      <w:r w:rsidR="003F175C">
        <w:t xml:space="preserve">, exchange-traded derivatives, </w:t>
      </w:r>
      <w:r w:rsidR="00E37EF3">
        <w:t xml:space="preserve">and </w:t>
      </w:r>
      <w:r w:rsidR="003F175C">
        <w:t xml:space="preserve">long settlement transactions, </w:t>
      </w:r>
      <w:r w:rsidR="003269C7">
        <w:t xml:space="preserve">the </w:t>
      </w:r>
      <w:r>
        <w:t>ADI must calculate EAD</w:t>
      </w:r>
      <w:r w:rsidR="001A7193" w:rsidRPr="001A7193">
        <w:t xml:space="preserve"> according to the </w:t>
      </w:r>
      <w:r>
        <w:t xml:space="preserve">requirements set out in APS 180. </w:t>
      </w:r>
      <w:r w:rsidR="00F803C2">
        <w:t xml:space="preserve">For the purpose of calculating the </w:t>
      </w:r>
      <w:r w:rsidR="004250BD">
        <w:t xml:space="preserve">credit valuation adjustment </w:t>
      </w:r>
      <w:r w:rsidR="00F803C2">
        <w:t>risk capital formula weights, as detailed in APS 180, a</w:t>
      </w:r>
      <w:r w:rsidR="00903086">
        <w:t xml:space="preserve">n ADI may use internal ratings </w:t>
      </w:r>
      <w:r w:rsidR="00853E36">
        <w:t>for counterparties without an external rating grade</w:t>
      </w:r>
      <w:r w:rsidR="008872FE">
        <w:t xml:space="preserve"> </w:t>
      </w:r>
      <w:r w:rsidR="003A490B">
        <w:t>if</w:t>
      </w:r>
      <w:r w:rsidR="00853E36">
        <w:t xml:space="preserve"> </w:t>
      </w:r>
      <w:r w:rsidR="008872FE">
        <w:t>t</w:t>
      </w:r>
      <w:r w:rsidR="0037169E">
        <w:t xml:space="preserve">he ADI </w:t>
      </w:r>
      <w:r w:rsidR="00AD4DFE">
        <w:t xml:space="preserve">has </w:t>
      </w:r>
      <w:r w:rsidR="0037169E">
        <w:t xml:space="preserve">a documented conservative and </w:t>
      </w:r>
      <w:r w:rsidR="00F55221">
        <w:t>c</w:t>
      </w:r>
      <w:r w:rsidR="00406F2D">
        <w:t>onsistent process that maps each of its internal ratings for counterparties without an external rating grade into the equivalent long-term credit rating grade</w:t>
      </w:r>
      <w:r w:rsidR="00E76C68">
        <w:t xml:space="preserve"> to use internal ratings</w:t>
      </w:r>
      <w:r w:rsidR="00406F2D">
        <w:t>.</w:t>
      </w:r>
    </w:p>
    <w:p w14:paraId="2AC07BDA" w14:textId="0FF7745B" w:rsidR="001A7193" w:rsidRDefault="003955E9" w:rsidP="00F077E4">
      <w:pPr>
        <w:pStyle w:val="Heading2"/>
      </w:pPr>
      <w:r>
        <w:t>Effective m</w:t>
      </w:r>
      <w:r w:rsidR="006A02EA">
        <w:t>aturity</w:t>
      </w:r>
    </w:p>
    <w:p w14:paraId="61AB287C" w14:textId="2B85F499" w:rsidR="006A02EA" w:rsidRPr="002A6B38" w:rsidRDefault="006A02EA" w:rsidP="006A02EA">
      <w:pPr>
        <w:pStyle w:val="BodyText1"/>
      </w:pPr>
      <w:r w:rsidRPr="002A6B38">
        <w:t xml:space="preserve">For corporate, sovereign and </w:t>
      </w:r>
      <w:r w:rsidR="00850AF0" w:rsidRPr="002A6B38">
        <w:t>financial institution</w:t>
      </w:r>
      <w:r w:rsidRPr="002A6B38">
        <w:t xml:space="preserve"> </w:t>
      </w:r>
      <w:r w:rsidR="00F077E4" w:rsidRPr="002A6B38">
        <w:t>exposures</w:t>
      </w:r>
      <w:r w:rsidRPr="002A6B38">
        <w:t xml:space="preserve">, </w:t>
      </w:r>
      <w:r w:rsidR="00355D9C" w:rsidRPr="002A6B38">
        <w:t xml:space="preserve">an </w:t>
      </w:r>
      <w:r w:rsidRPr="002A6B38">
        <w:t xml:space="preserve">ADI must </w:t>
      </w:r>
      <w:r w:rsidR="00F96D99" w:rsidRPr="002A6B38">
        <w:t xml:space="preserve">calculate </w:t>
      </w:r>
      <w:r w:rsidR="00B11875" w:rsidRPr="002A6B38">
        <w:t>M</w:t>
      </w:r>
      <w:r w:rsidRPr="002A6B38">
        <w:t xml:space="preserve"> for each facility. </w:t>
      </w:r>
      <w:r w:rsidR="00F077E4" w:rsidRPr="002A6B38">
        <w:t xml:space="preserve">Subject to </w:t>
      </w:r>
      <w:r w:rsidRPr="002A6B38">
        <w:t>paragraph</w:t>
      </w:r>
      <w:r w:rsidR="002A6B38" w:rsidRPr="002A6B38">
        <w:t xml:space="preserve"> </w:t>
      </w:r>
      <w:r w:rsidR="002A6B38" w:rsidRPr="002A6B38">
        <w:fldChar w:fldCharType="begin"/>
      </w:r>
      <w:r w:rsidR="002A6B38" w:rsidRPr="002A6B38">
        <w:instrText xml:space="preserve"> REF _Ref34382718 \r \h </w:instrText>
      </w:r>
      <w:r w:rsidR="002A6B38">
        <w:instrText xml:space="preserve"> \* MERGEFORMAT </w:instrText>
      </w:r>
      <w:r w:rsidR="002A6B38" w:rsidRPr="002A6B38">
        <w:fldChar w:fldCharType="separate"/>
      </w:r>
      <w:r w:rsidR="00550C88">
        <w:t>42</w:t>
      </w:r>
      <w:r w:rsidR="002A6B38" w:rsidRPr="002A6B38">
        <w:fldChar w:fldCharType="end"/>
      </w:r>
      <w:r w:rsidRPr="002A6B38">
        <w:t xml:space="preserve"> of this Attachment, M is the greater of one year and the remaining maturity in years as defined in </w:t>
      </w:r>
      <w:r w:rsidR="002A6B38" w:rsidRPr="002A6B38">
        <w:t xml:space="preserve">paragraph </w:t>
      </w:r>
      <w:r w:rsidR="002A6B38" w:rsidRPr="002A6B38">
        <w:fldChar w:fldCharType="begin"/>
      </w:r>
      <w:r w:rsidR="002A6B38" w:rsidRPr="002A6B38">
        <w:instrText xml:space="preserve"> REF _Ref34382764 \r \h </w:instrText>
      </w:r>
      <w:r w:rsidR="002A6B38">
        <w:instrText xml:space="preserve"> \* MERGEFORMAT </w:instrText>
      </w:r>
      <w:r w:rsidR="002A6B38" w:rsidRPr="002A6B38">
        <w:fldChar w:fldCharType="separate"/>
      </w:r>
      <w:r w:rsidR="00550C88">
        <w:t>41</w:t>
      </w:r>
      <w:r w:rsidR="002A6B38" w:rsidRPr="002A6B38">
        <w:fldChar w:fldCharType="end"/>
      </w:r>
      <w:r w:rsidRPr="002A6B38">
        <w:t xml:space="preserve"> of this Attachment. In all cases, M is no greater than five years.</w:t>
      </w:r>
    </w:p>
    <w:p w14:paraId="7DD1950D" w14:textId="01706503" w:rsidR="006B5CAF" w:rsidRPr="00ED0239" w:rsidRDefault="00ED0239" w:rsidP="006B5CAF">
      <w:pPr>
        <w:pStyle w:val="BodyText1"/>
      </w:pPr>
      <w:bookmarkStart w:id="73" w:name="_Ref34382764"/>
      <w:r w:rsidRPr="00ED0239">
        <w:t>For an exposure subject to a specified cash flow schedule, M is defined as:</w:t>
      </w:r>
      <w:bookmarkEnd w:id="73"/>
    </w:p>
    <w:p w14:paraId="540BC3AE" w14:textId="0CAED160" w:rsidR="0065466A" w:rsidRDefault="0065466A" w:rsidP="00887E4E">
      <w:pPr>
        <w:ind w:firstLine="567"/>
      </w:pPr>
      <w:r>
        <w:rPr>
          <w:noProof/>
        </w:rPr>
        <w:drawing>
          <wp:inline distT="0" distB="0" distL="0" distR="0" wp14:anchorId="29A2FAA9" wp14:editId="47A7C479">
            <wp:extent cx="1311965" cy="555430"/>
            <wp:effectExtent l="0" t="0" r="2540" b="0"/>
            <wp:docPr id="17" name="Picture 17" descr="Effective maturity formula for corporate, sovereign and financial institution expo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ffective maturity formula for corporate, sovereign and financial institution exposures."/>
                    <pic:cNvPicPr/>
                  </pic:nvPicPr>
                  <pic:blipFill>
                    <a:blip r:embed="rId34"/>
                    <a:stretch>
                      <a:fillRect/>
                    </a:stretch>
                  </pic:blipFill>
                  <pic:spPr>
                    <a:xfrm>
                      <a:off x="0" y="0"/>
                      <a:ext cx="1329487" cy="562848"/>
                    </a:xfrm>
                    <a:prstGeom prst="rect">
                      <a:avLst/>
                    </a:prstGeom>
                  </pic:spPr>
                </pic:pic>
              </a:graphicData>
            </a:graphic>
          </wp:inline>
        </w:drawing>
      </w:r>
    </w:p>
    <w:p w14:paraId="2EEF606F" w14:textId="3D7BDE4B" w:rsidR="006A02EA" w:rsidRDefault="00ED0239" w:rsidP="00ED0239">
      <w:pPr>
        <w:ind w:firstLine="567"/>
      </w:pPr>
      <w:r>
        <w:t>where:</w:t>
      </w:r>
    </w:p>
    <w:p w14:paraId="1CA6DE5C" w14:textId="42476689" w:rsidR="00ED0239" w:rsidRDefault="00ED0239" w:rsidP="00F2097B">
      <w:pPr>
        <w:pStyle w:val="ListParagraph"/>
        <w:numPr>
          <w:ilvl w:val="0"/>
          <w:numId w:val="10"/>
        </w:numPr>
        <w:jc w:val="both"/>
      </w:pPr>
      <w:proofErr w:type="spellStart"/>
      <w:r w:rsidRPr="00ED0239">
        <w:t>CF</w:t>
      </w:r>
      <w:r w:rsidRPr="000674AC">
        <w:rPr>
          <w:i/>
          <w:vertAlign w:val="subscript"/>
        </w:rPr>
        <w:t>t</w:t>
      </w:r>
      <w:proofErr w:type="spellEnd"/>
      <w:r w:rsidRPr="00ED0239">
        <w:t xml:space="preserve"> denotes the cash flows contractually payable by the </w:t>
      </w:r>
      <w:r w:rsidR="00F35826">
        <w:t>borrower</w:t>
      </w:r>
      <w:r w:rsidRPr="00ED0239">
        <w:t xml:space="preserve"> in period </w:t>
      </w:r>
      <w:r w:rsidRPr="000674AC">
        <w:rPr>
          <w:i/>
        </w:rPr>
        <w:t>t</w:t>
      </w:r>
      <w:r w:rsidRPr="00ED0239">
        <w:t xml:space="preserve"> and </w:t>
      </w:r>
      <w:r w:rsidRPr="000674AC">
        <w:rPr>
          <w:i/>
        </w:rPr>
        <w:t>t</w:t>
      </w:r>
      <w:r w:rsidRPr="00ED0239">
        <w:t xml:space="preserve"> is expressed in years.</w:t>
      </w:r>
    </w:p>
    <w:p w14:paraId="1846BEE2" w14:textId="1881B831" w:rsidR="00847778" w:rsidRPr="00847778" w:rsidRDefault="00847778" w:rsidP="00847778">
      <w:pPr>
        <w:ind w:left="567"/>
        <w:jc w:val="both"/>
      </w:pPr>
      <w:r>
        <w:t xml:space="preserve">An ADI must apply a floor of zero to </w:t>
      </w:r>
      <w:proofErr w:type="spellStart"/>
      <w:r w:rsidRPr="00ED0239">
        <w:t>CF</w:t>
      </w:r>
      <w:r w:rsidRPr="000674AC">
        <w:rPr>
          <w:i/>
          <w:vertAlign w:val="subscript"/>
        </w:rPr>
        <w:t>t</w:t>
      </w:r>
      <w:proofErr w:type="spellEnd"/>
      <w:r>
        <w:t xml:space="preserve"> where the cash flow </w:t>
      </w:r>
      <w:r w:rsidR="00B443D8">
        <w:t>is</w:t>
      </w:r>
      <w:r>
        <w:t xml:space="preserve"> negative (i.e. </w:t>
      </w:r>
      <w:r w:rsidR="00B443D8">
        <w:t>payable by</w:t>
      </w:r>
      <w:r>
        <w:t xml:space="preserve"> the ADI to the borrower), </w:t>
      </w:r>
      <w:r w:rsidR="004510EE">
        <w:t xml:space="preserve">which </w:t>
      </w:r>
      <w:r>
        <w:t xml:space="preserve">can occur with some derivative transactions. </w:t>
      </w:r>
    </w:p>
    <w:p w14:paraId="4663A235" w14:textId="649BEA0A" w:rsidR="00ED0239" w:rsidRDefault="00EC0D02" w:rsidP="00ED0239">
      <w:pPr>
        <w:pStyle w:val="BodyText1"/>
      </w:pPr>
      <w:bookmarkStart w:id="74" w:name="_Ref34382718"/>
      <w:r>
        <w:t xml:space="preserve">Where an </w:t>
      </w:r>
      <w:r w:rsidR="00ED0239">
        <w:t xml:space="preserve">ADI is not able to calculate M for the contracted payments, </w:t>
      </w:r>
      <w:r>
        <w:t xml:space="preserve">it </w:t>
      </w:r>
      <w:r w:rsidR="007F1CFE">
        <w:t xml:space="preserve">must </w:t>
      </w:r>
      <w:r w:rsidR="00ED0239">
        <w:t xml:space="preserve">use a more conservative measure that </w:t>
      </w:r>
      <w:r w:rsidR="00BB686A">
        <w:t>equals</w:t>
      </w:r>
      <w:r w:rsidR="00ED0239">
        <w:t xml:space="preserve"> the maximum remaining time that the </w:t>
      </w:r>
      <w:r w:rsidR="00F35826">
        <w:t>borrower</w:t>
      </w:r>
      <w:r w:rsidR="00ED0239">
        <w:t xml:space="preserve"> is permitted to take to fully discharge its contractual obligations under the terms of the facility agreement</w:t>
      </w:r>
      <w:r w:rsidR="006C175E">
        <w:t>, up to a maximum of five years</w:t>
      </w:r>
      <w:r w:rsidR="00ED0239">
        <w:t>.</w:t>
      </w:r>
      <w:bookmarkEnd w:id="74"/>
      <w:r w:rsidR="00ED0239">
        <w:t xml:space="preserve"> </w:t>
      </w:r>
    </w:p>
    <w:p w14:paraId="77529CB3" w14:textId="1F2B921E" w:rsidR="00ED0239" w:rsidRDefault="00ED0239" w:rsidP="00ED0239">
      <w:pPr>
        <w:pStyle w:val="BodyText1"/>
      </w:pPr>
      <w:r>
        <w:t xml:space="preserve">Where amounts have been drawn by a </w:t>
      </w:r>
      <w:r w:rsidR="00F35826">
        <w:t>borrower</w:t>
      </w:r>
      <w:r>
        <w:t xml:space="preserve"> under a committed facility and the maturity of the drawn amount is less than the maturity of the facility, the maturity of the facility must be used for determining the capital requirement.</w:t>
      </w:r>
    </w:p>
    <w:p w14:paraId="79FAB6A7" w14:textId="1EEED90B" w:rsidR="00F10BD9" w:rsidRPr="007F291C" w:rsidRDefault="00ED0239" w:rsidP="007F291C">
      <w:pPr>
        <w:pStyle w:val="BodyText1"/>
      </w:pPr>
      <w:r w:rsidRPr="0084710A">
        <w:t xml:space="preserve">When determining </w:t>
      </w:r>
      <w:r w:rsidR="00D96705">
        <w:t>M</w:t>
      </w:r>
      <w:r w:rsidRPr="0084710A">
        <w:t xml:space="preserve"> for derivatives that are subject to a master netting agreement, </w:t>
      </w:r>
      <w:r w:rsidR="00B260BC" w:rsidRPr="0084710A">
        <w:t xml:space="preserve">an </w:t>
      </w:r>
      <w:r w:rsidRPr="0084710A">
        <w:t>ADI must use the weighted</w:t>
      </w:r>
      <w:r w:rsidR="007722B8">
        <w:t xml:space="preserve"> </w:t>
      </w:r>
      <w:r w:rsidRPr="0084710A">
        <w:t xml:space="preserve">average maturity of the derivatives. </w:t>
      </w:r>
      <w:r w:rsidRPr="0084710A">
        <w:lastRenderedPageBreak/>
        <w:t>In this case, the notional amount of each derivative transaction should be used for the purpose of determining the weighted</w:t>
      </w:r>
      <w:r w:rsidR="007722B8">
        <w:t xml:space="preserve"> </w:t>
      </w:r>
      <w:r w:rsidRPr="0084710A">
        <w:t>average maturity.</w:t>
      </w:r>
    </w:p>
    <w:p w14:paraId="404C8041" w14:textId="511C63C0" w:rsidR="00ED0239" w:rsidRDefault="00671663" w:rsidP="00FC2F80">
      <w:pPr>
        <w:pStyle w:val="Heading3"/>
      </w:pPr>
      <w:r>
        <w:t>Exceptions to</w:t>
      </w:r>
      <w:r w:rsidR="00ED0239">
        <w:t xml:space="preserve"> the one-year maturity floor</w:t>
      </w:r>
    </w:p>
    <w:p w14:paraId="7B77BE26" w14:textId="2CFEF619" w:rsidR="00FD4466" w:rsidRDefault="00FD4466" w:rsidP="00FD4466">
      <w:pPr>
        <w:pStyle w:val="BodyText1"/>
      </w:pPr>
      <w:r w:rsidRPr="00FD4466">
        <w:t xml:space="preserve">For certain short-term exposures, the one-year floor for maturity may be replaced by a one-day floor. The maturity of such transactions must be calculated as the greater of one day and </w:t>
      </w:r>
      <w:r w:rsidR="005D73FA">
        <w:t>M</w:t>
      </w:r>
      <w:r w:rsidRPr="00FD4466">
        <w:t>.</w:t>
      </w:r>
    </w:p>
    <w:p w14:paraId="4099770C" w14:textId="38A4324B" w:rsidR="00BF2958" w:rsidRDefault="00BF2958" w:rsidP="00FD4466">
      <w:pPr>
        <w:pStyle w:val="BodyText1"/>
      </w:pPr>
      <w:r>
        <w:t>The one-year floor does not apply to the following exposures:</w:t>
      </w:r>
    </w:p>
    <w:p w14:paraId="7E636774" w14:textId="71659613" w:rsidR="00FD4466" w:rsidRPr="00FD4466" w:rsidRDefault="00703348" w:rsidP="00BF2958">
      <w:pPr>
        <w:pStyle w:val="BodyText2"/>
      </w:pPr>
      <w:r>
        <w:t>collateralised capital-market-driven transactions (e.g. OTC</w:t>
      </w:r>
      <w:r w:rsidR="00FD4466" w:rsidRPr="00FD4466">
        <w:t xml:space="preserve"> derivative transactions</w:t>
      </w:r>
      <w:r>
        <w:t xml:space="preserve"> and margin lending) and SFTs with an </w:t>
      </w:r>
      <w:r w:rsidR="00FD4466" w:rsidRPr="00FD4466">
        <w:t>original maturity of less than one year</w:t>
      </w:r>
      <w:r>
        <w:t>, where</w:t>
      </w:r>
      <w:r w:rsidR="00FD4466" w:rsidRPr="00FD4466">
        <w:t xml:space="preserve"> the relevant documentation contains daily </w:t>
      </w:r>
      <w:proofErr w:type="spellStart"/>
      <w:r w:rsidR="00FD4466" w:rsidRPr="00FD4466">
        <w:t>remargining</w:t>
      </w:r>
      <w:proofErr w:type="spellEnd"/>
      <w:r w:rsidR="00FD4466" w:rsidRPr="00FD4466">
        <w:t xml:space="preserve"> clauses. The relevant documentation must also require daily revaluation and include provisions that allow for the prompt liquidation or set</w:t>
      </w:r>
      <w:r>
        <w:t>-</w:t>
      </w:r>
      <w:r w:rsidR="00FD4466" w:rsidRPr="00FD4466">
        <w:t xml:space="preserve">off of collateral in the event of default or failure to </w:t>
      </w:r>
      <w:proofErr w:type="spellStart"/>
      <w:r w:rsidR="00FD4466" w:rsidRPr="00FD4466">
        <w:t>remargin</w:t>
      </w:r>
      <w:proofErr w:type="spellEnd"/>
      <w:r w:rsidR="00FD4466" w:rsidRPr="00FD4466">
        <w:t xml:space="preserve">. Where these transactions are subject to a master netting agreement, the </w:t>
      </w:r>
      <w:r w:rsidR="0084643D">
        <w:t>effective maturity is</w:t>
      </w:r>
      <w:r w:rsidR="00B14CF8">
        <w:t xml:space="preserve"> calculated as</w:t>
      </w:r>
      <w:r w:rsidR="0084643D">
        <w:t xml:space="preserve"> the </w:t>
      </w:r>
      <w:r w:rsidR="00FD4466" w:rsidRPr="00FD4466">
        <w:t>weighted</w:t>
      </w:r>
      <w:r w:rsidR="007722B8">
        <w:t xml:space="preserve"> </w:t>
      </w:r>
      <w:r w:rsidR="00FD4466" w:rsidRPr="00FD4466">
        <w:t xml:space="preserve">average maturity of the transactions. In this case, </w:t>
      </w:r>
      <w:r w:rsidR="00B14CF8">
        <w:t>a</w:t>
      </w:r>
      <w:r w:rsidR="00FD4466" w:rsidRPr="00FD4466">
        <w:t xml:space="preserve"> floor </w:t>
      </w:r>
      <w:r w:rsidR="00B14CF8">
        <w:t xml:space="preserve">equal to the minimum holding period for the transaction type as set out in </w:t>
      </w:r>
      <w:r w:rsidR="00B14CF8" w:rsidRPr="00863D94">
        <w:t>Table 24</w:t>
      </w:r>
      <w:r w:rsidR="00E44E9E">
        <w:t xml:space="preserve"> of Attachment G</w:t>
      </w:r>
      <w:r w:rsidR="00B14CF8" w:rsidRPr="00863D94">
        <w:t xml:space="preserve"> </w:t>
      </w:r>
      <w:r w:rsidR="00E44E9E">
        <w:t>to</w:t>
      </w:r>
      <w:r w:rsidR="00B14CF8" w:rsidRPr="00863D94">
        <w:t xml:space="preserve"> APS 112</w:t>
      </w:r>
      <w:r w:rsidR="00B14CF8">
        <w:t xml:space="preserve"> will apply. Where m</w:t>
      </w:r>
      <w:r w:rsidR="001D1028">
        <w:t>ore than one transaction type is</w:t>
      </w:r>
      <w:r w:rsidR="00B14CF8">
        <w:t xml:space="preserve"> contained in the master netting agreement, a floor equal to the highest holding period will apply to the average.</w:t>
      </w:r>
      <w:r w:rsidR="00FD4466" w:rsidRPr="00FD4466">
        <w:t xml:space="preserve"> The notional amount of each transaction must be used in determining the weighted-average maturity</w:t>
      </w:r>
      <w:r w:rsidR="00804D46">
        <w:t>;</w:t>
      </w:r>
    </w:p>
    <w:p w14:paraId="103012BB" w14:textId="5954E673" w:rsidR="00FD4466" w:rsidRPr="00FD4466" w:rsidRDefault="00703348" w:rsidP="00BF2958">
      <w:pPr>
        <w:pStyle w:val="BodyText2"/>
      </w:pPr>
      <w:r>
        <w:t>i</w:t>
      </w:r>
      <w:r w:rsidR="00BF2958">
        <w:t xml:space="preserve">ssued and confirmed </w:t>
      </w:r>
      <w:r w:rsidR="00B11875">
        <w:t xml:space="preserve">trade letters </w:t>
      </w:r>
      <w:r w:rsidR="00FD4466" w:rsidRPr="00FD4466">
        <w:t xml:space="preserve">of credit </w:t>
      </w:r>
      <w:r w:rsidR="00B11875">
        <w:t>and other forms of trade financing</w:t>
      </w:r>
      <w:r w:rsidR="00FD4466" w:rsidRPr="00FD4466">
        <w:t xml:space="preserve"> that have a maturity</w:t>
      </w:r>
      <w:r w:rsidR="00923918">
        <w:t xml:space="preserve"> of</w:t>
      </w:r>
      <w:r w:rsidR="00FD4466" w:rsidRPr="00FD4466">
        <w:t xml:space="preserve"> </w:t>
      </w:r>
      <w:r w:rsidR="000F731B">
        <w:t>less than</w:t>
      </w:r>
      <w:r w:rsidR="000F731B" w:rsidRPr="00FD4466">
        <w:t xml:space="preserve"> </w:t>
      </w:r>
      <w:r w:rsidR="00FD4466" w:rsidRPr="00FD4466">
        <w:t>one</w:t>
      </w:r>
      <w:r w:rsidR="0073645C">
        <w:t xml:space="preserve"> </w:t>
      </w:r>
      <w:r w:rsidR="00FD4466" w:rsidRPr="00FD4466">
        <w:t>year and are self-liquidating</w:t>
      </w:r>
      <w:r w:rsidR="000F731B">
        <w:t>;</w:t>
      </w:r>
      <w:r w:rsidR="00FD4466" w:rsidRPr="00FD4466">
        <w:t xml:space="preserve"> </w:t>
      </w:r>
      <w:r>
        <w:t>and</w:t>
      </w:r>
    </w:p>
    <w:p w14:paraId="5BAAC228" w14:textId="396367D0" w:rsidR="00F27FA6" w:rsidRDefault="00FD4466" w:rsidP="00FA0937">
      <w:pPr>
        <w:pStyle w:val="BodyText2"/>
      </w:pPr>
      <w:r w:rsidRPr="00FD4466">
        <w:t>other short-term transactions with an original maturity of less than one year that are not part of an ADI’s ongoing financing of a</w:t>
      </w:r>
      <w:r w:rsidR="00F35826">
        <w:t xml:space="preserve"> borrower</w:t>
      </w:r>
      <w:r w:rsidRPr="00FD4466">
        <w:t xml:space="preserve">. </w:t>
      </w:r>
    </w:p>
    <w:p w14:paraId="034A1DDC" w14:textId="7E56FE55" w:rsidR="00630D15" w:rsidRDefault="003269C7" w:rsidP="00F2097B">
      <w:pPr>
        <w:pStyle w:val="BodyText2"/>
        <w:numPr>
          <w:ilvl w:val="0"/>
          <w:numId w:val="0"/>
        </w:numPr>
        <w:ind w:left="567"/>
      </w:pPr>
      <w:r>
        <w:t>The</w:t>
      </w:r>
      <w:r w:rsidRPr="00FD4466">
        <w:t xml:space="preserve"> </w:t>
      </w:r>
      <w:r w:rsidR="00FD4466" w:rsidRPr="00FD4466">
        <w:t xml:space="preserve">ADI must have policies </w:t>
      </w:r>
      <w:r w:rsidR="00591F0C">
        <w:t xml:space="preserve">that </w:t>
      </w:r>
      <w:r w:rsidR="00FD4466" w:rsidRPr="00FD4466">
        <w:t>detail the transactions where the one-day maturity floor is appropriate.</w:t>
      </w:r>
    </w:p>
    <w:p w14:paraId="76E785C1" w14:textId="5758CFD8" w:rsidR="00DB39DC" w:rsidRDefault="00DB39DC" w:rsidP="00A72825">
      <w:pPr>
        <w:pStyle w:val="Heading2"/>
      </w:pPr>
      <w:r>
        <w:t>Treatment of guarantees and credit derivatives</w:t>
      </w:r>
    </w:p>
    <w:p w14:paraId="2A1A703C" w14:textId="5C4079E5" w:rsidR="001C74D6" w:rsidRDefault="00000323" w:rsidP="00843033">
      <w:pPr>
        <w:pStyle w:val="BodyText1"/>
      </w:pPr>
      <w:r>
        <w:t>To</w:t>
      </w:r>
      <w:r w:rsidR="001C74D6">
        <w:t xml:space="preserve"> recognise guarantees and credit derivatives as eligible CRM, an ADI must meet the minimum requirements detailed in </w:t>
      </w:r>
      <w:r w:rsidR="001C74D6" w:rsidRPr="00863D94">
        <w:t xml:space="preserve">Attachment </w:t>
      </w:r>
      <w:r w:rsidR="00863D94" w:rsidRPr="00863D94">
        <w:t>E</w:t>
      </w:r>
      <w:r w:rsidR="00863D94">
        <w:t xml:space="preserve"> to this Prudential Standard.</w:t>
      </w:r>
    </w:p>
    <w:p w14:paraId="690B0DDB" w14:textId="5E0135AA" w:rsidR="00052406" w:rsidRDefault="00FA393B" w:rsidP="00FA393B">
      <w:pPr>
        <w:pStyle w:val="BodyText1"/>
      </w:pPr>
      <w:r>
        <w:t xml:space="preserve">An ADI may </w:t>
      </w:r>
      <w:r w:rsidR="004A382E">
        <w:t xml:space="preserve">recognise </w:t>
      </w:r>
      <w:r w:rsidR="00F92AAB">
        <w:t xml:space="preserve">the risk-mitigating effect of </w:t>
      </w:r>
      <w:r w:rsidR="004A382E">
        <w:t xml:space="preserve">guarantees and credit derivatives by </w:t>
      </w:r>
      <w:r>
        <w:t>apply</w:t>
      </w:r>
      <w:r w:rsidR="004A382E">
        <w:t>ing</w:t>
      </w:r>
      <w:r>
        <w:t xml:space="preserve"> </w:t>
      </w:r>
      <w:r w:rsidR="00AD5BC7">
        <w:t>either</w:t>
      </w:r>
      <w:r>
        <w:t xml:space="preserve"> </w:t>
      </w:r>
      <w:r w:rsidRPr="00B24F79">
        <w:t>a FIRB</w:t>
      </w:r>
      <w:r w:rsidR="004A382E">
        <w:t>,</w:t>
      </w:r>
      <w:r w:rsidRPr="00B24F79">
        <w:t xml:space="preserve"> AIRB </w:t>
      </w:r>
      <w:r w:rsidR="002C30B6">
        <w:t>or retail IRB substitution approach</w:t>
      </w:r>
      <w:r>
        <w:t>.</w:t>
      </w:r>
      <w:r w:rsidR="00052406">
        <w:t xml:space="preserve"> </w:t>
      </w:r>
      <w:r w:rsidR="0022288C">
        <w:t xml:space="preserve">The </w:t>
      </w:r>
      <w:r w:rsidR="00112CD3">
        <w:t xml:space="preserve">ADI’s application of the substitution approaches is constrained in the same manner as </w:t>
      </w:r>
      <w:r w:rsidR="005B2FED">
        <w:t>a direct</w:t>
      </w:r>
      <w:r w:rsidR="00112CD3">
        <w:t xml:space="preserve"> exposure</w:t>
      </w:r>
      <w:r w:rsidR="005B2FED">
        <w:t xml:space="preserve"> to the guarantor or credit protection provider</w:t>
      </w:r>
      <w:r w:rsidR="00112CD3">
        <w:t>, such that:</w:t>
      </w:r>
    </w:p>
    <w:p w14:paraId="4B236A56" w14:textId="4E74891C" w:rsidR="00085CCB" w:rsidRDefault="00112CD3" w:rsidP="00826A07">
      <w:pPr>
        <w:pStyle w:val="BodyText2"/>
      </w:pPr>
      <w:r>
        <w:t>i</w:t>
      </w:r>
      <w:r w:rsidR="00085CCB">
        <w:t xml:space="preserve">f </w:t>
      </w:r>
      <w:r w:rsidR="0022288C">
        <w:t xml:space="preserve">the </w:t>
      </w:r>
      <w:r w:rsidR="00085CCB">
        <w:t xml:space="preserve">ADI applies the </w:t>
      </w:r>
      <w:r w:rsidR="00CF1554">
        <w:t>F</w:t>
      </w:r>
      <w:r w:rsidR="00085CCB">
        <w:t xml:space="preserve">IRB approach to </w:t>
      </w:r>
      <w:r w:rsidR="00CF1554">
        <w:t xml:space="preserve">a </w:t>
      </w:r>
      <w:r w:rsidR="00085CCB">
        <w:t>direct exposure to a guarantor</w:t>
      </w:r>
      <w:r w:rsidR="004D4043">
        <w:t xml:space="preserve"> or credit protection provider</w:t>
      </w:r>
      <w:r w:rsidR="00085CCB">
        <w:t>, it may only recognise the guarantee</w:t>
      </w:r>
      <w:r w:rsidR="004D4043">
        <w:t xml:space="preserve"> or credit derivative</w:t>
      </w:r>
      <w:r w:rsidR="00085CCB">
        <w:t xml:space="preserve"> according to the </w:t>
      </w:r>
      <w:r w:rsidR="00CF1554">
        <w:t>F</w:t>
      </w:r>
      <w:r w:rsidR="00085CCB">
        <w:t xml:space="preserve">IRB </w:t>
      </w:r>
      <w:r w:rsidR="00E37E82">
        <w:t xml:space="preserve">substitution </w:t>
      </w:r>
      <w:r w:rsidR="00085CCB">
        <w:t>approach</w:t>
      </w:r>
      <w:r w:rsidR="00826A07">
        <w:t xml:space="preserve">; </w:t>
      </w:r>
      <w:r w:rsidR="00863D94">
        <w:t>and</w:t>
      </w:r>
    </w:p>
    <w:p w14:paraId="7256B879" w14:textId="2FFB3EDB" w:rsidR="00085CCB" w:rsidRDefault="00112CD3" w:rsidP="00112CD3">
      <w:pPr>
        <w:pStyle w:val="BodyText2"/>
      </w:pPr>
      <w:r>
        <w:lastRenderedPageBreak/>
        <w:t>i</w:t>
      </w:r>
      <w:r w:rsidR="00085CCB">
        <w:t xml:space="preserve">f </w:t>
      </w:r>
      <w:r w:rsidR="0022288C">
        <w:t xml:space="preserve">the </w:t>
      </w:r>
      <w:r w:rsidR="00085CCB">
        <w:t>ADI applies the standardised approach to credit risk to</w:t>
      </w:r>
      <w:r w:rsidR="00AB4583">
        <w:t xml:space="preserve"> a</w:t>
      </w:r>
      <w:r w:rsidR="00085CCB">
        <w:t xml:space="preserve"> direct exposure to a guarantor</w:t>
      </w:r>
      <w:r w:rsidR="004D4043">
        <w:t xml:space="preserve"> or credit protection provider</w:t>
      </w:r>
      <w:r w:rsidR="00085CCB">
        <w:t>, it may only recognise the guarantee</w:t>
      </w:r>
      <w:r w:rsidR="004D4043">
        <w:t xml:space="preserve"> or credit </w:t>
      </w:r>
      <w:r w:rsidR="00CF6FFE">
        <w:t>derivative</w:t>
      </w:r>
      <w:r w:rsidR="00085CCB">
        <w:t xml:space="preserve"> by applying the standardised approach to the covered portion of the exposure.</w:t>
      </w:r>
      <w:r w:rsidR="001A51B2">
        <w:t xml:space="preserve"> In this case, </w:t>
      </w:r>
      <w:r w:rsidR="00CF6FFE">
        <w:t>the</w:t>
      </w:r>
      <w:r w:rsidR="001A51B2">
        <w:t xml:space="preserve"> ADI must apply the scope of guarantors and credit protection providers and minimum requirements for the recognition of guarantees and credit derivatives as set out in Attachments I and J to APS 112.</w:t>
      </w:r>
      <w:r w:rsidR="00085CCB">
        <w:t xml:space="preserve"> </w:t>
      </w:r>
    </w:p>
    <w:p w14:paraId="6D4F4A18" w14:textId="2B951972" w:rsidR="003E31DE" w:rsidRDefault="003E31DE" w:rsidP="009B5E7E">
      <w:pPr>
        <w:pStyle w:val="BodyText1"/>
      </w:pPr>
      <w:r>
        <w:t>The application of</w:t>
      </w:r>
      <w:r w:rsidRPr="00BB2B13">
        <w:t xml:space="preserve"> CRM in the form of guarantees and credit derivatives must not </w:t>
      </w:r>
      <w:r>
        <w:t xml:space="preserve">reflect the effect of double default </w:t>
      </w:r>
      <w:r w:rsidR="00B45B67">
        <w:t xml:space="preserve">nor </w:t>
      </w:r>
      <w:r w:rsidRPr="00BB2B13">
        <w:t>result in an adjusted risk</w:t>
      </w:r>
      <w:r w:rsidR="004122FD">
        <w:t xml:space="preserve"> </w:t>
      </w:r>
      <w:r w:rsidRPr="00BB2B13">
        <w:t>weight that is less than that of a comparable direct exposure to the guarantor or credit protection provider.</w:t>
      </w:r>
      <w:r>
        <w:t xml:space="preserve"> </w:t>
      </w:r>
    </w:p>
    <w:p w14:paraId="3BB6DB32" w14:textId="11FDF8F1" w:rsidR="00FA393B" w:rsidRDefault="004A382E" w:rsidP="00FA393B">
      <w:pPr>
        <w:pStyle w:val="BodyText1"/>
      </w:pPr>
      <w:r>
        <w:t>I</w:t>
      </w:r>
      <w:r w:rsidR="00DA3EBA">
        <w:t>n calculating the risk</w:t>
      </w:r>
      <w:r w:rsidR="004122FD">
        <w:t xml:space="preserve"> </w:t>
      </w:r>
      <w:r w:rsidR="00DA3EBA">
        <w:t>weight for the covered portion of the exposure</w:t>
      </w:r>
      <w:r w:rsidR="00FA393B">
        <w:t>:</w:t>
      </w:r>
    </w:p>
    <w:p w14:paraId="5BD221AE" w14:textId="2C53F36A" w:rsidR="00AE70F8" w:rsidRDefault="00052406" w:rsidP="00AE70F8">
      <w:pPr>
        <w:pStyle w:val="BodyText2"/>
      </w:pPr>
      <w:r>
        <w:t xml:space="preserve">the effective maturity </w:t>
      </w:r>
      <w:r w:rsidR="004D4043">
        <w:t xml:space="preserve">of </w:t>
      </w:r>
      <w:r w:rsidR="007658AB">
        <w:t xml:space="preserve">a </w:t>
      </w:r>
      <w:r w:rsidR="006A506C">
        <w:t xml:space="preserve">corporate, sovereign </w:t>
      </w:r>
      <w:r w:rsidR="007658AB">
        <w:t>or</w:t>
      </w:r>
      <w:r w:rsidR="006A506C">
        <w:t xml:space="preserve"> financial institution exposure</w:t>
      </w:r>
      <w:r w:rsidR="00AE70F8">
        <w:t xml:space="preserve"> must be the same as the</w:t>
      </w:r>
      <w:r w:rsidR="00C451ED">
        <w:t xml:space="preserve"> effective</w:t>
      </w:r>
      <w:r w:rsidR="00AE70F8">
        <w:t xml:space="preserve"> maturity of the exposure </w:t>
      </w:r>
      <w:r w:rsidR="00852491">
        <w:t xml:space="preserve">as </w:t>
      </w:r>
      <w:r w:rsidR="00AE70F8">
        <w:t>if it were not covered;</w:t>
      </w:r>
    </w:p>
    <w:p w14:paraId="7019AA8C" w14:textId="0D120039" w:rsidR="00826A07" w:rsidRDefault="00AE70F8" w:rsidP="00FA393B">
      <w:pPr>
        <w:pStyle w:val="BodyText2"/>
      </w:pPr>
      <w:r>
        <w:t xml:space="preserve">an ADI must use the same PD, LGD and EAD estimates for calculating EL as it uses for calculating </w:t>
      </w:r>
      <w:r w:rsidR="00C451ED">
        <w:t>RWA</w:t>
      </w:r>
      <w:r>
        <w:t xml:space="preserve"> for UL</w:t>
      </w:r>
      <w:r w:rsidR="00826A07">
        <w:t>; and</w:t>
      </w:r>
    </w:p>
    <w:p w14:paraId="24AFEDF7" w14:textId="0434F844" w:rsidR="00FA393B" w:rsidRPr="00FA393B" w:rsidRDefault="00792A22" w:rsidP="00FA393B">
      <w:pPr>
        <w:pStyle w:val="BodyText2"/>
      </w:pPr>
      <w:r>
        <w:t>whe</w:t>
      </w:r>
      <w:r w:rsidR="00A63C54">
        <w:t xml:space="preserve">re the </w:t>
      </w:r>
      <w:r w:rsidR="006B0650">
        <w:t>risk-mitigating effect of guarantees or credit derivatives</w:t>
      </w:r>
      <w:r w:rsidR="00A63C54">
        <w:t xml:space="preserve"> is recognised</w:t>
      </w:r>
      <w:r w:rsidR="006B0650">
        <w:t xml:space="preserve"> through PD</w:t>
      </w:r>
      <w:r>
        <w:t xml:space="preserve">, </w:t>
      </w:r>
      <w:r w:rsidR="006B0650">
        <w:t xml:space="preserve">the </w:t>
      </w:r>
      <w:r w:rsidR="00826A07">
        <w:t>ADI must use the risk-weight function appropriate to the guarantor or credit protection provider.</w:t>
      </w:r>
    </w:p>
    <w:p w14:paraId="09C48CB2" w14:textId="5743F6D0" w:rsidR="005D5D6E" w:rsidRDefault="005D5D6E" w:rsidP="00D6682B">
      <w:pPr>
        <w:pStyle w:val="BodyText1"/>
      </w:pPr>
      <w:r>
        <w:t xml:space="preserve">The uncovered portion of the exposure </w:t>
      </w:r>
      <w:r w:rsidR="00565632">
        <w:t>must be</w:t>
      </w:r>
      <w:r>
        <w:t xml:space="preserve"> assigned a risk</w:t>
      </w:r>
      <w:r w:rsidR="004122FD">
        <w:t xml:space="preserve"> </w:t>
      </w:r>
      <w:r>
        <w:t xml:space="preserve">weight that is calculated in the same manner as a direct exposure to the underlying </w:t>
      </w:r>
      <w:r w:rsidR="00F35826">
        <w:t>borrower</w:t>
      </w:r>
      <w:r>
        <w:t>.</w:t>
      </w:r>
    </w:p>
    <w:p w14:paraId="2825FC0B" w14:textId="65606B6B" w:rsidR="005215FB" w:rsidRPr="0072599A" w:rsidRDefault="005215FB" w:rsidP="005215FB">
      <w:pPr>
        <w:pStyle w:val="BodyText1"/>
      </w:pPr>
      <w:r w:rsidRPr="0072599A">
        <w:t xml:space="preserve">Where proportional or </w:t>
      </w:r>
      <w:proofErr w:type="spellStart"/>
      <w:r w:rsidRPr="0072599A">
        <w:t>tranched</w:t>
      </w:r>
      <w:proofErr w:type="spellEnd"/>
      <w:r w:rsidRPr="0072599A">
        <w:t xml:space="preserve"> coverage exists, or where there is a currency or maturity mismatch between the underlying exposure and the guarantee or credit derivative, the approach set out in paragraphs 7 to 15 of Attachment I and paragraphs 1</w:t>
      </w:r>
      <w:r w:rsidR="00CF6FFE">
        <w:t>4</w:t>
      </w:r>
      <w:r w:rsidRPr="0072599A">
        <w:t xml:space="preserve"> to 2</w:t>
      </w:r>
      <w:r w:rsidR="00E44E9E">
        <w:t>2</w:t>
      </w:r>
      <w:r w:rsidRPr="0072599A">
        <w:t xml:space="preserve"> of Attachment J to APS 112 must be applied.</w:t>
      </w:r>
    </w:p>
    <w:p w14:paraId="1BBDF68B" w14:textId="38426FB6" w:rsidR="00A72825" w:rsidRDefault="004A382E" w:rsidP="00413607">
      <w:pPr>
        <w:pStyle w:val="Heading3"/>
      </w:pPr>
      <w:r>
        <w:t xml:space="preserve">Recognition under the </w:t>
      </w:r>
      <w:r w:rsidR="00A72825">
        <w:t>FIRB substitution approach</w:t>
      </w:r>
    </w:p>
    <w:p w14:paraId="3BB35680" w14:textId="782AC87A" w:rsidR="00EA36BA" w:rsidRDefault="00DB40D9" w:rsidP="00826A07">
      <w:pPr>
        <w:pStyle w:val="BodyText1"/>
      </w:pPr>
      <w:r>
        <w:t>Under the FIRB</w:t>
      </w:r>
      <w:r w:rsidR="004A382E">
        <w:t xml:space="preserve"> substitution</w:t>
      </w:r>
      <w:r>
        <w:t xml:space="preserve"> approach, an ADI </w:t>
      </w:r>
      <w:r w:rsidR="00522E66">
        <w:t>must determine the risk</w:t>
      </w:r>
      <w:r w:rsidR="004122FD">
        <w:t xml:space="preserve"> </w:t>
      </w:r>
      <w:r w:rsidR="00522E66">
        <w:t xml:space="preserve">weight of </w:t>
      </w:r>
      <w:r>
        <w:t>the covered portion of the exposure</w:t>
      </w:r>
      <w:r w:rsidR="006A5DBD">
        <w:t xml:space="preserve"> by</w:t>
      </w:r>
      <w:r w:rsidR="00EA36BA">
        <w:t xml:space="preserve"> using</w:t>
      </w:r>
      <w:r w:rsidR="00826A07">
        <w:t xml:space="preserve"> </w:t>
      </w:r>
      <w:r w:rsidR="00A72825">
        <w:t xml:space="preserve">the PD appropriate to the guarantor or credit protection provider’s </w:t>
      </w:r>
      <w:r w:rsidR="006352D4">
        <w:t>borrower</w:t>
      </w:r>
      <w:r w:rsidR="00A72825">
        <w:t xml:space="preserve"> grade</w:t>
      </w:r>
      <w:r w:rsidR="00826A07">
        <w:t>.</w:t>
      </w:r>
      <w:r w:rsidR="00826A07" w:rsidDel="00826A07">
        <w:t xml:space="preserve"> </w:t>
      </w:r>
      <w:r w:rsidR="00EA36BA">
        <w:t>The ADI may</w:t>
      </w:r>
      <w:r w:rsidR="00522E66">
        <w:t xml:space="preserve"> also</w:t>
      </w:r>
      <w:r w:rsidR="00EA36BA">
        <w:t xml:space="preserve"> </w:t>
      </w:r>
      <w:r w:rsidR="00A72825">
        <w:t>replac</w:t>
      </w:r>
      <w:r w:rsidR="00EA36BA">
        <w:t>e</w:t>
      </w:r>
      <w:r w:rsidR="00A72825">
        <w:t xml:space="preserve"> the LGD of the underlying </w:t>
      </w:r>
      <w:r w:rsidR="00C451ED">
        <w:t xml:space="preserve">exposure </w:t>
      </w:r>
      <w:r w:rsidR="00A72825">
        <w:t>with the LGD applicable to the guarantee or credit derivative taking into account its seniority and any eligible collateral</w:t>
      </w:r>
      <w:r w:rsidR="00BA19A3">
        <w:t xml:space="preserve"> </w:t>
      </w:r>
      <w:r w:rsidR="006A5DBD">
        <w:t xml:space="preserve">calculated in accordance </w:t>
      </w:r>
      <w:r w:rsidR="006A5DBD" w:rsidRPr="00234AD9">
        <w:t>with</w:t>
      </w:r>
      <w:r w:rsidR="0045633F" w:rsidRPr="00234AD9">
        <w:t xml:space="preserve"> this Attachment.</w:t>
      </w:r>
    </w:p>
    <w:p w14:paraId="765DC096" w14:textId="4C288459" w:rsidR="00A72825" w:rsidDel="0055366B" w:rsidRDefault="00AA2B31" w:rsidP="00413607">
      <w:pPr>
        <w:pStyle w:val="Heading3"/>
      </w:pPr>
      <w:r>
        <w:t>Recognition under the A</w:t>
      </w:r>
      <w:r w:rsidR="00A72825">
        <w:t xml:space="preserve">IRB </w:t>
      </w:r>
      <w:r w:rsidR="000D3D8D">
        <w:t>or</w:t>
      </w:r>
      <w:r>
        <w:t xml:space="preserve"> retail IRB</w:t>
      </w:r>
      <w:r w:rsidR="004A382E">
        <w:t xml:space="preserve"> substitution</w:t>
      </w:r>
      <w:r>
        <w:t xml:space="preserve"> approach</w:t>
      </w:r>
    </w:p>
    <w:p w14:paraId="60EC3730" w14:textId="1C07A4E0" w:rsidR="00A72825" w:rsidDel="001A1EF7" w:rsidRDefault="002E5D96" w:rsidP="002726A8">
      <w:pPr>
        <w:pStyle w:val="BodyText1"/>
      </w:pPr>
      <w:r>
        <w:t xml:space="preserve">Under the AIRB </w:t>
      </w:r>
      <w:r w:rsidR="000D3D8D">
        <w:t>or</w:t>
      </w:r>
      <w:r>
        <w:t xml:space="preserve"> retail</w:t>
      </w:r>
      <w:r w:rsidR="000D3D8D">
        <w:t xml:space="preserve"> IRB</w:t>
      </w:r>
      <w:r>
        <w:t xml:space="preserve"> substitution approach, a</w:t>
      </w:r>
      <w:r w:rsidR="00A72825">
        <w:t xml:space="preserve">n ADI may </w:t>
      </w:r>
      <w:r w:rsidR="00797C8B">
        <w:t xml:space="preserve">recognise </w:t>
      </w:r>
      <w:r w:rsidR="00A72825">
        <w:t>the risk-mitigating effect of guarantees and credit derivatives by adjusting</w:t>
      </w:r>
      <w:r w:rsidR="00BA19A3">
        <w:t xml:space="preserve"> either</w:t>
      </w:r>
      <w:r w:rsidR="00A72825">
        <w:t xml:space="preserve"> PD or LGD estimates</w:t>
      </w:r>
      <w:r w:rsidR="0054560E">
        <w:t xml:space="preserve">; however, in all cases, only one </w:t>
      </w:r>
      <w:r w:rsidR="009A4EAE">
        <w:t>risk component</w:t>
      </w:r>
      <w:r w:rsidR="0054560E">
        <w:t xml:space="preserve"> may be adjusted</w:t>
      </w:r>
      <w:r w:rsidR="00A72825">
        <w:t>. Whether adjustments are made through PD or LGD, they must be made in a consistent manner</w:t>
      </w:r>
      <w:r w:rsidR="002C30B6">
        <w:t xml:space="preserve"> over time and</w:t>
      </w:r>
      <w:r w:rsidR="00A72825">
        <w:t xml:space="preserve"> for a given type of guarantee or credit derivative.</w:t>
      </w:r>
    </w:p>
    <w:p w14:paraId="1D43B78A" w14:textId="0A92755E" w:rsidR="00157AAE" w:rsidRDefault="00157AAE" w:rsidP="00157AAE">
      <w:pPr>
        <w:pStyle w:val="Heading2"/>
      </w:pPr>
      <w:r>
        <w:lastRenderedPageBreak/>
        <w:t>Maturity mismatch</w:t>
      </w:r>
    </w:p>
    <w:p w14:paraId="3E146959" w14:textId="77777777" w:rsidR="00970AD9" w:rsidRDefault="00F608D3" w:rsidP="00970AD9">
      <w:pPr>
        <w:pStyle w:val="BodyText1"/>
      </w:pPr>
      <w:r w:rsidRPr="00970AD9">
        <w:t>Where a maturity mismatch exists between:</w:t>
      </w:r>
      <w:r w:rsidR="00970AD9">
        <w:t xml:space="preserve"> </w:t>
      </w:r>
    </w:p>
    <w:p w14:paraId="705EC328" w14:textId="1C59F6F8" w:rsidR="00970AD9" w:rsidRPr="009D4C16" w:rsidRDefault="00F608D3" w:rsidP="00970AD9">
      <w:pPr>
        <w:pStyle w:val="BodyText2"/>
      </w:pPr>
      <w:r w:rsidRPr="009D4C16">
        <w:t>the residual maturity of the term of lodgement</w:t>
      </w:r>
      <w:r w:rsidR="00F32088" w:rsidRPr="009D4C16">
        <w:t xml:space="preserve"> of collateral and the maturity of the exp</w:t>
      </w:r>
      <w:r w:rsidR="008371D0" w:rsidRPr="009D4C16">
        <w:t xml:space="preserve">osure covered by the collateral, </w:t>
      </w:r>
      <w:r w:rsidR="0053516B">
        <w:t>the</w:t>
      </w:r>
      <w:r w:rsidR="0053516B" w:rsidRPr="009D4C16">
        <w:t xml:space="preserve"> </w:t>
      </w:r>
      <w:r w:rsidR="008371D0" w:rsidRPr="009D4C16">
        <w:t xml:space="preserve">ADI must apply the adjustment detailed in paragraph </w:t>
      </w:r>
      <w:r w:rsidR="00F93170" w:rsidRPr="009D4C16">
        <w:t>2</w:t>
      </w:r>
      <w:r w:rsidR="00CA0F2F">
        <w:t>7</w:t>
      </w:r>
      <w:r w:rsidR="008371D0" w:rsidRPr="009D4C16">
        <w:t xml:space="preserve"> of Attachment G to APS 112;</w:t>
      </w:r>
    </w:p>
    <w:p w14:paraId="6C642A2F" w14:textId="5D5A1A64" w:rsidR="00970AD9" w:rsidRPr="009D4C16" w:rsidRDefault="00F32088" w:rsidP="00970AD9">
      <w:pPr>
        <w:pStyle w:val="BodyText2"/>
      </w:pPr>
      <w:r w:rsidRPr="009D4C16">
        <w:t>the residual maturity of a guarantee and the maturity of the exposure covered by the guarantee</w:t>
      </w:r>
      <w:r w:rsidR="008371D0" w:rsidRPr="009D4C16">
        <w:t xml:space="preserve">, </w:t>
      </w:r>
      <w:r w:rsidR="003269C7">
        <w:t>the</w:t>
      </w:r>
      <w:r w:rsidR="003269C7" w:rsidRPr="009D4C16">
        <w:t xml:space="preserve"> </w:t>
      </w:r>
      <w:r w:rsidR="008371D0" w:rsidRPr="009D4C16">
        <w:t>ADI must apply the adjustment detailed in paragraph</w:t>
      </w:r>
      <w:r w:rsidR="00F93170" w:rsidRPr="009D4C16">
        <w:t xml:space="preserve"> 15</w:t>
      </w:r>
      <w:r w:rsidR="00785E7C">
        <w:t xml:space="preserve"> </w:t>
      </w:r>
      <w:r w:rsidR="008371D0" w:rsidRPr="009D4C16">
        <w:t>of Attachment I to APS 112</w:t>
      </w:r>
      <w:r w:rsidRPr="009D4C16">
        <w:t>; or</w:t>
      </w:r>
    </w:p>
    <w:p w14:paraId="6B4BD343" w14:textId="42644B4E" w:rsidR="00F32088" w:rsidRPr="009D4C16" w:rsidRDefault="00F32088" w:rsidP="00970AD9">
      <w:pPr>
        <w:pStyle w:val="BodyText2"/>
      </w:pPr>
      <w:r w:rsidRPr="009D4C16">
        <w:t>the residual maturity of a purchased credit deriv</w:t>
      </w:r>
      <w:r w:rsidR="00512C71">
        <w:t>ative</w:t>
      </w:r>
      <w:r w:rsidRPr="009D4C16">
        <w:t xml:space="preserve"> and the maturity of the exposure covered by the derivatives, </w:t>
      </w:r>
      <w:r w:rsidR="003269C7">
        <w:t>the</w:t>
      </w:r>
      <w:r w:rsidR="003269C7" w:rsidRPr="009D4C16">
        <w:t xml:space="preserve"> </w:t>
      </w:r>
      <w:r w:rsidR="008371D0" w:rsidRPr="009D4C16">
        <w:t>ADI must apply the adjustment detailed in paragraph</w:t>
      </w:r>
      <w:r w:rsidR="00F93170" w:rsidRPr="009D4C16">
        <w:t xml:space="preserve"> 2</w:t>
      </w:r>
      <w:r w:rsidR="004B2C90">
        <w:t>2</w:t>
      </w:r>
      <w:r w:rsidR="009E4765">
        <w:t xml:space="preserve"> </w:t>
      </w:r>
      <w:r w:rsidR="008371D0" w:rsidRPr="009D4C16">
        <w:t>of Attachment J to APS 112</w:t>
      </w:r>
      <w:r w:rsidR="0070766A">
        <w:t>.</w:t>
      </w:r>
    </w:p>
    <w:p w14:paraId="46D18A71" w14:textId="7CC95353" w:rsidR="00B86C4F" w:rsidRPr="007213FE" w:rsidRDefault="00B86C4F" w:rsidP="00B86C4F">
      <w:pPr>
        <w:pStyle w:val="Heading2"/>
      </w:pPr>
      <w:r>
        <w:t xml:space="preserve">Treatment of </w:t>
      </w:r>
      <w:r w:rsidR="00AE65C5">
        <w:t>securities financing transactions</w:t>
      </w:r>
    </w:p>
    <w:p w14:paraId="09478BF9" w14:textId="0DDFFC2D" w:rsidR="00BF3219" w:rsidRDefault="0055148D" w:rsidP="00BF3219">
      <w:pPr>
        <w:pStyle w:val="BodyText1"/>
      </w:pPr>
      <w:r>
        <w:t>For</w:t>
      </w:r>
      <w:r w:rsidR="007D410A">
        <w:t xml:space="preserve"> the purpose of calculating RWA and EL amounts for</w:t>
      </w:r>
      <w:r>
        <w:t xml:space="preserve"> SFTs, including securities lending transactions, an</w:t>
      </w:r>
      <w:r w:rsidR="0022288C">
        <w:t xml:space="preserve"> </w:t>
      </w:r>
      <w:r w:rsidR="00BF3219">
        <w:t>ADI must calculate:</w:t>
      </w:r>
    </w:p>
    <w:p w14:paraId="18D17E4A" w14:textId="59E319F1" w:rsidR="00BF3219" w:rsidRDefault="00BF3219" w:rsidP="00BF3219">
      <w:pPr>
        <w:pStyle w:val="BodyText2"/>
      </w:pPr>
      <w:r>
        <w:t xml:space="preserve">the LGD of the counterparty in accordance with </w:t>
      </w:r>
      <w:r w:rsidRPr="009D4C16">
        <w:t>this</w:t>
      </w:r>
      <w:r>
        <w:t xml:space="preserve"> </w:t>
      </w:r>
      <w:r w:rsidR="009D4C16">
        <w:t>Attachment</w:t>
      </w:r>
      <w:r>
        <w:t xml:space="preserve">; </w:t>
      </w:r>
    </w:p>
    <w:p w14:paraId="0D246340" w14:textId="40BE96C9" w:rsidR="0055148D" w:rsidRDefault="00DC0471" w:rsidP="00BF3219">
      <w:pPr>
        <w:pStyle w:val="BodyText2"/>
      </w:pPr>
      <w:r>
        <w:t xml:space="preserve">EAD in accordance with </w:t>
      </w:r>
      <w:r w:rsidR="00DD1F94">
        <w:t xml:space="preserve">Attachment G </w:t>
      </w:r>
      <w:r w:rsidR="005215FB">
        <w:t>to</w:t>
      </w:r>
      <w:r w:rsidR="00DD1F94">
        <w:t xml:space="preserve"> APS 112</w:t>
      </w:r>
      <w:r w:rsidR="0055148D">
        <w:t>; and</w:t>
      </w:r>
    </w:p>
    <w:p w14:paraId="77E9472A" w14:textId="1515C010" w:rsidR="0017752E" w:rsidRPr="0017752E" w:rsidRDefault="0055148D" w:rsidP="007D410A">
      <w:pPr>
        <w:pStyle w:val="BodyText2"/>
        <w:sectPr w:rsidR="0017752E" w:rsidRPr="0017752E" w:rsidSect="00AA5018">
          <w:footerReference w:type="default" r:id="rId35"/>
          <w:pgSz w:w="11906" w:h="16838" w:code="9"/>
          <w:pgMar w:top="1440" w:right="1797" w:bottom="1440" w:left="1797" w:header="709" w:footer="709" w:gutter="0"/>
          <w:cols w:space="708"/>
          <w:docGrid w:linePitch="360"/>
        </w:sectPr>
      </w:pPr>
      <w:r>
        <w:t>the capital requirement for the credit risk or market risk inherent in any securities the ADI lends or posts as collateral, if that risk remains with the ADI.</w:t>
      </w:r>
    </w:p>
    <w:p w14:paraId="4751C3AD" w14:textId="61276B69" w:rsidR="007414A5" w:rsidRDefault="007414A5" w:rsidP="00AC511D">
      <w:pPr>
        <w:pStyle w:val="Heading1"/>
      </w:pPr>
      <w:bookmarkStart w:id="75" w:name="_Toc19714496"/>
      <w:bookmarkStart w:id="76" w:name="_Toc176183668"/>
      <w:r>
        <w:lastRenderedPageBreak/>
        <w:t xml:space="preserve">Attachment </w:t>
      </w:r>
      <w:r w:rsidR="007352DC">
        <w:rPr>
          <w:rStyle w:val="Attachmentfieldtext"/>
        </w:rPr>
        <w:t>C</w:t>
      </w:r>
      <w:r>
        <w:rPr>
          <w:rStyle w:val="Attachmentfieldtext"/>
        </w:rPr>
        <w:t xml:space="preserve"> </w:t>
      </w:r>
      <w:r w:rsidR="003A6F4C">
        <w:rPr>
          <w:rStyle w:val="Attachmentfieldtext"/>
        </w:rPr>
        <w:t>-</w:t>
      </w:r>
      <w:r>
        <w:rPr>
          <w:rStyle w:val="Attachmentfieldtext"/>
        </w:rPr>
        <w:t xml:space="preserve"> </w:t>
      </w:r>
      <w:r w:rsidR="003A6F4C">
        <w:rPr>
          <w:rStyle w:val="Attachmentfieldtext"/>
        </w:rPr>
        <w:t>Treatment of expected losses and provisions</w:t>
      </w:r>
      <w:bookmarkEnd w:id="75"/>
      <w:bookmarkEnd w:id="76"/>
      <w:r w:rsidR="003A6F4C">
        <w:t xml:space="preserve"> </w:t>
      </w:r>
    </w:p>
    <w:p w14:paraId="73ED05DB" w14:textId="5E232F5E" w:rsidR="00A217E9" w:rsidRPr="008774B2" w:rsidRDefault="00A217E9" w:rsidP="00AC511D">
      <w:pPr>
        <w:pStyle w:val="Heading2"/>
      </w:pPr>
      <w:r>
        <w:t>Calculation of expected loss</w:t>
      </w:r>
    </w:p>
    <w:p w14:paraId="2597171C" w14:textId="34AF39B5" w:rsidR="000A1E02" w:rsidRPr="000A1E02" w:rsidRDefault="00562BFF" w:rsidP="002A2D6D">
      <w:pPr>
        <w:pStyle w:val="BodyText1"/>
        <w:numPr>
          <w:ilvl w:val="0"/>
          <w:numId w:val="7"/>
        </w:numPr>
      </w:pPr>
      <w:r>
        <w:t>A</w:t>
      </w:r>
      <w:r w:rsidRPr="000A1E02">
        <w:t xml:space="preserve">n </w:t>
      </w:r>
      <w:r w:rsidR="000A1E02" w:rsidRPr="000A1E02">
        <w:t xml:space="preserve">ADI must separately calculate, for non-defaulted and defaulted exposures, </w:t>
      </w:r>
      <w:r w:rsidR="00E921F3">
        <w:t xml:space="preserve">the </w:t>
      </w:r>
      <w:r w:rsidR="000A1E02" w:rsidRPr="000A1E02">
        <w:t>total EL</w:t>
      </w:r>
      <w:r w:rsidR="00E921F3">
        <w:t xml:space="preserve"> amount</w:t>
      </w:r>
      <w:r w:rsidR="000A1E02" w:rsidRPr="000A1E02">
        <w:t xml:space="preserve"> aggregated across the corporate, sovereign, </w:t>
      </w:r>
      <w:r w:rsidR="00850AF0">
        <w:t>financial institution</w:t>
      </w:r>
      <w:r w:rsidR="000A1E02">
        <w:t xml:space="preserve"> and retail IRB asset classes. </w:t>
      </w:r>
      <w:r w:rsidR="000A1E02" w:rsidRPr="000A1E02">
        <w:t xml:space="preserve">Other than for </w:t>
      </w:r>
      <w:r w:rsidR="007F3098">
        <w:t>specialised lending</w:t>
      </w:r>
      <w:r w:rsidR="007F3098" w:rsidRPr="000A1E02">
        <w:t xml:space="preserve"> </w:t>
      </w:r>
      <w:r w:rsidR="000A1E02" w:rsidRPr="000A1E02">
        <w:t xml:space="preserve">exposures subject to the </w:t>
      </w:r>
      <w:r w:rsidR="009348C8">
        <w:t xml:space="preserve">supervisory </w:t>
      </w:r>
      <w:r w:rsidR="000A1E02" w:rsidRPr="000A1E02">
        <w:t>slotting approach,</w:t>
      </w:r>
      <w:r w:rsidR="00747668">
        <w:t xml:space="preserve"> </w:t>
      </w:r>
      <w:r w:rsidR="00655396">
        <w:t>the</w:t>
      </w:r>
      <w:r w:rsidR="000A1E02" w:rsidRPr="000A1E02">
        <w:t xml:space="preserve"> EL</w:t>
      </w:r>
      <w:r w:rsidR="00655396">
        <w:t xml:space="preserve"> amount</w:t>
      </w:r>
      <w:r w:rsidR="000A1E02" w:rsidRPr="000A1E02">
        <w:t xml:space="preserve"> </w:t>
      </w:r>
      <w:r w:rsidR="005F3317">
        <w:t>must be</w:t>
      </w:r>
      <w:r w:rsidR="000A1E02" w:rsidRPr="000A1E02">
        <w:t xml:space="preserve"> calculated as follows:</w:t>
      </w:r>
    </w:p>
    <w:p w14:paraId="51F8002E" w14:textId="77777777" w:rsidR="000A1E02" w:rsidRDefault="000A1E02" w:rsidP="000A1E02">
      <w:pPr>
        <w:pStyle w:val="BodyText2"/>
      </w:pPr>
      <w:r>
        <w:t>for non-defaulted exposures, the product of PD, LGD and EAD;</w:t>
      </w:r>
    </w:p>
    <w:p w14:paraId="322BD3E8" w14:textId="75472C6C" w:rsidR="000A1E02" w:rsidRDefault="000A1E02" w:rsidP="000A1E02">
      <w:pPr>
        <w:pStyle w:val="BodyText2"/>
      </w:pPr>
      <w:r>
        <w:t>for defaulted exposures under the AIRB</w:t>
      </w:r>
      <w:r w:rsidR="0077564C">
        <w:t xml:space="preserve"> or</w:t>
      </w:r>
      <w:r>
        <w:t xml:space="preserve"> </w:t>
      </w:r>
      <w:r w:rsidR="006F5EEB">
        <w:t xml:space="preserve">retail </w:t>
      </w:r>
      <w:r>
        <w:t xml:space="preserve">IRB approach, the ADI’s best estimate of EL given current economic circumstances and </w:t>
      </w:r>
      <w:r w:rsidR="00FF1EC8">
        <w:t>the facility’s status</w:t>
      </w:r>
      <w:r>
        <w:t>;</w:t>
      </w:r>
      <w:r w:rsidR="00FF1EC8">
        <w:rPr>
          <w:rStyle w:val="FootnoteReference"/>
        </w:rPr>
        <w:footnoteReference w:id="9"/>
      </w:r>
      <w:r>
        <w:t xml:space="preserve"> and</w:t>
      </w:r>
    </w:p>
    <w:p w14:paraId="566D3409" w14:textId="6007B4AA" w:rsidR="000A1E02" w:rsidRDefault="000A1E02" w:rsidP="000A1E02">
      <w:pPr>
        <w:pStyle w:val="BodyText2"/>
      </w:pPr>
      <w:r>
        <w:t xml:space="preserve">for defaulted exposures under the FIRB approach, the product of the relevant supervisory estimates of LGD and EAD. </w:t>
      </w:r>
    </w:p>
    <w:p w14:paraId="1E76A306" w14:textId="7B176314" w:rsidR="007F59F6" w:rsidRDefault="007F59F6" w:rsidP="007F59F6">
      <w:pPr>
        <w:pStyle w:val="Heading2"/>
      </w:pPr>
      <w:r>
        <w:t xml:space="preserve">Expected loss for specialised lending exposures subject to the supervisory slotting </w:t>
      </w:r>
      <w:r w:rsidR="006F5EEB">
        <w:t>approach</w:t>
      </w:r>
    </w:p>
    <w:p w14:paraId="4858D47A" w14:textId="5F4DF593" w:rsidR="007F59F6" w:rsidRPr="000A1E02" w:rsidRDefault="007536E6" w:rsidP="007F59F6">
      <w:pPr>
        <w:pStyle w:val="BodyText1"/>
      </w:pPr>
      <w:r>
        <w:t>For</w:t>
      </w:r>
      <w:r w:rsidR="007F59F6" w:rsidRPr="000A1E02">
        <w:t xml:space="preserve"> </w:t>
      </w:r>
      <w:r w:rsidR="007F3098">
        <w:t>specialised lending</w:t>
      </w:r>
      <w:r w:rsidR="007F3098" w:rsidRPr="000A1E02">
        <w:t xml:space="preserve"> </w:t>
      </w:r>
      <w:r w:rsidR="007F59F6" w:rsidRPr="000A1E02">
        <w:t xml:space="preserve">exposures subject to the </w:t>
      </w:r>
      <w:r w:rsidR="009348C8">
        <w:t xml:space="preserve">supervisory </w:t>
      </w:r>
      <w:r w:rsidR="007F59F6" w:rsidRPr="000A1E02">
        <w:t>slotting approach</w:t>
      </w:r>
      <w:r>
        <w:t xml:space="preserve">, </w:t>
      </w:r>
      <w:r w:rsidR="00655396">
        <w:t xml:space="preserve">the </w:t>
      </w:r>
      <w:r>
        <w:t>EL</w:t>
      </w:r>
      <w:r w:rsidR="007F59F6" w:rsidRPr="000A1E02">
        <w:t xml:space="preserve"> </w:t>
      </w:r>
      <w:r w:rsidR="00655396">
        <w:t xml:space="preserve">amount </w:t>
      </w:r>
      <w:r w:rsidR="007F59F6" w:rsidRPr="000A1E02">
        <w:t>must be calculated</w:t>
      </w:r>
      <w:r w:rsidR="00B8386C">
        <w:t xml:space="preserve"> by multiplying EAD</w:t>
      </w:r>
      <w:r w:rsidR="00A422E5">
        <w:t xml:space="preserve"> </w:t>
      </w:r>
      <w:r w:rsidR="00B8386C">
        <w:t>by the</w:t>
      </w:r>
      <w:r w:rsidR="00344F27">
        <w:t xml:space="preserve"> relevant</w:t>
      </w:r>
      <w:r w:rsidR="008A36FD">
        <w:t xml:space="preserve"> </w:t>
      </w:r>
      <w:r w:rsidR="00DC1C1D">
        <w:t xml:space="preserve">factor </w:t>
      </w:r>
      <w:r w:rsidR="002F006E">
        <w:t>specified</w:t>
      </w:r>
      <w:r w:rsidR="008A36FD" w:rsidRPr="008A36FD">
        <w:t xml:space="preserve"> in </w:t>
      </w:r>
      <w:r w:rsidR="008A36FD" w:rsidRPr="008A36FD">
        <w:fldChar w:fldCharType="begin"/>
      </w:r>
      <w:r w:rsidR="008A36FD" w:rsidRPr="008A36FD">
        <w:instrText xml:space="preserve"> REF _Ref34379385 \r \h </w:instrText>
      </w:r>
      <w:r w:rsidR="008A36FD">
        <w:instrText xml:space="preserve"> \* MERGEFORMAT </w:instrText>
      </w:r>
      <w:r w:rsidR="008A36FD" w:rsidRPr="008A36FD">
        <w:fldChar w:fldCharType="separate"/>
      </w:r>
      <w:r w:rsidR="00550C88">
        <w:t>Table 8</w:t>
      </w:r>
      <w:r w:rsidR="008A36FD" w:rsidRPr="008A36FD">
        <w:fldChar w:fldCharType="end"/>
      </w:r>
      <w:r w:rsidR="007F59F6" w:rsidRPr="008A36FD">
        <w:t>.</w:t>
      </w:r>
    </w:p>
    <w:p w14:paraId="12DC281C" w14:textId="0064090C" w:rsidR="007F59F6" w:rsidRDefault="007F59F6" w:rsidP="008A36FD">
      <w:pPr>
        <w:pStyle w:val="TableHeadNumber"/>
      </w:pPr>
      <w:bookmarkStart w:id="77" w:name="_Ref34379385"/>
      <w:r>
        <w:t xml:space="preserve">EL under the </w:t>
      </w:r>
      <w:r w:rsidR="009348C8">
        <w:t xml:space="preserve">supervisory </w:t>
      </w:r>
      <w:r>
        <w:t>slotting approach</w:t>
      </w:r>
      <w:bookmarkEnd w:id="77"/>
    </w:p>
    <w:tbl>
      <w:tblPr>
        <w:tblStyle w:val="TableGrid"/>
        <w:tblW w:w="0" w:type="auto"/>
        <w:tblLook w:val="04A0" w:firstRow="1" w:lastRow="0" w:firstColumn="1" w:lastColumn="0" w:noHBand="0" w:noVBand="1"/>
      </w:tblPr>
      <w:tblGrid>
        <w:gridCol w:w="1382"/>
        <w:gridCol w:w="1370"/>
        <w:gridCol w:w="1367"/>
        <w:gridCol w:w="1443"/>
        <w:gridCol w:w="1368"/>
        <w:gridCol w:w="1372"/>
      </w:tblGrid>
      <w:tr w:rsidR="007F59F6" w14:paraId="1ADD85C6" w14:textId="77777777" w:rsidTr="007F59F6">
        <w:tc>
          <w:tcPr>
            <w:tcW w:w="1383" w:type="dxa"/>
          </w:tcPr>
          <w:p w14:paraId="22FB8135" w14:textId="77777777" w:rsidR="007F59F6" w:rsidRDefault="007F59F6" w:rsidP="00EB1F61">
            <w:pPr>
              <w:spacing w:before="60" w:after="60"/>
            </w:pPr>
          </w:p>
        </w:tc>
        <w:tc>
          <w:tcPr>
            <w:tcW w:w="1383" w:type="dxa"/>
            <w:vAlign w:val="center"/>
          </w:tcPr>
          <w:p w14:paraId="25988939" w14:textId="77777777" w:rsidR="007F59F6" w:rsidRPr="00756FE6" w:rsidRDefault="007F59F6" w:rsidP="00EB1F61">
            <w:pPr>
              <w:spacing w:before="60" w:after="60"/>
              <w:jc w:val="center"/>
              <w:rPr>
                <w:b/>
              </w:rPr>
            </w:pPr>
            <w:r w:rsidRPr="00756FE6">
              <w:rPr>
                <w:b/>
              </w:rPr>
              <w:t>Strong</w:t>
            </w:r>
          </w:p>
        </w:tc>
        <w:tc>
          <w:tcPr>
            <w:tcW w:w="1384" w:type="dxa"/>
            <w:vAlign w:val="center"/>
          </w:tcPr>
          <w:p w14:paraId="67D527AC" w14:textId="77777777" w:rsidR="007F59F6" w:rsidRPr="00756FE6" w:rsidRDefault="007F59F6" w:rsidP="00EB1F61">
            <w:pPr>
              <w:spacing w:before="60" w:after="60"/>
              <w:jc w:val="center"/>
              <w:rPr>
                <w:b/>
              </w:rPr>
            </w:pPr>
            <w:r w:rsidRPr="00756FE6">
              <w:rPr>
                <w:b/>
              </w:rPr>
              <w:t>Good</w:t>
            </w:r>
          </w:p>
        </w:tc>
        <w:tc>
          <w:tcPr>
            <w:tcW w:w="1384" w:type="dxa"/>
            <w:vAlign w:val="center"/>
          </w:tcPr>
          <w:p w14:paraId="775FD4C3" w14:textId="77777777" w:rsidR="007F59F6" w:rsidRPr="00756FE6" w:rsidRDefault="007F59F6" w:rsidP="00EB1F61">
            <w:pPr>
              <w:spacing w:before="60" w:after="60"/>
              <w:jc w:val="center"/>
              <w:rPr>
                <w:b/>
              </w:rPr>
            </w:pPr>
            <w:r w:rsidRPr="00756FE6">
              <w:rPr>
                <w:b/>
              </w:rPr>
              <w:t>Satisfactory</w:t>
            </w:r>
          </w:p>
        </w:tc>
        <w:tc>
          <w:tcPr>
            <w:tcW w:w="1384" w:type="dxa"/>
            <w:vAlign w:val="center"/>
          </w:tcPr>
          <w:p w14:paraId="32723088" w14:textId="77777777" w:rsidR="007F59F6" w:rsidRPr="00756FE6" w:rsidRDefault="007F59F6" w:rsidP="00EB1F61">
            <w:pPr>
              <w:spacing w:before="60" w:after="60"/>
              <w:jc w:val="center"/>
              <w:rPr>
                <w:b/>
              </w:rPr>
            </w:pPr>
            <w:r w:rsidRPr="00756FE6">
              <w:rPr>
                <w:b/>
              </w:rPr>
              <w:t>Weak</w:t>
            </w:r>
          </w:p>
        </w:tc>
        <w:tc>
          <w:tcPr>
            <w:tcW w:w="1384" w:type="dxa"/>
            <w:vAlign w:val="center"/>
          </w:tcPr>
          <w:p w14:paraId="61BC9643" w14:textId="77777777" w:rsidR="007F59F6" w:rsidRPr="00756FE6" w:rsidRDefault="007F59F6" w:rsidP="00EB1F61">
            <w:pPr>
              <w:spacing w:before="60" w:after="60"/>
              <w:jc w:val="center"/>
              <w:rPr>
                <w:b/>
              </w:rPr>
            </w:pPr>
            <w:r w:rsidRPr="00756FE6">
              <w:rPr>
                <w:b/>
              </w:rPr>
              <w:t>Default</w:t>
            </w:r>
          </w:p>
        </w:tc>
      </w:tr>
      <w:tr w:rsidR="007F59F6" w14:paraId="1A7B47A8" w14:textId="77777777" w:rsidTr="007F59F6">
        <w:tc>
          <w:tcPr>
            <w:tcW w:w="1383" w:type="dxa"/>
          </w:tcPr>
          <w:p w14:paraId="3F61B2F4" w14:textId="77777777" w:rsidR="007F59F6" w:rsidRPr="00756FE6" w:rsidRDefault="007F59F6" w:rsidP="00EB1F61">
            <w:pPr>
              <w:spacing w:before="60" w:after="60"/>
              <w:rPr>
                <w:b/>
              </w:rPr>
            </w:pPr>
            <w:r w:rsidRPr="00756FE6">
              <w:rPr>
                <w:b/>
              </w:rPr>
              <w:t>Specialised lending</w:t>
            </w:r>
          </w:p>
        </w:tc>
        <w:tc>
          <w:tcPr>
            <w:tcW w:w="1383" w:type="dxa"/>
            <w:vAlign w:val="center"/>
          </w:tcPr>
          <w:p w14:paraId="221B130F" w14:textId="7AB6CB8A" w:rsidR="007F59F6" w:rsidRDefault="00576842" w:rsidP="00EB1F61">
            <w:pPr>
              <w:spacing w:before="60" w:after="60"/>
              <w:jc w:val="center"/>
            </w:pPr>
            <w:r>
              <w:t>0.4</w:t>
            </w:r>
            <w:r w:rsidR="007F59F6">
              <w:t>%</w:t>
            </w:r>
          </w:p>
        </w:tc>
        <w:tc>
          <w:tcPr>
            <w:tcW w:w="1384" w:type="dxa"/>
            <w:vAlign w:val="center"/>
          </w:tcPr>
          <w:p w14:paraId="03B6E6D1" w14:textId="187E5B37" w:rsidR="007F59F6" w:rsidRDefault="00576842" w:rsidP="00EB1F61">
            <w:pPr>
              <w:spacing w:before="60" w:after="60"/>
              <w:jc w:val="center"/>
            </w:pPr>
            <w:r>
              <w:t>0.8</w:t>
            </w:r>
            <w:r w:rsidR="007F59F6">
              <w:t>%</w:t>
            </w:r>
          </w:p>
        </w:tc>
        <w:tc>
          <w:tcPr>
            <w:tcW w:w="1384" w:type="dxa"/>
            <w:vAlign w:val="center"/>
          </w:tcPr>
          <w:p w14:paraId="1AC19487" w14:textId="581E1495" w:rsidR="007F59F6" w:rsidRDefault="00576842" w:rsidP="00EB1F61">
            <w:pPr>
              <w:spacing w:before="60" w:after="60"/>
              <w:jc w:val="center"/>
            </w:pPr>
            <w:r>
              <w:t>2.8</w:t>
            </w:r>
            <w:r w:rsidR="007F59F6">
              <w:t>%</w:t>
            </w:r>
          </w:p>
        </w:tc>
        <w:tc>
          <w:tcPr>
            <w:tcW w:w="1384" w:type="dxa"/>
            <w:vAlign w:val="center"/>
          </w:tcPr>
          <w:p w14:paraId="0F6BC627" w14:textId="7525AC29" w:rsidR="007F59F6" w:rsidRDefault="00576842" w:rsidP="00EB1F61">
            <w:pPr>
              <w:spacing w:before="60" w:after="60"/>
              <w:jc w:val="center"/>
            </w:pPr>
            <w:r>
              <w:t>8</w:t>
            </w:r>
            <w:r w:rsidR="007F59F6">
              <w:t>%</w:t>
            </w:r>
          </w:p>
        </w:tc>
        <w:tc>
          <w:tcPr>
            <w:tcW w:w="1384" w:type="dxa"/>
            <w:vAlign w:val="center"/>
          </w:tcPr>
          <w:p w14:paraId="349D881B" w14:textId="0E51509A" w:rsidR="007F59F6" w:rsidRDefault="00576842" w:rsidP="00EB1F61">
            <w:pPr>
              <w:spacing w:before="60" w:after="60"/>
              <w:jc w:val="center"/>
            </w:pPr>
            <w:r>
              <w:t>50</w:t>
            </w:r>
            <w:r w:rsidR="007F59F6">
              <w:t>%</w:t>
            </w:r>
          </w:p>
        </w:tc>
      </w:tr>
    </w:tbl>
    <w:p w14:paraId="3302B79C" w14:textId="77777777" w:rsidR="007F59F6" w:rsidRDefault="007F59F6" w:rsidP="007F59F6"/>
    <w:p w14:paraId="04262A06" w14:textId="4D2D890B" w:rsidR="00A217E9" w:rsidRDefault="00A217E9" w:rsidP="00AC511D">
      <w:pPr>
        <w:pStyle w:val="Heading2"/>
      </w:pPr>
      <w:r>
        <w:t xml:space="preserve">Calculation of </w:t>
      </w:r>
      <w:r w:rsidR="00FB7E91">
        <w:t xml:space="preserve">eligible </w:t>
      </w:r>
      <w:r>
        <w:t>provisions</w:t>
      </w:r>
    </w:p>
    <w:p w14:paraId="34650D7C" w14:textId="39462E3E" w:rsidR="00756FE6" w:rsidRPr="00756FE6" w:rsidRDefault="00756FE6" w:rsidP="00756FE6">
      <w:pPr>
        <w:pStyle w:val="BodyText1"/>
      </w:pPr>
      <w:bookmarkStart w:id="78" w:name="_Ref34384991"/>
      <w:r w:rsidRPr="00756FE6">
        <w:t>For exposures in the IRB asset classes, total eligible provisions associated with those exposures are:</w:t>
      </w:r>
      <w:bookmarkEnd w:id="78"/>
    </w:p>
    <w:p w14:paraId="1069B38E" w14:textId="0FDE403F" w:rsidR="00756FE6" w:rsidRDefault="00756FE6" w:rsidP="00756FE6">
      <w:pPr>
        <w:pStyle w:val="BodyText2"/>
      </w:pPr>
      <w:r>
        <w:t xml:space="preserve">credit related provisions (e.g. </w:t>
      </w:r>
      <w:r w:rsidR="00D118D4">
        <w:t xml:space="preserve">any </w:t>
      </w:r>
      <w:r>
        <w:t>provisions</w:t>
      </w:r>
      <w:r w:rsidR="00020584">
        <w:t xml:space="preserve"> </w:t>
      </w:r>
      <w:r w:rsidR="00D118D4">
        <w:t xml:space="preserve">for non-defaulted </w:t>
      </w:r>
      <w:r w:rsidR="00AC56AE">
        <w:t>or</w:t>
      </w:r>
      <w:r w:rsidR="00D118D4">
        <w:t xml:space="preserve"> defaulted exposures</w:t>
      </w:r>
      <w:r w:rsidR="00AC56AE">
        <w:t>)</w:t>
      </w:r>
      <w:r w:rsidR="00057A55">
        <w:t xml:space="preserve">. </w:t>
      </w:r>
      <w:r w:rsidR="00057A55" w:rsidRPr="00057A55">
        <w:t>Any amount included in an ADI’s provisions for non-defaulted exposures may only be used as eligible provisions to offset EL for non-defaulted exposures</w:t>
      </w:r>
      <w:r>
        <w:t>;</w:t>
      </w:r>
      <w:r w:rsidR="00057A55" w:rsidDel="00057A55">
        <w:rPr>
          <w:rStyle w:val="FootnoteReference"/>
        </w:rPr>
        <w:t xml:space="preserve"> </w:t>
      </w:r>
    </w:p>
    <w:p w14:paraId="4219FBC5" w14:textId="4D1023FE" w:rsidR="00756FE6" w:rsidRDefault="00756FE6" w:rsidP="00756FE6">
      <w:pPr>
        <w:pStyle w:val="BodyText2"/>
      </w:pPr>
      <w:r>
        <w:t xml:space="preserve">partial write-offs; and </w:t>
      </w:r>
    </w:p>
    <w:p w14:paraId="2588E9FC" w14:textId="28496B7D" w:rsidR="00505EFE" w:rsidRDefault="00FF1EC8" w:rsidP="00756FE6">
      <w:pPr>
        <w:pStyle w:val="BodyText2"/>
      </w:pPr>
      <w:r>
        <w:lastRenderedPageBreak/>
        <w:t>discounts on defaulted assets</w:t>
      </w:r>
      <w:r w:rsidR="00756FE6">
        <w:t>.</w:t>
      </w:r>
      <w:r>
        <w:rPr>
          <w:rStyle w:val="FootnoteReference"/>
        </w:rPr>
        <w:footnoteReference w:id="10"/>
      </w:r>
    </w:p>
    <w:p w14:paraId="79DC7C58" w14:textId="4DE1FCB7" w:rsidR="00756FE6" w:rsidRDefault="00D118D4" w:rsidP="00D3573A">
      <w:pPr>
        <w:ind w:left="567"/>
        <w:jc w:val="both"/>
      </w:pPr>
      <w:r>
        <w:t xml:space="preserve">Provisions held against </w:t>
      </w:r>
      <w:r w:rsidR="00505EFE">
        <w:t>securitisation exposures must not be included in total eligible provisions.</w:t>
      </w:r>
    </w:p>
    <w:p w14:paraId="5FF13368" w14:textId="222C0E1E" w:rsidR="00287DD3" w:rsidRDefault="00756FE6" w:rsidP="00756FE6">
      <w:pPr>
        <w:pStyle w:val="BodyText1"/>
      </w:pPr>
      <w:r w:rsidRPr="00756FE6">
        <w:t xml:space="preserve">Where an ADI uses the standardised approach to credit risk for a portion of its exposures, it must attribute total </w:t>
      </w:r>
      <w:r w:rsidR="00D821A3">
        <w:t>provisions</w:t>
      </w:r>
      <w:r w:rsidR="009F78F1">
        <w:t xml:space="preserve"> </w:t>
      </w:r>
      <w:r w:rsidRPr="00756FE6">
        <w:t xml:space="preserve">on a </w:t>
      </w:r>
      <w:r w:rsidRPr="00BC3B20">
        <w:rPr>
          <w:i/>
        </w:rPr>
        <w:t>pro rata</w:t>
      </w:r>
      <w:r w:rsidRPr="00756FE6">
        <w:t xml:space="preserve"> basis according to the proportion of </w:t>
      </w:r>
      <w:r w:rsidR="00287DD3">
        <w:t>RWA</w:t>
      </w:r>
      <w:r w:rsidRPr="00756FE6">
        <w:t xml:space="preserve"> subject to the standardised and IRB approaches. </w:t>
      </w:r>
    </w:p>
    <w:p w14:paraId="26BF85B7" w14:textId="377C9174" w:rsidR="00863FB5" w:rsidRDefault="00287DD3" w:rsidP="00756FE6">
      <w:pPr>
        <w:pStyle w:val="BodyText1"/>
      </w:pPr>
      <w:r>
        <w:t>Where</w:t>
      </w:r>
      <w:r w:rsidR="00756FE6" w:rsidRPr="00756FE6">
        <w:t xml:space="preserve"> the standardised approach to credit risk is used exclusively by an entity within the </w:t>
      </w:r>
      <w:r w:rsidR="00787C15">
        <w:t>Level 2</w:t>
      </w:r>
      <w:r w:rsidR="00756FE6" w:rsidRPr="00756FE6">
        <w:t xml:space="preserve"> group, all of the </w:t>
      </w:r>
      <w:r w:rsidR="00CC595C">
        <w:t>provisions</w:t>
      </w:r>
      <w:r w:rsidR="00D118D4">
        <w:t xml:space="preserve"> </w:t>
      </w:r>
      <w:r w:rsidR="00756FE6" w:rsidRPr="00756FE6">
        <w:t xml:space="preserve">booked within that entity must be attributed to the standardised approach. </w:t>
      </w:r>
    </w:p>
    <w:p w14:paraId="7A4E2D1C" w14:textId="5482B08F" w:rsidR="00756FE6" w:rsidRDefault="00D118D4" w:rsidP="00756FE6">
      <w:pPr>
        <w:pStyle w:val="BodyText1"/>
      </w:pPr>
      <w:r>
        <w:t xml:space="preserve">Provisions </w:t>
      </w:r>
      <w:r w:rsidR="006024F5">
        <w:t>that are</w:t>
      </w:r>
      <w:r w:rsidR="009A4B87">
        <w:t xml:space="preserve"> </w:t>
      </w:r>
      <w:r w:rsidR="00756FE6" w:rsidRPr="00756FE6">
        <w:t xml:space="preserve">booked by entities within the </w:t>
      </w:r>
      <w:r w:rsidR="00863FB5" w:rsidRPr="00756FE6">
        <w:t>Level</w:t>
      </w:r>
      <w:r w:rsidR="00863FB5">
        <w:t> </w:t>
      </w:r>
      <w:r w:rsidR="00756FE6" w:rsidRPr="00756FE6">
        <w:t xml:space="preserve">2 group that exclusively use an IRB approach to credit risk qualify as eligible provisions </w:t>
      </w:r>
      <w:r w:rsidR="00B84DE4" w:rsidRPr="000C6B9C">
        <w:t>under</w:t>
      </w:r>
      <w:r w:rsidR="00756FE6" w:rsidRPr="000C6B9C">
        <w:t xml:space="preserve"> paragraph </w:t>
      </w:r>
      <w:r w:rsidR="000C6B9C" w:rsidRPr="000C6B9C">
        <w:fldChar w:fldCharType="begin"/>
      </w:r>
      <w:r w:rsidR="000C6B9C" w:rsidRPr="000C6B9C">
        <w:instrText xml:space="preserve"> REF _Ref34384991 \r \h </w:instrText>
      </w:r>
      <w:r w:rsidR="000C6B9C">
        <w:instrText xml:space="preserve"> \* MERGEFORMAT </w:instrText>
      </w:r>
      <w:r w:rsidR="000C6B9C" w:rsidRPr="000C6B9C">
        <w:fldChar w:fldCharType="separate"/>
      </w:r>
      <w:r w:rsidR="00550C88">
        <w:t>3</w:t>
      </w:r>
      <w:r w:rsidR="000C6B9C" w:rsidRPr="000C6B9C">
        <w:fldChar w:fldCharType="end"/>
      </w:r>
      <w:r w:rsidR="00756FE6" w:rsidRPr="000C6B9C">
        <w:t xml:space="preserve"> of this</w:t>
      </w:r>
      <w:r w:rsidR="00756FE6" w:rsidRPr="00B84DE4">
        <w:t xml:space="preserve"> </w:t>
      </w:r>
      <w:r w:rsidR="00B84DE4">
        <w:t>Attachment</w:t>
      </w:r>
      <w:r w:rsidR="00756FE6" w:rsidRPr="00756FE6">
        <w:t>.</w:t>
      </w:r>
    </w:p>
    <w:p w14:paraId="2A0519B6" w14:textId="04D7412E" w:rsidR="00A217E9" w:rsidRPr="00756FE6" w:rsidRDefault="00A217E9" w:rsidP="00AC511D">
      <w:pPr>
        <w:pStyle w:val="Heading2"/>
      </w:pPr>
      <w:r>
        <w:t>Treatment of expected loss and provisions</w:t>
      </w:r>
    </w:p>
    <w:p w14:paraId="0ED338D2" w14:textId="7C77EEB0" w:rsidR="00756FE6" w:rsidRDefault="00756FE6" w:rsidP="000C6B9C">
      <w:pPr>
        <w:pStyle w:val="BodyText1"/>
      </w:pPr>
      <w:r>
        <w:t xml:space="preserve">An ADI must </w:t>
      </w:r>
      <w:r w:rsidR="00B36818">
        <w:t xml:space="preserve">separately </w:t>
      </w:r>
      <w:r w:rsidR="000C6B9C">
        <w:t xml:space="preserve">compare the total EL amount for defaulted exposures and </w:t>
      </w:r>
      <w:r>
        <w:t>non-defaulted exposures</w:t>
      </w:r>
      <w:r w:rsidR="000C6B9C">
        <w:t xml:space="preserve"> </w:t>
      </w:r>
      <w:r w:rsidR="00B36818">
        <w:t xml:space="preserve">with </w:t>
      </w:r>
      <w:r>
        <w:t>total eligible provisions associated with the relevant exposures.</w:t>
      </w:r>
    </w:p>
    <w:p w14:paraId="389ACECD" w14:textId="5A63EDB0" w:rsidR="00756FE6" w:rsidRDefault="00863FB5" w:rsidP="00756FE6">
      <w:pPr>
        <w:pStyle w:val="BodyText1"/>
      </w:pPr>
      <w:r>
        <w:t xml:space="preserve">Where </w:t>
      </w:r>
      <w:r w:rsidR="00756FE6">
        <w:t xml:space="preserve">the total EL amount is higher than total eligible provisions for the relevant exposures, the difference must be deducted from Common Equity Tier 1 Capital </w:t>
      </w:r>
      <w:r w:rsidR="00F8312E">
        <w:t>as detailed in</w:t>
      </w:r>
      <w:r w:rsidR="00756FE6">
        <w:t xml:space="preserve"> APS 111.</w:t>
      </w:r>
    </w:p>
    <w:p w14:paraId="25FC549C" w14:textId="24C06516" w:rsidR="00756FE6" w:rsidRDefault="00756FE6" w:rsidP="00756FE6">
      <w:pPr>
        <w:pStyle w:val="BodyText1"/>
      </w:pPr>
      <w:r>
        <w:t xml:space="preserve">For non-defaulted exposures, where the total EL amount is lower than eligible provisions associated with these exposures, the difference may be included in </w:t>
      </w:r>
      <w:r w:rsidRPr="00787C15">
        <w:rPr>
          <w:b/>
        </w:rPr>
        <w:t>Tier 2 Capital</w:t>
      </w:r>
      <w:r>
        <w:t xml:space="preserve"> up to a maximum of 0.6 per cent of credit </w:t>
      </w:r>
      <w:r w:rsidR="000C39E0">
        <w:t>RWA</w:t>
      </w:r>
      <w:r w:rsidR="00984835">
        <w:t xml:space="preserve"> calculated under the IRB approach</w:t>
      </w:r>
      <w:r w:rsidR="00787C15">
        <w:t xml:space="preserve"> as detailed in APS 111</w:t>
      </w:r>
      <w:r>
        <w:t>.</w:t>
      </w:r>
    </w:p>
    <w:p w14:paraId="26CCA050" w14:textId="77777777" w:rsidR="007414A5" w:rsidRPr="007D2D7F" w:rsidRDefault="007414A5" w:rsidP="007414A5"/>
    <w:p w14:paraId="132ED616" w14:textId="77777777" w:rsidR="007414A5" w:rsidRPr="002A566B" w:rsidRDefault="007414A5" w:rsidP="007414A5">
      <w:pPr>
        <w:pStyle w:val="Heading2"/>
        <w:sectPr w:rsidR="007414A5" w:rsidRPr="002A566B" w:rsidSect="00AA5018">
          <w:footerReference w:type="default" r:id="rId36"/>
          <w:pgSz w:w="11906" w:h="16838" w:code="9"/>
          <w:pgMar w:top="1440" w:right="1797" w:bottom="1440" w:left="1797" w:header="709" w:footer="709" w:gutter="0"/>
          <w:cols w:space="708"/>
          <w:docGrid w:linePitch="360"/>
        </w:sectPr>
      </w:pPr>
    </w:p>
    <w:p w14:paraId="06D7C63D" w14:textId="543BCBA5" w:rsidR="007414A5" w:rsidRDefault="007414A5" w:rsidP="00AC511D">
      <w:pPr>
        <w:pStyle w:val="Heading1"/>
      </w:pPr>
      <w:bookmarkStart w:id="79" w:name="_Toc19714497"/>
      <w:bookmarkStart w:id="80" w:name="_Toc176183669"/>
      <w:r w:rsidRPr="009774D5">
        <w:lastRenderedPageBreak/>
        <w:t>Attachment</w:t>
      </w:r>
      <w:r>
        <w:t xml:space="preserve"> </w:t>
      </w:r>
      <w:r w:rsidR="007352DC">
        <w:rPr>
          <w:rStyle w:val="Attachmentfieldtext"/>
        </w:rPr>
        <w:t>D</w:t>
      </w:r>
      <w:r>
        <w:rPr>
          <w:rStyle w:val="Attachmentfieldtext"/>
        </w:rPr>
        <w:t xml:space="preserve"> </w:t>
      </w:r>
      <w:r w:rsidR="003A6F4C">
        <w:rPr>
          <w:rStyle w:val="Attachmentfieldtext"/>
        </w:rPr>
        <w:t>- Minimum requirements for the use of an IRB approach</w:t>
      </w:r>
      <w:bookmarkEnd w:id="79"/>
      <w:bookmarkEnd w:id="80"/>
      <w:r w:rsidR="003A6F4C">
        <w:t xml:space="preserve"> </w:t>
      </w:r>
    </w:p>
    <w:p w14:paraId="7151F56B" w14:textId="4AE48B4B" w:rsidR="00A97E67" w:rsidRPr="003A425C" w:rsidRDefault="003A425C" w:rsidP="002A2D6D">
      <w:pPr>
        <w:pStyle w:val="BodyText1"/>
        <w:numPr>
          <w:ilvl w:val="0"/>
          <w:numId w:val="6"/>
        </w:numPr>
      </w:pPr>
      <w:r w:rsidRPr="003A425C">
        <w:t xml:space="preserve">The minimum requirements set out in this Attachment apply to all IRB </w:t>
      </w:r>
      <w:r w:rsidR="001C621A">
        <w:t xml:space="preserve">exposures </w:t>
      </w:r>
      <w:r w:rsidRPr="003A425C">
        <w:t>and the FIRB</w:t>
      </w:r>
      <w:r w:rsidR="001E65F9">
        <w:t>,</w:t>
      </w:r>
      <w:r w:rsidRPr="003A425C">
        <w:t xml:space="preserve"> AIRB</w:t>
      </w:r>
      <w:r w:rsidR="00BB4EEE">
        <w:t>,</w:t>
      </w:r>
      <w:r w:rsidR="001E65F9">
        <w:t xml:space="preserve"> retail IRB</w:t>
      </w:r>
      <w:r w:rsidR="00BB4EEE">
        <w:t xml:space="preserve"> and supervisory slotting</w:t>
      </w:r>
      <w:r w:rsidRPr="003A425C">
        <w:t xml:space="preserve"> approaches, unless </w:t>
      </w:r>
      <w:r w:rsidR="00D928CB">
        <w:t>stated</w:t>
      </w:r>
      <w:r w:rsidR="00D928CB" w:rsidRPr="003A425C">
        <w:t xml:space="preserve"> </w:t>
      </w:r>
      <w:r w:rsidRPr="003A425C">
        <w:t xml:space="preserve">otherwise. </w:t>
      </w:r>
      <w:r w:rsidR="00A97E67">
        <w:t xml:space="preserve">An </w:t>
      </w:r>
      <w:r w:rsidR="00A97E67" w:rsidRPr="002378A5">
        <w:t xml:space="preserve">ADI must </w:t>
      </w:r>
      <w:r w:rsidR="00A97E67">
        <w:t>ensure</w:t>
      </w:r>
      <w:r w:rsidR="00A97E67" w:rsidRPr="002378A5">
        <w:t xml:space="preserve"> that </w:t>
      </w:r>
      <w:r w:rsidR="009A4EAE">
        <w:t>the</w:t>
      </w:r>
      <w:r w:rsidR="00A97E67" w:rsidRPr="002378A5">
        <w:t xml:space="preserve"> minimum requirements </w:t>
      </w:r>
      <w:r w:rsidR="00A97E67">
        <w:t xml:space="preserve">are met </w:t>
      </w:r>
      <w:r w:rsidR="00A97E67" w:rsidRPr="002378A5">
        <w:t xml:space="preserve">at the time of </w:t>
      </w:r>
      <w:r w:rsidR="0023498B">
        <w:t xml:space="preserve">IRB </w:t>
      </w:r>
      <w:r w:rsidR="00A97E67" w:rsidRPr="002378A5">
        <w:t xml:space="preserve">approval by APRA and on an ongoing basis. </w:t>
      </w:r>
    </w:p>
    <w:p w14:paraId="1EDCC723" w14:textId="662E0722" w:rsidR="001F6B8D" w:rsidRDefault="00671F6A" w:rsidP="00AC511D">
      <w:pPr>
        <w:pStyle w:val="Heading2"/>
      </w:pPr>
      <w:r>
        <w:t>Composition of minimum requirements</w:t>
      </w:r>
    </w:p>
    <w:p w14:paraId="32EE1286" w14:textId="1C80F11A" w:rsidR="003A425C" w:rsidRPr="003A425C" w:rsidRDefault="002B5BEC" w:rsidP="003A425C">
      <w:pPr>
        <w:pStyle w:val="BodyText1"/>
      </w:pPr>
      <w:r>
        <w:t>A</w:t>
      </w:r>
      <w:r w:rsidR="003A425C" w:rsidRPr="003A425C">
        <w:t xml:space="preserve">n ADI’s credit risk rating and associated risk estimation systems and processes </w:t>
      </w:r>
      <w:r>
        <w:t xml:space="preserve">must </w:t>
      </w:r>
      <w:r w:rsidR="003A425C" w:rsidRPr="003A425C">
        <w:t xml:space="preserve">provide for a meaningful assessment of </w:t>
      </w:r>
      <w:r w:rsidR="00591AC0">
        <w:t>borrower</w:t>
      </w:r>
      <w:r w:rsidR="003A425C" w:rsidRPr="003A425C">
        <w:t xml:space="preserve"> and transaction characteristics, a meaningful differentiation</w:t>
      </w:r>
      <w:r w:rsidR="00B424EB">
        <w:t xml:space="preserve"> and ranking</w:t>
      </w:r>
      <w:r w:rsidR="003A425C" w:rsidRPr="003A425C">
        <w:t xml:space="preserve"> of risk</w:t>
      </w:r>
      <w:r w:rsidR="003F5F1D">
        <w:t>,</w:t>
      </w:r>
      <w:r w:rsidR="003A425C" w:rsidRPr="003A425C">
        <w:t xml:space="preserve"> and quantitative estimates of risk that are consistent, verifiable, relevant and soundly based. </w:t>
      </w:r>
      <w:r w:rsidR="00EE0172">
        <w:t>T</w:t>
      </w:r>
      <w:r w:rsidR="003A425C" w:rsidRPr="003A425C">
        <w:t xml:space="preserve">he internal ratings and quantitative risk estimates associated with those systems and processes must play an essential role in the ADI’s risk management and decision-making processes. </w:t>
      </w:r>
    </w:p>
    <w:p w14:paraId="45E47EA4" w14:textId="6E802AB5" w:rsidR="002378A5" w:rsidRPr="002378A5" w:rsidRDefault="002378A5" w:rsidP="002378A5">
      <w:pPr>
        <w:pStyle w:val="BodyText1"/>
      </w:pPr>
      <w:r w:rsidRPr="002378A5">
        <w:t>An ADI must adhere to the overall requirements for rating system design, operation, controls</w:t>
      </w:r>
      <w:r w:rsidR="002964A4">
        <w:t>,</w:t>
      </w:r>
      <w:r w:rsidRPr="002378A5">
        <w:t xml:space="preserve"> governance</w:t>
      </w:r>
      <w:r w:rsidR="002964A4">
        <w:t xml:space="preserve"> and use</w:t>
      </w:r>
      <w:r w:rsidRPr="002378A5">
        <w:t xml:space="preserve"> as well as the requirements for </w:t>
      </w:r>
      <w:r w:rsidR="009A4EAE">
        <w:t xml:space="preserve">the </w:t>
      </w:r>
      <w:r w:rsidR="00AA6EA6">
        <w:t>quantification</w:t>
      </w:r>
      <w:r w:rsidR="00AA6EA6" w:rsidRPr="002378A5">
        <w:t xml:space="preserve"> </w:t>
      </w:r>
      <w:r w:rsidRPr="002378A5">
        <w:t xml:space="preserve">and validation of PD estimates. An ADI that </w:t>
      </w:r>
      <w:r w:rsidR="00C122F6">
        <w:t xml:space="preserve">uses </w:t>
      </w:r>
      <w:r w:rsidR="00867162">
        <w:t xml:space="preserve">its own estimates of LGD and EAD </w:t>
      </w:r>
      <w:r w:rsidRPr="002378A5">
        <w:t>must also meet the incremental minimum requirements relating to</w:t>
      </w:r>
      <w:r w:rsidR="00867162">
        <w:t xml:space="preserve"> </w:t>
      </w:r>
      <w:r w:rsidR="001E0D76">
        <w:t>tho</w:t>
      </w:r>
      <w:r w:rsidR="00867162">
        <w:t xml:space="preserve">se risk </w:t>
      </w:r>
      <w:r w:rsidR="009A4EAE">
        <w:t>components</w:t>
      </w:r>
      <w:r w:rsidRPr="002378A5">
        <w:t>.</w:t>
      </w:r>
    </w:p>
    <w:p w14:paraId="33CABB67" w14:textId="61C5514C" w:rsidR="00671F6A" w:rsidRDefault="00671F6A" w:rsidP="00AC511D">
      <w:pPr>
        <w:pStyle w:val="Heading2"/>
      </w:pPr>
      <w:r>
        <w:t>Rating system design</w:t>
      </w:r>
    </w:p>
    <w:p w14:paraId="24FCF7C6" w14:textId="7CD1A05B" w:rsidR="002378A5" w:rsidRPr="002378A5" w:rsidRDefault="002378A5" w:rsidP="002378A5">
      <w:pPr>
        <w:pStyle w:val="BodyText1"/>
      </w:pPr>
      <w:r w:rsidRPr="002378A5">
        <w:t>Within each relevant IRB asset class, an ADI may utilise multiple rating methodologies or systems. If the ADI chooses to use multiple methodologies or systems, the rationale for assigning a</w:t>
      </w:r>
      <w:r w:rsidR="00591AC0">
        <w:t xml:space="preserve"> borrower</w:t>
      </w:r>
      <w:r w:rsidRPr="002378A5">
        <w:t xml:space="preserve"> to a rating methodology or system must be documented and applied in a manner that best reflects the level of risk of the </w:t>
      </w:r>
      <w:r w:rsidR="00591AC0">
        <w:t>borrower</w:t>
      </w:r>
      <w:r w:rsidRPr="002378A5">
        <w:t xml:space="preserve">. The ADI must not allocate </w:t>
      </w:r>
      <w:r w:rsidR="00591AC0">
        <w:t>borrowers</w:t>
      </w:r>
      <w:r w:rsidRPr="002378A5">
        <w:t xml:space="preserve"> across rating methodologies or systems</w:t>
      </w:r>
      <w:r w:rsidR="00E51769">
        <w:t xml:space="preserve"> </w:t>
      </w:r>
      <w:r w:rsidR="006370B5">
        <w:t xml:space="preserve">for </w:t>
      </w:r>
      <w:r w:rsidR="00E51769">
        <w:t xml:space="preserve">the </w:t>
      </w:r>
      <w:r w:rsidR="001A51B2">
        <w:t xml:space="preserve">primary </w:t>
      </w:r>
      <w:r w:rsidR="006370B5">
        <w:t xml:space="preserve">purpose </w:t>
      </w:r>
      <w:r w:rsidR="00E51769">
        <w:t>of</w:t>
      </w:r>
      <w:r w:rsidRPr="002378A5">
        <w:t xml:space="preserve"> </w:t>
      </w:r>
      <w:r w:rsidR="00E51769">
        <w:t>minimising</w:t>
      </w:r>
      <w:r w:rsidRPr="002378A5">
        <w:t xml:space="preserve"> its capital requirement. </w:t>
      </w:r>
    </w:p>
    <w:p w14:paraId="2A678E28" w14:textId="174ABAF8" w:rsidR="00671F6A" w:rsidRDefault="002378A5" w:rsidP="002378A5">
      <w:pPr>
        <w:pStyle w:val="Heading3"/>
      </w:pPr>
      <w:r>
        <w:t>Rating dimensions</w:t>
      </w:r>
    </w:p>
    <w:p w14:paraId="3DB3016E" w14:textId="3D52AB18" w:rsidR="002378A5" w:rsidRDefault="000352AB" w:rsidP="002378A5">
      <w:pPr>
        <w:pStyle w:val="Heading4"/>
      </w:pPr>
      <w:r>
        <w:t xml:space="preserve">Requirements </w:t>
      </w:r>
      <w:r w:rsidR="002378A5">
        <w:t xml:space="preserve">for corporate, sovereign and </w:t>
      </w:r>
      <w:r w:rsidR="002235D3">
        <w:t>financial institution</w:t>
      </w:r>
      <w:r w:rsidR="002378A5">
        <w:t xml:space="preserve"> </w:t>
      </w:r>
      <w:r w:rsidR="005E4812">
        <w:t>exposures</w:t>
      </w:r>
    </w:p>
    <w:p w14:paraId="6619B65E" w14:textId="2A4906DE" w:rsidR="006E7121" w:rsidRDefault="002378A5" w:rsidP="002378A5">
      <w:pPr>
        <w:pStyle w:val="BodyText1"/>
      </w:pPr>
      <w:r w:rsidRPr="002378A5">
        <w:t xml:space="preserve">An </w:t>
      </w:r>
      <w:r w:rsidR="004C297D">
        <w:t>internal</w:t>
      </w:r>
      <w:r w:rsidR="004C297D" w:rsidRPr="002378A5">
        <w:t xml:space="preserve"> </w:t>
      </w:r>
      <w:r w:rsidRPr="002378A5">
        <w:t xml:space="preserve">rating system for corporate, sovereign and </w:t>
      </w:r>
      <w:r w:rsidR="002235D3">
        <w:t>financial institution</w:t>
      </w:r>
      <w:r w:rsidRPr="002378A5">
        <w:t xml:space="preserve"> </w:t>
      </w:r>
      <w:r w:rsidR="001512E7">
        <w:t>exposures</w:t>
      </w:r>
      <w:r w:rsidRPr="002378A5">
        <w:t xml:space="preserve"> must have two separate and distinct dimensions</w:t>
      </w:r>
      <w:r w:rsidR="006E7121">
        <w:t>:</w:t>
      </w:r>
    </w:p>
    <w:p w14:paraId="65540C50" w14:textId="27E8356A" w:rsidR="006E7121" w:rsidRDefault="006E7121" w:rsidP="006E7121">
      <w:pPr>
        <w:pStyle w:val="BodyText2"/>
      </w:pPr>
      <w:r>
        <w:t xml:space="preserve">the risk of </w:t>
      </w:r>
      <w:r w:rsidR="00591AC0">
        <w:t>borrower</w:t>
      </w:r>
      <w:r>
        <w:t xml:space="preserve"> default</w:t>
      </w:r>
      <w:r w:rsidR="0045255D">
        <w:t xml:space="preserve"> (</w:t>
      </w:r>
      <w:r w:rsidR="00591AC0">
        <w:t>borrower</w:t>
      </w:r>
      <w:r w:rsidR="0045255D">
        <w:t xml:space="preserve"> grade)</w:t>
      </w:r>
      <w:r>
        <w:t>; and</w:t>
      </w:r>
    </w:p>
    <w:p w14:paraId="2C5E3611" w14:textId="34D5F3D8" w:rsidR="002378A5" w:rsidRPr="002378A5" w:rsidRDefault="006E7121" w:rsidP="006E7121">
      <w:pPr>
        <w:pStyle w:val="BodyText2"/>
      </w:pPr>
      <w:r>
        <w:t>transaction-specific factors</w:t>
      </w:r>
      <w:r w:rsidR="0045255D">
        <w:t xml:space="preserve"> (facility grade)</w:t>
      </w:r>
      <w:r>
        <w:t>.</w:t>
      </w:r>
    </w:p>
    <w:p w14:paraId="382ED661" w14:textId="37E541D1" w:rsidR="002F5BB2" w:rsidRDefault="002378A5" w:rsidP="002378A5">
      <w:pPr>
        <w:pStyle w:val="BodyText1"/>
      </w:pPr>
      <w:r>
        <w:t xml:space="preserve">The </w:t>
      </w:r>
      <w:r w:rsidR="00591AC0">
        <w:t>borrower</w:t>
      </w:r>
      <w:r>
        <w:t xml:space="preserve"> grade must be oriented to the risk of </w:t>
      </w:r>
      <w:r w:rsidR="00591AC0">
        <w:t>borrower</w:t>
      </w:r>
      <w:r>
        <w:t xml:space="preserve"> default</w:t>
      </w:r>
      <w:r w:rsidR="006E7121">
        <w:t xml:space="preserve">; </w:t>
      </w:r>
      <w:r>
        <w:t xml:space="preserve">that is, it must solely reflect PD. </w:t>
      </w:r>
      <w:r w:rsidR="002F5BB2">
        <w:t>Subject to</w:t>
      </w:r>
      <w:r w:rsidR="00D857F1">
        <w:t xml:space="preserve"> the exceptions </w:t>
      </w:r>
      <w:r w:rsidR="006370B5">
        <w:t xml:space="preserve">set out </w:t>
      </w:r>
      <w:r w:rsidR="00D857F1">
        <w:t>in</w:t>
      </w:r>
      <w:r w:rsidR="002F5BB2">
        <w:t xml:space="preserve"> </w:t>
      </w:r>
      <w:r w:rsidR="006956C1" w:rsidRPr="006956C1">
        <w:t xml:space="preserve">paragraph </w:t>
      </w:r>
      <w:r w:rsidR="006956C1" w:rsidRPr="006956C1">
        <w:fldChar w:fldCharType="begin"/>
      </w:r>
      <w:r w:rsidR="006956C1" w:rsidRPr="006956C1">
        <w:instrText xml:space="preserve"> REF _Ref34386195 \r \h </w:instrText>
      </w:r>
      <w:r w:rsidR="006956C1">
        <w:instrText xml:space="preserve"> \* MERGEFORMAT </w:instrText>
      </w:r>
      <w:r w:rsidR="006956C1" w:rsidRPr="006956C1">
        <w:fldChar w:fldCharType="separate"/>
      </w:r>
      <w:r w:rsidR="00550C88">
        <w:t>7</w:t>
      </w:r>
      <w:r w:rsidR="006956C1" w:rsidRPr="006956C1">
        <w:fldChar w:fldCharType="end"/>
      </w:r>
      <w:r w:rsidR="002F5BB2">
        <w:t xml:space="preserve"> of this Attachment</w:t>
      </w:r>
      <w:r w:rsidR="008148EE">
        <w:t>,</w:t>
      </w:r>
      <w:r w:rsidR="002F5BB2">
        <w:t xml:space="preserve"> a</w:t>
      </w:r>
      <w:r w:rsidR="006422FA">
        <w:t xml:space="preserve">n ADI must assign the same </w:t>
      </w:r>
      <w:r w:rsidR="00591AC0">
        <w:t>borrower</w:t>
      </w:r>
      <w:r w:rsidR="006422FA">
        <w:t xml:space="preserve"> grade to separate </w:t>
      </w:r>
      <w:r>
        <w:t xml:space="preserve">exposures to the same </w:t>
      </w:r>
      <w:r w:rsidR="00591AC0">
        <w:t>borrower</w:t>
      </w:r>
      <w:r>
        <w:t xml:space="preserve"> irrespective of any differences in the nature of each specific transaction. </w:t>
      </w:r>
    </w:p>
    <w:p w14:paraId="156C0BA5" w14:textId="07620B63" w:rsidR="002378A5" w:rsidRPr="006422FA" w:rsidRDefault="006422FA" w:rsidP="002378A5">
      <w:pPr>
        <w:pStyle w:val="BodyText1"/>
      </w:pPr>
      <w:bookmarkStart w:id="81" w:name="_Ref34386195"/>
      <w:r>
        <w:lastRenderedPageBreak/>
        <w:t>A</w:t>
      </w:r>
      <w:r w:rsidR="002F5BB2">
        <w:t xml:space="preserve">n ADI may </w:t>
      </w:r>
      <w:r>
        <w:t xml:space="preserve">assign different </w:t>
      </w:r>
      <w:r w:rsidR="00591AC0">
        <w:t>borrower</w:t>
      </w:r>
      <w:r>
        <w:t xml:space="preserve"> grades</w:t>
      </w:r>
      <w:r w:rsidR="002F5BB2">
        <w:t xml:space="preserve"> to separate exposures to the same </w:t>
      </w:r>
      <w:r w:rsidR="00591AC0">
        <w:t>borrower</w:t>
      </w:r>
      <w:r>
        <w:t xml:space="preserve"> </w:t>
      </w:r>
      <w:r w:rsidR="002F5BB2">
        <w:t>in the following circumstances</w:t>
      </w:r>
      <w:r>
        <w:t>:</w:t>
      </w:r>
      <w:bookmarkEnd w:id="81"/>
    </w:p>
    <w:p w14:paraId="6D07848B" w14:textId="7598AF21" w:rsidR="002378A5" w:rsidRPr="006422FA" w:rsidRDefault="002378A5" w:rsidP="002378A5">
      <w:pPr>
        <w:pStyle w:val="BodyText2"/>
      </w:pPr>
      <w:r w:rsidRPr="006422FA">
        <w:t xml:space="preserve">in the case of country transfer risk, </w:t>
      </w:r>
      <w:r w:rsidR="004066A5">
        <w:t>the</w:t>
      </w:r>
      <w:r w:rsidR="004066A5" w:rsidRPr="006422FA">
        <w:t xml:space="preserve"> </w:t>
      </w:r>
      <w:r w:rsidRPr="006422FA">
        <w:t xml:space="preserve">ADI may assign different </w:t>
      </w:r>
      <w:r w:rsidR="00591AC0">
        <w:t>borrower</w:t>
      </w:r>
      <w:r w:rsidRPr="006422FA">
        <w:t xml:space="preserve"> grades depending on whether the facility is denominated in domestic or foreign currency; and</w:t>
      </w:r>
    </w:p>
    <w:p w14:paraId="5474ACE6" w14:textId="1344825B" w:rsidR="002378A5" w:rsidRPr="006422FA" w:rsidRDefault="002378A5" w:rsidP="002378A5">
      <w:pPr>
        <w:pStyle w:val="BodyText2"/>
      </w:pPr>
      <w:r w:rsidRPr="006422FA">
        <w:t xml:space="preserve">where the treatment of associated guarantees or credit derivatives to a facility is reflected in an adjustment to the </w:t>
      </w:r>
      <w:r w:rsidR="00591AC0">
        <w:t>borrower</w:t>
      </w:r>
      <w:r w:rsidRPr="006422FA">
        <w:t xml:space="preserve"> grade. </w:t>
      </w:r>
    </w:p>
    <w:p w14:paraId="7D6F1EDF" w14:textId="5BCFDEAB" w:rsidR="009839C5" w:rsidRDefault="001E43C3" w:rsidP="001E43C3">
      <w:pPr>
        <w:pStyle w:val="BodyText1"/>
      </w:pPr>
      <w:r>
        <w:t xml:space="preserve">A </w:t>
      </w:r>
      <w:r w:rsidR="00591AC0">
        <w:t>borrower</w:t>
      </w:r>
      <w:r>
        <w:t xml:space="preserve"> grade must represent an assessment of </w:t>
      </w:r>
      <w:r w:rsidR="00591AC0">
        <w:t>borrower</w:t>
      </w:r>
      <w:r>
        <w:t xml:space="preserve"> risk on the basis of a specified and distinct set of rating criteria from which estimates of PD are derived. An ADI’s credit policies must articulate the</w:t>
      </w:r>
      <w:r w:rsidR="009839C5">
        <w:t>:</w:t>
      </w:r>
      <w:r>
        <w:t xml:space="preserve"> </w:t>
      </w:r>
    </w:p>
    <w:p w14:paraId="312FDDBD" w14:textId="6722DADD" w:rsidR="009839C5" w:rsidRDefault="001E43C3" w:rsidP="009839C5">
      <w:pPr>
        <w:pStyle w:val="BodyText2"/>
      </w:pPr>
      <w:r>
        <w:t xml:space="preserve">relationship between </w:t>
      </w:r>
      <w:r w:rsidR="00A76655">
        <w:t>borrower</w:t>
      </w:r>
      <w:r>
        <w:t xml:space="preserve"> grades in terms of the level of credit risk each grade implies. Perceived and measured credit risk must increase as credit quality declines from one grade to the next</w:t>
      </w:r>
      <w:r w:rsidR="009839C5">
        <w:t>; and</w:t>
      </w:r>
      <w:r>
        <w:t xml:space="preserve"> </w:t>
      </w:r>
    </w:p>
    <w:p w14:paraId="2DBF39C6" w14:textId="5F36D3A5" w:rsidR="001E43C3" w:rsidRDefault="001E43C3" w:rsidP="009839C5">
      <w:pPr>
        <w:pStyle w:val="BodyText2"/>
      </w:pPr>
      <w:r>
        <w:t xml:space="preserve">credit risk of each </w:t>
      </w:r>
      <w:r w:rsidR="00A76655">
        <w:t>borrower</w:t>
      </w:r>
      <w:r w:rsidR="00ED7283">
        <w:t xml:space="preserve"> </w:t>
      </w:r>
      <w:r>
        <w:t xml:space="preserve">grade in terms of both a description of the default risk typical for </w:t>
      </w:r>
      <w:r w:rsidR="00A76655">
        <w:t>borrowers</w:t>
      </w:r>
      <w:r>
        <w:t xml:space="preserve"> assigned to the grade and the criteria used to distinguish that level of credit risk. Modifiers such as ‘+’ or ‘-’ to alpha or numeric </w:t>
      </w:r>
      <w:r w:rsidR="00A76655">
        <w:t>borrower</w:t>
      </w:r>
      <w:r>
        <w:t xml:space="preserve"> grades will only qualify as distinct grades if </w:t>
      </w:r>
      <w:r w:rsidR="004066A5">
        <w:t xml:space="preserve">the </w:t>
      </w:r>
      <w:r>
        <w:t>ADI has developed complete rating descriptions and criteria for their assignment and separately quantifies PD estimates for those modified grades.</w:t>
      </w:r>
    </w:p>
    <w:p w14:paraId="1C1830F5" w14:textId="11B71B93" w:rsidR="001E43C3" w:rsidRDefault="001E43C3" w:rsidP="001E43C3">
      <w:pPr>
        <w:pStyle w:val="BodyText1"/>
      </w:pPr>
      <w:r>
        <w:t>The facility grade must reflect transaction-specific factors such as collateral, seniority and product type</w:t>
      </w:r>
      <w:r w:rsidR="0046027A">
        <w:t>;</w:t>
      </w:r>
      <w:r>
        <w:t xml:space="preserve"> that is, it must solely reflect LGD. </w:t>
      </w:r>
      <w:r w:rsidR="00A76655">
        <w:t>Borrower</w:t>
      </w:r>
      <w:r>
        <w:t xml:space="preserve"> characteristics may be included as LGD rating criteria </w:t>
      </w:r>
      <w:r w:rsidR="004C297D">
        <w:t xml:space="preserve">only </w:t>
      </w:r>
      <w:r>
        <w:t>to the extent that they are predictive of LGD.</w:t>
      </w:r>
      <w:r w:rsidR="00466747">
        <w:t xml:space="preserve"> </w:t>
      </w:r>
      <w:r w:rsidR="00241468">
        <w:t>However, under</w:t>
      </w:r>
      <w:r w:rsidR="00395AB1">
        <w:t xml:space="preserve"> </w:t>
      </w:r>
      <w:r>
        <w:t>the FIRB approach</w:t>
      </w:r>
      <w:r w:rsidR="00395AB1">
        <w:t xml:space="preserve"> </w:t>
      </w:r>
      <w:r>
        <w:t xml:space="preserve">an ADI may satisfy this requirement by using a facility grade dimension that reflects both </w:t>
      </w:r>
      <w:r w:rsidR="00A76655">
        <w:t>borrower</w:t>
      </w:r>
      <w:r>
        <w:t xml:space="preserve"> an</w:t>
      </w:r>
      <w:r w:rsidR="00A44731">
        <w:t>d transaction-specific factors.</w:t>
      </w:r>
      <w:r w:rsidR="00FA3716" w:rsidRPr="00FA3716">
        <w:t xml:space="preserve"> </w:t>
      </w:r>
      <w:r w:rsidR="00FA3716" w:rsidRPr="00601A3B">
        <w:t>The criteria used to define facility grades must be grounded in empirical evidence.</w:t>
      </w:r>
    </w:p>
    <w:p w14:paraId="671ADA2E" w14:textId="1FA79403" w:rsidR="001E43C3" w:rsidRDefault="001E43C3" w:rsidP="001E43C3">
      <w:pPr>
        <w:pStyle w:val="BodyText1"/>
      </w:pPr>
      <w:r>
        <w:t>S</w:t>
      </w:r>
      <w:r w:rsidR="00547D08">
        <w:t>pecialised lending</w:t>
      </w:r>
      <w:r>
        <w:t xml:space="preserve"> </w:t>
      </w:r>
      <w:r w:rsidR="00882E50">
        <w:t xml:space="preserve">exposures subject to the supervisory slotting approach are </w:t>
      </w:r>
      <w:r w:rsidR="000352AB">
        <w:t xml:space="preserve">excluded </w:t>
      </w:r>
      <w:r>
        <w:t xml:space="preserve">from the two-dimensional rating requirement. </w:t>
      </w:r>
      <w:r w:rsidR="005036C1">
        <w:t xml:space="preserve">In this case, </w:t>
      </w:r>
      <w:r w:rsidR="00B43D12">
        <w:t>an</w:t>
      </w:r>
      <w:r>
        <w:t xml:space="preserve"> ADI may have a single rating dimension that reflects EL by incorporating both PD and LGD consideratio</w:t>
      </w:r>
      <w:r w:rsidR="00A44731">
        <w:t>ns.</w:t>
      </w:r>
    </w:p>
    <w:p w14:paraId="125E00AF" w14:textId="228B39BC" w:rsidR="002378A5" w:rsidRDefault="000352AB" w:rsidP="001E43C3">
      <w:pPr>
        <w:pStyle w:val="Heading4"/>
      </w:pPr>
      <w:r>
        <w:t xml:space="preserve">Requirements </w:t>
      </w:r>
      <w:r w:rsidR="001E43C3">
        <w:t xml:space="preserve">for retail </w:t>
      </w:r>
      <w:r w:rsidR="008E52F7">
        <w:t>exposures</w:t>
      </w:r>
    </w:p>
    <w:p w14:paraId="541D683C" w14:textId="11F8AFD3" w:rsidR="00601A3B" w:rsidRPr="00601A3B" w:rsidRDefault="00601A3B" w:rsidP="00C7084F">
      <w:pPr>
        <w:pStyle w:val="BodyText1"/>
      </w:pPr>
      <w:r w:rsidRPr="00601A3B">
        <w:t xml:space="preserve">Rating systems for retail exposures must be oriented to both </w:t>
      </w:r>
      <w:r w:rsidR="00A76655">
        <w:t>borrower</w:t>
      </w:r>
      <w:r w:rsidRPr="00601A3B">
        <w:t xml:space="preserve"> and transaction risks and capture all relevant </w:t>
      </w:r>
      <w:r w:rsidR="00A76655">
        <w:t>borrower</w:t>
      </w:r>
      <w:r w:rsidRPr="00601A3B">
        <w:t xml:space="preserve"> and transaction characteristics. An ADI must assign </w:t>
      </w:r>
      <w:r w:rsidR="00513AB2">
        <w:t xml:space="preserve">retail </w:t>
      </w:r>
      <w:r w:rsidRPr="00601A3B">
        <w:t>exposure</w:t>
      </w:r>
      <w:r w:rsidR="00960B52">
        <w:t>s</w:t>
      </w:r>
      <w:r w:rsidRPr="00601A3B">
        <w:t xml:space="preserve"> into particular pools separately reflecting PD, LGD and EAD. The ADI must </w:t>
      </w:r>
      <w:r w:rsidR="00A3048C">
        <w:t>ensure</w:t>
      </w:r>
      <w:r w:rsidR="00A3048C" w:rsidRPr="00601A3B">
        <w:t xml:space="preserve"> </w:t>
      </w:r>
      <w:r w:rsidRPr="00601A3B">
        <w:t xml:space="preserve">that this process provides for a meaningful differentiation </w:t>
      </w:r>
      <w:r w:rsidR="00B424EB">
        <w:t xml:space="preserve">and ranking </w:t>
      </w:r>
      <w:r w:rsidRPr="00601A3B">
        <w:t>of risk, a grouping of sufficiently homogenous exposures</w:t>
      </w:r>
      <w:r w:rsidR="00513AB2">
        <w:t>,</w:t>
      </w:r>
      <w:r w:rsidRPr="00601A3B">
        <w:t xml:space="preserve"> and accurate and consistent estimation of PD, LGD and EAD at the pool level. Different pools of retail exposures may share identical PD, LGD </w:t>
      </w:r>
      <w:r w:rsidR="00945894">
        <w:t>or</w:t>
      </w:r>
      <w:r w:rsidR="00945894" w:rsidRPr="00601A3B">
        <w:t xml:space="preserve"> </w:t>
      </w:r>
      <w:r w:rsidRPr="00601A3B">
        <w:t>EAD estimates</w:t>
      </w:r>
      <w:r w:rsidR="00A44731">
        <w:t>.</w:t>
      </w:r>
    </w:p>
    <w:p w14:paraId="0734A350" w14:textId="77777777" w:rsidR="00601A3B" w:rsidRPr="00601A3B" w:rsidRDefault="00601A3B" w:rsidP="00601A3B">
      <w:pPr>
        <w:pStyle w:val="BodyText1"/>
      </w:pPr>
      <w:r w:rsidRPr="00601A3B">
        <w:t>At a minimum, an ADI must consider the following risk drivers when assigning retail exposures to a pool:</w:t>
      </w:r>
    </w:p>
    <w:p w14:paraId="0969E704" w14:textId="25EA2A8D" w:rsidR="00601A3B" w:rsidRPr="00601A3B" w:rsidRDefault="00A76655" w:rsidP="00601A3B">
      <w:pPr>
        <w:pStyle w:val="BodyText2"/>
      </w:pPr>
      <w:r>
        <w:lastRenderedPageBreak/>
        <w:t>borrower</w:t>
      </w:r>
      <w:r w:rsidR="00601A3B" w:rsidRPr="00601A3B">
        <w:t xml:space="preserve"> risk characteristics (e.g. </w:t>
      </w:r>
      <w:r>
        <w:t>borrower</w:t>
      </w:r>
      <w:r w:rsidR="00601A3B" w:rsidRPr="00601A3B">
        <w:t xml:space="preserve"> type, demographics such as age and occupation);</w:t>
      </w:r>
    </w:p>
    <w:p w14:paraId="3ED04BB6" w14:textId="6EB5E168" w:rsidR="00601A3B" w:rsidRPr="00601A3B" w:rsidRDefault="00601A3B" w:rsidP="00601A3B">
      <w:pPr>
        <w:pStyle w:val="BodyText2"/>
      </w:pPr>
      <w:r w:rsidRPr="00601A3B">
        <w:t>transaction risk characteristics including product or collateral (e.g. loan</w:t>
      </w:r>
      <w:r w:rsidR="007D2004">
        <w:t>-</w:t>
      </w:r>
      <w:r w:rsidRPr="00601A3B">
        <w:t>to</w:t>
      </w:r>
      <w:r w:rsidR="007D2004">
        <w:t>-</w:t>
      </w:r>
      <w:r w:rsidRPr="00601A3B">
        <w:t>valuation measures, seasoning, guarantees or credit derivatives and seniority (first or second liens)). The ADI must explicitly address cross-collateral provisions where present; and</w:t>
      </w:r>
    </w:p>
    <w:p w14:paraId="57F554FD" w14:textId="77AEB146" w:rsidR="00601A3B" w:rsidRDefault="00601A3B" w:rsidP="00601A3B">
      <w:pPr>
        <w:pStyle w:val="BodyText2"/>
      </w:pPr>
      <w:r w:rsidRPr="00601A3B">
        <w:t xml:space="preserve">delinquency of </w:t>
      </w:r>
      <w:r w:rsidR="00816D76">
        <w:t xml:space="preserve">the </w:t>
      </w:r>
      <w:r w:rsidRPr="00601A3B">
        <w:t>exposure. The ADI must</w:t>
      </w:r>
      <w:r w:rsidR="0045375F">
        <w:t xml:space="preserve"> be able to</w:t>
      </w:r>
      <w:r w:rsidRPr="00601A3B">
        <w:t xml:space="preserve"> </w:t>
      </w:r>
      <w:r w:rsidR="00617B4F">
        <w:t xml:space="preserve">separately </w:t>
      </w:r>
      <w:r w:rsidRPr="00601A3B">
        <w:t>identify exposures</w:t>
      </w:r>
      <w:r w:rsidR="0045375F">
        <w:t xml:space="preserve"> that are delinquent and those that are not</w:t>
      </w:r>
      <w:r w:rsidRPr="00601A3B">
        <w:t xml:space="preserve">. </w:t>
      </w:r>
    </w:p>
    <w:p w14:paraId="4A1627BB" w14:textId="46ED91F7" w:rsidR="003A4084" w:rsidRDefault="003A4084" w:rsidP="00B45FB7">
      <w:pPr>
        <w:pStyle w:val="BodyText1"/>
      </w:pPr>
      <w:r>
        <w:t>For each pool where an ADI estimates PD and LGD, it must analyse the representativeness of the age of facilities (in terms of the time since origination for PD and</w:t>
      </w:r>
      <w:r w:rsidR="006D6A87">
        <w:t xml:space="preserve"> the</w:t>
      </w:r>
      <w:r>
        <w:t xml:space="preserve"> time since default for LGD) in the data used to derive the estimates. </w:t>
      </w:r>
      <w:r w:rsidR="004066A5">
        <w:t xml:space="preserve">The </w:t>
      </w:r>
      <w:r>
        <w:t xml:space="preserve">ADI must adjust its estimates upward to account for a lack of representativeness </w:t>
      </w:r>
      <w:r w:rsidR="002C22FF">
        <w:t xml:space="preserve">in the data as well as anticipated implications of rapid exposure growth that may lead to default rates peaking several years after origination. </w:t>
      </w:r>
    </w:p>
    <w:p w14:paraId="693036B2" w14:textId="19EF24A4" w:rsidR="00601A3B" w:rsidRDefault="00601A3B" w:rsidP="00601A3B">
      <w:pPr>
        <w:pStyle w:val="Heading3"/>
      </w:pPr>
      <w:r>
        <w:t>Rating structure</w:t>
      </w:r>
    </w:p>
    <w:p w14:paraId="3CB22982" w14:textId="5A127CA5" w:rsidR="00601A3B" w:rsidRDefault="000352AB" w:rsidP="00601A3B">
      <w:pPr>
        <w:pStyle w:val="Heading4"/>
      </w:pPr>
      <w:r>
        <w:t xml:space="preserve">Requirements </w:t>
      </w:r>
      <w:r w:rsidR="00601A3B">
        <w:t xml:space="preserve">for corporate, sovereign and </w:t>
      </w:r>
      <w:r w:rsidR="002235D3">
        <w:t>financial institution</w:t>
      </w:r>
      <w:r w:rsidR="00601A3B">
        <w:t xml:space="preserve"> </w:t>
      </w:r>
      <w:r w:rsidR="003D3C1D">
        <w:t>exposures</w:t>
      </w:r>
    </w:p>
    <w:p w14:paraId="531C3673" w14:textId="102761D3" w:rsidR="00601A3B" w:rsidRPr="00601A3B" w:rsidRDefault="00601A3B" w:rsidP="00601A3B">
      <w:pPr>
        <w:pStyle w:val="BodyText1"/>
      </w:pPr>
      <w:r w:rsidRPr="00601A3B">
        <w:t>An ADI must have a</w:t>
      </w:r>
      <w:r w:rsidR="00DD45BF">
        <w:t xml:space="preserve"> sufficient number of distinct rating grades to allow for a</w:t>
      </w:r>
      <w:r w:rsidRPr="00601A3B">
        <w:t xml:space="preserve"> meaningful distribution of exposures</w:t>
      </w:r>
      <w:r w:rsidR="00DD45BF">
        <w:t>,</w:t>
      </w:r>
      <w:r w:rsidRPr="00601A3B">
        <w:t xml:space="preserve"> with no excessive concentrations </w:t>
      </w:r>
      <w:r w:rsidR="00816D76">
        <w:t>in</w:t>
      </w:r>
      <w:r w:rsidR="00816D76" w:rsidRPr="00601A3B">
        <w:t xml:space="preserve"> </w:t>
      </w:r>
      <w:r w:rsidRPr="00601A3B">
        <w:t xml:space="preserve">either its </w:t>
      </w:r>
      <w:r w:rsidR="00A76655">
        <w:t>borrower</w:t>
      </w:r>
      <w:r w:rsidRPr="00601A3B">
        <w:t xml:space="preserve"> grades </w:t>
      </w:r>
      <w:r w:rsidR="00917D58">
        <w:t>or</w:t>
      </w:r>
      <w:r w:rsidR="00AB779D">
        <w:t>, where relevant,</w:t>
      </w:r>
      <w:r w:rsidRPr="00601A3B">
        <w:t xml:space="preserve"> facility </w:t>
      </w:r>
      <w:r w:rsidR="00E06EC1" w:rsidRPr="00601A3B">
        <w:t>grades.</w:t>
      </w:r>
    </w:p>
    <w:p w14:paraId="7C61B2A4" w14:textId="2B1EFE2E" w:rsidR="00601A3B" w:rsidRPr="00601A3B" w:rsidRDefault="00601A3B" w:rsidP="00601A3B">
      <w:pPr>
        <w:pStyle w:val="BodyText1"/>
      </w:pPr>
      <w:r w:rsidRPr="00601A3B">
        <w:t>Subject to the except</w:t>
      </w:r>
      <w:r w:rsidR="00D63B6C">
        <w:t xml:space="preserve">ion </w:t>
      </w:r>
      <w:r w:rsidR="006370B5">
        <w:t>set out</w:t>
      </w:r>
      <w:r w:rsidR="00326FC7">
        <w:t xml:space="preserve"> </w:t>
      </w:r>
      <w:r w:rsidRPr="006956C1">
        <w:t xml:space="preserve">in </w:t>
      </w:r>
      <w:r w:rsidR="006956C1" w:rsidRPr="006956C1">
        <w:t xml:space="preserve">paragraph </w:t>
      </w:r>
      <w:r w:rsidR="00872831">
        <w:fldChar w:fldCharType="begin"/>
      </w:r>
      <w:r w:rsidR="00872831">
        <w:instrText xml:space="preserve"> REF _Ref35253911 \r \h </w:instrText>
      </w:r>
      <w:r w:rsidR="00872831">
        <w:fldChar w:fldCharType="separate"/>
      </w:r>
      <w:r w:rsidR="00550C88">
        <w:t>17</w:t>
      </w:r>
      <w:r w:rsidR="00872831">
        <w:fldChar w:fldCharType="end"/>
      </w:r>
      <w:r w:rsidR="00F6609B">
        <w:t xml:space="preserve"> </w:t>
      </w:r>
      <w:r w:rsidRPr="006956C1">
        <w:t>of this Attachment,</w:t>
      </w:r>
      <w:r w:rsidRPr="00601A3B">
        <w:t xml:space="preserve"> an ADI must have a minimum of seven </w:t>
      </w:r>
      <w:r w:rsidR="00A76655">
        <w:t>borrower</w:t>
      </w:r>
      <w:r w:rsidRPr="00601A3B">
        <w:t xml:space="preserve"> grades for non-defaulted </w:t>
      </w:r>
      <w:r w:rsidR="00A76655">
        <w:t>borrowers</w:t>
      </w:r>
      <w:r w:rsidRPr="00601A3B">
        <w:t xml:space="preserve"> and one for defaulted </w:t>
      </w:r>
      <w:r w:rsidR="00A76655">
        <w:t>borrowers</w:t>
      </w:r>
      <w:r w:rsidRPr="00601A3B">
        <w:t>. An ADI with lending activities focused on a particular market segment may satisfy this requirement with the minimum number of grades</w:t>
      </w:r>
      <w:r w:rsidR="001300BB">
        <w:t>.</w:t>
      </w:r>
      <w:r w:rsidRPr="00601A3B">
        <w:t xml:space="preserve"> </w:t>
      </w:r>
      <w:r w:rsidR="001300BB" w:rsidRPr="00601A3B">
        <w:t xml:space="preserve">An ADI that lends to </w:t>
      </w:r>
      <w:r w:rsidR="00A76655">
        <w:t>borrowers</w:t>
      </w:r>
      <w:r w:rsidR="001300BB" w:rsidRPr="00601A3B">
        <w:t xml:space="preserve"> of diverse credit quality should have a greater number of </w:t>
      </w:r>
      <w:r w:rsidR="00A76655">
        <w:t>borrower</w:t>
      </w:r>
      <w:r w:rsidR="001300BB" w:rsidRPr="00601A3B">
        <w:t xml:space="preserve"> grades. </w:t>
      </w:r>
      <w:r w:rsidRPr="00601A3B">
        <w:t xml:space="preserve">Significant concentrations within a single </w:t>
      </w:r>
      <w:r w:rsidR="00A76655">
        <w:t>borrower</w:t>
      </w:r>
      <w:r w:rsidR="001E65F9">
        <w:t xml:space="preserve"> </w:t>
      </w:r>
      <w:r w:rsidRPr="00601A3B">
        <w:t xml:space="preserve">grade or grades must be supported by empirical evidence that the grade or grades cover reasonably narrow PD bands and that the default risk posed by </w:t>
      </w:r>
      <w:r w:rsidR="00A76655">
        <w:t>borrowers</w:t>
      </w:r>
      <w:r w:rsidRPr="00601A3B">
        <w:t xml:space="preserve"> in each grade fall within the relevant band. </w:t>
      </w:r>
    </w:p>
    <w:p w14:paraId="4B0F27C0" w14:textId="6455FEED" w:rsidR="00601A3B" w:rsidRPr="00601A3B" w:rsidRDefault="00601A3B" w:rsidP="00601A3B">
      <w:pPr>
        <w:pStyle w:val="BodyText1"/>
      </w:pPr>
      <w:bookmarkStart w:id="82" w:name="_Ref34386472"/>
      <w:r w:rsidRPr="00601A3B">
        <w:t>There is no minimum number of facility grades for an ADI using the AIRB approach</w:t>
      </w:r>
      <w:r w:rsidR="00FE692D">
        <w:t>; however</w:t>
      </w:r>
      <w:r w:rsidRPr="00601A3B">
        <w:t xml:space="preserve">, </w:t>
      </w:r>
      <w:r w:rsidR="004066A5">
        <w:t>the</w:t>
      </w:r>
      <w:r w:rsidR="004066A5" w:rsidRPr="00601A3B">
        <w:t xml:space="preserve"> </w:t>
      </w:r>
      <w:r w:rsidRPr="00601A3B">
        <w:t>ADI must have a sufficient number of facility grades to avoid grouping facilities with widely varying LGD estimates into a single grade.</w:t>
      </w:r>
      <w:bookmarkEnd w:id="82"/>
      <w:r w:rsidRPr="00601A3B">
        <w:t xml:space="preserve"> </w:t>
      </w:r>
    </w:p>
    <w:p w14:paraId="1F74D96D" w14:textId="59EC9B94" w:rsidR="00601A3B" w:rsidRPr="00601A3B" w:rsidRDefault="00601A3B" w:rsidP="00601A3B">
      <w:pPr>
        <w:pStyle w:val="BodyText1"/>
      </w:pPr>
      <w:bookmarkStart w:id="83" w:name="_Ref35253911"/>
      <w:r w:rsidRPr="00601A3B">
        <w:t xml:space="preserve">An ADI using the </w:t>
      </w:r>
      <w:r w:rsidR="005E7BC4">
        <w:t xml:space="preserve">supervisory </w:t>
      </w:r>
      <w:r w:rsidRPr="00601A3B">
        <w:t xml:space="preserve">slotting approach for </w:t>
      </w:r>
      <w:r w:rsidR="00B24D6C">
        <w:t>specialised lending</w:t>
      </w:r>
      <w:r w:rsidR="00B24D6C" w:rsidRPr="00601A3B">
        <w:t xml:space="preserve"> </w:t>
      </w:r>
      <w:r w:rsidR="00DA0230">
        <w:t>exposures</w:t>
      </w:r>
      <w:r w:rsidRPr="00601A3B">
        <w:t xml:space="preserve"> must have at least four rating grades for non-defaulted </w:t>
      </w:r>
      <w:r w:rsidR="00A76655">
        <w:t>borrowers</w:t>
      </w:r>
      <w:r w:rsidRPr="00601A3B">
        <w:t xml:space="preserve"> and one for defaulted </w:t>
      </w:r>
      <w:r w:rsidR="00A76655">
        <w:t>borrowers</w:t>
      </w:r>
      <w:r w:rsidRPr="00601A3B">
        <w:t>.</w:t>
      </w:r>
      <w:bookmarkEnd w:id="83"/>
      <w:r w:rsidRPr="00601A3B">
        <w:t xml:space="preserve"> </w:t>
      </w:r>
    </w:p>
    <w:p w14:paraId="79A6E96F" w14:textId="57254696" w:rsidR="00601A3B" w:rsidRDefault="000352AB" w:rsidP="00601A3B">
      <w:pPr>
        <w:pStyle w:val="Heading4"/>
      </w:pPr>
      <w:r>
        <w:t xml:space="preserve">Requirements </w:t>
      </w:r>
      <w:r w:rsidR="00601A3B">
        <w:t xml:space="preserve">for retail </w:t>
      </w:r>
      <w:r w:rsidR="009756E5">
        <w:t>exposures</w:t>
      </w:r>
    </w:p>
    <w:p w14:paraId="567AB91A" w14:textId="36FA1FBD" w:rsidR="00601A3B" w:rsidRPr="00601A3B" w:rsidRDefault="00601A3B" w:rsidP="00601A3B">
      <w:pPr>
        <w:pStyle w:val="BodyText1"/>
      </w:pPr>
      <w:r w:rsidRPr="00601A3B">
        <w:t xml:space="preserve">An ADI must be able to provide quantitative measures of PD, LGD and EAD for each identified pool of retail exposures. The level of differentiation must ensure that the number of exposures in a given pool is sufficient to allow for meaningful quantification and validation of </w:t>
      </w:r>
      <w:r w:rsidR="005E7BC4">
        <w:t>PD, LGD and EAD estimates</w:t>
      </w:r>
      <w:r w:rsidRPr="00601A3B">
        <w:t xml:space="preserve"> at the </w:t>
      </w:r>
      <w:r w:rsidRPr="00601A3B">
        <w:lastRenderedPageBreak/>
        <w:t>pool level. There must also be a meaningful distribution of exposures across pools, with no single pool comprising an undue concentration of exposures.</w:t>
      </w:r>
    </w:p>
    <w:p w14:paraId="45D01135" w14:textId="596E504D" w:rsidR="00601A3B" w:rsidRDefault="00601A3B" w:rsidP="00601A3B">
      <w:pPr>
        <w:pStyle w:val="Heading3"/>
      </w:pPr>
      <w:r>
        <w:t>Rating criteria</w:t>
      </w:r>
    </w:p>
    <w:p w14:paraId="780B8D36" w14:textId="102B2A81" w:rsidR="007633AA" w:rsidRPr="007633AA" w:rsidRDefault="004D6140" w:rsidP="00DD45BF">
      <w:pPr>
        <w:pStyle w:val="Heading4"/>
      </w:pPr>
      <w:r>
        <w:t xml:space="preserve">Requirements </w:t>
      </w:r>
      <w:r w:rsidR="007633AA">
        <w:t>for all exposures</w:t>
      </w:r>
    </w:p>
    <w:p w14:paraId="0CA3A961" w14:textId="273286DB" w:rsidR="00601A3B" w:rsidRPr="00601A3B" w:rsidRDefault="00601A3B" w:rsidP="00601A3B">
      <w:pPr>
        <w:pStyle w:val="BodyText1"/>
      </w:pPr>
      <w:bookmarkStart w:id="84" w:name="_Ref34391843"/>
      <w:r w:rsidRPr="00601A3B">
        <w:t>An ADI must have specific rating definitions, processes and criteria for assigning exposures to grades or pools within a rating system. The rating definitions and criteria must be plausible</w:t>
      </w:r>
      <w:r w:rsidR="00144B38">
        <w:t>,</w:t>
      </w:r>
      <w:r w:rsidRPr="00601A3B">
        <w:t xml:space="preserve"> intuitive and result in a mean</w:t>
      </w:r>
      <w:r w:rsidR="00A44731">
        <w:t>ingful differentiation of risk.</w:t>
      </w:r>
      <w:bookmarkEnd w:id="84"/>
    </w:p>
    <w:p w14:paraId="7DA5AA41" w14:textId="494DF496" w:rsidR="00601A3B" w:rsidRPr="00601A3B" w:rsidRDefault="00601A3B" w:rsidP="00601A3B">
      <w:pPr>
        <w:pStyle w:val="BodyText1"/>
      </w:pPr>
      <w:r w:rsidRPr="00601A3B">
        <w:t>An ADI’s internal rating descriptions and criteria must be sufficiently detailed to allow officers to</w:t>
      </w:r>
      <w:r w:rsidR="00AA2A6B">
        <w:t xml:space="preserve"> consistently</w:t>
      </w:r>
      <w:r w:rsidRPr="00601A3B">
        <w:t xml:space="preserve"> assign the same rating to </w:t>
      </w:r>
      <w:r w:rsidR="00A36A76">
        <w:t>borrowers</w:t>
      </w:r>
      <w:r w:rsidRPr="00601A3B">
        <w:t xml:space="preserve"> and facilities posing similar risk</w:t>
      </w:r>
      <w:r w:rsidR="00AA2A6B">
        <w:t>,</w:t>
      </w:r>
      <w:r w:rsidR="00AA2A6B" w:rsidRPr="00601A3B">
        <w:t xml:space="preserve"> </w:t>
      </w:r>
      <w:r w:rsidRPr="00601A3B">
        <w:t xml:space="preserve">across lines of business, departments and geographic locations. If rating criteria and </w:t>
      </w:r>
      <w:r w:rsidR="00DE51C6" w:rsidRPr="00601A3B">
        <w:t>proce</w:t>
      </w:r>
      <w:r w:rsidR="00DE51C6">
        <w:t>sses</w:t>
      </w:r>
      <w:r w:rsidR="00DE51C6" w:rsidRPr="00601A3B">
        <w:t xml:space="preserve"> </w:t>
      </w:r>
      <w:r w:rsidRPr="00601A3B">
        <w:t xml:space="preserve">differ for different types of </w:t>
      </w:r>
      <w:r w:rsidR="00A36A76">
        <w:t>borrowers</w:t>
      </w:r>
      <w:r w:rsidRPr="00601A3B">
        <w:t xml:space="preserve"> or facilities, the ADI must monitor for possible inconsistency</w:t>
      </w:r>
      <w:r w:rsidR="00945894">
        <w:t xml:space="preserve"> in rating </w:t>
      </w:r>
      <w:r w:rsidR="00C265DB">
        <w:t>assignments</w:t>
      </w:r>
      <w:r w:rsidRPr="00601A3B">
        <w:t xml:space="preserve"> and alter rating criteria</w:t>
      </w:r>
      <w:r w:rsidR="00DE51C6">
        <w:t xml:space="preserve"> and processes</w:t>
      </w:r>
      <w:r w:rsidRPr="00601A3B">
        <w:t xml:space="preserve"> to improve</w:t>
      </w:r>
      <w:r w:rsidR="00A44731">
        <w:t xml:space="preserve"> consistency where appropriate.</w:t>
      </w:r>
    </w:p>
    <w:p w14:paraId="3E7F63FD" w14:textId="00DCCEAB" w:rsidR="00C53D8C" w:rsidRDefault="00AA2A6B" w:rsidP="00601A3B">
      <w:pPr>
        <w:pStyle w:val="BodyText1"/>
      </w:pPr>
      <w:r>
        <w:t>R</w:t>
      </w:r>
      <w:r w:rsidRPr="00601A3B">
        <w:t xml:space="preserve">ating </w:t>
      </w:r>
      <w:r w:rsidR="00601A3B" w:rsidRPr="00601A3B">
        <w:t>definitions must be</w:t>
      </w:r>
      <w:r w:rsidR="00C474D0">
        <w:t xml:space="preserve"> </w:t>
      </w:r>
      <w:r>
        <w:t>sufficiently</w:t>
      </w:r>
      <w:r w:rsidR="00601A3B" w:rsidRPr="00601A3B">
        <w:t xml:space="preserve"> clear and detailed to allow independent third parties, including APRA, to understand the assignment of ratings, replicate rating assignments and evaluate the appropriateness of the assignment o</w:t>
      </w:r>
      <w:r w:rsidR="00A44731">
        <w:t>f exposures to grades or pools.</w:t>
      </w:r>
    </w:p>
    <w:p w14:paraId="57816C68" w14:textId="75DEA594" w:rsidR="00601A3B" w:rsidRPr="00601A3B" w:rsidRDefault="00601A3B" w:rsidP="00601A3B">
      <w:pPr>
        <w:pStyle w:val="BodyText1"/>
      </w:pPr>
      <w:r w:rsidRPr="00601A3B">
        <w:t xml:space="preserve">The </w:t>
      </w:r>
      <w:r w:rsidR="00C53D8C">
        <w:t xml:space="preserve">rating </w:t>
      </w:r>
      <w:r w:rsidRPr="00601A3B">
        <w:t xml:space="preserve">criteria must be consistent with </w:t>
      </w:r>
      <w:r w:rsidR="000B63FF">
        <w:t>an</w:t>
      </w:r>
      <w:r w:rsidR="000B63FF" w:rsidRPr="00601A3B">
        <w:t xml:space="preserve"> </w:t>
      </w:r>
      <w:r w:rsidRPr="00601A3B">
        <w:t xml:space="preserve">ADI’s lending standards and its policies for managing </w:t>
      </w:r>
      <w:r w:rsidR="00A36A76">
        <w:t>borrowers</w:t>
      </w:r>
      <w:r w:rsidRPr="00601A3B">
        <w:t xml:space="preserve"> and facilities that have deteriorated in credit quality.</w:t>
      </w:r>
    </w:p>
    <w:p w14:paraId="1B28C818" w14:textId="26D5C79D" w:rsidR="00601A3B" w:rsidRDefault="00601A3B" w:rsidP="00601A3B">
      <w:pPr>
        <w:pStyle w:val="BodyText1"/>
      </w:pPr>
      <w:bookmarkStart w:id="85" w:name="_Ref34391845"/>
      <w:r w:rsidRPr="00EA2B1B">
        <w:t>An ADI must use all relevant</w:t>
      </w:r>
      <w:r w:rsidR="00F0094B">
        <w:t>,</w:t>
      </w:r>
      <w:r w:rsidRPr="00EA2B1B">
        <w:t xml:space="preserve"> material</w:t>
      </w:r>
      <w:r w:rsidR="00F0094B">
        <w:t xml:space="preserve"> and available</w:t>
      </w:r>
      <w:r w:rsidRPr="00EA2B1B">
        <w:t xml:space="preserve"> information in assigning </w:t>
      </w:r>
      <w:r w:rsidR="00A36A76">
        <w:t>borrowers</w:t>
      </w:r>
      <w:r w:rsidRPr="00EA2B1B">
        <w:t xml:space="preserve"> and facilities to grades or pools. </w:t>
      </w:r>
      <w:r w:rsidR="0088736B">
        <w:t>The i</w:t>
      </w:r>
      <w:r w:rsidR="0088736B" w:rsidRPr="00EA2B1B">
        <w:t xml:space="preserve">nformation </w:t>
      </w:r>
      <w:r w:rsidR="0088736B">
        <w:t xml:space="preserve">used by the ADI </w:t>
      </w:r>
      <w:r w:rsidRPr="00EA2B1B">
        <w:t>must be current.</w:t>
      </w:r>
      <w:r w:rsidRPr="00601A3B">
        <w:t xml:space="preserve"> The less information the ADI has</w:t>
      </w:r>
      <w:r w:rsidR="0038196B" w:rsidRPr="00601A3B">
        <w:t xml:space="preserve">, </w:t>
      </w:r>
      <w:r w:rsidR="0038196B">
        <w:t>the</w:t>
      </w:r>
      <w:r w:rsidRPr="00601A3B">
        <w:t xml:space="preserve"> more conservative it must be in assigning exposures to </w:t>
      </w:r>
      <w:r w:rsidR="00A36A76">
        <w:t>borrower</w:t>
      </w:r>
      <w:r w:rsidRPr="00601A3B">
        <w:t xml:space="preserve"> and facility grades or pools. An external rating may be used as an input into the assignment process; however, the ADI must ensure that it considers all other</w:t>
      </w:r>
      <w:r w:rsidR="00A44731">
        <w:t xml:space="preserve"> relevant material information.</w:t>
      </w:r>
      <w:bookmarkEnd w:id="85"/>
    </w:p>
    <w:p w14:paraId="38EDCB89" w14:textId="779203BB" w:rsidR="00601A3B" w:rsidRDefault="007633AA" w:rsidP="00601A3B">
      <w:pPr>
        <w:pStyle w:val="Heading4"/>
      </w:pPr>
      <w:r>
        <w:t xml:space="preserve">Additional </w:t>
      </w:r>
      <w:r w:rsidR="004D6140">
        <w:t xml:space="preserve">requirements </w:t>
      </w:r>
      <w:r w:rsidR="00DA4EB3">
        <w:t>for s</w:t>
      </w:r>
      <w:r w:rsidR="00601A3B">
        <w:t xml:space="preserve">pecialised lending </w:t>
      </w:r>
      <w:r w:rsidR="00DD489B">
        <w:t>exposures</w:t>
      </w:r>
      <w:r w:rsidR="00A86343">
        <w:t xml:space="preserve"> subject to the supervisory slotting approach</w:t>
      </w:r>
    </w:p>
    <w:p w14:paraId="0CF62959" w14:textId="13FB81B4" w:rsidR="00601A3B" w:rsidRDefault="00AA4D8C" w:rsidP="00601A3B">
      <w:pPr>
        <w:pStyle w:val="BodyText1"/>
      </w:pPr>
      <w:r>
        <w:t xml:space="preserve">An ADI </w:t>
      </w:r>
      <w:r w:rsidR="002F1AF5">
        <w:t>using</w:t>
      </w:r>
      <w:r w:rsidR="00FC2185">
        <w:t xml:space="preserve"> the supervisory slotting approach</w:t>
      </w:r>
      <w:r w:rsidR="00601A3B" w:rsidRPr="00601A3B">
        <w:t xml:space="preserve"> must assign</w:t>
      </w:r>
      <w:r w:rsidR="002F1AF5">
        <w:t xml:space="preserve"> specialised lending</w:t>
      </w:r>
      <w:r w:rsidR="00601A3B" w:rsidRPr="00601A3B">
        <w:t xml:space="preserve"> exposures to its internal rating grades based on its own criteria, systems and processes. The ADI must</w:t>
      </w:r>
      <w:r w:rsidR="007633AA">
        <w:t xml:space="preserve"> </w:t>
      </w:r>
      <w:r>
        <w:t>also</w:t>
      </w:r>
      <w:r w:rsidR="00601A3B" w:rsidRPr="00601A3B">
        <w:t xml:space="preserve"> have a documented process that maps those internal rating grades into the slotting categories of strong, good, satisfactory, weak and default</w:t>
      </w:r>
      <w:r w:rsidR="00C17325">
        <w:t xml:space="preserve"> in a conservative and consistent manner</w:t>
      </w:r>
      <w:r w:rsidR="00601A3B" w:rsidRPr="00601A3B">
        <w:t xml:space="preserve">. </w:t>
      </w:r>
      <w:r w:rsidR="00FC2185">
        <w:t xml:space="preserve">The ADI must ensure that its mapping process results in an alignment of grades </w:t>
      </w:r>
      <w:r w:rsidR="00927737">
        <w:t>that</w:t>
      </w:r>
      <w:r w:rsidR="00FC2185">
        <w:t xml:space="preserve"> is consistent with the criteria </w:t>
      </w:r>
      <w:r>
        <w:t>defining</w:t>
      </w:r>
      <w:r w:rsidR="001D5AED">
        <w:t xml:space="preserve"> the slotting categories </w:t>
      </w:r>
      <w:r w:rsidR="002F3D0A" w:rsidRPr="002F3D0A">
        <w:t xml:space="preserve">as </w:t>
      </w:r>
      <w:r w:rsidR="002F3D0A">
        <w:t xml:space="preserve">detailed in </w:t>
      </w:r>
      <w:r w:rsidR="001D5AED" w:rsidRPr="002F3D0A">
        <w:t xml:space="preserve">Attachment </w:t>
      </w:r>
      <w:r w:rsidR="002F3D0A" w:rsidRPr="002F3D0A">
        <w:t>G</w:t>
      </w:r>
      <w:r w:rsidR="00993B85">
        <w:t xml:space="preserve"> to this Prudential Standard</w:t>
      </w:r>
      <w:r w:rsidR="001D5AED">
        <w:t>.</w:t>
      </w:r>
      <w:r w:rsidR="00927737">
        <w:t xml:space="preserve"> </w:t>
      </w:r>
      <w:r w:rsidR="00601A3B" w:rsidRPr="00601A3B">
        <w:t>The ADI must ensure that overrides of its internal criteria do not render the mapping process ineffective.</w:t>
      </w:r>
    </w:p>
    <w:p w14:paraId="5348B6C1" w14:textId="656929B9" w:rsidR="00601A3B" w:rsidRDefault="00601A3B" w:rsidP="00601A3B">
      <w:pPr>
        <w:pStyle w:val="Heading3"/>
      </w:pPr>
      <w:r>
        <w:lastRenderedPageBreak/>
        <w:t>Rating assignment horizon</w:t>
      </w:r>
    </w:p>
    <w:p w14:paraId="6E8A5071" w14:textId="22137B28" w:rsidR="002248D5" w:rsidRPr="002248D5" w:rsidRDefault="002248D5" w:rsidP="002248D5">
      <w:pPr>
        <w:pStyle w:val="BodyText1"/>
      </w:pPr>
      <w:r w:rsidRPr="002248D5">
        <w:t>Although the time horizon required for</w:t>
      </w:r>
      <w:r w:rsidR="002F3D0A">
        <w:t xml:space="preserve"> PD estimation is one year</w:t>
      </w:r>
      <w:r w:rsidRPr="002248D5">
        <w:t>,</w:t>
      </w:r>
      <w:r w:rsidR="002F3D0A">
        <w:rPr>
          <w:rStyle w:val="FootnoteReference"/>
        </w:rPr>
        <w:footnoteReference w:id="11"/>
      </w:r>
      <w:r w:rsidRPr="002248D5">
        <w:t xml:space="preserve"> an ADI must use a longer time horizon when assigning </w:t>
      </w:r>
      <w:r w:rsidR="00A36A76">
        <w:t xml:space="preserve">borrowers </w:t>
      </w:r>
      <w:r w:rsidR="00C24041">
        <w:t xml:space="preserve">to </w:t>
      </w:r>
      <w:r w:rsidR="00A36A76">
        <w:t>borrower</w:t>
      </w:r>
      <w:r w:rsidRPr="002248D5">
        <w:t xml:space="preserve"> grades</w:t>
      </w:r>
      <w:r w:rsidR="00104F0B">
        <w:t xml:space="preserve"> or</w:t>
      </w:r>
      <w:r w:rsidR="00C24041">
        <w:t xml:space="preserve"> exposures to</w:t>
      </w:r>
      <w:r w:rsidR="00104F0B">
        <w:t xml:space="preserve"> pools</w:t>
      </w:r>
      <w:r w:rsidRPr="002248D5">
        <w:t>.</w:t>
      </w:r>
    </w:p>
    <w:p w14:paraId="4B3CE8A0" w14:textId="0AAFF4B2" w:rsidR="002248D5" w:rsidRPr="002248D5" w:rsidRDefault="00A36A76" w:rsidP="002248D5">
      <w:pPr>
        <w:pStyle w:val="BodyText1"/>
      </w:pPr>
      <w:r>
        <w:t>A borrower</w:t>
      </w:r>
      <w:r w:rsidR="002248D5" w:rsidRPr="002248D5">
        <w:t xml:space="preserve"> grade</w:t>
      </w:r>
      <w:r w:rsidR="00104F0B">
        <w:t xml:space="preserve"> or pool</w:t>
      </w:r>
      <w:r w:rsidR="002248D5" w:rsidRPr="002248D5">
        <w:t xml:space="preserve"> must represent an ADI’s assessment of the </w:t>
      </w:r>
      <w:r>
        <w:t>borrower’s</w:t>
      </w:r>
      <w:r w:rsidRPr="002248D5">
        <w:t xml:space="preserve"> </w:t>
      </w:r>
      <w:r w:rsidR="002248D5" w:rsidRPr="002248D5">
        <w:t xml:space="preserve">ability and willingness to perform contractually despite adverse economic conditions or the occurrence of unexpected events. </w:t>
      </w:r>
      <w:r w:rsidR="006E546B" w:rsidRPr="00F972F2">
        <w:t>The range of economic conditions that are considered when making assessments must be consistent with current conditions and those that are likely to occur over a business cycle within the respective industry or geographic region. Rating systems should be designed in such a way that idiosyncratic or industry-specific changes are a driver of migrations from one category to another, and business cycle effects may also be a driver.</w:t>
      </w:r>
    </w:p>
    <w:p w14:paraId="0972C9AF" w14:textId="633936CB" w:rsidR="001F7EF5" w:rsidRDefault="001F7EF5" w:rsidP="001F7EF5">
      <w:pPr>
        <w:pStyle w:val="BodyText1"/>
      </w:pPr>
      <w:r w:rsidRPr="002248D5">
        <w:t>An ADI’s PD estimates for hedge funds, other highly leveraged financial institutions or borrowers whose assets are predominantly traded assets must reflect the performance of the underlying assets based on pe</w:t>
      </w:r>
      <w:r w:rsidR="00A44731">
        <w:t>riods of stressed volatilities.</w:t>
      </w:r>
      <w:r w:rsidR="00872831">
        <w:t xml:space="preserve"> For this purpose, a highly leveraged financial institution means</w:t>
      </w:r>
      <w:r w:rsidR="00B80AF5">
        <w:t xml:space="preserve"> a financial institution that exhibits the following characteristics:</w:t>
      </w:r>
    </w:p>
    <w:p w14:paraId="1CC98CA2" w14:textId="282560C6" w:rsidR="00B80AF5" w:rsidRDefault="00B80AF5" w:rsidP="00D06136">
      <w:pPr>
        <w:pStyle w:val="BodyText2"/>
      </w:pPr>
      <w:r>
        <w:t>use of investment strategies that are intended to generate returns with low correlation to equity and bond indices, or that involve complex investment structures;</w:t>
      </w:r>
    </w:p>
    <w:p w14:paraId="77202B2D" w14:textId="1A2AE8FA" w:rsidR="00B80AF5" w:rsidRDefault="00B80AF5" w:rsidP="00D06136">
      <w:pPr>
        <w:pStyle w:val="BodyText2"/>
      </w:pPr>
      <w:r>
        <w:t xml:space="preserve">use of high leverage to increase returns; </w:t>
      </w:r>
    </w:p>
    <w:p w14:paraId="27058779" w14:textId="095F840D" w:rsidR="00B80AF5" w:rsidRDefault="00B80AF5" w:rsidP="00D06136">
      <w:pPr>
        <w:pStyle w:val="BodyText2"/>
      </w:pPr>
      <w:r>
        <w:t>use of derivatives for speculative purposes;</w:t>
      </w:r>
    </w:p>
    <w:p w14:paraId="7097C4A3" w14:textId="4B4A9D92" w:rsidR="00B80AF5" w:rsidRDefault="00D06136" w:rsidP="00D06136">
      <w:pPr>
        <w:pStyle w:val="BodyText2"/>
      </w:pPr>
      <w:r>
        <w:t>use of short selling; or</w:t>
      </w:r>
    </w:p>
    <w:p w14:paraId="28CE2BF2" w14:textId="42423F33" w:rsidR="00B80AF5" w:rsidRPr="002248D5" w:rsidRDefault="00D06136" w:rsidP="00D06136">
      <w:pPr>
        <w:pStyle w:val="BodyText2"/>
      </w:pPr>
      <w:r>
        <w:t>a material element of its</w:t>
      </w:r>
      <w:r w:rsidR="00B80AF5">
        <w:t xml:space="preserve"> fees is performance related. </w:t>
      </w:r>
    </w:p>
    <w:p w14:paraId="7AB5196A" w14:textId="04AEB7AB" w:rsidR="002248D5" w:rsidRPr="002248D5" w:rsidRDefault="002248D5" w:rsidP="002248D5">
      <w:pPr>
        <w:pStyle w:val="BodyText1"/>
      </w:pPr>
      <w:r w:rsidRPr="002248D5">
        <w:t xml:space="preserve">Given the difficulties in forecasting future events and the influence </w:t>
      </w:r>
      <w:r w:rsidR="00D96B8B">
        <w:t xml:space="preserve">that </w:t>
      </w:r>
      <w:r w:rsidRPr="002248D5">
        <w:t xml:space="preserve">they could have on a particular </w:t>
      </w:r>
      <w:r w:rsidR="00A36A76">
        <w:t>borrower</w:t>
      </w:r>
      <w:r w:rsidRPr="002248D5">
        <w:t xml:space="preserve">’s financial condition, an ADI must take a conservative view of projected information. </w:t>
      </w:r>
      <w:r w:rsidR="00C00661">
        <w:t>W</w:t>
      </w:r>
      <w:r w:rsidRPr="002248D5">
        <w:t>here limited data are available, the ADI must adopt a conservative bias in its analysis.</w:t>
      </w:r>
    </w:p>
    <w:p w14:paraId="6BA2F3A0" w14:textId="01B6E98B" w:rsidR="00601A3B" w:rsidRDefault="002248D5" w:rsidP="002248D5">
      <w:pPr>
        <w:pStyle w:val="Heading3"/>
      </w:pPr>
      <w:r>
        <w:t>Use of statistical models in the rating process</w:t>
      </w:r>
    </w:p>
    <w:p w14:paraId="7558CAFE" w14:textId="62BB5B7F" w:rsidR="002248D5" w:rsidRPr="002248D5" w:rsidRDefault="002248D5" w:rsidP="002248D5">
      <w:pPr>
        <w:pStyle w:val="BodyText1"/>
      </w:pPr>
      <w:r w:rsidRPr="002248D5">
        <w:t xml:space="preserve">The requirements in </w:t>
      </w:r>
      <w:r w:rsidR="003460EC" w:rsidRPr="002F3D0A">
        <w:t xml:space="preserve">paragraphs </w:t>
      </w:r>
      <w:r w:rsidR="002F3D0A" w:rsidRPr="002F3D0A">
        <w:fldChar w:fldCharType="begin"/>
      </w:r>
      <w:r w:rsidR="002F3D0A" w:rsidRPr="002F3D0A">
        <w:instrText xml:space="preserve"> REF _Ref34387088 \r \h </w:instrText>
      </w:r>
      <w:r w:rsidR="002F3D0A">
        <w:instrText xml:space="preserve"> \* MERGEFORMAT </w:instrText>
      </w:r>
      <w:r w:rsidR="002F3D0A" w:rsidRPr="002F3D0A">
        <w:fldChar w:fldCharType="separate"/>
      </w:r>
      <w:r w:rsidR="00550C88">
        <w:t>30</w:t>
      </w:r>
      <w:r w:rsidR="002F3D0A" w:rsidRPr="002F3D0A">
        <w:fldChar w:fldCharType="end"/>
      </w:r>
      <w:r w:rsidR="002F3D0A" w:rsidRPr="002F3D0A">
        <w:t xml:space="preserve"> to </w:t>
      </w:r>
      <w:r w:rsidR="002F3D0A" w:rsidRPr="002F3D0A">
        <w:fldChar w:fldCharType="begin"/>
      </w:r>
      <w:r w:rsidR="002F3D0A" w:rsidRPr="002F3D0A">
        <w:instrText xml:space="preserve"> REF _Ref34387090 \r \h </w:instrText>
      </w:r>
      <w:r w:rsidR="002F3D0A">
        <w:instrText xml:space="preserve"> \* MERGEFORMAT </w:instrText>
      </w:r>
      <w:r w:rsidR="002F3D0A" w:rsidRPr="002F3D0A">
        <w:fldChar w:fldCharType="separate"/>
      </w:r>
      <w:r w:rsidR="00550C88">
        <w:t>35</w:t>
      </w:r>
      <w:r w:rsidR="002F3D0A" w:rsidRPr="002F3D0A">
        <w:fldChar w:fldCharType="end"/>
      </w:r>
      <w:r w:rsidR="002F3D0A" w:rsidRPr="002F3D0A">
        <w:t xml:space="preserve"> </w:t>
      </w:r>
      <w:r w:rsidR="003460EC" w:rsidRPr="002F3D0A">
        <w:t>of this Attachment</w:t>
      </w:r>
      <w:r w:rsidRPr="002248D5">
        <w:t xml:space="preserve"> apply to statistical models and other mechanical methods used to assign </w:t>
      </w:r>
      <w:r w:rsidR="00A36A76">
        <w:t>borrower</w:t>
      </w:r>
      <w:r w:rsidRPr="002248D5">
        <w:t xml:space="preserve"> or facility grades</w:t>
      </w:r>
      <w:r w:rsidR="00C00661">
        <w:t xml:space="preserve"> </w:t>
      </w:r>
      <w:r w:rsidR="001A0549">
        <w:t>or</w:t>
      </w:r>
      <w:r w:rsidR="00C00661">
        <w:t xml:space="preserve"> pools</w:t>
      </w:r>
      <w:r w:rsidR="001A0549">
        <w:t>,</w:t>
      </w:r>
      <w:r w:rsidRPr="002248D5">
        <w:t xml:space="preserve"> and in the</w:t>
      </w:r>
      <w:r w:rsidR="00A44731">
        <w:t xml:space="preserve"> estimation of PD, LGD and EAD.</w:t>
      </w:r>
    </w:p>
    <w:p w14:paraId="6A70704D" w14:textId="38059EAB" w:rsidR="002248D5" w:rsidRPr="002248D5" w:rsidRDefault="002248D5" w:rsidP="002248D5">
      <w:pPr>
        <w:pStyle w:val="BodyText1"/>
      </w:pPr>
      <w:bookmarkStart w:id="86" w:name="_Ref34387088"/>
      <w:r w:rsidRPr="002248D5">
        <w:t xml:space="preserve">Credit scoring models and other mechanical </w:t>
      </w:r>
      <w:r w:rsidR="009C30ED">
        <w:t>methods</w:t>
      </w:r>
      <w:r w:rsidR="009C30ED" w:rsidRPr="002248D5">
        <w:t xml:space="preserve"> </w:t>
      </w:r>
      <w:r w:rsidRPr="002248D5">
        <w:t xml:space="preserve">are permissible as the primary or partial basis of rating assignments and may play a role in the estimation of </w:t>
      </w:r>
      <w:r w:rsidR="001F309F">
        <w:t>PD, LGD and EAD</w:t>
      </w:r>
      <w:r w:rsidRPr="002248D5">
        <w:t xml:space="preserve"> under the IRB approach. However, </w:t>
      </w:r>
      <w:r w:rsidR="00197EB0">
        <w:t>human</w:t>
      </w:r>
      <w:r w:rsidRPr="002248D5">
        <w:t xml:space="preserve"> judgement and oversight must also be used to ensure that all relevant and material information, including that which is outside the scope of any such </w:t>
      </w:r>
      <w:r w:rsidRPr="002248D5">
        <w:lastRenderedPageBreak/>
        <w:t xml:space="preserve">model or other mechanical </w:t>
      </w:r>
      <w:r w:rsidR="009C30ED">
        <w:t>method</w:t>
      </w:r>
      <w:r w:rsidRPr="002248D5">
        <w:t xml:space="preserve">, is also taken into consideration and that the model or other </w:t>
      </w:r>
      <w:r w:rsidR="009C30ED">
        <w:t>method</w:t>
      </w:r>
      <w:r w:rsidR="009C30ED" w:rsidRPr="002248D5">
        <w:t xml:space="preserve"> </w:t>
      </w:r>
      <w:r w:rsidRPr="002248D5">
        <w:t xml:space="preserve">is used appropriately. An ADI must have written guidance detailing how </w:t>
      </w:r>
      <w:r w:rsidR="00197EB0">
        <w:t xml:space="preserve">human </w:t>
      </w:r>
      <w:r w:rsidRPr="002248D5">
        <w:t>judgement and model results are combined.</w:t>
      </w:r>
      <w:bookmarkEnd w:id="86"/>
    </w:p>
    <w:p w14:paraId="769127E4" w14:textId="521CD04D" w:rsidR="002248D5" w:rsidRPr="002248D5" w:rsidRDefault="002248D5" w:rsidP="002248D5">
      <w:pPr>
        <w:pStyle w:val="BodyText1"/>
      </w:pPr>
      <w:r w:rsidRPr="002248D5">
        <w:t xml:space="preserve">Where an ADI uses a statistical model or other mechanical method in its rating process, the ADI must </w:t>
      </w:r>
      <w:r w:rsidR="009C30ED">
        <w:t>ensure</w:t>
      </w:r>
      <w:r w:rsidRPr="002248D5">
        <w:t xml:space="preserve"> that the model or </w:t>
      </w:r>
      <w:r w:rsidR="001E2EF9">
        <w:t xml:space="preserve">other </w:t>
      </w:r>
      <w:r w:rsidR="009C30ED">
        <w:t>method</w:t>
      </w:r>
      <w:r w:rsidR="009C30ED" w:rsidRPr="002248D5">
        <w:t xml:space="preserve"> </w:t>
      </w:r>
      <w:r w:rsidRPr="002248D5">
        <w:t xml:space="preserve">has good predictive power and that </w:t>
      </w:r>
      <w:r w:rsidR="00C75961">
        <w:t xml:space="preserve">the </w:t>
      </w:r>
      <w:r w:rsidRPr="002248D5">
        <w:t>Regulatory Capital</w:t>
      </w:r>
      <w:r w:rsidR="00C75961">
        <w:t xml:space="preserve"> requirement</w:t>
      </w:r>
      <w:r w:rsidRPr="002248D5">
        <w:t xml:space="preserve"> will not be distorted as a result of its use. The variables that are used in the model or </w:t>
      </w:r>
      <w:r w:rsidR="001E2EF9">
        <w:t xml:space="preserve">other </w:t>
      </w:r>
      <w:r w:rsidR="009C30ED">
        <w:t>method</w:t>
      </w:r>
      <w:r w:rsidR="009C30ED" w:rsidRPr="002248D5">
        <w:t xml:space="preserve"> </w:t>
      </w:r>
      <w:r w:rsidRPr="002248D5">
        <w:t xml:space="preserve">must form a reasonable set of predictors. On average, the model must be accurate across the range of </w:t>
      </w:r>
      <w:r w:rsidR="00A36A76">
        <w:t>borrowers</w:t>
      </w:r>
      <w:r w:rsidRPr="002248D5">
        <w:t xml:space="preserve"> or facilities to which the ADI is exposed</w:t>
      </w:r>
      <w:r w:rsidR="009C30ED">
        <w:t>.</w:t>
      </w:r>
      <w:r w:rsidRPr="002248D5">
        <w:t xml:space="preserve"> </w:t>
      </w:r>
      <w:r w:rsidR="009C30ED">
        <w:t>T</w:t>
      </w:r>
      <w:r w:rsidRPr="002248D5">
        <w:t>here must be no known material biase</w:t>
      </w:r>
      <w:r w:rsidR="00A44731">
        <w:t>s.</w:t>
      </w:r>
    </w:p>
    <w:p w14:paraId="39B44193" w14:textId="37239937" w:rsidR="002248D5" w:rsidRPr="002248D5" w:rsidRDefault="002248D5" w:rsidP="002248D5">
      <w:pPr>
        <w:pStyle w:val="BodyText1"/>
      </w:pPr>
      <w:r w:rsidRPr="002248D5">
        <w:t>An ADI must have in place a process for vetting data inputs into a statistical model</w:t>
      </w:r>
      <w:r w:rsidR="00074D7A">
        <w:t>,</w:t>
      </w:r>
      <w:r w:rsidRPr="002248D5">
        <w:t xml:space="preserve"> which includes an assessment of the accuracy, completeness and appropriateness of the data specific to the assignment of </w:t>
      </w:r>
      <w:r w:rsidR="00A36A76">
        <w:t>a borrower</w:t>
      </w:r>
      <w:r w:rsidRPr="002248D5">
        <w:t xml:space="preserve"> or facility grade</w:t>
      </w:r>
      <w:r w:rsidR="00270AFF">
        <w:t xml:space="preserve"> or pool</w:t>
      </w:r>
      <w:r w:rsidRPr="002248D5">
        <w:t xml:space="preserve">. </w:t>
      </w:r>
    </w:p>
    <w:p w14:paraId="5A637605" w14:textId="6FFBD333" w:rsidR="002248D5" w:rsidRDefault="002248D5" w:rsidP="002248D5">
      <w:pPr>
        <w:pStyle w:val="BodyText1"/>
      </w:pPr>
      <w:r>
        <w:t xml:space="preserve">An ADI must </w:t>
      </w:r>
      <w:r w:rsidR="00270AFF">
        <w:t xml:space="preserve">ensure </w:t>
      </w:r>
      <w:r>
        <w:t xml:space="preserve">that the data used to build its models are representative of the population of the ADI’s </w:t>
      </w:r>
      <w:r w:rsidR="00A36A76">
        <w:t xml:space="preserve">borrowers </w:t>
      </w:r>
      <w:r w:rsidR="0046165C">
        <w:t xml:space="preserve">and </w:t>
      </w:r>
      <w:r>
        <w:t xml:space="preserve">facilities. </w:t>
      </w:r>
    </w:p>
    <w:p w14:paraId="34B3884A" w14:textId="66057C13" w:rsidR="002248D5" w:rsidRDefault="002248D5" w:rsidP="002248D5">
      <w:pPr>
        <w:pStyle w:val="BodyText1"/>
      </w:pPr>
      <w:r>
        <w:t>An ADI must have documented policies and procedures for review</w:t>
      </w:r>
      <w:r w:rsidR="00D96B8B">
        <w:t>ing</w:t>
      </w:r>
      <w:r>
        <w:t xml:space="preserve"> model-based rating assignments. </w:t>
      </w:r>
      <w:r w:rsidR="00074D7A">
        <w:t xml:space="preserve">These policies and </w:t>
      </w:r>
      <w:r>
        <w:t xml:space="preserve">procedures </w:t>
      </w:r>
      <w:r w:rsidR="00074D7A">
        <w:t xml:space="preserve">must </w:t>
      </w:r>
      <w:r>
        <w:t>focus on finding and limiting errors associated with known model weaknesses</w:t>
      </w:r>
      <w:r w:rsidR="00AD53D0">
        <w:t xml:space="preserve">. </w:t>
      </w:r>
      <w:r w:rsidR="001D4989">
        <w:t xml:space="preserve">The </w:t>
      </w:r>
      <w:r w:rsidR="00AD53D0">
        <w:t>ADI</w:t>
      </w:r>
      <w:r>
        <w:t xml:space="preserve"> must </w:t>
      </w:r>
      <w:r w:rsidR="00AD53D0">
        <w:t xml:space="preserve">make </w:t>
      </w:r>
      <w:r>
        <w:t>credible ongoing efforts to improve the model’s performance.</w:t>
      </w:r>
    </w:p>
    <w:p w14:paraId="66805CFE" w14:textId="7735CEFC" w:rsidR="002248D5" w:rsidRDefault="002248D5" w:rsidP="002248D5">
      <w:pPr>
        <w:pStyle w:val="BodyText1"/>
      </w:pPr>
      <w:bookmarkStart w:id="87" w:name="_Ref34387090"/>
      <w:r>
        <w:t xml:space="preserve">An ADI must </w:t>
      </w:r>
      <w:r w:rsidR="00AD53D0">
        <w:t xml:space="preserve">undertake </w:t>
      </w:r>
      <w:r>
        <w:t>a regular cycle of model validation that includes monitoring model performance and stability, review</w:t>
      </w:r>
      <w:r w:rsidR="007A0FF6">
        <w:t>ing</w:t>
      </w:r>
      <w:r>
        <w:t xml:space="preserve"> model relationships and testing model outputs against outcomes.</w:t>
      </w:r>
      <w:bookmarkEnd w:id="87"/>
      <w:r>
        <w:t xml:space="preserve"> </w:t>
      </w:r>
    </w:p>
    <w:p w14:paraId="6B6AF7F2" w14:textId="3086EA09" w:rsidR="002248D5" w:rsidRDefault="002248D5" w:rsidP="002248D5">
      <w:pPr>
        <w:pStyle w:val="Heading3"/>
      </w:pPr>
      <w:r>
        <w:t>Documentation of rating system design</w:t>
      </w:r>
    </w:p>
    <w:p w14:paraId="2507BA1D" w14:textId="1900310C" w:rsidR="002A4E88" w:rsidRDefault="002248D5" w:rsidP="002248D5">
      <w:pPr>
        <w:pStyle w:val="BodyText1"/>
      </w:pPr>
      <w:r w:rsidRPr="002248D5">
        <w:t xml:space="preserve">An ADI must document the design and operational details of its rating systems. </w:t>
      </w:r>
      <w:r w:rsidR="00F1675C">
        <w:t>Documentation must evidence the ADI’s compliance with minimum requirements and address</w:t>
      </w:r>
      <w:r w:rsidR="002A4E88">
        <w:t>:</w:t>
      </w:r>
      <w:r w:rsidR="00F1675C">
        <w:t xml:space="preserve"> </w:t>
      </w:r>
    </w:p>
    <w:p w14:paraId="630E6161" w14:textId="77777777" w:rsidR="002A4E88" w:rsidRDefault="00F1675C" w:rsidP="002A4E88">
      <w:pPr>
        <w:pStyle w:val="BodyText2"/>
      </w:pPr>
      <w:r>
        <w:t>portf</w:t>
      </w:r>
      <w:r w:rsidR="002A4E88">
        <w:t>olio differentiation;</w:t>
      </w:r>
      <w:r>
        <w:t xml:space="preserve"> </w:t>
      </w:r>
    </w:p>
    <w:p w14:paraId="7DE3C30C" w14:textId="77777777" w:rsidR="002A4E88" w:rsidRDefault="002A4E88" w:rsidP="002A4E88">
      <w:pPr>
        <w:pStyle w:val="BodyText2"/>
      </w:pPr>
      <w:r>
        <w:t>rating criteria;</w:t>
      </w:r>
      <w:r w:rsidR="00F1675C">
        <w:t xml:space="preserve"> </w:t>
      </w:r>
    </w:p>
    <w:p w14:paraId="36DA6DBF" w14:textId="15D3F5EA" w:rsidR="002A4E88" w:rsidRDefault="00F1675C" w:rsidP="002A4E88">
      <w:pPr>
        <w:pStyle w:val="BodyText2"/>
      </w:pPr>
      <w:r>
        <w:t xml:space="preserve">responsibilities of parties that assign ratings to </w:t>
      </w:r>
      <w:r w:rsidR="00A36A76">
        <w:t>borrowers</w:t>
      </w:r>
      <w:r>
        <w:t xml:space="preserve"> and facilities</w:t>
      </w:r>
      <w:r w:rsidR="002A4E88">
        <w:t>;</w:t>
      </w:r>
      <w:r>
        <w:t xml:space="preserve"> </w:t>
      </w:r>
    </w:p>
    <w:p w14:paraId="3CB35182" w14:textId="6FC4E35B" w:rsidR="002248D5" w:rsidRDefault="00F1675C" w:rsidP="002A4E88">
      <w:pPr>
        <w:pStyle w:val="BodyText2"/>
      </w:pPr>
      <w:r>
        <w:t xml:space="preserve">the definition of what constitutes a rating </w:t>
      </w:r>
      <w:r w:rsidR="00C75961">
        <w:t>override</w:t>
      </w:r>
      <w:r w:rsidR="002A4E88">
        <w:t xml:space="preserve">; </w:t>
      </w:r>
    </w:p>
    <w:p w14:paraId="494E5EA5" w14:textId="20D028F8" w:rsidR="002A4E88" w:rsidRDefault="002A4E88" w:rsidP="002A4E88">
      <w:pPr>
        <w:pStyle w:val="BodyText2"/>
      </w:pPr>
      <w:r>
        <w:t>parties that have</w:t>
      </w:r>
      <w:r w:rsidR="005D2FBC">
        <w:t xml:space="preserve"> the</w:t>
      </w:r>
      <w:r>
        <w:t xml:space="preserve"> authority to approve </w:t>
      </w:r>
      <w:r w:rsidR="00C75961">
        <w:t>overrides</w:t>
      </w:r>
      <w:r>
        <w:t xml:space="preserve">; </w:t>
      </w:r>
    </w:p>
    <w:p w14:paraId="390A67BD" w14:textId="3A28F608" w:rsidR="002A4E88" w:rsidRDefault="002A4E88" w:rsidP="002A4E88">
      <w:pPr>
        <w:pStyle w:val="BodyText2"/>
      </w:pPr>
      <w:r>
        <w:t>frequency of rating reviews; and</w:t>
      </w:r>
    </w:p>
    <w:p w14:paraId="1848C136" w14:textId="147DA31A" w:rsidR="002A4E88" w:rsidRPr="002248D5" w:rsidRDefault="002A4E88" w:rsidP="002A4E88">
      <w:pPr>
        <w:pStyle w:val="BodyText2"/>
      </w:pPr>
      <w:r>
        <w:t xml:space="preserve">management oversight of the rating process. </w:t>
      </w:r>
    </w:p>
    <w:p w14:paraId="464AAC09" w14:textId="3EE2A313" w:rsidR="002248D5" w:rsidRPr="002248D5" w:rsidRDefault="002248D5" w:rsidP="002248D5">
      <w:pPr>
        <w:pStyle w:val="BodyText1"/>
      </w:pPr>
      <w:r w:rsidRPr="002248D5">
        <w:t xml:space="preserve">An ADI must document the rationale for its choice of internal rating criteria and must be able to provide analysis demonstrating that </w:t>
      </w:r>
      <w:r w:rsidR="004827B8">
        <w:t xml:space="preserve">its </w:t>
      </w:r>
      <w:r w:rsidRPr="002248D5">
        <w:t xml:space="preserve">rating criteria and procedures are likely to result in ratings that meaningfully differentiate risk. </w:t>
      </w:r>
      <w:r w:rsidRPr="002248D5">
        <w:lastRenderedPageBreak/>
        <w:t>These rating criteria and procedures must be periodically reviewed to determine whether they remain fully applicable to the current portfo</w:t>
      </w:r>
      <w:r w:rsidR="00924E81">
        <w:t>lio and to external conditions.</w:t>
      </w:r>
    </w:p>
    <w:p w14:paraId="064A476D" w14:textId="1796F489" w:rsidR="00270AFF" w:rsidRDefault="002248D5" w:rsidP="002248D5">
      <w:pPr>
        <w:pStyle w:val="BodyText1"/>
      </w:pPr>
      <w:r w:rsidRPr="002248D5">
        <w:t xml:space="preserve">An ADI must document the history of major changes in its credit risk rating process and such documentation must support identification of changes made to the rating process. </w:t>
      </w:r>
    </w:p>
    <w:p w14:paraId="39B6BDDF" w14:textId="20E44AE9" w:rsidR="002248D5" w:rsidRPr="002248D5" w:rsidRDefault="002248D5" w:rsidP="002248D5">
      <w:pPr>
        <w:pStyle w:val="BodyText1"/>
      </w:pPr>
      <w:r w:rsidRPr="002248D5">
        <w:t>The organisation of rating assignment, including the internal control structure, must be documented.</w:t>
      </w:r>
    </w:p>
    <w:p w14:paraId="329EDD5E" w14:textId="5504CBC3" w:rsidR="002248D5" w:rsidRPr="002248D5" w:rsidRDefault="002248D5" w:rsidP="002248D5">
      <w:pPr>
        <w:pStyle w:val="BodyText1"/>
      </w:pPr>
      <w:r w:rsidRPr="002248D5">
        <w:t xml:space="preserve">An ADI must document the specific definitions of default and loss that are used internally and </w:t>
      </w:r>
      <w:r w:rsidR="00303D08">
        <w:t>ensure</w:t>
      </w:r>
      <w:r w:rsidR="00303D08" w:rsidRPr="002248D5">
        <w:t xml:space="preserve"> </w:t>
      </w:r>
      <w:r w:rsidRPr="002248D5">
        <w:t xml:space="preserve">consistency with the reference definitions set out in this </w:t>
      </w:r>
      <w:r w:rsidR="00DC3AE1">
        <w:t>Attachment</w:t>
      </w:r>
      <w:r w:rsidRPr="002248D5">
        <w:t>.</w:t>
      </w:r>
    </w:p>
    <w:p w14:paraId="139F3252" w14:textId="77777777" w:rsidR="002248D5" w:rsidRPr="002248D5" w:rsidRDefault="002248D5" w:rsidP="002248D5">
      <w:pPr>
        <w:pStyle w:val="BodyText1"/>
      </w:pPr>
      <w:r w:rsidRPr="002248D5">
        <w:t>Where an ADI employs statistical models in its rating process, it must document its methodologies. This documentation must include:</w:t>
      </w:r>
    </w:p>
    <w:p w14:paraId="5D5A3F17" w14:textId="234BFA5C" w:rsidR="002248D5" w:rsidRPr="002248D5" w:rsidRDefault="002248D5" w:rsidP="002248D5">
      <w:pPr>
        <w:pStyle w:val="BodyText2"/>
      </w:pPr>
      <w:r w:rsidRPr="002248D5">
        <w:t xml:space="preserve">a detailed outline of the theory, assumptions or mathematical and empirical basis of the assignment of estimates to grades, individual </w:t>
      </w:r>
      <w:r w:rsidR="00A36A76">
        <w:t>borrowers</w:t>
      </w:r>
      <w:r w:rsidRPr="002248D5">
        <w:t>, exposures or pools</w:t>
      </w:r>
      <w:r w:rsidR="00F9204B">
        <w:t>,</w:t>
      </w:r>
      <w:r w:rsidRPr="002248D5">
        <w:t xml:space="preserve"> and the data sources used to estimate the model;</w:t>
      </w:r>
    </w:p>
    <w:p w14:paraId="6A33443F" w14:textId="5CF76778" w:rsidR="002248D5" w:rsidRPr="002248D5" w:rsidRDefault="002248D5" w:rsidP="002248D5">
      <w:pPr>
        <w:pStyle w:val="BodyText2"/>
      </w:pPr>
      <w:r w:rsidRPr="002248D5">
        <w:t>detail</w:t>
      </w:r>
      <w:r w:rsidR="00CB0E9F">
        <w:t>s</w:t>
      </w:r>
      <w:r w:rsidRPr="002248D5">
        <w:t xml:space="preserve"> of the statistical process (including out-of-time and out-of-sample performance tests) for validating the model; and</w:t>
      </w:r>
    </w:p>
    <w:p w14:paraId="4BCE1E7F" w14:textId="77777777" w:rsidR="002248D5" w:rsidRPr="002248D5" w:rsidRDefault="002248D5" w:rsidP="002248D5">
      <w:pPr>
        <w:pStyle w:val="BodyText2"/>
      </w:pPr>
      <w:r w:rsidRPr="002248D5">
        <w:t xml:space="preserve">any circumstances under which the model does not work effectively. </w:t>
      </w:r>
    </w:p>
    <w:p w14:paraId="3D74C069" w14:textId="4B05539F" w:rsidR="002248D5" w:rsidRPr="002248D5" w:rsidRDefault="00817424" w:rsidP="002248D5">
      <w:pPr>
        <w:pStyle w:val="BodyText1"/>
      </w:pPr>
      <w:r>
        <w:t>Where an ADI uses</w:t>
      </w:r>
      <w:r w:rsidR="002248D5" w:rsidRPr="002248D5">
        <w:t xml:space="preserve"> a third-party vendor model</w:t>
      </w:r>
      <w:r w:rsidR="00704F83">
        <w:t>,</w:t>
      </w:r>
      <w:r>
        <w:t xml:space="preserve"> </w:t>
      </w:r>
      <w:r w:rsidR="00704F83">
        <w:t>the ADI</w:t>
      </w:r>
      <w:r>
        <w:t xml:space="preserve"> must still comply with all of the requirements detailed in this Attachment, irrespective of any</w:t>
      </w:r>
      <w:r w:rsidR="002248D5" w:rsidRPr="002248D5">
        <w:t xml:space="preserve"> claims </w:t>
      </w:r>
      <w:r>
        <w:t xml:space="preserve">of </w:t>
      </w:r>
      <w:r w:rsidR="002248D5" w:rsidRPr="002248D5">
        <w:t xml:space="preserve">proprietary technology or information </w:t>
      </w:r>
      <w:r>
        <w:t>by the third-party vendor</w:t>
      </w:r>
      <w:r w:rsidR="002248D5" w:rsidRPr="002248D5">
        <w:t>.</w:t>
      </w:r>
    </w:p>
    <w:p w14:paraId="038433B1" w14:textId="1FA4BC2E" w:rsidR="00671F6A" w:rsidRDefault="00671F6A" w:rsidP="00AC511D">
      <w:pPr>
        <w:pStyle w:val="Heading2"/>
      </w:pPr>
      <w:r>
        <w:t>Rating system operations</w:t>
      </w:r>
    </w:p>
    <w:p w14:paraId="39853816" w14:textId="64BA9D12" w:rsidR="00671F6A" w:rsidRDefault="00F65393" w:rsidP="00F65393">
      <w:pPr>
        <w:pStyle w:val="Heading3"/>
      </w:pPr>
      <w:r>
        <w:t>Rating coverage</w:t>
      </w:r>
    </w:p>
    <w:p w14:paraId="006EB3FC" w14:textId="5C66AE24" w:rsidR="00F65393" w:rsidRPr="00F65393" w:rsidRDefault="00F65393" w:rsidP="00F65393">
      <w:pPr>
        <w:pStyle w:val="BodyText1"/>
      </w:pPr>
      <w:r w:rsidRPr="00F65393">
        <w:t xml:space="preserve">For corporate, sovereign and </w:t>
      </w:r>
      <w:r w:rsidR="002235D3">
        <w:t>financial institution</w:t>
      </w:r>
      <w:r w:rsidRPr="00F65393">
        <w:t xml:space="preserve"> </w:t>
      </w:r>
      <w:r w:rsidR="00B405AC">
        <w:t>exposures</w:t>
      </w:r>
      <w:r w:rsidRPr="00F65393">
        <w:t xml:space="preserve">, each </w:t>
      </w:r>
      <w:r w:rsidR="00A36A76">
        <w:t>borrower</w:t>
      </w:r>
      <w:r w:rsidRPr="00F65393">
        <w:t xml:space="preserve"> and eligible guarantor or credit protection provider must be assigned a</w:t>
      </w:r>
      <w:r w:rsidR="00A36A76">
        <w:t xml:space="preserve"> borrower</w:t>
      </w:r>
      <w:r w:rsidRPr="00F65393">
        <w:t xml:space="preserve"> grade and each exposure must be associated with a facility grade as part of the loan approval process. Similarly, for retail </w:t>
      </w:r>
      <w:r w:rsidR="00B405AC">
        <w:t>exposures</w:t>
      </w:r>
      <w:r w:rsidRPr="00F65393">
        <w:t>, each exposure must be assigned to a pool as part of the loan approval process.</w:t>
      </w:r>
    </w:p>
    <w:p w14:paraId="31FB86DE" w14:textId="59F05BDC" w:rsidR="00F65393" w:rsidRPr="00F65393" w:rsidRDefault="00F65393" w:rsidP="00F65393">
      <w:pPr>
        <w:pStyle w:val="BodyText1"/>
      </w:pPr>
      <w:r w:rsidRPr="00F65393">
        <w:t xml:space="preserve">Each separate legal entity to which an ADI is exposed must be separately rated. The ADI must have documented policies regarding the treatment of individual entities in a </w:t>
      </w:r>
      <w:r w:rsidR="00E06EC1" w:rsidRPr="00F65393">
        <w:t xml:space="preserve">connected group, </w:t>
      </w:r>
      <w:r w:rsidRPr="00F65393">
        <w:t xml:space="preserve">including the circumstances under which the same rating may or may not be assigned to some or all related entities. Those policies must include a process </w:t>
      </w:r>
      <w:r w:rsidR="000E5B8D">
        <w:t>to</w:t>
      </w:r>
      <w:r w:rsidRPr="00F65393">
        <w:t xml:space="preserve"> identif</w:t>
      </w:r>
      <w:r w:rsidR="000E5B8D">
        <w:t>y, monitor and control</w:t>
      </w:r>
      <w:r w:rsidRPr="00F65393">
        <w:t xml:space="preserve"> specific wrong-way risk for each legal entity to which the ADI is </w:t>
      </w:r>
      <w:r w:rsidR="00924E81">
        <w:t>exposed.</w:t>
      </w:r>
      <w:r w:rsidR="004926CE">
        <w:rPr>
          <w:rStyle w:val="FootnoteReference"/>
        </w:rPr>
        <w:footnoteReference w:id="12"/>
      </w:r>
      <w:r w:rsidR="00F7613B">
        <w:t xml:space="preserve"> An ADI must treat </w:t>
      </w:r>
      <w:r w:rsidR="00F7613B">
        <w:lastRenderedPageBreak/>
        <w:t>t</w:t>
      </w:r>
      <w:r w:rsidR="00F7613B" w:rsidRPr="00F7613B">
        <w:t xml:space="preserve">ransactions </w:t>
      </w:r>
      <w:r w:rsidR="00F7613B">
        <w:t xml:space="preserve">in which it has identified </w:t>
      </w:r>
      <w:r w:rsidR="00F7613B" w:rsidRPr="00F7613B">
        <w:t>specific wrong way risk differently when calculating EAD</w:t>
      </w:r>
      <w:r w:rsidR="00F7613B">
        <w:t>.</w:t>
      </w:r>
    </w:p>
    <w:p w14:paraId="272C2CAC" w14:textId="4D222037" w:rsidR="00F65393" w:rsidRDefault="00F65393" w:rsidP="00F65393">
      <w:pPr>
        <w:pStyle w:val="Heading3"/>
      </w:pPr>
      <w:r>
        <w:t>Integrity of the rating process</w:t>
      </w:r>
    </w:p>
    <w:p w14:paraId="4E87DC7A" w14:textId="754BB457" w:rsidR="00F65393" w:rsidRDefault="00462EDC" w:rsidP="00F65393">
      <w:pPr>
        <w:pStyle w:val="Heading4"/>
      </w:pPr>
      <w:r>
        <w:t xml:space="preserve">Requirements </w:t>
      </w:r>
      <w:r w:rsidR="00F65393">
        <w:t xml:space="preserve">for corporate, sovereign and </w:t>
      </w:r>
      <w:r w:rsidR="002235D3">
        <w:t>financial institution</w:t>
      </w:r>
      <w:r w:rsidR="00F65393">
        <w:t xml:space="preserve"> </w:t>
      </w:r>
      <w:r w:rsidR="001D0D61">
        <w:t>exposures</w:t>
      </w:r>
    </w:p>
    <w:p w14:paraId="0321FC8F" w14:textId="127DE136" w:rsidR="00F65393" w:rsidRPr="00F65393" w:rsidRDefault="00D1641C" w:rsidP="00F65393">
      <w:pPr>
        <w:pStyle w:val="BodyText1"/>
      </w:pPr>
      <w:r>
        <w:t>Rating</w:t>
      </w:r>
      <w:r w:rsidR="00F65393" w:rsidRPr="00F65393">
        <w:t xml:space="preserve"> assignments and periodic rating reviews must be completed or approved by a party that does not directly stand to benefit from the extension of credit. </w:t>
      </w:r>
      <w:r w:rsidR="002F3475">
        <w:t>An ADI</w:t>
      </w:r>
      <w:r w:rsidR="00757AEA">
        <w:t>’s policies and procedures must document how independence of the rating assignment process is ensured</w:t>
      </w:r>
      <w:r w:rsidR="00F65393" w:rsidRPr="00F65393">
        <w:t xml:space="preserve">. </w:t>
      </w:r>
    </w:p>
    <w:p w14:paraId="49E2AB7A" w14:textId="302F5654" w:rsidR="00F65393" w:rsidRPr="00F65393" w:rsidRDefault="00704F83" w:rsidP="00F65393">
      <w:pPr>
        <w:pStyle w:val="BodyText1"/>
      </w:pPr>
      <w:r>
        <w:t xml:space="preserve">The assignment of </w:t>
      </w:r>
      <w:r w:rsidR="00A36A76">
        <w:t>borrower</w:t>
      </w:r>
      <w:r w:rsidR="00A36A76" w:rsidRPr="00F65393">
        <w:t xml:space="preserve"> </w:t>
      </w:r>
      <w:r w:rsidR="00F65393" w:rsidRPr="00F65393">
        <w:t xml:space="preserve">and facility </w:t>
      </w:r>
      <w:r w:rsidR="004827B8">
        <w:t>ratings</w:t>
      </w:r>
      <w:r w:rsidR="004827B8" w:rsidRPr="00F65393">
        <w:t xml:space="preserve"> </w:t>
      </w:r>
      <w:r w:rsidR="00F65393" w:rsidRPr="00F65393">
        <w:t>must be</w:t>
      </w:r>
      <w:r w:rsidR="003460EC">
        <w:t xml:space="preserve"> reviewed and</w:t>
      </w:r>
      <w:r w:rsidR="00F65393" w:rsidRPr="00F65393">
        <w:t xml:space="preserve"> refreshed on at least an annual basis. Certain exposures, especially higher risk </w:t>
      </w:r>
      <w:r w:rsidR="00A36A76">
        <w:t>borrowers</w:t>
      </w:r>
      <w:r w:rsidR="00A36A76" w:rsidRPr="00F65393">
        <w:t xml:space="preserve"> </w:t>
      </w:r>
      <w:r w:rsidR="00F65393" w:rsidRPr="00F65393">
        <w:t xml:space="preserve">or problem exposures, must be subject to more frequent rating review. In addition, an ADI must initiate a new rating review when material information on the </w:t>
      </w:r>
      <w:r w:rsidR="00A36A76">
        <w:t>borrower</w:t>
      </w:r>
      <w:r w:rsidR="00924E81">
        <w:t xml:space="preserve"> or facility comes to light.</w:t>
      </w:r>
    </w:p>
    <w:p w14:paraId="17D943A3" w14:textId="2CB129A9" w:rsidR="00F65393" w:rsidRPr="00F65393" w:rsidRDefault="00F65393" w:rsidP="00F65393">
      <w:pPr>
        <w:pStyle w:val="BodyText1"/>
      </w:pPr>
      <w:r w:rsidRPr="00F65393">
        <w:t xml:space="preserve">An ADI must have an </w:t>
      </w:r>
      <w:r w:rsidR="0077730F">
        <w:t xml:space="preserve">effective </w:t>
      </w:r>
      <w:r w:rsidRPr="00F65393">
        <w:t xml:space="preserve">process </w:t>
      </w:r>
      <w:r w:rsidR="0077730F">
        <w:t>for</w:t>
      </w:r>
      <w:r w:rsidRPr="00F65393">
        <w:t xml:space="preserve"> obtain</w:t>
      </w:r>
      <w:r w:rsidR="0077730F">
        <w:t>ing</w:t>
      </w:r>
      <w:r w:rsidRPr="00F65393">
        <w:t xml:space="preserve"> and updat</w:t>
      </w:r>
      <w:r w:rsidR="0077730F">
        <w:t>ing</w:t>
      </w:r>
      <w:r w:rsidRPr="00F65393">
        <w:t xml:space="preserve"> relevant and material information on the </w:t>
      </w:r>
      <w:r w:rsidR="00A36A76">
        <w:t>borrower’s</w:t>
      </w:r>
      <w:r w:rsidRPr="00F65393">
        <w:t xml:space="preserve"> financial condition and other characteristics that affect assigned estimates of PD, LGD and EAD. </w:t>
      </w:r>
      <w:r w:rsidR="00A61697">
        <w:t>The</w:t>
      </w:r>
      <w:r w:rsidRPr="00F65393">
        <w:t xml:space="preserve"> ADI must</w:t>
      </w:r>
      <w:r w:rsidR="00A61697">
        <w:t xml:space="preserve"> also</w:t>
      </w:r>
      <w:r w:rsidRPr="00F65393">
        <w:t xml:space="preserve"> have a procedure </w:t>
      </w:r>
      <w:r w:rsidR="00A61697">
        <w:t>for</w:t>
      </w:r>
      <w:r w:rsidR="00A61697" w:rsidRPr="00F65393">
        <w:t xml:space="preserve"> </w:t>
      </w:r>
      <w:r w:rsidRPr="00F65393">
        <w:t>updat</w:t>
      </w:r>
      <w:r w:rsidR="00A61697">
        <w:t>ing</w:t>
      </w:r>
      <w:r w:rsidRPr="00F65393">
        <w:t xml:space="preserve"> </w:t>
      </w:r>
      <w:r w:rsidR="00A36A76">
        <w:t>borrower</w:t>
      </w:r>
      <w:r w:rsidR="00272A55">
        <w:t xml:space="preserve"> and facility</w:t>
      </w:r>
      <w:r w:rsidRPr="00F65393">
        <w:t xml:space="preserve"> ratings in a timely fashion</w:t>
      </w:r>
      <w:r w:rsidR="00A61697">
        <w:t xml:space="preserve"> when relevant information is received</w:t>
      </w:r>
      <w:r w:rsidR="00924E81">
        <w:t>.</w:t>
      </w:r>
    </w:p>
    <w:p w14:paraId="107A8A22" w14:textId="2A368258" w:rsidR="00F65393" w:rsidRDefault="00462EDC" w:rsidP="00F65393">
      <w:pPr>
        <w:pStyle w:val="Heading4"/>
      </w:pPr>
      <w:r>
        <w:t xml:space="preserve">Requirements </w:t>
      </w:r>
      <w:r w:rsidR="00F65393">
        <w:t xml:space="preserve">for retail </w:t>
      </w:r>
      <w:r w:rsidR="001D0D61">
        <w:t>exposures</w:t>
      </w:r>
    </w:p>
    <w:p w14:paraId="5B55EC47" w14:textId="6B67C0BA" w:rsidR="00F65393" w:rsidRDefault="00F65393" w:rsidP="00F65393">
      <w:pPr>
        <w:pStyle w:val="BodyText1"/>
      </w:pPr>
      <w:r w:rsidRPr="00F65393">
        <w:t xml:space="preserve">An ADI must review the loss characteristics and delinquency status of each identified pool on at least an annual basis. This </w:t>
      </w:r>
      <w:r w:rsidR="00D67F9E">
        <w:t>must</w:t>
      </w:r>
      <w:r w:rsidR="00D67F9E" w:rsidRPr="00F65393">
        <w:t xml:space="preserve"> </w:t>
      </w:r>
      <w:r w:rsidRPr="00F65393">
        <w:t xml:space="preserve">include a review of the status of individual </w:t>
      </w:r>
      <w:r w:rsidR="00A36A76">
        <w:t>borrowers</w:t>
      </w:r>
      <w:r w:rsidRPr="00F65393">
        <w:t xml:space="preserve"> within each pool as a means of ensuring that exposures continue to b</w:t>
      </w:r>
      <w:r w:rsidR="00924E81">
        <w:t>e assigned to the correct pool.</w:t>
      </w:r>
    </w:p>
    <w:p w14:paraId="666FFA62" w14:textId="2427D78B" w:rsidR="00F65393" w:rsidRDefault="00F65393" w:rsidP="00F65393">
      <w:pPr>
        <w:pStyle w:val="Heading3"/>
      </w:pPr>
      <w:r>
        <w:t>Overrides</w:t>
      </w:r>
    </w:p>
    <w:p w14:paraId="3047A930" w14:textId="7F039206" w:rsidR="00F65393" w:rsidRPr="00F65393" w:rsidRDefault="00F65393" w:rsidP="00F65393">
      <w:pPr>
        <w:pStyle w:val="BodyText1"/>
      </w:pPr>
      <w:r w:rsidRPr="00F65393">
        <w:t>For rating assignments based on expert judgement, an ADI must clearly document the situations in which officers may override the outputs of the rating process, including how and to what extent such ove</w:t>
      </w:r>
      <w:r w:rsidR="00924E81">
        <w:t>rrides can be made and by whom.</w:t>
      </w:r>
    </w:p>
    <w:p w14:paraId="483269D5" w14:textId="0C57D3AD" w:rsidR="00F65393" w:rsidRPr="00F65393" w:rsidRDefault="00F65393" w:rsidP="00F65393">
      <w:pPr>
        <w:pStyle w:val="BodyText1"/>
      </w:pPr>
      <w:r w:rsidRPr="00F65393">
        <w:t xml:space="preserve">For model-based ratings, an ADI must have guidelines and processes for monitoring cases where </w:t>
      </w:r>
      <w:r w:rsidR="00220558">
        <w:t>human</w:t>
      </w:r>
      <w:r w:rsidRPr="00F65393">
        <w:t xml:space="preserve"> judgement has overridden the model’s rating, variables that were excluded or inputs that were altered. Those guidelines must include identifying personnel who are responsibl</w:t>
      </w:r>
      <w:r w:rsidR="00924E81">
        <w:t>e for approving such overrides.</w:t>
      </w:r>
    </w:p>
    <w:p w14:paraId="5112F096" w14:textId="2A605886" w:rsidR="00F65393" w:rsidRPr="00F65393" w:rsidRDefault="00F65393" w:rsidP="00F65393">
      <w:pPr>
        <w:pStyle w:val="BodyText1"/>
      </w:pPr>
      <w:r w:rsidRPr="00F65393">
        <w:t>An ADI must have systems that identify overrides and separately trac</w:t>
      </w:r>
      <w:r w:rsidR="00924E81">
        <w:t>k their nature and performance.</w:t>
      </w:r>
    </w:p>
    <w:p w14:paraId="7A294DF7" w14:textId="104ECB71" w:rsidR="00F65393" w:rsidRDefault="00F65393" w:rsidP="00F65393">
      <w:pPr>
        <w:pStyle w:val="Heading3"/>
      </w:pPr>
      <w:r>
        <w:t>Data maintenance</w:t>
      </w:r>
    </w:p>
    <w:p w14:paraId="03EB7A15" w14:textId="18D6D9F6" w:rsidR="006B0650" w:rsidRDefault="00462EDC" w:rsidP="00D06136">
      <w:pPr>
        <w:pStyle w:val="Heading4"/>
      </w:pPr>
      <w:r>
        <w:t xml:space="preserve">Requirements </w:t>
      </w:r>
      <w:r w:rsidR="006B0650">
        <w:t>for all exposures</w:t>
      </w:r>
    </w:p>
    <w:p w14:paraId="1EF75BC2" w14:textId="48B3D712" w:rsidR="00F15A3B" w:rsidRDefault="00F15A3B" w:rsidP="00F15A3B">
      <w:pPr>
        <w:pStyle w:val="BodyText1"/>
      </w:pPr>
      <w:r w:rsidRPr="00F15A3B">
        <w:t>An ADI must collect and store data</w:t>
      </w:r>
      <w:r w:rsidR="00F20BDA">
        <w:t>, including</w:t>
      </w:r>
      <w:r w:rsidRPr="00F15A3B">
        <w:t xml:space="preserve"> on key </w:t>
      </w:r>
      <w:r w:rsidR="00A36A76">
        <w:t>borrower</w:t>
      </w:r>
      <w:r w:rsidRPr="00F15A3B">
        <w:t xml:space="preserve"> and facility characteristics</w:t>
      </w:r>
      <w:r w:rsidR="00F20BDA">
        <w:t>,</w:t>
      </w:r>
      <w:r w:rsidRPr="00F15A3B">
        <w:t xml:space="preserve"> </w:t>
      </w:r>
      <w:r w:rsidR="0069462B">
        <w:t xml:space="preserve">of sufficient detail, scope, reliability and consistency </w:t>
      </w:r>
      <w:r w:rsidRPr="00F15A3B">
        <w:t xml:space="preserve">to support its internal credit risk measurement and management processes, enable the ADI </w:t>
      </w:r>
      <w:r w:rsidRPr="00F15A3B">
        <w:lastRenderedPageBreak/>
        <w:t xml:space="preserve">to meet the requirements of this Prudential Standard and serve as a basis for regulatory reporting and the relevant disclosure requirements detailed in </w:t>
      </w:r>
      <w:r w:rsidRPr="00F15A3B">
        <w:rPr>
          <w:i/>
        </w:rPr>
        <w:t>Prudential Standard APS</w:t>
      </w:r>
      <w:r>
        <w:rPr>
          <w:i/>
        </w:rPr>
        <w:t> </w:t>
      </w:r>
      <w:r w:rsidRPr="00F15A3B">
        <w:rPr>
          <w:i/>
        </w:rPr>
        <w:t>330 Public Disclosure</w:t>
      </w:r>
      <w:r w:rsidRPr="00F15A3B">
        <w:t xml:space="preserve">. </w:t>
      </w:r>
      <w:r w:rsidR="00FE414D">
        <w:t xml:space="preserve">The data must </w:t>
      </w:r>
      <w:r w:rsidR="00F20BDA">
        <w:t>be sufficiently detailed</w:t>
      </w:r>
      <w:r w:rsidR="00FE414D">
        <w:t xml:space="preserve"> to facilitate ongoing improvements to the ADI’s </w:t>
      </w:r>
      <w:r w:rsidR="00F20BDA">
        <w:t>rating</w:t>
      </w:r>
      <w:r w:rsidR="00FE414D">
        <w:t xml:space="preserve"> systems and enable retrospective re-rating of </w:t>
      </w:r>
      <w:r w:rsidR="00A36A76">
        <w:t>borrowers</w:t>
      </w:r>
      <w:r w:rsidR="0069462B">
        <w:t xml:space="preserve"> and facilities</w:t>
      </w:r>
      <w:r w:rsidR="00FE414D">
        <w:t xml:space="preserve"> when such improvements are envisaged.</w:t>
      </w:r>
    </w:p>
    <w:p w14:paraId="15F5E43C" w14:textId="4CAB45F1" w:rsidR="00154C3B" w:rsidRPr="0088736B" w:rsidRDefault="00154C3B" w:rsidP="00154C3B">
      <w:pPr>
        <w:pStyle w:val="BodyText1"/>
      </w:pPr>
      <w:r w:rsidRPr="0088736B">
        <w:t xml:space="preserve">Where an ADI sells </w:t>
      </w:r>
      <w:r>
        <w:t>a</w:t>
      </w:r>
      <w:r w:rsidRPr="0088736B">
        <w:t xml:space="preserve"> credit obligation at a material credit-related economic loss, </w:t>
      </w:r>
      <w:r w:rsidR="009F370A">
        <w:t>the ADI must</w:t>
      </w:r>
      <w:r w:rsidRPr="0088736B">
        <w:t>:</w:t>
      </w:r>
    </w:p>
    <w:p w14:paraId="15417E75" w14:textId="24B8786F" w:rsidR="00154C3B" w:rsidRPr="0088736B" w:rsidRDefault="009F370A" w:rsidP="00154C3B">
      <w:pPr>
        <w:pStyle w:val="BodyText2"/>
      </w:pPr>
      <w:r>
        <w:t>maintain</w:t>
      </w:r>
      <w:r w:rsidR="00154C3B" w:rsidRPr="0088736B">
        <w:t xml:space="preserve"> an internal register of these credit obligations;</w:t>
      </w:r>
    </w:p>
    <w:p w14:paraId="0C9D0BE0" w14:textId="154A4C83" w:rsidR="00154C3B" w:rsidRPr="0088736B" w:rsidRDefault="009F370A" w:rsidP="00154C3B">
      <w:pPr>
        <w:pStyle w:val="BodyText2"/>
      </w:pPr>
      <w:r>
        <w:t xml:space="preserve">consider the </w:t>
      </w:r>
      <w:r w:rsidR="00154C3B" w:rsidRPr="0088736B">
        <w:t>data contained in the register in its rating system design and validation processes. The subsequent inclusion in, or exclusion from, those processes of any data contained in the register must be justified by the ADI and must not result in lower LGD estimates; and</w:t>
      </w:r>
    </w:p>
    <w:p w14:paraId="7FDD3AC8" w14:textId="73AB8D74" w:rsidR="00154C3B" w:rsidRPr="0088736B" w:rsidRDefault="009F370A" w:rsidP="00154C3B">
      <w:pPr>
        <w:pStyle w:val="BodyText2"/>
        <w:rPr>
          <w:rFonts w:eastAsia="Times New Roman"/>
        </w:rPr>
      </w:pPr>
      <w:r>
        <w:rPr>
          <w:rFonts w:eastAsia="Times New Roman"/>
        </w:rPr>
        <w:t xml:space="preserve">ensure that </w:t>
      </w:r>
      <w:r w:rsidR="00154C3B" w:rsidRPr="0088736B">
        <w:rPr>
          <w:rFonts w:eastAsia="Times New Roman"/>
        </w:rPr>
        <w:t xml:space="preserve">the creation and use of data contained in the register </w:t>
      </w:r>
      <w:r>
        <w:rPr>
          <w:rFonts w:eastAsia="Times New Roman"/>
        </w:rPr>
        <w:t>is</w:t>
      </w:r>
      <w:r w:rsidR="00154C3B" w:rsidRPr="0088736B">
        <w:rPr>
          <w:rFonts w:eastAsia="Times New Roman"/>
        </w:rPr>
        <w:t xml:space="preserve"> transparent to independent reviewers of the ADI’s rating systems, such as the ADI’s internal or external auditors and APRA.</w:t>
      </w:r>
    </w:p>
    <w:p w14:paraId="70769569" w14:textId="59A81FC6" w:rsidR="00F65393" w:rsidRDefault="00983E08" w:rsidP="00F15A3B">
      <w:pPr>
        <w:pStyle w:val="Heading4"/>
      </w:pPr>
      <w:r>
        <w:t xml:space="preserve">Additional </w:t>
      </w:r>
      <w:r w:rsidR="00462EDC">
        <w:t xml:space="preserve">requirements </w:t>
      </w:r>
      <w:r w:rsidR="00F15A3B">
        <w:t xml:space="preserve">for corporate, sovereign and </w:t>
      </w:r>
      <w:r w:rsidR="002235D3">
        <w:t>financial institution</w:t>
      </w:r>
      <w:r w:rsidR="00F15A3B">
        <w:t xml:space="preserve"> </w:t>
      </w:r>
      <w:r w:rsidR="001D0D61">
        <w:t>exposures</w:t>
      </w:r>
    </w:p>
    <w:p w14:paraId="41FCD40A" w14:textId="1518B781" w:rsidR="00F15A3B" w:rsidRPr="00F15A3B" w:rsidRDefault="00F15A3B" w:rsidP="00F15A3B">
      <w:pPr>
        <w:pStyle w:val="BodyText1"/>
      </w:pPr>
      <w:r w:rsidRPr="00F15A3B">
        <w:t xml:space="preserve">An ADI must </w:t>
      </w:r>
      <w:r w:rsidR="00E06EC1" w:rsidRPr="00F15A3B">
        <w:t xml:space="preserve">maintain rating </w:t>
      </w:r>
      <w:r w:rsidRPr="00F15A3B">
        <w:t xml:space="preserve">histories </w:t>
      </w:r>
      <w:r w:rsidR="009F370A" w:rsidRPr="00F15A3B">
        <w:t>o</w:t>
      </w:r>
      <w:r w:rsidR="009F370A">
        <w:t>f</w:t>
      </w:r>
      <w:r w:rsidR="009F370A" w:rsidRPr="00F15A3B">
        <w:t xml:space="preserve"> </w:t>
      </w:r>
      <w:r w:rsidR="00A36A76">
        <w:t>borrowers</w:t>
      </w:r>
      <w:r w:rsidRPr="00F15A3B">
        <w:t xml:space="preserve"> and eligible guarantors or credit protection providers</w:t>
      </w:r>
      <w:r w:rsidR="000366F0">
        <w:t>,</w:t>
      </w:r>
      <w:r w:rsidRPr="00F15A3B">
        <w:t xml:space="preserve"> including initial</w:t>
      </w:r>
      <w:r w:rsidR="00C30618">
        <w:t xml:space="preserve"> and subsequent</w:t>
      </w:r>
      <w:r w:rsidRPr="00F15A3B">
        <w:t xml:space="preserve"> rating</w:t>
      </w:r>
      <w:r w:rsidR="00C30618">
        <w:t>s</w:t>
      </w:r>
      <w:r w:rsidRPr="00F15A3B">
        <w:t>, the dates th</w:t>
      </w:r>
      <w:r w:rsidR="00264848">
        <w:t>at</w:t>
      </w:r>
      <w:r w:rsidRPr="00F15A3B">
        <w:t xml:space="preserve"> ratings were assigned, the methodology and key data used to derive rating</w:t>
      </w:r>
      <w:r w:rsidR="00C30618">
        <w:t>s</w:t>
      </w:r>
      <w:r w:rsidRPr="00F15A3B">
        <w:t xml:space="preserve"> and the officer responsi</w:t>
      </w:r>
      <w:r w:rsidR="00924E81">
        <w:t>ble for the most recent rating.</w:t>
      </w:r>
    </w:p>
    <w:p w14:paraId="1B5F583B" w14:textId="6D58D691" w:rsidR="00F15A3B" w:rsidRPr="00F15A3B" w:rsidRDefault="00F919B0" w:rsidP="00F15A3B">
      <w:pPr>
        <w:pStyle w:val="BodyText1"/>
      </w:pPr>
      <w:r>
        <w:t>A</w:t>
      </w:r>
      <w:r w:rsidR="00F15A3B" w:rsidRPr="00F15A3B">
        <w:t>n ADI must retain data on PD estimates, rating migration</w:t>
      </w:r>
      <w:r w:rsidR="00C30618">
        <w:t>s</w:t>
      </w:r>
      <w:r w:rsidR="00F15A3B" w:rsidRPr="00F15A3B">
        <w:t xml:space="preserve"> and realised default rates </w:t>
      </w:r>
      <w:r w:rsidR="00924E81">
        <w:t xml:space="preserve">associated with </w:t>
      </w:r>
      <w:r w:rsidR="00A36A76">
        <w:t>borrower</w:t>
      </w:r>
      <w:r w:rsidR="00924E81">
        <w:t xml:space="preserve"> grades.</w:t>
      </w:r>
      <w:r w:rsidR="00E85483">
        <w:t xml:space="preserve"> </w:t>
      </w:r>
    </w:p>
    <w:p w14:paraId="33C885AF" w14:textId="69F95CB2" w:rsidR="00F15A3B" w:rsidRPr="00F15A3B" w:rsidRDefault="00F15A3B" w:rsidP="00F15A3B">
      <w:pPr>
        <w:pStyle w:val="BodyText1"/>
      </w:pPr>
      <w:r w:rsidRPr="00F15A3B">
        <w:t xml:space="preserve">An ADI using the AIRB approach must </w:t>
      </w:r>
      <w:r w:rsidR="006E0969">
        <w:t>maintain</w:t>
      </w:r>
      <w:r w:rsidRPr="00F15A3B">
        <w:t xml:space="preserve"> a history of data on LGD estimates associated with each facility, the methodology and key data used to derive </w:t>
      </w:r>
      <w:r w:rsidR="0069462B">
        <w:t xml:space="preserve">LGD </w:t>
      </w:r>
      <w:r w:rsidRPr="00F15A3B">
        <w:t>estimate</w:t>
      </w:r>
      <w:r w:rsidR="00C30618">
        <w:t>s</w:t>
      </w:r>
      <w:r w:rsidRPr="00F15A3B">
        <w:t>, the officer responsible for the most recent rating</w:t>
      </w:r>
      <w:r w:rsidR="009E536D">
        <w:t>,</w:t>
      </w:r>
      <w:r w:rsidRPr="00F15A3B">
        <w:t xml:space="preserve"> and realised</w:t>
      </w:r>
      <w:r w:rsidR="009E536D">
        <w:t xml:space="preserve"> LGD</w:t>
      </w:r>
      <w:r w:rsidRPr="00F15A3B">
        <w:t xml:space="preserve"> rates associate</w:t>
      </w:r>
      <w:r w:rsidR="00924E81">
        <w:t>d with each defaulted facility.</w:t>
      </w:r>
    </w:p>
    <w:p w14:paraId="2EBD5188" w14:textId="3E4653B3" w:rsidR="00F15A3B" w:rsidRPr="00F15A3B" w:rsidRDefault="00F15A3B" w:rsidP="00F15A3B">
      <w:pPr>
        <w:pStyle w:val="BodyText1"/>
      </w:pPr>
      <w:r w:rsidRPr="00F15A3B">
        <w:t>Where an ADI uses the AIRB approach and reflects the risk</w:t>
      </w:r>
      <w:r w:rsidR="000366F0">
        <w:t>-</w:t>
      </w:r>
      <w:r w:rsidRPr="00F15A3B">
        <w:t xml:space="preserve">mitigating effects of guarantees or credit derivatives through its LGD estimates, it must retain data on the LGD of the facility before and after evaluation of the effects of the </w:t>
      </w:r>
      <w:r w:rsidR="00924E81">
        <w:t>guarantee or credit derivative.</w:t>
      </w:r>
    </w:p>
    <w:p w14:paraId="2FEDA8C5" w14:textId="7B52B0D0" w:rsidR="00F15A3B" w:rsidRDefault="00F02F43" w:rsidP="00F15A3B">
      <w:pPr>
        <w:pStyle w:val="BodyText1"/>
      </w:pPr>
      <w:r>
        <w:t>For each defaulted exposure, a</w:t>
      </w:r>
      <w:r w:rsidRPr="00F15A3B">
        <w:t xml:space="preserve">n </w:t>
      </w:r>
      <w:r w:rsidR="00F87B95">
        <w:t xml:space="preserve">ADI must retain </w:t>
      </w:r>
      <w:r w:rsidR="00F15A3B" w:rsidRPr="00F15A3B">
        <w:t>information about the</w:t>
      </w:r>
      <w:r w:rsidR="00C660FC">
        <w:t xml:space="preserve"> identity of the </w:t>
      </w:r>
      <w:r w:rsidR="00A36A76">
        <w:t>borrower</w:t>
      </w:r>
      <w:r w:rsidR="00C660FC">
        <w:t xml:space="preserve"> and facility, the timing and circumstances of the default, and the</w:t>
      </w:r>
      <w:r w:rsidR="00F15A3B" w:rsidRPr="00F15A3B">
        <w:t xml:space="preserve"> components of loss and recovery</w:t>
      </w:r>
      <w:r>
        <w:t>,</w:t>
      </w:r>
      <w:r w:rsidR="00F15A3B" w:rsidRPr="00F15A3B">
        <w:t xml:space="preserve"> includin</w:t>
      </w:r>
      <w:r w:rsidR="00F87B95">
        <w:t xml:space="preserve">g </w:t>
      </w:r>
      <w:r w:rsidR="00F15A3B" w:rsidRPr="00F15A3B">
        <w:t>amounts and source</w:t>
      </w:r>
      <w:r w:rsidR="00727737">
        <w:t>s</w:t>
      </w:r>
      <w:r w:rsidR="00F15A3B" w:rsidRPr="00F15A3B">
        <w:t xml:space="preserve"> of recoveries (e.g. collateral, liquidation proceeds and guarantees or credit derivatives), timing of cash </w:t>
      </w:r>
      <w:r w:rsidR="00924E81">
        <w:t>flows and administrative costs.</w:t>
      </w:r>
    </w:p>
    <w:p w14:paraId="13231311" w14:textId="75B0761C" w:rsidR="00496347" w:rsidRPr="00F15A3B" w:rsidRDefault="00F919B0" w:rsidP="00F15A3B">
      <w:pPr>
        <w:pStyle w:val="BodyText1"/>
      </w:pPr>
      <w:r>
        <w:t>Where a</w:t>
      </w:r>
      <w:r w:rsidR="00496347">
        <w:t xml:space="preserve">n ADI uses supervisory estimates </w:t>
      </w:r>
      <w:r w:rsidR="00C30618">
        <w:t>for</w:t>
      </w:r>
      <w:r w:rsidR="00496347">
        <w:t xml:space="preserve"> LGD or EAD</w:t>
      </w:r>
      <w:r>
        <w:t>, it</w:t>
      </w:r>
      <w:r w:rsidR="00496347">
        <w:t xml:space="preserve"> must retain </w:t>
      </w:r>
      <w:r w:rsidR="000366F0">
        <w:t xml:space="preserve">sufficient </w:t>
      </w:r>
      <w:r w:rsidR="00496347">
        <w:t xml:space="preserve">data to validate </w:t>
      </w:r>
      <w:r w:rsidR="00B25C64">
        <w:t>th</w:t>
      </w:r>
      <w:r w:rsidR="00496347">
        <w:t>e</w:t>
      </w:r>
      <w:r w:rsidR="00C30618">
        <w:t xml:space="preserve"> supervisory</w:t>
      </w:r>
      <w:r w:rsidR="00924E81">
        <w:t xml:space="preserve"> estimates.</w:t>
      </w:r>
    </w:p>
    <w:p w14:paraId="4B7069A7" w14:textId="04DD0883" w:rsidR="00F15A3B" w:rsidRPr="00F15A3B" w:rsidRDefault="00853D64" w:rsidP="00F15A3B">
      <w:pPr>
        <w:pStyle w:val="BodyText1"/>
      </w:pPr>
      <w:r>
        <w:lastRenderedPageBreak/>
        <w:t>A</w:t>
      </w:r>
      <w:r w:rsidRPr="00F15A3B">
        <w:t xml:space="preserve">n </w:t>
      </w:r>
      <w:r w:rsidR="00F15A3B" w:rsidRPr="00F15A3B">
        <w:t xml:space="preserve">ADI </w:t>
      </w:r>
      <w:r w:rsidR="00D7504C">
        <w:t>must</w:t>
      </w:r>
      <w:r w:rsidR="00F15A3B" w:rsidRPr="00F15A3B">
        <w:t xml:space="preserve"> retain data on realised losses for </w:t>
      </w:r>
      <w:r w:rsidR="006C0927">
        <w:t>specialised lending</w:t>
      </w:r>
      <w:r>
        <w:t xml:space="preserve"> </w:t>
      </w:r>
      <w:r w:rsidR="00F15A3B" w:rsidRPr="00F15A3B">
        <w:t>exposures</w:t>
      </w:r>
      <w:r w:rsidR="009022CD">
        <w:t xml:space="preserve"> subject to the supervisory slotting approach</w:t>
      </w:r>
      <w:r w:rsidR="00F15A3B" w:rsidRPr="00F15A3B">
        <w:t>.</w:t>
      </w:r>
    </w:p>
    <w:p w14:paraId="56725A4D" w14:textId="4B9A5424" w:rsidR="00F15A3B" w:rsidRDefault="00983E08" w:rsidP="00F15A3B">
      <w:pPr>
        <w:pStyle w:val="Heading4"/>
      </w:pPr>
      <w:r>
        <w:t xml:space="preserve">Additional </w:t>
      </w:r>
      <w:r w:rsidR="00462EDC">
        <w:t xml:space="preserve">requirements </w:t>
      </w:r>
      <w:r w:rsidR="00F15A3B">
        <w:t xml:space="preserve">for retail </w:t>
      </w:r>
      <w:r w:rsidR="004B6ECD">
        <w:t>exposures</w:t>
      </w:r>
    </w:p>
    <w:p w14:paraId="184E4EE6" w14:textId="32526E9E" w:rsidR="00F15A3B" w:rsidRPr="00F15A3B" w:rsidRDefault="00F15A3B" w:rsidP="00F15A3B">
      <w:pPr>
        <w:pStyle w:val="BodyText1"/>
      </w:pPr>
      <w:r w:rsidRPr="00F15A3B">
        <w:t xml:space="preserve">An ADI must retain data used in the process of allocating retail exposures to pools. This includes data on </w:t>
      </w:r>
      <w:r w:rsidR="00A36A76">
        <w:t>borrower</w:t>
      </w:r>
      <w:r w:rsidRPr="00F15A3B">
        <w:t xml:space="preserve"> and transaction risk characteristics used either directly or through the use of a model </w:t>
      </w:r>
      <w:r w:rsidR="00924E81">
        <w:t>as well as data on delinquency.</w:t>
      </w:r>
    </w:p>
    <w:p w14:paraId="0F358E99" w14:textId="04BB773E" w:rsidR="00F15A3B" w:rsidRDefault="00F15A3B" w:rsidP="00F15A3B">
      <w:pPr>
        <w:pStyle w:val="BodyText1"/>
      </w:pPr>
      <w:r w:rsidRPr="00F15A3B">
        <w:t>An ADI must retain data on PD, LGD and EAD estimates associated with</w:t>
      </w:r>
      <w:r w:rsidR="00924E81">
        <w:t xml:space="preserve"> its pools of retail exposures.</w:t>
      </w:r>
    </w:p>
    <w:p w14:paraId="26DA309C" w14:textId="6034E908" w:rsidR="00CE7C78" w:rsidRPr="00F15A3B" w:rsidRDefault="00CE7C78" w:rsidP="00F15A3B">
      <w:pPr>
        <w:pStyle w:val="BodyText1"/>
      </w:pPr>
      <w:r>
        <w:t>An ADI must retain data on loss rates in order to allow analysis of the volatility of loss rates</w:t>
      </w:r>
      <w:r w:rsidR="00847771">
        <w:t xml:space="preserve"> for exposures in the QRR asset class compared to other types of retail lending</w:t>
      </w:r>
      <w:r>
        <w:t>.</w:t>
      </w:r>
    </w:p>
    <w:p w14:paraId="232B03FF" w14:textId="3D88C260" w:rsidR="00F919B0" w:rsidRPr="00F15A3B" w:rsidRDefault="00F15A3B" w:rsidP="00F15A3B">
      <w:pPr>
        <w:pStyle w:val="BodyText1"/>
      </w:pPr>
      <w:r w:rsidRPr="00F15A3B">
        <w:t>For defaulted exposures, an ADI must retain data on the pools to which the retail exposure was assigned over the year prior to default and the re</w:t>
      </w:r>
      <w:r w:rsidR="00924E81">
        <w:t>alised outcomes on LGD and EAD.</w:t>
      </w:r>
    </w:p>
    <w:p w14:paraId="76D7DC44" w14:textId="538BC7DC" w:rsidR="00F15A3B" w:rsidRDefault="00B67A39" w:rsidP="00B67A39">
      <w:pPr>
        <w:pStyle w:val="Heading3"/>
      </w:pPr>
      <w:r>
        <w:t>Stress tests in the assessment of capital adequacy</w:t>
      </w:r>
    </w:p>
    <w:p w14:paraId="7C5EA128" w14:textId="371C1737" w:rsidR="000343C4" w:rsidRDefault="00B67A39" w:rsidP="00B67A39">
      <w:pPr>
        <w:pStyle w:val="BodyText1"/>
      </w:pPr>
      <w:r w:rsidRPr="00B67A39">
        <w:t>An ADI must have sound stress testing processes</w:t>
      </w:r>
      <w:r w:rsidR="003A4AB2">
        <w:t xml:space="preserve"> in place</w:t>
      </w:r>
      <w:r w:rsidRPr="00B67A39">
        <w:t xml:space="preserve"> for use in the assessment of its capital adequacy</w:t>
      </w:r>
      <w:r w:rsidR="003A4AB2">
        <w:t>,</w:t>
      </w:r>
      <w:r w:rsidRPr="00B67A39">
        <w:t xml:space="preserve"> including the sufficiency of the IRB capital requirement. Stress testing must include</w:t>
      </w:r>
      <w:r w:rsidR="000343C4">
        <w:t>:</w:t>
      </w:r>
    </w:p>
    <w:p w14:paraId="21640CE2" w14:textId="7500E6E7" w:rsidR="000343C4" w:rsidRDefault="00754BB5" w:rsidP="000343C4">
      <w:pPr>
        <w:pStyle w:val="BodyText2"/>
      </w:pPr>
      <w:r>
        <w:t xml:space="preserve">the </w:t>
      </w:r>
      <w:r w:rsidR="00B67A39" w:rsidRPr="00B67A39">
        <w:t xml:space="preserve">identification of possible events or severe changes in economic conditions that </w:t>
      </w:r>
      <w:r w:rsidR="00571943">
        <w:t>c</w:t>
      </w:r>
      <w:r w:rsidR="00B67A39" w:rsidRPr="00B67A39">
        <w:t>ould have unfavourable effects on the ADI’s credit exposures</w:t>
      </w:r>
      <w:r w:rsidR="000343C4">
        <w:t>;</w:t>
      </w:r>
      <w:r w:rsidR="00B67A39" w:rsidRPr="00B67A39">
        <w:t xml:space="preserve"> and</w:t>
      </w:r>
    </w:p>
    <w:p w14:paraId="63A92CA2" w14:textId="77777777" w:rsidR="000343C4" w:rsidRDefault="000343C4" w:rsidP="000343C4">
      <w:pPr>
        <w:pStyle w:val="BodyText2"/>
      </w:pPr>
      <w:r>
        <w:t>an</w:t>
      </w:r>
      <w:r w:rsidR="00B67A39" w:rsidRPr="00B67A39">
        <w:t xml:space="preserve"> assessment of the ADI’s ability to withstand such events or changes.</w:t>
      </w:r>
    </w:p>
    <w:p w14:paraId="392CABD5" w14:textId="166B2742" w:rsidR="00B67A39" w:rsidRPr="00B67A39" w:rsidRDefault="00EE1DBD" w:rsidP="00B67A39">
      <w:pPr>
        <w:pStyle w:val="BodyText1"/>
      </w:pPr>
      <w:r>
        <w:t>A</w:t>
      </w:r>
      <w:r w:rsidR="00B67A39" w:rsidRPr="00B67A39">
        <w:t xml:space="preserve">n ADI must </w:t>
      </w:r>
      <w:r>
        <w:t xml:space="preserve">also </w:t>
      </w:r>
      <w:r w:rsidR="00B67A39" w:rsidRPr="00B67A39">
        <w:t xml:space="preserve">perform one or more credit risk stress tests to assess the effect of certain conditions on its IRB capital requirement. For this purpose, </w:t>
      </w:r>
      <w:r w:rsidR="004066A5">
        <w:t xml:space="preserve">the </w:t>
      </w:r>
      <w:r w:rsidR="00B67A39" w:rsidRPr="00B67A39">
        <w:t>ADI</w:t>
      </w:r>
      <w:r>
        <w:t xml:space="preserve"> must</w:t>
      </w:r>
      <w:r w:rsidR="006C0927">
        <w:t>,</w:t>
      </w:r>
      <w:r>
        <w:t xml:space="preserve"> at</w:t>
      </w:r>
      <w:r w:rsidR="00BE6F1D">
        <w:t xml:space="preserve"> a</w:t>
      </w:r>
      <w:r>
        <w:t xml:space="preserve"> minimum</w:t>
      </w:r>
      <w:r w:rsidR="00BE6F1D">
        <w:t>,</w:t>
      </w:r>
      <w:r w:rsidR="00B67A39" w:rsidRPr="00B67A39">
        <w:t xml:space="preserve"> consider the effect of mild recession scenarios. The </w:t>
      </w:r>
      <w:r w:rsidR="00754BB5">
        <w:t xml:space="preserve">stress </w:t>
      </w:r>
      <w:r w:rsidR="00B67A39" w:rsidRPr="00B67A39">
        <w:t xml:space="preserve">tests must be meaningful and </w:t>
      </w:r>
      <w:r w:rsidR="00924E81">
        <w:t>conservative.</w:t>
      </w:r>
    </w:p>
    <w:p w14:paraId="21AFC399" w14:textId="06D76627" w:rsidR="00671F6A" w:rsidRDefault="00671F6A" w:rsidP="00AC511D">
      <w:pPr>
        <w:pStyle w:val="Heading2"/>
      </w:pPr>
      <w:r>
        <w:t>Use of internal ratings</w:t>
      </w:r>
    </w:p>
    <w:p w14:paraId="3425E623" w14:textId="47405A68" w:rsidR="003E7453" w:rsidRDefault="003E7453" w:rsidP="003E7453">
      <w:pPr>
        <w:pStyle w:val="BodyText1"/>
      </w:pPr>
      <w:r>
        <w:t>Internal ratings</w:t>
      </w:r>
      <w:r w:rsidR="00863315">
        <w:t xml:space="preserve"> and</w:t>
      </w:r>
      <w:r>
        <w:t xml:space="preserve"> </w:t>
      </w:r>
      <w:r w:rsidR="00863315">
        <w:t>PD, LGD and EAD</w:t>
      </w:r>
      <w:r>
        <w:t xml:space="preserve"> estimates must play an integral role in the credit approval, risk management, internal capital allocation and governance functions of </w:t>
      </w:r>
      <w:r w:rsidR="00863315">
        <w:t xml:space="preserve">an </w:t>
      </w:r>
      <w:r>
        <w:t xml:space="preserve">ADI. Rating systems and estimates designed and implemented exclusively for the purpose of qualifying for </w:t>
      </w:r>
      <w:r w:rsidR="0017732E">
        <w:t xml:space="preserve">an </w:t>
      </w:r>
      <w:r>
        <w:t xml:space="preserve">IRB approach and used only to provide IRB inputs are not acceptable. </w:t>
      </w:r>
    </w:p>
    <w:p w14:paraId="28E90306" w14:textId="6D1FA7B9" w:rsidR="00361639" w:rsidRDefault="00361639" w:rsidP="003E7453">
      <w:pPr>
        <w:pStyle w:val="BodyText1"/>
      </w:pPr>
      <w:r>
        <w:t>Where there are differences between the credit risk estimates used by an ADI for Regulatory Capital and internal purposes, the ADI must:</w:t>
      </w:r>
    </w:p>
    <w:p w14:paraId="363E6984" w14:textId="16479D8D" w:rsidR="000805AE" w:rsidRDefault="00361639" w:rsidP="00361639">
      <w:pPr>
        <w:pStyle w:val="BodyText2"/>
      </w:pPr>
      <w:r>
        <w:t xml:space="preserve">ensure that the </w:t>
      </w:r>
      <w:r w:rsidR="003E7453">
        <w:t xml:space="preserve">data sources and methodologies utilised for determining </w:t>
      </w:r>
      <w:r w:rsidR="0017732E">
        <w:t xml:space="preserve">its </w:t>
      </w:r>
      <w:r w:rsidR="003E7453">
        <w:t xml:space="preserve">internal credit risk estimates </w:t>
      </w:r>
      <w:r w:rsidR="000805AE">
        <w:t xml:space="preserve">are </w:t>
      </w:r>
      <w:r w:rsidR="003E7453">
        <w:t xml:space="preserve">consistent with the estimates used to determine the </w:t>
      </w:r>
      <w:r w:rsidR="0017732E">
        <w:t>Regulatory C</w:t>
      </w:r>
      <w:r w:rsidR="003E7453">
        <w:t>apital requirement</w:t>
      </w:r>
      <w:r w:rsidR="000805AE">
        <w:t>; and</w:t>
      </w:r>
      <w:r w:rsidR="003E7453">
        <w:t xml:space="preserve"> </w:t>
      </w:r>
    </w:p>
    <w:p w14:paraId="2CFAA5A8" w14:textId="0C1CF37B" w:rsidR="003E7453" w:rsidRDefault="003E7453" w:rsidP="00361639">
      <w:pPr>
        <w:pStyle w:val="BodyText2"/>
      </w:pPr>
      <w:r>
        <w:lastRenderedPageBreak/>
        <w:t>be able to justify, to APRA’s satisfaction, the reasonableness of those differences.</w:t>
      </w:r>
    </w:p>
    <w:p w14:paraId="6EEF7608" w14:textId="513AC82A" w:rsidR="00671F6A" w:rsidRDefault="00671F6A" w:rsidP="00AC511D">
      <w:pPr>
        <w:pStyle w:val="Heading2"/>
      </w:pPr>
      <w:r>
        <w:t>Risk quantification</w:t>
      </w:r>
    </w:p>
    <w:p w14:paraId="3372ABEF" w14:textId="5F49599B" w:rsidR="00671F6A" w:rsidRDefault="009778B4" w:rsidP="009778B4">
      <w:pPr>
        <w:pStyle w:val="Heading3"/>
      </w:pPr>
      <w:r>
        <w:t>Overall requirements for estimation</w:t>
      </w:r>
    </w:p>
    <w:p w14:paraId="0A38E4E0" w14:textId="5CA7A6E6" w:rsidR="009778B4" w:rsidRPr="009778B4" w:rsidRDefault="009778B4" w:rsidP="009778B4">
      <w:pPr>
        <w:pStyle w:val="BodyText1"/>
      </w:pPr>
      <w:r w:rsidRPr="009778B4">
        <w:t>Internal estimates of PD, LGD and EAD must be reviewed on at least an annual basis and incorporate all relevant, material and available data and other information. In determining these estimates, an ADI may utilise internal data and relevant data from external sources (includi</w:t>
      </w:r>
      <w:r w:rsidR="004A4D66">
        <w:t>ng pooled data).</w:t>
      </w:r>
    </w:p>
    <w:p w14:paraId="6E8544EB" w14:textId="667C2865" w:rsidR="00EC0FE6" w:rsidRDefault="00EC0FE6" w:rsidP="00EC0FE6">
      <w:pPr>
        <w:pStyle w:val="BodyText1"/>
      </w:pPr>
      <w:r>
        <w:t>Estimates must be grounded in historical experience and empirical evidence</w:t>
      </w:r>
      <w:r w:rsidR="001B0A52">
        <w:t>,</w:t>
      </w:r>
      <w:r>
        <w:t xml:space="preserve"> and not based purely on subjective considerations. Changes in an ADI’s lending and collection practices over the observation period must be taken into account. </w:t>
      </w:r>
      <w:r w:rsidR="00582B52">
        <w:t xml:space="preserve">Estimates must be forward looking and responsive to changes in credit quality ahead of loss experience rather than lag such experience. </w:t>
      </w:r>
      <w:r>
        <w:t xml:space="preserve">The ADI’s estimates must reflect the implications of </w:t>
      </w:r>
      <w:r w:rsidR="00852D5F">
        <w:t>technical advances</w:t>
      </w:r>
      <w:r w:rsidR="00670F0D">
        <w:t>,</w:t>
      </w:r>
      <w:r w:rsidR="00852D5F">
        <w:t xml:space="preserve"> </w:t>
      </w:r>
      <w:r>
        <w:t>new data and other information as it becomes available. Where industry estimation practices evolve and improve over time, the ADI should consider these developments in assessing its own practices.</w:t>
      </w:r>
    </w:p>
    <w:p w14:paraId="09B1F0AC" w14:textId="43585169" w:rsidR="00EC0FE6" w:rsidRDefault="00EC0FE6" w:rsidP="00EC0FE6">
      <w:pPr>
        <w:pStyle w:val="BodyText1"/>
      </w:pPr>
      <w:r>
        <w:t>In order to avoid over-optimism</w:t>
      </w:r>
      <w:r w:rsidR="001B0A52">
        <w:t xml:space="preserve"> in PD, LGD and EAD estimates</w:t>
      </w:r>
      <w:r>
        <w:t xml:space="preserve">, an ADI must add a margin of conservatism to its estimates that </w:t>
      </w:r>
      <w:r w:rsidR="00B549ED">
        <w:t>reflects</w:t>
      </w:r>
      <w:r>
        <w:t xml:space="preserve"> the likely range of errors. Where methods and data are less satisfactory and the likely range of errors is larger, the margin </w:t>
      </w:r>
      <w:r w:rsidR="004A4D66">
        <w:t>of conservatism must be larger.</w:t>
      </w:r>
    </w:p>
    <w:p w14:paraId="580BFF2E" w14:textId="72AF43B3" w:rsidR="009778B4" w:rsidRDefault="00EC0FE6" w:rsidP="00EC0FE6">
      <w:pPr>
        <w:pStyle w:val="Heading3"/>
      </w:pPr>
      <w:r>
        <w:t>Definition of default</w:t>
      </w:r>
    </w:p>
    <w:p w14:paraId="528BCD83" w14:textId="29E4BB7D" w:rsidR="000B0C6E" w:rsidRDefault="00EC0FE6" w:rsidP="00345AA7">
      <w:pPr>
        <w:pStyle w:val="BodyText1"/>
      </w:pPr>
      <w:r w:rsidRPr="00EC0FE6">
        <w:t xml:space="preserve">An ADI must record actual defaults using the reference definition of default detailed in </w:t>
      </w:r>
      <w:r w:rsidR="00345AA7">
        <w:t>APS 220</w:t>
      </w:r>
      <w:r w:rsidRPr="00EC0FE6">
        <w:t>.</w:t>
      </w:r>
      <w:r w:rsidR="00087F26">
        <w:rPr>
          <w:rStyle w:val="FootnoteReference"/>
        </w:rPr>
        <w:footnoteReference w:id="13"/>
      </w:r>
      <w:r w:rsidRPr="00EC0FE6">
        <w:t xml:space="preserve"> The ADI must also use the reference definition of default for </w:t>
      </w:r>
      <w:r w:rsidR="00B951DC">
        <w:t>the estimation of</w:t>
      </w:r>
      <w:r w:rsidR="00B951DC" w:rsidRPr="00EC0FE6">
        <w:t xml:space="preserve"> </w:t>
      </w:r>
      <w:r w:rsidRPr="00EC0FE6">
        <w:t xml:space="preserve">PD and, where relevant, LGD and EAD (though this does not preclude the possibility of materiality considerations entering into the estimation process). In arriving at its estimates, the ADI may use external data that are not consistent with </w:t>
      </w:r>
      <w:r w:rsidR="00224521">
        <w:t>the reference</w:t>
      </w:r>
      <w:r w:rsidR="00224521" w:rsidRPr="00EC0FE6">
        <w:t xml:space="preserve"> </w:t>
      </w:r>
      <w:r w:rsidRPr="00EC0FE6">
        <w:t>definition</w:t>
      </w:r>
      <w:r w:rsidR="00224521">
        <w:t xml:space="preserve"> of default</w:t>
      </w:r>
      <w:r w:rsidRPr="00EC0FE6">
        <w:t xml:space="preserve"> provided it makes appropriate adjustments to the data to achieve broad equivalence with the reference definition. This same </w:t>
      </w:r>
      <w:r w:rsidR="00462EDC">
        <w:t>requirement</w:t>
      </w:r>
      <w:r w:rsidR="00462EDC" w:rsidRPr="00EC0FE6">
        <w:t xml:space="preserve"> </w:t>
      </w:r>
      <w:r w:rsidR="00351873">
        <w:t>also</w:t>
      </w:r>
      <w:r w:rsidR="00351873" w:rsidRPr="00EC0FE6">
        <w:t xml:space="preserve"> </w:t>
      </w:r>
      <w:r w:rsidRPr="00EC0FE6">
        <w:t>appl</w:t>
      </w:r>
      <w:r w:rsidR="00351873">
        <w:t>ies</w:t>
      </w:r>
      <w:r w:rsidRPr="00EC0FE6">
        <w:t xml:space="preserve"> to any internal data collected prior to 1 January 2008. Internal data (including that pooled by a number of ADIs) collected subsequent to 1 January 2008 must be consistent with the r</w:t>
      </w:r>
      <w:r w:rsidR="004A4D66">
        <w:t>eference definition of default.</w:t>
      </w:r>
    </w:p>
    <w:p w14:paraId="3C06F9F0" w14:textId="54246963" w:rsidR="00EC0FE6" w:rsidRDefault="003931C2" w:rsidP="003931C2">
      <w:pPr>
        <w:pStyle w:val="Heading3"/>
      </w:pPr>
      <w:r>
        <w:t>Re-aging</w:t>
      </w:r>
    </w:p>
    <w:p w14:paraId="00D5FB77" w14:textId="4ACA0C0A" w:rsidR="003931C2" w:rsidRPr="003931C2" w:rsidRDefault="003931C2" w:rsidP="003931C2">
      <w:pPr>
        <w:pStyle w:val="BodyText1"/>
      </w:pPr>
      <w:r w:rsidRPr="003931C2">
        <w:t xml:space="preserve">An ADI must have clearly documented policies in respect of the counting of days past due and, in particular, in respect of the re-aging of facilities and the granting of extensions, deferrals, renewals and rewrites to existing accounts. </w:t>
      </w:r>
      <w:r w:rsidR="00BE59AF">
        <w:t>W</w:t>
      </w:r>
      <w:r w:rsidRPr="003931C2">
        <w:t xml:space="preserve">here the ADI treats a re-aged exposure in a similar fashion to other exposures </w:t>
      </w:r>
      <w:r w:rsidRPr="003931C2">
        <w:lastRenderedPageBreak/>
        <w:t>that are considered to be in default, that exposure must be recorded as defaulted for Regulatory Capital purposes.</w:t>
      </w:r>
    </w:p>
    <w:p w14:paraId="48C9FC79" w14:textId="5543FFE8" w:rsidR="003931C2" w:rsidRDefault="00D06F9D" w:rsidP="00D06F9D">
      <w:pPr>
        <w:pStyle w:val="Heading3"/>
      </w:pPr>
      <w:r>
        <w:t xml:space="preserve">Risk quantification requirements specific to </w:t>
      </w:r>
      <w:r w:rsidR="00DA4EB3">
        <w:t xml:space="preserve">probability of default </w:t>
      </w:r>
      <w:r>
        <w:t>estimation</w:t>
      </w:r>
    </w:p>
    <w:p w14:paraId="14E8F717" w14:textId="6B08933F" w:rsidR="00983E08" w:rsidRDefault="00462EDC" w:rsidP="00C708E3">
      <w:pPr>
        <w:pStyle w:val="Heading4"/>
      </w:pPr>
      <w:r>
        <w:t xml:space="preserve">Requirements </w:t>
      </w:r>
      <w:r w:rsidR="00983E08">
        <w:t>for all exposures</w:t>
      </w:r>
    </w:p>
    <w:p w14:paraId="1B360854" w14:textId="1E2A4434" w:rsidR="004B39B3" w:rsidRPr="009778B4" w:rsidRDefault="004B39B3" w:rsidP="004B39B3">
      <w:pPr>
        <w:pStyle w:val="BodyText1"/>
      </w:pPr>
      <w:r>
        <w:t xml:space="preserve">An ADI must estimate PD </w:t>
      </w:r>
      <w:r w:rsidRPr="009778B4">
        <w:t xml:space="preserve">for each internal </w:t>
      </w:r>
      <w:r w:rsidR="00E64B78">
        <w:t>borrower</w:t>
      </w:r>
      <w:r w:rsidR="00E64B78" w:rsidRPr="009778B4">
        <w:t xml:space="preserve"> </w:t>
      </w:r>
      <w:r w:rsidRPr="009778B4">
        <w:t xml:space="preserve">grade for corporate, sovereign and </w:t>
      </w:r>
      <w:r>
        <w:t>financial institution</w:t>
      </w:r>
      <w:r w:rsidRPr="009778B4">
        <w:t xml:space="preserve"> exposures and for each pool of retail exposures.</w:t>
      </w:r>
      <w:r>
        <w:rPr>
          <w:rStyle w:val="FootnoteReference"/>
        </w:rPr>
        <w:footnoteReference w:id="14"/>
      </w:r>
      <w:r w:rsidRPr="009778B4">
        <w:t xml:space="preserve"> </w:t>
      </w:r>
    </w:p>
    <w:p w14:paraId="02EA39DD" w14:textId="7A05F2AC" w:rsidR="004B39B3" w:rsidRDefault="004B39B3" w:rsidP="004B39B3">
      <w:pPr>
        <w:pStyle w:val="BodyText1"/>
      </w:pPr>
      <w:bookmarkStart w:id="88" w:name="_Ref34386953"/>
      <w:r w:rsidRPr="009778B4">
        <w:t xml:space="preserve">PD estimates must be calibrated to a long-run average of one-year default rates (one-year PD) for </w:t>
      </w:r>
      <w:r w:rsidR="00E64B78">
        <w:t>borrowers</w:t>
      </w:r>
      <w:r w:rsidRPr="009778B4">
        <w:t xml:space="preserve"> in each </w:t>
      </w:r>
      <w:r w:rsidR="00E64B78">
        <w:t>borrower</w:t>
      </w:r>
      <w:r w:rsidRPr="009778B4">
        <w:t xml:space="preserve"> grade</w:t>
      </w:r>
      <w:r>
        <w:t xml:space="preserve"> and </w:t>
      </w:r>
      <w:r w:rsidR="004A73A9">
        <w:t xml:space="preserve">for </w:t>
      </w:r>
      <w:r>
        <w:t>exposures in each pool</w:t>
      </w:r>
      <w:r w:rsidR="004A4D66">
        <w:t>.</w:t>
      </w:r>
      <w:bookmarkEnd w:id="88"/>
    </w:p>
    <w:p w14:paraId="60DC0D61" w14:textId="01DCA7CB" w:rsidR="00CF1D92" w:rsidRDefault="00CF1D92" w:rsidP="004B39B3">
      <w:pPr>
        <w:pStyle w:val="BodyText1"/>
      </w:pPr>
      <w:r>
        <w:t xml:space="preserve">An ADI must estimate PD for each </w:t>
      </w:r>
      <w:r w:rsidR="00E64B78">
        <w:t>borrower</w:t>
      </w:r>
      <w:r>
        <w:t xml:space="preserve"> grade or pool based on the observed historical one-year default rate that is calculated as a simple average based on the number of </w:t>
      </w:r>
      <w:r w:rsidR="00E64B78">
        <w:t>borrowers</w:t>
      </w:r>
      <w:r>
        <w:t xml:space="preserve"> or facilities (that is, count weighted). Weighting approaches such as EAD weighting are not permitted.</w:t>
      </w:r>
    </w:p>
    <w:p w14:paraId="536F607F" w14:textId="465968F1" w:rsidR="00DE4C76" w:rsidRPr="00D06F9D" w:rsidRDefault="00DE4C76" w:rsidP="00DE4C76">
      <w:pPr>
        <w:pStyle w:val="BodyText1"/>
      </w:pPr>
      <w:r>
        <w:t>T</w:t>
      </w:r>
      <w:r w:rsidRPr="00D06F9D">
        <w:t xml:space="preserve">he length of the underlying historical observation period used </w:t>
      </w:r>
      <w:r>
        <w:t>for the estimation</w:t>
      </w:r>
      <w:r w:rsidRPr="00D06F9D">
        <w:t xml:space="preserve"> </w:t>
      </w:r>
      <w:r>
        <w:t xml:space="preserve">of PD </w:t>
      </w:r>
      <w:r w:rsidRPr="00D06F9D">
        <w:t>must be at least five years</w:t>
      </w:r>
      <w:r w:rsidR="00276425">
        <w:t xml:space="preserve"> for at least one data source</w:t>
      </w:r>
      <w:r w:rsidRPr="00D06F9D">
        <w:t>. If the available observations from any source span a longer period, and the data are relevant, this longer period must be used.</w:t>
      </w:r>
      <w:r>
        <w:t xml:space="preserve"> The data should include a representative mix of good and bad years of the economic cycle relevant for the portfolio.</w:t>
      </w:r>
    </w:p>
    <w:p w14:paraId="29053333" w14:textId="13B371F4" w:rsidR="00D06F9D" w:rsidRDefault="00F6334F" w:rsidP="00D06F9D">
      <w:pPr>
        <w:pStyle w:val="Heading4"/>
      </w:pPr>
      <w:r>
        <w:t xml:space="preserve">Additional </w:t>
      </w:r>
      <w:r w:rsidR="00462EDC">
        <w:t xml:space="preserve">requirements </w:t>
      </w:r>
      <w:r w:rsidR="00D06F9D">
        <w:t xml:space="preserve">for corporate, sovereign and </w:t>
      </w:r>
      <w:r w:rsidR="002235D3">
        <w:t>financial institution</w:t>
      </w:r>
      <w:r w:rsidR="00D06F9D">
        <w:t xml:space="preserve"> </w:t>
      </w:r>
      <w:r w:rsidR="00BB1701">
        <w:t>exposures</w:t>
      </w:r>
    </w:p>
    <w:p w14:paraId="067E690C" w14:textId="026760CF" w:rsidR="00D06F9D" w:rsidRPr="00D06F9D" w:rsidRDefault="00D06F9D" w:rsidP="00D06F9D">
      <w:pPr>
        <w:pStyle w:val="BodyText1"/>
      </w:pPr>
      <w:r w:rsidRPr="00D06F9D">
        <w:t xml:space="preserve">When estimating PD for each </w:t>
      </w:r>
      <w:r w:rsidR="00E64B78">
        <w:t>borrower</w:t>
      </w:r>
      <w:r w:rsidRPr="00D06F9D">
        <w:t xml:space="preserve"> grade, an ADI must use information and techniques that take appropriate account of long-run experience.</w:t>
      </w:r>
      <w:r w:rsidR="0029690A">
        <w:t xml:space="preserve"> These techniques</w:t>
      </w:r>
      <w:r w:rsidR="00471E19">
        <w:t xml:space="preserve"> may </w:t>
      </w:r>
      <w:r w:rsidR="0029690A">
        <w:t>include the use of internal default experience, mapping to external data and statistical models.</w:t>
      </w:r>
      <w:r w:rsidRPr="00D06F9D">
        <w:t xml:space="preserve"> The ADI may have a primary PD estimation technique and use other</w:t>
      </w:r>
      <w:r w:rsidR="00983E08">
        <w:t xml:space="preserve"> technique</w:t>
      </w:r>
      <w:r w:rsidRPr="00D06F9D">
        <w:t xml:space="preserve">s as a point of comparison and potential adjustment. The mechanical application of a technique without supporting analysis is not sufficient. </w:t>
      </w:r>
      <w:r w:rsidR="004066A5">
        <w:t>The</w:t>
      </w:r>
      <w:r w:rsidR="004066A5" w:rsidRPr="00D06F9D">
        <w:t xml:space="preserve"> </w:t>
      </w:r>
      <w:r w:rsidRPr="00D06F9D">
        <w:t>ADI must recognise the importance of judg</w:t>
      </w:r>
      <w:r w:rsidR="00BB1701">
        <w:t>e</w:t>
      </w:r>
      <w:r w:rsidRPr="00D06F9D">
        <w:t>mental considerations in combining the results of techniques and in making adjustments for limitations of techniques and information.</w:t>
      </w:r>
    </w:p>
    <w:p w14:paraId="581858E8" w14:textId="291B3BA3" w:rsidR="00D06F9D" w:rsidRDefault="00F6334F" w:rsidP="00D06F9D">
      <w:pPr>
        <w:pStyle w:val="Heading4"/>
      </w:pPr>
      <w:r>
        <w:t xml:space="preserve">Additional </w:t>
      </w:r>
      <w:r w:rsidR="00462EDC">
        <w:t xml:space="preserve">requirements </w:t>
      </w:r>
      <w:r w:rsidR="00D06F9D">
        <w:t xml:space="preserve">for retail </w:t>
      </w:r>
      <w:r w:rsidR="007069D5">
        <w:t>exposures</w:t>
      </w:r>
    </w:p>
    <w:p w14:paraId="0DA7BA60" w14:textId="2894C42C" w:rsidR="00D06F9D" w:rsidRPr="00D06F9D" w:rsidRDefault="001C3982" w:rsidP="00D06F9D">
      <w:pPr>
        <w:pStyle w:val="BodyText1"/>
      </w:pPr>
      <w:r>
        <w:t>An</w:t>
      </w:r>
      <w:r w:rsidRPr="00D06F9D">
        <w:t xml:space="preserve"> </w:t>
      </w:r>
      <w:r w:rsidR="00D06F9D" w:rsidRPr="00D06F9D">
        <w:t>ADI must</w:t>
      </w:r>
      <w:r w:rsidR="00DD45BF">
        <w:t xml:space="preserve"> use</w:t>
      </w:r>
      <w:r w:rsidR="00D06F9D" w:rsidRPr="00D06F9D">
        <w:t xml:space="preserve"> internal data as the primary source of information for estimating </w:t>
      </w:r>
      <w:r>
        <w:t>PD</w:t>
      </w:r>
      <w:r w:rsidR="00D06F9D" w:rsidRPr="00D06F9D">
        <w:t xml:space="preserve"> for retail exposures. The ADI may use </w:t>
      </w:r>
      <w:r w:rsidR="00D20D96" w:rsidRPr="00D06F9D">
        <w:t xml:space="preserve">other </w:t>
      </w:r>
      <w:r w:rsidR="00DD45BF">
        <w:t>data sources</w:t>
      </w:r>
      <w:r w:rsidR="00DD45BF" w:rsidRPr="00D06F9D">
        <w:t xml:space="preserve"> </w:t>
      </w:r>
      <w:r w:rsidR="00D06F9D" w:rsidRPr="00D06F9D">
        <w:t>for PD quantification provided a strong link can be demonstrated between</w:t>
      </w:r>
      <w:r w:rsidR="00F35E0D">
        <w:t xml:space="preserve"> its</w:t>
      </w:r>
      <w:r w:rsidR="00D06F9D" w:rsidRPr="00D06F9D">
        <w:t>:</w:t>
      </w:r>
    </w:p>
    <w:p w14:paraId="76A5BDA1" w14:textId="489194A4" w:rsidR="00D06F9D" w:rsidRPr="00D06F9D" w:rsidRDefault="00D06F9D" w:rsidP="00D06F9D">
      <w:pPr>
        <w:pStyle w:val="BodyText2"/>
      </w:pPr>
      <w:r w:rsidRPr="00D06F9D">
        <w:t>process of assigning retail exposures to a pool and the process use</w:t>
      </w:r>
      <w:r w:rsidR="00251C4F">
        <w:t>d by the other data source; and</w:t>
      </w:r>
    </w:p>
    <w:p w14:paraId="4F68B1A3" w14:textId="24BBA270" w:rsidR="00D06F9D" w:rsidRPr="00D06F9D" w:rsidRDefault="00D06F9D" w:rsidP="00D06F9D">
      <w:pPr>
        <w:pStyle w:val="BodyText2"/>
      </w:pPr>
      <w:r w:rsidRPr="00D06F9D">
        <w:lastRenderedPageBreak/>
        <w:t>internal risk profile and the</w:t>
      </w:r>
      <w:r w:rsidR="00251C4F">
        <w:t xml:space="preserve"> composition of the other data.</w:t>
      </w:r>
    </w:p>
    <w:p w14:paraId="7E73A6A2" w14:textId="58E4B279" w:rsidR="00D06F9D" w:rsidRPr="00D06F9D" w:rsidRDefault="00D06F9D" w:rsidP="00DA4DAE">
      <w:pPr>
        <w:ind w:left="567"/>
        <w:jc w:val="both"/>
      </w:pPr>
      <w:r w:rsidRPr="00D06F9D">
        <w:t>In all cases, the ADI must use all relevant and material data s</w:t>
      </w:r>
      <w:r w:rsidR="00251C4F">
        <w:t>ources as points of comparison.</w:t>
      </w:r>
    </w:p>
    <w:p w14:paraId="0692C037" w14:textId="2935DF69" w:rsidR="00D06F9D" w:rsidRDefault="00D06F9D" w:rsidP="00D06F9D">
      <w:pPr>
        <w:pStyle w:val="Heading3"/>
      </w:pPr>
      <w:r>
        <w:t xml:space="preserve">Risk quantification requirements specific to </w:t>
      </w:r>
      <w:r w:rsidR="00DA4EB3">
        <w:t xml:space="preserve">loss given default </w:t>
      </w:r>
      <w:r>
        <w:t>estimation</w:t>
      </w:r>
    </w:p>
    <w:p w14:paraId="7D4323B6" w14:textId="7937D66D" w:rsidR="00D06F9D" w:rsidRDefault="00462EDC" w:rsidP="00D06F9D">
      <w:pPr>
        <w:pStyle w:val="Heading4"/>
      </w:pPr>
      <w:r>
        <w:t xml:space="preserve">Requirements </w:t>
      </w:r>
      <w:r w:rsidR="00DE4C76">
        <w:t xml:space="preserve">for all </w:t>
      </w:r>
      <w:r w:rsidR="008B2957">
        <w:t>exposures</w:t>
      </w:r>
    </w:p>
    <w:p w14:paraId="6BBEEE3C" w14:textId="3D5D4D61" w:rsidR="00D06F9D" w:rsidRPr="00D06F9D" w:rsidRDefault="00983E08" w:rsidP="00895184">
      <w:pPr>
        <w:pStyle w:val="BodyText1"/>
      </w:pPr>
      <w:r>
        <w:t xml:space="preserve">An ADI must estimate </w:t>
      </w:r>
      <w:r w:rsidR="004253FF">
        <w:t>LGD based on a measure of economic loss</w:t>
      </w:r>
      <w:r w:rsidR="00E44C90">
        <w:t xml:space="preserve">. </w:t>
      </w:r>
      <w:r w:rsidR="004066A5">
        <w:t>The</w:t>
      </w:r>
      <w:r w:rsidR="004066A5" w:rsidRPr="00D06F9D">
        <w:t xml:space="preserve"> </w:t>
      </w:r>
      <w:r w:rsidR="00D06F9D" w:rsidRPr="00D06F9D">
        <w:t xml:space="preserve">ADI must take into account all relevant factors when measuring economic loss </w:t>
      </w:r>
      <w:r w:rsidR="00915B17">
        <w:t>including</w:t>
      </w:r>
      <w:r w:rsidR="00D06F9D" w:rsidRPr="00D06F9D">
        <w:t xml:space="preserve"> material discount effects and material direct and indirect costs associated with collecting on an exposure. </w:t>
      </w:r>
      <w:r w:rsidR="00915B17">
        <w:t>The</w:t>
      </w:r>
      <w:r w:rsidR="00D06F9D" w:rsidRPr="00D06F9D">
        <w:t xml:space="preserve"> ADI must not simply measure the loss recorded in its accounting records</w:t>
      </w:r>
      <w:r w:rsidR="00915B17">
        <w:t xml:space="preserve"> for LGD purposes</w:t>
      </w:r>
      <w:r w:rsidR="00095E6C">
        <w:t>,</w:t>
      </w:r>
      <w:r w:rsidR="00D06F9D" w:rsidRPr="00D06F9D">
        <w:t xml:space="preserve"> although it must be able to reconcile accounting and economic loss</w:t>
      </w:r>
      <w:r w:rsidR="00251C4F">
        <w:t>.</w:t>
      </w:r>
    </w:p>
    <w:p w14:paraId="16C659C7" w14:textId="63E4DBA7" w:rsidR="00D06F9D" w:rsidRDefault="00D06F9D" w:rsidP="00D06F9D">
      <w:pPr>
        <w:pStyle w:val="BodyText1"/>
      </w:pPr>
      <w:r w:rsidRPr="00D06F9D">
        <w:t xml:space="preserve">An ADI may make adjustments to its LGD estimates to reflect its own workout and collection expertise. Such adjustments must be </w:t>
      </w:r>
      <w:r w:rsidR="00EB59C3">
        <w:t xml:space="preserve">supported by </w:t>
      </w:r>
      <w:r w:rsidRPr="00D06F9D">
        <w:t>sufficient internal empirical evidence.</w:t>
      </w:r>
    </w:p>
    <w:p w14:paraId="724C7274" w14:textId="765A8551" w:rsidR="003019D9" w:rsidRPr="00D06F9D" w:rsidRDefault="003019D9" w:rsidP="00D06F9D">
      <w:pPr>
        <w:pStyle w:val="BodyText1"/>
      </w:pPr>
      <w:r>
        <w:t>LGD estimates must take into account additional draw</w:t>
      </w:r>
      <w:r w:rsidR="00251C4F">
        <w:t>ings after the time of default.</w:t>
      </w:r>
    </w:p>
    <w:p w14:paraId="4247F362" w14:textId="06311058" w:rsidR="00D06F9D" w:rsidRPr="00D06F9D" w:rsidRDefault="003F09B9" w:rsidP="00D30B15">
      <w:pPr>
        <w:pStyle w:val="BodyText1"/>
      </w:pPr>
      <w:r>
        <w:t>LGD estimates must reflect</w:t>
      </w:r>
      <w:r w:rsidR="004B3753">
        <w:t xml:space="preserve"> economic downturn conditions. </w:t>
      </w:r>
      <w:r w:rsidR="006051B5" w:rsidRPr="00694BDE">
        <w:t>That is, a</w:t>
      </w:r>
      <w:r w:rsidR="00D06F9D" w:rsidRPr="00694BDE">
        <w:t xml:space="preserve">n ADI must take into account the potential for LGD to be higher than average during a period when </w:t>
      </w:r>
      <w:r w:rsidR="00922B36" w:rsidRPr="00694BDE">
        <w:t xml:space="preserve">defaults or </w:t>
      </w:r>
      <w:r w:rsidR="00D06F9D" w:rsidRPr="00694BDE">
        <w:t>credit losses are substantially higher than average.</w:t>
      </w:r>
    </w:p>
    <w:p w14:paraId="05620676" w14:textId="10F98E40" w:rsidR="00D06F9D" w:rsidRDefault="00D06F9D" w:rsidP="00D06F9D">
      <w:pPr>
        <w:pStyle w:val="BodyText1"/>
      </w:pPr>
      <w:r>
        <w:t xml:space="preserve">Where loss severities do not exhibit cyclical variability, LGD estimates must not be less than the long-run default-weighted average </w:t>
      </w:r>
      <w:r w:rsidR="00CE2CDC">
        <w:t>LGD</w:t>
      </w:r>
      <w:r>
        <w:t xml:space="preserve"> calculated as the average loss of all observed defaults within </w:t>
      </w:r>
      <w:r w:rsidR="006242E9">
        <w:t xml:space="preserve">a </w:t>
      </w:r>
      <w:r>
        <w:t xml:space="preserve">data source for that type of </w:t>
      </w:r>
      <w:r w:rsidR="006F0173">
        <w:t>exposure</w:t>
      </w:r>
      <w:r>
        <w:t>.</w:t>
      </w:r>
    </w:p>
    <w:p w14:paraId="0B75E1BD" w14:textId="72C115ED" w:rsidR="00D06F9D" w:rsidRDefault="00D06F9D" w:rsidP="00D06F9D">
      <w:pPr>
        <w:pStyle w:val="BodyText1"/>
      </w:pPr>
      <w:r>
        <w:t xml:space="preserve">LGD estimates must be grounded in historical recovery rates and, where applicable, must not be based solely on the estimated market value of collateral. </w:t>
      </w:r>
    </w:p>
    <w:p w14:paraId="4461BA85" w14:textId="0F56F54D" w:rsidR="00D06F9D" w:rsidRDefault="00D06F9D" w:rsidP="00D06F9D">
      <w:pPr>
        <w:pStyle w:val="BodyText1"/>
      </w:pPr>
      <w:r>
        <w:t>To the extent that LGD estimates take into account the existence of collateral, an ADI must establish internal requirements for collateral management, operational procedures, legal certainty and risk manageme</w:t>
      </w:r>
      <w:r w:rsidR="00F16C6A">
        <w:t xml:space="preserve">nt processes that are </w:t>
      </w:r>
      <w:r>
        <w:t xml:space="preserve">consistent </w:t>
      </w:r>
      <w:r w:rsidRPr="00F16C6A">
        <w:t xml:space="preserve">with those detailed in Attachment </w:t>
      </w:r>
      <w:r w:rsidR="001F5692" w:rsidRPr="00F16C6A">
        <w:t xml:space="preserve">G </w:t>
      </w:r>
      <w:r w:rsidR="00993B85">
        <w:t>to</w:t>
      </w:r>
      <w:r w:rsidR="00993B85" w:rsidRPr="00F16C6A">
        <w:t xml:space="preserve"> </w:t>
      </w:r>
      <w:r w:rsidRPr="00F16C6A">
        <w:t>APS</w:t>
      </w:r>
      <w:r w:rsidR="00537791" w:rsidRPr="00F16C6A">
        <w:t> </w:t>
      </w:r>
      <w:r w:rsidRPr="00F16C6A">
        <w:t xml:space="preserve">112 and Attachment </w:t>
      </w:r>
      <w:r w:rsidR="00F16C6A" w:rsidRPr="00F16C6A">
        <w:t>E</w:t>
      </w:r>
      <w:r w:rsidR="001F5692" w:rsidRPr="00F16C6A">
        <w:t xml:space="preserve"> </w:t>
      </w:r>
      <w:r w:rsidR="00993B85">
        <w:t xml:space="preserve">to </w:t>
      </w:r>
      <w:r w:rsidR="00251C4F" w:rsidRPr="00F16C6A">
        <w:t>this Prudential Standard.</w:t>
      </w:r>
    </w:p>
    <w:p w14:paraId="675E38DD" w14:textId="0861B32A" w:rsidR="00FF39E6" w:rsidRDefault="00FF39E6" w:rsidP="00FF39E6">
      <w:pPr>
        <w:pStyle w:val="BodyText1"/>
      </w:pPr>
      <w:r>
        <w:t>For LGD estimation purposes</w:t>
      </w:r>
      <w:r w:rsidRPr="00720D33">
        <w:t xml:space="preserve">, </w:t>
      </w:r>
      <w:r>
        <w:t>an</w:t>
      </w:r>
      <w:r w:rsidRPr="00720D33">
        <w:t xml:space="preserve"> ADI must consider the extent of any dependence between the risk of the </w:t>
      </w:r>
      <w:r w:rsidR="00E64B78">
        <w:t>borrower</w:t>
      </w:r>
      <w:r w:rsidRPr="00720D33">
        <w:t xml:space="preserve"> and that of the collateral or collateral provider. Cases where there is a significant degree of dependence must be addressed in a conservative manner. </w:t>
      </w:r>
      <w:r>
        <w:t xml:space="preserve">Currency mismatches between the underlying obligation and the collateral must </w:t>
      </w:r>
      <w:r w:rsidR="00AA4D8C">
        <w:t xml:space="preserve">also </w:t>
      </w:r>
      <w:r>
        <w:t>be considered and treated conservatively</w:t>
      </w:r>
      <w:r w:rsidR="00251C4F">
        <w:t xml:space="preserve"> in </w:t>
      </w:r>
      <w:r w:rsidR="004066A5">
        <w:t xml:space="preserve">the </w:t>
      </w:r>
      <w:r w:rsidR="00251C4F">
        <w:t>ADI’s assessment of LGD.</w:t>
      </w:r>
    </w:p>
    <w:p w14:paraId="13072D42" w14:textId="41573350" w:rsidR="00537791" w:rsidRDefault="00537791" w:rsidP="00537791">
      <w:pPr>
        <w:pStyle w:val="Heading4"/>
      </w:pPr>
      <w:r>
        <w:lastRenderedPageBreak/>
        <w:t xml:space="preserve">Additional </w:t>
      </w:r>
      <w:r w:rsidR="00462EDC">
        <w:t xml:space="preserve">requirements </w:t>
      </w:r>
      <w:r>
        <w:t xml:space="preserve">for corporate </w:t>
      </w:r>
      <w:r w:rsidR="008B2957">
        <w:t>exposures</w:t>
      </w:r>
    </w:p>
    <w:p w14:paraId="4CFEFCDC" w14:textId="28BEA73B" w:rsidR="00537791" w:rsidRPr="00537791" w:rsidRDefault="00537791" w:rsidP="00537791">
      <w:pPr>
        <w:pStyle w:val="BodyText1"/>
      </w:pPr>
      <w:r w:rsidRPr="00537791">
        <w:t xml:space="preserve">Estimates of LGD for </w:t>
      </w:r>
      <w:r w:rsidR="0017023D">
        <w:t xml:space="preserve">corporate </w:t>
      </w:r>
      <w:r w:rsidRPr="00537791">
        <w:t>exposures must be based on a minimum data observation period that should ideally cover at least one complete economic cycle but, in any case, must be no shorter than a period of seven years from at least one source. If the available observation period spans a longer period from any source and the data are relevant and material, this longer period must be used.</w:t>
      </w:r>
    </w:p>
    <w:p w14:paraId="7C0C2894" w14:textId="1BE3DBBE" w:rsidR="00D06F9D" w:rsidRDefault="00537791" w:rsidP="00537791">
      <w:pPr>
        <w:pStyle w:val="Heading4"/>
      </w:pPr>
      <w:r>
        <w:t xml:space="preserve">Additional </w:t>
      </w:r>
      <w:r w:rsidR="00462EDC">
        <w:t xml:space="preserve">requirements </w:t>
      </w:r>
      <w:r>
        <w:t xml:space="preserve">for retail </w:t>
      </w:r>
      <w:r w:rsidR="008B2957">
        <w:t>exposures</w:t>
      </w:r>
    </w:p>
    <w:p w14:paraId="7F0BD454" w14:textId="348472B3" w:rsidR="00537791" w:rsidRDefault="00537791" w:rsidP="00537791">
      <w:pPr>
        <w:pStyle w:val="BodyText1"/>
      </w:pPr>
      <w:r w:rsidRPr="00537791">
        <w:t>The minimum data observation period for LGD estimates for retail exposures is five years</w:t>
      </w:r>
      <w:r w:rsidR="004D351E">
        <w:t xml:space="preserve"> from at least one data source</w:t>
      </w:r>
      <w:r w:rsidRPr="00537791">
        <w:t xml:space="preserve">. </w:t>
      </w:r>
      <w:r w:rsidR="004D351E" w:rsidRPr="00537791">
        <w:t>If the available observation period spans a longer period from any source and the data are relevant and material, this longer period must be used.</w:t>
      </w:r>
      <w:r w:rsidR="004D351E">
        <w:t xml:space="preserve"> </w:t>
      </w:r>
      <w:r w:rsidRPr="00537791">
        <w:t>The less data an ADI has, the more conservative it mu</w:t>
      </w:r>
      <w:r w:rsidR="00251C4F">
        <w:t>st be in its estimation of LGD.</w:t>
      </w:r>
    </w:p>
    <w:p w14:paraId="75A1410D" w14:textId="62D924A8" w:rsidR="008B56C1" w:rsidRPr="00F33488" w:rsidRDefault="008B56C1" w:rsidP="00FF39E6">
      <w:pPr>
        <w:pStyle w:val="Heading4"/>
      </w:pPr>
      <w:r w:rsidRPr="00F33488">
        <w:t xml:space="preserve">Additional </w:t>
      </w:r>
      <w:r w:rsidR="00462EDC">
        <w:t>requirements</w:t>
      </w:r>
      <w:r w:rsidR="00462EDC" w:rsidRPr="00F33488">
        <w:t xml:space="preserve"> </w:t>
      </w:r>
      <w:r w:rsidRPr="00F33488">
        <w:t>for defaulted exposures</w:t>
      </w:r>
    </w:p>
    <w:p w14:paraId="5974F4A1" w14:textId="26193FAA" w:rsidR="008B56C1" w:rsidRDefault="008B56C1" w:rsidP="008B56C1">
      <w:pPr>
        <w:pStyle w:val="BodyText1"/>
      </w:pPr>
      <w:bookmarkStart w:id="89" w:name="_Ref34384663"/>
      <w:r>
        <w:t>The LGD assigned to a defaulted exposure must reflect the possibility that an ADI may have to recognise additional</w:t>
      </w:r>
      <w:r w:rsidR="00251C4F">
        <w:t xml:space="preserve"> UL during the recovery period.</w:t>
      </w:r>
      <w:bookmarkEnd w:id="89"/>
    </w:p>
    <w:p w14:paraId="34C393F5" w14:textId="63CF5EB4" w:rsidR="00E90591" w:rsidRDefault="00E90591" w:rsidP="00E90591">
      <w:pPr>
        <w:pStyle w:val="Heading3"/>
      </w:pPr>
      <w:r>
        <w:t xml:space="preserve">Risk quantification requirements specific to </w:t>
      </w:r>
      <w:r w:rsidR="00DA4EB3">
        <w:t xml:space="preserve">exposure at default </w:t>
      </w:r>
      <w:r>
        <w:t>estimation</w:t>
      </w:r>
    </w:p>
    <w:p w14:paraId="6D15EB54" w14:textId="21BB84CD" w:rsidR="00E90591" w:rsidRDefault="00462EDC" w:rsidP="00E90591">
      <w:pPr>
        <w:pStyle w:val="Heading4"/>
      </w:pPr>
      <w:r>
        <w:t xml:space="preserve">Requirements </w:t>
      </w:r>
      <w:r w:rsidR="00E90591">
        <w:t xml:space="preserve">for </w:t>
      </w:r>
      <w:r w:rsidR="00353F55">
        <w:t xml:space="preserve">revolving </w:t>
      </w:r>
      <w:r w:rsidR="00C8303A">
        <w:t>retail</w:t>
      </w:r>
      <w:r w:rsidR="00E90591">
        <w:t xml:space="preserve"> </w:t>
      </w:r>
      <w:r w:rsidR="0017023D">
        <w:t>exposures</w:t>
      </w:r>
    </w:p>
    <w:p w14:paraId="77560A42" w14:textId="214745A6" w:rsidR="00E90591" w:rsidRPr="00E90591" w:rsidRDefault="00E90591" w:rsidP="00E90591">
      <w:pPr>
        <w:pStyle w:val="BodyText1"/>
      </w:pPr>
      <w:r w:rsidRPr="00E90591">
        <w:t xml:space="preserve">An ADI must have procedures in place for the estimation of EAD for </w:t>
      </w:r>
      <w:r w:rsidR="003A636A">
        <w:t xml:space="preserve">its </w:t>
      </w:r>
      <w:r w:rsidRPr="00E90591">
        <w:t>off-balance sheet exposure</w:t>
      </w:r>
      <w:r w:rsidR="003A636A">
        <w:t>s</w:t>
      </w:r>
      <w:r w:rsidRPr="00E90591">
        <w:t xml:space="preserve">. Estimates of EAD </w:t>
      </w:r>
      <w:r w:rsidR="008104F7">
        <w:t>must</w:t>
      </w:r>
      <w:r w:rsidR="008104F7" w:rsidRPr="00E90591">
        <w:t xml:space="preserve"> </w:t>
      </w:r>
      <w:r w:rsidRPr="00E90591">
        <w:t xml:space="preserve">reflect the possibility of additional drawings by the </w:t>
      </w:r>
      <w:r w:rsidR="00E64B78">
        <w:t>borrower</w:t>
      </w:r>
      <w:r w:rsidRPr="00E90591">
        <w:t xml:space="preserve"> up to the time a default event is triggered. </w:t>
      </w:r>
      <w:r w:rsidR="008104F7">
        <w:t>However, a</w:t>
      </w:r>
      <w:r w:rsidR="009419AB">
        <w:t xml:space="preserve">dditional drawings after the time of default must not be reflected in EAD </w:t>
      </w:r>
      <w:r w:rsidR="00726B0C">
        <w:t>and must</w:t>
      </w:r>
      <w:r w:rsidR="009419AB">
        <w:t xml:space="preserve"> instead</w:t>
      </w:r>
      <w:r w:rsidR="00726B0C">
        <w:t xml:space="preserve"> be</w:t>
      </w:r>
      <w:r w:rsidR="009419AB">
        <w:t xml:space="preserve"> included in LGD. </w:t>
      </w:r>
      <w:r w:rsidRPr="00E90591">
        <w:t>Where estimates of EAD differ by facility type, the delineation of these facilities must be clear and unambiguous.</w:t>
      </w:r>
    </w:p>
    <w:p w14:paraId="3AD48EB9" w14:textId="09D21DA4" w:rsidR="00E90591" w:rsidRPr="00E90591" w:rsidRDefault="00E90591" w:rsidP="00E90591">
      <w:pPr>
        <w:pStyle w:val="BodyText1"/>
      </w:pPr>
      <w:r w:rsidRPr="00E90591">
        <w:t xml:space="preserve">An ADI must assign an estimate of EAD for each facility. EAD must be an estimate of the long-run default-weighted average EAD for similar facilities and </w:t>
      </w:r>
      <w:r w:rsidR="00E64B78">
        <w:t>borrowers</w:t>
      </w:r>
      <w:r w:rsidRPr="00E90591">
        <w:t xml:space="preserve"> over a sufficiently long period of time, with a margin of conservatism appropriate to the likely range of errors in the estimate. If a positive correlation can reasonably be expected between the default frequency and the magnitude of EAD, the EAD estimate must incorporate a</w:t>
      </w:r>
      <w:r w:rsidR="00251C4F">
        <w:t xml:space="preserve"> larger margin of conservatism.</w:t>
      </w:r>
    </w:p>
    <w:p w14:paraId="077415B8" w14:textId="07CFB099" w:rsidR="00E90591" w:rsidRPr="00E90591" w:rsidRDefault="00E90591" w:rsidP="00E90591">
      <w:pPr>
        <w:pStyle w:val="BodyText1"/>
      </w:pPr>
      <w:r w:rsidRPr="00E90591">
        <w:t xml:space="preserve">For exposures where EAD estimates are volatile over the economic cycle, an ADI must use EAD estimates that are appropriate for an economic downturn if these are more conservative than the long-run </w:t>
      </w:r>
      <w:r w:rsidR="00265D54">
        <w:t>default-weighted average</w:t>
      </w:r>
      <w:r w:rsidR="00251C4F">
        <w:t>.</w:t>
      </w:r>
    </w:p>
    <w:p w14:paraId="0B71E467" w14:textId="3F578803" w:rsidR="00E90591" w:rsidRPr="00E90591" w:rsidRDefault="00E90591" w:rsidP="00E90591">
      <w:pPr>
        <w:pStyle w:val="BodyText1"/>
      </w:pPr>
      <w:r w:rsidRPr="00E90591">
        <w:t>The criteria by which estimates of EAD are derived must be plausible</w:t>
      </w:r>
      <w:r w:rsidR="00D42DF4">
        <w:t>,</w:t>
      </w:r>
      <w:r w:rsidRPr="00E90591">
        <w:t xml:space="preserve"> intuitive and represent what an ADI believes to be the material drivers of EAD. The criteria must be supported by credible internal analysis by the ADI. The ADI must be able to provide a breakdown of its EAD experience by the factors it sees as the drivers of EAD. The ADI must use all relevant and material information in its </w:t>
      </w:r>
      <w:r w:rsidR="00251C4F">
        <w:t>determination of EAD estimates.</w:t>
      </w:r>
    </w:p>
    <w:p w14:paraId="4D7E9485" w14:textId="56DD327E" w:rsidR="00E90591" w:rsidRPr="00E90591" w:rsidRDefault="00E90591" w:rsidP="00E90591">
      <w:pPr>
        <w:pStyle w:val="BodyText1"/>
      </w:pPr>
      <w:r w:rsidRPr="00E90591">
        <w:lastRenderedPageBreak/>
        <w:t xml:space="preserve">An ADI’s EAD estimates must give due consideration to its policies and procedures in respect of account monitoring and payment processing. The ADI must consider its ability and willingness to prevent further drawings in circumstances short of payment default, such as covenant violations or </w:t>
      </w:r>
      <w:r w:rsidR="00140412">
        <w:t>other technical default events.</w:t>
      </w:r>
    </w:p>
    <w:p w14:paraId="79572F3E" w14:textId="54E4EB25" w:rsidR="00E9763E" w:rsidRDefault="00E90591" w:rsidP="00E90591">
      <w:pPr>
        <w:pStyle w:val="BodyText1"/>
      </w:pPr>
      <w:r w:rsidRPr="00E90591">
        <w:t xml:space="preserve">An ADI must have systems and procedures in place to monitor, on a daily basis, facility amounts, outstanding amounts against committed lines and changes in outstanding amounts for </w:t>
      </w:r>
      <w:r w:rsidR="00140412">
        <w:t xml:space="preserve">each </w:t>
      </w:r>
      <w:r w:rsidR="00F75188">
        <w:t xml:space="preserve">borrower </w:t>
      </w:r>
      <w:r w:rsidR="00140412">
        <w:t xml:space="preserve">and </w:t>
      </w:r>
      <w:r w:rsidR="00F75188">
        <w:t>borrower</w:t>
      </w:r>
      <w:r w:rsidR="00140412">
        <w:t xml:space="preserve"> grade</w:t>
      </w:r>
      <w:r w:rsidR="00B7525D">
        <w:t xml:space="preserve"> or pool</w:t>
      </w:r>
      <w:r w:rsidR="00140412">
        <w:t>.</w:t>
      </w:r>
    </w:p>
    <w:p w14:paraId="0C14984C" w14:textId="0558CB96" w:rsidR="00E90591" w:rsidRDefault="00CF7590" w:rsidP="00E90591">
      <w:pPr>
        <w:pStyle w:val="BodyText1"/>
      </w:pPr>
      <w:r>
        <w:t xml:space="preserve">An ADI’s EAD estimates must be developed using a one-year fixed-horizon approach; that is, for each observation in the reference dataset, default outcomes must be linked to relevant </w:t>
      </w:r>
      <w:r w:rsidR="00F75188">
        <w:t xml:space="preserve">borrower </w:t>
      </w:r>
      <w:r>
        <w:t xml:space="preserve">and facility characteristics </w:t>
      </w:r>
      <w:r w:rsidR="00A73EC7">
        <w:t>one year prior to default.</w:t>
      </w:r>
    </w:p>
    <w:p w14:paraId="2404E801" w14:textId="2369EAF4" w:rsidR="00A73EC7" w:rsidRDefault="00A73EC7" w:rsidP="00E90591">
      <w:pPr>
        <w:pStyle w:val="BodyText1"/>
      </w:pPr>
      <w:r>
        <w:t xml:space="preserve">An ADI’s EAD estimates must be based on reference data that reflect the </w:t>
      </w:r>
      <w:r w:rsidR="00F75188">
        <w:t>borrower</w:t>
      </w:r>
      <w:r>
        <w:t xml:space="preserve">, facility and </w:t>
      </w:r>
      <w:r w:rsidR="00BE7056">
        <w:t>ADI</w:t>
      </w:r>
      <w:r>
        <w:t xml:space="preserve"> management practice characteristics of the exposures to which the estimates are applied. EAD estimates applied to particular exposures must not be based on data that co</w:t>
      </w:r>
      <w:r w:rsidR="00CE06B2">
        <w:t>-</w:t>
      </w:r>
      <w:r>
        <w:t xml:space="preserve">mingle the effects of disparate characteristics or data from exposures that exhibit different characteristics. </w:t>
      </w:r>
      <w:r w:rsidR="00BE7056">
        <w:t>EAD</w:t>
      </w:r>
      <w:r>
        <w:t xml:space="preserve"> estimates must be based on appropriately homogenous segments or an estimation approach that disentangles</w:t>
      </w:r>
      <w:r w:rsidR="00726B0C">
        <w:t xml:space="preserve"> effectively</w:t>
      </w:r>
      <w:r>
        <w:t xml:space="preserve"> the impact of the different characteristics exhibited within the relevant dataset. </w:t>
      </w:r>
    </w:p>
    <w:p w14:paraId="7634AE87" w14:textId="1AC64D32" w:rsidR="00FB225B" w:rsidRDefault="00FB225B" w:rsidP="00E90591">
      <w:pPr>
        <w:pStyle w:val="BodyText1"/>
      </w:pPr>
      <w:r>
        <w:t>Where an ADI estimates CCFs directly, it must ensure that th</w:t>
      </w:r>
      <w:r w:rsidR="00B77171">
        <w:t>o</w:t>
      </w:r>
      <w:r>
        <w:t xml:space="preserve">se estimates are quarantined </w:t>
      </w:r>
      <w:r w:rsidR="00500BC7">
        <w:t xml:space="preserve">effectively </w:t>
      </w:r>
      <w:r>
        <w:t xml:space="preserve">from the potential effects of the region of instability associated with </w:t>
      </w:r>
      <w:r w:rsidR="00544FD5">
        <w:t>facilities that are close to being fully drawn at the reference date.</w:t>
      </w:r>
    </w:p>
    <w:p w14:paraId="149006D9" w14:textId="3DCD267E" w:rsidR="008222AA" w:rsidRPr="00E90591" w:rsidRDefault="008222AA" w:rsidP="00E90591">
      <w:pPr>
        <w:pStyle w:val="BodyText1"/>
      </w:pPr>
      <w:r>
        <w:t xml:space="preserve">EAD reference data must not be capped </w:t>
      </w:r>
      <w:r w:rsidR="008104F7">
        <w:t>at</w:t>
      </w:r>
      <w:r>
        <w:t xml:space="preserve"> the principal amount outstanding or facility limits. Accrued interest, other due payments and limit excesses must be included in EAD reference data.</w:t>
      </w:r>
    </w:p>
    <w:p w14:paraId="6E7F260E" w14:textId="69DEB2FB" w:rsidR="00025BC5" w:rsidRDefault="00E90591" w:rsidP="00E90591">
      <w:pPr>
        <w:pStyle w:val="BodyText1"/>
      </w:pPr>
      <w:r w:rsidRPr="00E90591">
        <w:t xml:space="preserve">The minimum data observation period for EAD </w:t>
      </w:r>
      <w:r w:rsidR="007A2E3B" w:rsidRPr="00E90591">
        <w:t>estimat</w:t>
      </w:r>
      <w:r w:rsidR="007A2E3B">
        <w:t>ion</w:t>
      </w:r>
      <w:r w:rsidR="007A2E3B" w:rsidRPr="00E90591">
        <w:t xml:space="preserve"> </w:t>
      </w:r>
      <w:r w:rsidRPr="00E90591">
        <w:t>is five years</w:t>
      </w:r>
      <w:r w:rsidR="004D351E" w:rsidRPr="004D351E">
        <w:t xml:space="preserve"> </w:t>
      </w:r>
      <w:r w:rsidR="004D351E">
        <w:t>from at least one data source</w:t>
      </w:r>
      <w:r w:rsidR="004D351E" w:rsidRPr="00537791">
        <w:t>. If the available observation period spans a longer period from any source and the data are relevant and material, this longer period must be used</w:t>
      </w:r>
      <w:r w:rsidRPr="00E90591">
        <w:t>. The less data an ADI has, the more conservative it mu</w:t>
      </w:r>
      <w:r w:rsidR="00140412">
        <w:t>st be in its estimation of EAD.</w:t>
      </w:r>
    </w:p>
    <w:p w14:paraId="580575C3" w14:textId="510C6DC3" w:rsidR="00E90591" w:rsidRDefault="00025BC5" w:rsidP="00025BC5">
      <w:pPr>
        <w:pStyle w:val="Heading3"/>
      </w:pPr>
      <w:r>
        <w:t>Risk</w:t>
      </w:r>
      <w:r w:rsidR="00140412">
        <w:rPr>
          <w:rStyle w:val="CommentReference"/>
          <w:rFonts w:eastAsia="Calibri"/>
        </w:rPr>
        <w:t xml:space="preserve"> </w:t>
      </w:r>
      <w:r>
        <w:t xml:space="preserve">quantification requirements </w:t>
      </w:r>
      <w:r w:rsidR="00EA75C2">
        <w:t xml:space="preserve">specific to </w:t>
      </w:r>
      <w:r w:rsidR="00B203DC">
        <w:t>expected loss</w:t>
      </w:r>
    </w:p>
    <w:p w14:paraId="1D60B537" w14:textId="6BD73798" w:rsidR="00EE7ADB" w:rsidRDefault="00EE7ADB" w:rsidP="00EE7ADB">
      <w:pPr>
        <w:pStyle w:val="BodyText1"/>
      </w:pPr>
      <w:bookmarkStart w:id="90" w:name="_Ref36040137"/>
      <w:r>
        <w:t xml:space="preserve">For each defaulted exposure, </w:t>
      </w:r>
      <w:r w:rsidR="00AA5187">
        <w:t xml:space="preserve">an </w:t>
      </w:r>
      <w:r>
        <w:t xml:space="preserve">ADI </w:t>
      </w:r>
      <w:r w:rsidR="00BE4034">
        <w:t xml:space="preserve">using the AIRB or retail IRB approach </w:t>
      </w:r>
      <w:r>
        <w:t xml:space="preserve">must construct its best estimate of EL </w:t>
      </w:r>
      <w:r w:rsidR="002A6AAB">
        <w:t xml:space="preserve">for </w:t>
      </w:r>
      <w:r>
        <w:t xml:space="preserve">that </w:t>
      </w:r>
      <w:r w:rsidR="002A6AAB">
        <w:t xml:space="preserve">exposure </w:t>
      </w:r>
      <w:r>
        <w:t xml:space="preserve">based on current economic circumstances and the facility’s status. The mechanical application of </w:t>
      </w:r>
      <w:r w:rsidR="00405399">
        <w:t xml:space="preserve">a </w:t>
      </w:r>
      <w:r>
        <w:t xml:space="preserve">long-run average or downturn LGD estimate is not acceptable for this purpose. Instances where the best estimate of EL on a defaulted </w:t>
      </w:r>
      <w:r w:rsidR="002A6AAB">
        <w:t xml:space="preserve">exposure </w:t>
      </w:r>
      <w:r>
        <w:t>is less than the sum of provisions</w:t>
      </w:r>
      <w:r w:rsidR="00D86F00">
        <w:t xml:space="preserve"> </w:t>
      </w:r>
      <w:r>
        <w:t xml:space="preserve">and partial write-offs on that </w:t>
      </w:r>
      <w:r w:rsidR="002A6AAB">
        <w:t xml:space="preserve">exposure </w:t>
      </w:r>
      <w:r>
        <w:t>must be justified to APRA by the ADI.</w:t>
      </w:r>
      <w:bookmarkEnd w:id="90"/>
    </w:p>
    <w:p w14:paraId="73900C9C" w14:textId="50704542" w:rsidR="00671F6A" w:rsidRDefault="00671F6A" w:rsidP="00AC511D">
      <w:pPr>
        <w:pStyle w:val="Heading2"/>
      </w:pPr>
      <w:r>
        <w:lastRenderedPageBreak/>
        <w:t>Validation of internal estimates</w:t>
      </w:r>
    </w:p>
    <w:p w14:paraId="07FC320D" w14:textId="18AF9591" w:rsidR="00E97BDE" w:rsidRDefault="00E97BDE" w:rsidP="00E97BDE">
      <w:pPr>
        <w:pStyle w:val="BodyText1"/>
      </w:pPr>
      <w:r>
        <w:t>An ADI must have a robust and documented system in place to validate the accuracy and consistency of rating systems</w:t>
      </w:r>
      <w:r w:rsidR="00BE7056">
        <w:t>,</w:t>
      </w:r>
      <w:r>
        <w:t xml:space="preserve"> processes and the estimation of all relevant credit risk components. The ADI must </w:t>
      </w:r>
      <w:r w:rsidR="00AD3E09">
        <w:t>ensure</w:t>
      </w:r>
      <w:r>
        <w:t xml:space="preserve"> that the internal validation process enables it to assess the performance of its internal rating and credit risk estimation systems in a meaningful and consistent manner.</w:t>
      </w:r>
    </w:p>
    <w:p w14:paraId="355A0B6C" w14:textId="3EA71FE8" w:rsidR="00643B91" w:rsidRDefault="00643B91" w:rsidP="00E97BDE">
      <w:pPr>
        <w:pStyle w:val="BodyText1"/>
      </w:pPr>
      <w:r>
        <w:t>Validation must be undertaken</w:t>
      </w:r>
      <w:r w:rsidR="00696632">
        <w:t xml:space="preserve"> at least </w:t>
      </w:r>
      <w:r w:rsidR="00DF0764">
        <w:t>annually</w:t>
      </w:r>
      <w:r>
        <w:t xml:space="preserve"> by </w:t>
      </w:r>
      <w:r w:rsidR="00405399">
        <w:t>personnel</w:t>
      </w:r>
      <w:r>
        <w:t xml:space="preserve"> that are independent </w:t>
      </w:r>
      <w:r w:rsidR="00280560">
        <w:t xml:space="preserve">of </w:t>
      </w:r>
      <w:r>
        <w:t>those responsible for the development of an ADI’s rating system</w:t>
      </w:r>
      <w:r w:rsidR="00D32A0B">
        <w:t>s</w:t>
      </w:r>
      <w:r w:rsidR="00140412">
        <w:t xml:space="preserve"> and risk estimates.</w:t>
      </w:r>
    </w:p>
    <w:p w14:paraId="7118BFDD" w14:textId="364E1FE1" w:rsidR="00E97BDE" w:rsidRDefault="00E97BDE" w:rsidP="00E97BDE">
      <w:pPr>
        <w:pStyle w:val="BodyText1"/>
      </w:pPr>
      <w:r>
        <w:t xml:space="preserve">An ADI must regularly compare realised default rates with PD estimates for each </w:t>
      </w:r>
      <w:r w:rsidR="00F75188">
        <w:t xml:space="preserve">borrower </w:t>
      </w:r>
      <w:r>
        <w:t>grade</w:t>
      </w:r>
      <w:r w:rsidR="00AD3E09">
        <w:t xml:space="preserve"> or pool</w:t>
      </w:r>
      <w:r>
        <w:t xml:space="preserve"> and </w:t>
      </w:r>
      <w:r w:rsidR="00E4084F">
        <w:t>ensure</w:t>
      </w:r>
      <w:r>
        <w:t xml:space="preserve"> that the realised default rates are within the expected range for each grade</w:t>
      </w:r>
      <w:r w:rsidR="00AD3E09">
        <w:t xml:space="preserve"> or pool</w:t>
      </w:r>
      <w:r>
        <w:t xml:space="preserve">. An ADI using its own LGD and EAD estimates must also complete such analysis for those estimates. Comparisons must make use of historical data over as long a time period as possible. The methods and data used in these comparisons must be clearly documented. This analysis and documentation must be updated at least annually. </w:t>
      </w:r>
    </w:p>
    <w:p w14:paraId="5D856264" w14:textId="404A6308" w:rsidR="00E97BDE" w:rsidRDefault="00E97BDE" w:rsidP="00E97BDE">
      <w:pPr>
        <w:pStyle w:val="BodyText1"/>
      </w:pPr>
      <w:r>
        <w:t>An ADI must also use other quantitative validation tools and comparisons with relevant external data sources. The analysis must be based on data that are appropriate to the portfolio, updated regularly and cover a relevant observation period. The ADI’s internal assessment of the performance of its rating system</w:t>
      </w:r>
      <w:r w:rsidR="00D32A0B">
        <w:t>s</w:t>
      </w:r>
      <w:r>
        <w:t xml:space="preserve"> must be based on long data histories covering a range of economic conditions and, ideally, one or more complete business cycles.</w:t>
      </w:r>
    </w:p>
    <w:p w14:paraId="611C7FC0" w14:textId="34B2B8CC" w:rsidR="00E97BDE" w:rsidRDefault="00E97BDE" w:rsidP="00E97BDE">
      <w:pPr>
        <w:pStyle w:val="BodyText1"/>
      </w:pPr>
      <w:r>
        <w:t xml:space="preserve">An ADI must </w:t>
      </w:r>
      <w:r w:rsidR="00AD3E09">
        <w:t xml:space="preserve">ensure </w:t>
      </w:r>
      <w:r>
        <w:t>that quantitative testing methods and other validation methods do not vary systematically with the economic cycle. Changes in methods and data (both data sources and periods covered) must be clearly and thoroughly documented.</w:t>
      </w:r>
    </w:p>
    <w:p w14:paraId="4C7CFE66" w14:textId="2920BAD8" w:rsidR="00140412" w:rsidRDefault="00E97BDE" w:rsidP="00140412">
      <w:pPr>
        <w:pStyle w:val="BodyText1"/>
      </w:pPr>
      <w:r>
        <w:t xml:space="preserve">An ADI must have documented internal standards for situations where deviations from expectations in realised PD rates and, where applicable, LGD and EAD rates, become significant enough to call the validity of the estimates into question. These standards must take account of business cycles and similar systematic variability in default experience. Where realised values continue to be higher than expected values, the ADI must revise its estimates upward to reflect its actual default and loss experience. </w:t>
      </w:r>
    </w:p>
    <w:p w14:paraId="747550E8" w14:textId="0AAB0DEE" w:rsidR="002E1C5E" w:rsidRPr="00F87B95" w:rsidRDefault="00E97BDE" w:rsidP="00F16C6A">
      <w:pPr>
        <w:pStyle w:val="BodyText1"/>
        <w:sectPr w:rsidR="002E1C5E" w:rsidRPr="00F87B95" w:rsidSect="00AA5018">
          <w:footerReference w:type="default" r:id="rId37"/>
          <w:pgSz w:w="11906" w:h="16838" w:code="9"/>
          <w:pgMar w:top="1440" w:right="1797" w:bottom="1440" w:left="1797" w:header="709" w:footer="709" w:gutter="0"/>
          <w:cols w:space="708"/>
          <w:docGrid w:linePitch="360"/>
        </w:sectPr>
      </w:pPr>
      <w:r w:rsidRPr="00E97BDE">
        <w:t xml:space="preserve">An ADI that uses </w:t>
      </w:r>
      <w:r w:rsidR="00D20D96" w:rsidRPr="00E97BDE">
        <w:t xml:space="preserve">supervisory, </w:t>
      </w:r>
      <w:r w:rsidRPr="00E97BDE">
        <w:t xml:space="preserve">rather than internal, estimates of </w:t>
      </w:r>
      <w:r w:rsidR="00F1221B">
        <w:t>LGD and EAD</w:t>
      </w:r>
      <w:r w:rsidR="009A4EAE" w:rsidRPr="00E97BDE">
        <w:t xml:space="preserve"> </w:t>
      </w:r>
      <w:r w:rsidRPr="00E97BDE">
        <w:t xml:space="preserve">must compare realised LGD and EAD rates to those set by APRA and use this information in its internal assessment of capital adequacy. </w:t>
      </w:r>
      <w:r w:rsidR="004066A5">
        <w:t xml:space="preserve">The </w:t>
      </w:r>
      <w:r w:rsidR="004A2888">
        <w:t xml:space="preserve">ADI must also complete such analysis in relation to EAD for </w:t>
      </w:r>
      <w:r w:rsidR="00520FBE">
        <w:t>arrangements</w:t>
      </w:r>
      <w:r w:rsidR="004A2888">
        <w:t xml:space="preserve"> </w:t>
      </w:r>
      <w:r w:rsidR="00744DAF">
        <w:t xml:space="preserve">that are </w:t>
      </w:r>
      <w:r w:rsidR="0019113C">
        <w:t xml:space="preserve">excluded </w:t>
      </w:r>
      <w:r w:rsidR="004A2888">
        <w:t>from the defin</w:t>
      </w:r>
      <w:r w:rsidR="00F16C6A">
        <w:t>ition of a commitment</w:t>
      </w:r>
      <w:r w:rsidR="00B123E5">
        <w:t xml:space="preserve"> under</w:t>
      </w:r>
      <w:r w:rsidR="00F16C6A">
        <w:t xml:space="preserve"> </w:t>
      </w:r>
      <w:r w:rsidR="00F16C6A" w:rsidRPr="00F16C6A">
        <w:t>paragraph 3 of Attachment C to APS</w:t>
      </w:r>
      <w:r w:rsidR="00F16C6A">
        <w:t> </w:t>
      </w:r>
      <w:r w:rsidR="00F16C6A" w:rsidRPr="00F16C6A">
        <w:t>112</w:t>
      </w:r>
      <w:r w:rsidR="004A2888">
        <w:t>.</w:t>
      </w:r>
    </w:p>
    <w:p w14:paraId="53ADC50C" w14:textId="0F054AFE" w:rsidR="002E1C5E" w:rsidRDefault="002E1C5E" w:rsidP="002E1C5E">
      <w:pPr>
        <w:pStyle w:val="Heading1"/>
      </w:pPr>
      <w:bookmarkStart w:id="91" w:name="_Toc19714498"/>
      <w:bookmarkStart w:id="92" w:name="_Toc176183670"/>
      <w:r>
        <w:lastRenderedPageBreak/>
        <w:t xml:space="preserve">Attachment </w:t>
      </w:r>
      <w:r w:rsidR="007352DC">
        <w:rPr>
          <w:rStyle w:val="Attachmentfieldtext"/>
        </w:rPr>
        <w:t>E</w:t>
      </w:r>
      <w:r>
        <w:rPr>
          <w:rStyle w:val="Attachmentfieldtext"/>
        </w:rPr>
        <w:t xml:space="preserve"> </w:t>
      </w:r>
      <w:r w:rsidR="003A6F4C">
        <w:rPr>
          <w:rStyle w:val="Attachmentfieldtext"/>
        </w:rPr>
        <w:t>-</w:t>
      </w:r>
      <w:r>
        <w:rPr>
          <w:rStyle w:val="Attachmentfieldtext"/>
        </w:rPr>
        <w:t xml:space="preserve"> </w:t>
      </w:r>
      <w:r w:rsidR="003A6F4C">
        <w:rPr>
          <w:rStyle w:val="Attachmentfieldtext"/>
        </w:rPr>
        <w:t>Requirements for recognition of collateral and credit risk mitigation</w:t>
      </w:r>
      <w:bookmarkEnd w:id="91"/>
      <w:bookmarkEnd w:id="92"/>
      <w:r w:rsidR="003A6F4C">
        <w:t xml:space="preserve"> </w:t>
      </w:r>
    </w:p>
    <w:p w14:paraId="66C086E5" w14:textId="61386FF7" w:rsidR="004B4151" w:rsidRDefault="00945364" w:rsidP="004B4151">
      <w:pPr>
        <w:pStyle w:val="Heading2"/>
      </w:pPr>
      <w:r>
        <w:t>E</w:t>
      </w:r>
      <w:r w:rsidR="004B4151">
        <w:t>ligible collateral</w:t>
      </w:r>
      <w:r>
        <w:t xml:space="preserve"> under the FIRB approach</w:t>
      </w:r>
    </w:p>
    <w:p w14:paraId="31AF7B02" w14:textId="2EB6C5EB" w:rsidR="004B4151" w:rsidRDefault="00945364" w:rsidP="002A2D6D">
      <w:pPr>
        <w:pStyle w:val="BodyText1"/>
        <w:numPr>
          <w:ilvl w:val="0"/>
          <w:numId w:val="8"/>
        </w:numPr>
      </w:pPr>
      <w:r>
        <w:t>W</w:t>
      </w:r>
      <w:r w:rsidR="003253F3">
        <w:t xml:space="preserve">here an ADI </w:t>
      </w:r>
      <w:r w:rsidR="00670C0F">
        <w:t>use</w:t>
      </w:r>
      <w:r w:rsidR="009D5309">
        <w:t>s</w:t>
      </w:r>
      <w:r w:rsidR="003253F3">
        <w:t xml:space="preserve"> the FIRB approach, </w:t>
      </w:r>
      <w:r w:rsidR="00670C0F">
        <w:t xml:space="preserve">only </w:t>
      </w:r>
      <w:r w:rsidR="003253F3">
        <w:t xml:space="preserve">the following </w:t>
      </w:r>
      <w:r w:rsidR="00E06EC1">
        <w:t>may be recognised as eligible collateral</w:t>
      </w:r>
      <w:r w:rsidR="003253F3">
        <w:t>:</w:t>
      </w:r>
    </w:p>
    <w:p w14:paraId="5E9A2450" w14:textId="285AE87B" w:rsidR="003253F3" w:rsidRDefault="00670C0F" w:rsidP="00670C0F">
      <w:pPr>
        <w:pStyle w:val="BodyText2"/>
      </w:pPr>
      <w:r>
        <w:t>financial collateral;</w:t>
      </w:r>
    </w:p>
    <w:p w14:paraId="15FED8D5" w14:textId="0C767F2B" w:rsidR="00670C0F" w:rsidRDefault="00670C0F" w:rsidP="00670C0F">
      <w:pPr>
        <w:pStyle w:val="BodyText2"/>
      </w:pPr>
      <w:r>
        <w:t>financial receivables;</w:t>
      </w:r>
    </w:p>
    <w:p w14:paraId="6FE20D6C" w14:textId="6A6C317C" w:rsidR="008339F7" w:rsidRDefault="00670C0F" w:rsidP="00670C0F">
      <w:pPr>
        <w:pStyle w:val="BodyText2"/>
      </w:pPr>
      <w:r>
        <w:t>commercial real estate a</w:t>
      </w:r>
      <w:r w:rsidR="00EA36F7">
        <w:t>nd residential real estate</w:t>
      </w:r>
      <w:r>
        <w:t>; and</w:t>
      </w:r>
    </w:p>
    <w:p w14:paraId="4EF81F6D" w14:textId="20FF70D4" w:rsidR="008339F7" w:rsidRPr="008339F7" w:rsidRDefault="00670C0F" w:rsidP="008339F7">
      <w:pPr>
        <w:pStyle w:val="BodyText2"/>
      </w:pPr>
      <w:r>
        <w:t>other physical collateral</w:t>
      </w:r>
      <w:r w:rsidR="008339F7">
        <w:t>.</w:t>
      </w:r>
    </w:p>
    <w:p w14:paraId="3114460F" w14:textId="5BA7ACC8" w:rsidR="00987BEF" w:rsidRPr="006A02EA" w:rsidRDefault="00987BEF" w:rsidP="008E44F5">
      <w:pPr>
        <w:pStyle w:val="Heading3"/>
      </w:pPr>
      <w:r>
        <w:t>Eligible</w:t>
      </w:r>
      <w:r w:rsidRPr="006A02EA">
        <w:t xml:space="preserve"> financial collateral</w:t>
      </w:r>
    </w:p>
    <w:p w14:paraId="71D06DCF" w14:textId="4A86641C" w:rsidR="00987BEF" w:rsidRDefault="00987BEF" w:rsidP="0055366B">
      <w:pPr>
        <w:pStyle w:val="BodyText1"/>
      </w:pPr>
      <w:r w:rsidRPr="00FE70BB">
        <w:t xml:space="preserve">Eligible financial collateral is collateral </w:t>
      </w:r>
      <w:r w:rsidR="001E67C4">
        <w:t xml:space="preserve">that meets the minimum requirements </w:t>
      </w:r>
      <w:r w:rsidRPr="00FE70BB">
        <w:t>detailed</w:t>
      </w:r>
      <w:r w:rsidR="00D265D5">
        <w:t xml:space="preserve"> </w:t>
      </w:r>
      <w:r w:rsidRPr="00FE70BB">
        <w:t xml:space="preserve">in Attachment </w:t>
      </w:r>
      <w:r w:rsidR="001E67C4">
        <w:t>G</w:t>
      </w:r>
      <w:r w:rsidR="001E67C4" w:rsidRPr="00FE70BB">
        <w:t xml:space="preserve"> </w:t>
      </w:r>
      <w:r w:rsidR="001E67C4">
        <w:t>to</w:t>
      </w:r>
      <w:r w:rsidR="001E67C4" w:rsidRPr="00FE70BB">
        <w:t xml:space="preserve"> </w:t>
      </w:r>
      <w:r w:rsidRPr="00FE70BB">
        <w:t>APS</w:t>
      </w:r>
      <w:r>
        <w:t> </w:t>
      </w:r>
      <w:r w:rsidRPr="00FE70BB">
        <w:t xml:space="preserve">112. </w:t>
      </w:r>
    </w:p>
    <w:p w14:paraId="609E3E66" w14:textId="073CB2B7" w:rsidR="00DB4898" w:rsidRPr="006A02EA" w:rsidRDefault="00DB4898" w:rsidP="008E44F5">
      <w:pPr>
        <w:pStyle w:val="Heading3"/>
      </w:pPr>
      <w:r>
        <w:t>E</w:t>
      </w:r>
      <w:r w:rsidRPr="006A02EA">
        <w:t>ligible financial receivables</w:t>
      </w:r>
    </w:p>
    <w:p w14:paraId="31CCC092" w14:textId="1D098958" w:rsidR="00DB4898" w:rsidRDefault="00DB4898" w:rsidP="00DB4898">
      <w:pPr>
        <w:pStyle w:val="BodyText1"/>
      </w:pPr>
      <w:r>
        <w:t xml:space="preserve">Eligible financial receivables are </w:t>
      </w:r>
      <w:r w:rsidR="00906A7F">
        <w:t>exposures</w:t>
      </w:r>
      <w:r>
        <w:t xml:space="preserve"> with an original maturity of one year or less</w:t>
      </w:r>
      <w:r w:rsidR="00303A63">
        <w:t>,</w:t>
      </w:r>
      <w:r>
        <w:t xml:space="preserve"> where repayment occurs through the commercial or financial flows related to the </w:t>
      </w:r>
      <w:r w:rsidR="00F75188">
        <w:t>borrower</w:t>
      </w:r>
      <w:r>
        <w:t>’s underlying business operations. This includes:</w:t>
      </w:r>
    </w:p>
    <w:p w14:paraId="17048200" w14:textId="77777777" w:rsidR="00DB4898" w:rsidRDefault="00DB4898" w:rsidP="00DB4898">
      <w:pPr>
        <w:pStyle w:val="BodyText2"/>
      </w:pPr>
      <w:r>
        <w:t>self-liquidating debt arising from the sale of goods or services linked to a commercial transaction; and</w:t>
      </w:r>
    </w:p>
    <w:p w14:paraId="22FBEF20" w14:textId="77777777" w:rsidR="00DB4898" w:rsidRDefault="00DB4898" w:rsidP="00DB4898">
      <w:pPr>
        <w:pStyle w:val="BodyText2"/>
      </w:pPr>
      <w:r>
        <w:t xml:space="preserve">general amounts owed by buyers, suppliers, renters, national and local government authorities or other non-affiliated parties that are not related to the sale of goods or services linked to a commercial transaction. </w:t>
      </w:r>
    </w:p>
    <w:p w14:paraId="36117026" w14:textId="16F0AA43" w:rsidR="00DB4898" w:rsidRDefault="00DB4898" w:rsidP="00DB4898">
      <w:pPr>
        <w:ind w:left="567"/>
        <w:jc w:val="both"/>
      </w:pPr>
      <w:r>
        <w:t xml:space="preserve">Receivables from affiliates of the </w:t>
      </w:r>
      <w:r w:rsidR="00F75188">
        <w:t>borrower</w:t>
      </w:r>
      <w:r>
        <w:t xml:space="preserve"> (including subsidiaries and employees) and receivables associated with securitisations, sub-participations and credit derivatives </w:t>
      </w:r>
      <w:r w:rsidR="009D5309">
        <w:t xml:space="preserve">must </w:t>
      </w:r>
      <w:r>
        <w:t>not be recognised as eligible financial receivables.</w:t>
      </w:r>
    </w:p>
    <w:p w14:paraId="56082D42" w14:textId="6DAED14E" w:rsidR="00DB4898" w:rsidRPr="006364D2" w:rsidRDefault="00ED680D" w:rsidP="00DB4898">
      <w:pPr>
        <w:pStyle w:val="BodyText1"/>
      </w:pPr>
      <w:bookmarkStart w:id="93" w:name="_Hlk80180185"/>
      <w:r>
        <w:t>An ADI may recognise f</w:t>
      </w:r>
      <w:r w:rsidRPr="006364D2">
        <w:t xml:space="preserve">inancial </w:t>
      </w:r>
      <w:r w:rsidR="00DB4898" w:rsidRPr="006364D2">
        <w:t xml:space="preserve">receivables as </w:t>
      </w:r>
      <w:r>
        <w:t xml:space="preserve">eligible </w:t>
      </w:r>
      <w:r w:rsidR="00DB4898" w:rsidRPr="006364D2">
        <w:t xml:space="preserve">collateral </w:t>
      </w:r>
      <w:r w:rsidR="009F3661">
        <w:t>where</w:t>
      </w:r>
      <w:r w:rsidR="002F7795">
        <w:t xml:space="preserve"> </w:t>
      </w:r>
      <w:r w:rsidR="00066C47">
        <w:t>the following conditions are satisfied</w:t>
      </w:r>
      <w:r w:rsidR="00DB4898" w:rsidRPr="006364D2">
        <w:t>:</w:t>
      </w:r>
    </w:p>
    <w:bookmarkEnd w:id="93"/>
    <w:p w14:paraId="7A9FC76A" w14:textId="2C7FE804" w:rsidR="00DB4898" w:rsidRDefault="00066C47" w:rsidP="00DB4898">
      <w:pPr>
        <w:pStyle w:val="BodyText2"/>
      </w:pPr>
      <w:r>
        <w:t xml:space="preserve">the ADI </w:t>
      </w:r>
      <w:r w:rsidR="00181685">
        <w:t xml:space="preserve">has a perfected </w:t>
      </w:r>
      <w:r w:rsidR="00022DAF">
        <w:t xml:space="preserve">first priority </w:t>
      </w:r>
      <w:r w:rsidR="00181685">
        <w:t>security interest in the collateral</w:t>
      </w:r>
      <w:r w:rsidR="00CD3FCA">
        <w:t xml:space="preserve"> which is </w:t>
      </w:r>
      <w:r w:rsidR="00DB4898">
        <w:t xml:space="preserve">legally enforceable in all relevant jurisdictions. </w:t>
      </w:r>
      <w:r w:rsidR="00DB4898" w:rsidDel="00E114D6">
        <w:t>The</w:t>
      </w:r>
      <w:r w:rsidR="00DB4898">
        <w:t xml:space="preserve"> ADI’s procedures must ensure that any legal conditions required for declaring the default of the customer are observed</w:t>
      </w:r>
      <w:r w:rsidR="00596446">
        <w:t xml:space="preserve">, and the ADI must be able to realise the collateral within a reasonable timeframe. </w:t>
      </w:r>
      <w:r w:rsidR="00DB4898">
        <w:t xml:space="preserve">In the event of the </w:t>
      </w:r>
      <w:r w:rsidR="00F75188">
        <w:t>borrower</w:t>
      </w:r>
      <w:r w:rsidR="00DB4898">
        <w:t>’s financial distress or default, the ADI must have the legal authority to sell or assign the receivables to other parties without the consent of the receivables’ obligors;</w:t>
      </w:r>
    </w:p>
    <w:p w14:paraId="34558310" w14:textId="2D6345E5" w:rsidR="00F21156" w:rsidRDefault="00DB4898" w:rsidP="00DB4898">
      <w:pPr>
        <w:pStyle w:val="BodyText2"/>
      </w:pPr>
      <w:r>
        <w:lastRenderedPageBreak/>
        <w:t>the ADI assesses the credit risk of the financial receivables taken as collateral</w:t>
      </w:r>
      <w:r w:rsidR="00F21156">
        <w:t xml:space="preserve">. Where the ADI relies on the </w:t>
      </w:r>
      <w:r w:rsidR="00F75188">
        <w:t>borrower</w:t>
      </w:r>
      <w:r w:rsidR="00F21156">
        <w:t xml:space="preserve"> to ascertain the credit risk of the receivables, it must review the </w:t>
      </w:r>
      <w:r w:rsidR="00F75188">
        <w:t>borrower</w:t>
      </w:r>
      <w:r w:rsidR="00F21156">
        <w:t>’s credit policy to determine</w:t>
      </w:r>
      <w:r w:rsidR="004A19FC">
        <w:t xml:space="preserve"> its soundness and credibility</w:t>
      </w:r>
      <w:r w:rsidR="00F21156">
        <w:t>;</w:t>
      </w:r>
    </w:p>
    <w:p w14:paraId="5EB226E4" w14:textId="58D763E4" w:rsidR="00DB4898" w:rsidRDefault="002F7795" w:rsidP="00DB4898">
      <w:pPr>
        <w:pStyle w:val="BodyText2"/>
      </w:pPr>
      <w:r>
        <w:t>the</w:t>
      </w:r>
      <w:r w:rsidR="00DB4898">
        <w:t xml:space="preserve"> margin between the amount of the exposure and the value of the receivables must reflect the cost of collection</w:t>
      </w:r>
      <w:r w:rsidR="00066C47">
        <w:t>,</w:t>
      </w:r>
      <w:r w:rsidR="00DB4898">
        <w:t xml:space="preserve"> concentration within the receivables pool and </w:t>
      </w:r>
      <w:r w:rsidR="00066C47">
        <w:t xml:space="preserve">concentration </w:t>
      </w:r>
      <w:r w:rsidR="00DB4898">
        <w:t>ac</w:t>
      </w:r>
      <w:r w:rsidR="00FE5917">
        <w:t>ross the ADI’s total exposures;</w:t>
      </w:r>
    </w:p>
    <w:p w14:paraId="738ADC8E" w14:textId="18909A97" w:rsidR="00DB4898" w:rsidRDefault="00DB4898" w:rsidP="00DB4898">
      <w:pPr>
        <w:pStyle w:val="BodyText2"/>
      </w:pPr>
      <w:r>
        <w:t>the ADI maintains a continuous monitoring process over the financial r</w:t>
      </w:r>
      <w:r w:rsidR="00FE5917">
        <w:t>eceivables taken as collateral;</w:t>
      </w:r>
    </w:p>
    <w:p w14:paraId="52D47255" w14:textId="77777777" w:rsidR="00152EB0" w:rsidRDefault="00DB4898" w:rsidP="00DB4898">
      <w:pPr>
        <w:pStyle w:val="BodyText2"/>
      </w:pPr>
      <w:r>
        <w:t>the ADI has concentration limits that it monitors;</w:t>
      </w:r>
    </w:p>
    <w:p w14:paraId="313C2AB9" w14:textId="7E7C2C8D" w:rsidR="00DB4898" w:rsidRDefault="00152EB0" w:rsidP="00DB4898">
      <w:pPr>
        <w:pStyle w:val="BodyText2"/>
      </w:pPr>
      <w:r>
        <w:t>the receivables should be diversified and must not be unduly correlated with the borrower. Where the correlation is high, the attendant risks must be taken into account in the setting of margins for the collateral pool as a whole;</w:t>
      </w:r>
      <w:r w:rsidR="00DB4898">
        <w:t xml:space="preserve"> and </w:t>
      </w:r>
    </w:p>
    <w:p w14:paraId="5963E950" w14:textId="2771C51E" w:rsidR="00DB4898" w:rsidRDefault="00DB4898" w:rsidP="00987BEF">
      <w:pPr>
        <w:pStyle w:val="BodyText2"/>
      </w:pPr>
      <w:r>
        <w:t>the ADI has a documented process</w:t>
      </w:r>
      <w:r w:rsidR="00EB59C3">
        <w:t xml:space="preserve"> and the requisite facilities</w:t>
      </w:r>
      <w:r>
        <w:t xml:space="preserve"> for collecting cash remittances from the receivables’ obligor in the event of the </w:t>
      </w:r>
      <w:r w:rsidR="00F75188">
        <w:t>borrower</w:t>
      </w:r>
      <w:r>
        <w:t xml:space="preserve">’s distress or bankruptcy. </w:t>
      </w:r>
    </w:p>
    <w:p w14:paraId="376C85E8" w14:textId="03A20B18" w:rsidR="00987BEF" w:rsidRPr="006A02EA" w:rsidRDefault="00922F24" w:rsidP="008E44F5">
      <w:pPr>
        <w:pStyle w:val="Heading3"/>
      </w:pPr>
      <w:r>
        <w:t>Eligible c</w:t>
      </w:r>
      <w:r w:rsidR="00987BEF" w:rsidRPr="006A02EA">
        <w:t>ommercial or residential real estate</w:t>
      </w:r>
    </w:p>
    <w:p w14:paraId="5959EBE6" w14:textId="5DEEB759" w:rsidR="00987BEF" w:rsidRDefault="00A610CB" w:rsidP="00987BEF">
      <w:pPr>
        <w:pStyle w:val="BodyText1"/>
      </w:pPr>
      <w:bookmarkStart w:id="94" w:name="_Ref54360465"/>
      <w:r>
        <w:t>A</w:t>
      </w:r>
      <w:r w:rsidR="00F62027">
        <w:t xml:space="preserve">n ADI may </w:t>
      </w:r>
      <w:r>
        <w:t xml:space="preserve">recognise </w:t>
      </w:r>
      <w:r w:rsidR="00EA36F7">
        <w:t>commercial real estate</w:t>
      </w:r>
      <w:r w:rsidR="00987BEF">
        <w:t xml:space="preserve"> and </w:t>
      </w:r>
      <w:r w:rsidR="00EA36F7">
        <w:t>residential real estate</w:t>
      </w:r>
      <w:r w:rsidR="00987BEF">
        <w:t xml:space="preserve"> collateral</w:t>
      </w:r>
      <w:r w:rsidR="0067799B">
        <w:t xml:space="preserve"> where</w:t>
      </w:r>
      <w:r w:rsidR="00F75188">
        <w:t xml:space="preserve"> the following requirements are met</w:t>
      </w:r>
      <w:r w:rsidR="00987BEF">
        <w:t>:</w:t>
      </w:r>
      <w:bookmarkEnd w:id="94"/>
    </w:p>
    <w:p w14:paraId="69BBAF7E" w14:textId="41F4A809" w:rsidR="00987BEF" w:rsidRDefault="00987BEF" w:rsidP="00987BEF">
      <w:pPr>
        <w:pStyle w:val="BodyText2"/>
      </w:pPr>
      <w:r w:rsidDel="004771C0">
        <w:t xml:space="preserve">the </w:t>
      </w:r>
      <w:r>
        <w:t xml:space="preserve">risk of the </w:t>
      </w:r>
      <w:r w:rsidR="00F75188">
        <w:t>borrower</w:t>
      </w:r>
      <w:r>
        <w:t xml:space="preserve"> defaulting is not materially dependent upon the performance or cash flow of the underlying </w:t>
      </w:r>
      <w:r w:rsidR="00BE611E">
        <w:t xml:space="preserve">real estate asset </w:t>
      </w:r>
      <w:r>
        <w:t xml:space="preserve">or project but rather on the underlying capacity of the </w:t>
      </w:r>
      <w:r w:rsidR="00F75188">
        <w:t>borrower</w:t>
      </w:r>
      <w:r>
        <w:t xml:space="preserve"> to repay the </w:t>
      </w:r>
      <w:r w:rsidR="00BE611E">
        <w:t xml:space="preserve">credit obligation </w:t>
      </w:r>
      <w:r>
        <w:t>from other sources;</w:t>
      </w:r>
    </w:p>
    <w:p w14:paraId="34FF51B9" w14:textId="61DF3F27" w:rsidR="00F75188" w:rsidRDefault="00987BEF" w:rsidP="00F75188">
      <w:pPr>
        <w:pStyle w:val="BodyText2"/>
      </w:pPr>
      <w:r w:rsidDel="004771C0">
        <w:t xml:space="preserve">the </w:t>
      </w:r>
      <w:r>
        <w:t xml:space="preserve">value of </w:t>
      </w:r>
      <w:r w:rsidR="00DF0C51">
        <w:t xml:space="preserve">the </w:t>
      </w:r>
      <w:r>
        <w:t xml:space="preserve">collateral is not materially dependent upon the performance of the </w:t>
      </w:r>
      <w:r w:rsidR="00F75188">
        <w:t>borrower</w:t>
      </w:r>
      <w:r>
        <w:t xml:space="preserve">. This requirement is not intended to preclude situations where purely macro-economic factors affect both the value of the collateral and the performance of the </w:t>
      </w:r>
      <w:r w:rsidR="00F75188">
        <w:t>borrower;</w:t>
      </w:r>
    </w:p>
    <w:p w14:paraId="41EEF5B5" w14:textId="0CF8E370" w:rsidR="00F75188" w:rsidRDefault="00F75188" w:rsidP="00F75188">
      <w:pPr>
        <w:pStyle w:val="BodyText2"/>
      </w:pPr>
      <w:bookmarkStart w:id="95" w:name="_Ref54360467"/>
      <w:r>
        <w:t xml:space="preserve">claims on </w:t>
      </w:r>
      <w:r w:rsidR="00DF0C51">
        <w:t xml:space="preserve">the </w:t>
      </w:r>
      <w:r>
        <w:t>collateral are legally enforceable in all relevant jurisdictions and legal requirements for establishing the ADI’s claim are fulfilled. The collateral agreement and the legal process underpinning the transaction must allow the ADI to realise the value of the collateral within a reasonable timeframe;</w:t>
      </w:r>
      <w:bookmarkEnd w:id="95"/>
    </w:p>
    <w:p w14:paraId="0754EFE2" w14:textId="77777777" w:rsidR="00F75188" w:rsidRDefault="00F75188" w:rsidP="00F75188">
      <w:pPr>
        <w:pStyle w:val="BodyText2"/>
      </w:pPr>
      <w:r>
        <w:t>the collateral is valued at no more than the current fair value under which it could be sold under contract between a willing seller and an independent buyer on the date of valuation;</w:t>
      </w:r>
    </w:p>
    <w:p w14:paraId="60835D62" w14:textId="77777777" w:rsidR="00F75188" w:rsidRDefault="00F75188" w:rsidP="00F75188">
      <w:pPr>
        <w:pStyle w:val="BodyText2"/>
      </w:pPr>
      <w:r>
        <w:t>the ADI monitors the value of the collateral on at least an annual basis. More frequent monitoring is required where the market is subject to significant changes in value;</w:t>
      </w:r>
    </w:p>
    <w:p w14:paraId="2AA25FDB" w14:textId="1C68DC12" w:rsidR="00F75188" w:rsidRDefault="00F75188" w:rsidP="00F75188">
      <w:pPr>
        <w:pStyle w:val="BodyText2"/>
      </w:pPr>
      <w:r>
        <w:lastRenderedPageBreak/>
        <w:t xml:space="preserve">the ADI’s lending policies clearly document the types of commercial real estate and residential real estate collateral that are acceptable to the ADI. </w:t>
      </w:r>
      <w:r w:rsidR="00C30139">
        <w:t>Exceptions to</w:t>
      </w:r>
      <w:r w:rsidR="00112BC1">
        <w:t>, or overrides of,</w:t>
      </w:r>
      <w:r w:rsidR="00C30139">
        <w:t xml:space="preserve"> the ADI’s policy must not be recognised as </w:t>
      </w:r>
      <w:r>
        <w:t>eligible commercial real estate and residential real estate collateral;</w:t>
      </w:r>
    </w:p>
    <w:p w14:paraId="32441393" w14:textId="07B249C6" w:rsidR="00F75188" w:rsidRDefault="00F75188" w:rsidP="00F75188">
      <w:pPr>
        <w:pStyle w:val="BodyText2"/>
      </w:pPr>
      <w:r>
        <w:t xml:space="preserve">the ADI </w:t>
      </w:r>
      <w:r w:rsidR="00C30139">
        <w:t xml:space="preserve">ensures that </w:t>
      </w:r>
      <w:r>
        <w:t>the real estate asset taken as collateral is adequately insured;</w:t>
      </w:r>
    </w:p>
    <w:p w14:paraId="78AFBF06" w14:textId="0B88F956" w:rsidR="00F75188" w:rsidRDefault="00F75188" w:rsidP="00F75188">
      <w:pPr>
        <w:pStyle w:val="BodyText2"/>
      </w:pPr>
      <w:r>
        <w:t>the ADI monitors and takes into account prior claims (e.g. taxation liabilities) on the real estate asset; and</w:t>
      </w:r>
    </w:p>
    <w:p w14:paraId="0940341B" w14:textId="77777777" w:rsidR="00F75188" w:rsidRDefault="00F75188" w:rsidP="00F75188">
      <w:pPr>
        <w:pStyle w:val="BodyText2"/>
      </w:pPr>
      <w:bookmarkStart w:id="96" w:name="_Ref54360508"/>
      <w:r>
        <w:t>the ADI monitors the risk of environmental liability arising in respect of the collateral.</w:t>
      </w:r>
      <w:bookmarkEnd w:id="96"/>
    </w:p>
    <w:p w14:paraId="7F1BAB13" w14:textId="0ABC41E2" w:rsidR="00F75188" w:rsidRDefault="00F75188" w:rsidP="00F75188">
      <w:pPr>
        <w:ind w:left="567"/>
        <w:jc w:val="both"/>
      </w:pPr>
      <w:r>
        <w:t>Junior liens over commercial real estate or residential real estate may be taken into account where there is no doubt that the claim for collateral is legally enforceable and constitutes effective credit risk mitigation.</w:t>
      </w:r>
    </w:p>
    <w:p w14:paraId="6F2E9239" w14:textId="600785D5" w:rsidR="005757EA" w:rsidRDefault="00084F19" w:rsidP="00BA6283">
      <w:pPr>
        <w:pStyle w:val="BodyText1"/>
      </w:pPr>
      <w:bookmarkStart w:id="97" w:name="_Ref83648301"/>
      <w:r>
        <w:t xml:space="preserve">An ADI may recognise </w:t>
      </w:r>
      <w:r w:rsidR="008B3E47">
        <w:t xml:space="preserve">IPRE </w:t>
      </w:r>
      <w:r w:rsidR="00E00017">
        <w:t>that falls under the specialised lending asset class</w:t>
      </w:r>
      <w:r w:rsidR="005757EA">
        <w:t xml:space="preserve"> as eligible collateral where:</w:t>
      </w:r>
      <w:bookmarkEnd w:id="97"/>
    </w:p>
    <w:p w14:paraId="52EF32E0" w14:textId="3A00DC3F" w:rsidR="005757EA" w:rsidRDefault="005757EA" w:rsidP="00BA6283">
      <w:pPr>
        <w:pStyle w:val="BodyText2"/>
      </w:pPr>
      <w:r>
        <w:t>markets are well-developed and long-established;</w:t>
      </w:r>
    </w:p>
    <w:p w14:paraId="4E0E2771" w14:textId="1E37C324" w:rsidR="005757EA" w:rsidRDefault="005757EA" w:rsidP="00BA6283">
      <w:pPr>
        <w:pStyle w:val="BodyText2"/>
      </w:pPr>
      <w:r>
        <w:t xml:space="preserve">losses stemming from </w:t>
      </w:r>
      <w:r w:rsidR="00E17608">
        <w:t xml:space="preserve">lower risk </w:t>
      </w:r>
      <w:r w:rsidR="00C55BFD">
        <w:t>IPRE</w:t>
      </w:r>
      <w:r>
        <w:t xml:space="preserve"> lending </w:t>
      </w:r>
      <w:r w:rsidR="00E17608">
        <w:t xml:space="preserve">(defined as exposures </w:t>
      </w:r>
      <w:r w:rsidR="00FF3E75">
        <w:t>up to the lower of 50 per cent of the</w:t>
      </w:r>
      <w:r w:rsidR="00E17608">
        <w:t xml:space="preserve"> market value or 60 per cent </w:t>
      </w:r>
      <w:r w:rsidR="00E00017">
        <w:t xml:space="preserve">of the </w:t>
      </w:r>
      <w:r w:rsidR="00FF3E75">
        <w:t>lending value</w:t>
      </w:r>
      <w:r w:rsidR="00E17608">
        <w:t>)</w:t>
      </w:r>
      <w:r w:rsidR="00FF3E75">
        <w:t xml:space="preserve"> </w:t>
      </w:r>
      <w:r w:rsidR="00326FC7">
        <w:t xml:space="preserve">are less than </w:t>
      </w:r>
      <w:r w:rsidR="00FF3E75">
        <w:t>0.3 per cent of outstanding</w:t>
      </w:r>
      <w:r w:rsidR="00C55BFD">
        <w:t xml:space="preserve"> IPRE</w:t>
      </w:r>
      <w:r w:rsidR="00FF3E75">
        <w:t xml:space="preserve"> </w:t>
      </w:r>
      <w:r w:rsidR="00326FC7">
        <w:t xml:space="preserve">exposures </w:t>
      </w:r>
      <w:r w:rsidR="00FF3E75">
        <w:t>in</w:t>
      </w:r>
      <w:r w:rsidR="00E17608">
        <w:t xml:space="preserve"> each of the past three </w:t>
      </w:r>
      <w:r w:rsidR="00FF3E75">
        <w:t>year</w:t>
      </w:r>
      <w:r w:rsidR="00E17608">
        <w:t>s</w:t>
      </w:r>
      <w:r w:rsidR="00BA6283">
        <w:t>;</w:t>
      </w:r>
    </w:p>
    <w:p w14:paraId="06F98DD0" w14:textId="04D812F2" w:rsidR="00BA6283" w:rsidRDefault="00C55BFD" w:rsidP="00BA6283">
      <w:pPr>
        <w:pStyle w:val="BodyText2"/>
      </w:pPr>
      <w:r>
        <w:t>overall losses stemming from IPRE</w:t>
      </w:r>
      <w:r w:rsidR="00BA6283">
        <w:t xml:space="preserve"> lending </w:t>
      </w:r>
      <w:r w:rsidR="00326FC7">
        <w:t xml:space="preserve">are less than </w:t>
      </w:r>
      <w:r w:rsidR="00E17608">
        <w:t xml:space="preserve">0.5 per cent of </w:t>
      </w:r>
      <w:r w:rsidR="00BA6283">
        <w:t xml:space="preserve">outstanding </w:t>
      </w:r>
      <w:r w:rsidR="00536270">
        <w:t>IPRE</w:t>
      </w:r>
      <w:r w:rsidR="00655396">
        <w:t xml:space="preserve"> </w:t>
      </w:r>
      <w:r w:rsidR="00326FC7">
        <w:t xml:space="preserve">exposures </w:t>
      </w:r>
      <w:r w:rsidR="00BA6283">
        <w:t xml:space="preserve">in </w:t>
      </w:r>
      <w:r w:rsidR="00E17608">
        <w:t>each of the past three years</w:t>
      </w:r>
      <w:r w:rsidR="00BA6283">
        <w:t>;</w:t>
      </w:r>
    </w:p>
    <w:p w14:paraId="2C50DB80" w14:textId="006E974A" w:rsidR="00E17608" w:rsidRDefault="00280560" w:rsidP="00BA6283">
      <w:pPr>
        <w:pStyle w:val="BodyText2"/>
      </w:pPr>
      <w:r>
        <w:t xml:space="preserve">the ADI </w:t>
      </w:r>
      <w:r w:rsidR="00BA6283">
        <w:t>publicly disclose</w:t>
      </w:r>
      <w:r w:rsidR="00A20C08">
        <w:t>s</w:t>
      </w:r>
      <w:r w:rsidR="00BA6283">
        <w:t xml:space="preserve"> how it has satisfied the conditions</w:t>
      </w:r>
      <w:r w:rsidR="00D34ECB">
        <w:t xml:space="preserve"> </w:t>
      </w:r>
      <w:r w:rsidR="00E17608">
        <w:t>in sub-paragraphs (b) and (c); and</w:t>
      </w:r>
    </w:p>
    <w:p w14:paraId="69ECC91A" w14:textId="3A474A4B" w:rsidR="00BA6283" w:rsidRDefault="00E17608" w:rsidP="00BA6283">
      <w:pPr>
        <w:pStyle w:val="BodyText2"/>
      </w:pPr>
      <w:r>
        <w:t xml:space="preserve">the conditions </w:t>
      </w:r>
      <w:r w:rsidRPr="00A20C08">
        <w:t xml:space="preserve">detailed in </w:t>
      </w:r>
      <w:r w:rsidR="004A373C">
        <w:t>sub-</w:t>
      </w:r>
      <w:r w:rsidR="00A20C08" w:rsidRPr="00A20C08">
        <w:t>paragrap</w:t>
      </w:r>
      <w:r w:rsidR="004A373C">
        <w:t xml:space="preserve">hs </w:t>
      </w:r>
      <w:r w:rsidR="004A373C">
        <w:fldChar w:fldCharType="begin"/>
      </w:r>
      <w:r w:rsidR="004A373C">
        <w:instrText xml:space="preserve"> REF _Ref54360467 \r \h </w:instrText>
      </w:r>
      <w:r w:rsidR="004A373C">
        <w:fldChar w:fldCharType="separate"/>
      </w:r>
      <w:r w:rsidR="00550C88">
        <w:t>5(c)</w:t>
      </w:r>
      <w:r w:rsidR="004A373C">
        <w:fldChar w:fldCharType="end"/>
      </w:r>
      <w:r w:rsidR="004A373C">
        <w:t xml:space="preserve"> to </w:t>
      </w:r>
      <w:r w:rsidR="004A373C">
        <w:fldChar w:fldCharType="begin"/>
      </w:r>
      <w:r w:rsidR="004A373C">
        <w:instrText xml:space="preserve"> REF _Ref54360508 \r \h </w:instrText>
      </w:r>
      <w:r w:rsidR="004A373C">
        <w:fldChar w:fldCharType="separate"/>
      </w:r>
      <w:r w:rsidR="00550C88">
        <w:t>5(</w:t>
      </w:r>
      <w:proofErr w:type="spellStart"/>
      <w:r w:rsidR="00550C88">
        <w:t>i</w:t>
      </w:r>
      <w:proofErr w:type="spellEnd"/>
      <w:r w:rsidR="00550C88">
        <w:t>)</w:t>
      </w:r>
      <w:r w:rsidR="004A373C">
        <w:fldChar w:fldCharType="end"/>
      </w:r>
      <w:r w:rsidR="004A373C">
        <w:t xml:space="preserve"> </w:t>
      </w:r>
      <w:r w:rsidRPr="00A20C08">
        <w:t>of</w:t>
      </w:r>
      <w:r>
        <w:t xml:space="preserve"> this Attachment are also satisfied.</w:t>
      </w:r>
    </w:p>
    <w:p w14:paraId="6555FDD2" w14:textId="5F79D0B4" w:rsidR="00084F19" w:rsidRPr="003266F3" w:rsidRDefault="00E17608" w:rsidP="00C708E3">
      <w:pPr>
        <w:ind w:left="567"/>
        <w:jc w:val="both"/>
      </w:pPr>
      <w:r w:rsidRPr="00E17608">
        <w:t xml:space="preserve">If </w:t>
      </w:r>
      <w:r w:rsidR="00B203DC">
        <w:t>the</w:t>
      </w:r>
      <w:r w:rsidR="00B203DC" w:rsidRPr="00E17608">
        <w:t xml:space="preserve"> </w:t>
      </w:r>
      <w:r w:rsidRPr="00E17608">
        <w:t xml:space="preserve">ADI is unable to satisfy these requirements, it must immediately cease to recognise </w:t>
      </w:r>
      <w:r w:rsidR="008B3E47">
        <w:t>IPRE</w:t>
      </w:r>
      <w:r w:rsidR="00211AF9" w:rsidRPr="00E17608">
        <w:t xml:space="preserve"> </w:t>
      </w:r>
      <w:r w:rsidRPr="00E17608">
        <w:t>as eligible collateral</w:t>
      </w:r>
      <w:r>
        <w:t>.</w:t>
      </w:r>
    </w:p>
    <w:p w14:paraId="7BDE8B84" w14:textId="08DB8247" w:rsidR="00987BEF" w:rsidRDefault="00987BEF" w:rsidP="008E44F5">
      <w:pPr>
        <w:pStyle w:val="Heading3"/>
      </w:pPr>
      <w:r>
        <w:t>Other</w:t>
      </w:r>
      <w:r w:rsidR="00922F24">
        <w:t xml:space="preserve"> eligible</w:t>
      </w:r>
      <w:r>
        <w:t xml:space="preserve"> physical collateral</w:t>
      </w:r>
    </w:p>
    <w:p w14:paraId="239B35A0" w14:textId="172970EF" w:rsidR="00987BEF" w:rsidRDefault="008E44F5" w:rsidP="008E44F5">
      <w:pPr>
        <w:pStyle w:val="BodyText1"/>
      </w:pPr>
      <w:bookmarkStart w:id="98" w:name="_Ref83395310"/>
      <w:r>
        <w:t>An ADI may recognise other physical collateral whe</w:t>
      </w:r>
      <w:r w:rsidR="003546BC">
        <w:t>re</w:t>
      </w:r>
      <w:r>
        <w:t xml:space="preserve"> the following conditions are met:</w:t>
      </w:r>
      <w:bookmarkEnd w:id="98"/>
    </w:p>
    <w:p w14:paraId="5CAA2FCE" w14:textId="31443BC3" w:rsidR="008E44F5" w:rsidRDefault="003C79E1" w:rsidP="008E44F5">
      <w:pPr>
        <w:pStyle w:val="BodyText2"/>
      </w:pPr>
      <w:bookmarkStart w:id="99" w:name="_Ref83395323"/>
      <w:r>
        <w:t xml:space="preserve">the ADI is able to demonstrate the existence of liquid markets for the disposal of collateral in an expeditious and economically efficient manner. </w:t>
      </w:r>
      <w:r w:rsidR="004E4F56">
        <w:t>The</w:t>
      </w:r>
      <w:r>
        <w:t xml:space="preserve"> ADI must assess that this condition is being met both periodically and when information indicate</w:t>
      </w:r>
      <w:r w:rsidR="000D52A8">
        <w:t>s</w:t>
      </w:r>
      <w:r>
        <w:t xml:space="preserve"> material changes in the market;</w:t>
      </w:r>
      <w:bookmarkEnd w:id="99"/>
    </w:p>
    <w:p w14:paraId="6A56C5C6" w14:textId="4A73D266" w:rsidR="003C79E1" w:rsidRDefault="003C79E1" w:rsidP="008E44F5">
      <w:pPr>
        <w:pStyle w:val="BodyText2"/>
      </w:pPr>
      <w:bookmarkStart w:id="100" w:name="_Ref83395894"/>
      <w:r>
        <w:t>the ADI is able to demonstrate that there are well established, publicly available market prices for the collateral.</w:t>
      </w:r>
      <w:r w:rsidR="003D540B">
        <w:t xml:space="preserve"> For this purpose, publicly </w:t>
      </w:r>
      <w:r w:rsidR="003D540B">
        <w:lastRenderedPageBreak/>
        <w:t>available market prices may include valuations from independent third</w:t>
      </w:r>
      <w:r w:rsidR="00957635">
        <w:t>-</w:t>
      </w:r>
      <w:r w:rsidR="003D540B">
        <w:t>party appraisers that are available for purchase and reflect the current state of the market.</w:t>
      </w:r>
      <w:r>
        <w:t xml:space="preserve"> </w:t>
      </w:r>
      <w:r w:rsidR="004E4F56">
        <w:t>The</w:t>
      </w:r>
      <w:r>
        <w:t xml:space="preserve"> ADI must also be able to demonstrate that the amount it will receive when collateral is realised does not deviate significantly from these market prices;</w:t>
      </w:r>
      <w:bookmarkEnd w:id="100"/>
      <w:r>
        <w:t xml:space="preserve"> </w:t>
      </w:r>
    </w:p>
    <w:p w14:paraId="398F0B52" w14:textId="71CC5746" w:rsidR="003C79E1" w:rsidRDefault="00EE62D2" w:rsidP="004C52BB">
      <w:pPr>
        <w:pStyle w:val="BodyText2"/>
      </w:pPr>
      <w:r>
        <w:t>the</w:t>
      </w:r>
      <w:r w:rsidR="001D1CE6">
        <w:t xml:space="preserve"> ADI must have a </w:t>
      </w:r>
      <w:r>
        <w:t xml:space="preserve">perfected security interest in the collateral, such that it has priority over all other lenders to the realised proceeds of the </w:t>
      </w:r>
      <w:r w:rsidR="004C52BB">
        <w:t>collateral.</w:t>
      </w:r>
      <w:r>
        <w:t xml:space="preserve"> </w:t>
      </w:r>
      <w:r w:rsidR="004C52BB">
        <w:t>The security interest must be</w:t>
      </w:r>
      <w:r w:rsidR="004C52BB" w:rsidRPr="004C52BB">
        <w:t xml:space="preserve"> legally enforceable</w:t>
      </w:r>
      <w:r w:rsidR="004C52BB">
        <w:t xml:space="preserve"> in all relevant jurisdictions, and the ADI must be able to </w:t>
      </w:r>
      <w:r w:rsidR="004C52BB" w:rsidRPr="004C52BB">
        <w:t>realise the value of the collateral within a reasonable timeframe;</w:t>
      </w:r>
    </w:p>
    <w:p w14:paraId="4D7E1998" w14:textId="030EEE40" w:rsidR="00441A62" w:rsidRDefault="00441A62" w:rsidP="004C52BB">
      <w:pPr>
        <w:pStyle w:val="BodyText2"/>
      </w:pPr>
      <w:r>
        <w:t xml:space="preserve">the </w:t>
      </w:r>
      <w:r w:rsidR="00295A41">
        <w:t xml:space="preserve">facility </w:t>
      </w:r>
      <w:r>
        <w:t>agreement must include detailed descriptions of the collateral and the right to examine and revalue the collateral at the sole discretion of the ADI;</w:t>
      </w:r>
    </w:p>
    <w:p w14:paraId="093DA0BD" w14:textId="77777777" w:rsidR="0066527C" w:rsidRPr="0066527C" w:rsidRDefault="0066527C" w:rsidP="0066527C">
      <w:pPr>
        <w:pStyle w:val="BodyText2"/>
      </w:pPr>
      <w:bookmarkStart w:id="101" w:name="_Ref83395667"/>
      <w:r w:rsidRPr="0066527C">
        <w:t>the collateral is valued at no more than the current fair value under which it could be sold under contract between a willing seller and an independent buyer on the date of valuation;</w:t>
      </w:r>
      <w:bookmarkEnd w:id="101"/>
      <w:r w:rsidRPr="0066527C">
        <w:t xml:space="preserve"> </w:t>
      </w:r>
    </w:p>
    <w:p w14:paraId="595E3076" w14:textId="6ED6C239" w:rsidR="00DE76E2" w:rsidRDefault="0066527C" w:rsidP="00DE76E2">
      <w:pPr>
        <w:pStyle w:val="BodyText2"/>
      </w:pPr>
      <w:bookmarkStart w:id="102" w:name="_Ref83395702"/>
      <w:r w:rsidRPr="0066527C">
        <w:t>the ADI monitors the value of the collateral on at least an annual basis. More frequent monitoring is required where the market is subject to si</w:t>
      </w:r>
      <w:r w:rsidR="00DE76E2">
        <w:t>gnificant changes in value;</w:t>
      </w:r>
      <w:bookmarkEnd w:id="102"/>
    </w:p>
    <w:p w14:paraId="31699E2D" w14:textId="0980FED4" w:rsidR="00C63BB6" w:rsidRDefault="00C63BB6" w:rsidP="00DE76E2">
      <w:pPr>
        <w:pStyle w:val="BodyText2"/>
      </w:pPr>
      <w:r>
        <w:t>the ADI must have the right to physically inspect the collateral and have policies and procedures in place that set out the minimum frequency of inspection (physical or otherwise) for different types of collateral and the circumstances in which an inspection (physical or otherwise) of the collateral must be performed immediately;</w:t>
      </w:r>
    </w:p>
    <w:p w14:paraId="3ACE910E" w14:textId="15CB8B59" w:rsidR="007C49B6" w:rsidRDefault="007C49B6" w:rsidP="00DE76E2">
      <w:pPr>
        <w:pStyle w:val="BodyText2"/>
      </w:pPr>
      <w:r>
        <w:t>the ADI must have clearly documented credit policies and procedures that detail the:</w:t>
      </w:r>
    </w:p>
    <w:p w14:paraId="2CCEBE56" w14:textId="6FE113F6" w:rsidR="00441A62" w:rsidRDefault="00795926" w:rsidP="008F4C02">
      <w:pPr>
        <w:pStyle w:val="BodyText3"/>
      </w:pPr>
      <w:r>
        <w:t>types of physical collateral accepted by the ADI, and policies and practices in respect of the appropriate amount of each type of collateral relative to the exposure amount;</w:t>
      </w:r>
    </w:p>
    <w:p w14:paraId="0620DED0" w14:textId="14FE24E8" w:rsidR="008F4C02" w:rsidRDefault="008F4C02" w:rsidP="008F4C02">
      <w:pPr>
        <w:pStyle w:val="BodyText3"/>
      </w:pPr>
      <w:r>
        <w:t xml:space="preserve">ADI’s </w:t>
      </w:r>
      <w:r w:rsidR="00AE61B4">
        <w:t>ability to l</w:t>
      </w:r>
      <w:r>
        <w:t>iquidate the collateral readily;</w:t>
      </w:r>
      <w:r w:rsidR="00AE61B4">
        <w:t xml:space="preserve"> </w:t>
      </w:r>
      <w:r>
        <w:t>and</w:t>
      </w:r>
    </w:p>
    <w:p w14:paraId="23FEFEC3" w14:textId="5BA6822C" w:rsidR="00795926" w:rsidRDefault="008F4C02" w:rsidP="008F4C02">
      <w:pPr>
        <w:pStyle w:val="BodyText3"/>
      </w:pPr>
      <w:r>
        <w:t xml:space="preserve">ADI’s </w:t>
      </w:r>
      <w:r w:rsidR="00AE61B4">
        <w:t>ability to objectively es</w:t>
      </w:r>
      <w:r>
        <w:t xml:space="preserve">tablish a price or market value of the collateral, </w:t>
      </w:r>
      <w:r w:rsidR="00AE61B4">
        <w:t>frequency with which the value can be readily obtained, and the volatility of the value of the collateral</w:t>
      </w:r>
      <w:r w:rsidR="00294A57">
        <w:t xml:space="preserve">. The periodic revaluation process must pay particular attention to ‘fashion-sensitive’ collateral to ensure that valuations are appropriately adjusted downward </w:t>
      </w:r>
      <w:r w:rsidR="004C7353">
        <w:t xml:space="preserve">for </w:t>
      </w:r>
      <w:r w:rsidR="00294A57">
        <w:t>fashion, or model-year, obsolescence as well as physical obsolescence or deterioration</w:t>
      </w:r>
      <w:r w:rsidR="00AE61B4">
        <w:t>;</w:t>
      </w:r>
    </w:p>
    <w:p w14:paraId="5A53855A" w14:textId="628C0BA4" w:rsidR="00DE76E2" w:rsidRDefault="00DE76E2" w:rsidP="00DE76E2">
      <w:pPr>
        <w:pStyle w:val="BodyText2"/>
      </w:pPr>
      <w:r>
        <w:t>the ADI ensures that the collateral is adequately insured; and</w:t>
      </w:r>
    </w:p>
    <w:p w14:paraId="0B51C6A1" w14:textId="0FC5D07D" w:rsidR="00DE76E2" w:rsidRDefault="00DE76E2" w:rsidP="00DE76E2">
      <w:pPr>
        <w:pStyle w:val="BodyText2"/>
      </w:pPr>
      <w:r w:rsidRPr="00DE76E2">
        <w:t>the ADI monitors the risk of environmental liability arising in respect of the collateral.</w:t>
      </w:r>
    </w:p>
    <w:p w14:paraId="247E5AB0" w14:textId="1C6E99DA" w:rsidR="001062A0" w:rsidRDefault="00470C74" w:rsidP="00470C74">
      <w:pPr>
        <w:pStyle w:val="BodyText1"/>
      </w:pPr>
      <w:r>
        <w:lastRenderedPageBreak/>
        <w:t xml:space="preserve">An ADI must have </w:t>
      </w:r>
      <w:r w:rsidR="00675E9E">
        <w:t xml:space="preserve">clearly </w:t>
      </w:r>
      <w:r>
        <w:t xml:space="preserve">documented policies and procedures for assessing </w:t>
      </w:r>
      <w:r w:rsidR="007453AF">
        <w:t>each</w:t>
      </w:r>
      <w:r>
        <w:t xml:space="preserve"> type of physical collateral against the conditions detailed in paragraph </w:t>
      </w:r>
      <w:r w:rsidR="007453AF">
        <w:fldChar w:fldCharType="begin"/>
      </w:r>
      <w:r w:rsidR="007453AF">
        <w:instrText xml:space="preserve"> REF _Ref83395310 \r \h </w:instrText>
      </w:r>
      <w:r w:rsidR="007453AF">
        <w:fldChar w:fldCharType="separate"/>
      </w:r>
      <w:r w:rsidR="00550C88">
        <w:t>7</w:t>
      </w:r>
      <w:r w:rsidR="007453AF">
        <w:fldChar w:fldCharType="end"/>
      </w:r>
      <w:r w:rsidR="004C7353">
        <w:rPr>
          <w:rStyle w:val="CommentReference"/>
          <w:rFonts w:eastAsia="Calibri"/>
        </w:rPr>
        <w:t xml:space="preserve"> </w:t>
      </w:r>
      <w:r w:rsidR="004C7353" w:rsidRPr="00C34717">
        <w:rPr>
          <w:rFonts w:eastAsia="Calibri"/>
        </w:rPr>
        <w:t>of this Attachment</w:t>
      </w:r>
      <w:r w:rsidR="007453AF">
        <w:t xml:space="preserve">. </w:t>
      </w:r>
      <w:r w:rsidR="001062A0">
        <w:t xml:space="preserve">For this purpose, the </w:t>
      </w:r>
      <w:r w:rsidR="0037166B">
        <w:t>ADI</w:t>
      </w:r>
      <w:r w:rsidR="001062A0">
        <w:t xml:space="preserve"> must consider:</w:t>
      </w:r>
    </w:p>
    <w:p w14:paraId="1500ACC7" w14:textId="5A775B97" w:rsidR="001062A0" w:rsidRDefault="001062A0" w:rsidP="001062A0">
      <w:pPr>
        <w:pStyle w:val="BodyText2"/>
      </w:pPr>
      <w:r>
        <w:t>in</w:t>
      </w:r>
      <w:r w:rsidR="003D540B">
        <w:t xml:space="preserve"> relation to</w:t>
      </w:r>
      <w:r w:rsidR="007453AF">
        <w:t xml:space="preserve"> </w:t>
      </w:r>
      <w:r w:rsidR="00C317B4">
        <w:t>sub-</w:t>
      </w:r>
      <w:r w:rsidR="007453AF">
        <w:t xml:space="preserve">paragraph </w:t>
      </w:r>
      <w:r w:rsidR="007453AF">
        <w:fldChar w:fldCharType="begin"/>
      </w:r>
      <w:r w:rsidR="007453AF">
        <w:instrText xml:space="preserve"> REF _Ref83395323 \w \h </w:instrText>
      </w:r>
      <w:r w:rsidR="007453AF">
        <w:fldChar w:fldCharType="separate"/>
      </w:r>
      <w:r w:rsidR="00550C88">
        <w:t>7(a)</w:t>
      </w:r>
      <w:r w:rsidR="007453AF">
        <w:fldChar w:fldCharType="end"/>
      </w:r>
      <w:r w:rsidR="004C7353">
        <w:rPr>
          <w:rStyle w:val="CommentReference"/>
        </w:rPr>
        <w:t xml:space="preserve"> </w:t>
      </w:r>
      <w:r w:rsidR="004C7353" w:rsidRPr="007A6607">
        <w:t>of this Attachment</w:t>
      </w:r>
      <w:r w:rsidR="007453AF">
        <w:t xml:space="preserve">, the attributes of the collateral such as the degree of customisation or standardisation, location of the market </w:t>
      </w:r>
      <w:r w:rsidR="00675E9E">
        <w:t>in which</w:t>
      </w:r>
      <w:r w:rsidR="007453AF">
        <w:t xml:space="preserve"> the </w:t>
      </w:r>
      <w:r w:rsidR="00675E9E">
        <w:t>collateral</w:t>
      </w:r>
      <w:r w:rsidR="007453AF">
        <w:t xml:space="preserve"> is expected to be exchanged, age, condition and reusability of the collateral, transaction costs (including the time to transaction), and the prevalence </w:t>
      </w:r>
      <w:r w:rsidR="00E042EB">
        <w:t>of brokers and dealers</w:t>
      </w:r>
      <w:r>
        <w:t>; and</w:t>
      </w:r>
    </w:p>
    <w:p w14:paraId="32DC0794" w14:textId="489E85B8" w:rsidR="00470C74" w:rsidRDefault="00785975" w:rsidP="00CC7B57">
      <w:pPr>
        <w:pStyle w:val="BodyText2"/>
      </w:pPr>
      <w:r>
        <w:t xml:space="preserve">where applicable, </w:t>
      </w:r>
      <w:r w:rsidR="001062A0">
        <w:t>in</w:t>
      </w:r>
      <w:r w:rsidR="00E042EB">
        <w:t xml:space="preserve"> relation</w:t>
      </w:r>
      <w:r w:rsidR="003D540B">
        <w:t xml:space="preserve"> to </w:t>
      </w:r>
      <w:r w:rsidR="00C317B4">
        <w:t>sub-</w:t>
      </w:r>
      <w:r w:rsidR="00E042EB">
        <w:t xml:space="preserve">paragraph </w:t>
      </w:r>
      <w:r w:rsidR="00E042EB">
        <w:fldChar w:fldCharType="begin"/>
      </w:r>
      <w:r w:rsidR="00E042EB">
        <w:instrText xml:space="preserve"> REF _Ref83395894 \w \h </w:instrText>
      </w:r>
      <w:r w:rsidR="00E042EB">
        <w:fldChar w:fldCharType="separate"/>
      </w:r>
      <w:r w:rsidR="00550C88">
        <w:t>7(b)</w:t>
      </w:r>
      <w:r w:rsidR="00E042EB">
        <w:fldChar w:fldCharType="end"/>
      </w:r>
      <w:r w:rsidR="004C7353">
        <w:t xml:space="preserve"> </w:t>
      </w:r>
      <w:r w:rsidR="004C7353" w:rsidRPr="007A6607">
        <w:t>of this Attachment</w:t>
      </w:r>
      <w:r w:rsidR="00E042EB">
        <w:t>, the credibility of the appraiser</w:t>
      </w:r>
      <w:r>
        <w:t xml:space="preserve"> </w:t>
      </w:r>
      <w:r w:rsidR="00E042EB">
        <w:t xml:space="preserve">and the reliability of their appraisals. </w:t>
      </w:r>
    </w:p>
    <w:p w14:paraId="43165606" w14:textId="42C1BA83" w:rsidR="00062C5E" w:rsidRPr="00167E21" w:rsidRDefault="003D540B" w:rsidP="00167E21">
      <w:pPr>
        <w:pStyle w:val="BodyText1"/>
      </w:pPr>
      <w:r>
        <w:t>An ADI must maintain a register of physical collateral deemed</w:t>
      </w:r>
      <w:r w:rsidR="00675E9E">
        <w:t xml:space="preserve"> to be</w:t>
      </w:r>
      <w:r>
        <w:t xml:space="preserve"> eligible</w:t>
      </w:r>
      <w:r w:rsidR="00675E9E">
        <w:t xml:space="preserve"> collateral</w:t>
      </w:r>
      <w:r>
        <w:t xml:space="preserve"> based on an assessment against the conditions detailed in paragraph </w:t>
      </w:r>
      <w:r>
        <w:fldChar w:fldCharType="begin"/>
      </w:r>
      <w:r>
        <w:instrText xml:space="preserve"> REF _Ref83395310 \n \h </w:instrText>
      </w:r>
      <w:r>
        <w:fldChar w:fldCharType="separate"/>
      </w:r>
      <w:r w:rsidR="00550C88">
        <w:t>7</w:t>
      </w:r>
      <w:r>
        <w:fldChar w:fldCharType="end"/>
      </w:r>
      <w:r>
        <w:t xml:space="preserve"> of this Attachment. The </w:t>
      </w:r>
      <w:r w:rsidR="00C63BB6">
        <w:t>register must be kept up-to-date and made available to APRA upon request.</w:t>
      </w:r>
    </w:p>
    <w:p w14:paraId="4887A608" w14:textId="06C859B8" w:rsidR="00366324" w:rsidRPr="00720911" w:rsidRDefault="00366324" w:rsidP="00366324">
      <w:pPr>
        <w:pStyle w:val="Heading3"/>
      </w:pPr>
      <w:r w:rsidRPr="00720911">
        <w:t>General security agreements</w:t>
      </w:r>
    </w:p>
    <w:p w14:paraId="4F268DD5" w14:textId="55230D43" w:rsidR="00366324" w:rsidRPr="00366324" w:rsidRDefault="00E84F92" w:rsidP="00366324">
      <w:pPr>
        <w:pStyle w:val="BodyText1"/>
      </w:pPr>
      <w:r>
        <w:t>Where an ADI</w:t>
      </w:r>
      <w:r w:rsidR="00937FAB">
        <w:t xml:space="preserve">’s exposure is secured by a general security agreement </w:t>
      </w:r>
      <w:r w:rsidR="004E3959">
        <w:t xml:space="preserve">(or </w:t>
      </w:r>
      <w:r w:rsidR="00C96F71">
        <w:t xml:space="preserve">an </w:t>
      </w:r>
      <w:r w:rsidR="004E3959">
        <w:t>equi</w:t>
      </w:r>
      <w:r w:rsidR="00173AB1">
        <w:t>valent form of floating charge)</w:t>
      </w:r>
      <w:r w:rsidR="004E3959">
        <w:t xml:space="preserve"> </w:t>
      </w:r>
      <w:r w:rsidR="00173AB1">
        <w:t xml:space="preserve">over both eligible collateral and other types of collateral, it may only recognise </w:t>
      </w:r>
      <w:r w:rsidR="00934A25">
        <w:t>the security interest over eligible collateral.</w:t>
      </w:r>
      <w:r w:rsidR="00EC4D3A">
        <w:t xml:space="preserve"> Recognition is conditional on the eligible collateral meeting the relevant operational requirements detailed </w:t>
      </w:r>
      <w:r w:rsidR="00FE5917">
        <w:t>in this Attachment.</w:t>
      </w:r>
    </w:p>
    <w:p w14:paraId="590E6130" w14:textId="750F9CE3" w:rsidR="003E032C" w:rsidRDefault="003E032C" w:rsidP="008E44F5">
      <w:pPr>
        <w:pStyle w:val="Heading2"/>
      </w:pPr>
      <w:r>
        <w:t>Recognition of leasing</w:t>
      </w:r>
    </w:p>
    <w:p w14:paraId="73029970" w14:textId="446ECFCD" w:rsidR="003E032C" w:rsidRDefault="003E032C" w:rsidP="003E032C">
      <w:pPr>
        <w:pStyle w:val="BodyText1"/>
      </w:pPr>
      <w:r>
        <w:t>In addition</w:t>
      </w:r>
      <w:r w:rsidR="00C576A1">
        <w:t xml:space="preserve"> to t</w:t>
      </w:r>
      <w:r w:rsidR="00DF0F6C">
        <w:t>he minimum requirements for</w:t>
      </w:r>
      <w:r w:rsidR="000916FC">
        <w:t xml:space="preserve"> the</w:t>
      </w:r>
      <w:r w:rsidR="00DF0F6C">
        <w:t xml:space="preserve"> </w:t>
      </w:r>
      <w:r w:rsidR="00C576A1">
        <w:t>eligible collateral type</w:t>
      </w:r>
      <w:r>
        <w:t xml:space="preserve">, </w:t>
      </w:r>
      <w:r w:rsidR="00DF0F6C">
        <w:t>an ADI must also satisfy</w:t>
      </w:r>
      <w:r w:rsidR="00C576A1">
        <w:t xml:space="preserve"> </w:t>
      </w:r>
      <w:r>
        <w:t xml:space="preserve">the following </w:t>
      </w:r>
      <w:r w:rsidR="00DF0F6C">
        <w:t xml:space="preserve">requirements </w:t>
      </w:r>
      <w:r w:rsidR="00C576A1">
        <w:t>in relation to its lease exposures</w:t>
      </w:r>
      <w:r>
        <w:t>:</w:t>
      </w:r>
    </w:p>
    <w:p w14:paraId="45C549F5" w14:textId="77777777" w:rsidR="003E032C" w:rsidRDefault="003E032C" w:rsidP="003E032C">
      <w:pPr>
        <w:pStyle w:val="BodyText2"/>
      </w:pPr>
      <w:r>
        <w:t>robust risk management practices with respect to the location of the leased asset, its use, age and planned obsolescence;</w:t>
      </w:r>
    </w:p>
    <w:p w14:paraId="3CB327FA" w14:textId="77777777" w:rsidR="003E032C" w:rsidRDefault="003E032C" w:rsidP="003E032C">
      <w:pPr>
        <w:pStyle w:val="BodyText2"/>
      </w:pPr>
      <w:r>
        <w:t>a robust legal framework establishing the ADI’s legal ownership of the leased asset and its ability to exercise its rights as owner in a timely manner; and</w:t>
      </w:r>
    </w:p>
    <w:p w14:paraId="401171D8" w14:textId="7F9E973F" w:rsidR="003E032C" w:rsidRDefault="003E032C" w:rsidP="003E032C">
      <w:pPr>
        <w:pStyle w:val="BodyText2"/>
      </w:pPr>
      <w:r>
        <w:t xml:space="preserve">the difference between the rate of depreciation of the leased asset and the rate of amortisation of the lease payments must not be so large as to overstate the </w:t>
      </w:r>
      <w:r w:rsidR="000A26C4">
        <w:t xml:space="preserve">credit risk mitigation </w:t>
      </w:r>
      <w:r>
        <w:t>effect of the leased asset.</w:t>
      </w:r>
    </w:p>
    <w:p w14:paraId="38E35573" w14:textId="08AA6D33" w:rsidR="008E44F5" w:rsidRDefault="008E44F5" w:rsidP="008E44F5">
      <w:pPr>
        <w:pStyle w:val="Heading2"/>
      </w:pPr>
      <w:r>
        <w:t xml:space="preserve">Recognition of </w:t>
      </w:r>
      <w:r w:rsidR="006C28C5" w:rsidRPr="000B060F">
        <w:t>guarantee</w:t>
      </w:r>
      <w:r w:rsidR="006C28C5">
        <w:t>s and credit derivatives</w:t>
      </w:r>
    </w:p>
    <w:p w14:paraId="0A9143BC" w14:textId="6AE848CE" w:rsidR="00343770" w:rsidRDefault="00343770" w:rsidP="003D7361">
      <w:pPr>
        <w:pStyle w:val="BodyText1"/>
      </w:pPr>
      <w:r>
        <w:t xml:space="preserve">In order to recognise the use of </w:t>
      </w:r>
      <w:r w:rsidR="00AD23E5">
        <w:t>CRM</w:t>
      </w:r>
      <w:r w:rsidR="007A4A08">
        <w:t xml:space="preserve"> techniques</w:t>
      </w:r>
      <w:r>
        <w:t xml:space="preserve"> to reduce </w:t>
      </w:r>
      <w:r w:rsidR="000843C2">
        <w:t>R</w:t>
      </w:r>
      <w:r>
        <w:t xml:space="preserve">egulatory </w:t>
      </w:r>
      <w:r w:rsidR="000843C2">
        <w:t>C</w:t>
      </w:r>
      <w:r>
        <w:t xml:space="preserve">apital requirements, </w:t>
      </w:r>
      <w:r w:rsidR="00C30139" w:rsidRPr="003D7361">
        <w:t>all documentation</w:t>
      </w:r>
      <w:r w:rsidR="007C22B2">
        <w:t xml:space="preserve"> that supports the use of the CRM technique</w:t>
      </w:r>
      <w:r w:rsidR="00C30139" w:rsidRPr="003D7361">
        <w:t xml:space="preserve"> must be binding on </w:t>
      </w:r>
      <w:r w:rsidR="003D7361" w:rsidRPr="003D7361">
        <w:t xml:space="preserve">all parties and legally enforceable in all relevant jurisdictions. </w:t>
      </w:r>
      <w:r w:rsidR="00C96F71">
        <w:t>An</w:t>
      </w:r>
      <w:r w:rsidR="00C96F71" w:rsidRPr="003D7361">
        <w:t xml:space="preserve"> </w:t>
      </w:r>
      <w:r w:rsidR="003D7361" w:rsidRPr="003D7361">
        <w:t>ADI must have undertaken sufficient legal review to be satisfied of the legal enforceability of the CRM technique, and must undertake periodic reviews to confirm its ongoing enforceability.</w:t>
      </w:r>
    </w:p>
    <w:p w14:paraId="087F2F6F" w14:textId="58EF9BE0" w:rsidR="005C2F0D" w:rsidRDefault="005C2F0D" w:rsidP="008708CC">
      <w:pPr>
        <w:pStyle w:val="BodyText1"/>
      </w:pPr>
      <w:r>
        <w:lastRenderedPageBreak/>
        <w:t xml:space="preserve">All recognised guarantors and credit protection providers must be assigned </w:t>
      </w:r>
      <w:r w:rsidR="00F75188">
        <w:t>a borrower</w:t>
      </w:r>
      <w:r>
        <w:t xml:space="preserve"> rating at the outset and on an ongoing basis. An ADI must follow the minimum requirements for assigning </w:t>
      </w:r>
      <w:r w:rsidR="00F75188">
        <w:t>borrower</w:t>
      </w:r>
      <w:r>
        <w:t xml:space="preserve"> ratings as </w:t>
      </w:r>
      <w:r w:rsidRPr="000843C2">
        <w:t xml:space="preserve">set out in Attachment </w:t>
      </w:r>
      <w:r w:rsidR="000843C2" w:rsidRPr="000843C2">
        <w:t>D</w:t>
      </w:r>
      <w:r w:rsidRPr="000843C2">
        <w:t xml:space="preserve"> to this Prudential Standard.</w:t>
      </w:r>
      <w:r>
        <w:t xml:space="preserve"> The ADI must undertake regular monitoring of </w:t>
      </w:r>
      <w:r w:rsidR="00284F08">
        <w:t xml:space="preserve">the </w:t>
      </w:r>
      <w:r w:rsidR="003727C4">
        <w:t xml:space="preserve">financial </w:t>
      </w:r>
      <w:r w:rsidR="00284F08">
        <w:t xml:space="preserve">condition of the guarantor or credit protection provider, </w:t>
      </w:r>
      <w:r>
        <w:t>and its ability and willingness to honour its obligations</w:t>
      </w:r>
      <w:r w:rsidR="00FE5917">
        <w:t>.</w:t>
      </w:r>
    </w:p>
    <w:p w14:paraId="2AEAB117" w14:textId="6D2C7D8D" w:rsidR="00E048E7" w:rsidRDefault="008708CC" w:rsidP="008708CC">
      <w:pPr>
        <w:pStyle w:val="BodyText1"/>
      </w:pPr>
      <w:r w:rsidRPr="00B24F79">
        <w:t xml:space="preserve">An ADI must have documented criteria for adjusting PD </w:t>
      </w:r>
      <w:r w:rsidR="004A1B52">
        <w:t>or</w:t>
      </w:r>
      <w:r w:rsidRPr="00B24F79">
        <w:t xml:space="preserve"> LGD estimates to reflect the impact of guarantees and credit derivatives under the substitution approaches. These criteria must</w:t>
      </w:r>
      <w:r w:rsidR="001560D3">
        <w:t>:</w:t>
      </w:r>
    </w:p>
    <w:p w14:paraId="5469B782" w14:textId="4394168C" w:rsidR="00E048E7" w:rsidRDefault="008708CC" w:rsidP="00E048E7">
      <w:pPr>
        <w:pStyle w:val="BodyText2"/>
      </w:pPr>
      <w:r w:rsidRPr="00B24F79">
        <w:t xml:space="preserve">be consistent with the requirements for assigning exposures to </w:t>
      </w:r>
      <w:r w:rsidR="00F75188">
        <w:t>borrower</w:t>
      </w:r>
      <w:r w:rsidRPr="00B24F79">
        <w:t xml:space="preserve"> </w:t>
      </w:r>
      <w:r w:rsidR="005C5B84">
        <w:t>or</w:t>
      </w:r>
      <w:r w:rsidR="000E47DA">
        <w:t xml:space="preserve"> facility grades</w:t>
      </w:r>
      <w:r w:rsidRPr="00B24F79">
        <w:t xml:space="preserve"> </w:t>
      </w:r>
      <w:r w:rsidR="000E47DA">
        <w:t xml:space="preserve">or pools </w:t>
      </w:r>
      <w:r w:rsidRPr="00B24F79">
        <w:t>as set out in parag</w:t>
      </w:r>
      <w:r w:rsidRPr="001044C5">
        <w:t xml:space="preserve">raphs </w:t>
      </w:r>
      <w:r w:rsidR="001044C5" w:rsidRPr="001044C5">
        <w:fldChar w:fldCharType="begin"/>
      </w:r>
      <w:r w:rsidR="001044C5" w:rsidRPr="001044C5">
        <w:instrText xml:space="preserve"> REF _Ref34391843 \r \h </w:instrText>
      </w:r>
      <w:r w:rsidR="001044C5">
        <w:instrText xml:space="preserve"> \* MERGEFORMAT </w:instrText>
      </w:r>
      <w:r w:rsidR="001044C5" w:rsidRPr="001044C5">
        <w:fldChar w:fldCharType="separate"/>
      </w:r>
      <w:r w:rsidR="00550C88">
        <w:t>19</w:t>
      </w:r>
      <w:r w:rsidR="001044C5" w:rsidRPr="001044C5">
        <w:fldChar w:fldCharType="end"/>
      </w:r>
      <w:r w:rsidR="001044C5" w:rsidRPr="001044C5">
        <w:t xml:space="preserve"> to </w:t>
      </w:r>
      <w:r w:rsidR="001044C5" w:rsidRPr="001044C5">
        <w:fldChar w:fldCharType="begin"/>
      </w:r>
      <w:r w:rsidR="001044C5" w:rsidRPr="001044C5">
        <w:instrText xml:space="preserve"> REF _Ref34391845 \r \h </w:instrText>
      </w:r>
      <w:r w:rsidR="001044C5">
        <w:instrText xml:space="preserve"> \* MERGEFORMAT </w:instrText>
      </w:r>
      <w:r w:rsidR="001044C5" w:rsidRPr="001044C5">
        <w:fldChar w:fldCharType="separate"/>
      </w:r>
      <w:r w:rsidR="00550C88">
        <w:t>23</w:t>
      </w:r>
      <w:r w:rsidR="001044C5" w:rsidRPr="001044C5">
        <w:fldChar w:fldCharType="end"/>
      </w:r>
      <w:r w:rsidRPr="001044C5">
        <w:t xml:space="preserve"> of Attachment </w:t>
      </w:r>
      <w:r w:rsidR="001044C5">
        <w:t>D</w:t>
      </w:r>
      <w:r w:rsidR="00951E02">
        <w:t xml:space="preserve"> to this Prudential Standard</w:t>
      </w:r>
      <w:r w:rsidR="00E048E7" w:rsidRPr="001044C5">
        <w:t>;</w:t>
      </w:r>
    </w:p>
    <w:p w14:paraId="6F54E3A9" w14:textId="59DCD223" w:rsidR="001560D3" w:rsidRDefault="008708CC" w:rsidP="00E048E7">
      <w:pPr>
        <w:pStyle w:val="BodyText2"/>
      </w:pPr>
      <w:r w:rsidRPr="00B24F79">
        <w:t>be plausible and intuitive</w:t>
      </w:r>
      <w:r w:rsidR="00E048E7">
        <w:t>,</w:t>
      </w:r>
      <w:r w:rsidRPr="00B24F79">
        <w:t xml:space="preserve"> and address the guarantor or credit protection provider’s ability and willingness to perform under the guarantee or credit derivative</w:t>
      </w:r>
      <w:r w:rsidR="00E048E7">
        <w:t>;</w:t>
      </w:r>
    </w:p>
    <w:p w14:paraId="6CBD64B6" w14:textId="4E251B2C" w:rsidR="001560D3" w:rsidRDefault="008708CC" w:rsidP="00E048E7">
      <w:pPr>
        <w:pStyle w:val="BodyText2"/>
      </w:pPr>
      <w:r w:rsidRPr="00B24F79">
        <w:t xml:space="preserve">address the likely timing of any payments and the degree to which the guarantor or credit protection provider’s ability to perform under the guarantee or credit derivative is correlated with the </w:t>
      </w:r>
      <w:r w:rsidR="00F75188">
        <w:t>borrower</w:t>
      </w:r>
      <w:r w:rsidRPr="00B24F79">
        <w:t>’s ability to repay</w:t>
      </w:r>
      <w:r w:rsidR="001560D3">
        <w:t>; and</w:t>
      </w:r>
    </w:p>
    <w:p w14:paraId="07ECA1F2" w14:textId="47D7EBD7" w:rsidR="001560D3" w:rsidRDefault="008708CC" w:rsidP="00E048E7">
      <w:pPr>
        <w:pStyle w:val="BodyText2"/>
      </w:pPr>
      <w:r w:rsidRPr="00B24F79">
        <w:t>consider the extent to which residu</w:t>
      </w:r>
      <w:r w:rsidR="00FE5917">
        <w:t>al risks remain.</w:t>
      </w:r>
    </w:p>
    <w:p w14:paraId="2367587F" w14:textId="666A33D4" w:rsidR="00980F5F" w:rsidRDefault="007022B0" w:rsidP="007022B0">
      <w:pPr>
        <w:pStyle w:val="BodyText1"/>
      </w:pPr>
      <w:r w:rsidRPr="00FD64B5">
        <w:t xml:space="preserve">The criteria used for </w:t>
      </w:r>
      <w:r w:rsidR="00413C0F">
        <w:t>adjusting</w:t>
      </w:r>
      <w:r w:rsidRPr="00FD64B5">
        <w:t xml:space="preserve"> PD or LGD estimates for exposures covered by credit derivatives must </w:t>
      </w:r>
      <w:r w:rsidR="00451C3D">
        <w:t>also</w:t>
      </w:r>
      <w:r w:rsidR="00980F5F">
        <w:t>:</w:t>
      </w:r>
    </w:p>
    <w:p w14:paraId="5D0DE9E2" w14:textId="5C4B6E3C" w:rsidR="00372129" w:rsidRPr="00FD64B5" w:rsidRDefault="007022B0" w:rsidP="002E3D2E">
      <w:pPr>
        <w:pStyle w:val="BodyText2"/>
      </w:pPr>
      <w:r w:rsidRPr="00FD64B5">
        <w:t xml:space="preserve">require that the asset on which the protection is based (the reference asset) not be different from the underlying asset unless the conditions detailed in </w:t>
      </w:r>
      <w:r w:rsidRPr="00EE2695">
        <w:t>paragraph</w:t>
      </w:r>
      <w:r w:rsidR="00EE2695" w:rsidRPr="00EE2695">
        <w:t xml:space="preserve">s </w:t>
      </w:r>
      <w:r w:rsidR="007C2AFC">
        <w:t>10</w:t>
      </w:r>
      <w:r w:rsidR="00EE2695" w:rsidRPr="00EE2695">
        <w:t xml:space="preserve"> and 1</w:t>
      </w:r>
      <w:r w:rsidR="007C2AFC">
        <w:t>1</w:t>
      </w:r>
      <w:r w:rsidR="00EE2695" w:rsidRPr="00EE2695">
        <w:t xml:space="preserve"> </w:t>
      </w:r>
      <w:r w:rsidRPr="00EE2695">
        <w:t>of Attachment J to APS 112</w:t>
      </w:r>
      <w:r>
        <w:t xml:space="preserve"> </w:t>
      </w:r>
      <w:r w:rsidRPr="00FD64B5">
        <w:t>are met</w:t>
      </w:r>
      <w:r w:rsidR="002E3D2E">
        <w:t>; and</w:t>
      </w:r>
    </w:p>
    <w:p w14:paraId="68573BE8" w14:textId="15A118A6" w:rsidR="003F383A" w:rsidRDefault="007022B0" w:rsidP="002E3D2E">
      <w:pPr>
        <w:pStyle w:val="BodyText2"/>
      </w:pPr>
      <w:r w:rsidRPr="00FD64B5">
        <w:t xml:space="preserve">address the payout structure of the credit derivative and conservatively assess the impact this has on the </w:t>
      </w:r>
      <w:r w:rsidR="00FE5917">
        <w:t>level and timing of recoveries.</w:t>
      </w:r>
    </w:p>
    <w:p w14:paraId="5D684918" w14:textId="4BE87D4C" w:rsidR="002E3D2E" w:rsidRDefault="002E3D2E" w:rsidP="002E3D2E">
      <w:pPr>
        <w:ind w:left="567"/>
        <w:jc w:val="both"/>
      </w:pPr>
      <w:r w:rsidRPr="002E3D2E">
        <w:t>Where a credit derivative does not cover the restructuring of the underlying asset, partial recognition is allowed as det</w:t>
      </w:r>
      <w:r>
        <w:t xml:space="preserve">ailed in </w:t>
      </w:r>
      <w:r w:rsidRPr="00EE2695">
        <w:t xml:space="preserve">paragraph </w:t>
      </w:r>
      <w:r w:rsidR="007C2AFC">
        <w:t>9</w:t>
      </w:r>
      <w:r w:rsidRPr="00EE2695">
        <w:t xml:space="preserve"> of Attachment J</w:t>
      </w:r>
      <w:r w:rsidRPr="002E3D2E">
        <w:t xml:space="preserve"> to APS</w:t>
      </w:r>
      <w:r>
        <w:t> </w:t>
      </w:r>
      <w:r w:rsidRPr="002E3D2E">
        <w:t>112.</w:t>
      </w:r>
    </w:p>
    <w:p w14:paraId="0FCC19F1" w14:textId="4AC18FA8" w:rsidR="00413C0F" w:rsidRPr="00B24F79" w:rsidRDefault="00413C0F" w:rsidP="00413C0F">
      <w:pPr>
        <w:pStyle w:val="BodyText1"/>
      </w:pPr>
      <w:r w:rsidRPr="00B24F79">
        <w:t xml:space="preserve">In adjusting PD </w:t>
      </w:r>
      <w:r>
        <w:t>or</w:t>
      </w:r>
      <w:r w:rsidRPr="00B24F79">
        <w:t xml:space="preserve"> LGD estimates</w:t>
      </w:r>
      <w:r>
        <w:t xml:space="preserve"> to reflect the impact of guarantees and credit derivatives,</w:t>
      </w:r>
      <w:r w:rsidRPr="00B24F79">
        <w:t xml:space="preserve"> an ADI must take all relevant</w:t>
      </w:r>
      <w:r w:rsidR="005C2F0D">
        <w:t>,</w:t>
      </w:r>
      <w:r w:rsidRPr="00B24F79">
        <w:t xml:space="preserve"> mat</w:t>
      </w:r>
      <w:r w:rsidR="00FE5917">
        <w:t>erial information into account.</w:t>
      </w:r>
    </w:p>
    <w:p w14:paraId="39B3EA18" w14:textId="2DB472C3" w:rsidR="007022B0" w:rsidRPr="00FD64B5" w:rsidRDefault="007022B0" w:rsidP="007022B0">
      <w:pPr>
        <w:pStyle w:val="BodyText1"/>
      </w:pPr>
      <w:r w:rsidRPr="00BB2B13">
        <w:t>An ADI must retain all relevant information on</w:t>
      </w:r>
      <w:r w:rsidR="005C5E78">
        <w:t xml:space="preserve"> the </w:t>
      </w:r>
      <w:r w:rsidRPr="00BB2B13">
        <w:t xml:space="preserve">assignment of an exposure to </w:t>
      </w:r>
      <w:r w:rsidR="00F75188">
        <w:t>a borrower</w:t>
      </w:r>
      <w:r w:rsidR="004C0AF6">
        <w:t xml:space="preserve"> </w:t>
      </w:r>
      <w:r w:rsidR="005C5B84">
        <w:t>or</w:t>
      </w:r>
      <w:r w:rsidR="004C0AF6">
        <w:t xml:space="preserve"> facility grade or</w:t>
      </w:r>
      <w:r w:rsidRPr="00BB2B13">
        <w:t xml:space="preserve"> pool</w:t>
      </w:r>
      <w:r w:rsidR="005C5E78">
        <w:t>,</w:t>
      </w:r>
      <w:r w:rsidRPr="00BB2B13">
        <w:t xml:space="preserve"> and the estimation of PD and LGD</w:t>
      </w:r>
      <w:r w:rsidR="004C0AF6">
        <w:t>,</w:t>
      </w:r>
      <w:r w:rsidRPr="00BB2B13">
        <w:t xml:space="preserve"> independently of the assessed effect of the </w:t>
      </w:r>
      <w:r w:rsidR="004C0AF6">
        <w:t>guarantee or credit derivative</w:t>
      </w:r>
      <w:r w:rsidR="00FE5917">
        <w:t>.</w:t>
      </w:r>
    </w:p>
    <w:p w14:paraId="69B610FB" w14:textId="5D0488BE" w:rsidR="001560D3" w:rsidRPr="001560D3" w:rsidRDefault="007D4743" w:rsidP="006C28C5">
      <w:pPr>
        <w:pStyle w:val="Heading3"/>
      </w:pPr>
      <w:r>
        <w:t>FIRB approach</w:t>
      </w:r>
    </w:p>
    <w:p w14:paraId="0B7CE3A3" w14:textId="1E2DDBF3" w:rsidR="009618C9" w:rsidRDefault="009618C9" w:rsidP="001560D3">
      <w:pPr>
        <w:pStyle w:val="BodyText1"/>
      </w:pPr>
      <w:r>
        <w:t xml:space="preserve">For exposures subject to the FIRB approach, an ADI must meet the requirements detailed in Attachment I to APS 112 to recognise a guarantee as eligible </w:t>
      </w:r>
      <w:r w:rsidR="00AD23E5">
        <w:t>CRM</w:t>
      </w:r>
      <w:r>
        <w:t xml:space="preserve">. </w:t>
      </w:r>
      <w:r>
        <w:lastRenderedPageBreak/>
        <w:t xml:space="preserve">In addition to the eligible guarantors detailed in APS 112, </w:t>
      </w:r>
      <w:r w:rsidR="004066A5">
        <w:t xml:space="preserve">the </w:t>
      </w:r>
      <w:r>
        <w:t xml:space="preserve">ADI may also recognise </w:t>
      </w:r>
      <w:r w:rsidR="00F75188">
        <w:t xml:space="preserve">borrowers </w:t>
      </w:r>
      <w:r>
        <w:t xml:space="preserve">that are internally rated </w:t>
      </w:r>
      <w:r w:rsidR="00FE5917">
        <w:t>as eligible guarantors.</w:t>
      </w:r>
    </w:p>
    <w:p w14:paraId="5353155C" w14:textId="308F3112" w:rsidR="00EF4AAB" w:rsidRPr="00E6715C" w:rsidRDefault="00891BC8" w:rsidP="00C021CD">
      <w:pPr>
        <w:pStyle w:val="BodyText1"/>
      </w:pPr>
      <w:r>
        <w:t>For exposures subject to the FIRB approach, an ADI must meet the requirements detailed in Attachment J to APS 112 to recognise credit derivatives as e</w:t>
      </w:r>
      <w:r w:rsidR="00FE5917">
        <w:t xml:space="preserve">ligible </w:t>
      </w:r>
      <w:r w:rsidR="00AD23E5">
        <w:t>CRM</w:t>
      </w:r>
      <w:r w:rsidR="00FE5917">
        <w:t>.</w:t>
      </w:r>
    </w:p>
    <w:p w14:paraId="2AFD21F5" w14:textId="449AEF74" w:rsidR="001560D3" w:rsidRDefault="007D4743" w:rsidP="006C28C5">
      <w:pPr>
        <w:pStyle w:val="Heading3"/>
      </w:pPr>
      <w:r>
        <w:t xml:space="preserve">AIRB </w:t>
      </w:r>
      <w:r w:rsidR="005C5B84">
        <w:t>or</w:t>
      </w:r>
      <w:r w:rsidR="00E84D6F">
        <w:t xml:space="preserve"> retail IRB approach</w:t>
      </w:r>
    </w:p>
    <w:p w14:paraId="3DD70474" w14:textId="0D0FAAE3" w:rsidR="00AA1224" w:rsidRDefault="00BA7685" w:rsidP="00AA1224">
      <w:pPr>
        <w:pStyle w:val="BodyText1"/>
      </w:pPr>
      <w:r>
        <w:t>For exposures</w:t>
      </w:r>
      <w:r w:rsidR="00E84D6F">
        <w:t xml:space="preserve"> subject to the AIRB or retail IRB approach</w:t>
      </w:r>
      <w:r>
        <w:t xml:space="preserve">, </w:t>
      </w:r>
      <w:r w:rsidR="00951E02">
        <w:t xml:space="preserve">an ADI is not limited in its recognition of eligible guarantors or credit protection providers provided it </w:t>
      </w:r>
      <w:r w:rsidR="00AA1224">
        <w:t xml:space="preserve">has </w:t>
      </w:r>
      <w:r w:rsidR="008708CC">
        <w:t>clearly documented criteria for the types of guarantors</w:t>
      </w:r>
      <w:r w:rsidR="00465BBC">
        <w:t xml:space="preserve"> or credit protection providers</w:t>
      </w:r>
      <w:r w:rsidR="008708CC">
        <w:t xml:space="preserve"> it will recognise for Regulatory Capital purposes</w:t>
      </w:r>
      <w:r w:rsidR="00AA1224">
        <w:t>. Additionally, the guarantee</w:t>
      </w:r>
      <w:r w:rsidR="00465BBC">
        <w:t xml:space="preserve"> or credit derivative</w:t>
      </w:r>
      <w:r w:rsidR="00AA1224">
        <w:t xml:space="preserve"> must be:</w:t>
      </w:r>
    </w:p>
    <w:p w14:paraId="35108B17" w14:textId="00AA6F05" w:rsidR="00AA1224" w:rsidRDefault="00AA1224" w:rsidP="00AA1224">
      <w:pPr>
        <w:pStyle w:val="BodyText2"/>
      </w:pPr>
      <w:r>
        <w:t>evidenced in writing;</w:t>
      </w:r>
    </w:p>
    <w:p w14:paraId="641622C8" w14:textId="37C001D7" w:rsidR="00AA1224" w:rsidRDefault="00AA1224" w:rsidP="00AA1224">
      <w:pPr>
        <w:pStyle w:val="BodyText2"/>
      </w:pPr>
      <w:r>
        <w:t>non-cancellable on the part of the guarantor</w:t>
      </w:r>
      <w:r w:rsidR="00465BBC">
        <w:t xml:space="preserve"> or credit protection provider</w:t>
      </w:r>
      <w:r>
        <w:t>;</w:t>
      </w:r>
      <w:r w:rsidR="002D22BD">
        <w:t xml:space="preserve"> </w:t>
      </w:r>
    </w:p>
    <w:p w14:paraId="0DD7A6B5" w14:textId="0858285A" w:rsidR="002D22BD" w:rsidRDefault="002D22BD" w:rsidP="00AA1224">
      <w:pPr>
        <w:pStyle w:val="BodyText2"/>
      </w:pPr>
      <w:r>
        <w:t>in force until the obligation is satisfied in full (to the extent of the amount and tenor of the guarantee</w:t>
      </w:r>
      <w:r w:rsidR="00EF205C">
        <w:t xml:space="preserve"> or credit derivative</w:t>
      </w:r>
      <w:r>
        <w:t>)</w:t>
      </w:r>
      <w:r w:rsidR="00AA1224">
        <w:t>;</w:t>
      </w:r>
      <w:r>
        <w:t xml:space="preserve"> </w:t>
      </w:r>
      <w:r w:rsidR="00AA1224">
        <w:t>and</w:t>
      </w:r>
    </w:p>
    <w:p w14:paraId="73E1513C" w14:textId="2C5ABE01" w:rsidR="00BA7685" w:rsidRDefault="00AA1224" w:rsidP="00AA1224">
      <w:pPr>
        <w:pStyle w:val="BodyText2"/>
      </w:pPr>
      <w:r>
        <w:t xml:space="preserve">unconditional, such that it does not include any clauses that are outside the direct control of the ADI, or that could prevent the </w:t>
      </w:r>
      <w:r w:rsidR="00465BBC">
        <w:t xml:space="preserve">guarantor or credit protection provider </w:t>
      </w:r>
      <w:r>
        <w:t>from being obliged to pay out in a time</w:t>
      </w:r>
      <w:r w:rsidR="00EE2695">
        <w:t>l</w:t>
      </w:r>
      <w:r>
        <w:t xml:space="preserve">y manner in the event that the </w:t>
      </w:r>
      <w:r w:rsidR="00F75188">
        <w:t xml:space="preserve">borrower </w:t>
      </w:r>
      <w:r>
        <w:t xml:space="preserve">fails to make the payment(s) due. </w:t>
      </w:r>
      <w:r w:rsidR="00FD45C5">
        <w:t xml:space="preserve">However, </w:t>
      </w:r>
      <w:r w:rsidR="006A1E81">
        <w:t>the</w:t>
      </w:r>
      <w:r w:rsidR="00BA7685">
        <w:t xml:space="preserve"> ADI may recognise guarantees</w:t>
      </w:r>
      <w:r w:rsidR="00465BBC">
        <w:t xml:space="preserve"> or credit derivatives</w:t>
      </w:r>
      <w:r w:rsidR="00BA7685">
        <w:t xml:space="preserve"> that only cover </w:t>
      </w:r>
      <w:r w:rsidR="00A013FB">
        <w:t xml:space="preserve">the </w:t>
      </w:r>
      <w:r w:rsidR="00BA7685">
        <w:t xml:space="preserve">loss remaining after the ADI has first pursued the </w:t>
      </w:r>
      <w:r w:rsidR="00F75188">
        <w:t xml:space="preserve">borrower </w:t>
      </w:r>
      <w:r w:rsidR="00BA7685">
        <w:t xml:space="preserve">for payment and has completed the workout process. </w:t>
      </w:r>
    </w:p>
    <w:p w14:paraId="70B69033" w14:textId="100A3750" w:rsidR="00D57264" w:rsidRDefault="00C63667" w:rsidP="00A764CB">
      <w:pPr>
        <w:pStyle w:val="BodyText1"/>
        <w:sectPr w:rsidR="00D57264" w:rsidSect="00AA5018">
          <w:footerReference w:type="default" r:id="rId38"/>
          <w:pgSz w:w="11906" w:h="16838" w:code="9"/>
          <w:pgMar w:top="1440" w:right="1797" w:bottom="1440" w:left="1797" w:header="709" w:footer="709" w:gutter="0"/>
          <w:cols w:space="708"/>
          <w:docGrid w:linePitch="360"/>
        </w:sectPr>
      </w:pPr>
      <w:r>
        <w:t>For exposures subject to the</w:t>
      </w:r>
      <w:r w:rsidR="0021753C">
        <w:t xml:space="preserve"> AIRB </w:t>
      </w:r>
      <w:r w:rsidR="00333EDF">
        <w:t>or</w:t>
      </w:r>
      <w:r w:rsidR="00D4448B">
        <w:t xml:space="preserve"> </w:t>
      </w:r>
      <w:r w:rsidR="00FF3128">
        <w:t>retail IRB approach</w:t>
      </w:r>
      <w:r w:rsidR="00A764CB">
        <w:t>, an</w:t>
      </w:r>
      <w:r>
        <w:t xml:space="preserve"> ADI</w:t>
      </w:r>
      <w:r w:rsidR="00300121">
        <w:t xml:space="preserve"> may recognise the risk mitigating effects of first-to-default credit derivatives</w:t>
      </w:r>
      <w:r w:rsidR="00A24001">
        <w:t xml:space="preserve"> but must not recognise second-to-default or </w:t>
      </w:r>
      <w:r w:rsidR="00A24001" w:rsidRPr="00EE2695">
        <w:rPr>
          <w:i/>
        </w:rPr>
        <w:t>n</w:t>
      </w:r>
      <w:r w:rsidR="00A24001">
        <w:t>th-to-default credit derivatives</w:t>
      </w:r>
      <w:r w:rsidR="00300121">
        <w:t>.</w:t>
      </w:r>
    </w:p>
    <w:p w14:paraId="7019E386" w14:textId="185D54EA" w:rsidR="00D57264" w:rsidRDefault="00D57264" w:rsidP="00D57264">
      <w:pPr>
        <w:pStyle w:val="Heading1"/>
      </w:pPr>
      <w:bookmarkStart w:id="103" w:name="_Toc176183671"/>
      <w:r>
        <w:lastRenderedPageBreak/>
        <w:t xml:space="preserve">Attachment </w:t>
      </w:r>
      <w:r w:rsidR="007352DC">
        <w:rPr>
          <w:rStyle w:val="Attachmentfieldtext"/>
        </w:rPr>
        <w:t>F</w:t>
      </w:r>
      <w:r>
        <w:rPr>
          <w:rStyle w:val="Attachmentfieldtext"/>
        </w:rPr>
        <w:t xml:space="preserve"> </w:t>
      </w:r>
      <w:r w:rsidR="003A6F4C">
        <w:rPr>
          <w:rStyle w:val="Attachmentfieldtext"/>
        </w:rPr>
        <w:t>-</w:t>
      </w:r>
      <w:r>
        <w:rPr>
          <w:rStyle w:val="Attachmentfieldtext"/>
        </w:rPr>
        <w:t xml:space="preserve"> </w:t>
      </w:r>
      <w:r w:rsidR="003A6F4C">
        <w:rPr>
          <w:rStyle w:val="Attachmentfieldtext"/>
        </w:rPr>
        <w:t>Risk-weighted assets for purchased receivables</w:t>
      </w:r>
      <w:bookmarkEnd w:id="103"/>
      <w:r w:rsidR="003A6F4C">
        <w:t xml:space="preserve"> </w:t>
      </w:r>
    </w:p>
    <w:p w14:paraId="2C3A801F" w14:textId="77777777" w:rsidR="00D57264" w:rsidRDefault="00D57264" w:rsidP="002A2D6D">
      <w:pPr>
        <w:pStyle w:val="BodyText1"/>
        <w:numPr>
          <w:ilvl w:val="0"/>
          <w:numId w:val="5"/>
        </w:numPr>
      </w:pPr>
      <w:r>
        <w:t>An ADI must treat purchased receivables as either:</w:t>
      </w:r>
    </w:p>
    <w:p w14:paraId="5B51E33A" w14:textId="77777777" w:rsidR="00D57264" w:rsidRDefault="00D57264" w:rsidP="00D57264">
      <w:pPr>
        <w:pStyle w:val="BodyText2"/>
      </w:pPr>
      <w:r>
        <w:t>retail receivables, where the underlying receivables meet the definition of retail exposures; or</w:t>
      </w:r>
    </w:p>
    <w:p w14:paraId="6F870A39" w14:textId="77777777" w:rsidR="00D57264" w:rsidRDefault="00D57264" w:rsidP="00D57264">
      <w:pPr>
        <w:pStyle w:val="BodyText2"/>
      </w:pPr>
      <w:r>
        <w:t>corporate receivables, where the underlying receivables meet the definition of corporate exposures.</w:t>
      </w:r>
    </w:p>
    <w:p w14:paraId="2AA02AF6" w14:textId="77777777" w:rsidR="00D57264" w:rsidRDefault="00D57264" w:rsidP="00D57264">
      <w:pPr>
        <w:pStyle w:val="Heading2"/>
      </w:pPr>
      <w:r>
        <w:t>Risk-weighted assets for default risk</w:t>
      </w:r>
    </w:p>
    <w:p w14:paraId="5D9CFBC1" w14:textId="77777777" w:rsidR="00D57264" w:rsidRPr="002C30CF" w:rsidRDefault="00D57264" w:rsidP="00D57264">
      <w:pPr>
        <w:pStyle w:val="BodyText1"/>
      </w:pPr>
      <w:r>
        <w:t>When estimating PD and LGD for purchased retail receivables or purchased corporate receivables, an ADI may utilise internal or external reference data. The estimates must be determined on a stand-alone basis without regard to any assumption of recourse of guarantees from the seller or other parties.</w:t>
      </w:r>
    </w:p>
    <w:p w14:paraId="6A72F387" w14:textId="77777777" w:rsidR="00D57264" w:rsidRDefault="00D57264" w:rsidP="00D57264">
      <w:pPr>
        <w:pStyle w:val="Heading3"/>
      </w:pPr>
      <w:r>
        <w:t>Default risk for purchased retail receivables</w:t>
      </w:r>
    </w:p>
    <w:p w14:paraId="56F568C5" w14:textId="11591328" w:rsidR="00D57264" w:rsidRDefault="00D57264" w:rsidP="00D57264">
      <w:pPr>
        <w:pStyle w:val="BodyText1"/>
      </w:pPr>
      <w:r>
        <w:t xml:space="preserve">An ADI must calculate </w:t>
      </w:r>
      <w:r w:rsidRPr="00945308">
        <w:t xml:space="preserve">the capital requirement for default risk for purchased retail receivables </w:t>
      </w:r>
      <w:r>
        <w:t xml:space="preserve">using the relevant retail risk-weight function </w:t>
      </w:r>
      <w:r w:rsidR="001E0A51">
        <w:t>in accordance with</w:t>
      </w:r>
      <w:r>
        <w:t xml:space="preserve"> Attachment A to this Prudential Standard.</w:t>
      </w:r>
      <w:r w:rsidRPr="00945308">
        <w:t xml:space="preserve"> </w:t>
      </w:r>
    </w:p>
    <w:p w14:paraId="1FC12888" w14:textId="60F1268B" w:rsidR="00D57264" w:rsidRPr="00945308" w:rsidRDefault="00D57264" w:rsidP="00D57264">
      <w:pPr>
        <w:pStyle w:val="BodyText1"/>
      </w:pPr>
      <w:r w:rsidRPr="00945308">
        <w:t xml:space="preserve">For hybrid pools containing receivables belonging to more than one retail sub-asset class, if </w:t>
      </w:r>
      <w:r w:rsidR="00371415">
        <w:t>a</w:t>
      </w:r>
      <w:r w:rsidR="00371415" w:rsidRPr="00945308">
        <w:t xml:space="preserve"> </w:t>
      </w:r>
      <w:r w:rsidRPr="00945308">
        <w:t xml:space="preserve">purchasing ADI cannot separate the exposures by </w:t>
      </w:r>
      <w:r w:rsidR="00371415">
        <w:t xml:space="preserve">the </w:t>
      </w:r>
      <w:r w:rsidRPr="00945308">
        <w:t xml:space="preserve">type of retail sub-asset class, the risk-weight function that produces the highest capital requirement at each PD level must be applied. </w:t>
      </w:r>
    </w:p>
    <w:p w14:paraId="503CB083" w14:textId="77777777" w:rsidR="00D57264" w:rsidRDefault="00D57264" w:rsidP="00D57264">
      <w:pPr>
        <w:pStyle w:val="Heading3"/>
      </w:pPr>
      <w:r>
        <w:t>Default risk for purchased corporate receivables</w:t>
      </w:r>
    </w:p>
    <w:p w14:paraId="434C79E4" w14:textId="78994453" w:rsidR="00D57264" w:rsidRDefault="00D57264" w:rsidP="00D57264">
      <w:pPr>
        <w:pStyle w:val="BodyText1"/>
      </w:pPr>
      <w:bookmarkStart w:id="104" w:name="_Ref34393741"/>
      <w:r>
        <w:t>An ADI must calculate the capital requirement for default risk for purchased corporate receivables using the corporate risk-weight function as set out in Attachment A</w:t>
      </w:r>
      <w:r w:rsidR="00423130">
        <w:t xml:space="preserve"> to this Prudential Standard</w:t>
      </w:r>
      <w:r>
        <w:t xml:space="preserve">. </w:t>
      </w:r>
      <w:r w:rsidR="00371415">
        <w:t>The</w:t>
      </w:r>
      <w:r w:rsidR="00371415" w:rsidRPr="00945308">
        <w:t xml:space="preserve"> </w:t>
      </w:r>
      <w:r w:rsidRPr="00945308">
        <w:t xml:space="preserve">ADI must assess the default risk of individual corporate </w:t>
      </w:r>
      <w:r w:rsidR="00F75188">
        <w:t>borrowers</w:t>
      </w:r>
      <w:r w:rsidR="00F75188" w:rsidRPr="00945308">
        <w:t xml:space="preserve"> </w:t>
      </w:r>
      <w:r w:rsidRPr="00945308">
        <w:t xml:space="preserve">within each pool of purchased corporate receivables as detailed in </w:t>
      </w:r>
      <w:r w:rsidRPr="002C01B4">
        <w:t xml:space="preserve">Attachment </w:t>
      </w:r>
      <w:r w:rsidR="00AA0DC7">
        <w:t>D</w:t>
      </w:r>
      <w:r w:rsidR="00423130">
        <w:t xml:space="preserve"> to this Prudential Standard</w:t>
      </w:r>
      <w:r>
        <w:t>.</w:t>
      </w:r>
      <w:bookmarkEnd w:id="104"/>
    </w:p>
    <w:p w14:paraId="67ECF3AC" w14:textId="77777777" w:rsidR="00D57264" w:rsidRDefault="00D57264" w:rsidP="00D57264">
      <w:pPr>
        <w:pStyle w:val="Heading4"/>
      </w:pPr>
      <w:r>
        <w:t>Top-down approach</w:t>
      </w:r>
    </w:p>
    <w:p w14:paraId="084CF125" w14:textId="4AF0FD3D" w:rsidR="00D57264" w:rsidRPr="00945308" w:rsidRDefault="00D57264" w:rsidP="00D57264">
      <w:pPr>
        <w:pStyle w:val="BodyText1"/>
      </w:pPr>
      <w:r>
        <w:t xml:space="preserve">Where an ADI is unable to calculate the capital requirement for default risk for purchased corporate receivables as detailed in </w:t>
      </w:r>
      <w:r w:rsidR="00AA0DC7" w:rsidRPr="00AA0DC7">
        <w:t xml:space="preserve">paragraph </w:t>
      </w:r>
      <w:r w:rsidR="00AA0DC7" w:rsidRPr="00AA0DC7">
        <w:fldChar w:fldCharType="begin"/>
      </w:r>
      <w:r w:rsidR="00AA0DC7" w:rsidRPr="00AA0DC7">
        <w:instrText xml:space="preserve"> REF _Ref34393741 \r \h </w:instrText>
      </w:r>
      <w:r w:rsidR="00AA0DC7">
        <w:instrText xml:space="preserve"> \* MERGEFORMAT </w:instrText>
      </w:r>
      <w:r w:rsidR="00AA0DC7" w:rsidRPr="00AA0DC7">
        <w:fldChar w:fldCharType="separate"/>
      </w:r>
      <w:r w:rsidR="00550C88">
        <w:t>5</w:t>
      </w:r>
      <w:r w:rsidR="00AA0DC7" w:rsidRPr="00AA0DC7">
        <w:fldChar w:fldCharType="end"/>
      </w:r>
      <w:r w:rsidRPr="00AA0DC7">
        <w:t xml:space="preserve"> of</w:t>
      </w:r>
      <w:r>
        <w:t xml:space="preserve"> this Attachment, </w:t>
      </w:r>
      <w:r w:rsidR="00371415">
        <w:t xml:space="preserve">the </w:t>
      </w:r>
      <w:r>
        <w:t>ADI may use a</w:t>
      </w:r>
      <w:r w:rsidRPr="00945308">
        <w:t xml:space="preserve"> top-down approach </w:t>
      </w:r>
      <w:r>
        <w:t>for purchased corporate receivables. The use of a top-down approach is subject to prior approval from APRA</w:t>
      </w:r>
      <w:r w:rsidRPr="00945308">
        <w:t xml:space="preserve">. </w:t>
      </w:r>
    </w:p>
    <w:p w14:paraId="0ACBBBE3" w14:textId="77777777" w:rsidR="00D57264" w:rsidRDefault="00D57264" w:rsidP="00D57264">
      <w:pPr>
        <w:pStyle w:val="BodyText1"/>
      </w:pPr>
      <w:r>
        <w:t>To be eligible for the top-down approach, purchased corporate receivables must satisfy the following conditions:</w:t>
      </w:r>
    </w:p>
    <w:p w14:paraId="44F3A3B8" w14:textId="32DDC39B" w:rsidR="00D57264" w:rsidRDefault="00D57264" w:rsidP="00D57264">
      <w:pPr>
        <w:pStyle w:val="BodyText2"/>
      </w:pPr>
      <w:r>
        <w:t xml:space="preserve">the receivables are purchased from unrelated, third-party sellers (i.e. </w:t>
      </w:r>
      <w:r w:rsidR="00371415">
        <w:t xml:space="preserve">an </w:t>
      </w:r>
      <w:r>
        <w:t>ADI has not been directly or indirectly involved in originating the receivables);</w:t>
      </w:r>
    </w:p>
    <w:p w14:paraId="51DCA2C8" w14:textId="6ED9EAEE" w:rsidR="00D57264" w:rsidRDefault="00D57264" w:rsidP="00D57264">
      <w:pPr>
        <w:pStyle w:val="BodyText2"/>
      </w:pPr>
      <w:r>
        <w:lastRenderedPageBreak/>
        <w:t>the receivables have been generated on an arms-length basis between the seller and the obligors. Inter-company accounts receivable and receivables subject to contra-accounts between firms that buy and sell amongst each other are ineligible;</w:t>
      </w:r>
      <w:r>
        <w:rPr>
          <w:rStyle w:val="FootnoteReference"/>
        </w:rPr>
        <w:footnoteReference w:id="15"/>
      </w:r>
      <w:r>
        <w:t xml:space="preserve"> </w:t>
      </w:r>
    </w:p>
    <w:p w14:paraId="185DC3CD" w14:textId="4F6726D6" w:rsidR="00D57264" w:rsidRDefault="00D57264" w:rsidP="00D57264">
      <w:pPr>
        <w:pStyle w:val="BodyText2"/>
      </w:pPr>
      <w:r>
        <w:t xml:space="preserve">the purchasing ADI has a claim on all proceeds from the pool of receivables or a </w:t>
      </w:r>
      <w:r w:rsidRPr="00DF5B3F">
        <w:rPr>
          <w:i/>
        </w:rPr>
        <w:t>pro rata</w:t>
      </w:r>
      <w:r>
        <w:t xml:space="preserve"> interest in the proceeds</w:t>
      </w:r>
      <w:r w:rsidR="00AA0DC7">
        <w:t xml:space="preserve"> </w:t>
      </w:r>
      <w:r>
        <w:t>commensurate with its exposure to the pool;</w:t>
      </w:r>
      <w:r w:rsidR="00AA0DC7">
        <w:rPr>
          <w:rStyle w:val="FootnoteReference"/>
        </w:rPr>
        <w:footnoteReference w:id="16"/>
      </w:r>
      <w:r w:rsidR="00AA0DC7">
        <w:t xml:space="preserve"> </w:t>
      </w:r>
      <w:r>
        <w:t>and</w:t>
      </w:r>
    </w:p>
    <w:p w14:paraId="602D4D96" w14:textId="77777777" w:rsidR="00D57264" w:rsidRDefault="00D57264" w:rsidP="00D57264">
      <w:pPr>
        <w:pStyle w:val="BodyText2"/>
      </w:pPr>
      <w:r>
        <w:t>the maximum size of an individual exposure in the pool of receivables is less than $100,000.</w:t>
      </w:r>
    </w:p>
    <w:p w14:paraId="45066396" w14:textId="77777777" w:rsidR="00D57264" w:rsidRDefault="00D57264" w:rsidP="00D57264">
      <w:pPr>
        <w:pStyle w:val="BodyText1"/>
      </w:pPr>
      <w:r w:rsidRPr="005F10D1">
        <w:t xml:space="preserve">The existence of full or partial recourse to the seller does not automatically disqualify an ADI from adopting a top-down approach provided the cash flows from the purchased corporate receivables are the primary source of ultimate repayment. </w:t>
      </w:r>
    </w:p>
    <w:p w14:paraId="21274125" w14:textId="1DDCBE8F" w:rsidR="00D57264" w:rsidRDefault="00D57264" w:rsidP="00D57264">
      <w:pPr>
        <w:pStyle w:val="BodyText1"/>
      </w:pPr>
      <w:r>
        <w:t>Under the top-down approach, an ADI must segment pools of purchased corporate receivables into homogenous buckets. The risk</w:t>
      </w:r>
      <w:r w:rsidR="004122FD">
        <w:t xml:space="preserve"> </w:t>
      </w:r>
      <w:r>
        <w:t>weight for default risk must be determined using the risk-weight function for corporate exposures as detailed in Attachment A</w:t>
      </w:r>
      <w:r w:rsidR="00423130">
        <w:t xml:space="preserve"> to this Prudential Standard</w:t>
      </w:r>
      <w:r>
        <w:t>.</w:t>
      </w:r>
      <w:r>
        <w:rPr>
          <w:rStyle w:val="FootnoteReference"/>
        </w:rPr>
        <w:footnoteReference w:id="17"/>
      </w:r>
      <w:r>
        <w:t xml:space="preserve"> </w:t>
      </w:r>
    </w:p>
    <w:p w14:paraId="79FADF23" w14:textId="38872EFE" w:rsidR="00D57264" w:rsidRDefault="00D57264" w:rsidP="00D57264">
      <w:pPr>
        <w:pStyle w:val="BodyText1"/>
      </w:pPr>
      <w:r>
        <w:t xml:space="preserve">An ADI must estimate PD and LGD for each of the homogenous segmented pools of purchased corporate receivables in accordance with its IRB approval for corporate exposures. </w:t>
      </w:r>
      <w:r w:rsidR="00371415">
        <w:t xml:space="preserve">The </w:t>
      </w:r>
      <w:r>
        <w:t>ADI must also calculate:</w:t>
      </w:r>
    </w:p>
    <w:p w14:paraId="284F327C" w14:textId="539DF1D2" w:rsidR="00D57264" w:rsidRDefault="00D57264" w:rsidP="00D57264">
      <w:pPr>
        <w:pStyle w:val="BodyText2"/>
      </w:pPr>
      <w:r>
        <w:t>EAD as the amount outstanding for each segmented pool less the capital requirement for dilution risk for each segmented pool prior to CRM or, for a revolving purchase facility, the sum of the current amount of receivables purchased plus 40 per cent of any undrawn purchase commitments less the capital requirement for dilution risk prior to CRM; and</w:t>
      </w:r>
    </w:p>
    <w:p w14:paraId="015080C3" w14:textId="37277F52" w:rsidR="00D57264" w:rsidRDefault="00D57264" w:rsidP="00D57264">
      <w:pPr>
        <w:pStyle w:val="BodyText2"/>
      </w:pPr>
      <w:r>
        <w:t>M for drawn amounts as equal to the segmented pools’ expo</w:t>
      </w:r>
      <w:r w:rsidR="00E4291F">
        <w:t>sure-weighted average maturity</w:t>
      </w:r>
      <w:r>
        <w:t>. This same value of M must also be used for any undrawn amounts to which the ADI is committed under a purchased receivables facility, provided that the facility contains covenants, early amortisation triggers or other features that protect the purchasing ADI against a significant deterioration in the quality of the future receivables it is required to purchase over the facility’s term. In the absence of such protection, the M for undrawn amounts must be calculated as the sum of:</w:t>
      </w:r>
    </w:p>
    <w:p w14:paraId="086877C9" w14:textId="77777777" w:rsidR="00D57264" w:rsidRDefault="00D57264" w:rsidP="00D57264">
      <w:pPr>
        <w:pStyle w:val="BodyText3"/>
      </w:pPr>
      <w:r>
        <w:lastRenderedPageBreak/>
        <w:t xml:space="preserve">the longest-dated potential receivable under the purchase agreement; and </w:t>
      </w:r>
    </w:p>
    <w:p w14:paraId="2AC7FD50" w14:textId="77777777" w:rsidR="00D57264" w:rsidRDefault="00D57264" w:rsidP="00D57264">
      <w:pPr>
        <w:pStyle w:val="BodyText3"/>
      </w:pPr>
      <w:r>
        <w:t xml:space="preserve">the remaining maturity of the purchase facility. </w:t>
      </w:r>
    </w:p>
    <w:p w14:paraId="554DBA3E" w14:textId="77777777" w:rsidR="00D57264" w:rsidRDefault="00D57264" w:rsidP="00D57264">
      <w:pPr>
        <w:pStyle w:val="Heading2"/>
      </w:pPr>
      <w:r>
        <w:t>Risk-weighted assets for dilution risk</w:t>
      </w:r>
    </w:p>
    <w:p w14:paraId="21EECC5B" w14:textId="77777777" w:rsidR="00D57264" w:rsidRDefault="00D57264" w:rsidP="00D57264">
      <w:pPr>
        <w:pStyle w:val="BodyText1"/>
      </w:pPr>
      <w:r>
        <w:t>Unless a purchasing ADI can demonstrate to APRA that dilution risk is immaterial, it must hold capital for dilution risk for purchased corporate and retail receivables.</w:t>
      </w:r>
    </w:p>
    <w:p w14:paraId="61228989" w14:textId="36DB3957" w:rsidR="00D57264" w:rsidRDefault="00D57264" w:rsidP="00D57264">
      <w:pPr>
        <w:pStyle w:val="BodyText1"/>
      </w:pPr>
      <w:r>
        <w:t>An ADI must calculate the capital requirement for dilution risk for purchased receivables, at either the level of the segmented pool or the individual receivables making up a pool, using the corporate risk-weight function. PD must be set equal to the estimate of the expected long-run average annual loss rate</w:t>
      </w:r>
      <w:r w:rsidR="0011412A">
        <w:t xml:space="preserve"> (</w:t>
      </w:r>
      <w:r w:rsidR="0011412A" w:rsidRPr="0011412A">
        <w:t>expressed as a percentage of the exposure amount, i.e. the total EAD owed to the ADI by all obligors in the relevant pool of receivables</w:t>
      </w:r>
      <w:r w:rsidR="0011412A">
        <w:t>)</w:t>
      </w:r>
      <w:r>
        <w:t xml:space="preserve"> and LGD must be set to 100 per cent.</w:t>
      </w:r>
      <w:r w:rsidR="0011412A" w:rsidDel="0011412A">
        <w:rPr>
          <w:rStyle w:val="FootnoteReference"/>
        </w:rPr>
        <w:t xml:space="preserve"> </w:t>
      </w:r>
    </w:p>
    <w:p w14:paraId="05033BBE" w14:textId="77777777" w:rsidR="00D57264" w:rsidRDefault="00D57264" w:rsidP="00D57264">
      <w:pPr>
        <w:pStyle w:val="BodyText1"/>
      </w:pPr>
      <w:r>
        <w:t xml:space="preserve">An ADI may utilise internal or external reference data to estimate an expected long-run average annual loss rate for dilution risk. These estimates must be calculated on a stand-alone basis without regard to any assumption of recourse or guarantees from the seller or other parties. </w:t>
      </w:r>
    </w:p>
    <w:p w14:paraId="68179BDF" w14:textId="53C7C787" w:rsidR="00D57264" w:rsidRDefault="00D57264" w:rsidP="00D57264">
      <w:pPr>
        <w:pStyle w:val="BodyText1"/>
      </w:pPr>
      <w:r>
        <w:t xml:space="preserve">An appropriate maturity must be used when determining the capital requirement for dilution risk. If </w:t>
      </w:r>
      <w:r w:rsidR="00CA454B">
        <w:t xml:space="preserve">an </w:t>
      </w:r>
      <w:r>
        <w:t>ADI can demonstrate to APRA that dilution risk is appropriately monitored and managed so as to be resolved within one year of acquisition of the purchased receivables, APRA may grant an approval allowing the ADI to base its calculations on a one-year maturity assumption.</w:t>
      </w:r>
    </w:p>
    <w:p w14:paraId="6CC3AE86" w14:textId="77777777" w:rsidR="00D57264" w:rsidRDefault="00D57264" w:rsidP="00D57264">
      <w:pPr>
        <w:pStyle w:val="Heading2"/>
      </w:pPr>
      <w:r>
        <w:t>Treatment of purchase price discount for receivables</w:t>
      </w:r>
    </w:p>
    <w:p w14:paraId="2A0B35D4" w14:textId="77777777" w:rsidR="00D57264" w:rsidRDefault="00D57264" w:rsidP="00D57264">
      <w:pPr>
        <w:pStyle w:val="BodyText1"/>
      </w:pPr>
      <w:r>
        <w:t>Where a portion of any purchase price discount is refundable to the seller, the refundable amount must be treated as first-loss protection under APS 120. Non-refundable purchase price discounts for purchased receivables do not affect the Regulatory Capital calculation.</w:t>
      </w:r>
    </w:p>
    <w:p w14:paraId="0B1CD644" w14:textId="77777777" w:rsidR="00D57264" w:rsidRDefault="00D57264" w:rsidP="00D57264">
      <w:pPr>
        <w:pStyle w:val="BodyText1"/>
      </w:pPr>
      <w:r>
        <w:t xml:space="preserve">When collateral or partial guarantees obtained on purchased receivables provide first-loss protection covering default losses, dilution losses, or both, they must be recognised as first-loss protection under APS 120. </w:t>
      </w:r>
    </w:p>
    <w:p w14:paraId="6C54B6C8" w14:textId="77777777" w:rsidR="00D57264" w:rsidRDefault="00D57264" w:rsidP="00D57264">
      <w:pPr>
        <w:pStyle w:val="Heading2"/>
      </w:pPr>
      <w:r>
        <w:t>Recognition of credit risk mitigation</w:t>
      </w:r>
    </w:p>
    <w:p w14:paraId="08F50CD2" w14:textId="1C643F0A" w:rsidR="00D57264" w:rsidRDefault="00D57264" w:rsidP="00D57264">
      <w:pPr>
        <w:pStyle w:val="BodyText1"/>
      </w:pPr>
      <w:r>
        <w:t xml:space="preserve">An ADI may recognise a guarantee for purchased receivables where the guarantee meets the requirements in Attachment </w:t>
      </w:r>
      <w:r w:rsidR="008258FB">
        <w:t>E</w:t>
      </w:r>
      <w:r>
        <w:t xml:space="preserve"> to this Prudential Standard. If the guarantee covers:</w:t>
      </w:r>
    </w:p>
    <w:p w14:paraId="3BF99900" w14:textId="0D28C16B" w:rsidR="00D57264" w:rsidRDefault="00D57264" w:rsidP="00D57264">
      <w:pPr>
        <w:pStyle w:val="BodyText2"/>
      </w:pPr>
      <w:r>
        <w:t>a pool’s default risk and dilution risk, the ADI may substitute the risk</w:t>
      </w:r>
      <w:r w:rsidR="004122FD">
        <w:t xml:space="preserve"> </w:t>
      </w:r>
      <w:r>
        <w:t>weight for an exposure to the guarantor in place of the relevant pool’s total risk</w:t>
      </w:r>
      <w:r w:rsidR="004122FD">
        <w:t xml:space="preserve"> </w:t>
      </w:r>
      <w:r>
        <w:t>weight for default and dilution risks;</w:t>
      </w:r>
    </w:p>
    <w:p w14:paraId="716F5E21" w14:textId="211D51F5" w:rsidR="00D57264" w:rsidRPr="00C93B28" w:rsidRDefault="00D57264" w:rsidP="00D57264">
      <w:pPr>
        <w:pStyle w:val="BodyText2"/>
      </w:pPr>
      <w:r w:rsidRPr="00C93B28">
        <w:lastRenderedPageBreak/>
        <w:t>only one of either default risk or dilution risk, the ADI may substitute the risk</w:t>
      </w:r>
      <w:r w:rsidR="004122FD">
        <w:t xml:space="preserve"> </w:t>
      </w:r>
      <w:r w:rsidRPr="00C93B28">
        <w:t>weight for an exposure to the guarantor in place of the relevant pool’s risk</w:t>
      </w:r>
      <w:r w:rsidR="004122FD">
        <w:t xml:space="preserve"> </w:t>
      </w:r>
      <w:r w:rsidRPr="00C93B28">
        <w:t>weight for the corresponding risk. The capital requirement for the non-guaranteed component must then be added</w:t>
      </w:r>
      <w:r>
        <w:t>; and</w:t>
      </w:r>
    </w:p>
    <w:p w14:paraId="587AFC9E" w14:textId="77777777" w:rsidR="00D57264" w:rsidRDefault="00D57264" w:rsidP="00D57264">
      <w:pPr>
        <w:pStyle w:val="BodyText2"/>
      </w:pPr>
      <w:r>
        <w:t xml:space="preserve">only a portion of the default or dilution risk of a relevant pool, the uncovered portion must be treated using the rules for proportional or </w:t>
      </w:r>
      <w:proofErr w:type="spellStart"/>
      <w:r>
        <w:t>tranched</w:t>
      </w:r>
      <w:proofErr w:type="spellEnd"/>
      <w:r>
        <w:t xml:space="preserve"> cover detailed in APS 112. </w:t>
      </w:r>
    </w:p>
    <w:p w14:paraId="013A1125" w14:textId="277E8280" w:rsidR="00D57264" w:rsidRDefault="00D57264" w:rsidP="00D57264">
      <w:pPr>
        <w:pStyle w:val="Heading2"/>
      </w:pPr>
      <w:r>
        <w:t xml:space="preserve">Requirements specific to estimating </w:t>
      </w:r>
      <w:r w:rsidR="00A37FB2">
        <w:t>probability of default</w:t>
      </w:r>
      <w:r>
        <w:t xml:space="preserve">, </w:t>
      </w:r>
      <w:r w:rsidR="00A37FB2">
        <w:t xml:space="preserve">loss given default </w:t>
      </w:r>
      <w:r>
        <w:t xml:space="preserve">and </w:t>
      </w:r>
      <w:r w:rsidR="00695C41">
        <w:t xml:space="preserve">expected loss </w:t>
      </w:r>
      <w:r>
        <w:t>for qualifying purchased</w:t>
      </w:r>
      <w:r w:rsidRPr="007B3358">
        <w:t xml:space="preserve"> receivables</w:t>
      </w:r>
    </w:p>
    <w:p w14:paraId="2BB06074" w14:textId="5FCEC116" w:rsidR="00D57264" w:rsidRPr="009F7C2A" w:rsidRDefault="00D57264" w:rsidP="00D57264">
      <w:pPr>
        <w:pStyle w:val="BodyText1"/>
      </w:pPr>
      <w:r w:rsidRPr="009F7C2A">
        <w:t>The minimum requirements for risk quantification</w:t>
      </w:r>
      <w:r w:rsidR="00A34C91">
        <w:t xml:space="preserve"> detailed</w:t>
      </w:r>
      <w:r w:rsidR="00571943">
        <w:t xml:space="preserve"> in paragraphs </w:t>
      </w:r>
      <w:r w:rsidR="00571943">
        <w:fldChar w:fldCharType="begin"/>
      </w:r>
      <w:r w:rsidR="00571943">
        <w:instrText xml:space="preserve"> REF _Ref83395078 \r \h </w:instrText>
      </w:r>
      <w:r w:rsidR="00571943">
        <w:fldChar w:fldCharType="separate"/>
      </w:r>
      <w:r w:rsidR="00550C88">
        <w:t>19</w:t>
      </w:r>
      <w:r w:rsidR="00571943">
        <w:fldChar w:fldCharType="end"/>
      </w:r>
      <w:r w:rsidR="00571943">
        <w:t xml:space="preserve"> to </w:t>
      </w:r>
      <w:r w:rsidR="00571943">
        <w:fldChar w:fldCharType="begin"/>
      </w:r>
      <w:r w:rsidR="00571943">
        <w:instrText xml:space="preserve"> REF _Ref83395083 \r \h </w:instrText>
      </w:r>
      <w:r w:rsidR="00571943">
        <w:fldChar w:fldCharType="separate"/>
      </w:r>
      <w:r w:rsidR="00550C88">
        <w:t>21</w:t>
      </w:r>
      <w:r w:rsidR="00571943">
        <w:fldChar w:fldCharType="end"/>
      </w:r>
      <w:r w:rsidR="00571943">
        <w:t xml:space="preserve"> of this Attachment</w:t>
      </w:r>
      <w:r w:rsidRPr="009F7C2A">
        <w:t xml:space="preserve"> must be satisfied in order to apply the top-down approach for:</w:t>
      </w:r>
    </w:p>
    <w:p w14:paraId="28711BD5" w14:textId="77777777" w:rsidR="00D57264" w:rsidRPr="009F7C2A" w:rsidRDefault="00D57264" w:rsidP="00D57264">
      <w:pPr>
        <w:pStyle w:val="BodyText2"/>
        <w:rPr>
          <w:rFonts w:eastAsia="Times New Roman"/>
        </w:rPr>
      </w:pPr>
      <w:r w:rsidRPr="009F7C2A">
        <w:rPr>
          <w:rFonts w:eastAsia="Times New Roman"/>
        </w:rPr>
        <w:t>default risk (in relation to purchased corporate receivables); or</w:t>
      </w:r>
    </w:p>
    <w:p w14:paraId="1645899E" w14:textId="77777777" w:rsidR="00D57264" w:rsidRPr="009F7C2A" w:rsidRDefault="00D57264" w:rsidP="00D57264">
      <w:pPr>
        <w:pStyle w:val="BodyText2"/>
        <w:rPr>
          <w:rFonts w:eastAsia="Times New Roman"/>
        </w:rPr>
      </w:pPr>
      <w:r w:rsidRPr="009F7C2A">
        <w:rPr>
          <w:rFonts w:eastAsia="Times New Roman"/>
        </w:rPr>
        <w:t>dilution risk (in relation to purchased corporate or retail receivables).</w:t>
      </w:r>
    </w:p>
    <w:p w14:paraId="04BD3C52" w14:textId="77777777" w:rsidR="00D57264" w:rsidRPr="009F7C2A" w:rsidRDefault="00D57264" w:rsidP="00D57264">
      <w:pPr>
        <w:pStyle w:val="BodyText1"/>
      </w:pPr>
      <w:bookmarkStart w:id="105" w:name="_Ref83395078"/>
      <w:r>
        <w:t>An</w:t>
      </w:r>
      <w:r w:rsidRPr="009F7C2A">
        <w:t xml:space="preserve"> ADI </w:t>
      </w:r>
      <w:r>
        <w:t>must</w:t>
      </w:r>
      <w:r w:rsidRPr="009F7C2A">
        <w:t xml:space="preserve"> group purchased receivables into sufficiently homogeneous segmented pools so that accurate and consistent estimates of PD and LGD for default risk and expected long-run average loss rates for dilution risk can be determined.</w:t>
      </w:r>
      <w:bookmarkEnd w:id="105"/>
    </w:p>
    <w:p w14:paraId="6ABFBD50" w14:textId="2BF6ABFA" w:rsidR="00D57264" w:rsidRDefault="00D57264" w:rsidP="00D57264">
      <w:pPr>
        <w:pStyle w:val="BodyText1"/>
      </w:pPr>
      <w:r w:rsidRPr="009F7C2A">
        <w:t xml:space="preserve">The risk-bucketing process </w:t>
      </w:r>
      <w:r>
        <w:t>applied by an ADI</w:t>
      </w:r>
      <w:r w:rsidRPr="009F7C2A">
        <w:t xml:space="preserve"> </w:t>
      </w:r>
      <w:r>
        <w:t>must</w:t>
      </w:r>
      <w:r w:rsidRPr="009F7C2A">
        <w:t xml:space="preserve"> reflect the seller’s underwriting practices and heterogeneity of its customers. Methods and data for estimating PD, LGD and expected long-run average loss rates must comply with the risk quantification standards for retail exposures detailed in </w:t>
      </w:r>
      <w:r w:rsidRPr="008258FB">
        <w:t xml:space="preserve">Attachment </w:t>
      </w:r>
      <w:r w:rsidR="008258FB" w:rsidRPr="008258FB">
        <w:t>D</w:t>
      </w:r>
      <w:r w:rsidR="00423130">
        <w:t xml:space="preserve"> to this Prudential Standard</w:t>
      </w:r>
      <w:r w:rsidRPr="008258FB">
        <w:t>.</w:t>
      </w:r>
      <w:r w:rsidRPr="009F7C2A">
        <w:t xml:space="preserve"> </w:t>
      </w:r>
    </w:p>
    <w:p w14:paraId="1955D2D0" w14:textId="00331867" w:rsidR="0087674E" w:rsidRDefault="00D57264" w:rsidP="00D57264">
      <w:pPr>
        <w:pStyle w:val="BodyText1"/>
        <w:sectPr w:rsidR="0087674E" w:rsidSect="00AA5018">
          <w:footerReference w:type="default" r:id="rId39"/>
          <w:pgSz w:w="11906" w:h="16838" w:code="9"/>
          <w:pgMar w:top="1440" w:right="1797" w:bottom="1440" w:left="1797" w:header="709" w:footer="709" w:gutter="0"/>
          <w:cols w:space="708"/>
          <w:docGrid w:linePitch="360"/>
        </w:sectPr>
      </w:pPr>
      <w:bookmarkStart w:id="106" w:name="_Ref83395083"/>
      <w:r w:rsidRPr="00C93B28">
        <w:t xml:space="preserve">To qualify for the top-down approach for default risk, the pools of receivables and overall lending relationship must be closely monitored and controlled by </w:t>
      </w:r>
      <w:r w:rsidR="00E27498">
        <w:t>an</w:t>
      </w:r>
      <w:r w:rsidR="00E27498" w:rsidRPr="00C93B28">
        <w:t xml:space="preserve"> </w:t>
      </w:r>
      <w:r>
        <w:t>ADI.</w:t>
      </w:r>
      <w:bookmarkEnd w:id="106"/>
    </w:p>
    <w:p w14:paraId="0C853627" w14:textId="20E49C0F" w:rsidR="0087674E" w:rsidRDefault="0087674E" w:rsidP="0087674E">
      <w:pPr>
        <w:pStyle w:val="Heading1"/>
      </w:pPr>
      <w:bookmarkStart w:id="107" w:name="_Toc19714499"/>
      <w:bookmarkStart w:id="108" w:name="_Toc176183672"/>
      <w:r>
        <w:lastRenderedPageBreak/>
        <w:t xml:space="preserve">Attachment </w:t>
      </w:r>
      <w:r>
        <w:rPr>
          <w:rStyle w:val="Attachmentfieldtext"/>
        </w:rPr>
        <w:t xml:space="preserve">G </w:t>
      </w:r>
      <w:r w:rsidR="003A6F4C">
        <w:rPr>
          <w:rStyle w:val="Attachmentfieldtext"/>
        </w:rPr>
        <w:t>- Supervisory slotting criteria</w:t>
      </w:r>
      <w:bookmarkEnd w:id="107"/>
      <w:bookmarkEnd w:id="108"/>
      <w:r w:rsidR="003A6F4C">
        <w:t xml:space="preserve"> </w:t>
      </w:r>
    </w:p>
    <w:p w14:paraId="0BFC3F0D" w14:textId="364D8BDE" w:rsidR="0087674E" w:rsidRDefault="00F13134" w:rsidP="008A36FD">
      <w:pPr>
        <w:pStyle w:val="TableHeadNumber"/>
      </w:pPr>
      <w:r>
        <w:t>S</w:t>
      </w:r>
      <w:r w:rsidR="0087674E">
        <w:t>lotting criteria for project finance exposures</w:t>
      </w:r>
    </w:p>
    <w:tbl>
      <w:tblPr>
        <w:tblStyle w:val="TableGrid"/>
        <w:tblW w:w="0" w:type="auto"/>
        <w:tblLook w:val="04A0" w:firstRow="1" w:lastRow="0" w:firstColumn="1" w:lastColumn="0" w:noHBand="0" w:noVBand="1"/>
      </w:tblPr>
      <w:tblGrid>
        <w:gridCol w:w="2789"/>
        <w:gridCol w:w="2789"/>
        <w:gridCol w:w="2790"/>
        <w:gridCol w:w="2790"/>
        <w:gridCol w:w="2790"/>
      </w:tblGrid>
      <w:tr w:rsidR="0087674E" w:rsidRPr="00AD46B1" w14:paraId="0419BDE7" w14:textId="77777777" w:rsidTr="00947F41">
        <w:trPr>
          <w:tblHeader/>
        </w:trPr>
        <w:tc>
          <w:tcPr>
            <w:tcW w:w="2789" w:type="dxa"/>
          </w:tcPr>
          <w:p w14:paraId="670B9F13" w14:textId="77777777" w:rsidR="0087674E" w:rsidRPr="00AD46B1" w:rsidRDefault="0087674E" w:rsidP="00947F41">
            <w:pPr>
              <w:spacing w:before="60" w:after="60"/>
              <w:rPr>
                <w:sz w:val="22"/>
                <w:szCs w:val="22"/>
              </w:rPr>
            </w:pPr>
          </w:p>
        </w:tc>
        <w:tc>
          <w:tcPr>
            <w:tcW w:w="2789" w:type="dxa"/>
          </w:tcPr>
          <w:p w14:paraId="43E29570" w14:textId="77777777" w:rsidR="0087674E" w:rsidRPr="00AD46B1" w:rsidRDefault="0087674E" w:rsidP="00947F41">
            <w:pPr>
              <w:spacing w:before="60" w:after="60"/>
              <w:jc w:val="center"/>
              <w:rPr>
                <w:b/>
                <w:sz w:val="22"/>
                <w:szCs w:val="22"/>
              </w:rPr>
            </w:pPr>
            <w:r w:rsidRPr="00AD46B1">
              <w:rPr>
                <w:b/>
                <w:sz w:val="22"/>
                <w:szCs w:val="22"/>
              </w:rPr>
              <w:t>Strong</w:t>
            </w:r>
          </w:p>
        </w:tc>
        <w:tc>
          <w:tcPr>
            <w:tcW w:w="2790" w:type="dxa"/>
          </w:tcPr>
          <w:p w14:paraId="668BB4FD" w14:textId="77777777" w:rsidR="0087674E" w:rsidRPr="00AD46B1" w:rsidRDefault="0087674E" w:rsidP="00947F41">
            <w:pPr>
              <w:spacing w:before="60" w:after="60"/>
              <w:jc w:val="center"/>
              <w:rPr>
                <w:b/>
                <w:sz w:val="22"/>
                <w:szCs w:val="22"/>
              </w:rPr>
            </w:pPr>
            <w:r w:rsidRPr="00AD46B1">
              <w:rPr>
                <w:b/>
                <w:sz w:val="22"/>
                <w:szCs w:val="22"/>
              </w:rPr>
              <w:t>Good</w:t>
            </w:r>
          </w:p>
        </w:tc>
        <w:tc>
          <w:tcPr>
            <w:tcW w:w="2790" w:type="dxa"/>
          </w:tcPr>
          <w:p w14:paraId="18AB3CCF" w14:textId="77777777" w:rsidR="0087674E" w:rsidRPr="00AD46B1" w:rsidRDefault="0087674E" w:rsidP="00947F41">
            <w:pPr>
              <w:spacing w:before="60" w:after="60"/>
              <w:jc w:val="center"/>
              <w:rPr>
                <w:b/>
                <w:sz w:val="22"/>
                <w:szCs w:val="22"/>
              </w:rPr>
            </w:pPr>
            <w:r w:rsidRPr="00AD46B1">
              <w:rPr>
                <w:b/>
                <w:sz w:val="22"/>
                <w:szCs w:val="22"/>
              </w:rPr>
              <w:t>Satisfactory</w:t>
            </w:r>
          </w:p>
        </w:tc>
        <w:tc>
          <w:tcPr>
            <w:tcW w:w="2790" w:type="dxa"/>
          </w:tcPr>
          <w:p w14:paraId="7C487E14" w14:textId="77777777" w:rsidR="0087674E" w:rsidRPr="00AD46B1" w:rsidRDefault="0087674E" w:rsidP="00947F41">
            <w:pPr>
              <w:spacing w:before="60" w:after="60"/>
              <w:jc w:val="center"/>
              <w:rPr>
                <w:b/>
                <w:sz w:val="22"/>
                <w:szCs w:val="22"/>
              </w:rPr>
            </w:pPr>
            <w:r w:rsidRPr="00AD46B1">
              <w:rPr>
                <w:b/>
                <w:sz w:val="22"/>
                <w:szCs w:val="22"/>
              </w:rPr>
              <w:t>Weak</w:t>
            </w:r>
          </w:p>
        </w:tc>
      </w:tr>
      <w:tr w:rsidR="0087674E" w:rsidRPr="00AD46B1" w14:paraId="3FA028E1" w14:textId="77777777" w:rsidTr="00947F41">
        <w:tc>
          <w:tcPr>
            <w:tcW w:w="13948" w:type="dxa"/>
            <w:gridSpan w:val="5"/>
          </w:tcPr>
          <w:p w14:paraId="6A970B7A" w14:textId="77777777" w:rsidR="0087674E" w:rsidRPr="00AD46B1" w:rsidRDefault="0087674E" w:rsidP="00A12DEF">
            <w:pPr>
              <w:keepNext/>
              <w:spacing w:before="60" w:after="60"/>
              <w:rPr>
                <w:b/>
                <w:sz w:val="22"/>
                <w:szCs w:val="22"/>
              </w:rPr>
            </w:pPr>
            <w:r w:rsidRPr="00AD46B1">
              <w:rPr>
                <w:b/>
                <w:sz w:val="22"/>
                <w:szCs w:val="22"/>
              </w:rPr>
              <w:t>Financial Strength</w:t>
            </w:r>
          </w:p>
        </w:tc>
      </w:tr>
      <w:tr w:rsidR="0087674E" w:rsidRPr="00AD46B1" w14:paraId="57544F0C" w14:textId="77777777" w:rsidTr="00947F41">
        <w:tc>
          <w:tcPr>
            <w:tcW w:w="2789" w:type="dxa"/>
          </w:tcPr>
          <w:p w14:paraId="7E4D063E" w14:textId="77777777" w:rsidR="0087674E" w:rsidRPr="00AD46B1" w:rsidRDefault="0087674E" w:rsidP="00947F41">
            <w:pPr>
              <w:spacing w:before="60" w:after="60"/>
              <w:rPr>
                <w:sz w:val="22"/>
                <w:szCs w:val="22"/>
              </w:rPr>
            </w:pPr>
            <w:r w:rsidRPr="00AD46B1">
              <w:rPr>
                <w:sz w:val="22"/>
                <w:szCs w:val="22"/>
              </w:rPr>
              <w:t>Market Conditions</w:t>
            </w:r>
          </w:p>
        </w:tc>
        <w:tc>
          <w:tcPr>
            <w:tcW w:w="2789" w:type="dxa"/>
          </w:tcPr>
          <w:p w14:paraId="6BF575CD" w14:textId="77777777" w:rsidR="0087674E" w:rsidRPr="00AD46B1" w:rsidRDefault="0087674E" w:rsidP="00947F41">
            <w:pPr>
              <w:spacing w:before="60" w:after="60"/>
              <w:rPr>
                <w:sz w:val="22"/>
                <w:szCs w:val="22"/>
              </w:rPr>
            </w:pPr>
            <w:r w:rsidRPr="00AD46B1">
              <w:rPr>
                <w:sz w:val="22"/>
                <w:szCs w:val="22"/>
              </w:rPr>
              <w:t>There are few competing suppliers or there is a substantial and durable advantage in location, cost or technology. Demand is strong and growing.</w:t>
            </w:r>
          </w:p>
        </w:tc>
        <w:tc>
          <w:tcPr>
            <w:tcW w:w="2790" w:type="dxa"/>
          </w:tcPr>
          <w:p w14:paraId="42B52E49" w14:textId="77777777" w:rsidR="0087674E" w:rsidRPr="00AD46B1" w:rsidRDefault="0087674E" w:rsidP="00947F41">
            <w:pPr>
              <w:spacing w:before="60" w:after="60"/>
              <w:rPr>
                <w:sz w:val="22"/>
                <w:szCs w:val="22"/>
              </w:rPr>
            </w:pPr>
            <w:r w:rsidRPr="00AD46B1">
              <w:rPr>
                <w:sz w:val="22"/>
                <w:szCs w:val="22"/>
              </w:rPr>
              <w:t>There are few competing suppliers or there is a better than average location, cost or technology but this situation may not last. Demand is strong and stable.</w:t>
            </w:r>
          </w:p>
        </w:tc>
        <w:tc>
          <w:tcPr>
            <w:tcW w:w="2790" w:type="dxa"/>
          </w:tcPr>
          <w:p w14:paraId="3BBD8741" w14:textId="77777777" w:rsidR="0087674E" w:rsidRPr="00AD46B1" w:rsidRDefault="0087674E" w:rsidP="00947F41">
            <w:pPr>
              <w:spacing w:before="60" w:after="60"/>
              <w:rPr>
                <w:sz w:val="22"/>
                <w:szCs w:val="22"/>
              </w:rPr>
            </w:pPr>
            <w:r w:rsidRPr="00AD46B1">
              <w:rPr>
                <w:sz w:val="22"/>
                <w:szCs w:val="22"/>
              </w:rPr>
              <w:t>The project has no advantage in location, cost or technology. Demand is adequate and stable.</w:t>
            </w:r>
          </w:p>
        </w:tc>
        <w:tc>
          <w:tcPr>
            <w:tcW w:w="2790" w:type="dxa"/>
          </w:tcPr>
          <w:p w14:paraId="70FA8F31" w14:textId="77777777" w:rsidR="0087674E" w:rsidRPr="00AD46B1" w:rsidRDefault="0087674E" w:rsidP="00947F41">
            <w:pPr>
              <w:spacing w:before="60" w:after="60"/>
              <w:rPr>
                <w:sz w:val="22"/>
                <w:szCs w:val="22"/>
              </w:rPr>
            </w:pPr>
            <w:r w:rsidRPr="00AD46B1">
              <w:rPr>
                <w:sz w:val="22"/>
                <w:szCs w:val="22"/>
              </w:rPr>
              <w:t>The project has worse than average location, cost or technology. Demand is weak and declining.</w:t>
            </w:r>
          </w:p>
        </w:tc>
      </w:tr>
      <w:tr w:rsidR="0087674E" w:rsidRPr="00AD46B1" w14:paraId="324AF697" w14:textId="77777777" w:rsidTr="00947F41">
        <w:tc>
          <w:tcPr>
            <w:tcW w:w="2789" w:type="dxa"/>
          </w:tcPr>
          <w:p w14:paraId="58697020" w14:textId="77777777" w:rsidR="0087674E" w:rsidRPr="00AD46B1" w:rsidRDefault="0087674E" w:rsidP="00947F41">
            <w:pPr>
              <w:spacing w:before="60" w:after="60"/>
              <w:rPr>
                <w:sz w:val="22"/>
                <w:szCs w:val="22"/>
              </w:rPr>
            </w:pPr>
            <w:r w:rsidRPr="00AD46B1">
              <w:rPr>
                <w:sz w:val="22"/>
                <w:szCs w:val="22"/>
              </w:rPr>
              <w:t>Financial ratios (e.g. debt service coverage ratio (DSCR), loan life coverage ratio (LLCR), project life coverage ratio (PLCR) and debt-to-equity ratio)</w:t>
            </w:r>
          </w:p>
        </w:tc>
        <w:tc>
          <w:tcPr>
            <w:tcW w:w="2789" w:type="dxa"/>
          </w:tcPr>
          <w:p w14:paraId="5FFF63A0" w14:textId="77777777" w:rsidR="0087674E" w:rsidRPr="00AD46B1" w:rsidRDefault="0087674E" w:rsidP="00947F41">
            <w:pPr>
              <w:spacing w:before="60" w:after="60"/>
              <w:rPr>
                <w:sz w:val="22"/>
                <w:szCs w:val="22"/>
              </w:rPr>
            </w:pPr>
            <w:r w:rsidRPr="00AD46B1">
              <w:rPr>
                <w:sz w:val="22"/>
                <w:szCs w:val="22"/>
              </w:rPr>
              <w:t>The project has strong financial ratios considering the level of project risk and very robust economic assumptions.</w:t>
            </w:r>
          </w:p>
        </w:tc>
        <w:tc>
          <w:tcPr>
            <w:tcW w:w="2790" w:type="dxa"/>
          </w:tcPr>
          <w:p w14:paraId="639DCF75" w14:textId="7F164CB8" w:rsidR="0087674E" w:rsidRPr="00AD46B1" w:rsidRDefault="0087674E" w:rsidP="00947F41">
            <w:pPr>
              <w:spacing w:before="60" w:after="60"/>
              <w:rPr>
                <w:sz w:val="22"/>
                <w:szCs w:val="22"/>
              </w:rPr>
            </w:pPr>
            <w:r w:rsidRPr="00AD46B1">
              <w:rPr>
                <w:sz w:val="22"/>
                <w:szCs w:val="22"/>
              </w:rPr>
              <w:t>The project has strong to acceptable financial ratios considering the level of project risk and robust project economic assumptions.</w:t>
            </w:r>
          </w:p>
        </w:tc>
        <w:tc>
          <w:tcPr>
            <w:tcW w:w="2790" w:type="dxa"/>
          </w:tcPr>
          <w:p w14:paraId="382CAFA5" w14:textId="77777777" w:rsidR="0087674E" w:rsidRPr="00AD46B1" w:rsidRDefault="0087674E" w:rsidP="00947F41">
            <w:pPr>
              <w:spacing w:before="60" w:after="60"/>
              <w:rPr>
                <w:sz w:val="22"/>
                <w:szCs w:val="22"/>
              </w:rPr>
            </w:pPr>
            <w:r w:rsidRPr="00AD46B1">
              <w:rPr>
                <w:sz w:val="22"/>
                <w:szCs w:val="22"/>
              </w:rPr>
              <w:t>The project has standard financial ratios considering the level of project risk.</w:t>
            </w:r>
          </w:p>
        </w:tc>
        <w:tc>
          <w:tcPr>
            <w:tcW w:w="2790" w:type="dxa"/>
          </w:tcPr>
          <w:p w14:paraId="255B1540" w14:textId="77777777" w:rsidR="0087674E" w:rsidRPr="00AD46B1" w:rsidRDefault="0087674E" w:rsidP="00947F41">
            <w:pPr>
              <w:spacing w:before="60" w:after="60"/>
              <w:rPr>
                <w:sz w:val="22"/>
                <w:szCs w:val="22"/>
              </w:rPr>
            </w:pPr>
            <w:r w:rsidRPr="00AD46B1">
              <w:rPr>
                <w:sz w:val="22"/>
                <w:szCs w:val="22"/>
              </w:rPr>
              <w:t>The project has aggressive financial ratios considering the level of project risk.</w:t>
            </w:r>
          </w:p>
        </w:tc>
      </w:tr>
      <w:tr w:rsidR="0087674E" w:rsidRPr="00AD46B1" w14:paraId="7A451216" w14:textId="77777777" w:rsidTr="00947F41">
        <w:tc>
          <w:tcPr>
            <w:tcW w:w="2789" w:type="dxa"/>
          </w:tcPr>
          <w:p w14:paraId="00E2DD7E" w14:textId="77777777" w:rsidR="0087674E" w:rsidRPr="00AD46B1" w:rsidRDefault="0087674E" w:rsidP="00BE0741">
            <w:pPr>
              <w:spacing w:before="60" w:after="60"/>
              <w:rPr>
                <w:sz w:val="22"/>
                <w:szCs w:val="22"/>
              </w:rPr>
            </w:pPr>
            <w:r w:rsidRPr="00AD46B1">
              <w:rPr>
                <w:sz w:val="22"/>
                <w:szCs w:val="22"/>
              </w:rPr>
              <w:t>Stress analysis</w:t>
            </w:r>
          </w:p>
        </w:tc>
        <w:tc>
          <w:tcPr>
            <w:tcW w:w="2789" w:type="dxa"/>
          </w:tcPr>
          <w:p w14:paraId="1A57EE10" w14:textId="77777777" w:rsidR="0087674E" w:rsidRPr="00AD46B1" w:rsidRDefault="0087674E" w:rsidP="00947F41">
            <w:pPr>
              <w:spacing w:before="60" w:after="60"/>
              <w:rPr>
                <w:sz w:val="22"/>
                <w:szCs w:val="22"/>
              </w:rPr>
            </w:pPr>
            <w:r w:rsidRPr="00AD46B1">
              <w:rPr>
                <w:sz w:val="22"/>
                <w:szCs w:val="22"/>
              </w:rPr>
              <w:t>The project can meet its financial obligations under sustained severely stressed economic or sectoral conditions.</w:t>
            </w:r>
          </w:p>
        </w:tc>
        <w:tc>
          <w:tcPr>
            <w:tcW w:w="2790" w:type="dxa"/>
          </w:tcPr>
          <w:p w14:paraId="3A5493A3" w14:textId="77777777" w:rsidR="0087674E" w:rsidRPr="00AD46B1" w:rsidRDefault="0087674E" w:rsidP="00947F41">
            <w:pPr>
              <w:spacing w:before="60" w:after="60"/>
              <w:rPr>
                <w:sz w:val="22"/>
                <w:szCs w:val="22"/>
              </w:rPr>
            </w:pPr>
            <w:r w:rsidRPr="00AD46B1">
              <w:rPr>
                <w:sz w:val="22"/>
                <w:szCs w:val="22"/>
              </w:rPr>
              <w:t>The project can meet its financial obligations under stressed economic or sectoral conditions. The project is only likely to default under severe economic conditions.</w:t>
            </w:r>
          </w:p>
        </w:tc>
        <w:tc>
          <w:tcPr>
            <w:tcW w:w="2790" w:type="dxa"/>
          </w:tcPr>
          <w:p w14:paraId="59B09F8E" w14:textId="77777777" w:rsidR="0087674E" w:rsidRPr="00AD46B1" w:rsidRDefault="0087674E" w:rsidP="00947F41">
            <w:pPr>
              <w:spacing w:before="60" w:after="60"/>
              <w:rPr>
                <w:sz w:val="22"/>
                <w:szCs w:val="22"/>
              </w:rPr>
            </w:pPr>
            <w:r w:rsidRPr="00AD46B1">
              <w:rPr>
                <w:sz w:val="22"/>
                <w:szCs w:val="22"/>
              </w:rPr>
              <w:t>The project is vulnerable to stresses that are not uncommon through an economic cycle and may default in a normal downturn.</w:t>
            </w:r>
          </w:p>
        </w:tc>
        <w:tc>
          <w:tcPr>
            <w:tcW w:w="2790" w:type="dxa"/>
          </w:tcPr>
          <w:p w14:paraId="67E5E9BE" w14:textId="77777777" w:rsidR="0087674E" w:rsidRPr="00AD46B1" w:rsidRDefault="0087674E" w:rsidP="00947F41">
            <w:pPr>
              <w:spacing w:before="60" w:after="60"/>
              <w:rPr>
                <w:sz w:val="22"/>
                <w:szCs w:val="22"/>
              </w:rPr>
            </w:pPr>
            <w:r w:rsidRPr="00AD46B1">
              <w:rPr>
                <w:sz w:val="22"/>
                <w:szCs w:val="22"/>
              </w:rPr>
              <w:t>The project is likely to default unless conditions improve soon.</w:t>
            </w:r>
          </w:p>
        </w:tc>
      </w:tr>
      <w:tr w:rsidR="0087674E" w:rsidRPr="00AD46B1" w14:paraId="4E2282E3" w14:textId="77777777" w:rsidTr="00947F41">
        <w:tc>
          <w:tcPr>
            <w:tcW w:w="2789" w:type="dxa"/>
            <w:tcBorders>
              <w:bottom w:val="nil"/>
            </w:tcBorders>
            <w:vAlign w:val="center"/>
          </w:tcPr>
          <w:p w14:paraId="46D3BDB1" w14:textId="77777777" w:rsidR="0087674E" w:rsidRPr="00AD46B1" w:rsidRDefault="0087674E" w:rsidP="00AD46B1">
            <w:pPr>
              <w:keepNext/>
              <w:spacing w:before="60" w:after="60"/>
              <w:rPr>
                <w:sz w:val="22"/>
                <w:szCs w:val="22"/>
              </w:rPr>
            </w:pPr>
            <w:r w:rsidRPr="00AD46B1">
              <w:rPr>
                <w:sz w:val="22"/>
                <w:szCs w:val="22"/>
              </w:rPr>
              <w:lastRenderedPageBreak/>
              <w:t>Financial structure</w:t>
            </w:r>
          </w:p>
        </w:tc>
        <w:tc>
          <w:tcPr>
            <w:tcW w:w="2789" w:type="dxa"/>
            <w:tcBorders>
              <w:bottom w:val="nil"/>
            </w:tcBorders>
          </w:tcPr>
          <w:p w14:paraId="44211820" w14:textId="77777777" w:rsidR="0087674E" w:rsidRPr="00AD46B1" w:rsidRDefault="0087674E" w:rsidP="00947F41">
            <w:pPr>
              <w:spacing w:before="60" w:after="60"/>
              <w:rPr>
                <w:sz w:val="22"/>
                <w:szCs w:val="22"/>
              </w:rPr>
            </w:pPr>
          </w:p>
        </w:tc>
        <w:tc>
          <w:tcPr>
            <w:tcW w:w="2790" w:type="dxa"/>
            <w:tcBorders>
              <w:bottom w:val="nil"/>
            </w:tcBorders>
          </w:tcPr>
          <w:p w14:paraId="44A761E3" w14:textId="77777777" w:rsidR="0087674E" w:rsidRPr="00AD46B1" w:rsidRDefault="0087674E" w:rsidP="00947F41">
            <w:pPr>
              <w:spacing w:before="60" w:after="60"/>
              <w:rPr>
                <w:sz w:val="22"/>
                <w:szCs w:val="22"/>
              </w:rPr>
            </w:pPr>
          </w:p>
        </w:tc>
        <w:tc>
          <w:tcPr>
            <w:tcW w:w="2790" w:type="dxa"/>
            <w:tcBorders>
              <w:bottom w:val="nil"/>
            </w:tcBorders>
          </w:tcPr>
          <w:p w14:paraId="64630845" w14:textId="77777777" w:rsidR="0087674E" w:rsidRPr="00AD46B1" w:rsidRDefault="0087674E" w:rsidP="00947F41">
            <w:pPr>
              <w:spacing w:before="60" w:after="60"/>
              <w:rPr>
                <w:sz w:val="22"/>
                <w:szCs w:val="22"/>
              </w:rPr>
            </w:pPr>
          </w:p>
        </w:tc>
        <w:tc>
          <w:tcPr>
            <w:tcW w:w="2790" w:type="dxa"/>
            <w:tcBorders>
              <w:bottom w:val="nil"/>
            </w:tcBorders>
          </w:tcPr>
          <w:p w14:paraId="464131DB" w14:textId="77777777" w:rsidR="0087674E" w:rsidRPr="00AD46B1" w:rsidRDefault="0087674E" w:rsidP="00947F41">
            <w:pPr>
              <w:spacing w:before="60" w:after="60"/>
              <w:rPr>
                <w:sz w:val="22"/>
                <w:szCs w:val="22"/>
              </w:rPr>
            </w:pPr>
          </w:p>
        </w:tc>
      </w:tr>
      <w:tr w:rsidR="0087674E" w:rsidRPr="00AD46B1" w14:paraId="735ABFD4" w14:textId="77777777" w:rsidTr="00947F41">
        <w:tc>
          <w:tcPr>
            <w:tcW w:w="2789" w:type="dxa"/>
            <w:tcBorders>
              <w:top w:val="nil"/>
              <w:bottom w:val="nil"/>
            </w:tcBorders>
          </w:tcPr>
          <w:p w14:paraId="1D0420A0" w14:textId="77777777" w:rsidR="0087674E" w:rsidRPr="00AD46B1" w:rsidRDefault="0087674E" w:rsidP="00947F41">
            <w:pPr>
              <w:spacing w:before="60" w:after="60"/>
              <w:rPr>
                <w:i/>
                <w:sz w:val="22"/>
                <w:szCs w:val="22"/>
              </w:rPr>
            </w:pPr>
            <w:r w:rsidRPr="00AD46B1">
              <w:rPr>
                <w:i/>
                <w:sz w:val="22"/>
                <w:szCs w:val="22"/>
              </w:rPr>
              <w:t>Duration of the exposure compared to the duration of the project</w:t>
            </w:r>
          </w:p>
        </w:tc>
        <w:tc>
          <w:tcPr>
            <w:tcW w:w="2789" w:type="dxa"/>
            <w:tcBorders>
              <w:top w:val="nil"/>
              <w:bottom w:val="nil"/>
            </w:tcBorders>
          </w:tcPr>
          <w:p w14:paraId="42644BA7" w14:textId="77777777" w:rsidR="0087674E" w:rsidRPr="00AD46B1" w:rsidRDefault="0087674E" w:rsidP="00947F41">
            <w:pPr>
              <w:spacing w:before="60" w:after="60"/>
              <w:rPr>
                <w:sz w:val="22"/>
                <w:szCs w:val="22"/>
              </w:rPr>
            </w:pPr>
            <w:r w:rsidRPr="00AD46B1">
              <w:rPr>
                <w:sz w:val="22"/>
                <w:szCs w:val="22"/>
              </w:rPr>
              <w:t>The useful life of the project significantly exceeds the tenor of the loan.</w:t>
            </w:r>
          </w:p>
        </w:tc>
        <w:tc>
          <w:tcPr>
            <w:tcW w:w="2790" w:type="dxa"/>
            <w:tcBorders>
              <w:top w:val="nil"/>
              <w:bottom w:val="nil"/>
            </w:tcBorders>
          </w:tcPr>
          <w:p w14:paraId="1CB721FB" w14:textId="77777777" w:rsidR="0087674E" w:rsidRPr="00AD46B1" w:rsidRDefault="0087674E" w:rsidP="00947F41">
            <w:pPr>
              <w:spacing w:before="60" w:after="60"/>
              <w:rPr>
                <w:sz w:val="22"/>
                <w:szCs w:val="22"/>
              </w:rPr>
            </w:pPr>
            <w:r w:rsidRPr="00AD46B1">
              <w:rPr>
                <w:sz w:val="22"/>
                <w:szCs w:val="22"/>
              </w:rPr>
              <w:t>The useful life of the project exceeds the tenor of the loan.</w:t>
            </w:r>
          </w:p>
        </w:tc>
        <w:tc>
          <w:tcPr>
            <w:tcW w:w="2790" w:type="dxa"/>
            <w:tcBorders>
              <w:top w:val="nil"/>
              <w:bottom w:val="nil"/>
            </w:tcBorders>
          </w:tcPr>
          <w:p w14:paraId="389F6BA2" w14:textId="77777777" w:rsidR="0087674E" w:rsidRPr="00AD46B1" w:rsidRDefault="0087674E" w:rsidP="00947F41">
            <w:pPr>
              <w:spacing w:before="60" w:after="60"/>
              <w:rPr>
                <w:sz w:val="22"/>
                <w:szCs w:val="22"/>
              </w:rPr>
            </w:pPr>
            <w:r w:rsidRPr="00AD46B1">
              <w:rPr>
                <w:sz w:val="22"/>
                <w:szCs w:val="22"/>
              </w:rPr>
              <w:t>The useful life of the project exceeds the tenor of the loan.</w:t>
            </w:r>
          </w:p>
        </w:tc>
        <w:tc>
          <w:tcPr>
            <w:tcW w:w="2790" w:type="dxa"/>
            <w:tcBorders>
              <w:top w:val="nil"/>
              <w:bottom w:val="nil"/>
            </w:tcBorders>
          </w:tcPr>
          <w:p w14:paraId="56F0EA56" w14:textId="77777777" w:rsidR="0087674E" w:rsidRPr="00AD46B1" w:rsidRDefault="0087674E" w:rsidP="00947F41">
            <w:pPr>
              <w:spacing w:before="60" w:after="60"/>
              <w:rPr>
                <w:sz w:val="22"/>
                <w:szCs w:val="22"/>
              </w:rPr>
            </w:pPr>
            <w:r w:rsidRPr="00AD46B1">
              <w:rPr>
                <w:sz w:val="22"/>
                <w:szCs w:val="22"/>
              </w:rPr>
              <w:t>The useful life of the project may not exceed the tenor of the loan.</w:t>
            </w:r>
          </w:p>
        </w:tc>
      </w:tr>
      <w:tr w:rsidR="0087674E" w:rsidRPr="00AD46B1" w14:paraId="7EF5931D" w14:textId="77777777" w:rsidTr="00947F41">
        <w:tc>
          <w:tcPr>
            <w:tcW w:w="2789" w:type="dxa"/>
            <w:tcBorders>
              <w:top w:val="nil"/>
            </w:tcBorders>
          </w:tcPr>
          <w:p w14:paraId="7B7E1901" w14:textId="77777777" w:rsidR="0087674E" w:rsidRPr="00AD46B1" w:rsidRDefault="0087674E" w:rsidP="00947F41">
            <w:pPr>
              <w:spacing w:before="60" w:after="60"/>
              <w:rPr>
                <w:i/>
                <w:sz w:val="22"/>
                <w:szCs w:val="22"/>
              </w:rPr>
            </w:pPr>
            <w:r w:rsidRPr="00AD46B1">
              <w:rPr>
                <w:i/>
                <w:sz w:val="22"/>
                <w:szCs w:val="22"/>
              </w:rPr>
              <w:t>Amortisation schedule</w:t>
            </w:r>
          </w:p>
        </w:tc>
        <w:tc>
          <w:tcPr>
            <w:tcW w:w="2789" w:type="dxa"/>
            <w:tcBorders>
              <w:top w:val="nil"/>
            </w:tcBorders>
          </w:tcPr>
          <w:p w14:paraId="2F923845" w14:textId="77777777" w:rsidR="0087674E" w:rsidRPr="00AD46B1" w:rsidRDefault="0087674E" w:rsidP="00947F41">
            <w:pPr>
              <w:spacing w:before="60" w:after="60"/>
              <w:rPr>
                <w:sz w:val="22"/>
                <w:szCs w:val="22"/>
              </w:rPr>
            </w:pPr>
            <w:r w:rsidRPr="00AD46B1">
              <w:rPr>
                <w:sz w:val="22"/>
                <w:szCs w:val="22"/>
              </w:rPr>
              <w:t>Amortising debt.</w:t>
            </w:r>
          </w:p>
        </w:tc>
        <w:tc>
          <w:tcPr>
            <w:tcW w:w="2790" w:type="dxa"/>
            <w:tcBorders>
              <w:top w:val="nil"/>
            </w:tcBorders>
          </w:tcPr>
          <w:p w14:paraId="1785811E" w14:textId="77777777" w:rsidR="0087674E" w:rsidRPr="00AD46B1" w:rsidRDefault="0087674E" w:rsidP="00947F41">
            <w:pPr>
              <w:spacing w:before="60" w:after="60"/>
              <w:rPr>
                <w:sz w:val="22"/>
                <w:szCs w:val="22"/>
              </w:rPr>
            </w:pPr>
            <w:r w:rsidRPr="00AD46B1">
              <w:rPr>
                <w:sz w:val="22"/>
                <w:szCs w:val="22"/>
              </w:rPr>
              <w:t>Amortising debt.</w:t>
            </w:r>
          </w:p>
        </w:tc>
        <w:tc>
          <w:tcPr>
            <w:tcW w:w="2790" w:type="dxa"/>
            <w:tcBorders>
              <w:top w:val="nil"/>
            </w:tcBorders>
          </w:tcPr>
          <w:p w14:paraId="77B70B66" w14:textId="77777777" w:rsidR="0087674E" w:rsidRPr="00AD46B1" w:rsidRDefault="0087674E" w:rsidP="00947F41">
            <w:pPr>
              <w:spacing w:before="60" w:after="60"/>
              <w:rPr>
                <w:sz w:val="22"/>
                <w:szCs w:val="22"/>
              </w:rPr>
            </w:pPr>
            <w:r w:rsidRPr="00AD46B1">
              <w:rPr>
                <w:sz w:val="22"/>
                <w:szCs w:val="22"/>
              </w:rPr>
              <w:t>Amortising debt repayments with limited balloon payment.</w:t>
            </w:r>
          </w:p>
        </w:tc>
        <w:tc>
          <w:tcPr>
            <w:tcW w:w="2790" w:type="dxa"/>
            <w:tcBorders>
              <w:top w:val="nil"/>
            </w:tcBorders>
          </w:tcPr>
          <w:p w14:paraId="443D4E67" w14:textId="77777777" w:rsidR="0087674E" w:rsidRPr="00AD46B1" w:rsidRDefault="0087674E" w:rsidP="00947F41">
            <w:pPr>
              <w:spacing w:before="60" w:after="60"/>
              <w:rPr>
                <w:sz w:val="22"/>
                <w:szCs w:val="22"/>
              </w:rPr>
            </w:pPr>
            <w:r w:rsidRPr="00AD46B1">
              <w:rPr>
                <w:sz w:val="22"/>
                <w:szCs w:val="22"/>
              </w:rPr>
              <w:t>Bullet payment or amortising debt with high balloon repayment.</w:t>
            </w:r>
          </w:p>
        </w:tc>
      </w:tr>
      <w:tr w:rsidR="0087674E" w:rsidRPr="00AD46B1" w14:paraId="2EF14F68" w14:textId="77777777" w:rsidTr="00947F41">
        <w:tc>
          <w:tcPr>
            <w:tcW w:w="13948" w:type="dxa"/>
            <w:gridSpan w:val="5"/>
            <w:vAlign w:val="center"/>
          </w:tcPr>
          <w:p w14:paraId="2E19CD9A" w14:textId="77777777" w:rsidR="0087674E" w:rsidRPr="00AD46B1" w:rsidRDefault="0087674E" w:rsidP="00A12DEF">
            <w:pPr>
              <w:keepNext/>
              <w:spacing w:before="60" w:after="60"/>
              <w:rPr>
                <w:b/>
                <w:sz w:val="22"/>
                <w:szCs w:val="22"/>
              </w:rPr>
            </w:pPr>
            <w:r w:rsidRPr="00AD46B1">
              <w:rPr>
                <w:b/>
                <w:sz w:val="22"/>
                <w:szCs w:val="22"/>
              </w:rPr>
              <w:t>Political and legal environment</w:t>
            </w:r>
          </w:p>
        </w:tc>
      </w:tr>
      <w:tr w:rsidR="0087674E" w:rsidRPr="00AD46B1" w14:paraId="795881E2" w14:textId="77777777" w:rsidTr="00947F41">
        <w:tc>
          <w:tcPr>
            <w:tcW w:w="2789" w:type="dxa"/>
          </w:tcPr>
          <w:p w14:paraId="7A80270A" w14:textId="77777777" w:rsidR="0087674E" w:rsidRPr="00AD46B1" w:rsidRDefault="0087674E" w:rsidP="00947F41">
            <w:pPr>
              <w:spacing w:before="60" w:after="60"/>
              <w:rPr>
                <w:sz w:val="22"/>
                <w:szCs w:val="22"/>
              </w:rPr>
            </w:pPr>
            <w:r w:rsidRPr="00AD46B1">
              <w:rPr>
                <w:sz w:val="22"/>
                <w:szCs w:val="22"/>
              </w:rPr>
              <w:t>Political risk, including transfer risk, considering project type and mitigants</w:t>
            </w:r>
          </w:p>
        </w:tc>
        <w:tc>
          <w:tcPr>
            <w:tcW w:w="2789" w:type="dxa"/>
          </w:tcPr>
          <w:p w14:paraId="216697CE" w14:textId="77777777" w:rsidR="0087674E" w:rsidRPr="00AD46B1" w:rsidRDefault="0087674E" w:rsidP="00947F41">
            <w:pPr>
              <w:spacing w:before="60" w:after="60"/>
              <w:rPr>
                <w:sz w:val="22"/>
                <w:szCs w:val="22"/>
              </w:rPr>
            </w:pPr>
            <w:r w:rsidRPr="00AD46B1">
              <w:rPr>
                <w:sz w:val="22"/>
                <w:szCs w:val="22"/>
              </w:rPr>
              <w:t>The project has very low exposure; there are strong mitigation instruments, if needed.</w:t>
            </w:r>
          </w:p>
        </w:tc>
        <w:tc>
          <w:tcPr>
            <w:tcW w:w="2790" w:type="dxa"/>
          </w:tcPr>
          <w:p w14:paraId="77DA8656" w14:textId="77777777" w:rsidR="0087674E" w:rsidRPr="00AD46B1" w:rsidRDefault="0087674E" w:rsidP="00947F41">
            <w:pPr>
              <w:spacing w:before="60" w:after="60"/>
              <w:rPr>
                <w:sz w:val="22"/>
                <w:szCs w:val="22"/>
              </w:rPr>
            </w:pPr>
            <w:r w:rsidRPr="00AD46B1">
              <w:rPr>
                <w:sz w:val="22"/>
                <w:szCs w:val="22"/>
              </w:rPr>
              <w:t>The project has low exposure; there are satisfactory mitigation instruments, if needed.</w:t>
            </w:r>
          </w:p>
        </w:tc>
        <w:tc>
          <w:tcPr>
            <w:tcW w:w="2790" w:type="dxa"/>
          </w:tcPr>
          <w:p w14:paraId="15607C8B" w14:textId="77777777" w:rsidR="0087674E" w:rsidRPr="00AD46B1" w:rsidRDefault="0087674E" w:rsidP="00947F41">
            <w:pPr>
              <w:spacing w:before="60" w:after="60"/>
              <w:rPr>
                <w:sz w:val="22"/>
                <w:szCs w:val="22"/>
              </w:rPr>
            </w:pPr>
            <w:r w:rsidRPr="00AD46B1">
              <w:rPr>
                <w:sz w:val="22"/>
                <w:szCs w:val="22"/>
              </w:rPr>
              <w:t>The project has moderate exposure; there are fair mitigation instruments.</w:t>
            </w:r>
          </w:p>
        </w:tc>
        <w:tc>
          <w:tcPr>
            <w:tcW w:w="2790" w:type="dxa"/>
          </w:tcPr>
          <w:p w14:paraId="3196982B" w14:textId="77777777" w:rsidR="0087674E" w:rsidRPr="00AD46B1" w:rsidRDefault="0087674E" w:rsidP="00947F41">
            <w:pPr>
              <w:spacing w:before="60" w:after="60"/>
              <w:rPr>
                <w:sz w:val="22"/>
                <w:szCs w:val="22"/>
              </w:rPr>
            </w:pPr>
            <w:r w:rsidRPr="00AD46B1">
              <w:rPr>
                <w:sz w:val="22"/>
                <w:szCs w:val="22"/>
              </w:rPr>
              <w:t>The project has high exposure; the mitigation instruments are weak or there are none.</w:t>
            </w:r>
          </w:p>
        </w:tc>
      </w:tr>
      <w:tr w:rsidR="0087674E" w:rsidRPr="00AD46B1" w14:paraId="3285B2D7" w14:textId="77777777" w:rsidTr="00947F41">
        <w:tc>
          <w:tcPr>
            <w:tcW w:w="2789" w:type="dxa"/>
          </w:tcPr>
          <w:p w14:paraId="537BBA41" w14:textId="77777777" w:rsidR="0087674E" w:rsidRPr="00AD46B1" w:rsidRDefault="0087674E" w:rsidP="00947F41">
            <w:pPr>
              <w:spacing w:before="60" w:after="60"/>
              <w:rPr>
                <w:sz w:val="22"/>
                <w:szCs w:val="22"/>
              </w:rPr>
            </w:pPr>
            <w:r w:rsidRPr="00AD46B1">
              <w:rPr>
                <w:sz w:val="22"/>
                <w:szCs w:val="22"/>
              </w:rPr>
              <w:t>Force majeure risk (war, civil unrest, etc)</w:t>
            </w:r>
          </w:p>
        </w:tc>
        <w:tc>
          <w:tcPr>
            <w:tcW w:w="2789" w:type="dxa"/>
          </w:tcPr>
          <w:p w14:paraId="4CA532E5" w14:textId="77777777" w:rsidR="0087674E" w:rsidRPr="00AD46B1" w:rsidRDefault="0087674E" w:rsidP="00947F41">
            <w:pPr>
              <w:spacing w:before="60" w:after="60"/>
              <w:rPr>
                <w:sz w:val="22"/>
                <w:szCs w:val="22"/>
              </w:rPr>
            </w:pPr>
            <w:r w:rsidRPr="00AD46B1">
              <w:rPr>
                <w:sz w:val="22"/>
                <w:szCs w:val="22"/>
              </w:rPr>
              <w:t>Low exposure.</w:t>
            </w:r>
          </w:p>
        </w:tc>
        <w:tc>
          <w:tcPr>
            <w:tcW w:w="2790" w:type="dxa"/>
          </w:tcPr>
          <w:p w14:paraId="789E4884" w14:textId="77777777" w:rsidR="0087674E" w:rsidRPr="00AD46B1" w:rsidRDefault="0087674E" w:rsidP="00947F41">
            <w:pPr>
              <w:spacing w:before="60" w:after="60"/>
              <w:rPr>
                <w:sz w:val="22"/>
                <w:szCs w:val="22"/>
              </w:rPr>
            </w:pPr>
            <w:r w:rsidRPr="00AD46B1">
              <w:rPr>
                <w:sz w:val="22"/>
                <w:szCs w:val="22"/>
              </w:rPr>
              <w:t>Acceptable exposure.</w:t>
            </w:r>
          </w:p>
        </w:tc>
        <w:tc>
          <w:tcPr>
            <w:tcW w:w="2790" w:type="dxa"/>
          </w:tcPr>
          <w:p w14:paraId="6B50DB2C" w14:textId="77777777" w:rsidR="0087674E" w:rsidRPr="00AD46B1" w:rsidRDefault="0087674E" w:rsidP="00947F41">
            <w:pPr>
              <w:spacing w:before="60" w:after="60"/>
              <w:rPr>
                <w:sz w:val="22"/>
                <w:szCs w:val="22"/>
              </w:rPr>
            </w:pPr>
            <w:r w:rsidRPr="00AD46B1">
              <w:rPr>
                <w:sz w:val="22"/>
                <w:szCs w:val="22"/>
              </w:rPr>
              <w:t>Standard protection.</w:t>
            </w:r>
          </w:p>
        </w:tc>
        <w:tc>
          <w:tcPr>
            <w:tcW w:w="2790" w:type="dxa"/>
          </w:tcPr>
          <w:p w14:paraId="17F5247E" w14:textId="77777777" w:rsidR="0087674E" w:rsidRPr="00AD46B1" w:rsidRDefault="0087674E" w:rsidP="00947F41">
            <w:pPr>
              <w:spacing w:before="60" w:after="60"/>
              <w:rPr>
                <w:sz w:val="22"/>
                <w:szCs w:val="22"/>
              </w:rPr>
            </w:pPr>
            <w:r w:rsidRPr="00AD46B1">
              <w:rPr>
                <w:sz w:val="22"/>
                <w:szCs w:val="22"/>
              </w:rPr>
              <w:t>There are significant risks which are not fully mitigated.</w:t>
            </w:r>
          </w:p>
        </w:tc>
      </w:tr>
      <w:tr w:rsidR="0087674E" w:rsidRPr="00AD46B1" w14:paraId="2D04A344" w14:textId="77777777" w:rsidTr="00947F41">
        <w:tc>
          <w:tcPr>
            <w:tcW w:w="2789" w:type="dxa"/>
          </w:tcPr>
          <w:p w14:paraId="4E2ABD5E" w14:textId="77777777" w:rsidR="0087674E" w:rsidRPr="00AD46B1" w:rsidRDefault="0087674E" w:rsidP="00BE0741">
            <w:pPr>
              <w:spacing w:before="60" w:after="60"/>
              <w:rPr>
                <w:sz w:val="22"/>
                <w:szCs w:val="22"/>
              </w:rPr>
            </w:pPr>
            <w:r w:rsidRPr="00AD46B1">
              <w:rPr>
                <w:sz w:val="22"/>
                <w:szCs w:val="22"/>
              </w:rPr>
              <w:t>Government support and project’s importance for the country over the long term</w:t>
            </w:r>
          </w:p>
        </w:tc>
        <w:tc>
          <w:tcPr>
            <w:tcW w:w="2789" w:type="dxa"/>
          </w:tcPr>
          <w:p w14:paraId="58AFA221" w14:textId="77777777" w:rsidR="0087674E" w:rsidRPr="00AD46B1" w:rsidRDefault="0087674E" w:rsidP="00947F41">
            <w:pPr>
              <w:spacing w:before="60" w:after="60"/>
              <w:rPr>
                <w:sz w:val="22"/>
                <w:szCs w:val="22"/>
              </w:rPr>
            </w:pPr>
            <w:r w:rsidRPr="00AD46B1">
              <w:rPr>
                <w:sz w:val="22"/>
                <w:szCs w:val="22"/>
              </w:rPr>
              <w:t>The project is of strategic importance for the country (preferably export-oriented). It has strong support from the government.</w:t>
            </w:r>
          </w:p>
        </w:tc>
        <w:tc>
          <w:tcPr>
            <w:tcW w:w="2790" w:type="dxa"/>
          </w:tcPr>
          <w:p w14:paraId="64EBA3CD" w14:textId="77777777" w:rsidR="0087674E" w:rsidRPr="00AD46B1" w:rsidRDefault="0087674E" w:rsidP="00947F41">
            <w:pPr>
              <w:spacing w:before="60" w:after="60"/>
              <w:rPr>
                <w:sz w:val="22"/>
                <w:szCs w:val="22"/>
              </w:rPr>
            </w:pPr>
            <w:r w:rsidRPr="00AD46B1">
              <w:rPr>
                <w:sz w:val="22"/>
                <w:szCs w:val="22"/>
              </w:rPr>
              <w:t>The project is considered important for the country. It has a good level of support from the government.</w:t>
            </w:r>
          </w:p>
        </w:tc>
        <w:tc>
          <w:tcPr>
            <w:tcW w:w="2790" w:type="dxa"/>
          </w:tcPr>
          <w:p w14:paraId="3EF7EB2E" w14:textId="77777777" w:rsidR="0087674E" w:rsidRPr="00AD46B1" w:rsidRDefault="0087674E" w:rsidP="00947F41">
            <w:pPr>
              <w:spacing w:before="60" w:after="60"/>
              <w:rPr>
                <w:sz w:val="22"/>
                <w:szCs w:val="22"/>
              </w:rPr>
            </w:pPr>
            <w:r w:rsidRPr="00AD46B1">
              <w:rPr>
                <w:sz w:val="22"/>
                <w:szCs w:val="22"/>
              </w:rPr>
              <w:t>The project may not be strategic but brings unquestionable benefits for the country. Government support may not be explicit.</w:t>
            </w:r>
          </w:p>
        </w:tc>
        <w:tc>
          <w:tcPr>
            <w:tcW w:w="2790" w:type="dxa"/>
          </w:tcPr>
          <w:p w14:paraId="48061947" w14:textId="77777777" w:rsidR="0087674E" w:rsidRPr="00AD46B1" w:rsidRDefault="0087674E" w:rsidP="00947F41">
            <w:pPr>
              <w:spacing w:before="60" w:after="60"/>
              <w:rPr>
                <w:sz w:val="22"/>
                <w:szCs w:val="22"/>
              </w:rPr>
            </w:pPr>
            <w:r w:rsidRPr="00AD46B1">
              <w:rPr>
                <w:sz w:val="22"/>
                <w:szCs w:val="22"/>
              </w:rPr>
              <w:t>The project is not key to the country. The support from the government, if any, is weak.</w:t>
            </w:r>
          </w:p>
        </w:tc>
      </w:tr>
      <w:tr w:rsidR="0087674E" w:rsidRPr="00AD46B1" w14:paraId="4A919C5B" w14:textId="77777777" w:rsidTr="00947F41">
        <w:tc>
          <w:tcPr>
            <w:tcW w:w="2789" w:type="dxa"/>
          </w:tcPr>
          <w:p w14:paraId="25F845D1" w14:textId="77777777" w:rsidR="0087674E" w:rsidRPr="00AD46B1" w:rsidRDefault="0087674E" w:rsidP="00947F41">
            <w:pPr>
              <w:spacing w:before="60" w:after="60"/>
              <w:rPr>
                <w:sz w:val="22"/>
                <w:szCs w:val="22"/>
              </w:rPr>
            </w:pPr>
            <w:r w:rsidRPr="00AD46B1">
              <w:rPr>
                <w:sz w:val="22"/>
                <w:szCs w:val="22"/>
              </w:rPr>
              <w:t>Stability of legal and regulatory environment (risk of change in law)</w:t>
            </w:r>
          </w:p>
        </w:tc>
        <w:tc>
          <w:tcPr>
            <w:tcW w:w="2789" w:type="dxa"/>
          </w:tcPr>
          <w:p w14:paraId="409B1BCC" w14:textId="77777777" w:rsidR="0087674E" w:rsidRPr="00AD46B1" w:rsidRDefault="0087674E" w:rsidP="00947F41">
            <w:pPr>
              <w:spacing w:before="60" w:after="60"/>
              <w:rPr>
                <w:sz w:val="22"/>
                <w:szCs w:val="22"/>
              </w:rPr>
            </w:pPr>
            <w:r w:rsidRPr="00AD46B1">
              <w:rPr>
                <w:sz w:val="22"/>
                <w:szCs w:val="22"/>
              </w:rPr>
              <w:t>The regulatory environment is favourable and stable over the long term.</w:t>
            </w:r>
          </w:p>
        </w:tc>
        <w:tc>
          <w:tcPr>
            <w:tcW w:w="2790" w:type="dxa"/>
          </w:tcPr>
          <w:p w14:paraId="198635C8" w14:textId="77777777" w:rsidR="0087674E" w:rsidRPr="00AD46B1" w:rsidRDefault="0087674E" w:rsidP="00947F41">
            <w:pPr>
              <w:spacing w:before="60" w:after="60"/>
              <w:rPr>
                <w:sz w:val="22"/>
                <w:szCs w:val="22"/>
              </w:rPr>
            </w:pPr>
            <w:r w:rsidRPr="00AD46B1">
              <w:rPr>
                <w:sz w:val="22"/>
                <w:szCs w:val="22"/>
              </w:rPr>
              <w:t>The regulatory environment is favourable and stable over the medium term.</w:t>
            </w:r>
          </w:p>
        </w:tc>
        <w:tc>
          <w:tcPr>
            <w:tcW w:w="2790" w:type="dxa"/>
          </w:tcPr>
          <w:p w14:paraId="4CC9F6DF" w14:textId="77777777" w:rsidR="0087674E" w:rsidRPr="00AD46B1" w:rsidRDefault="0087674E" w:rsidP="00947F41">
            <w:pPr>
              <w:spacing w:before="60" w:after="60"/>
              <w:rPr>
                <w:sz w:val="22"/>
                <w:szCs w:val="22"/>
              </w:rPr>
            </w:pPr>
            <w:r w:rsidRPr="00AD46B1">
              <w:rPr>
                <w:sz w:val="22"/>
                <w:szCs w:val="22"/>
              </w:rPr>
              <w:t>Regulatory changes can be predicted with a fair level of certainty.</w:t>
            </w:r>
          </w:p>
        </w:tc>
        <w:tc>
          <w:tcPr>
            <w:tcW w:w="2790" w:type="dxa"/>
          </w:tcPr>
          <w:p w14:paraId="7B10B235" w14:textId="77777777" w:rsidR="0087674E" w:rsidRPr="00AD46B1" w:rsidRDefault="0087674E" w:rsidP="00947F41">
            <w:pPr>
              <w:spacing w:before="60" w:after="60"/>
              <w:rPr>
                <w:sz w:val="22"/>
                <w:szCs w:val="22"/>
              </w:rPr>
            </w:pPr>
            <w:r w:rsidRPr="00AD46B1">
              <w:rPr>
                <w:sz w:val="22"/>
                <w:szCs w:val="22"/>
              </w:rPr>
              <w:t>Current or future regulatory issues may affect the project.</w:t>
            </w:r>
          </w:p>
        </w:tc>
      </w:tr>
      <w:tr w:rsidR="0087674E" w:rsidRPr="00AD46B1" w14:paraId="4F828B6E" w14:textId="77777777" w:rsidTr="00947F41">
        <w:tc>
          <w:tcPr>
            <w:tcW w:w="2789" w:type="dxa"/>
          </w:tcPr>
          <w:p w14:paraId="4F2827B3" w14:textId="51B816B0" w:rsidR="0087674E" w:rsidRPr="00AD46B1" w:rsidRDefault="0087674E" w:rsidP="00AD46B1">
            <w:pPr>
              <w:keepNext/>
              <w:spacing w:before="60" w:after="60"/>
              <w:rPr>
                <w:sz w:val="22"/>
                <w:szCs w:val="22"/>
              </w:rPr>
            </w:pPr>
            <w:r w:rsidRPr="00AD46B1">
              <w:rPr>
                <w:sz w:val="22"/>
                <w:szCs w:val="22"/>
              </w:rPr>
              <w:lastRenderedPageBreak/>
              <w:t>Acquisition of all necessary supports and approvals for relief from local content laws</w:t>
            </w:r>
          </w:p>
        </w:tc>
        <w:tc>
          <w:tcPr>
            <w:tcW w:w="2789" w:type="dxa"/>
          </w:tcPr>
          <w:p w14:paraId="5287D34C" w14:textId="77777777" w:rsidR="0087674E" w:rsidRPr="00AD46B1" w:rsidRDefault="0087674E" w:rsidP="00947F41">
            <w:pPr>
              <w:spacing w:before="60" w:after="60"/>
              <w:rPr>
                <w:sz w:val="22"/>
                <w:szCs w:val="22"/>
              </w:rPr>
            </w:pPr>
            <w:r w:rsidRPr="00AD46B1">
              <w:rPr>
                <w:sz w:val="22"/>
                <w:szCs w:val="22"/>
              </w:rPr>
              <w:t xml:space="preserve">Strong. </w:t>
            </w:r>
          </w:p>
        </w:tc>
        <w:tc>
          <w:tcPr>
            <w:tcW w:w="2790" w:type="dxa"/>
          </w:tcPr>
          <w:p w14:paraId="3FC1D936" w14:textId="2D0EF5A9" w:rsidR="0087674E" w:rsidRPr="00AD46B1" w:rsidRDefault="0087674E" w:rsidP="00947F41">
            <w:pPr>
              <w:spacing w:before="60" w:after="60"/>
              <w:rPr>
                <w:sz w:val="22"/>
                <w:szCs w:val="22"/>
              </w:rPr>
            </w:pPr>
            <w:r w:rsidRPr="00AD46B1">
              <w:rPr>
                <w:sz w:val="22"/>
                <w:szCs w:val="22"/>
              </w:rPr>
              <w:t>Satisfactory.</w:t>
            </w:r>
          </w:p>
        </w:tc>
        <w:tc>
          <w:tcPr>
            <w:tcW w:w="2790" w:type="dxa"/>
          </w:tcPr>
          <w:p w14:paraId="0AB6B4DA" w14:textId="5B80C0D9" w:rsidR="0087674E" w:rsidRPr="00AD46B1" w:rsidRDefault="0087674E" w:rsidP="00947F41">
            <w:pPr>
              <w:spacing w:before="60" w:after="60"/>
              <w:rPr>
                <w:sz w:val="22"/>
                <w:szCs w:val="22"/>
              </w:rPr>
            </w:pPr>
            <w:r w:rsidRPr="00AD46B1">
              <w:rPr>
                <w:sz w:val="22"/>
                <w:szCs w:val="22"/>
              </w:rPr>
              <w:t>Fair.</w:t>
            </w:r>
          </w:p>
        </w:tc>
        <w:tc>
          <w:tcPr>
            <w:tcW w:w="2790" w:type="dxa"/>
          </w:tcPr>
          <w:p w14:paraId="1E44C692" w14:textId="77777777" w:rsidR="0087674E" w:rsidRPr="00AD46B1" w:rsidRDefault="0087674E" w:rsidP="00947F41">
            <w:pPr>
              <w:spacing w:before="60" w:after="60"/>
              <w:rPr>
                <w:sz w:val="22"/>
                <w:szCs w:val="22"/>
              </w:rPr>
            </w:pPr>
            <w:r w:rsidRPr="00AD46B1">
              <w:rPr>
                <w:sz w:val="22"/>
                <w:szCs w:val="22"/>
              </w:rPr>
              <w:t xml:space="preserve">Weak. </w:t>
            </w:r>
          </w:p>
        </w:tc>
      </w:tr>
      <w:tr w:rsidR="0087674E" w:rsidRPr="00AD46B1" w14:paraId="2ED65985" w14:textId="77777777" w:rsidTr="00947F41">
        <w:tc>
          <w:tcPr>
            <w:tcW w:w="2789" w:type="dxa"/>
          </w:tcPr>
          <w:p w14:paraId="5E2BE43C" w14:textId="77777777" w:rsidR="0087674E" w:rsidRPr="00AD46B1" w:rsidRDefault="0087674E" w:rsidP="00947F41">
            <w:pPr>
              <w:spacing w:before="60" w:after="60"/>
              <w:rPr>
                <w:sz w:val="22"/>
                <w:szCs w:val="22"/>
              </w:rPr>
            </w:pPr>
            <w:r w:rsidRPr="00AD46B1">
              <w:rPr>
                <w:sz w:val="22"/>
                <w:szCs w:val="22"/>
              </w:rPr>
              <w:t>Enforceability of contracts, collateral and security</w:t>
            </w:r>
          </w:p>
        </w:tc>
        <w:tc>
          <w:tcPr>
            <w:tcW w:w="2789" w:type="dxa"/>
          </w:tcPr>
          <w:p w14:paraId="54DFB381" w14:textId="77777777" w:rsidR="0087674E" w:rsidRPr="00AD46B1" w:rsidRDefault="0087674E" w:rsidP="00947F41">
            <w:pPr>
              <w:spacing w:before="60" w:after="60"/>
              <w:rPr>
                <w:sz w:val="22"/>
                <w:szCs w:val="22"/>
              </w:rPr>
            </w:pPr>
            <w:r w:rsidRPr="00AD46B1">
              <w:rPr>
                <w:sz w:val="22"/>
                <w:szCs w:val="22"/>
              </w:rPr>
              <w:t>Contracts, collateral and security are enforceable.</w:t>
            </w:r>
          </w:p>
        </w:tc>
        <w:tc>
          <w:tcPr>
            <w:tcW w:w="2790" w:type="dxa"/>
          </w:tcPr>
          <w:p w14:paraId="24F6304F" w14:textId="77777777" w:rsidR="0087674E" w:rsidRPr="00AD46B1" w:rsidRDefault="0087674E" w:rsidP="00947F41">
            <w:pPr>
              <w:spacing w:before="60" w:after="60"/>
              <w:rPr>
                <w:sz w:val="22"/>
                <w:szCs w:val="22"/>
              </w:rPr>
            </w:pPr>
            <w:r w:rsidRPr="00AD46B1">
              <w:rPr>
                <w:sz w:val="22"/>
                <w:szCs w:val="22"/>
              </w:rPr>
              <w:t>Contracts, collateral and security are enforceable.</w:t>
            </w:r>
          </w:p>
        </w:tc>
        <w:tc>
          <w:tcPr>
            <w:tcW w:w="2790" w:type="dxa"/>
          </w:tcPr>
          <w:p w14:paraId="13A81561" w14:textId="77777777" w:rsidR="0087674E" w:rsidRPr="00AD46B1" w:rsidRDefault="0087674E" w:rsidP="00947F41">
            <w:pPr>
              <w:spacing w:before="60" w:after="60"/>
              <w:rPr>
                <w:sz w:val="22"/>
                <w:szCs w:val="22"/>
              </w:rPr>
            </w:pPr>
            <w:r w:rsidRPr="00AD46B1">
              <w:rPr>
                <w:sz w:val="22"/>
                <w:szCs w:val="22"/>
              </w:rPr>
              <w:t>Contracts, collateral and security are considered enforceable even if certain non-key issues exist.</w:t>
            </w:r>
          </w:p>
        </w:tc>
        <w:tc>
          <w:tcPr>
            <w:tcW w:w="2790" w:type="dxa"/>
          </w:tcPr>
          <w:p w14:paraId="3248D313" w14:textId="77777777" w:rsidR="0087674E" w:rsidRPr="00AD46B1" w:rsidRDefault="0087674E" w:rsidP="00947F41">
            <w:pPr>
              <w:spacing w:before="60" w:after="60"/>
              <w:rPr>
                <w:sz w:val="22"/>
                <w:szCs w:val="22"/>
              </w:rPr>
            </w:pPr>
            <w:r w:rsidRPr="00AD46B1">
              <w:rPr>
                <w:sz w:val="22"/>
                <w:szCs w:val="22"/>
              </w:rPr>
              <w:t>There are unresolved key issues in respect of actual enforcement of contracts, collateral and security.</w:t>
            </w:r>
          </w:p>
        </w:tc>
      </w:tr>
      <w:tr w:rsidR="0087674E" w:rsidRPr="00AD46B1" w14:paraId="3C510B62" w14:textId="77777777" w:rsidTr="00947F41">
        <w:tc>
          <w:tcPr>
            <w:tcW w:w="13948" w:type="dxa"/>
            <w:gridSpan w:val="5"/>
            <w:vAlign w:val="center"/>
          </w:tcPr>
          <w:p w14:paraId="70350015" w14:textId="77777777" w:rsidR="0087674E" w:rsidRPr="00AD46B1" w:rsidRDefault="0087674E" w:rsidP="00A12DEF">
            <w:pPr>
              <w:keepNext/>
              <w:spacing w:before="60" w:after="60"/>
              <w:rPr>
                <w:b/>
                <w:sz w:val="22"/>
                <w:szCs w:val="22"/>
              </w:rPr>
            </w:pPr>
            <w:r w:rsidRPr="00AD46B1">
              <w:rPr>
                <w:b/>
                <w:sz w:val="22"/>
                <w:szCs w:val="22"/>
              </w:rPr>
              <w:t>Transaction characteristics</w:t>
            </w:r>
          </w:p>
        </w:tc>
      </w:tr>
      <w:tr w:rsidR="0087674E" w:rsidRPr="00AD46B1" w14:paraId="299BC33A" w14:textId="77777777" w:rsidTr="00947F41">
        <w:tc>
          <w:tcPr>
            <w:tcW w:w="2789" w:type="dxa"/>
          </w:tcPr>
          <w:p w14:paraId="0C2E7BDB" w14:textId="77777777" w:rsidR="0087674E" w:rsidRPr="00AD46B1" w:rsidRDefault="0087674E" w:rsidP="00BE0741">
            <w:pPr>
              <w:spacing w:before="60" w:after="60"/>
              <w:rPr>
                <w:sz w:val="22"/>
                <w:szCs w:val="22"/>
              </w:rPr>
            </w:pPr>
            <w:r w:rsidRPr="00AD46B1">
              <w:rPr>
                <w:sz w:val="22"/>
                <w:szCs w:val="22"/>
              </w:rPr>
              <w:t>Design and technology risk</w:t>
            </w:r>
          </w:p>
        </w:tc>
        <w:tc>
          <w:tcPr>
            <w:tcW w:w="2789" w:type="dxa"/>
          </w:tcPr>
          <w:p w14:paraId="6E523E72" w14:textId="77777777" w:rsidR="0087674E" w:rsidRPr="00AD46B1" w:rsidRDefault="0087674E" w:rsidP="00947F41">
            <w:pPr>
              <w:spacing w:before="60" w:after="60"/>
              <w:rPr>
                <w:sz w:val="22"/>
                <w:szCs w:val="22"/>
              </w:rPr>
            </w:pPr>
            <w:r w:rsidRPr="00AD46B1">
              <w:rPr>
                <w:sz w:val="22"/>
                <w:szCs w:val="22"/>
              </w:rPr>
              <w:t>The project has fully proven technology and design.</w:t>
            </w:r>
          </w:p>
        </w:tc>
        <w:tc>
          <w:tcPr>
            <w:tcW w:w="2790" w:type="dxa"/>
          </w:tcPr>
          <w:p w14:paraId="64329CF7" w14:textId="77777777" w:rsidR="0087674E" w:rsidRPr="00AD46B1" w:rsidRDefault="0087674E" w:rsidP="00947F41">
            <w:pPr>
              <w:spacing w:before="60" w:after="60"/>
              <w:rPr>
                <w:sz w:val="22"/>
                <w:szCs w:val="22"/>
              </w:rPr>
            </w:pPr>
            <w:r w:rsidRPr="00AD46B1">
              <w:rPr>
                <w:sz w:val="22"/>
                <w:szCs w:val="22"/>
              </w:rPr>
              <w:t>The project has fully proven technology and design.</w:t>
            </w:r>
          </w:p>
        </w:tc>
        <w:tc>
          <w:tcPr>
            <w:tcW w:w="2790" w:type="dxa"/>
          </w:tcPr>
          <w:p w14:paraId="04BC8BD2" w14:textId="77777777" w:rsidR="0087674E" w:rsidRPr="00AD46B1" w:rsidRDefault="0087674E" w:rsidP="00947F41">
            <w:pPr>
              <w:spacing w:before="60" w:after="60"/>
              <w:rPr>
                <w:sz w:val="22"/>
                <w:szCs w:val="22"/>
              </w:rPr>
            </w:pPr>
            <w:r w:rsidRPr="00AD46B1">
              <w:rPr>
                <w:sz w:val="22"/>
                <w:szCs w:val="22"/>
              </w:rPr>
              <w:t>The project has proven technology and design; start-up issues are mitigated by a strong completion package.</w:t>
            </w:r>
          </w:p>
        </w:tc>
        <w:tc>
          <w:tcPr>
            <w:tcW w:w="2790" w:type="dxa"/>
          </w:tcPr>
          <w:p w14:paraId="504CB3D5" w14:textId="77777777" w:rsidR="0087674E" w:rsidRPr="00AD46B1" w:rsidRDefault="0087674E" w:rsidP="00947F41">
            <w:pPr>
              <w:spacing w:before="60" w:after="60"/>
              <w:rPr>
                <w:sz w:val="22"/>
                <w:szCs w:val="22"/>
              </w:rPr>
            </w:pPr>
            <w:r w:rsidRPr="00AD46B1">
              <w:rPr>
                <w:sz w:val="22"/>
                <w:szCs w:val="22"/>
              </w:rPr>
              <w:t>The project has unproven technology and design; technology issues exist and/or complex design.</w:t>
            </w:r>
          </w:p>
        </w:tc>
      </w:tr>
      <w:tr w:rsidR="0087674E" w:rsidRPr="00AD46B1" w14:paraId="5955672E" w14:textId="77777777" w:rsidTr="00947F41">
        <w:tc>
          <w:tcPr>
            <w:tcW w:w="2789" w:type="dxa"/>
            <w:tcBorders>
              <w:bottom w:val="nil"/>
            </w:tcBorders>
          </w:tcPr>
          <w:p w14:paraId="579D6189" w14:textId="77777777" w:rsidR="0087674E" w:rsidRPr="00AD46B1" w:rsidRDefault="0087674E" w:rsidP="00E117FF">
            <w:pPr>
              <w:keepNext/>
              <w:spacing w:before="60" w:after="60"/>
              <w:rPr>
                <w:sz w:val="22"/>
                <w:szCs w:val="22"/>
              </w:rPr>
            </w:pPr>
            <w:r w:rsidRPr="00AD46B1">
              <w:rPr>
                <w:sz w:val="22"/>
                <w:szCs w:val="22"/>
              </w:rPr>
              <w:t>Construction risk</w:t>
            </w:r>
          </w:p>
        </w:tc>
        <w:tc>
          <w:tcPr>
            <w:tcW w:w="2789" w:type="dxa"/>
            <w:tcBorders>
              <w:bottom w:val="nil"/>
            </w:tcBorders>
          </w:tcPr>
          <w:p w14:paraId="4BB399F6" w14:textId="77777777" w:rsidR="0087674E" w:rsidRPr="00AD46B1" w:rsidRDefault="0087674E" w:rsidP="00947F41">
            <w:pPr>
              <w:spacing w:before="60" w:after="60"/>
              <w:rPr>
                <w:sz w:val="22"/>
                <w:szCs w:val="22"/>
              </w:rPr>
            </w:pPr>
          </w:p>
        </w:tc>
        <w:tc>
          <w:tcPr>
            <w:tcW w:w="2790" w:type="dxa"/>
            <w:tcBorders>
              <w:bottom w:val="nil"/>
            </w:tcBorders>
          </w:tcPr>
          <w:p w14:paraId="4426605D" w14:textId="77777777" w:rsidR="0087674E" w:rsidRPr="00AD46B1" w:rsidRDefault="0087674E" w:rsidP="00947F41">
            <w:pPr>
              <w:spacing w:before="60" w:after="60"/>
              <w:rPr>
                <w:sz w:val="22"/>
                <w:szCs w:val="22"/>
              </w:rPr>
            </w:pPr>
          </w:p>
        </w:tc>
        <w:tc>
          <w:tcPr>
            <w:tcW w:w="2790" w:type="dxa"/>
            <w:tcBorders>
              <w:bottom w:val="nil"/>
            </w:tcBorders>
          </w:tcPr>
          <w:p w14:paraId="0F4B9C24" w14:textId="77777777" w:rsidR="0087674E" w:rsidRPr="00AD46B1" w:rsidRDefault="0087674E" w:rsidP="00947F41">
            <w:pPr>
              <w:spacing w:before="60" w:after="60"/>
              <w:rPr>
                <w:sz w:val="22"/>
                <w:szCs w:val="22"/>
              </w:rPr>
            </w:pPr>
          </w:p>
        </w:tc>
        <w:tc>
          <w:tcPr>
            <w:tcW w:w="2790" w:type="dxa"/>
            <w:tcBorders>
              <w:bottom w:val="nil"/>
            </w:tcBorders>
          </w:tcPr>
          <w:p w14:paraId="62B1C813" w14:textId="77777777" w:rsidR="0087674E" w:rsidRPr="00AD46B1" w:rsidRDefault="0087674E" w:rsidP="00947F41">
            <w:pPr>
              <w:spacing w:before="60" w:after="60"/>
              <w:rPr>
                <w:sz w:val="22"/>
                <w:szCs w:val="22"/>
              </w:rPr>
            </w:pPr>
          </w:p>
        </w:tc>
      </w:tr>
      <w:tr w:rsidR="0087674E" w:rsidRPr="00AD46B1" w14:paraId="1B0DDE71" w14:textId="77777777" w:rsidTr="00947F41">
        <w:tc>
          <w:tcPr>
            <w:tcW w:w="2789" w:type="dxa"/>
            <w:tcBorders>
              <w:top w:val="nil"/>
              <w:bottom w:val="nil"/>
            </w:tcBorders>
          </w:tcPr>
          <w:p w14:paraId="3C64273A" w14:textId="77777777" w:rsidR="0087674E" w:rsidRPr="00AD46B1" w:rsidRDefault="0087674E" w:rsidP="00BE0741">
            <w:pPr>
              <w:keepNext/>
              <w:spacing w:before="60" w:after="60"/>
              <w:rPr>
                <w:i/>
                <w:sz w:val="22"/>
                <w:szCs w:val="22"/>
              </w:rPr>
            </w:pPr>
            <w:r w:rsidRPr="00AD46B1">
              <w:rPr>
                <w:i/>
                <w:sz w:val="22"/>
                <w:szCs w:val="22"/>
              </w:rPr>
              <w:t>Permitting and siting</w:t>
            </w:r>
          </w:p>
        </w:tc>
        <w:tc>
          <w:tcPr>
            <w:tcW w:w="2789" w:type="dxa"/>
            <w:tcBorders>
              <w:top w:val="nil"/>
              <w:bottom w:val="nil"/>
            </w:tcBorders>
          </w:tcPr>
          <w:p w14:paraId="6941BBE7" w14:textId="77777777" w:rsidR="0087674E" w:rsidRPr="00AD46B1" w:rsidRDefault="0087674E" w:rsidP="00947F41">
            <w:pPr>
              <w:spacing w:before="60" w:after="60"/>
              <w:rPr>
                <w:sz w:val="22"/>
                <w:szCs w:val="22"/>
              </w:rPr>
            </w:pPr>
            <w:r w:rsidRPr="00AD46B1">
              <w:rPr>
                <w:sz w:val="22"/>
                <w:szCs w:val="22"/>
              </w:rPr>
              <w:t>All permits have been obtained.</w:t>
            </w:r>
          </w:p>
        </w:tc>
        <w:tc>
          <w:tcPr>
            <w:tcW w:w="2790" w:type="dxa"/>
            <w:tcBorders>
              <w:top w:val="nil"/>
              <w:bottom w:val="nil"/>
            </w:tcBorders>
          </w:tcPr>
          <w:p w14:paraId="19D272F9" w14:textId="77777777" w:rsidR="0087674E" w:rsidRPr="00AD46B1" w:rsidRDefault="0087674E" w:rsidP="00947F41">
            <w:pPr>
              <w:spacing w:before="60" w:after="60"/>
              <w:rPr>
                <w:sz w:val="22"/>
                <w:szCs w:val="22"/>
              </w:rPr>
            </w:pPr>
            <w:r w:rsidRPr="00AD46B1">
              <w:rPr>
                <w:sz w:val="22"/>
                <w:szCs w:val="22"/>
              </w:rPr>
              <w:t>Some permits are still outstanding but their receipt is considered very likely.</w:t>
            </w:r>
          </w:p>
        </w:tc>
        <w:tc>
          <w:tcPr>
            <w:tcW w:w="2790" w:type="dxa"/>
            <w:tcBorders>
              <w:top w:val="nil"/>
              <w:bottom w:val="nil"/>
            </w:tcBorders>
          </w:tcPr>
          <w:p w14:paraId="39917D12" w14:textId="77777777" w:rsidR="0087674E" w:rsidRPr="00AD46B1" w:rsidRDefault="0087674E" w:rsidP="00947F41">
            <w:pPr>
              <w:spacing w:before="60" w:after="60"/>
              <w:rPr>
                <w:sz w:val="22"/>
                <w:szCs w:val="22"/>
              </w:rPr>
            </w:pPr>
            <w:r w:rsidRPr="00AD46B1">
              <w:rPr>
                <w:sz w:val="22"/>
                <w:szCs w:val="22"/>
              </w:rPr>
              <w:t>Some permits are still outstanding but the permitting process is well defined and they are considered routine.</w:t>
            </w:r>
          </w:p>
        </w:tc>
        <w:tc>
          <w:tcPr>
            <w:tcW w:w="2790" w:type="dxa"/>
            <w:tcBorders>
              <w:top w:val="nil"/>
              <w:bottom w:val="nil"/>
            </w:tcBorders>
          </w:tcPr>
          <w:p w14:paraId="1D77E160" w14:textId="77777777" w:rsidR="0087674E" w:rsidRPr="00AD46B1" w:rsidRDefault="0087674E" w:rsidP="00947F41">
            <w:pPr>
              <w:spacing w:before="60" w:after="60"/>
              <w:rPr>
                <w:sz w:val="22"/>
                <w:szCs w:val="22"/>
              </w:rPr>
            </w:pPr>
            <w:r w:rsidRPr="00AD46B1">
              <w:rPr>
                <w:sz w:val="22"/>
                <w:szCs w:val="22"/>
              </w:rPr>
              <w:t>Key permits still need to be obtained and are not considered routine. Significant conditions may be attached.</w:t>
            </w:r>
          </w:p>
        </w:tc>
      </w:tr>
      <w:tr w:rsidR="0087674E" w:rsidRPr="00AD46B1" w14:paraId="2B3C7CDC" w14:textId="77777777" w:rsidTr="00947F41">
        <w:tc>
          <w:tcPr>
            <w:tcW w:w="2789" w:type="dxa"/>
            <w:tcBorders>
              <w:top w:val="nil"/>
            </w:tcBorders>
          </w:tcPr>
          <w:p w14:paraId="7E1B6239" w14:textId="77777777" w:rsidR="0087674E" w:rsidRPr="00AD46B1" w:rsidRDefault="0087674E" w:rsidP="00947F41">
            <w:pPr>
              <w:spacing w:before="60" w:after="60"/>
              <w:rPr>
                <w:i/>
                <w:sz w:val="22"/>
                <w:szCs w:val="22"/>
              </w:rPr>
            </w:pPr>
            <w:r w:rsidRPr="00AD46B1">
              <w:rPr>
                <w:i/>
                <w:sz w:val="22"/>
                <w:szCs w:val="22"/>
              </w:rPr>
              <w:t>Type of construction contract</w:t>
            </w:r>
          </w:p>
        </w:tc>
        <w:tc>
          <w:tcPr>
            <w:tcW w:w="2789" w:type="dxa"/>
            <w:tcBorders>
              <w:top w:val="nil"/>
            </w:tcBorders>
          </w:tcPr>
          <w:p w14:paraId="7B94285A" w14:textId="77777777" w:rsidR="0087674E" w:rsidRPr="00AD46B1" w:rsidRDefault="0087674E" w:rsidP="00947F41">
            <w:pPr>
              <w:spacing w:before="60" w:after="60"/>
              <w:rPr>
                <w:sz w:val="22"/>
                <w:szCs w:val="22"/>
              </w:rPr>
            </w:pPr>
            <w:r w:rsidRPr="00AD46B1">
              <w:rPr>
                <w:sz w:val="22"/>
                <w:szCs w:val="22"/>
              </w:rPr>
              <w:t>Fixed-price date-certain turnkey construction engineering and procurement contract (EPC).</w:t>
            </w:r>
          </w:p>
        </w:tc>
        <w:tc>
          <w:tcPr>
            <w:tcW w:w="2790" w:type="dxa"/>
            <w:tcBorders>
              <w:top w:val="nil"/>
            </w:tcBorders>
          </w:tcPr>
          <w:p w14:paraId="7DDD0A70" w14:textId="77777777" w:rsidR="0087674E" w:rsidRPr="00AD46B1" w:rsidRDefault="0087674E" w:rsidP="00947F41">
            <w:pPr>
              <w:spacing w:before="60" w:after="60"/>
              <w:rPr>
                <w:sz w:val="22"/>
                <w:szCs w:val="22"/>
              </w:rPr>
            </w:pPr>
            <w:r w:rsidRPr="00AD46B1">
              <w:rPr>
                <w:sz w:val="22"/>
                <w:szCs w:val="22"/>
              </w:rPr>
              <w:t>Fixed-price date-certain turnkey construction EPC.</w:t>
            </w:r>
          </w:p>
        </w:tc>
        <w:tc>
          <w:tcPr>
            <w:tcW w:w="2790" w:type="dxa"/>
            <w:tcBorders>
              <w:top w:val="nil"/>
            </w:tcBorders>
          </w:tcPr>
          <w:p w14:paraId="23E673BC" w14:textId="77777777" w:rsidR="0087674E" w:rsidRPr="00AD46B1" w:rsidRDefault="0087674E" w:rsidP="00947F41">
            <w:pPr>
              <w:spacing w:before="60" w:after="60"/>
              <w:rPr>
                <w:sz w:val="22"/>
                <w:szCs w:val="22"/>
              </w:rPr>
            </w:pPr>
            <w:r w:rsidRPr="00AD46B1">
              <w:rPr>
                <w:sz w:val="22"/>
                <w:szCs w:val="22"/>
              </w:rPr>
              <w:t>Fixed-price date-certain turnkey construction contract with one or several contractors.</w:t>
            </w:r>
          </w:p>
        </w:tc>
        <w:tc>
          <w:tcPr>
            <w:tcW w:w="2790" w:type="dxa"/>
            <w:tcBorders>
              <w:top w:val="nil"/>
            </w:tcBorders>
          </w:tcPr>
          <w:p w14:paraId="5AF2AF50" w14:textId="77777777" w:rsidR="0087674E" w:rsidRPr="00AD46B1" w:rsidRDefault="0087674E" w:rsidP="00947F41">
            <w:pPr>
              <w:spacing w:before="60" w:after="60"/>
              <w:rPr>
                <w:sz w:val="22"/>
                <w:szCs w:val="22"/>
              </w:rPr>
            </w:pPr>
            <w:r w:rsidRPr="00AD46B1">
              <w:rPr>
                <w:sz w:val="22"/>
                <w:szCs w:val="22"/>
              </w:rPr>
              <w:t>No or partial fixed-price turnkey contract and/or interfacing issues with multiple contractors.</w:t>
            </w:r>
          </w:p>
        </w:tc>
      </w:tr>
      <w:tr w:rsidR="0087674E" w:rsidRPr="00AD46B1" w14:paraId="3749F6E2" w14:textId="77777777" w:rsidTr="00947F41">
        <w:tc>
          <w:tcPr>
            <w:tcW w:w="2789" w:type="dxa"/>
          </w:tcPr>
          <w:p w14:paraId="4A8ED3DF" w14:textId="77777777" w:rsidR="0087674E" w:rsidRPr="00AD46B1" w:rsidRDefault="0087674E" w:rsidP="00AD46B1">
            <w:pPr>
              <w:keepNext/>
              <w:spacing w:before="60" w:after="60"/>
              <w:rPr>
                <w:sz w:val="22"/>
                <w:szCs w:val="22"/>
              </w:rPr>
            </w:pPr>
            <w:r w:rsidRPr="00AD46B1">
              <w:rPr>
                <w:sz w:val="22"/>
                <w:szCs w:val="22"/>
              </w:rPr>
              <w:lastRenderedPageBreak/>
              <w:t>Completion guarantees</w:t>
            </w:r>
          </w:p>
        </w:tc>
        <w:tc>
          <w:tcPr>
            <w:tcW w:w="2789" w:type="dxa"/>
          </w:tcPr>
          <w:p w14:paraId="6462E495" w14:textId="77777777" w:rsidR="0087674E" w:rsidRPr="00AD46B1" w:rsidRDefault="0087674E" w:rsidP="00947F41">
            <w:pPr>
              <w:spacing w:before="60" w:after="60"/>
              <w:rPr>
                <w:sz w:val="22"/>
                <w:szCs w:val="22"/>
              </w:rPr>
            </w:pPr>
            <w:r w:rsidRPr="00AD46B1">
              <w:rPr>
                <w:sz w:val="22"/>
                <w:szCs w:val="22"/>
              </w:rPr>
              <w:t>The liquidated damages are substantial and are supported by financial substance and/or strong completion guarantee from sponsors with excellent financial standing.</w:t>
            </w:r>
          </w:p>
        </w:tc>
        <w:tc>
          <w:tcPr>
            <w:tcW w:w="2790" w:type="dxa"/>
          </w:tcPr>
          <w:p w14:paraId="40E80869" w14:textId="77777777" w:rsidR="0087674E" w:rsidRPr="00AD46B1" w:rsidRDefault="0087674E" w:rsidP="00947F41">
            <w:pPr>
              <w:spacing w:before="60" w:after="60"/>
              <w:rPr>
                <w:sz w:val="22"/>
                <w:szCs w:val="22"/>
              </w:rPr>
            </w:pPr>
            <w:r w:rsidRPr="00AD46B1">
              <w:rPr>
                <w:sz w:val="22"/>
                <w:szCs w:val="22"/>
              </w:rPr>
              <w:t>The liquidated damages are significant and are supported by financial substance and/or completion guarantee from sponsors with good financial standing.</w:t>
            </w:r>
          </w:p>
        </w:tc>
        <w:tc>
          <w:tcPr>
            <w:tcW w:w="2790" w:type="dxa"/>
          </w:tcPr>
          <w:p w14:paraId="20978DA5" w14:textId="77777777" w:rsidR="0087674E" w:rsidRPr="00AD46B1" w:rsidRDefault="0087674E" w:rsidP="00947F41">
            <w:pPr>
              <w:spacing w:before="60" w:after="60"/>
              <w:rPr>
                <w:sz w:val="22"/>
                <w:szCs w:val="22"/>
              </w:rPr>
            </w:pPr>
            <w:r w:rsidRPr="00AD46B1">
              <w:rPr>
                <w:sz w:val="22"/>
                <w:szCs w:val="22"/>
              </w:rPr>
              <w:t>The liquidated damages are adequate and are supported by financial substance and/or completion guarantee from sponsors with good financial standing.</w:t>
            </w:r>
          </w:p>
        </w:tc>
        <w:tc>
          <w:tcPr>
            <w:tcW w:w="2790" w:type="dxa"/>
          </w:tcPr>
          <w:p w14:paraId="7121C330" w14:textId="653C8573" w:rsidR="0087674E" w:rsidRPr="00AD46B1" w:rsidRDefault="0087674E" w:rsidP="00947F41">
            <w:pPr>
              <w:spacing w:before="60" w:after="60"/>
              <w:rPr>
                <w:sz w:val="22"/>
                <w:szCs w:val="22"/>
              </w:rPr>
            </w:pPr>
            <w:r w:rsidRPr="00AD46B1">
              <w:rPr>
                <w:sz w:val="22"/>
                <w:szCs w:val="22"/>
              </w:rPr>
              <w:t>The liquidated damages are inadequate or not supported by financial substance</w:t>
            </w:r>
            <w:r w:rsidR="001D2C31" w:rsidRPr="00AD46B1">
              <w:rPr>
                <w:sz w:val="22"/>
                <w:szCs w:val="22"/>
              </w:rPr>
              <w:t>,</w:t>
            </w:r>
            <w:r w:rsidRPr="00AD46B1">
              <w:rPr>
                <w:sz w:val="22"/>
                <w:szCs w:val="22"/>
              </w:rPr>
              <w:t xml:space="preserve"> or weak completion guarantees.</w:t>
            </w:r>
          </w:p>
        </w:tc>
      </w:tr>
      <w:tr w:rsidR="0087674E" w:rsidRPr="00AD46B1" w14:paraId="73242B5B" w14:textId="77777777" w:rsidTr="00947F41">
        <w:tc>
          <w:tcPr>
            <w:tcW w:w="2789" w:type="dxa"/>
          </w:tcPr>
          <w:p w14:paraId="2B910C0D" w14:textId="77777777" w:rsidR="0087674E" w:rsidRPr="00AD46B1" w:rsidRDefault="0087674E" w:rsidP="00BE0741">
            <w:pPr>
              <w:spacing w:before="60" w:after="60"/>
              <w:rPr>
                <w:sz w:val="22"/>
                <w:szCs w:val="22"/>
              </w:rPr>
            </w:pPr>
            <w:r w:rsidRPr="00AD46B1">
              <w:rPr>
                <w:sz w:val="22"/>
                <w:szCs w:val="22"/>
              </w:rPr>
              <w:t>Track record and financial strength of contractor in constructing similar projects</w:t>
            </w:r>
          </w:p>
        </w:tc>
        <w:tc>
          <w:tcPr>
            <w:tcW w:w="2789" w:type="dxa"/>
          </w:tcPr>
          <w:p w14:paraId="7688214A" w14:textId="77777777" w:rsidR="0087674E" w:rsidRPr="00AD46B1" w:rsidRDefault="0087674E" w:rsidP="00947F41">
            <w:pPr>
              <w:spacing w:before="60" w:after="60"/>
              <w:rPr>
                <w:sz w:val="22"/>
                <w:szCs w:val="22"/>
              </w:rPr>
            </w:pPr>
            <w:r w:rsidRPr="00AD46B1">
              <w:rPr>
                <w:sz w:val="22"/>
                <w:szCs w:val="22"/>
              </w:rPr>
              <w:t xml:space="preserve">Strong. </w:t>
            </w:r>
          </w:p>
        </w:tc>
        <w:tc>
          <w:tcPr>
            <w:tcW w:w="2790" w:type="dxa"/>
          </w:tcPr>
          <w:p w14:paraId="5F721A87" w14:textId="77777777" w:rsidR="0087674E" w:rsidRPr="00AD46B1" w:rsidRDefault="0087674E" w:rsidP="00947F41">
            <w:pPr>
              <w:spacing w:before="60" w:after="60"/>
              <w:rPr>
                <w:sz w:val="22"/>
                <w:szCs w:val="22"/>
              </w:rPr>
            </w:pPr>
            <w:r w:rsidRPr="00AD46B1">
              <w:rPr>
                <w:sz w:val="22"/>
                <w:szCs w:val="22"/>
              </w:rPr>
              <w:t>Satisfactory.</w:t>
            </w:r>
          </w:p>
        </w:tc>
        <w:tc>
          <w:tcPr>
            <w:tcW w:w="2790" w:type="dxa"/>
          </w:tcPr>
          <w:p w14:paraId="3770969E" w14:textId="77777777" w:rsidR="0087674E" w:rsidRPr="00AD46B1" w:rsidRDefault="0087674E" w:rsidP="00947F41">
            <w:pPr>
              <w:spacing w:before="60" w:after="60"/>
              <w:rPr>
                <w:sz w:val="22"/>
                <w:szCs w:val="22"/>
              </w:rPr>
            </w:pPr>
            <w:r w:rsidRPr="00AD46B1">
              <w:rPr>
                <w:sz w:val="22"/>
                <w:szCs w:val="22"/>
              </w:rPr>
              <w:t>Fair.</w:t>
            </w:r>
          </w:p>
        </w:tc>
        <w:tc>
          <w:tcPr>
            <w:tcW w:w="2790" w:type="dxa"/>
          </w:tcPr>
          <w:p w14:paraId="754F029D" w14:textId="77777777" w:rsidR="0087674E" w:rsidRPr="00AD46B1" w:rsidRDefault="0087674E" w:rsidP="00947F41">
            <w:pPr>
              <w:spacing w:before="60" w:after="60"/>
              <w:rPr>
                <w:sz w:val="22"/>
                <w:szCs w:val="22"/>
              </w:rPr>
            </w:pPr>
            <w:r w:rsidRPr="00AD46B1">
              <w:rPr>
                <w:sz w:val="22"/>
                <w:szCs w:val="22"/>
              </w:rPr>
              <w:t xml:space="preserve">Weak. </w:t>
            </w:r>
          </w:p>
        </w:tc>
      </w:tr>
      <w:tr w:rsidR="0087674E" w:rsidRPr="00AD46B1" w14:paraId="4B6BE460" w14:textId="77777777" w:rsidTr="00947F41">
        <w:tc>
          <w:tcPr>
            <w:tcW w:w="2789" w:type="dxa"/>
            <w:tcBorders>
              <w:bottom w:val="nil"/>
            </w:tcBorders>
          </w:tcPr>
          <w:p w14:paraId="4DA038AB" w14:textId="77777777" w:rsidR="0087674E" w:rsidRPr="00AD46B1" w:rsidRDefault="0087674E" w:rsidP="00E117FF">
            <w:pPr>
              <w:keepNext/>
              <w:spacing w:before="60" w:after="60"/>
              <w:rPr>
                <w:sz w:val="22"/>
                <w:szCs w:val="22"/>
              </w:rPr>
            </w:pPr>
            <w:r w:rsidRPr="00AD46B1">
              <w:rPr>
                <w:sz w:val="22"/>
                <w:szCs w:val="22"/>
              </w:rPr>
              <w:t>Operating risk</w:t>
            </w:r>
          </w:p>
        </w:tc>
        <w:tc>
          <w:tcPr>
            <w:tcW w:w="2789" w:type="dxa"/>
            <w:tcBorders>
              <w:bottom w:val="nil"/>
            </w:tcBorders>
          </w:tcPr>
          <w:p w14:paraId="16AAE6A5" w14:textId="77777777" w:rsidR="0087674E" w:rsidRPr="00AD46B1" w:rsidRDefault="0087674E" w:rsidP="00947F41">
            <w:pPr>
              <w:spacing w:before="60" w:after="60"/>
              <w:rPr>
                <w:sz w:val="22"/>
                <w:szCs w:val="22"/>
              </w:rPr>
            </w:pPr>
          </w:p>
        </w:tc>
        <w:tc>
          <w:tcPr>
            <w:tcW w:w="2790" w:type="dxa"/>
            <w:tcBorders>
              <w:bottom w:val="nil"/>
            </w:tcBorders>
          </w:tcPr>
          <w:p w14:paraId="355EF859" w14:textId="77777777" w:rsidR="0087674E" w:rsidRPr="00AD46B1" w:rsidRDefault="0087674E" w:rsidP="00947F41">
            <w:pPr>
              <w:spacing w:before="60" w:after="60"/>
              <w:rPr>
                <w:sz w:val="22"/>
                <w:szCs w:val="22"/>
              </w:rPr>
            </w:pPr>
          </w:p>
        </w:tc>
        <w:tc>
          <w:tcPr>
            <w:tcW w:w="2790" w:type="dxa"/>
            <w:tcBorders>
              <w:bottom w:val="nil"/>
            </w:tcBorders>
          </w:tcPr>
          <w:p w14:paraId="176A2ED9" w14:textId="77777777" w:rsidR="0087674E" w:rsidRPr="00AD46B1" w:rsidRDefault="0087674E" w:rsidP="00947F41">
            <w:pPr>
              <w:spacing w:before="60" w:after="60"/>
              <w:rPr>
                <w:sz w:val="22"/>
                <w:szCs w:val="22"/>
              </w:rPr>
            </w:pPr>
          </w:p>
        </w:tc>
        <w:tc>
          <w:tcPr>
            <w:tcW w:w="2790" w:type="dxa"/>
            <w:tcBorders>
              <w:bottom w:val="nil"/>
            </w:tcBorders>
          </w:tcPr>
          <w:p w14:paraId="5F93FD5E" w14:textId="77777777" w:rsidR="0087674E" w:rsidRPr="00AD46B1" w:rsidRDefault="0087674E" w:rsidP="00947F41">
            <w:pPr>
              <w:spacing w:before="60" w:after="60"/>
              <w:rPr>
                <w:sz w:val="22"/>
                <w:szCs w:val="22"/>
              </w:rPr>
            </w:pPr>
          </w:p>
        </w:tc>
      </w:tr>
      <w:tr w:rsidR="0087674E" w:rsidRPr="00AD46B1" w14:paraId="156BE06F" w14:textId="77777777" w:rsidTr="00947F41">
        <w:tc>
          <w:tcPr>
            <w:tcW w:w="2789" w:type="dxa"/>
            <w:tcBorders>
              <w:top w:val="nil"/>
              <w:bottom w:val="nil"/>
            </w:tcBorders>
          </w:tcPr>
          <w:p w14:paraId="05251FEE" w14:textId="77777777" w:rsidR="0087674E" w:rsidRPr="00AD46B1" w:rsidRDefault="0087674E" w:rsidP="00947F41">
            <w:pPr>
              <w:spacing w:before="60" w:after="60"/>
              <w:rPr>
                <w:i/>
                <w:sz w:val="22"/>
                <w:szCs w:val="22"/>
              </w:rPr>
            </w:pPr>
            <w:r w:rsidRPr="00AD46B1">
              <w:rPr>
                <w:i/>
                <w:sz w:val="22"/>
                <w:szCs w:val="22"/>
              </w:rPr>
              <w:t>Scope and nature of operations and maintenance (O&amp;M) contracts</w:t>
            </w:r>
          </w:p>
        </w:tc>
        <w:tc>
          <w:tcPr>
            <w:tcW w:w="2789" w:type="dxa"/>
            <w:tcBorders>
              <w:top w:val="nil"/>
              <w:bottom w:val="nil"/>
            </w:tcBorders>
          </w:tcPr>
          <w:p w14:paraId="7C4693E5" w14:textId="77777777" w:rsidR="0087674E" w:rsidRPr="00AD46B1" w:rsidRDefault="0087674E" w:rsidP="00947F41">
            <w:pPr>
              <w:spacing w:before="60" w:after="60"/>
              <w:rPr>
                <w:sz w:val="22"/>
                <w:szCs w:val="22"/>
              </w:rPr>
            </w:pPr>
            <w:r w:rsidRPr="00AD46B1">
              <w:rPr>
                <w:sz w:val="22"/>
                <w:szCs w:val="22"/>
              </w:rPr>
              <w:t>There is a strong long-term O&amp;M contract, preferably with contractual performance incentives and/or O&amp;M reserve accounts.</w:t>
            </w:r>
          </w:p>
        </w:tc>
        <w:tc>
          <w:tcPr>
            <w:tcW w:w="2790" w:type="dxa"/>
            <w:tcBorders>
              <w:top w:val="nil"/>
              <w:bottom w:val="nil"/>
            </w:tcBorders>
          </w:tcPr>
          <w:p w14:paraId="3AA4BF5D" w14:textId="77777777" w:rsidR="0087674E" w:rsidRPr="00AD46B1" w:rsidRDefault="0087674E" w:rsidP="00947F41">
            <w:pPr>
              <w:spacing w:before="60" w:after="60"/>
              <w:rPr>
                <w:sz w:val="22"/>
                <w:szCs w:val="22"/>
              </w:rPr>
            </w:pPr>
            <w:r w:rsidRPr="00AD46B1">
              <w:rPr>
                <w:sz w:val="22"/>
                <w:szCs w:val="22"/>
              </w:rPr>
              <w:t>There is a long-term O&amp;M contract and/or O&amp;M reserve accounts.</w:t>
            </w:r>
          </w:p>
        </w:tc>
        <w:tc>
          <w:tcPr>
            <w:tcW w:w="2790" w:type="dxa"/>
            <w:tcBorders>
              <w:top w:val="nil"/>
              <w:bottom w:val="nil"/>
            </w:tcBorders>
          </w:tcPr>
          <w:p w14:paraId="5D4E2056" w14:textId="77777777" w:rsidR="0087674E" w:rsidRPr="00AD46B1" w:rsidRDefault="0087674E" w:rsidP="00947F41">
            <w:pPr>
              <w:spacing w:before="60" w:after="60"/>
              <w:rPr>
                <w:sz w:val="22"/>
                <w:szCs w:val="22"/>
              </w:rPr>
            </w:pPr>
            <w:r w:rsidRPr="00AD46B1">
              <w:rPr>
                <w:sz w:val="22"/>
                <w:szCs w:val="22"/>
              </w:rPr>
              <w:t>There is a limited O&amp;M contract or O&amp;M reserve account.</w:t>
            </w:r>
          </w:p>
        </w:tc>
        <w:tc>
          <w:tcPr>
            <w:tcW w:w="2790" w:type="dxa"/>
            <w:tcBorders>
              <w:top w:val="nil"/>
              <w:bottom w:val="nil"/>
            </w:tcBorders>
          </w:tcPr>
          <w:p w14:paraId="193B5D02" w14:textId="77777777" w:rsidR="0087674E" w:rsidRPr="00AD46B1" w:rsidRDefault="0087674E" w:rsidP="00947F41">
            <w:pPr>
              <w:spacing w:before="60" w:after="60"/>
              <w:rPr>
                <w:sz w:val="22"/>
                <w:szCs w:val="22"/>
              </w:rPr>
            </w:pPr>
            <w:r w:rsidRPr="00AD46B1">
              <w:rPr>
                <w:sz w:val="22"/>
                <w:szCs w:val="22"/>
              </w:rPr>
              <w:t>There is no O&amp;M contract. There is a risk of high operational cost overruns beyond mitigants.</w:t>
            </w:r>
          </w:p>
        </w:tc>
      </w:tr>
      <w:tr w:rsidR="0087674E" w:rsidRPr="00AD46B1" w14:paraId="59F89E34" w14:textId="77777777" w:rsidTr="00947F41">
        <w:tc>
          <w:tcPr>
            <w:tcW w:w="2789" w:type="dxa"/>
            <w:tcBorders>
              <w:top w:val="nil"/>
            </w:tcBorders>
          </w:tcPr>
          <w:p w14:paraId="668DB978" w14:textId="77777777" w:rsidR="0087674E" w:rsidRPr="00AD46B1" w:rsidRDefault="0087674E" w:rsidP="00947F41">
            <w:pPr>
              <w:spacing w:before="60" w:after="60"/>
              <w:rPr>
                <w:i/>
                <w:sz w:val="22"/>
                <w:szCs w:val="22"/>
              </w:rPr>
            </w:pPr>
            <w:r w:rsidRPr="00AD46B1">
              <w:rPr>
                <w:i/>
                <w:sz w:val="22"/>
                <w:szCs w:val="22"/>
              </w:rPr>
              <w:t>Operator’s expertise, track record and financial strength</w:t>
            </w:r>
          </w:p>
        </w:tc>
        <w:tc>
          <w:tcPr>
            <w:tcW w:w="2789" w:type="dxa"/>
            <w:tcBorders>
              <w:top w:val="nil"/>
            </w:tcBorders>
          </w:tcPr>
          <w:p w14:paraId="661124CE" w14:textId="12238B5F" w:rsidR="0087674E" w:rsidRPr="00AD46B1" w:rsidRDefault="0087674E" w:rsidP="00947F41">
            <w:pPr>
              <w:spacing w:before="60" w:after="60"/>
              <w:rPr>
                <w:sz w:val="22"/>
                <w:szCs w:val="22"/>
              </w:rPr>
            </w:pPr>
            <w:r w:rsidRPr="00AD46B1">
              <w:rPr>
                <w:sz w:val="22"/>
                <w:szCs w:val="22"/>
              </w:rPr>
              <w:t>Very strong</w:t>
            </w:r>
            <w:r w:rsidR="001D2C31" w:rsidRPr="00AD46B1">
              <w:rPr>
                <w:sz w:val="22"/>
                <w:szCs w:val="22"/>
              </w:rPr>
              <w:t>,</w:t>
            </w:r>
            <w:r w:rsidRPr="00AD46B1">
              <w:rPr>
                <w:sz w:val="22"/>
                <w:szCs w:val="22"/>
              </w:rPr>
              <w:t xml:space="preserve"> or committed technical assistance of the sponsors.</w:t>
            </w:r>
          </w:p>
        </w:tc>
        <w:tc>
          <w:tcPr>
            <w:tcW w:w="2790" w:type="dxa"/>
            <w:tcBorders>
              <w:top w:val="nil"/>
            </w:tcBorders>
          </w:tcPr>
          <w:p w14:paraId="3ABDE879" w14:textId="77777777" w:rsidR="0087674E" w:rsidRPr="00AD46B1" w:rsidRDefault="0087674E" w:rsidP="00947F41">
            <w:pPr>
              <w:spacing w:before="60" w:after="60"/>
              <w:rPr>
                <w:sz w:val="22"/>
                <w:szCs w:val="22"/>
              </w:rPr>
            </w:pPr>
            <w:r w:rsidRPr="00AD46B1">
              <w:rPr>
                <w:sz w:val="22"/>
                <w:szCs w:val="22"/>
              </w:rPr>
              <w:t>Strong.</w:t>
            </w:r>
          </w:p>
        </w:tc>
        <w:tc>
          <w:tcPr>
            <w:tcW w:w="2790" w:type="dxa"/>
            <w:tcBorders>
              <w:top w:val="nil"/>
            </w:tcBorders>
          </w:tcPr>
          <w:p w14:paraId="228C4A8B" w14:textId="77777777" w:rsidR="0087674E" w:rsidRPr="00AD46B1" w:rsidRDefault="0087674E" w:rsidP="00947F41">
            <w:pPr>
              <w:spacing w:before="60" w:after="60"/>
              <w:rPr>
                <w:sz w:val="22"/>
                <w:szCs w:val="22"/>
              </w:rPr>
            </w:pPr>
            <w:r w:rsidRPr="00AD46B1">
              <w:rPr>
                <w:sz w:val="22"/>
                <w:szCs w:val="22"/>
              </w:rPr>
              <w:t xml:space="preserve">Acceptable. </w:t>
            </w:r>
          </w:p>
        </w:tc>
        <w:tc>
          <w:tcPr>
            <w:tcW w:w="2790" w:type="dxa"/>
            <w:tcBorders>
              <w:top w:val="nil"/>
            </w:tcBorders>
          </w:tcPr>
          <w:p w14:paraId="7B146F23" w14:textId="26FB59E3" w:rsidR="0087674E" w:rsidRPr="00AD46B1" w:rsidRDefault="0087674E" w:rsidP="00947F41">
            <w:pPr>
              <w:spacing w:before="60" w:after="60"/>
              <w:rPr>
                <w:sz w:val="22"/>
                <w:szCs w:val="22"/>
              </w:rPr>
            </w:pPr>
            <w:r w:rsidRPr="00AD46B1">
              <w:rPr>
                <w:sz w:val="22"/>
                <w:szCs w:val="22"/>
              </w:rPr>
              <w:t>Limited/weak</w:t>
            </w:r>
            <w:r w:rsidR="001D2C31" w:rsidRPr="00AD46B1">
              <w:rPr>
                <w:sz w:val="22"/>
                <w:szCs w:val="22"/>
              </w:rPr>
              <w:t>,</w:t>
            </w:r>
            <w:r w:rsidRPr="00AD46B1">
              <w:rPr>
                <w:sz w:val="22"/>
                <w:szCs w:val="22"/>
              </w:rPr>
              <w:t xml:space="preserve"> or local operator dependent on local authorities.</w:t>
            </w:r>
          </w:p>
        </w:tc>
      </w:tr>
      <w:tr w:rsidR="0087674E" w:rsidRPr="00AD46B1" w14:paraId="2070946F" w14:textId="77777777" w:rsidTr="00947F41">
        <w:tc>
          <w:tcPr>
            <w:tcW w:w="2789" w:type="dxa"/>
            <w:tcBorders>
              <w:bottom w:val="nil"/>
            </w:tcBorders>
          </w:tcPr>
          <w:p w14:paraId="31DA20E9" w14:textId="77777777" w:rsidR="0087674E" w:rsidRPr="00AD46B1" w:rsidRDefault="0087674E" w:rsidP="006C3670">
            <w:pPr>
              <w:keepNext/>
              <w:spacing w:before="60" w:after="60"/>
              <w:rPr>
                <w:sz w:val="22"/>
                <w:szCs w:val="22"/>
              </w:rPr>
            </w:pPr>
            <w:r w:rsidRPr="00AD46B1">
              <w:rPr>
                <w:sz w:val="22"/>
                <w:szCs w:val="22"/>
              </w:rPr>
              <w:lastRenderedPageBreak/>
              <w:t>Off-take risk</w:t>
            </w:r>
          </w:p>
        </w:tc>
        <w:tc>
          <w:tcPr>
            <w:tcW w:w="2789" w:type="dxa"/>
            <w:tcBorders>
              <w:bottom w:val="nil"/>
            </w:tcBorders>
          </w:tcPr>
          <w:p w14:paraId="182D5354" w14:textId="77777777" w:rsidR="0087674E" w:rsidRPr="00AD46B1" w:rsidRDefault="0087674E" w:rsidP="00947F41">
            <w:pPr>
              <w:spacing w:before="60" w:after="60"/>
              <w:rPr>
                <w:sz w:val="22"/>
                <w:szCs w:val="22"/>
              </w:rPr>
            </w:pPr>
          </w:p>
        </w:tc>
        <w:tc>
          <w:tcPr>
            <w:tcW w:w="2790" w:type="dxa"/>
            <w:tcBorders>
              <w:bottom w:val="nil"/>
            </w:tcBorders>
          </w:tcPr>
          <w:p w14:paraId="1DE27856" w14:textId="77777777" w:rsidR="0087674E" w:rsidRPr="00AD46B1" w:rsidRDefault="0087674E" w:rsidP="00947F41">
            <w:pPr>
              <w:spacing w:before="60" w:after="60"/>
              <w:rPr>
                <w:sz w:val="22"/>
                <w:szCs w:val="22"/>
              </w:rPr>
            </w:pPr>
          </w:p>
        </w:tc>
        <w:tc>
          <w:tcPr>
            <w:tcW w:w="2790" w:type="dxa"/>
            <w:tcBorders>
              <w:bottom w:val="nil"/>
            </w:tcBorders>
          </w:tcPr>
          <w:p w14:paraId="142F4546" w14:textId="77777777" w:rsidR="0087674E" w:rsidRPr="00AD46B1" w:rsidRDefault="0087674E" w:rsidP="00947F41">
            <w:pPr>
              <w:spacing w:before="60" w:after="60"/>
              <w:rPr>
                <w:sz w:val="22"/>
                <w:szCs w:val="22"/>
              </w:rPr>
            </w:pPr>
          </w:p>
        </w:tc>
        <w:tc>
          <w:tcPr>
            <w:tcW w:w="2790" w:type="dxa"/>
            <w:tcBorders>
              <w:bottom w:val="nil"/>
            </w:tcBorders>
          </w:tcPr>
          <w:p w14:paraId="74815396" w14:textId="77777777" w:rsidR="0087674E" w:rsidRPr="00AD46B1" w:rsidRDefault="0087674E" w:rsidP="00947F41">
            <w:pPr>
              <w:spacing w:before="60" w:after="60"/>
              <w:rPr>
                <w:sz w:val="22"/>
                <w:szCs w:val="22"/>
              </w:rPr>
            </w:pPr>
          </w:p>
        </w:tc>
      </w:tr>
      <w:tr w:rsidR="0087674E" w:rsidRPr="00AD46B1" w14:paraId="2B211D1B" w14:textId="77777777" w:rsidTr="00947F41">
        <w:tc>
          <w:tcPr>
            <w:tcW w:w="2789" w:type="dxa"/>
            <w:tcBorders>
              <w:top w:val="nil"/>
              <w:bottom w:val="nil"/>
            </w:tcBorders>
          </w:tcPr>
          <w:p w14:paraId="19FB3261" w14:textId="77777777" w:rsidR="0087674E" w:rsidRPr="00AD46B1" w:rsidRDefault="0087674E" w:rsidP="006C3670">
            <w:pPr>
              <w:keepNext/>
              <w:spacing w:before="60" w:after="60"/>
              <w:rPr>
                <w:i/>
                <w:sz w:val="22"/>
                <w:szCs w:val="22"/>
              </w:rPr>
            </w:pPr>
            <w:r w:rsidRPr="00AD46B1">
              <w:rPr>
                <w:i/>
                <w:sz w:val="22"/>
                <w:szCs w:val="22"/>
              </w:rPr>
              <w:t>If there is a take-or-pay or fixed-price off-take contract</w:t>
            </w:r>
          </w:p>
        </w:tc>
        <w:tc>
          <w:tcPr>
            <w:tcW w:w="2789" w:type="dxa"/>
            <w:tcBorders>
              <w:top w:val="nil"/>
              <w:bottom w:val="nil"/>
            </w:tcBorders>
          </w:tcPr>
          <w:p w14:paraId="54C874BA" w14:textId="77777777" w:rsidR="0087674E" w:rsidRPr="00AD46B1" w:rsidRDefault="0087674E" w:rsidP="00947F41">
            <w:pPr>
              <w:spacing w:before="60" w:after="60"/>
              <w:rPr>
                <w:sz w:val="22"/>
                <w:szCs w:val="22"/>
              </w:rPr>
            </w:pPr>
            <w:r w:rsidRPr="00AD46B1">
              <w:rPr>
                <w:sz w:val="22"/>
                <w:szCs w:val="22"/>
              </w:rPr>
              <w:t>The off-taker has excellent creditworthiness. There are strong termination clauses. The tenor of the contract comfortably exceeds the maturity of the debt.</w:t>
            </w:r>
          </w:p>
        </w:tc>
        <w:tc>
          <w:tcPr>
            <w:tcW w:w="2790" w:type="dxa"/>
            <w:tcBorders>
              <w:top w:val="nil"/>
              <w:bottom w:val="nil"/>
            </w:tcBorders>
          </w:tcPr>
          <w:p w14:paraId="2932D3F8" w14:textId="77777777" w:rsidR="0087674E" w:rsidRPr="00AD46B1" w:rsidRDefault="0087674E" w:rsidP="00947F41">
            <w:pPr>
              <w:spacing w:before="60" w:after="60"/>
              <w:rPr>
                <w:sz w:val="22"/>
                <w:szCs w:val="22"/>
              </w:rPr>
            </w:pPr>
            <w:r w:rsidRPr="00AD46B1">
              <w:rPr>
                <w:sz w:val="22"/>
                <w:szCs w:val="22"/>
              </w:rPr>
              <w:t>The off-taker has good creditworthiness. There are strong termination clauses. The tenor of the contract exceeds the maturity of the debt.</w:t>
            </w:r>
          </w:p>
        </w:tc>
        <w:tc>
          <w:tcPr>
            <w:tcW w:w="2790" w:type="dxa"/>
            <w:tcBorders>
              <w:top w:val="nil"/>
              <w:bottom w:val="nil"/>
            </w:tcBorders>
          </w:tcPr>
          <w:p w14:paraId="1DFAA71D" w14:textId="77777777" w:rsidR="0087674E" w:rsidRPr="00AD46B1" w:rsidRDefault="0087674E" w:rsidP="00947F41">
            <w:pPr>
              <w:spacing w:before="60" w:after="60"/>
              <w:rPr>
                <w:sz w:val="22"/>
                <w:szCs w:val="22"/>
              </w:rPr>
            </w:pPr>
            <w:r w:rsidRPr="00AD46B1">
              <w:rPr>
                <w:sz w:val="22"/>
                <w:szCs w:val="22"/>
              </w:rPr>
              <w:t>The off-taker’s financial standing is acceptable. There are normal termination clauses. The tenor of the contract generally matches the maturity of the debt.</w:t>
            </w:r>
          </w:p>
        </w:tc>
        <w:tc>
          <w:tcPr>
            <w:tcW w:w="2790" w:type="dxa"/>
            <w:tcBorders>
              <w:top w:val="nil"/>
              <w:bottom w:val="nil"/>
            </w:tcBorders>
          </w:tcPr>
          <w:p w14:paraId="33E9CB18" w14:textId="77777777" w:rsidR="0087674E" w:rsidRPr="00AD46B1" w:rsidRDefault="0087674E" w:rsidP="00947F41">
            <w:pPr>
              <w:spacing w:before="60" w:after="60"/>
              <w:rPr>
                <w:sz w:val="22"/>
                <w:szCs w:val="22"/>
              </w:rPr>
            </w:pPr>
            <w:r w:rsidRPr="00AD46B1">
              <w:rPr>
                <w:sz w:val="22"/>
                <w:szCs w:val="22"/>
              </w:rPr>
              <w:t>The off-taker is considered weak and there are weak termination clauses. The tenor of the contract does not exceed the maturity of the debt.</w:t>
            </w:r>
          </w:p>
        </w:tc>
      </w:tr>
      <w:tr w:rsidR="0087674E" w:rsidRPr="00AD46B1" w14:paraId="4C7F250B" w14:textId="77777777" w:rsidTr="00947F41">
        <w:tc>
          <w:tcPr>
            <w:tcW w:w="2789" w:type="dxa"/>
            <w:tcBorders>
              <w:top w:val="nil"/>
            </w:tcBorders>
          </w:tcPr>
          <w:p w14:paraId="30664FEE" w14:textId="71754F23" w:rsidR="0087674E" w:rsidRPr="00AD46B1" w:rsidRDefault="0087674E" w:rsidP="00BE0741">
            <w:pPr>
              <w:spacing w:before="60" w:after="60"/>
              <w:rPr>
                <w:i/>
                <w:sz w:val="22"/>
                <w:szCs w:val="22"/>
              </w:rPr>
            </w:pPr>
            <w:r w:rsidRPr="00AD46B1">
              <w:rPr>
                <w:i/>
                <w:sz w:val="22"/>
                <w:szCs w:val="22"/>
              </w:rPr>
              <w:t>If there is no take</w:t>
            </w:r>
            <w:r w:rsidR="001D2C31" w:rsidRPr="00AD46B1">
              <w:rPr>
                <w:i/>
                <w:sz w:val="22"/>
                <w:szCs w:val="22"/>
              </w:rPr>
              <w:t>-or</w:t>
            </w:r>
            <w:r w:rsidRPr="00AD46B1">
              <w:rPr>
                <w:i/>
                <w:sz w:val="22"/>
                <w:szCs w:val="22"/>
              </w:rPr>
              <w:t>-pay or fixed-price off-take contract</w:t>
            </w:r>
          </w:p>
        </w:tc>
        <w:tc>
          <w:tcPr>
            <w:tcW w:w="2789" w:type="dxa"/>
            <w:tcBorders>
              <w:top w:val="nil"/>
            </w:tcBorders>
          </w:tcPr>
          <w:p w14:paraId="60151D00" w14:textId="77777777" w:rsidR="006D1C71" w:rsidRPr="00AD46B1" w:rsidRDefault="0087674E" w:rsidP="00014C31">
            <w:pPr>
              <w:spacing w:before="60" w:after="60"/>
              <w:rPr>
                <w:sz w:val="22"/>
                <w:szCs w:val="22"/>
              </w:rPr>
            </w:pPr>
            <w:r w:rsidRPr="00AD46B1">
              <w:rPr>
                <w:sz w:val="22"/>
                <w:szCs w:val="22"/>
              </w:rPr>
              <w:t>The project produces essential services or a commodity sold widely on a world market. Output can readily be absorbed at projected prices even at lower than historic market growth rates.</w:t>
            </w:r>
          </w:p>
        </w:tc>
        <w:tc>
          <w:tcPr>
            <w:tcW w:w="2790" w:type="dxa"/>
            <w:tcBorders>
              <w:top w:val="nil"/>
            </w:tcBorders>
          </w:tcPr>
          <w:p w14:paraId="2506640A" w14:textId="77777777" w:rsidR="0087674E" w:rsidRPr="00AD46B1" w:rsidRDefault="0087674E" w:rsidP="00947F41">
            <w:pPr>
              <w:spacing w:before="60" w:after="60"/>
              <w:rPr>
                <w:sz w:val="22"/>
                <w:szCs w:val="22"/>
              </w:rPr>
            </w:pPr>
            <w:r w:rsidRPr="00AD46B1">
              <w:rPr>
                <w:sz w:val="22"/>
                <w:szCs w:val="22"/>
              </w:rPr>
              <w:t>The project produces essential services or a commodity sold widely on a regional market that will absorb it at projected prices at historical growth rates.</w:t>
            </w:r>
          </w:p>
        </w:tc>
        <w:tc>
          <w:tcPr>
            <w:tcW w:w="2790" w:type="dxa"/>
            <w:tcBorders>
              <w:top w:val="nil"/>
            </w:tcBorders>
          </w:tcPr>
          <w:p w14:paraId="0138A1B6" w14:textId="77777777" w:rsidR="0087674E" w:rsidRPr="00AD46B1" w:rsidRDefault="0087674E" w:rsidP="00947F41">
            <w:pPr>
              <w:spacing w:before="60" w:after="60"/>
              <w:rPr>
                <w:sz w:val="22"/>
                <w:szCs w:val="22"/>
              </w:rPr>
            </w:pPr>
            <w:r w:rsidRPr="00AD46B1">
              <w:rPr>
                <w:sz w:val="22"/>
                <w:szCs w:val="22"/>
              </w:rPr>
              <w:t>The commodity is sold on a limited market that may absorb it only at lower than projected prices.</w:t>
            </w:r>
          </w:p>
        </w:tc>
        <w:tc>
          <w:tcPr>
            <w:tcW w:w="2790" w:type="dxa"/>
            <w:tcBorders>
              <w:top w:val="nil"/>
            </w:tcBorders>
          </w:tcPr>
          <w:p w14:paraId="74A080EE" w14:textId="77777777" w:rsidR="0087674E" w:rsidRPr="00AD46B1" w:rsidRDefault="0087674E" w:rsidP="00947F41">
            <w:pPr>
              <w:spacing w:before="60" w:after="60"/>
              <w:rPr>
                <w:sz w:val="22"/>
                <w:szCs w:val="22"/>
              </w:rPr>
            </w:pPr>
            <w:r w:rsidRPr="00AD46B1">
              <w:rPr>
                <w:sz w:val="22"/>
                <w:szCs w:val="22"/>
              </w:rPr>
              <w:t>The project output is demanded by only one or a few buyers or is not generally sold on an organised market.</w:t>
            </w:r>
          </w:p>
        </w:tc>
      </w:tr>
      <w:tr w:rsidR="0087674E" w:rsidRPr="00AD46B1" w14:paraId="17AA46DC" w14:textId="77777777" w:rsidTr="00947F41">
        <w:tc>
          <w:tcPr>
            <w:tcW w:w="2789" w:type="dxa"/>
            <w:tcBorders>
              <w:bottom w:val="nil"/>
            </w:tcBorders>
          </w:tcPr>
          <w:p w14:paraId="44BD02AB" w14:textId="07D17CDB" w:rsidR="0087674E" w:rsidRPr="00AD46B1" w:rsidRDefault="0087674E" w:rsidP="00AD46B1">
            <w:pPr>
              <w:spacing w:before="60" w:after="60"/>
              <w:rPr>
                <w:sz w:val="22"/>
                <w:szCs w:val="22"/>
              </w:rPr>
            </w:pPr>
            <w:r w:rsidRPr="00AD46B1">
              <w:rPr>
                <w:sz w:val="22"/>
                <w:szCs w:val="22"/>
              </w:rPr>
              <w:t>Supply risk</w:t>
            </w:r>
          </w:p>
        </w:tc>
        <w:tc>
          <w:tcPr>
            <w:tcW w:w="2789" w:type="dxa"/>
            <w:tcBorders>
              <w:bottom w:val="nil"/>
            </w:tcBorders>
          </w:tcPr>
          <w:p w14:paraId="221C34A3" w14:textId="77777777" w:rsidR="0087674E" w:rsidRPr="00AD46B1" w:rsidRDefault="0087674E" w:rsidP="00947F41">
            <w:pPr>
              <w:spacing w:before="60" w:after="60"/>
              <w:rPr>
                <w:sz w:val="22"/>
                <w:szCs w:val="22"/>
              </w:rPr>
            </w:pPr>
          </w:p>
        </w:tc>
        <w:tc>
          <w:tcPr>
            <w:tcW w:w="2790" w:type="dxa"/>
            <w:tcBorders>
              <w:bottom w:val="nil"/>
            </w:tcBorders>
          </w:tcPr>
          <w:p w14:paraId="2F1C14E0" w14:textId="77777777" w:rsidR="0087674E" w:rsidRPr="00AD46B1" w:rsidRDefault="0087674E" w:rsidP="00947F41">
            <w:pPr>
              <w:spacing w:before="60" w:after="60"/>
              <w:rPr>
                <w:sz w:val="22"/>
                <w:szCs w:val="22"/>
              </w:rPr>
            </w:pPr>
          </w:p>
        </w:tc>
        <w:tc>
          <w:tcPr>
            <w:tcW w:w="2790" w:type="dxa"/>
            <w:tcBorders>
              <w:bottom w:val="nil"/>
            </w:tcBorders>
          </w:tcPr>
          <w:p w14:paraId="6359B009" w14:textId="77777777" w:rsidR="0087674E" w:rsidRPr="00AD46B1" w:rsidRDefault="0087674E" w:rsidP="00947F41">
            <w:pPr>
              <w:spacing w:before="60" w:after="60"/>
              <w:rPr>
                <w:sz w:val="22"/>
                <w:szCs w:val="22"/>
              </w:rPr>
            </w:pPr>
          </w:p>
        </w:tc>
        <w:tc>
          <w:tcPr>
            <w:tcW w:w="2790" w:type="dxa"/>
            <w:tcBorders>
              <w:bottom w:val="nil"/>
            </w:tcBorders>
          </w:tcPr>
          <w:p w14:paraId="02C3413C" w14:textId="77777777" w:rsidR="0087674E" w:rsidRPr="00AD46B1" w:rsidRDefault="0087674E" w:rsidP="00947F41">
            <w:pPr>
              <w:spacing w:before="60" w:after="60"/>
              <w:rPr>
                <w:sz w:val="22"/>
                <w:szCs w:val="22"/>
              </w:rPr>
            </w:pPr>
          </w:p>
        </w:tc>
      </w:tr>
      <w:tr w:rsidR="0087674E" w:rsidRPr="00AD46B1" w14:paraId="2A93D447" w14:textId="77777777" w:rsidTr="00947F41">
        <w:tc>
          <w:tcPr>
            <w:tcW w:w="2789" w:type="dxa"/>
            <w:tcBorders>
              <w:top w:val="nil"/>
              <w:bottom w:val="nil"/>
            </w:tcBorders>
          </w:tcPr>
          <w:p w14:paraId="7A6D11E7" w14:textId="77777777" w:rsidR="0087674E" w:rsidRPr="00AD46B1" w:rsidRDefault="0087674E" w:rsidP="00AD46B1">
            <w:pPr>
              <w:spacing w:before="60" w:after="60"/>
              <w:rPr>
                <w:i/>
                <w:sz w:val="22"/>
                <w:szCs w:val="22"/>
              </w:rPr>
            </w:pPr>
            <w:r w:rsidRPr="00AD46B1">
              <w:rPr>
                <w:i/>
                <w:sz w:val="22"/>
                <w:szCs w:val="22"/>
              </w:rPr>
              <w:t>Price, volume and transportation risk of feed-stocks; supplier’s track record and financial strength</w:t>
            </w:r>
          </w:p>
        </w:tc>
        <w:tc>
          <w:tcPr>
            <w:tcW w:w="2789" w:type="dxa"/>
            <w:tcBorders>
              <w:top w:val="nil"/>
              <w:bottom w:val="nil"/>
            </w:tcBorders>
          </w:tcPr>
          <w:p w14:paraId="4554D3A9" w14:textId="77777777" w:rsidR="0087674E" w:rsidRPr="00AD46B1" w:rsidRDefault="0087674E" w:rsidP="006C3670">
            <w:pPr>
              <w:keepNext/>
              <w:spacing w:before="60" w:after="60"/>
              <w:rPr>
                <w:sz w:val="22"/>
                <w:szCs w:val="22"/>
              </w:rPr>
            </w:pPr>
            <w:r w:rsidRPr="00AD46B1">
              <w:rPr>
                <w:sz w:val="22"/>
                <w:szCs w:val="22"/>
              </w:rPr>
              <w:t>There is a long-term supply contract with a supplier of excellent financial standing.</w:t>
            </w:r>
          </w:p>
        </w:tc>
        <w:tc>
          <w:tcPr>
            <w:tcW w:w="2790" w:type="dxa"/>
            <w:tcBorders>
              <w:top w:val="nil"/>
              <w:bottom w:val="nil"/>
            </w:tcBorders>
          </w:tcPr>
          <w:p w14:paraId="6248E743" w14:textId="77777777" w:rsidR="0087674E" w:rsidRPr="00AD46B1" w:rsidRDefault="0087674E" w:rsidP="00947F41">
            <w:pPr>
              <w:spacing w:before="60" w:after="60"/>
              <w:rPr>
                <w:sz w:val="22"/>
                <w:szCs w:val="22"/>
              </w:rPr>
            </w:pPr>
            <w:r w:rsidRPr="00AD46B1">
              <w:rPr>
                <w:sz w:val="22"/>
                <w:szCs w:val="22"/>
              </w:rPr>
              <w:t>There is a long-term supply contract with a supplier of good financial standing.</w:t>
            </w:r>
          </w:p>
        </w:tc>
        <w:tc>
          <w:tcPr>
            <w:tcW w:w="2790" w:type="dxa"/>
            <w:tcBorders>
              <w:top w:val="nil"/>
              <w:bottom w:val="nil"/>
            </w:tcBorders>
          </w:tcPr>
          <w:p w14:paraId="21DCF29F" w14:textId="77777777" w:rsidR="0087674E" w:rsidRPr="00AD46B1" w:rsidRDefault="0087674E" w:rsidP="00947F41">
            <w:pPr>
              <w:spacing w:before="60" w:after="60"/>
              <w:rPr>
                <w:sz w:val="22"/>
                <w:szCs w:val="22"/>
              </w:rPr>
            </w:pPr>
            <w:r w:rsidRPr="00AD46B1">
              <w:rPr>
                <w:sz w:val="22"/>
                <w:szCs w:val="22"/>
              </w:rPr>
              <w:t>There is a long-term supply contract with a supplier of good financial standing – a degree of price risk may remain.</w:t>
            </w:r>
          </w:p>
        </w:tc>
        <w:tc>
          <w:tcPr>
            <w:tcW w:w="2790" w:type="dxa"/>
            <w:tcBorders>
              <w:top w:val="nil"/>
              <w:bottom w:val="nil"/>
            </w:tcBorders>
          </w:tcPr>
          <w:p w14:paraId="34548C36" w14:textId="5277B677" w:rsidR="0087674E" w:rsidRPr="00AD46B1" w:rsidRDefault="0087674E" w:rsidP="00947F41">
            <w:pPr>
              <w:spacing w:before="60" w:after="60"/>
              <w:rPr>
                <w:sz w:val="22"/>
                <w:szCs w:val="22"/>
              </w:rPr>
            </w:pPr>
            <w:r w:rsidRPr="00AD46B1">
              <w:rPr>
                <w:sz w:val="22"/>
                <w:szCs w:val="22"/>
              </w:rPr>
              <w:t>There is a short-term supply contract</w:t>
            </w:r>
            <w:r w:rsidR="001D2C31" w:rsidRPr="00AD46B1">
              <w:rPr>
                <w:sz w:val="22"/>
                <w:szCs w:val="22"/>
              </w:rPr>
              <w:t>,</w:t>
            </w:r>
            <w:r w:rsidRPr="00AD46B1">
              <w:rPr>
                <w:sz w:val="22"/>
                <w:szCs w:val="22"/>
              </w:rPr>
              <w:t xml:space="preserve"> or long-term contract with a financially weak supplier –price risk definitely remains.</w:t>
            </w:r>
          </w:p>
        </w:tc>
      </w:tr>
      <w:tr w:rsidR="0087674E" w:rsidRPr="00AD46B1" w14:paraId="255A76BB" w14:textId="77777777" w:rsidTr="00947F41">
        <w:tc>
          <w:tcPr>
            <w:tcW w:w="2789" w:type="dxa"/>
            <w:tcBorders>
              <w:top w:val="nil"/>
            </w:tcBorders>
          </w:tcPr>
          <w:p w14:paraId="04436769" w14:textId="77777777" w:rsidR="0087674E" w:rsidRPr="00AD46B1" w:rsidRDefault="0087674E" w:rsidP="00AD46B1">
            <w:pPr>
              <w:spacing w:before="60" w:after="60"/>
              <w:rPr>
                <w:i/>
                <w:sz w:val="22"/>
                <w:szCs w:val="22"/>
              </w:rPr>
            </w:pPr>
            <w:r w:rsidRPr="00AD46B1">
              <w:rPr>
                <w:i/>
                <w:sz w:val="22"/>
                <w:szCs w:val="22"/>
              </w:rPr>
              <w:t>Reserve risks (e.g. natural resource development)</w:t>
            </w:r>
          </w:p>
        </w:tc>
        <w:tc>
          <w:tcPr>
            <w:tcW w:w="2789" w:type="dxa"/>
            <w:tcBorders>
              <w:top w:val="nil"/>
            </w:tcBorders>
          </w:tcPr>
          <w:p w14:paraId="28E2E2CA" w14:textId="77777777" w:rsidR="0087674E" w:rsidRPr="00AD46B1" w:rsidRDefault="0087674E" w:rsidP="00947F41">
            <w:pPr>
              <w:spacing w:before="60" w:after="60"/>
              <w:rPr>
                <w:sz w:val="22"/>
                <w:szCs w:val="22"/>
              </w:rPr>
            </w:pPr>
            <w:r w:rsidRPr="00AD46B1">
              <w:rPr>
                <w:sz w:val="22"/>
                <w:szCs w:val="22"/>
              </w:rPr>
              <w:t>Reserves are independently audited, proven and developed and are well in excess of requirements over lifetime of the project.</w:t>
            </w:r>
          </w:p>
        </w:tc>
        <w:tc>
          <w:tcPr>
            <w:tcW w:w="2790" w:type="dxa"/>
            <w:tcBorders>
              <w:top w:val="nil"/>
            </w:tcBorders>
          </w:tcPr>
          <w:p w14:paraId="23232957" w14:textId="77777777" w:rsidR="0087674E" w:rsidRPr="00AD46B1" w:rsidRDefault="0087674E" w:rsidP="00947F41">
            <w:pPr>
              <w:spacing w:before="60" w:after="60"/>
              <w:rPr>
                <w:sz w:val="22"/>
                <w:szCs w:val="22"/>
              </w:rPr>
            </w:pPr>
            <w:r w:rsidRPr="00AD46B1">
              <w:rPr>
                <w:sz w:val="22"/>
                <w:szCs w:val="22"/>
              </w:rPr>
              <w:t>Reserves are independently audited, proven and developed and are in excess of requirements over lifetime of the project.</w:t>
            </w:r>
          </w:p>
        </w:tc>
        <w:tc>
          <w:tcPr>
            <w:tcW w:w="2790" w:type="dxa"/>
            <w:tcBorders>
              <w:top w:val="nil"/>
            </w:tcBorders>
          </w:tcPr>
          <w:p w14:paraId="16F5ACCC" w14:textId="77777777" w:rsidR="0087674E" w:rsidRPr="00AD46B1" w:rsidRDefault="0087674E" w:rsidP="00947F41">
            <w:pPr>
              <w:spacing w:before="60" w:after="60"/>
              <w:rPr>
                <w:sz w:val="22"/>
                <w:szCs w:val="22"/>
              </w:rPr>
            </w:pPr>
            <w:r w:rsidRPr="00AD46B1">
              <w:rPr>
                <w:sz w:val="22"/>
                <w:szCs w:val="22"/>
              </w:rPr>
              <w:t>Reserves are proven and can supply the project adequately through the maturity of the debt.</w:t>
            </w:r>
          </w:p>
        </w:tc>
        <w:tc>
          <w:tcPr>
            <w:tcW w:w="2790" w:type="dxa"/>
            <w:tcBorders>
              <w:top w:val="nil"/>
            </w:tcBorders>
          </w:tcPr>
          <w:p w14:paraId="69F2DECE" w14:textId="77777777" w:rsidR="0087674E" w:rsidRPr="00AD46B1" w:rsidRDefault="0087674E" w:rsidP="00947F41">
            <w:pPr>
              <w:spacing w:before="60" w:after="60"/>
              <w:rPr>
                <w:sz w:val="22"/>
                <w:szCs w:val="22"/>
              </w:rPr>
            </w:pPr>
            <w:r w:rsidRPr="00AD46B1">
              <w:rPr>
                <w:sz w:val="22"/>
                <w:szCs w:val="22"/>
              </w:rPr>
              <w:t>The project relies to some extent on potential and undeveloped reserves.</w:t>
            </w:r>
          </w:p>
        </w:tc>
      </w:tr>
      <w:tr w:rsidR="0087674E" w:rsidRPr="00AD46B1" w14:paraId="2C0C629C" w14:textId="77777777" w:rsidTr="00947F41">
        <w:tc>
          <w:tcPr>
            <w:tcW w:w="13948" w:type="dxa"/>
            <w:gridSpan w:val="5"/>
            <w:vAlign w:val="center"/>
          </w:tcPr>
          <w:p w14:paraId="1A899B02" w14:textId="77777777" w:rsidR="0087674E" w:rsidRPr="00AD46B1" w:rsidRDefault="0087674E" w:rsidP="00A12DEF">
            <w:pPr>
              <w:keepNext/>
              <w:spacing w:before="60" w:after="60"/>
              <w:rPr>
                <w:b/>
                <w:sz w:val="22"/>
                <w:szCs w:val="22"/>
              </w:rPr>
            </w:pPr>
            <w:r w:rsidRPr="00AD46B1">
              <w:rPr>
                <w:b/>
                <w:sz w:val="22"/>
                <w:szCs w:val="22"/>
              </w:rPr>
              <w:lastRenderedPageBreak/>
              <w:t>Strength of sponsor</w:t>
            </w:r>
          </w:p>
        </w:tc>
      </w:tr>
      <w:tr w:rsidR="0087674E" w:rsidRPr="00AD46B1" w14:paraId="15636C55" w14:textId="77777777" w:rsidTr="00947F41">
        <w:tc>
          <w:tcPr>
            <w:tcW w:w="2789" w:type="dxa"/>
          </w:tcPr>
          <w:p w14:paraId="722FCE10" w14:textId="77777777" w:rsidR="0087674E" w:rsidRPr="00AD46B1" w:rsidRDefault="0087674E" w:rsidP="00947F41">
            <w:pPr>
              <w:spacing w:before="60" w:after="60"/>
              <w:rPr>
                <w:sz w:val="22"/>
                <w:szCs w:val="22"/>
              </w:rPr>
            </w:pPr>
            <w:r w:rsidRPr="00AD46B1">
              <w:rPr>
                <w:sz w:val="22"/>
                <w:szCs w:val="22"/>
              </w:rPr>
              <w:t>Sponsor’s track record, financial strength and country/sector experience</w:t>
            </w:r>
          </w:p>
        </w:tc>
        <w:tc>
          <w:tcPr>
            <w:tcW w:w="2789" w:type="dxa"/>
          </w:tcPr>
          <w:p w14:paraId="2F014263" w14:textId="77777777" w:rsidR="0087674E" w:rsidRPr="00AD46B1" w:rsidRDefault="0087674E" w:rsidP="00947F41">
            <w:pPr>
              <w:spacing w:before="60" w:after="60"/>
              <w:rPr>
                <w:sz w:val="22"/>
                <w:szCs w:val="22"/>
              </w:rPr>
            </w:pPr>
            <w:r w:rsidRPr="00AD46B1">
              <w:rPr>
                <w:sz w:val="22"/>
                <w:szCs w:val="22"/>
              </w:rPr>
              <w:t>The sponsor is strong with an excellent track record and high financial standing.</w:t>
            </w:r>
          </w:p>
        </w:tc>
        <w:tc>
          <w:tcPr>
            <w:tcW w:w="2790" w:type="dxa"/>
          </w:tcPr>
          <w:p w14:paraId="5E5C8C21" w14:textId="77777777" w:rsidR="0087674E" w:rsidRPr="00AD46B1" w:rsidRDefault="0087674E" w:rsidP="00947F41">
            <w:pPr>
              <w:spacing w:before="60" w:after="60"/>
              <w:rPr>
                <w:sz w:val="22"/>
                <w:szCs w:val="22"/>
              </w:rPr>
            </w:pPr>
            <w:r w:rsidRPr="00AD46B1">
              <w:rPr>
                <w:sz w:val="22"/>
                <w:szCs w:val="22"/>
              </w:rPr>
              <w:t>The sponsor is good with a satisfactory track record and good financial standing.</w:t>
            </w:r>
          </w:p>
        </w:tc>
        <w:tc>
          <w:tcPr>
            <w:tcW w:w="2790" w:type="dxa"/>
          </w:tcPr>
          <w:p w14:paraId="1F78C8B9" w14:textId="77777777" w:rsidR="0087674E" w:rsidRPr="00AD46B1" w:rsidRDefault="0087674E" w:rsidP="00947F41">
            <w:pPr>
              <w:spacing w:before="60" w:after="60"/>
              <w:rPr>
                <w:sz w:val="22"/>
                <w:szCs w:val="22"/>
              </w:rPr>
            </w:pPr>
            <w:r w:rsidRPr="00AD46B1">
              <w:rPr>
                <w:sz w:val="22"/>
                <w:szCs w:val="22"/>
              </w:rPr>
              <w:t>The sponsor is adequate with an adequate track record and good financial standing.</w:t>
            </w:r>
          </w:p>
        </w:tc>
        <w:tc>
          <w:tcPr>
            <w:tcW w:w="2790" w:type="dxa"/>
          </w:tcPr>
          <w:p w14:paraId="77B928E9" w14:textId="77777777" w:rsidR="0087674E" w:rsidRPr="00AD46B1" w:rsidRDefault="0087674E" w:rsidP="00947F41">
            <w:pPr>
              <w:spacing w:before="60" w:after="60"/>
              <w:rPr>
                <w:sz w:val="22"/>
                <w:szCs w:val="22"/>
              </w:rPr>
            </w:pPr>
            <w:r w:rsidRPr="00AD46B1">
              <w:rPr>
                <w:sz w:val="22"/>
                <w:szCs w:val="22"/>
              </w:rPr>
              <w:t>The sponsor is weak with a questionable/no track record and/or financial weaknesses.</w:t>
            </w:r>
          </w:p>
        </w:tc>
      </w:tr>
      <w:tr w:rsidR="0087674E" w:rsidRPr="00AD46B1" w14:paraId="40CFABE4" w14:textId="77777777" w:rsidTr="00947F41">
        <w:tc>
          <w:tcPr>
            <w:tcW w:w="2789" w:type="dxa"/>
          </w:tcPr>
          <w:p w14:paraId="223FABC2" w14:textId="77777777" w:rsidR="0087674E" w:rsidRPr="00AD46B1" w:rsidRDefault="0087674E" w:rsidP="00BE0741">
            <w:pPr>
              <w:keepNext/>
              <w:spacing w:before="60" w:after="60"/>
              <w:rPr>
                <w:sz w:val="22"/>
                <w:szCs w:val="22"/>
              </w:rPr>
            </w:pPr>
            <w:r w:rsidRPr="00AD46B1">
              <w:rPr>
                <w:sz w:val="22"/>
                <w:szCs w:val="22"/>
              </w:rPr>
              <w:t>Sponsor support, as evidenced by equity, ownership clause and incentive to inject additional cash if necessary</w:t>
            </w:r>
          </w:p>
        </w:tc>
        <w:tc>
          <w:tcPr>
            <w:tcW w:w="2789" w:type="dxa"/>
          </w:tcPr>
          <w:p w14:paraId="7FACF1C3" w14:textId="77777777" w:rsidR="0087674E" w:rsidRPr="00AD46B1" w:rsidRDefault="0087674E" w:rsidP="00947F41">
            <w:pPr>
              <w:spacing w:before="60" w:after="60"/>
              <w:rPr>
                <w:sz w:val="22"/>
                <w:szCs w:val="22"/>
              </w:rPr>
            </w:pPr>
            <w:r w:rsidRPr="00AD46B1">
              <w:rPr>
                <w:sz w:val="22"/>
                <w:szCs w:val="22"/>
              </w:rPr>
              <w:t>Strong. The project is highly strategic for the sponsor (core business – long-term strategy).</w:t>
            </w:r>
          </w:p>
        </w:tc>
        <w:tc>
          <w:tcPr>
            <w:tcW w:w="2790" w:type="dxa"/>
          </w:tcPr>
          <w:p w14:paraId="28C3C033" w14:textId="77777777" w:rsidR="0087674E" w:rsidRPr="00AD46B1" w:rsidRDefault="0087674E" w:rsidP="00947F41">
            <w:pPr>
              <w:spacing w:before="60" w:after="60"/>
              <w:rPr>
                <w:sz w:val="22"/>
                <w:szCs w:val="22"/>
              </w:rPr>
            </w:pPr>
            <w:r w:rsidRPr="00AD46B1">
              <w:rPr>
                <w:sz w:val="22"/>
                <w:szCs w:val="22"/>
              </w:rPr>
              <w:t>Good. The project is strategic for the sponsor (core business – long-term strategy).</w:t>
            </w:r>
          </w:p>
        </w:tc>
        <w:tc>
          <w:tcPr>
            <w:tcW w:w="2790" w:type="dxa"/>
          </w:tcPr>
          <w:p w14:paraId="78B12FD4" w14:textId="77777777" w:rsidR="0087674E" w:rsidRPr="00AD46B1" w:rsidRDefault="0087674E" w:rsidP="00947F41">
            <w:pPr>
              <w:spacing w:before="60" w:after="60"/>
              <w:rPr>
                <w:sz w:val="22"/>
                <w:szCs w:val="22"/>
              </w:rPr>
            </w:pPr>
            <w:r w:rsidRPr="00AD46B1">
              <w:rPr>
                <w:sz w:val="22"/>
                <w:szCs w:val="22"/>
              </w:rPr>
              <w:t>Acceptable. The project is considered important for the sponsor (core business).</w:t>
            </w:r>
          </w:p>
        </w:tc>
        <w:tc>
          <w:tcPr>
            <w:tcW w:w="2790" w:type="dxa"/>
          </w:tcPr>
          <w:p w14:paraId="4084C6E9" w14:textId="77777777" w:rsidR="0087674E" w:rsidRPr="00AD46B1" w:rsidRDefault="0087674E" w:rsidP="00947F41">
            <w:pPr>
              <w:spacing w:before="60" w:after="60"/>
              <w:rPr>
                <w:sz w:val="22"/>
                <w:szCs w:val="22"/>
              </w:rPr>
            </w:pPr>
            <w:r w:rsidRPr="00AD46B1">
              <w:rPr>
                <w:sz w:val="22"/>
                <w:szCs w:val="22"/>
              </w:rPr>
              <w:t>Limited. The project is not key to the sponsor’s long-term strategy or core business.</w:t>
            </w:r>
          </w:p>
        </w:tc>
      </w:tr>
      <w:tr w:rsidR="0087674E" w:rsidRPr="00AD46B1" w14:paraId="3DFCD5DB" w14:textId="77777777" w:rsidTr="00947F41">
        <w:tc>
          <w:tcPr>
            <w:tcW w:w="13948" w:type="dxa"/>
            <w:gridSpan w:val="5"/>
            <w:vAlign w:val="center"/>
          </w:tcPr>
          <w:p w14:paraId="7A021C19" w14:textId="77777777" w:rsidR="0087674E" w:rsidRPr="00AD46B1" w:rsidRDefault="0087674E" w:rsidP="00A12DEF">
            <w:pPr>
              <w:keepNext/>
              <w:spacing w:before="60" w:after="60"/>
              <w:rPr>
                <w:b/>
                <w:sz w:val="22"/>
                <w:szCs w:val="22"/>
              </w:rPr>
            </w:pPr>
            <w:r w:rsidRPr="00AD46B1">
              <w:rPr>
                <w:b/>
                <w:sz w:val="22"/>
                <w:szCs w:val="22"/>
              </w:rPr>
              <w:t>Security package</w:t>
            </w:r>
          </w:p>
        </w:tc>
      </w:tr>
      <w:tr w:rsidR="0087674E" w:rsidRPr="00AD46B1" w14:paraId="6A8DB578" w14:textId="77777777" w:rsidTr="00947F41">
        <w:tc>
          <w:tcPr>
            <w:tcW w:w="2789" w:type="dxa"/>
          </w:tcPr>
          <w:p w14:paraId="27A50641" w14:textId="77777777" w:rsidR="0087674E" w:rsidRPr="00AD46B1" w:rsidRDefault="0087674E" w:rsidP="0067295F">
            <w:pPr>
              <w:keepNext/>
              <w:spacing w:before="60" w:after="60"/>
              <w:rPr>
                <w:sz w:val="22"/>
                <w:szCs w:val="22"/>
              </w:rPr>
            </w:pPr>
            <w:r w:rsidRPr="00AD46B1">
              <w:rPr>
                <w:sz w:val="22"/>
                <w:szCs w:val="22"/>
              </w:rPr>
              <w:t>Assignment of contracts and accounts</w:t>
            </w:r>
          </w:p>
        </w:tc>
        <w:tc>
          <w:tcPr>
            <w:tcW w:w="2789" w:type="dxa"/>
          </w:tcPr>
          <w:p w14:paraId="00EDC156" w14:textId="77777777" w:rsidR="0087674E" w:rsidRPr="00AD46B1" w:rsidRDefault="0087674E" w:rsidP="00947F41">
            <w:pPr>
              <w:spacing w:before="60" w:after="60"/>
              <w:rPr>
                <w:sz w:val="22"/>
                <w:szCs w:val="22"/>
              </w:rPr>
            </w:pPr>
            <w:r w:rsidRPr="00AD46B1">
              <w:rPr>
                <w:sz w:val="22"/>
                <w:szCs w:val="22"/>
              </w:rPr>
              <w:t>Fully comprehensive.</w:t>
            </w:r>
          </w:p>
        </w:tc>
        <w:tc>
          <w:tcPr>
            <w:tcW w:w="2790" w:type="dxa"/>
          </w:tcPr>
          <w:p w14:paraId="3C1EABED" w14:textId="77777777" w:rsidR="0087674E" w:rsidRPr="00AD46B1" w:rsidRDefault="0087674E" w:rsidP="00947F41">
            <w:pPr>
              <w:spacing w:before="60" w:after="60"/>
              <w:rPr>
                <w:sz w:val="22"/>
                <w:szCs w:val="22"/>
              </w:rPr>
            </w:pPr>
            <w:r w:rsidRPr="00AD46B1">
              <w:rPr>
                <w:sz w:val="22"/>
                <w:szCs w:val="22"/>
              </w:rPr>
              <w:t>Comprehensive.</w:t>
            </w:r>
          </w:p>
        </w:tc>
        <w:tc>
          <w:tcPr>
            <w:tcW w:w="2790" w:type="dxa"/>
          </w:tcPr>
          <w:p w14:paraId="7FB678F7" w14:textId="77777777" w:rsidR="0087674E" w:rsidRPr="00AD46B1" w:rsidRDefault="0087674E" w:rsidP="00947F41">
            <w:pPr>
              <w:spacing w:before="60" w:after="60"/>
              <w:rPr>
                <w:sz w:val="22"/>
                <w:szCs w:val="22"/>
              </w:rPr>
            </w:pPr>
            <w:r w:rsidRPr="00AD46B1">
              <w:rPr>
                <w:sz w:val="22"/>
                <w:szCs w:val="22"/>
              </w:rPr>
              <w:t>Acceptable.</w:t>
            </w:r>
          </w:p>
        </w:tc>
        <w:tc>
          <w:tcPr>
            <w:tcW w:w="2790" w:type="dxa"/>
          </w:tcPr>
          <w:p w14:paraId="164B872E" w14:textId="77777777" w:rsidR="0087674E" w:rsidRPr="00AD46B1" w:rsidRDefault="0087674E" w:rsidP="00947F41">
            <w:pPr>
              <w:spacing w:before="60" w:after="60"/>
              <w:rPr>
                <w:sz w:val="22"/>
                <w:szCs w:val="22"/>
              </w:rPr>
            </w:pPr>
            <w:r w:rsidRPr="00AD46B1">
              <w:rPr>
                <w:sz w:val="22"/>
                <w:szCs w:val="22"/>
              </w:rPr>
              <w:t xml:space="preserve">Weak. </w:t>
            </w:r>
          </w:p>
        </w:tc>
      </w:tr>
      <w:tr w:rsidR="0087674E" w:rsidRPr="00AD46B1" w14:paraId="7FF8FD7D" w14:textId="77777777" w:rsidTr="00947F41">
        <w:tc>
          <w:tcPr>
            <w:tcW w:w="2789" w:type="dxa"/>
          </w:tcPr>
          <w:p w14:paraId="59779A8D" w14:textId="77777777" w:rsidR="0087674E" w:rsidRPr="00AD46B1" w:rsidRDefault="0087674E" w:rsidP="0067295F">
            <w:pPr>
              <w:keepNext/>
              <w:spacing w:before="60" w:after="60"/>
              <w:rPr>
                <w:sz w:val="22"/>
                <w:szCs w:val="22"/>
              </w:rPr>
            </w:pPr>
            <w:r w:rsidRPr="00AD46B1">
              <w:rPr>
                <w:sz w:val="22"/>
                <w:szCs w:val="22"/>
              </w:rPr>
              <w:t>Pledge of assets, taking into account quality, value and liquidity of assets</w:t>
            </w:r>
          </w:p>
        </w:tc>
        <w:tc>
          <w:tcPr>
            <w:tcW w:w="2789" w:type="dxa"/>
          </w:tcPr>
          <w:p w14:paraId="5C710AE2" w14:textId="77777777" w:rsidR="0087674E" w:rsidRPr="00AD46B1" w:rsidRDefault="0087674E" w:rsidP="00947F41">
            <w:pPr>
              <w:spacing w:before="60" w:after="60"/>
              <w:rPr>
                <w:sz w:val="22"/>
                <w:szCs w:val="22"/>
              </w:rPr>
            </w:pPr>
            <w:r w:rsidRPr="00AD46B1">
              <w:rPr>
                <w:sz w:val="22"/>
                <w:szCs w:val="22"/>
              </w:rPr>
              <w:t>First perfected security interest in all project assets, contracts, permits and accounts necessary to run the project.</w:t>
            </w:r>
          </w:p>
        </w:tc>
        <w:tc>
          <w:tcPr>
            <w:tcW w:w="2790" w:type="dxa"/>
          </w:tcPr>
          <w:p w14:paraId="77BB5D02" w14:textId="77777777" w:rsidR="0087674E" w:rsidRPr="00AD46B1" w:rsidRDefault="0087674E" w:rsidP="00947F41">
            <w:pPr>
              <w:spacing w:before="60" w:after="60"/>
              <w:rPr>
                <w:sz w:val="22"/>
                <w:szCs w:val="22"/>
              </w:rPr>
            </w:pPr>
            <w:r w:rsidRPr="00AD46B1">
              <w:rPr>
                <w:sz w:val="22"/>
                <w:szCs w:val="22"/>
              </w:rPr>
              <w:t>Perfected security interest in all project assets, contracts, permits and accounts necessary to run the project.</w:t>
            </w:r>
          </w:p>
        </w:tc>
        <w:tc>
          <w:tcPr>
            <w:tcW w:w="2790" w:type="dxa"/>
          </w:tcPr>
          <w:p w14:paraId="69EC1EEB" w14:textId="77777777" w:rsidR="0087674E" w:rsidRPr="00AD46B1" w:rsidRDefault="0087674E" w:rsidP="00947F41">
            <w:pPr>
              <w:spacing w:before="60" w:after="60"/>
              <w:rPr>
                <w:sz w:val="22"/>
                <w:szCs w:val="22"/>
              </w:rPr>
            </w:pPr>
            <w:r w:rsidRPr="00AD46B1">
              <w:rPr>
                <w:sz w:val="22"/>
                <w:szCs w:val="22"/>
              </w:rPr>
              <w:t>Acceptable security interest in all project assets, contracts, permits and accounts necessary to run the project.</w:t>
            </w:r>
          </w:p>
        </w:tc>
        <w:tc>
          <w:tcPr>
            <w:tcW w:w="2790" w:type="dxa"/>
          </w:tcPr>
          <w:p w14:paraId="226B0DB1" w14:textId="77777777" w:rsidR="0087674E" w:rsidRPr="00AD46B1" w:rsidRDefault="0087674E" w:rsidP="00947F41">
            <w:pPr>
              <w:spacing w:before="60" w:after="60"/>
              <w:rPr>
                <w:sz w:val="22"/>
                <w:szCs w:val="22"/>
              </w:rPr>
            </w:pPr>
            <w:r w:rsidRPr="00AD46B1">
              <w:rPr>
                <w:sz w:val="22"/>
                <w:szCs w:val="22"/>
              </w:rPr>
              <w:t>Little security or collateral for lenders; weak negative pledge clause.</w:t>
            </w:r>
          </w:p>
        </w:tc>
      </w:tr>
      <w:tr w:rsidR="0087674E" w:rsidRPr="00AD46B1" w14:paraId="6CFF9B22" w14:textId="77777777" w:rsidTr="00947F41">
        <w:tc>
          <w:tcPr>
            <w:tcW w:w="2789" w:type="dxa"/>
          </w:tcPr>
          <w:p w14:paraId="0E219B79" w14:textId="77777777" w:rsidR="0087674E" w:rsidRPr="00AD46B1" w:rsidRDefault="0087674E" w:rsidP="00947F41">
            <w:pPr>
              <w:spacing w:before="60" w:after="60"/>
              <w:rPr>
                <w:sz w:val="22"/>
                <w:szCs w:val="22"/>
              </w:rPr>
            </w:pPr>
            <w:r w:rsidRPr="00AD46B1">
              <w:rPr>
                <w:sz w:val="22"/>
                <w:szCs w:val="22"/>
              </w:rPr>
              <w:t>Lender’s control over cash flow (e.g. cash sweeps, independent escrow accounts)</w:t>
            </w:r>
          </w:p>
        </w:tc>
        <w:tc>
          <w:tcPr>
            <w:tcW w:w="2789" w:type="dxa"/>
          </w:tcPr>
          <w:p w14:paraId="3A563C8F" w14:textId="77777777" w:rsidR="0087674E" w:rsidRPr="00AD46B1" w:rsidRDefault="0087674E" w:rsidP="00947F41">
            <w:pPr>
              <w:spacing w:before="60" w:after="60"/>
              <w:rPr>
                <w:sz w:val="22"/>
                <w:szCs w:val="22"/>
              </w:rPr>
            </w:pPr>
            <w:r w:rsidRPr="00AD46B1">
              <w:rPr>
                <w:sz w:val="22"/>
                <w:szCs w:val="22"/>
              </w:rPr>
              <w:t xml:space="preserve">Strong. </w:t>
            </w:r>
          </w:p>
        </w:tc>
        <w:tc>
          <w:tcPr>
            <w:tcW w:w="2790" w:type="dxa"/>
          </w:tcPr>
          <w:p w14:paraId="195E1E5B" w14:textId="77777777" w:rsidR="0087674E" w:rsidRPr="00AD46B1" w:rsidRDefault="0087674E" w:rsidP="00947F41">
            <w:pPr>
              <w:spacing w:before="60" w:after="60"/>
              <w:rPr>
                <w:sz w:val="22"/>
                <w:szCs w:val="22"/>
              </w:rPr>
            </w:pPr>
            <w:r w:rsidRPr="00AD46B1">
              <w:rPr>
                <w:sz w:val="22"/>
                <w:szCs w:val="22"/>
              </w:rPr>
              <w:t>Satisfactory.</w:t>
            </w:r>
          </w:p>
        </w:tc>
        <w:tc>
          <w:tcPr>
            <w:tcW w:w="2790" w:type="dxa"/>
          </w:tcPr>
          <w:p w14:paraId="4ABF4BD2" w14:textId="77777777" w:rsidR="0087674E" w:rsidRPr="00AD46B1" w:rsidRDefault="0087674E" w:rsidP="00947F41">
            <w:pPr>
              <w:spacing w:before="60" w:after="60"/>
              <w:rPr>
                <w:sz w:val="22"/>
                <w:szCs w:val="22"/>
              </w:rPr>
            </w:pPr>
            <w:r w:rsidRPr="00AD46B1">
              <w:rPr>
                <w:sz w:val="22"/>
                <w:szCs w:val="22"/>
              </w:rPr>
              <w:t>Fair.</w:t>
            </w:r>
          </w:p>
        </w:tc>
        <w:tc>
          <w:tcPr>
            <w:tcW w:w="2790" w:type="dxa"/>
          </w:tcPr>
          <w:p w14:paraId="27CC8B10" w14:textId="77777777" w:rsidR="0087674E" w:rsidRPr="00AD46B1" w:rsidRDefault="0087674E" w:rsidP="00947F41">
            <w:pPr>
              <w:spacing w:before="60" w:after="60"/>
              <w:rPr>
                <w:sz w:val="22"/>
                <w:szCs w:val="22"/>
              </w:rPr>
            </w:pPr>
            <w:r w:rsidRPr="00AD46B1">
              <w:rPr>
                <w:sz w:val="22"/>
                <w:szCs w:val="22"/>
              </w:rPr>
              <w:t xml:space="preserve">Weak. </w:t>
            </w:r>
          </w:p>
        </w:tc>
      </w:tr>
      <w:tr w:rsidR="0087674E" w:rsidRPr="00AD46B1" w14:paraId="580B8D57" w14:textId="77777777" w:rsidTr="00947F41">
        <w:tc>
          <w:tcPr>
            <w:tcW w:w="2789" w:type="dxa"/>
          </w:tcPr>
          <w:p w14:paraId="24EF5BA4" w14:textId="77777777" w:rsidR="0087674E" w:rsidRPr="00AD46B1" w:rsidRDefault="0087674E" w:rsidP="00947F41">
            <w:pPr>
              <w:spacing w:before="60" w:after="60"/>
              <w:rPr>
                <w:sz w:val="22"/>
                <w:szCs w:val="22"/>
              </w:rPr>
            </w:pPr>
            <w:r w:rsidRPr="00AD46B1">
              <w:rPr>
                <w:sz w:val="22"/>
                <w:szCs w:val="22"/>
              </w:rPr>
              <w:t>Strength of the covenant package (mandatory prepayments, payment deferrals, payment cascade, dividend restrictions, etc)</w:t>
            </w:r>
          </w:p>
        </w:tc>
        <w:tc>
          <w:tcPr>
            <w:tcW w:w="2789" w:type="dxa"/>
          </w:tcPr>
          <w:p w14:paraId="0D9B78D3" w14:textId="77777777" w:rsidR="0087674E" w:rsidRPr="00AD46B1" w:rsidRDefault="0087674E" w:rsidP="00947F41">
            <w:pPr>
              <w:spacing w:before="60" w:after="60"/>
              <w:rPr>
                <w:sz w:val="22"/>
                <w:szCs w:val="22"/>
              </w:rPr>
            </w:pPr>
            <w:r w:rsidRPr="00AD46B1">
              <w:rPr>
                <w:sz w:val="22"/>
                <w:szCs w:val="22"/>
              </w:rPr>
              <w:t>The covenant package is strong for this type of project. The project may issue no additional debt.</w:t>
            </w:r>
          </w:p>
        </w:tc>
        <w:tc>
          <w:tcPr>
            <w:tcW w:w="2790" w:type="dxa"/>
          </w:tcPr>
          <w:p w14:paraId="2076ECC1" w14:textId="77777777" w:rsidR="0087674E" w:rsidRPr="00AD46B1" w:rsidRDefault="0087674E" w:rsidP="00947F41">
            <w:pPr>
              <w:spacing w:before="60" w:after="60"/>
              <w:rPr>
                <w:sz w:val="22"/>
                <w:szCs w:val="22"/>
              </w:rPr>
            </w:pPr>
            <w:r w:rsidRPr="00AD46B1">
              <w:rPr>
                <w:sz w:val="22"/>
                <w:szCs w:val="22"/>
              </w:rPr>
              <w:t>The covenant package is satisfactory for this type of project. The project may issue extremely limited additional debt.</w:t>
            </w:r>
          </w:p>
        </w:tc>
        <w:tc>
          <w:tcPr>
            <w:tcW w:w="2790" w:type="dxa"/>
          </w:tcPr>
          <w:p w14:paraId="0D656123" w14:textId="77777777" w:rsidR="0087674E" w:rsidRPr="00AD46B1" w:rsidRDefault="0087674E" w:rsidP="00947F41">
            <w:pPr>
              <w:spacing w:before="60" w:after="60"/>
              <w:rPr>
                <w:sz w:val="22"/>
                <w:szCs w:val="22"/>
              </w:rPr>
            </w:pPr>
            <w:r w:rsidRPr="00AD46B1">
              <w:rPr>
                <w:sz w:val="22"/>
                <w:szCs w:val="22"/>
              </w:rPr>
              <w:t>The covenant package is fair for this type of project. The project may issue limited additional debt.</w:t>
            </w:r>
          </w:p>
        </w:tc>
        <w:tc>
          <w:tcPr>
            <w:tcW w:w="2790" w:type="dxa"/>
          </w:tcPr>
          <w:p w14:paraId="054C37F6" w14:textId="77777777" w:rsidR="0087674E" w:rsidRPr="00AD46B1" w:rsidRDefault="0087674E" w:rsidP="00947F41">
            <w:pPr>
              <w:spacing w:before="60" w:after="60"/>
              <w:rPr>
                <w:sz w:val="22"/>
                <w:szCs w:val="22"/>
              </w:rPr>
            </w:pPr>
            <w:r w:rsidRPr="00AD46B1">
              <w:rPr>
                <w:sz w:val="22"/>
                <w:szCs w:val="22"/>
              </w:rPr>
              <w:t>The covenant package is insufficient for this type of project. The project may issue unlimited additional debt.</w:t>
            </w:r>
          </w:p>
        </w:tc>
      </w:tr>
      <w:tr w:rsidR="0087674E" w:rsidRPr="00AD46B1" w14:paraId="0B6A336F" w14:textId="77777777" w:rsidTr="00947F41">
        <w:tc>
          <w:tcPr>
            <w:tcW w:w="2789" w:type="dxa"/>
          </w:tcPr>
          <w:p w14:paraId="4E3A2C8E" w14:textId="77777777" w:rsidR="0087674E" w:rsidRPr="00AD46B1" w:rsidRDefault="0087674E" w:rsidP="00947F41">
            <w:pPr>
              <w:spacing w:before="60" w:after="60"/>
              <w:rPr>
                <w:sz w:val="22"/>
                <w:szCs w:val="22"/>
              </w:rPr>
            </w:pPr>
            <w:r w:rsidRPr="00AD46B1">
              <w:rPr>
                <w:sz w:val="22"/>
                <w:szCs w:val="22"/>
              </w:rPr>
              <w:lastRenderedPageBreak/>
              <w:t>Reserve funds (debt service, O&amp;M, renewal and replacement, unforeseen events, etc)</w:t>
            </w:r>
          </w:p>
        </w:tc>
        <w:tc>
          <w:tcPr>
            <w:tcW w:w="2789" w:type="dxa"/>
          </w:tcPr>
          <w:p w14:paraId="28CC1748" w14:textId="0AAF8EB7" w:rsidR="0087674E" w:rsidRPr="00AD46B1" w:rsidRDefault="0087674E" w:rsidP="00947F41">
            <w:pPr>
              <w:spacing w:before="60" w:after="60"/>
              <w:rPr>
                <w:sz w:val="22"/>
                <w:szCs w:val="22"/>
              </w:rPr>
            </w:pPr>
            <w:r w:rsidRPr="00AD46B1">
              <w:rPr>
                <w:sz w:val="22"/>
                <w:szCs w:val="22"/>
              </w:rPr>
              <w:t>There is a longer than average coverage period, all reserve funds are fully funded in cash or letters of credit from highly rated banks.</w:t>
            </w:r>
          </w:p>
        </w:tc>
        <w:tc>
          <w:tcPr>
            <w:tcW w:w="2790" w:type="dxa"/>
          </w:tcPr>
          <w:p w14:paraId="38A5FAE0" w14:textId="77777777" w:rsidR="0087674E" w:rsidRPr="00AD46B1" w:rsidRDefault="0087674E" w:rsidP="00947F41">
            <w:pPr>
              <w:spacing w:before="60" w:after="60"/>
              <w:rPr>
                <w:sz w:val="22"/>
                <w:szCs w:val="22"/>
              </w:rPr>
            </w:pPr>
            <w:r w:rsidRPr="00AD46B1">
              <w:rPr>
                <w:sz w:val="22"/>
                <w:szCs w:val="22"/>
              </w:rPr>
              <w:t>There is an average coverage period and all reserve funds fully funded.</w:t>
            </w:r>
          </w:p>
        </w:tc>
        <w:tc>
          <w:tcPr>
            <w:tcW w:w="2790" w:type="dxa"/>
          </w:tcPr>
          <w:p w14:paraId="5296356C" w14:textId="5EC5E0F5" w:rsidR="0087674E" w:rsidRPr="00AD46B1" w:rsidRDefault="0087674E" w:rsidP="00947F41">
            <w:pPr>
              <w:spacing w:before="60" w:after="60"/>
              <w:rPr>
                <w:sz w:val="22"/>
                <w:szCs w:val="22"/>
              </w:rPr>
            </w:pPr>
            <w:r w:rsidRPr="00AD46B1">
              <w:rPr>
                <w:sz w:val="22"/>
                <w:szCs w:val="22"/>
              </w:rPr>
              <w:t>There is an average coverage period and all reserve funds fully funded.</w:t>
            </w:r>
          </w:p>
        </w:tc>
        <w:tc>
          <w:tcPr>
            <w:tcW w:w="2790" w:type="dxa"/>
          </w:tcPr>
          <w:p w14:paraId="678C461A" w14:textId="77777777" w:rsidR="0087674E" w:rsidRPr="00AD46B1" w:rsidRDefault="0087674E" w:rsidP="00947F41">
            <w:pPr>
              <w:spacing w:before="60" w:after="60"/>
              <w:rPr>
                <w:sz w:val="22"/>
                <w:szCs w:val="22"/>
              </w:rPr>
            </w:pPr>
            <w:r w:rsidRPr="00AD46B1">
              <w:rPr>
                <w:sz w:val="22"/>
                <w:szCs w:val="22"/>
              </w:rPr>
              <w:t>The coverage period is shorter than average and reserve funds are funded from operating cash flows.</w:t>
            </w:r>
          </w:p>
        </w:tc>
      </w:tr>
    </w:tbl>
    <w:p w14:paraId="0443D097" w14:textId="3D08DDAC" w:rsidR="00AD46B1" w:rsidRDefault="00AD46B1" w:rsidP="00A12DEF">
      <w:pPr>
        <w:spacing w:after="0"/>
      </w:pPr>
    </w:p>
    <w:p w14:paraId="182CE175" w14:textId="77777777" w:rsidR="00AD46B1" w:rsidRDefault="00AD46B1">
      <w:r>
        <w:br w:type="page"/>
      </w:r>
    </w:p>
    <w:p w14:paraId="38A5EB3A" w14:textId="6EB73B5D" w:rsidR="0087674E" w:rsidRDefault="0087674E" w:rsidP="008A36FD">
      <w:pPr>
        <w:pStyle w:val="TableHeadNumber"/>
      </w:pPr>
      <w:r>
        <w:lastRenderedPageBreak/>
        <w:t xml:space="preserve">Slotting criteria for income-producing real estate exposures </w:t>
      </w:r>
    </w:p>
    <w:tbl>
      <w:tblPr>
        <w:tblStyle w:val="TableGrid"/>
        <w:tblW w:w="0" w:type="auto"/>
        <w:tblLook w:val="04A0" w:firstRow="1" w:lastRow="0" w:firstColumn="1" w:lastColumn="0" w:noHBand="0" w:noVBand="1"/>
      </w:tblPr>
      <w:tblGrid>
        <w:gridCol w:w="2789"/>
        <w:gridCol w:w="2789"/>
        <w:gridCol w:w="2790"/>
        <w:gridCol w:w="2790"/>
        <w:gridCol w:w="2790"/>
      </w:tblGrid>
      <w:tr w:rsidR="00BE62F3" w:rsidRPr="00AD46B1" w14:paraId="157283BA" w14:textId="77777777" w:rsidTr="001F4334">
        <w:trPr>
          <w:tblHeader/>
        </w:trPr>
        <w:tc>
          <w:tcPr>
            <w:tcW w:w="2789" w:type="dxa"/>
          </w:tcPr>
          <w:p w14:paraId="24E33EE1" w14:textId="77777777" w:rsidR="00BE62F3" w:rsidRPr="00AD46B1" w:rsidRDefault="00BE62F3" w:rsidP="001F4334">
            <w:pPr>
              <w:spacing w:before="60" w:after="60"/>
              <w:rPr>
                <w:sz w:val="22"/>
                <w:szCs w:val="22"/>
              </w:rPr>
            </w:pPr>
          </w:p>
        </w:tc>
        <w:tc>
          <w:tcPr>
            <w:tcW w:w="2789" w:type="dxa"/>
          </w:tcPr>
          <w:p w14:paraId="3CF00EE3" w14:textId="77777777" w:rsidR="00BE62F3" w:rsidRPr="00AD46B1" w:rsidRDefault="00BE62F3" w:rsidP="001F4334">
            <w:pPr>
              <w:spacing w:before="60" w:after="60"/>
              <w:jc w:val="center"/>
              <w:rPr>
                <w:b/>
                <w:sz w:val="22"/>
                <w:szCs w:val="22"/>
              </w:rPr>
            </w:pPr>
            <w:r w:rsidRPr="00AD46B1">
              <w:rPr>
                <w:b/>
                <w:sz w:val="22"/>
                <w:szCs w:val="22"/>
              </w:rPr>
              <w:t>Strong</w:t>
            </w:r>
          </w:p>
        </w:tc>
        <w:tc>
          <w:tcPr>
            <w:tcW w:w="2790" w:type="dxa"/>
          </w:tcPr>
          <w:p w14:paraId="6077E970" w14:textId="77777777" w:rsidR="00BE62F3" w:rsidRPr="00AD46B1" w:rsidRDefault="00BE62F3" w:rsidP="001F4334">
            <w:pPr>
              <w:spacing w:before="60" w:after="60"/>
              <w:jc w:val="center"/>
              <w:rPr>
                <w:b/>
                <w:sz w:val="22"/>
                <w:szCs w:val="22"/>
              </w:rPr>
            </w:pPr>
            <w:r w:rsidRPr="00AD46B1">
              <w:rPr>
                <w:b/>
                <w:sz w:val="22"/>
                <w:szCs w:val="22"/>
              </w:rPr>
              <w:t>Good</w:t>
            </w:r>
          </w:p>
        </w:tc>
        <w:tc>
          <w:tcPr>
            <w:tcW w:w="2790" w:type="dxa"/>
          </w:tcPr>
          <w:p w14:paraId="734358C2" w14:textId="77777777" w:rsidR="00BE62F3" w:rsidRPr="00AD46B1" w:rsidRDefault="00BE62F3" w:rsidP="001F4334">
            <w:pPr>
              <w:spacing w:before="60" w:after="60"/>
              <w:jc w:val="center"/>
              <w:rPr>
                <w:b/>
                <w:sz w:val="22"/>
                <w:szCs w:val="22"/>
              </w:rPr>
            </w:pPr>
            <w:r w:rsidRPr="00AD46B1">
              <w:rPr>
                <w:b/>
                <w:sz w:val="22"/>
                <w:szCs w:val="22"/>
              </w:rPr>
              <w:t>Satisfactory</w:t>
            </w:r>
          </w:p>
        </w:tc>
        <w:tc>
          <w:tcPr>
            <w:tcW w:w="2790" w:type="dxa"/>
          </w:tcPr>
          <w:p w14:paraId="79B0F9F7" w14:textId="77777777" w:rsidR="00BE62F3" w:rsidRPr="00AD46B1" w:rsidRDefault="00BE62F3" w:rsidP="001F4334">
            <w:pPr>
              <w:spacing w:before="60" w:after="60"/>
              <w:jc w:val="center"/>
              <w:rPr>
                <w:b/>
                <w:sz w:val="22"/>
                <w:szCs w:val="22"/>
              </w:rPr>
            </w:pPr>
            <w:r w:rsidRPr="00AD46B1">
              <w:rPr>
                <w:b/>
                <w:sz w:val="22"/>
                <w:szCs w:val="22"/>
              </w:rPr>
              <w:t>Weak</w:t>
            </w:r>
          </w:p>
        </w:tc>
      </w:tr>
      <w:tr w:rsidR="00BE62F3" w:rsidRPr="00AD46B1" w14:paraId="1CED63A8" w14:textId="77777777" w:rsidTr="001F4334">
        <w:tc>
          <w:tcPr>
            <w:tcW w:w="13948" w:type="dxa"/>
            <w:gridSpan w:val="5"/>
          </w:tcPr>
          <w:p w14:paraId="653427F2" w14:textId="0CA59C78" w:rsidR="00BE62F3" w:rsidRPr="00AD46B1" w:rsidRDefault="00B85F75" w:rsidP="00A12DEF">
            <w:pPr>
              <w:keepNext/>
              <w:spacing w:before="60" w:after="60"/>
              <w:rPr>
                <w:b/>
                <w:sz w:val="22"/>
                <w:szCs w:val="22"/>
              </w:rPr>
            </w:pPr>
            <w:r w:rsidRPr="00AD46B1">
              <w:rPr>
                <w:b/>
                <w:sz w:val="22"/>
                <w:szCs w:val="22"/>
              </w:rPr>
              <w:t>Financial Strength</w:t>
            </w:r>
          </w:p>
        </w:tc>
      </w:tr>
      <w:tr w:rsidR="00BE62F3" w:rsidRPr="00AD46B1" w14:paraId="6AC0D46F" w14:textId="77777777" w:rsidTr="001F4334">
        <w:tc>
          <w:tcPr>
            <w:tcW w:w="2789" w:type="dxa"/>
          </w:tcPr>
          <w:p w14:paraId="5A14D75B" w14:textId="776DBE30" w:rsidR="00BE62F3" w:rsidRPr="00AD46B1" w:rsidRDefault="00B85F75" w:rsidP="0067295F">
            <w:pPr>
              <w:keepNext/>
              <w:spacing w:before="60" w:after="60"/>
              <w:rPr>
                <w:sz w:val="22"/>
                <w:szCs w:val="22"/>
              </w:rPr>
            </w:pPr>
            <w:r w:rsidRPr="00AD46B1">
              <w:rPr>
                <w:sz w:val="22"/>
                <w:szCs w:val="22"/>
              </w:rPr>
              <w:t>Market conditions</w:t>
            </w:r>
          </w:p>
        </w:tc>
        <w:tc>
          <w:tcPr>
            <w:tcW w:w="2789" w:type="dxa"/>
          </w:tcPr>
          <w:p w14:paraId="6C96A828" w14:textId="1CBDA5DA" w:rsidR="00BE62F3" w:rsidRPr="00AD46B1" w:rsidRDefault="00B85F75" w:rsidP="001F4334">
            <w:pPr>
              <w:spacing w:before="60" w:after="60"/>
              <w:rPr>
                <w:sz w:val="22"/>
                <w:szCs w:val="22"/>
              </w:rPr>
            </w:pPr>
            <w:r w:rsidRPr="00AD46B1">
              <w:rPr>
                <w:sz w:val="22"/>
                <w:szCs w:val="22"/>
              </w:rPr>
              <w:t>The supply and demand for the project’s type and location are currently in equilibrium. The number of competitive properties coming to market is equal or lower than forecasted demand.</w:t>
            </w:r>
          </w:p>
        </w:tc>
        <w:tc>
          <w:tcPr>
            <w:tcW w:w="2790" w:type="dxa"/>
          </w:tcPr>
          <w:p w14:paraId="6ABDE829" w14:textId="52303F7F" w:rsidR="00BE62F3" w:rsidRPr="00AD46B1" w:rsidRDefault="00B85F75" w:rsidP="001F4334">
            <w:pPr>
              <w:spacing w:before="60" w:after="60"/>
              <w:rPr>
                <w:sz w:val="22"/>
                <w:szCs w:val="22"/>
              </w:rPr>
            </w:pPr>
            <w:r w:rsidRPr="00AD46B1">
              <w:rPr>
                <w:sz w:val="22"/>
                <w:szCs w:val="22"/>
              </w:rPr>
              <w:t>The supply and demand for the project’s type and location are currently in equilibrium. The number of competitive properties coming to market is roughly equal to forecasted demand.</w:t>
            </w:r>
          </w:p>
        </w:tc>
        <w:tc>
          <w:tcPr>
            <w:tcW w:w="2790" w:type="dxa"/>
          </w:tcPr>
          <w:p w14:paraId="128060D0" w14:textId="15B62168" w:rsidR="00BE62F3" w:rsidRPr="00AD46B1" w:rsidRDefault="00B85F75" w:rsidP="001F4334">
            <w:pPr>
              <w:spacing w:before="60" w:after="60"/>
              <w:rPr>
                <w:sz w:val="22"/>
                <w:szCs w:val="22"/>
              </w:rPr>
            </w:pPr>
            <w:r w:rsidRPr="00AD46B1">
              <w:rPr>
                <w:sz w:val="22"/>
                <w:szCs w:val="22"/>
              </w:rPr>
              <w:t>Market conditions are roughly in equilibrium. Competitive properties are coming on the market and others are in the planning stages. The project’s design and capabilities may not be state of the art compared to new projects.</w:t>
            </w:r>
          </w:p>
        </w:tc>
        <w:tc>
          <w:tcPr>
            <w:tcW w:w="2790" w:type="dxa"/>
          </w:tcPr>
          <w:p w14:paraId="620EBEF6" w14:textId="02D443F5" w:rsidR="00BE62F3" w:rsidRPr="00AD46B1" w:rsidRDefault="00B85F75" w:rsidP="001F4334">
            <w:pPr>
              <w:spacing w:before="60" w:after="60"/>
              <w:rPr>
                <w:sz w:val="22"/>
                <w:szCs w:val="22"/>
              </w:rPr>
            </w:pPr>
            <w:r w:rsidRPr="00AD46B1">
              <w:rPr>
                <w:sz w:val="22"/>
                <w:szCs w:val="22"/>
              </w:rPr>
              <w:t>Market conditions are weak. It is uncertain when conditions will improve and return to equilibrium. The project is losing tenants at lease expiration. New lease terms are less favourable compared to those expiring.</w:t>
            </w:r>
          </w:p>
        </w:tc>
      </w:tr>
      <w:tr w:rsidR="00BE62F3" w:rsidRPr="00AD46B1" w14:paraId="047B3EBE" w14:textId="77777777" w:rsidTr="001F4334">
        <w:tc>
          <w:tcPr>
            <w:tcW w:w="2789" w:type="dxa"/>
          </w:tcPr>
          <w:p w14:paraId="02A283D7" w14:textId="2F4288B4" w:rsidR="00BE62F3" w:rsidRPr="00AD46B1" w:rsidRDefault="00B85F75" w:rsidP="001F4334">
            <w:pPr>
              <w:spacing w:before="60" w:after="60"/>
              <w:rPr>
                <w:sz w:val="22"/>
                <w:szCs w:val="22"/>
              </w:rPr>
            </w:pPr>
            <w:r w:rsidRPr="00AD46B1">
              <w:rPr>
                <w:sz w:val="22"/>
                <w:szCs w:val="22"/>
              </w:rPr>
              <w:t>Financial ratios and advance rate</w:t>
            </w:r>
          </w:p>
        </w:tc>
        <w:tc>
          <w:tcPr>
            <w:tcW w:w="2789" w:type="dxa"/>
          </w:tcPr>
          <w:p w14:paraId="2FA87698" w14:textId="682D7971" w:rsidR="00BE62F3" w:rsidRPr="00AD46B1" w:rsidRDefault="00B85F75" w:rsidP="001F4334">
            <w:pPr>
              <w:spacing w:before="60" w:after="60"/>
              <w:rPr>
                <w:sz w:val="22"/>
                <w:szCs w:val="22"/>
              </w:rPr>
            </w:pPr>
            <w:r w:rsidRPr="00AD46B1">
              <w:rPr>
                <w:sz w:val="22"/>
                <w:szCs w:val="22"/>
              </w:rPr>
              <w:t>The property’s DSCR is considered strong (DSCR is not relevant for the construction phase) and its loan-to-valuation ratio (LVR) is considered low given its property type. Where a secondary market exists, the transaction is underwritten to market standards.</w:t>
            </w:r>
          </w:p>
        </w:tc>
        <w:tc>
          <w:tcPr>
            <w:tcW w:w="2790" w:type="dxa"/>
          </w:tcPr>
          <w:p w14:paraId="6CDA747E" w14:textId="4CA3B045" w:rsidR="00BE62F3" w:rsidRPr="00AD46B1" w:rsidRDefault="00B85F75" w:rsidP="001F4334">
            <w:pPr>
              <w:spacing w:before="60" w:after="60"/>
              <w:rPr>
                <w:sz w:val="22"/>
                <w:szCs w:val="22"/>
              </w:rPr>
            </w:pPr>
            <w:r w:rsidRPr="00AD46B1">
              <w:rPr>
                <w:sz w:val="22"/>
                <w:szCs w:val="22"/>
              </w:rPr>
              <w:t>The DSCR (not relevant for development real estate) and LVR are satisfactory. Where a secondary market exists, the transaction is underwritten to market standards.</w:t>
            </w:r>
          </w:p>
        </w:tc>
        <w:tc>
          <w:tcPr>
            <w:tcW w:w="2790" w:type="dxa"/>
          </w:tcPr>
          <w:p w14:paraId="13B3FD5D" w14:textId="6E62C781" w:rsidR="00BE62F3" w:rsidRPr="00AD46B1" w:rsidRDefault="00B85F75" w:rsidP="001F4334">
            <w:pPr>
              <w:spacing w:before="60" w:after="60"/>
              <w:rPr>
                <w:sz w:val="22"/>
                <w:szCs w:val="22"/>
              </w:rPr>
            </w:pPr>
            <w:r w:rsidRPr="00AD46B1">
              <w:rPr>
                <w:sz w:val="22"/>
                <w:szCs w:val="22"/>
              </w:rPr>
              <w:t>The property’s DSCR has deteriorated and its value has fallen, increasing its LVR.</w:t>
            </w:r>
          </w:p>
        </w:tc>
        <w:tc>
          <w:tcPr>
            <w:tcW w:w="2790" w:type="dxa"/>
          </w:tcPr>
          <w:p w14:paraId="7B0B885D" w14:textId="246C2C92" w:rsidR="00BE62F3" w:rsidRPr="00AD46B1" w:rsidRDefault="00B85F75" w:rsidP="001F4334">
            <w:pPr>
              <w:spacing w:before="60" w:after="60"/>
              <w:rPr>
                <w:sz w:val="22"/>
                <w:szCs w:val="22"/>
              </w:rPr>
            </w:pPr>
            <w:r w:rsidRPr="00AD46B1">
              <w:rPr>
                <w:sz w:val="22"/>
                <w:szCs w:val="22"/>
              </w:rPr>
              <w:t>The property’s DSCR has deteriorated significantly and its LVR is well above underwriting standards for new loans.</w:t>
            </w:r>
          </w:p>
        </w:tc>
      </w:tr>
      <w:tr w:rsidR="00BE62F3" w:rsidRPr="00AD46B1" w14:paraId="3048C1CA" w14:textId="77777777" w:rsidTr="001F4334">
        <w:tc>
          <w:tcPr>
            <w:tcW w:w="2789" w:type="dxa"/>
          </w:tcPr>
          <w:p w14:paraId="0722A252" w14:textId="370D1D5C" w:rsidR="00BE62F3" w:rsidRPr="00AD46B1" w:rsidRDefault="00B85F75" w:rsidP="00471049">
            <w:pPr>
              <w:keepNext/>
              <w:spacing w:before="60" w:after="60"/>
              <w:rPr>
                <w:sz w:val="22"/>
                <w:szCs w:val="22"/>
              </w:rPr>
            </w:pPr>
            <w:r w:rsidRPr="00AD46B1">
              <w:rPr>
                <w:sz w:val="22"/>
                <w:szCs w:val="22"/>
              </w:rPr>
              <w:lastRenderedPageBreak/>
              <w:t>Stress analysis</w:t>
            </w:r>
          </w:p>
        </w:tc>
        <w:tc>
          <w:tcPr>
            <w:tcW w:w="2789" w:type="dxa"/>
          </w:tcPr>
          <w:p w14:paraId="56B9C61B" w14:textId="02A20F95" w:rsidR="00BE62F3" w:rsidRPr="00AD46B1" w:rsidRDefault="00B85F75" w:rsidP="001F4334">
            <w:pPr>
              <w:spacing w:before="60" w:after="60"/>
              <w:rPr>
                <w:sz w:val="22"/>
                <w:szCs w:val="22"/>
              </w:rPr>
            </w:pPr>
            <w:r w:rsidRPr="00AD46B1">
              <w:rPr>
                <w:sz w:val="22"/>
                <w:szCs w:val="22"/>
              </w:rPr>
              <w:t>The property’s resources, contingencies and liability structure allow it to meet its financial obligations during a period of severe financial stress (e.g. increase in interest rates, downturn in economic growth).</w:t>
            </w:r>
          </w:p>
        </w:tc>
        <w:tc>
          <w:tcPr>
            <w:tcW w:w="2790" w:type="dxa"/>
          </w:tcPr>
          <w:p w14:paraId="2FF1DAFE" w14:textId="231E25A9" w:rsidR="00BE62F3" w:rsidRPr="00AD46B1" w:rsidRDefault="00B85F75" w:rsidP="001F4334">
            <w:pPr>
              <w:spacing w:before="60" w:after="60"/>
              <w:rPr>
                <w:sz w:val="22"/>
                <w:szCs w:val="22"/>
              </w:rPr>
            </w:pPr>
            <w:r w:rsidRPr="00AD46B1">
              <w:rPr>
                <w:sz w:val="22"/>
                <w:szCs w:val="22"/>
              </w:rPr>
              <w:t>The property can meet its financial obligations under a sustained period of financial stress (e.g. increase in interest rates, downturn in economic growth). The property is likely to default only under severe economic conditions.</w:t>
            </w:r>
          </w:p>
        </w:tc>
        <w:tc>
          <w:tcPr>
            <w:tcW w:w="2790" w:type="dxa"/>
          </w:tcPr>
          <w:p w14:paraId="6C6B0C4D" w14:textId="19A4DD71" w:rsidR="00BE62F3" w:rsidRPr="00AD46B1" w:rsidRDefault="00B85F75" w:rsidP="001F4334">
            <w:pPr>
              <w:spacing w:before="60" w:after="60"/>
              <w:rPr>
                <w:sz w:val="22"/>
                <w:szCs w:val="22"/>
              </w:rPr>
            </w:pPr>
            <w:r w:rsidRPr="00AD46B1">
              <w:rPr>
                <w:sz w:val="22"/>
                <w:szCs w:val="22"/>
              </w:rPr>
              <w:t>During an economic downturn, the property would suffer a decline in revenue that would limit its ability to fund capital expenditures and significantly increase the risk of default.</w:t>
            </w:r>
          </w:p>
        </w:tc>
        <w:tc>
          <w:tcPr>
            <w:tcW w:w="2790" w:type="dxa"/>
          </w:tcPr>
          <w:p w14:paraId="61C3D17E" w14:textId="257C9C19" w:rsidR="00BE62F3" w:rsidRPr="00AD46B1" w:rsidRDefault="00B85F75" w:rsidP="001F4334">
            <w:pPr>
              <w:spacing w:before="60" w:after="60"/>
              <w:rPr>
                <w:sz w:val="22"/>
                <w:szCs w:val="22"/>
              </w:rPr>
            </w:pPr>
            <w:r w:rsidRPr="00AD46B1">
              <w:rPr>
                <w:sz w:val="22"/>
                <w:szCs w:val="22"/>
              </w:rPr>
              <w:t>The property’s financial condition is strained and is likely to default unless conditions improve in the near term.</w:t>
            </w:r>
          </w:p>
        </w:tc>
      </w:tr>
      <w:tr w:rsidR="00BE62F3" w:rsidRPr="00AD46B1" w14:paraId="1E4AFD92" w14:textId="77777777" w:rsidTr="00A72ED8">
        <w:tc>
          <w:tcPr>
            <w:tcW w:w="2789" w:type="dxa"/>
            <w:tcBorders>
              <w:bottom w:val="nil"/>
            </w:tcBorders>
          </w:tcPr>
          <w:p w14:paraId="723F3540" w14:textId="4E9E560B" w:rsidR="00BE62F3" w:rsidRPr="00AD46B1" w:rsidRDefault="00B85F75" w:rsidP="0067295F">
            <w:pPr>
              <w:keepNext/>
              <w:spacing w:before="60" w:after="120"/>
              <w:rPr>
                <w:sz w:val="22"/>
                <w:szCs w:val="22"/>
              </w:rPr>
            </w:pPr>
            <w:r w:rsidRPr="00AD46B1">
              <w:rPr>
                <w:sz w:val="22"/>
                <w:szCs w:val="22"/>
              </w:rPr>
              <w:t>Cash-flow predictability</w:t>
            </w:r>
          </w:p>
        </w:tc>
        <w:tc>
          <w:tcPr>
            <w:tcW w:w="2789" w:type="dxa"/>
            <w:tcBorders>
              <w:bottom w:val="nil"/>
            </w:tcBorders>
          </w:tcPr>
          <w:p w14:paraId="7DEAD467" w14:textId="3A3638DB" w:rsidR="00BE62F3" w:rsidRPr="00AD46B1" w:rsidRDefault="00BE62F3" w:rsidP="001F4334">
            <w:pPr>
              <w:spacing w:before="60" w:after="60"/>
              <w:rPr>
                <w:sz w:val="22"/>
                <w:szCs w:val="22"/>
              </w:rPr>
            </w:pPr>
          </w:p>
        </w:tc>
        <w:tc>
          <w:tcPr>
            <w:tcW w:w="2790" w:type="dxa"/>
            <w:tcBorders>
              <w:bottom w:val="nil"/>
            </w:tcBorders>
          </w:tcPr>
          <w:p w14:paraId="34E372DF" w14:textId="7B03A6A5" w:rsidR="00BE62F3" w:rsidRPr="00AD46B1" w:rsidRDefault="00BE62F3" w:rsidP="001F4334">
            <w:pPr>
              <w:spacing w:before="60" w:after="60"/>
              <w:rPr>
                <w:sz w:val="22"/>
                <w:szCs w:val="22"/>
              </w:rPr>
            </w:pPr>
          </w:p>
        </w:tc>
        <w:tc>
          <w:tcPr>
            <w:tcW w:w="2790" w:type="dxa"/>
            <w:tcBorders>
              <w:bottom w:val="nil"/>
            </w:tcBorders>
          </w:tcPr>
          <w:p w14:paraId="14BAADCE" w14:textId="564A49F2" w:rsidR="00BE62F3" w:rsidRPr="00AD46B1" w:rsidRDefault="00BE62F3" w:rsidP="001F4334">
            <w:pPr>
              <w:spacing w:before="60" w:after="60"/>
              <w:rPr>
                <w:sz w:val="22"/>
                <w:szCs w:val="22"/>
              </w:rPr>
            </w:pPr>
          </w:p>
        </w:tc>
        <w:tc>
          <w:tcPr>
            <w:tcW w:w="2790" w:type="dxa"/>
            <w:tcBorders>
              <w:bottom w:val="nil"/>
            </w:tcBorders>
          </w:tcPr>
          <w:p w14:paraId="58AA74AD" w14:textId="21AF1F23" w:rsidR="00BE62F3" w:rsidRPr="00AD46B1" w:rsidRDefault="00BE62F3" w:rsidP="001F4334">
            <w:pPr>
              <w:spacing w:before="60" w:after="60"/>
              <w:rPr>
                <w:sz w:val="22"/>
                <w:szCs w:val="22"/>
              </w:rPr>
            </w:pPr>
          </w:p>
        </w:tc>
      </w:tr>
      <w:tr w:rsidR="00B85F75" w:rsidRPr="00AD46B1" w14:paraId="02C2D878" w14:textId="77777777" w:rsidTr="00237348">
        <w:tc>
          <w:tcPr>
            <w:tcW w:w="2789" w:type="dxa"/>
            <w:tcBorders>
              <w:top w:val="nil"/>
              <w:bottom w:val="nil"/>
            </w:tcBorders>
          </w:tcPr>
          <w:p w14:paraId="1757D185" w14:textId="0868408A" w:rsidR="00B85F75" w:rsidRPr="00AD46B1" w:rsidRDefault="00B85F75" w:rsidP="0067295F">
            <w:pPr>
              <w:keepNext/>
              <w:spacing w:before="60" w:after="60"/>
              <w:rPr>
                <w:i/>
                <w:sz w:val="22"/>
                <w:szCs w:val="22"/>
              </w:rPr>
            </w:pPr>
            <w:r w:rsidRPr="00AD46B1">
              <w:rPr>
                <w:i/>
                <w:sz w:val="22"/>
                <w:szCs w:val="22"/>
              </w:rPr>
              <w:t>For complete and stabilised property</w:t>
            </w:r>
          </w:p>
        </w:tc>
        <w:tc>
          <w:tcPr>
            <w:tcW w:w="2789" w:type="dxa"/>
            <w:tcBorders>
              <w:top w:val="nil"/>
              <w:bottom w:val="nil"/>
            </w:tcBorders>
          </w:tcPr>
          <w:p w14:paraId="1F0D8CC5" w14:textId="7A4C92FE" w:rsidR="00B85F75" w:rsidRPr="00AD46B1" w:rsidRDefault="00B85F75" w:rsidP="00AA0E0F">
            <w:pPr>
              <w:spacing w:before="60" w:after="120"/>
              <w:rPr>
                <w:sz w:val="22"/>
                <w:szCs w:val="22"/>
              </w:rPr>
            </w:pPr>
            <w:r w:rsidRPr="00AD46B1">
              <w:rPr>
                <w:sz w:val="22"/>
                <w:szCs w:val="22"/>
              </w:rPr>
              <w:t>The property’s leases are long-term with creditworthy tenants and their maturity dates are scattered. The property has a track record of tenant retention upon lease expiration. Its vacancy rate is low. Expenses (maintenance, insurance, security and property taxes) are predictable.</w:t>
            </w:r>
          </w:p>
        </w:tc>
        <w:tc>
          <w:tcPr>
            <w:tcW w:w="2790" w:type="dxa"/>
            <w:tcBorders>
              <w:top w:val="nil"/>
              <w:bottom w:val="nil"/>
            </w:tcBorders>
          </w:tcPr>
          <w:p w14:paraId="65DE36E8" w14:textId="4D14010E" w:rsidR="00B85F75" w:rsidRPr="00AD46B1" w:rsidRDefault="00B85F75" w:rsidP="001F4334">
            <w:pPr>
              <w:spacing w:before="60" w:after="60"/>
              <w:rPr>
                <w:sz w:val="22"/>
                <w:szCs w:val="22"/>
              </w:rPr>
            </w:pPr>
            <w:r w:rsidRPr="00AD46B1">
              <w:rPr>
                <w:sz w:val="22"/>
                <w:szCs w:val="22"/>
              </w:rPr>
              <w:t>Most of the property’s leases are long-term, with tenants that range in creditworthiness. The property experiences a normal level of tenant turnover upon lease expiration. Its vacancy rate is low. Expenses are predictable.</w:t>
            </w:r>
          </w:p>
        </w:tc>
        <w:tc>
          <w:tcPr>
            <w:tcW w:w="2790" w:type="dxa"/>
            <w:tcBorders>
              <w:top w:val="nil"/>
              <w:bottom w:val="nil"/>
            </w:tcBorders>
          </w:tcPr>
          <w:p w14:paraId="18ED5E37" w14:textId="21974C28" w:rsidR="00B85F75" w:rsidRPr="00AD46B1" w:rsidRDefault="00B85F75" w:rsidP="00AA0E0F">
            <w:pPr>
              <w:spacing w:before="60" w:after="120"/>
              <w:rPr>
                <w:sz w:val="22"/>
                <w:szCs w:val="22"/>
              </w:rPr>
            </w:pPr>
            <w:r w:rsidRPr="00AD46B1">
              <w:rPr>
                <w:sz w:val="22"/>
                <w:szCs w:val="22"/>
              </w:rPr>
              <w:t>Most of the property’s leases are medium-term rather than long-term with tenants that range in creditworthiness. The property experiences a moderate level of tenant turnover upon lease expiration. Its vacancy rate is moderate. Expenses are relatively predictable but vary in relation to revenue.</w:t>
            </w:r>
          </w:p>
        </w:tc>
        <w:tc>
          <w:tcPr>
            <w:tcW w:w="2790" w:type="dxa"/>
            <w:tcBorders>
              <w:top w:val="nil"/>
              <w:bottom w:val="nil"/>
            </w:tcBorders>
          </w:tcPr>
          <w:p w14:paraId="65442817" w14:textId="3CF457B5" w:rsidR="00B85F75" w:rsidRPr="00AD46B1" w:rsidRDefault="00B85F75" w:rsidP="001F4334">
            <w:pPr>
              <w:spacing w:before="60" w:after="60"/>
              <w:rPr>
                <w:sz w:val="22"/>
                <w:szCs w:val="22"/>
              </w:rPr>
            </w:pPr>
            <w:r w:rsidRPr="00AD46B1">
              <w:rPr>
                <w:sz w:val="22"/>
                <w:szCs w:val="22"/>
              </w:rPr>
              <w:t>The property’s leases are of various terms with tenants that range in creditworthiness. The property experiences a very high level of tenant turnover upon lease expiration. Its vacancy rate is high. Significant expenses are incurred preparing space for new tenants.</w:t>
            </w:r>
          </w:p>
        </w:tc>
      </w:tr>
      <w:tr w:rsidR="00B85F75" w:rsidRPr="00AD46B1" w14:paraId="633F9134" w14:textId="77777777" w:rsidTr="00237348">
        <w:tc>
          <w:tcPr>
            <w:tcW w:w="2789" w:type="dxa"/>
            <w:tcBorders>
              <w:top w:val="nil"/>
              <w:bottom w:val="single" w:sz="4" w:space="0" w:color="auto"/>
            </w:tcBorders>
          </w:tcPr>
          <w:p w14:paraId="6CBE9B64" w14:textId="16F5DCB4" w:rsidR="00B85F75" w:rsidRPr="00AD46B1" w:rsidRDefault="00AA0E0F" w:rsidP="0067295F">
            <w:pPr>
              <w:keepNext/>
              <w:spacing w:before="60" w:after="60"/>
              <w:rPr>
                <w:i/>
                <w:sz w:val="22"/>
                <w:szCs w:val="22"/>
              </w:rPr>
            </w:pPr>
            <w:r w:rsidRPr="00AD46B1">
              <w:rPr>
                <w:i/>
                <w:sz w:val="22"/>
                <w:szCs w:val="22"/>
              </w:rPr>
              <w:t>For complete but not stabilised property</w:t>
            </w:r>
          </w:p>
        </w:tc>
        <w:tc>
          <w:tcPr>
            <w:tcW w:w="2789" w:type="dxa"/>
            <w:tcBorders>
              <w:top w:val="nil"/>
              <w:bottom w:val="single" w:sz="4" w:space="0" w:color="auto"/>
            </w:tcBorders>
          </w:tcPr>
          <w:p w14:paraId="675C3978" w14:textId="7E2EE3F9" w:rsidR="00B85F75" w:rsidRPr="00AD46B1" w:rsidRDefault="00AA0E0F" w:rsidP="001F4334">
            <w:pPr>
              <w:spacing w:before="60" w:after="60"/>
              <w:rPr>
                <w:sz w:val="22"/>
                <w:szCs w:val="22"/>
              </w:rPr>
            </w:pPr>
            <w:r w:rsidRPr="00AD46B1">
              <w:rPr>
                <w:sz w:val="22"/>
                <w:szCs w:val="22"/>
              </w:rPr>
              <w:t>Leasing activity meets or exceeds projections. The project should achieve stabilisation in the near future.</w:t>
            </w:r>
          </w:p>
        </w:tc>
        <w:tc>
          <w:tcPr>
            <w:tcW w:w="2790" w:type="dxa"/>
            <w:tcBorders>
              <w:top w:val="nil"/>
              <w:bottom w:val="single" w:sz="4" w:space="0" w:color="auto"/>
            </w:tcBorders>
          </w:tcPr>
          <w:p w14:paraId="5815B165" w14:textId="628710DE" w:rsidR="00B85F75" w:rsidRPr="00AD46B1" w:rsidRDefault="00AA0E0F" w:rsidP="001F4334">
            <w:pPr>
              <w:spacing w:before="60" w:after="60"/>
              <w:rPr>
                <w:sz w:val="22"/>
                <w:szCs w:val="22"/>
              </w:rPr>
            </w:pPr>
            <w:r w:rsidRPr="00AD46B1">
              <w:rPr>
                <w:sz w:val="22"/>
                <w:szCs w:val="22"/>
              </w:rPr>
              <w:t>Leasing activity meets or exceeds projections. The project should achieve stabilisation in the near future.</w:t>
            </w:r>
          </w:p>
        </w:tc>
        <w:tc>
          <w:tcPr>
            <w:tcW w:w="2790" w:type="dxa"/>
            <w:tcBorders>
              <w:top w:val="nil"/>
              <w:bottom w:val="single" w:sz="4" w:space="0" w:color="auto"/>
            </w:tcBorders>
          </w:tcPr>
          <w:p w14:paraId="534352BF" w14:textId="6CD4F450" w:rsidR="00B85F75" w:rsidRPr="00AD46B1" w:rsidRDefault="00AA0E0F" w:rsidP="001F4334">
            <w:pPr>
              <w:spacing w:before="60" w:after="60"/>
              <w:rPr>
                <w:sz w:val="22"/>
                <w:szCs w:val="22"/>
              </w:rPr>
            </w:pPr>
            <w:r w:rsidRPr="00AD46B1">
              <w:rPr>
                <w:sz w:val="22"/>
                <w:szCs w:val="22"/>
              </w:rPr>
              <w:t>Most leasing activity is within projections however, stabilisation will not occur for some time.</w:t>
            </w:r>
          </w:p>
        </w:tc>
        <w:tc>
          <w:tcPr>
            <w:tcW w:w="2790" w:type="dxa"/>
            <w:tcBorders>
              <w:top w:val="nil"/>
              <w:bottom w:val="single" w:sz="4" w:space="0" w:color="auto"/>
            </w:tcBorders>
          </w:tcPr>
          <w:p w14:paraId="58CA482B" w14:textId="08D3069C" w:rsidR="00B85F75" w:rsidRPr="00AD46B1" w:rsidRDefault="00AA0E0F" w:rsidP="0093369B">
            <w:pPr>
              <w:spacing w:before="60" w:after="120"/>
              <w:rPr>
                <w:sz w:val="22"/>
                <w:szCs w:val="22"/>
              </w:rPr>
            </w:pPr>
            <w:r w:rsidRPr="00AD46B1">
              <w:rPr>
                <w:sz w:val="22"/>
                <w:szCs w:val="22"/>
              </w:rPr>
              <w:t>Market rents do not meet expectations. Despite achieving target occupancy rate, cash flow coverage is tight due to disappointing revenue.</w:t>
            </w:r>
          </w:p>
        </w:tc>
      </w:tr>
      <w:tr w:rsidR="00B85F75" w:rsidRPr="00AD46B1" w14:paraId="65A7405C" w14:textId="77777777" w:rsidTr="00237348">
        <w:tc>
          <w:tcPr>
            <w:tcW w:w="2789" w:type="dxa"/>
            <w:tcBorders>
              <w:top w:val="single" w:sz="4" w:space="0" w:color="auto"/>
            </w:tcBorders>
          </w:tcPr>
          <w:p w14:paraId="4E512C17" w14:textId="5E413814" w:rsidR="00B85F75" w:rsidRPr="00AD46B1" w:rsidRDefault="0093369B" w:rsidP="001F4334">
            <w:pPr>
              <w:spacing w:before="60" w:after="60"/>
              <w:rPr>
                <w:i/>
                <w:sz w:val="22"/>
                <w:szCs w:val="22"/>
              </w:rPr>
            </w:pPr>
            <w:r w:rsidRPr="00AD46B1">
              <w:rPr>
                <w:i/>
                <w:sz w:val="22"/>
                <w:szCs w:val="22"/>
              </w:rPr>
              <w:lastRenderedPageBreak/>
              <w:t>For construction phase</w:t>
            </w:r>
          </w:p>
        </w:tc>
        <w:tc>
          <w:tcPr>
            <w:tcW w:w="2789" w:type="dxa"/>
            <w:tcBorders>
              <w:top w:val="single" w:sz="4" w:space="0" w:color="auto"/>
            </w:tcBorders>
          </w:tcPr>
          <w:p w14:paraId="1B153A8F" w14:textId="661C102A" w:rsidR="00B85F75" w:rsidRPr="00AD46B1" w:rsidRDefault="0093369B" w:rsidP="001F4334">
            <w:pPr>
              <w:spacing w:before="60" w:after="60"/>
              <w:rPr>
                <w:sz w:val="22"/>
                <w:szCs w:val="22"/>
              </w:rPr>
            </w:pPr>
            <w:r w:rsidRPr="00AD46B1">
              <w:rPr>
                <w:sz w:val="22"/>
                <w:szCs w:val="22"/>
              </w:rPr>
              <w:t>The property is entirely pre-leased through the tenor of the loan or pre-sold to an investment grade tenant or buyer or the ADI has a binding commitment for take-out financing from an investment grade lender.</w:t>
            </w:r>
          </w:p>
        </w:tc>
        <w:tc>
          <w:tcPr>
            <w:tcW w:w="2790" w:type="dxa"/>
            <w:tcBorders>
              <w:top w:val="single" w:sz="4" w:space="0" w:color="auto"/>
            </w:tcBorders>
          </w:tcPr>
          <w:p w14:paraId="18744F60" w14:textId="6893AD78" w:rsidR="00B85F75" w:rsidRPr="00AD46B1" w:rsidRDefault="0093369B" w:rsidP="001F4334">
            <w:pPr>
              <w:spacing w:before="60" w:after="60"/>
              <w:rPr>
                <w:sz w:val="22"/>
                <w:szCs w:val="22"/>
              </w:rPr>
            </w:pPr>
            <w:r w:rsidRPr="00AD46B1">
              <w:rPr>
                <w:sz w:val="22"/>
                <w:szCs w:val="22"/>
              </w:rPr>
              <w:t>The property is entirely pre-leased or pre-sold to a creditworthy tenant or buyer or the ADI has a binding commitment for permanent financing from a creditworthy lender.</w:t>
            </w:r>
          </w:p>
        </w:tc>
        <w:tc>
          <w:tcPr>
            <w:tcW w:w="2790" w:type="dxa"/>
            <w:tcBorders>
              <w:top w:val="single" w:sz="4" w:space="0" w:color="auto"/>
            </w:tcBorders>
          </w:tcPr>
          <w:p w14:paraId="4115DE08" w14:textId="27CB21A4" w:rsidR="00B85F75" w:rsidRPr="00AD46B1" w:rsidRDefault="0093369B" w:rsidP="001F4334">
            <w:pPr>
              <w:spacing w:before="60" w:after="60"/>
              <w:rPr>
                <w:sz w:val="22"/>
                <w:szCs w:val="22"/>
              </w:rPr>
            </w:pPr>
            <w:r w:rsidRPr="00AD46B1">
              <w:rPr>
                <w:sz w:val="22"/>
                <w:szCs w:val="22"/>
              </w:rPr>
              <w:t>Leasing activity is within projections but the building may not be pre-leased and take-out financing may not exist. The ADI may be the permanent lender.</w:t>
            </w:r>
          </w:p>
        </w:tc>
        <w:tc>
          <w:tcPr>
            <w:tcW w:w="2790" w:type="dxa"/>
            <w:tcBorders>
              <w:top w:val="single" w:sz="4" w:space="0" w:color="auto"/>
            </w:tcBorders>
          </w:tcPr>
          <w:p w14:paraId="7EF3AFAB" w14:textId="1BBAF299" w:rsidR="00B85F75" w:rsidRPr="00AD46B1" w:rsidRDefault="0093369B" w:rsidP="001F4334">
            <w:pPr>
              <w:spacing w:before="60" w:after="60"/>
              <w:rPr>
                <w:sz w:val="22"/>
                <w:szCs w:val="22"/>
              </w:rPr>
            </w:pPr>
            <w:r w:rsidRPr="00AD46B1">
              <w:rPr>
                <w:sz w:val="22"/>
                <w:szCs w:val="22"/>
              </w:rPr>
              <w:t>The property is deteriorating due to cost overruns, market deterioration, tenant cancellations or other factors. There may be a dispute with the party providing the permanent financing.</w:t>
            </w:r>
          </w:p>
        </w:tc>
      </w:tr>
      <w:tr w:rsidR="00DC1D02" w:rsidRPr="00AD46B1" w14:paraId="1FC0C307" w14:textId="77777777" w:rsidTr="001F4334">
        <w:tc>
          <w:tcPr>
            <w:tcW w:w="13948" w:type="dxa"/>
            <w:gridSpan w:val="5"/>
          </w:tcPr>
          <w:p w14:paraId="74669DCD" w14:textId="66E2D24C" w:rsidR="00DC1D02" w:rsidRPr="00AD46B1" w:rsidRDefault="00A12DEF" w:rsidP="00A12DEF">
            <w:pPr>
              <w:keepNext/>
              <w:spacing w:before="60" w:after="60"/>
              <w:rPr>
                <w:b/>
                <w:sz w:val="22"/>
                <w:szCs w:val="22"/>
              </w:rPr>
            </w:pPr>
            <w:r w:rsidRPr="00AD46B1">
              <w:rPr>
                <w:b/>
                <w:sz w:val="22"/>
                <w:szCs w:val="22"/>
              </w:rPr>
              <w:t>Asset characteristics</w:t>
            </w:r>
          </w:p>
        </w:tc>
      </w:tr>
      <w:tr w:rsidR="00B85F75" w:rsidRPr="00AD46B1" w14:paraId="4DC50791" w14:textId="77777777" w:rsidTr="001F4334">
        <w:tc>
          <w:tcPr>
            <w:tcW w:w="2789" w:type="dxa"/>
          </w:tcPr>
          <w:p w14:paraId="41069944" w14:textId="5DF8F601" w:rsidR="00B85F75" w:rsidRPr="00AD46B1" w:rsidRDefault="00104513" w:rsidP="0067295F">
            <w:pPr>
              <w:keepNext/>
              <w:spacing w:before="60" w:after="60"/>
              <w:rPr>
                <w:sz w:val="22"/>
                <w:szCs w:val="22"/>
              </w:rPr>
            </w:pPr>
            <w:r w:rsidRPr="00AD46B1">
              <w:rPr>
                <w:sz w:val="22"/>
                <w:szCs w:val="22"/>
              </w:rPr>
              <w:t>Location</w:t>
            </w:r>
          </w:p>
        </w:tc>
        <w:tc>
          <w:tcPr>
            <w:tcW w:w="2789" w:type="dxa"/>
          </w:tcPr>
          <w:p w14:paraId="3532A89C" w14:textId="41C74846" w:rsidR="00B85F75" w:rsidRPr="00AD46B1" w:rsidRDefault="00104513" w:rsidP="001F4334">
            <w:pPr>
              <w:spacing w:before="60" w:after="60"/>
              <w:rPr>
                <w:sz w:val="22"/>
                <w:szCs w:val="22"/>
              </w:rPr>
            </w:pPr>
            <w:r w:rsidRPr="00AD46B1">
              <w:rPr>
                <w:sz w:val="22"/>
                <w:szCs w:val="22"/>
              </w:rPr>
              <w:t>The property is located in a highly desirable location that is convenient to services that tenants desire.</w:t>
            </w:r>
          </w:p>
        </w:tc>
        <w:tc>
          <w:tcPr>
            <w:tcW w:w="2790" w:type="dxa"/>
          </w:tcPr>
          <w:p w14:paraId="737B3984" w14:textId="5890D97A" w:rsidR="00B85F75" w:rsidRPr="00AD46B1" w:rsidRDefault="00104513" w:rsidP="001F4334">
            <w:pPr>
              <w:spacing w:before="60" w:after="60"/>
              <w:rPr>
                <w:sz w:val="22"/>
                <w:szCs w:val="22"/>
              </w:rPr>
            </w:pPr>
            <w:r w:rsidRPr="00AD46B1">
              <w:rPr>
                <w:sz w:val="22"/>
                <w:szCs w:val="22"/>
              </w:rPr>
              <w:t>The property is located in a desirable location that is convenient to services that tenants desire.</w:t>
            </w:r>
          </w:p>
        </w:tc>
        <w:tc>
          <w:tcPr>
            <w:tcW w:w="2790" w:type="dxa"/>
          </w:tcPr>
          <w:p w14:paraId="595A7CC8" w14:textId="00DA44F9" w:rsidR="00B85F75" w:rsidRPr="00AD46B1" w:rsidRDefault="00104513" w:rsidP="001F4334">
            <w:pPr>
              <w:spacing w:before="60" w:after="60"/>
              <w:rPr>
                <w:sz w:val="22"/>
                <w:szCs w:val="22"/>
              </w:rPr>
            </w:pPr>
            <w:r w:rsidRPr="00AD46B1">
              <w:rPr>
                <w:sz w:val="22"/>
                <w:szCs w:val="22"/>
              </w:rPr>
              <w:t>The property location lacks a competitive advantage.</w:t>
            </w:r>
          </w:p>
        </w:tc>
        <w:tc>
          <w:tcPr>
            <w:tcW w:w="2790" w:type="dxa"/>
          </w:tcPr>
          <w:p w14:paraId="7F71D9FF" w14:textId="341F1CD9" w:rsidR="00B85F75" w:rsidRPr="00AD46B1" w:rsidRDefault="00104513" w:rsidP="001F4334">
            <w:pPr>
              <w:spacing w:before="60" w:after="60"/>
              <w:rPr>
                <w:sz w:val="22"/>
                <w:szCs w:val="22"/>
              </w:rPr>
            </w:pPr>
            <w:r w:rsidRPr="00AD46B1">
              <w:rPr>
                <w:sz w:val="22"/>
                <w:szCs w:val="22"/>
              </w:rPr>
              <w:t>The property’s location, configuration, design and maintenance have contributed to the property’s difficulties.</w:t>
            </w:r>
          </w:p>
        </w:tc>
      </w:tr>
      <w:tr w:rsidR="00DC1D02" w:rsidRPr="00AD46B1" w14:paraId="46396142" w14:textId="77777777" w:rsidTr="001F4334">
        <w:tc>
          <w:tcPr>
            <w:tcW w:w="2789" w:type="dxa"/>
          </w:tcPr>
          <w:p w14:paraId="4B9E0F7D" w14:textId="6950E403" w:rsidR="00DC1D02" w:rsidRPr="00AD46B1" w:rsidRDefault="00104513" w:rsidP="0067295F">
            <w:pPr>
              <w:keepNext/>
              <w:spacing w:before="60" w:after="60"/>
              <w:rPr>
                <w:sz w:val="22"/>
                <w:szCs w:val="22"/>
              </w:rPr>
            </w:pPr>
            <w:r w:rsidRPr="00AD46B1">
              <w:rPr>
                <w:sz w:val="22"/>
                <w:szCs w:val="22"/>
              </w:rPr>
              <w:t>Design and condition</w:t>
            </w:r>
          </w:p>
        </w:tc>
        <w:tc>
          <w:tcPr>
            <w:tcW w:w="2789" w:type="dxa"/>
          </w:tcPr>
          <w:p w14:paraId="09C50781" w14:textId="43055600" w:rsidR="00DC1D02" w:rsidRPr="00AD46B1" w:rsidRDefault="00104513" w:rsidP="001F4334">
            <w:pPr>
              <w:spacing w:before="60" w:after="60"/>
              <w:rPr>
                <w:sz w:val="22"/>
                <w:szCs w:val="22"/>
              </w:rPr>
            </w:pPr>
            <w:r w:rsidRPr="00AD46B1">
              <w:rPr>
                <w:sz w:val="22"/>
                <w:szCs w:val="22"/>
              </w:rPr>
              <w:t>The property is favoured due to its design, configuration and maintenance and is highly competitive with new properties.</w:t>
            </w:r>
          </w:p>
        </w:tc>
        <w:tc>
          <w:tcPr>
            <w:tcW w:w="2790" w:type="dxa"/>
          </w:tcPr>
          <w:p w14:paraId="66BD9237" w14:textId="1E8ECF20" w:rsidR="00DC1D02" w:rsidRPr="00AD46B1" w:rsidRDefault="00104513" w:rsidP="001F4334">
            <w:pPr>
              <w:spacing w:before="60" w:after="60"/>
              <w:rPr>
                <w:sz w:val="22"/>
                <w:szCs w:val="22"/>
              </w:rPr>
            </w:pPr>
            <w:r w:rsidRPr="00AD46B1">
              <w:rPr>
                <w:sz w:val="22"/>
                <w:szCs w:val="22"/>
              </w:rPr>
              <w:t>The property is appropriate in terms of its design, configuration and maintenance. The property’s design and capabilities are competitive with new properties.</w:t>
            </w:r>
          </w:p>
        </w:tc>
        <w:tc>
          <w:tcPr>
            <w:tcW w:w="2790" w:type="dxa"/>
          </w:tcPr>
          <w:p w14:paraId="119F2438" w14:textId="680E8538" w:rsidR="00DC1D02" w:rsidRPr="00AD46B1" w:rsidRDefault="00104513" w:rsidP="001F4334">
            <w:pPr>
              <w:spacing w:before="60" w:after="60"/>
              <w:rPr>
                <w:sz w:val="22"/>
                <w:szCs w:val="22"/>
              </w:rPr>
            </w:pPr>
            <w:r w:rsidRPr="00AD46B1">
              <w:rPr>
                <w:sz w:val="22"/>
                <w:szCs w:val="22"/>
              </w:rPr>
              <w:t>The property is adequate in terms of its configuration, design and maintenance.</w:t>
            </w:r>
          </w:p>
        </w:tc>
        <w:tc>
          <w:tcPr>
            <w:tcW w:w="2790" w:type="dxa"/>
          </w:tcPr>
          <w:p w14:paraId="213D42D3" w14:textId="39E63B90" w:rsidR="00DC1D02" w:rsidRPr="00AD46B1" w:rsidRDefault="00104513" w:rsidP="001F4334">
            <w:pPr>
              <w:spacing w:before="60" w:after="60"/>
              <w:rPr>
                <w:sz w:val="22"/>
                <w:szCs w:val="22"/>
              </w:rPr>
            </w:pPr>
            <w:r w:rsidRPr="00AD46B1">
              <w:rPr>
                <w:sz w:val="22"/>
                <w:szCs w:val="22"/>
              </w:rPr>
              <w:t>Weaknesses exist in the property’s configuration, design or maintenance.</w:t>
            </w:r>
          </w:p>
        </w:tc>
      </w:tr>
      <w:tr w:rsidR="00DC1D02" w:rsidRPr="00AD46B1" w14:paraId="22396FD8" w14:textId="77777777" w:rsidTr="001F4334">
        <w:tc>
          <w:tcPr>
            <w:tcW w:w="2789" w:type="dxa"/>
          </w:tcPr>
          <w:p w14:paraId="3D1DA02B" w14:textId="3BD5E1B9" w:rsidR="00DC1D02" w:rsidRPr="00AD46B1" w:rsidRDefault="00104513" w:rsidP="001F4334">
            <w:pPr>
              <w:spacing w:before="60" w:after="60"/>
              <w:rPr>
                <w:sz w:val="22"/>
                <w:szCs w:val="22"/>
              </w:rPr>
            </w:pPr>
            <w:r w:rsidRPr="00AD46B1">
              <w:rPr>
                <w:sz w:val="22"/>
                <w:szCs w:val="22"/>
              </w:rPr>
              <w:t>Property is under construction</w:t>
            </w:r>
          </w:p>
        </w:tc>
        <w:tc>
          <w:tcPr>
            <w:tcW w:w="2789" w:type="dxa"/>
          </w:tcPr>
          <w:p w14:paraId="34966DDC" w14:textId="7DDC983F" w:rsidR="00DC1D02" w:rsidRPr="00AD46B1" w:rsidRDefault="00104513" w:rsidP="001F4334">
            <w:pPr>
              <w:spacing w:before="60" w:after="60"/>
              <w:rPr>
                <w:sz w:val="22"/>
                <w:szCs w:val="22"/>
              </w:rPr>
            </w:pPr>
            <w:r w:rsidRPr="00AD46B1">
              <w:rPr>
                <w:sz w:val="22"/>
                <w:szCs w:val="22"/>
              </w:rPr>
              <w:t>The construction budget is conservative and technical hazards are limited. Contractors are highly qualified.</w:t>
            </w:r>
          </w:p>
        </w:tc>
        <w:tc>
          <w:tcPr>
            <w:tcW w:w="2790" w:type="dxa"/>
          </w:tcPr>
          <w:p w14:paraId="0A015B67" w14:textId="1C6A11E0" w:rsidR="00DC1D02" w:rsidRPr="00AD46B1" w:rsidRDefault="00104513" w:rsidP="001F4334">
            <w:pPr>
              <w:spacing w:before="60" w:after="60"/>
              <w:rPr>
                <w:sz w:val="22"/>
                <w:szCs w:val="22"/>
              </w:rPr>
            </w:pPr>
            <w:r w:rsidRPr="00AD46B1">
              <w:rPr>
                <w:sz w:val="22"/>
                <w:szCs w:val="22"/>
              </w:rPr>
              <w:t>The construction budget is conservative and technical hazards are limited. Contractors are highly qualified.</w:t>
            </w:r>
          </w:p>
        </w:tc>
        <w:tc>
          <w:tcPr>
            <w:tcW w:w="2790" w:type="dxa"/>
          </w:tcPr>
          <w:p w14:paraId="711C4705" w14:textId="7E9D81D7" w:rsidR="00DC1D02" w:rsidRPr="00AD46B1" w:rsidRDefault="00104513" w:rsidP="001F4334">
            <w:pPr>
              <w:spacing w:before="60" w:after="60"/>
              <w:rPr>
                <w:sz w:val="22"/>
                <w:szCs w:val="22"/>
              </w:rPr>
            </w:pPr>
            <w:r w:rsidRPr="00AD46B1">
              <w:rPr>
                <w:sz w:val="22"/>
                <w:szCs w:val="22"/>
              </w:rPr>
              <w:t>The construction budget is adequate and contractors are ordinarily qualified.</w:t>
            </w:r>
          </w:p>
        </w:tc>
        <w:tc>
          <w:tcPr>
            <w:tcW w:w="2790" w:type="dxa"/>
          </w:tcPr>
          <w:p w14:paraId="64DD8B64" w14:textId="3DB14714" w:rsidR="00DC1D02" w:rsidRPr="00AD46B1" w:rsidRDefault="00104513" w:rsidP="001F4334">
            <w:pPr>
              <w:spacing w:before="60" w:after="60"/>
              <w:rPr>
                <w:sz w:val="22"/>
                <w:szCs w:val="22"/>
              </w:rPr>
            </w:pPr>
            <w:r w:rsidRPr="00AD46B1">
              <w:rPr>
                <w:sz w:val="22"/>
                <w:szCs w:val="22"/>
              </w:rPr>
              <w:t>The project is over budget or unrealistic given its technical hazards. Contractors may be under qualified.</w:t>
            </w:r>
          </w:p>
        </w:tc>
      </w:tr>
      <w:tr w:rsidR="00BE62F3" w:rsidRPr="00AD46B1" w14:paraId="048AFD83" w14:textId="77777777" w:rsidTr="001F4334">
        <w:tc>
          <w:tcPr>
            <w:tcW w:w="13948" w:type="dxa"/>
            <w:gridSpan w:val="5"/>
            <w:vAlign w:val="center"/>
          </w:tcPr>
          <w:p w14:paraId="3DEE9305" w14:textId="229784C3" w:rsidR="00BE62F3" w:rsidRPr="00AD46B1" w:rsidRDefault="00104513" w:rsidP="00A12DEF">
            <w:pPr>
              <w:keepNext/>
              <w:spacing w:before="60" w:after="60"/>
              <w:rPr>
                <w:b/>
                <w:sz w:val="22"/>
                <w:szCs w:val="22"/>
              </w:rPr>
            </w:pPr>
            <w:r w:rsidRPr="00AD46B1">
              <w:rPr>
                <w:b/>
                <w:sz w:val="22"/>
                <w:szCs w:val="22"/>
              </w:rPr>
              <w:lastRenderedPageBreak/>
              <w:t>Strength of sponsor/developer</w:t>
            </w:r>
          </w:p>
        </w:tc>
      </w:tr>
      <w:tr w:rsidR="00BE62F3" w:rsidRPr="00AD46B1" w14:paraId="13CF122B" w14:textId="77777777" w:rsidTr="001F4334">
        <w:tc>
          <w:tcPr>
            <w:tcW w:w="2789" w:type="dxa"/>
          </w:tcPr>
          <w:p w14:paraId="632C4422" w14:textId="3B0D8AC4" w:rsidR="00BE62F3" w:rsidRPr="00AD46B1" w:rsidRDefault="00104513" w:rsidP="0067295F">
            <w:pPr>
              <w:keepNext/>
              <w:spacing w:before="60" w:after="60"/>
              <w:rPr>
                <w:sz w:val="22"/>
                <w:szCs w:val="22"/>
              </w:rPr>
            </w:pPr>
            <w:r w:rsidRPr="00AD46B1">
              <w:rPr>
                <w:sz w:val="22"/>
                <w:szCs w:val="22"/>
              </w:rPr>
              <w:t>Financial capacity and willingness to support the property</w:t>
            </w:r>
          </w:p>
        </w:tc>
        <w:tc>
          <w:tcPr>
            <w:tcW w:w="2789" w:type="dxa"/>
          </w:tcPr>
          <w:p w14:paraId="343EB960" w14:textId="2548232A" w:rsidR="00BE62F3" w:rsidRPr="00AD46B1" w:rsidRDefault="00104513" w:rsidP="001F4334">
            <w:pPr>
              <w:spacing w:before="60" w:after="60"/>
              <w:rPr>
                <w:sz w:val="22"/>
                <w:szCs w:val="22"/>
              </w:rPr>
            </w:pPr>
            <w:r w:rsidRPr="00AD46B1">
              <w:rPr>
                <w:sz w:val="22"/>
                <w:szCs w:val="22"/>
              </w:rPr>
              <w:t>The sponsor/developer made a substantial cash contribution to the construction or purchase of the property. The sponsor/developer has substantial resources and limited direct and contingent liabilities. The sponsor/developer’s properties are diversified geographically and by property type.</w:t>
            </w:r>
          </w:p>
        </w:tc>
        <w:tc>
          <w:tcPr>
            <w:tcW w:w="2790" w:type="dxa"/>
          </w:tcPr>
          <w:p w14:paraId="655A565D" w14:textId="1599923B" w:rsidR="00BE62F3" w:rsidRPr="00AD46B1" w:rsidRDefault="00104513" w:rsidP="001F4334">
            <w:pPr>
              <w:spacing w:before="60" w:after="60"/>
              <w:rPr>
                <w:sz w:val="22"/>
                <w:szCs w:val="22"/>
              </w:rPr>
            </w:pPr>
            <w:r w:rsidRPr="00AD46B1">
              <w:rPr>
                <w:sz w:val="22"/>
                <w:szCs w:val="22"/>
              </w:rPr>
              <w:t>The sponsor/developer made a material cash contribution to the construction or purchase of the property. The sponsor/developer’s financial condition allows it to support the property in the event of a cash flow shortfall. The sponsor/developer’s properties are located in several geographic regions.</w:t>
            </w:r>
          </w:p>
        </w:tc>
        <w:tc>
          <w:tcPr>
            <w:tcW w:w="2790" w:type="dxa"/>
          </w:tcPr>
          <w:p w14:paraId="55B01A5B" w14:textId="099C5F23" w:rsidR="00BE62F3" w:rsidRPr="00AD46B1" w:rsidRDefault="00104513" w:rsidP="001F4334">
            <w:pPr>
              <w:spacing w:before="60" w:after="60"/>
              <w:rPr>
                <w:sz w:val="22"/>
                <w:szCs w:val="22"/>
              </w:rPr>
            </w:pPr>
            <w:r w:rsidRPr="00AD46B1">
              <w:rPr>
                <w:sz w:val="22"/>
                <w:szCs w:val="22"/>
              </w:rPr>
              <w:t>The sponsor/developer’s contribution may be immaterial or non-cash. The sponsor/developer is average to below average in financial resources.</w:t>
            </w:r>
          </w:p>
        </w:tc>
        <w:tc>
          <w:tcPr>
            <w:tcW w:w="2790" w:type="dxa"/>
          </w:tcPr>
          <w:p w14:paraId="5FEFF677" w14:textId="3B52B26A" w:rsidR="00BE62F3" w:rsidRPr="00AD46B1" w:rsidRDefault="00104513" w:rsidP="001F4334">
            <w:pPr>
              <w:spacing w:before="60" w:after="60"/>
              <w:rPr>
                <w:sz w:val="22"/>
                <w:szCs w:val="22"/>
              </w:rPr>
            </w:pPr>
            <w:r w:rsidRPr="00AD46B1">
              <w:rPr>
                <w:sz w:val="22"/>
                <w:szCs w:val="22"/>
              </w:rPr>
              <w:t>The sponsor/developer lacks capacity or willingness to support the property.</w:t>
            </w:r>
          </w:p>
        </w:tc>
      </w:tr>
      <w:tr w:rsidR="00BE62F3" w:rsidRPr="00AD46B1" w14:paraId="2989D961" w14:textId="77777777" w:rsidTr="001F4334">
        <w:tc>
          <w:tcPr>
            <w:tcW w:w="2789" w:type="dxa"/>
          </w:tcPr>
          <w:p w14:paraId="09F8B46C" w14:textId="3187FCA6" w:rsidR="00BE62F3" w:rsidRPr="00AD46B1" w:rsidRDefault="00104513" w:rsidP="001F4334">
            <w:pPr>
              <w:spacing w:before="60" w:after="60"/>
              <w:rPr>
                <w:sz w:val="22"/>
                <w:szCs w:val="22"/>
              </w:rPr>
            </w:pPr>
            <w:r w:rsidRPr="00AD46B1">
              <w:rPr>
                <w:sz w:val="22"/>
                <w:szCs w:val="22"/>
              </w:rPr>
              <w:t>Reputation and track record with similar properties</w:t>
            </w:r>
          </w:p>
        </w:tc>
        <w:tc>
          <w:tcPr>
            <w:tcW w:w="2789" w:type="dxa"/>
          </w:tcPr>
          <w:p w14:paraId="252E3A93" w14:textId="271F704E" w:rsidR="00BE62F3" w:rsidRPr="00AD46B1" w:rsidRDefault="00104513" w:rsidP="001F4334">
            <w:pPr>
              <w:spacing w:before="60" w:after="60"/>
              <w:rPr>
                <w:sz w:val="22"/>
                <w:szCs w:val="22"/>
              </w:rPr>
            </w:pPr>
            <w:r w:rsidRPr="00AD46B1">
              <w:rPr>
                <w:sz w:val="22"/>
                <w:szCs w:val="22"/>
              </w:rPr>
              <w:t>Management are experienced and the sponsor’s quality is high. Strong reputation, lengthy and successful record with similar properties.</w:t>
            </w:r>
          </w:p>
        </w:tc>
        <w:tc>
          <w:tcPr>
            <w:tcW w:w="2790" w:type="dxa"/>
          </w:tcPr>
          <w:p w14:paraId="7989DABD" w14:textId="65687AAC" w:rsidR="00BE62F3" w:rsidRPr="00AD46B1" w:rsidRDefault="00104513" w:rsidP="001F4334">
            <w:pPr>
              <w:spacing w:before="60" w:after="60"/>
              <w:rPr>
                <w:sz w:val="22"/>
                <w:szCs w:val="22"/>
              </w:rPr>
            </w:pPr>
            <w:r w:rsidRPr="00AD46B1">
              <w:rPr>
                <w:sz w:val="22"/>
                <w:szCs w:val="22"/>
              </w:rPr>
              <w:t>Appropriate management and sponsor’s quality. The sponsor or management has a successful record with similar properties.</w:t>
            </w:r>
          </w:p>
        </w:tc>
        <w:tc>
          <w:tcPr>
            <w:tcW w:w="2790" w:type="dxa"/>
          </w:tcPr>
          <w:p w14:paraId="38996D7C" w14:textId="3A468FD5" w:rsidR="00BE62F3" w:rsidRPr="00AD46B1" w:rsidRDefault="00104513" w:rsidP="001F4334">
            <w:pPr>
              <w:spacing w:before="60" w:after="60"/>
              <w:rPr>
                <w:sz w:val="22"/>
                <w:szCs w:val="22"/>
              </w:rPr>
            </w:pPr>
            <w:r w:rsidRPr="00AD46B1">
              <w:rPr>
                <w:sz w:val="22"/>
                <w:szCs w:val="22"/>
              </w:rPr>
              <w:t>Moderate management and sponsor’s quality. The management or sponsor track record does not raise serious concerns.</w:t>
            </w:r>
          </w:p>
        </w:tc>
        <w:tc>
          <w:tcPr>
            <w:tcW w:w="2790" w:type="dxa"/>
          </w:tcPr>
          <w:p w14:paraId="710A0C61" w14:textId="288F89E2" w:rsidR="00BE62F3" w:rsidRPr="00AD46B1" w:rsidRDefault="00104513" w:rsidP="001F4334">
            <w:pPr>
              <w:spacing w:before="60" w:after="60"/>
              <w:rPr>
                <w:sz w:val="22"/>
                <w:szCs w:val="22"/>
              </w:rPr>
            </w:pPr>
            <w:r w:rsidRPr="00AD46B1">
              <w:rPr>
                <w:sz w:val="22"/>
                <w:szCs w:val="22"/>
              </w:rPr>
              <w:t>Ineffective management and sub-standard sponsor’s quality. The management and sponsor difficulties have contributed to difficulties in managing properties in the past.</w:t>
            </w:r>
          </w:p>
        </w:tc>
      </w:tr>
      <w:tr w:rsidR="00104513" w:rsidRPr="00AD46B1" w14:paraId="631DC4B0" w14:textId="77777777" w:rsidTr="001F4334">
        <w:tc>
          <w:tcPr>
            <w:tcW w:w="2789" w:type="dxa"/>
          </w:tcPr>
          <w:p w14:paraId="37BC4FE8" w14:textId="466AD936" w:rsidR="00104513" w:rsidRPr="00AD46B1" w:rsidRDefault="00EF7E3E" w:rsidP="0067295F">
            <w:pPr>
              <w:keepNext/>
              <w:spacing w:before="60" w:after="60"/>
              <w:rPr>
                <w:sz w:val="22"/>
                <w:szCs w:val="22"/>
              </w:rPr>
            </w:pPr>
            <w:r w:rsidRPr="00AD46B1">
              <w:rPr>
                <w:sz w:val="22"/>
                <w:szCs w:val="22"/>
              </w:rPr>
              <w:t>Relationships with relevant real estate agents</w:t>
            </w:r>
          </w:p>
        </w:tc>
        <w:tc>
          <w:tcPr>
            <w:tcW w:w="2789" w:type="dxa"/>
          </w:tcPr>
          <w:p w14:paraId="4E524A27" w14:textId="38DF2DB4" w:rsidR="00104513" w:rsidRPr="00AD46B1" w:rsidRDefault="00EF7E3E" w:rsidP="001F4334">
            <w:pPr>
              <w:spacing w:before="60" w:after="60"/>
              <w:rPr>
                <w:sz w:val="22"/>
                <w:szCs w:val="22"/>
              </w:rPr>
            </w:pPr>
            <w:r w:rsidRPr="00AD46B1">
              <w:rPr>
                <w:sz w:val="22"/>
                <w:szCs w:val="22"/>
              </w:rPr>
              <w:t>Strong relationships with leading agents such as leasing agents.</w:t>
            </w:r>
          </w:p>
        </w:tc>
        <w:tc>
          <w:tcPr>
            <w:tcW w:w="2790" w:type="dxa"/>
          </w:tcPr>
          <w:p w14:paraId="45F38FF6" w14:textId="2C5C5289" w:rsidR="00104513" w:rsidRPr="00AD46B1" w:rsidRDefault="00EF7E3E" w:rsidP="001F4334">
            <w:pPr>
              <w:spacing w:before="60" w:after="60"/>
              <w:rPr>
                <w:sz w:val="22"/>
                <w:szCs w:val="22"/>
              </w:rPr>
            </w:pPr>
            <w:r w:rsidRPr="00AD46B1">
              <w:rPr>
                <w:sz w:val="22"/>
                <w:szCs w:val="22"/>
              </w:rPr>
              <w:t>Proven relationships with leading agents such as leasing agents.</w:t>
            </w:r>
          </w:p>
        </w:tc>
        <w:tc>
          <w:tcPr>
            <w:tcW w:w="2790" w:type="dxa"/>
          </w:tcPr>
          <w:p w14:paraId="2BE6A962" w14:textId="2C53B784" w:rsidR="00104513" w:rsidRPr="00AD46B1" w:rsidRDefault="00EF7E3E" w:rsidP="001F4334">
            <w:pPr>
              <w:spacing w:before="60" w:after="60"/>
              <w:rPr>
                <w:sz w:val="22"/>
                <w:szCs w:val="22"/>
              </w:rPr>
            </w:pPr>
            <w:r w:rsidRPr="00AD46B1">
              <w:rPr>
                <w:sz w:val="22"/>
                <w:szCs w:val="22"/>
              </w:rPr>
              <w:t>Adequate relationships with leasing agents and other parties providing important real estate services.</w:t>
            </w:r>
          </w:p>
        </w:tc>
        <w:tc>
          <w:tcPr>
            <w:tcW w:w="2790" w:type="dxa"/>
          </w:tcPr>
          <w:p w14:paraId="4AFCE659" w14:textId="48A7C933" w:rsidR="00104513" w:rsidRPr="00AD46B1" w:rsidRDefault="00EF7E3E" w:rsidP="00EF7E3E">
            <w:pPr>
              <w:spacing w:before="60" w:after="60"/>
              <w:rPr>
                <w:sz w:val="22"/>
                <w:szCs w:val="22"/>
              </w:rPr>
            </w:pPr>
            <w:r w:rsidRPr="00AD46B1">
              <w:rPr>
                <w:sz w:val="22"/>
                <w:szCs w:val="22"/>
              </w:rPr>
              <w:t>Poor relationships with leasing agents and/or other parties providing important real estate services.</w:t>
            </w:r>
          </w:p>
        </w:tc>
      </w:tr>
      <w:tr w:rsidR="00EF7E3E" w:rsidRPr="00AD46B1" w14:paraId="39DE2EE7" w14:textId="77777777" w:rsidTr="001F4334">
        <w:tc>
          <w:tcPr>
            <w:tcW w:w="13948" w:type="dxa"/>
            <w:gridSpan w:val="5"/>
          </w:tcPr>
          <w:p w14:paraId="127F54A0" w14:textId="3BAB86A0" w:rsidR="00EF7E3E" w:rsidRPr="00AD46B1" w:rsidRDefault="00EF7E3E" w:rsidP="00A12DEF">
            <w:pPr>
              <w:keepNext/>
              <w:spacing w:before="60" w:after="60"/>
              <w:rPr>
                <w:b/>
                <w:sz w:val="22"/>
                <w:szCs w:val="22"/>
              </w:rPr>
            </w:pPr>
            <w:r w:rsidRPr="00AD46B1">
              <w:rPr>
                <w:b/>
                <w:sz w:val="22"/>
                <w:szCs w:val="22"/>
              </w:rPr>
              <w:t>Security package</w:t>
            </w:r>
          </w:p>
        </w:tc>
      </w:tr>
      <w:tr w:rsidR="00104513" w:rsidRPr="00AD46B1" w14:paraId="5414EEBC" w14:textId="77777777" w:rsidTr="001F4334">
        <w:tc>
          <w:tcPr>
            <w:tcW w:w="2789" w:type="dxa"/>
          </w:tcPr>
          <w:p w14:paraId="441B958E" w14:textId="2C296BC9" w:rsidR="00104513" w:rsidRPr="00AD46B1" w:rsidRDefault="00EF7E3E" w:rsidP="001F4334">
            <w:pPr>
              <w:spacing w:before="60" w:after="60"/>
              <w:rPr>
                <w:sz w:val="22"/>
                <w:szCs w:val="22"/>
              </w:rPr>
            </w:pPr>
            <w:r w:rsidRPr="00AD46B1">
              <w:rPr>
                <w:sz w:val="22"/>
                <w:szCs w:val="22"/>
              </w:rPr>
              <w:t>Nature of lien</w:t>
            </w:r>
          </w:p>
        </w:tc>
        <w:tc>
          <w:tcPr>
            <w:tcW w:w="2789" w:type="dxa"/>
          </w:tcPr>
          <w:p w14:paraId="71453BC1" w14:textId="3692A5D0" w:rsidR="00104513" w:rsidRPr="00AD46B1" w:rsidRDefault="00EF7E3E" w:rsidP="00A67BBA">
            <w:pPr>
              <w:spacing w:before="60" w:after="60"/>
              <w:rPr>
                <w:sz w:val="22"/>
                <w:szCs w:val="22"/>
              </w:rPr>
            </w:pPr>
            <w:r w:rsidRPr="00AD46B1">
              <w:rPr>
                <w:sz w:val="22"/>
                <w:szCs w:val="22"/>
              </w:rPr>
              <w:t>Perfected first lien.</w:t>
            </w:r>
          </w:p>
        </w:tc>
        <w:tc>
          <w:tcPr>
            <w:tcW w:w="2790" w:type="dxa"/>
          </w:tcPr>
          <w:p w14:paraId="08124CC9" w14:textId="50FA2E2B" w:rsidR="00104513" w:rsidRPr="00AD46B1" w:rsidRDefault="00EF7E3E" w:rsidP="00A67BBA">
            <w:pPr>
              <w:spacing w:before="60" w:after="60"/>
              <w:rPr>
                <w:sz w:val="22"/>
                <w:szCs w:val="22"/>
              </w:rPr>
            </w:pPr>
            <w:r w:rsidRPr="00AD46B1">
              <w:rPr>
                <w:sz w:val="22"/>
                <w:szCs w:val="22"/>
              </w:rPr>
              <w:t>Perfected first lien.</w:t>
            </w:r>
          </w:p>
        </w:tc>
        <w:tc>
          <w:tcPr>
            <w:tcW w:w="2790" w:type="dxa"/>
          </w:tcPr>
          <w:p w14:paraId="41185D43" w14:textId="0A85B639" w:rsidR="00104513" w:rsidRPr="00AD46B1" w:rsidRDefault="00EF7E3E" w:rsidP="00A67BBA">
            <w:pPr>
              <w:spacing w:before="60" w:after="60"/>
              <w:rPr>
                <w:sz w:val="22"/>
                <w:szCs w:val="22"/>
              </w:rPr>
            </w:pPr>
            <w:r w:rsidRPr="00AD46B1">
              <w:rPr>
                <w:sz w:val="22"/>
                <w:szCs w:val="22"/>
              </w:rPr>
              <w:t>Perfected first lien.</w:t>
            </w:r>
          </w:p>
        </w:tc>
        <w:tc>
          <w:tcPr>
            <w:tcW w:w="2790" w:type="dxa"/>
          </w:tcPr>
          <w:p w14:paraId="5EBEAD8D" w14:textId="04059D5D" w:rsidR="00104513" w:rsidRPr="00AD46B1" w:rsidRDefault="00EF7E3E" w:rsidP="001F4334">
            <w:pPr>
              <w:spacing w:before="60" w:after="60"/>
              <w:rPr>
                <w:sz w:val="22"/>
                <w:szCs w:val="22"/>
              </w:rPr>
            </w:pPr>
            <w:r w:rsidRPr="00AD46B1">
              <w:rPr>
                <w:sz w:val="22"/>
                <w:szCs w:val="22"/>
              </w:rPr>
              <w:t>Ability of lender to foreclose is constrained.</w:t>
            </w:r>
          </w:p>
        </w:tc>
      </w:tr>
      <w:tr w:rsidR="00EF7E3E" w:rsidRPr="00AD46B1" w14:paraId="0B5725DB" w14:textId="77777777" w:rsidTr="001F4334">
        <w:tc>
          <w:tcPr>
            <w:tcW w:w="2789" w:type="dxa"/>
          </w:tcPr>
          <w:p w14:paraId="63DEE953" w14:textId="2B1854DC" w:rsidR="00EF7E3E" w:rsidRPr="00AD46B1" w:rsidRDefault="00EF7E3E" w:rsidP="001F4334">
            <w:pPr>
              <w:spacing w:before="60" w:after="60"/>
              <w:rPr>
                <w:sz w:val="22"/>
                <w:szCs w:val="22"/>
              </w:rPr>
            </w:pPr>
            <w:r w:rsidRPr="00AD46B1">
              <w:rPr>
                <w:sz w:val="22"/>
                <w:szCs w:val="22"/>
              </w:rPr>
              <w:lastRenderedPageBreak/>
              <w:t>Assignment of rents (for projects leased to long-term tenants)</w:t>
            </w:r>
          </w:p>
        </w:tc>
        <w:tc>
          <w:tcPr>
            <w:tcW w:w="2789" w:type="dxa"/>
          </w:tcPr>
          <w:p w14:paraId="79AA0AC9" w14:textId="4FF92AE8" w:rsidR="00EF7E3E" w:rsidRPr="00AD46B1" w:rsidRDefault="00EF7E3E" w:rsidP="001F4334">
            <w:pPr>
              <w:spacing w:before="60" w:after="60"/>
              <w:rPr>
                <w:sz w:val="22"/>
                <w:szCs w:val="22"/>
              </w:rPr>
            </w:pPr>
            <w:r w:rsidRPr="00AD46B1">
              <w:rPr>
                <w:sz w:val="22"/>
                <w:szCs w:val="22"/>
              </w:rPr>
              <w:t>The lender has obtained an assignment. They maintain current tenant information that would facilitate providing notice to remit rents directly to the lender, such as a current rent roll and copies of the project’s leases.</w:t>
            </w:r>
          </w:p>
        </w:tc>
        <w:tc>
          <w:tcPr>
            <w:tcW w:w="2790" w:type="dxa"/>
          </w:tcPr>
          <w:p w14:paraId="0B6CC7F8" w14:textId="6B02BF7C" w:rsidR="00EF7E3E" w:rsidRPr="00AD46B1" w:rsidRDefault="00EF7E3E" w:rsidP="001F4334">
            <w:pPr>
              <w:spacing w:before="60" w:after="60"/>
              <w:rPr>
                <w:sz w:val="22"/>
                <w:szCs w:val="22"/>
              </w:rPr>
            </w:pPr>
            <w:r w:rsidRPr="00AD46B1">
              <w:rPr>
                <w:sz w:val="22"/>
                <w:szCs w:val="22"/>
              </w:rPr>
              <w:t>The lender has obtained an assignment. They maintain current tenant information that would facilitate providing notice to the tenants to remit rents directly to the lender, such as current rent roll and copies of the project’s leases.</w:t>
            </w:r>
          </w:p>
        </w:tc>
        <w:tc>
          <w:tcPr>
            <w:tcW w:w="2790" w:type="dxa"/>
          </w:tcPr>
          <w:p w14:paraId="67402DD0" w14:textId="57BF0709" w:rsidR="00EF7E3E" w:rsidRPr="00AD46B1" w:rsidRDefault="00EF7E3E" w:rsidP="001F4334">
            <w:pPr>
              <w:spacing w:before="60" w:after="60"/>
              <w:rPr>
                <w:sz w:val="22"/>
                <w:szCs w:val="22"/>
              </w:rPr>
            </w:pPr>
            <w:r w:rsidRPr="00AD46B1">
              <w:rPr>
                <w:sz w:val="22"/>
                <w:szCs w:val="22"/>
              </w:rPr>
              <w:t>The lender has obtained an assignment. They maintain current tenant information that would facilitate providing notice to the tenants to remit rents directly to the lender, such as current rent roll and copies of the project’s leases.</w:t>
            </w:r>
          </w:p>
        </w:tc>
        <w:tc>
          <w:tcPr>
            <w:tcW w:w="2790" w:type="dxa"/>
          </w:tcPr>
          <w:p w14:paraId="242A71A9" w14:textId="40F5D6F4" w:rsidR="00EF7E3E" w:rsidRPr="00AD46B1" w:rsidRDefault="00EF7E3E" w:rsidP="001F4334">
            <w:pPr>
              <w:spacing w:before="60" w:after="60"/>
              <w:rPr>
                <w:sz w:val="22"/>
                <w:szCs w:val="22"/>
              </w:rPr>
            </w:pPr>
            <w:r w:rsidRPr="00AD46B1">
              <w:rPr>
                <w:sz w:val="22"/>
                <w:szCs w:val="22"/>
              </w:rPr>
              <w:t>The lender has not obtained an assignment of the leases or has not maintained the information necessary to readily provide notice to the building’s tenants.</w:t>
            </w:r>
          </w:p>
        </w:tc>
      </w:tr>
      <w:tr w:rsidR="00EF7E3E" w:rsidRPr="00AD46B1" w14:paraId="078523B0" w14:textId="77777777" w:rsidTr="001F4334">
        <w:tc>
          <w:tcPr>
            <w:tcW w:w="2789" w:type="dxa"/>
          </w:tcPr>
          <w:p w14:paraId="75E84178" w14:textId="4C1782CC" w:rsidR="00EF7E3E" w:rsidRPr="00AD46B1" w:rsidRDefault="00EF7E3E" w:rsidP="001F4334">
            <w:pPr>
              <w:spacing w:before="60" w:after="60"/>
              <w:rPr>
                <w:sz w:val="22"/>
                <w:szCs w:val="22"/>
              </w:rPr>
            </w:pPr>
            <w:r w:rsidRPr="00AD46B1">
              <w:rPr>
                <w:sz w:val="22"/>
                <w:szCs w:val="22"/>
              </w:rPr>
              <w:t>Quality of the insurance coverage</w:t>
            </w:r>
          </w:p>
        </w:tc>
        <w:tc>
          <w:tcPr>
            <w:tcW w:w="2789" w:type="dxa"/>
          </w:tcPr>
          <w:p w14:paraId="6A24A11C" w14:textId="74FA46DC" w:rsidR="00EF7E3E" w:rsidRPr="00AD46B1" w:rsidRDefault="00EF7E3E" w:rsidP="001F4334">
            <w:pPr>
              <w:spacing w:before="60" w:after="60"/>
              <w:rPr>
                <w:sz w:val="22"/>
                <w:szCs w:val="22"/>
              </w:rPr>
            </w:pPr>
            <w:r w:rsidRPr="00AD46B1">
              <w:rPr>
                <w:sz w:val="22"/>
                <w:szCs w:val="22"/>
              </w:rPr>
              <w:t>Appropriate.</w:t>
            </w:r>
          </w:p>
        </w:tc>
        <w:tc>
          <w:tcPr>
            <w:tcW w:w="2790" w:type="dxa"/>
          </w:tcPr>
          <w:p w14:paraId="1A45AD94" w14:textId="0170883F" w:rsidR="00EF7E3E" w:rsidRPr="00AD46B1" w:rsidRDefault="00EF7E3E" w:rsidP="001F4334">
            <w:pPr>
              <w:spacing w:before="60" w:after="60"/>
              <w:rPr>
                <w:sz w:val="22"/>
                <w:szCs w:val="22"/>
              </w:rPr>
            </w:pPr>
            <w:r w:rsidRPr="00AD46B1">
              <w:rPr>
                <w:sz w:val="22"/>
                <w:szCs w:val="22"/>
              </w:rPr>
              <w:t>Appropriate.</w:t>
            </w:r>
          </w:p>
        </w:tc>
        <w:tc>
          <w:tcPr>
            <w:tcW w:w="2790" w:type="dxa"/>
          </w:tcPr>
          <w:p w14:paraId="7E20CAA6" w14:textId="788AB640" w:rsidR="00EF7E3E" w:rsidRPr="00AD46B1" w:rsidRDefault="00EF7E3E" w:rsidP="001F4334">
            <w:pPr>
              <w:spacing w:before="60" w:after="60"/>
              <w:rPr>
                <w:sz w:val="22"/>
                <w:szCs w:val="22"/>
              </w:rPr>
            </w:pPr>
            <w:r w:rsidRPr="00AD46B1">
              <w:rPr>
                <w:sz w:val="22"/>
                <w:szCs w:val="22"/>
              </w:rPr>
              <w:t>Appropriate.</w:t>
            </w:r>
          </w:p>
        </w:tc>
        <w:tc>
          <w:tcPr>
            <w:tcW w:w="2790" w:type="dxa"/>
          </w:tcPr>
          <w:p w14:paraId="4B0B31DF" w14:textId="433F5FAA" w:rsidR="00EF7E3E" w:rsidRPr="00AD46B1" w:rsidRDefault="00EF7E3E" w:rsidP="001F4334">
            <w:pPr>
              <w:spacing w:before="60" w:after="60"/>
              <w:rPr>
                <w:sz w:val="22"/>
                <w:szCs w:val="22"/>
              </w:rPr>
            </w:pPr>
            <w:r w:rsidRPr="00AD46B1">
              <w:rPr>
                <w:sz w:val="22"/>
                <w:szCs w:val="22"/>
              </w:rPr>
              <w:t>Sub-standard.</w:t>
            </w:r>
          </w:p>
        </w:tc>
      </w:tr>
    </w:tbl>
    <w:p w14:paraId="63425FCF" w14:textId="32407698" w:rsidR="00471049" w:rsidRDefault="00471049" w:rsidP="00A12DEF">
      <w:pPr>
        <w:spacing w:after="0"/>
      </w:pPr>
    </w:p>
    <w:p w14:paraId="6E12674E" w14:textId="77777777" w:rsidR="00471049" w:rsidRDefault="00471049">
      <w:r>
        <w:br w:type="page"/>
      </w:r>
    </w:p>
    <w:p w14:paraId="503DD6A7" w14:textId="2F8B1B1F" w:rsidR="0087674E" w:rsidRDefault="0087674E" w:rsidP="008A36FD">
      <w:pPr>
        <w:pStyle w:val="TableHeadNumber"/>
      </w:pPr>
      <w:r>
        <w:lastRenderedPageBreak/>
        <w:t>Slotting criteria for object finance exposures</w:t>
      </w:r>
    </w:p>
    <w:tbl>
      <w:tblPr>
        <w:tblStyle w:val="TableGrid"/>
        <w:tblW w:w="0" w:type="auto"/>
        <w:tblLook w:val="04A0" w:firstRow="1" w:lastRow="0" w:firstColumn="1" w:lastColumn="0" w:noHBand="0" w:noVBand="1"/>
      </w:tblPr>
      <w:tblGrid>
        <w:gridCol w:w="2789"/>
        <w:gridCol w:w="2789"/>
        <w:gridCol w:w="2790"/>
        <w:gridCol w:w="2790"/>
        <w:gridCol w:w="2790"/>
      </w:tblGrid>
      <w:tr w:rsidR="0087674E" w:rsidRPr="00AD46B1" w14:paraId="72244860" w14:textId="77777777" w:rsidTr="00947F41">
        <w:trPr>
          <w:tblHeader/>
        </w:trPr>
        <w:tc>
          <w:tcPr>
            <w:tcW w:w="2789" w:type="dxa"/>
          </w:tcPr>
          <w:p w14:paraId="6F60A28D" w14:textId="77777777" w:rsidR="0087674E" w:rsidRPr="00AD46B1" w:rsidRDefault="0087674E" w:rsidP="00947F41">
            <w:pPr>
              <w:spacing w:before="60" w:after="60"/>
              <w:rPr>
                <w:sz w:val="22"/>
                <w:szCs w:val="22"/>
              </w:rPr>
            </w:pPr>
          </w:p>
        </w:tc>
        <w:tc>
          <w:tcPr>
            <w:tcW w:w="2789" w:type="dxa"/>
          </w:tcPr>
          <w:p w14:paraId="6948EBEA" w14:textId="77777777" w:rsidR="0087674E" w:rsidRPr="00AD46B1" w:rsidRDefault="0087674E" w:rsidP="00947F41">
            <w:pPr>
              <w:spacing w:before="60" w:after="60"/>
              <w:jc w:val="center"/>
              <w:rPr>
                <w:b/>
                <w:sz w:val="22"/>
                <w:szCs w:val="22"/>
              </w:rPr>
            </w:pPr>
            <w:r w:rsidRPr="00AD46B1">
              <w:rPr>
                <w:b/>
                <w:sz w:val="22"/>
                <w:szCs w:val="22"/>
              </w:rPr>
              <w:t>Strong</w:t>
            </w:r>
          </w:p>
        </w:tc>
        <w:tc>
          <w:tcPr>
            <w:tcW w:w="2790" w:type="dxa"/>
          </w:tcPr>
          <w:p w14:paraId="2D8F510B" w14:textId="77777777" w:rsidR="0087674E" w:rsidRPr="00AD46B1" w:rsidRDefault="0087674E" w:rsidP="00947F41">
            <w:pPr>
              <w:spacing w:before="60" w:after="60"/>
              <w:jc w:val="center"/>
              <w:rPr>
                <w:b/>
                <w:sz w:val="22"/>
                <w:szCs w:val="22"/>
              </w:rPr>
            </w:pPr>
            <w:r w:rsidRPr="00AD46B1">
              <w:rPr>
                <w:b/>
                <w:sz w:val="22"/>
                <w:szCs w:val="22"/>
              </w:rPr>
              <w:t>Good</w:t>
            </w:r>
          </w:p>
        </w:tc>
        <w:tc>
          <w:tcPr>
            <w:tcW w:w="2790" w:type="dxa"/>
          </w:tcPr>
          <w:p w14:paraId="6E24CF16" w14:textId="77777777" w:rsidR="0087674E" w:rsidRPr="00AD46B1" w:rsidRDefault="0087674E" w:rsidP="00947F41">
            <w:pPr>
              <w:spacing w:before="60" w:after="60"/>
              <w:jc w:val="center"/>
              <w:rPr>
                <w:b/>
                <w:sz w:val="22"/>
                <w:szCs w:val="22"/>
              </w:rPr>
            </w:pPr>
            <w:r w:rsidRPr="00AD46B1">
              <w:rPr>
                <w:b/>
                <w:sz w:val="22"/>
                <w:szCs w:val="22"/>
              </w:rPr>
              <w:t>Satisfactory</w:t>
            </w:r>
          </w:p>
        </w:tc>
        <w:tc>
          <w:tcPr>
            <w:tcW w:w="2790" w:type="dxa"/>
          </w:tcPr>
          <w:p w14:paraId="152972C2" w14:textId="77777777" w:rsidR="0087674E" w:rsidRPr="00AD46B1" w:rsidRDefault="0087674E" w:rsidP="00947F41">
            <w:pPr>
              <w:spacing w:before="60" w:after="60"/>
              <w:jc w:val="center"/>
              <w:rPr>
                <w:b/>
                <w:sz w:val="22"/>
                <w:szCs w:val="22"/>
              </w:rPr>
            </w:pPr>
            <w:r w:rsidRPr="00AD46B1">
              <w:rPr>
                <w:b/>
                <w:sz w:val="22"/>
                <w:szCs w:val="22"/>
              </w:rPr>
              <w:t>Weak</w:t>
            </w:r>
          </w:p>
        </w:tc>
      </w:tr>
      <w:tr w:rsidR="0087674E" w:rsidRPr="00AD46B1" w14:paraId="245C2FCF" w14:textId="77777777" w:rsidTr="00947F41">
        <w:tc>
          <w:tcPr>
            <w:tcW w:w="13948" w:type="dxa"/>
            <w:gridSpan w:val="5"/>
          </w:tcPr>
          <w:p w14:paraId="74F98B26" w14:textId="77777777" w:rsidR="0087674E" w:rsidRPr="00AD46B1" w:rsidRDefault="0087674E" w:rsidP="00A12DEF">
            <w:pPr>
              <w:keepNext/>
              <w:spacing w:before="60" w:after="60"/>
              <w:rPr>
                <w:b/>
                <w:sz w:val="22"/>
                <w:szCs w:val="22"/>
              </w:rPr>
            </w:pPr>
            <w:r w:rsidRPr="00AD46B1">
              <w:rPr>
                <w:b/>
                <w:sz w:val="22"/>
                <w:szCs w:val="22"/>
              </w:rPr>
              <w:t>Financial Strength</w:t>
            </w:r>
          </w:p>
        </w:tc>
      </w:tr>
      <w:tr w:rsidR="0087674E" w:rsidRPr="00AD46B1" w14:paraId="4C625248" w14:textId="77777777" w:rsidTr="00947F41">
        <w:tc>
          <w:tcPr>
            <w:tcW w:w="2789" w:type="dxa"/>
          </w:tcPr>
          <w:p w14:paraId="7FA2ED8A" w14:textId="77777777" w:rsidR="0087674E" w:rsidRPr="00AD46B1" w:rsidRDefault="0087674E" w:rsidP="00947F41">
            <w:pPr>
              <w:spacing w:before="60" w:after="60"/>
              <w:rPr>
                <w:sz w:val="22"/>
                <w:szCs w:val="22"/>
              </w:rPr>
            </w:pPr>
            <w:r w:rsidRPr="00AD46B1">
              <w:rPr>
                <w:sz w:val="22"/>
                <w:szCs w:val="22"/>
              </w:rPr>
              <w:t>Market Conditions</w:t>
            </w:r>
          </w:p>
        </w:tc>
        <w:tc>
          <w:tcPr>
            <w:tcW w:w="2789" w:type="dxa"/>
          </w:tcPr>
          <w:p w14:paraId="287FC311" w14:textId="77777777" w:rsidR="0087674E" w:rsidRPr="00AD46B1" w:rsidRDefault="0087674E" w:rsidP="00947F41">
            <w:pPr>
              <w:spacing w:before="60" w:after="60"/>
              <w:rPr>
                <w:sz w:val="22"/>
                <w:szCs w:val="22"/>
              </w:rPr>
            </w:pPr>
            <w:r w:rsidRPr="00AD46B1">
              <w:rPr>
                <w:sz w:val="22"/>
                <w:szCs w:val="22"/>
              </w:rPr>
              <w:t>Demand is strong and growing. There are strong entry barriers and low sensitivity to changes in technology and economic outlook.</w:t>
            </w:r>
          </w:p>
        </w:tc>
        <w:tc>
          <w:tcPr>
            <w:tcW w:w="2790" w:type="dxa"/>
          </w:tcPr>
          <w:p w14:paraId="486B276F" w14:textId="77777777" w:rsidR="0087674E" w:rsidRPr="00AD46B1" w:rsidRDefault="0087674E" w:rsidP="00947F41">
            <w:pPr>
              <w:spacing w:before="60" w:after="60"/>
              <w:rPr>
                <w:sz w:val="22"/>
                <w:szCs w:val="22"/>
              </w:rPr>
            </w:pPr>
            <w:r w:rsidRPr="00AD46B1">
              <w:rPr>
                <w:sz w:val="22"/>
                <w:szCs w:val="22"/>
              </w:rPr>
              <w:t>Demand is strong and stable. There are some entry barriers and some sensitivity to changes in technology and economic outlook.</w:t>
            </w:r>
          </w:p>
        </w:tc>
        <w:tc>
          <w:tcPr>
            <w:tcW w:w="2790" w:type="dxa"/>
          </w:tcPr>
          <w:p w14:paraId="51D4B95F" w14:textId="77777777" w:rsidR="0087674E" w:rsidRPr="00AD46B1" w:rsidRDefault="0087674E" w:rsidP="00947F41">
            <w:pPr>
              <w:spacing w:before="60" w:after="60"/>
              <w:rPr>
                <w:sz w:val="22"/>
                <w:szCs w:val="22"/>
              </w:rPr>
            </w:pPr>
            <w:r w:rsidRPr="00AD46B1">
              <w:rPr>
                <w:sz w:val="22"/>
                <w:szCs w:val="22"/>
              </w:rPr>
              <w:t>Demand is adequate and the entry barriers are limited and stable. There is significant sensitivity to changes in technology and economic outlook.</w:t>
            </w:r>
          </w:p>
        </w:tc>
        <w:tc>
          <w:tcPr>
            <w:tcW w:w="2790" w:type="dxa"/>
          </w:tcPr>
          <w:p w14:paraId="68D84880" w14:textId="77777777" w:rsidR="0087674E" w:rsidRPr="00AD46B1" w:rsidRDefault="0087674E" w:rsidP="00947F41">
            <w:pPr>
              <w:spacing w:before="60" w:after="60"/>
              <w:rPr>
                <w:sz w:val="22"/>
                <w:szCs w:val="22"/>
              </w:rPr>
            </w:pPr>
            <w:r w:rsidRPr="00AD46B1">
              <w:rPr>
                <w:sz w:val="22"/>
                <w:szCs w:val="22"/>
              </w:rPr>
              <w:t>Demand is weak and declining, vulnerable to changes in technology and economic outlook and a highly uncertain environment.</w:t>
            </w:r>
          </w:p>
        </w:tc>
      </w:tr>
      <w:tr w:rsidR="0087674E" w:rsidRPr="00AD46B1" w14:paraId="2C34171E" w14:textId="77777777" w:rsidTr="00947F41">
        <w:tc>
          <w:tcPr>
            <w:tcW w:w="2789" w:type="dxa"/>
          </w:tcPr>
          <w:p w14:paraId="72FB70B1" w14:textId="77777777" w:rsidR="0087674E" w:rsidRPr="00AD46B1" w:rsidRDefault="0087674E" w:rsidP="00947F41">
            <w:pPr>
              <w:spacing w:before="60" w:after="60"/>
              <w:rPr>
                <w:sz w:val="22"/>
                <w:szCs w:val="22"/>
              </w:rPr>
            </w:pPr>
            <w:r w:rsidRPr="00AD46B1">
              <w:rPr>
                <w:sz w:val="22"/>
                <w:szCs w:val="22"/>
              </w:rPr>
              <w:t>Financial ratios (debt service coverage ratio and LVR)</w:t>
            </w:r>
          </w:p>
        </w:tc>
        <w:tc>
          <w:tcPr>
            <w:tcW w:w="2789" w:type="dxa"/>
          </w:tcPr>
          <w:p w14:paraId="331F1CA7" w14:textId="77777777" w:rsidR="0087674E" w:rsidRPr="00AD46B1" w:rsidRDefault="0087674E" w:rsidP="00947F41">
            <w:pPr>
              <w:spacing w:before="60" w:after="60"/>
              <w:rPr>
                <w:sz w:val="22"/>
                <w:szCs w:val="22"/>
              </w:rPr>
            </w:pPr>
            <w:r w:rsidRPr="00AD46B1">
              <w:rPr>
                <w:sz w:val="22"/>
                <w:szCs w:val="22"/>
              </w:rPr>
              <w:t>The financial ratios are strong considering the type of asset. Very robust economic assumptions.</w:t>
            </w:r>
          </w:p>
        </w:tc>
        <w:tc>
          <w:tcPr>
            <w:tcW w:w="2790" w:type="dxa"/>
          </w:tcPr>
          <w:p w14:paraId="4B9B114D" w14:textId="77777777" w:rsidR="0087674E" w:rsidRPr="00AD46B1" w:rsidRDefault="0087674E" w:rsidP="00947F41">
            <w:pPr>
              <w:spacing w:before="60" w:after="60"/>
              <w:rPr>
                <w:sz w:val="22"/>
                <w:szCs w:val="22"/>
              </w:rPr>
            </w:pPr>
            <w:r w:rsidRPr="00AD46B1">
              <w:rPr>
                <w:sz w:val="22"/>
                <w:szCs w:val="22"/>
              </w:rPr>
              <w:t>The financial ratios are strong/acceptable considering the type of asset. Robust project economic assumptions.</w:t>
            </w:r>
          </w:p>
        </w:tc>
        <w:tc>
          <w:tcPr>
            <w:tcW w:w="2790" w:type="dxa"/>
          </w:tcPr>
          <w:p w14:paraId="16F3A0A0" w14:textId="77777777" w:rsidR="0087674E" w:rsidRPr="00AD46B1" w:rsidRDefault="0087674E" w:rsidP="00947F41">
            <w:pPr>
              <w:spacing w:before="60" w:after="60"/>
              <w:rPr>
                <w:sz w:val="22"/>
                <w:szCs w:val="22"/>
              </w:rPr>
            </w:pPr>
            <w:r w:rsidRPr="00AD46B1">
              <w:rPr>
                <w:sz w:val="22"/>
                <w:szCs w:val="22"/>
              </w:rPr>
              <w:t>The financial ratios are standard for the asset type.</w:t>
            </w:r>
          </w:p>
        </w:tc>
        <w:tc>
          <w:tcPr>
            <w:tcW w:w="2790" w:type="dxa"/>
          </w:tcPr>
          <w:p w14:paraId="1B65D1F3" w14:textId="77777777" w:rsidR="0087674E" w:rsidRPr="00AD46B1" w:rsidRDefault="0087674E" w:rsidP="00947F41">
            <w:pPr>
              <w:spacing w:before="60" w:after="60"/>
              <w:rPr>
                <w:sz w:val="22"/>
                <w:szCs w:val="22"/>
              </w:rPr>
            </w:pPr>
            <w:r w:rsidRPr="00AD46B1">
              <w:rPr>
                <w:sz w:val="22"/>
                <w:szCs w:val="22"/>
              </w:rPr>
              <w:t>The financial ratios are aggressive considering the type of asset.</w:t>
            </w:r>
          </w:p>
        </w:tc>
      </w:tr>
      <w:tr w:rsidR="0087674E" w:rsidRPr="00AD46B1" w14:paraId="7C49BE93" w14:textId="77777777" w:rsidTr="00947F41">
        <w:tc>
          <w:tcPr>
            <w:tcW w:w="2789" w:type="dxa"/>
          </w:tcPr>
          <w:p w14:paraId="6567AA72" w14:textId="77777777" w:rsidR="0087674E" w:rsidRPr="00AD46B1" w:rsidRDefault="0087674E" w:rsidP="00947F41">
            <w:pPr>
              <w:spacing w:before="60" w:after="60"/>
              <w:rPr>
                <w:sz w:val="22"/>
                <w:szCs w:val="22"/>
              </w:rPr>
            </w:pPr>
            <w:r w:rsidRPr="00AD46B1">
              <w:rPr>
                <w:sz w:val="22"/>
                <w:szCs w:val="22"/>
              </w:rPr>
              <w:t>Stress analysis</w:t>
            </w:r>
          </w:p>
        </w:tc>
        <w:tc>
          <w:tcPr>
            <w:tcW w:w="2789" w:type="dxa"/>
          </w:tcPr>
          <w:p w14:paraId="5502BB5E" w14:textId="77777777" w:rsidR="0087674E" w:rsidRPr="00AD46B1" w:rsidRDefault="0087674E" w:rsidP="00947F41">
            <w:pPr>
              <w:spacing w:before="60" w:after="60"/>
              <w:rPr>
                <w:sz w:val="22"/>
                <w:szCs w:val="22"/>
              </w:rPr>
            </w:pPr>
            <w:r w:rsidRPr="00AD46B1">
              <w:rPr>
                <w:sz w:val="22"/>
                <w:szCs w:val="22"/>
              </w:rPr>
              <w:t>Long-term revenues are stable and capable of withstanding severely stressed conditions through an economic cycle.</w:t>
            </w:r>
          </w:p>
        </w:tc>
        <w:tc>
          <w:tcPr>
            <w:tcW w:w="2790" w:type="dxa"/>
          </w:tcPr>
          <w:p w14:paraId="64DAEAD3" w14:textId="77777777" w:rsidR="0087674E" w:rsidRPr="00AD46B1" w:rsidRDefault="0087674E" w:rsidP="00947F41">
            <w:pPr>
              <w:spacing w:before="60" w:after="60"/>
              <w:rPr>
                <w:sz w:val="22"/>
                <w:szCs w:val="22"/>
              </w:rPr>
            </w:pPr>
            <w:r w:rsidRPr="00AD46B1">
              <w:rPr>
                <w:sz w:val="22"/>
                <w:szCs w:val="22"/>
              </w:rPr>
              <w:t>Short-term revenues are satisfactory. The loan can withstand some financial adversity. Default is only likely under severe economic conditions.</w:t>
            </w:r>
          </w:p>
        </w:tc>
        <w:tc>
          <w:tcPr>
            <w:tcW w:w="2790" w:type="dxa"/>
          </w:tcPr>
          <w:p w14:paraId="3D6F8D26" w14:textId="77777777" w:rsidR="0087674E" w:rsidRPr="00AD46B1" w:rsidRDefault="0087674E" w:rsidP="00947F41">
            <w:pPr>
              <w:spacing w:before="60" w:after="60"/>
              <w:rPr>
                <w:sz w:val="22"/>
                <w:szCs w:val="22"/>
              </w:rPr>
            </w:pPr>
            <w:r w:rsidRPr="00AD46B1">
              <w:rPr>
                <w:sz w:val="22"/>
                <w:szCs w:val="22"/>
              </w:rPr>
              <w:t>Short-term revenues are uncertain. Cash flows are vulnerable to stresses that are not uncommon through an economic cycle. The loan may default in a normal downturn.</w:t>
            </w:r>
          </w:p>
        </w:tc>
        <w:tc>
          <w:tcPr>
            <w:tcW w:w="2790" w:type="dxa"/>
          </w:tcPr>
          <w:p w14:paraId="7B86C53D" w14:textId="77777777" w:rsidR="0087674E" w:rsidRPr="00AD46B1" w:rsidRDefault="0087674E" w:rsidP="00947F41">
            <w:pPr>
              <w:spacing w:before="60" w:after="60"/>
              <w:rPr>
                <w:sz w:val="22"/>
                <w:szCs w:val="22"/>
              </w:rPr>
            </w:pPr>
            <w:r w:rsidRPr="00AD46B1">
              <w:rPr>
                <w:sz w:val="22"/>
                <w:szCs w:val="22"/>
              </w:rPr>
              <w:t>Revenues are subject to strong uncertainties. Even in normal economic conditions the asset may default, unless conditions improve.</w:t>
            </w:r>
          </w:p>
        </w:tc>
      </w:tr>
      <w:tr w:rsidR="0087674E" w:rsidRPr="00AD46B1" w14:paraId="1EA4D271" w14:textId="77777777" w:rsidTr="00947F41">
        <w:tc>
          <w:tcPr>
            <w:tcW w:w="2789" w:type="dxa"/>
          </w:tcPr>
          <w:p w14:paraId="342112B3" w14:textId="77777777" w:rsidR="0087674E" w:rsidRPr="00AD46B1" w:rsidRDefault="0087674E" w:rsidP="00471049">
            <w:pPr>
              <w:spacing w:before="60" w:after="60"/>
              <w:rPr>
                <w:sz w:val="22"/>
                <w:szCs w:val="22"/>
              </w:rPr>
            </w:pPr>
            <w:r w:rsidRPr="00AD46B1">
              <w:rPr>
                <w:sz w:val="22"/>
                <w:szCs w:val="22"/>
              </w:rPr>
              <w:t>Market liquidity</w:t>
            </w:r>
          </w:p>
        </w:tc>
        <w:tc>
          <w:tcPr>
            <w:tcW w:w="2789" w:type="dxa"/>
          </w:tcPr>
          <w:p w14:paraId="73D73C42" w14:textId="77777777" w:rsidR="0087674E" w:rsidRPr="00AD46B1" w:rsidRDefault="0087674E" w:rsidP="00947F41">
            <w:pPr>
              <w:spacing w:before="60" w:after="60"/>
              <w:rPr>
                <w:sz w:val="22"/>
                <w:szCs w:val="22"/>
              </w:rPr>
            </w:pPr>
            <w:r w:rsidRPr="00AD46B1">
              <w:rPr>
                <w:sz w:val="22"/>
                <w:szCs w:val="22"/>
              </w:rPr>
              <w:t>The market is structured on a worldwide basis. Assets are highly liquid.</w:t>
            </w:r>
          </w:p>
        </w:tc>
        <w:tc>
          <w:tcPr>
            <w:tcW w:w="2790" w:type="dxa"/>
          </w:tcPr>
          <w:p w14:paraId="232FAB03" w14:textId="77777777" w:rsidR="0087674E" w:rsidRPr="00AD46B1" w:rsidRDefault="0087674E" w:rsidP="00947F41">
            <w:pPr>
              <w:spacing w:before="60" w:after="60"/>
              <w:rPr>
                <w:sz w:val="22"/>
                <w:szCs w:val="22"/>
              </w:rPr>
            </w:pPr>
            <w:r w:rsidRPr="00AD46B1">
              <w:rPr>
                <w:sz w:val="22"/>
                <w:szCs w:val="22"/>
              </w:rPr>
              <w:t>The market is worldwide or regional. Assets are relatively liquid.</w:t>
            </w:r>
          </w:p>
        </w:tc>
        <w:tc>
          <w:tcPr>
            <w:tcW w:w="2790" w:type="dxa"/>
          </w:tcPr>
          <w:p w14:paraId="76C04F74" w14:textId="77777777" w:rsidR="0087674E" w:rsidRPr="00AD46B1" w:rsidRDefault="0087674E" w:rsidP="00947F41">
            <w:pPr>
              <w:spacing w:before="60" w:after="60"/>
              <w:rPr>
                <w:sz w:val="22"/>
                <w:szCs w:val="22"/>
              </w:rPr>
            </w:pPr>
            <w:r w:rsidRPr="00AD46B1">
              <w:rPr>
                <w:sz w:val="22"/>
                <w:szCs w:val="22"/>
              </w:rPr>
              <w:t>The market is regional with limited prospects in the short term, implying lower liquidity.</w:t>
            </w:r>
          </w:p>
        </w:tc>
        <w:tc>
          <w:tcPr>
            <w:tcW w:w="2790" w:type="dxa"/>
          </w:tcPr>
          <w:p w14:paraId="4AB50C47" w14:textId="77777777" w:rsidR="0087674E" w:rsidRPr="00AD46B1" w:rsidRDefault="0087674E" w:rsidP="00947F41">
            <w:pPr>
              <w:spacing w:before="60" w:after="60"/>
              <w:rPr>
                <w:sz w:val="22"/>
                <w:szCs w:val="22"/>
              </w:rPr>
            </w:pPr>
            <w:r w:rsidRPr="00AD46B1">
              <w:rPr>
                <w:sz w:val="22"/>
                <w:szCs w:val="22"/>
              </w:rPr>
              <w:t>The market is local and/or has poor visibility. There is low or no liquidity, particularly in niche markets.</w:t>
            </w:r>
          </w:p>
        </w:tc>
      </w:tr>
      <w:tr w:rsidR="0087674E" w:rsidRPr="00AD46B1" w14:paraId="49665191" w14:textId="77777777" w:rsidTr="00947F41">
        <w:tc>
          <w:tcPr>
            <w:tcW w:w="13948" w:type="dxa"/>
            <w:gridSpan w:val="5"/>
            <w:vAlign w:val="center"/>
          </w:tcPr>
          <w:p w14:paraId="3429F9F1" w14:textId="77777777" w:rsidR="0087674E" w:rsidRPr="00AD46B1" w:rsidRDefault="0087674E" w:rsidP="00A12DEF">
            <w:pPr>
              <w:keepNext/>
              <w:spacing w:before="60" w:after="60"/>
              <w:rPr>
                <w:b/>
                <w:sz w:val="22"/>
                <w:szCs w:val="22"/>
              </w:rPr>
            </w:pPr>
            <w:r w:rsidRPr="00AD46B1">
              <w:rPr>
                <w:b/>
                <w:sz w:val="22"/>
                <w:szCs w:val="22"/>
              </w:rPr>
              <w:lastRenderedPageBreak/>
              <w:t>Political and legal environment</w:t>
            </w:r>
          </w:p>
        </w:tc>
      </w:tr>
      <w:tr w:rsidR="0087674E" w:rsidRPr="00AD46B1" w14:paraId="732076EA" w14:textId="77777777" w:rsidTr="00947F41">
        <w:tc>
          <w:tcPr>
            <w:tcW w:w="2789" w:type="dxa"/>
          </w:tcPr>
          <w:p w14:paraId="7553F84C" w14:textId="77777777" w:rsidR="0087674E" w:rsidRPr="00AD46B1" w:rsidRDefault="0087674E" w:rsidP="00947F41">
            <w:pPr>
              <w:spacing w:before="60" w:after="60"/>
              <w:rPr>
                <w:sz w:val="22"/>
                <w:szCs w:val="22"/>
              </w:rPr>
            </w:pPr>
            <w:r w:rsidRPr="00AD46B1">
              <w:rPr>
                <w:sz w:val="22"/>
                <w:szCs w:val="22"/>
              </w:rPr>
              <w:t>Political risk, including transfer risk</w:t>
            </w:r>
          </w:p>
        </w:tc>
        <w:tc>
          <w:tcPr>
            <w:tcW w:w="2789" w:type="dxa"/>
          </w:tcPr>
          <w:p w14:paraId="31696689" w14:textId="77777777" w:rsidR="0087674E" w:rsidRPr="00AD46B1" w:rsidRDefault="0087674E" w:rsidP="00947F41">
            <w:pPr>
              <w:spacing w:before="60" w:after="60"/>
              <w:rPr>
                <w:sz w:val="22"/>
                <w:szCs w:val="22"/>
              </w:rPr>
            </w:pPr>
            <w:r w:rsidRPr="00AD46B1">
              <w:rPr>
                <w:sz w:val="22"/>
                <w:szCs w:val="22"/>
              </w:rPr>
              <w:t>Very low. There are strong mitigation instruments, if needed.</w:t>
            </w:r>
          </w:p>
        </w:tc>
        <w:tc>
          <w:tcPr>
            <w:tcW w:w="2790" w:type="dxa"/>
          </w:tcPr>
          <w:p w14:paraId="338F510A" w14:textId="77777777" w:rsidR="0087674E" w:rsidRPr="00AD46B1" w:rsidRDefault="0087674E" w:rsidP="00947F41">
            <w:pPr>
              <w:spacing w:before="60" w:after="60"/>
              <w:rPr>
                <w:sz w:val="22"/>
                <w:szCs w:val="22"/>
              </w:rPr>
            </w:pPr>
            <w:r w:rsidRPr="00AD46B1">
              <w:rPr>
                <w:sz w:val="22"/>
                <w:szCs w:val="22"/>
              </w:rPr>
              <w:t>Low. There are satisfactory mitigation instruments, if needed.</w:t>
            </w:r>
          </w:p>
        </w:tc>
        <w:tc>
          <w:tcPr>
            <w:tcW w:w="2790" w:type="dxa"/>
          </w:tcPr>
          <w:p w14:paraId="1C24BA1C" w14:textId="77777777" w:rsidR="0087674E" w:rsidRPr="00AD46B1" w:rsidRDefault="0087674E" w:rsidP="00947F41">
            <w:pPr>
              <w:spacing w:before="60" w:after="60"/>
              <w:rPr>
                <w:sz w:val="22"/>
                <w:szCs w:val="22"/>
              </w:rPr>
            </w:pPr>
            <w:r w:rsidRPr="00AD46B1">
              <w:rPr>
                <w:sz w:val="22"/>
                <w:szCs w:val="22"/>
              </w:rPr>
              <w:t>Moderate. There are fair mitigation instruments.</w:t>
            </w:r>
          </w:p>
        </w:tc>
        <w:tc>
          <w:tcPr>
            <w:tcW w:w="2790" w:type="dxa"/>
          </w:tcPr>
          <w:p w14:paraId="480496F8" w14:textId="77777777" w:rsidR="0087674E" w:rsidRPr="00AD46B1" w:rsidRDefault="0087674E" w:rsidP="00947F41">
            <w:pPr>
              <w:spacing w:before="60" w:after="60"/>
              <w:rPr>
                <w:sz w:val="22"/>
                <w:szCs w:val="22"/>
              </w:rPr>
            </w:pPr>
            <w:r w:rsidRPr="00AD46B1">
              <w:rPr>
                <w:sz w:val="22"/>
                <w:szCs w:val="22"/>
              </w:rPr>
              <w:t>High. The mitigation instruments, if any, are weak.</w:t>
            </w:r>
          </w:p>
        </w:tc>
      </w:tr>
      <w:tr w:rsidR="0087674E" w:rsidRPr="00AD46B1" w14:paraId="22736940" w14:textId="77777777" w:rsidTr="00947F41">
        <w:tc>
          <w:tcPr>
            <w:tcW w:w="2789" w:type="dxa"/>
          </w:tcPr>
          <w:p w14:paraId="3F7EF282" w14:textId="77777777" w:rsidR="0087674E" w:rsidRPr="00AD46B1" w:rsidRDefault="0087674E" w:rsidP="00947F41">
            <w:pPr>
              <w:spacing w:before="60" w:after="60"/>
              <w:rPr>
                <w:sz w:val="22"/>
                <w:szCs w:val="22"/>
              </w:rPr>
            </w:pPr>
            <w:r w:rsidRPr="00AD46B1">
              <w:rPr>
                <w:sz w:val="22"/>
                <w:szCs w:val="22"/>
              </w:rPr>
              <w:t>Legal and regulatory risks</w:t>
            </w:r>
          </w:p>
        </w:tc>
        <w:tc>
          <w:tcPr>
            <w:tcW w:w="2789" w:type="dxa"/>
          </w:tcPr>
          <w:p w14:paraId="042A36AD" w14:textId="77777777" w:rsidR="0087674E" w:rsidRPr="00AD46B1" w:rsidRDefault="0087674E" w:rsidP="00947F41">
            <w:pPr>
              <w:spacing w:before="60" w:after="60"/>
              <w:rPr>
                <w:sz w:val="22"/>
                <w:szCs w:val="22"/>
              </w:rPr>
            </w:pPr>
            <w:r w:rsidRPr="00AD46B1">
              <w:rPr>
                <w:sz w:val="22"/>
                <w:szCs w:val="22"/>
              </w:rPr>
              <w:t>The jurisdiction is favourable to repossession and enforcement of contracts.</w:t>
            </w:r>
          </w:p>
        </w:tc>
        <w:tc>
          <w:tcPr>
            <w:tcW w:w="2790" w:type="dxa"/>
          </w:tcPr>
          <w:p w14:paraId="62804F55" w14:textId="77777777" w:rsidR="0087674E" w:rsidRPr="00AD46B1" w:rsidRDefault="0087674E" w:rsidP="00947F41">
            <w:pPr>
              <w:spacing w:before="60" w:after="60"/>
              <w:rPr>
                <w:sz w:val="22"/>
                <w:szCs w:val="22"/>
              </w:rPr>
            </w:pPr>
            <w:r w:rsidRPr="00AD46B1">
              <w:rPr>
                <w:sz w:val="22"/>
                <w:szCs w:val="22"/>
              </w:rPr>
              <w:t>The jurisdiction is favourable to repossession and enforcement of contracts.</w:t>
            </w:r>
          </w:p>
        </w:tc>
        <w:tc>
          <w:tcPr>
            <w:tcW w:w="2790" w:type="dxa"/>
          </w:tcPr>
          <w:p w14:paraId="6F704A77" w14:textId="77777777" w:rsidR="0087674E" w:rsidRPr="00AD46B1" w:rsidRDefault="0087674E" w:rsidP="00947F41">
            <w:pPr>
              <w:spacing w:before="60" w:after="60"/>
              <w:rPr>
                <w:sz w:val="22"/>
                <w:szCs w:val="22"/>
              </w:rPr>
            </w:pPr>
            <w:r w:rsidRPr="00AD46B1">
              <w:rPr>
                <w:sz w:val="22"/>
                <w:szCs w:val="22"/>
              </w:rPr>
              <w:t>The jurisdiction is generally favourable to repossession and enforcement of contracts, even if repossession might be long and/or difficult.</w:t>
            </w:r>
          </w:p>
        </w:tc>
        <w:tc>
          <w:tcPr>
            <w:tcW w:w="2790" w:type="dxa"/>
          </w:tcPr>
          <w:p w14:paraId="41E5A839" w14:textId="77777777" w:rsidR="0087674E" w:rsidRPr="00AD46B1" w:rsidRDefault="0087674E" w:rsidP="00947F41">
            <w:pPr>
              <w:spacing w:before="60" w:after="60"/>
              <w:rPr>
                <w:sz w:val="22"/>
                <w:szCs w:val="22"/>
              </w:rPr>
            </w:pPr>
            <w:r w:rsidRPr="00AD46B1">
              <w:rPr>
                <w:sz w:val="22"/>
                <w:szCs w:val="22"/>
              </w:rPr>
              <w:t>The legal and regulatory environment is poor and/or unstable. The jurisdiction may make repossession and enforcement of contracts lengthy or impossible.</w:t>
            </w:r>
          </w:p>
        </w:tc>
      </w:tr>
      <w:tr w:rsidR="0087674E" w:rsidRPr="00AD46B1" w14:paraId="5DF1EF9B" w14:textId="77777777" w:rsidTr="00947F41">
        <w:tc>
          <w:tcPr>
            <w:tcW w:w="13948" w:type="dxa"/>
            <w:gridSpan w:val="5"/>
            <w:vAlign w:val="center"/>
          </w:tcPr>
          <w:p w14:paraId="40998E39" w14:textId="77777777" w:rsidR="0087674E" w:rsidRPr="00AD46B1" w:rsidRDefault="0087674E" w:rsidP="00A12DEF">
            <w:pPr>
              <w:keepNext/>
              <w:spacing w:before="60" w:after="60"/>
              <w:rPr>
                <w:b/>
                <w:sz w:val="22"/>
                <w:szCs w:val="22"/>
              </w:rPr>
            </w:pPr>
            <w:r w:rsidRPr="00AD46B1">
              <w:rPr>
                <w:b/>
                <w:sz w:val="22"/>
                <w:szCs w:val="22"/>
              </w:rPr>
              <w:t>Transaction characteristics</w:t>
            </w:r>
          </w:p>
        </w:tc>
      </w:tr>
      <w:tr w:rsidR="0087674E" w:rsidRPr="00AD46B1" w14:paraId="7CECA95D" w14:textId="77777777" w:rsidTr="00947F41">
        <w:tc>
          <w:tcPr>
            <w:tcW w:w="2789" w:type="dxa"/>
            <w:vAlign w:val="center"/>
          </w:tcPr>
          <w:p w14:paraId="2581F16A" w14:textId="77777777" w:rsidR="0087674E" w:rsidRPr="00AD46B1" w:rsidRDefault="0087674E" w:rsidP="00947F41">
            <w:pPr>
              <w:spacing w:before="60" w:after="60"/>
              <w:rPr>
                <w:sz w:val="22"/>
                <w:szCs w:val="22"/>
              </w:rPr>
            </w:pPr>
            <w:r w:rsidRPr="00AD46B1">
              <w:rPr>
                <w:sz w:val="22"/>
                <w:szCs w:val="22"/>
              </w:rPr>
              <w:t>Financing term compared to the economic life of the asset</w:t>
            </w:r>
          </w:p>
        </w:tc>
        <w:tc>
          <w:tcPr>
            <w:tcW w:w="2789" w:type="dxa"/>
          </w:tcPr>
          <w:p w14:paraId="05173CC3" w14:textId="77777777" w:rsidR="0087674E" w:rsidRPr="00AD46B1" w:rsidRDefault="0087674E" w:rsidP="00947F41">
            <w:pPr>
              <w:spacing w:before="60" w:after="60"/>
              <w:rPr>
                <w:sz w:val="22"/>
                <w:szCs w:val="22"/>
              </w:rPr>
            </w:pPr>
            <w:r w:rsidRPr="00AD46B1">
              <w:rPr>
                <w:sz w:val="22"/>
                <w:szCs w:val="22"/>
              </w:rPr>
              <w:t>Full payout profile/minimum balloon. No grace period.</w:t>
            </w:r>
          </w:p>
        </w:tc>
        <w:tc>
          <w:tcPr>
            <w:tcW w:w="2790" w:type="dxa"/>
          </w:tcPr>
          <w:p w14:paraId="6782C2BB" w14:textId="77777777" w:rsidR="0087674E" w:rsidRPr="00AD46B1" w:rsidRDefault="0087674E" w:rsidP="00947F41">
            <w:pPr>
              <w:spacing w:before="60" w:after="60"/>
              <w:rPr>
                <w:sz w:val="22"/>
                <w:szCs w:val="22"/>
              </w:rPr>
            </w:pPr>
            <w:r w:rsidRPr="00AD46B1">
              <w:rPr>
                <w:sz w:val="22"/>
                <w:szCs w:val="22"/>
              </w:rPr>
              <w:t>Balloon more significant, but still at satisfactory levels.</w:t>
            </w:r>
          </w:p>
        </w:tc>
        <w:tc>
          <w:tcPr>
            <w:tcW w:w="2790" w:type="dxa"/>
          </w:tcPr>
          <w:p w14:paraId="1E755B20" w14:textId="77777777" w:rsidR="0087674E" w:rsidRPr="00AD46B1" w:rsidRDefault="0087674E" w:rsidP="00947F41">
            <w:pPr>
              <w:spacing w:before="60" w:after="60"/>
              <w:rPr>
                <w:sz w:val="22"/>
                <w:szCs w:val="22"/>
              </w:rPr>
            </w:pPr>
            <w:r w:rsidRPr="00AD46B1">
              <w:rPr>
                <w:sz w:val="22"/>
                <w:szCs w:val="22"/>
              </w:rPr>
              <w:t>Important balloon with potential grace periods.</w:t>
            </w:r>
          </w:p>
        </w:tc>
        <w:tc>
          <w:tcPr>
            <w:tcW w:w="2790" w:type="dxa"/>
          </w:tcPr>
          <w:p w14:paraId="17359047" w14:textId="77777777" w:rsidR="0087674E" w:rsidRPr="00AD46B1" w:rsidRDefault="0087674E" w:rsidP="00947F41">
            <w:pPr>
              <w:spacing w:before="60" w:after="60"/>
              <w:rPr>
                <w:sz w:val="22"/>
                <w:szCs w:val="22"/>
              </w:rPr>
            </w:pPr>
            <w:r w:rsidRPr="00AD46B1">
              <w:rPr>
                <w:sz w:val="22"/>
                <w:szCs w:val="22"/>
              </w:rPr>
              <w:t>Repayment in fine or high balloon.</w:t>
            </w:r>
          </w:p>
        </w:tc>
      </w:tr>
      <w:tr w:rsidR="0087674E" w:rsidRPr="00AD46B1" w14:paraId="58506823" w14:textId="77777777" w:rsidTr="00947F41">
        <w:tc>
          <w:tcPr>
            <w:tcW w:w="13948" w:type="dxa"/>
            <w:gridSpan w:val="5"/>
            <w:vAlign w:val="center"/>
          </w:tcPr>
          <w:p w14:paraId="1E2A501F" w14:textId="35086604" w:rsidR="0087674E" w:rsidRPr="00AD46B1" w:rsidRDefault="00A12DEF" w:rsidP="00A12DEF">
            <w:pPr>
              <w:keepNext/>
              <w:spacing w:before="60" w:after="60"/>
              <w:rPr>
                <w:b/>
                <w:sz w:val="22"/>
                <w:szCs w:val="22"/>
              </w:rPr>
            </w:pPr>
            <w:r w:rsidRPr="00AD46B1">
              <w:rPr>
                <w:b/>
                <w:sz w:val="22"/>
                <w:szCs w:val="22"/>
              </w:rPr>
              <w:t>Operating risk</w:t>
            </w:r>
          </w:p>
        </w:tc>
      </w:tr>
      <w:tr w:rsidR="0087674E" w:rsidRPr="00AD46B1" w14:paraId="4E54B156" w14:textId="77777777" w:rsidTr="00947F41">
        <w:tc>
          <w:tcPr>
            <w:tcW w:w="2789" w:type="dxa"/>
          </w:tcPr>
          <w:p w14:paraId="1FB7ED5E" w14:textId="77777777" w:rsidR="0087674E" w:rsidRPr="00AD46B1" w:rsidRDefault="0087674E" w:rsidP="0067295F">
            <w:pPr>
              <w:keepNext/>
              <w:spacing w:before="60" w:after="60"/>
              <w:rPr>
                <w:sz w:val="22"/>
                <w:szCs w:val="22"/>
              </w:rPr>
            </w:pPr>
            <w:r w:rsidRPr="00AD46B1">
              <w:rPr>
                <w:sz w:val="22"/>
                <w:szCs w:val="22"/>
              </w:rPr>
              <w:t>Permits/licensing</w:t>
            </w:r>
          </w:p>
        </w:tc>
        <w:tc>
          <w:tcPr>
            <w:tcW w:w="2789" w:type="dxa"/>
          </w:tcPr>
          <w:p w14:paraId="6E1A0324" w14:textId="77777777" w:rsidR="0087674E" w:rsidRPr="00AD46B1" w:rsidRDefault="0087674E" w:rsidP="00947F41">
            <w:pPr>
              <w:spacing w:before="60" w:after="60"/>
              <w:rPr>
                <w:sz w:val="22"/>
                <w:szCs w:val="22"/>
              </w:rPr>
            </w:pPr>
            <w:r w:rsidRPr="00AD46B1">
              <w:rPr>
                <w:bCs/>
                <w:sz w:val="22"/>
                <w:szCs w:val="22"/>
              </w:rPr>
              <w:t>All permits have been obtained; the asset meets current and foreseeable safety regulations.</w:t>
            </w:r>
          </w:p>
        </w:tc>
        <w:tc>
          <w:tcPr>
            <w:tcW w:w="2790" w:type="dxa"/>
          </w:tcPr>
          <w:p w14:paraId="76F76DAB" w14:textId="77777777" w:rsidR="0087674E" w:rsidRPr="00AD46B1" w:rsidRDefault="0087674E" w:rsidP="00947F41">
            <w:pPr>
              <w:spacing w:before="60" w:after="60"/>
              <w:rPr>
                <w:sz w:val="22"/>
                <w:szCs w:val="22"/>
              </w:rPr>
            </w:pPr>
            <w:r w:rsidRPr="00AD46B1">
              <w:rPr>
                <w:bCs/>
                <w:sz w:val="22"/>
                <w:szCs w:val="22"/>
              </w:rPr>
              <w:t>All permits have been obtained or are in the process of being obtained; the asset meets current and foreseeable safety regulations.</w:t>
            </w:r>
          </w:p>
        </w:tc>
        <w:tc>
          <w:tcPr>
            <w:tcW w:w="2790" w:type="dxa"/>
          </w:tcPr>
          <w:p w14:paraId="0D37210D" w14:textId="77777777" w:rsidR="0087674E" w:rsidRPr="00AD46B1" w:rsidRDefault="0087674E" w:rsidP="00947F41">
            <w:pPr>
              <w:spacing w:before="60" w:after="60"/>
              <w:rPr>
                <w:sz w:val="22"/>
                <w:szCs w:val="22"/>
              </w:rPr>
            </w:pPr>
            <w:r w:rsidRPr="00AD46B1">
              <w:rPr>
                <w:bCs/>
                <w:sz w:val="22"/>
                <w:szCs w:val="22"/>
              </w:rPr>
              <w:t>Most permits have been obtained or are in the process of being obtained; outstanding ones are considered routine; the asset meets current safety regulations.</w:t>
            </w:r>
          </w:p>
        </w:tc>
        <w:tc>
          <w:tcPr>
            <w:tcW w:w="2790" w:type="dxa"/>
          </w:tcPr>
          <w:p w14:paraId="16FBA0CE" w14:textId="77777777" w:rsidR="0087674E" w:rsidRPr="00AD46B1" w:rsidRDefault="0087674E" w:rsidP="00947F41">
            <w:pPr>
              <w:spacing w:before="60" w:after="60"/>
              <w:rPr>
                <w:sz w:val="22"/>
                <w:szCs w:val="22"/>
              </w:rPr>
            </w:pPr>
            <w:r w:rsidRPr="00AD46B1">
              <w:rPr>
                <w:bCs/>
                <w:sz w:val="22"/>
                <w:szCs w:val="22"/>
              </w:rPr>
              <w:t>There are problems in obtaining all required permits; part of the planned configuration and/or planned operations might need to be revised.</w:t>
            </w:r>
          </w:p>
        </w:tc>
      </w:tr>
      <w:tr w:rsidR="0087674E" w:rsidRPr="00AD46B1" w14:paraId="467BB00D" w14:textId="77777777" w:rsidTr="00947F41">
        <w:tc>
          <w:tcPr>
            <w:tcW w:w="2789" w:type="dxa"/>
          </w:tcPr>
          <w:p w14:paraId="22241A6B" w14:textId="77777777" w:rsidR="0087674E" w:rsidRPr="00AD46B1" w:rsidRDefault="0087674E" w:rsidP="00947F41">
            <w:pPr>
              <w:spacing w:before="60" w:after="60"/>
              <w:rPr>
                <w:sz w:val="22"/>
                <w:szCs w:val="22"/>
              </w:rPr>
            </w:pPr>
            <w:r w:rsidRPr="00AD46B1">
              <w:rPr>
                <w:sz w:val="22"/>
                <w:szCs w:val="22"/>
              </w:rPr>
              <w:t xml:space="preserve">Scope and nature of O&amp;M contracts </w:t>
            </w:r>
          </w:p>
        </w:tc>
        <w:tc>
          <w:tcPr>
            <w:tcW w:w="2789" w:type="dxa"/>
          </w:tcPr>
          <w:p w14:paraId="5E163D1B" w14:textId="77777777" w:rsidR="0087674E" w:rsidRPr="00AD46B1" w:rsidRDefault="0087674E" w:rsidP="00947F41">
            <w:pPr>
              <w:spacing w:before="60" w:after="60"/>
              <w:rPr>
                <w:sz w:val="22"/>
                <w:szCs w:val="22"/>
              </w:rPr>
            </w:pPr>
            <w:r w:rsidRPr="00AD46B1">
              <w:rPr>
                <w:sz w:val="22"/>
                <w:szCs w:val="22"/>
              </w:rPr>
              <w:t>There is a strong long-term O&amp;M contract, preferably with contractual performance incentives and/or O&amp;M reserve accounts (if needed).</w:t>
            </w:r>
          </w:p>
        </w:tc>
        <w:tc>
          <w:tcPr>
            <w:tcW w:w="2790" w:type="dxa"/>
          </w:tcPr>
          <w:p w14:paraId="16332488" w14:textId="77777777" w:rsidR="0087674E" w:rsidRPr="00AD46B1" w:rsidRDefault="0087674E" w:rsidP="00947F41">
            <w:pPr>
              <w:spacing w:before="60" w:after="60"/>
              <w:rPr>
                <w:sz w:val="22"/>
                <w:szCs w:val="22"/>
              </w:rPr>
            </w:pPr>
            <w:r w:rsidRPr="00AD46B1">
              <w:rPr>
                <w:sz w:val="22"/>
                <w:szCs w:val="22"/>
              </w:rPr>
              <w:t>There is a long-term O&amp;M contract and/or O&amp;M reserve accounts (if needed).</w:t>
            </w:r>
          </w:p>
        </w:tc>
        <w:tc>
          <w:tcPr>
            <w:tcW w:w="2790" w:type="dxa"/>
          </w:tcPr>
          <w:p w14:paraId="430D2237" w14:textId="77777777" w:rsidR="0087674E" w:rsidRPr="00AD46B1" w:rsidRDefault="0087674E" w:rsidP="00947F41">
            <w:pPr>
              <w:spacing w:before="60" w:after="60"/>
              <w:rPr>
                <w:sz w:val="22"/>
                <w:szCs w:val="22"/>
              </w:rPr>
            </w:pPr>
            <w:r w:rsidRPr="00AD46B1">
              <w:rPr>
                <w:sz w:val="22"/>
                <w:szCs w:val="22"/>
              </w:rPr>
              <w:t>There is a limited O&amp;M contract or O&amp;M reserve account (if needed).</w:t>
            </w:r>
          </w:p>
        </w:tc>
        <w:tc>
          <w:tcPr>
            <w:tcW w:w="2790" w:type="dxa"/>
          </w:tcPr>
          <w:p w14:paraId="69E66348" w14:textId="77777777" w:rsidR="0087674E" w:rsidRPr="00AD46B1" w:rsidRDefault="0087674E" w:rsidP="00947F41">
            <w:pPr>
              <w:spacing w:before="60" w:after="60"/>
              <w:rPr>
                <w:sz w:val="22"/>
                <w:szCs w:val="22"/>
              </w:rPr>
            </w:pPr>
            <w:r w:rsidRPr="00AD46B1">
              <w:rPr>
                <w:sz w:val="22"/>
                <w:szCs w:val="22"/>
              </w:rPr>
              <w:t>There is no O&amp;M contract and a risk of high operational cost overruns beyond mitigants.</w:t>
            </w:r>
          </w:p>
        </w:tc>
      </w:tr>
      <w:tr w:rsidR="0087674E" w:rsidRPr="00AD46B1" w14:paraId="501646A0" w14:textId="77777777" w:rsidTr="00947F41">
        <w:tc>
          <w:tcPr>
            <w:tcW w:w="2789" w:type="dxa"/>
          </w:tcPr>
          <w:p w14:paraId="121DB5F9" w14:textId="77777777" w:rsidR="0087674E" w:rsidRPr="00AD46B1" w:rsidRDefault="0087674E" w:rsidP="00947F41">
            <w:pPr>
              <w:spacing w:before="60" w:after="60"/>
              <w:rPr>
                <w:sz w:val="22"/>
                <w:szCs w:val="22"/>
              </w:rPr>
            </w:pPr>
            <w:r w:rsidRPr="00AD46B1">
              <w:rPr>
                <w:sz w:val="22"/>
                <w:szCs w:val="22"/>
              </w:rPr>
              <w:lastRenderedPageBreak/>
              <w:t>Operator’s financial strength, track record in managing the asset type and capability to re-market asset when it comes off-lease</w:t>
            </w:r>
          </w:p>
        </w:tc>
        <w:tc>
          <w:tcPr>
            <w:tcW w:w="2789" w:type="dxa"/>
          </w:tcPr>
          <w:p w14:paraId="18DABD5E" w14:textId="77777777" w:rsidR="0087674E" w:rsidRPr="00AD46B1" w:rsidRDefault="0087674E" w:rsidP="00947F41">
            <w:pPr>
              <w:spacing w:before="60" w:after="60"/>
              <w:rPr>
                <w:sz w:val="22"/>
                <w:szCs w:val="22"/>
              </w:rPr>
            </w:pPr>
            <w:r w:rsidRPr="00AD46B1">
              <w:rPr>
                <w:sz w:val="22"/>
                <w:szCs w:val="22"/>
              </w:rPr>
              <w:t>Excellent track record and strong re-marketing capability.</w:t>
            </w:r>
          </w:p>
        </w:tc>
        <w:tc>
          <w:tcPr>
            <w:tcW w:w="2790" w:type="dxa"/>
          </w:tcPr>
          <w:p w14:paraId="1A9F8390" w14:textId="77777777" w:rsidR="0087674E" w:rsidRPr="00AD46B1" w:rsidRDefault="0087674E" w:rsidP="00947F41">
            <w:pPr>
              <w:spacing w:before="60" w:after="60"/>
              <w:rPr>
                <w:sz w:val="22"/>
                <w:szCs w:val="22"/>
              </w:rPr>
            </w:pPr>
            <w:r w:rsidRPr="00AD46B1">
              <w:rPr>
                <w:sz w:val="22"/>
                <w:szCs w:val="22"/>
              </w:rPr>
              <w:t>Satisfactory track record and re-marketing capability.</w:t>
            </w:r>
          </w:p>
        </w:tc>
        <w:tc>
          <w:tcPr>
            <w:tcW w:w="2790" w:type="dxa"/>
          </w:tcPr>
          <w:p w14:paraId="7486D891" w14:textId="77777777" w:rsidR="0087674E" w:rsidRPr="00AD46B1" w:rsidRDefault="0087674E" w:rsidP="00947F41">
            <w:pPr>
              <w:spacing w:before="60" w:after="60"/>
              <w:rPr>
                <w:sz w:val="22"/>
                <w:szCs w:val="22"/>
              </w:rPr>
            </w:pPr>
            <w:r w:rsidRPr="00AD46B1">
              <w:rPr>
                <w:sz w:val="22"/>
                <w:szCs w:val="22"/>
              </w:rPr>
              <w:t>Weak or short track record and uncertain re-marketing capability.</w:t>
            </w:r>
          </w:p>
        </w:tc>
        <w:tc>
          <w:tcPr>
            <w:tcW w:w="2790" w:type="dxa"/>
          </w:tcPr>
          <w:p w14:paraId="742F27C9" w14:textId="77777777" w:rsidR="0087674E" w:rsidRPr="00AD46B1" w:rsidRDefault="0087674E" w:rsidP="00947F41">
            <w:pPr>
              <w:spacing w:before="60" w:after="60"/>
              <w:rPr>
                <w:sz w:val="22"/>
                <w:szCs w:val="22"/>
              </w:rPr>
            </w:pPr>
            <w:r w:rsidRPr="00AD46B1">
              <w:rPr>
                <w:sz w:val="22"/>
                <w:szCs w:val="22"/>
              </w:rPr>
              <w:t>No or unknown track record and inability to re</w:t>
            </w:r>
            <w:r w:rsidRPr="00AD46B1">
              <w:rPr>
                <w:sz w:val="22"/>
                <w:szCs w:val="22"/>
              </w:rPr>
              <w:noBreakHyphen/>
              <w:t>market the asset.</w:t>
            </w:r>
          </w:p>
        </w:tc>
      </w:tr>
      <w:tr w:rsidR="0087674E" w:rsidRPr="00AD46B1" w14:paraId="7C76EDBE" w14:textId="77777777" w:rsidTr="00947F41">
        <w:tc>
          <w:tcPr>
            <w:tcW w:w="13948" w:type="dxa"/>
            <w:gridSpan w:val="5"/>
            <w:vAlign w:val="center"/>
          </w:tcPr>
          <w:p w14:paraId="01A044AA" w14:textId="77777777" w:rsidR="0087674E" w:rsidRPr="00AD46B1" w:rsidRDefault="0087674E" w:rsidP="00A12DEF">
            <w:pPr>
              <w:keepNext/>
              <w:spacing w:before="60" w:after="60"/>
              <w:rPr>
                <w:b/>
                <w:sz w:val="22"/>
                <w:szCs w:val="22"/>
              </w:rPr>
            </w:pPr>
            <w:r w:rsidRPr="00AD46B1">
              <w:rPr>
                <w:b/>
                <w:sz w:val="22"/>
                <w:szCs w:val="22"/>
              </w:rPr>
              <w:t>Asset characteristics</w:t>
            </w:r>
          </w:p>
        </w:tc>
      </w:tr>
      <w:tr w:rsidR="0087674E" w:rsidRPr="00AD46B1" w14:paraId="7E1A412F" w14:textId="77777777" w:rsidTr="00947F41">
        <w:tc>
          <w:tcPr>
            <w:tcW w:w="2789" w:type="dxa"/>
          </w:tcPr>
          <w:p w14:paraId="798B96DF" w14:textId="15223155" w:rsidR="0087674E" w:rsidRPr="00AD46B1" w:rsidRDefault="0087674E" w:rsidP="0067295F">
            <w:pPr>
              <w:keepNext/>
              <w:spacing w:before="60" w:after="60"/>
              <w:rPr>
                <w:sz w:val="22"/>
                <w:szCs w:val="22"/>
              </w:rPr>
            </w:pPr>
            <w:r w:rsidRPr="00AD46B1">
              <w:rPr>
                <w:sz w:val="22"/>
                <w:szCs w:val="22"/>
              </w:rPr>
              <w:t>Configuration, size, design and maintenance (</w:t>
            </w:r>
            <w:r w:rsidR="001D2C31" w:rsidRPr="00AD46B1">
              <w:rPr>
                <w:sz w:val="22"/>
                <w:szCs w:val="22"/>
              </w:rPr>
              <w:t>e.g</w:t>
            </w:r>
            <w:r w:rsidRPr="00AD46B1">
              <w:rPr>
                <w:sz w:val="22"/>
                <w:szCs w:val="22"/>
              </w:rPr>
              <w:t>. age, size for a plane) compared to other assets on the same market</w:t>
            </w:r>
          </w:p>
        </w:tc>
        <w:tc>
          <w:tcPr>
            <w:tcW w:w="2789" w:type="dxa"/>
          </w:tcPr>
          <w:p w14:paraId="7B27D056" w14:textId="77777777" w:rsidR="0087674E" w:rsidRPr="00AD46B1" w:rsidRDefault="0087674E" w:rsidP="00947F41">
            <w:pPr>
              <w:spacing w:before="60" w:after="60"/>
              <w:rPr>
                <w:sz w:val="22"/>
                <w:szCs w:val="22"/>
              </w:rPr>
            </w:pPr>
            <w:r w:rsidRPr="00AD46B1">
              <w:rPr>
                <w:sz w:val="22"/>
                <w:szCs w:val="22"/>
              </w:rPr>
              <w:t>There is a strong advantage in design and maintenance. Configuration is standard such that the object meets a liquid market.</w:t>
            </w:r>
          </w:p>
        </w:tc>
        <w:tc>
          <w:tcPr>
            <w:tcW w:w="2790" w:type="dxa"/>
          </w:tcPr>
          <w:p w14:paraId="41705FAA" w14:textId="77777777" w:rsidR="0087674E" w:rsidRPr="00AD46B1" w:rsidRDefault="0087674E" w:rsidP="00947F41">
            <w:pPr>
              <w:spacing w:before="60" w:after="60"/>
              <w:rPr>
                <w:sz w:val="22"/>
                <w:szCs w:val="22"/>
              </w:rPr>
            </w:pPr>
            <w:r w:rsidRPr="00AD46B1">
              <w:rPr>
                <w:sz w:val="22"/>
                <w:szCs w:val="22"/>
              </w:rPr>
              <w:t>The design and maintenance is above average. Standard configuration, possibly with very limited exceptions, such that the object meets a liquid market.</w:t>
            </w:r>
          </w:p>
        </w:tc>
        <w:tc>
          <w:tcPr>
            <w:tcW w:w="2790" w:type="dxa"/>
          </w:tcPr>
          <w:p w14:paraId="0F12D04E" w14:textId="77777777" w:rsidR="0087674E" w:rsidRPr="00AD46B1" w:rsidRDefault="0087674E" w:rsidP="00947F41">
            <w:pPr>
              <w:spacing w:before="60" w:after="60"/>
              <w:rPr>
                <w:sz w:val="22"/>
                <w:szCs w:val="22"/>
              </w:rPr>
            </w:pPr>
            <w:r w:rsidRPr="00AD46B1">
              <w:rPr>
                <w:sz w:val="22"/>
                <w:szCs w:val="22"/>
              </w:rPr>
              <w:t>The design and maintenance is average. Configuration is somewhat specific and thus might cause a narrower market for the object.</w:t>
            </w:r>
          </w:p>
        </w:tc>
        <w:tc>
          <w:tcPr>
            <w:tcW w:w="2790" w:type="dxa"/>
          </w:tcPr>
          <w:p w14:paraId="5FCE081E" w14:textId="77777777" w:rsidR="0087674E" w:rsidRPr="00AD46B1" w:rsidRDefault="0087674E" w:rsidP="00947F41">
            <w:pPr>
              <w:spacing w:before="60" w:after="60"/>
              <w:rPr>
                <w:sz w:val="22"/>
                <w:szCs w:val="22"/>
              </w:rPr>
            </w:pPr>
            <w:r w:rsidRPr="00AD46B1">
              <w:rPr>
                <w:sz w:val="22"/>
                <w:szCs w:val="22"/>
              </w:rPr>
              <w:t>The design and maintenance is below average. The asset is near the end of its economic life. Configuration is very specific. The market for the object is very narrow.</w:t>
            </w:r>
          </w:p>
        </w:tc>
      </w:tr>
      <w:tr w:rsidR="0087674E" w:rsidRPr="00AD46B1" w14:paraId="71AA6BA0" w14:textId="77777777" w:rsidTr="00947F41">
        <w:tc>
          <w:tcPr>
            <w:tcW w:w="2789" w:type="dxa"/>
          </w:tcPr>
          <w:p w14:paraId="5043A38E" w14:textId="77777777" w:rsidR="0087674E" w:rsidRPr="00AD46B1" w:rsidRDefault="0087674E" w:rsidP="00947F41">
            <w:pPr>
              <w:spacing w:before="60" w:after="60"/>
              <w:rPr>
                <w:sz w:val="22"/>
                <w:szCs w:val="22"/>
              </w:rPr>
            </w:pPr>
            <w:r w:rsidRPr="00AD46B1">
              <w:rPr>
                <w:sz w:val="22"/>
                <w:szCs w:val="22"/>
              </w:rPr>
              <w:t>Resale value</w:t>
            </w:r>
          </w:p>
        </w:tc>
        <w:tc>
          <w:tcPr>
            <w:tcW w:w="2789" w:type="dxa"/>
          </w:tcPr>
          <w:p w14:paraId="4DE6659D" w14:textId="77777777" w:rsidR="0087674E" w:rsidRPr="00AD46B1" w:rsidRDefault="0087674E" w:rsidP="00947F41">
            <w:pPr>
              <w:spacing w:before="60" w:after="60"/>
              <w:rPr>
                <w:sz w:val="22"/>
                <w:szCs w:val="22"/>
              </w:rPr>
            </w:pPr>
            <w:r w:rsidRPr="00AD46B1">
              <w:rPr>
                <w:sz w:val="22"/>
                <w:szCs w:val="22"/>
              </w:rPr>
              <w:t>The current resale value is well above debt value.</w:t>
            </w:r>
          </w:p>
        </w:tc>
        <w:tc>
          <w:tcPr>
            <w:tcW w:w="2790" w:type="dxa"/>
          </w:tcPr>
          <w:p w14:paraId="1AD50883" w14:textId="77777777" w:rsidR="0087674E" w:rsidRPr="00AD46B1" w:rsidRDefault="0087674E" w:rsidP="00947F41">
            <w:pPr>
              <w:spacing w:before="60" w:after="60"/>
              <w:rPr>
                <w:sz w:val="22"/>
                <w:szCs w:val="22"/>
              </w:rPr>
            </w:pPr>
            <w:r w:rsidRPr="00AD46B1">
              <w:rPr>
                <w:sz w:val="22"/>
                <w:szCs w:val="22"/>
              </w:rPr>
              <w:t>The resale value is moderately above debt value.</w:t>
            </w:r>
          </w:p>
        </w:tc>
        <w:tc>
          <w:tcPr>
            <w:tcW w:w="2790" w:type="dxa"/>
          </w:tcPr>
          <w:p w14:paraId="79B44036" w14:textId="77777777" w:rsidR="0087674E" w:rsidRPr="00AD46B1" w:rsidRDefault="0087674E" w:rsidP="00947F41">
            <w:pPr>
              <w:spacing w:before="60" w:after="60"/>
              <w:rPr>
                <w:sz w:val="22"/>
                <w:szCs w:val="22"/>
              </w:rPr>
            </w:pPr>
            <w:r w:rsidRPr="00AD46B1">
              <w:rPr>
                <w:sz w:val="22"/>
                <w:szCs w:val="22"/>
              </w:rPr>
              <w:t>The resale value is slightly above debt value.</w:t>
            </w:r>
          </w:p>
        </w:tc>
        <w:tc>
          <w:tcPr>
            <w:tcW w:w="2790" w:type="dxa"/>
          </w:tcPr>
          <w:p w14:paraId="1310416B" w14:textId="77777777" w:rsidR="0087674E" w:rsidRPr="00AD46B1" w:rsidRDefault="0087674E" w:rsidP="00947F41">
            <w:pPr>
              <w:spacing w:before="60" w:after="60"/>
              <w:rPr>
                <w:sz w:val="22"/>
                <w:szCs w:val="22"/>
              </w:rPr>
            </w:pPr>
            <w:r w:rsidRPr="00AD46B1">
              <w:rPr>
                <w:sz w:val="22"/>
                <w:szCs w:val="22"/>
              </w:rPr>
              <w:t>The resale value is below debt value.</w:t>
            </w:r>
          </w:p>
        </w:tc>
      </w:tr>
      <w:tr w:rsidR="0087674E" w:rsidRPr="00AD46B1" w14:paraId="6253E65C" w14:textId="77777777" w:rsidTr="00947F41">
        <w:tc>
          <w:tcPr>
            <w:tcW w:w="2789" w:type="dxa"/>
          </w:tcPr>
          <w:p w14:paraId="31EFDD73" w14:textId="77777777" w:rsidR="0087674E" w:rsidRPr="00AD46B1" w:rsidRDefault="0087674E" w:rsidP="00947F41">
            <w:pPr>
              <w:spacing w:before="60" w:after="60"/>
              <w:rPr>
                <w:sz w:val="22"/>
                <w:szCs w:val="22"/>
              </w:rPr>
            </w:pPr>
            <w:r w:rsidRPr="00AD46B1">
              <w:rPr>
                <w:sz w:val="22"/>
                <w:szCs w:val="22"/>
              </w:rPr>
              <w:t>Sensitivity of the asset value and liquidity to economic cycles</w:t>
            </w:r>
          </w:p>
        </w:tc>
        <w:tc>
          <w:tcPr>
            <w:tcW w:w="2789" w:type="dxa"/>
          </w:tcPr>
          <w:p w14:paraId="5A0F5639" w14:textId="77777777" w:rsidR="0087674E" w:rsidRPr="00AD46B1" w:rsidRDefault="0087674E" w:rsidP="00947F41">
            <w:pPr>
              <w:spacing w:before="60" w:after="60"/>
              <w:rPr>
                <w:sz w:val="22"/>
                <w:szCs w:val="22"/>
              </w:rPr>
            </w:pPr>
            <w:r w:rsidRPr="00AD46B1">
              <w:rPr>
                <w:sz w:val="22"/>
                <w:szCs w:val="22"/>
              </w:rPr>
              <w:t>The asset value and liquidity are relatively insensitive to economic cycles.</w:t>
            </w:r>
          </w:p>
        </w:tc>
        <w:tc>
          <w:tcPr>
            <w:tcW w:w="2790" w:type="dxa"/>
          </w:tcPr>
          <w:p w14:paraId="196BB38F" w14:textId="77777777" w:rsidR="0087674E" w:rsidRPr="00AD46B1" w:rsidRDefault="0087674E" w:rsidP="00947F41">
            <w:pPr>
              <w:spacing w:before="60" w:after="60"/>
              <w:rPr>
                <w:sz w:val="22"/>
                <w:szCs w:val="22"/>
              </w:rPr>
            </w:pPr>
            <w:r w:rsidRPr="00AD46B1">
              <w:rPr>
                <w:sz w:val="22"/>
                <w:szCs w:val="22"/>
              </w:rPr>
              <w:t>The asset value and liquidity are sensitive to economic cycles.</w:t>
            </w:r>
          </w:p>
        </w:tc>
        <w:tc>
          <w:tcPr>
            <w:tcW w:w="2790" w:type="dxa"/>
          </w:tcPr>
          <w:p w14:paraId="53D4292C" w14:textId="77777777" w:rsidR="0087674E" w:rsidRPr="00AD46B1" w:rsidRDefault="0087674E" w:rsidP="00947F41">
            <w:pPr>
              <w:spacing w:before="60" w:after="60"/>
              <w:rPr>
                <w:sz w:val="22"/>
                <w:szCs w:val="22"/>
              </w:rPr>
            </w:pPr>
            <w:r w:rsidRPr="00AD46B1">
              <w:rPr>
                <w:sz w:val="22"/>
                <w:szCs w:val="22"/>
              </w:rPr>
              <w:t>The asset value and liquidity are quite sensitive to economic cycles.</w:t>
            </w:r>
          </w:p>
        </w:tc>
        <w:tc>
          <w:tcPr>
            <w:tcW w:w="2790" w:type="dxa"/>
          </w:tcPr>
          <w:p w14:paraId="0D3C6DFB" w14:textId="77777777" w:rsidR="0087674E" w:rsidRPr="00AD46B1" w:rsidRDefault="0087674E" w:rsidP="00947F41">
            <w:pPr>
              <w:spacing w:before="60" w:after="60"/>
              <w:rPr>
                <w:sz w:val="22"/>
                <w:szCs w:val="22"/>
              </w:rPr>
            </w:pPr>
            <w:r w:rsidRPr="00AD46B1">
              <w:rPr>
                <w:sz w:val="22"/>
                <w:szCs w:val="22"/>
              </w:rPr>
              <w:t>The asset value and liquidity are highly sensitive to economic cycles.</w:t>
            </w:r>
          </w:p>
        </w:tc>
      </w:tr>
      <w:tr w:rsidR="0087674E" w:rsidRPr="00AD46B1" w14:paraId="2B359461" w14:textId="77777777" w:rsidTr="00947F41">
        <w:tc>
          <w:tcPr>
            <w:tcW w:w="13948" w:type="dxa"/>
            <w:gridSpan w:val="5"/>
            <w:vAlign w:val="center"/>
          </w:tcPr>
          <w:p w14:paraId="47B94FC2" w14:textId="77777777" w:rsidR="0087674E" w:rsidRPr="00AD46B1" w:rsidRDefault="0087674E" w:rsidP="00A12DEF">
            <w:pPr>
              <w:keepNext/>
              <w:spacing w:before="60" w:after="60"/>
              <w:rPr>
                <w:b/>
                <w:sz w:val="22"/>
                <w:szCs w:val="22"/>
              </w:rPr>
            </w:pPr>
            <w:r w:rsidRPr="00AD46B1">
              <w:rPr>
                <w:b/>
                <w:sz w:val="22"/>
                <w:szCs w:val="22"/>
              </w:rPr>
              <w:t>Strength of sponsor</w:t>
            </w:r>
          </w:p>
        </w:tc>
      </w:tr>
      <w:tr w:rsidR="0087674E" w:rsidRPr="00AD46B1" w14:paraId="14C0D09C" w14:textId="77777777" w:rsidTr="00947F41">
        <w:tc>
          <w:tcPr>
            <w:tcW w:w="2789" w:type="dxa"/>
          </w:tcPr>
          <w:p w14:paraId="418A0AFB" w14:textId="77777777" w:rsidR="0087674E" w:rsidRPr="00AD46B1" w:rsidRDefault="0087674E" w:rsidP="00947F41">
            <w:pPr>
              <w:spacing w:before="60" w:after="60"/>
              <w:rPr>
                <w:sz w:val="22"/>
                <w:szCs w:val="22"/>
              </w:rPr>
            </w:pPr>
            <w:r w:rsidRPr="00AD46B1">
              <w:rPr>
                <w:sz w:val="22"/>
                <w:szCs w:val="22"/>
              </w:rPr>
              <w:t>Operator’s financial strength, track record in managing the asset type and capability to re-market asset when it comes off-lease</w:t>
            </w:r>
          </w:p>
        </w:tc>
        <w:tc>
          <w:tcPr>
            <w:tcW w:w="2789" w:type="dxa"/>
          </w:tcPr>
          <w:p w14:paraId="67D40C6F" w14:textId="77777777" w:rsidR="0087674E" w:rsidRPr="00AD46B1" w:rsidRDefault="0087674E" w:rsidP="00947F41">
            <w:pPr>
              <w:spacing w:before="60" w:after="60"/>
              <w:rPr>
                <w:sz w:val="22"/>
                <w:szCs w:val="22"/>
              </w:rPr>
            </w:pPr>
            <w:r w:rsidRPr="00AD46B1">
              <w:rPr>
                <w:sz w:val="22"/>
                <w:szCs w:val="22"/>
              </w:rPr>
              <w:t>Excellent track record and strong re-marketing capability.</w:t>
            </w:r>
          </w:p>
        </w:tc>
        <w:tc>
          <w:tcPr>
            <w:tcW w:w="2790" w:type="dxa"/>
          </w:tcPr>
          <w:p w14:paraId="4CEDE294" w14:textId="77777777" w:rsidR="0087674E" w:rsidRPr="00AD46B1" w:rsidRDefault="0087674E" w:rsidP="00947F41">
            <w:pPr>
              <w:spacing w:before="60" w:after="60"/>
              <w:rPr>
                <w:sz w:val="22"/>
                <w:szCs w:val="22"/>
              </w:rPr>
            </w:pPr>
            <w:r w:rsidRPr="00AD46B1">
              <w:rPr>
                <w:sz w:val="22"/>
                <w:szCs w:val="22"/>
              </w:rPr>
              <w:t>Satisfactory track record and re-marketing capability.</w:t>
            </w:r>
          </w:p>
        </w:tc>
        <w:tc>
          <w:tcPr>
            <w:tcW w:w="2790" w:type="dxa"/>
          </w:tcPr>
          <w:p w14:paraId="5D1A22F4" w14:textId="77777777" w:rsidR="0087674E" w:rsidRPr="00AD46B1" w:rsidRDefault="0087674E" w:rsidP="00947F41">
            <w:pPr>
              <w:spacing w:before="60" w:after="60"/>
              <w:rPr>
                <w:sz w:val="22"/>
                <w:szCs w:val="22"/>
              </w:rPr>
            </w:pPr>
            <w:r w:rsidRPr="00AD46B1">
              <w:rPr>
                <w:sz w:val="22"/>
                <w:szCs w:val="22"/>
              </w:rPr>
              <w:t>Weak or short track record and uncertain re-marketing capability.</w:t>
            </w:r>
          </w:p>
        </w:tc>
        <w:tc>
          <w:tcPr>
            <w:tcW w:w="2790" w:type="dxa"/>
          </w:tcPr>
          <w:p w14:paraId="4EBBC6A7" w14:textId="77777777" w:rsidR="0087674E" w:rsidRPr="00AD46B1" w:rsidRDefault="0087674E" w:rsidP="00947F41">
            <w:pPr>
              <w:spacing w:before="60" w:after="60"/>
              <w:rPr>
                <w:sz w:val="22"/>
                <w:szCs w:val="22"/>
              </w:rPr>
            </w:pPr>
            <w:r w:rsidRPr="00AD46B1">
              <w:rPr>
                <w:sz w:val="22"/>
                <w:szCs w:val="22"/>
              </w:rPr>
              <w:t>No or unknown track record and inability to re-market the asset.</w:t>
            </w:r>
          </w:p>
        </w:tc>
      </w:tr>
      <w:tr w:rsidR="0087674E" w:rsidRPr="00AD46B1" w14:paraId="323FD744" w14:textId="77777777" w:rsidTr="00947F41">
        <w:tc>
          <w:tcPr>
            <w:tcW w:w="2789" w:type="dxa"/>
          </w:tcPr>
          <w:p w14:paraId="440F9F47" w14:textId="77777777" w:rsidR="0087674E" w:rsidRPr="00AD46B1" w:rsidRDefault="0087674E" w:rsidP="00947F41">
            <w:pPr>
              <w:spacing w:before="60" w:after="60"/>
              <w:rPr>
                <w:sz w:val="22"/>
                <w:szCs w:val="22"/>
              </w:rPr>
            </w:pPr>
            <w:r w:rsidRPr="00AD46B1">
              <w:rPr>
                <w:sz w:val="22"/>
                <w:szCs w:val="22"/>
              </w:rPr>
              <w:t>Sponsor’s track record and financial strength</w:t>
            </w:r>
          </w:p>
        </w:tc>
        <w:tc>
          <w:tcPr>
            <w:tcW w:w="2789" w:type="dxa"/>
          </w:tcPr>
          <w:p w14:paraId="265E3FE2" w14:textId="77777777" w:rsidR="0087674E" w:rsidRPr="00AD46B1" w:rsidRDefault="0087674E" w:rsidP="00947F41">
            <w:pPr>
              <w:spacing w:before="60" w:after="60"/>
              <w:rPr>
                <w:sz w:val="22"/>
                <w:szCs w:val="22"/>
              </w:rPr>
            </w:pPr>
            <w:r w:rsidRPr="00AD46B1">
              <w:rPr>
                <w:sz w:val="22"/>
                <w:szCs w:val="22"/>
              </w:rPr>
              <w:t>The sponsors have an excellent track record and high financial standing.</w:t>
            </w:r>
          </w:p>
        </w:tc>
        <w:tc>
          <w:tcPr>
            <w:tcW w:w="2790" w:type="dxa"/>
          </w:tcPr>
          <w:p w14:paraId="08C599D2" w14:textId="77777777" w:rsidR="0087674E" w:rsidRPr="00AD46B1" w:rsidRDefault="0087674E" w:rsidP="00947F41">
            <w:pPr>
              <w:spacing w:before="60" w:after="60"/>
              <w:rPr>
                <w:sz w:val="22"/>
                <w:szCs w:val="22"/>
              </w:rPr>
            </w:pPr>
            <w:r w:rsidRPr="00AD46B1">
              <w:rPr>
                <w:iCs/>
                <w:sz w:val="22"/>
                <w:szCs w:val="22"/>
              </w:rPr>
              <w:t>The sponsors have a good track record and good financial standing.</w:t>
            </w:r>
          </w:p>
        </w:tc>
        <w:tc>
          <w:tcPr>
            <w:tcW w:w="2790" w:type="dxa"/>
          </w:tcPr>
          <w:p w14:paraId="1FAAC32A" w14:textId="77777777" w:rsidR="0087674E" w:rsidRPr="00AD46B1" w:rsidRDefault="0087674E" w:rsidP="00947F41">
            <w:pPr>
              <w:spacing w:before="60" w:after="60"/>
              <w:rPr>
                <w:sz w:val="22"/>
                <w:szCs w:val="22"/>
              </w:rPr>
            </w:pPr>
            <w:r w:rsidRPr="00AD46B1">
              <w:rPr>
                <w:sz w:val="22"/>
                <w:szCs w:val="22"/>
              </w:rPr>
              <w:t>The sponsors have an adequate track record and good financial standing.</w:t>
            </w:r>
          </w:p>
        </w:tc>
        <w:tc>
          <w:tcPr>
            <w:tcW w:w="2790" w:type="dxa"/>
          </w:tcPr>
          <w:p w14:paraId="750DECBC" w14:textId="77777777" w:rsidR="0087674E" w:rsidRPr="00AD46B1" w:rsidRDefault="0087674E" w:rsidP="00947F41">
            <w:pPr>
              <w:spacing w:before="60" w:after="60"/>
              <w:rPr>
                <w:sz w:val="22"/>
                <w:szCs w:val="22"/>
              </w:rPr>
            </w:pPr>
            <w:r w:rsidRPr="00AD46B1">
              <w:rPr>
                <w:sz w:val="22"/>
                <w:szCs w:val="22"/>
              </w:rPr>
              <w:t>The sponsors have a questionable/no track record and/or financial weaknesses.</w:t>
            </w:r>
          </w:p>
        </w:tc>
      </w:tr>
      <w:tr w:rsidR="0087674E" w:rsidRPr="00AD46B1" w14:paraId="5CE85664" w14:textId="77777777" w:rsidTr="00947F41">
        <w:tc>
          <w:tcPr>
            <w:tcW w:w="13948" w:type="dxa"/>
            <w:gridSpan w:val="5"/>
            <w:vAlign w:val="center"/>
          </w:tcPr>
          <w:p w14:paraId="563225FE" w14:textId="77777777" w:rsidR="0087674E" w:rsidRPr="00AD46B1" w:rsidRDefault="0087674E" w:rsidP="00A12DEF">
            <w:pPr>
              <w:keepNext/>
              <w:spacing w:before="60" w:after="60"/>
              <w:rPr>
                <w:b/>
                <w:sz w:val="22"/>
                <w:szCs w:val="22"/>
              </w:rPr>
            </w:pPr>
            <w:r w:rsidRPr="00AD46B1">
              <w:rPr>
                <w:b/>
                <w:sz w:val="22"/>
                <w:szCs w:val="22"/>
              </w:rPr>
              <w:lastRenderedPageBreak/>
              <w:t>Security package</w:t>
            </w:r>
          </w:p>
        </w:tc>
      </w:tr>
      <w:tr w:rsidR="0087674E" w:rsidRPr="00AD46B1" w14:paraId="3081346C" w14:textId="77777777" w:rsidTr="00947F41">
        <w:tc>
          <w:tcPr>
            <w:tcW w:w="2789" w:type="dxa"/>
          </w:tcPr>
          <w:p w14:paraId="5847215A" w14:textId="77777777" w:rsidR="0087674E" w:rsidRPr="00AD46B1" w:rsidRDefault="0087674E" w:rsidP="00947F41">
            <w:pPr>
              <w:spacing w:before="60" w:after="60"/>
              <w:rPr>
                <w:sz w:val="22"/>
                <w:szCs w:val="22"/>
              </w:rPr>
            </w:pPr>
            <w:r w:rsidRPr="00AD46B1">
              <w:rPr>
                <w:sz w:val="22"/>
                <w:szCs w:val="22"/>
              </w:rPr>
              <w:t>Asset control</w:t>
            </w:r>
          </w:p>
        </w:tc>
        <w:tc>
          <w:tcPr>
            <w:tcW w:w="2789" w:type="dxa"/>
          </w:tcPr>
          <w:p w14:paraId="3BD77088" w14:textId="77777777" w:rsidR="0087674E" w:rsidRPr="00AD46B1" w:rsidRDefault="0087674E" w:rsidP="00947F41">
            <w:pPr>
              <w:spacing w:before="60" w:after="60"/>
              <w:rPr>
                <w:sz w:val="22"/>
                <w:szCs w:val="22"/>
              </w:rPr>
            </w:pPr>
            <w:r w:rsidRPr="00AD46B1">
              <w:rPr>
                <w:sz w:val="22"/>
                <w:szCs w:val="22"/>
              </w:rPr>
              <w:t>Legal documentation provides the lender effective control (e.g. a first perfected security interest or a leasing structure including such security) on the asset or on the company owning it.</w:t>
            </w:r>
          </w:p>
        </w:tc>
        <w:tc>
          <w:tcPr>
            <w:tcW w:w="2790" w:type="dxa"/>
          </w:tcPr>
          <w:p w14:paraId="5304EE64" w14:textId="77777777" w:rsidR="0087674E" w:rsidRPr="00AD46B1" w:rsidRDefault="0087674E" w:rsidP="00947F41">
            <w:pPr>
              <w:spacing w:before="60" w:after="60"/>
              <w:rPr>
                <w:sz w:val="22"/>
                <w:szCs w:val="22"/>
              </w:rPr>
            </w:pPr>
            <w:r w:rsidRPr="00AD46B1">
              <w:rPr>
                <w:sz w:val="22"/>
                <w:szCs w:val="22"/>
              </w:rPr>
              <w:t>Legal documentation provides the lender effective control (e.g. a perfected security interest or a leasing structure including such security) on the asset or on the company owning it.</w:t>
            </w:r>
          </w:p>
        </w:tc>
        <w:tc>
          <w:tcPr>
            <w:tcW w:w="2790" w:type="dxa"/>
          </w:tcPr>
          <w:p w14:paraId="7F3A5C20" w14:textId="77777777" w:rsidR="0087674E" w:rsidRPr="00AD46B1" w:rsidRDefault="0087674E" w:rsidP="00947F41">
            <w:pPr>
              <w:spacing w:before="60" w:after="60"/>
              <w:rPr>
                <w:sz w:val="22"/>
                <w:szCs w:val="22"/>
              </w:rPr>
            </w:pPr>
            <w:r w:rsidRPr="00AD46B1">
              <w:rPr>
                <w:sz w:val="22"/>
                <w:szCs w:val="22"/>
              </w:rPr>
              <w:t>Legal documentation provides the lender effective control (e.g. a perfected security interest or a leasing structure including such security) on the asset, or on the company owning it.</w:t>
            </w:r>
          </w:p>
        </w:tc>
        <w:tc>
          <w:tcPr>
            <w:tcW w:w="2790" w:type="dxa"/>
          </w:tcPr>
          <w:p w14:paraId="7CED23BE" w14:textId="77777777" w:rsidR="0087674E" w:rsidRPr="00AD46B1" w:rsidRDefault="0087674E" w:rsidP="00947F41">
            <w:pPr>
              <w:spacing w:before="60" w:after="60"/>
              <w:rPr>
                <w:sz w:val="22"/>
                <w:szCs w:val="22"/>
              </w:rPr>
            </w:pPr>
            <w:r w:rsidRPr="00AD46B1">
              <w:rPr>
                <w:sz w:val="22"/>
                <w:szCs w:val="22"/>
              </w:rPr>
              <w:t>The contract provides little security to the lender and leaves room to some risk of losing control on the asset.</w:t>
            </w:r>
          </w:p>
        </w:tc>
      </w:tr>
      <w:tr w:rsidR="0087674E" w:rsidRPr="00AD46B1" w14:paraId="5AB22977" w14:textId="77777777" w:rsidTr="00947F41">
        <w:tc>
          <w:tcPr>
            <w:tcW w:w="2789" w:type="dxa"/>
          </w:tcPr>
          <w:p w14:paraId="67C4EB93" w14:textId="77777777" w:rsidR="0087674E" w:rsidRPr="00AD46B1" w:rsidRDefault="0087674E" w:rsidP="00947F41">
            <w:pPr>
              <w:spacing w:before="60" w:after="60"/>
              <w:rPr>
                <w:sz w:val="22"/>
                <w:szCs w:val="22"/>
              </w:rPr>
            </w:pPr>
            <w:r w:rsidRPr="00AD46B1">
              <w:rPr>
                <w:sz w:val="22"/>
                <w:szCs w:val="22"/>
              </w:rPr>
              <w:t xml:space="preserve">Rights and means at the lender's disposal to monitor the location and condition of the asset </w:t>
            </w:r>
          </w:p>
        </w:tc>
        <w:tc>
          <w:tcPr>
            <w:tcW w:w="2789" w:type="dxa"/>
          </w:tcPr>
          <w:p w14:paraId="088E462A" w14:textId="77777777" w:rsidR="0087674E" w:rsidRPr="00AD46B1" w:rsidRDefault="0087674E" w:rsidP="00947F41">
            <w:pPr>
              <w:spacing w:before="60" w:after="60"/>
              <w:rPr>
                <w:sz w:val="22"/>
                <w:szCs w:val="22"/>
              </w:rPr>
            </w:pPr>
            <w:r w:rsidRPr="00AD46B1">
              <w:rPr>
                <w:sz w:val="22"/>
                <w:szCs w:val="22"/>
              </w:rPr>
              <w:t>The lender is able to monitor the location and condition of the asset at any time and place (regular reports, possibility to lead inspections).</w:t>
            </w:r>
          </w:p>
        </w:tc>
        <w:tc>
          <w:tcPr>
            <w:tcW w:w="2790" w:type="dxa"/>
          </w:tcPr>
          <w:p w14:paraId="552671FA" w14:textId="77777777" w:rsidR="0087674E" w:rsidRPr="00AD46B1" w:rsidRDefault="0087674E" w:rsidP="00947F41">
            <w:pPr>
              <w:spacing w:before="60" w:after="60"/>
              <w:rPr>
                <w:sz w:val="22"/>
                <w:szCs w:val="22"/>
              </w:rPr>
            </w:pPr>
            <w:r w:rsidRPr="00AD46B1">
              <w:rPr>
                <w:sz w:val="22"/>
                <w:szCs w:val="22"/>
              </w:rPr>
              <w:t>The lender is able to monitor the location and condition of the asset almost at any time and place.</w:t>
            </w:r>
          </w:p>
        </w:tc>
        <w:tc>
          <w:tcPr>
            <w:tcW w:w="2790" w:type="dxa"/>
          </w:tcPr>
          <w:p w14:paraId="3EEF70EB" w14:textId="77777777" w:rsidR="0087674E" w:rsidRPr="00AD46B1" w:rsidRDefault="0087674E" w:rsidP="00947F41">
            <w:pPr>
              <w:spacing w:before="60" w:after="60"/>
              <w:rPr>
                <w:sz w:val="22"/>
                <w:szCs w:val="22"/>
              </w:rPr>
            </w:pPr>
            <w:r w:rsidRPr="00AD46B1">
              <w:rPr>
                <w:sz w:val="22"/>
                <w:szCs w:val="22"/>
              </w:rPr>
              <w:t>The lender is able to monitor the location and condition of the asset almost at any time and place.</w:t>
            </w:r>
          </w:p>
        </w:tc>
        <w:tc>
          <w:tcPr>
            <w:tcW w:w="2790" w:type="dxa"/>
          </w:tcPr>
          <w:p w14:paraId="02CBACD5" w14:textId="77777777" w:rsidR="0087674E" w:rsidRPr="00AD46B1" w:rsidRDefault="0087674E" w:rsidP="00947F41">
            <w:pPr>
              <w:spacing w:before="60" w:after="60"/>
              <w:rPr>
                <w:sz w:val="22"/>
                <w:szCs w:val="22"/>
              </w:rPr>
            </w:pPr>
            <w:r w:rsidRPr="00AD46B1">
              <w:rPr>
                <w:sz w:val="22"/>
                <w:szCs w:val="22"/>
              </w:rPr>
              <w:t>The lender has a limited ability to monitor the location and condition of the asset.</w:t>
            </w:r>
          </w:p>
        </w:tc>
      </w:tr>
      <w:tr w:rsidR="0087674E" w:rsidRPr="00AD46B1" w14:paraId="6BCD8C4F" w14:textId="77777777" w:rsidTr="00947F41">
        <w:tc>
          <w:tcPr>
            <w:tcW w:w="2789" w:type="dxa"/>
          </w:tcPr>
          <w:p w14:paraId="7FED9C03" w14:textId="77777777" w:rsidR="0087674E" w:rsidRPr="00AD46B1" w:rsidRDefault="0087674E" w:rsidP="00947F41">
            <w:pPr>
              <w:spacing w:before="60" w:after="60"/>
              <w:rPr>
                <w:sz w:val="22"/>
                <w:szCs w:val="22"/>
              </w:rPr>
            </w:pPr>
            <w:r w:rsidRPr="00AD46B1">
              <w:rPr>
                <w:sz w:val="22"/>
                <w:szCs w:val="22"/>
              </w:rPr>
              <w:t>Insurance against damages</w:t>
            </w:r>
          </w:p>
        </w:tc>
        <w:tc>
          <w:tcPr>
            <w:tcW w:w="2789" w:type="dxa"/>
          </w:tcPr>
          <w:p w14:paraId="59871181" w14:textId="77777777" w:rsidR="0087674E" w:rsidRPr="00AD46B1" w:rsidRDefault="0087674E" w:rsidP="00947F41">
            <w:pPr>
              <w:spacing w:before="60" w:after="60"/>
              <w:rPr>
                <w:sz w:val="22"/>
                <w:szCs w:val="22"/>
              </w:rPr>
            </w:pPr>
            <w:r w:rsidRPr="00AD46B1">
              <w:rPr>
                <w:sz w:val="22"/>
                <w:szCs w:val="22"/>
              </w:rPr>
              <w:t>There is strong insurance coverage including collateral damages with top quality insurance companies.</w:t>
            </w:r>
          </w:p>
        </w:tc>
        <w:tc>
          <w:tcPr>
            <w:tcW w:w="2790" w:type="dxa"/>
          </w:tcPr>
          <w:p w14:paraId="2DB769CA" w14:textId="77777777" w:rsidR="0087674E" w:rsidRPr="00AD46B1" w:rsidRDefault="0087674E" w:rsidP="00947F41">
            <w:pPr>
              <w:spacing w:before="60" w:after="60"/>
              <w:rPr>
                <w:sz w:val="22"/>
                <w:szCs w:val="22"/>
              </w:rPr>
            </w:pPr>
            <w:r w:rsidRPr="00AD46B1">
              <w:rPr>
                <w:sz w:val="22"/>
                <w:szCs w:val="22"/>
              </w:rPr>
              <w:t>The insurance coverage is satisfactory (not including collateral damages) with good quality insurance companies.</w:t>
            </w:r>
          </w:p>
        </w:tc>
        <w:tc>
          <w:tcPr>
            <w:tcW w:w="2790" w:type="dxa"/>
          </w:tcPr>
          <w:p w14:paraId="706241BF" w14:textId="77777777" w:rsidR="0087674E" w:rsidRPr="00AD46B1" w:rsidRDefault="0087674E" w:rsidP="00947F41">
            <w:pPr>
              <w:spacing w:before="60" w:after="60"/>
              <w:rPr>
                <w:sz w:val="22"/>
                <w:szCs w:val="22"/>
              </w:rPr>
            </w:pPr>
            <w:r w:rsidRPr="00AD46B1">
              <w:rPr>
                <w:sz w:val="22"/>
                <w:szCs w:val="22"/>
              </w:rPr>
              <w:t>The insurance coverage is fair (not including collateral damages) with acceptable quality insurance companies.</w:t>
            </w:r>
          </w:p>
        </w:tc>
        <w:tc>
          <w:tcPr>
            <w:tcW w:w="2790" w:type="dxa"/>
          </w:tcPr>
          <w:p w14:paraId="048134A7" w14:textId="77777777" w:rsidR="0087674E" w:rsidRPr="00AD46B1" w:rsidRDefault="0087674E" w:rsidP="00947F41">
            <w:pPr>
              <w:spacing w:before="60" w:after="60"/>
              <w:rPr>
                <w:sz w:val="22"/>
                <w:szCs w:val="22"/>
              </w:rPr>
            </w:pPr>
            <w:r w:rsidRPr="00AD46B1">
              <w:rPr>
                <w:sz w:val="22"/>
                <w:szCs w:val="22"/>
              </w:rPr>
              <w:t>The insurance coverage is weak (not including collateral damages) or with weak quality insurance companies.</w:t>
            </w:r>
          </w:p>
        </w:tc>
      </w:tr>
    </w:tbl>
    <w:p w14:paraId="478CA1E5" w14:textId="5D793A5C" w:rsidR="00471049" w:rsidRDefault="00471049" w:rsidP="00A12DEF">
      <w:pPr>
        <w:spacing w:after="0"/>
      </w:pPr>
      <w:r>
        <w:br w:type="page"/>
      </w:r>
    </w:p>
    <w:p w14:paraId="792B96F2" w14:textId="475CA891" w:rsidR="0087674E" w:rsidRDefault="0087674E" w:rsidP="008A36FD">
      <w:pPr>
        <w:pStyle w:val="TableHeadNumber"/>
      </w:pPr>
      <w:r>
        <w:lastRenderedPageBreak/>
        <w:t>Slotting criteria for commodities finance exposures</w:t>
      </w:r>
    </w:p>
    <w:tbl>
      <w:tblPr>
        <w:tblStyle w:val="TableGrid"/>
        <w:tblW w:w="0" w:type="auto"/>
        <w:tblLook w:val="04A0" w:firstRow="1" w:lastRow="0" w:firstColumn="1" w:lastColumn="0" w:noHBand="0" w:noVBand="1"/>
      </w:tblPr>
      <w:tblGrid>
        <w:gridCol w:w="2789"/>
        <w:gridCol w:w="2789"/>
        <w:gridCol w:w="2790"/>
        <w:gridCol w:w="2790"/>
        <w:gridCol w:w="2790"/>
      </w:tblGrid>
      <w:tr w:rsidR="0087674E" w:rsidRPr="007E2532" w14:paraId="148B7C8D" w14:textId="77777777" w:rsidTr="00947F41">
        <w:trPr>
          <w:tblHeader/>
        </w:trPr>
        <w:tc>
          <w:tcPr>
            <w:tcW w:w="2789" w:type="dxa"/>
          </w:tcPr>
          <w:p w14:paraId="184AAA11" w14:textId="77777777" w:rsidR="0087674E" w:rsidRPr="00AD46B1" w:rsidRDefault="0087674E" w:rsidP="00947F41">
            <w:pPr>
              <w:spacing w:before="60" w:after="60"/>
              <w:rPr>
                <w:sz w:val="22"/>
                <w:szCs w:val="22"/>
              </w:rPr>
            </w:pPr>
          </w:p>
        </w:tc>
        <w:tc>
          <w:tcPr>
            <w:tcW w:w="2789" w:type="dxa"/>
          </w:tcPr>
          <w:p w14:paraId="036B143D" w14:textId="77777777" w:rsidR="0087674E" w:rsidRPr="00AD46B1" w:rsidRDefault="0087674E" w:rsidP="00947F41">
            <w:pPr>
              <w:spacing w:before="60" w:after="60"/>
              <w:jc w:val="center"/>
              <w:rPr>
                <w:b/>
                <w:sz w:val="22"/>
                <w:szCs w:val="22"/>
              </w:rPr>
            </w:pPr>
            <w:r w:rsidRPr="00AD46B1">
              <w:rPr>
                <w:b/>
                <w:sz w:val="22"/>
                <w:szCs w:val="22"/>
              </w:rPr>
              <w:t>Strong</w:t>
            </w:r>
          </w:p>
        </w:tc>
        <w:tc>
          <w:tcPr>
            <w:tcW w:w="2790" w:type="dxa"/>
          </w:tcPr>
          <w:p w14:paraId="3DF41544" w14:textId="77777777" w:rsidR="0087674E" w:rsidRPr="00AD46B1" w:rsidRDefault="0087674E" w:rsidP="00947F41">
            <w:pPr>
              <w:spacing w:before="60" w:after="60"/>
              <w:jc w:val="center"/>
              <w:rPr>
                <w:b/>
                <w:sz w:val="22"/>
                <w:szCs w:val="22"/>
              </w:rPr>
            </w:pPr>
            <w:r w:rsidRPr="00AD46B1">
              <w:rPr>
                <w:b/>
                <w:sz w:val="22"/>
                <w:szCs w:val="22"/>
              </w:rPr>
              <w:t>Good</w:t>
            </w:r>
          </w:p>
        </w:tc>
        <w:tc>
          <w:tcPr>
            <w:tcW w:w="2790" w:type="dxa"/>
          </w:tcPr>
          <w:p w14:paraId="57E0B8E1" w14:textId="77777777" w:rsidR="0087674E" w:rsidRPr="00AD46B1" w:rsidRDefault="0087674E" w:rsidP="00947F41">
            <w:pPr>
              <w:spacing w:before="60" w:after="60"/>
              <w:jc w:val="center"/>
              <w:rPr>
                <w:b/>
                <w:sz w:val="22"/>
                <w:szCs w:val="22"/>
              </w:rPr>
            </w:pPr>
            <w:r w:rsidRPr="00AD46B1">
              <w:rPr>
                <w:b/>
                <w:sz w:val="22"/>
                <w:szCs w:val="22"/>
              </w:rPr>
              <w:t>Satisfactory</w:t>
            </w:r>
          </w:p>
        </w:tc>
        <w:tc>
          <w:tcPr>
            <w:tcW w:w="2790" w:type="dxa"/>
          </w:tcPr>
          <w:p w14:paraId="63216E25" w14:textId="77777777" w:rsidR="0087674E" w:rsidRPr="00AD46B1" w:rsidRDefault="0087674E" w:rsidP="00947F41">
            <w:pPr>
              <w:spacing w:before="60" w:after="60"/>
              <w:jc w:val="center"/>
              <w:rPr>
                <w:b/>
                <w:sz w:val="22"/>
                <w:szCs w:val="22"/>
              </w:rPr>
            </w:pPr>
            <w:r w:rsidRPr="00AD46B1">
              <w:rPr>
                <w:b/>
                <w:sz w:val="22"/>
                <w:szCs w:val="22"/>
              </w:rPr>
              <w:t>Weak</w:t>
            </w:r>
          </w:p>
        </w:tc>
      </w:tr>
      <w:tr w:rsidR="0087674E" w:rsidRPr="007E2532" w14:paraId="1E7B07DD" w14:textId="77777777" w:rsidTr="00947F41">
        <w:tc>
          <w:tcPr>
            <w:tcW w:w="13948" w:type="dxa"/>
            <w:gridSpan w:val="5"/>
          </w:tcPr>
          <w:p w14:paraId="4635F168" w14:textId="77777777" w:rsidR="0087674E" w:rsidRPr="00AD46B1" w:rsidRDefault="0087674E" w:rsidP="00A12DEF">
            <w:pPr>
              <w:keepNext/>
              <w:spacing w:before="60" w:after="60"/>
              <w:rPr>
                <w:b/>
                <w:sz w:val="22"/>
                <w:szCs w:val="22"/>
              </w:rPr>
            </w:pPr>
            <w:r w:rsidRPr="00AD46B1">
              <w:rPr>
                <w:b/>
                <w:sz w:val="22"/>
                <w:szCs w:val="22"/>
              </w:rPr>
              <w:t>Financial Strength</w:t>
            </w:r>
          </w:p>
        </w:tc>
      </w:tr>
      <w:tr w:rsidR="0087674E" w14:paraId="2726CB25" w14:textId="77777777" w:rsidTr="00947F41">
        <w:tc>
          <w:tcPr>
            <w:tcW w:w="2789" w:type="dxa"/>
          </w:tcPr>
          <w:p w14:paraId="70E95E08" w14:textId="77777777" w:rsidR="0087674E" w:rsidRPr="00AD46B1" w:rsidRDefault="0087674E" w:rsidP="00947F41">
            <w:pPr>
              <w:spacing w:before="60" w:after="60"/>
              <w:rPr>
                <w:sz w:val="22"/>
                <w:szCs w:val="22"/>
              </w:rPr>
            </w:pPr>
            <w:r w:rsidRPr="00AD46B1">
              <w:rPr>
                <w:sz w:val="22"/>
                <w:szCs w:val="22"/>
              </w:rPr>
              <w:t>Degree of over-collateralisation of trade</w:t>
            </w:r>
          </w:p>
        </w:tc>
        <w:tc>
          <w:tcPr>
            <w:tcW w:w="2789" w:type="dxa"/>
          </w:tcPr>
          <w:p w14:paraId="43C95450" w14:textId="77777777" w:rsidR="0087674E" w:rsidRPr="00AD46B1" w:rsidRDefault="0087674E" w:rsidP="00947F41">
            <w:pPr>
              <w:spacing w:before="60" w:after="60"/>
              <w:rPr>
                <w:sz w:val="22"/>
                <w:szCs w:val="22"/>
              </w:rPr>
            </w:pPr>
            <w:r w:rsidRPr="00AD46B1">
              <w:rPr>
                <w:sz w:val="22"/>
                <w:szCs w:val="22"/>
              </w:rPr>
              <w:t>Strong.</w:t>
            </w:r>
          </w:p>
        </w:tc>
        <w:tc>
          <w:tcPr>
            <w:tcW w:w="2790" w:type="dxa"/>
          </w:tcPr>
          <w:p w14:paraId="1DB46133" w14:textId="77777777" w:rsidR="0087674E" w:rsidRPr="00AD46B1" w:rsidRDefault="0087674E" w:rsidP="00947F41">
            <w:pPr>
              <w:spacing w:before="60" w:after="60"/>
              <w:rPr>
                <w:sz w:val="22"/>
                <w:szCs w:val="22"/>
              </w:rPr>
            </w:pPr>
            <w:r w:rsidRPr="00AD46B1">
              <w:rPr>
                <w:sz w:val="22"/>
                <w:szCs w:val="22"/>
              </w:rPr>
              <w:t>Good.</w:t>
            </w:r>
          </w:p>
        </w:tc>
        <w:tc>
          <w:tcPr>
            <w:tcW w:w="2790" w:type="dxa"/>
          </w:tcPr>
          <w:p w14:paraId="2C0196BA" w14:textId="77777777" w:rsidR="0087674E" w:rsidRPr="00AD46B1" w:rsidRDefault="0087674E" w:rsidP="00947F41">
            <w:pPr>
              <w:spacing w:before="60" w:after="60"/>
              <w:rPr>
                <w:sz w:val="22"/>
                <w:szCs w:val="22"/>
              </w:rPr>
            </w:pPr>
            <w:r w:rsidRPr="00AD46B1">
              <w:rPr>
                <w:sz w:val="22"/>
                <w:szCs w:val="22"/>
              </w:rPr>
              <w:t>Satisfactory.</w:t>
            </w:r>
          </w:p>
        </w:tc>
        <w:tc>
          <w:tcPr>
            <w:tcW w:w="2790" w:type="dxa"/>
          </w:tcPr>
          <w:p w14:paraId="5400360F" w14:textId="77777777" w:rsidR="0087674E" w:rsidRPr="00AD46B1" w:rsidRDefault="0087674E" w:rsidP="00947F41">
            <w:pPr>
              <w:spacing w:before="60" w:after="60"/>
              <w:rPr>
                <w:sz w:val="22"/>
                <w:szCs w:val="22"/>
              </w:rPr>
            </w:pPr>
            <w:r w:rsidRPr="00AD46B1">
              <w:rPr>
                <w:sz w:val="22"/>
                <w:szCs w:val="22"/>
              </w:rPr>
              <w:t>Weak.</w:t>
            </w:r>
          </w:p>
        </w:tc>
      </w:tr>
      <w:tr w:rsidR="0087674E" w14:paraId="01A5B501" w14:textId="77777777" w:rsidTr="00947F41">
        <w:tc>
          <w:tcPr>
            <w:tcW w:w="13948" w:type="dxa"/>
            <w:gridSpan w:val="5"/>
            <w:vAlign w:val="center"/>
          </w:tcPr>
          <w:p w14:paraId="164C2149" w14:textId="77777777" w:rsidR="0087674E" w:rsidRPr="00AD46B1" w:rsidRDefault="0087674E" w:rsidP="00A12DEF">
            <w:pPr>
              <w:keepNext/>
              <w:spacing w:before="60" w:after="60"/>
              <w:rPr>
                <w:b/>
                <w:sz w:val="22"/>
                <w:szCs w:val="22"/>
              </w:rPr>
            </w:pPr>
            <w:r w:rsidRPr="00AD46B1">
              <w:rPr>
                <w:b/>
                <w:sz w:val="22"/>
                <w:szCs w:val="22"/>
              </w:rPr>
              <w:t>Political and legal environment</w:t>
            </w:r>
          </w:p>
        </w:tc>
      </w:tr>
      <w:tr w:rsidR="0087674E" w14:paraId="2F2F2540" w14:textId="77777777" w:rsidTr="00947F41">
        <w:tc>
          <w:tcPr>
            <w:tcW w:w="2789" w:type="dxa"/>
          </w:tcPr>
          <w:p w14:paraId="4D1DA5C7" w14:textId="77777777" w:rsidR="0087674E" w:rsidRPr="00AD46B1" w:rsidRDefault="0087674E" w:rsidP="00947F41">
            <w:pPr>
              <w:spacing w:before="60" w:after="60"/>
              <w:rPr>
                <w:sz w:val="22"/>
                <w:szCs w:val="22"/>
              </w:rPr>
            </w:pPr>
            <w:r w:rsidRPr="00AD46B1">
              <w:rPr>
                <w:bCs/>
                <w:sz w:val="22"/>
                <w:szCs w:val="22"/>
              </w:rPr>
              <w:t>Country risk</w:t>
            </w:r>
          </w:p>
        </w:tc>
        <w:tc>
          <w:tcPr>
            <w:tcW w:w="2789" w:type="dxa"/>
          </w:tcPr>
          <w:p w14:paraId="056DA8E7" w14:textId="77777777" w:rsidR="0087674E" w:rsidRPr="00AD46B1" w:rsidRDefault="0087674E" w:rsidP="00947F41">
            <w:pPr>
              <w:pStyle w:val="TableText"/>
              <w:spacing w:before="60"/>
              <w:rPr>
                <w:rFonts w:ascii="Times New Roman" w:hAnsi="Times New Roman"/>
                <w:sz w:val="22"/>
                <w:szCs w:val="22"/>
              </w:rPr>
            </w:pPr>
            <w:r w:rsidRPr="00AD46B1">
              <w:rPr>
                <w:rFonts w:ascii="Times New Roman" w:hAnsi="Times New Roman"/>
                <w:sz w:val="22"/>
                <w:szCs w:val="22"/>
              </w:rPr>
              <w:t>No country risk.</w:t>
            </w:r>
          </w:p>
          <w:p w14:paraId="5AF54A2F" w14:textId="77777777" w:rsidR="0087674E" w:rsidRPr="00AD46B1" w:rsidRDefault="0087674E" w:rsidP="00947F41">
            <w:pPr>
              <w:spacing w:before="60" w:after="60"/>
              <w:rPr>
                <w:sz w:val="22"/>
                <w:szCs w:val="22"/>
              </w:rPr>
            </w:pPr>
          </w:p>
        </w:tc>
        <w:tc>
          <w:tcPr>
            <w:tcW w:w="2790" w:type="dxa"/>
          </w:tcPr>
          <w:p w14:paraId="0F2BC39F" w14:textId="76831516" w:rsidR="0087674E" w:rsidRPr="00AD46B1" w:rsidRDefault="0087674E" w:rsidP="00947F41">
            <w:pPr>
              <w:spacing w:before="60" w:after="60"/>
              <w:rPr>
                <w:sz w:val="22"/>
                <w:szCs w:val="22"/>
              </w:rPr>
            </w:pPr>
            <w:r w:rsidRPr="00AD46B1">
              <w:rPr>
                <w:sz w:val="22"/>
                <w:szCs w:val="22"/>
              </w:rPr>
              <w:t>There is limited exposure to country risk (</w:t>
            </w:r>
            <w:r w:rsidR="001D2C31" w:rsidRPr="00AD46B1">
              <w:rPr>
                <w:sz w:val="22"/>
                <w:szCs w:val="22"/>
              </w:rPr>
              <w:t>including</w:t>
            </w:r>
            <w:r w:rsidRPr="00AD46B1">
              <w:rPr>
                <w:sz w:val="22"/>
                <w:szCs w:val="22"/>
              </w:rPr>
              <w:t xml:space="preserve"> offshore location of reserves in an emerging country).</w:t>
            </w:r>
          </w:p>
        </w:tc>
        <w:tc>
          <w:tcPr>
            <w:tcW w:w="2790" w:type="dxa"/>
          </w:tcPr>
          <w:p w14:paraId="1CFC565F" w14:textId="3C2A9685" w:rsidR="0087674E" w:rsidRPr="00AD46B1" w:rsidRDefault="0087674E" w:rsidP="00947F41">
            <w:pPr>
              <w:spacing w:before="60" w:after="60"/>
              <w:rPr>
                <w:sz w:val="22"/>
                <w:szCs w:val="22"/>
              </w:rPr>
            </w:pPr>
            <w:r w:rsidRPr="00AD46B1">
              <w:rPr>
                <w:sz w:val="22"/>
                <w:szCs w:val="22"/>
              </w:rPr>
              <w:t>There is some exposure to country risk (</w:t>
            </w:r>
            <w:r w:rsidR="00E117FF" w:rsidRPr="00AD46B1">
              <w:rPr>
                <w:sz w:val="22"/>
                <w:szCs w:val="22"/>
              </w:rPr>
              <w:t>including</w:t>
            </w:r>
            <w:r w:rsidRPr="00AD46B1">
              <w:rPr>
                <w:sz w:val="22"/>
                <w:szCs w:val="22"/>
              </w:rPr>
              <w:t xml:space="preserve"> offshore location of reserves in an emerging country).</w:t>
            </w:r>
          </w:p>
        </w:tc>
        <w:tc>
          <w:tcPr>
            <w:tcW w:w="2790" w:type="dxa"/>
          </w:tcPr>
          <w:p w14:paraId="178A496A" w14:textId="1D360861" w:rsidR="0087674E" w:rsidRPr="00AD46B1" w:rsidRDefault="0087674E" w:rsidP="00947F41">
            <w:pPr>
              <w:spacing w:before="60" w:after="60"/>
              <w:rPr>
                <w:sz w:val="22"/>
                <w:szCs w:val="22"/>
              </w:rPr>
            </w:pPr>
            <w:r w:rsidRPr="00AD46B1">
              <w:rPr>
                <w:sz w:val="22"/>
                <w:szCs w:val="22"/>
              </w:rPr>
              <w:t>There is strong exposure to country risk (</w:t>
            </w:r>
            <w:r w:rsidR="00E117FF" w:rsidRPr="00AD46B1">
              <w:rPr>
                <w:sz w:val="22"/>
                <w:szCs w:val="22"/>
              </w:rPr>
              <w:t>including</w:t>
            </w:r>
            <w:r w:rsidRPr="00AD46B1">
              <w:rPr>
                <w:sz w:val="22"/>
                <w:szCs w:val="22"/>
              </w:rPr>
              <w:t xml:space="preserve"> inland reserves in an emerging country).</w:t>
            </w:r>
          </w:p>
        </w:tc>
      </w:tr>
      <w:tr w:rsidR="0087674E" w14:paraId="40604004" w14:textId="77777777" w:rsidTr="00947F41">
        <w:tc>
          <w:tcPr>
            <w:tcW w:w="2789" w:type="dxa"/>
          </w:tcPr>
          <w:p w14:paraId="3EB4D580" w14:textId="77777777" w:rsidR="0087674E" w:rsidRPr="00AD46B1" w:rsidRDefault="0087674E" w:rsidP="00947F41">
            <w:pPr>
              <w:spacing w:before="60" w:after="60"/>
              <w:rPr>
                <w:sz w:val="22"/>
                <w:szCs w:val="22"/>
              </w:rPr>
            </w:pPr>
            <w:r w:rsidRPr="00AD46B1">
              <w:rPr>
                <w:sz w:val="22"/>
                <w:szCs w:val="22"/>
              </w:rPr>
              <w:t>Mitigation of country risks</w:t>
            </w:r>
          </w:p>
        </w:tc>
        <w:tc>
          <w:tcPr>
            <w:tcW w:w="2789" w:type="dxa"/>
          </w:tcPr>
          <w:p w14:paraId="3A6F73C1" w14:textId="0C02BBF4" w:rsidR="0087674E" w:rsidRPr="00AD46B1" w:rsidRDefault="0087674E" w:rsidP="00947F41">
            <w:pPr>
              <w:spacing w:before="60" w:after="60"/>
              <w:rPr>
                <w:sz w:val="22"/>
                <w:szCs w:val="22"/>
              </w:rPr>
            </w:pPr>
            <w:r w:rsidRPr="00AD46B1">
              <w:rPr>
                <w:sz w:val="22"/>
                <w:szCs w:val="22"/>
              </w:rPr>
              <w:t>Very strong mitigation. Strong offshore mechanisms. Strategic commodity. Excellent buyer.</w:t>
            </w:r>
          </w:p>
        </w:tc>
        <w:tc>
          <w:tcPr>
            <w:tcW w:w="2790" w:type="dxa"/>
          </w:tcPr>
          <w:p w14:paraId="60B88E4D" w14:textId="5FF13F54" w:rsidR="0087674E" w:rsidRPr="00AD46B1" w:rsidRDefault="0087674E" w:rsidP="00947F41">
            <w:pPr>
              <w:spacing w:before="60" w:after="60"/>
              <w:rPr>
                <w:sz w:val="22"/>
                <w:szCs w:val="22"/>
              </w:rPr>
            </w:pPr>
            <w:r w:rsidRPr="00AD46B1">
              <w:rPr>
                <w:sz w:val="22"/>
                <w:szCs w:val="22"/>
              </w:rPr>
              <w:t>Strong mitigation. Offshore mechanisms. Strategic commodity. Strong buyer.</w:t>
            </w:r>
          </w:p>
        </w:tc>
        <w:tc>
          <w:tcPr>
            <w:tcW w:w="2790" w:type="dxa"/>
          </w:tcPr>
          <w:p w14:paraId="2337FBFD" w14:textId="77777777" w:rsidR="0087674E" w:rsidRPr="00AD46B1" w:rsidRDefault="0087674E" w:rsidP="00947F41">
            <w:pPr>
              <w:spacing w:before="60" w:after="60"/>
              <w:rPr>
                <w:sz w:val="22"/>
                <w:szCs w:val="22"/>
              </w:rPr>
            </w:pPr>
            <w:r w:rsidRPr="00AD46B1">
              <w:rPr>
                <w:sz w:val="22"/>
                <w:szCs w:val="22"/>
              </w:rPr>
              <w:t>Acceptable mitigation. Offshore mechanisms. Less strategic commodity. Acceptable buyer.</w:t>
            </w:r>
          </w:p>
        </w:tc>
        <w:tc>
          <w:tcPr>
            <w:tcW w:w="2790" w:type="dxa"/>
          </w:tcPr>
          <w:p w14:paraId="35CACE7C" w14:textId="77777777" w:rsidR="0087674E" w:rsidRPr="00AD46B1" w:rsidRDefault="0087674E" w:rsidP="00947F41">
            <w:pPr>
              <w:spacing w:before="60" w:after="60"/>
              <w:rPr>
                <w:sz w:val="22"/>
                <w:szCs w:val="22"/>
              </w:rPr>
            </w:pPr>
            <w:r w:rsidRPr="00AD46B1">
              <w:rPr>
                <w:sz w:val="22"/>
                <w:szCs w:val="22"/>
              </w:rPr>
              <w:t>Only partial mitigation. No offshore mechanisms. Non-strategic commodity. Weak buyer.</w:t>
            </w:r>
          </w:p>
        </w:tc>
      </w:tr>
      <w:tr w:rsidR="0087674E" w14:paraId="48C25736" w14:textId="77777777" w:rsidTr="00947F41">
        <w:tc>
          <w:tcPr>
            <w:tcW w:w="13948" w:type="dxa"/>
            <w:gridSpan w:val="5"/>
            <w:vAlign w:val="center"/>
          </w:tcPr>
          <w:p w14:paraId="4784B28B" w14:textId="77777777" w:rsidR="0087674E" w:rsidRPr="00AD46B1" w:rsidRDefault="0087674E" w:rsidP="00A12DEF">
            <w:pPr>
              <w:keepNext/>
              <w:spacing w:before="60" w:after="60"/>
              <w:rPr>
                <w:b/>
                <w:sz w:val="22"/>
                <w:szCs w:val="22"/>
              </w:rPr>
            </w:pPr>
            <w:r w:rsidRPr="00AD46B1">
              <w:rPr>
                <w:b/>
                <w:sz w:val="22"/>
                <w:szCs w:val="22"/>
              </w:rPr>
              <w:t>Asset characteristics</w:t>
            </w:r>
          </w:p>
        </w:tc>
      </w:tr>
      <w:tr w:rsidR="0087674E" w14:paraId="650A4653" w14:textId="77777777" w:rsidTr="00947F41">
        <w:tc>
          <w:tcPr>
            <w:tcW w:w="2789" w:type="dxa"/>
          </w:tcPr>
          <w:p w14:paraId="62988EDA" w14:textId="77777777" w:rsidR="0087674E" w:rsidRPr="00AD46B1" w:rsidRDefault="0087674E" w:rsidP="00947F41">
            <w:pPr>
              <w:spacing w:before="60" w:after="60"/>
              <w:rPr>
                <w:sz w:val="22"/>
                <w:szCs w:val="22"/>
              </w:rPr>
            </w:pPr>
            <w:r w:rsidRPr="00AD46B1">
              <w:rPr>
                <w:sz w:val="22"/>
                <w:szCs w:val="22"/>
              </w:rPr>
              <w:t>Liquidity and susceptibility to damage</w:t>
            </w:r>
          </w:p>
        </w:tc>
        <w:tc>
          <w:tcPr>
            <w:tcW w:w="2789" w:type="dxa"/>
          </w:tcPr>
          <w:p w14:paraId="11AD320A" w14:textId="7AE045BA" w:rsidR="0087674E" w:rsidRPr="00AD46B1" w:rsidRDefault="0087674E" w:rsidP="00947F41">
            <w:pPr>
              <w:spacing w:before="60" w:after="60"/>
              <w:rPr>
                <w:sz w:val="22"/>
                <w:szCs w:val="22"/>
              </w:rPr>
            </w:pPr>
            <w:r w:rsidRPr="00AD46B1">
              <w:rPr>
                <w:sz w:val="22"/>
                <w:szCs w:val="22"/>
              </w:rPr>
              <w:t>The commodity is quoted and can be hedged through futures or OTC instruments. The commodity is not susceptible to damage.</w:t>
            </w:r>
          </w:p>
        </w:tc>
        <w:tc>
          <w:tcPr>
            <w:tcW w:w="2790" w:type="dxa"/>
          </w:tcPr>
          <w:p w14:paraId="3C65723D" w14:textId="77777777" w:rsidR="0087674E" w:rsidRPr="00AD46B1" w:rsidRDefault="0087674E" w:rsidP="00947F41">
            <w:pPr>
              <w:spacing w:before="60" w:after="60"/>
              <w:rPr>
                <w:sz w:val="22"/>
                <w:szCs w:val="22"/>
              </w:rPr>
            </w:pPr>
            <w:r w:rsidRPr="00AD46B1">
              <w:rPr>
                <w:sz w:val="22"/>
                <w:szCs w:val="22"/>
              </w:rPr>
              <w:t>The commodity is quoted and can be hedged through OTC instruments. The commodity is not susceptible to damage.</w:t>
            </w:r>
          </w:p>
        </w:tc>
        <w:tc>
          <w:tcPr>
            <w:tcW w:w="2790" w:type="dxa"/>
          </w:tcPr>
          <w:p w14:paraId="1ADC6860" w14:textId="77777777" w:rsidR="0087674E" w:rsidRPr="00AD46B1" w:rsidRDefault="0087674E" w:rsidP="00947F41">
            <w:pPr>
              <w:spacing w:before="60" w:after="60"/>
              <w:rPr>
                <w:sz w:val="22"/>
                <w:szCs w:val="22"/>
              </w:rPr>
            </w:pPr>
            <w:r w:rsidRPr="00AD46B1">
              <w:rPr>
                <w:sz w:val="22"/>
                <w:szCs w:val="22"/>
              </w:rPr>
              <w:t>The commodity is not quoted but is liquid. There is uncertainty about the possibility of hedging. The commodity is not susceptible to damage.</w:t>
            </w:r>
          </w:p>
        </w:tc>
        <w:tc>
          <w:tcPr>
            <w:tcW w:w="2790" w:type="dxa"/>
          </w:tcPr>
          <w:p w14:paraId="149CF907" w14:textId="77777777" w:rsidR="0087674E" w:rsidRPr="00AD46B1" w:rsidRDefault="0087674E" w:rsidP="00947F41">
            <w:pPr>
              <w:spacing w:before="60" w:after="60"/>
              <w:rPr>
                <w:sz w:val="22"/>
                <w:szCs w:val="22"/>
              </w:rPr>
            </w:pPr>
            <w:r w:rsidRPr="00AD46B1">
              <w:rPr>
                <w:sz w:val="22"/>
                <w:szCs w:val="22"/>
              </w:rPr>
              <w:t>The commodity is not quoted. Liquidity is limited given the size and depth of the market. There are no appropriate hedging instruments. The commodity is susceptible to damage.</w:t>
            </w:r>
          </w:p>
        </w:tc>
      </w:tr>
      <w:tr w:rsidR="0087674E" w14:paraId="5D416B8B" w14:textId="77777777" w:rsidTr="00947F41">
        <w:tc>
          <w:tcPr>
            <w:tcW w:w="13948" w:type="dxa"/>
            <w:gridSpan w:val="5"/>
            <w:vAlign w:val="center"/>
          </w:tcPr>
          <w:p w14:paraId="5638D49D" w14:textId="77777777" w:rsidR="0087674E" w:rsidRPr="00AD46B1" w:rsidRDefault="0087674E" w:rsidP="00A12DEF">
            <w:pPr>
              <w:keepNext/>
              <w:spacing w:before="60" w:after="60"/>
              <w:rPr>
                <w:b/>
                <w:sz w:val="22"/>
                <w:szCs w:val="22"/>
              </w:rPr>
            </w:pPr>
            <w:r w:rsidRPr="00AD46B1">
              <w:rPr>
                <w:b/>
                <w:sz w:val="22"/>
                <w:szCs w:val="22"/>
              </w:rPr>
              <w:lastRenderedPageBreak/>
              <w:t>Strength of sponsor</w:t>
            </w:r>
          </w:p>
        </w:tc>
      </w:tr>
      <w:tr w:rsidR="0087674E" w14:paraId="1BC2AFF2" w14:textId="77777777" w:rsidTr="00947F41">
        <w:tc>
          <w:tcPr>
            <w:tcW w:w="2789" w:type="dxa"/>
          </w:tcPr>
          <w:p w14:paraId="31C78B8A" w14:textId="77777777" w:rsidR="0087674E" w:rsidRPr="00AD46B1" w:rsidRDefault="0087674E" w:rsidP="00471049">
            <w:pPr>
              <w:keepNext/>
              <w:spacing w:before="60" w:after="60"/>
              <w:rPr>
                <w:sz w:val="22"/>
                <w:szCs w:val="22"/>
              </w:rPr>
            </w:pPr>
            <w:r w:rsidRPr="00AD46B1">
              <w:rPr>
                <w:sz w:val="22"/>
                <w:szCs w:val="22"/>
              </w:rPr>
              <w:t>Financial strength of trader</w:t>
            </w:r>
          </w:p>
        </w:tc>
        <w:tc>
          <w:tcPr>
            <w:tcW w:w="2789" w:type="dxa"/>
          </w:tcPr>
          <w:p w14:paraId="4F40F104" w14:textId="77777777" w:rsidR="0087674E" w:rsidRPr="00AD46B1" w:rsidRDefault="0087674E" w:rsidP="00947F41">
            <w:pPr>
              <w:spacing w:before="60" w:after="60"/>
              <w:rPr>
                <w:sz w:val="22"/>
                <w:szCs w:val="22"/>
              </w:rPr>
            </w:pPr>
            <w:r w:rsidRPr="00AD46B1">
              <w:rPr>
                <w:sz w:val="22"/>
                <w:szCs w:val="22"/>
              </w:rPr>
              <w:t>Very strong, relative to trading philosophy and risks.</w:t>
            </w:r>
          </w:p>
        </w:tc>
        <w:tc>
          <w:tcPr>
            <w:tcW w:w="2790" w:type="dxa"/>
          </w:tcPr>
          <w:p w14:paraId="096B1606" w14:textId="77777777" w:rsidR="0087674E" w:rsidRPr="00AD46B1" w:rsidRDefault="0087674E" w:rsidP="00947F41">
            <w:pPr>
              <w:spacing w:before="60" w:after="60"/>
              <w:rPr>
                <w:sz w:val="22"/>
                <w:szCs w:val="22"/>
              </w:rPr>
            </w:pPr>
            <w:r w:rsidRPr="00AD46B1">
              <w:rPr>
                <w:sz w:val="22"/>
                <w:szCs w:val="22"/>
              </w:rPr>
              <w:t>Strong relative to trading philosophy and risks.</w:t>
            </w:r>
          </w:p>
        </w:tc>
        <w:tc>
          <w:tcPr>
            <w:tcW w:w="2790" w:type="dxa"/>
          </w:tcPr>
          <w:p w14:paraId="6C38A969" w14:textId="77777777" w:rsidR="0087674E" w:rsidRPr="00AD46B1" w:rsidRDefault="0087674E" w:rsidP="00947F41">
            <w:pPr>
              <w:spacing w:before="60" w:after="60"/>
              <w:rPr>
                <w:sz w:val="22"/>
                <w:szCs w:val="22"/>
              </w:rPr>
            </w:pPr>
            <w:r w:rsidRPr="00AD46B1">
              <w:rPr>
                <w:sz w:val="22"/>
                <w:szCs w:val="22"/>
              </w:rPr>
              <w:t>Adequate relative to trading philosophy and risks.</w:t>
            </w:r>
          </w:p>
        </w:tc>
        <w:tc>
          <w:tcPr>
            <w:tcW w:w="2790" w:type="dxa"/>
          </w:tcPr>
          <w:p w14:paraId="54C81B0D" w14:textId="77777777" w:rsidR="0087674E" w:rsidRPr="00AD46B1" w:rsidRDefault="0087674E" w:rsidP="00947F41">
            <w:pPr>
              <w:spacing w:before="60" w:after="60"/>
              <w:rPr>
                <w:sz w:val="22"/>
                <w:szCs w:val="22"/>
              </w:rPr>
            </w:pPr>
            <w:r w:rsidRPr="00AD46B1">
              <w:rPr>
                <w:sz w:val="22"/>
                <w:szCs w:val="22"/>
              </w:rPr>
              <w:t>Weak relative to trading philosophy and risks.</w:t>
            </w:r>
          </w:p>
        </w:tc>
      </w:tr>
      <w:tr w:rsidR="0087674E" w14:paraId="58156352" w14:textId="77777777" w:rsidTr="00947F41">
        <w:tc>
          <w:tcPr>
            <w:tcW w:w="2789" w:type="dxa"/>
          </w:tcPr>
          <w:p w14:paraId="16E491CF" w14:textId="77777777" w:rsidR="0087674E" w:rsidRPr="00AD46B1" w:rsidRDefault="0087674E" w:rsidP="00947F41">
            <w:pPr>
              <w:spacing w:before="60" w:after="60"/>
              <w:rPr>
                <w:sz w:val="22"/>
                <w:szCs w:val="22"/>
              </w:rPr>
            </w:pPr>
            <w:r w:rsidRPr="00AD46B1">
              <w:rPr>
                <w:sz w:val="22"/>
                <w:szCs w:val="22"/>
              </w:rPr>
              <w:t>Track record, including ability to manage the logistic process</w:t>
            </w:r>
          </w:p>
        </w:tc>
        <w:tc>
          <w:tcPr>
            <w:tcW w:w="2789" w:type="dxa"/>
          </w:tcPr>
          <w:p w14:paraId="59BA8332" w14:textId="77777777" w:rsidR="0087674E" w:rsidRPr="00AD46B1" w:rsidRDefault="0087674E" w:rsidP="00947F41">
            <w:pPr>
              <w:spacing w:before="60" w:after="60"/>
              <w:rPr>
                <w:sz w:val="22"/>
                <w:szCs w:val="22"/>
              </w:rPr>
            </w:pPr>
            <w:r w:rsidRPr="00AD46B1">
              <w:rPr>
                <w:sz w:val="22"/>
                <w:szCs w:val="22"/>
              </w:rPr>
              <w:t>Extensive experience with the type of transaction in question. Strong record of operating success and cost efficiency.</w:t>
            </w:r>
          </w:p>
        </w:tc>
        <w:tc>
          <w:tcPr>
            <w:tcW w:w="2790" w:type="dxa"/>
          </w:tcPr>
          <w:p w14:paraId="6347FC90" w14:textId="77777777" w:rsidR="0087674E" w:rsidRPr="00AD46B1" w:rsidRDefault="0087674E" w:rsidP="00947F41">
            <w:pPr>
              <w:spacing w:before="60" w:after="60"/>
              <w:rPr>
                <w:sz w:val="22"/>
                <w:szCs w:val="22"/>
              </w:rPr>
            </w:pPr>
            <w:r w:rsidRPr="00AD46B1">
              <w:rPr>
                <w:sz w:val="22"/>
                <w:szCs w:val="22"/>
              </w:rPr>
              <w:t>Sufficient experience with the type of transaction in question. Above average record of operating success and cost efficiency.</w:t>
            </w:r>
          </w:p>
        </w:tc>
        <w:tc>
          <w:tcPr>
            <w:tcW w:w="2790" w:type="dxa"/>
          </w:tcPr>
          <w:p w14:paraId="5BB113A0" w14:textId="77777777" w:rsidR="0087674E" w:rsidRPr="00AD46B1" w:rsidRDefault="0087674E" w:rsidP="00947F41">
            <w:pPr>
              <w:spacing w:before="60" w:after="60"/>
              <w:rPr>
                <w:sz w:val="22"/>
                <w:szCs w:val="22"/>
              </w:rPr>
            </w:pPr>
            <w:r w:rsidRPr="00AD46B1">
              <w:rPr>
                <w:sz w:val="22"/>
                <w:szCs w:val="22"/>
              </w:rPr>
              <w:t>Limited experience with the type of transaction in question. Average record of operating success and cost efficiency.</w:t>
            </w:r>
          </w:p>
        </w:tc>
        <w:tc>
          <w:tcPr>
            <w:tcW w:w="2790" w:type="dxa"/>
          </w:tcPr>
          <w:p w14:paraId="334ACFDF" w14:textId="77777777" w:rsidR="0087674E" w:rsidRPr="00AD46B1" w:rsidRDefault="0087674E" w:rsidP="00947F41">
            <w:pPr>
              <w:spacing w:before="60" w:after="60"/>
              <w:rPr>
                <w:sz w:val="22"/>
                <w:szCs w:val="22"/>
              </w:rPr>
            </w:pPr>
            <w:r w:rsidRPr="00AD46B1">
              <w:rPr>
                <w:sz w:val="22"/>
                <w:szCs w:val="22"/>
              </w:rPr>
              <w:t>Limited or uncertain track record in general. Volatile costs and profits.</w:t>
            </w:r>
          </w:p>
        </w:tc>
      </w:tr>
      <w:tr w:rsidR="0087674E" w14:paraId="53E60625" w14:textId="77777777" w:rsidTr="00947F41">
        <w:tc>
          <w:tcPr>
            <w:tcW w:w="2789" w:type="dxa"/>
          </w:tcPr>
          <w:p w14:paraId="47901B4D" w14:textId="77777777" w:rsidR="0087674E" w:rsidRPr="00AD46B1" w:rsidRDefault="0087674E" w:rsidP="00947F41">
            <w:pPr>
              <w:spacing w:before="60" w:after="60"/>
              <w:rPr>
                <w:sz w:val="22"/>
                <w:szCs w:val="22"/>
              </w:rPr>
            </w:pPr>
            <w:r w:rsidRPr="00AD46B1">
              <w:rPr>
                <w:sz w:val="22"/>
                <w:szCs w:val="22"/>
              </w:rPr>
              <w:t>Trading controls and hedging policies</w:t>
            </w:r>
          </w:p>
        </w:tc>
        <w:tc>
          <w:tcPr>
            <w:tcW w:w="2789" w:type="dxa"/>
          </w:tcPr>
          <w:p w14:paraId="7E7442FE" w14:textId="77777777" w:rsidR="0087674E" w:rsidRPr="00AD46B1" w:rsidRDefault="0087674E" w:rsidP="00947F41">
            <w:pPr>
              <w:spacing w:before="60" w:after="60"/>
              <w:rPr>
                <w:sz w:val="22"/>
                <w:szCs w:val="22"/>
              </w:rPr>
            </w:pPr>
            <w:r w:rsidRPr="00AD46B1">
              <w:rPr>
                <w:sz w:val="22"/>
                <w:szCs w:val="22"/>
              </w:rPr>
              <w:t>Strong standards for counterparty selection, hedging and monitoring.</w:t>
            </w:r>
          </w:p>
        </w:tc>
        <w:tc>
          <w:tcPr>
            <w:tcW w:w="2790" w:type="dxa"/>
          </w:tcPr>
          <w:p w14:paraId="4D3B0B4D" w14:textId="77777777" w:rsidR="0087674E" w:rsidRPr="00AD46B1" w:rsidRDefault="0087674E" w:rsidP="00947F41">
            <w:pPr>
              <w:spacing w:before="60" w:after="60"/>
              <w:rPr>
                <w:sz w:val="22"/>
                <w:szCs w:val="22"/>
              </w:rPr>
            </w:pPr>
            <w:r w:rsidRPr="00AD46B1">
              <w:rPr>
                <w:sz w:val="22"/>
                <w:szCs w:val="22"/>
              </w:rPr>
              <w:t>Adequate standards for counterparty selection, hedging and monitoring.</w:t>
            </w:r>
          </w:p>
        </w:tc>
        <w:tc>
          <w:tcPr>
            <w:tcW w:w="2790" w:type="dxa"/>
          </w:tcPr>
          <w:p w14:paraId="6D2D5AB8" w14:textId="77777777" w:rsidR="0087674E" w:rsidRPr="00AD46B1" w:rsidRDefault="0087674E" w:rsidP="00947F41">
            <w:pPr>
              <w:spacing w:before="60" w:after="60"/>
              <w:rPr>
                <w:sz w:val="22"/>
                <w:szCs w:val="22"/>
              </w:rPr>
            </w:pPr>
            <w:r w:rsidRPr="00AD46B1">
              <w:rPr>
                <w:sz w:val="22"/>
                <w:szCs w:val="22"/>
              </w:rPr>
              <w:t>Adequate standards for counterparty selection, hedging and monitoring. Past deals have experienced no or minor problems.</w:t>
            </w:r>
          </w:p>
        </w:tc>
        <w:tc>
          <w:tcPr>
            <w:tcW w:w="2790" w:type="dxa"/>
          </w:tcPr>
          <w:p w14:paraId="7FFE2533" w14:textId="77777777" w:rsidR="0087674E" w:rsidRPr="00AD46B1" w:rsidRDefault="0087674E" w:rsidP="00947F41">
            <w:pPr>
              <w:spacing w:before="60" w:after="60"/>
              <w:rPr>
                <w:sz w:val="22"/>
                <w:szCs w:val="22"/>
              </w:rPr>
            </w:pPr>
            <w:r w:rsidRPr="00AD46B1">
              <w:rPr>
                <w:sz w:val="22"/>
                <w:szCs w:val="22"/>
              </w:rPr>
              <w:t>Weak standards for counterparty selection, hedging and monitoring. Trader has experienced significant losses on past deals.</w:t>
            </w:r>
          </w:p>
        </w:tc>
      </w:tr>
      <w:tr w:rsidR="0087674E" w14:paraId="64A43A5C" w14:textId="77777777" w:rsidTr="00947F41">
        <w:tc>
          <w:tcPr>
            <w:tcW w:w="2789" w:type="dxa"/>
          </w:tcPr>
          <w:p w14:paraId="3A869395" w14:textId="77777777" w:rsidR="0087674E" w:rsidRPr="00AD46B1" w:rsidRDefault="0087674E" w:rsidP="00947F41">
            <w:pPr>
              <w:spacing w:before="60" w:after="60"/>
              <w:rPr>
                <w:sz w:val="22"/>
                <w:szCs w:val="22"/>
              </w:rPr>
            </w:pPr>
            <w:r w:rsidRPr="00AD46B1">
              <w:rPr>
                <w:sz w:val="22"/>
                <w:szCs w:val="22"/>
              </w:rPr>
              <w:t>Quality of financial disclosure</w:t>
            </w:r>
          </w:p>
        </w:tc>
        <w:tc>
          <w:tcPr>
            <w:tcW w:w="2789" w:type="dxa"/>
          </w:tcPr>
          <w:p w14:paraId="57D8824F" w14:textId="77777777" w:rsidR="0087674E" w:rsidRPr="00AD46B1" w:rsidRDefault="0087674E" w:rsidP="00947F41">
            <w:pPr>
              <w:spacing w:before="60" w:after="60"/>
              <w:rPr>
                <w:sz w:val="22"/>
                <w:szCs w:val="22"/>
              </w:rPr>
            </w:pPr>
            <w:r w:rsidRPr="00AD46B1">
              <w:rPr>
                <w:sz w:val="22"/>
                <w:szCs w:val="22"/>
              </w:rPr>
              <w:t>Excellent.</w:t>
            </w:r>
          </w:p>
        </w:tc>
        <w:tc>
          <w:tcPr>
            <w:tcW w:w="2790" w:type="dxa"/>
          </w:tcPr>
          <w:p w14:paraId="280BFFF8" w14:textId="77777777" w:rsidR="0087674E" w:rsidRPr="00AD46B1" w:rsidRDefault="0087674E" w:rsidP="00947F41">
            <w:pPr>
              <w:spacing w:before="60" w:after="60"/>
              <w:rPr>
                <w:sz w:val="22"/>
                <w:szCs w:val="22"/>
              </w:rPr>
            </w:pPr>
            <w:r w:rsidRPr="00AD46B1">
              <w:rPr>
                <w:sz w:val="22"/>
                <w:szCs w:val="22"/>
              </w:rPr>
              <w:t>Good.</w:t>
            </w:r>
          </w:p>
        </w:tc>
        <w:tc>
          <w:tcPr>
            <w:tcW w:w="2790" w:type="dxa"/>
          </w:tcPr>
          <w:p w14:paraId="6F679CD1" w14:textId="77777777" w:rsidR="0087674E" w:rsidRPr="00AD46B1" w:rsidRDefault="0087674E" w:rsidP="00947F41">
            <w:pPr>
              <w:spacing w:before="60" w:after="60"/>
              <w:rPr>
                <w:sz w:val="22"/>
                <w:szCs w:val="22"/>
              </w:rPr>
            </w:pPr>
            <w:r w:rsidRPr="00AD46B1">
              <w:rPr>
                <w:sz w:val="22"/>
                <w:szCs w:val="22"/>
              </w:rPr>
              <w:t>Satisfactory.</w:t>
            </w:r>
          </w:p>
        </w:tc>
        <w:tc>
          <w:tcPr>
            <w:tcW w:w="2790" w:type="dxa"/>
          </w:tcPr>
          <w:p w14:paraId="74F7E1F4" w14:textId="77777777" w:rsidR="0087674E" w:rsidRPr="00AD46B1" w:rsidRDefault="0087674E" w:rsidP="00947F41">
            <w:pPr>
              <w:spacing w:before="60" w:after="60"/>
              <w:rPr>
                <w:sz w:val="22"/>
                <w:szCs w:val="22"/>
              </w:rPr>
            </w:pPr>
            <w:r w:rsidRPr="00AD46B1">
              <w:rPr>
                <w:sz w:val="22"/>
                <w:szCs w:val="22"/>
              </w:rPr>
              <w:t>Financial disclosure contains some uncertainties or is insufficient.</w:t>
            </w:r>
          </w:p>
        </w:tc>
      </w:tr>
      <w:tr w:rsidR="0087674E" w14:paraId="74F577C3" w14:textId="77777777" w:rsidTr="00947F41">
        <w:tc>
          <w:tcPr>
            <w:tcW w:w="13948" w:type="dxa"/>
            <w:gridSpan w:val="5"/>
            <w:vAlign w:val="center"/>
          </w:tcPr>
          <w:p w14:paraId="0B5FCAD8" w14:textId="77777777" w:rsidR="0087674E" w:rsidRPr="00AD46B1" w:rsidRDefault="0087674E" w:rsidP="00471049">
            <w:pPr>
              <w:spacing w:before="60" w:after="60"/>
              <w:rPr>
                <w:b/>
                <w:sz w:val="22"/>
                <w:szCs w:val="22"/>
              </w:rPr>
            </w:pPr>
            <w:r w:rsidRPr="00AD46B1">
              <w:rPr>
                <w:b/>
                <w:sz w:val="22"/>
                <w:szCs w:val="22"/>
              </w:rPr>
              <w:t>Security package</w:t>
            </w:r>
          </w:p>
        </w:tc>
      </w:tr>
      <w:tr w:rsidR="0087674E" w14:paraId="267FF9FF" w14:textId="77777777" w:rsidTr="00947F41">
        <w:tc>
          <w:tcPr>
            <w:tcW w:w="2789" w:type="dxa"/>
          </w:tcPr>
          <w:p w14:paraId="080075FE" w14:textId="77777777" w:rsidR="0087674E" w:rsidRPr="00AD46B1" w:rsidRDefault="0087674E" w:rsidP="00471049">
            <w:pPr>
              <w:spacing w:before="60" w:after="60"/>
              <w:rPr>
                <w:sz w:val="22"/>
                <w:szCs w:val="22"/>
              </w:rPr>
            </w:pPr>
            <w:r w:rsidRPr="00AD46B1">
              <w:rPr>
                <w:sz w:val="22"/>
                <w:szCs w:val="22"/>
              </w:rPr>
              <w:t>Asset control</w:t>
            </w:r>
          </w:p>
        </w:tc>
        <w:tc>
          <w:tcPr>
            <w:tcW w:w="2789" w:type="dxa"/>
          </w:tcPr>
          <w:p w14:paraId="14BB5862" w14:textId="77777777" w:rsidR="0087674E" w:rsidRPr="00AD46B1" w:rsidRDefault="0087674E" w:rsidP="00947F41">
            <w:pPr>
              <w:spacing w:before="60" w:after="60"/>
              <w:rPr>
                <w:sz w:val="22"/>
                <w:szCs w:val="22"/>
              </w:rPr>
            </w:pPr>
            <w:r w:rsidRPr="00AD46B1">
              <w:rPr>
                <w:sz w:val="22"/>
                <w:szCs w:val="22"/>
              </w:rPr>
              <w:t>First perfected security interest provides the lender legal control of the assets at any time if needed.</w:t>
            </w:r>
          </w:p>
        </w:tc>
        <w:tc>
          <w:tcPr>
            <w:tcW w:w="2790" w:type="dxa"/>
          </w:tcPr>
          <w:p w14:paraId="723A6989" w14:textId="77777777" w:rsidR="0087674E" w:rsidRPr="00AD46B1" w:rsidRDefault="0087674E" w:rsidP="00947F41">
            <w:pPr>
              <w:spacing w:before="60" w:after="60"/>
              <w:rPr>
                <w:sz w:val="22"/>
                <w:szCs w:val="22"/>
              </w:rPr>
            </w:pPr>
            <w:r w:rsidRPr="00AD46B1">
              <w:rPr>
                <w:sz w:val="22"/>
                <w:szCs w:val="22"/>
              </w:rPr>
              <w:t>First perfected security interest provides the lender legal control of the assets at any time if needed.</w:t>
            </w:r>
          </w:p>
        </w:tc>
        <w:tc>
          <w:tcPr>
            <w:tcW w:w="2790" w:type="dxa"/>
          </w:tcPr>
          <w:p w14:paraId="45EFA6FA" w14:textId="77777777" w:rsidR="0087674E" w:rsidRPr="00AD46B1" w:rsidRDefault="0087674E" w:rsidP="00947F41">
            <w:pPr>
              <w:spacing w:before="60" w:after="60"/>
              <w:rPr>
                <w:sz w:val="22"/>
                <w:szCs w:val="22"/>
              </w:rPr>
            </w:pPr>
            <w:r w:rsidRPr="00AD46B1">
              <w:rPr>
                <w:sz w:val="22"/>
                <w:szCs w:val="22"/>
              </w:rPr>
              <w:t>At some point in the process, there is a rupture in the control of the assets by the lender. The rupture is mitigated by knowledge of the trade process or a third party undertaking as the case may be.</w:t>
            </w:r>
          </w:p>
        </w:tc>
        <w:tc>
          <w:tcPr>
            <w:tcW w:w="2790" w:type="dxa"/>
          </w:tcPr>
          <w:p w14:paraId="15E5A88E" w14:textId="77777777" w:rsidR="0087674E" w:rsidRPr="00AD46B1" w:rsidRDefault="0087674E" w:rsidP="00947F41">
            <w:pPr>
              <w:spacing w:before="60" w:after="60"/>
              <w:rPr>
                <w:sz w:val="22"/>
                <w:szCs w:val="22"/>
              </w:rPr>
            </w:pPr>
            <w:r w:rsidRPr="00AD46B1">
              <w:rPr>
                <w:sz w:val="22"/>
                <w:szCs w:val="22"/>
              </w:rPr>
              <w:t>Contract leaves room for some risk of losing control over the assets. Recovery could be jeopardised.</w:t>
            </w:r>
          </w:p>
        </w:tc>
      </w:tr>
      <w:tr w:rsidR="0087674E" w14:paraId="1B51821F" w14:textId="77777777" w:rsidTr="00947F41">
        <w:tc>
          <w:tcPr>
            <w:tcW w:w="2789" w:type="dxa"/>
          </w:tcPr>
          <w:p w14:paraId="16A67E23" w14:textId="77777777" w:rsidR="0087674E" w:rsidRPr="00AD46B1" w:rsidRDefault="0087674E" w:rsidP="00947F41">
            <w:pPr>
              <w:spacing w:before="60" w:after="60"/>
              <w:rPr>
                <w:sz w:val="22"/>
                <w:szCs w:val="22"/>
              </w:rPr>
            </w:pPr>
            <w:r w:rsidRPr="00AD46B1">
              <w:rPr>
                <w:sz w:val="22"/>
                <w:szCs w:val="22"/>
              </w:rPr>
              <w:lastRenderedPageBreak/>
              <w:t>Insurance against damages</w:t>
            </w:r>
          </w:p>
        </w:tc>
        <w:tc>
          <w:tcPr>
            <w:tcW w:w="2789" w:type="dxa"/>
          </w:tcPr>
          <w:p w14:paraId="0C41B7AB" w14:textId="77777777" w:rsidR="0087674E" w:rsidRPr="00AD46B1" w:rsidRDefault="0087674E" w:rsidP="00947F41">
            <w:pPr>
              <w:spacing w:before="60" w:after="60"/>
              <w:rPr>
                <w:sz w:val="22"/>
                <w:szCs w:val="22"/>
              </w:rPr>
            </w:pPr>
            <w:r w:rsidRPr="00AD46B1">
              <w:rPr>
                <w:sz w:val="22"/>
                <w:szCs w:val="22"/>
              </w:rPr>
              <w:t>Insurance coverage is strong, including collateral damages with top quality insurance companies.</w:t>
            </w:r>
          </w:p>
        </w:tc>
        <w:tc>
          <w:tcPr>
            <w:tcW w:w="2790" w:type="dxa"/>
          </w:tcPr>
          <w:p w14:paraId="502FE261" w14:textId="77777777" w:rsidR="0087674E" w:rsidRPr="00AD46B1" w:rsidRDefault="0087674E" w:rsidP="00947F41">
            <w:pPr>
              <w:spacing w:before="60" w:after="60"/>
              <w:rPr>
                <w:sz w:val="22"/>
                <w:szCs w:val="22"/>
              </w:rPr>
            </w:pPr>
            <w:r w:rsidRPr="00AD46B1">
              <w:rPr>
                <w:sz w:val="22"/>
                <w:szCs w:val="22"/>
              </w:rPr>
              <w:t>Insurance coverage is satisfactory (not including collateral damages) with good quality insurance companies.</w:t>
            </w:r>
          </w:p>
        </w:tc>
        <w:tc>
          <w:tcPr>
            <w:tcW w:w="2790" w:type="dxa"/>
          </w:tcPr>
          <w:p w14:paraId="580C731C" w14:textId="77777777" w:rsidR="0087674E" w:rsidRPr="00AD46B1" w:rsidRDefault="0087674E" w:rsidP="00947F41">
            <w:pPr>
              <w:spacing w:before="60" w:after="60"/>
              <w:rPr>
                <w:sz w:val="22"/>
                <w:szCs w:val="22"/>
              </w:rPr>
            </w:pPr>
            <w:r w:rsidRPr="00AD46B1">
              <w:rPr>
                <w:sz w:val="22"/>
                <w:szCs w:val="22"/>
              </w:rPr>
              <w:t>Insurance coverage is fair (not including collateral damages) with acceptable quality insurance companies.</w:t>
            </w:r>
          </w:p>
        </w:tc>
        <w:tc>
          <w:tcPr>
            <w:tcW w:w="2790" w:type="dxa"/>
          </w:tcPr>
          <w:p w14:paraId="70A8EB23" w14:textId="77777777" w:rsidR="0087674E" w:rsidRPr="00AD46B1" w:rsidRDefault="0087674E" w:rsidP="00947F41">
            <w:pPr>
              <w:spacing w:before="60" w:after="60"/>
              <w:rPr>
                <w:sz w:val="22"/>
                <w:szCs w:val="22"/>
              </w:rPr>
            </w:pPr>
            <w:r w:rsidRPr="00AD46B1">
              <w:rPr>
                <w:sz w:val="22"/>
                <w:szCs w:val="22"/>
              </w:rPr>
              <w:t>Insurance coverage is weak (not including collateral damages) or with weak quality insurance companies.</w:t>
            </w:r>
          </w:p>
        </w:tc>
      </w:tr>
    </w:tbl>
    <w:p w14:paraId="74296741" w14:textId="69DB400B" w:rsidR="00374F0B" w:rsidRPr="00FD64B5" w:rsidRDefault="00374F0B" w:rsidP="00471049">
      <w:pPr>
        <w:pStyle w:val="BodyText1"/>
        <w:numPr>
          <w:ilvl w:val="0"/>
          <w:numId w:val="0"/>
        </w:numPr>
        <w:spacing w:after="0"/>
      </w:pPr>
    </w:p>
    <w:sectPr w:rsidR="00374F0B" w:rsidRPr="00FD64B5" w:rsidSect="00AA5018">
      <w:headerReference w:type="default" r:id="rId40"/>
      <w:footerReference w:type="default" r:id="rId41"/>
      <w:pgSz w:w="16838" w:h="11906" w:orient="landscape" w:code="9"/>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D47E7" w14:textId="77777777" w:rsidR="00BA05BE" w:rsidRDefault="00BA05BE" w:rsidP="006A6A52">
      <w:pPr>
        <w:spacing w:after="0"/>
      </w:pPr>
      <w:r>
        <w:separator/>
      </w:r>
    </w:p>
  </w:endnote>
  <w:endnote w:type="continuationSeparator" w:id="0">
    <w:p w14:paraId="634C7DB4" w14:textId="77777777" w:rsidR="00BA05BE" w:rsidRDefault="00BA05BE" w:rsidP="006A6A52">
      <w:pPr>
        <w:spacing w:after="0"/>
      </w:pPr>
      <w:r>
        <w:continuationSeparator/>
      </w:r>
    </w:p>
  </w:endnote>
  <w:endnote w:type="continuationNotice" w:id="1">
    <w:p w14:paraId="155BA7EB" w14:textId="77777777" w:rsidR="00BA05BE" w:rsidRDefault="00BA05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S PMincho">
    <w:altName w:val="ＭＳ Ｐ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F4190" w14:textId="0F700DD8" w:rsidR="00E5503A" w:rsidRPr="00842FBD" w:rsidRDefault="00E5503A" w:rsidP="00842FBD">
    <w:pPr>
      <w:pStyle w:val="Footer"/>
    </w:pPr>
    <w:r>
      <w:rPr>
        <w:noProof/>
      </w:rPr>
      <w:fldChar w:fldCharType="begin"/>
    </w:r>
    <w:r>
      <w:rPr>
        <w:noProof/>
      </w:rPr>
      <w:instrText xml:space="preserve"> STYLEREF  "PS No. field text"  \* MERGEFORMAT </w:instrText>
    </w:r>
    <w:r>
      <w:rPr>
        <w:noProof/>
      </w:rPr>
      <w:fldChar w:fldCharType="separate"/>
    </w:r>
    <w:r w:rsidR="003E674A">
      <w:rPr>
        <w:noProof/>
      </w:rPr>
      <w:t>APS 113</w:t>
    </w:r>
    <w:r>
      <w:rPr>
        <w:noProof/>
      </w:rPr>
      <w:fldChar w:fldCharType="end"/>
    </w:r>
    <w:r>
      <w:t xml:space="preserve"> - </w:t>
    </w:r>
    <w:r w:rsidRPr="00842FBD">
      <w:fldChar w:fldCharType="begin"/>
    </w:r>
    <w:r w:rsidRPr="00842FBD">
      <w:instrText xml:space="preserve"> PAGE </w:instrText>
    </w:r>
    <w:r w:rsidRPr="00842FBD">
      <w:fldChar w:fldCharType="separate"/>
    </w:r>
    <w:r>
      <w:rPr>
        <w:noProof/>
      </w:rPr>
      <w:t>16</w:t>
    </w:r>
    <w:r w:rsidRPr="00842FB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F6185" w14:textId="164D1B6E" w:rsidR="006D5D2C" w:rsidRPr="00842FBD" w:rsidRDefault="006D5D2C" w:rsidP="00842FBD">
    <w:pPr>
      <w:pStyle w:val="Footer"/>
    </w:pPr>
    <w:r>
      <w:rPr>
        <w:noProof/>
      </w:rPr>
      <w:fldChar w:fldCharType="begin"/>
    </w:r>
    <w:r>
      <w:rPr>
        <w:noProof/>
      </w:rPr>
      <w:instrText xml:space="preserve"> STYLEREF  "PS No. field text"  \* MERGEFORMAT </w:instrText>
    </w:r>
    <w:r>
      <w:rPr>
        <w:noProof/>
      </w:rPr>
      <w:fldChar w:fldCharType="separate"/>
    </w:r>
    <w:r w:rsidR="002E1CA3">
      <w:rPr>
        <w:noProof/>
      </w:rPr>
      <w:t>APS 113</w:t>
    </w:r>
    <w:r>
      <w:rPr>
        <w:noProof/>
      </w:rPr>
      <w:fldChar w:fldCharType="end"/>
    </w:r>
    <w:r>
      <w:t xml:space="preserve"> – Attachment A - </w:t>
    </w:r>
    <w:r w:rsidRPr="00842FBD">
      <w:fldChar w:fldCharType="begin"/>
    </w:r>
    <w:r w:rsidRPr="00842FBD">
      <w:instrText xml:space="preserve"> PAGE </w:instrText>
    </w:r>
    <w:r w:rsidRPr="00842FBD">
      <w:fldChar w:fldCharType="separate"/>
    </w:r>
    <w:r>
      <w:rPr>
        <w:noProof/>
      </w:rPr>
      <w:t>21</w:t>
    </w:r>
    <w:r w:rsidRPr="00842FB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28536" w14:textId="29D917D4" w:rsidR="006D5D2C" w:rsidRPr="00842FBD" w:rsidRDefault="006D5D2C" w:rsidP="00842FBD">
    <w:pPr>
      <w:pStyle w:val="Footer"/>
    </w:pPr>
    <w:r>
      <w:rPr>
        <w:noProof/>
      </w:rPr>
      <w:fldChar w:fldCharType="begin"/>
    </w:r>
    <w:r>
      <w:rPr>
        <w:noProof/>
      </w:rPr>
      <w:instrText xml:space="preserve"> STYLEREF  "PS No. field text"  \* MERGEFORMAT </w:instrText>
    </w:r>
    <w:r>
      <w:rPr>
        <w:noProof/>
      </w:rPr>
      <w:fldChar w:fldCharType="separate"/>
    </w:r>
    <w:r w:rsidR="002E1CA3">
      <w:rPr>
        <w:noProof/>
      </w:rPr>
      <w:t>APS 113</w:t>
    </w:r>
    <w:r>
      <w:rPr>
        <w:noProof/>
      </w:rPr>
      <w:fldChar w:fldCharType="end"/>
    </w:r>
    <w:r>
      <w:t xml:space="preserve"> – Attachment </w:t>
    </w:r>
    <w:r>
      <w:rPr>
        <w:noProof/>
      </w:rPr>
      <w:t>B</w:t>
    </w:r>
    <w:r>
      <w:t xml:space="preserve"> - </w:t>
    </w:r>
    <w:r w:rsidRPr="00842FBD">
      <w:fldChar w:fldCharType="begin"/>
    </w:r>
    <w:r w:rsidRPr="00842FBD">
      <w:instrText xml:space="preserve"> PAGE </w:instrText>
    </w:r>
    <w:r w:rsidRPr="00842FBD">
      <w:fldChar w:fldCharType="separate"/>
    </w:r>
    <w:r>
      <w:rPr>
        <w:noProof/>
      </w:rPr>
      <w:t>31</w:t>
    </w:r>
    <w:r w:rsidRPr="00842FBD">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A326D" w14:textId="00D459FC" w:rsidR="006D5D2C" w:rsidRPr="00842FBD" w:rsidRDefault="006D5D2C" w:rsidP="00842FBD">
    <w:pPr>
      <w:pStyle w:val="Footer"/>
    </w:pPr>
    <w:r>
      <w:rPr>
        <w:noProof/>
      </w:rPr>
      <w:fldChar w:fldCharType="begin"/>
    </w:r>
    <w:r>
      <w:rPr>
        <w:noProof/>
      </w:rPr>
      <w:instrText xml:space="preserve"> STYLEREF  "PS No. field text"  \* MERGEFORMAT </w:instrText>
    </w:r>
    <w:r>
      <w:rPr>
        <w:noProof/>
      </w:rPr>
      <w:fldChar w:fldCharType="separate"/>
    </w:r>
    <w:r w:rsidR="002E1CA3">
      <w:rPr>
        <w:noProof/>
      </w:rPr>
      <w:t>APS 113</w:t>
    </w:r>
    <w:r>
      <w:rPr>
        <w:noProof/>
      </w:rPr>
      <w:fldChar w:fldCharType="end"/>
    </w:r>
    <w:r>
      <w:t xml:space="preserve"> – Attachment </w:t>
    </w:r>
    <w:r>
      <w:rPr>
        <w:noProof/>
      </w:rPr>
      <w:t>C</w:t>
    </w:r>
    <w:r>
      <w:t xml:space="preserve"> - </w:t>
    </w:r>
    <w:r w:rsidRPr="00842FBD">
      <w:fldChar w:fldCharType="begin"/>
    </w:r>
    <w:r w:rsidRPr="00842FBD">
      <w:instrText xml:space="preserve"> PAGE </w:instrText>
    </w:r>
    <w:r w:rsidRPr="00842FBD">
      <w:fldChar w:fldCharType="separate"/>
    </w:r>
    <w:r>
      <w:rPr>
        <w:noProof/>
      </w:rPr>
      <w:t>33</w:t>
    </w:r>
    <w:r w:rsidRPr="00842FBD">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D456F" w14:textId="6823EDDB" w:rsidR="006D5D2C" w:rsidRPr="00842FBD" w:rsidRDefault="006D5D2C" w:rsidP="00842FBD">
    <w:pPr>
      <w:pStyle w:val="Footer"/>
    </w:pPr>
    <w:r>
      <w:rPr>
        <w:noProof/>
      </w:rPr>
      <w:fldChar w:fldCharType="begin"/>
    </w:r>
    <w:r>
      <w:rPr>
        <w:noProof/>
      </w:rPr>
      <w:instrText xml:space="preserve"> STYLEREF  "PS No. field text"  \* MERGEFORMAT </w:instrText>
    </w:r>
    <w:r>
      <w:rPr>
        <w:noProof/>
      </w:rPr>
      <w:fldChar w:fldCharType="separate"/>
    </w:r>
    <w:r w:rsidR="002E1CA3">
      <w:rPr>
        <w:noProof/>
      </w:rPr>
      <w:t>APS 113</w:t>
    </w:r>
    <w:r>
      <w:rPr>
        <w:noProof/>
      </w:rPr>
      <w:fldChar w:fldCharType="end"/>
    </w:r>
    <w:r>
      <w:t xml:space="preserve"> – Attachment </w:t>
    </w:r>
    <w:r>
      <w:rPr>
        <w:noProof/>
      </w:rPr>
      <w:t>D</w:t>
    </w:r>
    <w:r>
      <w:t xml:space="preserve"> - </w:t>
    </w:r>
    <w:r w:rsidRPr="00842FBD">
      <w:fldChar w:fldCharType="begin"/>
    </w:r>
    <w:r w:rsidRPr="00842FBD">
      <w:instrText xml:space="preserve"> PAGE </w:instrText>
    </w:r>
    <w:r w:rsidRPr="00842FBD">
      <w:fldChar w:fldCharType="separate"/>
    </w:r>
    <w:r>
      <w:rPr>
        <w:noProof/>
      </w:rPr>
      <w:t>49</w:t>
    </w:r>
    <w:r w:rsidRPr="00842FBD">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68A98" w14:textId="519D422E" w:rsidR="006D5D2C" w:rsidRPr="00842FBD" w:rsidRDefault="006D5D2C" w:rsidP="00842FBD">
    <w:pPr>
      <w:pStyle w:val="Footer"/>
    </w:pPr>
    <w:r>
      <w:rPr>
        <w:noProof/>
      </w:rPr>
      <w:fldChar w:fldCharType="begin"/>
    </w:r>
    <w:r>
      <w:rPr>
        <w:noProof/>
      </w:rPr>
      <w:instrText xml:space="preserve"> STYLEREF  "PS No. field text"  \* MERGEFORMAT </w:instrText>
    </w:r>
    <w:r>
      <w:rPr>
        <w:noProof/>
      </w:rPr>
      <w:fldChar w:fldCharType="separate"/>
    </w:r>
    <w:r w:rsidR="002E1CA3">
      <w:rPr>
        <w:noProof/>
      </w:rPr>
      <w:t>APS 113</w:t>
    </w:r>
    <w:r>
      <w:rPr>
        <w:noProof/>
      </w:rPr>
      <w:fldChar w:fldCharType="end"/>
    </w:r>
    <w:r>
      <w:t xml:space="preserve"> – Attachment </w:t>
    </w:r>
    <w:r>
      <w:rPr>
        <w:noProof/>
      </w:rPr>
      <w:t>E</w:t>
    </w:r>
    <w:r>
      <w:t xml:space="preserve"> - </w:t>
    </w:r>
    <w:r w:rsidRPr="00842FBD">
      <w:fldChar w:fldCharType="begin"/>
    </w:r>
    <w:r w:rsidRPr="00842FBD">
      <w:instrText xml:space="preserve"> PAGE </w:instrText>
    </w:r>
    <w:r w:rsidRPr="00842FBD">
      <w:fldChar w:fldCharType="separate"/>
    </w:r>
    <w:r>
      <w:rPr>
        <w:noProof/>
      </w:rPr>
      <w:t>56</w:t>
    </w:r>
    <w:r w:rsidRPr="00842FBD">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20178" w14:textId="33B3461D" w:rsidR="006D5D2C" w:rsidRPr="00842FBD" w:rsidRDefault="006D5D2C" w:rsidP="00842FBD">
    <w:pPr>
      <w:pStyle w:val="Footer"/>
    </w:pPr>
    <w:r>
      <w:rPr>
        <w:noProof/>
      </w:rPr>
      <w:fldChar w:fldCharType="begin"/>
    </w:r>
    <w:r>
      <w:rPr>
        <w:noProof/>
      </w:rPr>
      <w:instrText xml:space="preserve"> STYLEREF  "PS No. field text"  \* MERGEFORMAT </w:instrText>
    </w:r>
    <w:r>
      <w:rPr>
        <w:noProof/>
      </w:rPr>
      <w:fldChar w:fldCharType="separate"/>
    </w:r>
    <w:r w:rsidR="002E1CA3">
      <w:rPr>
        <w:noProof/>
      </w:rPr>
      <w:t>APS 113</w:t>
    </w:r>
    <w:r>
      <w:rPr>
        <w:noProof/>
      </w:rPr>
      <w:fldChar w:fldCharType="end"/>
    </w:r>
    <w:r>
      <w:t xml:space="preserve"> – Attachment </w:t>
    </w:r>
    <w:r>
      <w:rPr>
        <w:noProof/>
      </w:rPr>
      <w:t>F</w:t>
    </w:r>
    <w:r>
      <w:t xml:space="preserve"> - </w:t>
    </w:r>
    <w:r w:rsidRPr="00842FBD">
      <w:fldChar w:fldCharType="begin"/>
    </w:r>
    <w:r w:rsidRPr="00842FBD">
      <w:instrText xml:space="preserve"> PAGE </w:instrText>
    </w:r>
    <w:r w:rsidRPr="00842FBD">
      <w:fldChar w:fldCharType="separate"/>
    </w:r>
    <w:r>
      <w:rPr>
        <w:noProof/>
      </w:rPr>
      <w:t>60</w:t>
    </w:r>
    <w:r w:rsidRPr="00842FBD">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D9F09" w14:textId="043D4270" w:rsidR="006D5D2C" w:rsidRPr="00842FBD" w:rsidRDefault="006D5D2C" w:rsidP="00842FBD">
    <w:pPr>
      <w:pStyle w:val="Footer"/>
    </w:pPr>
    <w:r>
      <w:rPr>
        <w:noProof/>
      </w:rPr>
      <w:fldChar w:fldCharType="begin"/>
    </w:r>
    <w:r>
      <w:rPr>
        <w:noProof/>
      </w:rPr>
      <w:instrText xml:space="preserve"> STYLEREF  "PS No. field text"  \* MERGEFORMAT </w:instrText>
    </w:r>
    <w:r>
      <w:rPr>
        <w:noProof/>
      </w:rPr>
      <w:fldChar w:fldCharType="separate"/>
    </w:r>
    <w:r w:rsidR="002E1CA3">
      <w:rPr>
        <w:noProof/>
      </w:rPr>
      <w:t>APS 113</w:t>
    </w:r>
    <w:r>
      <w:rPr>
        <w:noProof/>
      </w:rPr>
      <w:fldChar w:fldCharType="end"/>
    </w:r>
    <w:r>
      <w:t xml:space="preserve"> – Attachment </w:t>
    </w:r>
    <w:r>
      <w:rPr>
        <w:noProof/>
      </w:rPr>
      <w:t>G</w:t>
    </w:r>
    <w:r>
      <w:t xml:space="preserve"> - </w:t>
    </w:r>
    <w:r w:rsidRPr="00842FBD">
      <w:fldChar w:fldCharType="begin"/>
    </w:r>
    <w:r w:rsidRPr="00842FBD">
      <w:instrText xml:space="preserve"> PAGE </w:instrText>
    </w:r>
    <w:r w:rsidRPr="00842FBD">
      <w:fldChar w:fldCharType="separate"/>
    </w:r>
    <w:r>
      <w:rPr>
        <w:noProof/>
      </w:rPr>
      <w:t>81</w:t>
    </w:r>
    <w:r w:rsidRPr="00842F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93401" w14:textId="77777777" w:rsidR="00BA05BE" w:rsidRDefault="00BA05BE" w:rsidP="006A6A52">
      <w:pPr>
        <w:spacing w:after="0"/>
      </w:pPr>
      <w:r>
        <w:separator/>
      </w:r>
    </w:p>
  </w:footnote>
  <w:footnote w:type="continuationSeparator" w:id="0">
    <w:p w14:paraId="615E41C7" w14:textId="77777777" w:rsidR="00BA05BE" w:rsidRDefault="00BA05BE" w:rsidP="006A6A52">
      <w:pPr>
        <w:spacing w:after="0"/>
      </w:pPr>
      <w:r>
        <w:continuationSeparator/>
      </w:r>
    </w:p>
  </w:footnote>
  <w:footnote w:type="continuationNotice" w:id="1">
    <w:p w14:paraId="59AD9147" w14:textId="77777777" w:rsidR="00BA05BE" w:rsidRDefault="00BA05BE">
      <w:pPr>
        <w:spacing w:after="0"/>
      </w:pPr>
    </w:p>
  </w:footnote>
  <w:footnote w:id="2">
    <w:p w14:paraId="7E601E5D" w14:textId="0D4B453E" w:rsidR="006D5D2C" w:rsidRDefault="006D5D2C" w:rsidP="008F4E80">
      <w:pPr>
        <w:pStyle w:val="FootnoteText"/>
        <w:spacing w:after="120"/>
      </w:pPr>
      <w:r>
        <w:rPr>
          <w:rStyle w:val="FootnoteReference"/>
        </w:rPr>
        <w:footnoteRef/>
      </w:r>
      <w:r>
        <w:t xml:space="preserve"> </w:t>
      </w:r>
      <w:r>
        <w:tab/>
      </w:r>
      <w:r w:rsidRPr="00BE7059">
        <w:t>Refer to subsection 11AF(2) of the Banking Act.</w:t>
      </w:r>
    </w:p>
  </w:footnote>
  <w:footnote w:id="3">
    <w:p w14:paraId="36F97DB0" w14:textId="30C56B27" w:rsidR="006D5D2C" w:rsidRDefault="006D5D2C" w:rsidP="000A403A">
      <w:pPr>
        <w:pStyle w:val="FootnoteText"/>
        <w:jc w:val="both"/>
      </w:pPr>
      <w:r>
        <w:rPr>
          <w:rStyle w:val="FootnoteReference"/>
        </w:rPr>
        <w:footnoteRef/>
      </w:r>
      <w:r>
        <w:t xml:space="preserve"> </w:t>
      </w:r>
      <w:r>
        <w:tab/>
        <w:t>For this purpose, a non-standard retail residential mortgage exposure refers to an exposure in the retail residential mortgage sub-asset class (as defined in this Prudential Standard) that is classified as a non-standard loan according to APS 112.</w:t>
      </w:r>
    </w:p>
  </w:footnote>
  <w:footnote w:id="4">
    <w:p w14:paraId="574839FB" w14:textId="3E05A46C" w:rsidR="006D5D2C" w:rsidRDefault="006D5D2C" w:rsidP="00CC6032">
      <w:pPr>
        <w:pStyle w:val="FootnoteText"/>
      </w:pPr>
      <w:r w:rsidRPr="006E4CEF">
        <w:rPr>
          <w:rStyle w:val="FootnoteReference"/>
          <w:i/>
        </w:rPr>
        <w:footnoteRef/>
      </w:r>
      <w:r w:rsidRPr="006E4CEF">
        <w:rPr>
          <w:i/>
        </w:rPr>
        <w:t xml:space="preserve"> </w:t>
      </w:r>
      <w:r w:rsidRPr="006E4CEF">
        <w:rPr>
          <w:i/>
        </w:rPr>
        <w:tab/>
      </w:r>
      <w:bookmarkStart w:id="19" w:name="_Hlk55819953"/>
      <w:r w:rsidR="006E4CEF" w:rsidRPr="006E4CEF">
        <w:rPr>
          <w:i/>
        </w:rPr>
        <w:t>p</w:t>
      </w:r>
      <w:r w:rsidRPr="006E4CEF">
        <w:rPr>
          <w:i/>
        </w:rPr>
        <w:t>rescribed New Zealand authority</w:t>
      </w:r>
      <w:r>
        <w:t xml:space="preserve"> has the meaning given in subsection 5(1) of the Banking Act.</w:t>
      </w:r>
      <w:bookmarkEnd w:id="19"/>
    </w:p>
  </w:footnote>
  <w:footnote w:id="5">
    <w:p w14:paraId="7E73EF32" w14:textId="05FFF1C0" w:rsidR="006D5D2C" w:rsidRDefault="006D5D2C" w:rsidP="00F75188">
      <w:pPr>
        <w:pStyle w:val="FootnoteText"/>
        <w:jc w:val="both"/>
      </w:pPr>
      <w:r>
        <w:rPr>
          <w:rStyle w:val="FootnoteReference"/>
        </w:rPr>
        <w:footnoteRef/>
      </w:r>
      <w:r>
        <w:t xml:space="preserve"> </w:t>
      </w:r>
      <w:r>
        <w:tab/>
        <w:t>Improvements to an ADI’s rating systems or risk components will not render it non-compliant with this three-year requirement.</w:t>
      </w:r>
    </w:p>
  </w:footnote>
  <w:footnote w:id="6">
    <w:p w14:paraId="7A31350E" w14:textId="4A0CFFEB" w:rsidR="0035266D" w:rsidRDefault="0035266D">
      <w:pPr>
        <w:pStyle w:val="FootnoteText"/>
      </w:pPr>
      <w:r>
        <w:rPr>
          <w:rStyle w:val="FootnoteReference"/>
        </w:rPr>
        <w:footnoteRef/>
      </w:r>
      <w:r>
        <w:t xml:space="preserve"> This excludes the owner-occupied exposure of the borrower. </w:t>
      </w:r>
    </w:p>
  </w:footnote>
  <w:footnote w:id="7">
    <w:p w14:paraId="768D144D" w14:textId="77777777" w:rsidR="006D5D2C" w:rsidRDefault="006D5D2C" w:rsidP="00B62505">
      <w:pPr>
        <w:pStyle w:val="FootnoteText"/>
        <w:jc w:val="both"/>
      </w:pPr>
      <w:r>
        <w:rPr>
          <w:rStyle w:val="FootnoteReference"/>
        </w:rPr>
        <w:footnoteRef/>
      </w:r>
      <w:r>
        <w:t xml:space="preserve"> </w:t>
      </w:r>
      <w:r>
        <w:tab/>
        <w:t xml:space="preserve">Residual value risk </w:t>
      </w:r>
      <w:r w:rsidRPr="00CF0E00">
        <w:t>means the risk that an ADI is exposed to potential loss due to the fair value of a leased asset declining below its residual estimate at the inception of the lease.</w:t>
      </w:r>
    </w:p>
  </w:footnote>
  <w:footnote w:id="8">
    <w:p w14:paraId="7BA0C911" w14:textId="2A5E75B9" w:rsidR="00FE6383" w:rsidRDefault="00FE6383" w:rsidP="00653698">
      <w:pPr>
        <w:pStyle w:val="FootnoteText"/>
      </w:pPr>
      <w:r>
        <w:rPr>
          <w:rStyle w:val="FootnoteReference"/>
        </w:rPr>
        <w:footnoteRef/>
      </w:r>
      <w:r>
        <w:t xml:space="preserve"> </w:t>
      </w:r>
      <w:r w:rsidR="00653698">
        <w:tab/>
      </w:r>
      <w:r w:rsidR="00F70959">
        <w:t>For this purpose, t</w:t>
      </w:r>
      <w:r w:rsidR="004230BF">
        <w:t xml:space="preserve">he World Bank group </w:t>
      </w:r>
      <w:r w:rsidR="00C10377">
        <w:t>comprises</w:t>
      </w:r>
      <w:r w:rsidR="004230BF" w:rsidRPr="004230BF">
        <w:t xml:space="preserve"> the International Bank for Reconstruction and Development, the International Finance Corporation, the Multilateral Investment Guarantee Agency and the International Development Association</w:t>
      </w:r>
      <w:r w:rsidR="00C10377">
        <w:t>.</w:t>
      </w:r>
    </w:p>
  </w:footnote>
  <w:footnote w:id="9">
    <w:p w14:paraId="5F9BE303" w14:textId="36CFE3B6" w:rsidR="006D5D2C" w:rsidRDefault="006D5D2C" w:rsidP="00591AC0">
      <w:pPr>
        <w:pStyle w:val="FootnoteText"/>
        <w:spacing w:after="120"/>
        <w:jc w:val="both"/>
      </w:pPr>
      <w:r>
        <w:rPr>
          <w:rStyle w:val="FootnoteReference"/>
        </w:rPr>
        <w:footnoteRef/>
      </w:r>
      <w:r>
        <w:t xml:space="preserve"> </w:t>
      </w:r>
      <w:r>
        <w:tab/>
        <w:t xml:space="preserve">Refer to paragraph </w:t>
      </w:r>
      <w:r>
        <w:fldChar w:fldCharType="begin"/>
      </w:r>
      <w:r>
        <w:instrText xml:space="preserve"> REF _Ref36040137 \r \h </w:instrText>
      </w:r>
      <w:r>
        <w:fldChar w:fldCharType="separate"/>
      </w:r>
      <w:r w:rsidR="00550C88">
        <w:t>102</w:t>
      </w:r>
      <w:r>
        <w:fldChar w:fldCharType="end"/>
      </w:r>
      <w:r>
        <w:t xml:space="preserve"> of Attachment D to this Prudential Standard. </w:t>
      </w:r>
    </w:p>
  </w:footnote>
  <w:footnote w:id="10">
    <w:p w14:paraId="4CD37B6E" w14:textId="4A665242" w:rsidR="006D5D2C" w:rsidRDefault="006D5D2C" w:rsidP="00F75188">
      <w:pPr>
        <w:pStyle w:val="FootnoteText"/>
        <w:jc w:val="both"/>
      </w:pPr>
      <w:r>
        <w:rPr>
          <w:rStyle w:val="FootnoteReference"/>
        </w:rPr>
        <w:footnoteRef/>
      </w:r>
      <w:r>
        <w:t xml:space="preserve"> </w:t>
      </w:r>
      <w:r>
        <w:tab/>
        <w:t xml:space="preserve">Refer to paragraph </w:t>
      </w:r>
      <w:r>
        <w:fldChar w:fldCharType="begin"/>
      </w:r>
      <w:r>
        <w:instrText xml:space="preserve"> REF _Ref88496915 \r \h </w:instrText>
      </w:r>
      <w:r>
        <w:fldChar w:fldCharType="separate"/>
      </w:r>
      <w:r w:rsidR="00550C88">
        <w:t>30</w:t>
      </w:r>
      <w:r>
        <w:fldChar w:fldCharType="end"/>
      </w:r>
      <w:r>
        <w:t xml:space="preserve"> of Attachment B to this Prudential Standard.</w:t>
      </w:r>
    </w:p>
  </w:footnote>
  <w:footnote w:id="11">
    <w:p w14:paraId="221F455D" w14:textId="7674020D" w:rsidR="006D5D2C" w:rsidRDefault="006D5D2C" w:rsidP="00F75188">
      <w:pPr>
        <w:pStyle w:val="FootnoteText"/>
        <w:jc w:val="both"/>
      </w:pPr>
      <w:r>
        <w:rPr>
          <w:rStyle w:val="FootnoteReference"/>
        </w:rPr>
        <w:footnoteRef/>
      </w:r>
      <w:r>
        <w:t xml:space="preserve"> </w:t>
      </w:r>
      <w:r>
        <w:tab/>
        <w:t xml:space="preserve">Refer to paragraph </w:t>
      </w:r>
      <w:r>
        <w:fldChar w:fldCharType="begin"/>
      </w:r>
      <w:r>
        <w:instrText xml:space="preserve"> REF _Ref34386953 \r \h </w:instrText>
      </w:r>
      <w:r>
        <w:fldChar w:fldCharType="separate"/>
      </w:r>
      <w:r w:rsidR="00550C88">
        <w:t>75</w:t>
      </w:r>
      <w:r>
        <w:fldChar w:fldCharType="end"/>
      </w:r>
      <w:r>
        <w:t xml:space="preserve"> of this Attachment.</w:t>
      </w:r>
    </w:p>
  </w:footnote>
  <w:footnote w:id="12">
    <w:p w14:paraId="15983CAF" w14:textId="5B0936DC" w:rsidR="006D5D2C" w:rsidRDefault="006D5D2C" w:rsidP="00F75188">
      <w:pPr>
        <w:pStyle w:val="FootnoteText"/>
        <w:jc w:val="both"/>
      </w:pPr>
      <w:r>
        <w:rPr>
          <w:rStyle w:val="FootnoteReference"/>
        </w:rPr>
        <w:footnoteRef/>
      </w:r>
      <w:r>
        <w:t xml:space="preserve"> </w:t>
      </w:r>
      <w:r>
        <w:tab/>
        <w:t xml:space="preserve">Specific wrong-way risk </w:t>
      </w:r>
      <w:r w:rsidRPr="004926CE">
        <w:t>means the risk that arises when the exposure to a particular counterparty is positively correlated with the probability of default of the counterparty due to the nature of the tra</w:t>
      </w:r>
      <w:r>
        <w:t>nsactions with the counterparty.</w:t>
      </w:r>
    </w:p>
  </w:footnote>
  <w:footnote w:id="13">
    <w:p w14:paraId="5D724A08" w14:textId="5287AEBB" w:rsidR="006D5D2C" w:rsidRDefault="006D5D2C">
      <w:pPr>
        <w:pStyle w:val="FootnoteText"/>
      </w:pPr>
      <w:r>
        <w:rPr>
          <w:rStyle w:val="FootnoteReference"/>
        </w:rPr>
        <w:footnoteRef/>
      </w:r>
      <w:r>
        <w:t xml:space="preserve"> </w:t>
      </w:r>
      <w:r>
        <w:tab/>
        <w:t>For this purpose, the reference definition of default refers to ‘non-performing’ as set out in APS</w:t>
      </w:r>
      <w:r w:rsidR="008C3D0C">
        <w:t> </w:t>
      </w:r>
      <w:r>
        <w:t xml:space="preserve">220. </w:t>
      </w:r>
    </w:p>
  </w:footnote>
  <w:footnote w:id="14">
    <w:p w14:paraId="119998B9" w14:textId="69970575" w:rsidR="006D5D2C" w:rsidRDefault="006D5D2C" w:rsidP="00F75188">
      <w:pPr>
        <w:pStyle w:val="FootnoteText"/>
        <w:spacing w:after="120"/>
        <w:jc w:val="both"/>
      </w:pPr>
      <w:r>
        <w:rPr>
          <w:rStyle w:val="FootnoteReference"/>
        </w:rPr>
        <w:footnoteRef/>
      </w:r>
      <w:r>
        <w:t xml:space="preserve"> </w:t>
      </w:r>
      <w:r>
        <w:tab/>
      </w:r>
      <w:r w:rsidRPr="009778B4">
        <w:t xml:space="preserve">An ADI is not required to produce </w:t>
      </w:r>
      <w:r>
        <w:t>its own estimates of PD for specialised lending</w:t>
      </w:r>
      <w:r w:rsidRPr="009778B4">
        <w:t xml:space="preserve"> </w:t>
      </w:r>
      <w:r>
        <w:t>exposures subject to the supervisory slotting approach</w:t>
      </w:r>
      <w:r w:rsidRPr="009778B4">
        <w:t>.</w:t>
      </w:r>
    </w:p>
  </w:footnote>
  <w:footnote w:id="15">
    <w:p w14:paraId="06DDCDBF" w14:textId="12BE8DD0" w:rsidR="006D5D2C" w:rsidRDefault="006D5D2C" w:rsidP="00F75188">
      <w:pPr>
        <w:pStyle w:val="FootnoteText"/>
        <w:spacing w:after="120"/>
        <w:jc w:val="both"/>
      </w:pPr>
      <w:r>
        <w:rPr>
          <w:rStyle w:val="FootnoteReference"/>
        </w:rPr>
        <w:footnoteRef/>
      </w:r>
      <w:r>
        <w:t xml:space="preserve"> </w:t>
      </w:r>
      <w:r>
        <w:tab/>
      </w:r>
      <w:r w:rsidRPr="00945308">
        <w:t>Contra-accounts involve a customer buying from and selling to the same firm.</w:t>
      </w:r>
    </w:p>
  </w:footnote>
  <w:footnote w:id="16">
    <w:p w14:paraId="2C1FADE9" w14:textId="77777777" w:rsidR="006D5D2C" w:rsidRDefault="006D5D2C" w:rsidP="00F75188">
      <w:pPr>
        <w:pStyle w:val="FootnoteText"/>
        <w:spacing w:after="120"/>
        <w:jc w:val="both"/>
      </w:pPr>
      <w:r>
        <w:rPr>
          <w:rStyle w:val="FootnoteReference"/>
        </w:rPr>
        <w:footnoteRef/>
      </w:r>
      <w:r>
        <w:t xml:space="preserve"> </w:t>
      </w:r>
      <w:r>
        <w:tab/>
      </w:r>
      <w:r w:rsidRPr="005F10D1">
        <w:t xml:space="preserve">Claims on tranches of the proceeds (e.g. first or second loss positions) </w:t>
      </w:r>
      <w:r>
        <w:t>are subject to the capital requirements set out in</w:t>
      </w:r>
      <w:r w:rsidRPr="005F10D1">
        <w:t xml:space="preserve"> APS</w:t>
      </w:r>
      <w:r>
        <w:t> </w:t>
      </w:r>
      <w:r w:rsidRPr="005F10D1">
        <w:t>120.</w:t>
      </w:r>
    </w:p>
  </w:footnote>
  <w:footnote w:id="17">
    <w:p w14:paraId="314F00CE" w14:textId="499E8E80" w:rsidR="006D5D2C" w:rsidRDefault="006D5D2C" w:rsidP="00F75188">
      <w:pPr>
        <w:pStyle w:val="FootnoteText"/>
        <w:spacing w:after="120"/>
        <w:jc w:val="both"/>
      </w:pPr>
      <w:r>
        <w:rPr>
          <w:rStyle w:val="FootnoteReference"/>
        </w:rPr>
        <w:footnoteRef/>
      </w:r>
      <w:r>
        <w:t xml:space="preserve"> </w:t>
      </w:r>
      <w:r>
        <w:tab/>
      </w:r>
      <w:r w:rsidRPr="005F10D1">
        <w:t xml:space="preserve">The firm-size adjustment, as </w:t>
      </w:r>
      <w:r>
        <w:t xml:space="preserve">set </w:t>
      </w:r>
      <w:r w:rsidRPr="00E4291F">
        <w:t xml:space="preserve">out in paragraph </w:t>
      </w:r>
      <w:r w:rsidRPr="00E4291F">
        <w:fldChar w:fldCharType="begin"/>
      </w:r>
      <w:r w:rsidRPr="00E4291F">
        <w:instrText xml:space="preserve"> REF _Ref34394124 \r \h </w:instrText>
      </w:r>
      <w:r>
        <w:instrText xml:space="preserve"> \* MERGEFORMAT </w:instrText>
      </w:r>
      <w:r w:rsidRPr="00E4291F">
        <w:fldChar w:fldCharType="separate"/>
      </w:r>
      <w:r w:rsidR="00550C88">
        <w:t>6</w:t>
      </w:r>
      <w:r w:rsidRPr="00E4291F">
        <w:fldChar w:fldCharType="end"/>
      </w:r>
      <w:r w:rsidRPr="00E4291F">
        <w:t xml:space="preserve"> of Attachment A</w:t>
      </w:r>
      <w:r>
        <w:t xml:space="preserve"> to this Prudential Standard</w:t>
      </w:r>
      <w:r w:rsidRPr="00E4291F">
        <w:t>,</w:t>
      </w:r>
      <w:r w:rsidRPr="005F10D1">
        <w:t xml:space="preserve"> is the weighted average </w:t>
      </w:r>
      <w:r>
        <w:t>firm-size for</w:t>
      </w:r>
      <w:r w:rsidRPr="005F10D1">
        <w:t xml:space="preserve"> individual exposures in the pool of purchased corporate receivables. If an ADI does not have the information to calculate the average </w:t>
      </w:r>
      <w:r>
        <w:t>firm-</w:t>
      </w:r>
      <w:r w:rsidRPr="005F10D1">
        <w:t>size of the pool, the firm-size adjustment does not apply.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4156"/>
      <w:gridCol w:w="4156"/>
    </w:tblGrid>
    <w:tr w:rsidR="00E5503A" w:rsidRPr="004F1863" w14:paraId="253BAC0D" w14:textId="77777777" w:rsidTr="000D63A8">
      <w:tc>
        <w:tcPr>
          <w:tcW w:w="4264" w:type="dxa"/>
          <w:tcBorders>
            <w:top w:val="nil"/>
            <w:left w:val="nil"/>
            <w:bottom w:val="nil"/>
            <w:right w:val="nil"/>
          </w:tcBorders>
        </w:tcPr>
        <w:p w14:paraId="56462B08" w14:textId="2A57A414" w:rsidR="00E5503A" w:rsidRDefault="00E5503A" w:rsidP="00A8482E"/>
      </w:tc>
      <w:tc>
        <w:tcPr>
          <w:tcW w:w="4264" w:type="dxa"/>
          <w:tcBorders>
            <w:top w:val="nil"/>
            <w:left w:val="nil"/>
            <w:bottom w:val="nil"/>
            <w:right w:val="nil"/>
          </w:tcBorders>
        </w:tcPr>
        <w:p w14:paraId="5CEDAE11" w14:textId="309630C5" w:rsidR="00E5503A" w:rsidRPr="004F1863" w:rsidRDefault="00E5503A" w:rsidP="000D63A8">
          <w:pPr>
            <w:pStyle w:val="Header"/>
            <w:rPr>
              <w:b w:val="0"/>
            </w:rPr>
          </w:pPr>
        </w:p>
      </w:tc>
    </w:tr>
  </w:tbl>
  <w:p w14:paraId="7D443B72" w14:textId="77777777" w:rsidR="00E5503A" w:rsidRDefault="00E55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F94E9" w14:textId="443FBF4D" w:rsidR="00E5503A" w:rsidRPr="00601881" w:rsidRDefault="00131E87" w:rsidP="00131E87">
    <w:pPr>
      <w:pStyle w:val="Header"/>
      <w:jc w:val="left"/>
      <w:rPr>
        <w:b w:val="0"/>
      </w:rPr>
    </w:pPr>
    <w:r w:rsidRPr="00131E87">
      <w:rPr>
        <w:b w:val="0"/>
      </w:rPr>
      <w:tab/>
    </w:r>
    <w:r w:rsidRPr="00131E87">
      <w:rPr>
        <w:b w:val="0"/>
      </w:rPr>
      <w:tab/>
    </w:r>
    <w:r w:rsidR="007F40EE">
      <w:rPr>
        <w:b w:val="0"/>
      </w:rPr>
      <w:t xml:space="preserve">September </w:t>
    </w:r>
    <w:r w:rsidR="007F40EE" w:rsidRPr="007D5730">
      <w:rPr>
        <w:b w:val="0"/>
      </w:rPr>
      <w:t>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4140"/>
      <w:gridCol w:w="4172"/>
    </w:tblGrid>
    <w:tr w:rsidR="00BE6A89" w:rsidRPr="004F1863" w14:paraId="02CAB84F" w14:textId="77777777" w:rsidTr="000D63A8">
      <w:tc>
        <w:tcPr>
          <w:tcW w:w="4264" w:type="dxa"/>
          <w:tcBorders>
            <w:top w:val="nil"/>
            <w:left w:val="nil"/>
            <w:bottom w:val="nil"/>
            <w:right w:val="nil"/>
          </w:tcBorders>
        </w:tcPr>
        <w:p w14:paraId="2D900A5E" w14:textId="77777777" w:rsidR="00BE6A89" w:rsidRDefault="00BE6A89" w:rsidP="00A8482E"/>
      </w:tc>
      <w:tc>
        <w:tcPr>
          <w:tcW w:w="4264" w:type="dxa"/>
          <w:tcBorders>
            <w:top w:val="nil"/>
            <w:left w:val="nil"/>
            <w:bottom w:val="nil"/>
            <w:right w:val="nil"/>
          </w:tcBorders>
        </w:tcPr>
        <w:p w14:paraId="09EA7658" w14:textId="77777777" w:rsidR="00BE6A89" w:rsidRPr="004F1863" w:rsidRDefault="00BE6A89" w:rsidP="000D63A8">
          <w:pPr>
            <w:pStyle w:val="Header"/>
            <w:rPr>
              <w:b w:val="0"/>
            </w:rPr>
          </w:pPr>
          <w:r>
            <w:rPr>
              <w:b w:val="0"/>
            </w:rPr>
            <w:t xml:space="preserve">September </w:t>
          </w:r>
          <w:r w:rsidRPr="007D5730">
            <w:rPr>
              <w:b w:val="0"/>
            </w:rPr>
            <w:t>2024</w:t>
          </w:r>
        </w:p>
      </w:tc>
    </w:tr>
  </w:tbl>
  <w:p w14:paraId="360D53DD" w14:textId="77777777" w:rsidR="00BE6A89" w:rsidRDefault="00BE6A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4140"/>
      <w:gridCol w:w="4172"/>
    </w:tblGrid>
    <w:tr w:rsidR="00BE6A89" w:rsidRPr="004F1863" w14:paraId="75DC3C68" w14:textId="77777777" w:rsidTr="000D63A8">
      <w:tc>
        <w:tcPr>
          <w:tcW w:w="4264" w:type="dxa"/>
          <w:tcBorders>
            <w:top w:val="nil"/>
            <w:left w:val="nil"/>
            <w:bottom w:val="nil"/>
            <w:right w:val="nil"/>
          </w:tcBorders>
        </w:tcPr>
        <w:p w14:paraId="38C12CFA" w14:textId="77777777" w:rsidR="00BE6A89" w:rsidRDefault="00BE6A89" w:rsidP="00A8482E"/>
      </w:tc>
      <w:tc>
        <w:tcPr>
          <w:tcW w:w="4264" w:type="dxa"/>
          <w:tcBorders>
            <w:top w:val="nil"/>
            <w:left w:val="nil"/>
            <w:bottom w:val="nil"/>
            <w:right w:val="nil"/>
          </w:tcBorders>
        </w:tcPr>
        <w:p w14:paraId="65E74F5B" w14:textId="77777777" w:rsidR="00BE6A89" w:rsidRPr="004F1863" w:rsidRDefault="00BE6A89" w:rsidP="000D63A8">
          <w:pPr>
            <w:pStyle w:val="Header"/>
            <w:rPr>
              <w:b w:val="0"/>
            </w:rPr>
          </w:pPr>
          <w:r>
            <w:rPr>
              <w:b w:val="0"/>
            </w:rPr>
            <w:t xml:space="preserve">September </w:t>
          </w:r>
          <w:r w:rsidRPr="007D5730">
            <w:rPr>
              <w:b w:val="0"/>
            </w:rPr>
            <w:t>2024</w:t>
          </w:r>
        </w:p>
      </w:tc>
    </w:tr>
  </w:tbl>
  <w:p w14:paraId="1D0666A2" w14:textId="77777777" w:rsidR="00BE6A89" w:rsidRDefault="00BE6A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4034" w:type="dxa"/>
      <w:tblLook w:val="04A0" w:firstRow="1" w:lastRow="0" w:firstColumn="1" w:lastColumn="0" w:noHBand="0" w:noVBand="1"/>
    </w:tblPr>
    <w:tblGrid>
      <w:gridCol w:w="7371"/>
      <w:gridCol w:w="6663"/>
    </w:tblGrid>
    <w:tr w:rsidR="00892A9C" w14:paraId="68A0B74C" w14:textId="77777777" w:rsidTr="00097D9B">
      <w:tc>
        <w:tcPr>
          <w:tcW w:w="7371" w:type="dxa"/>
          <w:tcBorders>
            <w:top w:val="nil"/>
            <w:left w:val="nil"/>
            <w:bottom w:val="nil"/>
            <w:right w:val="nil"/>
          </w:tcBorders>
        </w:tcPr>
        <w:p w14:paraId="45DA1A93" w14:textId="1EA61F3E" w:rsidR="00892A9C" w:rsidRDefault="00892A9C" w:rsidP="00FF513E">
          <w:pPr>
            <w:pStyle w:val="Header"/>
          </w:pPr>
        </w:p>
      </w:tc>
      <w:tc>
        <w:tcPr>
          <w:tcW w:w="6663" w:type="dxa"/>
          <w:tcBorders>
            <w:top w:val="nil"/>
            <w:left w:val="nil"/>
            <w:bottom w:val="nil"/>
            <w:right w:val="nil"/>
          </w:tcBorders>
        </w:tcPr>
        <w:p w14:paraId="5B3A5A22" w14:textId="196E68DF" w:rsidR="00892A9C" w:rsidRPr="00A608B4" w:rsidRDefault="00E02427" w:rsidP="000D63A8">
          <w:pPr>
            <w:pStyle w:val="Header"/>
          </w:pPr>
          <w:r>
            <w:t>September</w:t>
          </w:r>
          <w:r w:rsidR="00ED1521">
            <w:t xml:space="preserve"> 2024</w:t>
          </w:r>
        </w:p>
      </w:tc>
    </w:tr>
  </w:tbl>
  <w:p w14:paraId="78A4BC7E" w14:textId="77777777" w:rsidR="00892A9C" w:rsidRDefault="00892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374D4"/>
    <w:multiLevelType w:val="hybridMultilevel"/>
    <w:tmpl w:val="B8422FF6"/>
    <w:lvl w:ilvl="0" w:tplc="01569D52">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EBA333F"/>
    <w:multiLevelType w:val="hybridMultilevel"/>
    <w:tmpl w:val="16702658"/>
    <w:lvl w:ilvl="0" w:tplc="2BCC8912">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463545"/>
    <w:multiLevelType w:val="multilevel"/>
    <w:tmpl w:val="130E79A2"/>
    <w:lvl w:ilvl="0">
      <w:start w:val="1"/>
      <w:numFmt w:val="decimal"/>
      <w:pStyle w:val="BodyText1"/>
      <w:lvlText w:val="%1."/>
      <w:lvlJc w:val="left"/>
      <w:pPr>
        <w:tabs>
          <w:tab w:val="num" w:pos="709"/>
        </w:tabs>
        <w:ind w:left="709" w:hanging="567"/>
      </w:pPr>
      <w:rPr>
        <w:rFonts w:hint="default"/>
      </w:rPr>
    </w:lvl>
    <w:lvl w:ilvl="1">
      <w:start w:val="1"/>
      <w:numFmt w:val="lowerLetter"/>
      <w:pStyle w:val="BodyText2"/>
      <w:lvlText w:val="(%2)"/>
      <w:lvlJc w:val="left"/>
      <w:pPr>
        <w:tabs>
          <w:tab w:val="num" w:pos="1134"/>
        </w:tabs>
        <w:ind w:left="1134" w:hanging="567"/>
      </w:pPr>
      <w:rPr>
        <w:rFonts w:hint="default"/>
      </w:rPr>
    </w:lvl>
    <w:lvl w:ilvl="2">
      <w:start w:val="1"/>
      <w:numFmt w:val="lowerRoman"/>
      <w:pStyle w:val="BodyText3"/>
      <w:lvlText w:val="(%3)"/>
      <w:lvlJc w:val="left"/>
      <w:pPr>
        <w:tabs>
          <w:tab w:val="num" w:pos="1701"/>
        </w:tabs>
        <w:ind w:left="1701"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2611BC8"/>
    <w:multiLevelType w:val="hybridMultilevel"/>
    <w:tmpl w:val="212CE0E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 w15:restartNumberingAfterBreak="0">
    <w:nsid w:val="27A17303"/>
    <w:multiLevelType w:val="hybridMultilevel"/>
    <w:tmpl w:val="77C43CF6"/>
    <w:lvl w:ilvl="0" w:tplc="3FE2458C">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34373F"/>
    <w:multiLevelType w:val="hybridMultilevel"/>
    <w:tmpl w:val="4EE0561E"/>
    <w:lvl w:ilvl="0" w:tplc="BE2AE1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217FF9"/>
    <w:multiLevelType w:val="hybridMultilevel"/>
    <w:tmpl w:val="2AFED674"/>
    <w:lvl w:ilvl="0" w:tplc="819488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C9E4821"/>
    <w:multiLevelType w:val="hybridMultilevel"/>
    <w:tmpl w:val="CAF26378"/>
    <w:lvl w:ilvl="0" w:tplc="C1DCAEFC">
      <w:start w:val="1"/>
      <w:numFmt w:val="decimal"/>
      <w:pStyle w:val="TableHeadNumber"/>
      <w:lvlText w:val="Tabl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EF74350"/>
    <w:multiLevelType w:val="hybridMultilevel"/>
    <w:tmpl w:val="0CB28790"/>
    <w:lvl w:ilvl="0" w:tplc="D062F96A">
      <w:start w:val="1"/>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04317F"/>
    <w:multiLevelType w:val="hybridMultilevel"/>
    <w:tmpl w:val="630658EC"/>
    <w:lvl w:ilvl="0" w:tplc="1ECE49D8">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BE6DA4"/>
    <w:multiLevelType w:val="multilevel"/>
    <w:tmpl w:val="FAF04EA0"/>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1" w15:restartNumberingAfterBreak="0">
    <w:nsid w:val="506E4DC8"/>
    <w:multiLevelType w:val="hybridMultilevel"/>
    <w:tmpl w:val="8DB8315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2" w15:restartNumberingAfterBreak="0">
    <w:nsid w:val="538A14A8"/>
    <w:multiLevelType w:val="hybridMultilevel"/>
    <w:tmpl w:val="654812A2"/>
    <w:lvl w:ilvl="0" w:tplc="41907E00">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4BA5257"/>
    <w:multiLevelType w:val="hybridMultilevel"/>
    <w:tmpl w:val="DC88033A"/>
    <w:lvl w:ilvl="0" w:tplc="14160882">
      <w:start w:val="20"/>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B741F0"/>
    <w:multiLevelType w:val="hybridMultilevel"/>
    <w:tmpl w:val="0ABE5604"/>
    <w:lvl w:ilvl="0" w:tplc="39D02E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8616A8F"/>
    <w:multiLevelType w:val="multilevel"/>
    <w:tmpl w:val="6718A3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24033116">
    <w:abstractNumId w:val="10"/>
  </w:num>
  <w:num w:numId="2" w16cid:durableId="28846733">
    <w:abstractNumId w:val="2"/>
  </w:num>
  <w:num w:numId="3" w16cid:durableId="584655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220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60211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55653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1604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20049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2828129">
    <w:abstractNumId w:val="3"/>
  </w:num>
  <w:num w:numId="10" w16cid:durableId="1913002119">
    <w:abstractNumId w:val="11"/>
  </w:num>
  <w:num w:numId="11" w16cid:durableId="795441895">
    <w:abstractNumId w:val="7"/>
  </w:num>
  <w:num w:numId="12" w16cid:durableId="1486817221">
    <w:abstractNumId w:val="5"/>
  </w:num>
  <w:num w:numId="13" w16cid:durableId="4650033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5013716">
    <w:abstractNumId w:val="13"/>
  </w:num>
  <w:num w:numId="15" w16cid:durableId="357969022">
    <w:abstractNumId w:val="9"/>
  </w:num>
  <w:num w:numId="16" w16cid:durableId="1437366330">
    <w:abstractNumId w:val="4"/>
  </w:num>
  <w:num w:numId="17" w16cid:durableId="1869369280">
    <w:abstractNumId w:val="2"/>
  </w:num>
  <w:num w:numId="18" w16cid:durableId="135877715">
    <w:abstractNumId w:val="8"/>
  </w:num>
  <w:num w:numId="19" w16cid:durableId="506020139">
    <w:abstractNumId w:val="1"/>
  </w:num>
  <w:num w:numId="20" w16cid:durableId="1922790029">
    <w:abstractNumId w:val="6"/>
  </w:num>
  <w:num w:numId="21" w16cid:durableId="243994832">
    <w:abstractNumId w:val="0"/>
  </w:num>
  <w:num w:numId="22" w16cid:durableId="74330769">
    <w:abstractNumId w:val="0"/>
  </w:num>
  <w:num w:numId="23" w16cid:durableId="730229967">
    <w:abstractNumId w:val="15"/>
  </w:num>
  <w:num w:numId="24" w16cid:durableId="1797914986">
    <w:abstractNumId w:val="14"/>
  </w:num>
  <w:num w:numId="25" w16cid:durableId="971864611">
    <w:abstractNumId w:val="2"/>
  </w:num>
  <w:num w:numId="26" w16cid:durableId="920800148">
    <w:abstractNumId w:val="2"/>
  </w:num>
  <w:num w:numId="27" w16cid:durableId="1418358889">
    <w:abstractNumId w:val="12"/>
  </w:num>
  <w:num w:numId="28" w16cid:durableId="79845073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9C8"/>
    <w:rsid w:val="00000323"/>
    <w:rsid w:val="000008D8"/>
    <w:rsid w:val="00000ABB"/>
    <w:rsid w:val="00000F48"/>
    <w:rsid w:val="000011AD"/>
    <w:rsid w:val="0000183A"/>
    <w:rsid w:val="0000189A"/>
    <w:rsid w:val="00001D30"/>
    <w:rsid w:val="00001D43"/>
    <w:rsid w:val="00002857"/>
    <w:rsid w:val="00002865"/>
    <w:rsid w:val="00002B99"/>
    <w:rsid w:val="00002E5F"/>
    <w:rsid w:val="00003398"/>
    <w:rsid w:val="0000341C"/>
    <w:rsid w:val="000035F5"/>
    <w:rsid w:val="00003C34"/>
    <w:rsid w:val="00004D00"/>
    <w:rsid w:val="00004EF0"/>
    <w:rsid w:val="00005068"/>
    <w:rsid w:val="00006B7D"/>
    <w:rsid w:val="00007591"/>
    <w:rsid w:val="00007E60"/>
    <w:rsid w:val="0001001E"/>
    <w:rsid w:val="000103E0"/>
    <w:rsid w:val="00010490"/>
    <w:rsid w:val="000104A0"/>
    <w:rsid w:val="0001056C"/>
    <w:rsid w:val="0001088F"/>
    <w:rsid w:val="00010BD4"/>
    <w:rsid w:val="00011505"/>
    <w:rsid w:val="00011790"/>
    <w:rsid w:val="00012441"/>
    <w:rsid w:val="00012C60"/>
    <w:rsid w:val="00012CC1"/>
    <w:rsid w:val="000131EB"/>
    <w:rsid w:val="0001321A"/>
    <w:rsid w:val="00013896"/>
    <w:rsid w:val="00013FC1"/>
    <w:rsid w:val="00014038"/>
    <w:rsid w:val="000146FB"/>
    <w:rsid w:val="00014A71"/>
    <w:rsid w:val="00014C31"/>
    <w:rsid w:val="00014F5E"/>
    <w:rsid w:val="00015123"/>
    <w:rsid w:val="000154D1"/>
    <w:rsid w:val="00015EE4"/>
    <w:rsid w:val="00015F67"/>
    <w:rsid w:val="00015FDB"/>
    <w:rsid w:val="0001608E"/>
    <w:rsid w:val="00016609"/>
    <w:rsid w:val="0001665F"/>
    <w:rsid w:val="00016C85"/>
    <w:rsid w:val="00016CAA"/>
    <w:rsid w:val="000170CE"/>
    <w:rsid w:val="00017E26"/>
    <w:rsid w:val="00020584"/>
    <w:rsid w:val="000209AF"/>
    <w:rsid w:val="00021738"/>
    <w:rsid w:val="00022084"/>
    <w:rsid w:val="000220B6"/>
    <w:rsid w:val="000221B1"/>
    <w:rsid w:val="00022615"/>
    <w:rsid w:val="000227EB"/>
    <w:rsid w:val="00022A1C"/>
    <w:rsid w:val="00022DAF"/>
    <w:rsid w:val="00022DCD"/>
    <w:rsid w:val="00023732"/>
    <w:rsid w:val="0002384C"/>
    <w:rsid w:val="00025236"/>
    <w:rsid w:val="000252C9"/>
    <w:rsid w:val="0002587C"/>
    <w:rsid w:val="00025B30"/>
    <w:rsid w:val="00025BC5"/>
    <w:rsid w:val="00025DE5"/>
    <w:rsid w:val="00026144"/>
    <w:rsid w:val="00026164"/>
    <w:rsid w:val="000267B7"/>
    <w:rsid w:val="00027473"/>
    <w:rsid w:val="00027758"/>
    <w:rsid w:val="000307D4"/>
    <w:rsid w:val="00030FA9"/>
    <w:rsid w:val="000315B1"/>
    <w:rsid w:val="00031696"/>
    <w:rsid w:val="0003182A"/>
    <w:rsid w:val="000325F8"/>
    <w:rsid w:val="00032C95"/>
    <w:rsid w:val="0003315C"/>
    <w:rsid w:val="0003315E"/>
    <w:rsid w:val="00033A01"/>
    <w:rsid w:val="00033E83"/>
    <w:rsid w:val="000343C4"/>
    <w:rsid w:val="0003460E"/>
    <w:rsid w:val="000352AB"/>
    <w:rsid w:val="000358E7"/>
    <w:rsid w:val="00036439"/>
    <w:rsid w:val="000365BD"/>
    <w:rsid w:val="000366F0"/>
    <w:rsid w:val="00036986"/>
    <w:rsid w:val="00036CBB"/>
    <w:rsid w:val="00037073"/>
    <w:rsid w:val="00037997"/>
    <w:rsid w:val="00037C97"/>
    <w:rsid w:val="00037E9D"/>
    <w:rsid w:val="000409BF"/>
    <w:rsid w:val="00040BA6"/>
    <w:rsid w:val="00040F21"/>
    <w:rsid w:val="00041416"/>
    <w:rsid w:val="000423C5"/>
    <w:rsid w:val="00042427"/>
    <w:rsid w:val="00042821"/>
    <w:rsid w:val="0004368E"/>
    <w:rsid w:val="0004415E"/>
    <w:rsid w:val="00044BC9"/>
    <w:rsid w:val="00044C6E"/>
    <w:rsid w:val="00045091"/>
    <w:rsid w:val="00045700"/>
    <w:rsid w:val="00045854"/>
    <w:rsid w:val="000458E6"/>
    <w:rsid w:val="000459FA"/>
    <w:rsid w:val="000459FC"/>
    <w:rsid w:val="00045A5A"/>
    <w:rsid w:val="000460E4"/>
    <w:rsid w:val="0004682F"/>
    <w:rsid w:val="00046845"/>
    <w:rsid w:val="000468B9"/>
    <w:rsid w:val="00050067"/>
    <w:rsid w:val="00050E25"/>
    <w:rsid w:val="000518B9"/>
    <w:rsid w:val="00052406"/>
    <w:rsid w:val="000525FE"/>
    <w:rsid w:val="00052C13"/>
    <w:rsid w:val="00052CC1"/>
    <w:rsid w:val="00052E90"/>
    <w:rsid w:val="00053602"/>
    <w:rsid w:val="00053A6D"/>
    <w:rsid w:val="00054470"/>
    <w:rsid w:val="000552DA"/>
    <w:rsid w:val="00055346"/>
    <w:rsid w:val="00055A7B"/>
    <w:rsid w:val="00055C54"/>
    <w:rsid w:val="000564D3"/>
    <w:rsid w:val="00057A55"/>
    <w:rsid w:val="00060163"/>
    <w:rsid w:val="00060B08"/>
    <w:rsid w:val="00061215"/>
    <w:rsid w:val="000614D8"/>
    <w:rsid w:val="0006182A"/>
    <w:rsid w:val="00061D93"/>
    <w:rsid w:val="0006224B"/>
    <w:rsid w:val="00062C5E"/>
    <w:rsid w:val="00062FC5"/>
    <w:rsid w:val="0006337F"/>
    <w:rsid w:val="0006397A"/>
    <w:rsid w:val="00063A59"/>
    <w:rsid w:val="00063AB1"/>
    <w:rsid w:val="00063BD6"/>
    <w:rsid w:val="00063D31"/>
    <w:rsid w:val="00063D33"/>
    <w:rsid w:val="00064283"/>
    <w:rsid w:val="000645B6"/>
    <w:rsid w:val="00064BE5"/>
    <w:rsid w:val="00064CB8"/>
    <w:rsid w:val="00064F75"/>
    <w:rsid w:val="00065867"/>
    <w:rsid w:val="000659A7"/>
    <w:rsid w:val="00065C44"/>
    <w:rsid w:val="000665E7"/>
    <w:rsid w:val="00066673"/>
    <w:rsid w:val="00066A4D"/>
    <w:rsid w:val="00066B43"/>
    <w:rsid w:val="00066C47"/>
    <w:rsid w:val="00066D71"/>
    <w:rsid w:val="00067277"/>
    <w:rsid w:val="000674AC"/>
    <w:rsid w:val="0007002E"/>
    <w:rsid w:val="0007015D"/>
    <w:rsid w:val="00070B49"/>
    <w:rsid w:val="00070E7D"/>
    <w:rsid w:val="00070F5B"/>
    <w:rsid w:val="0007115B"/>
    <w:rsid w:val="00071992"/>
    <w:rsid w:val="00071E76"/>
    <w:rsid w:val="00072134"/>
    <w:rsid w:val="00072212"/>
    <w:rsid w:val="0007277D"/>
    <w:rsid w:val="00072BEE"/>
    <w:rsid w:val="000734D2"/>
    <w:rsid w:val="0007376C"/>
    <w:rsid w:val="0007391A"/>
    <w:rsid w:val="00073A2D"/>
    <w:rsid w:val="00073F34"/>
    <w:rsid w:val="00073F79"/>
    <w:rsid w:val="00074D7A"/>
    <w:rsid w:val="00075940"/>
    <w:rsid w:val="00075F51"/>
    <w:rsid w:val="0007628F"/>
    <w:rsid w:val="00076483"/>
    <w:rsid w:val="00076789"/>
    <w:rsid w:val="000767B1"/>
    <w:rsid w:val="000771B4"/>
    <w:rsid w:val="000772AB"/>
    <w:rsid w:val="000774A5"/>
    <w:rsid w:val="00077B2D"/>
    <w:rsid w:val="00080046"/>
    <w:rsid w:val="0008027B"/>
    <w:rsid w:val="000805AE"/>
    <w:rsid w:val="00080BD1"/>
    <w:rsid w:val="0008116D"/>
    <w:rsid w:val="00081634"/>
    <w:rsid w:val="000816CF"/>
    <w:rsid w:val="00081B69"/>
    <w:rsid w:val="00082686"/>
    <w:rsid w:val="00082ED1"/>
    <w:rsid w:val="00082F4D"/>
    <w:rsid w:val="000835F8"/>
    <w:rsid w:val="00083B65"/>
    <w:rsid w:val="00083B6C"/>
    <w:rsid w:val="0008422B"/>
    <w:rsid w:val="000843C2"/>
    <w:rsid w:val="00084AA4"/>
    <w:rsid w:val="00084F19"/>
    <w:rsid w:val="000850FC"/>
    <w:rsid w:val="000852C0"/>
    <w:rsid w:val="000858E1"/>
    <w:rsid w:val="00085CCB"/>
    <w:rsid w:val="00085EDE"/>
    <w:rsid w:val="0008686D"/>
    <w:rsid w:val="00086E0F"/>
    <w:rsid w:val="000873FA"/>
    <w:rsid w:val="000875CB"/>
    <w:rsid w:val="00087D3E"/>
    <w:rsid w:val="00087F1A"/>
    <w:rsid w:val="00087F26"/>
    <w:rsid w:val="00087F65"/>
    <w:rsid w:val="00090055"/>
    <w:rsid w:val="00090C24"/>
    <w:rsid w:val="00090F0C"/>
    <w:rsid w:val="00090F2D"/>
    <w:rsid w:val="0009102C"/>
    <w:rsid w:val="00091407"/>
    <w:rsid w:val="000916FC"/>
    <w:rsid w:val="0009178B"/>
    <w:rsid w:val="000919C5"/>
    <w:rsid w:val="000923CE"/>
    <w:rsid w:val="00092646"/>
    <w:rsid w:val="0009283B"/>
    <w:rsid w:val="00092AF5"/>
    <w:rsid w:val="00092C77"/>
    <w:rsid w:val="00092FF0"/>
    <w:rsid w:val="000930C7"/>
    <w:rsid w:val="000935DE"/>
    <w:rsid w:val="00093B35"/>
    <w:rsid w:val="00094260"/>
    <w:rsid w:val="00094D78"/>
    <w:rsid w:val="00095370"/>
    <w:rsid w:val="00095E6C"/>
    <w:rsid w:val="00096804"/>
    <w:rsid w:val="00096901"/>
    <w:rsid w:val="00096995"/>
    <w:rsid w:val="00097466"/>
    <w:rsid w:val="000974D9"/>
    <w:rsid w:val="000977BE"/>
    <w:rsid w:val="00097A47"/>
    <w:rsid w:val="00097BDA"/>
    <w:rsid w:val="00097D9B"/>
    <w:rsid w:val="000A037C"/>
    <w:rsid w:val="000A0633"/>
    <w:rsid w:val="000A094F"/>
    <w:rsid w:val="000A102D"/>
    <w:rsid w:val="000A110C"/>
    <w:rsid w:val="000A1A59"/>
    <w:rsid w:val="000A1B8A"/>
    <w:rsid w:val="000A1E02"/>
    <w:rsid w:val="000A23E2"/>
    <w:rsid w:val="000A26C4"/>
    <w:rsid w:val="000A271E"/>
    <w:rsid w:val="000A2B2E"/>
    <w:rsid w:val="000A354F"/>
    <w:rsid w:val="000A403A"/>
    <w:rsid w:val="000A446B"/>
    <w:rsid w:val="000A4488"/>
    <w:rsid w:val="000A45A4"/>
    <w:rsid w:val="000A521E"/>
    <w:rsid w:val="000A563C"/>
    <w:rsid w:val="000A5A56"/>
    <w:rsid w:val="000A5B2F"/>
    <w:rsid w:val="000A6126"/>
    <w:rsid w:val="000A61E5"/>
    <w:rsid w:val="000A6547"/>
    <w:rsid w:val="000A6FE7"/>
    <w:rsid w:val="000A73C7"/>
    <w:rsid w:val="000A749D"/>
    <w:rsid w:val="000A7894"/>
    <w:rsid w:val="000A78A2"/>
    <w:rsid w:val="000A7BD6"/>
    <w:rsid w:val="000B0059"/>
    <w:rsid w:val="000B0413"/>
    <w:rsid w:val="000B060F"/>
    <w:rsid w:val="000B0A83"/>
    <w:rsid w:val="000B0B09"/>
    <w:rsid w:val="000B0C08"/>
    <w:rsid w:val="000B0C6E"/>
    <w:rsid w:val="000B175E"/>
    <w:rsid w:val="000B2650"/>
    <w:rsid w:val="000B2CB5"/>
    <w:rsid w:val="000B3977"/>
    <w:rsid w:val="000B3AE4"/>
    <w:rsid w:val="000B3AE5"/>
    <w:rsid w:val="000B3E23"/>
    <w:rsid w:val="000B3EC3"/>
    <w:rsid w:val="000B4410"/>
    <w:rsid w:val="000B48C1"/>
    <w:rsid w:val="000B4B48"/>
    <w:rsid w:val="000B50DE"/>
    <w:rsid w:val="000B541D"/>
    <w:rsid w:val="000B61EA"/>
    <w:rsid w:val="000B63FF"/>
    <w:rsid w:val="000B688A"/>
    <w:rsid w:val="000B68D9"/>
    <w:rsid w:val="000B6EBC"/>
    <w:rsid w:val="000B7FD7"/>
    <w:rsid w:val="000C08B2"/>
    <w:rsid w:val="000C0C6F"/>
    <w:rsid w:val="000C2000"/>
    <w:rsid w:val="000C20EA"/>
    <w:rsid w:val="000C3226"/>
    <w:rsid w:val="000C39E0"/>
    <w:rsid w:val="000C49F5"/>
    <w:rsid w:val="000C4A2C"/>
    <w:rsid w:val="000C4ADE"/>
    <w:rsid w:val="000C5201"/>
    <w:rsid w:val="000C5E22"/>
    <w:rsid w:val="000C61F8"/>
    <w:rsid w:val="000C6B9C"/>
    <w:rsid w:val="000C7D66"/>
    <w:rsid w:val="000C7F2E"/>
    <w:rsid w:val="000D01F9"/>
    <w:rsid w:val="000D05F6"/>
    <w:rsid w:val="000D08D6"/>
    <w:rsid w:val="000D0952"/>
    <w:rsid w:val="000D1132"/>
    <w:rsid w:val="000D13FC"/>
    <w:rsid w:val="000D146D"/>
    <w:rsid w:val="000D1569"/>
    <w:rsid w:val="000D1673"/>
    <w:rsid w:val="000D1D42"/>
    <w:rsid w:val="000D1EFF"/>
    <w:rsid w:val="000D2795"/>
    <w:rsid w:val="000D2E71"/>
    <w:rsid w:val="000D2FC8"/>
    <w:rsid w:val="000D3083"/>
    <w:rsid w:val="000D3814"/>
    <w:rsid w:val="000D39B0"/>
    <w:rsid w:val="000D3D8D"/>
    <w:rsid w:val="000D4C16"/>
    <w:rsid w:val="000D4E26"/>
    <w:rsid w:val="000D4F23"/>
    <w:rsid w:val="000D50EE"/>
    <w:rsid w:val="000D514E"/>
    <w:rsid w:val="000D52A8"/>
    <w:rsid w:val="000D55E6"/>
    <w:rsid w:val="000D561C"/>
    <w:rsid w:val="000D5D9F"/>
    <w:rsid w:val="000D5DDD"/>
    <w:rsid w:val="000D629D"/>
    <w:rsid w:val="000D63A8"/>
    <w:rsid w:val="000D645F"/>
    <w:rsid w:val="000D64E7"/>
    <w:rsid w:val="000D68C3"/>
    <w:rsid w:val="000D69C1"/>
    <w:rsid w:val="000D6A0F"/>
    <w:rsid w:val="000D6AE6"/>
    <w:rsid w:val="000D74C6"/>
    <w:rsid w:val="000D7A9C"/>
    <w:rsid w:val="000D7C14"/>
    <w:rsid w:val="000D7F33"/>
    <w:rsid w:val="000E02C0"/>
    <w:rsid w:val="000E052A"/>
    <w:rsid w:val="000E0856"/>
    <w:rsid w:val="000E08FB"/>
    <w:rsid w:val="000E0A88"/>
    <w:rsid w:val="000E0F33"/>
    <w:rsid w:val="000E1259"/>
    <w:rsid w:val="000E1409"/>
    <w:rsid w:val="000E140D"/>
    <w:rsid w:val="000E148A"/>
    <w:rsid w:val="000E1849"/>
    <w:rsid w:val="000E1BD2"/>
    <w:rsid w:val="000E2930"/>
    <w:rsid w:val="000E310C"/>
    <w:rsid w:val="000E32D1"/>
    <w:rsid w:val="000E37BC"/>
    <w:rsid w:val="000E37D5"/>
    <w:rsid w:val="000E3C3A"/>
    <w:rsid w:val="000E3CAA"/>
    <w:rsid w:val="000E4751"/>
    <w:rsid w:val="000E47DA"/>
    <w:rsid w:val="000E4AE5"/>
    <w:rsid w:val="000E4F7C"/>
    <w:rsid w:val="000E5050"/>
    <w:rsid w:val="000E568D"/>
    <w:rsid w:val="000E5AFA"/>
    <w:rsid w:val="000E5B8D"/>
    <w:rsid w:val="000E655E"/>
    <w:rsid w:val="000E6B8A"/>
    <w:rsid w:val="000E6DDD"/>
    <w:rsid w:val="000E6E95"/>
    <w:rsid w:val="000E735C"/>
    <w:rsid w:val="000E796E"/>
    <w:rsid w:val="000F0432"/>
    <w:rsid w:val="000F092A"/>
    <w:rsid w:val="000F0DA6"/>
    <w:rsid w:val="000F0E91"/>
    <w:rsid w:val="000F17B4"/>
    <w:rsid w:val="000F1D66"/>
    <w:rsid w:val="000F2802"/>
    <w:rsid w:val="000F2F87"/>
    <w:rsid w:val="000F34E0"/>
    <w:rsid w:val="000F3CC3"/>
    <w:rsid w:val="000F46D6"/>
    <w:rsid w:val="000F4A5F"/>
    <w:rsid w:val="000F4E03"/>
    <w:rsid w:val="000F58EB"/>
    <w:rsid w:val="000F59D2"/>
    <w:rsid w:val="000F5E96"/>
    <w:rsid w:val="000F6918"/>
    <w:rsid w:val="000F6FBE"/>
    <w:rsid w:val="000F7199"/>
    <w:rsid w:val="000F731B"/>
    <w:rsid w:val="000F79E7"/>
    <w:rsid w:val="00100207"/>
    <w:rsid w:val="001003EC"/>
    <w:rsid w:val="0010043D"/>
    <w:rsid w:val="00100C19"/>
    <w:rsid w:val="001012D9"/>
    <w:rsid w:val="00101A9F"/>
    <w:rsid w:val="00101BCB"/>
    <w:rsid w:val="00101E32"/>
    <w:rsid w:val="00102276"/>
    <w:rsid w:val="00102D37"/>
    <w:rsid w:val="001041E7"/>
    <w:rsid w:val="001044C5"/>
    <w:rsid w:val="00104513"/>
    <w:rsid w:val="00104CDB"/>
    <w:rsid w:val="00104F0B"/>
    <w:rsid w:val="00105F49"/>
    <w:rsid w:val="001062A0"/>
    <w:rsid w:val="00107C58"/>
    <w:rsid w:val="00107D90"/>
    <w:rsid w:val="00110141"/>
    <w:rsid w:val="001107C8"/>
    <w:rsid w:val="00110917"/>
    <w:rsid w:val="00110A0F"/>
    <w:rsid w:val="001110C9"/>
    <w:rsid w:val="001113DF"/>
    <w:rsid w:val="001114DC"/>
    <w:rsid w:val="0011220E"/>
    <w:rsid w:val="00112B9C"/>
    <w:rsid w:val="00112BC1"/>
    <w:rsid w:val="00112CD3"/>
    <w:rsid w:val="00113003"/>
    <w:rsid w:val="00113053"/>
    <w:rsid w:val="00113083"/>
    <w:rsid w:val="00113311"/>
    <w:rsid w:val="001133BF"/>
    <w:rsid w:val="00113A01"/>
    <w:rsid w:val="00113B0F"/>
    <w:rsid w:val="0011412A"/>
    <w:rsid w:val="00114C8D"/>
    <w:rsid w:val="00114FA7"/>
    <w:rsid w:val="00115253"/>
    <w:rsid w:val="00115C52"/>
    <w:rsid w:val="00115D02"/>
    <w:rsid w:val="00116159"/>
    <w:rsid w:val="0011629B"/>
    <w:rsid w:val="00116378"/>
    <w:rsid w:val="00116437"/>
    <w:rsid w:val="00116A4F"/>
    <w:rsid w:val="00116D93"/>
    <w:rsid w:val="00117C30"/>
    <w:rsid w:val="00117D1E"/>
    <w:rsid w:val="001207E3"/>
    <w:rsid w:val="00120CAC"/>
    <w:rsid w:val="00121255"/>
    <w:rsid w:val="00121664"/>
    <w:rsid w:val="00121771"/>
    <w:rsid w:val="001219A4"/>
    <w:rsid w:val="00121BC1"/>
    <w:rsid w:val="0012201D"/>
    <w:rsid w:val="0012266A"/>
    <w:rsid w:val="0012308B"/>
    <w:rsid w:val="00123D86"/>
    <w:rsid w:val="00123F31"/>
    <w:rsid w:val="00124202"/>
    <w:rsid w:val="001242F2"/>
    <w:rsid w:val="00124FB6"/>
    <w:rsid w:val="001256A6"/>
    <w:rsid w:val="00125DBA"/>
    <w:rsid w:val="00125F89"/>
    <w:rsid w:val="00126481"/>
    <w:rsid w:val="0012682C"/>
    <w:rsid w:val="0012696A"/>
    <w:rsid w:val="00126DBB"/>
    <w:rsid w:val="00127082"/>
    <w:rsid w:val="00127587"/>
    <w:rsid w:val="00127FE2"/>
    <w:rsid w:val="001300BB"/>
    <w:rsid w:val="0013013A"/>
    <w:rsid w:val="00130489"/>
    <w:rsid w:val="0013087C"/>
    <w:rsid w:val="00130B17"/>
    <w:rsid w:val="00130C9B"/>
    <w:rsid w:val="00130F53"/>
    <w:rsid w:val="00131B99"/>
    <w:rsid w:val="00131E87"/>
    <w:rsid w:val="001321DE"/>
    <w:rsid w:val="0013237B"/>
    <w:rsid w:val="001325D9"/>
    <w:rsid w:val="0013282F"/>
    <w:rsid w:val="00133106"/>
    <w:rsid w:val="0013322B"/>
    <w:rsid w:val="00133E13"/>
    <w:rsid w:val="00135201"/>
    <w:rsid w:val="001355FC"/>
    <w:rsid w:val="001365D7"/>
    <w:rsid w:val="00136738"/>
    <w:rsid w:val="001369D6"/>
    <w:rsid w:val="001369F4"/>
    <w:rsid w:val="00136BBB"/>
    <w:rsid w:val="0013744C"/>
    <w:rsid w:val="00137E78"/>
    <w:rsid w:val="00140412"/>
    <w:rsid w:val="0014055A"/>
    <w:rsid w:val="00140AD1"/>
    <w:rsid w:val="00140C1B"/>
    <w:rsid w:val="0014121A"/>
    <w:rsid w:val="001415C2"/>
    <w:rsid w:val="00141743"/>
    <w:rsid w:val="0014188D"/>
    <w:rsid w:val="00141C68"/>
    <w:rsid w:val="00141CA6"/>
    <w:rsid w:val="00141CBC"/>
    <w:rsid w:val="00141E0C"/>
    <w:rsid w:val="0014247D"/>
    <w:rsid w:val="001424E4"/>
    <w:rsid w:val="001424EA"/>
    <w:rsid w:val="00142DA7"/>
    <w:rsid w:val="001430E7"/>
    <w:rsid w:val="0014325A"/>
    <w:rsid w:val="001433C2"/>
    <w:rsid w:val="00144214"/>
    <w:rsid w:val="0014470E"/>
    <w:rsid w:val="00144B38"/>
    <w:rsid w:val="00144B69"/>
    <w:rsid w:val="00145341"/>
    <w:rsid w:val="00145E02"/>
    <w:rsid w:val="00146451"/>
    <w:rsid w:val="00146C46"/>
    <w:rsid w:val="00146C7D"/>
    <w:rsid w:val="0014703F"/>
    <w:rsid w:val="0014767A"/>
    <w:rsid w:val="001504F6"/>
    <w:rsid w:val="0015060F"/>
    <w:rsid w:val="00150A59"/>
    <w:rsid w:val="00150D63"/>
    <w:rsid w:val="001512E7"/>
    <w:rsid w:val="001529D6"/>
    <w:rsid w:val="00152C9B"/>
    <w:rsid w:val="00152EB0"/>
    <w:rsid w:val="0015304A"/>
    <w:rsid w:val="001532C6"/>
    <w:rsid w:val="00153438"/>
    <w:rsid w:val="00154130"/>
    <w:rsid w:val="001544CF"/>
    <w:rsid w:val="00154677"/>
    <w:rsid w:val="00154C3B"/>
    <w:rsid w:val="001555CB"/>
    <w:rsid w:val="00155980"/>
    <w:rsid w:val="00155A8D"/>
    <w:rsid w:val="00155B22"/>
    <w:rsid w:val="00155C9B"/>
    <w:rsid w:val="001560D3"/>
    <w:rsid w:val="00156946"/>
    <w:rsid w:val="00156CCE"/>
    <w:rsid w:val="00157781"/>
    <w:rsid w:val="00157981"/>
    <w:rsid w:val="00157AAE"/>
    <w:rsid w:val="00157B88"/>
    <w:rsid w:val="00157E68"/>
    <w:rsid w:val="00157ED7"/>
    <w:rsid w:val="0016056C"/>
    <w:rsid w:val="001609BC"/>
    <w:rsid w:val="00161056"/>
    <w:rsid w:val="00162E41"/>
    <w:rsid w:val="00163ABC"/>
    <w:rsid w:val="00163DA1"/>
    <w:rsid w:val="00164465"/>
    <w:rsid w:val="00164778"/>
    <w:rsid w:val="00164D19"/>
    <w:rsid w:val="0016541C"/>
    <w:rsid w:val="001655AE"/>
    <w:rsid w:val="00165806"/>
    <w:rsid w:val="0016580F"/>
    <w:rsid w:val="001659CD"/>
    <w:rsid w:val="00165E81"/>
    <w:rsid w:val="00166C64"/>
    <w:rsid w:val="00166DB3"/>
    <w:rsid w:val="00166F9D"/>
    <w:rsid w:val="00167071"/>
    <w:rsid w:val="00167A4B"/>
    <w:rsid w:val="00167CDE"/>
    <w:rsid w:val="00167E21"/>
    <w:rsid w:val="00167E54"/>
    <w:rsid w:val="00167FA5"/>
    <w:rsid w:val="001700B6"/>
    <w:rsid w:val="0017023D"/>
    <w:rsid w:val="00170565"/>
    <w:rsid w:val="0017062E"/>
    <w:rsid w:val="00171434"/>
    <w:rsid w:val="0017202D"/>
    <w:rsid w:val="0017263F"/>
    <w:rsid w:val="0017271A"/>
    <w:rsid w:val="0017282F"/>
    <w:rsid w:val="001730E7"/>
    <w:rsid w:val="00173706"/>
    <w:rsid w:val="00173A04"/>
    <w:rsid w:val="00173AB1"/>
    <w:rsid w:val="00173D2D"/>
    <w:rsid w:val="001745EA"/>
    <w:rsid w:val="001749EA"/>
    <w:rsid w:val="0017504D"/>
    <w:rsid w:val="00175637"/>
    <w:rsid w:val="00176297"/>
    <w:rsid w:val="001767E8"/>
    <w:rsid w:val="001769AB"/>
    <w:rsid w:val="001771A5"/>
    <w:rsid w:val="0017732E"/>
    <w:rsid w:val="0017752E"/>
    <w:rsid w:val="00177604"/>
    <w:rsid w:val="001778C3"/>
    <w:rsid w:val="001778EF"/>
    <w:rsid w:val="00180C74"/>
    <w:rsid w:val="001810D5"/>
    <w:rsid w:val="00181685"/>
    <w:rsid w:val="00181A8D"/>
    <w:rsid w:val="00181AD7"/>
    <w:rsid w:val="00182292"/>
    <w:rsid w:val="0018248B"/>
    <w:rsid w:val="00182805"/>
    <w:rsid w:val="00182C34"/>
    <w:rsid w:val="00182D51"/>
    <w:rsid w:val="00182FA1"/>
    <w:rsid w:val="00183127"/>
    <w:rsid w:val="0018331E"/>
    <w:rsid w:val="00183502"/>
    <w:rsid w:val="00183C1E"/>
    <w:rsid w:val="00184362"/>
    <w:rsid w:val="00184A5E"/>
    <w:rsid w:val="00185228"/>
    <w:rsid w:val="00185285"/>
    <w:rsid w:val="001853E6"/>
    <w:rsid w:val="00185545"/>
    <w:rsid w:val="00185860"/>
    <w:rsid w:val="00185A02"/>
    <w:rsid w:val="001868DF"/>
    <w:rsid w:val="00186B92"/>
    <w:rsid w:val="00186CF0"/>
    <w:rsid w:val="00186EBE"/>
    <w:rsid w:val="00187B53"/>
    <w:rsid w:val="00190AE8"/>
    <w:rsid w:val="0019113C"/>
    <w:rsid w:val="001916B1"/>
    <w:rsid w:val="001919D9"/>
    <w:rsid w:val="00191E46"/>
    <w:rsid w:val="00191EDD"/>
    <w:rsid w:val="00191FE9"/>
    <w:rsid w:val="0019280E"/>
    <w:rsid w:val="00192BA2"/>
    <w:rsid w:val="00192CB9"/>
    <w:rsid w:val="001933C5"/>
    <w:rsid w:val="00194CB8"/>
    <w:rsid w:val="00194D7F"/>
    <w:rsid w:val="001951F1"/>
    <w:rsid w:val="00195564"/>
    <w:rsid w:val="00195713"/>
    <w:rsid w:val="0019575E"/>
    <w:rsid w:val="001957C9"/>
    <w:rsid w:val="0019595C"/>
    <w:rsid w:val="00195CE6"/>
    <w:rsid w:val="00195D13"/>
    <w:rsid w:val="00195D2D"/>
    <w:rsid w:val="00196141"/>
    <w:rsid w:val="00196B48"/>
    <w:rsid w:val="00197899"/>
    <w:rsid w:val="00197CF7"/>
    <w:rsid w:val="00197EB0"/>
    <w:rsid w:val="001A013A"/>
    <w:rsid w:val="001A01DD"/>
    <w:rsid w:val="001A0549"/>
    <w:rsid w:val="001A130B"/>
    <w:rsid w:val="001A1484"/>
    <w:rsid w:val="001A17F9"/>
    <w:rsid w:val="001A19CB"/>
    <w:rsid w:val="001A1EF7"/>
    <w:rsid w:val="001A1F45"/>
    <w:rsid w:val="001A2299"/>
    <w:rsid w:val="001A2A79"/>
    <w:rsid w:val="001A2C46"/>
    <w:rsid w:val="001A3D7A"/>
    <w:rsid w:val="001A4660"/>
    <w:rsid w:val="001A4D73"/>
    <w:rsid w:val="001A4E21"/>
    <w:rsid w:val="001A51B2"/>
    <w:rsid w:val="001A53A5"/>
    <w:rsid w:val="001A5460"/>
    <w:rsid w:val="001A6024"/>
    <w:rsid w:val="001A6713"/>
    <w:rsid w:val="001A7193"/>
    <w:rsid w:val="001A7DAA"/>
    <w:rsid w:val="001A7EE6"/>
    <w:rsid w:val="001B0131"/>
    <w:rsid w:val="001B06EF"/>
    <w:rsid w:val="001B0A33"/>
    <w:rsid w:val="001B0A52"/>
    <w:rsid w:val="001B0CF4"/>
    <w:rsid w:val="001B0F1D"/>
    <w:rsid w:val="001B1BE5"/>
    <w:rsid w:val="001B1E1E"/>
    <w:rsid w:val="001B2541"/>
    <w:rsid w:val="001B2A50"/>
    <w:rsid w:val="001B2C79"/>
    <w:rsid w:val="001B3424"/>
    <w:rsid w:val="001B3DBA"/>
    <w:rsid w:val="001B5060"/>
    <w:rsid w:val="001B5A8C"/>
    <w:rsid w:val="001B5AD2"/>
    <w:rsid w:val="001B5AEF"/>
    <w:rsid w:val="001B5C9F"/>
    <w:rsid w:val="001B5F31"/>
    <w:rsid w:val="001B5F5B"/>
    <w:rsid w:val="001B60EB"/>
    <w:rsid w:val="001B6702"/>
    <w:rsid w:val="001B6BAC"/>
    <w:rsid w:val="001B6C76"/>
    <w:rsid w:val="001B76A0"/>
    <w:rsid w:val="001B7F4F"/>
    <w:rsid w:val="001B7F7D"/>
    <w:rsid w:val="001C080B"/>
    <w:rsid w:val="001C0A0C"/>
    <w:rsid w:val="001C1AF9"/>
    <w:rsid w:val="001C266D"/>
    <w:rsid w:val="001C297B"/>
    <w:rsid w:val="001C29F4"/>
    <w:rsid w:val="001C37AE"/>
    <w:rsid w:val="001C37B5"/>
    <w:rsid w:val="001C3982"/>
    <w:rsid w:val="001C3D21"/>
    <w:rsid w:val="001C3ED4"/>
    <w:rsid w:val="001C4078"/>
    <w:rsid w:val="001C4555"/>
    <w:rsid w:val="001C56A9"/>
    <w:rsid w:val="001C56EA"/>
    <w:rsid w:val="001C5A4C"/>
    <w:rsid w:val="001C5DAD"/>
    <w:rsid w:val="001C621A"/>
    <w:rsid w:val="001C62B8"/>
    <w:rsid w:val="001C62C8"/>
    <w:rsid w:val="001C6AC1"/>
    <w:rsid w:val="001C6AC5"/>
    <w:rsid w:val="001C71CA"/>
    <w:rsid w:val="001C73A6"/>
    <w:rsid w:val="001C74D6"/>
    <w:rsid w:val="001C755C"/>
    <w:rsid w:val="001C761B"/>
    <w:rsid w:val="001C77B4"/>
    <w:rsid w:val="001D09A3"/>
    <w:rsid w:val="001D0D61"/>
    <w:rsid w:val="001D1015"/>
    <w:rsid w:val="001D1028"/>
    <w:rsid w:val="001D1CE6"/>
    <w:rsid w:val="001D2C31"/>
    <w:rsid w:val="001D3D25"/>
    <w:rsid w:val="001D3D2F"/>
    <w:rsid w:val="001D4381"/>
    <w:rsid w:val="001D4989"/>
    <w:rsid w:val="001D4B3A"/>
    <w:rsid w:val="001D4E9E"/>
    <w:rsid w:val="001D4EA7"/>
    <w:rsid w:val="001D4FCF"/>
    <w:rsid w:val="001D56D6"/>
    <w:rsid w:val="001D5A04"/>
    <w:rsid w:val="001D5A48"/>
    <w:rsid w:val="001D5AB5"/>
    <w:rsid w:val="001D5AED"/>
    <w:rsid w:val="001D5B38"/>
    <w:rsid w:val="001D5ED9"/>
    <w:rsid w:val="001D6180"/>
    <w:rsid w:val="001D63F8"/>
    <w:rsid w:val="001D6F30"/>
    <w:rsid w:val="001D7A74"/>
    <w:rsid w:val="001D7F35"/>
    <w:rsid w:val="001E0012"/>
    <w:rsid w:val="001E0092"/>
    <w:rsid w:val="001E057E"/>
    <w:rsid w:val="001E0A51"/>
    <w:rsid w:val="001E0D76"/>
    <w:rsid w:val="001E0E3B"/>
    <w:rsid w:val="001E1457"/>
    <w:rsid w:val="001E1748"/>
    <w:rsid w:val="001E1A66"/>
    <w:rsid w:val="001E1C6E"/>
    <w:rsid w:val="001E2075"/>
    <w:rsid w:val="001E2A7B"/>
    <w:rsid w:val="001E2EDA"/>
    <w:rsid w:val="001E2EF9"/>
    <w:rsid w:val="001E350D"/>
    <w:rsid w:val="001E3685"/>
    <w:rsid w:val="001E39F6"/>
    <w:rsid w:val="001E43C3"/>
    <w:rsid w:val="001E47C9"/>
    <w:rsid w:val="001E4D8B"/>
    <w:rsid w:val="001E53A3"/>
    <w:rsid w:val="001E56C2"/>
    <w:rsid w:val="001E5D1F"/>
    <w:rsid w:val="001E6314"/>
    <w:rsid w:val="001E648B"/>
    <w:rsid w:val="001E65CB"/>
    <w:rsid w:val="001E65F9"/>
    <w:rsid w:val="001E6664"/>
    <w:rsid w:val="001E67A1"/>
    <w:rsid w:val="001E67C4"/>
    <w:rsid w:val="001E7044"/>
    <w:rsid w:val="001E7100"/>
    <w:rsid w:val="001E74B4"/>
    <w:rsid w:val="001E7938"/>
    <w:rsid w:val="001E7BDF"/>
    <w:rsid w:val="001E7EA9"/>
    <w:rsid w:val="001F0D2F"/>
    <w:rsid w:val="001F0F8B"/>
    <w:rsid w:val="001F15E3"/>
    <w:rsid w:val="001F17F8"/>
    <w:rsid w:val="001F29F5"/>
    <w:rsid w:val="001F2B50"/>
    <w:rsid w:val="001F309F"/>
    <w:rsid w:val="001F3458"/>
    <w:rsid w:val="001F3D25"/>
    <w:rsid w:val="001F4334"/>
    <w:rsid w:val="001F47EF"/>
    <w:rsid w:val="001F48AF"/>
    <w:rsid w:val="001F4E3E"/>
    <w:rsid w:val="001F5388"/>
    <w:rsid w:val="001F5692"/>
    <w:rsid w:val="001F6756"/>
    <w:rsid w:val="001F6AEB"/>
    <w:rsid w:val="001F6B8D"/>
    <w:rsid w:val="001F7EF5"/>
    <w:rsid w:val="001F7F7F"/>
    <w:rsid w:val="001F7FD1"/>
    <w:rsid w:val="0020003F"/>
    <w:rsid w:val="002007D6"/>
    <w:rsid w:val="00200B41"/>
    <w:rsid w:val="002016E1"/>
    <w:rsid w:val="00202304"/>
    <w:rsid w:val="00202753"/>
    <w:rsid w:val="00202C01"/>
    <w:rsid w:val="0020429C"/>
    <w:rsid w:val="00204A0F"/>
    <w:rsid w:val="00206B28"/>
    <w:rsid w:val="00207481"/>
    <w:rsid w:val="00207B15"/>
    <w:rsid w:val="00207E69"/>
    <w:rsid w:val="00207EAE"/>
    <w:rsid w:val="00207F36"/>
    <w:rsid w:val="0021021F"/>
    <w:rsid w:val="00210509"/>
    <w:rsid w:val="00210E0C"/>
    <w:rsid w:val="00210F5B"/>
    <w:rsid w:val="00211509"/>
    <w:rsid w:val="00211A10"/>
    <w:rsid w:val="00211AF9"/>
    <w:rsid w:val="0021238E"/>
    <w:rsid w:val="002124CD"/>
    <w:rsid w:val="00212887"/>
    <w:rsid w:val="002129E3"/>
    <w:rsid w:val="00212BDC"/>
    <w:rsid w:val="00213900"/>
    <w:rsid w:val="00213A87"/>
    <w:rsid w:val="00213D68"/>
    <w:rsid w:val="00214552"/>
    <w:rsid w:val="00214577"/>
    <w:rsid w:val="00214E62"/>
    <w:rsid w:val="0021582C"/>
    <w:rsid w:val="002159E2"/>
    <w:rsid w:val="00215D49"/>
    <w:rsid w:val="002161AD"/>
    <w:rsid w:val="00216634"/>
    <w:rsid w:val="00216CCE"/>
    <w:rsid w:val="0021753C"/>
    <w:rsid w:val="00217A50"/>
    <w:rsid w:val="00217C3A"/>
    <w:rsid w:val="00217C7B"/>
    <w:rsid w:val="0022036D"/>
    <w:rsid w:val="00220459"/>
    <w:rsid w:val="00220558"/>
    <w:rsid w:val="00220978"/>
    <w:rsid w:val="00220D61"/>
    <w:rsid w:val="00221914"/>
    <w:rsid w:val="00221DD3"/>
    <w:rsid w:val="00222449"/>
    <w:rsid w:val="0022288C"/>
    <w:rsid w:val="00222CE4"/>
    <w:rsid w:val="002235D3"/>
    <w:rsid w:val="00223D58"/>
    <w:rsid w:val="002240F1"/>
    <w:rsid w:val="00224521"/>
    <w:rsid w:val="002248D5"/>
    <w:rsid w:val="00224AB1"/>
    <w:rsid w:val="00224B68"/>
    <w:rsid w:val="00225034"/>
    <w:rsid w:val="0022523E"/>
    <w:rsid w:val="0022527A"/>
    <w:rsid w:val="00225780"/>
    <w:rsid w:val="00225B90"/>
    <w:rsid w:val="00226E5F"/>
    <w:rsid w:val="00227417"/>
    <w:rsid w:val="002279CA"/>
    <w:rsid w:val="00227A53"/>
    <w:rsid w:val="00227A62"/>
    <w:rsid w:val="00227FD5"/>
    <w:rsid w:val="00230718"/>
    <w:rsid w:val="00230860"/>
    <w:rsid w:val="00230A23"/>
    <w:rsid w:val="00230EAD"/>
    <w:rsid w:val="00230EFB"/>
    <w:rsid w:val="002326BA"/>
    <w:rsid w:val="002328EE"/>
    <w:rsid w:val="00232B92"/>
    <w:rsid w:val="002331A1"/>
    <w:rsid w:val="002333C2"/>
    <w:rsid w:val="00233582"/>
    <w:rsid w:val="002335AD"/>
    <w:rsid w:val="00233767"/>
    <w:rsid w:val="0023393C"/>
    <w:rsid w:val="0023498B"/>
    <w:rsid w:val="00234AD9"/>
    <w:rsid w:val="00234E06"/>
    <w:rsid w:val="00234F3E"/>
    <w:rsid w:val="002359F6"/>
    <w:rsid w:val="00235A55"/>
    <w:rsid w:val="00235B74"/>
    <w:rsid w:val="00235C78"/>
    <w:rsid w:val="00236026"/>
    <w:rsid w:val="002362DE"/>
    <w:rsid w:val="002367F8"/>
    <w:rsid w:val="002371E4"/>
    <w:rsid w:val="00237348"/>
    <w:rsid w:val="002378A5"/>
    <w:rsid w:val="002379F7"/>
    <w:rsid w:val="00240681"/>
    <w:rsid w:val="00240827"/>
    <w:rsid w:val="0024109C"/>
    <w:rsid w:val="00241468"/>
    <w:rsid w:val="002414A4"/>
    <w:rsid w:val="0024213C"/>
    <w:rsid w:val="002428F7"/>
    <w:rsid w:val="00243A99"/>
    <w:rsid w:val="002442A7"/>
    <w:rsid w:val="00244761"/>
    <w:rsid w:val="0024482B"/>
    <w:rsid w:val="00244E25"/>
    <w:rsid w:val="00245372"/>
    <w:rsid w:val="00245935"/>
    <w:rsid w:val="002459AD"/>
    <w:rsid w:val="00245FFC"/>
    <w:rsid w:val="00246734"/>
    <w:rsid w:val="00246903"/>
    <w:rsid w:val="00246B72"/>
    <w:rsid w:val="00246BFB"/>
    <w:rsid w:val="002474BA"/>
    <w:rsid w:val="002474D9"/>
    <w:rsid w:val="00247D96"/>
    <w:rsid w:val="002500F9"/>
    <w:rsid w:val="0025031A"/>
    <w:rsid w:val="00250D30"/>
    <w:rsid w:val="00250E13"/>
    <w:rsid w:val="00251391"/>
    <w:rsid w:val="00251A46"/>
    <w:rsid w:val="00251C4F"/>
    <w:rsid w:val="00253015"/>
    <w:rsid w:val="0025338E"/>
    <w:rsid w:val="00253BFF"/>
    <w:rsid w:val="00253C58"/>
    <w:rsid w:val="00253F31"/>
    <w:rsid w:val="002541E7"/>
    <w:rsid w:val="002542EB"/>
    <w:rsid w:val="00254F45"/>
    <w:rsid w:val="002552B2"/>
    <w:rsid w:val="00255565"/>
    <w:rsid w:val="00255E74"/>
    <w:rsid w:val="002567C2"/>
    <w:rsid w:val="002569AE"/>
    <w:rsid w:val="00256FB0"/>
    <w:rsid w:val="002571E0"/>
    <w:rsid w:val="00257259"/>
    <w:rsid w:val="0025765E"/>
    <w:rsid w:val="00257818"/>
    <w:rsid w:val="00260F4A"/>
    <w:rsid w:val="00260FFB"/>
    <w:rsid w:val="002615BA"/>
    <w:rsid w:val="00261DE3"/>
    <w:rsid w:val="00261E2F"/>
    <w:rsid w:val="00262885"/>
    <w:rsid w:val="00262F3C"/>
    <w:rsid w:val="0026323A"/>
    <w:rsid w:val="00263626"/>
    <w:rsid w:val="00263833"/>
    <w:rsid w:val="00263BA5"/>
    <w:rsid w:val="00264570"/>
    <w:rsid w:val="00264848"/>
    <w:rsid w:val="002649EA"/>
    <w:rsid w:val="00264AF9"/>
    <w:rsid w:val="00264D69"/>
    <w:rsid w:val="0026525D"/>
    <w:rsid w:val="00265287"/>
    <w:rsid w:val="00265AFB"/>
    <w:rsid w:val="00265D54"/>
    <w:rsid w:val="00265E54"/>
    <w:rsid w:val="00266D33"/>
    <w:rsid w:val="00266E8E"/>
    <w:rsid w:val="002673C1"/>
    <w:rsid w:val="00270262"/>
    <w:rsid w:val="0027083F"/>
    <w:rsid w:val="00270AFF"/>
    <w:rsid w:val="00271E09"/>
    <w:rsid w:val="002723E8"/>
    <w:rsid w:val="00272651"/>
    <w:rsid w:val="002726A8"/>
    <w:rsid w:val="00272944"/>
    <w:rsid w:val="0027298E"/>
    <w:rsid w:val="00272A55"/>
    <w:rsid w:val="00273151"/>
    <w:rsid w:val="00274112"/>
    <w:rsid w:val="002744F4"/>
    <w:rsid w:val="00274776"/>
    <w:rsid w:val="00274D6A"/>
    <w:rsid w:val="00275099"/>
    <w:rsid w:val="0027514E"/>
    <w:rsid w:val="002754EB"/>
    <w:rsid w:val="00275851"/>
    <w:rsid w:val="00275C6A"/>
    <w:rsid w:val="00275D8A"/>
    <w:rsid w:val="00276425"/>
    <w:rsid w:val="00276862"/>
    <w:rsid w:val="00277062"/>
    <w:rsid w:val="0027790C"/>
    <w:rsid w:val="00280027"/>
    <w:rsid w:val="00280560"/>
    <w:rsid w:val="00280970"/>
    <w:rsid w:val="002815FE"/>
    <w:rsid w:val="0028197F"/>
    <w:rsid w:val="00281A59"/>
    <w:rsid w:val="00281C48"/>
    <w:rsid w:val="00282C4E"/>
    <w:rsid w:val="00283E35"/>
    <w:rsid w:val="00284099"/>
    <w:rsid w:val="002844F7"/>
    <w:rsid w:val="00284514"/>
    <w:rsid w:val="002846FA"/>
    <w:rsid w:val="00284BB2"/>
    <w:rsid w:val="00284F08"/>
    <w:rsid w:val="0028584D"/>
    <w:rsid w:val="00285A9F"/>
    <w:rsid w:val="00285ACD"/>
    <w:rsid w:val="00286311"/>
    <w:rsid w:val="00286499"/>
    <w:rsid w:val="002866E3"/>
    <w:rsid w:val="0028790F"/>
    <w:rsid w:val="00287987"/>
    <w:rsid w:val="002879F1"/>
    <w:rsid w:val="00287AD2"/>
    <w:rsid w:val="00287DD3"/>
    <w:rsid w:val="00291A4C"/>
    <w:rsid w:val="002923B2"/>
    <w:rsid w:val="00292998"/>
    <w:rsid w:val="00293667"/>
    <w:rsid w:val="002937C1"/>
    <w:rsid w:val="002942D0"/>
    <w:rsid w:val="002942DB"/>
    <w:rsid w:val="0029455F"/>
    <w:rsid w:val="00294936"/>
    <w:rsid w:val="00294A57"/>
    <w:rsid w:val="00295194"/>
    <w:rsid w:val="0029531D"/>
    <w:rsid w:val="002957AA"/>
    <w:rsid w:val="00295A41"/>
    <w:rsid w:val="00295C32"/>
    <w:rsid w:val="00295EF6"/>
    <w:rsid w:val="0029614A"/>
    <w:rsid w:val="002964A4"/>
    <w:rsid w:val="002965DC"/>
    <w:rsid w:val="00296703"/>
    <w:rsid w:val="00296737"/>
    <w:rsid w:val="0029690A"/>
    <w:rsid w:val="00296F1D"/>
    <w:rsid w:val="00297203"/>
    <w:rsid w:val="002A07F8"/>
    <w:rsid w:val="002A07F9"/>
    <w:rsid w:val="002A0815"/>
    <w:rsid w:val="002A1B2D"/>
    <w:rsid w:val="002A201D"/>
    <w:rsid w:val="002A2B79"/>
    <w:rsid w:val="002A2C46"/>
    <w:rsid w:val="002A2CDE"/>
    <w:rsid w:val="002A2D6D"/>
    <w:rsid w:val="002A33A8"/>
    <w:rsid w:val="002A3B33"/>
    <w:rsid w:val="002A3F5B"/>
    <w:rsid w:val="002A4710"/>
    <w:rsid w:val="002A49A9"/>
    <w:rsid w:val="002A4D50"/>
    <w:rsid w:val="002A4E88"/>
    <w:rsid w:val="002A566B"/>
    <w:rsid w:val="002A5770"/>
    <w:rsid w:val="002A5BF4"/>
    <w:rsid w:val="002A6927"/>
    <w:rsid w:val="002A6AAB"/>
    <w:rsid w:val="002A6B38"/>
    <w:rsid w:val="002A6B75"/>
    <w:rsid w:val="002A75C6"/>
    <w:rsid w:val="002A785C"/>
    <w:rsid w:val="002A7BE8"/>
    <w:rsid w:val="002A7BFA"/>
    <w:rsid w:val="002A7D2C"/>
    <w:rsid w:val="002B008E"/>
    <w:rsid w:val="002B0552"/>
    <w:rsid w:val="002B0630"/>
    <w:rsid w:val="002B084D"/>
    <w:rsid w:val="002B085E"/>
    <w:rsid w:val="002B0EF8"/>
    <w:rsid w:val="002B1207"/>
    <w:rsid w:val="002B151A"/>
    <w:rsid w:val="002B16A2"/>
    <w:rsid w:val="002B1B99"/>
    <w:rsid w:val="002B1C9D"/>
    <w:rsid w:val="002B2B52"/>
    <w:rsid w:val="002B2CBF"/>
    <w:rsid w:val="002B2D08"/>
    <w:rsid w:val="002B2D1D"/>
    <w:rsid w:val="002B2E75"/>
    <w:rsid w:val="002B2F72"/>
    <w:rsid w:val="002B3015"/>
    <w:rsid w:val="002B350B"/>
    <w:rsid w:val="002B3AEE"/>
    <w:rsid w:val="002B3B39"/>
    <w:rsid w:val="002B472E"/>
    <w:rsid w:val="002B4D12"/>
    <w:rsid w:val="002B513F"/>
    <w:rsid w:val="002B52A7"/>
    <w:rsid w:val="002B5694"/>
    <w:rsid w:val="002B5BEC"/>
    <w:rsid w:val="002B60EF"/>
    <w:rsid w:val="002B670F"/>
    <w:rsid w:val="002B6A41"/>
    <w:rsid w:val="002B6BC3"/>
    <w:rsid w:val="002B6C24"/>
    <w:rsid w:val="002B752F"/>
    <w:rsid w:val="002C01B4"/>
    <w:rsid w:val="002C075F"/>
    <w:rsid w:val="002C0769"/>
    <w:rsid w:val="002C0DCA"/>
    <w:rsid w:val="002C1834"/>
    <w:rsid w:val="002C1E85"/>
    <w:rsid w:val="002C1EB3"/>
    <w:rsid w:val="002C20A6"/>
    <w:rsid w:val="002C22FF"/>
    <w:rsid w:val="002C247C"/>
    <w:rsid w:val="002C2865"/>
    <w:rsid w:val="002C2989"/>
    <w:rsid w:val="002C2EEE"/>
    <w:rsid w:val="002C3072"/>
    <w:rsid w:val="002C30B6"/>
    <w:rsid w:val="002C30CF"/>
    <w:rsid w:val="002C36FA"/>
    <w:rsid w:val="002C5371"/>
    <w:rsid w:val="002C585F"/>
    <w:rsid w:val="002C5A04"/>
    <w:rsid w:val="002C5D25"/>
    <w:rsid w:val="002C5D6B"/>
    <w:rsid w:val="002C5DE1"/>
    <w:rsid w:val="002C5DED"/>
    <w:rsid w:val="002C64EE"/>
    <w:rsid w:val="002C70BC"/>
    <w:rsid w:val="002C718D"/>
    <w:rsid w:val="002C71BA"/>
    <w:rsid w:val="002C7DCD"/>
    <w:rsid w:val="002D02A7"/>
    <w:rsid w:val="002D02C0"/>
    <w:rsid w:val="002D03B1"/>
    <w:rsid w:val="002D12B4"/>
    <w:rsid w:val="002D1410"/>
    <w:rsid w:val="002D1EAF"/>
    <w:rsid w:val="002D22BD"/>
    <w:rsid w:val="002D28D2"/>
    <w:rsid w:val="002D29CE"/>
    <w:rsid w:val="002D30DE"/>
    <w:rsid w:val="002D31C5"/>
    <w:rsid w:val="002D33AB"/>
    <w:rsid w:val="002D43C3"/>
    <w:rsid w:val="002D47CA"/>
    <w:rsid w:val="002D4D05"/>
    <w:rsid w:val="002D50A8"/>
    <w:rsid w:val="002D5144"/>
    <w:rsid w:val="002D5446"/>
    <w:rsid w:val="002D5962"/>
    <w:rsid w:val="002D61DD"/>
    <w:rsid w:val="002D66DF"/>
    <w:rsid w:val="002D68FC"/>
    <w:rsid w:val="002D70B9"/>
    <w:rsid w:val="002D775A"/>
    <w:rsid w:val="002E0064"/>
    <w:rsid w:val="002E01BE"/>
    <w:rsid w:val="002E06AF"/>
    <w:rsid w:val="002E0C37"/>
    <w:rsid w:val="002E15E0"/>
    <w:rsid w:val="002E170A"/>
    <w:rsid w:val="002E1C5E"/>
    <w:rsid w:val="002E1CA3"/>
    <w:rsid w:val="002E1DD5"/>
    <w:rsid w:val="002E212B"/>
    <w:rsid w:val="002E281C"/>
    <w:rsid w:val="002E2EF4"/>
    <w:rsid w:val="002E2F4C"/>
    <w:rsid w:val="002E3D2E"/>
    <w:rsid w:val="002E469F"/>
    <w:rsid w:val="002E46F4"/>
    <w:rsid w:val="002E4938"/>
    <w:rsid w:val="002E4B4D"/>
    <w:rsid w:val="002E4B73"/>
    <w:rsid w:val="002E4FE2"/>
    <w:rsid w:val="002E5143"/>
    <w:rsid w:val="002E521C"/>
    <w:rsid w:val="002E558F"/>
    <w:rsid w:val="002E5D96"/>
    <w:rsid w:val="002E6769"/>
    <w:rsid w:val="002E6854"/>
    <w:rsid w:val="002E6C30"/>
    <w:rsid w:val="002E7BD2"/>
    <w:rsid w:val="002E7D11"/>
    <w:rsid w:val="002F006E"/>
    <w:rsid w:val="002F0C3E"/>
    <w:rsid w:val="002F0C61"/>
    <w:rsid w:val="002F0E22"/>
    <w:rsid w:val="002F0FD5"/>
    <w:rsid w:val="002F183D"/>
    <w:rsid w:val="002F1AF5"/>
    <w:rsid w:val="002F223F"/>
    <w:rsid w:val="002F28D3"/>
    <w:rsid w:val="002F2EA5"/>
    <w:rsid w:val="002F2FFA"/>
    <w:rsid w:val="002F3475"/>
    <w:rsid w:val="002F3D0A"/>
    <w:rsid w:val="002F42B7"/>
    <w:rsid w:val="002F4629"/>
    <w:rsid w:val="002F4F94"/>
    <w:rsid w:val="002F516F"/>
    <w:rsid w:val="002F5BB2"/>
    <w:rsid w:val="002F5CCC"/>
    <w:rsid w:val="002F6FA4"/>
    <w:rsid w:val="002F74EA"/>
    <w:rsid w:val="002F7795"/>
    <w:rsid w:val="002F7ADB"/>
    <w:rsid w:val="002F7F6F"/>
    <w:rsid w:val="00300121"/>
    <w:rsid w:val="00300231"/>
    <w:rsid w:val="00300692"/>
    <w:rsid w:val="00300A1E"/>
    <w:rsid w:val="00300B7D"/>
    <w:rsid w:val="00300F04"/>
    <w:rsid w:val="0030110C"/>
    <w:rsid w:val="00301209"/>
    <w:rsid w:val="003019D9"/>
    <w:rsid w:val="00301CBC"/>
    <w:rsid w:val="00301D0E"/>
    <w:rsid w:val="0030266E"/>
    <w:rsid w:val="00302BF2"/>
    <w:rsid w:val="00303A63"/>
    <w:rsid w:val="00303D08"/>
    <w:rsid w:val="0030414C"/>
    <w:rsid w:val="003047A9"/>
    <w:rsid w:val="00304D8E"/>
    <w:rsid w:val="00304DAE"/>
    <w:rsid w:val="00304F86"/>
    <w:rsid w:val="003051EA"/>
    <w:rsid w:val="0030597B"/>
    <w:rsid w:val="00305AD7"/>
    <w:rsid w:val="00306422"/>
    <w:rsid w:val="003064D3"/>
    <w:rsid w:val="003066B4"/>
    <w:rsid w:val="00306862"/>
    <w:rsid w:val="00306B26"/>
    <w:rsid w:val="00306DBA"/>
    <w:rsid w:val="00306F98"/>
    <w:rsid w:val="003074F7"/>
    <w:rsid w:val="003078F9"/>
    <w:rsid w:val="00307C11"/>
    <w:rsid w:val="00312148"/>
    <w:rsid w:val="00313000"/>
    <w:rsid w:val="00313860"/>
    <w:rsid w:val="00313F0B"/>
    <w:rsid w:val="00314C23"/>
    <w:rsid w:val="00314E8D"/>
    <w:rsid w:val="0031509E"/>
    <w:rsid w:val="003150C2"/>
    <w:rsid w:val="00315E53"/>
    <w:rsid w:val="00316618"/>
    <w:rsid w:val="00316C85"/>
    <w:rsid w:val="00317199"/>
    <w:rsid w:val="00317578"/>
    <w:rsid w:val="00317603"/>
    <w:rsid w:val="00317CE0"/>
    <w:rsid w:val="00320F3A"/>
    <w:rsid w:val="003217AC"/>
    <w:rsid w:val="00321989"/>
    <w:rsid w:val="00321BEF"/>
    <w:rsid w:val="00322003"/>
    <w:rsid w:val="003229D8"/>
    <w:rsid w:val="003234CA"/>
    <w:rsid w:val="0032357E"/>
    <w:rsid w:val="00323A9B"/>
    <w:rsid w:val="00323F57"/>
    <w:rsid w:val="003244AB"/>
    <w:rsid w:val="00324742"/>
    <w:rsid w:val="003249C1"/>
    <w:rsid w:val="00324DBF"/>
    <w:rsid w:val="00324FDE"/>
    <w:rsid w:val="003253F2"/>
    <w:rsid w:val="003253F3"/>
    <w:rsid w:val="0032579F"/>
    <w:rsid w:val="00325D70"/>
    <w:rsid w:val="00326551"/>
    <w:rsid w:val="003266F3"/>
    <w:rsid w:val="0032693B"/>
    <w:rsid w:val="003269C7"/>
    <w:rsid w:val="00326ACA"/>
    <w:rsid w:val="00326CD3"/>
    <w:rsid w:val="00326F80"/>
    <w:rsid w:val="00326FC7"/>
    <w:rsid w:val="00327016"/>
    <w:rsid w:val="003306E6"/>
    <w:rsid w:val="003308B6"/>
    <w:rsid w:val="003309C9"/>
    <w:rsid w:val="0033162C"/>
    <w:rsid w:val="003319B0"/>
    <w:rsid w:val="00331EFE"/>
    <w:rsid w:val="00331FBA"/>
    <w:rsid w:val="00332029"/>
    <w:rsid w:val="003325E9"/>
    <w:rsid w:val="00332C36"/>
    <w:rsid w:val="00332E60"/>
    <w:rsid w:val="0033349A"/>
    <w:rsid w:val="00333B9A"/>
    <w:rsid w:val="00333CD8"/>
    <w:rsid w:val="00333EDF"/>
    <w:rsid w:val="00333F2A"/>
    <w:rsid w:val="00334604"/>
    <w:rsid w:val="00334960"/>
    <w:rsid w:val="003351D3"/>
    <w:rsid w:val="0033538B"/>
    <w:rsid w:val="00335ADB"/>
    <w:rsid w:val="00335C38"/>
    <w:rsid w:val="00335DB1"/>
    <w:rsid w:val="00336547"/>
    <w:rsid w:val="00336C96"/>
    <w:rsid w:val="00337509"/>
    <w:rsid w:val="00337681"/>
    <w:rsid w:val="0034015D"/>
    <w:rsid w:val="003407CD"/>
    <w:rsid w:val="00340C54"/>
    <w:rsid w:val="00341842"/>
    <w:rsid w:val="00342361"/>
    <w:rsid w:val="003426EF"/>
    <w:rsid w:val="003429EE"/>
    <w:rsid w:val="00342CD8"/>
    <w:rsid w:val="00343634"/>
    <w:rsid w:val="00343716"/>
    <w:rsid w:val="00343770"/>
    <w:rsid w:val="00344823"/>
    <w:rsid w:val="00344D27"/>
    <w:rsid w:val="00344F27"/>
    <w:rsid w:val="00345305"/>
    <w:rsid w:val="003458DE"/>
    <w:rsid w:val="00345AA7"/>
    <w:rsid w:val="003460EC"/>
    <w:rsid w:val="0034646E"/>
    <w:rsid w:val="003465CA"/>
    <w:rsid w:val="003470FF"/>
    <w:rsid w:val="0034727E"/>
    <w:rsid w:val="0034783A"/>
    <w:rsid w:val="003478E8"/>
    <w:rsid w:val="003479DE"/>
    <w:rsid w:val="00350120"/>
    <w:rsid w:val="003502CA"/>
    <w:rsid w:val="003503EE"/>
    <w:rsid w:val="003505D0"/>
    <w:rsid w:val="00351347"/>
    <w:rsid w:val="00351873"/>
    <w:rsid w:val="00351D0A"/>
    <w:rsid w:val="00351E1F"/>
    <w:rsid w:val="00352599"/>
    <w:rsid w:val="0035266D"/>
    <w:rsid w:val="00352B23"/>
    <w:rsid w:val="00352BAF"/>
    <w:rsid w:val="00352DCD"/>
    <w:rsid w:val="00352E21"/>
    <w:rsid w:val="00353200"/>
    <w:rsid w:val="003535C9"/>
    <w:rsid w:val="0035387B"/>
    <w:rsid w:val="00353BE4"/>
    <w:rsid w:val="00353D18"/>
    <w:rsid w:val="00353F55"/>
    <w:rsid w:val="00354142"/>
    <w:rsid w:val="003546BC"/>
    <w:rsid w:val="00354704"/>
    <w:rsid w:val="00355121"/>
    <w:rsid w:val="003552EE"/>
    <w:rsid w:val="00355632"/>
    <w:rsid w:val="0035577C"/>
    <w:rsid w:val="00355B8E"/>
    <w:rsid w:val="00355D9C"/>
    <w:rsid w:val="00356057"/>
    <w:rsid w:val="00356140"/>
    <w:rsid w:val="00356340"/>
    <w:rsid w:val="00356B46"/>
    <w:rsid w:val="00356BC6"/>
    <w:rsid w:val="00356C5A"/>
    <w:rsid w:val="00357776"/>
    <w:rsid w:val="00357A9C"/>
    <w:rsid w:val="00357C64"/>
    <w:rsid w:val="00360442"/>
    <w:rsid w:val="003608F9"/>
    <w:rsid w:val="00360E63"/>
    <w:rsid w:val="00361188"/>
    <w:rsid w:val="0036157B"/>
    <w:rsid w:val="00361639"/>
    <w:rsid w:val="0036272E"/>
    <w:rsid w:val="003629B8"/>
    <w:rsid w:val="00362A3C"/>
    <w:rsid w:val="003638E3"/>
    <w:rsid w:val="00363B09"/>
    <w:rsid w:val="00363C2A"/>
    <w:rsid w:val="003649A7"/>
    <w:rsid w:val="003652C4"/>
    <w:rsid w:val="0036556B"/>
    <w:rsid w:val="00366286"/>
    <w:rsid w:val="00366324"/>
    <w:rsid w:val="00367464"/>
    <w:rsid w:val="00367B4D"/>
    <w:rsid w:val="0037016A"/>
    <w:rsid w:val="0037042E"/>
    <w:rsid w:val="00370C19"/>
    <w:rsid w:val="00371024"/>
    <w:rsid w:val="003711A5"/>
    <w:rsid w:val="00371415"/>
    <w:rsid w:val="0037166B"/>
    <w:rsid w:val="0037169E"/>
    <w:rsid w:val="00371827"/>
    <w:rsid w:val="003718BE"/>
    <w:rsid w:val="00371E17"/>
    <w:rsid w:val="00372129"/>
    <w:rsid w:val="00372315"/>
    <w:rsid w:val="003727C4"/>
    <w:rsid w:val="0037343B"/>
    <w:rsid w:val="00374B33"/>
    <w:rsid w:val="00374F0B"/>
    <w:rsid w:val="003750A6"/>
    <w:rsid w:val="0037572D"/>
    <w:rsid w:val="0037593B"/>
    <w:rsid w:val="00375AD9"/>
    <w:rsid w:val="003773CB"/>
    <w:rsid w:val="0037783A"/>
    <w:rsid w:val="00380019"/>
    <w:rsid w:val="00380054"/>
    <w:rsid w:val="00380541"/>
    <w:rsid w:val="0038090E"/>
    <w:rsid w:val="00380E0B"/>
    <w:rsid w:val="00380F63"/>
    <w:rsid w:val="00381457"/>
    <w:rsid w:val="00381485"/>
    <w:rsid w:val="00381569"/>
    <w:rsid w:val="0038196B"/>
    <w:rsid w:val="00381A22"/>
    <w:rsid w:val="00382633"/>
    <w:rsid w:val="0038280F"/>
    <w:rsid w:val="00383CB2"/>
    <w:rsid w:val="0038413F"/>
    <w:rsid w:val="00384C14"/>
    <w:rsid w:val="00386399"/>
    <w:rsid w:val="00386DE0"/>
    <w:rsid w:val="00386E35"/>
    <w:rsid w:val="00387190"/>
    <w:rsid w:val="00387443"/>
    <w:rsid w:val="00387FAE"/>
    <w:rsid w:val="003907DB"/>
    <w:rsid w:val="00390819"/>
    <w:rsid w:val="0039085A"/>
    <w:rsid w:val="00390890"/>
    <w:rsid w:val="00390D35"/>
    <w:rsid w:val="00390DFD"/>
    <w:rsid w:val="00390FC8"/>
    <w:rsid w:val="003916E6"/>
    <w:rsid w:val="00391899"/>
    <w:rsid w:val="00391AD7"/>
    <w:rsid w:val="00391C3A"/>
    <w:rsid w:val="00391E42"/>
    <w:rsid w:val="00392477"/>
    <w:rsid w:val="003925CC"/>
    <w:rsid w:val="00392DD8"/>
    <w:rsid w:val="003931C2"/>
    <w:rsid w:val="003933EA"/>
    <w:rsid w:val="003936EA"/>
    <w:rsid w:val="003937DB"/>
    <w:rsid w:val="00393A1D"/>
    <w:rsid w:val="00393E93"/>
    <w:rsid w:val="00394448"/>
    <w:rsid w:val="00394794"/>
    <w:rsid w:val="00394D67"/>
    <w:rsid w:val="003950B3"/>
    <w:rsid w:val="003955E9"/>
    <w:rsid w:val="00395AB1"/>
    <w:rsid w:val="00396728"/>
    <w:rsid w:val="00396817"/>
    <w:rsid w:val="0039705B"/>
    <w:rsid w:val="003973DF"/>
    <w:rsid w:val="0039741D"/>
    <w:rsid w:val="00397493"/>
    <w:rsid w:val="003974FB"/>
    <w:rsid w:val="003977DD"/>
    <w:rsid w:val="003A0C55"/>
    <w:rsid w:val="003A11A4"/>
    <w:rsid w:val="003A17F7"/>
    <w:rsid w:val="003A1B28"/>
    <w:rsid w:val="003A1B9B"/>
    <w:rsid w:val="003A1F47"/>
    <w:rsid w:val="003A27CC"/>
    <w:rsid w:val="003A286F"/>
    <w:rsid w:val="003A28E7"/>
    <w:rsid w:val="003A324B"/>
    <w:rsid w:val="003A32E3"/>
    <w:rsid w:val="003A3749"/>
    <w:rsid w:val="003A4084"/>
    <w:rsid w:val="003A425C"/>
    <w:rsid w:val="003A47C3"/>
    <w:rsid w:val="003A490B"/>
    <w:rsid w:val="003A4A0F"/>
    <w:rsid w:val="003A4AB2"/>
    <w:rsid w:val="003A4E26"/>
    <w:rsid w:val="003A52B9"/>
    <w:rsid w:val="003A5536"/>
    <w:rsid w:val="003A5DFF"/>
    <w:rsid w:val="003A61AE"/>
    <w:rsid w:val="003A6290"/>
    <w:rsid w:val="003A636A"/>
    <w:rsid w:val="003A6A96"/>
    <w:rsid w:val="003A6F4C"/>
    <w:rsid w:val="003A7E77"/>
    <w:rsid w:val="003B07E5"/>
    <w:rsid w:val="003B09E8"/>
    <w:rsid w:val="003B0A23"/>
    <w:rsid w:val="003B1127"/>
    <w:rsid w:val="003B150B"/>
    <w:rsid w:val="003B17A3"/>
    <w:rsid w:val="003B42F8"/>
    <w:rsid w:val="003B46F3"/>
    <w:rsid w:val="003B4AC7"/>
    <w:rsid w:val="003B4D98"/>
    <w:rsid w:val="003B52EB"/>
    <w:rsid w:val="003B53AE"/>
    <w:rsid w:val="003B5519"/>
    <w:rsid w:val="003B7275"/>
    <w:rsid w:val="003B7987"/>
    <w:rsid w:val="003B7B50"/>
    <w:rsid w:val="003B7C0A"/>
    <w:rsid w:val="003B7E82"/>
    <w:rsid w:val="003C05AE"/>
    <w:rsid w:val="003C1C60"/>
    <w:rsid w:val="003C3549"/>
    <w:rsid w:val="003C35E5"/>
    <w:rsid w:val="003C3691"/>
    <w:rsid w:val="003C46D7"/>
    <w:rsid w:val="003C48FA"/>
    <w:rsid w:val="003C4B05"/>
    <w:rsid w:val="003C4D45"/>
    <w:rsid w:val="003C4DE3"/>
    <w:rsid w:val="003C5BED"/>
    <w:rsid w:val="003C5F62"/>
    <w:rsid w:val="003C613E"/>
    <w:rsid w:val="003C6AA6"/>
    <w:rsid w:val="003C79AA"/>
    <w:rsid w:val="003C79E1"/>
    <w:rsid w:val="003C7AD4"/>
    <w:rsid w:val="003D0855"/>
    <w:rsid w:val="003D160A"/>
    <w:rsid w:val="003D1C16"/>
    <w:rsid w:val="003D1C36"/>
    <w:rsid w:val="003D1F8F"/>
    <w:rsid w:val="003D29AE"/>
    <w:rsid w:val="003D2C7A"/>
    <w:rsid w:val="003D2F60"/>
    <w:rsid w:val="003D36BE"/>
    <w:rsid w:val="003D3C1D"/>
    <w:rsid w:val="003D410D"/>
    <w:rsid w:val="003D4D0B"/>
    <w:rsid w:val="003D4FDA"/>
    <w:rsid w:val="003D5032"/>
    <w:rsid w:val="003D5271"/>
    <w:rsid w:val="003D540B"/>
    <w:rsid w:val="003D6668"/>
    <w:rsid w:val="003D6BAC"/>
    <w:rsid w:val="003D6BBE"/>
    <w:rsid w:val="003D7361"/>
    <w:rsid w:val="003D738E"/>
    <w:rsid w:val="003D7786"/>
    <w:rsid w:val="003E032C"/>
    <w:rsid w:val="003E0DB7"/>
    <w:rsid w:val="003E1806"/>
    <w:rsid w:val="003E1E3A"/>
    <w:rsid w:val="003E1F57"/>
    <w:rsid w:val="003E20E9"/>
    <w:rsid w:val="003E20F8"/>
    <w:rsid w:val="003E2303"/>
    <w:rsid w:val="003E29F1"/>
    <w:rsid w:val="003E2A3A"/>
    <w:rsid w:val="003E2D08"/>
    <w:rsid w:val="003E31DE"/>
    <w:rsid w:val="003E3453"/>
    <w:rsid w:val="003E3741"/>
    <w:rsid w:val="003E39F7"/>
    <w:rsid w:val="003E3CD7"/>
    <w:rsid w:val="003E4839"/>
    <w:rsid w:val="003E5465"/>
    <w:rsid w:val="003E5BF0"/>
    <w:rsid w:val="003E6742"/>
    <w:rsid w:val="003E674A"/>
    <w:rsid w:val="003E68E6"/>
    <w:rsid w:val="003E7453"/>
    <w:rsid w:val="003E7614"/>
    <w:rsid w:val="003E7664"/>
    <w:rsid w:val="003E7978"/>
    <w:rsid w:val="003E7F13"/>
    <w:rsid w:val="003F0251"/>
    <w:rsid w:val="003F02F3"/>
    <w:rsid w:val="003F0883"/>
    <w:rsid w:val="003F09B9"/>
    <w:rsid w:val="003F175C"/>
    <w:rsid w:val="003F1DF4"/>
    <w:rsid w:val="003F236A"/>
    <w:rsid w:val="003F2B19"/>
    <w:rsid w:val="003F3081"/>
    <w:rsid w:val="003F321A"/>
    <w:rsid w:val="003F33A7"/>
    <w:rsid w:val="003F3422"/>
    <w:rsid w:val="003F3813"/>
    <w:rsid w:val="003F383A"/>
    <w:rsid w:val="003F3A95"/>
    <w:rsid w:val="003F4CF4"/>
    <w:rsid w:val="003F5037"/>
    <w:rsid w:val="003F5F1D"/>
    <w:rsid w:val="003F6015"/>
    <w:rsid w:val="003F659D"/>
    <w:rsid w:val="003F6E58"/>
    <w:rsid w:val="003F781C"/>
    <w:rsid w:val="003F794D"/>
    <w:rsid w:val="003F7F40"/>
    <w:rsid w:val="004002AA"/>
    <w:rsid w:val="004005C1"/>
    <w:rsid w:val="0040081E"/>
    <w:rsid w:val="00400913"/>
    <w:rsid w:val="00400CF5"/>
    <w:rsid w:val="00400E63"/>
    <w:rsid w:val="00401629"/>
    <w:rsid w:val="0040168C"/>
    <w:rsid w:val="00401D7A"/>
    <w:rsid w:val="00401D92"/>
    <w:rsid w:val="00401F84"/>
    <w:rsid w:val="004024C6"/>
    <w:rsid w:val="00402A0F"/>
    <w:rsid w:val="00402C6F"/>
    <w:rsid w:val="00402C85"/>
    <w:rsid w:val="00402C9C"/>
    <w:rsid w:val="004031A0"/>
    <w:rsid w:val="004031AC"/>
    <w:rsid w:val="004048BD"/>
    <w:rsid w:val="00404984"/>
    <w:rsid w:val="00404C4E"/>
    <w:rsid w:val="00405224"/>
    <w:rsid w:val="00405293"/>
    <w:rsid w:val="004052F3"/>
    <w:rsid w:val="0040530C"/>
    <w:rsid w:val="00405399"/>
    <w:rsid w:val="00405652"/>
    <w:rsid w:val="00405809"/>
    <w:rsid w:val="00405854"/>
    <w:rsid w:val="00405A2D"/>
    <w:rsid w:val="0040635C"/>
    <w:rsid w:val="004066A5"/>
    <w:rsid w:val="00406C91"/>
    <w:rsid w:val="00406F2D"/>
    <w:rsid w:val="00406FF2"/>
    <w:rsid w:val="004071BC"/>
    <w:rsid w:val="00407816"/>
    <w:rsid w:val="00407F22"/>
    <w:rsid w:val="004101C7"/>
    <w:rsid w:val="0041042F"/>
    <w:rsid w:val="004109CC"/>
    <w:rsid w:val="00410A6D"/>
    <w:rsid w:val="0041105D"/>
    <w:rsid w:val="0041150C"/>
    <w:rsid w:val="0041211D"/>
    <w:rsid w:val="004122FD"/>
    <w:rsid w:val="004123E0"/>
    <w:rsid w:val="004124F7"/>
    <w:rsid w:val="00412610"/>
    <w:rsid w:val="00412DD1"/>
    <w:rsid w:val="00413607"/>
    <w:rsid w:val="00413C0F"/>
    <w:rsid w:val="00414660"/>
    <w:rsid w:val="0041482E"/>
    <w:rsid w:val="00414CBD"/>
    <w:rsid w:val="00415384"/>
    <w:rsid w:val="00415789"/>
    <w:rsid w:val="00415C8D"/>
    <w:rsid w:val="00415D40"/>
    <w:rsid w:val="00416148"/>
    <w:rsid w:val="004166B8"/>
    <w:rsid w:val="00416948"/>
    <w:rsid w:val="00416EDD"/>
    <w:rsid w:val="00420BEE"/>
    <w:rsid w:val="00420EC7"/>
    <w:rsid w:val="00421317"/>
    <w:rsid w:val="004219DF"/>
    <w:rsid w:val="00422167"/>
    <w:rsid w:val="00422647"/>
    <w:rsid w:val="0042299B"/>
    <w:rsid w:val="00422F1F"/>
    <w:rsid w:val="004230BF"/>
    <w:rsid w:val="00423130"/>
    <w:rsid w:val="004231ED"/>
    <w:rsid w:val="00423533"/>
    <w:rsid w:val="00423552"/>
    <w:rsid w:val="00423701"/>
    <w:rsid w:val="00423CBD"/>
    <w:rsid w:val="004240B2"/>
    <w:rsid w:val="00424B08"/>
    <w:rsid w:val="00424C59"/>
    <w:rsid w:val="004250BD"/>
    <w:rsid w:val="00425320"/>
    <w:rsid w:val="004253FF"/>
    <w:rsid w:val="00425FC4"/>
    <w:rsid w:val="0042613C"/>
    <w:rsid w:val="00427524"/>
    <w:rsid w:val="004276EF"/>
    <w:rsid w:val="00427896"/>
    <w:rsid w:val="00427EB3"/>
    <w:rsid w:val="00430246"/>
    <w:rsid w:val="00430494"/>
    <w:rsid w:val="00430A81"/>
    <w:rsid w:val="00431088"/>
    <w:rsid w:val="00431150"/>
    <w:rsid w:val="00431A34"/>
    <w:rsid w:val="0043230D"/>
    <w:rsid w:val="004323CB"/>
    <w:rsid w:val="004323FD"/>
    <w:rsid w:val="00432749"/>
    <w:rsid w:val="00432918"/>
    <w:rsid w:val="00432AB0"/>
    <w:rsid w:val="00432F17"/>
    <w:rsid w:val="004332FE"/>
    <w:rsid w:val="00433F23"/>
    <w:rsid w:val="00434784"/>
    <w:rsid w:val="0043490C"/>
    <w:rsid w:val="00434D6E"/>
    <w:rsid w:val="00435748"/>
    <w:rsid w:val="00435E69"/>
    <w:rsid w:val="00436327"/>
    <w:rsid w:val="00436FCB"/>
    <w:rsid w:val="00437678"/>
    <w:rsid w:val="004378EA"/>
    <w:rsid w:val="00437DF6"/>
    <w:rsid w:val="0044131B"/>
    <w:rsid w:val="004413C0"/>
    <w:rsid w:val="00441A62"/>
    <w:rsid w:val="00443AB8"/>
    <w:rsid w:val="00443CA9"/>
    <w:rsid w:val="00443E7A"/>
    <w:rsid w:val="00443EBA"/>
    <w:rsid w:val="00444069"/>
    <w:rsid w:val="0044416C"/>
    <w:rsid w:val="004443AC"/>
    <w:rsid w:val="004449EA"/>
    <w:rsid w:val="004449EF"/>
    <w:rsid w:val="00444B96"/>
    <w:rsid w:val="00446222"/>
    <w:rsid w:val="00446E3F"/>
    <w:rsid w:val="004472DD"/>
    <w:rsid w:val="004477E5"/>
    <w:rsid w:val="00447C92"/>
    <w:rsid w:val="00447CC2"/>
    <w:rsid w:val="00447D17"/>
    <w:rsid w:val="00450915"/>
    <w:rsid w:val="00450AC3"/>
    <w:rsid w:val="00450D97"/>
    <w:rsid w:val="00450E5B"/>
    <w:rsid w:val="004510EE"/>
    <w:rsid w:val="00451181"/>
    <w:rsid w:val="00451228"/>
    <w:rsid w:val="00451267"/>
    <w:rsid w:val="0045139B"/>
    <w:rsid w:val="00451C3D"/>
    <w:rsid w:val="00451E1F"/>
    <w:rsid w:val="00452279"/>
    <w:rsid w:val="0045238E"/>
    <w:rsid w:val="004524FA"/>
    <w:rsid w:val="0045255D"/>
    <w:rsid w:val="00452602"/>
    <w:rsid w:val="0045274C"/>
    <w:rsid w:val="00452F33"/>
    <w:rsid w:val="00452F5B"/>
    <w:rsid w:val="00453319"/>
    <w:rsid w:val="004535B2"/>
    <w:rsid w:val="0045375F"/>
    <w:rsid w:val="00453D56"/>
    <w:rsid w:val="00453E3A"/>
    <w:rsid w:val="00453F35"/>
    <w:rsid w:val="0045532B"/>
    <w:rsid w:val="0045570B"/>
    <w:rsid w:val="004560E3"/>
    <w:rsid w:val="0045633F"/>
    <w:rsid w:val="00456704"/>
    <w:rsid w:val="00456D7F"/>
    <w:rsid w:val="00456F6E"/>
    <w:rsid w:val="0045709E"/>
    <w:rsid w:val="00457AC0"/>
    <w:rsid w:val="00457C83"/>
    <w:rsid w:val="0046027A"/>
    <w:rsid w:val="004607A4"/>
    <w:rsid w:val="00460CC4"/>
    <w:rsid w:val="0046124B"/>
    <w:rsid w:val="00461412"/>
    <w:rsid w:val="00461420"/>
    <w:rsid w:val="0046165C"/>
    <w:rsid w:val="0046186E"/>
    <w:rsid w:val="00461884"/>
    <w:rsid w:val="00461B64"/>
    <w:rsid w:val="00462788"/>
    <w:rsid w:val="0046280C"/>
    <w:rsid w:val="00462D68"/>
    <w:rsid w:val="00462EDC"/>
    <w:rsid w:val="004633D5"/>
    <w:rsid w:val="004634BC"/>
    <w:rsid w:val="0046352A"/>
    <w:rsid w:val="004642C9"/>
    <w:rsid w:val="00464C83"/>
    <w:rsid w:val="00465037"/>
    <w:rsid w:val="004650C3"/>
    <w:rsid w:val="004654B6"/>
    <w:rsid w:val="004656D6"/>
    <w:rsid w:val="004658F6"/>
    <w:rsid w:val="00465BBC"/>
    <w:rsid w:val="00465EB2"/>
    <w:rsid w:val="00466747"/>
    <w:rsid w:val="00466895"/>
    <w:rsid w:val="00466E3E"/>
    <w:rsid w:val="00466E81"/>
    <w:rsid w:val="00467B86"/>
    <w:rsid w:val="00467C41"/>
    <w:rsid w:val="004702C3"/>
    <w:rsid w:val="00470C74"/>
    <w:rsid w:val="00470F9F"/>
    <w:rsid w:val="00471049"/>
    <w:rsid w:val="004713E9"/>
    <w:rsid w:val="00471E19"/>
    <w:rsid w:val="00471F84"/>
    <w:rsid w:val="00472E99"/>
    <w:rsid w:val="0047329C"/>
    <w:rsid w:val="004737F8"/>
    <w:rsid w:val="00473BE0"/>
    <w:rsid w:val="00473F84"/>
    <w:rsid w:val="004743FC"/>
    <w:rsid w:val="00474B07"/>
    <w:rsid w:val="004757AA"/>
    <w:rsid w:val="00476855"/>
    <w:rsid w:val="00476AB8"/>
    <w:rsid w:val="00477129"/>
    <w:rsid w:val="004771C0"/>
    <w:rsid w:val="0047721A"/>
    <w:rsid w:val="00477386"/>
    <w:rsid w:val="00477487"/>
    <w:rsid w:val="00477559"/>
    <w:rsid w:val="004776D4"/>
    <w:rsid w:val="00477EB8"/>
    <w:rsid w:val="00480060"/>
    <w:rsid w:val="00480107"/>
    <w:rsid w:val="0048015E"/>
    <w:rsid w:val="004808DB"/>
    <w:rsid w:val="0048176B"/>
    <w:rsid w:val="004827B8"/>
    <w:rsid w:val="00482B6C"/>
    <w:rsid w:val="00482C82"/>
    <w:rsid w:val="00484309"/>
    <w:rsid w:val="0048511B"/>
    <w:rsid w:val="004866D9"/>
    <w:rsid w:val="00486A46"/>
    <w:rsid w:val="0048705B"/>
    <w:rsid w:val="004873DD"/>
    <w:rsid w:val="0048741A"/>
    <w:rsid w:val="00487794"/>
    <w:rsid w:val="0049000F"/>
    <w:rsid w:val="00490D5B"/>
    <w:rsid w:val="004915C7"/>
    <w:rsid w:val="00492147"/>
    <w:rsid w:val="004923D2"/>
    <w:rsid w:val="00492427"/>
    <w:rsid w:val="004926CE"/>
    <w:rsid w:val="0049297A"/>
    <w:rsid w:val="004935A0"/>
    <w:rsid w:val="004936DF"/>
    <w:rsid w:val="00493B14"/>
    <w:rsid w:val="004948F8"/>
    <w:rsid w:val="00494AF0"/>
    <w:rsid w:val="00494F20"/>
    <w:rsid w:val="0049537F"/>
    <w:rsid w:val="00495529"/>
    <w:rsid w:val="00496129"/>
    <w:rsid w:val="00496347"/>
    <w:rsid w:val="004964C8"/>
    <w:rsid w:val="00496A3F"/>
    <w:rsid w:val="00496D65"/>
    <w:rsid w:val="00496E3A"/>
    <w:rsid w:val="00496F29"/>
    <w:rsid w:val="0049723A"/>
    <w:rsid w:val="00497D12"/>
    <w:rsid w:val="00497DB8"/>
    <w:rsid w:val="00497DE7"/>
    <w:rsid w:val="004A08BD"/>
    <w:rsid w:val="004A0C02"/>
    <w:rsid w:val="004A12AC"/>
    <w:rsid w:val="004A176E"/>
    <w:rsid w:val="004A19FC"/>
    <w:rsid w:val="004A1B52"/>
    <w:rsid w:val="004A1C46"/>
    <w:rsid w:val="004A200C"/>
    <w:rsid w:val="004A2111"/>
    <w:rsid w:val="004A236C"/>
    <w:rsid w:val="004A2832"/>
    <w:rsid w:val="004A2888"/>
    <w:rsid w:val="004A320A"/>
    <w:rsid w:val="004A373C"/>
    <w:rsid w:val="004A382E"/>
    <w:rsid w:val="004A384C"/>
    <w:rsid w:val="004A398E"/>
    <w:rsid w:val="004A41B7"/>
    <w:rsid w:val="004A497A"/>
    <w:rsid w:val="004A4B34"/>
    <w:rsid w:val="004A4D66"/>
    <w:rsid w:val="004A511F"/>
    <w:rsid w:val="004A5610"/>
    <w:rsid w:val="004A593E"/>
    <w:rsid w:val="004A6742"/>
    <w:rsid w:val="004A6D40"/>
    <w:rsid w:val="004A728B"/>
    <w:rsid w:val="004A73A9"/>
    <w:rsid w:val="004B00AD"/>
    <w:rsid w:val="004B010C"/>
    <w:rsid w:val="004B02F6"/>
    <w:rsid w:val="004B1B98"/>
    <w:rsid w:val="004B1CFB"/>
    <w:rsid w:val="004B1EF1"/>
    <w:rsid w:val="004B23EC"/>
    <w:rsid w:val="004B2C90"/>
    <w:rsid w:val="004B2D44"/>
    <w:rsid w:val="004B2F66"/>
    <w:rsid w:val="004B3753"/>
    <w:rsid w:val="004B399B"/>
    <w:rsid w:val="004B39B3"/>
    <w:rsid w:val="004B3F09"/>
    <w:rsid w:val="004B4151"/>
    <w:rsid w:val="004B4DF7"/>
    <w:rsid w:val="004B56D2"/>
    <w:rsid w:val="004B5ABC"/>
    <w:rsid w:val="004B6514"/>
    <w:rsid w:val="004B6795"/>
    <w:rsid w:val="004B6CDF"/>
    <w:rsid w:val="004B6ECD"/>
    <w:rsid w:val="004B7EEE"/>
    <w:rsid w:val="004C0382"/>
    <w:rsid w:val="004C0AF6"/>
    <w:rsid w:val="004C0CC0"/>
    <w:rsid w:val="004C2045"/>
    <w:rsid w:val="004C2548"/>
    <w:rsid w:val="004C297D"/>
    <w:rsid w:val="004C2B37"/>
    <w:rsid w:val="004C3D07"/>
    <w:rsid w:val="004C4206"/>
    <w:rsid w:val="004C4EF4"/>
    <w:rsid w:val="004C52BB"/>
    <w:rsid w:val="004C5819"/>
    <w:rsid w:val="004C6660"/>
    <w:rsid w:val="004C6F32"/>
    <w:rsid w:val="004C7353"/>
    <w:rsid w:val="004C7448"/>
    <w:rsid w:val="004C7BE2"/>
    <w:rsid w:val="004C7E75"/>
    <w:rsid w:val="004D0A43"/>
    <w:rsid w:val="004D0CA1"/>
    <w:rsid w:val="004D109B"/>
    <w:rsid w:val="004D151D"/>
    <w:rsid w:val="004D1757"/>
    <w:rsid w:val="004D17D5"/>
    <w:rsid w:val="004D20F9"/>
    <w:rsid w:val="004D2607"/>
    <w:rsid w:val="004D2A13"/>
    <w:rsid w:val="004D307C"/>
    <w:rsid w:val="004D351E"/>
    <w:rsid w:val="004D3F39"/>
    <w:rsid w:val="004D4043"/>
    <w:rsid w:val="004D411F"/>
    <w:rsid w:val="004D5503"/>
    <w:rsid w:val="004D55B7"/>
    <w:rsid w:val="004D5743"/>
    <w:rsid w:val="004D5BFC"/>
    <w:rsid w:val="004D5DCE"/>
    <w:rsid w:val="004D6140"/>
    <w:rsid w:val="004D6814"/>
    <w:rsid w:val="004D6F01"/>
    <w:rsid w:val="004D7B74"/>
    <w:rsid w:val="004D7F22"/>
    <w:rsid w:val="004E000A"/>
    <w:rsid w:val="004E047E"/>
    <w:rsid w:val="004E0DD6"/>
    <w:rsid w:val="004E0EFE"/>
    <w:rsid w:val="004E0F07"/>
    <w:rsid w:val="004E2868"/>
    <w:rsid w:val="004E292C"/>
    <w:rsid w:val="004E2CD5"/>
    <w:rsid w:val="004E3634"/>
    <w:rsid w:val="004E3889"/>
    <w:rsid w:val="004E3959"/>
    <w:rsid w:val="004E41EF"/>
    <w:rsid w:val="004E43FD"/>
    <w:rsid w:val="004E4838"/>
    <w:rsid w:val="004E4F56"/>
    <w:rsid w:val="004E57F7"/>
    <w:rsid w:val="004E5AAF"/>
    <w:rsid w:val="004E5BB3"/>
    <w:rsid w:val="004F0561"/>
    <w:rsid w:val="004F0F6E"/>
    <w:rsid w:val="004F1002"/>
    <w:rsid w:val="004F1863"/>
    <w:rsid w:val="004F19CD"/>
    <w:rsid w:val="004F23A5"/>
    <w:rsid w:val="004F2AC1"/>
    <w:rsid w:val="004F3571"/>
    <w:rsid w:val="004F388C"/>
    <w:rsid w:val="004F479D"/>
    <w:rsid w:val="004F4A95"/>
    <w:rsid w:val="004F4C07"/>
    <w:rsid w:val="004F4EB3"/>
    <w:rsid w:val="004F513F"/>
    <w:rsid w:val="004F5488"/>
    <w:rsid w:val="004F5703"/>
    <w:rsid w:val="004F5B58"/>
    <w:rsid w:val="004F616A"/>
    <w:rsid w:val="004F61EB"/>
    <w:rsid w:val="004F6267"/>
    <w:rsid w:val="004F62D1"/>
    <w:rsid w:val="004F65D2"/>
    <w:rsid w:val="004F7065"/>
    <w:rsid w:val="004F74E9"/>
    <w:rsid w:val="00500266"/>
    <w:rsid w:val="00500366"/>
    <w:rsid w:val="005007AF"/>
    <w:rsid w:val="00500856"/>
    <w:rsid w:val="00500BC7"/>
    <w:rsid w:val="00500CA2"/>
    <w:rsid w:val="00500DF9"/>
    <w:rsid w:val="00500FDE"/>
    <w:rsid w:val="005016D5"/>
    <w:rsid w:val="00501E6F"/>
    <w:rsid w:val="0050207C"/>
    <w:rsid w:val="0050222B"/>
    <w:rsid w:val="005024A2"/>
    <w:rsid w:val="005027E3"/>
    <w:rsid w:val="00502A90"/>
    <w:rsid w:val="00503168"/>
    <w:rsid w:val="005036C1"/>
    <w:rsid w:val="00503865"/>
    <w:rsid w:val="00503A68"/>
    <w:rsid w:val="00504AEB"/>
    <w:rsid w:val="00504F87"/>
    <w:rsid w:val="005050E8"/>
    <w:rsid w:val="005051A9"/>
    <w:rsid w:val="005059A4"/>
    <w:rsid w:val="00505CDD"/>
    <w:rsid w:val="00505EFE"/>
    <w:rsid w:val="00506079"/>
    <w:rsid w:val="00506182"/>
    <w:rsid w:val="00506630"/>
    <w:rsid w:val="00506958"/>
    <w:rsid w:val="005070BC"/>
    <w:rsid w:val="00507992"/>
    <w:rsid w:val="00510101"/>
    <w:rsid w:val="005102E2"/>
    <w:rsid w:val="00510370"/>
    <w:rsid w:val="005105CA"/>
    <w:rsid w:val="005107E8"/>
    <w:rsid w:val="00510CF7"/>
    <w:rsid w:val="00511D56"/>
    <w:rsid w:val="0051204F"/>
    <w:rsid w:val="005123BC"/>
    <w:rsid w:val="00512BB6"/>
    <w:rsid w:val="00512C15"/>
    <w:rsid w:val="00512C71"/>
    <w:rsid w:val="00512F7D"/>
    <w:rsid w:val="005131CC"/>
    <w:rsid w:val="00513685"/>
    <w:rsid w:val="005137A6"/>
    <w:rsid w:val="00513AB2"/>
    <w:rsid w:val="0051414B"/>
    <w:rsid w:val="00514505"/>
    <w:rsid w:val="00514D09"/>
    <w:rsid w:val="0051535C"/>
    <w:rsid w:val="005156C6"/>
    <w:rsid w:val="005158B9"/>
    <w:rsid w:val="005169B9"/>
    <w:rsid w:val="00516A92"/>
    <w:rsid w:val="00517561"/>
    <w:rsid w:val="005175E7"/>
    <w:rsid w:val="005207AC"/>
    <w:rsid w:val="00520D66"/>
    <w:rsid w:val="00520FBE"/>
    <w:rsid w:val="00521178"/>
    <w:rsid w:val="0052139F"/>
    <w:rsid w:val="005215FB"/>
    <w:rsid w:val="00521673"/>
    <w:rsid w:val="00522E66"/>
    <w:rsid w:val="00522FF3"/>
    <w:rsid w:val="005230B7"/>
    <w:rsid w:val="00523415"/>
    <w:rsid w:val="00523A19"/>
    <w:rsid w:val="00523E19"/>
    <w:rsid w:val="005240CA"/>
    <w:rsid w:val="0052419C"/>
    <w:rsid w:val="00524DE0"/>
    <w:rsid w:val="00525E97"/>
    <w:rsid w:val="00526E9B"/>
    <w:rsid w:val="0052708B"/>
    <w:rsid w:val="00527091"/>
    <w:rsid w:val="00527EC4"/>
    <w:rsid w:val="005307E0"/>
    <w:rsid w:val="005308EC"/>
    <w:rsid w:val="00530A45"/>
    <w:rsid w:val="00531BAC"/>
    <w:rsid w:val="00531D33"/>
    <w:rsid w:val="005321E7"/>
    <w:rsid w:val="00532B02"/>
    <w:rsid w:val="00532E0F"/>
    <w:rsid w:val="00532F14"/>
    <w:rsid w:val="0053384B"/>
    <w:rsid w:val="00533B9C"/>
    <w:rsid w:val="00533C8F"/>
    <w:rsid w:val="00534042"/>
    <w:rsid w:val="005341C6"/>
    <w:rsid w:val="00534334"/>
    <w:rsid w:val="00534463"/>
    <w:rsid w:val="00534A14"/>
    <w:rsid w:val="00534FFE"/>
    <w:rsid w:val="0053516B"/>
    <w:rsid w:val="005354B4"/>
    <w:rsid w:val="00535558"/>
    <w:rsid w:val="00536270"/>
    <w:rsid w:val="0053666D"/>
    <w:rsid w:val="00537583"/>
    <w:rsid w:val="00537632"/>
    <w:rsid w:val="00537791"/>
    <w:rsid w:val="00537C14"/>
    <w:rsid w:val="0054009A"/>
    <w:rsid w:val="00540247"/>
    <w:rsid w:val="00540378"/>
    <w:rsid w:val="00540399"/>
    <w:rsid w:val="0054055D"/>
    <w:rsid w:val="00540ED6"/>
    <w:rsid w:val="0054150A"/>
    <w:rsid w:val="005415E0"/>
    <w:rsid w:val="00541C98"/>
    <w:rsid w:val="00541CDA"/>
    <w:rsid w:val="005421D2"/>
    <w:rsid w:val="00542552"/>
    <w:rsid w:val="0054278F"/>
    <w:rsid w:val="0054285C"/>
    <w:rsid w:val="00542EFB"/>
    <w:rsid w:val="005430DA"/>
    <w:rsid w:val="005433B6"/>
    <w:rsid w:val="005434AF"/>
    <w:rsid w:val="005435E7"/>
    <w:rsid w:val="005436A1"/>
    <w:rsid w:val="00543C36"/>
    <w:rsid w:val="00543E3B"/>
    <w:rsid w:val="00543E7F"/>
    <w:rsid w:val="00544072"/>
    <w:rsid w:val="00544B71"/>
    <w:rsid w:val="00544CD2"/>
    <w:rsid w:val="00544D35"/>
    <w:rsid w:val="00544FD5"/>
    <w:rsid w:val="005455A2"/>
    <w:rsid w:val="0054560E"/>
    <w:rsid w:val="005458F1"/>
    <w:rsid w:val="00546535"/>
    <w:rsid w:val="00546882"/>
    <w:rsid w:val="00546BFE"/>
    <w:rsid w:val="00546E2A"/>
    <w:rsid w:val="0054740F"/>
    <w:rsid w:val="00547631"/>
    <w:rsid w:val="00547A23"/>
    <w:rsid w:val="00547D08"/>
    <w:rsid w:val="00550659"/>
    <w:rsid w:val="00550895"/>
    <w:rsid w:val="00550C88"/>
    <w:rsid w:val="00550CC9"/>
    <w:rsid w:val="0055141E"/>
    <w:rsid w:val="0055148D"/>
    <w:rsid w:val="005514E7"/>
    <w:rsid w:val="00551BED"/>
    <w:rsid w:val="00551C22"/>
    <w:rsid w:val="005520FD"/>
    <w:rsid w:val="00553432"/>
    <w:rsid w:val="0055366B"/>
    <w:rsid w:val="005539B2"/>
    <w:rsid w:val="00553ABD"/>
    <w:rsid w:val="00553B8F"/>
    <w:rsid w:val="00553CB5"/>
    <w:rsid w:val="00554353"/>
    <w:rsid w:val="005547EB"/>
    <w:rsid w:val="00555003"/>
    <w:rsid w:val="00555408"/>
    <w:rsid w:val="0055585E"/>
    <w:rsid w:val="005558A5"/>
    <w:rsid w:val="00555B36"/>
    <w:rsid w:val="00555F8B"/>
    <w:rsid w:val="00556022"/>
    <w:rsid w:val="00556843"/>
    <w:rsid w:val="0055693C"/>
    <w:rsid w:val="00557B01"/>
    <w:rsid w:val="00560494"/>
    <w:rsid w:val="005605E2"/>
    <w:rsid w:val="00560F5C"/>
    <w:rsid w:val="00561017"/>
    <w:rsid w:val="0056152C"/>
    <w:rsid w:val="00561AE6"/>
    <w:rsid w:val="005625AA"/>
    <w:rsid w:val="00562BFF"/>
    <w:rsid w:val="00562FAA"/>
    <w:rsid w:val="00563072"/>
    <w:rsid w:val="00563650"/>
    <w:rsid w:val="005636B2"/>
    <w:rsid w:val="0056379F"/>
    <w:rsid w:val="00563C55"/>
    <w:rsid w:val="00563ED3"/>
    <w:rsid w:val="005647F3"/>
    <w:rsid w:val="00564D7F"/>
    <w:rsid w:val="00564EB9"/>
    <w:rsid w:val="00565171"/>
    <w:rsid w:val="005655E9"/>
    <w:rsid w:val="00565632"/>
    <w:rsid w:val="00565894"/>
    <w:rsid w:val="00565AEF"/>
    <w:rsid w:val="00565B84"/>
    <w:rsid w:val="00566545"/>
    <w:rsid w:val="00567929"/>
    <w:rsid w:val="00567D05"/>
    <w:rsid w:val="00570EA0"/>
    <w:rsid w:val="00571943"/>
    <w:rsid w:val="00571CE8"/>
    <w:rsid w:val="00571D86"/>
    <w:rsid w:val="00572704"/>
    <w:rsid w:val="005731E0"/>
    <w:rsid w:val="00573654"/>
    <w:rsid w:val="0057389A"/>
    <w:rsid w:val="00573BA3"/>
    <w:rsid w:val="00573BDF"/>
    <w:rsid w:val="00574333"/>
    <w:rsid w:val="00574BC8"/>
    <w:rsid w:val="00575330"/>
    <w:rsid w:val="00575632"/>
    <w:rsid w:val="005757EA"/>
    <w:rsid w:val="00575A33"/>
    <w:rsid w:val="00575CC8"/>
    <w:rsid w:val="00575E4D"/>
    <w:rsid w:val="00576842"/>
    <w:rsid w:val="00576882"/>
    <w:rsid w:val="005771B7"/>
    <w:rsid w:val="00577DE6"/>
    <w:rsid w:val="00580073"/>
    <w:rsid w:val="005800F8"/>
    <w:rsid w:val="00580202"/>
    <w:rsid w:val="0058074A"/>
    <w:rsid w:val="00580F35"/>
    <w:rsid w:val="0058180E"/>
    <w:rsid w:val="00581BC2"/>
    <w:rsid w:val="005821BB"/>
    <w:rsid w:val="005825FA"/>
    <w:rsid w:val="00582B52"/>
    <w:rsid w:val="00582E5A"/>
    <w:rsid w:val="005831FC"/>
    <w:rsid w:val="00583C46"/>
    <w:rsid w:val="00583D26"/>
    <w:rsid w:val="005843E9"/>
    <w:rsid w:val="005845F6"/>
    <w:rsid w:val="0058509C"/>
    <w:rsid w:val="005851C7"/>
    <w:rsid w:val="00585412"/>
    <w:rsid w:val="00585705"/>
    <w:rsid w:val="0058571C"/>
    <w:rsid w:val="00586178"/>
    <w:rsid w:val="00586ABF"/>
    <w:rsid w:val="0058709F"/>
    <w:rsid w:val="00587951"/>
    <w:rsid w:val="00587A18"/>
    <w:rsid w:val="00587B67"/>
    <w:rsid w:val="00590D7B"/>
    <w:rsid w:val="005918AC"/>
    <w:rsid w:val="00591AC0"/>
    <w:rsid w:val="00591F0C"/>
    <w:rsid w:val="00591FCD"/>
    <w:rsid w:val="00592207"/>
    <w:rsid w:val="005933D9"/>
    <w:rsid w:val="005939FF"/>
    <w:rsid w:val="00593F5D"/>
    <w:rsid w:val="00594804"/>
    <w:rsid w:val="0059485A"/>
    <w:rsid w:val="0059562F"/>
    <w:rsid w:val="0059591C"/>
    <w:rsid w:val="00595989"/>
    <w:rsid w:val="00595A4E"/>
    <w:rsid w:val="00596446"/>
    <w:rsid w:val="00596521"/>
    <w:rsid w:val="005966CA"/>
    <w:rsid w:val="00597896"/>
    <w:rsid w:val="00597B33"/>
    <w:rsid w:val="00597D24"/>
    <w:rsid w:val="005A11D3"/>
    <w:rsid w:val="005A136F"/>
    <w:rsid w:val="005A14CD"/>
    <w:rsid w:val="005A1958"/>
    <w:rsid w:val="005A2890"/>
    <w:rsid w:val="005A29DF"/>
    <w:rsid w:val="005A2FE8"/>
    <w:rsid w:val="005A418A"/>
    <w:rsid w:val="005A41B5"/>
    <w:rsid w:val="005A47B6"/>
    <w:rsid w:val="005A4868"/>
    <w:rsid w:val="005A50A6"/>
    <w:rsid w:val="005A5619"/>
    <w:rsid w:val="005A5C88"/>
    <w:rsid w:val="005A62E5"/>
    <w:rsid w:val="005A6B25"/>
    <w:rsid w:val="005A74AC"/>
    <w:rsid w:val="005A75C6"/>
    <w:rsid w:val="005A7705"/>
    <w:rsid w:val="005B01F1"/>
    <w:rsid w:val="005B0D6B"/>
    <w:rsid w:val="005B156F"/>
    <w:rsid w:val="005B2300"/>
    <w:rsid w:val="005B2CFF"/>
    <w:rsid w:val="005B2FED"/>
    <w:rsid w:val="005B3043"/>
    <w:rsid w:val="005B3AB6"/>
    <w:rsid w:val="005B3D15"/>
    <w:rsid w:val="005B4A53"/>
    <w:rsid w:val="005B4EDB"/>
    <w:rsid w:val="005B527B"/>
    <w:rsid w:val="005B5737"/>
    <w:rsid w:val="005B57B9"/>
    <w:rsid w:val="005B64A9"/>
    <w:rsid w:val="005B6953"/>
    <w:rsid w:val="005B6DC2"/>
    <w:rsid w:val="005B703A"/>
    <w:rsid w:val="005B7386"/>
    <w:rsid w:val="005B748C"/>
    <w:rsid w:val="005C052D"/>
    <w:rsid w:val="005C0ABA"/>
    <w:rsid w:val="005C0C74"/>
    <w:rsid w:val="005C0C79"/>
    <w:rsid w:val="005C0DAE"/>
    <w:rsid w:val="005C12C2"/>
    <w:rsid w:val="005C12DA"/>
    <w:rsid w:val="005C14D4"/>
    <w:rsid w:val="005C2170"/>
    <w:rsid w:val="005C27AB"/>
    <w:rsid w:val="005C2DA6"/>
    <w:rsid w:val="005C2F0D"/>
    <w:rsid w:val="005C2F81"/>
    <w:rsid w:val="005C3142"/>
    <w:rsid w:val="005C34EB"/>
    <w:rsid w:val="005C4107"/>
    <w:rsid w:val="005C4616"/>
    <w:rsid w:val="005C47DB"/>
    <w:rsid w:val="005C58FF"/>
    <w:rsid w:val="005C5949"/>
    <w:rsid w:val="005C5B84"/>
    <w:rsid w:val="005C5E78"/>
    <w:rsid w:val="005C5E87"/>
    <w:rsid w:val="005C634B"/>
    <w:rsid w:val="005C6CC3"/>
    <w:rsid w:val="005C7052"/>
    <w:rsid w:val="005C75CD"/>
    <w:rsid w:val="005C779A"/>
    <w:rsid w:val="005C7822"/>
    <w:rsid w:val="005C78C8"/>
    <w:rsid w:val="005C7DF7"/>
    <w:rsid w:val="005D00CE"/>
    <w:rsid w:val="005D0673"/>
    <w:rsid w:val="005D0BAB"/>
    <w:rsid w:val="005D0D36"/>
    <w:rsid w:val="005D1054"/>
    <w:rsid w:val="005D1498"/>
    <w:rsid w:val="005D1928"/>
    <w:rsid w:val="005D1FC1"/>
    <w:rsid w:val="005D2953"/>
    <w:rsid w:val="005D2B90"/>
    <w:rsid w:val="005D2FBC"/>
    <w:rsid w:val="005D3331"/>
    <w:rsid w:val="005D3462"/>
    <w:rsid w:val="005D3675"/>
    <w:rsid w:val="005D3F62"/>
    <w:rsid w:val="005D4915"/>
    <w:rsid w:val="005D4B0F"/>
    <w:rsid w:val="005D57CB"/>
    <w:rsid w:val="005D5D6E"/>
    <w:rsid w:val="005D5DAC"/>
    <w:rsid w:val="005D607B"/>
    <w:rsid w:val="005D6120"/>
    <w:rsid w:val="005D6605"/>
    <w:rsid w:val="005D73FA"/>
    <w:rsid w:val="005D7634"/>
    <w:rsid w:val="005D7AD4"/>
    <w:rsid w:val="005E0C47"/>
    <w:rsid w:val="005E0C80"/>
    <w:rsid w:val="005E0EF8"/>
    <w:rsid w:val="005E11B4"/>
    <w:rsid w:val="005E17EE"/>
    <w:rsid w:val="005E1E75"/>
    <w:rsid w:val="005E223A"/>
    <w:rsid w:val="005E2488"/>
    <w:rsid w:val="005E2574"/>
    <w:rsid w:val="005E2F02"/>
    <w:rsid w:val="005E388E"/>
    <w:rsid w:val="005E3B69"/>
    <w:rsid w:val="005E4812"/>
    <w:rsid w:val="005E4B27"/>
    <w:rsid w:val="005E5663"/>
    <w:rsid w:val="005E58A5"/>
    <w:rsid w:val="005E5910"/>
    <w:rsid w:val="005E5B3A"/>
    <w:rsid w:val="005E6364"/>
    <w:rsid w:val="005E6417"/>
    <w:rsid w:val="005E681C"/>
    <w:rsid w:val="005E6C8D"/>
    <w:rsid w:val="005E6E2B"/>
    <w:rsid w:val="005E6E36"/>
    <w:rsid w:val="005E7B05"/>
    <w:rsid w:val="005E7BC4"/>
    <w:rsid w:val="005F0469"/>
    <w:rsid w:val="005F047C"/>
    <w:rsid w:val="005F0C0E"/>
    <w:rsid w:val="005F0D06"/>
    <w:rsid w:val="005F10D1"/>
    <w:rsid w:val="005F11D9"/>
    <w:rsid w:val="005F161B"/>
    <w:rsid w:val="005F1D43"/>
    <w:rsid w:val="005F203F"/>
    <w:rsid w:val="005F228B"/>
    <w:rsid w:val="005F2379"/>
    <w:rsid w:val="005F275E"/>
    <w:rsid w:val="005F2A87"/>
    <w:rsid w:val="005F3317"/>
    <w:rsid w:val="005F3483"/>
    <w:rsid w:val="005F3CA6"/>
    <w:rsid w:val="005F3E05"/>
    <w:rsid w:val="005F4362"/>
    <w:rsid w:val="005F43AC"/>
    <w:rsid w:val="005F45CD"/>
    <w:rsid w:val="005F471E"/>
    <w:rsid w:val="005F4A25"/>
    <w:rsid w:val="005F56B5"/>
    <w:rsid w:val="005F5BE4"/>
    <w:rsid w:val="005F5F9B"/>
    <w:rsid w:val="005F6372"/>
    <w:rsid w:val="005F6ED1"/>
    <w:rsid w:val="005F6F74"/>
    <w:rsid w:val="005F7154"/>
    <w:rsid w:val="005F7599"/>
    <w:rsid w:val="005F79D6"/>
    <w:rsid w:val="006004F5"/>
    <w:rsid w:val="00600C33"/>
    <w:rsid w:val="006014A1"/>
    <w:rsid w:val="00601881"/>
    <w:rsid w:val="00601A3B"/>
    <w:rsid w:val="00601A3F"/>
    <w:rsid w:val="00601D05"/>
    <w:rsid w:val="00601D89"/>
    <w:rsid w:val="00601F83"/>
    <w:rsid w:val="006024F5"/>
    <w:rsid w:val="00602BAD"/>
    <w:rsid w:val="00602DA3"/>
    <w:rsid w:val="0060350E"/>
    <w:rsid w:val="006042D9"/>
    <w:rsid w:val="00604CC7"/>
    <w:rsid w:val="006051B5"/>
    <w:rsid w:val="006054F3"/>
    <w:rsid w:val="00605502"/>
    <w:rsid w:val="00605B61"/>
    <w:rsid w:val="00605C88"/>
    <w:rsid w:val="006062D3"/>
    <w:rsid w:val="0060664F"/>
    <w:rsid w:val="00606BA4"/>
    <w:rsid w:val="00607B0D"/>
    <w:rsid w:val="006106CF"/>
    <w:rsid w:val="006109FB"/>
    <w:rsid w:val="00610DC6"/>
    <w:rsid w:val="00611943"/>
    <w:rsid w:val="00611A2B"/>
    <w:rsid w:val="00612F72"/>
    <w:rsid w:val="006134EC"/>
    <w:rsid w:val="00613A4D"/>
    <w:rsid w:val="0061414D"/>
    <w:rsid w:val="006146B9"/>
    <w:rsid w:val="00614757"/>
    <w:rsid w:val="00614B78"/>
    <w:rsid w:val="00615769"/>
    <w:rsid w:val="00616048"/>
    <w:rsid w:val="0061647B"/>
    <w:rsid w:val="006164ED"/>
    <w:rsid w:val="006166D3"/>
    <w:rsid w:val="0061681A"/>
    <w:rsid w:val="006169E2"/>
    <w:rsid w:val="00616ACD"/>
    <w:rsid w:val="00617673"/>
    <w:rsid w:val="0061783D"/>
    <w:rsid w:val="006179B0"/>
    <w:rsid w:val="00617B4F"/>
    <w:rsid w:val="00617B79"/>
    <w:rsid w:val="006203AE"/>
    <w:rsid w:val="00620554"/>
    <w:rsid w:val="0062086E"/>
    <w:rsid w:val="00620A3E"/>
    <w:rsid w:val="00620F72"/>
    <w:rsid w:val="0062109B"/>
    <w:rsid w:val="00621ABD"/>
    <w:rsid w:val="00622480"/>
    <w:rsid w:val="00622B6D"/>
    <w:rsid w:val="00623A44"/>
    <w:rsid w:val="00623C07"/>
    <w:rsid w:val="00624102"/>
    <w:rsid w:val="00624186"/>
    <w:rsid w:val="006242E9"/>
    <w:rsid w:val="00624402"/>
    <w:rsid w:val="00624AF9"/>
    <w:rsid w:val="00624B27"/>
    <w:rsid w:val="00625424"/>
    <w:rsid w:val="006255CA"/>
    <w:rsid w:val="006267D3"/>
    <w:rsid w:val="006274AE"/>
    <w:rsid w:val="00627589"/>
    <w:rsid w:val="00627CAC"/>
    <w:rsid w:val="00627D53"/>
    <w:rsid w:val="0063005E"/>
    <w:rsid w:val="00630D15"/>
    <w:rsid w:val="00631025"/>
    <w:rsid w:val="00631974"/>
    <w:rsid w:val="0063199A"/>
    <w:rsid w:val="006319EA"/>
    <w:rsid w:val="0063283F"/>
    <w:rsid w:val="00632B0A"/>
    <w:rsid w:val="006337BF"/>
    <w:rsid w:val="0063391D"/>
    <w:rsid w:val="00633A54"/>
    <w:rsid w:val="00633D01"/>
    <w:rsid w:val="00633FE0"/>
    <w:rsid w:val="00634E6F"/>
    <w:rsid w:val="00634FA5"/>
    <w:rsid w:val="006352D4"/>
    <w:rsid w:val="006363EE"/>
    <w:rsid w:val="006364D2"/>
    <w:rsid w:val="00636E64"/>
    <w:rsid w:val="006370B5"/>
    <w:rsid w:val="0063725B"/>
    <w:rsid w:val="00637901"/>
    <w:rsid w:val="00637D61"/>
    <w:rsid w:val="00637E16"/>
    <w:rsid w:val="0064136D"/>
    <w:rsid w:val="006419A9"/>
    <w:rsid w:val="006422FA"/>
    <w:rsid w:val="00642527"/>
    <w:rsid w:val="00642677"/>
    <w:rsid w:val="00642AEF"/>
    <w:rsid w:val="006436B2"/>
    <w:rsid w:val="006439B4"/>
    <w:rsid w:val="00643B91"/>
    <w:rsid w:val="0064426E"/>
    <w:rsid w:val="006444AA"/>
    <w:rsid w:val="00644978"/>
    <w:rsid w:val="00644B6F"/>
    <w:rsid w:val="0064511E"/>
    <w:rsid w:val="0064531F"/>
    <w:rsid w:val="00645B14"/>
    <w:rsid w:val="00646292"/>
    <w:rsid w:val="00646372"/>
    <w:rsid w:val="00647334"/>
    <w:rsid w:val="00647453"/>
    <w:rsid w:val="0064747E"/>
    <w:rsid w:val="006476D2"/>
    <w:rsid w:val="00647C3D"/>
    <w:rsid w:val="00647D58"/>
    <w:rsid w:val="00647F3F"/>
    <w:rsid w:val="00650D60"/>
    <w:rsid w:val="006510AA"/>
    <w:rsid w:val="006520B9"/>
    <w:rsid w:val="00652277"/>
    <w:rsid w:val="00652348"/>
    <w:rsid w:val="00652511"/>
    <w:rsid w:val="00652D8D"/>
    <w:rsid w:val="00652FCF"/>
    <w:rsid w:val="006531F1"/>
    <w:rsid w:val="006532DC"/>
    <w:rsid w:val="0065337F"/>
    <w:rsid w:val="00653698"/>
    <w:rsid w:val="00653D10"/>
    <w:rsid w:val="0065412A"/>
    <w:rsid w:val="0065466A"/>
    <w:rsid w:val="00654869"/>
    <w:rsid w:val="006548D2"/>
    <w:rsid w:val="00654B3B"/>
    <w:rsid w:val="00654C11"/>
    <w:rsid w:val="00654CE7"/>
    <w:rsid w:val="00654DD6"/>
    <w:rsid w:val="00654E49"/>
    <w:rsid w:val="00655396"/>
    <w:rsid w:val="00655514"/>
    <w:rsid w:val="00655DD1"/>
    <w:rsid w:val="00656D42"/>
    <w:rsid w:val="00656EF3"/>
    <w:rsid w:val="006571D1"/>
    <w:rsid w:val="00657EDE"/>
    <w:rsid w:val="00660584"/>
    <w:rsid w:val="0066098B"/>
    <w:rsid w:val="00660E41"/>
    <w:rsid w:val="00660E7C"/>
    <w:rsid w:val="0066152F"/>
    <w:rsid w:val="00661803"/>
    <w:rsid w:val="00662589"/>
    <w:rsid w:val="0066266E"/>
    <w:rsid w:val="006636C3"/>
    <w:rsid w:val="0066433A"/>
    <w:rsid w:val="0066464D"/>
    <w:rsid w:val="00664B5C"/>
    <w:rsid w:val="00664C77"/>
    <w:rsid w:val="00664DFD"/>
    <w:rsid w:val="006650A3"/>
    <w:rsid w:val="0066527C"/>
    <w:rsid w:val="006652B0"/>
    <w:rsid w:val="00665A90"/>
    <w:rsid w:val="00665BCF"/>
    <w:rsid w:val="00666868"/>
    <w:rsid w:val="00667061"/>
    <w:rsid w:val="006673CA"/>
    <w:rsid w:val="00667BDC"/>
    <w:rsid w:val="00667E1C"/>
    <w:rsid w:val="0067001D"/>
    <w:rsid w:val="0067005B"/>
    <w:rsid w:val="00670A11"/>
    <w:rsid w:val="00670C0F"/>
    <w:rsid w:val="00670DBB"/>
    <w:rsid w:val="00670F0D"/>
    <w:rsid w:val="0067129A"/>
    <w:rsid w:val="006713BC"/>
    <w:rsid w:val="0067147E"/>
    <w:rsid w:val="00671663"/>
    <w:rsid w:val="006718BA"/>
    <w:rsid w:val="0067195C"/>
    <w:rsid w:val="00671F6A"/>
    <w:rsid w:val="00672439"/>
    <w:rsid w:val="0067295F"/>
    <w:rsid w:val="00672F22"/>
    <w:rsid w:val="0067344E"/>
    <w:rsid w:val="00674D0A"/>
    <w:rsid w:val="00675600"/>
    <w:rsid w:val="00675DE4"/>
    <w:rsid w:val="00675E9E"/>
    <w:rsid w:val="00676463"/>
    <w:rsid w:val="0067702B"/>
    <w:rsid w:val="0067753A"/>
    <w:rsid w:val="00677761"/>
    <w:rsid w:val="0067799B"/>
    <w:rsid w:val="00680579"/>
    <w:rsid w:val="00680641"/>
    <w:rsid w:val="0068072E"/>
    <w:rsid w:val="006809D0"/>
    <w:rsid w:val="00680D8B"/>
    <w:rsid w:val="006811B9"/>
    <w:rsid w:val="00681798"/>
    <w:rsid w:val="006822B5"/>
    <w:rsid w:val="0068233F"/>
    <w:rsid w:val="00682393"/>
    <w:rsid w:val="00682D7E"/>
    <w:rsid w:val="0068364E"/>
    <w:rsid w:val="006838B8"/>
    <w:rsid w:val="00683FDF"/>
    <w:rsid w:val="00684180"/>
    <w:rsid w:val="00684611"/>
    <w:rsid w:val="00684B5C"/>
    <w:rsid w:val="00684F73"/>
    <w:rsid w:val="00685966"/>
    <w:rsid w:val="00685ED4"/>
    <w:rsid w:val="00687115"/>
    <w:rsid w:val="006871D8"/>
    <w:rsid w:val="00687302"/>
    <w:rsid w:val="00687466"/>
    <w:rsid w:val="00687AB8"/>
    <w:rsid w:val="006906C6"/>
    <w:rsid w:val="006906D3"/>
    <w:rsid w:val="00690BB4"/>
    <w:rsid w:val="00690FDD"/>
    <w:rsid w:val="0069149B"/>
    <w:rsid w:val="00691B8C"/>
    <w:rsid w:val="00692033"/>
    <w:rsid w:val="006922B1"/>
    <w:rsid w:val="00692DBC"/>
    <w:rsid w:val="00693A3C"/>
    <w:rsid w:val="00693AC1"/>
    <w:rsid w:val="0069462B"/>
    <w:rsid w:val="00694BDE"/>
    <w:rsid w:val="00694CB5"/>
    <w:rsid w:val="00694E49"/>
    <w:rsid w:val="00694E60"/>
    <w:rsid w:val="0069520C"/>
    <w:rsid w:val="0069557D"/>
    <w:rsid w:val="006956C1"/>
    <w:rsid w:val="00695837"/>
    <w:rsid w:val="00695C41"/>
    <w:rsid w:val="00695CCC"/>
    <w:rsid w:val="006961D3"/>
    <w:rsid w:val="00696606"/>
    <w:rsid w:val="00696632"/>
    <w:rsid w:val="006966CE"/>
    <w:rsid w:val="00696E43"/>
    <w:rsid w:val="00697BAB"/>
    <w:rsid w:val="00697E81"/>
    <w:rsid w:val="006A02EA"/>
    <w:rsid w:val="006A0908"/>
    <w:rsid w:val="006A121F"/>
    <w:rsid w:val="006A12B5"/>
    <w:rsid w:val="006A15A1"/>
    <w:rsid w:val="006A1C63"/>
    <w:rsid w:val="006A1E81"/>
    <w:rsid w:val="006A1EAD"/>
    <w:rsid w:val="006A2365"/>
    <w:rsid w:val="006A370C"/>
    <w:rsid w:val="006A37F0"/>
    <w:rsid w:val="006A3988"/>
    <w:rsid w:val="006A45AE"/>
    <w:rsid w:val="006A465A"/>
    <w:rsid w:val="006A46D8"/>
    <w:rsid w:val="006A4CA8"/>
    <w:rsid w:val="006A4E56"/>
    <w:rsid w:val="006A4F92"/>
    <w:rsid w:val="006A506C"/>
    <w:rsid w:val="006A5555"/>
    <w:rsid w:val="006A58FB"/>
    <w:rsid w:val="006A5DBD"/>
    <w:rsid w:val="006A637C"/>
    <w:rsid w:val="006A65AA"/>
    <w:rsid w:val="006A6605"/>
    <w:rsid w:val="006A6A52"/>
    <w:rsid w:val="006A6C5D"/>
    <w:rsid w:val="006A6CF7"/>
    <w:rsid w:val="006A718F"/>
    <w:rsid w:val="006A7546"/>
    <w:rsid w:val="006A7552"/>
    <w:rsid w:val="006B0650"/>
    <w:rsid w:val="006B09B2"/>
    <w:rsid w:val="006B0FEE"/>
    <w:rsid w:val="006B179F"/>
    <w:rsid w:val="006B21C0"/>
    <w:rsid w:val="006B294D"/>
    <w:rsid w:val="006B2975"/>
    <w:rsid w:val="006B3328"/>
    <w:rsid w:val="006B3C08"/>
    <w:rsid w:val="006B406C"/>
    <w:rsid w:val="006B412C"/>
    <w:rsid w:val="006B41EB"/>
    <w:rsid w:val="006B424B"/>
    <w:rsid w:val="006B4C94"/>
    <w:rsid w:val="006B4F62"/>
    <w:rsid w:val="006B5156"/>
    <w:rsid w:val="006B5343"/>
    <w:rsid w:val="006B54D1"/>
    <w:rsid w:val="006B5541"/>
    <w:rsid w:val="006B5CAF"/>
    <w:rsid w:val="006B60A0"/>
    <w:rsid w:val="006B62B8"/>
    <w:rsid w:val="006B6486"/>
    <w:rsid w:val="006B6A4A"/>
    <w:rsid w:val="006B6E62"/>
    <w:rsid w:val="006B746B"/>
    <w:rsid w:val="006C01A1"/>
    <w:rsid w:val="006C06E6"/>
    <w:rsid w:val="006C0927"/>
    <w:rsid w:val="006C0E25"/>
    <w:rsid w:val="006C175E"/>
    <w:rsid w:val="006C17A5"/>
    <w:rsid w:val="006C1E13"/>
    <w:rsid w:val="006C28C5"/>
    <w:rsid w:val="006C2930"/>
    <w:rsid w:val="006C3670"/>
    <w:rsid w:val="006C38E7"/>
    <w:rsid w:val="006C3EA2"/>
    <w:rsid w:val="006C4732"/>
    <w:rsid w:val="006C4809"/>
    <w:rsid w:val="006C4855"/>
    <w:rsid w:val="006C5185"/>
    <w:rsid w:val="006C533C"/>
    <w:rsid w:val="006C53FE"/>
    <w:rsid w:val="006C5D0D"/>
    <w:rsid w:val="006C69A7"/>
    <w:rsid w:val="006C6C33"/>
    <w:rsid w:val="006C7757"/>
    <w:rsid w:val="006C78DD"/>
    <w:rsid w:val="006C7921"/>
    <w:rsid w:val="006C7DC4"/>
    <w:rsid w:val="006D040F"/>
    <w:rsid w:val="006D08CB"/>
    <w:rsid w:val="006D1389"/>
    <w:rsid w:val="006D14D5"/>
    <w:rsid w:val="006D182E"/>
    <w:rsid w:val="006D1C71"/>
    <w:rsid w:val="006D1E10"/>
    <w:rsid w:val="006D27F1"/>
    <w:rsid w:val="006D2A3D"/>
    <w:rsid w:val="006D2EA9"/>
    <w:rsid w:val="006D343B"/>
    <w:rsid w:val="006D35ED"/>
    <w:rsid w:val="006D3925"/>
    <w:rsid w:val="006D3CFB"/>
    <w:rsid w:val="006D4135"/>
    <w:rsid w:val="006D45E2"/>
    <w:rsid w:val="006D492A"/>
    <w:rsid w:val="006D4FB0"/>
    <w:rsid w:val="006D53F7"/>
    <w:rsid w:val="006D5679"/>
    <w:rsid w:val="006D5AC8"/>
    <w:rsid w:val="006D5D2C"/>
    <w:rsid w:val="006D627A"/>
    <w:rsid w:val="006D63A2"/>
    <w:rsid w:val="006D6644"/>
    <w:rsid w:val="006D6A87"/>
    <w:rsid w:val="006D6FEC"/>
    <w:rsid w:val="006D7820"/>
    <w:rsid w:val="006D79BF"/>
    <w:rsid w:val="006D7BE8"/>
    <w:rsid w:val="006E0614"/>
    <w:rsid w:val="006E0969"/>
    <w:rsid w:val="006E0BD2"/>
    <w:rsid w:val="006E0BFF"/>
    <w:rsid w:val="006E106E"/>
    <w:rsid w:val="006E109D"/>
    <w:rsid w:val="006E1333"/>
    <w:rsid w:val="006E2264"/>
    <w:rsid w:val="006E269B"/>
    <w:rsid w:val="006E2E79"/>
    <w:rsid w:val="006E31D7"/>
    <w:rsid w:val="006E48E7"/>
    <w:rsid w:val="006E4CEF"/>
    <w:rsid w:val="006E546B"/>
    <w:rsid w:val="006E59DF"/>
    <w:rsid w:val="006E5CE5"/>
    <w:rsid w:val="006E5DD8"/>
    <w:rsid w:val="006E613C"/>
    <w:rsid w:val="006E6631"/>
    <w:rsid w:val="006E7092"/>
    <w:rsid w:val="006E7121"/>
    <w:rsid w:val="006E7490"/>
    <w:rsid w:val="006E7D04"/>
    <w:rsid w:val="006E7E34"/>
    <w:rsid w:val="006F0173"/>
    <w:rsid w:val="006F0604"/>
    <w:rsid w:val="006F0713"/>
    <w:rsid w:val="006F0BB2"/>
    <w:rsid w:val="006F0E92"/>
    <w:rsid w:val="006F0F48"/>
    <w:rsid w:val="006F0F84"/>
    <w:rsid w:val="006F2EDD"/>
    <w:rsid w:val="006F31BC"/>
    <w:rsid w:val="006F35B2"/>
    <w:rsid w:val="006F41EA"/>
    <w:rsid w:val="006F4ADC"/>
    <w:rsid w:val="006F4BBA"/>
    <w:rsid w:val="006F4F61"/>
    <w:rsid w:val="006F5683"/>
    <w:rsid w:val="006F5E55"/>
    <w:rsid w:val="006F5EEB"/>
    <w:rsid w:val="006F637C"/>
    <w:rsid w:val="006F65F0"/>
    <w:rsid w:val="006F666A"/>
    <w:rsid w:val="006F6D39"/>
    <w:rsid w:val="006F7299"/>
    <w:rsid w:val="006F7540"/>
    <w:rsid w:val="006F7554"/>
    <w:rsid w:val="006F7EE3"/>
    <w:rsid w:val="00700429"/>
    <w:rsid w:val="00700717"/>
    <w:rsid w:val="00700890"/>
    <w:rsid w:val="007014E0"/>
    <w:rsid w:val="00701932"/>
    <w:rsid w:val="00701B5D"/>
    <w:rsid w:val="007022B0"/>
    <w:rsid w:val="00702691"/>
    <w:rsid w:val="007027EA"/>
    <w:rsid w:val="007031F4"/>
    <w:rsid w:val="00703348"/>
    <w:rsid w:val="00703399"/>
    <w:rsid w:val="007034DA"/>
    <w:rsid w:val="007036B3"/>
    <w:rsid w:val="00703894"/>
    <w:rsid w:val="00703C48"/>
    <w:rsid w:val="0070419C"/>
    <w:rsid w:val="007045E4"/>
    <w:rsid w:val="00704A35"/>
    <w:rsid w:val="00704E18"/>
    <w:rsid w:val="00704F83"/>
    <w:rsid w:val="00704FED"/>
    <w:rsid w:val="00706382"/>
    <w:rsid w:val="00706412"/>
    <w:rsid w:val="007069D5"/>
    <w:rsid w:val="00706D35"/>
    <w:rsid w:val="0070744A"/>
    <w:rsid w:val="0070766A"/>
    <w:rsid w:val="007077A5"/>
    <w:rsid w:val="0070790C"/>
    <w:rsid w:val="00707FD0"/>
    <w:rsid w:val="0071066F"/>
    <w:rsid w:val="007110DD"/>
    <w:rsid w:val="00712482"/>
    <w:rsid w:val="007127D5"/>
    <w:rsid w:val="007129B0"/>
    <w:rsid w:val="00713260"/>
    <w:rsid w:val="00713387"/>
    <w:rsid w:val="007139CF"/>
    <w:rsid w:val="007151B8"/>
    <w:rsid w:val="00715A44"/>
    <w:rsid w:val="00717708"/>
    <w:rsid w:val="00717ECC"/>
    <w:rsid w:val="007202D9"/>
    <w:rsid w:val="00720911"/>
    <w:rsid w:val="00720981"/>
    <w:rsid w:val="00720A0B"/>
    <w:rsid w:val="00720D33"/>
    <w:rsid w:val="007213FE"/>
    <w:rsid w:val="00721BE2"/>
    <w:rsid w:val="00722848"/>
    <w:rsid w:val="0072294B"/>
    <w:rsid w:val="00722A73"/>
    <w:rsid w:val="00722ADB"/>
    <w:rsid w:val="00723020"/>
    <w:rsid w:val="007231FB"/>
    <w:rsid w:val="00723EF7"/>
    <w:rsid w:val="0072413F"/>
    <w:rsid w:val="0072437B"/>
    <w:rsid w:val="0072599A"/>
    <w:rsid w:val="00725AA6"/>
    <w:rsid w:val="00725BC7"/>
    <w:rsid w:val="00725C5B"/>
    <w:rsid w:val="00725FCB"/>
    <w:rsid w:val="00726577"/>
    <w:rsid w:val="00726B0C"/>
    <w:rsid w:val="00727737"/>
    <w:rsid w:val="00727D47"/>
    <w:rsid w:val="0073018D"/>
    <w:rsid w:val="00730737"/>
    <w:rsid w:val="00731CF7"/>
    <w:rsid w:val="007322F2"/>
    <w:rsid w:val="00732E0C"/>
    <w:rsid w:val="00732EFC"/>
    <w:rsid w:val="0073360D"/>
    <w:rsid w:val="007336B2"/>
    <w:rsid w:val="00734215"/>
    <w:rsid w:val="0073432E"/>
    <w:rsid w:val="007346BA"/>
    <w:rsid w:val="007349FB"/>
    <w:rsid w:val="00734BAC"/>
    <w:rsid w:val="00734E68"/>
    <w:rsid w:val="007352DC"/>
    <w:rsid w:val="00735658"/>
    <w:rsid w:val="00735929"/>
    <w:rsid w:val="00735ACF"/>
    <w:rsid w:val="00735CC0"/>
    <w:rsid w:val="00735E37"/>
    <w:rsid w:val="00736316"/>
    <w:rsid w:val="0073645C"/>
    <w:rsid w:val="00737A3B"/>
    <w:rsid w:val="00737D19"/>
    <w:rsid w:val="0074000F"/>
    <w:rsid w:val="0074040D"/>
    <w:rsid w:val="00740C33"/>
    <w:rsid w:val="007414A5"/>
    <w:rsid w:val="00741551"/>
    <w:rsid w:val="00741A2E"/>
    <w:rsid w:val="00741DE9"/>
    <w:rsid w:val="00741F80"/>
    <w:rsid w:val="00742046"/>
    <w:rsid w:val="007423E3"/>
    <w:rsid w:val="00742DA0"/>
    <w:rsid w:val="0074314D"/>
    <w:rsid w:val="007435C7"/>
    <w:rsid w:val="007435EA"/>
    <w:rsid w:val="00743D9D"/>
    <w:rsid w:val="00744157"/>
    <w:rsid w:val="007443D1"/>
    <w:rsid w:val="0074442E"/>
    <w:rsid w:val="0074448F"/>
    <w:rsid w:val="00744AAF"/>
    <w:rsid w:val="00744B51"/>
    <w:rsid w:val="00744DAF"/>
    <w:rsid w:val="00744DFE"/>
    <w:rsid w:val="00744EA7"/>
    <w:rsid w:val="007453AF"/>
    <w:rsid w:val="00745B81"/>
    <w:rsid w:val="007468D3"/>
    <w:rsid w:val="00747668"/>
    <w:rsid w:val="007476F0"/>
    <w:rsid w:val="00747B87"/>
    <w:rsid w:val="00747D73"/>
    <w:rsid w:val="007501B5"/>
    <w:rsid w:val="0075086A"/>
    <w:rsid w:val="00750B8B"/>
    <w:rsid w:val="00750F3A"/>
    <w:rsid w:val="0075117A"/>
    <w:rsid w:val="00751579"/>
    <w:rsid w:val="00751A38"/>
    <w:rsid w:val="00752480"/>
    <w:rsid w:val="00752885"/>
    <w:rsid w:val="0075347B"/>
    <w:rsid w:val="007536E6"/>
    <w:rsid w:val="00753A82"/>
    <w:rsid w:val="00753B87"/>
    <w:rsid w:val="00753C92"/>
    <w:rsid w:val="00754BB5"/>
    <w:rsid w:val="00754F1F"/>
    <w:rsid w:val="007553ED"/>
    <w:rsid w:val="00755FD8"/>
    <w:rsid w:val="007562B2"/>
    <w:rsid w:val="007565CC"/>
    <w:rsid w:val="00756B49"/>
    <w:rsid w:val="00756FE6"/>
    <w:rsid w:val="007574F3"/>
    <w:rsid w:val="0075763F"/>
    <w:rsid w:val="00757AEA"/>
    <w:rsid w:val="0076104C"/>
    <w:rsid w:val="00761299"/>
    <w:rsid w:val="00761BB4"/>
    <w:rsid w:val="00761FE0"/>
    <w:rsid w:val="00762B45"/>
    <w:rsid w:val="00763043"/>
    <w:rsid w:val="007633AA"/>
    <w:rsid w:val="007634A0"/>
    <w:rsid w:val="007635C9"/>
    <w:rsid w:val="00763B6E"/>
    <w:rsid w:val="0076407D"/>
    <w:rsid w:val="007645F9"/>
    <w:rsid w:val="00764903"/>
    <w:rsid w:val="00764A14"/>
    <w:rsid w:val="00764BCB"/>
    <w:rsid w:val="00764CC1"/>
    <w:rsid w:val="00764E2B"/>
    <w:rsid w:val="00764F18"/>
    <w:rsid w:val="007651A9"/>
    <w:rsid w:val="007658AB"/>
    <w:rsid w:val="00765A1F"/>
    <w:rsid w:val="00765A69"/>
    <w:rsid w:val="00765C98"/>
    <w:rsid w:val="0076604D"/>
    <w:rsid w:val="00766158"/>
    <w:rsid w:val="0076622D"/>
    <w:rsid w:val="007664E2"/>
    <w:rsid w:val="007668F0"/>
    <w:rsid w:val="00766A14"/>
    <w:rsid w:val="00766B32"/>
    <w:rsid w:val="00766D3F"/>
    <w:rsid w:val="00766D78"/>
    <w:rsid w:val="00766E87"/>
    <w:rsid w:val="0076714A"/>
    <w:rsid w:val="007677E9"/>
    <w:rsid w:val="00767FCB"/>
    <w:rsid w:val="007705BF"/>
    <w:rsid w:val="0077072E"/>
    <w:rsid w:val="00771084"/>
    <w:rsid w:val="007718CB"/>
    <w:rsid w:val="007718FF"/>
    <w:rsid w:val="00771DB5"/>
    <w:rsid w:val="007722B8"/>
    <w:rsid w:val="007732CF"/>
    <w:rsid w:val="0077401C"/>
    <w:rsid w:val="00774071"/>
    <w:rsid w:val="007745AD"/>
    <w:rsid w:val="00774645"/>
    <w:rsid w:val="0077531D"/>
    <w:rsid w:val="0077564C"/>
    <w:rsid w:val="00775CB4"/>
    <w:rsid w:val="00776D66"/>
    <w:rsid w:val="0077730F"/>
    <w:rsid w:val="007774DA"/>
    <w:rsid w:val="00777ACD"/>
    <w:rsid w:val="00777D07"/>
    <w:rsid w:val="007811A5"/>
    <w:rsid w:val="007815B5"/>
    <w:rsid w:val="007816C7"/>
    <w:rsid w:val="007819A1"/>
    <w:rsid w:val="00781F31"/>
    <w:rsid w:val="00781FAD"/>
    <w:rsid w:val="00781FF9"/>
    <w:rsid w:val="00782C05"/>
    <w:rsid w:val="00782D6E"/>
    <w:rsid w:val="00782E9A"/>
    <w:rsid w:val="0078348B"/>
    <w:rsid w:val="0078361C"/>
    <w:rsid w:val="007836A1"/>
    <w:rsid w:val="00784308"/>
    <w:rsid w:val="00784664"/>
    <w:rsid w:val="00784D1E"/>
    <w:rsid w:val="00784FE8"/>
    <w:rsid w:val="007853FD"/>
    <w:rsid w:val="007855E4"/>
    <w:rsid w:val="00785975"/>
    <w:rsid w:val="00785AA5"/>
    <w:rsid w:val="00785C65"/>
    <w:rsid w:val="00785D30"/>
    <w:rsid w:val="00785DBA"/>
    <w:rsid w:val="00785E7C"/>
    <w:rsid w:val="007864C2"/>
    <w:rsid w:val="00786C45"/>
    <w:rsid w:val="00786CA2"/>
    <w:rsid w:val="00787089"/>
    <w:rsid w:val="00787C15"/>
    <w:rsid w:val="00787FA9"/>
    <w:rsid w:val="0079090D"/>
    <w:rsid w:val="00790D62"/>
    <w:rsid w:val="00790E3C"/>
    <w:rsid w:val="00791500"/>
    <w:rsid w:val="0079197A"/>
    <w:rsid w:val="00792024"/>
    <w:rsid w:val="007924D6"/>
    <w:rsid w:val="0079284B"/>
    <w:rsid w:val="00792A22"/>
    <w:rsid w:val="00793321"/>
    <w:rsid w:val="00793588"/>
    <w:rsid w:val="00794371"/>
    <w:rsid w:val="007944BD"/>
    <w:rsid w:val="00794AC2"/>
    <w:rsid w:val="00795926"/>
    <w:rsid w:val="007959CA"/>
    <w:rsid w:val="007968CC"/>
    <w:rsid w:val="00797484"/>
    <w:rsid w:val="00797BBA"/>
    <w:rsid w:val="00797BF1"/>
    <w:rsid w:val="00797C8B"/>
    <w:rsid w:val="007A02B9"/>
    <w:rsid w:val="007A066D"/>
    <w:rsid w:val="007A069B"/>
    <w:rsid w:val="007A09BC"/>
    <w:rsid w:val="007A0D36"/>
    <w:rsid w:val="007A0F76"/>
    <w:rsid w:val="007A0FF6"/>
    <w:rsid w:val="007A1586"/>
    <w:rsid w:val="007A2B5C"/>
    <w:rsid w:val="007A2C88"/>
    <w:rsid w:val="007A2E3B"/>
    <w:rsid w:val="007A2F35"/>
    <w:rsid w:val="007A33E6"/>
    <w:rsid w:val="007A38E1"/>
    <w:rsid w:val="007A3908"/>
    <w:rsid w:val="007A3DC2"/>
    <w:rsid w:val="007A4A08"/>
    <w:rsid w:val="007A531C"/>
    <w:rsid w:val="007A53AC"/>
    <w:rsid w:val="007A541A"/>
    <w:rsid w:val="007A605A"/>
    <w:rsid w:val="007A645C"/>
    <w:rsid w:val="007A6AC9"/>
    <w:rsid w:val="007A6AFC"/>
    <w:rsid w:val="007A77E0"/>
    <w:rsid w:val="007A7A54"/>
    <w:rsid w:val="007A7C9B"/>
    <w:rsid w:val="007B19EF"/>
    <w:rsid w:val="007B1A93"/>
    <w:rsid w:val="007B1B92"/>
    <w:rsid w:val="007B1C94"/>
    <w:rsid w:val="007B3358"/>
    <w:rsid w:val="007B4549"/>
    <w:rsid w:val="007B479B"/>
    <w:rsid w:val="007B5589"/>
    <w:rsid w:val="007B5821"/>
    <w:rsid w:val="007B58EF"/>
    <w:rsid w:val="007B6261"/>
    <w:rsid w:val="007B659A"/>
    <w:rsid w:val="007B6768"/>
    <w:rsid w:val="007B699B"/>
    <w:rsid w:val="007B6E74"/>
    <w:rsid w:val="007B7078"/>
    <w:rsid w:val="007B74B1"/>
    <w:rsid w:val="007B75A6"/>
    <w:rsid w:val="007B7683"/>
    <w:rsid w:val="007B7B18"/>
    <w:rsid w:val="007C05BD"/>
    <w:rsid w:val="007C0622"/>
    <w:rsid w:val="007C0741"/>
    <w:rsid w:val="007C0E13"/>
    <w:rsid w:val="007C1676"/>
    <w:rsid w:val="007C1A58"/>
    <w:rsid w:val="007C1B1E"/>
    <w:rsid w:val="007C22B2"/>
    <w:rsid w:val="007C2350"/>
    <w:rsid w:val="007C2AFC"/>
    <w:rsid w:val="007C2B8F"/>
    <w:rsid w:val="007C32B2"/>
    <w:rsid w:val="007C3EAE"/>
    <w:rsid w:val="007C409D"/>
    <w:rsid w:val="007C49B6"/>
    <w:rsid w:val="007C49E9"/>
    <w:rsid w:val="007C4A45"/>
    <w:rsid w:val="007C5378"/>
    <w:rsid w:val="007C53F6"/>
    <w:rsid w:val="007C5B0D"/>
    <w:rsid w:val="007C6C9B"/>
    <w:rsid w:val="007C6F26"/>
    <w:rsid w:val="007C6F64"/>
    <w:rsid w:val="007C708F"/>
    <w:rsid w:val="007C71FA"/>
    <w:rsid w:val="007C77A8"/>
    <w:rsid w:val="007C7872"/>
    <w:rsid w:val="007D0632"/>
    <w:rsid w:val="007D0653"/>
    <w:rsid w:val="007D0CB2"/>
    <w:rsid w:val="007D1245"/>
    <w:rsid w:val="007D134D"/>
    <w:rsid w:val="007D1424"/>
    <w:rsid w:val="007D2004"/>
    <w:rsid w:val="007D247F"/>
    <w:rsid w:val="007D2D7F"/>
    <w:rsid w:val="007D3125"/>
    <w:rsid w:val="007D38A8"/>
    <w:rsid w:val="007D3C49"/>
    <w:rsid w:val="007D3C55"/>
    <w:rsid w:val="007D410A"/>
    <w:rsid w:val="007D441E"/>
    <w:rsid w:val="007D4743"/>
    <w:rsid w:val="007D4AF3"/>
    <w:rsid w:val="007D58B2"/>
    <w:rsid w:val="007D5CE7"/>
    <w:rsid w:val="007D5D2D"/>
    <w:rsid w:val="007D67D4"/>
    <w:rsid w:val="007E0411"/>
    <w:rsid w:val="007E0435"/>
    <w:rsid w:val="007E091D"/>
    <w:rsid w:val="007E0B4A"/>
    <w:rsid w:val="007E0EBE"/>
    <w:rsid w:val="007E0F7A"/>
    <w:rsid w:val="007E172E"/>
    <w:rsid w:val="007E1C87"/>
    <w:rsid w:val="007E1C97"/>
    <w:rsid w:val="007E2503"/>
    <w:rsid w:val="007E2532"/>
    <w:rsid w:val="007E2F0D"/>
    <w:rsid w:val="007E2F75"/>
    <w:rsid w:val="007E305E"/>
    <w:rsid w:val="007E344A"/>
    <w:rsid w:val="007E36C0"/>
    <w:rsid w:val="007E3710"/>
    <w:rsid w:val="007E39A9"/>
    <w:rsid w:val="007E3C0F"/>
    <w:rsid w:val="007E43C4"/>
    <w:rsid w:val="007E48B3"/>
    <w:rsid w:val="007E4900"/>
    <w:rsid w:val="007E49B6"/>
    <w:rsid w:val="007E5FBA"/>
    <w:rsid w:val="007E725C"/>
    <w:rsid w:val="007E780F"/>
    <w:rsid w:val="007E7DD8"/>
    <w:rsid w:val="007F0920"/>
    <w:rsid w:val="007F156F"/>
    <w:rsid w:val="007F1CFE"/>
    <w:rsid w:val="007F21A7"/>
    <w:rsid w:val="007F291C"/>
    <w:rsid w:val="007F3098"/>
    <w:rsid w:val="007F32C4"/>
    <w:rsid w:val="007F348A"/>
    <w:rsid w:val="007F38A7"/>
    <w:rsid w:val="007F3AF3"/>
    <w:rsid w:val="007F3D39"/>
    <w:rsid w:val="007F40EE"/>
    <w:rsid w:val="007F41D1"/>
    <w:rsid w:val="007F42D6"/>
    <w:rsid w:val="007F4592"/>
    <w:rsid w:val="007F47D6"/>
    <w:rsid w:val="007F4A2D"/>
    <w:rsid w:val="007F4A9F"/>
    <w:rsid w:val="007F59F6"/>
    <w:rsid w:val="007F5B09"/>
    <w:rsid w:val="007F5F46"/>
    <w:rsid w:val="007F5FD0"/>
    <w:rsid w:val="007F6249"/>
    <w:rsid w:val="007F62AC"/>
    <w:rsid w:val="007F65E9"/>
    <w:rsid w:val="007F72D5"/>
    <w:rsid w:val="007F78A2"/>
    <w:rsid w:val="007F7A2A"/>
    <w:rsid w:val="008012C8"/>
    <w:rsid w:val="00801790"/>
    <w:rsid w:val="00801830"/>
    <w:rsid w:val="0080184F"/>
    <w:rsid w:val="00801AB6"/>
    <w:rsid w:val="00801F41"/>
    <w:rsid w:val="00801FDE"/>
    <w:rsid w:val="008039A6"/>
    <w:rsid w:val="00803B30"/>
    <w:rsid w:val="00803C29"/>
    <w:rsid w:val="0080426F"/>
    <w:rsid w:val="00804363"/>
    <w:rsid w:val="00804441"/>
    <w:rsid w:val="008046E2"/>
    <w:rsid w:val="00804A1D"/>
    <w:rsid w:val="00804D46"/>
    <w:rsid w:val="008068E1"/>
    <w:rsid w:val="00806E44"/>
    <w:rsid w:val="00807336"/>
    <w:rsid w:val="00807913"/>
    <w:rsid w:val="0080792D"/>
    <w:rsid w:val="00807D53"/>
    <w:rsid w:val="008101A4"/>
    <w:rsid w:val="00810250"/>
    <w:rsid w:val="00810492"/>
    <w:rsid w:val="008104F7"/>
    <w:rsid w:val="00810D2D"/>
    <w:rsid w:val="00811B2D"/>
    <w:rsid w:val="00812572"/>
    <w:rsid w:val="00812EAA"/>
    <w:rsid w:val="008132D8"/>
    <w:rsid w:val="00814199"/>
    <w:rsid w:val="008148EE"/>
    <w:rsid w:val="00814D96"/>
    <w:rsid w:val="008152FE"/>
    <w:rsid w:val="00815406"/>
    <w:rsid w:val="008162A8"/>
    <w:rsid w:val="008162C2"/>
    <w:rsid w:val="0081667A"/>
    <w:rsid w:val="00816D76"/>
    <w:rsid w:val="00817424"/>
    <w:rsid w:val="00817ADA"/>
    <w:rsid w:val="00817FBC"/>
    <w:rsid w:val="0082005C"/>
    <w:rsid w:val="008205DD"/>
    <w:rsid w:val="00820686"/>
    <w:rsid w:val="0082094B"/>
    <w:rsid w:val="00820A39"/>
    <w:rsid w:val="00821139"/>
    <w:rsid w:val="008213AB"/>
    <w:rsid w:val="008219A2"/>
    <w:rsid w:val="008222AA"/>
    <w:rsid w:val="00822970"/>
    <w:rsid w:val="00823225"/>
    <w:rsid w:val="00823A84"/>
    <w:rsid w:val="008243C5"/>
    <w:rsid w:val="008246ED"/>
    <w:rsid w:val="00824DFC"/>
    <w:rsid w:val="008255FC"/>
    <w:rsid w:val="0082575B"/>
    <w:rsid w:val="008258FB"/>
    <w:rsid w:val="00825DA8"/>
    <w:rsid w:val="00826A07"/>
    <w:rsid w:val="00826AB4"/>
    <w:rsid w:val="00827BA7"/>
    <w:rsid w:val="00827BFC"/>
    <w:rsid w:val="00827E47"/>
    <w:rsid w:val="00830425"/>
    <w:rsid w:val="00830447"/>
    <w:rsid w:val="008304BA"/>
    <w:rsid w:val="008305C8"/>
    <w:rsid w:val="0083069F"/>
    <w:rsid w:val="00830712"/>
    <w:rsid w:val="0083099D"/>
    <w:rsid w:val="00830A22"/>
    <w:rsid w:val="00831031"/>
    <w:rsid w:val="00831232"/>
    <w:rsid w:val="008318E0"/>
    <w:rsid w:val="008319D1"/>
    <w:rsid w:val="0083244C"/>
    <w:rsid w:val="0083399A"/>
    <w:rsid w:val="008339F7"/>
    <w:rsid w:val="00833BEC"/>
    <w:rsid w:val="00833FD3"/>
    <w:rsid w:val="00834226"/>
    <w:rsid w:val="00834597"/>
    <w:rsid w:val="00834666"/>
    <w:rsid w:val="0083483F"/>
    <w:rsid w:val="0083559E"/>
    <w:rsid w:val="00835DB9"/>
    <w:rsid w:val="00835F30"/>
    <w:rsid w:val="008364E2"/>
    <w:rsid w:val="00836654"/>
    <w:rsid w:val="008367FC"/>
    <w:rsid w:val="008368C2"/>
    <w:rsid w:val="008371D0"/>
    <w:rsid w:val="008372B5"/>
    <w:rsid w:val="00837420"/>
    <w:rsid w:val="0083749A"/>
    <w:rsid w:val="00840274"/>
    <w:rsid w:val="0084090D"/>
    <w:rsid w:val="00841354"/>
    <w:rsid w:val="008415BF"/>
    <w:rsid w:val="0084229F"/>
    <w:rsid w:val="00842790"/>
    <w:rsid w:val="00842CBF"/>
    <w:rsid w:val="00842F2A"/>
    <w:rsid w:val="00842FBD"/>
    <w:rsid w:val="00842FBF"/>
    <w:rsid w:val="00843033"/>
    <w:rsid w:val="0084337E"/>
    <w:rsid w:val="00843D5C"/>
    <w:rsid w:val="00844DCF"/>
    <w:rsid w:val="008452FC"/>
    <w:rsid w:val="00845934"/>
    <w:rsid w:val="0084643D"/>
    <w:rsid w:val="008467A5"/>
    <w:rsid w:val="00846D5A"/>
    <w:rsid w:val="0084710A"/>
    <w:rsid w:val="0084710C"/>
    <w:rsid w:val="00847277"/>
    <w:rsid w:val="00847280"/>
    <w:rsid w:val="0084741C"/>
    <w:rsid w:val="0084756B"/>
    <w:rsid w:val="00847771"/>
    <w:rsid w:val="00847778"/>
    <w:rsid w:val="0084784A"/>
    <w:rsid w:val="00850435"/>
    <w:rsid w:val="00850AF0"/>
    <w:rsid w:val="00850D38"/>
    <w:rsid w:val="00850DC1"/>
    <w:rsid w:val="00851BBC"/>
    <w:rsid w:val="00852396"/>
    <w:rsid w:val="00852491"/>
    <w:rsid w:val="0085252E"/>
    <w:rsid w:val="0085290B"/>
    <w:rsid w:val="00852AA4"/>
    <w:rsid w:val="00852D5F"/>
    <w:rsid w:val="00852DEC"/>
    <w:rsid w:val="008535A4"/>
    <w:rsid w:val="00853749"/>
    <w:rsid w:val="00853BA4"/>
    <w:rsid w:val="00853D64"/>
    <w:rsid w:val="00853E36"/>
    <w:rsid w:val="008545B2"/>
    <w:rsid w:val="00854B98"/>
    <w:rsid w:val="00855168"/>
    <w:rsid w:val="008555B7"/>
    <w:rsid w:val="008558B1"/>
    <w:rsid w:val="008563B2"/>
    <w:rsid w:val="00856650"/>
    <w:rsid w:val="008566B9"/>
    <w:rsid w:val="008569DD"/>
    <w:rsid w:val="00856ABB"/>
    <w:rsid w:val="008573D9"/>
    <w:rsid w:val="00857552"/>
    <w:rsid w:val="00857996"/>
    <w:rsid w:val="00860544"/>
    <w:rsid w:val="00860F3E"/>
    <w:rsid w:val="008612CD"/>
    <w:rsid w:val="008615FE"/>
    <w:rsid w:val="0086194F"/>
    <w:rsid w:val="00861AD2"/>
    <w:rsid w:val="00861CA6"/>
    <w:rsid w:val="008629CC"/>
    <w:rsid w:val="00862D05"/>
    <w:rsid w:val="00862D59"/>
    <w:rsid w:val="00863315"/>
    <w:rsid w:val="00863434"/>
    <w:rsid w:val="00863D94"/>
    <w:rsid w:val="00863E49"/>
    <w:rsid w:val="00863FB5"/>
    <w:rsid w:val="00864340"/>
    <w:rsid w:val="00864791"/>
    <w:rsid w:val="00864DBD"/>
    <w:rsid w:val="0086533E"/>
    <w:rsid w:val="00865597"/>
    <w:rsid w:val="00865809"/>
    <w:rsid w:val="008659CC"/>
    <w:rsid w:val="008661D2"/>
    <w:rsid w:val="00866A51"/>
    <w:rsid w:val="00866F2B"/>
    <w:rsid w:val="00867092"/>
    <w:rsid w:val="00867162"/>
    <w:rsid w:val="0087024E"/>
    <w:rsid w:val="0087060C"/>
    <w:rsid w:val="00870647"/>
    <w:rsid w:val="008708CC"/>
    <w:rsid w:val="00870CFD"/>
    <w:rsid w:val="0087167A"/>
    <w:rsid w:val="0087170C"/>
    <w:rsid w:val="008718BE"/>
    <w:rsid w:val="00871A20"/>
    <w:rsid w:val="00871DC6"/>
    <w:rsid w:val="00872831"/>
    <w:rsid w:val="00872D65"/>
    <w:rsid w:val="00873063"/>
    <w:rsid w:val="0087336B"/>
    <w:rsid w:val="008739D0"/>
    <w:rsid w:val="00873F9C"/>
    <w:rsid w:val="008745CD"/>
    <w:rsid w:val="00874740"/>
    <w:rsid w:val="00874789"/>
    <w:rsid w:val="008747EA"/>
    <w:rsid w:val="00874E42"/>
    <w:rsid w:val="00874FC6"/>
    <w:rsid w:val="00875591"/>
    <w:rsid w:val="008760EF"/>
    <w:rsid w:val="0087672B"/>
    <w:rsid w:val="0087674E"/>
    <w:rsid w:val="00876AEC"/>
    <w:rsid w:val="00876F4E"/>
    <w:rsid w:val="008774B2"/>
    <w:rsid w:val="00877528"/>
    <w:rsid w:val="0087770F"/>
    <w:rsid w:val="00877EAB"/>
    <w:rsid w:val="00880004"/>
    <w:rsid w:val="008802BD"/>
    <w:rsid w:val="00880615"/>
    <w:rsid w:val="00880A72"/>
    <w:rsid w:val="00880A9E"/>
    <w:rsid w:val="00880FA4"/>
    <w:rsid w:val="00881340"/>
    <w:rsid w:val="0088134F"/>
    <w:rsid w:val="00881F5C"/>
    <w:rsid w:val="0088225E"/>
    <w:rsid w:val="0088250F"/>
    <w:rsid w:val="008827DC"/>
    <w:rsid w:val="00882E50"/>
    <w:rsid w:val="00882E9C"/>
    <w:rsid w:val="00884658"/>
    <w:rsid w:val="0088476C"/>
    <w:rsid w:val="00884955"/>
    <w:rsid w:val="00884B5A"/>
    <w:rsid w:val="0088508B"/>
    <w:rsid w:val="008854A7"/>
    <w:rsid w:val="00886832"/>
    <w:rsid w:val="00886A31"/>
    <w:rsid w:val="00886C68"/>
    <w:rsid w:val="00886DDA"/>
    <w:rsid w:val="00887222"/>
    <w:rsid w:val="008872FE"/>
    <w:rsid w:val="0088736B"/>
    <w:rsid w:val="00887CEE"/>
    <w:rsid w:val="00887E4E"/>
    <w:rsid w:val="00890387"/>
    <w:rsid w:val="008904DF"/>
    <w:rsid w:val="00890BA2"/>
    <w:rsid w:val="0089166F"/>
    <w:rsid w:val="00891BC8"/>
    <w:rsid w:val="00892484"/>
    <w:rsid w:val="00892A9C"/>
    <w:rsid w:val="00892D57"/>
    <w:rsid w:val="00892F83"/>
    <w:rsid w:val="0089308C"/>
    <w:rsid w:val="008930BF"/>
    <w:rsid w:val="008933AF"/>
    <w:rsid w:val="00893619"/>
    <w:rsid w:val="00893764"/>
    <w:rsid w:val="00893943"/>
    <w:rsid w:val="00893EEC"/>
    <w:rsid w:val="008947CC"/>
    <w:rsid w:val="00894814"/>
    <w:rsid w:val="0089504B"/>
    <w:rsid w:val="00895184"/>
    <w:rsid w:val="00896DDE"/>
    <w:rsid w:val="008976E1"/>
    <w:rsid w:val="00897DD2"/>
    <w:rsid w:val="00897E40"/>
    <w:rsid w:val="00897F3C"/>
    <w:rsid w:val="008A087E"/>
    <w:rsid w:val="008A1328"/>
    <w:rsid w:val="008A1D19"/>
    <w:rsid w:val="008A238F"/>
    <w:rsid w:val="008A2699"/>
    <w:rsid w:val="008A35BF"/>
    <w:rsid w:val="008A36FD"/>
    <w:rsid w:val="008A3838"/>
    <w:rsid w:val="008A5477"/>
    <w:rsid w:val="008A56BA"/>
    <w:rsid w:val="008A57F1"/>
    <w:rsid w:val="008A58BB"/>
    <w:rsid w:val="008A61CA"/>
    <w:rsid w:val="008A61F9"/>
    <w:rsid w:val="008A624E"/>
    <w:rsid w:val="008B022B"/>
    <w:rsid w:val="008B1510"/>
    <w:rsid w:val="008B15B0"/>
    <w:rsid w:val="008B175B"/>
    <w:rsid w:val="008B1C8D"/>
    <w:rsid w:val="008B1DA6"/>
    <w:rsid w:val="008B1E85"/>
    <w:rsid w:val="008B21AB"/>
    <w:rsid w:val="008B2630"/>
    <w:rsid w:val="008B2957"/>
    <w:rsid w:val="008B2EE8"/>
    <w:rsid w:val="008B32B6"/>
    <w:rsid w:val="008B36FA"/>
    <w:rsid w:val="008B3A56"/>
    <w:rsid w:val="008B3E47"/>
    <w:rsid w:val="008B3F32"/>
    <w:rsid w:val="008B3FD6"/>
    <w:rsid w:val="008B4080"/>
    <w:rsid w:val="008B438C"/>
    <w:rsid w:val="008B4579"/>
    <w:rsid w:val="008B4F04"/>
    <w:rsid w:val="008B4F09"/>
    <w:rsid w:val="008B4FB8"/>
    <w:rsid w:val="008B527C"/>
    <w:rsid w:val="008B55B1"/>
    <w:rsid w:val="008B5677"/>
    <w:rsid w:val="008B56A3"/>
    <w:rsid w:val="008B56C1"/>
    <w:rsid w:val="008B5729"/>
    <w:rsid w:val="008B57ED"/>
    <w:rsid w:val="008B5F7F"/>
    <w:rsid w:val="008B6094"/>
    <w:rsid w:val="008B65FB"/>
    <w:rsid w:val="008B6700"/>
    <w:rsid w:val="008B6C0C"/>
    <w:rsid w:val="008B6D53"/>
    <w:rsid w:val="008B6F92"/>
    <w:rsid w:val="008B6FA1"/>
    <w:rsid w:val="008B7003"/>
    <w:rsid w:val="008B731E"/>
    <w:rsid w:val="008B74E6"/>
    <w:rsid w:val="008B7C84"/>
    <w:rsid w:val="008C0428"/>
    <w:rsid w:val="008C045D"/>
    <w:rsid w:val="008C07B7"/>
    <w:rsid w:val="008C0809"/>
    <w:rsid w:val="008C087A"/>
    <w:rsid w:val="008C0A46"/>
    <w:rsid w:val="008C0B30"/>
    <w:rsid w:val="008C1269"/>
    <w:rsid w:val="008C1506"/>
    <w:rsid w:val="008C1A5E"/>
    <w:rsid w:val="008C1F40"/>
    <w:rsid w:val="008C2B94"/>
    <w:rsid w:val="008C3064"/>
    <w:rsid w:val="008C3595"/>
    <w:rsid w:val="008C36A4"/>
    <w:rsid w:val="008C37D2"/>
    <w:rsid w:val="008C3D0C"/>
    <w:rsid w:val="008C3D9F"/>
    <w:rsid w:val="008C4518"/>
    <w:rsid w:val="008C459F"/>
    <w:rsid w:val="008C475D"/>
    <w:rsid w:val="008C505F"/>
    <w:rsid w:val="008C59C1"/>
    <w:rsid w:val="008C5B49"/>
    <w:rsid w:val="008C5BCF"/>
    <w:rsid w:val="008C5F15"/>
    <w:rsid w:val="008C6B95"/>
    <w:rsid w:val="008C6D50"/>
    <w:rsid w:val="008C6D62"/>
    <w:rsid w:val="008C73C2"/>
    <w:rsid w:val="008C7547"/>
    <w:rsid w:val="008C7F60"/>
    <w:rsid w:val="008D00DF"/>
    <w:rsid w:val="008D023A"/>
    <w:rsid w:val="008D0354"/>
    <w:rsid w:val="008D0616"/>
    <w:rsid w:val="008D06AF"/>
    <w:rsid w:val="008D0A42"/>
    <w:rsid w:val="008D1047"/>
    <w:rsid w:val="008D1150"/>
    <w:rsid w:val="008D13E6"/>
    <w:rsid w:val="008D17A7"/>
    <w:rsid w:val="008D1AAF"/>
    <w:rsid w:val="008D232E"/>
    <w:rsid w:val="008D2451"/>
    <w:rsid w:val="008D2A9A"/>
    <w:rsid w:val="008D2C90"/>
    <w:rsid w:val="008D2F78"/>
    <w:rsid w:val="008D3C17"/>
    <w:rsid w:val="008D3C8F"/>
    <w:rsid w:val="008D402F"/>
    <w:rsid w:val="008D4264"/>
    <w:rsid w:val="008D46E4"/>
    <w:rsid w:val="008D4B56"/>
    <w:rsid w:val="008D575E"/>
    <w:rsid w:val="008D5BC3"/>
    <w:rsid w:val="008D6152"/>
    <w:rsid w:val="008D65DC"/>
    <w:rsid w:val="008D6FC7"/>
    <w:rsid w:val="008D7162"/>
    <w:rsid w:val="008D716D"/>
    <w:rsid w:val="008D76C5"/>
    <w:rsid w:val="008D77DA"/>
    <w:rsid w:val="008D78B8"/>
    <w:rsid w:val="008E0054"/>
    <w:rsid w:val="008E0308"/>
    <w:rsid w:val="008E18B9"/>
    <w:rsid w:val="008E1CEF"/>
    <w:rsid w:val="008E2D56"/>
    <w:rsid w:val="008E2E27"/>
    <w:rsid w:val="008E2E87"/>
    <w:rsid w:val="008E305D"/>
    <w:rsid w:val="008E33B3"/>
    <w:rsid w:val="008E3609"/>
    <w:rsid w:val="008E3629"/>
    <w:rsid w:val="008E37DA"/>
    <w:rsid w:val="008E3A7F"/>
    <w:rsid w:val="008E42E1"/>
    <w:rsid w:val="008E44F5"/>
    <w:rsid w:val="008E490C"/>
    <w:rsid w:val="008E52F7"/>
    <w:rsid w:val="008E56B1"/>
    <w:rsid w:val="008E5CA5"/>
    <w:rsid w:val="008E5D29"/>
    <w:rsid w:val="008E5EAE"/>
    <w:rsid w:val="008E6119"/>
    <w:rsid w:val="008E6237"/>
    <w:rsid w:val="008E672F"/>
    <w:rsid w:val="008E6900"/>
    <w:rsid w:val="008E6FE1"/>
    <w:rsid w:val="008E75AB"/>
    <w:rsid w:val="008E7BD1"/>
    <w:rsid w:val="008E7E58"/>
    <w:rsid w:val="008E7E95"/>
    <w:rsid w:val="008E7FBF"/>
    <w:rsid w:val="008F0685"/>
    <w:rsid w:val="008F08CC"/>
    <w:rsid w:val="008F0D67"/>
    <w:rsid w:val="008F16D6"/>
    <w:rsid w:val="008F1767"/>
    <w:rsid w:val="008F1CA4"/>
    <w:rsid w:val="008F3559"/>
    <w:rsid w:val="008F3B91"/>
    <w:rsid w:val="008F3C71"/>
    <w:rsid w:val="008F3D16"/>
    <w:rsid w:val="008F4385"/>
    <w:rsid w:val="008F48A9"/>
    <w:rsid w:val="008F48B2"/>
    <w:rsid w:val="008F4C02"/>
    <w:rsid w:val="008F4E80"/>
    <w:rsid w:val="008F5047"/>
    <w:rsid w:val="008F50B6"/>
    <w:rsid w:val="008F59F0"/>
    <w:rsid w:val="008F68E4"/>
    <w:rsid w:val="008F729B"/>
    <w:rsid w:val="009000D7"/>
    <w:rsid w:val="0090033D"/>
    <w:rsid w:val="00900850"/>
    <w:rsid w:val="00900D18"/>
    <w:rsid w:val="00900E8E"/>
    <w:rsid w:val="0090167D"/>
    <w:rsid w:val="00901A15"/>
    <w:rsid w:val="00901FD9"/>
    <w:rsid w:val="009022CD"/>
    <w:rsid w:val="009024DC"/>
    <w:rsid w:val="00903086"/>
    <w:rsid w:val="0090376D"/>
    <w:rsid w:val="00903C21"/>
    <w:rsid w:val="00904B60"/>
    <w:rsid w:val="00904D4F"/>
    <w:rsid w:val="00904E04"/>
    <w:rsid w:val="00905292"/>
    <w:rsid w:val="00905D77"/>
    <w:rsid w:val="00906A7F"/>
    <w:rsid w:val="00906E6F"/>
    <w:rsid w:val="00906EF6"/>
    <w:rsid w:val="00906FDF"/>
    <w:rsid w:val="00907338"/>
    <w:rsid w:val="009101E1"/>
    <w:rsid w:val="00910DD8"/>
    <w:rsid w:val="00910F6C"/>
    <w:rsid w:val="00910FB5"/>
    <w:rsid w:val="00910FFC"/>
    <w:rsid w:val="00911578"/>
    <w:rsid w:val="00911768"/>
    <w:rsid w:val="00911929"/>
    <w:rsid w:val="00911A1B"/>
    <w:rsid w:val="009123F4"/>
    <w:rsid w:val="00912842"/>
    <w:rsid w:val="009138C4"/>
    <w:rsid w:val="00913972"/>
    <w:rsid w:val="00913DE9"/>
    <w:rsid w:val="0091473B"/>
    <w:rsid w:val="009148A6"/>
    <w:rsid w:val="009150ED"/>
    <w:rsid w:val="00915B17"/>
    <w:rsid w:val="00915BFB"/>
    <w:rsid w:val="009167DE"/>
    <w:rsid w:val="0091680F"/>
    <w:rsid w:val="00917C18"/>
    <w:rsid w:val="00917D58"/>
    <w:rsid w:val="00917F51"/>
    <w:rsid w:val="00920461"/>
    <w:rsid w:val="009205BF"/>
    <w:rsid w:val="00920B9F"/>
    <w:rsid w:val="00920EE9"/>
    <w:rsid w:val="00921181"/>
    <w:rsid w:val="009213DD"/>
    <w:rsid w:val="00921438"/>
    <w:rsid w:val="00921439"/>
    <w:rsid w:val="00921482"/>
    <w:rsid w:val="00921646"/>
    <w:rsid w:val="009217F7"/>
    <w:rsid w:val="0092202F"/>
    <w:rsid w:val="00922768"/>
    <w:rsid w:val="00922B36"/>
    <w:rsid w:val="00922F24"/>
    <w:rsid w:val="0092315B"/>
    <w:rsid w:val="009231F6"/>
    <w:rsid w:val="00923918"/>
    <w:rsid w:val="00924E81"/>
    <w:rsid w:val="00925C15"/>
    <w:rsid w:val="00925DD5"/>
    <w:rsid w:val="00926C01"/>
    <w:rsid w:val="00926C12"/>
    <w:rsid w:val="00927090"/>
    <w:rsid w:val="00927737"/>
    <w:rsid w:val="00927A7C"/>
    <w:rsid w:val="009310D3"/>
    <w:rsid w:val="00932B82"/>
    <w:rsid w:val="00932E8D"/>
    <w:rsid w:val="009330BA"/>
    <w:rsid w:val="009334C4"/>
    <w:rsid w:val="00933525"/>
    <w:rsid w:val="00933543"/>
    <w:rsid w:val="0093369B"/>
    <w:rsid w:val="00933C0C"/>
    <w:rsid w:val="00933CC3"/>
    <w:rsid w:val="00933D2E"/>
    <w:rsid w:val="00933D90"/>
    <w:rsid w:val="009342B7"/>
    <w:rsid w:val="009348C8"/>
    <w:rsid w:val="00934A25"/>
    <w:rsid w:val="00935C72"/>
    <w:rsid w:val="00936022"/>
    <w:rsid w:val="009366E8"/>
    <w:rsid w:val="0093719D"/>
    <w:rsid w:val="00937213"/>
    <w:rsid w:val="0093747F"/>
    <w:rsid w:val="009375F9"/>
    <w:rsid w:val="00937611"/>
    <w:rsid w:val="009378BF"/>
    <w:rsid w:val="00937A2D"/>
    <w:rsid w:val="00937AB5"/>
    <w:rsid w:val="00937FAB"/>
    <w:rsid w:val="00937FBC"/>
    <w:rsid w:val="00940243"/>
    <w:rsid w:val="009404C2"/>
    <w:rsid w:val="0094056F"/>
    <w:rsid w:val="00940F06"/>
    <w:rsid w:val="009411E2"/>
    <w:rsid w:val="009419AB"/>
    <w:rsid w:val="0094204C"/>
    <w:rsid w:val="0094225C"/>
    <w:rsid w:val="0094282E"/>
    <w:rsid w:val="00942E42"/>
    <w:rsid w:val="00943338"/>
    <w:rsid w:val="009438EC"/>
    <w:rsid w:val="00943C3C"/>
    <w:rsid w:val="00943DBB"/>
    <w:rsid w:val="009444C3"/>
    <w:rsid w:val="009445E3"/>
    <w:rsid w:val="009449DD"/>
    <w:rsid w:val="0094506D"/>
    <w:rsid w:val="00945308"/>
    <w:rsid w:val="00945364"/>
    <w:rsid w:val="00945894"/>
    <w:rsid w:val="009459A3"/>
    <w:rsid w:val="00945EA7"/>
    <w:rsid w:val="009460A6"/>
    <w:rsid w:val="00946704"/>
    <w:rsid w:val="00946BBC"/>
    <w:rsid w:val="00946E38"/>
    <w:rsid w:val="00946FA7"/>
    <w:rsid w:val="009470C0"/>
    <w:rsid w:val="0094771A"/>
    <w:rsid w:val="009477AD"/>
    <w:rsid w:val="00947F18"/>
    <w:rsid w:val="00947F41"/>
    <w:rsid w:val="0095054A"/>
    <w:rsid w:val="00950D13"/>
    <w:rsid w:val="009511BB"/>
    <w:rsid w:val="00951E02"/>
    <w:rsid w:val="009521F6"/>
    <w:rsid w:val="00952AFA"/>
    <w:rsid w:val="00952CA8"/>
    <w:rsid w:val="0095324D"/>
    <w:rsid w:val="009534EA"/>
    <w:rsid w:val="00953725"/>
    <w:rsid w:val="00953D33"/>
    <w:rsid w:val="009550ED"/>
    <w:rsid w:val="009556E4"/>
    <w:rsid w:val="00955793"/>
    <w:rsid w:val="00956074"/>
    <w:rsid w:val="0095753D"/>
    <w:rsid w:val="00957635"/>
    <w:rsid w:val="0096039E"/>
    <w:rsid w:val="00960A27"/>
    <w:rsid w:val="00960A29"/>
    <w:rsid w:val="00960B52"/>
    <w:rsid w:val="00961329"/>
    <w:rsid w:val="00961566"/>
    <w:rsid w:val="009618C9"/>
    <w:rsid w:val="009622C0"/>
    <w:rsid w:val="00962AE8"/>
    <w:rsid w:val="00962C41"/>
    <w:rsid w:val="00962ECE"/>
    <w:rsid w:val="00963694"/>
    <w:rsid w:val="009640DD"/>
    <w:rsid w:val="00965B53"/>
    <w:rsid w:val="009661D6"/>
    <w:rsid w:val="0096665F"/>
    <w:rsid w:val="00967676"/>
    <w:rsid w:val="00967B47"/>
    <w:rsid w:val="009707D4"/>
    <w:rsid w:val="00970AD9"/>
    <w:rsid w:val="00970DD5"/>
    <w:rsid w:val="00971100"/>
    <w:rsid w:val="00971180"/>
    <w:rsid w:val="009711B9"/>
    <w:rsid w:val="009712C5"/>
    <w:rsid w:val="00971314"/>
    <w:rsid w:val="009716FB"/>
    <w:rsid w:val="00971805"/>
    <w:rsid w:val="00971B6B"/>
    <w:rsid w:val="00972347"/>
    <w:rsid w:val="009727F9"/>
    <w:rsid w:val="009728D2"/>
    <w:rsid w:val="009738EF"/>
    <w:rsid w:val="00973E38"/>
    <w:rsid w:val="0097418C"/>
    <w:rsid w:val="009743DB"/>
    <w:rsid w:val="00974405"/>
    <w:rsid w:val="00974559"/>
    <w:rsid w:val="009749CB"/>
    <w:rsid w:val="00974B6E"/>
    <w:rsid w:val="00975572"/>
    <w:rsid w:val="009756E5"/>
    <w:rsid w:val="009757DE"/>
    <w:rsid w:val="00976159"/>
    <w:rsid w:val="00976716"/>
    <w:rsid w:val="00976A2D"/>
    <w:rsid w:val="009770DF"/>
    <w:rsid w:val="009774D5"/>
    <w:rsid w:val="009775EA"/>
    <w:rsid w:val="009777EE"/>
    <w:rsid w:val="009778B4"/>
    <w:rsid w:val="00977A98"/>
    <w:rsid w:val="00977CF9"/>
    <w:rsid w:val="00980F5F"/>
    <w:rsid w:val="00981566"/>
    <w:rsid w:val="009819D9"/>
    <w:rsid w:val="00981CCD"/>
    <w:rsid w:val="00982113"/>
    <w:rsid w:val="009823C3"/>
    <w:rsid w:val="00982D6B"/>
    <w:rsid w:val="00982EA8"/>
    <w:rsid w:val="009833F0"/>
    <w:rsid w:val="00983656"/>
    <w:rsid w:val="009839C5"/>
    <w:rsid w:val="00983AAE"/>
    <w:rsid w:val="00983E08"/>
    <w:rsid w:val="00984835"/>
    <w:rsid w:val="00984B09"/>
    <w:rsid w:val="00984DBF"/>
    <w:rsid w:val="00984F21"/>
    <w:rsid w:val="0098504E"/>
    <w:rsid w:val="00985120"/>
    <w:rsid w:val="009853B3"/>
    <w:rsid w:val="00985EFF"/>
    <w:rsid w:val="00986BF2"/>
    <w:rsid w:val="00986C2B"/>
    <w:rsid w:val="009871FB"/>
    <w:rsid w:val="00987BEF"/>
    <w:rsid w:val="00990134"/>
    <w:rsid w:val="00990718"/>
    <w:rsid w:val="00990756"/>
    <w:rsid w:val="00990B02"/>
    <w:rsid w:val="00990C56"/>
    <w:rsid w:val="00991232"/>
    <w:rsid w:val="00991C81"/>
    <w:rsid w:val="00991ED2"/>
    <w:rsid w:val="00992103"/>
    <w:rsid w:val="00992215"/>
    <w:rsid w:val="009927AB"/>
    <w:rsid w:val="009929D4"/>
    <w:rsid w:val="00993201"/>
    <w:rsid w:val="00993B85"/>
    <w:rsid w:val="00994470"/>
    <w:rsid w:val="00995EC7"/>
    <w:rsid w:val="00996219"/>
    <w:rsid w:val="009964CD"/>
    <w:rsid w:val="009970DF"/>
    <w:rsid w:val="00997215"/>
    <w:rsid w:val="009979DA"/>
    <w:rsid w:val="009A13C9"/>
    <w:rsid w:val="009A1B2C"/>
    <w:rsid w:val="009A1C31"/>
    <w:rsid w:val="009A3003"/>
    <w:rsid w:val="009A32EF"/>
    <w:rsid w:val="009A335C"/>
    <w:rsid w:val="009A3C81"/>
    <w:rsid w:val="009A3D57"/>
    <w:rsid w:val="009A456E"/>
    <w:rsid w:val="009A4685"/>
    <w:rsid w:val="009A4B85"/>
    <w:rsid w:val="009A4B87"/>
    <w:rsid w:val="009A4EAE"/>
    <w:rsid w:val="009A5679"/>
    <w:rsid w:val="009A57B5"/>
    <w:rsid w:val="009A5D1F"/>
    <w:rsid w:val="009A63A5"/>
    <w:rsid w:val="009A650E"/>
    <w:rsid w:val="009A69B1"/>
    <w:rsid w:val="009A766F"/>
    <w:rsid w:val="009A784A"/>
    <w:rsid w:val="009A7AF9"/>
    <w:rsid w:val="009A7B97"/>
    <w:rsid w:val="009A7D0A"/>
    <w:rsid w:val="009A7D5E"/>
    <w:rsid w:val="009A7FD0"/>
    <w:rsid w:val="009B01CF"/>
    <w:rsid w:val="009B021E"/>
    <w:rsid w:val="009B0524"/>
    <w:rsid w:val="009B0866"/>
    <w:rsid w:val="009B0A33"/>
    <w:rsid w:val="009B0A38"/>
    <w:rsid w:val="009B0AB2"/>
    <w:rsid w:val="009B0EB1"/>
    <w:rsid w:val="009B1989"/>
    <w:rsid w:val="009B23B2"/>
    <w:rsid w:val="009B242A"/>
    <w:rsid w:val="009B2499"/>
    <w:rsid w:val="009B2746"/>
    <w:rsid w:val="009B28A5"/>
    <w:rsid w:val="009B2939"/>
    <w:rsid w:val="009B2CAB"/>
    <w:rsid w:val="009B2F7E"/>
    <w:rsid w:val="009B3537"/>
    <w:rsid w:val="009B3E34"/>
    <w:rsid w:val="009B4440"/>
    <w:rsid w:val="009B4550"/>
    <w:rsid w:val="009B48B8"/>
    <w:rsid w:val="009B49A6"/>
    <w:rsid w:val="009B4F08"/>
    <w:rsid w:val="009B4F88"/>
    <w:rsid w:val="009B506A"/>
    <w:rsid w:val="009B5372"/>
    <w:rsid w:val="009B56C9"/>
    <w:rsid w:val="009B5788"/>
    <w:rsid w:val="009B5E7E"/>
    <w:rsid w:val="009B6212"/>
    <w:rsid w:val="009B65F7"/>
    <w:rsid w:val="009B6620"/>
    <w:rsid w:val="009B670D"/>
    <w:rsid w:val="009C0329"/>
    <w:rsid w:val="009C0AA9"/>
    <w:rsid w:val="009C0D3F"/>
    <w:rsid w:val="009C0EEB"/>
    <w:rsid w:val="009C1A10"/>
    <w:rsid w:val="009C204D"/>
    <w:rsid w:val="009C220E"/>
    <w:rsid w:val="009C2263"/>
    <w:rsid w:val="009C305D"/>
    <w:rsid w:val="009C30EA"/>
    <w:rsid w:val="009C30ED"/>
    <w:rsid w:val="009C3899"/>
    <w:rsid w:val="009C3AB5"/>
    <w:rsid w:val="009C423F"/>
    <w:rsid w:val="009C4262"/>
    <w:rsid w:val="009C522A"/>
    <w:rsid w:val="009C5368"/>
    <w:rsid w:val="009C5C8B"/>
    <w:rsid w:val="009C6065"/>
    <w:rsid w:val="009C62A9"/>
    <w:rsid w:val="009C645F"/>
    <w:rsid w:val="009C7025"/>
    <w:rsid w:val="009C75B5"/>
    <w:rsid w:val="009C75C4"/>
    <w:rsid w:val="009C77A0"/>
    <w:rsid w:val="009C7B97"/>
    <w:rsid w:val="009C7BB4"/>
    <w:rsid w:val="009D072A"/>
    <w:rsid w:val="009D0926"/>
    <w:rsid w:val="009D1587"/>
    <w:rsid w:val="009D16B2"/>
    <w:rsid w:val="009D1880"/>
    <w:rsid w:val="009D1E60"/>
    <w:rsid w:val="009D28EB"/>
    <w:rsid w:val="009D30FC"/>
    <w:rsid w:val="009D3656"/>
    <w:rsid w:val="009D382E"/>
    <w:rsid w:val="009D3F7C"/>
    <w:rsid w:val="009D467A"/>
    <w:rsid w:val="009D4C16"/>
    <w:rsid w:val="009D50A5"/>
    <w:rsid w:val="009D5309"/>
    <w:rsid w:val="009D5846"/>
    <w:rsid w:val="009D5F5B"/>
    <w:rsid w:val="009D6209"/>
    <w:rsid w:val="009D643E"/>
    <w:rsid w:val="009D6888"/>
    <w:rsid w:val="009D7661"/>
    <w:rsid w:val="009D7741"/>
    <w:rsid w:val="009D7D7F"/>
    <w:rsid w:val="009D7ED4"/>
    <w:rsid w:val="009D7FD7"/>
    <w:rsid w:val="009E0ACC"/>
    <w:rsid w:val="009E0B94"/>
    <w:rsid w:val="009E0FF7"/>
    <w:rsid w:val="009E16FA"/>
    <w:rsid w:val="009E22BF"/>
    <w:rsid w:val="009E293D"/>
    <w:rsid w:val="009E2D79"/>
    <w:rsid w:val="009E3829"/>
    <w:rsid w:val="009E42DB"/>
    <w:rsid w:val="009E4765"/>
    <w:rsid w:val="009E4C42"/>
    <w:rsid w:val="009E4C6D"/>
    <w:rsid w:val="009E4E6A"/>
    <w:rsid w:val="009E536D"/>
    <w:rsid w:val="009E56A2"/>
    <w:rsid w:val="009E59AD"/>
    <w:rsid w:val="009E661B"/>
    <w:rsid w:val="009E6B20"/>
    <w:rsid w:val="009E712A"/>
    <w:rsid w:val="009E76B1"/>
    <w:rsid w:val="009E7883"/>
    <w:rsid w:val="009F0693"/>
    <w:rsid w:val="009F0CF1"/>
    <w:rsid w:val="009F1495"/>
    <w:rsid w:val="009F22CA"/>
    <w:rsid w:val="009F2C78"/>
    <w:rsid w:val="009F2CA5"/>
    <w:rsid w:val="009F2D08"/>
    <w:rsid w:val="009F34CE"/>
    <w:rsid w:val="009F3661"/>
    <w:rsid w:val="009F370A"/>
    <w:rsid w:val="009F490E"/>
    <w:rsid w:val="009F4C7C"/>
    <w:rsid w:val="009F5000"/>
    <w:rsid w:val="009F58E5"/>
    <w:rsid w:val="009F5DA0"/>
    <w:rsid w:val="009F601B"/>
    <w:rsid w:val="009F7699"/>
    <w:rsid w:val="009F78F1"/>
    <w:rsid w:val="009F796E"/>
    <w:rsid w:val="009F7C2A"/>
    <w:rsid w:val="00A0059C"/>
    <w:rsid w:val="00A005FA"/>
    <w:rsid w:val="00A00713"/>
    <w:rsid w:val="00A00E2C"/>
    <w:rsid w:val="00A00E7B"/>
    <w:rsid w:val="00A013FB"/>
    <w:rsid w:val="00A015BF"/>
    <w:rsid w:val="00A015F5"/>
    <w:rsid w:val="00A0180E"/>
    <w:rsid w:val="00A01C8C"/>
    <w:rsid w:val="00A030EA"/>
    <w:rsid w:val="00A032EA"/>
    <w:rsid w:val="00A033BB"/>
    <w:rsid w:val="00A035F6"/>
    <w:rsid w:val="00A0372B"/>
    <w:rsid w:val="00A03CA0"/>
    <w:rsid w:val="00A0409C"/>
    <w:rsid w:val="00A0440A"/>
    <w:rsid w:val="00A047F1"/>
    <w:rsid w:val="00A054A1"/>
    <w:rsid w:val="00A06CD6"/>
    <w:rsid w:val="00A06E5D"/>
    <w:rsid w:val="00A06F84"/>
    <w:rsid w:val="00A072B1"/>
    <w:rsid w:val="00A07983"/>
    <w:rsid w:val="00A1047E"/>
    <w:rsid w:val="00A10583"/>
    <w:rsid w:val="00A10C75"/>
    <w:rsid w:val="00A113F5"/>
    <w:rsid w:val="00A11A32"/>
    <w:rsid w:val="00A11C83"/>
    <w:rsid w:val="00A11F65"/>
    <w:rsid w:val="00A129AB"/>
    <w:rsid w:val="00A12A1A"/>
    <w:rsid w:val="00A12DEF"/>
    <w:rsid w:val="00A142D4"/>
    <w:rsid w:val="00A1492D"/>
    <w:rsid w:val="00A14AAF"/>
    <w:rsid w:val="00A1500A"/>
    <w:rsid w:val="00A150A2"/>
    <w:rsid w:val="00A1549D"/>
    <w:rsid w:val="00A1551B"/>
    <w:rsid w:val="00A15790"/>
    <w:rsid w:val="00A15DE3"/>
    <w:rsid w:val="00A160AB"/>
    <w:rsid w:val="00A16281"/>
    <w:rsid w:val="00A1654D"/>
    <w:rsid w:val="00A16585"/>
    <w:rsid w:val="00A1667E"/>
    <w:rsid w:val="00A16700"/>
    <w:rsid w:val="00A1697F"/>
    <w:rsid w:val="00A16E12"/>
    <w:rsid w:val="00A16FCB"/>
    <w:rsid w:val="00A17A8F"/>
    <w:rsid w:val="00A20847"/>
    <w:rsid w:val="00A20C08"/>
    <w:rsid w:val="00A217E9"/>
    <w:rsid w:val="00A21BAE"/>
    <w:rsid w:val="00A21C7A"/>
    <w:rsid w:val="00A21F02"/>
    <w:rsid w:val="00A21FE5"/>
    <w:rsid w:val="00A22563"/>
    <w:rsid w:val="00A22711"/>
    <w:rsid w:val="00A22990"/>
    <w:rsid w:val="00A230CB"/>
    <w:rsid w:val="00A23440"/>
    <w:rsid w:val="00A23BDE"/>
    <w:rsid w:val="00A24001"/>
    <w:rsid w:val="00A24643"/>
    <w:rsid w:val="00A2485D"/>
    <w:rsid w:val="00A24992"/>
    <w:rsid w:val="00A24E21"/>
    <w:rsid w:val="00A24F37"/>
    <w:rsid w:val="00A24F43"/>
    <w:rsid w:val="00A25375"/>
    <w:rsid w:val="00A253FC"/>
    <w:rsid w:val="00A25405"/>
    <w:rsid w:val="00A25ADC"/>
    <w:rsid w:val="00A25E80"/>
    <w:rsid w:val="00A2678C"/>
    <w:rsid w:val="00A26A7A"/>
    <w:rsid w:val="00A272C4"/>
    <w:rsid w:val="00A30326"/>
    <w:rsid w:val="00A3048C"/>
    <w:rsid w:val="00A30DEA"/>
    <w:rsid w:val="00A3142E"/>
    <w:rsid w:val="00A31482"/>
    <w:rsid w:val="00A3166D"/>
    <w:rsid w:val="00A31B5B"/>
    <w:rsid w:val="00A32804"/>
    <w:rsid w:val="00A32807"/>
    <w:rsid w:val="00A32A29"/>
    <w:rsid w:val="00A32BC3"/>
    <w:rsid w:val="00A332E7"/>
    <w:rsid w:val="00A3349B"/>
    <w:rsid w:val="00A3427E"/>
    <w:rsid w:val="00A348E6"/>
    <w:rsid w:val="00A34913"/>
    <w:rsid w:val="00A34A6B"/>
    <w:rsid w:val="00A34B05"/>
    <w:rsid w:val="00A34C91"/>
    <w:rsid w:val="00A34EC5"/>
    <w:rsid w:val="00A3517E"/>
    <w:rsid w:val="00A3554C"/>
    <w:rsid w:val="00A35A19"/>
    <w:rsid w:val="00A36A76"/>
    <w:rsid w:val="00A3740E"/>
    <w:rsid w:val="00A37AF9"/>
    <w:rsid w:val="00A37FB2"/>
    <w:rsid w:val="00A40258"/>
    <w:rsid w:val="00A4029C"/>
    <w:rsid w:val="00A40514"/>
    <w:rsid w:val="00A408A9"/>
    <w:rsid w:val="00A40B91"/>
    <w:rsid w:val="00A40DB7"/>
    <w:rsid w:val="00A40FB5"/>
    <w:rsid w:val="00A41169"/>
    <w:rsid w:val="00A41AF8"/>
    <w:rsid w:val="00A41B5B"/>
    <w:rsid w:val="00A422E5"/>
    <w:rsid w:val="00A42E04"/>
    <w:rsid w:val="00A43017"/>
    <w:rsid w:val="00A431C0"/>
    <w:rsid w:val="00A43833"/>
    <w:rsid w:val="00A440F9"/>
    <w:rsid w:val="00A441DA"/>
    <w:rsid w:val="00A443B5"/>
    <w:rsid w:val="00A44468"/>
    <w:rsid w:val="00A44731"/>
    <w:rsid w:val="00A448FB"/>
    <w:rsid w:val="00A452DD"/>
    <w:rsid w:val="00A4559E"/>
    <w:rsid w:val="00A45FDD"/>
    <w:rsid w:val="00A46158"/>
    <w:rsid w:val="00A465DF"/>
    <w:rsid w:val="00A46756"/>
    <w:rsid w:val="00A46784"/>
    <w:rsid w:val="00A47510"/>
    <w:rsid w:val="00A47AE6"/>
    <w:rsid w:val="00A5023E"/>
    <w:rsid w:val="00A50372"/>
    <w:rsid w:val="00A50548"/>
    <w:rsid w:val="00A50D74"/>
    <w:rsid w:val="00A50FB3"/>
    <w:rsid w:val="00A5110C"/>
    <w:rsid w:val="00A5159D"/>
    <w:rsid w:val="00A517AA"/>
    <w:rsid w:val="00A51BCC"/>
    <w:rsid w:val="00A51C22"/>
    <w:rsid w:val="00A51FBC"/>
    <w:rsid w:val="00A526EA"/>
    <w:rsid w:val="00A527E0"/>
    <w:rsid w:val="00A52901"/>
    <w:rsid w:val="00A529E6"/>
    <w:rsid w:val="00A52C39"/>
    <w:rsid w:val="00A52C54"/>
    <w:rsid w:val="00A52F99"/>
    <w:rsid w:val="00A53441"/>
    <w:rsid w:val="00A5396F"/>
    <w:rsid w:val="00A53E29"/>
    <w:rsid w:val="00A542FE"/>
    <w:rsid w:val="00A544A4"/>
    <w:rsid w:val="00A54505"/>
    <w:rsid w:val="00A54B73"/>
    <w:rsid w:val="00A54DB9"/>
    <w:rsid w:val="00A54FD4"/>
    <w:rsid w:val="00A550F6"/>
    <w:rsid w:val="00A5528E"/>
    <w:rsid w:val="00A552CD"/>
    <w:rsid w:val="00A5555C"/>
    <w:rsid w:val="00A55892"/>
    <w:rsid w:val="00A5591E"/>
    <w:rsid w:val="00A55950"/>
    <w:rsid w:val="00A55FD4"/>
    <w:rsid w:val="00A5614E"/>
    <w:rsid w:val="00A566F8"/>
    <w:rsid w:val="00A5685F"/>
    <w:rsid w:val="00A56A45"/>
    <w:rsid w:val="00A56E26"/>
    <w:rsid w:val="00A56E36"/>
    <w:rsid w:val="00A57C49"/>
    <w:rsid w:val="00A602E4"/>
    <w:rsid w:val="00A6042D"/>
    <w:rsid w:val="00A60668"/>
    <w:rsid w:val="00A608B4"/>
    <w:rsid w:val="00A610CB"/>
    <w:rsid w:val="00A613DF"/>
    <w:rsid w:val="00A61697"/>
    <w:rsid w:val="00A61750"/>
    <w:rsid w:val="00A621B2"/>
    <w:rsid w:val="00A62630"/>
    <w:rsid w:val="00A63085"/>
    <w:rsid w:val="00A63188"/>
    <w:rsid w:val="00A63454"/>
    <w:rsid w:val="00A6350C"/>
    <w:rsid w:val="00A63843"/>
    <w:rsid w:val="00A63A2B"/>
    <w:rsid w:val="00A63C54"/>
    <w:rsid w:val="00A645EE"/>
    <w:rsid w:val="00A64985"/>
    <w:rsid w:val="00A64E29"/>
    <w:rsid w:val="00A653B1"/>
    <w:rsid w:val="00A66014"/>
    <w:rsid w:val="00A6602B"/>
    <w:rsid w:val="00A66226"/>
    <w:rsid w:val="00A66548"/>
    <w:rsid w:val="00A668BE"/>
    <w:rsid w:val="00A66E5C"/>
    <w:rsid w:val="00A6710F"/>
    <w:rsid w:val="00A671D2"/>
    <w:rsid w:val="00A67BBA"/>
    <w:rsid w:val="00A702C5"/>
    <w:rsid w:val="00A70CD7"/>
    <w:rsid w:val="00A71536"/>
    <w:rsid w:val="00A71879"/>
    <w:rsid w:val="00A722FA"/>
    <w:rsid w:val="00A727A1"/>
    <w:rsid w:val="00A72825"/>
    <w:rsid w:val="00A72947"/>
    <w:rsid w:val="00A72DDB"/>
    <w:rsid w:val="00A72ED8"/>
    <w:rsid w:val="00A732B6"/>
    <w:rsid w:val="00A732C9"/>
    <w:rsid w:val="00A734FA"/>
    <w:rsid w:val="00A73948"/>
    <w:rsid w:val="00A73AD0"/>
    <w:rsid w:val="00A73EC7"/>
    <w:rsid w:val="00A746D8"/>
    <w:rsid w:val="00A74F44"/>
    <w:rsid w:val="00A74FCA"/>
    <w:rsid w:val="00A75320"/>
    <w:rsid w:val="00A75AF9"/>
    <w:rsid w:val="00A75C74"/>
    <w:rsid w:val="00A764CB"/>
    <w:rsid w:val="00A76655"/>
    <w:rsid w:val="00A76B7C"/>
    <w:rsid w:val="00A76DEF"/>
    <w:rsid w:val="00A7712A"/>
    <w:rsid w:val="00A7717F"/>
    <w:rsid w:val="00A776AD"/>
    <w:rsid w:val="00A801D4"/>
    <w:rsid w:val="00A80DE3"/>
    <w:rsid w:val="00A813A9"/>
    <w:rsid w:val="00A81419"/>
    <w:rsid w:val="00A81B7D"/>
    <w:rsid w:val="00A821C5"/>
    <w:rsid w:val="00A8277E"/>
    <w:rsid w:val="00A8278D"/>
    <w:rsid w:val="00A82B85"/>
    <w:rsid w:val="00A82F86"/>
    <w:rsid w:val="00A83833"/>
    <w:rsid w:val="00A83FDE"/>
    <w:rsid w:val="00A840A6"/>
    <w:rsid w:val="00A8482E"/>
    <w:rsid w:val="00A84C72"/>
    <w:rsid w:val="00A859A4"/>
    <w:rsid w:val="00A85ED2"/>
    <w:rsid w:val="00A86343"/>
    <w:rsid w:val="00A863EB"/>
    <w:rsid w:val="00A870C1"/>
    <w:rsid w:val="00A8793C"/>
    <w:rsid w:val="00A87F16"/>
    <w:rsid w:val="00A87F84"/>
    <w:rsid w:val="00A87FB7"/>
    <w:rsid w:val="00A902BB"/>
    <w:rsid w:val="00A90A60"/>
    <w:rsid w:val="00A912B8"/>
    <w:rsid w:val="00A91339"/>
    <w:rsid w:val="00A9140D"/>
    <w:rsid w:val="00A915C0"/>
    <w:rsid w:val="00A91FE5"/>
    <w:rsid w:val="00A9206E"/>
    <w:rsid w:val="00A92496"/>
    <w:rsid w:val="00A925F2"/>
    <w:rsid w:val="00A927C2"/>
    <w:rsid w:val="00A92FD2"/>
    <w:rsid w:val="00A936CB"/>
    <w:rsid w:val="00A947E5"/>
    <w:rsid w:val="00A94F4A"/>
    <w:rsid w:val="00A95077"/>
    <w:rsid w:val="00A9511F"/>
    <w:rsid w:val="00A95C6C"/>
    <w:rsid w:val="00A95D0C"/>
    <w:rsid w:val="00A966D6"/>
    <w:rsid w:val="00A972E9"/>
    <w:rsid w:val="00A97802"/>
    <w:rsid w:val="00A97A0E"/>
    <w:rsid w:val="00A97E67"/>
    <w:rsid w:val="00AA052E"/>
    <w:rsid w:val="00AA0DC7"/>
    <w:rsid w:val="00AA0E0F"/>
    <w:rsid w:val="00AA1224"/>
    <w:rsid w:val="00AA17FC"/>
    <w:rsid w:val="00AA1A9A"/>
    <w:rsid w:val="00AA1CE9"/>
    <w:rsid w:val="00AA1EB7"/>
    <w:rsid w:val="00AA23D0"/>
    <w:rsid w:val="00AA2A6B"/>
    <w:rsid w:val="00AA2AA4"/>
    <w:rsid w:val="00AA2B31"/>
    <w:rsid w:val="00AA2EEA"/>
    <w:rsid w:val="00AA336E"/>
    <w:rsid w:val="00AA3422"/>
    <w:rsid w:val="00AA36E4"/>
    <w:rsid w:val="00AA3DA2"/>
    <w:rsid w:val="00AA40B8"/>
    <w:rsid w:val="00AA4D8C"/>
    <w:rsid w:val="00AA4E67"/>
    <w:rsid w:val="00AA5018"/>
    <w:rsid w:val="00AA5187"/>
    <w:rsid w:val="00AA52D1"/>
    <w:rsid w:val="00AA5A94"/>
    <w:rsid w:val="00AA6706"/>
    <w:rsid w:val="00AA6EA6"/>
    <w:rsid w:val="00AA73B2"/>
    <w:rsid w:val="00AA798E"/>
    <w:rsid w:val="00AA7CBA"/>
    <w:rsid w:val="00AB0233"/>
    <w:rsid w:val="00AB02FA"/>
    <w:rsid w:val="00AB0919"/>
    <w:rsid w:val="00AB1B25"/>
    <w:rsid w:val="00AB1BF9"/>
    <w:rsid w:val="00AB1DA0"/>
    <w:rsid w:val="00AB1EC6"/>
    <w:rsid w:val="00AB1EF3"/>
    <w:rsid w:val="00AB21BB"/>
    <w:rsid w:val="00AB2863"/>
    <w:rsid w:val="00AB287B"/>
    <w:rsid w:val="00AB3209"/>
    <w:rsid w:val="00AB3685"/>
    <w:rsid w:val="00AB3723"/>
    <w:rsid w:val="00AB37D0"/>
    <w:rsid w:val="00AB3CAC"/>
    <w:rsid w:val="00AB4583"/>
    <w:rsid w:val="00AB4616"/>
    <w:rsid w:val="00AB47B6"/>
    <w:rsid w:val="00AB4A15"/>
    <w:rsid w:val="00AB5868"/>
    <w:rsid w:val="00AB6CC2"/>
    <w:rsid w:val="00AB6F97"/>
    <w:rsid w:val="00AB779D"/>
    <w:rsid w:val="00AB77A9"/>
    <w:rsid w:val="00AB7A98"/>
    <w:rsid w:val="00AB7AB1"/>
    <w:rsid w:val="00AB7B7F"/>
    <w:rsid w:val="00AC00F8"/>
    <w:rsid w:val="00AC01EF"/>
    <w:rsid w:val="00AC0890"/>
    <w:rsid w:val="00AC0F6B"/>
    <w:rsid w:val="00AC16FC"/>
    <w:rsid w:val="00AC1D4D"/>
    <w:rsid w:val="00AC2517"/>
    <w:rsid w:val="00AC2649"/>
    <w:rsid w:val="00AC3149"/>
    <w:rsid w:val="00AC32CE"/>
    <w:rsid w:val="00AC3444"/>
    <w:rsid w:val="00AC34BB"/>
    <w:rsid w:val="00AC384B"/>
    <w:rsid w:val="00AC3B8E"/>
    <w:rsid w:val="00AC3D31"/>
    <w:rsid w:val="00AC40E0"/>
    <w:rsid w:val="00AC4437"/>
    <w:rsid w:val="00AC504D"/>
    <w:rsid w:val="00AC511D"/>
    <w:rsid w:val="00AC52D3"/>
    <w:rsid w:val="00AC5425"/>
    <w:rsid w:val="00AC5617"/>
    <w:rsid w:val="00AC56AE"/>
    <w:rsid w:val="00AC62B2"/>
    <w:rsid w:val="00AC62BE"/>
    <w:rsid w:val="00AC6440"/>
    <w:rsid w:val="00AC65B9"/>
    <w:rsid w:val="00AC6681"/>
    <w:rsid w:val="00AC67EA"/>
    <w:rsid w:val="00AC6C5A"/>
    <w:rsid w:val="00AD06FB"/>
    <w:rsid w:val="00AD07AF"/>
    <w:rsid w:val="00AD0C18"/>
    <w:rsid w:val="00AD0D1E"/>
    <w:rsid w:val="00AD1AB2"/>
    <w:rsid w:val="00AD20BF"/>
    <w:rsid w:val="00AD23E5"/>
    <w:rsid w:val="00AD2DB7"/>
    <w:rsid w:val="00AD326D"/>
    <w:rsid w:val="00AD3E09"/>
    <w:rsid w:val="00AD456C"/>
    <w:rsid w:val="00AD46B1"/>
    <w:rsid w:val="00AD494A"/>
    <w:rsid w:val="00AD4C3F"/>
    <w:rsid w:val="00AD4DFE"/>
    <w:rsid w:val="00AD4E19"/>
    <w:rsid w:val="00AD4F86"/>
    <w:rsid w:val="00AD5104"/>
    <w:rsid w:val="00AD53D0"/>
    <w:rsid w:val="00AD5BC7"/>
    <w:rsid w:val="00AD5C9B"/>
    <w:rsid w:val="00AD69BE"/>
    <w:rsid w:val="00AD6A26"/>
    <w:rsid w:val="00AD6E3F"/>
    <w:rsid w:val="00AD723B"/>
    <w:rsid w:val="00AD766E"/>
    <w:rsid w:val="00AD7BB3"/>
    <w:rsid w:val="00AD7C68"/>
    <w:rsid w:val="00AD7DF1"/>
    <w:rsid w:val="00AE01C7"/>
    <w:rsid w:val="00AE03CA"/>
    <w:rsid w:val="00AE053B"/>
    <w:rsid w:val="00AE154C"/>
    <w:rsid w:val="00AE1650"/>
    <w:rsid w:val="00AE173D"/>
    <w:rsid w:val="00AE18EC"/>
    <w:rsid w:val="00AE190C"/>
    <w:rsid w:val="00AE2D89"/>
    <w:rsid w:val="00AE2F39"/>
    <w:rsid w:val="00AE361A"/>
    <w:rsid w:val="00AE41D6"/>
    <w:rsid w:val="00AE477B"/>
    <w:rsid w:val="00AE4DD7"/>
    <w:rsid w:val="00AE4E27"/>
    <w:rsid w:val="00AE516B"/>
    <w:rsid w:val="00AE61B4"/>
    <w:rsid w:val="00AE6327"/>
    <w:rsid w:val="00AE65C5"/>
    <w:rsid w:val="00AE66B7"/>
    <w:rsid w:val="00AE6B54"/>
    <w:rsid w:val="00AE70F8"/>
    <w:rsid w:val="00AE7186"/>
    <w:rsid w:val="00AE71A0"/>
    <w:rsid w:val="00AE7565"/>
    <w:rsid w:val="00AF01CE"/>
    <w:rsid w:val="00AF021C"/>
    <w:rsid w:val="00AF03A9"/>
    <w:rsid w:val="00AF0B14"/>
    <w:rsid w:val="00AF0E85"/>
    <w:rsid w:val="00AF0F3F"/>
    <w:rsid w:val="00AF1B61"/>
    <w:rsid w:val="00AF2770"/>
    <w:rsid w:val="00AF2F6D"/>
    <w:rsid w:val="00AF3259"/>
    <w:rsid w:val="00AF33D6"/>
    <w:rsid w:val="00AF3A27"/>
    <w:rsid w:val="00AF3B5E"/>
    <w:rsid w:val="00AF502A"/>
    <w:rsid w:val="00AF50B1"/>
    <w:rsid w:val="00AF5314"/>
    <w:rsid w:val="00AF54D2"/>
    <w:rsid w:val="00AF5501"/>
    <w:rsid w:val="00AF5567"/>
    <w:rsid w:val="00AF5CFF"/>
    <w:rsid w:val="00AF5FA4"/>
    <w:rsid w:val="00AF6593"/>
    <w:rsid w:val="00AF7B78"/>
    <w:rsid w:val="00AF7C7F"/>
    <w:rsid w:val="00B0019C"/>
    <w:rsid w:val="00B00373"/>
    <w:rsid w:val="00B00490"/>
    <w:rsid w:val="00B006A3"/>
    <w:rsid w:val="00B009E4"/>
    <w:rsid w:val="00B00A0E"/>
    <w:rsid w:val="00B00CCF"/>
    <w:rsid w:val="00B0115D"/>
    <w:rsid w:val="00B0148C"/>
    <w:rsid w:val="00B01BD5"/>
    <w:rsid w:val="00B01F5A"/>
    <w:rsid w:val="00B02B7F"/>
    <w:rsid w:val="00B02C06"/>
    <w:rsid w:val="00B02D09"/>
    <w:rsid w:val="00B02D85"/>
    <w:rsid w:val="00B02E0F"/>
    <w:rsid w:val="00B031DC"/>
    <w:rsid w:val="00B03384"/>
    <w:rsid w:val="00B037A5"/>
    <w:rsid w:val="00B03891"/>
    <w:rsid w:val="00B03A73"/>
    <w:rsid w:val="00B03AF0"/>
    <w:rsid w:val="00B03B07"/>
    <w:rsid w:val="00B04A4E"/>
    <w:rsid w:val="00B04B20"/>
    <w:rsid w:val="00B04DBB"/>
    <w:rsid w:val="00B04DF2"/>
    <w:rsid w:val="00B04E68"/>
    <w:rsid w:val="00B053CB"/>
    <w:rsid w:val="00B05752"/>
    <w:rsid w:val="00B05A22"/>
    <w:rsid w:val="00B05DD0"/>
    <w:rsid w:val="00B05FC2"/>
    <w:rsid w:val="00B061CA"/>
    <w:rsid w:val="00B061F9"/>
    <w:rsid w:val="00B07CCE"/>
    <w:rsid w:val="00B07D9A"/>
    <w:rsid w:val="00B07E3C"/>
    <w:rsid w:val="00B100EC"/>
    <w:rsid w:val="00B10849"/>
    <w:rsid w:val="00B10C96"/>
    <w:rsid w:val="00B10D8F"/>
    <w:rsid w:val="00B11153"/>
    <w:rsid w:val="00B114A3"/>
    <w:rsid w:val="00B11875"/>
    <w:rsid w:val="00B123E5"/>
    <w:rsid w:val="00B12435"/>
    <w:rsid w:val="00B1278E"/>
    <w:rsid w:val="00B12884"/>
    <w:rsid w:val="00B12E74"/>
    <w:rsid w:val="00B134E4"/>
    <w:rsid w:val="00B1368B"/>
    <w:rsid w:val="00B13808"/>
    <w:rsid w:val="00B138E5"/>
    <w:rsid w:val="00B13A67"/>
    <w:rsid w:val="00B13D15"/>
    <w:rsid w:val="00B14390"/>
    <w:rsid w:val="00B1463A"/>
    <w:rsid w:val="00B14CF8"/>
    <w:rsid w:val="00B159DD"/>
    <w:rsid w:val="00B16456"/>
    <w:rsid w:val="00B16784"/>
    <w:rsid w:val="00B167B7"/>
    <w:rsid w:val="00B16E56"/>
    <w:rsid w:val="00B1788B"/>
    <w:rsid w:val="00B17AD2"/>
    <w:rsid w:val="00B17C98"/>
    <w:rsid w:val="00B17E92"/>
    <w:rsid w:val="00B17FD1"/>
    <w:rsid w:val="00B203DC"/>
    <w:rsid w:val="00B21203"/>
    <w:rsid w:val="00B212D2"/>
    <w:rsid w:val="00B2148C"/>
    <w:rsid w:val="00B2222F"/>
    <w:rsid w:val="00B224A2"/>
    <w:rsid w:val="00B225EE"/>
    <w:rsid w:val="00B22602"/>
    <w:rsid w:val="00B229BB"/>
    <w:rsid w:val="00B22E4B"/>
    <w:rsid w:val="00B2319E"/>
    <w:rsid w:val="00B23454"/>
    <w:rsid w:val="00B234A2"/>
    <w:rsid w:val="00B236B7"/>
    <w:rsid w:val="00B23F9A"/>
    <w:rsid w:val="00B24D18"/>
    <w:rsid w:val="00B24D6C"/>
    <w:rsid w:val="00B24F79"/>
    <w:rsid w:val="00B259F9"/>
    <w:rsid w:val="00B25C64"/>
    <w:rsid w:val="00B260BC"/>
    <w:rsid w:val="00B26218"/>
    <w:rsid w:val="00B2647C"/>
    <w:rsid w:val="00B26563"/>
    <w:rsid w:val="00B26B46"/>
    <w:rsid w:val="00B26D1F"/>
    <w:rsid w:val="00B26E86"/>
    <w:rsid w:val="00B27BC2"/>
    <w:rsid w:val="00B27FE6"/>
    <w:rsid w:val="00B30069"/>
    <w:rsid w:val="00B3041A"/>
    <w:rsid w:val="00B306A8"/>
    <w:rsid w:val="00B309A5"/>
    <w:rsid w:val="00B30A0F"/>
    <w:rsid w:val="00B315E4"/>
    <w:rsid w:val="00B320F2"/>
    <w:rsid w:val="00B32159"/>
    <w:rsid w:val="00B3229E"/>
    <w:rsid w:val="00B32C15"/>
    <w:rsid w:val="00B33DF6"/>
    <w:rsid w:val="00B34060"/>
    <w:rsid w:val="00B344AA"/>
    <w:rsid w:val="00B34642"/>
    <w:rsid w:val="00B34B51"/>
    <w:rsid w:val="00B35176"/>
    <w:rsid w:val="00B3527F"/>
    <w:rsid w:val="00B3579B"/>
    <w:rsid w:val="00B35859"/>
    <w:rsid w:val="00B36142"/>
    <w:rsid w:val="00B362F8"/>
    <w:rsid w:val="00B364A2"/>
    <w:rsid w:val="00B365D7"/>
    <w:rsid w:val="00B36818"/>
    <w:rsid w:val="00B36852"/>
    <w:rsid w:val="00B37A82"/>
    <w:rsid w:val="00B37AC6"/>
    <w:rsid w:val="00B37AFC"/>
    <w:rsid w:val="00B37F9A"/>
    <w:rsid w:val="00B40155"/>
    <w:rsid w:val="00B405AC"/>
    <w:rsid w:val="00B40618"/>
    <w:rsid w:val="00B40A2D"/>
    <w:rsid w:val="00B4101E"/>
    <w:rsid w:val="00B416C1"/>
    <w:rsid w:val="00B41B4B"/>
    <w:rsid w:val="00B41BDD"/>
    <w:rsid w:val="00B41DDB"/>
    <w:rsid w:val="00B424EB"/>
    <w:rsid w:val="00B42D42"/>
    <w:rsid w:val="00B43154"/>
    <w:rsid w:val="00B43917"/>
    <w:rsid w:val="00B43936"/>
    <w:rsid w:val="00B43960"/>
    <w:rsid w:val="00B43D12"/>
    <w:rsid w:val="00B43E17"/>
    <w:rsid w:val="00B443D8"/>
    <w:rsid w:val="00B4489F"/>
    <w:rsid w:val="00B44ABA"/>
    <w:rsid w:val="00B452F2"/>
    <w:rsid w:val="00B45774"/>
    <w:rsid w:val="00B45B67"/>
    <w:rsid w:val="00B45FB7"/>
    <w:rsid w:val="00B460DE"/>
    <w:rsid w:val="00B467C2"/>
    <w:rsid w:val="00B4680C"/>
    <w:rsid w:val="00B47564"/>
    <w:rsid w:val="00B47979"/>
    <w:rsid w:val="00B47BD7"/>
    <w:rsid w:val="00B47E1B"/>
    <w:rsid w:val="00B5021E"/>
    <w:rsid w:val="00B50BAE"/>
    <w:rsid w:val="00B50DEE"/>
    <w:rsid w:val="00B510C2"/>
    <w:rsid w:val="00B51351"/>
    <w:rsid w:val="00B517C4"/>
    <w:rsid w:val="00B51A03"/>
    <w:rsid w:val="00B51AAB"/>
    <w:rsid w:val="00B51CEB"/>
    <w:rsid w:val="00B51D11"/>
    <w:rsid w:val="00B52CC3"/>
    <w:rsid w:val="00B53C6A"/>
    <w:rsid w:val="00B53DFC"/>
    <w:rsid w:val="00B5404A"/>
    <w:rsid w:val="00B54525"/>
    <w:rsid w:val="00B54689"/>
    <w:rsid w:val="00B547F9"/>
    <w:rsid w:val="00B549ED"/>
    <w:rsid w:val="00B54A41"/>
    <w:rsid w:val="00B54A43"/>
    <w:rsid w:val="00B54D25"/>
    <w:rsid w:val="00B5539B"/>
    <w:rsid w:val="00B55C03"/>
    <w:rsid w:val="00B56385"/>
    <w:rsid w:val="00B567F8"/>
    <w:rsid w:val="00B569C4"/>
    <w:rsid w:val="00B56CC0"/>
    <w:rsid w:val="00B56EED"/>
    <w:rsid w:val="00B56F48"/>
    <w:rsid w:val="00B571DC"/>
    <w:rsid w:val="00B57219"/>
    <w:rsid w:val="00B573C3"/>
    <w:rsid w:val="00B57B7F"/>
    <w:rsid w:val="00B57F1F"/>
    <w:rsid w:val="00B604BE"/>
    <w:rsid w:val="00B60667"/>
    <w:rsid w:val="00B6068B"/>
    <w:rsid w:val="00B60C3F"/>
    <w:rsid w:val="00B60C82"/>
    <w:rsid w:val="00B6184E"/>
    <w:rsid w:val="00B62158"/>
    <w:rsid w:val="00B62305"/>
    <w:rsid w:val="00B623E9"/>
    <w:rsid w:val="00B62505"/>
    <w:rsid w:val="00B62A9F"/>
    <w:rsid w:val="00B6343C"/>
    <w:rsid w:val="00B63460"/>
    <w:rsid w:val="00B635A0"/>
    <w:rsid w:val="00B6414F"/>
    <w:rsid w:val="00B64573"/>
    <w:rsid w:val="00B6462F"/>
    <w:rsid w:val="00B64A0B"/>
    <w:rsid w:val="00B64BCB"/>
    <w:rsid w:val="00B64C04"/>
    <w:rsid w:val="00B64E4E"/>
    <w:rsid w:val="00B65006"/>
    <w:rsid w:val="00B65044"/>
    <w:rsid w:val="00B65310"/>
    <w:rsid w:val="00B65389"/>
    <w:rsid w:val="00B6579F"/>
    <w:rsid w:val="00B65B5D"/>
    <w:rsid w:val="00B66AFE"/>
    <w:rsid w:val="00B678B3"/>
    <w:rsid w:val="00B67A39"/>
    <w:rsid w:val="00B704A6"/>
    <w:rsid w:val="00B70BA3"/>
    <w:rsid w:val="00B70D25"/>
    <w:rsid w:val="00B70EA4"/>
    <w:rsid w:val="00B71F35"/>
    <w:rsid w:val="00B72215"/>
    <w:rsid w:val="00B72740"/>
    <w:rsid w:val="00B72F42"/>
    <w:rsid w:val="00B72FF3"/>
    <w:rsid w:val="00B73247"/>
    <w:rsid w:val="00B7342A"/>
    <w:rsid w:val="00B73795"/>
    <w:rsid w:val="00B7442B"/>
    <w:rsid w:val="00B7467A"/>
    <w:rsid w:val="00B7468C"/>
    <w:rsid w:val="00B7525D"/>
    <w:rsid w:val="00B75544"/>
    <w:rsid w:val="00B75579"/>
    <w:rsid w:val="00B75ECA"/>
    <w:rsid w:val="00B766FA"/>
    <w:rsid w:val="00B76836"/>
    <w:rsid w:val="00B77076"/>
    <w:rsid w:val="00B770DD"/>
    <w:rsid w:val="00B77171"/>
    <w:rsid w:val="00B77647"/>
    <w:rsid w:val="00B77B53"/>
    <w:rsid w:val="00B77D89"/>
    <w:rsid w:val="00B8052D"/>
    <w:rsid w:val="00B80834"/>
    <w:rsid w:val="00B80889"/>
    <w:rsid w:val="00B80A5E"/>
    <w:rsid w:val="00B80A86"/>
    <w:rsid w:val="00B80AF5"/>
    <w:rsid w:val="00B80FED"/>
    <w:rsid w:val="00B81825"/>
    <w:rsid w:val="00B81A53"/>
    <w:rsid w:val="00B81E32"/>
    <w:rsid w:val="00B81E93"/>
    <w:rsid w:val="00B8250B"/>
    <w:rsid w:val="00B826AF"/>
    <w:rsid w:val="00B8285C"/>
    <w:rsid w:val="00B83257"/>
    <w:rsid w:val="00B832EF"/>
    <w:rsid w:val="00B833B9"/>
    <w:rsid w:val="00B833C1"/>
    <w:rsid w:val="00B83678"/>
    <w:rsid w:val="00B8386C"/>
    <w:rsid w:val="00B83AD6"/>
    <w:rsid w:val="00B83BEE"/>
    <w:rsid w:val="00B845BB"/>
    <w:rsid w:val="00B84DE4"/>
    <w:rsid w:val="00B8518B"/>
    <w:rsid w:val="00B85BBC"/>
    <w:rsid w:val="00B85C27"/>
    <w:rsid w:val="00B85F75"/>
    <w:rsid w:val="00B860AA"/>
    <w:rsid w:val="00B860AC"/>
    <w:rsid w:val="00B86144"/>
    <w:rsid w:val="00B866AB"/>
    <w:rsid w:val="00B86C4F"/>
    <w:rsid w:val="00B872F5"/>
    <w:rsid w:val="00B87307"/>
    <w:rsid w:val="00B9054C"/>
    <w:rsid w:val="00B905DF"/>
    <w:rsid w:val="00B909E7"/>
    <w:rsid w:val="00B90FF0"/>
    <w:rsid w:val="00B910D5"/>
    <w:rsid w:val="00B915C9"/>
    <w:rsid w:val="00B922BE"/>
    <w:rsid w:val="00B927BC"/>
    <w:rsid w:val="00B92882"/>
    <w:rsid w:val="00B93D08"/>
    <w:rsid w:val="00B93D26"/>
    <w:rsid w:val="00B941D7"/>
    <w:rsid w:val="00B9429E"/>
    <w:rsid w:val="00B950CD"/>
    <w:rsid w:val="00B951DC"/>
    <w:rsid w:val="00B95270"/>
    <w:rsid w:val="00B95608"/>
    <w:rsid w:val="00B956F2"/>
    <w:rsid w:val="00B95A9F"/>
    <w:rsid w:val="00B96243"/>
    <w:rsid w:val="00B966D5"/>
    <w:rsid w:val="00B9684B"/>
    <w:rsid w:val="00B97187"/>
    <w:rsid w:val="00B9754D"/>
    <w:rsid w:val="00B97B7A"/>
    <w:rsid w:val="00B97CC0"/>
    <w:rsid w:val="00B97EF3"/>
    <w:rsid w:val="00BA027B"/>
    <w:rsid w:val="00BA05BE"/>
    <w:rsid w:val="00BA0AFD"/>
    <w:rsid w:val="00BA119A"/>
    <w:rsid w:val="00BA135D"/>
    <w:rsid w:val="00BA13E0"/>
    <w:rsid w:val="00BA1507"/>
    <w:rsid w:val="00BA1633"/>
    <w:rsid w:val="00BA19A3"/>
    <w:rsid w:val="00BA2A78"/>
    <w:rsid w:val="00BA2D78"/>
    <w:rsid w:val="00BA469D"/>
    <w:rsid w:val="00BA4832"/>
    <w:rsid w:val="00BA4C45"/>
    <w:rsid w:val="00BA4C6C"/>
    <w:rsid w:val="00BA4D1D"/>
    <w:rsid w:val="00BA50EB"/>
    <w:rsid w:val="00BA5D68"/>
    <w:rsid w:val="00BA6283"/>
    <w:rsid w:val="00BA62EF"/>
    <w:rsid w:val="00BA6522"/>
    <w:rsid w:val="00BA665A"/>
    <w:rsid w:val="00BA6C39"/>
    <w:rsid w:val="00BA6D10"/>
    <w:rsid w:val="00BA7685"/>
    <w:rsid w:val="00BA7706"/>
    <w:rsid w:val="00BB1389"/>
    <w:rsid w:val="00BB1701"/>
    <w:rsid w:val="00BB1A6B"/>
    <w:rsid w:val="00BB1B88"/>
    <w:rsid w:val="00BB2285"/>
    <w:rsid w:val="00BB22B2"/>
    <w:rsid w:val="00BB28B4"/>
    <w:rsid w:val="00BB2914"/>
    <w:rsid w:val="00BB2B13"/>
    <w:rsid w:val="00BB3A02"/>
    <w:rsid w:val="00BB4438"/>
    <w:rsid w:val="00BB4EEE"/>
    <w:rsid w:val="00BB4F2C"/>
    <w:rsid w:val="00BB51A1"/>
    <w:rsid w:val="00BB5F97"/>
    <w:rsid w:val="00BB607B"/>
    <w:rsid w:val="00BB6181"/>
    <w:rsid w:val="00BB686A"/>
    <w:rsid w:val="00BB6A6F"/>
    <w:rsid w:val="00BB70FF"/>
    <w:rsid w:val="00BB796E"/>
    <w:rsid w:val="00BB79D6"/>
    <w:rsid w:val="00BC067A"/>
    <w:rsid w:val="00BC11D6"/>
    <w:rsid w:val="00BC171D"/>
    <w:rsid w:val="00BC1B86"/>
    <w:rsid w:val="00BC2003"/>
    <w:rsid w:val="00BC2095"/>
    <w:rsid w:val="00BC2D08"/>
    <w:rsid w:val="00BC3005"/>
    <w:rsid w:val="00BC3B20"/>
    <w:rsid w:val="00BC3CBA"/>
    <w:rsid w:val="00BC4502"/>
    <w:rsid w:val="00BC4550"/>
    <w:rsid w:val="00BC4825"/>
    <w:rsid w:val="00BC4A24"/>
    <w:rsid w:val="00BC4B8D"/>
    <w:rsid w:val="00BC5372"/>
    <w:rsid w:val="00BC54CA"/>
    <w:rsid w:val="00BC5509"/>
    <w:rsid w:val="00BC6136"/>
    <w:rsid w:val="00BC61C7"/>
    <w:rsid w:val="00BC624A"/>
    <w:rsid w:val="00BC62E5"/>
    <w:rsid w:val="00BC68DC"/>
    <w:rsid w:val="00BC7B12"/>
    <w:rsid w:val="00BD011F"/>
    <w:rsid w:val="00BD0138"/>
    <w:rsid w:val="00BD0656"/>
    <w:rsid w:val="00BD0859"/>
    <w:rsid w:val="00BD0DCC"/>
    <w:rsid w:val="00BD0F93"/>
    <w:rsid w:val="00BD14CA"/>
    <w:rsid w:val="00BD1522"/>
    <w:rsid w:val="00BD1AE3"/>
    <w:rsid w:val="00BD2711"/>
    <w:rsid w:val="00BD2CC1"/>
    <w:rsid w:val="00BD392A"/>
    <w:rsid w:val="00BD3A1C"/>
    <w:rsid w:val="00BD3A6C"/>
    <w:rsid w:val="00BD3C1C"/>
    <w:rsid w:val="00BD3D52"/>
    <w:rsid w:val="00BD435E"/>
    <w:rsid w:val="00BD49DC"/>
    <w:rsid w:val="00BD4E31"/>
    <w:rsid w:val="00BD5022"/>
    <w:rsid w:val="00BD5168"/>
    <w:rsid w:val="00BD51F3"/>
    <w:rsid w:val="00BD5402"/>
    <w:rsid w:val="00BD62C4"/>
    <w:rsid w:val="00BD66AE"/>
    <w:rsid w:val="00BD713D"/>
    <w:rsid w:val="00BD785E"/>
    <w:rsid w:val="00BD7867"/>
    <w:rsid w:val="00BD78A4"/>
    <w:rsid w:val="00BD7A80"/>
    <w:rsid w:val="00BD7D04"/>
    <w:rsid w:val="00BE0741"/>
    <w:rsid w:val="00BE0D1C"/>
    <w:rsid w:val="00BE10EA"/>
    <w:rsid w:val="00BE1776"/>
    <w:rsid w:val="00BE1D37"/>
    <w:rsid w:val="00BE2133"/>
    <w:rsid w:val="00BE2294"/>
    <w:rsid w:val="00BE3034"/>
    <w:rsid w:val="00BE32F1"/>
    <w:rsid w:val="00BE343F"/>
    <w:rsid w:val="00BE3946"/>
    <w:rsid w:val="00BE3A22"/>
    <w:rsid w:val="00BE3ACA"/>
    <w:rsid w:val="00BE4034"/>
    <w:rsid w:val="00BE41D8"/>
    <w:rsid w:val="00BE4238"/>
    <w:rsid w:val="00BE4367"/>
    <w:rsid w:val="00BE5578"/>
    <w:rsid w:val="00BE59AF"/>
    <w:rsid w:val="00BE59F9"/>
    <w:rsid w:val="00BE611E"/>
    <w:rsid w:val="00BE62F3"/>
    <w:rsid w:val="00BE6A89"/>
    <w:rsid w:val="00BE6C26"/>
    <w:rsid w:val="00BE6F1D"/>
    <w:rsid w:val="00BE7056"/>
    <w:rsid w:val="00BE7059"/>
    <w:rsid w:val="00BE7261"/>
    <w:rsid w:val="00BE7698"/>
    <w:rsid w:val="00BE77BA"/>
    <w:rsid w:val="00BF017D"/>
    <w:rsid w:val="00BF1102"/>
    <w:rsid w:val="00BF1686"/>
    <w:rsid w:val="00BF1C1D"/>
    <w:rsid w:val="00BF241A"/>
    <w:rsid w:val="00BF24AD"/>
    <w:rsid w:val="00BF2958"/>
    <w:rsid w:val="00BF2D13"/>
    <w:rsid w:val="00BF2EA8"/>
    <w:rsid w:val="00BF3219"/>
    <w:rsid w:val="00BF325C"/>
    <w:rsid w:val="00BF32DF"/>
    <w:rsid w:val="00BF3363"/>
    <w:rsid w:val="00BF347B"/>
    <w:rsid w:val="00BF479A"/>
    <w:rsid w:val="00BF5CA7"/>
    <w:rsid w:val="00BF6125"/>
    <w:rsid w:val="00BF6302"/>
    <w:rsid w:val="00BF6447"/>
    <w:rsid w:val="00BF6B33"/>
    <w:rsid w:val="00BF6C06"/>
    <w:rsid w:val="00BF6CDF"/>
    <w:rsid w:val="00BF74CE"/>
    <w:rsid w:val="00BF794E"/>
    <w:rsid w:val="00BF7C45"/>
    <w:rsid w:val="00C00317"/>
    <w:rsid w:val="00C00607"/>
    <w:rsid w:val="00C00661"/>
    <w:rsid w:val="00C00968"/>
    <w:rsid w:val="00C00AD7"/>
    <w:rsid w:val="00C00F1A"/>
    <w:rsid w:val="00C0117D"/>
    <w:rsid w:val="00C0120F"/>
    <w:rsid w:val="00C021CD"/>
    <w:rsid w:val="00C02400"/>
    <w:rsid w:val="00C025CC"/>
    <w:rsid w:val="00C02A3B"/>
    <w:rsid w:val="00C036E8"/>
    <w:rsid w:val="00C039E2"/>
    <w:rsid w:val="00C04133"/>
    <w:rsid w:val="00C04164"/>
    <w:rsid w:val="00C04703"/>
    <w:rsid w:val="00C04BAC"/>
    <w:rsid w:val="00C04C5F"/>
    <w:rsid w:val="00C05532"/>
    <w:rsid w:val="00C0563D"/>
    <w:rsid w:val="00C05A1D"/>
    <w:rsid w:val="00C05F4E"/>
    <w:rsid w:val="00C0635B"/>
    <w:rsid w:val="00C06547"/>
    <w:rsid w:val="00C0672F"/>
    <w:rsid w:val="00C0688F"/>
    <w:rsid w:val="00C070CA"/>
    <w:rsid w:val="00C10377"/>
    <w:rsid w:val="00C10428"/>
    <w:rsid w:val="00C10781"/>
    <w:rsid w:val="00C10AF0"/>
    <w:rsid w:val="00C1154C"/>
    <w:rsid w:val="00C117F8"/>
    <w:rsid w:val="00C122F6"/>
    <w:rsid w:val="00C12472"/>
    <w:rsid w:val="00C125C3"/>
    <w:rsid w:val="00C12662"/>
    <w:rsid w:val="00C12C87"/>
    <w:rsid w:val="00C132B5"/>
    <w:rsid w:val="00C13B2E"/>
    <w:rsid w:val="00C13BBD"/>
    <w:rsid w:val="00C13F21"/>
    <w:rsid w:val="00C13F35"/>
    <w:rsid w:val="00C14138"/>
    <w:rsid w:val="00C14367"/>
    <w:rsid w:val="00C14735"/>
    <w:rsid w:val="00C148C9"/>
    <w:rsid w:val="00C14B7F"/>
    <w:rsid w:val="00C14E93"/>
    <w:rsid w:val="00C15482"/>
    <w:rsid w:val="00C15688"/>
    <w:rsid w:val="00C158C7"/>
    <w:rsid w:val="00C15BBF"/>
    <w:rsid w:val="00C15C4F"/>
    <w:rsid w:val="00C16398"/>
    <w:rsid w:val="00C16D85"/>
    <w:rsid w:val="00C17325"/>
    <w:rsid w:val="00C173ED"/>
    <w:rsid w:val="00C200BD"/>
    <w:rsid w:val="00C20330"/>
    <w:rsid w:val="00C210A6"/>
    <w:rsid w:val="00C21A2A"/>
    <w:rsid w:val="00C21A5A"/>
    <w:rsid w:val="00C220DD"/>
    <w:rsid w:val="00C22147"/>
    <w:rsid w:val="00C223B6"/>
    <w:rsid w:val="00C223CD"/>
    <w:rsid w:val="00C225F9"/>
    <w:rsid w:val="00C2267B"/>
    <w:rsid w:val="00C22945"/>
    <w:rsid w:val="00C22F71"/>
    <w:rsid w:val="00C23E46"/>
    <w:rsid w:val="00C24041"/>
    <w:rsid w:val="00C24649"/>
    <w:rsid w:val="00C24B24"/>
    <w:rsid w:val="00C250B8"/>
    <w:rsid w:val="00C25192"/>
    <w:rsid w:val="00C25553"/>
    <w:rsid w:val="00C265DB"/>
    <w:rsid w:val="00C266AB"/>
    <w:rsid w:val="00C26E09"/>
    <w:rsid w:val="00C2725E"/>
    <w:rsid w:val="00C27653"/>
    <w:rsid w:val="00C27945"/>
    <w:rsid w:val="00C30139"/>
    <w:rsid w:val="00C302FA"/>
    <w:rsid w:val="00C304FC"/>
    <w:rsid w:val="00C30618"/>
    <w:rsid w:val="00C3066E"/>
    <w:rsid w:val="00C3070C"/>
    <w:rsid w:val="00C309DB"/>
    <w:rsid w:val="00C30EE1"/>
    <w:rsid w:val="00C31652"/>
    <w:rsid w:val="00C316CF"/>
    <w:rsid w:val="00C317B4"/>
    <w:rsid w:val="00C31826"/>
    <w:rsid w:val="00C31E4C"/>
    <w:rsid w:val="00C32033"/>
    <w:rsid w:val="00C32189"/>
    <w:rsid w:val="00C3266E"/>
    <w:rsid w:val="00C32AAF"/>
    <w:rsid w:val="00C32C1C"/>
    <w:rsid w:val="00C334DC"/>
    <w:rsid w:val="00C3351A"/>
    <w:rsid w:val="00C3383B"/>
    <w:rsid w:val="00C33961"/>
    <w:rsid w:val="00C3396C"/>
    <w:rsid w:val="00C34220"/>
    <w:rsid w:val="00C34717"/>
    <w:rsid w:val="00C34A92"/>
    <w:rsid w:val="00C35248"/>
    <w:rsid w:val="00C3527C"/>
    <w:rsid w:val="00C3529A"/>
    <w:rsid w:val="00C3561E"/>
    <w:rsid w:val="00C35727"/>
    <w:rsid w:val="00C35C2C"/>
    <w:rsid w:val="00C361A8"/>
    <w:rsid w:val="00C362AC"/>
    <w:rsid w:val="00C3630F"/>
    <w:rsid w:val="00C36492"/>
    <w:rsid w:val="00C3672E"/>
    <w:rsid w:val="00C36C58"/>
    <w:rsid w:val="00C375BC"/>
    <w:rsid w:val="00C37838"/>
    <w:rsid w:val="00C379B0"/>
    <w:rsid w:val="00C379CB"/>
    <w:rsid w:val="00C37B11"/>
    <w:rsid w:val="00C40038"/>
    <w:rsid w:val="00C4116A"/>
    <w:rsid w:val="00C419F3"/>
    <w:rsid w:val="00C4230E"/>
    <w:rsid w:val="00C4242E"/>
    <w:rsid w:val="00C42584"/>
    <w:rsid w:val="00C4272F"/>
    <w:rsid w:val="00C428A4"/>
    <w:rsid w:val="00C42CF5"/>
    <w:rsid w:val="00C42D02"/>
    <w:rsid w:val="00C431A3"/>
    <w:rsid w:val="00C4355B"/>
    <w:rsid w:val="00C43683"/>
    <w:rsid w:val="00C4386C"/>
    <w:rsid w:val="00C4395C"/>
    <w:rsid w:val="00C442E4"/>
    <w:rsid w:val="00C44450"/>
    <w:rsid w:val="00C451ED"/>
    <w:rsid w:val="00C454F9"/>
    <w:rsid w:val="00C45821"/>
    <w:rsid w:val="00C459A1"/>
    <w:rsid w:val="00C45A34"/>
    <w:rsid w:val="00C45BC1"/>
    <w:rsid w:val="00C47268"/>
    <w:rsid w:val="00C474D0"/>
    <w:rsid w:val="00C50D44"/>
    <w:rsid w:val="00C5118A"/>
    <w:rsid w:val="00C519B8"/>
    <w:rsid w:val="00C51D00"/>
    <w:rsid w:val="00C5289B"/>
    <w:rsid w:val="00C529FD"/>
    <w:rsid w:val="00C52DC1"/>
    <w:rsid w:val="00C52EE2"/>
    <w:rsid w:val="00C53C11"/>
    <w:rsid w:val="00C53D8C"/>
    <w:rsid w:val="00C544F7"/>
    <w:rsid w:val="00C54BB2"/>
    <w:rsid w:val="00C54FC3"/>
    <w:rsid w:val="00C550E7"/>
    <w:rsid w:val="00C55233"/>
    <w:rsid w:val="00C5529C"/>
    <w:rsid w:val="00C559DC"/>
    <w:rsid w:val="00C55BFD"/>
    <w:rsid w:val="00C55F0F"/>
    <w:rsid w:val="00C56659"/>
    <w:rsid w:val="00C56831"/>
    <w:rsid w:val="00C5686C"/>
    <w:rsid w:val="00C56D64"/>
    <w:rsid w:val="00C576A1"/>
    <w:rsid w:val="00C57ACF"/>
    <w:rsid w:val="00C60B16"/>
    <w:rsid w:val="00C611F0"/>
    <w:rsid w:val="00C6169C"/>
    <w:rsid w:val="00C6282B"/>
    <w:rsid w:val="00C62A22"/>
    <w:rsid w:val="00C63667"/>
    <w:rsid w:val="00C63BB6"/>
    <w:rsid w:val="00C63ED0"/>
    <w:rsid w:val="00C64319"/>
    <w:rsid w:val="00C6448E"/>
    <w:rsid w:val="00C6455C"/>
    <w:rsid w:val="00C64D1B"/>
    <w:rsid w:val="00C65BF9"/>
    <w:rsid w:val="00C660FC"/>
    <w:rsid w:val="00C665EA"/>
    <w:rsid w:val="00C669CA"/>
    <w:rsid w:val="00C66BD0"/>
    <w:rsid w:val="00C66EE8"/>
    <w:rsid w:val="00C6702A"/>
    <w:rsid w:val="00C671F1"/>
    <w:rsid w:val="00C672E3"/>
    <w:rsid w:val="00C674F0"/>
    <w:rsid w:val="00C67524"/>
    <w:rsid w:val="00C67887"/>
    <w:rsid w:val="00C6788C"/>
    <w:rsid w:val="00C67A76"/>
    <w:rsid w:val="00C67D60"/>
    <w:rsid w:val="00C67EE3"/>
    <w:rsid w:val="00C67F27"/>
    <w:rsid w:val="00C70024"/>
    <w:rsid w:val="00C7084F"/>
    <w:rsid w:val="00C70874"/>
    <w:rsid w:val="00C708E3"/>
    <w:rsid w:val="00C7215C"/>
    <w:rsid w:val="00C7240D"/>
    <w:rsid w:val="00C7255A"/>
    <w:rsid w:val="00C72D59"/>
    <w:rsid w:val="00C72E57"/>
    <w:rsid w:val="00C734EB"/>
    <w:rsid w:val="00C738B9"/>
    <w:rsid w:val="00C73A37"/>
    <w:rsid w:val="00C73A74"/>
    <w:rsid w:val="00C73B12"/>
    <w:rsid w:val="00C73C69"/>
    <w:rsid w:val="00C74819"/>
    <w:rsid w:val="00C74D3D"/>
    <w:rsid w:val="00C7550D"/>
    <w:rsid w:val="00C757E0"/>
    <w:rsid w:val="00C75961"/>
    <w:rsid w:val="00C75EF6"/>
    <w:rsid w:val="00C762F6"/>
    <w:rsid w:val="00C7677D"/>
    <w:rsid w:val="00C76995"/>
    <w:rsid w:val="00C76BDA"/>
    <w:rsid w:val="00C76D70"/>
    <w:rsid w:val="00C7786D"/>
    <w:rsid w:val="00C803C8"/>
    <w:rsid w:val="00C80C19"/>
    <w:rsid w:val="00C81D9F"/>
    <w:rsid w:val="00C826D6"/>
    <w:rsid w:val="00C8276A"/>
    <w:rsid w:val="00C82790"/>
    <w:rsid w:val="00C8303A"/>
    <w:rsid w:val="00C831D0"/>
    <w:rsid w:val="00C83444"/>
    <w:rsid w:val="00C8371E"/>
    <w:rsid w:val="00C83F2E"/>
    <w:rsid w:val="00C84842"/>
    <w:rsid w:val="00C84F62"/>
    <w:rsid w:val="00C854F9"/>
    <w:rsid w:val="00C85B23"/>
    <w:rsid w:val="00C863C9"/>
    <w:rsid w:val="00C86748"/>
    <w:rsid w:val="00C868AD"/>
    <w:rsid w:val="00C871C2"/>
    <w:rsid w:val="00C87B15"/>
    <w:rsid w:val="00C87C00"/>
    <w:rsid w:val="00C904FB"/>
    <w:rsid w:val="00C905FD"/>
    <w:rsid w:val="00C9148D"/>
    <w:rsid w:val="00C91654"/>
    <w:rsid w:val="00C919AF"/>
    <w:rsid w:val="00C92104"/>
    <w:rsid w:val="00C926CD"/>
    <w:rsid w:val="00C9272F"/>
    <w:rsid w:val="00C934DC"/>
    <w:rsid w:val="00C93B28"/>
    <w:rsid w:val="00C940A2"/>
    <w:rsid w:val="00C9535D"/>
    <w:rsid w:val="00C95C98"/>
    <w:rsid w:val="00C96184"/>
    <w:rsid w:val="00C96364"/>
    <w:rsid w:val="00C963E6"/>
    <w:rsid w:val="00C96668"/>
    <w:rsid w:val="00C96F71"/>
    <w:rsid w:val="00C976D1"/>
    <w:rsid w:val="00C97815"/>
    <w:rsid w:val="00C97B52"/>
    <w:rsid w:val="00C97E38"/>
    <w:rsid w:val="00C97EB8"/>
    <w:rsid w:val="00CA0170"/>
    <w:rsid w:val="00CA045A"/>
    <w:rsid w:val="00CA0F19"/>
    <w:rsid w:val="00CA0F2F"/>
    <w:rsid w:val="00CA108D"/>
    <w:rsid w:val="00CA1312"/>
    <w:rsid w:val="00CA15B6"/>
    <w:rsid w:val="00CA164C"/>
    <w:rsid w:val="00CA1D25"/>
    <w:rsid w:val="00CA203D"/>
    <w:rsid w:val="00CA259F"/>
    <w:rsid w:val="00CA3073"/>
    <w:rsid w:val="00CA3C56"/>
    <w:rsid w:val="00CA4507"/>
    <w:rsid w:val="00CA454B"/>
    <w:rsid w:val="00CA4870"/>
    <w:rsid w:val="00CA4D81"/>
    <w:rsid w:val="00CA4DCB"/>
    <w:rsid w:val="00CA543D"/>
    <w:rsid w:val="00CA58A1"/>
    <w:rsid w:val="00CA6032"/>
    <w:rsid w:val="00CA6CB3"/>
    <w:rsid w:val="00CA6E94"/>
    <w:rsid w:val="00CA7DFA"/>
    <w:rsid w:val="00CB06C9"/>
    <w:rsid w:val="00CB0B95"/>
    <w:rsid w:val="00CB0E9F"/>
    <w:rsid w:val="00CB115D"/>
    <w:rsid w:val="00CB1B23"/>
    <w:rsid w:val="00CB1FC8"/>
    <w:rsid w:val="00CB2CBB"/>
    <w:rsid w:val="00CB37EA"/>
    <w:rsid w:val="00CB4200"/>
    <w:rsid w:val="00CB4411"/>
    <w:rsid w:val="00CB4B8E"/>
    <w:rsid w:val="00CB50FD"/>
    <w:rsid w:val="00CB5749"/>
    <w:rsid w:val="00CB5E5A"/>
    <w:rsid w:val="00CB64B0"/>
    <w:rsid w:val="00CB65BA"/>
    <w:rsid w:val="00CB6C4F"/>
    <w:rsid w:val="00CB6E25"/>
    <w:rsid w:val="00CB762D"/>
    <w:rsid w:val="00CB7762"/>
    <w:rsid w:val="00CB77F2"/>
    <w:rsid w:val="00CC1165"/>
    <w:rsid w:val="00CC1A62"/>
    <w:rsid w:val="00CC1A65"/>
    <w:rsid w:val="00CC1D2F"/>
    <w:rsid w:val="00CC23CD"/>
    <w:rsid w:val="00CC2AD1"/>
    <w:rsid w:val="00CC35FD"/>
    <w:rsid w:val="00CC37CF"/>
    <w:rsid w:val="00CC4255"/>
    <w:rsid w:val="00CC426C"/>
    <w:rsid w:val="00CC437F"/>
    <w:rsid w:val="00CC4BF6"/>
    <w:rsid w:val="00CC595C"/>
    <w:rsid w:val="00CC6032"/>
    <w:rsid w:val="00CC6707"/>
    <w:rsid w:val="00CC7B57"/>
    <w:rsid w:val="00CC7B85"/>
    <w:rsid w:val="00CD00B2"/>
    <w:rsid w:val="00CD0A15"/>
    <w:rsid w:val="00CD113F"/>
    <w:rsid w:val="00CD1389"/>
    <w:rsid w:val="00CD2540"/>
    <w:rsid w:val="00CD25CD"/>
    <w:rsid w:val="00CD2E6E"/>
    <w:rsid w:val="00CD3220"/>
    <w:rsid w:val="00CD32D2"/>
    <w:rsid w:val="00CD3FCA"/>
    <w:rsid w:val="00CD4329"/>
    <w:rsid w:val="00CD51C4"/>
    <w:rsid w:val="00CD5225"/>
    <w:rsid w:val="00CD609C"/>
    <w:rsid w:val="00CD65D5"/>
    <w:rsid w:val="00CD66F0"/>
    <w:rsid w:val="00CD6A65"/>
    <w:rsid w:val="00CD6FC1"/>
    <w:rsid w:val="00CD73CC"/>
    <w:rsid w:val="00CD74FF"/>
    <w:rsid w:val="00CD792B"/>
    <w:rsid w:val="00CD7A23"/>
    <w:rsid w:val="00CD7C79"/>
    <w:rsid w:val="00CE06B2"/>
    <w:rsid w:val="00CE0AB2"/>
    <w:rsid w:val="00CE0EAC"/>
    <w:rsid w:val="00CE13D9"/>
    <w:rsid w:val="00CE1B14"/>
    <w:rsid w:val="00CE1E31"/>
    <w:rsid w:val="00CE2ABA"/>
    <w:rsid w:val="00CE2B75"/>
    <w:rsid w:val="00CE2CDC"/>
    <w:rsid w:val="00CE338C"/>
    <w:rsid w:val="00CE389A"/>
    <w:rsid w:val="00CE3A4B"/>
    <w:rsid w:val="00CE3AE9"/>
    <w:rsid w:val="00CE42AA"/>
    <w:rsid w:val="00CE450B"/>
    <w:rsid w:val="00CE4AC8"/>
    <w:rsid w:val="00CE4C7F"/>
    <w:rsid w:val="00CE5800"/>
    <w:rsid w:val="00CE5E35"/>
    <w:rsid w:val="00CE63A7"/>
    <w:rsid w:val="00CE64E0"/>
    <w:rsid w:val="00CE6BDD"/>
    <w:rsid w:val="00CE6EA3"/>
    <w:rsid w:val="00CE7023"/>
    <w:rsid w:val="00CE7070"/>
    <w:rsid w:val="00CE7803"/>
    <w:rsid w:val="00CE7C78"/>
    <w:rsid w:val="00CE7F29"/>
    <w:rsid w:val="00CF023C"/>
    <w:rsid w:val="00CF0370"/>
    <w:rsid w:val="00CF089B"/>
    <w:rsid w:val="00CF0E00"/>
    <w:rsid w:val="00CF1554"/>
    <w:rsid w:val="00CF160E"/>
    <w:rsid w:val="00CF1D92"/>
    <w:rsid w:val="00CF25B0"/>
    <w:rsid w:val="00CF2625"/>
    <w:rsid w:val="00CF2690"/>
    <w:rsid w:val="00CF2D33"/>
    <w:rsid w:val="00CF3488"/>
    <w:rsid w:val="00CF388F"/>
    <w:rsid w:val="00CF3A50"/>
    <w:rsid w:val="00CF409E"/>
    <w:rsid w:val="00CF4131"/>
    <w:rsid w:val="00CF454D"/>
    <w:rsid w:val="00CF477E"/>
    <w:rsid w:val="00CF5356"/>
    <w:rsid w:val="00CF5C02"/>
    <w:rsid w:val="00CF5C06"/>
    <w:rsid w:val="00CF5CDF"/>
    <w:rsid w:val="00CF6949"/>
    <w:rsid w:val="00CF6FFE"/>
    <w:rsid w:val="00CF7242"/>
    <w:rsid w:val="00CF7590"/>
    <w:rsid w:val="00CF7A57"/>
    <w:rsid w:val="00CF7DB9"/>
    <w:rsid w:val="00D00044"/>
    <w:rsid w:val="00D005EF"/>
    <w:rsid w:val="00D009C8"/>
    <w:rsid w:val="00D01427"/>
    <w:rsid w:val="00D014DD"/>
    <w:rsid w:val="00D01C97"/>
    <w:rsid w:val="00D024A2"/>
    <w:rsid w:val="00D024E9"/>
    <w:rsid w:val="00D0270E"/>
    <w:rsid w:val="00D02980"/>
    <w:rsid w:val="00D02CB8"/>
    <w:rsid w:val="00D02D84"/>
    <w:rsid w:val="00D030AB"/>
    <w:rsid w:val="00D03252"/>
    <w:rsid w:val="00D033E7"/>
    <w:rsid w:val="00D038BE"/>
    <w:rsid w:val="00D03E09"/>
    <w:rsid w:val="00D04330"/>
    <w:rsid w:val="00D05867"/>
    <w:rsid w:val="00D05CA2"/>
    <w:rsid w:val="00D0609B"/>
    <w:rsid w:val="00D06136"/>
    <w:rsid w:val="00D06252"/>
    <w:rsid w:val="00D06C6C"/>
    <w:rsid w:val="00D06F9D"/>
    <w:rsid w:val="00D070A3"/>
    <w:rsid w:val="00D075FE"/>
    <w:rsid w:val="00D076D1"/>
    <w:rsid w:val="00D077D4"/>
    <w:rsid w:val="00D103D6"/>
    <w:rsid w:val="00D10A42"/>
    <w:rsid w:val="00D10BD0"/>
    <w:rsid w:val="00D10D0C"/>
    <w:rsid w:val="00D10F43"/>
    <w:rsid w:val="00D118D4"/>
    <w:rsid w:val="00D11C20"/>
    <w:rsid w:val="00D124EA"/>
    <w:rsid w:val="00D134D4"/>
    <w:rsid w:val="00D1351C"/>
    <w:rsid w:val="00D13731"/>
    <w:rsid w:val="00D13870"/>
    <w:rsid w:val="00D1390B"/>
    <w:rsid w:val="00D13A2E"/>
    <w:rsid w:val="00D14986"/>
    <w:rsid w:val="00D14AAD"/>
    <w:rsid w:val="00D14E06"/>
    <w:rsid w:val="00D1526E"/>
    <w:rsid w:val="00D1594E"/>
    <w:rsid w:val="00D15A2E"/>
    <w:rsid w:val="00D15AC4"/>
    <w:rsid w:val="00D15C99"/>
    <w:rsid w:val="00D1641C"/>
    <w:rsid w:val="00D1663E"/>
    <w:rsid w:val="00D1683E"/>
    <w:rsid w:val="00D16C38"/>
    <w:rsid w:val="00D17759"/>
    <w:rsid w:val="00D17BCE"/>
    <w:rsid w:val="00D20854"/>
    <w:rsid w:val="00D20CB4"/>
    <w:rsid w:val="00D20D96"/>
    <w:rsid w:val="00D20F30"/>
    <w:rsid w:val="00D20F31"/>
    <w:rsid w:val="00D211CD"/>
    <w:rsid w:val="00D21318"/>
    <w:rsid w:val="00D22147"/>
    <w:rsid w:val="00D22893"/>
    <w:rsid w:val="00D23323"/>
    <w:rsid w:val="00D239E4"/>
    <w:rsid w:val="00D24C19"/>
    <w:rsid w:val="00D24CE4"/>
    <w:rsid w:val="00D24ED1"/>
    <w:rsid w:val="00D2542F"/>
    <w:rsid w:val="00D255F4"/>
    <w:rsid w:val="00D256A2"/>
    <w:rsid w:val="00D265D5"/>
    <w:rsid w:val="00D27BF3"/>
    <w:rsid w:val="00D30B15"/>
    <w:rsid w:val="00D30C5D"/>
    <w:rsid w:val="00D3127A"/>
    <w:rsid w:val="00D3129F"/>
    <w:rsid w:val="00D31C74"/>
    <w:rsid w:val="00D3278A"/>
    <w:rsid w:val="00D32A0B"/>
    <w:rsid w:val="00D330C8"/>
    <w:rsid w:val="00D33C8E"/>
    <w:rsid w:val="00D33F52"/>
    <w:rsid w:val="00D34911"/>
    <w:rsid w:val="00D3496B"/>
    <w:rsid w:val="00D34996"/>
    <w:rsid w:val="00D3499E"/>
    <w:rsid w:val="00D34CDD"/>
    <w:rsid w:val="00D34DDF"/>
    <w:rsid w:val="00D34ECB"/>
    <w:rsid w:val="00D35131"/>
    <w:rsid w:val="00D3573A"/>
    <w:rsid w:val="00D35EA9"/>
    <w:rsid w:val="00D36337"/>
    <w:rsid w:val="00D3654E"/>
    <w:rsid w:val="00D36AAB"/>
    <w:rsid w:val="00D37456"/>
    <w:rsid w:val="00D37A17"/>
    <w:rsid w:val="00D37FAD"/>
    <w:rsid w:val="00D403E0"/>
    <w:rsid w:val="00D405DA"/>
    <w:rsid w:val="00D40E88"/>
    <w:rsid w:val="00D4165B"/>
    <w:rsid w:val="00D42C2A"/>
    <w:rsid w:val="00D42DF4"/>
    <w:rsid w:val="00D43334"/>
    <w:rsid w:val="00D44186"/>
    <w:rsid w:val="00D4448B"/>
    <w:rsid w:val="00D4449A"/>
    <w:rsid w:val="00D44821"/>
    <w:rsid w:val="00D44832"/>
    <w:rsid w:val="00D45068"/>
    <w:rsid w:val="00D4518D"/>
    <w:rsid w:val="00D45E03"/>
    <w:rsid w:val="00D460D2"/>
    <w:rsid w:val="00D46B40"/>
    <w:rsid w:val="00D46FD2"/>
    <w:rsid w:val="00D47051"/>
    <w:rsid w:val="00D472F0"/>
    <w:rsid w:val="00D47912"/>
    <w:rsid w:val="00D47A57"/>
    <w:rsid w:val="00D50315"/>
    <w:rsid w:val="00D50621"/>
    <w:rsid w:val="00D5079B"/>
    <w:rsid w:val="00D5086F"/>
    <w:rsid w:val="00D51A93"/>
    <w:rsid w:val="00D51C58"/>
    <w:rsid w:val="00D5201E"/>
    <w:rsid w:val="00D52BA7"/>
    <w:rsid w:val="00D52C82"/>
    <w:rsid w:val="00D52F01"/>
    <w:rsid w:val="00D549E2"/>
    <w:rsid w:val="00D55CA0"/>
    <w:rsid w:val="00D55D16"/>
    <w:rsid w:val="00D56EB5"/>
    <w:rsid w:val="00D571BE"/>
    <w:rsid w:val="00D571FF"/>
    <w:rsid w:val="00D57264"/>
    <w:rsid w:val="00D600FB"/>
    <w:rsid w:val="00D60C6C"/>
    <w:rsid w:val="00D612A7"/>
    <w:rsid w:val="00D615BD"/>
    <w:rsid w:val="00D61950"/>
    <w:rsid w:val="00D61EAC"/>
    <w:rsid w:val="00D62EFA"/>
    <w:rsid w:val="00D62F97"/>
    <w:rsid w:val="00D63861"/>
    <w:rsid w:val="00D63B6C"/>
    <w:rsid w:val="00D644CE"/>
    <w:rsid w:val="00D64749"/>
    <w:rsid w:val="00D64855"/>
    <w:rsid w:val="00D64906"/>
    <w:rsid w:val="00D64CB1"/>
    <w:rsid w:val="00D64ECE"/>
    <w:rsid w:val="00D6506E"/>
    <w:rsid w:val="00D65080"/>
    <w:rsid w:val="00D65808"/>
    <w:rsid w:val="00D65AF7"/>
    <w:rsid w:val="00D65DF1"/>
    <w:rsid w:val="00D6682B"/>
    <w:rsid w:val="00D66B43"/>
    <w:rsid w:val="00D671BD"/>
    <w:rsid w:val="00D67225"/>
    <w:rsid w:val="00D6773B"/>
    <w:rsid w:val="00D67B51"/>
    <w:rsid w:val="00D67F9E"/>
    <w:rsid w:val="00D7002A"/>
    <w:rsid w:val="00D701EF"/>
    <w:rsid w:val="00D702A0"/>
    <w:rsid w:val="00D7061D"/>
    <w:rsid w:val="00D70E52"/>
    <w:rsid w:val="00D7185A"/>
    <w:rsid w:val="00D718DC"/>
    <w:rsid w:val="00D71EF5"/>
    <w:rsid w:val="00D7219C"/>
    <w:rsid w:val="00D722F9"/>
    <w:rsid w:val="00D72896"/>
    <w:rsid w:val="00D72C86"/>
    <w:rsid w:val="00D74111"/>
    <w:rsid w:val="00D741C3"/>
    <w:rsid w:val="00D7465F"/>
    <w:rsid w:val="00D746DA"/>
    <w:rsid w:val="00D747C7"/>
    <w:rsid w:val="00D7496B"/>
    <w:rsid w:val="00D74A88"/>
    <w:rsid w:val="00D7504C"/>
    <w:rsid w:val="00D751A8"/>
    <w:rsid w:val="00D76339"/>
    <w:rsid w:val="00D76485"/>
    <w:rsid w:val="00D76E2F"/>
    <w:rsid w:val="00D77215"/>
    <w:rsid w:val="00D7749E"/>
    <w:rsid w:val="00D77540"/>
    <w:rsid w:val="00D775A8"/>
    <w:rsid w:val="00D779F0"/>
    <w:rsid w:val="00D77E1D"/>
    <w:rsid w:val="00D800D0"/>
    <w:rsid w:val="00D80869"/>
    <w:rsid w:val="00D821A3"/>
    <w:rsid w:val="00D828AA"/>
    <w:rsid w:val="00D829B7"/>
    <w:rsid w:val="00D8347B"/>
    <w:rsid w:val="00D83CC0"/>
    <w:rsid w:val="00D83DA9"/>
    <w:rsid w:val="00D84274"/>
    <w:rsid w:val="00D84646"/>
    <w:rsid w:val="00D84696"/>
    <w:rsid w:val="00D8478C"/>
    <w:rsid w:val="00D84B72"/>
    <w:rsid w:val="00D84C95"/>
    <w:rsid w:val="00D85050"/>
    <w:rsid w:val="00D85366"/>
    <w:rsid w:val="00D85783"/>
    <w:rsid w:val="00D857C7"/>
    <w:rsid w:val="00D857F1"/>
    <w:rsid w:val="00D85845"/>
    <w:rsid w:val="00D85C7F"/>
    <w:rsid w:val="00D85CC7"/>
    <w:rsid w:val="00D85E9B"/>
    <w:rsid w:val="00D85FA9"/>
    <w:rsid w:val="00D86F00"/>
    <w:rsid w:val="00D86F47"/>
    <w:rsid w:val="00D86FD6"/>
    <w:rsid w:val="00D8704D"/>
    <w:rsid w:val="00D871E9"/>
    <w:rsid w:val="00D87682"/>
    <w:rsid w:val="00D87872"/>
    <w:rsid w:val="00D87DE8"/>
    <w:rsid w:val="00D91DFF"/>
    <w:rsid w:val="00D91E0A"/>
    <w:rsid w:val="00D91E14"/>
    <w:rsid w:val="00D9207B"/>
    <w:rsid w:val="00D92267"/>
    <w:rsid w:val="00D928CB"/>
    <w:rsid w:val="00D92CC5"/>
    <w:rsid w:val="00D93DAD"/>
    <w:rsid w:val="00D93ECE"/>
    <w:rsid w:val="00D9409B"/>
    <w:rsid w:val="00D947E1"/>
    <w:rsid w:val="00D954B5"/>
    <w:rsid w:val="00D9559A"/>
    <w:rsid w:val="00D95D98"/>
    <w:rsid w:val="00D95FFA"/>
    <w:rsid w:val="00D960BF"/>
    <w:rsid w:val="00D96705"/>
    <w:rsid w:val="00D96B8B"/>
    <w:rsid w:val="00D96F0B"/>
    <w:rsid w:val="00D96F41"/>
    <w:rsid w:val="00D973BF"/>
    <w:rsid w:val="00D97851"/>
    <w:rsid w:val="00D97F28"/>
    <w:rsid w:val="00DA0230"/>
    <w:rsid w:val="00DA0EFD"/>
    <w:rsid w:val="00DA0F64"/>
    <w:rsid w:val="00DA16B8"/>
    <w:rsid w:val="00DA1B5B"/>
    <w:rsid w:val="00DA1E61"/>
    <w:rsid w:val="00DA22D9"/>
    <w:rsid w:val="00DA260C"/>
    <w:rsid w:val="00DA2745"/>
    <w:rsid w:val="00DA2B73"/>
    <w:rsid w:val="00DA2EDA"/>
    <w:rsid w:val="00DA3399"/>
    <w:rsid w:val="00DA3419"/>
    <w:rsid w:val="00DA3532"/>
    <w:rsid w:val="00DA3651"/>
    <w:rsid w:val="00DA366E"/>
    <w:rsid w:val="00DA3EBA"/>
    <w:rsid w:val="00DA4140"/>
    <w:rsid w:val="00DA4264"/>
    <w:rsid w:val="00DA4514"/>
    <w:rsid w:val="00DA4DAE"/>
    <w:rsid w:val="00DA4EB3"/>
    <w:rsid w:val="00DA5BD7"/>
    <w:rsid w:val="00DA5DCF"/>
    <w:rsid w:val="00DA6835"/>
    <w:rsid w:val="00DA6CB7"/>
    <w:rsid w:val="00DA6ECF"/>
    <w:rsid w:val="00DA75B3"/>
    <w:rsid w:val="00DA79CD"/>
    <w:rsid w:val="00DA7D8B"/>
    <w:rsid w:val="00DA7ED2"/>
    <w:rsid w:val="00DB0C68"/>
    <w:rsid w:val="00DB0FB9"/>
    <w:rsid w:val="00DB125C"/>
    <w:rsid w:val="00DB1344"/>
    <w:rsid w:val="00DB15B8"/>
    <w:rsid w:val="00DB29BD"/>
    <w:rsid w:val="00DB2C03"/>
    <w:rsid w:val="00DB2D45"/>
    <w:rsid w:val="00DB326E"/>
    <w:rsid w:val="00DB39DC"/>
    <w:rsid w:val="00DB3BDE"/>
    <w:rsid w:val="00DB40D9"/>
    <w:rsid w:val="00DB42E0"/>
    <w:rsid w:val="00DB4898"/>
    <w:rsid w:val="00DB4C02"/>
    <w:rsid w:val="00DB4C88"/>
    <w:rsid w:val="00DB50AE"/>
    <w:rsid w:val="00DB50B8"/>
    <w:rsid w:val="00DB59D1"/>
    <w:rsid w:val="00DB5B49"/>
    <w:rsid w:val="00DB5D1F"/>
    <w:rsid w:val="00DB7B2B"/>
    <w:rsid w:val="00DB7B98"/>
    <w:rsid w:val="00DC01EA"/>
    <w:rsid w:val="00DC039E"/>
    <w:rsid w:val="00DC045D"/>
    <w:rsid w:val="00DC0471"/>
    <w:rsid w:val="00DC19D9"/>
    <w:rsid w:val="00DC1C1D"/>
    <w:rsid w:val="00DC1D02"/>
    <w:rsid w:val="00DC1F2F"/>
    <w:rsid w:val="00DC21E6"/>
    <w:rsid w:val="00DC294E"/>
    <w:rsid w:val="00DC3383"/>
    <w:rsid w:val="00DC3AE1"/>
    <w:rsid w:val="00DC3C25"/>
    <w:rsid w:val="00DC46A3"/>
    <w:rsid w:val="00DC483F"/>
    <w:rsid w:val="00DC4A1A"/>
    <w:rsid w:val="00DC52E3"/>
    <w:rsid w:val="00DC539E"/>
    <w:rsid w:val="00DC59C0"/>
    <w:rsid w:val="00DC5C38"/>
    <w:rsid w:val="00DC5E68"/>
    <w:rsid w:val="00DC690C"/>
    <w:rsid w:val="00DC6D13"/>
    <w:rsid w:val="00DC6DAA"/>
    <w:rsid w:val="00DC711F"/>
    <w:rsid w:val="00DC72B0"/>
    <w:rsid w:val="00DC783F"/>
    <w:rsid w:val="00DC793F"/>
    <w:rsid w:val="00DC7D3E"/>
    <w:rsid w:val="00DC7DF4"/>
    <w:rsid w:val="00DD0899"/>
    <w:rsid w:val="00DD1559"/>
    <w:rsid w:val="00DD1BB1"/>
    <w:rsid w:val="00DD1F94"/>
    <w:rsid w:val="00DD2FA3"/>
    <w:rsid w:val="00DD3517"/>
    <w:rsid w:val="00DD3606"/>
    <w:rsid w:val="00DD3DBA"/>
    <w:rsid w:val="00DD3F2A"/>
    <w:rsid w:val="00DD4031"/>
    <w:rsid w:val="00DD435C"/>
    <w:rsid w:val="00DD45BF"/>
    <w:rsid w:val="00DD489B"/>
    <w:rsid w:val="00DD51D4"/>
    <w:rsid w:val="00DD5798"/>
    <w:rsid w:val="00DD5D65"/>
    <w:rsid w:val="00DD5DFB"/>
    <w:rsid w:val="00DD615F"/>
    <w:rsid w:val="00DD6741"/>
    <w:rsid w:val="00DD6A7B"/>
    <w:rsid w:val="00DD6B8F"/>
    <w:rsid w:val="00DD6CD8"/>
    <w:rsid w:val="00DD721E"/>
    <w:rsid w:val="00DD7E4D"/>
    <w:rsid w:val="00DE041A"/>
    <w:rsid w:val="00DE05B6"/>
    <w:rsid w:val="00DE1B24"/>
    <w:rsid w:val="00DE1B8C"/>
    <w:rsid w:val="00DE1BE1"/>
    <w:rsid w:val="00DE1C6B"/>
    <w:rsid w:val="00DE2839"/>
    <w:rsid w:val="00DE2DE0"/>
    <w:rsid w:val="00DE2E4B"/>
    <w:rsid w:val="00DE2FD2"/>
    <w:rsid w:val="00DE3174"/>
    <w:rsid w:val="00DE3235"/>
    <w:rsid w:val="00DE3552"/>
    <w:rsid w:val="00DE37F1"/>
    <w:rsid w:val="00DE3989"/>
    <w:rsid w:val="00DE42AB"/>
    <w:rsid w:val="00DE4B0B"/>
    <w:rsid w:val="00DE4C76"/>
    <w:rsid w:val="00DE4E3D"/>
    <w:rsid w:val="00DE51C6"/>
    <w:rsid w:val="00DE53AE"/>
    <w:rsid w:val="00DE57B2"/>
    <w:rsid w:val="00DE5D99"/>
    <w:rsid w:val="00DE5E77"/>
    <w:rsid w:val="00DE63F0"/>
    <w:rsid w:val="00DE67B4"/>
    <w:rsid w:val="00DE68AB"/>
    <w:rsid w:val="00DE6ADF"/>
    <w:rsid w:val="00DE76E2"/>
    <w:rsid w:val="00DF00CC"/>
    <w:rsid w:val="00DF0764"/>
    <w:rsid w:val="00DF0B4D"/>
    <w:rsid w:val="00DF0C51"/>
    <w:rsid w:val="00DF0F6C"/>
    <w:rsid w:val="00DF10ED"/>
    <w:rsid w:val="00DF2C6D"/>
    <w:rsid w:val="00DF332B"/>
    <w:rsid w:val="00DF38A8"/>
    <w:rsid w:val="00DF4D71"/>
    <w:rsid w:val="00DF4EAB"/>
    <w:rsid w:val="00DF539C"/>
    <w:rsid w:val="00DF57B0"/>
    <w:rsid w:val="00DF5B3F"/>
    <w:rsid w:val="00DF5BEC"/>
    <w:rsid w:val="00DF5C49"/>
    <w:rsid w:val="00DF6087"/>
    <w:rsid w:val="00DF6883"/>
    <w:rsid w:val="00DF71E6"/>
    <w:rsid w:val="00DF7E1F"/>
    <w:rsid w:val="00DF7FA8"/>
    <w:rsid w:val="00E00017"/>
    <w:rsid w:val="00E00B16"/>
    <w:rsid w:val="00E00C39"/>
    <w:rsid w:val="00E00FBE"/>
    <w:rsid w:val="00E0104F"/>
    <w:rsid w:val="00E01440"/>
    <w:rsid w:val="00E01671"/>
    <w:rsid w:val="00E016E0"/>
    <w:rsid w:val="00E018E1"/>
    <w:rsid w:val="00E01A0C"/>
    <w:rsid w:val="00E0218C"/>
    <w:rsid w:val="00E02427"/>
    <w:rsid w:val="00E02689"/>
    <w:rsid w:val="00E03680"/>
    <w:rsid w:val="00E03894"/>
    <w:rsid w:val="00E03986"/>
    <w:rsid w:val="00E042EB"/>
    <w:rsid w:val="00E046E2"/>
    <w:rsid w:val="00E04834"/>
    <w:rsid w:val="00E048E7"/>
    <w:rsid w:val="00E04B93"/>
    <w:rsid w:val="00E050CF"/>
    <w:rsid w:val="00E054E6"/>
    <w:rsid w:val="00E057A5"/>
    <w:rsid w:val="00E0588A"/>
    <w:rsid w:val="00E05BC3"/>
    <w:rsid w:val="00E06313"/>
    <w:rsid w:val="00E0644B"/>
    <w:rsid w:val="00E06599"/>
    <w:rsid w:val="00E06DA8"/>
    <w:rsid w:val="00E06EC1"/>
    <w:rsid w:val="00E06F30"/>
    <w:rsid w:val="00E075B2"/>
    <w:rsid w:val="00E07958"/>
    <w:rsid w:val="00E07BB9"/>
    <w:rsid w:val="00E07D02"/>
    <w:rsid w:val="00E07F40"/>
    <w:rsid w:val="00E10362"/>
    <w:rsid w:val="00E1103B"/>
    <w:rsid w:val="00E11149"/>
    <w:rsid w:val="00E114D6"/>
    <w:rsid w:val="00E117FF"/>
    <w:rsid w:val="00E1216E"/>
    <w:rsid w:val="00E128B1"/>
    <w:rsid w:val="00E12E07"/>
    <w:rsid w:val="00E12F7D"/>
    <w:rsid w:val="00E12FE8"/>
    <w:rsid w:val="00E13131"/>
    <w:rsid w:val="00E13381"/>
    <w:rsid w:val="00E13489"/>
    <w:rsid w:val="00E135AC"/>
    <w:rsid w:val="00E13BD9"/>
    <w:rsid w:val="00E13CB0"/>
    <w:rsid w:val="00E13E06"/>
    <w:rsid w:val="00E1430F"/>
    <w:rsid w:val="00E153CF"/>
    <w:rsid w:val="00E15497"/>
    <w:rsid w:val="00E1587B"/>
    <w:rsid w:val="00E15F35"/>
    <w:rsid w:val="00E1637E"/>
    <w:rsid w:val="00E16CBA"/>
    <w:rsid w:val="00E16DD9"/>
    <w:rsid w:val="00E16F82"/>
    <w:rsid w:val="00E174F3"/>
    <w:rsid w:val="00E17608"/>
    <w:rsid w:val="00E1766B"/>
    <w:rsid w:val="00E201A8"/>
    <w:rsid w:val="00E20560"/>
    <w:rsid w:val="00E205C3"/>
    <w:rsid w:val="00E2115B"/>
    <w:rsid w:val="00E2154B"/>
    <w:rsid w:val="00E21ACA"/>
    <w:rsid w:val="00E23B38"/>
    <w:rsid w:val="00E2509C"/>
    <w:rsid w:val="00E25444"/>
    <w:rsid w:val="00E254B4"/>
    <w:rsid w:val="00E25589"/>
    <w:rsid w:val="00E2664C"/>
    <w:rsid w:val="00E26714"/>
    <w:rsid w:val="00E269F4"/>
    <w:rsid w:val="00E26E64"/>
    <w:rsid w:val="00E27498"/>
    <w:rsid w:val="00E279EB"/>
    <w:rsid w:val="00E30145"/>
    <w:rsid w:val="00E3035C"/>
    <w:rsid w:val="00E3058D"/>
    <w:rsid w:val="00E30C2E"/>
    <w:rsid w:val="00E30E6E"/>
    <w:rsid w:val="00E311DD"/>
    <w:rsid w:val="00E31302"/>
    <w:rsid w:val="00E31B59"/>
    <w:rsid w:val="00E3239E"/>
    <w:rsid w:val="00E32BE1"/>
    <w:rsid w:val="00E3308A"/>
    <w:rsid w:val="00E33295"/>
    <w:rsid w:val="00E333D6"/>
    <w:rsid w:val="00E33716"/>
    <w:rsid w:val="00E3371B"/>
    <w:rsid w:val="00E33F99"/>
    <w:rsid w:val="00E33FCF"/>
    <w:rsid w:val="00E34968"/>
    <w:rsid w:val="00E34A5B"/>
    <w:rsid w:val="00E34E16"/>
    <w:rsid w:val="00E350B0"/>
    <w:rsid w:val="00E354F6"/>
    <w:rsid w:val="00E35751"/>
    <w:rsid w:val="00E35787"/>
    <w:rsid w:val="00E367B7"/>
    <w:rsid w:val="00E369C1"/>
    <w:rsid w:val="00E36CB4"/>
    <w:rsid w:val="00E36FA7"/>
    <w:rsid w:val="00E3768B"/>
    <w:rsid w:val="00E37C05"/>
    <w:rsid w:val="00E37E82"/>
    <w:rsid w:val="00E37EF3"/>
    <w:rsid w:val="00E40216"/>
    <w:rsid w:val="00E4052D"/>
    <w:rsid w:val="00E4084F"/>
    <w:rsid w:val="00E40CB3"/>
    <w:rsid w:val="00E41066"/>
    <w:rsid w:val="00E41C16"/>
    <w:rsid w:val="00E4214A"/>
    <w:rsid w:val="00E42573"/>
    <w:rsid w:val="00E425C9"/>
    <w:rsid w:val="00E4264E"/>
    <w:rsid w:val="00E42766"/>
    <w:rsid w:val="00E4291F"/>
    <w:rsid w:val="00E43AEC"/>
    <w:rsid w:val="00E43E77"/>
    <w:rsid w:val="00E43FC6"/>
    <w:rsid w:val="00E44337"/>
    <w:rsid w:val="00E4457B"/>
    <w:rsid w:val="00E445D2"/>
    <w:rsid w:val="00E4495C"/>
    <w:rsid w:val="00E449C8"/>
    <w:rsid w:val="00E44C90"/>
    <w:rsid w:val="00E44E9E"/>
    <w:rsid w:val="00E45BF8"/>
    <w:rsid w:val="00E45EA1"/>
    <w:rsid w:val="00E463BD"/>
    <w:rsid w:val="00E467CF"/>
    <w:rsid w:val="00E46ADF"/>
    <w:rsid w:val="00E46E1C"/>
    <w:rsid w:val="00E47B15"/>
    <w:rsid w:val="00E47BEC"/>
    <w:rsid w:val="00E50399"/>
    <w:rsid w:val="00E5039B"/>
    <w:rsid w:val="00E506C9"/>
    <w:rsid w:val="00E50763"/>
    <w:rsid w:val="00E50852"/>
    <w:rsid w:val="00E509BC"/>
    <w:rsid w:val="00E50CB8"/>
    <w:rsid w:val="00E51663"/>
    <w:rsid w:val="00E51769"/>
    <w:rsid w:val="00E5187B"/>
    <w:rsid w:val="00E51D43"/>
    <w:rsid w:val="00E5267D"/>
    <w:rsid w:val="00E529CC"/>
    <w:rsid w:val="00E52CE4"/>
    <w:rsid w:val="00E53015"/>
    <w:rsid w:val="00E532B8"/>
    <w:rsid w:val="00E54332"/>
    <w:rsid w:val="00E5433C"/>
    <w:rsid w:val="00E54782"/>
    <w:rsid w:val="00E54821"/>
    <w:rsid w:val="00E5503A"/>
    <w:rsid w:val="00E5554D"/>
    <w:rsid w:val="00E55573"/>
    <w:rsid w:val="00E555B1"/>
    <w:rsid w:val="00E559DE"/>
    <w:rsid w:val="00E55A13"/>
    <w:rsid w:val="00E56726"/>
    <w:rsid w:val="00E6007E"/>
    <w:rsid w:val="00E606C5"/>
    <w:rsid w:val="00E60916"/>
    <w:rsid w:val="00E61221"/>
    <w:rsid w:val="00E61FD6"/>
    <w:rsid w:val="00E621AD"/>
    <w:rsid w:val="00E6272C"/>
    <w:rsid w:val="00E63260"/>
    <w:rsid w:val="00E635A7"/>
    <w:rsid w:val="00E64591"/>
    <w:rsid w:val="00E64B78"/>
    <w:rsid w:val="00E65368"/>
    <w:rsid w:val="00E6589D"/>
    <w:rsid w:val="00E66198"/>
    <w:rsid w:val="00E66A37"/>
    <w:rsid w:val="00E66AFD"/>
    <w:rsid w:val="00E66DA8"/>
    <w:rsid w:val="00E6715C"/>
    <w:rsid w:val="00E67EFB"/>
    <w:rsid w:val="00E67F7C"/>
    <w:rsid w:val="00E70F0F"/>
    <w:rsid w:val="00E712F2"/>
    <w:rsid w:val="00E71827"/>
    <w:rsid w:val="00E7196B"/>
    <w:rsid w:val="00E721C1"/>
    <w:rsid w:val="00E72936"/>
    <w:rsid w:val="00E72B36"/>
    <w:rsid w:val="00E72FC8"/>
    <w:rsid w:val="00E736CB"/>
    <w:rsid w:val="00E73784"/>
    <w:rsid w:val="00E73A63"/>
    <w:rsid w:val="00E740ED"/>
    <w:rsid w:val="00E7413A"/>
    <w:rsid w:val="00E74ED9"/>
    <w:rsid w:val="00E74F73"/>
    <w:rsid w:val="00E75144"/>
    <w:rsid w:val="00E75257"/>
    <w:rsid w:val="00E758AC"/>
    <w:rsid w:val="00E7592D"/>
    <w:rsid w:val="00E75E85"/>
    <w:rsid w:val="00E75FBC"/>
    <w:rsid w:val="00E7640D"/>
    <w:rsid w:val="00E76C68"/>
    <w:rsid w:val="00E7707A"/>
    <w:rsid w:val="00E805F2"/>
    <w:rsid w:val="00E80964"/>
    <w:rsid w:val="00E8112D"/>
    <w:rsid w:val="00E813BD"/>
    <w:rsid w:val="00E81981"/>
    <w:rsid w:val="00E81B7B"/>
    <w:rsid w:val="00E81BA3"/>
    <w:rsid w:val="00E81BEC"/>
    <w:rsid w:val="00E8260E"/>
    <w:rsid w:val="00E82DF7"/>
    <w:rsid w:val="00E83A76"/>
    <w:rsid w:val="00E83AF6"/>
    <w:rsid w:val="00E842F1"/>
    <w:rsid w:val="00E84536"/>
    <w:rsid w:val="00E84D6F"/>
    <w:rsid w:val="00E84F92"/>
    <w:rsid w:val="00E853D1"/>
    <w:rsid w:val="00E85483"/>
    <w:rsid w:val="00E8564B"/>
    <w:rsid w:val="00E85949"/>
    <w:rsid w:val="00E85BC4"/>
    <w:rsid w:val="00E861FC"/>
    <w:rsid w:val="00E87B46"/>
    <w:rsid w:val="00E87FDC"/>
    <w:rsid w:val="00E87FE8"/>
    <w:rsid w:val="00E90591"/>
    <w:rsid w:val="00E90B68"/>
    <w:rsid w:val="00E90BA7"/>
    <w:rsid w:val="00E90C89"/>
    <w:rsid w:val="00E920AD"/>
    <w:rsid w:val="00E921F3"/>
    <w:rsid w:val="00E923A1"/>
    <w:rsid w:val="00E9244C"/>
    <w:rsid w:val="00E93226"/>
    <w:rsid w:val="00E945B8"/>
    <w:rsid w:val="00E949F0"/>
    <w:rsid w:val="00E94C4A"/>
    <w:rsid w:val="00E950DE"/>
    <w:rsid w:val="00E959EA"/>
    <w:rsid w:val="00E95A1E"/>
    <w:rsid w:val="00E96455"/>
    <w:rsid w:val="00E96659"/>
    <w:rsid w:val="00E96A7E"/>
    <w:rsid w:val="00E96AFA"/>
    <w:rsid w:val="00E96B6D"/>
    <w:rsid w:val="00E96FEE"/>
    <w:rsid w:val="00E9750B"/>
    <w:rsid w:val="00E9763E"/>
    <w:rsid w:val="00E976DD"/>
    <w:rsid w:val="00E97AA9"/>
    <w:rsid w:val="00E97BA1"/>
    <w:rsid w:val="00E97BDE"/>
    <w:rsid w:val="00EA029E"/>
    <w:rsid w:val="00EA02FE"/>
    <w:rsid w:val="00EA04FF"/>
    <w:rsid w:val="00EA06B7"/>
    <w:rsid w:val="00EA0E63"/>
    <w:rsid w:val="00EA101A"/>
    <w:rsid w:val="00EA105C"/>
    <w:rsid w:val="00EA12A5"/>
    <w:rsid w:val="00EA161D"/>
    <w:rsid w:val="00EA1668"/>
    <w:rsid w:val="00EA171D"/>
    <w:rsid w:val="00EA18A6"/>
    <w:rsid w:val="00EA1BBB"/>
    <w:rsid w:val="00EA207C"/>
    <w:rsid w:val="00EA21B6"/>
    <w:rsid w:val="00EA21EC"/>
    <w:rsid w:val="00EA232C"/>
    <w:rsid w:val="00EA2425"/>
    <w:rsid w:val="00EA2B1B"/>
    <w:rsid w:val="00EA2B71"/>
    <w:rsid w:val="00EA2B9B"/>
    <w:rsid w:val="00EA2C3A"/>
    <w:rsid w:val="00EA31FC"/>
    <w:rsid w:val="00EA36BA"/>
    <w:rsid w:val="00EA36F7"/>
    <w:rsid w:val="00EA390B"/>
    <w:rsid w:val="00EA3B02"/>
    <w:rsid w:val="00EA3D36"/>
    <w:rsid w:val="00EA4A5A"/>
    <w:rsid w:val="00EA4A7B"/>
    <w:rsid w:val="00EA4CFC"/>
    <w:rsid w:val="00EA5CAD"/>
    <w:rsid w:val="00EA6177"/>
    <w:rsid w:val="00EA62BD"/>
    <w:rsid w:val="00EA66D2"/>
    <w:rsid w:val="00EA67F3"/>
    <w:rsid w:val="00EA6D5F"/>
    <w:rsid w:val="00EA6EDB"/>
    <w:rsid w:val="00EA6FD0"/>
    <w:rsid w:val="00EA7346"/>
    <w:rsid w:val="00EA73F8"/>
    <w:rsid w:val="00EA75C2"/>
    <w:rsid w:val="00EA7966"/>
    <w:rsid w:val="00EA799E"/>
    <w:rsid w:val="00EA7F34"/>
    <w:rsid w:val="00EB0372"/>
    <w:rsid w:val="00EB040E"/>
    <w:rsid w:val="00EB0A86"/>
    <w:rsid w:val="00EB0AA3"/>
    <w:rsid w:val="00EB0DB7"/>
    <w:rsid w:val="00EB0DE2"/>
    <w:rsid w:val="00EB1F61"/>
    <w:rsid w:val="00EB1FB0"/>
    <w:rsid w:val="00EB228C"/>
    <w:rsid w:val="00EB251A"/>
    <w:rsid w:val="00EB2743"/>
    <w:rsid w:val="00EB2A9B"/>
    <w:rsid w:val="00EB2B6C"/>
    <w:rsid w:val="00EB2DCB"/>
    <w:rsid w:val="00EB3402"/>
    <w:rsid w:val="00EB3823"/>
    <w:rsid w:val="00EB38E2"/>
    <w:rsid w:val="00EB3EAF"/>
    <w:rsid w:val="00EB3F5D"/>
    <w:rsid w:val="00EB464E"/>
    <w:rsid w:val="00EB4832"/>
    <w:rsid w:val="00EB4FF4"/>
    <w:rsid w:val="00EB542A"/>
    <w:rsid w:val="00EB59C3"/>
    <w:rsid w:val="00EB5A3D"/>
    <w:rsid w:val="00EB5C67"/>
    <w:rsid w:val="00EB5EAA"/>
    <w:rsid w:val="00EB6630"/>
    <w:rsid w:val="00EB70ED"/>
    <w:rsid w:val="00EB7F3A"/>
    <w:rsid w:val="00EC00F4"/>
    <w:rsid w:val="00EC01AD"/>
    <w:rsid w:val="00EC0250"/>
    <w:rsid w:val="00EC056A"/>
    <w:rsid w:val="00EC0D02"/>
    <w:rsid w:val="00EC0E39"/>
    <w:rsid w:val="00EC0FE6"/>
    <w:rsid w:val="00EC14F4"/>
    <w:rsid w:val="00EC1BD8"/>
    <w:rsid w:val="00EC28DB"/>
    <w:rsid w:val="00EC291F"/>
    <w:rsid w:val="00EC2C23"/>
    <w:rsid w:val="00EC2DFA"/>
    <w:rsid w:val="00EC3025"/>
    <w:rsid w:val="00EC31F6"/>
    <w:rsid w:val="00EC3246"/>
    <w:rsid w:val="00EC3661"/>
    <w:rsid w:val="00EC39EB"/>
    <w:rsid w:val="00EC3AEC"/>
    <w:rsid w:val="00EC41F2"/>
    <w:rsid w:val="00EC42DB"/>
    <w:rsid w:val="00EC45B8"/>
    <w:rsid w:val="00EC467A"/>
    <w:rsid w:val="00EC46B6"/>
    <w:rsid w:val="00EC4825"/>
    <w:rsid w:val="00EC4967"/>
    <w:rsid w:val="00EC4D23"/>
    <w:rsid w:val="00EC4D3A"/>
    <w:rsid w:val="00EC4E11"/>
    <w:rsid w:val="00EC4F37"/>
    <w:rsid w:val="00EC5653"/>
    <w:rsid w:val="00EC58A1"/>
    <w:rsid w:val="00EC5EE8"/>
    <w:rsid w:val="00EC5F50"/>
    <w:rsid w:val="00EC6021"/>
    <w:rsid w:val="00EC6243"/>
    <w:rsid w:val="00EC6464"/>
    <w:rsid w:val="00EC70AD"/>
    <w:rsid w:val="00EC72A3"/>
    <w:rsid w:val="00ED0180"/>
    <w:rsid w:val="00ED0239"/>
    <w:rsid w:val="00ED05BE"/>
    <w:rsid w:val="00ED0922"/>
    <w:rsid w:val="00ED0E93"/>
    <w:rsid w:val="00ED0EC9"/>
    <w:rsid w:val="00ED1521"/>
    <w:rsid w:val="00ED2051"/>
    <w:rsid w:val="00ED2340"/>
    <w:rsid w:val="00ED23C3"/>
    <w:rsid w:val="00ED2762"/>
    <w:rsid w:val="00ED2A92"/>
    <w:rsid w:val="00ED32B3"/>
    <w:rsid w:val="00ED3791"/>
    <w:rsid w:val="00ED4216"/>
    <w:rsid w:val="00ED465C"/>
    <w:rsid w:val="00ED484E"/>
    <w:rsid w:val="00ED56B9"/>
    <w:rsid w:val="00ED680D"/>
    <w:rsid w:val="00ED6C68"/>
    <w:rsid w:val="00ED6D68"/>
    <w:rsid w:val="00ED7283"/>
    <w:rsid w:val="00EE0172"/>
    <w:rsid w:val="00EE0617"/>
    <w:rsid w:val="00EE0D48"/>
    <w:rsid w:val="00EE146F"/>
    <w:rsid w:val="00EE1B41"/>
    <w:rsid w:val="00EE1DBD"/>
    <w:rsid w:val="00EE218C"/>
    <w:rsid w:val="00EE2695"/>
    <w:rsid w:val="00EE2723"/>
    <w:rsid w:val="00EE2B21"/>
    <w:rsid w:val="00EE35BF"/>
    <w:rsid w:val="00EE360F"/>
    <w:rsid w:val="00EE3948"/>
    <w:rsid w:val="00EE3C93"/>
    <w:rsid w:val="00EE3FF5"/>
    <w:rsid w:val="00EE447F"/>
    <w:rsid w:val="00EE45E7"/>
    <w:rsid w:val="00EE48EF"/>
    <w:rsid w:val="00EE4A2F"/>
    <w:rsid w:val="00EE4B80"/>
    <w:rsid w:val="00EE50AA"/>
    <w:rsid w:val="00EE5104"/>
    <w:rsid w:val="00EE5D0E"/>
    <w:rsid w:val="00EE61ED"/>
    <w:rsid w:val="00EE62D2"/>
    <w:rsid w:val="00EE637B"/>
    <w:rsid w:val="00EE713D"/>
    <w:rsid w:val="00EE71AE"/>
    <w:rsid w:val="00EE77E9"/>
    <w:rsid w:val="00EE7ADB"/>
    <w:rsid w:val="00EE7E44"/>
    <w:rsid w:val="00EF0114"/>
    <w:rsid w:val="00EF0475"/>
    <w:rsid w:val="00EF098A"/>
    <w:rsid w:val="00EF0DC0"/>
    <w:rsid w:val="00EF0DC2"/>
    <w:rsid w:val="00EF0E83"/>
    <w:rsid w:val="00EF205C"/>
    <w:rsid w:val="00EF2522"/>
    <w:rsid w:val="00EF27E8"/>
    <w:rsid w:val="00EF4465"/>
    <w:rsid w:val="00EF48D0"/>
    <w:rsid w:val="00EF4AAB"/>
    <w:rsid w:val="00EF4EA1"/>
    <w:rsid w:val="00EF5034"/>
    <w:rsid w:val="00EF58D7"/>
    <w:rsid w:val="00EF5BDD"/>
    <w:rsid w:val="00EF5EC2"/>
    <w:rsid w:val="00EF600E"/>
    <w:rsid w:val="00EF62FD"/>
    <w:rsid w:val="00EF66CF"/>
    <w:rsid w:val="00EF66F8"/>
    <w:rsid w:val="00EF6CE0"/>
    <w:rsid w:val="00EF6F0A"/>
    <w:rsid w:val="00EF7031"/>
    <w:rsid w:val="00EF74BB"/>
    <w:rsid w:val="00EF759A"/>
    <w:rsid w:val="00EF7C4D"/>
    <w:rsid w:val="00EF7E3E"/>
    <w:rsid w:val="00F0006B"/>
    <w:rsid w:val="00F00147"/>
    <w:rsid w:val="00F001DD"/>
    <w:rsid w:val="00F0094B"/>
    <w:rsid w:val="00F01824"/>
    <w:rsid w:val="00F01DFE"/>
    <w:rsid w:val="00F0275F"/>
    <w:rsid w:val="00F028BF"/>
    <w:rsid w:val="00F029E0"/>
    <w:rsid w:val="00F02F43"/>
    <w:rsid w:val="00F04C94"/>
    <w:rsid w:val="00F04F75"/>
    <w:rsid w:val="00F05682"/>
    <w:rsid w:val="00F06EB5"/>
    <w:rsid w:val="00F0752E"/>
    <w:rsid w:val="00F077E4"/>
    <w:rsid w:val="00F07B4F"/>
    <w:rsid w:val="00F10311"/>
    <w:rsid w:val="00F108BA"/>
    <w:rsid w:val="00F10BD9"/>
    <w:rsid w:val="00F1159C"/>
    <w:rsid w:val="00F11936"/>
    <w:rsid w:val="00F11B25"/>
    <w:rsid w:val="00F1221B"/>
    <w:rsid w:val="00F122A2"/>
    <w:rsid w:val="00F12B25"/>
    <w:rsid w:val="00F130AA"/>
    <w:rsid w:val="00F13134"/>
    <w:rsid w:val="00F1337A"/>
    <w:rsid w:val="00F133DC"/>
    <w:rsid w:val="00F13D0F"/>
    <w:rsid w:val="00F13D57"/>
    <w:rsid w:val="00F13E5F"/>
    <w:rsid w:val="00F13F4D"/>
    <w:rsid w:val="00F14376"/>
    <w:rsid w:val="00F149A8"/>
    <w:rsid w:val="00F15124"/>
    <w:rsid w:val="00F151F3"/>
    <w:rsid w:val="00F15A3B"/>
    <w:rsid w:val="00F15B70"/>
    <w:rsid w:val="00F15BA1"/>
    <w:rsid w:val="00F1637A"/>
    <w:rsid w:val="00F16532"/>
    <w:rsid w:val="00F1675C"/>
    <w:rsid w:val="00F16A9F"/>
    <w:rsid w:val="00F16C6A"/>
    <w:rsid w:val="00F16D46"/>
    <w:rsid w:val="00F2097B"/>
    <w:rsid w:val="00F20AD3"/>
    <w:rsid w:val="00F20BDA"/>
    <w:rsid w:val="00F210B9"/>
    <w:rsid w:val="00F21156"/>
    <w:rsid w:val="00F2135A"/>
    <w:rsid w:val="00F21708"/>
    <w:rsid w:val="00F217BC"/>
    <w:rsid w:val="00F219AF"/>
    <w:rsid w:val="00F22818"/>
    <w:rsid w:val="00F228CA"/>
    <w:rsid w:val="00F2296D"/>
    <w:rsid w:val="00F235B3"/>
    <w:rsid w:val="00F23773"/>
    <w:rsid w:val="00F23B35"/>
    <w:rsid w:val="00F23F66"/>
    <w:rsid w:val="00F244BA"/>
    <w:rsid w:val="00F24831"/>
    <w:rsid w:val="00F25308"/>
    <w:rsid w:val="00F25425"/>
    <w:rsid w:val="00F256DD"/>
    <w:rsid w:val="00F257A0"/>
    <w:rsid w:val="00F25CB4"/>
    <w:rsid w:val="00F26074"/>
    <w:rsid w:val="00F26090"/>
    <w:rsid w:val="00F26811"/>
    <w:rsid w:val="00F26A18"/>
    <w:rsid w:val="00F26D01"/>
    <w:rsid w:val="00F26E16"/>
    <w:rsid w:val="00F27644"/>
    <w:rsid w:val="00F27FA6"/>
    <w:rsid w:val="00F300BF"/>
    <w:rsid w:val="00F30318"/>
    <w:rsid w:val="00F30775"/>
    <w:rsid w:val="00F30D7C"/>
    <w:rsid w:val="00F30FF3"/>
    <w:rsid w:val="00F3146D"/>
    <w:rsid w:val="00F31482"/>
    <w:rsid w:val="00F316EB"/>
    <w:rsid w:val="00F32053"/>
    <w:rsid w:val="00F32088"/>
    <w:rsid w:val="00F32C9D"/>
    <w:rsid w:val="00F33488"/>
    <w:rsid w:val="00F338AD"/>
    <w:rsid w:val="00F33AA3"/>
    <w:rsid w:val="00F33AC7"/>
    <w:rsid w:val="00F33C28"/>
    <w:rsid w:val="00F33CD9"/>
    <w:rsid w:val="00F34945"/>
    <w:rsid w:val="00F35493"/>
    <w:rsid w:val="00F3560B"/>
    <w:rsid w:val="00F35826"/>
    <w:rsid w:val="00F35E0D"/>
    <w:rsid w:val="00F35E60"/>
    <w:rsid w:val="00F36C6D"/>
    <w:rsid w:val="00F37468"/>
    <w:rsid w:val="00F37AC5"/>
    <w:rsid w:val="00F37ADD"/>
    <w:rsid w:val="00F37AFC"/>
    <w:rsid w:val="00F37C2B"/>
    <w:rsid w:val="00F411A5"/>
    <w:rsid w:val="00F4155E"/>
    <w:rsid w:val="00F417F2"/>
    <w:rsid w:val="00F41D59"/>
    <w:rsid w:val="00F41EBE"/>
    <w:rsid w:val="00F420CA"/>
    <w:rsid w:val="00F42104"/>
    <w:rsid w:val="00F422E8"/>
    <w:rsid w:val="00F424BE"/>
    <w:rsid w:val="00F424FB"/>
    <w:rsid w:val="00F431B2"/>
    <w:rsid w:val="00F43587"/>
    <w:rsid w:val="00F438FD"/>
    <w:rsid w:val="00F43BA5"/>
    <w:rsid w:val="00F440F1"/>
    <w:rsid w:val="00F443B7"/>
    <w:rsid w:val="00F444C5"/>
    <w:rsid w:val="00F45A78"/>
    <w:rsid w:val="00F46365"/>
    <w:rsid w:val="00F4686B"/>
    <w:rsid w:val="00F469CE"/>
    <w:rsid w:val="00F469E3"/>
    <w:rsid w:val="00F474EC"/>
    <w:rsid w:val="00F47C05"/>
    <w:rsid w:val="00F502BD"/>
    <w:rsid w:val="00F50C9E"/>
    <w:rsid w:val="00F51447"/>
    <w:rsid w:val="00F51552"/>
    <w:rsid w:val="00F517A6"/>
    <w:rsid w:val="00F5189E"/>
    <w:rsid w:val="00F51F15"/>
    <w:rsid w:val="00F524BA"/>
    <w:rsid w:val="00F529A6"/>
    <w:rsid w:val="00F52AC4"/>
    <w:rsid w:val="00F52CCF"/>
    <w:rsid w:val="00F533F8"/>
    <w:rsid w:val="00F534F6"/>
    <w:rsid w:val="00F53E57"/>
    <w:rsid w:val="00F53FFF"/>
    <w:rsid w:val="00F540DE"/>
    <w:rsid w:val="00F54446"/>
    <w:rsid w:val="00F5461B"/>
    <w:rsid w:val="00F5462D"/>
    <w:rsid w:val="00F54773"/>
    <w:rsid w:val="00F54FA6"/>
    <w:rsid w:val="00F55107"/>
    <w:rsid w:val="00F55221"/>
    <w:rsid w:val="00F55ACE"/>
    <w:rsid w:val="00F5604F"/>
    <w:rsid w:val="00F56947"/>
    <w:rsid w:val="00F56AC6"/>
    <w:rsid w:val="00F56DA2"/>
    <w:rsid w:val="00F57016"/>
    <w:rsid w:val="00F571AE"/>
    <w:rsid w:val="00F57262"/>
    <w:rsid w:val="00F57410"/>
    <w:rsid w:val="00F574C7"/>
    <w:rsid w:val="00F60306"/>
    <w:rsid w:val="00F608D3"/>
    <w:rsid w:val="00F609C4"/>
    <w:rsid w:val="00F6131D"/>
    <w:rsid w:val="00F613D6"/>
    <w:rsid w:val="00F62027"/>
    <w:rsid w:val="00F620EE"/>
    <w:rsid w:val="00F622A1"/>
    <w:rsid w:val="00F62E04"/>
    <w:rsid w:val="00F6334F"/>
    <w:rsid w:val="00F639D0"/>
    <w:rsid w:val="00F64081"/>
    <w:rsid w:val="00F642EF"/>
    <w:rsid w:val="00F6431E"/>
    <w:rsid w:val="00F64634"/>
    <w:rsid w:val="00F64C1D"/>
    <w:rsid w:val="00F64DBE"/>
    <w:rsid w:val="00F65393"/>
    <w:rsid w:val="00F65461"/>
    <w:rsid w:val="00F658B0"/>
    <w:rsid w:val="00F6598E"/>
    <w:rsid w:val="00F6609B"/>
    <w:rsid w:val="00F66101"/>
    <w:rsid w:val="00F6688C"/>
    <w:rsid w:val="00F67381"/>
    <w:rsid w:val="00F673A9"/>
    <w:rsid w:val="00F67885"/>
    <w:rsid w:val="00F67BD0"/>
    <w:rsid w:val="00F67C9A"/>
    <w:rsid w:val="00F67CA0"/>
    <w:rsid w:val="00F70959"/>
    <w:rsid w:val="00F71354"/>
    <w:rsid w:val="00F71AB6"/>
    <w:rsid w:val="00F71ABB"/>
    <w:rsid w:val="00F71CE3"/>
    <w:rsid w:val="00F7247E"/>
    <w:rsid w:val="00F72577"/>
    <w:rsid w:val="00F72B3E"/>
    <w:rsid w:val="00F72DAD"/>
    <w:rsid w:val="00F734B9"/>
    <w:rsid w:val="00F73767"/>
    <w:rsid w:val="00F73AF2"/>
    <w:rsid w:val="00F73D1A"/>
    <w:rsid w:val="00F73E3C"/>
    <w:rsid w:val="00F74143"/>
    <w:rsid w:val="00F742FE"/>
    <w:rsid w:val="00F74730"/>
    <w:rsid w:val="00F74DE9"/>
    <w:rsid w:val="00F75188"/>
    <w:rsid w:val="00F75C05"/>
    <w:rsid w:val="00F7613B"/>
    <w:rsid w:val="00F76633"/>
    <w:rsid w:val="00F7706D"/>
    <w:rsid w:val="00F77547"/>
    <w:rsid w:val="00F77AF0"/>
    <w:rsid w:val="00F77CD5"/>
    <w:rsid w:val="00F77DF2"/>
    <w:rsid w:val="00F803C2"/>
    <w:rsid w:val="00F808CE"/>
    <w:rsid w:val="00F809D2"/>
    <w:rsid w:val="00F80BA3"/>
    <w:rsid w:val="00F80D1C"/>
    <w:rsid w:val="00F80F62"/>
    <w:rsid w:val="00F811ED"/>
    <w:rsid w:val="00F81359"/>
    <w:rsid w:val="00F81DDA"/>
    <w:rsid w:val="00F82CAD"/>
    <w:rsid w:val="00F8303A"/>
    <w:rsid w:val="00F830EC"/>
    <w:rsid w:val="00F8312E"/>
    <w:rsid w:val="00F833BD"/>
    <w:rsid w:val="00F8350D"/>
    <w:rsid w:val="00F8387E"/>
    <w:rsid w:val="00F83AD7"/>
    <w:rsid w:val="00F841D4"/>
    <w:rsid w:val="00F84A0C"/>
    <w:rsid w:val="00F84FF0"/>
    <w:rsid w:val="00F8518A"/>
    <w:rsid w:val="00F85346"/>
    <w:rsid w:val="00F85F30"/>
    <w:rsid w:val="00F861E2"/>
    <w:rsid w:val="00F86281"/>
    <w:rsid w:val="00F86646"/>
    <w:rsid w:val="00F86BAE"/>
    <w:rsid w:val="00F8720D"/>
    <w:rsid w:val="00F87B23"/>
    <w:rsid w:val="00F87B3D"/>
    <w:rsid w:val="00F87B95"/>
    <w:rsid w:val="00F90138"/>
    <w:rsid w:val="00F902ED"/>
    <w:rsid w:val="00F907AE"/>
    <w:rsid w:val="00F907CF"/>
    <w:rsid w:val="00F919B0"/>
    <w:rsid w:val="00F91B87"/>
    <w:rsid w:val="00F91C4F"/>
    <w:rsid w:val="00F9204B"/>
    <w:rsid w:val="00F92611"/>
    <w:rsid w:val="00F92AAB"/>
    <w:rsid w:val="00F930EB"/>
    <w:rsid w:val="00F93170"/>
    <w:rsid w:val="00F9345A"/>
    <w:rsid w:val="00F937BC"/>
    <w:rsid w:val="00F937CD"/>
    <w:rsid w:val="00F93A5D"/>
    <w:rsid w:val="00F93B3E"/>
    <w:rsid w:val="00F94005"/>
    <w:rsid w:val="00F940CA"/>
    <w:rsid w:val="00F941AB"/>
    <w:rsid w:val="00F94412"/>
    <w:rsid w:val="00F94D47"/>
    <w:rsid w:val="00F94E1C"/>
    <w:rsid w:val="00F95703"/>
    <w:rsid w:val="00F95AA1"/>
    <w:rsid w:val="00F96205"/>
    <w:rsid w:val="00F9636A"/>
    <w:rsid w:val="00F96965"/>
    <w:rsid w:val="00F96A38"/>
    <w:rsid w:val="00F96D99"/>
    <w:rsid w:val="00F972F2"/>
    <w:rsid w:val="00F975E4"/>
    <w:rsid w:val="00F9775D"/>
    <w:rsid w:val="00F979BB"/>
    <w:rsid w:val="00F97F26"/>
    <w:rsid w:val="00F97F72"/>
    <w:rsid w:val="00FA05C6"/>
    <w:rsid w:val="00FA0600"/>
    <w:rsid w:val="00FA0932"/>
    <w:rsid w:val="00FA0937"/>
    <w:rsid w:val="00FA0A92"/>
    <w:rsid w:val="00FA0FD6"/>
    <w:rsid w:val="00FA13E9"/>
    <w:rsid w:val="00FA16D0"/>
    <w:rsid w:val="00FA175E"/>
    <w:rsid w:val="00FA1766"/>
    <w:rsid w:val="00FA1D11"/>
    <w:rsid w:val="00FA21DE"/>
    <w:rsid w:val="00FA3093"/>
    <w:rsid w:val="00FA32E2"/>
    <w:rsid w:val="00FA3716"/>
    <w:rsid w:val="00FA3753"/>
    <w:rsid w:val="00FA3795"/>
    <w:rsid w:val="00FA393B"/>
    <w:rsid w:val="00FA39CB"/>
    <w:rsid w:val="00FA3C03"/>
    <w:rsid w:val="00FA4386"/>
    <w:rsid w:val="00FA5345"/>
    <w:rsid w:val="00FA5995"/>
    <w:rsid w:val="00FA5A25"/>
    <w:rsid w:val="00FA647E"/>
    <w:rsid w:val="00FA77CF"/>
    <w:rsid w:val="00FA7B3E"/>
    <w:rsid w:val="00FB0BCF"/>
    <w:rsid w:val="00FB0F8C"/>
    <w:rsid w:val="00FB1C22"/>
    <w:rsid w:val="00FB225B"/>
    <w:rsid w:val="00FB2C58"/>
    <w:rsid w:val="00FB3471"/>
    <w:rsid w:val="00FB3498"/>
    <w:rsid w:val="00FB4712"/>
    <w:rsid w:val="00FB4FC6"/>
    <w:rsid w:val="00FB5102"/>
    <w:rsid w:val="00FB5656"/>
    <w:rsid w:val="00FB57E2"/>
    <w:rsid w:val="00FB62CE"/>
    <w:rsid w:val="00FB62ED"/>
    <w:rsid w:val="00FB7E0C"/>
    <w:rsid w:val="00FB7E91"/>
    <w:rsid w:val="00FB7F3D"/>
    <w:rsid w:val="00FC0034"/>
    <w:rsid w:val="00FC07B7"/>
    <w:rsid w:val="00FC0A97"/>
    <w:rsid w:val="00FC0BFF"/>
    <w:rsid w:val="00FC0D16"/>
    <w:rsid w:val="00FC1089"/>
    <w:rsid w:val="00FC13DC"/>
    <w:rsid w:val="00FC16AA"/>
    <w:rsid w:val="00FC1A53"/>
    <w:rsid w:val="00FC1AE2"/>
    <w:rsid w:val="00FC1CB6"/>
    <w:rsid w:val="00FC1DDD"/>
    <w:rsid w:val="00FC1E59"/>
    <w:rsid w:val="00FC2185"/>
    <w:rsid w:val="00FC2616"/>
    <w:rsid w:val="00FC2915"/>
    <w:rsid w:val="00FC2916"/>
    <w:rsid w:val="00FC2B40"/>
    <w:rsid w:val="00FC2F80"/>
    <w:rsid w:val="00FC311D"/>
    <w:rsid w:val="00FC3C91"/>
    <w:rsid w:val="00FC3F42"/>
    <w:rsid w:val="00FC4D7C"/>
    <w:rsid w:val="00FC4E81"/>
    <w:rsid w:val="00FC514E"/>
    <w:rsid w:val="00FC5521"/>
    <w:rsid w:val="00FC5B50"/>
    <w:rsid w:val="00FC713F"/>
    <w:rsid w:val="00FC75DA"/>
    <w:rsid w:val="00FC780B"/>
    <w:rsid w:val="00FC79CD"/>
    <w:rsid w:val="00FC7E5E"/>
    <w:rsid w:val="00FD03EA"/>
    <w:rsid w:val="00FD0596"/>
    <w:rsid w:val="00FD06A6"/>
    <w:rsid w:val="00FD0A1C"/>
    <w:rsid w:val="00FD0B84"/>
    <w:rsid w:val="00FD0F6D"/>
    <w:rsid w:val="00FD18DE"/>
    <w:rsid w:val="00FD1C58"/>
    <w:rsid w:val="00FD2854"/>
    <w:rsid w:val="00FD2E88"/>
    <w:rsid w:val="00FD33A5"/>
    <w:rsid w:val="00FD413F"/>
    <w:rsid w:val="00FD4466"/>
    <w:rsid w:val="00FD45C5"/>
    <w:rsid w:val="00FD4DFB"/>
    <w:rsid w:val="00FD5137"/>
    <w:rsid w:val="00FD5EC1"/>
    <w:rsid w:val="00FD5F50"/>
    <w:rsid w:val="00FD64B5"/>
    <w:rsid w:val="00FD65E4"/>
    <w:rsid w:val="00FD6C7A"/>
    <w:rsid w:val="00FD7615"/>
    <w:rsid w:val="00FD77DA"/>
    <w:rsid w:val="00FE07BF"/>
    <w:rsid w:val="00FE0875"/>
    <w:rsid w:val="00FE0FC2"/>
    <w:rsid w:val="00FE1D7A"/>
    <w:rsid w:val="00FE25D9"/>
    <w:rsid w:val="00FE348A"/>
    <w:rsid w:val="00FE37D6"/>
    <w:rsid w:val="00FE414D"/>
    <w:rsid w:val="00FE4715"/>
    <w:rsid w:val="00FE47D2"/>
    <w:rsid w:val="00FE4E53"/>
    <w:rsid w:val="00FE5309"/>
    <w:rsid w:val="00FE5917"/>
    <w:rsid w:val="00FE5CDF"/>
    <w:rsid w:val="00FE6383"/>
    <w:rsid w:val="00FE643D"/>
    <w:rsid w:val="00FE6788"/>
    <w:rsid w:val="00FE692D"/>
    <w:rsid w:val="00FE6B26"/>
    <w:rsid w:val="00FE6E0D"/>
    <w:rsid w:val="00FE6F77"/>
    <w:rsid w:val="00FE70BB"/>
    <w:rsid w:val="00FE7B64"/>
    <w:rsid w:val="00FF023F"/>
    <w:rsid w:val="00FF036F"/>
    <w:rsid w:val="00FF04A9"/>
    <w:rsid w:val="00FF04C4"/>
    <w:rsid w:val="00FF0849"/>
    <w:rsid w:val="00FF0964"/>
    <w:rsid w:val="00FF0DC1"/>
    <w:rsid w:val="00FF0F1C"/>
    <w:rsid w:val="00FF12FC"/>
    <w:rsid w:val="00FF1D80"/>
    <w:rsid w:val="00FF1EC8"/>
    <w:rsid w:val="00FF1FD3"/>
    <w:rsid w:val="00FF23D3"/>
    <w:rsid w:val="00FF24BE"/>
    <w:rsid w:val="00FF2B18"/>
    <w:rsid w:val="00FF3128"/>
    <w:rsid w:val="00FF3273"/>
    <w:rsid w:val="00FF3294"/>
    <w:rsid w:val="00FF361E"/>
    <w:rsid w:val="00FF380F"/>
    <w:rsid w:val="00FF39E6"/>
    <w:rsid w:val="00FF3E75"/>
    <w:rsid w:val="00FF44A2"/>
    <w:rsid w:val="00FF44F9"/>
    <w:rsid w:val="00FF4B17"/>
    <w:rsid w:val="00FF4C66"/>
    <w:rsid w:val="00FF509C"/>
    <w:rsid w:val="00FF513E"/>
    <w:rsid w:val="00FF5894"/>
    <w:rsid w:val="00FF5AAA"/>
    <w:rsid w:val="00FF5FA2"/>
    <w:rsid w:val="00FF6868"/>
    <w:rsid w:val="00FF6CCC"/>
    <w:rsid w:val="00FF6CF6"/>
    <w:rsid w:val="00FF6D2D"/>
    <w:rsid w:val="00FF75DA"/>
    <w:rsid w:val="0FD668CB"/>
    <w:rsid w:val="17486A07"/>
    <w:rsid w:val="18689DA5"/>
    <w:rsid w:val="1E43C12A"/>
    <w:rsid w:val="1EF25A5D"/>
    <w:rsid w:val="28DBC8B0"/>
    <w:rsid w:val="2F372A46"/>
    <w:rsid w:val="2F6BD435"/>
    <w:rsid w:val="2F77B64B"/>
    <w:rsid w:val="32043885"/>
    <w:rsid w:val="383CB726"/>
    <w:rsid w:val="39E1214F"/>
    <w:rsid w:val="3D4EAE98"/>
    <w:rsid w:val="40379447"/>
    <w:rsid w:val="430BDA68"/>
    <w:rsid w:val="43F951E4"/>
    <w:rsid w:val="454445D1"/>
    <w:rsid w:val="49616D4E"/>
    <w:rsid w:val="4BBC8E89"/>
    <w:rsid w:val="4BBE5979"/>
    <w:rsid w:val="522F8617"/>
    <w:rsid w:val="54693802"/>
    <w:rsid w:val="6CC2ECFB"/>
    <w:rsid w:val="76AEA80C"/>
    <w:rsid w:val="7928347D"/>
    <w:rsid w:val="7A75108C"/>
    <w:rsid w:val="7D0B2A3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945B1"/>
  <w15:docId w15:val="{00BCCB8D-8E72-451E-A016-1DC5084B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5" w:unhideWhenUsed="1" w:qFormat="1"/>
    <w:lsdException w:name="heading 7" w:semiHidden="1" w:uiPriority="6" w:qFormat="1"/>
    <w:lsdException w:name="heading 8" w:semiHidden="1" w:uiPriority="7" w:qFormat="1"/>
    <w:lsdException w:name="heading 9" w:semiHidden="1"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iPriority="49"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nhideWhenUsed="1" w:qFormat="1"/>
    <w:lsdException w:name="Body Text 3" w:qFormat="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49" w:unhideWhenUsed="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84B"/>
  </w:style>
  <w:style w:type="paragraph" w:styleId="Heading1">
    <w:name w:val="heading 1"/>
    <w:basedOn w:val="Normal"/>
    <w:next w:val="BodyText1"/>
    <w:link w:val="Heading1Char"/>
    <w:qFormat/>
    <w:rsid w:val="00680579"/>
    <w:pPr>
      <w:keepNext/>
      <w:spacing w:before="120" w:after="360"/>
      <w:outlineLvl w:val="0"/>
    </w:pPr>
    <w:rPr>
      <w:rFonts w:asciiTheme="majorHAnsi" w:hAnsiTheme="majorHAnsi"/>
      <w:b/>
      <w:sz w:val="32"/>
    </w:rPr>
  </w:style>
  <w:style w:type="paragraph" w:styleId="Heading2">
    <w:name w:val="heading 2"/>
    <w:basedOn w:val="Normal"/>
    <w:next w:val="BodyText1"/>
    <w:link w:val="Heading2Char"/>
    <w:qFormat/>
    <w:rsid w:val="00680579"/>
    <w:pPr>
      <w:keepNext/>
      <w:autoSpaceDE w:val="0"/>
      <w:autoSpaceDN w:val="0"/>
      <w:adjustRightInd w:val="0"/>
      <w:outlineLvl w:val="1"/>
    </w:pPr>
    <w:rPr>
      <w:rFonts w:asciiTheme="majorHAnsi" w:eastAsia="Times New Roman" w:hAnsiTheme="majorHAnsi" w:cs="Arial"/>
      <w:b/>
      <w:bCs/>
      <w:sz w:val="28"/>
    </w:rPr>
  </w:style>
  <w:style w:type="paragraph" w:styleId="Heading3">
    <w:name w:val="heading 3"/>
    <w:basedOn w:val="Normal"/>
    <w:next w:val="BodyText1"/>
    <w:link w:val="Heading3Char"/>
    <w:qFormat/>
    <w:rsid w:val="00680579"/>
    <w:pPr>
      <w:keepNext/>
      <w:outlineLvl w:val="2"/>
    </w:pPr>
    <w:rPr>
      <w:rFonts w:ascii="Arial" w:eastAsia="Times New Roman" w:hAnsi="Arial" w:cs="Arial"/>
      <w:b/>
      <w:bCs/>
      <w:i/>
    </w:rPr>
  </w:style>
  <w:style w:type="paragraph" w:styleId="Heading4">
    <w:name w:val="heading 4"/>
    <w:basedOn w:val="Normal"/>
    <w:next w:val="BodyText1"/>
    <w:link w:val="Heading4Char"/>
    <w:qFormat/>
    <w:rsid w:val="00B21203"/>
    <w:pPr>
      <w:keepNext/>
      <w:spacing w:after="120"/>
      <w:outlineLvl w:val="3"/>
    </w:pPr>
    <w:rPr>
      <w:rFonts w:ascii="Arial" w:hAnsi="Arial"/>
      <w:i/>
    </w:rPr>
  </w:style>
  <w:style w:type="paragraph" w:styleId="Heading5">
    <w:name w:val="heading 5"/>
    <w:basedOn w:val="Normal"/>
    <w:next w:val="Normal"/>
    <w:link w:val="Heading5Char"/>
    <w:uiPriority w:val="4"/>
    <w:semiHidden/>
    <w:qFormat/>
    <w:rsid w:val="00DC52E3"/>
    <w:pPr>
      <w:outlineLvl w:val="4"/>
    </w:pPr>
    <w:rPr>
      <w:rFonts w:ascii="Trebuchet MS" w:hAnsi="Trebuchet MS"/>
      <w:b/>
      <w:sz w:val="32"/>
    </w:rPr>
  </w:style>
  <w:style w:type="paragraph" w:styleId="Heading6">
    <w:name w:val="heading 6"/>
    <w:basedOn w:val="Normal"/>
    <w:next w:val="Normal"/>
    <w:link w:val="Heading6Char"/>
    <w:uiPriority w:val="5"/>
    <w:semiHidden/>
    <w:qFormat/>
    <w:rsid w:val="00DC52E3"/>
    <w:pPr>
      <w:keepNext/>
      <w:keepLines/>
      <w:spacing w:before="200"/>
      <w:outlineLvl w:val="5"/>
    </w:pPr>
    <w:rPr>
      <w:rFonts w:ascii="Trebuchet MS" w:eastAsia="Times New Roman" w:hAnsi="Trebuchet MS"/>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579"/>
    <w:rPr>
      <w:rFonts w:asciiTheme="majorHAnsi" w:hAnsiTheme="majorHAnsi"/>
      <w:b/>
      <w:sz w:val="32"/>
    </w:rPr>
  </w:style>
  <w:style w:type="character" w:customStyle="1" w:styleId="Heading2Char">
    <w:name w:val="Heading 2 Char"/>
    <w:basedOn w:val="DefaultParagraphFont"/>
    <w:link w:val="Heading2"/>
    <w:rsid w:val="00680579"/>
    <w:rPr>
      <w:rFonts w:asciiTheme="majorHAnsi" w:eastAsia="Times New Roman" w:hAnsiTheme="majorHAnsi" w:cs="Arial"/>
      <w:b/>
      <w:bCs/>
      <w:sz w:val="28"/>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680579"/>
    <w:rPr>
      <w:rFonts w:ascii="Arial" w:eastAsia="Times New Roman" w:hAnsi="Arial" w:cs="Arial"/>
      <w:b/>
      <w:bCs/>
      <w:i/>
    </w:rPr>
  </w:style>
  <w:style w:type="character" w:customStyle="1" w:styleId="Heading4Char">
    <w:name w:val="Heading 4 Char"/>
    <w:basedOn w:val="DefaultParagraphFont"/>
    <w:link w:val="Heading4"/>
    <w:rsid w:val="00680579"/>
    <w:rPr>
      <w:rFonts w:ascii="Arial" w:hAnsi="Arial"/>
      <w:i/>
    </w:rPr>
  </w:style>
  <w:style w:type="character" w:customStyle="1" w:styleId="Heading5Char">
    <w:name w:val="Heading 5 Char"/>
    <w:basedOn w:val="DefaultParagraphFont"/>
    <w:link w:val="Heading5"/>
    <w:uiPriority w:val="4"/>
    <w:semiHidden/>
    <w:rsid w:val="00842FBD"/>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basedOn w:val="Normal"/>
    <w:link w:val="BodyText2Char"/>
    <w:uiPriority w:val="99"/>
    <w:qFormat/>
    <w:rsid w:val="003051EA"/>
    <w:pPr>
      <w:numPr>
        <w:ilvl w:val="1"/>
        <w:numId w:val="2"/>
      </w:numPr>
      <w:jc w:val="both"/>
    </w:pPr>
  </w:style>
  <w:style w:type="character" w:customStyle="1" w:styleId="BodyText2Char">
    <w:name w:val="Body Text 2 Char"/>
    <w:basedOn w:val="DefaultParagraphFont"/>
    <w:link w:val="BodyText2"/>
    <w:rsid w:val="003051EA"/>
  </w:style>
  <w:style w:type="paragraph" w:styleId="Header">
    <w:name w:val="header"/>
    <w:basedOn w:val="Normal"/>
    <w:next w:val="Normal"/>
    <w:link w:val="HeaderChar"/>
    <w:uiPriority w:val="1"/>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uiPriority w:val="1"/>
    <w:rsid w:val="00E83A76"/>
    <w:rPr>
      <w:b/>
    </w:rPr>
  </w:style>
  <w:style w:type="paragraph" w:styleId="Footer">
    <w:name w:val="footer"/>
    <w:basedOn w:val="Normal"/>
    <w:link w:val="FooterChar"/>
    <w:uiPriority w:val="99"/>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99"/>
    <w:rsid w:val="00E83A76"/>
    <w:rPr>
      <w:b/>
    </w:rPr>
  </w:style>
  <w:style w:type="paragraph" w:styleId="FootnoteText">
    <w:name w:val="footnote text"/>
    <w:basedOn w:val="Normal"/>
    <w:link w:val="FootnoteTextChar"/>
    <w:uiPriority w:val="99"/>
    <w:rsid w:val="00E83A76"/>
    <w:pPr>
      <w:spacing w:after="0"/>
      <w:ind w:left="567" w:hanging="567"/>
    </w:pPr>
    <w:rPr>
      <w:sz w:val="20"/>
    </w:rPr>
  </w:style>
  <w:style w:type="character" w:customStyle="1" w:styleId="FootnoteTextChar">
    <w:name w:val="Footnote Text Char"/>
    <w:basedOn w:val="DefaultParagraphFont"/>
    <w:link w:val="FootnoteText"/>
    <w:uiPriority w:val="99"/>
    <w:rsid w:val="00E83A76"/>
    <w:rPr>
      <w:sz w:val="20"/>
    </w:rPr>
  </w:style>
  <w:style w:type="character" w:styleId="FootnoteReference">
    <w:name w:val="footnote reference"/>
    <w:basedOn w:val="DefaultParagraphFont"/>
    <w:uiPriority w:val="99"/>
    <w:qFormat/>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C65BF9"/>
    <w:pPr>
      <w:tabs>
        <w:tab w:val="right" w:leader="dot" w:pos="8302"/>
      </w:tabs>
      <w:spacing w:after="120"/>
      <w:ind w:right="567"/>
    </w:pPr>
    <w:rPr>
      <w:rFonts w:ascii="Arial" w:hAnsi="Arial"/>
      <w:noProof/>
    </w:rPr>
  </w:style>
  <w:style w:type="paragraph" w:styleId="TOC3">
    <w:name w:val="toc 3"/>
    <w:basedOn w:val="Normal"/>
    <w:next w:val="Normal"/>
    <w:autoRedefine/>
    <w:uiPriority w:val="39"/>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1"/>
    <w:rsid w:val="00E96B6D"/>
    <w:pPr>
      <w:outlineLvl w:val="9"/>
    </w:pPr>
    <w:rPr>
      <w:rFonts w:eastAsiaTheme="majorEastAsia" w:cstheme="majorBidi"/>
      <w:szCs w:val="28"/>
    </w:rPr>
  </w:style>
  <w:style w:type="character" w:customStyle="1" w:styleId="BodyText1Char">
    <w:name w:val="Body Text 1 Char"/>
    <w:basedOn w:val="DefaultParagraphFont"/>
    <w:link w:val="BodyText1"/>
    <w:rsid w:val="003051EA"/>
    <w:rPr>
      <w:rFonts w:eastAsia="Times New Roman"/>
    </w:rPr>
  </w:style>
  <w:style w:type="paragraph" w:styleId="NoSpacing">
    <w:name w:val="No Spacing"/>
    <w:uiPriority w:val="1"/>
    <w:qFormat/>
    <w:rsid w:val="009D467A"/>
    <w:pPr>
      <w:spacing w:after="0"/>
    </w:pPr>
  </w:style>
  <w:style w:type="paragraph" w:customStyle="1" w:styleId="BoxHeading">
    <w:name w:val="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pPr>
      <w:numPr>
        <w:numId w:val="1"/>
      </w:numPr>
    </w:pPr>
    <w:rPr>
      <w:rFonts w:eastAsia="Times New Roman"/>
      <w:szCs w:val="26"/>
    </w:rPr>
  </w:style>
  <w:style w:type="paragraph" w:customStyle="1" w:styleId="BodyText1">
    <w:name w:val="Body Text 1"/>
    <w:basedOn w:val="Normal"/>
    <w:link w:val="BodyText1Char"/>
    <w:qFormat/>
    <w:rsid w:val="003051EA"/>
    <w:pPr>
      <w:numPr>
        <w:numId w:val="2"/>
      </w:numPr>
      <w:jc w:val="both"/>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basedOn w:val="Normal"/>
    <w:link w:val="BodyText3Char"/>
    <w:uiPriority w:val="99"/>
    <w:qFormat/>
    <w:rsid w:val="003051EA"/>
    <w:pPr>
      <w:numPr>
        <w:ilvl w:val="2"/>
        <w:numId w:val="2"/>
      </w:numPr>
      <w:jc w:val="both"/>
    </w:pPr>
    <w:rPr>
      <w:szCs w:val="16"/>
    </w:rPr>
  </w:style>
  <w:style w:type="character" w:customStyle="1" w:styleId="BodyText3Char">
    <w:name w:val="Body Text 3 Char"/>
    <w:basedOn w:val="DefaultParagraphFont"/>
    <w:link w:val="BodyText3"/>
    <w:rsid w:val="003051EA"/>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uiPriority w:val="1"/>
    <w:rsid w:val="00C67A76"/>
    <w:pPr>
      <w:spacing w:before="120"/>
    </w:pPr>
    <w:rPr>
      <w:rFonts w:asciiTheme="majorHAnsi" w:hAnsiTheme="majorHAnsi"/>
      <w:b/>
      <w:sz w:val="40"/>
    </w:rPr>
  </w:style>
  <w:style w:type="character" w:customStyle="1" w:styleId="TitleChar">
    <w:name w:val="Title Char"/>
    <w:basedOn w:val="DefaultParagraphFont"/>
    <w:link w:val="Title"/>
    <w:uiPriority w:val="1"/>
    <w:rsid w:val="00C67A76"/>
    <w:rPr>
      <w:rFonts w:asciiTheme="majorHAnsi" w:hAnsiTheme="majorHAnsi"/>
      <w:b/>
      <w:sz w:val="40"/>
    </w:rPr>
  </w:style>
  <w:style w:type="paragraph" w:styleId="TOC1">
    <w:name w:val="toc 1"/>
    <w:basedOn w:val="Normal"/>
    <w:next w:val="Normal"/>
    <w:autoRedefine/>
    <w:uiPriority w:val="39"/>
    <w:rsid w:val="00E83A76"/>
    <w:pPr>
      <w:tabs>
        <w:tab w:val="right" w:leader="dot" w:pos="8302"/>
      </w:tabs>
      <w:spacing w:after="120"/>
      <w:ind w:right="567"/>
    </w:pPr>
    <w:rPr>
      <w:rFonts w:asciiTheme="majorHAnsi" w:hAnsiTheme="majorHAnsi" w:cstheme="majorHAnsi"/>
      <w:noProof/>
    </w:rPr>
  </w:style>
  <w:style w:type="paragraph" w:styleId="TOC4">
    <w:name w:val="toc 4"/>
    <w:basedOn w:val="Normal"/>
    <w:next w:val="Normal"/>
    <w:autoRedefine/>
    <w:uiPriority w:val="39"/>
    <w:rsid w:val="00E83A76"/>
    <w:pPr>
      <w:tabs>
        <w:tab w:val="right" w:leader="dot" w:pos="8302"/>
      </w:tabs>
      <w:spacing w:after="100"/>
      <w:ind w:left="1134" w:right="567"/>
    </w:pPr>
    <w:rPr>
      <w:rFonts w:asciiTheme="majorHAnsi" w:hAnsiTheme="majorHAnsi"/>
    </w:rPr>
  </w:style>
  <w:style w:type="paragraph" w:customStyle="1" w:styleId="BodyText4">
    <w:name w:val="Body Text 4"/>
    <w:basedOn w:val="Normal"/>
    <w:qFormat/>
    <w:rsid w:val="003051EA"/>
    <w:pPr>
      <w:numPr>
        <w:ilvl w:val="3"/>
        <w:numId w:val="2"/>
      </w:numPr>
      <w:jc w:val="both"/>
    </w:pPr>
  </w:style>
  <w:style w:type="character" w:styleId="CommentReference">
    <w:name w:val="annotation reference"/>
    <w:basedOn w:val="DefaultParagraphFont"/>
    <w:uiPriority w:val="99"/>
    <w:semiHidden/>
    <w:unhideWhenUsed/>
    <w:rsid w:val="007414A5"/>
    <w:rPr>
      <w:sz w:val="16"/>
      <w:szCs w:val="16"/>
    </w:rPr>
  </w:style>
  <w:style w:type="paragraph" w:styleId="CommentText">
    <w:name w:val="annotation text"/>
    <w:basedOn w:val="Normal"/>
    <w:link w:val="CommentTextChar"/>
    <w:uiPriority w:val="99"/>
    <w:unhideWhenUsed/>
    <w:rsid w:val="007414A5"/>
    <w:rPr>
      <w:sz w:val="20"/>
      <w:szCs w:val="20"/>
    </w:rPr>
  </w:style>
  <w:style w:type="character" w:customStyle="1" w:styleId="CommentTextChar">
    <w:name w:val="Comment Text Char"/>
    <w:basedOn w:val="DefaultParagraphFont"/>
    <w:link w:val="CommentText"/>
    <w:uiPriority w:val="99"/>
    <w:rsid w:val="007414A5"/>
    <w:rPr>
      <w:sz w:val="20"/>
      <w:szCs w:val="20"/>
    </w:rPr>
  </w:style>
  <w:style w:type="paragraph" w:styleId="CommentSubject">
    <w:name w:val="annotation subject"/>
    <w:basedOn w:val="CommentText"/>
    <w:next w:val="CommentText"/>
    <w:link w:val="CommentSubjectChar"/>
    <w:uiPriority w:val="49"/>
    <w:semiHidden/>
    <w:unhideWhenUsed/>
    <w:rsid w:val="007414A5"/>
    <w:rPr>
      <w:b/>
      <w:bCs/>
    </w:rPr>
  </w:style>
  <w:style w:type="character" w:customStyle="1" w:styleId="CommentSubjectChar">
    <w:name w:val="Comment Subject Char"/>
    <w:basedOn w:val="CommentTextChar"/>
    <w:link w:val="CommentSubject"/>
    <w:uiPriority w:val="49"/>
    <w:semiHidden/>
    <w:rsid w:val="007414A5"/>
    <w:rPr>
      <w:b/>
      <w:bCs/>
      <w:sz w:val="20"/>
      <w:szCs w:val="20"/>
    </w:rPr>
  </w:style>
  <w:style w:type="paragraph" w:customStyle="1" w:styleId="Heading50">
    <w:name w:val="Heading5"/>
    <w:basedOn w:val="Normal"/>
    <w:link w:val="Heading5Char0"/>
    <w:rsid w:val="00B21203"/>
    <w:pPr>
      <w:keepNext/>
      <w:spacing w:after="120"/>
    </w:pPr>
    <w:rPr>
      <w:rFonts w:ascii="Arial" w:eastAsia="Times New Roman" w:hAnsi="Arial"/>
      <w:szCs w:val="20"/>
      <w:lang w:val="en-GB" w:eastAsia="en-US"/>
    </w:rPr>
  </w:style>
  <w:style w:type="character" w:customStyle="1" w:styleId="Heading5Char0">
    <w:name w:val="Heading5 Char"/>
    <w:basedOn w:val="DefaultParagraphFont"/>
    <w:link w:val="Heading50"/>
    <w:rsid w:val="00EA31FC"/>
    <w:rPr>
      <w:rFonts w:ascii="Arial" w:eastAsia="Times New Roman" w:hAnsi="Arial"/>
      <w:szCs w:val="20"/>
      <w:lang w:val="en-GB" w:eastAsia="en-US"/>
    </w:rPr>
  </w:style>
  <w:style w:type="paragraph" w:customStyle="1" w:styleId="TableText">
    <w:name w:val="TableText"/>
    <w:basedOn w:val="Normal"/>
    <w:rsid w:val="004535B2"/>
    <w:pPr>
      <w:keepNext/>
      <w:spacing w:after="120"/>
    </w:pPr>
    <w:rPr>
      <w:rFonts w:ascii="Arial" w:eastAsia="Times New Roman" w:hAnsi="Arial"/>
      <w:sz w:val="20"/>
      <w:szCs w:val="20"/>
      <w:lang w:val="en-GB" w:eastAsia="en-US"/>
    </w:rPr>
  </w:style>
  <w:style w:type="paragraph" w:styleId="Revision">
    <w:name w:val="Revision"/>
    <w:hidden/>
    <w:uiPriority w:val="99"/>
    <w:semiHidden/>
    <w:rsid w:val="00A6042D"/>
    <w:pPr>
      <w:spacing w:after="0"/>
    </w:pPr>
  </w:style>
  <w:style w:type="paragraph" w:customStyle="1" w:styleId="Indent1">
    <w:name w:val="Indent1"/>
    <w:basedOn w:val="Normal"/>
    <w:rsid w:val="00E0104F"/>
    <w:pPr>
      <w:tabs>
        <w:tab w:val="num" w:pos="567"/>
      </w:tabs>
      <w:spacing w:before="240" w:line="360" w:lineRule="auto"/>
      <w:ind w:left="567" w:hanging="567"/>
    </w:pPr>
    <w:rPr>
      <w:rFonts w:eastAsia="Times New Roman"/>
      <w:sz w:val="26"/>
      <w:szCs w:val="20"/>
    </w:rPr>
  </w:style>
  <w:style w:type="character" w:styleId="FollowedHyperlink">
    <w:name w:val="FollowedHyperlink"/>
    <w:basedOn w:val="DefaultParagraphFont"/>
    <w:uiPriority w:val="49"/>
    <w:semiHidden/>
    <w:unhideWhenUsed/>
    <w:rsid w:val="00B41DDB"/>
    <w:rPr>
      <w:color w:val="919191" w:themeColor="followedHyperlink"/>
      <w:u w:val="single"/>
    </w:rPr>
  </w:style>
  <w:style w:type="paragraph" w:styleId="ListParagraph">
    <w:name w:val="List Paragraph"/>
    <w:basedOn w:val="Normal"/>
    <w:uiPriority w:val="34"/>
    <w:qFormat/>
    <w:rsid w:val="003955E9"/>
    <w:pPr>
      <w:ind w:left="720"/>
      <w:contextualSpacing/>
    </w:pPr>
  </w:style>
  <w:style w:type="paragraph" w:styleId="NormalWeb">
    <w:name w:val="Normal (Web)"/>
    <w:basedOn w:val="Normal"/>
    <w:uiPriority w:val="99"/>
    <w:semiHidden/>
    <w:unhideWhenUsed/>
    <w:rsid w:val="00704FED"/>
    <w:pPr>
      <w:spacing w:before="100" w:beforeAutospacing="1" w:after="100" w:afterAutospacing="1"/>
    </w:pPr>
    <w:rPr>
      <w:rFonts w:eastAsia="Times New Roman"/>
    </w:rPr>
  </w:style>
  <w:style w:type="paragraph" w:styleId="BodyTextIndent">
    <w:name w:val="Body Text Indent"/>
    <w:basedOn w:val="Normal"/>
    <w:link w:val="BodyTextIndentChar"/>
    <w:uiPriority w:val="49"/>
    <w:semiHidden/>
    <w:unhideWhenUsed/>
    <w:rsid w:val="008B56A3"/>
    <w:pPr>
      <w:spacing w:after="120"/>
      <w:ind w:left="283"/>
    </w:pPr>
  </w:style>
  <w:style w:type="character" w:customStyle="1" w:styleId="BodyTextIndentChar">
    <w:name w:val="Body Text Indent Char"/>
    <w:basedOn w:val="DefaultParagraphFont"/>
    <w:link w:val="BodyTextIndent"/>
    <w:uiPriority w:val="49"/>
    <w:semiHidden/>
    <w:rsid w:val="008B56A3"/>
  </w:style>
  <w:style w:type="paragraph" w:styleId="BodyTextFirstIndent2">
    <w:name w:val="Body Text First Indent 2"/>
    <w:basedOn w:val="BodyTextIndent"/>
    <w:link w:val="BodyTextFirstIndent2Char"/>
    <w:uiPriority w:val="49"/>
    <w:semiHidden/>
    <w:unhideWhenUsed/>
    <w:rsid w:val="008B56A3"/>
    <w:pPr>
      <w:spacing w:after="240"/>
      <w:ind w:left="360" w:firstLine="360"/>
    </w:pPr>
  </w:style>
  <w:style w:type="character" w:customStyle="1" w:styleId="BodyTextFirstIndent2Char">
    <w:name w:val="Body Text First Indent 2 Char"/>
    <w:basedOn w:val="BodyTextIndentChar"/>
    <w:link w:val="BodyTextFirstIndent2"/>
    <w:uiPriority w:val="49"/>
    <w:semiHidden/>
    <w:rsid w:val="008B56A3"/>
  </w:style>
  <w:style w:type="paragraph" w:customStyle="1" w:styleId="TableHeadNumber">
    <w:name w:val="Table Head Number"/>
    <w:basedOn w:val="Normal"/>
    <w:next w:val="Normal"/>
    <w:qFormat/>
    <w:rsid w:val="005E388E"/>
    <w:pPr>
      <w:keepNext/>
      <w:numPr>
        <w:numId w:val="11"/>
      </w:numPr>
      <w:tabs>
        <w:tab w:val="left" w:pos="1134"/>
      </w:tabs>
      <w:spacing w:before="240" w:after="120"/>
      <w:ind w:left="1134" w:hanging="1134"/>
      <w:outlineLvl w:val="4"/>
    </w:pPr>
    <w:rPr>
      <w:rFonts w:asciiTheme="minorHAnsi" w:eastAsiaTheme="minorHAnsi" w:hAnsiTheme="minorHAnsi" w:cstheme="minorBidi"/>
      <w:b/>
      <w:color w:val="000000"/>
      <w:szCs w:val="22"/>
      <w:lang w:eastAsia="en-US"/>
    </w:rPr>
  </w:style>
  <w:style w:type="character" w:customStyle="1" w:styleId="UnresolvedMention1">
    <w:name w:val="Unresolved Mention1"/>
    <w:basedOn w:val="DefaultParagraphFont"/>
    <w:uiPriority w:val="99"/>
    <w:semiHidden/>
    <w:unhideWhenUsed/>
    <w:rsid w:val="000E5B8D"/>
    <w:rPr>
      <w:color w:val="605E5C"/>
      <w:shd w:val="clear" w:color="auto" w:fill="E1DFDD"/>
    </w:rPr>
  </w:style>
  <w:style w:type="paragraph" w:customStyle="1" w:styleId="Heading2body">
    <w:name w:val="Heading 2_body"/>
    <w:basedOn w:val="Heading2"/>
    <w:qFormat/>
    <w:rsid w:val="00115253"/>
  </w:style>
  <w:style w:type="character" w:styleId="UnresolvedMention">
    <w:name w:val="Unresolved Mention"/>
    <w:basedOn w:val="DefaultParagraphFont"/>
    <w:uiPriority w:val="99"/>
    <w:semiHidden/>
    <w:unhideWhenUsed/>
    <w:rsid w:val="00687466"/>
    <w:rPr>
      <w:color w:val="605E5C"/>
      <w:shd w:val="clear" w:color="auto" w:fill="E1DFDD"/>
    </w:rPr>
  </w:style>
  <w:style w:type="paragraph" w:customStyle="1" w:styleId="Default">
    <w:name w:val="Default"/>
    <w:rsid w:val="00443CA9"/>
    <w:pPr>
      <w:autoSpaceDE w:val="0"/>
      <w:autoSpaceDN w:val="0"/>
      <w:adjustRightInd w:val="0"/>
      <w:spacing w:after="0"/>
    </w:pPr>
    <w:rPr>
      <w:color w:val="000000"/>
    </w:rPr>
  </w:style>
  <w:style w:type="paragraph" w:customStyle="1" w:styleId="IntroTo">
    <w:name w:val="IntroTo:"/>
    <w:basedOn w:val="Normal"/>
    <w:rsid w:val="00443CA9"/>
    <w:pPr>
      <w:spacing w:after="0"/>
      <w:ind w:left="720" w:hanging="720"/>
    </w:pPr>
    <w:rPr>
      <w:rFonts w:eastAsia="Times New Roman"/>
      <w:szCs w:val="20"/>
      <w:lang w:eastAsia="en-US"/>
    </w:rPr>
  </w:style>
  <w:style w:type="paragraph" w:customStyle="1" w:styleId="CM5">
    <w:name w:val="CM5"/>
    <w:basedOn w:val="Default"/>
    <w:next w:val="Default"/>
    <w:uiPriority w:val="99"/>
    <w:rsid w:val="00443CA9"/>
    <w:pPr>
      <w:widowControl w:val="0"/>
      <w:tabs>
        <w:tab w:val="left" w:pos="851"/>
      </w:tabs>
      <w:ind w:left="851" w:hanging="567"/>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064534">
      <w:bodyDiv w:val="1"/>
      <w:marLeft w:val="0"/>
      <w:marRight w:val="0"/>
      <w:marTop w:val="0"/>
      <w:marBottom w:val="0"/>
      <w:divBdr>
        <w:top w:val="none" w:sz="0" w:space="0" w:color="auto"/>
        <w:left w:val="none" w:sz="0" w:space="0" w:color="auto"/>
        <w:bottom w:val="none" w:sz="0" w:space="0" w:color="auto"/>
        <w:right w:val="none" w:sz="0" w:space="0" w:color="auto"/>
      </w:divBdr>
    </w:div>
    <w:div w:id="920915330">
      <w:bodyDiv w:val="1"/>
      <w:marLeft w:val="0"/>
      <w:marRight w:val="0"/>
      <w:marTop w:val="0"/>
      <w:marBottom w:val="0"/>
      <w:divBdr>
        <w:top w:val="none" w:sz="0" w:space="0" w:color="auto"/>
        <w:left w:val="none" w:sz="0" w:space="0" w:color="auto"/>
        <w:bottom w:val="none" w:sz="0" w:space="0" w:color="auto"/>
        <w:right w:val="none" w:sz="0" w:space="0" w:color="auto"/>
      </w:divBdr>
    </w:div>
    <w:div w:id="1369179004">
      <w:bodyDiv w:val="1"/>
      <w:marLeft w:val="0"/>
      <w:marRight w:val="0"/>
      <w:marTop w:val="0"/>
      <w:marBottom w:val="0"/>
      <w:divBdr>
        <w:top w:val="none" w:sz="0" w:space="0" w:color="auto"/>
        <w:left w:val="none" w:sz="0" w:space="0" w:color="auto"/>
        <w:bottom w:val="none" w:sz="0" w:space="0" w:color="auto"/>
        <w:right w:val="none" w:sz="0" w:space="0" w:color="auto"/>
      </w:divBdr>
    </w:div>
    <w:div w:id="1486706376">
      <w:bodyDiv w:val="1"/>
      <w:marLeft w:val="0"/>
      <w:marRight w:val="0"/>
      <w:marTop w:val="0"/>
      <w:marBottom w:val="0"/>
      <w:divBdr>
        <w:top w:val="none" w:sz="0" w:space="0" w:color="auto"/>
        <w:left w:val="none" w:sz="0" w:space="0" w:color="auto"/>
        <w:bottom w:val="none" w:sz="0" w:space="0" w:color="auto"/>
        <w:right w:val="none" w:sz="0" w:space="0" w:color="auto"/>
      </w:divBdr>
    </w:div>
    <w:div w:id="1537623240">
      <w:bodyDiv w:val="1"/>
      <w:marLeft w:val="0"/>
      <w:marRight w:val="0"/>
      <w:marTop w:val="0"/>
      <w:marBottom w:val="0"/>
      <w:divBdr>
        <w:top w:val="none" w:sz="0" w:space="0" w:color="auto"/>
        <w:left w:val="none" w:sz="0" w:space="0" w:color="auto"/>
        <w:bottom w:val="none" w:sz="0" w:space="0" w:color="auto"/>
        <w:right w:val="none" w:sz="0" w:space="0" w:color="auto"/>
      </w:divBdr>
    </w:div>
    <w:div w:id="1642926174">
      <w:bodyDiv w:val="1"/>
      <w:marLeft w:val="0"/>
      <w:marRight w:val="0"/>
      <w:marTop w:val="0"/>
      <w:marBottom w:val="0"/>
      <w:divBdr>
        <w:top w:val="none" w:sz="0" w:space="0" w:color="auto"/>
        <w:left w:val="none" w:sz="0" w:space="0" w:color="auto"/>
        <w:bottom w:val="none" w:sz="0" w:space="0" w:color="auto"/>
        <w:right w:val="none" w:sz="0" w:space="0" w:color="auto"/>
      </w:divBdr>
    </w:div>
    <w:div w:id="1723019884">
      <w:bodyDiv w:val="1"/>
      <w:marLeft w:val="0"/>
      <w:marRight w:val="0"/>
      <w:marTop w:val="0"/>
      <w:marBottom w:val="0"/>
      <w:divBdr>
        <w:top w:val="none" w:sz="0" w:space="0" w:color="auto"/>
        <w:left w:val="none" w:sz="0" w:space="0" w:color="auto"/>
        <w:bottom w:val="none" w:sz="0" w:space="0" w:color="auto"/>
        <w:right w:val="none" w:sz="0" w:space="0" w:color="auto"/>
      </w:divBdr>
    </w:div>
    <w:div w:id="1805386887">
      <w:bodyDiv w:val="1"/>
      <w:marLeft w:val="0"/>
      <w:marRight w:val="0"/>
      <w:marTop w:val="0"/>
      <w:marBottom w:val="0"/>
      <w:divBdr>
        <w:top w:val="none" w:sz="0" w:space="0" w:color="auto"/>
        <w:left w:val="none" w:sz="0" w:space="0" w:color="auto"/>
        <w:bottom w:val="none" w:sz="0" w:space="0" w:color="auto"/>
        <w:right w:val="none" w:sz="0" w:space="0" w:color="auto"/>
      </w:divBdr>
    </w:div>
    <w:div w:id="1842962673">
      <w:bodyDiv w:val="1"/>
      <w:marLeft w:val="0"/>
      <w:marRight w:val="0"/>
      <w:marTop w:val="0"/>
      <w:marBottom w:val="0"/>
      <w:divBdr>
        <w:top w:val="none" w:sz="0" w:space="0" w:color="auto"/>
        <w:left w:val="none" w:sz="0" w:space="0" w:color="auto"/>
        <w:bottom w:val="none" w:sz="0" w:space="0" w:color="auto"/>
        <w:right w:val="none" w:sz="0" w:space="0" w:color="auto"/>
      </w:divBdr>
    </w:div>
    <w:div w:id="2100127965">
      <w:bodyDiv w:val="1"/>
      <w:marLeft w:val="0"/>
      <w:marRight w:val="0"/>
      <w:marTop w:val="0"/>
      <w:marBottom w:val="0"/>
      <w:divBdr>
        <w:top w:val="none" w:sz="0" w:space="0" w:color="auto"/>
        <w:left w:val="none" w:sz="0" w:space="0" w:color="auto"/>
        <w:bottom w:val="none" w:sz="0" w:space="0" w:color="auto"/>
        <w:right w:val="none" w:sz="0" w:space="0" w:color="auto"/>
      </w:divBdr>
    </w:div>
    <w:div w:id="212876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footer" Target="footer7.xml"/><Relationship Id="rId21" Type="http://schemas.openxmlformats.org/officeDocument/2006/relationships/image" Target="media/image6.png"/><Relationship Id="rId34" Type="http://schemas.openxmlformats.org/officeDocument/2006/relationships/image" Target="media/image18.pn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29" Type="http://schemas.openxmlformats.org/officeDocument/2006/relationships/footer" Target="footer2.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9.png"/><Relationship Id="rId32" Type="http://schemas.openxmlformats.org/officeDocument/2006/relationships/image" Target="media/image16.png"/><Relationship Id="rId37" Type="http://schemas.openxmlformats.org/officeDocument/2006/relationships/footer" Target="footer5.xml"/><Relationship Id="rId40"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4.png"/><Relationship Id="rId35" Type="http://schemas.openxmlformats.org/officeDocument/2006/relationships/footer" Target="footer3.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image" Target="media/image10.png"/><Relationship Id="rId33" Type="http://schemas.openxmlformats.org/officeDocument/2006/relationships/image" Target="media/image17.png"/><Relationship Id="rId38" Type="http://schemas.openxmlformats.org/officeDocument/2006/relationships/footer" Target="footer6.xml"/></Relationship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831F15EEA47429C4A0837D916ED91" ma:contentTypeVersion="8" ma:contentTypeDescription="Create a new document." ma:contentTypeScope="" ma:versionID="99bdc1b4050c1902271a55d76062e067">
  <xsd:schema xmlns:xsd="http://www.w3.org/2001/XMLSchema" xmlns:xs="http://www.w3.org/2001/XMLSchema" xmlns:p="http://schemas.microsoft.com/office/2006/metadata/properties" xmlns:ns1="http://schemas.microsoft.com/sharepoint/v3" xmlns:ns2="5664482d-1961-4d38-bfc2-b109b3418834" xmlns:ns3="79530295-9eea-494d-b82a-9ff74409eafc" targetNamespace="http://schemas.microsoft.com/office/2006/metadata/properties" ma:root="true" ma:fieldsID="bbfa77364ebeb75ab677610674a57bf4" ns1:_="" ns2:_="" ns3:_="">
    <xsd:import namespace="http://schemas.microsoft.com/sharepoint/v3"/>
    <xsd:import namespace="5664482d-1961-4d38-bfc2-b109b3418834"/>
    <xsd:import namespace="79530295-9eea-494d-b82a-9ff74409e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4482d-1961-4d38-bfc2-b109b341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530295-9eea-494d-b82a-9ff74409e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F8B8757-CAF0-4223-B8E3-A8F42A35F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64482d-1961-4d38-bfc2-b109b3418834"/>
    <ds:schemaRef ds:uri="79530295-9eea-494d-b82a-9ff74409e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000B5D-875C-4023-B254-49B65CD08861}">
  <ds:schemaRefs>
    <ds:schemaRef ds:uri="http://schemas.microsoft.com/sharepoint/v3/contenttype/forms"/>
  </ds:schemaRefs>
</ds:datastoreItem>
</file>

<file path=customXml/itemProps3.xml><?xml version="1.0" encoding="utf-8"?>
<ds:datastoreItem xmlns:ds="http://schemas.openxmlformats.org/officeDocument/2006/customXml" ds:itemID="{42DAA0EB-504F-4570-97AD-38F5C3BACD31}">
  <ds:schemaRefs>
    <ds:schemaRef ds:uri="http://schemas.openxmlformats.org/officeDocument/2006/bibliography"/>
  </ds:schemaRefs>
</ds:datastoreItem>
</file>

<file path=customXml/itemProps4.xml><?xml version="1.0" encoding="utf-8"?>
<ds:datastoreItem xmlns:ds="http://schemas.openxmlformats.org/officeDocument/2006/customXml" ds:itemID="{1CA1D702-E73C-4639-91A3-EC8788D122D2}">
  <ds:schemaRefs>
    <ds:schemaRef ds:uri="http://www.w3.org/XML/1998/namespace"/>
    <ds:schemaRef ds:uri="5664482d-1961-4d38-bfc2-b109b3418834"/>
    <ds:schemaRef ds:uri="http://schemas.microsoft.com/office/2006/documentManagement/types"/>
    <ds:schemaRef ds:uri="79530295-9eea-494d-b82a-9ff74409eafc"/>
    <ds:schemaRef ds:uri="http://purl.org/dc/term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84</Pages>
  <Words>26098</Words>
  <Characters>141000</Characters>
  <Application>Microsoft Office Word</Application>
  <DocSecurity>0</DocSecurity>
  <Lines>3724</Lines>
  <Paragraphs>1314</Paragraphs>
  <ScaleCrop>false</ScaleCrop>
  <Company/>
  <LinksUpToDate>false</LinksUpToDate>
  <CharactersWithSpaces>166005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Madden, Joe</dc:creator>
  <cp:keywords>[SEC=OFFICIAL]</cp:keywords>
  <cp:lastModifiedBy>Toni Michalis</cp:lastModifiedBy>
  <cp:revision>5</cp:revision>
  <cp:lastPrinted>2024-06-20T21:56:00Z</cp:lastPrinted>
  <dcterms:created xsi:type="dcterms:W3CDTF">2024-09-02T06:33:00Z</dcterms:created>
  <dcterms:modified xsi:type="dcterms:W3CDTF">2024-09-02T06:37:00Z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Footer">
    <vt:lpwstr>C:\Program Files\Common Files\janusNET Shared\janusSEAL\Images\DocumentSlashBlue.png</vt:lpwstr>
  </property>
  <property fmtid="{D5CDD505-2E9C-101B-9397-08002B2CF9AE}" pid="3" name="PM_Markers">
    <vt:lpwstr/>
  </property>
  <property fmtid="{D5CDD505-2E9C-101B-9397-08002B2CF9AE}" pid="4" name="MSIP_Label_c0129afb-6481-4f92-bc9f-5a4a6346364d_SiteId">
    <vt:lpwstr>c05e3ffd-b491-4431-9809-e61d4dc78816</vt:lpwstr>
  </property>
  <property fmtid="{D5CDD505-2E9C-101B-9397-08002B2CF9AE}" pid="5" name="PM_OriginatorDomainName_SHA256">
    <vt:lpwstr>ECBDE2B44A971754412B3FB70606937A119CC0D4B6C1B658A40FBD41C30BE3EC</vt:lpwstr>
  </property>
  <property fmtid="{D5CDD505-2E9C-101B-9397-08002B2CF9AE}" pid="6" name="MSIP_Label_c0129afb-6481-4f92-bc9f-5a4a6346364d_ContentBits">
    <vt:lpwstr>0</vt:lpwstr>
  </property>
  <property fmtid="{D5CDD505-2E9C-101B-9397-08002B2CF9AE}" pid="7" name="MSIP_Label_c0129afb-6481-4f92-bc9f-5a4a6346364d_Enabled">
    <vt:lpwstr>true</vt:lpwstr>
  </property>
  <property fmtid="{D5CDD505-2E9C-101B-9397-08002B2CF9AE}" pid="8" name="PMUuid">
    <vt:lpwstr>v=2022.2;d=gov.au;g=46DD6D7C-8107-577B-BC6E-F348953B2E44</vt:lpwstr>
  </property>
  <property fmtid="{D5CDD505-2E9C-101B-9397-08002B2CF9AE}" pid="9" name="PM_ProtectiveMarkingImage_Header">
    <vt:lpwstr>C:\Program Files\Common Files\janusNET Shared\janusSEAL\Images\DocumentSlashBlue.png</vt:lpwstr>
  </property>
  <property fmtid="{D5CDD505-2E9C-101B-9397-08002B2CF9AE}" pid="10" name="PM_Note">
    <vt:lpwstr/>
  </property>
  <property fmtid="{D5CDD505-2E9C-101B-9397-08002B2CF9AE}" pid="11" name="PM_Qualifier_Prev">
    <vt:lpwstr/>
  </property>
  <property fmtid="{D5CDD505-2E9C-101B-9397-08002B2CF9AE}" pid="12" name="PM_ProtectiveMarkingValue_Footer">
    <vt:lpwstr>OFFICIAL</vt:lpwstr>
  </property>
  <property fmtid="{D5CDD505-2E9C-101B-9397-08002B2CF9AE}" pid="13" name="PM_Originating_FileId">
    <vt:lpwstr>9CDD4A8A38FF4D3681F9F9DB8CFE362E</vt:lpwstr>
  </property>
  <property fmtid="{D5CDD505-2E9C-101B-9397-08002B2CF9AE}" pid="14" name="PM_Version">
    <vt:lpwstr>2018.3</vt:lpwstr>
  </property>
  <property fmtid="{D5CDD505-2E9C-101B-9397-08002B2CF9AE}" pid="15" name="PM_Qualifier">
    <vt:lpwstr/>
  </property>
  <property fmtid="{D5CDD505-2E9C-101B-9397-08002B2CF9AE}" pid="16" name="PM_SecurityClassification_Prev">
    <vt:lpwstr>OFFICIAL</vt:lpwstr>
  </property>
  <property fmtid="{D5CDD505-2E9C-101B-9397-08002B2CF9AE}" pid="17" name="MSIP_Label_c0129afb-6481-4f92-bc9f-5a4a6346364d_SetDate">
    <vt:lpwstr>2022-12-08T00:14:50Z</vt:lpwstr>
  </property>
  <property fmtid="{D5CDD505-2E9C-101B-9397-08002B2CF9AE}" pid="18" name="PM_InsertionValue">
    <vt:lpwstr>OFFICIAL</vt:lpwstr>
  </property>
  <property fmtid="{D5CDD505-2E9C-101B-9397-08002B2CF9AE}" pid="19" name="MSIP_Label_c0129afb-6481-4f92-bc9f-5a4a6346364d_Method">
    <vt:lpwstr>Privileged</vt:lpwstr>
  </property>
  <property fmtid="{D5CDD505-2E9C-101B-9397-08002B2CF9AE}" pid="20" name="PM_SecurityClassification">
    <vt:lpwstr>OFFICIAL</vt:lpwstr>
  </property>
  <property fmtid="{D5CDD505-2E9C-101B-9397-08002B2CF9AE}" pid="21" name="PM_ProtectiveMarkingValue_Header">
    <vt:lpwstr>OFFICIAL</vt:lpwstr>
  </property>
  <property fmtid="{D5CDD505-2E9C-101B-9397-08002B2CF9AE}" pid="22" name="PM_OriginationTimeStamp">
    <vt:lpwstr>2022-12-08T00:14:50Z</vt:lpwstr>
  </property>
  <property fmtid="{D5CDD505-2E9C-101B-9397-08002B2CF9AE}" pid="23" name="PM_Namespace">
    <vt:lpwstr>gov.au</vt:lpwstr>
  </property>
  <property fmtid="{D5CDD505-2E9C-101B-9397-08002B2CF9AE}" pid="24" name="MSIP_Label_c0129afb-6481-4f92-bc9f-5a4a6346364d_Name">
    <vt:lpwstr>OFFICIAL</vt:lpwstr>
  </property>
  <property fmtid="{D5CDD505-2E9C-101B-9397-08002B2CF9AE}" pid="25" name="PM_DisplayValueSecClassificationWithQualifier">
    <vt:lpwstr>OFFICIAL</vt:lpwstr>
  </property>
  <property fmtid="{D5CDD505-2E9C-101B-9397-08002B2CF9AE}" pid="26" name="PM_Hash_Version">
    <vt:lpwstr>2022.1</vt:lpwstr>
  </property>
  <property fmtid="{D5CDD505-2E9C-101B-9397-08002B2CF9AE}" pid="27" name="PM_Display">
    <vt:lpwstr>OFFICIAL</vt:lpwstr>
  </property>
  <property fmtid="{D5CDD505-2E9C-101B-9397-08002B2CF9AE}" pid="28" name="PM_Caveats_Count">
    <vt:lpwstr>0</vt:lpwstr>
  </property>
  <property fmtid="{D5CDD505-2E9C-101B-9397-08002B2CF9AE}" pid="29" name="ContentTypeId">
    <vt:lpwstr>0x010100E5E831F15EEA47429C4A0837D916ED91</vt:lpwstr>
  </property>
  <property fmtid="{D5CDD505-2E9C-101B-9397-08002B2CF9AE}" pid="30" name="PM_Originator_Hash_SHA1">
    <vt:lpwstr>C3AD57350F36D8E1BD75F8F67CB06D435C9C43CA</vt:lpwstr>
  </property>
  <property fmtid="{D5CDD505-2E9C-101B-9397-08002B2CF9AE}" pid="31" name="PM_OriginatorUserAccountName_SHA256">
    <vt:lpwstr>6E3018F28A186D2E5FF5207C041E7A82E907C3008E071057026A53705873B72E</vt:lpwstr>
  </property>
  <property fmtid="{D5CDD505-2E9C-101B-9397-08002B2CF9AE}" pid="32" name="PM_Hash_Salt_Prev">
    <vt:lpwstr>34B49AD837065DD65FA163FA330D201B</vt:lpwstr>
  </property>
  <property fmtid="{D5CDD505-2E9C-101B-9397-08002B2CF9AE}" pid="33" name="PMHMAC">
    <vt:lpwstr>v=2022.1;a=SHA256;h=E36E6537CEF6A768252CA555E5A57B8D6DC183298598B0C8DAB6FA76D27C8972</vt:lpwstr>
  </property>
  <property fmtid="{D5CDD505-2E9C-101B-9397-08002B2CF9AE}" pid="34" name="PM_Hash_Salt">
    <vt:lpwstr>E567CE7A8AB46EC23C3267C8287056ED</vt:lpwstr>
  </property>
  <property fmtid="{D5CDD505-2E9C-101B-9397-08002B2CF9AE}" pid="35" name="PM_Hash_SHA1">
    <vt:lpwstr>F3F55152BF0C58D47719652826B1523A4B491110</vt:lpwstr>
  </property>
  <property fmtid="{D5CDD505-2E9C-101B-9397-08002B2CF9AE}" pid="36" name="MSIP_Label_c0129afb-6481-4f92-bc9f-5a4a6346364d_ActionId">
    <vt:lpwstr>9ab6cf62686b4864a653981a04bfda35</vt:lpwstr>
  </property>
</Properties>
</file>