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F8559" w14:textId="77777777" w:rsidR="00A24A90" w:rsidRPr="00F843E0" w:rsidRDefault="00A24A90" w:rsidP="00A24A90">
      <w:pPr>
        <w:jc w:val="center"/>
        <w:rPr>
          <w:rFonts w:ascii="Times New Roman" w:hAnsi="Times New Roman" w:cs="Times New Roman"/>
          <w:b/>
          <w:sz w:val="24"/>
          <w:szCs w:val="24"/>
          <w:u w:val="single"/>
        </w:rPr>
      </w:pPr>
      <w:r w:rsidRPr="00F843E0">
        <w:rPr>
          <w:rFonts w:ascii="Times New Roman" w:hAnsi="Times New Roman" w:cs="Times New Roman"/>
          <w:b/>
          <w:sz w:val="24"/>
          <w:szCs w:val="24"/>
          <w:u w:val="single"/>
        </w:rPr>
        <w:t>EXPLANATORY STATEMENT</w:t>
      </w:r>
    </w:p>
    <w:p w14:paraId="420B7F13" w14:textId="77777777" w:rsidR="00A24A90" w:rsidRPr="00F843E0" w:rsidRDefault="00A24A90" w:rsidP="00A24A90">
      <w:pPr>
        <w:jc w:val="center"/>
        <w:rPr>
          <w:rFonts w:ascii="Times New Roman" w:hAnsi="Times New Roman" w:cs="Times New Roman"/>
          <w:bCs/>
          <w:sz w:val="24"/>
          <w:szCs w:val="24"/>
        </w:rPr>
      </w:pPr>
    </w:p>
    <w:p w14:paraId="4E16CA47" w14:textId="77777777" w:rsidR="00A24A90" w:rsidRPr="00F843E0" w:rsidRDefault="00A24A90" w:rsidP="00A24A90">
      <w:pPr>
        <w:jc w:val="center"/>
        <w:rPr>
          <w:rFonts w:ascii="Times New Roman" w:hAnsi="Times New Roman" w:cs="Times New Roman"/>
          <w:b/>
          <w:sz w:val="24"/>
          <w:szCs w:val="24"/>
        </w:rPr>
      </w:pPr>
      <w:r w:rsidRPr="00F843E0">
        <w:rPr>
          <w:rFonts w:ascii="Times New Roman" w:hAnsi="Times New Roman" w:cs="Times New Roman"/>
          <w:b/>
          <w:sz w:val="24"/>
          <w:szCs w:val="24"/>
        </w:rPr>
        <w:t>Issued by the Authority of the Minister for Finance</w:t>
      </w:r>
    </w:p>
    <w:p w14:paraId="5B5ADF7B" w14:textId="77777777" w:rsidR="00A24A90" w:rsidRPr="003C1898" w:rsidRDefault="00A24A90" w:rsidP="00A24A90">
      <w:pPr>
        <w:contextualSpacing/>
        <w:jc w:val="center"/>
        <w:rPr>
          <w:rFonts w:ascii="Times New Roman" w:hAnsi="Times New Roman" w:cs="Times New Roman"/>
          <w:iCs/>
          <w:sz w:val="24"/>
          <w:szCs w:val="24"/>
        </w:rPr>
      </w:pPr>
    </w:p>
    <w:p w14:paraId="483C5BC8" w14:textId="77777777" w:rsidR="00A24A90" w:rsidRPr="00F843E0" w:rsidRDefault="00A24A90" w:rsidP="00A24A90">
      <w:pPr>
        <w:contextualSpacing/>
        <w:jc w:val="center"/>
        <w:rPr>
          <w:rFonts w:ascii="Times New Roman" w:hAnsi="Times New Roman" w:cs="Times New Roman"/>
          <w:i/>
          <w:sz w:val="24"/>
          <w:szCs w:val="24"/>
        </w:rPr>
      </w:pPr>
      <w:r w:rsidRPr="00F843E0">
        <w:rPr>
          <w:rFonts w:ascii="Times New Roman" w:hAnsi="Times New Roman" w:cs="Times New Roman"/>
          <w:i/>
          <w:sz w:val="24"/>
          <w:szCs w:val="24"/>
        </w:rPr>
        <w:t>Financial Framework (Supplementary Powers) Act 1997</w:t>
      </w:r>
    </w:p>
    <w:p w14:paraId="4E99E94A" w14:textId="77777777" w:rsidR="00A24A90" w:rsidRPr="00F843E0" w:rsidRDefault="00A24A90" w:rsidP="00A24A90">
      <w:pPr>
        <w:tabs>
          <w:tab w:val="left" w:pos="1701"/>
        </w:tabs>
        <w:contextualSpacing/>
        <w:jc w:val="center"/>
        <w:rPr>
          <w:rFonts w:ascii="Times New Roman" w:hAnsi="Times New Roman" w:cs="Times New Roman"/>
          <w:sz w:val="24"/>
          <w:szCs w:val="24"/>
        </w:rPr>
      </w:pPr>
    </w:p>
    <w:p w14:paraId="0197895D" w14:textId="77777777" w:rsidR="00A24A90" w:rsidRPr="00F843E0" w:rsidRDefault="00A24A90" w:rsidP="00A24A90">
      <w:pPr>
        <w:tabs>
          <w:tab w:val="left" w:pos="1701"/>
        </w:tabs>
        <w:contextualSpacing/>
        <w:jc w:val="center"/>
        <w:rPr>
          <w:rFonts w:ascii="Times New Roman" w:hAnsi="Times New Roman" w:cs="Times New Roman"/>
          <w:i/>
          <w:sz w:val="24"/>
          <w:szCs w:val="24"/>
        </w:rPr>
      </w:pPr>
      <w:r w:rsidRPr="00F843E0">
        <w:rPr>
          <w:rFonts w:ascii="Times New Roman" w:hAnsi="Times New Roman" w:cs="Times New Roman"/>
          <w:i/>
          <w:sz w:val="24"/>
          <w:szCs w:val="24"/>
        </w:rPr>
        <w:t>Financial Framework (Supplementary Powers) Amendment</w:t>
      </w:r>
    </w:p>
    <w:p w14:paraId="2D7D6138" w14:textId="77777777" w:rsidR="00A24A90" w:rsidRPr="00F843E0" w:rsidRDefault="00A24A90" w:rsidP="00A24A90">
      <w:pPr>
        <w:tabs>
          <w:tab w:val="left" w:pos="1701"/>
        </w:tabs>
        <w:contextualSpacing/>
        <w:jc w:val="center"/>
        <w:rPr>
          <w:rFonts w:ascii="Times New Roman" w:hAnsi="Times New Roman" w:cs="Times New Roman"/>
          <w:i/>
          <w:sz w:val="24"/>
          <w:szCs w:val="24"/>
        </w:rPr>
      </w:pPr>
      <w:r w:rsidRPr="00F843E0">
        <w:rPr>
          <w:rFonts w:ascii="Times New Roman" w:hAnsi="Times New Roman" w:cs="Times New Roman"/>
          <w:i/>
          <w:sz w:val="24"/>
          <w:szCs w:val="24"/>
        </w:rPr>
        <w:t>(</w:t>
      </w:r>
      <w:r>
        <w:rPr>
          <w:rFonts w:ascii="Times New Roman" w:hAnsi="Times New Roman" w:cs="Times New Roman"/>
          <w:i/>
          <w:sz w:val="24"/>
          <w:szCs w:val="24"/>
          <w:lang w:val="en-US"/>
        </w:rPr>
        <w:t xml:space="preserve">Foreign Affairs and Trade </w:t>
      </w:r>
      <w:r w:rsidRPr="00F843E0">
        <w:rPr>
          <w:rFonts w:ascii="Times New Roman" w:hAnsi="Times New Roman" w:cs="Times New Roman"/>
          <w:i/>
          <w:sz w:val="24"/>
          <w:szCs w:val="24"/>
          <w:lang w:val="en-US"/>
        </w:rPr>
        <w:t xml:space="preserve">Measures No. </w:t>
      </w:r>
      <w:r>
        <w:rPr>
          <w:rFonts w:ascii="Times New Roman" w:hAnsi="Times New Roman" w:cs="Times New Roman"/>
          <w:i/>
          <w:sz w:val="24"/>
          <w:szCs w:val="24"/>
          <w:lang w:val="en-US"/>
        </w:rPr>
        <w:t>3</w:t>
      </w:r>
      <w:r w:rsidRPr="00F843E0">
        <w:rPr>
          <w:rFonts w:ascii="Times New Roman" w:hAnsi="Times New Roman" w:cs="Times New Roman"/>
          <w:i/>
          <w:sz w:val="24"/>
          <w:szCs w:val="24"/>
        </w:rPr>
        <w:t>) Regulations 2024</w:t>
      </w:r>
    </w:p>
    <w:p w14:paraId="3E07702C" w14:textId="77777777" w:rsidR="00A24A90" w:rsidRPr="003C1898" w:rsidRDefault="00A24A90" w:rsidP="00A24A90">
      <w:pPr>
        <w:contextualSpacing/>
        <w:rPr>
          <w:rFonts w:ascii="Times New Roman" w:hAnsi="Times New Roman" w:cs="Times New Roman"/>
          <w:iCs/>
          <w:sz w:val="24"/>
          <w:szCs w:val="24"/>
        </w:rPr>
      </w:pPr>
    </w:p>
    <w:p w14:paraId="3E670A42" w14:textId="77777777" w:rsidR="00A24A90" w:rsidRPr="00F843E0" w:rsidRDefault="00A24A90" w:rsidP="00A24A90">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The </w:t>
      </w:r>
      <w:r w:rsidRPr="00F843E0">
        <w:rPr>
          <w:rFonts w:ascii="Times New Roman" w:hAnsi="Times New Roman" w:cs="Times New Roman"/>
          <w:i/>
          <w:sz w:val="24"/>
          <w:szCs w:val="24"/>
        </w:rPr>
        <w:t>Financial Framework (Supplementary Powers) Act 1997</w:t>
      </w:r>
      <w:r w:rsidRPr="00F843E0">
        <w:rPr>
          <w:rFonts w:ascii="Times New Roman" w:hAnsi="Times New Roman" w:cs="Times New Roman"/>
          <w:sz w:val="24"/>
          <w:szCs w:val="24"/>
        </w:rPr>
        <w:t xml:space="preserve"> (the FFSP Act) confers on the Commonwealth, in certain circumstances, powers to </w:t>
      </w:r>
      <w:proofErr w:type="gramStart"/>
      <w:r w:rsidRPr="00F843E0">
        <w:rPr>
          <w:rFonts w:ascii="Times New Roman" w:hAnsi="Times New Roman" w:cs="Times New Roman"/>
          <w:sz w:val="24"/>
          <w:szCs w:val="24"/>
        </w:rPr>
        <w:t>make arrangements</w:t>
      </w:r>
      <w:proofErr w:type="gramEnd"/>
      <w:r w:rsidRPr="00F843E0">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F843E0">
        <w:rPr>
          <w:rFonts w:ascii="Times New Roman" w:hAnsi="Times New Roman" w:cs="Times New Roman"/>
          <w:i/>
          <w:sz w:val="24"/>
          <w:szCs w:val="24"/>
        </w:rPr>
        <w:t xml:space="preserve">Financial Framework (Supplementary Powers) Regulations 1997 </w:t>
      </w:r>
      <w:r w:rsidRPr="00F843E0">
        <w:rPr>
          <w:rFonts w:ascii="Times New Roman" w:hAnsi="Times New Roman" w:cs="Times New Roman"/>
          <w:sz w:val="24"/>
          <w:szCs w:val="24"/>
        </w:rPr>
        <w:t>(the</w:t>
      </w:r>
      <w:r>
        <w:rPr>
          <w:rFonts w:ascii="Times New Roman" w:hAnsi="Times New Roman" w:cs="Times New Roman"/>
          <w:sz w:val="24"/>
          <w:szCs w:val="24"/>
        </w:rPr>
        <w:t xml:space="preserve"> </w:t>
      </w:r>
      <w:r w:rsidRPr="00F843E0">
        <w:rPr>
          <w:rFonts w:ascii="Times New Roman" w:hAnsi="Times New Roman" w:cs="Times New Roman"/>
          <w:sz w:val="24"/>
          <w:szCs w:val="24"/>
        </w:rPr>
        <w:t>Principal Regulations). The powers in the</w:t>
      </w:r>
      <w:r>
        <w:rPr>
          <w:rFonts w:ascii="Times New Roman" w:hAnsi="Times New Roman" w:cs="Times New Roman"/>
          <w:sz w:val="24"/>
          <w:szCs w:val="24"/>
        </w:rPr>
        <w:t xml:space="preserve"> </w:t>
      </w:r>
      <w:r w:rsidRPr="00F843E0">
        <w:rPr>
          <w:rFonts w:ascii="Times New Roman" w:hAnsi="Times New Roman" w:cs="Times New Roman"/>
          <w:sz w:val="24"/>
          <w:szCs w:val="24"/>
        </w:rPr>
        <w:t>FFSP Act to make, vary or administer arrangements or grants may be exercised on behalf of the Commonwealth by Ministers and the accountable authorities of non</w:t>
      </w:r>
      <w:r w:rsidRPr="00F843E0">
        <w:rPr>
          <w:rFonts w:ascii="Times New Roman" w:hAnsi="Times New Roman" w:cs="Times New Roman"/>
          <w:sz w:val="24"/>
          <w:szCs w:val="24"/>
        </w:rPr>
        <w:noBreakHyphen/>
        <w:t>corporate Commonwealth entities, as defined under section</w:t>
      </w:r>
      <w:r>
        <w:rPr>
          <w:rFonts w:ascii="Times New Roman" w:hAnsi="Times New Roman" w:cs="Times New Roman"/>
          <w:sz w:val="24"/>
          <w:szCs w:val="24"/>
        </w:rPr>
        <w:t> </w:t>
      </w:r>
      <w:r w:rsidRPr="00F843E0">
        <w:rPr>
          <w:rFonts w:ascii="Times New Roman" w:hAnsi="Times New Roman" w:cs="Times New Roman"/>
          <w:sz w:val="24"/>
          <w:szCs w:val="24"/>
        </w:rPr>
        <w:t xml:space="preserve">12 of the </w:t>
      </w:r>
      <w:r w:rsidRPr="00F843E0">
        <w:rPr>
          <w:rFonts w:ascii="Times New Roman" w:hAnsi="Times New Roman" w:cs="Times New Roman"/>
          <w:i/>
          <w:sz w:val="24"/>
          <w:szCs w:val="24"/>
        </w:rPr>
        <w:t>Public Governance, Performance and Accountability Act 2013</w:t>
      </w:r>
      <w:r w:rsidRPr="00F843E0">
        <w:rPr>
          <w:rFonts w:ascii="Times New Roman" w:hAnsi="Times New Roman" w:cs="Times New Roman"/>
          <w:sz w:val="24"/>
          <w:szCs w:val="24"/>
        </w:rPr>
        <w:t>.</w:t>
      </w:r>
    </w:p>
    <w:p w14:paraId="1201660A" w14:textId="77777777" w:rsidR="00A24A90" w:rsidRPr="00F843E0" w:rsidRDefault="00A24A90" w:rsidP="00A24A90">
      <w:pPr>
        <w:contextualSpacing/>
        <w:rPr>
          <w:rFonts w:ascii="Times New Roman" w:hAnsi="Times New Roman" w:cs="Times New Roman"/>
          <w:sz w:val="24"/>
          <w:szCs w:val="24"/>
        </w:rPr>
      </w:pPr>
    </w:p>
    <w:p w14:paraId="5AB43BDD" w14:textId="77777777" w:rsidR="00A24A90" w:rsidRPr="00F843E0" w:rsidRDefault="00A24A90" w:rsidP="00A24A90">
      <w:pPr>
        <w:pStyle w:val="ParaNumbering"/>
        <w:spacing w:after="0" w:line="240" w:lineRule="auto"/>
        <w:rPr>
          <w:iCs/>
          <w:szCs w:val="24"/>
        </w:rPr>
      </w:pPr>
      <w:r w:rsidRPr="00F843E0">
        <w:rPr>
          <w:iCs/>
          <w:szCs w:val="24"/>
        </w:rPr>
        <w:t xml:space="preserve">The Principal Regulations are exempt from sunsetting under section 12 of the </w:t>
      </w:r>
      <w:r w:rsidRPr="00F843E0">
        <w:rPr>
          <w:i/>
          <w:iCs/>
          <w:szCs w:val="24"/>
        </w:rPr>
        <w:t xml:space="preserve">Legislation (Exemptions and Other Matters) Regulation 2015 </w:t>
      </w:r>
      <w:r w:rsidRPr="00F843E0">
        <w:rPr>
          <w:iCs/>
          <w:szCs w:val="24"/>
        </w:rPr>
        <w:t xml:space="preserve">(item 28A). If the Principal Regulations were subject to the sunsetting regime under the </w:t>
      </w:r>
      <w:r w:rsidRPr="00F843E0">
        <w:rPr>
          <w:i/>
          <w:iCs/>
          <w:szCs w:val="24"/>
        </w:rPr>
        <w:t>Legislation Act 2003</w:t>
      </w:r>
      <w:r w:rsidRPr="00F843E0">
        <w:rPr>
          <w:iCs/>
          <w:szCs w:val="24"/>
        </w:rPr>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4F6969E5" w14:textId="77777777" w:rsidR="00A24A90" w:rsidRPr="00F843E0" w:rsidRDefault="00A24A90" w:rsidP="00A24A90">
      <w:pPr>
        <w:pStyle w:val="ParaNumbering"/>
        <w:spacing w:after="0" w:line="240" w:lineRule="auto"/>
        <w:rPr>
          <w:iCs/>
          <w:szCs w:val="24"/>
        </w:rPr>
      </w:pPr>
    </w:p>
    <w:p w14:paraId="1A106384" w14:textId="77777777" w:rsidR="00A24A90" w:rsidRPr="00F843E0" w:rsidRDefault="00A24A90" w:rsidP="00A24A90">
      <w:pPr>
        <w:pStyle w:val="ParaNumbering"/>
        <w:spacing w:after="0" w:line="240" w:lineRule="auto"/>
        <w:rPr>
          <w:iCs/>
          <w:szCs w:val="24"/>
        </w:rPr>
      </w:pPr>
      <w:r w:rsidRPr="00F843E0">
        <w:rPr>
          <w:iCs/>
          <w:szCs w:val="24"/>
        </w:rPr>
        <w:t xml:space="preserve">Additionally, the Principal Regulations authorise </w:t>
      </w:r>
      <w:proofErr w:type="gramStart"/>
      <w:r w:rsidRPr="00F843E0">
        <w:rPr>
          <w:iCs/>
          <w:szCs w:val="24"/>
        </w:rPr>
        <w:t>a number of</w:t>
      </w:r>
      <w:proofErr w:type="gramEnd"/>
      <w:r w:rsidRPr="00F843E0">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01C672F5" w14:textId="77777777" w:rsidR="00A24A90" w:rsidRPr="00F843E0" w:rsidRDefault="00A24A90" w:rsidP="00A24A90">
      <w:pPr>
        <w:pStyle w:val="ParaNumbering"/>
        <w:spacing w:after="0" w:line="240" w:lineRule="auto"/>
        <w:rPr>
          <w:iCs/>
          <w:szCs w:val="24"/>
        </w:rPr>
      </w:pPr>
    </w:p>
    <w:p w14:paraId="3534D6BA" w14:textId="77777777" w:rsidR="00A24A90" w:rsidRPr="00F843E0" w:rsidRDefault="00A24A90" w:rsidP="00A24A90">
      <w:pPr>
        <w:ind w:right="-46"/>
        <w:rPr>
          <w:rFonts w:ascii="Times New Roman" w:eastAsia="Times New Roman" w:hAnsi="Times New Roman" w:cs="Times New Roman"/>
          <w:sz w:val="24"/>
          <w:szCs w:val="24"/>
        </w:rPr>
      </w:pPr>
      <w:r w:rsidRPr="00F843E0">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F843E0">
        <w:rPr>
          <w:rFonts w:ascii="Times New Roman" w:eastAsia="Times New Roman" w:hAnsi="Times New Roman" w:cs="Times New Roman"/>
          <w:sz w:val="24"/>
          <w:szCs w:val="24"/>
        </w:rPr>
        <w:t>B(</w:t>
      </w:r>
      <w:proofErr w:type="gramEnd"/>
      <w:r w:rsidRPr="00F843E0">
        <w:rPr>
          <w:rFonts w:ascii="Times New Roman" w:eastAsia="Times New Roman" w:hAnsi="Times New Roman" w:cs="Times New Roman"/>
          <w:sz w:val="24"/>
          <w:szCs w:val="24"/>
        </w:rPr>
        <w:t>1) of the</w:t>
      </w:r>
      <w:r>
        <w:rPr>
          <w:rFonts w:ascii="Times New Roman" w:eastAsia="Times New Roman" w:hAnsi="Times New Roman" w:cs="Times New Roman"/>
          <w:sz w:val="24"/>
          <w:szCs w:val="24"/>
        </w:rPr>
        <w:t xml:space="preserve"> FFSP</w:t>
      </w:r>
      <w:r w:rsidRPr="00F843E0">
        <w:rPr>
          <w:rFonts w:ascii="Times New Roman" w:eastAsia="Times New Roman" w:hAnsi="Times New Roman" w:cs="Times New Roman"/>
          <w:sz w:val="24"/>
          <w:szCs w:val="24"/>
        </w:rPr>
        <w:t xml:space="preserve"> Act. Schedule 1AA and Schedule 1AB to the Principal Regulations specify the arrangements, grants and programs.</w:t>
      </w:r>
    </w:p>
    <w:p w14:paraId="471E807A" w14:textId="77777777" w:rsidR="00A24A90" w:rsidRPr="00F843E0" w:rsidRDefault="00A24A90" w:rsidP="00A24A90">
      <w:pPr>
        <w:ind w:right="-46"/>
        <w:rPr>
          <w:rFonts w:ascii="Times New Roman" w:eastAsia="Times New Roman" w:hAnsi="Times New Roman" w:cs="Times New Roman"/>
          <w:sz w:val="24"/>
          <w:szCs w:val="24"/>
        </w:rPr>
      </w:pPr>
    </w:p>
    <w:p w14:paraId="7833B02B" w14:textId="77777777" w:rsidR="00A24A90" w:rsidRPr="002744D6" w:rsidRDefault="00A24A90" w:rsidP="00A24A90">
      <w:pPr>
        <w:ind w:right="-46"/>
        <w:rPr>
          <w:rFonts w:ascii="Times New Roman" w:eastAsia="Times New Roman" w:hAnsi="Times New Roman" w:cs="Times New Roman"/>
          <w:sz w:val="24"/>
          <w:szCs w:val="24"/>
        </w:rPr>
      </w:pPr>
      <w:r w:rsidRPr="00F843E0">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71FA5861" w14:textId="77777777" w:rsidR="00A24A90" w:rsidRDefault="00A24A90" w:rsidP="00A24A90">
      <w:pPr>
        <w:rPr>
          <w:rFonts w:ascii="Times New Roman" w:hAnsi="Times New Roman" w:cs="Times New Roman"/>
          <w:sz w:val="24"/>
          <w:szCs w:val="24"/>
        </w:rPr>
      </w:pPr>
      <w:r w:rsidRPr="00F843E0">
        <w:rPr>
          <w:rFonts w:ascii="Times New Roman" w:hAnsi="Times New Roman" w:cs="Times New Roman"/>
          <w:sz w:val="24"/>
          <w:szCs w:val="24"/>
        </w:rPr>
        <w:br w:type="column"/>
      </w:r>
      <w:r w:rsidRPr="00F843E0">
        <w:rPr>
          <w:rFonts w:ascii="Times New Roman" w:hAnsi="Times New Roman" w:cs="Times New Roman"/>
          <w:sz w:val="24"/>
          <w:szCs w:val="24"/>
        </w:rPr>
        <w:lastRenderedPageBreak/>
        <w:t xml:space="preserve">The </w:t>
      </w:r>
      <w:r w:rsidRPr="00F843E0">
        <w:rPr>
          <w:rFonts w:ascii="Times New Roman" w:hAnsi="Times New Roman" w:cs="Times New Roman"/>
          <w:i/>
          <w:sz w:val="24"/>
          <w:szCs w:val="24"/>
        </w:rPr>
        <w:t>Financial Framework (Supplementary Powers) Amendment (</w:t>
      </w:r>
      <w:r>
        <w:rPr>
          <w:rFonts w:ascii="Times New Roman" w:hAnsi="Times New Roman" w:cs="Times New Roman"/>
          <w:i/>
          <w:sz w:val="24"/>
          <w:szCs w:val="24"/>
          <w:lang w:val="en-US"/>
        </w:rPr>
        <w:t xml:space="preserve">Foreign Affairs and Trade </w:t>
      </w:r>
      <w:r w:rsidRPr="00F843E0">
        <w:rPr>
          <w:rFonts w:ascii="Times New Roman" w:hAnsi="Times New Roman" w:cs="Times New Roman"/>
          <w:i/>
          <w:sz w:val="24"/>
          <w:szCs w:val="24"/>
          <w:lang w:val="en-US"/>
        </w:rPr>
        <w:t>Measures</w:t>
      </w:r>
      <w:r>
        <w:rPr>
          <w:rFonts w:ascii="Times New Roman" w:hAnsi="Times New Roman" w:cs="Times New Roman"/>
          <w:i/>
          <w:sz w:val="24"/>
          <w:szCs w:val="24"/>
          <w:lang w:val="en-US"/>
        </w:rPr>
        <w:t> </w:t>
      </w:r>
      <w:r w:rsidRPr="00F843E0">
        <w:rPr>
          <w:rFonts w:ascii="Times New Roman" w:hAnsi="Times New Roman" w:cs="Times New Roman"/>
          <w:i/>
          <w:sz w:val="24"/>
          <w:szCs w:val="24"/>
          <w:lang w:val="en-US"/>
        </w:rPr>
        <w:t xml:space="preserve">No. </w:t>
      </w:r>
      <w:r>
        <w:rPr>
          <w:rFonts w:ascii="Times New Roman" w:hAnsi="Times New Roman" w:cs="Times New Roman"/>
          <w:i/>
          <w:sz w:val="24"/>
          <w:szCs w:val="24"/>
          <w:lang w:val="en-US"/>
        </w:rPr>
        <w:t>3</w:t>
      </w:r>
      <w:r w:rsidRPr="00F843E0">
        <w:rPr>
          <w:rFonts w:ascii="Times New Roman" w:hAnsi="Times New Roman" w:cs="Times New Roman"/>
          <w:i/>
          <w:sz w:val="24"/>
          <w:szCs w:val="24"/>
        </w:rPr>
        <w:t xml:space="preserve">) Regulations 2024 </w:t>
      </w:r>
      <w:r w:rsidRPr="00F843E0">
        <w:rPr>
          <w:rFonts w:ascii="Times New Roman" w:hAnsi="Times New Roman" w:cs="Times New Roman"/>
          <w:sz w:val="24"/>
          <w:szCs w:val="24"/>
        </w:rPr>
        <w:t xml:space="preserve">(the Regulations) amend Schedule 1AB to the Principal Regulations to establish legislative authority for government spending </w:t>
      </w:r>
      <w:r w:rsidRPr="00E203CC">
        <w:rPr>
          <w:rFonts w:ascii="Times New Roman" w:hAnsi="Times New Roman" w:cs="Times New Roman"/>
          <w:sz w:val="24"/>
          <w:szCs w:val="24"/>
        </w:rPr>
        <w:t>on crisis related consular services administered by the Department of Foreign Affairs and Trade.</w:t>
      </w:r>
    </w:p>
    <w:p w14:paraId="2C1D7DB2" w14:textId="77777777" w:rsidR="00A24A90" w:rsidRDefault="00A24A90" w:rsidP="00A24A90">
      <w:pPr>
        <w:rPr>
          <w:rFonts w:ascii="Times New Roman" w:eastAsia="Times New Roman" w:hAnsi="Times New Roman" w:cstheme="minorHAnsi"/>
          <w:sz w:val="24"/>
          <w:szCs w:val="24"/>
          <w:lang w:eastAsia="en-AU"/>
        </w:rPr>
      </w:pPr>
    </w:p>
    <w:p w14:paraId="026BE445" w14:textId="77777777" w:rsidR="00A24A90" w:rsidRPr="001936F5" w:rsidRDefault="00A24A90" w:rsidP="00A24A90">
      <w:pPr>
        <w:rPr>
          <w:rFonts w:ascii="Times New Roman" w:hAnsi="Times New Roman" w:cs="Times New Roman"/>
          <w:bCs/>
          <w:iCs/>
          <w:sz w:val="24"/>
          <w:szCs w:val="24"/>
        </w:rPr>
      </w:pPr>
      <w:r w:rsidRPr="001936F5">
        <w:rPr>
          <w:rFonts w:ascii="Times New Roman" w:hAnsi="Times New Roman" w:cs="Times New Roman"/>
          <w:bCs/>
          <w:iCs/>
          <w:sz w:val="24"/>
          <w:szCs w:val="24"/>
        </w:rPr>
        <w:t xml:space="preserve">In providing consular services, the Commonwealth’s objectives are to empower Australians to help themselves overseas, effectively prepare for and manage overseas crises, and deliver consular services focused on Australians most in need. </w:t>
      </w:r>
    </w:p>
    <w:p w14:paraId="0020CCF0" w14:textId="77777777" w:rsidR="00A24A90" w:rsidRPr="001936F5" w:rsidRDefault="00A24A90" w:rsidP="00A24A90">
      <w:pPr>
        <w:rPr>
          <w:rFonts w:ascii="Times New Roman" w:hAnsi="Times New Roman" w:cs="Times New Roman"/>
          <w:bCs/>
          <w:iCs/>
          <w:sz w:val="24"/>
          <w:szCs w:val="24"/>
        </w:rPr>
      </w:pPr>
    </w:p>
    <w:p w14:paraId="0562CA91" w14:textId="35230586" w:rsidR="00A24A90" w:rsidRPr="001936F5" w:rsidRDefault="00A24A90" w:rsidP="00A24A90">
      <w:pPr>
        <w:rPr>
          <w:rFonts w:ascii="Times New Roman" w:hAnsi="Times New Roman" w:cs="Times New Roman"/>
          <w:bCs/>
          <w:iCs/>
          <w:sz w:val="24"/>
          <w:szCs w:val="24"/>
        </w:rPr>
      </w:pPr>
      <w:r w:rsidRPr="001936F5">
        <w:rPr>
          <w:rFonts w:ascii="Times New Roman" w:hAnsi="Times New Roman" w:cs="Times New Roman"/>
          <w:bCs/>
          <w:iCs/>
          <w:sz w:val="24"/>
          <w:szCs w:val="24"/>
        </w:rPr>
        <w:t xml:space="preserve">Although Australian citizens are prioritised for consular services, in the event of an overseas crisis, the Commonwealth may also provide consular services to Australian permanent residents and </w:t>
      </w:r>
      <w:r>
        <w:rPr>
          <w:rFonts w:ascii="Times New Roman" w:hAnsi="Times New Roman" w:cs="Times New Roman"/>
          <w:bCs/>
          <w:iCs/>
          <w:sz w:val="24"/>
          <w:szCs w:val="24"/>
        </w:rPr>
        <w:t>non-citizens</w:t>
      </w:r>
      <w:r w:rsidRPr="001936F5">
        <w:rPr>
          <w:rFonts w:ascii="Times New Roman" w:hAnsi="Times New Roman" w:cs="Times New Roman"/>
          <w:bCs/>
          <w:iCs/>
          <w:sz w:val="24"/>
          <w:szCs w:val="24"/>
        </w:rPr>
        <w:t>, where it is in Australia’s foreign policy and national interest to do so.</w:t>
      </w:r>
    </w:p>
    <w:p w14:paraId="3A01C9B4" w14:textId="77777777" w:rsidR="00A24A90" w:rsidRPr="001936F5" w:rsidRDefault="00A24A90" w:rsidP="00A24A90">
      <w:pPr>
        <w:rPr>
          <w:rFonts w:ascii="Times New Roman" w:hAnsi="Times New Roman" w:cs="Times New Roman"/>
          <w:bCs/>
          <w:iCs/>
          <w:sz w:val="24"/>
          <w:szCs w:val="24"/>
        </w:rPr>
      </w:pPr>
    </w:p>
    <w:p w14:paraId="71A3CE59" w14:textId="37D555B5" w:rsidR="00A24A90" w:rsidRDefault="00A24A90" w:rsidP="00A24A90">
      <w:pPr>
        <w:rPr>
          <w:rFonts w:ascii="Times New Roman" w:hAnsi="Times New Roman" w:cs="Times New Roman"/>
          <w:bCs/>
          <w:iCs/>
          <w:sz w:val="24"/>
          <w:szCs w:val="24"/>
        </w:rPr>
      </w:pPr>
      <w:r w:rsidRPr="006426C4">
        <w:rPr>
          <w:rFonts w:ascii="Times New Roman" w:hAnsi="Times New Roman" w:cs="Times New Roman"/>
          <w:bCs/>
          <w:iCs/>
          <w:sz w:val="24"/>
          <w:szCs w:val="24"/>
        </w:rPr>
        <w:t xml:space="preserve">Crisis related spending is necessarily uncertain and does not lend itself to be strictly budgeted for. Should there be a need for </w:t>
      </w:r>
      <w:r w:rsidR="009074DA" w:rsidRPr="006426C4">
        <w:rPr>
          <w:rFonts w:ascii="Times New Roman" w:hAnsi="Times New Roman" w:cs="Times New Roman"/>
          <w:bCs/>
          <w:iCs/>
          <w:sz w:val="24"/>
          <w:szCs w:val="24"/>
        </w:rPr>
        <w:t xml:space="preserve">additional </w:t>
      </w:r>
      <w:r w:rsidRPr="006426C4">
        <w:rPr>
          <w:rFonts w:ascii="Times New Roman" w:hAnsi="Times New Roman" w:cs="Times New Roman"/>
          <w:bCs/>
          <w:iCs/>
          <w:sz w:val="24"/>
          <w:szCs w:val="24"/>
        </w:rPr>
        <w:t>support, funding will be agreed to by the Government and will be published in a future Budget process.</w:t>
      </w:r>
    </w:p>
    <w:p w14:paraId="34300E30" w14:textId="77777777" w:rsidR="00A24A90" w:rsidRDefault="00A24A90" w:rsidP="00A24A90">
      <w:pPr>
        <w:rPr>
          <w:rFonts w:ascii="Times New Roman" w:hAnsi="Times New Roman" w:cs="Times New Roman"/>
          <w:bCs/>
          <w:iCs/>
          <w:sz w:val="24"/>
          <w:szCs w:val="24"/>
        </w:rPr>
      </w:pPr>
    </w:p>
    <w:p w14:paraId="43A613F0" w14:textId="77777777" w:rsidR="00A24A90" w:rsidRPr="00F843E0" w:rsidRDefault="00A24A90" w:rsidP="00A24A90">
      <w:pPr>
        <w:ind w:right="-46"/>
        <w:rPr>
          <w:rFonts w:ascii="Times New Roman" w:hAnsi="Times New Roman" w:cs="Times New Roman"/>
          <w:i/>
          <w:sz w:val="24"/>
          <w:szCs w:val="24"/>
        </w:rPr>
      </w:pPr>
      <w:r w:rsidRPr="00F843E0">
        <w:rPr>
          <w:rFonts w:ascii="Times New Roman" w:hAnsi="Times New Roman" w:cs="Times New Roman"/>
          <w:sz w:val="24"/>
          <w:szCs w:val="24"/>
        </w:rPr>
        <w:t xml:space="preserve">Details of the Regulations are set out at </w:t>
      </w:r>
      <w:r w:rsidRPr="00F843E0">
        <w:rPr>
          <w:rFonts w:ascii="Times New Roman" w:hAnsi="Times New Roman" w:cs="Times New Roman"/>
          <w:sz w:val="24"/>
          <w:szCs w:val="24"/>
          <w:u w:val="single"/>
        </w:rPr>
        <w:t>Attachment A</w:t>
      </w:r>
      <w:r w:rsidRPr="00F843E0">
        <w:rPr>
          <w:rFonts w:ascii="Times New Roman" w:hAnsi="Times New Roman" w:cs="Times New Roman"/>
          <w:sz w:val="24"/>
          <w:szCs w:val="24"/>
        </w:rPr>
        <w:t xml:space="preserve">. A Statement of Compatibility with Human Rights is at </w:t>
      </w:r>
      <w:r w:rsidRPr="00F843E0">
        <w:rPr>
          <w:rFonts w:ascii="Times New Roman" w:hAnsi="Times New Roman" w:cs="Times New Roman"/>
          <w:sz w:val="24"/>
          <w:szCs w:val="24"/>
          <w:u w:val="single"/>
        </w:rPr>
        <w:t>Attachment B</w:t>
      </w:r>
      <w:r w:rsidRPr="00F843E0">
        <w:rPr>
          <w:rFonts w:ascii="Times New Roman" w:hAnsi="Times New Roman" w:cs="Times New Roman"/>
          <w:sz w:val="24"/>
          <w:szCs w:val="24"/>
        </w:rPr>
        <w:t>.</w:t>
      </w:r>
    </w:p>
    <w:p w14:paraId="5557B182" w14:textId="77777777" w:rsidR="00A24A90" w:rsidRPr="00F843E0" w:rsidRDefault="00A24A90" w:rsidP="00A24A90">
      <w:pPr>
        <w:ind w:right="-46"/>
        <w:rPr>
          <w:rFonts w:ascii="Times New Roman" w:hAnsi="Times New Roman" w:cs="Times New Roman"/>
          <w:sz w:val="24"/>
          <w:szCs w:val="24"/>
        </w:rPr>
      </w:pPr>
    </w:p>
    <w:p w14:paraId="2041A178" w14:textId="77777777" w:rsidR="00A24A90" w:rsidRPr="00F843E0" w:rsidRDefault="00A24A90" w:rsidP="00A24A90">
      <w:pPr>
        <w:ind w:right="-46"/>
        <w:rPr>
          <w:rFonts w:ascii="Times New Roman" w:hAnsi="Times New Roman" w:cs="Times New Roman"/>
          <w:sz w:val="24"/>
          <w:szCs w:val="24"/>
        </w:rPr>
      </w:pPr>
      <w:r w:rsidRPr="00F843E0">
        <w:rPr>
          <w:rFonts w:ascii="Times New Roman" w:hAnsi="Times New Roman" w:cs="Times New Roman"/>
          <w:sz w:val="24"/>
          <w:szCs w:val="24"/>
        </w:rPr>
        <w:t xml:space="preserve">The Regulations are a legislative instrument for the purposes of the </w:t>
      </w:r>
      <w:r w:rsidRPr="00F843E0">
        <w:rPr>
          <w:rFonts w:ascii="Times New Roman" w:hAnsi="Times New Roman" w:cs="Times New Roman"/>
          <w:i/>
          <w:sz w:val="24"/>
          <w:szCs w:val="24"/>
        </w:rPr>
        <w:t>Legislation Act 2003</w:t>
      </w:r>
      <w:r w:rsidRPr="00F843E0">
        <w:rPr>
          <w:rFonts w:ascii="Times New Roman" w:hAnsi="Times New Roman" w:cs="Times New Roman"/>
          <w:sz w:val="24"/>
          <w:szCs w:val="24"/>
        </w:rPr>
        <w:t>.</w:t>
      </w:r>
    </w:p>
    <w:p w14:paraId="10DC38E3" w14:textId="77777777" w:rsidR="00A24A90" w:rsidRPr="00F843E0" w:rsidRDefault="00A24A90" w:rsidP="00A24A90">
      <w:pPr>
        <w:ind w:right="-46"/>
        <w:rPr>
          <w:rFonts w:ascii="Times New Roman" w:hAnsi="Times New Roman" w:cs="Times New Roman"/>
          <w:sz w:val="24"/>
          <w:szCs w:val="24"/>
        </w:rPr>
      </w:pPr>
    </w:p>
    <w:p w14:paraId="6B7F0A18" w14:textId="77777777" w:rsidR="00A24A90" w:rsidRPr="00F843E0" w:rsidRDefault="00A24A90" w:rsidP="00A24A90">
      <w:pPr>
        <w:ind w:right="-46"/>
        <w:rPr>
          <w:rFonts w:ascii="Times New Roman" w:hAnsi="Times New Roman" w:cs="Times New Roman"/>
          <w:sz w:val="24"/>
          <w:szCs w:val="24"/>
        </w:rPr>
      </w:pPr>
      <w:r w:rsidRPr="008619B4">
        <w:rPr>
          <w:rFonts w:ascii="Times New Roman" w:hAnsi="Times New Roman" w:cs="Times New Roman"/>
          <w:sz w:val="24"/>
          <w:szCs w:val="24"/>
        </w:rPr>
        <w:t>The</w:t>
      </w:r>
      <w:r>
        <w:rPr>
          <w:rFonts w:ascii="Times New Roman" w:hAnsi="Times New Roman" w:cs="Times New Roman"/>
          <w:sz w:val="24"/>
          <w:szCs w:val="24"/>
        </w:rPr>
        <w:t xml:space="preserve"> </w:t>
      </w:r>
      <w:r w:rsidRPr="008619B4">
        <w:rPr>
          <w:rFonts w:ascii="Times New Roman" w:hAnsi="Times New Roman" w:cs="Times New Roman"/>
          <w:sz w:val="24"/>
          <w:szCs w:val="24"/>
        </w:rPr>
        <w:t>Regulations</w:t>
      </w:r>
      <w:r w:rsidRPr="00F843E0">
        <w:rPr>
          <w:rFonts w:ascii="Times New Roman" w:hAnsi="Times New Roman" w:cs="Times New Roman"/>
          <w:sz w:val="24"/>
          <w:szCs w:val="24"/>
        </w:rPr>
        <w:t xml:space="preserve"> commence on the day after registration on the Federal Register of Legislation.</w:t>
      </w:r>
    </w:p>
    <w:p w14:paraId="03B32C50" w14:textId="77777777" w:rsidR="00A24A90" w:rsidRPr="00F843E0" w:rsidRDefault="00A24A90" w:rsidP="00A24A90">
      <w:pPr>
        <w:ind w:right="-46"/>
        <w:rPr>
          <w:rFonts w:ascii="Times New Roman" w:hAnsi="Times New Roman" w:cs="Times New Roman"/>
          <w:sz w:val="24"/>
          <w:szCs w:val="24"/>
        </w:rPr>
      </w:pPr>
    </w:p>
    <w:p w14:paraId="0BB7BAA1" w14:textId="77777777" w:rsidR="00A24A90" w:rsidRPr="00F843E0" w:rsidRDefault="00A24A90" w:rsidP="00A24A90">
      <w:pPr>
        <w:rPr>
          <w:rFonts w:ascii="Times New Roman" w:hAnsi="Times New Roman" w:cs="Times New Roman"/>
          <w:b/>
          <w:bCs/>
          <w:sz w:val="24"/>
          <w:szCs w:val="24"/>
        </w:rPr>
      </w:pPr>
      <w:r w:rsidRPr="00F843E0">
        <w:rPr>
          <w:rFonts w:ascii="Times New Roman" w:hAnsi="Times New Roman" w:cs="Times New Roman"/>
          <w:b/>
          <w:bCs/>
          <w:sz w:val="24"/>
          <w:szCs w:val="24"/>
        </w:rPr>
        <w:t>Consultation</w:t>
      </w:r>
    </w:p>
    <w:p w14:paraId="227F637E" w14:textId="77777777" w:rsidR="00A24A90" w:rsidRPr="00F843E0" w:rsidRDefault="00A24A90" w:rsidP="00A24A90">
      <w:pPr>
        <w:rPr>
          <w:rFonts w:ascii="Times New Roman" w:hAnsi="Times New Roman" w:cs="Times New Roman"/>
          <w:bCs/>
          <w:sz w:val="24"/>
          <w:szCs w:val="24"/>
        </w:rPr>
      </w:pPr>
    </w:p>
    <w:p w14:paraId="0C18AAAC" w14:textId="77777777" w:rsidR="00A24A90" w:rsidRPr="00F843E0" w:rsidRDefault="00A24A90" w:rsidP="00A24A90">
      <w:pPr>
        <w:rPr>
          <w:rFonts w:ascii="Times New Roman" w:hAnsi="Times New Roman" w:cs="Times New Roman"/>
          <w:sz w:val="24"/>
          <w:szCs w:val="24"/>
        </w:rPr>
      </w:pPr>
      <w:r w:rsidRPr="00F843E0">
        <w:rPr>
          <w:rFonts w:ascii="Times New Roman" w:hAnsi="Times New Roman" w:cs="Times New Roman"/>
          <w:sz w:val="24"/>
          <w:szCs w:val="24"/>
        </w:rPr>
        <w:t xml:space="preserve">In accordance with section 17 of the </w:t>
      </w:r>
      <w:r w:rsidRPr="00F843E0">
        <w:rPr>
          <w:rFonts w:ascii="Times New Roman" w:hAnsi="Times New Roman" w:cs="Times New Roman"/>
          <w:i/>
          <w:iCs/>
          <w:sz w:val="24"/>
          <w:szCs w:val="24"/>
        </w:rPr>
        <w:t>Legislation Act 2003</w:t>
      </w:r>
      <w:r w:rsidRPr="00F843E0">
        <w:rPr>
          <w:rFonts w:ascii="Times New Roman" w:hAnsi="Times New Roman" w:cs="Times New Roman"/>
          <w:sz w:val="24"/>
          <w:szCs w:val="24"/>
        </w:rPr>
        <w:t xml:space="preserve">, consultation has taken place with the </w:t>
      </w:r>
      <w:r w:rsidRPr="001936F5">
        <w:rPr>
          <w:rFonts w:ascii="Times New Roman" w:eastAsia="Times New Roman" w:hAnsi="Times New Roman" w:cstheme="minorHAnsi"/>
          <w:iCs/>
          <w:sz w:val="24"/>
          <w:szCs w:val="24"/>
          <w:lang w:val="en-US" w:eastAsia="en-AU"/>
        </w:rPr>
        <w:t>Department of Foreign Affairs and Trade</w:t>
      </w:r>
      <w:r w:rsidRPr="00F843E0">
        <w:rPr>
          <w:rFonts w:ascii="Times New Roman" w:hAnsi="Times New Roman" w:cs="Times New Roman"/>
          <w:sz w:val="24"/>
          <w:szCs w:val="24"/>
        </w:rPr>
        <w:t>.</w:t>
      </w:r>
    </w:p>
    <w:p w14:paraId="2958506B" w14:textId="77777777" w:rsidR="00A24A90" w:rsidRPr="00F843E0" w:rsidRDefault="00A24A90" w:rsidP="00A24A90">
      <w:pPr>
        <w:rPr>
          <w:rFonts w:ascii="Times New Roman" w:hAnsi="Times New Roman" w:cs="Times New Roman"/>
          <w:sz w:val="24"/>
          <w:szCs w:val="24"/>
        </w:rPr>
      </w:pPr>
    </w:p>
    <w:p w14:paraId="3C11DABC" w14:textId="77777777" w:rsidR="00A24A90" w:rsidRPr="00F843E0" w:rsidRDefault="00A24A90" w:rsidP="00A24A90">
      <w:pPr>
        <w:rPr>
          <w:rFonts w:ascii="Times New Roman" w:hAnsi="Times New Roman" w:cs="Times New Roman"/>
          <w:sz w:val="24"/>
          <w:szCs w:val="24"/>
        </w:rPr>
      </w:pPr>
      <w:r w:rsidRPr="00F843E0">
        <w:rPr>
          <w:rFonts w:ascii="Times New Roman" w:hAnsi="Times New Roman" w:cs="Times New Roman"/>
          <w:iCs/>
          <w:sz w:val="24"/>
          <w:szCs w:val="24"/>
        </w:rPr>
        <w:t>A regulatory impact analysis is not required as the Regulations only apply to non</w:t>
      </w:r>
      <w:r w:rsidRPr="00F843E0">
        <w:rPr>
          <w:rFonts w:ascii="Times New Roman" w:hAnsi="Times New Roman" w:cs="Times New Roman"/>
          <w:iCs/>
          <w:sz w:val="24"/>
          <w:szCs w:val="24"/>
        </w:rPr>
        <w:noBreakHyphen/>
        <w:t xml:space="preserve">corporate Commonwealth entities and do not adversely affect the private sector. </w:t>
      </w:r>
    </w:p>
    <w:p w14:paraId="14012B2D" w14:textId="77777777" w:rsidR="00A24A90" w:rsidRPr="00F843E0" w:rsidRDefault="00A24A90" w:rsidP="00A24A90">
      <w:pPr>
        <w:contextualSpacing/>
        <w:rPr>
          <w:rFonts w:ascii="Times New Roman" w:hAnsi="Times New Roman" w:cs="Times New Roman"/>
          <w:sz w:val="24"/>
          <w:szCs w:val="24"/>
        </w:rPr>
        <w:sectPr w:rsidR="00A24A90" w:rsidRPr="00F843E0" w:rsidSect="00A24A90">
          <w:headerReference w:type="default" r:id="rId10"/>
          <w:headerReference w:type="first" r:id="rId11"/>
          <w:pgSz w:w="11906" w:h="16838"/>
          <w:pgMar w:top="1418" w:right="1440" w:bottom="1332" w:left="1440" w:header="709" w:footer="709" w:gutter="0"/>
          <w:pgNumType w:start="1"/>
          <w:cols w:space="708"/>
          <w:titlePg/>
          <w:docGrid w:linePitch="360"/>
        </w:sectPr>
      </w:pPr>
    </w:p>
    <w:p w14:paraId="0BE21EC3" w14:textId="77777777" w:rsidR="00A24A90" w:rsidRPr="00F843E0" w:rsidRDefault="00A24A90" w:rsidP="00A24A90">
      <w:pPr>
        <w:pStyle w:val="Header"/>
        <w:jc w:val="right"/>
        <w:rPr>
          <w:rFonts w:ascii="Times New Roman" w:hAnsi="Times New Roman" w:cs="Times New Roman"/>
          <w:b/>
          <w:sz w:val="24"/>
          <w:szCs w:val="24"/>
          <w:u w:val="single"/>
        </w:rPr>
      </w:pPr>
      <w:r w:rsidRPr="00F843E0">
        <w:rPr>
          <w:rFonts w:ascii="Times New Roman" w:hAnsi="Times New Roman" w:cs="Times New Roman"/>
          <w:b/>
          <w:sz w:val="24"/>
          <w:szCs w:val="24"/>
          <w:u w:val="single"/>
        </w:rPr>
        <w:lastRenderedPageBreak/>
        <w:t>Attachment A</w:t>
      </w:r>
    </w:p>
    <w:p w14:paraId="7CC2E844" w14:textId="77777777" w:rsidR="00A24A90" w:rsidRPr="00F843E0" w:rsidRDefault="00A24A90" w:rsidP="00A24A90">
      <w:pPr>
        <w:contextualSpacing/>
        <w:rPr>
          <w:rFonts w:ascii="Times New Roman" w:hAnsi="Times New Roman" w:cs="Times New Roman"/>
          <w:sz w:val="24"/>
          <w:szCs w:val="24"/>
        </w:rPr>
      </w:pPr>
    </w:p>
    <w:p w14:paraId="5C557934" w14:textId="77777777" w:rsidR="00A24A90" w:rsidRPr="00F843E0" w:rsidRDefault="00A24A90" w:rsidP="00A24A90">
      <w:pPr>
        <w:contextualSpacing/>
        <w:rPr>
          <w:rFonts w:ascii="Times New Roman" w:hAnsi="Times New Roman" w:cs="Times New Roman"/>
          <w:b/>
          <w:bCs/>
          <w:i/>
          <w:sz w:val="24"/>
          <w:szCs w:val="24"/>
          <w:u w:val="single"/>
        </w:rPr>
      </w:pPr>
      <w:r w:rsidRPr="00F843E0">
        <w:rPr>
          <w:rFonts w:ascii="Times New Roman" w:hAnsi="Times New Roman" w:cs="Times New Roman"/>
          <w:b/>
          <w:bCs/>
          <w:sz w:val="24"/>
          <w:szCs w:val="24"/>
          <w:u w:val="single"/>
        </w:rPr>
        <w:t xml:space="preserve">Details of the </w:t>
      </w:r>
      <w:r w:rsidRPr="00F843E0">
        <w:rPr>
          <w:rFonts w:ascii="Times New Roman" w:hAnsi="Times New Roman" w:cs="Times New Roman"/>
          <w:b/>
          <w:bCs/>
          <w:i/>
          <w:sz w:val="24"/>
          <w:szCs w:val="24"/>
          <w:u w:val="single"/>
        </w:rPr>
        <w:t>Financial Framework (Supplementary Powers) Amendment</w:t>
      </w:r>
    </w:p>
    <w:p w14:paraId="5617AD82" w14:textId="77777777" w:rsidR="00A24A90" w:rsidRPr="00F843E0" w:rsidRDefault="00A24A90" w:rsidP="00A24A90">
      <w:pPr>
        <w:contextualSpacing/>
        <w:rPr>
          <w:rFonts w:ascii="Times New Roman" w:hAnsi="Times New Roman" w:cs="Times New Roman"/>
          <w:b/>
          <w:bCs/>
          <w:i/>
          <w:sz w:val="24"/>
          <w:szCs w:val="24"/>
          <w:u w:val="single"/>
        </w:rPr>
      </w:pPr>
      <w:r w:rsidRPr="00F843E0">
        <w:rPr>
          <w:rFonts w:ascii="Times New Roman" w:hAnsi="Times New Roman" w:cs="Times New Roman"/>
          <w:b/>
          <w:bCs/>
          <w:i/>
          <w:sz w:val="24"/>
          <w:szCs w:val="24"/>
          <w:u w:val="single"/>
        </w:rPr>
        <w:t>(</w:t>
      </w:r>
      <w:r>
        <w:rPr>
          <w:rFonts w:ascii="Times New Roman" w:hAnsi="Times New Roman"/>
          <w:b/>
          <w:i/>
          <w:sz w:val="24"/>
          <w:szCs w:val="24"/>
          <w:u w:val="single"/>
          <w:lang w:val="en-US"/>
        </w:rPr>
        <w:t>Foreign Affairs and Trade Measures</w:t>
      </w:r>
      <w:r w:rsidRPr="00F843E0">
        <w:rPr>
          <w:rFonts w:ascii="Times New Roman" w:hAnsi="Times New Roman"/>
          <w:b/>
          <w:i/>
          <w:sz w:val="24"/>
          <w:szCs w:val="24"/>
          <w:u w:val="single"/>
          <w:lang w:val="en-US"/>
        </w:rPr>
        <w:t xml:space="preserve"> No. </w:t>
      </w:r>
      <w:r>
        <w:rPr>
          <w:rFonts w:ascii="Times New Roman" w:hAnsi="Times New Roman"/>
          <w:b/>
          <w:i/>
          <w:sz w:val="24"/>
          <w:szCs w:val="24"/>
          <w:u w:val="single"/>
          <w:lang w:val="en-US"/>
        </w:rPr>
        <w:t>3</w:t>
      </w:r>
      <w:r w:rsidRPr="00F843E0">
        <w:rPr>
          <w:rFonts w:ascii="Times New Roman" w:hAnsi="Times New Roman"/>
          <w:b/>
          <w:i/>
          <w:sz w:val="24"/>
          <w:szCs w:val="24"/>
          <w:u w:val="single"/>
        </w:rPr>
        <w:t>)</w:t>
      </w:r>
      <w:r w:rsidRPr="00F843E0">
        <w:rPr>
          <w:rFonts w:ascii="Times New Roman" w:hAnsi="Times New Roman" w:cs="Times New Roman"/>
          <w:b/>
          <w:bCs/>
          <w:i/>
          <w:sz w:val="24"/>
          <w:szCs w:val="24"/>
          <w:u w:val="single"/>
        </w:rPr>
        <w:t xml:space="preserve"> Regulations 2024</w:t>
      </w:r>
    </w:p>
    <w:p w14:paraId="65684A76" w14:textId="77777777" w:rsidR="00A24A90" w:rsidRPr="00F843E0" w:rsidRDefault="00A24A90" w:rsidP="00A24A90">
      <w:pPr>
        <w:contextualSpacing/>
        <w:rPr>
          <w:rFonts w:ascii="Times New Roman" w:hAnsi="Times New Roman" w:cs="Times New Roman"/>
          <w:sz w:val="24"/>
          <w:szCs w:val="24"/>
        </w:rPr>
      </w:pPr>
    </w:p>
    <w:p w14:paraId="6CFD82D5" w14:textId="77777777" w:rsidR="00A24A90" w:rsidRPr="00F843E0" w:rsidRDefault="00A24A90" w:rsidP="00A24A90">
      <w:pPr>
        <w:contextualSpacing/>
        <w:rPr>
          <w:rFonts w:ascii="Times New Roman" w:hAnsi="Times New Roman" w:cs="Times New Roman"/>
          <w:b/>
          <w:sz w:val="24"/>
          <w:szCs w:val="24"/>
        </w:rPr>
      </w:pPr>
      <w:r w:rsidRPr="00F843E0">
        <w:rPr>
          <w:rFonts w:ascii="Times New Roman" w:hAnsi="Times New Roman" w:cs="Times New Roman"/>
          <w:b/>
          <w:sz w:val="24"/>
          <w:szCs w:val="24"/>
        </w:rPr>
        <w:t>Section 1 – Name</w:t>
      </w:r>
    </w:p>
    <w:p w14:paraId="549109C8" w14:textId="77777777" w:rsidR="00A24A90" w:rsidRPr="00F843E0" w:rsidRDefault="00A24A90" w:rsidP="00A24A90">
      <w:pPr>
        <w:contextualSpacing/>
        <w:rPr>
          <w:rFonts w:ascii="Times New Roman" w:hAnsi="Times New Roman" w:cs="Times New Roman"/>
          <w:sz w:val="24"/>
          <w:szCs w:val="24"/>
        </w:rPr>
      </w:pPr>
    </w:p>
    <w:p w14:paraId="5B3126C8" w14:textId="77777777" w:rsidR="00A24A90" w:rsidRPr="00F843E0" w:rsidRDefault="00A24A90" w:rsidP="00A24A90">
      <w:pPr>
        <w:contextualSpacing/>
        <w:rPr>
          <w:rFonts w:ascii="Times New Roman" w:hAnsi="Times New Roman" w:cs="Times New Roman"/>
          <w:bCs/>
          <w:i/>
          <w:sz w:val="24"/>
          <w:szCs w:val="24"/>
        </w:rPr>
      </w:pPr>
      <w:r w:rsidRPr="00F843E0">
        <w:rPr>
          <w:rFonts w:ascii="Times New Roman" w:hAnsi="Times New Roman" w:cs="Times New Roman"/>
          <w:sz w:val="24"/>
          <w:szCs w:val="24"/>
        </w:rPr>
        <w:t xml:space="preserve">This section provides that the title of the Regulations is the </w:t>
      </w:r>
      <w:r w:rsidRPr="00F843E0">
        <w:rPr>
          <w:rFonts w:ascii="Times New Roman" w:hAnsi="Times New Roman" w:cs="Times New Roman"/>
          <w:bCs/>
          <w:i/>
          <w:sz w:val="24"/>
          <w:szCs w:val="24"/>
        </w:rPr>
        <w:t>Financial Framework (Supplementary Powers) Amendment (</w:t>
      </w:r>
      <w:r>
        <w:rPr>
          <w:rFonts w:ascii="Times New Roman" w:hAnsi="Times New Roman" w:cs="Times New Roman"/>
          <w:i/>
          <w:sz w:val="24"/>
          <w:szCs w:val="24"/>
          <w:lang w:val="en-US"/>
        </w:rPr>
        <w:t>Foreign Affairs and Trade</w:t>
      </w:r>
      <w:r w:rsidRPr="00B7124E">
        <w:rPr>
          <w:rFonts w:ascii="Times New Roman" w:hAnsi="Times New Roman" w:cs="Times New Roman"/>
          <w:i/>
          <w:sz w:val="24"/>
          <w:szCs w:val="24"/>
          <w:lang w:val="en-US"/>
        </w:rPr>
        <w:t xml:space="preserve"> </w:t>
      </w:r>
      <w:r w:rsidRPr="00F843E0">
        <w:rPr>
          <w:rFonts w:ascii="Times New Roman" w:hAnsi="Times New Roman" w:cs="Times New Roman"/>
          <w:i/>
          <w:sz w:val="24"/>
          <w:szCs w:val="24"/>
          <w:lang w:val="en-US"/>
        </w:rPr>
        <w:t xml:space="preserve">Measures No. </w:t>
      </w:r>
      <w:r>
        <w:rPr>
          <w:rFonts w:ascii="Times New Roman" w:hAnsi="Times New Roman" w:cs="Times New Roman"/>
          <w:i/>
          <w:sz w:val="24"/>
          <w:szCs w:val="24"/>
          <w:lang w:val="en-US"/>
        </w:rPr>
        <w:t>3</w:t>
      </w:r>
      <w:r w:rsidRPr="00F843E0">
        <w:rPr>
          <w:rFonts w:ascii="Times New Roman" w:hAnsi="Times New Roman" w:cs="Times New Roman"/>
          <w:bCs/>
          <w:i/>
          <w:sz w:val="24"/>
          <w:szCs w:val="24"/>
        </w:rPr>
        <w:t>) Regulations 2024.</w:t>
      </w:r>
    </w:p>
    <w:p w14:paraId="07A99A6E" w14:textId="77777777" w:rsidR="00A24A90" w:rsidRPr="00F843E0" w:rsidRDefault="00A24A90" w:rsidP="00A24A90">
      <w:pPr>
        <w:rPr>
          <w:rFonts w:ascii="Times New Roman" w:hAnsi="Times New Roman" w:cs="Times New Roman"/>
          <w:sz w:val="24"/>
          <w:szCs w:val="24"/>
        </w:rPr>
      </w:pPr>
    </w:p>
    <w:p w14:paraId="1096244A" w14:textId="77777777" w:rsidR="00A24A90" w:rsidRPr="00F843E0" w:rsidRDefault="00A24A90" w:rsidP="00A24A90">
      <w:pPr>
        <w:contextualSpacing/>
        <w:rPr>
          <w:rFonts w:ascii="Times New Roman" w:hAnsi="Times New Roman" w:cs="Times New Roman"/>
          <w:b/>
          <w:sz w:val="24"/>
          <w:szCs w:val="24"/>
        </w:rPr>
      </w:pPr>
      <w:r w:rsidRPr="00F843E0">
        <w:rPr>
          <w:rFonts w:ascii="Times New Roman" w:hAnsi="Times New Roman" w:cs="Times New Roman"/>
          <w:b/>
          <w:sz w:val="24"/>
          <w:szCs w:val="24"/>
        </w:rPr>
        <w:t>Section 2 – Commencement</w:t>
      </w:r>
    </w:p>
    <w:p w14:paraId="6AFAD271" w14:textId="77777777" w:rsidR="00A24A90" w:rsidRPr="00F843E0" w:rsidRDefault="00A24A90" w:rsidP="00A24A90">
      <w:pPr>
        <w:contextualSpacing/>
        <w:rPr>
          <w:rFonts w:ascii="Times New Roman" w:hAnsi="Times New Roman" w:cs="Times New Roman"/>
          <w:sz w:val="24"/>
          <w:szCs w:val="24"/>
        </w:rPr>
      </w:pPr>
    </w:p>
    <w:p w14:paraId="336835A8" w14:textId="77777777" w:rsidR="00A24A90" w:rsidRPr="00F843E0" w:rsidRDefault="00A24A90" w:rsidP="00A24A90">
      <w:pPr>
        <w:contextualSpacing/>
        <w:rPr>
          <w:rFonts w:ascii="Times New Roman" w:hAnsi="Times New Roman" w:cs="Times New Roman"/>
          <w:sz w:val="24"/>
          <w:szCs w:val="24"/>
        </w:rPr>
      </w:pPr>
      <w:r w:rsidRPr="00F843E0">
        <w:rPr>
          <w:rFonts w:ascii="Times New Roman" w:hAnsi="Times New Roman" w:cs="Times New Roman"/>
          <w:sz w:val="24"/>
          <w:szCs w:val="24"/>
        </w:rPr>
        <w:t>This section provides that the Regulations commence on the day after registration on the Federal Register of Legislation.</w:t>
      </w:r>
    </w:p>
    <w:p w14:paraId="3FDF4A91" w14:textId="77777777" w:rsidR="00A24A90" w:rsidRPr="00F843E0" w:rsidRDefault="00A24A90" w:rsidP="00A24A90">
      <w:pPr>
        <w:contextualSpacing/>
        <w:rPr>
          <w:rFonts w:ascii="Times New Roman" w:hAnsi="Times New Roman" w:cs="Times New Roman"/>
          <w:sz w:val="24"/>
          <w:szCs w:val="24"/>
        </w:rPr>
      </w:pPr>
    </w:p>
    <w:p w14:paraId="743C8306" w14:textId="77777777" w:rsidR="00A24A90" w:rsidRPr="00F843E0" w:rsidRDefault="00A24A90" w:rsidP="00A24A90">
      <w:pPr>
        <w:contextualSpacing/>
        <w:rPr>
          <w:rFonts w:ascii="Times New Roman" w:hAnsi="Times New Roman" w:cs="Times New Roman"/>
          <w:b/>
          <w:i/>
          <w:sz w:val="24"/>
          <w:szCs w:val="24"/>
        </w:rPr>
      </w:pPr>
      <w:r w:rsidRPr="00F843E0">
        <w:rPr>
          <w:rFonts w:ascii="Times New Roman" w:hAnsi="Times New Roman" w:cs="Times New Roman"/>
          <w:b/>
          <w:sz w:val="24"/>
          <w:szCs w:val="24"/>
        </w:rPr>
        <w:t>Section 3 – Authority</w:t>
      </w:r>
    </w:p>
    <w:p w14:paraId="507B8207" w14:textId="77777777" w:rsidR="00A24A90" w:rsidRPr="00F843E0" w:rsidRDefault="00A24A90" w:rsidP="00A24A90">
      <w:pPr>
        <w:contextualSpacing/>
        <w:rPr>
          <w:rFonts w:ascii="Times New Roman" w:hAnsi="Times New Roman" w:cs="Times New Roman"/>
          <w:sz w:val="24"/>
          <w:szCs w:val="24"/>
        </w:rPr>
      </w:pPr>
    </w:p>
    <w:p w14:paraId="2D382255" w14:textId="77777777" w:rsidR="00A24A90" w:rsidRPr="00F843E0" w:rsidRDefault="00A24A90" w:rsidP="00A24A90">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This section provides that the Regulations are made under the </w:t>
      </w:r>
      <w:r w:rsidRPr="00F843E0">
        <w:rPr>
          <w:rFonts w:ascii="Times New Roman" w:hAnsi="Times New Roman" w:cs="Times New Roman"/>
          <w:i/>
          <w:sz w:val="24"/>
          <w:szCs w:val="24"/>
        </w:rPr>
        <w:t xml:space="preserve">Financial </w:t>
      </w:r>
      <w:r w:rsidRPr="00F843E0">
        <w:rPr>
          <w:rFonts w:ascii="Times New Roman" w:hAnsi="Times New Roman" w:cs="Times New Roman"/>
          <w:bCs/>
          <w:i/>
          <w:sz w:val="24"/>
          <w:szCs w:val="24"/>
        </w:rPr>
        <w:t xml:space="preserve">Framework (Supplementary Powers) </w:t>
      </w:r>
      <w:r w:rsidRPr="00F843E0">
        <w:rPr>
          <w:rFonts w:ascii="Times New Roman" w:hAnsi="Times New Roman" w:cs="Times New Roman"/>
          <w:i/>
          <w:sz w:val="24"/>
          <w:szCs w:val="24"/>
        </w:rPr>
        <w:t>Act 1997</w:t>
      </w:r>
      <w:r w:rsidRPr="00F843E0">
        <w:rPr>
          <w:rFonts w:ascii="Times New Roman" w:hAnsi="Times New Roman" w:cs="Times New Roman"/>
          <w:sz w:val="24"/>
          <w:szCs w:val="24"/>
        </w:rPr>
        <w:t>.</w:t>
      </w:r>
    </w:p>
    <w:p w14:paraId="5D89DDE9" w14:textId="77777777" w:rsidR="00A24A90" w:rsidRPr="00F843E0" w:rsidRDefault="00A24A90" w:rsidP="00A24A90">
      <w:pPr>
        <w:contextualSpacing/>
        <w:rPr>
          <w:rFonts w:ascii="Times New Roman" w:hAnsi="Times New Roman" w:cs="Times New Roman"/>
          <w:sz w:val="24"/>
          <w:szCs w:val="24"/>
        </w:rPr>
      </w:pPr>
    </w:p>
    <w:p w14:paraId="0D1314FB" w14:textId="77777777" w:rsidR="00A24A90" w:rsidRPr="00F843E0" w:rsidRDefault="00A24A90" w:rsidP="00A24A90">
      <w:pPr>
        <w:contextualSpacing/>
        <w:rPr>
          <w:rFonts w:ascii="Times New Roman" w:hAnsi="Times New Roman" w:cs="Times New Roman"/>
          <w:b/>
          <w:i/>
          <w:sz w:val="24"/>
          <w:szCs w:val="24"/>
        </w:rPr>
      </w:pPr>
      <w:r w:rsidRPr="00F843E0">
        <w:rPr>
          <w:rFonts w:ascii="Times New Roman" w:hAnsi="Times New Roman" w:cs="Times New Roman"/>
          <w:b/>
          <w:sz w:val="24"/>
          <w:szCs w:val="24"/>
        </w:rPr>
        <w:t>Section 4 – Schedules</w:t>
      </w:r>
    </w:p>
    <w:p w14:paraId="301892CA" w14:textId="77777777" w:rsidR="00A24A90" w:rsidRPr="00F843E0" w:rsidRDefault="00A24A90" w:rsidP="00A24A90">
      <w:pPr>
        <w:contextualSpacing/>
        <w:rPr>
          <w:rFonts w:ascii="Times New Roman" w:hAnsi="Times New Roman" w:cs="Times New Roman"/>
          <w:sz w:val="24"/>
          <w:szCs w:val="24"/>
        </w:rPr>
      </w:pPr>
    </w:p>
    <w:p w14:paraId="39C40C4D" w14:textId="77777777" w:rsidR="00A24A90" w:rsidRPr="00F843E0" w:rsidRDefault="00A24A90" w:rsidP="00A24A90">
      <w:pPr>
        <w:contextualSpacing/>
        <w:rPr>
          <w:rFonts w:ascii="Times New Roman" w:hAnsi="Times New Roman" w:cs="Times New Roman"/>
          <w:sz w:val="24"/>
          <w:szCs w:val="24"/>
        </w:rPr>
      </w:pPr>
      <w:r w:rsidRPr="00F843E0">
        <w:rPr>
          <w:rFonts w:ascii="Times New Roman" w:hAnsi="Times New Roman" w:cs="Times New Roman"/>
          <w:sz w:val="24"/>
          <w:szCs w:val="24"/>
        </w:rPr>
        <w:t xml:space="preserve">This section provides that the </w:t>
      </w:r>
      <w:r w:rsidRPr="00F843E0">
        <w:rPr>
          <w:rFonts w:ascii="Times New Roman" w:hAnsi="Times New Roman" w:cs="Times New Roman"/>
          <w:i/>
          <w:sz w:val="24"/>
          <w:szCs w:val="24"/>
        </w:rPr>
        <w:t xml:space="preserve">Financial </w:t>
      </w:r>
      <w:r w:rsidRPr="00F843E0">
        <w:rPr>
          <w:rFonts w:ascii="Times New Roman" w:hAnsi="Times New Roman" w:cs="Times New Roman"/>
          <w:bCs/>
          <w:i/>
          <w:sz w:val="24"/>
          <w:szCs w:val="24"/>
        </w:rPr>
        <w:t xml:space="preserve">Framework (Supplementary Powers) </w:t>
      </w:r>
      <w:r w:rsidRPr="00F843E0">
        <w:rPr>
          <w:rFonts w:ascii="Times New Roman" w:hAnsi="Times New Roman" w:cs="Times New Roman"/>
          <w:i/>
          <w:sz w:val="24"/>
          <w:szCs w:val="24"/>
        </w:rPr>
        <w:t>Regulations 1997</w:t>
      </w:r>
      <w:r w:rsidRPr="00F843E0">
        <w:rPr>
          <w:rFonts w:ascii="Times New Roman" w:hAnsi="Times New Roman" w:cs="Times New Roman"/>
          <w:sz w:val="24"/>
          <w:szCs w:val="24"/>
        </w:rPr>
        <w:t xml:space="preserve"> are amended as set out in the Schedule to the Regulations.</w:t>
      </w:r>
    </w:p>
    <w:p w14:paraId="3118B34D" w14:textId="77777777" w:rsidR="00A24A90" w:rsidRPr="00F843E0" w:rsidRDefault="00A24A90" w:rsidP="00A24A90">
      <w:pPr>
        <w:contextualSpacing/>
        <w:rPr>
          <w:rFonts w:ascii="Times New Roman" w:hAnsi="Times New Roman" w:cs="Times New Roman"/>
          <w:sz w:val="24"/>
          <w:szCs w:val="24"/>
        </w:rPr>
      </w:pPr>
    </w:p>
    <w:p w14:paraId="1BA355D6" w14:textId="77777777" w:rsidR="00A24A90" w:rsidRPr="00F843E0" w:rsidRDefault="00A24A90" w:rsidP="00A24A90">
      <w:pPr>
        <w:contextualSpacing/>
        <w:rPr>
          <w:rFonts w:ascii="Times New Roman" w:hAnsi="Times New Roman" w:cs="Times New Roman"/>
          <w:b/>
          <w:sz w:val="24"/>
          <w:szCs w:val="24"/>
        </w:rPr>
      </w:pPr>
      <w:r w:rsidRPr="00F843E0">
        <w:rPr>
          <w:rFonts w:ascii="Times New Roman" w:hAnsi="Times New Roman" w:cs="Times New Roman"/>
          <w:b/>
          <w:sz w:val="24"/>
          <w:szCs w:val="24"/>
        </w:rPr>
        <w:t>Schedule 1 – Amendments</w:t>
      </w:r>
    </w:p>
    <w:p w14:paraId="6420A372" w14:textId="77777777" w:rsidR="00A24A90" w:rsidRPr="00F843E0" w:rsidRDefault="00A24A90" w:rsidP="00A24A90">
      <w:pPr>
        <w:contextualSpacing/>
        <w:rPr>
          <w:rFonts w:ascii="Times New Roman" w:hAnsi="Times New Roman" w:cs="Times New Roman"/>
          <w:b/>
          <w:sz w:val="24"/>
          <w:szCs w:val="24"/>
        </w:rPr>
      </w:pPr>
    </w:p>
    <w:p w14:paraId="532B28CD" w14:textId="77777777" w:rsidR="00A24A90" w:rsidRPr="00F843E0" w:rsidRDefault="00A24A90" w:rsidP="00A24A90">
      <w:pPr>
        <w:rPr>
          <w:rFonts w:ascii="Times New Roman" w:hAnsi="Times New Roman" w:cs="Times New Roman"/>
          <w:b/>
          <w:i/>
          <w:sz w:val="24"/>
          <w:szCs w:val="24"/>
        </w:rPr>
      </w:pPr>
      <w:r w:rsidRPr="00F843E0">
        <w:rPr>
          <w:rFonts w:ascii="Times New Roman" w:hAnsi="Times New Roman" w:cs="Times New Roman"/>
          <w:b/>
          <w:i/>
          <w:sz w:val="24"/>
          <w:szCs w:val="24"/>
        </w:rPr>
        <w:t>Financial Framework (Supplementary Powers) Regulations 1997</w:t>
      </w:r>
    </w:p>
    <w:p w14:paraId="39C918E4" w14:textId="77777777" w:rsidR="00A24A90" w:rsidRDefault="00A24A90" w:rsidP="00A24A90">
      <w:pPr>
        <w:rPr>
          <w:rFonts w:ascii="Times New Roman" w:hAnsi="Times New Roman" w:cs="Times New Roman"/>
          <w:b/>
          <w:sz w:val="24"/>
          <w:szCs w:val="24"/>
        </w:rPr>
      </w:pPr>
    </w:p>
    <w:p w14:paraId="72CCA330" w14:textId="77777777" w:rsidR="00A24A90" w:rsidRPr="00C23A57" w:rsidRDefault="00A24A90" w:rsidP="00A24A90">
      <w:pPr>
        <w:pStyle w:val="ItemHead"/>
        <w:keepLines w:val="0"/>
        <w:spacing w:before="0"/>
        <w:rPr>
          <w:rFonts w:ascii="Times New Roman" w:hAnsi="Times New Roman"/>
        </w:rPr>
      </w:pPr>
      <w:r w:rsidRPr="00C23A57">
        <w:rPr>
          <w:rFonts w:ascii="Times New Roman" w:hAnsi="Times New Roman"/>
        </w:rPr>
        <w:t xml:space="preserve">Item </w:t>
      </w:r>
      <w:r>
        <w:rPr>
          <w:rFonts w:ascii="Times New Roman" w:hAnsi="Times New Roman"/>
        </w:rPr>
        <w:t>1</w:t>
      </w:r>
      <w:r w:rsidRPr="00C23A57">
        <w:rPr>
          <w:rFonts w:ascii="Times New Roman" w:hAnsi="Times New Roman"/>
        </w:rPr>
        <w:t xml:space="preserve"> </w:t>
      </w:r>
      <w:r>
        <w:rPr>
          <w:rFonts w:ascii="Times New Roman" w:hAnsi="Times New Roman"/>
        </w:rPr>
        <w:t xml:space="preserve">- In the appropriate position in </w:t>
      </w:r>
      <w:r w:rsidRPr="00C23A57">
        <w:rPr>
          <w:rFonts w:ascii="Times New Roman" w:hAnsi="Times New Roman"/>
        </w:rPr>
        <w:t>Part 4 of Schedule 1AB</w:t>
      </w:r>
      <w:r>
        <w:rPr>
          <w:rFonts w:ascii="Times New Roman" w:hAnsi="Times New Roman"/>
        </w:rPr>
        <w:t xml:space="preserve"> (table)</w:t>
      </w:r>
    </w:p>
    <w:p w14:paraId="2F9D69C4" w14:textId="77777777" w:rsidR="00A24A90" w:rsidRDefault="00A24A90" w:rsidP="00A24A90">
      <w:pPr>
        <w:ind w:right="-46"/>
        <w:rPr>
          <w:rFonts w:ascii="Times New Roman" w:hAnsi="Times New Roman" w:cs="Times New Roman"/>
          <w:iCs/>
          <w:sz w:val="24"/>
          <w:szCs w:val="24"/>
        </w:rPr>
      </w:pPr>
    </w:p>
    <w:p w14:paraId="44EF4B76" w14:textId="77777777" w:rsidR="00A24A90" w:rsidRPr="00D22C50" w:rsidRDefault="00A24A90" w:rsidP="00A24A90">
      <w:pPr>
        <w:rPr>
          <w:rFonts w:ascii="Times New Roman" w:hAnsi="Times New Roman"/>
          <w:sz w:val="24"/>
          <w:szCs w:val="24"/>
        </w:rPr>
      </w:pPr>
      <w:r w:rsidRPr="00F843E0">
        <w:rPr>
          <w:rFonts w:ascii="Times New Roman" w:hAnsi="Times New Roman" w:cs="Times New Roman"/>
          <w:iCs/>
          <w:sz w:val="24"/>
          <w:szCs w:val="24"/>
        </w:rPr>
        <w:t xml:space="preserve">This </w:t>
      </w:r>
      <w:r>
        <w:rPr>
          <w:rFonts w:ascii="Times New Roman" w:hAnsi="Times New Roman" w:cs="Times New Roman"/>
          <w:iCs/>
          <w:sz w:val="24"/>
          <w:szCs w:val="24"/>
        </w:rPr>
        <w:t>item</w:t>
      </w:r>
      <w:r w:rsidRPr="00F843E0">
        <w:rPr>
          <w:rFonts w:ascii="Times New Roman" w:hAnsi="Times New Roman" w:cs="Times New Roman"/>
          <w:iCs/>
          <w:sz w:val="24"/>
          <w:szCs w:val="24"/>
        </w:rPr>
        <w:t xml:space="preserve"> </w:t>
      </w:r>
      <w:r>
        <w:rPr>
          <w:rFonts w:ascii="Times New Roman" w:hAnsi="Times New Roman" w:cs="Times New Roman"/>
          <w:iCs/>
          <w:sz w:val="24"/>
          <w:szCs w:val="24"/>
        </w:rPr>
        <w:t xml:space="preserve">adds a </w:t>
      </w:r>
      <w:r w:rsidRPr="00281D11">
        <w:rPr>
          <w:rFonts w:ascii="Times New Roman" w:hAnsi="Times New Roman" w:cs="Times New Roman"/>
          <w:iCs/>
          <w:sz w:val="24"/>
          <w:szCs w:val="24"/>
        </w:rPr>
        <w:t>new table item to</w:t>
      </w:r>
      <w:r w:rsidRPr="00F843E0">
        <w:rPr>
          <w:rFonts w:ascii="Times New Roman" w:hAnsi="Times New Roman" w:cs="Times New Roman"/>
          <w:iCs/>
          <w:sz w:val="24"/>
          <w:szCs w:val="24"/>
        </w:rPr>
        <w:t xml:space="preserve"> Part 4 of Schedule 1AB </w:t>
      </w:r>
      <w:r>
        <w:rPr>
          <w:rFonts w:ascii="Times New Roman" w:hAnsi="Times New Roman" w:cs="Times New Roman"/>
          <w:iCs/>
          <w:sz w:val="24"/>
          <w:szCs w:val="24"/>
        </w:rPr>
        <w:t xml:space="preserve">to establish </w:t>
      </w:r>
      <w:r w:rsidRPr="008615DA">
        <w:rPr>
          <w:rFonts w:ascii="Times New Roman" w:hAnsi="Times New Roman" w:cs="Times New Roman"/>
          <w:iCs/>
          <w:sz w:val="24"/>
          <w:szCs w:val="24"/>
        </w:rPr>
        <w:t>legislative authority for government spending on crisis related consular services administered by the Department of Foreign Affairs and Trade (the department).</w:t>
      </w:r>
    </w:p>
    <w:p w14:paraId="2B2EBDBE" w14:textId="77777777" w:rsidR="00A24A90" w:rsidRDefault="00A24A90" w:rsidP="00A24A90">
      <w:pPr>
        <w:ind w:right="-46"/>
        <w:rPr>
          <w:rFonts w:ascii="Times New Roman" w:hAnsi="Times New Roman" w:cs="Times New Roman"/>
          <w:iCs/>
          <w:sz w:val="24"/>
          <w:szCs w:val="24"/>
        </w:rPr>
      </w:pPr>
    </w:p>
    <w:p w14:paraId="3B31EDA0" w14:textId="597F598B" w:rsidR="00A24A90" w:rsidRPr="003971F7" w:rsidRDefault="00A24A90" w:rsidP="00A24A90">
      <w:pPr>
        <w:keepNext/>
        <w:ind w:right="-46"/>
        <w:rPr>
          <w:rFonts w:ascii="Times New Roman" w:hAnsi="Times New Roman" w:cs="Times New Roman"/>
          <w:i/>
          <w:iCs/>
          <w:color w:val="000000" w:themeColor="text1"/>
          <w:sz w:val="24"/>
          <w:szCs w:val="24"/>
          <w:u w:val="single"/>
        </w:rPr>
      </w:pPr>
      <w:r w:rsidRPr="003971F7">
        <w:rPr>
          <w:rFonts w:ascii="Times New Roman" w:hAnsi="Times New Roman" w:cs="Times New Roman"/>
          <w:i/>
          <w:iCs/>
          <w:color w:val="000000" w:themeColor="text1"/>
          <w:sz w:val="24"/>
          <w:szCs w:val="24"/>
          <w:u w:val="single"/>
        </w:rPr>
        <w:t xml:space="preserve">Table item </w:t>
      </w:r>
      <w:r w:rsidR="006426C4">
        <w:rPr>
          <w:rFonts w:ascii="Times New Roman" w:hAnsi="Times New Roman" w:cs="Times New Roman"/>
          <w:i/>
          <w:iCs/>
          <w:color w:val="000000" w:themeColor="text1"/>
          <w:sz w:val="24"/>
          <w:szCs w:val="24"/>
          <w:u w:val="single"/>
        </w:rPr>
        <w:t>684</w:t>
      </w:r>
      <w:r w:rsidR="006426C4" w:rsidRPr="003971F7">
        <w:rPr>
          <w:rFonts w:ascii="Times New Roman" w:hAnsi="Times New Roman" w:cs="Times New Roman"/>
          <w:i/>
          <w:iCs/>
          <w:color w:val="000000" w:themeColor="text1"/>
          <w:sz w:val="24"/>
          <w:szCs w:val="24"/>
          <w:u w:val="single"/>
        </w:rPr>
        <w:t xml:space="preserve"> </w:t>
      </w:r>
      <w:r w:rsidRPr="003971F7">
        <w:rPr>
          <w:rFonts w:ascii="Times New Roman" w:hAnsi="Times New Roman" w:cs="Times New Roman"/>
          <w:i/>
          <w:iCs/>
          <w:color w:val="000000" w:themeColor="text1"/>
          <w:sz w:val="24"/>
          <w:szCs w:val="24"/>
          <w:u w:val="single"/>
        </w:rPr>
        <w:t xml:space="preserve">– </w:t>
      </w:r>
      <w:r w:rsidRPr="00ED0B63">
        <w:rPr>
          <w:rFonts w:ascii="Times New Roman" w:hAnsi="Times New Roman" w:cs="Times New Roman"/>
          <w:i/>
          <w:iCs/>
          <w:color w:val="000000" w:themeColor="text1"/>
          <w:sz w:val="24"/>
          <w:szCs w:val="24"/>
          <w:u w:val="single"/>
        </w:rPr>
        <w:t xml:space="preserve">Support for </w:t>
      </w:r>
      <w:r w:rsidR="006426C4" w:rsidRPr="00ED0B63">
        <w:rPr>
          <w:rFonts w:ascii="Times New Roman" w:hAnsi="Times New Roman" w:cs="Times New Roman"/>
          <w:i/>
          <w:iCs/>
          <w:color w:val="000000" w:themeColor="text1"/>
          <w:sz w:val="24"/>
          <w:szCs w:val="24"/>
          <w:u w:val="single"/>
        </w:rPr>
        <w:t>non-citizens</w:t>
      </w:r>
      <w:r w:rsidRPr="00ED0B63">
        <w:rPr>
          <w:rFonts w:ascii="Times New Roman" w:hAnsi="Times New Roman" w:cs="Times New Roman"/>
          <w:i/>
          <w:iCs/>
          <w:color w:val="000000" w:themeColor="text1"/>
          <w:sz w:val="24"/>
          <w:szCs w:val="24"/>
          <w:u w:val="single"/>
        </w:rPr>
        <w:t xml:space="preserve"> during overseas crisis</w:t>
      </w:r>
    </w:p>
    <w:p w14:paraId="0575F788" w14:textId="77777777" w:rsidR="00A24A90" w:rsidRDefault="00A24A90" w:rsidP="00A24A90">
      <w:pPr>
        <w:rPr>
          <w:rFonts w:ascii="Times New Roman" w:hAnsi="Times New Roman" w:cs="Times New Roman"/>
          <w:sz w:val="24"/>
          <w:szCs w:val="24"/>
        </w:rPr>
      </w:pPr>
    </w:p>
    <w:p w14:paraId="19A5DF2C" w14:textId="5751AD5F" w:rsidR="00A24A90" w:rsidRDefault="00A24A90" w:rsidP="00A24A90">
      <w:pPr>
        <w:rPr>
          <w:rFonts w:ascii="Times New Roman" w:hAnsi="Times New Roman" w:cs="Times New Roman"/>
          <w:bCs/>
          <w:iCs/>
          <w:color w:val="000000" w:themeColor="text1"/>
          <w:sz w:val="24"/>
          <w:szCs w:val="24"/>
          <w:highlight w:val="yellow"/>
        </w:rPr>
      </w:pPr>
      <w:bookmarkStart w:id="0" w:name="_Hlk175245088"/>
      <w:r w:rsidRPr="00BA0E77">
        <w:rPr>
          <w:rFonts w:ascii="Times New Roman" w:hAnsi="Times New Roman" w:cs="Times New Roman"/>
          <w:iCs/>
          <w:color w:val="000000" w:themeColor="text1"/>
          <w:sz w:val="24"/>
          <w:szCs w:val="24"/>
        </w:rPr>
        <w:t xml:space="preserve">New </w:t>
      </w:r>
      <w:bookmarkStart w:id="1" w:name="_Hlk139612626"/>
      <w:r w:rsidRPr="00BA0E77">
        <w:rPr>
          <w:rFonts w:ascii="Times New Roman" w:hAnsi="Times New Roman" w:cs="Times New Roman"/>
          <w:b/>
          <w:iCs/>
          <w:color w:val="000000" w:themeColor="text1"/>
          <w:sz w:val="24"/>
          <w:szCs w:val="24"/>
        </w:rPr>
        <w:t xml:space="preserve">table </w:t>
      </w:r>
      <w:r w:rsidRPr="006426C4">
        <w:rPr>
          <w:rFonts w:ascii="Times New Roman" w:hAnsi="Times New Roman" w:cs="Times New Roman"/>
          <w:b/>
          <w:iCs/>
          <w:color w:val="000000" w:themeColor="text1"/>
          <w:sz w:val="24"/>
          <w:szCs w:val="24"/>
        </w:rPr>
        <w:t xml:space="preserve">item </w:t>
      </w:r>
      <w:r w:rsidR="006426C4" w:rsidRPr="006426C4">
        <w:rPr>
          <w:rFonts w:ascii="Times New Roman" w:hAnsi="Times New Roman" w:cs="Times New Roman"/>
          <w:b/>
          <w:iCs/>
          <w:color w:val="000000" w:themeColor="text1"/>
          <w:sz w:val="24"/>
          <w:szCs w:val="24"/>
        </w:rPr>
        <w:t>684</w:t>
      </w:r>
      <w:r w:rsidR="006426C4" w:rsidRPr="006426C4">
        <w:rPr>
          <w:rFonts w:ascii="Times New Roman" w:hAnsi="Times New Roman" w:cs="Times New Roman"/>
          <w:iCs/>
          <w:color w:val="000000" w:themeColor="text1"/>
          <w:sz w:val="24"/>
          <w:szCs w:val="24"/>
        </w:rPr>
        <w:t xml:space="preserve"> </w:t>
      </w:r>
      <w:r w:rsidRPr="006426C4">
        <w:rPr>
          <w:rFonts w:ascii="Times New Roman" w:hAnsi="Times New Roman" w:cs="Times New Roman"/>
          <w:iCs/>
          <w:color w:val="000000" w:themeColor="text1"/>
          <w:sz w:val="24"/>
          <w:szCs w:val="24"/>
        </w:rPr>
        <w:t>provides</w:t>
      </w:r>
      <w:r w:rsidRPr="00CB5B88">
        <w:rPr>
          <w:rFonts w:ascii="Times New Roman" w:hAnsi="Times New Roman" w:cs="Times New Roman"/>
          <w:iCs/>
          <w:color w:val="000000" w:themeColor="text1"/>
          <w:sz w:val="24"/>
          <w:szCs w:val="24"/>
        </w:rPr>
        <w:t xml:space="preserve"> </w:t>
      </w:r>
      <w:r w:rsidRPr="0096590C">
        <w:rPr>
          <w:rFonts w:ascii="Times New Roman" w:hAnsi="Times New Roman" w:cs="Times New Roman"/>
          <w:iCs/>
          <w:color w:val="000000" w:themeColor="text1"/>
          <w:sz w:val="24"/>
          <w:szCs w:val="24"/>
        </w:rPr>
        <w:t>legislative authority</w:t>
      </w:r>
      <w:r w:rsidRPr="0096590C">
        <w:rPr>
          <w:rFonts w:ascii="Times New Roman" w:hAnsi="Times New Roman" w:cs="Times New Roman"/>
          <w:bCs/>
          <w:iCs/>
          <w:color w:val="000000" w:themeColor="text1"/>
          <w:sz w:val="24"/>
          <w:szCs w:val="24"/>
        </w:rPr>
        <w:t xml:space="preserve"> </w:t>
      </w:r>
      <w:bookmarkEnd w:id="1"/>
      <w:r w:rsidRPr="0096590C">
        <w:rPr>
          <w:rFonts w:ascii="Times New Roman" w:hAnsi="Times New Roman" w:cs="Times New Roman"/>
          <w:bCs/>
          <w:iCs/>
          <w:color w:val="000000" w:themeColor="text1"/>
          <w:sz w:val="24"/>
          <w:szCs w:val="24"/>
        </w:rPr>
        <w:t xml:space="preserve">for </w:t>
      </w:r>
      <w:r>
        <w:rPr>
          <w:rFonts w:ascii="Times New Roman" w:hAnsi="Times New Roman" w:cs="Times New Roman"/>
          <w:bCs/>
          <w:iCs/>
          <w:color w:val="000000" w:themeColor="text1"/>
          <w:sz w:val="24"/>
          <w:szCs w:val="24"/>
        </w:rPr>
        <w:t>g</w:t>
      </w:r>
      <w:r w:rsidRPr="0096590C">
        <w:rPr>
          <w:rFonts w:ascii="Times New Roman" w:hAnsi="Times New Roman" w:cs="Times New Roman"/>
          <w:bCs/>
          <w:iCs/>
          <w:color w:val="000000" w:themeColor="text1"/>
          <w:sz w:val="24"/>
          <w:szCs w:val="24"/>
        </w:rPr>
        <w:t xml:space="preserve">overnment spending </w:t>
      </w:r>
      <w:r>
        <w:rPr>
          <w:rFonts w:ascii="Times New Roman" w:hAnsi="Times New Roman" w:cs="Times New Roman"/>
          <w:bCs/>
          <w:iCs/>
          <w:color w:val="000000" w:themeColor="text1"/>
          <w:sz w:val="24"/>
          <w:szCs w:val="24"/>
        </w:rPr>
        <w:t xml:space="preserve">to support </w:t>
      </w:r>
      <w:r>
        <w:rPr>
          <w:rFonts w:ascii="Times New Roman" w:hAnsi="Times New Roman" w:cs="Times New Roman"/>
          <w:bCs/>
          <w:iCs/>
          <w:color w:val="000000" w:themeColor="text1"/>
          <w:sz w:val="24"/>
          <w:szCs w:val="24"/>
        </w:rPr>
        <w:br/>
        <w:t>non-citizens in an overseas crisis</w:t>
      </w:r>
      <w:r w:rsidRPr="003D707A">
        <w:rPr>
          <w:rFonts w:ascii="Times New Roman" w:hAnsi="Times New Roman" w:cs="Times New Roman"/>
          <w:bCs/>
          <w:iCs/>
          <w:color w:val="000000" w:themeColor="text1"/>
          <w:sz w:val="24"/>
          <w:szCs w:val="24"/>
        </w:rPr>
        <w:t>. It clarifies the scope of persons the department can assist during an overseas crisis.</w:t>
      </w:r>
    </w:p>
    <w:p w14:paraId="0B6F4865" w14:textId="77777777" w:rsidR="00A24A90" w:rsidRPr="0062024C" w:rsidRDefault="00A24A90" w:rsidP="00A24A90">
      <w:pPr>
        <w:rPr>
          <w:rFonts w:ascii="Times New Roman" w:hAnsi="Times New Roman" w:cs="Times New Roman"/>
          <w:bCs/>
          <w:iCs/>
          <w:color w:val="000000" w:themeColor="text1"/>
          <w:sz w:val="24"/>
          <w:szCs w:val="24"/>
        </w:rPr>
      </w:pPr>
    </w:p>
    <w:p w14:paraId="47390104" w14:textId="03CB0435" w:rsidR="00A24A90" w:rsidRDefault="00A24A90"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Under the Consular and Passport Services program the department has responsibility for providing timely and responsive consular services. The program aims to</w:t>
      </w:r>
      <w:r w:rsidRPr="003A074C">
        <w:t xml:space="preserve"> </w:t>
      </w:r>
      <w:r>
        <w:rPr>
          <w:rFonts w:ascii="Times New Roman" w:hAnsi="Times New Roman" w:cs="Times New Roman"/>
          <w:bCs/>
          <w:iCs/>
          <w:color w:val="000000" w:themeColor="text1"/>
          <w:sz w:val="24"/>
          <w:szCs w:val="24"/>
        </w:rPr>
        <w:t xml:space="preserve">empower Australians to </w:t>
      </w:r>
      <w:r w:rsidRPr="003A074C">
        <w:rPr>
          <w:rFonts w:ascii="Times New Roman" w:hAnsi="Times New Roman" w:cs="Times New Roman"/>
          <w:bCs/>
          <w:iCs/>
          <w:color w:val="000000" w:themeColor="text1"/>
          <w:sz w:val="24"/>
          <w:szCs w:val="24"/>
        </w:rPr>
        <w:t>help themselves overseas, effectively prepare for and manage overseas crises, and deliver consular services focused on Australians most in need.</w:t>
      </w:r>
      <w:r>
        <w:rPr>
          <w:rFonts w:ascii="Times New Roman" w:hAnsi="Times New Roman" w:cs="Times New Roman"/>
          <w:bCs/>
          <w:iCs/>
          <w:color w:val="000000" w:themeColor="text1"/>
          <w:sz w:val="24"/>
          <w:szCs w:val="24"/>
        </w:rPr>
        <w:t xml:space="preserve"> </w:t>
      </w:r>
    </w:p>
    <w:p w14:paraId="70E8C460" w14:textId="77777777" w:rsidR="00A24A90" w:rsidRDefault="00A24A90" w:rsidP="00A24A90">
      <w:pPr>
        <w:rPr>
          <w:rFonts w:ascii="Times New Roman" w:hAnsi="Times New Roman" w:cs="Times New Roman"/>
          <w:bCs/>
          <w:iCs/>
          <w:color w:val="000000" w:themeColor="text1"/>
          <w:sz w:val="24"/>
          <w:szCs w:val="24"/>
        </w:rPr>
      </w:pPr>
    </w:p>
    <w:p w14:paraId="2CC2937B" w14:textId="5E1F7589" w:rsidR="00A24A90" w:rsidRPr="00A27FB4" w:rsidRDefault="006426C4"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A24A90">
        <w:rPr>
          <w:rFonts w:ascii="Times New Roman" w:hAnsi="Times New Roman" w:cs="Times New Roman"/>
          <w:bCs/>
          <w:iCs/>
          <w:color w:val="000000" w:themeColor="text1"/>
          <w:sz w:val="24"/>
          <w:szCs w:val="24"/>
        </w:rPr>
        <w:lastRenderedPageBreak/>
        <w:t xml:space="preserve">In addition to routine consular services, the department’s consular activities include supporting overseas crisis responses. </w:t>
      </w:r>
      <w:r w:rsidR="00A24A90" w:rsidRPr="00A27FB4">
        <w:rPr>
          <w:rFonts w:ascii="Times New Roman" w:hAnsi="Times New Roman" w:cs="Times New Roman"/>
          <w:bCs/>
          <w:iCs/>
          <w:color w:val="000000" w:themeColor="text1"/>
          <w:sz w:val="24"/>
          <w:szCs w:val="24"/>
        </w:rPr>
        <w:t xml:space="preserve">Some </w:t>
      </w:r>
      <w:r w:rsidR="00A24A90">
        <w:rPr>
          <w:rFonts w:ascii="Times New Roman" w:hAnsi="Times New Roman" w:cs="Times New Roman"/>
          <w:bCs/>
          <w:iCs/>
          <w:color w:val="000000" w:themeColor="text1"/>
          <w:sz w:val="24"/>
          <w:szCs w:val="24"/>
        </w:rPr>
        <w:t xml:space="preserve">overseas </w:t>
      </w:r>
      <w:hyperlink r:id="rId12" w:tooltip="Crises" w:history="1">
        <w:r w:rsidR="00A24A90" w:rsidRPr="00A27FB4">
          <w:rPr>
            <w:rFonts w:ascii="Times New Roman" w:hAnsi="Times New Roman" w:cs="Times New Roman"/>
            <w:color w:val="000000" w:themeColor="text1"/>
            <w:sz w:val="24"/>
            <w:szCs w:val="24"/>
          </w:rPr>
          <w:t>crises</w:t>
        </w:r>
      </w:hyperlink>
      <w:r w:rsidR="00A24A90">
        <w:rPr>
          <w:rFonts w:ascii="Times New Roman" w:hAnsi="Times New Roman" w:cs="Times New Roman"/>
          <w:bCs/>
          <w:iCs/>
          <w:color w:val="000000" w:themeColor="text1"/>
          <w:sz w:val="24"/>
          <w:szCs w:val="24"/>
        </w:rPr>
        <w:t xml:space="preserve"> </w:t>
      </w:r>
      <w:r w:rsidR="00A24A90" w:rsidRPr="00A27FB4">
        <w:rPr>
          <w:rFonts w:ascii="Times New Roman" w:hAnsi="Times New Roman" w:cs="Times New Roman"/>
          <w:bCs/>
          <w:iCs/>
          <w:color w:val="000000" w:themeColor="text1"/>
          <w:sz w:val="24"/>
          <w:szCs w:val="24"/>
        </w:rPr>
        <w:t xml:space="preserve">will require an exceptional response, </w:t>
      </w:r>
      <w:r w:rsidR="00A24A90">
        <w:rPr>
          <w:rFonts w:ascii="Times New Roman" w:hAnsi="Times New Roman" w:cs="Times New Roman"/>
          <w:bCs/>
          <w:iCs/>
          <w:color w:val="000000" w:themeColor="text1"/>
          <w:sz w:val="24"/>
          <w:szCs w:val="24"/>
        </w:rPr>
        <w:t>including for</w:t>
      </w:r>
      <w:r w:rsidR="00A24A90" w:rsidRPr="00A27FB4">
        <w:rPr>
          <w:rFonts w:ascii="Times New Roman" w:hAnsi="Times New Roman" w:cs="Times New Roman"/>
          <w:bCs/>
          <w:iCs/>
          <w:color w:val="000000" w:themeColor="text1"/>
          <w:sz w:val="24"/>
          <w:szCs w:val="24"/>
        </w:rPr>
        <w:t>:</w:t>
      </w:r>
    </w:p>
    <w:p w14:paraId="3FA0B238" w14:textId="77777777" w:rsidR="00A24A90" w:rsidRPr="00E43A86" w:rsidRDefault="00A24A90" w:rsidP="00A24A90">
      <w:pPr>
        <w:pStyle w:val="ListParagraph"/>
        <w:numPr>
          <w:ilvl w:val="0"/>
          <w:numId w:val="1"/>
        </w:numPr>
        <w:tabs>
          <w:tab w:val="clear" w:pos="720"/>
        </w:tabs>
        <w:rPr>
          <w:rFonts w:ascii="Times New Roman" w:hAnsi="Times New Roman"/>
          <w:iCs/>
          <w:sz w:val="24"/>
          <w:szCs w:val="24"/>
        </w:rPr>
      </w:pPr>
      <w:r w:rsidRPr="00E43A86">
        <w:rPr>
          <w:rFonts w:ascii="Times New Roman" w:hAnsi="Times New Roman"/>
          <w:iCs/>
          <w:sz w:val="24"/>
          <w:szCs w:val="24"/>
        </w:rPr>
        <w:t xml:space="preserve">those in which large numbers of Australians have been killed or injured or face significant threat, for example terrorist attacks, major accidents, pandemics and natural </w:t>
      </w:r>
      <w:proofErr w:type="gramStart"/>
      <w:r w:rsidRPr="00E43A86">
        <w:rPr>
          <w:rFonts w:ascii="Times New Roman" w:hAnsi="Times New Roman"/>
          <w:iCs/>
          <w:sz w:val="24"/>
          <w:szCs w:val="24"/>
        </w:rPr>
        <w:t>disasters;</w:t>
      </w:r>
      <w:proofErr w:type="gramEnd"/>
    </w:p>
    <w:p w14:paraId="12E1F4B3" w14:textId="39814E0C" w:rsidR="00A24A90" w:rsidRPr="00E43A86" w:rsidRDefault="00A24A90" w:rsidP="00A24A90">
      <w:pPr>
        <w:pStyle w:val="ListParagraph"/>
        <w:numPr>
          <w:ilvl w:val="0"/>
          <w:numId w:val="1"/>
        </w:numPr>
        <w:tabs>
          <w:tab w:val="clear" w:pos="720"/>
        </w:tabs>
        <w:rPr>
          <w:rFonts w:ascii="Times New Roman" w:hAnsi="Times New Roman"/>
          <w:iCs/>
          <w:sz w:val="24"/>
          <w:szCs w:val="24"/>
        </w:rPr>
      </w:pPr>
      <w:r w:rsidRPr="00E43A86">
        <w:rPr>
          <w:rFonts w:ascii="Times New Roman" w:hAnsi="Times New Roman"/>
          <w:iCs/>
          <w:sz w:val="24"/>
          <w:szCs w:val="24"/>
        </w:rPr>
        <w:t>political unrest which leads the department advising Australians to leave a country and which might require the assisted departure or evacuation of Australians, including if commercial options</w:t>
      </w:r>
      <w:r w:rsidR="006426C4">
        <w:rPr>
          <w:rFonts w:ascii="Times New Roman" w:hAnsi="Times New Roman"/>
          <w:iCs/>
          <w:sz w:val="24"/>
          <w:szCs w:val="24"/>
        </w:rPr>
        <w:t xml:space="preserve"> are not available</w:t>
      </w:r>
      <w:r w:rsidRPr="00E43A86">
        <w:rPr>
          <w:rFonts w:ascii="Times New Roman" w:hAnsi="Times New Roman"/>
          <w:iCs/>
          <w:sz w:val="24"/>
          <w:szCs w:val="24"/>
        </w:rPr>
        <w:t>; and</w:t>
      </w:r>
    </w:p>
    <w:p w14:paraId="01752F27" w14:textId="77777777" w:rsidR="00A24A90" w:rsidRPr="00E43A86" w:rsidRDefault="00A24A90" w:rsidP="00A24A90">
      <w:pPr>
        <w:pStyle w:val="ListParagraph"/>
        <w:numPr>
          <w:ilvl w:val="0"/>
          <w:numId w:val="1"/>
        </w:numPr>
        <w:tabs>
          <w:tab w:val="clear" w:pos="720"/>
        </w:tabs>
        <w:rPr>
          <w:rFonts w:ascii="Times New Roman" w:hAnsi="Times New Roman"/>
          <w:iCs/>
          <w:sz w:val="24"/>
          <w:szCs w:val="24"/>
        </w:rPr>
      </w:pPr>
      <w:r w:rsidRPr="00E43A86">
        <w:rPr>
          <w:rFonts w:ascii="Times New Roman" w:hAnsi="Times New Roman"/>
          <w:iCs/>
          <w:sz w:val="24"/>
          <w:szCs w:val="24"/>
        </w:rPr>
        <w:t>events which cause major disruption and hardship to large numbers of Australians</w:t>
      </w:r>
    </w:p>
    <w:p w14:paraId="079EA085" w14:textId="77777777" w:rsidR="00A24A90" w:rsidRDefault="00A24A90" w:rsidP="00A24A90">
      <w:pPr>
        <w:rPr>
          <w:rFonts w:ascii="Times New Roman" w:hAnsi="Times New Roman" w:cs="Times New Roman"/>
          <w:bCs/>
          <w:iCs/>
          <w:color w:val="000000" w:themeColor="text1"/>
          <w:sz w:val="24"/>
          <w:szCs w:val="24"/>
        </w:rPr>
      </w:pPr>
    </w:p>
    <w:p w14:paraId="6B80CE61" w14:textId="36741E91" w:rsidR="00A24A90" w:rsidRPr="00A27FB4" w:rsidRDefault="00A24A90"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w:t>
      </w:r>
      <w:r w:rsidRPr="00A27FB4">
        <w:rPr>
          <w:rFonts w:ascii="Times New Roman" w:hAnsi="Times New Roman" w:cs="Times New Roman"/>
          <w:bCs/>
          <w:iCs/>
          <w:color w:val="000000" w:themeColor="text1"/>
          <w:sz w:val="24"/>
          <w:szCs w:val="24"/>
        </w:rPr>
        <w:t xml:space="preserve">assistance </w:t>
      </w:r>
      <w:r w:rsidR="006426C4">
        <w:rPr>
          <w:rFonts w:ascii="Times New Roman" w:hAnsi="Times New Roman" w:cs="Times New Roman"/>
          <w:bCs/>
          <w:iCs/>
          <w:color w:val="000000" w:themeColor="text1"/>
          <w:sz w:val="24"/>
          <w:szCs w:val="24"/>
        </w:rPr>
        <w:t>will be</w:t>
      </w:r>
      <w:r w:rsidR="006426C4" w:rsidRPr="00A27FB4">
        <w:rPr>
          <w:rFonts w:ascii="Times New Roman" w:hAnsi="Times New Roman" w:cs="Times New Roman"/>
          <w:bCs/>
          <w:iCs/>
          <w:color w:val="000000" w:themeColor="text1"/>
          <w:sz w:val="24"/>
          <w:szCs w:val="24"/>
        </w:rPr>
        <w:t xml:space="preserve"> </w:t>
      </w:r>
      <w:r w:rsidRPr="00A27FB4">
        <w:rPr>
          <w:rFonts w:ascii="Times New Roman" w:hAnsi="Times New Roman" w:cs="Times New Roman"/>
          <w:bCs/>
          <w:iCs/>
          <w:color w:val="000000" w:themeColor="text1"/>
          <w:sz w:val="24"/>
          <w:szCs w:val="24"/>
        </w:rPr>
        <w:t xml:space="preserve">guided by many considerations, </w:t>
      </w:r>
      <w:r>
        <w:rPr>
          <w:rFonts w:ascii="Times New Roman" w:hAnsi="Times New Roman" w:cs="Times New Roman"/>
          <w:bCs/>
          <w:iCs/>
          <w:color w:val="000000" w:themeColor="text1"/>
          <w:sz w:val="24"/>
          <w:szCs w:val="24"/>
        </w:rPr>
        <w:t>and may include the need to</w:t>
      </w:r>
      <w:r w:rsidRPr="00A27FB4">
        <w:rPr>
          <w:rFonts w:ascii="Times New Roman" w:hAnsi="Times New Roman" w:cs="Times New Roman"/>
          <w:bCs/>
          <w:iCs/>
          <w:color w:val="000000" w:themeColor="text1"/>
          <w:sz w:val="24"/>
          <w:szCs w:val="24"/>
        </w:rPr>
        <w:t>:</w:t>
      </w:r>
    </w:p>
    <w:p w14:paraId="477A5031" w14:textId="77777777" w:rsidR="00A24A90" w:rsidRPr="000A5A19" w:rsidRDefault="00A24A90" w:rsidP="00A24A90">
      <w:pPr>
        <w:numPr>
          <w:ilvl w:val="0"/>
          <w:numId w:val="1"/>
        </w:numPr>
        <w:rPr>
          <w:rFonts w:ascii="Times New Roman" w:hAnsi="Times New Roman" w:cs="Times New Roman"/>
          <w:bCs/>
          <w:iCs/>
          <w:color w:val="000000" w:themeColor="text1"/>
          <w:sz w:val="24"/>
          <w:szCs w:val="24"/>
        </w:rPr>
      </w:pPr>
      <w:r w:rsidRPr="000A5A19">
        <w:rPr>
          <w:rFonts w:ascii="Times New Roman" w:hAnsi="Times New Roman" w:cs="Times New Roman"/>
          <w:bCs/>
          <w:iCs/>
          <w:color w:val="000000" w:themeColor="text1"/>
          <w:sz w:val="24"/>
          <w:szCs w:val="24"/>
        </w:rPr>
        <w:t xml:space="preserve">deploy expert teams to support affected </w:t>
      </w:r>
      <w:proofErr w:type="gramStart"/>
      <w:r w:rsidRPr="000A5A19">
        <w:rPr>
          <w:rFonts w:ascii="Times New Roman" w:hAnsi="Times New Roman" w:cs="Times New Roman"/>
          <w:bCs/>
          <w:iCs/>
          <w:color w:val="000000" w:themeColor="text1"/>
          <w:sz w:val="24"/>
          <w:szCs w:val="24"/>
        </w:rPr>
        <w:t>Australians</w:t>
      </w:r>
      <w:r>
        <w:rPr>
          <w:rFonts w:ascii="Times New Roman" w:hAnsi="Times New Roman" w:cs="Times New Roman"/>
          <w:bCs/>
          <w:iCs/>
          <w:color w:val="000000" w:themeColor="text1"/>
          <w:sz w:val="24"/>
          <w:szCs w:val="24"/>
        </w:rPr>
        <w:t>;</w:t>
      </w:r>
      <w:proofErr w:type="gramEnd"/>
    </w:p>
    <w:p w14:paraId="3A634E14" w14:textId="77777777" w:rsidR="00A24A90" w:rsidRPr="000A5A19" w:rsidRDefault="00A24A90" w:rsidP="00A24A90">
      <w:pPr>
        <w:numPr>
          <w:ilvl w:val="0"/>
          <w:numId w:val="1"/>
        </w:numPr>
        <w:rPr>
          <w:rFonts w:ascii="Times New Roman" w:hAnsi="Times New Roman" w:cs="Times New Roman"/>
          <w:bCs/>
          <w:iCs/>
          <w:color w:val="000000" w:themeColor="text1"/>
          <w:sz w:val="24"/>
          <w:szCs w:val="24"/>
        </w:rPr>
      </w:pPr>
      <w:r w:rsidRPr="000A5A19">
        <w:rPr>
          <w:rFonts w:ascii="Times New Roman" w:hAnsi="Times New Roman" w:cs="Times New Roman"/>
          <w:bCs/>
          <w:iCs/>
          <w:color w:val="000000" w:themeColor="text1"/>
          <w:sz w:val="24"/>
          <w:szCs w:val="24"/>
        </w:rPr>
        <w:t xml:space="preserve">liaise with the families of any Australians killed or </w:t>
      </w:r>
      <w:proofErr w:type="gramStart"/>
      <w:r w:rsidRPr="000A5A19">
        <w:rPr>
          <w:rFonts w:ascii="Times New Roman" w:hAnsi="Times New Roman" w:cs="Times New Roman"/>
          <w:bCs/>
          <w:iCs/>
          <w:color w:val="000000" w:themeColor="text1"/>
          <w:sz w:val="24"/>
          <w:szCs w:val="24"/>
        </w:rPr>
        <w:t>injured</w:t>
      </w:r>
      <w:r>
        <w:rPr>
          <w:rFonts w:ascii="Times New Roman" w:hAnsi="Times New Roman" w:cs="Times New Roman"/>
          <w:bCs/>
          <w:iCs/>
          <w:color w:val="000000" w:themeColor="text1"/>
          <w:sz w:val="24"/>
          <w:szCs w:val="24"/>
        </w:rPr>
        <w:t>;</w:t>
      </w:r>
      <w:proofErr w:type="gramEnd"/>
    </w:p>
    <w:p w14:paraId="0EB72CC9" w14:textId="77777777" w:rsidR="00A24A90" w:rsidRPr="000A5A19" w:rsidRDefault="00A24A90" w:rsidP="00A24A90">
      <w:pPr>
        <w:numPr>
          <w:ilvl w:val="0"/>
          <w:numId w:val="1"/>
        </w:numPr>
        <w:rPr>
          <w:rFonts w:ascii="Times New Roman" w:hAnsi="Times New Roman" w:cs="Times New Roman"/>
          <w:bCs/>
          <w:iCs/>
          <w:color w:val="000000" w:themeColor="text1"/>
          <w:sz w:val="24"/>
          <w:szCs w:val="24"/>
        </w:rPr>
      </w:pPr>
      <w:r w:rsidRPr="000A5A19">
        <w:rPr>
          <w:rFonts w:ascii="Times New Roman" w:hAnsi="Times New Roman" w:cs="Times New Roman"/>
          <w:bCs/>
          <w:iCs/>
          <w:color w:val="000000" w:themeColor="text1"/>
          <w:sz w:val="24"/>
          <w:szCs w:val="24"/>
        </w:rPr>
        <w:t xml:space="preserve">work with local authorities to support affected </w:t>
      </w:r>
      <w:proofErr w:type="gramStart"/>
      <w:r w:rsidRPr="000A5A19">
        <w:rPr>
          <w:rFonts w:ascii="Times New Roman" w:hAnsi="Times New Roman" w:cs="Times New Roman"/>
          <w:bCs/>
          <w:iCs/>
          <w:color w:val="000000" w:themeColor="text1"/>
          <w:sz w:val="24"/>
          <w:szCs w:val="24"/>
        </w:rPr>
        <w:t>Australians</w:t>
      </w:r>
      <w:r>
        <w:rPr>
          <w:rFonts w:ascii="Times New Roman" w:hAnsi="Times New Roman" w:cs="Times New Roman"/>
          <w:bCs/>
          <w:iCs/>
          <w:color w:val="000000" w:themeColor="text1"/>
          <w:sz w:val="24"/>
          <w:szCs w:val="24"/>
        </w:rPr>
        <w:t>;</w:t>
      </w:r>
      <w:proofErr w:type="gramEnd"/>
    </w:p>
    <w:p w14:paraId="243DD47E" w14:textId="77777777" w:rsidR="00A24A90" w:rsidRPr="000A5A19" w:rsidRDefault="00A24A90" w:rsidP="00A24A90">
      <w:pPr>
        <w:numPr>
          <w:ilvl w:val="0"/>
          <w:numId w:val="1"/>
        </w:numPr>
        <w:rPr>
          <w:rFonts w:ascii="Times New Roman" w:hAnsi="Times New Roman" w:cs="Times New Roman"/>
          <w:bCs/>
          <w:iCs/>
          <w:color w:val="000000" w:themeColor="text1"/>
          <w:sz w:val="24"/>
          <w:szCs w:val="24"/>
        </w:rPr>
      </w:pPr>
      <w:r w:rsidRPr="000A5A19">
        <w:rPr>
          <w:rFonts w:ascii="Times New Roman" w:hAnsi="Times New Roman" w:cs="Times New Roman"/>
          <w:bCs/>
          <w:iCs/>
          <w:color w:val="000000" w:themeColor="text1"/>
          <w:sz w:val="24"/>
          <w:szCs w:val="24"/>
        </w:rPr>
        <w:t>provide travel advice and crisis updates</w:t>
      </w:r>
      <w:r>
        <w:rPr>
          <w:rFonts w:ascii="Times New Roman" w:hAnsi="Times New Roman" w:cs="Times New Roman"/>
          <w:bCs/>
          <w:iCs/>
          <w:color w:val="000000" w:themeColor="text1"/>
          <w:sz w:val="24"/>
          <w:szCs w:val="24"/>
        </w:rPr>
        <w:t>; and</w:t>
      </w:r>
    </w:p>
    <w:p w14:paraId="730DA576" w14:textId="7577C5D3" w:rsidR="00A24A90" w:rsidRPr="000A5A19" w:rsidRDefault="00A24A90" w:rsidP="00A24A90">
      <w:pPr>
        <w:numPr>
          <w:ilvl w:val="0"/>
          <w:numId w:val="1"/>
        </w:numPr>
        <w:rPr>
          <w:rFonts w:ascii="Times New Roman" w:hAnsi="Times New Roman" w:cs="Times New Roman"/>
          <w:bCs/>
          <w:iCs/>
          <w:color w:val="000000" w:themeColor="text1"/>
          <w:sz w:val="24"/>
          <w:szCs w:val="24"/>
        </w:rPr>
      </w:pPr>
      <w:r w:rsidRPr="000A5A19">
        <w:rPr>
          <w:rFonts w:ascii="Times New Roman" w:hAnsi="Times New Roman" w:cs="Times New Roman"/>
          <w:bCs/>
          <w:iCs/>
          <w:color w:val="000000" w:themeColor="text1"/>
          <w:sz w:val="24"/>
          <w:szCs w:val="24"/>
        </w:rPr>
        <w:t>support Australians trying to leave the area and put them in contact with their families</w:t>
      </w:r>
      <w:r w:rsidR="006426C4">
        <w:rPr>
          <w:rFonts w:ascii="Times New Roman" w:hAnsi="Times New Roman" w:cs="Times New Roman"/>
          <w:bCs/>
          <w:iCs/>
          <w:color w:val="000000" w:themeColor="text1"/>
          <w:sz w:val="24"/>
          <w:szCs w:val="24"/>
        </w:rPr>
        <w:t>.</w:t>
      </w:r>
    </w:p>
    <w:p w14:paraId="6D9188D7" w14:textId="77777777" w:rsidR="00A24A90" w:rsidRDefault="00A24A90" w:rsidP="00A24A90">
      <w:pPr>
        <w:rPr>
          <w:rFonts w:ascii="Times New Roman" w:hAnsi="Times New Roman" w:cs="Times New Roman"/>
          <w:bCs/>
          <w:iCs/>
          <w:color w:val="000000" w:themeColor="text1"/>
          <w:sz w:val="24"/>
          <w:szCs w:val="24"/>
        </w:rPr>
      </w:pPr>
    </w:p>
    <w:p w14:paraId="033B8C62" w14:textId="77777777" w:rsidR="00A24A90" w:rsidRDefault="00A24A90" w:rsidP="00A24A90">
      <w:pPr>
        <w:ind w:right="-46"/>
        <w:rPr>
          <w:rFonts w:ascii="Times New Roman" w:hAnsi="Times New Roman" w:cs="Times New Roman"/>
          <w:bCs/>
          <w:iCs/>
          <w:color w:val="000000" w:themeColor="text1"/>
          <w:sz w:val="24"/>
          <w:szCs w:val="24"/>
        </w:rPr>
      </w:pPr>
      <w:r w:rsidRPr="00A27FB4">
        <w:rPr>
          <w:rFonts w:ascii="Times New Roman" w:hAnsi="Times New Roman" w:cs="Times New Roman"/>
          <w:bCs/>
          <w:iCs/>
          <w:color w:val="000000" w:themeColor="text1"/>
          <w:sz w:val="24"/>
          <w:szCs w:val="24"/>
        </w:rPr>
        <w:t xml:space="preserve">In an </w:t>
      </w:r>
      <w:r>
        <w:rPr>
          <w:rFonts w:ascii="Times New Roman" w:hAnsi="Times New Roman" w:cs="Times New Roman"/>
          <w:bCs/>
          <w:iCs/>
          <w:color w:val="000000" w:themeColor="text1"/>
          <w:sz w:val="24"/>
          <w:szCs w:val="24"/>
        </w:rPr>
        <w:t xml:space="preserve">overseas </w:t>
      </w:r>
      <w:r w:rsidRPr="00A27FB4">
        <w:rPr>
          <w:rFonts w:ascii="Times New Roman" w:hAnsi="Times New Roman" w:cs="Times New Roman"/>
          <w:bCs/>
          <w:iCs/>
          <w:color w:val="000000" w:themeColor="text1"/>
          <w:sz w:val="24"/>
          <w:szCs w:val="24"/>
        </w:rPr>
        <w:t xml:space="preserve">crisis, </w:t>
      </w:r>
      <w:r>
        <w:rPr>
          <w:rFonts w:ascii="Times New Roman" w:hAnsi="Times New Roman" w:cs="Times New Roman"/>
          <w:bCs/>
          <w:iCs/>
          <w:color w:val="000000" w:themeColor="text1"/>
          <w:sz w:val="24"/>
          <w:szCs w:val="24"/>
        </w:rPr>
        <w:t xml:space="preserve">the department may </w:t>
      </w:r>
      <w:r w:rsidRPr="00A27FB4">
        <w:rPr>
          <w:rFonts w:ascii="Times New Roman" w:hAnsi="Times New Roman" w:cs="Times New Roman"/>
          <w:bCs/>
          <w:iCs/>
          <w:color w:val="000000" w:themeColor="text1"/>
          <w:sz w:val="24"/>
          <w:szCs w:val="24"/>
        </w:rPr>
        <w:t>provide support to Australian citizens and permanent residents of Australia.</w:t>
      </w:r>
      <w:r>
        <w:rPr>
          <w:rFonts w:ascii="Times New Roman" w:hAnsi="Times New Roman" w:cs="Times New Roman"/>
          <w:bCs/>
          <w:iCs/>
          <w:color w:val="000000" w:themeColor="text1"/>
          <w:sz w:val="24"/>
          <w:szCs w:val="24"/>
        </w:rPr>
        <w:t xml:space="preserve"> While t</w:t>
      </w:r>
      <w:r w:rsidRPr="00E308D1">
        <w:rPr>
          <w:rFonts w:ascii="Times New Roman" w:hAnsi="Times New Roman" w:cs="Times New Roman"/>
          <w:bCs/>
          <w:iCs/>
          <w:color w:val="000000" w:themeColor="text1"/>
          <w:sz w:val="24"/>
          <w:szCs w:val="24"/>
        </w:rPr>
        <w:t>he Australian Government’s Consular Services Charter prioritises assistance to ‘Australians most in need’</w:t>
      </w:r>
      <w:r>
        <w:rPr>
          <w:rFonts w:ascii="Times New Roman" w:hAnsi="Times New Roman" w:cs="Times New Roman"/>
          <w:bCs/>
          <w:iCs/>
          <w:color w:val="000000" w:themeColor="text1"/>
          <w:sz w:val="24"/>
          <w:szCs w:val="24"/>
        </w:rPr>
        <w:t>, d</w:t>
      </w:r>
      <w:r w:rsidRPr="00E308D1">
        <w:rPr>
          <w:rFonts w:ascii="Times New Roman" w:hAnsi="Times New Roman" w:cs="Times New Roman"/>
          <w:bCs/>
          <w:iCs/>
          <w:color w:val="000000" w:themeColor="text1"/>
          <w:sz w:val="24"/>
          <w:szCs w:val="24"/>
        </w:rPr>
        <w:t xml:space="preserve">uring an overseas crisis-response, community expectation of </w:t>
      </w:r>
      <w:r>
        <w:rPr>
          <w:rFonts w:ascii="Times New Roman" w:hAnsi="Times New Roman" w:cs="Times New Roman"/>
          <w:bCs/>
          <w:iCs/>
          <w:color w:val="000000" w:themeColor="text1"/>
          <w:sz w:val="24"/>
          <w:szCs w:val="24"/>
        </w:rPr>
        <w:t xml:space="preserve">the </w:t>
      </w:r>
      <w:r w:rsidRPr="00E308D1">
        <w:rPr>
          <w:rFonts w:ascii="Times New Roman" w:hAnsi="Times New Roman" w:cs="Times New Roman"/>
          <w:bCs/>
          <w:iCs/>
          <w:color w:val="000000" w:themeColor="text1"/>
          <w:sz w:val="24"/>
          <w:szCs w:val="24"/>
        </w:rPr>
        <w:t xml:space="preserve">Government’s role in assisting Australians to reach safety has broadened to include permanent residents and non-citizen family members. </w:t>
      </w:r>
      <w:r>
        <w:rPr>
          <w:rFonts w:ascii="Times New Roman" w:hAnsi="Times New Roman" w:cs="Times New Roman"/>
          <w:bCs/>
          <w:iCs/>
          <w:color w:val="000000" w:themeColor="text1"/>
          <w:sz w:val="24"/>
          <w:szCs w:val="24"/>
        </w:rPr>
        <w:t xml:space="preserve">The community also expects that government would </w:t>
      </w:r>
      <w:r w:rsidRPr="00680C93">
        <w:rPr>
          <w:rFonts w:ascii="Times New Roman" w:hAnsi="Times New Roman" w:cs="Times New Roman"/>
          <w:bCs/>
          <w:iCs/>
          <w:color w:val="000000" w:themeColor="text1"/>
          <w:sz w:val="24"/>
          <w:szCs w:val="24"/>
        </w:rPr>
        <w:t xml:space="preserve">avoid splitting family groups when </w:t>
      </w:r>
      <w:proofErr w:type="gramStart"/>
      <w:r w:rsidRPr="00680C93">
        <w:rPr>
          <w:rFonts w:ascii="Times New Roman" w:hAnsi="Times New Roman" w:cs="Times New Roman"/>
          <w:bCs/>
          <w:iCs/>
          <w:color w:val="000000" w:themeColor="text1"/>
          <w:sz w:val="24"/>
          <w:szCs w:val="24"/>
        </w:rPr>
        <w:t>offering assist</w:t>
      </w:r>
      <w:r>
        <w:rPr>
          <w:rFonts w:ascii="Times New Roman" w:hAnsi="Times New Roman" w:cs="Times New Roman"/>
          <w:bCs/>
          <w:iCs/>
          <w:color w:val="000000" w:themeColor="text1"/>
          <w:sz w:val="24"/>
          <w:szCs w:val="24"/>
        </w:rPr>
        <w:t>ance</w:t>
      </w:r>
      <w:r w:rsidRPr="00680C93">
        <w:rPr>
          <w:rFonts w:ascii="Times New Roman" w:hAnsi="Times New Roman" w:cs="Times New Roman"/>
          <w:bCs/>
          <w:iCs/>
          <w:color w:val="000000" w:themeColor="text1"/>
          <w:sz w:val="24"/>
          <w:szCs w:val="24"/>
        </w:rPr>
        <w:t xml:space="preserve"> to</w:t>
      </w:r>
      <w:proofErr w:type="gramEnd"/>
      <w:r w:rsidRPr="00680C93">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evacuate</w:t>
      </w:r>
      <w:r w:rsidRPr="00680C93">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Australians </w:t>
      </w:r>
      <w:r w:rsidRPr="00680C93">
        <w:rPr>
          <w:rFonts w:ascii="Times New Roman" w:hAnsi="Times New Roman" w:cs="Times New Roman"/>
          <w:bCs/>
          <w:iCs/>
          <w:color w:val="000000" w:themeColor="text1"/>
          <w:sz w:val="24"/>
          <w:szCs w:val="24"/>
        </w:rPr>
        <w:t>from dangerous locations.</w:t>
      </w:r>
      <w:r>
        <w:rPr>
          <w:rFonts w:ascii="Times New Roman" w:hAnsi="Times New Roman" w:cs="Times New Roman"/>
          <w:bCs/>
          <w:iCs/>
          <w:color w:val="000000" w:themeColor="text1"/>
          <w:sz w:val="24"/>
          <w:szCs w:val="24"/>
        </w:rPr>
        <w:t xml:space="preserve"> Support may also be provided to other</w:t>
      </w:r>
      <w:r>
        <w:rPr>
          <w:rFonts w:ascii="Times New Roman" w:hAnsi="Times New Roman" w:cs="Times New Roman"/>
          <w:bCs/>
          <w:iCs/>
          <w:color w:val="000000" w:themeColor="text1"/>
          <w:sz w:val="24"/>
          <w:szCs w:val="24"/>
        </w:rPr>
        <w:br/>
        <w:t>non-citizens</w:t>
      </w:r>
      <w:r w:rsidRPr="00E86F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where it is in Australia’s foreign policy and national interest to do so,</w:t>
      </w:r>
      <w:r>
        <w:rPr>
          <w:rFonts w:ascii="Times New Roman" w:hAnsi="Times New Roman" w:cs="Times New Roman"/>
          <w:bCs/>
          <w:iCs/>
          <w:color w:val="000000" w:themeColor="text1"/>
          <w:sz w:val="24"/>
          <w:szCs w:val="24"/>
        </w:rPr>
        <w:t xml:space="preserve"> for example where there is a reciprocal arrangement with another country. </w:t>
      </w:r>
    </w:p>
    <w:p w14:paraId="1E852AD9" w14:textId="77777777" w:rsidR="00A24A90" w:rsidRDefault="00A24A90" w:rsidP="00A24A90">
      <w:pPr>
        <w:rPr>
          <w:rFonts w:ascii="Times New Roman" w:hAnsi="Times New Roman" w:cs="Times New Roman"/>
          <w:bCs/>
          <w:iCs/>
          <w:color w:val="000000" w:themeColor="text1"/>
          <w:sz w:val="24"/>
          <w:szCs w:val="24"/>
        </w:rPr>
      </w:pPr>
    </w:p>
    <w:p w14:paraId="75C996DB" w14:textId="77777777" w:rsidR="00A24A90" w:rsidRDefault="00A24A90"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Consular activities are a regular and ongoing function of the department. Expenditure on consular services may occur through various forms, such as financial assistance directly to consular clients, engagement of an external service provider or other procurement arrangements.</w:t>
      </w:r>
    </w:p>
    <w:p w14:paraId="34D17093" w14:textId="77777777" w:rsidR="00A24A90" w:rsidRDefault="00A24A90" w:rsidP="00A24A90">
      <w:pPr>
        <w:rPr>
          <w:rFonts w:ascii="Times New Roman" w:hAnsi="Times New Roman" w:cs="Times New Roman"/>
          <w:bCs/>
          <w:iCs/>
          <w:color w:val="000000" w:themeColor="text1"/>
          <w:sz w:val="24"/>
          <w:szCs w:val="24"/>
        </w:rPr>
      </w:pPr>
    </w:p>
    <w:bookmarkEnd w:id="0"/>
    <w:p w14:paraId="61D87BF6" w14:textId="77777777" w:rsidR="00A24A90" w:rsidRPr="00D346DF" w:rsidRDefault="00A24A90" w:rsidP="00A24A90">
      <w:pPr>
        <w:keepNext/>
        <w:rPr>
          <w:rFonts w:ascii="Times New Roman" w:hAnsi="Times New Roman" w:cs="Times New Roman"/>
          <w:bCs/>
          <w:i/>
          <w:sz w:val="24"/>
          <w:szCs w:val="24"/>
          <w:u w:val="single"/>
          <w:lang w:val="en-US"/>
        </w:rPr>
      </w:pPr>
      <w:r>
        <w:rPr>
          <w:rFonts w:ascii="Times New Roman" w:hAnsi="Times New Roman" w:cs="Times New Roman"/>
          <w:bCs/>
          <w:i/>
          <w:sz w:val="24"/>
          <w:szCs w:val="24"/>
          <w:u w:val="single"/>
          <w:lang w:val="en-US"/>
        </w:rPr>
        <w:t>Funding</w:t>
      </w:r>
      <w:r w:rsidRPr="00D346DF">
        <w:rPr>
          <w:rFonts w:ascii="Times New Roman" w:hAnsi="Times New Roman" w:cs="Times New Roman"/>
          <w:bCs/>
          <w:i/>
          <w:sz w:val="24"/>
          <w:szCs w:val="24"/>
          <w:u w:val="single"/>
          <w:lang w:val="en-US"/>
        </w:rPr>
        <w:t xml:space="preserve"> amount and arrangement</w:t>
      </w:r>
      <w:r>
        <w:rPr>
          <w:rFonts w:ascii="Times New Roman" w:hAnsi="Times New Roman" w:cs="Times New Roman"/>
          <w:bCs/>
          <w:i/>
          <w:sz w:val="24"/>
          <w:szCs w:val="24"/>
          <w:u w:val="single"/>
          <w:lang w:val="en-US"/>
        </w:rPr>
        <w:t>s</w:t>
      </w:r>
      <w:r w:rsidRPr="00D346DF">
        <w:rPr>
          <w:rFonts w:ascii="Times New Roman" w:hAnsi="Times New Roman" w:cs="Times New Roman"/>
          <w:bCs/>
          <w:i/>
          <w:sz w:val="24"/>
          <w:szCs w:val="24"/>
          <w:u w:val="single"/>
          <w:lang w:val="en-US"/>
        </w:rPr>
        <w:t>, merits review and consultation</w:t>
      </w:r>
    </w:p>
    <w:p w14:paraId="49186DEC" w14:textId="77777777" w:rsidR="00A24A90" w:rsidRDefault="00A24A90" w:rsidP="00A24A90">
      <w:pPr>
        <w:keepNext/>
        <w:rPr>
          <w:rFonts w:ascii="Times New Roman" w:hAnsi="Times New Roman" w:cs="Times New Roman"/>
          <w:sz w:val="24"/>
          <w:szCs w:val="24"/>
        </w:rPr>
      </w:pPr>
    </w:p>
    <w:p w14:paraId="493DE39B" w14:textId="0CD76223" w:rsidR="00A24A90" w:rsidRPr="006426C4" w:rsidRDefault="006426C4" w:rsidP="00A24A90">
      <w:pPr>
        <w:rPr>
          <w:rFonts w:ascii="Times New Roman" w:hAnsi="Times New Roman" w:cs="Times New Roman"/>
          <w:bCs/>
          <w:iCs/>
          <w:sz w:val="24"/>
          <w:szCs w:val="24"/>
        </w:rPr>
      </w:pPr>
      <w:r w:rsidRPr="006426C4">
        <w:rPr>
          <w:rFonts w:ascii="Times New Roman" w:hAnsi="Times New Roman" w:cs="Times New Roman"/>
          <w:bCs/>
          <w:iCs/>
          <w:sz w:val="24"/>
          <w:szCs w:val="24"/>
        </w:rPr>
        <w:t>Crisis related spending is necessarily uncertain and does not lend itself to be strictly budgeted for. Should there be a need for additional support, funding will be agreed to by the Government and will be published in a future Budget process</w:t>
      </w:r>
      <w:r w:rsidR="00A24A90" w:rsidRPr="006426C4">
        <w:rPr>
          <w:rFonts w:ascii="Times New Roman" w:hAnsi="Times New Roman" w:cs="Times New Roman"/>
          <w:bCs/>
          <w:iCs/>
          <w:sz w:val="24"/>
          <w:szCs w:val="24"/>
        </w:rPr>
        <w:t>, including in the department’s Portfolio Budget Statements or Portfolio Additional Estimates Statements. Funding for the item will come from Program 2.1 for Consular Services, which is part of Outcome 2.</w:t>
      </w:r>
    </w:p>
    <w:p w14:paraId="66518839" w14:textId="77777777" w:rsidR="00A24A90" w:rsidRPr="006426C4" w:rsidRDefault="00A24A90" w:rsidP="00A24A90">
      <w:pPr>
        <w:rPr>
          <w:rFonts w:ascii="Times New Roman" w:hAnsi="Times New Roman" w:cs="Times New Roman"/>
          <w:sz w:val="24"/>
          <w:szCs w:val="24"/>
        </w:rPr>
      </w:pPr>
    </w:p>
    <w:p w14:paraId="022C6B70" w14:textId="5F523CB9" w:rsidR="00A24A90" w:rsidRDefault="00A24A90" w:rsidP="00A24A90">
      <w:pPr>
        <w:rPr>
          <w:rFonts w:ascii="Times New Roman" w:hAnsi="Times New Roman" w:cs="Times New Roman"/>
          <w:bCs/>
          <w:iCs/>
          <w:color w:val="000000" w:themeColor="text1"/>
          <w:sz w:val="24"/>
          <w:szCs w:val="24"/>
          <w:highlight w:val="yellow"/>
        </w:rPr>
      </w:pPr>
      <w:r w:rsidRPr="006426C4">
        <w:rPr>
          <w:rFonts w:ascii="Times New Roman" w:hAnsi="Times New Roman" w:cs="Times New Roman"/>
          <w:bCs/>
          <w:iCs/>
          <w:color w:val="000000" w:themeColor="text1"/>
          <w:sz w:val="24"/>
          <w:szCs w:val="24"/>
        </w:rPr>
        <w:t>The department</w:t>
      </w:r>
      <w:r w:rsidRPr="003E4244">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expects</w:t>
      </w:r>
      <w:r w:rsidRPr="003E4244">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to</w:t>
      </w:r>
      <w:r w:rsidRPr="003E4244">
        <w:rPr>
          <w:rFonts w:ascii="Times New Roman" w:hAnsi="Times New Roman" w:cs="Times New Roman"/>
          <w:bCs/>
          <w:iCs/>
          <w:color w:val="000000" w:themeColor="text1"/>
          <w:sz w:val="24"/>
          <w:szCs w:val="24"/>
        </w:rPr>
        <w:t xml:space="preserve"> procur</w:t>
      </w:r>
      <w:r>
        <w:rPr>
          <w:rFonts w:ascii="Times New Roman" w:hAnsi="Times New Roman" w:cs="Times New Roman"/>
          <w:bCs/>
          <w:iCs/>
          <w:color w:val="000000" w:themeColor="text1"/>
          <w:sz w:val="24"/>
          <w:szCs w:val="24"/>
        </w:rPr>
        <w:t>e</w:t>
      </w:r>
      <w:r w:rsidRPr="003E4244">
        <w:rPr>
          <w:rFonts w:ascii="Times New Roman" w:hAnsi="Times New Roman" w:cs="Times New Roman"/>
          <w:bCs/>
          <w:iCs/>
          <w:color w:val="000000" w:themeColor="text1"/>
          <w:sz w:val="24"/>
          <w:szCs w:val="24"/>
        </w:rPr>
        <w:t xml:space="preserve"> services </w:t>
      </w:r>
      <w:r>
        <w:rPr>
          <w:rFonts w:ascii="Times New Roman" w:hAnsi="Times New Roman" w:cs="Times New Roman"/>
          <w:bCs/>
          <w:iCs/>
          <w:color w:val="000000" w:themeColor="text1"/>
          <w:sz w:val="24"/>
          <w:szCs w:val="24"/>
        </w:rPr>
        <w:t xml:space="preserve">necessary </w:t>
      </w:r>
      <w:r w:rsidRPr="003E4244">
        <w:rPr>
          <w:rFonts w:ascii="Times New Roman" w:hAnsi="Times New Roman" w:cs="Times New Roman"/>
          <w:bCs/>
          <w:iCs/>
          <w:color w:val="000000" w:themeColor="text1"/>
          <w:sz w:val="24"/>
          <w:szCs w:val="24"/>
        </w:rPr>
        <w:t xml:space="preserve">to </w:t>
      </w:r>
      <w:r>
        <w:rPr>
          <w:rFonts w:ascii="Times New Roman" w:hAnsi="Times New Roman" w:cs="Times New Roman"/>
          <w:bCs/>
          <w:iCs/>
          <w:color w:val="000000" w:themeColor="text1"/>
          <w:sz w:val="24"/>
          <w:szCs w:val="24"/>
        </w:rPr>
        <w:t xml:space="preserve">deliver its consular functions, including overseas crisis response functions, to ensure the continued provision of timely and responsive consular services. </w:t>
      </w:r>
      <w:r w:rsidRPr="003E4244">
        <w:rPr>
          <w:rFonts w:ascii="Times New Roman" w:hAnsi="Times New Roman" w:cs="Times New Roman"/>
          <w:bCs/>
          <w:iCs/>
          <w:color w:val="000000" w:themeColor="text1"/>
          <w:sz w:val="24"/>
          <w:szCs w:val="24"/>
        </w:rPr>
        <w:t xml:space="preserve">Procurement processes will be conducted in accordance with applicable legislative requirements under the </w:t>
      </w:r>
      <w:r w:rsidRPr="003E4244">
        <w:rPr>
          <w:rFonts w:ascii="Times New Roman" w:hAnsi="Times New Roman" w:cs="Times New Roman"/>
          <w:bCs/>
          <w:i/>
          <w:iCs/>
          <w:color w:val="000000" w:themeColor="text1"/>
          <w:sz w:val="24"/>
          <w:szCs w:val="24"/>
        </w:rPr>
        <w:t>Public Governance,</w:t>
      </w:r>
      <w:r w:rsidRPr="008A5916">
        <w:rPr>
          <w:rFonts w:ascii="Times New Roman" w:hAnsi="Times New Roman" w:cs="Times New Roman"/>
          <w:bCs/>
          <w:i/>
          <w:iCs/>
          <w:color w:val="000000" w:themeColor="text1"/>
          <w:sz w:val="24"/>
          <w:szCs w:val="24"/>
        </w:rPr>
        <w:t xml:space="preserve"> Performance and Accountability Act 2013</w:t>
      </w:r>
      <w:r w:rsidRPr="008A5916">
        <w:rPr>
          <w:rFonts w:ascii="Times New Roman" w:hAnsi="Times New Roman" w:cs="Times New Roman"/>
          <w:bCs/>
          <w:iCs/>
          <w:color w:val="000000" w:themeColor="text1"/>
          <w:sz w:val="24"/>
          <w:szCs w:val="24"/>
        </w:rPr>
        <w:t xml:space="preserve"> (PGPA Act), </w:t>
      </w:r>
      <w:r>
        <w:rPr>
          <w:rFonts w:ascii="Times New Roman" w:hAnsi="Times New Roman" w:cs="Times New Roman"/>
          <w:bCs/>
          <w:iCs/>
          <w:color w:val="000000" w:themeColor="text1"/>
          <w:sz w:val="24"/>
          <w:szCs w:val="24"/>
        </w:rPr>
        <w:t xml:space="preserve">the </w:t>
      </w:r>
      <w:r>
        <w:rPr>
          <w:rFonts w:ascii="Times New Roman" w:hAnsi="Times New Roman" w:cs="Times New Roman"/>
          <w:bCs/>
          <w:i/>
          <w:color w:val="000000" w:themeColor="text1"/>
          <w:sz w:val="24"/>
          <w:szCs w:val="24"/>
        </w:rPr>
        <w:t xml:space="preserve">Public Governance, Performance and Accountability Rule 2014, </w:t>
      </w:r>
      <w:r w:rsidRPr="008A5916">
        <w:rPr>
          <w:rFonts w:ascii="Times New Roman" w:hAnsi="Times New Roman" w:cs="Times New Roman"/>
          <w:bCs/>
          <w:iCs/>
          <w:color w:val="000000" w:themeColor="text1"/>
          <w:sz w:val="24"/>
          <w:szCs w:val="24"/>
        </w:rPr>
        <w:t xml:space="preserve">the </w:t>
      </w:r>
      <w:r w:rsidRPr="008A5916">
        <w:rPr>
          <w:rFonts w:ascii="Times New Roman" w:hAnsi="Times New Roman" w:cs="Times New Roman"/>
          <w:bCs/>
          <w:i/>
          <w:iCs/>
          <w:color w:val="000000" w:themeColor="text1"/>
          <w:sz w:val="24"/>
          <w:szCs w:val="24"/>
        </w:rPr>
        <w:t>Commonwealth Procurement Rules</w:t>
      </w:r>
      <w:r w:rsidRPr="008A5916">
        <w:rPr>
          <w:rFonts w:ascii="Times New Roman" w:hAnsi="Times New Roman" w:cs="Times New Roman"/>
          <w:bCs/>
          <w:iCs/>
          <w:color w:val="000000" w:themeColor="text1"/>
          <w:sz w:val="24"/>
          <w:szCs w:val="24"/>
        </w:rPr>
        <w:t xml:space="preserve"> (CPRs) and the Department’s Accountable Authority Instructions.  </w:t>
      </w:r>
    </w:p>
    <w:p w14:paraId="7D226354" w14:textId="77777777" w:rsidR="00A24A90" w:rsidRDefault="00A24A90" w:rsidP="00A24A90">
      <w:pPr>
        <w:rPr>
          <w:rFonts w:ascii="Times New Roman" w:hAnsi="Times New Roman" w:cs="Times New Roman"/>
          <w:bCs/>
          <w:iCs/>
          <w:color w:val="000000" w:themeColor="text1"/>
          <w:sz w:val="24"/>
          <w:szCs w:val="24"/>
        </w:rPr>
      </w:pPr>
      <w:r w:rsidRPr="008A5916">
        <w:rPr>
          <w:rFonts w:ascii="Times New Roman" w:hAnsi="Times New Roman" w:cs="Times New Roman"/>
          <w:bCs/>
          <w:iCs/>
          <w:color w:val="000000" w:themeColor="text1"/>
          <w:sz w:val="24"/>
          <w:szCs w:val="24"/>
        </w:rPr>
        <w:t> </w:t>
      </w:r>
    </w:p>
    <w:p w14:paraId="25A071D2" w14:textId="77777777" w:rsidR="00A24A90" w:rsidRPr="00D2771F" w:rsidRDefault="00A24A90" w:rsidP="00A24A90">
      <w:pPr>
        <w:rPr>
          <w:rFonts w:ascii="Times New Roman" w:hAnsi="Times New Roman" w:cs="Times New Roman"/>
          <w:bCs/>
          <w:iCs/>
          <w:color w:val="000000" w:themeColor="text1"/>
          <w:sz w:val="24"/>
          <w:szCs w:val="24"/>
        </w:rPr>
      </w:pPr>
      <w:r w:rsidRPr="008A5916">
        <w:rPr>
          <w:rFonts w:ascii="Times New Roman" w:hAnsi="Times New Roman" w:cs="Times New Roman"/>
          <w:bCs/>
          <w:iCs/>
          <w:color w:val="000000" w:themeColor="text1"/>
          <w:sz w:val="24"/>
          <w:szCs w:val="24"/>
        </w:rPr>
        <w:lastRenderedPageBreak/>
        <w:t xml:space="preserve">A range of procurement methods </w:t>
      </w:r>
      <w:r>
        <w:rPr>
          <w:rFonts w:ascii="Times New Roman" w:hAnsi="Times New Roman" w:cs="Times New Roman"/>
          <w:bCs/>
          <w:iCs/>
          <w:color w:val="000000" w:themeColor="text1"/>
          <w:sz w:val="24"/>
          <w:szCs w:val="24"/>
        </w:rPr>
        <w:t xml:space="preserve">will be considered </w:t>
      </w:r>
      <w:r w:rsidRPr="008A5916">
        <w:rPr>
          <w:rFonts w:ascii="Times New Roman" w:hAnsi="Times New Roman" w:cs="Times New Roman"/>
          <w:bCs/>
          <w:iCs/>
          <w:color w:val="000000" w:themeColor="text1"/>
          <w:sz w:val="24"/>
          <w:szCs w:val="24"/>
        </w:rPr>
        <w:t xml:space="preserve">such as open and limited tenders or procurements under existing </w:t>
      </w:r>
      <w:r w:rsidRPr="00D2771F">
        <w:rPr>
          <w:rFonts w:ascii="Times New Roman" w:hAnsi="Times New Roman" w:cs="Times New Roman"/>
          <w:bCs/>
          <w:iCs/>
          <w:color w:val="000000" w:themeColor="text1"/>
          <w:sz w:val="24"/>
          <w:szCs w:val="24"/>
        </w:rPr>
        <w:t xml:space="preserve">arrangements. The selection of which procurement method used will be dependent on the activity. Final spending decisions </w:t>
      </w:r>
      <w:r>
        <w:rPr>
          <w:rFonts w:ascii="Times New Roman" w:hAnsi="Times New Roman" w:cs="Times New Roman"/>
          <w:bCs/>
          <w:iCs/>
          <w:color w:val="000000" w:themeColor="text1"/>
          <w:sz w:val="24"/>
          <w:szCs w:val="24"/>
        </w:rPr>
        <w:t>will be</w:t>
      </w:r>
      <w:r w:rsidRPr="00D2771F">
        <w:rPr>
          <w:rFonts w:ascii="Times New Roman" w:hAnsi="Times New Roman" w:cs="Times New Roman"/>
          <w:bCs/>
          <w:iCs/>
          <w:color w:val="000000" w:themeColor="text1"/>
          <w:sz w:val="24"/>
          <w:szCs w:val="24"/>
        </w:rPr>
        <w:t xml:space="preserve"> made by the Secretary of the department or an appropriate delegate, including: </w:t>
      </w:r>
    </w:p>
    <w:p w14:paraId="173B51A5" w14:textId="77777777" w:rsidR="00A24A90" w:rsidRPr="00D21017" w:rsidRDefault="00A24A90" w:rsidP="00A24A90">
      <w:pPr>
        <w:pStyle w:val="ListParagraph"/>
        <w:numPr>
          <w:ilvl w:val="0"/>
          <w:numId w:val="2"/>
        </w:numPr>
        <w:tabs>
          <w:tab w:val="clear" w:pos="720"/>
        </w:tabs>
        <w:rPr>
          <w:rFonts w:ascii="Times New Roman" w:hAnsi="Times New Roman"/>
          <w:iCs/>
          <w:sz w:val="24"/>
          <w:szCs w:val="24"/>
        </w:rPr>
      </w:pPr>
      <w:r w:rsidRPr="00D21017">
        <w:rPr>
          <w:rFonts w:ascii="Times New Roman" w:hAnsi="Times New Roman"/>
          <w:iCs/>
          <w:sz w:val="24"/>
          <w:szCs w:val="24"/>
        </w:rPr>
        <w:t xml:space="preserve">Deputy Secretary, International Security, Legal and Consular </w:t>
      </w:r>
      <w:proofErr w:type="gramStart"/>
      <w:r w:rsidRPr="00D21017">
        <w:rPr>
          <w:rFonts w:ascii="Times New Roman" w:hAnsi="Times New Roman"/>
          <w:iCs/>
          <w:sz w:val="24"/>
          <w:szCs w:val="24"/>
        </w:rPr>
        <w:t>Group</w:t>
      </w:r>
      <w:r>
        <w:rPr>
          <w:rFonts w:ascii="Times New Roman" w:hAnsi="Times New Roman"/>
          <w:iCs/>
          <w:sz w:val="24"/>
          <w:szCs w:val="24"/>
        </w:rPr>
        <w:t>;</w:t>
      </w:r>
      <w:proofErr w:type="gramEnd"/>
    </w:p>
    <w:p w14:paraId="59B7DDF0" w14:textId="77777777" w:rsidR="00A24A90" w:rsidRPr="00D21017" w:rsidRDefault="00A24A90" w:rsidP="00A24A90">
      <w:pPr>
        <w:pStyle w:val="ListParagraph"/>
        <w:numPr>
          <w:ilvl w:val="0"/>
          <w:numId w:val="2"/>
        </w:numPr>
        <w:tabs>
          <w:tab w:val="clear" w:pos="720"/>
        </w:tabs>
        <w:rPr>
          <w:rFonts w:ascii="Times New Roman" w:hAnsi="Times New Roman"/>
          <w:iCs/>
          <w:sz w:val="24"/>
          <w:szCs w:val="24"/>
        </w:rPr>
      </w:pPr>
      <w:r w:rsidRPr="00D21017">
        <w:rPr>
          <w:rFonts w:ascii="Times New Roman" w:hAnsi="Times New Roman"/>
          <w:iCs/>
          <w:sz w:val="24"/>
          <w:szCs w:val="24"/>
        </w:rPr>
        <w:t>First Assistant Secretary, Consular and Crisis Management Division</w:t>
      </w:r>
      <w:r>
        <w:rPr>
          <w:rFonts w:ascii="Times New Roman" w:hAnsi="Times New Roman"/>
          <w:iCs/>
          <w:sz w:val="24"/>
          <w:szCs w:val="24"/>
        </w:rPr>
        <w:t>; and</w:t>
      </w:r>
    </w:p>
    <w:p w14:paraId="7DCA2676" w14:textId="77777777" w:rsidR="00A24A90" w:rsidRPr="00D21017" w:rsidRDefault="00A24A90" w:rsidP="00A24A90">
      <w:pPr>
        <w:pStyle w:val="ListParagraph"/>
        <w:numPr>
          <w:ilvl w:val="0"/>
          <w:numId w:val="2"/>
        </w:numPr>
        <w:tabs>
          <w:tab w:val="clear" w:pos="720"/>
        </w:tabs>
        <w:rPr>
          <w:rFonts w:ascii="Times New Roman" w:hAnsi="Times New Roman"/>
          <w:iCs/>
          <w:sz w:val="24"/>
          <w:szCs w:val="24"/>
        </w:rPr>
      </w:pPr>
      <w:r w:rsidRPr="00D21017">
        <w:rPr>
          <w:rFonts w:ascii="Times New Roman" w:hAnsi="Times New Roman"/>
          <w:iCs/>
          <w:sz w:val="24"/>
          <w:szCs w:val="24"/>
        </w:rPr>
        <w:t>Assistant Secretary, Crisis Preparedness and Management Branch</w:t>
      </w:r>
      <w:r>
        <w:rPr>
          <w:rFonts w:ascii="Times New Roman" w:hAnsi="Times New Roman"/>
          <w:iCs/>
          <w:sz w:val="24"/>
          <w:szCs w:val="24"/>
        </w:rPr>
        <w:t>.</w:t>
      </w:r>
      <w:r w:rsidRPr="00D21017">
        <w:rPr>
          <w:rFonts w:ascii="Times New Roman" w:hAnsi="Times New Roman"/>
          <w:iCs/>
          <w:sz w:val="24"/>
          <w:szCs w:val="24"/>
        </w:rPr>
        <w:t xml:space="preserve">  </w:t>
      </w:r>
    </w:p>
    <w:p w14:paraId="4F327ABF" w14:textId="77777777" w:rsidR="00A24A90" w:rsidRDefault="00A24A90" w:rsidP="00A24A90">
      <w:pPr>
        <w:rPr>
          <w:rFonts w:ascii="Times New Roman" w:hAnsi="Times New Roman" w:cs="Times New Roman"/>
          <w:bCs/>
          <w:iCs/>
          <w:color w:val="000000" w:themeColor="text1"/>
          <w:sz w:val="24"/>
          <w:szCs w:val="24"/>
        </w:rPr>
      </w:pPr>
    </w:p>
    <w:p w14:paraId="5E9BD138" w14:textId="77777777" w:rsidR="00A24A90" w:rsidRPr="000D326F" w:rsidRDefault="00A24A90" w:rsidP="00A24A90">
      <w:pPr>
        <w:rPr>
          <w:rFonts w:ascii="Times New Roman" w:hAnsi="Times New Roman" w:cs="Times New Roman"/>
          <w:bCs/>
          <w:iCs/>
          <w:color w:val="000000" w:themeColor="text1"/>
          <w:sz w:val="24"/>
          <w:szCs w:val="24"/>
        </w:rPr>
      </w:pPr>
      <w:r w:rsidRPr="000D326F">
        <w:rPr>
          <w:rFonts w:ascii="Times New Roman" w:hAnsi="Times New Roman" w:cs="Times New Roman"/>
          <w:bCs/>
          <w:iCs/>
          <w:color w:val="000000" w:themeColor="text1"/>
          <w:sz w:val="24"/>
          <w:szCs w:val="24"/>
        </w:rPr>
        <w:t xml:space="preserve">Any procurement arrangements will be finalised in accordance with the CPRs, the PGPA Act and the </w:t>
      </w:r>
      <w:r w:rsidRPr="000D326F">
        <w:rPr>
          <w:rFonts w:ascii="Times New Roman" w:hAnsi="Times New Roman" w:cs="Times New Roman"/>
          <w:bCs/>
          <w:i/>
          <w:color w:val="000000" w:themeColor="text1"/>
          <w:sz w:val="24"/>
          <w:szCs w:val="24"/>
        </w:rPr>
        <w:t>Financial Framework (Supplementary Powers) Act 1997</w:t>
      </w:r>
      <w:r w:rsidRPr="000D326F">
        <w:rPr>
          <w:rFonts w:ascii="Times New Roman" w:hAnsi="Times New Roman" w:cs="Times New Roman"/>
          <w:bCs/>
          <w:iCs/>
          <w:color w:val="000000" w:themeColor="text1"/>
          <w:sz w:val="24"/>
          <w:szCs w:val="24"/>
        </w:rPr>
        <w:t>.</w:t>
      </w:r>
    </w:p>
    <w:p w14:paraId="1AB63766" w14:textId="77777777" w:rsidR="00A24A90" w:rsidRPr="008A5916" w:rsidRDefault="00A24A90" w:rsidP="00A24A90">
      <w:pPr>
        <w:rPr>
          <w:rFonts w:ascii="Times New Roman" w:hAnsi="Times New Roman" w:cs="Times New Roman"/>
          <w:bCs/>
          <w:iCs/>
          <w:color w:val="000000" w:themeColor="text1"/>
          <w:sz w:val="24"/>
          <w:szCs w:val="24"/>
        </w:rPr>
      </w:pPr>
      <w:r w:rsidRPr="008A5916">
        <w:rPr>
          <w:rFonts w:ascii="Times New Roman" w:hAnsi="Times New Roman" w:cs="Times New Roman"/>
          <w:bCs/>
          <w:iCs/>
          <w:color w:val="000000" w:themeColor="text1"/>
          <w:sz w:val="24"/>
          <w:szCs w:val="24"/>
        </w:rPr>
        <w:t> </w:t>
      </w:r>
    </w:p>
    <w:p w14:paraId="5B7806AA" w14:textId="77777777" w:rsidR="00A24A90" w:rsidRDefault="00A24A90" w:rsidP="00A24A90">
      <w:pPr>
        <w:rPr>
          <w:rFonts w:ascii="Times New Roman" w:hAnsi="Times New Roman" w:cs="Times New Roman"/>
          <w:bCs/>
          <w:iCs/>
          <w:color w:val="000000" w:themeColor="text1"/>
          <w:sz w:val="24"/>
          <w:szCs w:val="24"/>
        </w:rPr>
      </w:pPr>
      <w:r w:rsidRPr="008A5916">
        <w:rPr>
          <w:rFonts w:ascii="Times New Roman" w:hAnsi="Times New Roman" w:cs="Times New Roman"/>
          <w:bCs/>
          <w:iCs/>
          <w:color w:val="000000" w:themeColor="text1"/>
          <w:sz w:val="24"/>
          <w:szCs w:val="24"/>
        </w:rPr>
        <w:t xml:space="preserve">Procurement decisions </w:t>
      </w:r>
      <w:r>
        <w:rPr>
          <w:rFonts w:ascii="Times New Roman" w:hAnsi="Times New Roman" w:cs="Times New Roman"/>
          <w:bCs/>
          <w:iCs/>
          <w:color w:val="000000" w:themeColor="text1"/>
          <w:sz w:val="24"/>
          <w:szCs w:val="24"/>
        </w:rPr>
        <w:t>will be</w:t>
      </w:r>
      <w:r w:rsidRPr="008A5916">
        <w:rPr>
          <w:rFonts w:ascii="Times New Roman" w:hAnsi="Times New Roman" w:cs="Times New Roman"/>
          <w:bCs/>
          <w:iCs/>
          <w:color w:val="000000" w:themeColor="text1"/>
          <w:sz w:val="24"/>
          <w:szCs w:val="24"/>
        </w:rPr>
        <w:t xml:space="preserve"> based on value for money, including capability and capacity to deliver, and price and risk considerations. The </w:t>
      </w:r>
      <w:r>
        <w:rPr>
          <w:rFonts w:ascii="Times New Roman" w:hAnsi="Times New Roman" w:cs="Times New Roman"/>
          <w:bCs/>
          <w:iCs/>
          <w:color w:val="000000" w:themeColor="text1"/>
          <w:sz w:val="24"/>
          <w:szCs w:val="24"/>
        </w:rPr>
        <w:t>d</w:t>
      </w:r>
      <w:r w:rsidRPr="008A5916">
        <w:rPr>
          <w:rFonts w:ascii="Times New Roman" w:hAnsi="Times New Roman" w:cs="Times New Roman"/>
          <w:bCs/>
          <w:iCs/>
          <w:color w:val="000000" w:themeColor="text1"/>
          <w:sz w:val="24"/>
          <w:szCs w:val="24"/>
        </w:rPr>
        <w:t xml:space="preserve">epartment </w:t>
      </w:r>
      <w:r>
        <w:rPr>
          <w:rFonts w:ascii="Times New Roman" w:hAnsi="Times New Roman" w:cs="Times New Roman"/>
          <w:bCs/>
          <w:iCs/>
          <w:color w:val="000000" w:themeColor="text1"/>
          <w:sz w:val="24"/>
          <w:szCs w:val="24"/>
        </w:rPr>
        <w:t xml:space="preserve">will </w:t>
      </w:r>
      <w:r w:rsidRPr="008A5916">
        <w:rPr>
          <w:rFonts w:ascii="Times New Roman" w:hAnsi="Times New Roman" w:cs="Times New Roman"/>
          <w:bCs/>
          <w:iCs/>
          <w:color w:val="000000" w:themeColor="text1"/>
          <w:sz w:val="24"/>
          <w:szCs w:val="24"/>
        </w:rPr>
        <w:t xml:space="preserve">undertake a limited tender through appropriate panels if applicable or via open procurement on </w:t>
      </w:r>
      <w:proofErr w:type="spellStart"/>
      <w:r w:rsidRPr="008A5916">
        <w:rPr>
          <w:rFonts w:ascii="Times New Roman" w:hAnsi="Times New Roman" w:cs="Times New Roman"/>
          <w:bCs/>
          <w:iCs/>
          <w:color w:val="000000" w:themeColor="text1"/>
          <w:sz w:val="24"/>
          <w:szCs w:val="24"/>
        </w:rPr>
        <w:t>AusTender</w:t>
      </w:r>
      <w:proofErr w:type="spellEnd"/>
      <w:r w:rsidRPr="008A5916">
        <w:rPr>
          <w:rFonts w:ascii="Times New Roman" w:hAnsi="Times New Roman" w:cs="Times New Roman"/>
          <w:bCs/>
          <w:iCs/>
          <w:color w:val="000000" w:themeColor="text1"/>
          <w:sz w:val="24"/>
          <w:szCs w:val="24"/>
        </w:rPr>
        <w:t xml:space="preserve"> if required. Procurement </w:t>
      </w:r>
      <w:r w:rsidRPr="00D2771F">
        <w:rPr>
          <w:rFonts w:ascii="Times New Roman" w:hAnsi="Times New Roman" w:cs="Times New Roman"/>
          <w:bCs/>
          <w:iCs/>
          <w:color w:val="000000" w:themeColor="text1"/>
          <w:sz w:val="24"/>
          <w:szCs w:val="24"/>
        </w:rPr>
        <w:t>outcomes are generally published</w:t>
      </w:r>
      <w:r w:rsidRPr="008A5916">
        <w:rPr>
          <w:rFonts w:ascii="Times New Roman" w:hAnsi="Times New Roman" w:cs="Times New Roman"/>
          <w:bCs/>
          <w:iCs/>
          <w:color w:val="000000" w:themeColor="text1"/>
          <w:sz w:val="24"/>
          <w:szCs w:val="24"/>
        </w:rPr>
        <w:t xml:space="preserve"> on </w:t>
      </w:r>
      <w:proofErr w:type="spellStart"/>
      <w:r w:rsidRPr="008A5916">
        <w:rPr>
          <w:rFonts w:ascii="Times New Roman" w:hAnsi="Times New Roman" w:cs="Times New Roman"/>
          <w:bCs/>
          <w:iCs/>
          <w:color w:val="000000" w:themeColor="text1"/>
          <w:sz w:val="24"/>
          <w:szCs w:val="24"/>
        </w:rPr>
        <w:t>AusTender</w:t>
      </w:r>
      <w:proofErr w:type="spellEnd"/>
      <w:r w:rsidRPr="008A5916">
        <w:rPr>
          <w:rFonts w:ascii="Times New Roman" w:hAnsi="Times New Roman" w:cs="Times New Roman"/>
          <w:bCs/>
          <w:iCs/>
          <w:color w:val="000000" w:themeColor="text1"/>
          <w:sz w:val="24"/>
          <w:szCs w:val="24"/>
        </w:rPr>
        <w:t xml:space="preserve"> (</w:t>
      </w:r>
      <w:r w:rsidRPr="00C2425B">
        <w:rPr>
          <w:rFonts w:ascii="Times New Roman" w:hAnsi="Times New Roman" w:cs="Times New Roman"/>
          <w:bCs/>
          <w:iCs/>
          <w:color w:val="000000" w:themeColor="text1"/>
          <w:sz w:val="24"/>
          <w:szCs w:val="24"/>
          <w:u w:val="single"/>
        </w:rPr>
        <w:t>www.Tenders.gov.au</w:t>
      </w:r>
      <w:r w:rsidRPr="008A5916">
        <w:rPr>
          <w:rFonts w:ascii="Times New Roman" w:hAnsi="Times New Roman" w:cs="Times New Roman"/>
          <w:bCs/>
          <w:iCs/>
          <w:color w:val="000000" w:themeColor="text1"/>
          <w:sz w:val="24"/>
          <w:szCs w:val="24"/>
        </w:rPr>
        <w:t>), with information withheld</w:t>
      </w:r>
      <w:r>
        <w:rPr>
          <w:rFonts w:ascii="Times New Roman" w:hAnsi="Times New Roman" w:cs="Times New Roman"/>
          <w:bCs/>
          <w:iCs/>
          <w:color w:val="000000" w:themeColor="text1"/>
          <w:sz w:val="24"/>
          <w:szCs w:val="24"/>
        </w:rPr>
        <w:t xml:space="preserve">, for example, </w:t>
      </w:r>
      <w:r w:rsidRPr="008A5916">
        <w:rPr>
          <w:rFonts w:ascii="Times New Roman" w:hAnsi="Times New Roman" w:cs="Times New Roman"/>
          <w:bCs/>
          <w:iCs/>
          <w:color w:val="000000" w:themeColor="text1"/>
          <w:sz w:val="24"/>
          <w:szCs w:val="24"/>
        </w:rPr>
        <w:t>if specific commercial in confidence clauses are negotiated by the successful supplier (in which case the department will seek legal and procurement advice). </w:t>
      </w:r>
    </w:p>
    <w:p w14:paraId="26A493F5" w14:textId="77777777" w:rsidR="00A24A90" w:rsidRDefault="00A24A90" w:rsidP="00A24A90">
      <w:pPr>
        <w:rPr>
          <w:rFonts w:ascii="Times New Roman" w:hAnsi="Times New Roman" w:cs="Times New Roman"/>
          <w:bCs/>
          <w:iCs/>
          <w:color w:val="000000" w:themeColor="text1"/>
          <w:sz w:val="24"/>
          <w:szCs w:val="24"/>
          <w:highlight w:val="yellow"/>
        </w:rPr>
      </w:pPr>
    </w:p>
    <w:p w14:paraId="12CCDC92" w14:textId="77777777" w:rsidR="00A24A90" w:rsidRPr="002A716B" w:rsidRDefault="00A24A90"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Any p</w:t>
      </w:r>
      <w:r w:rsidRPr="002A716B">
        <w:rPr>
          <w:rFonts w:ascii="Times New Roman" w:hAnsi="Times New Roman" w:cs="Times New Roman"/>
          <w:bCs/>
          <w:iCs/>
          <w:color w:val="000000" w:themeColor="text1"/>
          <w:sz w:val="24"/>
          <w:szCs w:val="24"/>
        </w:rPr>
        <w:t xml:space="preserve">rocurement decisions made in connection with the </w:t>
      </w:r>
      <w:r>
        <w:rPr>
          <w:rFonts w:ascii="Times New Roman" w:hAnsi="Times New Roman" w:cs="Times New Roman"/>
          <w:bCs/>
          <w:iCs/>
          <w:color w:val="000000" w:themeColor="text1"/>
          <w:sz w:val="24"/>
          <w:szCs w:val="24"/>
        </w:rPr>
        <w:t>consular services</w:t>
      </w:r>
      <w:r w:rsidRPr="002A716B">
        <w:rPr>
          <w:rFonts w:ascii="Times New Roman" w:hAnsi="Times New Roman" w:cs="Times New Roman"/>
          <w:bCs/>
          <w:iCs/>
          <w:color w:val="000000" w:themeColor="text1"/>
          <w:sz w:val="24"/>
          <w:szCs w:val="24"/>
        </w:rPr>
        <w:t xml:space="preserve"> program </w:t>
      </w:r>
      <w:r>
        <w:rPr>
          <w:rFonts w:ascii="Times New Roman" w:hAnsi="Times New Roman" w:cs="Times New Roman"/>
          <w:bCs/>
          <w:iCs/>
          <w:color w:val="000000" w:themeColor="text1"/>
          <w:sz w:val="24"/>
          <w:szCs w:val="24"/>
        </w:rPr>
        <w:t>and crisis support will</w:t>
      </w:r>
      <w:r w:rsidRPr="002A716B">
        <w:rPr>
          <w:rFonts w:ascii="Times New Roman" w:hAnsi="Times New Roman" w:cs="Times New Roman"/>
          <w:bCs/>
          <w:iCs/>
          <w:color w:val="000000" w:themeColor="text1"/>
          <w:sz w:val="24"/>
          <w:szCs w:val="24"/>
        </w:rPr>
        <w:t xml:space="preserve"> not</w:t>
      </w:r>
      <w:r>
        <w:rPr>
          <w:rFonts w:ascii="Times New Roman" w:hAnsi="Times New Roman" w:cs="Times New Roman"/>
          <w:bCs/>
          <w:iCs/>
          <w:color w:val="000000" w:themeColor="text1"/>
          <w:sz w:val="24"/>
          <w:szCs w:val="24"/>
        </w:rPr>
        <w:t xml:space="preserve"> be</w:t>
      </w:r>
      <w:r w:rsidRPr="002A716B">
        <w:rPr>
          <w:rFonts w:ascii="Times New Roman" w:hAnsi="Times New Roman" w:cs="Times New Roman"/>
          <w:bCs/>
          <w:iCs/>
          <w:color w:val="000000" w:themeColor="text1"/>
          <w:sz w:val="24"/>
          <w:szCs w:val="24"/>
        </w:rPr>
        <w:t xml:space="preserve"> considered suitable for independent merits review, as they are decisions relating to the allocation of a finite resource, from which all potential claims for a share of the resource cannot be </w:t>
      </w:r>
      <w:r w:rsidRPr="003E4244">
        <w:rPr>
          <w:rFonts w:ascii="Times New Roman" w:hAnsi="Times New Roman" w:cs="Times New Roman"/>
          <w:bCs/>
          <w:iCs/>
          <w:color w:val="000000" w:themeColor="text1"/>
          <w:sz w:val="24"/>
          <w:szCs w:val="24"/>
        </w:rPr>
        <w:t>met. In addition, any funding already allocated</w:t>
      </w:r>
      <w:r>
        <w:rPr>
          <w:rFonts w:ascii="Times New Roman" w:hAnsi="Times New Roman" w:cs="Times New Roman"/>
          <w:bCs/>
          <w:iCs/>
          <w:color w:val="000000" w:themeColor="text1"/>
          <w:sz w:val="24"/>
          <w:szCs w:val="24"/>
        </w:rPr>
        <w:t xml:space="preserve"> at that time</w:t>
      </w:r>
      <w:r w:rsidRPr="003E4244">
        <w:rPr>
          <w:rFonts w:ascii="Times New Roman" w:hAnsi="Times New Roman" w:cs="Times New Roman"/>
          <w:bCs/>
          <w:iCs/>
          <w:color w:val="000000" w:themeColor="text1"/>
          <w:sz w:val="24"/>
          <w:szCs w:val="24"/>
        </w:rPr>
        <w:t xml:space="preserve"> would be affected if the original decision was overturned. The remaking of a procurement decision after entry into a contractual arrangement with a successful provider is legally complex, impractical, and could result in delays to </w:t>
      </w:r>
      <w:r>
        <w:rPr>
          <w:rFonts w:ascii="Times New Roman" w:hAnsi="Times New Roman" w:cs="Times New Roman"/>
          <w:bCs/>
          <w:iCs/>
          <w:color w:val="000000" w:themeColor="text1"/>
          <w:sz w:val="24"/>
          <w:szCs w:val="24"/>
        </w:rPr>
        <w:t>providing urgent consular assistance during crises overseas.</w:t>
      </w:r>
    </w:p>
    <w:p w14:paraId="58369A37" w14:textId="77777777" w:rsidR="00A24A90" w:rsidRPr="002A716B" w:rsidRDefault="00A24A90" w:rsidP="00A24A90">
      <w:pPr>
        <w:rPr>
          <w:rFonts w:ascii="Times New Roman" w:hAnsi="Times New Roman" w:cs="Times New Roman"/>
          <w:bCs/>
          <w:iCs/>
          <w:color w:val="000000" w:themeColor="text1"/>
          <w:sz w:val="24"/>
          <w:szCs w:val="24"/>
        </w:rPr>
      </w:pPr>
    </w:p>
    <w:p w14:paraId="41C70D44" w14:textId="77777777" w:rsidR="00A24A90" w:rsidRPr="002A716B" w:rsidRDefault="00A24A90" w:rsidP="00A24A90">
      <w:pPr>
        <w:rPr>
          <w:rFonts w:ascii="Times New Roman" w:hAnsi="Times New Roman" w:cs="Times New Roman"/>
          <w:bCs/>
          <w:iCs/>
          <w:color w:val="000000" w:themeColor="text1"/>
          <w:sz w:val="24"/>
          <w:szCs w:val="24"/>
        </w:rPr>
      </w:pPr>
      <w:r w:rsidRPr="002A716B">
        <w:rPr>
          <w:rFonts w:ascii="Times New Roman" w:hAnsi="Times New Roman" w:cs="Times New Roman"/>
          <w:bCs/>
          <w:iCs/>
          <w:color w:val="000000" w:themeColor="text1"/>
          <w:sz w:val="24"/>
          <w:szCs w:val="24"/>
        </w:rPr>
        <w:t xml:space="preserve">The Administrative Review Council has recognised that it is justifiable to exclude merits review in relation to decisions of this nature (see paragraphs 4.11 to 4.19 of the guide, </w:t>
      </w:r>
      <w:proofErr w:type="gramStart"/>
      <w:r w:rsidRPr="002A716B">
        <w:rPr>
          <w:rFonts w:ascii="Times New Roman" w:hAnsi="Times New Roman" w:cs="Times New Roman"/>
          <w:bCs/>
          <w:i/>
          <w:iCs/>
          <w:color w:val="000000" w:themeColor="text1"/>
          <w:sz w:val="24"/>
          <w:szCs w:val="24"/>
        </w:rPr>
        <w:t>What</w:t>
      </w:r>
      <w:proofErr w:type="gramEnd"/>
      <w:r w:rsidRPr="002A716B">
        <w:rPr>
          <w:rFonts w:ascii="Times New Roman" w:hAnsi="Times New Roman" w:cs="Times New Roman"/>
          <w:bCs/>
          <w:i/>
          <w:iCs/>
          <w:color w:val="000000" w:themeColor="text1"/>
          <w:sz w:val="24"/>
          <w:szCs w:val="24"/>
        </w:rPr>
        <w:t xml:space="preserve"> decisions should be subject to merit review?</w:t>
      </w:r>
      <w:r w:rsidRPr="002A716B">
        <w:rPr>
          <w:rFonts w:ascii="Times New Roman" w:hAnsi="Times New Roman" w:cs="Times New Roman"/>
          <w:bCs/>
          <w:iCs/>
          <w:color w:val="000000" w:themeColor="text1"/>
          <w:sz w:val="24"/>
          <w:szCs w:val="24"/>
        </w:rPr>
        <w:t>). </w:t>
      </w:r>
    </w:p>
    <w:p w14:paraId="0C54C904" w14:textId="77777777" w:rsidR="00A24A90" w:rsidRDefault="00A24A90" w:rsidP="00A24A90">
      <w:pPr>
        <w:rPr>
          <w:rFonts w:ascii="Times New Roman" w:hAnsi="Times New Roman" w:cs="Times New Roman"/>
          <w:bCs/>
          <w:iCs/>
          <w:color w:val="000000" w:themeColor="text1"/>
          <w:sz w:val="24"/>
          <w:szCs w:val="24"/>
          <w:highlight w:val="yellow"/>
        </w:rPr>
      </w:pPr>
    </w:p>
    <w:p w14:paraId="2BB053BB" w14:textId="77777777" w:rsidR="00A24A90" w:rsidRPr="002D3E0F" w:rsidRDefault="00A24A90" w:rsidP="00A24A90">
      <w:pPr>
        <w:rPr>
          <w:rFonts w:ascii="Times New Roman" w:hAnsi="Times New Roman" w:cs="Times New Roman"/>
          <w:bCs/>
          <w:iCs/>
          <w:color w:val="000000" w:themeColor="text1"/>
          <w:sz w:val="24"/>
          <w:szCs w:val="24"/>
        </w:rPr>
      </w:pPr>
      <w:r w:rsidRPr="002D3E0F">
        <w:rPr>
          <w:rFonts w:ascii="Times New Roman" w:hAnsi="Times New Roman" w:cs="Times New Roman"/>
          <w:bCs/>
          <w:iCs/>
          <w:color w:val="000000" w:themeColor="text1"/>
          <w:sz w:val="24"/>
          <w:szCs w:val="24"/>
        </w:rPr>
        <w:t xml:space="preserve">The </w:t>
      </w:r>
      <w:r w:rsidRPr="002D3E0F">
        <w:rPr>
          <w:rFonts w:ascii="Times New Roman" w:hAnsi="Times New Roman" w:cs="Times New Roman"/>
          <w:bCs/>
          <w:i/>
          <w:iCs/>
          <w:color w:val="000000" w:themeColor="text1"/>
          <w:sz w:val="24"/>
          <w:szCs w:val="24"/>
        </w:rPr>
        <w:t xml:space="preserve">Government Procurement (Judicial Review) Act 2018 </w:t>
      </w:r>
      <w:r w:rsidRPr="002D3E0F">
        <w:rPr>
          <w:rFonts w:ascii="Times New Roman" w:hAnsi="Times New Roman" w:cs="Times New Roman"/>
          <w:bCs/>
          <w:iCs/>
          <w:color w:val="000000" w:themeColor="text1"/>
          <w:sz w:val="24"/>
          <w:szCs w:val="24"/>
        </w:rPr>
        <w:t>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r>
        <w:rPr>
          <w:rFonts w:ascii="Times New Roman" w:hAnsi="Times New Roman" w:cs="Times New Roman"/>
          <w:bCs/>
          <w:iCs/>
          <w:color w:val="000000" w:themeColor="text1"/>
          <w:sz w:val="24"/>
          <w:szCs w:val="24"/>
        </w:rPr>
        <w:t xml:space="preserve"> </w:t>
      </w:r>
      <w:r w:rsidRPr="002D3E0F">
        <w:rPr>
          <w:rFonts w:ascii="Times New Roman" w:hAnsi="Times New Roman" w:cs="Times New Roman"/>
          <w:bCs/>
          <w:iCs/>
          <w:color w:val="000000" w:themeColor="text1"/>
          <w:sz w:val="24"/>
          <w:szCs w:val="24"/>
        </w:rPr>
        <w:t xml:space="preserve">Further, the right to review under s 75(v) of the Constitution and review under s 39B of the </w:t>
      </w:r>
      <w:r w:rsidRPr="002D3E0F">
        <w:rPr>
          <w:rFonts w:ascii="Times New Roman" w:hAnsi="Times New Roman" w:cs="Times New Roman"/>
          <w:bCs/>
          <w:i/>
          <w:iCs/>
          <w:color w:val="000000" w:themeColor="text1"/>
          <w:sz w:val="24"/>
          <w:szCs w:val="24"/>
        </w:rPr>
        <w:t>Judiciary Act 1903</w:t>
      </w:r>
      <w:r w:rsidRPr="002D3E0F">
        <w:rPr>
          <w:rFonts w:ascii="Times New Roman" w:hAnsi="Times New Roman" w:cs="Times New Roman"/>
          <w:bCs/>
          <w:iCs/>
          <w:color w:val="000000" w:themeColor="text1"/>
          <w:sz w:val="24"/>
          <w:szCs w:val="24"/>
        </w:rPr>
        <w:t xml:space="preserve"> may be available. </w:t>
      </w:r>
    </w:p>
    <w:p w14:paraId="2688E608" w14:textId="77777777" w:rsidR="00A24A90" w:rsidRPr="002D3E0F" w:rsidRDefault="00A24A90" w:rsidP="00A24A90">
      <w:pPr>
        <w:rPr>
          <w:rFonts w:ascii="Times New Roman" w:hAnsi="Times New Roman" w:cs="Times New Roman"/>
          <w:bCs/>
          <w:iCs/>
          <w:color w:val="000000" w:themeColor="text1"/>
          <w:sz w:val="24"/>
          <w:szCs w:val="24"/>
        </w:rPr>
      </w:pPr>
    </w:p>
    <w:p w14:paraId="6CED841D" w14:textId="77777777" w:rsidR="00A24A90" w:rsidRDefault="00A24A90" w:rsidP="00A24A90">
      <w:pPr>
        <w:rPr>
          <w:rFonts w:ascii="Times New Roman" w:hAnsi="Times New Roman" w:cs="Times New Roman"/>
          <w:bCs/>
          <w:iCs/>
          <w:color w:val="000000" w:themeColor="text1"/>
          <w:sz w:val="24"/>
          <w:szCs w:val="24"/>
        </w:rPr>
      </w:pPr>
      <w:r w:rsidRPr="002D3E0F">
        <w:rPr>
          <w:rFonts w:ascii="Times New Roman" w:hAnsi="Times New Roman" w:cs="Times New Roman"/>
          <w:bCs/>
          <w:iCs/>
          <w:color w:val="000000" w:themeColor="text1"/>
          <w:sz w:val="24"/>
          <w:szCs w:val="24"/>
        </w:rPr>
        <w:t xml:space="preserve">The department has a Complaints Handling Policy (available at </w:t>
      </w:r>
      <w:r w:rsidRPr="007C4B78">
        <w:rPr>
          <w:rFonts w:ascii="Times New Roman" w:hAnsi="Times New Roman" w:cs="Times New Roman"/>
          <w:bCs/>
          <w:iCs/>
          <w:sz w:val="24"/>
          <w:szCs w:val="24"/>
          <w:u w:val="single"/>
        </w:rPr>
        <w:t>https: www.dfat.gov.au/</w:t>
      </w:r>
      <w:r w:rsidRPr="007C4B78">
        <w:rPr>
          <w:rFonts w:ascii="Times New Roman" w:hAnsi="Times New Roman" w:cs="Times New Roman"/>
          <w:bCs/>
          <w:iCs/>
          <w:color w:val="000000" w:themeColor="text1"/>
          <w:sz w:val="24"/>
          <w:szCs w:val="24"/>
          <w:u w:val="single"/>
        </w:rPr>
        <w:t> </w:t>
      </w:r>
      <w:r w:rsidRPr="007C4B78">
        <w:rPr>
          <w:rFonts w:ascii="Times New Roman" w:hAnsi="Times New Roman" w:cs="Times New Roman"/>
          <w:bCs/>
          <w:iCs/>
          <w:color w:val="000000" w:themeColor="text1"/>
          <w:sz w:val="24"/>
          <w:szCs w:val="24"/>
          <w:u w:val="single"/>
        </w:rPr>
        <w:br/>
      </w:r>
      <w:r w:rsidRPr="007C4B78">
        <w:rPr>
          <w:rFonts w:ascii="Times New Roman" w:hAnsi="Times New Roman" w:cs="Times New Roman"/>
          <w:bCs/>
          <w:iCs/>
          <w:sz w:val="24"/>
          <w:szCs w:val="24"/>
          <w:u w:val="single"/>
        </w:rPr>
        <w:t>about-us/publications/complaint-handling-procedures-procurement</w:t>
      </w:r>
      <w:r w:rsidRPr="002D3E0F">
        <w:rPr>
          <w:rFonts w:ascii="Times New Roman" w:hAnsi="Times New Roman" w:cs="Times New Roman"/>
          <w:bCs/>
          <w:iCs/>
          <w:color w:val="000000" w:themeColor="text1"/>
          <w:sz w:val="24"/>
          <w:szCs w:val="24"/>
        </w:rPr>
        <w:t xml:space="preserve">) that sets out the process for responding to any procurement complaints received. This includes investigations to resolve the complaint by reaching a fair and independent view on the issues raised by the complainant. If the department finds a complaint has merit and the complainant has been inconvenienced or disadvantaged through their interactions with the department, an apology or other form of suitable remedy such as providing additional information, changing or reconsidering a decision or expediting action may be appropriate. </w:t>
      </w:r>
    </w:p>
    <w:p w14:paraId="6EF24A1D" w14:textId="77777777" w:rsidR="00A24A90" w:rsidRDefault="00A24A90" w:rsidP="00A24A90">
      <w:pPr>
        <w:rPr>
          <w:rFonts w:ascii="Times New Roman" w:hAnsi="Times New Roman" w:cs="Times New Roman"/>
          <w:bCs/>
          <w:iCs/>
          <w:color w:val="000000" w:themeColor="text1"/>
          <w:sz w:val="24"/>
          <w:szCs w:val="24"/>
        </w:rPr>
      </w:pPr>
    </w:p>
    <w:p w14:paraId="601224DB" w14:textId="04F6BBF4" w:rsidR="00A24A90" w:rsidRPr="002D3E0F" w:rsidRDefault="006426C4" w:rsidP="00A24A9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A24A90" w:rsidRPr="002D3E0F">
        <w:rPr>
          <w:rFonts w:ascii="Times New Roman" w:hAnsi="Times New Roman" w:cs="Times New Roman"/>
          <w:bCs/>
          <w:iCs/>
          <w:color w:val="000000" w:themeColor="text1"/>
          <w:sz w:val="24"/>
          <w:szCs w:val="24"/>
        </w:rPr>
        <w:lastRenderedPageBreak/>
        <w:t>If the complainant is still not satisfied with the response, they may seek an internal review of how the complaint was managed. If the complainant is still dissatisfied, the option to seek independent review is available from the Commonwealth Ombudsman or the Federal Court. In this case, all information about the complaint and proposed resolution must be provided by the department, when requested.  </w:t>
      </w:r>
    </w:p>
    <w:p w14:paraId="331CDC2C" w14:textId="77777777" w:rsidR="00A24A90" w:rsidRPr="002D3E0F" w:rsidRDefault="00A24A90" w:rsidP="00A24A90">
      <w:pPr>
        <w:rPr>
          <w:rFonts w:ascii="Times New Roman" w:hAnsi="Times New Roman" w:cs="Times New Roman"/>
          <w:bCs/>
          <w:iCs/>
          <w:color w:val="000000" w:themeColor="text1"/>
          <w:sz w:val="24"/>
          <w:szCs w:val="24"/>
        </w:rPr>
      </w:pPr>
      <w:r w:rsidRPr="002D3E0F">
        <w:rPr>
          <w:rFonts w:ascii="Times New Roman" w:hAnsi="Times New Roman" w:cs="Times New Roman"/>
          <w:bCs/>
          <w:iCs/>
          <w:color w:val="000000" w:themeColor="text1"/>
          <w:sz w:val="24"/>
          <w:szCs w:val="24"/>
        </w:rPr>
        <w:t> </w:t>
      </w:r>
    </w:p>
    <w:p w14:paraId="75374C10" w14:textId="77777777" w:rsidR="00A24A90" w:rsidRPr="002D3E0F" w:rsidRDefault="00A24A90" w:rsidP="00A24A90">
      <w:pPr>
        <w:rPr>
          <w:rFonts w:ascii="Times New Roman" w:hAnsi="Times New Roman" w:cs="Times New Roman"/>
          <w:bCs/>
          <w:iCs/>
          <w:color w:val="000000" w:themeColor="text1"/>
          <w:sz w:val="24"/>
          <w:szCs w:val="24"/>
        </w:rPr>
      </w:pPr>
      <w:r w:rsidRPr="002D3E0F">
        <w:rPr>
          <w:rFonts w:ascii="Times New Roman" w:hAnsi="Times New Roman" w:cs="Times New Roman"/>
          <w:bCs/>
          <w:iCs/>
          <w:color w:val="000000" w:themeColor="text1"/>
          <w:sz w:val="24"/>
          <w:szCs w:val="24"/>
        </w:rPr>
        <w:t>The review and audit process undertaken by the Australian National Audit Office also provides a mechanism to review the department’s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56DF7F9" w14:textId="77777777" w:rsidR="00A24A90" w:rsidRDefault="00A24A90" w:rsidP="00A24A90">
      <w:pPr>
        <w:rPr>
          <w:rFonts w:ascii="Times New Roman" w:hAnsi="Times New Roman" w:cs="Times New Roman"/>
          <w:sz w:val="24"/>
          <w:szCs w:val="24"/>
        </w:rPr>
      </w:pPr>
    </w:p>
    <w:p w14:paraId="46CEF688" w14:textId="77777777" w:rsidR="00A24A90" w:rsidRPr="002C35A3" w:rsidRDefault="00A24A90" w:rsidP="00A24A90">
      <w:pPr>
        <w:rPr>
          <w:rFonts w:ascii="Times New Roman" w:hAnsi="Times New Roman" w:cs="Times New Roman"/>
          <w:bCs/>
          <w:iCs/>
          <w:color w:val="000000" w:themeColor="text1"/>
          <w:sz w:val="24"/>
          <w:szCs w:val="24"/>
        </w:rPr>
      </w:pPr>
      <w:r w:rsidRPr="002C35A3">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department</w:t>
      </w:r>
      <w:r w:rsidRPr="002C35A3">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as </w:t>
      </w:r>
      <w:r w:rsidRPr="002C35A3">
        <w:rPr>
          <w:rFonts w:ascii="Times New Roman" w:hAnsi="Times New Roman" w:cs="Times New Roman"/>
          <w:bCs/>
          <w:iCs/>
          <w:color w:val="000000" w:themeColor="text1"/>
          <w:sz w:val="24"/>
          <w:szCs w:val="24"/>
        </w:rPr>
        <w:t>the</w:t>
      </w:r>
      <w:r>
        <w:rPr>
          <w:rFonts w:ascii="Times New Roman" w:hAnsi="Times New Roman" w:cs="Times New Roman"/>
          <w:bCs/>
          <w:iCs/>
          <w:color w:val="000000" w:themeColor="text1"/>
          <w:sz w:val="24"/>
          <w:szCs w:val="24"/>
        </w:rPr>
        <w:t xml:space="preserve"> lead</w:t>
      </w:r>
      <w:r w:rsidRPr="002C35A3">
        <w:rPr>
          <w:rFonts w:ascii="Times New Roman" w:hAnsi="Times New Roman" w:cs="Times New Roman"/>
          <w:bCs/>
          <w:iCs/>
          <w:color w:val="000000" w:themeColor="text1"/>
          <w:sz w:val="24"/>
          <w:szCs w:val="24"/>
        </w:rPr>
        <w:t xml:space="preserve"> agency on coordinating whole-of-government response to overseas crises under the Australian Government Crisis Management Framework, </w:t>
      </w:r>
      <w:r>
        <w:rPr>
          <w:rFonts w:ascii="Times New Roman" w:hAnsi="Times New Roman" w:cs="Times New Roman"/>
          <w:bCs/>
          <w:iCs/>
          <w:color w:val="000000" w:themeColor="text1"/>
          <w:sz w:val="24"/>
          <w:szCs w:val="24"/>
        </w:rPr>
        <w:t>consults</w:t>
      </w:r>
      <w:r w:rsidRPr="002C35A3">
        <w:rPr>
          <w:rFonts w:ascii="Times New Roman" w:hAnsi="Times New Roman" w:cs="Times New Roman"/>
          <w:bCs/>
          <w:iCs/>
          <w:color w:val="000000" w:themeColor="text1"/>
          <w:sz w:val="24"/>
          <w:szCs w:val="24"/>
        </w:rPr>
        <w:t xml:space="preserve"> widely and regularly on contingency planning and preparedness for possible overseas crisis scenarios. This </w:t>
      </w:r>
      <w:r>
        <w:rPr>
          <w:rFonts w:ascii="Times New Roman" w:hAnsi="Times New Roman" w:cs="Times New Roman"/>
          <w:bCs/>
          <w:iCs/>
          <w:color w:val="000000" w:themeColor="text1"/>
          <w:sz w:val="24"/>
          <w:szCs w:val="24"/>
        </w:rPr>
        <w:t>includes</w:t>
      </w:r>
      <w:r w:rsidRPr="002C35A3">
        <w:rPr>
          <w:rFonts w:ascii="Times New Roman" w:hAnsi="Times New Roman" w:cs="Times New Roman"/>
          <w:bCs/>
          <w:iCs/>
          <w:color w:val="000000" w:themeColor="text1"/>
          <w:sz w:val="24"/>
          <w:szCs w:val="24"/>
        </w:rPr>
        <w:t xml:space="preserve"> formal consultation rounds with stakeholder agencies as part of policy and planning development, as well as community consultation and outreach with groups likely to be impacted in the event of a deterioration of security in at-risk regions.</w:t>
      </w:r>
    </w:p>
    <w:p w14:paraId="0CD4888A" w14:textId="77777777" w:rsidR="00A24A90" w:rsidRDefault="00A24A90" w:rsidP="00A24A90">
      <w:pPr>
        <w:rPr>
          <w:rFonts w:ascii="Times New Roman" w:hAnsi="Times New Roman" w:cs="Times New Roman"/>
          <w:sz w:val="24"/>
          <w:szCs w:val="24"/>
        </w:rPr>
      </w:pPr>
    </w:p>
    <w:p w14:paraId="5086D466" w14:textId="77777777" w:rsidR="00A24A90" w:rsidRPr="00FB4385" w:rsidRDefault="00A24A90" w:rsidP="00A24A90">
      <w:pPr>
        <w:keepNext/>
        <w:rPr>
          <w:rFonts w:ascii="Times New Roman" w:hAnsi="Times New Roman" w:cs="Times New Roman"/>
          <w:i/>
          <w:sz w:val="24"/>
          <w:szCs w:val="24"/>
          <w:u w:val="single"/>
        </w:rPr>
      </w:pPr>
      <w:r>
        <w:rPr>
          <w:rFonts w:ascii="Times New Roman" w:hAnsi="Times New Roman" w:cs="Times New Roman"/>
          <w:i/>
          <w:sz w:val="24"/>
          <w:szCs w:val="24"/>
          <w:u w:val="single"/>
        </w:rPr>
        <w:t>C</w:t>
      </w:r>
      <w:r w:rsidRPr="00FB4385">
        <w:rPr>
          <w:rFonts w:ascii="Times New Roman" w:hAnsi="Times New Roman" w:cs="Times New Roman"/>
          <w:i/>
          <w:sz w:val="24"/>
          <w:szCs w:val="24"/>
          <w:u w:val="single"/>
        </w:rPr>
        <w:t>onstitutional considerations</w:t>
      </w:r>
    </w:p>
    <w:p w14:paraId="5F8F24B8" w14:textId="77777777" w:rsidR="00A24A90" w:rsidRPr="00FB4385" w:rsidRDefault="00A24A90" w:rsidP="00A24A90">
      <w:pPr>
        <w:keepNext/>
        <w:rPr>
          <w:rFonts w:ascii="Times New Roman" w:hAnsi="Times New Roman" w:cs="Times New Roman"/>
          <w:iCs/>
          <w:sz w:val="24"/>
          <w:szCs w:val="24"/>
        </w:rPr>
      </w:pPr>
    </w:p>
    <w:p w14:paraId="1180949E" w14:textId="77777777" w:rsidR="00A24A90" w:rsidRDefault="00A24A90" w:rsidP="00A24A90">
      <w:pPr>
        <w:rPr>
          <w:rFonts w:ascii="Times New Roman" w:eastAsia="Times New Roman" w:hAnsi="Times New Roman" w:cs="Times New Roman"/>
          <w:sz w:val="24"/>
          <w:szCs w:val="24"/>
        </w:rPr>
      </w:pPr>
      <w:r w:rsidRPr="00FB4385">
        <w:rPr>
          <w:rFonts w:ascii="Times New Roman" w:eastAsia="Times New Roman" w:hAnsi="Times New Roman" w:cs="Times New Roman"/>
          <w:sz w:val="24"/>
          <w:szCs w:val="24"/>
        </w:rPr>
        <w:t xml:space="preserve">Noting that it is not a comprehensive statement of relevant constitutional considerations, the objective of the item references the </w:t>
      </w:r>
      <w:r>
        <w:rPr>
          <w:rFonts w:ascii="Times New Roman" w:eastAsia="Times New Roman" w:hAnsi="Times New Roman" w:cs="Times New Roman"/>
          <w:sz w:val="24"/>
          <w:szCs w:val="24"/>
        </w:rPr>
        <w:t>following powers</w:t>
      </w:r>
      <w:r w:rsidRPr="00FB4385">
        <w:rPr>
          <w:rFonts w:ascii="Times New Roman" w:eastAsia="Times New Roman" w:hAnsi="Times New Roman" w:cs="Times New Roman"/>
          <w:sz w:val="24"/>
          <w:szCs w:val="24"/>
        </w:rPr>
        <w:t xml:space="preserve"> of the Constitution</w:t>
      </w:r>
      <w:r>
        <w:rPr>
          <w:rFonts w:ascii="Times New Roman" w:eastAsia="Times New Roman" w:hAnsi="Times New Roman" w:cs="Times New Roman"/>
          <w:sz w:val="24"/>
          <w:szCs w:val="24"/>
        </w:rPr>
        <w:t>:</w:t>
      </w:r>
    </w:p>
    <w:p w14:paraId="0CD228D9" w14:textId="77777777" w:rsidR="00A24A90" w:rsidRPr="009621D8" w:rsidRDefault="00A24A90" w:rsidP="00A24A90">
      <w:pPr>
        <w:pStyle w:val="ListParagraph"/>
        <w:numPr>
          <w:ilvl w:val="0"/>
          <w:numId w:val="2"/>
        </w:numPr>
        <w:tabs>
          <w:tab w:val="clear" w:pos="720"/>
        </w:tabs>
        <w:rPr>
          <w:rFonts w:ascii="Times New Roman" w:hAnsi="Times New Roman"/>
          <w:iCs/>
          <w:sz w:val="24"/>
          <w:szCs w:val="24"/>
        </w:rPr>
      </w:pPr>
      <w:r w:rsidRPr="009621D8">
        <w:rPr>
          <w:rFonts w:ascii="Times New Roman" w:hAnsi="Times New Roman"/>
          <w:iCs/>
          <w:sz w:val="24"/>
          <w:szCs w:val="24"/>
        </w:rPr>
        <w:t xml:space="preserve">the </w:t>
      </w:r>
      <w:proofErr w:type="gramStart"/>
      <w:r w:rsidRPr="009621D8">
        <w:rPr>
          <w:rFonts w:ascii="Times New Roman" w:hAnsi="Times New Roman"/>
          <w:iCs/>
          <w:sz w:val="24"/>
          <w:szCs w:val="24"/>
        </w:rPr>
        <w:t>aliens</w:t>
      </w:r>
      <w:proofErr w:type="gramEnd"/>
      <w:r w:rsidRPr="009621D8">
        <w:rPr>
          <w:rFonts w:ascii="Times New Roman" w:hAnsi="Times New Roman"/>
          <w:iCs/>
          <w:sz w:val="24"/>
          <w:szCs w:val="24"/>
        </w:rPr>
        <w:t xml:space="preserve"> power (section 51(xix)); and</w:t>
      </w:r>
    </w:p>
    <w:p w14:paraId="7575D031" w14:textId="77777777" w:rsidR="00A24A90" w:rsidRPr="009621D8" w:rsidRDefault="00A24A90" w:rsidP="00A24A90">
      <w:pPr>
        <w:pStyle w:val="ListParagraph"/>
        <w:numPr>
          <w:ilvl w:val="0"/>
          <w:numId w:val="2"/>
        </w:numPr>
        <w:tabs>
          <w:tab w:val="clear" w:pos="720"/>
        </w:tabs>
        <w:rPr>
          <w:rFonts w:ascii="Times New Roman" w:hAnsi="Times New Roman"/>
          <w:iCs/>
          <w:sz w:val="24"/>
          <w:szCs w:val="24"/>
        </w:rPr>
      </w:pPr>
      <w:r w:rsidRPr="009621D8">
        <w:rPr>
          <w:rFonts w:ascii="Times New Roman" w:hAnsi="Times New Roman"/>
          <w:iCs/>
          <w:sz w:val="24"/>
          <w:szCs w:val="24"/>
        </w:rPr>
        <w:t>the external affairs power (section 51(xxix)).</w:t>
      </w:r>
    </w:p>
    <w:p w14:paraId="43C0CCF4" w14:textId="77777777" w:rsidR="00A24A90" w:rsidRPr="00FB4385" w:rsidRDefault="00A24A90" w:rsidP="00A24A90">
      <w:pPr>
        <w:rPr>
          <w:rFonts w:ascii="Times New Roman" w:eastAsia="Times New Roman" w:hAnsi="Times New Roman" w:cs="Times New Roman"/>
          <w:sz w:val="24"/>
          <w:szCs w:val="24"/>
        </w:rPr>
      </w:pPr>
    </w:p>
    <w:p w14:paraId="56838EDF" w14:textId="77777777" w:rsidR="00A24A90" w:rsidRDefault="00A24A90" w:rsidP="00A24A90">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Aliens power</w:t>
      </w:r>
    </w:p>
    <w:p w14:paraId="100CDFE0" w14:textId="77777777" w:rsidR="00A24A90" w:rsidRDefault="00A24A90" w:rsidP="00A24A90">
      <w:pPr>
        <w:rPr>
          <w:rFonts w:ascii="Times New Roman" w:hAnsi="Times New Roman" w:cs="Times New Roman"/>
          <w:i/>
          <w:iCs/>
          <w:color w:val="000000" w:themeColor="text1"/>
          <w:sz w:val="24"/>
          <w:szCs w:val="24"/>
        </w:rPr>
      </w:pPr>
    </w:p>
    <w:p w14:paraId="58F54633" w14:textId="77777777" w:rsidR="00A24A90" w:rsidRPr="005F755C" w:rsidRDefault="00A24A90" w:rsidP="00A24A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51(xix) of the Constitution empowers the Parliament to make laws with respect to ‘naturalization and </w:t>
      </w:r>
      <w:proofErr w:type="gramStart"/>
      <w:r>
        <w:rPr>
          <w:rFonts w:ascii="Times New Roman" w:hAnsi="Times New Roman" w:cs="Times New Roman"/>
          <w:color w:val="000000" w:themeColor="text1"/>
          <w:sz w:val="24"/>
          <w:szCs w:val="24"/>
        </w:rPr>
        <w:t>aliens’</w:t>
      </w:r>
      <w:proofErr w:type="gramEnd"/>
      <w:r>
        <w:rPr>
          <w:rFonts w:ascii="Times New Roman" w:hAnsi="Times New Roman" w:cs="Times New Roman"/>
          <w:color w:val="000000" w:themeColor="text1"/>
          <w:sz w:val="24"/>
          <w:szCs w:val="24"/>
        </w:rPr>
        <w:t xml:space="preserve">. During an overseas crisis the scope of the department’s consular services including crisis response service, may include support for non-citizen family members of Australian citizens and permanent residents and other non-citizens in need. </w:t>
      </w:r>
    </w:p>
    <w:p w14:paraId="54930AB6" w14:textId="77777777" w:rsidR="00A24A90" w:rsidRDefault="00A24A90" w:rsidP="00A24A90">
      <w:pPr>
        <w:rPr>
          <w:rFonts w:ascii="Times New Roman" w:hAnsi="Times New Roman" w:cs="Times New Roman"/>
          <w:i/>
          <w:iCs/>
          <w:color w:val="000000" w:themeColor="text1"/>
          <w:sz w:val="24"/>
          <w:szCs w:val="24"/>
        </w:rPr>
      </w:pPr>
    </w:p>
    <w:p w14:paraId="280ECF72" w14:textId="77777777" w:rsidR="00A24A90" w:rsidRDefault="00A24A90" w:rsidP="00A24A90">
      <w:pPr>
        <w:rPr>
          <w:rFonts w:ascii="Times New Roman" w:hAnsi="Times New Roman" w:cs="Times New Roman"/>
          <w:i/>
          <w:iCs/>
          <w:color w:val="000000" w:themeColor="text1"/>
          <w:sz w:val="24"/>
          <w:szCs w:val="24"/>
        </w:rPr>
      </w:pPr>
      <w:r w:rsidRPr="00F31044">
        <w:rPr>
          <w:rFonts w:ascii="Times New Roman" w:hAnsi="Times New Roman" w:cs="Times New Roman"/>
          <w:i/>
          <w:iCs/>
          <w:color w:val="000000" w:themeColor="text1"/>
          <w:sz w:val="24"/>
          <w:szCs w:val="24"/>
        </w:rPr>
        <w:t>External affairs power  </w:t>
      </w:r>
    </w:p>
    <w:p w14:paraId="5B390E65" w14:textId="77777777" w:rsidR="00A24A90" w:rsidRPr="00F31044" w:rsidRDefault="00A24A90" w:rsidP="00A24A90">
      <w:pPr>
        <w:rPr>
          <w:rFonts w:ascii="Times New Roman" w:hAnsi="Times New Roman" w:cs="Times New Roman"/>
          <w:i/>
          <w:iCs/>
          <w:color w:val="000000" w:themeColor="text1"/>
          <w:sz w:val="24"/>
          <w:szCs w:val="24"/>
        </w:rPr>
      </w:pPr>
    </w:p>
    <w:p w14:paraId="36EA2B8F" w14:textId="77777777" w:rsidR="00A24A90" w:rsidRPr="00F31044" w:rsidRDefault="00A24A90" w:rsidP="00A24A90">
      <w:pPr>
        <w:rPr>
          <w:rFonts w:ascii="Times New Roman" w:hAnsi="Times New Roman" w:cs="Times New Roman"/>
          <w:color w:val="000000" w:themeColor="text1"/>
          <w:sz w:val="24"/>
          <w:szCs w:val="24"/>
        </w:rPr>
      </w:pPr>
      <w:r w:rsidRPr="00F31044">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F31044">
        <w:rPr>
          <w:rFonts w:ascii="Times New Roman" w:hAnsi="Times New Roman" w:cs="Times New Roman"/>
          <w:color w:val="000000" w:themeColor="text1"/>
          <w:sz w:val="24"/>
          <w:szCs w:val="24"/>
        </w:rPr>
        <w:t>affairs’</w:t>
      </w:r>
      <w:proofErr w:type="gramEnd"/>
      <w:r w:rsidRPr="00F31044">
        <w:rPr>
          <w:rFonts w:ascii="Times New Roman" w:hAnsi="Times New Roman" w:cs="Times New Roman"/>
          <w:color w:val="000000" w:themeColor="text1"/>
          <w:sz w:val="24"/>
          <w:szCs w:val="24"/>
        </w:rPr>
        <w:t xml:space="preserve">. The external affairs power supports legislation </w:t>
      </w:r>
      <w:r>
        <w:rPr>
          <w:rFonts w:ascii="Times New Roman" w:hAnsi="Times New Roman" w:cs="Times New Roman"/>
          <w:color w:val="000000" w:themeColor="text1"/>
          <w:sz w:val="24"/>
          <w:szCs w:val="24"/>
        </w:rPr>
        <w:t>with respect to matters or things outside the geographical limits of Australia.</w:t>
      </w:r>
      <w:r w:rsidRPr="00F31044">
        <w:rPr>
          <w:rFonts w:ascii="Times New Roman" w:hAnsi="Times New Roman" w:cs="Times New Roman"/>
          <w:color w:val="000000" w:themeColor="text1"/>
          <w:sz w:val="24"/>
          <w:szCs w:val="24"/>
        </w:rPr>
        <w:t>  </w:t>
      </w:r>
    </w:p>
    <w:p w14:paraId="5095D1E2" w14:textId="77777777" w:rsidR="00A24A90" w:rsidRPr="00F31044" w:rsidRDefault="00A24A90" w:rsidP="00A24A90">
      <w:pPr>
        <w:rPr>
          <w:rFonts w:ascii="Times New Roman" w:hAnsi="Times New Roman" w:cs="Times New Roman"/>
          <w:color w:val="000000" w:themeColor="text1"/>
          <w:sz w:val="24"/>
          <w:szCs w:val="24"/>
        </w:rPr>
      </w:pPr>
      <w:r w:rsidRPr="00F31044">
        <w:rPr>
          <w:rFonts w:ascii="Times New Roman" w:hAnsi="Times New Roman" w:cs="Times New Roman"/>
          <w:color w:val="000000" w:themeColor="text1"/>
          <w:sz w:val="24"/>
          <w:szCs w:val="24"/>
        </w:rPr>
        <w:t> </w:t>
      </w:r>
    </w:p>
    <w:p w14:paraId="1EA1A924" w14:textId="590AE665" w:rsidR="00A24A90" w:rsidRPr="00FB4385" w:rsidRDefault="00A24A90" w:rsidP="00A24A90">
      <w:pPr>
        <w:rPr>
          <w:rFonts w:ascii="Times New Roman" w:hAnsi="Times New Roman" w:cs="Times New Roman"/>
          <w:sz w:val="24"/>
          <w:szCs w:val="24"/>
        </w:rPr>
      </w:pPr>
      <w:r w:rsidRPr="00F3104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provision of</w:t>
      </w:r>
      <w:r w:rsidRPr="00F3104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consular services</w:t>
      </w:r>
      <w:r w:rsidR="005919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including crisis response services</w:t>
      </w:r>
      <w:r w:rsidR="005919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will support Australian citizens and</w:t>
      </w:r>
      <w:r w:rsidR="005919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permanent residents, as well as their non-citizen family members and other </w:t>
      </w:r>
      <w:r>
        <w:rPr>
          <w:rFonts w:ascii="Times New Roman" w:hAnsi="Times New Roman" w:cs="Times New Roman"/>
          <w:color w:val="000000" w:themeColor="text1"/>
          <w:sz w:val="24"/>
          <w:szCs w:val="24"/>
        </w:rPr>
        <w:br/>
        <w:t xml:space="preserve">non-citizens who are overseas and in need to support during an overseas crisis. This could include support services delivered from an overseas location, such as assisted departure and working with local authorities. The spending allows the effective preparation for and response to complex overseas crises, ensuring the Australian Government can also assist </w:t>
      </w:r>
      <w:r>
        <w:rPr>
          <w:rFonts w:ascii="Times New Roman" w:hAnsi="Times New Roman" w:cs="Times New Roman"/>
          <w:color w:val="000000" w:themeColor="text1"/>
          <w:sz w:val="24"/>
          <w:szCs w:val="24"/>
        </w:rPr>
        <w:br/>
        <w:t>non-citizens during a crisis where it is in Australia’s national interest to do so.</w:t>
      </w:r>
    </w:p>
    <w:p w14:paraId="3AE27BFB" w14:textId="77777777" w:rsidR="00A24A90" w:rsidRPr="00B74359" w:rsidRDefault="00A24A90" w:rsidP="00A24A90">
      <w:pPr>
        <w:rPr>
          <w:rFonts w:ascii="Times New Roman" w:eastAsia="Times New Roman" w:hAnsi="Times New Roman" w:cs="Times New Roman"/>
          <w:sz w:val="24"/>
          <w:szCs w:val="24"/>
        </w:rPr>
      </w:pPr>
    </w:p>
    <w:p w14:paraId="1DBB24FA" w14:textId="77777777" w:rsidR="00A24A90" w:rsidRPr="004F2F4C" w:rsidRDefault="00A24A90" w:rsidP="00A24A90">
      <w:pPr>
        <w:rPr>
          <w:rFonts w:eastAsia="Times New Roman"/>
        </w:rPr>
        <w:sectPr w:rsidR="00A24A90" w:rsidRPr="004F2F4C" w:rsidSect="00A24A90">
          <w:headerReference w:type="first" r:id="rId13"/>
          <w:pgSz w:w="11906" w:h="16838"/>
          <w:pgMar w:top="1440" w:right="1440" w:bottom="1440" w:left="1440" w:header="708" w:footer="708" w:gutter="0"/>
          <w:pgNumType w:start="1"/>
          <w:cols w:space="708"/>
          <w:titlePg/>
          <w:docGrid w:linePitch="360"/>
        </w:sectPr>
      </w:pPr>
    </w:p>
    <w:p w14:paraId="2F8647AA" w14:textId="77777777" w:rsidR="00A24A90" w:rsidRPr="00F843E0" w:rsidRDefault="00A24A90" w:rsidP="00A24A90">
      <w:pPr>
        <w:pStyle w:val="Header"/>
        <w:jc w:val="right"/>
        <w:rPr>
          <w:rFonts w:ascii="Times New Roman" w:hAnsi="Times New Roman" w:cs="Times New Roman"/>
          <w:b/>
          <w:sz w:val="24"/>
          <w:szCs w:val="24"/>
          <w:u w:val="single"/>
        </w:rPr>
      </w:pPr>
      <w:r w:rsidRPr="00F843E0">
        <w:rPr>
          <w:rFonts w:ascii="Times New Roman" w:hAnsi="Times New Roman" w:cs="Times New Roman"/>
          <w:b/>
          <w:sz w:val="24"/>
          <w:szCs w:val="24"/>
          <w:u w:val="single"/>
        </w:rPr>
        <w:lastRenderedPageBreak/>
        <w:t>Attachment B</w:t>
      </w:r>
    </w:p>
    <w:p w14:paraId="4D780B1D" w14:textId="77777777" w:rsidR="00A24A90" w:rsidRPr="00BA4A84" w:rsidRDefault="00A24A90" w:rsidP="00A24A90">
      <w:pPr>
        <w:contextualSpacing/>
        <w:rPr>
          <w:rFonts w:ascii="Times New Roman" w:eastAsia="Times New Roman" w:hAnsi="Times New Roman" w:cs="Times New Roman"/>
          <w:sz w:val="24"/>
          <w:szCs w:val="24"/>
        </w:rPr>
      </w:pPr>
    </w:p>
    <w:p w14:paraId="114F46E2" w14:textId="77777777" w:rsidR="00A24A90" w:rsidRPr="00F843E0" w:rsidRDefault="00A24A90" w:rsidP="00A24A90">
      <w:pPr>
        <w:contextualSpacing/>
        <w:jc w:val="center"/>
        <w:rPr>
          <w:rFonts w:ascii="Times New Roman" w:eastAsia="Times New Roman" w:hAnsi="Times New Roman" w:cs="Times New Roman"/>
          <w:b/>
          <w:bCs/>
          <w:sz w:val="24"/>
          <w:szCs w:val="24"/>
        </w:rPr>
      </w:pPr>
      <w:r w:rsidRPr="00F843E0">
        <w:rPr>
          <w:rFonts w:ascii="Times New Roman" w:eastAsia="Times New Roman" w:hAnsi="Times New Roman" w:cs="Times New Roman"/>
          <w:b/>
          <w:bCs/>
          <w:sz w:val="24"/>
          <w:szCs w:val="24"/>
        </w:rPr>
        <w:t>Statement of Compatibility with Human Rights</w:t>
      </w:r>
    </w:p>
    <w:p w14:paraId="295EFC6F" w14:textId="77777777" w:rsidR="00A24A90" w:rsidRPr="00F843E0" w:rsidRDefault="00A24A90" w:rsidP="00A24A90">
      <w:pPr>
        <w:contextualSpacing/>
        <w:jc w:val="center"/>
        <w:rPr>
          <w:rFonts w:ascii="Times New Roman" w:eastAsia="Times New Roman" w:hAnsi="Times New Roman" w:cs="Times New Roman"/>
          <w:b/>
          <w:bCs/>
          <w:sz w:val="24"/>
          <w:szCs w:val="24"/>
        </w:rPr>
      </w:pPr>
    </w:p>
    <w:p w14:paraId="3C06E7DF" w14:textId="77777777" w:rsidR="00A24A90" w:rsidRPr="00F843E0" w:rsidRDefault="00A24A90" w:rsidP="00A24A90">
      <w:pPr>
        <w:pStyle w:val="paranumbering0"/>
        <w:spacing w:before="0" w:beforeAutospacing="0" w:after="0" w:afterAutospacing="0"/>
        <w:contextualSpacing/>
        <w:jc w:val="center"/>
      </w:pPr>
      <w:r w:rsidRPr="00F843E0">
        <w:t xml:space="preserve">Prepared in accordance with Part 3 of the </w:t>
      </w:r>
      <w:r w:rsidRPr="00F843E0">
        <w:rPr>
          <w:i/>
        </w:rPr>
        <w:t>Human Rights (Parliamentary Scrutiny) Act 2011</w:t>
      </w:r>
    </w:p>
    <w:p w14:paraId="6FFA1CAB" w14:textId="77777777" w:rsidR="00A24A90" w:rsidRPr="00F843E0" w:rsidRDefault="00A24A90" w:rsidP="00A24A90">
      <w:pPr>
        <w:pStyle w:val="paranumbering0"/>
        <w:spacing w:before="0" w:beforeAutospacing="0" w:after="0" w:afterAutospacing="0"/>
        <w:contextualSpacing/>
      </w:pPr>
    </w:p>
    <w:p w14:paraId="692AB0F9" w14:textId="77777777" w:rsidR="00A24A90" w:rsidRPr="00F843E0" w:rsidRDefault="00A24A90" w:rsidP="00A24A90">
      <w:pPr>
        <w:pStyle w:val="paranumbering0"/>
        <w:spacing w:before="0" w:beforeAutospacing="0" w:after="0" w:afterAutospacing="0"/>
        <w:contextualSpacing/>
        <w:rPr>
          <w:b/>
          <w:i/>
        </w:rPr>
      </w:pPr>
      <w:r w:rsidRPr="00F843E0">
        <w:rPr>
          <w:b/>
          <w:i/>
        </w:rPr>
        <w:t xml:space="preserve">Financial Framework (Supplementary Powers) Amendment </w:t>
      </w:r>
      <w:r w:rsidRPr="00F843E0">
        <w:rPr>
          <w:b/>
          <w:i/>
          <w:iCs/>
        </w:rPr>
        <w:t>(</w:t>
      </w:r>
      <w:r>
        <w:rPr>
          <w:b/>
          <w:i/>
          <w:iCs/>
          <w:lang w:val="en-US"/>
        </w:rPr>
        <w:t xml:space="preserve">Foreign Affairs and Trade </w:t>
      </w:r>
      <w:r w:rsidRPr="00F843E0">
        <w:rPr>
          <w:b/>
          <w:i/>
          <w:iCs/>
          <w:lang w:val="en-US"/>
        </w:rPr>
        <w:t>Measures</w:t>
      </w:r>
      <w:r>
        <w:rPr>
          <w:b/>
          <w:i/>
          <w:iCs/>
          <w:lang w:val="en-US"/>
        </w:rPr>
        <w:t> </w:t>
      </w:r>
      <w:r w:rsidRPr="00F843E0">
        <w:rPr>
          <w:b/>
          <w:i/>
          <w:iCs/>
          <w:lang w:val="en-US"/>
        </w:rPr>
        <w:t>No.</w:t>
      </w:r>
      <w:r>
        <w:rPr>
          <w:b/>
          <w:i/>
          <w:iCs/>
          <w:lang w:val="en-US"/>
        </w:rPr>
        <w:t> 3</w:t>
      </w:r>
      <w:r w:rsidRPr="00F843E0">
        <w:rPr>
          <w:b/>
          <w:i/>
          <w:iCs/>
        </w:rPr>
        <w:t xml:space="preserve">) </w:t>
      </w:r>
      <w:r w:rsidRPr="00F843E0">
        <w:rPr>
          <w:b/>
          <w:i/>
        </w:rPr>
        <w:t>Regulations 2024</w:t>
      </w:r>
    </w:p>
    <w:p w14:paraId="25D42D2E" w14:textId="77777777" w:rsidR="00A24A90" w:rsidRPr="00F843E0" w:rsidRDefault="00A24A90" w:rsidP="00A24A90">
      <w:pPr>
        <w:pStyle w:val="paranumbering0"/>
        <w:spacing w:before="0" w:beforeAutospacing="0" w:after="0" w:afterAutospacing="0"/>
        <w:contextualSpacing/>
      </w:pPr>
    </w:p>
    <w:p w14:paraId="57D606B1" w14:textId="77777777" w:rsidR="00A24A90" w:rsidRPr="00F843E0" w:rsidRDefault="00A24A90" w:rsidP="00A24A90">
      <w:pPr>
        <w:pStyle w:val="paranumbering0"/>
        <w:spacing w:before="0" w:beforeAutospacing="0" w:after="0" w:afterAutospacing="0"/>
        <w:contextualSpacing/>
      </w:pPr>
      <w:r w:rsidRPr="00F843E0">
        <w:t xml:space="preserve">This disallowable legislative instrument is compatible with the human rights and freedoms recognised or declared in the international instruments listed in section 3 of the </w:t>
      </w:r>
      <w:r w:rsidRPr="00F843E0">
        <w:rPr>
          <w:i/>
        </w:rPr>
        <w:t>Human Rights (Parliamentary Scrutiny) Act 2011.</w:t>
      </w:r>
    </w:p>
    <w:p w14:paraId="48CB8AFE" w14:textId="77777777" w:rsidR="00A24A90" w:rsidRPr="00F843E0" w:rsidRDefault="00A24A90" w:rsidP="00A24A90">
      <w:pPr>
        <w:pStyle w:val="paranumbering0"/>
        <w:spacing w:before="0" w:beforeAutospacing="0" w:after="0" w:afterAutospacing="0"/>
        <w:contextualSpacing/>
      </w:pPr>
    </w:p>
    <w:p w14:paraId="43A0122F" w14:textId="77777777" w:rsidR="00A24A90" w:rsidRPr="00F843E0" w:rsidRDefault="00A24A90" w:rsidP="00A24A90">
      <w:pPr>
        <w:pStyle w:val="paranumbering0"/>
        <w:spacing w:before="0" w:beforeAutospacing="0" w:after="0" w:afterAutospacing="0"/>
        <w:contextualSpacing/>
        <w:rPr>
          <w:b/>
        </w:rPr>
      </w:pPr>
      <w:r w:rsidRPr="00F843E0">
        <w:rPr>
          <w:b/>
        </w:rPr>
        <w:t>Overview of the legislative instrument</w:t>
      </w:r>
    </w:p>
    <w:p w14:paraId="6EE65BBB" w14:textId="77777777" w:rsidR="00A24A90" w:rsidRPr="00F843E0" w:rsidRDefault="00A24A90" w:rsidP="00A24A90">
      <w:pPr>
        <w:pStyle w:val="paranumbering0"/>
        <w:spacing w:before="0" w:beforeAutospacing="0" w:after="0" w:afterAutospacing="0"/>
        <w:contextualSpacing/>
      </w:pPr>
    </w:p>
    <w:p w14:paraId="1659F9CA" w14:textId="77777777" w:rsidR="00A24A90" w:rsidRDefault="00A24A90" w:rsidP="00A24A90">
      <w:pPr>
        <w:pStyle w:val="paranumbering0"/>
        <w:spacing w:before="0" w:beforeAutospacing="0" w:after="0" w:afterAutospacing="0"/>
        <w:contextualSpacing/>
      </w:pPr>
      <w:r w:rsidRPr="00F843E0">
        <w:t xml:space="preserve">Section 32B of the </w:t>
      </w:r>
      <w:r w:rsidRPr="00F843E0">
        <w:rPr>
          <w:i/>
        </w:rPr>
        <w:t>Financial Framework (Supplementary Powers) Act 1997</w:t>
      </w:r>
      <w:r w:rsidRPr="00F843E0">
        <w:t xml:space="preserve"> (the FFSP Act) authorises the Commonwealth to make, vary and administer arrangements and grants specified in the </w:t>
      </w:r>
      <w:r w:rsidRPr="00F843E0">
        <w:rPr>
          <w:i/>
        </w:rPr>
        <w:t xml:space="preserve">Financial Framework (Supplementary Powers) Regulations 1997 </w:t>
      </w:r>
      <w:r w:rsidRPr="00F843E0">
        <w:t>(the </w:t>
      </w:r>
      <w:r>
        <w:t>Principal</w:t>
      </w:r>
      <w:r w:rsidRPr="00F843E0">
        <w:t> Regulations) and to make, vary and administer arrangements and grants for the purposes of programs specified in the Regulations. Schedule 1AA and Schedule 1AB to the </w:t>
      </w:r>
      <w:r>
        <w:t>Principal</w:t>
      </w:r>
      <w:r w:rsidRPr="00F843E0">
        <w:t xml:space="preserve"> Regulations specify the arrangements, grants and programs. The powers in the FFSP Act to make, vary or administer arrangements or grants may be exercised on behalf of the Commonwealth by Ministers and the accountable authorities of non</w:t>
      </w:r>
      <w:r w:rsidRPr="00F843E0">
        <w:noBreakHyphen/>
        <w:t xml:space="preserve">corporate Commonwealth entities, as defined under section 12 of the </w:t>
      </w:r>
      <w:r w:rsidRPr="00F843E0">
        <w:rPr>
          <w:i/>
        </w:rPr>
        <w:t>Public Governance, Performance and Accountability Act 2013</w:t>
      </w:r>
      <w:r w:rsidRPr="00F843E0">
        <w:t>.</w:t>
      </w:r>
    </w:p>
    <w:p w14:paraId="14D080BE" w14:textId="77777777" w:rsidR="00A24A90" w:rsidRDefault="00A24A90" w:rsidP="00A24A90">
      <w:pPr>
        <w:pStyle w:val="paranumbering0"/>
        <w:spacing w:before="0" w:beforeAutospacing="0" w:after="0" w:afterAutospacing="0"/>
        <w:contextualSpacing/>
      </w:pPr>
    </w:p>
    <w:p w14:paraId="1DE7C202" w14:textId="77777777" w:rsidR="00A24A90" w:rsidRDefault="00A24A90" w:rsidP="00A24A90">
      <w:pPr>
        <w:rPr>
          <w:rFonts w:ascii="Times New Roman" w:hAnsi="Times New Roman" w:cs="Times New Roman"/>
          <w:iCs/>
          <w:sz w:val="24"/>
          <w:szCs w:val="24"/>
        </w:rPr>
      </w:pPr>
      <w:r w:rsidRPr="00901A8E">
        <w:rPr>
          <w:rFonts w:ascii="Times New Roman" w:hAnsi="Times New Roman" w:cs="Times New Roman"/>
          <w:iCs/>
          <w:sz w:val="24"/>
          <w:szCs w:val="24"/>
        </w:rPr>
        <w:t xml:space="preserve">The </w:t>
      </w:r>
      <w:r w:rsidRPr="00392DD8">
        <w:rPr>
          <w:rFonts w:ascii="Times New Roman" w:hAnsi="Times New Roman" w:cs="Times New Roman"/>
          <w:i/>
          <w:sz w:val="24"/>
          <w:szCs w:val="24"/>
        </w:rPr>
        <w:t>Financial Framework (Supplementary Powers) Amendment (</w:t>
      </w:r>
      <w:r>
        <w:rPr>
          <w:rFonts w:ascii="Times New Roman" w:hAnsi="Times New Roman" w:cs="Times New Roman"/>
          <w:i/>
          <w:sz w:val="24"/>
          <w:szCs w:val="24"/>
        </w:rPr>
        <w:t>Foreign Affairs and Trade</w:t>
      </w:r>
      <w:r w:rsidRPr="00392DD8">
        <w:rPr>
          <w:rFonts w:ascii="Times New Roman" w:hAnsi="Times New Roman" w:cs="Times New Roman"/>
          <w:i/>
          <w:sz w:val="24"/>
          <w:szCs w:val="24"/>
        </w:rPr>
        <w:t xml:space="preserve"> Measures</w:t>
      </w:r>
      <w:r>
        <w:rPr>
          <w:rFonts w:ascii="Times New Roman" w:hAnsi="Times New Roman" w:cs="Times New Roman"/>
          <w:i/>
          <w:sz w:val="24"/>
          <w:szCs w:val="24"/>
        </w:rPr>
        <w:t> </w:t>
      </w:r>
      <w:r w:rsidRPr="00392DD8">
        <w:rPr>
          <w:rFonts w:ascii="Times New Roman" w:hAnsi="Times New Roman" w:cs="Times New Roman"/>
          <w:i/>
          <w:sz w:val="24"/>
          <w:szCs w:val="24"/>
        </w:rPr>
        <w:t xml:space="preserve">No. </w:t>
      </w:r>
      <w:r>
        <w:rPr>
          <w:rFonts w:ascii="Times New Roman" w:hAnsi="Times New Roman" w:cs="Times New Roman"/>
          <w:i/>
          <w:sz w:val="24"/>
          <w:szCs w:val="24"/>
        </w:rPr>
        <w:t>3</w:t>
      </w:r>
      <w:r w:rsidRPr="00392DD8">
        <w:rPr>
          <w:rFonts w:ascii="Times New Roman" w:hAnsi="Times New Roman" w:cs="Times New Roman"/>
          <w:i/>
          <w:sz w:val="24"/>
          <w:szCs w:val="24"/>
        </w:rPr>
        <w:t>) Regulations 2024</w:t>
      </w:r>
      <w:r w:rsidRPr="00901A8E">
        <w:rPr>
          <w:rFonts w:ascii="Times New Roman" w:hAnsi="Times New Roman" w:cs="Times New Roman"/>
          <w:iCs/>
          <w:sz w:val="24"/>
          <w:szCs w:val="24"/>
        </w:rPr>
        <w:t xml:space="preserve"> (the Regulations) amend Schedule 1AB to the </w:t>
      </w:r>
      <w:r>
        <w:rPr>
          <w:rFonts w:ascii="Times New Roman" w:hAnsi="Times New Roman" w:cs="Times New Roman"/>
          <w:iCs/>
          <w:sz w:val="24"/>
          <w:szCs w:val="24"/>
        </w:rPr>
        <w:t>Principal</w:t>
      </w:r>
      <w:r w:rsidRPr="00901A8E">
        <w:rPr>
          <w:rFonts w:ascii="Times New Roman" w:hAnsi="Times New Roman" w:cs="Times New Roman"/>
          <w:iCs/>
          <w:sz w:val="24"/>
          <w:szCs w:val="24"/>
        </w:rPr>
        <w:t xml:space="preserve"> Regulations to </w:t>
      </w:r>
      <w:r w:rsidRPr="00D14A29">
        <w:rPr>
          <w:rFonts w:ascii="Times New Roman" w:hAnsi="Times New Roman" w:cs="Times New Roman"/>
          <w:iCs/>
          <w:sz w:val="24"/>
          <w:szCs w:val="24"/>
        </w:rPr>
        <w:t>establish legislative authority for government spending on crisis related consular services administered by the Department of Foreign Affairs and Trade (the department).</w:t>
      </w:r>
    </w:p>
    <w:p w14:paraId="5F0A770E" w14:textId="77777777" w:rsidR="00A24A90" w:rsidRDefault="00A24A90" w:rsidP="00A24A90">
      <w:pPr>
        <w:rPr>
          <w:rFonts w:ascii="Times New Roman" w:hAnsi="Times New Roman" w:cs="Times New Roman"/>
          <w:iCs/>
          <w:sz w:val="24"/>
          <w:szCs w:val="24"/>
        </w:rPr>
      </w:pPr>
    </w:p>
    <w:p w14:paraId="2F8633FF" w14:textId="77777777" w:rsidR="00A24A90" w:rsidRDefault="00A24A90" w:rsidP="00A24A90">
      <w:pPr>
        <w:rPr>
          <w:rFonts w:ascii="Times New Roman" w:hAnsi="Times New Roman" w:cs="Times New Roman"/>
          <w:bCs/>
          <w:iCs/>
          <w:color w:val="000000" w:themeColor="text1"/>
          <w:sz w:val="24"/>
          <w:szCs w:val="24"/>
        </w:rPr>
      </w:pPr>
      <w:bookmarkStart w:id="2" w:name="_Hlk119057986"/>
      <w:r>
        <w:rPr>
          <w:rFonts w:ascii="Times New Roman" w:hAnsi="Times New Roman" w:cs="Times New Roman"/>
          <w:bCs/>
          <w:iCs/>
          <w:color w:val="000000" w:themeColor="text1"/>
          <w:sz w:val="24"/>
          <w:szCs w:val="24"/>
        </w:rPr>
        <w:t>Under the Consular and Passport Services program the department has responsibility for providing timely and responsive consular services. In addition to routine consular services, the department’s consular activities include supporting crisis responses. The support is provided to non-citizen family members of Australians and other non-citizens during an overseas crisis.</w:t>
      </w:r>
    </w:p>
    <w:p w14:paraId="4A85844B" w14:textId="77777777" w:rsidR="00A24A90" w:rsidRDefault="00A24A90" w:rsidP="00A24A90">
      <w:pPr>
        <w:rPr>
          <w:rFonts w:ascii="Times New Roman" w:hAnsi="Times New Roman" w:cs="Times New Roman"/>
          <w:bCs/>
          <w:iCs/>
          <w:color w:val="000000" w:themeColor="text1"/>
          <w:sz w:val="24"/>
          <w:szCs w:val="24"/>
        </w:rPr>
      </w:pPr>
    </w:p>
    <w:p w14:paraId="7F311619" w14:textId="77777777" w:rsidR="00A24A90" w:rsidRDefault="00A24A90" w:rsidP="00A24A90">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While t</w:t>
      </w:r>
      <w:r w:rsidRPr="00E308D1">
        <w:rPr>
          <w:rFonts w:ascii="Times New Roman" w:hAnsi="Times New Roman" w:cs="Times New Roman"/>
          <w:bCs/>
          <w:iCs/>
          <w:color w:val="000000" w:themeColor="text1"/>
          <w:sz w:val="24"/>
          <w:szCs w:val="24"/>
        </w:rPr>
        <w:t>he Australian Government’s Consular Services Charter prioritises assistance to ‘Australians most in need’</w:t>
      </w:r>
      <w:r>
        <w:rPr>
          <w:rFonts w:ascii="Times New Roman" w:hAnsi="Times New Roman" w:cs="Times New Roman"/>
          <w:bCs/>
          <w:iCs/>
          <w:color w:val="000000" w:themeColor="text1"/>
          <w:sz w:val="24"/>
          <w:szCs w:val="24"/>
        </w:rPr>
        <w:t>, d</w:t>
      </w:r>
      <w:r w:rsidRPr="00E308D1">
        <w:rPr>
          <w:rFonts w:ascii="Times New Roman" w:hAnsi="Times New Roman" w:cs="Times New Roman"/>
          <w:bCs/>
          <w:iCs/>
          <w:color w:val="000000" w:themeColor="text1"/>
          <w:sz w:val="24"/>
          <w:szCs w:val="24"/>
        </w:rPr>
        <w:t xml:space="preserve">uring an overseas crisis-response, community expectation of </w:t>
      </w:r>
      <w:r>
        <w:rPr>
          <w:rFonts w:ascii="Times New Roman" w:hAnsi="Times New Roman" w:cs="Times New Roman"/>
          <w:bCs/>
          <w:iCs/>
          <w:color w:val="000000" w:themeColor="text1"/>
          <w:sz w:val="24"/>
          <w:szCs w:val="24"/>
        </w:rPr>
        <w:t xml:space="preserve">the </w:t>
      </w:r>
      <w:r w:rsidRPr="00E308D1">
        <w:rPr>
          <w:rFonts w:ascii="Times New Roman" w:hAnsi="Times New Roman" w:cs="Times New Roman"/>
          <w:bCs/>
          <w:iCs/>
          <w:color w:val="000000" w:themeColor="text1"/>
          <w:sz w:val="24"/>
          <w:szCs w:val="24"/>
        </w:rPr>
        <w:t xml:space="preserve">Government’s role in assisting Australians to reach safety has broadened to include permanent residents and non-citizen family members. </w:t>
      </w:r>
      <w:r>
        <w:rPr>
          <w:rFonts w:ascii="Times New Roman" w:hAnsi="Times New Roman" w:cs="Times New Roman"/>
          <w:bCs/>
          <w:iCs/>
          <w:color w:val="000000" w:themeColor="text1"/>
          <w:sz w:val="24"/>
          <w:szCs w:val="24"/>
        </w:rPr>
        <w:t xml:space="preserve">The community also expects that government should </w:t>
      </w:r>
      <w:r w:rsidRPr="00680C93">
        <w:rPr>
          <w:rFonts w:ascii="Times New Roman" w:hAnsi="Times New Roman" w:cs="Times New Roman"/>
          <w:bCs/>
          <w:iCs/>
          <w:color w:val="000000" w:themeColor="text1"/>
          <w:sz w:val="24"/>
          <w:szCs w:val="24"/>
        </w:rPr>
        <w:t>avoid splitting family groups when offering assisted departure</w:t>
      </w:r>
      <w:r>
        <w:rPr>
          <w:rFonts w:ascii="Times New Roman" w:hAnsi="Times New Roman" w:cs="Times New Roman"/>
          <w:bCs/>
          <w:iCs/>
          <w:color w:val="000000" w:themeColor="text1"/>
          <w:sz w:val="24"/>
          <w:szCs w:val="24"/>
        </w:rPr>
        <w:t>s</w:t>
      </w:r>
      <w:r w:rsidRPr="00680C93">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to move Australians </w:t>
      </w:r>
      <w:r w:rsidRPr="00680C93">
        <w:rPr>
          <w:rFonts w:ascii="Times New Roman" w:hAnsi="Times New Roman" w:cs="Times New Roman"/>
          <w:bCs/>
          <w:iCs/>
          <w:color w:val="000000" w:themeColor="text1"/>
          <w:sz w:val="24"/>
          <w:szCs w:val="24"/>
        </w:rPr>
        <w:t>from dangerous locations.</w:t>
      </w:r>
      <w:r w:rsidRPr="00132881">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Support may also be provided to other non-citizens</w:t>
      </w:r>
      <w:r w:rsidRPr="00E86F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where it is in Australia’s foreign policy and national interest to do so</w:t>
      </w:r>
      <w:r>
        <w:rPr>
          <w:rFonts w:ascii="Times New Roman" w:hAnsi="Times New Roman" w:cs="Times New Roman"/>
          <w:bCs/>
          <w:iCs/>
          <w:color w:val="000000" w:themeColor="text1"/>
          <w:sz w:val="24"/>
          <w:szCs w:val="24"/>
        </w:rPr>
        <w:t xml:space="preserve">, for example where there is a reciprocal arrangement with another country. </w:t>
      </w:r>
    </w:p>
    <w:p w14:paraId="1929A9A8" w14:textId="77777777" w:rsidR="00A24A90" w:rsidRDefault="00A24A90" w:rsidP="00A24A90">
      <w:pPr>
        <w:rPr>
          <w:rFonts w:ascii="Times New Roman" w:hAnsi="Times New Roman" w:cs="Times New Roman"/>
          <w:bCs/>
          <w:iCs/>
          <w:color w:val="000000" w:themeColor="text1"/>
          <w:sz w:val="24"/>
          <w:szCs w:val="24"/>
        </w:rPr>
      </w:pPr>
    </w:p>
    <w:p w14:paraId="6E5E4D26" w14:textId="6D18D274" w:rsidR="00A24A90" w:rsidRDefault="006426C4" w:rsidP="00A24A90">
      <w:pPr>
        <w:rPr>
          <w:rFonts w:ascii="Times New Roman" w:eastAsia="Calibri" w:hAnsi="Times New Roman" w:cs="Times New Roman"/>
          <w:bCs/>
          <w:sz w:val="24"/>
          <w:szCs w:val="24"/>
        </w:rPr>
      </w:pPr>
      <w:r>
        <w:rPr>
          <w:rFonts w:ascii="Times New Roman" w:eastAsia="Calibri" w:hAnsi="Times New Roman" w:cs="Times New Roman"/>
          <w:bCs/>
          <w:sz w:val="24"/>
          <w:szCs w:val="24"/>
        </w:rPr>
        <w:br w:type="column"/>
      </w:r>
      <w:r w:rsidR="00A24A90">
        <w:rPr>
          <w:rFonts w:ascii="Times New Roman" w:eastAsia="Calibri" w:hAnsi="Times New Roman" w:cs="Times New Roman"/>
          <w:bCs/>
          <w:sz w:val="24"/>
          <w:szCs w:val="24"/>
        </w:rPr>
        <w:lastRenderedPageBreak/>
        <w:t xml:space="preserve">Australia’s human rights obligations </w:t>
      </w:r>
      <w:r w:rsidR="00A24A90" w:rsidRPr="00EE73DF">
        <w:rPr>
          <w:rFonts w:ascii="Times New Roman" w:eastAsia="Calibri" w:hAnsi="Times New Roman" w:cs="Times New Roman"/>
          <w:bCs/>
          <w:sz w:val="24"/>
          <w:szCs w:val="24"/>
        </w:rPr>
        <w:t>apply to persons in Australia’s territory and subject to Australia’s jurisdiction. </w:t>
      </w:r>
      <w:r w:rsidR="00A24A90" w:rsidRPr="00C0680C">
        <w:rPr>
          <w:rFonts w:ascii="Times New Roman" w:eastAsia="Calibri" w:hAnsi="Times New Roman" w:cs="Times New Roman"/>
          <w:bCs/>
          <w:sz w:val="24"/>
          <w:szCs w:val="24"/>
        </w:rPr>
        <w:t xml:space="preserve">Australia generally does not owe international human rights law obligations extraterritorially. </w:t>
      </w:r>
      <w:r w:rsidR="00A24A90">
        <w:rPr>
          <w:rFonts w:ascii="Times New Roman" w:eastAsia="Calibri" w:hAnsi="Times New Roman" w:cs="Times New Roman"/>
          <w:bCs/>
          <w:sz w:val="24"/>
          <w:szCs w:val="24"/>
        </w:rPr>
        <w:t xml:space="preserve">However, Australia’s </w:t>
      </w:r>
      <w:r w:rsidR="00A24A90" w:rsidRPr="00C0680C">
        <w:rPr>
          <w:rFonts w:ascii="Times New Roman" w:eastAsia="Calibri" w:hAnsi="Times New Roman" w:cs="Times New Roman"/>
          <w:bCs/>
          <w:sz w:val="24"/>
          <w:szCs w:val="24"/>
        </w:rPr>
        <w:t>obligations may be engaged where Australia</w:t>
      </w:r>
      <w:r w:rsidR="00A24A90">
        <w:rPr>
          <w:rFonts w:ascii="Times New Roman" w:eastAsia="Calibri" w:hAnsi="Times New Roman" w:cs="Times New Roman"/>
          <w:bCs/>
          <w:sz w:val="24"/>
          <w:szCs w:val="24"/>
        </w:rPr>
        <w:t xml:space="preserve"> </w:t>
      </w:r>
      <w:r w:rsidR="00A24A90" w:rsidRPr="00C0680C">
        <w:rPr>
          <w:rFonts w:ascii="Times New Roman" w:eastAsia="Calibri" w:hAnsi="Times New Roman" w:cs="Times New Roman"/>
          <w:bCs/>
          <w:sz w:val="24"/>
          <w:szCs w:val="24"/>
        </w:rPr>
        <w:t>exercise</w:t>
      </w:r>
      <w:r w:rsidR="00A24A90">
        <w:rPr>
          <w:rFonts w:ascii="Times New Roman" w:eastAsia="Calibri" w:hAnsi="Times New Roman" w:cs="Times New Roman"/>
          <w:bCs/>
          <w:sz w:val="24"/>
          <w:szCs w:val="24"/>
        </w:rPr>
        <w:t>s</w:t>
      </w:r>
      <w:r w:rsidR="00A24A90" w:rsidRPr="00C0680C">
        <w:rPr>
          <w:rFonts w:ascii="Times New Roman" w:eastAsia="Calibri" w:hAnsi="Times New Roman" w:cs="Times New Roman"/>
          <w:bCs/>
          <w:sz w:val="24"/>
          <w:szCs w:val="24"/>
        </w:rPr>
        <w:t xml:space="preserve"> effective control over persons, or over the territory in which those persons are located. </w:t>
      </w:r>
      <w:r w:rsidR="00A24A90">
        <w:rPr>
          <w:rFonts w:ascii="Times New Roman" w:eastAsia="Calibri" w:hAnsi="Times New Roman" w:cs="Times New Roman"/>
          <w:bCs/>
          <w:sz w:val="24"/>
          <w:szCs w:val="24"/>
        </w:rPr>
        <w:t>The threshold for effective control is high.</w:t>
      </w:r>
    </w:p>
    <w:p w14:paraId="32C290B5" w14:textId="77777777" w:rsidR="00A24A90" w:rsidRDefault="00A24A90" w:rsidP="00A24A90">
      <w:pPr>
        <w:rPr>
          <w:rFonts w:ascii="Times New Roman" w:eastAsia="Calibri" w:hAnsi="Times New Roman" w:cs="Times New Roman"/>
          <w:bCs/>
          <w:sz w:val="24"/>
          <w:szCs w:val="24"/>
        </w:rPr>
      </w:pPr>
    </w:p>
    <w:p w14:paraId="6D364ACA" w14:textId="77777777" w:rsidR="00A24A90" w:rsidRPr="00EC55E5" w:rsidRDefault="00A24A90" w:rsidP="00A24A90">
      <w:pPr>
        <w:keepNext/>
        <w:rPr>
          <w:rFonts w:ascii="Times New Roman" w:hAnsi="Times New Roman" w:cs="Times New Roman"/>
          <w:b/>
          <w:bCs/>
          <w:sz w:val="24"/>
          <w:szCs w:val="24"/>
        </w:rPr>
      </w:pPr>
      <w:r w:rsidRPr="00EC55E5">
        <w:rPr>
          <w:rFonts w:ascii="Times New Roman" w:hAnsi="Times New Roman" w:cs="Times New Roman"/>
          <w:b/>
          <w:bCs/>
          <w:sz w:val="24"/>
          <w:szCs w:val="24"/>
        </w:rPr>
        <w:t>Human rights implications</w:t>
      </w:r>
    </w:p>
    <w:p w14:paraId="56E01BD2" w14:textId="77777777" w:rsidR="00A24A90" w:rsidRDefault="00A24A90" w:rsidP="00A24A90">
      <w:pPr>
        <w:pStyle w:val="paranumbering0"/>
        <w:keepNext/>
        <w:spacing w:before="0" w:beforeAutospacing="0" w:after="0" w:afterAutospacing="0"/>
        <w:contextualSpacing/>
        <w:rPr>
          <w:bCs/>
        </w:rPr>
      </w:pPr>
    </w:p>
    <w:p w14:paraId="6E982B9E" w14:textId="77777777" w:rsidR="00A24A90" w:rsidRDefault="00A24A90" w:rsidP="00A24A90">
      <w:pPr>
        <w:pStyle w:val="paranumbering0"/>
        <w:spacing w:before="0" w:beforeAutospacing="0" w:after="0" w:afterAutospacing="0"/>
        <w:contextualSpacing/>
        <w:rPr>
          <w:bCs/>
        </w:rPr>
      </w:pPr>
      <w:r w:rsidRPr="004E15C0">
        <w:rPr>
          <w:bCs/>
        </w:rPr>
        <w:t>This disallowable legislative instrument</w:t>
      </w:r>
      <w:r w:rsidRPr="000B011C">
        <w:t xml:space="preserve"> </w:t>
      </w:r>
      <w:r w:rsidRPr="000B011C">
        <w:rPr>
          <w:bCs/>
        </w:rPr>
        <w:t>may positively engage the following rights</w:t>
      </w:r>
      <w:r>
        <w:rPr>
          <w:bCs/>
        </w:rPr>
        <w:t>:</w:t>
      </w:r>
    </w:p>
    <w:p w14:paraId="5ECE2E8E" w14:textId="25A5243E" w:rsidR="00A24A90" w:rsidRDefault="00A24A90" w:rsidP="00A24A90">
      <w:pPr>
        <w:pStyle w:val="paranumbering0"/>
        <w:numPr>
          <w:ilvl w:val="0"/>
          <w:numId w:val="3"/>
        </w:numPr>
        <w:spacing w:before="0" w:beforeAutospacing="0" w:after="0" w:afterAutospacing="0"/>
        <w:contextualSpacing/>
        <w:rPr>
          <w:bCs/>
        </w:rPr>
      </w:pPr>
      <w:r>
        <w:rPr>
          <w:bCs/>
        </w:rPr>
        <w:t xml:space="preserve">the right to life – Article 6 of the </w:t>
      </w:r>
      <w:r w:rsidRPr="00136447">
        <w:rPr>
          <w:bCs/>
          <w:i/>
          <w:iCs/>
        </w:rPr>
        <w:t>International Covenant on Civil and Political Rights</w:t>
      </w:r>
      <w:r w:rsidRPr="009C1A74">
        <w:rPr>
          <w:bCs/>
        </w:rPr>
        <w:t xml:space="preserve"> (ICCPR)</w:t>
      </w:r>
      <w:r>
        <w:rPr>
          <w:bCs/>
        </w:rPr>
        <w:t>; and</w:t>
      </w:r>
    </w:p>
    <w:p w14:paraId="26DCD5A1" w14:textId="77777777" w:rsidR="00A24A90" w:rsidRPr="006426C4" w:rsidRDefault="00A24A90" w:rsidP="00A24A90">
      <w:pPr>
        <w:pStyle w:val="paranumbering0"/>
        <w:numPr>
          <w:ilvl w:val="0"/>
          <w:numId w:val="3"/>
        </w:numPr>
        <w:spacing w:before="0" w:beforeAutospacing="0" w:after="0" w:afterAutospacing="0"/>
        <w:contextualSpacing/>
        <w:rPr>
          <w:bCs/>
        </w:rPr>
      </w:pPr>
      <w:r>
        <w:rPr>
          <w:bCs/>
        </w:rPr>
        <w:t>the rights relating to families and children – Articles 17 and 23 of the ICCPR and Articles 3 and 10 of the</w:t>
      </w:r>
      <w:r w:rsidRPr="00136447">
        <w:t xml:space="preserve"> </w:t>
      </w:r>
      <w:r w:rsidRPr="00136447">
        <w:rPr>
          <w:bCs/>
          <w:i/>
          <w:iCs/>
        </w:rPr>
        <w:t>Convention on the Rights of the Child</w:t>
      </w:r>
      <w:r w:rsidRPr="00136447">
        <w:rPr>
          <w:bCs/>
        </w:rPr>
        <w:t xml:space="preserve"> (CRC</w:t>
      </w:r>
      <w:r w:rsidRPr="006426C4">
        <w:rPr>
          <w:bCs/>
        </w:rPr>
        <w:t>) read with Article 4.</w:t>
      </w:r>
    </w:p>
    <w:p w14:paraId="00FC4561" w14:textId="77777777" w:rsidR="00A24A90" w:rsidRDefault="00A24A90" w:rsidP="00A24A90">
      <w:pPr>
        <w:pStyle w:val="paranumbering0"/>
        <w:spacing w:before="0" w:beforeAutospacing="0" w:after="0" w:afterAutospacing="0"/>
        <w:contextualSpacing/>
        <w:rPr>
          <w:bCs/>
        </w:rPr>
      </w:pPr>
    </w:p>
    <w:p w14:paraId="7258E44B" w14:textId="51974518" w:rsidR="00A24A90" w:rsidRPr="00600D60" w:rsidRDefault="00A24A90" w:rsidP="00A24A90">
      <w:pPr>
        <w:tabs>
          <w:tab w:val="left" w:pos="5260"/>
        </w:tabs>
        <w:ind w:right="-46"/>
        <w:rPr>
          <w:rFonts w:ascii="Times New Roman" w:hAnsi="Times New Roman" w:cs="Times New Roman"/>
          <w:bCs/>
          <w:sz w:val="24"/>
          <w:szCs w:val="24"/>
          <w:u w:val="single"/>
        </w:rPr>
      </w:pPr>
      <w:r w:rsidRPr="00600D60">
        <w:rPr>
          <w:rFonts w:ascii="Times New Roman" w:hAnsi="Times New Roman" w:cs="Times New Roman"/>
          <w:bCs/>
          <w:i/>
          <w:iCs/>
          <w:sz w:val="24"/>
          <w:szCs w:val="24"/>
          <w:u w:val="single"/>
        </w:rPr>
        <w:t xml:space="preserve">Right to </w:t>
      </w:r>
      <w:r w:rsidR="006426C4">
        <w:rPr>
          <w:rFonts w:ascii="Times New Roman" w:hAnsi="Times New Roman" w:cs="Times New Roman"/>
          <w:bCs/>
          <w:i/>
          <w:iCs/>
          <w:sz w:val="24"/>
          <w:szCs w:val="24"/>
          <w:u w:val="single"/>
        </w:rPr>
        <w:t>l</w:t>
      </w:r>
      <w:r>
        <w:rPr>
          <w:rFonts w:ascii="Times New Roman" w:hAnsi="Times New Roman" w:cs="Times New Roman"/>
          <w:bCs/>
          <w:i/>
          <w:iCs/>
          <w:sz w:val="24"/>
          <w:szCs w:val="24"/>
          <w:u w:val="single"/>
        </w:rPr>
        <w:t xml:space="preserve">ife </w:t>
      </w:r>
      <w:r w:rsidRPr="00600D60">
        <w:rPr>
          <w:rFonts w:ascii="Times New Roman" w:hAnsi="Times New Roman" w:cs="Times New Roman"/>
          <w:bCs/>
          <w:sz w:val="24"/>
          <w:szCs w:val="24"/>
          <w:u w:val="single"/>
        </w:rPr>
        <w:t> </w:t>
      </w:r>
    </w:p>
    <w:p w14:paraId="573AF75F" w14:textId="77777777" w:rsidR="00A24A90" w:rsidRDefault="00A24A90" w:rsidP="00A24A90">
      <w:pPr>
        <w:tabs>
          <w:tab w:val="left" w:pos="5260"/>
        </w:tabs>
        <w:ind w:right="-46"/>
        <w:rPr>
          <w:rFonts w:ascii="Times New Roman" w:hAnsi="Times New Roman" w:cs="Times New Roman"/>
          <w:bCs/>
          <w:sz w:val="24"/>
          <w:szCs w:val="24"/>
        </w:rPr>
      </w:pPr>
    </w:p>
    <w:p w14:paraId="6848CE2C" w14:textId="77777777" w:rsidR="00A24A90" w:rsidRDefault="00A24A90" w:rsidP="00A24A90">
      <w:pPr>
        <w:tabs>
          <w:tab w:val="left" w:pos="5260"/>
        </w:tabs>
        <w:ind w:right="-46"/>
        <w:rPr>
          <w:rFonts w:ascii="Times New Roman" w:hAnsi="Times New Roman" w:cs="Times New Roman"/>
          <w:bCs/>
          <w:sz w:val="24"/>
          <w:szCs w:val="24"/>
        </w:rPr>
      </w:pPr>
      <w:r w:rsidRPr="004C283E">
        <w:rPr>
          <w:rFonts w:ascii="Times New Roman" w:hAnsi="Times New Roman" w:cs="Times New Roman"/>
          <w:bCs/>
          <w:sz w:val="24"/>
          <w:szCs w:val="24"/>
        </w:rPr>
        <w:t xml:space="preserve">Article 6 of the ICCPR provides that everyone has the inherent right to life and that no one shall be arbitrarily deprived of life. </w:t>
      </w:r>
    </w:p>
    <w:p w14:paraId="4C1A5E60" w14:textId="77777777" w:rsidR="00A24A90" w:rsidRPr="00AD3BA6" w:rsidRDefault="00A24A90" w:rsidP="00A24A90">
      <w:pPr>
        <w:tabs>
          <w:tab w:val="left" w:pos="5260"/>
        </w:tabs>
        <w:ind w:right="-46"/>
        <w:rPr>
          <w:rFonts w:ascii="Times New Roman" w:hAnsi="Times New Roman" w:cs="Times New Roman"/>
          <w:bCs/>
          <w:sz w:val="24"/>
          <w:szCs w:val="24"/>
        </w:rPr>
      </w:pPr>
    </w:p>
    <w:p w14:paraId="2AA37466" w14:textId="77777777" w:rsidR="00A24A90" w:rsidRDefault="00A24A90" w:rsidP="00A24A90">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 xml:space="preserve">During an overseas crisis the department may deliver various services to affected Australian citizens, permanent residents and non-citizens (including family members of Australians). This could include working with local authorities to provide support to affected Australians in the area, advising of options to leave the area and in exceptional circumstances it could include arranging evacuation from the area. </w:t>
      </w:r>
    </w:p>
    <w:p w14:paraId="5BB539A1" w14:textId="77777777" w:rsidR="00A24A90" w:rsidRDefault="00A24A90" w:rsidP="00A24A90">
      <w:pPr>
        <w:tabs>
          <w:tab w:val="left" w:pos="5260"/>
        </w:tabs>
        <w:ind w:right="-46"/>
        <w:rPr>
          <w:rFonts w:ascii="Times New Roman" w:hAnsi="Times New Roman" w:cs="Times New Roman"/>
          <w:bCs/>
          <w:sz w:val="24"/>
          <w:szCs w:val="24"/>
        </w:rPr>
      </w:pPr>
    </w:p>
    <w:p w14:paraId="5270C7C1" w14:textId="77777777" w:rsidR="00A24A90" w:rsidRDefault="00A24A90" w:rsidP="00A24A90">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To the extent these human rights obligations applied, in supporting Australians to leave dangerous locations, or obtain essential support in, a crisis affected area, expenditure on consular services could promote the right to life.</w:t>
      </w:r>
    </w:p>
    <w:p w14:paraId="4BAC1107" w14:textId="77777777" w:rsidR="00A24A90" w:rsidRDefault="00A24A90" w:rsidP="00A24A90">
      <w:pPr>
        <w:pStyle w:val="paranumbering0"/>
        <w:spacing w:before="0" w:beforeAutospacing="0" w:after="0" w:afterAutospacing="0"/>
        <w:contextualSpacing/>
        <w:rPr>
          <w:bCs/>
        </w:rPr>
      </w:pPr>
    </w:p>
    <w:p w14:paraId="2316122F" w14:textId="77777777" w:rsidR="00A24A90" w:rsidRDefault="00A24A90" w:rsidP="00A24A90">
      <w:pPr>
        <w:tabs>
          <w:tab w:val="left" w:pos="5260"/>
        </w:tabs>
        <w:ind w:right="-46"/>
        <w:rPr>
          <w:rFonts w:ascii="Times New Roman" w:hAnsi="Times New Roman" w:cs="Times New Roman"/>
          <w:bCs/>
          <w:i/>
          <w:iCs/>
          <w:sz w:val="24"/>
          <w:szCs w:val="24"/>
          <w:u w:val="single"/>
        </w:rPr>
      </w:pPr>
      <w:r>
        <w:rPr>
          <w:rFonts w:ascii="Times New Roman" w:hAnsi="Times New Roman" w:cs="Times New Roman"/>
          <w:bCs/>
          <w:i/>
          <w:iCs/>
          <w:sz w:val="24"/>
          <w:szCs w:val="24"/>
          <w:u w:val="single"/>
        </w:rPr>
        <w:t xml:space="preserve">Rights relating to the families and children </w:t>
      </w:r>
    </w:p>
    <w:p w14:paraId="20C46A58" w14:textId="77777777" w:rsidR="00A24A90" w:rsidRDefault="00A24A90" w:rsidP="00A24A90">
      <w:pPr>
        <w:shd w:val="clear" w:color="auto" w:fill="FFFFFF"/>
        <w:jc w:val="both"/>
        <w:rPr>
          <w:rFonts w:ascii="Times New Roman" w:eastAsia="Times New Roman" w:hAnsi="Times New Roman" w:cs="Times New Roman"/>
          <w:sz w:val="24"/>
          <w:szCs w:val="24"/>
          <w:lang w:eastAsia="en-AU"/>
        </w:rPr>
      </w:pPr>
    </w:p>
    <w:p w14:paraId="2A308092" w14:textId="77777777" w:rsidR="00A24A90" w:rsidRPr="00DE4F87" w:rsidRDefault="00A24A90" w:rsidP="00A24A90">
      <w:pPr>
        <w:shd w:val="clear" w:color="auto" w:fill="FFFFFF"/>
        <w:jc w:val="both"/>
        <w:rPr>
          <w:rFonts w:ascii="Times New Roman" w:eastAsia="Times New Roman" w:hAnsi="Times New Roman" w:cs="Times New Roman"/>
          <w:sz w:val="24"/>
          <w:szCs w:val="24"/>
          <w:lang w:eastAsia="en-AU"/>
        </w:rPr>
      </w:pPr>
      <w:r w:rsidRPr="00DE4F87">
        <w:rPr>
          <w:rFonts w:ascii="Times New Roman" w:eastAsia="Times New Roman" w:hAnsi="Times New Roman" w:cs="Times New Roman"/>
          <w:sz w:val="24"/>
          <w:szCs w:val="24"/>
          <w:lang w:eastAsia="en-AU"/>
        </w:rPr>
        <w:t>Articles 17 of the ICCPR provides:</w:t>
      </w:r>
    </w:p>
    <w:p w14:paraId="21C12946" w14:textId="77777777" w:rsidR="00A24A90" w:rsidRPr="00DE4F87" w:rsidRDefault="00A24A90" w:rsidP="00A24A90">
      <w:pPr>
        <w:shd w:val="clear" w:color="auto" w:fill="FFFFFF"/>
        <w:ind w:left="720"/>
        <w:rPr>
          <w:rFonts w:ascii="Times New Roman" w:eastAsia="Times New Roman" w:hAnsi="Times New Roman" w:cs="Times New Roman"/>
          <w:sz w:val="24"/>
          <w:szCs w:val="24"/>
          <w:lang w:eastAsia="en-AU"/>
        </w:rPr>
      </w:pPr>
      <w:r w:rsidRPr="00DE4F87">
        <w:rPr>
          <w:rFonts w:ascii="Times New Roman" w:eastAsia="Times New Roman" w:hAnsi="Times New Roman" w:cs="Times New Roman"/>
          <w:i/>
          <w:iCs/>
          <w:sz w:val="24"/>
          <w:szCs w:val="24"/>
          <w:lang w:eastAsia="en-AU"/>
        </w:rPr>
        <w:t>(1)   </w:t>
      </w:r>
      <w:r w:rsidRPr="00DE4F87">
        <w:rPr>
          <w:rFonts w:ascii="Times New Roman" w:eastAsia="Times New Roman" w:hAnsi="Times New Roman" w:cs="Times New Roman"/>
          <w:sz w:val="24"/>
          <w:szCs w:val="24"/>
          <w:lang w:eastAsia="en-AU"/>
        </w:rPr>
        <w:t> </w:t>
      </w:r>
      <w:r w:rsidRPr="00DE4F87">
        <w:rPr>
          <w:rFonts w:ascii="Times New Roman" w:eastAsia="Times New Roman" w:hAnsi="Times New Roman" w:cs="Times New Roman"/>
          <w:i/>
          <w:iCs/>
          <w:sz w:val="24"/>
          <w:szCs w:val="24"/>
          <w:lang w:eastAsia="en-AU"/>
        </w:rPr>
        <w:t>No one shall be subjected to arbitrary or unlawful interference with his privacy, family, home or correspondence, nor to unlawful attacks on his honour and reputation.</w:t>
      </w:r>
    </w:p>
    <w:p w14:paraId="0A5919CE" w14:textId="77777777" w:rsidR="00A24A90" w:rsidRPr="00DE4F87" w:rsidRDefault="00A24A90" w:rsidP="00A24A90">
      <w:pPr>
        <w:shd w:val="clear" w:color="auto" w:fill="FFFFFF"/>
        <w:ind w:left="720"/>
        <w:rPr>
          <w:rFonts w:ascii="Times New Roman" w:eastAsia="Times New Roman" w:hAnsi="Times New Roman" w:cs="Times New Roman"/>
          <w:sz w:val="24"/>
          <w:szCs w:val="24"/>
          <w:lang w:eastAsia="en-AU"/>
        </w:rPr>
      </w:pPr>
      <w:r w:rsidRPr="00DE4F87">
        <w:rPr>
          <w:rFonts w:ascii="Times New Roman" w:eastAsia="Times New Roman" w:hAnsi="Times New Roman" w:cs="Times New Roman"/>
          <w:i/>
          <w:iCs/>
          <w:sz w:val="24"/>
          <w:szCs w:val="24"/>
          <w:lang w:eastAsia="en-AU"/>
        </w:rPr>
        <w:t>(2)   </w:t>
      </w:r>
      <w:r w:rsidRPr="00DE4F87">
        <w:rPr>
          <w:rFonts w:ascii="Times New Roman" w:eastAsia="Times New Roman" w:hAnsi="Times New Roman" w:cs="Times New Roman"/>
          <w:sz w:val="24"/>
          <w:szCs w:val="24"/>
          <w:lang w:eastAsia="en-AU"/>
        </w:rPr>
        <w:t> </w:t>
      </w:r>
      <w:r w:rsidRPr="00DE4F87">
        <w:rPr>
          <w:rFonts w:ascii="Times New Roman" w:eastAsia="Times New Roman" w:hAnsi="Times New Roman" w:cs="Times New Roman"/>
          <w:i/>
          <w:iCs/>
          <w:sz w:val="24"/>
          <w:szCs w:val="24"/>
          <w:lang w:eastAsia="en-AU"/>
        </w:rPr>
        <w:t>Everyone has the right to the protection of the law against such interference or attacks.</w:t>
      </w:r>
    </w:p>
    <w:p w14:paraId="173FB03B" w14:textId="77777777" w:rsidR="00A24A90" w:rsidRDefault="00A24A90" w:rsidP="00A24A90">
      <w:pPr>
        <w:shd w:val="clear" w:color="auto" w:fill="FFFFFF"/>
        <w:jc w:val="both"/>
        <w:rPr>
          <w:rFonts w:ascii="Times New Roman" w:eastAsia="Times New Roman" w:hAnsi="Times New Roman" w:cs="Times New Roman"/>
          <w:sz w:val="24"/>
          <w:szCs w:val="24"/>
          <w:lang w:eastAsia="en-AU"/>
        </w:rPr>
      </w:pPr>
    </w:p>
    <w:p w14:paraId="01588A59" w14:textId="77777777" w:rsidR="00A24A90" w:rsidRPr="00DE4F87" w:rsidRDefault="00A24A90" w:rsidP="00A24A90">
      <w:pPr>
        <w:shd w:val="clear" w:color="auto" w:fill="FFFFFF"/>
        <w:jc w:val="both"/>
        <w:rPr>
          <w:rFonts w:ascii="Times New Roman" w:eastAsia="Times New Roman" w:hAnsi="Times New Roman" w:cs="Times New Roman"/>
          <w:sz w:val="24"/>
          <w:szCs w:val="24"/>
          <w:lang w:eastAsia="en-AU"/>
        </w:rPr>
      </w:pPr>
      <w:r w:rsidRPr="00DE4F87">
        <w:rPr>
          <w:rFonts w:ascii="Times New Roman" w:eastAsia="Times New Roman" w:hAnsi="Times New Roman" w:cs="Times New Roman"/>
          <w:sz w:val="24"/>
          <w:szCs w:val="24"/>
          <w:lang w:eastAsia="en-AU"/>
        </w:rPr>
        <w:t>Article 23 of the ICCPR provides:</w:t>
      </w:r>
    </w:p>
    <w:p w14:paraId="3CC033AD" w14:textId="77777777" w:rsidR="00A24A90" w:rsidRPr="00DE4F87" w:rsidRDefault="00A24A90" w:rsidP="00A24A90">
      <w:pPr>
        <w:shd w:val="clear" w:color="auto" w:fill="FFFFFF"/>
        <w:ind w:left="720"/>
        <w:rPr>
          <w:rFonts w:ascii="Times New Roman" w:eastAsia="Times New Roman" w:hAnsi="Times New Roman" w:cs="Times New Roman"/>
          <w:sz w:val="24"/>
          <w:szCs w:val="24"/>
          <w:lang w:eastAsia="en-AU"/>
        </w:rPr>
      </w:pPr>
      <w:r w:rsidRPr="00DE4F87">
        <w:rPr>
          <w:rFonts w:ascii="Times New Roman" w:eastAsia="Times New Roman" w:hAnsi="Times New Roman" w:cs="Times New Roman"/>
          <w:i/>
          <w:iCs/>
          <w:sz w:val="24"/>
          <w:szCs w:val="24"/>
          <w:lang w:eastAsia="en-AU"/>
        </w:rPr>
        <w:t>(1)   </w:t>
      </w:r>
      <w:r w:rsidRPr="00DE4F87">
        <w:rPr>
          <w:rFonts w:ascii="Times New Roman" w:eastAsia="Times New Roman" w:hAnsi="Times New Roman" w:cs="Times New Roman"/>
          <w:sz w:val="24"/>
          <w:szCs w:val="24"/>
          <w:lang w:eastAsia="en-AU"/>
        </w:rPr>
        <w:t> </w:t>
      </w:r>
      <w:r w:rsidRPr="00DE4F87">
        <w:rPr>
          <w:rFonts w:ascii="Times New Roman" w:eastAsia="Times New Roman" w:hAnsi="Times New Roman" w:cs="Times New Roman"/>
          <w:i/>
          <w:iCs/>
          <w:sz w:val="24"/>
          <w:szCs w:val="24"/>
          <w:lang w:eastAsia="en-AU"/>
        </w:rPr>
        <w:t>The family is the natural and fundamental group unit of society and is entitled to protection by society and the State.</w:t>
      </w:r>
    </w:p>
    <w:p w14:paraId="20E17225" w14:textId="77777777" w:rsidR="006426C4" w:rsidRPr="006426C4" w:rsidRDefault="006426C4" w:rsidP="00A24A90">
      <w:pPr>
        <w:shd w:val="clear" w:color="auto" w:fill="FFFFFF"/>
        <w:rPr>
          <w:rFonts w:ascii="Times New Roman" w:eastAsia="Times New Roman" w:hAnsi="Times New Roman" w:cs="Times New Roman"/>
          <w:sz w:val="24"/>
          <w:szCs w:val="24"/>
          <w:lang w:eastAsia="en-AU"/>
        </w:rPr>
      </w:pPr>
    </w:p>
    <w:p w14:paraId="348B484B" w14:textId="5C2C0C51" w:rsidR="00A24A90" w:rsidRPr="006357E8" w:rsidRDefault="00A24A90" w:rsidP="00A24A90">
      <w:pPr>
        <w:shd w:val="clear" w:color="auto" w:fill="FFFFFF"/>
        <w:rPr>
          <w:rFonts w:ascii="Times New Roman" w:eastAsia="Times New Roman" w:hAnsi="Times New Roman" w:cs="Times New Roman"/>
          <w:sz w:val="24"/>
          <w:szCs w:val="24"/>
          <w:lang w:eastAsia="en-AU"/>
        </w:rPr>
      </w:pPr>
      <w:r w:rsidRPr="006426C4">
        <w:rPr>
          <w:rFonts w:ascii="Times New Roman" w:eastAsia="Times New Roman" w:hAnsi="Times New Roman" w:cs="Times New Roman"/>
          <w:sz w:val="24"/>
          <w:szCs w:val="24"/>
          <w:lang w:eastAsia="en-AU"/>
        </w:rPr>
        <w:t>Article 4 of the CRC requires the States Parties to ‘undertake all appropriate legislative, administrative, and other measures for the implementation of the rights’ in the CRC.</w:t>
      </w:r>
    </w:p>
    <w:p w14:paraId="5E613F62" w14:textId="77777777" w:rsidR="00A24A90" w:rsidRDefault="00A24A90" w:rsidP="00A24A90">
      <w:pPr>
        <w:shd w:val="clear" w:color="auto" w:fill="FFFFFF"/>
        <w:rPr>
          <w:rFonts w:ascii="Times New Roman" w:eastAsia="Times New Roman" w:hAnsi="Times New Roman" w:cs="Times New Roman"/>
          <w:sz w:val="24"/>
          <w:szCs w:val="24"/>
          <w:lang w:eastAsia="en-AU"/>
        </w:rPr>
      </w:pPr>
    </w:p>
    <w:p w14:paraId="53C98025" w14:textId="77777777" w:rsidR="00A24A90" w:rsidRPr="00DE4F87" w:rsidRDefault="00A24A90" w:rsidP="00A24A90">
      <w:pPr>
        <w:shd w:val="clear" w:color="auto" w:fill="FFFFFF"/>
        <w:rPr>
          <w:rFonts w:ascii="Times New Roman" w:eastAsia="Times New Roman" w:hAnsi="Times New Roman" w:cs="Times New Roman"/>
          <w:sz w:val="24"/>
          <w:szCs w:val="24"/>
          <w:lang w:eastAsia="en-AU"/>
        </w:rPr>
      </w:pPr>
      <w:r w:rsidRPr="00DE4F87">
        <w:rPr>
          <w:rFonts w:ascii="Times New Roman" w:eastAsia="Times New Roman" w:hAnsi="Times New Roman" w:cs="Times New Roman"/>
          <w:sz w:val="24"/>
          <w:szCs w:val="24"/>
          <w:lang w:eastAsia="en-AU"/>
        </w:rPr>
        <w:t>Article 3(1) of the CRC states:</w:t>
      </w:r>
    </w:p>
    <w:p w14:paraId="7445FAB5" w14:textId="77777777" w:rsidR="00A24A90" w:rsidRPr="00DE4F87" w:rsidRDefault="00A24A90" w:rsidP="00A24A90">
      <w:pPr>
        <w:shd w:val="clear" w:color="auto" w:fill="FFFFFF"/>
        <w:ind w:left="720"/>
        <w:rPr>
          <w:rFonts w:ascii="Times New Roman" w:eastAsia="Times New Roman" w:hAnsi="Times New Roman" w:cs="Times New Roman"/>
          <w:sz w:val="24"/>
          <w:szCs w:val="24"/>
          <w:lang w:eastAsia="en-AU"/>
        </w:rPr>
      </w:pPr>
      <w:r w:rsidRPr="00DE4F87">
        <w:rPr>
          <w:rFonts w:ascii="Times New Roman" w:eastAsia="Times New Roman" w:hAnsi="Times New Roman" w:cs="Times New Roman"/>
          <w:i/>
          <w:iCs/>
          <w:sz w:val="24"/>
          <w:szCs w:val="24"/>
          <w:lang w:eastAsia="en-AU"/>
        </w:rPr>
        <w:t>In all actions concerning children, whether undertaken by public or private social welfare institutions, courts of law, administrative authorities or legislative bodies, the best interests of the child shall be a primary consideration.</w:t>
      </w:r>
    </w:p>
    <w:p w14:paraId="3BAFE7D7" w14:textId="77777777" w:rsidR="00A24A90" w:rsidRDefault="00A24A90" w:rsidP="00A24A90">
      <w:pPr>
        <w:shd w:val="clear" w:color="auto" w:fill="FFFFFF"/>
        <w:rPr>
          <w:rFonts w:ascii="Times New Roman" w:eastAsia="Times New Roman" w:hAnsi="Times New Roman" w:cs="Times New Roman"/>
          <w:sz w:val="24"/>
          <w:szCs w:val="24"/>
          <w:lang w:eastAsia="en-AU"/>
        </w:rPr>
      </w:pPr>
    </w:p>
    <w:p w14:paraId="665E0722" w14:textId="77777777" w:rsidR="00A24A90" w:rsidRPr="00DE4F87" w:rsidRDefault="00A24A90" w:rsidP="00A24A90">
      <w:pPr>
        <w:shd w:val="clear" w:color="auto" w:fill="FFFFFF"/>
        <w:rPr>
          <w:rFonts w:ascii="Times New Roman" w:eastAsia="Times New Roman" w:hAnsi="Times New Roman" w:cs="Times New Roman"/>
          <w:sz w:val="24"/>
          <w:szCs w:val="24"/>
          <w:lang w:eastAsia="en-AU"/>
        </w:rPr>
      </w:pPr>
      <w:r w:rsidRPr="00DE4F87">
        <w:rPr>
          <w:rFonts w:ascii="Times New Roman" w:eastAsia="Times New Roman" w:hAnsi="Times New Roman" w:cs="Times New Roman"/>
          <w:sz w:val="24"/>
          <w:szCs w:val="24"/>
          <w:lang w:eastAsia="en-AU"/>
        </w:rPr>
        <w:t>Article 10(1) of the CRC states that:</w:t>
      </w:r>
    </w:p>
    <w:p w14:paraId="40448FFF" w14:textId="77777777" w:rsidR="00A24A90" w:rsidRPr="00DE4F87" w:rsidRDefault="00A24A90" w:rsidP="00A24A90">
      <w:pPr>
        <w:shd w:val="clear" w:color="auto" w:fill="FFFFFF"/>
        <w:ind w:left="720"/>
        <w:rPr>
          <w:rFonts w:ascii="Times New Roman" w:eastAsia="Times New Roman" w:hAnsi="Times New Roman" w:cs="Times New Roman"/>
          <w:sz w:val="24"/>
          <w:szCs w:val="24"/>
          <w:lang w:eastAsia="en-AU"/>
        </w:rPr>
      </w:pPr>
      <w:r w:rsidRPr="00DE4F87">
        <w:rPr>
          <w:rFonts w:ascii="Times New Roman" w:eastAsia="Times New Roman" w:hAnsi="Times New Roman" w:cs="Times New Roman"/>
          <w:i/>
          <w:iCs/>
          <w:sz w:val="24"/>
          <w:szCs w:val="24"/>
          <w:lang w:eastAsia="en-AU"/>
        </w:rPr>
        <w:t>In accordance with the obligation of States Parties under article 9, paragraph 1, applications by a child or his or her parents to enter or leave a State Party for the purpose of family reunification shall be dealt with by States Parties in a positive, humane and expeditious manner. States Parties shall further ensure that the submission of such a request shall entail no adverse consequences for the applicants and for the members of their family.</w:t>
      </w:r>
    </w:p>
    <w:p w14:paraId="21551204" w14:textId="77777777" w:rsidR="00A24A90" w:rsidRPr="008712BE" w:rsidRDefault="00A24A90" w:rsidP="00A24A90">
      <w:pPr>
        <w:tabs>
          <w:tab w:val="left" w:pos="5260"/>
        </w:tabs>
        <w:ind w:right="-46"/>
        <w:rPr>
          <w:rFonts w:ascii="Times New Roman" w:hAnsi="Times New Roman" w:cs="Times New Roman"/>
          <w:bCs/>
          <w:sz w:val="24"/>
          <w:szCs w:val="24"/>
          <w:u w:val="single"/>
        </w:rPr>
      </w:pPr>
    </w:p>
    <w:p w14:paraId="57A0D7E7" w14:textId="77777777" w:rsidR="00A24A90" w:rsidRDefault="00A24A90" w:rsidP="00A24A90">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 xml:space="preserve">Community expectation in relation to the delivery of consular services has evolved. This is particularly the case in relation to delivery of consular services during a crisis. The expectation is that assistance be extended to the families of Australian citizens. </w:t>
      </w:r>
    </w:p>
    <w:p w14:paraId="50879873" w14:textId="77777777" w:rsidR="00A24A90" w:rsidRDefault="00A24A90" w:rsidP="00A24A90">
      <w:pPr>
        <w:tabs>
          <w:tab w:val="left" w:pos="5260"/>
        </w:tabs>
        <w:ind w:right="-46"/>
        <w:rPr>
          <w:rFonts w:ascii="Times New Roman" w:hAnsi="Times New Roman" w:cs="Times New Roman"/>
          <w:bCs/>
          <w:sz w:val="24"/>
          <w:szCs w:val="24"/>
        </w:rPr>
      </w:pPr>
    </w:p>
    <w:p w14:paraId="7CF06451" w14:textId="77777777" w:rsidR="00A24A90" w:rsidRDefault="00A24A90" w:rsidP="00A24A90">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 xml:space="preserve">A key focus of extending consular services to non-Australian family members is to ensure that families can be kept together. To the extent Australia’s human rights obligations were engaged, expenditure on consular and crisis support services would: </w:t>
      </w:r>
    </w:p>
    <w:p w14:paraId="2D4570E3" w14:textId="77777777" w:rsidR="00A24A90" w:rsidRPr="00125D8D" w:rsidRDefault="00A24A90" w:rsidP="00A24A90">
      <w:pPr>
        <w:pStyle w:val="paranumbering0"/>
        <w:keepNext/>
        <w:numPr>
          <w:ilvl w:val="0"/>
          <w:numId w:val="4"/>
        </w:numPr>
        <w:spacing w:before="0" w:beforeAutospacing="0" w:after="0" w:afterAutospacing="0"/>
        <w:contextualSpacing/>
      </w:pPr>
      <w:r w:rsidRPr="00125D8D">
        <w:t xml:space="preserve">promote the rights relating to families and </w:t>
      </w:r>
      <w:proofErr w:type="gramStart"/>
      <w:r w:rsidRPr="00125D8D">
        <w:t>children;</w:t>
      </w:r>
      <w:proofErr w:type="gramEnd"/>
    </w:p>
    <w:p w14:paraId="5C0878DF" w14:textId="77777777" w:rsidR="00A24A90" w:rsidRPr="00125D8D" w:rsidRDefault="00A24A90" w:rsidP="00A24A90">
      <w:pPr>
        <w:pStyle w:val="paranumbering0"/>
        <w:numPr>
          <w:ilvl w:val="0"/>
          <w:numId w:val="4"/>
        </w:numPr>
        <w:contextualSpacing/>
      </w:pPr>
      <w:r w:rsidRPr="00125D8D">
        <w:t>work to ensure that family members can stay together (even in cases where the whole family are not Australian citizens), in line with the Articles 17 and 23 of the ICCPR, and the CRC; and</w:t>
      </w:r>
    </w:p>
    <w:p w14:paraId="4C11FCFF" w14:textId="77777777" w:rsidR="00A24A90" w:rsidRPr="00125D8D" w:rsidRDefault="00A24A90" w:rsidP="00A24A90">
      <w:pPr>
        <w:pStyle w:val="paranumbering0"/>
        <w:numPr>
          <w:ilvl w:val="0"/>
          <w:numId w:val="4"/>
        </w:numPr>
        <w:contextualSpacing/>
      </w:pPr>
      <w:r w:rsidRPr="00125D8D">
        <w:t xml:space="preserve">work to ensure that parents/children are not separated </w:t>
      </w:r>
      <w:proofErr w:type="gramStart"/>
      <w:r w:rsidRPr="00125D8D">
        <w:t>in the event that</w:t>
      </w:r>
      <w:proofErr w:type="gramEnd"/>
      <w:r w:rsidRPr="00125D8D">
        <w:t xml:space="preserve"> only one is an Australian national in line with Articles 17 and 23, as well as Articles 3(1) and 10(1) of the CRC.</w:t>
      </w:r>
    </w:p>
    <w:p w14:paraId="69239162" w14:textId="77777777" w:rsidR="00A24A90" w:rsidRPr="005D3A2F" w:rsidRDefault="00A24A90" w:rsidP="00A24A90">
      <w:pPr>
        <w:pStyle w:val="paranumbering0"/>
        <w:spacing w:before="0" w:beforeAutospacing="0" w:after="0" w:afterAutospacing="0"/>
        <w:contextualSpacing/>
        <w:rPr>
          <w:bCs/>
        </w:rPr>
      </w:pPr>
    </w:p>
    <w:p w14:paraId="148D5923" w14:textId="77777777" w:rsidR="00A24A90" w:rsidRDefault="00A24A90" w:rsidP="00A24A90">
      <w:pPr>
        <w:keepNext/>
        <w:rPr>
          <w:rFonts w:ascii="Times New Roman" w:hAnsi="Times New Roman" w:cs="Times New Roman"/>
          <w:b/>
          <w:bCs/>
          <w:sz w:val="24"/>
          <w:szCs w:val="24"/>
        </w:rPr>
      </w:pPr>
      <w:r w:rsidRPr="00E80F2A">
        <w:rPr>
          <w:rFonts w:ascii="Times New Roman" w:hAnsi="Times New Roman" w:cs="Times New Roman"/>
          <w:b/>
          <w:bCs/>
          <w:sz w:val="24"/>
          <w:szCs w:val="24"/>
        </w:rPr>
        <w:t>Conclusion</w:t>
      </w:r>
    </w:p>
    <w:p w14:paraId="0DA142D9" w14:textId="77777777" w:rsidR="00A24A90" w:rsidRPr="00B70D09" w:rsidRDefault="00A24A90" w:rsidP="00A24A90">
      <w:pPr>
        <w:keepNext/>
        <w:rPr>
          <w:rFonts w:ascii="Times New Roman" w:hAnsi="Times New Roman" w:cs="Times New Roman"/>
          <w:sz w:val="24"/>
          <w:szCs w:val="24"/>
          <w:u w:val="single"/>
        </w:rPr>
      </w:pPr>
    </w:p>
    <w:bookmarkEnd w:id="2"/>
    <w:p w14:paraId="7E8E3BF8" w14:textId="77777777" w:rsidR="00A24A90" w:rsidRDefault="00A24A90" w:rsidP="00A24A90">
      <w:pPr>
        <w:ind w:right="-46"/>
        <w:rPr>
          <w:rFonts w:ascii="Times New Roman" w:hAnsi="Times New Roman" w:cs="Times New Roman"/>
          <w:sz w:val="24"/>
          <w:szCs w:val="24"/>
        </w:rPr>
      </w:pPr>
      <w:r w:rsidRPr="005D2901">
        <w:rPr>
          <w:rFonts w:ascii="Times New Roman" w:hAnsi="Times New Roman" w:cs="Times New Roman"/>
          <w:sz w:val="24"/>
          <w:szCs w:val="24"/>
        </w:rPr>
        <w:t>This disallowable legislative instrument is compatible with human rights as it promotes the protection of human rights.</w:t>
      </w:r>
    </w:p>
    <w:p w14:paraId="319FA1B0" w14:textId="77777777" w:rsidR="00A24A90" w:rsidRDefault="00A24A90" w:rsidP="00A24A90">
      <w:pPr>
        <w:ind w:right="-46"/>
        <w:rPr>
          <w:rFonts w:ascii="Times New Roman" w:hAnsi="Times New Roman" w:cs="Times New Roman"/>
          <w:sz w:val="24"/>
          <w:szCs w:val="24"/>
        </w:rPr>
      </w:pPr>
    </w:p>
    <w:p w14:paraId="540ABBDF" w14:textId="77777777" w:rsidR="00A24A90" w:rsidRDefault="00A24A90" w:rsidP="00A24A90">
      <w:pPr>
        <w:ind w:right="-46"/>
        <w:rPr>
          <w:rFonts w:ascii="Times New Roman" w:hAnsi="Times New Roman" w:cs="Times New Roman"/>
          <w:sz w:val="24"/>
          <w:szCs w:val="24"/>
        </w:rPr>
      </w:pPr>
    </w:p>
    <w:p w14:paraId="3AD6392C" w14:textId="77777777" w:rsidR="00A24A90" w:rsidRDefault="00A24A90" w:rsidP="00A24A90">
      <w:pPr>
        <w:ind w:right="-46"/>
        <w:rPr>
          <w:rFonts w:ascii="Times New Roman" w:hAnsi="Times New Roman" w:cs="Times New Roman"/>
          <w:sz w:val="24"/>
          <w:szCs w:val="24"/>
        </w:rPr>
      </w:pPr>
    </w:p>
    <w:p w14:paraId="475C1AAF" w14:textId="77777777" w:rsidR="00A24A90" w:rsidRPr="00F843E0" w:rsidRDefault="00A24A90" w:rsidP="00A24A90">
      <w:pPr>
        <w:ind w:right="-46"/>
        <w:rPr>
          <w:rFonts w:ascii="Times New Roman" w:hAnsi="Times New Roman" w:cs="Times New Roman"/>
          <w:sz w:val="24"/>
          <w:szCs w:val="24"/>
        </w:rPr>
      </w:pPr>
    </w:p>
    <w:p w14:paraId="33789347" w14:textId="77777777" w:rsidR="00A24A90" w:rsidRPr="00F843E0" w:rsidRDefault="00A24A90" w:rsidP="00A24A90">
      <w:pPr>
        <w:pStyle w:val="paranumbering0"/>
        <w:spacing w:before="0" w:beforeAutospacing="0" w:after="0" w:afterAutospacing="0"/>
        <w:contextualSpacing/>
        <w:jc w:val="center"/>
        <w:rPr>
          <w:b/>
        </w:rPr>
      </w:pPr>
      <w:r w:rsidRPr="00F843E0">
        <w:rPr>
          <w:b/>
        </w:rPr>
        <w:t>Senator the Hon Katy Gallagher</w:t>
      </w:r>
    </w:p>
    <w:p w14:paraId="33B6CD41" w14:textId="77777777" w:rsidR="00A24A90" w:rsidRPr="00646BCF" w:rsidRDefault="00A24A90" w:rsidP="00A24A90">
      <w:pPr>
        <w:contextualSpacing/>
        <w:jc w:val="center"/>
        <w:rPr>
          <w:rFonts w:ascii="Times New Roman" w:hAnsi="Times New Roman" w:cs="Times New Roman"/>
          <w:b/>
          <w:sz w:val="24"/>
          <w:szCs w:val="24"/>
          <w:lang w:eastAsia="en-AU"/>
        </w:rPr>
      </w:pPr>
      <w:r w:rsidRPr="00F843E0">
        <w:rPr>
          <w:rFonts w:ascii="Times New Roman" w:hAnsi="Times New Roman" w:cs="Times New Roman"/>
          <w:b/>
          <w:sz w:val="24"/>
          <w:szCs w:val="24"/>
        </w:rPr>
        <w:t>Minister for Finance</w:t>
      </w:r>
    </w:p>
    <w:p w14:paraId="3B30C479" w14:textId="77777777" w:rsidR="00202848" w:rsidRDefault="00202848"/>
    <w:sectPr w:rsidR="00202848" w:rsidSect="00A24A9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7062E" w14:textId="77777777" w:rsidR="005919C8" w:rsidRDefault="005919C8">
      <w:r>
        <w:separator/>
      </w:r>
    </w:p>
  </w:endnote>
  <w:endnote w:type="continuationSeparator" w:id="0">
    <w:p w14:paraId="717B14FD" w14:textId="77777777" w:rsidR="005919C8" w:rsidRDefault="0059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06EEA" w14:textId="77777777" w:rsidR="005919C8" w:rsidRDefault="005919C8">
      <w:r>
        <w:separator/>
      </w:r>
    </w:p>
  </w:footnote>
  <w:footnote w:type="continuationSeparator" w:id="0">
    <w:p w14:paraId="60E851F0" w14:textId="77777777" w:rsidR="005919C8" w:rsidRDefault="0059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04FF2F98" w14:textId="77777777" w:rsidR="00A24A90" w:rsidRPr="002413C2" w:rsidRDefault="00A24A90">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CD18E25" w14:textId="77777777" w:rsidR="00A24A90" w:rsidRDefault="00A24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CF43" w14:textId="77777777" w:rsidR="00A24A90" w:rsidRDefault="00A24A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E3C0" w14:textId="77777777" w:rsidR="00A24A90" w:rsidRDefault="00A24A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62307"/>
    <w:multiLevelType w:val="hybridMultilevel"/>
    <w:tmpl w:val="049C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25534"/>
    <w:multiLevelType w:val="multilevel"/>
    <w:tmpl w:val="EC1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91FA0"/>
    <w:multiLevelType w:val="hybridMultilevel"/>
    <w:tmpl w:val="D61A3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08657C"/>
    <w:multiLevelType w:val="multilevel"/>
    <w:tmpl w:val="18F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760300">
    <w:abstractNumId w:val="3"/>
  </w:num>
  <w:num w:numId="2" w16cid:durableId="1809931150">
    <w:abstractNumId w:val="1"/>
  </w:num>
  <w:num w:numId="3" w16cid:durableId="1434087575">
    <w:abstractNumId w:val="0"/>
  </w:num>
  <w:num w:numId="4" w16cid:durableId="120632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90"/>
    <w:rsid w:val="00014A0E"/>
    <w:rsid w:val="000E030D"/>
    <w:rsid w:val="001021BD"/>
    <w:rsid w:val="00202848"/>
    <w:rsid w:val="002830F3"/>
    <w:rsid w:val="002E10CD"/>
    <w:rsid w:val="004D192C"/>
    <w:rsid w:val="005919C8"/>
    <w:rsid w:val="006426C4"/>
    <w:rsid w:val="0070679F"/>
    <w:rsid w:val="008825C1"/>
    <w:rsid w:val="009074DA"/>
    <w:rsid w:val="00A24A90"/>
    <w:rsid w:val="00A752DB"/>
    <w:rsid w:val="00B93044"/>
    <w:rsid w:val="00DC139D"/>
    <w:rsid w:val="00F33CD5"/>
    <w:rsid w:val="00FC2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19791"/>
  <w15:chartTrackingRefBased/>
  <w15:docId w15:val="{13192B2C-D3F5-422F-96E9-D3AB1726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90"/>
    <w:pPr>
      <w:spacing w:after="0" w:line="240" w:lineRule="auto"/>
    </w:pPr>
    <w:rPr>
      <w:kern w:val="0"/>
      <w14:ligatures w14:val="none"/>
    </w:rPr>
  </w:style>
  <w:style w:type="paragraph" w:styleId="Heading1">
    <w:name w:val="heading 1"/>
    <w:basedOn w:val="Normal"/>
    <w:next w:val="Normal"/>
    <w:link w:val="Heading1Char"/>
    <w:uiPriority w:val="9"/>
    <w:qFormat/>
    <w:rsid w:val="00A24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A90"/>
    <w:rPr>
      <w:rFonts w:eastAsiaTheme="majorEastAsia" w:cstheme="majorBidi"/>
      <w:color w:val="272727" w:themeColor="text1" w:themeTint="D8"/>
    </w:rPr>
  </w:style>
  <w:style w:type="paragraph" w:styleId="Title">
    <w:name w:val="Title"/>
    <w:basedOn w:val="Normal"/>
    <w:next w:val="Normal"/>
    <w:link w:val="TitleChar"/>
    <w:uiPriority w:val="10"/>
    <w:qFormat/>
    <w:rsid w:val="00A24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A90"/>
    <w:pPr>
      <w:spacing w:before="160"/>
      <w:jc w:val="center"/>
    </w:pPr>
    <w:rPr>
      <w:i/>
      <w:iCs/>
      <w:color w:val="404040" w:themeColor="text1" w:themeTint="BF"/>
    </w:rPr>
  </w:style>
  <w:style w:type="character" w:customStyle="1" w:styleId="QuoteChar">
    <w:name w:val="Quote Char"/>
    <w:basedOn w:val="DefaultParagraphFont"/>
    <w:link w:val="Quote"/>
    <w:uiPriority w:val="29"/>
    <w:rsid w:val="00A24A90"/>
    <w:rPr>
      <w:i/>
      <w:iCs/>
      <w:color w:val="404040" w:themeColor="text1" w:themeTint="BF"/>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A24A90"/>
    <w:pPr>
      <w:ind w:left="720"/>
      <w:contextualSpacing/>
    </w:pPr>
  </w:style>
  <w:style w:type="character" w:styleId="IntenseEmphasis">
    <w:name w:val="Intense Emphasis"/>
    <w:basedOn w:val="DefaultParagraphFont"/>
    <w:uiPriority w:val="21"/>
    <w:qFormat/>
    <w:rsid w:val="00A24A90"/>
    <w:rPr>
      <w:i/>
      <w:iCs/>
      <w:color w:val="0F4761" w:themeColor="accent1" w:themeShade="BF"/>
    </w:rPr>
  </w:style>
  <w:style w:type="paragraph" w:styleId="IntenseQuote">
    <w:name w:val="Intense Quote"/>
    <w:basedOn w:val="Normal"/>
    <w:next w:val="Normal"/>
    <w:link w:val="IntenseQuoteChar"/>
    <w:uiPriority w:val="30"/>
    <w:qFormat/>
    <w:rsid w:val="00A24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A90"/>
    <w:rPr>
      <w:i/>
      <w:iCs/>
      <w:color w:val="0F4761" w:themeColor="accent1" w:themeShade="BF"/>
    </w:rPr>
  </w:style>
  <w:style w:type="character" w:styleId="IntenseReference">
    <w:name w:val="Intense Reference"/>
    <w:basedOn w:val="DefaultParagraphFont"/>
    <w:uiPriority w:val="32"/>
    <w:qFormat/>
    <w:rsid w:val="00A24A90"/>
    <w:rPr>
      <w:b/>
      <w:bCs/>
      <w:smallCaps/>
      <w:color w:val="0F4761" w:themeColor="accent1" w:themeShade="BF"/>
      <w:spacing w:val="5"/>
    </w:rPr>
  </w:style>
  <w:style w:type="paragraph" w:customStyle="1" w:styleId="ParaNumbering">
    <w:name w:val="Para Numbering"/>
    <w:basedOn w:val="Normal"/>
    <w:rsid w:val="00A24A90"/>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4A90"/>
    <w:pPr>
      <w:tabs>
        <w:tab w:val="center" w:pos="4513"/>
        <w:tab w:val="right" w:pos="9026"/>
      </w:tabs>
    </w:pPr>
  </w:style>
  <w:style w:type="character" w:customStyle="1" w:styleId="HeaderChar">
    <w:name w:val="Header Char"/>
    <w:basedOn w:val="DefaultParagraphFont"/>
    <w:link w:val="Header"/>
    <w:uiPriority w:val="99"/>
    <w:rsid w:val="00A24A90"/>
    <w:rPr>
      <w:kern w:val="0"/>
      <w14:ligatures w14:val="non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A24A90"/>
  </w:style>
  <w:style w:type="paragraph" w:customStyle="1" w:styleId="paranumbering0">
    <w:name w:val="paranumbering"/>
    <w:basedOn w:val="Normal"/>
    <w:uiPriority w:val="99"/>
    <w:rsid w:val="00A24A90"/>
    <w:pPr>
      <w:spacing w:before="100" w:beforeAutospacing="1" w:after="100" w:afterAutospacing="1"/>
    </w:pPr>
    <w:rPr>
      <w:rFonts w:ascii="Times New Roman" w:hAnsi="Times New Roman" w:cs="Times New Roman"/>
      <w:sz w:val="24"/>
      <w:szCs w:val="24"/>
      <w:lang w:eastAsia="en-AU"/>
    </w:rPr>
  </w:style>
  <w:style w:type="character" w:styleId="CommentReference">
    <w:name w:val="annotation reference"/>
    <w:basedOn w:val="DefaultParagraphFont"/>
    <w:uiPriority w:val="99"/>
    <w:unhideWhenUsed/>
    <w:rsid w:val="00A24A90"/>
    <w:rPr>
      <w:sz w:val="16"/>
      <w:szCs w:val="16"/>
    </w:rPr>
  </w:style>
  <w:style w:type="paragraph" w:styleId="CommentText">
    <w:name w:val="annotation text"/>
    <w:basedOn w:val="Normal"/>
    <w:link w:val="CommentTextChar"/>
    <w:uiPriority w:val="99"/>
    <w:unhideWhenUsed/>
    <w:rsid w:val="00A24A90"/>
    <w:rPr>
      <w:sz w:val="20"/>
      <w:szCs w:val="20"/>
    </w:rPr>
  </w:style>
  <w:style w:type="character" w:customStyle="1" w:styleId="CommentTextChar">
    <w:name w:val="Comment Text Char"/>
    <w:basedOn w:val="DefaultParagraphFont"/>
    <w:link w:val="CommentText"/>
    <w:uiPriority w:val="99"/>
    <w:rsid w:val="00A24A90"/>
    <w:rPr>
      <w:kern w:val="0"/>
      <w:sz w:val="20"/>
      <w:szCs w:val="20"/>
      <w14:ligatures w14:val="none"/>
    </w:rPr>
  </w:style>
  <w:style w:type="paragraph" w:customStyle="1" w:styleId="ItemHead">
    <w:name w:val="ItemHead"/>
    <w:aliases w:val="ih"/>
    <w:basedOn w:val="Normal"/>
    <w:next w:val="Normal"/>
    <w:rsid w:val="00A24A90"/>
    <w:pPr>
      <w:keepNext/>
      <w:keepLines/>
      <w:spacing w:before="220"/>
      <w:ind w:left="709" w:hanging="709"/>
    </w:pPr>
    <w:rPr>
      <w:rFonts w:ascii="Arial" w:eastAsia="Times New Roman" w:hAnsi="Arial" w:cs="Times New Roman"/>
      <w:b/>
      <w:kern w:val="28"/>
      <w:sz w:val="24"/>
      <w:szCs w:val="20"/>
      <w:lang w:eastAsia="en-AU"/>
    </w:rPr>
  </w:style>
  <w:style w:type="paragraph" w:styleId="Revision">
    <w:name w:val="Revision"/>
    <w:hidden/>
    <w:uiPriority w:val="99"/>
    <w:semiHidden/>
    <w:rsid w:val="00F33CD5"/>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F33CD5"/>
    <w:rPr>
      <w:b/>
      <w:bCs/>
    </w:rPr>
  </w:style>
  <w:style w:type="character" w:customStyle="1" w:styleId="CommentSubjectChar">
    <w:name w:val="Comment Subject Char"/>
    <w:basedOn w:val="CommentTextChar"/>
    <w:link w:val="CommentSubject"/>
    <w:uiPriority w:val="99"/>
    <w:semiHidden/>
    <w:rsid w:val="00F33CD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artraveller.gov.au/consular-services/crises"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FIN34055-1565050583-62268</_dlc_DocId>
    <_dlc_DocIdUrl xmlns="6a7e9632-768a-49bf-85ac-c69233ab2a52">
      <Url>https://financegovau.sharepoint.com/sites/M365_DoF_50034055/_layouts/15/DocIdRedir.aspx?ID=FIN34055-1565050583-62268</Url>
      <Description>FIN34055-1565050583-62268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EE1CBF-0822-45E4-9EBC-81423EAF36C6}">
  <ds:schemaRefs>
    <ds:schemaRef ds:uri="http://schemas.microsoft.com/sharepoint/v3/contenttype/forms"/>
  </ds:schemaRefs>
</ds:datastoreItem>
</file>

<file path=customXml/itemProps2.xml><?xml version="1.0" encoding="utf-8"?>
<ds:datastoreItem xmlns:ds="http://schemas.openxmlformats.org/officeDocument/2006/customXml" ds:itemID="{D1EA99D8-2E25-4840-850B-241228672019}">
  <ds:schemaRefs>
    <ds:schemaRef ds:uri="http://purl.org/dc/dcmitype/"/>
    <ds:schemaRef ds:uri="14fc98df-dde4-497b-b31e-324cf1b9dc27"/>
    <ds:schemaRef ds:uri="http://schemas.microsoft.com/office/2006/documentManagement/types"/>
    <ds:schemaRef ds:uri="http://purl.org/dc/terms/"/>
    <ds:schemaRef ds:uri="http://schemas.microsoft.com/office/infopath/2007/PartnerControls"/>
    <ds:schemaRef ds:uri="http://purl.org/dc/elements/1.1/"/>
    <ds:schemaRef ds:uri="de6ece0f-f2b8-426f-9f40-cc1d2ee096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36F718-16F5-4A8C-826F-77EB228F737C}"/>
</file>

<file path=customXml/itemProps4.xml><?xml version="1.0" encoding="utf-8"?>
<ds:datastoreItem xmlns:ds="http://schemas.openxmlformats.org/officeDocument/2006/customXml" ds:itemID="{D0939C4F-4778-4E2C-A756-394228F71D33}"/>
</file>

<file path=customXml/itemProps5.xml><?xml version="1.0" encoding="utf-8"?>
<ds:datastoreItem xmlns:ds="http://schemas.openxmlformats.org/officeDocument/2006/customXml" ds:itemID="{6C5FDABE-5C24-45CA-B49A-ECF0ADEF6BCE}"/>
</file>

<file path=docProps/app.xml><?xml version="1.0" encoding="utf-8"?>
<Properties xmlns="http://schemas.openxmlformats.org/officeDocument/2006/extended-properties" xmlns:vt="http://schemas.openxmlformats.org/officeDocument/2006/docPropsVTypes">
  <Template>Normal</Template>
  <TotalTime>1</TotalTime>
  <Pages>9</Pages>
  <Words>3304</Words>
  <Characters>19501</Characters>
  <Application>Microsoft Office Word</Application>
  <DocSecurity>4</DocSecurity>
  <Lines>409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Perry</dc:creator>
  <cp:keywords>[SEC=UNOFFICIAL]</cp:keywords>
  <dc:description/>
  <cp:lastModifiedBy>Huynh, Linh</cp:lastModifiedBy>
  <cp:revision>2</cp:revision>
  <dcterms:created xsi:type="dcterms:W3CDTF">2024-08-23T02:41:00Z</dcterms:created>
  <dcterms:modified xsi:type="dcterms:W3CDTF">2024-08-23T02:41:00Z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v=2022.1;a=SHA256;h=7B1C0D1B1852907C6D087C2AC6128D0D0D4543C10519EC6C640710A88746A6A0</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2024-08-22T23:09:01Z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1EB60E2D29059119264B06E479352A21561CD074</vt:lpwstr>
  </property>
  <property fmtid="{D5CDD505-2E9C-101B-9397-08002B2CF9AE}" pid="14" name="PM_DisplayValueSecClassificationWithQualifier">
    <vt:lpwstr>UNOFFICIAL</vt:lpwstr>
  </property>
  <property fmtid="{D5CDD505-2E9C-101B-9397-08002B2CF9AE}" pid="15" name="PM_Originating_FileId">
    <vt:lpwstr>1B6568FA334E47F4807600EF49B247A9</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B19F69F99B62F8CAE645BB03E5A78E9F4096CD9CB5CB7F3371CC1C294E39CE42</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C155DB53AC3EF19C8B6B91709AF6F247</vt:lpwstr>
  </property>
  <property fmtid="{D5CDD505-2E9C-101B-9397-08002B2CF9AE}" pid="25" name="PM_Hash_Salt">
    <vt:lpwstr>242C610E93AA35AFA188AE146BEA497D</vt:lpwstr>
  </property>
  <property fmtid="{D5CDD505-2E9C-101B-9397-08002B2CF9AE}" pid="26" name="PM_Hash_SHA1">
    <vt:lpwstr>D2C87411B9311EB771572AC095AC3B5780A1A183</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0x010100B7B479F47583304BA8B631462CC772D70002F43F407794FC478C48E13B67456D59</vt:lpwstr>
  </property>
  <property fmtid="{D5CDD505-2E9C-101B-9397-08002B2CF9AE}" pid="30" name="MSIP_Label_6af89f2f-9671-4583-84ec-9b406935fc32_Enabled">
    <vt:lpwstr>true</vt:lpwstr>
  </property>
  <property fmtid="{D5CDD505-2E9C-101B-9397-08002B2CF9AE}" pid="31" name="MSIP_Label_6af89f2f-9671-4583-84ec-9b406935fc32_Method">
    <vt:lpwstr>Privileged</vt:lpwstr>
  </property>
  <property fmtid="{D5CDD505-2E9C-101B-9397-08002B2CF9AE}" pid="32" name="MSIP_Label_6af89f2f-9671-4583-84ec-9b406935fc32_SetDate">
    <vt:lpwstr>2024-08-22T23:09:01Z</vt:lpwstr>
  </property>
  <property fmtid="{D5CDD505-2E9C-101B-9397-08002B2CF9AE}" pid="33" name="MSIP_Label_6af89f2f-9671-4583-84ec-9b406935fc32_Name">
    <vt:lpwstr>UNOFFICIAL</vt:lpwstr>
  </property>
  <property fmtid="{D5CDD505-2E9C-101B-9397-08002B2CF9AE}" pid="34" name="MSIP_Label_6af89f2f-9671-4583-84ec-9b406935fc32_SiteId">
    <vt:lpwstr>08954cee-4782-4ff6-9ad5-1997dccef4b0</vt:lpwstr>
  </property>
  <property fmtid="{D5CDD505-2E9C-101B-9397-08002B2CF9AE}" pid="35" name="MSIP_Label_6af89f2f-9671-4583-84ec-9b406935fc32_ContentBits">
    <vt:lpwstr>0</vt:lpwstr>
  </property>
  <property fmtid="{D5CDD505-2E9C-101B-9397-08002B2CF9AE}" pid="36" name="MSIP_Label_6af89f2f-9671-4583-84ec-9b406935fc32_ActionId">
    <vt:lpwstr>c0a1a7871b8b4cca8ab11f4a8b5f51b6</vt:lpwstr>
  </property>
  <property fmtid="{D5CDD505-2E9C-101B-9397-08002B2CF9AE}" pid="37" name="MSIP_Label_eb34d90b-fc41-464d-af60-f74d721d0790_Name">
    <vt:lpwstr>OFFICIAL</vt:lpwstr>
  </property>
  <property fmtid="{D5CDD505-2E9C-101B-9397-08002B2CF9AE}" pid="38" name="TaxKeyword">
    <vt:lpwstr>35;#[SEC=UNOFFICIAL]|c5095c15-4234-4e92-adf8-afe43cfbe4c5</vt:lpwstr>
  </property>
  <property fmtid="{D5CDD505-2E9C-101B-9397-08002B2CF9AE}" pid="39" name="MSIP_Label_eb34d90b-fc41-464d-af60-f74d721d0790_SiteId">
    <vt:lpwstr>61e36dd1-ca6e-4d61-aa0a-2b4eb88317a3</vt:lpwstr>
  </property>
  <property fmtid="{D5CDD505-2E9C-101B-9397-08002B2CF9AE}" pid="40" name="MSIP_Label_eb34d90b-fc41-464d-af60-f74d721d0790_Method">
    <vt:lpwstr>Privileged</vt:lpwstr>
  </property>
  <property fmtid="{D5CDD505-2E9C-101B-9397-08002B2CF9AE}" pid="41" name="MediaServiceImageTags">
    <vt:lpwstr/>
  </property>
  <property fmtid="{D5CDD505-2E9C-101B-9397-08002B2CF9AE}" pid="42" name="MSIP_Label_eb34d90b-fc41-464d-af60-f74d721d0790_Enabled">
    <vt:lpwstr>true</vt:lpwstr>
  </property>
  <property fmtid="{D5CDD505-2E9C-101B-9397-08002B2CF9AE}" pid="43" name="CheckForSharePointFields">
    <vt:lpwstr>False</vt:lpwstr>
  </property>
  <property fmtid="{D5CDD505-2E9C-101B-9397-08002B2CF9AE}" pid="44" name="OrgUnit">
    <vt:lpwstr>2;#Financial Framework Supplementary Powers|379d9d29-c01c-4de9-a4ea-4a1c8eabf1a8</vt:lpwstr>
  </property>
  <property fmtid="{D5CDD505-2E9C-101B-9397-08002B2CF9AE}" pid="45" name="Document">
    <vt:lpwstr/>
  </property>
  <property fmtid="{D5CDD505-2E9C-101B-9397-08002B2CF9AE}" pid="46" name="MSIP_Label_87d6481e-ccdd-4ab6-8b26-05a0df5699e7_SiteId">
    <vt:lpwstr>08954cee-4782-4ff6-9ad5-1997dccef4b0</vt:lpwstr>
  </property>
  <property fmtid="{D5CDD505-2E9C-101B-9397-08002B2CF9AE}" pid="47" name="MSIP_Label_87d6481e-ccdd-4ab6-8b26-05a0df5699e7_Method">
    <vt:lpwstr>Privileged</vt:lpwstr>
  </property>
  <property fmtid="{D5CDD505-2E9C-101B-9397-08002B2CF9AE}" pid="48" name="MSIP_Label_eb34d90b-fc41-464d-af60-f74d721d0790_SetDate">
    <vt:lpwstr>2023-09-18T06:11:18Z</vt:lpwstr>
  </property>
  <property fmtid="{D5CDD505-2E9C-101B-9397-08002B2CF9AE}" pid="49" name="ObjectiveRef">
    <vt:lpwstr>Removed</vt:lpwstr>
  </property>
  <property fmtid="{D5CDD505-2E9C-101B-9397-08002B2CF9AE}" pid="50" name="SEC">
    <vt:lpwstr>PROTECTED</vt:lpwstr>
  </property>
  <property fmtid="{D5CDD505-2E9C-101B-9397-08002B2CF9AE}" pid="51" name="Organisation Unit">
    <vt:lpwstr>1;#Financial Framework Supplementary Powers|379d9d29-c01c-4de9-a4ea-4a1c8eabf1a8</vt:lpwstr>
  </property>
  <property fmtid="{D5CDD505-2E9C-101B-9397-08002B2CF9AE}" pid="52" name="DLM">
    <vt:lpwstr>SensitiveCabinet</vt:lpwstr>
  </property>
  <property fmtid="{D5CDD505-2E9C-101B-9397-08002B2CF9AE}" pid="53" name="AbtEntity">
    <vt:lpwstr>1;#Department of Finance|fd660e8f-8f31-49bd-92a3-d31d4da31afe</vt:lpwstr>
  </property>
  <property fmtid="{D5CDD505-2E9C-101B-9397-08002B2CF9AE}" pid="54" name="MSIP_Label_87d6481e-ccdd-4ab6-8b26-05a0df5699e7_Enabled">
    <vt:lpwstr>true</vt:lpwstr>
  </property>
  <property fmtid="{D5CDD505-2E9C-101B-9397-08002B2CF9AE}" pid="55" name="TitusGUID">
    <vt:lpwstr>bb598c69-1335-48b9-aebb-bf4df183cead</vt:lpwstr>
  </property>
  <property fmtid="{D5CDD505-2E9C-101B-9397-08002B2CF9AE}" pid="56" name="MSIP_Label_87d6481e-ccdd-4ab6-8b26-05a0df5699e7_ContentBits">
    <vt:lpwstr>0</vt:lpwstr>
  </property>
  <property fmtid="{D5CDD505-2E9C-101B-9397-08002B2CF9AE}" pid="57" name="MSIP_Label_87d6481e-ccdd-4ab6-8b26-05a0df5699e7_SetDate">
    <vt:lpwstr>2024-06-25T01:58:38Z</vt:lpwstr>
  </property>
  <property fmtid="{D5CDD505-2E9C-101B-9397-08002B2CF9AE}" pid="58" name="MSIP_Label_87d6481e-ccdd-4ab6-8b26-05a0df5699e7_Name">
    <vt:lpwstr>OFFICIAL</vt:lpwstr>
  </property>
  <property fmtid="{D5CDD505-2E9C-101B-9397-08002B2CF9AE}" pid="59" name="MSIP_Label_87d6481e-ccdd-4ab6-8b26-05a0df5699e7_ActionId">
    <vt:lpwstr>65284dbdf51d46eaab101cd9a76b50da</vt:lpwstr>
  </property>
  <property fmtid="{D5CDD505-2E9C-101B-9397-08002B2CF9AE}" pid="60" name="LeadingLawyers">
    <vt:lpwstr>Removed</vt:lpwstr>
  </property>
  <property fmtid="{D5CDD505-2E9C-101B-9397-08002B2CF9AE}" pid="61" name="_dlc_DocIdItemGuid">
    <vt:lpwstr>91832dcd-5d3e-4618-b630-a1f6345f9918</vt:lpwstr>
  </property>
  <property fmtid="{D5CDD505-2E9C-101B-9397-08002B2CF9AE}" pid="62" name="InitiatingEntity">
    <vt:lpwstr>1;#Department of Finance|fd660e8f-8f31-49bd-92a3-d31d4da31afe</vt:lpwstr>
  </property>
  <property fmtid="{D5CDD505-2E9C-101B-9397-08002B2CF9AE}" pid="63" name="About Entity">
    <vt:lpwstr>2;#Department of Finance|fd660e8f-8f31-49bd-92a3-d31d4da31afe</vt:lpwstr>
  </property>
  <property fmtid="{D5CDD505-2E9C-101B-9397-08002B2CF9AE}" pid="64" name="Initiating Entity">
    <vt:lpwstr>2;#Department of Finance|fd660e8f-8f31-49bd-92a3-d31d4da31afe</vt:lpwstr>
  </property>
  <property fmtid="{D5CDD505-2E9C-101B-9397-08002B2CF9AE}" pid="65" name="MSIP_Label_eb34d90b-fc41-464d-af60-f74d721d0790_ContentBits">
    <vt:lpwstr>0</vt:lpwstr>
  </property>
  <property fmtid="{D5CDD505-2E9C-101B-9397-08002B2CF9AE}" pid="66" name="Function and Activity">
    <vt:lpwstr/>
  </property>
  <property fmtid="{D5CDD505-2E9C-101B-9397-08002B2CF9AE}" pid="67" name="Template Filename">
    <vt:lpwstr/>
  </property>
  <property fmtid="{D5CDD505-2E9C-101B-9397-08002B2CF9AE}" pid="68" name="MSIP_Label_eb34d90b-fc41-464d-af60-f74d721d0790_ActionId">
    <vt:lpwstr>fc2bd8db7f22491cafc532177c52d82d</vt:lpwstr>
  </property>
  <property fmtid="{D5CDD505-2E9C-101B-9397-08002B2CF9AE}" pid="69" name="gf53def832c84e7cae27ba43c0ddcfb1">
    <vt:lpwstr/>
  </property>
</Properties>
</file>