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0CE05" w14:textId="77777777" w:rsidR="006118FF" w:rsidRPr="00F77971" w:rsidRDefault="006118FF" w:rsidP="006118FF">
      <w:pPr>
        <w:pStyle w:val="Title"/>
        <w:rPr>
          <w:sz w:val="28"/>
          <w:szCs w:val="28"/>
        </w:rPr>
      </w:pPr>
      <w:r w:rsidRPr="00F77971">
        <w:rPr>
          <w:sz w:val="28"/>
          <w:szCs w:val="28"/>
        </w:rPr>
        <w:t>EXPLANATORY STATEMENT</w:t>
      </w:r>
    </w:p>
    <w:p w14:paraId="0F2C84F0" w14:textId="77777777" w:rsidR="006118FF" w:rsidRPr="007F7995" w:rsidRDefault="006118FF" w:rsidP="006118FF">
      <w:pPr>
        <w:pStyle w:val="Subtitle"/>
      </w:pPr>
      <w:r w:rsidRPr="007F7995">
        <w:t>Issued by the authority of the Minister for Climate Change and Energy</w:t>
      </w:r>
    </w:p>
    <w:p w14:paraId="39F4ACFA" w14:textId="77777777" w:rsidR="006118FF" w:rsidRDefault="006118FF" w:rsidP="006118FF">
      <w:pPr>
        <w:jc w:val="center"/>
        <w:rPr>
          <w:i/>
          <w:szCs w:val="24"/>
        </w:rPr>
      </w:pPr>
      <w:r>
        <w:rPr>
          <w:i/>
          <w:szCs w:val="24"/>
        </w:rPr>
        <w:t>National Greenhouse and Energy Reporting Act 2007</w:t>
      </w:r>
    </w:p>
    <w:p w14:paraId="7A9CB8BA" w14:textId="00A738FB" w:rsidR="006118FF" w:rsidRDefault="00E17589" w:rsidP="006118FF">
      <w:pPr>
        <w:jc w:val="center"/>
        <w:rPr>
          <w:i/>
          <w:szCs w:val="24"/>
        </w:rPr>
      </w:pPr>
      <w:r w:rsidRPr="00E17589">
        <w:rPr>
          <w:i/>
          <w:szCs w:val="24"/>
        </w:rPr>
        <w:t xml:space="preserve">National Greenhouse and Energy Reporting </w:t>
      </w:r>
      <w:r w:rsidR="00DE6BBB">
        <w:rPr>
          <w:i/>
          <w:szCs w:val="24"/>
        </w:rPr>
        <w:t xml:space="preserve">Legislation </w:t>
      </w:r>
      <w:r w:rsidRPr="00E17589">
        <w:rPr>
          <w:i/>
          <w:szCs w:val="24"/>
        </w:rPr>
        <w:t xml:space="preserve">Amendment </w:t>
      </w:r>
      <w:r w:rsidR="0066566F">
        <w:rPr>
          <w:i/>
          <w:szCs w:val="24"/>
        </w:rPr>
        <w:br/>
      </w:r>
      <w:r w:rsidRPr="00E17589">
        <w:rPr>
          <w:i/>
          <w:szCs w:val="24"/>
        </w:rPr>
        <w:t xml:space="preserve">(Best Practice Emissions Intensities Update) </w:t>
      </w:r>
      <w:r w:rsidR="00856758">
        <w:rPr>
          <w:i/>
          <w:szCs w:val="24"/>
        </w:rPr>
        <w:t>Instrument</w:t>
      </w:r>
      <w:r w:rsidR="00856758" w:rsidRPr="00E17589">
        <w:rPr>
          <w:i/>
          <w:szCs w:val="24"/>
        </w:rPr>
        <w:t xml:space="preserve"> </w:t>
      </w:r>
      <w:r w:rsidRPr="00E17589">
        <w:rPr>
          <w:i/>
          <w:szCs w:val="24"/>
        </w:rPr>
        <w:t>2024</w:t>
      </w:r>
    </w:p>
    <w:p w14:paraId="06B6F6B5" w14:textId="5110AD5D" w:rsidR="005632C1" w:rsidRPr="006118FF" w:rsidRDefault="006118FF" w:rsidP="006118FF">
      <w:pPr>
        <w:pStyle w:val="Heading2"/>
      </w:pPr>
      <w:bookmarkStart w:id="0" w:name="_Toc119504826"/>
      <w:bookmarkStart w:id="1" w:name="_Toc119506513"/>
      <w:bookmarkStart w:id="2" w:name="_Toc119514996"/>
      <w:bookmarkStart w:id="3" w:name="_Toc119074120"/>
      <w:bookmarkStart w:id="4" w:name="_Toc23942238"/>
      <w:bookmarkStart w:id="5" w:name="_Toc34293358"/>
      <w:r>
        <w:t>Background</w:t>
      </w:r>
    </w:p>
    <w:p w14:paraId="6DFDD84F" w14:textId="3B69869A" w:rsidR="0078680B" w:rsidRPr="003C74B2" w:rsidRDefault="003859ED" w:rsidP="00775DDC">
      <w:pPr>
        <w:rPr>
          <w:iCs/>
        </w:rPr>
      </w:pPr>
      <w:r>
        <w:t xml:space="preserve">The </w:t>
      </w:r>
      <w:r w:rsidRPr="003859ED">
        <w:rPr>
          <w:i/>
        </w:rPr>
        <w:t>National Greenhouse and Energy Reporting Legislation Amendment (Best Practice Emissions Intensities Update) Instrument 2024</w:t>
      </w:r>
      <w:r>
        <w:rPr>
          <w:iCs/>
        </w:rPr>
        <w:t xml:space="preserve"> (the Amendment Instrument) updates the </w:t>
      </w:r>
      <w:r w:rsidRPr="006C7B72">
        <w:rPr>
          <w:i/>
          <w:iCs/>
        </w:rPr>
        <w:t>National Greenhouse and Energy Reporting (Safeguard Mechanism) Rule 2015 </w:t>
      </w:r>
      <w:r w:rsidRPr="00775DDC">
        <w:t>(the Safeguard Rules)</w:t>
      </w:r>
      <w:r>
        <w:t xml:space="preserve"> and the</w:t>
      </w:r>
      <w:r w:rsidR="003C74B2">
        <w:t xml:space="preserve"> </w:t>
      </w:r>
      <w:r w:rsidR="003C74B2" w:rsidRPr="003C74B2">
        <w:rPr>
          <w:i/>
          <w:iCs/>
        </w:rPr>
        <w:t>National Greenhouse and Energy Reporting (Measurement) Determination 2008</w:t>
      </w:r>
      <w:r w:rsidR="003C74B2" w:rsidRPr="003C74B2">
        <w:t xml:space="preserve"> (the Measurement Determination).</w:t>
      </w:r>
    </w:p>
    <w:p w14:paraId="5C7E015E" w14:textId="76465CD1" w:rsidR="006118FF" w:rsidRDefault="00775DDC" w:rsidP="00775DDC">
      <w:r w:rsidRPr="00775DDC">
        <w:t>The </w:t>
      </w:r>
      <w:r w:rsidRPr="00775DDC">
        <w:rPr>
          <w:i/>
          <w:iCs/>
        </w:rPr>
        <w:t>National Greenhouse and Energy Reporting Act 2007</w:t>
      </w:r>
      <w:r w:rsidRPr="00775DDC">
        <w:t> (the NGER Act</w:t>
      </w:r>
      <w:r w:rsidRPr="006C7B72">
        <w:t>),</w:t>
      </w:r>
      <w:r w:rsidRPr="00775DDC">
        <w:rPr>
          <w:i/>
          <w:iCs/>
        </w:rPr>
        <w:t> National Greenhouse and Energy Reporting Regulations 2008</w:t>
      </w:r>
      <w:r w:rsidRPr="00775DDC">
        <w:t> and the Safeguard Rules, alongside the </w:t>
      </w:r>
      <w:r w:rsidRPr="006C7B72">
        <w:rPr>
          <w:i/>
          <w:iCs/>
        </w:rPr>
        <w:t>Carbon Credits (Carbon Farming Initiative) Rule 2015</w:t>
      </w:r>
      <w:r w:rsidRPr="00775DDC">
        <w:t> (CFI Rule) and the </w:t>
      </w:r>
      <w:r w:rsidRPr="006C7B72">
        <w:rPr>
          <w:i/>
          <w:iCs/>
        </w:rPr>
        <w:t>Australian National Registry of Emissions Units Regulations 2011</w:t>
      </w:r>
      <w:r w:rsidRPr="00775DDC">
        <w:t>, provide the legislative framework for the Safeguard Mechanism.</w:t>
      </w:r>
    </w:p>
    <w:p w14:paraId="486E53DC" w14:textId="2B31D4C8" w:rsidR="00EE7B0E" w:rsidRPr="00093E54" w:rsidRDefault="00EE7B0E" w:rsidP="00EE7B0E">
      <w:pPr>
        <w:rPr>
          <w:rStyle w:val="ui-provider"/>
          <w:i/>
          <w:iCs/>
        </w:rPr>
      </w:pPr>
      <w:r w:rsidRPr="00093E54">
        <w:rPr>
          <w:rStyle w:val="ui-provider"/>
          <w:i/>
          <w:iCs/>
        </w:rPr>
        <w:t xml:space="preserve">Overview of the </w:t>
      </w:r>
      <w:r>
        <w:rPr>
          <w:rStyle w:val="ui-provider"/>
          <w:i/>
          <w:iCs/>
        </w:rPr>
        <w:t>Safeguard Mechanism</w:t>
      </w:r>
    </w:p>
    <w:p w14:paraId="642531B4" w14:textId="5BB13199" w:rsidR="00BC2EC7" w:rsidRPr="00A25C38" w:rsidRDefault="00A25C38" w:rsidP="00A25C38">
      <w:r w:rsidRPr="00A25C38">
        <w:t xml:space="preserve">The Safeguard Mechanism is the Australian Government’s policy for reducing emissions at Australia’s largest industrial facilities. It limits the net emissions of certain facilities—those that produce more than 100,000 tonnes of covered emissions each year. The Safeguard Mechanism commenced in 2016. It was reformed in 2023 to ensure that covered facilities contribute to meeting Australia’s emission reduction targets, while strengthening their competitiveness as the world moves to net zero. </w:t>
      </w:r>
    </w:p>
    <w:p w14:paraId="77ECB294" w14:textId="77777777" w:rsidR="00E236CC" w:rsidRDefault="00A25C38" w:rsidP="00E236CC">
      <w:r w:rsidRPr="00A25C38">
        <w:t xml:space="preserve">The </w:t>
      </w:r>
      <w:r w:rsidRPr="00A25C38">
        <w:rPr>
          <w:i/>
        </w:rPr>
        <w:t xml:space="preserve">Safeguard Mechanism (Crediting) Amendment Bill 2023 </w:t>
      </w:r>
      <w:r w:rsidRPr="00A25C38">
        <w:t>was passed on 30 March 2023. It amended the NGER Act and other legislation, to establish the framework to give effect to key elements of the Australian Government’s reforms, such as introducing credits to the scheme to provide an incentive to facilities to go beyond their baselines. Much of the detail of the Safeguard Mechanism is set out in legislative rules, primarily the Safeguard Rules. The reformed Safeguard Mechanism commenced on 1 July 2023.</w:t>
      </w:r>
      <w:r w:rsidR="00E236CC">
        <w:t xml:space="preserve"> </w:t>
      </w:r>
    </w:p>
    <w:p w14:paraId="79FBFDD3" w14:textId="77777777" w:rsidR="001E3A83" w:rsidRDefault="001E3A83" w:rsidP="001E3A83">
      <w:r w:rsidRPr="00A25C38">
        <w:t>The Safeguard Mechanism sets emissions limits —known as baselines—on the greenhouse gas emissions of those facilities. These baselines will decline gradually, on a trajectory consistent with achieving Australia’s emission reduction targets of 43 per cent below 2005 levels by 2030 and net zero by 2050. The Safeguard Rules provide detail on the calculation of those baselines, which includes the use of production variables and default emissions intensity numbers. Baselines are production-adjusted, meaning that they increase and decrease as a facility’s production varies.</w:t>
      </w:r>
    </w:p>
    <w:p w14:paraId="56F9F630" w14:textId="77777777" w:rsidR="00FF2988" w:rsidRDefault="001E3A83" w:rsidP="00E236CC">
      <w:r w:rsidRPr="00A25C38">
        <w:lastRenderedPageBreak/>
        <w:t xml:space="preserve">Production variables and emissions intensity numbers have been part of the Safeguard Mechanism since its inception in 2016. Production variables generally represent the output of a facility (e.g. tonnes of aluminium). Default emissions intensities are set at an industry average level. </w:t>
      </w:r>
    </w:p>
    <w:p w14:paraId="41D9EE59" w14:textId="7336AB20" w:rsidR="00B3774B" w:rsidRDefault="008A4BDB" w:rsidP="00E236CC">
      <w:pPr>
        <w:rPr>
          <w:rStyle w:val="ui-provider"/>
        </w:rPr>
      </w:pPr>
      <w:r>
        <w:rPr>
          <w:rStyle w:val="ui-provider"/>
        </w:rPr>
        <w:t xml:space="preserve">The Australian Government conducted a review of production variables </w:t>
      </w:r>
      <w:r w:rsidR="00195F42">
        <w:rPr>
          <w:rStyle w:val="ui-provider"/>
        </w:rPr>
        <w:t xml:space="preserve">to </w:t>
      </w:r>
      <w:r>
        <w:rPr>
          <w:szCs w:val="24"/>
        </w:rPr>
        <w:t>help to ensure that a comprehensive set of suitable production variables are in place for setting Safeguard Mechanism baselines and that production variable definitions support incentives for decarbonisation.</w:t>
      </w:r>
      <w:r w:rsidR="00FF2988">
        <w:rPr>
          <w:rStyle w:val="ui-provider"/>
        </w:rPr>
        <w:t xml:space="preserve"> The review resulted in u</w:t>
      </w:r>
      <w:r w:rsidR="00E236CC">
        <w:rPr>
          <w:rStyle w:val="ui-provider"/>
        </w:rPr>
        <w:t xml:space="preserve">pdates to production variables </w:t>
      </w:r>
      <w:r w:rsidR="00577BB0">
        <w:rPr>
          <w:rStyle w:val="ui-provider"/>
        </w:rPr>
        <w:t xml:space="preserve">and </w:t>
      </w:r>
      <w:r w:rsidR="00577BB0" w:rsidRPr="00A25C38">
        <w:t>certain default emissions intensities</w:t>
      </w:r>
      <w:r w:rsidR="00577BB0">
        <w:rPr>
          <w:rStyle w:val="ui-provider"/>
        </w:rPr>
        <w:t xml:space="preserve"> </w:t>
      </w:r>
      <w:r w:rsidR="00FF2988">
        <w:rPr>
          <w:rStyle w:val="ui-provider"/>
        </w:rPr>
        <w:t xml:space="preserve">that </w:t>
      </w:r>
      <w:r w:rsidR="00E236CC">
        <w:rPr>
          <w:rStyle w:val="ui-provider"/>
        </w:rPr>
        <w:t xml:space="preserve">came into effect on 7 October 2023 and </w:t>
      </w:r>
      <w:r w:rsidR="00E236CC" w:rsidRPr="00885E09">
        <w:rPr>
          <w:rStyle w:val="ui-provider"/>
        </w:rPr>
        <w:t>26</w:t>
      </w:r>
      <w:r w:rsidR="00E236CC">
        <w:rPr>
          <w:rStyle w:val="ui-provider"/>
        </w:rPr>
        <w:t xml:space="preserve"> April 2024.  </w:t>
      </w:r>
    </w:p>
    <w:p w14:paraId="7675B7DF" w14:textId="3E158D8D" w:rsidR="00E24CFA" w:rsidRDefault="00E236CC" w:rsidP="00E236CC">
      <w:pPr>
        <w:rPr>
          <w:rStyle w:val="ui-provider"/>
        </w:rPr>
      </w:pPr>
      <w:r>
        <w:rPr>
          <w:rStyle w:val="ui-provider"/>
        </w:rPr>
        <w:t>The update on 26 April 2024 also set the first tranche of international best practice benchmarks (referred to as ‘benchmarks’ or ‘best practice EI’), which were foreshadowed during the reform process.</w:t>
      </w:r>
      <w:r w:rsidR="00E65986">
        <w:rPr>
          <w:rStyle w:val="ui-provider"/>
        </w:rPr>
        <w:t xml:space="preserve"> I</w:t>
      </w:r>
      <w:r w:rsidR="00E65986" w:rsidRPr="00E65986">
        <w:rPr>
          <w:rStyle w:val="ui-provider"/>
        </w:rPr>
        <w:t xml:space="preserve">nternational best practice benchmarks </w:t>
      </w:r>
      <w:r w:rsidR="004A7751">
        <w:rPr>
          <w:rStyle w:val="ui-provider"/>
        </w:rPr>
        <w:t xml:space="preserve">specify </w:t>
      </w:r>
      <w:r w:rsidR="000C08D1">
        <w:rPr>
          <w:rStyle w:val="ui-provider"/>
        </w:rPr>
        <w:t>emissions intensities for</w:t>
      </w:r>
      <w:r w:rsidR="00E65986" w:rsidRPr="00E65986">
        <w:rPr>
          <w:rStyle w:val="ui-provider"/>
        </w:rPr>
        <w:t xml:space="preserve"> use by new facilities and facilities producing new products</w:t>
      </w:r>
      <w:r w:rsidR="001A2A9C">
        <w:rPr>
          <w:rStyle w:val="ui-provider"/>
        </w:rPr>
        <w:t xml:space="preserve"> when setting </w:t>
      </w:r>
      <w:r w:rsidR="00CC3376">
        <w:rPr>
          <w:rStyle w:val="ui-provider"/>
        </w:rPr>
        <w:t>baselines</w:t>
      </w:r>
      <w:r w:rsidR="000C08D1">
        <w:rPr>
          <w:rStyle w:val="ui-provider"/>
        </w:rPr>
        <w:t>.</w:t>
      </w:r>
    </w:p>
    <w:p w14:paraId="5E938091" w14:textId="77777777" w:rsidR="00E37FD1" w:rsidRPr="00093E54" w:rsidRDefault="00E37FD1" w:rsidP="00E37FD1">
      <w:pPr>
        <w:rPr>
          <w:rStyle w:val="ui-provider"/>
          <w:i/>
          <w:iCs/>
        </w:rPr>
      </w:pPr>
      <w:r w:rsidRPr="00093E54">
        <w:rPr>
          <w:rStyle w:val="ui-provider"/>
          <w:i/>
          <w:iCs/>
        </w:rPr>
        <w:t>Overview of the Measurement Determination</w:t>
      </w:r>
    </w:p>
    <w:p w14:paraId="393B3DB0" w14:textId="72F529A4" w:rsidR="394B1798" w:rsidRDefault="00BA0198" w:rsidP="613C0CCE">
      <w:pPr>
        <w:rPr>
          <w:rStyle w:val="ui-provider"/>
        </w:rPr>
      </w:pPr>
      <w:r w:rsidRPr="613C0CCE">
        <w:rPr>
          <w:rStyle w:val="ui-provider"/>
        </w:rPr>
        <w:t>The National Greenhouse and Energy Reporting scheme</w:t>
      </w:r>
      <w:r w:rsidR="000B626C">
        <w:rPr>
          <w:rStyle w:val="ui-provider"/>
        </w:rPr>
        <w:t xml:space="preserve"> </w:t>
      </w:r>
      <w:r w:rsidR="000B626C" w:rsidRPr="613C0CCE">
        <w:rPr>
          <w:rStyle w:val="ui-provider"/>
        </w:rPr>
        <w:t>(NGER</w:t>
      </w:r>
      <w:r w:rsidR="000B626C">
        <w:rPr>
          <w:rStyle w:val="ui-provider"/>
        </w:rPr>
        <w:t xml:space="preserve"> scheme</w:t>
      </w:r>
      <w:r w:rsidR="000B626C" w:rsidRPr="613C0CCE">
        <w:rPr>
          <w:rStyle w:val="ui-provider"/>
        </w:rPr>
        <w:t>)</w:t>
      </w:r>
      <w:r w:rsidRPr="613C0CCE">
        <w:rPr>
          <w:rStyle w:val="ui-provider"/>
        </w:rPr>
        <w:t xml:space="preserve"> is Australia’s national system for reporting greenhouse gas emissions, energy consumption and energy production by Australian </w:t>
      </w:r>
      <w:r w:rsidR="394B1798" w:rsidRPr="613C0CCE">
        <w:rPr>
          <w:rStyle w:val="ui-provider"/>
        </w:rPr>
        <w:t>corporations.</w:t>
      </w:r>
      <w:r w:rsidR="00E37FD1">
        <w:rPr>
          <w:rStyle w:val="ui-provider"/>
        </w:rPr>
        <w:t xml:space="preserve"> </w:t>
      </w:r>
      <w:r w:rsidR="394B1798" w:rsidRPr="613C0CCE">
        <w:rPr>
          <w:rStyle w:val="ui-provider"/>
        </w:rPr>
        <w:t>The NGER scheme is a key data source which supports Australia’s international and domestic reporting obligations and informs domestic climate and energy policies.</w:t>
      </w:r>
      <w:r w:rsidR="17254432" w:rsidRPr="613C0CCE">
        <w:rPr>
          <w:rStyle w:val="ui-provider"/>
        </w:rPr>
        <w:t xml:space="preserve"> Emissions reported under the NGER scheme underpin the operation of the Safeguard Mechanism.</w:t>
      </w:r>
    </w:p>
    <w:p w14:paraId="0D00CD50" w14:textId="27D4C131" w:rsidR="17254432" w:rsidRDefault="17254432" w:rsidP="613C0CCE">
      <w:pPr>
        <w:rPr>
          <w:rStyle w:val="ui-provider"/>
        </w:rPr>
      </w:pPr>
      <w:r w:rsidRPr="613C0CCE">
        <w:rPr>
          <w:rStyle w:val="ui-provider"/>
        </w:rPr>
        <w:t>The NGER scheme legislation includes the</w:t>
      </w:r>
      <w:r w:rsidR="006754FA">
        <w:rPr>
          <w:rStyle w:val="ui-provider"/>
        </w:rPr>
        <w:t xml:space="preserve"> NGER Act</w:t>
      </w:r>
      <w:r w:rsidR="00E8706C">
        <w:rPr>
          <w:rStyle w:val="ui-provider"/>
        </w:rPr>
        <w:t xml:space="preserve">; the </w:t>
      </w:r>
      <w:r w:rsidR="00E8706C" w:rsidRPr="002412E8">
        <w:rPr>
          <w:rStyle w:val="ui-provider"/>
          <w:i/>
          <w:iCs/>
        </w:rPr>
        <w:t>National Greenhouse and Energy Reporting Regulations 2008</w:t>
      </w:r>
      <w:r w:rsidR="00E8706C">
        <w:rPr>
          <w:rStyle w:val="ui-provider"/>
        </w:rPr>
        <w:t xml:space="preserve">; and </w:t>
      </w:r>
      <w:r w:rsidR="00E8706C" w:rsidRPr="002412E8">
        <w:rPr>
          <w:rStyle w:val="ui-provider"/>
        </w:rPr>
        <w:t>the Measurement Determination</w:t>
      </w:r>
      <w:r w:rsidR="00E8706C">
        <w:rPr>
          <w:rStyle w:val="ui-provider"/>
        </w:rPr>
        <w:t>.</w:t>
      </w:r>
      <w:r w:rsidR="00764E67">
        <w:rPr>
          <w:rStyle w:val="ui-provider"/>
        </w:rPr>
        <w:t xml:space="preserve"> </w:t>
      </w:r>
      <w:r w:rsidR="00764E67" w:rsidRPr="613C0CCE">
        <w:rPr>
          <w:rStyle w:val="ui-provider"/>
        </w:rPr>
        <w:t>It provides the technical detail of the methods for the estimation of greenhouse gas emissions and the production and consumption of energy within the NGER scheme.</w:t>
      </w:r>
    </w:p>
    <w:p w14:paraId="525D36F9" w14:textId="77777777" w:rsidR="00052A90" w:rsidRDefault="00052A90" w:rsidP="00052A90">
      <w:pPr>
        <w:pStyle w:val="Heading2"/>
      </w:pPr>
      <w:r>
        <w:t xml:space="preserve">Purpose </w:t>
      </w:r>
    </w:p>
    <w:p w14:paraId="5D12C05A" w14:textId="61843236" w:rsidR="00052A90" w:rsidRDefault="00052A90" w:rsidP="00052A90">
      <w:pPr>
        <w:rPr>
          <w:szCs w:val="24"/>
        </w:rPr>
      </w:pPr>
      <w:r>
        <w:rPr>
          <w:szCs w:val="24"/>
        </w:rPr>
        <w:t xml:space="preserve">The Government’s reforms to the Safeguard Mechanism will reduce emissions at Australia’s largest industrial facilities and maintain their international competitiveness as the world decarbonises. Aligned with this, the Amendment </w:t>
      </w:r>
      <w:r w:rsidR="00FE07EF">
        <w:rPr>
          <w:szCs w:val="24"/>
        </w:rPr>
        <w:t>Instrument</w:t>
      </w:r>
      <w:r w:rsidR="00F214AD">
        <w:rPr>
          <w:rFonts w:eastAsia="Times New Roman"/>
          <w:color w:val="000000"/>
          <w:szCs w:val="24"/>
          <w:lang w:eastAsia="en-AU"/>
        </w:rPr>
        <w:t xml:space="preserve"> </w:t>
      </w:r>
      <w:r>
        <w:rPr>
          <w:rFonts w:eastAsia="Times New Roman"/>
          <w:color w:val="000000"/>
          <w:szCs w:val="24"/>
          <w:lang w:eastAsia="en-AU"/>
        </w:rPr>
        <w:t>amend</w:t>
      </w:r>
      <w:r w:rsidR="00D21A78">
        <w:rPr>
          <w:rFonts w:eastAsia="Times New Roman"/>
          <w:color w:val="000000"/>
          <w:szCs w:val="24"/>
          <w:lang w:eastAsia="en-AU"/>
        </w:rPr>
        <w:t>s</w:t>
      </w:r>
      <w:r>
        <w:rPr>
          <w:rFonts w:eastAsia="Times New Roman"/>
          <w:color w:val="000000"/>
          <w:szCs w:val="24"/>
          <w:lang w:eastAsia="en-AU"/>
        </w:rPr>
        <w:t xml:space="preserve"> the Safeguard Rules</w:t>
      </w:r>
      <w:r>
        <w:rPr>
          <w:rFonts w:eastAsia="Times New Roman"/>
          <w:i/>
          <w:iCs/>
          <w:color w:val="000000"/>
          <w:szCs w:val="24"/>
          <w:lang w:eastAsia="en-AU"/>
        </w:rPr>
        <w:t xml:space="preserve"> </w:t>
      </w:r>
      <w:r>
        <w:rPr>
          <w:rFonts w:eastAsia="Times New Roman"/>
          <w:color w:val="000000"/>
          <w:szCs w:val="24"/>
          <w:lang w:eastAsia="en-AU"/>
        </w:rPr>
        <w:t>to</w:t>
      </w:r>
      <w:r>
        <w:rPr>
          <w:szCs w:val="24"/>
        </w:rPr>
        <w:t>:</w:t>
      </w:r>
    </w:p>
    <w:p w14:paraId="3FE75122" w14:textId="77777777" w:rsidR="004F60C8" w:rsidRDefault="004F60C8" w:rsidP="00B13A5D">
      <w:pPr>
        <w:pStyle w:val="ListParagraph"/>
        <w:numPr>
          <w:ilvl w:val="0"/>
          <w:numId w:val="3"/>
        </w:numPr>
        <w:shd w:val="clear" w:color="auto" w:fill="FFFFFF"/>
        <w:spacing w:after="120"/>
        <w:contextualSpacing w:val="0"/>
        <w:rPr>
          <w:rFonts w:eastAsia="Times New Roman"/>
          <w:color w:val="000000"/>
          <w:szCs w:val="24"/>
          <w:lang w:eastAsia="en-AU"/>
        </w:rPr>
      </w:pPr>
      <w:r>
        <w:rPr>
          <w:rFonts w:eastAsia="Times New Roman"/>
          <w:color w:val="000000"/>
          <w:szCs w:val="24"/>
          <w:lang w:eastAsia="en-AU"/>
        </w:rPr>
        <w:t xml:space="preserve">insert best practice emissions intensity numbers for certain production </w:t>
      </w:r>
      <w:proofErr w:type="gramStart"/>
      <w:r>
        <w:rPr>
          <w:rFonts w:eastAsia="Times New Roman"/>
          <w:color w:val="000000"/>
          <w:szCs w:val="24"/>
          <w:lang w:eastAsia="en-AU"/>
        </w:rPr>
        <w:t>variables;</w:t>
      </w:r>
      <w:proofErr w:type="gramEnd"/>
    </w:p>
    <w:p w14:paraId="45C868CE" w14:textId="77777777" w:rsidR="00B91B52" w:rsidRDefault="00B91B52" w:rsidP="00B13A5D">
      <w:pPr>
        <w:pStyle w:val="ListParagraph"/>
        <w:numPr>
          <w:ilvl w:val="0"/>
          <w:numId w:val="3"/>
        </w:numPr>
        <w:shd w:val="clear" w:color="auto" w:fill="FFFFFF"/>
        <w:spacing w:after="120"/>
        <w:contextualSpacing w:val="0"/>
        <w:rPr>
          <w:rFonts w:eastAsia="Times New Roman"/>
          <w:color w:val="000000"/>
          <w:szCs w:val="24"/>
          <w:lang w:eastAsia="en-AU"/>
        </w:rPr>
      </w:pPr>
      <w:r>
        <w:rPr>
          <w:rFonts w:eastAsia="Times New Roman"/>
          <w:color w:val="000000"/>
          <w:szCs w:val="24"/>
          <w:lang w:eastAsia="en-AU"/>
        </w:rPr>
        <w:t xml:space="preserve">make changes to certain definitions for the purposes of changing the production </w:t>
      </w:r>
      <w:proofErr w:type="gramStart"/>
      <w:r>
        <w:rPr>
          <w:rFonts w:eastAsia="Times New Roman"/>
          <w:color w:val="000000"/>
          <w:szCs w:val="24"/>
          <w:lang w:eastAsia="en-AU"/>
        </w:rPr>
        <w:t>variables;</w:t>
      </w:r>
      <w:proofErr w:type="gramEnd"/>
    </w:p>
    <w:p w14:paraId="5FC2AC2C" w14:textId="712D3FC4" w:rsidR="001C30EA" w:rsidRDefault="001C30EA" w:rsidP="00B13A5D">
      <w:pPr>
        <w:pStyle w:val="ListParagraph"/>
        <w:numPr>
          <w:ilvl w:val="0"/>
          <w:numId w:val="3"/>
        </w:numPr>
        <w:shd w:val="clear" w:color="auto" w:fill="FFFFFF"/>
        <w:spacing w:after="120"/>
        <w:contextualSpacing w:val="0"/>
        <w:rPr>
          <w:rFonts w:eastAsia="Times New Roman"/>
          <w:color w:val="000000"/>
          <w:szCs w:val="24"/>
          <w:lang w:eastAsia="en-AU"/>
        </w:rPr>
      </w:pPr>
      <w:r>
        <w:rPr>
          <w:rFonts w:eastAsia="Times New Roman"/>
          <w:color w:val="000000"/>
          <w:szCs w:val="24"/>
          <w:lang w:eastAsia="en-AU"/>
        </w:rPr>
        <w:t xml:space="preserve">insert new production variables with specified </w:t>
      </w:r>
      <w:r w:rsidR="00670491">
        <w:rPr>
          <w:rFonts w:eastAsia="Times New Roman"/>
          <w:color w:val="000000"/>
          <w:szCs w:val="24"/>
          <w:lang w:eastAsia="en-AU"/>
        </w:rPr>
        <w:t xml:space="preserve">best practice </w:t>
      </w:r>
      <w:r>
        <w:rPr>
          <w:rFonts w:eastAsia="Times New Roman"/>
          <w:color w:val="000000"/>
          <w:szCs w:val="24"/>
          <w:lang w:eastAsia="en-AU"/>
        </w:rPr>
        <w:t xml:space="preserve">emissions intensity </w:t>
      </w:r>
      <w:proofErr w:type="gramStart"/>
      <w:r>
        <w:rPr>
          <w:rFonts w:eastAsia="Times New Roman"/>
          <w:color w:val="000000"/>
          <w:szCs w:val="24"/>
          <w:lang w:eastAsia="en-AU"/>
        </w:rPr>
        <w:t>numbers;</w:t>
      </w:r>
      <w:proofErr w:type="gramEnd"/>
    </w:p>
    <w:p w14:paraId="48B0A508" w14:textId="5A5D7559" w:rsidR="00B735ED" w:rsidRDefault="007A5D56" w:rsidP="00B13A5D">
      <w:pPr>
        <w:pStyle w:val="ListParagraph"/>
        <w:numPr>
          <w:ilvl w:val="0"/>
          <w:numId w:val="3"/>
        </w:numPr>
        <w:shd w:val="clear" w:color="auto" w:fill="FFFFFF"/>
        <w:spacing w:after="120"/>
        <w:contextualSpacing w:val="0"/>
        <w:rPr>
          <w:rFonts w:eastAsia="Times New Roman"/>
          <w:color w:val="000000"/>
          <w:szCs w:val="24"/>
          <w:lang w:eastAsia="en-AU"/>
        </w:rPr>
      </w:pPr>
      <w:r>
        <w:rPr>
          <w:rFonts w:eastAsia="Times New Roman"/>
          <w:color w:val="000000"/>
          <w:szCs w:val="24"/>
          <w:lang w:eastAsia="en-AU"/>
        </w:rPr>
        <w:t xml:space="preserve">insert </w:t>
      </w:r>
      <w:r w:rsidR="0077598F">
        <w:rPr>
          <w:rFonts w:eastAsia="Times New Roman"/>
          <w:color w:val="000000"/>
          <w:szCs w:val="24"/>
          <w:lang w:eastAsia="en-AU"/>
        </w:rPr>
        <w:t xml:space="preserve">one </w:t>
      </w:r>
      <w:r w:rsidR="00B735ED">
        <w:rPr>
          <w:rFonts w:eastAsia="Times New Roman"/>
          <w:color w:val="000000"/>
          <w:szCs w:val="24"/>
          <w:lang w:eastAsia="en-AU"/>
        </w:rPr>
        <w:t xml:space="preserve">default emissions intensity </w:t>
      </w:r>
      <w:proofErr w:type="gramStart"/>
      <w:r w:rsidR="00B735ED">
        <w:rPr>
          <w:rFonts w:eastAsia="Times New Roman"/>
          <w:color w:val="000000"/>
          <w:szCs w:val="24"/>
          <w:lang w:eastAsia="en-AU"/>
        </w:rPr>
        <w:t>number;</w:t>
      </w:r>
      <w:proofErr w:type="gramEnd"/>
    </w:p>
    <w:p w14:paraId="79205CF2" w14:textId="04C810BC" w:rsidR="00D27D3F" w:rsidRDefault="00D27D3F" w:rsidP="00B13A5D">
      <w:pPr>
        <w:pStyle w:val="ListParagraph"/>
        <w:numPr>
          <w:ilvl w:val="0"/>
          <w:numId w:val="3"/>
        </w:numPr>
        <w:shd w:val="clear" w:color="auto" w:fill="FFFFFF"/>
        <w:spacing w:after="120"/>
        <w:contextualSpacing w:val="0"/>
        <w:rPr>
          <w:rFonts w:eastAsia="Times New Roman"/>
          <w:color w:val="000000"/>
          <w:szCs w:val="24"/>
          <w:lang w:eastAsia="en-AU"/>
        </w:rPr>
      </w:pPr>
      <w:r w:rsidRPr="00D27D3F">
        <w:rPr>
          <w:szCs w:val="24"/>
        </w:rPr>
        <w:t>introduce new publishing</w:t>
      </w:r>
      <w:r w:rsidRPr="004D2E87">
        <w:rPr>
          <w:rFonts w:eastAsia="Times New Roman"/>
          <w:color w:val="000000"/>
          <w:szCs w:val="24"/>
          <w:lang w:eastAsia="en-AU"/>
        </w:rPr>
        <w:t xml:space="preserve"> </w:t>
      </w:r>
      <w:r w:rsidRPr="00332E91">
        <w:rPr>
          <w:rFonts w:eastAsia="Times New Roman"/>
          <w:color w:val="000000"/>
          <w:szCs w:val="24"/>
          <w:lang w:eastAsia="en-AU"/>
        </w:rPr>
        <w:t>requirement</w:t>
      </w:r>
      <w:r>
        <w:rPr>
          <w:rFonts w:eastAsia="Times New Roman"/>
          <w:color w:val="000000"/>
          <w:szCs w:val="24"/>
          <w:lang w:eastAsia="en-AU"/>
        </w:rPr>
        <w:t>s</w:t>
      </w:r>
      <w:r w:rsidRPr="00332E91">
        <w:rPr>
          <w:rFonts w:eastAsia="Times New Roman"/>
          <w:color w:val="000000"/>
          <w:szCs w:val="24"/>
          <w:lang w:eastAsia="en-AU"/>
        </w:rPr>
        <w:t xml:space="preserve"> for the Clear Energy Regulator to </w:t>
      </w:r>
      <w:r>
        <w:rPr>
          <w:rFonts w:eastAsia="Times New Roman"/>
          <w:color w:val="000000"/>
          <w:szCs w:val="24"/>
          <w:lang w:eastAsia="en-AU"/>
        </w:rPr>
        <w:t xml:space="preserve">increase </w:t>
      </w:r>
      <w:proofErr w:type="gramStart"/>
      <w:r>
        <w:rPr>
          <w:rFonts w:eastAsia="Times New Roman"/>
          <w:color w:val="000000"/>
          <w:szCs w:val="24"/>
          <w:lang w:eastAsia="en-AU"/>
        </w:rPr>
        <w:t>transparency;</w:t>
      </w:r>
      <w:proofErr w:type="gramEnd"/>
    </w:p>
    <w:p w14:paraId="1CA3BE8D" w14:textId="0BCA530E" w:rsidR="00B3760F" w:rsidRDefault="00B3760F" w:rsidP="00B13A5D">
      <w:pPr>
        <w:pStyle w:val="ListParagraph"/>
        <w:numPr>
          <w:ilvl w:val="0"/>
          <w:numId w:val="3"/>
        </w:numPr>
        <w:shd w:val="clear" w:color="auto" w:fill="FFFFFF"/>
        <w:spacing w:after="120"/>
        <w:contextualSpacing w:val="0"/>
        <w:rPr>
          <w:rFonts w:eastAsia="Times New Roman"/>
          <w:color w:val="000000"/>
          <w:szCs w:val="24"/>
          <w:lang w:eastAsia="en-AU"/>
        </w:rPr>
      </w:pPr>
      <w:r>
        <w:rPr>
          <w:rFonts w:eastAsia="Times New Roman"/>
          <w:color w:val="000000"/>
          <w:szCs w:val="24"/>
          <w:lang w:eastAsia="en-AU"/>
        </w:rPr>
        <w:lastRenderedPageBreak/>
        <w:t>make technical amendments to the Safeguard Rules to help ensure the policy outcomes of the Safeguard reforms are achieved.</w:t>
      </w:r>
    </w:p>
    <w:p w14:paraId="3E34E017" w14:textId="4039E5DC" w:rsidR="00C25828" w:rsidRPr="00673B96" w:rsidRDefault="0029281D" w:rsidP="00A23FF8">
      <w:pPr>
        <w:rPr>
          <w:lang w:eastAsia="en-AU"/>
        </w:rPr>
      </w:pPr>
      <w:r>
        <w:rPr>
          <w:rFonts w:eastAsia="Times New Roman"/>
          <w:color w:val="000000" w:themeColor="text1"/>
          <w:lang w:eastAsia="en-AU"/>
        </w:rPr>
        <w:t xml:space="preserve">The Amendment Instrument also makes some updates to the Measurement Determination that were not included in the </w:t>
      </w:r>
      <w:bookmarkStart w:id="6" w:name="_Hlk163745196"/>
      <w:r w:rsidRPr="00BA3DC0">
        <w:rPr>
          <w:i/>
          <w:iCs/>
        </w:rPr>
        <w:t>National Greenhouse and Energy Reporting (Measurement) Amendment (2024 Update) Determination 2024</w:t>
      </w:r>
      <w:r>
        <w:t>.</w:t>
      </w:r>
      <w:r w:rsidR="005C3524">
        <w:t xml:space="preserve"> These updates </w:t>
      </w:r>
      <w:r w:rsidR="003F0E10">
        <w:t>amend</w:t>
      </w:r>
      <w:r w:rsidR="005C3524">
        <w:t xml:space="preserve"> an equation related</w:t>
      </w:r>
      <w:r w:rsidR="00D608D4">
        <w:t xml:space="preserve"> </w:t>
      </w:r>
      <w:r w:rsidR="009065A3">
        <w:t xml:space="preserve">to </w:t>
      </w:r>
      <w:r w:rsidR="00D608D4">
        <w:t xml:space="preserve">methane emissions from landfills </w:t>
      </w:r>
      <w:r w:rsidR="009065A3">
        <w:t xml:space="preserve">and </w:t>
      </w:r>
      <w:r w:rsidR="003F0E10">
        <w:t>update</w:t>
      </w:r>
      <w:r w:rsidR="00914689">
        <w:t xml:space="preserve"> some </w:t>
      </w:r>
      <w:r w:rsidR="004340B2">
        <w:t xml:space="preserve">location-based </w:t>
      </w:r>
      <w:r w:rsidR="00914689">
        <w:t xml:space="preserve">factors related to </w:t>
      </w:r>
      <w:bookmarkEnd w:id="6"/>
      <w:r w:rsidR="00914689">
        <w:t xml:space="preserve">the </w:t>
      </w:r>
      <w:r w:rsidR="1078657E" w:rsidRPr="613C0CCE">
        <w:rPr>
          <w:rFonts w:eastAsia="Times New Roman"/>
          <w:color w:val="000000" w:themeColor="text1"/>
          <w:lang w:eastAsia="en-AU"/>
        </w:rPr>
        <w:t>estimation of scope</w:t>
      </w:r>
      <w:r w:rsidR="00DF5101">
        <w:rPr>
          <w:rFonts w:eastAsia="Times New Roman"/>
          <w:color w:val="000000" w:themeColor="text1"/>
          <w:lang w:eastAsia="en-AU"/>
        </w:rPr>
        <w:t> </w:t>
      </w:r>
      <w:r w:rsidR="1078657E" w:rsidRPr="613C0CCE">
        <w:rPr>
          <w:rFonts w:eastAsia="Times New Roman"/>
          <w:color w:val="000000" w:themeColor="text1"/>
          <w:lang w:eastAsia="en-AU"/>
        </w:rPr>
        <w:t>2 emissions</w:t>
      </w:r>
      <w:r w:rsidR="49852C64" w:rsidRPr="613C0CCE">
        <w:rPr>
          <w:rFonts w:eastAsia="Times New Roman"/>
          <w:color w:val="000000" w:themeColor="text1"/>
          <w:lang w:eastAsia="en-AU"/>
        </w:rPr>
        <w:t xml:space="preserve"> from the consumption of purchased or acquired electricity</w:t>
      </w:r>
      <w:r w:rsidR="51512C38" w:rsidRPr="613C0CCE">
        <w:rPr>
          <w:rFonts w:eastAsia="Times New Roman"/>
          <w:color w:val="000000" w:themeColor="text1"/>
          <w:lang w:eastAsia="en-AU"/>
        </w:rPr>
        <w:t>.</w:t>
      </w:r>
    </w:p>
    <w:bookmarkEnd w:id="0"/>
    <w:bookmarkEnd w:id="1"/>
    <w:bookmarkEnd w:id="2"/>
    <w:bookmarkEnd w:id="3"/>
    <w:bookmarkEnd w:id="4"/>
    <w:bookmarkEnd w:id="5"/>
    <w:p w14:paraId="2726AD47" w14:textId="77777777" w:rsidR="006118FF" w:rsidRPr="00257334" w:rsidRDefault="006118FF" w:rsidP="006118FF">
      <w:pPr>
        <w:pStyle w:val="Heading2"/>
      </w:pPr>
      <w:r>
        <w:t xml:space="preserve">Legislative </w:t>
      </w:r>
      <w:r w:rsidRPr="00A375E0">
        <w:t>Authority</w:t>
      </w:r>
      <w:r>
        <w:t xml:space="preserve"> </w:t>
      </w:r>
    </w:p>
    <w:p w14:paraId="11D2337E" w14:textId="4F9CCD08" w:rsidR="006118FF" w:rsidRPr="003E2CB8" w:rsidRDefault="006118FF" w:rsidP="006118FF">
      <w:pPr>
        <w:rPr>
          <w:rFonts w:eastAsia="Times New Roman"/>
          <w:color w:val="000000"/>
          <w:szCs w:val="24"/>
          <w:lang w:eastAsia="en-AU"/>
        </w:rPr>
      </w:pPr>
      <w:r w:rsidRPr="00BF4876">
        <w:rPr>
          <w:szCs w:val="24"/>
        </w:rPr>
        <w:t>Th</w:t>
      </w:r>
      <w:r>
        <w:rPr>
          <w:szCs w:val="24"/>
        </w:rPr>
        <w:t xml:space="preserve">e </w:t>
      </w:r>
      <w:r w:rsidR="00CF1453">
        <w:rPr>
          <w:szCs w:val="24"/>
        </w:rPr>
        <w:t xml:space="preserve">amendments to </w:t>
      </w:r>
      <w:r w:rsidR="00614530">
        <w:rPr>
          <w:szCs w:val="24"/>
        </w:rPr>
        <w:t>the Safeguard Rules</w:t>
      </w:r>
      <w:r w:rsidR="00CF1453">
        <w:rPr>
          <w:szCs w:val="24"/>
        </w:rPr>
        <w:t xml:space="preserve"> </w:t>
      </w:r>
      <w:r>
        <w:rPr>
          <w:szCs w:val="24"/>
        </w:rPr>
        <w:t>are</w:t>
      </w:r>
      <w:r w:rsidRPr="00CC1B67">
        <w:rPr>
          <w:rFonts w:eastAsia="Times New Roman"/>
          <w:color w:val="000000"/>
          <w:szCs w:val="24"/>
          <w:lang w:eastAsia="en-AU"/>
        </w:rPr>
        <w:t xml:space="preserve"> </w:t>
      </w:r>
      <w:r w:rsidRPr="00887837">
        <w:rPr>
          <w:szCs w:val="24"/>
        </w:rPr>
        <w:t>made under section 22XS of the</w:t>
      </w:r>
      <w:r>
        <w:rPr>
          <w:szCs w:val="24"/>
        </w:rPr>
        <w:t xml:space="preserve"> NGER </w:t>
      </w:r>
      <w:r w:rsidRPr="00887837">
        <w:rPr>
          <w:szCs w:val="24"/>
        </w:rPr>
        <w:t>Act.</w:t>
      </w:r>
      <w:r>
        <w:rPr>
          <w:szCs w:val="24"/>
        </w:rPr>
        <w:t xml:space="preserve"> S</w:t>
      </w:r>
      <w:r w:rsidRPr="00B22E52">
        <w:rPr>
          <w:szCs w:val="24"/>
        </w:rPr>
        <w:t xml:space="preserve">ection </w:t>
      </w:r>
      <w:r>
        <w:rPr>
          <w:szCs w:val="24"/>
        </w:rPr>
        <w:t>22XS</w:t>
      </w:r>
      <w:r w:rsidRPr="00D240BD">
        <w:rPr>
          <w:szCs w:val="24"/>
        </w:rPr>
        <w:t xml:space="preserve"> of </w:t>
      </w:r>
      <w:r>
        <w:rPr>
          <w:szCs w:val="24"/>
        </w:rPr>
        <w:t xml:space="preserve">allows </w:t>
      </w:r>
      <w:r w:rsidRPr="00B22E52">
        <w:rPr>
          <w:szCs w:val="24"/>
        </w:rPr>
        <w:t xml:space="preserve">the </w:t>
      </w:r>
      <w:r>
        <w:rPr>
          <w:szCs w:val="24"/>
        </w:rPr>
        <w:t>Minister</w:t>
      </w:r>
      <w:r w:rsidRPr="00B22E52">
        <w:rPr>
          <w:szCs w:val="24"/>
        </w:rPr>
        <w:t xml:space="preserve"> to</w:t>
      </w:r>
      <w:r w:rsidRPr="00A3174B">
        <w:rPr>
          <w:szCs w:val="24"/>
        </w:rPr>
        <w:t>, by legislative instrument</w:t>
      </w:r>
      <w:r>
        <w:rPr>
          <w:szCs w:val="24"/>
        </w:rPr>
        <w:t xml:space="preserve"> </w:t>
      </w:r>
      <w:r w:rsidRPr="004876DB">
        <w:rPr>
          <w:szCs w:val="24"/>
        </w:rPr>
        <w:t>(and subject to subsections (</w:t>
      </w:r>
      <w:r>
        <w:rPr>
          <w:szCs w:val="24"/>
        </w:rPr>
        <w:t>22XS(</w:t>
      </w:r>
      <w:r w:rsidRPr="004876DB">
        <w:rPr>
          <w:szCs w:val="24"/>
        </w:rPr>
        <w:t>1A) and (2)</w:t>
      </w:r>
      <w:r>
        <w:rPr>
          <w:szCs w:val="24"/>
        </w:rPr>
        <w:t>)</w:t>
      </w:r>
      <w:r w:rsidRPr="00A3174B">
        <w:rPr>
          <w:szCs w:val="24"/>
        </w:rPr>
        <w:t xml:space="preserve">, </w:t>
      </w:r>
      <w:r w:rsidRPr="004876DB">
        <w:rPr>
          <w:szCs w:val="24"/>
        </w:rPr>
        <w:t>make rules prescribing matters:</w:t>
      </w:r>
    </w:p>
    <w:p w14:paraId="480E332D" w14:textId="77777777" w:rsidR="006118FF" w:rsidRPr="00C24616" w:rsidRDefault="006118FF" w:rsidP="00B13A5D">
      <w:pPr>
        <w:pStyle w:val="ListParagraph"/>
        <w:numPr>
          <w:ilvl w:val="0"/>
          <w:numId w:val="3"/>
        </w:numPr>
        <w:shd w:val="clear" w:color="auto" w:fill="FFFFFF"/>
        <w:spacing w:after="120"/>
        <w:contextualSpacing w:val="0"/>
        <w:rPr>
          <w:rFonts w:eastAsia="Times New Roman"/>
          <w:color w:val="000000"/>
          <w:szCs w:val="24"/>
          <w:lang w:eastAsia="en-AU"/>
        </w:rPr>
      </w:pPr>
      <w:r w:rsidRPr="00C24616">
        <w:rPr>
          <w:rFonts w:eastAsia="Times New Roman"/>
          <w:color w:val="000000"/>
          <w:szCs w:val="24"/>
          <w:lang w:eastAsia="en-AU"/>
        </w:rPr>
        <w:t>required or permitted by the Act to be prescribed by the safeguard rules; or</w:t>
      </w:r>
    </w:p>
    <w:p w14:paraId="63CE2D59" w14:textId="77777777" w:rsidR="006118FF" w:rsidRDefault="006118FF" w:rsidP="00B13A5D">
      <w:pPr>
        <w:pStyle w:val="ListParagraph"/>
        <w:numPr>
          <w:ilvl w:val="0"/>
          <w:numId w:val="3"/>
        </w:numPr>
        <w:shd w:val="clear" w:color="auto" w:fill="FFFFFF"/>
        <w:contextualSpacing w:val="0"/>
        <w:rPr>
          <w:rFonts w:eastAsia="Times New Roman"/>
          <w:color w:val="000000"/>
          <w:szCs w:val="24"/>
          <w:lang w:eastAsia="en-AU"/>
        </w:rPr>
      </w:pPr>
      <w:r w:rsidRPr="00C24616">
        <w:rPr>
          <w:rFonts w:eastAsia="Times New Roman"/>
          <w:color w:val="000000"/>
          <w:szCs w:val="24"/>
          <w:lang w:eastAsia="en-AU"/>
        </w:rPr>
        <w:t>necessary or convenient to be prescribed for carrying out or giving effect to the safeguard provisions.</w:t>
      </w:r>
    </w:p>
    <w:p w14:paraId="20AB39CD" w14:textId="197A2ABA" w:rsidR="00F10C90" w:rsidRPr="00A23FF8" w:rsidRDefault="00F10C90" w:rsidP="00F84EDE">
      <w:pPr>
        <w:shd w:val="clear" w:color="auto" w:fill="FFFFFF"/>
        <w:rPr>
          <w:rFonts w:eastAsia="Times New Roman"/>
          <w:color w:val="000000"/>
          <w:szCs w:val="24"/>
          <w:lang w:eastAsia="en-AU"/>
        </w:rPr>
      </w:pPr>
      <w:r>
        <w:rPr>
          <w:rFonts w:eastAsia="Times New Roman"/>
          <w:color w:val="000000"/>
          <w:szCs w:val="24"/>
          <w:lang w:eastAsia="en-AU"/>
        </w:rPr>
        <w:t>The amendments to the Measurement Determination were made under section 10 of the NGER Act,</w:t>
      </w:r>
      <w:r w:rsidR="00D27FC2">
        <w:rPr>
          <w:rFonts w:eastAsia="Times New Roman"/>
          <w:color w:val="000000"/>
          <w:szCs w:val="24"/>
          <w:lang w:eastAsia="en-AU"/>
        </w:rPr>
        <w:t xml:space="preserve"> </w:t>
      </w:r>
      <w:r w:rsidR="00D27FC2" w:rsidRPr="00D27FC2">
        <w:rPr>
          <w:rFonts w:eastAsia="Times New Roman"/>
          <w:color w:val="000000"/>
          <w:szCs w:val="24"/>
          <w:lang w:eastAsia="en-AU"/>
        </w:rPr>
        <w:t>which provides for the Minister to determine methods, or criteria for methods, for the measurement of (a) greenhouse gas emissions; (b) the production of energy; and (c) the consumption of energy.</w:t>
      </w:r>
    </w:p>
    <w:p w14:paraId="77AE8DAA" w14:textId="77777777" w:rsidR="006118FF" w:rsidRPr="000805C4" w:rsidRDefault="006118FF" w:rsidP="006118FF">
      <w:pPr>
        <w:pStyle w:val="Heading2"/>
      </w:pPr>
      <w:r>
        <w:t>Compliance with Legislative Conditions</w:t>
      </w:r>
    </w:p>
    <w:p w14:paraId="7E7DA6E5" w14:textId="0DC43F87" w:rsidR="006118FF" w:rsidRPr="0032562E" w:rsidRDefault="006118FF" w:rsidP="006118FF">
      <w:pPr>
        <w:keepNext/>
        <w:rPr>
          <w:szCs w:val="28"/>
        </w:rPr>
      </w:pPr>
      <w:r w:rsidRPr="00061732">
        <w:rPr>
          <w:szCs w:val="28"/>
        </w:rPr>
        <w:t xml:space="preserve">The conditions set out in subsection 22XS(1A) </w:t>
      </w:r>
      <w:r>
        <w:rPr>
          <w:szCs w:val="28"/>
        </w:rPr>
        <w:t xml:space="preserve">of the NGER Act </w:t>
      </w:r>
      <w:r w:rsidRPr="00061732">
        <w:rPr>
          <w:szCs w:val="28"/>
        </w:rPr>
        <w:t>require the Minister to be satisfied of</w:t>
      </w:r>
      <w:r w:rsidR="006B333B">
        <w:rPr>
          <w:szCs w:val="28"/>
        </w:rPr>
        <w:t xml:space="preserve"> </w:t>
      </w:r>
      <w:r w:rsidRPr="00061732">
        <w:rPr>
          <w:szCs w:val="28"/>
        </w:rPr>
        <w:t xml:space="preserve">certain </w:t>
      </w:r>
      <w:r w:rsidR="006B333B">
        <w:rPr>
          <w:szCs w:val="28"/>
        </w:rPr>
        <w:t xml:space="preserve">requirements relating to </w:t>
      </w:r>
      <w:r w:rsidRPr="00061732">
        <w:rPr>
          <w:szCs w:val="28"/>
        </w:rPr>
        <w:t>safeguard outcomes</w:t>
      </w:r>
      <w:r w:rsidR="006B333B">
        <w:rPr>
          <w:szCs w:val="28"/>
        </w:rPr>
        <w:t>, as</w:t>
      </w:r>
      <w:r w:rsidRPr="00061732">
        <w:rPr>
          <w:szCs w:val="28"/>
        </w:rPr>
        <w:t xml:space="preserve"> set out in the Act. </w:t>
      </w:r>
      <w:r w:rsidRPr="0032562E">
        <w:rPr>
          <w:szCs w:val="28"/>
        </w:rPr>
        <w:t xml:space="preserve">The Minister has considered and is satisfied that the Amendment </w:t>
      </w:r>
      <w:r w:rsidR="00FE07EF">
        <w:rPr>
          <w:szCs w:val="28"/>
        </w:rPr>
        <w:t>Instrument</w:t>
      </w:r>
      <w:r>
        <w:rPr>
          <w:szCs w:val="28"/>
        </w:rPr>
        <w:t xml:space="preserve"> </w:t>
      </w:r>
      <w:r w:rsidR="00673B96">
        <w:rPr>
          <w:szCs w:val="28"/>
        </w:rPr>
        <w:t>is</w:t>
      </w:r>
      <w:r w:rsidR="00673B96" w:rsidRPr="0032562E">
        <w:rPr>
          <w:szCs w:val="28"/>
        </w:rPr>
        <w:t xml:space="preserve"> </w:t>
      </w:r>
      <w:r w:rsidRPr="0032562E">
        <w:rPr>
          <w:szCs w:val="28"/>
        </w:rPr>
        <w:t>consistent with each of the safeguard outcomes in paragraphs 3(2)(b), (c) and (d)</w:t>
      </w:r>
      <w:r>
        <w:rPr>
          <w:szCs w:val="28"/>
        </w:rPr>
        <w:t xml:space="preserve"> of the NGER Act</w:t>
      </w:r>
      <w:r w:rsidRPr="0032562E">
        <w:rPr>
          <w:szCs w:val="28"/>
        </w:rPr>
        <w:t>, being the achievement of:</w:t>
      </w:r>
    </w:p>
    <w:p w14:paraId="35788E03" w14:textId="77777777" w:rsidR="006118FF" w:rsidRPr="00780027" w:rsidRDefault="006118FF" w:rsidP="00B13A5D">
      <w:pPr>
        <w:pStyle w:val="ListParagraph"/>
        <w:numPr>
          <w:ilvl w:val="0"/>
          <w:numId w:val="2"/>
        </w:numPr>
        <w:shd w:val="clear" w:color="auto" w:fill="FFFFFF"/>
        <w:spacing w:after="120"/>
        <w:contextualSpacing w:val="0"/>
        <w:rPr>
          <w:rFonts w:eastAsia="Times New Roman"/>
          <w:color w:val="000000"/>
          <w:szCs w:val="24"/>
          <w:lang w:eastAsia="en-AU"/>
        </w:rPr>
      </w:pPr>
      <w:r w:rsidRPr="00780027">
        <w:rPr>
          <w:rFonts w:eastAsia="Times New Roman"/>
          <w:color w:val="000000"/>
          <w:szCs w:val="24"/>
          <w:lang w:eastAsia="en-AU"/>
        </w:rPr>
        <w:t xml:space="preserve">total net safeguard emissions for all of the financial years between 1 July 2020 and 30 June 2030 not exceeding a total of 1,233 million tonnes of carbon dioxide </w:t>
      </w:r>
      <w:proofErr w:type="gramStart"/>
      <w:r w:rsidRPr="00780027">
        <w:rPr>
          <w:rFonts w:eastAsia="Times New Roman"/>
          <w:color w:val="000000"/>
          <w:szCs w:val="24"/>
          <w:lang w:eastAsia="en-AU"/>
        </w:rPr>
        <w:t>equivalence;</w:t>
      </w:r>
      <w:proofErr w:type="gramEnd"/>
    </w:p>
    <w:p w14:paraId="6CECD570" w14:textId="77777777" w:rsidR="006118FF" w:rsidRPr="00780027" w:rsidRDefault="006118FF" w:rsidP="00B13A5D">
      <w:pPr>
        <w:pStyle w:val="ListParagraph"/>
        <w:numPr>
          <w:ilvl w:val="0"/>
          <w:numId w:val="2"/>
        </w:numPr>
        <w:shd w:val="clear" w:color="auto" w:fill="FFFFFF"/>
        <w:spacing w:after="120"/>
        <w:contextualSpacing w:val="0"/>
        <w:rPr>
          <w:rFonts w:eastAsia="Times New Roman"/>
          <w:color w:val="000000"/>
          <w:szCs w:val="24"/>
          <w:lang w:eastAsia="en-AU"/>
        </w:rPr>
      </w:pPr>
      <w:r w:rsidRPr="00780027">
        <w:rPr>
          <w:rFonts w:eastAsia="Times New Roman"/>
          <w:color w:val="000000"/>
          <w:szCs w:val="24"/>
          <w:lang w:eastAsia="en-AU"/>
        </w:rPr>
        <w:t>net safeguard emissions declining to:</w:t>
      </w:r>
    </w:p>
    <w:p w14:paraId="54C52D69" w14:textId="77777777" w:rsidR="006118FF" w:rsidRPr="00780027" w:rsidRDefault="006118FF" w:rsidP="00B13A5D">
      <w:pPr>
        <w:pStyle w:val="ListParagraph"/>
        <w:numPr>
          <w:ilvl w:val="2"/>
          <w:numId w:val="4"/>
        </w:numPr>
        <w:shd w:val="clear" w:color="auto" w:fill="FFFFFF"/>
        <w:spacing w:after="120"/>
        <w:contextualSpacing w:val="0"/>
        <w:rPr>
          <w:rFonts w:eastAsia="Times New Roman"/>
          <w:color w:val="000000"/>
          <w:szCs w:val="24"/>
          <w:lang w:eastAsia="en-AU"/>
        </w:rPr>
      </w:pPr>
      <w:r w:rsidRPr="00780027">
        <w:rPr>
          <w:rFonts w:eastAsia="Times New Roman"/>
          <w:color w:val="000000"/>
          <w:szCs w:val="24"/>
          <w:lang w:eastAsia="en-AU"/>
        </w:rPr>
        <w:t>no more than 100 million tonnes of carbon dioxide equivalence for the financial year beginning on 1 July 2029; and</w:t>
      </w:r>
    </w:p>
    <w:p w14:paraId="2B6BFB93" w14:textId="77777777" w:rsidR="006118FF" w:rsidRPr="00780027" w:rsidRDefault="006118FF" w:rsidP="00B13A5D">
      <w:pPr>
        <w:pStyle w:val="ListParagraph"/>
        <w:numPr>
          <w:ilvl w:val="2"/>
          <w:numId w:val="4"/>
        </w:numPr>
        <w:shd w:val="clear" w:color="auto" w:fill="FFFFFF"/>
        <w:spacing w:after="120"/>
        <w:contextualSpacing w:val="0"/>
        <w:rPr>
          <w:rFonts w:eastAsia="Times New Roman"/>
          <w:color w:val="000000"/>
          <w:szCs w:val="24"/>
          <w:lang w:eastAsia="en-AU"/>
        </w:rPr>
      </w:pPr>
      <w:r w:rsidRPr="00780027">
        <w:rPr>
          <w:rFonts w:eastAsia="Times New Roman"/>
          <w:color w:val="000000"/>
          <w:szCs w:val="24"/>
          <w:lang w:eastAsia="en-AU"/>
        </w:rPr>
        <w:t>zero for any financial year to begin after 30 June 2049; and</w:t>
      </w:r>
    </w:p>
    <w:p w14:paraId="689EF57D" w14:textId="77777777" w:rsidR="006118FF" w:rsidRPr="00780027" w:rsidRDefault="006118FF" w:rsidP="00B13A5D">
      <w:pPr>
        <w:pStyle w:val="ListParagraph"/>
        <w:numPr>
          <w:ilvl w:val="0"/>
          <w:numId w:val="2"/>
        </w:numPr>
        <w:shd w:val="clear" w:color="auto" w:fill="FFFFFF"/>
        <w:spacing w:after="120"/>
        <w:contextualSpacing w:val="0"/>
        <w:rPr>
          <w:rFonts w:eastAsia="Times New Roman"/>
          <w:color w:val="000000"/>
          <w:szCs w:val="24"/>
          <w:lang w:eastAsia="en-AU"/>
        </w:rPr>
      </w:pPr>
      <w:r w:rsidRPr="00780027">
        <w:rPr>
          <w:rFonts w:eastAsia="Times New Roman"/>
          <w:color w:val="000000"/>
          <w:szCs w:val="24"/>
          <w:lang w:eastAsia="en-AU"/>
        </w:rPr>
        <w:t>the 5‑year rolling average safeguard emissions for each financial year that begins after 30 June 2024 being lower than the past 5‑year rolling average safeguard emissions for that financial year.</w:t>
      </w:r>
    </w:p>
    <w:p w14:paraId="2554927F" w14:textId="14597F13" w:rsidR="00515D47" w:rsidRPr="0032562E" w:rsidRDefault="006118FF" w:rsidP="006118FF">
      <w:pPr>
        <w:keepNext/>
      </w:pPr>
      <w:r>
        <w:lastRenderedPageBreak/>
        <w:t xml:space="preserve">The Minister has considered and is satisfied that the Amendment </w:t>
      </w:r>
      <w:r w:rsidR="00FE07EF">
        <w:t>Instrument</w:t>
      </w:r>
      <w:r>
        <w:t xml:space="preserve"> </w:t>
      </w:r>
      <w:proofErr w:type="gramStart"/>
      <w:r>
        <w:t>take</w:t>
      </w:r>
      <w:r w:rsidR="00673B96">
        <w:t>s</w:t>
      </w:r>
      <w:r>
        <w:t xml:space="preserve"> into account</w:t>
      </w:r>
      <w:proofErr w:type="gramEnd"/>
      <w:r>
        <w:t xml:space="preserve"> the safeguard outcomes in paragraphs 3(2)(e) and (f) of the NGER Act, being:</w:t>
      </w:r>
    </w:p>
    <w:p w14:paraId="75C66895" w14:textId="77777777" w:rsidR="006118FF" w:rsidRPr="002A71F8" w:rsidRDefault="006118FF" w:rsidP="00B13A5D">
      <w:pPr>
        <w:pStyle w:val="ListParagraph"/>
        <w:numPr>
          <w:ilvl w:val="0"/>
          <w:numId w:val="2"/>
        </w:numPr>
        <w:shd w:val="clear" w:color="auto" w:fill="FFFFFF"/>
        <w:spacing w:after="120"/>
        <w:contextualSpacing w:val="0"/>
        <w:rPr>
          <w:rFonts w:eastAsia="Times New Roman"/>
          <w:color w:val="000000"/>
          <w:szCs w:val="24"/>
          <w:lang w:eastAsia="en-AU"/>
        </w:rPr>
      </w:pPr>
      <w:r w:rsidRPr="002A71F8">
        <w:rPr>
          <w:rFonts w:eastAsia="Times New Roman"/>
          <w:color w:val="000000"/>
          <w:szCs w:val="24"/>
          <w:lang w:eastAsia="en-AU"/>
        </w:rPr>
        <w:t>the responsible emitter for each designated large facility has a material incentive to invest in reducing covered emissions from the operation of the facility; and</w:t>
      </w:r>
    </w:p>
    <w:p w14:paraId="57A7246C" w14:textId="77777777" w:rsidR="006118FF" w:rsidRPr="002A71F8" w:rsidRDefault="006118FF" w:rsidP="00B13A5D">
      <w:pPr>
        <w:pStyle w:val="ListParagraph"/>
        <w:numPr>
          <w:ilvl w:val="0"/>
          <w:numId w:val="2"/>
        </w:numPr>
        <w:shd w:val="clear" w:color="auto" w:fill="FFFFFF"/>
        <w:spacing w:after="120"/>
        <w:contextualSpacing w:val="0"/>
        <w:rPr>
          <w:rFonts w:eastAsia="Times New Roman"/>
          <w:color w:val="000000"/>
          <w:szCs w:val="24"/>
          <w:lang w:eastAsia="en-AU"/>
        </w:rPr>
      </w:pPr>
      <w:r w:rsidRPr="002A71F8">
        <w:rPr>
          <w:rFonts w:eastAsia="Times New Roman"/>
          <w:color w:val="000000"/>
          <w:szCs w:val="24"/>
          <w:lang w:eastAsia="en-AU"/>
        </w:rPr>
        <w:t>the competitiveness of trade‑exposed industries is appropriately supported as Australia and its regions seize the opportunities of the move to a global net zero economy.</w:t>
      </w:r>
    </w:p>
    <w:p w14:paraId="422D2CA9" w14:textId="77777777" w:rsidR="006118FF" w:rsidRDefault="006118FF" w:rsidP="006118FF">
      <w:pPr>
        <w:keepNext/>
        <w:rPr>
          <w:szCs w:val="28"/>
        </w:rPr>
      </w:pPr>
      <w:r>
        <w:rPr>
          <w:szCs w:val="28"/>
        </w:rPr>
        <w:t>A ‘designated large facility’ as mentioned</w:t>
      </w:r>
      <w:r w:rsidRPr="000640AC">
        <w:rPr>
          <w:szCs w:val="28"/>
        </w:rPr>
        <w:t xml:space="preserve"> </w:t>
      </w:r>
      <w:r>
        <w:rPr>
          <w:szCs w:val="28"/>
        </w:rPr>
        <w:t>in paragraph 3(2)(e) of the NGER Act refers, in effect, to facilities covered by the Safeguard Mechanism.</w:t>
      </w:r>
    </w:p>
    <w:p w14:paraId="5A1718AC" w14:textId="77777777" w:rsidR="006118FF" w:rsidRPr="000953B5" w:rsidRDefault="006118FF" w:rsidP="006118FF">
      <w:pPr>
        <w:keepNext/>
        <w:rPr>
          <w:szCs w:val="28"/>
        </w:rPr>
      </w:pPr>
      <w:r w:rsidRPr="0032562E">
        <w:rPr>
          <w:szCs w:val="28"/>
        </w:rPr>
        <w:t xml:space="preserve">Pursuant to s 22XS(1B), the Minister’s Statement of Reasons was published on the </w:t>
      </w:r>
      <w:r>
        <w:rPr>
          <w:szCs w:val="28"/>
        </w:rPr>
        <w:t xml:space="preserve">website of the Department of Climate Change, Energy, the Environment and Water (the </w:t>
      </w:r>
      <w:r w:rsidRPr="0032562E">
        <w:rPr>
          <w:szCs w:val="28"/>
        </w:rPr>
        <w:t>department</w:t>
      </w:r>
      <w:r>
        <w:rPr>
          <w:szCs w:val="28"/>
        </w:rPr>
        <w:t>)</w:t>
      </w:r>
      <w:r w:rsidRPr="0032562E">
        <w:rPr>
          <w:szCs w:val="28"/>
        </w:rPr>
        <w:t xml:space="preserve"> </w:t>
      </w:r>
      <w:r w:rsidRPr="000805C4">
        <w:rPr>
          <w:szCs w:val="28"/>
        </w:rPr>
        <w:t xml:space="preserve">and is included at </w:t>
      </w:r>
      <w:r w:rsidRPr="000805C4">
        <w:rPr>
          <w:b/>
          <w:bCs/>
          <w:szCs w:val="28"/>
        </w:rPr>
        <w:t>Attachment C</w:t>
      </w:r>
      <w:r w:rsidRPr="000953B5">
        <w:rPr>
          <w:szCs w:val="28"/>
        </w:rPr>
        <w:t xml:space="preserve">. </w:t>
      </w:r>
    </w:p>
    <w:p w14:paraId="431A710D" w14:textId="682CB5AD" w:rsidR="006118FF" w:rsidRPr="000953B5" w:rsidRDefault="006118FF" w:rsidP="006118FF">
      <w:pPr>
        <w:keepNext/>
        <w:rPr>
          <w:szCs w:val="28"/>
        </w:rPr>
      </w:pPr>
      <w:r w:rsidRPr="000953B5">
        <w:rPr>
          <w:szCs w:val="28"/>
        </w:rPr>
        <w:t>Consistent with s 22</w:t>
      </w:r>
      <w:proofErr w:type="gramStart"/>
      <w:r w:rsidRPr="000953B5">
        <w:rPr>
          <w:szCs w:val="28"/>
        </w:rPr>
        <w:t>XS(</w:t>
      </w:r>
      <w:proofErr w:type="gramEnd"/>
      <w:r w:rsidRPr="000953B5">
        <w:rPr>
          <w:szCs w:val="28"/>
        </w:rPr>
        <w:t xml:space="preserve">2), the </w:t>
      </w:r>
      <w:r>
        <w:rPr>
          <w:szCs w:val="28"/>
        </w:rPr>
        <w:t xml:space="preserve">Amendment </w:t>
      </w:r>
      <w:r w:rsidR="00FE07EF">
        <w:rPr>
          <w:szCs w:val="28"/>
        </w:rPr>
        <w:t>Instrument</w:t>
      </w:r>
      <w:r w:rsidRPr="000953B5">
        <w:rPr>
          <w:szCs w:val="28"/>
        </w:rPr>
        <w:t xml:space="preserve"> do</w:t>
      </w:r>
      <w:r w:rsidR="00A34F28">
        <w:rPr>
          <w:szCs w:val="28"/>
        </w:rPr>
        <w:t>es</w:t>
      </w:r>
      <w:r w:rsidRPr="000953B5">
        <w:rPr>
          <w:szCs w:val="28"/>
        </w:rPr>
        <w:t xml:space="preserve"> not:</w:t>
      </w:r>
    </w:p>
    <w:p w14:paraId="686FCF25" w14:textId="77777777" w:rsidR="006118FF" w:rsidRPr="002A71F8" w:rsidRDefault="006118FF" w:rsidP="00B13A5D">
      <w:pPr>
        <w:pStyle w:val="ListParagraph"/>
        <w:numPr>
          <w:ilvl w:val="0"/>
          <w:numId w:val="2"/>
        </w:numPr>
        <w:shd w:val="clear" w:color="auto" w:fill="FFFFFF"/>
        <w:spacing w:after="120"/>
        <w:contextualSpacing w:val="0"/>
        <w:rPr>
          <w:rFonts w:eastAsia="Times New Roman"/>
          <w:color w:val="000000"/>
          <w:szCs w:val="24"/>
          <w:lang w:eastAsia="en-AU"/>
        </w:rPr>
      </w:pPr>
      <w:r w:rsidRPr="002A71F8">
        <w:rPr>
          <w:rFonts w:eastAsia="Times New Roman"/>
          <w:color w:val="000000"/>
          <w:szCs w:val="24"/>
          <w:lang w:eastAsia="en-AU"/>
        </w:rPr>
        <w:t>create a civil or criminal offense,</w:t>
      </w:r>
    </w:p>
    <w:p w14:paraId="246AACF6" w14:textId="77777777" w:rsidR="006118FF" w:rsidRPr="002A71F8" w:rsidRDefault="006118FF" w:rsidP="00B13A5D">
      <w:pPr>
        <w:pStyle w:val="ListParagraph"/>
        <w:numPr>
          <w:ilvl w:val="0"/>
          <w:numId w:val="2"/>
        </w:numPr>
        <w:shd w:val="clear" w:color="auto" w:fill="FFFFFF"/>
        <w:spacing w:after="120"/>
        <w:contextualSpacing w:val="0"/>
        <w:rPr>
          <w:rFonts w:eastAsia="Times New Roman"/>
          <w:color w:val="000000"/>
          <w:szCs w:val="24"/>
          <w:lang w:eastAsia="en-AU"/>
        </w:rPr>
      </w:pPr>
      <w:r w:rsidRPr="002A71F8">
        <w:rPr>
          <w:rFonts w:eastAsia="Times New Roman"/>
          <w:color w:val="000000"/>
          <w:szCs w:val="24"/>
          <w:lang w:eastAsia="en-AU"/>
        </w:rPr>
        <w:t>create powers of arrest,</w:t>
      </w:r>
      <w:r>
        <w:rPr>
          <w:rFonts w:eastAsia="Times New Roman"/>
          <w:color w:val="000000"/>
          <w:szCs w:val="24"/>
          <w:lang w:eastAsia="en-AU"/>
        </w:rPr>
        <w:t xml:space="preserve"> detention, entry, search or seizure,</w:t>
      </w:r>
    </w:p>
    <w:p w14:paraId="2B7A3023" w14:textId="77777777" w:rsidR="006118FF" w:rsidRPr="002A71F8" w:rsidRDefault="006118FF" w:rsidP="00B13A5D">
      <w:pPr>
        <w:pStyle w:val="ListParagraph"/>
        <w:numPr>
          <w:ilvl w:val="0"/>
          <w:numId w:val="2"/>
        </w:numPr>
        <w:shd w:val="clear" w:color="auto" w:fill="FFFFFF"/>
        <w:spacing w:after="120"/>
        <w:contextualSpacing w:val="0"/>
        <w:rPr>
          <w:rFonts w:eastAsia="Times New Roman"/>
          <w:color w:val="000000"/>
          <w:szCs w:val="24"/>
          <w:lang w:eastAsia="en-AU"/>
        </w:rPr>
      </w:pPr>
      <w:r w:rsidRPr="002A71F8">
        <w:rPr>
          <w:rFonts w:eastAsia="Times New Roman"/>
          <w:color w:val="000000"/>
          <w:szCs w:val="24"/>
          <w:lang w:eastAsia="en-AU"/>
        </w:rPr>
        <w:t>impose a tax,</w:t>
      </w:r>
    </w:p>
    <w:p w14:paraId="09956F3B" w14:textId="77777777" w:rsidR="006118FF" w:rsidRPr="002A71F8" w:rsidRDefault="006118FF" w:rsidP="00B13A5D">
      <w:pPr>
        <w:pStyle w:val="ListParagraph"/>
        <w:numPr>
          <w:ilvl w:val="0"/>
          <w:numId w:val="2"/>
        </w:numPr>
        <w:shd w:val="clear" w:color="auto" w:fill="FFFFFF"/>
        <w:spacing w:after="120"/>
        <w:contextualSpacing w:val="0"/>
        <w:rPr>
          <w:rFonts w:eastAsia="Times New Roman"/>
          <w:color w:val="000000"/>
          <w:szCs w:val="24"/>
          <w:lang w:eastAsia="en-AU"/>
        </w:rPr>
      </w:pPr>
      <w:r w:rsidRPr="002A71F8">
        <w:rPr>
          <w:rFonts w:eastAsia="Times New Roman"/>
          <w:color w:val="000000"/>
          <w:szCs w:val="24"/>
          <w:lang w:eastAsia="en-AU"/>
        </w:rPr>
        <w:t>appropriate money from the consolidated fund, or</w:t>
      </w:r>
    </w:p>
    <w:p w14:paraId="44D8ECF8" w14:textId="77777777" w:rsidR="006118FF" w:rsidRPr="002A71F8" w:rsidRDefault="006118FF" w:rsidP="00B13A5D">
      <w:pPr>
        <w:pStyle w:val="ListParagraph"/>
        <w:numPr>
          <w:ilvl w:val="0"/>
          <w:numId w:val="2"/>
        </w:numPr>
        <w:shd w:val="clear" w:color="auto" w:fill="FFFFFF"/>
        <w:spacing w:after="120"/>
        <w:contextualSpacing w:val="0"/>
        <w:rPr>
          <w:rFonts w:eastAsia="Times New Roman"/>
          <w:color w:val="000000"/>
          <w:szCs w:val="24"/>
          <w:lang w:eastAsia="en-AU"/>
        </w:rPr>
      </w:pPr>
      <w:r w:rsidRPr="002A71F8">
        <w:rPr>
          <w:rFonts w:eastAsia="Times New Roman"/>
          <w:color w:val="000000"/>
          <w:szCs w:val="24"/>
          <w:lang w:eastAsia="en-AU"/>
        </w:rPr>
        <w:t>amend the NGER Act.</w:t>
      </w:r>
    </w:p>
    <w:p w14:paraId="5107CB52" w14:textId="77777777" w:rsidR="006118FF" w:rsidRPr="002A71F8" w:rsidRDefault="006118FF" w:rsidP="006118FF">
      <w:pPr>
        <w:pStyle w:val="Heading2"/>
      </w:pPr>
      <w:r w:rsidRPr="00A375E0">
        <w:t>Consultation</w:t>
      </w:r>
    </w:p>
    <w:p w14:paraId="49E9F8A6" w14:textId="6CF15C10" w:rsidR="00BD00AE" w:rsidRDefault="00BD00AE" w:rsidP="00BD00AE">
      <w:pPr>
        <w:rPr>
          <w:szCs w:val="24"/>
        </w:rPr>
      </w:pPr>
      <w:r>
        <w:rPr>
          <w:szCs w:val="24"/>
        </w:rPr>
        <w:t xml:space="preserve">The department released an </w:t>
      </w:r>
      <w:r w:rsidR="006A21DE">
        <w:rPr>
          <w:szCs w:val="24"/>
        </w:rPr>
        <w:t xml:space="preserve">exposure draft </w:t>
      </w:r>
      <w:r>
        <w:rPr>
          <w:szCs w:val="24"/>
        </w:rPr>
        <w:t xml:space="preserve">of the Amendment </w:t>
      </w:r>
      <w:r w:rsidR="00FE07EF">
        <w:rPr>
          <w:szCs w:val="24"/>
        </w:rPr>
        <w:t>Instrument</w:t>
      </w:r>
      <w:r>
        <w:rPr>
          <w:szCs w:val="24"/>
        </w:rPr>
        <w:t xml:space="preserve"> for public consultation from 25 May 2024 to 1</w:t>
      </w:r>
      <w:r w:rsidR="0001611A">
        <w:rPr>
          <w:szCs w:val="24"/>
        </w:rPr>
        <w:t>4</w:t>
      </w:r>
      <w:r>
        <w:rPr>
          <w:szCs w:val="24"/>
        </w:rPr>
        <w:t xml:space="preserve"> J</w:t>
      </w:r>
      <w:r w:rsidR="0001611A">
        <w:rPr>
          <w:szCs w:val="24"/>
        </w:rPr>
        <w:t>une</w:t>
      </w:r>
      <w:r>
        <w:rPr>
          <w:szCs w:val="24"/>
        </w:rPr>
        <w:t xml:space="preserve"> 2024.  </w:t>
      </w:r>
    </w:p>
    <w:p w14:paraId="7AFEEDC9" w14:textId="3CB00AD0" w:rsidR="004663EF" w:rsidRDefault="00254124" w:rsidP="004663EF">
      <w:r>
        <w:t xml:space="preserve">There were </w:t>
      </w:r>
      <w:r w:rsidR="002F7B97" w:rsidRPr="00EA7EC0">
        <w:t>22</w:t>
      </w:r>
      <w:r w:rsidR="002F7B97" w:rsidRPr="00B32115">
        <w:t xml:space="preserve"> submissions, </w:t>
      </w:r>
      <w:r w:rsidR="001A2675">
        <w:t>including</w:t>
      </w:r>
      <w:r w:rsidR="002F7B97" w:rsidRPr="00B32115">
        <w:t xml:space="preserve"> </w:t>
      </w:r>
      <w:r w:rsidR="002F7B97" w:rsidRPr="00EA7EC0">
        <w:t>15</w:t>
      </w:r>
      <w:r w:rsidR="002F7B97" w:rsidRPr="00B32115">
        <w:t xml:space="preserve"> submissions from businesses, </w:t>
      </w:r>
      <w:r w:rsidR="002F7B97" w:rsidRPr="00EA7EC0">
        <w:t>4</w:t>
      </w:r>
      <w:r w:rsidR="002F7B97" w:rsidRPr="00B32115">
        <w:t xml:space="preserve"> from industry associations</w:t>
      </w:r>
      <w:r w:rsidR="002F7B97" w:rsidRPr="00EA7EC0">
        <w:t xml:space="preserve">, </w:t>
      </w:r>
      <w:r w:rsidR="001A2675">
        <w:t>one</w:t>
      </w:r>
      <w:r w:rsidR="002F7B97" w:rsidRPr="00EA7EC0">
        <w:t xml:space="preserve"> from</w:t>
      </w:r>
      <w:r w:rsidR="00546745">
        <w:t xml:space="preserve"> a state</w:t>
      </w:r>
      <w:r w:rsidR="002F7B97" w:rsidRPr="00EA7EC0">
        <w:t xml:space="preserve"> government,</w:t>
      </w:r>
      <w:r w:rsidR="002F7B97" w:rsidRPr="00B32115">
        <w:t xml:space="preserve"> </w:t>
      </w:r>
      <w:r w:rsidR="00766DA0">
        <w:t xml:space="preserve">one from </w:t>
      </w:r>
      <w:r w:rsidR="00C34EA9">
        <w:t xml:space="preserve">a </w:t>
      </w:r>
      <w:r w:rsidR="002F7B97" w:rsidRPr="00B32115">
        <w:t>non-government organisation</w:t>
      </w:r>
      <w:r w:rsidR="00766DA0">
        <w:t xml:space="preserve">, and one </w:t>
      </w:r>
      <w:r w:rsidR="00766DA0" w:rsidRPr="00B32115">
        <w:t>from</w:t>
      </w:r>
      <w:r w:rsidR="00766DA0">
        <w:t xml:space="preserve"> an</w:t>
      </w:r>
      <w:r w:rsidR="00766DA0" w:rsidRPr="00B32115">
        <w:t xml:space="preserve"> individual</w:t>
      </w:r>
      <w:r w:rsidR="002F7B97" w:rsidRPr="00B32115">
        <w:t xml:space="preserve">. </w:t>
      </w:r>
      <w:r w:rsidR="005C01E8">
        <w:t>A</w:t>
      </w:r>
      <w:r w:rsidR="004663EF">
        <w:t>ll non-confidential submissions were published on the department’s website.</w:t>
      </w:r>
    </w:p>
    <w:p w14:paraId="2E8EE3BF" w14:textId="77777777" w:rsidR="00A30336" w:rsidRDefault="004663EF" w:rsidP="004663EF">
      <w:pPr>
        <w:rPr>
          <w:szCs w:val="24"/>
        </w:rPr>
      </w:pPr>
      <w:r>
        <w:rPr>
          <w:szCs w:val="24"/>
        </w:rPr>
        <w:t xml:space="preserve">Changes were made to the final Amendment </w:t>
      </w:r>
      <w:r w:rsidR="00FE07EF">
        <w:rPr>
          <w:szCs w:val="24"/>
        </w:rPr>
        <w:t>Instrument</w:t>
      </w:r>
      <w:r>
        <w:rPr>
          <w:szCs w:val="24"/>
        </w:rPr>
        <w:t xml:space="preserve"> in response to submissions</w:t>
      </w:r>
      <w:r w:rsidR="00D50BA8">
        <w:rPr>
          <w:szCs w:val="24"/>
        </w:rPr>
        <w:t>.</w:t>
      </w:r>
      <w:r>
        <w:rPr>
          <w:szCs w:val="24"/>
        </w:rPr>
        <w:t xml:space="preserve"> </w:t>
      </w:r>
      <w:r w:rsidR="00A30336">
        <w:rPr>
          <w:szCs w:val="24"/>
        </w:rPr>
        <w:t xml:space="preserve">These changes are detailed against relevant provisions in </w:t>
      </w:r>
      <w:r w:rsidR="00A30336" w:rsidRPr="00D50BA8">
        <w:rPr>
          <w:b/>
          <w:bCs/>
          <w:szCs w:val="24"/>
        </w:rPr>
        <w:t>Attachment A</w:t>
      </w:r>
      <w:r w:rsidR="00A30336" w:rsidRPr="00D50BA8">
        <w:rPr>
          <w:szCs w:val="24"/>
        </w:rPr>
        <w:t>.</w:t>
      </w:r>
    </w:p>
    <w:p w14:paraId="20F5203F" w14:textId="7CBF66EE" w:rsidR="004663EF" w:rsidRDefault="006B0C91" w:rsidP="004663EF">
      <w:pPr>
        <w:rPr>
          <w:szCs w:val="24"/>
        </w:rPr>
      </w:pPr>
      <w:r>
        <w:rPr>
          <w:szCs w:val="24"/>
        </w:rPr>
        <w:t xml:space="preserve">Changes to the Amendment Instrument compared to the exposure draft include </w:t>
      </w:r>
      <w:r w:rsidR="008565FC">
        <w:rPr>
          <w:szCs w:val="24"/>
        </w:rPr>
        <w:t>changes</w:t>
      </w:r>
      <w:r w:rsidR="00F21D1B">
        <w:rPr>
          <w:szCs w:val="24"/>
        </w:rPr>
        <w:t xml:space="preserve"> to </w:t>
      </w:r>
      <w:r w:rsidR="003A5ECC">
        <w:rPr>
          <w:szCs w:val="24"/>
        </w:rPr>
        <w:t>the ‘primary iron’, ‘primary steel’ and</w:t>
      </w:r>
      <w:r w:rsidR="00A67E7A">
        <w:rPr>
          <w:szCs w:val="24"/>
        </w:rPr>
        <w:t xml:space="preserve"> ‘</w:t>
      </w:r>
      <w:r w:rsidR="000D1F10">
        <w:rPr>
          <w:szCs w:val="24"/>
        </w:rPr>
        <w:t>c</w:t>
      </w:r>
      <w:r w:rsidR="000D1F10" w:rsidRPr="000D1F10">
        <w:rPr>
          <w:szCs w:val="24"/>
        </w:rPr>
        <w:t>ontinuously cast carbon steel products and ingots of carbon steel (manufacture of carbon steel from cold ferrous feed)</w:t>
      </w:r>
      <w:r w:rsidR="000D1F10">
        <w:rPr>
          <w:szCs w:val="24"/>
        </w:rPr>
        <w:t>’ that relate to the treatment of cold ferrous feed and imported coke oven coke;</w:t>
      </w:r>
      <w:r w:rsidR="006D2A1D">
        <w:rPr>
          <w:szCs w:val="24"/>
        </w:rPr>
        <w:t xml:space="preserve"> changes to the ‘rare earths processing</w:t>
      </w:r>
      <w:r w:rsidR="00E5162E">
        <w:rPr>
          <w:szCs w:val="24"/>
        </w:rPr>
        <w:t xml:space="preserve">’ production variable; </w:t>
      </w:r>
      <w:r w:rsidR="006D4E35">
        <w:rPr>
          <w:szCs w:val="24"/>
        </w:rPr>
        <w:t xml:space="preserve">and changes to the </w:t>
      </w:r>
      <w:r w:rsidR="00863B32">
        <w:rPr>
          <w:szCs w:val="24"/>
        </w:rPr>
        <w:t xml:space="preserve">best practice emissions intensity numbers </w:t>
      </w:r>
      <w:r w:rsidR="006D4E35">
        <w:rPr>
          <w:szCs w:val="24"/>
        </w:rPr>
        <w:t xml:space="preserve">for </w:t>
      </w:r>
      <w:r w:rsidR="00863B32">
        <w:rPr>
          <w:szCs w:val="24"/>
        </w:rPr>
        <w:t>‘renewable aviation kerosene’ and ‘renewable diesel’.</w:t>
      </w:r>
      <w:r w:rsidR="00D50BA8">
        <w:rPr>
          <w:szCs w:val="24"/>
        </w:rPr>
        <w:t xml:space="preserve"> </w:t>
      </w:r>
    </w:p>
    <w:p w14:paraId="3300A041" w14:textId="0257758A" w:rsidR="007E211B" w:rsidRDefault="00677124" w:rsidP="004663EF">
      <w:pPr>
        <w:rPr>
          <w:szCs w:val="24"/>
        </w:rPr>
      </w:pPr>
      <w:r>
        <w:rPr>
          <w:szCs w:val="24"/>
        </w:rPr>
        <w:t>T</w:t>
      </w:r>
      <w:r w:rsidR="00A30336">
        <w:rPr>
          <w:szCs w:val="24"/>
        </w:rPr>
        <w:t xml:space="preserve">he final Amendment Instrument also includes provisions to address some issues that were identified </w:t>
      </w:r>
      <w:r w:rsidR="006B0C91">
        <w:rPr>
          <w:szCs w:val="24"/>
        </w:rPr>
        <w:t xml:space="preserve">after </w:t>
      </w:r>
      <w:r w:rsidR="00A30336">
        <w:rPr>
          <w:szCs w:val="24"/>
        </w:rPr>
        <w:t xml:space="preserve">the exposure draft </w:t>
      </w:r>
      <w:r w:rsidR="006B0C91">
        <w:rPr>
          <w:szCs w:val="24"/>
        </w:rPr>
        <w:t xml:space="preserve">was </w:t>
      </w:r>
      <w:r w:rsidR="00A30336">
        <w:rPr>
          <w:szCs w:val="24"/>
        </w:rPr>
        <w:t>released. These inc</w:t>
      </w:r>
      <w:r w:rsidR="006B0C91">
        <w:rPr>
          <w:szCs w:val="24"/>
        </w:rPr>
        <w:t>l</w:t>
      </w:r>
      <w:r w:rsidR="00A30336">
        <w:rPr>
          <w:szCs w:val="24"/>
        </w:rPr>
        <w:t>ude</w:t>
      </w:r>
      <w:r w:rsidR="006B0C91">
        <w:rPr>
          <w:szCs w:val="24"/>
        </w:rPr>
        <w:t xml:space="preserve"> updates to section 17,</w:t>
      </w:r>
      <w:r w:rsidR="000F7932">
        <w:rPr>
          <w:szCs w:val="24"/>
        </w:rPr>
        <w:t xml:space="preserve"> section 40</w:t>
      </w:r>
      <w:r w:rsidR="00FD242E">
        <w:rPr>
          <w:szCs w:val="24"/>
        </w:rPr>
        <w:t xml:space="preserve">, </w:t>
      </w:r>
      <w:r w:rsidR="000F7932">
        <w:rPr>
          <w:szCs w:val="24"/>
        </w:rPr>
        <w:t>section 42</w:t>
      </w:r>
      <w:r w:rsidR="00FD242E">
        <w:rPr>
          <w:szCs w:val="24"/>
        </w:rPr>
        <w:t xml:space="preserve">, and the </w:t>
      </w:r>
      <w:r w:rsidR="007B0357">
        <w:rPr>
          <w:szCs w:val="24"/>
        </w:rPr>
        <w:t xml:space="preserve">default emissions intensity for the </w:t>
      </w:r>
      <w:r w:rsidR="00FD242E">
        <w:rPr>
          <w:szCs w:val="24"/>
        </w:rPr>
        <w:t>‘</w:t>
      </w:r>
      <w:r w:rsidR="00FD242E">
        <w:t>p</w:t>
      </w:r>
      <w:r w:rsidR="00FD242E" w:rsidRPr="002F5832">
        <w:t>etajoule</w:t>
      </w:r>
      <w:r w:rsidR="00FD242E">
        <w:noBreakHyphen/>
      </w:r>
      <w:r w:rsidR="00FD242E" w:rsidRPr="002F5832">
        <w:t xml:space="preserve">kilometres of natural gas </w:t>
      </w:r>
      <w:r w:rsidR="00FD242E" w:rsidRPr="002F5832">
        <w:lastRenderedPageBreak/>
        <w:t>distribution</w:t>
      </w:r>
      <w:r w:rsidR="00FD242E">
        <w:t xml:space="preserve">’ production variable. </w:t>
      </w:r>
      <w:r w:rsidR="00E96932">
        <w:t xml:space="preserve">The department consulted with </w:t>
      </w:r>
      <w:r w:rsidR="00903C93">
        <w:t>gas distributors covered by the Safeguard Mechanism regarding th</w:t>
      </w:r>
      <w:r w:rsidR="00546745">
        <w:t>e update to the default emissions intensity.</w:t>
      </w:r>
    </w:p>
    <w:p w14:paraId="5362DF02" w14:textId="41133937" w:rsidR="004663EF" w:rsidRDefault="004663EF" w:rsidP="00BD00AE">
      <w:pPr>
        <w:rPr>
          <w:szCs w:val="24"/>
        </w:rPr>
      </w:pPr>
      <w:r>
        <w:rPr>
          <w:szCs w:val="24"/>
        </w:rPr>
        <w:t xml:space="preserve">The international best practice emissions intensity numbers were calculated in accordance with the </w:t>
      </w:r>
      <w:r>
        <w:rPr>
          <w:i/>
          <w:iCs/>
          <w:szCs w:val="24"/>
        </w:rPr>
        <w:t>Guidelines for setting international best practice benchmarks</w:t>
      </w:r>
      <w:r>
        <w:rPr>
          <w:szCs w:val="24"/>
        </w:rPr>
        <w:t xml:space="preserve"> (the Guidelines) which are published on the department’s website</w:t>
      </w:r>
      <w:r>
        <w:rPr>
          <w:rStyle w:val="FootnoteReference"/>
          <w:szCs w:val="24"/>
        </w:rPr>
        <w:footnoteReference w:id="2"/>
      </w:r>
      <w:r>
        <w:rPr>
          <w:szCs w:val="24"/>
        </w:rPr>
        <w:t>. The department consulted on draft guidelines between 19 July 2023 and 11 August 2023 and received 44 submissions from businesses, industry groups, environmental groups and individuals, and all non-confidential submissions are published on the department’s website.</w:t>
      </w:r>
    </w:p>
    <w:p w14:paraId="0E4FC003" w14:textId="571B0A76" w:rsidR="009D4A28" w:rsidRDefault="000403F8" w:rsidP="00BD00AE">
      <w:pPr>
        <w:rPr>
          <w:szCs w:val="24"/>
        </w:rPr>
      </w:pPr>
      <w:r>
        <w:rPr>
          <w:szCs w:val="24"/>
        </w:rPr>
        <w:t xml:space="preserve">The Government considered emerging international methane emissions standards in setting the best practice emissions intensity numbers for the production variables in the coal, oil and gas sectors. The Department compared the standards set in the UNEP’s </w:t>
      </w:r>
      <w:proofErr w:type="spellStart"/>
      <w:r>
        <w:rPr>
          <w:szCs w:val="24"/>
        </w:rPr>
        <w:t>Metcoal</w:t>
      </w:r>
      <w:proofErr w:type="spellEnd"/>
      <w:r>
        <w:rPr>
          <w:szCs w:val="24"/>
        </w:rPr>
        <w:t xml:space="preserve"> Methane Partnership and Oil and Gas Methane Partnership 2.0 to the relevant final benchmarks, finding they more stringent than the emerging international methane emissions standards.</w:t>
      </w:r>
    </w:p>
    <w:p w14:paraId="1B83F019" w14:textId="7AA7C4D6" w:rsidR="009D4A28" w:rsidRDefault="009D4A28" w:rsidP="00BD00AE">
      <w:pPr>
        <w:rPr>
          <w:szCs w:val="24"/>
        </w:rPr>
      </w:pPr>
      <w:r>
        <w:rPr>
          <w:szCs w:val="24"/>
        </w:rPr>
        <w:t xml:space="preserve">Production variable definitions and default emissions intensity values were determined in accordance with the </w:t>
      </w:r>
      <w:r>
        <w:rPr>
          <w:i/>
          <w:iCs/>
          <w:szCs w:val="24"/>
        </w:rPr>
        <w:t xml:space="preserve">Framework for developing default production variables and emissions-intensity values </w:t>
      </w:r>
      <w:r>
        <w:rPr>
          <w:szCs w:val="24"/>
        </w:rPr>
        <w:t>(the Framework Document)</w:t>
      </w:r>
      <w:r>
        <w:rPr>
          <w:rStyle w:val="FootnoteReference"/>
          <w:szCs w:val="24"/>
        </w:rPr>
        <w:footnoteReference w:id="3"/>
      </w:r>
      <w:r>
        <w:rPr>
          <w:szCs w:val="24"/>
        </w:rPr>
        <w:t>. This document was first consulted on in 2019 and has been updated to reflect the reforms to the Safeguard Mechanism.</w:t>
      </w:r>
    </w:p>
    <w:p w14:paraId="63055886" w14:textId="4C785126" w:rsidR="008030AD" w:rsidRDefault="008030AD" w:rsidP="00BD00AE">
      <w:r>
        <w:t xml:space="preserve">An exposure draft of the </w:t>
      </w:r>
      <w:r w:rsidR="00040585" w:rsidRPr="3FAFB378">
        <w:rPr>
          <w:i/>
          <w:iCs/>
        </w:rPr>
        <w:t>National Greenhouse and Energy Reporting (Measurement) Amendment (2024 Update) Determination 2024</w:t>
      </w:r>
      <w:r w:rsidR="00040585">
        <w:t xml:space="preserve"> </w:t>
      </w:r>
      <w:r>
        <w:t xml:space="preserve">and accompanying consultation paper were released for </w:t>
      </w:r>
      <w:r w:rsidR="002122C3">
        <w:t xml:space="preserve">public consultation </w:t>
      </w:r>
      <w:r>
        <w:t>from Monday 29 April to Friday 24 May 2024.</w:t>
      </w:r>
      <w:r w:rsidR="00235075">
        <w:t xml:space="preserve"> </w:t>
      </w:r>
      <w:r w:rsidR="31CFD21F">
        <w:t xml:space="preserve">The </w:t>
      </w:r>
      <w:r w:rsidR="00DF3117">
        <w:t xml:space="preserve">updates </w:t>
      </w:r>
      <w:r w:rsidR="008A7275">
        <w:t xml:space="preserve">to the Measurement Determination </w:t>
      </w:r>
      <w:r w:rsidR="00DF3117">
        <w:t xml:space="preserve">in the Amendment Instrument </w:t>
      </w:r>
      <w:r w:rsidR="008A7275">
        <w:t>were covered in th</w:t>
      </w:r>
      <w:r w:rsidR="00CA72F1">
        <w:t>is</w:t>
      </w:r>
      <w:r w:rsidR="008A7275">
        <w:t xml:space="preserve"> </w:t>
      </w:r>
      <w:r w:rsidR="31CFD21F">
        <w:t>consultation paper</w:t>
      </w:r>
      <w:r w:rsidR="6F9115A6">
        <w:t>.</w:t>
      </w:r>
    </w:p>
    <w:p w14:paraId="21040E11" w14:textId="77777777" w:rsidR="006118FF" w:rsidRPr="002A71F8" w:rsidRDefault="006118FF" w:rsidP="006118FF">
      <w:pPr>
        <w:pStyle w:val="Heading2"/>
      </w:pPr>
      <w:r w:rsidRPr="00A375E0">
        <w:t>Regulatory Impact</w:t>
      </w:r>
    </w:p>
    <w:p w14:paraId="0A601AEE" w14:textId="77777777" w:rsidR="00A507DB" w:rsidRDefault="00A507DB" w:rsidP="00A507DB">
      <w:pPr>
        <w:rPr>
          <w:szCs w:val="24"/>
        </w:rPr>
      </w:pPr>
      <w:r>
        <w:rPr>
          <w:szCs w:val="24"/>
        </w:rPr>
        <w:t xml:space="preserve">In accordance with </w:t>
      </w:r>
      <w:r>
        <w:rPr>
          <w:i/>
          <w:szCs w:val="24"/>
        </w:rPr>
        <w:t>The Australian Government Guide to Regulatory Impact Analysis</w:t>
      </w:r>
      <w:r>
        <w:rPr>
          <w:rStyle w:val="FootnoteReference"/>
          <w:i/>
          <w:szCs w:val="24"/>
        </w:rPr>
        <w:footnoteReference w:id="4"/>
      </w:r>
      <w:r>
        <w:rPr>
          <w:szCs w:val="24"/>
        </w:rPr>
        <w:t xml:space="preserve">, a Regulatory Impact Analysis (RIA) is mandatory for decisions made by any Australian Government entity if that decision is likely to have a more than minor impact on businesses, community organisations, individuals, or any combination. </w:t>
      </w:r>
    </w:p>
    <w:p w14:paraId="23F5D628" w14:textId="6FC031A1" w:rsidR="00A507DB" w:rsidRDefault="00A507DB" w:rsidP="00A507DB">
      <w:pPr>
        <w:rPr>
          <w:szCs w:val="24"/>
        </w:rPr>
      </w:pPr>
      <w:r>
        <w:rPr>
          <w:szCs w:val="24"/>
        </w:rPr>
        <w:t xml:space="preserve">The regulatory impacts of the reforms to the Safeguard Mechanism were assessed as part of the RIA published in May 2023, and the </w:t>
      </w:r>
      <w:r w:rsidR="004A52DD">
        <w:rPr>
          <w:szCs w:val="24"/>
        </w:rPr>
        <w:t xml:space="preserve">setting of best practice emissions intensity values </w:t>
      </w:r>
      <w:r w:rsidR="00D836C5">
        <w:rPr>
          <w:szCs w:val="24"/>
        </w:rPr>
        <w:t xml:space="preserve">as </w:t>
      </w:r>
      <w:r w:rsidR="00D836C5">
        <w:rPr>
          <w:szCs w:val="24"/>
        </w:rPr>
        <w:lastRenderedPageBreak/>
        <w:t xml:space="preserve">well as </w:t>
      </w:r>
      <w:r>
        <w:rPr>
          <w:szCs w:val="24"/>
        </w:rPr>
        <w:t xml:space="preserve">technical and minor amendments made by </w:t>
      </w:r>
      <w:r w:rsidR="00A75C25">
        <w:rPr>
          <w:szCs w:val="24"/>
        </w:rPr>
        <w:t xml:space="preserve">the Amendment </w:t>
      </w:r>
      <w:r w:rsidR="00FE07EF">
        <w:rPr>
          <w:szCs w:val="24"/>
        </w:rPr>
        <w:t>Instrument</w:t>
      </w:r>
      <w:r>
        <w:rPr>
          <w:szCs w:val="24"/>
        </w:rPr>
        <w:t xml:space="preserve"> are an important step in implementing the reforms. The Office for Impact Analysis has been consulted (ref OIA23-05903) and confirmed that a</w:t>
      </w:r>
      <w:r w:rsidR="00235075">
        <w:rPr>
          <w:szCs w:val="24"/>
        </w:rPr>
        <w:t>n</w:t>
      </w:r>
      <w:r>
        <w:rPr>
          <w:szCs w:val="24"/>
        </w:rPr>
        <w:t xml:space="preserve"> RIA is not required for the </w:t>
      </w:r>
      <w:r w:rsidR="00EA1466">
        <w:rPr>
          <w:szCs w:val="24"/>
        </w:rPr>
        <w:t>amendments to the Safeguard Rules</w:t>
      </w:r>
      <w:r>
        <w:rPr>
          <w:szCs w:val="24"/>
        </w:rPr>
        <w:t xml:space="preserve">. </w:t>
      </w:r>
    </w:p>
    <w:p w14:paraId="497DF67D" w14:textId="69A9BC69" w:rsidR="00C64A38" w:rsidRDefault="00C64A38" w:rsidP="00A507DB">
      <w:r>
        <w:t>The regulatory impacts of amendments to the Measurement Determination have been assessed as minor by the Office of Impact Analysis (ref OIA24-06759).</w:t>
      </w:r>
    </w:p>
    <w:p w14:paraId="5E6ADD1F" w14:textId="77777777" w:rsidR="006118FF" w:rsidRDefault="006118FF" w:rsidP="006118FF">
      <w:pPr>
        <w:pStyle w:val="Heading2"/>
        <w:rPr>
          <w:szCs w:val="24"/>
        </w:rPr>
      </w:pPr>
      <w:r w:rsidRPr="0068233A">
        <w:t>Details and Operation</w:t>
      </w:r>
    </w:p>
    <w:p w14:paraId="44B1D67D" w14:textId="5ACB30EB" w:rsidR="006118FF" w:rsidRPr="000805C4" w:rsidRDefault="006118FF" w:rsidP="006118FF">
      <w:pPr>
        <w:shd w:val="clear" w:color="auto" w:fill="FFFFFF"/>
        <w:rPr>
          <w:szCs w:val="24"/>
        </w:rPr>
      </w:pPr>
      <w:r w:rsidRPr="004534C7">
        <w:rPr>
          <w:rFonts w:eastAsia="Times New Roman"/>
          <w:color w:val="000000"/>
          <w:szCs w:val="24"/>
          <w:lang w:eastAsia="en-AU"/>
        </w:rPr>
        <w:t>Th</w:t>
      </w:r>
      <w:r>
        <w:rPr>
          <w:rFonts w:eastAsia="Times New Roman"/>
          <w:color w:val="000000"/>
          <w:szCs w:val="24"/>
          <w:lang w:eastAsia="en-AU"/>
        </w:rPr>
        <w:t>e Amendment</w:t>
      </w:r>
      <w:r w:rsidRPr="004534C7">
        <w:rPr>
          <w:rFonts w:eastAsia="Times New Roman"/>
          <w:color w:val="000000"/>
          <w:szCs w:val="24"/>
          <w:lang w:eastAsia="en-AU"/>
        </w:rPr>
        <w:t xml:space="preserve"> </w:t>
      </w:r>
      <w:r w:rsidR="00FE07EF">
        <w:rPr>
          <w:rFonts w:eastAsia="Times New Roman"/>
          <w:color w:val="000000"/>
          <w:szCs w:val="24"/>
          <w:lang w:eastAsia="en-AU"/>
        </w:rPr>
        <w:t>Instrument</w:t>
      </w:r>
      <w:r w:rsidRPr="004534C7">
        <w:rPr>
          <w:rFonts w:eastAsia="Times New Roman"/>
          <w:color w:val="000000"/>
          <w:szCs w:val="24"/>
          <w:lang w:eastAsia="en-AU"/>
        </w:rPr>
        <w:t xml:space="preserve"> </w:t>
      </w:r>
      <w:r w:rsidR="00FE07EF">
        <w:rPr>
          <w:rFonts w:eastAsia="Times New Roman"/>
          <w:color w:val="000000"/>
          <w:szCs w:val="24"/>
          <w:lang w:eastAsia="en-AU"/>
        </w:rPr>
        <w:t>is</w:t>
      </w:r>
      <w:r w:rsidR="00A614D8">
        <w:rPr>
          <w:rFonts w:eastAsia="Times New Roman"/>
          <w:color w:val="000000"/>
          <w:szCs w:val="24"/>
          <w:lang w:eastAsia="en-AU"/>
        </w:rPr>
        <w:t xml:space="preserve"> </w:t>
      </w:r>
      <w:r w:rsidRPr="004534C7">
        <w:rPr>
          <w:rFonts w:eastAsia="Times New Roman"/>
          <w:color w:val="000000"/>
          <w:szCs w:val="24"/>
          <w:lang w:eastAsia="en-AU"/>
        </w:rPr>
        <w:t>a legislative instrument within the meaning of the </w:t>
      </w:r>
      <w:r w:rsidRPr="008C2C1A">
        <w:rPr>
          <w:rFonts w:eastAsia="Times New Roman"/>
          <w:i/>
          <w:iCs/>
          <w:color w:val="000000"/>
          <w:szCs w:val="24"/>
          <w:lang w:eastAsia="en-AU"/>
        </w:rPr>
        <w:t>Legislation Act 2003</w:t>
      </w:r>
      <w:r w:rsidRPr="004534C7">
        <w:rPr>
          <w:rFonts w:eastAsia="Times New Roman"/>
          <w:color w:val="000000"/>
          <w:szCs w:val="24"/>
          <w:lang w:eastAsia="en-AU"/>
        </w:rPr>
        <w:t xml:space="preserve">. </w:t>
      </w:r>
      <w:r>
        <w:rPr>
          <w:rFonts w:eastAsia="Times New Roman"/>
          <w:color w:val="000000"/>
          <w:szCs w:val="24"/>
          <w:lang w:eastAsia="en-AU"/>
        </w:rPr>
        <w:t>The instrument</w:t>
      </w:r>
      <w:r w:rsidRPr="004534C7">
        <w:rPr>
          <w:rFonts w:eastAsia="Times New Roman"/>
          <w:color w:val="000000"/>
          <w:szCs w:val="24"/>
          <w:lang w:eastAsia="en-AU"/>
        </w:rPr>
        <w:t xml:space="preserve"> commences on the day after it is registered on the Federal Register of Legislation.</w:t>
      </w:r>
      <w:r>
        <w:rPr>
          <w:rFonts w:eastAsia="Times New Roman"/>
          <w:color w:val="000000"/>
          <w:szCs w:val="24"/>
          <w:lang w:eastAsia="en-AU"/>
        </w:rPr>
        <w:t xml:space="preserve"> </w:t>
      </w:r>
      <w:r w:rsidRPr="0068233A">
        <w:rPr>
          <w:szCs w:val="24"/>
        </w:rPr>
        <w:t xml:space="preserve">Details of the </w:t>
      </w:r>
      <w:r>
        <w:rPr>
          <w:szCs w:val="24"/>
        </w:rPr>
        <w:t xml:space="preserve">Amendment </w:t>
      </w:r>
      <w:r w:rsidR="00FE07EF">
        <w:rPr>
          <w:szCs w:val="24"/>
        </w:rPr>
        <w:t>Instrument</w:t>
      </w:r>
      <w:r>
        <w:rPr>
          <w:szCs w:val="24"/>
        </w:rPr>
        <w:t>,</w:t>
      </w:r>
      <w:r w:rsidRPr="00B22E52">
        <w:rPr>
          <w:szCs w:val="24"/>
        </w:rPr>
        <w:t xml:space="preserve"> including commencement details</w:t>
      </w:r>
      <w:r>
        <w:rPr>
          <w:szCs w:val="24"/>
        </w:rPr>
        <w:t>,</w:t>
      </w:r>
      <w:r w:rsidRPr="00B22E52">
        <w:rPr>
          <w:szCs w:val="24"/>
        </w:rPr>
        <w:t xml:space="preserve"> are set out in </w:t>
      </w:r>
      <w:r w:rsidRPr="009B7E47">
        <w:rPr>
          <w:b/>
          <w:bCs/>
          <w:szCs w:val="24"/>
        </w:rPr>
        <w:t>Attachment</w:t>
      </w:r>
      <w:r>
        <w:rPr>
          <w:b/>
          <w:bCs/>
          <w:szCs w:val="24"/>
        </w:rPr>
        <w:t> </w:t>
      </w:r>
      <w:r w:rsidRPr="009B7E47">
        <w:rPr>
          <w:b/>
          <w:bCs/>
          <w:szCs w:val="24"/>
        </w:rPr>
        <w:t>A.</w:t>
      </w:r>
      <w:r w:rsidRPr="00B22E52">
        <w:rPr>
          <w:szCs w:val="24"/>
        </w:rPr>
        <w:t xml:space="preserve"> </w:t>
      </w:r>
      <w:r>
        <w:rPr>
          <w:szCs w:val="24"/>
        </w:rPr>
        <w:t xml:space="preserve"> </w:t>
      </w:r>
    </w:p>
    <w:p w14:paraId="757E4649" w14:textId="06323BC4" w:rsidR="006118FF" w:rsidRDefault="006118FF" w:rsidP="006118FF">
      <w:pPr>
        <w:rPr>
          <w:szCs w:val="24"/>
        </w:rPr>
      </w:pPr>
      <w:r w:rsidRPr="00C74F3C">
        <w:rPr>
          <w:szCs w:val="24"/>
        </w:rPr>
        <w:t>The</w:t>
      </w:r>
      <w:r>
        <w:rPr>
          <w:szCs w:val="24"/>
        </w:rPr>
        <w:t xml:space="preserve"> </w:t>
      </w:r>
      <w:r>
        <w:rPr>
          <w:rFonts w:eastAsia="Times New Roman"/>
          <w:color w:val="000000"/>
          <w:szCs w:val="24"/>
          <w:lang w:eastAsia="en-AU"/>
        </w:rPr>
        <w:t xml:space="preserve">Amendment </w:t>
      </w:r>
      <w:r w:rsidR="00FE07EF">
        <w:rPr>
          <w:rFonts w:eastAsia="Times New Roman"/>
          <w:color w:val="000000"/>
          <w:szCs w:val="24"/>
          <w:lang w:eastAsia="en-AU"/>
        </w:rPr>
        <w:t>Instrument</w:t>
      </w:r>
      <w:r>
        <w:rPr>
          <w:rFonts w:eastAsia="Times New Roman"/>
          <w:color w:val="000000"/>
          <w:szCs w:val="24"/>
          <w:lang w:eastAsia="en-AU"/>
        </w:rPr>
        <w:t xml:space="preserve"> </w:t>
      </w:r>
      <w:r w:rsidR="00FE07EF">
        <w:rPr>
          <w:rFonts w:eastAsia="Times New Roman"/>
          <w:color w:val="000000"/>
          <w:szCs w:val="24"/>
          <w:lang w:eastAsia="en-AU"/>
        </w:rPr>
        <w:t>is</w:t>
      </w:r>
      <w:r w:rsidR="00FE07EF" w:rsidRPr="00C74F3C">
        <w:rPr>
          <w:szCs w:val="24"/>
        </w:rPr>
        <w:t xml:space="preserve"> </w:t>
      </w:r>
      <w:r w:rsidRPr="00C74F3C">
        <w:rPr>
          <w:szCs w:val="24"/>
        </w:rPr>
        <w:t xml:space="preserve">subject to disallowance under section 42 of the </w:t>
      </w:r>
      <w:r w:rsidRPr="00C74F3C">
        <w:rPr>
          <w:i/>
          <w:szCs w:val="24"/>
        </w:rPr>
        <w:t>Legislation Act 2003</w:t>
      </w:r>
      <w:r>
        <w:rPr>
          <w:i/>
          <w:szCs w:val="24"/>
        </w:rPr>
        <w:t xml:space="preserve">. </w:t>
      </w:r>
      <w:r w:rsidRPr="00E161CE">
        <w:rPr>
          <w:szCs w:val="24"/>
        </w:rPr>
        <w:t xml:space="preserve">However, the Amendment </w:t>
      </w:r>
      <w:r w:rsidR="00FE07EF">
        <w:rPr>
          <w:szCs w:val="24"/>
        </w:rPr>
        <w:t>Instrument</w:t>
      </w:r>
      <w:r w:rsidRPr="00E161CE">
        <w:rPr>
          <w:szCs w:val="24"/>
        </w:rPr>
        <w:t xml:space="preserve"> </w:t>
      </w:r>
      <w:r w:rsidR="00FE07EF">
        <w:rPr>
          <w:szCs w:val="24"/>
        </w:rPr>
        <w:t>is</w:t>
      </w:r>
      <w:r w:rsidR="00FE07EF" w:rsidRPr="00E161CE">
        <w:rPr>
          <w:szCs w:val="24"/>
        </w:rPr>
        <w:t xml:space="preserve"> </w:t>
      </w:r>
      <w:r w:rsidRPr="00E161CE">
        <w:rPr>
          <w:szCs w:val="24"/>
        </w:rPr>
        <w:t xml:space="preserve">exempt from sunsetting by regulations made for the purposes of paragraph 54(2)(b) of the </w:t>
      </w:r>
      <w:r w:rsidRPr="0026405A">
        <w:rPr>
          <w:i/>
          <w:iCs/>
          <w:szCs w:val="24"/>
        </w:rPr>
        <w:t>Legislation Act 2003</w:t>
      </w:r>
      <w:r w:rsidRPr="00E161CE">
        <w:rPr>
          <w:szCs w:val="24"/>
        </w:rPr>
        <w:t xml:space="preserve">, which effectively provides that any legislative instrument that is prescribed by regulation for the purposes of that paragraph is exempt from sunsetting. Item 42A(b) in the table in section 12 of the </w:t>
      </w:r>
      <w:r w:rsidRPr="0026405A">
        <w:rPr>
          <w:i/>
          <w:iCs/>
          <w:szCs w:val="24"/>
        </w:rPr>
        <w:t>Legislation (Exemptions and Other Matters) Regulation 2015</w:t>
      </w:r>
      <w:r w:rsidRPr="00E161CE">
        <w:rPr>
          <w:szCs w:val="24"/>
        </w:rPr>
        <w:t xml:space="preserve"> prescribes a rule made under section 22XS of the NGER Act for that purpose. As such, the Amendment </w:t>
      </w:r>
      <w:r w:rsidR="00FE07EF">
        <w:rPr>
          <w:szCs w:val="24"/>
        </w:rPr>
        <w:t>Instrument is</w:t>
      </w:r>
      <w:r w:rsidRPr="00E161CE">
        <w:rPr>
          <w:szCs w:val="24"/>
        </w:rPr>
        <w:t xml:space="preserve"> exempt from sunsetting being a rule made under section 22XS of the NGER Act.</w:t>
      </w:r>
      <w:r>
        <w:rPr>
          <w:szCs w:val="24"/>
        </w:rPr>
        <w:t xml:space="preserve"> </w:t>
      </w:r>
    </w:p>
    <w:p w14:paraId="085B464D" w14:textId="51DBE613" w:rsidR="006118FF" w:rsidRDefault="006118FF" w:rsidP="006118FF">
      <w:pPr>
        <w:rPr>
          <w:rFonts w:ascii="Calibri" w:hAnsi="Calibri" w:cs="Calibri"/>
          <w14:ligatures w14:val="standardContextual"/>
        </w:rPr>
      </w:pPr>
      <w:r>
        <w:t>As outlined above, the NGER Act establishes both a national system for reporting greenhouse and energy information and the Government’s Safeguard Mechanism. Importantly, it prescribes the emissions and/or energy thresholds that trigger a corporation’s reporting obligations. Its objectives are designed to directly support compliance with Australia’s international obligations</w:t>
      </w:r>
      <w:r w:rsidR="002170C0">
        <w:t>, including under the Paris Agreement</w:t>
      </w:r>
      <w:r>
        <w:t xml:space="preserve">. As outlined in the explanatory statement to the </w:t>
      </w:r>
      <w:r>
        <w:rPr>
          <w:i/>
          <w:iCs/>
        </w:rPr>
        <w:t>Legislation (Exemptions and Other Matters) Amendment (Sunsetting and Disallowance Exemptions) Regulation 2016</w:t>
      </w:r>
      <w:r>
        <w:t>, which implemented the sunsetting exemption for instruments made under section 22XS of the NGER Act, the Amend</w:t>
      </w:r>
      <w:r w:rsidR="00FE07EF">
        <w:t>ment Instrument</w:t>
      </w:r>
      <w:r>
        <w:t xml:space="preserve"> </w:t>
      </w:r>
      <w:r w:rsidR="00FE07EF">
        <w:t xml:space="preserve">has </w:t>
      </w:r>
      <w:r>
        <w:t xml:space="preserve">the primary purpose of giving effect to international obligations that are long-term and enduring, and as such it remains appropriate that they are exempt from sunsetting. </w:t>
      </w:r>
      <w:r w:rsidR="002170C0">
        <w:t>This also enhances the investment certainty for the scheme, given the long-lived nature of the facilities and assets covered by the Safeguard Mechanism.</w:t>
      </w:r>
    </w:p>
    <w:p w14:paraId="30A49B1E" w14:textId="77777777" w:rsidR="006118FF" w:rsidRPr="00364EAE" w:rsidRDefault="006118FF" w:rsidP="006118FF">
      <w:pPr>
        <w:pStyle w:val="Heading2"/>
      </w:pPr>
      <w:r w:rsidRPr="00F84EC5">
        <w:t xml:space="preserve">Statement of </w:t>
      </w:r>
      <w:r w:rsidRPr="00364EAE">
        <w:t>Compatibility with Human Rights</w:t>
      </w:r>
    </w:p>
    <w:p w14:paraId="44136436" w14:textId="1A15C5E2" w:rsidR="00D62D04" w:rsidRDefault="006118FF" w:rsidP="00D62D04">
      <w:r>
        <w:rPr>
          <w:rFonts w:eastAsia="Times New Roman"/>
          <w:color w:val="000000"/>
          <w:szCs w:val="24"/>
          <w:lang w:eastAsia="en-AU"/>
        </w:rPr>
        <w:t>The</w:t>
      </w:r>
      <w:r w:rsidRPr="004534C7">
        <w:rPr>
          <w:rFonts w:eastAsia="Times New Roman"/>
          <w:color w:val="000000"/>
          <w:szCs w:val="24"/>
          <w:lang w:eastAsia="en-AU"/>
        </w:rPr>
        <w:t xml:space="preserve"> </w:t>
      </w:r>
      <w:r>
        <w:rPr>
          <w:rFonts w:eastAsia="Times New Roman"/>
          <w:color w:val="000000"/>
          <w:szCs w:val="24"/>
          <w:lang w:eastAsia="en-AU"/>
        </w:rPr>
        <w:t xml:space="preserve">Amendment </w:t>
      </w:r>
      <w:r w:rsidR="00FE07EF">
        <w:rPr>
          <w:rFonts w:eastAsia="Times New Roman"/>
          <w:color w:val="000000"/>
          <w:szCs w:val="24"/>
          <w:lang w:eastAsia="en-AU"/>
        </w:rPr>
        <w:t>Instrument</w:t>
      </w:r>
      <w:r w:rsidRPr="004534C7">
        <w:rPr>
          <w:rFonts w:eastAsia="Times New Roman"/>
          <w:color w:val="000000"/>
          <w:szCs w:val="24"/>
          <w:lang w:eastAsia="en-AU"/>
        </w:rPr>
        <w:t xml:space="preserve"> </w:t>
      </w:r>
      <w:r w:rsidR="009A32A9">
        <w:rPr>
          <w:rFonts w:eastAsia="Times New Roman"/>
          <w:color w:val="000000"/>
          <w:szCs w:val="24"/>
          <w:lang w:eastAsia="en-AU"/>
        </w:rPr>
        <w:t xml:space="preserve">is </w:t>
      </w:r>
      <w:r w:rsidRPr="004534C7">
        <w:rPr>
          <w:rFonts w:eastAsia="Times New Roman"/>
          <w:color w:val="000000"/>
          <w:szCs w:val="24"/>
          <w:lang w:eastAsia="en-AU"/>
        </w:rPr>
        <w:t>compatib</w:t>
      </w:r>
      <w:r>
        <w:rPr>
          <w:rFonts w:eastAsia="Times New Roman"/>
          <w:color w:val="000000"/>
          <w:szCs w:val="24"/>
          <w:lang w:eastAsia="en-AU"/>
        </w:rPr>
        <w:t xml:space="preserve">le with the human rights and freedoms recognised or declared under section 3 of the </w:t>
      </w:r>
      <w:r w:rsidRPr="000168DA">
        <w:rPr>
          <w:rFonts w:eastAsia="Times New Roman"/>
          <w:i/>
          <w:iCs/>
          <w:color w:val="000000"/>
          <w:szCs w:val="24"/>
          <w:lang w:eastAsia="en-AU"/>
        </w:rPr>
        <w:t>Human Rights (Parliamentary Scrutiny) Act 2011.</w:t>
      </w:r>
      <w:r w:rsidRPr="004534C7">
        <w:rPr>
          <w:rFonts w:eastAsia="Times New Roman"/>
          <w:color w:val="000000"/>
          <w:szCs w:val="24"/>
          <w:lang w:eastAsia="en-AU"/>
        </w:rPr>
        <w:t xml:space="preserve"> </w:t>
      </w:r>
      <w:r>
        <w:rPr>
          <w:rFonts w:eastAsia="Times New Roman"/>
          <w:color w:val="000000"/>
          <w:szCs w:val="24"/>
          <w:lang w:eastAsia="en-AU"/>
        </w:rPr>
        <w:t xml:space="preserve">A statement of compatibility </w:t>
      </w:r>
      <w:r w:rsidRPr="004534C7">
        <w:rPr>
          <w:rFonts w:eastAsia="Times New Roman"/>
          <w:color w:val="000000"/>
          <w:szCs w:val="24"/>
          <w:lang w:eastAsia="en-AU"/>
        </w:rPr>
        <w:t xml:space="preserve">is set out </w:t>
      </w:r>
      <w:r w:rsidRPr="009B7E47">
        <w:rPr>
          <w:rFonts w:eastAsia="Times New Roman"/>
          <w:color w:val="000000"/>
          <w:szCs w:val="24"/>
          <w:lang w:eastAsia="en-AU"/>
        </w:rPr>
        <w:t>in </w:t>
      </w:r>
      <w:r w:rsidRPr="009B7E47">
        <w:rPr>
          <w:rFonts w:eastAsia="Times New Roman"/>
          <w:b/>
          <w:bCs/>
          <w:color w:val="000000"/>
          <w:szCs w:val="24"/>
          <w:lang w:eastAsia="en-AU"/>
        </w:rPr>
        <w:t>Attachment B</w:t>
      </w:r>
      <w:r w:rsidR="00D62D04">
        <w:t>.</w:t>
      </w:r>
    </w:p>
    <w:p w14:paraId="532C6FC1" w14:textId="77777777" w:rsidR="00D62D04" w:rsidRDefault="00D62D04" w:rsidP="00D62D04"/>
    <w:p w14:paraId="1103BC73" w14:textId="61E4A9E5" w:rsidR="00D62D04" w:rsidRPr="00D62D04" w:rsidRDefault="00D62D04" w:rsidP="00D62D04">
      <w:pPr>
        <w:sectPr w:rsidR="00D62D04" w:rsidRPr="00D62D04" w:rsidSect="004914B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2FC58720" w14:textId="77777777" w:rsidR="00D62D04" w:rsidRPr="004E3737" w:rsidRDefault="00D62D04" w:rsidP="00D62D04">
      <w:pPr>
        <w:pStyle w:val="Title"/>
        <w:jc w:val="right"/>
      </w:pPr>
      <w:r>
        <w:lastRenderedPageBreak/>
        <w:t>ATTACHMENT A</w:t>
      </w:r>
    </w:p>
    <w:p w14:paraId="47DD9EEE" w14:textId="557661CF" w:rsidR="00D62D04" w:rsidRPr="004E3737" w:rsidRDefault="00D62D04" w:rsidP="00D62D04">
      <w:pPr>
        <w:pStyle w:val="Heading1"/>
      </w:pPr>
      <w:r w:rsidRPr="00E3714D">
        <w:t xml:space="preserve">Details of the </w:t>
      </w:r>
      <w:r w:rsidR="00F72425" w:rsidRPr="00F72425">
        <w:t>National Greenhouse and Energy Reporting Legislation Amendment (Best Practice Emissions Intensities Update) Instrument 2024</w:t>
      </w:r>
    </w:p>
    <w:p w14:paraId="1C26F52B" w14:textId="77777777" w:rsidR="00D62D04" w:rsidRPr="009332B9" w:rsidRDefault="00D62D04" w:rsidP="00D62D04">
      <w:pPr>
        <w:pStyle w:val="Heading2"/>
      </w:pPr>
      <w:r w:rsidRPr="00E3714D">
        <w:t>Section 1 – Name of Instrument</w:t>
      </w:r>
    </w:p>
    <w:p w14:paraId="1D982AE5" w14:textId="630539B5" w:rsidR="00D62D04" w:rsidRPr="009332B9" w:rsidRDefault="00D62D04" w:rsidP="00D62D04">
      <w:pPr>
        <w:rPr>
          <w:i/>
          <w:iCs/>
          <w:szCs w:val="24"/>
        </w:rPr>
      </w:pPr>
      <w:r w:rsidRPr="2B758DB4">
        <w:rPr>
          <w:szCs w:val="24"/>
        </w:rPr>
        <w:t xml:space="preserve">This section specifies the name of the Legislative Instrument as the </w:t>
      </w:r>
      <w:r w:rsidRPr="2B758DB4">
        <w:rPr>
          <w:i/>
          <w:iCs/>
          <w:szCs w:val="24"/>
        </w:rPr>
        <w:t xml:space="preserve">National Greenhouse and Energy Reporting </w:t>
      </w:r>
      <w:r w:rsidR="00FE07EF">
        <w:rPr>
          <w:i/>
          <w:iCs/>
          <w:szCs w:val="24"/>
        </w:rPr>
        <w:t>Legislation</w:t>
      </w:r>
      <w:r w:rsidRPr="2B758DB4">
        <w:rPr>
          <w:i/>
          <w:iCs/>
          <w:szCs w:val="24"/>
        </w:rPr>
        <w:t xml:space="preserve"> Amendment (</w:t>
      </w:r>
      <w:r w:rsidR="00B64F36">
        <w:rPr>
          <w:i/>
          <w:iCs/>
          <w:szCs w:val="24"/>
        </w:rPr>
        <w:t>Best Practice Emissions Intensit</w:t>
      </w:r>
      <w:r w:rsidR="00FB47FC">
        <w:rPr>
          <w:i/>
          <w:iCs/>
          <w:szCs w:val="24"/>
        </w:rPr>
        <w:t>ies</w:t>
      </w:r>
      <w:r w:rsidR="00247349">
        <w:rPr>
          <w:i/>
          <w:iCs/>
          <w:szCs w:val="24"/>
        </w:rPr>
        <w:t xml:space="preserve"> Update</w:t>
      </w:r>
      <w:r w:rsidRPr="2B758DB4">
        <w:rPr>
          <w:i/>
          <w:iCs/>
          <w:szCs w:val="24"/>
        </w:rPr>
        <w:t xml:space="preserve">) </w:t>
      </w:r>
      <w:r w:rsidR="00FE07EF">
        <w:rPr>
          <w:i/>
          <w:iCs/>
          <w:szCs w:val="24"/>
        </w:rPr>
        <w:t>Instrument</w:t>
      </w:r>
      <w:r w:rsidRPr="2B758DB4">
        <w:rPr>
          <w:i/>
          <w:iCs/>
          <w:szCs w:val="24"/>
        </w:rPr>
        <w:t xml:space="preserve"> 2024</w:t>
      </w:r>
      <w:r w:rsidRPr="2B758DB4">
        <w:rPr>
          <w:szCs w:val="24"/>
        </w:rPr>
        <w:t xml:space="preserve"> (the </w:t>
      </w:r>
      <w:r>
        <w:rPr>
          <w:szCs w:val="24"/>
        </w:rPr>
        <w:t xml:space="preserve">Amendment </w:t>
      </w:r>
      <w:r w:rsidR="00FE07EF">
        <w:rPr>
          <w:szCs w:val="24"/>
        </w:rPr>
        <w:t>Instrument</w:t>
      </w:r>
      <w:r w:rsidRPr="2B758DB4">
        <w:rPr>
          <w:szCs w:val="24"/>
        </w:rPr>
        <w:t>)</w:t>
      </w:r>
      <w:r w:rsidRPr="2B758DB4">
        <w:rPr>
          <w:i/>
          <w:iCs/>
          <w:szCs w:val="24"/>
        </w:rPr>
        <w:t>.</w:t>
      </w:r>
    </w:p>
    <w:p w14:paraId="71B25679" w14:textId="77777777" w:rsidR="00D62D04" w:rsidRPr="009332B9" w:rsidRDefault="00D62D04" w:rsidP="00D62D04">
      <w:pPr>
        <w:pStyle w:val="Heading2"/>
      </w:pPr>
      <w:r w:rsidRPr="00E3714D">
        <w:t>Section 2 – Commencement</w:t>
      </w:r>
    </w:p>
    <w:p w14:paraId="61AC6481" w14:textId="77777777" w:rsidR="00D62D04" w:rsidRPr="00E3714D" w:rsidRDefault="00D62D04" w:rsidP="00D62D04">
      <w:pPr>
        <w:rPr>
          <w:szCs w:val="24"/>
        </w:rPr>
      </w:pPr>
      <w:r w:rsidRPr="00D23DE6">
        <w:rPr>
          <w:szCs w:val="24"/>
        </w:rPr>
        <w:t xml:space="preserve">This section provides that the Legislative Instrument commences on </w:t>
      </w:r>
      <w:r w:rsidRPr="001A129C">
        <w:rPr>
          <w:szCs w:val="24"/>
        </w:rPr>
        <w:t xml:space="preserve">the day after registration on the Federal Register of Legislation.  </w:t>
      </w:r>
    </w:p>
    <w:p w14:paraId="2D988F24" w14:textId="77777777" w:rsidR="00D62D04" w:rsidRPr="009332B9" w:rsidRDefault="00D62D04" w:rsidP="00D62D04">
      <w:pPr>
        <w:pStyle w:val="Heading2"/>
      </w:pPr>
      <w:r w:rsidRPr="009332B9">
        <w:t>Section 3 – Authority</w:t>
      </w:r>
    </w:p>
    <w:p w14:paraId="50B82F98" w14:textId="77777777" w:rsidR="00D62D04" w:rsidRPr="00E3714D" w:rsidRDefault="00D62D04" w:rsidP="00D62D04">
      <w:pPr>
        <w:rPr>
          <w:szCs w:val="24"/>
        </w:rPr>
      </w:pPr>
      <w:r w:rsidRPr="00D23DE6">
        <w:rPr>
          <w:szCs w:val="24"/>
        </w:rPr>
        <w:t xml:space="preserve">This section specifies </w:t>
      </w:r>
      <w:r>
        <w:rPr>
          <w:szCs w:val="24"/>
        </w:rPr>
        <w:t xml:space="preserve">that the Legislative Instrument </w:t>
      </w:r>
      <w:r w:rsidRPr="006D0EDC">
        <w:rPr>
          <w:szCs w:val="24"/>
        </w:rPr>
        <w:t xml:space="preserve">is made under section 22XS of the </w:t>
      </w:r>
      <w:r w:rsidRPr="000168DA">
        <w:rPr>
          <w:i/>
          <w:szCs w:val="24"/>
        </w:rPr>
        <w:t xml:space="preserve">National Greenhouse and Energy Reporting Act 2007 </w:t>
      </w:r>
      <w:r w:rsidRPr="000168DA">
        <w:rPr>
          <w:iCs/>
          <w:szCs w:val="24"/>
        </w:rPr>
        <w:t>(</w:t>
      </w:r>
      <w:r>
        <w:rPr>
          <w:iCs/>
          <w:szCs w:val="24"/>
        </w:rPr>
        <w:t xml:space="preserve">the NGER </w:t>
      </w:r>
      <w:r w:rsidRPr="000168DA">
        <w:rPr>
          <w:szCs w:val="24"/>
        </w:rPr>
        <w:t>Act).</w:t>
      </w:r>
      <w:r w:rsidRPr="006D0EDC">
        <w:rPr>
          <w:szCs w:val="24"/>
        </w:rPr>
        <w:t xml:space="preserve"> The power to make legislative instruments under this subsection includes the power to amend or revoke instruments that have already been made, with any doubt about this resolved by subsection 33(3) of the </w:t>
      </w:r>
      <w:r w:rsidRPr="006D0EDC">
        <w:rPr>
          <w:i/>
          <w:szCs w:val="24"/>
        </w:rPr>
        <w:t>Acts Interpretation Act 1901</w:t>
      </w:r>
      <w:r w:rsidRPr="006D0EDC">
        <w:rPr>
          <w:szCs w:val="24"/>
        </w:rPr>
        <w:t>.</w:t>
      </w:r>
    </w:p>
    <w:p w14:paraId="4506BA0D" w14:textId="77777777" w:rsidR="00D62D04" w:rsidRPr="00E3714D" w:rsidRDefault="00D62D04" w:rsidP="00D62D04">
      <w:pPr>
        <w:pStyle w:val="Heading2"/>
      </w:pPr>
      <w:r w:rsidRPr="00E3714D">
        <w:t xml:space="preserve">Section 4 – </w:t>
      </w:r>
      <w:r>
        <w:t>Schedule</w:t>
      </w:r>
      <w:r w:rsidRPr="00E3714D">
        <w:t>s</w:t>
      </w:r>
    </w:p>
    <w:p w14:paraId="2E1C6AC7" w14:textId="77777777" w:rsidR="00D62D04" w:rsidRPr="00E3714D" w:rsidRDefault="00D62D04" w:rsidP="00D62D04">
      <w:pPr>
        <w:rPr>
          <w:szCs w:val="24"/>
        </w:rPr>
      </w:pPr>
      <w:r>
        <w:rPr>
          <w:szCs w:val="24"/>
        </w:rPr>
        <w:t>This section provides that the</w:t>
      </w:r>
      <w:r w:rsidRPr="000168DA">
        <w:rPr>
          <w:szCs w:val="24"/>
        </w:rPr>
        <w:t xml:space="preserve"> </w:t>
      </w:r>
      <w:r w:rsidRPr="000168DA">
        <w:rPr>
          <w:i/>
          <w:iCs/>
          <w:szCs w:val="24"/>
        </w:rPr>
        <w:t xml:space="preserve">National Greenhouse and Energy Reporting (Safeguard Mechanism) Rule 2015 </w:t>
      </w:r>
      <w:r w:rsidRPr="000168DA">
        <w:rPr>
          <w:szCs w:val="24"/>
        </w:rPr>
        <w:t>(</w:t>
      </w:r>
      <w:r>
        <w:rPr>
          <w:szCs w:val="24"/>
        </w:rPr>
        <w:t xml:space="preserve">the Safeguard </w:t>
      </w:r>
      <w:r w:rsidRPr="000168DA">
        <w:rPr>
          <w:szCs w:val="24"/>
        </w:rPr>
        <w:t>Rule</w:t>
      </w:r>
      <w:r>
        <w:rPr>
          <w:szCs w:val="24"/>
        </w:rPr>
        <w:t>s</w:t>
      </w:r>
      <w:r w:rsidRPr="000168DA">
        <w:rPr>
          <w:szCs w:val="24"/>
        </w:rPr>
        <w:t>)</w:t>
      </w:r>
      <w:r>
        <w:rPr>
          <w:i/>
          <w:iCs/>
          <w:szCs w:val="24"/>
        </w:rPr>
        <w:t xml:space="preserve"> </w:t>
      </w:r>
      <w:r>
        <w:rPr>
          <w:szCs w:val="24"/>
        </w:rPr>
        <w:t>are</w:t>
      </w:r>
      <w:r w:rsidRPr="00996197">
        <w:rPr>
          <w:szCs w:val="24"/>
        </w:rPr>
        <w:t xml:space="preserve"> </w:t>
      </w:r>
      <w:r>
        <w:rPr>
          <w:szCs w:val="24"/>
        </w:rPr>
        <w:t>amended, or repealed, as set out in the</w:t>
      </w:r>
      <w:r w:rsidRPr="000168DA">
        <w:rPr>
          <w:szCs w:val="24"/>
        </w:rPr>
        <w:t xml:space="preserve"> </w:t>
      </w:r>
      <w:r>
        <w:rPr>
          <w:szCs w:val="24"/>
        </w:rPr>
        <w:t>amendments outlined</w:t>
      </w:r>
      <w:r w:rsidRPr="000168DA">
        <w:rPr>
          <w:szCs w:val="24"/>
        </w:rPr>
        <w:t xml:space="preserve"> at Schedule 1.</w:t>
      </w:r>
    </w:p>
    <w:p w14:paraId="133916E8" w14:textId="77777777" w:rsidR="00D62D04" w:rsidRPr="000B16B2" w:rsidRDefault="33DD22AA" w:rsidP="00D62D04">
      <w:pPr>
        <w:pStyle w:val="Scheduleheading"/>
        <w:spacing w:before="240" w:after="240"/>
      </w:pPr>
      <w:r>
        <w:t>Schedule 1— Amendments</w:t>
      </w:r>
    </w:p>
    <w:p w14:paraId="5A59016E" w14:textId="07BE2C9D" w:rsidR="525A4D06" w:rsidRPr="00926B54" w:rsidRDefault="525A4D06" w:rsidP="6C794542">
      <w:pPr>
        <w:pStyle w:val="Itemheadings"/>
        <w:rPr>
          <w:i/>
          <w:iCs/>
        </w:rPr>
      </w:pPr>
      <w:r w:rsidRPr="00926B54">
        <w:rPr>
          <w:i/>
          <w:iCs/>
        </w:rPr>
        <w:t>National Greenhouse and Energy Reporting (Measurement) Determination 2008</w:t>
      </w:r>
    </w:p>
    <w:p w14:paraId="5914FA47" w14:textId="78144D8E" w:rsidR="5C1FC8D1" w:rsidRDefault="5C1FC8D1" w:rsidP="6C794542">
      <w:pPr>
        <w:pStyle w:val="Itemheadings"/>
      </w:pPr>
      <w:r>
        <w:t>Item 1</w:t>
      </w:r>
    </w:p>
    <w:p w14:paraId="68C7E32A" w14:textId="1FE54EB9" w:rsidR="5C1FC8D1" w:rsidRDefault="5C1FC8D1" w:rsidP="00926B54">
      <w:r>
        <w:t xml:space="preserve">Updates the </w:t>
      </w:r>
      <w:r w:rsidR="6A76063B">
        <w:t xml:space="preserve">second </w:t>
      </w:r>
      <w:r>
        <w:t>equation in paragraph 5.15(4)</w:t>
      </w:r>
      <w:r w:rsidR="624BBB34">
        <w:t xml:space="preserve"> of the Measurement Determination</w:t>
      </w:r>
      <w:r>
        <w:t xml:space="preserve"> </w:t>
      </w:r>
      <w:r w:rsidR="540270A5">
        <w:t xml:space="preserve">to replace the acronym ‘CEA’ with ‘CEL’. This aligns with changes made by the </w:t>
      </w:r>
      <w:r w:rsidR="78FC5142" w:rsidRPr="00926B54">
        <w:rPr>
          <w:i/>
          <w:iCs/>
        </w:rPr>
        <w:t>National Greenhouse and Energy Reporting (Measurement) Amendment (2024 Update) Determination 2024</w:t>
      </w:r>
      <w:r w:rsidR="78FC5142">
        <w:t xml:space="preserve"> to ach</w:t>
      </w:r>
      <w:r w:rsidR="1801943E">
        <w:t>ie</w:t>
      </w:r>
      <w:r w:rsidR="78FC5142">
        <w:t>ve consist</w:t>
      </w:r>
      <w:r w:rsidR="00D90518">
        <w:t>ent</w:t>
      </w:r>
      <w:r w:rsidR="78FC5142">
        <w:t xml:space="preserve"> use of the term ‘collection efficiency limit’</w:t>
      </w:r>
      <w:r w:rsidR="007B08D2">
        <w:t xml:space="preserve"> and corrects a drafting error</w:t>
      </w:r>
      <w:r w:rsidR="78FC5142">
        <w:t xml:space="preserve">. </w:t>
      </w:r>
    </w:p>
    <w:p w14:paraId="6AA133EF" w14:textId="3E9D4156" w:rsidR="5C1FC8D1" w:rsidRDefault="5C1FC8D1" w:rsidP="6C794542">
      <w:pPr>
        <w:rPr>
          <w:b/>
          <w:bCs/>
        </w:rPr>
      </w:pPr>
      <w:r w:rsidRPr="00926B54">
        <w:rPr>
          <w:b/>
          <w:bCs/>
        </w:rPr>
        <w:t xml:space="preserve">Item 2 </w:t>
      </w:r>
    </w:p>
    <w:p w14:paraId="0898E8BC" w14:textId="77A4725D" w:rsidR="53ECB35D" w:rsidRDefault="53ECB35D" w:rsidP="6C794542">
      <w:r>
        <w:t xml:space="preserve">Provides that amendments made by this instrument </w:t>
      </w:r>
      <w:r w:rsidR="3CE36637">
        <w:t xml:space="preserve">to the Measurement Determination </w:t>
      </w:r>
      <w:r>
        <w:t>apply in relation to the financial year starting 1 July 2024 and later financial years.</w:t>
      </w:r>
      <w:r w:rsidR="3C16BA16">
        <w:t xml:space="preserve"> These amendments will therefore apply </w:t>
      </w:r>
      <w:r w:rsidR="2BF2B191">
        <w:t xml:space="preserve">in relation </w:t>
      </w:r>
      <w:r w:rsidR="3C16BA16">
        <w:t>to a financial year starting prior to commencement of this instrument.</w:t>
      </w:r>
      <w:r w:rsidR="26D4FF02">
        <w:t xml:space="preserve"> This application is necessary and appropriate </w:t>
      </w:r>
      <w:proofErr w:type="gramStart"/>
      <w:r w:rsidR="26D4FF02">
        <w:t>in order to</w:t>
      </w:r>
      <w:proofErr w:type="gramEnd"/>
      <w:r w:rsidR="26D4FF02">
        <w:t xml:space="preserve"> </w:t>
      </w:r>
      <w:r w:rsidR="26D4FF02">
        <w:lastRenderedPageBreak/>
        <w:t xml:space="preserve">ensure that emissions reporting requirements </w:t>
      </w:r>
      <w:r w:rsidR="4711776F">
        <w:t xml:space="preserve">are consistent and reflect the best available data. No person will be disadvantaged by this application as the substance of the amendments </w:t>
      </w:r>
      <w:r w:rsidR="409C328F">
        <w:t xml:space="preserve">was included in a package of proposed amendments which were the subject of customary public consultation in May 2024, and </w:t>
      </w:r>
      <w:r w:rsidR="1F6C8740">
        <w:t xml:space="preserve">submission of NGER scheme reports for the financial year starting on 1 July 2024 is not required until </w:t>
      </w:r>
      <w:r w:rsidR="26FEE3A7">
        <w:t xml:space="preserve">the end of October 2025 (see NGER Act paragraph </w:t>
      </w:r>
      <w:r w:rsidR="007D7EE7">
        <w:t>19</w:t>
      </w:r>
      <w:r w:rsidR="26FEE3A7">
        <w:t>(6)(d)).</w:t>
      </w:r>
      <w:r w:rsidR="00485B85">
        <w:t xml:space="preserve"> In particular, the scope 2 emissions factors are not relevant to the application of the Safeguard Mechanism, which only relates to covered scope 1 emissions. </w:t>
      </w:r>
    </w:p>
    <w:p w14:paraId="42CEE67F" w14:textId="63145B11" w:rsidR="5C1FC8D1" w:rsidRDefault="5C1FC8D1" w:rsidP="6C794542">
      <w:pPr>
        <w:rPr>
          <w:b/>
          <w:bCs/>
        </w:rPr>
      </w:pPr>
      <w:r w:rsidRPr="00926B54">
        <w:rPr>
          <w:b/>
          <w:bCs/>
        </w:rPr>
        <w:t>Item 3</w:t>
      </w:r>
    </w:p>
    <w:p w14:paraId="09F410E1" w14:textId="0D066A9B" w:rsidR="00F95772" w:rsidRDefault="23A6999A" w:rsidP="00F95772">
      <w:r>
        <w:t>Makes a routine annual update to emission factors and residual mix factors prescribed in Part 6 of Schedule 1</w:t>
      </w:r>
      <w:r w:rsidR="11320A5E">
        <w:t xml:space="preserve"> of the Measurement Determination</w:t>
      </w:r>
      <w:r w:rsidR="3E1CDEFB">
        <w:t xml:space="preserve"> (</w:t>
      </w:r>
      <w:r w:rsidR="3E1CDEFB" w:rsidRPr="00926B54">
        <w:rPr>
          <w:i/>
          <w:iCs/>
        </w:rPr>
        <w:t>Indirect (scope 2) emission factors and residual mix factors for consumption of electricity</w:t>
      </w:r>
      <w:r w:rsidR="3E1CDEFB">
        <w:t>)</w:t>
      </w:r>
      <w:r w:rsidR="11320A5E">
        <w:t>.</w:t>
      </w:r>
      <w:r w:rsidR="0048580B">
        <w:t xml:space="preserve"> These factors </w:t>
      </w:r>
      <w:r w:rsidR="0048580B" w:rsidRPr="00491135">
        <w:t xml:space="preserve">are </w:t>
      </w:r>
      <w:r w:rsidR="00F95772" w:rsidRPr="00491135">
        <w:t>applicable when using the location-based method under section 7.2 of the Measurement Determination to estimate scope 2 emissions from the consumption of electricity from the main grid in a state or territory.</w:t>
      </w:r>
    </w:p>
    <w:p w14:paraId="11B41DE4" w14:textId="7A56DE47" w:rsidR="63A39FBD" w:rsidRPr="00926B54" w:rsidRDefault="63A39FBD" w:rsidP="6C794542">
      <w:pPr>
        <w:rPr>
          <w:b/>
          <w:bCs/>
          <w:i/>
          <w:iCs/>
        </w:rPr>
      </w:pPr>
      <w:r w:rsidRPr="00926B54">
        <w:rPr>
          <w:b/>
          <w:bCs/>
          <w:i/>
          <w:iCs/>
        </w:rPr>
        <w:t>National Greenhouse and Energy Reporting (Safeguard Mechanism) Rule 2015</w:t>
      </w:r>
    </w:p>
    <w:p w14:paraId="6588949F" w14:textId="77777777" w:rsidR="0033075A" w:rsidRPr="007C39F0" w:rsidRDefault="0033075A" w:rsidP="0033075A">
      <w:pPr>
        <w:rPr>
          <w:b/>
          <w:bCs/>
        </w:rPr>
      </w:pPr>
      <w:r>
        <w:rPr>
          <w:b/>
          <w:bCs/>
        </w:rPr>
        <w:t>Item 4</w:t>
      </w:r>
    </w:p>
    <w:p w14:paraId="43BA8F46" w14:textId="77777777" w:rsidR="0033075A" w:rsidRDefault="0033075A" w:rsidP="0033075A">
      <w:r>
        <w:t xml:space="preserve">Item 4 introduces a new subsection 17(6) which, to avoid any doubt, clarifies that audit reports conducted for Emissions Intensity Determinations meet the requirements of reasonable assurance engagements consistent with the </w:t>
      </w:r>
      <w:r>
        <w:rPr>
          <w:i/>
          <w:iCs/>
        </w:rPr>
        <w:t xml:space="preserve">National Greenhouse and Energy Reporting (Audit) Determination 2009 </w:t>
      </w:r>
      <w:r>
        <w:t>(NGER Audit Determination 2009) and that the audit team leader is a registered Category 2 auditor under the NGER regulations.  This reflects that the conclusions already required by subsection 17(3) are ‘reasonable assurance conclusions’ that can only be provided in accordance with those requirements and processes set out in the NGER Audit Determination.</w:t>
      </w:r>
    </w:p>
    <w:p w14:paraId="67173F67" w14:textId="77777777" w:rsidR="0033075A" w:rsidRPr="00836E53" w:rsidRDefault="0033075A" w:rsidP="0033075A">
      <w:r>
        <w:t xml:space="preserve">This subsection mirrors the wording for auditing requirements that applied to baseline determination applications prior to the Safeguard Mechanism reforms and is currently referenced in section 80 of the </w:t>
      </w:r>
      <w:r w:rsidRPr="007F7FEC">
        <w:rPr>
          <w:i/>
          <w:iCs/>
        </w:rPr>
        <w:t>Carbon Credits (Carbon Farming Initiative) Rule 2015.</w:t>
      </w:r>
      <w:r>
        <w:t xml:space="preserve"> The re-introduction of this drafting will make clear on the face of the legislation that Emissions Intensity Determinations undergo an appropriate level of scrutiny. </w:t>
      </w:r>
    </w:p>
    <w:p w14:paraId="01E83D7F" w14:textId="77777777" w:rsidR="0033075A" w:rsidRPr="000920B0" w:rsidRDefault="0033075A" w:rsidP="0033075A">
      <w:pPr>
        <w:pStyle w:val="Itemheadings"/>
      </w:pPr>
      <w:r>
        <w:t>Item 5</w:t>
      </w:r>
    </w:p>
    <w:p w14:paraId="458BD3E7" w14:textId="77777777" w:rsidR="0033075A" w:rsidRDefault="0033075A" w:rsidP="0033075A">
      <w:r>
        <w:t xml:space="preserve">Item 5 repeals and substitutes subsection 39(3) to insert additional requirements for non-manufacturing facilities when calculating their revenue for the purpose of applying for a trade-exposed baseline-adjusted determination. In addition to requiring the use of the Australian accounting standards </w:t>
      </w:r>
      <w:r w:rsidRPr="00BE039D">
        <w:t>(</w:t>
      </w:r>
      <w:r>
        <w:t xml:space="preserve">defined in section 4 of the Safeguard Rules to be </w:t>
      </w:r>
      <w:r w:rsidRPr="00BE039D">
        <w:t xml:space="preserve">the accounting standards in force under section 334 of the </w:t>
      </w:r>
      <w:r w:rsidRPr="00926B54">
        <w:rPr>
          <w:i/>
          <w:iCs/>
        </w:rPr>
        <w:t>Corporations Act 2001</w:t>
      </w:r>
      <w:r w:rsidRPr="00BE039D">
        <w:t>)</w:t>
      </w:r>
      <w:r>
        <w:t xml:space="preserve"> as in force at the end of the first financial year, the rule amendment requires non-manufacturing facilities to also calculate revenue in accordance with the EBIT Guidelines in force at that time. All </w:t>
      </w:r>
      <w:r>
        <w:lastRenderedPageBreak/>
        <w:t>previous requirements for non-manufacturing facilities when calculating revenue have been retained.</w:t>
      </w:r>
    </w:p>
    <w:p w14:paraId="204D298D" w14:textId="77777777" w:rsidR="0033075A" w:rsidRDefault="0033075A" w:rsidP="0033075A">
      <w:r>
        <w:t>This requirement is being introduced as stakeholders have provided information to the Government establishing that the Australian accounting standards alone do not provide sufficient direction to enable non-manufacturing facilities to accurately calculate revenue at a facility level or sufficiently accommodate a range of organisational structures. Although the EBIT Guidelines were originally intended only to be used by manufacturing facilities to calculate their EBIT, the guidance provided is agnostic to whether a facility is a manufacturing facility or non-manufacturing facility. The EBIT Guidelines therefore provide an appropriate reference for non-manufacturers to ensure revenue is calculated accurately and assist resolving ambiguity that would occur if only Australian accounting standards were referenced.</w:t>
      </w:r>
    </w:p>
    <w:p w14:paraId="4B3FCE87" w14:textId="77777777" w:rsidR="0033075A" w:rsidRDefault="0033075A" w:rsidP="0033075A">
      <w:r w:rsidRPr="00E161CE">
        <w:rPr>
          <w:rStyle w:val="ui-provider"/>
        </w:rPr>
        <w:t>Subsection 22</w:t>
      </w:r>
      <w:proofErr w:type="gramStart"/>
      <w:r w:rsidRPr="00E161CE">
        <w:rPr>
          <w:rStyle w:val="ui-provider"/>
        </w:rPr>
        <w:t>XS(</w:t>
      </w:r>
      <w:proofErr w:type="gramEnd"/>
      <w:r w:rsidRPr="00E161CE">
        <w:rPr>
          <w:rStyle w:val="ui-provider"/>
        </w:rPr>
        <w:t xml:space="preserve">4) of the NGER Act allows the Safeguard Rules to apply, adopt or incorporate matters contained in other instruments, as in force or existing at a particular time or as in force from time to time. Subsection </w:t>
      </w:r>
      <w:r>
        <w:rPr>
          <w:rStyle w:val="ui-provider"/>
        </w:rPr>
        <w:t>22</w:t>
      </w:r>
      <w:proofErr w:type="gramStart"/>
      <w:r>
        <w:rPr>
          <w:rStyle w:val="ui-provider"/>
        </w:rPr>
        <w:t>XS</w:t>
      </w:r>
      <w:r w:rsidRPr="00E161CE">
        <w:rPr>
          <w:rStyle w:val="ui-provider"/>
        </w:rPr>
        <w:t>(</w:t>
      </w:r>
      <w:proofErr w:type="gramEnd"/>
      <w:r w:rsidRPr="00E161CE">
        <w:rPr>
          <w:rStyle w:val="ui-provider"/>
        </w:rPr>
        <w:t xml:space="preserve">5) ensures the provision in subsection (4) is enabled despite subsection 14(2) of the </w:t>
      </w:r>
      <w:r w:rsidRPr="00E161CE">
        <w:rPr>
          <w:rStyle w:val="ui-provider"/>
          <w:i/>
          <w:iCs/>
        </w:rPr>
        <w:t>Legislation Act 2003</w:t>
      </w:r>
      <w:r w:rsidRPr="00E161CE">
        <w:rPr>
          <w:rStyle w:val="ui-provider"/>
        </w:rPr>
        <w:t xml:space="preserve"> which provides that </w:t>
      </w:r>
      <w:r>
        <w:rPr>
          <w:rStyle w:val="ui-provider"/>
        </w:rPr>
        <w:t xml:space="preserve">an instrument cannot </w:t>
      </w:r>
      <w:r w:rsidRPr="00C95943">
        <w:rPr>
          <w:rStyle w:val="ui-provider"/>
        </w:rPr>
        <w:t>apply, adopt or incorporat</w:t>
      </w:r>
      <w:r>
        <w:rPr>
          <w:rStyle w:val="ui-provider"/>
        </w:rPr>
        <w:t>e</w:t>
      </w:r>
      <w:r w:rsidRPr="00C95943">
        <w:rPr>
          <w:rStyle w:val="ui-provider"/>
        </w:rPr>
        <w:t xml:space="preserve"> any matter contained in an instrument or other writing as in force or existing from time to time</w:t>
      </w:r>
      <w:r w:rsidRPr="00E161CE">
        <w:rPr>
          <w:rStyle w:val="ui-provider"/>
        </w:rPr>
        <w:t>, unless a contrary intention appears.</w:t>
      </w:r>
    </w:p>
    <w:p w14:paraId="69E2F5BF" w14:textId="77777777" w:rsidR="0033075A" w:rsidRDefault="0033075A" w:rsidP="0033075A">
      <w:pPr>
        <w:rPr>
          <w:rStyle w:val="ui-provider"/>
        </w:rPr>
      </w:pPr>
      <w:r w:rsidRPr="00C1610B">
        <w:rPr>
          <w:rStyle w:val="ui-provider"/>
        </w:rPr>
        <w:t xml:space="preserve">Subsections 37(7) and 37(8) </w:t>
      </w:r>
      <w:r>
        <w:rPr>
          <w:rStyle w:val="ui-provider"/>
        </w:rPr>
        <w:t xml:space="preserve">of the Safeguard Rules </w:t>
      </w:r>
      <w:r w:rsidRPr="00C1610B">
        <w:rPr>
          <w:rStyle w:val="ui-provider"/>
        </w:rPr>
        <w:t xml:space="preserve">provide </w:t>
      </w:r>
      <w:r>
        <w:rPr>
          <w:rStyle w:val="ui-provider"/>
        </w:rPr>
        <w:t>for</w:t>
      </w:r>
      <w:r w:rsidRPr="00C1610B">
        <w:rPr>
          <w:rStyle w:val="ui-provider"/>
        </w:rPr>
        <w:t xml:space="preserve"> the Secretary</w:t>
      </w:r>
      <w:r w:rsidRPr="009A71BF">
        <w:rPr>
          <w:color w:val="444444"/>
          <w:sz w:val="22"/>
          <w:shd w:val="clear" w:color="auto" w:fill="FFFFFF"/>
        </w:rPr>
        <w:t xml:space="preserve"> </w:t>
      </w:r>
      <w:r w:rsidRPr="009A71BF">
        <w:t xml:space="preserve">of the </w:t>
      </w:r>
      <w:r>
        <w:t>d</w:t>
      </w:r>
      <w:r w:rsidRPr="009A71BF">
        <w:t>epartment responsible for the administration of the NGER Act</w:t>
      </w:r>
      <w:r w:rsidRPr="00C1610B">
        <w:rPr>
          <w:rStyle w:val="ui-provider"/>
        </w:rPr>
        <w:t xml:space="preserve"> </w:t>
      </w:r>
      <w:r>
        <w:rPr>
          <w:rStyle w:val="ui-provider"/>
        </w:rPr>
        <w:t xml:space="preserve">to make </w:t>
      </w:r>
      <w:r w:rsidRPr="00C1610B">
        <w:rPr>
          <w:rStyle w:val="ui-provider"/>
        </w:rPr>
        <w:t>the EBIT Guidelines</w:t>
      </w:r>
      <w:r>
        <w:rPr>
          <w:rStyle w:val="ui-provider"/>
        </w:rPr>
        <w:t xml:space="preserve">, and for them </w:t>
      </w:r>
      <w:r w:rsidRPr="00C1610B">
        <w:rPr>
          <w:rStyle w:val="ui-provider"/>
        </w:rPr>
        <w:t xml:space="preserve">to be published on the </w:t>
      </w:r>
      <w:r>
        <w:rPr>
          <w:rStyle w:val="ui-provider"/>
        </w:rPr>
        <w:t>d</w:t>
      </w:r>
      <w:r w:rsidRPr="00C1610B">
        <w:rPr>
          <w:rStyle w:val="ui-provider"/>
        </w:rPr>
        <w:t>epartment’s website.</w:t>
      </w:r>
      <w:r>
        <w:t xml:space="preserve"> </w:t>
      </w:r>
      <w:r w:rsidRPr="00C1610B">
        <w:rPr>
          <w:rStyle w:val="ui-provider"/>
        </w:rPr>
        <w:t>These Guidelines are intended to be administrative in nature and not a legislative instrument</w:t>
      </w:r>
      <w:r>
        <w:rPr>
          <w:rStyle w:val="ui-provider"/>
        </w:rPr>
        <w:t>,</w:t>
      </w:r>
      <w:r w:rsidRPr="00C1610B">
        <w:rPr>
          <w:rStyle w:val="ui-provider"/>
        </w:rPr>
        <w:t xml:space="preserve"> but the Regulator has regard to them when assessing </w:t>
      </w:r>
      <w:r>
        <w:rPr>
          <w:rStyle w:val="ui-provider"/>
        </w:rPr>
        <w:t xml:space="preserve">an </w:t>
      </w:r>
      <w:r w:rsidRPr="00C1610B">
        <w:rPr>
          <w:rStyle w:val="ui-provider"/>
        </w:rPr>
        <w:t xml:space="preserve">application </w:t>
      </w:r>
      <w:r>
        <w:rPr>
          <w:rStyle w:val="ui-provider"/>
        </w:rPr>
        <w:t xml:space="preserve">for a </w:t>
      </w:r>
      <w:r w:rsidRPr="003503C1">
        <w:rPr>
          <w:rStyle w:val="ui-provider"/>
        </w:rPr>
        <w:t>determination that a facility is a trade</w:t>
      </w:r>
      <w:r>
        <w:rPr>
          <w:rStyle w:val="ui-provider"/>
        </w:rPr>
        <w:t>-</w:t>
      </w:r>
      <w:r w:rsidRPr="003503C1">
        <w:rPr>
          <w:rStyle w:val="ui-provider"/>
        </w:rPr>
        <w:t>exposed baseline</w:t>
      </w:r>
      <w:r>
        <w:rPr>
          <w:rStyle w:val="ui-provider"/>
        </w:rPr>
        <w:t>-</w:t>
      </w:r>
      <w:r w:rsidRPr="003503C1">
        <w:rPr>
          <w:rStyle w:val="ui-provider"/>
        </w:rPr>
        <w:t>adjusted facility</w:t>
      </w:r>
      <w:r w:rsidRPr="00C1610B">
        <w:rPr>
          <w:rStyle w:val="ui-provider"/>
        </w:rPr>
        <w:t>.</w:t>
      </w:r>
    </w:p>
    <w:p w14:paraId="42FA7F05" w14:textId="2D5C9F3E" w:rsidR="0033075A" w:rsidRDefault="0033075A" w:rsidP="0033075A">
      <w:r>
        <w:t>In August 2024, the EBIT Guidelines could be freely accessed from:</w:t>
      </w:r>
      <w:r>
        <w:br/>
      </w:r>
      <w:r w:rsidRPr="00C025AE">
        <w:t>https://www.dcceew.gov.au/climate-change/emissions-reporting/national-greenhouse-energy-reporting-scheme/safeguard-mechanism</w:t>
      </w:r>
    </w:p>
    <w:p w14:paraId="1EE7CC78" w14:textId="77777777" w:rsidR="0033075A" w:rsidRDefault="0033075A" w:rsidP="0033075A">
      <w:pPr>
        <w:pStyle w:val="Itemheadings"/>
      </w:pPr>
      <w:r>
        <w:t>Item 6</w:t>
      </w:r>
    </w:p>
    <w:p w14:paraId="3D9BCF6A" w14:textId="77777777" w:rsidR="0033075A" w:rsidRPr="00CA4F3E" w:rsidRDefault="0033075A" w:rsidP="0033075A">
      <w:r>
        <w:t>Item 6 inserts new subsection 39(3A) which mirrors existing subsection 37(3) to state that the EBIT Guidelines prevail</w:t>
      </w:r>
      <w:r w:rsidRPr="00926CA5">
        <w:t xml:space="preserve"> </w:t>
      </w:r>
      <w:r>
        <w:t>over the Australian accounting standards to the extent of any inconsistency. This is because the guidelines are more specific to provide clarity to the entities making the relevant applications and resolve ambiguity that would be created by only applying the Australian accounting standards.</w:t>
      </w:r>
    </w:p>
    <w:p w14:paraId="1D70FBB6" w14:textId="77777777" w:rsidR="0033075A" w:rsidRPr="004F5BBE" w:rsidRDefault="0033075A" w:rsidP="0033075A">
      <w:pPr>
        <w:rPr>
          <w:b/>
          <w:bCs/>
        </w:rPr>
      </w:pPr>
      <w:r>
        <w:rPr>
          <w:b/>
          <w:bCs/>
        </w:rPr>
        <w:t>Item 7</w:t>
      </w:r>
    </w:p>
    <w:p w14:paraId="127545AB" w14:textId="77777777" w:rsidR="0033075A" w:rsidRDefault="0033075A" w:rsidP="0033075A">
      <w:r>
        <w:t xml:space="preserve">Item 7 introduces a new subsection 40(4) which, to avoid any doubt, clarifies that audit reports conducted for trade-exposed baseline-adjusted determination applications meet the requirements of reasonable assurance engagements consistent with the NGER Audit Determination 2009 and that the audit team leader is a registered Category 2 auditor under </w:t>
      </w:r>
      <w:r>
        <w:lastRenderedPageBreak/>
        <w:t xml:space="preserve">the NGER Regulations.  This reflects that the conclusions already required by subsection 40(3) are ‘reasonable assurance conclusions’ that can only be provided in accordance with those requirements and processes set out in the NGER Audit Determination. </w:t>
      </w:r>
    </w:p>
    <w:p w14:paraId="782CB0D3" w14:textId="704D3A45" w:rsidR="0033075A" w:rsidRPr="0033075A" w:rsidRDefault="0033075A" w:rsidP="00016FD5">
      <w:r>
        <w:t xml:space="preserve">This subsection mirrors the wording for auditing requirements that applied to baseline determination applications prior to the Safeguard Mechanism reforms and is currently referenced in section 80 of the </w:t>
      </w:r>
      <w:r w:rsidRPr="007F7FEC">
        <w:rPr>
          <w:i/>
          <w:iCs/>
        </w:rPr>
        <w:t>Carbon Credits (Carbon Farming Initiative) Rule 2015.</w:t>
      </w:r>
      <w:r>
        <w:t xml:space="preserve"> The re-introduction of this drafting will make clear on the face of the legislation that trade-exposed baseline-adjusted determinations undergo an appropriate level of scrutiny. </w:t>
      </w:r>
    </w:p>
    <w:p w14:paraId="7CBE7C8C" w14:textId="47DF1AB3" w:rsidR="006664C0" w:rsidRDefault="006664C0" w:rsidP="006664C0">
      <w:pPr>
        <w:pStyle w:val="Itemheadings"/>
      </w:pPr>
      <w:r>
        <w:t>Item 8</w:t>
      </w:r>
    </w:p>
    <w:p w14:paraId="24DBC6BE" w14:textId="61AF0231" w:rsidR="006664C0" w:rsidRDefault="00122E2B" w:rsidP="006664C0">
      <w:r>
        <w:t xml:space="preserve">Item 8 </w:t>
      </w:r>
      <w:r w:rsidR="00BE5870">
        <w:t xml:space="preserve">updates subparagraph </w:t>
      </w:r>
      <w:r w:rsidR="003F337F">
        <w:t>42(2)(a)(iv) by changing “greenhouse gases” to “</w:t>
      </w:r>
      <w:r w:rsidR="006664C0">
        <w:t>covered emissions</w:t>
      </w:r>
      <w:r w:rsidR="004C483D">
        <w:t xml:space="preserve"> of greenhouse gases”.</w:t>
      </w:r>
      <w:r w:rsidR="005272F1">
        <w:t xml:space="preserve"> This updates a requirement that must be met for the Regulator to make a </w:t>
      </w:r>
      <w:r w:rsidR="008037FC">
        <w:t>trade-exposed baseline-adjusted</w:t>
      </w:r>
      <w:r w:rsidR="005272F1">
        <w:t xml:space="preserve"> determination, so that it relates to covered emissions (rather tha</w:t>
      </w:r>
      <w:r w:rsidR="001472D3">
        <w:t>n</w:t>
      </w:r>
      <w:r w:rsidR="005272F1">
        <w:t xml:space="preserve"> total emissions), </w:t>
      </w:r>
      <w:r w:rsidR="00ED5022">
        <w:t>reflecting the original intent of this provision.</w:t>
      </w:r>
    </w:p>
    <w:p w14:paraId="5E9B01C1" w14:textId="0A2563F9" w:rsidR="006664C0" w:rsidRPr="006664C0" w:rsidRDefault="00102216" w:rsidP="00102216">
      <w:pPr>
        <w:pStyle w:val="Itemheadings"/>
      </w:pPr>
      <w:r>
        <w:t>Item 9</w:t>
      </w:r>
    </w:p>
    <w:p w14:paraId="760CE70C" w14:textId="55102862" w:rsidR="009553B1" w:rsidRDefault="008A5934" w:rsidP="009553B1">
      <w:r>
        <w:t xml:space="preserve">Item </w:t>
      </w:r>
      <w:r w:rsidR="00102216">
        <w:t xml:space="preserve">9 </w:t>
      </w:r>
      <w:r w:rsidRPr="008A5934">
        <w:t>introduces a new subsection to section 72 that requires the Clean Energy Regulator to publish, by 15 April each year, the methods that each Safeguard Mechanism facility used to estimate each source of fugitive methane emissions from coal mining, oil and natural gas activities, for the previous financial year.</w:t>
      </w:r>
    </w:p>
    <w:p w14:paraId="7471F866" w14:textId="6E948B63" w:rsidR="00503784" w:rsidRDefault="00503784" w:rsidP="00503784">
      <w:pPr>
        <w:pStyle w:val="Itemheadings"/>
      </w:pPr>
      <w:r>
        <w:t>Item 10</w:t>
      </w:r>
    </w:p>
    <w:p w14:paraId="1B72B8FC" w14:textId="77777777" w:rsidR="00F15141" w:rsidRDefault="008C0C00" w:rsidP="00503784">
      <w:r>
        <w:t xml:space="preserve">Item 10 adds </w:t>
      </w:r>
      <w:r w:rsidR="00B04BE9">
        <w:t>new section 93, containing a</w:t>
      </w:r>
      <w:r w:rsidR="00503784">
        <w:t>pplication and transitional provisions</w:t>
      </w:r>
      <w:r w:rsidR="00B04BE9">
        <w:t xml:space="preserve"> related to the Amendment Instrument.</w:t>
      </w:r>
      <w:r w:rsidR="005674D7">
        <w:t xml:space="preserve"> It provides that </w:t>
      </w:r>
      <w:r w:rsidR="00B14AC2">
        <w:t>baselines for the financial years 2023-24 and 2024</w:t>
      </w:r>
      <w:r w:rsidR="00B14AC2">
        <w:noBreakHyphen/>
        <w:t xml:space="preserve">25 </w:t>
      </w:r>
      <w:r w:rsidR="004371C1">
        <w:t xml:space="preserve">reflect best practice emissions intensity values in force </w:t>
      </w:r>
      <w:r w:rsidR="00851D9B">
        <w:t xml:space="preserve">immediately </w:t>
      </w:r>
      <w:r w:rsidR="00FF206C">
        <w:t xml:space="preserve">after the commencement of the Amendment </w:t>
      </w:r>
      <w:r w:rsidR="000C161E">
        <w:t>Instrument.</w:t>
      </w:r>
      <w:r w:rsidR="00002444">
        <w:t xml:space="preserve"> It </w:t>
      </w:r>
      <w:r w:rsidR="00EA35C9">
        <w:t xml:space="preserve">also </w:t>
      </w:r>
      <w:r w:rsidR="00002444">
        <w:t>provides that baselines for the financial year 2024</w:t>
      </w:r>
      <w:r w:rsidR="00002444">
        <w:noBreakHyphen/>
        <w:t xml:space="preserve">25 reflect </w:t>
      </w:r>
      <w:r w:rsidR="008B39DE">
        <w:t>default</w:t>
      </w:r>
      <w:r w:rsidR="00002444">
        <w:t xml:space="preserve"> emissions intensity values in force immediately after the commencement of the Amendment Instrument.</w:t>
      </w:r>
    </w:p>
    <w:p w14:paraId="06E045CC" w14:textId="06CC5A93" w:rsidR="00503784" w:rsidRPr="00503784" w:rsidRDefault="00C658BB" w:rsidP="00503784">
      <w:r>
        <w:t>In addition, it provides that if a</w:t>
      </w:r>
      <w:r w:rsidR="00F15141">
        <w:t xml:space="preserve"> </w:t>
      </w:r>
      <w:r w:rsidR="00F15141" w:rsidRPr="00F15141">
        <w:t>default emissions intensity for the gaseous hydrogen production variable</w:t>
      </w:r>
      <w:r w:rsidR="00F15141">
        <w:t xml:space="preserve"> is being used</w:t>
      </w:r>
      <w:r w:rsidR="00171780">
        <w:t xml:space="preserve"> in relation to a baseline for 2023-24, </w:t>
      </w:r>
      <w:r w:rsidR="00251814">
        <w:t>the default emissions intensity value</w:t>
      </w:r>
      <w:r w:rsidR="00251814" w:rsidRPr="00251814">
        <w:t xml:space="preserve"> </w:t>
      </w:r>
      <w:r w:rsidR="00251814">
        <w:t xml:space="preserve">in force immediately after the commencement of the Amendment Instrument should be used. This reflects that </w:t>
      </w:r>
      <w:r w:rsidR="006D3B30">
        <w:t>there was not a default emissions intensity for gaseous hydrogen that had been specified prior to the Amendment Instrument.</w:t>
      </w:r>
    </w:p>
    <w:p w14:paraId="39445462" w14:textId="67EA0BE5" w:rsidR="009553B1" w:rsidRDefault="009553B1" w:rsidP="009553B1">
      <w:pPr>
        <w:pStyle w:val="Itemheadings"/>
      </w:pPr>
      <w:r>
        <w:t xml:space="preserve">Item </w:t>
      </w:r>
      <w:r w:rsidR="00503784">
        <w:t>11</w:t>
      </w:r>
    </w:p>
    <w:p w14:paraId="6081D7DC" w14:textId="7373ABCD" w:rsidR="005E5F5A" w:rsidRDefault="005E5F5A" w:rsidP="005E5F5A">
      <w:r>
        <w:t xml:space="preserve">Item </w:t>
      </w:r>
      <w:r w:rsidR="00503784">
        <w:t>11</w:t>
      </w:r>
      <w:r>
        <w:t xml:space="preserve"> inserts a best practice emissions intensity number for ‘ammonia’ into Schedule</w:t>
      </w:r>
      <w:r w:rsidR="00503784">
        <w:t> </w:t>
      </w:r>
      <w:r>
        <w:t xml:space="preserve">1. </w:t>
      </w:r>
    </w:p>
    <w:p w14:paraId="7043076F" w14:textId="77777777" w:rsidR="005E5F5A" w:rsidRDefault="005E5F5A" w:rsidP="005E5F5A">
      <w:pPr>
        <w:rPr>
          <w:szCs w:val="24"/>
        </w:rPr>
      </w:pPr>
      <w:r>
        <w:rPr>
          <w:szCs w:val="24"/>
        </w:rPr>
        <w:t xml:space="preserve">Consistent with the Guidelines, the number is based on a supplementary approach as suitable global data was not available and the relevant domestic data set produced a number that was lower than the equivalent number for hydrogen production. This was considered inappropriate, as ammonia production requires hydrogen to be produced as an intermediate step. </w:t>
      </w:r>
    </w:p>
    <w:p w14:paraId="56811878" w14:textId="77777777" w:rsidR="005E5F5A" w:rsidRDefault="005E5F5A" w:rsidP="005E5F5A">
      <w:pPr>
        <w:rPr>
          <w:szCs w:val="24"/>
        </w:rPr>
      </w:pPr>
      <w:r>
        <w:rPr>
          <w:szCs w:val="24"/>
        </w:rPr>
        <w:lastRenderedPageBreak/>
        <w:t xml:space="preserve">The supplementary approach uses the same engineered calculation that was used for the hydrogen best practice number. It is based on gas-fuelled steam methane reforming technology, which was assessed as being the lowest emissions-intensity commercial hydrogen production (that is, not a pilot or demonstration plant and not receiving significant subsidies). The engineered number assumes a best practice efficiency of the steam methane reforming reaction of 80%; a methane destruction efficiency of 98%; and no carbon capture and storage. </w:t>
      </w:r>
    </w:p>
    <w:p w14:paraId="3194AA35" w14:textId="77777777" w:rsidR="005E5F5A" w:rsidRDefault="005E5F5A" w:rsidP="005E5F5A">
      <w:pPr>
        <w:rPr>
          <w:szCs w:val="24"/>
        </w:rPr>
      </w:pPr>
      <w:r>
        <w:rPr>
          <w:szCs w:val="24"/>
        </w:rPr>
        <w:t xml:space="preserve">It also assumes the process for transforming hydrogen to ammonia is a combination of waste heat recovery and electrification. If there are additional emissions from generating electricity at the facility, this is covered by the on-site electricity production variable. If grid electricity is used, these are scope 2 emissions and not covered by the Safeguard Mechanism. The treatment of on-site electricity generation is consistent for all facilities across the Safeguard Mechanism. </w:t>
      </w:r>
    </w:p>
    <w:p w14:paraId="1FAB5363" w14:textId="2E29431B" w:rsidR="009553B1" w:rsidRPr="005E5F5A" w:rsidRDefault="005E5F5A" w:rsidP="005E5F5A">
      <w:pPr>
        <w:rPr>
          <w:szCs w:val="24"/>
        </w:rPr>
      </w:pPr>
      <w:r>
        <w:rPr>
          <w:szCs w:val="24"/>
        </w:rPr>
        <w:t xml:space="preserve">As the calculation of the number did not depend on international data, consideration of an adjustment for Australian conditions was not required. </w:t>
      </w:r>
    </w:p>
    <w:p w14:paraId="1F90C313" w14:textId="6AD6C455" w:rsidR="00A060FD" w:rsidRDefault="00A060FD" w:rsidP="009553B1">
      <w:pPr>
        <w:pStyle w:val="Itemheadings"/>
      </w:pPr>
      <w:r>
        <w:t xml:space="preserve">Item </w:t>
      </w:r>
      <w:r w:rsidR="004C4A3C">
        <w:t xml:space="preserve">12 </w:t>
      </w:r>
    </w:p>
    <w:p w14:paraId="39D3544D" w14:textId="271318B1" w:rsidR="00697CE5" w:rsidRDefault="00697CE5" w:rsidP="00C91CD6">
      <w:r>
        <w:t xml:space="preserve">Item </w:t>
      </w:r>
      <w:r w:rsidR="004C4A3C">
        <w:t xml:space="preserve">12 </w:t>
      </w:r>
      <w:r>
        <w:t>inserts a best practice emissions intensity number for urea into Schedule 1</w:t>
      </w:r>
      <w:r w:rsidR="004C4A3C">
        <w:t>, which is referred to by its other name ‘carbamide’</w:t>
      </w:r>
      <w:r>
        <w:t xml:space="preserve">. </w:t>
      </w:r>
    </w:p>
    <w:p w14:paraId="7B55DC58" w14:textId="77777777" w:rsidR="00697CE5" w:rsidRDefault="00697CE5" w:rsidP="00C91CD6">
      <w:r>
        <w:t xml:space="preserve">Consistent with the Guidelines, the number is based on a supplementary approach as suitable global or domestic data was not available. </w:t>
      </w:r>
    </w:p>
    <w:p w14:paraId="27F31C06" w14:textId="77777777" w:rsidR="00697CE5" w:rsidRDefault="00697CE5" w:rsidP="00C91CD6">
      <w:r>
        <w:t xml:space="preserve">The supplementary approach uses an engineered calculation. The calculation assumes the best practice heating process is electric or waste heat recovered, while compression is fuelled by natural gas. It assumes a best practice compressor efficiency of 85% for the compression of ammonia and carbon dioxide in the urea making process. </w:t>
      </w:r>
    </w:p>
    <w:p w14:paraId="66163108" w14:textId="3486D5FE" w:rsidR="009553B1" w:rsidRPr="009553B1" w:rsidRDefault="00697CE5" w:rsidP="00C91CD6">
      <w:r>
        <w:t>As the calculation of the number did not depend on international data, consideration of an adjustment for Australian conditions was not required.</w:t>
      </w:r>
    </w:p>
    <w:p w14:paraId="28D80D2D" w14:textId="22A6FAFF" w:rsidR="009553B1" w:rsidRDefault="009553B1" w:rsidP="009553B1">
      <w:pPr>
        <w:pStyle w:val="Itemheadings"/>
      </w:pPr>
      <w:r>
        <w:t xml:space="preserve">Item </w:t>
      </w:r>
      <w:r w:rsidR="00B34EFF">
        <w:t>13</w:t>
      </w:r>
    </w:p>
    <w:p w14:paraId="3ACCCFA9" w14:textId="7AF7C10E" w:rsidR="00DF72FB" w:rsidRDefault="00DF72FB" w:rsidP="00DF72FB">
      <w:r>
        <w:t xml:space="preserve">Item </w:t>
      </w:r>
      <w:r w:rsidR="00B34EFF">
        <w:t xml:space="preserve">13 </w:t>
      </w:r>
      <w:r>
        <w:t>inserts Part 9A into Schedule 1 to include a new production variable for ‘phosphoric acid’, which is applicable to a facility that conducts the activity of producing phosphoric acid from phosphate bearing minerals. The definition has been determined consistent with the Framework Document. The metric is kilolitres of 100% equivalent phosphoric acid contained in a solution where the concentration of phosphoric acid is greater than 70% by weight.</w:t>
      </w:r>
    </w:p>
    <w:p w14:paraId="44196FC4" w14:textId="17DEAEC1" w:rsidR="009C44E9" w:rsidRPr="009C44E9" w:rsidRDefault="009C44E9" w:rsidP="009C44E9">
      <w:r w:rsidRPr="009C44E9">
        <w:t>For a known weight of</w:t>
      </w:r>
      <w:r w:rsidR="003065F2">
        <w:t xml:space="preserve"> phosphoric acid</w:t>
      </w:r>
      <w:r w:rsidRPr="009C44E9">
        <w:t>, its volume may be calculated using a density of 1.8686 t/m³ at 25 °C and atmospheric pressure.</w:t>
      </w:r>
    </w:p>
    <w:p w14:paraId="5E476481" w14:textId="77777777" w:rsidR="00DF72FB" w:rsidRDefault="00DF72FB" w:rsidP="00DF72FB">
      <w:r>
        <w:lastRenderedPageBreak/>
        <w:t xml:space="preserve">The production variable is not applicable to a facility which further processes the phosphoric acid into monoammonium phosphate or diammonium phosphate, as the respective production variables include the production of phosphoric acid. </w:t>
      </w:r>
    </w:p>
    <w:p w14:paraId="73E78818" w14:textId="098E3D8E" w:rsidR="00DF72FB" w:rsidRDefault="00DF72FB" w:rsidP="00DF72FB">
      <w:r>
        <w:t>Consistent with the Guidelines, a best practice emissions intensity number for ‘phosphoric acid’ is also included in this item. The number is based on suitable data from five international facilities located in the United States. According to the Guidelines, the combined production of these five facilities should be compared to the relevant Australian production to confirm the selection of the facilities. However, for ‘phosphoric acid’ there is no relevant Australian production, therefore five facilities are used.</w:t>
      </w:r>
    </w:p>
    <w:p w14:paraId="20F53FE9" w14:textId="5A4B29B9" w:rsidR="009553B1" w:rsidRPr="00DF72FB" w:rsidRDefault="00DF72FB" w:rsidP="003F5E81">
      <w:pPr>
        <w:rPr>
          <w:szCs w:val="24"/>
        </w:rPr>
      </w:pPr>
      <w:r>
        <w:rPr>
          <w:szCs w:val="24"/>
        </w:rPr>
        <w:t xml:space="preserve">The Guidelines state that adjustments for Australian conditions will be made if the relevant international facility has characteristics impossible to replicate in Australia, and this has a material impact on achieving best practice emissions intensity; and that geology and climate are relevant. Adjustments for Australian conditions were not required given the geology and climate of the international facilities were </w:t>
      </w:r>
      <w:r>
        <w:t xml:space="preserve">equivalent to conditions in Australia. </w:t>
      </w:r>
    </w:p>
    <w:p w14:paraId="38FE42C1" w14:textId="30DC13BB" w:rsidR="009553B1" w:rsidRDefault="009553B1" w:rsidP="009553B1">
      <w:pPr>
        <w:pStyle w:val="Itemheadings"/>
      </w:pPr>
      <w:r>
        <w:t xml:space="preserve">Item </w:t>
      </w:r>
      <w:r w:rsidR="008777F9">
        <w:t>14</w:t>
      </w:r>
    </w:p>
    <w:p w14:paraId="7F9E0004" w14:textId="05EDA7AE" w:rsidR="009553B1" w:rsidRPr="009553B1" w:rsidRDefault="008777F9" w:rsidP="003F5E81">
      <w:r>
        <w:t>Item 14</w:t>
      </w:r>
      <w:r w:rsidR="007D482A">
        <w:t xml:space="preserve"> updates the definition of sodium cyanide to change the term ‘hydrogen </w:t>
      </w:r>
      <w:proofErr w:type="spellStart"/>
      <w:r w:rsidR="007D482A">
        <w:t>isocynanine</w:t>
      </w:r>
      <w:proofErr w:type="spellEnd"/>
      <w:r w:rsidR="007D482A">
        <w:t xml:space="preserve">’ where it appears in the definition to ‘hydrogen cyanide’. </w:t>
      </w:r>
    </w:p>
    <w:p w14:paraId="07E2B1DA" w14:textId="771FF800" w:rsidR="009553B1" w:rsidRDefault="009553B1" w:rsidP="009553B1">
      <w:pPr>
        <w:pStyle w:val="Itemheadings"/>
      </w:pPr>
      <w:r>
        <w:t xml:space="preserve">Item </w:t>
      </w:r>
      <w:r w:rsidR="00490A8C">
        <w:t>15</w:t>
      </w:r>
    </w:p>
    <w:p w14:paraId="7CA27C46" w14:textId="0413F644" w:rsidR="009C2B34" w:rsidRDefault="009C2B34" w:rsidP="009C2B34">
      <w:r>
        <w:t xml:space="preserve">Item </w:t>
      </w:r>
      <w:r w:rsidR="00490A8C">
        <w:t xml:space="preserve">15 </w:t>
      </w:r>
      <w:r>
        <w:t>inserts a best practice emissions intensity number for ‘manganese ore’ into Schedule</w:t>
      </w:r>
      <w:r w:rsidR="002C5488">
        <w:t> </w:t>
      </w:r>
      <w:r>
        <w:t>1. The number is based on the top 10 per cent of Australian industry performance, as Australian mines were found to be less emissions-intensive than international mines with suitable data.</w:t>
      </w:r>
    </w:p>
    <w:p w14:paraId="00868777" w14:textId="0CDB4601" w:rsidR="009C2B34" w:rsidRDefault="009C2B34" w:rsidP="009C2B34">
      <w:r>
        <w:t>Consistent with the Guidelines, an emissions intensity was calculated as the production-weighted average of the data from the two lowest emissions intensity mines with suitable data in the world. This consisted of one mine in Australia and one mine in South Africa. This emissions intensity was higher than the emissions intensity of the top 10 per cent of Australian performance, which was calculated using the same data that was used to calculate the default emissions intensity for run-of-mine manganese ore. As such, the emissions intensity corresponding to Australian performance sets the best practice number for ‘manganese ore’.</w:t>
      </w:r>
    </w:p>
    <w:p w14:paraId="49AA3882" w14:textId="12EA28AA" w:rsidR="009553B1" w:rsidRDefault="009C2B34" w:rsidP="003F5E81">
      <w:r>
        <w:rPr>
          <w:szCs w:val="24"/>
        </w:rPr>
        <w:t>As the calculation of the number did not depend on international data, consideration of an adjustment for Australian conditions was not required.</w:t>
      </w:r>
    </w:p>
    <w:p w14:paraId="39ADC44F" w14:textId="531949C9" w:rsidR="009553B1" w:rsidRDefault="009553B1" w:rsidP="009553B1">
      <w:pPr>
        <w:pStyle w:val="Itemheadings"/>
      </w:pPr>
      <w:r>
        <w:t xml:space="preserve">Item </w:t>
      </w:r>
      <w:r w:rsidR="000516BD">
        <w:t>16</w:t>
      </w:r>
    </w:p>
    <w:p w14:paraId="262DA4C1" w14:textId="55C0C012" w:rsidR="002D679B" w:rsidRDefault="002D679B" w:rsidP="002D679B">
      <w:pPr>
        <w:rPr>
          <w:szCs w:val="24"/>
        </w:rPr>
      </w:pPr>
      <w:r>
        <w:rPr>
          <w:szCs w:val="24"/>
        </w:rPr>
        <w:t xml:space="preserve">Item </w:t>
      </w:r>
      <w:r w:rsidR="000516BD">
        <w:rPr>
          <w:szCs w:val="24"/>
        </w:rPr>
        <w:t xml:space="preserve">16 </w:t>
      </w:r>
      <w:r>
        <w:rPr>
          <w:szCs w:val="24"/>
        </w:rPr>
        <w:t>inserts a best practice emissions intensity number for ‘lithium ore’ into Schedule</w:t>
      </w:r>
      <w:r w:rsidR="00CF49B7">
        <w:rPr>
          <w:szCs w:val="24"/>
        </w:rPr>
        <w:t> </w:t>
      </w:r>
      <w:r>
        <w:rPr>
          <w:szCs w:val="24"/>
        </w:rPr>
        <w:t xml:space="preserve">1. Consistent with the Guidelines, the best practice number is based on the top 10 per cent of Australian industry performance, as suitable data could not be found globally for lithium ore </w:t>
      </w:r>
      <w:r>
        <w:rPr>
          <w:szCs w:val="24"/>
        </w:rPr>
        <w:lastRenderedPageBreak/>
        <w:t xml:space="preserve">mining. The number was calculated using the same data that was used to calculate the default number for ‘lithium ore’. </w:t>
      </w:r>
    </w:p>
    <w:p w14:paraId="0A92CC10" w14:textId="67A67CE7" w:rsidR="009553B1" w:rsidRPr="002D679B" w:rsidRDefault="002D679B" w:rsidP="00E3631C">
      <w:pPr>
        <w:rPr>
          <w:szCs w:val="24"/>
        </w:rPr>
      </w:pPr>
      <w:r>
        <w:rPr>
          <w:szCs w:val="24"/>
        </w:rPr>
        <w:t xml:space="preserve">As the calculation of the number did not depend on international data, consideration of an adjustment for Australian conditions was not required. </w:t>
      </w:r>
    </w:p>
    <w:p w14:paraId="5158B6AA" w14:textId="5E9555D1" w:rsidR="009553B1" w:rsidRDefault="009553B1" w:rsidP="009553B1">
      <w:pPr>
        <w:pStyle w:val="Itemheadings"/>
      </w:pPr>
      <w:r>
        <w:t xml:space="preserve">Item </w:t>
      </w:r>
      <w:r w:rsidR="000516BD">
        <w:t>17</w:t>
      </w:r>
    </w:p>
    <w:p w14:paraId="0CE383AF" w14:textId="01BCB189" w:rsidR="009553B1" w:rsidRDefault="00F85382" w:rsidP="00E3631C">
      <w:r>
        <w:t xml:space="preserve">Item </w:t>
      </w:r>
      <w:r w:rsidR="000516BD">
        <w:t>17</w:t>
      </w:r>
      <w:r>
        <w:t xml:space="preserve"> updates the definition of the ‘stabilised crude oil (integrated extraction and stabilisation)’ production variable to refer to both the reservoir </w:t>
      </w:r>
      <w:r w:rsidR="004D2D6A">
        <w:t xml:space="preserve">carbon dioxide </w:t>
      </w:r>
      <w:r>
        <w:t>production variables in sections 35 and 35A of Schedule 1.</w:t>
      </w:r>
    </w:p>
    <w:p w14:paraId="3A8AF265" w14:textId="3EF394D5" w:rsidR="009553B1" w:rsidRDefault="009553B1" w:rsidP="009553B1">
      <w:pPr>
        <w:pStyle w:val="Itemheadings"/>
      </w:pPr>
      <w:r>
        <w:t xml:space="preserve">Item </w:t>
      </w:r>
      <w:r w:rsidR="000516BD">
        <w:t>18</w:t>
      </w:r>
    </w:p>
    <w:p w14:paraId="64B0CF3C" w14:textId="4ED79DF9" w:rsidR="00A7272B" w:rsidRDefault="00A7272B" w:rsidP="00A7272B">
      <w:pPr>
        <w:rPr>
          <w:szCs w:val="24"/>
        </w:rPr>
      </w:pPr>
      <w:r>
        <w:rPr>
          <w:szCs w:val="24"/>
        </w:rPr>
        <w:t>Item 1</w:t>
      </w:r>
      <w:r w:rsidR="000516BD">
        <w:rPr>
          <w:szCs w:val="24"/>
        </w:rPr>
        <w:t>8</w:t>
      </w:r>
      <w:r>
        <w:rPr>
          <w:szCs w:val="24"/>
        </w:rPr>
        <w:t xml:space="preserve"> inserts a best practice emissions intensity number for ‘processed natural gas (processing only)’ into Schedule 1. Consistent with the Guidelines, the number is based on a production-weighted average of the emissions intensity of three gas processing plants. Two are in Norway and one is in the United Kingdom. These were found to be the least emissions-intensive sites globally with suitable data. </w:t>
      </w:r>
    </w:p>
    <w:p w14:paraId="6E0B1FB0" w14:textId="77777777" w:rsidR="00A7272B" w:rsidRDefault="00A7272B" w:rsidP="00A7272B">
      <w:pPr>
        <w:rPr>
          <w:szCs w:val="24"/>
        </w:rPr>
      </w:pPr>
      <w:r>
        <w:rPr>
          <w:szCs w:val="24"/>
        </w:rPr>
        <w:t xml:space="preserve">The production of the lowest emissions intensity facility was greater than Australia’s relevant total production. While the lowest emissions intensity facility could therefore have been used on its own, </w:t>
      </w:r>
      <w:r>
        <w:t xml:space="preserve">consistent with the Guidelines, additional facilities were used for the calculation to produce a more representative number. Two additional facilities were included because the production of the next lowest emissions intensity facility was comparatively very small so did not materially contribute to a more representative number. </w:t>
      </w:r>
    </w:p>
    <w:p w14:paraId="3BCB9C8C" w14:textId="77777777" w:rsidR="00A7272B" w:rsidRDefault="00A7272B" w:rsidP="00A7272B">
      <w:pPr>
        <w:rPr>
          <w:szCs w:val="24"/>
        </w:rPr>
      </w:pPr>
      <w:r>
        <w:rPr>
          <w:szCs w:val="24"/>
        </w:rPr>
        <w:t xml:space="preserve">The Guidelines state that adjustments for Australian conditions will be made if the relevant international facility has characteristics impossible to replicate in Australia, and this has a material impact on achieving best practice emissions intensity; and that geology and climate are relevant. Given there is no universal correlation between the climate temperature and energy requirement for gas processing, on balance it was concluded that adjusting for Australian climatic conditions is unnecessary for ‘processed natural gas (processing only)’. </w:t>
      </w:r>
    </w:p>
    <w:p w14:paraId="10EDCD17" w14:textId="20ECD2DA" w:rsidR="009553B1" w:rsidRPr="00A7272B" w:rsidRDefault="00A7272B" w:rsidP="00E3631C">
      <w:pPr>
        <w:rPr>
          <w:szCs w:val="24"/>
        </w:rPr>
      </w:pPr>
      <w:r>
        <w:rPr>
          <w:szCs w:val="24"/>
        </w:rPr>
        <w:t xml:space="preserve">The best practice number published in the Amendment </w:t>
      </w:r>
      <w:r w:rsidR="00FB5715">
        <w:rPr>
          <w:szCs w:val="24"/>
        </w:rPr>
        <w:t xml:space="preserve">Instrument </w:t>
      </w:r>
      <w:r>
        <w:rPr>
          <w:szCs w:val="24"/>
        </w:rPr>
        <w:t>(0.000243)</w:t>
      </w:r>
      <w:r w:rsidR="00E81167">
        <w:rPr>
          <w:szCs w:val="24"/>
        </w:rPr>
        <w:t xml:space="preserve"> has</w:t>
      </w:r>
      <w:r>
        <w:rPr>
          <w:szCs w:val="24"/>
        </w:rPr>
        <w:t xml:space="preserve"> increased from the number</w:t>
      </w:r>
      <w:r w:rsidR="00052381">
        <w:rPr>
          <w:szCs w:val="24"/>
        </w:rPr>
        <w:t xml:space="preserve"> (0.000178)</w:t>
      </w:r>
      <w:r>
        <w:rPr>
          <w:szCs w:val="24"/>
        </w:rPr>
        <w:t xml:space="preserve"> that was consulted on in </w:t>
      </w:r>
      <w:r w:rsidR="00052381">
        <w:rPr>
          <w:szCs w:val="24"/>
        </w:rPr>
        <w:t xml:space="preserve">a </w:t>
      </w:r>
      <w:r>
        <w:rPr>
          <w:szCs w:val="24"/>
        </w:rPr>
        <w:t>December</w:t>
      </w:r>
      <w:r w:rsidR="00052381">
        <w:rPr>
          <w:szCs w:val="24"/>
        </w:rPr>
        <w:t xml:space="preserve"> 2023</w:t>
      </w:r>
      <w:r>
        <w:rPr>
          <w:szCs w:val="24"/>
        </w:rPr>
        <w:t xml:space="preserve"> exposure draft </w:t>
      </w:r>
      <w:r w:rsidR="00052381" w:rsidRPr="00926B54">
        <w:rPr>
          <w:i/>
          <w:iCs/>
          <w:szCs w:val="24"/>
        </w:rPr>
        <w:t>National Greenhouse and Energy Reporting (Safeguard Mechanism) Amendment (Production Variables Update) Rules (No. 2) 2023</w:t>
      </w:r>
      <w:r>
        <w:rPr>
          <w:szCs w:val="24"/>
        </w:rPr>
        <w:t xml:space="preserve"> due to refining the information on the processing facilities that process gas from multiple gas fields.  </w:t>
      </w:r>
    </w:p>
    <w:p w14:paraId="009E61C1" w14:textId="3861B662" w:rsidR="009553B1" w:rsidRDefault="009553B1" w:rsidP="009553B1">
      <w:pPr>
        <w:pStyle w:val="Itemheadings"/>
      </w:pPr>
      <w:r>
        <w:t>Item 1</w:t>
      </w:r>
      <w:r w:rsidR="008321B4">
        <w:t>9</w:t>
      </w:r>
    </w:p>
    <w:p w14:paraId="2499D76A" w14:textId="179EA87E" w:rsidR="009553B1" w:rsidRDefault="00FF667E" w:rsidP="00293D3D">
      <w:r>
        <w:t>Item 1</w:t>
      </w:r>
      <w:r w:rsidR="008321B4">
        <w:t>9</w:t>
      </w:r>
      <w:r>
        <w:t xml:space="preserve"> amends the integrated natural gas production variable (‘processed natural gas (integrated extraction and processing’), so that it can be used together with the non-integrated natural gas production variable (‘processed natural gas (processing only’). This accommodates a facility that processes gas extracted at the facility </w:t>
      </w:r>
      <w:r>
        <w:rPr>
          <w:i/>
        </w:rPr>
        <w:t>and</w:t>
      </w:r>
      <w:r>
        <w:t xml:space="preserve"> third-party gas. </w:t>
      </w:r>
    </w:p>
    <w:p w14:paraId="6E29F1AB" w14:textId="3CB2A9EA" w:rsidR="009553B1" w:rsidRDefault="009553B1" w:rsidP="009553B1">
      <w:pPr>
        <w:pStyle w:val="Itemheadings"/>
      </w:pPr>
      <w:r>
        <w:lastRenderedPageBreak/>
        <w:t xml:space="preserve">Item </w:t>
      </w:r>
      <w:r w:rsidR="008321B4">
        <w:t>20</w:t>
      </w:r>
    </w:p>
    <w:p w14:paraId="36C1711B" w14:textId="3B662BA6" w:rsidR="001866F4" w:rsidRDefault="001866F4" w:rsidP="001866F4">
      <w:pPr>
        <w:rPr>
          <w:szCs w:val="24"/>
        </w:rPr>
      </w:pPr>
      <w:r>
        <w:rPr>
          <w:szCs w:val="24"/>
        </w:rPr>
        <w:t xml:space="preserve">Item </w:t>
      </w:r>
      <w:r w:rsidR="008321B4">
        <w:rPr>
          <w:szCs w:val="24"/>
        </w:rPr>
        <w:t xml:space="preserve">20 </w:t>
      </w:r>
      <w:r>
        <w:rPr>
          <w:szCs w:val="24"/>
        </w:rPr>
        <w:t xml:space="preserve">inserts a best practice emissions intensity number for ‘processed natural gas (integrated extraction and processing)’ into Schedule 1. The number is based on a production-weighted average of the emissions intensity of two gas processing plants in Norway and the United Kingdom. These were found to be the least emissions-intensive sites globally with suitable data. </w:t>
      </w:r>
    </w:p>
    <w:p w14:paraId="361CFCB0" w14:textId="77777777" w:rsidR="001866F4" w:rsidRDefault="001866F4" w:rsidP="001866F4">
      <w:pPr>
        <w:rPr>
          <w:szCs w:val="24"/>
        </w:rPr>
      </w:pPr>
      <w:r>
        <w:rPr>
          <w:szCs w:val="24"/>
        </w:rPr>
        <w:t xml:space="preserve">The production of the lowest emissions intensity facility was less than 25 per cent of relevant Australian production and including two facilities meant that total production was greater than Australia’s total production. Two facilities were used for the calculation to produce a more </w:t>
      </w:r>
      <w:r>
        <w:t xml:space="preserve">representative </w:t>
      </w:r>
      <w:r>
        <w:rPr>
          <w:szCs w:val="24"/>
        </w:rPr>
        <w:t>number.</w:t>
      </w:r>
    </w:p>
    <w:p w14:paraId="1116CAA6" w14:textId="77777777" w:rsidR="001866F4" w:rsidRDefault="001866F4" w:rsidP="001866F4">
      <w:r>
        <w:t xml:space="preserve">The Guidelines state that adjustments for Australian conditions will be made if the relevant international facility has characteristics impossible to replicate in Australia, and this has a material impact on achieving best practice emissions intensity; and that geology and climate are relevant. The number has not been adjusted for Australian conditions, since geological conditions enabling sufficient pressure to extract the resource without compression are replicable in Australia’s offshore assets. </w:t>
      </w:r>
    </w:p>
    <w:p w14:paraId="6E0EF002" w14:textId="2BFB3D9A" w:rsidR="009553B1" w:rsidRPr="001866F4" w:rsidRDefault="001866F4" w:rsidP="00293D3D">
      <w:pPr>
        <w:rPr>
          <w:szCs w:val="24"/>
        </w:rPr>
      </w:pPr>
      <w:r>
        <w:rPr>
          <w:szCs w:val="24"/>
        </w:rPr>
        <w:t xml:space="preserve">The best practice number in the Amendment </w:t>
      </w:r>
      <w:r w:rsidR="00E81167">
        <w:rPr>
          <w:szCs w:val="24"/>
        </w:rPr>
        <w:t xml:space="preserve">Instrument </w:t>
      </w:r>
      <w:r>
        <w:rPr>
          <w:szCs w:val="24"/>
        </w:rPr>
        <w:t xml:space="preserve">(0.000394) </w:t>
      </w:r>
      <w:r w:rsidR="00E81167">
        <w:rPr>
          <w:szCs w:val="24"/>
        </w:rPr>
        <w:t xml:space="preserve">has </w:t>
      </w:r>
      <w:r>
        <w:rPr>
          <w:szCs w:val="24"/>
        </w:rPr>
        <w:t>increased from the number</w:t>
      </w:r>
      <w:r w:rsidR="00052381">
        <w:rPr>
          <w:szCs w:val="24"/>
        </w:rPr>
        <w:t xml:space="preserve"> (0.000319)</w:t>
      </w:r>
      <w:r>
        <w:rPr>
          <w:szCs w:val="24"/>
        </w:rPr>
        <w:t xml:space="preserve"> that was consulted on in </w:t>
      </w:r>
      <w:r w:rsidR="00052381">
        <w:rPr>
          <w:szCs w:val="24"/>
        </w:rPr>
        <w:t xml:space="preserve">a December 2023 exposure draft </w:t>
      </w:r>
      <w:r w:rsidR="00052381" w:rsidRPr="00093E54">
        <w:rPr>
          <w:i/>
          <w:iCs/>
          <w:szCs w:val="24"/>
        </w:rPr>
        <w:t>National Greenhouse and Energy Reporting (Safeguard Mechanism) Amendment (Production Variables Update) Rules (No. 2) 2023</w:t>
      </w:r>
      <w:r w:rsidR="00052381">
        <w:rPr>
          <w:szCs w:val="24"/>
        </w:rPr>
        <w:t xml:space="preserve"> </w:t>
      </w:r>
      <w:r>
        <w:rPr>
          <w:szCs w:val="24"/>
        </w:rPr>
        <w:t xml:space="preserve">due to more complete information on a facility undertaking drilling alongside extraction. </w:t>
      </w:r>
    </w:p>
    <w:p w14:paraId="740DF0E6" w14:textId="6076FBA9" w:rsidR="009553B1" w:rsidRDefault="009553B1" w:rsidP="009553B1">
      <w:pPr>
        <w:pStyle w:val="Itemheadings"/>
      </w:pPr>
      <w:r>
        <w:t xml:space="preserve">Item </w:t>
      </w:r>
      <w:r w:rsidR="008321B4">
        <w:t>21</w:t>
      </w:r>
    </w:p>
    <w:p w14:paraId="60C28A69" w14:textId="7C8D1944" w:rsidR="00454EDA" w:rsidRDefault="00454EDA" w:rsidP="00454EDA">
      <w:pPr>
        <w:rPr>
          <w:szCs w:val="24"/>
        </w:rPr>
      </w:pPr>
      <w:r>
        <w:rPr>
          <w:szCs w:val="24"/>
        </w:rPr>
        <w:t xml:space="preserve">Item </w:t>
      </w:r>
      <w:r w:rsidR="008321B4">
        <w:rPr>
          <w:szCs w:val="24"/>
        </w:rPr>
        <w:t xml:space="preserve">21 </w:t>
      </w:r>
      <w:r>
        <w:rPr>
          <w:szCs w:val="24"/>
        </w:rPr>
        <w:t xml:space="preserve">inserts a best practice emissions intensity number for ‘liquefied natural gas (from unprocessed natural gas)’ into subsection 32(6) of Schedule 1. </w:t>
      </w:r>
    </w:p>
    <w:p w14:paraId="2244D26F" w14:textId="4C0F4C20" w:rsidR="00454EDA" w:rsidRDefault="00454EDA" w:rsidP="00454EDA">
      <w:pPr>
        <w:rPr>
          <w:szCs w:val="24"/>
        </w:rPr>
      </w:pPr>
      <w:r>
        <w:rPr>
          <w:szCs w:val="24"/>
        </w:rPr>
        <w:t xml:space="preserve">Section 4.7 of the Guidelines provides for supplementary approaches to be considered in circumstances where historical data is either not available, or not suitable for use in calculating benchmarks. Suitable data could not be found globally for this production variable, so consistent with the Guidelines, a supplementary approach was taken. As such, the best practice emissions intensity number was calculated by taking the sum of the best practice emissions intensity numbers for </w:t>
      </w:r>
      <w:r w:rsidR="00361865">
        <w:rPr>
          <w:szCs w:val="24"/>
        </w:rPr>
        <w:t>‘</w:t>
      </w:r>
      <w:r>
        <w:rPr>
          <w:szCs w:val="24"/>
        </w:rPr>
        <w:t xml:space="preserve">natural gas processing (processing only)’ and for ‘liquefied natural gas (from processed natural gas)’. </w:t>
      </w:r>
    </w:p>
    <w:p w14:paraId="102F0695" w14:textId="7461E50D" w:rsidR="00293D3D" w:rsidRPr="00293D3D" w:rsidRDefault="00454EDA" w:rsidP="00293D3D">
      <w:r>
        <w:rPr>
          <w:szCs w:val="24"/>
        </w:rPr>
        <w:t xml:space="preserve">The best practice number published in the Amendment </w:t>
      </w:r>
      <w:r w:rsidR="009244B1">
        <w:rPr>
          <w:szCs w:val="24"/>
        </w:rPr>
        <w:t xml:space="preserve">Instrument </w:t>
      </w:r>
      <w:r>
        <w:rPr>
          <w:szCs w:val="24"/>
        </w:rPr>
        <w:t xml:space="preserve">(0.000876) </w:t>
      </w:r>
      <w:r w:rsidR="009244B1">
        <w:rPr>
          <w:szCs w:val="24"/>
        </w:rPr>
        <w:t xml:space="preserve">has </w:t>
      </w:r>
      <w:r>
        <w:rPr>
          <w:szCs w:val="24"/>
        </w:rPr>
        <w:t>increased from the number</w:t>
      </w:r>
      <w:r w:rsidR="009244B1">
        <w:rPr>
          <w:szCs w:val="24"/>
        </w:rPr>
        <w:t xml:space="preserve"> (0.000801)</w:t>
      </w:r>
      <w:r>
        <w:rPr>
          <w:szCs w:val="24"/>
        </w:rPr>
        <w:t xml:space="preserve"> that was consulted on in the December</w:t>
      </w:r>
      <w:r w:rsidR="004B76AE">
        <w:rPr>
          <w:szCs w:val="24"/>
        </w:rPr>
        <w:t xml:space="preserve"> 2023</w:t>
      </w:r>
      <w:r>
        <w:rPr>
          <w:szCs w:val="24"/>
        </w:rPr>
        <w:t xml:space="preserve"> exposure draft </w:t>
      </w:r>
      <w:r w:rsidR="004B76AE" w:rsidRPr="00926B54">
        <w:rPr>
          <w:i/>
          <w:iCs/>
          <w:szCs w:val="24"/>
        </w:rPr>
        <w:t>National Greenhouse and Energy Reporting (Safeguard Mechanism) Amendment (Production Variables Update) Rules (No. 2) 2023</w:t>
      </w:r>
      <w:r>
        <w:rPr>
          <w:szCs w:val="24"/>
        </w:rPr>
        <w:t xml:space="preserve">. The previous value had taken the sum of the best practice emissions intensity numbers for ‘natural gas processing (integrated extraction and processing)’ and for ‘liquefied natural gas (from processed natural gas)’. </w:t>
      </w:r>
      <w:r>
        <w:t xml:space="preserve">The </w:t>
      </w:r>
      <w:r>
        <w:lastRenderedPageBreak/>
        <w:t>number should not include the emissions from gas extraction. The change is also due to subsequent changes in the best practice numbers of these two production variables.</w:t>
      </w:r>
    </w:p>
    <w:p w14:paraId="010B259A" w14:textId="6A9D2B1E" w:rsidR="009553B1" w:rsidRDefault="009553B1" w:rsidP="009553B1">
      <w:pPr>
        <w:pStyle w:val="Itemheadings"/>
      </w:pPr>
      <w:r>
        <w:t xml:space="preserve">Item </w:t>
      </w:r>
      <w:r w:rsidR="00DD3AA5">
        <w:t>22</w:t>
      </w:r>
    </w:p>
    <w:p w14:paraId="10BCE76C" w14:textId="23FA8025" w:rsidR="00293D3D" w:rsidRDefault="001B5075" w:rsidP="00293D3D">
      <w:r>
        <w:t xml:space="preserve">This item updates the definition of coke oven coke so that it can be produced from material other than coal. This enables coke oven coke to be produced from feedstocks with lower emissions intensity, such as biomass, charcoal and coal blends. </w:t>
      </w:r>
    </w:p>
    <w:p w14:paraId="3C5EF94E" w14:textId="2A8C006E" w:rsidR="00EE50E0" w:rsidRDefault="00EE50E0" w:rsidP="00EE50E0">
      <w:pPr>
        <w:pStyle w:val="Itemheadings"/>
      </w:pPr>
      <w:r>
        <w:t xml:space="preserve">Item </w:t>
      </w:r>
      <w:r w:rsidR="00DD3AA5">
        <w:t>23</w:t>
      </w:r>
    </w:p>
    <w:p w14:paraId="3ECD8218" w14:textId="57F95054" w:rsidR="003E1E31" w:rsidRDefault="003E1E31" w:rsidP="00EE50E0">
      <w:r>
        <w:t xml:space="preserve">Items 23, 24 and 25 update the ‘primary iron’ production variable </w:t>
      </w:r>
      <w:r w:rsidR="00155195">
        <w:t>so that it appropriately reflects technologies that reduce the amount of coke oven coke required to make metallic iron products, when</w:t>
      </w:r>
      <w:r w:rsidR="00CD5F98">
        <w:t xml:space="preserve"> coke oven coke is imported to the facility.</w:t>
      </w:r>
    </w:p>
    <w:p w14:paraId="62E80E9E" w14:textId="77777777" w:rsidR="003D1D88" w:rsidRDefault="0087109A" w:rsidP="00EE50E0">
      <w:r>
        <w:t>Item 23 updates</w:t>
      </w:r>
      <w:r w:rsidR="000A25FE">
        <w:t xml:space="preserve"> </w:t>
      </w:r>
      <w:r w:rsidR="00DC3612">
        <w:t xml:space="preserve">subsection 39(4) of Schedule 1 by updating </w:t>
      </w:r>
      <w:r w:rsidR="000A25FE">
        <w:t xml:space="preserve">an </w:t>
      </w:r>
      <w:r w:rsidR="00402318">
        <w:t xml:space="preserve">equation for </w:t>
      </w:r>
      <w:r w:rsidR="000A25FE">
        <w:t xml:space="preserve">the </w:t>
      </w:r>
      <w:r w:rsidR="009E0E4F" w:rsidRPr="002F5832">
        <w:t>tonnes of metallic iron products</w:t>
      </w:r>
      <w:r w:rsidR="00000177">
        <w:t>,</w:t>
      </w:r>
      <w:r w:rsidR="003D1D88">
        <w:t xml:space="preserve"> so that the equation reads:</w:t>
      </w:r>
    </w:p>
    <w:p w14:paraId="03683D92" w14:textId="5CFA72DB" w:rsidR="003D1D88" w:rsidRPr="00926B54" w:rsidRDefault="003D1D88" w:rsidP="00EE50E0">
      <w:pPr>
        <w:rPr>
          <w:bCs/>
          <w:i/>
          <w:iCs/>
          <w:vertAlign w:val="subscript"/>
        </w:rPr>
      </w:pPr>
      <w:r w:rsidRPr="003D1D88">
        <w:t xml:space="preserve">metallic iron products = </w:t>
      </w:r>
      <w:proofErr w:type="spellStart"/>
      <w:r w:rsidRPr="003D1D88">
        <w:t>Q</w:t>
      </w:r>
      <w:r w:rsidRPr="003D1D88">
        <w:rPr>
          <w:i/>
          <w:vertAlign w:val="subscript"/>
        </w:rPr>
        <w:t>p</w:t>
      </w:r>
      <w:proofErr w:type="spellEnd"/>
      <w:r w:rsidRPr="003D1D88">
        <w:t xml:space="preserve"> + (1 – </w:t>
      </w:r>
      <w:r w:rsidRPr="003D1D88">
        <w:rPr>
          <w:iCs/>
        </w:rPr>
        <w:t>0.108</w:t>
      </w:r>
      <w:r w:rsidRPr="003D1D88">
        <w:t xml:space="preserve"> </w:t>
      </w:r>
      <w:r w:rsidRPr="003D1D88">
        <w:rPr>
          <w:i/>
        </w:rPr>
        <w:t>c</w:t>
      </w:r>
      <w:r w:rsidRPr="003D1D88">
        <w:t>) Q</w:t>
      </w:r>
      <w:r w:rsidRPr="003D1D88">
        <w:rPr>
          <w:i/>
          <w:vertAlign w:val="subscript"/>
        </w:rPr>
        <w:t>i</w:t>
      </w:r>
    </w:p>
    <w:p w14:paraId="37DE49E4" w14:textId="5D84F230" w:rsidR="0087109A" w:rsidRPr="00022809" w:rsidRDefault="003D1D88" w:rsidP="00EE50E0">
      <w:r>
        <w:t xml:space="preserve">This equation </w:t>
      </w:r>
      <w:r w:rsidR="00DC3612">
        <w:t>applies when</w:t>
      </w:r>
      <w:r w:rsidR="00000177">
        <w:t xml:space="preserve"> </w:t>
      </w:r>
      <w:r w:rsidR="00000177" w:rsidRPr="002F5832">
        <w:t>the amount of coke oven coke imported into the facility to produce the metallic iron products is equal to or greater than 5% of the total amount of coke oven coke consumed in carrying on the primary iron production activity</w:t>
      </w:r>
      <w:r w:rsidR="00000177">
        <w:t xml:space="preserve">. </w:t>
      </w:r>
      <w:r w:rsidR="00D00A37">
        <w:t>This update</w:t>
      </w:r>
      <w:r w:rsidR="00CD5F98">
        <w:t xml:space="preserve"> incorporates</w:t>
      </w:r>
      <w:r>
        <w:t xml:space="preserve"> a variable </w:t>
      </w:r>
      <w:r>
        <w:rPr>
          <w:i/>
          <w:iCs/>
        </w:rPr>
        <w:t>c</w:t>
      </w:r>
      <w:r>
        <w:t xml:space="preserve"> into the eq</w:t>
      </w:r>
      <w:r w:rsidR="00022809">
        <w:t xml:space="preserve">uation, which is defined in item 24. When </w:t>
      </w:r>
      <w:r w:rsidR="00022809">
        <w:rPr>
          <w:i/>
          <w:iCs/>
        </w:rPr>
        <w:t>c</w:t>
      </w:r>
      <w:r w:rsidR="00022809">
        <w:t xml:space="preserve"> = 1, the equation is the same as the equation before this amendment</w:t>
      </w:r>
      <w:r w:rsidR="00D53571">
        <w:t xml:space="preserve"> (which </w:t>
      </w:r>
      <w:r w:rsidR="0064225F">
        <w:t xml:space="preserve">specified that the metric was equal to </w:t>
      </w:r>
      <w:proofErr w:type="spellStart"/>
      <w:r w:rsidR="0064225F" w:rsidRPr="0064225F">
        <w:t>Q</w:t>
      </w:r>
      <w:r w:rsidR="0064225F" w:rsidRPr="0064225F">
        <w:rPr>
          <w:i/>
          <w:vertAlign w:val="subscript"/>
        </w:rPr>
        <w:t>p</w:t>
      </w:r>
      <w:proofErr w:type="spellEnd"/>
      <w:r w:rsidR="0064225F" w:rsidRPr="0064225F">
        <w:t xml:space="preserve"> + 0.892 Q</w:t>
      </w:r>
      <w:r w:rsidR="0064225F" w:rsidRPr="0064225F">
        <w:rPr>
          <w:i/>
          <w:vertAlign w:val="subscript"/>
        </w:rPr>
        <w:t>i</w:t>
      </w:r>
      <w:r w:rsidR="0064225F">
        <w:t>).</w:t>
      </w:r>
    </w:p>
    <w:p w14:paraId="3493A4B1" w14:textId="38CB6474" w:rsidR="00DD3AA5" w:rsidRDefault="00DD3AA5" w:rsidP="00DD3AA5">
      <w:pPr>
        <w:pStyle w:val="Itemheadings"/>
      </w:pPr>
      <w:r>
        <w:t>Item 24</w:t>
      </w:r>
    </w:p>
    <w:p w14:paraId="44CE09A4" w14:textId="77777777" w:rsidR="00ED0A9C" w:rsidRDefault="007B0DDF" w:rsidP="00401FEC">
      <w:r>
        <w:t>Item 24 updates</w:t>
      </w:r>
      <w:r w:rsidR="00FD3453">
        <w:t xml:space="preserve"> subsection 39(4) of Schedule 1 by inserting the definition of </w:t>
      </w:r>
      <w:r w:rsidR="00FD3453">
        <w:rPr>
          <w:i/>
          <w:iCs/>
        </w:rPr>
        <w:t>c</w:t>
      </w:r>
      <w:r w:rsidR="00FD3453">
        <w:t xml:space="preserve">, which is used </w:t>
      </w:r>
      <w:r w:rsidR="00EE703E">
        <w:t xml:space="preserve">in the equation updated by item 23. </w:t>
      </w:r>
    </w:p>
    <w:p w14:paraId="4BAC6777" w14:textId="1DCE940B" w:rsidR="007B0DDF" w:rsidRDefault="00ED0A9C" w:rsidP="00401FEC">
      <w:r>
        <w:t>I</w:t>
      </w:r>
      <w:r w:rsidRPr="00ED0A9C">
        <w:t xml:space="preserve">f the facility is using a production process that uses coke oven coke and requires less than 0.4 tonnes of coke oven coke to produce a tonne of metallic iron products for </w:t>
      </w:r>
      <w:proofErr w:type="gramStart"/>
      <w:r w:rsidRPr="00ED0A9C">
        <w:t>the majority of</w:t>
      </w:r>
      <w:proofErr w:type="gramEnd"/>
      <w:r w:rsidRPr="00ED0A9C">
        <w:t xml:space="preserve"> its iron production</w:t>
      </w:r>
      <w:r>
        <w:t xml:space="preserve">, item 24 defines </w:t>
      </w:r>
      <w:r w:rsidR="0089304F">
        <w:rPr>
          <w:i/>
          <w:iCs/>
        </w:rPr>
        <w:t>c</w:t>
      </w:r>
      <w:r w:rsidR="0089304F">
        <w:t xml:space="preserve"> to be equal to </w:t>
      </w:r>
      <w:r w:rsidR="00B06E48" w:rsidRPr="00B06E48">
        <w:t>the number of tonnes of coke oven coke required to produce a tonne of metallic iron products for the facility, divided by 0.468</w:t>
      </w:r>
      <w:r w:rsidR="00B06E48">
        <w:t xml:space="preserve">. </w:t>
      </w:r>
      <w:r w:rsidR="00BA58AF">
        <w:t>The number 0.468 is an estimate of tonne</w:t>
      </w:r>
      <w:r w:rsidR="003B09D4">
        <w:t>s of coke oven coke</w:t>
      </w:r>
      <w:r w:rsidR="00F56CF3">
        <w:t xml:space="preserve"> required to make a tonne of steel, which was used to derive the equation for metallic iron products that is modified by item 23.</w:t>
      </w:r>
    </w:p>
    <w:p w14:paraId="308A7569" w14:textId="31656A8E" w:rsidR="00D32D98" w:rsidRPr="0089304F" w:rsidRDefault="00D32D98" w:rsidP="00401FEC">
      <w:r>
        <w:t>I</w:t>
      </w:r>
      <w:r w:rsidRPr="00ED0A9C">
        <w:t xml:space="preserve">f the facility is using a production process that uses coke oven coke and requires </w:t>
      </w:r>
      <w:r w:rsidR="00D958DF">
        <w:t>more</w:t>
      </w:r>
      <w:r w:rsidRPr="00ED0A9C">
        <w:t xml:space="preserve"> than 0.4 tonnes of coke oven coke to produce a tonne of metallic iron products for </w:t>
      </w:r>
      <w:proofErr w:type="gramStart"/>
      <w:r w:rsidRPr="00ED0A9C">
        <w:t>the majority of</w:t>
      </w:r>
      <w:proofErr w:type="gramEnd"/>
      <w:r w:rsidRPr="00ED0A9C">
        <w:t xml:space="preserve"> its iron production</w:t>
      </w:r>
      <w:r>
        <w:t xml:space="preserve">, item 24 defines </w:t>
      </w:r>
      <w:r>
        <w:rPr>
          <w:i/>
          <w:iCs/>
        </w:rPr>
        <w:t>c</w:t>
      </w:r>
      <w:r>
        <w:t xml:space="preserve"> to be equal to 1.</w:t>
      </w:r>
    </w:p>
    <w:p w14:paraId="0C32F399" w14:textId="2015BC3C" w:rsidR="00401FEC" w:rsidRDefault="00401FEC" w:rsidP="00401FEC">
      <w:pPr>
        <w:pStyle w:val="Itemheadings"/>
      </w:pPr>
      <w:r>
        <w:t>Item 25</w:t>
      </w:r>
    </w:p>
    <w:p w14:paraId="19B7DCBF" w14:textId="338FB83A" w:rsidR="00401FEC" w:rsidRPr="00401FEC" w:rsidRDefault="001627D3" w:rsidP="00401FEC">
      <w:r>
        <w:t xml:space="preserve">Item 25 updates the example in </w:t>
      </w:r>
      <w:r w:rsidR="008A5AC2">
        <w:t>subsection 39(4) of Schedule 1 to reflect the updates in items</w:t>
      </w:r>
      <w:r w:rsidR="0008348F">
        <w:t> 23 and 24.</w:t>
      </w:r>
    </w:p>
    <w:p w14:paraId="6F696560" w14:textId="3C4831CD" w:rsidR="009553B1" w:rsidRDefault="009553B1" w:rsidP="009553B1">
      <w:pPr>
        <w:pStyle w:val="Itemheadings"/>
      </w:pPr>
      <w:r>
        <w:lastRenderedPageBreak/>
        <w:t xml:space="preserve">Item </w:t>
      </w:r>
      <w:r w:rsidR="00AB2568">
        <w:t>2</w:t>
      </w:r>
      <w:r w:rsidR="00D35A4C">
        <w:t>6</w:t>
      </w:r>
    </w:p>
    <w:p w14:paraId="63276A3C" w14:textId="57062B1C" w:rsidR="005B05A8" w:rsidRDefault="00AB2568" w:rsidP="005B05A8">
      <w:r>
        <w:t xml:space="preserve">Item 26 </w:t>
      </w:r>
      <w:r w:rsidR="005A4DA5">
        <w:t xml:space="preserve">updates the definition </w:t>
      </w:r>
      <w:r w:rsidR="00CF5906">
        <w:t>of section 41 of Schedule 1, which defines the primary steel production variable.</w:t>
      </w:r>
    </w:p>
    <w:p w14:paraId="63C87AAA" w14:textId="77777777" w:rsidR="0052359E" w:rsidRDefault="0052359E" w:rsidP="0052359E">
      <w:r>
        <w:t xml:space="preserve">Subsection (1) is updated to indicate that the metric is subject to the adjustments in both subsections (4) and (5). Subsection (4) is the existing adjustment to the metric </w:t>
      </w:r>
      <w:proofErr w:type="gramStart"/>
      <w:r>
        <w:t>as a result of</w:t>
      </w:r>
      <w:proofErr w:type="gramEnd"/>
      <w:r>
        <w:t xml:space="preserve"> imported coke oven coke, which if applicable, should be done before applying the adjustment in subsection (5). </w:t>
      </w:r>
    </w:p>
    <w:p w14:paraId="7CD49BF2" w14:textId="4688E35C" w:rsidR="0032650E" w:rsidRDefault="00F66D8B" w:rsidP="005B05A8">
      <w:r>
        <w:t xml:space="preserve">This item adds a clarification to subsection (2) </w:t>
      </w:r>
      <w:r w:rsidR="001813B6">
        <w:t xml:space="preserve">stating </w:t>
      </w:r>
      <w:r>
        <w:t>that the iron feed material relevant to this production variable may include,</w:t>
      </w:r>
      <w:r w:rsidRPr="00D44C74">
        <w:t xml:space="preserve"> but not </w:t>
      </w:r>
      <w:r>
        <w:t xml:space="preserve">be </w:t>
      </w:r>
      <w:r w:rsidRPr="00D44C74">
        <w:t>solely comprised of, cold ferrous feed</w:t>
      </w:r>
      <w:r>
        <w:t>.</w:t>
      </w:r>
      <w:r w:rsidR="001813B6">
        <w:t xml:space="preserve"> When the iron feed mat</w:t>
      </w:r>
      <w:r w:rsidR="003D05E9">
        <w:t xml:space="preserve">erial is </w:t>
      </w:r>
      <w:r w:rsidR="003D05E9" w:rsidRPr="00D44C74">
        <w:t>solely comprised of cold ferrous feed</w:t>
      </w:r>
      <w:r w:rsidR="003D05E9">
        <w:t>, the ‘c</w:t>
      </w:r>
      <w:r w:rsidR="003D05E9" w:rsidRPr="003D05E9">
        <w:t>ontinuously cast carbon steel products and ingots of carbon steel (manufacture of carbon steel from cold ferrous feed)</w:t>
      </w:r>
      <w:r w:rsidR="003D05E9">
        <w:t>’</w:t>
      </w:r>
      <w:r w:rsidR="002D16EE">
        <w:t xml:space="preserve"> is applicable instead. This item </w:t>
      </w:r>
      <w:r w:rsidR="007F6A9E">
        <w:t>also adds a sentence to the note in subsection (3) stating this.</w:t>
      </w:r>
    </w:p>
    <w:p w14:paraId="7BC9F5E7" w14:textId="6FCB2DB0" w:rsidR="006522CC" w:rsidRDefault="006522CC" w:rsidP="005B05A8">
      <w:r>
        <w:t>Subsection (4) erroneously referred to the</w:t>
      </w:r>
      <w:r w:rsidR="00546A70">
        <w:t xml:space="preserve"> “primary iron production activity”</w:t>
      </w:r>
      <w:r w:rsidR="00EB3BC0">
        <w:t>. This item fixes this error so that subsection (4) now refers to the “primary steel manufacturing activity”.</w:t>
      </w:r>
    </w:p>
    <w:p w14:paraId="2B7A381D" w14:textId="68A8AEBD" w:rsidR="00F62F15" w:rsidRDefault="007434C3" w:rsidP="00F62F15">
      <w:r>
        <w:t>This item also updates s</w:t>
      </w:r>
      <w:r w:rsidR="00663DF0">
        <w:t>ubsection (4)</w:t>
      </w:r>
      <w:r w:rsidR="00663DF0" w:rsidRPr="00663DF0">
        <w:t xml:space="preserve"> </w:t>
      </w:r>
      <w:r w:rsidR="00663DF0">
        <w:t xml:space="preserve">so that the </w:t>
      </w:r>
      <w:r w:rsidR="00F96E17">
        <w:t>‘</w:t>
      </w:r>
      <w:r w:rsidR="00663DF0">
        <w:t>prima</w:t>
      </w:r>
      <w:r w:rsidR="00F96E17">
        <w:t>ry steel’ production variable</w:t>
      </w:r>
      <w:r w:rsidR="00663DF0">
        <w:t xml:space="preserve"> appropriately reflects technologies that reduce the amount of coke oven coke required to make metallic iron products, when coke oven coke is imported to the facility.</w:t>
      </w:r>
      <w:r w:rsidR="00743A22">
        <w:t xml:space="preserve"> </w:t>
      </w:r>
      <w:r w:rsidR="00F62F15" w:rsidRPr="00035087">
        <w:t>The update means that if a facility significantly reduces the amount of coke required to produce steel, the imported coke adjustment is reduced by a corresponding amount. A prospective way to decarbonise steel production involves the use of an electric smelting furnace, which would involve the use of a small amount of coke that may need to be imported. The update would ensure that the adjustment accurately reflects the amount of coke used.</w:t>
      </w:r>
    </w:p>
    <w:p w14:paraId="5C4F1FE8" w14:textId="7F969F94" w:rsidR="00F96E17" w:rsidRDefault="00743A22" w:rsidP="00F96E17">
      <w:r>
        <w:t xml:space="preserve">The equation for </w:t>
      </w:r>
      <w:r w:rsidR="001231D0">
        <w:t>the “t</w:t>
      </w:r>
      <w:r w:rsidRPr="00D836DF">
        <w:t>onnes of continuously cast carbon steel products and ingots of carbon steel</w:t>
      </w:r>
      <w:r w:rsidR="001231D0">
        <w:t>”</w:t>
      </w:r>
      <w:r w:rsidRPr="00D836DF">
        <w:t xml:space="preserve"> </w:t>
      </w:r>
      <w:r w:rsidR="004D52F6">
        <w:t>is updated so that the right</w:t>
      </w:r>
      <w:r w:rsidR="00764EBB">
        <w:t>-</w:t>
      </w:r>
      <w:r w:rsidR="004D52F6">
        <w:t xml:space="preserve">hand side of the equation is </w:t>
      </w:r>
      <w:proofErr w:type="spellStart"/>
      <w:r w:rsidR="004D52F6" w:rsidRPr="00D836DF">
        <w:t>Q</w:t>
      </w:r>
      <w:r w:rsidR="004D52F6" w:rsidRPr="00D836DF">
        <w:rPr>
          <w:i/>
          <w:vertAlign w:val="subscript"/>
        </w:rPr>
        <w:t>p</w:t>
      </w:r>
      <w:proofErr w:type="spellEnd"/>
      <w:r w:rsidR="004D52F6" w:rsidRPr="00D836DF">
        <w:rPr>
          <w:b/>
          <w:i/>
        </w:rPr>
        <w:t> </w:t>
      </w:r>
      <w:r w:rsidR="004D52F6" w:rsidRPr="00D836DF">
        <w:t xml:space="preserve">+ (1 </w:t>
      </w:r>
      <w:r w:rsidR="004D52F6" w:rsidRPr="00D836DF">
        <w:rPr>
          <w:bCs/>
          <w:iCs/>
        </w:rPr>
        <w:t>–</w:t>
      </w:r>
      <w:r w:rsidR="004D52F6" w:rsidRPr="00D836DF">
        <w:t xml:space="preserve"> 0.1 </w:t>
      </w:r>
      <w:r w:rsidR="004D52F6" w:rsidRPr="00D836DF">
        <w:rPr>
          <w:i/>
        </w:rPr>
        <w:t>c</w:t>
      </w:r>
      <w:r w:rsidR="004D52F6" w:rsidRPr="00D836DF">
        <w:t>) Q</w:t>
      </w:r>
      <w:r w:rsidR="004D52F6" w:rsidRPr="00D836DF">
        <w:rPr>
          <w:i/>
          <w:vertAlign w:val="subscript"/>
        </w:rPr>
        <w:t>i</w:t>
      </w:r>
      <w:r w:rsidR="004D52F6">
        <w:t>.</w:t>
      </w:r>
    </w:p>
    <w:p w14:paraId="5B0A3DA8" w14:textId="0561EB6B" w:rsidR="0026006F" w:rsidRDefault="00F96E17" w:rsidP="00F96E17">
      <w:r>
        <w:t xml:space="preserve">This equation applies when </w:t>
      </w:r>
      <w:r w:rsidRPr="002F5832">
        <w:t xml:space="preserve">the amount of coke oven coke imported into the facility to produce the metallic iron products is equal to or greater than 5% of the total amount of coke oven coke consumed in carrying on the primary </w:t>
      </w:r>
      <w:r w:rsidR="00764EBB">
        <w:t xml:space="preserve">steel </w:t>
      </w:r>
      <w:r w:rsidRPr="002F5832">
        <w:t>production activity</w:t>
      </w:r>
      <w:r>
        <w:t xml:space="preserve">. This update incorporates a variable </w:t>
      </w:r>
      <w:r>
        <w:rPr>
          <w:i/>
          <w:iCs/>
        </w:rPr>
        <w:t>c</w:t>
      </w:r>
      <w:r>
        <w:t xml:space="preserve"> into the equation, </w:t>
      </w:r>
      <w:r w:rsidR="00130943">
        <w:t xml:space="preserve">whose definition is also introduced by this </w:t>
      </w:r>
      <w:r>
        <w:t xml:space="preserve">item. When </w:t>
      </w:r>
      <w:r>
        <w:rPr>
          <w:i/>
          <w:iCs/>
        </w:rPr>
        <w:t>c</w:t>
      </w:r>
      <w:r>
        <w:t xml:space="preserve"> = 1, the equation is the same as the equation before this amendment (which specified that the metric was equal to </w:t>
      </w:r>
      <w:proofErr w:type="spellStart"/>
      <w:r w:rsidRPr="0064225F">
        <w:t>Q</w:t>
      </w:r>
      <w:r w:rsidRPr="0064225F">
        <w:rPr>
          <w:i/>
          <w:vertAlign w:val="subscript"/>
        </w:rPr>
        <w:t>p</w:t>
      </w:r>
      <w:proofErr w:type="spellEnd"/>
      <w:r w:rsidRPr="0064225F">
        <w:t xml:space="preserve"> + 0.</w:t>
      </w:r>
      <w:r w:rsidR="00E10663">
        <w:t>900</w:t>
      </w:r>
      <w:r w:rsidRPr="0064225F">
        <w:t xml:space="preserve"> Q</w:t>
      </w:r>
      <w:r w:rsidRPr="0064225F">
        <w:rPr>
          <w:i/>
          <w:vertAlign w:val="subscript"/>
        </w:rPr>
        <w:t>i</w:t>
      </w:r>
      <w:r>
        <w:t>).</w:t>
      </w:r>
    </w:p>
    <w:p w14:paraId="76F3E139" w14:textId="1395A997" w:rsidR="00681E5F" w:rsidRDefault="00681E5F" w:rsidP="00681E5F">
      <w:r>
        <w:t>I</w:t>
      </w:r>
      <w:r w:rsidRPr="00ED0A9C">
        <w:t xml:space="preserve">f the facility is using a production process that uses coke oven coke and requires less than 0.4 tonnes of coke oven coke to produce a tonne of </w:t>
      </w:r>
      <w:r w:rsidR="00FF3E0F" w:rsidRPr="00FF3E0F">
        <w:t>continuously cast carbon steel products and ingots of carbon steel for the majority of its steel production</w:t>
      </w:r>
      <w:r>
        <w:t xml:space="preserve">, </w:t>
      </w:r>
      <w:r>
        <w:rPr>
          <w:i/>
          <w:iCs/>
        </w:rPr>
        <w:t>c</w:t>
      </w:r>
      <w:r>
        <w:t xml:space="preserve"> </w:t>
      </w:r>
      <w:r w:rsidR="00FF3E0F">
        <w:t xml:space="preserve">is defined </w:t>
      </w:r>
      <w:r>
        <w:t xml:space="preserve">to be equal to </w:t>
      </w:r>
      <w:r w:rsidRPr="00B06E48">
        <w:t xml:space="preserve">the number of tonnes of coke oven coke required to produce </w:t>
      </w:r>
      <w:r w:rsidR="00795AA0" w:rsidRPr="00795AA0">
        <w:t xml:space="preserve">a tonne of continuously cast carbon steel products and ingots of carbon steel </w:t>
      </w:r>
      <w:r w:rsidRPr="00B06E48">
        <w:t>for the facility, divided by 0.4</w:t>
      </w:r>
      <w:r w:rsidR="00904ECE">
        <w:t>46</w:t>
      </w:r>
      <w:r>
        <w:t>. The number 0.4</w:t>
      </w:r>
      <w:r w:rsidR="003B7D06">
        <w:t>46</w:t>
      </w:r>
      <w:r>
        <w:t xml:space="preserve"> is an estimate of tonnes of coke oven coke required to make a tonne of steel, which was used to derive the equation for metallic iron products that is modified by item 23.</w:t>
      </w:r>
    </w:p>
    <w:p w14:paraId="51FC5657" w14:textId="1126EFB0" w:rsidR="00681E5F" w:rsidRDefault="00681E5F" w:rsidP="00F96E17">
      <w:r>
        <w:lastRenderedPageBreak/>
        <w:t>I</w:t>
      </w:r>
      <w:r w:rsidRPr="00ED0A9C">
        <w:t xml:space="preserve">f the facility is using a production process that uses coke oven coke and requires </w:t>
      </w:r>
      <w:r w:rsidR="00D958DF">
        <w:t>more</w:t>
      </w:r>
      <w:r w:rsidRPr="00ED0A9C">
        <w:t xml:space="preserve"> than 0.4 tonnes of coke oven coke to produce a tonne </w:t>
      </w:r>
      <w:r w:rsidR="00292080" w:rsidRPr="00795AA0">
        <w:t xml:space="preserve">of continuously cast carbon steel products and ingots of carbon steel </w:t>
      </w:r>
      <w:r w:rsidRPr="00ED0A9C">
        <w:t xml:space="preserve">for </w:t>
      </w:r>
      <w:proofErr w:type="gramStart"/>
      <w:r w:rsidRPr="00ED0A9C">
        <w:t>the majority of</w:t>
      </w:r>
      <w:proofErr w:type="gramEnd"/>
      <w:r w:rsidRPr="00ED0A9C">
        <w:t xml:space="preserve"> its </w:t>
      </w:r>
      <w:r w:rsidR="008D4888">
        <w:t>steel</w:t>
      </w:r>
      <w:r w:rsidRPr="00ED0A9C">
        <w:t xml:space="preserve"> production</w:t>
      </w:r>
      <w:r>
        <w:t xml:space="preserve">, </w:t>
      </w:r>
      <w:r>
        <w:rPr>
          <w:i/>
          <w:iCs/>
        </w:rPr>
        <w:t>c</w:t>
      </w:r>
      <w:r>
        <w:t xml:space="preserve"> </w:t>
      </w:r>
      <w:r w:rsidR="00D958DF">
        <w:t>is</w:t>
      </w:r>
      <w:r>
        <w:t xml:space="preserve"> equal to 1.</w:t>
      </w:r>
    </w:p>
    <w:p w14:paraId="3DC8F60B" w14:textId="7A8B1E7B" w:rsidR="008B0CD2" w:rsidRDefault="00891208" w:rsidP="005B05A8">
      <w:r>
        <w:t xml:space="preserve">New subsection (5) </w:t>
      </w:r>
      <w:r w:rsidR="005B05A8">
        <w:t xml:space="preserve">adjusts the metric for tonnes of ‘primary steel’ production depending on the </w:t>
      </w:r>
      <w:r w:rsidR="00E178E7">
        <w:t xml:space="preserve">amount </w:t>
      </w:r>
      <w:r w:rsidR="005B05A8">
        <w:t>of cold ferrous feed</w:t>
      </w:r>
      <w:r w:rsidR="00E178E7">
        <w:t xml:space="preserve"> used in the primary steel manufacturing activity</w:t>
      </w:r>
      <w:r w:rsidR="005B05A8">
        <w:t xml:space="preserve">. </w:t>
      </w:r>
    </w:p>
    <w:p w14:paraId="1A9EC1D5" w14:textId="6B9E4F09" w:rsidR="008B0CD2" w:rsidRDefault="007E72E8" w:rsidP="005B05A8">
      <w:r>
        <w:t>T</w:t>
      </w:r>
      <w:r w:rsidR="00D04A01">
        <w:t xml:space="preserve">he </w:t>
      </w:r>
      <w:r w:rsidR="008B0CD2" w:rsidRPr="008B0CD2">
        <w:t xml:space="preserve">Safeguard Mechanism treats primary steel production differently (with </w:t>
      </w:r>
      <w:r w:rsidR="00D04A01">
        <w:t xml:space="preserve">a </w:t>
      </w:r>
      <w:r w:rsidR="008B0CD2" w:rsidRPr="008B0CD2">
        <w:t xml:space="preserve">higher default </w:t>
      </w:r>
      <w:r w:rsidR="00D04A01">
        <w:t>emissions intensity</w:t>
      </w:r>
      <w:r w:rsidR="008B0CD2" w:rsidRPr="008B0CD2">
        <w:t xml:space="preserve">) to steel production from cold ferrous feed, </w:t>
      </w:r>
      <w:r w:rsidR="009E7FF7">
        <w:t xml:space="preserve">reflecting </w:t>
      </w:r>
      <w:r w:rsidR="008B0CD2" w:rsidRPr="008B0CD2">
        <w:t>that to decarbonise steel production it is necessary and important to decarbonise primary steel production. Th</w:t>
      </w:r>
      <w:r w:rsidR="00FC791A">
        <w:t xml:space="preserve">is update </w:t>
      </w:r>
      <w:r w:rsidR="00E076C1">
        <w:t>is consistent with this approach when higher levels of</w:t>
      </w:r>
      <w:r w:rsidR="008B0CD2" w:rsidRPr="008B0CD2">
        <w:t xml:space="preserve"> cold ferrous feed </w:t>
      </w:r>
      <w:r w:rsidR="00EC2CC5">
        <w:t xml:space="preserve">are used for </w:t>
      </w:r>
      <w:r w:rsidR="008B0CD2" w:rsidRPr="008B0CD2">
        <w:t>primary steel production.</w:t>
      </w:r>
      <w:r w:rsidR="00044F0E">
        <w:t xml:space="preserve"> It ensures that the baseline allocation for primary steel, which includes making iron from iron ore feeds,</w:t>
      </w:r>
      <w:r w:rsidR="008B0D8B">
        <w:t xml:space="preserve"> appropriately reflects primary steel production at the facility.</w:t>
      </w:r>
    </w:p>
    <w:p w14:paraId="3C998CB4" w14:textId="12B0EBD3" w:rsidR="005B05A8" w:rsidRDefault="005B05A8" w:rsidP="005B05A8">
      <w:r>
        <w:t xml:space="preserve">The subsection would only be relevant when the level of </w:t>
      </w:r>
      <w:r w:rsidR="00EC2CC5">
        <w:t xml:space="preserve">cold ferrous feed </w:t>
      </w:r>
      <w:r>
        <w:t xml:space="preserve">exceeds </w:t>
      </w:r>
      <w:r w:rsidR="0026006F">
        <w:t xml:space="preserve">35 </w:t>
      </w:r>
      <w:r>
        <w:t xml:space="preserve">per cent. If this </w:t>
      </w:r>
      <w:r w:rsidR="00EC2CC5">
        <w:t>occurs</w:t>
      </w:r>
      <w:r>
        <w:t xml:space="preserve">, then the production metric for primary steel would be reduced by the amount </w:t>
      </w:r>
      <w:r w:rsidR="00893BE0">
        <w:t>corresponding to this excess</w:t>
      </w:r>
      <w:r w:rsidR="007E15C4">
        <w:t>, with the</w:t>
      </w:r>
      <w:r>
        <w:t xml:space="preserve"> balance of any steel production added to the </w:t>
      </w:r>
      <w:r w:rsidR="007E15C4">
        <w:t>‘c</w:t>
      </w:r>
      <w:r w:rsidR="007E15C4" w:rsidRPr="003D05E9">
        <w:t>ontinuously cast carbon steel products and ingots of carbon steel (manufacture of carbon steel from cold ferrous feed)</w:t>
      </w:r>
      <w:r w:rsidR="007E15C4">
        <w:t xml:space="preserve">’ </w:t>
      </w:r>
      <w:r>
        <w:t xml:space="preserve">production variable. In this way, there is no limit on scrap usage in practice and all steel production would be assigned to one of the steel production variables. </w:t>
      </w:r>
    </w:p>
    <w:p w14:paraId="69B799CC" w14:textId="2853B63A" w:rsidR="005B05A8" w:rsidRDefault="00D06B70" w:rsidP="005B05A8">
      <w:r>
        <w:t xml:space="preserve">The </w:t>
      </w:r>
      <w:r w:rsidR="00D611AD">
        <w:t>per cent level</w:t>
      </w:r>
      <w:r>
        <w:t xml:space="preserve"> of cold ferrous feed is calculated </w:t>
      </w:r>
      <w:r w:rsidR="009A2C84">
        <w:t xml:space="preserve">in terms of the mass of cold ferrous feed compared to the total mass </w:t>
      </w:r>
      <w:r w:rsidR="009A2C84">
        <w:rPr>
          <w:rFonts w:eastAsia="Times New Roman"/>
          <w:color w:val="000000"/>
          <w:szCs w:val="20"/>
          <w:lang w:eastAsia="en-AU"/>
        </w:rPr>
        <w:t>of</w:t>
      </w:r>
      <w:r w:rsidR="009A2C84" w:rsidRPr="00D44C74">
        <w:rPr>
          <w:rFonts w:eastAsia="Times New Roman"/>
          <w:color w:val="000000"/>
          <w:szCs w:val="20"/>
          <w:lang w:eastAsia="en-AU"/>
        </w:rPr>
        <w:t xml:space="preserve"> iron ore feed and cold ferrous feed </w:t>
      </w:r>
      <w:bookmarkStart w:id="7" w:name="_Hlk172724670"/>
      <w:r w:rsidR="009A2C84" w:rsidRPr="00D44C74">
        <w:rPr>
          <w:rFonts w:eastAsia="Times New Roman"/>
          <w:color w:val="000000"/>
          <w:szCs w:val="20"/>
          <w:lang w:eastAsia="en-AU"/>
        </w:rPr>
        <w:t>that is used as an input to the primary steel manufacturing activity</w:t>
      </w:r>
      <w:bookmarkEnd w:id="7"/>
      <w:r w:rsidR="009A2C84">
        <w:rPr>
          <w:rFonts w:eastAsia="Times New Roman"/>
          <w:color w:val="000000"/>
          <w:szCs w:val="20"/>
          <w:lang w:eastAsia="en-AU"/>
        </w:rPr>
        <w:t>.</w:t>
      </w:r>
      <w:r w:rsidR="0058756C">
        <w:rPr>
          <w:rFonts w:eastAsia="Times New Roman"/>
          <w:color w:val="000000"/>
          <w:szCs w:val="20"/>
          <w:lang w:eastAsia="en-AU"/>
        </w:rPr>
        <w:t xml:space="preserve"> This does not include </w:t>
      </w:r>
      <w:r w:rsidR="0058756C" w:rsidRPr="00D44C74">
        <w:rPr>
          <w:rFonts w:eastAsia="Times New Roman"/>
          <w:color w:val="000000"/>
          <w:shd w:val="clear" w:color="auto" w:fill="FFFFFF"/>
          <w:lang w:eastAsia="en-AU"/>
        </w:rPr>
        <w:t>cold ferrous feed produced by the facility</w:t>
      </w:r>
      <w:r w:rsidR="004629CB">
        <w:rPr>
          <w:rFonts w:eastAsia="Times New Roman"/>
          <w:color w:val="000000"/>
          <w:shd w:val="clear" w:color="auto" w:fill="FFFFFF"/>
          <w:lang w:eastAsia="en-AU"/>
        </w:rPr>
        <w:t xml:space="preserve">, which is clarified in new subsection (6). </w:t>
      </w:r>
      <w:r w:rsidR="00E97A21">
        <w:rPr>
          <w:rFonts w:eastAsia="Times New Roman"/>
          <w:color w:val="000000"/>
          <w:shd w:val="clear" w:color="auto" w:fill="FFFFFF"/>
          <w:lang w:eastAsia="en-AU"/>
        </w:rPr>
        <w:t xml:space="preserve">This approach reflects feedback that </w:t>
      </w:r>
      <w:r w:rsidR="00E72B6A">
        <w:rPr>
          <w:rFonts w:eastAsia="Times New Roman"/>
          <w:color w:val="000000"/>
          <w:shd w:val="clear" w:color="auto" w:fill="FFFFFF"/>
          <w:lang w:eastAsia="en-AU"/>
        </w:rPr>
        <w:t xml:space="preserve">the iron content of </w:t>
      </w:r>
      <w:r w:rsidR="0015349D">
        <w:rPr>
          <w:rFonts w:eastAsia="Times New Roman"/>
          <w:color w:val="000000"/>
          <w:shd w:val="clear" w:color="auto" w:fill="FFFFFF"/>
          <w:lang w:eastAsia="en-AU"/>
        </w:rPr>
        <w:t xml:space="preserve">a quantity of </w:t>
      </w:r>
      <w:r w:rsidR="00E72B6A">
        <w:rPr>
          <w:rFonts w:eastAsia="Times New Roman"/>
          <w:color w:val="000000"/>
          <w:shd w:val="clear" w:color="auto" w:fill="FFFFFF"/>
          <w:lang w:eastAsia="en-AU"/>
        </w:rPr>
        <w:t>scrap metal</w:t>
      </w:r>
      <w:r w:rsidR="0015349D">
        <w:rPr>
          <w:rFonts w:eastAsia="Times New Roman"/>
          <w:color w:val="000000"/>
          <w:shd w:val="clear" w:color="auto" w:fill="FFFFFF"/>
          <w:lang w:eastAsia="en-AU"/>
        </w:rPr>
        <w:t xml:space="preserve"> is not always known</w:t>
      </w:r>
      <w:r w:rsidR="00BA7A9F">
        <w:rPr>
          <w:rFonts w:eastAsia="Times New Roman"/>
          <w:color w:val="000000"/>
          <w:shd w:val="clear" w:color="auto" w:fill="FFFFFF"/>
          <w:lang w:eastAsia="en-AU"/>
        </w:rPr>
        <w:t>, and feedback that because steelmaking facilities are highly integrated</w:t>
      </w:r>
      <w:r w:rsidR="00F73F17">
        <w:rPr>
          <w:rFonts w:eastAsia="Times New Roman"/>
          <w:color w:val="000000"/>
          <w:shd w:val="clear" w:color="auto" w:fill="FFFFFF"/>
          <w:lang w:eastAsia="en-AU"/>
        </w:rPr>
        <w:t xml:space="preserve">, </w:t>
      </w:r>
      <w:r w:rsidR="009108B2">
        <w:rPr>
          <w:rFonts w:eastAsia="Times New Roman"/>
          <w:color w:val="000000"/>
          <w:shd w:val="clear" w:color="auto" w:fill="FFFFFF"/>
          <w:lang w:eastAsia="en-AU"/>
        </w:rPr>
        <w:t xml:space="preserve">there could be some complexity involved with </w:t>
      </w:r>
      <w:r w:rsidR="00F73F17">
        <w:rPr>
          <w:rFonts w:eastAsia="Times New Roman"/>
          <w:color w:val="000000"/>
          <w:shd w:val="clear" w:color="auto" w:fill="FFFFFF"/>
          <w:lang w:eastAsia="en-AU"/>
        </w:rPr>
        <w:t xml:space="preserve">determining whether </w:t>
      </w:r>
      <w:r w:rsidR="00F73F17" w:rsidRPr="00D44C74">
        <w:rPr>
          <w:rFonts w:eastAsia="Times New Roman"/>
          <w:color w:val="000000"/>
          <w:shd w:val="clear" w:color="auto" w:fill="FFFFFF"/>
          <w:lang w:eastAsia="en-AU"/>
        </w:rPr>
        <w:t>cold ferrous feed produced by the facility</w:t>
      </w:r>
      <w:r w:rsidR="009108B2">
        <w:rPr>
          <w:rFonts w:eastAsia="Times New Roman"/>
          <w:color w:val="000000"/>
          <w:shd w:val="clear" w:color="auto" w:fill="FFFFFF"/>
          <w:lang w:eastAsia="en-AU"/>
        </w:rPr>
        <w:t xml:space="preserve"> counts as </w:t>
      </w:r>
      <w:r w:rsidR="009108B2" w:rsidRPr="00D44C74">
        <w:rPr>
          <w:rFonts w:eastAsia="Times New Roman"/>
          <w:color w:val="000000"/>
          <w:szCs w:val="20"/>
          <w:lang w:eastAsia="en-AU"/>
        </w:rPr>
        <w:t>an input to the primary steel manufacturing activity</w:t>
      </w:r>
      <w:r w:rsidR="009108B2">
        <w:rPr>
          <w:rFonts w:eastAsia="Times New Roman"/>
          <w:color w:val="000000"/>
          <w:szCs w:val="20"/>
          <w:lang w:eastAsia="en-AU"/>
        </w:rPr>
        <w:t>.</w:t>
      </w:r>
    </w:p>
    <w:p w14:paraId="5C28C5D6" w14:textId="5F03B5B8" w:rsidR="00AB0EE9" w:rsidRPr="00466197" w:rsidRDefault="005B05A8" w:rsidP="005B05A8">
      <w:r>
        <w:t xml:space="preserve">The parameter </w:t>
      </w:r>
      <w:proofErr w:type="spellStart"/>
      <w:r w:rsidRPr="00926B54">
        <w:rPr>
          <w:i/>
          <w:iCs/>
        </w:rPr>
        <w:t>CCF</w:t>
      </w:r>
      <w:r w:rsidRPr="00926B54">
        <w:rPr>
          <w:i/>
          <w:iCs/>
          <w:vertAlign w:val="subscript"/>
        </w:rPr>
        <w:t>adj</w:t>
      </w:r>
      <w:proofErr w:type="spellEnd"/>
      <w:r w:rsidRPr="00926B54">
        <w:rPr>
          <w:i/>
          <w:iCs/>
        </w:rPr>
        <w:t>%</w:t>
      </w:r>
      <w:r w:rsidRPr="003743D4">
        <w:t xml:space="preserve"> is the key element of the equation in subsection (5)</w:t>
      </w:r>
      <w:r w:rsidR="00C3351E" w:rsidRPr="003743D4">
        <w:t>. It</w:t>
      </w:r>
      <w:r w:rsidRPr="003743D4">
        <w:t xml:space="preserve"> is calculated as the percent of the </w:t>
      </w:r>
      <w:r w:rsidR="00D30B50" w:rsidRPr="003743D4">
        <w:t>mass</w:t>
      </w:r>
      <w:r w:rsidRPr="003743D4">
        <w:t xml:space="preserve"> of the cold ferrous feed in the total iron </w:t>
      </w:r>
      <w:r w:rsidR="00735E19" w:rsidRPr="003743D4">
        <w:t>feed mass</w:t>
      </w:r>
      <w:r w:rsidRPr="003743D4">
        <w:t xml:space="preserve"> of the combined iron ore and cold ferrous feeds, adjusted by subtracting 3</w:t>
      </w:r>
      <w:r w:rsidR="00735E19" w:rsidRPr="003743D4">
        <w:t>5</w:t>
      </w:r>
      <w:r w:rsidRPr="003743D4">
        <w:t xml:space="preserve">%. </w:t>
      </w:r>
      <w:r w:rsidR="00423D9C" w:rsidRPr="003743D4">
        <w:t xml:space="preserve">The calculation of </w:t>
      </w:r>
      <w:proofErr w:type="spellStart"/>
      <w:r w:rsidR="00423D9C" w:rsidRPr="00926B54">
        <w:rPr>
          <w:i/>
          <w:iCs/>
        </w:rPr>
        <w:t>CCF</w:t>
      </w:r>
      <w:r w:rsidR="00423D9C" w:rsidRPr="00926B54">
        <w:rPr>
          <w:i/>
          <w:iCs/>
          <w:vertAlign w:val="subscript"/>
        </w:rPr>
        <w:t>adj</w:t>
      </w:r>
      <w:proofErr w:type="spellEnd"/>
      <w:r w:rsidR="00423D9C" w:rsidRPr="00926B54">
        <w:rPr>
          <w:i/>
          <w:iCs/>
        </w:rPr>
        <w:t>%</w:t>
      </w:r>
      <w:r w:rsidR="00423D9C">
        <w:t xml:space="preserve"> </w:t>
      </w:r>
      <w:r w:rsidR="00423D9C">
        <w:rPr>
          <w:rFonts w:eastAsia="Times New Roman"/>
          <w:color w:val="000000"/>
          <w:szCs w:val="20"/>
          <w:lang w:eastAsia="en-AU"/>
        </w:rPr>
        <w:t xml:space="preserve">does not include </w:t>
      </w:r>
      <w:r w:rsidR="00423D9C" w:rsidRPr="00D44C74">
        <w:rPr>
          <w:rFonts w:eastAsia="Times New Roman"/>
          <w:color w:val="000000"/>
          <w:shd w:val="clear" w:color="auto" w:fill="FFFFFF"/>
          <w:lang w:eastAsia="en-AU"/>
        </w:rPr>
        <w:t>cold ferrous feed produced by the facility</w:t>
      </w:r>
      <w:r w:rsidR="004629CB">
        <w:rPr>
          <w:rFonts w:eastAsia="Times New Roman"/>
          <w:color w:val="000000"/>
          <w:shd w:val="clear" w:color="auto" w:fill="FFFFFF"/>
          <w:lang w:eastAsia="en-AU"/>
        </w:rPr>
        <w:t xml:space="preserve">, </w:t>
      </w:r>
      <w:r w:rsidR="0064682D">
        <w:rPr>
          <w:rFonts w:eastAsia="Times New Roman"/>
          <w:color w:val="000000"/>
          <w:shd w:val="clear" w:color="auto" w:fill="FFFFFF"/>
          <w:lang w:eastAsia="en-AU"/>
        </w:rPr>
        <w:t>as</w:t>
      </w:r>
      <w:r w:rsidR="004629CB">
        <w:rPr>
          <w:rFonts w:eastAsia="Times New Roman"/>
          <w:color w:val="000000"/>
          <w:shd w:val="clear" w:color="auto" w:fill="FFFFFF"/>
          <w:lang w:eastAsia="en-AU"/>
        </w:rPr>
        <w:t xml:space="preserve"> is clarified in new subsection</w:t>
      </w:r>
      <w:r w:rsidR="0064682D">
        <w:rPr>
          <w:rFonts w:eastAsia="Times New Roman"/>
          <w:color w:val="000000"/>
          <w:shd w:val="clear" w:color="auto" w:fill="FFFFFF"/>
          <w:lang w:eastAsia="en-AU"/>
        </w:rPr>
        <w:t> </w:t>
      </w:r>
      <w:r w:rsidR="004629CB">
        <w:rPr>
          <w:rFonts w:eastAsia="Times New Roman"/>
          <w:color w:val="000000"/>
          <w:shd w:val="clear" w:color="auto" w:fill="FFFFFF"/>
          <w:lang w:eastAsia="en-AU"/>
        </w:rPr>
        <w:t>(6).</w:t>
      </w:r>
      <w:r w:rsidR="00466197">
        <w:rPr>
          <w:rFonts w:eastAsia="Times New Roman"/>
          <w:color w:val="000000"/>
          <w:shd w:val="clear" w:color="auto" w:fill="FFFFFF"/>
          <w:lang w:eastAsia="en-AU"/>
        </w:rPr>
        <w:t xml:space="preserve"> As such, </w:t>
      </w:r>
      <w:proofErr w:type="spellStart"/>
      <w:r w:rsidR="00466197" w:rsidRPr="00926B54">
        <w:rPr>
          <w:i/>
          <w:iCs/>
        </w:rPr>
        <w:t>CCF</w:t>
      </w:r>
      <w:r w:rsidR="00466197" w:rsidRPr="00926B54">
        <w:rPr>
          <w:i/>
          <w:iCs/>
          <w:vertAlign w:val="subscript"/>
        </w:rPr>
        <w:t>adj</w:t>
      </w:r>
      <w:proofErr w:type="spellEnd"/>
      <w:r w:rsidR="00466197" w:rsidRPr="00926B54">
        <w:rPr>
          <w:i/>
          <w:iCs/>
        </w:rPr>
        <w:t>%</w:t>
      </w:r>
      <w:r w:rsidR="00466197" w:rsidRPr="00926B54">
        <w:t xml:space="preserve"> is </w:t>
      </w:r>
      <w:r w:rsidR="003743D4" w:rsidRPr="00926B54">
        <w:t>what i</w:t>
      </w:r>
      <w:r w:rsidR="003743D4">
        <w:t>s</w:t>
      </w:r>
      <w:r w:rsidR="00B22688">
        <w:t xml:space="preserve"> left after subtracting 35% from the </w:t>
      </w:r>
      <w:r w:rsidR="002744BD">
        <w:t xml:space="preserve">percentage </w:t>
      </w:r>
      <w:r w:rsidR="00B22688">
        <w:t xml:space="preserve">quantity </w:t>
      </w:r>
      <w:r w:rsidR="002744BD">
        <w:t xml:space="preserve">that is compared to 35% </w:t>
      </w:r>
      <w:r w:rsidR="00B22688">
        <w:t>at the start of sub</w:t>
      </w:r>
      <w:r w:rsidR="0064682D">
        <w:t>section (5).</w:t>
      </w:r>
    </w:p>
    <w:p w14:paraId="304F8503" w14:textId="77777777" w:rsidR="00B10DD1" w:rsidRDefault="005B05A8" w:rsidP="005B05A8">
      <w:r>
        <w:t xml:space="preserve">The example </w:t>
      </w:r>
      <w:r w:rsidR="00EB5158">
        <w:t xml:space="preserve">in </w:t>
      </w:r>
      <w:r w:rsidR="00FC54A9">
        <w:t xml:space="preserve">subsection (5) </w:t>
      </w:r>
      <w:r>
        <w:t>illustrates how this equation works. Note 1 highlights that any steel that does not count towards the primary steel metric due to subsection (5) automatically meets the requirements of the cold ferrous feed steel production variable in section 44.</w:t>
      </w:r>
    </w:p>
    <w:p w14:paraId="6A0925C2" w14:textId="0AB2DAA9" w:rsidR="005B05A8" w:rsidRDefault="00B10DD1" w:rsidP="005B05A8">
      <w:r>
        <w:t xml:space="preserve">This item also renumbers </w:t>
      </w:r>
      <w:r w:rsidR="004C7DDB">
        <w:t xml:space="preserve">previous </w:t>
      </w:r>
      <w:r>
        <w:t>subsection (5)</w:t>
      </w:r>
      <w:r w:rsidR="004C7DDB">
        <w:t xml:space="preserve">, which specifies the default emissions intensity of </w:t>
      </w:r>
      <w:r w:rsidR="004C7DDB" w:rsidRPr="004C7DDB">
        <w:t>continuously cast carbon steel products and ingots of carbon steel</w:t>
      </w:r>
      <w:r w:rsidR="004C7DDB">
        <w:t>,</w:t>
      </w:r>
      <w:r>
        <w:t xml:space="preserve"> to</w:t>
      </w:r>
      <w:r w:rsidR="004C7DDB">
        <w:t xml:space="preserve"> new subsection (7).</w:t>
      </w:r>
      <w:r>
        <w:t xml:space="preserve"> </w:t>
      </w:r>
      <w:r w:rsidR="005B05A8">
        <w:t xml:space="preserve"> </w:t>
      </w:r>
    </w:p>
    <w:p w14:paraId="36902B0A" w14:textId="1974E04D" w:rsidR="00655F06" w:rsidRDefault="007A1F80" w:rsidP="00293D3D">
      <w:r>
        <w:lastRenderedPageBreak/>
        <w:t>Following</w:t>
      </w:r>
      <w:r w:rsidR="00C14D65">
        <w:t xml:space="preserve"> consultation this provision was changed from an iron content basis to a mass basis</w:t>
      </w:r>
      <w:r w:rsidR="00577278">
        <w:t>. Feedback indicated th</w:t>
      </w:r>
      <w:r w:rsidR="000259CF">
        <w:t xml:space="preserve">at iron content of </w:t>
      </w:r>
      <w:r w:rsidR="005B4DDC">
        <w:t>different types of cold ferrous feeds is not consistent and is not always known.</w:t>
      </w:r>
      <w:r w:rsidR="00AC1986">
        <w:t xml:space="preserve"> </w:t>
      </w:r>
      <w:r w:rsidR="0090107F">
        <w:t>Additionally</w:t>
      </w:r>
      <w:r w:rsidR="00F93A02">
        <w:t xml:space="preserve">, measuring the mass of cold ferrous feed input </w:t>
      </w:r>
      <w:r w:rsidR="00C306EE">
        <w:t>to the iron and steelmaking process is imp</w:t>
      </w:r>
      <w:r w:rsidR="00B11F0B">
        <w:t>ortant</w:t>
      </w:r>
      <w:r w:rsidR="00F07845">
        <w:t xml:space="preserve">, with practical </w:t>
      </w:r>
      <w:r w:rsidR="001F47CC">
        <w:t>limits</w:t>
      </w:r>
      <w:r w:rsidR="00F07845">
        <w:t xml:space="preserve"> based on the </w:t>
      </w:r>
      <w:r w:rsidR="00BD02E3">
        <w:t>mass</w:t>
      </w:r>
      <w:r w:rsidR="00F07845">
        <w:t xml:space="preserve"> of cold ferrous feed</w:t>
      </w:r>
      <w:r w:rsidR="00D15826">
        <w:t xml:space="preserve"> that can be added while maintaining the thermal balance of the process.</w:t>
      </w:r>
    </w:p>
    <w:p w14:paraId="116646B3" w14:textId="0CD8B8F7" w:rsidR="00630CAC" w:rsidRDefault="00630CAC" w:rsidP="00293D3D">
      <w:r>
        <w:t>The threshold</w:t>
      </w:r>
      <w:r w:rsidR="00BD55F7">
        <w:t xml:space="preserve"> percentage was converted from an iron content basis to a mass basis, as well as increasing to </w:t>
      </w:r>
      <w:r w:rsidR="0082275F">
        <w:t>apply to both the iron and steelmaking steps of the process</w:t>
      </w:r>
      <w:r w:rsidR="00D70CC8">
        <w:t xml:space="preserve"> (the exposure draft limit reflected the steelmaking step only).</w:t>
      </w:r>
    </w:p>
    <w:p w14:paraId="29694084" w14:textId="33CDADB5" w:rsidR="009553B1" w:rsidRDefault="009553B1" w:rsidP="009553B1">
      <w:pPr>
        <w:pStyle w:val="Itemheadings"/>
      </w:pPr>
      <w:r>
        <w:t xml:space="preserve">Item </w:t>
      </w:r>
      <w:r w:rsidR="00D35A4C">
        <w:t>27</w:t>
      </w:r>
    </w:p>
    <w:p w14:paraId="1B9402CF" w14:textId="44BCC27D" w:rsidR="00F05E65" w:rsidRDefault="00F05E65" w:rsidP="00F05E65">
      <w:r>
        <w:t xml:space="preserve">This item updates the cold ferrous feed steel production variable in section </w:t>
      </w:r>
      <w:r w:rsidR="00421097">
        <w:t>44</w:t>
      </w:r>
      <w:r w:rsidR="00C463D7">
        <w:t xml:space="preserve"> of Schedule 1</w:t>
      </w:r>
      <w:r w:rsidR="00421097">
        <w:t xml:space="preserve"> </w:t>
      </w:r>
      <w:r>
        <w:t xml:space="preserve">to reflect the updates to the primary steel production variable in item </w:t>
      </w:r>
      <w:r w:rsidR="00C463D7">
        <w:t>26</w:t>
      </w:r>
      <w:r>
        <w:t xml:space="preserve">. The purpose of the updates is to ensure that any steel produced as part of the primary steel manufacturing activity that does not count towards the primary steel metric because the level of cold ferrous feed (by </w:t>
      </w:r>
      <w:r w:rsidR="00041585">
        <w:t>mass</w:t>
      </w:r>
      <w:r>
        <w:t>) exceeded 3</w:t>
      </w:r>
      <w:r w:rsidR="00041585">
        <w:t>5</w:t>
      </w:r>
      <w:r>
        <w:t xml:space="preserve"> per cent of total feed, instead counts towards the cold ferrous feed steel production variable. </w:t>
      </w:r>
    </w:p>
    <w:p w14:paraId="183C8868" w14:textId="35CE6AED" w:rsidR="00F05E65" w:rsidRDefault="00F05E65" w:rsidP="00F05E65">
      <w:r>
        <w:t xml:space="preserve">Subsections (1) and (2) are updated so that the metric applies to both the steel produced from the manufacture of carbon steel from cold ferrous feed at the facility (consistent with the original production variable), as well as the relevant steel produced from the primary steel manufacturing activity. The relevant steel </w:t>
      </w:r>
      <w:r w:rsidR="007D3A14">
        <w:t xml:space="preserve">corresponds to the reduction in the </w:t>
      </w:r>
      <w:r w:rsidR="002B03CA">
        <w:t>‘</w:t>
      </w:r>
      <w:r w:rsidR="007D3A14">
        <w:t>primary steel</w:t>
      </w:r>
      <w:r w:rsidR="002B03CA">
        <w:t>’</w:t>
      </w:r>
      <w:r w:rsidR="007D3A14">
        <w:t xml:space="preserve"> production variable met</w:t>
      </w:r>
      <w:r w:rsidR="002B03CA">
        <w:t>ric from</w:t>
      </w:r>
      <w:r>
        <w:t xml:space="preserve"> subsection 41(5), which relates to the adjustment for the level of cold ferrous feed co-processed with iron feed material. </w:t>
      </w:r>
    </w:p>
    <w:p w14:paraId="34CCCF86" w14:textId="66BB0D80" w:rsidR="00425EB2" w:rsidRDefault="001D40F8" w:rsidP="00F05E65">
      <w:r>
        <w:t>Subsection</w:t>
      </w:r>
      <w:r w:rsidR="00425EB2">
        <w:t xml:space="preserve"> </w:t>
      </w:r>
      <w:r>
        <w:t>(2</w:t>
      </w:r>
      <w:r w:rsidR="00DD0568">
        <w:t xml:space="preserve">) </w:t>
      </w:r>
      <w:r w:rsidR="00262D4F">
        <w:t xml:space="preserve">states that the production variable is applicable to a facility that </w:t>
      </w:r>
      <w:r w:rsidR="005D20F6">
        <w:t xml:space="preserve">(a) </w:t>
      </w:r>
      <w:r w:rsidR="00262D4F" w:rsidRPr="00262D4F">
        <w:t>conducts the activity of the manufacture of carbon steel from cold ferrous fee</w:t>
      </w:r>
      <w:r w:rsidR="00262D4F">
        <w:t>d</w:t>
      </w:r>
      <w:r w:rsidR="00DD0568" w:rsidRPr="00DD0568">
        <w:t>; or</w:t>
      </w:r>
      <w:r w:rsidR="00E46DBE">
        <w:t xml:space="preserve"> </w:t>
      </w:r>
      <w:r w:rsidR="005D20F6">
        <w:t xml:space="preserve">(b) </w:t>
      </w:r>
      <w:r w:rsidR="00E46DBE" w:rsidRPr="00E46DBE">
        <w:t>if subsection 41(5) applies to the facility – the primary steel manufacturing activity at the facility</w:t>
      </w:r>
      <w:r w:rsidR="00E46DBE">
        <w:t xml:space="preserve">. As contemplated </w:t>
      </w:r>
      <w:r w:rsidR="00DB0707">
        <w:t>by</w:t>
      </w:r>
      <w:r w:rsidR="00E46DBE">
        <w:t xml:space="preserve"> the equation in subsection </w:t>
      </w:r>
      <w:r w:rsidR="005D20F6">
        <w:t>(3), the production varia</w:t>
      </w:r>
      <w:r w:rsidR="00600B47">
        <w:t>ble is applicable to a facility for which both (a) and (b) are applicable.</w:t>
      </w:r>
    </w:p>
    <w:p w14:paraId="50AAF6AE" w14:textId="5E7FEB25" w:rsidR="00293D3D" w:rsidRDefault="00F05E65" w:rsidP="00293D3D">
      <w:r>
        <w:t xml:space="preserve">Subsection (3) sets out </w:t>
      </w:r>
      <w:r w:rsidR="00C72D68">
        <w:t xml:space="preserve">what </w:t>
      </w:r>
      <w:r>
        <w:t>the metric</w:t>
      </w:r>
      <w:r w:rsidR="00C72D68">
        <w:t xml:space="preserve"> is when subsection 41(5) applies to the facility. </w:t>
      </w:r>
      <w:r w:rsidR="00492EF8">
        <w:t xml:space="preserve">It states that the metric is </w:t>
      </w:r>
      <w:r>
        <w:t xml:space="preserve">the sum of the tonnes of steel produced as part of carrying on the manufacture of carbon steel from cold ferrous feed at the facility (such as from an electric arc furnace dedicated to scrap recycling), plus any steel </w:t>
      </w:r>
      <w:r w:rsidR="00C16963">
        <w:t xml:space="preserve">produced </w:t>
      </w:r>
      <w:r>
        <w:t xml:space="preserve">from carrying on the primary steel manufacturing activity that did not </w:t>
      </w:r>
      <w:r w:rsidR="00C16963">
        <w:t xml:space="preserve">count towards the ‘primary steel’ </w:t>
      </w:r>
      <w:r w:rsidR="005F35E0">
        <w:t xml:space="preserve">production variable, due to </w:t>
      </w:r>
      <w:r>
        <w:t xml:space="preserve">subsection 41(5).  </w:t>
      </w:r>
    </w:p>
    <w:p w14:paraId="7768793F" w14:textId="3B8A7B38" w:rsidR="00C839BD" w:rsidRDefault="00C839BD" w:rsidP="00C839BD">
      <w:pPr>
        <w:pStyle w:val="Itemheadings"/>
      </w:pPr>
      <w:r>
        <w:t>Item 28</w:t>
      </w:r>
    </w:p>
    <w:p w14:paraId="7EC87E9F" w14:textId="12A2119F" w:rsidR="00C839BD" w:rsidRPr="00C839BD" w:rsidRDefault="009106B5" w:rsidP="00C839BD">
      <w:r>
        <w:t xml:space="preserve">This item </w:t>
      </w:r>
      <w:r w:rsidRPr="007B67D9">
        <w:rPr>
          <w:rFonts w:eastAsia="Times New Roman"/>
        </w:rPr>
        <w:t>update</w:t>
      </w:r>
      <w:r>
        <w:rPr>
          <w:rFonts w:eastAsia="Times New Roman"/>
        </w:rPr>
        <w:t>s</w:t>
      </w:r>
      <w:r w:rsidRPr="007B67D9">
        <w:rPr>
          <w:rFonts w:eastAsia="Times New Roman"/>
        </w:rPr>
        <w:t xml:space="preserve"> the default emissions intensity for ‘petajoule-kilometres of natural gas distribution’ from 0.254 CO</w:t>
      </w:r>
      <w:r w:rsidRPr="007B67D9">
        <w:rPr>
          <w:rFonts w:eastAsia="Times New Roman"/>
          <w:vertAlign w:val="subscript"/>
        </w:rPr>
        <w:t>2</w:t>
      </w:r>
      <w:r w:rsidRPr="007B67D9">
        <w:rPr>
          <w:rFonts w:eastAsia="Times New Roman"/>
        </w:rPr>
        <w:t>-e to 0.196 CO</w:t>
      </w:r>
      <w:r w:rsidRPr="007B67D9">
        <w:rPr>
          <w:rFonts w:eastAsia="Times New Roman"/>
          <w:vertAlign w:val="subscript"/>
        </w:rPr>
        <w:t>2</w:t>
      </w:r>
      <w:r w:rsidRPr="007B67D9">
        <w:rPr>
          <w:rFonts w:eastAsia="Times New Roman"/>
        </w:rPr>
        <w:t>-e per petajoule-kilometre.</w:t>
      </w:r>
      <w:r>
        <w:rPr>
          <w:rFonts w:eastAsia="Times New Roman"/>
        </w:rPr>
        <w:t xml:space="preserve"> </w:t>
      </w:r>
      <w:r w:rsidRPr="009106B5">
        <w:rPr>
          <w:rFonts w:eastAsia="Times New Roman"/>
        </w:rPr>
        <w:t>Th</w:t>
      </w:r>
      <w:r w:rsidR="00446A24">
        <w:rPr>
          <w:rFonts w:eastAsia="Times New Roman"/>
        </w:rPr>
        <w:t xml:space="preserve">e update to the default emissions intensity </w:t>
      </w:r>
      <w:r w:rsidR="00373177">
        <w:rPr>
          <w:rFonts w:eastAsia="Times New Roman"/>
        </w:rPr>
        <w:t xml:space="preserve">is consistent with the </w:t>
      </w:r>
      <w:r w:rsidR="0094753A">
        <w:rPr>
          <w:rFonts w:eastAsia="Times New Roman"/>
        </w:rPr>
        <w:t>intent</w:t>
      </w:r>
      <w:r w:rsidR="00373177">
        <w:rPr>
          <w:rFonts w:eastAsia="Times New Roman"/>
        </w:rPr>
        <w:t xml:space="preserve"> that</w:t>
      </w:r>
      <w:r w:rsidRPr="009106B5">
        <w:rPr>
          <w:rFonts w:eastAsia="Times New Roman"/>
        </w:rPr>
        <w:t xml:space="preserve"> pipeline lengths relevant to the </w:t>
      </w:r>
      <w:r w:rsidR="00373177">
        <w:rPr>
          <w:rFonts w:eastAsia="Times New Roman"/>
        </w:rPr>
        <w:t xml:space="preserve">production variable </w:t>
      </w:r>
      <w:r w:rsidRPr="009106B5">
        <w:rPr>
          <w:rFonts w:eastAsia="Times New Roman"/>
        </w:rPr>
        <w:t>should include the lengths of service pipelines as well as the mains pipelines in a gas distribution network.</w:t>
      </w:r>
      <w:r w:rsidR="00570A8F">
        <w:rPr>
          <w:rFonts w:eastAsia="Times New Roman"/>
        </w:rPr>
        <w:t xml:space="preserve"> When the default was originally calculated, some of </w:t>
      </w:r>
      <w:r w:rsidR="00570A8F">
        <w:rPr>
          <w:rFonts w:eastAsia="Times New Roman"/>
        </w:rPr>
        <w:lastRenderedPageBreak/>
        <w:t xml:space="preserve">the </w:t>
      </w:r>
      <w:r w:rsidR="00062666">
        <w:rPr>
          <w:rFonts w:eastAsia="Times New Roman"/>
        </w:rPr>
        <w:t>data used in the calculation did not include service pipeline lengths</w:t>
      </w:r>
      <w:r w:rsidR="008551B3">
        <w:rPr>
          <w:rFonts w:eastAsia="Times New Roman"/>
        </w:rPr>
        <w:t>, and the default has accordingly been updated.</w:t>
      </w:r>
    </w:p>
    <w:p w14:paraId="423443EF" w14:textId="6C6CC21B" w:rsidR="009553B1" w:rsidRDefault="009553B1" w:rsidP="009553B1">
      <w:pPr>
        <w:pStyle w:val="Itemheadings"/>
      </w:pPr>
      <w:r>
        <w:t xml:space="preserve">Item </w:t>
      </w:r>
      <w:r w:rsidR="00AD2490">
        <w:t>29</w:t>
      </w:r>
    </w:p>
    <w:p w14:paraId="2CAC4F7A" w14:textId="4F1DCC5C" w:rsidR="00A654E9" w:rsidRDefault="00A654E9" w:rsidP="00A654E9">
      <w:r>
        <w:t xml:space="preserve">Item </w:t>
      </w:r>
      <w:r w:rsidR="00AD2490">
        <w:t xml:space="preserve">29 </w:t>
      </w:r>
      <w:r>
        <w:t xml:space="preserve">inserts a best practice emissions intensity number for ‘non-metallic mineral quarrying’ into Schedule 1. </w:t>
      </w:r>
    </w:p>
    <w:p w14:paraId="6971B683" w14:textId="77777777" w:rsidR="00A654E9" w:rsidRDefault="00A654E9" w:rsidP="00A654E9">
      <w:r>
        <w:t xml:space="preserve">Consistent with the Guidelines, the number is based on the top 10 per cent of Australian industry performance, as Australian mines were found to be less emissions-intensive than international mines with suitable data. </w:t>
      </w:r>
      <w:r>
        <w:rPr>
          <w:szCs w:val="24"/>
        </w:rPr>
        <w:t>The number was calculated using the same data that was used to calculate the default emissions intensity number for ‘</w:t>
      </w:r>
      <w:r>
        <w:t>non-metallic mineral quarrying’.</w:t>
      </w:r>
    </w:p>
    <w:p w14:paraId="5853B6B8" w14:textId="19C57E26" w:rsidR="00293D3D" w:rsidRPr="00A654E9" w:rsidRDefault="00A654E9" w:rsidP="00293D3D">
      <w:pPr>
        <w:rPr>
          <w:szCs w:val="24"/>
        </w:rPr>
      </w:pPr>
      <w:r>
        <w:rPr>
          <w:szCs w:val="24"/>
        </w:rPr>
        <w:t xml:space="preserve">As the calculation did not depend on international data, consideration of an adjustment for Australian conditions was not required. </w:t>
      </w:r>
    </w:p>
    <w:p w14:paraId="3F84AB7A" w14:textId="3E791820" w:rsidR="009553B1" w:rsidRDefault="009553B1" w:rsidP="009553B1">
      <w:pPr>
        <w:pStyle w:val="Itemheadings"/>
      </w:pPr>
      <w:r>
        <w:t xml:space="preserve">Item </w:t>
      </w:r>
      <w:r w:rsidR="00AD2490">
        <w:t>30</w:t>
      </w:r>
    </w:p>
    <w:p w14:paraId="776EE920" w14:textId="6A16984E" w:rsidR="008E4552" w:rsidRDefault="008E4552" w:rsidP="008E4552">
      <w:pPr>
        <w:rPr>
          <w:szCs w:val="24"/>
        </w:rPr>
      </w:pPr>
      <w:r>
        <w:rPr>
          <w:szCs w:val="24"/>
        </w:rPr>
        <w:t xml:space="preserve">Item </w:t>
      </w:r>
      <w:r w:rsidR="00956B9A">
        <w:rPr>
          <w:szCs w:val="24"/>
        </w:rPr>
        <w:t xml:space="preserve">30 </w:t>
      </w:r>
      <w:r>
        <w:rPr>
          <w:szCs w:val="24"/>
        </w:rPr>
        <w:t xml:space="preserve">inserts a best practice emissions intensity number for ‘copper anode’ into Schedule 1. The number is based on a production-weighted average of the emissions intensity of two copper smelters in Spain and Australia. These were found to be the least emissions-intensive sites globally with suitable data. </w:t>
      </w:r>
    </w:p>
    <w:p w14:paraId="74F26223" w14:textId="77777777" w:rsidR="008E4552" w:rsidRDefault="008E4552" w:rsidP="008E4552">
      <w:pPr>
        <w:rPr>
          <w:szCs w:val="24"/>
        </w:rPr>
      </w:pPr>
      <w:r>
        <w:rPr>
          <w:szCs w:val="24"/>
        </w:rPr>
        <w:t xml:space="preserve">The production of the lowest emissions intensity facility was less than 25 per cent of relevant Australian production and including two facilities meant that total production was greater than 25 per cent of relevant Australian production. Two facilities were used for the calculation to produce a more </w:t>
      </w:r>
      <w:r>
        <w:t xml:space="preserve">representative </w:t>
      </w:r>
      <w:r>
        <w:rPr>
          <w:szCs w:val="24"/>
        </w:rPr>
        <w:t>number.</w:t>
      </w:r>
    </w:p>
    <w:p w14:paraId="6C9C8EB9" w14:textId="7FDDE769" w:rsidR="00293D3D" w:rsidRDefault="008E4552" w:rsidP="00293D3D">
      <w:r>
        <w:t xml:space="preserve">The Guidelines state that adjustments for Australian conditions will be made if the relevant international facility has characteristics impossible to replicate in Australia, and this has a material impact on achieving best practice emissions intensity; and that geology and climate are relevant. The number has not been adjusted for Australian conditions, since the conditions at the relevant international facility are comparable to Australian conditions. </w:t>
      </w:r>
    </w:p>
    <w:p w14:paraId="7B6A2CF8" w14:textId="7F03A9BE" w:rsidR="009553B1" w:rsidRDefault="009553B1" w:rsidP="009553B1">
      <w:pPr>
        <w:pStyle w:val="Itemheadings"/>
      </w:pPr>
      <w:r>
        <w:t xml:space="preserve">Item </w:t>
      </w:r>
      <w:r w:rsidR="00AD2490">
        <w:t>31</w:t>
      </w:r>
    </w:p>
    <w:p w14:paraId="29DA8240" w14:textId="2376C334" w:rsidR="00A279BF" w:rsidRDefault="00A279BF" w:rsidP="00A279BF">
      <w:r>
        <w:t xml:space="preserve">Item </w:t>
      </w:r>
      <w:r w:rsidR="00AD2490">
        <w:t xml:space="preserve">31 </w:t>
      </w:r>
      <w:r>
        <w:t xml:space="preserve">inserts a best practice emissions intensity number for ‘primary nickel products from nickel bearing inputs’ into Schedule 1. </w:t>
      </w:r>
    </w:p>
    <w:p w14:paraId="3EC3A58B" w14:textId="77777777" w:rsidR="00A279BF" w:rsidRDefault="00A279BF" w:rsidP="00A279BF">
      <w:pPr>
        <w:rPr>
          <w:szCs w:val="24"/>
        </w:rPr>
      </w:pPr>
      <w:r>
        <w:rPr>
          <w:szCs w:val="24"/>
        </w:rPr>
        <w:t>Consistent with the Guidelines, the number is based on a supplementary approach, calculated as the sum of the best practice emissions intensity numbers for ‘</w:t>
      </w:r>
      <w:r>
        <w:t>intermediate nickel products from nickel bearing inputs</w:t>
      </w:r>
      <w:r>
        <w:rPr>
          <w:szCs w:val="24"/>
        </w:rPr>
        <w:t xml:space="preserve">’ and </w:t>
      </w:r>
      <w:r>
        <w:t>‘primary nickel products from imported intermediate nickel products’</w:t>
      </w:r>
    </w:p>
    <w:p w14:paraId="72B2AC98" w14:textId="77777777" w:rsidR="00A279BF" w:rsidRDefault="00A279BF" w:rsidP="00A279BF">
      <w:pPr>
        <w:rPr>
          <w:szCs w:val="24"/>
        </w:rPr>
      </w:pPr>
      <w:r>
        <w:rPr>
          <w:szCs w:val="24"/>
        </w:rPr>
        <w:t xml:space="preserve">Suitable data was found for international facilities with lower emissions intensities. However, using the data for these facilities would result in a lower number for </w:t>
      </w:r>
      <w:r>
        <w:t xml:space="preserve">‘primary nickel products from nickel bearing inputs’ </w:t>
      </w:r>
      <w:r>
        <w:rPr>
          <w:szCs w:val="24"/>
        </w:rPr>
        <w:t xml:space="preserve">compared to </w:t>
      </w:r>
      <w:r>
        <w:t xml:space="preserve">‘primary nickel products from imported intermediate </w:t>
      </w:r>
      <w:r>
        <w:lastRenderedPageBreak/>
        <w:t xml:space="preserve">nickel </w:t>
      </w:r>
      <w:proofErr w:type="gramStart"/>
      <w:r>
        <w:t>products’</w:t>
      </w:r>
      <w:proofErr w:type="gramEnd"/>
      <w:r>
        <w:t xml:space="preserve">. </w:t>
      </w:r>
      <w:r>
        <w:rPr>
          <w:szCs w:val="24"/>
        </w:rPr>
        <w:t>The Guidelines state that international best practice benchmark emissions intensities should be set in a way that is consistent with four principles that underpin the Framework Document, namely that production variables and emissions intensities should be effective, consistent, practical and robust. Consistent with the Guidelines, the resulting number is not proposed to be used, as publishing a lower number for the activity of producing primary nickel from nickel bearing inputs compared with producing primary nickel from intermediate nickel products would not treat facilities and industries consistently.</w:t>
      </w:r>
    </w:p>
    <w:p w14:paraId="500898F2" w14:textId="712CFD20" w:rsidR="00293D3D" w:rsidRPr="00A279BF" w:rsidRDefault="00A279BF" w:rsidP="00293D3D">
      <w:pPr>
        <w:rPr>
          <w:szCs w:val="24"/>
        </w:rPr>
      </w:pPr>
      <w:r>
        <w:rPr>
          <w:szCs w:val="24"/>
        </w:rPr>
        <w:t xml:space="preserve">As the calculation did not depend on international data, consideration of an adjustment for Australian conditions was not required. </w:t>
      </w:r>
    </w:p>
    <w:p w14:paraId="62C4D05B" w14:textId="1E2B5897" w:rsidR="009553B1" w:rsidRDefault="009553B1" w:rsidP="009553B1">
      <w:pPr>
        <w:pStyle w:val="Itemheadings"/>
      </w:pPr>
      <w:r>
        <w:t xml:space="preserve">Item </w:t>
      </w:r>
      <w:r w:rsidR="00AD2490">
        <w:t>32</w:t>
      </w:r>
    </w:p>
    <w:p w14:paraId="4455414F" w14:textId="10D6C2FB" w:rsidR="00C71F34" w:rsidRDefault="00C71F34" w:rsidP="00C71F34">
      <w:r>
        <w:t xml:space="preserve">Item </w:t>
      </w:r>
      <w:r w:rsidR="00956B9A">
        <w:t xml:space="preserve">32 </w:t>
      </w:r>
      <w:r>
        <w:t xml:space="preserve">inserts a best practice emissions intensity number for ‘primary nickel products from imported intermediate nickel products’ into Schedule 1.  </w:t>
      </w:r>
      <w:r>
        <w:rPr>
          <w:szCs w:val="24"/>
        </w:rPr>
        <w:t>Consistent with the Guidelines, the number is based on the top 10 per cent of Australian industry performance, as suitable data could not be found globally for ‘</w:t>
      </w:r>
      <w:r>
        <w:t xml:space="preserve">primary nickel products from imported intermediate nickel </w:t>
      </w:r>
      <w:proofErr w:type="gramStart"/>
      <w:r>
        <w:t>products’</w:t>
      </w:r>
      <w:proofErr w:type="gramEnd"/>
      <w:r>
        <w:rPr>
          <w:szCs w:val="24"/>
        </w:rPr>
        <w:t>. The key challenge related to accurately apportioning emissions among outputs of different nickel concentration at a nickel refinery.</w:t>
      </w:r>
    </w:p>
    <w:p w14:paraId="15B7570F" w14:textId="77777777" w:rsidR="00C71F34" w:rsidRDefault="00C71F34" w:rsidP="00C71F34">
      <w:r>
        <w:rPr>
          <w:szCs w:val="24"/>
        </w:rPr>
        <w:t>The number was calculated using the same data that was used to calculate the default emissions intensity number for ‘</w:t>
      </w:r>
      <w:r>
        <w:t xml:space="preserve">intermediate nickel products from nickel bearing </w:t>
      </w:r>
      <w:proofErr w:type="gramStart"/>
      <w:r>
        <w:t>inputs’</w:t>
      </w:r>
      <w:proofErr w:type="gramEnd"/>
      <w:r>
        <w:t>.</w:t>
      </w:r>
    </w:p>
    <w:p w14:paraId="5E23F4D3" w14:textId="2C02AF1F" w:rsidR="00293D3D" w:rsidRPr="00C71F34" w:rsidRDefault="00C71F34" w:rsidP="00293D3D">
      <w:pPr>
        <w:rPr>
          <w:szCs w:val="24"/>
        </w:rPr>
      </w:pPr>
      <w:r>
        <w:rPr>
          <w:szCs w:val="24"/>
        </w:rPr>
        <w:t xml:space="preserve">As the calculation did not depend on international data, consideration of an adjustment for Australian conditions was not required. </w:t>
      </w:r>
    </w:p>
    <w:p w14:paraId="7066D605" w14:textId="1A02CF28" w:rsidR="009553B1" w:rsidRDefault="009553B1" w:rsidP="009553B1">
      <w:pPr>
        <w:pStyle w:val="Itemheadings"/>
      </w:pPr>
      <w:r>
        <w:t xml:space="preserve">Item </w:t>
      </w:r>
      <w:r w:rsidR="00956B9A">
        <w:t>33</w:t>
      </w:r>
    </w:p>
    <w:p w14:paraId="46993D58" w14:textId="2B3C4202" w:rsidR="00AE2549" w:rsidRDefault="00AE2549" w:rsidP="00AE2549">
      <w:r>
        <w:t xml:space="preserve">Item </w:t>
      </w:r>
      <w:r w:rsidR="00956B9A">
        <w:t xml:space="preserve">33 </w:t>
      </w:r>
      <w:r>
        <w:t xml:space="preserve">inserts a best practice emissions intensity number for ‘intermediate nickel products from nickel bearing inputs’ into Schedule 1. </w:t>
      </w:r>
      <w:r>
        <w:rPr>
          <w:szCs w:val="24"/>
        </w:rPr>
        <w:t xml:space="preserve">Consistent with the Guidelines, the number is based on the top 10 per cent of Australian industry performance, as suitable data could not be found globally for </w:t>
      </w:r>
      <w:r>
        <w:t xml:space="preserve">‘intermediate nickel products from nickel bearing </w:t>
      </w:r>
      <w:proofErr w:type="gramStart"/>
      <w:r>
        <w:t>inputs’</w:t>
      </w:r>
      <w:proofErr w:type="gramEnd"/>
      <w:r>
        <w:rPr>
          <w:szCs w:val="24"/>
        </w:rPr>
        <w:t>. The key challenge related to accurately apportioning emissions among outputs produced from different feedstocks at a nickel refinery.</w:t>
      </w:r>
    </w:p>
    <w:p w14:paraId="7FD32B29" w14:textId="77777777" w:rsidR="00AE2549" w:rsidRDefault="00AE2549" w:rsidP="00AE2549">
      <w:pPr>
        <w:rPr>
          <w:szCs w:val="24"/>
        </w:rPr>
      </w:pPr>
      <w:r>
        <w:t xml:space="preserve">The number was calculated using the same data that was used to calculate the default emissions intensity number for ‘intermediate nickel products from nickel bearing </w:t>
      </w:r>
      <w:proofErr w:type="gramStart"/>
      <w:r>
        <w:t>inputs’</w:t>
      </w:r>
      <w:proofErr w:type="gramEnd"/>
      <w:r>
        <w:t>.</w:t>
      </w:r>
      <w:r>
        <w:rPr>
          <w:szCs w:val="24"/>
        </w:rPr>
        <w:t xml:space="preserve"> </w:t>
      </w:r>
    </w:p>
    <w:p w14:paraId="1997AFDB" w14:textId="07F84414" w:rsidR="00293D3D" w:rsidRDefault="00AE2549" w:rsidP="00293D3D">
      <w:r>
        <w:t xml:space="preserve">As the calculation did not depend on international data, consideration of an adjustment for Australian conditions was not required. </w:t>
      </w:r>
    </w:p>
    <w:p w14:paraId="4F038640" w14:textId="41BD0524" w:rsidR="009553B1" w:rsidRDefault="009553B1" w:rsidP="009553B1">
      <w:pPr>
        <w:pStyle w:val="Itemheadings"/>
      </w:pPr>
      <w:r>
        <w:t xml:space="preserve">Item </w:t>
      </w:r>
      <w:r w:rsidR="00956B9A">
        <w:t>34</w:t>
      </w:r>
    </w:p>
    <w:p w14:paraId="40E0444D" w14:textId="0CE1C7BE" w:rsidR="00641A68" w:rsidRDefault="00641A68" w:rsidP="00641A68">
      <w:r>
        <w:t xml:space="preserve">Item </w:t>
      </w:r>
      <w:r w:rsidR="00956B9A">
        <w:t xml:space="preserve">34 </w:t>
      </w:r>
      <w:r>
        <w:t xml:space="preserve">inserts a default emissions intensity number for ‘gaseous hydrogen’ into Schedule 1. </w:t>
      </w:r>
    </w:p>
    <w:p w14:paraId="76A90B5F" w14:textId="77777777" w:rsidR="00641A68" w:rsidRDefault="00641A68" w:rsidP="00641A68">
      <w:pPr>
        <w:rPr>
          <w:szCs w:val="24"/>
        </w:rPr>
      </w:pPr>
      <w:r>
        <w:rPr>
          <w:szCs w:val="24"/>
        </w:rPr>
        <w:t xml:space="preserve">There was limited information of domestic exported gaseous hydrogen production at the time of the calculation however it was noted gaseous hydrogen would be produced in significant quantities as an intermediate product at Australian fertiliser and refinery plants. Given the </w:t>
      </w:r>
      <w:r>
        <w:rPr>
          <w:szCs w:val="24"/>
        </w:rPr>
        <w:lastRenderedPageBreak/>
        <w:t xml:space="preserve">lack of emissions and production data, the number was calculated consistent with the </w:t>
      </w:r>
      <w:r w:rsidRPr="007057D4">
        <w:rPr>
          <w:i/>
          <w:iCs/>
          <w:szCs w:val="24"/>
        </w:rPr>
        <w:t>Guidance on supplementary approaches to determine default emissions intensity values</w:t>
      </w:r>
      <w:r w:rsidRPr="007057D4">
        <w:rPr>
          <w:rStyle w:val="FootnoteReference"/>
          <w:szCs w:val="24"/>
        </w:rPr>
        <w:footnoteReference w:id="5"/>
      </w:r>
      <w:r w:rsidRPr="007057D4">
        <w:rPr>
          <w:i/>
          <w:iCs/>
          <w:szCs w:val="24"/>
        </w:rPr>
        <w:t>,</w:t>
      </w:r>
      <w:r>
        <w:rPr>
          <w:szCs w:val="24"/>
        </w:rPr>
        <w:t xml:space="preserve"> which is the companion document to the Framework Document. For consistency, the default number was calculated using the same supplementary approach used to set the best practice emissions intensity number. </w:t>
      </w:r>
    </w:p>
    <w:p w14:paraId="644184AD" w14:textId="4CB87C38" w:rsidR="00293D3D" w:rsidRPr="00641A68" w:rsidRDefault="00641A68" w:rsidP="00293D3D">
      <w:pPr>
        <w:rPr>
          <w:szCs w:val="24"/>
        </w:rPr>
      </w:pPr>
      <w:r>
        <w:rPr>
          <w:szCs w:val="24"/>
        </w:rPr>
        <w:t xml:space="preserve">The supplementary approach uses an engineering calculation based on gas-fuelled steam methane reforming technology, which is the applicable technology for fertiliser production and refineries. The best practice number assumed a best practice efficiency of the steam methane reforming reaction of 80%; a methane destruction efficiency of 98%; and no carbon capture and storage. The default number assumed an efficiency at the lower end of theoretical performance at </w:t>
      </w:r>
      <w:r w:rsidR="00461075">
        <w:rPr>
          <w:szCs w:val="24"/>
        </w:rPr>
        <w:t>6</w:t>
      </w:r>
      <w:r w:rsidR="003433C5">
        <w:rPr>
          <w:szCs w:val="24"/>
        </w:rPr>
        <w:t>5</w:t>
      </w:r>
      <w:r>
        <w:rPr>
          <w:szCs w:val="24"/>
        </w:rPr>
        <w:t>%; a methane destruction efficiency of 98%; and no carbon capture and storage.</w:t>
      </w:r>
    </w:p>
    <w:p w14:paraId="67810690" w14:textId="5C825306" w:rsidR="009553B1" w:rsidRDefault="009553B1" w:rsidP="009553B1">
      <w:pPr>
        <w:pStyle w:val="Itemheadings"/>
      </w:pPr>
      <w:r>
        <w:t xml:space="preserve">Item </w:t>
      </w:r>
      <w:r w:rsidR="00956B9A">
        <w:t>35</w:t>
      </w:r>
    </w:p>
    <w:p w14:paraId="7DCD39A6" w14:textId="416B4DE0" w:rsidR="001679B5" w:rsidRDefault="001679B5" w:rsidP="001679B5">
      <w:r>
        <w:t xml:space="preserve">Item </w:t>
      </w:r>
      <w:r w:rsidR="00956B9A">
        <w:t xml:space="preserve">35 </w:t>
      </w:r>
      <w:r>
        <w:t>inserts a best practice emissions intensity number for ‘renewable aviation kerosene’ into Schedule 1.</w:t>
      </w:r>
    </w:p>
    <w:p w14:paraId="45298373" w14:textId="442C25D8" w:rsidR="001679B5" w:rsidRDefault="001679B5" w:rsidP="001679B5">
      <w:r>
        <w:t xml:space="preserve">Section 4.7 of the Guidelines provides for supplementary approaches to be considered in circumstances where historical data is either not available, or not suitable for use in calculating benchmarks. Suitable data was not available for this production variable, given the production of renewable aviation kerosene is globally an emerging industry, so a supplementary approach is proposed. </w:t>
      </w:r>
    </w:p>
    <w:p w14:paraId="06BDDC0C" w14:textId="32283DD4" w:rsidR="00624966" w:rsidRDefault="00624966" w:rsidP="001679B5">
      <w:r w:rsidRPr="00624966">
        <w:t>Feedback on the exposure draft indicated that the emissions intensit</w:t>
      </w:r>
      <w:r>
        <w:t>y</w:t>
      </w:r>
      <w:r w:rsidRPr="00624966">
        <w:t xml:space="preserve"> </w:t>
      </w:r>
      <w:r>
        <w:t xml:space="preserve">for renewable aviation kerosene </w:t>
      </w:r>
      <w:r w:rsidRPr="00624966">
        <w:t xml:space="preserve">should be </w:t>
      </w:r>
      <w:r>
        <w:t xml:space="preserve">close to </w:t>
      </w:r>
      <w:r w:rsidRPr="00624966">
        <w:t>the emissions intensit</w:t>
      </w:r>
      <w:r>
        <w:t>y</w:t>
      </w:r>
      <w:r w:rsidRPr="00624966">
        <w:t xml:space="preserve"> </w:t>
      </w:r>
      <w:r>
        <w:t xml:space="preserve">for </w:t>
      </w:r>
      <w:r w:rsidR="000D1F7D">
        <w:t>‘</w:t>
      </w:r>
      <w:r>
        <w:t>renewable diesel</w:t>
      </w:r>
      <w:r w:rsidR="000D1F7D">
        <w:t>’</w:t>
      </w:r>
      <w:r>
        <w:t xml:space="preserve">. </w:t>
      </w:r>
      <w:r w:rsidRPr="00624966">
        <w:t xml:space="preserve">The new </w:t>
      </w:r>
      <w:r w:rsidR="007178CE">
        <w:t>best practice emissions intensity number for</w:t>
      </w:r>
      <w:r w:rsidRPr="00624966">
        <w:t xml:space="preserve"> renewable aviation kerosene </w:t>
      </w:r>
      <w:r w:rsidR="007178CE">
        <w:t>reflects</w:t>
      </w:r>
      <w:r w:rsidRPr="00624966">
        <w:t xml:space="preserve"> analysis of the emissions intensities for overseas facilities that produce both types of fuel.</w:t>
      </w:r>
      <w:r w:rsidR="00B56853">
        <w:t xml:space="preserve"> This analysis suggested that the difference in emissions intensities between each type of fuel should be around 0.013 t CO</w:t>
      </w:r>
      <w:r w:rsidR="00B56853" w:rsidRPr="00093E54">
        <w:rPr>
          <w:vertAlign w:val="subscript"/>
        </w:rPr>
        <w:t>2</w:t>
      </w:r>
      <w:r w:rsidR="00B56853">
        <w:t>-e per kilolitre</w:t>
      </w:r>
      <w:r w:rsidR="00875CAF">
        <w:t>. The best practice emissions intensity number for renewable aviation kerosene in the Amendment Instrument (0.717 t CO</w:t>
      </w:r>
      <w:r w:rsidR="00875CAF" w:rsidRPr="00093E54">
        <w:rPr>
          <w:vertAlign w:val="subscript"/>
        </w:rPr>
        <w:t>2</w:t>
      </w:r>
      <w:r w:rsidR="00875CAF">
        <w:t>-e per kilolitre) was set by adding 0.013 t CO</w:t>
      </w:r>
      <w:r w:rsidR="00875CAF" w:rsidRPr="00093E54">
        <w:rPr>
          <w:vertAlign w:val="subscript"/>
        </w:rPr>
        <w:t>2</w:t>
      </w:r>
      <w:r w:rsidR="00875CAF">
        <w:t>-e per kilolitre to the</w:t>
      </w:r>
      <w:r w:rsidR="000D1F7D">
        <w:t xml:space="preserve"> best practice emissions intensity number</w:t>
      </w:r>
      <w:r w:rsidR="000D1F7D" w:rsidRPr="000D1F7D">
        <w:t xml:space="preserve"> </w:t>
      </w:r>
      <w:r w:rsidR="000D1F7D">
        <w:t>for renewable diesel.</w:t>
      </w:r>
    </w:p>
    <w:p w14:paraId="506B0B39" w14:textId="075DB5BA" w:rsidR="00293D3D" w:rsidRDefault="001679B5" w:rsidP="00293D3D">
      <w:r>
        <w:t xml:space="preserve">The Guidelines state that adjustments for Australian conditions will be made if the relevant international facility has characteristics impossible to replicate in Australia, and this has a material impact on achieving best practice emissions intensity; and that geology and climate are relevant. These factors do not materially impact the emissions intensity of </w:t>
      </w:r>
      <w:r w:rsidR="00B9585A">
        <w:t>renewable aviation kerosene</w:t>
      </w:r>
      <w:r w:rsidR="00B9585A" w:rsidDel="00B9585A">
        <w:t xml:space="preserve"> </w:t>
      </w:r>
      <w:r>
        <w:t xml:space="preserve">production, so an adjustment was not made. </w:t>
      </w:r>
    </w:p>
    <w:p w14:paraId="188971F2" w14:textId="31115BD7" w:rsidR="009553B1" w:rsidRDefault="009553B1" w:rsidP="009553B1">
      <w:pPr>
        <w:pStyle w:val="Itemheadings"/>
      </w:pPr>
      <w:r>
        <w:lastRenderedPageBreak/>
        <w:t xml:space="preserve">Item </w:t>
      </w:r>
      <w:r w:rsidR="00956B9A">
        <w:t>36</w:t>
      </w:r>
    </w:p>
    <w:p w14:paraId="0E84B291" w14:textId="650B6AEC" w:rsidR="00624719" w:rsidRDefault="00624719" w:rsidP="00624719">
      <w:r>
        <w:t xml:space="preserve">Item </w:t>
      </w:r>
      <w:r w:rsidR="00956B9A">
        <w:t xml:space="preserve">36 </w:t>
      </w:r>
      <w:r>
        <w:t xml:space="preserve">inserts a best practice emissions intensity number for ‘renewable diesel’ into Schedule 1. </w:t>
      </w:r>
    </w:p>
    <w:p w14:paraId="13C317DB" w14:textId="3CF08180" w:rsidR="00624719" w:rsidRDefault="00624719" w:rsidP="00624719">
      <w:r>
        <w:t xml:space="preserve">Section 4.7 of the Guidelines provides for supplementary approaches to be considered in circumstances where historical data is either not available, or not suitable for use in calculating benchmarks. Suitable data was not available for this production variable, given the production of renewable diesel is globally an emerging industry, so a supplementary approach is proposed. </w:t>
      </w:r>
    </w:p>
    <w:p w14:paraId="7E3C25D9" w14:textId="0211D4EE" w:rsidR="00624719" w:rsidRDefault="00624719" w:rsidP="00673E7A">
      <w:r w:rsidRPr="00B9585A">
        <w:t xml:space="preserve">Benchmarking data from the Low Carbon Fuel Standard (LCFS), administered by the California Air Resources Board (CARB), was used for the calculation. The LCFS publishes facility level ‘carbon intensity’ for the entities producing renewable diesel. The ‘carbon intensity’ is calculated, reported and verified for each type of feedstock the facility processes. The data does not include production information so unsuitable for the </w:t>
      </w:r>
      <w:r w:rsidR="00A92BCB" w:rsidRPr="00926B54">
        <w:t xml:space="preserve">standard </w:t>
      </w:r>
      <w:r w:rsidRPr="00B9585A">
        <w:t>calculation approach set out in the Guidelines.</w:t>
      </w:r>
      <w:r w:rsidR="00A92BCB" w:rsidRPr="00926B54">
        <w:t xml:space="preserve"> </w:t>
      </w:r>
      <w:r w:rsidRPr="00B9585A">
        <w:t>An estimate for facility level emissions intensity was determined by averaging the carbon intensity of the feedstocks used at each facility. The benchmark was calculated by taking the average of the facility level emissions intensity of the five facilities with suitable data that had the lowest emissions intensity of renewable diesel production.</w:t>
      </w:r>
    </w:p>
    <w:p w14:paraId="6E9F29B7" w14:textId="11264F69" w:rsidR="00673E7A" w:rsidRDefault="00673E7A" w:rsidP="00673E7A">
      <w:r>
        <w:t xml:space="preserve">The best practice emissions intensity number </w:t>
      </w:r>
      <w:r w:rsidR="009076AC">
        <w:t xml:space="preserve">in the </w:t>
      </w:r>
      <w:r>
        <w:t xml:space="preserve">Amendment Instrument </w:t>
      </w:r>
      <w:r w:rsidR="009076AC">
        <w:t xml:space="preserve">has increased </w:t>
      </w:r>
      <w:r w:rsidR="00BB1966">
        <w:t>to 0.704 t CO</w:t>
      </w:r>
      <w:r w:rsidR="00BB1966" w:rsidRPr="00093E54">
        <w:rPr>
          <w:vertAlign w:val="subscript"/>
        </w:rPr>
        <w:t>2</w:t>
      </w:r>
      <w:r w:rsidR="00BB1966">
        <w:t xml:space="preserve">-e per kilolitre </w:t>
      </w:r>
      <w:r w:rsidR="009076AC">
        <w:t>compare</w:t>
      </w:r>
      <w:r w:rsidR="00BB1966">
        <w:t>d</w:t>
      </w:r>
      <w:r w:rsidR="009076AC">
        <w:t xml:space="preserve"> </w:t>
      </w:r>
      <w:r w:rsidR="00BB1966">
        <w:t>to the exposure draft</w:t>
      </w:r>
      <w:r>
        <w:t xml:space="preserve"> </w:t>
      </w:r>
      <w:r w:rsidR="00BB1966">
        <w:t>(</w:t>
      </w:r>
      <w:r w:rsidR="00FE7970">
        <w:t xml:space="preserve">which had a draft benchmark of </w:t>
      </w:r>
      <w:r>
        <w:t>0.558 t CO</w:t>
      </w:r>
      <w:r w:rsidRPr="00926B54">
        <w:rPr>
          <w:vertAlign w:val="subscript"/>
        </w:rPr>
        <w:t>2</w:t>
      </w:r>
      <w:r w:rsidR="009076AC">
        <w:t>-</w:t>
      </w:r>
      <w:r>
        <w:t>e</w:t>
      </w:r>
      <w:r w:rsidR="00FE7970">
        <w:t>)</w:t>
      </w:r>
      <w:r>
        <w:t>.</w:t>
      </w:r>
      <w:r w:rsidR="00FE7970">
        <w:t xml:space="preserve"> </w:t>
      </w:r>
      <w:r>
        <w:t xml:space="preserve">The updated benchmark for renewable diesel reflects the removal </w:t>
      </w:r>
      <w:r w:rsidR="004D5C5A">
        <w:t xml:space="preserve">from the calculation </w:t>
      </w:r>
      <w:r>
        <w:t xml:space="preserve">of a facility which co-processes biological feedstocks with fossil fuels in a refinery, for which the </w:t>
      </w:r>
      <w:r w:rsidR="004D5C5A">
        <w:t>production variable</w:t>
      </w:r>
      <w:r>
        <w:t xml:space="preserve"> would not be suitable; the addition of a new facility to replace the facility removed from the calculation; and the correction of an error where tailpipe emissions were subtracted twice.</w:t>
      </w:r>
    </w:p>
    <w:p w14:paraId="3DF93021" w14:textId="57078D49" w:rsidR="00B9585A" w:rsidRDefault="00B9585A" w:rsidP="00673E7A">
      <w:r>
        <w:t xml:space="preserve">The Guidelines state that adjustments for Australian conditions will be made if the relevant international facility has characteristics impossible to replicate in Australia, and this has a material impact on achieving best practice emissions intensity; and that geology and climate are relevant. These factors do not materially impact the emissions intensity of renewable diesel production, so an adjustment was not made. </w:t>
      </w:r>
    </w:p>
    <w:p w14:paraId="10FBD137" w14:textId="1B323A0D" w:rsidR="00293D3D" w:rsidRDefault="009553B1" w:rsidP="00293D3D">
      <w:pPr>
        <w:pStyle w:val="Itemheadings"/>
      </w:pPr>
      <w:r>
        <w:t xml:space="preserve">Item </w:t>
      </w:r>
      <w:r w:rsidR="00956B9A">
        <w:t>37</w:t>
      </w:r>
    </w:p>
    <w:p w14:paraId="18FC4977" w14:textId="7E7FEFE4" w:rsidR="00F270D3" w:rsidRDefault="00FD6F21" w:rsidP="00FD6F21">
      <w:r>
        <w:t xml:space="preserve">Item </w:t>
      </w:r>
      <w:r w:rsidR="00956B9A">
        <w:t xml:space="preserve">37 </w:t>
      </w:r>
      <w:r>
        <w:t>inserts a new production variable ‘rare earth processing’ and corresponding best practice emissions intensity number in Part 51 of Schedule 1. Consistent with the Framework Document, the production variable is applicable to a facility that conducts the activity of producing separated rare earth products through the transformation of metal ore.</w:t>
      </w:r>
    </w:p>
    <w:p w14:paraId="6133FB55" w14:textId="7F0CCCAA" w:rsidR="00A07D5C" w:rsidRPr="00D9379C" w:rsidRDefault="00F270D3" w:rsidP="00B57FA2">
      <w:pPr>
        <w:rPr>
          <w:color w:val="000000" w:themeColor="text1"/>
        </w:rPr>
      </w:pPr>
      <w:r w:rsidRPr="00CA6AF6">
        <w:rPr>
          <w:color w:val="000000" w:themeColor="text1"/>
        </w:rPr>
        <w:t xml:space="preserve">The metric makes use </w:t>
      </w:r>
      <w:r w:rsidR="00570CB3" w:rsidRPr="00CA6AF6">
        <w:rPr>
          <w:color w:val="000000" w:themeColor="text1"/>
        </w:rPr>
        <w:t>of some definitions introduced in new section 105 of Schedule 1.</w:t>
      </w:r>
      <w:r w:rsidR="002D03B2" w:rsidRPr="00CA6AF6">
        <w:rPr>
          <w:color w:val="000000" w:themeColor="text1"/>
        </w:rPr>
        <w:t xml:space="preserve"> This section </w:t>
      </w:r>
      <w:r w:rsidR="00B57FA2" w:rsidRPr="00CA6AF6">
        <w:rPr>
          <w:color w:val="000000" w:themeColor="text1"/>
        </w:rPr>
        <w:t>defines</w:t>
      </w:r>
      <w:r w:rsidR="007378D2" w:rsidRPr="00CA6AF6">
        <w:rPr>
          <w:color w:val="000000" w:themeColor="text1"/>
        </w:rPr>
        <w:t xml:space="preserve"> </w:t>
      </w:r>
      <w:r w:rsidR="007F3078" w:rsidRPr="00CA6AF6">
        <w:rPr>
          <w:color w:val="000000" w:themeColor="text1"/>
        </w:rPr>
        <w:t xml:space="preserve">‘primary rare earth elements’ </w:t>
      </w:r>
      <w:r w:rsidR="00B57FA2" w:rsidRPr="00CA6AF6">
        <w:rPr>
          <w:color w:val="000000" w:themeColor="text1"/>
        </w:rPr>
        <w:t xml:space="preserve">to </w:t>
      </w:r>
      <w:r w:rsidR="007F3078" w:rsidRPr="00CA6AF6">
        <w:rPr>
          <w:color w:val="000000" w:themeColor="text1"/>
        </w:rPr>
        <w:t xml:space="preserve">mean </w:t>
      </w:r>
      <w:r w:rsidR="00876254" w:rsidRPr="00CA6AF6">
        <w:rPr>
          <w:color w:val="000000" w:themeColor="text1"/>
        </w:rPr>
        <w:t>praseodymium (</w:t>
      </w:r>
      <w:proofErr w:type="spellStart"/>
      <w:r w:rsidR="00876254" w:rsidRPr="00CA6AF6">
        <w:rPr>
          <w:color w:val="000000" w:themeColor="text1"/>
        </w:rPr>
        <w:t>Pr</w:t>
      </w:r>
      <w:proofErr w:type="spellEnd"/>
      <w:r w:rsidR="00876254" w:rsidRPr="00CA6AF6">
        <w:rPr>
          <w:color w:val="000000" w:themeColor="text1"/>
        </w:rPr>
        <w:t>), neodymium (Nd), terbium (Tb), and dysprosium (Dy)</w:t>
      </w:r>
      <w:r w:rsidR="00A07D5C" w:rsidRPr="00CA6AF6">
        <w:rPr>
          <w:color w:val="000000" w:themeColor="text1"/>
        </w:rPr>
        <w:t xml:space="preserve">; </w:t>
      </w:r>
      <w:r w:rsidR="004574DC" w:rsidRPr="00CA6AF6">
        <w:rPr>
          <w:color w:val="000000" w:themeColor="text1"/>
        </w:rPr>
        <w:t>‘primary rare</w:t>
      </w:r>
      <w:r w:rsidR="00876254" w:rsidRPr="00CA6AF6">
        <w:rPr>
          <w:color w:val="000000" w:themeColor="text1"/>
        </w:rPr>
        <w:t xml:space="preserve"> </w:t>
      </w:r>
      <w:r w:rsidR="004574DC" w:rsidRPr="00CA6AF6">
        <w:rPr>
          <w:color w:val="000000" w:themeColor="text1"/>
        </w:rPr>
        <w:t xml:space="preserve">earth oxides’ </w:t>
      </w:r>
      <w:r w:rsidR="00B57FA2" w:rsidRPr="00CA6AF6">
        <w:rPr>
          <w:color w:val="000000" w:themeColor="text1"/>
        </w:rPr>
        <w:t>to</w:t>
      </w:r>
      <w:r w:rsidR="004574DC" w:rsidRPr="00CA6AF6">
        <w:rPr>
          <w:color w:val="000000" w:themeColor="text1"/>
        </w:rPr>
        <w:t xml:space="preserve"> mean</w:t>
      </w:r>
      <w:r w:rsidR="00B57FA2" w:rsidRPr="00CA6AF6">
        <w:rPr>
          <w:color w:val="000000" w:themeColor="text1"/>
        </w:rPr>
        <w:t xml:space="preserve"> oxides of primary </w:t>
      </w:r>
      <w:r w:rsidR="00B57FA2" w:rsidRPr="00CA6AF6">
        <w:rPr>
          <w:color w:val="000000" w:themeColor="text1"/>
        </w:rPr>
        <w:lastRenderedPageBreak/>
        <w:t xml:space="preserve">rare earth elements or mixtures of one or more primary rare earth elements and oxides of primary </w:t>
      </w:r>
      <w:r w:rsidR="00B57FA2" w:rsidRPr="00D9379C">
        <w:rPr>
          <w:color w:val="000000" w:themeColor="text1"/>
        </w:rPr>
        <w:t xml:space="preserve">rare earth elements; and </w:t>
      </w:r>
      <w:r w:rsidR="00CA6AF6" w:rsidRPr="00D9379C">
        <w:rPr>
          <w:color w:val="000000" w:themeColor="text1"/>
        </w:rPr>
        <w:t>‘separated primary rare earth products’ to mean semi-separated or individual primary rare earth compounds.</w:t>
      </w:r>
    </w:p>
    <w:p w14:paraId="2EB28A69" w14:textId="09B1A354" w:rsidR="00FD6F21" w:rsidRPr="00D26A03" w:rsidRDefault="00F246DA" w:rsidP="00FD6F21">
      <w:pPr>
        <w:rPr>
          <w:color w:val="000000" w:themeColor="text1"/>
        </w:rPr>
      </w:pPr>
      <w:r w:rsidRPr="00D26A03">
        <w:rPr>
          <w:color w:val="000000" w:themeColor="text1"/>
        </w:rPr>
        <w:t xml:space="preserve">New section 106 of Schedule 1 </w:t>
      </w:r>
      <w:r w:rsidR="00131878" w:rsidRPr="00D26A03">
        <w:rPr>
          <w:color w:val="000000" w:themeColor="text1"/>
        </w:rPr>
        <w:t xml:space="preserve">defines the rare earth processing production variable. </w:t>
      </w:r>
      <w:r w:rsidR="00FD6F21" w:rsidRPr="00926B54">
        <w:rPr>
          <w:color w:val="000000" w:themeColor="text1"/>
        </w:rPr>
        <w:t xml:space="preserve">The metric for the production variable is </w:t>
      </w:r>
      <w:r w:rsidR="00D70103" w:rsidRPr="00D26A03">
        <w:rPr>
          <w:color w:val="000000" w:themeColor="text1"/>
        </w:rPr>
        <w:t xml:space="preserve">defined in subsection (1) to be </w:t>
      </w:r>
      <w:r w:rsidR="001904FD" w:rsidRPr="00D26A03">
        <w:rPr>
          <w:color w:val="000000" w:themeColor="text1"/>
        </w:rPr>
        <w:t>total primary rare earth oxide equivalent contained in separated primary rare earth products that</w:t>
      </w:r>
      <w:r w:rsidR="00FD6F21" w:rsidRPr="00926B54">
        <w:rPr>
          <w:color w:val="000000" w:themeColor="text1"/>
        </w:rPr>
        <w:t xml:space="preserve"> have weight by weight </w:t>
      </w:r>
      <w:r w:rsidR="00E94F84" w:rsidRPr="00D26A03">
        <w:rPr>
          <w:color w:val="000000" w:themeColor="text1"/>
        </w:rPr>
        <w:t>primary rare earth oxide</w:t>
      </w:r>
      <w:r w:rsidR="00FD6F21" w:rsidRPr="00926B54">
        <w:rPr>
          <w:color w:val="000000" w:themeColor="text1"/>
        </w:rPr>
        <w:t xml:space="preserve"> greater than 9</w:t>
      </w:r>
      <w:r w:rsidR="00E94F84" w:rsidRPr="00D26A03">
        <w:rPr>
          <w:color w:val="000000" w:themeColor="text1"/>
        </w:rPr>
        <w:t>0</w:t>
      </w:r>
      <w:r w:rsidR="00FD6F21" w:rsidRPr="00926B54">
        <w:rPr>
          <w:color w:val="000000" w:themeColor="text1"/>
        </w:rPr>
        <w:t xml:space="preserve"> per cent</w:t>
      </w:r>
      <w:r w:rsidR="00CB1080" w:rsidRPr="00D26A03">
        <w:rPr>
          <w:color w:val="000000" w:themeColor="text1"/>
        </w:rPr>
        <w:t>;</w:t>
      </w:r>
      <w:r w:rsidR="00FD6F21" w:rsidRPr="00926B54">
        <w:rPr>
          <w:color w:val="000000" w:themeColor="text1"/>
        </w:rPr>
        <w:t xml:space="preserve"> are suitable quality and concentration as an input to a metallisation process</w:t>
      </w:r>
      <w:r w:rsidR="00CB1080" w:rsidRPr="00D26A03">
        <w:rPr>
          <w:color w:val="000000" w:themeColor="text1"/>
        </w:rPr>
        <w:t>; and are of saleable quality.</w:t>
      </w:r>
      <w:r w:rsidR="00FD6F21" w:rsidRPr="00D26A03">
        <w:rPr>
          <w:color w:val="000000" w:themeColor="text1"/>
        </w:rPr>
        <w:t xml:space="preserve"> </w:t>
      </w:r>
    </w:p>
    <w:p w14:paraId="1DEB601E" w14:textId="70D0F838" w:rsidR="00D70103" w:rsidRPr="00D26A03" w:rsidRDefault="00D26A03" w:rsidP="00FD6F21">
      <w:pPr>
        <w:rPr>
          <w:color w:val="000000" w:themeColor="text1"/>
        </w:rPr>
      </w:pPr>
      <w:r w:rsidRPr="00D26A03">
        <w:rPr>
          <w:color w:val="000000" w:themeColor="text1"/>
        </w:rPr>
        <w:t>Subsection (2) sets out that this production variable is</w:t>
      </w:r>
      <w:r w:rsidR="00D70103" w:rsidRPr="00D26A03">
        <w:rPr>
          <w:color w:val="000000" w:themeColor="text1"/>
        </w:rPr>
        <w:t xml:space="preserve"> applicable to a facility that conducts the activity of producing separated primary rare earth products through the transformation of metal ore</w:t>
      </w:r>
      <w:r w:rsidRPr="00D26A03">
        <w:rPr>
          <w:color w:val="000000" w:themeColor="text1"/>
        </w:rPr>
        <w:t>.</w:t>
      </w:r>
    </w:p>
    <w:p w14:paraId="4B548698" w14:textId="4727CA20" w:rsidR="00AA5669" w:rsidRDefault="00D9379C" w:rsidP="00FD6F21">
      <w:r w:rsidRPr="00D26A03">
        <w:rPr>
          <w:color w:val="000000" w:themeColor="text1"/>
        </w:rPr>
        <w:t>T</w:t>
      </w:r>
      <w:r w:rsidR="00CA6AF6" w:rsidRPr="00D26A03">
        <w:rPr>
          <w:color w:val="000000" w:themeColor="text1"/>
        </w:rPr>
        <w:t xml:space="preserve">he </w:t>
      </w:r>
      <w:r w:rsidRPr="00D26A03">
        <w:rPr>
          <w:color w:val="000000" w:themeColor="text1"/>
        </w:rPr>
        <w:t xml:space="preserve">draft </w:t>
      </w:r>
      <w:r w:rsidR="00CA6AF6" w:rsidRPr="00D26A03">
        <w:rPr>
          <w:color w:val="000000" w:themeColor="text1"/>
        </w:rPr>
        <w:t>production vari</w:t>
      </w:r>
      <w:r w:rsidRPr="00D26A03">
        <w:rPr>
          <w:color w:val="000000" w:themeColor="text1"/>
        </w:rPr>
        <w:t>able</w:t>
      </w:r>
      <w:r w:rsidR="00CA6AF6" w:rsidRPr="00D26A03">
        <w:rPr>
          <w:color w:val="000000" w:themeColor="text1"/>
        </w:rPr>
        <w:t xml:space="preserve"> </w:t>
      </w:r>
      <w:r w:rsidRPr="00D26A03">
        <w:rPr>
          <w:color w:val="000000" w:themeColor="text1"/>
        </w:rPr>
        <w:t xml:space="preserve">in the </w:t>
      </w:r>
      <w:r w:rsidR="00CA6AF6" w:rsidRPr="00D26A03">
        <w:rPr>
          <w:color w:val="000000" w:themeColor="text1"/>
        </w:rPr>
        <w:t>exposure draft</w:t>
      </w:r>
      <w:r w:rsidR="00D26A03">
        <w:rPr>
          <w:color w:val="000000" w:themeColor="text1"/>
        </w:rPr>
        <w:t xml:space="preserve"> was</w:t>
      </w:r>
      <w:r w:rsidR="00B03705">
        <w:rPr>
          <w:color w:val="000000" w:themeColor="text1"/>
        </w:rPr>
        <w:t xml:space="preserve"> </w:t>
      </w:r>
      <w:r w:rsidR="00161C58">
        <w:rPr>
          <w:color w:val="000000" w:themeColor="text1"/>
        </w:rPr>
        <w:t xml:space="preserve">much </w:t>
      </w:r>
      <w:r w:rsidR="00B03705">
        <w:rPr>
          <w:color w:val="000000" w:themeColor="text1"/>
        </w:rPr>
        <w:t xml:space="preserve">broader and </w:t>
      </w:r>
      <w:r w:rsidR="00161C58">
        <w:rPr>
          <w:color w:val="000000" w:themeColor="text1"/>
        </w:rPr>
        <w:t>could include oxides of any rare earth element.</w:t>
      </w:r>
      <w:r w:rsidR="000F7E0A">
        <w:rPr>
          <w:color w:val="000000" w:themeColor="text1"/>
        </w:rPr>
        <w:t xml:space="preserve"> </w:t>
      </w:r>
      <w:r w:rsidR="002F79FD" w:rsidRPr="00D9379C">
        <w:rPr>
          <w:color w:val="000000" w:themeColor="text1"/>
        </w:rPr>
        <w:t>Following consultation, the scope of the production variable</w:t>
      </w:r>
      <w:r w:rsidR="006C4CB2" w:rsidRPr="00D9379C">
        <w:rPr>
          <w:color w:val="000000" w:themeColor="text1"/>
        </w:rPr>
        <w:t xml:space="preserve"> metric was narrowed to </w:t>
      </w:r>
      <w:r w:rsidR="00645589" w:rsidRPr="00D9379C">
        <w:rPr>
          <w:color w:val="000000" w:themeColor="text1"/>
        </w:rPr>
        <w:t xml:space="preserve">the quantity of neodymium, </w:t>
      </w:r>
      <w:r w:rsidR="00E80533" w:rsidRPr="00D9379C">
        <w:rPr>
          <w:color w:val="000000" w:themeColor="text1"/>
        </w:rPr>
        <w:t>praseodymium</w:t>
      </w:r>
      <w:r w:rsidR="00645589" w:rsidRPr="00D9379C">
        <w:rPr>
          <w:color w:val="000000" w:themeColor="text1"/>
        </w:rPr>
        <w:t xml:space="preserve">, terbium and </w:t>
      </w:r>
      <w:r w:rsidR="00E80533" w:rsidRPr="00D9379C">
        <w:rPr>
          <w:color w:val="000000" w:themeColor="text1"/>
        </w:rPr>
        <w:t>dysprosium</w:t>
      </w:r>
      <w:r w:rsidR="00B21097" w:rsidRPr="00D9379C">
        <w:rPr>
          <w:color w:val="000000" w:themeColor="text1"/>
        </w:rPr>
        <w:t xml:space="preserve">, which </w:t>
      </w:r>
      <w:r w:rsidR="00B21097">
        <w:t xml:space="preserve">have been defined as ‘primary rare earth </w:t>
      </w:r>
      <w:proofErr w:type="gramStart"/>
      <w:r w:rsidR="00B21097">
        <w:t>element</w:t>
      </w:r>
      <w:r w:rsidR="00991FDD">
        <w:t>s’</w:t>
      </w:r>
      <w:proofErr w:type="gramEnd"/>
      <w:r w:rsidR="00991FDD">
        <w:t>.</w:t>
      </w:r>
      <w:r w:rsidR="004A23A7">
        <w:t xml:space="preserve"> These four rare earth elements were determined to be the target product</w:t>
      </w:r>
      <w:r w:rsidR="00CB2A4E">
        <w:t>s</w:t>
      </w:r>
      <w:r w:rsidR="004A23A7">
        <w:t xml:space="preserve"> of the relevant facilities</w:t>
      </w:r>
      <w:r w:rsidR="00F44748">
        <w:t xml:space="preserve"> which underpin the business case and operation of the facilities. </w:t>
      </w:r>
    </w:p>
    <w:p w14:paraId="79CA3613" w14:textId="0CAAC139" w:rsidR="002F79FD" w:rsidRPr="00AA5669" w:rsidRDefault="00AA5669" w:rsidP="00FD6F21">
      <w:pPr>
        <w:rPr>
          <w:color w:val="000000" w:themeColor="text1"/>
        </w:rPr>
      </w:pPr>
      <w:r w:rsidRPr="00D9379C">
        <w:rPr>
          <w:color w:val="000000" w:themeColor="text1"/>
        </w:rPr>
        <w:t xml:space="preserve">This </w:t>
      </w:r>
      <w:r>
        <w:rPr>
          <w:color w:val="000000" w:themeColor="text1"/>
        </w:rPr>
        <w:t xml:space="preserve">change </w:t>
      </w:r>
      <w:r w:rsidRPr="00D9379C">
        <w:rPr>
          <w:color w:val="000000" w:themeColor="text1"/>
        </w:rPr>
        <w:t xml:space="preserve">reflects feedback on the exposure draft that suggested a </w:t>
      </w:r>
      <w:r w:rsidR="0034021B">
        <w:rPr>
          <w:color w:val="000000" w:themeColor="text1"/>
        </w:rPr>
        <w:t>broadly defined production variable</w:t>
      </w:r>
      <w:r w:rsidR="003C76BC" w:rsidRPr="003C76BC">
        <w:t xml:space="preserve"> </w:t>
      </w:r>
      <w:r w:rsidR="003C76BC" w:rsidRPr="003C76BC">
        <w:rPr>
          <w:color w:val="000000" w:themeColor="text1"/>
        </w:rPr>
        <w:t>may introduce inconsistencies in how best practice emissions intensities are derived and applied</w:t>
      </w:r>
      <w:r w:rsidR="00312CD2">
        <w:rPr>
          <w:color w:val="000000" w:themeColor="text1"/>
        </w:rPr>
        <w:t xml:space="preserve"> because </w:t>
      </w:r>
      <w:r w:rsidR="0016765C">
        <w:rPr>
          <w:color w:val="000000" w:themeColor="text1"/>
        </w:rPr>
        <w:t>the calculation would mainly reflect the processing of more abun</w:t>
      </w:r>
      <w:r w:rsidR="003D6989">
        <w:rPr>
          <w:color w:val="000000" w:themeColor="text1"/>
        </w:rPr>
        <w:t>dant but low-value elemen</w:t>
      </w:r>
      <w:r w:rsidR="003D6989">
        <w:t xml:space="preserve">ts like </w:t>
      </w:r>
      <w:r w:rsidR="003D6989" w:rsidRPr="003D6989">
        <w:rPr>
          <w:color w:val="000000" w:themeColor="text1"/>
        </w:rPr>
        <w:t>Lanthanum (La) and Cerium (Ce)</w:t>
      </w:r>
      <w:r w:rsidR="003D6989">
        <w:rPr>
          <w:color w:val="000000" w:themeColor="text1"/>
        </w:rPr>
        <w:t>.</w:t>
      </w:r>
      <w:r w:rsidR="006A77E6">
        <w:rPr>
          <w:color w:val="000000" w:themeColor="text1"/>
        </w:rPr>
        <w:t xml:space="preserve"> In addition, </w:t>
      </w:r>
      <w:proofErr w:type="spellStart"/>
      <w:r w:rsidR="006A77E6" w:rsidRPr="006A77E6">
        <w:rPr>
          <w:color w:val="000000" w:themeColor="text1"/>
        </w:rPr>
        <w:t>LaCe</w:t>
      </w:r>
      <w:proofErr w:type="spellEnd"/>
      <w:r w:rsidR="006A77E6" w:rsidRPr="006A77E6">
        <w:rPr>
          <w:color w:val="000000" w:themeColor="text1"/>
        </w:rPr>
        <w:t xml:space="preserve"> oxide is not an input to a metallisation process and </w:t>
      </w:r>
      <w:r w:rsidR="00AD12A5">
        <w:rPr>
          <w:color w:val="000000" w:themeColor="text1"/>
        </w:rPr>
        <w:t xml:space="preserve">may </w:t>
      </w:r>
      <w:r w:rsidR="006A77E6" w:rsidRPr="006A77E6">
        <w:rPr>
          <w:color w:val="000000" w:themeColor="text1"/>
        </w:rPr>
        <w:t xml:space="preserve">not </w:t>
      </w:r>
      <w:r w:rsidR="00AD12A5">
        <w:rPr>
          <w:color w:val="000000" w:themeColor="text1"/>
        </w:rPr>
        <w:t>have been consistent with the production variable definition.</w:t>
      </w:r>
      <w:r>
        <w:rPr>
          <w:color w:val="000000" w:themeColor="text1"/>
        </w:rPr>
        <w:t xml:space="preserve"> </w:t>
      </w:r>
      <w:r w:rsidR="00B21097">
        <w:t>Basing the emissions intensity of the production variable on these primary rare earth elements enable</w:t>
      </w:r>
      <w:r w:rsidR="008F0A0F">
        <w:t>s</w:t>
      </w:r>
      <w:r w:rsidR="00B21097">
        <w:t xml:space="preserve"> </w:t>
      </w:r>
      <w:r w:rsidR="002B7385">
        <w:t>a fairer comparison</w:t>
      </w:r>
      <w:r w:rsidR="006866D4">
        <w:t xml:space="preserve"> of the relevant facilities.</w:t>
      </w:r>
    </w:p>
    <w:p w14:paraId="5C8A4AC5" w14:textId="5486409B" w:rsidR="00FD6F21" w:rsidRPr="000837CF" w:rsidRDefault="00FD6F21" w:rsidP="00FD6F21">
      <w:r w:rsidRPr="000837CF">
        <w:t xml:space="preserve">The best practice emissions intensity value has been calculated based on the suitable data for an international facility in Malaysia. Additionally, consistent with the Guidelines, to ensure the best practice value is representative </w:t>
      </w:r>
      <w:r w:rsidR="0096636F" w:rsidRPr="000837CF">
        <w:t>two facilities</w:t>
      </w:r>
      <w:r w:rsidRPr="000837CF">
        <w:t xml:space="preserve"> under development in Australia w</w:t>
      </w:r>
      <w:r w:rsidR="0096636F" w:rsidRPr="000837CF">
        <w:t>ere</w:t>
      </w:r>
      <w:r w:rsidRPr="000837CF">
        <w:t xml:space="preserve"> included based on forecast data provided as part of environmental approvals</w:t>
      </w:r>
      <w:r w:rsidR="004D2D02" w:rsidRPr="000837CF">
        <w:t>, ASX announcements and public reports</w:t>
      </w:r>
      <w:r w:rsidRPr="000837CF">
        <w:t>. Using forecast data is an approach described in section 4.7 of the Guidelines on supplementary approaches.</w:t>
      </w:r>
    </w:p>
    <w:p w14:paraId="39A36D61" w14:textId="3D6956D8" w:rsidR="004958BF" w:rsidRPr="000837CF" w:rsidRDefault="00FD6F21" w:rsidP="00FD6F21">
      <w:r w:rsidRPr="000837CF">
        <w:t>The number has not been adjusted for Australian conditions, since the geologic conditions at the relevant international facility are comparable to Australia in terms of processing metal ores rather than ion absorption clays.</w:t>
      </w:r>
    </w:p>
    <w:p w14:paraId="39932B69" w14:textId="59840A34" w:rsidR="613C0CCE" w:rsidRDefault="005A5299" w:rsidP="00926B54">
      <w:pPr>
        <w:pStyle w:val="Itemheadings"/>
      </w:pPr>
      <w:r w:rsidRPr="000837CF">
        <w:t>Item 38</w:t>
      </w:r>
    </w:p>
    <w:p w14:paraId="42306969" w14:textId="44FBAE13" w:rsidR="004958BF" w:rsidRDefault="00A13D10" w:rsidP="00293D3D">
      <w:r>
        <w:t xml:space="preserve">Item </w:t>
      </w:r>
      <w:r w:rsidR="00A347FB">
        <w:t>38 adds ‘k</w:t>
      </w:r>
      <w:r w:rsidR="00A347FB" w:rsidRPr="00A347FB">
        <w:t>ilolitres of phosphoric acid</w:t>
      </w:r>
      <w:r w:rsidR="00A347FB">
        <w:t xml:space="preserve">’ and </w:t>
      </w:r>
      <w:r w:rsidR="00AB5064">
        <w:t>‘t</w:t>
      </w:r>
      <w:r w:rsidR="00AB5064" w:rsidRPr="00AB5064">
        <w:t>onnes of total primary rare earth oxide equivalent contained in separated primary rare earth products</w:t>
      </w:r>
      <w:r w:rsidR="00AB5064">
        <w:t>’</w:t>
      </w:r>
      <w:r w:rsidR="003B4386">
        <w:t xml:space="preserve"> to the table of </w:t>
      </w:r>
      <w:r w:rsidR="001228FF">
        <w:t>t</w:t>
      </w:r>
      <w:r w:rsidR="001228FF" w:rsidRPr="001228FF">
        <w:t>rade exposed production variables that are also manufacturing production variables</w:t>
      </w:r>
      <w:r w:rsidR="001228FF">
        <w:t xml:space="preserve"> in Schedule 2.</w:t>
      </w:r>
    </w:p>
    <w:p w14:paraId="1ADAA1B3" w14:textId="77777777" w:rsidR="00D62D04" w:rsidRDefault="00D62D04" w:rsidP="00D62D04">
      <w:pPr>
        <w:pStyle w:val="Title"/>
        <w:jc w:val="right"/>
      </w:pPr>
      <w:r w:rsidRPr="00E43724">
        <w:lastRenderedPageBreak/>
        <w:t>ATTACHMENT B</w:t>
      </w:r>
    </w:p>
    <w:p w14:paraId="507A0045" w14:textId="77777777" w:rsidR="00D62D04" w:rsidRPr="00E3714D" w:rsidRDefault="00D62D04" w:rsidP="00D62D04">
      <w:pPr>
        <w:jc w:val="center"/>
        <w:rPr>
          <w:b/>
          <w:sz w:val="28"/>
          <w:szCs w:val="28"/>
        </w:rPr>
      </w:pPr>
      <w:r w:rsidRPr="00E3714D">
        <w:rPr>
          <w:b/>
          <w:sz w:val="28"/>
          <w:szCs w:val="28"/>
        </w:rPr>
        <w:t>Statement of Compatibility with Human Rights</w:t>
      </w:r>
    </w:p>
    <w:p w14:paraId="7369471E" w14:textId="77777777" w:rsidR="00D62D04" w:rsidRPr="007946A0" w:rsidRDefault="00D62D04" w:rsidP="00D62D04">
      <w:pPr>
        <w:jc w:val="center"/>
        <w:rPr>
          <w:i/>
          <w:szCs w:val="24"/>
        </w:rPr>
      </w:pPr>
      <w:r w:rsidRPr="00E3714D">
        <w:rPr>
          <w:i/>
          <w:szCs w:val="24"/>
        </w:rPr>
        <w:t>Prepared in accordance with Part 3 of the Human Rights (Parliamentary Scrutiny) Act 2011</w:t>
      </w:r>
    </w:p>
    <w:p w14:paraId="28DA4F92" w14:textId="378DC9B6" w:rsidR="00D62D04" w:rsidRPr="004319A7" w:rsidRDefault="00D62D04" w:rsidP="00D62D04">
      <w:pPr>
        <w:jc w:val="center"/>
        <w:rPr>
          <w:b/>
          <w:bCs/>
          <w:i/>
          <w:szCs w:val="24"/>
        </w:rPr>
      </w:pPr>
      <w:r w:rsidRPr="00D74DC1">
        <w:rPr>
          <w:b/>
          <w:bCs/>
          <w:i/>
          <w:szCs w:val="24"/>
        </w:rPr>
        <w:t xml:space="preserve">National Greenhouse and Energy Reporting </w:t>
      </w:r>
      <w:r w:rsidR="00FE07EF" w:rsidRPr="00D74DC1">
        <w:rPr>
          <w:b/>
          <w:bCs/>
          <w:i/>
          <w:szCs w:val="24"/>
        </w:rPr>
        <w:t>Legislation</w:t>
      </w:r>
      <w:r w:rsidRPr="00D74DC1">
        <w:rPr>
          <w:b/>
          <w:bCs/>
          <w:i/>
          <w:szCs w:val="24"/>
        </w:rPr>
        <w:t xml:space="preserve"> Amendment (</w:t>
      </w:r>
      <w:r w:rsidR="0083678A" w:rsidRPr="00802A98">
        <w:rPr>
          <w:b/>
          <w:bCs/>
          <w:i/>
          <w:szCs w:val="24"/>
        </w:rPr>
        <w:t>Best Practice Emissions Intensities Update</w:t>
      </w:r>
      <w:r w:rsidRPr="00D74DC1">
        <w:rPr>
          <w:b/>
          <w:bCs/>
          <w:i/>
          <w:szCs w:val="24"/>
        </w:rPr>
        <w:t xml:space="preserve">) </w:t>
      </w:r>
      <w:r w:rsidR="00FE07EF" w:rsidRPr="00D74DC1">
        <w:rPr>
          <w:b/>
          <w:bCs/>
          <w:i/>
          <w:szCs w:val="24"/>
        </w:rPr>
        <w:t>Instrument</w:t>
      </w:r>
      <w:r w:rsidRPr="00D74DC1">
        <w:rPr>
          <w:b/>
          <w:bCs/>
          <w:i/>
          <w:szCs w:val="24"/>
        </w:rPr>
        <w:t xml:space="preserve"> 2024</w:t>
      </w:r>
      <w:r w:rsidR="0083678A" w:rsidRPr="0083678A">
        <w:rPr>
          <w:b/>
          <w:bCs/>
          <w:i/>
          <w:szCs w:val="24"/>
        </w:rPr>
        <w:t xml:space="preserve"> </w:t>
      </w:r>
    </w:p>
    <w:p w14:paraId="5A2B6FAD" w14:textId="77777777" w:rsidR="00D62D04" w:rsidRPr="007946A0" w:rsidRDefault="00D62D04" w:rsidP="00D62D04">
      <w:pPr>
        <w:rPr>
          <w:szCs w:val="24"/>
        </w:rPr>
      </w:pPr>
      <w:r w:rsidRPr="00E3714D">
        <w:rPr>
          <w:szCs w:val="24"/>
        </w:rPr>
        <w:t xml:space="preserve">This Legislative Instrument is compatible with the human rights and freedoms recognised or declared in the international instruments listed in section 3 of the </w:t>
      </w:r>
      <w:r w:rsidRPr="00E3714D">
        <w:rPr>
          <w:i/>
          <w:szCs w:val="24"/>
        </w:rPr>
        <w:t>Human Rights (Parliamentary Scrutiny) Act 2011</w:t>
      </w:r>
      <w:r w:rsidRPr="00E3714D">
        <w:rPr>
          <w:szCs w:val="24"/>
        </w:rPr>
        <w:t>.</w:t>
      </w:r>
    </w:p>
    <w:p w14:paraId="4F681F4E" w14:textId="77777777" w:rsidR="00D62D04" w:rsidRPr="007946A0" w:rsidRDefault="00D62D04" w:rsidP="00D62D04">
      <w:pPr>
        <w:tabs>
          <w:tab w:val="left" w:pos="6000"/>
        </w:tabs>
        <w:jc w:val="both"/>
        <w:rPr>
          <w:b/>
          <w:szCs w:val="24"/>
        </w:rPr>
      </w:pPr>
      <w:r w:rsidRPr="00E3714D">
        <w:rPr>
          <w:b/>
          <w:szCs w:val="24"/>
        </w:rPr>
        <w:t>Overview of the Legislative Instrument</w:t>
      </w:r>
    </w:p>
    <w:p w14:paraId="6611F324" w14:textId="31640DAD" w:rsidR="00F318DA" w:rsidRDefault="00D62D04" w:rsidP="00D62D04">
      <w:pPr>
        <w:rPr>
          <w:szCs w:val="24"/>
        </w:rPr>
      </w:pPr>
      <w:r w:rsidRPr="0005699A">
        <w:rPr>
          <w:szCs w:val="24"/>
        </w:rPr>
        <w:t xml:space="preserve">The </w:t>
      </w:r>
      <w:r w:rsidRPr="0005699A">
        <w:rPr>
          <w:i/>
          <w:iCs/>
          <w:szCs w:val="24"/>
        </w:rPr>
        <w:t xml:space="preserve">National Greenhouse and Energy Reporting </w:t>
      </w:r>
      <w:r w:rsidR="00FE07EF">
        <w:rPr>
          <w:i/>
          <w:iCs/>
          <w:szCs w:val="24"/>
        </w:rPr>
        <w:t>Legislation</w:t>
      </w:r>
      <w:r w:rsidRPr="0005699A">
        <w:rPr>
          <w:i/>
          <w:iCs/>
          <w:szCs w:val="24"/>
        </w:rPr>
        <w:t xml:space="preserve"> Amendment (</w:t>
      </w:r>
      <w:r w:rsidR="00013E66" w:rsidRPr="0005699A">
        <w:rPr>
          <w:i/>
          <w:szCs w:val="24"/>
        </w:rPr>
        <w:t>Best Practice Emissions Intensities Update</w:t>
      </w:r>
      <w:r w:rsidRPr="0005699A">
        <w:rPr>
          <w:i/>
          <w:iCs/>
          <w:szCs w:val="24"/>
        </w:rPr>
        <w:t xml:space="preserve">) </w:t>
      </w:r>
      <w:r w:rsidR="00FE07EF">
        <w:rPr>
          <w:i/>
          <w:iCs/>
          <w:szCs w:val="24"/>
        </w:rPr>
        <w:t>Instrument</w:t>
      </w:r>
      <w:r w:rsidRPr="0005699A">
        <w:rPr>
          <w:i/>
          <w:iCs/>
          <w:szCs w:val="24"/>
        </w:rPr>
        <w:t xml:space="preserve"> 2024</w:t>
      </w:r>
      <w:r w:rsidRPr="0005699A">
        <w:rPr>
          <w:i/>
          <w:szCs w:val="24"/>
        </w:rPr>
        <w:t xml:space="preserve"> </w:t>
      </w:r>
      <w:r w:rsidRPr="0005699A">
        <w:rPr>
          <w:szCs w:val="24"/>
        </w:rPr>
        <w:t xml:space="preserve">makes technical amendments to the </w:t>
      </w:r>
      <w:r w:rsidRPr="0005699A">
        <w:rPr>
          <w:i/>
          <w:iCs/>
          <w:szCs w:val="24"/>
        </w:rPr>
        <w:t>National Greenhouse and Energy Reporting (Safeguard Mechanism) Rule 2015</w:t>
      </w:r>
      <w:r w:rsidR="00F318DA">
        <w:rPr>
          <w:i/>
          <w:iCs/>
          <w:szCs w:val="24"/>
        </w:rPr>
        <w:t xml:space="preserve"> </w:t>
      </w:r>
      <w:r w:rsidR="00F318DA">
        <w:rPr>
          <w:szCs w:val="24"/>
        </w:rPr>
        <w:t xml:space="preserve">(the Safeguard Rules) and the </w:t>
      </w:r>
      <w:r w:rsidR="00F318DA" w:rsidRPr="003C74B2">
        <w:rPr>
          <w:i/>
          <w:iCs/>
        </w:rPr>
        <w:t>National Greenhouse and Energy Reporting (Measurement) Determination 2008</w:t>
      </w:r>
      <w:r w:rsidR="00F318DA" w:rsidRPr="003C74B2">
        <w:t xml:space="preserve"> (the Measurement Determination</w:t>
      </w:r>
      <w:r w:rsidR="00F318DA">
        <w:t>)</w:t>
      </w:r>
      <w:r w:rsidRPr="0005699A">
        <w:rPr>
          <w:i/>
          <w:iCs/>
          <w:szCs w:val="24"/>
        </w:rPr>
        <w:t>.</w:t>
      </w:r>
      <w:r w:rsidRPr="0005699A">
        <w:rPr>
          <w:szCs w:val="24"/>
        </w:rPr>
        <w:t xml:space="preserve"> </w:t>
      </w:r>
    </w:p>
    <w:p w14:paraId="6885DCE8" w14:textId="666D6D8D" w:rsidR="00D62D04" w:rsidRPr="0005699A" w:rsidRDefault="00D62D04" w:rsidP="00D62D04">
      <w:pPr>
        <w:rPr>
          <w:szCs w:val="24"/>
        </w:rPr>
      </w:pPr>
      <w:r w:rsidRPr="0005699A">
        <w:rPr>
          <w:szCs w:val="24"/>
        </w:rPr>
        <w:t>The amendments</w:t>
      </w:r>
      <w:r w:rsidR="00DB72C1" w:rsidRPr="0005699A">
        <w:rPr>
          <w:szCs w:val="24"/>
        </w:rPr>
        <w:t xml:space="preserve"> </w:t>
      </w:r>
      <w:r w:rsidR="00F318DA">
        <w:rPr>
          <w:szCs w:val="24"/>
        </w:rPr>
        <w:t xml:space="preserve">to the Safeguard Rules </w:t>
      </w:r>
      <w:r w:rsidR="00DB72C1" w:rsidRPr="0005699A">
        <w:rPr>
          <w:szCs w:val="24"/>
        </w:rPr>
        <w:t>insert best practice emissions intensity numbers,</w:t>
      </w:r>
      <w:r w:rsidRPr="0005699A">
        <w:rPr>
          <w:szCs w:val="24"/>
        </w:rPr>
        <w:t xml:space="preserve"> insert</w:t>
      </w:r>
      <w:r w:rsidR="00DB72C1" w:rsidRPr="0005699A">
        <w:rPr>
          <w:szCs w:val="24"/>
        </w:rPr>
        <w:t>s</w:t>
      </w:r>
      <w:r w:rsidRPr="0005699A">
        <w:rPr>
          <w:szCs w:val="24"/>
        </w:rPr>
        <w:t xml:space="preserve"> new production variables, make changes to existing production variables</w:t>
      </w:r>
      <w:r w:rsidR="001E09CF" w:rsidRPr="0005699A">
        <w:rPr>
          <w:szCs w:val="24"/>
        </w:rPr>
        <w:t xml:space="preserve"> a</w:t>
      </w:r>
      <w:r w:rsidR="00AD74D8" w:rsidRPr="0005699A">
        <w:rPr>
          <w:szCs w:val="24"/>
        </w:rPr>
        <w:t xml:space="preserve">nd </w:t>
      </w:r>
      <w:r w:rsidRPr="0005699A">
        <w:rPr>
          <w:szCs w:val="24"/>
        </w:rPr>
        <w:t>add</w:t>
      </w:r>
      <w:r w:rsidR="00AD74D8" w:rsidRPr="0005699A">
        <w:rPr>
          <w:szCs w:val="24"/>
        </w:rPr>
        <w:t>s</w:t>
      </w:r>
      <w:r w:rsidRPr="0005699A">
        <w:rPr>
          <w:szCs w:val="24"/>
        </w:rPr>
        <w:t xml:space="preserve"> new and updated default emissions intensity numbers. </w:t>
      </w:r>
    </w:p>
    <w:p w14:paraId="7278ADDC" w14:textId="5313E264" w:rsidR="00D62D04" w:rsidRPr="00DD4F95" w:rsidRDefault="00D62D04" w:rsidP="00D62D04">
      <w:pPr>
        <w:rPr>
          <w:szCs w:val="24"/>
        </w:rPr>
      </w:pPr>
      <w:r w:rsidRPr="00DD4F95">
        <w:rPr>
          <w:szCs w:val="24"/>
        </w:rPr>
        <w:t>These production variables and emissions intensities are part of the Safeguard Mechanism’s robust, legislated framework that limits the emission of large industrial facilities.</w:t>
      </w:r>
      <w:r w:rsidR="00AA1B8E">
        <w:rPr>
          <w:szCs w:val="24"/>
        </w:rPr>
        <w:t xml:space="preserve"> </w:t>
      </w:r>
      <w:r w:rsidRPr="00DD4F95">
        <w:rPr>
          <w:szCs w:val="24"/>
        </w:rPr>
        <w:t>These limits—known as baselines—are declining on a trajectory to meet Australia’s international commitments that Australia’s emissions reduction targets are 43 per cent below 2005 levels by 2030 and net zero by 2050. These changes help to ensure that a comprehensive set of suitable production variables are in place for setting Safeguard Mechanism baselines and that production variable definitions support incentives for decarbonisation.</w:t>
      </w:r>
    </w:p>
    <w:p w14:paraId="55FA4090" w14:textId="704DE9CC" w:rsidR="005F6664" w:rsidRDefault="00D62D04" w:rsidP="00D62D04">
      <w:pPr>
        <w:rPr>
          <w:rFonts w:eastAsia="Times New Roman"/>
          <w:color w:val="000000"/>
          <w:szCs w:val="24"/>
          <w:lang w:eastAsia="en-AU"/>
        </w:rPr>
      </w:pPr>
      <w:r w:rsidRPr="00DD4F95">
        <w:rPr>
          <w:szCs w:val="24"/>
        </w:rPr>
        <w:t xml:space="preserve">The amendments also </w:t>
      </w:r>
      <w:r w:rsidR="00E77720" w:rsidRPr="00DD4F95">
        <w:rPr>
          <w:szCs w:val="24"/>
        </w:rPr>
        <w:t xml:space="preserve">introduce </w:t>
      </w:r>
      <w:r w:rsidR="00D27D3F" w:rsidRPr="00DD4F95">
        <w:rPr>
          <w:szCs w:val="24"/>
        </w:rPr>
        <w:t xml:space="preserve">new </w:t>
      </w:r>
      <w:r w:rsidR="004D2E87" w:rsidRPr="00DD4F95">
        <w:rPr>
          <w:szCs w:val="24"/>
        </w:rPr>
        <w:t>publishing</w:t>
      </w:r>
      <w:r w:rsidR="004D2E87" w:rsidRPr="00DD4F95">
        <w:rPr>
          <w:rFonts w:eastAsia="Times New Roman"/>
          <w:color w:val="000000"/>
          <w:szCs w:val="24"/>
          <w:lang w:eastAsia="en-AU"/>
        </w:rPr>
        <w:t xml:space="preserve"> requirements for the Clear Energy Regulator to increase transparency</w:t>
      </w:r>
      <w:r w:rsidR="00D27D3F" w:rsidRPr="00DD4F95">
        <w:rPr>
          <w:rFonts w:eastAsia="Times New Roman"/>
          <w:color w:val="000000"/>
          <w:szCs w:val="24"/>
          <w:lang w:eastAsia="en-AU"/>
        </w:rPr>
        <w:t xml:space="preserve"> and </w:t>
      </w:r>
      <w:r w:rsidRPr="00DD4F95">
        <w:rPr>
          <w:szCs w:val="24"/>
        </w:rPr>
        <w:t xml:space="preserve">make </w:t>
      </w:r>
      <w:r w:rsidR="005F6664" w:rsidRPr="00DD4F95">
        <w:rPr>
          <w:rFonts w:eastAsia="Times New Roman"/>
          <w:color w:val="000000"/>
          <w:szCs w:val="24"/>
          <w:lang w:eastAsia="en-AU"/>
        </w:rPr>
        <w:t xml:space="preserve">technical </w:t>
      </w:r>
      <w:r w:rsidR="002919C7" w:rsidRPr="00DD4F95">
        <w:rPr>
          <w:rFonts w:eastAsia="Times New Roman"/>
          <w:color w:val="000000"/>
          <w:szCs w:val="24"/>
          <w:lang w:eastAsia="en-AU"/>
        </w:rPr>
        <w:t>changes</w:t>
      </w:r>
      <w:r w:rsidR="005F6664" w:rsidRPr="00DD4F95">
        <w:rPr>
          <w:rFonts w:eastAsia="Times New Roman"/>
          <w:color w:val="000000"/>
          <w:szCs w:val="24"/>
          <w:lang w:eastAsia="en-AU"/>
        </w:rPr>
        <w:t xml:space="preserve"> to help ensure the policy outcomes of the Safeguard reforms are achieved.</w:t>
      </w:r>
    </w:p>
    <w:p w14:paraId="3D82B869" w14:textId="4C93F67C" w:rsidR="00CE325E" w:rsidRPr="00154396" w:rsidRDefault="00CE325E" w:rsidP="00D62D04">
      <w:pPr>
        <w:rPr>
          <w:rFonts w:eastAsia="Times New Roman"/>
          <w:color w:val="000000" w:themeColor="text1"/>
          <w:lang w:eastAsia="en-AU"/>
        </w:rPr>
      </w:pPr>
      <w:r w:rsidRPr="21D93871">
        <w:rPr>
          <w:rFonts w:eastAsia="Times New Roman"/>
          <w:color w:val="000000" w:themeColor="text1"/>
          <w:lang w:eastAsia="en-AU"/>
        </w:rPr>
        <w:t xml:space="preserve">The amendments to the Measurement Determination </w:t>
      </w:r>
      <w:r w:rsidR="00DF5101">
        <w:t xml:space="preserve">update an equation related to methane emissions from landfills and update some </w:t>
      </w:r>
      <w:r w:rsidR="004340B2">
        <w:t xml:space="preserve">location-based </w:t>
      </w:r>
      <w:r w:rsidR="00DF5101">
        <w:t xml:space="preserve">factors related to the </w:t>
      </w:r>
      <w:r w:rsidR="00DF5101" w:rsidRPr="613C0CCE">
        <w:rPr>
          <w:rFonts w:eastAsia="Times New Roman"/>
          <w:color w:val="000000" w:themeColor="text1"/>
          <w:lang w:eastAsia="en-AU"/>
        </w:rPr>
        <w:t>estimation of scope</w:t>
      </w:r>
      <w:r w:rsidR="00DF5101">
        <w:rPr>
          <w:rFonts w:eastAsia="Times New Roman"/>
          <w:color w:val="000000" w:themeColor="text1"/>
          <w:lang w:eastAsia="en-AU"/>
        </w:rPr>
        <w:t> </w:t>
      </w:r>
      <w:r w:rsidR="00DF5101" w:rsidRPr="613C0CCE">
        <w:rPr>
          <w:rFonts w:eastAsia="Times New Roman"/>
          <w:color w:val="000000" w:themeColor="text1"/>
          <w:lang w:eastAsia="en-AU"/>
        </w:rPr>
        <w:t>2 emissions from the consumption of purchased or acquired electricity.</w:t>
      </w:r>
    </w:p>
    <w:p w14:paraId="55C63022" w14:textId="77777777" w:rsidR="00D62D04" w:rsidRPr="007946A0" w:rsidRDefault="00D62D04" w:rsidP="00D62D04">
      <w:pPr>
        <w:rPr>
          <w:b/>
          <w:szCs w:val="24"/>
        </w:rPr>
      </w:pPr>
      <w:r w:rsidRPr="00E3714D">
        <w:rPr>
          <w:b/>
          <w:szCs w:val="24"/>
        </w:rPr>
        <w:t>Human rights implications</w:t>
      </w:r>
    </w:p>
    <w:p w14:paraId="2F3176CC" w14:textId="77777777" w:rsidR="00D62D04" w:rsidRPr="00E3714D" w:rsidRDefault="00D62D04" w:rsidP="00D62D04">
      <w:pPr>
        <w:rPr>
          <w:szCs w:val="24"/>
        </w:rPr>
      </w:pPr>
      <w:r w:rsidRPr="00AD7F8C">
        <w:rPr>
          <w:szCs w:val="24"/>
        </w:rPr>
        <w:t xml:space="preserve">This Legislative Instrument does not engage any of the applicable human rights or freedoms. </w:t>
      </w:r>
    </w:p>
    <w:p w14:paraId="17A73FE9" w14:textId="77777777" w:rsidR="00D62D04" w:rsidRPr="007946A0" w:rsidRDefault="00D62D04" w:rsidP="00D74DC1">
      <w:pPr>
        <w:keepNext/>
        <w:rPr>
          <w:b/>
          <w:szCs w:val="24"/>
        </w:rPr>
      </w:pPr>
      <w:r w:rsidRPr="00E3714D">
        <w:rPr>
          <w:b/>
          <w:szCs w:val="24"/>
        </w:rPr>
        <w:lastRenderedPageBreak/>
        <w:t>Conclusion</w:t>
      </w:r>
    </w:p>
    <w:p w14:paraId="064B9248" w14:textId="77777777" w:rsidR="00D62D04" w:rsidRPr="007946A0" w:rsidRDefault="00D62D04" w:rsidP="00D62D04">
      <w:pPr>
        <w:rPr>
          <w:szCs w:val="24"/>
        </w:rPr>
      </w:pPr>
      <w:r w:rsidRPr="00987DDE">
        <w:rPr>
          <w:szCs w:val="24"/>
        </w:rPr>
        <w:t xml:space="preserve">This Legislative Instrument is compatible with human rights as it does not raise any human rights issues. </w:t>
      </w:r>
    </w:p>
    <w:p w14:paraId="1C379652" w14:textId="77777777" w:rsidR="00D62D04" w:rsidRDefault="00D62D04" w:rsidP="00D62D04">
      <w:pPr>
        <w:jc w:val="center"/>
        <w:rPr>
          <w:b/>
          <w:bCs/>
          <w:szCs w:val="24"/>
        </w:rPr>
      </w:pPr>
      <w:r w:rsidRPr="006FDE39">
        <w:rPr>
          <w:b/>
          <w:bCs/>
          <w:szCs w:val="24"/>
        </w:rPr>
        <w:t>The Hon Chris Bowen MP</w:t>
      </w:r>
    </w:p>
    <w:p w14:paraId="1B8E8A2E" w14:textId="77777777" w:rsidR="00D62D04" w:rsidRDefault="00D62D04" w:rsidP="00D62D04">
      <w:pPr>
        <w:jc w:val="center"/>
        <w:rPr>
          <w:b/>
          <w:bCs/>
          <w:szCs w:val="24"/>
        </w:rPr>
      </w:pPr>
      <w:r w:rsidRPr="006FDE39">
        <w:rPr>
          <w:b/>
          <w:bCs/>
          <w:szCs w:val="24"/>
        </w:rPr>
        <w:t>Minister for Climate Change and Energy</w:t>
      </w:r>
    </w:p>
    <w:p w14:paraId="0377829E" w14:textId="4B857FE0" w:rsidR="00654CD6" w:rsidRDefault="00654CD6">
      <w:pPr>
        <w:spacing w:before="0" w:after="160" w:line="259" w:lineRule="auto"/>
      </w:pPr>
      <w:r>
        <w:br w:type="page"/>
      </w:r>
    </w:p>
    <w:p w14:paraId="7AB82207" w14:textId="2831F8CE" w:rsidR="00654CD6" w:rsidRDefault="00654CD6" w:rsidP="00654CD6">
      <w:pPr>
        <w:pStyle w:val="Title"/>
        <w:jc w:val="right"/>
      </w:pPr>
      <w:r w:rsidRPr="00E43724">
        <w:lastRenderedPageBreak/>
        <w:t xml:space="preserve">ATTACHMENT </w:t>
      </w:r>
      <w:r>
        <w:t>C</w:t>
      </w:r>
    </w:p>
    <w:p w14:paraId="310BC7CB" w14:textId="77777777" w:rsidR="00A20565" w:rsidRPr="009371EC" w:rsidRDefault="00A20565" w:rsidP="006000D3">
      <w:pPr>
        <w:pStyle w:val="Heading1"/>
        <w:jc w:val="left"/>
        <w:rPr>
          <w:color w:val="000000" w:themeColor="text1"/>
        </w:rPr>
      </w:pPr>
      <w:r w:rsidRPr="009371EC">
        <w:rPr>
          <w:color w:val="000000" w:themeColor="text1"/>
        </w:rPr>
        <w:t xml:space="preserve">Statement of reasons under s 22XS(1B) of the </w:t>
      </w:r>
      <w:r w:rsidRPr="009371EC">
        <w:rPr>
          <w:i/>
          <w:color w:val="000000" w:themeColor="text1"/>
        </w:rPr>
        <w:t xml:space="preserve">National Greenhouse and Energy Reporting Act 2007 </w:t>
      </w:r>
      <w:r w:rsidRPr="009371EC">
        <w:rPr>
          <w:color w:val="000000" w:themeColor="text1"/>
        </w:rPr>
        <w:t xml:space="preserve">(NGER Act) – How the </w:t>
      </w:r>
      <w:r w:rsidRPr="009371EC">
        <w:rPr>
          <w:i/>
          <w:color w:val="000000" w:themeColor="text1"/>
        </w:rPr>
        <w:t>National Greenhouse and Energy Reporting (Safeguard Mechanism) Rule 2015</w:t>
      </w:r>
      <w:r w:rsidRPr="009371EC">
        <w:rPr>
          <w:color w:val="000000" w:themeColor="text1"/>
        </w:rPr>
        <w:t xml:space="preserve"> as amended by the </w:t>
      </w:r>
      <w:r>
        <w:rPr>
          <w:color w:val="000000" w:themeColor="text1"/>
        </w:rPr>
        <w:t xml:space="preserve">2024 </w:t>
      </w:r>
      <w:r w:rsidRPr="00EA7EC0">
        <w:rPr>
          <w:rStyle w:val="ui-provider"/>
        </w:rPr>
        <w:t>Best Practice Emissions Intensities Update</w:t>
      </w:r>
      <w:r w:rsidRPr="009371EC">
        <w:rPr>
          <w:color w:val="000000" w:themeColor="text1"/>
        </w:rPr>
        <w:t xml:space="preserve"> delivers the legislated safeguard outcomes</w:t>
      </w:r>
    </w:p>
    <w:p w14:paraId="68B90D88" w14:textId="77777777" w:rsidR="004C7222" w:rsidRPr="006000D3" w:rsidRDefault="004C7222" w:rsidP="004C7222">
      <w:pPr>
        <w:pStyle w:val="ListNumberDotted"/>
        <w:rPr>
          <w:rFonts w:cstheme="minorHAnsi"/>
          <w:color w:val="000000" w:themeColor="text1"/>
        </w:rPr>
      </w:pPr>
      <w:r w:rsidRPr="006000D3">
        <w:rPr>
          <w:rFonts w:cstheme="minorHAnsi"/>
          <w:color w:val="000000" w:themeColor="text1"/>
        </w:rPr>
        <w:t xml:space="preserve">In accordance with section 22XS(1A) and (1B) of the NGER Act, this statement sets out my reasons for being satisfied that the </w:t>
      </w:r>
      <w:bookmarkStart w:id="8" w:name="_Hlk155790115"/>
      <w:r w:rsidRPr="006000D3">
        <w:rPr>
          <w:rFonts w:cstheme="minorHAnsi"/>
          <w:i/>
          <w:color w:val="000000" w:themeColor="text1"/>
        </w:rPr>
        <w:t>National Greenhouse and Energy Reporting (Safeguard Mechanism) Rule 2015</w:t>
      </w:r>
      <w:r w:rsidRPr="006000D3">
        <w:rPr>
          <w:rFonts w:cstheme="minorHAnsi"/>
          <w:color w:val="000000" w:themeColor="text1"/>
        </w:rPr>
        <w:t xml:space="preserve"> </w:t>
      </w:r>
      <w:bookmarkEnd w:id="8"/>
      <w:r w:rsidRPr="006000D3">
        <w:rPr>
          <w:rFonts w:cstheme="minorHAnsi"/>
          <w:color w:val="000000" w:themeColor="text1"/>
        </w:rPr>
        <w:t>(</w:t>
      </w:r>
      <w:r w:rsidRPr="006000D3">
        <w:rPr>
          <w:rFonts w:cstheme="minorHAnsi"/>
          <w:b/>
          <w:color w:val="000000" w:themeColor="text1"/>
        </w:rPr>
        <w:t>Safeguard Rules</w:t>
      </w:r>
      <w:r w:rsidRPr="006000D3">
        <w:rPr>
          <w:rFonts w:cstheme="minorHAnsi"/>
          <w:color w:val="000000" w:themeColor="text1"/>
        </w:rPr>
        <w:t xml:space="preserve">) as amended by the </w:t>
      </w:r>
      <w:bookmarkStart w:id="9" w:name="_Hlk155790029"/>
      <w:r w:rsidRPr="006000D3">
        <w:rPr>
          <w:rFonts w:cstheme="minorHAnsi"/>
          <w:i/>
          <w:color w:val="000000" w:themeColor="text1"/>
        </w:rPr>
        <w:t xml:space="preserve">National Greenhouse and Energy Reporting Legislation Amendment </w:t>
      </w:r>
      <w:r w:rsidRPr="006000D3">
        <w:rPr>
          <w:rStyle w:val="ui-provider"/>
          <w:rFonts w:cstheme="minorHAnsi"/>
          <w:i/>
          <w:iCs/>
        </w:rPr>
        <w:t>(Best Practice Emissions Intensities Update</w:t>
      </w:r>
      <w:r w:rsidRPr="006000D3">
        <w:rPr>
          <w:rFonts w:cstheme="minorHAnsi"/>
          <w:i/>
          <w:color w:val="000000" w:themeColor="text1"/>
        </w:rPr>
        <w:t xml:space="preserve">) Instrument 2024 </w:t>
      </w:r>
      <w:bookmarkEnd w:id="9"/>
      <w:r w:rsidRPr="006000D3">
        <w:rPr>
          <w:rFonts w:cstheme="minorHAnsi"/>
          <w:color w:val="000000" w:themeColor="text1"/>
        </w:rPr>
        <w:t>(</w:t>
      </w:r>
      <w:r w:rsidRPr="006000D3">
        <w:rPr>
          <w:rFonts w:cstheme="minorHAnsi"/>
          <w:b/>
          <w:color w:val="000000" w:themeColor="text1"/>
        </w:rPr>
        <w:t>2024 Best Practice Emissions Intensities Update</w:t>
      </w:r>
      <w:r w:rsidRPr="006000D3">
        <w:rPr>
          <w:rFonts w:cstheme="minorHAnsi"/>
          <w:color w:val="000000" w:themeColor="text1"/>
        </w:rPr>
        <w:t xml:space="preserve">) is consistent with each of the safeguard outcomes in paragraphs 3(2)(b), (c) and (d), and that they take into account the safeguard outcomes in paragraphs 3(2)(e) and (f), of the NGER Act. </w:t>
      </w:r>
    </w:p>
    <w:p w14:paraId="1E490ABA" w14:textId="77777777" w:rsidR="004C7222" w:rsidRPr="006000D3" w:rsidRDefault="004C7222" w:rsidP="004C7222">
      <w:pPr>
        <w:pStyle w:val="Heading2"/>
        <w:rPr>
          <w:rFonts w:asciiTheme="minorHAnsi" w:hAnsiTheme="minorHAnsi" w:cstheme="minorHAnsi"/>
          <w:color w:val="2E74B5" w:themeColor="accent1" w:themeShade="BF"/>
          <w:sz w:val="22"/>
          <w:szCs w:val="22"/>
        </w:rPr>
      </w:pPr>
      <w:r w:rsidRPr="006000D3">
        <w:rPr>
          <w:rFonts w:asciiTheme="minorHAnsi" w:hAnsiTheme="minorHAnsi" w:cstheme="minorHAnsi"/>
          <w:color w:val="2E74B5" w:themeColor="accent1" w:themeShade="BF"/>
          <w:sz w:val="22"/>
          <w:szCs w:val="22"/>
        </w:rPr>
        <w:t>Summary</w:t>
      </w:r>
    </w:p>
    <w:p w14:paraId="732D3FC2" w14:textId="77777777" w:rsidR="004C7222" w:rsidRPr="006000D3" w:rsidRDefault="004C7222" w:rsidP="004C7222">
      <w:pPr>
        <w:pStyle w:val="ListNumberDotted"/>
        <w:rPr>
          <w:rFonts w:cstheme="minorHAnsi"/>
          <w:lang w:eastAsia="ja-JP"/>
        </w:rPr>
      </w:pPr>
      <w:r w:rsidRPr="006000D3">
        <w:rPr>
          <w:rFonts w:cstheme="minorHAnsi"/>
          <w:lang w:eastAsia="ja-JP"/>
        </w:rPr>
        <w:t>The 2024 Best Practice Emissions Intensities Update makes changes to the Safeguard Rules by adding new production variables (</w:t>
      </w:r>
      <w:r w:rsidRPr="006000D3">
        <w:rPr>
          <w:rFonts w:cstheme="minorHAnsi"/>
          <w:b/>
          <w:lang w:eastAsia="ja-JP"/>
        </w:rPr>
        <w:t>PVs</w:t>
      </w:r>
      <w:r w:rsidRPr="006000D3">
        <w:rPr>
          <w:rFonts w:cstheme="minorHAnsi"/>
          <w:lang w:eastAsia="ja-JP"/>
        </w:rPr>
        <w:t xml:space="preserve">), updating existing PVs, setting industry average emission intensities </w:t>
      </w:r>
      <w:r w:rsidRPr="006000D3">
        <w:rPr>
          <w:rFonts w:cstheme="minorHAnsi"/>
        </w:rPr>
        <w:t xml:space="preserve">(also referred to as default emissions intensities or </w:t>
      </w:r>
      <w:r w:rsidRPr="006000D3">
        <w:rPr>
          <w:rFonts w:cstheme="minorHAnsi"/>
          <w:b/>
        </w:rPr>
        <w:t>default</w:t>
      </w:r>
      <w:r w:rsidRPr="006000D3">
        <w:rPr>
          <w:rFonts w:cstheme="minorHAnsi"/>
        </w:rPr>
        <w:t xml:space="preserve"> </w:t>
      </w:r>
      <w:r w:rsidRPr="006000D3">
        <w:rPr>
          <w:rFonts w:cstheme="minorHAnsi"/>
          <w:b/>
        </w:rPr>
        <w:t>EIs</w:t>
      </w:r>
      <w:r w:rsidRPr="006000D3">
        <w:rPr>
          <w:rFonts w:cstheme="minorHAnsi"/>
        </w:rPr>
        <w:t>), and making</w:t>
      </w:r>
      <w:r w:rsidRPr="006000D3">
        <w:rPr>
          <w:rFonts w:eastAsia="Times New Roman" w:cstheme="minorHAnsi"/>
        </w:rPr>
        <w:t xml:space="preserve"> technical changes to ensure outcomes are</w:t>
      </w:r>
      <w:r w:rsidRPr="006000D3">
        <w:rPr>
          <w:rStyle w:val="normaltextrun"/>
          <w:rFonts w:eastAsia="Times New Roman" w:cstheme="minorHAnsi"/>
          <w:color w:val="000000"/>
          <w:shd w:val="clear" w:color="auto" w:fill="FFFFFF"/>
        </w:rPr>
        <w:t xml:space="preserve"> </w:t>
      </w:r>
      <w:r w:rsidRPr="006000D3">
        <w:rPr>
          <w:rFonts w:eastAsia="Times New Roman" w:cstheme="minorHAnsi"/>
        </w:rPr>
        <w:t xml:space="preserve">achieved as intended. </w:t>
      </w:r>
      <w:r w:rsidRPr="006000D3">
        <w:rPr>
          <w:rFonts w:cstheme="minorHAnsi"/>
        </w:rPr>
        <w:t xml:space="preserve">The changes to PVs and EIs ensure a comprehensive set of suitable PVs are in place for setting Safeguard Mechanism baselines (limits on net emissions), while incentivising low emissions production. </w:t>
      </w:r>
    </w:p>
    <w:p w14:paraId="29F3EC8A" w14:textId="77777777" w:rsidR="004C7222" w:rsidRPr="006000D3" w:rsidRDefault="004C7222" w:rsidP="004C7222">
      <w:pPr>
        <w:pStyle w:val="ListNumberDotted"/>
        <w:rPr>
          <w:rFonts w:cstheme="minorHAnsi"/>
          <w:lang w:eastAsia="ja-JP"/>
        </w:rPr>
      </w:pPr>
      <w:r w:rsidRPr="006000D3">
        <w:rPr>
          <w:rFonts w:cstheme="minorHAnsi"/>
        </w:rPr>
        <w:t xml:space="preserve">The </w:t>
      </w:r>
      <w:r w:rsidRPr="006000D3">
        <w:rPr>
          <w:rFonts w:cstheme="minorHAnsi"/>
          <w:lang w:eastAsia="ja-JP"/>
        </w:rPr>
        <w:t>2024 Best Practice Emissions Intensities Update also makes an amendment to the</w:t>
      </w:r>
      <w:r w:rsidRPr="006000D3">
        <w:rPr>
          <w:rFonts w:cstheme="minorHAnsi"/>
          <w:i/>
          <w:iCs/>
          <w:lang w:eastAsia="ja-JP"/>
        </w:rPr>
        <w:t xml:space="preserve"> National Greenhouse and Energy Reporting (Measurement) Determination 2008</w:t>
      </w:r>
      <w:r w:rsidRPr="006000D3">
        <w:rPr>
          <w:rFonts w:cstheme="minorHAnsi"/>
          <w:lang w:eastAsia="ja-JP"/>
        </w:rPr>
        <w:t xml:space="preserve"> (the </w:t>
      </w:r>
      <w:r w:rsidRPr="006000D3">
        <w:rPr>
          <w:rFonts w:cstheme="minorHAnsi"/>
          <w:b/>
          <w:bCs/>
          <w:lang w:eastAsia="ja-JP"/>
        </w:rPr>
        <w:t>NGER Measurement Determination</w:t>
      </w:r>
      <w:r w:rsidRPr="006000D3">
        <w:rPr>
          <w:rFonts w:cstheme="minorHAnsi"/>
          <w:lang w:eastAsia="ja-JP"/>
        </w:rPr>
        <w:t>). This amendment is made under section 10 of the NGER Act. Because the amendment to the NGER Measurement Determination is not made under section 22XS of the NGER Act, the requirement in section 22XS (1A) does not apply with respect to the amendments to the NGER Measurement Determination.</w:t>
      </w:r>
    </w:p>
    <w:p w14:paraId="0DC635BD" w14:textId="77777777" w:rsidR="004C7222" w:rsidRPr="006000D3" w:rsidRDefault="004C7222" w:rsidP="004C7222">
      <w:pPr>
        <w:pStyle w:val="ListNumberDotted"/>
        <w:rPr>
          <w:rFonts w:cstheme="minorHAnsi"/>
          <w:color w:val="000000" w:themeColor="text1"/>
          <w:lang w:eastAsia="ja-JP"/>
        </w:rPr>
      </w:pPr>
      <w:r w:rsidRPr="006000D3">
        <w:rPr>
          <w:rFonts w:cstheme="minorHAnsi"/>
          <w:color w:val="000000" w:themeColor="text1"/>
        </w:rPr>
        <w:t xml:space="preserve">The PVs and default EIs that are the subject of the </w:t>
      </w:r>
      <w:r w:rsidRPr="006000D3">
        <w:rPr>
          <w:rFonts w:cstheme="minorHAnsi"/>
          <w:color w:val="000000" w:themeColor="text1"/>
          <w:lang w:eastAsia="ja-JP"/>
        </w:rPr>
        <w:t>2024 Best Practice Emissions Intensities Update</w:t>
      </w:r>
      <w:r w:rsidRPr="006000D3">
        <w:rPr>
          <w:rFonts w:cstheme="minorHAnsi"/>
          <w:color w:val="000000" w:themeColor="text1"/>
        </w:rPr>
        <w:t xml:space="preserve">, the </w:t>
      </w:r>
      <w:r w:rsidRPr="006000D3">
        <w:rPr>
          <w:rFonts w:cstheme="minorHAnsi"/>
          <w:i/>
          <w:iCs/>
          <w:color w:val="000000" w:themeColor="text1"/>
        </w:rPr>
        <w:t xml:space="preserve">National Greenhouse and Energy Reporting (Safeguard Mechanism) Amendment (Production Variables Update) Rules 2023 </w:t>
      </w:r>
      <w:r w:rsidRPr="006000D3">
        <w:rPr>
          <w:rFonts w:cstheme="minorHAnsi"/>
          <w:color w:val="000000" w:themeColor="text1"/>
        </w:rPr>
        <w:t>(</w:t>
      </w:r>
      <w:r w:rsidRPr="006000D3">
        <w:rPr>
          <w:rFonts w:cstheme="minorHAnsi"/>
          <w:b/>
          <w:bCs/>
          <w:color w:val="000000" w:themeColor="text1"/>
        </w:rPr>
        <w:t>2023 Production Variables Update</w:t>
      </w:r>
      <w:r w:rsidRPr="006000D3">
        <w:rPr>
          <w:rFonts w:cstheme="minorHAnsi"/>
          <w:color w:val="000000" w:themeColor="text1"/>
        </w:rPr>
        <w:t xml:space="preserve">) and the </w:t>
      </w:r>
      <w:r w:rsidRPr="006000D3">
        <w:rPr>
          <w:rFonts w:cstheme="minorHAnsi"/>
          <w:i/>
          <w:iCs/>
          <w:color w:val="000000" w:themeColor="text1"/>
        </w:rPr>
        <w:t xml:space="preserve">National Greenhouse and Energy Reporting (Safeguard Mechanism) Amendment (Production Variables Update) Rules 2024 </w:t>
      </w:r>
      <w:r w:rsidRPr="006000D3">
        <w:rPr>
          <w:rFonts w:cstheme="minorHAnsi"/>
          <w:color w:val="000000" w:themeColor="text1"/>
        </w:rPr>
        <w:t>(</w:t>
      </w:r>
      <w:r w:rsidRPr="006000D3">
        <w:rPr>
          <w:rFonts w:cstheme="minorHAnsi"/>
          <w:b/>
          <w:bCs/>
          <w:color w:val="000000" w:themeColor="text1"/>
        </w:rPr>
        <w:t>2024 Production Variables Update</w:t>
      </w:r>
      <w:r w:rsidRPr="006000D3">
        <w:rPr>
          <w:rFonts w:cstheme="minorHAnsi"/>
          <w:color w:val="000000" w:themeColor="text1"/>
        </w:rPr>
        <w:t>)</w:t>
      </w:r>
      <w:r w:rsidRPr="006000D3" w:rsidDel="003E45E2">
        <w:rPr>
          <w:rFonts w:cstheme="minorHAnsi"/>
          <w:color w:val="000000" w:themeColor="text1"/>
        </w:rPr>
        <w:t xml:space="preserve"> </w:t>
      </w:r>
      <w:r w:rsidRPr="006000D3">
        <w:rPr>
          <w:rFonts w:cstheme="minorHAnsi"/>
          <w:color w:val="000000" w:themeColor="text1"/>
        </w:rPr>
        <w:t>were reviewed to ensure the PVs are technically correct and the default EIs represent industry average emissions intensities. Taken together, the amended PVs and default EIs better support incentives for decarbonisation by providing a suitable basis for setting baselines that reflect emissions per unit of production.</w:t>
      </w:r>
    </w:p>
    <w:p w14:paraId="080851B4" w14:textId="77777777" w:rsidR="004C7222" w:rsidRPr="006000D3" w:rsidRDefault="004C7222" w:rsidP="004C7222">
      <w:pPr>
        <w:pStyle w:val="ListNumberDotted"/>
        <w:ind w:left="641" w:hanging="357"/>
        <w:rPr>
          <w:rFonts w:cstheme="minorHAnsi"/>
          <w:color w:val="000000" w:themeColor="text1"/>
          <w:lang w:eastAsia="ja-JP"/>
        </w:rPr>
      </w:pPr>
      <w:r w:rsidRPr="006000D3">
        <w:rPr>
          <w:rFonts w:cstheme="minorHAnsi"/>
        </w:rPr>
        <w:t xml:space="preserve">The </w:t>
      </w:r>
      <w:r w:rsidRPr="006000D3">
        <w:rPr>
          <w:rFonts w:cstheme="minorHAnsi"/>
          <w:color w:val="000000" w:themeColor="text1"/>
          <w:lang w:eastAsia="ja-JP"/>
        </w:rPr>
        <w:t xml:space="preserve">2024 Best Practice Emissions Intensity Update also </w:t>
      </w:r>
      <w:r w:rsidRPr="006000D3">
        <w:rPr>
          <w:rFonts w:cstheme="minorHAnsi"/>
        </w:rPr>
        <w:t>outlines best practice emissions intensities (</w:t>
      </w:r>
      <w:r w:rsidRPr="006000D3">
        <w:rPr>
          <w:rFonts w:cstheme="minorHAnsi"/>
          <w:b/>
        </w:rPr>
        <w:t>best practice</w:t>
      </w:r>
      <w:r w:rsidRPr="006000D3">
        <w:rPr>
          <w:rFonts w:cstheme="minorHAnsi"/>
          <w:b/>
          <w:bCs/>
        </w:rPr>
        <w:t xml:space="preserve"> EIs</w:t>
      </w:r>
      <w:r w:rsidRPr="006000D3">
        <w:rPr>
          <w:rFonts w:cstheme="minorHAnsi"/>
        </w:rPr>
        <w:t xml:space="preserve">) for 16 PVs. The best practice EIs have been set in accordance with the Guidelines for setting international best practice benchmarks (the </w:t>
      </w:r>
      <w:r w:rsidRPr="006000D3">
        <w:rPr>
          <w:rFonts w:cstheme="minorHAnsi"/>
          <w:b/>
        </w:rPr>
        <w:t>Guidelines</w:t>
      </w:r>
      <w:r w:rsidRPr="006000D3">
        <w:rPr>
          <w:rFonts w:cstheme="minorHAnsi"/>
        </w:rPr>
        <w:t xml:space="preserve">). Best practice EIs are used to set baselines for new facilities and new types of production at existing facilities, at international best practice, adapted for an Australian context. In the absence of international data, domestic data and other supplementary approaches outlined in the </w:t>
      </w:r>
      <w:r w:rsidRPr="006000D3">
        <w:rPr>
          <w:rFonts w:cstheme="minorHAnsi"/>
        </w:rPr>
        <w:lastRenderedPageBreak/>
        <w:t>Guidelines can be used. This sends a strong signal to investors that Australia is serious about net zero, and new investments must support this goal.</w:t>
      </w:r>
    </w:p>
    <w:p w14:paraId="42332927" w14:textId="77777777" w:rsidR="004C7222" w:rsidRPr="006000D3" w:rsidRDefault="004C7222" w:rsidP="004C7222">
      <w:pPr>
        <w:pStyle w:val="ListNumberDotted"/>
        <w:rPr>
          <w:rFonts w:cstheme="minorHAnsi"/>
          <w:color w:val="000000" w:themeColor="text1"/>
        </w:rPr>
      </w:pPr>
      <w:r w:rsidRPr="006000D3">
        <w:rPr>
          <w:rFonts w:cstheme="minorHAnsi"/>
        </w:rPr>
        <w:t xml:space="preserve">The </w:t>
      </w:r>
      <w:r w:rsidRPr="006000D3">
        <w:rPr>
          <w:rFonts w:cstheme="minorHAnsi"/>
          <w:lang w:eastAsia="ja-JP"/>
        </w:rPr>
        <w:t xml:space="preserve">2024 Best Practice Emissions Intensities Update also </w:t>
      </w:r>
      <w:r w:rsidRPr="006000D3">
        <w:rPr>
          <w:rFonts w:cstheme="minorHAnsi"/>
        </w:rPr>
        <w:t xml:space="preserve">includes </w:t>
      </w:r>
      <w:proofErr w:type="gramStart"/>
      <w:r w:rsidRPr="006000D3">
        <w:rPr>
          <w:rFonts w:cstheme="minorHAnsi"/>
        </w:rPr>
        <w:t>a number of</w:t>
      </w:r>
      <w:proofErr w:type="gramEnd"/>
      <w:r w:rsidRPr="006000D3">
        <w:rPr>
          <w:rFonts w:cstheme="minorHAnsi"/>
        </w:rPr>
        <w:t xml:space="preserve"> technical amendments (summarised in paragraph </w:t>
      </w:r>
      <w:r w:rsidRPr="006000D3">
        <w:rPr>
          <w:rFonts w:cstheme="minorHAnsi"/>
        </w:rPr>
        <w:fldChar w:fldCharType="begin"/>
      </w:r>
      <w:r w:rsidRPr="006000D3">
        <w:rPr>
          <w:rFonts w:cstheme="minorHAnsi"/>
        </w:rPr>
        <w:instrText xml:space="preserve"> REF _Ref171348288 \r \h  \* MERGEFORMAT </w:instrText>
      </w:r>
      <w:r w:rsidRPr="006000D3">
        <w:rPr>
          <w:rFonts w:cstheme="minorHAnsi"/>
        </w:rPr>
      </w:r>
      <w:r w:rsidRPr="006000D3">
        <w:rPr>
          <w:rFonts w:cstheme="minorHAnsi"/>
        </w:rPr>
        <w:fldChar w:fldCharType="separate"/>
      </w:r>
      <w:r w:rsidRPr="006000D3">
        <w:rPr>
          <w:rFonts w:cstheme="minorHAnsi"/>
        </w:rPr>
        <w:t>22</w:t>
      </w:r>
      <w:r w:rsidRPr="006000D3">
        <w:rPr>
          <w:rFonts w:cstheme="minorHAnsi"/>
        </w:rPr>
        <w:fldChar w:fldCharType="end"/>
      </w:r>
      <w:r w:rsidRPr="006000D3">
        <w:rPr>
          <w:rFonts w:cstheme="minorHAnsi"/>
        </w:rPr>
        <w:t xml:space="preserve"> below) to the Safeguard Rules to clarify the original policy intent and </w:t>
      </w:r>
      <w:r w:rsidRPr="006000D3">
        <w:rPr>
          <w:rFonts w:eastAsia="Times New Roman" w:cstheme="minorHAnsi"/>
        </w:rPr>
        <w:t>to ensure outcomes are</w:t>
      </w:r>
      <w:r w:rsidRPr="006000D3">
        <w:rPr>
          <w:rStyle w:val="normaltextrun"/>
          <w:rFonts w:eastAsia="Times New Roman" w:cstheme="minorHAnsi"/>
          <w:color w:val="000000"/>
          <w:shd w:val="clear" w:color="auto" w:fill="FFFFFF"/>
        </w:rPr>
        <w:t xml:space="preserve"> </w:t>
      </w:r>
      <w:r w:rsidRPr="006000D3">
        <w:rPr>
          <w:rFonts w:eastAsia="Times New Roman" w:cstheme="minorHAnsi"/>
        </w:rPr>
        <w:t>achieved as intended.</w:t>
      </w:r>
    </w:p>
    <w:p w14:paraId="3FBE90F0" w14:textId="77777777" w:rsidR="004C7222" w:rsidRPr="006000D3" w:rsidRDefault="004C7222" w:rsidP="004C7222">
      <w:pPr>
        <w:pStyle w:val="ListNumberDotted"/>
        <w:rPr>
          <w:rFonts w:cstheme="minorHAnsi"/>
          <w:color w:val="000000" w:themeColor="text1"/>
          <w:lang w:eastAsia="ja-JP"/>
        </w:rPr>
      </w:pPr>
      <w:r w:rsidRPr="006000D3">
        <w:rPr>
          <w:rFonts w:cstheme="minorHAnsi"/>
          <w:color w:val="000000" w:themeColor="text1"/>
          <w:lang w:eastAsia="ja-JP"/>
        </w:rPr>
        <w:t xml:space="preserve">The Safeguard Rules as amended by the 2024 Best Practice Emissions Intensities Update deliver the required emission reductions consistent with safeguard outcomes </w:t>
      </w:r>
      <w:r w:rsidRPr="006000D3">
        <w:rPr>
          <w:rFonts w:cstheme="minorHAnsi"/>
          <w:color w:val="000000" w:themeColor="text1"/>
        </w:rPr>
        <w:t xml:space="preserve">3(2)(b), (c) and (d), while providing strong incentives to reduce onsite emissions at each designated large </w:t>
      </w:r>
      <w:proofErr w:type="gramStart"/>
      <w:r w:rsidRPr="006000D3">
        <w:rPr>
          <w:rFonts w:cstheme="minorHAnsi"/>
          <w:color w:val="000000" w:themeColor="text1"/>
        </w:rPr>
        <w:t>facility, and</w:t>
      </w:r>
      <w:proofErr w:type="gramEnd"/>
      <w:r w:rsidRPr="006000D3">
        <w:rPr>
          <w:rFonts w:cstheme="minorHAnsi"/>
          <w:color w:val="000000" w:themeColor="text1"/>
        </w:rPr>
        <w:t xml:space="preserve"> supporting the competitiveness of trade exposed industries in accounting for safeguard outcomes 3(2)(e) and (f) of the NGER Act. The Safeguard Rules as amended ensure that:</w:t>
      </w:r>
    </w:p>
    <w:p w14:paraId="0CCB23E1" w14:textId="77777777" w:rsidR="004C7222" w:rsidRPr="006000D3" w:rsidRDefault="004C7222" w:rsidP="00B13A5D">
      <w:pPr>
        <w:pStyle w:val="ListNumberDotted"/>
        <w:numPr>
          <w:ilvl w:val="0"/>
          <w:numId w:val="20"/>
        </w:numPr>
        <w:rPr>
          <w:rFonts w:cstheme="minorHAnsi"/>
          <w:color w:val="000000" w:themeColor="text1"/>
          <w:lang w:eastAsia="ja-JP"/>
        </w:rPr>
      </w:pPr>
      <w:r w:rsidRPr="006000D3">
        <w:rPr>
          <w:rFonts w:cstheme="minorHAnsi"/>
          <w:color w:val="000000" w:themeColor="text1"/>
        </w:rPr>
        <w:t>Enforceable baselines are set for the net emissions of each designated large facility (relevant to safeguard outcome (a) - but noting that this safeguard outcome is not engaged by the requirement in section 22XS(1A) of the NGER Act)</w:t>
      </w:r>
    </w:p>
    <w:p w14:paraId="682C164C" w14:textId="77777777" w:rsidR="004C7222" w:rsidRPr="006000D3" w:rsidRDefault="004C7222" w:rsidP="00B13A5D">
      <w:pPr>
        <w:pStyle w:val="ListNumberDotted"/>
        <w:numPr>
          <w:ilvl w:val="0"/>
          <w:numId w:val="20"/>
        </w:numPr>
        <w:rPr>
          <w:rFonts w:cstheme="minorHAnsi"/>
          <w:color w:val="000000" w:themeColor="text1"/>
          <w:lang w:eastAsia="ja-JP"/>
        </w:rPr>
      </w:pPr>
      <w:r w:rsidRPr="006000D3">
        <w:rPr>
          <w:rFonts w:cstheme="minorHAnsi"/>
          <w:color w:val="000000" w:themeColor="text1"/>
        </w:rPr>
        <w:t>Baselines will decline and are reasonably expected to achieve the 1,233 million tonne 10-year limit on total net Safeguard emissions (referred to as the 'net emissions budget'), including with an appropriate reserve for uncertainty about future emissions (relevant to safeguard outcome (b))</w:t>
      </w:r>
    </w:p>
    <w:p w14:paraId="7E605E36" w14:textId="77777777" w:rsidR="004C7222" w:rsidRPr="006000D3" w:rsidRDefault="004C7222" w:rsidP="00B13A5D">
      <w:pPr>
        <w:pStyle w:val="ListNumberDotted"/>
        <w:numPr>
          <w:ilvl w:val="0"/>
          <w:numId w:val="20"/>
        </w:numPr>
        <w:rPr>
          <w:rFonts w:cstheme="minorHAnsi"/>
          <w:color w:val="000000" w:themeColor="text1"/>
          <w:lang w:eastAsia="ja-JP"/>
        </w:rPr>
      </w:pPr>
      <w:r w:rsidRPr="006000D3">
        <w:rPr>
          <w:rFonts w:cstheme="minorHAnsi"/>
          <w:color w:val="000000" w:themeColor="text1"/>
        </w:rPr>
        <w:t>The baseline decline is reasonably expected to result in less than 100 million tonnes of net Safeguard emissions for the financial year beginning on 1 July 2029, and baselines will be set at zero from 30 June 2049 (relevant to safeguard outcome (c))</w:t>
      </w:r>
    </w:p>
    <w:p w14:paraId="520B4071" w14:textId="77777777" w:rsidR="004C7222" w:rsidRPr="006000D3" w:rsidRDefault="004C7222" w:rsidP="00B13A5D">
      <w:pPr>
        <w:pStyle w:val="ListNumberDotted"/>
        <w:numPr>
          <w:ilvl w:val="0"/>
          <w:numId w:val="20"/>
        </w:numPr>
        <w:rPr>
          <w:rFonts w:cstheme="minorHAnsi"/>
          <w:color w:val="000000" w:themeColor="text1"/>
          <w:lang w:eastAsia="ja-JP"/>
        </w:rPr>
      </w:pPr>
      <w:r w:rsidRPr="006000D3">
        <w:rPr>
          <w:rFonts w:cstheme="minorHAnsi"/>
          <w:color w:val="000000" w:themeColor="text1"/>
        </w:rPr>
        <w:t>The incentives created are reasonably expected to result in declining emissions consistent with the 5-year rolling average for each financial year that begins after 30 June 2024 (relevant to safeguard outcome (d))</w:t>
      </w:r>
    </w:p>
    <w:p w14:paraId="14B40E96" w14:textId="77777777" w:rsidR="004C7222" w:rsidRPr="006000D3" w:rsidRDefault="004C7222" w:rsidP="00B13A5D">
      <w:pPr>
        <w:pStyle w:val="ListNumberDotted"/>
        <w:numPr>
          <w:ilvl w:val="0"/>
          <w:numId w:val="20"/>
        </w:numPr>
        <w:rPr>
          <w:rFonts w:cstheme="minorHAnsi"/>
          <w:color w:val="000000" w:themeColor="text1"/>
          <w:lang w:eastAsia="ja-JP"/>
        </w:rPr>
      </w:pPr>
      <w:r w:rsidRPr="006000D3">
        <w:rPr>
          <w:rFonts w:cstheme="minorHAnsi"/>
          <w:color w:val="000000" w:themeColor="text1"/>
        </w:rPr>
        <w:t>Strong incentives from baseline decline and Safeguard Mechanism Credits continue to provide a material incentive for the responsible emitter for each designated large facility to invest in reducing covered emissions from the operation of their facilities</w:t>
      </w:r>
      <w:r w:rsidRPr="006000D3" w:rsidDel="00BA7933">
        <w:rPr>
          <w:rFonts w:cstheme="minorHAnsi"/>
          <w:color w:val="000000" w:themeColor="text1"/>
        </w:rPr>
        <w:t xml:space="preserve"> </w:t>
      </w:r>
      <w:r w:rsidRPr="006000D3">
        <w:rPr>
          <w:rFonts w:cstheme="minorHAnsi"/>
          <w:color w:val="000000" w:themeColor="text1"/>
        </w:rPr>
        <w:t>(relevant to safeguard outcome (e))</w:t>
      </w:r>
    </w:p>
    <w:p w14:paraId="5AA05AAB" w14:textId="77777777" w:rsidR="004C7222" w:rsidRPr="006000D3" w:rsidRDefault="004C7222" w:rsidP="00B13A5D">
      <w:pPr>
        <w:pStyle w:val="ListNumberDotted"/>
        <w:numPr>
          <w:ilvl w:val="0"/>
          <w:numId w:val="20"/>
        </w:numPr>
        <w:rPr>
          <w:rFonts w:cstheme="minorHAnsi"/>
          <w:color w:val="000000" w:themeColor="text1"/>
          <w:lang w:eastAsia="ja-JP"/>
        </w:rPr>
      </w:pPr>
      <w:r w:rsidRPr="006000D3">
        <w:rPr>
          <w:rFonts w:cstheme="minorHAnsi"/>
          <w:color w:val="000000" w:themeColor="text1"/>
        </w:rPr>
        <w:t>Competitiveness of trade-exposed industries is supported, including through trade exposed baseline adjusted provisions (relevant to safeguard outcome (f)).</w:t>
      </w:r>
    </w:p>
    <w:p w14:paraId="6E285CAA" w14:textId="77777777" w:rsidR="00154ADE" w:rsidRDefault="00154ADE">
      <w:pPr>
        <w:spacing w:before="0" w:after="160" w:line="259" w:lineRule="auto"/>
        <w:rPr>
          <w:rFonts w:asciiTheme="minorHAnsi" w:eastAsiaTheme="majorEastAsia" w:hAnsiTheme="minorHAnsi" w:cstheme="minorHAnsi"/>
          <w:b/>
          <w:color w:val="000000" w:themeColor="text1"/>
          <w:sz w:val="32"/>
          <w:szCs w:val="32"/>
        </w:rPr>
      </w:pPr>
      <w:r>
        <w:rPr>
          <w:rFonts w:asciiTheme="minorHAnsi" w:hAnsiTheme="minorHAnsi" w:cstheme="minorHAnsi"/>
          <w:sz w:val="32"/>
          <w:szCs w:val="32"/>
        </w:rPr>
        <w:br w:type="page"/>
      </w:r>
    </w:p>
    <w:p w14:paraId="54C34B94" w14:textId="1C89D11F" w:rsidR="004C7222" w:rsidRPr="00154ADE" w:rsidRDefault="004C7222" w:rsidP="004C7222">
      <w:pPr>
        <w:pStyle w:val="Heading2"/>
        <w:rPr>
          <w:rFonts w:asciiTheme="minorHAnsi" w:hAnsiTheme="minorHAnsi" w:cstheme="minorHAnsi"/>
          <w:sz w:val="32"/>
          <w:szCs w:val="32"/>
        </w:rPr>
      </w:pPr>
      <w:r w:rsidRPr="00154ADE">
        <w:rPr>
          <w:rFonts w:asciiTheme="minorHAnsi" w:hAnsiTheme="minorHAnsi" w:cstheme="minorHAnsi"/>
          <w:sz w:val="32"/>
          <w:szCs w:val="32"/>
        </w:rPr>
        <w:lastRenderedPageBreak/>
        <w:t>Definitions</w:t>
      </w:r>
    </w:p>
    <w:tbl>
      <w:tblPr>
        <w:tblW w:w="9054" w:type="dxa"/>
        <w:tblBorders>
          <w:top w:val="outset" w:sz="6" w:space="0" w:color="auto"/>
          <w:left w:val="outset" w:sz="6" w:space="0" w:color="auto"/>
          <w:bottom w:val="outset" w:sz="6" w:space="0" w:color="auto"/>
          <w:right w:val="outset" w:sz="6" w:space="0" w:color="auto"/>
        </w:tblBorders>
        <w:tblCellMar>
          <w:top w:w="28" w:type="dxa"/>
          <w:left w:w="28" w:type="dxa"/>
          <w:bottom w:w="28" w:type="dxa"/>
          <w:right w:w="0" w:type="dxa"/>
        </w:tblCellMar>
        <w:tblLook w:val="04A0" w:firstRow="1" w:lastRow="0" w:firstColumn="1" w:lastColumn="0" w:noHBand="0" w:noVBand="1"/>
      </w:tblPr>
      <w:tblGrid>
        <w:gridCol w:w="1500"/>
        <w:gridCol w:w="7554"/>
      </w:tblGrid>
      <w:tr w:rsidR="00813C4E" w:rsidRPr="00813C4E" w14:paraId="71279798" w14:textId="77777777" w:rsidTr="001660A2">
        <w:trPr>
          <w:cantSplit/>
          <w:trHeight w:val="375"/>
          <w:tblHeader/>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507B4E77"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b/>
                <w:color w:val="000000"/>
                <w:sz w:val="22"/>
                <w:lang w:eastAsia="en-AU"/>
              </w:rPr>
              <w:t>Abbreviation</w:t>
            </w:r>
            <w:r w:rsidRPr="00813C4E">
              <w:rPr>
                <w:rFonts w:ascii="Calibri" w:eastAsia="Times New Roman" w:hAnsi="Calibri" w:cs="Calibri"/>
                <w:color w:val="000000"/>
                <w:sz w:val="22"/>
                <w:lang w:eastAsia="en-AU"/>
              </w:rPr>
              <w:t>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257E163B"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b/>
                <w:color w:val="000000"/>
                <w:sz w:val="22"/>
                <w:lang w:eastAsia="en-AU"/>
              </w:rPr>
              <w:t>Definition</w:t>
            </w:r>
            <w:r w:rsidRPr="00813C4E">
              <w:rPr>
                <w:rFonts w:ascii="Calibri" w:eastAsia="Times New Roman" w:hAnsi="Calibri" w:cs="Calibri"/>
                <w:color w:val="000000"/>
                <w:sz w:val="22"/>
                <w:lang w:eastAsia="en-AU"/>
              </w:rPr>
              <w:t> </w:t>
            </w:r>
          </w:p>
        </w:tc>
      </w:tr>
      <w:tr w:rsidR="00813C4E" w:rsidRPr="00813C4E" w14:paraId="396717A3"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16EF8AF9"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2023 Production Variables Update</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7EB32388"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Calibri" w:hAnsi="Calibri" w:cs="Arial"/>
                <w:color w:val="000000"/>
                <w:sz w:val="22"/>
              </w:rPr>
              <w:t xml:space="preserve">The </w:t>
            </w:r>
            <w:r w:rsidRPr="00813C4E">
              <w:rPr>
                <w:rFonts w:ascii="Calibri" w:eastAsia="Calibri" w:hAnsi="Calibri" w:cs="Arial"/>
                <w:i/>
                <w:noProof/>
                <w:color w:val="000000"/>
                <w:sz w:val="22"/>
              </w:rPr>
              <w:t>National Greenhouse and Energy Reporting (Safeguard Mechanism) Amendment (Production Variables Update) Rules 2023</w:t>
            </w:r>
          </w:p>
        </w:tc>
      </w:tr>
      <w:tr w:rsidR="00813C4E" w:rsidRPr="00813C4E" w14:paraId="4AAB57CB"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43028C2D"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2024 Production Variables Update</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53C86A85"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Calibri" w:hAnsi="Calibri" w:cs="Arial"/>
                <w:color w:val="000000"/>
                <w:sz w:val="22"/>
              </w:rPr>
              <w:t xml:space="preserve">The </w:t>
            </w:r>
            <w:r w:rsidRPr="00813C4E">
              <w:rPr>
                <w:rFonts w:ascii="Calibri" w:eastAsia="Calibri" w:hAnsi="Calibri" w:cs="Arial"/>
                <w:i/>
                <w:iCs/>
                <w:noProof/>
                <w:color w:val="000000"/>
                <w:sz w:val="22"/>
              </w:rPr>
              <w:t>National Greenhouse and Energy Reporting (Safeguard Mechanism) Amendment (Production Variables Update) Rules 2024</w:t>
            </w:r>
          </w:p>
        </w:tc>
      </w:tr>
      <w:tr w:rsidR="00813C4E" w:rsidRPr="00813C4E" w14:paraId="74ADF348"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2A53DAAB"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ACCU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6DF89661" w14:textId="77777777" w:rsidR="00813C4E" w:rsidRPr="00813C4E" w:rsidRDefault="00813C4E" w:rsidP="00813C4E">
            <w:pPr>
              <w:spacing w:before="0" w:line="240" w:lineRule="auto"/>
              <w:ind w:right="90"/>
              <w:textAlignment w:val="baseline"/>
              <w:rPr>
                <w:rFonts w:ascii="Calibri" w:eastAsia="Calibri" w:hAnsi="Calibri" w:cs="Arial"/>
                <w:color w:val="000000"/>
                <w:sz w:val="22"/>
              </w:rPr>
            </w:pPr>
            <w:r w:rsidRPr="00813C4E">
              <w:rPr>
                <w:rFonts w:ascii="Calibri" w:eastAsia="Times New Roman" w:hAnsi="Calibri" w:cs="Calibri"/>
                <w:color w:val="000000"/>
                <w:sz w:val="22"/>
                <w:lang w:eastAsia="en-AU"/>
              </w:rPr>
              <w:t xml:space="preserve">Australian Carbon Credit Unit, which has the same meaning as in the </w:t>
            </w:r>
            <w:r w:rsidRPr="00813C4E">
              <w:rPr>
                <w:rFonts w:ascii="Calibri" w:eastAsia="Times New Roman" w:hAnsi="Calibri" w:cs="Calibri"/>
                <w:i/>
                <w:iCs/>
                <w:color w:val="000000"/>
                <w:sz w:val="22"/>
                <w:lang w:eastAsia="en-AU"/>
              </w:rPr>
              <w:t>Carbon Credits (Carbon Farming Initiative) Act 2011.</w:t>
            </w:r>
          </w:p>
        </w:tc>
      </w:tr>
      <w:tr w:rsidR="00813C4E" w:rsidRPr="00813C4E" w14:paraId="66E615EA"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505B0EA9"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Baseline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504E4CD3"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The baseline emissions number for a facility, as specified in section 22XL of the NGER Act.  </w:t>
            </w:r>
          </w:p>
        </w:tc>
      </w:tr>
      <w:tr w:rsidR="00813C4E" w:rsidRPr="00813C4E" w14:paraId="62A74CBF"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23E394FD"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Best practice emissions intensity (best practice EI)</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6CD785B9" w14:textId="77777777" w:rsidR="00813C4E" w:rsidRPr="00813C4E" w:rsidRDefault="00813C4E" w:rsidP="00813C4E">
            <w:pPr>
              <w:spacing w:before="0" w:line="240" w:lineRule="auto"/>
              <w:ind w:right="90"/>
              <w:textAlignment w:val="baseline"/>
              <w:rPr>
                <w:rFonts w:ascii="Calibri" w:eastAsia="Times New Roman" w:hAnsi="Calibri" w:cs="Calibri"/>
                <w:bCs/>
                <w:iCs/>
                <w:color w:val="000000"/>
                <w:sz w:val="22"/>
                <w:lang w:eastAsia="en-AU"/>
              </w:rPr>
            </w:pPr>
            <w:r w:rsidRPr="00813C4E">
              <w:rPr>
                <w:rFonts w:ascii="Calibri" w:eastAsia="Times New Roman" w:hAnsi="Calibri" w:cs="Calibri"/>
                <w:bCs/>
                <w:iCs/>
                <w:color w:val="000000"/>
                <w:sz w:val="22"/>
                <w:lang w:eastAsia="en-AU"/>
              </w:rPr>
              <w:t>Has the mean</w:t>
            </w:r>
            <w:r w:rsidRPr="00813C4E">
              <w:rPr>
                <w:rFonts w:ascii="Calibri" w:eastAsia="Calibri" w:hAnsi="Calibri" w:cs="Arial"/>
                <w:color w:val="000000"/>
                <w:sz w:val="22"/>
                <w:shd w:val="clear" w:color="auto" w:fill="FFFFFF"/>
              </w:rPr>
              <w:t>ing defined in section 4 of the Safeguard Rules. i.e.,</w:t>
            </w:r>
            <w:r w:rsidRPr="00813C4E">
              <w:rPr>
                <w:rFonts w:ascii="Calibri" w:eastAsia="Times New Roman" w:hAnsi="Calibri" w:cs="Calibri"/>
                <w:bCs/>
                <w:iCs/>
                <w:color w:val="000000"/>
                <w:sz w:val="22"/>
                <w:lang w:eastAsia="en-AU"/>
              </w:rPr>
              <w:t xml:space="preserve"> for a production variable for a financial year, means the </w:t>
            </w:r>
            <w:r w:rsidRPr="00813C4E">
              <w:rPr>
                <w:rFonts w:ascii="Calibri" w:eastAsia="Times New Roman" w:hAnsi="Calibri" w:cs="Calibri"/>
                <w:color w:val="000000"/>
                <w:sz w:val="22"/>
                <w:lang w:eastAsia="en-AU"/>
              </w:rPr>
              <w:t>best practice emissions intensity (if any)</w:t>
            </w:r>
            <w:r w:rsidRPr="00813C4E">
              <w:rPr>
                <w:rFonts w:ascii="Calibri" w:eastAsia="Times New Roman" w:hAnsi="Calibri" w:cs="Calibri"/>
                <w:bCs/>
                <w:iCs/>
                <w:color w:val="000000"/>
                <w:sz w:val="22"/>
                <w:lang w:eastAsia="en-AU"/>
              </w:rPr>
              <w:t xml:space="preserve"> specified, in t CO</w:t>
            </w:r>
            <w:r w:rsidRPr="00813C4E">
              <w:rPr>
                <w:rFonts w:ascii="Calibri" w:eastAsia="Times New Roman" w:hAnsi="Calibri" w:cs="Calibri"/>
                <w:bCs/>
                <w:iCs/>
                <w:color w:val="000000"/>
                <w:sz w:val="22"/>
                <w:vertAlign w:val="subscript"/>
                <w:lang w:eastAsia="en-AU"/>
              </w:rPr>
              <w:t>2</w:t>
            </w:r>
            <w:r w:rsidRPr="00813C4E">
              <w:rPr>
                <w:rFonts w:ascii="Calibri" w:eastAsia="Times New Roman" w:hAnsi="Calibri" w:cs="Calibri"/>
                <w:bCs/>
                <w:iCs/>
                <w:color w:val="000000"/>
                <w:sz w:val="22"/>
                <w:lang w:eastAsia="en-AU"/>
              </w:rPr>
              <w:noBreakHyphen/>
              <w:t>e per unit of the production variable, in relation to the production variable in Schedule 1 as in force at:</w:t>
            </w:r>
          </w:p>
          <w:p w14:paraId="233205EA" w14:textId="77777777" w:rsidR="00813C4E" w:rsidRPr="00813C4E" w:rsidRDefault="00813C4E" w:rsidP="00813C4E">
            <w:pPr>
              <w:spacing w:before="0" w:line="240" w:lineRule="auto"/>
              <w:ind w:left="643"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(a)</w:t>
            </w:r>
            <w:r w:rsidRPr="00813C4E">
              <w:rPr>
                <w:rFonts w:ascii="Calibri" w:eastAsia="Times New Roman" w:hAnsi="Calibri" w:cs="Calibri"/>
                <w:color w:val="000000"/>
                <w:sz w:val="22"/>
                <w:lang w:eastAsia="en-AU"/>
              </w:rPr>
              <w:tab/>
              <w:t>if the financial year is the financial year beginning on 1 July 2023—the end of the financial year; or</w:t>
            </w:r>
          </w:p>
          <w:p w14:paraId="5119B7A6" w14:textId="77777777" w:rsidR="00813C4E" w:rsidRPr="00813C4E" w:rsidRDefault="00813C4E" w:rsidP="00813C4E">
            <w:pPr>
              <w:spacing w:before="0" w:line="240" w:lineRule="auto"/>
              <w:ind w:left="643" w:right="90"/>
              <w:textAlignment w:val="baseline"/>
              <w:rPr>
                <w:rFonts w:ascii="Calibri" w:eastAsia="Times New Roman" w:hAnsi="Calibri" w:cs="Calibri"/>
                <w:bCs/>
                <w:iCs/>
                <w:color w:val="000000"/>
                <w:sz w:val="22"/>
                <w:lang w:eastAsia="en-AU"/>
              </w:rPr>
            </w:pPr>
            <w:r w:rsidRPr="00813C4E">
              <w:rPr>
                <w:rFonts w:ascii="Calibri" w:eastAsia="Times New Roman" w:hAnsi="Calibri" w:cs="Calibri"/>
                <w:color w:val="000000"/>
                <w:sz w:val="22"/>
                <w:lang w:eastAsia="en-AU"/>
              </w:rPr>
              <w:t>(b)</w:t>
            </w:r>
            <w:r w:rsidRPr="00813C4E">
              <w:rPr>
                <w:rFonts w:ascii="Calibri" w:eastAsia="Times New Roman" w:hAnsi="Calibri" w:cs="Calibri"/>
                <w:color w:val="000000"/>
                <w:sz w:val="22"/>
                <w:lang w:eastAsia="en-AU"/>
              </w:rPr>
              <w:tab/>
              <w:t>otherwise—</w:t>
            </w:r>
            <w:r w:rsidRPr="00813C4E">
              <w:rPr>
                <w:rFonts w:ascii="Calibri" w:eastAsia="Times New Roman" w:hAnsi="Calibri" w:cs="Calibri"/>
                <w:bCs/>
                <w:iCs/>
                <w:color w:val="000000"/>
                <w:sz w:val="22"/>
                <w:lang w:eastAsia="en-AU"/>
              </w:rPr>
              <w:t>the start of the financial year.</w:t>
            </w:r>
          </w:p>
        </w:tc>
      </w:tr>
      <w:tr w:rsidR="00813C4E" w:rsidRPr="00813C4E" w14:paraId="7D5BDD31"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47381560"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CO</w:t>
            </w:r>
            <w:r w:rsidRPr="00813C4E">
              <w:rPr>
                <w:rFonts w:ascii="Calibri" w:eastAsia="Times New Roman" w:hAnsi="Calibri" w:cs="Calibri"/>
                <w:color w:val="000000"/>
                <w:sz w:val="22"/>
                <w:vertAlign w:val="subscript"/>
                <w:lang w:eastAsia="en-AU"/>
              </w:rPr>
              <w:t>2</w:t>
            </w:r>
            <w:r w:rsidRPr="00813C4E">
              <w:rPr>
                <w:rFonts w:ascii="Calibri" w:eastAsia="Times New Roman" w:hAnsi="Calibri" w:cs="Calibri"/>
                <w:color w:val="000000"/>
                <w:sz w:val="22"/>
                <w:lang w:eastAsia="en-AU"/>
              </w:rPr>
              <w:t>-e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4D98E37C"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 xml:space="preserve">Abbreviation for carbon dioxide equivalent, a way of quantifying greenhouse gases to reflect their contribution to climate change compared to a unit of carbon dioxide equivalent. In the NGER Act, the </w:t>
            </w:r>
            <w:r w:rsidRPr="00813C4E">
              <w:rPr>
                <w:rFonts w:ascii="Calibri" w:eastAsia="Calibri" w:hAnsi="Calibri" w:cs="Arial"/>
                <w:color w:val="000000"/>
                <w:sz w:val="22"/>
              </w:rPr>
              <w:t>carbon dioxide equivalence of an amount of greenhouse gas, means the amount of the gas multiplied by a value specified in the regulations in relation to that kind of greenhouse gas.</w:t>
            </w:r>
            <w:r w:rsidRPr="00813C4E">
              <w:rPr>
                <w:rFonts w:ascii="Calibri" w:eastAsia="Times New Roman" w:hAnsi="Calibri" w:cs="Calibri"/>
                <w:color w:val="000000"/>
                <w:sz w:val="22"/>
                <w:lang w:eastAsia="en-AU"/>
              </w:rPr>
              <w:t> </w:t>
            </w:r>
          </w:p>
        </w:tc>
      </w:tr>
      <w:tr w:rsidR="00813C4E" w:rsidRPr="00813C4E" w14:paraId="341C7941"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48419623"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Covered emissions</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1729A7F1"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Calibri" w:hAnsi="Calibri" w:cs="Arial"/>
                <w:color w:val="000000"/>
                <w:sz w:val="22"/>
              </w:rPr>
              <w:t>Has the meaning given by section 22XI of the NGER Act</w:t>
            </w:r>
            <w:r w:rsidRPr="00813C4E">
              <w:rPr>
                <w:rFonts w:ascii="Calibri" w:eastAsia="Times New Roman" w:hAnsi="Calibri" w:cs="Calibri"/>
                <w:color w:val="000000"/>
                <w:sz w:val="22"/>
                <w:lang w:eastAsia="en-AU"/>
              </w:rPr>
              <w:t xml:space="preserve"> i.e. </w:t>
            </w:r>
            <w:r w:rsidRPr="00813C4E">
              <w:rPr>
                <w:rFonts w:ascii="Calibri" w:eastAsia="Calibri" w:hAnsi="Calibri" w:cs="Arial"/>
                <w:color w:val="000000"/>
                <w:sz w:val="22"/>
              </w:rPr>
              <w:t xml:space="preserve">scope 1 </w:t>
            </w:r>
            <w:proofErr w:type="gramStart"/>
            <w:r w:rsidRPr="00813C4E">
              <w:rPr>
                <w:rFonts w:ascii="Calibri" w:eastAsia="Calibri" w:hAnsi="Calibri" w:cs="Arial"/>
                <w:color w:val="000000"/>
                <w:sz w:val="22"/>
              </w:rPr>
              <w:t>emissions</w:t>
            </w:r>
            <w:proofErr w:type="gramEnd"/>
            <w:r w:rsidRPr="00813C4E">
              <w:rPr>
                <w:rFonts w:ascii="Calibri" w:eastAsia="Calibri" w:hAnsi="Calibri" w:cs="Arial"/>
                <w:color w:val="000000"/>
                <w:sz w:val="22"/>
              </w:rPr>
              <w:t xml:space="preserve"> of one or more greenhouse gases, other than emissions of a kind specified in the Safeguard Rules.</w:t>
            </w:r>
          </w:p>
        </w:tc>
      </w:tr>
      <w:tr w:rsidR="00813C4E" w:rsidRPr="00813C4E" w14:paraId="2F5E883C"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43648F00"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Department</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03CECB6B" w14:textId="77777777" w:rsidR="00813C4E" w:rsidRPr="00813C4E" w:rsidDel="003A21E1"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Department of Climate Change, Energy, the Environment and Water</w:t>
            </w:r>
          </w:p>
        </w:tc>
      </w:tr>
      <w:tr w:rsidR="00813C4E" w:rsidRPr="00813C4E" w14:paraId="21040F37"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589D40C2"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Default emissions reduction contribution</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23CA3FF3"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For a financial year, has the meaning given by section 31 of the Safeguard Rules.</w:t>
            </w:r>
          </w:p>
        </w:tc>
      </w:tr>
      <w:tr w:rsidR="00813C4E" w:rsidRPr="00813C4E" w14:paraId="43737E81"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33C884D4"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Designated large facility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2E9C764F"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A facility covered by the Safeguard Mechanism, as defined in section 22XJ of the NGER Act.</w:t>
            </w:r>
          </w:p>
        </w:tc>
      </w:tr>
      <w:tr w:rsidR="00813C4E" w:rsidRPr="00813C4E" w14:paraId="20BDC8E8"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40C8F17B"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Default Emissions Intensity (default EI)</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77E4D49F"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bCs/>
                <w:iCs/>
                <w:color w:val="000000"/>
                <w:sz w:val="22"/>
                <w:lang w:eastAsia="en-AU"/>
              </w:rPr>
              <w:t>Has the mean</w:t>
            </w:r>
            <w:r w:rsidRPr="00813C4E">
              <w:rPr>
                <w:rFonts w:ascii="Calibri" w:eastAsia="Calibri" w:hAnsi="Calibri" w:cs="Arial"/>
                <w:color w:val="000000"/>
                <w:sz w:val="22"/>
                <w:shd w:val="clear" w:color="auto" w:fill="FFFFFF"/>
              </w:rPr>
              <w:t>ing defined in section 4 of the Safeguard Rules. i.e.,</w:t>
            </w:r>
            <w:r w:rsidRPr="00813C4E">
              <w:rPr>
                <w:rFonts w:ascii="Calibri" w:eastAsia="Times New Roman" w:hAnsi="Calibri" w:cs="Calibri"/>
                <w:bCs/>
                <w:iCs/>
                <w:color w:val="000000"/>
                <w:sz w:val="22"/>
                <w:lang w:eastAsia="en-AU"/>
              </w:rPr>
              <w:t xml:space="preserve"> </w:t>
            </w:r>
            <w:r w:rsidRPr="00813C4E">
              <w:rPr>
                <w:rFonts w:ascii="Calibri" w:eastAsia="Calibri" w:hAnsi="Calibri" w:cs="Arial"/>
                <w:color w:val="000000"/>
                <w:sz w:val="22"/>
                <w:shd w:val="clear" w:color="auto" w:fill="FFFFFF"/>
              </w:rPr>
              <w:t>for a production variable for a financial year, means the default emissions intensity specified, in t CO</w:t>
            </w:r>
            <w:r w:rsidRPr="00813C4E">
              <w:rPr>
                <w:rFonts w:ascii="Calibri" w:eastAsia="Calibri" w:hAnsi="Calibri" w:cs="Arial"/>
                <w:color w:val="000000"/>
                <w:sz w:val="17"/>
                <w:szCs w:val="17"/>
                <w:shd w:val="clear" w:color="auto" w:fill="FFFFFF"/>
                <w:vertAlign w:val="subscript"/>
              </w:rPr>
              <w:t>2</w:t>
            </w:r>
            <w:r w:rsidRPr="00813C4E">
              <w:rPr>
                <w:rFonts w:ascii="Calibri" w:eastAsia="Calibri" w:hAnsi="Calibri" w:cs="Arial"/>
                <w:color w:val="000000"/>
                <w:sz w:val="22"/>
                <w:shd w:val="clear" w:color="auto" w:fill="FFFFFF"/>
              </w:rPr>
              <w:noBreakHyphen/>
              <w:t>e per unit of the production variable, in relation to the production variable in Schedule 1 as in force at the start of that financial year.</w:t>
            </w:r>
          </w:p>
        </w:tc>
      </w:tr>
      <w:tr w:rsidR="00813C4E" w:rsidRPr="00813C4E" w14:paraId="24D24674"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2BD12A8C"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EBIT Guidelines</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125A1487"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Calibri" w:hAnsi="Calibri" w:cs="Arial"/>
                <w:sz w:val="22"/>
              </w:rPr>
              <w:t>Written guidelines that relate to working out the earnings before interest and tax of a facility for a financial year, as provided for by section 37(7) of the Safeguard Rules.</w:t>
            </w:r>
          </w:p>
        </w:tc>
      </w:tr>
      <w:tr w:rsidR="00813C4E" w:rsidRPr="00813C4E" w14:paraId="12AA7623"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31E58797"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Emissions intensity determination</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4D8F6F37" w14:textId="77777777" w:rsidR="00813C4E" w:rsidRPr="00813C4E" w:rsidRDefault="00813C4E" w:rsidP="00813C4E">
            <w:pPr>
              <w:spacing w:before="0" w:line="240" w:lineRule="auto"/>
              <w:ind w:right="90"/>
              <w:textAlignment w:val="baseline"/>
              <w:rPr>
                <w:rFonts w:ascii="Calibri" w:eastAsia="Times New Roman" w:hAnsi="Calibri" w:cs="Calibri"/>
                <w:bCs/>
                <w:iCs/>
                <w:color w:val="000000"/>
                <w:sz w:val="22"/>
                <w:lang w:eastAsia="en-AU"/>
              </w:rPr>
            </w:pPr>
            <w:r w:rsidRPr="00813C4E">
              <w:rPr>
                <w:rFonts w:ascii="Calibri" w:eastAsia="Times New Roman" w:hAnsi="Calibri" w:cs="Calibri"/>
                <w:color w:val="000000"/>
                <w:sz w:val="22"/>
                <w:lang w:eastAsia="en-AU"/>
              </w:rPr>
              <w:t>A determination made under section 19 of the Safeguard Rules. Emissions intensity determinations set facility-specific EIs for existing facilities.</w:t>
            </w:r>
          </w:p>
        </w:tc>
      </w:tr>
      <w:tr w:rsidR="00813C4E" w:rsidRPr="00813C4E" w14:paraId="2C0EB052"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3082D86F"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lastRenderedPageBreak/>
              <w:t>Existing facility</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26B5EB40" w14:textId="77777777" w:rsidR="00813C4E" w:rsidRPr="00813C4E" w:rsidRDefault="00813C4E" w:rsidP="00813C4E">
            <w:pPr>
              <w:spacing w:before="0" w:line="240" w:lineRule="auto"/>
              <w:ind w:right="90"/>
              <w:textAlignment w:val="baseline"/>
              <w:rPr>
                <w:rFonts w:ascii="Calibri" w:eastAsia="Times New Roman" w:hAnsi="Calibri" w:cs="Calibri"/>
                <w:bCs/>
                <w:iCs/>
                <w:color w:val="000000"/>
                <w:sz w:val="22"/>
                <w:lang w:eastAsia="en-AU"/>
              </w:rPr>
            </w:pPr>
            <w:r w:rsidRPr="00813C4E">
              <w:rPr>
                <w:rFonts w:ascii="Calibri" w:eastAsia="Times New Roman" w:hAnsi="Calibri" w:cs="Calibri"/>
                <w:bCs/>
                <w:iCs/>
                <w:color w:val="000000"/>
                <w:sz w:val="22"/>
                <w:lang w:eastAsia="en-AU"/>
              </w:rPr>
              <w:t>Has the mean</w:t>
            </w:r>
            <w:r w:rsidRPr="00813C4E">
              <w:rPr>
                <w:rFonts w:ascii="Calibri" w:eastAsia="Calibri" w:hAnsi="Calibri" w:cs="Arial"/>
                <w:color w:val="000000"/>
                <w:sz w:val="22"/>
                <w:shd w:val="clear" w:color="auto" w:fill="FFFFFF"/>
              </w:rPr>
              <w:t>ing given in section 12(1) of the Safeguard Rules. I.e., a facility is an existing facility if there are one or more historical production variables or transitional production variables for the facility.</w:t>
            </w:r>
          </w:p>
        </w:tc>
      </w:tr>
      <w:tr w:rsidR="00813C4E" w:rsidRPr="00813C4E" w14:paraId="65996E13"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4A8F0ADC"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Facility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6CA0884A"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An activity or a series of activities that involve greenhouse gas emissions, the production of energy or the consumption of energy, as defined in section 9 of the NGER Act. </w:t>
            </w:r>
          </w:p>
        </w:tc>
      </w:tr>
      <w:tr w:rsidR="00813C4E" w:rsidRPr="00813C4E" w14:paraId="17ECC901"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4A20BE05"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Guidelines</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6526ADF7" w14:textId="3AAAC247" w:rsidR="00813C4E" w:rsidRPr="00813C4E" w:rsidRDefault="00813C4E" w:rsidP="00813C4E">
            <w:pPr>
              <w:spacing w:before="0" w:line="240" w:lineRule="auto"/>
              <w:ind w:right="90"/>
              <w:textAlignment w:val="baseline"/>
              <w:rPr>
                <w:rFonts w:ascii="Calibri" w:eastAsia="Times New Roman" w:hAnsi="Calibri" w:cs="Calibri"/>
                <w:bCs/>
                <w:i/>
                <w:color w:val="000000"/>
                <w:sz w:val="22"/>
                <w:lang w:eastAsia="en-AU"/>
              </w:rPr>
            </w:pPr>
            <w:r w:rsidRPr="00813C4E">
              <w:rPr>
                <w:rFonts w:ascii="Calibri" w:eastAsia="Times New Roman" w:hAnsi="Calibri" w:cs="Calibri"/>
                <w:bCs/>
                <w:iCs/>
                <w:color w:val="000000"/>
                <w:sz w:val="22"/>
                <w:lang w:eastAsia="en-AU"/>
              </w:rPr>
              <w:t xml:space="preserve">The </w:t>
            </w:r>
            <w:r w:rsidRPr="00813C4E">
              <w:rPr>
                <w:rFonts w:ascii="Calibri" w:eastAsia="Times New Roman" w:hAnsi="Calibri" w:cs="Calibri"/>
                <w:bCs/>
                <w:i/>
                <w:color w:val="000000"/>
                <w:sz w:val="22"/>
                <w:lang w:eastAsia="en-AU"/>
              </w:rPr>
              <w:t>Guidelines for setting international best practice benchmarks</w:t>
            </w:r>
            <w:r w:rsidRPr="00813C4E">
              <w:rPr>
                <w:rFonts w:ascii="Calibri" w:eastAsia="Times New Roman" w:hAnsi="Calibri" w:cs="Calibri"/>
                <w:bCs/>
                <w:iCs/>
                <w:color w:val="000000"/>
                <w:sz w:val="22"/>
                <w:lang w:eastAsia="en-AU"/>
              </w:rPr>
              <w:t xml:space="preserve">, published on the department’s web page at: </w:t>
            </w:r>
            <w:r w:rsidRPr="00C025AE">
              <w:rPr>
                <w:rFonts w:ascii="Calibri" w:eastAsia="Calibri" w:hAnsi="Calibri" w:cs="Arial"/>
                <w:sz w:val="22"/>
                <w:u w:val="single"/>
              </w:rPr>
              <w:t>Guidelines for setting international best practice benchmarks - DCCEEW</w:t>
            </w:r>
          </w:p>
        </w:tc>
      </w:tr>
      <w:tr w:rsidR="00813C4E" w:rsidRPr="00813C4E" w14:paraId="3A19EE68"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71E7F0E5"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Historical financial year</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6A11709C"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bCs/>
                <w:iCs/>
                <w:color w:val="000000"/>
                <w:sz w:val="22"/>
                <w:lang w:eastAsia="en-AU"/>
              </w:rPr>
              <w:t>Has the mean</w:t>
            </w:r>
            <w:r w:rsidRPr="00813C4E">
              <w:rPr>
                <w:rFonts w:ascii="Calibri" w:eastAsia="Calibri" w:hAnsi="Calibri" w:cs="Arial"/>
                <w:color w:val="000000"/>
                <w:sz w:val="22"/>
                <w:shd w:val="clear" w:color="auto" w:fill="FFFFFF"/>
              </w:rPr>
              <w:t xml:space="preserve">ing defined in </w:t>
            </w:r>
            <w:r w:rsidRPr="00813C4E">
              <w:rPr>
                <w:rFonts w:ascii="Calibri" w:eastAsia="Times New Roman" w:hAnsi="Calibri" w:cs="Calibri"/>
                <w:color w:val="000000"/>
                <w:sz w:val="22"/>
                <w:lang w:eastAsia="en-AU"/>
              </w:rPr>
              <w:t>section 12(3) of the Safeguard Rules. I.e., a historical financial year is a financial year that started after 30 June 2016 and ended before 1 July 2022.</w:t>
            </w:r>
          </w:p>
        </w:tc>
      </w:tr>
      <w:tr w:rsidR="00813C4E" w:rsidRPr="00813C4E" w14:paraId="515E72B4"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0FDBEE8A"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Historical production variable (historical PV)</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035AE70C"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bCs/>
                <w:iCs/>
                <w:color w:val="000000"/>
                <w:sz w:val="22"/>
                <w:lang w:eastAsia="en-AU"/>
              </w:rPr>
              <w:t>Has the mean</w:t>
            </w:r>
            <w:r w:rsidRPr="00813C4E">
              <w:rPr>
                <w:rFonts w:ascii="Calibri" w:eastAsia="Calibri" w:hAnsi="Calibri" w:cs="Arial"/>
                <w:color w:val="000000"/>
                <w:sz w:val="22"/>
                <w:shd w:val="clear" w:color="auto" w:fill="FFFFFF"/>
              </w:rPr>
              <w:t xml:space="preserve">ing defined in </w:t>
            </w:r>
            <w:r w:rsidRPr="00813C4E">
              <w:rPr>
                <w:rFonts w:ascii="Calibri" w:eastAsia="Times New Roman" w:hAnsi="Calibri" w:cs="Calibri"/>
                <w:color w:val="000000"/>
                <w:sz w:val="22"/>
                <w:lang w:eastAsia="en-AU"/>
              </w:rPr>
              <w:t xml:space="preserve">section 12(2) of the Safeguard Rules (as amended by the 2024 </w:t>
            </w:r>
            <w:r w:rsidRPr="00813C4E">
              <w:rPr>
                <w:rFonts w:ascii="Calibri" w:eastAsia="Calibri" w:hAnsi="Calibri" w:cs="Arial"/>
                <w:color w:val="000000"/>
                <w:sz w:val="22"/>
                <w:lang w:eastAsia="ja-JP"/>
              </w:rPr>
              <w:t>Best Practice Emissions Intensity Update</w:t>
            </w:r>
            <w:r w:rsidRPr="00813C4E">
              <w:rPr>
                <w:rFonts w:ascii="Calibri" w:eastAsia="Times New Roman" w:hAnsi="Calibri" w:cs="Calibri"/>
                <w:color w:val="000000"/>
                <w:sz w:val="22"/>
                <w:lang w:eastAsia="en-AU"/>
              </w:rPr>
              <w:t>). I.e., a historical production variable, for a facility, is a production variable that was applicable to the facility, in accordance with Schedule 1, at any time during a historical financial year; and was not a non-commercial production variable for the facility for the historical financial year.</w:t>
            </w:r>
          </w:p>
        </w:tc>
      </w:tr>
      <w:tr w:rsidR="00813C4E" w:rsidRPr="00813C4E" w14:paraId="212B6713"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2F6337D6"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Mt</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0C61DB6C"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Million tonnes</w:t>
            </w:r>
          </w:p>
        </w:tc>
      </w:tr>
      <w:tr w:rsidR="00813C4E" w:rsidRPr="00813C4E" w14:paraId="598A275C"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191DF728"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NDC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2D9F764D"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Nationally Determined Contribution under the Paris Agreement</w:t>
            </w:r>
          </w:p>
        </w:tc>
      </w:tr>
      <w:tr w:rsidR="00813C4E" w:rsidRPr="00813C4E" w14:paraId="0B806D17"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2414E7E3"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Net covered emissions</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5110C5C8" w14:textId="77777777" w:rsidR="00813C4E" w:rsidRPr="00813C4E" w:rsidRDefault="00813C4E" w:rsidP="00813C4E">
            <w:pPr>
              <w:spacing w:before="0" w:line="240" w:lineRule="auto"/>
              <w:ind w:right="90"/>
              <w:textAlignment w:val="baseline"/>
              <w:rPr>
                <w:rFonts w:ascii="Calibri" w:eastAsia="Times New Roman" w:hAnsi="Calibri" w:cs="Calibri"/>
                <w:iCs/>
                <w:color w:val="000000"/>
                <w:sz w:val="22"/>
                <w:lang w:eastAsia="en-AU"/>
              </w:rPr>
            </w:pPr>
            <w:r w:rsidRPr="00813C4E">
              <w:rPr>
                <w:rFonts w:ascii="Calibri" w:eastAsia="Times New Roman" w:hAnsi="Calibri" w:cs="Calibri"/>
                <w:iCs/>
                <w:color w:val="000000"/>
                <w:sz w:val="22"/>
                <w:lang w:eastAsia="en-AU"/>
              </w:rPr>
              <w:t xml:space="preserve">Means the total amount, in tonnes of carbon dioxide equivalence, of covered emissions for a particular designated large facility adjusted for the total amount of prescribed carbon units (ACCUs or SMCs) surrendered. The NGER Act established the Safeguard Mechanism to ensure </w:t>
            </w:r>
            <w:r w:rsidRPr="00813C4E">
              <w:rPr>
                <w:rFonts w:ascii="Calibri" w:eastAsia="Calibri" w:hAnsi="Calibri" w:cs="Arial"/>
                <w:color w:val="000000"/>
                <w:sz w:val="22"/>
              </w:rPr>
              <w:t>that net covered emissions of greenhouse gases from the operation of a designated large facility do not exceed the baseline applicable to the facility.</w:t>
            </w:r>
          </w:p>
        </w:tc>
      </w:tr>
      <w:tr w:rsidR="00813C4E" w:rsidRPr="00813C4E" w14:paraId="793F7F08"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58E5C041"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Net emissions budget</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010D6099" w14:textId="77777777" w:rsidR="00813C4E" w:rsidRPr="00813C4E" w:rsidRDefault="00813C4E" w:rsidP="00813C4E">
            <w:pPr>
              <w:spacing w:before="0" w:line="240" w:lineRule="auto"/>
              <w:ind w:right="90"/>
              <w:textAlignment w:val="baseline"/>
              <w:rPr>
                <w:rFonts w:ascii="Calibri" w:eastAsia="Times New Roman" w:hAnsi="Calibri" w:cs="Calibri"/>
                <w:iCs/>
                <w:color w:val="000000"/>
                <w:sz w:val="22"/>
                <w:lang w:eastAsia="en-AU"/>
              </w:rPr>
            </w:pPr>
            <w:r w:rsidRPr="00813C4E">
              <w:rPr>
                <w:rFonts w:ascii="Calibri" w:eastAsia="Calibri" w:hAnsi="Calibri" w:cs="Arial"/>
                <w:color w:val="000000"/>
                <w:sz w:val="22"/>
              </w:rPr>
              <w:t xml:space="preserve">The 1,233 million tonne limit on net Safeguard emissions for </w:t>
            </w:r>
            <w:proofErr w:type="gramStart"/>
            <w:r w:rsidRPr="00813C4E">
              <w:rPr>
                <w:rFonts w:ascii="Calibri" w:eastAsia="Calibri" w:hAnsi="Calibri" w:cs="Arial"/>
                <w:color w:val="000000"/>
                <w:sz w:val="22"/>
              </w:rPr>
              <w:t>all of</w:t>
            </w:r>
            <w:proofErr w:type="gramEnd"/>
            <w:r w:rsidRPr="00813C4E">
              <w:rPr>
                <w:rFonts w:ascii="Calibri" w:eastAsia="Calibri" w:hAnsi="Calibri" w:cs="Arial"/>
                <w:color w:val="000000"/>
                <w:sz w:val="22"/>
              </w:rPr>
              <w:t xml:space="preserve"> the financial years between 1 July 2020 and 30 June 2030 referred to in safeguard outcome (b).</w:t>
            </w:r>
          </w:p>
        </w:tc>
      </w:tr>
      <w:tr w:rsidR="00813C4E" w:rsidRPr="00813C4E" w14:paraId="238AF4D9"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13F9519E"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Net emissions number</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5EBCD537" w14:textId="77777777" w:rsidR="00813C4E" w:rsidRPr="00813C4E" w:rsidRDefault="00813C4E" w:rsidP="00813C4E">
            <w:pPr>
              <w:spacing w:before="0" w:line="240" w:lineRule="auto"/>
              <w:ind w:right="90"/>
              <w:textAlignment w:val="baseline"/>
              <w:rPr>
                <w:rFonts w:ascii="Calibri" w:eastAsia="Calibri" w:hAnsi="Calibri" w:cs="Arial"/>
                <w:color w:val="000000"/>
                <w:sz w:val="22"/>
              </w:rPr>
            </w:pPr>
            <w:r w:rsidRPr="00813C4E">
              <w:rPr>
                <w:rFonts w:ascii="Calibri" w:eastAsia="Calibri" w:hAnsi="Calibri" w:cs="Arial"/>
                <w:color w:val="000000"/>
                <w:sz w:val="22"/>
              </w:rPr>
              <w:t>Has the meaning given by section 22XD of the NGER Act, i.e., the number of tonnes of carbon dioxide equivalence of the total amount of covered emissions of greenhouse gases from the operation of the facility during the period:</w:t>
            </w:r>
          </w:p>
          <w:p w14:paraId="0D4C8F60" w14:textId="77777777" w:rsidR="00813C4E" w:rsidRPr="00813C4E" w:rsidRDefault="00813C4E" w:rsidP="00B13A5D">
            <w:pPr>
              <w:numPr>
                <w:ilvl w:val="0"/>
                <w:numId w:val="18"/>
              </w:numPr>
              <w:spacing w:before="0" w:after="200" w:line="240" w:lineRule="auto"/>
              <w:ind w:right="90"/>
              <w:textAlignment w:val="baseline"/>
              <w:rPr>
                <w:rFonts w:ascii="Calibri" w:eastAsia="Calibri" w:hAnsi="Calibri" w:cs="Calibri"/>
                <w:color w:val="000000"/>
                <w:sz w:val="22"/>
              </w:rPr>
            </w:pPr>
            <w:r w:rsidRPr="00813C4E">
              <w:rPr>
                <w:rFonts w:ascii="Calibri" w:eastAsia="Calibri" w:hAnsi="Calibri" w:cs="Calibri"/>
                <w:color w:val="000000"/>
                <w:sz w:val="22"/>
              </w:rPr>
              <w:t>reduced by surrendered prescribed carbon units; and</w:t>
            </w:r>
          </w:p>
          <w:p w14:paraId="4D251B09" w14:textId="77777777" w:rsidR="00813C4E" w:rsidRPr="00813C4E" w:rsidRDefault="00813C4E" w:rsidP="00B13A5D">
            <w:pPr>
              <w:numPr>
                <w:ilvl w:val="0"/>
                <w:numId w:val="18"/>
              </w:numPr>
              <w:spacing w:before="0" w:after="200" w:line="240" w:lineRule="auto"/>
              <w:ind w:right="90"/>
              <w:textAlignment w:val="baseline"/>
              <w:rPr>
                <w:rFonts w:ascii="Calibri" w:eastAsia="Calibri" w:hAnsi="Calibri" w:cs="Calibri"/>
                <w:color w:val="000000"/>
                <w:sz w:val="22"/>
              </w:rPr>
            </w:pPr>
            <w:r w:rsidRPr="00813C4E">
              <w:rPr>
                <w:rFonts w:ascii="Calibri" w:eastAsia="Calibri" w:hAnsi="Calibri" w:cs="Calibri"/>
                <w:color w:val="000000"/>
                <w:sz w:val="22"/>
              </w:rPr>
              <w:t>increased by Australian carbon credit units that were issued in relation to the facility.</w:t>
            </w:r>
          </w:p>
        </w:tc>
      </w:tr>
      <w:tr w:rsidR="00813C4E" w:rsidRPr="00813C4E" w14:paraId="66DAB241"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24DFF4BD"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Net Safeguard emissions</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3EBCAA36" w14:textId="77777777" w:rsidR="00813C4E" w:rsidRPr="00813C4E" w:rsidRDefault="00813C4E" w:rsidP="00813C4E">
            <w:pPr>
              <w:spacing w:before="0" w:line="240" w:lineRule="auto"/>
              <w:ind w:right="90"/>
              <w:textAlignment w:val="baseline"/>
              <w:rPr>
                <w:rFonts w:ascii="Calibri" w:eastAsia="Times New Roman" w:hAnsi="Calibri" w:cs="Calibri"/>
                <w:iCs/>
                <w:color w:val="000000"/>
                <w:sz w:val="22"/>
                <w:lang w:eastAsia="en-AU"/>
              </w:rPr>
            </w:pPr>
            <w:r w:rsidRPr="00813C4E">
              <w:rPr>
                <w:rFonts w:ascii="Calibri" w:eastAsia="Times New Roman" w:hAnsi="Calibri" w:cs="Calibri"/>
                <w:iCs/>
                <w:color w:val="000000"/>
                <w:sz w:val="22"/>
                <w:lang w:eastAsia="en-AU"/>
              </w:rPr>
              <w:t>For a financial year, means the total amount, in tonnes of carbon dioxide equivalence, of net covered emissions from the operation, during the financial year, of all designated large facilities in the financial year, as defined in section 7 of the NGER Act.</w:t>
            </w:r>
          </w:p>
        </w:tc>
      </w:tr>
      <w:tr w:rsidR="00813C4E" w:rsidRPr="00813C4E" w14:paraId="655021B7"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6EF5633E"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New facility</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56ED367C" w14:textId="77777777" w:rsidR="00813C4E" w:rsidRPr="00813C4E" w:rsidRDefault="00813C4E" w:rsidP="00813C4E">
            <w:pPr>
              <w:spacing w:before="0" w:line="240" w:lineRule="auto"/>
              <w:ind w:right="90"/>
              <w:textAlignment w:val="baseline"/>
              <w:rPr>
                <w:rFonts w:ascii="Calibri" w:eastAsia="Times New Roman" w:hAnsi="Calibri" w:cs="Calibri"/>
                <w:iCs/>
                <w:color w:val="000000"/>
                <w:sz w:val="22"/>
                <w:lang w:eastAsia="en-AU"/>
              </w:rPr>
            </w:pPr>
            <w:r w:rsidRPr="00813C4E">
              <w:rPr>
                <w:rFonts w:ascii="Calibri" w:eastAsia="Times New Roman" w:hAnsi="Calibri" w:cs="Calibri"/>
                <w:bCs/>
                <w:iCs/>
                <w:color w:val="000000"/>
                <w:sz w:val="22"/>
                <w:lang w:eastAsia="en-AU"/>
              </w:rPr>
              <w:t>Has the mean</w:t>
            </w:r>
            <w:r w:rsidRPr="00813C4E">
              <w:rPr>
                <w:rFonts w:ascii="Calibri" w:eastAsia="Calibri" w:hAnsi="Calibri" w:cs="Arial"/>
                <w:color w:val="000000"/>
                <w:sz w:val="22"/>
                <w:shd w:val="clear" w:color="auto" w:fill="FFFFFF"/>
              </w:rPr>
              <w:t>ing given in section 29(2) of the Safeguard Rules. I.e., a facility is a new facility if there are no historical production variables or transitional production variables for the facility.</w:t>
            </w:r>
          </w:p>
        </w:tc>
      </w:tr>
      <w:tr w:rsidR="00813C4E" w:rsidRPr="00813C4E" w14:paraId="32C6EC67"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4E2A4E2F"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NGER Act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48063FB5"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i/>
                <w:color w:val="000000"/>
                <w:sz w:val="22"/>
                <w:lang w:eastAsia="en-AU"/>
              </w:rPr>
              <w:t>National Greenhouse and Energy Reporting Act 2007</w:t>
            </w:r>
            <w:r w:rsidRPr="00813C4E">
              <w:rPr>
                <w:rFonts w:ascii="Calibri" w:eastAsia="Times New Roman" w:hAnsi="Calibri" w:cs="Calibri"/>
                <w:color w:val="000000"/>
                <w:sz w:val="22"/>
                <w:lang w:eastAsia="en-AU"/>
              </w:rPr>
              <w:t>  </w:t>
            </w:r>
          </w:p>
        </w:tc>
      </w:tr>
      <w:tr w:rsidR="00813C4E" w:rsidRPr="00813C4E" w14:paraId="5994655A"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1468099B"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lastRenderedPageBreak/>
              <w:t>NGER Measurement Determination</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76453F25" w14:textId="77777777" w:rsidR="00813C4E" w:rsidRPr="00813C4E" w:rsidRDefault="00813C4E" w:rsidP="00813C4E">
            <w:pPr>
              <w:spacing w:before="0" w:line="240" w:lineRule="auto"/>
              <w:ind w:right="90"/>
              <w:textAlignment w:val="baseline"/>
              <w:rPr>
                <w:rFonts w:ascii="Calibri" w:eastAsia="Times New Roman" w:hAnsi="Calibri" w:cs="Calibri"/>
                <w:i/>
                <w:iCs/>
                <w:color w:val="000000"/>
                <w:sz w:val="22"/>
                <w:lang w:eastAsia="en-AU"/>
              </w:rPr>
            </w:pPr>
            <w:r w:rsidRPr="00813C4E">
              <w:rPr>
                <w:rFonts w:ascii="Calibri" w:eastAsia="Times New Roman" w:hAnsi="Calibri" w:cs="Calibri"/>
                <w:i/>
                <w:iCs/>
                <w:color w:val="000000"/>
                <w:sz w:val="22"/>
                <w:lang w:eastAsia="en-AU"/>
              </w:rPr>
              <w:t>National Greenhouse and Energy Reporting (Measurement) Determination 2008</w:t>
            </w:r>
          </w:p>
        </w:tc>
      </w:tr>
      <w:tr w:rsidR="00813C4E" w:rsidRPr="00813C4E" w14:paraId="4FD2DD92"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2D0111BA"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Prescribed carbon unit</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1D11D2DB"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Has the meaning given by section 22XM of the NGER Act, namely ACCUs and SMCs.</w:t>
            </w:r>
          </w:p>
        </w:tc>
      </w:tr>
      <w:tr w:rsidR="00813C4E" w:rsidRPr="00813C4E" w14:paraId="274A161D"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678B04DA"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Responsible emitter</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5B45FEBA"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The person with operational control of a facility (see further section 22XH of the NGER Act).</w:t>
            </w:r>
          </w:p>
        </w:tc>
      </w:tr>
      <w:tr w:rsidR="00813C4E" w:rsidRPr="00813C4E" w14:paraId="41072E17"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603F29A1"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Safeguard Mechanism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722CF02F"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A mechanism to ensure the net covered emissions of greenhouse gases from the operation of a designated large facility do not exceed the baseline applicable to the facility and ensure that aggregate net covered emissions from the operation of designated large facilities decline. The mechanism is established under Part 3H of the NGER Act. </w:t>
            </w:r>
          </w:p>
        </w:tc>
      </w:tr>
      <w:tr w:rsidR="00813C4E" w:rsidRPr="00813C4E" w14:paraId="1AF52231"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4B7FFB4D"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Safeguard Reforms Amendment Rules</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07D895BD" w14:textId="77777777" w:rsidR="00813C4E" w:rsidRPr="00813C4E" w:rsidRDefault="00813C4E" w:rsidP="00813C4E">
            <w:pPr>
              <w:spacing w:before="0" w:line="240" w:lineRule="auto"/>
              <w:ind w:right="90"/>
              <w:textAlignment w:val="baseline"/>
              <w:rPr>
                <w:rFonts w:ascii="Calibri" w:eastAsia="Calibri" w:hAnsi="Calibri" w:cs="Arial"/>
                <w:i/>
                <w:color w:val="000000"/>
                <w:sz w:val="22"/>
              </w:rPr>
            </w:pPr>
            <w:r w:rsidRPr="00813C4E">
              <w:rPr>
                <w:rFonts w:ascii="Calibri" w:eastAsia="Calibri" w:hAnsi="Calibri" w:cs="Arial"/>
                <w:iCs/>
                <w:color w:val="000000"/>
                <w:sz w:val="22"/>
              </w:rPr>
              <w:t xml:space="preserve">The </w:t>
            </w:r>
            <w:r w:rsidRPr="00813C4E">
              <w:rPr>
                <w:rFonts w:ascii="Calibri" w:eastAsia="Calibri" w:hAnsi="Calibri" w:cs="Arial"/>
                <w:i/>
                <w:color w:val="000000"/>
                <w:sz w:val="22"/>
              </w:rPr>
              <w:t>National Greenhouse and Energy Reporting (Safeguard Mechanism) Amendment (Reforms) Rules 2023</w:t>
            </w:r>
          </w:p>
        </w:tc>
      </w:tr>
      <w:tr w:rsidR="00813C4E" w:rsidRPr="00813C4E" w14:paraId="6FB6A9E6"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492D83EC"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Safeguard Rules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722AD191"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Calibri" w:hAnsi="Calibri" w:cs="Arial"/>
                <w:i/>
                <w:color w:val="000000"/>
                <w:sz w:val="22"/>
              </w:rPr>
              <w:t>National Greenhouse and Energy Reporting (Safeguard Mechanism) Rule 2015</w:t>
            </w:r>
          </w:p>
        </w:tc>
      </w:tr>
      <w:tr w:rsidR="00813C4E" w:rsidRPr="00813C4E" w14:paraId="57F5741F"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4DA0D111"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Safeguard emissions</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2D816466"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For a financial year, means the total amount in tonnes of carbon dioxide equivalence, of covered emissions from the operation, during the financial year, of all designated large facilities for the financial year, as defined in section 7 of the NGER Act.</w:t>
            </w:r>
          </w:p>
        </w:tc>
      </w:tr>
      <w:tr w:rsidR="00813C4E" w:rsidRPr="00813C4E" w14:paraId="1392DE93"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7E74A5A5"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Scope 1 emissions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5C03A9B8"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Emissions released to the atmosphere as a direct result of an activity, or series of activities at a facility level (sometimes referred to as direct emissions). </w:t>
            </w:r>
          </w:p>
        </w:tc>
      </w:tr>
      <w:tr w:rsidR="00813C4E" w:rsidRPr="00813C4E" w14:paraId="2A5EEEE5"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04716202"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SMCs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0CC98779"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Safeguard Mechanism Credit units, which are units issued under section 22XNA of the NGER Act.</w:t>
            </w:r>
          </w:p>
        </w:tc>
      </w:tr>
      <w:tr w:rsidR="00813C4E" w:rsidRPr="00813C4E" w14:paraId="7563CCE6"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16FF9B0A"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TEBA facilities</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66EB8BEC"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 xml:space="preserve">Trade-exposed baseline-adjusted facilities </w:t>
            </w:r>
          </w:p>
        </w:tc>
      </w:tr>
      <w:tr w:rsidR="00813C4E" w:rsidRPr="00813C4E" w14:paraId="3DC100E5"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10B8908A"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TEBA determination</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138DB0B6"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Trade-exposed baseline-adjusted determination</w:t>
            </w:r>
          </w:p>
        </w:tc>
      </w:tr>
      <w:tr w:rsidR="00813C4E" w:rsidRPr="00813C4E" w14:paraId="6B6DFAA0" w14:textId="77777777" w:rsidTr="001660A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304C35AC"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t>Trade exposed facilities</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76B3D136" w14:textId="77777777" w:rsidR="00813C4E" w:rsidRPr="00813C4E"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Calibri" w:hAnsi="Calibri" w:cs="Arial"/>
                <w:color w:val="000000"/>
                <w:sz w:val="22"/>
              </w:rPr>
              <w:t xml:space="preserve">Designated large facilities </w:t>
            </w:r>
            <w:r w:rsidRPr="00813C4E">
              <w:rPr>
                <w:rFonts w:ascii="Calibri" w:eastAsia="Times New Roman" w:hAnsi="Calibri" w:cs="Calibri"/>
                <w:color w:val="000000"/>
                <w:sz w:val="22"/>
                <w:lang w:eastAsia="en-AU"/>
              </w:rPr>
              <w:t xml:space="preserve">for </w:t>
            </w:r>
            <w:r w:rsidRPr="00813C4E">
              <w:rPr>
                <w:rFonts w:ascii="Calibri" w:eastAsia="Calibri" w:hAnsi="Calibri" w:cs="Arial"/>
                <w:color w:val="000000"/>
                <w:sz w:val="22"/>
              </w:rPr>
              <w:t xml:space="preserve">which </w:t>
            </w:r>
            <w:r w:rsidRPr="00813C4E">
              <w:rPr>
                <w:rFonts w:ascii="Calibri" w:eastAsia="Times New Roman" w:hAnsi="Calibri" w:cs="Calibri"/>
                <w:color w:val="000000"/>
                <w:sz w:val="22"/>
                <w:lang w:eastAsia="en-AU"/>
              </w:rPr>
              <w:t>the primary</w:t>
            </w:r>
            <w:r w:rsidRPr="00813C4E">
              <w:rPr>
                <w:rFonts w:ascii="Calibri" w:eastAsia="Calibri" w:hAnsi="Calibri" w:cs="Arial"/>
                <w:color w:val="000000"/>
                <w:sz w:val="22"/>
              </w:rPr>
              <w:t xml:space="preserve"> production </w:t>
            </w:r>
            <w:r w:rsidRPr="00813C4E">
              <w:rPr>
                <w:rFonts w:ascii="Calibri" w:eastAsia="Times New Roman" w:hAnsi="Calibri" w:cs="Calibri"/>
                <w:color w:val="000000"/>
                <w:sz w:val="22"/>
                <w:lang w:eastAsia="en-AU"/>
              </w:rPr>
              <w:t xml:space="preserve">variable </w:t>
            </w:r>
            <w:r w:rsidRPr="00813C4E">
              <w:rPr>
                <w:rFonts w:ascii="Calibri" w:eastAsia="Calibri" w:hAnsi="Calibri" w:cs="Arial"/>
                <w:color w:val="000000"/>
                <w:sz w:val="22"/>
              </w:rPr>
              <w:t>is listed in Schedule 2 of the Safeguard Rules, as amended</w:t>
            </w:r>
            <w:r w:rsidRPr="00813C4E">
              <w:rPr>
                <w:rFonts w:ascii="Calibri" w:eastAsia="Times New Roman" w:hAnsi="Calibri" w:cs="Calibri"/>
                <w:color w:val="000000"/>
                <w:sz w:val="22"/>
                <w:lang w:eastAsia="en-AU"/>
              </w:rPr>
              <w:t>. T</w:t>
            </w:r>
            <w:r w:rsidRPr="00813C4E">
              <w:rPr>
                <w:rFonts w:ascii="Calibri" w:eastAsia="Calibri" w:hAnsi="Calibri" w:cs="Arial"/>
                <w:color w:val="000000"/>
                <w:sz w:val="22"/>
              </w:rPr>
              <w:t>he primary production variable for a facility is the production variable that is most significant for its operation, having primary regard to the share of revenue and covered emissions attributable to that production variable.</w:t>
            </w:r>
          </w:p>
        </w:tc>
      </w:tr>
      <w:tr w:rsidR="00813C4E" w:rsidRPr="00813C4E" w:rsidDel="006F5235" w14:paraId="0A7F97FA" w14:textId="77777777" w:rsidTr="001660A2">
        <w:trPr>
          <w:cantSplit/>
          <w:trHeight w:val="63"/>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7534CF9F" w14:textId="77777777" w:rsidR="00813C4E" w:rsidRPr="00813C4E" w:rsidDel="006F5235" w:rsidRDefault="00813C4E" w:rsidP="00813C4E">
            <w:pPr>
              <w:spacing w:before="0" w:line="240" w:lineRule="auto"/>
              <w:ind w:right="90"/>
              <w:textAlignment w:val="baseline"/>
              <w:rPr>
                <w:rFonts w:ascii="Calibri" w:eastAsia="Times New Roman" w:hAnsi="Calibri" w:cs="Calibri"/>
                <w:color w:val="000000"/>
                <w:sz w:val="22"/>
                <w:lang w:eastAsia="en-AU"/>
              </w:rPr>
            </w:pPr>
            <w:r w:rsidRPr="00813C4E">
              <w:rPr>
                <w:rFonts w:ascii="Calibri" w:eastAsia="Times New Roman" w:hAnsi="Calibri" w:cs="Calibri"/>
                <w:color w:val="000000"/>
                <w:sz w:val="22"/>
                <w:lang w:eastAsia="en-AU"/>
              </w:rPr>
              <w:lastRenderedPageBreak/>
              <w:t>Transitional production variable</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060DFE93" w14:textId="77777777" w:rsidR="00813C4E" w:rsidRPr="00813C4E" w:rsidRDefault="00813C4E" w:rsidP="00813C4E">
            <w:pPr>
              <w:spacing w:before="0" w:line="240" w:lineRule="auto"/>
              <w:ind w:right="90"/>
              <w:textAlignment w:val="baseline"/>
              <w:rPr>
                <w:rFonts w:ascii="Calibri" w:eastAsia="Calibri" w:hAnsi="Calibri" w:cs="Arial"/>
                <w:color w:val="000000"/>
                <w:sz w:val="22"/>
                <w:shd w:val="clear" w:color="auto" w:fill="FFFFFF"/>
              </w:rPr>
            </w:pPr>
            <w:r w:rsidRPr="00813C4E">
              <w:rPr>
                <w:rFonts w:ascii="Calibri" w:eastAsia="Times New Roman" w:hAnsi="Calibri" w:cs="Calibri"/>
                <w:bCs/>
                <w:iCs/>
                <w:color w:val="000000"/>
                <w:sz w:val="22"/>
                <w:lang w:eastAsia="en-AU"/>
              </w:rPr>
              <w:t>Has the mean</w:t>
            </w:r>
            <w:r w:rsidRPr="00813C4E">
              <w:rPr>
                <w:rFonts w:ascii="Calibri" w:eastAsia="Calibri" w:hAnsi="Calibri" w:cs="Arial"/>
                <w:color w:val="000000"/>
                <w:sz w:val="22"/>
                <w:shd w:val="clear" w:color="auto" w:fill="FFFFFF"/>
              </w:rPr>
              <w:t>ing given in section 12(4) of the Safeguard Rules. i.e., transitional production variable, for a facility, is a production variable that:</w:t>
            </w:r>
          </w:p>
          <w:p w14:paraId="61EC11F6" w14:textId="77777777" w:rsidR="00813C4E" w:rsidRPr="00813C4E" w:rsidRDefault="00813C4E" w:rsidP="00B13A5D">
            <w:pPr>
              <w:numPr>
                <w:ilvl w:val="3"/>
                <w:numId w:val="15"/>
              </w:numPr>
              <w:spacing w:before="0" w:after="200" w:line="240" w:lineRule="auto"/>
              <w:ind w:left="360" w:right="90"/>
              <w:textAlignment w:val="baseline"/>
              <w:rPr>
                <w:rFonts w:ascii="Calibri" w:eastAsia="Calibri" w:hAnsi="Calibri" w:cs="Calibri"/>
                <w:color w:val="000000"/>
                <w:sz w:val="22"/>
                <w:shd w:val="clear" w:color="auto" w:fill="FFFFFF"/>
              </w:rPr>
            </w:pPr>
            <w:r w:rsidRPr="00813C4E">
              <w:rPr>
                <w:rFonts w:ascii="Calibri" w:eastAsia="Calibri" w:hAnsi="Calibri" w:cs="Calibri"/>
                <w:color w:val="000000"/>
                <w:sz w:val="22"/>
                <w:shd w:val="clear" w:color="auto" w:fill="FFFFFF"/>
              </w:rPr>
              <w:t xml:space="preserve">was not applicable to the facility, in accordance with Schedule 1, at any time during a historical financial year; and </w:t>
            </w:r>
          </w:p>
          <w:p w14:paraId="3879EBED" w14:textId="77777777" w:rsidR="00813C4E" w:rsidRPr="00813C4E" w:rsidRDefault="00813C4E" w:rsidP="00B13A5D">
            <w:pPr>
              <w:numPr>
                <w:ilvl w:val="3"/>
                <w:numId w:val="15"/>
              </w:numPr>
              <w:spacing w:before="0" w:after="200" w:line="240" w:lineRule="auto"/>
              <w:ind w:left="360" w:right="90"/>
              <w:textAlignment w:val="baseline"/>
              <w:rPr>
                <w:rFonts w:ascii="Calibri" w:eastAsia="Calibri" w:hAnsi="Calibri" w:cs="Calibri"/>
                <w:color w:val="000000"/>
                <w:sz w:val="22"/>
                <w:shd w:val="clear" w:color="auto" w:fill="FFFFFF"/>
              </w:rPr>
            </w:pPr>
            <w:r w:rsidRPr="00813C4E">
              <w:rPr>
                <w:rFonts w:ascii="Calibri" w:eastAsia="Calibri" w:hAnsi="Calibri" w:cs="Calibri"/>
                <w:color w:val="000000"/>
                <w:sz w:val="22"/>
                <w:shd w:val="clear" w:color="auto" w:fill="FFFFFF"/>
              </w:rPr>
              <w:t>was applicable to the facility, in accordance with Schedule 1, at a time during the financial year beginning on 1 July 2022; and</w:t>
            </w:r>
          </w:p>
          <w:p w14:paraId="385CA99B" w14:textId="77777777" w:rsidR="00813C4E" w:rsidRPr="00813C4E" w:rsidRDefault="00813C4E" w:rsidP="00B13A5D">
            <w:pPr>
              <w:numPr>
                <w:ilvl w:val="3"/>
                <w:numId w:val="15"/>
              </w:numPr>
              <w:spacing w:before="0" w:after="200" w:line="240" w:lineRule="auto"/>
              <w:ind w:left="360" w:right="90"/>
              <w:textAlignment w:val="baseline"/>
              <w:rPr>
                <w:rFonts w:ascii="Calibri" w:eastAsia="Calibri" w:hAnsi="Calibri" w:cs="Calibri"/>
                <w:color w:val="000000"/>
                <w:sz w:val="22"/>
                <w:shd w:val="clear" w:color="auto" w:fill="FFFFFF"/>
              </w:rPr>
            </w:pPr>
            <w:r w:rsidRPr="00813C4E">
              <w:rPr>
                <w:rFonts w:ascii="Calibri" w:eastAsia="Calibri" w:hAnsi="Calibri" w:cs="Calibri"/>
                <w:color w:val="000000"/>
                <w:sz w:val="22"/>
                <w:shd w:val="clear" w:color="auto" w:fill="FFFFFF"/>
              </w:rPr>
              <w:t xml:space="preserve">was not a non-commercial production variable for the facility for the financial year beginning on 1 July 2022. </w:t>
            </w:r>
          </w:p>
          <w:p w14:paraId="55E37639" w14:textId="77777777" w:rsidR="00813C4E" w:rsidRPr="00813C4E" w:rsidRDefault="00813C4E" w:rsidP="00813C4E">
            <w:pPr>
              <w:spacing w:before="0" w:line="240" w:lineRule="auto"/>
              <w:ind w:left="720"/>
              <w:rPr>
                <w:rFonts w:ascii="Calibri" w:eastAsia="Calibri" w:hAnsi="Calibri" w:cs="Calibri"/>
                <w:color w:val="000000"/>
                <w:sz w:val="22"/>
                <w:shd w:val="clear" w:color="auto" w:fill="FFFFFF"/>
              </w:rPr>
            </w:pPr>
          </w:p>
          <w:p w14:paraId="123B5D86" w14:textId="77777777" w:rsidR="00813C4E" w:rsidRPr="00813C4E" w:rsidDel="006F5235" w:rsidRDefault="00813C4E" w:rsidP="00813C4E">
            <w:pPr>
              <w:spacing w:before="0" w:after="200"/>
              <w:ind w:right="90"/>
              <w:textAlignment w:val="baseline"/>
              <w:rPr>
                <w:rFonts w:ascii="Calibri" w:eastAsia="Calibri" w:hAnsi="Calibri" w:cs="Arial"/>
                <w:color w:val="000000"/>
                <w:sz w:val="22"/>
                <w:shd w:val="clear" w:color="auto" w:fill="FFFFFF"/>
              </w:rPr>
            </w:pPr>
            <w:r w:rsidRPr="00813C4E">
              <w:rPr>
                <w:rFonts w:ascii="Calibri" w:eastAsia="Calibri" w:hAnsi="Calibri" w:cs="Arial"/>
                <w:color w:val="000000"/>
                <w:sz w:val="22"/>
                <w:shd w:val="clear" w:color="auto" w:fill="FFFFFF"/>
              </w:rPr>
              <w:t>A transitional production variable is used for calculating the facility’s baseline, and the facility-specific emissions intensity number is set to be equal to the default emissions intensity number for that production variable.</w:t>
            </w:r>
          </w:p>
        </w:tc>
      </w:tr>
    </w:tbl>
    <w:p w14:paraId="7A1565B5" w14:textId="77777777" w:rsidR="004C7222" w:rsidRPr="006000D3" w:rsidRDefault="004C7222" w:rsidP="00B13A5D"/>
    <w:p w14:paraId="21EBC019" w14:textId="77777777" w:rsidR="004C7222" w:rsidRPr="006000D3" w:rsidRDefault="004C7222" w:rsidP="004C7222">
      <w:pPr>
        <w:pStyle w:val="ListNumberDotted"/>
        <w:rPr>
          <w:rFonts w:cstheme="minorHAnsi"/>
          <w:color w:val="000000" w:themeColor="text1"/>
        </w:rPr>
      </w:pPr>
      <w:r w:rsidRPr="006000D3">
        <w:rPr>
          <w:rFonts w:cstheme="minorHAnsi"/>
          <w:color w:val="000000" w:themeColor="text1"/>
        </w:rPr>
        <w:t>Note that numbers in this document designated with an * have been rounded to a whole number. Values may not add to totals due to rounding.</w:t>
      </w:r>
    </w:p>
    <w:p w14:paraId="6C3555EC" w14:textId="77777777" w:rsidR="004C7222" w:rsidRPr="006000D3" w:rsidRDefault="004C7222" w:rsidP="004C7222">
      <w:pPr>
        <w:pStyle w:val="Heading2"/>
        <w:rPr>
          <w:rFonts w:asciiTheme="minorHAnsi" w:hAnsiTheme="minorHAnsi" w:cstheme="minorHAnsi"/>
          <w:sz w:val="22"/>
          <w:szCs w:val="22"/>
        </w:rPr>
      </w:pPr>
      <w:r w:rsidRPr="006000D3">
        <w:rPr>
          <w:rFonts w:asciiTheme="minorHAnsi" w:hAnsiTheme="minorHAnsi" w:cstheme="minorHAnsi"/>
          <w:sz w:val="22"/>
          <w:szCs w:val="22"/>
        </w:rPr>
        <w:t>Key legislative provisions</w:t>
      </w:r>
    </w:p>
    <w:p w14:paraId="552E2C94" w14:textId="77777777" w:rsidR="004C7222" w:rsidRPr="006000D3" w:rsidRDefault="004C7222" w:rsidP="004C7222">
      <w:pPr>
        <w:pStyle w:val="ListNumberDotted"/>
        <w:rPr>
          <w:rFonts w:cstheme="minorHAnsi"/>
          <w:color w:val="000000" w:themeColor="text1"/>
        </w:rPr>
      </w:pPr>
      <w:r w:rsidRPr="006000D3">
        <w:rPr>
          <w:rFonts w:cstheme="minorHAnsi"/>
          <w:color w:val="000000" w:themeColor="text1"/>
        </w:rPr>
        <w:t>Section 22XS of the NGER Act relevantly provides:</w:t>
      </w:r>
    </w:p>
    <w:p w14:paraId="67710EB1" w14:textId="77777777" w:rsidR="004C7222" w:rsidRPr="006000D3" w:rsidRDefault="004C7222" w:rsidP="004C7222">
      <w:pPr>
        <w:ind w:left="1363" w:hanging="643"/>
        <w:rPr>
          <w:rFonts w:asciiTheme="minorHAnsi" w:hAnsiTheme="minorHAnsi" w:cstheme="minorHAnsi"/>
          <w:color w:val="000000" w:themeColor="text1"/>
          <w:sz w:val="22"/>
        </w:rPr>
      </w:pPr>
      <w:r w:rsidRPr="006000D3">
        <w:rPr>
          <w:rFonts w:asciiTheme="minorHAnsi" w:hAnsiTheme="minorHAnsi" w:cstheme="minorHAnsi"/>
          <w:color w:val="000000" w:themeColor="text1"/>
          <w:sz w:val="22"/>
        </w:rPr>
        <w:t xml:space="preserve">(1A) </w:t>
      </w:r>
      <w:r w:rsidRPr="006000D3">
        <w:rPr>
          <w:rFonts w:asciiTheme="minorHAnsi" w:hAnsiTheme="minorHAnsi" w:cstheme="minorHAnsi"/>
          <w:color w:val="000000" w:themeColor="text1"/>
          <w:sz w:val="22"/>
        </w:rPr>
        <w:tab/>
        <w:t>The Minister must not make safeguard rules unless the Minister is satisfied that those rules:</w:t>
      </w:r>
    </w:p>
    <w:p w14:paraId="774D8FD6" w14:textId="77777777" w:rsidR="004C7222" w:rsidRPr="006000D3" w:rsidRDefault="004C7222" w:rsidP="00B13A5D">
      <w:pPr>
        <w:pStyle w:val="subsection"/>
        <w:numPr>
          <w:ilvl w:val="0"/>
          <w:numId w:val="16"/>
        </w:numPr>
        <w:spacing w:after="200"/>
        <w:ind w:left="1723"/>
        <w:rPr>
          <w:rFonts w:asciiTheme="minorHAnsi" w:hAnsiTheme="minorHAnsi" w:cstheme="minorHAnsi"/>
          <w:color w:val="000000" w:themeColor="text1"/>
        </w:rPr>
      </w:pPr>
      <w:r w:rsidRPr="006000D3">
        <w:rPr>
          <w:rFonts w:asciiTheme="minorHAnsi" w:hAnsiTheme="minorHAnsi" w:cstheme="minorHAnsi"/>
          <w:color w:val="000000" w:themeColor="text1"/>
        </w:rPr>
        <w:t xml:space="preserve">are consistent with each of the safeguard outcomes in paragraphs 3(2)(b), (c) and (d); and </w:t>
      </w:r>
    </w:p>
    <w:p w14:paraId="75940863" w14:textId="77777777" w:rsidR="004C7222" w:rsidRPr="006000D3" w:rsidRDefault="004C7222" w:rsidP="00B13A5D">
      <w:pPr>
        <w:pStyle w:val="subsection"/>
        <w:numPr>
          <w:ilvl w:val="0"/>
          <w:numId w:val="16"/>
        </w:numPr>
        <w:spacing w:after="200"/>
        <w:ind w:left="1723"/>
        <w:rPr>
          <w:rFonts w:asciiTheme="minorHAnsi" w:hAnsiTheme="minorHAnsi" w:cstheme="minorHAnsi"/>
          <w:color w:val="000000" w:themeColor="text1"/>
        </w:rPr>
      </w:pPr>
      <w:proofErr w:type="gramStart"/>
      <w:r w:rsidRPr="006000D3">
        <w:rPr>
          <w:rFonts w:asciiTheme="minorHAnsi" w:hAnsiTheme="minorHAnsi" w:cstheme="minorHAnsi"/>
          <w:color w:val="000000" w:themeColor="text1"/>
        </w:rPr>
        <w:t>take into account</w:t>
      </w:r>
      <w:proofErr w:type="gramEnd"/>
      <w:r w:rsidRPr="006000D3">
        <w:rPr>
          <w:rFonts w:asciiTheme="minorHAnsi" w:hAnsiTheme="minorHAnsi" w:cstheme="minorHAnsi"/>
          <w:color w:val="000000" w:themeColor="text1"/>
        </w:rPr>
        <w:t xml:space="preserve"> the safeguard outcomes in paragraphs 3(2)(e) and (f).</w:t>
      </w:r>
    </w:p>
    <w:p w14:paraId="4B12C3B6" w14:textId="77777777" w:rsidR="004C7222" w:rsidRPr="006000D3" w:rsidRDefault="004C7222" w:rsidP="004C7222">
      <w:pPr>
        <w:ind w:left="1363" w:hanging="643"/>
        <w:rPr>
          <w:rFonts w:asciiTheme="minorHAnsi" w:hAnsiTheme="minorHAnsi" w:cstheme="minorHAnsi"/>
          <w:color w:val="000000" w:themeColor="text1"/>
          <w:sz w:val="22"/>
        </w:rPr>
      </w:pPr>
      <w:r w:rsidRPr="006000D3">
        <w:rPr>
          <w:rFonts w:asciiTheme="minorHAnsi" w:hAnsiTheme="minorHAnsi" w:cstheme="minorHAnsi"/>
          <w:color w:val="000000" w:themeColor="text1"/>
          <w:sz w:val="22"/>
        </w:rPr>
        <w:t xml:space="preserve">(1B) </w:t>
      </w:r>
      <w:r w:rsidRPr="006000D3">
        <w:rPr>
          <w:rFonts w:asciiTheme="minorHAnsi" w:hAnsiTheme="minorHAnsi" w:cstheme="minorHAnsi"/>
          <w:color w:val="000000" w:themeColor="text1"/>
          <w:sz w:val="22"/>
        </w:rPr>
        <w:tab/>
        <w:t xml:space="preserve">If the Minister makes safeguard rules, the Minister must publish on the Department’s website the Minister’s reasons for being satisfied that the safeguard rules: </w:t>
      </w:r>
    </w:p>
    <w:p w14:paraId="29EAFFCD" w14:textId="77777777" w:rsidR="004C7222" w:rsidRPr="006000D3" w:rsidRDefault="004C7222" w:rsidP="00B13A5D">
      <w:pPr>
        <w:pStyle w:val="subsection"/>
        <w:numPr>
          <w:ilvl w:val="0"/>
          <w:numId w:val="16"/>
        </w:numPr>
        <w:spacing w:after="200"/>
        <w:ind w:left="1723"/>
        <w:rPr>
          <w:rFonts w:asciiTheme="minorHAnsi" w:hAnsiTheme="minorHAnsi" w:cstheme="minorHAnsi"/>
          <w:color w:val="000000" w:themeColor="text1"/>
        </w:rPr>
      </w:pPr>
      <w:r w:rsidRPr="006000D3">
        <w:rPr>
          <w:rFonts w:asciiTheme="minorHAnsi" w:hAnsiTheme="minorHAnsi" w:cstheme="minorHAnsi"/>
          <w:color w:val="000000" w:themeColor="text1"/>
        </w:rPr>
        <w:t>are consistent with each of the safeguard outcomes in paragraphs 3(2)(b), (c) and (d); and</w:t>
      </w:r>
    </w:p>
    <w:p w14:paraId="3764176B" w14:textId="77777777" w:rsidR="004C7222" w:rsidRPr="006000D3" w:rsidRDefault="004C7222" w:rsidP="00B13A5D">
      <w:pPr>
        <w:pStyle w:val="subsection"/>
        <w:numPr>
          <w:ilvl w:val="0"/>
          <w:numId w:val="16"/>
        </w:numPr>
        <w:spacing w:after="200"/>
        <w:ind w:left="1723"/>
        <w:rPr>
          <w:rFonts w:asciiTheme="minorHAnsi" w:hAnsiTheme="minorHAnsi" w:cstheme="minorHAnsi"/>
          <w:color w:val="000000" w:themeColor="text1"/>
        </w:rPr>
      </w:pPr>
      <w:proofErr w:type="gramStart"/>
      <w:r w:rsidRPr="006000D3">
        <w:rPr>
          <w:rFonts w:asciiTheme="minorHAnsi" w:hAnsiTheme="minorHAnsi" w:cstheme="minorHAnsi"/>
          <w:color w:val="000000" w:themeColor="text1"/>
        </w:rPr>
        <w:t>take into account</w:t>
      </w:r>
      <w:proofErr w:type="gramEnd"/>
      <w:r w:rsidRPr="006000D3">
        <w:rPr>
          <w:rFonts w:asciiTheme="minorHAnsi" w:hAnsiTheme="minorHAnsi" w:cstheme="minorHAnsi"/>
          <w:color w:val="000000" w:themeColor="text1"/>
        </w:rPr>
        <w:t xml:space="preserve"> the safeguard outcomes in paragraphs 3(2)(e) and (f).</w:t>
      </w:r>
    </w:p>
    <w:p w14:paraId="15E32357" w14:textId="77777777" w:rsidR="004C7222" w:rsidRPr="006000D3" w:rsidRDefault="004C7222" w:rsidP="004C7222">
      <w:pPr>
        <w:pStyle w:val="ListNumberDotted"/>
        <w:rPr>
          <w:rFonts w:cstheme="minorHAnsi"/>
          <w:color w:val="000000" w:themeColor="text1"/>
        </w:rPr>
      </w:pPr>
      <w:r w:rsidRPr="006000D3">
        <w:rPr>
          <w:rFonts w:cstheme="minorHAnsi"/>
          <w:color w:val="000000" w:themeColor="text1"/>
        </w:rPr>
        <w:t>Section 3(2) of the NGER Act sets out the safeguard outcomes as follows:</w:t>
      </w:r>
    </w:p>
    <w:p w14:paraId="45CF6E50" w14:textId="77777777" w:rsidR="004C7222" w:rsidRPr="006000D3" w:rsidRDefault="004C7222" w:rsidP="004C7222">
      <w:pPr>
        <w:pStyle w:val="subsection"/>
        <w:spacing w:after="200"/>
        <w:ind w:left="1440" w:hanging="731"/>
        <w:rPr>
          <w:rFonts w:asciiTheme="minorHAnsi" w:hAnsiTheme="minorHAnsi" w:cstheme="minorHAnsi"/>
          <w:color w:val="000000" w:themeColor="text1"/>
        </w:rPr>
      </w:pPr>
      <w:r w:rsidRPr="006000D3">
        <w:rPr>
          <w:rFonts w:asciiTheme="minorHAnsi" w:hAnsiTheme="minorHAnsi" w:cstheme="minorHAnsi"/>
          <w:color w:val="000000" w:themeColor="text1"/>
        </w:rPr>
        <w:t xml:space="preserve"> (2) </w:t>
      </w:r>
      <w:r w:rsidRPr="006000D3" w:rsidDel="00EB53F7">
        <w:rPr>
          <w:rFonts w:asciiTheme="minorHAnsi" w:hAnsiTheme="minorHAnsi" w:cstheme="minorHAnsi"/>
          <w:color w:val="000000" w:themeColor="text1"/>
        </w:rPr>
        <w:tab/>
      </w:r>
      <w:r w:rsidRPr="006000D3">
        <w:rPr>
          <w:rFonts w:asciiTheme="minorHAnsi" w:hAnsiTheme="minorHAnsi" w:cstheme="minorHAnsi"/>
          <w:color w:val="000000" w:themeColor="text1"/>
        </w:rPr>
        <w:t xml:space="preserve">The second object of this Act is to contribute to the achievement of Australia’s greenhouse gas emissions reduction targets by ensuring that each of the following outcomes (the </w:t>
      </w:r>
      <w:r w:rsidRPr="006000D3">
        <w:rPr>
          <w:rFonts w:asciiTheme="minorHAnsi" w:hAnsiTheme="minorHAnsi" w:cstheme="minorHAnsi"/>
          <w:b/>
          <w:i/>
          <w:color w:val="000000" w:themeColor="text1"/>
        </w:rPr>
        <w:t>safeguard outcomes</w:t>
      </w:r>
      <w:r w:rsidRPr="006000D3">
        <w:rPr>
          <w:rFonts w:asciiTheme="minorHAnsi" w:hAnsiTheme="minorHAnsi" w:cstheme="minorHAnsi"/>
          <w:color w:val="000000" w:themeColor="text1"/>
        </w:rPr>
        <w:t>) are achieved:</w:t>
      </w:r>
    </w:p>
    <w:p w14:paraId="41C7C542" w14:textId="77777777" w:rsidR="004C7222" w:rsidRPr="006000D3" w:rsidRDefault="004C7222" w:rsidP="00B13A5D">
      <w:pPr>
        <w:pStyle w:val="subsection"/>
        <w:numPr>
          <w:ilvl w:val="0"/>
          <w:numId w:val="17"/>
        </w:numPr>
        <w:spacing w:after="200"/>
        <w:rPr>
          <w:rFonts w:asciiTheme="minorHAnsi" w:hAnsiTheme="minorHAnsi" w:cstheme="minorHAnsi"/>
          <w:color w:val="000000" w:themeColor="text1"/>
        </w:rPr>
      </w:pPr>
      <w:r w:rsidRPr="006000D3">
        <w:rPr>
          <w:rFonts w:asciiTheme="minorHAnsi" w:hAnsiTheme="minorHAnsi" w:cstheme="minorHAnsi"/>
          <w:color w:val="000000" w:themeColor="text1"/>
        </w:rPr>
        <w:t xml:space="preserve">net covered emissions of greenhouse gases from the operation of a designated large facility do not exceed the baseline applicable to the </w:t>
      </w:r>
      <w:proofErr w:type="gramStart"/>
      <w:r w:rsidRPr="006000D3">
        <w:rPr>
          <w:rFonts w:asciiTheme="minorHAnsi" w:hAnsiTheme="minorHAnsi" w:cstheme="minorHAnsi"/>
          <w:color w:val="000000" w:themeColor="text1"/>
        </w:rPr>
        <w:t>facility;</w:t>
      </w:r>
      <w:proofErr w:type="gramEnd"/>
    </w:p>
    <w:p w14:paraId="27E758C8" w14:textId="77777777" w:rsidR="004C7222" w:rsidRPr="006000D3" w:rsidRDefault="004C7222" w:rsidP="00B13A5D">
      <w:pPr>
        <w:pStyle w:val="subsection"/>
        <w:numPr>
          <w:ilvl w:val="0"/>
          <w:numId w:val="17"/>
        </w:numPr>
        <w:spacing w:after="200"/>
        <w:rPr>
          <w:rFonts w:asciiTheme="minorHAnsi" w:hAnsiTheme="minorHAnsi" w:cstheme="minorHAnsi"/>
          <w:color w:val="000000" w:themeColor="text1"/>
        </w:rPr>
      </w:pPr>
      <w:r w:rsidRPr="006000D3">
        <w:rPr>
          <w:rFonts w:asciiTheme="minorHAnsi" w:hAnsiTheme="minorHAnsi" w:cstheme="minorHAnsi"/>
          <w:color w:val="000000" w:themeColor="text1"/>
        </w:rPr>
        <w:lastRenderedPageBreak/>
        <w:t xml:space="preserve">total net safeguard emissions for all of the financial years between 1 July 2020 and 30 June 2030 do not exceed a total of 1,233 million tonnes of carbon dioxide </w:t>
      </w:r>
      <w:proofErr w:type="gramStart"/>
      <w:r w:rsidRPr="006000D3">
        <w:rPr>
          <w:rFonts w:asciiTheme="minorHAnsi" w:hAnsiTheme="minorHAnsi" w:cstheme="minorHAnsi"/>
          <w:color w:val="000000" w:themeColor="text1"/>
        </w:rPr>
        <w:t>equivalence;</w:t>
      </w:r>
      <w:proofErr w:type="gramEnd"/>
    </w:p>
    <w:p w14:paraId="7145C865" w14:textId="77777777" w:rsidR="004C7222" w:rsidRPr="006000D3" w:rsidRDefault="004C7222" w:rsidP="00B13A5D">
      <w:pPr>
        <w:pStyle w:val="paragraph"/>
        <w:numPr>
          <w:ilvl w:val="0"/>
          <w:numId w:val="17"/>
        </w:numPr>
        <w:rPr>
          <w:rFonts w:asciiTheme="minorHAnsi" w:hAnsiTheme="minorHAnsi" w:cstheme="minorHAnsi"/>
          <w:color w:val="000000" w:themeColor="text1"/>
        </w:rPr>
      </w:pPr>
      <w:r w:rsidRPr="006000D3">
        <w:rPr>
          <w:rFonts w:asciiTheme="minorHAnsi" w:hAnsiTheme="minorHAnsi" w:cstheme="minorHAnsi"/>
          <w:color w:val="000000" w:themeColor="text1"/>
        </w:rPr>
        <w:t>net safeguard emissions decline to:</w:t>
      </w:r>
    </w:p>
    <w:p w14:paraId="1D25BF6F" w14:textId="77777777" w:rsidR="004C7222" w:rsidRPr="006000D3" w:rsidRDefault="004C7222" w:rsidP="00B13A5D">
      <w:pPr>
        <w:pStyle w:val="paragraphsub"/>
        <w:numPr>
          <w:ilvl w:val="1"/>
          <w:numId w:val="17"/>
        </w:numPr>
        <w:rPr>
          <w:rFonts w:asciiTheme="minorHAnsi" w:hAnsiTheme="minorHAnsi" w:cstheme="minorHAnsi"/>
          <w:color w:val="000000" w:themeColor="text1"/>
          <w:szCs w:val="22"/>
        </w:rPr>
      </w:pPr>
      <w:r w:rsidRPr="006000D3">
        <w:rPr>
          <w:rFonts w:asciiTheme="minorHAnsi" w:hAnsiTheme="minorHAnsi" w:cstheme="minorHAnsi"/>
          <w:color w:val="000000" w:themeColor="text1"/>
          <w:szCs w:val="22"/>
        </w:rPr>
        <w:t>no more than 100 million tonnes of carbon dioxide equivalence for the financial year beginning on 1 July 2029; and</w:t>
      </w:r>
    </w:p>
    <w:p w14:paraId="4C2DB8CD" w14:textId="77777777" w:rsidR="004C7222" w:rsidRPr="006000D3" w:rsidRDefault="004C7222" w:rsidP="00B13A5D">
      <w:pPr>
        <w:pStyle w:val="paragraphsub"/>
        <w:numPr>
          <w:ilvl w:val="1"/>
          <w:numId w:val="17"/>
        </w:numPr>
        <w:rPr>
          <w:rFonts w:asciiTheme="minorHAnsi" w:hAnsiTheme="minorHAnsi" w:cstheme="minorHAnsi"/>
          <w:color w:val="000000" w:themeColor="text1"/>
          <w:szCs w:val="22"/>
        </w:rPr>
      </w:pPr>
      <w:r w:rsidRPr="006000D3">
        <w:rPr>
          <w:rFonts w:asciiTheme="minorHAnsi" w:hAnsiTheme="minorHAnsi" w:cstheme="minorHAnsi"/>
          <w:color w:val="000000" w:themeColor="text1"/>
          <w:szCs w:val="22"/>
        </w:rPr>
        <w:t xml:space="preserve">zero for any financial year to begin after 30 June </w:t>
      </w:r>
      <w:proofErr w:type="gramStart"/>
      <w:r w:rsidRPr="006000D3">
        <w:rPr>
          <w:rFonts w:asciiTheme="minorHAnsi" w:hAnsiTheme="minorHAnsi" w:cstheme="minorHAnsi"/>
          <w:color w:val="000000" w:themeColor="text1"/>
          <w:szCs w:val="22"/>
        </w:rPr>
        <w:t>2049;</w:t>
      </w:r>
      <w:proofErr w:type="gramEnd"/>
    </w:p>
    <w:p w14:paraId="11176226" w14:textId="77777777" w:rsidR="004C7222" w:rsidRPr="006000D3" w:rsidRDefault="004C7222" w:rsidP="00B13A5D">
      <w:pPr>
        <w:pStyle w:val="subsection"/>
        <w:numPr>
          <w:ilvl w:val="0"/>
          <w:numId w:val="17"/>
        </w:numPr>
        <w:spacing w:after="200"/>
        <w:rPr>
          <w:rFonts w:asciiTheme="minorHAnsi" w:hAnsiTheme="minorHAnsi" w:cstheme="minorHAnsi"/>
          <w:color w:val="000000" w:themeColor="text1"/>
        </w:rPr>
      </w:pPr>
      <w:r w:rsidRPr="006000D3">
        <w:rPr>
          <w:rFonts w:asciiTheme="minorHAnsi" w:hAnsiTheme="minorHAnsi" w:cstheme="minorHAnsi"/>
          <w:color w:val="000000" w:themeColor="text1"/>
        </w:rPr>
        <w:t>the 5</w:t>
      </w:r>
      <w:r w:rsidRPr="006000D3">
        <w:rPr>
          <w:rFonts w:asciiTheme="minorHAnsi" w:hAnsiTheme="minorHAnsi" w:cstheme="minorHAnsi"/>
          <w:color w:val="000000" w:themeColor="text1"/>
        </w:rPr>
        <w:noBreakHyphen/>
        <w:t>year rolling average safeguard emissions for each financial year that begins after 30 June 2024 are lower than the past 5</w:t>
      </w:r>
      <w:r w:rsidRPr="006000D3">
        <w:rPr>
          <w:rFonts w:asciiTheme="minorHAnsi" w:hAnsiTheme="minorHAnsi" w:cstheme="minorHAnsi"/>
          <w:color w:val="000000" w:themeColor="text1"/>
        </w:rPr>
        <w:noBreakHyphen/>
        <w:t xml:space="preserve">year rolling average safeguard emissions for that financial </w:t>
      </w:r>
      <w:proofErr w:type="gramStart"/>
      <w:r w:rsidRPr="006000D3">
        <w:rPr>
          <w:rFonts w:asciiTheme="minorHAnsi" w:hAnsiTheme="minorHAnsi" w:cstheme="minorHAnsi"/>
          <w:color w:val="000000" w:themeColor="text1"/>
        </w:rPr>
        <w:t>year;</w:t>
      </w:r>
      <w:proofErr w:type="gramEnd"/>
    </w:p>
    <w:p w14:paraId="491CFED5" w14:textId="77777777" w:rsidR="004C7222" w:rsidRPr="006000D3" w:rsidRDefault="004C7222" w:rsidP="00B13A5D">
      <w:pPr>
        <w:pStyle w:val="subsection"/>
        <w:numPr>
          <w:ilvl w:val="0"/>
          <w:numId w:val="17"/>
        </w:numPr>
        <w:spacing w:after="200"/>
        <w:rPr>
          <w:rFonts w:asciiTheme="minorHAnsi" w:hAnsiTheme="minorHAnsi" w:cstheme="minorHAnsi"/>
          <w:color w:val="000000" w:themeColor="text1"/>
        </w:rPr>
      </w:pPr>
      <w:r w:rsidRPr="006000D3">
        <w:rPr>
          <w:rFonts w:asciiTheme="minorHAnsi" w:hAnsiTheme="minorHAnsi" w:cstheme="minorHAnsi"/>
          <w:color w:val="000000" w:themeColor="text1"/>
        </w:rPr>
        <w:t xml:space="preserve">the responsible emitter for each designated large facility has a material incentive to invest in reducing covered emissions from the operation of the </w:t>
      </w:r>
      <w:proofErr w:type="gramStart"/>
      <w:r w:rsidRPr="006000D3">
        <w:rPr>
          <w:rFonts w:asciiTheme="minorHAnsi" w:hAnsiTheme="minorHAnsi" w:cstheme="minorHAnsi"/>
          <w:color w:val="000000" w:themeColor="text1"/>
        </w:rPr>
        <w:t>facility;</w:t>
      </w:r>
      <w:proofErr w:type="gramEnd"/>
    </w:p>
    <w:p w14:paraId="7868FF9A" w14:textId="77777777" w:rsidR="004C7222" w:rsidRPr="006000D3" w:rsidRDefault="004C7222" w:rsidP="00B13A5D">
      <w:pPr>
        <w:pStyle w:val="subsection"/>
        <w:numPr>
          <w:ilvl w:val="0"/>
          <w:numId w:val="17"/>
        </w:numPr>
        <w:spacing w:after="200"/>
        <w:rPr>
          <w:rFonts w:asciiTheme="minorHAnsi" w:hAnsiTheme="minorHAnsi" w:cstheme="minorHAnsi"/>
          <w:color w:val="000000" w:themeColor="text1"/>
        </w:rPr>
      </w:pPr>
      <w:r w:rsidRPr="006000D3">
        <w:rPr>
          <w:rFonts w:asciiTheme="minorHAnsi" w:hAnsiTheme="minorHAnsi" w:cstheme="minorHAnsi"/>
          <w:color w:val="000000" w:themeColor="text1"/>
        </w:rPr>
        <w:t>the competitiveness of trade-exposed industries is appropriately supported as Australia and its regions seize the opportunities of the move to a global net zero economy.</w:t>
      </w:r>
    </w:p>
    <w:p w14:paraId="6F22A90F" w14:textId="77777777" w:rsidR="004C7222" w:rsidRPr="006000D3" w:rsidRDefault="004C7222" w:rsidP="004C7222">
      <w:pPr>
        <w:pStyle w:val="subsection"/>
        <w:spacing w:after="200"/>
        <w:ind w:left="1069" w:firstLine="0"/>
        <w:rPr>
          <w:rFonts w:asciiTheme="minorHAnsi" w:hAnsiTheme="minorHAnsi" w:cstheme="minorHAnsi"/>
          <w:color w:val="000000" w:themeColor="text1"/>
        </w:rPr>
      </w:pPr>
    </w:p>
    <w:p w14:paraId="1FBC96DE" w14:textId="77777777" w:rsidR="004C7222" w:rsidRPr="006000D3" w:rsidRDefault="004C7222" w:rsidP="004C7222">
      <w:pPr>
        <w:pStyle w:val="Heading2"/>
        <w:rPr>
          <w:rFonts w:asciiTheme="minorHAnsi" w:hAnsiTheme="minorHAnsi" w:cstheme="minorHAnsi"/>
          <w:sz w:val="22"/>
          <w:szCs w:val="22"/>
        </w:rPr>
      </w:pPr>
      <w:r w:rsidRPr="006000D3">
        <w:rPr>
          <w:rFonts w:asciiTheme="minorHAnsi" w:hAnsiTheme="minorHAnsi" w:cstheme="minorHAnsi"/>
          <w:sz w:val="22"/>
          <w:szCs w:val="22"/>
        </w:rPr>
        <w:t>Background</w:t>
      </w:r>
    </w:p>
    <w:p w14:paraId="20F48437" w14:textId="77777777" w:rsidR="004C7222" w:rsidRPr="006000D3" w:rsidRDefault="004C7222" w:rsidP="004C7222">
      <w:pPr>
        <w:pStyle w:val="Heading4"/>
        <w:rPr>
          <w:rFonts w:asciiTheme="minorHAnsi" w:hAnsiTheme="minorHAnsi" w:cstheme="minorHAnsi"/>
          <w:color w:val="000000" w:themeColor="text1"/>
          <w:sz w:val="22"/>
          <w:szCs w:val="22"/>
        </w:rPr>
      </w:pPr>
      <w:r w:rsidRPr="006000D3">
        <w:rPr>
          <w:rFonts w:asciiTheme="minorHAnsi" w:hAnsiTheme="minorHAnsi" w:cstheme="minorHAnsi"/>
          <w:color w:val="000000" w:themeColor="text1"/>
          <w:sz w:val="22"/>
          <w:szCs w:val="22"/>
        </w:rPr>
        <w:t xml:space="preserve">Reform to the Safeguard Mechanism </w:t>
      </w:r>
    </w:p>
    <w:p w14:paraId="5F80E2FB" w14:textId="77777777" w:rsidR="004C7222" w:rsidRPr="006000D3" w:rsidRDefault="004C7222" w:rsidP="004C7222">
      <w:pPr>
        <w:pStyle w:val="ListNumberDotted"/>
        <w:rPr>
          <w:rFonts w:cstheme="minorHAnsi"/>
          <w:color w:val="000000" w:themeColor="text1"/>
        </w:rPr>
      </w:pPr>
      <w:r w:rsidRPr="006000D3">
        <w:rPr>
          <w:rFonts w:cstheme="minorHAnsi"/>
          <w:color w:val="000000" w:themeColor="text1"/>
        </w:rPr>
        <w:t>The NGER Act establishes a single national framework for reporting and disseminating company information about greenhouse gas emissions, energy production, energy consumption and other information. The Safeguard Mechanism is established under Part 3H of the Act. Together with the reporting obligations under the Act, the Safeguard Mechanism provides a framework for Australia’s largest industrial emitters to measure, report and manage their emissions.</w:t>
      </w:r>
    </w:p>
    <w:p w14:paraId="6E90AF71" w14:textId="77777777" w:rsidR="004C7222" w:rsidRPr="006000D3" w:rsidRDefault="004C7222" w:rsidP="004C7222">
      <w:pPr>
        <w:pStyle w:val="ListNumberDotted"/>
        <w:rPr>
          <w:rFonts w:cstheme="minorHAnsi"/>
          <w:color w:val="000000" w:themeColor="text1"/>
        </w:rPr>
      </w:pPr>
      <w:r w:rsidRPr="006000D3">
        <w:rPr>
          <w:rFonts w:cstheme="minorHAnsi"/>
          <w:color w:val="000000" w:themeColor="text1"/>
        </w:rPr>
        <w:t>The Safeguard Mechanism provides a legislated framework that limits the net covered emissions of around 215 large industrial facilities—those with more than 100,000 tonnes of scope 1 (direct) carbon dioxide equivalent (CO</w:t>
      </w:r>
      <w:r w:rsidRPr="006000D3">
        <w:rPr>
          <w:rFonts w:cstheme="minorHAnsi"/>
          <w:color w:val="000000" w:themeColor="text1"/>
          <w:vertAlign w:val="subscript"/>
        </w:rPr>
        <w:t>2</w:t>
      </w:r>
      <w:r w:rsidRPr="006000D3">
        <w:rPr>
          <w:rFonts w:cstheme="minorHAnsi"/>
          <w:color w:val="000000" w:themeColor="text1"/>
        </w:rPr>
        <w:t>-e) emissions each year (‘designated large facilities’ under s 22XJ of the NGER Act). Each year, every designated large facility needs to prove that their net covered emissions for that year are equal to or below their baseline. Each designated large facility reports their emissions to the Clean Energy Regulator, which publishes the results on its website.</w:t>
      </w:r>
    </w:p>
    <w:p w14:paraId="3FA77058" w14:textId="77777777" w:rsidR="004C7222" w:rsidRPr="006000D3" w:rsidRDefault="004C7222" w:rsidP="004C7222">
      <w:pPr>
        <w:pStyle w:val="ListNumberDotted"/>
        <w:rPr>
          <w:rFonts w:cstheme="minorHAnsi"/>
          <w:color w:val="000000" w:themeColor="text1"/>
        </w:rPr>
      </w:pPr>
      <w:r w:rsidRPr="006000D3">
        <w:rPr>
          <w:rFonts w:cstheme="minorHAnsi"/>
          <w:color w:val="000000" w:themeColor="text1"/>
        </w:rPr>
        <w:t>Since</w:t>
      </w:r>
      <w:r w:rsidRPr="006000D3" w:rsidDel="003D65B6">
        <w:rPr>
          <w:rFonts w:cstheme="minorHAnsi"/>
          <w:color w:val="000000" w:themeColor="text1"/>
        </w:rPr>
        <w:t xml:space="preserve"> </w:t>
      </w:r>
      <w:r w:rsidRPr="006000D3">
        <w:rPr>
          <w:rFonts w:cstheme="minorHAnsi"/>
          <w:color w:val="000000" w:themeColor="text1"/>
        </w:rPr>
        <w:t>the Safeguard Mechanism commenced on 1 July 2016, reported covered emissions from designated large facilities grew over 4 per cent from 131.3 Mt CO</w:t>
      </w:r>
      <w:r w:rsidRPr="006000D3">
        <w:rPr>
          <w:rFonts w:cstheme="minorHAnsi"/>
          <w:color w:val="000000" w:themeColor="text1"/>
          <w:vertAlign w:val="subscript"/>
        </w:rPr>
        <w:t>2</w:t>
      </w:r>
      <w:r w:rsidRPr="006000D3">
        <w:rPr>
          <w:rFonts w:cstheme="minorHAnsi"/>
          <w:color w:val="000000" w:themeColor="text1"/>
        </w:rPr>
        <w:t>-e in 2016-17 to 137.5 Mt CO</w:t>
      </w:r>
      <w:r w:rsidRPr="006000D3">
        <w:rPr>
          <w:rFonts w:cstheme="minorHAnsi"/>
          <w:color w:val="000000" w:themeColor="text1"/>
          <w:vertAlign w:val="subscript"/>
        </w:rPr>
        <w:t>2</w:t>
      </w:r>
      <w:r w:rsidRPr="006000D3">
        <w:rPr>
          <w:rFonts w:cstheme="minorHAnsi"/>
          <w:color w:val="000000" w:themeColor="text1"/>
        </w:rPr>
        <w:t>-e in 2021-22</w:t>
      </w:r>
      <w:r w:rsidRPr="006000D3">
        <w:rPr>
          <w:rStyle w:val="FootnoteReference"/>
          <w:rFonts w:cstheme="minorHAnsi"/>
          <w:color w:val="000000" w:themeColor="text1"/>
        </w:rPr>
        <w:footnoteReference w:id="6"/>
      </w:r>
      <w:r w:rsidRPr="006000D3">
        <w:rPr>
          <w:rFonts w:cstheme="minorHAnsi"/>
          <w:color w:val="000000" w:themeColor="text1"/>
        </w:rPr>
        <w:t xml:space="preserve"> </w:t>
      </w:r>
    </w:p>
    <w:p w14:paraId="158DC832" w14:textId="77777777" w:rsidR="004C7222" w:rsidRPr="006000D3" w:rsidRDefault="004C7222" w:rsidP="004C7222">
      <w:pPr>
        <w:pStyle w:val="ListNumberDotted"/>
        <w:rPr>
          <w:rFonts w:cstheme="minorHAnsi"/>
          <w:color w:val="000000" w:themeColor="text1"/>
        </w:rPr>
      </w:pPr>
      <w:r w:rsidRPr="006000D3">
        <w:rPr>
          <w:rFonts w:cstheme="minorHAnsi"/>
          <w:color w:val="000000" w:themeColor="text1"/>
        </w:rPr>
        <w:lastRenderedPageBreak/>
        <w:t>Under the Paris Agreement, to which Australia is a Party, Parties are required to communicate their Nationally Determined Contribution (NDC) which sets out their emissions reduction commitments. On 16 June 2022, Australia communicated its updated NDC under Article 4 of the Paris Agreement to the United Nations.</w:t>
      </w:r>
      <w:r w:rsidRPr="006000D3">
        <w:rPr>
          <w:rStyle w:val="FootnoteReference"/>
          <w:rFonts w:cstheme="minorHAnsi"/>
          <w:color w:val="000000" w:themeColor="text1"/>
        </w:rPr>
        <w:footnoteReference w:id="7"/>
      </w:r>
      <w:r w:rsidRPr="006000D3">
        <w:rPr>
          <w:rFonts w:cstheme="minorHAnsi"/>
          <w:color w:val="000000" w:themeColor="text1"/>
        </w:rPr>
        <w:t xml:space="preserve"> This updated NDC included confirmation of Australia’s commitment to achieve net zero emissions by 2050, and a new, increased 2030 target of 43 per cent below 2005 levels by 2030. The </w:t>
      </w:r>
      <w:r w:rsidRPr="006000D3">
        <w:rPr>
          <w:rFonts w:cstheme="minorHAnsi"/>
          <w:i/>
          <w:iCs/>
          <w:color w:val="000000" w:themeColor="text1"/>
        </w:rPr>
        <w:t>Climate Change Act 2022</w:t>
      </w:r>
      <w:r w:rsidRPr="006000D3">
        <w:rPr>
          <w:rFonts w:cstheme="minorHAnsi"/>
          <w:color w:val="000000" w:themeColor="text1"/>
        </w:rPr>
        <w:t xml:space="preserve"> prescribes these commitments into Australian law.</w:t>
      </w:r>
    </w:p>
    <w:p w14:paraId="7B45F30A" w14:textId="77777777" w:rsidR="004C7222" w:rsidRPr="006000D3" w:rsidRDefault="004C7222" w:rsidP="004C7222">
      <w:pPr>
        <w:pStyle w:val="ListNumberDotted"/>
        <w:rPr>
          <w:rFonts w:cstheme="minorHAnsi"/>
          <w:color w:val="000000" w:themeColor="text1"/>
        </w:rPr>
      </w:pPr>
      <w:r w:rsidRPr="006000D3">
        <w:rPr>
          <w:rFonts w:cstheme="minorHAnsi"/>
          <w:color w:val="000000" w:themeColor="text1"/>
        </w:rPr>
        <w:t xml:space="preserve">On 30 March 2023, Parliament passed the Safeguard Mechanism (Crediting) Amendment Bill 2023. It amended the NGER Act and other legislation, to establish the framework to give effect to key elements of the reforms, such as introducing SMCs to the scheme to provide an incentive to facilities to go beyond their baselines. Much of the detail of the Safeguard Mechanism is set out in legislative rules, primarily the Safeguard Rules.  </w:t>
      </w:r>
    </w:p>
    <w:p w14:paraId="4589AE69" w14:textId="77777777" w:rsidR="004C7222" w:rsidRPr="006000D3" w:rsidRDefault="004C7222" w:rsidP="004C7222">
      <w:pPr>
        <w:pStyle w:val="ListNumberDotted"/>
        <w:rPr>
          <w:rFonts w:cstheme="minorHAnsi"/>
          <w:color w:val="000000" w:themeColor="text1"/>
        </w:rPr>
      </w:pPr>
      <w:r w:rsidRPr="006000D3">
        <w:rPr>
          <w:rFonts w:cstheme="minorHAnsi"/>
          <w:color w:val="000000" w:themeColor="text1"/>
        </w:rPr>
        <w:t xml:space="preserve">On 3 May 2023, I </w:t>
      </w:r>
      <w:proofErr w:type="gramStart"/>
      <w:r w:rsidRPr="006000D3">
        <w:rPr>
          <w:rFonts w:cstheme="minorHAnsi"/>
          <w:color w:val="000000" w:themeColor="text1"/>
        </w:rPr>
        <w:t>made a decision</w:t>
      </w:r>
      <w:proofErr w:type="gramEnd"/>
      <w:r w:rsidRPr="006000D3">
        <w:rPr>
          <w:rFonts w:cstheme="minorHAnsi"/>
          <w:color w:val="000000" w:themeColor="text1"/>
        </w:rPr>
        <w:t xml:space="preserve"> to amend the Safeguard Rules to reduce emissions consistent with the legislated targets. The amendments made by the </w:t>
      </w:r>
      <w:r w:rsidRPr="006000D3">
        <w:rPr>
          <w:rFonts w:cstheme="minorHAnsi"/>
          <w:i/>
          <w:color w:val="000000" w:themeColor="text1"/>
        </w:rPr>
        <w:t xml:space="preserve">National Greenhouse and Energy Reporting (Safeguard Mechanism) Amendment (Reforms) Rules 2023 </w:t>
      </w:r>
      <w:r w:rsidRPr="006000D3">
        <w:rPr>
          <w:rFonts w:cstheme="minorHAnsi"/>
          <w:color w:val="000000" w:themeColor="text1"/>
        </w:rPr>
        <w:t>(</w:t>
      </w:r>
      <w:r w:rsidRPr="006000D3">
        <w:rPr>
          <w:rFonts w:eastAsia="Times New Roman" w:cstheme="minorHAnsi"/>
          <w:color w:val="000000" w:themeColor="text1"/>
          <w:lang w:eastAsia="en-AU"/>
        </w:rPr>
        <w:t>Safeguard Reforms Amendment Rules)</w:t>
      </w:r>
      <w:r w:rsidRPr="006000D3" w:rsidDel="009D2AA7">
        <w:rPr>
          <w:rFonts w:cstheme="minorHAnsi"/>
          <w:color w:val="000000" w:themeColor="text1"/>
        </w:rPr>
        <w:t xml:space="preserve"> </w:t>
      </w:r>
      <w:r w:rsidRPr="006000D3">
        <w:rPr>
          <w:rFonts w:cstheme="minorHAnsi"/>
          <w:color w:val="000000" w:themeColor="text1"/>
        </w:rPr>
        <w:t xml:space="preserve">were to support industry to reduce emissions efficiently, and to help them maintain competitiveness as the global economy decarbonises. On the same day, I gave my reasons for being satisfied that the Safeguard Rules as amended by Safeguard Reforms Amendment Rules </w:t>
      </w:r>
      <w:r w:rsidRPr="006000D3">
        <w:rPr>
          <w:rFonts w:cstheme="minorHAnsi"/>
          <w:iCs/>
          <w:color w:val="000000" w:themeColor="text1"/>
        </w:rPr>
        <w:t xml:space="preserve">are </w:t>
      </w:r>
      <w:r w:rsidRPr="006000D3">
        <w:rPr>
          <w:rFonts w:cstheme="minorHAnsi"/>
          <w:color w:val="000000" w:themeColor="text1"/>
        </w:rPr>
        <w:t xml:space="preserve">consistent with each of the safeguard outcomes in paragraphs 3(2)(b), (c) and (d), and that they </w:t>
      </w:r>
      <w:proofErr w:type="gramStart"/>
      <w:r w:rsidRPr="006000D3">
        <w:rPr>
          <w:rFonts w:cstheme="minorHAnsi"/>
          <w:color w:val="000000" w:themeColor="text1"/>
        </w:rPr>
        <w:t>take into account</w:t>
      </w:r>
      <w:proofErr w:type="gramEnd"/>
      <w:r w:rsidRPr="006000D3">
        <w:rPr>
          <w:rFonts w:cstheme="minorHAnsi"/>
          <w:color w:val="000000" w:themeColor="text1"/>
        </w:rPr>
        <w:t xml:space="preserve"> the safeguard outcomes in paragraphs 3(2)(e) and (f), of the NGER Act. Those reasons are published on the Department’s website in accordance with section 22XS(1B) of the NGER Act. </w:t>
      </w:r>
    </w:p>
    <w:p w14:paraId="4DF4BBA6" w14:textId="77777777" w:rsidR="004C7222" w:rsidRPr="006000D3" w:rsidRDefault="004C7222" w:rsidP="004C7222">
      <w:pPr>
        <w:pStyle w:val="ListNumberDotted"/>
        <w:rPr>
          <w:rFonts w:cstheme="minorHAnsi"/>
          <w:color w:val="000000" w:themeColor="text1"/>
        </w:rPr>
      </w:pPr>
      <w:r w:rsidRPr="006000D3">
        <w:rPr>
          <w:rFonts w:cstheme="minorHAnsi"/>
          <w:color w:val="000000" w:themeColor="text1"/>
        </w:rPr>
        <w:t xml:space="preserve">The Safeguard Reforms Amendment Rules, and the reforms made by those rules, commenced on 1 July 2023.  </w:t>
      </w:r>
    </w:p>
    <w:p w14:paraId="40CFB069" w14:textId="77777777" w:rsidR="004C7222" w:rsidRPr="006000D3" w:rsidRDefault="004C7222" w:rsidP="004C7222">
      <w:pPr>
        <w:pStyle w:val="ListNumberDotted"/>
        <w:rPr>
          <w:rFonts w:cstheme="minorHAnsi"/>
          <w:color w:val="000000" w:themeColor="text1"/>
        </w:rPr>
      </w:pPr>
      <w:r w:rsidRPr="006000D3">
        <w:rPr>
          <w:rFonts w:cstheme="minorHAnsi"/>
          <w:color w:val="000000" w:themeColor="text1"/>
        </w:rPr>
        <w:t>As part of the reform to the Safeguard Mechanism, the Government committed to reviewing PVs to ensure they are effective in meeting the emissions reduction objectives of the reforms, including by encouraging facilities to reduce their emissions as well as incentivising production to occur where it is least emissions intensive. As part of the review, the Government has</w:t>
      </w:r>
      <w:r w:rsidRPr="006000D3" w:rsidDel="00491908">
        <w:rPr>
          <w:rFonts w:cstheme="minorHAnsi"/>
          <w:color w:val="000000" w:themeColor="text1"/>
        </w:rPr>
        <w:t xml:space="preserve"> </w:t>
      </w:r>
      <w:r w:rsidRPr="006000D3">
        <w:rPr>
          <w:rFonts w:cstheme="minorHAnsi"/>
          <w:color w:val="000000" w:themeColor="text1"/>
        </w:rPr>
        <w:t xml:space="preserve">also recalculated certain default EIs associated with PVs to ensure relevance and consistency with the reforms. These PVs and default EIs are an input to the calculations for determining the baseline emissions number for each existing facility. </w:t>
      </w:r>
    </w:p>
    <w:p w14:paraId="7AAF9591" w14:textId="77777777" w:rsidR="004C7222" w:rsidRPr="006000D3" w:rsidRDefault="004C7222" w:rsidP="004C7222">
      <w:pPr>
        <w:pStyle w:val="ListNumberDotted"/>
        <w:rPr>
          <w:rFonts w:cstheme="minorHAnsi"/>
        </w:rPr>
      </w:pPr>
      <w:r w:rsidRPr="006000D3">
        <w:rPr>
          <w:rFonts w:cstheme="minorHAnsi"/>
        </w:rPr>
        <w:t>On 29 September 2023 I made the 2023 Production Variables Update and on 22 April 2024 I made the 2024 Production Variables Update. These both amended the Safeguard Rules to update PVs and the 2024 Production Variables Update</w:t>
      </w:r>
      <w:r w:rsidRPr="006000D3" w:rsidDel="000E2AE8">
        <w:rPr>
          <w:rFonts w:cstheme="minorHAnsi"/>
        </w:rPr>
        <w:t xml:space="preserve"> </w:t>
      </w:r>
      <w:r w:rsidRPr="006000D3">
        <w:rPr>
          <w:rFonts w:cstheme="minorHAnsi"/>
        </w:rPr>
        <w:t xml:space="preserve">made the first set of best practice EIs. On the same day for each update, I set out my reasons for being satisfied that the Safeguard Rules as amended by the 2023 Production Variables Update and 2024 Production Variables Update </w:t>
      </w:r>
      <w:r w:rsidRPr="006000D3">
        <w:rPr>
          <w:rFonts w:cstheme="minorHAnsi"/>
          <w:iCs/>
        </w:rPr>
        <w:t xml:space="preserve">are </w:t>
      </w:r>
      <w:r w:rsidRPr="006000D3">
        <w:rPr>
          <w:rFonts w:cstheme="minorHAnsi"/>
        </w:rPr>
        <w:t xml:space="preserve">consistent with each of the safeguard outcomes in paragraphs 3(2)(b), (c) and (d), and that they took into account the safeguard outcomes in paragraphs 3(2)(e) and (f), of the </w:t>
      </w:r>
      <w:r w:rsidRPr="006000D3">
        <w:rPr>
          <w:rFonts w:cstheme="minorHAnsi"/>
        </w:rPr>
        <w:lastRenderedPageBreak/>
        <w:t>NGER Act. Those reasons are both published on the Department’s website in accordance with section 22XS(1B) of the NGER Act.</w:t>
      </w:r>
    </w:p>
    <w:p w14:paraId="3D09CB52" w14:textId="77777777" w:rsidR="004C7222" w:rsidRPr="006000D3" w:rsidRDefault="004C7222" w:rsidP="004C7222">
      <w:pPr>
        <w:pStyle w:val="ListNumberDotted"/>
        <w:numPr>
          <w:ilvl w:val="0"/>
          <w:numId w:val="0"/>
        </w:numPr>
        <w:ind w:left="142"/>
        <w:rPr>
          <w:rFonts w:cstheme="minorHAnsi"/>
          <w:b/>
          <w:i/>
          <w:color w:val="000000" w:themeColor="text1"/>
          <w:lang w:eastAsia="en-AU"/>
        </w:rPr>
      </w:pPr>
      <w:r w:rsidRPr="006000D3">
        <w:rPr>
          <w:rFonts w:cstheme="minorHAnsi"/>
          <w:b/>
          <w:i/>
          <w:color w:val="000000" w:themeColor="text1"/>
          <w:lang w:eastAsia="en-AU"/>
        </w:rPr>
        <w:t xml:space="preserve">Amendments to the Safeguard Rules </w:t>
      </w:r>
    </w:p>
    <w:p w14:paraId="3BC9D524" w14:textId="77777777" w:rsidR="004C7222" w:rsidRPr="006000D3" w:rsidRDefault="004C7222" w:rsidP="004C7222">
      <w:pPr>
        <w:pStyle w:val="ListNumberDotted"/>
        <w:rPr>
          <w:rFonts w:cstheme="minorHAnsi"/>
          <w:iCs/>
          <w:color w:val="000000" w:themeColor="text1"/>
        </w:rPr>
      </w:pPr>
      <w:r w:rsidRPr="006000D3">
        <w:rPr>
          <w:rFonts w:cstheme="minorHAnsi"/>
          <w:color w:val="000000" w:themeColor="text1"/>
        </w:rPr>
        <w:t>Section 22XS of the NGER Act empowers me to make rules to implement the Safeguard Mechanism by legislative instrument. These rules may prescribe matters required or permitted by the NGER Act and matters necessary or convenient to be prescribed for carrying out or giving effect to the Safeguard provisions in the NGER Act. The Safeguard Rules are a legislative instrument made under section 22</w:t>
      </w:r>
      <w:proofErr w:type="gramStart"/>
      <w:r w:rsidRPr="006000D3">
        <w:rPr>
          <w:rFonts w:cstheme="minorHAnsi"/>
          <w:color w:val="000000" w:themeColor="text1"/>
        </w:rPr>
        <w:t>XS(</w:t>
      </w:r>
      <w:proofErr w:type="gramEnd"/>
      <w:r w:rsidRPr="006000D3">
        <w:rPr>
          <w:rFonts w:cstheme="minorHAnsi"/>
          <w:color w:val="000000" w:themeColor="text1"/>
        </w:rPr>
        <w:t xml:space="preserve">1) of the NGER Act. The 2024 Best Practice Emissions Intensities Update amends the </w:t>
      </w:r>
      <w:r w:rsidRPr="006000D3">
        <w:rPr>
          <w:rFonts w:cstheme="minorHAnsi"/>
          <w:iCs/>
          <w:color w:val="000000" w:themeColor="text1"/>
        </w:rPr>
        <w:t>Safeguard Rules</w:t>
      </w:r>
      <w:r w:rsidRPr="006000D3">
        <w:rPr>
          <w:rFonts w:cstheme="minorHAnsi"/>
          <w:i/>
          <w:color w:val="000000" w:themeColor="text1"/>
        </w:rPr>
        <w:t xml:space="preserve">. </w:t>
      </w:r>
    </w:p>
    <w:p w14:paraId="4902A370" w14:textId="77777777" w:rsidR="004C7222" w:rsidRPr="006000D3" w:rsidRDefault="004C7222" w:rsidP="004C7222">
      <w:pPr>
        <w:pStyle w:val="ListNumberDotted"/>
        <w:rPr>
          <w:rFonts w:cstheme="minorHAnsi"/>
          <w:iCs/>
          <w:color w:val="000000" w:themeColor="text1"/>
        </w:rPr>
      </w:pPr>
      <w:r w:rsidRPr="006000D3">
        <w:rPr>
          <w:rFonts w:cstheme="minorHAnsi"/>
          <w:iCs/>
          <w:color w:val="000000" w:themeColor="text1"/>
        </w:rPr>
        <w:t xml:space="preserve">The 2024 </w:t>
      </w:r>
      <w:r w:rsidRPr="006000D3">
        <w:rPr>
          <w:rFonts w:cstheme="minorHAnsi"/>
          <w:color w:val="000000" w:themeColor="text1"/>
        </w:rPr>
        <w:t xml:space="preserve">Best Practice Emissions Intensities </w:t>
      </w:r>
      <w:r w:rsidRPr="006000D3">
        <w:rPr>
          <w:rFonts w:cstheme="minorHAnsi"/>
          <w:iCs/>
          <w:color w:val="000000" w:themeColor="text1"/>
        </w:rPr>
        <w:t xml:space="preserve">Update makes the following amendments to PVs in the Safeguard Rules: </w:t>
      </w:r>
    </w:p>
    <w:p w14:paraId="0544E5F8" w14:textId="77777777" w:rsidR="004C7222" w:rsidRPr="006000D3" w:rsidRDefault="004C7222" w:rsidP="00B13A5D">
      <w:pPr>
        <w:pStyle w:val="ListNumberDotted"/>
        <w:numPr>
          <w:ilvl w:val="0"/>
          <w:numId w:val="21"/>
        </w:numPr>
        <w:rPr>
          <w:rFonts w:cstheme="minorHAnsi"/>
        </w:rPr>
      </w:pPr>
      <w:r w:rsidRPr="006000D3">
        <w:rPr>
          <w:rFonts w:cstheme="minorHAnsi"/>
        </w:rPr>
        <w:t>It amends PVs used for steel production to clarify when steel produced from cold ferrous feed is reported under the corresponding definitions of ‘Primary Steel’ and ‘Continuously cast carbon steel products and ingots of carbon steel (manufacture of carbon steel from cold ferrous feed)’.</w:t>
      </w:r>
    </w:p>
    <w:p w14:paraId="3F370C3F" w14:textId="77777777" w:rsidR="004C7222" w:rsidRPr="006000D3" w:rsidRDefault="004C7222" w:rsidP="00B13A5D">
      <w:pPr>
        <w:pStyle w:val="ListNumberDotted"/>
        <w:numPr>
          <w:ilvl w:val="0"/>
          <w:numId w:val="21"/>
        </w:numPr>
        <w:rPr>
          <w:rFonts w:cstheme="minorHAnsi"/>
        </w:rPr>
      </w:pPr>
      <w:bookmarkStart w:id="10" w:name="_Ref171348299"/>
      <w:r w:rsidRPr="006000D3">
        <w:rPr>
          <w:rFonts w:cstheme="minorHAnsi"/>
        </w:rPr>
        <w:t>It expands the definition of coke oven coke to include other materials that might be carbonised to produce coke other than coal</w:t>
      </w:r>
      <w:bookmarkEnd w:id="10"/>
      <w:r w:rsidRPr="006000D3">
        <w:rPr>
          <w:rFonts w:cstheme="minorHAnsi"/>
        </w:rPr>
        <w:t>.</w:t>
      </w:r>
    </w:p>
    <w:p w14:paraId="3DDDACB8" w14:textId="77777777" w:rsidR="004C7222" w:rsidRPr="006000D3" w:rsidRDefault="004C7222" w:rsidP="00B13A5D">
      <w:pPr>
        <w:pStyle w:val="ListNumberDotted"/>
        <w:numPr>
          <w:ilvl w:val="0"/>
          <w:numId w:val="21"/>
        </w:numPr>
        <w:ind w:left="1434" w:hanging="357"/>
        <w:rPr>
          <w:rFonts w:cstheme="minorHAnsi"/>
        </w:rPr>
      </w:pPr>
      <w:r w:rsidRPr="006000D3">
        <w:rPr>
          <w:rFonts w:cstheme="minorHAnsi"/>
        </w:rPr>
        <w:t>It updates the definitions of the primary iron and primary steel production variables regarding an imported coke adjustment, so that the adjustment remains accurate if the facility reduces the amount of coke required to make a tonne of steel.</w:t>
      </w:r>
    </w:p>
    <w:p w14:paraId="7C37F4E5" w14:textId="77777777" w:rsidR="004C7222" w:rsidRPr="006000D3" w:rsidRDefault="004C7222" w:rsidP="00B13A5D">
      <w:pPr>
        <w:pStyle w:val="ListNumberDotted"/>
        <w:numPr>
          <w:ilvl w:val="0"/>
          <w:numId w:val="21"/>
        </w:numPr>
        <w:rPr>
          <w:rFonts w:cstheme="minorHAnsi"/>
        </w:rPr>
      </w:pPr>
      <w:r w:rsidRPr="006000D3">
        <w:rPr>
          <w:rFonts w:cstheme="minorHAnsi"/>
        </w:rPr>
        <w:t>It inserts two new PVs: phosphoric acid and rare earth processing.</w:t>
      </w:r>
    </w:p>
    <w:p w14:paraId="09BADE2B" w14:textId="77777777" w:rsidR="004C7222" w:rsidRPr="006000D3" w:rsidRDefault="004C7222" w:rsidP="00B13A5D">
      <w:pPr>
        <w:pStyle w:val="ListNumberDotted"/>
        <w:numPr>
          <w:ilvl w:val="0"/>
          <w:numId w:val="21"/>
        </w:numPr>
        <w:rPr>
          <w:rFonts w:cstheme="minorHAnsi"/>
        </w:rPr>
      </w:pPr>
      <w:r w:rsidRPr="006000D3">
        <w:rPr>
          <w:rFonts w:cstheme="minorHAnsi"/>
        </w:rPr>
        <w:t>It inserts the default EI for gaseous hydrogen and updates the default EI for gas distribution.</w:t>
      </w:r>
    </w:p>
    <w:p w14:paraId="60E9DD87" w14:textId="77777777" w:rsidR="004C7222" w:rsidRPr="006000D3" w:rsidRDefault="004C7222" w:rsidP="00B13A5D">
      <w:pPr>
        <w:pStyle w:val="ListNumberDotted"/>
        <w:numPr>
          <w:ilvl w:val="0"/>
          <w:numId w:val="21"/>
        </w:numPr>
        <w:rPr>
          <w:rFonts w:cstheme="minorHAnsi"/>
        </w:rPr>
      </w:pPr>
      <w:r w:rsidRPr="006000D3">
        <w:rPr>
          <w:rFonts w:cstheme="minorHAnsi"/>
        </w:rPr>
        <w:t>It amends three PVs: processed natural gas (integrated extraction and processing), stabilised crude oil (integrated extraction and stabilisation); and sodium cyanide to ensure they are fit for purpose.</w:t>
      </w:r>
    </w:p>
    <w:p w14:paraId="06E46FF2" w14:textId="77777777" w:rsidR="004C7222" w:rsidRPr="006000D3" w:rsidRDefault="004C7222" w:rsidP="00B13A5D">
      <w:pPr>
        <w:pStyle w:val="ListNumberDotted"/>
        <w:numPr>
          <w:ilvl w:val="0"/>
          <w:numId w:val="21"/>
        </w:numPr>
        <w:rPr>
          <w:rFonts w:cstheme="minorHAnsi"/>
        </w:rPr>
      </w:pPr>
      <w:r w:rsidRPr="006000D3">
        <w:rPr>
          <w:rFonts w:cstheme="minorHAnsi"/>
        </w:rPr>
        <w:t xml:space="preserve">It sets 16 best practice EIs relevant to the oil and gas, mining and metal processing, biofuels and chemical sectors. </w:t>
      </w:r>
    </w:p>
    <w:p w14:paraId="04A7399C" w14:textId="77777777" w:rsidR="004C7222" w:rsidRPr="006000D3" w:rsidRDefault="004C7222" w:rsidP="004C7222">
      <w:pPr>
        <w:pStyle w:val="ListNumberDotted"/>
        <w:rPr>
          <w:rFonts w:cstheme="minorHAnsi"/>
        </w:rPr>
      </w:pPr>
      <w:bookmarkStart w:id="11" w:name="_Ref171348288"/>
      <w:r w:rsidRPr="006000D3">
        <w:rPr>
          <w:rFonts w:cstheme="minorHAnsi"/>
          <w:iCs/>
          <w:color w:val="000000" w:themeColor="text1"/>
        </w:rPr>
        <w:t xml:space="preserve">The 2024 </w:t>
      </w:r>
      <w:r w:rsidRPr="006000D3">
        <w:rPr>
          <w:rFonts w:cstheme="minorHAnsi"/>
          <w:color w:val="000000" w:themeColor="text1"/>
        </w:rPr>
        <w:t xml:space="preserve">Best Practice Emissions Intensities </w:t>
      </w:r>
      <w:r w:rsidRPr="006000D3">
        <w:rPr>
          <w:rFonts w:cstheme="minorHAnsi"/>
          <w:iCs/>
          <w:color w:val="000000" w:themeColor="text1"/>
        </w:rPr>
        <w:t xml:space="preserve">Update also </w:t>
      </w:r>
      <w:r w:rsidRPr="006000D3">
        <w:rPr>
          <w:rFonts w:cstheme="minorHAnsi"/>
        </w:rPr>
        <w:t>makes technical amendments to the Safeguard Rules including:</w:t>
      </w:r>
    </w:p>
    <w:p w14:paraId="1E59CCF9" w14:textId="77777777" w:rsidR="004C7222" w:rsidRPr="006000D3" w:rsidRDefault="004C7222" w:rsidP="00B13A5D">
      <w:pPr>
        <w:pStyle w:val="ListNumberDotted"/>
        <w:numPr>
          <w:ilvl w:val="0"/>
          <w:numId w:val="23"/>
        </w:numPr>
        <w:rPr>
          <w:rFonts w:cstheme="minorHAnsi"/>
        </w:rPr>
      </w:pPr>
      <w:r w:rsidRPr="006000D3">
        <w:rPr>
          <w:rFonts w:cstheme="minorHAnsi"/>
        </w:rPr>
        <w:t xml:space="preserve">inserting a requirement that when a non-manufacturing facility calculates its revenue for the purpose of applying for a trade-exposed baseline adjusted determination, it is calculated in accordance with the EBIT Guidelines that are in force at the </w:t>
      </w:r>
      <w:proofErr w:type="gramStart"/>
      <w:r w:rsidRPr="006000D3">
        <w:rPr>
          <w:rFonts w:cstheme="minorHAnsi"/>
        </w:rPr>
        <w:t>time;</w:t>
      </w:r>
      <w:proofErr w:type="gramEnd"/>
      <w:r w:rsidRPr="006000D3">
        <w:rPr>
          <w:rFonts w:cstheme="minorHAnsi"/>
        </w:rPr>
        <w:t xml:space="preserve"> </w:t>
      </w:r>
    </w:p>
    <w:p w14:paraId="761921E1" w14:textId="77777777" w:rsidR="004C7222" w:rsidRPr="006000D3" w:rsidRDefault="004C7222" w:rsidP="00B13A5D">
      <w:pPr>
        <w:pStyle w:val="ListNumberDotted"/>
        <w:numPr>
          <w:ilvl w:val="0"/>
          <w:numId w:val="23"/>
        </w:numPr>
        <w:ind w:left="1434" w:hanging="357"/>
        <w:rPr>
          <w:rFonts w:cstheme="minorHAnsi"/>
        </w:rPr>
      </w:pPr>
      <w:r w:rsidRPr="006000D3">
        <w:rPr>
          <w:rFonts w:cstheme="minorHAnsi"/>
        </w:rPr>
        <w:t xml:space="preserve">inserting the requirement for the Clean Energy Regulator to publish, by 15 April each year, the methods used by Safeguard Mechanism facilities to estimate each source of fugitive methane emissions from coal mining, oil and natural gas activities, for the previous financial </w:t>
      </w:r>
      <w:proofErr w:type="gramStart"/>
      <w:r w:rsidRPr="006000D3">
        <w:rPr>
          <w:rFonts w:cstheme="minorHAnsi"/>
        </w:rPr>
        <w:t>year;</w:t>
      </w:r>
      <w:proofErr w:type="gramEnd"/>
      <w:r w:rsidRPr="006000D3">
        <w:rPr>
          <w:rFonts w:cstheme="minorHAnsi"/>
        </w:rPr>
        <w:t xml:space="preserve"> </w:t>
      </w:r>
    </w:p>
    <w:p w14:paraId="3D35A222" w14:textId="77777777" w:rsidR="004C7222" w:rsidRPr="006000D3" w:rsidRDefault="004C7222" w:rsidP="00B13A5D">
      <w:pPr>
        <w:pStyle w:val="ListNumberDotted"/>
        <w:numPr>
          <w:ilvl w:val="0"/>
          <w:numId w:val="23"/>
        </w:numPr>
        <w:ind w:left="1434" w:hanging="357"/>
        <w:rPr>
          <w:rFonts w:cstheme="minorHAnsi"/>
        </w:rPr>
      </w:pPr>
      <w:r w:rsidRPr="006000D3">
        <w:rPr>
          <w:rFonts w:cstheme="minorHAnsi"/>
        </w:rPr>
        <w:lastRenderedPageBreak/>
        <w:t xml:space="preserve">inserting a requirement that audit reports conducted for an Emissions Intensity Determinations meet the requirement of reasonable assurance engagements consistent with the NGER Audit Determination 2009 and that the audit team leader is a registered Category 2 auditor under the NGER </w:t>
      </w:r>
      <w:proofErr w:type="gramStart"/>
      <w:r w:rsidRPr="006000D3">
        <w:rPr>
          <w:rFonts w:eastAsia="Times New Roman" w:cstheme="minorHAnsi"/>
        </w:rPr>
        <w:t>regulations;</w:t>
      </w:r>
      <w:proofErr w:type="gramEnd"/>
      <w:r w:rsidRPr="006000D3">
        <w:rPr>
          <w:rFonts w:cstheme="minorHAnsi"/>
        </w:rPr>
        <w:t xml:space="preserve"> </w:t>
      </w:r>
    </w:p>
    <w:p w14:paraId="4D99D3AF" w14:textId="77777777" w:rsidR="004C7222" w:rsidRPr="006000D3" w:rsidRDefault="004C7222" w:rsidP="00B13A5D">
      <w:pPr>
        <w:pStyle w:val="ListNumber2"/>
        <w:numPr>
          <w:ilvl w:val="0"/>
          <w:numId w:val="23"/>
        </w:numPr>
        <w:ind w:left="1434" w:hanging="357"/>
        <w:rPr>
          <w:rFonts w:cstheme="minorHAnsi"/>
          <w:szCs w:val="22"/>
        </w:rPr>
      </w:pPr>
      <w:r w:rsidRPr="006000D3">
        <w:rPr>
          <w:rFonts w:cstheme="minorHAnsi"/>
          <w:szCs w:val="22"/>
        </w:rPr>
        <w:t>clarifying that a reference to “greenhouse gas emissions from the operation of a facility”, in a requirement that must be met for the Regulator to make a TEBA determination, relates to covered emissions (rather that total emissions), so that the provision works correctly when applied to facilities where some emissions are not covered, such as landfills; and</w:t>
      </w:r>
    </w:p>
    <w:p w14:paraId="215AB88B" w14:textId="77777777" w:rsidR="004C7222" w:rsidRPr="006000D3" w:rsidRDefault="004C7222" w:rsidP="00B13A5D">
      <w:pPr>
        <w:pStyle w:val="ListNumberDotted"/>
        <w:numPr>
          <w:ilvl w:val="0"/>
          <w:numId w:val="23"/>
        </w:numPr>
        <w:ind w:left="1434" w:hanging="357"/>
        <w:rPr>
          <w:rFonts w:cstheme="minorHAnsi"/>
        </w:rPr>
      </w:pPr>
      <w:r w:rsidRPr="006000D3">
        <w:rPr>
          <w:rFonts w:cstheme="minorHAnsi"/>
        </w:rPr>
        <w:t>inserting a transitional provision to ensure the relevant best practice intensity values can be used in 2024-25.</w:t>
      </w:r>
      <w:bookmarkEnd w:id="11"/>
    </w:p>
    <w:p w14:paraId="3066696A" w14:textId="77777777" w:rsidR="004C7222" w:rsidRPr="006000D3" w:rsidRDefault="004C7222" w:rsidP="004C7222">
      <w:pPr>
        <w:pStyle w:val="ListNumberDotted"/>
        <w:numPr>
          <w:ilvl w:val="0"/>
          <w:numId w:val="0"/>
        </w:numPr>
        <w:rPr>
          <w:rFonts w:cstheme="minorHAnsi"/>
          <w:b/>
          <w:i/>
          <w:color w:val="2E74B5" w:themeColor="accent1" w:themeShade="BF"/>
          <w:shd w:val="clear" w:color="auto" w:fill="FFFFFF"/>
        </w:rPr>
      </w:pPr>
      <w:r w:rsidRPr="006000D3">
        <w:rPr>
          <w:rFonts w:cstheme="minorHAnsi"/>
          <w:b/>
          <w:i/>
          <w:color w:val="2E74B5" w:themeColor="accent1" w:themeShade="BF"/>
          <w:shd w:val="clear" w:color="auto" w:fill="FFFFFF"/>
        </w:rPr>
        <w:t>Consultation</w:t>
      </w:r>
    </w:p>
    <w:p w14:paraId="63E6D4D5" w14:textId="77777777" w:rsidR="004C7222" w:rsidRPr="006000D3" w:rsidRDefault="004C7222" w:rsidP="004C7222">
      <w:pPr>
        <w:pStyle w:val="ListNumberDotted"/>
        <w:rPr>
          <w:rFonts w:cstheme="minorHAnsi"/>
        </w:rPr>
      </w:pPr>
      <w:r w:rsidRPr="006000D3">
        <w:rPr>
          <w:rFonts w:cstheme="minorHAnsi"/>
        </w:rPr>
        <w:t>In June 2023, the Department commenced consultation directly with impacted stakeholders on options to amend certain PVs and EIs. Consultation has been undertaken to understand the best approach to setting PVs and EIs in a way that will encourage, recognise and reward emissions abatement, and appropriately incentivise low emissions production. The Government subsequently consulted on exposure drafts of the 2023 Production Variables Update and 2024 Production Variables Update.</w:t>
      </w:r>
    </w:p>
    <w:p w14:paraId="297FDA9A" w14:textId="77777777" w:rsidR="004C7222" w:rsidRPr="006000D3" w:rsidRDefault="004C7222" w:rsidP="004C7222">
      <w:pPr>
        <w:pStyle w:val="ListNumberDotted"/>
        <w:rPr>
          <w:rFonts w:cstheme="minorHAnsi"/>
        </w:rPr>
      </w:pPr>
      <w:r w:rsidRPr="006000D3">
        <w:rPr>
          <w:rFonts w:cstheme="minorHAnsi"/>
        </w:rPr>
        <w:t>The Government consulted on the draft Guidelines from 19 July 2023 to 11 August 2023 and released the final Guidelines on 15 December 2023.</w:t>
      </w:r>
    </w:p>
    <w:p w14:paraId="28F21D04" w14:textId="77777777" w:rsidR="004C7222" w:rsidRPr="006000D3" w:rsidRDefault="004C7222" w:rsidP="004C7222">
      <w:pPr>
        <w:pStyle w:val="ListNumberDotted"/>
        <w:rPr>
          <w:rFonts w:cstheme="minorHAnsi"/>
        </w:rPr>
      </w:pPr>
      <w:r w:rsidRPr="006000D3">
        <w:rPr>
          <w:rFonts w:cstheme="minorHAnsi"/>
        </w:rPr>
        <w:t>On 24 May 2024, the Government released for consultation an exposure draft of the 2024 Best Practice Emissions Intensities Update, with the consultation period open until 5pm on 14 June 2024, with extensions granted on request until 21 June 2024.</w:t>
      </w:r>
    </w:p>
    <w:p w14:paraId="6B4FD879" w14:textId="77777777" w:rsidR="004C7222" w:rsidRPr="006000D3" w:rsidRDefault="004C7222" w:rsidP="004C7222">
      <w:pPr>
        <w:pStyle w:val="ListNumberDotted"/>
        <w:rPr>
          <w:rFonts w:cstheme="minorHAnsi"/>
        </w:rPr>
      </w:pPr>
      <w:r w:rsidRPr="006000D3">
        <w:rPr>
          <w:rFonts w:cstheme="minorHAnsi"/>
        </w:rPr>
        <w:t xml:space="preserve">The Government received 22 formal submissions, comprising 15 submissions from designated large facilities or businesses, 4 from industry associations, 1 from state government, and the remaining from 2 individuals and non-government organisations. The Department will publish non-confidential submissions on its website. Submissions on PVs, default EIs and best practice EI values were broadly supportive of the updates. Submissions raised concerns that the proposed gas Eis were too stringent; argued that the value of two EIs for renewable fuels should be closer together; and suggested that the </w:t>
      </w:r>
      <w:r w:rsidRPr="006000D3" w:rsidDel="00F56580">
        <w:rPr>
          <w:rFonts w:cstheme="minorHAnsi"/>
        </w:rPr>
        <w:t xml:space="preserve">rare earth best practice EIs </w:t>
      </w:r>
      <w:r w:rsidRPr="006000D3">
        <w:rPr>
          <w:rFonts w:cstheme="minorHAnsi"/>
        </w:rPr>
        <w:t xml:space="preserve">were too </w:t>
      </w:r>
      <w:r w:rsidRPr="006000D3" w:rsidDel="00BB4233">
        <w:rPr>
          <w:rFonts w:cstheme="minorHAnsi"/>
        </w:rPr>
        <w:t>high</w:t>
      </w:r>
      <w:r w:rsidRPr="006000D3">
        <w:rPr>
          <w:rFonts w:cstheme="minorHAnsi"/>
        </w:rPr>
        <w:t>, and requested more transparency on how the values were determined. The explanatory statement details how the best practice EIs were developed, including an explanation of how the Guidelines were applied. Technical changes were made to the rare earth processing and steel production variables.</w:t>
      </w:r>
    </w:p>
    <w:p w14:paraId="713098BC" w14:textId="77777777" w:rsidR="004C7222" w:rsidRPr="006000D3" w:rsidRDefault="004C7222" w:rsidP="004C7222">
      <w:pPr>
        <w:pStyle w:val="Heading2"/>
        <w:rPr>
          <w:rFonts w:asciiTheme="minorHAnsi" w:hAnsiTheme="minorHAnsi" w:cstheme="minorHAnsi"/>
          <w:sz w:val="22"/>
          <w:szCs w:val="22"/>
        </w:rPr>
      </w:pPr>
      <w:r w:rsidRPr="006000D3">
        <w:rPr>
          <w:rFonts w:asciiTheme="minorHAnsi" w:hAnsiTheme="minorHAnsi" w:cstheme="minorHAnsi"/>
          <w:sz w:val="22"/>
          <w:szCs w:val="22"/>
        </w:rPr>
        <w:t>Material on which my decision was based</w:t>
      </w:r>
    </w:p>
    <w:p w14:paraId="70604B05" w14:textId="77777777" w:rsidR="004C7222" w:rsidRPr="006000D3" w:rsidRDefault="004C7222" w:rsidP="004C7222">
      <w:pPr>
        <w:pStyle w:val="ListNumberDotted"/>
        <w:rPr>
          <w:rFonts w:cstheme="minorHAnsi"/>
        </w:rPr>
      </w:pPr>
      <w:r w:rsidRPr="006000D3">
        <w:rPr>
          <w:rFonts w:cstheme="minorHAnsi"/>
        </w:rPr>
        <w:t xml:space="preserve">My decision that I was satisfied that the Safeguard Rules as amended are consistent with each of the outcomes in paragraphs 3(2)(b), (c) and (d), and </w:t>
      </w:r>
      <w:proofErr w:type="gramStart"/>
      <w:r w:rsidRPr="006000D3">
        <w:rPr>
          <w:rFonts w:cstheme="minorHAnsi"/>
        </w:rPr>
        <w:t>take into account</w:t>
      </w:r>
      <w:proofErr w:type="gramEnd"/>
      <w:r w:rsidRPr="006000D3">
        <w:rPr>
          <w:rFonts w:cstheme="minorHAnsi"/>
        </w:rPr>
        <w:t xml:space="preserve"> the safeguard outcomes in paragraphs 3(2)(e) and (f) was made after considering a brief from the Department (MS24-000090), which contained the following attachments relevant to this decision:</w:t>
      </w:r>
    </w:p>
    <w:p w14:paraId="392B0038" w14:textId="77777777" w:rsidR="004C7222" w:rsidRPr="006000D3" w:rsidRDefault="004C7222" w:rsidP="00B13A5D">
      <w:pPr>
        <w:pStyle w:val="ListNumberDotted"/>
        <w:numPr>
          <w:ilvl w:val="0"/>
          <w:numId w:val="22"/>
        </w:numPr>
        <w:rPr>
          <w:rFonts w:cstheme="minorHAnsi"/>
        </w:rPr>
      </w:pPr>
      <w:r w:rsidRPr="006000D3">
        <w:rPr>
          <w:rFonts w:cstheme="minorHAnsi"/>
          <w:i/>
          <w:iCs/>
        </w:rPr>
        <w:lastRenderedPageBreak/>
        <w:t xml:space="preserve">National Greenhouse and Energy Reporting Legislation Amendment (Best Practice Emissions Intensities Update) Instrument </w:t>
      </w:r>
      <w:proofErr w:type="gramStart"/>
      <w:r w:rsidRPr="006000D3">
        <w:rPr>
          <w:rFonts w:cstheme="minorHAnsi"/>
          <w:i/>
          <w:iCs/>
        </w:rPr>
        <w:t>2024</w:t>
      </w:r>
      <w:r w:rsidRPr="006000D3">
        <w:rPr>
          <w:rFonts w:cstheme="minorHAnsi"/>
        </w:rPr>
        <w:t>;</w:t>
      </w:r>
      <w:proofErr w:type="gramEnd"/>
    </w:p>
    <w:p w14:paraId="41B4327F" w14:textId="77777777" w:rsidR="004C7222" w:rsidRPr="006000D3" w:rsidRDefault="004C7222" w:rsidP="00B13A5D">
      <w:pPr>
        <w:pStyle w:val="ListNumberDotted"/>
        <w:numPr>
          <w:ilvl w:val="0"/>
          <w:numId w:val="22"/>
        </w:numPr>
        <w:rPr>
          <w:rFonts w:cstheme="minorHAnsi"/>
        </w:rPr>
      </w:pPr>
      <w:r w:rsidRPr="006000D3">
        <w:rPr>
          <w:rFonts w:cstheme="minorHAnsi"/>
        </w:rPr>
        <w:t xml:space="preserve">Explanatory Statement: National Greenhouse and Energy Reporting Legislation Amendment (Best Practice Emissions Intensities Update) Instrument </w:t>
      </w:r>
      <w:proofErr w:type="gramStart"/>
      <w:r w:rsidRPr="006000D3">
        <w:rPr>
          <w:rFonts w:cstheme="minorHAnsi"/>
        </w:rPr>
        <w:t>2024;</w:t>
      </w:r>
      <w:proofErr w:type="gramEnd"/>
    </w:p>
    <w:p w14:paraId="3901F6EC" w14:textId="77777777" w:rsidR="004C7222" w:rsidRPr="006000D3" w:rsidRDefault="004C7222" w:rsidP="00B13A5D">
      <w:pPr>
        <w:pStyle w:val="ListNumberDotted"/>
        <w:numPr>
          <w:ilvl w:val="0"/>
          <w:numId w:val="22"/>
        </w:numPr>
        <w:rPr>
          <w:rFonts w:cstheme="minorHAnsi"/>
        </w:rPr>
      </w:pPr>
      <w:r w:rsidRPr="006000D3">
        <w:rPr>
          <w:rFonts w:cstheme="minorHAnsi"/>
        </w:rPr>
        <w:t xml:space="preserve">Safeguard Mechanism: Prescribed production variables and default emissions intensities– a document that sets out the emissions relevant for determining default and best practice EIs, and emissions relevant for apportioning emissions between PVs in emissions intensity </w:t>
      </w:r>
      <w:proofErr w:type="gramStart"/>
      <w:r w:rsidRPr="006000D3">
        <w:rPr>
          <w:rFonts w:cstheme="minorHAnsi"/>
        </w:rPr>
        <w:t>determinations;</w:t>
      </w:r>
      <w:proofErr w:type="gramEnd"/>
      <w:r w:rsidRPr="006000D3">
        <w:rPr>
          <w:rFonts w:cstheme="minorHAnsi"/>
        </w:rPr>
        <w:t xml:space="preserve"> </w:t>
      </w:r>
    </w:p>
    <w:p w14:paraId="1B6A8BD6" w14:textId="77777777" w:rsidR="004C7222" w:rsidRPr="006000D3" w:rsidRDefault="004C7222" w:rsidP="00B13A5D">
      <w:pPr>
        <w:pStyle w:val="ListNumberDotted"/>
        <w:numPr>
          <w:ilvl w:val="0"/>
          <w:numId w:val="22"/>
        </w:numPr>
        <w:rPr>
          <w:rFonts w:cstheme="minorHAnsi"/>
        </w:rPr>
      </w:pPr>
      <w:r w:rsidRPr="006000D3">
        <w:rPr>
          <w:rFonts w:cstheme="minorHAnsi"/>
        </w:rPr>
        <w:t xml:space="preserve">Safeguard net and gross emissions analysis – Calculations from the Department relating to the Safeguard emissions budget, total baseline emissions, and analysis relating to 5 year rolling average emissions outcomes, based on projections of onsite abatement taken from </w:t>
      </w:r>
      <w:r w:rsidRPr="006000D3">
        <w:rPr>
          <w:rFonts w:cstheme="minorHAnsi"/>
          <w:i/>
          <w:iCs/>
        </w:rPr>
        <w:t>Australia’s emissions projections 2023</w:t>
      </w:r>
      <w:r w:rsidRPr="006000D3">
        <w:rPr>
          <w:rFonts w:cstheme="minorHAnsi"/>
        </w:rPr>
        <w:t>; and</w:t>
      </w:r>
    </w:p>
    <w:p w14:paraId="61834AE3" w14:textId="77777777" w:rsidR="004C7222" w:rsidRPr="006000D3" w:rsidRDefault="004C7222" w:rsidP="00B13A5D">
      <w:pPr>
        <w:pStyle w:val="ListNumberDotted"/>
        <w:numPr>
          <w:ilvl w:val="0"/>
          <w:numId w:val="22"/>
        </w:numPr>
        <w:rPr>
          <w:rFonts w:cstheme="minorHAnsi"/>
        </w:rPr>
      </w:pPr>
      <w:r w:rsidRPr="006000D3">
        <w:rPr>
          <w:rFonts w:cstheme="minorHAnsi"/>
        </w:rPr>
        <w:t>A summary of the stakeholder consultations.</w:t>
      </w:r>
    </w:p>
    <w:p w14:paraId="04DCBE82" w14:textId="77777777" w:rsidR="004C7222" w:rsidRPr="006000D3" w:rsidRDefault="004C7222" w:rsidP="004C7222">
      <w:pPr>
        <w:pStyle w:val="Heading2"/>
        <w:rPr>
          <w:rStyle w:val="Heading3Char"/>
          <w:rFonts w:asciiTheme="minorHAnsi" w:eastAsiaTheme="minorEastAsia" w:hAnsiTheme="minorHAnsi" w:cstheme="minorHAnsi"/>
          <w:b w:val="0"/>
          <w:bCs w:val="0"/>
          <w:sz w:val="22"/>
          <w:szCs w:val="22"/>
          <w:lang w:eastAsia="ja-JP"/>
        </w:rPr>
      </w:pPr>
      <w:r w:rsidRPr="006000D3">
        <w:rPr>
          <w:rFonts w:asciiTheme="minorHAnsi" w:hAnsiTheme="minorHAnsi" w:cstheme="minorHAnsi"/>
          <w:sz w:val="22"/>
          <w:szCs w:val="22"/>
        </w:rPr>
        <w:t xml:space="preserve">Reasons </w:t>
      </w:r>
    </w:p>
    <w:p w14:paraId="2385451D" w14:textId="77777777" w:rsidR="004C7222" w:rsidRPr="006000D3" w:rsidRDefault="004C7222" w:rsidP="004C7222">
      <w:pPr>
        <w:pStyle w:val="paragraph"/>
        <w:ind w:left="0" w:firstLine="0"/>
        <w:rPr>
          <w:rFonts w:asciiTheme="minorHAnsi" w:hAnsiTheme="minorHAnsi" w:cstheme="minorHAnsi"/>
          <w:b/>
          <w:bCs/>
          <w:color w:val="000000" w:themeColor="text1"/>
        </w:rPr>
      </w:pPr>
      <w:r w:rsidRPr="006000D3">
        <w:rPr>
          <w:rFonts w:asciiTheme="minorHAnsi" w:hAnsiTheme="minorHAnsi" w:cstheme="minorHAnsi"/>
          <w:i/>
          <w:iCs/>
          <w:color w:val="000000" w:themeColor="text1"/>
        </w:rPr>
        <w:tab/>
      </w:r>
      <w:r w:rsidRPr="006000D3">
        <w:rPr>
          <w:rFonts w:asciiTheme="minorHAnsi" w:hAnsiTheme="minorHAnsi" w:cstheme="minorHAnsi"/>
          <w:b/>
          <w:bCs/>
          <w:color w:val="000000" w:themeColor="text1"/>
        </w:rPr>
        <w:t xml:space="preserve">I am satisfied that the Safeguard Rules as amended are consistent with safeguard outcome (b): that total net safeguard emissions for </w:t>
      </w:r>
      <w:proofErr w:type="gramStart"/>
      <w:r w:rsidRPr="006000D3">
        <w:rPr>
          <w:rFonts w:asciiTheme="minorHAnsi" w:hAnsiTheme="minorHAnsi" w:cstheme="minorHAnsi"/>
          <w:b/>
          <w:bCs/>
          <w:color w:val="000000" w:themeColor="text1"/>
        </w:rPr>
        <w:t>all of</w:t>
      </w:r>
      <w:proofErr w:type="gramEnd"/>
      <w:r w:rsidRPr="006000D3">
        <w:rPr>
          <w:rFonts w:asciiTheme="minorHAnsi" w:hAnsiTheme="minorHAnsi" w:cstheme="minorHAnsi"/>
          <w:b/>
          <w:bCs/>
          <w:color w:val="000000" w:themeColor="text1"/>
        </w:rPr>
        <w:t xml:space="preserve"> the financial years between 1 July 2020 and 30 June 2030 do not exceed a total of 1,233 million tonnes of carbon dioxide equivalence.</w:t>
      </w:r>
    </w:p>
    <w:p w14:paraId="4AB932BD" w14:textId="77777777" w:rsidR="004C7222" w:rsidRPr="006000D3" w:rsidRDefault="004C7222" w:rsidP="004C7222">
      <w:pPr>
        <w:pStyle w:val="ListNumberDotted"/>
        <w:rPr>
          <w:rFonts w:cstheme="minorHAnsi"/>
          <w:color w:val="000000" w:themeColor="text1"/>
          <w:lang w:eastAsia="en-AU"/>
        </w:rPr>
      </w:pPr>
      <w:bookmarkStart w:id="12" w:name="_Ref142315878"/>
      <w:r w:rsidRPr="006000D3">
        <w:rPr>
          <w:rFonts w:cstheme="minorHAnsi"/>
          <w:color w:val="000000" w:themeColor="text1"/>
          <w:lang w:eastAsia="en-AU"/>
        </w:rPr>
        <w:t>The 2024 Best Practice Emissions Intensities Update updates certain PVs and default EIs and inserts new PVs, default EIs and 16 best practice EIs into Schedule 1 of the Safeguard Rules.  The updates to default EIs and best practice EIs in Schedule 1 of the Safeguard Rules contribute to updated baseline emission numbers for existing facilities as set out in Division 2, Part 3 of the Safeguard Rules. Best practice EIs will only apply to an existing facility if it begins new production of a PV. The best practice EIs in Schedule 1 will impact the baseline emissions number for a new facility in accordance with the formula set out in section 29 of the Safeguard Rules.</w:t>
      </w:r>
      <w:bookmarkEnd w:id="12"/>
    </w:p>
    <w:p w14:paraId="3DDC6842" w14:textId="77777777" w:rsidR="004C7222" w:rsidRPr="006000D3" w:rsidRDefault="004C7222" w:rsidP="004C7222">
      <w:pPr>
        <w:pStyle w:val="ListNumberDotted"/>
        <w:rPr>
          <w:rFonts w:cstheme="minorHAnsi"/>
          <w:color w:val="000000" w:themeColor="text1"/>
          <w:lang w:eastAsia="en-AU"/>
        </w:rPr>
      </w:pPr>
      <w:r w:rsidRPr="006000D3">
        <w:rPr>
          <w:rFonts w:cstheme="minorHAnsi"/>
          <w:color w:val="000000" w:themeColor="text1"/>
          <w:lang w:eastAsia="en-AU"/>
        </w:rPr>
        <w:t xml:space="preserve">Safeguard outcome (b) is engaged because PV definitions, default EIs and best practice EIs are used to calculate Safeguard baselines, which affect net Safeguard emissions, and the Safeguard Mechanism requires designated large facilities to have net emissions below their baseline. </w:t>
      </w:r>
    </w:p>
    <w:p w14:paraId="4B987F85" w14:textId="77777777" w:rsidR="004C7222" w:rsidRPr="006000D3" w:rsidRDefault="004C7222" w:rsidP="004C7222">
      <w:pPr>
        <w:pStyle w:val="ListNumberDotted"/>
        <w:rPr>
          <w:rFonts w:cstheme="minorHAnsi"/>
          <w:color w:val="000000" w:themeColor="text1"/>
        </w:rPr>
      </w:pPr>
      <w:bookmarkStart w:id="13" w:name="_Ref153312707"/>
      <w:r w:rsidRPr="006000D3">
        <w:rPr>
          <w:rFonts w:cstheme="minorHAnsi"/>
          <w:color w:val="000000" w:themeColor="text1"/>
          <w:lang w:eastAsia="en-AU"/>
        </w:rPr>
        <w:t>The Department has</w:t>
      </w:r>
      <w:r w:rsidRPr="006000D3" w:rsidDel="006F2168">
        <w:rPr>
          <w:rFonts w:cstheme="minorHAnsi"/>
          <w:color w:val="000000" w:themeColor="text1"/>
          <w:lang w:eastAsia="en-AU"/>
        </w:rPr>
        <w:t xml:space="preserve"> </w:t>
      </w:r>
      <w:r w:rsidRPr="006000D3">
        <w:rPr>
          <w:rFonts w:cstheme="minorHAnsi"/>
          <w:color w:val="000000" w:themeColor="text1"/>
          <w:lang w:eastAsia="en-AU"/>
        </w:rPr>
        <w:t xml:space="preserve">updated its net emissions analysis, which I relied on for my 3 May 2023 statement of reasons, 29 September 2023 statement of reasons and 22 April 2024 statement of reasons, to reflect the effect of the 2024 Best Practice Emissions Intensities Update, </w:t>
      </w:r>
      <w:proofErr w:type="gramStart"/>
      <w:r w:rsidRPr="006000D3">
        <w:rPr>
          <w:rFonts w:cstheme="minorHAnsi"/>
          <w:color w:val="000000" w:themeColor="text1"/>
          <w:lang w:eastAsia="en-AU"/>
        </w:rPr>
        <w:t>and also</w:t>
      </w:r>
      <w:proofErr w:type="gramEnd"/>
      <w:r w:rsidRPr="006000D3">
        <w:rPr>
          <w:rFonts w:cstheme="minorHAnsi"/>
          <w:color w:val="000000" w:themeColor="text1"/>
          <w:lang w:eastAsia="en-AU"/>
        </w:rPr>
        <w:t xml:space="preserve"> reflect new data and revised baseline estimates</w:t>
      </w:r>
      <w:bookmarkEnd w:id="13"/>
      <w:r w:rsidRPr="006000D3">
        <w:rPr>
          <w:rFonts w:eastAsia="Calibri" w:cstheme="minorHAnsi"/>
        </w:rPr>
        <w:t xml:space="preserve">. </w:t>
      </w:r>
    </w:p>
    <w:p w14:paraId="3460FF76" w14:textId="77777777" w:rsidR="004C7222" w:rsidRPr="006000D3" w:rsidRDefault="004C7222" w:rsidP="004C7222">
      <w:pPr>
        <w:pStyle w:val="ListNumberDotted"/>
        <w:rPr>
          <w:rFonts w:cstheme="minorHAnsi"/>
          <w:color w:val="000000" w:themeColor="text1"/>
        </w:rPr>
      </w:pPr>
      <w:r w:rsidRPr="006000D3">
        <w:rPr>
          <w:rFonts w:cstheme="minorHAnsi"/>
          <w:color w:val="000000" w:themeColor="text1"/>
          <w:lang w:eastAsia="en-AU"/>
        </w:rPr>
        <w:t>I have taken the results of the Department’s updated net emissions analysis, which is described below, into account to be satisfied that the Safeguard Rules as amended are consistent with safeguard outcome (b).</w:t>
      </w:r>
      <w:r w:rsidRPr="006000D3">
        <w:rPr>
          <w:rFonts w:cstheme="minorHAnsi"/>
          <w:color w:val="000000" w:themeColor="text1"/>
        </w:rPr>
        <w:t xml:space="preserve"> In summary, the updated estimated aggregate baselines will be slightly higher because of the changes to PVs and EIs in the 2024 Best Practice Emissions Intensities Update. However, the updated estimated aggregated baselines will still be under the Safeguard net emissions budget of 1,233 Mt for the period 1 July 2020 and 30 June 2030. Designated large facilities must keep their net emissions below their </w:t>
      </w:r>
      <w:r w:rsidRPr="006000D3">
        <w:rPr>
          <w:rFonts w:cstheme="minorHAnsi"/>
          <w:color w:val="000000" w:themeColor="text1"/>
        </w:rPr>
        <w:lastRenderedPageBreak/>
        <w:t>baseline and this analysis continues to show that net Safeguard emissions will remain under the maximum of 1,233 tonnes of CO</w:t>
      </w:r>
      <w:r w:rsidRPr="006000D3">
        <w:rPr>
          <w:rFonts w:cstheme="minorHAnsi"/>
          <w:color w:val="000000" w:themeColor="text1"/>
          <w:vertAlign w:val="subscript"/>
        </w:rPr>
        <w:t>2</w:t>
      </w:r>
      <w:r w:rsidRPr="006000D3">
        <w:rPr>
          <w:rFonts w:cstheme="minorHAnsi"/>
          <w:color w:val="000000" w:themeColor="text1"/>
        </w:rPr>
        <w:t xml:space="preserve">-e in safeguard outcome (b). </w:t>
      </w:r>
    </w:p>
    <w:p w14:paraId="08352C29" w14:textId="77777777" w:rsidR="004C7222" w:rsidRPr="006000D3" w:rsidRDefault="004C7222" w:rsidP="004C7222">
      <w:pPr>
        <w:pStyle w:val="ListNumberDotted"/>
        <w:rPr>
          <w:rFonts w:cstheme="minorHAnsi"/>
          <w:lang w:eastAsia="en-AU"/>
        </w:rPr>
      </w:pPr>
      <w:bookmarkStart w:id="14" w:name="_Ref142481660"/>
      <w:r w:rsidRPr="006000D3">
        <w:rPr>
          <w:rFonts w:cstheme="minorHAnsi"/>
          <w:color w:val="000000" w:themeColor="text1"/>
          <w:lang w:eastAsia="en-AU"/>
        </w:rPr>
        <w:t xml:space="preserve">The </w:t>
      </w:r>
      <w:r w:rsidRPr="006000D3">
        <w:rPr>
          <w:rFonts w:cstheme="minorHAnsi"/>
          <w:color w:val="000000" w:themeColor="text1"/>
        </w:rPr>
        <w:t>1,233 Mt CO</w:t>
      </w:r>
      <w:r w:rsidRPr="006000D3">
        <w:rPr>
          <w:rFonts w:cstheme="minorHAnsi"/>
          <w:color w:val="000000" w:themeColor="text1"/>
          <w:vertAlign w:val="subscript"/>
        </w:rPr>
        <w:t>2</w:t>
      </w:r>
      <w:r w:rsidRPr="006000D3">
        <w:rPr>
          <w:rFonts w:cstheme="minorHAnsi"/>
          <w:color w:val="000000" w:themeColor="text1"/>
        </w:rPr>
        <w:t>-e Safeguard net emissions budget for the period 1 July 2020 and 30 June 2030 corresponds to an 821* Mt CO</w:t>
      </w:r>
      <w:r w:rsidRPr="006000D3">
        <w:rPr>
          <w:rFonts w:cstheme="minorHAnsi"/>
          <w:color w:val="000000" w:themeColor="text1"/>
          <w:vertAlign w:val="subscript"/>
        </w:rPr>
        <w:t>2</w:t>
      </w:r>
      <w:r w:rsidRPr="006000D3">
        <w:rPr>
          <w:rFonts w:cstheme="minorHAnsi"/>
          <w:color w:val="000000" w:themeColor="text1"/>
        </w:rPr>
        <w:t>-e net emissions budget for the period between 2023</w:t>
      </w:r>
      <w:r w:rsidRPr="006000D3">
        <w:rPr>
          <w:rFonts w:cstheme="minorHAnsi"/>
          <w:color w:val="000000" w:themeColor="text1"/>
        </w:rPr>
        <w:noBreakHyphen/>
        <w:t xml:space="preserve">24 to 2029-30, reflecting reported net emissions of 412* Mt between 2020-21 and 2022-23. </w:t>
      </w:r>
    </w:p>
    <w:p w14:paraId="7AEBCFA6" w14:textId="77777777" w:rsidR="004C7222" w:rsidRPr="006000D3" w:rsidRDefault="004C7222" w:rsidP="004C7222">
      <w:pPr>
        <w:pStyle w:val="ListNumberDotted"/>
        <w:rPr>
          <w:rFonts w:cstheme="minorHAnsi"/>
          <w:lang w:eastAsia="en-AU"/>
        </w:rPr>
      </w:pPr>
      <w:r w:rsidRPr="006000D3">
        <w:rPr>
          <w:rFonts w:cstheme="minorHAnsi"/>
          <w:lang w:eastAsia="en-AU"/>
        </w:rPr>
        <w:t xml:space="preserve">My Department’s net emissions analysis underpinning the 22 April 2024 amendments projected baselines to total </w:t>
      </w:r>
      <w:r w:rsidRPr="006000D3">
        <w:rPr>
          <w:rFonts w:cstheme="minorHAnsi"/>
        </w:rPr>
        <w:t>net emissions of 802* Mt CO</w:t>
      </w:r>
      <w:r w:rsidRPr="006000D3">
        <w:rPr>
          <w:rFonts w:cstheme="minorHAnsi"/>
          <w:vertAlign w:val="subscript"/>
        </w:rPr>
        <w:t>2</w:t>
      </w:r>
      <w:r w:rsidRPr="006000D3">
        <w:rPr>
          <w:rFonts w:cstheme="minorHAnsi"/>
        </w:rPr>
        <w:t>-e between 2023</w:t>
      </w:r>
      <w:r w:rsidRPr="006000D3">
        <w:rPr>
          <w:rFonts w:cstheme="minorHAnsi"/>
        </w:rPr>
        <w:noBreakHyphen/>
        <w:t xml:space="preserve">24 to 2029-30 having regard to the changes made by the 2024 </w:t>
      </w:r>
      <w:r w:rsidRPr="006000D3">
        <w:rPr>
          <w:rFonts w:eastAsia="Times New Roman" w:cstheme="minorHAnsi"/>
          <w:lang w:eastAsia="en-AU"/>
        </w:rPr>
        <w:t>Production Variables Update</w:t>
      </w:r>
      <w:r w:rsidRPr="006000D3">
        <w:rPr>
          <w:rFonts w:cstheme="minorHAnsi"/>
        </w:rPr>
        <w:t>.</w:t>
      </w:r>
      <w:r w:rsidRPr="006000D3">
        <w:rPr>
          <w:rStyle w:val="FootnoteReference"/>
          <w:rFonts w:cstheme="minorHAnsi"/>
        </w:rPr>
        <w:footnoteReference w:id="8"/>
      </w:r>
      <w:r w:rsidRPr="006000D3">
        <w:rPr>
          <w:rFonts w:cstheme="minorHAnsi"/>
        </w:rPr>
        <w:t xml:space="preserve"> My Department has updated the net emissions analysis to reflect </w:t>
      </w:r>
      <w:r w:rsidRPr="006000D3">
        <w:rPr>
          <w:rFonts w:cstheme="minorHAnsi"/>
          <w:lang w:eastAsia="en-AU"/>
        </w:rPr>
        <w:t xml:space="preserve">the updates described in paragraph 30 above, including the 2024 Best Practice Emissions Intensities Update, and this results in an increase in </w:t>
      </w:r>
      <w:r w:rsidRPr="006000D3">
        <w:rPr>
          <w:rFonts w:cstheme="minorHAnsi"/>
        </w:rPr>
        <w:t>net covered emissions to 805* Mt between 2023</w:t>
      </w:r>
      <w:r w:rsidRPr="006000D3">
        <w:rPr>
          <w:rFonts w:cstheme="minorHAnsi"/>
        </w:rPr>
        <w:noBreakHyphen/>
        <w:t>24 to 2029-30</w:t>
      </w:r>
      <w:bookmarkEnd w:id="14"/>
      <w:r w:rsidRPr="006000D3">
        <w:rPr>
          <w:rFonts w:cstheme="minorHAnsi"/>
        </w:rPr>
        <w:t xml:space="preserve">. </w:t>
      </w:r>
    </w:p>
    <w:p w14:paraId="4389FA55" w14:textId="77777777" w:rsidR="004C7222" w:rsidRPr="006000D3" w:rsidRDefault="004C7222" w:rsidP="004C7222">
      <w:pPr>
        <w:pStyle w:val="ListNumberDotted"/>
        <w:rPr>
          <w:rFonts w:cstheme="minorHAnsi"/>
          <w:lang w:eastAsia="en-AU"/>
        </w:rPr>
      </w:pPr>
      <w:r w:rsidRPr="006000D3">
        <w:rPr>
          <w:rFonts w:cstheme="minorHAnsi"/>
        </w:rPr>
        <w:t>The net emissions analysis I considered in relation to 2024 Production Variables Update allowed for a reserve, to account for uncertainty about future emissions, of 19* Mt CO</w:t>
      </w:r>
      <w:r w:rsidRPr="006000D3">
        <w:rPr>
          <w:rFonts w:cstheme="minorHAnsi"/>
          <w:vertAlign w:val="subscript"/>
        </w:rPr>
        <w:t>2</w:t>
      </w:r>
      <w:r w:rsidRPr="006000D3">
        <w:rPr>
          <w:rFonts w:cstheme="minorHAnsi"/>
        </w:rPr>
        <w:t>-e.</w:t>
      </w:r>
      <w:r w:rsidRPr="006000D3">
        <w:rPr>
          <w:rStyle w:val="FootnoteReference"/>
          <w:rFonts w:cstheme="minorHAnsi"/>
        </w:rPr>
        <w:footnoteReference w:id="9"/>
      </w:r>
      <w:r w:rsidRPr="006000D3">
        <w:rPr>
          <w:rFonts w:cstheme="minorHAnsi"/>
        </w:rPr>
        <w:t xml:space="preserve">  The change in net emissions described above (805 Mt compared to 802 Mt) means that the reserve is now estimated at 16* Mt CO</w:t>
      </w:r>
      <w:r w:rsidRPr="006000D3">
        <w:rPr>
          <w:rFonts w:cstheme="minorHAnsi"/>
          <w:vertAlign w:val="subscript"/>
        </w:rPr>
        <w:t>2</w:t>
      </w:r>
      <w:r w:rsidRPr="006000D3">
        <w:rPr>
          <w:rFonts w:cstheme="minorHAnsi"/>
        </w:rPr>
        <w:t>-e.</w:t>
      </w:r>
    </w:p>
    <w:p w14:paraId="1F555F6E" w14:textId="77777777" w:rsidR="004C7222" w:rsidRPr="006000D3" w:rsidRDefault="004C7222" w:rsidP="004C7222">
      <w:pPr>
        <w:pStyle w:val="ListNumberDotted"/>
        <w:rPr>
          <w:rFonts w:cstheme="minorHAnsi"/>
          <w:lang w:eastAsia="en-AU"/>
        </w:rPr>
      </w:pPr>
      <w:r w:rsidRPr="006000D3">
        <w:rPr>
          <w:rFonts w:cstheme="minorHAnsi"/>
        </w:rPr>
        <w:t xml:space="preserve">Baselines for new facilities under the Safeguard Rules will be set at international best practice EI (as outlined in Part 3, Division 3 of the Safeguard Rules). Net covered emissions from new facilities are estimated at 7* Mt to 2030, compared to 4* Mt in the April statement of reasons. The increase is primarily due to updated data sources and </w:t>
      </w:r>
      <w:r w:rsidRPr="006000D3">
        <w:rPr>
          <w:rFonts w:cstheme="minorHAnsi"/>
          <w:lang w:eastAsia="en-AU"/>
        </w:rPr>
        <w:t>a revised approach to calculating baselines for new entrants which better incorporates production estimates and the impacts of the new best practice emissions intensities.</w:t>
      </w:r>
    </w:p>
    <w:p w14:paraId="293ABC8E" w14:textId="77777777" w:rsidR="004C7222" w:rsidRPr="006000D3" w:rsidRDefault="004C7222" w:rsidP="004C7222">
      <w:pPr>
        <w:pStyle w:val="ListNumberDotted"/>
        <w:rPr>
          <w:rFonts w:cstheme="minorHAnsi"/>
          <w:lang w:eastAsia="en-AU"/>
        </w:rPr>
      </w:pPr>
      <w:bookmarkStart w:id="15" w:name="_Ref171416382"/>
      <w:bookmarkStart w:id="16" w:name="_Ref142315897"/>
      <w:r w:rsidRPr="006000D3">
        <w:rPr>
          <w:rFonts w:cstheme="minorHAnsi"/>
          <w:lang w:eastAsia="en-AU"/>
        </w:rPr>
        <w:t xml:space="preserve">My </w:t>
      </w:r>
      <w:proofErr w:type="gramStart"/>
      <w:r w:rsidRPr="006000D3">
        <w:rPr>
          <w:rFonts w:cstheme="minorHAnsi"/>
          <w:lang w:eastAsia="en-AU"/>
        </w:rPr>
        <w:t>Department’s</w:t>
      </w:r>
      <w:proofErr w:type="gramEnd"/>
      <w:r w:rsidRPr="006000D3">
        <w:rPr>
          <w:rFonts w:cstheme="minorHAnsi"/>
          <w:lang w:eastAsia="en-AU"/>
        </w:rPr>
        <w:t xml:space="preserve"> net emissions analysis accounts for the impact of likely TEBA facilities, which receive a lower baseline decline rate. The 2024 Best Practice Emissions Intensities Update adds phosphoric acid and rare earth oxides to the trade exposed PVs listed in Schedule 2 of the Safeguard Rules. Facilities that have these PV as their primary PV may be eligible for TEBA status. The addition of the PVs will apply to facilities that are not yet designated large facilities. The potential future access to TEBA arrangements by operations which are not yet designated large facilities is mitigated by the existence of the reserve.</w:t>
      </w:r>
      <w:bookmarkEnd w:id="15"/>
    </w:p>
    <w:bookmarkEnd w:id="16"/>
    <w:p w14:paraId="4D6052E6" w14:textId="4B19143D" w:rsidR="004C7222" w:rsidRPr="006000D3" w:rsidRDefault="004C7222" w:rsidP="004C7222">
      <w:pPr>
        <w:pStyle w:val="ListNumberDotted"/>
        <w:rPr>
          <w:rFonts w:cstheme="minorHAnsi"/>
          <w:lang w:eastAsia="en-AU"/>
        </w:rPr>
      </w:pPr>
      <w:r w:rsidRPr="006000D3">
        <w:rPr>
          <w:rFonts w:cstheme="minorHAnsi"/>
          <w:lang w:eastAsia="en-AU"/>
        </w:rPr>
        <w:t xml:space="preserve">I am satisfied that the Safeguard Rules as amended are consistent with safeguard outcome (b), for the reasons outlined in paragraphs 29-35 of my 3 May 2023 statement of reasons, having regard to my Department’s updated analysis setting out expected net covered emissions of 805* </w:t>
      </w:r>
      <w:r w:rsidRPr="006000D3">
        <w:rPr>
          <w:rFonts w:cstheme="minorHAnsi"/>
        </w:rPr>
        <w:t>Mt CO</w:t>
      </w:r>
      <w:r w:rsidRPr="006000D3">
        <w:rPr>
          <w:rFonts w:cstheme="minorHAnsi"/>
          <w:vertAlign w:val="subscript"/>
        </w:rPr>
        <w:t>2</w:t>
      </w:r>
      <w:r w:rsidRPr="006000D3">
        <w:rPr>
          <w:rFonts w:cstheme="minorHAnsi"/>
        </w:rPr>
        <w:t xml:space="preserve">-e net </w:t>
      </w:r>
      <w:r w:rsidRPr="006000D3">
        <w:rPr>
          <w:rFonts w:cstheme="minorHAnsi"/>
          <w:lang w:eastAsia="en-AU"/>
        </w:rPr>
        <w:t xml:space="preserve">as a result of the 2024 Best Practice Emissions Intensities Update and the </w:t>
      </w:r>
      <w:r w:rsidRPr="006000D3">
        <w:rPr>
          <w:rFonts w:cstheme="minorHAnsi"/>
        </w:rPr>
        <w:t>821* Mt CO</w:t>
      </w:r>
      <w:r w:rsidRPr="006000D3">
        <w:rPr>
          <w:rFonts w:cstheme="minorHAnsi"/>
          <w:vertAlign w:val="subscript"/>
        </w:rPr>
        <w:t>2</w:t>
      </w:r>
      <w:r w:rsidRPr="006000D3">
        <w:rPr>
          <w:rFonts w:cstheme="minorHAnsi"/>
        </w:rPr>
        <w:t>-e net emissions budget for the period between 2023-24 to 2029-30</w:t>
      </w:r>
      <w:r w:rsidRPr="006000D3">
        <w:rPr>
          <w:rFonts w:cstheme="minorHAnsi"/>
          <w:lang w:eastAsia="en-AU"/>
        </w:rPr>
        <w:t xml:space="preserve">, described in paragraphs </w:t>
      </w:r>
      <w:r w:rsidRPr="006000D3">
        <w:rPr>
          <w:rFonts w:cstheme="minorHAnsi"/>
          <w:lang w:eastAsia="en-AU"/>
        </w:rPr>
        <w:fldChar w:fldCharType="begin"/>
      </w:r>
      <w:r w:rsidRPr="006000D3">
        <w:rPr>
          <w:rFonts w:cstheme="minorHAnsi"/>
          <w:lang w:eastAsia="en-AU"/>
        </w:rPr>
        <w:instrText xml:space="preserve"> REF _Ref142315878 \r \h </w:instrText>
      </w:r>
      <w:r w:rsidR="006000D3" w:rsidRPr="006000D3">
        <w:rPr>
          <w:rFonts w:cstheme="minorHAnsi"/>
          <w:lang w:eastAsia="en-AU"/>
        </w:rPr>
        <w:instrText xml:space="preserve"> \* MERGEFORMAT </w:instrText>
      </w:r>
      <w:r w:rsidRPr="006000D3">
        <w:rPr>
          <w:rFonts w:cstheme="minorHAnsi"/>
          <w:lang w:eastAsia="en-AU"/>
        </w:rPr>
      </w:r>
      <w:r w:rsidRPr="006000D3">
        <w:rPr>
          <w:rFonts w:cstheme="minorHAnsi"/>
          <w:lang w:eastAsia="en-AU"/>
        </w:rPr>
        <w:fldChar w:fldCharType="separate"/>
      </w:r>
      <w:r w:rsidRPr="006000D3">
        <w:rPr>
          <w:rFonts w:cstheme="minorHAnsi"/>
          <w:lang w:eastAsia="en-AU"/>
        </w:rPr>
        <w:t>28</w:t>
      </w:r>
      <w:r w:rsidRPr="006000D3">
        <w:rPr>
          <w:rFonts w:cstheme="minorHAnsi"/>
          <w:lang w:eastAsia="en-AU"/>
        </w:rPr>
        <w:fldChar w:fldCharType="end"/>
      </w:r>
      <w:r w:rsidRPr="006000D3">
        <w:rPr>
          <w:rFonts w:cstheme="minorHAnsi"/>
          <w:lang w:eastAsia="en-AU"/>
        </w:rPr>
        <w:t xml:space="preserve"> to </w:t>
      </w:r>
      <w:r w:rsidRPr="006000D3">
        <w:rPr>
          <w:rFonts w:cstheme="minorHAnsi"/>
          <w:lang w:eastAsia="en-AU"/>
        </w:rPr>
        <w:fldChar w:fldCharType="begin"/>
      </w:r>
      <w:r w:rsidRPr="006000D3">
        <w:rPr>
          <w:rFonts w:cstheme="minorHAnsi"/>
          <w:lang w:eastAsia="en-AU"/>
        </w:rPr>
        <w:instrText xml:space="preserve"> REF _Ref171416382 \r \h </w:instrText>
      </w:r>
      <w:r w:rsidR="006000D3" w:rsidRPr="006000D3">
        <w:rPr>
          <w:rFonts w:cstheme="minorHAnsi"/>
          <w:lang w:eastAsia="en-AU"/>
        </w:rPr>
        <w:instrText xml:space="preserve"> \* MERGEFORMAT </w:instrText>
      </w:r>
      <w:r w:rsidRPr="006000D3">
        <w:rPr>
          <w:rFonts w:cstheme="minorHAnsi"/>
          <w:lang w:eastAsia="en-AU"/>
        </w:rPr>
      </w:r>
      <w:r w:rsidRPr="006000D3">
        <w:rPr>
          <w:rFonts w:cstheme="minorHAnsi"/>
          <w:lang w:eastAsia="en-AU"/>
        </w:rPr>
        <w:fldChar w:fldCharType="separate"/>
      </w:r>
      <w:r w:rsidRPr="006000D3">
        <w:rPr>
          <w:rFonts w:cstheme="minorHAnsi"/>
          <w:lang w:eastAsia="en-AU"/>
        </w:rPr>
        <w:t>36</w:t>
      </w:r>
      <w:r w:rsidRPr="006000D3">
        <w:rPr>
          <w:rFonts w:cstheme="minorHAnsi"/>
          <w:lang w:eastAsia="en-AU"/>
        </w:rPr>
        <w:fldChar w:fldCharType="end"/>
      </w:r>
      <w:r w:rsidRPr="006000D3">
        <w:rPr>
          <w:rFonts w:cstheme="minorHAnsi"/>
          <w:lang w:eastAsia="en-AU"/>
        </w:rPr>
        <w:t xml:space="preserve"> above.</w:t>
      </w:r>
    </w:p>
    <w:p w14:paraId="03592E0E" w14:textId="77777777" w:rsidR="004C7222" w:rsidRPr="006000D3" w:rsidRDefault="004C7222" w:rsidP="004C7222">
      <w:pPr>
        <w:pStyle w:val="paragraph"/>
        <w:ind w:left="0" w:firstLine="0"/>
        <w:rPr>
          <w:rFonts w:asciiTheme="minorHAnsi" w:hAnsiTheme="minorHAnsi" w:cstheme="minorHAnsi"/>
          <w:b/>
        </w:rPr>
      </w:pPr>
      <w:r w:rsidRPr="006000D3">
        <w:rPr>
          <w:rFonts w:asciiTheme="minorHAnsi" w:eastAsiaTheme="minorEastAsia" w:hAnsiTheme="minorHAnsi" w:cstheme="minorHAnsi"/>
          <w:b/>
        </w:rPr>
        <w:t>I am satisfied that the Safeguard Rules as amended are consistent with safeguard outcome (c): that net safeguard emissions decline to (</w:t>
      </w:r>
      <w:proofErr w:type="spellStart"/>
      <w:r w:rsidRPr="006000D3">
        <w:rPr>
          <w:rFonts w:asciiTheme="minorHAnsi" w:eastAsiaTheme="minorEastAsia" w:hAnsiTheme="minorHAnsi" w:cstheme="minorHAnsi"/>
          <w:b/>
        </w:rPr>
        <w:t>i</w:t>
      </w:r>
      <w:proofErr w:type="spellEnd"/>
      <w:r w:rsidRPr="006000D3">
        <w:rPr>
          <w:rFonts w:asciiTheme="minorHAnsi" w:eastAsiaTheme="minorEastAsia" w:hAnsiTheme="minorHAnsi" w:cstheme="minorHAnsi"/>
          <w:b/>
        </w:rPr>
        <w:t xml:space="preserve">) no more than 100 million tonnes of carbon dioxide </w:t>
      </w:r>
      <w:r w:rsidRPr="006000D3">
        <w:rPr>
          <w:rFonts w:asciiTheme="minorHAnsi" w:eastAsiaTheme="minorEastAsia" w:hAnsiTheme="minorHAnsi" w:cstheme="minorHAnsi"/>
          <w:b/>
        </w:rPr>
        <w:lastRenderedPageBreak/>
        <w:t>equivalence for the financial year beginning on 1 July 2029; and (ii) zero for any financial year to begin after 30 June 2049</w:t>
      </w:r>
    </w:p>
    <w:p w14:paraId="0F48832A" w14:textId="77777777" w:rsidR="004C7222" w:rsidRPr="006000D3" w:rsidRDefault="004C7222" w:rsidP="004C7222">
      <w:pPr>
        <w:pStyle w:val="ListNumberDotted"/>
        <w:rPr>
          <w:rFonts w:cstheme="minorHAnsi"/>
        </w:rPr>
      </w:pPr>
      <w:r w:rsidRPr="006000D3">
        <w:rPr>
          <w:rFonts w:cstheme="minorHAnsi"/>
          <w:color w:val="000000" w:themeColor="text1"/>
          <w:lang w:eastAsia="en-AU"/>
        </w:rPr>
        <w:t xml:space="preserve">My </w:t>
      </w:r>
      <w:proofErr w:type="gramStart"/>
      <w:r w:rsidRPr="006000D3">
        <w:rPr>
          <w:rFonts w:cstheme="minorHAnsi"/>
          <w:color w:val="000000" w:themeColor="text1"/>
          <w:lang w:eastAsia="en-AU"/>
        </w:rPr>
        <w:t>Department’s</w:t>
      </w:r>
      <w:proofErr w:type="gramEnd"/>
      <w:r w:rsidRPr="006000D3">
        <w:rPr>
          <w:rFonts w:cstheme="minorHAnsi"/>
          <w:color w:val="000000" w:themeColor="text1"/>
          <w:lang w:eastAsia="en-AU"/>
        </w:rPr>
        <w:t xml:space="preserve"> previous April 2024 net emissions analysis based on the Safeguard Rules, as amended by the 2024 Production Variables Update, forecasted that net Safeguard </w:t>
      </w:r>
      <w:r w:rsidRPr="006000D3">
        <w:rPr>
          <w:rFonts w:cstheme="minorHAnsi"/>
          <w:lang w:eastAsia="en-AU"/>
        </w:rPr>
        <w:t xml:space="preserve">emissions would decline to 96.3 Mt </w:t>
      </w:r>
      <w:r w:rsidRPr="006000D3">
        <w:rPr>
          <w:rFonts w:cstheme="minorHAnsi"/>
        </w:rPr>
        <w:t>CO</w:t>
      </w:r>
      <w:r w:rsidRPr="006000D3">
        <w:rPr>
          <w:rFonts w:cstheme="minorHAnsi"/>
          <w:vertAlign w:val="subscript"/>
        </w:rPr>
        <w:t>2</w:t>
      </w:r>
      <w:r w:rsidRPr="006000D3">
        <w:rPr>
          <w:rFonts w:cstheme="minorHAnsi"/>
        </w:rPr>
        <w:t>-e</w:t>
      </w:r>
      <w:r w:rsidRPr="006000D3">
        <w:rPr>
          <w:rFonts w:cstheme="minorHAnsi"/>
          <w:lang w:eastAsia="en-AU"/>
        </w:rPr>
        <w:t xml:space="preserve"> in 2029-30 (taking into account the reserve allowance), which is below 100 Mt </w:t>
      </w:r>
      <w:r w:rsidRPr="006000D3">
        <w:rPr>
          <w:rFonts w:cstheme="minorHAnsi"/>
        </w:rPr>
        <w:t>CO</w:t>
      </w:r>
      <w:r w:rsidRPr="006000D3">
        <w:rPr>
          <w:rFonts w:cstheme="minorHAnsi"/>
          <w:vertAlign w:val="subscript"/>
        </w:rPr>
        <w:t>2</w:t>
      </w:r>
      <w:r w:rsidRPr="006000D3">
        <w:rPr>
          <w:rFonts w:cstheme="minorHAnsi"/>
        </w:rPr>
        <w:t>-e</w:t>
      </w:r>
      <w:r w:rsidRPr="006000D3">
        <w:rPr>
          <w:rFonts w:cstheme="minorHAnsi"/>
          <w:lang w:eastAsia="en-AU"/>
        </w:rPr>
        <w:t>.</w:t>
      </w:r>
    </w:p>
    <w:p w14:paraId="6BDC9EF3" w14:textId="77777777" w:rsidR="004C7222" w:rsidRPr="006000D3" w:rsidRDefault="004C7222" w:rsidP="004C7222">
      <w:pPr>
        <w:pStyle w:val="ListNumberDotted"/>
        <w:rPr>
          <w:rFonts w:cstheme="minorHAnsi"/>
        </w:rPr>
      </w:pPr>
      <w:r w:rsidRPr="006000D3">
        <w:rPr>
          <w:rFonts w:cstheme="minorHAnsi"/>
        </w:rPr>
        <w:t xml:space="preserve">My </w:t>
      </w:r>
      <w:proofErr w:type="gramStart"/>
      <w:r w:rsidRPr="006000D3">
        <w:rPr>
          <w:rFonts w:cstheme="minorHAnsi"/>
        </w:rPr>
        <w:t>Department</w:t>
      </w:r>
      <w:proofErr w:type="gramEnd"/>
      <w:r w:rsidRPr="006000D3">
        <w:rPr>
          <w:rFonts w:cstheme="minorHAnsi"/>
        </w:rPr>
        <w:t xml:space="preserve"> has updated the net emission analysis to reflect </w:t>
      </w:r>
      <w:r w:rsidRPr="006000D3">
        <w:rPr>
          <w:rFonts w:cstheme="minorHAnsi"/>
          <w:lang w:eastAsia="en-AU"/>
        </w:rPr>
        <w:t xml:space="preserve">the 2024 Best Practice Emissions Intensities Update. Based on these updates, net Safeguard emissions are expected to be </w:t>
      </w:r>
      <w:r w:rsidRPr="006000D3">
        <w:rPr>
          <w:rFonts w:eastAsia="Calibri" w:cstheme="minorHAnsi"/>
        </w:rPr>
        <w:t xml:space="preserve">94.2 </w:t>
      </w:r>
      <w:r w:rsidRPr="006000D3">
        <w:rPr>
          <w:rFonts w:cstheme="minorHAnsi"/>
          <w:lang w:eastAsia="en-AU"/>
        </w:rPr>
        <w:t xml:space="preserve">Mt </w:t>
      </w:r>
      <w:r w:rsidRPr="006000D3">
        <w:rPr>
          <w:rFonts w:cstheme="minorHAnsi"/>
        </w:rPr>
        <w:t>CO</w:t>
      </w:r>
      <w:r w:rsidRPr="006000D3">
        <w:rPr>
          <w:rFonts w:cstheme="minorHAnsi"/>
          <w:vertAlign w:val="subscript"/>
        </w:rPr>
        <w:t>2</w:t>
      </w:r>
      <w:r w:rsidRPr="006000D3">
        <w:rPr>
          <w:rFonts w:cstheme="minorHAnsi"/>
        </w:rPr>
        <w:t xml:space="preserve">-e </w:t>
      </w:r>
      <w:r w:rsidRPr="006000D3">
        <w:rPr>
          <w:rFonts w:cstheme="minorHAnsi"/>
          <w:lang w:eastAsia="en-AU"/>
        </w:rPr>
        <w:t>in 2029-30</w:t>
      </w:r>
      <w:r w:rsidRPr="006000D3">
        <w:rPr>
          <w:rFonts w:cstheme="minorHAnsi"/>
        </w:rPr>
        <w:t xml:space="preserve">. </w:t>
      </w:r>
      <w:proofErr w:type="gramStart"/>
      <w:r w:rsidRPr="006000D3">
        <w:rPr>
          <w:rFonts w:cstheme="minorHAnsi"/>
        </w:rPr>
        <w:t xml:space="preserve">Taking </w:t>
      </w:r>
      <w:r w:rsidRPr="006000D3">
        <w:rPr>
          <w:rFonts w:cstheme="minorHAnsi"/>
          <w:lang w:eastAsia="en-AU"/>
        </w:rPr>
        <w:t>into account</w:t>
      </w:r>
      <w:proofErr w:type="gramEnd"/>
      <w:r w:rsidRPr="006000D3">
        <w:rPr>
          <w:rFonts w:cstheme="minorHAnsi"/>
          <w:lang w:eastAsia="en-AU"/>
        </w:rPr>
        <w:t xml:space="preserve"> the reserve allowance, these updates increase </w:t>
      </w:r>
      <w:r w:rsidRPr="006000D3">
        <w:rPr>
          <w:rFonts w:cstheme="minorHAnsi"/>
          <w:color w:val="000000" w:themeColor="text1"/>
          <w:lang w:eastAsia="en-AU"/>
        </w:rPr>
        <w:t xml:space="preserve">net Safeguard </w:t>
      </w:r>
      <w:r w:rsidRPr="006000D3">
        <w:rPr>
          <w:rFonts w:cstheme="minorHAnsi"/>
          <w:lang w:eastAsia="en-AU"/>
        </w:rPr>
        <w:t xml:space="preserve">emissions in 2029-30 from 96.3 Mt </w:t>
      </w:r>
      <w:r w:rsidRPr="006000D3">
        <w:rPr>
          <w:rFonts w:cstheme="minorHAnsi"/>
        </w:rPr>
        <w:t>CO</w:t>
      </w:r>
      <w:r w:rsidRPr="006000D3">
        <w:rPr>
          <w:rFonts w:cstheme="minorHAnsi"/>
          <w:vertAlign w:val="subscript"/>
        </w:rPr>
        <w:t>2</w:t>
      </w:r>
      <w:r w:rsidRPr="006000D3">
        <w:rPr>
          <w:rFonts w:cstheme="minorHAnsi"/>
        </w:rPr>
        <w:t>-e</w:t>
      </w:r>
      <w:r w:rsidRPr="006000D3">
        <w:rPr>
          <w:rFonts w:cstheme="minorHAnsi"/>
          <w:lang w:eastAsia="en-AU"/>
        </w:rPr>
        <w:t xml:space="preserve"> to 97.1 Mt </w:t>
      </w:r>
      <w:r w:rsidRPr="006000D3">
        <w:rPr>
          <w:rFonts w:cstheme="minorHAnsi"/>
        </w:rPr>
        <w:t>CO</w:t>
      </w:r>
      <w:r w:rsidRPr="006000D3">
        <w:rPr>
          <w:rFonts w:cstheme="minorHAnsi"/>
          <w:vertAlign w:val="subscript"/>
        </w:rPr>
        <w:t>2</w:t>
      </w:r>
      <w:r w:rsidRPr="006000D3">
        <w:rPr>
          <w:rFonts w:cstheme="minorHAnsi"/>
        </w:rPr>
        <w:noBreakHyphen/>
        <w:t>e</w:t>
      </w:r>
      <w:r w:rsidRPr="006000D3">
        <w:rPr>
          <w:rFonts w:cstheme="minorHAnsi"/>
          <w:lang w:eastAsia="en-AU"/>
        </w:rPr>
        <w:t xml:space="preserve">, which is below 100 Mt </w:t>
      </w:r>
      <w:r w:rsidRPr="006000D3">
        <w:rPr>
          <w:rFonts w:cstheme="minorHAnsi"/>
        </w:rPr>
        <w:t>CO</w:t>
      </w:r>
      <w:r w:rsidRPr="006000D3">
        <w:rPr>
          <w:rFonts w:cstheme="minorHAnsi"/>
          <w:vertAlign w:val="subscript"/>
        </w:rPr>
        <w:t>2</w:t>
      </w:r>
      <w:r w:rsidRPr="006000D3">
        <w:rPr>
          <w:rFonts w:cstheme="minorHAnsi"/>
        </w:rPr>
        <w:t>-e</w:t>
      </w:r>
      <w:r w:rsidRPr="006000D3">
        <w:rPr>
          <w:rFonts w:cstheme="minorHAnsi"/>
          <w:lang w:eastAsia="en-AU"/>
        </w:rPr>
        <w:t>. The increase is primarily driven by</w:t>
      </w:r>
      <w:r w:rsidRPr="006000D3">
        <w:rPr>
          <w:rFonts w:cstheme="minorHAnsi"/>
        </w:rPr>
        <w:t xml:space="preserve"> </w:t>
      </w:r>
      <w:r w:rsidRPr="006000D3">
        <w:rPr>
          <w:rFonts w:cstheme="minorHAnsi"/>
          <w:lang w:eastAsia="en-AU"/>
        </w:rPr>
        <w:t xml:space="preserve">the improvements in calculating baselines for new entrants. </w:t>
      </w:r>
      <w:r w:rsidRPr="006000D3">
        <w:rPr>
          <w:rFonts w:cstheme="minorHAnsi"/>
        </w:rPr>
        <w:t xml:space="preserve">As this is below </w:t>
      </w:r>
      <w:r w:rsidRPr="006000D3">
        <w:rPr>
          <w:rFonts w:cstheme="minorHAnsi"/>
          <w:lang w:eastAsia="en-AU"/>
        </w:rPr>
        <w:t xml:space="preserve">100 Mt </w:t>
      </w:r>
      <w:r w:rsidRPr="006000D3">
        <w:rPr>
          <w:rFonts w:cstheme="minorHAnsi"/>
        </w:rPr>
        <w:t>CO</w:t>
      </w:r>
      <w:r w:rsidRPr="006000D3">
        <w:rPr>
          <w:rFonts w:cstheme="minorHAnsi"/>
          <w:vertAlign w:val="subscript"/>
        </w:rPr>
        <w:t>2</w:t>
      </w:r>
      <w:r w:rsidRPr="006000D3">
        <w:rPr>
          <w:rFonts w:cstheme="minorHAnsi"/>
        </w:rPr>
        <w:t>-e, I am satisfied that the Safeguard Rules as amended are consistent with safeguard outcome (c)(</w:t>
      </w:r>
      <w:proofErr w:type="spellStart"/>
      <w:r w:rsidRPr="006000D3">
        <w:rPr>
          <w:rFonts w:cstheme="minorHAnsi"/>
        </w:rPr>
        <w:t>i</w:t>
      </w:r>
      <w:proofErr w:type="spellEnd"/>
      <w:r w:rsidRPr="006000D3">
        <w:rPr>
          <w:rFonts w:cstheme="minorHAnsi"/>
        </w:rPr>
        <w:t xml:space="preserve">). </w:t>
      </w:r>
    </w:p>
    <w:p w14:paraId="09CAAF11" w14:textId="77777777" w:rsidR="004C7222" w:rsidRPr="006000D3" w:rsidRDefault="004C7222" w:rsidP="004C7222">
      <w:pPr>
        <w:pStyle w:val="ListNumberDotted"/>
        <w:rPr>
          <w:rFonts w:cstheme="minorHAnsi"/>
        </w:rPr>
      </w:pPr>
      <w:r w:rsidRPr="006000D3">
        <w:rPr>
          <w:rFonts w:cstheme="minorHAnsi"/>
        </w:rPr>
        <w:t>As set out in Part 3, Division 5 of the Safeguard Rules, the default emissions reduction contribution for a financial year reduces to zero over the 20 years from 2030-31 to 2049-50, ensuring that aggregate baselines for designated large facilities reach net zero by 2049-50. Part 3, Division 1 of the Safeguard Rules requires that baselines for facilities for a financial year that begins after 30 June 2049 must be zero. The</w:t>
      </w:r>
      <w:r w:rsidRPr="006000D3" w:rsidDel="00805C2A">
        <w:rPr>
          <w:rFonts w:cstheme="minorHAnsi"/>
        </w:rPr>
        <w:t xml:space="preserve"> </w:t>
      </w:r>
      <w:r w:rsidRPr="006000D3">
        <w:rPr>
          <w:rFonts w:cstheme="minorHAnsi"/>
        </w:rPr>
        <w:t>2024 Best Practice Emissions Intensities Update does not alter this requirement and will not directly impact Part 3, Division 5. Having regard to Part 3 of the Safeguard Rules, I am satisfied the Safeguard Rules, as amended by the 2024 Production Variables Update, are consistent with safeguard outcome (c)(ii).</w:t>
      </w:r>
    </w:p>
    <w:p w14:paraId="3FAACA1C" w14:textId="77777777" w:rsidR="004C7222" w:rsidRPr="006000D3" w:rsidRDefault="004C7222" w:rsidP="004C7222">
      <w:pPr>
        <w:pStyle w:val="paragraph"/>
        <w:ind w:left="0" w:firstLine="0"/>
        <w:rPr>
          <w:rFonts w:asciiTheme="minorHAnsi" w:eastAsiaTheme="minorEastAsia" w:hAnsiTheme="minorHAnsi" w:cstheme="minorHAnsi"/>
          <w:b/>
        </w:rPr>
      </w:pPr>
      <w:r w:rsidRPr="006000D3">
        <w:rPr>
          <w:rFonts w:asciiTheme="minorHAnsi" w:eastAsiaTheme="minorEastAsia" w:hAnsiTheme="minorHAnsi" w:cstheme="minorHAnsi"/>
          <w:b/>
        </w:rPr>
        <w:t xml:space="preserve">I am satisfied that the Safeguard Rules as amended are consistent with safeguard outcome (d): that the 5-year rolling average safeguard emissions for each financial year that begins after 30 June 2024 are lower than the past 5-year rolling average safeguard emissions for that financial year. </w:t>
      </w:r>
    </w:p>
    <w:p w14:paraId="16187116" w14:textId="77777777" w:rsidR="004C7222" w:rsidRPr="006000D3" w:rsidRDefault="004C7222" w:rsidP="004C7222">
      <w:pPr>
        <w:pStyle w:val="ListNumberDotted"/>
        <w:rPr>
          <w:rFonts w:cstheme="minorHAnsi"/>
        </w:rPr>
      </w:pPr>
      <w:r w:rsidRPr="006000D3">
        <w:rPr>
          <w:rFonts w:cstheme="minorHAnsi"/>
        </w:rPr>
        <w:t xml:space="preserve">Safeguard outcome (d) requires the 5-year rolling average Safeguard emissions for each financial year that begins after 30 June 2024 to be lower than the past 5-year rolling average Safeguard emissions for that financial year, where the past 5-year rolling average Safeguard emissions is defined as one fifth of the total amount of Safeguard emissions for the 5 financial years previous to the financial year that ended 3 years before the start of the current financial year (for financial years that begin before 1 July 2027), and from the 2027-28 financial year onwards, for the 5 financial years that ended 2 years before the start of the current financial year. </w:t>
      </w:r>
    </w:p>
    <w:p w14:paraId="42B71576" w14:textId="77777777" w:rsidR="004C7222" w:rsidRPr="006000D3" w:rsidRDefault="004C7222" w:rsidP="004C7222">
      <w:pPr>
        <w:pStyle w:val="ListNumberDotted"/>
        <w:rPr>
          <w:rFonts w:cstheme="minorHAnsi"/>
        </w:rPr>
      </w:pPr>
      <w:r w:rsidRPr="006000D3">
        <w:rPr>
          <w:rFonts w:cstheme="minorHAnsi"/>
          <w:i/>
          <w:iCs/>
          <w:lang w:eastAsia="en-AU"/>
        </w:rPr>
        <w:t>Australia’s emissions projections 2023</w:t>
      </w:r>
      <w:r w:rsidRPr="006000D3">
        <w:rPr>
          <w:rFonts w:cstheme="minorHAnsi"/>
          <w:lang w:eastAsia="en-AU"/>
        </w:rPr>
        <w:t xml:space="preserve"> </w:t>
      </w:r>
      <w:r w:rsidRPr="006000D3">
        <w:rPr>
          <w:rFonts w:cstheme="minorHAnsi"/>
        </w:rPr>
        <w:t xml:space="preserve">include projections of onsite abatement at Safeguard facilities based on the central ‘progressive industry transition’ scenario in modelling commissioned from </w:t>
      </w:r>
      <w:proofErr w:type="spellStart"/>
      <w:r w:rsidRPr="006000D3">
        <w:rPr>
          <w:rFonts w:cstheme="minorHAnsi"/>
        </w:rPr>
        <w:t>RepuTex</w:t>
      </w:r>
      <w:proofErr w:type="spellEnd"/>
      <w:r w:rsidRPr="006000D3">
        <w:rPr>
          <w:rFonts w:cstheme="minorHAnsi"/>
        </w:rPr>
        <w:t xml:space="preserve">. The Department has updated the gross emissions analysis within the emissions projections to reflect revised baseline estimates </w:t>
      </w:r>
      <w:proofErr w:type="gramStart"/>
      <w:r w:rsidRPr="006000D3">
        <w:rPr>
          <w:rFonts w:cstheme="minorHAnsi"/>
        </w:rPr>
        <w:t>as a result of</w:t>
      </w:r>
      <w:proofErr w:type="gramEnd"/>
      <w:r w:rsidRPr="006000D3">
        <w:rPr>
          <w:rFonts w:cstheme="minorHAnsi"/>
        </w:rPr>
        <w:t xml:space="preserve"> the 2024 Best Practice Emissions Intensities Update. The updated analysis indicates that the 5-year rolling average Safeguard emissions for each financial year that begins after 30 June 2024 is lower than the past 5-year rolling average Safeguard emissions for that financial year (</w:t>
      </w:r>
      <w:r w:rsidRPr="006000D3">
        <w:rPr>
          <w:rFonts w:cstheme="minorHAnsi"/>
          <w:b/>
          <w:bCs/>
        </w:rPr>
        <w:t>Table 1</w:t>
      </w:r>
      <w:r w:rsidRPr="006000D3">
        <w:rPr>
          <w:rFonts w:cstheme="minorHAnsi"/>
        </w:rPr>
        <w:t>), which is consistent with outcome (d).</w:t>
      </w:r>
    </w:p>
    <w:p w14:paraId="04BF19C0" w14:textId="77777777" w:rsidR="004C7222" w:rsidRPr="006000D3" w:rsidRDefault="004C7222" w:rsidP="004C7222">
      <w:pPr>
        <w:pStyle w:val="ListNumberDotted"/>
        <w:numPr>
          <w:ilvl w:val="0"/>
          <w:numId w:val="0"/>
        </w:numPr>
        <w:ind w:left="284"/>
        <w:rPr>
          <w:rFonts w:cstheme="minorHAnsi"/>
          <w:lang w:eastAsia="en-AU"/>
        </w:rPr>
      </w:pPr>
      <w:r w:rsidRPr="006000D3">
        <w:rPr>
          <w:rFonts w:cstheme="minorHAnsi"/>
          <w:lang w:eastAsia="en-AU"/>
        </w:rPr>
        <w:lastRenderedPageBreak/>
        <w:tab/>
        <w:t>Table 1: Projected Safeguard gross emissions – Production Variables Update (</w:t>
      </w:r>
      <w:r w:rsidRPr="006000D3">
        <w:rPr>
          <w:rFonts w:cstheme="minorHAnsi"/>
          <w:bCs/>
        </w:rPr>
        <w:t>Mt CO</w:t>
      </w:r>
      <w:r w:rsidRPr="006000D3">
        <w:rPr>
          <w:rFonts w:cstheme="minorHAnsi"/>
          <w:bCs/>
          <w:vertAlign w:val="subscript"/>
        </w:rPr>
        <w:t>2</w:t>
      </w:r>
      <w:r w:rsidRPr="006000D3">
        <w:rPr>
          <w:rFonts w:cstheme="minorHAnsi"/>
          <w:bCs/>
        </w:rPr>
        <w: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1034"/>
        <w:gridCol w:w="912"/>
        <w:gridCol w:w="912"/>
        <w:gridCol w:w="912"/>
        <w:gridCol w:w="912"/>
        <w:gridCol w:w="912"/>
        <w:gridCol w:w="912"/>
      </w:tblGrid>
      <w:tr w:rsidR="004C7222" w:rsidRPr="006000D3" w14:paraId="0D2B5900" w14:textId="77777777" w:rsidTr="00124AE8">
        <w:trPr>
          <w:trHeight w:val="329"/>
        </w:trPr>
        <w:tc>
          <w:tcPr>
            <w:tcW w:w="2410" w:type="dxa"/>
            <w:shd w:val="clear" w:color="auto" w:fill="auto"/>
            <w:noWrap/>
            <w:vAlign w:val="center"/>
            <w:hideMark/>
          </w:tcPr>
          <w:p w14:paraId="324B91F9" w14:textId="77777777" w:rsidR="004C7222" w:rsidRPr="006000D3" w:rsidRDefault="004C7222" w:rsidP="001660A2">
            <w:pPr>
              <w:spacing w:before="120" w:after="120"/>
              <w:rPr>
                <w:rFonts w:asciiTheme="minorHAnsi" w:eastAsia="Times New Roman" w:hAnsiTheme="minorHAnsi" w:cstheme="minorHAnsi"/>
                <w:sz w:val="22"/>
                <w:lang w:eastAsia="en-AU"/>
              </w:rPr>
            </w:pPr>
            <w:r w:rsidRPr="006000D3">
              <w:rPr>
                <w:rFonts w:asciiTheme="minorHAnsi" w:eastAsia="Times New Roman" w:hAnsiTheme="minorHAnsi" w:cstheme="minorHAnsi"/>
                <w:sz w:val="22"/>
                <w:lang w:eastAsia="en-AU"/>
              </w:rPr>
              <w:t>FY ending</w:t>
            </w:r>
          </w:p>
        </w:tc>
        <w:tc>
          <w:tcPr>
            <w:tcW w:w="992" w:type="dxa"/>
            <w:shd w:val="clear" w:color="auto" w:fill="auto"/>
            <w:noWrap/>
            <w:vAlign w:val="bottom"/>
            <w:hideMark/>
          </w:tcPr>
          <w:p w14:paraId="182BD247" w14:textId="77777777" w:rsidR="004C7222" w:rsidRPr="006000D3" w:rsidRDefault="004C7222" w:rsidP="001660A2">
            <w:pPr>
              <w:spacing w:before="120" w:after="120"/>
              <w:jc w:val="center"/>
              <w:rPr>
                <w:rFonts w:asciiTheme="minorHAnsi" w:eastAsia="Times New Roman" w:hAnsiTheme="minorHAnsi" w:cstheme="minorHAnsi"/>
                <w:b/>
                <w:bCs/>
                <w:sz w:val="22"/>
                <w:lang w:eastAsia="en-AU"/>
              </w:rPr>
            </w:pPr>
            <w:r w:rsidRPr="006000D3">
              <w:rPr>
                <w:rFonts w:asciiTheme="minorHAnsi" w:eastAsia="Times New Roman" w:hAnsiTheme="minorHAnsi" w:cstheme="minorHAnsi"/>
                <w:b/>
                <w:bCs/>
                <w:sz w:val="22"/>
                <w:lang w:eastAsia="en-AU"/>
              </w:rPr>
              <w:t>2024</w:t>
            </w:r>
          </w:p>
        </w:tc>
        <w:tc>
          <w:tcPr>
            <w:tcW w:w="875" w:type="dxa"/>
            <w:shd w:val="clear" w:color="auto" w:fill="auto"/>
            <w:noWrap/>
            <w:vAlign w:val="bottom"/>
            <w:hideMark/>
          </w:tcPr>
          <w:p w14:paraId="642EB8F2" w14:textId="77777777" w:rsidR="004C7222" w:rsidRPr="006000D3" w:rsidRDefault="004C7222" w:rsidP="001660A2">
            <w:pPr>
              <w:spacing w:before="120" w:after="120"/>
              <w:jc w:val="center"/>
              <w:rPr>
                <w:rFonts w:asciiTheme="minorHAnsi" w:eastAsia="Times New Roman" w:hAnsiTheme="minorHAnsi" w:cstheme="minorHAnsi"/>
                <w:b/>
                <w:bCs/>
                <w:sz w:val="22"/>
                <w:lang w:eastAsia="en-AU"/>
              </w:rPr>
            </w:pPr>
            <w:r w:rsidRPr="006000D3">
              <w:rPr>
                <w:rFonts w:asciiTheme="minorHAnsi" w:eastAsia="Times New Roman" w:hAnsiTheme="minorHAnsi" w:cstheme="minorHAnsi"/>
                <w:b/>
                <w:bCs/>
                <w:sz w:val="22"/>
                <w:lang w:eastAsia="en-AU"/>
              </w:rPr>
              <w:t>2025</w:t>
            </w:r>
          </w:p>
        </w:tc>
        <w:tc>
          <w:tcPr>
            <w:tcW w:w="875" w:type="dxa"/>
            <w:shd w:val="clear" w:color="auto" w:fill="auto"/>
            <w:noWrap/>
            <w:vAlign w:val="bottom"/>
            <w:hideMark/>
          </w:tcPr>
          <w:p w14:paraId="6F79FCDE" w14:textId="77777777" w:rsidR="004C7222" w:rsidRPr="006000D3" w:rsidRDefault="004C7222" w:rsidP="001660A2">
            <w:pPr>
              <w:spacing w:before="120" w:after="120"/>
              <w:jc w:val="center"/>
              <w:rPr>
                <w:rFonts w:asciiTheme="minorHAnsi" w:eastAsia="Times New Roman" w:hAnsiTheme="minorHAnsi" w:cstheme="minorHAnsi"/>
                <w:b/>
                <w:bCs/>
                <w:sz w:val="22"/>
                <w:lang w:eastAsia="en-AU"/>
              </w:rPr>
            </w:pPr>
            <w:r w:rsidRPr="006000D3">
              <w:rPr>
                <w:rFonts w:asciiTheme="minorHAnsi" w:eastAsia="Times New Roman" w:hAnsiTheme="minorHAnsi" w:cstheme="minorHAnsi"/>
                <w:b/>
                <w:bCs/>
                <w:sz w:val="22"/>
                <w:lang w:eastAsia="en-AU"/>
              </w:rPr>
              <w:t>2026</w:t>
            </w:r>
          </w:p>
        </w:tc>
        <w:tc>
          <w:tcPr>
            <w:tcW w:w="875" w:type="dxa"/>
            <w:shd w:val="clear" w:color="auto" w:fill="auto"/>
            <w:noWrap/>
            <w:vAlign w:val="bottom"/>
            <w:hideMark/>
          </w:tcPr>
          <w:p w14:paraId="35E6D280" w14:textId="77777777" w:rsidR="004C7222" w:rsidRPr="006000D3" w:rsidRDefault="004C7222" w:rsidP="001660A2">
            <w:pPr>
              <w:spacing w:before="120" w:after="120"/>
              <w:jc w:val="center"/>
              <w:rPr>
                <w:rFonts w:asciiTheme="minorHAnsi" w:eastAsia="Times New Roman" w:hAnsiTheme="minorHAnsi" w:cstheme="minorHAnsi"/>
                <w:b/>
                <w:bCs/>
                <w:sz w:val="22"/>
                <w:lang w:eastAsia="en-AU"/>
              </w:rPr>
            </w:pPr>
            <w:r w:rsidRPr="006000D3">
              <w:rPr>
                <w:rFonts w:asciiTheme="minorHAnsi" w:eastAsia="Times New Roman" w:hAnsiTheme="minorHAnsi" w:cstheme="minorHAnsi"/>
                <w:b/>
                <w:bCs/>
                <w:sz w:val="22"/>
                <w:lang w:eastAsia="en-AU"/>
              </w:rPr>
              <w:t>2027</w:t>
            </w:r>
          </w:p>
        </w:tc>
        <w:tc>
          <w:tcPr>
            <w:tcW w:w="875" w:type="dxa"/>
            <w:shd w:val="clear" w:color="auto" w:fill="auto"/>
            <w:noWrap/>
            <w:vAlign w:val="bottom"/>
            <w:hideMark/>
          </w:tcPr>
          <w:p w14:paraId="73264A18" w14:textId="77777777" w:rsidR="004C7222" w:rsidRPr="006000D3" w:rsidRDefault="004C7222" w:rsidP="001660A2">
            <w:pPr>
              <w:spacing w:before="120" w:after="120"/>
              <w:jc w:val="center"/>
              <w:rPr>
                <w:rFonts w:asciiTheme="minorHAnsi" w:eastAsia="Times New Roman" w:hAnsiTheme="minorHAnsi" w:cstheme="minorHAnsi"/>
                <w:b/>
                <w:bCs/>
                <w:sz w:val="22"/>
                <w:lang w:eastAsia="en-AU"/>
              </w:rPr>
            </w:pPr>
            <w:r w:rsidRPr="006000D3">
              <w:rPr>
                <w:rFonts w:asciiTheme="minorHAnsi" w:eastAsia="Times New Roman" w:hAnsiTheme="minorHAnsi" w:cstheme="minorHAnsi"/>
                <w:b/>
                <w:bCs/>
                <w:sz w:val="22"/>
                <w:lang w:eastAsia="en-AU"/>
              </w:rPr>
              <w:t>2028</w:t>
            </w:r>
          </w:p>
        </w:tc>
        <w:tc>
          <w:tcPr>
            <w:tcW w:w="875" w:type="dxa"/>
            <w:shd w:val="clear" w:color="auto" w:fill="auto"/>
            <w:noWrap/>
            <w:vAlign w:val="bottom"/>
            <w:hideMark/>
          </w:tcPr>
          <w:p w14:paraId="1EF57381" w14:textId="77777777" w:rsidR="004C7222" w:rsidRPr="006000D3" w:rsidRDefault="004C7222" w:rsidP="001660A2">
            <w:pPr>
              <w:spacing w:before="120" w:after="120"/>
              <w:jc w:val="center"/>
              <w:rPr>
                <w:rFonts w:asciiTheme="minorHAnsi" w:eastAsia="Times New Roman" w:hAnsiTheme="minorHAnsi" w:cstheme="minorHAnsi"/>
                <w:b/>
                <w:bCs/>
                <w:sz w:val="22"/>
                <w:lang w:eastAsia="en-AU"/>
              </w:rPr>
            </w:pPr>
            <w:r w:rsidRPr="006000D3">
              <w:rPr>
                <w:rFonts w:asciiTheme="minorHAnsi" w:eastAsia="Times New Roman" w:hAnsiTheme="minorHAnsi" w:cstheme="minorHAnsi"/>
                <w:b/>
                <w:bCs/>
                <w:sz w:val="22"/>
                <w:lang w:eastAsia="en-AU"/>
              </w:rPr>
              <w:t>2029</w:t>
            </w:r>
          </w:p>
        </w:tc>
        <w:tc>
          <w:tcPr>
            <w:tcW w:w="875" w:type="dxa"/>
            <w:shd w:val="clear" w:color="auto" w:fill="auto"/>
            <w:noWrap/>
            <w:vAlign w:val="bottom"/>
            <w:hideMark/>
          </w:tcPr>
          <w:p w14:paraId="495CEE36" w14:textId="77777777" w:rsidR="004C7222" w:rsidRPr="006000D3" w:rsidRDefault="004C7222" w:rsidP="001660A2">
            <w:pPr>
              <w:spacing w:before="120" w:after="120"/>
              <w:jc w:val="center"/>
              <w:rPr>
                <w:rFonts w:asciiTheme="minorHAnsi" w:eastAsia="Times New Roman" w:hAnsiTheme="minorHAnsi" w:cstheme="minorHAnsi"/>
                <w:b/>
                <w:bCs/>
                <w:sz w:val="22"/>
                <w:lang w:eastAsia="en-AU"/>
              </w:rPr>
            </w:pPr>
            <w:r w:rsidRPr="006000D3">
              <w:rPr>
                <w:rFonts w:asciiTheme="minorHAnsi" w:eastAsia="Times New Roman" w:hAnsiTheme="minorHAnsi" w:cstheme="minorHAnsi"/>
                <w:b/>
                <w:bCs/>
                <w:sz w:val="22"/>
                <w:lang w:eastAsia="en-AU"/>
              </w:rPr>
              <w:t>2030</w:t>
            </w:r>
          </w:p>
        </w:tc>
      </w:tr>
      <w:tr w:rsidR="004C7222" w:rsidRPr="006000D3" w14:paraId="731B7940" w14:textId="77777777" w:rsidTr="00124AE8">
        <w:trPr>
          <w:trHeight w:val="329"/>
        </w:trPr>
        <w:tc>
          <w:tcPr>
            <w:tcW w:w="2410" w:type="dxa"/>
            <w:shd w:val="clear" w:color="auto" w:fill="auto"/>
            <w:noWrap/>
            <w:vAlign w:val="center"/>
          </w:tcPr>
          <w:p w14:paraId="5301FE23" w14:textId="77777777" w:rsidR="004C7222" w:rsidRPr="006000D3" w:rsidRDefault="004C7222" w:rsidP="001660A2">
            <w:pPr>
              <w:spacing w:before="120" w:after="120"/>
              <w:rPr>
                <w:rFonts w:asciiTheme="minorHAnsi" w:eastAsia="Times New Roman" w:hAnsiTheme="minorHAnsi" w:cstheme="minorHAnsi"/>
                <w:sz w:val="22"/>
                <w:lang w:eastAsia="en-AU"/>
              </w:rPr>
            </w:pPr>
            <w:r w:rsidRPr="006000D3">
              <w:rPr>
                <w:rFonts w:asciiTheme="minorHAnsi" w:eastAsia="Times New Roman" w:hAnsiTheme="minorHAnsi" w:cstheme="minorHAnsi"/>
                <w:sz w:val="22"/>
                <w:lang w:eastAsia="en-AU"/>
              </w:rPr>
              <w:t>Gross emissions</w:t>
            </w:r>
          </w:p>
        </w:tc>
        <w:tc>
          <w:tcPr>
            <w:tcW w:w="992" w:type="dxa"/>
            <w:shd w:val="clear" w:color="auto" w:fill="auto"/>
            <w:noWrap/>
            <w:vAlign w:val="bottom"/>
          </w:tcPr>
          <w:p w14:paraId="0E7F53D8"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sz w:val="22"/>
              </w:rPr>
              <w:t>138.6</w:t>
            </w:r>
          </w:p>
        </w:tc>
        <w:tc>
          <w:tcPr>
            <w:tcW w:w="875" w:type="dxa"/>
            <w:shd w:val="clear" w:color="auto" w:fill="auto"/>
            <w:noWrap/>
            <w:vAlign w:val="bottom"/>
          </w:tcPr>
          <w:p w14:paraId="45C031C0"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sz w:val="22"/>
              </w:rPr>
              <w:t>136.9</w:t>
            </w:r>
          </w:p>
        </w:tc>
        <w:tc>
          <w:tcPr>
            <w:tcW w:w="875" w:type="dxa"/>
            <w:shd w:val="clear" w:color="auto" w:fill="auto"/>
            <w:noWrap/>
            <w:vAlign w:val="bottom"/>
          </w:tcPr>
          <w:p w14:paraId="794179FF"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sz w:val="22"/>
              </w:rPr>
              <w:t>134.6</w:t>
            </w:r>
          </w:p>
        </w:tc>
        <w:tc>
          <w:tcPr>
            <w:tcW w:w="875" w:type="dxa"/>
            <w:shd w:val="clear" w:color="auto" w:fill="auto"/>
            <w:noWrap/>
            <w:vAlign w:val="bottom"/>
          </w:tcPr>
          <w:p w14:paraId="5FF23760"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sz w:val="22"/>
              </w:rPr>
              <w:t>135.5</w:t>
            </w:r>
          </w:p>
        </w:tc>
        <w:tc>
          <w:tcPr>
            <w:tcW w:w="875" w:type="dxa"/>
            <w:shd w:val="clear" w:color="auto" w:fill="auto"/>
            <w:noWrap/>
            <w:vAlign w:val="bottom"/>
          </w:tcPr>
          <w:p w14:paraId="6A4354EF"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sz w:val="22"/>
              </w:rPr>
              <w:t>133.6</w:t>
            </w:r>
          </w:p>
        </w:tc>
        <w:tc>
          <w:tcPr>
            <w:tcW w:w="875" w:type="dxa"/>
            <w:shd w:val="clear" w:color="auto" w:fill="auto"/>
            <w:noWrap/>
            <w:vAlign w:val="bottom"/>
          </w:tcPr>
          <w:p w14:paraId="341E46B7"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sz w:val="22"/>
              </w:rPr>
              <w:t>128.4</w:t>
            </w:r>
          </w:p>
        </w:tc>
        <w:tc>
          <w:tcPr>
            <w:tcW w:w="875" w:type="dxa"/>
            <w:shd w:val="clear" w:color="auto" w:fill="auto"/>
            <w:noWrap/>
            <w:vAlign w:val="bottom"/>
          </w:tcPr>
          <w:p w14:paraId="088BB7EB"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sz w:val="22"/>
              </w:rPr>
              <w:t>121.0</w:t>
            </w:r>
          </w:p>
        </w:tc>
      </w:tr>
      <w:tr w:rsidR="004C7222" w:rsidRPr="006000D3" w14:paraId="4CD1BBF9" w14:textId="77777777" w:rsidTr="00124AE8">
        <w:trPr>
          <w:trHeight w:val="329"/>
        </w:trPr>
        <w:tc>
          <w:tcPr>
            <w:tcW w:w="2410" w:type="dxa"/>
            <w:shd w:val="clear" w:color="auto" w:fill="auto"/>
            <w:noWrap/>
            <w:vAlign w:val="center"/>
          </w:tcPr>
          <w:p w14:paraId="00078603" w14:textId="77777777" w:rsidR="004C7222" w:rsidRPr="006000D3" w:rsidRDefault="004C7222" w:rsidP="001660A2">
            <w:pPr>
              <w:spacing w:before="120" w:after="120"/>
              <w:rPr>
                <w:rFonts w:asciiTheme="minorHAnsi" w:eastAsia="Times New Roman" w:hAnsiTheme="minorHAnsi" w:cstheme="minorHAnsi"/>
                <w:sz w:val="22"/>
                <w:lang w:eastAsia="en-AU"/>
              </w:rPr>
            </w:pPr>
            <w:r w:rsidRPr="006000D3">
              <w:rPr>
                <w:rFonts w:asciiTheme="minorHAnsi" w:eastAsia="Times New Roman" w:hAnsiTheme="minorHAnsi" w:cstheme="minorHAnsi"/>
                <w:sz w:val="22"/>
                <w:lang w:eastAsia="en-AU"/>
              </w:rPr>
              <w:t>5 year rolling average</w:t>
            </w:r>
          </w:p>
        </w:tc>
        <w:tc>
          <w:tcPr>
            <w:tcW w:w="992" w:type="dxa"/>
            <w:shd w:val="clear" w:color="auto" w:fill="auto"/>
            <w:noWrap/>
            <w:vAlign w:val="bottom"/>
          </w:tcPr>
          <w:p w14:paraId="3BACDB03"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sz w:val="22"/>
              </w:rPr>
              <w:t>139.6</w:t>
            </w:r>
          </w:p>
        </w:tc>
        <w:tc>
          <w:tcPr>
            <w:tcW w:w="875" w:type="dxa"/>
            <w:shd w:val="clear" w:color="auto" w:fill="auto"/>
            <w:noWrap/>
            <w:vAlign w:val="bottom"/>
          </w:tcPr>
          <w:p w14:paraId="715AC539"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sz w:val="22"/>
              </w:rPr>
              <w:t>137.8</w:t>
            </w:r>
          </w:p>
        </w:tc>
        <w:tc>
          <w:tcPr>
            <w:tcW w:w="875" w:type="dxa"/>
            <w:shd w:val="clear" w:color="auto" w:fill="auto"/>
            <w:noWrap/>
            <w:vAlign w:val="bottom"/>
          </w:tcPr>
          <w:p w14:paraId="424D1FF5"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sz w:val="22"/>
              </w:rPr>
              <w:t>137.3</w:t>
            </w:r>
          </w:p>
        </w:tc>
        <w:tc>
          <w:tcPr>
            <w:tcW w:w="875" w:type="dxa"/>
            <w:shd w:val="clear" w:color="auto" w:fill="auto"/>
            <w:noWrap/>
            <w:vAlign w:val="bottom"/>
          </w:tcPr>
          <w:p w14:paraId="23CFC469"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sz w:val="22"/>
              </w:rPr>
              <w:t>136.8</w:t>
            </w:r>
          </w:p>
        </w:tc>
        <w:tc>
          <w:tcPr>
            <w:tcW w:w="875" w:type="dxa"/>
            <w:shd w:val="clear" w:color="auto" w:fill="auto"/>
            <w:noWrap/>
            <w:vAlign w:val="bottom"/>
          </w:tcPr>
          <w:p w14:paraId="74AEB1C7"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sz w:val="22"/>
              </w:rPr>
              <w:t>135.8</w:t>
            </w:r>
          </w:p>
        </w:tc>
        <w:tc>
          <w:tcPr>
            <w:tcW w:w="875" w:type="dxa"/>
            <w:shd w:val="clear" w:color="auto" w:fill="auto"/>
            <w:noWrap/>
            <w:vAlign w:val="bottom"/>
          </w:tcPr>
          <w:p w14:paraId="6CE723FD"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sz w:val="22"/>
              </w:rPr>
              <w:t>133.8</w:t>
            </w:r>
          </w:p>
        </w:tc>
        <w:tc>
          <w:tcPr>
            <w:tcW w:w="875" w:type="dxa"/>
            <w:shd w:val="clear" w:color="auto" w:fill="auto"/>
            <w:noWrap/>
            <w:vAlign w:val="bottom"/>
          </w:tcPr>
          <w:p w14:paraId="7A5C951F"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sz w:val="22"/>
              </w:rPr>
              <w:t>130.6</w:t>
            </w:r>
          </w:p>
        </w:tc>
      </w:tr>
      <w:tr w:rsidR="004C7222" w:rsidRPr="006000D3" w14:paraId="13E655A5" w14:textId="77777777" w:rsidTr="00124AE8">
        <w:trPr>
          <w:trHeight w:val="329"/>
        </w:trPr>
        <w:tc>
          <w:tcPr>
            <w:tcW w:w="2410" w:type="dxa"/>
            <w:vMerge w:val="restart"/>
            <w:shd w:val="clear" w:color="auto" w:fill="auto"/>
            <w:noWrap/>
            <w:vAlign w:val="center"/>
          </w:tcPr>
          <w:p w14:paraId="25252716" w14:textId="77777777" w:rsidR="004C7222" w:rsidRPr="006000D3" w:rsidRDefault="004C7222" w:rsidP="001660A2">
            <w:pPr>
              <w:spacing w:before="120" w:after="120"/>
              <w:rPr>
                <w:rFonts w:asciiTheme="minorHAnsi" w:eastAsia="Times New Roman" w:hAnsiTheme="minorHAnsi" w:cstheme="minorHAnsi"/>
                <w:sz w:val="22"/>
                <w:lang w:eastAsia="en-AU"/>
              </w:rPr>
            </w:pPr>
            <w:r w:rsidRPr="006000D3">
              <w:rPr>
                <w:rFonts w:asciiTheme="minorHAnsi" w:eastAsia="Times New Roman" w:hAnsiTheme="minorHAnsi" w:cstheme="minorHAnsi"/>
                <w:sz w:val="22"/>
                <w:lang w:eastAsia="en-AU"/>
              </w:rPr>
              <w:t>Change relative to specified period</w:t>
            </w:r>
          </w:p>
        </w:tc>
        <w:tc>
          <w:tcPr>
            <w:tcW w:w="992" w:type="dxa"/>
            <w:shd w:val="clear" w:color="auto" w:fill="auto"/>
            <w:noWrap/>
            <w:vAlign w:val="bottom"/>
          </w:tcPr>
          <w:p w14:paraId="1D59327D" w14:textId="77777777" w:rsidR="004C7222" w:rsidRPr="006000D3" w:rsidRDefault="004C7222" w:rsidP="001660A2">
            <w:pPr>
              <w:spacing w:before="120" w:after="120"/>
              <w:jc w:val="right"/>
              <w:rPr>
                <w:rFonts w:asciiTheme="minorHAnsi" w:hAnsiTheme="minorHAnsi" w:cstheme="minorHAnsi"/>
                <w:sz w:val="22"/>
              </w:rPr>
            </w:pPr>
          </w:p>
        </w:tc>
        <w:tc>
          <w:tcPr>
            <w:tcW w:w="2625" w:type="dxa"/>
            <w:gridSpan w:val="3"/>
            <w:shd w:val="clear" w:color="auto" w:fill="auto"/>
            <w:noWrap/>
            <w:vAlign w:val="center"/>
          </w:tcPr>
          <w:p w14:paraId="01F2A16F" w14:textId="77777777" w:rsidR="004C7222" w:rsidRPr="006000D3" w:rsidRDefault="004C7222" w:rsidP="001660A2">
            <w:pPr>
              <w:spacing w:before="120" w:after="120"/>
              <w:jc w:val="center"/>
              <w:rPr>
                <w:rFonts w:asciiTheme="minorHAnsi" w:hAnsiTheme="minorHAnsi" w:cstheme="minorHAnsi"/>
                <w:sz w:val="22"/>
              </w:rPr>
            </w:pPr>
            <w:r w:rsidRPr="006000D3">
              <w:rPr>
                <w:rFonts w:asciiTheme="minorHAnsi" w:eastAsia="Times New Roman" w:hAnsiTheme="minorHAnsi" w:cstheme="minorHAnsi"/>
                <w:sz w:val="22"/>
                <w:lang w:eastAsia="en-AU"/>
              </w:rPr>
              <w:t>three years prior</w:t>
            </w:r>
          </w:p>
        </w:tc>
        <w:tc>
          <w:tcPr>
            <w:tcW w:w="2625" w:type="dxa"/>
            <w:gridSpan w:val="3"/>
            <w:shd w:val="clear" w:color="auto" w:fill="auto"/>
            <w:noWrap/>
            <w:vAlign w:val="center"/>
          </w:tcPr>
          <w:p w14:paraId="5427BF65" w14:textId="77777777" w:rsidR="004C7222" w:rsidRPr="006000D3" w:rsidRDefault="004C7222" w:rsidP="001660A2">
            <w:pPr>
              <w:spacing w:before="120" w:after="120"/>
              <w:jc w:val="center"/>
              <w:rPr>
                <w:rFonts w:asciiTheme="minorHAnsi" w:hAnsiTheme="minorHAnsi" w:cstheme="minorHAnsi"/>
                <w:sz w:val="22"/>
              </w:rPr>
            </w:pPr>
            <w:r w:rsidRPr="006000D3">
              <w:rPr>
                <w:rFonts w:asciiTheme="minorHAnsi" w:eastAsia="Times New Roman" w:hAnsiTheme="minorHAnsi" w:cstheme="minorHAnsi"/>
                <w:sz w:val="22"/>
                <w:lang w:eastAsia="en-AU"/>
              </w:rPr>
              <w:t>two years prior</w:t>
            </w:r>
          </w:p>
        </w:tc>
      </w:tr>
      <w:tr w:rsidR="004C7222" w:rsidRPr="006000D3" w14:paraId="713DDF42" w14:textId="77777777" w:rsidTr="00124AE8">
        <w:trPr>
          <w:trHeight w:val="329"/>
        </w:trPr>
        <w:tc>
          <w:tcPr>
            <w:tcW w:w="2410" w:type="dxa"/>
            <w:vMerge/>
            <w:shd w:val="clear" w:color="auto" w:fill="auto"/>
            <w:noWrap/>
            <w:vAlign w:val="bottom"/>
          </w:tcPr>
          <w:p w14:paraId="06705E28" w14:textId="77777777" w:rsidR="004C7222" w:rsidRPr="006000D3" w:rsidRDefault="004C7222" w:rsidP="001660A2">
            <w:pPr>
              <w:spacing w:before="120" w:after="120"/>
              <w:jc w:val="right"/>
              <w:rPr>
                <w:rFonts w:asciiTheme="minorHAnsi" w:eastAsia="Times New Roman" w:hAnsiTheme="minorHAnsi" w:cstheme="minorHAnsi"/>
                <w:sz w:val="22"/>
                <w:lang w:eastAsia="en-AU"/>
              </w:rPr>
            </w:pPr>
          </w:p>
        </w:tc>
        <w:tc>
          <w:tcPr>
            <w:tcW w:w="992" w:type="dxa"/>
            <w:shd w:val="clear" w:color="auto" w:fill="auto"/>
            <w:noWrap/>
          </w:tcPr>
          <w:p w14:paraId="1FD8D563"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p>
        </w:tc>
        <w:tc>
          <w:tcPr>
            <w:tcW w:w="875" w:type="dxa"/>
            <w:shd w:val="clear" w:color="auto" w:fill="auto"/>
            <w:noWrap/>
            <w:vAlign w:val="bottom"/>
          </w:tcPr>
          <w:p w14:paraId="5C7EFAEC"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color w:val="000000"/>
                <w:sz w:val="22"/>
              </w:rPr>
              <w:t>-0.9%</w:t>
            </w:r>
          </w:p>
        </w:tc>
        <w:tc>
          <w:tcPr>
            <w:tcW w:w="875" w:type="dxa"/>
            <w:shd w:val="clear" w:color="auto" w:fill="auto"/>
            <w:noWrap/>
            <w:vAlign w:val="bottom"/>
          </w:tcPr>
          <w:p w14:paraId="0E6D2646"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color w:val="000000"/>
                <w:sz w:val="22"/>
              </w:rPr>
              <w:t>-2.8%</w:t>
            </w:r>
          </w:p>
        </w:tc>
        <w:tc>
          <w:tcPr>
            <w:tcW w:w="875" w:type="dxa"/>
            <w:shd w:val="clear" w:color="auto" w:fill="auto"/>
            <w:noWrap/>
            <w:vAlign w:val="bottom"/>
          </w:tcPr>
          <w:p w14:paraId="0C620C8C"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color w:val="000000"/>
                <w:sz w:val="22"/>
              </w:rPr>
              <w:t>-2.8%</w:t>
            </w:r>
          </w:p>
        </w:tc>
        <w:tc>
          <w:tcPr>
            <w:tcW w:w="875" w:type="dxa"/>
            <w:shd w:val="clear" w:color="auto" w:fill="auto"/>
            <w:noWrap/>
            <w:vAlign w:val="bottom"/>
          </w:tcPr>
          <w:p w14:paraId="2888046B"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color w:val="000000"/>
                <w:sz w:val="22"/>
              </w:rPr>
              <w:t>-0.7%</w:t>
            </w:r>
          </w:p>
        </w:tc>
        <w:tc>
          <w:tcPr>
            <w:tcW w:w="875" w:type="dxa"/>
            <w:shd w:val="clear" w:color="auto" w:fill="auto"/>
            <w:noWrap/>
            <w:vAlign w:val="bottom"/>
          </w:tcPr>
          <w:p w14:paraId="051E4122"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color w:val="000000"/>
                <w:sz w:val="22"/>
              </w:rPr>
              <w:t>-1.0%</w:t>
            </w:r>
          </w:p>
        </w:tc>
        <w:tc>
          <w:tcPr>
            <w:tcW w:w="875" w:type="dxa"/>
            <w:shd w:val="clear" w:color="auto" w:fill="auto"/>
            <w:noWrap/>
            <w:vAlign w:val="bottom"/>
          </w:tcPr>
          <w:p w14:paraId="74B57B08" w14:textId="77777777" w:rsidR="004C7222" w:rsidRPr="006000D3" w:rsidRDefault="004C7222" w:rsidP="001660A2">
            <w:pPr>
              <w:spacing w:before="120" w:after="120"/>
              <w:jc w:val="right"/>
              <w:rPr>
                <w:rFonts w:asciiTheme="minorHAnsi" w:eastAsia="Times New Roman" w:hAnsiTheme="minorHAnsi" w:cstheme="minorHAnsi"/>
                <w:b/>
                <w:bCs/>
                <w:sz w:val="22"/>
                <w:lang w:eastAsia="en-AU"/>
              </w:rPr>
            </w:pPr>
            <w:r w:rsidRPr="006000D3">
              <w:rPr>
                <w:rFonts w:asciiTheme="minorHAnsi" w:hAnsiTheme="minorHAnsi" w:cstheme="minorHAnsi"/>
                <w:color w:val="000000"/>
                <w:sz w:val="22"/>
              </w:rPr>
              <w:t>-2.2%</w:t>
            </w:r>
          </w:p>
        </w:tc>
      </w:tr>
    </w:tbl>
    <w:p w14:paraId="6DAAE2D5" w14:textId="77777777" w:rsidR="004C7222" w:rsidRPr="006000D3" w:rsidRDefault="004C7222" w:rsidP="004C7222">
      <w:pPr>
        <w:pStyle w:val="ListNumberDotted"/>
        <w:numPr>
          <w:ilvl w:val="0"/>
          <w:numId w:val="0"/>
        </w:numPr>
        <w:spacing w:before="0"/>
        <w:rPr>
          <w:rFonts w:cstheme="minorHAnsi"/>
        </w:rPr>
      </w:pPr>
      <w:r w:rsidRPr="006000D3">
        <w:rPr>
          <w:rFonts w:cstheme="minorHAnsi"/>
        </w:rPr>
        <w:tab/>
      </w:r>
      <w:r w:rsidRPr="006000D3">
        <w:rPr>
          <w:rFonts w:cstheme="minorHAnsi"/>
        </w:rPr>
        <w:tab/>
      </w:r>
      <w:r w:rsidRPr="006000D3">
        <w:rPr>
          <w:rFonts w:cstheme="minorHAnsi"/>
          <w:color w:val="000000" w:themeColor="text1"/>
        </w:rPr>
        <w:t>Note that numbers in this table have been rounded to one significant figure.</w:t>
      </w:r>
    </w:p>
    <w:p w14:paraId="4FCCE8F5" w14:textId="77777777" w:rsidR="004C7222" w:rsidRPr="006000D3" w:rsidRDefault="004C7222" w:rsidP="004C7222">
      <w:pPr>
        <w:pStyle w:val="paragraph"/>
        <w:ind w:left="0" w:firstLine="0"/>
        <w:rPr>
          <w:rFonts w:asciiTheme="minorHAnsi" w:eastAsiaTheme="minorEastAsia" w:hAnsiTheme="minorHAnsi" w:cstheme="minorHAnsi"/>
          <w:b/>
        </w:rPr>
      </w:pPr>
    </w:p>
    <w:p w14:paraId="0311E848" w14:textId="77777777" w:rsidR="004C7222" w:rsidRPr="006000D3" w:rsidRDefault="004C7222" w:rsidP="004C7222">
      <w:pPr>
        <w:pStyle w:val="paragraph"/>
        <w:ind w:left="0" w:firstLine="0"/>
        <w:rPr>
          <w:rFonts w:asciiTheme="minorHAnsi" w:eastAsiaTheme="minorEastAsia" w:hAnsiTheme="minorHAnsi" w:cstheme="minorHAnsi"/>
          <w:b/>
        </w:rPr>
      </w:pPr>
      <w:r w:rsidRPr="006000D3">
        <w:rPr>
          <w:rFonts w:asciiTheme="minorHAnsi" w:eastAsiaTheme="minorEastAsia" w:hAnsiTheme="minorHAnsi" w:cstheme="minorHAnsi"/>
          <w:b/>
        </w:rPr>
        <w:t xml:space="preserve">I am satisfied the Safeguard Rules as amended </w:t>
      </w:r>
      <w:proofErr w:type="gramStart"/>
      <w:r w:rsidRPr="006000D3">
        <w:rPr>
          <w:rFonts w:asciiTheme="minorHAnsi" w:eastAsiaTheme="minorEastAsia" w:hAnsiTheme="minorHAnsi" w:cstheme="minorHAnsi"/>
          <w:b/>
        </w:rPr>
        <w:t>take into account</w:t>
      </w:r>
      <w:proofErr w:type="gramEnd"/>
      <w:r w:rsidRPr="006000D3">
        <w:rPr>
          <w:rFonts w:asciiTheme="minorHAnsi" w:eastAsiaTheme="minorEastAsia" w:hAnsiTheme="minorHAnsi" w:cstheme="minorHAnsi"/>
          <w:b/>
        </w:rPr>
        <w:t xml:space="preserve"> safeguard outcome (e): that the responsible emitter for each designated large facility has a material incentive to invest in reducing covered emissions from the operation of the facility.</w:t>
      </w:r>
    </w:p>
    <w:p w14:paraId="6108CD7F" w14:textId="77777777" w:rsidR="004C7222" w:rsidRPr="006000D3" w:rsidRDefault="004C7222" w:rsidP="004C7222">
      <w:pPr>
        <w:pStyle w:val="ListNumberDotted"/>
        <w:rPr>
          <w:rFonts w:cstheme="minorHAnsi"/>
          <w:lang w:eastAsia="ja-JP"/>
        </w:rPr>
      </w:pPr>
      <w:bookmarkStart w:id="17" w:name="_Ref142324061"/>
      <w:r w:rsidRPr="006000D3">
        <w:rPr>
          <w:rFonts w:cstheme="minorHAnsi"/>
          <w:lang w:eastAsia="ja-JP"/>
        </w:rPr>
        <w:t xml:space="preserve">New facilities </w:t>
      </w:r>
      <w:proofErr w:type="gramStart"/>
      <w:r w:rsidRPr="006000D3">
        <w:rPr>
          <w:rFonts w:cstheme="minorHAnsi"/>
          <w:lang w:eastAsia="ja-JP"/>
        </w:rPr>
        <w:t>have the opportunity to</w:t>
      </w:r>
      <w:proofErr w:type="gramEnd"/>
      <w:r w:rsidRPr="006000D3">
        <w:rPr>
          <w:rFonts w:cstheme="minorHAnsi"/>
          <w:lang w:eastAsia="ja-JP"/>
        </w:rPr>
        <w:t xml:space="preserve"> use the latest technology and build world’s best practice emissions performance into their design. As part of the reforms to the Safeguard Mechanism, the Government decided new facility baselines will be set at </w:t>
      </w:r>
      <w:r w:rsidRPr="006000D3">
        <w:rPr>
          <w:rFonts w:cstheme="minorHAnsi"/>
          <w:bCs/>
          <w:lang w:eastAsia="ja-JP"/>
        </w:rPr>
        <w:t>international best practice</w:t>
      </w:r>
      <w:r w:rsidRPr="006000D3">
        <w:rPr>
          <w:rFonts w:cstheme="minorHAnsi"/>
          <w:b/>
          <w:lang w:eastAsia="ja-JP"/>
        </w:rPr>
        <w:t>,</w:t>
      </w:r>
      <w:r w:rsidRPr="006000D3">
        <w:rPr>
          <w:rFonts w:cstheme="minorHAnsi"/>
          <w:lang w:eastAsia="ja-JP"/>
        </w:rPr>
        <w:t xml:space="preserve"> adapted for an Australian context. This sends a strong signal to investors that Australia is serious about net zero, and new investments must support this goal. The best practice EIs set in 2024 Best Practice Emissions Intensities Update will encourage investors in the mining and metal manufacturing, oil and gas, chemical and biofuel sectors to take up the opportunities to achieve best practice emissions performance. Facilities that achieve covered emissions below the best practice EI can generate SMCs that can be sold to other Safeguard facilities. Facilities with emissions above the best practice EI can make up the difference by, for example, purchasing SMCs from another Safeguard facility that has outperformed its baseline. </w:t>
      </w:r>
    </w:p>
    <w:p w14:paraId="29C07BF3" w14:textId="77777777" w:rsidR="004C7222" w:rsidRPr="006000D3" w:rsidRDefault="004C7222" w:rsidP="004C7222">
      <w:pPr>
        <w:pStyle w:val="ListNumberDotted"/>
        <w:rPr>
          <w:rFonts w:cstheme="minorHAnsi"/>
        </w:rPr>
      </w:pPr>
      <w:r w:rsidRPr="006000D3">
        <w:rPr>
          <w:rFonts w:cstheme="minorHAnsi"/>
        </w:rPr>
        <w:t>The 2024 Best Practice Emissions Intensities Update amends the definitions of the production variables relating to steel manufacturing to limit the quantity of cold ferrous feed which can be included in the Primary Steel production variable. This will remove the potential perverse outcome that a facility may primarily be undertaking the production of steel from cold ferrous feed and counting that production under the Primary Steel production variable resulting in a much higher baseline outcome. Inclusion of cold ferrous feed in Primary Steel manufacturing remains a prospective decarbonisation pathway for primary steel producers, and the 35 per cent by mass threshold maintains the incentive and benefit for primary steel producers to pursue this pathway. Steel produced from cold ferrous feed which exceeds the threshold can be reported under the production variable for manufacture of carbon steel from cold ferrous feed.</w:t>
      </w:r>
    </w:p>
    <w:p w14:paraId="585FD897" w14:textId="77777777" w:rsidR="004C7222" w:rsidRPr="006000D3" w:rsidRDefault="004C7222" w:rsidP="004C7222">
      <w:pPr>
        <w:pStyle w:val="ListNumberDotted"/>
        <w:rPr>
          <w:rFonts w:cstheme="minorHAnsi"/>
        </w:rPr>
      </w:pPr>
      <w:r w:rsidRPr="006000D3">
        <w:rPr>
          <w:rFonts w:cstheme="minorHAnsi"/>
        </w:rPr>
        <w:t xml:space="preserve">The 2024 Best Practice Emissions Intensities Update expands the definition of coke oven coke to include other materials that may be carbonised to produce coke oven coke. This allows facilities to substitute coal in the coke oven coke using materials other than coal which can be </w:t>
      </w:r>
      <w:r w:rsidRPr="006000D3">
        <w:rPr>
          <w:rFonts w:cstheme="minorHAnsi"/>
        </w:rPr>
        <w:lastRenderedPageBreak/>
        <w:t>carbonised into coke. This will allow facilities to reduce the emissions intensity of coke production.</w:t>
      </w:r>
    </w:p>
    <w:p w14:paraId="70050559" w14:textId="77777777" w:rsidR="004C7222" w:rsidRPr="006000D3" w:rsidRDefault="004C7222" w:rsidP="004C7222">
      <w:pPr>
        <w:pStyle w:val="ListNumberDotted"/>
        <w:rPr>
          <w:rFonts w:cstheme="minorHAnsi"/>
        </w:rPr>
      </w:pPr>
      <w:r w:rsidRPr="006000D3">
        <w:rPr>
          <w:rFonts w:cstheme="minorHAnsi"/>
        </w:rPr>
        <w:t xml:space="preserve">The 2024 Best Practice Emissions Intensities Update updates the definitions of the primary iron and primary steel production variables regarding an imported coke adjustment. The update means that if a facility significantly reduces the amount of coke required to produce steel, the imported coke adjustment is reduced by a corresponding amount. A prospective way to decarbonise steel production involves the use </w:t>
      </w:r>
      <w:r w:rsidRPr="006000D3">
        <w:rPr>
          <w:rFonts w:eastAsia="Times New Roman" w:cstheme="minorHAnsi"/>
        </w:rPr>
        <w:t>of an electric smelting furnace, which would involve the use of a small amount of coke that may need to be imported. The update would ensure that the adjustment accurately reflects the amount of coke that is used and not penalise the steelmaker for using this technology.</w:t>
      </w:r>
    </w:p>
    <w:bookmarkEnd w:id="17"/>
    <w:p w14:paraId="0BAB2823" w14:textId="77777777" w:rsidR="004C7222" w:rsidRPr="006000D3" w:rsidRDefault="004C7222" w:rsidP="004C7222">
      <w:pPr>
        <w:pStyle w:val="ListNumberDotted"/>
        <w:rPr>
          <w:rFonts w:cstheme="minorHAnsi"/>
        </w:rPr>
      </w:pPr>
      <w:r w:rsidRPr="006000D3" w:rsidDel="003717F8">
        <w:rPr>
          <w:rFonts w:cstheme="minorHAnsi"/>
        </w:rPr>
        <w:t xml:space="preserve">I am satisfied that the Safeguard Rules as amended </w:t>
      </w:r>
      <w:proofErr w:type="gramStart"/>
      <w:r w:rsidRPr="006000D3">
        <w:rPr>
          <w:rFonts w:cstheme="minorHAnsi"/>
        </w:rPr>
        <w:t>take into account</w:t>
      </w:r>
      <w:proofErr w:type="gramEnd"/>
      <w:r w:rsidRPr="006000D3">
        <w:rPr>
          <w:rFonts w:cstheme="minorHAnsi"/>
        </w:rPr>
        <w:t xml:space="preserve"> safeguard outcome (e), because of the reasons outlined in paragraphs 50-53 of my 3 May 2023 statement of reasons, and because this outcome was taken into account during development of the amendments included in the 2024 Best Practice Emissions Intensity Update as described in paragraphs 43-46 above.</w:t>
      </w:r>
    </w:p>
    <w:p w14:paraId="402F837B" w14:textId="77777777" w:rsidR="004C7222" w:rsidRPr="006000D3" w:rsidRDefault="004C7222" w:rsidP="004C7222">
      <w:pPr>
        <w:pStyle w:val="paragraph"/>
        <w:ind w:left="0" w:firstLine="0"/>
        <w:rPr>
          <w:rFonts w:asciiTheme="minorHAnsi" w:hAnsiTheme="minorHAnsi" w:cstheme="minorHAnsi"/>
          <w:b/>
        </w:rPr>
      </w:pPr>
      <w:r w:rsidRPr="006000D3">
        <w:rPr>
          <w:rFonts w:asciiTheme="minorHAnsi" w:hAnsiTheme="minorHAnsi" w:cstheme="minorHAnsi"/>
          <w:b/>
        </w:rPr>
        <w:t xml:space="preserve">I am </w:t>
      </w:r>
      <w:bookmarkStart w:id="18" w:name="_Hlk142325521"/>
      <w:r w:rsidRPr="006000D3">
        <w:rPr>
          <w:rFonts w:asciiTheme="minorHAnsi" w:hAnsiTheme="minorHAnsi" w:cstheme="minorHAnsi"/>
          <w:b/>
        </w:rPr>
        <w:t xml:space="preserve">satisfied the Safeguard Rules as amended </w:t>
      </w:r>
      <w:proofErr w:type="gramStart"/>
      <w:r w:rsidRPr="006000D3">
        <w:rPr>
          <w:rFonts w:asciiTheme="minorHAnsi" w:hAnsiTheme="minorHAnsi" w:cstheme="minorHAnsi"/>
          <w:b/>
        </w:rPr>
        <w:t>take into account</w:t>
      </w:r>
      <w:proofErr w:type="gramEnd"/>
      <w:r w:rsidRPr="006000D3">
        <w:rPr>
          <w:rFonts w:asciiTheme="minorHAnsi" w:hAnsiTheme="minorHAnsi" w:cstheme="minorHAnsi"/>
          <w:b/>
        </w:rPr>
        <w:t xml:space="preserve"> safeguard outcome (f)</w:t>
      </w:r>
      <w:bookmarkEnd w:id="18"/>
      <w:r w:rsidRPr="006000D3">
        <w:rPr>
          <w:rFonts w:asciiTheme="minorHAnsi" w:hAnsiTheme="minorHAnsi" w:cstheme="minorHAnsi"/>
          <w:b/>
        </w:rPr>
        <w:t>: the competitiveness of trade-exposed industries is appropriately supported as Australia and its regions seize the opportunities of the move to a global net zero economy</w:t>
      </w:r>
      <w:r w:rsidRPr="006000D3">
        <w:rPr>
          <w:rFonts w:asciiTheme="minorHAnsi" w:hAnsiTheme="minorHAnsi" w:cstheme="minorHAnsi"/>
          <w:b/>
          <w:bCs/>
        </w:rPr>
        <w:t>.</w:t>
      </w:r>
    </w:p>
    <w:p w14:paraId="79D3EB6F" w14:textId="77777777" w:rsidR="004C7222" w:rsidRPr="006000D3" w:rsidRDefault="004C7222" w:rsidP="004C7222">
      <w:pPr>
        <w:pStyle w:val="ListNumberDotted"/>
        <w:rPr>
          <w:rFonts w:cstheme="minorHAnsi"/>
        </w:rPr>
      </w:pPr>
      <w:r w:rsidRPr="006000D3">
        <w:rPr>
          <w:rFonts w:cstheme="minorHAnsi"/>
        </w:rPr>
        <w:t>Currently, two categories of trade exposed facilities receive assistance to manage competitiveness issues and carbon leakage risks. These categories are ‘trade exposed’ facilities and TEBA facilities, which are defined in section 4 of the Safeguard Rules.</w:t>
      </w:r>
      <w:r w:rsidRPr="006000D3">
        <w:rPr>
          <w:rStyle w:val="FootnoteReference"/>
          <w:rFonts w:cstheme="minorHAnsi"/>
        </w:rPr>
        <w:footnoteReference w:id="10"/>
      </w:r>
      <w:r w:rsidRPr="006000D3">
        <w:rPr>
          <w:rFonts w:cstheme="minorHAnsi"/>
          <w:i/>
        </w:rPr>
        <w:t xml:space="preserve"> </w:t>
      </w:r>
      <w:r w:rsidRPr="006000D3">
        <w:rPr>
          <w:rFonts w:cstheme="minorHAnsi"/>
        </w:rPr>
        <w:t>As provided by Part 3, Division 5, Subdivision D, of the Safeguard Rules, the responsible emitter for a facility can apply to the Clean Energy Regulator for the facility to be a TEBA facility,</w:t>
      </w:r>
      <w:r w:rsidRPr="006000D3" w:rsidDel="00B62935">
        <w:rPr>
          <w:rFonts w:cstheme="minorHAnsi"/>
        </w:rPr>
        <w:t xml:space="preserve"> </w:t>
      </w:r>
      <w:r w:rsidRPr="006000D3">
        <w:rPr>
          <w:rFonts w:cstheme="minorHAnsi"/>
        </w:rPr>
        <w:t xml:space="preserve">which will be eligible for a discounted decline rate based on a scheme impact metric. </w:t>
      </w:r>
    </w:p>
    <w:p w14:paraId="51FBF4CA" w14:textId="77777777" w:rsidR="004C7222" w:rsidRPr="006000D3" w:rsidRDefault="004C7222" w:rsidP="004C7222">
      <w:pPr>
        <w:pStyle w:val="ListNumberDotted"/>
        <w:rPr>
          <w:rFonts w:cstheme="minorHAnsi"/>
        </w:rPr>
      </w:pPr>
      <w:r w:rsidRPr="006000D3">
        <w:rPr>
          <w:rFonts w:cstheme="minorHAnsi"/>
          <w:lang w:eastAsia="en-AU"/>
        </w:rPr>
        <w:t xml:space="preserve">The 2024 Best Practice Emissions Intensities Update adds phosphoric acid and rare earth oxides PVs as trade exposed in Schedule 2 of the Safeguard Rule. This means facilities that have any of these PVs as their primary PV may be able to apply to be a TEBA facility, and have their competitiveness appropriately supported as Australia and its regions seize the opportunities of the move to a global net zero economy. For this reason, along with the reasons outlined in paragraphs 54-61 of my 3 May 2023 statement of reasons, I am satisfied the Safeguard Rules as amended </w:t>
      </w:r>
      <w:proofErr w:type="gramStart"/>
      <w:r w:rsidRPr="006000D3">
        <w:rPr>
          <w:rFonts w:cstheme="minorHAnsi"/>
          <w:lang w:eastAsia="en-AU"/>
        </w:rPr>
        <w:t>take into account</w:t>
      </w:r>
      <w:proofErr w:type="gramEnd"/>
      <w:r w:rsidRPr="006000D3">
        <w:rPr>
          <w:rFonts w:cstheme="minorHAnsi"/>
          <w:lang w:eastAsia="en-AU"/>
        </w:rPr>
        <w:t xml:space="preserve"> safeguard outcome (f).</w:t>
      </w:r>
    </w:p>
    <w:p w14:paraId="49EABFC6" w14:textId="77777777" w:rsidR="004C7222" w:rsidRPr="006000D3" w:rsidRDefault="004C7222" w:rsidP="004C7222">
      <w:pPr>
        <w:pStyle w:val="paragraph"/>
        <w:keepNext/>
        <w:ind w:left="0" w:firstLine="0"/>
        <w:rPr>
          <w:rFonts w:asciiTheme="minorHAnsi" w:hAnsiTheme="minorHAnsi" w:cstheme="minorHAnsi"/>
          <w:b/>
        </w:rPr>
      </w:pPr>
      <w:r w:rsidRPr="006000D3">
        <w:rPr>
          <w:rFonts w:asciiTheme="minorHAnsi" w:hAnsiTheme="minorHAnsi" w:cstheme="minorHAnsi"/>
          <w:b/>
        </w:rPr>
        <w:t xml:space="preserve">Other provisions </w:t>
      </w:r>
    </w:p>
    <w:p w14:paraId="4DCBF954" w14:textId="77777777" w:rsidR="004C7222" w:rsidRPr="006000D3" w:rsidRDefault="004C7222" w:rsidP="004C7222">
      <w:pPr>
        <w:pStyle w:val="ListNumberDotted"/>
        <w:rPr>
          <w:rFonts w:cstheme="minorHAnsi"/>
        </w:rPr>
      </w:pPr>
      <w:r w:rsidRPr="006000D3">
        <w:rPr>
          <w:rFonts w:cstheme="minorHAnsi"/>
        </w:rPr>
        <w:t>I have</w:t>
      </w:r>
      <w:r w:rsidRPr="006000D3" w:rsidDel="00CF035D">
        <w:rPr>
          <w:rFonts w:cstheme="minorHAnsi"/>
        </w:rPr>
        <w:t xml:space="preserve"> </w:t>
      </w:r>
      <w:r w:rsidRPr="006000D3">
        <w:rPr>
          <w:rFonts w:cstheme="minorHAnsi"/>
        </w:rPr>
        <w:t>had regard to other parts of the Safeguard Rules that support the effective operation of the Safeguard Mechanism regulatory scheme, but which do not otherwise directly relate to the safeguard outcomes. These include Parts 1, 2, 5, and 6 of the Safeguard Rules.</w:t>
      </w:r>
    </w:p>
    <w:p w14:paraId="2528E2A9" w14:textId="77777777" w:rsidR="004C7222" w:rsidRPr="006000D3" w:rsidRDefault="004C7222" w:rsidP="004C7222">
      <w:pPr>
        <w:pStyle w:val="ListNumberDotted"/>
        <w:rPr>
          <w:rFonts w:cstheme="minorHAnsi"/>
        </w:rPr>
      </w:pPr>
      <w:r w:rsidRPr="006000D3">
        <w:rPr>
          <w:rFonts w:cstheme="minorHAnsi"/>
        </w:rPr>
        <w:t xml:space="preserve">The 2024 Best Practice Emissions Intensity Update inserts the requirement for the Clean Energy Regulator to publish, by 15 April each year, the methods used by Safeguard </w:t>
      </w:r>
      <w:r w:rsidRPr="006000D3">
        <w:rPr>
          <w:rFonts w:cstheme="minorHAnsi"/>
        </w:rPr>
        <w:lastRenderedPageBreak/>
        <w:t xml:space="preserve">Mechanism facilities to estimate each source of fugitive methane emissions from coal mining, oil and natural gas activities, for the previous financial year. </w:t>
      </w:r>
    </w:p>
    <w:p w14:paraId="2C8C2A63" w14:textId="77777777" w:rsidR="004C7222" w:rsidRPr="006000D3" w:rsidRDefault="004C7222" w:rsidP="004C7222">
      <w:pPr>
        <w:pStyle w:val="ListNumberDotted"/>
        <w:rPr>
          <w:rFonts w:cstheme="minorHAnsi"/>
        </w:rPr>
      </w:pPr>
      <w:r w:rsidRPr="006000D3">
        <w:rPr>
          <w:rFonts w:cstheme="minorHAnsi"/>
        </w:rPr>
        <w:t xml:space="preserve">The 2024 Best Practice Emissions Intensity Update inserts the requirement that audit reports conducted for Emissions Intensity Determinations meet the requirement of reasonable assurance engagements consistent with the NGER Audit Determination 2009 and that the audit team leader is a registered Category 2 auditor under the NGER regulations. </w:t>
      </w:r>
    </w:p>
    <w:p w14:paraId="1842EC43" w14:textId="77777777" w:rsidR="004C7222" w:rsidRPr="006000D3" w:rsidRDefault="004C7222" w:rsidP="004C7222">
      <w:pPr>
        <w:pStyle w:val="ListNumberDotted"/>
        <w:rPr>
          <w:rFonts w:cstheme="minorHAnsi"/>
        </w:rPr>
      </w:pPr>
      <w:r w:rsidRPr="006000D3">
        <w:rPr>
          <w:rFonts w:cstheme="minorHAnsi"/>
        </w:rPr>
        <w:t xml:space="preserve">The 2024 Best Practice Emissions Intensity Update inserts a requirement for non-manufacturing facilities when calculating their revenue for the purpose of applying for a trade-exposed baseline adjusted determination to undertake the calculation in accordance with the earnings before interest and tax (EBIT) Guidelines in force at that time, with the EBIT Guidelines prevailing to the extent of any inconsistency.  </w:t>
      </w:r>
    </w:p>
    <w:p w14:paraId="5A6E8714" w14:textId="77777777" w:rsidR="004C7222" w:rsidRPr="006000D3" w:rsidRDefault="004C7222" w:rsidP="004C7222">
      <w:pPr>
        <w:pStyle w:val="ListNumberDotted"/>
        <w:rPr>
          <w:rFonts w:cstheme="minorHAnsi"/>
        </w:rPr>
      </w:pPr>
      <w:r w:rsidRPr="006000D3">
        <w:rPr>
          <w:rFonts w:cstheme="minorHAnsi"/>
        </w:rPr>
        <w:t>The 2024 Best Practice Emissions Intensity Update clarifies that a reference to “greenhouse gas emissions from the operation of a facility” relates to covered emissions (rather than total emissions). This update means the provision will work correctly when applied to facilities where some emissions are not covered – such as landfills. The provision is a requirement that must be met for the Regulator to make a TEBA determination.</w:t>
      </w:r>
    </w:p>
    <w:p w14:paraId="5D40E1B5" w14:textId="77777777" w:rsidR="004C7222" w:rsidRPr="006000D3" w:rsidRDefault="004C7222" w:rsidP="004C7222">
      <w:pPr>
        <w:pStyle w:val="ListNumberDotted"/>
        <w:rPr>
          <w:rFonts w:cstheme="minorHAnsi"/>
        </w:rPr>
      </w:pPr>
      <w:r w:rsidRPr="006000D3">
        <w:rPr>
          <w:rFonts w:cstheme="minorHAnsi"/>
        </w:rPr>
        <w:t xml:space="preserve">The 2024 Best Practice Emissions Intensity Update also inserts a transitional provision to ensure the relevant best practice intensity values and default emissions intensity values can be used in 2024-25. </w:t>
      </w:r>
    </w:p>
    <w:p w14:paraId="1D1FB59F" w14:textId="77777777" w:rsidR="004C7222" w:rsidRPr="006000D3" w:rsidRDefault="004C7222" w:rsidP="004C7222">
      <w:pPr>
        <w:pStyle w:val="ListNumberDotted"/>
        <w:numPr>
          <w:ilvl w:val="0"/>
          <w:numId w:val="0"/>
        </w:numPr>
        <w:spacing w:after="0"/>
        <w:rPr>
          <w:rFonts w:cstheme="minorHAnsi"/>
        </w:rPr>
      </w:pPr>
      <w:r w:rsidRPr="006000D3">
        <w:rPr>
          <w:rFonts w:cstheme="minorHAnsi"/>
        </w:rPr>
        <w:t xml:space="preserve">For the reasons above, I, the Hon Chris Bowen MP, Minister for Climate Change and Energy, am satisfied that Safeguard Rules as amended are consistent with the safeguard outcomes in paragraphs 3(2)(b), (c) and (d), and </w:t>
      </w:r>
      <w:proofErr w:type="gramStart"/>
      <w:r w:rsidRPr="006000D3">
        <w:rPr>
          <w:rFonts w:cstheme="minorHAnsi"/>
        </w:rPr>
        <w:t>take into account</w:t>
      </w:r>
      <w:proofErr w:type="gramEnd"/>
      <w:r w:rsidRPr="006000D3">
        <w:rPr>
          <w:rFonts w:cstheme="minorHAnsi"/>
        </w:rPr>
        <w:t xml:space="preserve"> the safeguard outcomes in paragraphs 3(2)(e) and (f), of the NGER Act.</w:t>
      </w:r>
    </w:p>
    <w:p w14:paraId="64875892" w14:textId="77777777" w:rsidR="004C7222" w:rsidRPr="006000D3" w:rsidRDefault="004C7222" w:rsidP="004C7222">
      <w:pPr>
        <w:pStyle w:val="ListNumberDotted"/>
        <w:numPr>
          <w:ilvl w:val="0"/>
          <w:numId w:val="0"/>
        </w:numPr>
        <w:rPr>
          <w:rFonts w:cstheme="minorHAnsi"/>
        </w:rPr>
      </w:pPr>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56"/>
        <w:gridCol w:w="6770"/>
      </w:tblGrid>
      <w:tr w:rsidR="004C7222" w:rsidRPr="006000D3" w14:paraId="328498FF" w14:textId="77777777" w:rsidTr="001660A2">
        <w:tc>
          <w:tcPr>
            <w:tcW w:w="1250" w:type="pct"/>
            <w:tcMar>
              <w:left w:w="108" w:type="dxa"/>
              <w:right w:w="108" w:type="dxa"/>
            </w:tcMar>
          </w:tcPr>
          <w:p w14:paraId="375DC1A4" w14:textId="77777777" w:rsidR="004C7222" w:rsidRPr="006000D3" w:rsidRDefault="004C7222" w:rsidP="001660A2">
            <w:pPr>
              <w:rPr>
                <w:rStyle w:val="Strong"/>
                <w:rFonts w:asciiTheme="minorHAnsi" w:hAnsiTheme="minorHAnsi" w:cstheme="minorHAnsi"/>
                <w:sz w:val="22"/>
              </w:rPr>
            </w:pPr>
            <w:r w:rsidRPr="006000D3">
              <w:rPr>
                <w:rStyle w:val="Strong"/>
                <w:rFonts w:asciiTheme="minorHAnsi" w:hAnsiTheme="minorHAnsi" w:cstheme="minorHAnsi"/>
                <w:sz w:val="22"/>
              </w:rPr>
              <w:t>Name and position</w:t>
            </w:r>
          </w:p>
        </w:tc>
        <w:tc>
          <w:tcPr>
            <w:tcW w:w="3750" w:type="pct"/>
            <w:tcMar>
              <w:left w:w="108" w:type="dxa"/>
              <w:right w:w="108" w:type="dxa"/>
            </w:tcMar>
          </w:tcPr>
          <w:p w14:paraId="22DA79EF" w14:textId="77777777" w:rsidR="004C7222" w:rsidRPr="006000D3" w:rsidRDefault="004C7222" w:rsidP="001660A2">
            <w:pPr>
              <w:pStyle w:val="NoSpacing"/>
              <w:rPr>
                <w:rFonts w:cstheme="minorHAnsi"/>
              </w:rPr>
            </w:pPr>
            <w:r w:rsidRPr="006000D3">
              <w:rPr>
                <w:rFonts w:cstheme="minorHAnsi"/>
              </w:rPr>
              <w:t xml:space="preserve">Hon Chris Bowen MP, Minister for Climate Change and Energy </w:t>
            </w:r>
          </w:p>
        </w:tc>
      </w:tr>
      <w:tr w:rsidR="004C7222" w:rsidRPr="006000D3" w14:paraId="272D2EA6" w14:textId="77777777" w:rsidTr="001660A2">
        <w:tc>
          <w:tcPr>
            <w:tcW w:w="1250" w:type="pct"/>
            <w:tcMar>
              <w:left w:w="108" w:type="dxa"/>
              <w:right w:w="108" w:type="dxa"/>
            </w:tcMar>
          </w:tcPr>
          <w:p w14:paraId="23EE39F1" w14:textId="77777777" w:rsidR="004C7222" w:rsidRPr="006000D3" w:rsidRDefault="004C7222" w:rsidP="001660A2">
            <w:pPr>
              <w:rPr>
                <w:rStyle w:val="Strong"/>
                <w:rFonts w:asciiTheme="minorHAnsi" w:hAnsiTheme="minorHAnsi" w:cstheme="minorHAnsi"/>
                <w:sz w:val="22"/>
              </w:rPr>
            </w:pPr>
            <w:r w:rsidRPr="006000D3">
              <w:rPr>
                <w:rStyle w:val="Strong"/>
                <w:rFonts w:asciiTheme="minorHAnsi" w:hAnsiTheme="minorHAnsi" w:cstheme="minorHAnsi"/>
                <w:sz w:val="22"/>
              </w:rPr>
              <w:t>Signature</w:t>
            </w:r>
          </w:p>
        </w:tc>
        <w:tc>
          <w:tcPr>
            <w:tcW w:w="3750" w:type="pct"/>
            <w:tcMar>
              <w:left w:w="108" w:type="dxa"/>
              <w:right w:w="108" w:type="dxa"/>
            </w:tcMar>
          </w:tcPr>
          <w:p w14:paraId="05319B16" w14:textId="77777777" w:rsidR="004C7222" w:rsidRPr="006000D3" w:rsidRDefault="004C7222" w:rsidP="001660A2">
            <w:pPr>
              <w:rPr>
                <w:rFonts w:asciiTheme="minorHAnsi" w:hAnsiTheme="minorHAnsi" w:cstheme="minorHAnsi"/>
                <w:sz w:val="22"/>
              </w:rPr>
            </w:pPr>
          </w:p>
          <w:p w14:paraId="5B1747DF" w14:textId="77777777" w:rsidR="004C7222" w:rsidRPr="006000D3" w:rsidRDefault="004C7222" w:rsidP="001660A2">
            <w:pPr>
              <w:rPr>
                <w:rFonts w:asciiTheme="minorHAnsi" w:hAnsiTheme="minorHAnsi" w:cstheme="minorHAnsi"/>
                <w:sz w:val="22"/>
              </w:rPr>
            </w:pPr>
          </w:p>
        </w:tc>
      </w:tr>
      <w:tr w:rsidR="004C7222" w:rsidRPr="006000D3" w14:paraId="62A39E31" w14:textId="77777777" w:rsidTr="001660A2">
        <w:tc>
          <w:tcPr>
            <w:tcW w:w="1250" w:type="pct"/>
            <w:tcMar>
              <w:left w:w="108" w:type="dxa"/>
              <w:right w:w="108" w:type="dxa"/>
            </w:tcMar>
          </w:tcPr>
          <w:p w14:paraId="0B635AB8" w14:textId="77777777" w:rsidR="004C7222" w:rsidRPr="006000D3" w:rsidRDefault="004C7222" w:rsidP="001660A2">
            <w:pPr>
              <w:widowControl w:val="0"/>
              <w:rPr>
                <w:rStyle w:val="Strong"/>
                <w:rFonts w:asciiTheme="minorHAnsi" w:hAnsiTheme="minorHAnsi" w:cstheme="minorHAnsi"/>
                <w:sz w:val="22"/>
              </w:rPr>
            </w:pPr>
            <w:r w:rsidRPr="006000D3">
              <w:rPr>
                <w:rStyle w:val="Strong"/>
                <w:rFonts w:asciiTheme="minorHAnsi" w:hAnsiTheme="minorHAnsi" w:cstheme="minorHAnsi"/>
                <w:sz w:val="22"/>
              </w:rPr>
              <w:t>Date of decision</w:t>
            </w:r>
          </w:p>
        </w:tc>
        <w:tc>
          <w:tcPr>
            <w:tcW w:w="3750" w:type="pct"/>
            <w:tcMar>
              <w:left w:w="108" w:type="dxa"/>
              <w:right w:w="108" w:type="dxa"/>
            </w:tcMar>
          </w:tcPr>
          <w:p w14:paraId="7D9BF219" w14:textId="77777777" w:rsidR="004C7222" w:rsidRPr="006000D3" w:rsidRDefault="004C7222" w:rsidP="001660A2">
            <w:pPr>
              <w:spacing w:line="240" w:lineRule="auto"/>
              <w:rPr>
                <w:rStyle w:val="Advisorytext"/>
                <w:rFonts w:asciiTheme="minorHAnsi" w:hAnsiTheme="minorHAnsi" w:cstheme="minorHAnsi"/>
                <w:sz w:val="22"/>
              </w:rPr>
            </w:pPr>
          </w:p>
        </w:tc>
      </w:tr>
    </w:tbl>
    <w:p w14:paraId="39F8BA68" w14:textId="77777777" w:rsidR="004C7222" w:rsidRPr="006000D3" w:rsidRDefault="004C7222" w:rsidP="004C7222">
      <w:pPr>
        <w:tabs>
          <w:tab w:val="left" w:pos="3180"/>
        </w:tabs>
        <w:spacing w:after="100" w:afterAutospacing="1" w:line="240" w:lineRule="auto"/>
        <w:rPr>
          <w:rFonts w:asciiTheme="minorHAnsi" w:hAnsiTheme="minorHAnsi" w:cstheme="minorHAnsi"/>
          <w:sz w:val="22"/>
        </w:rPr>
      </w:pPr>
    </w:p>
    <w:p w14:paraId="5B879050" w14:textId="77777777" w:rsidR="00D62D04" w:rsidRPr="00D62D04" w:rsidRDefault="00D62D04" w:rsidP="00D62D04"/>
    <w:sectPr w:rsidR="00D62D04" w:rsidRPr="00D62D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18C6B" w14:textId="77777777" w:rsidR="003E0BD7" w:rsidRDefault="003E0BD7" w:rsidP="00783FAB">
      <w:pPr>
        <w:spacing w:line="240" w:lineRule="auto"/>
      </w:pPr>
      <w:r>
        <w:separator/>
      </w:r>
    </w:p>
  </w:endnote>
  <w:endnote w:type="continuationSeparator" w:id="0">
    <w:p w14:paraId="6107F968" w14:textId="77777777" w:rsidR="003E0BD7" w:rsidRDefault="003E0BD7" w:rsidP="00783FAB">
      <w:pPr>
        <w:spacing w:line="240" w:lineRule="auto"/>
      </w:pPr>
      <w:r>
        <w:continuationSeparator/>
      </w:r>
    </w:p>
  </w:endnote>
  <w:endnote w:type="continuationNotice" w:id="1">
    <w:p w14:paraId="08F8B7AF" w14:textId="77777777" w:rsidR="003E0BD7" w:rsidRDefault="003E0B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A8663" w14:textId="577C5C22" w:rsidR="009860A9" w:rsidRDefault="009860A9">
    <w:pPr>
      <w:pStyle w:val="Footer"/>
    </w:pPr>
    <w:r>
      <w:rPr>
        <w:noProof/>
      </w:rPr>
      <mc:AlternateContent>
        <mc:Choice Requires="wps">
          <w:drawing>
            <wp:anchor distT="0" distB="0" distL="0" distR="0" simplePos="0" relativeHeight="251658243" behindDoc="0" locked="0" layoutInCell="1" allowOverlap="1" wp14:anchorId="58E75619" wp14:editId="6CEDE236">
              <wp:simplePos x="635" y="635"/>
              <wp:positionH relativeFrom="page">
                <wp:align>center</wp:align>
              </wp:positionH>
              <wp:positionV relativeFrom="page">
                <wp:align>bottom</wp:align>
              </wp:positionV>
              <wp:extent cx="551815" cy="531495"/>
              <wp:effectExtent l="0" t="0" r="635" b="0"/>
              <wp:wrapNone/>
              <wp:docPr id="7041467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31495"/>
                      </a:xfrm>
                      <a:prstGeom prst="rect">
                        <a:avLst/>
                      </a:prstGeom>
                      <a:noFill/>
                      <a:ln>
                        <a:noFill/>
                      </a:ln>
                    </wps:spPr>
                    <wps:txbx>
                      <w:txbxContent>
                        <w:p w14:paraId="5E7984A8" w14:textId="76E30FD9" w:rsidR="009860A9" w:rsidRPr="009860A9" w:rsidRDefault="009860A9" w:rsidP="009860A9">
                          <w:pPr>
                            <w:rPr>
                              <w:rFonts w:ascii="Calibri" w:eastAsia="Calibri" w:hAnsi="Calibri" w:cs="Calibri"/>
                              <w:noProof/>
                              <w:color w:val="FF0000"/>
                              <w:szCs w:val="24"/>
                            </w:rPr>
                          </w:pPr>
                          <w:r w:rsidRPr="009860A9">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E75619" id="_x0000_t202" coordsize="21600,21600" o:spt="202" path="m,l,21600r21600,l21600,xe">
              <v:stroke joinstyle="miter"/>
              <v:path gradientshapeok="t" o:connecttype="rect"/>
            </v:shapetype>
            <v:shape id="Text Box 5" o:spid="_x0000_s1028" type="#_x0000_t202" alt="OFFICIAL" style="position:absolute;margin-left:0;margin-top:0;width:43.45pt;height:4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" filled="f" stroked="f">
              <v:textbox style="mso-fit-shape-to-text:t" inset="0,0,0,15pt">
                <w:txbxContent>
                  <w:p w14:paraId="5E7984A8" w14:textId="76E30FD9" w:rsidR="009860A9" w:rsidRPr="009860A9" w:rsidRDefault="009860A9" w:rsidP="009860A9">
                    <w:pPr>
                      <w:rPr>
                        <w:rFonts w:ascii="Calibri" w:eastAsia="Calibri" w:hAnsi="Calibri" w:cs="Calibri"/>
                        <w:noProof/>
                        <w:color w:val="FF0000"/>
                        <w:szCs w:val="24"/>
                      </w:rPr>
                    </w:pPr>
                    <w:r w:rsidRPr="009860A9">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3295B" w14:textId="5328CD5A" w:rsidR="00C600F8" w:rsidRDefault="009860A9">
    <w:pPr>
      <w:pStyle w:val="Footer"/>
      <w:jc w:val="center"/>
    </w:pPr>
    <w:r>
      <w:rPr>
        <w:noProof/>
      </w:rPr>
      <mc:AlternateContent>
        <mc:Choice Requires="wps">
          <w:drawing>
            <wp:anchor distT="0" distB="0" distL="0" distR="0" simplePos="0" relativeHeight="251658240" behindDoc="0" locked="0" layoutInCell="1" allowOverlap="1" wp14:anchorId="5F5ADA9F" wp14:editId="7DE8E9EF">
              <wp:simplePos x="914400" y="9637295"/>
              <wp:positionH relativeFrom="page">
                <wp:align>center</wp:align>
              </wp:positionH>
              <wp:positionV relativeFrom="page">
                <wp:align>bottom</wp:align>
              </wp:positionV>
              <wp:extent cx="551815" cy="531495"/>
              <wp:effectExtent l="0" t="0" r="635" b="0"/>
              <wp:wrapNone/>
              <wp:docPr id="133568681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31495"/>
                      </a:xfrm>
                      <a:prstGeom prst="rect">
                        <a:avLst/>
                      </a:prstGeom>
                      <a:noFill/>
                      <a:ln>
                        <a:noFill/>
                      </a:ln>
                    </wps:spPr>
                    <wps:txbx>
                      <w:txbxContent>
                        <w:p w14:paraId="071FAF4A" w14:textId="196E8635" w:rsidR="009860A9" w:rsidRPr="009860A9" w:rsidRDefault="009860A9" w:rsidP="009860A9">
                          <w:pPr>
                            <w:rPr>
                              <w:rFonts w:ascii="Calibri" w:eastAsia="Calibri" w:hAnsi="Calibri" w:cs="Calibri"/>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5ADA9F"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4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" filled="f" stroked="f">
              <v:textbox style="mso-fit-shape-to-text:t" inset="0,0,0,15pt">
                <w:txbxContent>
                  <w:p w14:paraId="071FAF4A" w14:textId="196E8635" w:rsidR="009860A9" w:rsidRPr="009860A9" w:rsidRDefault="009860A9" w:rsidP="009860A9">
                    <w:pPr>
                      <w:rPr>
                        <w:rFonts w:ascii="Calibri" w:eastAsia="Calibri" w:hAnsi="Calibri" w:cs="Calibri"/>
                        <w:noProof/>
                        <w:color w:val="FF0000"/>
                        <w:szCs w:val="24"/>
                      </w:rPr>
                    </w:pPr>
                  </w:p>
                </w:txbxContent>
              </v:textbox>
              <w10:wrap anchorx="page" anchory="page"/>
            </v:shape>
          </w:pict>
        </mc:Fallback>
      </mc:AlternateContent>
    </w:r>
    <w:sdt>
      <w:sdtPr>
        <w:id w:val="901408299"/>
        <w:docPartObj>
          <w:docPartGallery w:val="Page Numbers (Bottom of Page)"/>
          <w:docPartUnique/>
        </w:docPartObj>
      </w:sdtPr>
      <w:sdtEndPr>
        <w:rPr>
          <w:noProof/>
        </w:rPr>
      </w:sdtEndPr>
      <w:sdtContent>
        <w:r w:rsidR="00C600F8">
          <w:fldChar w:fldCharType="begin"/>
        </w:r>
        <w:r w:rsidR="00C600F8">
          <w:instrText xml:space="preserve"> PAGE   \* MERGEFORMAT </w:instrText>
        </w:r>
        <w:r w:rsidR="00C600F8">
          <w:fldChar w:fldCharType="separate"/>
        </w:r>
        <w:r w:rsidR="00C600F8">
          <w:rPr>
            <w:noProof/>
          </w:rPr>
          <w:t>2</w:t>
        </w:r>
        <w:r w:rsidR="00C600F8">
          <w:rPr>
            <w:noProof/>
          </w:rPr>
          <w:fldChar w:fldCharType="end"/>
        </w:r>
      </w:sdtContent>
    </w:sdt>
  </w:p>
  <w:p w14:paraId="36437BB6" w14:textId="77777777" w:rsidR="00256D07" w:rsidRDefault="00256D07"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EB0BB" w14:textId="1E60F2FE" w:rsidR="009860A9" w:rsidRDefault="009860A9">
    <w:pPr>
      <w:pStyle w:val="Footer"/>
    </w:pPr>
    <w:r>
      <w:rPr>
        <w:noProof/>
      </w:rPr>
      <mc:AlternateContent>
        <mc:Choice Requires="wps">
          <w:drawing>
            <wp:anchor distT="0" distB="0" distL="0" distR="0" simplePos="0" relativeHeight="251658245" behindDoc="0" locked="0" layoutInCell="1" allowOverlap="1" wp14:anchorId="0856B6AB" wp14:editId="505CC6E7">
              <wp:simplePos x="635" y="635"/>
              <wp:positionH relativeFrom="page">
                <wp:align>center</wp:align>
              </wp:positionH>
              <wp:positionV relativeFrom="page">
                <wp:align>bottom</wp:align>
              </wp:positionV>
              <wp:extent cx="551815" cy="531495"/>
              <wp:effectExtent l="0" t="0" r="635" b="0"/>
              <wp:wrapNone/>
              <wp:docPr id="18696065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31495"/>
                      </a:xfrm>
                      <a:prstGeom prst="rect">
                        <a:avLst/>
                      </a:prstGeom>
                      <a:noFill/>
                      <a:ln>
                        <a:noFill/>
                      </a:ln>
                    </wps:spPr>
                    <wps:txbx>
                      <w:txbxContent>
                        <w:p w14:paraId="7555E87B" w14:textId="7BC49C59" w:rsidR="009860A9" w:rsidRPr="009860A9" w:rsidRDefault="009860A9" w:rsidP="009860A9">
                          <w:pPr>
                            <w:rPr>
                              <w:rFonts w:ascii="Calibri" w:eastAsia="Calibri" w:hAnsi="Calibri" w:cs="Calibri"/>
                              <w:noProof/>
                              <w:color w:val="FF0000"/>
                              <w:szCs w:val="24"/>
                            </w:rPr>
                          </w:pPr>
                          <w:r w:rsidRPr="009860A9">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6B6AB" id="_x0000_t202" coordsize="21600,21600" o:spt="202" path="m,l,21600r21600,l21600,xe">
              <v:stroke joinstyle="miter"/>
              <v:path gradientshapeok="t" o:connecttype="rect"/>
            </v:shapetype>
            <v:shape id="Text Box 4" o:spid="_x0000_s1031" type="#_x0000_t202" alt="OFFICIAL" style="position:absolute;margin-left:0;margin-top:0;width:43.45pt;height:4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" filled="f" stroked="f">
              <v:textbox style="mso-fit-shape-to-text:t" inset="0,0,0,15pt">
                <w:txbxContent>
                  <w:p w14:paraId="7555E87B" w14:textId="7BC49C59" w:rsidR="009860A9" w:rsidRPr="009860A9" w:rsidRDefault="009860A9" w:rsidP="009860A9">
                    <w:pPr>
                      <w:rPr>
                        <w:rFonts w:ascii="Calibri" w:eastAsia="Calibri" w:hAnsi="Calibri" w:cs="Calibri"/>
                        <w:noProof/>
                        <w:color w:val="FF0000"/>
                        <w:szCs w:val="24"/>
                      </w:rPr>
                    </w:pPr>
                    <w:r w:rsidRPr="009860A9">
                      <w:rPr>
                        <w:rFonts w:ascii="Calibri" w:eastAsia="Calibri" w:hAnsi="Calibri" w:cs="Calibri"/>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1A448" w14:textId="77777777" w:rsidR="003E0BD7" w:rsidRDefault="003E0BD7" w:rsidP="00783FAB">
      <w:pPr>
        <w:spacing w:line="240" w:lineRule="auto"/>
      </w:pPr>
      <w:r>
        <w:separator/>
      </w:r>
    </w:p>
  </w:footnote>
  <w:footnote w:type="continuationSeparator" w:id="0">
    <w:p w14:paraId="273C3E74" w14:textId="77777777" w:rsidR="003E0BD7" w:rsidRDefault="003E0BD7" w:rsidP="00783FAB">
      <w:pPr>
        <w:spacing w:line="240" w:lineRule="auto"/>
      </w:pPr>
      <w:r>
        <w:continuationSeparator/>
      </w:r>
    </w:p>
  </w:footnote>
  <w:footnote w:type="continuationNotice" w:id="1">
    <w:p w14:paraId="7867D55E" w14:textId="77777777" w:rsidR="003E0BD7" w:rsidRDefault="003E0BD7">
      <w:pPr>
        <w:spacing w:line="240" w:lineRule="auto"/>
      </w:pPr>
    </w:p>
  </w:footnote>
  <w:footnote w:id="2">
    <w:p w14:paraId="7865497C" w14:textId="4629FAAF" w:rsidR="004663EF" w:rsidRDefault="004663EF" w:rsidP="004663EF">
      <w:pPr>
        <w:pStyle w:val="FootnoteText"/>
      </w:pPr>
      <w:r>
        <w:rPr>
          <w:rStyle w:val="FootnoteReference"/>
        </w:rPr>
        <w:footnoteRef/>
      </w:r>
      <w:r>
        <w:t xml:space="preserve"> In </w:t>
      </w:r>
      <w:r w:rsidR="002F57E1">
        <w:t>June</w:t>
      </w:r>
      <w:r>
        <w:t xml:space="preserve"> 2024, the Guidelines were available at: </w:t>
      </w:r>
      <w:r w:rsidRPr="00C025AE">
        <w:t>https://www.dcceew.gov.au/climate-change/publications/benchmark-guidelines-setting-international-best-practice</w:t>
      </w:r>
      <w:r>
        <w:t xml:space="preserve"> </w:t>
      </w:r>
    </w:p>
  </w:footnote>
  <w:footnote w:id="3">
    <w:p w14:paraId="47B188DA" w14:textId="5D9CBCB7" w:rsidR="009D4A28" w:rsidRDefault="009D4A28" w:rsidP="009D4A28">
      <w:pPr>
        <w:pStyle w:val="FootnoteText"/>
      </w:pPr>
      <w:r>
        <w:rPr>
          <w:rStyle w:val="FootnoteReference"/>
        </w:rPr>
        <w:footnoteRef/>
      </w:r>
      <w:r>
        <w:t xml:space="preserve"> </w:t>
      </w:r>
      <w:r>
        <w:t xml:space="preserve">In </w:t>
      </w:r>
      <w:r w:rsidR="002F57E1">
        <w:t>June</w:t>
      </w:r>
      <w:r>
        <w:t xml:space="preserve"> 2024, the Framework Document was available at: </w:t>
      </w:r>
      <w:r w:rsidR="00007366" w:rsidRPr="00C025AE">
        <w:t>https://www.dcceew.gov.au/climate-change/publications/framework-developing-production-variables-default-emissions-intensity-values</w:t>
      </w:r>
    </w:p>
  </w:footnote>
  <w:footnote w:id="4">
    <w:p w14:paraId="29259121" w14:textId="711381C4" w:rsidR="00A507DB" w:rsidRDefault="00A507DB" w:rsidP="00A507DB">
      <w:pPr>
        <w:pStyle w:val="FootnoteText"/>
      </w:pPr>
      <w:r>
        <w:rPr>
          <w:rStyle w:val="FootnoteReference"/>
        </w:rPr>
        <w:footnoteRef/>
      </w:r>
      <w:r>
        <w:t xml:space="preserve"> </w:t>
      </w:r>
      <w:r>
        <w:t xml:space="preserve">In </w:t>
      </w:r>
      <w:r w:rsidR="002F57E1">
        <w:t>June</w:t>
      </w:r>
      <w:r>
        <w:t xml:space="preserve"> 2024, the former Australian Government Guide to Regulatory Impact Analysis was published alongside the new </w:t>
      </w:r>
      <w:r>
        <w:rPr>
          <w:i/>
          <w:szCs w:val="22"/>
        </w:rPr>
        <w:t>Australian Government Guide to Policy Impact Analysis</w:t>
      </w:r>
      <w:r>
        <w:rPr>
          <w:szCs w:val="22"/>
        </w:rPr>
        <w:t xml:space="preserve"> </w:t>
      </w:r>
      <w:r>
        <w:t xml:space="preserve">(the latter came into effect from 1 March 2023) at: </w:t>
      </w:r>
      <w:r w:rsidRPr="00C025AE">
        <w:t>https://oia.pmc.gov.au/resources/guidance-impact-analysis/australian-government-guide-policy-impact-analysis</w:t>
      </w:r>
    </w:p>
  </w:footnote>
  <w:footnote w:id="5">
    <w:p w14:paraId="29B42557" w14:textId="589A2EFC" w:rsidR="00641A68" w:rsidRDefault="00641A68" w:rsidP="00641A68">
      <w:pPr>
        <w:pStyle w:val="FootnoteText"/>
      </w:pPr>
      <w:r>
        <w:rPr>
          <w:rStyle w:val="FootnoteReference"/>
        </w:rPr>
        <w:footnoteRef/>
      </w:r>
      <w:r>
        <w:t xml:space="preserve"> </w:t>
      </w:r>
      <w:r>
        <w:t xml:space="preserve">The supplementary approaches are described in a guidance document published on the Department’s website: </w:t>
      </w:r>
      <w:r w:rsidRPr="00C025AE">
        <w:t>www.dcceew.gov.au/climate-change/publications/framework-developing-production-variables-default-emissions-intensity-values</w:t>
      </w:r>
      <w:r>
        <w:t xml:space="preserve"> </w:t>
      </w:r>
    </w:p>
  </w:footnote>
  <w:footnote w:id="6">
    <w:p w14:paraId="1614043F" w14:textId="634120AA" w:rsidR="004C7222" w:rsidRDefault="004C7222" w:rsidP="004C7222">
      <w:pPr>
        <w:pStyle w:val="FootnoteText"/>
      </w:pPr>
      <w:r>
        <w:rPr>
          <w:rStyle w:val="FootnoteReference"/>
        </w:rPr>
        <w:footnoteRef/>
      </w:r>
      <w:r>
        <w:t xml:space="preserve"> </w:t>
      </w:r>
      <w:r>
        <w:t xml:space="preserve">Designated large facility emissions are published by the Clean Energy Regulator at: </w:t>
      </w:r>
      <w:r w:rsidRPr="00C025AE">
        <w:t>https://cer.gov.au/markets/reports-and-data/safeguard-facility-reported-emissions-data</w:t>
      </w:r>
      <w:r w:rsidRPr="00E93982" w:rsidDel="00E93982">
        <w:t xml:space="preserve"> </w:t>
      </w:r>
    </w:p>
  </w:footnote>
  <w:footnote w:id="7">
    <w:p w14:paraId="18F39DE9" w14:textId="0CAC6491" w:rsidR="004C7222" w:rsidRDefault="004C7222" w:rsidP="004C7222">
      <w:pPr>
        <w:pStyle w:val="FootnoteText"/>
      </w:pPr>
      <w:r>
        <w:rPr>
          <w:rStyle w:val="FootnoteReference"/>
        </w:rPr>
        <w:footnoteRef/>
      </w:r>
      <w:r>
        <w:t xml:space="preserve"> </w:t>
      </w:r>
      <w:r>
        <w:t xml:space="preserve">Australia’s Nationally Determined Contribution, available at: </w:t>
      </w:r>
      <w:r w:rsidRPr="00C025AE">
        <w:t>https://unfccc.int/sites/default/files/NDC/2022-06/Australias NDC June 2022 Update %283%29.pdf</w:t>
      </w:r>
    </w:p>
  </w:footnote>
  <w:footnote w:id="8">
    <w:p w14:paraId="54FDAFE3" w14:textId="77777777" w:rsidR="004C7222" w:rsidRPr="007B74B7" w:rsidRDefault="004C7222" w:rsidP="004C7222">
      <w:pPr>
        <w:pStyle w:val="FootnoteText"/>
      </w:pPr>
      <w:r w:rsidRPr="007B74B7">
        <w:rPr>
          <w:rStyle w:val="FootnoteReference"/>
        </w:rPr>
        <w:footnoteRef/>
      </w:r>
      <w:r w:rsidRPr="007B74B7">
        <w:t xml:space="preserve"> See paragraph </w:t>
      </w:r>
      <w:r>
        <w:t>32</w:t>
      </w:r>
      <w:r w:rsidRPr="007B74B7">
        <w:t xml:space="preserve"> of the statement of reasons of </w:t>
      </w:r>
      <w:r w:rsidRPr="00EA7EC0">
        <w:t>22</w:t>
      </w:r>
      <w:r w:rsidRPr="007B74B7">
        <w:t xml:space="preserve"> </w:t>
      </w:r>
      <w:r w:rsidRPr="00EA7EC0">
        <w:t>April 2024</w:t>
      </w:r>
      <w:r w:rsidRPr="007B74B7">
        <w:t xml:space="preserve"> for the </w:t>
      </w:r>
      <w:r w:rsidRPr="007B74B7">
        <w:rPr>
          <w:rFonts w:cstheme="minorHAnsi"/>
        </w:rPr>
        <w:t>20</w:t>
      </w:r>
      <w:r w:rsidRPr="00EA7EC0">
        <w:rPr>
          <w:rFonts w:cstheme="minorHAnsi"/>
        </w:rPr>
        <w:t>24</w:t>
      </w:r>
      <w:r w:rsidRPr="007B74B7">
        <w:rPr>
          <w:rFonts w:cstheme="minorHAnsi"/>
        </w:rPr>
        <w:t xml:space="preserve"> Production Variables Update.</w:t>
      </w:r>
    </w:p>
  </w:footnote>
  <w:footnote w:id="9">
    <w:p w14:paraId="235172CE" w14:textId="77777777" w:rsidR="004C7222" w:rsidRDefault="004C7222" w:rsidP="004C7222">
      <w:pPr>
        <w:pStyle w:val="FootnoteText"/>
      </w:pPr>
      <w:r w:rsidRPr="007B74B7">
        <w:rPr>
          <w:rStyle w:val="FootnoteReference"/>
        </w:rPr>
        <w:footnoteRef/>
      </w:r>
      <w:r w:rsidRPr="007B74B7">
        <w:t xml:space="preserve"> See paragraph </w:t>
      </w:r>
      <w:r>
        <w:t>33</w:t>
      </w:r>
      <w:r w:rsidRPr="007B74B7">
        <w:t xml:space="preserve"> of the statement of reasons </w:t>
      </w:r>
      <w:r w:rsidRPr="00EA7EC0">
        <w:t xml:space="preserve">of 22 April 2024 for the </w:t>
      </w:r>
      <w:r w:rsidRPr="00EA7EC0">
        <w:rPr>
          <w:rFonts w:cstheme="minorHAnsi"/>
        </w:rPr>
        <w:t>2024 Production Variables Update</w:t>
      </w:r>
      <w:r w:rsidRPr="00EA7EC0" w:rsidDel="007B74B7">
        <w:t xml:space="preserve"> </w:t>
      </w:r>
      <w:r w:rsidRPr="007B74B7">
        <w:rPr>
          <w:rFonts w:cstheme="minorHAnsi"/>
        </w:rPr>
        <w:t>.</w:t>
      </w:r>
    </w:p>
  </w:footnote>
  <w:footnote w:id="10">
    <w:p w14:paraId="06AE0C6D" w14:textId="77777777" w:rsidR="004C7222" w:rsidRDefault="004C7222" w:rsidP="004C7222">
      <w:pPr>
        <w:pStyle w:val="FootnoteText"/>
      </w:pPr>
      <w:r>
        <w:rPr>
          <w:rStyle w:val="FootnoteReference"/>
        </w:rPr>
        <w:footnoteRef/>
      </w:r>
      <w:r>
        <w:t xml:space="preserve"> Trade exposed facilities and TEBA facilities are eligible to access funding under the Powering the Regions Fund.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BC46D" w14:textId="0E3E55DE" w:rsidR="009860A9" w:rsidRDefault="009860A9">
    <w:pPr>
      <w:pStyle w:val="Header"/>
    </w:pPr>
    <w:r>
      <w:rPr>
        <w:noProof/>
      </w:rPr>
      <mc:AlternateContent>
        <mc:Choice Requires="wps">
          <w:drawing>
            <wp:anchor distT="0" distB="0" distL="0" distR="0" simplePos="0" relativeHeight="251658241" behindDoc="0" locked="0" layoutInCell="1" allowOverlap="1" wp14:anchorId="0870DF6C" wp14:editId="6A873ACE">
              <wp:simplePos x="635" y="635"/>
              <wp:positionH relativeFrom="page">
                <wp:align>center</wp:align>
              </wp:positionH>
              <wp:positionV relativeFrom="page">
                <wp:align>top</wp:align>
              </wp:positionV>
              <wp:extent cx="551815" cy="531495"/>
              <wp:effectExtent l="0" t="0" r="635" b="1905"/>
              <wp:wrapNone/>
              <wp:docPr id="16208171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31495"/>
                      </a:xfrm>
                      <a:prstGeom prst="rect">
                        <a:avLst/>
                      </a:prstGeom>
                      <a:noFill/>
                      <a:ln>
                        <a:noFill/>
                      </a:ln>
                    </wps:spPr>
                    <wps:txbx>
                      <w:txbxContent>
                        <w:p w14:paraId="346CCA55" w14:textId="4C9AFCB0" w:rsidR="009860A9" w:rsidRPr="009860A9" w:rsidRDefault="009860A9" w:rsidP="009860A9">
                          <w:pPr>
                            <w:rPr>
                              <w:rFonts w:ascii="Calibri" w:eastAsia="Calibri" w:hAnsi="Calibri" w:cs="Calibri"/>
                              <w:noProof/>
                              <w:color w:val="FF0000"/>
                              <w:szCs w:val="24"/>
                            </w:rPr>
                          </w:pPr>
                          <w:r w:rsidRPr="009860A9">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70DF6C" id="_x0000_t202" coordsize="21600,21600" o:spt="202" path="m,l,21600r21600,l21600,xe">
              <v:stroke joinstyle="miter"/>
              <v:path gradientshapeok="t" o:connecttype="rect"/>
            </v:shapetype>
            <v:shape id="Text Box 2" o:spid="_x0000_s1026" type="#_x0000_t202" alt="OFFICIAL" style="position:absolute;margin-left:0;margin-top:0;width:43.45pt;height:4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" filled="f" stroked="f">
              <v:textbox style="mso-fit-shape-to-text:t" inset="0,15pt,0,0">
                <w:txbxContent>
                  <w:p w14:paraId="346CCA55" w14:textId="4C9AFCB0" w:rsidR="009860A9" w:rsidRPr="009860A9" w:rsidRDefault="009860A9" w:rsidP="009860A9">
                    <w:pPr>
                      <w:rPr>
                        <w:rFonts w:ascii="Calibri" w:eastAsia="Calibri" w:hAnsi="Calibri" w:cs="Calibri"/>
                        <w:noProof/>
                        <w:color w:val="FF0000"/>
                        <w:szCs w:val="24"/>
                      </w:rPr>
                    </w:pPr>
                    <w:r w:rsidRPr="009860A9">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3837" w14:textId="395C893E" w:rsidR="009860A9" w:rsidRDefault="009860A9">
    <w:pPr>
      <w:pStyle w:val="Header"/>
    </w:pPr>
    <w:r>
      <w:rPr>
        <w:noProof/>
      </w:rPr>
      <mc:AlternateContent>
        <mc:Choice Requires="wps">
          <w:drawing>
            <wp:anchor distT="0" distB="0" distL="0" distR="0" simplePos="0" relativeHeight="251658242" behindDoc="0" locked="0" layoutInCell="1" allowOverlap="1" wp14:anchorId="2E09DC07" wp14:editId="4C4839AB">
              <wp:simplePos x="914400" y="445168"/>
              <wp:positionH relativeFrom="page">
                <wp:align>center</wp:align>
              </wp:positionH>
              <wp:positionV relativeFrom="page">
                <wp:align>top</wp:align>
              </wp:positionV>
              <wp:extent cx="551815" cy="531495"/>
              <wp:effectExtent l="0" t="0" r="635" b="1905"/>
              <wp:wrapNone/>
              <wp:docPr id="4210249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31495"/>
                      </a:xfrm>
                      <a:prstGeom prst="rect">
                        <a:avLst/>
                      </a:prstGeom>
                      <a:noFill/>
                      <a:ln>
                        <a:noFill/>
                      </a:ln>
                    </wps:spPr>
                    <wps:txbx>
                      <w:txbxContent>
                        <w:p w14:paraId="6346AE53" w14:textId="48E32270" w:rsidR="009860A9" w:rsidRPr="009860A9" w:rsidRDefault="009860A9" w:rsidP="009860A9">
                          <w:pPr>
                            <w:rPr>
                              <w:rFonts w:ascii="Calibri" w:eastAsia="Calibri" w:hAnsi="Calibri" w:cs="Calibri"/>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09DC07" id="_x0000_t202" coordsize="21600,21600" o:spt="202" path="m,l,21600r21600,l21600,xe">
              <v:stroke joinstyle="miter"/>
              <v:path gradientshapeok="t" o:connecttype="rect"/>
            </v:shapetype>
            <v:shape id="Text Box 3" o:spid="_x0000_s1027" type="#_x0000_t202" alt="OFFICIAL" style="position:absolute;margin-left:0;margin-top:0;width:43.45pt;height:4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" filled="f" stroked="f">
              <v:textbox style="mso-fit-shape-to-text:t" inset="0,15pt,0,0">
                <w:txbxContent>
                  <w:p w14:paraId="6346AE53" w14:textId="48E32270" w:rsidR="009860A9" w:rsidRPr="009860A9" w:rsidRDefault="009860A9" w:rsidP="009860A9">
                    <w:pPr>
                      <w:rPr>
                        <w:rFonts w:ascii="Calibri" w:eastAsia="Calibri" w:hAnsi="Calibri" w:cs="Calibri"/>
                        <w:noProof/>
                        <w:color w:val="FF0000"/>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1A9D1" w14:textId="67CC6078" w:rsidR="009860A9" w:rsidRDefault="009860A9">
    <w:pPr>
      <w:pStyle w:val="Header"/>
    </w:pPr>
    <w:r>
      <w:rPr>
        <w:noProof/>
      </w:rPr>
      <mc:AlternateContent>
        <mc:Choice Requires="wps">
          <w:drawing>
            <wp:anchor distT="0" distB="0" distL="0" distR="0" simplePos="0" relativeHeight="251658244" behindDoc="0" locked="0" layoutInCell="1" allowOverlap="1" wp14:anchorId="269DB9DB" wp14:editId="08EC4CF8">
              <wp:simplePos x="635" y="635"/>
              <wp:positionH relativeFrom="page">
                <wp:align>center</wp:align>
              </wp:positionH>
              <wp:positionV relativeFrom="page">
                <wp:align>top</wp:align>
              </wp:positionV>
              <wp:extent cx="551815" cy="531495"/>
              <wp:effectExtent l="0" t="0" r="635" b="1905"/>
              <wp:wrapNone/>
              <wp:docPr id="407057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31495"/>
                      </a:xfrm>
                      <a:prstGeom prst="rect">
                        <a:avLst/>
                      </a:prstGeom>
                      <a:noFill/>
                      <a:ln>
                        <a:noFill/>
                      </a:ln>
                    </wps:spPr>
                    <wps:txbx>
                      <w:txbxContent>
                        <w:p w14:paraId="4E13FABB" w14:textId="6F86BA16" w:rsidR="009860A9" w:rsidRPr="009860A9" w:rsidRDefault="009860A9" w:rsidP="009860A9">
                          <w:pPr>
                            <w:rPr>
                              <w:rFonts w:ascii="Calibri" w:eastAsia="Calibri" w:hAnsi="Calibri" w:cs="Calibri"/>
                              <w:noProof/>
                              <w:color w:val="FF0000"/>
                              <w:szCs w:val="24"/>
                            </w:rPr>
                          </w:pPr>
                          <w:r w:rsidRPr="009860A9">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DB9DB" id="_x0000_t202" coordsize="21600,21600" o:spt="202" path="m,l,21600r21600,l21600,xe">
              <v:stroke joinstyle="miter"/>
              <v:path gradientshapeok="t" o:connecttype="rect"/>
            </v:shapetype>
            <v:shape id="Text Box 1" o:spid="_x0000_s1030" type="#_x0000_t202" alt="OFFICIAL" style="position:absolute;margin-left:0;margin-top:0;width:43.45pt;height:41.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" filled="f" stroked="f">
              <v:textbox style="mso-fit-shape-to-text:t" inset="0,15pt,0,0">
                <w:txbxContent>
                  <w:p w14:paraId="4E13FABB" w14:textId="6F86BA16" w:rsidR="009860A9" w:rsidRPr="009860A9" w:rsidRDefault="009860A9" w:rsidP="009860A9">
                    <w:pPr>
                      <w:rPr>
                        <w:rFonts w:ascii="Calibri" w:eastAsia="Calibri" w:hAnsi="Calibri" w:cs="Calibri"/>
                        <w:noProof/>
                        <w:color w:val="FF0000"/>
                        <w:szCs w:val="24"/>
                      </w:rPr>
                    </w:pPr>
                    <w:r w:rsidRPr="009860A9">
                      <w:rPr>
                        <w:rFonts w:ascii="Calibri" w:eastAsia="Calibri" w:hAnsi="Calibri" w:cs="Calibri"/>
                        <w:noProof/>
                        <w:color w:val="FF0000"/>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66DF"/>
    <w:multiLevelType w:val="hybridMultilevel"/>
    <w:tmpl w:val="BBB0BDCC"/>
    <w:lvl w:ilvl="0" w:tplc="FFFFFFFF">
      <w:start w:val="1"/>
      <w:numFmt w:val="lowerLetter"/>
      <w:lvlText w:val="(%1)"/>
      <w:lvlJc w:val="left"/>
      <w:pPr>
        <w:ind w:left="1080" w:hanging="360"/>
      </w:pPr>
      <w:rPr>
        <w:rFonts w:hint="default"/>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FA3DF9"/>
    <w:multiLevelType w:val="hybridMultilevel"/>
    <w:tmpl w:val="3D043F9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4"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A328D5"/>
    <w:multiLevelType w:val="multilevel"/>
    <w:tmpl w:val="FB8241CC"/>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6"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1767FF"/>
    <w:multiLevelType w:val="hybridMultilevel"/>
    <w:tmpl w:val="2078F806"/>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F547F0"/>
    <w:multiLevelType w:val="hybridMultilevel"/>
    <w:tmpl w:val="5FBAF7E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F414762"/>
    <w:multiLevelType w:val="hybridMultilevel"/>
    <w:tmpl w:val="2078F806"/>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B2574E"/>
    <w:multiLevelType w:val="hybridMultilevel"/>
    <w:tmpl w:val="5830C5A0"/>
    <w:lvl w:ilvl="0" w:tplc="1C7401D0">
      <w:start w:val="1"/>
      <w:numFmt w:val="lowerLetter"/>
      <w:lvlText w:val="(%1)"/>
      <w:lvlJc w:val="left"/>
      <w:pPr>
        <w:ind w:left="1080" w:hanging="360"/>
      </w:pPr>
      <w:rPr>
        <w:rFonts w:hint="default"/>
      </w:rPr>
    </w:lvl>
    <w:lvl w:ilvl="1" w:tplc="10503CEC">
      <w:start w:val="1"/>
      <w:numFmt w:val="lowerRoman"/>
      <w:lvlText w:val="(%2)"/>
      <w:lvlJc w:val="left"/>
      <w:pPr>
        <w:ind w:left="1800" w:hanging="360"/>
      </w:pPr>
      <w:rPr>
        <w:rFonts w:asciiTheme="minorHAnsi" w:eastAsia="Times New Roman" w:hAnsiTheme="minorHAnsi" w:cstheme="minorBidi"/>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3A93ACE"/>
    <w:multiLevelType w:val="hybridMultilevel"/>
    <w:tmpl w:val="CE52B9C6"/>
    <w:lvl w:ilvl="0" w:tplc="58960924">
      <w:start w:val="1"/>
      <w:numFmt w:val="decimal"/>
      <w:lvlText w:val="%1."/>
      <w:lvlJc w:val="left"/>
      <w:pPr>
        <w:ind w:left="643" w:hanging="360"/>
      </w:pPr>
      <w:rPr>
        <w:b w:val="0"/>
        <w:bCs w:val="0"/>
        <w:i w:val="0"/>
        <w:iCs/>
        <w:sz w:val="22"/>
        <w:szCs w:val="22"/>
      </w:rPr>
    </w:lvl>
    <w:lvl w:ilvl="1" w:tplc="081A18AE">
      <w:start w:val="1"/>
      <w:numFmt w:val="lowerLetter"/>
      <w:lvlText w:val="%2."/>
      <w:lvlJc w:val="left"/>
      <w:pPr>
        <w:ind w:left="1440" w:hanging="360"/>
      </w:pPr>
      <w:rPr>
        <w:b w:val="0"/>
        <w:bCs w:val="0"/>
      </w:rPr>
    </w:lvl>
    <w:lvl w:ilvl="2" w:tplc="0C09001B">
      <w:start w:val="1"/>
      <w:numFmt w:val="lowerRoman"/>
      <w:lvlText w:val="%3."/>
      <w:lvlJc w:val="right"/>
      <w:pPr>
        <w:ind w:left="2160" w:hanging="180"/>
      </w:pPr>
    </w:lvl>
    <w:lvl w:ilvl="3" w:tplc="690A3DEA">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5" w15:restartNumberingAfterBreak="0">
    <w:nsid w:val="585C0C02"/>
    <w:multiLevelType w:val="hybridMultilevel"/>
    <w:tmpl w:val="2078F806"/>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7"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69B21F21"/>
    <w:multiLevelType w:val="hybridMultilevel"/>
    <w:tmpl w:val="C3900A70"/>
    <w:lvl w:ilvl="0" w:tplc="B672E708">
      <w:start w:val="1"/>
      <w:numFmt w:val="decimal"/>
      <w:pStyle w:val="Normal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C77436"/>
    <w:multiLevelType w:val="hybridMultilevel"/>
    <w:tmpl w:val="2078F806"/>
    <w:lvl w:ilvl="0" w:tplc="081A18AE">
      <w:start w:val="1"/>
      <w:numFmt w:val="lowerLetter"/>
      <w:lvlText w:val="%1."/>
      <w:lvlJc w:val="left"/>
      <w:pPr>
        <w:ind w:left="144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651453F"/>
    <w:multiLevelType w:val="hybridMultilevel"/>
    <w:tmpl w:val="A344F57C"/>
    <w:lvl w:ilvl="0" w:tplc="58960924">
      <w:start w:val="1"/>
      <w:numFmt w:val="decimal"/>
      <w:pStyle w:val="ListNumberDotted"/>
      <w:lvlText w:val="%1."/>
      <w:lvlJc w:val="left"/>
      <w:pPr>
        <w:ind w:left="644" w:hanging="360"/>
      </w:pPr>
      <w:rPr>
        <w:rFonts w:hint="default"/>
        <w:b w:val="0"/>
        <w:bCs w:val="0"/>
        <w:i w:val="0"/>
        <w:iCs/>
        <w:sz w:val="22"/>
        <w:szCs w:val="22"/>
      </w:rPr>
    </w:lvl>
    <w:lvl w:ilvl="1" w:tplc="0C090003">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21" w15:restartNumberingAfterBreak="0">
    <w:nsid w:val="78800DC5"/>
    <w:multiLevelType w:val="hybridMultilevel"/>
    <w:tmpl w:val="5830C5A0"/>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Theme="minorHAnsi" w:eastAsia="Times New Roman" w:hAnsiTheme="minorHAnsi" w:cstheme="minorBidi"/>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7CE104FC"/>
    <w:multiLevelType w:val="hybridMultilevel"/>
    <w:tmpl w:val="AECEC6CE"/>
    <w:lvl w:ilvl="0" w:tplc="1C7401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3713583">
    <w:abstractNumId w:val="4"/>
  </w:num>
  <w:num w:numId="2" w16cid:durableId="1857957490">
    <w:abstractNumId w:val="1"/>
  </w:num>
  <w:num w:numId="3" w16cid:durableId="201283210">
    <w:abstractNumId w:val="8"/>
  </w:num>
  <w:num w:numId="4" w16cid:durableId="1378891638">
    <w:abstractNumId w:val="0"/>
  </w:num>
  <w:num w:numId="5" w16cid:durableId="681736867">
    <w:abstractNumId w:val="9"/>
  </w:num>
  <w:num w:numId="6" w16cid:durableId="828058044">
    <w:abstractNumId w:val="3"/>
  </w:num>
  <w:num w:numId="7" w16cid:durableId="357123826">
    <w:abstractNumId w:val="16"/>
  </w:num>
  <w:num w:numId="8" w16cid:durableId="271516609">
    <w:abstractNumId w:val="17"/>
  </w:num>
  <w:num w:numId="9" w16cid:durableId="439419303">
    <w:abstractNumId w:val="6"/>
  </w:num>
  <w:num w:numId="10" w16cid:durableId="947932258">
    <w:abstractNumId w:val="14"/>
  </w:num>
  <w:num w:numId="11" w16cid:durableId="858006673">
    <w:abstractNumId w:val="5"/>
  </w:num>
  <w:num w:numId="12" w16cid:durableId="871184255">
    <w:abstractNumId w:val="10"/>
  </w:num>
  <w:num w:numId="13" w16cid:durableId="175660266">
    <w:abstractNumId w:val="2"/>
  </w:num>
  <w:num w:numId="14" w16cid:durableId="1083379562">
    <w:abstractNumId w:val="18"/>
  </w:num>
  <w:num w:numId="15" w16cid:durableId="2098407516">
    <w:abstractNumId w:val="13"/>
  </w:num>
  <w:num w:numId="16" w16cid:durableId="49622336">
    <w:abstractNumId w:val="12"/>
  </w:num>
  <w:num w:numId="17" w16cid:durableId="1684747485">
    <w:abstractNumId w:val="21"/>
  </w:num>
  <w:num w:numId="18" w16cid:durableId="1134325173">
    <w:abstractNumId w:val="22"/>
  </w:num>
  <w:num w:numId="19" w16cid:durableId="1889683123">
    <w:abstractNumId w:val="20"/>
  </w:num>
  <w:num w:numId="20" w16cid:durableId="535047489">
    <w:abstractNumId w:val="19"/>
  </w:num>
  <w:num w:numId="21" w16cid:durableId="156848275">
    <w:abstractNumId w:val="11"/>
  </w:num>
  <w:num w:numId="22" w16cid:durableId="1585646548">
    <w:abstractNumId w:val="7"/>
  </w:num>
  <w:num w:numId="23" w16cid:durableId="1224100681">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177"/>
    <w:rsid w:val="000004FE"/>
    <w:rsid w:val="000005BF"/>
    <w:rsid w:val="000009D4"/>
    <w:rsid w:val="00000A47"/>
    <w:rsid w:val="00000AB0"/>
    <w:rsid w:val="00000F09"/>
    <w:rsid w:val="00000F56"/>
    <w:rsid w:val="000010EA"/>
    <w:rsid w:val="000015CF"/>
    <w:rsid w:val="0000187B"/>
    <w:rsid w:val="000020CE"/>
    <w:rsid w:val="00002444"/>
    <w:rsid w:val="000025C7"/>
    <w:rsid w:val="0000260E"/>
    <w:rsid w:val="000029AD"/>
    <w:rsid w:val="00002A1F"/>
    <w:rsid w:val="00002B2B"/>
    <w:rsid w:val="00003184"/>
    <w:rsid w:val="00003211"/>
    <w:rsid w:val="000036EB"/>
    <w:rsid w:val="0000395C"/>
    <w:rsid w:val="0000405C"/>
    <w:rsid w:val="0000423C"/>
    <w:rsid w:val="0000451C"/>
    <w:rsid w:val="00004626"/>
    <w:rsid w:val="0000474B"/>
    <w:rsid w:val="00004990"/>
    <w:rsid w:val="00004A84"/>
    <w:rsid w:val="00004B93"/>
    <w:rsid w:val="00004D9A"/>
    <w:rsid w:val="00004DED"/>
    <w:rsid w:val="000050EA"/>
    <w:rsid w:val="0000527F"/>
    <w:rsid w:val="0000576D"/>
    <w:rsid w:val="00005994"/>
    <w:rsid w:val="000059BE"/>
    <w:rsid w:val="00005FD4"/>
    <w:rsid w:val="00006176"/>
    <w:rsid w:val="000063BC"/>
    <w:rsid w:val="00006443"/>
    <w:rsid w:val="000064CB"/>
    <w:rsid w:val="000067BA"/>
    <w:rsid w:val="000069B7"/>
    <w:rsid w:val="00006BD5"/>
    <w:rsid w:val="00007366"/>
    <w:rsid w:val="00007511"/>
    <w:rsid w:val="000076D2"/>
    <w:rsid w:val="0000771D"/>
    <w:rsid w:val="00007847"/>
    <w:rsid w:val="0000790B"/>
    <w:rsid w:val="00007A82"/>
    <w:rsid w:val="00007A99"/>
    <w:rsid w:val="00007AD2"/>
    <w:rsid w:val="00007BC0"/>
    <w:rsid w:val="00007FF7"/>
    <w:rsid w:val="00010033"/>
    <w:rsid w:val="0001015C"/>
    <w:rsid w:val="000102B3"/>
    <w:rsid w:val="00010360"/>
    <w:rsid w:val="000105DB"/>
    <w:rsid w:val="0001068A"/>
    <w:rsid w:val="00010976"/>
    <w:rsid w:val="000109F6"/>
    <w:rsid w:val="00010B99"/>
    <w:rsid w:val="00010D2F"/>
    <w:rsid w:val="00010F01"/>
    <w:rsid w:val="00011202"/>
    <w:rsid w:val="00011471"/>
    <w:rsid w:val="0001156A"/>
    <w:rsid w:val="0001182B"/>
    <w:rsid w:val="00011859"/>
    <w:rsid w:val="00011DF1"/>
    <w:rsid w:val="00011E4D"/>
    <w:rsid w:val="0001258D"/>
    <w:rsid w:val="000126B1"/>
    <w:rsid w:val="00012714"/>
    <w:rsid w:val="00012911"/>
    <w:rsid w:val="00012C67"/>
    <w:rsid w:val="00012E8B"/>
    <w:rsid w:val="0001344F"/>
    <w:rsid w:val="0001376F"/>
    <w:rsid w:val="000138CF"/>
    <w:rsid w:val="00013A7D"/>
    <w:rsid w:val="00013C4B"/>
    <w:rsid w:val="00013D91"/>
    <w:rsid w:val="00013E66"/>
    <w:rsid w:val="0001403B"/>
    <w:rsid w:val="000140D5"/>
    <w:rsid w:val="0001445B"/>
    <w:rsid w:val="000146FA"/>
    <w:rsid w:val="00014887"/>
    <w:rsid w:val="00014BCB"/>
    <w:rsid w:val="00014DC4"/>
    <w:rsid w:val="00015365"/>
    <w:rsid w:val="0001554B"/>
    <w:rsid w:val="00015738"/>
    <w:rsid w:val="00015B36"/>
    <w:rsid w:val="00015E21"/>
    <w:rsid w:val="0001611A"/>
    <w:rsid w:val="000164DD"/>
    <w:rsid w:val="00016580"/>
    <w:rsid w:val="000166FB"/>
    <w:rsid w:val="00016A5E"/>
    <w:rsid w:val="00016AFF"/>
    <w:rsid w:val="00016C38"/>
    <w:rsid w:val="00016FD5"/>
    <w:rsid w:val="00017189"/>
    <w:rsid w:val="000173EE"/>
    <w:rsid w:val="000174F7"/>
    <w:rsid w:val="00017512"/>
    <w:rsid w:val="000177E9"/>
    <w:rsid w:val="000179D6"/>
    <w:rsid w:val="00017B22"/>
    <w:rsid w:val="00017BD7"/>
    <w:rsid w:val="00017D46"/>
    <w:rsid w:val="00017F54"/>
    <w:rsid w:val="00017F71"/>
    <w:rsid w:val="000209D3"/>
    <w:rsid w:val="00020C68"/>
    <w:rsid w:val="00021602"/>
    <w:rsid w:val="000219C8"/>
    <w:rsid w:val="00021E3F"/>
    <w:rsid w:val="00021F77"/>
    <w:rsid w:val="0002211E"/>
    <w:rsid w:val="000226A1"/>
    <w:rsid w:val="00022809"/>
    <w:rsid w:val="00022A6C"/>
    <w:rsid w:val="00022D09"/>
    <w:rsid w:val="00022DF6"/>
    <w:rsid w:val="00023949"/>
    <w:rsid w:val="000239BE"/>
    <w:rsid w:val="00023C31"/>
    <w:rsid w:val="00023C91"/>
    <w:rsid w:val="00023CF9"/>
    <w:rsid w:val="00023D3F"/>
    <w:rsid w:val="00023F1B"/>
    <w:rsid w:val="00023FC0"/>
    <w:rsid w:val="000242BB"/>
    <w:rsid w:val="000244AB"/>
    <w:rsid w:val="000247A4"/>
    <w:rsid w:val="0002481C"/>
    <w:rsid w:val="00024875"/>
    <w:rsid w:val="00024E77"/>
    <w:rsid w:val="000256E7"/>
    <w:rsid w:val="00025832"/>
    <w:rsid w:val="000259CF"/>
    <w:rsid w:val="00025A57"/>
    <w:rsid w:val="00025BFF"/>
    <w:rsid w:val="0002671F"/>
    <w:rsid w:val="0002681E"/>
    <w:rsid w:val="00026AA7"/>
    <w:rsid w:val="00026D51"/>
    <w:rsid w:val="00026DF3"/>
    <w:rsid w:val="0002761C"/>
    <w:rsid w:val="00027915"/>
    <w:rsid w:val="00027BAA"/>
    <w:rsid w:val="00027C93"/>
    <w:rsid w:val="00027D03"/>
    <w:rsid w:val="00027F36"/>
    <w:rsid w:val="00027F92"/>
    <w:rsid w:val="0002E5B7"/>
    <w:rsid w:val="000301BA"/>
    <w:rsid w:val="000305EA"/>
    <w:rsid w:val="00030D3C"/>
    <w:rsid w:val="00030DB0"/>
    <w:rsid w:val="00030E25"/>
    <w:rsid w:val="0003104D"/>
    <w:rsid w:val="0003108B"/>
    <w:rsid w:val="000316B2"/>
    <w:rsid w:val="00031B20"/>
    <w:rsid w:val="00031B76"/>
    <w:rsid w:val="00031C19"/>
    <w:rsid w:val="00031E3C"/>
    <w:rsid w:val="00031E3E"/>
    <w:rsid w:val="00032054"/>
    <w:rsid w:val="000320E3"/>
    <w:rsid w:val="00032878"/>
    <w:rsid w:val="00032B83"/>
    <w:rsid w:val="00032CB3"/>
    <w:rsid w:val="00032E45"/>
    <w:rsid w:val="00032F8F"/>
    <w:rsid w:val="00032FCF"/>
    <w:rsid w:val="0003314B"/>
    <w:rsid w:val="0003316A"/>
    <w:rsid w:val="00033194"/>
    <w:rsid w:val="000335F5"/>
    <w:rsid w:val="00033E5A"/>
    <w:rsid w:val="00033F82"/>
    <w:rsid w:val="000343F8"/>
    <w:rsid w:val="00034627"/>
    <w:rsid w:val="00034757"/>
    <w:rsid w:val="00034C1C"/>
    <w:rsid w:val="00034D6B"/>
    <w:rsid w:val="00035087"/>
    <w:rsid w:val="000358E7"/>
    <w:rsid w:val="00035B57"/>
    <w:rsid w:val="00035D25"/>
    <w:rsid w:val="00035E1D"/>
    <w:rsid w:val="00036390"/>
    <w:rsid w:val="0003655E"/>
    <w:rsid w:val="000365DA"/>
    <w:rsid w:val="00036857"/>
    <w:rsid w:val="00036862"/>
    <w:rsid w:val="00036A84"/>
    <w:rsid w:val="00036FAE"/>
    <w:rsid w:val="000373A7"/>
    <w:rsid w:val="00037AD1"/>
    <w:rsid w:val="00037B57"/>
    <w:rsid w:val="00037CB7"/>
    <w:rsid w:val="00037FB0"/>
    <w:rsid w:val="0003BAED"/>
    <w:rsid w:val="0004029D"/>
    <w:rsid w:val="0004029E"/>
    <w:rsid w:val="000403C4"/>
    <w:rsid w:val="000403F8"/>
    <w:rsid w:val="00040406"/>
    <w:rsid w:val="00040473"/>
    <w:rsid w:val="00040585"/>
    <w:rsid w:val="000405A7"/>
    <w:rsid w:val="0004072F"/>
    <w:rsid w:val="00040745"/>
    <w:rsid w:val="00040760"/>
    <w:rsid w:val="00040B65"/>
    <w:rsid w:val="00040D2B"/>
    <w:rsid w:val="00040FFA"/>
    <w:rsid w:val="00041037"/>
    <w:rsid w:val="0004130E"/>
    <w:rsid w:val="00041354"/>
    <w:rsid w:val="00041447"/>
    <w:rsid w:val="00041585"/>
    <w:rsid w:val="000415C3"/>
    <w:rsid w:val="00041739"/>
    <w:rsid w:val="00041AAC"/>
    <w:rsid w:val="00041E2D"/>
    <w:rsid w:val="0004229F"/>
    <w:rsid w:val="0004230F"/>
    <w:rsid w:val="00042899"/>
    <w:rsid w:val="00042AAD"/>
    <w:rsid w:val="0004301B"/>
    <w:rsid w:val="00043032"/>
    <w:rsid w:val="00043153"/>
    <w:rsid w:val="00043475"/>
    <w:rsid w:val="00043AED"/>
    <w:rsid w:val="00043D9F"/>
    <w:rsid w:val="00043FDB"/>
    <w:rsid w:val="000441FB"/>
    <w:rsid w:val="00044508"/>
    <w:rsid w:val="000445CE"/>
    <w:rsid w:val="00044A3D"/>
    <w:rsid w:val="00044F0E"/>
    <w:rsid w:val="00044FBB"/>
    <w:rsid w:val="00045032"/>
    <w:rsid w:val="00045741"/>
    <w:rsid w:val="0004574C"/>
    <w:rsid w:val="00045B19"/>
    <w:rsid w:val="00045BFE"/>
    <w:rsid w:val="00045D80"/>
    <w:rsid w:val="00045EBA"/>
    <w:rsid w:val="00045F29"/>
    <w:rsid w:val="00045F8C"/>
    <w:rsid w:val="0004612C"/>
    <w:rsid w:val="000461A9"/>
    <w:rsid w:val="0004679D"/>
    <w:rsid w:val="00046954"/>
    <w:rsid w:val="00046D2C"/>
    <w:rsid w:val="0004702C"/>
    <w:rsid w:val="00047668"/>
    <w:rsid w:val="00047A2A"/>
    <w:rsid w:val="00047DFC"/>
    <w:rsid w:val="0005020B"/>
    <w:rsid w:val="0005028A"/>
    <w:rsid w:val="00050353"/>
    <w:rsid w:val="000503F4"/>
    <w:rsid w:val="000503FD"/>
    <w:rsid w:val="00050AB9"/>
    <w:rsid w:val="00050B32"/>
    <w:rsid w:val="00050CFB"/>
    <w:rsid w:val="00051064"/>
    <w:rsid w:val="0005108E"/>
    <w:rsid w:val="0005110C"/>
    <w:rsid w:val="00051133"/>
    <w:rsid w:val="00051296"/>
    <w:rsid w:val="000512F4"/>
    <w:rsid w:val="00051531"/>
    <w:rsid w:val="000516BD"/>
    <w:rsid w:val="00051736"/>
    <w:rsid w:val="000517F6"/>
    <w:rsid w:val="000519BC"/>
    <w:rsid w:val="00051AB8"/>
    <w:rsid w:val="00051CCE"/>
    <w:rsid w:val="00051EC2"/>
    <w:rsid w:val="00052381"/>
    <w:rsid w:val="00052507"/>
    <w:rsid w:val="000525C8"/>
    <w:rsid w:val="000529D5"/>
    <w:rsid w:val="00052A2C"/>
    <w:rsid w:val="00052A90"/>
    <w:rsid w:val="00052BB0"/>
    <w:rsid w:val="00052C3E"/>
    <w:rsid w:val="00052C74"/>
    <w:rsid w:val="00052C97"/>
    <w:rsid w:val="00052DA6"/>
    <w:rsid w:val="00053D22"/>
    <w:rsid w:val="00054926"/>
    <w:rsid w:val="000549D4"/>
    <w:rsid w:val="00054C21"/>
    <w:rsid w:val="000551EA"/>
    <w:rsid w:val="00055429"/>
    <w:rsid w:val="00055B0A"/>
    <w:rsid w:val="00055E2E"/>
    <w:rsid w:val="00055EBA"/>
    <w:rsid w:val="0005651E"/>
    <w:rsid w:val="000565FC"/>
    <w:rsid w:val="0005699A"/>
    <w:rsid w:val="00056F2F"/>
    <w:rsid w:val="00057213"/>
    <w:rsid w:val="00057421"/>
    <w:rsid w:val="000574BE"/>
    <w:rsid w:val="0005758B"/>
    <w:rsid w:val="00057815"/>
    <w:rsid w:val="00057A1E"/>
    <w:rsid w:val="00057BC7"/>
    <w:rsid w:val="00057F05"/>
    <w:rsid w:val="000603A2"/>
    <w:rsid w:val="00060A01"/>
    <w:rsid w:val="00060C60"/>
    <w:rsid w:val="00060E34"/>
    <w:rsid w:val="000611F2"/>
    <w:rsid w:val="000614A1"/>
    <w:rsid w:val="00061620"/>
    <w:rsid w:val="000617D3"/>
    <w:rsid w:val="000617EF"/>
    <w:rsid w:val="00061ED2"/>
    <w:rsid w:val="00061FAC"/>
    <w:rsid w:val="00062201"/>
    <w:rsid w:val="0006227D"/>
    <w:rsid w:val="00062529"/>
    <w:rsid w:val="00062666"/>
    <w:rsid w:val="00062794"/>
    <w:rsid w:val="000629F6"/>
    <w:rsid w:val="00062A74"/>
    <w:rsid w:val="00062E28"/>
    <w:rsid w:val="00062F37"/>
    <w:rsid w:val="0006304A"/>
    <w:rsid w:val="0006313E"/>
    <w:rsid w:val="00063248"/>
    <w:rsid w:val="00063414"/>
    <w:rsid w:val="00063552"/>
    <w:rsid w:val="000638CD"/>
    <w:rsid w:val="00063BAD"/>
    <w:rsid w:val="00064030"/>
    <w:rsid w:val="0006442A"/>
    <w:rsid w:val="0006484E"/>
    <w:rsid w:val="00064B37"/>
    <w:rsid w:val="00064CA3"/>
    <w:rsid w:val="00064CCB"/>
    <w:rsid w:val="00064DF4"/>
    <w:rsid w:val="00064FAE"/>
    <w:rsid w:val="0006534F"/>
    <w:rsid w:val="000655E7"/>
    <w:rsid w:val="00065DC1"/>
    <w:rsid w:val="00066830"/>
    <w:rsid w:val="000668B0"/>
    <w:rsid w:val="000669ED"/>
    <w:rsid w:val="00066A68"/>
    <w:rsid w:val="00066AC7"/>
    <w:rsid w:val="00066C41"/>
    <w:rsid w:val="000670D5"/>
    <w:rsid w:val="000673D2"/>
    <w:rsid w:val="00067CDF"/>
    <w:rsid w:val="00067CF2"/>
    <w:rsid w:val="000700F2"/>
    <w:rsid w:val="000701EA"/>
    <w:rsid w:val="00070954"/>
    <w:rsid w:val="00070D77"/>
    <w:rsid w:val="00071164"/>
    <w:rsid w:val="00071373"/>
    <w:rsid w:val="00071B0F"/>
    <w:rsid w:val="00071E5C"/>
    <w:rsid w:val="00072709"/>
    <w:rsid w:val="00072ACC"/>
    <w:rsid w:val="00072D1C"/>
    <w:rsid w:val="00072D8D"/>
    <w:rsid w:val="00072E92"/>
    <w:rsid w:val="00073017"/>
    <w:rsid w:val="000732F2"/>
    <w:rsid w:val="00073D0C"/>
    <w:rsid w:val="00073F7F"/>
    <w:rsid w:val="00074274"/>
    <w:rsid w:val="00074487"/>
    <w:rsid w:val="000747AE"/>
    <w:rsid w:val="000747F4"/>
    <w:rsid w:val="00074BE4"/>
    <w:rsid w:val="00074D67"/>
    <w:rsid w:val="00075264"/>
    <w:rsid w:val="0007576F"/>
    <w:rsid w:val="00075922"/>
    <w:rsid w:val="00075C8C"/>
    <w:rsid w:val="00075CE7"/>
    <w:rsid w:val="00075EF1"/>
    <w:rsid w:val="00076653"/>
    <w:rsid w:val="00076D27"/>
    <w:rsid w:val="00076E76"/>
    <w:rsid w:val="000770ED"/>
    <w:rsid w:val="000774AF"/>
    <w:rsid w:val="00077EE9"/>
    <w:rsid w:val="00078958"/>
    <w:rsid w:val="00080014"/>
    <w:rsid w:val="00080029"/>
    <w:rsid w:val="00080167"/>
    <w:rsid w:val="0008035C"/>
    <w:rsid w:val="00080576"/>
    <w:rsid w:val="000806CD"/>
    <w:rsid w:val="00080E3A"/>
    <w:rsid w:val="0008118C"/>
    <w:rsid w:val="00081387"/>
    <w:rsid w:val="00081635"/>
    <w:rsid w:val="00081735"/>
    <w:rsid w:val="000822E4"/>
    <w:rsid w:val="00083267"/>
    <w:rsid w:val="000832FD"/>
    <w:rsid w:val="0008348F"/>
    <w:rsid w:val="000837CF"/>
    <w:rsid w:val="00083922"/>
    <w:rsid w:val="000839B0"/>
    <w:rsid w:val="00083CF7"/>
    <w:rsid w:val="00083F41"/>
    <w:rsid w:val="000845A8"/>
    <w:rsid w:val="000846A5"/>
    <w:rsid w:val="000846B7"/>
    <w:rsid w:val="00084A27"/>
    <w:rsid w:val="00084AF1"/>
    <w:rsid w:val="00084B8D"/>
    <w:rsid w:val="00084C8E"/>
    <w:rsid w:val="00085058"/>
    <w:rsid w:val="000852BF"/>
    <w:rsid w:val="000852EA"/>
    <w:rsid w:val="000855C3"/>
    <w:rsid w:val="0008561B"/>
    <w:rsid w:val="000859FB"/>
    <w:rsid w:val="00085A2C"/>
    <w:rsid w:val="00085AED"/>
    <w:rsid w:val="00085C49"/>
    <w:rsid w:val="00086250"/>
    <w:rsid w:val="0008635F"/>
    <w:rsid w:val="000864EC"/>
    <w:rsid w:val="000865AF"/>
    <w:rsid w:val="00086842"/>
    <w:rsid w:val="00086BAA"/>
    <w:rsid w:val="00086D37"/>
    <w:rsid w:val="00086EBC"/>
    <w:rsid w:val="0008702D"/>
    <w:rsid w:val="000871E3"/>
    <w:rsid w:val="000872FB"/>
    <w:rsid w:val="00087551"/>
    <w:rsid w:val="0008763F"/>
    <w:rsid w:val="000877F2"/>
    <w:rsid w:val="00087C2C"/>
    <w:rsid w:val="000900A2"/>
    <w:rsid w:val="000906CC"/>
    <w:rsid w:val="00090C52"/>
    <w:rsid w:val="00090C68"/>
    <w:rsid w:val="00090D65"/>
    <w:rsid w:val="00090E38"/>
    <w:rsid w:val="00090F71"/>
    <w:rsid w:val="00090FC4"/>
    <w:rsid w:val="00091232"/>
    <w:rsid w:val="00091723"/>
    <w:rsid w:val="00091733"/>
    <w:rsid w:val="00091747"/>
    <w:rsid w:val="00091899"/>
    <w:rsid w:val="00091B52"/>
    <w:rsid w:val="00091E3E"/>
    <w:rsid w:val="00091F1B"/>
    <w:rsid w:val="000920B0"/>
    <w:rsid w:val="0009250B"/>
    <w:rsid w:val="00092A76"/>
    <w:rsid w:val="00092B8A"/>
    <w:rsid w:val="00092E25"/>
    <w:rsid w:val="00092FC2"/>
    <w:rsid w:val="0009307E"/>
    <w:rsid w:val="000933EC"/>
    <w:rsid w:val="00093596"/>
    <w:rsid w:val="00093833"/>
    <w:rsid w:val="00093978"/>
    <w:rsid w:val="00093FB5"/>
    <w:rsid w:val="000941CD"/>
    <w:rsid w:val="00094278"/>
    <w:rsid w:val="00094411"/>
    <w:rsid w:val="00094DB4"/>
    <w:rsid w:val="0009541A"/>
    <w:rsid w:val="000960DE"/>
    <w:rsid w:val="000961F5"/>
    <w:rsid w:val="0009627B"/>
    <w:rsid w:val="000962E2"/>
    <w:rsid w:val="00096331"/>
    <w:rsid w:val="0009636A"/>
    <w:rsid w:val="00096412"/>
    <w:rsid w:val="00096940"/>
    <w:rsid w:val="000969B4"/>
    <w:rsid w:val="00096C8B"/>
    <w:rsid w:val="00096E97"/>
    <w:rsid w:val="00096F00"/>
    <w:rsid w:val="00096F45"/>
    <w:rsid w:val="00097240"/>
    <w:rsid w:val="0009738A"/>
    <w:rsid w:val="00097666"/>
    <w:rsid w:val="00097B67"/>
    <w:rsid w:val="00097C3A"/>
    <w:rsid w:val="00097DCC"/>
    <w:rsid w:val="00097F60"/>
    <w:rsid w:val="000A0622"/>
    <w:rsid w:val="000A09CB"/>
    <w:rsid w:val="000A0C19"/>
    <w:rsid w:val="000A0EE2"/>
    <w:rsid w:val="000A10F9"/>
    <w:rsid w:val="000A126C"/>
    <w:rsid w:val="000A13A0"/>
    <w:rsid w:val="000A1430"/>
    <w:rsid w:val="000A1712"/>
    <w:rsid w:val="000A1981"/>
    <w:rsid w:val="000A20BB"/>
    <w:rsid w:val="000A20D3"/>
    <w:rsid w:val="000A2218"/>
    <w:rsid w:val="000A2538"/>
    <w:rsid w:val="000A25A3"/>
    <w:rsid w:val="000A25FE"/>
    <w:rsid w:val="000A29C5"/>
    <w:rsid w:val="000A2A28"/>
    <w:rsid w:val="000A2B1D"/>
    <w:rsid w:val="000A2D3A"/>
    <w:rsid w:val="000A2D81"/>
    <w:rsid w:val="000A2EE9"/>
    <w:rsid w:val="000A30E1"/>
    <w:rsid w:val="000A3124"/>
    <w:rsid w:val="000A3577"/>
    <w:rsid w:val="000A35D6"/>
    <w:rsid w:val="000A3C59"/>
    <w:rsid w:val="000A3E69"/>
    <w:rsid w:val="000A3EBD"/>
    <w:rsid w:val="000A44D8"/>
    <w:rsid w:val="000A473E"/>
    <w:rsid w:val="000A4C18"/>
    <w:rsid w:val="000A4EB5"/>
    <w:rsid w:val="000A4EFE"/>
    <w:rsid w:val="000A5009"/>
    <w:rsid w:val="000A510C"/>
    <w:rsid w:val="000A522B"/>
    <w:rsid w:val="000A5783"/>
    <w:rsid w:val="000A598D"/>
    <w:rsid w:val="000A5A96"/>
    <w:rsid w:val="000A5D19"/>
    <w:rsid w:val="000A5D54"/>
    <w:rsid w:val="000A61CD"/>
    <w:rsid w:val="000A699F"/>
    <w:rsid w:val="000A6A35"/>
    <w:rsid w:val="000A6BA6"/>
    <w:rsid w:val="000A6D85"/>
    <w:rsid w:val="000A6E4F"/>
    <w:rsid w:val="000A7570"/>
    <w:rsid w:val="000A791C"/>
    <w:rsid w:val="000A7AB1"/>
    <w:rsid w:val="000A7B82"/>
    <w:rsid w:val="000A7B91"/>
    <w:rsid w:val="000A7DC1"/>
    <w:rsid w:val="000AE7E0"/>
    <w:rsid w:val="000B0313"/>
    <w:rsid w:val="000B0373"/>
    <w:rsid w:val="000B103F"/>
    <w:rsid w:val="000B1042"/>
    <w:rsid w:val="000B13C4"/>
    <w:rsid w:val="000B14DF"/>
    <w:rsid w:val="000B189E"/>
    <w:rsid w:val="000B1BE1"/>
    <w:rsid w:val="000B2298"/>
    <w:rsid w:val="000B27FA"/>
    <w:rsid w:val="000B2C50"/>
    <w:rsid w:val="000B2EAA"/>
    <w:rsid w:val="000B3147"/>
    <w:rsid w:val="000B3208"/>
    <w:rsid w:val="000B3914"/>
    <w:rsid w:val="000B3923"/>
    <w:rsid w:val="000B3B25"/>
    <w:rsid w:val="000B3C3C"/>
    <w:rsid w:val="000B46C1"/>
    <w:rsid w:val="000B57E2"/>
    <w:rsid w:val="000B620A"/>
    <w:rsid w:val="000B626C"/>
    <w:rsid w:val="000B6430"/>
    <w:rsid w:val="000B6D2A"/>
    <w:rsid w:val="000B7061"/>
    <w:rsid w:val="000B7145"/>
    <w:rsid w:val="000B759C"/>
    <w:rsid w:val="000B7617"/>
    <w:rsid w:val="000B79EA"/>
    <w:rsid w:val="000B7EC9"/>
    <w:rsid w:val="000C04AA"/>
    <w:rsid w:val="000C08D1"/>
    <w:rsid w:val="000C0B2F"/>
    <w:rsid w:val="000C0ED8"/>
    <w:rsid w:val="000C10AD"/>
    <w:rsid w:val="000C1132"/>
    <w:rsid w:val="000C161E"/>
    <w:rsid w:val="000C1703"/>
    <w:rsid w:val="000C1796"/>
    <w:rsid w:val="000C1E5F"/>
    <w:rsid w:val="000C20A5"/>
    <w:rsid w:val="000C224C"/>
    <w:rsid w:val="000C24A4"/>
    <w:rsid w:val="000C24DB"/>
    <w:rsid w:val="000C2698"/>
    <w:rsid w:val="000C28A7"/>
    <w:rsid w:val="000C2ADE"/>
    <w:rsid w:val="000C2B88"/>
    <w:rsid w:val="000C34FD"/>
    <w:rsid w:val="000C360B"/>
    <w:rsid w:val="000C36F9"/>
    <w:rsid w:val="000C38FD"/>
    <w:rsid w:val="000C3D75"/>
    <w:rsid w:val="000C4009"/>
    <w:rsid w:val="000C438A"/>
    <w:rsid w:val="000C47A2"/>
    <w:rsid w:val="000C4808"/>
    <w:rsid w:val="000C4BCF"/>
    <w:rsid w:val="000C4D6B"/>
    <w:rsid w:val="000C501A"/>
    <w:rsid w:val="000C557A"/>
    <w:rsid w:val="000C56D1"/>
    <w:rsid w:val="000C5860"/>
    <w:rsid w:val="000C58FD"/>
    <w:rsid w:val="000C59AF"/>
    <w:rsid w:val="000C5A98"/>
    <w:rsid w:val="000C5B01"/>
    <w:rsid w:val="000C60BB"/>
    <w:rsid w:val="000C6197"/>
    <w:rsid w:val="000C62E2"/>
    <w:rsid w:val="000C65AA"/>
    <w:rsid w:val="000C6C31"/>
    <w:rsid w:val="000C6D12"/>
    <w:rsid w:val="000C6EE6"/>
    <w:rsid w:val="000C72CD"/>
    <w:rsid w:val="000C72D9"/>
    <w:rsid w:val="000C779F"/>
    <w:rsid w:val="000C7CA5"/>
    <w:rsid w:val="000D0951"/>
    <w:rsid w:val="000D0A56"/>
    <w:rsid w:val="000D110E"/>
    <w:rsid w:val="000D1472"/>
    <w:rsid w:val="000D17F7"/>
    <w:rsid w:val="000D189B"/>
    <w:rsid w:val="000D1B58"/>
    <w:rsid w:val="000D1BA2"/>
    <w:rsid w:val="000D1E06"/>
    <w:rsid w:val="000D1F10"/>
    <w:rsid w:val="000D1F7D"/>
    <w:rsid w:val="000D2395"/>
    <w:rsid w:val="000D23BF"/>
    <w:rsid w:val="000D266D"/>
    <w:rsid w:val="000D2890"/>
    <w:rsid w:val="000D290C"/>
    <w:rsid w:val="000D2953"/>
    <w:rsid w:val="000D30C8"/>
    <w:rsid w:val="000D32B5"/>
    <w:rsid w:val="000D386D"/>
    <w:rsid w:val="000D39AB"/>
    <w:rsid w:val="000D39B5"/>
    <w:rsid w:val="000D39E9"/>
    <w:rsid w:val="000D3CF1"/>
    <w:rsid w:val="000D3D49"/>
    <w:rsid w:val="000D3F4B"/>
    <w:rsid w:val="000D4590"/>
    <w:rsid w:val="000D4B4D"/>
    <w:rsid w:val="000D4DD3"/>
    <w:rsid w:val="000D4E86"/>
    <w:rsid w:val="000D51BB"/>
    <w:rsid w:val="000D51D8"/>
    <w:rsid w:val="000D5CE8"/>
    <w:rsid w:val="000D5E6D"/>
    <w:rsid w:val="000D6211"/>
    <w:rsid w:val="000D6328"/>
    <w:rsid w:val="000D6A0F"/>
    <w:rsid w:val="000D73A8"/>
    <w:rsid w:val="000D79AA"/>
    <w:rsid w:val="000D7E73"/>
    <w:rsid w:val="000D7EE7"/>
    <w:rsid w:val="000E00E1"/>
    <w:rsid w:val="000E095D"/>
    <w:rsid w:val="000E0999"/>
    <w:rsid w:val="000E0CEE"/>
    <w:rsid w:val="000E130A"/>
    <w:rsid w:val="000E15DB"/>
    <w:rsid w:val="000E1D81"/>
    <w:rsid w:val="000E2051"/>
    <w:rsid w:val="000E2267"/>
    <w:rsid w:val="000E2677"/>
    <w:rsid w:val="000E2DAF"/>
    <w:rsid w:val="000E3516"/>
    <w:rsid w:val="000E360E"/>
    <w:rsid w:val="000E389A"/>
    <w:rsid w:val="000E3A73"/>
    <w:rsid w:val="000E3E9A"/>
    <w:rsid w:val="000E40A8"/>
    <w:rsid w:val="000E41AF"/>
    <w:rsid w:val="000E43D6"/>
    <w:rsid w:val="000E4414"/>
    <w:rsid w:val="000E4531"/>
    <w:rsid w:val="000E49AC"/>
    <w:rsid w:val="000E4ABB"/>
    <w:rsid w:val="000E4C89"/>
    <w:rsid w:val="000E4FEA"/>
    <w:rsid w:val="000E5112"/>
    <w:rsid w:val="000E5332"/>
    <w:rsid w:val="000E553B"/>
    <w:rsid w:val="000E5631"/>
    <w:rsid w:val="000E57DB"/>
    <w:rsid w:val="000E5F15"/>
    <w:rsid w:val="000E64FB"/>
    <w:rsid w:val="000E668F"/>
    <w:rsid w:val="000E6D59"/>
    <w:rsid w:val="000E6FD5"/>
    <w:rsid w:val="000E6FD6"/>
    <w:rsid w:val="000E7412"/>
    <w:rsid w:val="000E781C"/>
    <w:rsid w:val="000E784B"/>
    <w:rsid w:val="000E7A9B"/>
    <w:rsid w:val="000F0358"/>
    <w:rsid w:val="000F0833"/>
    <w:rsid w:val="000F0AEF"/>
    <w:rsid w:val="000F0B68"/>
    <w:rsid w:val="000F0C26"/>
    <w:rsid w:val="000F0F5C"/>
    <w:rsid w:val="000F1187"/>
    <w:rsid w:val="000F1594"/>
    <w:rsid w:val="000F15E4"/>
    <w:rsid w:val="000F1704"/>
    <w:rsid w:val="000F1811"/>
    <w:rsid w:val="000F1848"/>
    <w:rsid w:val="000F187D"/>
    <w:rsid w:val="000F1FFB"/>
    <w:rsid w:val="000F2097"/>
    <w:rsid w:val="000F2176"/>
    <w:rsid w:val="000F2268"/>
    <w:rsid w:val="000F228C"/>
    <w:rsid w:val="000F237C"/>
    <w:rsid w:val="000F2554"/>
    <w:rsid w:val="000F25C2"/>
    <w:rsid w:val="000F2BB4"/>
    <w:rsid w:val="000F2C4B"/>
    <w:rsid w:val="000F2D81"/>
    <w:rsid w:val="000F31CD"/>
    <w:rsid w:val="000F34AA"/>
    <w:rsid w:val="000F3A05"/>
    <w:rsid w:val="000F4078"/>
    <w:rsid w:val="000F4254"/>
    <w:rsid w:val="000F463A"/>
    <w:rsid w:val="000F4ABD"/>
    <w:rsid w:val="000F4CAF"/>
    <w:rsid w:val="000F525B"/>
    <w:rsid w:val="000F5294"/>
    <w:rsid w:val="000F59DF"/>
    <w:rsid w:val="000F5A45"/>
    <w:rsid w:val="000F5A90"/>
    <w:rsid w:val="000F5C2F"/>
    <w:rsid w:val="000F5DFA"/>
    <w:rsid w:val="000F6232"/>
    <w:rsid w:val="000F6575"/>
    <w:rsid w:val="000F6620"/>
    <w:rsid w:val="000F6660"/>
    <w:rsid w:val="000F6ABF"/>
    <w:rsid w:val="000F6D22"/>
    <w:rsid w:val="000F6E7D"/>
    <w:rsid w:val="000F6FE2"/>
    <w:rsid w:val="000F703B"/>
    <w:rsid w:val="000F715E"/>
    <w:rsid w:val="000F73DD"/>
    <w:rsid w:val="000F7566"/>
    <w:rsid w:val="000F77BC"/>
    <w:rsid w:val="000F7816"/>
    <w:rsid w:val="000F7932"/>
    <w:rsid w:val="000F7A18"/>
    <w:rsid w:val="000F7A8C"/>
    <w:rsid w:val="000F7E0A"/>
    <w:rsid w:val="0010018A"/>
    <w:rsid w:val="001001FA"/>
    <w:rsid w:val="00100657"/>
    <w:rsid w:val="00100694"/>
    <w:rsid w:val="00101283"/>
    <w:rsid w:val="0010180F"/>
    <w:rsid w:val="0010196A"/>
    <w:rsid w:val="00101FC6"/>
    <w:rsid w:val="00102216"/>
    <w:rsid w:val="00102AB4"/>
    <w:rsid w:val="00102E78"/>
    <w:rsid w:val="00103015"/>
    <w:rsid w:val="0010312D"/>
    <w:rsid w:val="00103199"/>
    <w:rsid w:val="00103253"/>
    <w:rsid w:val="001032E2"/>
    <w:rsid w:val="001039E5"/>
    <w:rsid w:val="0010416C"/>
    <w:rsid w:val="001042BA"/>
    <w:rsid w:val="0010435A"/>
    <w:rsid w:val="0010461C"/>
    <w:rsid w:val="00104B1D"/>
    <w:rsid w:val="00104BF8"/>
    <w:rsid w:val="00104C44"/>
    <w:rsid w:val="00104E2C"/>
    <w:rsid w:val="001051D6"/>
    <w:rsid w:val="00105260"/>
    <w:rsid w:val="001052AE"/>
    <w:rsid w:val="0010532C"/>
    <w:rsid w:val="00105352"/>
    <w:rsid w:val="00105A56"/>
    <w:rsid w:val="00105B50"/>
    <w:rsid w:val="00105D21"/>
    <w:rsid w:val="0010677C"/>
    <w:rsid w:val="00106897"/>
    <w:rsid w:val="00106FB4"/>
    <w:rsid w:val="0010710A"/>
    <w:rsid w:val="0010748D"/>
    <w:rsid w:val="0010750B"/>
    <w:rsid w:val="001075E4"/>
    <w:rsid w:val="001100A4"/>
    <w:rsid w:val="0011059A"/>
    <w:rsid w:val="0011063E"/>
    <w:rsid w:val="001109CA"/>
    <w:rsid w:val="00110A2A"/>
    <w:rsid w:val="00110C4F"/>
    <w:rsid w:val="00111485"/>
    <w:rsid w:val="001114A8"/>
    <w:rsid w:val="0011164D"/>
    <w:rsid w:val="00111726"/>
    <w:rsid w:val="00111898"/>
    <w:rsid w:val="00111AC6"/>
    <w:rsid w:val="00111AE9"/>
    <w:rsid w:val="00111EDB"/>
    <w:rsid w:val="00111FA5"/>
    <w:rsid w:val="00112249"/>
    <w:rsid w:val="00112D1B"/>
    <w:rsid w:val="00112D93"/>
    <w:rsid w:val="0011311E"/>
    <w:rsid w:val="0011343A"/>
    <w:rsid w:val="0011384C"/>
    <w:rsid w:val="00114032"/>
    <w:rsid w:val="001141A5"/>
    <w:rsid w:val="001146B1"/>
    <w:rsid w:val="00114A31"/>
    <w:rsid w:val="00114D67"/>
    <w:rsid w:val="00114D9F"/>
    <w:rsid w:val="001151ED"/>
    <w:rsid w:val="00115239"/>
    <w:rsid w:val="0011560D"/>
    <w:rsid w:val="0011561F"/>
    <w:rsid w:val="0011564F"/>
    <w:rsid w:val="00115661"/>
    <w:rsid w:val="0011576C"/>
    <w:rsid w:val="001157B2"/>
    <w:rsid w:val="0011584A"/>
    <w:rsid w:val="00115A47"/>
    <w:rsid w:val="00115BC1"/>
    <w:rsid w:val="00115D8F"/>
    <w:rsid w:val="001162F3"/>
    <w:rsid w:val="0011666B"/>
    <w:rsid w:val="00116A32"/>
    <w:rsid w:val="00116A9A"/>
    <w:rsid w:val="00116F03"/>
    <w:rsid w:val="001171F8"/>
    <w:rsid w:val="0011751B"/>
    <w:rsid w:val="00117A8B"/>
    <w:rsid w:val="00117C44"/>
    <w:rsid w:val="001204ED"/>
    <w:rsid w:val="001205D3"/>
    <w:rsid w:val="00120A34"/>
    <w:rsid w:val="00120B21"/>
    <w:rsid w:val="001216B2"/>
    <w:rsid w:val="00121865"/>
    <w:rsid w:val="00121B9F"/>
    <w:rsid w:val="00122806"/>
    <w:rsid w:val="001228FF"/>
    <w:rsid w:val="0012291B"/>
    <w:rsid w:val="00122D4E"/>
    <w:rsid w:val="00122DD6"/>
    <w:rsid w:val="00122E2B"/>
    <w:rsid w:val="001230B6"/>
    <w:rsid w:val="001230E5"/>
    <w:rsid w:val="001231D0"/>
    <w:rsid w:val="00123354"/>
    <w:rsid w:val="0012348D"/>
    <w:rsid w:val="00123B04"/>
    <w:rsid w:val="00123BD5"/>
    <w:rsid w:val="00123E1B"/>
    <w:rsid w:val="001240C1"/>
    <w:rsid w:val="001241BC"/>
    <w:rsid w:val="00124242"/>
    <w:rsid w:val="00124260"/>
    <w:rsid w:val="00124345"/>
    <w:rsid w:val="00124546"/>
    <w:rsid w:val="00124A03"/>
    <w:rsid w:val="00124AE8"/>
    <w:rsid w:val="00124F51"/>
    <w:rsid w:val="00125295"/>
    <w:rsid w:val="00125A48"/>
    <w:rsid w:val="00125A8E"/>
    <w:rsid w:val="0012631F"/>
    <w:rsid w:val="001265BA"/>
    <w:rsid w:val="0012680E"/>
    <w:rsid w:val="001269C4"/>
    <w:rsid w:val="00126BD4"/>
    <w:rsid w:val="00126E43"/>
    <w:rsid w:val="00126F7E"/>
    <w:rsid w:val="00127179"/>
    <w:rsid w:val="00127393"/>
    <w:rsid w:val="001274C4"/>
    <w:rsid w:val="001275F5"/>
    <w:rsid w:val="0012761B"/>
    <w:rsid w:val="001276CA"/>
    <w:rsid w:val="00127981"/>
    <w:rsid w:val="00127AF4"/>
    <w:rsid w:val="00127AFB"/>
    <w:rsid w:val="00127C2C"/>
    <w:rsid w:val="00127CD8"/>
    <w:rsid w:val="00127CF8"/>
    <w:rsid w:val="001301AD"/>
    <w:rsid w:val="001302CC"/>
    <w:rsid w:val="001304EE"/>
    <w:rsid w:val="00130943"/>
    <w:rsid w:val="001310B0"/>
    <w:rsid w:val="001311BC"/>
    <w:rsid w:val="00131721"/>
    <w:rsid w:val="00131878"/>
    <w:rsid w:val="00131BCE"/>
    <w:rsid w:val="00131DCF"/>
    <w:rsid w:val="00131DEA"/>
    <w:rsid w:val="00131E44"/>
    <w:rsid w:val="00132399"/>
    <w:rsid w:val="00132AB5"/>
    <w:rsid w:val="00132F1D"/>
    <w:rsid w:val="00132F9F"/>
    <w:rsid w:val="001333ED"/>
    <w:rsid w:val="001334C0"/>
    <w:rsid w:val="001334D9"/>
    <w:rsid w:val="00133BDF"/>
    <w:rsid w:val="0013408B"/>
    <w:rsid w:val="001340B8"/>
    <w:rsid w:val="00134115"/>
    <w:rsid w:val="0013416C"/>
    <w:rsid w:val="0013421F"/>
    <w:rsid w:val="0013498B"/>
    <w:rsid w:val="00134C75"/>
    <w:rsid w:val="00134E58"/>
    <w:rsid w:val="0013598E"/>
    <w:rsid w:val="00135A76"/>
    <w:rsid w:val="00135C53"/>
    <w:rsid w:val="00135D97"/>
    <w:rsid w:val="00135E32"/>
    <w:rsid w:val="00136044"/>
    <w:rsid w:val="0013606A"/>
    <w:rsid w:val="0013635E"/>
    <w:rsid w:val="0013653E"/>
    <w:rsid w:val="0013659B"/>
    <w:rsid w:val="00136677"/>
    <w:rsid w:val="00136960"/>
    <w:rsid w:val="001369CD"/>
    <w:rsid w:val="00136CAC"/>
    <w:rsid w:val="0013713A"/>
    <w:rsid w:val="00137391"/>
    <w:rsid w:val="001377D9"/>
    <w:rsid w:val="001379DF"/>
    <w:rsid w:val="00137ACD"/>
    <w:rsid w:val="00137C23"/>
    <w:rsid w:val="00137C77"/>
    <w:rsid w:val="00137E3D"/>
    <w:rsid w:val="001403C8"/>
    <w:rsid w:val="00140482"/>
    <w:rsid w:val="001406A1"/>
    <w:rsid w:val="00140D5E"/>
    <w:rsid w:val="00140DAD"/>
    <w:rsid w:val="00140E3D"/>
    <w:rsid w:val="00140E7A"/>
    <w:rsid w:val="0014100F"/>
    <w:rsid w:val="00141259"/>
    <w:rsid w:val="00141564"/>
    <w:rsid w:val="001418B4"/>
    <w:rsid w:val="001418E1"/>
    <w:rsid w:val="00142115"/>
    <w:rsid w:val="00142193"/>
    <w:rsid w:val="001421B0"/>
    <w:rsid w:val="001421FE"/>
    <w:rsid w:val="0014228F"/>
    <w:rsid w:val="00142A5A"/>
    <w:rsid w:val="00142BCA"/>
    <w:rsid w:val="00142C3B"/>
    <w:rsid w:val="00142C77"/>
    <w:rsid w:val="00142E72"/>
    <w:rsid w:val="0014305C"/>
    <w:rsid w:val="001431E6"/>
    <w:rsid w:val="0014321B"/>
    <w:rsid w:val="001434CE"/>
    <w:rsid w:val="00143684"/>
    <w:rsid w:val="0014374C"/>
    <w:rsid w:val="00143753"/>
    <w:rsid w:val="001437EA"/>
    <w:rsid w:val="00143C24"/>
    <w:rsid w:val="00143E78"/>
    <w:rsid w:val="00144126"/>
    <w:rsid w:val="0014416D"/>
    <w:rsid w:val="001441BF"/>
    <w:rsid w:val="00144950"/>
    <w:rsid w:val="00144B04"/>
    <w:rsid w:val="00144CF7"/>
    <w:rsid w:val="00144EA9"/>
    <w:rsid w:val="001450D4"/>
    <w:rsid w:val="001450EA"/>
    <w:rsid w:val="00145543"/>
    <w:rsid w:val="001457BB"/>
    <w:rsid w:val="00145A93"/>
    <w:rsid w:val="00145BE1"/>
    <w:rsid w:val="00145C2A"/>
    <w:rsid w:val="001464C9"/>
    <w:rsid w:val="00146929"/>
    <w:rsid w:val="0014693F"/>
    <w:rsid w:val="00146A7D"/>
    <w:rsid w:val="00146B32"/>
    <w:rsid w:val="00146C2C"/>
    <w:rsid w:val="00146EC6"/>
    <w:rsid w:val="001470F0"/>
    <w:rsid w:val="00147167"/>
    <w:rsid w:val="001472D3"/>
    <w:rsid w:val="001474E3"/>
    <w:rsid w:val="00147559"/>
    <w:rsid w:val="00147CBA"/>
    <w:rsid w:val="00147E90"/>
    <w:rsid w:val="0015004B"/>
    <w:rsid w:val="001503E6"/>
    <w:rsid w:val="00150555"/>
    <w:rsid w:val="0015076C"/>
    <w:rsid w:val="00150908"/>
    <w:rsid w:val="00150947"/>
    <w:rsid w:val="00150F81"/>
    <w:rsid w:val="00151201"/>
    <w:rsid w:val="0015122A"/>
    <w:rsid w:val="001514E0"/>
    <w:rsid w:val="001514E7"/>
    <w:rsid w:val="001514F5"/>
    <w:rsid w:val="001515A6"/>
    <w:rsid w:val="0015186A"/>
    <w:rsid w:val="00151DEB"/>
    <w:rsid w:val="00151EF1"/>
    <w:rsid w:val="00152513"/>
    <w:rsid w:val="0015270F"/>
    <w:rsid w:val="0015276C"/>
    <w:rsid w:val="00152876"/>
    <w:rsid w:val="00152947"/>
    <w:rsid w:val="0015295E"/>
    <w:rsid w:val="001531FC"/>
    <w:rsid w:val="0015332F"/>
    <w:rsid w:val="00153405"/>
    <w:rsid w:val="0015342F"/>
    <w:rsid w:val="0015349D"/>
    <w:rsid w:val="001535A6"/>
    <w:rsid w:val="001536B2"/>
    <w:rsid w:val="001537A4"/>
    <w:rsid w:val="001538B5"/>
    <w:rsid w:val="00153A75"/>
    <w:rsid w:val="00153ACC"/>
    <w:rsid w:val="00153AF5"/>
    <w:rsid w:val="00153F8D"/>
    <w:rsid w:val="00153FE0"/>
    <w:rsid w:val="00154196"/>
    <w:rsid w:val="00154302"/>
    <w:rsid w:val="001543EA"/>
    <w:rsid w:val="00154558"/>
    <w:rsid w:val="001546B4"/>
    <w:rsid w:val="001546DA"/>
    <w:rsid w:val="001547AE"/>
    <w:rsid w:val="00154ADD"/>
    <w:rsid w:val="00154ADE"/>
    <w:rsid w:val="00154BA5"/>
    <w:rsid w:val="00154CF6"/>
    <w:rsid w:val="00154E78"/>
    <w:rsid w:val="00154F40"/>
    <w:rsid w:val="0015508C"/>
    <w:rsid w:val="00155195"/>
    <w:rsid w:val="001552FD"/>
    <w:rsid w:val="001557A9"/>
    <w:rsid w:val="001557CB"/>
    <w:rsid w:val="00155B12"/>
    <w:rsid w:val="00155C83"/>
    <w:rsid w:val="00155CAF"/>
    <w:rsid w:val="00155E2B"/>
    <w:rsid w:val="00156081"/>
    <w:rsid w:val="0015659C"/>
    <w:rsid w:val="00156994"/>
    <w:rsid w:val="00156E21"/>
    <w:rsid w:val="0015720F"/>
    <w:rsid w:val="00157354"/>
    <w:rsid w:val="001576A2"/>
    <w:rsid w:val="001576A3"/>
    <w:rsid w:val="00157783"/>
    <w:rsid w:val="0016011B"/>
    <w:rsid w:val="00160153"/>
    <w:rsid w:val="0016038F"/>
    <w:rsid w:val="001603CA"/>
    <w:rsid w:val="001607B4"/>
    <w:rsid w:val="001609EC"/>
    <w:rsid w:val="00160B10"/>
    <w:rsid w:val="00160C47"/>
    <w:rsid w:val="0016101E"/>
    <w:rsid w:val="001610E5"/>
    <w:rsid w:val="00161172"/>
    <w:rsid w:val="001615DF"/>
    <w:rsid w:val="00161A1F"/>
    <w:rsid w:val="00161BF3"/>
    <w:rsid w:val="00161C58"/>
    <w:rsid w:val="00161C95"/>
    <w:rsid w:val="00161CB6"/>
    <w:rsid w:val="00161DF4"/>
    <w:rsid w:val="0016221D"/>
    <w:rsid w:val="001627D3"/>
    <w:rsid w:val="001629FE"/>
    <w:rsid w:val="00163336"/>
    <w:rsid w:val="00163468"/>
    <w:rsid w:val="001636BE"/>
    <w:rsid w:val="00163807"/>
    <w:rsid w:val="00163CDB"/>
    <w:rsid w:val="00163F2D"/>
    <w:rsid w:val="0016525A"/>
    <w:rsid w:val="0016564F"/>
    <w:rsid w:val="001659BD"/>
    <w:rsid w:val="00165C36"/>
    <w:rsid w:val="00165D47"/>
    <w:rsid w:val="001660FD"/>
    <w:rsid w:val="00166352"/>
    <w:rsid w:val="001666C8"/>
    <w:rsid w:val="00166D66"/>
    <w:rsid w:val="00166FB0"/>
    <w:rsid w:val="0016713A"/>
    <w:rsid w:val="0016765C"/>
    <w:rsid w:val="001678E9"/>
    <w:rsid w:val="001679B5"/>
    <w:rsid w:val="00167ABB"/>
    <w:rsid w:val="00167CCE"/>
    <w:rsid w:val="00167D8B"/>
    <w:rsid w:val="00167DF3"/>
    <w:rsid w:val="00167EFC"/>
    <w:rsid w:val="0017004B"/>
    <w:rsid w:val="0017006A"/>
    <w:rsid w:val="00170213"/>
    <w:rsid w:val="00170525"/>
    <w:rsid w:val="00170BDD"/>
    <w:rsid w:val="00170E88"/>
    <w:rsid w:val="00171247"/>
    <w:rsid w:val="001712EA"/>
    <w:rsid w:val="00171780"/>
    <w:rsid w:val="00171AC7"/>
    <w:rsid w:val="00171BC8"/>
    <w:rsid w:val="00171C39"/>
    <w:rsid w:val="00171F6B"/>
    <w:rsid w:val="00172082"/>
    <w:rsid w:val="001720D5"/>
    <w:rsid w:val="00172104"/>
    <w:rsid w:val="001721E7"/>
    <w:rsid w:val="00172318"/>
    <w:rsid w:val="001724F3"/>
    <w:rsid w:val="00172526"/>
    <w:rsid w:val="001726BE"/>
    <w:rsid w:val="001729C6"/>
    <w:rsid w:val="00172AAC"/>
    <w:rsid w:val="00172BED"/>
    <w:rsid w:val="00172C33"/>
    <w:rsid w:val="00172D7B"/>
    <w:rsid w:val="0017330B"/>
    <w:rsid w:val="00173382"/>
    <w:rsid w:val="0017381A"/>
    <w:rsid w:val="0017399C"/>
    <w:rsid w:val="00173A38"/>
    <w:rsid w:val="00173A64"/>
    <w:rsid w:val="00173E0C"/>
    <w:rsid w:val="00174052"/>
    <w:rsid w:val="00174071"/>
    <w:rsid w:val="001740EF"/>
    <w:rsid w:val="001741B9"/>
    <w:rsid w:val="0017468A"/>
    <w:rsid w:val="00174F8A"/>
    <w:rsid w:val="00175626"/>
    <w:rsid w:val="001757FD"/>
    <w:rsid w:val="00175ABB"/>
    <w:rsid w:val="00175ABE"/>
    <w:rsid w:val="00175D4F"/>
    <w:rsid w:val="00175D5A"/>
    <w:rsid w:val="00176167"/>
    <w:rsid w:val="0017629B"/>
    <w:rsid w:val="0017642C"/>
    <w:rsid w:val="001766B2"/>
    <w:rsid w:val="00176842"/>
    <w:rsid w:val="001769A0"/>
    <w:rsid w:val="00176B6D"/>
    <w:rsid w:val="00176F71"/>
    <w:rsid w:val="00177242"/>
    <w:rsid w:val="00177430"/>
    <w:rsid w:val="001777CE"/>
    <w:rsid w:val="00177806"/>
    <w:rsid w:val="001778C4"/>
    <w:rsid w:val="00177A43"/>
    <w:rsid w:val="00177ADB"/>
    <w:rsid w:val="00177DA2"/>
    <w:rsid w:val="00177E02"/>
    <w:rsid w:val="00177FC8"/>
    <w:rsid w:val="0018036D"/>
    <w:rsid w:val="001803E1"/>
    <w:rsid w:val="001806DD"/>
    <w:rsid w:val="0018079D"/>
    <w:rsid w:val="001807E9"/>
    <w:rsid w:val="00180B1B"/>
    <w:rsid w:val="001813B6"/>
    <w:rsid w:val="00181442"/>
    <w:rsid w:val="0018155A"/>
    <w:rsid w:val="001815D9"/>
    <w:rsid w:val="0018187F"/>
    <w:rsid w:val="001819BA"/>
    <w:rsid w:val="00182122"/>
    <w:rsid w:val="00182224"/>
    <w:rsid w:val="00182257"/>
    <w:rsid w:val="001822FF"/>
    <w:rsid w:val="00182354"/>
    <w:rsid w:val="001824EA"/>
    <w:rsid w:val="0018288B"/>
    <w:rsid w:val="00182B20"/>
    <w:rsid w:val="00182FF0"/>
    <w:rsid w:val="0018359A"/>
    <w:rsid w:val="001838DA"/>
    <w:rsid w:val="00183B7B"/>
    <w:rsid w:val="0018441A"/>
    <w:rsid w:val="0018447E"/>
    <w:rsid w:val="00184771"/>
    <w:rsid w:val="00184CF8"/>
    <w:rsid w:val="00184D8D"/>
    <w:rsid w:val="00184D90"/>
    <w:rsid w:val="0018509A"/>
    <w:rsid w:val="0018512C"/>
    <w:rsid w:val="00185491"/>
    <w:rsid w:val="00185586"/>
    <w:rsid w:val="001857C4"/>
    <w:rsid w:val="00185D50"/>
    <w:rsid w:val="0018619B"/>
    <w:rsid w:val="0018632A"/>
    <w:rsid w:val="001866F4"/>
    <w:rsid w:val="001868F8"/>
    <w:rsid w:val="00186B06"/>
    <w:rsid w:val="00186B08"/>
    <w:rsid w:val="0018711B"/>
    <w:rsid w:val="00187148"/>
    <w:rsid w:val="001878B9"/>
    <w:rsid w:val="00187D03"/>
    <w:rsid w:val="00187D14"/>
    <w:rsid w:val="0019009E"/>
    <w:rsid w:val="001900A5"/>
    <w:rsid w:val="0019010F"/>
    <w:rsid w:val="001901AE"/>
    <w:rsid w:val="001904FD"/>
    <w:rsid w:val="0019057F"/>
    <w:rsid w:val="001909DC"/>
    <w:rsid w:val="00190D71"/>
    <w:rsid w:val="00190EA9"/>
    <w:rsid w:val="0019101B"/>
    <w:rsid w:val="00191206"/>
    <w:rsid w:val="00191290"/>
    <w:rsid w:val="00191748"/>
    <w:rsid w:val="00191A84"/>
    <w:rsid w:val="00191AA9"/>
    <w:rsid w:val="00191D62"/>
    <w:rsid w:val="00191EE5"/>
    <w:rsid w:val="0019204D"/>
    <w:rsid w:val="00192104"/>
    <w:rsid w:val="001925CD"/>
    <w:rsid w:val="001925E8"/>
    <w:rsid w:val="001926C8"/>
    <w:rsid w:val="001929ED"/>
    <w:rsid w:val="00192A70"/>
    <w:rsid w:val="00192AC8"/>
    <w:rsid w:val="00192C75"/>
    <w:rsid w:val="001930BF"/>
    <w:rsid w:val="00193242"/>
    <w:rsid w:val="001933B4"/>
    <w:rsid w:val="001933E0"/>
    <w:rsid w:val="00193862"/>
    <w:rsid w:val="00193894"/>
    <w:rsid w:val="00193BF7"/>
    <w:rsid w:val="00193D30"/>
    <w:rsid w:val="001946D9"/>
    <w:rsid w:val="001947E8"/>
    <w:rsid w:val="00194D2E"/>
    <w:rsid w:val="00194F2D"/>
    <w:rsid w:val="00195030"/>
    <w:rsid w:val="001955EC"/>
    <w:rsid w:val="00195675"/>
    <w:rsid w:val="00195847"/>
    <w:rsid w:val="00195A3F"/>
    <w:rsid w:val="00195F38"/>
    <w:rsid w:val="00195F42"/>
    <w:rsid w:val="00195FC1"/>
    <w:rsid w:val="0019603B"/>
    <w:rsid w:val="001960C2"/>
    <w:rsid w:val="00196529"/>
    <w:rsid w:val="0019664C"/>
    <w:rsid w:val="001969FF"/>
    <w:rsid w:val="00196C7F"/>
    <w:rsid w:val="0019766E"/>
    <w:rsid w:val="0019789A"/>
    <w:rsid w:val="001978BC"/>
    <w:rsid w:val="0019797A"/>
    <w:rsid w:val="00197AD0"/>
    <w:rsid w:val="00197BE4"/>
    <w:rsid w:val="00197C3F"/>
    <w:rsid w:val="001A00DD"/>
    <w:rsid w:val="001A0370"/>
    <w:rsid w:val="001A0611"/>
    <w:rsid w:val="001A0BB6"/>
    <w:rsid w:val="001A0CFD"/>
    <w:rsid w:val="001A0ED1"/>
    <w:rsid w:val="001A1003"/>
    <w:rsid w:val="001A1136"/>
    <w:rsid w:val="001A1265"/>
    <w:rsid w:val="001A1709"/>
    <w:rsid w:val="001A1A63"/>
    <w:rsid w:val="001A1C6C"/>
    <w:rsid w:val="001A2415"/>
    <w:rsid w:val="001A251C"/>
    <w:rsid w:val="001A2675"/>
    <w:rsid w:val="001A2940"/>
    <w:rsid w:val="001A297E"/>
    <w:rsid w:val="001A2A9C"/>
    <w:rsid w:val="001A2F95"/>
    <w:rsid w:val="001A2F9B"/>
    <w:rsid w:val="001A2FB4"/>
    <w:rsid w:val="001A2FE9"/>
    <w:rsid w:val="001A30D9"/>
    <w:rsid w:val="001A3231"/>
    <w:rsid w:val="001A3550"/>
    <w:rsid w:val="001A3610"/>
    <w:rsid w:val="001A39BD"/>
    <w:rsid w:val="001A3FA2"/>
    <w:rsid w:val="001A3FE4"/>
    <w:rsid w:val="001A406C"/>
    <w:rsid w:val="001A40B3"/>
    <w:rsid w:val="001A410E"/>
    <w:rsid w:val="001A414C"/>
    <w:rsid w:val="001A4389"/>
    <w:rsid w:val="001A46FF"/>
    <w:rsid w:val="001A4B19"/>
    <w:rsid w:val="001A4E04"/>
    <w:rsid w:val="001A4F7C"/>
    <w:rsid w:val="001A5147"/>
    <w:rsid w:val="001A5858"/>
    <w:rsid w:val="001A5CB3"/>
    <w:rsid w:val="001A6407"/>
    <w:rsid w:val="001A66D4"/>
    <w:rsid w:val="001A6E70"/>
    <w:rsid w:val="001A703B"/>
    <w:rsid w:val="001A706C"/>
    <w:rsid w:val="001A720C"/>
    <w:rsid w:val="001A73A4"/>
    <w:rsid w:val="001A7450"/>
    <w:rsid w:val="001A7642"/>
    <w:rsid w:val="001A7BF4"/>
    <w:rsid w:val="001A7FE3"/>
    <w:rsid w:val="001B0DD0"/>
    <w:rsid w:val="001B0E7B"/>
    <w:rsid w:val="001B0F9E"/>
    <w:rsid w:val="001B1373"/>
    <w:rsid w:val="001B170F"/>
    <w:rsid w:val="001B1B00"/>
    <w:rsid w:val="001B1B3D"/>
    <w:rsid w:val="001B23F4"/>
    <w:rsid w:val="001B24CB"/>
    <w:rsid w:val="001B2759"/>
    <w:rsid w:val="001B29F1"/>
    <w:rsid w:val="001B311D"/>
    <w:rsid w:val="001B3351"/>
    <w:rsid w:val="001B3A3F"/>
    <w:rsid w:val="001B3B50"/>
    <w:rsid w:val="001B3C7A"/>
    <w:rsid w:val="001B3FC0"/>
    <w:rsid w:val="001B42A5"/>
    <w:rsid w:val="001B4317"/>
    <w:rsid w:val="001B456C"/>
    <w:rsid w:val="001B4819"/>
    <w:rsid w:val="001B4874"/>
    <w:rsid w:val="001B49D5"/>
    <w:rsid w:val="001B4A31"/>
    <w:rsid w:val="001B4A66"/>
    <w:rsid w:val="001B4D03"/>
    <w:rsid w:val="001B4F9C"/>
    <w:rsid w:val="001B4FC5"/>
    <w:rsid w:val="001B5075"/>
    <w:rsid w:val="001B5136"/>
    <w:rsid w:val="001B5265"/>
    <w:rsid w:val="001B5600"/>
    <w:rsid w:val="001B5842"/>
    <w:rsid w:val="001B5926"/>
    <w:rsid w:val="001B5DCD"/>
    <w:rsid w:val="001B6527"/>
    <w:rsid w:val="001B678E"/>
    <w:rsid w:val="001B6DE7"/>
    <w:rsid w:val="001B6E28"/>
    <w:rsid w:val="001B72C0"/>
    <w:rsid w:val="001B7482"/>
    <w:rsid w:val="001B751F"/>
    <w:rsid w:val="001B77D7"/>
    <w:rsid w:val="001B7F27"/>
    <w:rsid w:val="001C08D1"/>
    <w:rsid w:val="001C0DA0"/>
    <w:rsid w:val="001C0F91"/>
    <w:rsid w:val="001C1063"/>
    <w:rsid w:val="001C127E"/>
    <w:rsid w:val="001C1468"/>
    <w:rsid w:val="001C16D9"/>
    <w:rsid w:val="001C1976"/>
    <w:rsid w:val="001C1A9D"/>
    <w:rsid w:val="001C2349"/>
    <w:rsid w:val="001C2403"/>
    <w:rsid w:val="001C2A72"/>
    <w:rsid w:val="001C2C1C"/>
    <w:rsid w:val="001C2DEE"/>
    <w:rsid w:val="001C2FFA"/>
    <w:rsid w:val="001C30EA"/>
    <w:rsid w:val="001C30EF"/>
    <w:rsid w:val="001C3166"/>
    <w:rsid w:val="001C3687"/>
    <w:rsid w:val="001C38C1"/>
    <w:rsid w:val="001C3AC7"/>
    <w:rsid w:val="001C3C37"/>
    <w:rsid w:val="001C3E30"/>
    <w:rsid w:val="001C41B7"/>
    <w:rsid w:val="001C4642"/>
    <w:rsid w:val="001C4931"/>
    <w:rsid w:val="001C4E7A"/>
    <w:rsid w:val="001C4F04"/>
    <w:rsid w:val="001C4F3E"/>
    <w:rsid w:val="001C51DB"/>
    <w:rsid w:val="001C5210"/>
    <w:rsid w:val="001C570B"/>
    <w:rsid w:val="001C5CFD"/>
    <w:rsid w:val="001C608E"/>
    <w:rsid w:val="001C60D5"/>
    <w:rsid w:val="001C6379"/>
    <w:rsid w:val="001C6509"/>
    <w:rsid w:val="001C653A"/>
    <w:rsid w:val="001C657D"/>
    <w:rsid w:val="001C66E9"/>
    <w:rsid w:val="001C6B2F"/>
    <w:rsid w:val="001C7090"/>
    <w:rsid w:val="001C788E"/>
    <w:rsid w:val="001D00A3"/>
    <w:rsid w:val="001D00E3"/>
    <w:rsid w:val="001D0221"/>
    <w:rsid w:val="001D07AA"/>
    <w:rsid w:val="001D0AF3"/>
    <w:rsid w:val="001D100F"/>
    <w:rsid w:val="001D1535"/>
    <w:rsid w:val="001D15C6"/>
    <w:rsid w:val="001D19A1"/>
    <w:rsid w:val="001D19A5"/>
    <w:rsid w:val="001D1C83"/>
    <w:rsid w:val="001D1CF8"/>
    <w:rsid w:val="001D1D8A"/>
    <w:rsid w:val="001D2053"/>
    <w:rsid w:val="001D217D"/>
    <w:rsid w:val="001D2364"/>
    <w:rsid w:val="001D2CDC"/>
    <w:rsid w:val="001D2D47"/>
    <w:rsid w:val="001D36EE"/>
    <w:rsid w:val="001D3817"/>
    <w:rsid w:val="001D3961"/>
    <w:rsid w:val="001D3BA3"/>
    <w:rsid w:val="001D3C69"/>
    <w:rsid w:val="001D3C80"/>
    <w:rsid w:val="001D3DCA"/>
    <w:rsid w:val="001D3FF4"/>
    <w:rsid w:val="001D40BC"/>
    <w:rsid w:val="001D40F8"/>
    <w:rsid w:val="001D4125"/>
    <w:rsid w:val="001D45F1"/>
    <w:rsid w:val="001D4746"/>
    <w:rsid w:val="001D479F"/>
    <w:rsid w:val="001D47BF"/>
    <w:rsid w:val="001D47C8"/>
    <w:rsid w:val="001D48CB"/>
    <w:rsid w:val="001D48F9"/>
    <w:rsid w:val="001D4984"/>
    <w:rsid w:val="001D49E4"/>
    <w:rsid w:val="001D4B39"/>
    <w:rsid w:val="001D4C04"/>
    <w:rsid w:val="001D4D20"/>
    <w:rsid w:val="001D4FD0"/>
    <w:rsid w:val="001D52CA"/>
    <w:rsid w:val="001D56D1"/>
    <w:rsid w:val="001D5891"/>
    <w:rsid w:val="001D5B62"/>
    <w:rsid w:val="001D5C7C"/>
    <w:rsid w:val="001D5CC4"/>
    <w:rsid w:val="001D6148"/>
    <w:rsid w:val="001D6440"/>
    <w:rsid w:val="001D6BCB"/>
    <w:rsid w:val="001D71AE"/>
    <w:rsid w:val="001D7290"/>
    <w:rsid w:val="001D75A6"/>
    <w:rsid w:val="001D7615"/>
    <w:rsid w:val="001D7BBE"/>
    <w:rsid w:val="001D7C43"/>
    <w:rsid w:val="001D7C81"/>
    <w:rsid w:val="001D7CEB"/>
    <w:rsid w:val="001D7EED"/>
    <w:rsid w:val="001E0042"/>
    <w:rsid w:val="001E0150"/>
    <w:rsid w:val="001E048D"/>
    <w:rsid w:val="001E070A"/>
    <w:rsid w:val="001E07CE"/>
    <w:rsid w:val="001E09CF"/>
    <w:rsid w:val="001E0BA0"/>
    <w:rsid w:val="001E0F65"/>
    <w:rsid w:val="001E1225"/>
    <w:rsid w:val="001E15B2"/>
    <w:rsid w:val="001E19B4"/>
    <w:rsid w:val="001E1AEB"/>
    <w:rsid w:val="001E1D8E"/>
    <w:rsid w:val="001E2148"/>
    <w:rsid w:val="001E2380"/>
    <w:rsid w:val="001E289A"/>
    <w:rsid w:val="001E2A36"/>
    <w:rsid w:val="001E2BB9"/>
    <w:rsid w:val="001E2D2E"/>
    <w:rsid w:val="001E2D60"/>
    <w:rsid w:val="001E2FC0"/>
    <w:rsid w:val="001E30CE"/>
    <w:rsid w:val="001E3180"/>
    <w:rsid w:val="001E3407"/>
    <w:rsid w:val="001E36DE"/>
    <w:rsid w:val="001E3A83"/>
    <w:rsid w:val="001E3FBE"/>
    <w:rsid w:val="001E3FD3"/>
    <w:rsid w:val="001E44DF"/>
    <w:rsid w:val="001E484B"/>
    <w:rsid w:val="001E4CB3"/>
    <w:rsid w:val="001E4D86"/>
    <w:rsid w:val="001E4E0E"/>
    <w:rsid w:val="001E4F1A"/>
    <w:rsid w:val="001E52AF"/>
    <w:rsid w:val="001E52EB"/>
    <w:rsid w:val="001E5687"/>
    <w:rsid w:val="001E5A0B"/>
    <w:rsid w:val="001E5B53"/>
    <w:rsid w:val="001E5E1A"/>
    <w:rsid w:val="001E5FDA"/>
    <w:rsid w:val="001E61CB"/>
    <w:rsid w:val="001E6450"/>
    <w:rsid w:val="001E65FA"/>
    <w:rsid w:val="001E69BC"/>
    <w:rsid w:val="001E6CF7"/>
    <w:rsid w:val="001E6EE6"/>
    <w:rsid w:val="001E705F"/>
    <w:rsid w:val="001E717B"/>
    <w:rsid w:val="001E74C3"/>
    <w:rsid w:val="001E755F"/>
    <w:rsid w:val="001E75C7"/>
    <w:rsid w:val="001E7736"/>
    <w:rsid w:val="001E7B2C"/>
    <w:rsid w:val="001E7C12"/>
    <w:rsid w:val="001E7C53"/>
    <w:rsid w:val="001F045D"/>
    <w:rsid w:val="001F058D"/>
    <w:rsid w:val="001F0851"/>
    <w:rsid w:val="001F1169"/>
    <w:rsid w:val="001F127D"/>
    <w:rsid w:val="001F1606"/>
    <w:rsid w:val="001F175B"/>
    <w:rsid w:val="001F18D6"/>
    <w:rsid w:val="001F1C5C"/>
    <w:rsid w:val="001F1CDB"/>
    <w:rsid w:val="001F202B"/>
    <w:rsid w:val="001F27AF"/>
    <w:rsid w:val="001F2B74"/>
    <w:rsid w:val="001F2E2C"/>
    <w:rsid w:val="001F2E89"/>
    <w:rsid w:val="001F3626"/>
    <w:rsid w:val="001F36E6"/>
    <w:rsid w:val="001F37CC"/>
    <w:rsid w:val="001F383A"/>
    <w:rsid w:val="001F3A1E"/>
    <w:rsid w:val="001F3D75"/>
    <w:rsid w:val="001F47CC"/>
    <w:rsid w:val="001F50EF"/>
    <w:rsid w:val="001F535D"/>
    <w:rsid w:val="001F567B"/>
    <w:rsid w:val="001F569A"/>
    <w:rsid w:val="001F57AE"/>
    <w:rsid w:val="001F586C"/>
    <w:rsid w:val="001F59FE"/>
    <w:rsid w:val="001F5A22"/>
    <w:rsid w:val="001F5AF4"/>
    <w:rsid w:val="001F5D28"/>
    <w:rsid w:val="001F5D95"/>
    <w:rsid w:val="001F5F2D"/>
    <w:rsid w:val="001F630C"/>
    <w:rsid w:val="001F6558"/>
    <w:rsid w:val="001F6747"/>
    <w:rsid w:val="001F682C"/>
    <w:rsid w:val="001F6DC6"/>
    <w:rsid w:val="001F71F7"/>
    <w:rsid w:val="001F7301"/>
    <w:rsid w:val="001F7336"/>
    <w:rsid w:val="001F759D"/>
    <w:rsid w:val="001F7726"/>
    <w:rsid w:val="001F7CDB"/>
    <w:rsid w:val="001F7F5D"/>
    <w:rsid w:val="001F7F7D"/>
    <w:rsid w:val="002000D2"/>
    <w:rsid w:val="002001AD"/>
    <w:rsid w:val="00200358"/>
    <w:rsid w:val="00200464"/>
    <w:rsid w:val="00200596"/>
    <w:rsid w:val="002005CD"/>
    <w:rsid w:val="002006A2"/>
    <w:rsid w:val="00200D38"/>
    <w:rsid w:val="00200F89"/>
    <w:rsid w:val="002012A1"/>
    <w:rsid w:val="00201624"/>
    <w:rsid w:val="00201696"/>
    <w:rsid w:val="00201B16"/>
    <w:rsid w:val="00201BA3"/>
    <w:rsid w:val="00201C69"/>
    <w:rsid w:val="00201F75"/>
    <w:rsid w:val="00202241"/>
    <w:rsid w:val="00202B77"/>
    <w:rsid w:val="00202DF8"/>
    <w:rsid w:val="00202EC1"/>
    <w:rsid w:val="00203537"/>
    <w:rsid w:val="002039D4"/>
    <w:rsid w:val="00203B6B"/>
    <w:rsid w:val="00203B95"/>
    <w:rsid w:val="00203C57"/>
    <w:rsid w:val="00203CCF"/>
    <w:rsid w:val="00203E77"/>
    <w:rsid w:val="00204016"/>
    <w:rsid w:val="0020413B"/>
    <w:rsid w:val="00204283"/>
    <w:rsid w:val="002042FE"/>
    <w:rsid w:val="002044F7"/>
    <w:rsid w:val="002045DE"/>
    <w:rsid w:val="00204634"/>
    <w:rsid w:val="00204EEF"/>
    <w:rsid w:val="002054AD"/>
    <w:rsid w:val="002054B7"/>
    <w:rsid w:val="00205807"/>
    <w:rsid w:val="00205C51"/>
    <w:rsid w:val="00205DBD"/>
    <w:rsid w:val="00205FF6"/>
    <w:rsid w:val="002066B9"/>
    <w:rsid w:val="00207186"/>
    <w:rsid w:val="002071F3"/>
    <w:rsid w:val="0020726F"/>
    <w:rsid w:val="00207297"/>
    <w:rsid w:val="002075EF"/>
    <w:rsid w:val="002079C8"/>
    <w:rsid w:val="00207A71"/>
    <w:rsid w:val="00207A79"/>
    <w:rsid w:val="00207F91"/>
    <w:rsid w:val="00210311"/>
    <w:rsid w:val="00210480"/>
    <w:rsid w:val="002104BF"/>
    <w:rsid w:val="00210C76"/>
    <w:rsid w:val="00210CA5"/>
    <w:rsid w:val="00210EDD"/>
    <w:rsid w:val="00210FE4"/>
    <w:rsid w:val="002112E0"/>
    <w:rsid w:val="002113B6"/>
    <w:rsid w:val="0021146E"/>
    <w:rsid w:val="0021179B"/>
    <w:rsid w:val="002118EE"/>
    <w:rsid w:val="00211C21"/>
    <w:rsid w:val="00211C50"/>
    <w:rsid w:val="00211D6E"/>
    <w:rsid w:val="00211D93"/>
    <w:rsid w:val="002122C3"/>
    <w:rsid w:val="00212492"/>
    <w:rsid w:val="00213211"/>
    <w:rsid w:val="002132E5"/>
    <w:rsid w:val="0021337D"/>
    <w:rsid w:val="002135E9"/>
    <w:rsid w:val="00213C4B"/>
    <w:rsid w:val="00213C6A"/>
    <w:rsid w:val="00214143"/>
    <w:rsid w:val="002142FC"/>
    <w:rsid w:val="00214744"/>
    <w:rsid w:val="00215109"/>
    <w:rsid w:val="00215314"/>
    <w:rsid w:val="0021537C"/>
    <w:rsid w:val="00215455"/>
    <w:rsid w:val="0021565B"/>
    <w:rsid w:val="002159E5"/>
    <w:rsid w:val="00215D35"/>
    <w:rsid w:val="00215DBE"/>
    <w:rsid w:val="00215E92"/>
    <w:rsid w:val="00216366"/>
    <w:rsid w:val="002163E3"/>
    <w:rsid w:val="00216A1C"/>
    <w:rsid w:val="00216C3B"/>
    <w:rsid w:val="002170AE"/>
    <w:rsid w:val="002170C0"/>
    <w:rsid w:val="002171CF"/>
    <w:rsid w:val="002171D6"/>
    <w:rsid w:val="002175B3"/>
    <w:rsid w:val="00217A75"/>
    <w:rsid w:val="00220177"/>
    <w:rsid w:val="00220299"/>
    <w:rsid w:val="002202D0"/>
    <w:rsid w:val="00220509"/>
    <w:rsid w:val="00220579"/>
    <w:rsid w:val="002208CE"/>
    <w:rsid w:val="002209A0"/>
    <w:rsid w:val="00221211"/>
    <w:rsid w:val="0022135E"/>
    <w:rsid w:val="002213CE"/>
    <w:rsid w:val="00221567"/>
    <w:rsid w:val="00221991"/>
    <w:rsid w:val="00221C67"/>
    <w:rsid w:val="00221F0D"/>
    <w:rsid w:val="002220C1"/>
    <w:rsid w:val="002221AE"/>
    <w:rsid w:val="00222321"/>
    <w:rsid w:val="002229DB"/>
    <w:rsid w:val="00222CDE"/>
    <w:rsid w:val="00222F0B"/>
    <w:rsid w:val="0022311C"/>
    <w:rsid w:val="00223750"/>
    <w:rsid w:val="00223AC4"/>
    <w:rsid w:val="00223F82"/>
    <w:rsid w:val="00224106"/>
    <w:rsid w:val="00224150"/>
    <w:rsid w:val="002242D7"/>
    <w:rsid w:val="0022448D"/>
    <w:rsid w:val="002244A1"/>
    <w:rsid w:val="00224A4D"/>
    <w:rsid w:val="00224A5D"/>
    <w:rsid w:val="00224C52"/>
    <w:rsid w:val="00224D95"/>
    <w:rsid w:val="00224FAB"/>
    <w:rsid w:val="00224FC9"/>
    <w:rsid w:val="002255D0"/>
    <w:rsid w:val="002256E4"/>
    <w:rsid w:val="002258B8"/>
    <w:rsid w:val="00225A8B"/>
    <w:rsid w:val="002263FB"/>
    <w:rsid w:val="0022648E"/>
    <w:rsid w:val="0022650E"/>
    <w:rsid w:val="002267BC"/>
    <w:rsid w:val="00226B6A"/>
    <w:rsid w:val="00226B79"/>
    <w:rsid w:val="00226C43"/>
    <w:rsid w:val="00226C4C"/>
    <w:rsid w:val="00227638"/>
    <w:rsid w:val="00227A67"/>
    <w:rsid w:val="00227B7B"/>
    <w:rsid w:val="00227B7F"/>
    <w:rsid w:val="00227BF8"/>
    <w:rsid w:val="00227F45"/>
    <w:rsid w:val="00230203"/>
    <w:rsid w:val="0023036C"/>
    <w:rsid w:val="0023038D"/>
    <w:rsid w:val="002306F9"/>
    <w:rsid w:val="00230A5D"/>
    <w:rsid w:val="00230AEA"/>
    <w:rsid w:val="00230DE1"/>
    <w:rsid w:val="002316F0"/>
    <w:rsid w:val="00231A5D"/>
    <w:rsid w:val="00231BA3"/>
    <w:rsid w:val="00231D27"/>
    <w:rsid w:val="00232304"/>
    <w:rsid w:val="00232828"/>
    <w:rsid w:val="002329DE"/>
    <w:rsid w:val="002329F8"/>
    <w:rsid w:val="00232B37"/>
    <w:rsid w:val="00232D1B"/>
    <w:rsid w:val="00233196"/>
    <w:rsid w:val="00233362"/>
    <w:rsid w:val="0023393A"/>
    <w:rsid w:val="00233A42"/>
    <w:rsid w:val="002341FE"/>
    <w:rsid w:val="002345EC"/>
    <w:rsid w:val="00234D03"/>
    <w:rsid w:val="00234DC4"/>
    <w:rsid w:val="00234DFB"/>
    <w:rsid w:val="00235075"/>
    <w:rsid w:val="00235090"/>
    <w:rsid w:val="0023515D"/>
    <w:rsid w:val="0023547D"/>
    <w:rsid w:val="002354A7"/>
    <w:rsid w:val="0023557D"/>
    <w:rsid w:val="0023582A"/>
    <w:rsid w:val="00235D8B"/>
    <w:rsid w:val="00235ED4"/>
    <w:rsid w:val="002366EA"/>
    <w:rsid w:val="0023694F"/>
    <w:rsid w:val="002369E4"/>
    <w:rsid w:val="00236B55"/>
    <w:rsid w:val="00236C54"/>
    <w:rsid w:val="00237001"/>
    <w:rsid w:val="0023724F"/>
    <w:rsid w:val="0023757E"/>
    <w:rsid w:val="002375E1"/>
    <w:rsid w:val="00237816"/>
    <w:rsid w:val="002378EE"/>
    <w:rsid w:val="002379F3"/>
    <w:rsid w:val="00237D22"/>
    <w:rsid w:val="0023C09D"/>
    <w:rsid w:val="002402AD"/>
    <w:rsid w:val="0024045A"/>
    <w:rsid w:val="0024080B"/>
    <w:rsid w:val="00240868"/>
    <w:rsid w:val="00240CF2"/>
    <w:rsid w:val="00240D63"/>
    <w:rsid w:val="00241046"/>
    <w:rsid w:val="00241415"/>
    <w:rsid w:val="002414E3"/>
    <w:rsid w:val="002416E3"/>
    <w:rsid w:val="002416FB"/>
    <w:rsid w:val="00241AD6"/>
    <w:rsid w:val="00241B36"/>
    <w:rsid w:val="00241CEF"/>
    <w:rsid w:val="00241D09"/>
    <w:rsid w:val="00241F8B"/>
    <w:rsid w:val="002425A8"/>
    <w:rsid w:val="00242903"/>
    <w:rsid w:val="0024290E"/>
    <w:rsid w:val="00242B78"/>
    <w:rsid w:val="00242BCE"/>
    <w:rsid w:val="00242EEE"/>
    <w:rsid w:val="002438BF"/>
    <w:rsid w:val="00243B75"/>
    <w:rsid w:val="00243C45"/>
    <w:rsid w:val="00243D87"/>
    <w:rsid w:val="00243E44"/>
    <w:rsid w:val="00243F02"/>
    <w:rsid w:val="002442CD"/>
    <w:rsid w:val="002444E0"/>
    <w:rsid w:val="0024452D"/>
    <w:rsid w:val="002445E3"/>
    <w:rsid w:val="002447B9"/>
    <w:rsid w:val="00244D8B"/>
    <w:rsid w:val="00244DBE"/>
    <w:rsid w:val="00244EA8"/>
    <w:rsid w:val="002455EC"/>
    <w:rsid w:val="00245A6E"/>
    <w:rsid w:val="00245ACE"/>
    <w:rsid w:val="00245CEE"/>
    <w:rsid w:val="00245DC2"/>
    <w:rsid w:val="002461D9"/>
    <w:rsid w:val="0024627D"/>
    <w:rsid w:val="0024628E"/>
    <w:rsid w:val="002465C5"/>
    <w:rsid w:val="00246D67"/>
    <w:rsid w:val="00246E54"/>
    <w:rsid w:val="002471B8"/>
    <w:rsid w:val="00247349"/>
    <w:rsid w:val="00247486"/>
    <w:rsid w:val="002475B8"/>
    <w:rsid w:val="00247786"/>
    <w:rsid w:val="002477DF"/>
    <w:rsid w:val="00247941"/>
    <w:rsid w:val="002479CD"/>
    <w:rsid w:val="00247C57"/>
    <w:rsid w:val="00247EBF"/>
    <w:rsid w:val="002500D8"/>
    <w:rsid w:val="002501F4"/>
    <w:rsid w:val="002505CA"/>
    <w:rsid w:val="00250643"/>
    <w:rsid w:val="002507D2"/>
    <w:rsid w:val="002507E6"/>
    <w:rsid w:val="00250E5C"/>
    <w:rsid w:val="0025178A"/>
    <w:rsid w:val="00251814"/>
    <w:rsid w:val="00251950"/>
    <w:rsid w:val="00251B46"/>
    <w:rsid w:val="00251B58"/>
    <w:rsid w:val="00251B80"/>
    <w:rsid w:val="00251E23"/>
    <w:rsid w:val="00252143"/>
    <w:rsid w:val="0025249C"/>
    <w:rsid w:val="00252507"/>
    <w:rsid w:val="00252552"/>
    <w:rsid w:val="00252E05"/>
    <w:rsid w:val="0025306F"/>
    <w:rsid w:val="002530FD"/>
    <w:rsid w:val="002533A3"/>
    <w:rsid w:val="002533CD"/>
    <w:rsid w:val="00253425"/>
    <w:rsid w:val="00253987"/>
    <w:rsid w:val="00253BFF"/>
    <w:rsid w:val="00253DB3"/>
    <w:rsid w:val="002540F3"/>
    <w:rsid w:val="00254124"/>
    <w:rsid w:val="00254366"/>
    <w:rsid w:val="0025463B"/>
    <w:rsid w:val="002548F8"/>
    <w:rsid w:val="00254E65"/>
    <w:rsid w:val="00254F7C"/>
    <w:rsid w:val="0025506F"/>
    <w:rsid w:val="002552C9"/>
    <w:rsid w:val="00255DD8"/>
    <w:rsid w:val="00256010"/>
    <w:rsid w:val="00256539"/>
    <w:rsid w:val="0025675A"/>
    <w:rsid w:val="00256AB0"/>
    <w:rsid w:val="00256B37"/>
    <w:rsid w:val="00256D07"/>
    <w:rsid w:val="00256D39"/>
    <w:rsid w:val="00256E79"/>
    <w:rsid w:val="00256EE3"/>
    <w:rsid w:val="002572A3"/>
    <w:rsid w:val="002576D3"/>
    <w:rsid w:val="00257724"/>
    <w:rsid w:val="00257822"/>
    <w:rsid w:val="00257953"/>
    <w:rsid w:val="00257BB0"/>
    <w:rsid w:val="0026006F"/>
    <w:rsid w:val="002600B9"/>
    <w:rsid w:val="002601DB"/>
    <w:rsid w:val="002603D2"/>
    <w:rsid w:val="00260444"/>
    <w:rsid w:val="00260533"/>
    <w:rsid w:val="0026058B"/>
    <w:rsid w:val="00260994"/>
    <w:rsid w:val="00260D8A"/>
    <w:rsid w:val="00260E34"/>
    <w:rsid w:val="00260EF7"/>
    <w:rsid w:val="0026117B"/>
    <w:rsid w:val="0026117D"/>
    <w:rsid w:val="00261243"/>
    <w:rsid w:val="0026133F"/>
    <w:rsid w:val="0026134B"/>
    <w:rsid w:val="00261499"/>
    <w:rsid w:val="00261CF1"/>
    <w:rsid w:val="0026205F"/>
    <w:rsid w:val="002622B1"/>
    <w:rsid w:val="002626C6"/>
    <w:rsid w:val="002626E1"/>
    <w:rsid w:val="0026272C"/>
    <w:rsid w:val="00262862"/>
    <w:rsid w:val="002628B8"/>
    <w:rsid w:val="00262A93"/>
    <w:rsid w:val="00262AC8"/>
    <w:rsid w:val="00262BD1"/>
    <w:rsid w:val="00262D4F"/>
    <w:rsid w:val="00262F1C"/>
    <w:rsid w:val="002631CF"/>
    <w:rsid w:val="002632B7"/>
    <w:rsid w:val="002633AC"/>
    <w:rsid w:val="002633B8"/>
    <w:rsid w:val="0026344C"/>
    <w:rsid w:val="002637AC"/>
    <w:rsid w:val="00263C8F"/>
    <w:rsid w:val="00263F34"/>
    <w:rsid w:val="002643BC"/>
    <w:rsid w:val="00264DBA"/>
    <w:rsid w:val="0026542F"/>
    <w:rsid w:val="002654BA"/>
    <w:rsid w:val="00265521"/>
    <w:rsid w:val="00265628"/>
    <w:rsid w:val="00265666"/>
    <w:rsid w:val="00265812"/>
    <w:rsid w:val="00265C6D"/>
    <w:rsid w:val="00265CCC"/>
    <w:rsid w:val="00265E15"/>
    <w:rsid w:val="00266258"/>
    <w:rsid w:val="002664AA"/>
    <w:rsid w:val="002664F9"/>
    <w:rsid w:val="002666EF"/>
    <w:rsid w:val="002671BE"/>
    <w:rsid w:val="002672A4"/>
    <w:rsid w:val="0026732D"/>
    <w:rsid w:val="002673E1"/>
    <w:rsid w:val="002700E4"/>
    <w:rsid w:val="002703B5"/>
    <w:rsid w:val="00270422"/>
    <w:rsid w:val="002704BB"/>
    <w:rsid w:val="002707A7"/>
    <w:rsid w:val="00270819"/>
    <w:rsid w:val="00270A4E"/>
    <w:rsid w:val="00270D6D"/>
    <w:rsid w:val="00270E41"/>
    <w:rsid w:val="00270E96"/>
    <w:rsid w:val="00270F2E"/>
    <w:rsid w:val="0027101E"/>
    <w:rsid w:val="002713E5"/>
    <w:rsid w:val="00271566"/>
    <w:rsid w:val="00271A4C"/>
    <w:rsid w:val="00271D55"/>
    <w:rsid w:val="00271FA8"/>
    <w:rsid w:val="00272148"/>
    <w:rsid w:val="0027216D"/>
    <w:rsid w:val="00272614"/>
    <w:rsid w:val="00272892"/>
    <w:rsid w:val="00272D34"/>
    <w:rsid w:val="00273038"/>
    <w:rsid w:val="00273CF9"/>
    <w:rsid w:val="00273D3F"/>
    <w:rsid w:val="002744BD"/>
    <w:rsid w:val="00274509"/>
    <w:rsid w:val="002745CF"/>
    <w:rsid w:val="002747E8"/>
    <w:rsid w:val="00274AC3"/>
    <w:rsid w:val="00274B8E"/>
    <w:rsid w:val="00274EC9"/>
    <w:rsid w:val="00274EEA"/>
    <w:rsid w:val="0027560A"/>
    <w:rsid w:val="0027560E"/>
    <w:rsid w:val="00275623"/>
    <w:rsid w:val="00276741"/>
    <w:rsid w:val="0027686D"/>
    <w:rsid w:val="002768BF"/>
    <w:rsid w:val="00276EC0"/>
    <w:rsid w:val="00277475"/>
    <w:rsid w:val="0027768A"/>
    <w:rsid w:val="00277835"/>
    <w:rsid w:val="00277ADE"/>
    <w:rsid w:val="00280494"/>
    <w:rsid w:val="002806CF"/>
    <w:rsid w:val="00280801"/>
    <w:rsid w:val="002808A9"/>
    <w:rsid w:val="002808BF"/>
    <w:rsid w:val="00280937"/>
    <w:rsid w:val="002809D4"/>
    <w:rsid w:val="00280AA4"/>
    <w:rsid w:val="00280AED"/>
    <w:rsid w:val="00280C73"/>
    <w:rsid w:val="00280EEA"/>
    <w:rsid w:val="00281016"/>
    <w:rsid w:val="0028101B"/>
    <w:rsid w:val="00281124"/>
    <w:rsid w:val="002815D7"/>
    <w:rsid w:val="00281644"/>
    <w:rsid w:val="00281993"/>
    <w:rsid w:val="00281C64"/>
    <w:rsid w:val="00281F47"/>
    <w:rsid w:val="002820F2"/>
    <w:rsid w:val="00282C36"/>
    <w:rsid w:val="00282D25"/>
    <w:rsid w:val="00282EAA"/>
    <w:rsid w:val="00283133"/>
    <w:rsid w:val="002835C5"/>
    <w:rsid w:val="00283639"/>
    <w:rsid w:val="00283AEA"/>
    <w:rsid w:val="00283DCA"/>
    <w:rsid w:val="00283F16"/>
    <w:rsid w:val="00284343"/>
    <w:rsid w:val="002848DF"/>
    <w:rsid w:val="00284C9D"/>
    <w:rsid w:val="0028501C"/>
    <w:rsid w:val="002851AC"/>
    <w:rsid w:val="00285419"/>
    <w:rsid w:val="0028541C"/>
    <w:rsid w:val="0028565A"/>
    <w:rsid w:val="00285774"/>
    <w:rsid w:val="00285A93"/>
    <w:rsid w:val="00285F51"/>
    <w:rsid w:val="00286115"/>
    <w:rsid w:val="0028627A"/>
    <w:rsid w:val="00286451"/>
    <w:rsid w:val="00286765"/>
    <w:rsid w:val="00286846"/>
    <w:rsid w:val="0028695D"/>
    <w:rsid w:val="00286960"/>
    <w:rsid w:val="00287205"/>
    <w:rsid w:val="00287442"/>
    <w:rsid w:val="00287CDE"/>
    <w:rsid w:val="00287F09"/>
    <w:rsid w:val="002900CA"/>
    <w:rsid w:val="0029011B"/>
    <w:rsid w:val="002901B6"/>
    <w:rsid w:val="0029030C"/>
    <w:rsid w:val="002904CE"/>
    <w:rsid w:val="00290526"/>
    <w:rsid w:val="00290873"/>
    <w:rsid w:val="00290C07"/>
    <w:rsid w:val="00290D0B"/>
    <w:rsid w:val="00291682"/>
    <w:rsid w:val="00291789"/>
    <w:rsid w:val="002917E9"/>
    <w:rsid w:val="002919C7"/>
    <w:rsid w:val="00291CD3"/>
    <w:rsid w:val="00292080"/>
    <w:rsid w:val="0029281D"/>
    <w:rsid w:val="00292863"/>
    <w:rsid w:val="00292E9A"/>
    <w:rsid w:val="00293335"/>
    <w:rsid w:val="002938C3"/>
    <w:rsid w:val="00293AB4"/>
    <w:rsid w:val="00293C1C"/>
    <w:rsid w:val="00293D3D"/>
    <w:rsid w:val="00293D41"/>
    <w:rsid w:val="002940A2"/>
    <w:rsid w:val="00294430"/>
    <w:rsid w:val="00294BB0"/>
    <w:rsid w:val="00294EA7"/>
    <w:rsid w:val="00295105"/>
    <w:rsid w:val="002955CF"/>
    <w:rsid w:val="00295646"/>
    <w:rsid w:val="00295917"/>
    <w:rsid w:val="00296070"/>
    <w:rsid w:val="00296344"/>
    <w:rsid w:val="00296676"/>
    <w:rsid w:val="00296776"/>
    <w:rsid w:val="00296819"/>
    <w:rsid w:val="0029685F"/>
    <w:rsid w:val="00296B98"/>
    <w:rsid w:val="00296CA7"/>
    <w:rsid w:val="00296FAF"/>
    <w:rsid w:val="00297229"/>
    <w:rsid w:val="00297D66"/>
    <w:rsid w:val="00297EA0"/>
    <w:rsid w:val="00297EAB"/>
    <w:rsid w:val="0029A3E5"/>
    <w:rsid w:val="002A023E"/>
    <w:rsid w:val="002A0625"/>
    <w:rsid w:val="002A08DE"/>
    <w:rsid w:val="002A09D5"/>
    <w:rsid w:val="002A0D54"/>
    <w:rsid w:val="002A0F91"/>
    <w:rsid w:val="002A0FBF"/>
    <w:rsid w:val="002A1040"/>
    <w:rsid w:val="002A10D2"/>
    <w:rsid w:val="002A13D9"/>
    <w:rsid w:val="002A15F1"/>
    <w:rsid w:val="002A1867"/>
    <w:rsid w:val="002A1E93"/>
    <w:rsid w:val="002A2044"/>
    <w:rsid w:val="002A2288"/>
    <w:rsid w:val="002A22AB"/>
    <w:rsid w:val="002A24D9"/>
    <w:rsid w:val="002A295A"/>
    <w:rsid w:val="002A2E15"/>
    <w:rsid w:val="002A3751"/>
    <w:rsid w:val="002A39BC"/>
    <w:rsid w:val="002A3BCF"/>
    <w:rsid w:val="002A3CAA"/>
    <w:rsid w:val="002A3EC8"/>
    <w:rsid w:val="002A4179"/>
    <w:rsid w:val="002A43CA"/>
    <w:rsid w:val="002A459C"/>
    <w:rsid w:val="002A46ED"/>
    <w:rsid w:val="002A471E"/>
    <w:rsid w:val="002A48D2"/>
    <w:rsid w:val="002A4927"/>
    <w:rsid w:val="002A4961"/>
    <w:rsid w:val="002A4EAC"/>
    <w:rsid w:val="002A5055"/>
    <w:rsid w:val="002A562A"/>
    <w:rsid w:val="002A574B"/>
    <w:rsid w:val="002A599E"/>
    <w:rsid w:val="002A5C1C"/>
    <w:rsid w:val="002A5D35"/>
    <w:rsid w:val="002A5D4F"/>
    <w:rsid w:val="002A6302"/>
    <w:rsid w:val="002A6BD9"/>
    <w:rsid w:val="002A6F7B"/>
    <w:rsid w:val="002A710C"/>
    <w:rsid w:val="002A71D1"/>
    <w:rsid w:val="002A7A01"/>
    <w:rsid w:val="002A7A74"/>
    <w:rsid w:val="002A7AFB"/>
    <w:rsid w:val="002A7E6A"/>
    <w:rsid w:val="002A7ED6"/>
    <w:rsid w:val="002B03CA"/>
    <w:rsid w:val="002B06CD"/>
    <w:rsid w:val="002B0738"/>
    <w:rsid w:val="002B08FB"/>
    <w:rsid w:val="002B0CC8"/>
    <w:rsid w:val="002B0EE8"/>
    <w:rsid w:val="002B0FCC"/>
    <w:rsid w:val="002B13AF"/>
    <w:rsid w:val="002B168B"/>
    <w:rsid w:val="002B1A23"/>
    <w:rsid w:val="002B1AA4"/>
    <w:rsid w:val="002B214B"/>
    <w:rsid w:val="002B21DB"/>
    <w:rsid w:val="002B22A3"/>
    <w:rsid w:val="002B279B"/>
    <w:rsid w:val="002B292E"/>
    <w:rsid w:val="002B2E7F"/>
    <w:rsid w:val="002B2E8D"/>
    <w:rsid w:val="002B313C"/>
    <w:rsid w:val="002B3644"/>
    <w:rsid w:val="002B384A"/>
    <w:rsid w:val="002B387C"/>
    <w:rsid w:val="002B3C21"/>
    <w:rsid w:val="002B3E0F"/>
    <w:rsid w:val="002B457B"/>
    <w:rsid w:val="002B45EA"/>
    <w:rsid w:val="002B493A"/>
    <w:rsid w:val="002B4BB1"/>
    <w:rsid w:val="002B4FF7"/>
    <w:rsid w:val="002B5392"/>
    <w:rsid w:val="002B547B"/>
    <w:rsid w:val="002B5C28"/>
    <w:rsid w:val="002B6001"/>
    <w:rsid w:val="002B633B"/>
    <w:rsid w:val="002B698C"/>
    <w:rsid w:val="002B6A94"/>
    <w:rsid w:val="002B6BE2"/>
    <w:rsid w:val="002B6CD1"/>
    <w:rsid w:val="002B7198"/>
    <w:rsid w:val="002B7385"/>
    <w:rsid w:val="002B757F"/>
    <w:rsid w:val="002C006C"/>
    <w:rsid w:val="002C01AA"/>
    <w:rsid w:val="002C03F6"/>
    <w:rsid w:val="002C06BA"/>
    <w:rsid w:val="002C0B68"/>
    <w:rsid w:val="002C0D06"/>
    <w:rsid w:val="002C1415"/>
    <w:rsid w:val="002C1A5A"/>
    <w:rsid w:val="002C1AA8"/>
    <w:rsid w:val="002C1B3E"/>
    <w:rsid w:val="002C1E1B"/>
    <w:rsid w:val="002C1F84"/>
    <w:rsid w:val="002C2038"/>
    <w:rsid w:val="002C20B2"/>
    <w:rsid w:val="002C2488"/>
    <w:rsid w:val="002C26AD"/>
    <w:rsid w:val="002C2D31"/>
    <w:rsid w:val="002C2DD5"/>
    <w:rsid w:val="002C2E60"/>
    <w:rsid w:val="002C2FE1"/>
    <w:rsid w:val="002C3041"/>
    <w:rsid w:val="002C3043"/>
    <w:rsid w:val="002C3751"/>
    <w:rsid w:val="002C3A9D"/>
    <w:rsid w:val="002C40FB"/>
    <w:rsid w:val="002C444E"/>
    <w:rsid w:val="002C473A"/>
    <w:rsid w:val="002C4999"/>
    <w:rsid w:val="002C519E"/>
    <w:rsid w:val="002C537D"/>
    <w:rsid w:val="002C5488"/>
    <w:rsid w:val="002C54FA"/>
    <w:rsid w:val="002C5857"/>
    <w:rsid w:val="002C59E4"/>
    <w:rsid w:val="002C5A31"/>
    <w:rsid w:val="002C5C6B"/>
    <w:rsid w:val="002C5D4C"/>
    <w:rsid w:val="002C5F9C"/>
    <w:rsid w:val="002C608E"/>
    <w:rsid w:val="002C630E"/>
    <w:rsid w:val="002C640B"/>
    <w:rsid w:val="002C69E0"/>
    <w:rsid w:val="002C6C0D"/>
    <w:rsid w:val="002C6E9B"/>
    <w:rsid w:val="002D016A"/>
    <w:rsid w:val="002D01C7"/>
    <w:rsid w:val="002D01CE"/>
    <w:rsid w:val="002D02C4"/>
    <w:rsid w:val="002D03B2"/>
    <w:rsid w:val="002D06C8"/>
    <w:rsid w:val="002D08B7"/>
    <w:rsid w:val="002D0B31"/>
    <w:rsid w:val="002D0CD9"/>
    <w:rsid w:val="002D0F4E"/>
    <w:rsid w:val="002D1089"/>
    <w:rsid w:val="002D1504"/>
    <w:rsid w:val="002D1537"/>
    <w:rsid w:val="002D16EE"/>
    <w:rsid w:val="002D1856"/>
    <w:rsid w:val="002D1D4F"/>
    <w:rsid w:val="002D1DF9"/>
    <w:rsid w:val="002D1E59"/>
    <w:rsid w:val="002D1ECB"/>
    <w:rsid w:val="002D1FE4"/>
    <w:rsid w:val="002D22DE"/>
    <w:rsid w:val="002D257B"/>
    <w:rsid w:val="002D26BB"/>
    <w:rsid w:val="002D29B0"/>
    <w:rsid w:val="002D2F32"/>
    <w:rsid w:val="002D338C"/>
    <w:rsid w:val="002D35CA"/>
    <w:rsid w:val="002D3679"/>
    <w:rsid w:val="002D375F"/>
    <w:rsid w:val="002D3DA2"/>
    <w:rsid w:val="002D4208"/>
    <w:rsid w:val="002D44AF"/>
    <w:rsid w:val="002D479F"/>
    <w:rsid w:val="002D4C15"/>
    <w:rsid w:val="002D4D24"/>
    <w:rsid w:val="002D520D"/>
    <w:rsid w:val="002D52CB"/>
    <w:rsid w:val="002D5505"/>
    <w:rsid w:val="002D564A"/>
    <w:rsid w:val="002D573C"/>
    <w:rsid w:val="002D5D8B"/>
    <w:rsid w:val="002D6001"/>
    <w:rsid w:val="002D6554"/>
    <w:rsid w:val="002D679B"/>
    <w:rsid w:val="002D6B9D"/>
    <w:rsid w:val="002D6D68"/>
    <w:rsid w:val="002D76A6"/>
    <w:rsid w:val="002D771D"/>
    <w:rsid w:val="002D7B29"/>
    <w:rsid w:val="002D7B8D"/>
    <w:rsid w:val="002D7C45"/>
    <w:rsid w:val="002D7E43"/>
    <w:rsid w:val="002E013D"/>
    <w:rsid w:val="002E0142"/>
    <w:rsid w:val="002E021A"/>
    <w:rsid w:val="002E02D2"/>
    <w:rsid w:val="002E0592"/>
    <w:rsid w:val="002E059B"/>
    <w:rsid w:val="002E06BB"/>
    <w:rsid w:val="002E0806"/>
    <w:rsid w:val="002E0EEB"/>
    <w:rsid w:val="002E0F2B"/>
    <w:rsid w:val="002E12E6"/>
    <w:rsid w:val="002E1780"/>
    <w:rsid w:val="002E17C6"/>
    <w:rsid w:val="002E18FD"/>
    <w:rsid w:val="002E1D52"/>
    <w:rsid w:val="002E1EF8"/>
    <w:rsid w:val="002E1FF4"/>
    <w:rsid w:val="002E20C8"/>
    <w:rsid w:val="002E216B"/>
    <w:rsid w:val="002E24AC"/>
    <w:rsid w:val="002E2E2E"/>
    <w:rsid w:val="002E2E8F"/>
    <w:rsid w:val="002E3498"/>
    <w:rsid w:val="002E37CF"/>
    <w:rsid w:val="002E3D24"/>
    <w:rsid w:val="002E42A5"/>
    <w:rsid w:val="002E4349"/>
    <w:rsid w:val="002E442E"/>
    <w:rsid w:val="002E445A"/>
    <w:rsid w:val="002E44AE"/>
    <w:rsid w:val="002E4715"/>
    <w:rsid w:val="002E4716"/>
    <w:rsid w:val="002E48F5"/>
    <w:rsid w:val="002E4E07"/>
    <w:rsid w:val="002E4FB5"/>
    <w:rsid w:val="002E51D8"/>
    <w:rsid w:val="002E5277"/>
    <w:rsid w:val="002E52FD"/>
    <w:rsid w:val="002E53C2"/>
    <w:rsid w:val="002E5580"/>
    <w:rsid w:val="002E5A14"/>
    <w:rsid w:val="002E5AB1"/>
    <w:rsid w:val="002E6065"/>
    <w:rsid w:val="002E64DB"/>
    <w:rsid w:val="002E6511"/>
    <w:rsid w:val="002E652E"/>
    <w:rsid w:val="002E6988"/>
    <w:rsid w:val="002E6BE4"/>
    <w:rsid w:val="002E734F"/>
    <w:rsid w:val="002E7388"/>
    <w:rsid w:val="002E7594"/>
    <w:rsid w:val="002E7CE9"/>
    <w:rsid w:val="002ECB7C"/>
    <w:rsid w:val="002F0309"/>
    <w:rsid w:val="002F0733"/>
    <w:rsid w:val="002F0C9A"/>
    <w:rsid w:val="002F0D2E"/>
    <w:rsid w:val="002F1244"/>
    <w:rsid w:val="002F1355"/>
    <w:rsid w:val="002F15FE"/>
    <w:rsid w:val="002F19AC"/>
    <w:rsid w:val="002F1CE5"/>
    <w:rsid w:val="002F1FD9"/>
    <w:rsid w:val="002F219A"/>
    <w:rsid w:val="002F24BD"/>
    <w:rsid w:val="002F28B8"/>
    <w:rsid w:val="002F2D6B"/>
    <w:rsid w:val="002F32C0"/>
    <w:rsid w:val="002F375F"/>
    <w:rsid w:val="002F38B3"/>
    <w:rsid w:val="002F3C86"/>
    <w:rsid w:val="002F3D3E"/>
    <w:rsid w:val="002F3EEB"/>
    <w:rsid w:val="002F448B"/>
    <w:rsid w:val="002F471A"/>
    <w:rsid w:val="002F471E"/>
    <w:rsid w:val="002F478C"/>
    <w:rsid w:val="002F47EA"/>
    <w:rsid w:val="002F4B19"/>
    <w:rsid w:val="002F4D1E"/>
    <w:rsid w:val="002F4F61"/>
    <w:rsid w:val="002F53F7"/>
    <w:rsid w:val="002F55EF"/>
    <w:rsid w:val="002F57E1"/>
    <w:rsid w:val="002F605B"/>
    <w:rsid w:val="002F67E2"/>
    <w:rsid w:val="002F693A"/>
    <w:rsid w:val="002F69CE"/>
    <w:rsid w:val="002F6EDF"/>
    <w:rsid w:val="002F7061"/>
    <w:rsid w:val="002F70A8"/>
    <w:rsid w:val="002F73E1"/>
    <w:rsid w:val="002F76C6"/>
    <w:rsid w:val="002F79FD"/>
    <w:rsid w:val="002F7B97"/>
    <w:rsid w:val="002F7C9A"/>
    <w:rsid w:val="003001EF"/>
    <w:rsid w:val="00300544"/>
    <w:rsid w:val="003008CB"/>
    <w:rsid w:val="0030096A"/>
    <w:rsid w:val="00300AC0"/>
    <w:rsid w:val="00300E7C"/>
    <w:rsid w:val="003010BB"/>
    <w:rsid w:val="00301429"/>
    <w:rsid w:val="003017C8"/>
    <w:rsid w:val="00301BE1"/>
    <w:rsid w:val="00301ED2"/>
    <w:rsid w:val="0030258E"/>
    <w:rsid w:val="003027FC"/>
    <w:rsid w:val="00302851"/>
    <w:rsid w:val="00302CEE"/>
    <w:rsid w:val="00302EA7"/>
    <w:rsid w:val="003032CA"/>
    <w:rsid w:val="00303448"/>
    <w:rsid w:val="003035FF"/>
    <w:rsid w:val="00303D58"/>
    <w:rsid w:val="00303F71"/>
    <w:rsid w:val="003042CC"/>
    <w:rsid w:val="00304394"/>
    <w:rsid w:val="003045D7"/>
    <w:rsid w:val="0030469B"/>
    <w:rsid w:val="00304885"/>
    <w:rsid w:val="00304969"/>
    <w:rsid w:val="0030496F"/>
    <w:rsid w:val="00304A0A"/>
    <w:rsid w:val="00304A88"/>
    <w:rsid w:val="00304E29"/>
    <w:rsid w:val="00304E64"/>
    <w:rsid w:val="00304F06"/>
    <w:rsid w:val="00305350"/>
    <w:rsid w:val="003056C0"/>
    <w:rsid w:val="00305C1D"/>
    <w:rsid w:val="00305C5D"/>
    <w:rsid w:val="003065F2"/>
    <w:rsid w:val="00306F15"/>
    <w:rsid w:val="00307006"/>
    <w:rsid w:val="00307358"/>
    <w:rsid w:val="003073D6"/>
    <w:rsid w:val="00307ED5"/>
    <w:rsid w:val="003104B8"/>
    <w:rsid w:val="0031070C"/>
    <w:rsid w:val="00310A56"/>
    <w:rsid w:val="00310D40"/>
    <w:rsid w:val="0031100B"/>
    <w:rsid w:val="00311527"/>
    <w:rsid w:val="00311746"/>
    <w:rsid w:val="003119A1"/>
    <w:rsid w:val="00311BD2"/>
    <w:rsid w:val="00311BF7"/>
    <w:rsid w:val="00311E78"/>
    <w:rsid w:val="00311FBF"/>
    <w:rsid w:val="0031216D"/>
    <w:rsid w:val="00312187"/>
    <w:rsid w:val="003122C9"/>
    <w:rsid w:val="003127FD"/>
    <w:rsid w:val="0031282B"/>
    <w:rsid w:val="003128E9"/>
    <w:rsid w:val="00312AFE"/>
    <w:rsid w:val="00312CD2"/>
    <w:rsid w:val="00312E37"/>
    <w:rsid w:val="00312E85"/>
    <w:rsid w:val="00312FF6"/>
    <w:rsid w:val="00313016"/>
    <w:rsid w:val="003131E1"/>
    <w:rsid w:val="00313494"/>
    <w:rsid w:val="003135A9"/>
    <w:rsid w:val="00313612"/>
    <w:rsid w:val="003136C8"/>
    <w:rsid w:val="003136FC"/>
    <w:rsid w:val="00313917"/>
    <w:rsid w:val="00313962"/>
    <w:rsid w:val="00313F65"/>
    <w:rsid w:val="003141EF"/>
    <w:rsid w:val="0031445E"/>
    <w:rsid w:val="00314B77"/>
    <w:rsid w:val="00314F80"/>
    <w:rsid w:val="0031521A"/>
    <w:rsid w:val="0031531F"/>
    <w:rsid w:val="0031592E"/>
    <w:rsid w:val="00315A20"/>
    <w:rsid w:val="00315B36"/>
    <w:rsid w:val="00315B90"/>
    <w:rsid w:val="00315FB6"/>
    <w:rsid w:val="00315FF7"/>
    <w:rsid w:val="00316053"/>
    <w:rsid w:val="0031651D"/>
    <w:rsid w:val="00316609"/>
    <w:rsid w:val="0031677E"/>
    <w:rsid w:val="003168D5"/>
    <w:rsid w:val="00316A22"/>
    <w:rsid w:val="00316B55"/>
    <w:rsid w:val="00316C41"/>
    <w:rsid w:val="00317034"/>
    <w:rsid w:val="003170AC"/>
    <w:rsid w:val="003171DE"/>
    <w:rsid w:val="00317595"/>
    <w:rsid w:val="0031760C"/>
    <w:rsid w:val="00317C04"/>
    <w:rsid w:val="0032027E"/>
    <w:rsid w:val="003203B2"/>
    <w:rsid w:val="00320796"/>
    <w:rsid w:val="003208CE"/>
    <w:rsid w:val="00320ADA"/>
    <w:rsid w:val="00320B91"/>
    <w:rsid w:val="00320E85"/>
    <w:rsid w:val="00320F7C"/>
    <w:rsid w:val="00320FC6"/>
    <w:rsid w:val="0032106A"/>
    <w:rsid w:val="00321667"/>
    <w:rsid w:val="003217B4"/>
    <w:rsid w:val="0032235B"/>
    <w:rsid w:val="00322365"/>
    <w:rsid w:val="003226CD"/>
    <w:rsid w:val="003226E2"/>
    <w:rsid w:val="0032277D"/>
    <w:rsid w:val="00322908"/>
    <w:rsid w:val="00322A59"/>
    <w:rsid w:val="00322A7B"/>
    <w:rsid w:val="00322AF9"/>
    <w:rsid w:val="00323066"/>
    <w:rsid w:val="00323257"/>
    <w:rsid w:val="0032345C"/>
    <w:rsid w:val="003235A3"/>
    <w:rsid w:val="003235CD"/>
    <w:rsid w:val="00323675"/>
    <w:rsid w:val="003239CA"/>
    <w:rsid w:val="00323FA0"/>
    <w:rsid w:val="00324230"/>
    <w:rsid w:val="003245FF"/>
    <w:rsid w:val="00324B2A"/>
    <w:rsid w:val="00324C95"/>
    <w:rsid w:val="003253D3"/>
    <w:rsid w:val="003255E1"/>
    <w:rsid w:val="0032586B"/>
    <w:rsid w:val="003259F1"/>
    <w:rsid w:val="00326166"/>
    <w:rsid w:val="00326187"/>
    <w:rsid w:val="0032643C"/>
    <w:rsid w:val="003264A7"/>
    <w:rsid w:val="0032650E"/>
    <w:rsid w:val="00326784"/>
    <w:rsid w:val="00326A55"/>
    <w:rsid w:val="00326C24"/>
    <w:rsid w:val="00326C67"/>
    <w:rsid w:val="00327485"/>
    <w:rsid w:val="00327488"/>
    <w:rsid w:val="00327946"/>
    <w:rsid w:val="00327AFB"/>
    <w:rsid w:val="00327FF7"/>
    <w:rsid w:val="00330489"/>
    <w:rsid w:val="0033063E"/>
    <w:rsid w:val="0033070E"/>
    <w:rsid w:val="00330742"/>
    <w:rsid w:val="0033075A"/>
    <w:rsid w:val="00330834"/>
    <w:rsid w:val="00330C40"/>
    <w:rsid w:val="00330D0B"/>
    <w:rsid w:val="00330EB5"/>
    <w:rsid w:val="0033105D"/>
    <w:rsid w:val="0033109F"/>
    <w:rsid w:val="0033140F"/>
    <w:rsid w:val="00331AF4"/>
    <w:rsid w:val="00331B06"/>
    <w:rsid w:val="00331DA1"/>
    <w:rsid w:val="00331E57"/>
    <w:rsid w:val="003320C0"/>
    <w:rsid w:val="003321A1"/>
    <w:rsid w:val="003322F4"/>
    <w:rsid w:val="00332376"/>
    <w:rsid w:val="00332593"/>
    <w:rsid w:val="0033261F"/>
    <w:rsid w:val="00332665"/>
    <w:rsid w:val="00332D9A"/>
    <w:rsid w:val="00332E04"/>
    <w:rsid w:val="00332E91"/>
    <w:rsid w:val="00333318"/>
    <w:rsid w:val="0033362C"/>
    <w:rsid w:val="0033363F"/>
    <w:rsid w:val="00333975"/>
    <w:rsid w:val="00333D7A"/>
    <w:rsid w:val="00333DA2"/>
    <w:rsid w:val="00333EC3"/>
    <w:rsid w:val="00333F7A"/>
    <w:rsid w:val="0033417B"/>
    <w:rsid w:val="003342BA"/>
    <w:rsid w:val="003348A3"/>
    <w:rsid w:val="00334F89"/>
    <w:rsid w:val="00335171"/>
    <w:rsid w:val="003353DF"/>
    <w:rsid w:val="003354A2"/>
    <w:rsid w:val="00335858"/>
    <w:rsid w:val="00335C58"/>
    <w:rsid w:val="00335F25"/>
    <w:rsid w:val="0033620C"/>
    <w:rsid w:val="00336AAA"/>
    <w:rsid w:val="00336E11"/>
    <w:rsid w:val="0033701E"/>
    <w:rsid w:val="00337044"/>
    <w:rsid w:val="00337560"/>
    <w:rsid w:val="003378C9"/>
    <w:rsid w:val="00337A1F"/>
    <w:rsid w:val="00337C5D"/>
    <w:rsid w:val="00337C9E"/>
    <w:rsid w:val="00337DB2"/>
    <w:rsid w:val="00337E60"/>
    <w:rsid w:val="0033FAE1"/>
    <w:rsid w:val="00340146"/>
    <w:rsid w:val="0034021B"/>
    <w:rsid w:val="003407D8"/>
    <w:rsid w:val="0034146D"/>
    <w:rsid w:val="00341474"/>
    <w:rsid w:val="00341656"/>
    <w:rsid w:val="003417E9"/>
    <w:rsid w:val="00341CB7"/>
    <w:rsid w:val="00341DED"/>
    <w:rsid w:val="00341E39"/>
    <w:rsid w:val="00341F1F"/>
    <w:rsid w:val="003420CE"/>
    <w:rsid w:val="00342213"/>
    <w:rsid w:val="00342274"/>
    <w:rsid w:val="0034239F"/>
    <w:rsid w:val="00342511"/>
    <w:rsid w:val="00342512"/>
    <w:rsid w:val="003425E3"/>
    <w:rsid w:val="00342871"/>
    <w:rsid w:val="00342881"/>
    <w:rsid w:val="003429D3"/>
    <w:rsid w:val="00342E0A"/>
    <w:rsid w:val="00342F48"/>
    <w:rsid w:val="00342FD5"/>
    <w:rsid w:val="003433C5"/>
    <w:rsid w:val="003435A7"/>
    <w:rsid w:val="00343777"/>
    <w:rsid w:val="003437C6"/>
    <w:rsid w:val="003438E7"/>
    <w:rsid w:val="0034399D"/>
    <w:rsid w:val="00343B49"/>
    <w:rsid w:val="00343E55"/>
    <w:rsid w:val="003440C7"/>
    <w:rsid w:val="0034415E"/>
    <w:rsid w:val="003441FA"/>
    <w:rsid w:val="00344341"/>
    <w:rsid w:val="00344365"/>
    <w:rsid w:val="003449AB"/>
    <w:rsid w:val="003449F2"/>
    <w:rsid w:val="00344FAD"/>
    <w:rsid w:val="00345533"/>
    <w:rsid w:val="003456BE"/>
    <w:rsid w:val="00345817"/>
    <w:rsid w:val="0034597F"/>
    <w:rsid w:val="00345B2A"/>
    <w:rsid w:val="00345C1D"/>
    <w:rsid w:val="00345C78"/>
    <w:rsid w:val="00345CAD"/>
    <w:rsid w:val="00346584"/>
    <w:rsid w:val="0034709B"/>
    <w:rsid w:val="003472A8"/>
    <w:rsid w:val="00347BA9"/>
    <w:rsid w:val="00350020"/>
    <w:rsid w:val="00350064"/>
    <w:rsid w:val="003500A6"/>
    <w:rsid w:val="003500F6"/>
    <w:rsid w:val="00350150"/>
    <w:rsid w:val="0035036D"/>
    <w:rsid w:val="003504B8"/>
    <w:rsid w:val="003505C7"/>
    <w:rsid w:val="00350779"/>
    <w:rsid w:val="003507FD"/>
    <w:rsid w:val="00350CE6"/>
    <w:rsid w:val="00350E9D"/>
    <w:rsid w:val="00351092"/>
    <w:rsid w:val="0035174B"/>
    <w:rsid w:val="003517B3"/>
    <w:rsid w:val="00351838"/>
    <w:rsid w:val="0035185E"/>
    <w:rsid w:val="00351AFD"/>
    <w:rsid w:val="00351B32"/>
    <w:rsid w:val="0035227D"/>
    <w:rsid w:val="00352294"/>
    <w:rsid w:val="00352511"/>
    <w:rsid w:val="00352A56"/>
    <w:rsid w:val="00353531"/>
    <w:rsid w:val="00353566"/>
    <w:rsid w:val="00353602"/>
    <w:rsid w:val="00353912"/>
    <w:rsid w:val="00353A2C"/>
    <w:rsid w:val="00353D81"/>
    <w:rsid w:val="00353D97"/>
    <w:rsid w:val="00354132"/>
    <w:rsid w:val="0035418F"/>
    <w:rsid w:val="00354743"/>
    <w:rsid w:val="003548B2"/>
    <w:rsid w:val="00354965"/>
    <w:rsid w:val="00354ABF"/>
    <w:rsid w:val="00354D8E"/>
    <w:rsid w:val="003551C4"/>
    <w:rsid w:val="00355331"/>
    <w:rsid w:val="0035548A"/>
    <w:rsid w:val="003554F8"/>
    <w:rsid w:val="00355556"/>
    <w:rsid w:val="00355B4C"/>
    <w:rsid w:val="00355C8A"/>
    <w:rsid w:val="00355EB5"/>
    <w:rsid w:val="003560AB"/>
    <w:rsid w:val="003561B9"/>
    <w:rsid w:val="003563AC"/>
    <w:rsid w:val="00356785"/>
    <w:rsid w:val="00356832"/>
    <w:rsid w:val="00356A03"/>
    <w:rsid w:val="00356A21"/>
    <w:rsid w:val="00356F3B"/>
    <w:rsid w:val="00356F8F"/>
    <w:rsid w:val="00357110"/>
    <w:rsid w:val="0035716B"/>
    <w:rsid w:val="003571E4"/>
    <w:rsid w:val="003575EF"/>
    <w:rsid w:val="00357747"/>
    <w:rsid w:val="00360007"/>
    <w:rsid w:val="0036011D"/>
    <w:rsid w:val="0036030A"/>
    <w:rsid w:val="00360EA5"/>
    <w:rsid w:val="00360F44"/>
    <w:rsid w:val="0036111C"/>
    <w:rsid w:val="00361151"/>
    <w:rsid w:val="0036138A"/>
    <w:rsid w:val="00361700"/>
    <w:rsid w:val="00361865"/>
    <w:rsid w:val="00361EC9"/>
    <w:rsid w:val="00362289"/>
    <w:rsid w:val="003625C7"/>
    <w:rsid w:val="003625F0"/>
    <w:rsid w:val="0036275C"/>
    <w:rsid w:val="003627E2"/>
    <w:rsid w:val="003629FA"/>
    <w:rsid w:val="00362CE0"/>
    <w:rsid w:val="00363273"/>
    <w:rsid w:val="00363370"/>
    <w:rsid w:val="00363727"/>
    <w:rsid w:val="003640C2"/>
    <w:rsid w:val="00364350"/>
    <w:rsid w:val="003647A5"/>
    <w:rsid w:val="0036496F"/>
    <w:rsid w:val="00364CF2"/>
    <w:rsid w:val="00364E39"/>
    <w:rsid w:val="00364F35"/>
    <w:rsid w:val="003651AF"/>
    <w:rsid w:val="003651FF"/>
    <w:rsid w:val="003652BB"/>
    <w:rsid w:val="00365408"/>
    <w:rsid w:val="0036558C"/>
    <w:rsid w:val="00365779"/>
    <w:rsid w:val="00365D2C"/>
    <w:rsid w:val="00366579"/>
    <w:rsid w:val="003667DA"/>
    <w:rsid w:val="00366A5D"/>
    <w:rsid w:val="00366A6A"/>
    <w:rsid w:val="00366BFD"/>
    <w:rsid w:val="00367A2A"/>
    <w:rsid w:val="00367BB3"/>
    <w:rsid w:val="00367BEC"/>
    <w:rsid w:val="00367C2D"/>
    <w:rsid w:val="00367C94"/>
    <w:rsid w:val="00367E55"/>
    <w:rsid w:val="00367E5D"/>
    <w:rsid w:val="0037002A"/>
    <w:rsid w:val="0037025A"/>
    <w:rsid w:val="0037028F"/>
    <w:rsid w:val="0037043D"/>
    <w:rsid w:val="00370D00"/>
    <w:rsid w:val="00370ECE"/>
    <w:rsid w:val="003714BA"/>
    <w:rsid w:val="00371649"/>
    <w:rsid w:val="003719BF"/>
    <w:rsid w:val="00371B12"/>
    <w:rsid w:val="00371F2A"/>
    <w:rsid w:val="00372780"/>
    <w:rsid w:val="003727FA"/>
    <w:rsid w:val="00372F3B"/>
    <w:rsid w:val="00373177"/>
    <w:rsid w:val="00373710"/>
    <w:rsid w:val="003738B9"/>
    <w:rsid w:val="003738CD"/>
    <w:rsid w:val="00373EAF"/>
    <w:rsid w:val="00373FF9"/>
    <w:rsid w:val="0037416A"/>
    <w:rsid w:val="00374184"/>
    <w:rsid w:val="003741AD"/>
    <w:rsid w:val="003743D4"/>
    <w:rsid w:val="003748D0"/>
    <w:rsid w:val="00374948"/>
    <w:rsid w:val="00375010"/>
    <w:rsid w:val="003751FA"/>
    <w:rsid w:val="00375497"/>
    <w:rsid w:val="00375541"/>
    <w:rsid w:val="0037560F"/>
    <w:rsid w:val="0037561A"/>
    <w:rsid w:val="003756DE"/>
    <w:rsid w:val="0037597F"/>
    <w:rsid w:val="00375B29"/>
    <w:rsid w:val="00375DE2"/>
    <w:rsid w:val="00375E90"/>
    <w:rsid w:val="00375EFA"/>
    <w:rsid w:val="00376033"/>
    <w:rsid w:val="00376141"/>
    <w:rsid w:val="00376351"/>
    <w:rsid w:val="00376850"/>
    <w:rsid w:val="00376AE4"/>
    <w:rsid w:val="00376C6A"/>
    <w:rsid w:val="00376F06"/>
    <w:rsid w:val="0037728A"/>
    <w:rsid w:val="00377419"/>
    <w:rsid w:val="00377427"/>
    <w:rsid w:val="00377759"/>
    <w:rsid w:val="003777BC"/>
    <w:rsid w:val="0037784A"/>
    <w:rsid w:val="00377AC3"/>
    <w:rsid w:val="00377F99"/>
    <w:rsid w:val="00377FB6"/>
    <w:rsid w:val="0037C7E9"/>
    <w:rsid w:val="003803EF"/>
    <w:rsid w:val="00380403"/>
    <w:rsid w:val="00380A20"/>
    <w:rsid w:val="00380F53"/>
    <w:rsid w:val="003814BA"/>
    <w:rsid w:val="003814DE"/>
    <w:rsid w:val="003819F4"/>
    <w:rsid w:val="00381D8B"/>
    <w:rsid w:val="003820BE"/>
    <w:rsid w:val="003823F1"/>
    <w:rsid w:val="0038249B"/>
    <w:rsid w:val="0038284A"/>
    <w:rsid w:val="00382897"/>
    <w:rsid w:val="00382E29"/>
    <w:rsid w:val="00382F34"/>
    <w:rsid w:val="00383680"/>
    <w:rsid w:val="00383BC9"/>
    <w:rsid w:val="00383EF9"/>
    <w:rsid w:val="00384690"/>
    <w:rsid w:val="003848EC"/>
    <w:rsid w:val="0038491A"/>
    <w:rsid w:val="003849D4"/>
    <w:rsid w:val="0038504B"/>
    <w:rsid w:val="00385105"/>
    <w:rsid w:val="003852C0"/>
    <w:rsid w:val="0038548B"/>
    <w:rsid w:val="00385608"/>
    <w:rsid w:val="003859ED"/>
    <w:rsid w:val="00385A16"/>
    <w:rsid w:val="00385FAD"/>
    <w:rsid w:val="003864C1"/>
    <w:rsid w:val="003868C2"/>
    <w:rsid w:val="00386B68"/>
    <w:rsid w:val="00386E17"/>
    <w:rsid w:val="00386EAE"/>
    <w:rsid w:val="0038758C"/>
    <w:rsid w:val="003876A8"/>
    <w:rsid w:val="00387D13"/>
    <w:rsid w:val="00390060"/>
    <w:rsid w:val="0039011F"/>
    <w:rsid w:val="00390629"/>
    <w:rsid w:val="0039076E"/>
    <w:rsid w:val="003908B7"/>
    <w:rsid w:val="003909AE"/>
    <w:rsid w:val="003912FF"/>
    <w:rsid w:val="003913F1"/>
    <w:rsid w:val="003916A5"/>
    <w:rsid w:val="0039192D"/>
    <w:rsid w:val="00391AFE"/>
    <w:rsid w:val="00391CCB"/>
    <w:rsid w:val="00391DFE"/>
    <w:rsid w:val="003921E1"/>
    <w:rsid w:val="00392342"/>
    <w:rsid w:val="00392356"/>
    <w:rsid w:val="003923C5"/>
    <w:rsid w:val="0039244E"/>
    <w:rsid w:val="00392877"/>
    <w:rsid w:val="0039290B"/>
    <w:rsid w:val="00392C09"/>
    <w:rsid w:val="00392FAE"/>
    <w:rsid w:val="00393074"/>
    <w:rsid w:val="00393283"/>
    <w:rsid w:val="003934B2"/>
    <w:rsid w:val="0039375F"/>
    <w:rsid w:val="003937A9"/>
    <w:rsid w:val="00393916"/>
    <w:rsid w:val="00393928"/>
    <w:rsid w:val="00393A61"/>
    <w:rsid w:val="00393BC3"/>
    <w:rsid w:val="00393DE0"/>
    <w:rsid w:val="00394170"/>
    <w:rsid w:val="0039443D"/>
    <w:rsid w:val="00394450"/>
    <w:rsid w:val="00394454"/>
    <w:rsid w:val="00394538"/>
    <w:rsid w:val="003954CC"/>
    <w:rsid w:val="00395655"/>
    <w:rsid w:val="00395F99"/>
    <w:rsid w:val="00395FDA"/>
    <w:rsid w:val="0039603B"/>
    <w:rsid w:val="00396162"/>
    <w:rsid w:val="00396324"/>
    <w:rsid w:val="00396510"/>
    <w:rsid w:val="00396AE4"/>
    <w:rsid w:val="00396B71"/>
    <w:rsid w:val="00396F3B"/>
    <w:rsid w:val="003971C0"/>
    <w:rsid w:val="00397611"/>
    <w:rsid w:val="003978C8"/>
    <w:rsid w:val="00397A40"/>
    <w:rsid w:val="00397D8D"/>
    <w:rsid w:val="00397F56"/>
    <w:rsid w:val="003A002D"/>
    <w:rsid w:val="003A003E"/>
    <w:rsid w:val="003A02E2"/>
    <w:rsid w:val="003A0965"/>
    <w:rsid w:val="003A0974"/>
    <w:rsid w:val="003A0D37"/>
    <w:rsid w:val="003A0DD2"/>
    <w:rsid w:val="003A1322"/>
    <w:rsid w:val="003A161F"/>
    <w:rsid w:val="003A20DB"/>
    <w:rsid w:val="003A21C8"/>
    <w:rsid w:val="003A23B1"/>
    <w:rsid w:val="003A2752"/>
    <w:rsid w:val="003A276E"/>
    <w:rsid w:val="003A2BB7"/>
    <w:rsid w:val="003A2BE9"/>
    <w:rsid w:val="003A2C9E"/>
    <w:rsid w:val="003A2CA0"/>
    <w:rsid w:val="003A3466"/>
    <w:rsid w:val="003A3717"/>
    <w:rsid w:val="003A373E"/>
    <w:rsid w:val="003A3853"/>
    <w:rsid w:val="003A3C5B"/>
    <w:rsid w:val="003A3CA2"/>
    <w:rsid w:val="003A3D0E"/>
    <w:rsid w:val="003A3DF1"/>
    <w:rsid w:val="003A3E53"/>
    <w:rsid w:val="003A4381"/>
    <w:rsid w:val="003A43B4"/>
    <w:rsid w:val="003A43C7"/>
    <w:rsid w:val="003A43CE"/>
    <w:rsid w:val="003A4424"/>
    <w:rsid w:val="003A4B1D"/>
    <w:rsid w:val="003A4BF2"/>
    <w:rsid w:val="003A530C"/>
    <w:rsid w:val="003A565E"/>
    <w:rsid w:val="003A5841"/>
    <w:rsid w:val="003A5BF2"/>
    <w:rsid w:val="003A5C1B"/>
    <w:rsid w:val="003A5ECC"/>
    <w:rsid w:val="003A6034"/>
    <w:rsid w:val="003A64AD"/>
    <w:rsid w:val="003A6611"/>
    <w:rsid w:val="003A6616"/>
    <w:rsid w:val="003A663B"/>
    <w:rsid w:val="003A6979"/>
    <w:rsid w:val="003A7939"/>
    <w:rsid w:val="003A7B17"/>
    <w:rsid w:val="003A7BFC"/>
    <w:rsid w:val="003A7EEF"/>
    <w:rsid w:val="003B03EA"/>
    <w:rsid w:val="003B06EF"/>
    <w:rsid w:val="003B09D4"/>
    <w:rsid w:val="003B0BA4"/>
    <w:rsid w:val="003B0C8D"/>
    <w:rsid w:val="003B0D10"/>
    <w:rsid w:val="003B0DC5"/>
    <w:rsid w:val="003B14AE"/>
    <w:rsid w:val="003B16AC"/>
    <w:rsid w:val="003B1D4A"/>
    <w:rsid w:val="003B24E3"/>
    <w:rsid w:val="003B262A"/>
    <w:rsid w:val="003B29B0"/>
    <w:rsid w:val="003B2AEB"/>
    <w:rsid w:val="003B2B9F"/>
    <w:rsid w:val="003B2C60"/>
    <w:rsid w:val="003B2C73"/>
    <w:rsid w:val="003B2DA8"/>
    <w:rsid w:val="003B2ED7"/>
    <w:rsid w:val="003B2FDA"/>
    <w:rsid w:val="003B3044"/>
    <w:rsid w:val="003B3113"/>
    <w:rsid w:val="003B36BB"/>
    <w:rsid w:val="003B3D4E"/>
    <w:rsid w:val="003B3D7E"/>
    <w:rsid w:val="003B3E8F"/>
    <w:rsid w:val="003B42CE"/>
    <w:rsid w:val="003B4386"/>
    <w:rsid w:val="003B4BD3"/>
    <w:rsid w:val="003B4BDF"/>
    <w:rsid w:val="003B539D"/>
    <w:rsid w:val="003B5635"/>
    <w:rsid w:val="003B58C5"/>
    <w:rsid w:val="003B597B"/>
    <w:rsid w:val="003B5ACB"/>
    <w:rsid w:val="003B5C10"/>
    <w:rsid w:val="003B5D24"/>
    <w:rsid w:val="003B5D66"/>
    <w:rsid w:val="003B5F64"/>
    <w:rsid w:val="003B62B0"/>
    <w:rsid w:val="003B6635"/>
    <w:rsid w:val="003B665E"/>
    <w:rsid w:val="003B6A6E"/>
    <w:rsid w:val="003B6A93"/>
    <w:rsid w:val="003B6C2D"/>
    <w:rsid w:val="003B7023"/>
    <w:rsid w:val="003B71F8"/>
    <w:rsid w:val="003B727F"/>
    <w:rsid w:val="003B76C3"/>
    <w:rsid w:val="003B7885"/>
    <w:rsid w:val="003B7CC7"/>
    <w:rsid w:val="003B7D06"/>
    <w:rsid w:val="003B7FBA"/>
    <w:rsid w:val="003C013F"/>
    <w:rsid w:val="003C0171"/>
    <w:rsid w:val="003C0199"/>
    <w:rsid w:val="003C06CE"/>
    <w:rsid w:val="003C07EE"/>
    <w:rsid w:val="003C0A03"/>
    <w:rsid w:val="003C0D20"/>
    <w:rsid w:val="003C0FFD"/>
    <w:rsid w:val="003C13E8"/>
    <w:rsid w:val="003C16A9"/>
    <w:rsid w:val="003C19CB"/>
    <w:rsid w:val="003C19FB"/>
    <w:rsid w:val="003C1CE7"/>
    <w:rsid w:val="003C1E3C"/>
    <w:rsid w:val="003C1F94"/>
    <w:rsid w:val="003C202D"/>
    <w:rsid w:val="003C2267"/>
    <w:rsid w:val="003C23B1"/>
    <w:rsid w:val="003C2401"/>
    <w:rsid w:val="003C29DB"/>
    <w:rsid w:val="003C2A91"/>
    <w:rsid w:val="003C2C81"/>
    <w:rsid w:val="003C2E13"/>
    <w:rsid w:val="003C2F11"/>
    <w:rsid w:val="003C302B"/>
    <w:rsid w:val="003C321E"/>
    <w:rsid w:val="003C3566"/>
    <w:rsid w:val="003C3BB2"/>
    <w:rsid w:val="003C4462"/>
    <w:rsid w:val="003C4694"/>
    <w:rsid w:val="003C46C9"/>
    <w:rsid w:val="003C4809"/>
    <w:rsid w:val="003C4AB2"/>
    <w:rsid w:val="003C4D3E"/>
    <w:rsid w:val="003C507A"/>
    <w:rsid w:val="003C6060"/>
    <w:rsid w:val="003C62C0"/>
    <w:rsid w:val="003C66C0"/>
    <w:rsid w:val="003C6B22"/>
    <w:rsid w:val="003C6CA4"/>
    <w:rsid w:val="003C6F6E"/>
    <w:rsid w:val="003C716A"/>
    <w:rsid w:val="003C73DD"/>
    <w:rsid w:val="003C74B2"/>
    <w:rsid w:val="003C76BC"/>
    <w:rsid w:val="003D0385"/>
    <w:rsid w:val="003D05E9"/>
    <w:rsid w:val="003D0B53"/>
    <w:rsid w:val="003D14CF"/>
    <w:rsid w:val="003D1529"/>
    <w:rsid w:val="003D16E3"/>
    <w:rsid w:val="003D1A54"/>
    <w:rsid w:val="003D1D88"/>
    <w:rsid w:val="003D1E71"/>
    <w:rsid w:val="003D22CF"/>
    <w:rsid w:val="003D2D2F"/>
    <w:rsid w:val="003D2D6C"/>
    <w:rsid w:val="003D2F10"/>
    <w:rsid w:val="003D3084"/>
    <w:rsid w:val="003D3427"/>
    <w:rsid w:val="003D35A3"/>
    <w:rsid w:val="003D38B5"/>
    <w:rsid w:val="003D3B05"/>
    <w:rsid w:val="003D3FC3"/>
    <w:rsid w:val="003D417F"/>
    <w:rsid w:val="003D467E"/>
    <w:rsid w:val="003D47C4"/>
    <w:rsid w:val="003D4C78"/>
    <w:rsid w:val="003D4CD3"/>
    <w:rsid w:val="003D4F79"/>
    <w:rsid w:val="003D5011"/>
    <w:rsid w:val="003D59D0"/>
    <w:rsid w:val="003D5E5F"/>
    <w:rsid w:val="003D5F0F"/>
    <w:rsid w:val="003D6989"/>
    <w:rsid w:val="003D6B05"/>
    <w:rsid w:val="003D6C62"/>
    <w:rsid w:val="003D6D20"/>
    <w:rsid w:val="003D7480"/>
    <w:rsid w:val="003D7CAF"/>
    <w:rsid w:val="003D7CE2"/>
    <w:rsid w:val="003D7D39"/>
    <w:rsid w:val="003D7E93"/>
    <w:rsid w:val="003E0321"/>
    <w:rsid w:val="003E05F6"/>
    <w:rsid w:val="003E0BD7"/>
    <w:rsid w:val="003E0E90"/>
    <w:rsid w:val="003E0EB4"/>
    <w:rsid w:val="003E0F77"/>
    <w:rsid w:val="003E10F1"/>
    <w:rsid w:val="003E14D2"/>
    <w:rsid w:val="003E17AD"/>
    <w:rsid w:val="003E18ED"/>
    <w:rsid w:val="003E1D10"/>
    <w:rsid w:val="003E1D58"/>
    <w:rsid w:val="003E1E31"/>
    <w:rsid w:val="003E1F81"/>
    <w:rsid w:val="003E1F91"/>
    <w:rsid w:val="003E1FE4"/>
    <w:rsid w:val="003E21ED"/>
    <w:rsid w:val="003E224D"/>
    <w:rsid w:val="003E2782"/>
    <w:rsid w:val="003E2B61"/>
    <w:rsid w:val="003E31D8"/>
    <w:rsid w:val="003E33B2"/>
    <w:rsid w:val="003E342A"/>
    <w:rsid w:val="003E38CB"/>
    <w:rsid w:val="003E3A8A"/>
    <w:rsid w:val="003E3C2D"/>
    <w:rsid w:val="003E4051"/>
    <w:rsid w:val="003E4413"/>
    <w:rsid w:val="003E451B"/>
    <w:rsid w:val="003E45D7"/>
    <w:rsid w:val="003E498F"/>
    <w:rsid w:val="003E4A44"/>
    <w:rsid w:val="003E4C66"/>
    <w:rsid w:val="003E4CB7"/>
    <w:rsid w:val="003E4EE3"/>
    <w:rsid w:val="003E507D"/>
    <w:rsid w:val="003E52D6"/>
    <w:rsid w:val="003E542D"/>
    <w:rsid w:val="003E54A3"/>
    <w:rsid w:val="003E54EA"/>
    <w:rsid w:val="003E5AD1"/>
    <w:rsid w:val="003E5B26"/>
    <w:rsid w:val="003E5F02"/>
    <w:rsid w:val="003E5F37"/>
    <w:rsid w:val="003E6049"/>
    <w:rsid w:val="003E622B"/>
    <w:rsid w:val="003E63DD"/>
    <w:rsid w:val="003E6958"/>
    <w:rsid w:val="003E6A36"/>
    <w:rsid w:val="003E6EAD"/>
    <w:rsid w:val="003E6ED4"/>
    <w:rsid w:val="003E6F49"/>
    <w:rsid w:val="003E7598"/>
    <w:rsid w:val="003E79B0"/>
    <w:rsid w:val="003E7E3F"/>
    <w:rsid w:val="003E7E98"/>
    <w:rsid w:val="003F010B"/>
    <w:rsid w:val="003F0160"/>
    <w:rsid w:val="003F021C"/>
    <w:rsid w:val="003F05D4"/>
    <w:rsid w:val="003F0750"/>
    <w:rsid w:val="003F07D3"/>
    <w:rsid w:val="003F09F7"/>
    <w:rsid w:val="003F0BD0"/>
    <w:rsid w:val="003F0C4C"/>
    <w:rsid w:val="003F0E10"/>
    <w:rsid w:val="003F0EA4"/>
    <w:rsid w:val="003F117A"/>
    <w:rsid w:val="003F124B"/>
    <w:rsid w:val="003F146A"/>
    <w:rsid w:val="003F165F"/>
    <w:rsid w:val="003F1744"/>
    <w:rsid w:val="003F19C1"/>
    <w:rsid w:val="003F1AA1"/>
    <w:rsid w:val="003F1C3A"/>
    <w:rsid w:val="003F1F56"/>
    <w:rsid w:val="003F2027"/>
    <w:rsid w:val="003F20CE"/>
    <w:rsid w:val="003F21A7"/>
    <w:rsid w:val="003F24BC"/>
    <w:rsid w:val="003F25B5"/>
    <w:rsid w:val="003F2695"/>
    <w:rsid w:val="003F2758"/>
    <w:rsid w:val="003F2DD9"/>
    <w:rsid w:val="003F30DC"/>
    <w:rsid w:val="003F3126"/>
    <w:rsid w:val="003F337F"/>
    <w:rsid w:val="003F36AF"/>
    <w:rsid w:val="003F37FF"/>
    <w:rsid w:val="003F3A60"/>
    <w:rsid w:val="003F41FF"/>
    <w:rsid w:val="003F42B2"/>
    <w:rsid w:val="003F46FA"/>
    <w:rsid w:val="003F48C7"/>
    <w:rsid w:val="003F4CEA"/>
    <w:rsid w:val="003F4FDC"/>
    <w:rsid w:val="003F518D"/>
    <w:rsid w:val="003F521C"/>
    <w:rsid w:val="003F52C1"/>
    <w:rsid w:val="003F53A2"/>
    <w:rsid w:val="003F58D2"/>
    <w:rsid w:val="003F5D4F"/>
    <w:rsid w:val="003F5E13"/>
    <w:rsid w:val="003F5E81"/>
    <w:rsid w:val="003F5F95"/>
    <w:rsid w:val="003F6213"/>
    <w:rsid w:val="003F65DE"/>
    <w:rsid w:val="003F6888"/>
    <w:rsid w:val="003F68C9"/>
    <w:rsid w:val="003F6977"/>
    <w:rsid w:val="003F6A48"/>
    <w:rsid w:val="003F6ACD"/>
    <w:rsid w:val="003F6B52"/>
    <w:rsid w:val="003F6D00"/>
    <w:rsid w:val="003F6FA1"/>
    <w:rsid w:val="003F7520"/>
    <w:rsid w:val="003F768B"/>
    <w:rsid w:val="003F7782"/>
    <w:rsid w:val="003F77FB"/>
    <w:rsid w:val="003F795A"/>
    <w:rsid w:val="0040055D"/>
    <w:rsid w:val="00400794"/>
    <w:rsid w:val="00400882"/>
    <w:rsid w:val="00401169"/>
    <w:rsid w:val="00401222"/>
    <w:rsid w:val="004012D5"/>
    <w:rsid w:val="00401385"/>
    <w:rsid w:val="0040146A"/>
    <w:rsid w:val="004017A3"/>
    <w:rsid w:val="004017D1"/>
    <w:rsid w:val="00401FEC"/>
    <w:rsid w:val="004020CA"/>
    <w:rsid w:val="00402318"/>
    <w:rsid w:val="004026BB"/>
    <w:rsid w:val="00402CC7"/>
    <w:rsid w:val="00402D70"/>
    <w:rsid w:val="00402E16"/>
    <w:rsid w:val="00403486"/>
    <w:rsid w:val="00403630"/>
    <w:rsid w:val="00403CE4"/>
    <w:rsid w:val="00403E9D"/>
    <w:rsid w:val="004040D7"/>
    <w:rsid w:val="004044BD"/>
    <w:rsid w:val="004046EE"/>
    <w:rsid w:val="00404941"/>
    <w:rsid w:val="00404B69"/>
    <w:rsid w:val="00405070"/>
    <w:rsid w:val="00405324"/>
    <w:rsid w:val="0040540B"/>
    <w:rsid w:val="0040584F"/>
    <w:rsid w:val="00405C08"/>
    <w:rsid w:val="00405EDB"/>
    <w:rsid w:val="0040608A"/>
    <w:rsid w:val="004060DA"/>
    <w:rsid w:val="00406274"/>
    <w:rsid w:val="00406439"/>
    <w:rsid w:val="00406480"/>
    <w:rsid w:val="004064D9"/>
    <w:rsid w:val="00406920"/>
    <w:rsid w:val="00406A58"/>
    <w:rsid w:val="004070A0"/>
    <w:rsid w:val="00407587"/>
    <w:rsid w:val="004075A3"/>
    <w:rsid w:val="00407918"/>
    <w:rsid w:val="00407B17"/>
    <w:rsid w:val="00407DF4"/>
    <w:rsid w:val="00407F33"/>
    <w:rsid w:val="004100C3"/>
    <w:rsid w:val="004101E9"/>
    <w:rsid w:val="004105C9"/>
    <w:rsid w:val="004105FA"/>
    <w:rsid w:val="004107FF"/>
    <w:rsid w:val="00410A10"/>
    <w:rsid w:val="00410A3F"/>
    <w:rsid w:val="00410A9C"/>
    <w:rsid w:val="00410AE8"/>
    <w:rsid w:val="00410D04"/>
    <w:rsid w:val="0041126E"/>
    <w:rsid w:val="004112AC"/>
    <w:rsid w:val="004113E5"/>
    <w:rsid w:val="0041144F"/>
    <w:rsid w:val="0041153F"/>
    <w:rsid w:val="0041167D"/>
    <w:rsid w:val="004117F4"/>
    <w:rsid w:val="0041197E"/>
    <w:rsid w:val="00411EC2"/>
    <w:rsid w:val="004121AA"/>
    <w:rsid w:val="004124ED"/>
    <w:rsid w:val="004126AE"/>
    <w:rsid w:val="00412C6A"/>
    <w:rsid w:val="00412F8B"/>
    <w:rsid w:val="004130BC"/>
    <w:rsid w:val="00413124"/>
    <w:rsid w:val="004132A2"/>
    <w:rsid w:val="0041393A"/>
    <w:rsid w:val="004141A3"/>
    <w:rsid w:val="00414221"/>
    <w:rsid w:val="0041432C"/>
    <w:rsid w:val="004143B1"/>
    <w:rsid w:val="004144D3"/>
    <w:rsid w:val="00414531"/>
    <w:rsid w:val="00414B2F"/>
    <w:rsid w:val="00414F9D"/>
    <w:rsid w:val="004152A6"/>
    <w:rsid w:val="00415301"/>
    <w:rsid w:val="0041578E"/>
    <w:rsid w:val="004157CD"/>
    <w:rsid w:val="00415803"/>
    <w:rsid w:val="00415857"/>
    <w:rsid w:val="00415A55"/>
    <w:rsid w:val="00415EB9"/>
    <w:rsid w:val="00416132"/>
    <w:rsid w:val="00416148"/>
    <w:rsid w:val="0041621E"/>
    <w:rsid w:val="004164B0"/>
    <w:rsid w:val="004165B7"/>
    <w:rsid w:val="004166B5"/>
    <w:rsid w:val="00416872"/>
    <w:rsid w:val="004169BB"/>
    <w:rsid w:val="004172F4"/>
    <w:rsid w:val="00417638"/>
    <w:rsid w:val="0041767C"/>
    <w:rsid w:val="00417826"/>
    <w:rsid w:val="004179DB"/>
    <w:rsid w:val="00417BD5"/>
    <w:rsid w:val="00417C16"/>
    <w:rsid w:val="00417C78"/>
    <w:rsid w:val="004201AB"/>
    <w:rsid w:val="004207D1"/>
    <w:rsid w:val="00420D04"/>
    <w:rsid w:val="00420EBD"/>
    <w:rsid w:val="00421097"/>
    <w:rsid w:val="00421513"/>
    <w:rsid w:val="00421629"/>
    <w:rsid w:val="00421882"/>
    <w:rsid w:val="0042241F"/>
    <w:rsid w:val="0042252E"/>
    <w:rsid w:val="00422702"/>
    <w:rsid w:val="00422A6A"/>
    <w:rsid w:val="00422AB9"/>
    <w:rsid w:val="00422C64"/>
    <w:rsid w:val="00422E55"/>
    <w:rsid w:val="0042304F"/>
    <w:rsid w:val="00423077"/>
    <w:rsid w:val="004230C5"/>
    <w:rsid w:val="00423319"/>
    <w:rsid w:val="0042365C"/>
    <w:rsid w:val="00423683"/>
    <w:rsid w:val="004237E4"/>
    <w:rsid w:val="00423B60"/>
    <w:rsid w:val="00423D9C"/>
    <w:rsid w:val="00423E4C"/>
    <w:rsid w:val="00423EC7"/>
    <w:rsid w:val="0042400B"/>
    <w:rsid w:val="004247A8"/>
    <w:rsid w:val="00424D46"/>
    <w:rsid w:val="00424E88"/>
    <w:rsid w:val="00425153"/>
    <w:rsid w:val="00425431"/>
    <w:rsid w:val="00425811"/>
    <w:rsid w:val="00425A1E"/>
    <w:rsid w:val="00425A2E"/>
    <w:rsid w:val="00425BC3"/>
    <w:rsid w:val="00425D61"/>
    <w:rsid w:val="00425EB2"/>
    <w:rsid w:val="00425F5F"/>
    <w:rsid w:val="00425FCB"/>
    <w:rsid w:val="004260B4"/>
    <w:rsid w:val="004267B0"/>
    <w:rsid w:val="00426958"/>
    <w:rsid w:val="004269CE"/>
    <w:rsid w:val="00426A36"/>
    <w:rsid w:val="00426A4D"/>
    <w:rsid w:val="00426B13"/>
    <w:rsid w:val="00426D3C"/>
    <w:rsid w:val="004271BC"/>
    <w:rsid w:val="00427428"/>
    <w:rsid w:val="00427780"/>
    <w:rsid w:val="004300F3"/>
    <w:rsid w:val="0043018E"/>
    <w:rsid w:val="00430246"/>
    <w:rsid w:val="00430514"/>
    <w:rsid w:val="00430755"/>
    <w:rsid w:val="00430A3A"/>
    <w:rsid w:val="00430AC7"/>
    <w:rsid w:val="00430F1B"/>
    <w:rsid w:val="004315B6"/>
    <w:rsid w:val="00431941"/>
    <w:rsid w:val="00431E58"/>
    <w:rsid w:val="004325D4"/>
    <w:rsid w:val="004327E1"/>
    <w:rsid w:val="00432872"/>
    <w:rsid w:val="00432C4C"/>
    <w:rsid w:val="00432DB0"/>
    <w:rsid w:val="00432E45"/>
    <w:rsid w:val="00433605"/>
    <w:rsid w:val="00433609"/>
    <w:rsid w:val="00433899"/>
    <w:rsid w:val="00433B12"/>
    <w:rsid w:val="00433B93"/>
    <w:rsid w:val="00433C27"/>
    <w:rsid w:val="00434005"/>
    <w:rsid w:val="0043409F"/>
    <w:rsid w:val="004340B2"/>
    <w:rsid w:val="00434240"/>
    <w:rsid w:val="00434351"/>
    <w:rsid w:val="0043435C"/>
    <w:rsid w:val="004345CD"/>
    <w:rsid w:val="00434641"/>
    <w:rsid w:val="00434BBF"/>
    <w:rsid w:val="00434BE0"/>
    <w:rsid w:val="00434CDD"/>
    <w:rsid w:val="00435182"/>
    <w:rsid w:val="004352B6"/>
    <w:rsid w:val="004355D0"/>
    <w:rsid w:val="004355E8"/>
    <w:rsid w:val="00435641"/>
    <w:rsid w:val="00435BAA"/>
    <w:rsid w:val="00435D74"/>
    <w:rsid w:val="00435EA0"/>
    <w:rsid w:val="00435ED3"/>
    <w:rsid w:val="00436218"/>
    <w:rsid w:val="004363CF"/>
    <w:rsid w:val="00436435"/>
    <w:rsid w:val="00436A05"/>
    <w:rsid w:val="00436A12"/>
    <w:rsid w:val="004371C1"/>
    <w:rsid w:val="004373D7"/>
    <w:rsid w:val="0043740A"/>
    <w:rsid w:val="0043758C"/>
    <w:rsid w:val="00437652"/>
    <w:rsid w:val="0043768B"/>
    <w:rsid w:val="00437941"/>
    <w:rsid w:val="00437DAC"/>
    <w:rsid w:val="00437DEC"/>
    <w:rsid w:val="00437F94"/>
    <w:rsid w:val="00440154"/>
    <w:rsid w:val="00440525"/>
    <w:rsid w:val="00440563"/>
    <w:rsid w:val="00440FBA"/>
    <w:rsid w:val="004413F7"/>
    <w:rsid w:val="004416C5"/>
    <w:rsid w:val="00441787"/>
    <w:rsid w:val="004419B4"/>
    <w:rsid w:val="00441A6B"/>
    <w:rsid w:val="00441F9D"/>
    <w:rsid w:val="004423D3"/>
    <w:rsid w:val="00442699"/>
    <w:rsid w:val="00442BA1"/>
    <w:rsid w:val="00442C0B"/>
    <w:rsid w:val="00442D18"/>
    <w:rsid w:val="0044367E"/>
    <w:rsid w:val="00443D3A"/>
    <w:rsid w:val="00443FC5"/>
    <w:rsid w:val="0044423A"/>
    <w:rsid w:val="004444AB"/>
    <w:rsid w:val="00444682"/>
    <w:rsid w:val="00444D27"/>
    <w:rsid w:val="00445014"/>
    <w:rsid w:val="00445182"/>
    <w:rsid w:val="004452FE"/>
    <w:rsid w:val="004453A5"/>
    <w:rsid w:val="00445460"/>
    <w:rsid w:val="00445650"/>
    <w:rsid w:val="004459AD"/>
    <w:rsid w:val="0044605A"/>
    <w:rsid w:val="00446687"/>
    <w:rsid w:val="00446A24"/>
    <w:rsid w:val="00446A54"/>
    <w:rsid w:val="00446B03"/>
    <w:rsid w:val="00446E6D"/>
    <w:rsid w:val="00446ED5"/>
    <w:rsid w:val="00447166"/>
    <w:rsid w:val="00447240"/>
    <w:rsid w:val="004477D9"/>
    <w:rsid w:val="0044797F"/>
    <w:rsid w:val="00447A3A"/>
    <w:rsid w:val="00447C6E"/>
    <w:rsid w:val="00447E2C"/>
    <w:rsid w:val="004500A0"/>
    <w:rsid w:val="00450135"/>
    <w:rsid w:val="0045014F"/>
    <w:rsid w:val="004503A2"/>
    <w:rsid w:val="0045053D"/>
    <w:rsid w:val="004505DD"/>
    <w:rsid w:val="00450C60"/>
    <w:rsid w:val="00450E06"/>
    <w:rsid w:val="00451208"/>
    <w:rsid w:val="0045135E"/>
    <w:rsid w:val="00451445"/>
    <w:rsid w:val="00451469"/>
    <w:rsid w:val="0045172E"/>
    <w:rsid w:val="0045183E"/>
    <w:rsid w:val="004519EC"/>
    <w:rsid w:val="00451A0A"/>
    <w:rsid w:val="00451A94"/>
    <w:rsid w:val="00451CF0"/>
    <w:rsid w:val="0045202E"/>
    <w:rsid w:val="00452045"/>
    <w:rsid w:val="00452773"/>
    <w:rsid w:val="004527FE"/>
    <w:rsid w:val="00452C5E"/>
    <w:rsid w:val="00452DAF"/>
    <w:rsid w:val="00453153"/>
    <w:rsid w:val="004533BF"/>
    <w:rsid w:val="004534E7"/>
    <w:rsid w:val="00453CDA"/>
    <w:rsid w:val="00453DC0"/>
    <w:rsid w:val="00454109"/>
    <w:rsid w:val="0045436C"/>
    <w:rsid w:val="004543E0"/>
    <w:rsid w:val="00454484"/>
    <w:rsid w:val="0045452B"/>
    <w:rsid w:val="00454B55"/>
    <w:rsid w:val="00454DB3"/>
    <w:rsid w:val="00454E72"/>
    <w:rsid w:val="00454EDA"/>
    <w:rsid w:val="0045521A"/>
    <w:rsid w:val="00455429"/>
    <w:rsid w:val="00455816"/>
    <w:rsid w:val="0045598D"/>
    <w:rsid w:val="004559BC"/>
    <w:rsid w:val="00455A5E"/>
    <w:rsid w:val="00455C2A"/>
    <w:rsid w:val="00455F91"/>
    <w:rsid w:val="004560A4"/>
    <w:rsid w:val="0045664C"/>
    <w:rsid w:val="00456BCE"/>
    <w:rsid w:val="00456D2C"/>
    <w:rsid w:val="00456F55"/>
    <w:rsid w:val="00457230"/>
    <w:rsid w:val="0045727B"/>
    <w:rsid w:val="004574DC"/>
    <w:rsid w:val="00457B7A"/>
    <w:rsid w:val="00457DB8"/>
    <w:rsid w:val="004602F4"/>
    <w:rsid w:val="0046063E"/>
    <w:rsid w:val="004607FE"/>
    <w:rsid w:val="004609C1"/>
    <w:rsid w:val="004609CE"/>
    <w:rsid w:val="00460C28"/>
    <w:rsid w:val="00460D6B"/>
    <w:rsid w:val="00460DA7"/>
    <w:rsid w:val="00460E3F"/>
    <w:rsid w:val="00461075"/>
    <w:rsid w:val="00461161"/>
    <w:rsid w:val="00461342"/>
    <w:rsid w:val="00461716"/>
    <w:rsid w:val="00461C5C"/>
    <w:rsid w:val="0046248E"/>
    <w:rsid w:val="004629CB"/>
    <w:rsid w:val="00462F35"/>
    <w:rsid w:val="00462F62"/>
    <w:rsid w:val="004636DB"/>
    <w:rsid w:val="00463905"/>
    <w:rsid w:val="004640BE"/>
    <w:rsid w:val="00464D2C"/>
    <w:rsid w:val="00464D55"/>
    <w:rsid w:val="00465265"/>
    <w:rsid w:val="004653F4"/>
    <w:rsid w:val="00465814"/>
    <w:rsid w:val="004659A1"/>
    <w:rsid w:val="00465D40"/>
    <w:rsid w:val="00465DE2"/>
    <w:rsid w:val="00466089"/>
    <w:rsid w:val="00466197"/>
    <w:rsid w:val="00466278"/>
    <w:rsid w:val="00466309"/>
    <w:rsid w:val="004663EF"/>
    <w:rsid w:val="004667AE"/>
    <w:rsid w:val="004667FC"/>
    <w:rsid w:val="0046684F"/>
    <w:rsid w:val="00467261"/>
    <w:rsid w:val="004672CA"/>
    <w:rsid w:val="004672D1"/>
    <w:rsid w:val="00467BD8"/>
    <w:rsid w:val="00467DE3"/>
    <w:rsid w:val="00467FE9"/>
    <w:rsid w:val="00470014"/>
    <w:rsid w:val="00470DC8"/>
    <w:rsid w:val="00470DE0"/>
    <w:rsid w:val="00470EA5"/>
    <w:rsid w:val="00470FCC"/>
    <w:rsid w:val="0047103F"/>
    <w:rsid w:val="0047104A"/>
    <w:rsid w:val="0047112C"/>
    <w:rsid w:val="004714F0"/>
    <w:rsid w:val="00472202"/>
    <w:rsid w:val="00472284"/>
    <w:rsid w:val="004724AF"/>
    <w:rsid w:val="00472892"/>
    <w:rsid w:val="00472B35"/>
    <w:rsid w:val="00472F38"/>
    <w:rsid w:val="00472F61"/>
    <w:rsid w:val="0047348C"/>
    <w:rsid w:val="00473DA6"/>
    <w:rsid w:val="00473DBC"/>
    <w:rsid w:val="00473E53"/>
    <w:rsid w:val="00474395"/>
    <w:rsid w:val="00474530"/>
    <w:rsid w:val="00474870"/>
    <w:rsid w:val="004748F8"/>
    <w:rsid w:val="00474AB6"/>
    <w:rsid w:val="004752CD"/>
    <w:rsid w:val="00475964"/>
    <w:rsid w:val="00475C5C"/>
    <w:rsid w:val="00476005"/>
    <w:rsid w:val="004760E1"/>
    <w:rsid w:val="004762EC"/>
    <w:rsid w:val="004762F5"/>
    <w:rsid w:val="004763D2"/>
    <w:rsid w:val="004764F7"/>
    <w:rsid w:val="004764FC"/>
    <w:rsid w:val="00476568"/>
    <w:rsid w:val="004767B5"/>
    <w:rsid w:val="00476BFC"/>
    <w:rsid w:val="00476C0B"/>
    <w:rsid w:val="004771CB"/>
    <w:rsid w:val="0047773C"/>
    <w:rsid w:val="00477B5D"/>
    <w:rsid w:val="00477CBC"/>
    <w:rsid w:val="00480042"/>
    <w:rsid w:val="00480278"/>
    <w:rsid w:val="004802C3"/>
    <w:rsid w:val="00480363"/>
    <w:rsid w:val="00480583"/>
    <w:rsid w:val="00480BF8"/>
    <w:rsid w:val="00480E93"/>
    <w:rsid w:val="0048128C"/>
    <w:rsid w:val="004812AD"/>
    <w:rsid w:val="00481335"/>
    <w:rsid w:val="0048138B"/>
    <w:rsid w:val="0048154B"/>
    <w:rsid w:val="00481614"/>
    <w:rsid w:val="0048161B"/>
    <w:rsid w:val="00481658"/>
    <w:rsid w:val="004816EF"/>
    <w:rsid w:val="00481B2A"/>
    <w:rsid w:val="00481DE1"/>
    <w:rsid w:val="00481EDC"/>
    <w:rsid w:val="00482D11"/>
    <w:rsid w:val="00483534"/>
    <w:rsid w:val="004836AE"/>
    <w:rsid w:val="00483703"/>
    <w:rsid w:val="004838F6"/>
    <w:rsid w:val="00483909"/>
    <w:rsid w:val="00483ABF"/>
    <w:rsid w:val="00484338"/>
    <w:rsid w:val="00484AB7"/>
    <w:rsid w:val="00484BE2"/>
    <w:rsid w:val="00484DBC"/>
    <w:rsid w:val="00484EFB"/>
    <w:rsid w:val="00484F62"/>
    <w:rsid w:val="00485085"/>
    <w:rsid w:val="0048518A"/>
    <w:rsid w:val="0048537E"/>
    <w:rsid w:val="004856CF"/>
    <w:rsid w:val="0048580B"/>
    <w:rsid w:val="00485B85"/>
    <w:rsid w:val="00486160"/>
    <w:rsid w:val="0048629E"/>
    <w:rsid w:val="004862F6"/>
    <w:rsid w:val="00486303"/>
    <w:rsid w:val="004863F6"/>
    <w:rsid w:val="00486795"/>
    <w:rsid w:val="00487039"/>
    <w:rsid w:val="004870E1"/>
    <w:rsid w:val="004871CD"/>
    <w:rsid w:val="0048732D"/>
    <w:rsid w:val="00487688"/>
    <w:rsid w:val="0048779C"/>
    <w:rsid w:val="0048790B"/>
    <w:rsid w:val="00487911"/>
    <w:rsid w:val="00487F15"/>
    <w:rsid w:val="00490010"/>
    <w:rsid w:val="00490A8C"/>
    <w:rsid w:val="00490B58"/>
    <w:rsid w:val="00490BA0"/>
    <w:rsid w:val="00490F50"/>
    <w:rsid w:val="00491135"/>
    <w:rsid w:val="0049117D"/>
    <w:rsid w:val="004914B7"/>
    <w:rsid w:val="00491B8D"/>
    <w:rsid w:val="00491BD3"/>
    <w:rsid w:val="00491D32"/>
    <w:rsid w:val="00491DB7"/>
    <w:rsid w:val="00491F18"/>
    <w:rsid w:val="0049201F"/>
    <w:rsid w:val="0049233C"/>
    <w:rsid w:val="004926AF"/>
    <w:rsid w:val="0049284F"/>
    <w:rsid w:val="004929C6"/>
    <w:rsid w:val="00492B33"/>
    <w:rsid w:val="00492D2F"/>
    <w:rsid w:val="00492EF8"/>
    <w:rsid w:val="00493043"/>
    <w:rsid w:val="00493368"/>
    <w:rsid w:val="004936CD"/>
    <w:rsid w:val="00493E27"/>
    <w:rsid w:val="004940D2"/>
    <w:rsid w:val="0049435E"/>
    <w:rsid w:val="004944E8"/>
    <w:rsid w:val="00494622"/>
    <w:rsid w:val="00494834"/>
    <w:rsid w:val="0049486C"/>
    <w:rsid w:val="00494881"/>
    <w:rsid w:val="004948D7"/>
    <w:rsid w:val="004949F4"/>
    <w:rsid w:val="00494D70"/>
    <w:rsid w:val="00495141"/>
    <w:rsid w:val="0049547A"/>
    <w:rsid w:val="004958BF"/>
    <w:rsid w:val="004958E1"/>
    <w:rsid w:val="00495A08"/>
    <w:rsid w:val="00495CDB"/>
    <w:rsid w:val="00496060"/>
    <w:rsid w:val="00496062"/>
    <w:rsid w:val="00496185"/>
    <w:rsid w:val="004963A9"/>
    <w:rsid w:val="004964D4"/>
    <w:rsid w:val="00496873"/>
    <w:rsid w:val="00496D2C"/>
    <w:rsid w:val="00496D96"/>
    <w:rsid w:val="00496FC2"/>
    <w:rsid w:val="00497A45"/>
    <w:rsid w:val="00497C1C"/>
    <w:rsid w:val="004A0183"/>
    <w:rsid w:val="004A091F"/>
    <w:rsid w:val="004A0B5E"/>
    <w:rsid w:val="004A0BDD"/>
    <w:rsid w:val="004A0C25"/>
    <w:rsid w:val="004A1474"/>
    <w:rsid w:val="004A16D2"/>
    <w:rsid w:val="004A1711"/>
    <w:rsid w:val="004A1BCE"/>
    <w:rsid w:val="004A1C55"/>
    <w:rsid w:val="004A20A2"/>
    <w:rsid w:val="004A21C1"/>
    <w:rsid w:val="004A237B"/>
    <w:rsid w:val="004A23A7"/>
    <w:rsid w:val="004A251D"/>
    <w:rsid w:val="004A27CC"/>
    <w:rsid w:val="004A2AE8"/>
    <w:rsid w:val="004A2F6D"/>
    <w:rsid w:val="004A2F70"/>
    <w:rsid w:val="004A30D4"/>
    <w:rsid w:val="004A30E7"/>
    <w:rsid w:val="004A31EA"/>
    <w:rsid w:val="004A349D"/>
    <w:rsid w:val="004A34B9"/>
    <w:rsid w:val="004A39F0"/>
    <w:rsid w:val="004A3A6C"/>
    <w:rsid w:val="004A3C59"/>
    <w:rsid w:val="004A3D64"/>
    <w:rsid w:val="004A3EC5"/>
    <w:rsid w:val="004A3FE2"/>
    <w:rsid w:val="004A409F"/>
    <w:rsid w:val="004A40F7"/>
    <w:rsid w:val="004A4258"/>
    <w:rsid w:val="004A43EE"/>
    <w:rsid w:val="004A4737"/>
    <w:rsid w:val="004A48D9"/>
    <w:rsid w:val="004A4DB9"/>
    <w:rsid w:val="004A4E35"/>
    <w:rsid w:val="004A4F67"/>
    <w:rsid w:val="004A5139"/>
    <w:rsid w:val="004A52DD"/>
    <w:rsid w:val="004A5321"/>
    <w:rsid w:val="004A5365"/>
    <w:rsid w:val="004A578B"/>
    <w:rsid w:val="004A5873"/>
    <w:rsid w:val="004A596E"/>
    <w:rsid w:val="004A5A6B"/>
    <w:rsid w:val="004A5B82"/>
    <w:rsid w:val="004A5C3C"/>
    <w:rsid w:val="004A64A1"/>
    <w:rsid w:val="004A66C6"/>
    <w:rsid w:val="004A6847"/>
    <w:rsid w:val="004A6B2D"/>
    <w:rsid w:val="004A6C81"/>
    <w:rsid w:val="004A71D9"/>
    <w:rsid w:val="004A7376"/>
    <w:rsid w:val="004A7751"/>
    <w:rsid w:val="004A7920"/>
    <w:rsid w:val="004A7CE6"/>
    <w:rsid w:val="004A7DBA"/>
    <w:rsid w:val="004B0464"/>
    <w:rsid w:val="004B072C"/>
    <w:rsid w:val="004B0A02"/>
    <w:rsid w:val="004B0A2E"/>
    <w:rsid w:val="004B1005"/>
    <w:rsid w:val="004B103C"/>
    <w:rsid w:val="004B1076"/>
    <w:rsid w:val="004B1368"/>
    <w:rsid w:val="004B166A"/>
    <w:rsid w:val="004B16C9"/>
    <w:rsid w:val="004B16FD"/>
    <w:rsid w:val="004B1B94"/>
    <w:rsid w:val="004B20ED"/>
    <w:rsid w:val="004B239B"/>
    <w:rsid w:val="004B2424"/>
    <w:rsid w:val="004B25C9"/>
    <w:rsid w:val="004B2B4B"/>
    <w:rsid w:val="004B2C3F"/>
    <w:rsid w:val="004B2CEC"/>
    <w:rsid w:val="004B2D24"/>
    <w:rsid w:val="004B303E"/>
    <w:rsid w:val="004B3316"/>
    <w:rsid w:val="004B3526"/>
    <w:rsid w:val="004B3766"/>
    <w:rsid w:val="004B3A3A"/>
    <w:rsid w:val="004B4004"/>
    <w:rsid w:val="004B4546"/>
    <w:rsid w:val="004B47DC"/>
    <w:rsid w:val="004B4994"/>
    <w:rsid w:val="004B4B08"/>
    <w:rsid w:val="004B4B81"/>
    <w:rsid w:val="004B4C94"/>
    <w:rsid w:val="004B4D1F"/>
    <w:rsid w:val="004B4D74"/>
    <w:rsid w:val="004B54D6"/>
    <w:rsid w:val="004B55B3"/>
    <w:rsid w:val="004B5EEC"/>
    <w:rsid w:val="004B6177"/>
    <w:rsid w:val="004B62BF"/>
    <w:rsid w:val="004B6AAA"/>
    <w:rsid w:val="004B70F9"/>
    <w:rsid w:val="004B763E"/>
    <w:rsid w:val="004B76AE"/>
    <w:rsid w:val="004B7854"/>
    <w:rsid w:val="004B7E39"/>
    <w:rsid w:val="004B7F93"/>
    <w:rsid w:val="004C015F"/>
    <w:rsid w:val="004C0685"/>
    <w:rsid w:val="004C09A1"/>
    <w:rsid w:val="004C0CEC"/>
    <w:rsid w:val="004C12A3"/>
    <w:rsid w:val="004C13C5"/>
    <w:rsid w:val="004C177A"/>
    <w:rsid w:val="004C19BB"/>
    <w:rsid w:val="004C19DC"/>
    <w:rsid w:val="004C1AAA"/>
    <w:rsid w:val="004C2265"/>
    <w:rsid w:val="004C226A"/>
    <w:rsid w:val="004C2526"/>
    <w:rsid w:val="004C28AA"/>
    <w:rsid w:val="004C28F5"/>
    <w:rsid w:val="004C2AAA"/>
    <w:rsid w:val="004C2E90"/>
    <w:rsid w:val="004C2F74"/>
    <w:rsid w:val="004C31C0"/>
    <w:rsid w:val="004C3430"/>
    <w:rsid w:val="004C3FB5"/>
    <w:rsid w:val="004C4024"/>
    <w:rsid w:val="004C4315"/>
    <w:rsid w:val="004C44EE"/>
    <w:rsid w:val="004C45BD"/>
    <w:rsid w:val="004C4747"/>
    <w:rsid w:val="004C483D"/>
    <w:rsid w:val="004C4A3C"/>
    <w:rsid w:val="004C4D07"/>
    <w:rsid w:val="004C543C"/>
    <w:rsid w:val="004C54A1"/>
    <w:rsid w:val="004C5592"/>
    <w:rsid w:val="004C5597"/>
    <w:rsid w:val="004C5BCA"/>
    <w:rsid w:val="004C5E04"/>
    <w:rsid w:val="004C60D8"/>
    <w:rsid w:val="004C6187"/>
    <w:rsid w:val="004C66F8"/>
    <w:rsid w:val="004C7222"/>
    <w:rsid w:val="004C7244"/>
    <w:rsid w:val="004C735B"/>
    <w:rsid w:val="004C7563"/>
    <w:rsid w:val="004C764D"/>
    <w:rsid w:val="004C78FA"/>
    <w:rsid w:val="004C7925"/>
    <w:rsid w:val="004C797A"/>
    <w:rsid w:val="004C7A74"/>
    <w:rsid w:val="004C7BD5"/>
    <w:rsid w:val="004C7C9B"/>
    <w:rsid w:val="004C7CD5"/>
    <w:rsid w:val="004C7DDB"/>
    <w:rsid w:val="004D018A"/>
    <w:rsid w:val="004D05FB"/>
    <w:rsid w:val="004D06FB"/>
    <w:rsid w:val="004D0780"/>
    <w:rsid w:val="004D0A28"/>
    <w:rsid w:val="004D0AA8"/>
    <w:rsid w:val="004D0B61"/>
    <w:rsid w:val="004D0BFC"/>
    <w:rsid w:val="004D0C2E"/>
    <w:rsid w:val="004D0F92"/>
    <w:rsid w:val="004D13BF"/>
    <w:rsid w:val="004D143E"/>
    <w:rsid w:val="004D18C1"/>
    <w:rsid w:val="004D1BF3"/>
    <w:rsid w:val="004D1D4D"/>
    <w:rsid w:val="004D1EB4"/>
    <w:rsid w:val="004D20C0"/>
    <w:rsid w:val="004D21FF"/>
    <w:rsid w:val="004D2486"/>
    <w:rsid w:val="004D24F1"/>
    <w:rsid w:val="004D26B7"/>
    <w:rsid w:val="004D27BF"/>
    <w:rsid w:val="004D2D02"/>
    <w:rsid w:val="004D2D6A"/>
    <w:rsid w:val="004D2DEC"/>
    <w:rsid w:val="004D2E87"/>
    <w:rsid w:val="004D3463"/>
    <w:rsid w:val="004D3616"/>
    <w:rsid w:val="004D388B"/>
    <w:rsid w:val="004D3C0E"/>
    <w:rsid w:val="004D402F"/>
    <w:rsid w:val="004D42B2"/>
    <w:rsid w:val="004D447B"/>
    <w:rsid w:val="004D4B50"/>
    <w:rsid w:val="004D4D88"/>
    <w:rsid w:val="004D5102"/>
    <w:rsid w:val="004D52F6"/>
    <w:rsid w:val="004D538E"/>
    <w:rsid w:val="004D5522"/>
    <w:rsid w:val="004D55DD"/>
    <w:rsid w:val="004D5695"/>
    <w:rsid w:val="004D56B5"/>
    <w:rsid w:val="004D582B"/>
    <w:rsid w:val="004D5BB2"/>
    <w:rsid w:val="004D5BF4"/>
    <w:rsid w:val="004D5C5A"/>
    <w:rsid w:val="004D5D4E"/>
    <w:rsid w:val="004D5EDB"/>
    <w:rsid w:val="004D5FD7"/>
    <w:rsid w:val="004D60EC"/>
    <w:rsid w:val="004D6351"/>
    <w:rsid w:val="004D665B"/>
    <w:rsid w:val="004D686B"/>
    <w:rsid w:val="004D6E91"/>
    <w:rsid w:val="004D757A"/>
    <w:rsid w:val="004D76BB"/>
    <w:rsid w:val="004D7825"/>
    <w:rsid w:val="004D7AC4"/>
    <w:rsid w:val="004D7B86"/>
    <w:rsid w:val="004E0016"/>
    <w:rsid w:val="004E0155"/>
    <w:rsid w:val="004E06B3"/>
    <w:rsid w:val="004E0DB3"/>
    <w:rsid w:val="004E11E2"/>
    <w:rsid w:val="004E1928"/>
    <w:rsid w:val="004E196F"/>
    <w:rsid w:val="004E1AB7"/>
    <w:rsid w:val="004E1BE3"/>
    <w:rsid w:val="004E21DE"/>
    <w:rsid w:val="004E238D"/>
    <w:rsid w:val="004E2514"/>
    <w:rsid w:val="004E25F7"/>
    <w:rsid w:val="004E27CC"/>
    <w:rsid w:val="004E28D8"/>
    <w:rsid w:val="004E2A24"/>
    <w:rsid w:val="004E2B2A"/>
    <w:rsid w:val="004E2DA2"/>
    <w:rsid w:val="004E2E29"/>
    <w:rsid w:val="004E2FF9"/>
    <w:rsid w:val="004E303B"/>
    <w:rsid w:val="004E362C"/>
    <w:rsid w:val="004E3F1B"/>
    <w:rsid w:val="004E4206"/>
    <w:rsid w:val="004E42CD"/>
    <w:rsid w:val="004E43B8"/>
    <w:rsid w:val="004E43F3"/>
    <w:rsid w:val="004E47EB"/>
    <w:rsid w:val="004E50ED"/>
    <w:rsid w:val="004E52DB"/>
    <w:rsid w:val="004E5826"/>
    <w:rsid w:val="004E5944"/>
    <w:rsid w:val="004E5B31"/>
    <w:rsid w:val="004E63DD"/>
    <w:rsid w:val="004E656B"/>
    <w:rsid w:val="004E6599"/>
    <w:rsid w:val="004E685E"/>
    <w:rsid w:val="004E69A5"/>
    <w:rsid w:val="004E69BE"/>
    <w:rsid w:val="004E6AF1"/>
    <w:rsid w:val="004E7875"/>
    <w:rsid w:val="004E7895"/>
    <w:rsid w:val="004E7AA1"/>
    <w:rsid w:val="004F0105"/>
    <w:rsid w:val="004F04F9"/>
    <w:rsid w:val="004F0706"/>
    <w:rsid w:val="004F0840"/>
    <w:rsid w:val="004F0991"/>
    <w:rsid w:val="004F0D70"/>
    <w:rsid w:val="004F1046"/>
    <w:rsid w:val="004F1A24"/>
    <w:rsid w:val="004F1D20"/>
    <w:rsid w:val="004F204C"/>
    <w:rsid w:val="004F2AA9"/>
    <w:rsid w:val="004F2E6D"/>
    <w:rsid w:val="004F31B1"/>
    <w:rsid w:val="004F33F8"/>
    <w:rsid w:val="004F35F8"/>
    <w:rsid w:val="004F379A"/>
    <w:rsid w:val="004F3C60"/>
    <w:rsid w:val="004F44A9"/>
    <w:rsid w:val="004F4C36"/>
    <w:rsid w:val="004F53E6"/>
    <w:rsid w:val="004F549F"/>
    <w:rsid w:val="004F54FA"/>
    <w:rsid w:val="004F54FF"/>
    <w:rsid w:val="004F59D9"/>
    <w:rsid w:val="004F5AB6"/>
    <w:rsid w:val="004F5C1B"/>
    <w:rsid w:val="004F5F90"/>
    <w:rsid w:val="004F60C8"/>
    <w:rsid w:val="004F62D6"/>
    <w:rsid w:val="004F6605"/>
    <w:rsid w:val="004F67F8"/>
    <w:rsid w:val="004F6ED7"/>
    <w:rsid w:val="004F6F5B"/>
    <w:rsid w:val="004F70A7"/>
    <w:rsid w:val="004F7100"/>
    <w:rsid w:val="004F723A"/>
    <w:rsid w:val="004F729D"/>
    <w:rsid w:val="005000F6"/>
    <w:rsid w:val="005001EC"/>
    <w:rsid w:val="005005CC"/>
    <w:rsid w:val="0050093E"/>
    <w:rsid w:val="00500A08"/>
    <w:rsid w:val="00500EB4"/>
    <w:rsid w:val="00500EC2"/>
    <w:rsid w:val="00500FC1"/>
    <w:rsid w:val="00501118"/>
    <w:rsid w:val="00501498"/>
    <w:rsid w:val="0050151C"/>
    <w:rsid w:val="0050178E"/>
    <w:rsid w:val="00501A75"/>
    <w:rsid w:val="00501A96"/>
    <w:rsid w:val="00502017"/>
    <w:rsid w:val="005021F7"/>
    <w:rsid w:val="00502BC0"/>
    <w:rsid w:val="00502C02"/>
    <w:rsid w:val="00503218"/>
    <w:rsid w:val="0050343B"/>
    <w:rsid w:val="005034E0"/>
    <w:rsid w:val="00503784"/>
    <w:rsid w:val="00503D99"/>
    <w:rsid w:val="00503FB8"/>
    <w:rsid w:val="00504806"/>
    <w:rsid w:val="00504818"/>
    <w:rsid w:val="00504BFE"/>
    <w:rsid w:val="005050C2"/>
    <w:rsid w:val="00505457"/>
    <w:rsid w:val="00505873"/>
    <w:rsid w:val="005059ED"/>
    <w:rsid w:val="00505F74"/>
    <w:rsid w:val="0050611F"/>
    <w:rsid w:val="00506200"/>
    <w:rsid w:val="00506676"/>
    <w:rsid w:val="005067A9"/>
    <w:rsid w:val="0050694A"/>
    <w:rsid w:val="00506F28"/>
    <w:rsid w:val="00507229"/>
    <w:rsid w:val="0050738E"/>
    <w:rsid w:val="00507830"/>
    <w:rsid w:val="0050E80B"/>
    <w:rsid w:val="00510CA4"/>
    <w:rsid w:val="005113F5"/>
    <w:rsid w:val="00511448"/>
    <w:rsid w:val="0051171E"/>
    <w:rsid w:val="00511BC6"/>
    <w:rsid w:val="005121F1"/>
    <w:rsid w:val="0051258F"/>
    <w:rsid w:val="00512A1B"/>
    <w:rsid w:val="00512AF5"/>
    <w:rsid w:val="00512E95"/>
    <w:rsid w:val="005131D7"/>
    <w:rsid w:val="00513214"/>
    <w:rsid w:val="005134B2"/>
    <w:rsid w:val="0051351E"/>
    <w:rsid w:val="005135FA"/>
    <w:rsid w:val="00513A66"/>
    <w:rsid w:val="00513B8D"/>
    <w:rsid w:val="00513C8C"/>
    <w:rsid w:val="00513DF7"/>
    <w:rsid w:val="00513FC1"/>
    <w:rsid w:val="0051404E"/>
    <w:rsid w:val="005140D0"/>
    <w:rsid w:val="00514394"/>
    <w:rsid w:val="00514517"/>
    <w:rsid w:val="005146EC"/>
    <w:rsid w:val="00514BD3"/>
    <w:rsid w:val="00514F48"/>
    <w:rsid w:val="005152CB"/>
    <w:rsid w:val="00515352"/>
    <w:rsid w:val="0051546C"/>
    <w:rsid w:val="0051563D"/>
    <w:rsid w:val="005159F3"/>
    <w:rsid w:val="00515BBD"/>
    <w:rsid w:val="00515BBE"/>
    <w:rsid w:val="00515D47"/>
    <w:rsid w:val="00515F6F"/>
    <w:rsid w:val="00516632"/>
    <w:rsid w:val="005168E1"/>
    <w:rsid w:val="005169CB"/>
    <w:rsid w:val="00516D7D"/>
    <w:rsid w:val="00517029"/>
    <w:rsid w:val="00517337"/>
    <w:rsid w:val="005173FC"/>
    <w:rsid w:val="0051753F"/>
    <w:rsid w:val="00517925"/>
    <w:rsid w:val="0052004B"/>
    <w:rsid w:val="0052050B"/>
    <w:rsid w:val="005208B9"/>
    <w:rsid w:val="00520C5C"/>
    <w:rsid w:val="00520E22"/>
    <w:rsid w:val="0052105B"/>
    <w:rsid w:val="0052106B"/>
    <w:rsid w:val="005212FC"/>
    <w:rsid w:val="00521922"/>
    <w:rsid w:val="00522002"/>
    <w:rsid w:val="0052230C"/>
    <w:rsid w:val="0052244A"/>
    <w:rsid w:val="005224A2"/>
    <w:rsid w:val="005226B3"/>
    <w:rsid w:val="00522952"/>
    <w:rsid w:val="00522EDF"/>
    <w:rsid w:val="00523384"/>
    <w:rsid w:val="005233DA"/>
    <w:rsid w:val="0052359E"/>
    <w:rsid w:val="00523886"/>
    <w:rsid w:val="00523907"/>
    <w:rsid w:val="00523CB4"/>
    <w:rsid w:val="00523D3A"/>
    <w:rsid w:val="00523FD8"/>
    <w:rsid w:val="005240CC"/>
    <w:rsid w:val="00524226"/>
    <w:rsid w:val="00524357"/>
    <w:rsid w:val="005243E1"/>
    <w:rsid w:val="005243EF"/>
    <w:rsid w:val="005247B0"/>
    <w:rsid w:val="0052485A"/>
    <w:rsid w:val="00524A76"/>
    <w:rsid w:val="00524D5A"/>
    <w:rsid w:val="0052528D"/>
    <w:rsid w:val="00525312"/>
    <w:rsid w:val="00525408"/>
    <w:rsid w:val="005255FB"/>
    <w:rsid w:val="00525760"/>
    <w:rsid w:val="00525B5D"/>
    <w:rsid w:val="00525C16"/>
    <w:rsid w:val="00525E40"/>
    <w:rsid w:val="00526040"/>
    <w:rsid w:val="00526374"/>
    <w:rsid w:val="00526E66"/>
    <w:rsid w:val="00526F85"/>
    <w:rsid w:val="005270F3"/>
    <w:rsid w:val="005272F1"/>
    <w:rsid w:val="00527330"/>
    <w:rsid w:val="005274BA"/>
    <w:rsid w:val="00527912"/>
    <w:rsid w:val="00527943"/>
    <w:rsid w:val="00527BBF"/>
    <w:rsid w:val="00527C6E"/>
    <w:rsid w:val="00527FB9"/>
    <w:rsid w:val="005300E6"/>
    <w:rsid w:val="00530419"/>
    <w:rsid w:val="005308DA"/>
    <w:rsid w:val="0053097F"/>
    <w:rsid w:val="005309FE"/>
    <w:rsid w:val="00530C7C"/>
    <w:rsid w:val="00530F39"/>
    <w:rsid w:val="005311DE"/>
    <w:rsid w:val="00531585"/>
    <w:rsid w:val="00531B5F"/>
    <w:rsid w:val="0053212D"/>
    <w:rsid w:val="0053268F"/>
    <w:rsid w:val="00532730"/>
    <w:rsid w:val="00532774"/>
    <w:rsid w:val="0053283E"/>
    <w:rsid w:val="00532CCD"/>
    <w:rsid w:val="00532D5C"/>
    <w:rsid w:val="00532E5A"/>
    <w:rsid w:val="00532EEE"/>
    <w:rsid w:val="00533111"/>
    <w:rsid w:val="0053328E"/>
    <w:rsid w:val="005333B0"/>
    <w:rsid w:val="005339A3"/>
    <w:rsid w:val="005339C9"/>
    <w:rsid w:val="00533CBA"/>
    <w:rsid w:val="00533E47"/>
    <w:rsid w:val="00534295"/>
    <w:rsid w:val="0053455D"/>
    <w:rsid w:val="005346C4"/>
    <w:rsid w:val="005347B7"/>
    <w:rsid w:val="00534814"/>
    <w:rsid w:val="00534896"/>
    <w:rsid w:val="00534C59"/>
    <w:rsid w:val="0053515B"/>
    <w:rsid w:val="005353F0"/>
    <w:rsid w:val="005353FC"/>
    <w:rsid w:val="00535779"/>
    <w:rsid w:val="0053597F"/>
    <w:rsid w:val="00535A40"/>
    <w:rsid w:val="00535C42"/>
    <w:rsid w:val="00535DDE"/>
    <w:rsid w:val="00536034"/>
    <w:rsid w:val="00536136"/>
    <w:rsid w:val="00536261"/>
    <w:rsid w:val="005362A9"/>
    <w:rsid w:val="005364EB"/>
    <w:rsid w:val="00536596"/>
    <w:rsid w:val="005365DD"/>
    <w:rsid w:val="00536603"/>
    <w:rsid w:val="005366FF"/>
    <w:rsid w:val="0053680D"/>
    <w:rsid w:val="00536908"/>
    <w:rsid w:val="00536CB7"/>
    <w:rsid w:val="00536D73"/>
    <w:rsid w:val="00536E04"/>
    <w:rsid w:val="00536EE4"/>
    <w:rsid w:val="005370DF"/>
    <w:rsid w:val="0053734F"/>
    <w:rsid w:val="0053770E"/>
    <w:rsid w:val="00537869"/>
    <w:rsid w:val="00537A32"/>
    <w:rsid w:val="00537C80"/>
    <w:rsid w:val="00537D4E"/>
    <w:rsid w:val="00537F9C"/>
    <w:rsid w:val="00540256"/>
    <w:rsid w:val="00540292"/>
    <w:rsid w:val="005402C1"/>
    <w:rsid w:val="00540361"/>
    <w:rsid w:val="005409BF"/>
    <w:rsid w:val="00540B32"/>
    <w:rsid w:val="00540DDA"/>
    <w:rsid w:val="00540ED4"/>
    <w:rsid w:val="00540FA6"/>
    <w:rsid w:val="00540FB9"/>
    <w:rsid w:val="00541185"/>
    <w:rsid w:val="005414EF"/>
    <w:rsid w:val="005417E2"/>
    <w:rsid w:val="00541AA5"/>
    <w:rsid w:val="00541AF2"/>
    <w:rsid w:val="00541B97"/>
    <w:rsid w:val="00541D37"/>
    <w:rsid w:val="00541E8D"/>
    <w:rsid w:val="00542477"/>
    <w:rsid w:val="005424EE"/>
    <w:rsid w:val="005427C8"/>
    <w:rsid w:val="00542FFB"/>
    <w:rsid w:val="005431D2"/>
    <w:rsid w:val="00543B33"/>
    <w:rsid w:val="00543D96"/>
    <w:rsid w:val="005442ED"/>
    <w:rsid w:val="005445E6"/>
    <w:rsid w:val="00544D34"/>
    <w:rsid w:val="00544D37"/>
    <w:rsid w:val="0054512B"/>
    <w:rsid w:val="0054519B"/>
    <w:rsid w:val="005456B0"/>
    <w:rsid w:val="005457C0"/>
    <w:rsid w:val="00545819"/>
    <w:rsid w:val="00545916"/>
    <w:rsid w:val="00545BB7"/>
    <w:rsid w:val="00545D9B"/>
    <w:rsid w:val="0054602B"/>
    <w:rsid w:val="0054614A"/>
    <w:rsid w:val="00546375"/>
    <w:rsid w:val="00546463"/>
    <w:rsid w:val="0054662C"/>
    <w:rsid w:val="00546745"/>
    <w:rsid w:val="0054675A"/>
    <w:rsid w:val="00546A70"/>
    <w:rsid w:val="00546A90"/>
    <w:rsid w:val="00546AD8"/>
    <w:rsid w:val="00546AED"/>
    <w:rsid w:val="00546D10"/>
    <w:rsid w:val="00546D3E"/>
    <w:rsid w:val="00546DAF"/>
    <w:rsid w:val="00546FD7"/>
    <w:rsid w:val="0054754C"/>
    <w:rsid w:val="005476D3"/>
    <w:rsid w:val="00547D21"/>
    <w:rsid w:val="00547D56"/>
    <w:rsid w:val="00550520"/>
    <w:rsid w:val="005506F2"/>
    <w:rsid w:val="00550938"/>
    <w:rsid w:val="00550999"/>
    <w:rsid w:val="005509F6"/>
    <w:rsid w:val="00550A1C"/>
    <w:rsid w:val="00550E19"/>
    <w:rsid w:val="00551147"/>
    <w:rsid w:val="00551239"/>
    <w:rsid w:val="00551388"/>
    <w:rsid w:val="0055174E"/>
    <w:rsid w:val="005519BC"/>
    <w:rsid w:val="00551C66"/>
    <w:rsid w:val="00552169"/>
    <w:rsid w:val="005523D8"/>
    <w:rsid w:val="005524B9"/>
    <w:rsid w:val="00552587"/>
    <w:rsid w:val="005527DB"/>
    <w:rsid w:val="00552840"/>
    <w:rsid w:val="00552FF9"/>
    <w:rsid w:val="00553245"/>
    <w:rsid w:val="005536E9"/>
    <w:rsid w:val="005538B2"/>
    <w:rsid w:val="0055394B"/>
    <w:rsid w:val="00553D41"/>
    <w:rsid w:val="005544DB"/>
    <w:rsid w:val="00554589"/>
    <w:rsid w:val="00554826"/>
    <w:rsid w:val="00554B05"/>
    <w:rsid w:val="00554DC4"/>
    <w:rsid w:val="00554EB3"/>
    <w:rsid w:val="00555427"/>
    <w:rsid w:val="00555626"/>
    <w:rsid w:val="00556058"/>
    <w:rsid w:val="0055631B"/>
    <w:rsid w:val="005565D0"/>
    <w:rsid w:val="005565F9"/>
    <w:rsid w:val="00556780"/>
    <w:rsid w:val="00556AFD"/>
    <w:rsid w:val="00556E18"/>
    <w:rsid w:val="00557424"/>
    <w:rsid w:val="0055763A"/>
    <w:rsid w:val="0055774B"/>
    <w:rsid w:val="00557799"/>
    <w:rsid w:val="0055779A"/>
    <w:rsid w:val="00557941"/>
    <w:rsid w:val="005579A5"/>
    <w:rsid w:val="005579B5"/>
    <w:rsid w:val="00557BF1"/>
    <w:rsid w:val="00557D3C"/>
    <w:rsid w:val="00557DAD"/>
    <w:rsid w:val="00557E1D"/>
    <w:rsid w:val="0056033C"/>
    <w:rsid w:val="00560597"/>
    <w:rsid w:val="005607FA"/>
    <w:rsid w:val="005608BB"/>
    <w:rsid w:val="005613FD"/>
    <w:rsid w:val="00561580"/>
    <w:rsid w:val="00561A7E"/>
    <w:rsid w:val="00561D2D"/>
    <w:rsid w:val="005620CA"/>
    <w:rsid w:val="00562111"/>
    <w:rsid w:val="005621B1"/>
    <w:rsid w:val="00562410"/>
    <w:rsid w:val="005626D0"/>
    <w:rsid w:val="005629BE"/>
    <w:rsid w:val="00562B74"/>
    <w:rsid w:val="00562CED"/>
    <w:rsid w:val="00562F77"/>
    <w:rsid w:val="00563178"/>
    <w:rsid w:val="005631FD"/>
    <w:rsid w:val="005632C1"/>
    <w:rsid w:val="0056343D"/>
    <w:rsid w:val="00563493"/>
    <w:rsid w:val="005635D9"/>
    <w:rsid w:val="00563655"/>
    <w:rsid w:val="005636F5"/>
    <w:rsid w:val="005639CF"/>
    <w:rsid w:val="005639E6"/>
    <w:rsid w:val="00563BC2"/>
    <w:rsid w:val="005643F4"/>
    <w:rsid w:val="005645A2"/>
    <w:rsid w:val="005646D5"/>
    <w:rsid w:val="00564864"/>
    <w:rsid w:val="005648DD"/>
    <w:rsid w:val="00564AF6"/>
    <w:rsid w:val="00564FCE"/>
    <w:rsid w:val="00564FD1"/>
    <w:rsid w:val="005652D3"/>
    <w:rsid w:val="005652E6"/>
    <w:rsid w:val="005656C0"/>
    <w:rsid w:val="00565D53"/>
    <w:rsid w:val="00565EC6"/>
    <w:rsid w:val="00566368"/>
    <w:rsid w:val="00566413"/>
    <w:rsid w:val="00566680"/>
    <w:rsid w:val="0056684A"/>
    <w:rsid w:val="00566D99"/>
    <w:rsid w:val="00566DA0"/>
    <w:rsid w:val="00567222"/>
    <w:rsid w:val="00567435"/>
    <w:rsid w:val="005674D7"/>
    <w:rsid w:val="00567669"/>
    <w:rsid w:val="00567EAA"/>
    <w:rsid w:val="0057016B"/>
    <w:rsid w:val="005701B5"/>
    <w:rsid w:val="0057023D"/>
    <w:rsid w:val="00570722"/>
    <w:rsid w:val="005708D3"/>
    <w:rsid w:val="00570A8F"/>
    <w:rsid w:val="00570CB3"/>
    <w:rsid w:val="00570E0C"/>
    <w:rsid w:val="00570F3F"/>
    <w:rsid w:val="00570F85"/>
    <w:rsid w:val="005710D6"/>
    <w:rsid w:val="005719F4"/>
    <w:rsid w:val="00571EA7"/>
    <w:rsid w:val="00572401"/>
    <w:rsid w:val="005724B6"/>
    <w:rsid w:val="0057251C"/>
    <w:rsid w:val="00572644"/>
    <w:rsid w:val="005728C9"/>
    <w:rsid w:val="00572914"/>
    <w:rsid w:val="00572BE2"/>
    <w:rsid w:val="00572F47"/>
    <w:rsid w:val="005730B5"/>
    <w:rsid w:val="005732E6"/>
    <w:rsid w:val="00573623"/>
    <w:rsid w:val="00573663"/>
    <w:rsid w:val="0057371C"/>
    <w:rsid w:val="00573878"/>
    <w:rsid w:val="00573F2D"/>
    <w:rsid w:val="00573FD4"/>
    <w:rsid w:val="005741B1"/>
    <w:rsid w:val="00574259"/>
    <w:rsid w:val="00574837"/>
    <w:rsid w:val="005749EB"/>
    <w:rsid w:val="00574A94"/>
    <w:rsid w:val="00574D23"/>
    <w:rsid w:val="00574E25"/>
    <w:rsid w:val="00574FC8"/>
    <w:rsid w:val="00575082"/>
    <w:rsid w:val="005754A6"/>
    <w:rsid w:val="005754AA"/>
    <w:rsid w:val="00575879"/>
    <w:rsid w:val="0057593D"/>
    <w:rsid w:val="0057596D"/>
    <w:rsid w:val="00575A75"/>
    <w:rsid w:val="00575AF7"/>
    <w:rsid w:val="00575B30"/>
    <w:rsid w:val="00575DD9"/>
    <w:rsid w:val="00575DFD"/>
    <w:rsid w:val="0057613A"/>
    <w:rsid w:val="005766FE"/>
    <w:rsid w:val="005768DC"/>
    <w:rsid w:val="00576B0A"/>
    <w:rsid w:val="00576CA1"/>
    <w:rsid w:val="00576E7E"/>
    <w:rsid w:val="00576F33"/>
    <w:rsid w:val="00577278"/>
    <w:rsid w:val="00577804"/>
    <w:rsid w:val="00577BB0"/>
    <w:rsid w:val="00577C30"/>
    <w:rsid w:val="00577C3C"/>
    <w:rsid w:val="00577F57"/>
    <w:rsid w:val="0058019A"/>
    <w:rsid w:val="005801E0"/>
    <w:rsid w:val="005803A0"/>
    <w:rsid w:val="005806C5"/>
    <w:rsid w:val="005806E3"/>
    <w:rsid w:val="00580B7E"/>
    <w:rsid w:val="005812FF"/>
    <w:rsid w:val="00581394"/>
    <w:rsid w:val="005813B4"/>
    <w:rsid w:val="00581822"/>
    <w:rsid w:val="005819C8"/>
    <w:rsid w:val="00581D6A"/>
    <w:rsid w:val="00582139"/>
    <w:rsid w:val="0058229E"/>
    <w:rsid w:val="005823F8"/>
    <w:rsid w:val="0058255E"/>
    <w:rsid w:val="005828DD"/>
    <w:rsid w:val="00582A96"/>
    <w:rsid w:val="00582B34"/>
    <w:rsid w:val="00582D68"/>
    <w:rsid w:val="00583004"/>
    <w:rsid w:val="00583106"/>
    <w:rsid w:val="005835D3"/>
    <w:rsid w:val="005839AB"/>
    <w:rsid w:val="0058422E"/>
    <w:rsid w:val="005845A3"/>
    <w:rsid w:val="005849C3"/>
    <w:rsid w:val="00584B84"/>
    <w:rsid w:val="00584DB7"/>
    <w:rsid w:val="00584E6A"/>
    <w:rsid w:val="00584F5C"/>
    <w:rsid w:val="00584FB0"/>
    <w:rsid w:val="005850FA"/>
    <w:rsid w:val="00585137"/>
    <w:rsid w:val="00585356"/>
    <w:rsid w:val="0058569A"/>
    <w:rsid w:val="005859E4"/>
    <w:rsid w:val="00585A4E"/>
    <w:rsid w:val="00585B71"/>
    <w:rsid w:val="00585BEA"/>
    <w:rsid w:val="00585CBA"/>
    <w:rsid w:val="00585E0F"/>
    <w:rsid w:val="0058619A"/>
    <w:rsid w:val="005863D6"/>
    <w:rsid w:val="00586594"/>
    <w:rsid w:val="005866C6"/>
    <w:rsid w:val="00586B50"/>
    <w:rsid w:val="00586D12"/>
    <w:rsid w:val="00586FB6"/>
    <w:rsid w:val="00587054"/>
    <w:rsid w:val="0058736E"/>
    <w:rsid w:val="0058756C"/>
    <w:rsid w:val="005878C2"/>
    <w:rsid w:val="00587F8E"/>
    <w:rsid w:val="0059042D"/>
    <w:rsid w:val="005905A0"/>
    <w:rsid w:val="00590633"/>
    <w:rsid w:val="00590837"/>
    <w:rsid w:val="005909A7"/>
    <w:rsid w:val="00590E2D"/>
    <w:rsid w:val="00590E62"/>
    <w:rsid w:val="005912EC"/>
    <w:rsid w:val="005913E2"/>
    <w:rsid w:val="005915B5"/>
    <w:rsid w:val="00591B9E"/>
    <w:rsid w:val="00591BF0"/>
    <w:rsid w:val="00591CC8"/>
    <w:rsid w:val="00591EC0"/>
    <w:rsid w:val="00592730"/>
    <w:rsid w:val="0059290D"/>
    <w:rsid w:val="0059292E"/>
    <w:rsid w:val="00592D91"/>
    <w:rsid w:val="0059310D"/>
    <w:rsid w:val="005933A9"/>
    <w:rsid w:val="005936E2"/>
    <w:rsid w:val="005939D7"/>
    <w:rsid w:val="00593BAA"/>
    <w:rsid w:val="005940CC"/>
    <w:rsid w:val="00594459"/>
    <w:rsid w:val="00594800"/>
    <w:rsid w:val="00594808"/>
    <w:rsid w:val="00594A6A"/>
    <w:rsid w:val="00594C0A"/>
    <w:rsid w:val="00594C33"/>
    <w:rsid w:val="00594C62"/>
    <w:rsid w:val="00594E0F"/>
    <w:rsid w:val="005958D9"/>
    <w:rsid w:val="0059595D"/>
    <w:rsid w:val="005963E8"/>
    <w:rsid w:val="00596536"/>
    <w:rsid w:val="005965D9"/>
    <w:rsid w:val="00596678"/>
    <w:rsid w:val="005969F5"/>
    <w:rsid w:val="00596D47"/>
    <w:rsid w:val="005971D2"/>
    <w:rsid w:val="005974A4"/>
    <w:rsid w:val="00597535"/>
    <w:rsid w:val="0059787D"/>
    <w:rsid w:val="00597A03"/>
    <w:rsid w:val="00597DF9"/>
    <w:rsid w:val="005A0193"/>
    <w:rsid w:val="005A0318"/>
    <w:rsid w:val="005A03CD"/>
    <w:rsid w:val="005A074F"/>
    <w:rsid w:val="005A0C16"/>
    <w:rsid w:val="005A144A"/>
    <w:rsid w:val="005A158E"/>
    <w:rsid w:val="005A1D63"/>
    <w:rsid w:val="005A2354"/>
    <w:rsid w:val="005A2688"/>
    <w:rsid w:val="005A2B84"/>
    <w:rsid w:val="005A2DCA"/>
    <w:rsid w:val="005A2E97"/>
    <w:rsid w:val="005A2F68"/>
    <w:rsid w:val="005A34B0"/>
    <w:rsid w:val="005A35C9"/>
    <w:rsid w:val="005A36D9"/>
    <w:rsid w:val="005A39A8"/>
    <w:rsid w:val="005A3B98"/>
    <w:rsid w:val="005A4325"/>
    <w:rsid w:val="005A43CD"/>
    <w:rsid w:val="005A44B0"/>
    <w:rsid w:val="005A4587"/>
    <w:rsid w:val="005A47EB"/>
    <w:rsid w:val="005A4B89"/>
    <w:rsid w:val="005A4C12"/>
    <w:rsid w:val="005A4DA5"/>
    <w:rsid w:val="005A5299"/>
    <w:rsid w:val="005A54B4"/>
    <w:rsid w:val="005A55FA"/>
    <w:rsid w:val="005A56F1"/>
    <w:rsid w:val="005A5A41"/>
    <w:rsid w:val="005A5CEA"/>
    <w:rsid w:val="005A5D1A"/>
    <w:rsid w:val="005A5DF9"/>
    <w:rsid w:val="005A5F12"/>
    <w:rsid w:val="005A5FED"/>
    <w:rsid w:val="005A60F6"/>
    <w:rsid w:val="005A63C4"/>
    <w:rsid w:val="005A6525"/>
    <w:rsid w:val="005A6563"/>
    <w:rsid w:val="005A695C"/>
    <w:rsid w:val="005A6980"/>
    <w:rsid w:val="005A69B2"/>
    <w:rsid w:val="005A69DD"/>
    <w:rsid w:val="005A6C2C"/>
    <w:rsid w:val="005A6D38"/>
    <w:rsid w:val="005A7050"/>
    <w:rsid w:val="005A7267"/>
    <w:rsid w:val="005A7B2E"/>
    <w:rsid w:val="005A7D5F"/>
    <w:rsid w:val="005A7E8D"/>
    <w:rsid w:val="005A7EBA"/>
    <w:rsid w:val="005B02EE"/>
    <w:rsid w:val="005B03CD"/>
    <w:rsid w:val="005B05A8"/>
    <w:rsid w:val="005B05DE"/>
    <w:rsid w:val="005B0695"/>
    <w:rsid w:val="005B0726"/>
    <w:rsid w:val="005B0815"/>
    <w:rsid w:val="005B0946"/>
    <w:rsid w:val="005B0DFB"/>
    <w:rsid w:val="005B1423"/>
    <w:rsid w:val="005B1754"/>
    <w:rsid w:val="005B17C8"/>
    <w:rsid w:val="005B19BB"/>
    <w:rsid w:val="005B1BB8"/>
    <w:rsid w:val="005B1CE3"/>
    <w:rsid w:val="005B2299"/>
    <w:rsid w:val="005B22D3"/>
    <w:rsid w:val="005B25A8"/>
    <w:rsid w:val="005B2AA4"/>
    <w:rsid w:val="005B2C8E"/>
    <w:rsid w:val="005B2DB0"/>
    <w:rsid w:val="005B3383"/>
    <w:rsid w:val="005B35AC"/>
    <w:rsid w:val="005B367D"/>
    <w:rsid w:val="005B3888"/>
    <w:rsid w:val="005B3CBC"/>
    <w:rsid w:val="005B3D7A"/>
    <w:rsid w:val="005B4497"/>
    <w:rsid w:val="005B481B"/>
    <w:rsid w:val="005B4D19"/>
    <w:rsid w:val="005B4DDC"/>
    <w:rsid w:val="005B510A"/>
    <w:rsid w:val="005B53CE"/>
    <w:rsid w:val="005B547A"/>
    <w:rsid w:val="005B5497"/>
    <w:rsid w:val="005B57CA"/>
    <w:rsid w:val="005B58BB"/>
    <w:rsid w:val="005B5F3B"/>
    <w:rsid w:val="005B62C6"/>
    <w:rsid w:val="005B637F"/>
    <w:rsid w:val="005B63D7"/>
    <w:rsid w:val="005B6833"/>
    <w:rsid w:val="005B69EB"/>
    <w:rsid w:val="005B7250"/>
    <w:rsid w:val="005B7598"/>
    <w:rsid w:val="005B7653"/>
    <w:rsid w:val="005B77A9"/>
    <w:rsid w:val="005C015D"/>
    <w:rsid w:val="005C01E8"/>
    <w:rsid w:val="005C02B8"/>
    <w:rsid w:val="005C0391"/>
    <w:rsid w:val="005C043C"/>
    <w:rsid w:val="005C0441"/>
    <w:rsid w:val="005C0740"/>
    <w:rsid w:val="005C0BF0"/>
    <w:rsid w:val="005C0C13"/>
    <w:rsid w:val="005C0D90"/>
    <w:rsid w:val="005C18D0"/>
    <w:rsid w:val="005C1BAA"/>
    <w:rsid w:val="005C1D06"/>
    <w:rsid w:val="005C213D"/>
    <w:rsid w:val="005C2681"/>
    <w:rsid w:val="005C2B49"/>
    <w:rsid w:val="005C2B55"/>
    <w:rsid w:val="005C2DD0"/>
    <w:rsid w:val="005C307B"/>
    <w:rsid w:val="005C310C"/>
    <w:rsid w:val="005C31ED"/>
    <w:rsid w:val="005C329B"/>
    <w:rsid w:val="005C32D3"/>
    <w:rsid w:val="005C32E4"/>
    <w:rsid w:val="005C3501"/>
    <w:rsid w:val="005C3524"/>
    <w:rsid w:val="005C370C"/>
    <w:rsid w:val="005C3852"/>
    <w:rsid w:val="005C3CE5"/>
    <w:rsid w:val="005C3D1D"/>
    <w:rsid w:val="005C3E8A"/>
    <w:rsid w:val="005C4434"/>
    <w:rsid w:val="005C4632"/>
    <w:rsid w:val="005C4CF2"/>
    <w:rsid w:val="005C4D5C"/>
    <w:rsid w:val="005C53CA"/>
    <w:rsid w:val="005C53CD"/>
    <w:rsid w:val="005C54A0"/>
    <w:rsid w:val="005C5C8E"/>
    <w:rsid w:val="005C6252"/>
    <w:rsid w:val="005C63A6"/>
    <w:rsid w:val="005C66B9"/>
    <w:rsid w:val="005C68DB"/>
    <w:rsid w:val="005C6FA0"/>
    <w:rsid w:val="005C74D7"/>
    <w:rsid w:val="005C7592"/>
    <w:rsid w:val="005C77C9"/>
    <w:rsid w:val="005C7883"/>
    <w:rsid w:val="005C7F25"/>
    <w:rsid w:val="005D07E4"/>
    <w:rsid w:val="005D08DE"/>
    <w:rsid w:val="005D0AA8"/>
    <w:rsid w:val="005D13D9"/>
    <w:rsid w:val="005D164B"/>
    <w:rsid w:val="005D1BA8"/>
    <w:rsid w:val="005D20F6"/>
    <w:rsid w:val="005D2321"/>
    <w:rsid w:val="005D26D5"/>
    <w:rsid w:val="005D274E"/>
    <w:rsid w:val="005D2C36"/>
    <w:rsid w:val="005D2DC5"/>
    <w:rsid w:val="005D31ED"/>
    <w:rsid w:val="005D35AF"/>
    <w:rsid w:val="005D3718"/>
    <w:rsid w:val="005D37B5"/>
    <w:rsid w:val="005D38C6"/>
    <w:rsid w:val="005D3A32"/>
    <w:rsid w:val="005D3B8B"/>
    <w:rsid w:val="005D3C82"/>
    <w:rsid w:val="005D404A"/>
    <w:rsid w:val="005D41D8"/>
    <w:rsid w:val="005D4A57"/>
    <w:rsid w:val="005D4DF9"/>
    <w:rsid w:val="005D5334"/>
    <w:rsid w:val="005D53C5"/>
    <w:rsid w:val="005D5571"/>
    <w:rsid w:val="005D5B99"/>
    <w:rsid w:val="005D5D84"/>
    <w:rsid w:val="005D5EFE"/>
    <w:rsid w:val="005D60A4"/>
    <w:rsid w:val="005D60EA"/>
    <w:rsid w:val="005D6236"/>
    <w:rsid w:val="005D62D9"/>
    <w:rsid w:val="005D672A"/>
    <w:rsid w:val="005D673C"/>
    <w:rsid w:val="005D6C1C"/>
    <w:rsid w:val="005D6D97"/>
    <w:rsid w:val="005D71F4"/>
    <w:rsid w:val="005D720A"/>
    <w:rsid w:val="005D7398"/>
    <w:rsid w:val="005D7646"/>
    <w:rsid w:val="005D779F"/>
    <w:rsid w:val="005D7A15"/>
    <w:rsid w:val="005D7BB4"/>
    <w:rsid w:val="005D7CD1"/>
    <w:rsid w:val="005D7EA6"/>
    <w:rsid w:val="005D7F94"/>
    <w:rsid w:val="005E049F"/>
    <w:rsid w:val="005E053C"/>
    <w:rsid w:val="005E05F1"/>
    <w:rsid w:val="005E098C"/>
    <w:rsid w:val="005E0B3C"/>
    <w:rsid w:val="005E0DF5"/>
    <w:rsid w:val="005E119F"/>
    <w:rsid w:val="005E161D"/>
    <w:rsid w:val="005E17D6"/>
    <w:rsid w:val="005E1A87"/>
    <w:rsid w:val="005E1B48"/>
    <w:rsid w:val="005E1F67"/>
    <w:rsid w:val="005E2026"/>
    <w:rsid w:val="005E239D"/>
    <w:rsid w:val="005E26F8"/>
    <w:rsid w:val="005E2AB5"/>
    <w:rsid w:val="005E2F22"/>
    <w:rsid w:val="005E3015"/>
    <w:rsid w:val="005E3299"/>
    <w:rsid w:val="005E3373"/>
    <w:rsid w:val="005E3757"/>
    <w:rsid w:val="005E3E6A"/>
    <w:rsid w:val="005E414B"/>
    <w:rsid w:val="005E41A7"/>
    <w:rsid w:val="005E4BCB"/>
    <w:rsid w:val="005E4BE3"/>
    <w:rsid w:val="005E4C8D"/>
    <w:rsid w:val="005E4D3A"/>
    <w:rsid w:val="005E50CD"/>
    <w:rsid w:val="005E5590"/>
    <w:rsid w:val="005E5750"/>
    <w:rsid w:val="005E5804"/>
    <w:rsid w:val="005E5F53"/>
    <w:rsid w:val="005E5F5A"/>
    <w:rsid w:val="005E5F81"/>
    <w:rsid w:val="005E6021"/>
    <w:rsid w:val="005E6456"/>
    <w:rsid w:val="005E6911"/>
    <w:rsid w:val="005E6B4D"/>
    <w:rsid w:val="005E6CFC"/>
    <w:rsid w:val="005E6D0A"/>
    <w:rsid w:val="005E6EAA"/>
    <w:rsid w:val="005E6EB4"/>
    <w:rsid w:val="005E6FE0"/>
    <w:rsid w:val="005E71D3"/>
    <w:rsid w:val="005E7519"/>
    <w:rsid w:val="005E7836"/>
    <w:rsid w:val="005E7D5B"/>
    <w:rsid w:val="005E7DCC"/>
    <w:rsid w:val="005E7E6A"/>
    <w:rsid w:val="005F00B1"/>
    <w:rsid w:val="005F01CB"/>
    <w:rsid w:val="005F034D"/>
    <w:rsid w:val="005F04DD"/>
    <w:rsid w:val="005F04F1"/>
    <w:rsid w:val="005F094F"/>
    <w:rsid w:val="005F09CF"/>
    <w:rsid w:val="005F0B77"/>
    <w:rsid w:val="005F12D7"/>
    <w:rsid w:val="005F1425"/>
    <w:rsid w:val="005F1430"/>
    <w:rsid w:val="005F1568"/>
    <w:rsid w:val="005F1945"/>
    <w:rsid w:val="005F1D9E"/>
    <w:rsid w:val="005F1EA9"/>
    <w:rsid w:val="005F216C"/>
    <w:rsid w:val="005F2369"/>
    <w:rsid w:val="005F2857"/>
    <w:rsid w:val="005F2A90"/>
    <w:rsid w:val="005F2CFC"/>
    <w:rsid w:val="005F2DF5"/>
    <w:rsid w:val="005F3338"/>
    <w:rsid w:val="005F3566"/>
    <w:rsid w:val="005F35E0"/>
    <w:rsid w:val="005F3D09"/>
    <w:rsid w:val="005F3DA9"/>
    <w:rsid w:val="005F4914"/>
    <w:rsid w:val="005F4E64"/>
    <w:rsid w:val="005F50E6"/>
    <w:rsid w:val="005F53BE"/>
    <w:rsid w:val="005F53CC"/>
    <w:rsid w:val="005F5A6F"/>
    <w:rsid w:val="005F5DF6"/>
    <w:rsid w:val="005F5FA1"/>
    <w:rsid w:val="005F5FF8"/>
    <w:rsid w:val="005F6152"/>
    <w:rsid w:val="005F6218"/>
    <w:rsid w:val="005F6264"/>
    <w:rsid w:val="005F637A"/>
    <w:rsid w:val="005F6664"/>
    <w:rsid w:val="005F6E72"/>
    <w:rsid w:val="005F7325"/>
    <w:rsid w:val="005F7D03"/>
    <w:rsid w:val="005F7D42"/>
    <w:rsid w:val="006000CB"/>
    <w:rsid w:val="006000D3"/>
    <w:rsid w:val="006001BB"/>
    <w:rsid w:val="0060025A"/>
    <w:rsid w:val="00600450"/>
    <w:rsid w:val="0060088C"/>
    <w:rsid w:val="00600B47"/>
    <w:rsid w:val="00600B8E"/>
    <w:rsid w:val="00600F18"/>
    <w:rsid w:val="006013C1"/>
    <w:rsid w:val="00601533"/>
    <w:rsid w:val="006015CE"/>
    <w:rsid w:val="00601C9D"/>
    <w:rsid w:val="00601D55"/>
    <w:rsid w:val="006021BF"/>
    <w:rsid w:val="0060247E"/>
    <w:rsid w:val="006024EE"/>
    <w:rsid w:val="0060261D"/>
    <w:rsid w:val="006026CD"/>
    <w:rsid w:val="006027FB"/>
    <w:rsid w:val="00602918"/>
    <w:rsid w:val="0060301B"/>
    <w:rsid w:val="0060303A"/>
    <w:rsid w:val="006030EF"/>
    <w:rsid w:val="006032A1"/>
    <w:rsid w:val="00603429"/>
    <w:rsid w:val="00603504"/>
    <w:rsid w:val="006036F4"/>
    <w:rsid w:val="00603830"/>
    <w:rsid w:val="006039B1"/>
    <w:rsid w:val="00603E21"/>
    <w:rsid w:val="0060423F"/>
    <w:rsid w:val="00604355"/>
    <w:rsid w:val="0060469A"/>
    <w:rsid w:val="00604A11"/>
    <w:rsid w:val="00604CEF"/>
    <w:rsid w:val="00604D73"/>
    <w:rsid w:val="00604F05"/>
    <w:rsid w:val="006052F7"/>
    <w:rsid w:val="00605590"/>
    <w:rsid w:val="006057CE"/>
    <w:rsid w:val="00605829"/>
    <w:rsid w:val="00605C4A"/>
    <w:rsid w:val="00605C4E"/>
    <w:rsid w:val="00605CC7"/>
    <w:rsid w:val="00606150"/>
    <w:rsid w:val="00606281"/>
    <w:rsid w:val="006063AA"/>
    <w:rsid w:val="006063CB"/>
    <w:rsid w:val="0060646E"/>
    <w:rsid w:val="00606604"/>
    <w:rsid w:val="00606612"/>
    <w:rsid w:val="006066C8"/>
    <w:rsid w:val="00606DDF"/>
    <w:rsid w:val="00607514"/>
    <w:rsid w:val="006076B9"/>
    <w:rsid w:val="006076E6"/>
    <w:rsid w:val="006077BA"/>
    <w:rsid w:val="00607E45"/>
    <w:rsid w:val="00607E85"/>
    <w:rsid w:val="00610175"/>
    <w:rsid w:val="00610400"/>
    <w:rsid w:val="00610556"/>
    <w:rsid w:val="006107DE"/>
    <w:rsid w:val="00610B1E"/>
    <w:rsid w:val="00611174"/>
    <w:rsid w:val="006114C7"/>
    <w:rsid w:val="006116EB"/>
    <w:rsid w:val="006118FF"/>
    <w:rsid w:val="00611A6A"/>
    <w:rsid w:val="00611B28"/>
    <w:rsid w:val="00611D31"/>
    <w:rsid w:val="00611E52"/>
    <w:rsid w:val="00611E92"/>
    <w:rsid w:val="00611EA2"/>
    <w:rsid w:val="00612660"/>
    <w:rsid w:val="00612693"/>
    <w:rsid w:val="00612742"/>
    <w:rsid w:val="006127A3"/>
    <w:rsid w:val="006129C6"/>
    <w:rsid w:val="00612D68"/>
    <w:rsid w:val="00612FD2"/>
    <w:rsid w:val="0061337C"/>
    <w:rsid w:val="00613515"/>
    <w:rsid w:val="00614530"/>
    <w:rsid w:val="0061463E"/>
    <w:rsid w:val="00614C9E"/>
    <w:rsid w:val="00614D6A"/>
    <w:rsid w:val="00615164"/>
    <w:rsid w:val="006158B9"/>
    <w:rsid w:val="00615C9F"/>
    <w:rsid w:val="00615F4E"/>
    <w:rsid w:val="0061623F"/>
    <w:rsid w:val="00616294"/>
    <w:rsid w:val="006168AC"/>
    <w:rsid w:val="00616E4D"/>
    <w:rsid w:val="0061700C"/>
    <w:rsid w:val="00617420"/>
    <w:rsid w:val="006177AC"/>
    <w:rsid w:val="006177B4"/>
    <w:rsid w:val="00617EA5"/>
    <w:rsid w:val="006202A1"/>
    <w:rsid w:val="00620343"/>
    <w:rsid w:val="0062072A"/>
    <w:rsid w:val="006208B9"/>
    <w:rsid w:val="00620C77"/>
    <w:rsid w:val="00620EF7"/>
    <w:rsid w:val="006211BE"/>
    <w:rsid w:val="006212E0"/>
    <w:rsid w:val="00621509"/>
    <w:rsid w:val="0062170B"/>
    <w:rsid w:val="00621957"/>
    <w:rsid w:val="006219FF"/>
    <w:rsid w:val="00621C45"/>
    <w:rsid w:val="00621DA9"/>
    <w:rsid w:val="00621DD4"/>
    <w:rsid w:val="00622320"/>
    <w:rsid w:val="0062244B"/>
    <w:rsid w:val="00622523"/>
    <w:rsid w:val="00622554"/>
    <w:rsid w:val="00622589"/>
    <w:rsid w:val="00622971"/>
    <w:rsid w:val="00622A2F"/>
    <w:rsid w:val="00622CA5"/>
    <w:rsid w:val="00622CD1"/>
    <w:rsid w:val="00622F1A"/>
    <w:rsid w:val="0062318D"/>
    <w:rsid w:val="0062319E"/>
    <w:rsid w:val="00623753"/>
    <w:rsid w:val="00623792"/>
    <w:rsid w:val="006237AA"/>
    <w:rsid w:val="00623BEE"/>
    <w:rsid w:val="00623E00"/>
    <w:rsid w:val="00623F46"/>
    <w:rsid w:val="00623FEB"/>
    <w:rsid w:val="006243BC"/>
    <w:rsid w:val="006243ED"/>
    <w:rsid w:val="00624719"/>
    <w:rsid w:val="006247DA"/>
    <w:rsid w:val="00624966"/>
    <w:rsid w:val="00624A44"/>
    <w:rsid w:val="00624B78"/>
    <w:rsid w:val="00624C55"/>
    <w:rsid w:val="00625207"/>
    <w:rsid w:val="006253BB"/>
    <w:rsid w:val="00625432"/>
    <w:rsid w:val="00625492"/>
    <w:rsid w:val="006256E2"/>
    <w:rsid w:val="00626E42"/>
    <w:rsid w:val="00626F4E"/>
    <w:rsid w:val="00627088"/>
    <w:rsid w:val="0062708D"/>
    <w:rsid w:val="006270C0"/>
    <w:rsid w:val="006270E9"/>
    <w:rsid w:val="0062766E"/>
    <w:rsid w:val="00627B84"/>
    <w:rsid w:val="00627DA8"/>
    <w:rsid w:val="00627EDA"/>
    <w:rsid w:val="006303CC"/>
    <w:rsid w:val="006309F3"/>
    <w:rsid w:val="00630A4E"/>
    <w:rsid w:val="00630AB6"/>
    <w:rsid w:val="00630AC0"/>
    <w:rsid w:val="00630CAC"/>
    <w:rsid w:val="006310A5"/>
    <w:rsid w:val="0063117D"/>
    <w:rsid w:val="00631DE9"/>
    <w:rsid w:val="006321C2"/>
    <w:rsid w:val="00632818"/>
    <w:rsid w:val="006329CD"/>
    <w:rsid w:val="00633382"/>
    <w:rsid w:val="006338BE"/>
    <w:rsid w:val="00633B20"/>
    <w:rsid w:val="00633C84"/>
    <w:rsid w:val="00634054"/>
    <w:rsid w:val="00634B77"/>
    <w:rsid w:val="00634DDB"/>
    <w:rsid w:val="006355D0"/>
    <w:rsid w:val="006357A8"/>
    <w:rsid w:val="006357C8"/>
    <w:rsid w:val="00635CEA"/>
    <w:rsid w:val="00635CFE"/>
    <w:rsid w:val="00635EA7"/>
    <w:rsid w:val="00636200"/>
    <w:rsid w:val="00636247"/>
    <w:rsid w:val="006362AA"/>
    <w:rsid w:val="006364B1"/>
    <w:rsid w:val="0063653F"/>
    <w:rsid w:val="006365B9"/>
    <w:rsid w:val="00636768"/>
    <w:rsid w:val="00637076"/>
    <w:rsid w:val="00637147"/>
    <w:rsid w:val="00637313"/>
    <w:rsid w:val="0063736D"/>
    <w:rsid w:val="006375B4"/>
    <w:rsid w:val="006376D4"/>
    <w:rsid w:val="00637ECB"/>
    <w:rsid w:val="00640D91"/>
    <w:rsid w:val="0064100E"/>
    <w:rsid w:val="0064117D"/>
    <w:rsid w:val="0064132B"/>
    <w:rsid w:val="006416D2"/>
    <w:rsid w:val="0064172C"/>
    <w:rsid w:val="006417D8"/>
    <w:rsid w:val="006419FD"/>
    <w:rsid w:val="00641A68"/>
    <w:rsid w:val="00641A6F"/>
    <w:rsid w:val="00641BDE"/>
    <w:rsid w:val="0064218D"/>
    <w:rsid w:val="0064225F"/>
    <w:rsid w:val="00642475"/>
    <w:rsid w:val="00642B46"/>
    <w:rsid w:val="00642D82"/>
    <w:rsid w:val="00642F57"/>
    <w:rsid w:val="00643259"/>
    <w:rsid w:val="0064344A"/>
    <w:rsid w:val="00643771"/>
    <w:rsid w:val="00643ABD"/>
    <w:rsid w:val="0064405A"/>
    <w:rsid w:val="00644415"/>
    <w:rsid w:val="00644E4F"/>
    <w:rsid w:val="00645589"/>
    <w:rsid w:val="006456DC"/>
    <w:rsid w:val="006458B6"/>
    <w:rsid w:val="00645DC7"/>
    <w:rsid w:val="00645E50"/>
    <w:rsid w:val="00645F2E"/>
    <w:rsid w:val="006461EE"/>
    <w:rsid w:val="00646760"/>
    <w:rsid w:val="0064682D"/>
    <w:rsid w:val="0064689B"/>
    <w:rsid w:val="00646BE8"/>
    <w:rsid w:val="00646D4C"/>
    <w:rsid w:val="0064724F"/>
    <w:rsid w:val="00647530"/>
    <w:rsid w:val="0064768B"/>
    <w:rsid w:val="00647A04"/>
    <w:rsid w:val="00647B0F"/>
    <w:rsid w:val="006507CB"/>
    <w:rsid w:val="006508D0"/>
    <w:rsid w:val="00651129"/>
    <w:rsid w:val="0065148C"/>
    <w:rsid w:val="0065187F"/>
    <w:rsid w:val="00651D68"/>
    <w:rsid w:val="0065207D"/>
    <w:rsid w:val="006521E6"/>
    <w:rsid w:val="006522CC"/>
    <w:rsid w:val="006522D6"/>
    <w:rsid w:val="006528CF"/>
    <w:rsid w:val="0065298B"/>
    <w:rsid w:val="00652BCC"/>
    <w:rsid w:val="00652D30"/>
    <w:rsid w:val="00652DA3"/>
    <w:rsid w:val="006536C3"/>
    <w:rsid w:val="00653837"/>
    <w:rsid w:val="0065398D"/>
    <w:rsid w:val="00653DC4"/>
    <w:rsid w:val="00654046"/>
    <w:rsid w:val="006540B0"/>
    <w:rsid w:val="0065447B"/>
    <w:rsid w:val="00654804"/>
    <w:rsid w:val="006549E5"/>
    <w:rsid w:val="00654BA0"/>
    <w:rsid w:val="00654BBE"/>
    <w:rsid w:val="00654CD6"/>
    <w:rsid w:val="00654D83"/>
    <w:rsid w:val="00654DD3"/>
    <w:rsid w:val="00654F6B"/>
    <w:rsid w:val="00655007"/>
    <w:rsid w:val="00655101"/>
    <w:rsid w:val="00655265"/>
    <w:rsid w:val="006552A0"/>
    <w:rsid w:val="006555A6"/>
    <w:rsid w:val="006557F7"/>
    <w:rsid w:val="006559D9"/>
    <w:rsid w:val="00655DFF"/>
    <w:rsid w:val="00655F06"/>
    <w:rsid w:val="00656314"/>
    <w:rsid w:val="0065649B"/>
    <w:rsid w:val="00657038"/>
    <w:rsid w:val="00657204"/>
    <w:rsid w:val="00657384"/>
    <w:rsid w:val="0065778F"/>
    <w:rsid w:val="0066004A"/>
    <w:rsid w:val="00660138"/>
    <w:rsid w:val="0066033C"/>
    <w:rsid w:val="00660381"/>
    <w:rsid w:val="006603E5"/>
    <w:rsid w:val="0066077F"/>
    <w:rsid w:val="00660ABE"/>
    <w:rsid w:val="00660F5D"/>
    <w:rsid w:val="0066118C"/>
    <w:rsid w:val="0066134E"/>
    <w:rsid w:val="00661372"/>
    <w:rsid w:val="00661570"/>
    <w:rsid w:val="00661626"/>
    <w:rsid w:val="006618B5"/>
    <w:rsid w:val="00661BE8"/>
    <w:rsid w:val="00661C95"/>
    <w:rsid w:val="00661CAE"/>
    <w:rsid w:val="00661D49"/>
    <w:rsid w:val="00661D99"/>
    <w:rsid w:val="00661FE6"/>
    <w:rsid w:val="00662504"/>
    <w:rsid w:val="00662782"/>
    <w:rsid w:val="00662EEF"/>
    <w:rsid w:val="006630C6"/>
    <w:rsid w:val="0066336D"/>
    <w:rsid w:val="006633D2"/>
    <w:rsid w:val="00663DCF"/>
    <w:rsid w:val="00663DF0"/>
    <w:rsid w:val="00663E68"/>
    <w:rsid w:val="00663F05"/>
    <w:rsid w:val="00663F1B"/>
    <w:rsid w:val="00663FA8"/>
    <w:rsid w:val="006644B8"/>
    <w:rsid w:val="00664634"/>
    <w:rsid w:val="00664668"/>
    <w:rsid w:val="006649B8"/>
    <w:rsid w:val="00664EBB"/>
    <w:rsid w:val="00664F63"/>
    <w:rsid w:val="0066505C"/>
    <w:rsid w:val="00665122"/>
    <w:rsid w:val="0066528F"/>
    <w:rsid w:val="00665599"/>
    <w:rsid w:val="0066565B"/>
    <w:rsid w:val="0066566F"/>
    <w:rsid w:val="00665956"/>
    <w:rsid w:val="00665DE1"/>
    <w:rsid w:val="00665EB3"/>
    <w:rsid w:val="00665EB7"/>
    <w:rsid w:val="00665FA8"/>
    <w:rsid w:val="0066627D"/>
    <w:rsid w:val="0066642C"/>
    <w:rsid w:val="006664C0"/>
    <w:rsid w:val="00666A2F"/>
    <w:rsid w:val="00666BD8"/>
    <w:rsid w:val="00666D57"/>
    <w:rsid w:val="00666D91"/>
    <w:rsid w:val="00666F6B"/>
    <w:rsid w:val="00666F7C"/>
    <w:rsid w:val="0066747D"/>
    <w:rsid w:val="0066756F"/>
    <w:rsid w:val="00667B6F"/>
    <w:rsid w:val="00667E0F"/>
    <w:rsid w:val="00667F82"/>
    <w:rsid w:val="006700AA"/>
    <w:rsid w:val="00670491"/>
    <w:rsid w:val="00670568"/>
    <w:rsid w:val="00670570"/>
    <w:rsid w:val="00670668"/>
    <w:rsid w:val="006708B5"/>
    <w:rsid w:val="00670BE1"/>
    <w:rsid w:val="0067122B"/>
    <w:rsid w:val="006716D4"/>
    <w:rsid w:val="00671F52"/>
    <w:rsid w:val="00672264"/>
    <w:rsid w:val="00672481"/>
    <w:rsid w:val="006726F1"/>
    <w:rsid w:val="00672724"/>
    <w:rsid w:val="00672797"/>
    <w:rsid w:val="00672852"/>
    <w:rsid w:val="00672B13"/>
    <w:rsid w:val="00673365"/>
    <w:rsid w:val="0067362A"/>
    <w:rsid w:val="00673930"/>
    <w:rsid w:val="00673A39"/>
    <w:rsid w:val="00673B3B"/>
    <w:rsid w:val="00673B96"/>
    <w:rsid w:val="00673E7A"/>
    <w:rsid w:val="00673EB0"/>
    <w:rsid w:val="0067449B"/>
    <w:rsid w:val="006749C6"/>
    <w:rsid w:val="00675001"/>
    <w:rsid w:val="006750F1"/>
    <w:rsid w:val="00675354"/>
    <w:rsid w:val="00675358"/>
    <w:rsid w:val="0067541B"/>
    <w:rsid w:val="006754FA"/>
    <w:rsid w:val="0067566B"/>
    <w:rsid w:val="00675745"/>
    <w:rsid w:val="006757BA"/>
    <w:rsid w:val="00675836"/>
    <w:rsid w:val="00675AAE"/>
    <w:rsid w:val="00675ACE"/>
    <w:rsid w:val="00675F91"/>
    <w:rsid w:val="0067606E"/>
    <w:rsid w:val="00676213"/>
    <w:rsid w:val="00676303"/>
    <w:rsid w:val="0067633C"/>
    <w:rsid w:val="00676838"/>
    <w:rsid w:val="00676A0D"/>
    <w:rsid w:val="00676DDB"/>
    <w:rsid w:val="00676E80"/>
    <w:rsid w:val="00677124"/>
    <w:rsid w:val="006773B7"/>
    <w:rsid w:val="00677680"/>
    <w:rsid w:val="00677A0D"/>
    <w:rsid w:val="00680164"/>
    <w:rsid w:val="006803C4"/>
    <w:rsid w:val="006805A5"/>
    <w:rsid w:val="00680761"/>
    <w:rsid w:val="00680997"/>
    <w:rsid w:val="00680AA7"/>
    <w:rsid w:val="00680BCF"/>
    <w:rsid w:val="00680F74"/>
    <w:rsid w:val="00680F78"/>
    <w:rsid w:val="00680F96"/>
    <w:rsid w:val="006810C4"/>
    <w:rsid w:val="0068178A"/>
    <w:rsid w:val="00681A49"/>
    <w:rsid w:val="00681BA7"/>
    <w:rsid w:val="00681C7F"/>
    <w:rsid w:val="00681D3D"/>
    <w:rsid w:val="00681E5F"/>
    <w:rsid w:val="00681FCF"/>
    <w:rsid w:val="00682043"/>
    <w:rsid w:val="00682256"/>
    <w:rsid w:val="00682315"/>
    <w:rsid w:val="00682360"/>
    <w:rsid w:val="0068238F"/>
    <w:rsid w:val="00682A3E"/>
    <w:rsid w:val="0068301C"/>
    <w:rsid w:val="00683087"/>
    <w:rsid w:val="0068382A"/>
    <w:rsid w:val="00684100"/>
    <w:rsid w:val="006848DA"/>
    <w:rsid w:val="00684D81"/>
    <w:rsid w:val="00684E83"/>
    <w:rsid w:val="006850ED"/>
    <w:rsid w:val="006854EB"/>
    <w:rsid w:val="00685543"/>
    <w:rsid w:val="00685653"/>
    <w:rsid w:val="00685A55"/>
    <w:rsid w:val="00686249"/>
    <w:rsid w:val="00686294"/>
    <w:rsid w:val="00686300"/>
    <w:rsid w:val="00686421"/>
    <w:rsid w:val="006866D4"/>
    <w:rsid w:val="00686710"/>
    <w:rsid w:val="00686832"/>
    <w:rsid w:val="00686996"/>
    <w:rsid w:val="00686B1A"/>
    <w:rsid w:val="00686BE4"/>
    <w:rsid w:val="0068700F"/>
    <w:rsid w:val="00687255"/>
    <w:rsid w:val="00687377"/>
    <w:rsid w:val="0068753C"/>
    <w:rsid w:val="006875B9"/>
    <w:rsid w:val="0068773D"/>
    <w:rsid w:val="006878BF"/>
    <w:rsid w:val="00687C97"/>
    <w:rsid w:val="00687CC5"/>
    <w:rsid w:val="00687DA3"/>
    <w:rsid w:val="0069012B"/>
    <w:rsid w:val="0069039F"/>
    <w:rsid w:val="00690491"/>
    <w:rsid w:val="006906D5"/>
    <w:rsid w:val="00690703"/>
    <w:rsid w:val="00690F67"/>
    <w:rsid w:val="006910C1"/>
    <w:rsid w:val="006914FC"/>
    <w:rsid w:val="0069158E"/>
    <w:rsid w:val="006916B9"/>
    <w:rsid w:val="006917E5"/>
    <w:rsid w:val="00691887"/>
    <w:rsid w:val="006918DE"/>
    <w:rsid w:val="00691C77"/>
    <w:rsid w:val="00691EC0"/>
    <w:rsid w:val="00692680"/>
    <w:rsid w:val="006927E7"/>
    <w:rsid w:val="00692909"/>
    <w:rsid w:val="00692F3C"/>
    <w:rsid w:val="00692FC7"/>
    <w:rsid w:val="006930D1"/>
    <w:rsid w:val="00693198"/>
    <w:rsid w:val="006931AD"/>
    <w:rsid w:val="00693401"/>
    <w:rsid w:val="0069342A"/>
    <w:rsid w:val="0069346F"/>
    <w:rsid w:val="00693507"/>
    <w:rsid w:val="00693761"/>
    <w:rsid w:val="00693C8A"/>
    <w:rsid w:val="00693FE1"/>
    <w:rsid w:val="006940B8"/>
    <w:rsid w:val="006940BB"/>
    <w:rsid w:val="00694252"/>
    <w:rsid w:val="006942F6"/>
    <w:rsid w:val="00694569"/>
    <w:rsid w:val="00694DAD"/>
    <w:rsid w:val="00694E36"/>
    <w:rsid w:val="00694E76"/>
    <w:rsid w:val="006951B8"/>
    <w:rsid w:val="00695297"/>
    <w:rsid w:val="006955B9"/>
    <w:rsid w:val="00695793"/>
    <w:rsid w:val="006957A7"/>
    <w:rsid w:val="00695ADD"/>
    <w:rsid w:val="00695D4D"/>
    <w:rsid w:val="00695E45"/>
    <w:rsid w:val="006961DF"/>
    <w:rsid w:val="00696395"/>
    <w:rsid w:val="00696A2F"/>
    <w:rsid w:val="00696A81"/>
    <w:rsid w:val="00696A99"/>
    <w:rsid w:val="00696BD5"/>
    <w:rsid w:val="00696CF0"/>
    <w:rsid w:val="00696F40"/>
    <w:rsid w:val="00696FC1"/>
    <w:rsid w:val="00697001"/>
    <w:rsid w:val="00697060"/>
    <w:rsid w:val="0069726B"/>
    <w:rsid w:val="006977A3"/>
    <w:rsid w:val="0069793E"/>
    <w:rsid w:val="0069799B"/>
    <w:rsid w:val="00697A84"/>
    <w:rsid w:val="00697B10"/>
    <w:rsid w:val="00697CE5"/>
    <w:rsid w:val="006A0032"/>
    <w:rsid w:val="006A01ED"/>
    <w:rsid w:val="006A058A"/>
    <w:rsid w:val="006A05D5"/>
    <w:rsid w:val="006A0867"/>
    <w:rsid w:val="006A0B9A"/>
    <w:rsid w:val="006A0C86"/>
    <w:rsid w:val="006A0D3E"/>
    <w:rsid w:val="006A1171"/>
    <w:rsid w:val="006A136A"/>
    <w:rsid w:val="006A173A"/>
    <w:rsid w:val="006A1758"/>
    <w:rsid w:val="006A1788"/>
    <w:rsid w:val="006A1821"/>
    <w:rsid w:val="006A1B5D"/>
    <w:rsid w:val="006A1EE1"/>
    <w:rsid w:val="006A21DE"/>
    <w:rsid w:val="006A2530"/>
    <w:rsid w:val="006A28DD"/>
    <w:rsid w:val="006A294B"/>
    <w:rsid w:val="006A32E7"/>
    <w:rsid w:val="006A3544"/>
    <w:rsid w:val="006A3E15"/>
    <w:rsid w:val="006A3EA0"/>
    <w:rsid w:val="006A40F7"/>
    <w:rsid w:val="006A4156"/>
    <w:rsid w:val="006A41B6"/>
    <w:rsid w:val="006A447F"/>
    <w:rsid w:val="006A4512"/>
    <w:rsid w:val="006A4C30"/>
    <w:rsid w:val="006A4E54"/>
    <w:rsid w:val="006A50F8"/>
    <w:rsid w:val="006A52DE"/>
    <w:rsid w:val="006A547A"/>
    <w:rsid w:val="006A55AC"/>
    <w:rsid w:val="006A597F"/>
    <w:rsid w:val="006A5B1C"/>
    <w:rsid w:val="006A5B75"/>
    <w:rsid w:val="006A5CBD"/>
    <w:rsid w:val="006A5CF1"/>
    <w:rsid w:val="006A5D58"/>
    <w:rsid w:val="006A5F16"/>
    <w:rsid w:val="006A612A"/>
    <w:rsid w:val="006A61D3"/>
    <w:rsid w:val="006A61E2"/>
    <w:rsid w:val="006A651D"/>
    <w:rsid w:val="006A65C1"/>
    <w:rsid w:val="006A666D"/>
    <w:rsid w:val="006A6840"/>
    <w:rsid w:val="006A6A01"/>
    <w:rsid w:val="006A6A43"/>
    <w:rsid w:val="006A6BFD"/>
    <w:rsid w:val="006A6EC4"/>
    <w:rsid w:val="006A6EE0"/>
    <w:rsid w:val="006A6F07"/>
    <w:rsid w:val="006A7416"/>
    <w:rsid w:val="006A7796"/>
    <w:rsid w:val="006A77E6"/>
    <w:rsid w:val="006A7854"/>
    <w:rsid w:val="006A7994"/>
    <w:rsid w:val="006A79DF"/>
    <w:rsid w:val="006A7A5C"/>
    <w:rsid w:val="006A7A87"/>
    <w:rsid w:val="006A7AEA"/>
    <w:rsid w:val="006A7D0C"/>
    <w:rsid w:val="006A7DF7"/>
    <w:rsid w:val="006B035A"/>
    <w:rsid w:val="006B04AF"/>
    <w:rsid w:val="006B0533"/>
    <w:rsid w:val="006B0C91"/>
    <w:rsid w:val="006B0F4D"/>
    <w:rsid w:val="006B1011"/>
    <w:rsid w:val="006B1573"/>
    <w:rsid w:val="006B1909"/>
    <w:rsid w:val="006B1986"/>
    <w:rsid w:val="006B1D47"/>
    <w:rsid w:val="006B214E"/>
    <w:rsid w:val="006B227C"/>
    <w:rsid w:val="006B233C"/>
    <w:rsid w:val="006B2D99"/>
    <w:rsid w:val="006B333B"/>
    <w:rsid w:val="006B33CE"/>
    <w:rsid w:val="006B36A6"/>
    <w:rsid w:val="006B3E51"/>
    <w:rsid w:val="006B3F0E"/>
    <w:rsid w:val="006B418F"/>
    <w:rsid w:val="006B43F5"/>
    <w:rsid w:val="006B4545"/>
    <w:rsid w:val="006B47AF"/>
    <w:rsid w:val="006B4B9B"/>
    <w:rsid w:val="006B51B1"/>
    <w:rsid w:val="006B55A3"/>
    <w:rsid w:val="006B5674"/>
    <w:rsid w:val="006B567D"/>
    <w:rsid w:val="006B58CB"/>
    <w:rsid w:val="006B5E74"/>
    <w:rsid w:val="006B6228"/>
    <w:rsid w:val="006B62A8"/>
    <w:rsid w:val="006B65A3"/>
    <w:rsid w:val="006B661E"/>
    <w:rsid w:val="006B686B"/>
    <w:rsid w:val="006B6DE5"/>
    <w:rsid w:val="006B6E38"/>
    <w:rsid w:val="006B7204"/>
    <w:rsid w:val="006B7740"/>
    <w:rsid w:val="006B7A05"/>
    <w:rsid w:val="006B7A51"/>
    <w:rsid w:val="006B7CDA"/>
    <w:rsid w:val="006B7D97"/>
    <w:rsid w:val="006B7DD5"/>
    <w:rsid w:val="006B7F96"/>
    <w:rsid w:val="006B7FDA"/>
    <w:rsid w:val="006C0774"/>
    <w:rsid w:val="006C07AE"/>
    <w:rsid w:val="006C0BE4"/>
    <w:rsid w:val="006C0EA5"/>
    <w:rsid w:val="006C108A"/>
    <w:rsid w:val="006C1257"/>
    <w:rsid w:val="006C195E"/>
    <w:rsid w:val="006C1CEE"/>
    <w:rsid w:val="006C2243"/>
    <w:rsid w:val="006C2478"/>
    <w:rsid w:val="006C27F3"/>
    <w:rsid w:val="006C2F74"/>
    <w:rsid w:val="006C3682"/>
    <w:rsid w:val="006C388B"/>
    <w:rsid w:val="006C3F38"/>
    <w:rsid w:val="006C4054"/>
    <w:rsid w:val="006C47B4"/>
    <w:rsid w:val="006C47EA"/>
    <w:rsid w:val="006C4AAD"/>
    <w:rsid w:val="006C4B28"/>
    <w:rsid w:val="006C4CB2"/>
    <w:rsid w:val="006C509A"/>
    <w:rsid w:val="006C520C"/>
    <w:rsid w:val="006C5614"/>
    <w:rsid w:val="006C5850"/>
    <w:rsid w:val="006C5905"/>
    <w:rsid w:val="006C5E98"/>
    <w:rsid w:val="006C6028"/>
    <w:rsid w:val="006C6279"/>
    <w:rsid w:val="006C69B7"/>
    <w:rsid w:val="006C6B33"/>
    <w:rsid w:val="006C70A7"/>
    <w:rsid w:val="006C7451"/>
    <w:rsid w:val="006C7532"/>
    <w:rsid w:val="006C7B72"/>
    <w:rsid w:val="006C7D69"/>
    <w:rsid w:val="006C7EDA"/>
    <w:rsid w:val="006C7F2E"/>
    <w:rsid w:val="006D08CA"/>
    <w:rsid w:val="006D08ED"/>
    <w:rsid w:val="006D09B4"/>
    <w:rsid w:val="006D0A3D"/>
    <w:rsid w:val="006D0CC9"/>
    <w:rsid w:val="006D11BE"/>
    <w:rsid w:val="006D1382"/>
    <w:rsid w:val="006D145B"/>
    <w:rsid w:val="006D1481"/>
    <w:rsid w:val="006D1950"/>
    <w:rsid w:val="006D19FF"/>
    <w:rsid w:val="006D1DE4"/>
    <w:rsid w:val="006D2244"/>
    <w:rsid w:val="006D2288"/>
    <w:rsid w:val="006D232F"/>
    <w:rsid w:val="006D2379"/>
    <w:rsid w:val="006D265A"/>
    <w:rsid w:val="006D29CA"/>
    <w:rsid w:val="006D2A1D"/>
    <w:rsid w:val="006D2A8D"/>
    <w:rsid w:val="006D2AFD"/>
    <w:rsid w:val="006D2EB8"/>
    <w:rsid w:val="006D31B7"/>
    <w:rsid w:val="006D321B"/>
    <w:rsid w:val="006D38F5"/>
    <w:rsid w:val="006D3B30"/>
    <w:rsid w:val="006D3C0B"/>
    <w:rsid w:val="006D4585"/>
    <w:rsid w:val="006D463A"/>
    <w:rsid w:val="006D46FE"/>
    <w:rsid w:val="006D4CC5"/>
    <w:rsid w:val="006D4E10"/>
    <w:rsid w:val="006D4E35"/>
    <w:rsid w:val="006D4EC5"/>
    <w:rsid w:val="006D4F52"/>
    <w:rsid w:val="006D5007"/>
    <w:rsid w:val="006D529C"/>
    <w:rsid w:val="006D58E2"/>
    <w:rsid w:val="006D59CC"/>
    <w:rsid w:val="006D5C94"/>
    <w:rsid w:val="006D5D70"/>
    <w:rsid w:val="006D5EC3"/>
    <w:rsid w:val="006D60D1"/>
    <w:rsid w:val="006D64D2"/>
    <w:rsid w:val="006D6704"/>
    <w:rsid w:val="006D6A43"/>
    <w:rsid w:val="006D6C19"/>
    <w:rsid w:val="006D6D46"/>
    <w:rsid w:val="006D7005"/>
    <w:rsid w:val="006D70A9"/>
    <w:rsid w:val="006D72A0"/>
    <w:rsid w:val="006D73FC"/>
    <w:rsid w:val="006D7715"/>
    <w:rsid w:val="006D776C"/>
    <w:rsid w:val="006D7903"/>
    <w:rsid w:val="006D7A66"/>
    <w:rsid w:val="006D7B6B"/>
    <w:rsid w:val="006D7B97"/>
    <w:rsid w:val="006D7CA3"/>
    <w:rsid w:val="006D7D38"/>
    <w:rsid w:val="006D7F5E"/>
    <w:rsid w:val="006E0070"/>
    <w:rsid w:val="006E0128"/>
    <w:rsid w:val="006E019F"/>
    <w:rsid w:val="006E06F0"/>
    <w:rsid w:val="006E0ABF"/>
    <w:rsid w:val="006E0CE9"/>
    <w:rsid w:val="006E0D43"/>
    <w:rsid w:val="006E0E06"/>
    <w:rsid w:val="006E0F06"/>
    <w:rsid w:val="006E0FCF"/>
    <w:rsid w:val="006E1101"/>
    <w:rsid w:val="006E1256"/>
    <w:rsid w:val="006E159D"/>
    <w:rsid w:val="006E15B4"/>
    <w:rsid w:val="006E15E1"/>
    <w:rsid w:val="006E160F"/>
    <w:rsid w:val="006E1650"/>
    <w:rsid w:val="006E1F9B"/>
    <w:rsid w:val="006E20B2"/>
    <w:rsid w:val="006E20C3"/>
    <w:rsid w:val="006E2816"/>
    <w:rsid w:val="006E2A17"/>
    <w:rsid w:val="006E2C0F"/>
    <w:rsid w:val="006E2D26"/>
    <w:rsid w:val="006E2DA1"/>
    <w:rsid w:val="006E2EF6"/>
    <w:rsid w:val="006E2F2C"/>
    <w:rsid w:val="006E3504"/>
    <w:rsid w:val="006E3838"/>
    <w:rsid w:val="006E3C10"/>
    <w:rsid w:val="006E3C40"/>
    <w:rsid w:val="006E3E3E"/>
    <w:rsid w:val="006E3F0C"/>
    <w:rsid w:val="006E42E6"/>
    <w:rsid w:val="006E44B6"/>
    <w:rsid w:val="006E468C"/>
    <w:rsid w:val="006E491D"/>
    <w:rsid w:val="006E4ECB"/>
    <w:rsid w:val="006E54BF"/>
    <w:rsid w:val="006E55CA"/>
    <w:rsid w:val="006E5638"/>
    <w:rsid w:val="006E5832"/>
    <w:rsid w:val="006E5EE7"/>
    <w:rsid w:val="006E5F26"/>
    <w:rsid w:val="006E5F8D"/>
    <w:rsid w:val="006E62E0"/>
    <w:rsid w:val="006E6A57"/>
    <w:rsid w:val="006E7699"/>
    <w:rsid w:val="006E78E2"/>
    <w:rsid w:val="006F0842"/>
    <w:rsid w:val="006F103D"/>
    <w:rsid w:val="006F150B"/>
    <w:rsid w:val="006F17F3"/>
    <w:rsid w:val="006F1B0D"/>
    <w:rsid w:val="006F1B77"/>
    <w:rsid w:val="006F1FE6"/>
    <w:rsid w:val="006F20E3"/>
    <w:rsid w:val="006F21BB"/>
    <w:rsid w:val="006F221C"/>
    <w:rsid w:val="006F23F2"/>
    <w:rsid w:val="006F2622"/>
    <w:rsid w:val="006F2679"/>
    <w:rsid w:val="006F27AC"/>
    <w:rsid w:val="006F28EE"/>
    <w:rsid w:val="006F2A0D"/>
    <w:rsid w:val="006F2AC1"/>
    <w:rsid w:val="006F2E83"/>
    <w:rsid w:val="006F2FB6"/>
    <w:rsid w:val="006F32B9"/>
    <w:rsid w:val="006F349A"/>
    <w:rsid w:val="006F35AB"/>
    <w:rsid w:val="006F3605"/>
    <w:rsid w:val="006F36D7"/>
    <w:rsid w:val="006F3949"/>
    <w:rsid w:val="006F3E5C"/>
    <w:rsid w:val="006F4049"/>
    <w:rsid w:val="006F4093"/>
    <w:rsid w:val="006F4112"/>
    <w:rsid w:val="006F45A7"/>
    <w:rsid w:val="006F47B1"/>
    <w:rsid w:val="006F4BE8"/>
    <w:rsid w:val="006F4BFA"/>
    <w:rsid w:val="006F4C76"/>
    <w:rsid w:val="006F4FB5"/>
    <w:rsid w:val="006F5630"/>
    <w:rsid w:val="006F5836"/>
    <w:rsid w:val="006F6032"/>
    <w:rsid w:val="006F613F"/>
    <w:rsid w:val="006F6273"/>
    <w:rsid w:val="006F627D"/>
    <w:rsid w:val="006F6784"/>
    <w:rsid w:val="006F6BB8"/>
    <w:rsid w:val="006F6E1E"/>
    <w:rsid w:val="006F7018"/>
    <w:rsid w:val="006F73D5"/>
    <w:rsid w:val="006F740E"/>
    <w:rsid w:val="006F750D"/>
    <w:rsid w:val="006F762D"/>
    <w:rsid w:val="0070000A"/>
    <w:rsid w:val="00700429"/>
    <w:rsid w:val="007008FC"/>
    <w:rsid w:val="007013C6"/>
    <w:rsid w:val="00701525"/>
    <w:rsid w:val="0070157D"/>
    <w:rsid w:val="00701663"/>
    <w:rsid w:val="00701846"/>
    <w:rsid w:val="00701984"/>
    <w:rsid w:val="00701B88"/>
    <w:rsid w:val="00701CB8"/>
    <w:rsid w:val="00701E47"/>
    <w:rsid w:val="00702095"/>
    <w:rsid w:val="007027E6"/>
    <w:rsid w:val="00702B8D"/>
    <w:rsid w:val="00702C3C"/>
    <w:rsid w:val="00702DAC"/>
    <w:rsid w:val="0070352B"/>
    <w:rsid w:val="0070399D"/>
    <w:rsid w:val="00703A44"/>
    <w:rsid w:val="00703B59"/>
    <w:rsid w:val="00703BD7"/>
    <w:rsid w:val="0070434D"/>
    <w:rsid w:val="007045EB"/>
    <w:rsid w:val="00704650"/>
    <w:rsid w:val="0070474A"/>
    <w:rsid w:val="00704800"/>
    <w:rsid w:val="0070494F"/>
    <w:rsid w:val="00704A18"/>
    <w:rsid w:val="00704B2A"/>
    <w:rsid w:val="00704B81"/>
    <w:rsid w:val="00704D58"/>
    <w:rsid w:val="00704E54"/>
    <w:rsid w:val="007053A3"/>
    <w:rsid w:val="007054BF"/>
    <w:rsid w:val="0070554D"/>
    <w:rsid w:val="00705581"/>
    <w:rsid w:val="007057D4"/>
    <w:rsid w:val="00705951"/>
    <w:rsid w:val="00705B94"/>
    <w:rsid w:val="00705BBF"/>
    <w:rsid w:val="00705F68"/>
    <w:rsid w:val="00705F80"/>
    <w:rsid w:val="007060D5"/>
    <w:rsid w:val="0070634E"/>
    <w:rsid w:val="00706395"/>
    <w:rsid w:val="007068DE"/>
    <w:rsid w:val="0070690F"/>
    <w:rsid w:val="00706D36"/>
    <w:rsid w:val="0070714E"/>
    <w:rsid w:val="007071B3"/>
    <w:rsid w:val="007073A6"/>
    <w:rsid w:val="0070787E"/>
    <w:rsid w:val="00707E57"/>
    <w:rsid w:val="00707F49"/>
    <w:rsid w:val="00710052"/>
    <w:rsid w:val="007103B5"/>
    <w:rsid w:val="0071061C"/>
    <w:rsid w:val="0071070D"/>
    <w:rsid w:val="007108B4"/>
    <w:rsid w:val="00710C08"/>
    <w:rsid w:val="007112A7"/>
    <w:rsid w:val="00711BC3"/>
    <w:rsid w:val="007121D5"/>
    <w:rsid w:val="00712432"/>
    <w:rsid w:val="007124BF"/>
    <w:rsid w:val="007126E6"/>
    <w:rsid w:val="0071297C"/>
    <w:rsid w:val="007129FB"/>
    <w:rsid w:val="0071343B"/>
    <w:rsid w:val="007139E0"/>
    <w:rsid w:val="00713C50"/>
    <w:rsid w:val="00713EF5"/>
    <w:rsid w:val="007142E5"/>
    <w:rsid w:val="0071441A"/>
    <w:rsid w:val="0071447A"/>
    <w:rsid w:val="00714550"/>
    <w:rsid w:val="007145F3"/>
    <w:rsid w:val="007146AA"/>
    <w:rsid w:val="007148E4"/>
    <w:rsid w:val="00714C6B"/>
    <w:rsid w:val="00714F8E"/>
    <w:rsid w:val="0071504D"/>
    <w:rsid w:val="00715388"/>
    <w:rsid w:val="0071573C"/>
    <w:rsid w:val="007158B1"/>
    <w:rsid w:val="00715BDB"/>
    <w:rsid w:val="00715C1F"/>
    <w:rsid w:val="00715CFA"/>
    <w:rsid w:val="00715F5F"/>
    <w:rsid w:val="0071646F"/>
    <w:rsid w:val="007167AA"/>
    <w:rsid w:val="007167CB"/>
    <w:rsid w:val="00716957"/>
    <w:rsid w:val="00716D93"/>
    <w:rsid w:val="00717059"/>
    <w:rsid w:val="007174F0"/>
    <w:rsid w:val="007178CE"/>
    <w:rsid w:val="0071F159"/>
    <w:rsid w:val="0072035C"/>
    <w:rsid w:val="00720839"/>
    <w:rsid w:val="007213BB"/>
    <w:rsid w:val="007216B6"/>
    <w:rsid w:val="007216DA"/>
    <w:rsid w:val="0072185F"/>
    <w:rsid w:val="00721919"/>
    <w:rsid w:val="00721B82"/>
    <w:rsid w:val="00721E26"/>
    <w:rsid w:val="00722088"/>
    <w:rsid w:val="0072220D"/>
    <w:rsid w:val="007223A8"/>
    <w:rsid w:val="00722608"/>
    <w:rsid w:val="007228B4"/>
    <w:rsid w:val="00722A3D"/>
    <w:rsid w:val="00722DAD"/>
    <w:rsid w:val="00723013"/>
    <w:rsid w:val="0072371A"/>
    <w:rsid w:val="007241AF"/>
    <w:rsid w:val="00724702"/>
    <w:rsid w:val="007247DD"/>
    <w:rsid w:val="0072485B"/>
    <w:rsid w:val="00724A77"/>
    <w:rsid w:val="00724D8A"/>
    <w:rsid w:val="00724EDF"/>
    <w:rsid w:val="00725088"/>
    <w:rsid w:val="007258F6"/>
    <w:rsid w:val="00725A74"/>
    <w:rsid w:val="00725CCE"/>
    <w:rsid w:val="00725CCF"/>
    <w:rsid w:val="007261AC"/>
    <w:rsid w:val="007262AC"/>
    <w:rsid w:val="00726397"/>
    <w:rsid w:val="00726444"/>
    <w:rsid w:val="00726513"/>
    <w:rsid w:val="0072651B"/>
    <w:rsid w:val="00726762"/>
    <w:rsid w:val="007267C6"/>
    <w:rsid w:val="007269BE"/>
    <w:rsid w:val="00726CD5"/>
    <w:rsid w:val="00726D2D"/>
    <w:rsid w:val="00726D32"/>
    <w:rsid w:val="00727373"/>
    <w:rsid w:val="0072758F"/>
    <w:rsid w:val="00727686"/>
    <w:rsid w:val="00727F9B"/>
    <w:rsid w:val="00730298"/>
    <w:rsid w:val="00730DF8"/>
    <w:rsid w:val="007314EF"/>
    <w:rsid w:val="007316D7"/>
    <w:rsid w:val="00731807"/>
    <w:rsid w:val="00731B02"/>
    <w:rsid w:val="00731FFD"/>
    <w:rsid w:val="00732068"/>
    <w:rsid w:val="00732289"/>
    <w:rsid w:val="007325D5"/>
    <w:rsid w:val="00732E2D"/>
    <w:rsid w:val="007330BD"/>
    <w:rsid w:val="00733621"/>
    <w:rsid w:val="007338C3"/>
    <w:rsid w:val="007343A9"/>
    <w:rsid w:val="00734615"/>
    <w:rsid w:val="00735188"/>
    <w:rsid w:val="0073544B"/>
    <w:rsid w:val="007355D5"/>
    <w:rsid w:val="0073591C"/>
    <w:rsid w:val="00735D50"/>
    <w:rsid w:val="00735E19"/>
    <w:rsid w:val="00735ECC"/>
    <w:rsid w:val="00735FF5"/>
    <w:rsid w:val="007363A2"/>
    <w:rsid w:val="0073672A"/>
    <w:rsid w:val="007368EE"/>
    <w:rsid w:val="00736E60"/>
    <w:rsid w:val="00736E6F"/>
    <w:rsid w:val="00736F81"/>
    <w:rsid w:val="00737303"/>
    <w:rsid w:val="0073731A"/>
    <w:rsid w:val="0073763E"/>
    <w:rsid w:val="00737809"/>
    <w:rsid w:val="007378D2"/>
    <w:rsid w:val="007378D3"/>
    <w:rsid w:val="00737901"/>
    <w:rsid w:val="007379CC"/>
    <w:rsid w:val="00737B5E"/>
    <w:rsid w:val="00740089"/>
    <w:rsid w:val="00740150"/>
    <w:rsid w:val="007404EB"/>
    <w:rsid w:val="00740752"/>
    <w:rsid w:val="007409AC"/>
    <w:rsid w:val="00740B38"/>
    <w:rsid w:val="007411D6"/>
    <w:rsid w:val="00741670"/>
    <w:rsid w:val="007420A2"/>
    <w:rsid w:val="0074213D"/>
    <w:rsid w:val="0074224B"/>
    <w:rsid w:val="007425D6"/>
    <w:rsid w:val="00742612"/>
    <w:rsid w:val="00742623"/>
    <w:rsid w:val="007427E3"/>
    <w:rsid w:val="00742806"/>
    <w:rsid w:val="00742BF5"/>
    <w:rsid w:val="00742D9A"/>
    <w:rsid w:val="007434C3"/>
    <w:rsid w:val="007434DA"/>
    <w:rsid w:val="007436C4"/>
    <w:rsid w:val="00743A22"/>
    <w:rsid w:val="00743BB8"/>
    <w:rsid w:val="00743E4C"/>
    <w:rsid w:val="00744245"/>
    <w:rsid w:val="007442FB"/>
    <w:rsid w:val="007443C7"/>
    <w:rsid w:val="007445E5"/>
    <w:rsid w:val="00744C20"/>
    <w:rsid w:val="00744F0E"/>
    <w:rsid w:val="00744F4C"/>
    <w:rsid w:val="007452A0"/>
    <w:rsid w:val="007453D4"/>
    <w:rsid w:val="00745D59"/>
    <w:rsid w:val="00745EC7"/>
    <w:rsid w:val="00745F08"/>
    <w:rsid w:val="00745FCA"/>
    <w:rsid w:val="00746E2E"/>
    <w:rsid w:val="007475C1"/>
    <w:rsid w:val="00747691"/>
    <w:rsid w:val="007477F2"/>
    <w:rsid w:val="00747943"/>
    <w:rsid w:val="00747C9A"/>
    <w:rsid w:val="007502AF"/>
    <w:rsid w:val="0075038F"/>
    <w:rsid w:val="00750545"/>
    <w:rsid w:val="007505E7"/>
    <w:rsid w:val="0075062E"/>
    <w:rsid w:val="00750D97"/>
    <w:rsid w:val="007510EA"/>
    <w:rsid w:val="00751121"/>
    <w:rsid w:val="00751154"/>
    <w:rsid w:val="007515C9"/>
    <w:rsid w:val="0075243A"/>
    <w:rsid w:val="00752AD0"/>
    <w:rsid w:val="00752BD5"/>
    <w:rsid w:val="00752DB0"/>
    <w:rsid w:val="00752E00"/>
    <w:rsid w:val="0075303F"/>
    <w:rsid w:val="00753090"/>
    <w:rsid w:val="007534D4"/>
    <w:rsid w:val="00753D50"/>
    <w:rsid w:val="00753F97"/>
    <w:rsid w:val="00754015"/>
    <w:rsid w:val="0075436C"/>
    <w:rsid w:val="007543BA"/>
    <w:rsid w:val="00754AEF"/>
    <w:rsid w:val="00754FCF"/>
    <w:rsid w:val="007550D0"/>
    <w:rsid w:val="00755187"/>
    <w:rsid w:val="0075573F"/>
    <w:rsid w:val="00755C6C"/>
    <w:rsid w:val="00755C90"/>
    <w:rsid w:val="00755CAC"/>
    <w:rsid w:val="00755DE4"/>
    <w:rsid w:val="00756008"/>
    <w:rsid w:val="007560CD"/>
    <w:rsid w:val="007564AA"/>
    <w:rsid w:val="007564B9"/>
    <w:rsid w:val="007566EE"/>
    <w:rsid w:val="007566EF"/>
    <w:rsid w:val="00756861"/>
    <w:rsid w:val="007569F5"/>
    <w:rsid w:val="00756D99"/>
    <w:rsid w:val="00756EF2"/>
    <w:rsid w:val="00756F20"/>
    <w:rsid w:val="0075710D"/>
    <w:rsid w:val="0075748E"/>
    <w:rsid w:val="00757561"/>
    <w:rsid w:val="007577FB"/>
    <w:rsid w:val="00757899"/>
    <w:rsid w:val="00757959"/>
    <w:rsid w:val="007579E6"/>
    <w:rsid w:val="007579EF"/>
    <w:rsid w:val="00757EFF"/>
    <w:rsid w:val="007600AF"/>
    <w:rsid w:val="00760772"/>
    <w:rsid w:val="00760AFB"/>
    <w:rsid w:val="00760DAF"/>
    <w:rsid w:val="00760DDE"/>
    <w:rsid w:val="00760E59"/>
    <w:rsid w:val="00760FC6"/>
    <w:rsid w:val="00761045"/>
    <w:rsid w:val="007612A5"/>
    <w:rsid w:val="00761717"/>
    <w:rsid w:val="00761974"/>
    <w:rsid w:val="00761A9A"/>
    <w:rsid w:val="00761D4B"/>
    <w:rsid w:val="00761EED"/>
    <w:rsid w:val="00761FDB"/>
    <w:rsid w:val="007620AE"/>
    <w:rsid w:val="00762555"/>
    <w:rsid w:val="007631D2"/>
    <w:rsid w:val="00763299"/>
    <w:rsid w:val="0076362D"/>
    <w:rsid w:val="00763D5E"/>
    <w:rsid w:val="00763F6B"/>
    <w:rsid w:val="007644C6"/>
    <w:rsid w:val="00764B3B"/>
    <w:rsid w:val="00764E67"/>
    <w:rsid w:val="00764EBB"/>
    <w:rsid w:val="0076553C"/>
    <w:rsid w:val="00765794"/>
    <w:rsid w:val="00765AC3"/>
    <w:rsid w:val="00765AE2"/>
    <w:rsid w:val="00765D7D"/>
    <w:rsid w:val="00766036"/>
    <w:rsid w:val="00766110"/>
    <w:rsid w:val="00766817"/>
    <w:rsid w:val="00766950"/>
    <w:rsid w:val="007669DB"/>
    <w:rsid w:val="00766A27"/>
    <w:rsid w:val="00766DA0"/>
    <w:rsid w:val="00766E07"/>
    <w:rsid w:val="00767A3C"/>
    <w:rsid w:val="00770539"/>
    <w:rsid w:val="0077058C"/>
    <w:rsid w:val="00770D28"/>
    <w:rsid w:val="00770F06"/>
    <w:rsid w:val="00770F3B"/>
    <w:rsid w:val="00771176"/>
    <w:rsid w:val="00771702"/>
    <w:rsid w:val="0077176B"/>
    <w:rsid w:val="00771BF0"/>
    <w:rsid w:val="00771D90"/>
    <w:rsid w:val="00771FFC"/>
    <w:rsid w:val="007722A7"/>
    <w:rsid w:val="00772715"/>
    <w:rsid w:val="00772744"/>
    <w:rsid w:val="0077281A"/>
    <w:rsid w:val="00772896"/>
    <w:rsid w:val="007729AD"/>
    <w:rsid w:val="00772F5F"/>
    <w:rsid w:val="00773168"/>
    <w:rsid w:val="00773654"/>
    <w:rsid w:val="00773830"/>
    <w:rsid w:val="00773A6B"/>
    <w:rsid w:val="00773AD8"/>
    <w:rsid w:val="00773C78"/>
    <w:rsid w:val="0077405B"/>
    <w:rsid w:val="007745F5"/>
    <w:rsid w:val="0077496E"/>
    <w:rsid w:val="007749A5"/>
    <w:rsid w:val="00774ABC"/>
    <w:rsid w:val="00774ED1"/>
    <w:rsid w:val="00774F83"/>
    <w:rsid w:val="00775046"/>
    <w:rsid w:val="0077527F"/>
    <w:rsid w:val="00775322"/>
    <w:rsid w:val="0077536C"/>
    <w:rsid w:val="00775815"/>
    <w:rsid w:val="0077598F"/>
    <w:rsid w:val="00775CF7"/>
    <w:rsid w:val="00775D18"/>
    <w:rsid w:val="00775DDC"/>
    <w:rsid w:val="00775E5D"/>
    <w:rsid w:val="00775EA7"/>
    <w:rsid w:val="00776257"/>
    <w:rsid w:val="00776A49"/>
    <w:rsid w:val="00776BCF"/>
    <w:rsid w:val="00776C25"/>
    <w:rsid w:val="00776DAC"/>
    <w:rsid w:val="00776FDC"/>
    <w:rsid w:val="00777072"/>
    <w:rsid w:val="007771F5"/>
    <w:rsid w:val="007775E2"/>
    <w:rsid w:val="00777787"/>
    <w:rsid w:val="007778A2"/>
    <w:rsid w:val="00777A79"/>
    <w:rsid w:val="00780217"/>
    <w:rsid w:val="00780960"/>
    <w:rsid w:val="00780D1C"/>
    <w:rsid w:val="00780E08"/>
    <w:rsid w:val="0078103B"/>
    <w:rsid w:val="0078109E"/>
    <w:rsid w:val="00781767"/>
    <w:rsid w:val="007817F9"/>
    <w:rsid w:val="00781F85"/>
    <w:rsid w:val="0078239A"/>
    <w:rsid w:val="00782538"/>
    <w:rsid w:val="007826C5"/>
    <w:rsid w:val="00782709"/>
    <w:rsid w:val="007828DD"/>
    <w:rsid w:val="00782A5E"/>
    <w:rsid w:val="00782A6A"/>
    <w:rsid w:val="00782C09"/>
    <w:rsid w:val="00782FAB"/>
    <w:rsid w:val="00783218"/>
    <w:rsid w:val="0078323E"/>
    <w:rsid w:val="007833DE"/>
    <w:rsid w:val="00783555"/>
    <w:rsid w:val="00783E89"/>
    <w:rsid w:val="00783FAB"/>
    <w:rsid w:val="00784E6F"/>
    <w:rsid w:val="0078521E"/>
    <w:rsid w:val="007853C3"/>
    <w:rsid w:val="00785657"/>
    <w:rsid w:val="00785896"/>
    <w:rsid w:val="0078592D"/>
    <w:rsid w:val="00785B13"/>
    <w:rsid w:val="00785D8B"/>
    <w:rsid w:val="00786283"/>
    <w:rsid w:val="0078643F"/>
    <w:rsid w:val="0078680B"/>
    <w:rsid w:val="0078760F"/>
    <w:rsid w:val="00787839"/>
    <w:rsid w:val="007878A5"/>
    <w:rsid w:val="00787B06"/>
    <w:rsid w:val="00787CEB"/>
    <w:rsid w:val="007901F8"/>
    <w:rsid w:val="00790487"/>
    <w:rsid w:val="007907B4"/>
    <w:rsid w:val="00790ACB"/>
    <w:rsid w:val="00791237"/>
    <w:rsid w:val="00791AAC"/>
    <w:rsid w:val="00791CC7"/>
    <w:rsid w:val="00791FBE"/>
    <w:rsid w:val="00792344"/>
    <w:rsid w:val="0079263D"/>
    <w:rsid w:val="007926FE"/>
    <w:rsid w:val="0079274F"/>
    <w:rsid w:val="0079295B"/>
    <w:rsid w:val="00792F99"/>
    <w:rsid w:val="007933A2"/>
    <w:rsid w:val="00793615"/>
    <w:rsid w:val="00793757"/>
    <w:rsid w:val="007937A0"/>
    <w:rsid w:val="00793AF7"/>
    <w:rsid w:val="00793C9A"/>
    <w:rsid w:val="00793D08"/>
    <w:rsid w:val="00793E41"/>
    <w:rsid w:val="00793EE4"/>
    <w:rsid w:val="00793F95"/>
    <w:rsid w:val="0079405C"/>
    <w:rsid w:val="00794252"/>
    <w:rsid w:val="00794464"/>
    <w:rsid w:val="007944AC"/>
    <w:rsid w:val="0079457D"/>
    <w:rsid w:val="00794C1C"/>
    <w:rsid w:val="00794C57"/>
    <w:rsid w:val="00794D33"/>
    <w:rsid w:val="00794D38"/>
    <w:rsid w:val="00794D3C"/>
    <w:rsid w:val="00794FA6"/>
    <w:rsid w:val="00795069"/>
    <w:rsid w:val="00795361"/>
    <w:rsid w:val="0079575F"/>
    <w:rsid w:val="00795969"/>
    <w:rsid w:val="00795AA0"/>
    <w:rsid w:val="00795B0A"/>
    <w:rsid w:val="00795FE8"/>
    <w:rsid w:val="0079610C"/>
    <w:rsid w:val="0079622F"/>
    <w:rsid w:val="007962A4"/>
    <w:rsid w:val="0079647F"/>
    <w:rsid w:val="00796855"/>
    <w:rsid w:val="00796A36"/>
    <w:rsid w:val="00796C39"/>
    <w:rsid w:val="00796D1D"/>
    <w:rsid w:val="007971EF"/>
    <w:rsid w:val="007973B9"/>
    <w:rsid w:val="00797622"/>
    <w:rsid w:val="007A000C"/>
    <w:rsid w:val="007A032F"/>
    <w:rsid w:val="007A05CA"/>
    <w:rsid w:val="007A0DA9"/>
    <w:rsid w:val="007A0E12"/>
    <w:rsid w:val="007A1218"/>
    <w:rsid w:val="007A12D0"/>
    <w:rsid w:val="007A164D"/>
    <w:rsid w:val="007A1728"/>
    <w:rsid w:val="007A1883"/>
    <w:rsid w:val="007A18BC"/>
    <w:rsid w:val="007A1943"/>
    <w:rsid w:val="007A1979"/>
    <w:rsid w:val="007A1A16"/>
    <w:rsid w:val="007A1BD4"/>
    <w:rsid w:val="007A1C63"/>
    <w:rsid w:val="007A1C78"/>
    <w:rsid w:val="007A1C81"/>
    <w:rsid w:val="007A1D29"/>
    <w:rsid w:val="007A1F80"/>
    <w:rsid w:val="007A20BD"/>
    <w:rsid w:val="007A22F5"/>
    <w:rsid w:val="007A2377"/>
    <w:rsid w:val="007A2468"/>
    <w:rsid w:val="007A25E6"/>
    <w:rsid w:val="007A2610"/>
    <w:rsid w:val="007A2882"/>
    <w:rsid w:val="007A31E0"/>
    <w:rsid w:val="007A36B3"/>
    <w:rsid w:val="007A3704"/>
    <w:rsid w:val="007A3D7C"/>
    <w:rsid w:val="007A3DA2"/>
    <w:rsid w:val="007A40D9"/>
    <w:rsid w:val="007A414F"/>
    <w:rsid w:val="007A4159"/>
    <w:rsid w:val="007A47DE"/>
    <w:rsid w:val="007A4A07"/>
    <w:rsid w:val="007A4A0A"/>
    <w:rsid w:val="007A4AEE"/>
    <w:rsid w:val="007A4B21"/>
    <w:rsid w:val="007A4B7B"/>
    <w:rsid w:val="007A4C56"/>
    <w:rsid w:val="007A5022"/>
    <w:rsid w:val="007A5067"/>
    <w:rsid w:val="007A5322"/>
    <w:rsid w:val="007A54A5"/>
    <w:rsid w:val="007A5834"/>
    <w:rsid w:val="007A5949"/>
    <w:rsid w:val="007A5D56"/>
    <w:rsid w:val="007A5DA4"/>
    <w:rsid w:val="007A5FD7"/>
    <w:rsid w:val="007A6208"/>
    <w:rsid w:val="007A629C"/>
    <w:rsid w:val="007A66CF"/>
    <w:rsid w:val="007A66D9"/>
    <w:rsid w:val="007A6A87"/>
    <w:rsid w:val="007A6AF0"/>
    <w:rsid w:val="007A6AF3"/>
    <w:rsid w:val="007A6F8E"/>
    <w:rsid w:val="007A7868"/>
    <w:rsid w:val="007A7C23"/>
    <w:rsid w:val="007A7C6D"/>
    <w:rsid w:val="007A7E74"/>
    <w:rsid w:val="007A7F2F"/>
    <w:rsid w:val="007B0320"/>
    <w:rsid w:val="007B0357"/>
    <w:rsid w:val="007B04C2"/>
    <w:rsid w:val="007B06DA"/>
    <w:rsid w:val="007B075A"/>
    <w:rsid w:val="007B08D2"/>
    <w:rsid w:val="007B0AA4"/>
    <w:rsid w:val="007B0DDF"/>
    <w:rsid w:val="007B0ECA"/>
    <w:rsid w:val="007B0ED9"/>
    <w:rsid w:val="007B10ED"/>
    <w:rsid w:val="007B1675"/>
    <w:rsid w:val="007B1D88"/>
    <w:rsid w:val="007B1F5C"/>
    <w:rsid w:val="007B209D"/>
    <w:rsid w:val="007B22AE"/>
    <w:rsid w:val="007B22EC"/>
    <w:rsid w:val="007B28F7"/>
    <w:rsid w:val="007B2B3E"/>
    <w:rsid w:val="007B33F3"/>
    <w:rsid w:val="007B3B86"/>
    <w:rsid w:val="007B44CD"/>
    <w:rsid w:val="007B4836"/>
    <w:rsid w:val="007B48BF"/>
    <w:rsid w:val="007B4A09"/>
    <w:rsid w:val="007B51D9"/>
    <w:rsid w:val="007B531A"/>
    <w:rsid w:val="007B5695"/>
    <w:rsid w:val="007B56E3"/>
    <w:rsid w:val="007B5C05"/>
    <w:rsid w:val="007B5DA2"/>
    <w:rsid w:val="007B5DFC"/>
    <w:rsid w:val="007B5EDC"/>
    <w:rsid w:val="007B60FE"/>
    <w:rsid w:val="007B642A"/>
    <w:rsid w:val="007B68B6"/>
    <w:rsid w:val="007B69D4"/>
    <w:rsid w:val="007B6A3B"/>
    <w:rsid w:val="007B6A3E"/>
    <w:rsid w:val="007B6C7F"/>
    <w:rsid w:val="007B6FD6"/>
    <w:rsid w:val="007B707D"/>
    <w:rsid w:val="007B70C4"/>
    <w:rsid w:val="007B758B"/>
    <w:rsid w:val="007B75CB"/>
    <w:rsid w:val="007B76CD"/>
    <w:rsid w:val="007B7770"/>
    <w:rsid w:val="007B7EA1"/>
    <w:rsid w:val="007C00A4"/>
    <w:rsid w:val="007C00D5"/>
    <w:rsid w:val="007C02EF"/>
    <w:rsid w:val="007C042B"/>
    <w:rsid w:val="007C053E"/>
    <w:rsid w:val="007C0648"/>
    <w:rsid w:val="007C0745"/>
    <w:rsid w:val="007C0A35"/>
    <w:rsid w:val="007C0DCF"/>
    <w:rsid w:val="007C0EDE"/>
    <w:rsid w:val="007C0EE9"/>
    <w:rsid w:val="007C1161"/>
    <w:rsid w:val="007C1295"/>
    <w:rsid w:val="007C145A"/>
    <w:rsid w:val="007C180D"/>
    <w:rsid w:val="007C1A37"/>
    <w:rsid w:val="007C1A38"/>
    <w:rsid w:val="007C1B94"/>
    <w:rsid w:val="007C1C62"/>
    <w:rsid w:val="007C1F08"/>
    <w:rsid w:val="007C222F"/>
    <w:rsid w:val="007C2496"/>
    <w:rsid w:val="007C250A"/>
    <w:rsid w:val="007C2651"/>
    <w:rsid w:val="007C2734"/>
    <w:rsid w:val="007C28C8"/>
    <w:rsid w:val="007C2DC7"/>
    <w:rsid w:val="007C2F57"/>
    <w:rsid w:val="007C3A25"/>
    <w:rsid w:val="007C3AD8"/>
    <w:rsid w:val="007C407A"/>
    <w:rsid w:val="007C44F1"/>
    <w:rsid w:val="007C48B0"/>
    <w:rsid w:val="007C4A6D"/>
    <w:rsid w:val="007C5020"/>
    <w:rsid w:val="007C508E"/>
    <w:rsid w:val="007C5102"/>
    <w:rsid w:val="007C538C"/>
    <w:rsid w:val="007C589D"/>
    <w:rsid w:val="007C5BF0"/>
    <w:rsid w:val="007C5C69"/>
    <w:rsid w:val="007C5C74"/>
    <w:rsid w:val="007C5DC9"/>
    <w:rsid w:val="007C5DE5"/>
    <w:rsid w:val="007C61A6"/>
    <w:rsid w:val="007C6407"/>
    <w:rsid w:val="007C659C"/>
    <w:rsid w:val="007C6611"/>
    <w:rsid w:val="007C67E0"/>
    <w:rsid w:val="007C688F"/>
    <w:rsid w:val="007C6912"/>
    <w:rsid w:val="007C6F50"/>
    <w:rsid w:val="007C6F90"/>
    <w:rsid w:val="007C760F"/>
    <w:rsid w:val="007C797E"/>
    <w:rsid w:val="007C79FE"/>
    <w:rsid w:val="007C7DDA"/>
    <w:rsid w:val="007D01AA"/>
    <w:rsid w:val="007D02D2"/>
    <w:rsid w:val="007D0768"/>
    <w:rsid w:val="007D0E56"/>
    <w:rsid w:val="007D11FC"/>
    <w:rsid w:val="007D12B2"/>
    <w:rsid w:val="007D1584"/>
    <w:rsid w:val="007D191D"/>
    <w:rsid w:val="007D1943"/>
    <w:rsid w:val="007D1BAB"/>
    <w:rsid w:val="007D1C1D"/>
    <w:rsid w:val="007D1E8C"/>
    <w:rsid w:val="007D1EDA"/>
    <w:rsid w:val="007D1F16"/>
    <w:rsid w:val="007D2111"/>
    <w:rsid w:val="007D2153"/>
    <w:rsid w:val="007D23AE"/>
    <w:rsid w:val="007D2483"/>
    <w:rsid w:val="007D2609"/>
    <w:rsid w:val="007D2858"/>
    <w:rsid w:val="007D285B"/>
    <w:rsid w:val="007D345A"/>
    <w:rsid w:val="007D3491"/>
    <w:rsid w:val="007D351E"/>
    <w:rsid w:val="007D3952"/>
    <w:rsid w:val="007D3A14"/>
    <w:rsid w:val="007D3C2C"/>
    <w:rsid w:val="007D3F19"/>
    <w:rsid w:val="007D4009"/>
    <w:rsid w:val="007D4092"/>
    <w:rsid w:val="007D4265"/>
    <w:rsid w:val="007D482A"/>
    <w:rsid w:val="007D4E08"/>
    <w:rsid w:val="007D4E6B"/>
    <w:rsid w:val="007D50AE"/>
    <w:rsid w:val="007D5349"/>
    <w:rsid w:val="007D56A3"/>
    <w:rsid w:val="007D58D8"/>
    <w:rsid w:val="007D597A"/>
    <w:rsid w:val="007D5AB8"/>
    <w:rsid w:val="007D5E57"/>
    <w:rsid w:val="007D5EC6"/>
    <w:rsid w:val="007D70D7"/>
    <w:rsid w:val="007D732C"/>
    <w:rsid w:val="007D7922"/>
    <w:rsid w:val="007D7A9F"/>
    <w:rsid w:val="007D7AA3"/>
    <w:rsid w:val="007D7BDA"/>
    <w:rsid w:val="007D7EE7"/>
    <w:rsid w:val="007E00A8"/>
    <w:rsid w:val="007E025E"/>
    <w:rsid w:val="007E03AB"/>
    <w:rsid w:val="007E04AB"/>
    <w:rsid w:val="007E0842"/>
    <w:rsid w:val="007E0936"/>
    <w:rsid w:val="007E0AF8"/>
    <w:rsid w:val="007E0C56"/>
    <w:rsid w:val="007E0DCB"/>
    <w:rsid w:val="007E112E"/>
    <w:rsid w:val="007E15C4"/>
    <w:rsid w:val="007E16D6"/>
    <w:rsid w:val="007E1C0E"/>
    <w:rsid w:val="007E1CEB"/>
    <w:rsid w:val="007E211B"/>
    <w:rsid w:val="007E2197"/>
    <w:rsid w:val="007E2250"/>
    <w:rsid w:val="007E2408"/>
    <w:rsid w:val="007E2E98"/>
    <w:rsid w:val="007E2FF8"/>
    <w:rsid w:val="007E3069"/>
    <w:rsid w:val="007E30E3"/>
    <w:rsid w:val="007E330D"/>
    <w:rsid w:val="007E3446"/>
    <w:rsid w:val="007E3447"/>
    <w:rsid w:val="007E35B8"/>
    <w:rsid w:val="007E36E5"/>
    <w:rsid w:val="007E378C"/>
    <w:rsid w:val="007E397D"/>
    <w:rsid w:val="007E3ADD"/>
    <w:rsid w:val="007E3B3A"/>
    <w:rsid w:val="007E3B85"/>
    <w:rsid w:val="007E3C4E"/>
    <w:rsid w:val="007E4331"/>
    <w:rsid w:val="007E45B0"/>
    <w:rsid w:val="007E4B93"/>
    <w:rsid w:val="007E4BC7"/>
    <w:rsid w:val="007E4CFF"/>
    <w:rsid w:val="007E4DA5"/>
    <w:rsid w:val="007E4EFA"/>
    <w:rsid w:val="007E579D"/>
    <w:rsid w:val="007E5BBA"/>
    <w:rsid w:val="007E5C84"/>
    <w:rsid w:val="007E5CB7"/>
    <w:rsid w:val="007E627A"/>
    <w:rsid w:val="007E642A"/>
    <w:rsid w:val="007E6454"/>
    <w:rsid w:val="007E6650"/>
    <w:rsid w:val="007E6849"/>
    <w:rsid w:val="007E698F"/>
    <w:rsid w:val="007E6B30"/>
    <w:rsid w:val="007E6CF0"/>
    <w:rsid w:val="007E6E56"/>
    <w:rsid w:val="007E6EC6"/>
    <w:rsid w:val="007E72E8"/>
    <w:rsid w:val="007E7544"/>
    <w:rsid w:val="007E7615"/>
    <w:rsid w:val="007E7673"/>
    <w:rsid w:val="007E76EA"/>
    <w:rsid w:val="007E7C86"/>
    <w:rsid w:val="007F0063"/>
    <w:rsid w:val="007F02D6"/>
    <w:rsid w:val="007F0453"/>
    <w:rsid w:val="007F0477"/>
    <w:rsid w:val="007F055A"/>
    <w:rsid w:val="007F0962"/>
    <w:rsid w:val="007F0AC0"/>
    <w:rsid w:val="007F0CBE"/>
    <w:rsid w:val="007F0EBC"/>
    <w:rsid w:val="007F1204"/>
    <w:rsid w:val="007F159E"/>
    <w:rsid w:val="007F16E3"/>
    <w:rsid w:val="007F17A3"/>
    <w:rsid w:val="007F19C8"/>
    <w:rsid w:val="007F1F20"/>
    <w:rsid w:val="007F2895"/>
    <w:rsid w:val="007F2910"/>
    <w:rsid w:val="007F3078"/>
    <w:rsid w:val="007F33AE"/>
    <w:rsid w:val="007F3834"/>
    <w:rsid w:val="007F3927"/>
    <w:rsid w:val="007F3AD0"/>
    <w:rsid w:val="007F40F7"/>
    <w:rsid w:val="007F4108"/>
    <w:rsid w:val="007F450D"/>
    <w:rsid w:val="007F468E"/>
    <w:rsid w:val="007F4910"/>
    <w:rsid w:val="007F4DAB"/>
    <w:rsid w:val="007F4DC4"/>
    <w:rsid w:val="007F4FA8"/>
    <w:rsid w:val="007F5366"/>
    <w:rsid w:val="007F5499"/>
    <w:rsid w:val="007F563E"/>
    <w:rsid w:val="007F57C1"/>
    <w:rsid w:val="007F5B9D"/>
    <w:rsid w:val="007F5DFA"/>
    <w:rsid w:val="007F6058"/>
    <w:rsid w:val="007F6A9E"/>
    <w:rsid w:val="007F6DD4"/>
    <w:rsid w:val="007F6F4D"/>
    <w:rsid w:val="007F6F98"/>
    <w:rsid w:val="007F7026"/>
    <w:rsid w:val="007F7186"/>
    <w:rsid w:val="007F75F4"/>
    <w:rsid w:val="007F7656"/>
    <w:rsid w:val="007F77BB"/>
    <w:rsid w:val="007F77CB"/>
    <w:rsid w:val="007F7A76"/>
    <w:rsid w:val="007FE61B"/>
    <w:rsid w:val="008001A5"/>
    <w:rsid w:val="00800538"/>
    <w:rsid w:val="008005D8"/>
    <w:rsid w:val="00800636"/>
    <w:rsid w:val="0080068B"/>
    <w:rsid w:val="0080071B"/>
    <w:rsid w:val="00800B52"/>
    <w:rsid w:val="00800ECE"/>
    <w:rsid w:val="00801004"/>
    <w:rsid w:val="00801576"/>
    <w:rsid w:val="00801845"/>
    <w:rsid w:val="00801D88"/>
    <w:rsid w:val="00801E10"/>
    <w:rsid w:val="00801FA5"/>
    <w:rsid w:val="00801FD5"/>
    <w:rsid w:val="0080207A"/>
    <w:rsid w:val="00802257"/>
    <w:rsid w:val="0080233B"/>
    <w:rsid w:val="00802A98"/>
    <w:rsid w:val="00802B57"/>
    <w:rsid w:val="00802CD8"/>
    <w:rsid w:val="00802F4D"/>
    <w:rsid w:val="00803042"/>
    <w:rsid w:val="00803045"/>
    <w:rsid w:val="008030AD"/>
    <w:rsid w:val="0080320F"/>
    <w:rsid w:val="00803447"/>
    <w:rsid w:val="0080350C"/>
    <w:rsid w:val="008035CF"/>
    <w:rsid w:val="008037FC"/>
    <w:rsid w:val="00803B63"/>
    <w:rsid w:val="00803E46"/>
    <w:rsid w:val="008040D8"/>
    <w:rsid w:val="00804289"/>
    <w:rsid w:val="00804A45"/>
    <w:rsid w:val="00804DA6"/>
    <w:rsid w:val="00804F19"/>
    <w:rsid w:val="00805186"/>
    <w:rsid w:val="008053A0"/>
    <w:rsid w:val="008053E6"/>
    <w:rsid w:val="00805608"/>
    <w:rsid w:val="0080584E"/>
    <w:rsid w:val="00805B53"/>
    <w:rsid w:val="00805DC2"/>
    <w:rsid w:val="00805FEB"/>
    <w:rsid w:val="00806197"/>
    <w:rsid w:val="00806218"/>
    <w:rsid w:val="008065B7"/>
    <w:rsid w:val="008066D3"/>
    <w:rsid w:val="00806802"/>
    <w:rsid w:val="00806AF1"/>
    <w:rsid w:val="00807BC6"/>
    <w:rsid w:val="00807E31"/>
    <w:rsid w:val="0081074A"/>
    <w:rsid w:val="00810C8E"/>
    <w:rsid w:val="00810D96"/>
    <w:rsid w:val="008114C6"/>
    <w:rsid w:val="008116E7"/>
    <w:rsid w:val="00811A92"/>
    <w:rsid w:val="00811B0F"/>
    <w:rsid w:val="00811B47"/>
    <w:rsid w:val="00811D20"/>
    <w:rsid w:val="00811E34"/>
    <w:rsid w:val="00811EF1"/>
    <w:rsid w:val="00812073"/>
    <w:rsid w:val="008126E5"/>
    <w:rsid w:val="008128CA"/>
    <w:rsid w:val="00812B00"/>
    <w:rsid w:val="00812C37"/>
    <w:rsid w:val="00812C65"/>
    <w:rsid w:val="00812DA1"/>
    <w:rsid w:val="00812FA3"/>
    <w:rsid w:val="0081331F"/>
    <w:rsid w:val="008134D5"/>
    <w:rsid w:val="008135A9"/>
    <w:rsid w:val="00813A38"/>
    <w:rsid w:val="00813B52"/>
    <w:rsid w:val="00813C4E"/>
    <w:rsid w:val="00813CAF"/>
    <w:rsid w:val="00813E62"/>
    <w:rsid w:val="0081424F"/>
    <w:rsid w:val="00814414"/>
    <w:rsid w:val="00814471"/>
    <w:rsid w:val="00814525"/>
    <w:rsid w:val="00814678"/>
    <w:rsid w:val="008146AF"/>
    <w:rsid w:val="008148A5"/>
    <w:rsid w:val="0081497A"/>
    <w:rsid w:val="00814CE9"/>
    <w:rsid w:val="00814D83"/>
    <w:rsid w:val="0081521C"/>
    <w:rsid w:val="00815B07"/>
    <w:rsid w:val="00815B38"/>
    <w:rsid w:val="0081608A"/>
    <w:rsid w:val="0081657E"/>
    <w:rsid w:val="0081685D"/>
    <w:rsid w:val="00816C4A"/>
    <w:rsid w:val="00816EB1"/>
    <w:rsid w:val="0081712F"/>
    <w:rsid w:val="00817387"/>
    <w:rsid w:val="00817643"/>
    <w:rsid w:val="008177E0"/>
    <w:rsid w:val="00817A5C"/>
    <w:rsid w:val="00817A9A"/>
    <w:rsid w:val="00817CEC"/>
    <w:rsid w:val="00817E01"/>
    <w:rsid w:val="0082019B"/>
    <w:rsid w:val="00820346"/>
    <w:rsid w:val="0082040A"/>
    <w:rsid w:val="0082054C"/>
    <w:rsid w:val="0082066E"/>
    <w:rsid w:val="00820D88"/>
    <w:rsid w:val="00821A4B"/>
    <w:rsid w:val="00821B5C"/>
    <w:rsid w:val="00821BC8"/>
    <w:rsid w:val="00821D45"/>
    <w:rsid w:val="00821F35"/>
    <w:rsid w:val="00822348"/>
    <w:rsid w:val="008224D9"/>
    <w:rsid w:val="0082275F"/>
    <w:rsid w:val="00822780"/>
    <w:rsid w:val="0082279F"/>
    <w:rsid w:val="00822B45"/>
    <w:rsid w:val="00822C2F"/>
    <w:rsid w:val="00822D2B"/>
    <w:rsid w:val="00822DDF"/>
    <w:rsid w:val="00822F89"/>
    <w:rsid w:val="008232DE"/>
    <w:rsid w:val="0082369E"/>
    <w:rsid w:val="00823723"/>
    <w:rsid w:val="00823B66"/>
    <w:rsid w:val="00823C3F"/>
    <w:rsid w:val="00824137"/>
    <w:rsid w:val="0082442D"/>
    <w:rsid w:val="0082446E"/>
    <w:rsid w:val="00824643"/>
    <w:rsid w:val="008246CD"/>
    <w:rsid w:val="0082499C"/>
    <w:rsid w:val="00824A98"/>
    <w:rsid w:val="00824BBF"/>
    <w:rsid w:val="00824CFA"/>
    <w:rsid w:val="00825080"/>
    <w:rsid w:val="00825B15"/>
    <w:rsid w:val="00825C98"/>
    <w:rsid w:val="00825E11"/>
    <w:rsid w:val="00826B4D"/>
    <w:rsid w:val="00826D79"/>
    <w:rsid w:val="00826EB6"/>
    <w:rsid w:val="00827191"/>
    <w:rsid w:val="0082723F"/>
    <w:rsid w:val="008275F0"/>
    <w:rsid w:val="008277F0"/>
    <w:rsid w:val="008279B5"/>
    <w:rsid w:val="00827E76"/>
    <w:rsid w:val="00827FE3"/>
    <w:rsid w:val="008303CB"/>
    <w:rsid w:val="008303EB"/>
    <w:rsid w:val="0083085A"/>
    <w:rsid w:val="00830B08"/>
    <w:rsid w:val="008310AA"/>
    <w:rsid w:val="0083169F"/>
    <w:rsid w:val="00831834"/>
    <w:rsid w:val="00831D1B"/>
    <w:rsid w:val="0083217A"/>
    <w:rsid w:val="008321B4"/>
    <w:rsid w:val="008324B7"/>
    <w:rsid w:val="008328C1"/>
    <w:rsid w:val="00832CB7"/>
    <w:rsid w:val="008336DE"/>
    <w:rsid w:val="008336E0"/>
    <w:rsid w:val="00833725"/>
    <w:rsid w:val="00833A0B"/>
    <w:rsid w:val="00833B87"/>
    <w:rsid w:val="00834114"/>
    <w:rsid w:val="008343C9"/>
    <w:rsid w:val="00834585"/>
    <w:rsid w:val="008345DD"/>
    <w:rsid w:val="00834BBF"/>
    <w:rsid w:val="00834D9E"/>
    <w:rsid w:val="00834FC3"/>
    <w:rsid w:val="00835071"/>
    <w:rsid w:val="0083532C"/>
    <w:rsid w:val="008356A0"/>
    <w:rsid w:val="00835ED5"/>
    <w:rsid w:val="0083678A"/>
    <w:rsid w:val="008367C1"/>
    <w:rsid w:val="00836908"/>
    <w:rsid w:val="00836A48"/>
    <w:rsid w:val="00836E1D"/>
    <w:rsid w:val="00836E53"/>
    <w:rsid w:val="00836E9F"/>
    <w:rsid w:val="008370E2"/>
    <w:rsid w:val="00837AAC"/>
    <w:rsid w:val="008400E8"/>
    <w:rsid w:val="0084050E"/>
    <w:rsid w:val="008406A6"/>
    <w:rsid w:val="008406C9"/>
    <w:rsid w:val="00840912"/>
    <w:rsid w:val="00840BE3"/>
    <w:rsid w:val="008413F6"/>
    <w:rsid w:val="008419D9"/>
    <w:rsid w:val="00841A8F"/>
    <w:rsid w:val="00841BC1"/>
    <w:rsid w:val="008422FC"/>
    <w:rsid w:val="008426F9"/>
    <w:rsid w:val="00842715"/>
    <w:rsid w:val="008428D0"/>
    <w:rsid w:val="00842A06"/>
    <w:rsid w:val="00842BF9"/>
    <w:rsid w:val="00842C0B"/>
    <w:rsid w:val="00842F07"/>
    <w:rsid w:val="008435DA"/>
    <w:rsid w:val="00843982"/>
    <w:rsid w:val="00843C7D"/>
    <w:rsid w:val="00843D3D"/>
    <w:rsid w:val="00844115"/>
    <w:rsid w:val="0084431F"/>
    <w:rsid w:val="00844377"/>
    <w:rsid w:val="008447FD"/>
    <w:rsid w:val="00844B8F"/>
    <w:rsid w:val="00844D23"/>
    <w:rsid w:val="0084545F"/>
    <w:rsid w:val="0084551C"/>
    <w:rsid w:val="0084563D"/>
    <w:rsid w:val="00845802"/>
    <w:rsid w:val="0084616A"/>
    <w:rsid w:val="0084622C"/>
    <w:rsid w:val="008463CC"/>
    <w:rsid w:val="00846417"/>
    <w:rsid w:val="008464D0"/>
    <w:rsid w:val="00846922"/>
    <w:rsid w:val="00846A1E"/>
    <w:rsid w:val="00846B5C"/>
    <w:rsid w:val="00847013"/>
    <w:rsid w:val="008470F3"/>
    <w:rsid w:val="00847204"/>
    <w:rsid w:val="00847372"/>
    <w:rsid w:val="00847618"/>
    <w:rsid w:val="00847905"/>
    <w:rsid w:val="00847A90"/>
    <w:rsid w:val="00847DBC"/>
    <w:rsid w:val="00847E42"/>
    <w:rsid w:val="00850099"/>
    <w:rsid w:val="00850751"/>
    <w:rsid w:val="00850B42"/>
    <w:rsid w:val="00850B59"/>
    <w:rsid w:val="00850E4B"/>
    <w:rsid w:val="00851146"/>
    <w:rsid w:val="008514A0"/>
    <w:rsid w:val="008517D8"/>
    <w:rsid w:val="00851962"/>
    <w:rsid w:val="00851D0B"/>
    <w:rsid w:val="00851D8B"/>
    <w:rsid w:val="00851D9B"/>
    <w:rsid w:val="00851E3D"/>
    <w:rsid w:val="00851FAF"/>
    <w:rsid w:val="008523F6"/>
    <w:rsid w:val="00852785"/>
    <w:rsid w:val="00852CEF"/>
    <w:rsid w:val="00852FD5"/>
    <w:rsid w:val="00853146"/>
    <w:rsid w:val="00853434"/>
    <w:rsid w:val="00853475"/>
    <w:rsid w:val="00853587"/>
    <w:rsid w:val="008535C2"/>
    <w:rsid w:val="008535FE"/>
    <w:rsid w:val="00853DCE"/>
    <w:rsid w:val="00853DE1"/>
    <w:rsid w:val="00853F8A"/>
    <w:rsid w:val="0085435F"/>
    <w:rsid w:val="0085440E"/>
    <w:rsid w:val="00854533"/>
    <w:rsid w:val="0085500A"/>
    <w:rsid w:val="008551A2"/>
    <w:rsid w:val="008551B3"/>
    <w:rsid w:val="00855239"/>
    <w:rsid w:val="008554C2"/>
    <w:rsid w:val="00855542"/>
    <w:rsid w:val="008558A0"/>
    <w:rsid w:val="00855AF0"/>
    <w:rsid w:val="00855BE1"/>
    <w:rsid w:val="00855D40"/>
    <w:rsid w:val="00855DA6"/>
    <w:rsid w:val="00855EAA"/>
    <w:rsid w:val="008560C1"/>
    <w:rsid w:val="00856289"/>
    <w:rsid w:val="0085657D"/>
    <w:rsid w:val="008565FC"/>
    <w:rsid w:val="00856758"/>
    <w:rsid w:val="00856BC4"/>
    <w:rsid w:val="0085747C"/>
    <w:rsid w:val="008576F3"/>
    <w:rsid w:val="00857F33"/>
    <w:rsid w:val="00860AA0"/>
    <w:rsid w:val="00860B71"/>
    <w:rsid w:val="00860D47"/>
    <w:rsid w:val="00861000"/>
    <w:rsid w:val="00861016"/>
    <w:rsid w:val="00861234"/>
    <w:rsid w:val="00861406"/>
    <w:rsid w:val="00861489"/>
    <w:rsid w:val="008616F6"/>
    <w:rsid w:val="00861D2E"/>
    <w:rsid w:val="008620EB"/>
    <w:rsid w:val="008625C4"/>
    <w:rsid w:val="0086277B"/>
    <w:rsid w:val="008628B9"/>
    <w:rsid w:val="00862BEA"/>
    <w:rsid w:val="00862C00"/>
    <w:rsid w:val="00862CCB"/>
    <w:rsid w:val="00862D50"/>
    <w:rsid w:val="00862EBA"/>
    <w:rsid w:val="00862EED"/>
    <w:rsid w:val="00863037"/>
    <w:rsid w:val="008632F6"/>
    <w:rsid w:val="00863363"/>
    <w:rsid w:val="00863B32"/>
    <w:rsid w:val="00863BDD"/>
    <w:rsid w:val="00863DC1"/>
    <w:rsid w:val="00863EB0"/>
    <w:rsid w:val="00863F56"/>
    <w:rsid w:val="008642BF"/>
    <w:rsid w:val="0086435A"/>
    <w:rsid w:val="008645E0"/>
    <w:rsid w:val="00864807"/>
    <w:rsid w:val="008649CA"/>
    <w:rsid w:val="008649FA"/>
    <w:rsid w:val="00864C9F"/>
    <w:rsid w:val="00864CBE"/>
    <w:rsid w:val="00864DEB"/>
    <w:rsid w:val="00865176"/>
    <w:rsid w:val="00865281"/>
    <w:rsid w:val="00865459"/>
    <w:rsid w:val="00865762"/>
    <w:rsid w:val="00866265"/>
    <w:rsid w:val="00866473"/>
    <w:rsid w:val="00866AFC"/>
    <w:rsid w:val="00866C2E"/>
    <w:rsid w:val="00867101"/>
    <w:rsid w:val="008672D6"/>
    <w:rsid w:val="008676D6"/>
    <w:rsid w:val="00867723"/>
    <w:rsid w:val="00867854"/>
    <w:rsid w:val="00867A53"/>
    <w:rsid w:val="00867D10"/>
    <w:rsid w:val="00867E64"/>
    <w:rsid w:val="00867F66"/>
    <w:rsid w:val="00867F98"/>
    <w:rsid w:val="00867F99"/>
    <w:rsid w:val="00870068"/>
    <w:rsid w:val="00870084"/>
    <w:rsid w:val="008704A1"/>
    <w:rsid w:val="0087087A"/>
    <w:rsid w:val="00870F23"/>
    <w:rsid w:val="0087109A"/>
    <w:rsid w:val="0087141E"/>
    <w:rsid w:val="00871773"/>
    <w:rsid w:val="00871A40"/>
    <w:rsid w:val="00871A81"/>
    <w:rsid w:val="00871AAD"/>
    <w:rsid w:val="00871F9D"/>
    <w:rsid w:val="00871FDD"/>
    <w:rsid w:val="008720D6"/>
    <w:rsid w:val="0087220C"/>
    <w:rsid w:val="00872867"/>
    <w:rsid w:val="00872960"/>
    <w:rsid w:val="0087314F"/>
    <w:rsid w:val="00873177"/>
    <w:rsid w:val="008732C0"/>
    <w:rsid w:val="0087332D"/>
    <w:rsid w:val="008734AE"/>
    <w:rsid w:val="008736E3"/>
    <w:rsid w:val="00873844"/>
    <w:rsid w:val="00873A73"/>
    <w:rsid w:val="00874748"/>
    <w:rsid w:val="008749B5"/>
    <w:rsid w:val="008749DB"/>
    <w:rsid w:val="00874B35"/>
    <w:rsid w:val="00874D9F"/>
    <w:rsid w:val="00875173"/>
    <w:rsid w:val="0087528A"/>
    <w:rsid w:val="00875333"/>
    <w:rsid w:val="008754B7"/>
    <w:rsid w:val="008755D8"/>
    <w:rsid w:val="00875625"/>
    <w:rsid w:val="008758BD"/>
    <w:rsid w:val="00875926"/>
    <w:rsid w:val="00875CAF"/>
    <w:rsid w:val="00875D92"/>
    <w:rsid w:val="00876048"/>
    <w:rsid w:val="0087614A"/>
    <w:rsid w:val="00876254"/>
    <w:rsid w:val="00876335"/>
    <w:rsid w:val="00876698"/>
    <w:rsid w:val="008766D8"/>
    <w:rsid w:val="00876ABB"/>
    <w:rsid w:val="008777F9"/>
    <w:rsid w:val="0087790A"/>
    <w:rsid w:val="00877E6B"/>
    <w:rsid w:val="00880428"/>
    <w:rsid w:val="00880AF0"/>
    <w:rsid w:val="00880C68"/>
    <w:rsid w:val="00880DB4"/>
    <w:rsid w:val="008815C8"/>
    <w:rsid w:val="00881628"/>
    <w:rsid w:val="0088184C"/>
    <w:rsid w:val="008818C5"/>
    <w:rsid w:val="008818D4"/>
    <w:rsid w:val="00881E02"/>
    <w:rsid w:val="00881F69"/>
    <w:rsid w:val="00882213"/>
    <w:rsid w:val="00882364"/>
    <w:rsid w:val="008825E5"/>
    <w:rsid w:val="00882D89"/>
    <w:rsid w:val="008832D8"/>
    <w:rsid w:val="008832F9"/>
    <w:rsid w:val="008834FD"/>
    <w:rsid w:val="00883679"/>
    <w:rsid w:val="0088376F"/>
    <w:rsid w:val="00883E47"/>
    <w:rsid w:val="00883F3F"/>
    <w:rsid w:val="008843AA"/>
    <w:rsid w:val="0088448B"/>
    <w:rsid w:val="00884665"/>
    <w:rsid w:val="0088497A"/>
    <w:rsid w:val="00884B53"/>
    <w:rsid w:val="00884BDC"/>
    <w:rsid w:val="0088509A"/>
    <w:rsid w:val="00885418"/>
    <w:rsid w:val="00885464"/>
    <w:rsid w:val="00885AB8"/>
    <w:rsid w:val="00885B21"/>
    <w:rsid w:val="00885F0B"/>
    <w:rsid w:val="00885F49"/>
    <w:rsid w:val="008860ED"/>
    <w:rsid w:val="008861CB"/>
    <w:rsid w:val="008862A4"/>
    <w:rsid w:val="00886318"/>
    <w:rsid w:val="00886821"/>
    <w:rsid w:val="00886A45"/>
    <w:rsid w:val="00886CF5"/>
    <w:rsid w:val="00886D5F"/>
    <w:rsid w:val="00886E26"/>
    <w:rsid w:val="00886F4C"/>
    <w:rsid w:val="0088713B"/>
    <w:rsid w:val="00887230"/>
    <w:rsid w:val="0088781F"/>
    <w:rsid w:val="00887995"/>
    <w:rsid w:val="00887A6B"/>
    <w:rsid w:val="00887BFD"/>
    <w:rsid w:val="00887C1E"/>
    <w:rsid w:val="00890209"/>
    <w:rsid w:val="008902C7"/>
    <w:rsid w:val="00890466"/>
    <w:rsid w:val="008904B1"/>
    <w:rsid w:val="008904DA"/>
    <w:rsid w:val="00890C9D"/>
    <w:rsid w:val="00890F17"/>
    <w:rsid w:val="00890F29"/>
    <w:rsid w:val="00891018"/>
    <w:rsid w:val="00891208"/>
    <w:rsid w:val="008913C6"/>
    <w:rsid w:val="0089176A"/>
    <w:rsid w:val="00891DE6"/>
    <w:rsid w:val="00891FE9"/>
    <w:rsid w:val="00892011"/>
    <w:rsid w:val="00892093"/>
    <w:rsid w:val="008922FC"/>
    <w:rsid w:val="00892798"/>
    <w:rsid w:val="00892C32"/>
    <w:rsid w:val="00892F61"/>
    <w:rsid w:val="00892F98"/>
    <w:rsid w:val="0089304F"/>
    <w:rsid w:val="008930D6"/>
    <w:rsid w:val="0089328A"/>
    <w:rsid w:val="00893444"/>
    <w:rsid w:val="008937C2"/>
    <w:rsid w:val="00893BE0"/>
    <w:rsid w:val="00893ED7"/>
    <w:rsid w:val="0089446A"/>
    <w:rsid w:val="0089457A"/>
    <w:rsid w:val="00894DFF"/>
    <w:rsid w:val="008952D6"/>
    <w:rsid w:val="0089547C"/>
    <w:rsid w:val="008954D2"/>
    <w:rsid w:val="00895842"/>
    <w:rsid w:val="00895995"/>
    <w:rsid w:val="00895ACF"/>
    <w:rsid w:val="00895B8D"/>
    <w:rsid w:val="00895D3D"/>
    <w:rsid w:val="0089651C"/>
    <w:rsid w:val="00896730"/>
    <w:rsid w:val="00896751"/>
    <w:rsid w:val="00896C22"/>
    <w:rsid w:val="00896FB8"/>
    <w:rsid w:val="00897293"/>
    <w:rsid w:val="0089751A"/>
    <w:rsid w:val="00897CEA"/>
    <w:rsid w:val="00897DAF"/>
    <w:rsid w:val="008A00C7"/>
    <w:rsid w:val="008A029B"/>
    <w:rsid w:val="008A03E8"/>
    <w:rsid w:val="008A0BB8"/>
    <w:rsid w:val="008A0DD7"/>
    <w:rsid w:val="008A11E2"/>
    <w:rsid w:val="008A16EB"/>
    <w:rsid w:val="008A1913"/>
    <w:rsid w:val="008A1B74"/>
    <w:rsid w:val="008A1C22"/>
    <w:rsid w:val="008A1D9D"/>
    <w:rsid w:val="008A1DFA"/>
    <w:rsid w:val="008A1DFF"/>
    <w:rsid w:val="008A1F97"/>
    <w:rsid w:val="008A234A"/>
    <w:rsid w:val="008A2888"/>
    <w:rsid w:val="008A2AA1"/>
    <w:rsid w:val="008A2CA2"/>
    <w:rsid w:val="008A33F3"/>
    <w:rsid w:val="008A352D"/>
    <w:rsid w:val="008A359E"/>
    <w:rsid w:val="008A3881"/>
    <w:rsid w:val="008A38CC"/>
    <w:rsid w:val="008A3B61"/>
    <w:rsid w:val="008A3C5D"/>
    <w:rsid w:val="008A40D8"/>
    <w:rsid w:val="008A47E3"/>
    <w:rsid w:val="008A4AA5"/>
    <w:rsid w:val="008A4BDB"/>
    <w:rsid w:val="008A4DDD"/>
    <w:rsid w:val="008A4E37"/>
    <w:rsid w:val="008A4F90"/>
    <w:rsid w:val="008A5712"/>
    <w:rsid w:val="008A5934"/>
    <w:rsid w:val="008A5ABA"/>
    <w:rsid w:val="008A5AC2"/>
    <w:rsid w:val="008A6224"/>
    <w:rsid w:val="008A6269"/>
    <w:rsid w:val="008A62A3"/>
    <w:rsid w:val="008A64B8"/>
    <w:rsid w:val="008A69B9"/>
    <w:rsid w:val="008A6A54"/>
    <w:rsid w:val="008A6B13"/>
    <w:rsid w:val="008A6B65"/>
    <w:rsid w:val="008A6D80"/>
    <w:rsid w:val="008A7187"/>
    <w:rsid w:val="008A7275"/>
    <w:rsid w:val="008A731C"/>
    <w:rsid w:val="008A7514"/>
    <w:rsid w:val="008A7523"/>
    <w:rsid w:val="008A763C"/>
    <w:rsid w:val="008A77D1"/>
    <w:rsid w:val="008A7AC1"/>
    <w:rsid w:val="008B014C"/>
    <w:rsid w:val="008B0968"/>
    <w:rsid w:val="008B09D1"/>
    <w:rsid w:val="008B0C68"/>
    <w:rsid w:val="008B0CD2"/>
    <w:rsid w:val="008B0D8B"/>
    <w:rsid w:val="008B0FFC"/>
    <w:rsid w:val="008B1043"/>
    <w:rsid w:val="008B1436"/>
    <w:rsid w:val="008B181A"/>
    <w:rsid w:val="008B235D"/>
    <w:rsid w:val="008B3569"/>
    <w:rsid w:val="008B378A"/>
    <w:rsid w:val="008B37D0"/>
    <w:rsid w:val="008B39DE"/>
    <w:rsid w:val="008B3A42"/>
    <w:rsid w:val="008B3AD7"/>
    <w:rsid w:val="008B3CF1"/>
    <w:rsid w:val="008B41E8"/>
    <w:rsid w:val="008B478B"/>
    <w:rsid w:val="008B499E"/>
    <w:rsid w:val="008B4B76"/>
    <w:rsid w:val="008B4F66"/>
    <w:rsid w:val="008B5270"/>
    <w:rsid w:val="008B53E3"/>
    <w:rsid w:val="008B541F"/>
    <w:rsid w:val="008B5B3B"/>
    <w:rsid w:val="008B61AC"/>
    <w:rsid w:val="008B61B7"/>
    <w:rsid w:val="008B6DFF"/>
    <w:rsid w:val="008B71D6"/>
    <w:rsid w:val="008B73FD"/>
    <w:rsid w:val="008B74DA"/>
    <w:rsid w:val="008B7700"/>
    <w:rsid w:val="008B78EB"/>
    <w:rsid w:val="008B797D"/>
    <w:rsid w:val="008B7E92"/>
    <w:rsid w:val="008C0B95"/>
    <w:rsid w:val="008C0C00"/>
    <w:rsid w:val="008C0E70"/>
    <w:rsid w:val="008C114C"/>
    <w:rsid w:val="008C17BE"/>
    <w:rsid w:val="008C200D"/>
    <w:rsid w:val="008C2381"/>
    <w:rsid w:val="008C2815"/>
    <w:rsid w:val="008C2FC7"/>
    <w:rsid w:val="008C3023"/>
    <w:rsid w:val="008C344D"/>
    <w:rsid w:val="008C3542"/>
    <w:rsid w:val="008C3745"/>
    <w:rsid w:val="008C374C"/>
    <w:rsid w:val="008C3C31"/>
    <w:rsid w:val="008C3E23"/>
    <w:rsid w:val="008C48EF"/>
    <w:rsid w:val="008C497B"/>
    <w:rsid w:val="008C4A5E"/>
    <w:rsid w:val="008C4BD7"/>
    <w:rsid w:val="008C4C98"/>
    <w:rsid w:val="008C4CBE"/>
    <w:rsid w:val="008C4EAE"/>
    <w:rsid w:val="008C4F55"/>
    <w:rsid w:val="008C5133"/>
    <w:rsid w:val="008C529B"/>
    <w:rsid w:val="008C5331"/>
    <w:rsid w:val="008C5637"/>
    <w:rsid w:val="008C599C"/>
    <w:rsid w:val="008C5CB2"/>
    <w:rsid w:val="008C60D6"/>
    <w:rsid w:val="008C63F8"/>
    <w:rsid w:val="008C68CF"/>
    <w:rsid w:val="008C691E"/>
    <w:rsid w:val="008C7196"/>
    <w:rsid w:val="008C76FD"/>
    <w:rsid w:val="008C799E"/>
    <w:rsid w:val="008C79DC"/>
    <w:rsid w:val="008C7A07"/>
    <w:rsid w:val="008D01C5"/>
    <w:rsid w:val="008D01EA"/>
    <w:rsid w:val="008D04BE"/>
    <w:rsid w:val="008D14BA"/>
    <w:rsid w:val="008D1559"/>
    <w:rsid w:val="008D172A"/>
    <w:rsid w:val="008D17EF"/>
    <w:rsid w:val="008D1825"/>
    <w:rsid w:val="008D19D4"/>
    <w:rsid w:val="008D1F61"/>
    <w:rsid w:val="008D28E0"/>
    <w:rsid w:val="008D2ECE"/>
    <w:rsid w:val="008D2FDC"/>
    <w:rsid w:val="008D305D"/>
    <w:rsid w:val="008D33F8"/>
    <w:rsid w:val="008D3C31"/>
    <w:rsid w:val="008D3F6C"/>
    <w:rsid w:val="008D3FCA"/>
    <w:rsid w:val="008D4048"/>
    <w:rsid w:val="008D4293"/>
    <w:rsid w:val="008D4669"/>
    <w:rsid w:val="008D467D"/>
    <w:rsid w:val="008D4888"/>
    <w:rsid w:val="008D4906"/>
    <w:rsid w:val="008D4BBB"/>
    <w:rsid w:val="008D4BCF"/>
    <w:rsid w:val="008D55B5"/>
    <w:rsid w:val="008D56EF"/>
    <w:rsid w:val="008D58D7"/>
    <w:rsid w:val="008D5A24"/>
    <w:rsid w:val="008D5A38"/>
    <w:rsid w:val="008D5B33"/>
    <w:rsid w:val="008D5D3A"/>
    <w:rsid w:val="008D5EF2"/>
    <w:rsid w:val="008D62DE"/>
    <w:rsid w:val="008D6458"/>
    <w:rsid w:val="008D662A"/>
    <w:rsid w:val="008D672C"/>
    <w:rsid w:val="008D69C6"/>
    <w:rsid w:val="008D6BC7"/>
    <w:rsid w:val="008D6CF6"/>
    <w:rsid w:val="008D6EC8"/>
    <w:rsid w:val="008D71B6"/>
    <w:rsid w:val="008D72EA"/>
    <w:rsid w:val="008D7409"/>
    <w:rsid w:val="008D7625"/>
    <w:rsid w:val="008D78D6"/>
    <w:rsid w:val="008D7CE0"/>
    <w:rsid w:val="008E0303"/>
    <w:rsid w:val="008E0453"/>
    <w:rsid w:val="008E04D0"/>
    <w:rsid w:val="008E054D"/>
    <w:rsid w:val="008E0777"/>
    <w:rsid w:val="008E0CA2"/>
    <w:rsid w:val="008E0DFA"/>
    <w:rsid w:val="008E0EF9"/>
    <w:rsid w:val="008E113B"/>
    <w:rsid w:val="008E1778"/>
    <w:rsid w:val="008E1784"/>
    <w:rsid w:val="008E1E90"/>
    <w:rsid w:val="008E1E9A"/>
    <w:rsid w:val="008E27E5"/>
    <w:rsid w:val="008E2B8A"/>
    <w:rsid w:val="008E2C7C"/>
    <w:rsid w:val="008E2F58"/>
    <w:rsid w:val="008E30D6"/>
    <w:rsid w:val="008E30D9"/>
    <w:rsid w:val="008E3176"/>
    <w:rsid w:val="008E328A"/>
    <w:rsid w:val="008E36A5"/>
    <w:rsid w:val="008E3888"/>
    <w:rsid w:val="008E3C4C"/>
    <w:rsid w:val="008E3EC9"/>
    <w:rsid w:val="008E41C6"/>
    <w:rsid w:val="008E4304"/>
    <w:rsid w:val="008E44D9"/>
    <w:rsid w:val="008E4552"/>
    <w:rsid w:val="008E4630"/>
    <w:rsid w:val="008E4659"/>
    <w:rsid w:val="008E4A4A"/>
    <w:rsid w:val="008E4B1C"/>
    <w:rsid w:val="008E4BB7"/>
    <w:rsid w:val="008E5265"/>
    <w:rsid w:val="008E52D8"/>
    <w:rsid w:val="008E53C1"/>
    <w:rsid w:val="008E54D5"/>
    <w:rsid w:val="008E5C5F"/>
    <w:rsid w:val="008E5E0A"/>
    <w:rsid w:val="008E5E88"/>
    <w:rsid w:val="008E6137"/>
    <w:rsid w:val="008E68D3"/>
    <w:rsid w:val="008E6A0B"/>
    <w:rsid w:val="008E7108"/>
    <w:rsid w:val="008E7140"/>
    <w:rsid w:val="008E733B"/>
    <w:rsid w:val="008E735C"/>
    <w:rsid w:val="008E76A4"/>
    <w:rsid w:val="008E76BD"/>
    <w:rsid w:val="008E7762"/>
    <w:rsid w:val="008E79DF"/>
    <w:rsid w:val="008E7A22"/>
    <w:rsid w:val="008F002D"/>
    <w:rsid w:val="008F007A"/>
    <w:rsid w:val="008F01AA"/>
    <w:rsid w:val="008F01DD"/>
    <w:rsid w:val="008F0345"/>
    <w:rsid w:val="008F04FA"/>
    <w:rsid w:val="008F0A0F"/>
    <w:rsid w:val="008F0AD5"/>
    <w:rsid w:val="008F0BA2"/>
    <w:rsid w:val="008F104C"/>
    <w:rsid w:val="008F106D"/>
    <w:rsid w:val="008F1170"/>
    <w:rsid w:val="008F11C0"/>
    <w:rsid w:val="008F1527"/>
    <w:rsid w:val="008F1719"/>
    <w:rsid w:val="008F1809"/>
    <w:rsid w:val="008F1DB6"/>
    <w:rsid w:val="008F20C1"/>
    <w:rsid w:val="008F20D7"/>
    <w:rsid w:val="008F2107"/>
    <w:rsid w:val="008F2250"/>
    <w:rsid w:val="008F22F7"/>
    <w:rsid w:val="008F2413"/>
    <w:rsid w:val="008F253D"/>
    <w:rsid w:val="008F2A56"/>
    <w:rsid w:val="008F2E00"/>
    <w:rsid w:val="008F3471"/>
    <w:rsid w:val="008F374B"/>
    <w:rsid w:val="008F3978"/>
    <w:rsid w:val="008F39C6"/>
    <w:rsid w:val="008F3B1A"/>
    <w:rsid w:val="008F3C0B"/>
    <w:rsid w:val="008F3C48"/>
    <w:rsid w:val="008F3C57"/>
    <w:rsid w:val="008F3C7D"/>
    <w:rsid w:val="008F3E2D"/>
    <w:rsid w:val="008F404E"/>
    <w:rsid w:val="008F4324"/>
    <w:rsid w:val="008F43E8"/>
    <w:rsid w:val="008F4603"/>
    <w:rsid w:val="008F4676"/>
    <w:rsid w:val="008F4841"/>
    <w:rsid w:val="008F4CE4"/>
    <w:rsid w:val="008F575C"/>
    <w:rsid w:val="008F5775"/>
    <w:rsid w:val="008F5866"/>
    <w:rsid w:val="008F591C"/>
    <w:rsid w:val="008F59BF"/>
    <w:rsid w:val="008F5B19"/>
    <w:rsid w:val="008F5C06"/>
    <w:rsid w:val="008F6043"/>
    <w:rsid w:val="008F6132"/>
    <w:rsid w:val="008F6A7D"/>
    <w:rsid w:val="008F6E87"/>
    <w:rsid w:val="008F7584"/>
    <w:rsid w:val="008F76A8"/>
    <w:rsid w:val="008F770A"/>
    <w:rsid w:val="008F7EBC"/>
    <w:rsid w:val="008F7FA5"/>
    <w:rsid w:val="00900304"/>
    <w:rsid w:val="0090042A"/>
    <w:rsid w:val="00900468"/>
    <w:rsid w:val="00900765"/>
    <w:rsid w:val="00900797"/>
    <w:rsid w:val="00900906"/>
    <w:rsid w:val="00900B82"/>
    <w:rsid w:val="00900D00"/>
    <w:rsid w:val="00900D80"/>
    <w:rsid w:val="00900E40"/>
    <w:rsid w:val="0090107F"/>
    <w:rsid w:val="00901505"/>
    <w:rsid w:val="00901765"/>
    <w:rsid w:val="00901776"/>
    <w:rsid w:val="00901A98"/>
    <w:rsid w:val="00901C06"/>
    <w:rsid w:val="00901C4E"/>
    <w:rsid w:val="00901D52"/>
    <w:rsid w:val="00901E72"/>
    <w:rsid w:val="00902196"/>
    <w:rsid w:val="00902390"/>
    <w:rsid w:val="009025A7"/>
    <w:rsid w:val="009026E8"/>
    <w:rsid w:val="0090285F"/>
    <w:rsid w:val="009029FE"/>
    <w:rsid w:val="00902A26"/>
    <w:rsid w:val="00902CF1"/>
    <w:rsid w:val="00902F55"/>
    <w:rsid w:val="0090320E"/>
    <w:rsid w:val="00903257"/>
    <w:rsid w:val="009035A2"/>
    <w:rsid w:val="009037B4"/>
    <w:rsid w:val="00903877"/>
    <w:rsid w:val="00903C93"/>
    <w:rsid w:val="00903D8A"/>
    <w:rsid w:val="00903F0E"/>
    <w:rsid w:val="00904164"/>
    <w:rsid w:val="009041BC"/>
    <w:rsid w:val="00904366"/>
    <w:rsid w:val="0090453E"/>
    <w:rsid w:val="0090465F"/>
    <w:rsid w:val="009048A2"/>
    <w:rsid w:val="00904C9A"/>
    <w:rsid w:val="00904D87"/>
    <w:rsid w:val="00904D8B"/>
    <w:rsid w:val="00904ECE"/>
    <w:rsid w:val="00905099"/>
    <w:rsid w:val="00905496"/>
    <w:rsid w:val="0090555F"/>
    <w:rsid w:val="00905592"/>
    <w:rsid w:val="009055EE"/>
    <w:rsid w:val="009057DE"/>
    <w:rsid w:val="0090587E"/>
    <w:rsid w:val="00905C61"/>
    <w:rsid w:val="00905EC0"/>
    <w:rsid w:val="00905EEC"/>
    <w:rsid w:val="0090636C"/>
    <w:rsid w:val="009065A3"/>
    <w:rsid w:val="009065F1"/>
    <w:rsid w:val="00906744"/>
    <w:rsid w:val="0090685B"/>
    <w:rsid w:val="00906A25"/>
    <w:rsid w:val="00906CBC"/>
    <w:rsid w:val="00906CE2"/>
    <w:rsid w:val="00906FE6"/>
    <w:rsid w:val="009075F9"/>
    <w:rsid w:val="00907603"/>
    <w:rsid w:val="009076AC"/>
    <w:rsid w:val="00907990"/>
    <w:rsid w:val="00907AB8"/>
    <w:rsid w:val="00907C7D"/>
    <w:rsid w:val="00907C8B"/>
    <w:rsid w:val="00907C92"/>
    <w:rsid w:val="00907D61"/>
    <w:rsid w:val="00907E3D"/>
    <w:rsid w:val="00910064"/>
    <w:rsid w:val="0091036B"/>
    <w:rsid w:val="00910410"/>
    <w:rsid w:val="00910580"/>
    <w:rsid w:val="009106B5"/>
    <w:rsid w:val="00910762"/>
    <w:rsid w:val="009107CF"/>
    <w:rsid w:val="009108B2"/>
    <w:rsid w:val="00910A8F"/>
    <w:rsid w:val="00910D5A"/>
    <w:rsid w:val="00910E19"/>
    <w:rsid w:val="0091133F"/>
    <w:rsid w:val="009114DC"/>
    <w:rsid w:val="00911510"/>
    <w:rsid w:val="00911811"/>
    <w:rsid w:val="00911B4A"/>
    <w:rsid w:val="00911B52"/>
    <w:rsid w:val="00911C20"/>
    <w:rsid w:val="00911D92"/>
    <w:rsid w:val="009121D3"/>
    <w:rsid w:val="009123E9"/>
    <w:rsid w:val="009125FD"/>
    <w:rsid w:val="009129CF"/>
    <w:rsid w:val="00912BC0"/>
    <w:rsid w:val="00912BDA"/>
    <w:rsid w:val="00912CD3"/>
    <w:rsid w:val="00912E7F"/>
    <w:rsid w:val="00912E8C"/>
    <w:rsid w:val="00912EF3"/>
    <w:rsid w:val="00912F70"/>
    <w:rsid w:val="0091365E"/>
    <w:rsid w:val="00913DA5"/>
    <w:rsid w:val="00913F29"/>
    <w:rsid w:val="0091406E"/>
    <w:rsid w:val="0091428D"/>
    <w:rsid w:val="00914349"/>
    <w:rsid w:val="009143D0"/>
    <w:rsid w:val="009143E7"/>
    <w:rsid w:val="0091466A"/>
    <w:rsid w:val="00914689"/>
    <w:rsid w:val="00914A25"/>
    <w:rsid w:val="00914E34"/>
    <w:rsid w:val="00915086"/>
    <w:rsid w:val="009150C1"/>
    <w:rsid w:val="00915368"/>
    <w:rsid w:val="00915436"/>
    <w:rsid w:val="00915670"/>
    <w:rsid w:val="009156F3"/>
    <w:rsid w:val="00915896"/>
    <w:rsid w:val="00915C0A"/>
    <w:rsid w:val="0091618F"/>
    <w:rsid w:val="009163D3"/>
    <w:rsid w:val="009164C5"/>
    <w:rsid w:val="0091652D"/>
    <w:rsid w:val="009166A6"/>
    <w:rsid w:val="009166AA"/>
    <w:rsid w:val="00916929"/>
    <w:rsid w:val="009169D7"/>
    <w:rsid w:val="00916E9E"/>
    <w:rsid w:val="0091749A"/>
    <w:rsid w:val="00917545"/>
    <w:rsid w:val="009175B9"/>
    <w:rsid w:val="009176F5"/>
    <w:rsid w:val="0091776B"/>
    <w:rsid w:val="0091778B"/>
    <w:rsid w:val="00917B75"/>
    <w:rsid w:val="00917D7B"/>
    <w:rsid w:val="00917E30"/>
    <w:rsid w:val="0092009B"/>
    <w:rsid w:val="0092049B"/>
    <w:rsid w:val="009210A6"/>
    <w:rsid w:val="009210B2"/>
    <w:rsid w:val="009212BC"/>
    <w:rsid w:val="0092158A"/>
    <w:rsid w:val="009215F6"/>
    <w:rsid w:val="00921A42"/>
    <w:rsid w:val="009222FE"/>
    <w:rsid w:val="0092253D"/>
    <w:rsid w:val="0092285E"/>
    <w:rsid w:val="00922B10"/>
    <w:rsid w:val="00922D76"/>
    <w:rsid w:val="00922E28"/>
    <w:rsid w:val="00922EF8"/>
    <w:rsid w:val="00923395"/>
    <w:rsid w:val="009233B2"/>
    <w:rsid w:val="009237A1"/>
    <w:rsid w:val="0092396C"/>
    <w:rsid w:val="00923ADD"/>
    <w:rsid w:val="00923B30"/>
    <w:rsid w:val="0092439F"/>
    <w:rsid w:val="0092441D"/>
    <w:rsid w:val="009244B1"/>
    <w:rsid w:val="00924552"/>
    <w:rsid w:val="00924632"/>
    <w:rsid w:val="00924765"/>
    <w:rsid w:val="009248F1"/>
    <w:rsid w:val="009249D2"/>
    <w:rsid w:val="00924D10"/>
    <w:rsid w:val="00924F6C"/>
    <w:rsid w:val="009250C0"/>
    <w:rsid w:val="0092527D"/>
    <w:rsid w:val="0092552D"/>
    <w:rsid w:val="009258C5"/>
    <w:rsid w:val="009259DF"/>
    <w:rsid w:val="009259EF"/>
    <w:rsid w:val="00925CE4"/>
    <w:rsid w:val="0092602A"/>
    <w:rsid w:val="00926A17"/>
    <w:rsid w:val="00926B54"/>
    <w:rsid w:val="00926CA5"/>
    <w:rsid w:val="00926FA4"/>
    <w:rsid w:val="00927125"/>
    <w:rsid w:val="009273F6"/>
    <w:rsid w:val="00927612"/>
    <w:rsid w:val="009278A0"/>
    <w:rsid w:val="009278E7"/>
    <w:rsid w:val="00927949"/>
    <w:rsid w:val="00927974"/>
    <w:rsid w:val="0093011B"/>
    <w:rsid w:val="0093025F"/>
    <w:rsid w:val="0093058A"/>
    <w:rsid w:val="00930E49"/>
    <w:rsid w:val="00930FE1"/>
    <w:rsid w:val="00931210"/>
    <w:rsid w:val="009312B8"/>
    <w:rsid w:val="00931575"/>
    <w:rsid w:val="00931591"/>
    <w:rsid w:val="00931922"/>
    <w:rsid w:val="00931C71"/>
    <w:rsid w:val="00931E60"/>
    <w:rsid w:val="009321AA"/>
    <w:rsid w:val="0093227E"/>
    <w:rsid w:val="00932BE8"/>
    <w:rsid w:val="009335E7"/>
    <w:rsid w:val="009338B9"/>
    <w:rsid w:val="00933AD6"/>
    <w:rsid w:val="00933E6A"/>
    <w:rsid w:val="00933E90"/>
    <w:rsid w:val="00934117"/>
    <w:rsid w:val="00934265"/>
    <w:rsid w:val="009343A6"/>
    <w:rsid w:val="009345EC"/>
    <w:rsid w:val="009346FD"/>
    <w:rsid w:val="00934A4C"/>
    <w:rsid w:val="00934D43"/>
    <w:rsid w:val="00935114"/>
    <w:rsid w:val="009351A1"/>
    <w:rsid w:val="00935296"/>
    <w:rsid w:val="009352F1"/>
    <w:rsid w:val="00935317"/>
    <w:rsid w:val="009354A9"/>
    <w:rsid w:val="009357F3"/>
    <w:rsid w:val="00935A15"/>
    <w:rsid w:val="00935A72"/>
    <w:rsid w:val="00935F31"/>
    <w:rsid w:val="00935FED"/>
    <w:rsid w:val="009363D4"/>
    <w:rsid w:val="00936568"/>
    <w:rsid w:val="00936725"/>
    <w:rsid w:val="009368F1"/>
    <w:rsid w:val="009368F8"/>
    <w:rsid w:val="009369A5"/>
    <w:rsid w:val="00936AEA"/>
    <w:rsid w:val="00936B82"/>
    <w:rsid w:val="00936C8F"/>
    <w:rsid w:val="00936DE3"/>
    <w:rsid w:val="00936E60"/>
    <w:rsid w:val="0093711A"/>
    <w:rsid w:val="00937403"/>
    <w:rsid w:val="0093765D"/>
    <w:rsid w:val="0093773F"/>
    <w:rsid w:val="009378BF"/>
    <w:rsid w:val="00937963"/>
    <w:rsid w:val="00937DB5"/>
    <w:rsid w:val="00937F43"/>
    <w:rsid w:val="00940353"/>
    <w:rsid w:val="00940821"/>
    <w:rsid w:val="00940892"/>
    <w:rsid w:val="0094097A"/>
    <w:rsid w:val="009409EE"/>
    <w:rsid w:val="00940B2E"/>
    <w:rsid w:val="00940B89"/>
    <w:rsid w:val="00940C64"/>
    <w:rsid w:val="00940FFB"/>
    <w:rsid w:val="009411BD"/>
    <w:rsid w:val="0094121A"/>
    <w:rsid w:val="009412F6"/>
    <w:rsid w:val="009414DB"/>
    <w:rsid w:val="0094187E"/>
    <w:rsid w:val="00941889"/>
    <w:rsid w:val="00941DF3"/>
    <w:rsid w:val="00941E48"/>
    <w:rsid w:val="00941EA5"/>
    <w:rsid w:val="009421AA"/>
    <w:rsid w:val="00943370"/>
    <w:rsid w:val="00943BCC"/>
    <w:rsid w:val="00943ED2"/>
    <w:rsid w:val="00944204"/>
    <w:rsid w:val="00944428"/>
    <w:rsid w:val="00944543"/>
    <w:rsid w:val="00944592"/>
    <w:rsid w:val="009445F1"/>
    <w:rsid w:val="009446D2"/>
    <w:rsid w:val="0094476A"/>
    <w:rsid w:val="00945488"/>
    <w:rsid w:val="0094559D"/>
    <w:rsid w:val="00945787"/>
    <w:rsid w:val="00945932"/>
    <w:rsid w:val="00945A2F"/>
    <w:rsid w:val="00946278"/>
    <w:rsid w:val="009463FD"/>
    <w:rsid w:val="009467F1"/>
    <w:rsid w:val="00946847"/>
    <w:rsid w:val="009468EE"/>
    <w:rsid w:val="00946A78"/>
    <w:rsid w:val="00946E51"/>
    <w:rsid w:val="00947368"/>
    <w:rsid w:val="0094736C"/>
    <w:rsid w:val="0094753A"/>
    <w:rsid w:val="0094774B"/>
    <w:rsid w:val="009479A1"/>
    <w:rsid w:val="00947FC4"/>
    <w:rsid w:val="009503DE"/>
    <w:rsid w:val="00950996"/>
    <w:rsid w:val="00950C4A"/>
    <w:rsid w:val="00950C64"/>
    <w:rsid w:val="009512A1"/>
    <w:rsid w:val="009514CD"/>
    <w:rsid w:val="009515BC"/>
    <w:rsid w:val="009515E2"/>
    <w:rsid w:val="009517E7"/>
    <w:rsid w:val="00951A46"/>
    <w:rsid w:val="00951CB9"/>
    <w:rsid w:val="0095239A"/>
    <w:rsid w:val="009523D8"/>
    <w:rsid w:val="00952407"/>
    <w:rsid w:val="0095251E"/>
    <w:rsid w:val="00952795"/>
    <w:rsid w:val="009529BD"/>
    <w:rsid w:val="00952A36"/>
    <w:rsid w:val="00952E13"/>
    <w:rsid w:val="00952FCD"/>
    <w:rsid w:val="0095342B"/>
    <w:rsid w:val="009538E7"/>
    <w:rsid w:val="00953990"/>
    <w:rsid w:val="00953B49"/>
    <w:rsid w:val="00953BF5"/>
    <w:rsid w:val="00953C8F"/>
    <w:rsid w:val="00953CCB"/>
    <w:rsid w:val="00953D09"/>
    <w:rsid w:val="00953E6C"/>
    <w:rsid w:val="00954285"/>
    <w:rsid w:val="00954401"/>
    <w:rsid w:val="009548BE"/>
    <w:rsid w:val="00954944"/>
    <w:rsid w:val="00954ACF"/>
    <w:rsid w:val="00954EBF"/>
    <w:rsid w:val="00955008"/>
    <w:rsid w:val="009553B1"/>
    <w:rsid w:val="0095547B"/>
    <w:rsid w:val="0095558D"/>
    <w:rsid w:val="0095566A"/>
    <w:rsid w:val="009556EB"/>
    <w:rsid w:val="009557DF"/>
    <w:rsid w:val="00955813"/>
    <w:rsid w:val="00955A23"/>
    <w:rsid w:val="00955C8C"/>
    <w:rsid w:val="00955E9E"/>
    <w:rsid w:val="009563DD"/>
    <w:rsid w:val="00956B9A"/>
    <w:rsid w:val="00956BD3"/>
    <w:rsid w:val="009570A8"/>
    <w:rsid w:val="00957CE4"/>
    <w:rsid w:val="00957E69"/>
    <w:rsid w:val="0096000C"/>
    <w:rsid w:val="00960159"/>
    <w:rsid w:val="009601FE"/>
    <w:rsid w:val="00961453"/>
    <w:rsid w:val="0096162F"/>
    <w:rsid w:val="0096199F"/>
    <w:rsid w:val="00961C2F"/>
    <w:rsid w:val="00961C75"/>
    <w:rsid w:val="00961D43"/>
    <w:rsid w:val="0096207B"/>
    <w:rsid w:val="00962197"/>
    <w:rsid w:val="00962546"/>
    <w:rsid w:val="00962710"/>
    <w:rsid w:val="00962952"/>
    <w:rsid w:val="00962A84"/>
    <w:rsid w:val="00962C01"/>
    <w:rsid w:val="00962DC9"/>
    <w:rsid w:val="00962F4B"/>
    <w:rsid w:val="00963319"/>
    <w:rsid w:val="00963492"/>
    <w:rsid w:val="009637C2"/>
    <w:rsid w:val="00963877"/>
    <w:rsid w:val="00963A6E"/>
    <w:rsid w:val="00963A79"/>
    <w:rsid w:val="00963BC1"/>
    <w:rsid w:val="00963CA9"/>
    <w:rsid w:val="00963D89"/>
    <w:rsid w:val="00963E17"/>
    <w:rsid w:val="009642F8"/>
    <w:rsid w:val="009643BC"/>
    <w:rsid w:val="009645A9"/>
    <w:rsid w:val="00964695"/>
    <w:rsid w:val="009646E8"/>
    <w:rsid w:val="00964ADB"/>
    <w:rsid w:val="00965054"/>
    <w:rsid w:val="00965626"/>
    <w:rsid w:val="00966229"/>
    <w:rsid w:val="0096636F"/>
    <w:rsid w:val="00966966"/>
    <w:rsid w:val="00966A06"/>
    <w:rsid w:val="00966A07"/>
    <w:rsid w:val="00966A7C"/>
    <w:rsid w:val="00966F28"/>
    <w:rsid w:val="00966FDB"/>
    <w:rsid w:val="009671F7"/>
    <w:rsid w:val="00967467"/>
    <w:rsid w:val="009674B9"/>
    <w:rsid w:val="009674E9"/>
    <w:rsid w:val="009676F4"/>
    <w:rsid w:val="0096770C"/>
    <w:rsid w:val="00967DAE"/>
    <w:rsid w:val="00967DBB"/>
    <w:rsid w:val="00967F27"/>
    <w:rsid w:val="00967FAE"/>
    <w:rsid w:val="0096EB34"/>
    <w:rsid w:val="009700FB"/>
    <w:rsid w:val="00970677"/>
    <w:rsid w:val="00970882"/>
    <w:rsid w:val="00970AAB"/>
    <w:rsid w:val="00970B19"/>
    <w:rsid w:val="00970BBB"/>
    <w:rsid w:val="00970C18"/>
    <w:rsid w:val="00970DD1"/>
    <w:rsid w:val="00970DD3"/>
    <w:rsid w:val="009711D9"/>
    <w:rsid w:val="009718D2"/>
    <w:rsid w:val="00971908"/>
    <w:rsid w:val="00971B71"/>
    <w:rsid w:val="00972041"/>
    <w:rsid w:val="009722A5"/>
    <w:rsid w:val="00972491"/>
    <w:rsid w:val="009724FD"/>
    <w:rsid w:val="0097265C"/>
    <w:rsid w:val="00972A01"/>
    <w:rsid w:val="00972B7B"/>
    <w:rsid w:val="00972F61"/>
    <w:rsid w:val="00973180"/>
    <w:rsid w:val="009739E4"/>
    <w:rsid w:val="00973BA2"/>
    <w:rsid w:val="00973D0A"/>
    <w:rsid w:val="00973EA9"/>
    <w:rsid w:val="00973FAF"/>
    <w:rsid w:val="00974041"/>
    <w:rsid w:val="009742BA"/>
    <w:rsid w:val="009742DA"/>
    <w:rsid w:val="009742DD"/>
    <w:rsid w:val="00974482"/>
    <w:rsid w:val="009744B7"/>
    <w:rsid w:val="00974504"/>
    <w:rsid w:val="009748EB"/>
    <w:rsid w:val="00974ADF"/>
    <w:rsid w:val="00974DD8"/>
    <w:rsid w:val="00974E74"/>
    <w:rsid w:val="00974FC2"/>
    <w:rsid w:val="00975678"/>
    <w:rsid w:val="00975720"/>
    <w:rsid w:val="0097584E"/>
    <w:rsid w:val="00975A4A"/>
    <w:rsid w:val="00975C0B"/>
    <w:rsid w:val="00975FD2"/>
    <w:rsid w:val="00976001"/>
    <w:rsid w:val="009760EE"/>
    <w:rsid w:val="00976248"/>
    <w:rsid w:val="0097624B"/>
    <w:rsid w:val="00976379"/>
    <w:rsid w:val="00976413"/>
    <w:rsid w:val="009767B4"/>
    <w:rsid w:val="009768DA"/>
    <w:rsid w:val="00976BA5"/>
    <w:rsid w:val="00976C76"/>
    <w:rsid w:val="009773FE"/>
    <w:rsid w:val="009774FA"/>
    <w:rsid w:val="00977654"/>
    <w:rsid w:val="00977944"/>
    <w:rsid w:val="00977C83"/>
    <w:rsid w:val="00977D37"/>
    <w:rsid w:val="00977D8B"/>
    <w:rsid w:val="009800FC"/>
    <w:rsid w:val="009801E5"/>
    <w:rsid w:val="009807AE"/>
    <w:rsid w:val="00980B39"/>
    <w:rsid w:val="00980C2F"/>
    <w:rsid w:val="009811D2"/>
    <w:rsid w:val="00981620"/>
    <w:rsid w:val="00981660"/>
    <w:rsid w:val="009816B5"/>
    <w:rsid w:val="00981828"/>
    <w:rsid w:val="00981854"/>
    <w:rsid w:val="00981ED7"/>
    <w:rsid w:val="00981F2A"/>
    <w:rsid w:val="009828BD"/>
    <w:rsid w:val="00982922"/>
    <w:rsid w:val="00982EC2"/>
    <w:rsid w:val="00983566"/>
    <w:rsid w:val="0098419B"/>
    <w:rsid w:val="009844E6"/>
    <w:rsid w:val="00984722"/>
    <w:rsid w:val="00984790"/>
    <w:rsid w:val="009848A7"/>
    <w:rsid w:val="00984D7C"/>
    <w:rsid w:val="0098516C"/>
    <w:rsid w:val="009851C1"/>
    <w:rsid w:val="00985833"/>
    <w:rsid w:val="009858AC"/>
    <w:rsid w:val="00985DDF"/>
    <w:rsid w:val="00985E6B"/>
    <w:rsid w:val="009860A9"/>
    <w:rsid w:val="009861F4"/>
    <w:rsid w:val="00986834"/>
    <w:rsid w:val="00986A0F"/>
    <w:rsid w:val="00986B07"/>
    <w:rsid w:val="00986BEB"/>
    <w:rsid w:val="009870CB"/>
    <w:rsid w:val="009870E2"/>
    <w:rsid w:val="0098719E"/>
    <w:rsid w:val="00987823"/>
    <w:rsid w:val="009878A4"/>
    <w:rsid w:val="00987945"/>
    <w:rsid w:val="009879F2"/>
    <w:rsid w:val="00987ED1"/>
    <w:rsid w:val="0099030D"/>
    <w:rsid w:val="00990334"/>
    <w:rsid w:val="00990AC9"/>
    <w:rsid w:val="00990B41"/>
    <w:rsid w:val="00991150"/>
    <w:rsid w:val="00991158"/>
    <w:rsid w:val="00991654"/>
    <w:rsid w:val="0099198F"/>
    <w:rsid w:val="0099199E"/>
    <w:rsid w:val="00991C81"/>
    <w:rsid w:val="00991D03"/>
    <w:rsid w:val="00991E2B"/>
    <w:rsid w:val="00991FDD"/>
    <w:rsid w:val="00992182"/>
    <w:rsid w:val="009921E3"/>
    <w:rsid w:val="009922D0"/>
    <w:rsid w:val="00992564"/>
    <w:rsid w:val="00992C65"/>
    <w:rsid w:val="0099361C"/>
    <w:rsid w:val="00993993"/>
    <w:rsid w:val="009939AA"/>
    <w:rsid w:val="00993ABE"/>
    <w:rsid w:val="00993C26"/>
    <w:rsid w:val="00993C2F"/>
    <w:rsid w:val="00993C6C"/>
    <w:rsid w:val="009940E3"/>
    <w:rsid w:val="009941A0"/>
    <w:rsid w:val="00994BB6"/>
    <w:rsid w:val="00994E42"/>
    <w:rsid w:val="00994EE3"/>
    <w:rsid w:val="00994F46"/>
    <w:rsid w:val="0099521B"/>
    <w:rsid w:val="009959C3"/>
    <w:rsid w:val="00995C44"/>
    <w:rsid w:val="00995D72"/>
    <w:rsid w:val="00995EB2"/>
    <w:rsid w:val="0099639A"/>
    <w:rsid w:val="00996439"/>
    <w:rsid w:val="0099643F"/>
    <w:rsid w:val="009964FC"/>
    <w:rsid w:val="0099695A"/>
    <w:rsid w:val="00996B4D"/>
    <w:rsid w:val="00996E00"/>
    <w:rsid w:val="00996EBD"/>
    <w:rsid w:val="00996F13"/>
    <w:rsid w:val="0099712F"/>
    <w:rsid w:val="00997453"/>
    <w:rsid w:val="009977C0"/>
    <w:rsid w:val="00997825"/>
    <w:rsid w:val="009978B3"/>
    <w:rsid w:val="00997E1E"/>
    <w:rsid w:val="00997EEA"/>
    <w:rsid w:val="009A023A"/>
    <w:rsid w:val="009A04A5"/>
    <w:rsid w:val="009A06AF"/>
    <w:rsid w:val="009A1287"/>
    <w:rsid w:val="009A12E4"/>
    <w:rsid w:val="009A1615"/>
    <w:rsid w:val="009A16A2"/>
    <w:rsid w:val="009A1B40"/>
    <w:rsid w:val="009A1BE3"/>
    <w:rsid w:val="009A1D43"/>
    <w:rsid w:val="009A1FE9"/>
    <w:rsid w:val="009A2186"/>
    <w:rsid w:val="009A249D"/>
    <w:rsid w:val="009A2895"/>
    <w:rsid w:val="009A2930"/>
    <w:rsid w:val="009A299C"/>
    <w:rsid w:val="009A2C84"/>
    <w:rsid w:val="009A30DB"/>
    <w:rsid w:val="009A3150"/>
    <w:rsid w:val="009A320E"/>
    <w:rsid w:val="009A3275"/>
    <w:rsid w:val="009A329C"/>
    <w:rsid w:val="009A32A9"/>
    <w:rsid w:val="009A35A0"/>
    <w:rsid w:val="009A41CC"/>
    <w:rsid w:val="009A457D"/>
    <w:rsid w:val="009A49DA"/>
    <w:rsid w:val="009A4A27"/>
    <w:rsid w:val="009A4E87"/>
    <w:rsid w:val="009A4ED7"/>
    <w:rsid w:val="009A4F54"/>
    <w:rsid w:val="009A4F67"/>
    <w:rsid w:val="009A4FE5"/>
    <w:rsid w:val="009A51AC"/>
    <w:rsid w:val="009A53BA"/>
    <w:rsid w:val="009A5400"/>
    <w:rsid w:val="009A5FF7"/>
    <w:rsid w:val="009A602B"/>
    <w:rsid w:val="009A66FE"/>
    <w:rsid w:val="009A68D7"/>
    <w:rsid w:val="009A70F2"/>
    <w:rsid w:val="009A7344"/>
    <w:rsid w:val="009A794B"/>
    <w:rsid w:val="009A7ACC"/>
    <w:rsid w:val="009A7CFA"/>
    <w:rsid w:val="009B0C51"/>
    <w:rsid w:val="009B0CD9"/>
    <w:rsid w:val="009B1855"/>
    <w:rsid w:val="009B1A0C"/>
    <w:rsid w:val="009B2183"/>
    <w:rsid w:val="009B23DD"/>
    <w:rsid w:val="009B29AC"/>
    <w:rsid w:val="009B2A39"/>
    <w:rsid w:val="009B2CC0"/>
    <w:rsid w:val="009B2CDF"/>
    <w:rsid w:val="009B2DF8"/>
    <w:rsid w:val="009B363D"/>
    <w:rsid w:val="009B36D3"/>
    <w:rsid w:val="009B392D"/>
    <w:rsid w:val="009B3C3B"/>
    <w:rsid w:val="009B3C7E"/>
    <w:rsid w:val="009B3D10"/>
    <w:rsid w:val="009B3F93"/>
    <w:rsid w:val="009B4223"/>
    <w:rsid w:val="009B498C"/>
    <w:rsid w:val="009B4B7F"/>
    <w:rsid w:val="009B4DDF"/>
    <w:rsid w:val="009B550C"/>
    <w:rsid w:val="009B567B"/>
    <w:rsid w:val="009B56D8"/>
    <w:rsid w:val="009B5897"/>
    <w:rsid w:val="009B5CB0"/>
    <w:rsid w:val="009B5F88"/>
    <w:rsid w:val="009B607A"/>
    <w:rsid w:val="009B61C8"/>
    <w:rsid w:val="009B62C8"/>
    <w:rsid w:val="009B6384"/>
    <w:rsid w:val="009B666D"/>
    <w:rsid w:val="009B6E77"/>
    <w:rsid w:val="009B71DE"/>
    <w:rsid w:val="009B72B2"/>
    <w:rsid w:val="009B7342"/>
    <w:rsid w:val="009B752F"/>
    <w:rsid w:val="009B76BD"/>
    <w:rsid w:val="009B76C5"/>
    <w:rsid w:val="009B7780"/>
    <w:rsid w:val="009B79A2"/>
    <w:rsid w:val="009B7A4B"/>
    <w:rsid w:val="009B7BA9"/>
    <w:rsid w:val="009C0032"/>
    <w:rsid w:val="009C0318"/>
    <w:rsid w:val="009C0538"/>
    <w:rsid w:val="009C0657"/>
    <w:rsid w:val="009C08EC"/>
    <w:rsid w:val="009C0B34"/>
    <w:rsid w:val="009C0F35"/>
    <w:rsid w:val="009C0FCD"/>
    <w:rsid w:val="009C0FDF"/>
    <w:rsid w:val="009C1006"/>
    <w:rsid w:val="009C10C1"/>
    <w:rsid w:val="009C13CC"/>
    <w:rsid w:val="009C16EA"/>
    <w:rsid w:val="009C17DD"/>
    <w:rsid w:val="009C181F"/>
    <w:rsid w:val="009C1A0A"/>
    <w:rsid w:val="009C1A46"/>
    <w:rsid w:val="009C1BB2"/>
    <w:rsid w:val="009C1FC4"/>
    <w:rsid w:val="009C20C3"/>
    <w:rsid w:val="009C26A1"/>
    <w:rsid w:val="009C287A"/>
    <w:rsid w:val="009C293C"/>
    <w:rsid w:val="009C2A82"/>
    <w:rsid w:val="009C2B34"/>
    <w:rsid w:val="009C2BDA"/>
    <w:rsid w:val="009C3862"/>
    <w:rsid w:val="009C3AC4"/>
    <w:rsid w:val="009C4291"/>
    <w:rsid w:val="009C44E9"/>
    <w:rsid w:val="009C4664"/>
    <w:rsid w:val="009C4698"/>
    <w:rsid w:val="009C4DD1"/>
    <w:rsid w:val="009C4F55"/>
    <w:rsid w:val="009C594A"/>
    <w:rsid w:val="009C5AC0"/>
    <w:rsid w:val="009C5E5D"/>
    <w:rsid w:val="009C5FF2"/>
    <w:rsid w:val="009C6338"/>
    <w:rsid w:val="009C6556"/>
    <w:rsid w:val="009C65B2"/>
    <w:rsid w:val="009C68A1"/>
    <w:rsid w:val="009C68BC"/>
    <w:rsid w:val="009C69A3"/>
    <w:rsid w:val="009C6CB6"/>
    <w:rsid w:val="009C6FC6"/>
    <w:rsid w:val="009C717D"/>
    <w:rsid w:val="009C732C"/>
    <w:rsid w:val="009C780E"/>
    <w:rsid w:val="009C7ACC"/>
    <w:rsid w:val="009C7C75"/>
    <w:rsid w:val="009C7E1F"/>
    <w:rsid w:val="009D005B"/>
    <w:rsid w:val="009D009E"/>
    <w:rsid w:val="009D0450"/>
    <w:rsid w:val="009D0839"/>
    <w:rsid w:val="009D0D86"/>
    <w:rsid w:val="009D0E71"/>
    <w:rsid w:val="009D0ECC"/>
    <w:rsid w:val="009D0F7A"/>
    <w:rsid w:val="009D0FCD"/>
    <w:rsid w:val="009D15DA"/>
    <w:rsid w:val="009D17B8"/>
    <w:rsid w:val="009D1874"/>
    <w:rsid w:val="009D1B54"/>
    <w:rsid w:val="009D1B8A"/>
    <w:rsid w:val="009D1CFE"/>
    <w:rsid w:val="009D1E21"/>
    <w:rsid w:val="009D1E68"/>
    <w:rsid w:val="009D2235"/>
    <w:rsid w:val="009D23A6"/>
    <w:rsid w:val="009D23FB"/>
    <w:rsid w:val="009D2405"/>
    <w:rsid w:val="009D244C"/>
    <w:rsid w:val="009D2472"/>
    <w:rsid w:val="009D26EC"/>
    <w:rsid w:val="009D2B92"/>
    <w:rsid w:val="009D3013"/>
    <w:rsid w:val="009D313D"/>
    <w:rsid w:val="009D3353"/>
    <w:rsid w:val="009D3596"/>
    <w:rsid w:val="009D3760"/>
    <w:rsid w:val="009D3B6D"/>
    <w:rsid w:val="009D45DA"/>
    <w:rsid w:val="009D4614"/>
    <w:rsid w:val="009D4786"/>
    <w:rsid w:val="009D484A"/>
    <w:rsid w:val="009D4A28"/>
    <w:rsid w:val="009D4B85"/>
    <w:rsid w:val="009D4E40"/>
    <w:rsid w:val="009D5332"/>
    <w:rsid w:val="009D5724"/>
    <w:rsid w:val="009D57A2"/>
    <w:rsid w:val="009D5A4A"/>
    <w:rsid w:val="009D5EAB"/>
    <w:rsid w:val="009D6223"/>
    <w:rsid w:val="009D65FB"/>
    <w:rsid w:val="009D6823"/>
    <w:rsid w:val="009D68E8"/>
    <w:rsid w:val="009D696F"/>
    <w:rsid w:val="009D6E97"/>
    <w:rsid w:val="009D6FC5"/>
    <w:rsid w:val="009D7138"/>
    <w:rsid w:val="009D7321"/>
    <w:rsid w:val="009D7562"/>
    <w:rsid w:val="009D75B8"/>
    <w:rsid w:val="009D773D"/>
    <w:rsid w:val="009D7750"/>
    <w:rsid w:val="009D7A0B"/>
    <w:rsid w:val="009D7D12"/>
    <w:rsid w:val="009D7DAD"/>
    <w:rsid w:val="009D7E08"/>
    <w:rsid w:val="009E02EB"/>
    <w:rsid w:val="009E036A"/>
    <w:rsid w:val="009E0803"/>
    <w:rsid w:val="009E0AE2"/>
    <w:rsid w:val="009E0DC1"/>
    <w:rsid w:val="009E0E4F"/>
    <w:rsid w:val="009E0F22"/>
    <w:rsid w:val="009E0F2D"/>
    <w:rsid w:val="009E1065"/>
    <w:rsid w:val="009E10F0"/>
    <w:rsid w:val="009E11A9"/>
    <w:rsid w:val="009E1405"/>
    <w:rsid w:val="009E16B4"/>
    <w:rsid w:val="009E1926"/>
    <w:rsid w:val="009E1978"/>
    <w:rsid w:val="009E1BCC"/>
    <w:rsid w:val="009E2213"/>
    <w:rsid w:val="009E28DD"/>
    <w:rsid w:val="009E2B2F"/>
    <w:rsid w:val="009E2C69"/>
    <w:rsid w:val="009E2D80"/>
    <w:rsid w:val="009E2DA3"/>
    <w:rsid w:val="009E335F"/>
    <w:rsid w:val="009E3517"/>
    <w:rsid w:val="009E3620"/>
    <w:rsid w:val="009E3892"/>
    <w:rsid w:val="009E395A"/>
    <w:rsid w:val="009E397A"/>
    <w:rsid w:val="009E3994"/>
    <w:rsid w:val="009E4151"/>
    <w:rsid w:val="009E43CB"/>
    <w:rsid w:val="009E4715"/>
    <w:rsid w:val="009E4772"/>
    <w:rsid w:val="009E4A6F"/>
    <w:rsid w:val="009E4D7D"/>
    <w:rsid w:val="009E4E89"/>
    <w:rsid w:val="009E51E1"/>
    <w:rsid w:val="009E52F3"/>
    <w:rsid w:val="009E54A3"/>
    <w:rsid w:val="009E54E5"/>
    <w:rsid w:val="009E55A5"/>
    <w:rsid w:val="009E5606"/>
    <w:rsid w:val="009E562C"/>
    <w:rsid w:val="009E56D4"/>
    <w:rsid w:val="009E5788"/>
    <w:rsid w:val="009E5CF0"/>
    <w:rsid w:val="009E5E19"/>
    <w:rsid w:val="009E5FB8"/>
    <w:rsid w:val="009E6245"/>
    <w:rsid w:val="009E6705"/>
    <w:rsid w:val="009E694A"/>
    <w:rsid w:val="009E7356"/>
    <w:rsid w:val="009E7927"/>
    <w:rsid w:val="009E7AC7"/>
    <w:rsid w:val="009E7B70"/>
    <w:rsid w:val="009E7C1C"/>
    <w:rsid w:val="009E7FF7"/>
    <w:rsid w:val="009F038D"/>
    <w:rsid w:val="009F0CE6"/>
    <w:rsid w:val="009F13BF"/>
    <w:rsid w:val="009F147C"/>
    <w:rsid w:val="009F1623"/>
    <w:rsid w:val="009F16CF"/>
    <w:rsid w:val="009F175E"/>
    <w:rsid w:val="009F17ED"/>
    <w:rsid w:val="009F185C"/>
    <w:rsid w:val="009F18BB"/>
    <w:rsid w:val="009F1D34"/>
    <w:rsid w:val="009F1DC7"/>
    <w:rsid w:val="009F20F3"/>
    <w:rsid w:val="009F26FB"/>
    <w:rsid w:val="009F29B0"/>
    <w:rsid w:val="009F2A77"/>
    <w:rsid w:val="009F2C40"/>
    <w:rsid w:val="009F3212"/>
    <w:rsid w:val="009F32F6"/>
    <w:rsid w:val="009F3305"/>
    <w:rsid w:val="009F3443"/>
    <w:rsid w:val="009F36D5"/>
    <w:rsid w:val="009F3826"/>
    <w:rsid w:val="009F3933"/>
    <w:rsid w:val="009F3CB7"/>
    <w:rsid w:val="009F3CF3"/>
    <w:rsid w:val="009F3D26"/>
    <w:rsid w:val="009F3E39"/>
    <w:rsid w:val="009F3EAE"/>
    <w:rsid w:val="009F4090"/>
    <w:rsid w:val="009F4546"/>
    <w:rsid w:val="009F4770"/>
    <w:rsid w:val="009F4907"/>
    <w:rsid w:val="009F49F1"/>
    <w:rsid w:val="009F4B76"/>
    <w:rsid w:val="009F4B98"/>
    <w:rsid w:val="009F4C47"/>
    <w:rsid w:val="009F4D37"/>
    <w:rsid w:val="009F512A"/>
    <w:rsid w:val="009F528F"/>
    <w:rsid w:val="009F52DB"/>
    <w:rsid w:val="009F5512"/>
    <w:rsid w:val="009F5A19"/>
    <w:rsid w:val="009F5BC8"/>
    <w:rsid w:val="009F5C1C"/>
    <w:rsid w:val="009F5DC5"/>
    <w:rsid w:val="009F5F6C"/>
    <w:rsid w:val="009F62DF"/>
    <w:rsid w:val="009F6469"/>
    <w:rsid w:val="009F65C3"/>
    <w:rsid w:val="009F65E8"/>
    <w:rsid w:val="009F69EC"/>
    <w:rsid w:val="009F6AC9"/>
    <w:rsid w:val="009F6CEA"/>
    <w:rsid w:val="009F71B5"/>
    <w:rsid w:val="009F7376"/>
    <w:rsid w:val="009F7626"/>
    <w:rsid w:val="009F7BFB"/>
    <w:rsid w:val="009F7D19"/>
    <w:rsid w:val="00A000DD"/>
    <w:rsid w:val="00A00279"/>
    <w:rsid w:val="00A004D2"/>
    <w:rsid w:val="00A00A4F"/>
    <w:rsid w:val="00A00B27"/>
    <w:rsid w:val="00A00BDB"/>
    <w:rsid w:val="00A00C9F"/>
    <w:rsid w:val="00A00F69"/>
    <w:rsid w:val="00A00FF1"/>
    <w:rsid w:val="00A0135B"/>
    <w:rsid w:val="00A015E2"/>
    <w:rsid w:val="00A01A19"/>
    <w:rsid w:val="00A01E10"/>
    <w:rsid w:val="00A01E94"/>
    <w:rsid w:val="00A02690"/>
    <w:rsid w:val="00A027E2"/>
    <w:rsid w:val="00A028CF"/>
    <w:rsid w:val="00A02A57"/>
    <w:rsid w:val="00A03128"/>
    <w:rsid w:val="00A0322F"/>
    <w:rsid w:val="00A036D0"/>
    <w:rsid w:val="00A03877"/>
    <w:rsid w:val="00A03E19"/>
    <w:rsid w:val="00A03F3D"/>
    <w:rsid w:val="00A041FF"/>
    <w:rsid w:val="00A04457"/>
    <w:rsid w:val="00A045DA"/>
    <w:rsid w:val="00A045F5"/>
    <w:rsid w:val="00A0512E"/>
    <w:rsid w:val="00A0564C"/>
    <w:rsid w:val="00A057A8"/>
    <w:rsid w:val="00A058FA"/>
    <w:rsid w:val="00A05B38"/>
    <w:rsid w:val="00A05C02"/>
    <w:rsid w:val="00A05CCD"/>
    <w:rsid w:val="00A060FD"/>
    <w:rsid w:val="00A061CA"/>
    <w:rsid w:val="00A06713"/>
    <w:rsid w:val="00A0685D"/>
    <w:rsid w:val="00A06995"/>
    <w:rsid w:val="00A077A2"/>
    <w:rsid w:val="00A07819"/>
    <w:rsid w:val="00A07D0F"/>
    <w:rsid w:val="00A07D5C"/>
    <w:rsid w:val="00A07F36"/>
    <w:rsid w:val="00A100B6"/>
    <w:rsid w:val="00A1015A"/>
    <w:rsid w:val="00A101AC"/>
    <w:rsid w:val="00A104D4"/>
    <w:rsid w:val="00A105DA"/>
    <w:rsid w:val="00A1090B"/>
    <w:rsid w:val="00A10EF9"/>
    <w:rsid w:val="00A10F7B"/>
    <w:rsid w:val="00A11963"/>
    <w:rsid w:val="00A11CBB"/>
    <w:rsid w:val="00A11EE1"/>
    <w:rsid w:val="00A11FEA"/>
    <w:rsid w:val="00A1209C"/>
    <w:rsid w:val="00A12871"/>
    <w:rsid w:val="00A139AD"/>
    <w:rsid w:val="00A13C27"/>
    <w:rsid w:val="00A13D10"/>
    <w:rsid w:val="00A13EF2"/>
    <w:rsid w:val="00A145CF"/>
    <w:rsid w:val="00A14A3E"/>
    <w:rsid w:val="00A15279"/>
    <w:rsid w:val="00A15521"/>
    <w:rsid w:val="00A159E6"/>
    <w:rsid w:val="00A162AB"/>
    <w:rsid w:val="00A16486"/>
    <w:rsid w:val="00A16708"/>
    <w:rsid w:val="00A16722"/>
    <w:rsid w:val="00A16738"/>
    <w:rsid w:val="00A16E61"/>
    <w:rsid w:val="00A171E7"/>
    <w:rsid w:val="00A177F7"/>
    <w:rsid w:val="00A17B23"/>
    <w:rsid w:val="00A17DF0"/>
    <w:rsid w:val="00A17F10"/>
    <w:rsid w:val="00A20031"/>
    <w:rsid w:val="00A2021D"/>
    <w:rsid w:val="00A202D5"/>
    <w:rsid w:val="00A204B7"/>
    <w:rsid w:val="00A20565"/>
    <w:rsid w:val="00A2057E"/>
    <w:rsid w:val="00A20C3B"/>
    <w:rsid w:val="00A20CB4"/>
    <w:rsid w:val="00A2112E"/>
    <w:rsid w:val="00A21466"/>
    <w:rsid w:val="00A2170B"/>
    <w:rsid w:val="00A21769"/>
    <w:rsid w:val="00A220BC"/>
    <w:rsid w:val="00A22110"/>
    <w:rsid w:val="00A2226E"/>
    <w:rsid w:val="00A225C5"/>
    <w:rsid w:val="00A22653"/>
    <w:rsid w:val="00A22849"/>
    <w:rsid w:val="00A2293D"/>
    <w:rsid w:val="00A22C02"/>
    <w:rsid w:val="00A22C7A"/>
    <w:rsid w:val="00A2342C"/>
    <w:rsid w:val="00A23CDC"/>
    <w:rsid w:val="00A23FF8"/>
    <w:rsid w:val="00A24596"/>
    <w:rsid w:val="00A247CB"/>
    <w:rsid w:val="00A24A48"/>
    <w:rsid w:val="00A24B06"/>
    <w:rsid w:val="00A24B24"/>
    <w:rsid w:val="00A24BD5"/>
    <w:rsid w:val="00A24F29"/>
    <w:rsid w:val="00A251AA"/>
    <w:rsid w:val="00A25388"/>
    <w:rsid w:val="00A25416"/>
    <w:rsid w:val="00A25C38"/>
    <w:rsid w:val="00A25E6C"/>
    <w:rsid w:val="00A2605F"/>
    <w:rsid w:val="00A2632A"/>
    <w:rsid w:val="00A26692"/>
    <w:rsid w:val="00A26994"/>
    <w:rsid w:val="00A26B70"/>
    <w:rsid w:val="00A272E2"/>
    <w:rsid w:val="00A27408"/>
    <w:rsid w:val="00A279BF"/>
    <w:rsid w:val="00A27A13"/>
    <w:rsid w:val="00A27B65"/>
    <w:rsid w:val="00A27D35"/>
    <w:rsid w:val="00A27E60"/>
    <w:rsid w:val="00A300A9"/>
    <w:rsid w:val="00A30336"/>
    <w:rsid w:val="00A30452"/>
    <w:rsid w:val="00A30698"/>
    <w:rsid w:val="00A306E2"/>
    <w:rsid w:val="00A30842"/>
    <w:rsid w:val="00A30CEE"/>
    <w:rsid w:val="00A30D06"/>
    <w:rsid w:val="00A30D29"/>
    <w:rsid w:val="00A30E04"/>
    <w:rsid w:val="00A30E89"/>
    <w:rsid w:val="00A31026"/>
    <w:rsid w:val="00A31319"/>
    <w:rsid w:val="00A315E0"/>
    <w:rsid w:val="00A31769"/>
    <w:rsid w:val="00A319F9"/>
    <w:rsid w:val="00A319FB"/>
    <w:rsid w:val="00A31A24"/>
    <w:rsid w:val="00A31E17"/>
    <w:rsid w:val="00A3226B"/>
    <w:rsid w:val="00A3265E"/>
    <w:rsid w:val="00A32715"/>
    <w:rsid w:val="00A32744"/>
    <w:rsid w:val="00A3276D"/>
    <w:rsid w:val="00A329C6"/>
    <w:rsid w:val="00A32A64"/>
    <w:rsid w:val="00A32E21"/>
    <w:rsid w:val="00A32F46"/>
    <w:rsid w:val="00A32F7B"/>
    <w:rsid w:val="00A33442"/>
    <w:rsid w:val="00A3366C"/>
    <w:rsid w:val="00A3367D"/>
    <w:rsid w:val="00A33DE3"/>
    <w:rsid w:val="00A34096"/>
    <w:rsid w:val="00A3421A"/>
    <w:rsid w:val="00A343B3"/>
    <w:rsid w:val="00A34421"/>
    <w:rsid w:val="00A34556"/>
    <w:rsid w:val="00A347FB"/>
    <w:rsid w:val="00A34978"/>
    <w:rsid w:val="00A34B75"/>
    <w:rsid w:val="00A34E15"/>
    <w:rsid w:val="00A34F28"/>
    <w:rsid w:val="00A34F66"/>
    <w:rsid w:val="00A350D8"/>
    <w:rsid w:val="00A3510F"/>
    <w:rsid w:val="00A357EE"/>
    <w:rsid w:val="00A36054"/>
    <w:rsid w:val="00A3609B"/>
    <w:rsid w:val="00A361D3"/>
    <w:rsid w:val="00A362E2"/>
    <w:rsid w:val="00A3684A"/>
    <w:rsid w:val="00A36F71"/>
    <w:rsid w:val="00A37A45"/>
    <w:rsid w:val="00A37AE6"/>
    <w:rsid w:val="00A37BA1"/>
    <w:rsid w:val="00A37D63"/>
    <w:rsid w:val="00A402C8"/>
    <w:rsid w:val="00A40680"/>
    <w:rsid w:val="00A40E3D"/>
    <w:rsid w:val="00A40EA6"/>
    <w:rsid w:val="00A40ED5"/>
    <w:rsid w:val="00A41286"/>
    <w:rsid w:val="00A413B3"/>
    <w:rsid w:val="00A41665"/>
    <w:rsid w:val="00A41C17"/>
    <w:rsid w:val="00A41F35"/>
    <w:rsid w:val="00A4201E"/>
    <w:rsid w:val="00A4206C"/>
    <w:rsid w:val="00A422D7"/>
    <w:rsid w:val="00A4231B"/>
    <w:rsid w:val="00A424F8"/>
    <w:rsid w:val="00A42A36"/>
    <w:rsid w:val="00A42D0B"/>
    <w:rsid w:val="00A43026"/>
    <w:rsid w:val="00A434E6"/>
    <w:rsid w:val="00A43B44"/>
    <w:rsid w:val="00A44055"/>
    <w:rsid w:val="00A449F1"/>
    <w:rsid w:val="00A44B78"/>
    <w:rsid w:val="00A44BEF"/>
    <w:rsid w:val="00A44C2D"/>
    <w:rsid w:val="00A44C3C"/>
    <w:rsid w:val="00A44C86"/>
    <w:rsid w:val="00A44DA8"/>
    <w:rsid w:val="00A44E51"/>
    <w:rsid w:val="00A4501E"/>
    <w:rsid w:val="00A45049"/>
    <w:rsid w:val="00A45248"/>
    <w:rsid w:val="00A453B3"/>
    <w:rsid w:val="00A45601"/>
    <w:rsid w:val="00A45E80"/>
    <w:rsid w:val="00A46033"/>
    <w:rsid w:val="00A46366"/>
    <w:rsid w:val="00A4643E"/>
    <w:rsid w:val="00A4660E"/>
    <w:rsid w:val="00A46620"/>
    <w:rsid w:val="00A46977"/>
    <w:rsid w:val="00A46FCA"/>
    <w:rsid w:val="00A47440"/>
    <w:rsid w:val="00A475A5"/>
    <w:rsid w:val="00A475F7"/>
    <w:rsid w:val="00A47761"/>
    <w:rsid w:val="00A478B6"/>
    <w:rsid w:val="00A47C4E"/>
    <w:rsid w:val="00A47DBA"/>
    <w:rsid w:val="00A47E57"/>
    <w:rsid w:val="00A5013F"/>
    <w:rsid w:val="00A50190"/>
    <w:rsid w:val="00A503BB"/>
    <w:rsid w:val="00A506B6"/>
    <w:rsid w:val="00A507DB"/>
    <w:rsid w:val="00A507F5"/>
    <w:rsid w:val="00A5085A"/>
    <w:rsid w:val="00A50C93"/>
    <w:rsid w:val="00A50EB4"/>
    <w:rsid w:val="00A512D1"/>
    <w:rsid w:val="00A5198D"/>
    <w:rsid w:val="00A51A91"/>
    <w:rsid w:val="00A51C18"/>
    <w:rsid w:val="00A51EC0"/>
    <w:rsid w:val="00A51F5D"/>
    <w:rsid w:val="00A52185"/>
    <w:rsid w:val="00A5231A"/>
    <w:rsid w:val="00A52753"/>
    <w:rsid w:val="00A52D84"/>
    <w:rsid w:val="00A530F7"/>
    <w:rsid w:val="00A5355D"/>
    <w:rsid w:val="00A53599"/>
    <w:rsid w:val="00A536ED"/>
    <w:rsid w:val="00A53AAD"/>
    <w:rsid w:val="00A53B1F"/>
    <w:rsid w:val="00A53CDD"/>
    <w:rsid w:val="00A53F62"/>
    <w:rsid w:val="00A53F82"/>
    <w:rsid w:val="00A53FF1"/>
    <w:rsid w:val="00A5432A"/>
    <w:rsid w:val="00A5476B"/>
    <w:rsid w:val="00A54A66"/>
    <w:rsid w:val="00A54C9A"/>
    <w:rsid w:val="00A550E8"/>
    <w:rsid w:val="00A55237"/>
    <w:rsid w:val="00A554BF"/>
    <w:rsid w:val="00A5555D"/>
    <w:rsid w:val="00A556D1"/>
    <w:rsid w:val="00A5570C"/>
    <w:rsid w:val="00A55808"/>
    <w:rsid w:val="00A55C25"/>
    <w:rsid w:val="00A55F83"/>
    <w:rsid w:val="00A560E0"/>
    <w:rsid w:val="00A5624F"/>
    <w:rsid w:val="00A5652C"/>
    <w:rsid w:val="00A5678A"/>
    <w:rsid w:val="00A569C7"/>
    <w:rsid w:val="00A56A30"/>
    <w:rsid w:val="00A56E8B"/>
    <w:rsid w:val="00A56EA1"/>
    <w:rsid w:val="00A5711B"/>
    <w:rsid w:val="00A5726F"/>
    <w:rsid w:val="00A573C3"/>
    <w:rsid w:val="00A574FA"/>
    <w:rsid w:val="00A57765"/>
    <w:rsid w:val="00A577C3"/>
    <w:rsid w:val="00A579AE"/>
    <w:rsid w:val="00A57A65"/>
    <w:rsid w:val="00A57B30"/>
    <w:rsid w:val="00A57E9A"/>
    <w:rsid w:val="00A57EAC"/>
    <w:rsid w:val="00A57EB2"/>
    <w:rsid w:val="00A57FC4"/>
    <w:rsid w:val="00A6026F"/>
    <w:rsid w:val="00A602A3"/>
    <w:rsid w:val="00A604D5"/>
    <w:rsid w:val="00A60642"/>
    <w:rsid w:val="00A60928"/>
    <w:rsid w:val="00A60FD4"/>
    <w:rsid w:val="00A61491"/>
    <w:rsid w:val="00A614D8"/>
    <w:rsid w:val="00A61526"/>
    <w:rsid w:val="00A61599"/>
    <w:rsid w:val="00A616DA"/>
    <w:rsid w:val="00A61977"/>
    <w:rsid w:val="00A61AA8"/>
    <w:rsid w:val="00A61BE1"/>
    <w:rsid w:val="00A61CAA"/>
    <w:rsid w:val="00A61D0A"/>
    <w:rsid w:val="00A61D94"/>
    <w:rsid w:val="00A61F9D"/>
    <w:rsid w:val="00A62117"/>
    <w:rsid w:val="00A6211E"/>
    <w:rsid w:val="00A62577"/>
    <w:rsid w:val="00A625B4"/>
    <w:rsid w:val="00A62723"/>
    <w:rsid w:val="00A62A82"/>
    <w:rsid w:val="00A62D58"/>
    <w:rsid w:val="00A62E7B"/>
    <w:rsid w:val="00A6305C"/>
    <w:rsid w:val="00A63580"/>
    <w:rsid w:val="00A635CC"/>
    <w:rsid w:val="00A638BF"/>
    <w:rsid w:val="00A639D3"/>
    <w:rsid w:val="00A63A27"/>
    <w:rsid w:val="00A64201"/>
    <w:rsid w:val="00A642F0"/>
    <w:rsid w:val="00A64B2E"/>
    <w:rsid w:val="00A64B9D"/>
    <w:rsid w:val="00A6504B"/>
    <w:rsid w:val="00A654E9"/>
    <w:rsid w:val="00A65702"/>
    <w:rsid w:val="00A65722"/>
    <w:rsid w:val="00A658BB"/>
    <w:rsid w:val="00A65CF0"/>
    <w:rsid w:val="00A65EFC"/>
    <w:rsid w:val="00A66614"/>
    <w:rsid w:val="00A66625"/>
    <w:rsid w:val="00A66645"/>
    <w:rsid w:val="00A66661"/>
    <w:rsid w:val="00A6685B"/>
    <w:rsid w:val="00A66BA5"/>
    <w:rsid w:val="00A66EE2"/>
    <w:rsid w:val="00A6783B"/>
    <w:rsid w:val="00A67CF2"/>
    <w:rsid w:val="00A67E7A"/>
    <w:rsid w:val="00A70315"/>
    <w:rsid w:val="00A70864"/>
    <w:rsid w:val="00A708A0"/>
    <w:rsid w:val="00A708A3"/>
    <w:rsid w:val="00A70F44"/>
    <w:rsid w:val="00A71133"/>
    <w:rsid w:val="00A71216"/>
    <w:rsid w:val="00A71284"/>
    <w:rsid w:val="00A7146A"/>
    <w:rsid w:val="00A7155F"/>
    <w:rsid w:val="00A7196D"/>
    <w:rsid w:val="00A7207B"/>
    <w:rsid w:val="00A7209C"/>
    <w:rsid w:val="00A7227C"/>
    <w:rsid w:val="00A72481"/>
    <w:rsid w:val="00A7248F"/>
    <w:rsid w:val="00A72589"/>
    <w:rsid w:val="00A7272B"/>
    <w:rsid w:val="00A72B25"/>
    <w:rsid w:val="00A72C2A"/>
    <w:rsid w:val="00A72CDB"/>
    <w:rsid w:val="00A731E8"/>
    <w:rsid w:val="00A73236"/>
    <w:rsid w:val="00A7330A"/>
    <w:rsid w:val="00A73D22"/>
    <w:rsid w:val="00A73D29"/>
    <w:rsid w:val="00A73E44"/>
    <w:rsid w:val="00A73F75"/>
    <w:rsid w:val="00A7405B"/>
    <w:rsid w:val="00A742F0"/>
    <w:rsid w:val="00A743D1"/>
    <w:rsid w:val="00A74537"/>
    <w:rsid w:val="00A745A3"/>
    <w:rsid w:val="00A747BC"/>
    <w:rsid w:val="00A7488D"/>
    <w:rsid w:val="00A74C71"/>
    <w:rsid w:val="00A752B6"/>
    <w:rsid w:val="00A75345"/>
    <w:rsid w:val="00A756CF"/>
    <w:rsid w:val="00A75844"/>
    <w:rsid w:val="00A75C25"/>
    <w:rsid w:val="00A761C7"/>
    <w:rsid w:val="00A76282"/>
    <w:rsid w:val="00A76424"/>
    <w:rsid w:val="00A76437"/>
    <w:rsid w:val="00A766AE"/>
    <w:rsid w:val="00A76886"/>
    <w:rsid w:val="00A768E6"/>
    <w:rsid w:val="00A7693D"/>
    <w:rsid w:val="00A76B54"/>
    <w:rsid w:val="00A76BBE"/>
    <w:rsid w:val="00A76EAA"/>
    <w:rsid w:val="00A772C9"/>
    <w:rsid w:val="00A77340"/>
    <w:rsid w:val="00A77362"/>
    <w:rsid w:val="00A77388"/>
    <w:rsid w:val="00A7758A"/>
    <w:rsid w:val="00A7794F"/>
    <w:rsid w:val="00A77D22"/>
    <w:rsid w:val="00A77D42"/>
    <w:rsid w:val="00A77D64"/>
    <w:rsid w:val="00A7C9CE"/>
    <w:rsid w:val="00A801D6"/>
    <w:rsid w:val="00A8046B"/>
    <w:rsid w:val="00A808F5"/>
    <w:rsid w:val="00A80AE1"/>
    <w:rsid w:val="00A8118C"/>
    <w:rsid w:val="00A81438"/>
    <w:rsid w:val="00A816CC"/>
    <w:rsid w:val="00A819B7"/>
    <w:rsid w:val="00A81A6F"/>
    <w:rsid w:val="00A81AA8"/>
    <w:rsid w:val="00A81B33"/>
    <w:rsid w:val="00A81B88"/>
    <w:rsid w:val="00A81C3D"/>
    <w:rsid w:val="00A81C7A"/>
    <w:rsid w:val="00A81DF0"/>
    <w:rsid w:val="00A81EA2"/>
    <w:rsid w:val="00A825DD"/>
    <w:rsid w:val="00A8279C"/>
    <w:rsid w:val="00A82970"/>
    <w:rsid w:val="00A82B5D"/>
    <w:rsid w:val="00A82C39"/>
    <w:rsid w:val="00A82D0B"/>
    <w:rsid w:val="00A82E17"/>
    <w:rsid w:val="00A82EAB"/>
    <w:rsid w:val="00A8316E"/>
    <w:rsid w:val="00A836AB"/>
    <w:rsid w:val="00A83872"/>
    <w:rsid w:val="00A83EF4"/>
    <w:rsid w:val="00A83F9A"/>
    <w:rsid w:val="00A84000"/>
    <w:rsid w:val="00A8426D"/>
    <w:rsid w:val="00A843C8"/>
    <w:rsid w:val="00A846A9"/>
    <w:rsid w:val="00A846F6"/>
    <w:rsid w:val="00A84B49"/>
    <w:rsid w:val="00A84F8F"/>
    <w:rsid w:val="00A85075"/>
    <w:rsid w:val="00A8524D"/>
    <w:rsid w:val="00A85476"/>
    <w:rsid w:val="00A85506"/>
    <w:rsid w:val="00A8588D"/>
    <w:rsid w:val="00A85953"/>
    <w:rsid w:val="00A859E2"/>
    <w:rsid w:val="00A85C5A"/>
    <w:rsid w:val="00A85D57"/>
    <w:rsid w:val="00A86560"/>
    <w:rsid w:val="00A86813"/>
    <w:rsid w:val="00A86817"/>
    <w:rsid w:val="00A86887"/>
    <w:rsid w:val="00A868A4"/>
    <w:rsid w:val="00A869B7"/>
    <w:rsid w:val="00A86D40"/>
    <w:rsid w:val="00A86E30"/>
    <w:rsid w:val="00A872D8"/>
    <w:rsid w:val="00A878E2"/>
    <w:rsid w:val="00A90245"/>
    <w:rsid w:val="00A904A1"/>
    <w:rsid w:val="00A904D4"/>
    <w:rsid w:val="00A905E5"/>
    <w:rsid w:val="00A90A2D"/>
    <w:rsid w:val="00A90D72"/>
    <w:rsid w:val="00A90EF9"/>
    <w:rsid w:val="00A9122C"/>
    <w:rsid w:val="00A9136C"/>
    <w:rsid w:val="00A91412"/>
    <w:rsid w:val="00A916BB"/>
    <w:rsid w:val="00A91B60"/>
    <w:rsid w:val="00A91BEA"/>
    <w:rsid w:val="00A9202F"/>
    <w:rsid w:val="00A9234F"/>
    <w:rsid w:val="00A92630"/>
    <w:rsid w:val="00A92BCB"/>
    <w:rsid w:val="00A92DCA"/>
    <w:rsid w:val="00A92F5D"/>
    <w:rsid w:val="00A93186"/>
    <w:rsid w:val="00A936A4"/>
    <w:rsid w:val="00A93DB8"/>
    <w:rsid w:val="00A93F1F"/>
    <w:rsid w:val="00A940D1"/>
    <w:rsid w:val="00A942DA"/>
    <w:rsid w:val="00A947EE"/>
    <w:rsid w:val="00A949DA"/>
    <w:rsid w:val="00A94A53"/>
    <w:rsid w:val="00A94A9C"/>
    <w:rsid w:val="00A94D1C"/>
    <w:rsid w:val="00A9599A"/>
    <w:rsid w:val="00A95D50"/>
    <w:rsid w:val="00A960B7"/>
    <w:rsid w:val="00A96373"/>
    <w:rsid w:val="00A96703"/>
    <w:rsid w:val="00A96711"/>
    <w:rsid w:val="00A9674C"/>
    <w:rsid w:val="00A96EA8"/>
    <w:rsid w:val="00A96F84"/>
    <w:rsid w:val="00A9700F"/>
    <w:rsid w:val="00A9704B"/>
    <w:rsid w:val="00A97078"/>
    <w:rsid w:val="00A973DD"/>
    <w:rsid w:val="00A9754B"/>
    <w:rsid w:val="00A97948"/>
    <w:rsid w:val="00A979BA"/>
    <w:rsid w:val="00A97E46"/>
    <w:rsid w:val="00A97F38"/>
    <w:rsid w:val="00AA08A2"/>
    <w:rsid w:val="00AA0EDB"/>
    <w:rsid w:val="00AA12F7"/>
    <w:rsid w:val="00AA17EB"/>
    <w:rsid w:val="00AA1B8E"/>
    <w:rsid w:val="00AA1F75"/>
    <w:rsid w:val="00AA20EF"/>
    <w:rsid w:val="00AA230C"/>
    <w:rsid w:val="00AA24CE"/>
    <w:rsid w:val="00AA2595"/>
    <w:rsid w:val="00AA280B"/>
    <w:rsid w:val="00AA2B29"/>
    <w:rsid w:val="00AA2EB1"/>
    <w:rsid w:val="00AA2F32"/>
    <w:rsid w:val="00AA3173"/>
    <w:rsid w:val="00AA3428"/>
    <w:rsid w:val="00AA36F0"/>
    <w:rsid w:val="00AA3A3E"/>
    <w:rsid w:val="00AA3F83"/>
    <w:rsid w:val="00AA4075"/>
    <w:rsid w:val="00AA482F"/>
    <w:rsid w:val="00AA4BF2"/>
    <w:rsid w:val="00AA4F73"/>
    <w:rsid w:val="00AA54EC"/>
    <w:rsid w:val="00AA5669"/>
    <w:rsid w:val="00AA5710"/>
    <w:rsid w:val="00AA5E99"/>
    <w:rsid w:val="00AA5F60"/>
    <w:rsid w:val="00AA61AC"/>
    <w:rsid w:val="00AA6213"/>
    <w:rsid w:val="00AA6285"/>
    <w:rsid w:val="00AA690B"/>
    <w:rsid w:val="00AA6A1C"/>
    <w:rsid w:val="00AA6A72"/>
    <w:rsid w:val="00AA6B18"/>
    <w:rsid w:val="00AA6DE6"/>
    <w:rsid w:val="00AA6E02"/>
    <w:rsid w:val="00AA6E85"/>
    <w:rsid w:val="00AA715B"/>
    <w:rsid w:val="00AA7204"/>
    <w:rsid w:val="00AA7750"/>
    <w:rsid w:val="00AA77ED"/>
    <w:rsid w:val="00AA79F5"/>
    <w:rsid w:val="00AA7ABC"/>
    <w:rsid w:val="00AA7F29"/>
    <w:rsid w:val="00AB0246"/>
    <w:rsid w:val="00AB04C3"/>
    <w:rsid w:val="00AB086A"/>
    <w:rsid w:val="00AB094D"/>
    <w:rsid w:val="00AB0AAE"/>
    <w:rsid w:val="00AB0B13"/>
    <w:rsid w:val="00AB0B45"/>
    <w:rsid w:val="00AB0B7C"/>
    <w:rsid w:val="00AB0CFF"/>
    <w:rsid w:val="00AB0D16"/>
    <w:rsid w:val="00AB0E80"/>
    <w:rsid w:val="00AB0E84"/>
    <w:rsid w:val="00AB0EE9"/>
    <w:rsid w:val="00AB0F45"/>
    <w:rsid w:val="00AB10A5"/>
    <w:rsid w:val="00AB11EC"/>
    <w:rsid w:val="00AB138F"/>
    <w:rsid w:val="00AB16AC"/>
    <w:rsid w:val="00AB19B6"/>
    <w:rsid w:val="00AB1AF3"/>
    <w:rsid w:val="00AB1AF7"/>
    <w:rsid w:val="00AB1D59"/>
    <w:rsid w:val="00AB2454"/>
    <w:rsid w:val="00AB24F7"/>
    <w:rsid w:val="00AB2568"/>
    <w:rsid w:val="00AB2E14"/>
    <w:rsid w:val="00AB2FDD"/>
    <w:rsid w:val="00AB32B2"/>
    <w:rsid w:val="00AB37AE"/>
    <w:rsid w:val="00AB3A78"/>
    <w:rsid w:val="00AB3AE6"/>
    <w:rsid w:val="00AB4200"/>
    <w:rsid w:val="00AB4261"/>
    <w:rsid w:val="00AB4399"/>
    <w:rsid w:val="00AB49D9"/>
    <w:rsid w:val="00AB49DD"/>
    <w:rsid w:val="00AB4A58"/>
    <w:rsid w:val="00AB4B2B"/>
    <w:rsid w:val="00AB4C19"/>
    <w:rsid w:val="00AB4EE5"/>
    <w:rsid w:val="00AB5020"/>
    <w:rsid w:val="00AB5064"/>
    <w:rsid w:val="00AB54A2"/>
    <w:rsid w:val="00AB55AD"/>
    <w:rsid w:val="00AB5B78"/>
    <w:rsid w:val="00AB5DC9"/>
    <w:rsid w:val="00AB5F83"/>
    <w:rsid w:val="00AB5FED"/>
    <w:rsid w:val="00AB61CA"/>
    <w:rsid w:val="00AB627F"/>
    <w:rsid w:val="00AB6285"/>
    <w:rsid w:val="00AB6581"/>
    <w:rsid w:val="00AB687C"/>
    <w:rsid w:val="00AB6FB7"/>
    <w:rsid w:val="00AB72B0"/>
    <w:rsid w:val="00AB75C6"/>
    <w:rsid w:val="00AB7A66"/>
    <w:rsid w:val="00AB7B42"/>
    <w:rsid w:val="00AB7E51"/>
    <w:rsid w:val="00AB7E9C"/>
    <w:rsid w:val="00AB7F9D"/>
    <w:rsid w:val="00AC06D6"/>
    <w:rsid w:val="00AC076B"/>
    <w:rsid w:val="00AC07F3"/>
    <w:rsid w:val="00AC0B26"/>
    <w:rsid w:val="00AC0E76"/>
    <w:rsid w:val="00AC127E"/>
    <w:rsid w:val="00AC14D2"/>
    <w:rsid w:val="00AC1986"/>
    <w:rsid w:val="00AC1F99"/>
    <w:rsid w:val="00AC23FA"/>
    <w:rsid w:val="00AC2587"/>
    <w:rsid w:val="00AC26E6"/>
    <w:rsid w:val="00AC26F0"/>
    <w:rsid w:val="00AC29EE"/>
    <w:rsid w:val="00AC2EC4"/>
    <w:rsid w:val="00AC2F55"/>
    <w:rsid w:val="00AC34D3"/>
    <w:rsid w:val="00AC361A"/>
    <w:rsid w:val="00AC3795"/>
    <w:rsid w:val="00AC39D7"/>
    <w:rsid w:val="00AC3C32"/>
    <w:rsid w:val="00AC3CDB"/>
    <w:rsid w:val="00AC44D8"/>
    <w:rsid w:val="00AC479C"/>
    <w:rsid w:val="00AC481A"/>
    <w:rsid w:val="00AC4AE1"/>
    <w:rsid w:val="00AC4B23"/>
    <w:rsid w:val="00AC50F4"/>
    <w:rsid w:val="00AC5392"/>
    <w:rsid w:val="00AC5522"/>
    <w:rsid w:val="00AC5528"/>
    <w:rsid w:val="00AC56FC"/>
    <w:rsid w:val="00AC5E3B"/>
    <w:rsid w:val="00AC6086"/>
    <w:rsid w:val="00AC69C4"/>
    <w:rsid w:val="00AC6A0E"/>
    <w:rsid w:val="00AC6A51"/>
    <w:rsid w:val="00AC6AB7"/>
    <w:rsid w:val="00AC6ABA"/>
    <w:rsid w:val="00AC6DD3"/>
    <w:rsid w:val="00AC6F2F"/>
    <w:rsid w:val="00AC7021"/>
    <w:rsid w:val="00AC7263"/>
    <w:rsid w:val="00AC761D"/>
    <w:rsid w:val="00AC7986"/>
    <w:rsid w:val="00AC79CE"/>
    <w:rsid w:val="00AC7BF8"/>
    <w:rsid w:val="00AD07B5"/>
    <w:rsid w:val="00AD09B3"/>
    <w:rsid w:val="00AD09D3"/>
    <w:rsid w:val="00AD0D74"/>
    <w:rsid w:val="00AD11DA"/>
    <w:rsid w:val="00AD12A5"/>
    <w:rsid w:val="00AD186D"/>
    <w:rsid w:val="00AD1875"/>
    <w:rsid w:val="00AD1B90"/>
    <w:rsid w:val="00AD1BAF"/>
    <w:rsid w:val="00AD1C80"/>
    <w:rsid w:val="00AD1E12"/>
    <w:rsid w:val="00AD240A"/>
    <w:rsid w:val="00AD2457"/>
    <w:rsid w:val="00AD2490"/>
    <w:rsid w:val="00AD2B33"/>
    <w:rsid w:val="00AD2BC9"/>
    <w:rsid w:val="00AD2D31"/>
    <w:rsid w:val="00AD2D46"/>
    <w:rsid w:val="00AD2E24"/>
    <w:rsid w:val="00AD2F70"/>
    <w:rsid w:val="00AD2FC3"/>
    <w:rsid w:val="00AD3148"/>
    <w:rsid w:val="00AD328B"/>
    <w:rsid w:val="00AD35B8"/>
    <w:rsid w:val="00AD36D9"/>
    <w:rsid w:val="00AD378B"/>
    <w:rsid w:val="00AD39C0"/>
    <w:rsid w:val="00AD3B12"/>
    <w:rsid w:val="00AD3C39"/>
    <w:rsid w:val="00AD3CB9"/>
    <w:rsid w:val="00AD3EE2"/>
    <w:rsid w:val="00AD3F5A"/>
    <w:rsid w:val="00AD43E0"/>
    <w:rsid w:val="00AD457F"/>
    <w:rsid w:val="00AD4C5B"/>
    <w:rsid w:val="00AD4DCA"/>
    <w:rsid w:val="00AD4FE4"/>
    <w:rsid w:val="00AD53AB"/>
    <w:rsid w:val="00AD5627"/>
    <w:rsid w:val="00AD5909"/>
    <w:rsid w:val="00AD5D1C"/>
    <w:rsid w:val="00AD5E9C"/>
    <w:rsid w:val="00AD5EC7"/>
    <w:rsid w:val="00AD5F54"/>
    <w:rsid w:val="00AD65C9"/>
    <w:rsid w:val="00AD6639"/>
    <w:rsid w:val="00AD6688"/>
    <w:rsid w:val="00AD708E"/>
    <w:rsid w:val="00AD74D8"/>
    <w:rsid w:val="00AD7588"/>
    <w:rsid w:val="00AD7C58"/>
    <w:rsid w:val="00AD7CEF"/>
    <w:rsid w:val="00AE0005"/>
    <w:rsid w:val="00AE00D7"/>
    <w:rsid w:val="00AE02D0"/>
    <w:rsid w:val="00AE03FE"/>
    <w:rsid w:val="00AE0962"/>
    <w:rsid w:val="00AE09D4"/>
    <w:rsid w:val="00AE09F5"/>
    <w:rsid w:val="00AE0DBF"/>
    <w:rsid w:val="00AE1831"/>
    <w:rsid w:val="00AE1CF9"/>
    <w:rsid w:val="00AE22E1"/>
    <w:rsid w:val="00AE2549"/>
    <w:rsid w:val="00AE2673"/>
    <w:rsid w:val="00AE2B68"/>
    <w:rsid w:val="00AE2B6D"/>
    <w:rsid w:val="00AE3DFD"/>
    <w:rsid w:val="00AE4263"/>
    <w:rsid w:val="00AE49AB"/>
    <w:rsid w:val="00AE4A25"/>
    <w:rsid w:val="00AE4A89"/>
    <w:rsid w:val="00AE4ED6"/>
    <w:rsid w:val="00AE515F"/>
    <w:rsid w:val="00AE51D7"/>
    <w:rsid w:val="00AE52C3"/>
    <w:rsid w:val="00AE5331"/>
    <w:rsid w:val="00AE5372"/>
    <w:rsid w:val="00AE5AD5"/>
    <w:rsid w:val="00AE5BA6"/>
    <w:rsid w:val="00AE5CCB"/>
    <w:rsid w:val="00AE6966"/>
    <w:rsid w:val="00AE6C6F"/>
    <w:rsid w:val="00AE7179"/>
    <w:rsid w:val="00AE780D"/>
    <w:rsid w:val="00AF040E"/>
    <w:rsid w:val="00AF04BD"/>
    <w:rsid w:val="00AF0B1F"/>
    <w:rsid w:val="00AF0E5F"/>
    <w:rsid w:val="00AF1299"/>
    <w:rsid w:val="00AF14EA"/>
    <w:rsid w:val="00AF1599"/>
    <w:rsid w:val="00AF1A8B"/>
    <w:rsid w:val="00AF1D49"/>
    <w:rsid w:val="00AF1E25"/>
    <w:rsid w:val="00AF1F5F"/>
    <w:rsid w:val="00AF2A2A"/>
    <w:rsid w:val="00AF2BDD"/>
    <w:rsid w:val="00AF2CD1"/>
    <w:rsid w:val="00AF314B"/>
    <w:rsid w:val="00AF3312"/>
    <w:rsid w:val="00AF3700"/>
    <w:rsid w:val="00AF3793"/>
    <w:rsid w:val="00AF39BA"/>
    <w:rsid w:val="00AF4120"/>
    <w:rsid w:val="00AF47D4"/>
    <w:rsid w:val="00AF496C"/>
    <w:rsid w:val="00AF4C62"/>
    <w:rsid w:val="00AF5068"/>
    <w:rsid w:val="00AF5263"/>
    <w:rsid w:val="00AF5665"/>
    <w:rsid w:val="00AF5763"/>
    <w:rsid w:val="00AF57B5"/>
    <w:rsid w:val="00AF58D0"/>
    <w:rsid w:val="00AF5DE5"/>
    <w:rsid w:val="00AF6042"/>
    <w:rsid w:val="00AF6050"/>
    <w:rsid w:val="00AF6144"/>
    <w:rsid w:val="00AF6215"/>
    <w:rsid w:val="00AF6F6E"/>
    <w:rsid w:val="00AF70AD"/>
    <w:rsid w:val="00AF71DD"/>
    <w:rsid w:val="00AF7247"/>
    <w:rsid w:val="00AF7410"/>
    <w:rsid w:val="00AF7780"/>
    <w:rsid w:val="00AF795A"/>
    <w:rsid w:val="00AF7A86"/>
    <w:rsid w:val="00AF7E5F"/>
    <w:rsid w:val="00B00036"/>
    <w:rsid w:val="00B00173"/>
    <w:rsid w:val="00B001DA"/>
    <w:rsid w:val="00B00269"/>
    <w:rsid w:val="00B004B3"/>
    <w:rsid w:val="00B008BE"/>
    <w:rsid w:val="00B008F0"/>
    <w:rsid w:val="00B0093E"/>
    <w:rsid w:val="00B00A18"/>
    <w:rsid w:val="00B0108B"/>
    <w:rsid w:val="00B01480"/>
    <w:rsid w:val="00B0192A"/>
    <w:rsid w:val="00B01B8D"/>
    <w:rsid w:val="00B01CA1"/>
    <w:rsid w:val="00B01CAC"/>
    <w:rsid w:val="00B01F68"/>
    <w:rsid w:val="00B024FA"/>
    <w:rsid w:val="00B027CB"/>
    <w:rsid w:val="00B02E04"/>
    <w:rsid w:val="00B02EC8"/>
    <w:rsid w:val="00B0313B"/>
    <w:rsid w:val="00B03278"/>
    <w:rsid w:val="00B03514"/>
    <w:rsid w:val="00B035FD"/>
    <w:rsid w:val="00B036EB"/>
    <w:rsid w:val="00B03705"/>
    <w:rsid w:val="00B03AD8"/>
    <w:rsid w:val="00B03E18"/>
    <w:rsid w:val="00B041AC"/>
    <w:rsid w:val="00B04550"/>
    <w:rsid w:val="00B04B46"/>
    <w:rsid w:val="00B04BE9"/>
    <w:rsid w:val="00B04D0A"/>
    <w:rsid w:val="00B04D2D"/>
    <w:rsid w:val="00B05329"/>
    <w:rsid w:val="00B05388"/>
    <w:rsid w:val="00B054AB"/>
    <w:rsid w:val="00B05524"/>
    <w:rsid w:val="00B05828"/>
    <w:rsid w:val="00B05AA8"/>
    <w:rsid w:val="00B05B18"/>
    <w:rsid w:val="00B05C30"/>
    <w:rsid w:val="00B06024"/>
    <w:rsid w:val="00B060CD"/>
    <w:rsid w:val="00B068E9"/>
    <w:rsid w:val="00B06E48"/>
    <w:rsid w:val="00B06F9C"/>
    <w:rsid w:val="00B070F1"/>
    <w:rsid w:val="00B0718D"/>
    <w:rsid w:val="00B07199"/>
    <w:rsid w:val="00B07517"/>
    <w:rsid w:val="00B076E9"/>
    <w:rsid w:val="00B0787C"/>
    <w:rsid w:val="00B0789F"/>
    <w:rsid w:val="00B07B91"/>
    <w:rsid w:val="00B07FB4"/>
    <w:rsid w:val="00B10311"/>
    <w:rsid w:val="00B1031E"/>
    <w:rsid w:val="00B104B4"/>
    <w:rsid w:val="00B10627"/>
    <w:rsid w:val="00B1084F"/>
    <w:rsid w:val="00B10951"/>
    <w:rsid w:val="00B10A88"/>
    <w:rsid w:val="00B10DD1"/>
    <w:rsid w:val="00B10FFE"/>
    <w:rsid w:val="00B11323"/>
    <w:rsid w:val="00B11A33"/>
    <w:rsid w:val="00B11B7B"/>
    <w:rsid w:val="00B11BDC"/>
    <w:rsid w:val="00B11C5D"/>
    <w:rsid w:val="00B11F0B"/>
    <w:rsid w:val="00B11F73"/>
    <w:rsid w:val="00B11FDB"/>
    <w:rsid w:val="00B11FF0"/>
    <w:rsid w:val="00B124BE"/>
    <w:rsid w:val="00B12559"/>
    <w:rsid w:val="00B12651"/>
    <w:rsid w:val="00B12915"/>
    <w:rsid w:val="00B12B15"/>
    <w:rsid w:val="00B12FEC"/>
    <w:rsid w:val="00B1333E"/>
    <w:rsid w:val="00B13A2F"/>
    <w:rsid w:val="00B13A35"/>
    <w:rsid w:val="00B13A5D"/>
    <w:rsid w:val="00B13B4C"/>
    <w:rsid w:val="00B140C7"/>
    <w:rsid w:val="00B14495"/>
    <w:rsid w:val="00B145CE"/>
    <w:rsid w:val="00B145D2"/>
    <w:rsid w:val="00B147A5"/>
    <w:rsid w:val="00B149F6"/>
    <w:rsid w:val="00B14AC2"/>
    <w:rsid w:val="00B14AF8"/>
    <w:rsid w:val="00B14C51"/>
    <w:rsid w:val="00B151EA"/>
    <w:rsid w:val="00B1528B"/>
    <w:rsid w:val="00B155F4"/>
    <w:rsid w:val="00B15642"/>
    <w:rsid w:val="00B15755"/>
    <w:rsid w:val="00B15927"/>
    <w:rsid w:val="00B159F4"/>
    <w:rsid w:val="00B15A99"/>
    <w:rsid w:val="00B15CDE"/>
    <w:rsid w:val="00B15E4C"/>
    <w:rsid w:val="00B162CC"/>
    <w:rsid w:val="00B16A5E"/>
    <w:rsid w:val="00B16C4B"/>
    <w:rsid w:val="00B17289"/>
    <w:rsid w:val="00B175A6"/>
    <w:rsid w:val="00B1778B"/>
    <w:rsid w:val="00B178D3"/>
    <w:rsid w:val="00B17E18"/>
    <w:rsid w:val="00B17E47"/>
    <w:rsid w:val="00B20551"/>
    <w:rsid w:val="00B207D4"/>
    <w:rsid w:val="00B20DF4"/>
    <w:rsid w:val="00B20EF4"/>
    <w:rsid w:val="00B20FB5"/>
    <w:rsid w:val="00B21097"/>
    <w:rsid w:val="00B210FC"/>
    <w:rsid w:val="00B21460"/>
    <w:rsid w:val="00B2153F"/>
    <w:rsid w:val="00B216C5"/>
    <w:rsid w:val="00B21CCF"/>
    <w:rsid w:val="00B21E49"/>
    <w:rsid w:val="00B2210A"/>
    <w:rsid w:val="00B22160"/>
    <w:rsid w:val="00B22586"/>
    <w:rsid w:val="00B22640"/>
    <w:rsid w:val="00B22642"/>
    <w:rsid w:val="00B22688"/>
    <w:rsid w:val="00B22728"/>
    <w:rsid w:val="00B2293E"/>
    <w:rsid w:val="00B22F73"/>
    <w:rsid w:val="00B22FBC"/>
    <w:rsid w:val="00B233A9"/>
    <w:rsid w:val="00B2341B"/>
    <w:rsid w:val="00B23A4E"/>
    <w:rsid w:val="00B23BF0"/>
    <w:rsid w:val="00B24377"/>
    <w:rsid w:val="00B2444C"/>
    <w:rsid w:val="00B2461F"/>
    <w:rsid w:val="00B24821"/>
    <w:rsid w:val="00B24994"/>
    <w:rsid w:val="00B24A13"/>
    <w:rsid w:val="00B24C71"/>
    <w:rsid w:val="00B2530B"/>
    <w:rsid w:val="00B2556C"/>
    <w:rsid w:val="00B262E8"/>
    <w:rsid w:val="00B26793"/>
    <w:rsid w:val="00B269E2"/>
    <w:rsid w:val="00B273F5"/>
    <w:rsid w:val="00B2780E"/>
    <w:rsid w:val="00B27EE2"/>
    <w:rsid w:val="00B305AA"/>
    <w:rsid w:val="00B30B56"/>
    <w:rsid w:val="00B30D50"/>
    <w:rsid w:val="00B30E52"/>
    <w:rsid w:val="00B30F65"/>
    <w:rsid w:val="00B30F7B"/>
    <w:rsid w:val="00B30FBF"/>
    <w:rsid w:val="00B312C1"/>
    <w:rsid w:val="00B31460"/>
    <w:rsid w:val="00B3178B"/>
    <w:rsid w:val="00B31937"/>
    <w:rsid w:val="00B31D8F"/>
    <w:rsid w:val="00B31F79"/>
    <w:rsid w:val="00B3200B"/>
    <w:rsid w:val="00B32177"/>
    <w:rsid w:val="00B321B9"/>
    <w:rsid w:val="00B323A7"/>
    <w:rsid w:val="00B32470"/>
    <w:rsid w:val="00B325BA"/>
    <w:rsid w:val="00B32B03"/>
    <w:rsid w:val="00B32D20"/>
    <w:rsid w:val="00B33017"/>
    <w:rsid w:val="00B335CB"/>
    <w:rsid w:val="00B33606"/>
    <w:rsid w:val="00B338CC"/>
    <w:rsid w:val="00B339F8"/>
    <w:rsid w:val="00B33ED4"/>
    <w:rsid w:val="00B34477"/>
    <w:rsid w:val="00B3476D"/>
    <w:rsid w:val="00B34849"/>
    <w:rsid w:val="00B34876"/>
    <w:rsid w:val="00B3496A"/>
    <w:rsid w:val="00B34EFF"/>
    <w:rsid w:val="00B351CC"/>
    <w:rsid w:val="00B35449"/>
    <w:rsid w:val="00B35CD7"/>
    <w:rsid w:val="00B369D0"/>
    <w:rsid w:val="00B36A1C"/>
    <w:rsid w:val="00B36A60"/>
    <w:rsid w:val="00B36BCB"/>
    <w:rsid w:val="00B36BF0"/>
    <w:rsid w:val="00B36F91"/>
    <w:rsid w:val="00B37173"/>
    <w:rsid w:val="00B375C9"/>
    <w:rsid w:val="00B3760F"/>
    <w:rsid w:val="00B3774B"/>
    <w:rsid w:val="00B377B5"/>
    <w:rsid w:val="00B37961"/>
    <w:rsid w:val="00B37A33"/>
    <w:rsid w:val="00B40140"/>
    <w:rsid w:val="00B40320"/>
    <w:rsid w:val="00B4065C"/>
    <w:rsid w:val="00B40C2E"/>
    <w:rsid w:val="00B40DE3"/>
    <w:rsid w:val="00B40E67"/>
    <w:rsid w:val="00B40F97"/>
    <w:rsid w:val="00B41045"/>
    <w:rsid w:val="00B412EC"/>
    <w:rsid w:val="00B41DC0"/>
    <w:rsid w:val="00B4215D"/>
    <w:rsid w:val="00B4222E"/>
    <w:rsid w:val="00B423F3"/>
    <w:rsid w:val="00B42556"/>
    <w:rsid w:val="00B425A9"/>
    <w:rsid w:val="00B425CF"/>
    <w:rsid w:val="00B42E3F"/>
    <w:rsid w:val="00B42EDC"/>
    <w:rsid w:val="00B43512"/>
    <w:rsid w:val="00B4363E"/>
    <w:rsid w:val="00B43949"/>
    <w:rsid w:val="00B43EC1"/>
    <w:rsid w:val="00B44088"/>
    <w:rsid w:val="00B44381"/>
    <w:rsid w:val="00B44753"/>
    <w:rsid w:val="00B449EA"/>
    <w:rsid w:val="00B44CC9"/>
    <w:rsid w:val="00B44D97"/>
    <w:rsid w:val="00B455AD"/>
    <w:rsid w:val="00B4584A"/>
    <w:rsid w:val="00B45B62"/>
    <w:rsid w:val="00B45F22"/>
    <w:rsid w:val="00B4620F"/>
    <w:rsid w:val="00B4621F"/>
    <w:rsid w:val="00B462A2"/>
    <w:rsid w:val="00B467B0"/>
    <w:rsid w:val="00B46E34"/>
    <w:rsid w:val="00B471B4"/>
    <w:rsid w:val="00B473C1"/>
    <w:rsid w:val="00B47555"/>
    <w:rsid w:val="00B47B82"/>
    <w:rsid w:val="00B47B92"/>
    <w:rsid w:val="00B47D80"/>
    <w:rsid w:val="00B47EB1"/>
    <w:rsid w:val="00B502A4"/>
    <w:rsid w:val="00B50413"/>
    <w:rsid w:val="00B5053C"/>
    <w:rsid w:val="00B50C2E"/>
    <w:rsid w:val="00B50E0D"/>
    <w:rsid w:val="00B50E22"/>
    <w:rsid w:val="00B50F11"/>
    <w:rsid w:val="00B51043"/>
    <w:rsid w:val="00B510E1"/>
    <w:rsid w:val="00B51373"/>
    <w:rsid w:val="00B51563"/>
    <w:rsid w:val="00B5162A"/>
    <w:rsid w:val="00B516B8"/>
    <w:rsid w:val="00B517C7"/>
    <w:rsid w:val="00B51816"/>
    <w:rsid w:val="00B51A64"/>
    <w:rsid w:val="00B51DCC"/>
    <w:rsid w:val="00B51FCD"/>
    <w:rsid w:val="00B525EF"/>
    <w:rsid w:val="00B52764"/>
    <w:rsid w:val="00B52C64"/>
    <w:rsid w:val="00B52CD8"/>
    <w:rsid w:val="00B52FAC"/>
    <w:rsid w:val="00B531B2"/>
    <w:rsid w:val="00B5347A"/>
    <w:rsid w:val="00B53492"/>
    <w:rsid w:val="00B537BB"/>
    <w:rsid w:val="00B53C66"/>
    <w:rsid w:val="00B5411B"/>
    <w:rsid w:val="00B55390"/>
    <w:rsid w:val="00B559E6"/>
    <w:rsid w:val="00B55D1B"/>
    <w:rsid w:val="00B561B3"/>
    <w:rsid w:val="00B561DB"/>
    <w:rsid w:val="00B566D5"/>
    <w:rsid w:val="00B56853"/>
    <w:rsid w:val="00B5726B"/>
    <w:rsid w:val="00B573AE"/>
    <w:rsid w:val="00B57FA2"/>
    <w:rsid w:val="00B604EB"/>
    <w:rsid w:val="00B606C9"/>
    <w:rsid w:val="00B61081"/>
    <w:rsid w:val="00B6108C"/>
    <w:rsid w:val="00B610E1"/>
    <w:rsid w:val="00B6130F"/>
    <w:rsid w:val="00B613A7"/>
    <w:rsid w:val="00B615F2"/>
    <w:rsid w:val="00B6167E"/>
    <w:rsid w:val="00B61AFC"/>
    <w:rsid w:val="00B61E1A"/>
    <w:rsid w:val="00B6218E"/>
    <w:rsid w:val="00B62898"/>
    <w:rsid w:val="00B62ACF"/>
    <w:rsid w:val="00B62C81"/>
    <w:rsid w:val="00B62DAC"/>
    <w:rsid w:val="00B62DFA"/>
    <w:rsid w:val="00B634C9"/>
    <w:rsid w:val="00B6356F"/>
    <w:rsid w:val="00B635BF"/>
    <w:rsid w:val="00B63A27"/>
    <w:rsid w:val="00B63B85"/>
    <w:rsid w:val="00B63F5C"/>
    <w:rsid w:val="00B63FB3"/>
    <w:rsid w:val="00B63FF5"/>
    <w:rsid w:val="00B6430E"/>
    <w:rsid w:val="00B64450"/>
    <w:rsid w:val="00B64A1B"/>
    <w:rsid w:val="00B64D1D"/>
    <w:rsid w:val="00B64D98"/>
    <w:rsid w:val="00B64E7D"/>
    <w:rsid w:val="00B64F36"/>
    <w:rsid w:val="00B651A9"/>
    <w:rsid w:val="00B65404"/>
    <w:rsid w:val="00B654CA"/>
    <w:rsid w:val="00B65607"/>
    <w:rsid w:val="00B656BF"/>
    <w:rsid w:val="00B65E0F"/>
    <w:rsid w:val="00B65E7A"/>
    <w:rsid w:val="00B66650"/>
    <w:rsid w:val="00B66A7D"/>
    <w:rsid w:val="00B671D8"/>
    <w:rsid w:val="00B67232"/>
    <w:rsid w:val="00B67652"/>
    <w:rsid w:val="00B67658"/>
    <w:rsid w:val="00B67980"/>
    <w:rsid w:val="00B67BCF"/>
    <w:rsid w:val="00B67C83"/>
    <w:rsid w:val="00B67E9A"/>
    <w:rsid w:val="00B67EDC"/>
    <w:rsid w:val="00B67F7B"/>
    <w:rsid w:val="00B704D9"/>
    <w:rsid w:val="00B709F3"/>
    <w:rsid w:val="00B70B5F"/>
    <w:rsid w:val="00B70C07"/>
    <w:rsid w:val="00B70C0C"/>
    <w:rsid w:val="00B70E0C"/>
    <w:rsid w:val="00B70F76"/>
    <w:rsid w:val="00B71023"/>
    <w:rsid w:val="00B71998"/>
    <w:rsid w:val="00B71A0B"/>
    <w:rsid w:val="00B71A80"/>
    <w:rsid w:val="00B71C9F"/>
    <w:rsid w:val="00B71F47"/>
    <w:rsid w:val="00B72431"/>
    <w:rsid w:val="00B72A91"/>
    <w:rsid w:val="00B72B58"/>
    <w:rsid w:val="00B72CFC"/>
    <w:rsid w:val="00B73411"/>
    <w:rsid w:val="00B735CD"/>
    <w:rsid w:val="00B735ED"/>
    <w:rsid w:val="00B7399F"/>
    <w:rsid w:val="00B739E2"/>
    <w:rsid w:val="00B73A94"/>
    <w:rsid w:val="00B744C9"/>
    <w:rsid w:val="00B745D6"/>
    <w:rsid w:val="00B7487E"/>
    <w:rsid w:val="00B74B16"/>
    <w:rsid w:val="00B7533F"/>
    <w:rsid w:val="00B758FE"/>
    <w:rsid w:val="00B75BAB"/>
    <w:rsid w:val="00B76323"/>
    <w:rsid w:val="00B76757"/>
    <w:rsid w:val="00B76B4A"/>
    <w:rsid w:val="00B76C05"/>
    <w:rsid w:val="00B76C95"/>
    <w:rsid w:val="00B76EBF"/>
    <w:rsid w:val="00B76F4C"/>
    <w:rsid w:val="00B7703A"/>
    <w:rsid w:val="00B77324"/>
    <w:rsid w:val="00B77B16"/>
    <w:rsid w:val="00B77E6A"/>
    <w:rsid w:val="00B77EE9"/>
    <w:rsid w:val="00B80514"/>
    <w:rsid w:val="00B805DA"/>
    <w:rsid w:val="00B80A75"/>
    <w:rsid w:val="00B80C0D"/>
    <w:rsid w:val="00B80E10"/>
    <w:rsid w:val="00B8115A"/>
    <w:rsid w:val="00B8151D"/>
    <w:rsid w:val="00B815C2"/>
    <w:rsid w:val="00B81747"/>
    <w:rsid w:val="00B819AA"/>
    <w:rsid w:val="00B81D39"/>
    <w:rsid w:val="00B82108"/>
    <w:rsid w:val="00B82193"/>
    <w:rsid w:val="00B821C9"/>
    <w:rsid w:val="00B82444"/>
    <w:rsid w:val="00B82473"/>
    <w:rsid w:val="00B82CD9"/>
    <w:rsid w:val="00B82CE6"/>
    <w:rsid w:val="00B82E1E"/>
    <w:rsid w:val="00B82E54"/>
    <w:rsid w:val="00B82F90"/>
    <w:rsid w:val="00B83077"/>
    <w:rsid w:val="00B835F8"/>
    <w:rsid w:val="00B839A8"/>
    <w:rsid w:val="00B839DD"/>
    <w:rsid w:val="00B83DDC"/>
    <w:rsid w:val="00B83F39"/>
    <w:rsid w:val="00B83F9C"/>
    <w:rsid w:val="00B83FD0"/>
    <w:rsid w:val="00B846BF"/>
    <w:rsid w:val="00B847D7"/>
    <w:rsid w:val="00B84B2C"/>
    <w:rsid w:val="00B84CB0"/>
    <w:rsid w:val="00B84DB0"/>
    <w:rsid w:val="00B84DE1"/>
    <w:rsid w:val="00B84E06"/>
    <w:rsid w:val="00B856DA"/>
    <w:rsid w:val="00B85E43"/>
    <w:rsid w:val="00B85F4A"/>
    <w:rsid w:val="00B8604A"/>
    <w:rsid w:val="00B8624A"/>
    <w:rsid w:val="00B864DE"/>
    <w:rsid w:val="00B865F0"/>
    <w:rsid w:val="00B868CF"/>
    <w:rsid w:val="00B8699F"/>
    <w:rsid w:val="00B869A8"/>
    <w:rsid w:val="00B86C47"/>
    <w:rsid w:val="00B86DA0"/>
    <w:rsid w:val="00B86E54"/>
    <w:rsid w:val="00B86F0F"/>
    <w:rsid w:val="00B87069"/>
    <w:rsid w:val="00B8709D"/>
    <w:rsid w:val="00B87810"/>
    <w:rsid w:val="00B8784F"/>
    <w:rsid w:val="00B901F8"/>
    <w:rsid w:val="00B905CE"/>
    <w:rsid w:val="00B908F5"/>
    <w:rsid w:val="00B90A2E"/>
    <w:rsid w:val="00B90B68"/>
    <w:rsid w:val="00B90C8C"/>
    <w:rsid w:val="00B90EB8"/>
    <w:rsid w:val="00B910A0"/>
    <w:rsid w:val="00B9110B"/>
    <w:rsid w:val="00B9110D"/>
    <w:rsid w:val="00B912B1"/>
    <w:rsid w:val="00B9133A"/>
    <w:rsid w:val="00B9150A"/>
    <w:rsid w:val="00B91560"/>
    <w:rsid w:val="00B91B52"/>
    <w:rsid w:val="00B91B87"/>
    <w:rsid w:val="00B9257A"/>
    <w:rsid w:val="00B92CA6"/>
    <w:rsid w:val="00B92D5A"/>
    <w:rsid w:val="00B92D7E"/>
    <w:rsid w:val="00B931D1"/>
    <w:rsid w:val="00B935A6"/>
    <w:rsid w:val="00B9388A"/>
    <w:rsid w:val="00B93999"/>
    <w:rsid w:val="00B93B6F"/>
    <w:rsid w:val="00B93C3A"/>
    <w:rsid w:val="00B94149"/>
    <w:rsid w:val="00B944D9"/>
    <w:rsid w:val="00B94869"/>
    <w:rsid w:val="00B949AA"/>
    <w:rsid w:val="00B949C9"/>
    <w:rsid w:val="00B94AE6"/>
    <w:rsid w:val="00B94B3B"/>
    <w:rsid w:val="00B94B4F"/>
    <w:rsid w:val="00B94BA7"/>
    <w:rsid w:val="00B94E03"/>
    <w:rsid w:val="00B94FA8"/>
    <w:rsid w:val="00B950A4"/>
    <w:rsid w:val="00B95297"/>
    <w:rsid w:val="00B952CE"/>
    <w:rsid w:val="00B95550"/>
    <w:rsid w:val="00B95572"/>
    <w:rsid w:val="00B9585A"/>
    <w:rsid w:val="00B9597B"/>
    <w:rsid w:val="00B95B76"/>
    <w:rsid w:val="00B96133"/>
    <w:rsid w:val="00B966D3"/>
    <w:rsid w:val="00B96749"/>
    <w:rsid w:val="00B967A0"/>
    <w:rsid w:val="00B96963"/>
    <w:rsid w:val="00B96FA9"/>
    <w:rsid w:val="00B97099"/>
    <w:rsid w:val="00B972B2"/>
    <w:rsid w:val="00B972F5"/>
    <w:rsid w:val="00B977A2"/>
    <w:rsid w:val="00B97861"/>
    <w:rsid w:val="00B97C68"/>
    <w:rsid w:val="00BA016F"/>
    <w:rsid w:val="00BA0198"/>
    <w:rsid w:val="00BA03EB"/>
    <w:rsid w:val="00BA04C0"/>
    <w:rsid w:val="00BA077F"/>
    <w:rsid w:val="00BA0DF5"/>
    <w:rsid w:val="00BA1198"/>
    <w:rsid w:val="00BA12CC"/>
    <w:rsid w:val="00BA1631"/>
    <w:rsid w:val="00BA1673"/>
    <w:rsid w:val="00BA1858"/>
    <w:rsid w:val="00BA1A5F"/>
    <w:rsid w:val="00BA25BD"/>
    <w:rsid w:val="00BA27F0"/>
    <w:rsid w:val="00BA29DF"/>
    <w:rsid w:val="00BA2C60"/>
    <w:rsid w:val="00BA2D14"/>
    <w:rsid w:val="00BA2E82"/>
    <w:rsid w:val="00BA345A"/>
    <w:rsid w:val="00BA3750"/>
    <w:rsid w:val="00BA37D2"/>
    <w:rsid w:val="00BA3C10"/>
    <w:rsid w:val="00BA3DC0"/>
    <w:rsid w:val="00BA3DC4"/>
    <w:rsid w:val="00BA4A39"/>
    <w:rsid w:val="00BA54AA"/>
    <w:rsid w:val="00BA5664"/>
    <w:rsid w:val="00BA58AF"/>
    <w:rsid w:val="00BA5961"/>
    <w:rsid w:val="00BA59E6"/>
    <w:rsid w:val="00BA5D9E"/>
    <w:rsid w:val="00BA5E67"/>
    <w:rsid w:val="00BA63DF"/>
    <w:rsid w:val="00BA65C5"/>
    <w:rsid w:val="00BA6A4D"/>
    <w:rsid w:val="00BA6D1F"/>
    <w:rsid w:val="00BA70DF"/>
    <w:rsid w:val="00BA796D"/>
    <w:rsid w:val="00BA7A9F"/>
    <w:rsid w:val="00BB0213"/>
    <w:rsid w:val="00BB0805"/>
    <w:rsid w:val="00BB082C"/>
    <w:rsid w:val="00BB0923"/>
    <w:rsid w:val="00BB0A36"/>
    <w:rsid w:val="00BB0AA5"/>
    <w:rsid w:val="00BB0F7E"/>
    <w:rsid w:val="00BB18C0"/>
    <w:rsid w:val="00BB18F6"/>
    <w:rsid w:val="00BB1966"/>
    <w:rsid w:val="00BB19B5"/>
    <w:rsid w:val="00BB1A4C"/>
    <w:rsid w:val="00BB1B36"/>
    <w:rsid w:val="00BB1B5C"/>
    <w:rsid w:val="00BB1D03"/>
    <w:rsid w:val="00BB1E5B"/>
    <w:rsid w:val="00BB1EB1"/>
    <w:rsid w:val="00BB1EED"/>
    <w:rsid w:val="00BB1FBF"/>
    <w:rsid w:val="00BB2109"/>
    <w:rsid w:val="00BB2110"/>
    <w:rsid w:val="00BB2326"/>
    <w:rsid w:val="00BB2444"/>
    <w:rsid w:val="00BB2624"/>
    <w:rsid w:val="00BB278E"/>
    <w:rsid w:val="00BB2988"/>
    <w:rsid w:val="00BB2C16"/>
    <w:rsid w:val="00BB2C6B"/>
    <w:rsid w:val="00BB2EED"/>
    <w:rsid w:val="00BB374B"/>
    <w:rsid w:val="00BB3875"/>
    <w:rsid w:val="00BB38D4"/>
    <w:rsid w:val="00BB39D4"/>
    <w:rsid w:val="00BB4AA2"/>
    <w:rsid w:val="00BB4B01"/>
    <w:rsid w:val="00BB4D85"/>
    <w:rsid w:val="00BB513C"/>
    <w:rsid w:val="00BB518F"/>
    <w:rsid w:val="00BB51CE"/>
    <w:rsid w:val="00BB524C"/>
    <w:rsid w:val="00BB559C"/>
    <w:rsid w:val="00BB56AD"/>
    <w:rsid w:val="00BB5CF3"/>
    <w:rsid w:val="00BB61E4"/>
    <w:rsid w:val="00BB6246"/>
    <w:rsid w:val="00BB631E"/>
    <w:rsid w:val="00BB67A1"/>
    <w:rsid w:val="00BB67A7"/>
    <w:rsid w:val="00BB6AC3"/>
    <w:rsid w:val="00BB6C90"/>
    <w:rsid w:val="00BB6E6D"/>
    <w:rsid w:val="00BB6F73"/>
    <w:rsid w:val="00BB71A8"/>
    <w:rsid w:val="00BB71BF"/>
    <w:rsid w:val="00BB751F"/>
    <w:rsid w:val="00BB7637"/>
    <w:rsid w:val="00BB78B6"/>
    <w:rsid w:val="00BB7AE6"/>
    <w:rsid w:val="00BB7B1F"/>
    <w:rsid w:val="00BC001A"/>
    <w:rsid w:val="00BC00D1"/>
    <w:rsid w:val="00BC01A3"/>
    <w:rsid w:val="00BC0D7E"/>
    <w:rsid w:val="00BC122B"/>
    <w:rsid w:val="00BC13C9"/>
    <w:rsid w:val="00BC1716"/>
    <w:rsid w:val="00BC18DB"/>
    <w:rsid w:val="00BC196E"/>
    <w:rsid w:val="00BC1DE2"/>
    <w:rsid w:val="00BC2088"/>
    <w:rsid w:val="00BC21A0"/>
    <w:rsid w:val="00BC22A6"/>
    <w:rsid w:val="00BC2397"/>
    <w:rsid w:val="00BC2523"/>
    <w:rsid w:val="00BC2541"/>
    <w:rsid w:val="00BC2636"/>
    <w:rsid w:val="00BC2668"/>
    <w:rsid w:val="00BC270D"/>
    <w:rsid w:val="00BC2875"/>
    <w:rsid w:val="00BC290D"/>
    <w:rsid w:val="00BC2E6D"/>
    <w:rsid w:val="00BC2EC7"/>
    <w:rsid w:val="00BC2F25"/>
    <w:rsid w:val="00BC2FDB"/>
    <w:rsid w:val="00BC3227"/>
    <w:rsid w:val="00BC32B4"/>
    <w:rsid w:val="00BC33C1"/>
    <w:rsid w:val="00BC39F8"/>
    <w:rsid w:val="00BC3A43"/>
    <w:rsid w:val="00BC3F16"/>
    <w:rsid w:val="00BC4318"/>
    <w:rsid w:val="00BC4382"/>
    <w:rsid w:val="00BC4A62"/>
    <w:rsid w:val="00BC4AAB"/>
    <w:rsid w:val="00BC4BD5"/>
    <w:rsid w:val="00BC4C64"/>
    <w:rsid w:val="00BC50A3"/>
    <w:rsid w:val="00BC58B7"/>
    <w:rsid w:val="00BC5E7C"/>
    <w:rsid w:val="00BC5F35"/>
    <w:rsid w:val="00BC609A"/>
    <w:rsid w:val="00BC652B"/>
    <w:rsid w:val="00BC6B07"/>
    <w:rsid w:val="00BC6E34"/>
    <w:rsid w:val="00BC6E40"/>
    <w:rsid w:val="00BC7212"/>
    <w:rsid w:val="00BC721D"/>
    <w:rsid w:val="00BC7398"/>
    <w:rsid w:val="00BC78E2"/>
    <w:rsid w:val="00BC7E8F"/>
    <w:rsid w:val="00BC7F2A"/>
    <w:rsid w:val="00BD00AE"/>
    <w:rsid w:val="00BD02E3"/>
    <w:rsid w:val="00BD04DB"/>
    <w:rsid w:val="00BD0703"/>
    <w:rsid w:val="00BD0912"/>
    <w:rsid w:val="00BD0955"/>
    <w:rsid w:val="00BD097A"/>
    <w:rsid w:val="00BD11FF"/>
    <w:rsid w:val="00BD13B9"/>
    <w:rsid w:val="00BD1672"/>
    <w:rsid w:val="00BD17AD"/>
    <w:rsid w:val="00BD18D8"/>
    <w:rsid w:val="00BD18FE"/>
    <w:rsid w:val="00BD1D9B"/>
    <w:rsid w:val="00BD1E86"/>
    <w:rsid w:val="00BD20B9"/>
    <w:rsid w:val="00BD2120"/>
    <w:rsid w:val="00BD23CF"/>
    <w:rsid w:val="00BD24E4"/>
    <w:rsid w:val="00BD282C"/>
    <w:rsid w:val="00BD2ACC"/>
    <w:rsid w:val="00BD2D6A"/>
    <w:rsid w:val="00BD318C"/>
    <w:rsid w:val="00BD346E"/>
    <w:rsid w:val="00BD364D"/>
    <w:rsid w:val="00BD37EA"/>
    <w:rsid w:val="00BD3FB8"/>
    <w:rsid w:val="00BD409C"/>
    <w:rsid w:val="00BD41D4"/>
    <w:rsid w:val="00BD45BE"/>
    <w:rsid w:val="00BD465A"/>
    <w:rsid w:val="00BD47A9"/>
    <w:rsid w:val="00BD4C0F"/>
    <w:rsid w:val="00BD4FDF"/>
    <w:rsid w:val="00BD50FC"/>
    <w:rsid w:val="00BD516A"/>
    <w:rsid w:val="00BD5303"/>
    <w:rsid w:val="00BD5316"/>
    <w:rsid w:val="00BD5334"/>
    <w:rsid w:val="00BD5496"/>
    <w:rsid w:val="00BD54D9"/>
    <w:rsid w:val="00BD55F7"/>
    <w:rsid w:val="00BD5A86"/>
    <w:rsid w:val="00BD5BD4"/>
    <w:rsid w:val="00BD5F4C"/>
    <w:rsid w:val="00BD6037"/>
    <w:rsid w:val="00BD6366"/>
    <w:rsid w:val="00BD679A"/>
    <w:rsid w:val="00BD67B2"/>
    <w:rsid w:val="00BD6A18"/>
    <w:rsid w:val="00BD6AC2"/>
    <w:rsid w:val="00BD6BBF"/>
    <w:rsid w:val="00BD6F47"/>
    <w:rsid w:val="00BD6F90"/>
    <w:rsid w:val="00BD6F99"/>
    <w:rsid w:val="00BD7009"/>
    <w:rsid w:val="00BD7075"/>
    <w:rsid w:val="00BD73EA"/>
    <w:rsid w:val="00BD7408"/>
    <w:rsid w:val="00BD75F6"/>
    <w:rsid w:val="00BD764E"/>
    <w:rsid w:val="00BD771C"/>
    <w:rsid w:val="00BD77D7"/>
    <w:rsid w:val="00BD7B4C"/>
    <w:rsid w:val="00BD7C58"/>
    <w:rsid w:val="00BD7C64"/>
    <w:rsid w:val="00BD7E42"/>
    <w:rsid w:val="00BD7FF7"/>
    <w:rsid w:val="00BE0007"/>
    <w:rsid w:val="00BE039D"/>
    <w:rsid w:val="00BE05B4"/>
    <w:rsid w:val="00BE0DE6"/>
    <w:rsid w:val="00BE0DF1"/>
    <w:rsid w:val="00BE0F75"/>
    <w:rsid w:val="00BE1429"/>
    <w:rsid w:val="00BE1742"/>
    <w:rsid w:val="00BE18D4"/>
    <w:rsid w:val="00BE1C28"/>
    <w:rsid w:val="00BE214C"/>
    <w:rsid w:val="00BE21F4"/>
    <w:rsid w:val="00BE23B2"/>
    <w:rsid w:val="00BE2800"/>
    <w:rsid w:val="00BE2AC7"/>
    <w:rsid w:val="00BE2E13"/>
    <w:rsid w:val="00BE2E31"/>
    <w:rsid w:val="00BE2F1D"/>
    <w:rsid w:val="00BE3022"/>
    <w:rsid w:val="00BE30EA"/>
    <w:rsid w:val="00BE31A7"/>
    <w:rsid w:val="00BE3467"/>
    <w:rsid w:val="00BE38F3"/>
    <w:rsid w:val="00BE3BA2"/>
    <w:rsid w:val="00BE47BC"/>
    <w:rsid w:val="00BE480E"/>
    <w:rsid w:val="00BE4EE2"/>
    <w:rsid w:val="00BE4F0D"/>
    <w:rsid w:val="00BE543C"/>
    <w:rsid w:val="00BE54E1"/>
    <w:rsid w:val="00BE5668"/>
    <w:rsid w:val="00BE5870"/>
    <w:rsid w:val="00BE6161"/>
    <w:rsid w:val="00BE65A0"/>
    <w:rsid w:val="00BE68F9"/>
    <w:rsid w:val="00BE707D"/>
    <w:rsid w:val="00BE750E"/>
    <w:rsid w:val="00BE77B8"/>
    <w:rsid w:val="00BE7B8A"/>
    <w:rsid w:val="00BE7C12"/>
    <w:rsid w:val="00BE7C52"/>
    <w:rsid w:val="00BF0003"/>
    <w:rsid w:val="00BF011E"/>
    <w:rsid w:val="00BF01E6"/>
    <w:rsid w:val="00BF0870"/>
    <w:rsid w:val="00BF08BE"/>
    <w:rsid w:val="00BF08E0"/>
    <w:rsid w:val="00BF0FAA"/>
    <w:rsid w:val="00BF115E"/>
    <w:rsid w:val="00BF1298"/>
    <w:rsid w:val="00BF12DF"/>
    <w:rsid w:val="00BF130E"/>
    <w:rsid w:val="00BF14BE"/>
    <w:rsid w:val="00BF1755"/>
    <w:rsid w:val="00BF222C"/>
    <w:rsid w:val="00BF2327"/>
    <w:rsid w:val="00BF2A9B"/>
    <w:rsid w:val="00BF2B4E"/>
    <w:rsid w:val="00BF2FA0"/>
    <w:rsid w:val="00BF30A1"/>
    <w:rsid w:val="00BF314A"/>
    <w:rsid w:val="00BF33F2"/>
    <w:rsid w:val="00BF377F"/>
    <w:rsid w:val="00BF3B5F"/>
    <w:rsid w:val="00BF3B7E"/>
    <w:rsid w:val="00BF3DAE"/>
    <w:rsid w:val="00BF47F7"/>
    <w:rsid w:val="00BF480A"/>
    <w:rsid w:val="00BF4B4C"/>
    <w:rsid w:val="00BF5735"/>
    <w:rsid w:val="00BF5873"/>
    <w:rsid w:val="00BF5B18"/>
    <w:rsid w:val="00BF5B82"/>
    <w:rsid w:val="00BF5BBC"/>
    <w:rsid w:val="00BF5C1F"/>
    <w:rsid w:val="00BF5CAE"/>
    <w:rsid w:val="00BF5F5F"/>
    <w:rsid w:val="00BF60D2"/>
    <w:rsid w:val="00BF62FA"/>
    <w:rsid w:val="00BF6707"/>
    <w:rsid w:val="00BF6736"/>
    <w:rsid w:val="00BF6849"/>
    <w:rsid w:val="00BF6852"/>
    <w:rsid w:val="00BF6EA1"/>
    <w:rsid w:val="00BF7473"/>
    <w:rsid w:val="00BF74E8"/>
    <w:rsid w:val="00BF7662"/>
    <w:rsid w:val="00BF7828"/>
    <w:rsid w:val="00BF78EB"/>
    <w:rsid w:val="00BF7A48"/>
    <w:rsid w:val="00BF7C60"/>
    <w:rsid w:val="00BF7D17"/>
    <w:rsid w:val="00C000DF"/>
    <w:rsid w:val="00C0070E"/>
    <w:rsid w:val="00C00B48"/>
    <w:rsid w:val="00C00C35"/>
    <w:rsid w:val="00C00DDA"/>
    <w:rsid w:val="00C014B1"/>
    <w:rsid w:val="00C014BF"/>
    <w:rsid w:val="00C0157D"/>
    <w:rsid w:val="00C01679"/>
    <w:rsid w:val="00C01B82"/>
    <w:rsid w:val="00C02159"/>
    <w:rsid w:val="00C0226E"/>
    <w:rsid w:val="00C02595"/>
    <w:rsid w:val="00C025AE"/>
    <w:rsid w:val="00C026A1"/>
    <w:rsid w:val="00C026A6"/>
    <w:rsid w:val="00C02A5F"/>
    <w:rsid w:val="00C02D20"/>
    <w:rsid w:val="00C02F35"/>
    <w:rsid w:val="00C03002"/>
    <w:rsid w:val="00C030E9"/>
    <w:rsid w:val="00C03228"/>
    <w:rsid w:val="00C032A8"/>
    <w:rsid w:val="00C034CD"/>
    <w:rsid w:val="00C0368A"/>
    <w:rsid w:val="00C03742"/>
    <w:rsid w:val="00C0390A"/>
    <w:rsid w:val="00C03E12"/>
    <w:rsid w:val="00C04014"/>
    <w:rsid w:val="00C04129"/>
    <w:rsid w:val="00C042C1"/>
    <w:rsid w:val="00C04353"/>
    <w:rsid w:val="00C045A0"/>
    <w:rsid w:val="00C046D8"/>
    <w:rsid w:val="00C04D0F"/>
    <w:rsid w:val="00C05500"/>
    <w:rsid w:val="00C058CE"/>
    <w:rsid w:val="00C05C4F"/>
    <w:rsid w:val="00C060B9"/>
    <w:rsid w:val="00C06350"/>
    <w:rsid w:val="00C064B8"/>
    <w:rsid w:val="00C07156"/>
    <w:rsid w:val="00C07282"/>
    <w:rsid w:val="00C07382"/>
    <w:rsid w:val="00C073D5"/>
    <w:rsid w:val="00C075A3"/>
    <w:rsid w:val="00C07809"/>
    <w:rsid w:val="00C07D3F"/>
    <w:rsid w:val="00C100A2"/>
    <w:rsid w:val="00C1033C"/>
    <w:rsid w:val="00C10EAB"/>
    <w:rsid w:val="00C11090"/>
    <w:rsid w:val="00C110A4"/>
    <w:rsid w:val="00C11830"/>
    <w:rsid w:val="00C11906"/>
    <w:rsid w:val="00C11A45"/>
    <w:rsid w:val="00C11B6D"/>
    <w:rsid w:val="00C11C38"/>
    <w:rsid w:val="00C11F8A"/>
    <w:rsid w:val="00C12197"/>
    <w:rsid w:val="00C12269"/>
    <w:rsid w:val="00C123CB"/>
    <w:rsid w:val="00C12488"/>
    <w:rsid w:val="00C12820"/>
    <w:rsid w:val="00C12A08"/>
    <w:rsid w:val="00C12ADE"/>
    <w:rsid w:val="00C12CF0"/>
    <w:rsid w:val="00C12E2A"/>
    <w:rsid w:val="00C1330A"/>
    <w:rsid w:val="00C1361B"/>
    <w:rsid w:val="00C1385C"/>
    <w:rsid w:val="00C13B3F"/>
    <w:rsid w:val="00C13BA2"/>
    <w:rsid w:val="00C13C1B"/>
    <w:rsid w:val="00C13D7E"/>
    <w:rsid w:val="00C13F27"/>
    <w:rsid w:val="00C145EB"/>
    <w:rsid w:val="00C1486F"/>
    <w:rsid w:val="00C14A99"/>
    <w:rsid w:val="00C14B47"/>
    <w:rsid w:val="00C14BAA"/>
    <w:rsid w:val="00C14D65"/>
    <w:rsid w:val="00C152C6"/>
    <w:rsid w:val="00C15347"/>
    <w:rsid w:val="00C154AF"/>
    <w:rsid w:val="00C15A89"/>
    <w:rsid w:val="00C15AFC"/>
    <w:rsid w:val="00C15B14"/>
    <w:rsid w:val="00C15CD4"/>
    <w:rsid w:val="00C15E26"/>
    <w:rsid w:val="00C15FC7"/>
    <w:rsid w:val="00C1613C"/>
    <w:rsid w:val="00C16202"/>
    <w:rsid w:val="00C1641B"/>
    <w:rsid w:val="00C166F2"/>
    <w:rsid w:val="00C16963"/>
    <w:rsid w:val="00C16A7A"/>
    <w:rsid w:val="00C16D90"/>
    <w:rsid w:val="00C16DFC"/>
    <w:rsid w:val="00C1711C"/>
    <w:rsid w:val="00C17740"/>
    <w:rsid w:val="00C1775C"/>
    <w:rsid w:val="00C178B2"/>
    <w:rsid w:val="00C1796C"/>
    <w:rsid w:val="00C17B38"/>
    <w:rsid w:val="00C17DD5"/>
    <w:rsid w:val="00C1E655"/>
    <w:rsid w:val="00C202ED"/>
    <w:rsid w:val="00C20AF5"/>
    <w:rsid w:val="00C211F8"/>
    <w:rsid w:val="00C21258"/>
    <w:rsid w:val="00C213E0"/>
    <w:rsid w:val="00C215F3"/>
    <w:rsid w:val="00C21886"/>
    <w:rsid w:val="00C21B08"/>
    <w:rsid w:val="00C21BCC"/>
    <w:rsid w:val="00C21D8A"/>
    <w:rsid w:val="00C228DC"/>
    <w:rsid w:val="00C22F71"/>
    <w:rsid w:val="00C2301B"/>
    <w:rsid w:val="00C234D7"/>
    <w:rsid w:val="00C2399A"/>
    <w:rsid w:val="00C23ED7"/>
    <w:rsid w:val="00C23EF6"/>
    <w:rsid w:val="00C240C4"/>
    <w:rsid w:val="00C2416A"/>
    <w:rsid w:val="00C24268"/>
    <w:rsid w:val="00C24899"/>
    <w:rsid w:val="00C24956"/>
    <w:rsid w:val="00C2496B"/>
    <w:rsid w:val="00C24A34"/>
    <w:rsid w:val="00C24ECF"/>
    <w:rsid w:val="00C2506E"/>
    <w:rsid w:val="00C252DE"/>
    <w:rsid w:val="00C2570B"/>
    <w:rsid w:val="00C257BE"/>
    <w:rsid w:val="00C25828"/>
    <w:rsid w:val="00C25B3F"/>
    <w:rsid w:val="00C25BB1"/>
    <w:rsid w:val="00C25C86"/>
    <w:rsid w:val="00C2636A"/>
    <w:rsid w:val="00C265B1"/>
    <w:rsid w:val="00C266CE"/>
    <w:rsid w:val="00C26AC3"/>
    <w:rsid w:val="00C26D6B"/>
    <w:rsid w:val="00C26E66"/>
    <w:rsid w:val="00C2766A"/>
    <w:rsid w:val="00C277AA"/>
    <w:rsid w:val="00C2796E"/>
    <w:rsid w:val="00C301BE"/>
    <w:rsid w:val="00C305A7"/>
    <w:rsid w:val="00C306EE"/>
    <w:rsid w:val="00C30ACF"/>
    <w:rsid w:val="00C30E0C"/>
    <w:rsid w:val="00C30E45"/>
    <w:rsid w:val="00C30EFB"/>
    <w:rsid w:val="00C31460"/>
    <w:rsid w:val="00C3149D"/>
    <w:rsid w:val="00C3170E"/>
    <w:rsid w:val="00C317D4"/>
    <w:rsid w:val="00C31998"/>
    <w:rsid w:val="00C31D3F"/>
    <w:rsid w:val="00C320FC"/>
    <w:rsid w:val="00C32179"/>
    <w:rsid w:val="00C32346"/>
    <w:rsid w:val="00C325A5"/>
    <w:rsid w:val="00C326F2"/>
    <w:rsid w:val="00C3274A"/>
    <w:rsid w:val="00C32892"/>
    <w:rsid w:val="00C32BA8"/>
    <w:rsid w:val="00C32D8A"/>
    <w:rsid w:val="00C33353"/>
    <w:rsid w:val="00C3351E"/>
    <w:rsid w:val="00C337D8"/>
    <w:rsid w:val="00C33B2F"/>
    <w:rsid w:val="00C33E7D"/>
    <w:rsid w:val="00C3408A"/>
    <w:rsid w:val="00C34127"/>
    <w:rsid w:val="00C341B6"/>
    <w:rsid w:val="00C3436D"/>
    <w:rsid w:val="00C345EA"/>
    <w:rsid w:val="00C34B7E"/>
    <w:rsid w:val="00C34DD1"/>
    <w:rsid w:val="00C34E4B"/>
    <w:rsid w:val="00C34EA9"/>
    <w:rsid w:val="00C34FA3"/>
    <w:rsid w:val="00C35691"/>
    <w:rsid w:val="00C35A84"/>
    <w:rsid w:val="00C35E5F"/>
    <w:rsid w:val="00C35F17"/>
    <w:rsid w:val="00C3603B"/>
    <w:rsid w:val="00C363E5"/>
    <w:rsid w:val="00C366AB"/>
    <w:rsid w:val="00C36991"/>
    <w:rsid w:val="00C369B4"/>
    <w:rsid w:val="00C36A15"/>
    <w:rsid w:val="00C36A1A"/>
    <w:rsid w:val="00C36A68"/>
    <w:rsid w:val="00C36AD0"/>
    <w:rsid w:val="00C36C1F"/>
    <w:rsid w:val="00C36E26"/>
    <w:rsid w:val="00C36EC1"/>
    <w:rsid w:val="00C3701B"/>
    <w:rsid w:val="00C37043"/>
    <w:rsid w:val="00C37149"/>
    <w:rsid w:val="00C37157"/>
    <w:rsid w:val="00C3732F"/>
    <w:rsid w:val="00C375CC"/>
    <w:rsid w:val="00C3775C"/>
    <w:rsid w:val="00C377BD"/>
    <w:rsid w:val="00C378CB"/>
    <w:rsid w:val="00C37C1A"/>
    <w:rsid w:val="00C401BF"/>
    <w:rsid w:val="00C4021C"/>
    <w:rsid w:val="00C408F2"/>
    <w:rsid w:val="00C40903"/>
    <w:rsid w:val="00C40E33"/>
    <w:rsid w:val="00C40EBD"/>
    <w:rsid w:val="00C40FA2"/>
    <w:rsid w:val="00C4128E"/>
    <w:rsid w:val="00C412A5"/>
    <w:rsid w:val="00C415BB"/>
    <w:rsid w:val="00C41773"/>
    <w:rsid w:val="00C4221C"/>
    <w:rsid w:val="00C424CD"/>
    <w:rsid w:val="00C429C0"/>
    <w:rsid w:val="00C42A20"/>
    <w:rsid w:val="00C42E11"/>
    <w:rsid w:val="00C4300F"/>
    <w:rsid w:val="00C435AD"/>
    <w:rsid w:val="00C436EA"/>
    <w:rsid w:val="00C43933"/>
    <w:rsid w:val="00C439C3"/>
    <w:rsid w:val="00C43D49"/>
    <w:rsid w:val="00C43DA4"/>
    <w:rsid w:val="00C44697"/>
    <w:rsid w:val="00C44A63"/>
    <w:rsid w:val="00C44BF2"/>
    <w:rsid w:val="00C44D52"/>
    <w:rsid w:val="00C44FF6"/>
    <w:rsid w:val="00C453BC"/>
    <w:rsid w:val="00C454E9"/>
    <w:rsid w:val="00C45661"/>
    <w:rsid w:val="00C456C6"/>
    <w:rsid w:val="00C459C6"/>
    <w:rsid w:val="00C45C27"/>
    <w:rsid w:val="00C4622A"/>
    <w:rsid w:val="00C463D7"/>
    <w:rsid w:val="00C46599"/>
    <w:rsid w:val="00C468BD"/>
    <w:rsid w:val="00C46B3E"/>
    <w:rsid w:val="00C46DB0"/>
    <w:rsid w:val="00C47167"/>
    <w:rsid w:val="00C47A61"/>
    <w:rsid w:val="00C47BA3"/>
    <w:rsid w:val="00C47CAF"/>
    <w:rsid w:val="00C5010C"/>
    <w:rsid w:val="00C502EA"/>
    <w:rsid w:val="00C50BA4"/>
    <w:rsid w:val="00C50D5E"/>
    <w:rsid w:val="00C50F43"/>
    <w:rsid w:val="00C51154"/>
    <w:rsid w:val="00C512A0"/>
    <w:rsid w:val="00C516E2"/>
    <w:rsid w:val="00C516EA"/>
    <w:rsid w:val="00C5174D"/>
    <w:rsid w:val="00C51EE3"/>
    <w:rsid w:val="00C5213A"/>
    <w:rsid w:val="00C521C8"/>
    <w:rsid w:val="00C52244"/>
    <w:rsid w:val="00C5236B"/>
    <w:rsid w:val="00C5271C"/>
    <w:rsid w:val="00C52901"/>
    <w:rsid w:val="00C52B87"/>
    <w:rsid w:val="00C52D2C"/>
    <w:rsid w:val="00C52EEA"/>
    <w:rsid w:val="00C530ED"/>
    <w:rsid w:val="00C53207"/>
    <w:rsid w:val="00C5355D"/>
    <w:rsid w:val="00C53687"/>
    <w:rsid w:val="00C53BD4"/>
    <w:rsid w:val="00C53D63"/>
    <w:rsid w:val="00C54452"/>
    <w:rsid w:val="00C544A1"/>
    <w:rsid w:val="00C5459D"/>
    <w:rsid w:val="00C549EE"/>
    <w:rsid w:val="00C54CE0"/>
    <w:rsid w:val="00C550FC"/>
    <w:rsid w:val="00C55191"/>
    <w:rsid w:val="00C551F2"/>
    <w:rsid w:val="00C5522E"/>
    <w:rsid w:val="00C55542"/>
    <w:rsid w:val="00C55660"/>
    <w:rsid w:val="00C55A0B"/>
    <w:rsid w:val="00C55A13"/>
    <w:rsid w:val="00C56175"/>
    <w:rsid w:val="00C561D9"/>
    <w:rsid w:val="00C563FC"/>
    <w:rsid w:val="00C56803"/>
    <w:rsid w:val="00C57056"/>
    <w:rsid w:val="00C57570"/>
    <w:rsid w:val="00C578A2"/>
    <w:rsid w:val="00C57EAA"/>
    <w:rsid w:val="00C57FA5"/>
    <w:rsid w:val="00C600F8"/>
    <w:rsid w:val="00C60221"/>
    <w:rsid w:val="00C60270"/>
    <w:rsid w:val="00C60622"/>
    <w:rsid w:val="00C606C8"/>
    <w:rsid w:val="00C60836"/>
    <w:rsid w:val="00C6085F"/>
    <w:rsid w:val="00C61C83"/>
    <w:rsid w:val="00C62229"/>
    <w:rsid w:val="00C622D5"/>
    <w:rsid w:val="00C62400"/>
    <w:rsid w:val="00C62443"/>
    <w:rsid w:val="00C62449"/>
    <w:rsid w:val="00C627CD"/>
    <w:rsid w:val="00C62BC1"/>
    <w:rsid w:val="00C62CD8"/>
    <w:rsid w:val="00C633AC"/>
    <w:rsid w:val="00C6370B"/>
    <w:rsid w:val="00C645FA"/>
    <w:rsid w:val="00C64879"/>
    <w:rsid w:val="00C648B1"/>
    <w:rsid w:val="00C64A38"/>
    <w:rsid w:val="00C64B22"/>
    <w:rsid w:val="00C65072"/>
    <w:rsid w:val="00C65265"/>
    <w:rsid w:val="00C6549D"/>
    <w:rsid w:val="00C654C9"/>
    <w:rsid w:val="00C658BB"/>
    <w:rsid w:val="00C65B2D"/>
    <w:rsid w:val="00C65CE0"/>
    <w:rsid w:val="00C65D0C"/>
    <w:rsid w:val="00C65DC8"/>
    <w:rsid w:val="00C65E44"/>
    <w:rsid w:val="00C660FB"/>
    <w:rsid w:val="00C66114"/>
    <w:rsid w:val="00C66190"/>
    <w:rsid w:val="00C661EC"/>
    <w:rsid w:val="00C66953"/>
    <w:rsid w:val="00C66C3F"/>
    <w:rsid w:val="00C66C5B"/>
    <w:rsid w:val="00C66DB3"/>
    <w:rsid w:val="00C66E4E"/>
    <w:rsid w:val="00C67090"/>
    <w:rsid w:val="00C670C6"/>
    <w:rsid w:val="00C675BB"/>
    <w:rsid w:val="00C67636"/>
    <w:rsid w:val="00C67A1B"/>
    <w:rsid w:val="00C67C5C"/>
    <w:rsid w:val="00C6BDD4"/>
    <w:rsid w:val="00C70259"/>
    <w:rsid w:val="00C702A8"/>
    <w:rsid w:val="00C704FF"/>
    <w:rsid w:val="00C70737"/>
    <w:rsid w:val="00C7097E"/>
    <w:rsid w:val="00C70B75"/>
    <w:rsid w:val="00C70B7C"/>
    <w:rsid w:val="00C70C5C"/>
    <w:rsid w:val="00C70DC6"/>
    <w:rsid w:val="00C70FE4"/>
    <w:rsid w:val="00C71391"/>
    <w:rsid w:val="00C71746"/>
    <w:rsid w:val="00C71B45"/>
    <w:rsid w:val="00C71F34"/>
    <w:rsid w:val="00C72038"/>
    <w:rsid w:val="00C72049"/>
    <w:rsid w:val="00C72A60"/>
    <w:rsid w:val="00C72D68"/>
    <w:rsid w:val="00C72F1D"/>
    <w:rsid w:val="00C73133"/>
    <w:rsid w:val="00C731FA"/>
    <w:rsid w:val="00C73247"/>
    <w:rsid w:val="00C73376"/>
    <w:rsid w:val="00C73A07"/>
    <w:rsid w:val="00C73B07"/>
    <w:rsid w:val="00C743CF"/>
    <w:rsid w:val="00C7464F"/>
    <w:rsid w:val="00C74775"/>
    <w:rsid w:val="00C74841"/>
    <w:rsid w:val="00C74B7F"/>
    <w:rsid w:val="00C74C20"/>
    <w:rsid w:val="00C74CBA"/>
    <w:rsid w:val="00C74F90"/>
    <w:rsid w:val="00C7545B"/>
    <w:rsid w:val="00C7552E"/>
    <w:rsid w:val="00C756D3"/>
    <w:rsid w:val="00C759EF"/>
    <w:rsid w:val="00C75A50"/>
    <w:rsid w:val="00C75B65"/>
    <w:rsid w:val="00C75E98"/>
    <w:rsid w:val="00C75F46"/>
    <w:rsid w:val="00C7617C"/>
    <w:rsid w:val="00C762F6"/>
    <w:rsid w:val="00C765E9"/>
    <w:rsid w:val="00C76928"/>
    <w:rsid w:val="00C76AFF"/>
    <w:rsid w:val="00C76F5F"/>
    <w:rsid w:val="00C77082"/>
    <w:rsid w:val="00C771DB"/>
    <w:rsid w:val="00C7737B"/>
    <w:rsid w:val="00C773C1"/>
    <w:rsid w:val="00C773CA"/>
    <w:rsid w:val="00C7790B"/>
    <w:rsid w:val="00C77C95"/>
    <w:rsid w:val="00C80028"/>
    <w:rsid w:val="00C802BD"/>
    <w:rsid w:val="00C80BA4"/>
    <w:rsid w:val="00C80F04"/>
    <w:rsid w:val="00C81210"/>
    <w:rsid w:val="00C818C9"/>
    <w:rsid w:val="00C818D7"/>
    <w:rsid w:val="00C819C6"/>
    <w:rsid w:val="00C81ADE"/>
    <w:rsid w:val="00C81ED8"/>
    <w:rsid w:val="00C8244A"/>
    <w:rsid w:val="00C825A2"/>
    <w:rsid w:val="00C82768"/>
    <w:rsid w:val="00C82BA7"/>
    <w:rsid w:val="00C82C91"/>
    <w:rsid w:val="00C82E03"/>
    <w:rsid w:val="00C8327D"/>
    <w:rsid w:val="00C837D8"/>
    <w:rsid w:val="00C839BD"/>
    <w:rsid w:val="00C83C02"/>
    <w:rsid w:val="00C84091"/>
    <w:rsid w:val="00C841BC"/>
    <w:rsid w:val="00C844CD"/>
    <w:rsid w:val="00C846A2"/>
    <w:rsid w:val="00C848D5"/>
    <w:rsid w:val="00C84E0B"/>
    <w:rsid w:val="00C85200"/>
    <w:rsid w:val="00C85326"/>
    <w:rsid w:val="00C85D95"/>
    <w:rsid w:val="00C85E0D"/>
    <w:rsid w:val="00C85FA2"/>
    <w:rsid w:val="00C86089"/>
    <w:rsid w:val="00C8670F"/>
    <w:rsid w:val="00C86A98"/>
    <w:rsid w:val="00C86B28"/>
    <w:rsid w:val="00C870E3"/>
    <w:rsid w:val="00C872E4"/>
    <w:rsid w:val="00C87401"/>
    <w:rsid w:val="00C87F3C"/>
    <w:rsid w:val="00C900D3"/>
    <w:rsid w:val="00C9029A"/>
    <w:rsid w:val="00C9048E"/>
    <w:rsid w:val="00C90755"/>
    <w:rsid w:val="00C9079E"/>
    <w:rsid w:val="00C90802"/>
    <w:rsid w:val="00C909A3"/>
    <w:rsid w:val="00C90B5A"/>
    <w:rsid w:val="00C90EFC"/>
    <w:rsid w:val="00C90FC4"/>
    <w:rsid w:val="00C91874"/>
    <w:rsid w:val="00C91B66"/>
    <w:rsid w:val="00C91C24"/>
    <w:rsid w:val="00C91C6A"/>
    <w:rsid w:val="00C91CD6"/>
    <w:rsid w:val="00C9216F"/>
    <w:rsid w:val="00C92367"/>
    <w:rsid w:val="00C924A5"/>
    <w:rsid w:val="00C92A33"/>
    <w:rsid w:val="00C92B2E"/>
    <w:rsid w:val="00C92CD3"/>
    <w:rsid w:val="00C92EBB"/>
    <w:rsid w:val="00C92FAE"/>
    <w:rsid w:val="00C9304C"/>
    <w:rsid w:val="00C932D9"/>
    <w:rsid w:val="00C933E2"/>
    <w:rsid w:val="00C936E3"/>
    <w:rsid w:val="00C938DA"/>
    <w:rsid w:val="00C93D38"/>
    <w:rsid w:val="00C93E4B"/>
    <w:rsid w:val="00C94485"/>
    <w:rsid w:val="00C94717"/>
    <w:rsid w:val="00C949E5"/>
    <w:rsid w:val="00C94A9A"/>
    <w:rsid w:val="00C94ADD"/>
    <w:rsid w:val="00C94C42"/>
    <w:rsid w:val="00C94C48"/>
    <w:rsid w:val="00C94EDB"/>
    <w:rsid w:val="00C950C1"/>
    <w:rsid w:val="00C95101"/>
    <w:rsid w:val="00C952DD"/>
    <w:rsid w:val="00C954B7"/>
    <w:rsid w:val="00C958F5"/>
    <w:rsid w:val="00C9591A"/>
    <w:rsid w:val="00C95C09"/>
    <w:rsid w:val="00C96A93"/>
    <w:rsid w:val="00C96B32"/>
    <w:rsid w:val="00C96CF4"/>
    <w:rsid w:val="00C97210"/>
    <w:rsid w:val="00C97611"/>
    <w:rsid w:val="00C97A28"/>
    <w:rsid w:val="00C97BF7"/>
    <w:rsid w:val="00CA00AE"/>
    <w:rsid w:val="00CA040D"/>
    <w:rsid w:val="00CA0633"/>
    <w:rsid w:val="00CA0943"/>
    <w:rsid w:val="00CA0B34"/>
    <w:rsid w:val="00CA0D6B"/>
    <w:rsid w:val="00CA0EA9"/>
    <w:rsid w:val="00CA1153"/>
    <w:rsid w:val="00CA1283"/>
    <w:rsid w:val="00CA1AE0"/>
    <w:rsid w:val="00CA1C78"/>
    <w:rsid w:val="00CA1FA4"/>
    <w:rsid w:val="00CA20D0"/>
    <w:rsid w:val="00CA236D"/>
    <w:rsid w:val="00CA2527"/>
    <w:rsid w:val="00CA2AC8"/>
    <w:rsid w:val="00CA2D59"/>
    <w:rsid w:val="00CA3036"/>
    <w:rsid w:val="00CA303B"/>
    <w:rsid w:val="00CA318F"/>
    <w:rsid w:val="00CA3190"/>
    <w:rsid w:val="00CA3B42"/>
    <w:rsid w:val="00CA3D06"/>
    <w:rsid w:val="00CA3E70"/>
    <w:rsid w:val="00CA3EAB"/>
    <w:rsid w:val="00CA420C"/>
    <w:rsid w:val="00CA4244"/>
    <w:rsid w:val="00CA464A"/>
    <w:rsid w:val="00CA46AC"/>
    <w:rsid w:val="00CA4756"/>
    <w:rsid w:val="00CA4D51"/>
    <w:rsid w:val="00CA4F2F"/>
    <w:rsid w:val="00CA4F3E"/>
    <w:rsid w:val="00CA4F71"/>
    <w:rsid w:val="00CA51D9"/>
    <w:rsid w:val="00CA527A"/>
    <w:rsid w:val="00CA55BC"/>
    <w:rsid w:val="00CA6271"/>
    <w:rsid w:val="00CA629E"/>
    <w:rsid w:val="00CA6550"/>
    <w:rsid w:val="00CA660F"/>
    <w:rsid w:val="00CA67BD"/>
    <w:rsid w:val="00CA68B7"/>
    <w:rsid w:val="00CA69A3"/>
    <w:rsid w:val="00CA6AF6"/>
    <w:rsid w:val="00CA6AF7"/>
    <w:rsid w:val="00CA6BFA"/>
    <w:rsid w:val="00CA6C5C"/>
    <w:rsid w:val="00CA70F8"/>
    <w:rsid w:val="00CA7108"/>
    <w:rsid w:val="00CA72F1"/>
    <w:rsid w:val="00CA73C6"/>
    <w:rsid w:val="00CA7403"/>
    <w:rsid w:val="00CA764C"/>
    <w:rsid w:val="00CA76DA"/>
    <w:rsid w:val="00CA77FF"/>
    <w:rsid w:val="00CA7954"/>
    <w:rsid w:val="00CA7F24"/>
    <w:rsid w:val="00CB0CE4"/>
    <w:rsid w:val="00CB0F83"/>
    <w:rsid w:val="00CB100A"/>
    <w:rsid w:val="00CB1065"/>
    <w:rsid w:val="00CB1080"/>
    <w:rsid w:val="00CB109E"/>
    <w:rsid w:val="00CB14CF"/>
    <w:rsid w:val="00CB14E0"/>
    <w:rsid w:val="00CB1771"/>
    <w:rsid w:val="00CB1DE7"/>
    <w:rsid w:val="00CB1FFC"/>
    <w:rsid w:val="00CB21A8"/>
    <w:rsid w:val="00CB2380"/>
    <w:rsid w:val="00CB253D"/>
    <w:rsid w:val="00CB2A4E"/>
    <w:rsid w:val="00CB2C2E"/>
    <w:rsid w:val="00CB2C3C"/>
    <w:rsid w:val="00CB30D9"/>
    <w:rsid w:val="00CB325B"/>
    <w:rsid w:val="00CB337B"/>
    <w:rsid w:val="00CB356D"/>
    <w:rsid w:val="00CB396E"/>
    <w:rsid w:val="00CB3A4E"/>
    <w:rsid w:val="00CB3F77"/>
    <w:rsid w:val="00CB4339"/>
    <w:rsid w:val="00CB45D5"/>
    <w:rsid w:val="00CB45FF"/>
    <w:rsid w:val="00CB4915"/>
    <w:rsid w:val="00CB4F2B"/>
    <w:rsid w:val="00CB4F57"/>
    <w:rsid w:val="00CB5282"/>
    <w:rsid w:val="00CB546D"/>
    <w:rsid w:val="00CB57B9"/>
    <w:rsid w:val="00CB5F1E"/>
    <w:rsid w:val="00CB5F21"/>
    <w:rsid w:val="00CB5F4A"/>
    <w:rsid w:val="00CB62D5"/>
    <w:rsid w:val="00CB65F8"/>
    <w:rsid w:val="00CB6731"/>
    <w:rsid w:val="00CB6758"/>
    <w:rsid w:val="00CB6780"/>
    <w:rsid w:val="00CB6787"/>
    <w:rsid w:val="00CB6DA7"/>
    <w:rsid w:val="00CB70AD"/>
    <w:rsid w:val="00CB7182"/>
    <w:rsid w:val="00CB729C"/>
    <w:rsid w:val="00CB7338"/>
    <w:rsid w:val="00CB7A83"/>
    <w:rsid w:val="00CB7CC0"/>
    <w:rsid w:val="00CB7DCE"/>
    <w:rsid w:val="00CC0201"/>
    <w:rsid w:val="00CC0383"/>
    <w:rsid w:val="00CC03CD"/>
    <w:rsid w:val="00CC0786"/>
    <w:rsid w:val="00CC08CA"/>
    <w:rsid w:val="00CC0C1D"/>
    <w:rsid w:val="00CC0C54"/>
    <w:rsid w:val="00CC0D66"/>
    <w:rsid w:val="00CC0E3F"/>
    <w:rsid w:val="00CC1454"/>
    <w:rsid w:val="00CC1557"/>
    <w:rsid w:val="00CC171C"/>
    <w:rsid w:val="00CC19C3"/>
    <w:rsid w:val="00CC1C87"/>
    <w:rsid w:val="00CC1D22"/>
    <w:rsid w:val="00CC21A1"/>
    <w:rsid w:val="00CC2361"/>
    <w:rsid w:val="00CC238C"/>
    <w:rsid w:val="00CC24D2"/>
    <w:rsid w:val="00CC26B5"/>
    <w:rsid w:val="00CC28D8"/>
    <w:rsid w:val="00CC28E2"/>
    <w:rsid w:val="00CC2ACD"/>
    <w:rsid w:val="00CC2F4E"/>
    <w:rsid w:val="00CC3236"/>
    <w:rsid w:val="00CC3256"/>
    <w:rsid w:val="00CC3376"/>
    <w:rsid w:val="00CC35A8"/>
    <w:rsid w:val="00CC3663"/>
    <w:rsid w:val="00CC3683"/>
    <w:rsid w:val="00CC3796"/>
    <w:rsid w:val="00CC38F0"/>
    <w:rsid w:val="00CC3A8C"/>
    <w:rsid w:val="00CC3AE0"/>
    <w:rsid w:val="00CC3BCE"/>
    <w:rsid w:val="00CC3C0B"/>
    <w:rsid w:val="00CC3CA3"/>
    <w:rsid w:val="00CC3CB1"/>
    <w:rsid w:val="00CC3CD3"/>
    <w:rsid w:val="00CC3E18"/>
    <w:rsid w:val="00CC46F8"/>
    <w:rsid w:val="00CC47CA"/>
    <w:rsid w:val="00CC4A16"/>
    <w:rsid w:val="00CC4B9D"/>
    <w:rsid w:val="00CC4C6D"/>
    <w:rsid w:val="00CC4FFB"/>
    <w:rsid w:val="00CC5139"/>
    <w:rsid w:val="00CC5872"/>
    <w:rsid w:val="00CC5CE2"/>
    <w:rsid w:val="00CC5D21"/>
    <w:rsid w:val="00CC6163"/>
    <w:rsid w:val="00CC6348"/>
    <w:rsid w:val="00CC6468"/>
    <w:rsid w:val="00CC6601"/>
    <w:rsid w:val="00CC66BC"/>
    <w:rsid w:val="00CC6929"/>
    <w:rsid w:val="00CC7227"/>
    <w:rsid w:val="00CC734A"/>
    <w:rsid w:val="00CC77D1"/>
    <w:rsid w:val="00CC781E"/>
    <w:rsid w:val="00CC786A"/>
    <w:rsid w:val="00CC7B1A"/>
    <w:rsid w:val="00CC7BF8"/>
    <w:rsid w:val="00CD043B"/>
    <w:rsid w:val="00CD088C"/>
    <w:rsid w:val="00CD0A32"/>
    <w:rsid w:val="00CD0B5E"/>
    <w:rsid w:val="00CD0E57"/>
    <w:rsid w:val="00CD0E84"/>
    <w:rsid w:val="00CD0FDD"/>
    <w:rsid w:val="00CD14DC"/>
    <w:rsid w:val="00CD1C1A"/>
    <w:rsid w:val="00CD1EB1"/>
    <w:rsid w:val="00CD20F8"/>
    <w:rsid w:val="00CD2162"/>
    <w:rsid w:val="00CD217F"/>
    <w:rsid w:val="00CD22FB"/>
    <w:rsid w:val="00CD2373"/>
    <w:rsid w:val="00CD252A"/>
    <w:rsid w:val="00CD262A"/>
    <w:rsid w:val="00CD26C8"/>
    <w:rsid w:val="00CD2B15"/>
    <w:rsid w:val="00CD32B6"/>
    <w:rsid w:val="00CD34C2"/>
    <w:rsid w:val="00CD3705"/>
    <w:rsid w:val="00CD3CB0"/>
    <w:rsid w:val="00CD3CB1"/>
    <w:rsid w:val="00CD40C1"/>
    <w:rsid w:val="00CD45B9"/>
    <w:rsid w:val="00CD4800"/>
    <w:rsid w:val="00CD481B"/>
    <w:rsid w:val="00CD4D8D"/>
    <w:rsid w:val="00CD500B"/>
    <w:rsid w:val="00CD54FD"/>
    <w:rsid w:val="00CD5633"/>
    <w:rsid w:val="00CD5953"/>
    <w:rsid w:val="00CD5AF7"/>
    <w:rsid w:val="00CD5F98"/>
    <w:rsid w:val="00CD6000"/>
    <w:rsid w:val="00CD60DE"/>
    <w:rsid w:val="00CD62F2"/>
    <w:rsid w:val="00CD695B"/>
    <w:rsid w:val="00CD6E72"/>
    <w:rsid w:val="00CD6FE1"/>
    <w:rsid w:val="00CD71BC"/>
    <w:rsid w:val="00CD731E"/>
    <w:rsid w:val="00CD7484"/>
    <w:rsid w:val="00CD7B5E"/>
    <w:rsid w:val="00CD7D82"/>
    <w:rsid w:val="00CD7EA8"/>
    <w:rsid w:val="00CD8225"/>
    <w:rsid w:val="00CE01D2"/>
    <w:rsid w:val="00CE022F"/>
    <w:rsid w:val="00CE031B"/>
    <w:rsid w:val="00CE03B1"/>
    <w:rsid w:val="00CE0842"/>
    <w:rsid w:val="00CE0C43"/>
    <w:rsid w:val="00CE1223"/>
    <w:rsid w:val="00CE124A"/>
    <w:rsid w:val="00CE1657"/>
    <w:rsid w:val="00CE1C72"/>
    <w:rsid w:val="00CE1D6B"/>
    <w:rsid w:val="00CE20B3"/>
    <w:rsid w:val="00CE20ED"/>
    <w:rsid w:val="00CE2103"/>
    <w:rsid w:val="00CE2646"/>
    <w:rsid w:val="00CE2653"/>
    <w:rsid w:val="00CE2B2F"/>
    <w:rsid w:val="00CE2CCD"/>
    <w:rsid w:val="00CE3146"/>
    <w:rsid w:val="00CE325E"/>
    <w:rsid w:val="00CE37EB"/>
    <w:rsid w:val="00CE390D"/>
    <w:rsid w:val="00CE3959"/>
    <w:rsid w:val="00CE3CCC"/>
    <w:rsid w:val="00CE3E9F"/>
    <w:rsid w:val="00CE3EA5"/>
    <w:rsid w:val="00CE3F2D"/>
    <w:rsid w:val="00CE4010"/>
    <w:rsid w:val="00CE40CC"/>
    <w:rsid w:val="00CE479A"/>
    <w:rsid w:val="00CE4CEC"/>
    <w:rsid w:val="00CE52BE"/>
    <w:rsid w:val="00CE5A68"/>
    <w:rsid w:val="00CE5B3B"/>
    <w:rsid w:val="00CE5D55"/>
    <w:rsid w:val="00CE6964"/>
    <w:rsid w:val="00CE6D13"/>
    <w:rsid w:val="00CE6F42"/>
    <w:rsid w:val="00CE747D"/>
    <w:rsid w:val="00CE750B"/>
    <w:rsid w:val="00CE7B5B"/>
    <w:rsid w:val="00CE7F0C"/>
    <w:rsid w:val="00CF031A"/>
    <w:rsid w:val="00CF0378"/>
    <w:rsid w:val="00CF0811"/>
    <w:rsid w:val="00CF0DCD"/>
    <w:rsid w:val="00CF0DD4"/>
    <w:rsid w:val="00CF0ED0"/>
    <w:rsid w:val="00CF108F"/>
    <w:rsid w:val="00CF110A"/>
    <w:rsid w:val="00CF1453"/>
    <w:rsid w:val="00CF170E"/>
    <w:rsid w:val="00CF1A3E"/>
    <w:rsid w:val="00CF1A8B"/>
    <w:rsid w:val="00CF1C96"/>
    <w:rsid w:val="00CF2072"/>
    <w:rsid w:val="00CF232D"/>
    <w:rsid w:val="00CF2439"/>
    <w:rsid w:val="00CF25E3"/>
    <w:rsid w:val="00CF27DD"/>
    <w:rsid w:val="00CF289A"/>
    <w:rsid w:val="00CF2B73"/>
    <w:rsid w:val="00CF2C9F"/>
    <w:rsid w:val="00CF2CD8"/>
    <w:rsid w:val="00CF2DD5"/>
    <w:rsid w:val="00CF36A0"/>
    <w:rsid w:val="00CF390D"/>
    <w:rsid w:val="00CF3B65"/>
    <w:rsid w:val="00CF3B9C"/>
    <w:rsid w:val="00CF3CA5"/>
    <w:rsid w:val="00CF3F88"/>
    <w:rsid w:val="00CF431E"/>
    <w:rsid w:val="00CF4476"/>
    <w:rsid w:val="00CF44A1"/>
    <w:rsid w:val="00CF466A"/>
    <w:rsid w:val="00CF49B7"/>
    <w:rsid w:val="00CF4A50"/>
    <w:rsid w:val="00CF4C77"/>
    <w:rsid w:val="00CF4D50"/>
    <w:rsid w:val="00CF4DC1"/>
    <w:rsid w:val="00CF51D2"/>
    <w:rsid w:val="00CF527E"/>
    <w:rsid w:val="00CF543B"/>
    <w:rsid w:val="00CF549C"/>
    <w:rsid w:val="00CF555A"/>
    <w:rsid w:val="00CF57E4"/>
    <w:rsid w:val="00CF5906"/>
    <w:rsid w:val="00CF5A6B"/>
    <w:rsid w:val="00CF5A8C"/>
    <w:rsid w:val="00CF5B6D"/>
    <w:rsid w:val="00CF5C7F"/>
    <w:rsid w:val="00CF64CF"/>
    <w:rsid w:val="00CF66A0"/>
    <w:rsid w:val="00CF66B7"/>
    <w:rsid w:val="00CF67DE"/>
    <w:rsid w:val="00CF69FB"/>
    <w:rsid w:val="00CF6AFD"/>
    <w:rsid w:val="00CF70C0"/>
    <w:rsid w:val="00CF711F"/>
    <w:rsid w:val="00CF7225"/>
    <w:rsid w:val="00CF7374"/>
    <w:rsid w:val="00CF753D"/>
    <w:rsid w:val="00CF78C7"/>
    <w:rsid w:val="00CF7ACF"/>
    <w:rsid w:val="00D002E4"/>
    <w:rsid w:val="00D00423"/>
    <w:rsid w:val="00D006F9"/>
    <w:rsid w:val="00D00A37"/>
    <w:rsid w:val="00D00F39"/>
    <w:rsid w:val="00D00F74"/>
    <w:rsid w:val="00D010D3"/>
    <w:rsid w:val="00D013CD"/>
    <w:rsid w:val="00D013FC"/>
    <w:rsid w:val="00D01575"/>
    <w:rsid w:val="00D0173D"/>
    <w:rsid w:val="00D01B8D"/>
    <w:rsid w:val="00D01DF0"/>
    <w:rsid w:val="00D02293"/>
    <w:rsid w:val="00D022A7"/>
    <w:rsid w:val="00D024CD"/>
    <w:rsid w:val="00D0289E"/>
    <w:rsid w:val="00D02A1A"/>
    <w:rsid w:val="00D02B03"/>
    <w:rsid w:val="00D02B66"/>
    <w:rsid w:val="00D031A9"/>
    <w:rsid w:val="00D03270"/>
    <w:rsid w:val="00D032F9"/>
    <w:rsid w:val="00D03D80"/>
    <w:rsid w:val="00D04093"/>
    <w:rsid w:val="00D04305"/>
    <w:rsid w:val="00D04A01"/>
    <w:rsid w:val="00D04FCE"/>
    <w:rsid w:val="00D0507A"/>
    <w:rsid w:val="00D0515E"/>
    <w:rsid w:val="00D05442"/>
    <w:rsid w:val="00D056DA"/>
    <w:rsid w:val="00D056FD"/>
    <w:rsid w:val="00D05A8C"/>
    <w:rsid w:val="00D05B2E"/>
    <w:rsid w:val="00D05B88"/>
    <w:rsid w:val="00D05D0F"/>
    <w:rsid w:val="00D068D6"/>
    <w:rsid w:val="00D06A58"/>
    <w:rsid w:val="00D06B70"/>
    <w:rsid w:val="00D06E96"/>
    <w:rsid w:val="00D07107"/>
    <w:rsid w:val="00D0764D"/>
    <w:rsid w:val="00D07822"/>
    <w:rsid w:val="00D07C9A"/>
    <w:rsid w:val="00D07DE8"/>
    <w:rsid w:val="00D1016A"/>
    <w:rsid w:val="00D101AA"/>
    <w:rsid w:val="00D10688"/>
    <w:rsid w:val="00D1091C"/>
    <w:rsid w:val="00D10CA3"/>
    <w:rsid w:val="00D10E2C"/>
    <w:rsid w:val="00D110B5"/>
    <w:rsid w:val="00D115F7"/>
    <w:rsid w:val="00D115F8"/>
    <w:rsid w:val="00D119DD"/>
    <w:rsid w:val="00D11BA6"/>
    <w:rsid w:val="00D11F0E"/>
    <w:rsid w:val="00D1200C"/>
    <w:rsid w:val="00D122AB"/>
    <w:rsid w:val="00D123A8"/>
    <w:rsid w:val="00D12672"/>
    <w:rsid w:val="00D128B9"/>
    <w:rsid w:val="00D12DC2"/>
    <w:rsid w:val="00D12DC8"/>
    <w:rsid w:val="00D13370"/>
    <w:rsid w:val="00D136CD"/>
    <w:rsid w:val="00D136D7"/>
    <w:rsid w:val="00D13936"/>
    <w:rsid w:val="00D13FF7"/>
    <w:rsid w:val="00D147DA"/>
    <w:rsid w:val="00D14826"/>
    <w:rsid w:val="00D14A9D"/>
    <w:rsid w:val="00D14C6D"/>
    <w:rsid w:val="00D14EFB"/>
    <w:rsid w:val="00D15223"/>
    <w:rsid w:val="00D152DA"/>
    <w:rsid w:val="00D15308"/>
    <w:rsid w:val="00D15535"/>
    <w:rsid w:val="00D15647"/>
    <w:rsid w:val="00D15826"/>
    <w:rsid w:val="00D15875"/>
    <w:rsid w:val="00D159CD"/>
    <w:rsid w:val="00D15EF0"/>
    <w:rsid w:val="00D15F76"/>
    <w:rsid w:val="00D15FF5"/>
    <w:rsid w:val="00D16024"/>
    <w:rsid w:val="00D1629D"/>
    <w:rsid w:val="00D16A0C"/>
    <w:rsid w:val="00D16B7C"/>
    <w:rsid w:val="00D17457"/>
    <w:rsid w:val="00D1768D"/>
    <w:rsid w:val="00D17783"/>
    <w:rsid w:val="00D17837"/>
    <w:rsid w:val="00D17A67"/>
    <w:rsid w:val="00D17A8C"/>
    <w:rsid w:val="00D17DA7"/>
    <w:rsid w:val="00D17FC6"/>
    <w:rsid w:val="00D1894B"/>
    <w:rsid w:val="00D203CF"/>
    <w:rsid w:val="00D203DC"/>
    <w:rsid w:val="00D203DD"/>
    <w:rsid w:val="00D20507"/>
    <w:rsid w:val="00D20A66"/>
    <w:rsid w:val="00D20B5F"/>
    <w:rsid w:val="00D20D01"/>
    <w:rsid w:val="00D2112F"/>
    <w:rsid w:val="00D2129D"/>
    <w:rsid w:val="00D217D1"/>
    <w:rsid w:val="00D21A13"/>
    <w:rsid w:val="00D21A78"/>
    <w:rsid w:val="00D21BCB"/>
    <w:rsid w:val="00D21EC6"/>
    <w:rsid w:val="00D2203D"/>
    <w:rsid w:val="00D222D0"/>
    <w:rsid w:val="00D22377"/>
    <w:rsid w:val="00D22429"/>
    <w:rsid w:val="00D224C2"/>
    <w:rsid w:val="00D2261A"/>
    <w:rsid w:val="00D2327C"/>
    <w:rsid w:val="00D23509"/>
    <w:rsid w:val="00D23832"/>
    <w:rsid w:val="00D23945"/>
    <w:rsid w:val="00D241A1"/>
    <w:rsid w:val="00D2429B"/>
    <w:rsid w:val="00D242D8"/>
    <w:rsid w:val="00D2474B"/>
    <w:rsid w:val="00D24798"/>
    <w:rsid w:val="00D24877"/>
    <w:rsid w:val="00D24996"/>
    <w:rsid w:val="00D249C7"/>
    <w:rsid w:val="00D24A28"/>
    <w:rsid w:val="00D24B02"/>
    <w:rsid w:val="00D24B2F"/>
    <w:rsid w:val="00D24C04"/>
    <w:rsid w:val="00D250BE"/>
    <w:rsid w:val="00D2510E"/>
    <w:rsid w:val="00D2517F"/>
    <w:rsid w:val="00D25557"/>
    <w:rsid w:val="00D255E4"/>
    <w:rsid w:val="00D25EA0"/>
    <w:rsid w:val="00D2606D"/>
    <w:rsid w:val="00D2668F"/>
    <w:rsid w:val="00D26777"/>
    <w:rsid w:val="00D26867"/>
    <w:rsid w:val="00D26883"/>
    <w:rsid w:val="00D26A03"/>
    <w:rsid w:val="00D26EE3"/>
    <w:rsid w:val="00D26F34"/>
    <w:rsid w:val="00D27062"/>
    <w:rsid w:val="00D27600"/>
    <w:rsid w:val="00D27D3F"/>
    <w:rsid w:val="00D27FC2"/>
    <w:rsid w:val="00D30033"/>
    <w:rsid w:val="00D30102"/>
    <w:rsid w:val="00D304BA"/>
    <w:rsid w:val="00D30666"/>
    <w:rsid w:val="00D30737"/>
    <w:rsid w:val="00D30741"/>
    <w:rsid w:val="00D30830"/>
    <w:rsid w:val="00D30AA7"/>
    <w:rsid w:val="00D30B50"/>
    <w:rsid w:val="00D30BBD"/>
    <w:rsid w:val="00D30E87"/>
    <w:rsid w:val="00D30EF5"/>
    <w:rsid w:val="00D30FAA"/>
    <w:rsid w:val="00D3111F"/>
    <w:rsid w:val="00D3113D"/>
    <w:rsid w:val="00D31491"/>
    <w:rsid w:val="00D3174B"/>
    <w:rsid w:val="00D317CB"/>
    <w:rsid w:val="00D3184F"/>
    <w:rsid w:val="00D31884"/>
    <w:rsid w:val="00D31B46"/>
    <w:rsid w:val="00D31C4A"/>
    <w:rsid w:val="00D31F8A"/>
    <w:rsid w:val="00D32166"/>
    <w:rsid w:val="00D3224A"/>
    <w:rsid w:val="00D32C68"/>
    <w:rsid w:val="00D32D98"/>
    <w:rsid w:val="00D33C42"/>
    <w:rsid w:val="00D342DD"/>
    <w:rsid w:val="00D3435F"/>
    <w:rsid w:val="00D34793"/>
    <w:rsid w:val="00D34C43"/>
    <w:rsid w:val="00D35203"/>
    <w:rsid w:val="00D353F1"/>
    <w:rsid w:val="00D35461"/>
    <w:rsid w:val="00D35488"/>
    <w:rsid w:val="00D35A4C"/>
    <w:rsid w:val="00D35BDF"/>
    <w:rsid w:val="00D35F11"/>
    <w:rsid w:val="00D36688"/>
    <w:rsid w:val="00D36AA3"/>
    <w:rsid w:val="00D37174"/>
    <w:rsid w:val="00D37471"/>
    <w:rsid w:val="00D3748C"/>
    <w:rsid w:val="00D3758C"/>
    <w:rsid w:val="00D37901"/>
    <w:rsid w:val="00D37A22"/>
    <w:rsid w:val="00D37B59"/>
    <w:rsid w:val="00D401B8"/>
    <w:rsid w:val="00D40254"/>
    <w:rsid w:val="00D4027D"/>
    <w:rsid w:val="00D40D83"/>
    <w:rsid w:val="00D41018"/>
    <w:rsid w:val="00D41056"/>
    <w:rsid w:val="00D41128"/>
    <w:rsid w:val="00D4155B"/>
    <w:rsid w:val="00D41578"/>
    <w:rsid w:val="00D41598"/>
    <w:rsid w:val="00D41DC2"/>
    <w:rsid w:val="00D41EFA"/>
    <w:rsid w:val="00D42041"/>
    <w:rsid w:val="00D42226"/>
    <w:rsid w:val="00D4274B"/>
    <w:rsid w:val="00D42864"/>
    <w:rsid w:val="00D42D95"/>
    <w:rsid w:val="00D43E87"/>
    <w:rsid w:val="00D43EE5"/>
    <w:rsid w:val="00D43FFF"/>
    <w:rsid w:val="00D44231"/>
    <w:rsid w:val="00D44EB5"/>
    <w:rsid w:val="00D454F1"/>
    <w:rsid w:val="00D4558B"/>
    <w:rsid w:val="00D45BBF"/>
    <w:rsid w:val="00D45BDF"/>
    <w:rsid w:val="00D45E0A"/>
    <w:rsid w:val="00D46134"/>
    <w:rsid w:val="00D461BF"/>
    <w:rsid w:val="00D465DC"/>
    <w:rsid w:val="00D468A9"/>
    <w:rsid w:val="00D46964"/>
    <w:rsid w:val="00D46B03"/>
    <w:rsid w:val="00D46BB7"/>
    <w:rsid w:val="00D46CAD"/>
    <w:rsid w:val="00D46E0C"/>
    <w:rsid w:val="00D46EBE"/>
    <w:rsid w:val="00D471D5"/>
    <w:rsid w:val="00D47597"/>
    <w:rsid w:val="00D4775E"/>
    <w:rsid w:val="00D477F9"/>
    <w:rsid w:val="00D47D1C"/>
    <w:rsid w:val="00D47D6F"/>
    <w:rsid w:val="00D50197"/>
    <w:rsid w:val="00D502C9"/>
    <w:rsid w:val="00D505B3"/>
    <w:rsid w:val="00D506AA"/>
    <w:rsid w:val="00D50946"/>
    <w:rsid w:val="00D50AC2"/>
    <w:rsid w:val="00D50B76"/>
    <w:rsid w:val="00D50BA8"/>
    <w:rsid w:val="00D50D66"/>
    <w:rsid w:val="00D50E38"/>
    <w:rsid w:val="00D510F0"/>
    <w:rsid w:val="00D51721"/>
    <w:rsid w:val="00D51A7D"/>
    <w:rsid w:val="00D51E10"/>
    <w:rsid w:val="00D51EEA"/>
    <w:rsid w:val="00D52008"/>
    <w:rsid w:val="00D5221E"/>
    <w:rsid w:val="00D524E2"/>
    <w:rsid w:val="00D52789"/>
    <w:rsid w:val="00D52822"/>
    <w:rsid w:val="00D52E68"/>
    <w:rsid w:val="00D53571"/>
    <w:rsid w:val="00D53585"/>
    <w:rsid w:val="00D53708"/>
    <w:rsid w:val="00D5387E"/>
    <w:rsid w:val="00D53CEB"/>
    <w:rsid w:val="00D53E44"/>
    <w:rsid w:val="00D53F5E"/>
    <w:rsid w:val="00D544C5"/>
    <w:rsid w:val="00D54513"/>
    <w:rsid w:val="00D54545"/>
    <w:rsid w:val="00D54F13"/>
    <w:rsid w:val="00D54F3C"/>
    <w:rsid w:val="00D55380"/>
    <w:rsid w:val="00D55494"/>
    <w:rsid w:val="00D555FE"/>
    <w:rsid w:val="00D55614"/>
    <w:rsid w:val="00D558CB"/>
    <w:rsid w:val="00D55B2F"/>
    <w:rsid w:val="00D55DE8"/>
    <w:rsid w:val="00D55E8A"/>
    <w:rsid w:val="00D562C1"/>
    <w:rsid w:val="00D5646D"/>
    <w:rsid w:val="00D5677E"/>
    <w:rsid w:val="00D56949"/>
    <w:rsid w:val="00D56A3B"/>
    <w:rsid w:val="00D56B4E"/>
    <w:rsid w:val="00D56CA8"/>
    <w:rsid w:val="00D56F1F"/>
    <w:rsid w:val="00D56F3D"/>
    <w:rsid w:val="00D571C8"/>
    <w:rsid w:val="00D5746A"/>
    <w:rsid w:val="00D57CFD"/>
    <w:rsid w:val="00D60003"/>
    <w:rsid w:val="00D60274"/>
    <w:rsid w:val="00D60575"/>
    <w:rsid w:val="00D60659"/>
    <w:rsid w:val="00D606CA"/>
    <w:rsid w:val="00D60731"/>
    <w:rsid w:val="00D608D4"/>
    <w:rsid w:val="00D6093E"/>
    <w:rsid w:val="00D60A7D"/>
    <w:rsid w:val="00D60AA6"/>
    <w:rsid w:val="00D60D3F"/>
    <w:rsid w:val="00D60D99"/>
    <w:rsid w:val="00D60FF8"/>
    <w:rsid w:val="00D611AD"/>
    <w:rsid w:val="00D6176C"/>
    <w:rsid w:val="00D61923"/>
    <w:rsid w:val="00D61934"/>
    <w:rsid w:val="00D61A73"/>
    <w:rsid w:val="00D61AA4"/>
    <w:rsid w:val="00D61D2A"/>
    <w:rsid w:val="00D61F25"/>
    <w:rsid w:val="00D62309"/>
    <w:rsid w:val="00D624A2"/>
    <w:rsid w:val="00D624E1"/>
    <w:rsid w:val="00D6276F"/>
    <w:rsid w:val="00D62CAF"/>
    <w:rsid w:val="00D62D04"/>
    <w:rsid w:val="00D63072"/>
    <w:rsid w:val="00D63270"/>
    <w:rsid w:val="00D63885"/>
    <w:rsid w:val="00D63CDD"/>
    <w:rsid w:val="00D63D07"/>
    <w:rsid w:val="00D63E57"/>
    <w:rsid w:val="00D64444"/>
    <w:rsid w:val="00D6445B"/>
    <w:rsid w:val="00D64A60"/>
    <w:rsid w:val="00D64AEF"/>
    <w:rsid w:val="00D64B5F"/>
    <w:rsid w:val="00D64E37"/>
    <w:rsid w:val="00D65445"/>
    <w:rsid w:val="00D655BA"/>
    <w:rsid w:val="00D656DA"/>
    <w:rsid w:val="00D65B27"/>
    <w:rsid w:val="00D65BA8"/>
    <w:rsid w:val="00D65D3C"/>
    <w:rsid w:val="00D65EF8"/>
    <w:rsid w:val="00D65F2B"/>
    <w:rsid w:val="00D6638C"/>
    <w:rsid w:val="00D66780"/>
    <w:rsid w:val="00D66B65"/>
    <w:rsid w:val="00D670D2"/>
    <w:rsid w:val="00D67801"/>
    <w:rsid w:val="00D67BE8"/>
    <w:rsid w:val="00D67CE9"/>
    <w:rsid w:val="00D67DDF"/>
    <w:rsid w:val="00D70103"/>
    <w:rsid w:val="00D703BB"/>
    <w:rsid w:val="00D703DF"/>
    <w:rsid w:val="00D704BE"/>
    <w:rsid w:val="00D706C1"/>
    <w:rsid w:val="00D70BCE"/>
    <w:rsid w:val="00D70CC8"/>
    <w:rsid w:val="00D70EAE"/>
    <w:rsid w:val="00D70F8E"/>
    <w:rsid w:val="00D7124B"/>
    <w:rsid w:val="00D71D48"/>
    <w:rsid w:val="00D71EA7"/>
    <w:rsid w:val="00D7228A"/>
    <w:rsid w:val="00D724B6"/>
    <w:rsid w:val="00D7250C"/>
    <w:rsid w:val="00D72728"/>
    <w:rsid w:val="00D72781"/>
    <w:rsid w:val="00D72880"/>
    <w:rsid w:val="00D72BD2"/>
    <w:rsid w:val="00D72C06"/>
    <w:rsid w:val="00D72E3B"/>
    <w:rsid w:val="00D72F44"/>
    <w:rsid w:val="00D73175"/>
    <w:rsid w:val="00D731F8"/>
    <w:rsid w:val="00D73415"/>
    <w:rsid w:val="00D73583"/>
    <w:rsid w:val="00D73A65"/>
    <w:rsid w:val="00D73B3A"/>
    <w:rsid w:val="00D73CE9"/>
    <w:rsid w:val="00D73E39"/>
    <w:rsid w:val="00D73EF0"/>
    <w:rsid w:val="00D74048"/>
    <w:rsid w:val="00D7412C"/>
    <w:rsid w:val="00D741EB"/>
    <w:rsid w:val="00D7440B"/>
    <w:rsid w:val="00D74B9B"/>
    <w:rsid w:val="00D74DC1"/>
    <w:rsid w:val="00D74DD7"/>
    <w:rsid w:val="00D74DE4"/>
    <w:rsid w:val="00D75180"/>
    <w:rsid w:val="00D751B3"/>
    <w:rsid w:val="00D75369"/>
    <w:rsid w:val="00D7543A"/>
    <w:rsid w:val="00D759B3"/>
    <w:rsid w:val="00D75E34"/>
    <w:rsid w:val="00D75F47"/>
    <w:rsid w:val="00D7606F"/>
    <w:rsid w:val="00D76123"/>
    <w:rsid w:val="00D761BF"/>
    <w:rsid w:val="00D765A3"/>
    <w:rsid w:val="00D76650"/>
    <w:rsid w:val="00D76781"/>
    <w:rsid w:val="00D76F49"/>
    <w:rsid w:val="00D770AF"/>
    <w:rsid w:val="00D770F9"/>
    <w:rsid w:val="00D773CB"/>
    <w:rsid w:val="00D77429"/>
    <w:rsid w:val="00D7786D"/>
    <w:rsid w:val="00D77A40"/>
    <w:rsid w:val="00D77EDF"/>
    <w:rsid w:val="00D8028B"/>
    <w:rsid w:val="00D8045E"/>
    <w:rsid w:val="00D80589"/>
    <w:rsid w:val="00D8103E"/>
    <w:rsid w:val="00D81259"/>
    <w:rsid w:val="00D8143E"/>
    <w:rsid w:val="00D81521"/>
    <w:rsid w:val="00D8174C"/>
    <w:rsid w:val="00D817CA"/>
    <w:rsid w:val="00D818BA"/>
    <w:rsid w:val="00D81A04"/>
    <w:rsid w:val="00D81A06"/>
    <w:rsid w:val="00D81A6D"/>
    <w:rsid w:val="00D81AB4"/>
    <w:rsid w:val="00D81CD9"/>
    <w:rsid w:val="00D821CC"/>
    <w:rsid w:val="00D821DF"/>
    <w:rsid w:val="00D827E5"/>
    <w:rsid w:val="00D82951"/>
    <w:rsid w:val="00D829B6"/>
    <w:rsid w:val="00D829BA"/>
    <w:rsid w:val="00D82AAD"/>
    <w:rsid w:val="00D82B61"/>
    <w:rsid w:val="00D832A2"/>
    <w:rsid w:val="00D83676"/>
    <w:rsid w:val="00D836C5"/>
    <w:rsid w:val="00D836DF"/>
    <w:rsid w:val="00D837E4"/>
    <w:rsid w:val="00D83898"/>
    <w:rsid w:val="00D83B3D"/>
    <w:rsid w:val="00D83B9D"/>
    <w:rsid w:val="00D83C73"/>
    <w:rsid w:val="00D83C87"/>
    <w:rsid w:val="00D84132"/>
    <w:rsid w:val="00D8414D"/>
    <w:rsid w:val="00D842A2"/>
    <w:rsid w:val="00D84386"/>
    <w:rsid w:val="00D846E6"/>
    <w:rsid w:val="00D8479C"/>
    <w:rsid w:val="00D84946"/>
    <w:rsid w:val="00D84ACF"/>
    <w:rsid w:val="00D84B63"/>
    <w:rsid w:val="00D851DB"/>
    <w:rsid w:val="00D85266"/>
    <w:rsid w:val="00D85277"/>
    <w:rsid w:val="00D853A5"/>
    <w:rsid w:val="00D85785"/>
    <w:rsid w:val="00D85D2A"/>
    <w:rsid w:val="00D8601E"/>
    <w:rsid w:val="00D863F6"/>
    <w:rsid w:val="00D86699"/>
    <w:rsid w:val="00D86793"/>
    <w:rsid w:val="00D86FF1"/>
    <w:rsid w:val="00D870D7"/>
    <w:rsid w:val="00D87120"/>
    <w:rsid w:val="00D87164"/>
    <w:rsid w:val="00D8719E"/>
    <w:rsid w:val="00D871E2"/>
    <w:rsid w:val="00D87615"/>
    <w:rsid w:val="00D876E5"/>
    <w:rsid w:val="00D87AB5"/>
    <w:rsid w:val="00D87C09"/>
    <w:rsid w:val="00D87E4B"/>
    <w:rsid w:val="00D87EE7"/>
    <w:rsid w:val="00D900E0"/>
    <w:rsid w:val="00D90312"/>
    <w:rsid w:val="00D90518"/>
    <w:rsid w:val="00D90863"/>
    <w:rsid w:val="00D90A6B"/>
    <w:rsid w:val="00D90D37"/>
    <w:rsid w:val="00D90F04"/>
    <w:rsid w:val="00D90FB3"/>
    <w:rsid w:val="00D9100F"/>
    <w:rsid w:val="00D91285"/>
    <w:rsid w:val="00D914D5"/>
    <w:rsid w:val="00D9179B"/>
    <w:rsid w:val="00D918A2"/>
    <w:rsid w:val="00D918D7"/>
    <w:rsid w:val="00D91921"/>
    <w:rsid w:val="00D91A12"/>
    <w:rsid w:val="00D91B99"/>
    <w:rsid w:val="00D91C86"/>
    <w:rsid w:val="00D91CAF"/>
    <w:rsid w:val="00D91CE8"/>
    <w:rsid w:val="00D91DA4"/>
    <w:rsid w:val="00D9221E"/>
    <w:rsid w:val="00D92255"/>
    <w:rsid w:val="00D925F7"/>
    <w:rsid w:val="00D92807"/>
    <w:rsid w:val="00D92C79"/>
    <w:rsid w:val="00D933A9"/>
    <w:rsid w:val="00D934FA"/>
    <w:rsid w:val="00D93741"/>
    <w:rsid w:val="00D9379C"/>
    <w:rsid w:val="00D937B7"/>
    <w:rsid w:val="00D9382C"/>
    <w:rsid w:val="00D94156"/>
    <w:rsid w:val="00D949C0"/>
    <w:rsid w:val="00D94ABB"/>
    <w:rsid w:val="00D94C35"/>
    <w:rsid w:val="00D94CDD"/>
    <w:rsid w:val="00D94CE7"/>
    <w:rsid w:val="00D95294"/>
    <w:rsid w:val="00D95570"/>
    <w:rsid w:val="00D958DF"/>
    <w:rsid w:val="00D95930"/>
    <w:rsid w:val="00D95972"/>
    <w:rsid w:val="00D95AB8"/>
    <w:rsid w:val="00D95D61"/>
    <w:rsid w:val="00D95E46"/>
    <w:rsid w:val="00D963FE"/>
    <w:rsid w:val="00D9664D"/>
    <w:rsid w:val="00D96799"/>
    <w:rsid w:val="00D968CF"/>
    <w:rsid w:val="00D969FD"/>
    <w:rsid w:val="00D96B3F"/>
    <w:rsid w:val="00D96C32"/>
    <w:rsid w:val="00D96D0B"/>
    <w:rsid w:val="00D9723D"/>
    <w:rsid w:val="00D97A4A"/>
    <w:rsid w:val="00D97B02"/>
    <w:rsid w:val="00D97EE6"/>
    <w:rsid w:val="00D97F36"/>
    <w:rsid w:val="00DA012F"/>
    <w:rsid w:val="00DA01EC"/>
    <w:rsid w:val="00DA057F"/>
    <w:rsid w:val="00DA05FF"/>
    <w:rsid w:val="00DA07A5"/>
    <w:rsid w:val="00DA0875"/>
    <w:rsid w:val="00DA11AC"/>
    <w:rsid w:val="00DA12D8"/>
    <w:rsid w:val="00DA1C58"/>
    <w:rsid w:val="00DA23B8"/>
    <w:rsid w:val="00DA275E"/>
    <w:rsid w:val="00DA2761"/>
    <w:rsid w:val="00DA27CD"/>
    <w:rsid w:val="00DA2821"/>
    <w:rsid w:val="00DA284A"/>
    <w:rsid w:val="00DA2EFB"/>
    <w:rsid w:val="00DA3993"/>
    <w:rsid w:val="00DA3B76"/>
    <w:rsid w:val="00DA3DE2"/>
    <w:rsid w:val="00DA3FFB"/>
    <w:rsid w:val="00DA4140"/>
    <w:rsid w:val="00DA4348"/>
    <w:rsid w:val="00DA43FB"/>
    <w:rsid w:val="00DA45D9"/>
    <w:rsid w:val="00DA47F3"/>
    <w:rsid w:val="00DA4F9F"/>
    <w:rsid w:val="00DA4FE2"/>
    <w:rsid w:val="00DA5381"/>
    <w:rsid w:val="00DA552F"/>
    <w:rsid w:val="00DA5AD4"/>
    <w:rsid w:val="00DA5ADF"/>
    <w:rsid w:val="00DA63FE"/>
    <w:rsid w:val="00DA644E"/>
    <w:rsid w:val="00DA6B5C"/>
    <w:rsid w:val="00DA6D77"/>
    <w:rsid w:val="00DA6E74"/>
    <w:rsid w:val="00DA6F96"/>
    <w:rsid w:val="00DA700B"/>
    <w:rsid w:val="00DA70EC"/>
    <w:rsid w:val="00DA7163"/>
    <w:rsid w:val="00DA74F3"/>
    <w:rsid w:val="00DA7546"/>
    <w:rsid w:val="00DA7608"/>
    <w:rsid w:val="00DA786C"/>
    <w:rsid w:val="00DB00D6"/>
    <w:rsid w:val="00DB0566"/>
    <w:rsid w:val="00DB0707"/>
    <w:rsid w:val="00DB07BC"/>
    <w:rsid w:val="00DB0C80"/>
    <w:rsid w:val="00DB1347"/>
    <w:rsid w:val="00DB13BA"/>
    <w:rsid w:val="00DB1826"/>
    <w:rsid w:val="00DB18CD"/>
    <w:rsid w:val="00DB1904"/>
    <w:rsid w:val="00DB1C9E"/>
    <w:rsid w:val="00DB1CAC"/>
    <w:rsid w:val="00DB1CFA"/>
    <w:rsid w:val="00DB1EE8"/>
    <w:rsid w:val="00DB2434"/>
    <w:rsid w:val="00DB279F"/>
    <w:rsid w:val="00DB2EFB"/>
    <w:rsid w:val="00DB2F64"/>
    <w:rsid w:val="00DB3298"/>
    <w:rsid w:val="00DB3826"/>
    <w:rsid w:val="00DB38CF"/>
    <w:rsid w:val="00DB39B9"/>
    <w:rsid w:val="00DB3B7D"/>
    <w:rsid w:val="00DB3BFF"/>
    <w:rsid w:val="00DB3D03"/>
    <w:rsid w:val="00DB3F62"/>
    <w:rsid w:val="00DB4014"/>
    <w:rsid w:val="00DB42AB"/>
    <w:rsid w:val="00DB43B1"/>
    <w:rsid w:val="00DB44C2"/>
    <w:rsid w:val="00DB461B"/>
    <w:rsid w:val="00DB48EB"/>
    <w:rsid w:val="00DB4C9E"/>
    <w:rsid w:val="00DB4D35"/>
    <w:rsid w:val="00DB4E6B"/>
    <w:rsid w:val="00DB5111"/>
    <w:rsid w:val="00DB51D1"/>
    <w:rsid w:val="00DB5B42"/>
    <w:rsid w:val="00DB5BDF"/>
    <w:rsid w:val="00DB5D0E"/>
    <w:rsid w:val="00DB5D49"/>
    <w:rsid w:val="00DB5D51"/>
    <w:rsid w:val="00DB5FB4"/>
    <w:rsid w:val="00DB6247"/>
    <w:rsid w:val="00DB62D8"/>
    <w:rsid w:val="00DB6326"/>
    <w:rsid w:val="00DB7299"/>
    <w:rsid w:val="00DB72C1"/>
    <w:rsid w:val="00DB75DA"/>
    <w:rsid w:val="00DB771F"/>
    <w:rsid w:val="00DB78CA"/>
    <w:rsid w:val="00DB7B77"/>
    <w:rsid w:val="00DB7CF7"/>
    <w:rsid w:val="00DB7D89"/>
    <w:rsid w:val="00DB7E5A"/>
    <w:rsid w:val="00DC00C5"/>
    <w:rsid w:val="00DC07E4"/>
    <w:rsid w:val="00DC0833"/>
    <w:rsid w:val="00DC0B93"/>
    <w:rsid w:val="00DC0E02"/>
    <w:rsid w:val="00DC0EED"/>
    <w:rsid w:val="00DC0F38"/>
    <w:rsid w:val="00DC11C7"/>
    <w:rsid w:val="00DC13B4"/>
    <w:rsid w:val="00DC148C"/>
    <w:rsid w:val="00DC1793"/>
    <w:rsid w:val="00DC25B6"/>
    <w:rsid w:val="00DC25EC"/>
    <w:rsid w:val="00DC27A8"/>
    <w:rsid w:val="00DC29E3"/>
    <w:rsid w:val="00DC2A72"/>
    <w:rsid w:val="00DC305A"/>
    <w:rsid w:val="00DC3612"/>
    <w:rsid w:val="00DC3656"/>
    <w:rsid w:val="00DC385A"/>
    <w:rsid w:val="00DC3AF8"/>
    <w:rsid w:val="00DC3C59"/>
    <w:rsid w:val="00DC3DAF"/>
    <w:rsid w:val="00DC3E49"/>
    <w:rsid w:val="00DC3E4E"/>
    <w:rsid w:val="00DC3E8C"/>
    <w:rsid w:val="00DC4288"/>
    <w:rsid w:val="00DC43B0"/>
    <w:rsid w:val="00DC44BE"/>
    <w:rsid w:val="00DC47E4"/>
    <w:rsid w:val="00DC483E"/>
    <w:rsid w:val="00DC494D"/>
    <w:rsid w:val="00DC4B5E"/>
    <w:rsid w:val="00DC5077"/>
    <w:rsid w:val="00DC5856"/>
    <w:rsid w:val="00DC5F13"/>
    <w:rsid w:val="00DC6247"/>
    <w:rsid w:val="00DC6445"/>
    <w:rsid w:val="00DC69AB"/>
    <w:rsid w:val="00DC6FE4"/>
    <w:rsid w:val="00DC76CC"/>
    <w:rsid w:val="00DC79E4"/>
    <w:rsid w:val="00DC7C79"/>
    <w:rsid w:val="00DC7E3B"/>
    <w:rsid w:val="00DC964F"/>
    <w:rsid w:val="00DD0568"/>
    <w:rsid w:val="00DD0BDD"/>
    <w:rsid w:val="00DD0D40"/>
    <w:rsid w:val="00DD0D84"/>
    <w:rsid w:val="00DD1234"/>
    <w:rsid w:val="00DD1673"/>
    <w:rsid w:val="00DD1781"/>
    <w:rsid w:val="00DD1B35"/>
    <w:rsid w:val="00DD1E24"/>
    <w:rsid w:val="00DD1F32"/>
    <w:rsid w:val="00DD2453"/>
    <w:rsid w:val="00DD250C"/>
    <w:rsid w:val="00DD2731"/>
    <w:rsid w:val="00DD27FC"/>
    <w:rsid w:val="00DD2ADD"/>
    <w:rsid w:val="00DD2CA2"/>
    <w:rsid w:val="00DD2F7F"/>
    <w:rsid w:val="00DD3302"/>
    <w:rsid w:val="00DD3446"/>
    <w:rsid w:val="00DD37D0"/>
    <w:rsid w:val="00DD3876"/>
    <w:rsid w:val="00DD3A5F"/>
    <w:rsid w:val="00DD3AA5"/>
    <w:rsid w:val="00DD3B03"/>
    <w:rsid w:val="00DD3B5B"/>
    <w:rsid w:val="00DD3F6E"/>
    <w:rsid w:val="00DD3F79"/>
    <w:rsid w:val="00DD408F"/>
    <w:rsid w:val="00DD40E6"/>
    <w:rsid w:val="00DD4141"/>
    <w:rsid w:val="00DD4554"/>
    <w:rsid w:val="00DD4DD7"/>
    <w:rsid w:val="00DD4F17"/>
    <w:rsid w:val="00DD4F95"/>
    <w:rsid w:val="00DD4FFB"/>
    <w:rsid w:val="00DD554B"/>
    <w:rsid w:val="00DD5865"/>
    <w:rsid w:val="00DD5934"/>
    <w:rsid w:val="00DD5A22"/>
    <w:rsid w:val="00DD5F43"/>
    <w:rsid w:val="00DD5FB8"/>
    <w:rsid w:val="00DD5FE2"/>
    <w:rsid w:val="00DD6297"/>
    <w:rsid w:val="00DD637A"/>
    <w:rsid w:val="00DD651A"/>
    <w:rsid w:val="00DD6561"/>
    <w:rsid w:val="00DD6758"/>
    <w:rsid w:val="00DD6967"/>
    <w:rsid w:val="00DD6A52"/>
    <w:rsid w:val="00DD6BEA"/>
    <w:rsid w:val="00DD6E46"/>
    <w:rsid w:val="00DD73D4"/>
    <w:rsid w:val="00DD7496"/>
    <w:rsid w:val="00DD76A8"/>
    <w:rsid w:val="00DD79EB"/>
    <w:rsid w:val="00DD7B03"/>
    <w:rsid w:val="00DD7B28"/>
    <w:rsid w:val="00DD7E47"/>
    <w:rsid w:val="00DD7E8C"/>
    <w:rsid w:val="00DD7ED2"/>
    <w:rsid w:val="00DD7EEF"/>
    <w:rsid w:val="00DD7F7A"/>
    <w:rsid w:val="00DE012A"/>
    <w:rsid w:val="00DE02BB"/>
    <w:rsid w:val="00DE071A"/>
    <w:rsid w:val="00DE079C"/>
    <w:rsid w:val="00DE098B"/>
    <w:rsid w:val="00DE0B6B"/>
    <w:rsid w:val="00DE0BE7"/>
    <w:rsid w:val="00DE0BE8"/>
    <w:rsid w:val="00DE0D57"/>
    <w:rsid w:val="00DE129D"/>
    <w:rsid w:val="00DE1358"/>
    <w:rsid w:val="00DE1382"/>
    <w:rsid w:val="00DE1589"/>
    <w:rsid w:val="00DE163D"/>
    <w:rsid w:val="00DE19B8"/>
    <w:rsid w:val="00DE1A36"/>
    <w:rsid w:val="00DE1BCD"/>
    <w:rsid w:val="00DE2105"/>
    <w:rsid w:val="00DE23C4"/>
    <w:rsid w:val="00DE2AEA"/>
    <w:rsid w:val="00DE2C0E"/>
    <w:rsid w:val="00DE2D54"/>
    <w:rsid w:val="00DE2FAE"/>
    <w:rsid w:val="00DE31AF"/>
    <w:rsid w:val="00DE33DF"/>
    <w:rsid w:val="00DE33FC"/>
    <w:rsid w:val="00DE363B"/>
    <w:rsid w:val="00DE3803"/>
    <w:rsid w:val="00DE3A34"/>
    <w:rsid w:val="00DE3A38"/>
    <w:rsid w:val="00DE3AD8"/>
    <w:rsid w:val="00DE3E9D"/>
    <w:rsid w:val="00DE403D"/>
    <w:rsid w:val="00DE4157"/>
    <w:rsid w:val="00DE41EC"/>
    <w:rsid w:val="00DE433C"/>
    <w:rsid w:val="00DE437C"/>
    <w:rsid w:val="00DE4465"/>
    <w:rsid w:val="00DE4B9A"/>
    <w:rsid w:val="00DE4F05"/>
    <w:rsid w:val="00DE5062"/>
    <w:rsid w:val="00DE5654"/>
    <w:rsid w:val="00DE574E"/>
    <w:rsid w:val="00DE5EDE"/>
    <w:rsid w:val="00DE5F92"/>
    <w:rsid w:val="00DE61A1"/>
    <w:rsid w:val="00DE61B0"/>
    <w:rsid w:val="00DE641E"/>
    <w:rsid w:val="00DE6527"/>
    <w:rsid w:val="00DE65A3"/>
    <w:rsid w:val="00DE6676"/>
    <w:rsid w:val="00DE67BC"/>
    <w:rsid w:val="00DE6865"/>
    <w:rsid w:val="00DE68E1"/>
    <w:rsid w:val="00DE6AAD"/>
    <w:rsid w:val="00DE6BBB"/>
    <w:rsid w:val="00DE6C4E"/>
    <w:rsid w:val="00DE6ECA"/>
    <w:rsid w:val="00DE7010"/>
    <w:rsid w:val="00DE7016"/>
    <w:rsid w:val="00DE701A"/>
    <w:rsid w:val="00DE7060"/>
    <w:rsid w:val="00DE715E"/>
    <w:rsid w:val="00DE71E2"/>
    <w:rsid w:val="00DE72E1"/>
    <w:rsid w:val="00DE7552"/>
    <w:rsid w:val="00DE7C31"/>
    <w:rsid w:val="00DE7C37"/>
    <w:rsid w:val="00DE7D95"/>
    <w:rsid w:val="00DE7F33"/>
    <w:rsid w:val="00DF0455"/>
    <w:rsid w:val="00DF0A96"/>
    <w:rsid w:val="00DF0C49"/>
    <w:rsid w:val="00DF0E13"/>
    <w:rsid w:val="00DF13F3"/>
    <w:rsid w:val="00DF140E"/>
    <w:rsid w:val="00DF15D5"/>
    <w:rsid w:val="00DF16B8"/>
    <w:rsid w:val="00DF1706"/>
    <w:rsid w:val="00DF180D"/>
    <w:rsid w:val="00DF2008"/>
    <w:rsid w:val="00DF2099"/>
    <w:rsid w:val="00DF2396"/>
    <w:rsid w:val="00DF2662"/>
    <w:rsid w:val="00DF28B8"/>
    <w:rsid w:val="00DF2DC4"/>
    <w:rsid w:val="00DF2F6E"/>
    <w:rsid w:val="00DF3117"/>
    <w:rsid w:val="00DF332E"/>
    <w:rsid w:val="00DF35E5"/>
    <w:rsid w:val="00DF3683"/>
    <w:rsid w:val="00DF3B09"/>
    <w:rsid w:val="00DF3C57"/>
    <w:rsid w:val="00DF3D6C"/>
    <w:rsid w:val="00DF4253"/>
    <w:rsid w:val="00DF439F"/>
    <w:rsid w:val="00DF458C"/>
    <w:rsid w:val="00DF4650"/>
    <w:rsid w:val="00DF46B2"/>
    <w:rsid w:val="00DF47A4"/>
    <w:rsid w:val="00DF4973"/>
    <w:rsid w:val="00DF4F68"/>
    <w:rsid w:val="00DF5007"/>
    <w:rsid w:val="00DF5019"/>
    <w:rsid w:val="00DF5101"/>
    <w:rsid w:val="00DF52C1"/>
    <w:rsid w:val="00DF56BA"/>
    <w:rsid w:val="00DF5793"/>
    <w:rsid w:val="00DF5957"/>
    <w:rsid w:val="00DF5A12"/>
    <w:rsid w:val="00DF5B1D"/>
    <w:rsid w:val="00DF5D69"/>
    <w:rsid w:val="00DF61B7"/>
    <w:rsid w:val="00DF61F3"/>
    <w:rsid w:val="00DF6454"/>
    <w:rsid w:val="00DF65E6"/>
    <w:rsid w:val="00DF66E3"/>
    <w:rsid w:val="00DF6BDC"/>
    <w:rsid w:val="00DF6C16"/>
    <w:rsid w:val="00DF7107"/>
    <w:rsid w:val="00DF72FB"/>
    <w:rsid w:val="00DF769B"/>
    <w:rsid w:val="00DF7762"/>
    <w:rsid w:val="00DF7DBE"/>
    <w:rsid w:val="00E0066C"/>
    <w:rsid w:val="00E0095A"/>
    <w:rsid w:val="00E00E23"/>
    <w:rsid w:val="00E01340"/>
    <w:rsid w:val="00E0145A"/>
    <w:rsid w:val="00E014EA"/>
    <w:rsid w:val="00E01C32"/>
    <w:rsid w:val="00E01F85"/>
    <w:rsid w:val="00E02037"/>
    <w:rsid w:val="00E02127"/>
    <w:rsid w:val="00E022E5"/>
    <w:rsid w:val="00E02472"/>
    <w:rsid w:val="00E02911"/>
    <w:rsid w:val="00E0296A"/>
    <w:rsid w:val="00E029DE"/>
    <w:rsid w:val="00E02EED"/>
    <w:rsid w:val="00E035C4"/>
    <w:rsid w:val="00E03B08"/>
    <w:rsid w:val="00E03EC5"/>
    <w:rsid w:val="00E03ED2"/>
    <w:rsid w:val="00E03F21"/>
    <w:rsid w:val="00E04229"/>
    <w:rsid w:val="00E045DB"/>
    <w:rsid w:val="00E04F54"/>
    <w:rsid w:val="00E050FB"/>
    <w:rsid w:val="00E0513B"/>
    <w:rsid w:val="00E05855"/>
    <w:rsid w:val="00E05E3B"/>
    <w:rsid w:val="00E060DA"/>
    <w:rsid w:val="00E061FA"/>
    <w:rsid w:val="00E063BA"/>
    <w:rsid w:val="00E0673F"/>
    <w:rsid w:val="00E0695F"/>
    <w:rsid w:val="00E06ECE"/>
    <w:rsid w:val="00E0713A"/>
    <w:rsid w:val="00E073E2"/>
    <w:rsid w:val="00E076C1"/>
    <w:rsid w:val="00E0792A"/>
    <w:rsid w:val="00E07D44"/>
    <w:rsid w:val="00E07D86"/>
    <w:rsid w:val="00E07DF7"/>
    <w:rsid w:val="00E07F0C"/>
    <w:rsid w:val="00E100AF"/>
    <w:rsid w:val="00E1027F"/>
    <w:rsid w:val="00E102BB"/>
    <w:rsid w:val="00E10442"/>
    <w:rsid w:val="00E10468"/>
    <w:rsid w:val="00E104FF"/>
    <w:rsid w:val="00E10663"/>
    <w:rsid w:val="00E10748"/>
    <w:rsid w:val="00E108E9"/>
    <w:rsid w:val="00E109EF"/>
    <w:rsid w:val="00E10ACC"/>
    <w:rsid w:val="00E10B1B"/>
    <w:rsid w:val="00E10E2B"/>
    <w:rsid w:val="00E11296"/>
    <w:rsid w:val="00E1130A"/>
    <w:rsid w:val="00E1148C"/>
    <w:rsid w:val="00E11C2C"/>
    <w:rsid w:val="00E11F0F"/>
    <w:rsid w:val="00E11F6A"/>
    <w:rsid w:val="00E12467"/>
    <w:rsid w:val="00E124D3"/>
    <w:rsid w:val="00E1257E"/>
    <w:rsid w:val="00E12660"/>
    <w:rsid w:val="00E12895"/>
    <w:rsid w:val="00E13389"/>
    <w:rsid w:val="00E133B9"/>
    <w:rsid w:val="00E139C3"/>
    <w:rsid w:val="00E13C2D"/>
    <w:rsid w:val="00E14125"/>
    <w:rsid w:val="00E14291"/>
    <w:rsid w:val="00E14293"/>
    <w:rsid w:val="00E1442C"/>
    <w:rsid w:val="00E14502"/>
    <w:rsid w:val="00E146B7"/>
    <w:rsid w:val="00E14A0E"/>
    <w:rsid w:val="00E14F90"/>
    <w:rsid w:val="00E151F1"/>
    <w:rsid w:val="00E1532A"/>
    <w:rsid w:val="00E15CC3"/>
    <w:rsid w:val="00E15CCB"/>
    <w:rsid w:val="00E15D96"/>
    <w:rsid w:val="00E16048"/>
    <w:rsid w:val="00E165AB"/>
    <w:rsid w:val="00E16AF7"/>
    <w:rsid w:val="00E16CB9"/>
    <w:rsid w:val="00E173BA"/>
    <w:rsid w:val="00E17589"/>
    <w:rsid w:val="00E17817"/>
    <w:rsid w:val="00E178E7"/>
    <w:rsid w:val="00E17F18"/>
    <w:rsid w:val="00E201BF"/>
    <w:rsid w:val="00E205A0"/>
    <w:rsid w:val="00E205FC"/>
    <w:rsid w:val="00E20D99"/>
    <w:rsid w:val="00E211A4"/>
    <w:rsid w:val="00E212A5"/>
    <w:rsid w:val="00E2136D"/>
    <w:rsid w:val="00E21379"/>
    <w:rsid w:val="00E21848"/>
    <w:rsid w:val="00E22954"/>
    <w:rsid w:val="00E229FD"/>
    <w:rsid w:val="00E22F08"/>
    <w:rsid w:val="00E2301A"/>
    <w:rsid w:val="00E235DD"/>
    <w:rsid w:val="00E236CC"/>
    <w:rsid w:val="00E2387A"/>
    <w:rsid w:val="00E239AE"/>
    <w:rsid w:val="00E23DA0"/>
    <w:rsid w:val="00E242EE"/>
    <w:rsid w:val="00E24CFA"/>
    <w:rsid w:val="00E24D0B"/>
    <w:rsid w:val="00E24E04"/>
    <w:rsid w:val="00E24E50"/>
    <w:rsid w:val="00E2504C"/>
    <w:rsid w:val="00E2510D"/>
    <w:rsid w:val="00E25186"/>
    <w:rsid w:val="00E251EE"/>
    <w:rsid w:val="00E253A0"/>
    <w:rsid w:val="00E25511"/>
    <w:rsid w:val="00E2561E"/>
    <w:rsid w:val="00E257B8"/>
    <w:rsid w:val="00E25A97"/>
    <w:rsid w:val="00E25C8D"/>
    <w:rsid w:val="00E2668D"/>
    <w:rsid w:val="00E26AA0"/>
    <w:rsid w:val="00E26B6F"/>
    <w:rsid w:val="00E26DA6"/>
    <w:rsid w:val="00E26F2D"/>
    <w:rsid w:val="00E27117"/>
    <w:rsid w:val="00E2729D"/>
    <w:rsid w:val="00E27619"/>
    <w:rsid w:val="00E276C7"/>
    <w:rsid w:val="00E27744"/>
    <w:rsid w:val="00E27D4E"/>
    <w:rsid w:val="00E302D5"/>
    <w:rsid w:val="00E30619"/>
    <w:rsid w:val="00E30667"/>
    <w:rsid w:val="00E307EE"/>
    <w:rsid w:val="00E30B18"/>
    <w:rsid w:val="00E30DA3"/>
    <w:rsid w:val="00E30DEA"/>
    <w:rsid w:val="00E30ED2"/>
    <w:rsid w:val="00E311EB"/>
    <w:rsid w:val="00E3138D"/>
    <w:rsid w:val="00E3143D"/>
    <w:rsid w:val="00E31822"/>
    <w:rsid w:val="00E319C8"/>
    <w:rsid w:val="00E31F66"/>
    <w:rsid w:val="00E320D2"/>
    <w:rsid w:val="00E3219A"/>
    <w:rsid w:val="00E32382"/>
    <w:rsid w:val="00E3238A"/>
    <w:rsid w:val="00E32575"/>
    <w:rsid w:val="00E325E6"/>
    <w:rsid w:val="00E329E8"/>
    <w:rsid w:val="00E32B27"/>
    <w:rsid w:val="00E32F8A"/>
    <w:rsid w:val="00E33065"/>
    <w:rsid w:val="00E3373D"/>
    <w:rsid w:val="00E33927"/>
    <w:rsid w:val="00E33CB9"/>
    <w:rsid w:val="00E33E2D"/>
    <w:rsid w:val="00E33E3B"/>
    <w:rsid w:val="00E33FED"/>
    <w:rsid w:val="00E34140"/>
    <w:rsid w:val="00E3439E"/>
    <w:rsid w:val="00E3456E"/>
    <w:rsid w:val="00E34614"/>
    <w:rsid w:val="00E3475C"/>
    <w:rsid w:val="00E3497E"/>
    <w:rsid w:val="00E34B1D"/>
    <w:rsid w:val="00E34BE3"/>
    <w:rsid w:val="00E34CA2"/>
    <w:rsid w:val="00E34D55"/>
    <w:rsid w:val="00E34E9F"/>
    <w:rsid w:val="00E34F14"/>
    <w:rsid w:val="00E35547"/>
    <w:rsid w:val="00E35B9F"/>
    <w:rsid w:val="00E35D71"/>
    <w:rsid w:val="00E35DAD"/>
    <w:rsid w:val="00E35DC1"/>
    <w:rsid w:val="00E35E79"/>
    <w:rsid w:val="00E361BA"/>
    <w:rsid w:val="00E3631C"/>
    <w:rsid w:val="00E36357"/>
    <w:rsid w:val="00E363BF"/>
    <w:rsid w:val="00E364AB"/>
    <w:rsid w:val="00E368D9"/>
    <w:rsid w:val="00E368F5"/>
    <w:rsid w:val="00E369B9"/>
    <w:rsid w:val="00E36CCA"/>
    <w:rsid w:val="00E36E44"/>
    <w:rsid w:val="00E37882"/>
    <w:rsid w:val="00E37A8A"/>
    <w:rsid w:val="00E37C75"/>
    <w:rsid w:val="00E37D89"/>
    <w:rsid w:val="00E37E91"/>
    <w:rsid w:val="00E37FD1"/>
    <w:rsid w:val="00E401BC"/>
    <w:rsid w:val="00E402F3"/>
    <w:rsid w:val="00E4037F"/>
    <w:rsid w:val="00E406BB"/>
    <w:rsid w:val="00E40801"/>
    <w:rsid w:val="00E408C9"/>
    <w:rsid w:val="00E40E4C"/>
    <w:rsid w:val="00E41326"/>
    <w:rsid w:val="00E41356"/>
    <w:rsid w:val="00E41429"/>
    <w:rsid w:val="00E4193D"/>
    <w:rsid w:val="00E41E01"/>
    <w:rsid w:val="00E42052"/>
    <w:rsid w:val="00E4276D"/>
    <w:rsid w:val="00E427AD"/>
    <w:rsid w:val="00E4294F"/>
    <w:rsid w:val="00E429DB"/>
    <w:rsid w:val="00E42BC8"/>
    <w:rsid w:val="00E43225"/>
    <w:rsid w:val="00E434B1"/>
    <w:rsid w:val="00E43542"/>
    <w:rsid w:val="00E43605"/>
    <w:rsid w:val="00E43898"/>
    <w:rsid w:val="00E43A71"/>
    <w:rsid w:val="00E43F5F"/>
    <w:rsid w:val="00E43F92"/>
    <w:rsid w:val="00E44431"/>
    <w:rsid w:val="00E44579"/>
    <w:rsid w:val="00E449F5"/>
    <w:rsid w:val="00E44FAF"/>
    <w:rsid w:val="00E453B3"/>
    <w:rsid w:val="00E45675"/>
    <w:rsid w:val="00E456A0"/>
    <w:rsid w:val="00E45952"/>
    <w:rsid w:val="00E459AD"/>
    <w:rsid w:val="00E45D9B"/>
    <w:rsid w:val="00E45E21"/>
    <w:rsid w:val="00E46169"/>
    <w:rsid w:val="00E4674B"/>
    <w:rsid w:val="00E467BD"/>
    <w:rsid w:val="00E46956"/>
    <w:rsid w:val="00E46DBE"/>
    <w:rsid w:val="00E47003"/>
    <w:rsid w:val="00E4709B"/>
    <w:rsid w:val="00E471D3"/>
    <w:rsid w:val="00E471FB"/>
    <w:rsid w:val="00E47389"/>
    <w:rsid w:val="00E4797F"/>
    <w:rsid w:val="00E479CA"/>
    <w:rsid w:val="00E50004"/>
    <w:rsid w:val="00E50327"/>
    <w:rsid w:val="00E5049F"/>
    <w:rsid w:val="00E504EB"/>
    <w:rsid w:val="00E5067E"/>
    <w:rsid w:val="00E50A22"/>
    <w:rsid w:val="00E51012"/>
    <w:rsid w:val="00E51162"/>
    <w:rsid w:val="00E51201"/>
    <w:rsid w:val="00E5162E"/>
    <w:rsid w:val="00E52072"/>
    <w:rsid w:val="00E529D1"/>
    <w:rsid w:val="00E529D8"/>
    <w:rsid w:val="00E52C94"/>
    <w:rsid w:val="00E52D14"/>
    <w:rsid w:val="00E52F13"/>
    <w:rsid w:val="00E52FFA"/>
    <w:rsid w:val="00E53232"/>
    <w:rsid w:val="00E53BFB"/>
    <w:rsid w:val="00E53F3F"/>
    <w:rsid w:val="00E53F52"/>
    <w:rsid w:val="00E540E4"/>
    <w:rsid w:val="00E542C1"/>
    <w:rsid w:val="00E54733"/>
    <w:rsid w:val="00E547EB"/>
    <w:rsid w:val="00E54805"/>
    <w:rsid w:val="00E55237"/>
    <w:rsid w:val="00E5541C"/>
    <w:rsid w:val="00E5550C"/>
    <w:rsid w:val="00E558E3"/>
    <w:rsid w:val="00E55CB6"/>
    <w:rsid w:val="00E55D04"/>
    <w:rsid w:val="00E55E25"/>
    <w:rsid w:val="00E55EB3"/>
    <w:rsid w:val="00E5605E"/>
    <w:rsid w:val="00E561CF"/>
    <w:rsid w:val="00E56696"/>
    <w:rsid w:val="00E56A67"/>
    <w:rsid w:val="00E56B21"/>
    <w:rsid w:val="00E56F15"/>
    <w:rsid w:val="00E5741C"/>
    <w:rsid w:val="00E57449"/>
    <w:rsid w:val="00E57674"/>
    <w:rsid w:val="00E5776C"/>
    <w:rsid w:val="00E5780B"/>
    <w:rsid w:val="00E5787A"/>
    <w:rsid w:val="00E578BB"/>
    <w:rsid w:val="00E57980"/>
    <w:rsid w:val="00E57F31"/>
    <w:rsid w:val="00E60250"/>
    <w:rsid w:val="00E60801"/>
    <w:rsid w:val="00E608D8"/>
    <w:rsid w:val="00E609BD"/>
    <w:rsid w:val="00E60A2A"/>
    <w:rsid w:val="00E60C13"/>
    <w:rsid w:val="00E60E86"/>
    <w:rsid w:val="00E61313"/>
    <w:rsid w:val="00E6192E"/>
    <w:rsid w:val="00E61CA4"/>
    <w:rsid w:val="00E6244C"/>
    <w:rsid w:val="00E62578"/>
    <w:rsid w:val="00E62C51"/>
    <w:rsid w:val="00E631F9"/>
    <w:rsid w:val="00E63B54"/>
    <w:rsid w:val="00E63BB3"/>
    <w:rsid w:val="00E63F6B"/>
    <w:rsid w:val="00E6445F"/>
    <w:rsid w:val="00E64653"/>
    <w:rsid w:val="00E64B9F"/>
    <w:rsid w:val="00E6517D"/>
    <w:rsid w:val="00E6525B"/>
    <w:rsid w:val="00E652D1"/>
    <w:rsid w:val="00E656EA"/>
    <w:rsid w:val="00E65986"/>
    <w:rsid w:val="00E659EA"/>
    <w:rsid w:val="00E65A5F"/>
    <w:rsid w:val="00E65ABA"/>
    <w:rsid w:val="00E65BFF"/>
    <w:rsid w:val="00E662FD"/>
    <w:rsid w:val="00E663F8"/>
    <w:rsid w:val="00E6668B"/>
    <w:rsid w:val="00E6683F"/>
    <w:rsid w:val="00E668A1"/>
    <w:rsid w:val="00E66E10"/>
    <w:rsid w:val="00E66E54"/>
    <w:rsid w:val="00E66E5A"/>
    <w:rsid w:val="00E66EC7"/>
    <w:rsid w:val="00E674FC"/>
    <w:rsid w:val="00E67536"/>
    <w:rsid w:val="00E6780A"/>
    <w:rsid w:val="00E67A7B"/>
    <w:rsid w:val="00E67E32"/>
    <w:rsid w:val="00E700A1"/>
    <w:rsid w:val="00E700E4"/>
    <w:rsid w:val="00E70112"/>
    <w:rsid w:val="00E70400"/>
    <w:rsid w:val="00E705A8"/>
    <w:rsid w:val="00E7060E"/>
    <w:rsid w:val="00E70728"/>
    <w:rsid w:val="00E70B58"/>
    <w:rsid w:val="00E70E83"/>
    <w:rsid w:val="00E70E96"/>
    <w:rsid w:val="00E71370"/>
    <w:rsid w:val="00E715ED"/>
    <w:rsid w:val="00E71B3A"/>
    <w:rsid w:val="00E71F1E"/>
    <w:rsid w:val="00E72293"/>
    <w:rsid w:val="00E72508"/>
    <w:rsid w:val="00E726FB"/>
    <w:rsid w:val="00E72759"/>
    <w:rsid w:val="00E72B6A"/>
    <w:rsid w:val="00E72FD0"/>
    <w:rsid w:val="00E7324A"/>
    <w:rsid w:val="00E732E6"/>
    <w:rsid w:val="00E73494"/>
    <w:rsid w:val="00E737F6"/>
    <w:rsid w:val="00E738EB"/>
    <w:rsid w:val="00E7390A"/>
    <w:rsid w:val="00E73BA3"/>
    <w:rsid w:val="00E73D5C"/>
    <w:rsid w:val="00E73FA2"/>
    <w:rsid w:val="00E742DE"/>
    <w:rsid w:val="00E744F1"/>
    <w:rsid w:val="00E74641"/>
    <w:rsid w:val="00E74E23"/>
    <w:rsid w:val="00E7509C"/>
    <w:rsid w:val="00E751ED"/>
    <w:rsid w:val="00E75385"/>
    <w:rsid w:val="00E755FE"/>
    <w:rsid w:val="00E756EC"/>
    <w:rsid w:val="00E757D0"/>
    <w:rsid w:val="00E75A10"/>
    <w:rsid w:val="00E75A64"/>
    <w:rsid w:val="00E75C02"/>
    <w:rsid w:val="00E75F75"/>
    <w:rsid w:val="00E7661B"/>
    <w:rsid w:val="00E7670F"/>
    <w:rsid w:val="00E767BE"/>
    <w:rsid w:val="00E769AB"/>
    <w:rsid w:val="00E76B4A"/>
    <w:rsid w:val="00E76CF9"/>
    <w:rsid w:val="00E76D1A"/>
    <w:rsid w:val="00E76DD7"/>
    <w:rsid w:val="00E77439"/>
    <w:rsid w:val="00E77444"/>
    <w:rsid w:val="00E774EE"/>
    <w:rsid w:val="00E77720"/>
    <w:rsid w:val="00E77E08"/>
    <w:rsid w:val="00E77F15"/>
    <w:rsid w:val="00E80533"/>
    <w:rsid w:val="00E80707"/>
    <w:rsid w:val="00E809CB"/>
    <w:rsid w:val="00E80B9B"/>
    <w:rsid w:val="00E80D55"/>
    <w:rsid w:val="00E80DAA"/>
    <w:rsid w:val="00E80E7E"/>
    <w:rsid w:val="00E80F6A"/>
    <w:rsid w:val="00E80FEE"/>
    <w:rsid w:val="00E8105C"/>
    <w:rsid w:val="00E81167"/>
    <w:rsid w:val="00E81189"/>
    <w:rsid w:val="00E81414"/>
    <w:rsid w:val="00E8198B"/>
    <w:rsid w:val="00E81D88"/>
    <w:rsid w:val="00E8202C"/>
    <w:rsid w:val="00E82121"/>
    <w:rsid w:val="00E8214D"/>
    <w:rsid w:val="00E8227D"/>
    <w:rsid w:val="00E82320"/>
    <w:rsid w:val="00E823D2"/>
    <w:rsid w:val="00E824CB"/>
    <w:rsid w:val="00E825F8"/>
    <w:rsid w:val="00E82974"/>
    <w:rsid w:val="00E82A9F"/>
    <w:rsid w:val="00E82C26"/>
    <w:rsid w:val="00E82D09"/>
    <w:rsid w:val="00E8316B"/>
    <w:rsid w:val="00E83513"/>
    <w:rsid w:val="00E83F63"/>
    <w:rsid w:val="00E84011"/>
    <w:rsid w:val="00E84407"/>
    <w:rsid w:val="00E844FF"/>
    <w:rsid w:val="00E847DA"/>
    <w:rsid w:val="00E84856"/>
    <w:rsid w:val="00E8495A"/>
    <w:rsid w:val="00E849A5"/>
    <w:rsid w:val="00E84ADF"/>
    <w:rsid w:val="00E85078"/>
    <w:rsid w:val="00E85375"/>
    <w:rsid w:val="00E8553E"/>
    <w:rsid w:val="00E861F7"/>
    <w:rsid w:val="00E8622C"/>
    <w:rsid w:val="00E862BC"/>
    <w:rsid w:val="00E86368"/>
    <w:rsid w:val="00E86381"/>
    <w:rsid w:val="00E86529"/>
    <w:rsid w:val="00E8671C"/>
    <w:rsid w:val="00E86882"/>
    <w:rsid w:val="00E868FB"/>
    <w:rsid w:val="00E86D8F"/>
    <w:rsid w:val="00E86E14"/>
    <w:rsid w:val="00E8704D"/>
    <w:rsid w:val="00E8706C"/>
    <w:rsid w:val="00E87416"/>
    <w:rsid w:val="00E8751E"/>
    <w:rsid w:val="00E87750"/>
    <w:rsid w:val="00E877F2"/>
    <w:rsid w:val="00E87D6E"/>
    <w:rsid w:val="00E90298"/>
    <w:rsid w:val="00E90BC4"/>
    <w:rsid w:val="00E90F25"/>
    <w:rsid w:val="00E90F44"/>
    <w:rsid w:val="00E9134C"/>
    <w:rsid w:val="00E916A2"/>
    <w:rsid w:val="00E9173B"/>
    <w:rsid w:val="00E91930"/>
    <w:rsid w:val="00E91C52"/>
    <w:rsid w:val="00E91D52"/>
    <w:rsid w:val="00E91F2F"/>
    <w:rsid w:val="00E92104"/>
    <w:rsid w:val="00E92134"/>
    <w:rsid w:val="00E921D9"/>
    <w:rsid w:val="00E92291"/>
    <w:rsid w:val="00E92957"/>
    <w:rsid w:val="00E92A68"/>
    <w:rsid w:val="00E92A8B"/>
    <w:rsid w:val="00E92B3E"/>
    <w:rsid w:val="00E92D4C"/>
    <w:rsid w:val="00E92FA8"/>
    <w:rsid w:val="00E92FC2"/>
    <w:rsid w:val="00E9326F"/>
    <w:rsid w:val="00E93383"/>
    <w:rsid w:val="00E9347F"/>
    <w:rsid w:val="00E936AF"/>
    <w:rsid w:val="00E9385F"/>
    <w:rsid w:val="00E93A98"/>
    <w:rsid w:val="00E93ACD"/>
    <w:rsid w:val="00E93DA0"/>
    <w:rsid w:val="00E93E3D"/>
    <w:rsid w:val="00E9407C"/>
    <w:rsid w:val="00E940BD"/>
    <w:rsid w:val="00E9426D"/>
    <w:rsid w:val="00E942AE"/>
    <w:rsid w:val="00E94833"/>
    <w:rsid w:val="00E9484B"/>
    <w:rsid w:val="00E94951"/>
    <w:rsid w:val="00E94F84"/>
    <w:rsid w:val="00E95034"/>
    <w:rsid w:val="00E952CE"/>
    <w:rsid w:val="00E9534A"/>
    <w:rsid w:val="00E9557F"/>
    <w:rsid w:val="00E955EA"/>
    <w:rsid w:val="00E95ACD"/>
    <w:rsid w:val="00E95F39"/>
    <w:rsid w:val="00E960DE"/>
    <w:rsid w:val="00E9668C"/>
    <w:rsid w:val="00E968FA"/>
    <w:rsid w:val="00E96932"/>
    <w:rsid w:val="00E96AA2"/>
    <w:rsid w:val="00E96C27"/>
    <w:rsid w:val="00E96D09"/>
    <w:rsid w:val="00E96EB6"/>
    <w:rsid w:val="00E972E9"/>
    <w:rsid w:val="00E9733B"/>
    <w:rsid w:val="00E97A21"/>
    <w:rsid w:val="00EA021A"/>
    <w:rsid w:val="00EA060D"/>
    <w:rsid w:val="00EA0661"/>
    <w:rsid w:val="00EA0E4A"/>
    <w:rsid w:val="00EA1454"/>
    <w:rsid w:val="00EA1466"/>
    <w:rsid w:val="00EA148A"/>
    <w:rsid w:val="00EA16A4"/>
    <w:rsid w:val="00EA1811"/>
    <w:rsid w:val="00EA1A8B"/>
    <w:rsid w:val="00EA1D7B"/>
    <w:rsid w:val="00EA2343"/>
    <w:rsid w:val="00EA239B"/>
    <w:rsid w:val="00EA2423"/>
    <w:rsid w:val="00EA24C1"/>
    <w:rsid w:val="00EA2639"/>
    <w:rsid w:val="00EA27EB"/>
    <w:rsid w:val="00EA2BAA"/>
    <w:rsid w:val="00EA2ECF"/>
    <w:rsid w:val="00EA2F43"/>
    <w:rsid w:val="00EA35C9"/>
    <w:rsid w:val="00EA39BE"/>
    <w:rsid w:val="00EA3C89"/>
    <w:rsid w:val="00EA3E98"/>
    <w:rsid w:val="00EA3F3D"/>
    <w:rsid w:val="00EA3FF0"/>
    <w:rsid w:val="00EA42A6"/>
    <w:rsid w:val="00EA42F7"/>
    <w:rsid w:val="00EA4393"/>
    <w:rsid w:val="00EA474C"/>
    <w:rsid w:val="00EA47E3"/>
    <w:rsid w:val="00EA4929"/>
    <w:rsid w:val="00EA520C"/>
    <w:rsid w:val="00EA55A2"/>
    <w:rsid w:val="00EA5872"/>
    <w:rsid w:val="00EA5899"/>
    <w:rsid w:val="00EA5E02"/>
    <w:rsid w:val="00EA63AC"/>
    <w:rsid w:val="00EA648B"/>
    <w:rsid w:val="00EA651A"/>
    <w:rsid w:val="00EA69AB"/>
    <w:rsid w:val="00EA6D4F"/>
    <w:rsid w:val="00EA716A"/>
    <w:rsid w:val="00EA7177"/>
    <w:rsid w:val="00EA77C1"/>
    <w:rsid w:val="00EA7D67"/>
    <w:rsid w:val="00EA7EA8"/>
    <w:rsid w:val="00EB0469"/>
    <w:rsid w:val="00EB072A"/>
    <w:rsid w:val="00EB08B3"/>
    <w:rsid w:val="00EB0E88"/>
    <w:rsid w:val="00EB13B8"/>
    <w:rsid w:val="00EB151E"/>
    <w:rsid w:val="00EB15B9"/>
    <w:rsid w:val="00EB1926"/>
    <w:rsid w:val="00EB1BCB"/>
    <w:rsid w:val="00EB1FBC"/>
    <w:rsid w:val="00EB2027"/>
    <w:rsid w:val="00EB219F"/>
    <w:rsid w:val="00EB2346"/>
    <w:rsid w:val="00EB234E"/>
    <w:rsid w:val="00EB28B6"/>
    <w:rsid w:val="00EB2A42"/>
    <w:rsid w:val="00EB2B8B"/>
    <w:rsid w:val="00EB2E6D"/>
    <w:rsid w:val="00EB2F3E"/>
    <w:rsid w:val="00EB3363"/>
    <w:rsid w:val="00EB3414"/>
    <w:rsid w:val="00EB3960"/>
    <w:rsid w:val="00EB3BC0"/>
    <w:rsid w:val="00EB3F2E"/>
    <w:rsid w:val="00EB4286"/>
    <w:rsid w:val="00EB4572"/>
    <w:rsid w:val="00EB477C"/>
    <w:rsid w:val="00EB48F2"/>
    <w:rsid w:val="00EB49FB"/>
    <w:rsid w:val="00EB4B68"/>
    <w:rsid w:val="00EB4C5B"/>
    <w:rsid w:val="00EB4EBA"/>
    <w:rsid w:val="00EB5158"/>
    <w:rsid w:val="00EB5BDF"/>
    <w:rsid w:val="00EB5CE0"/>
    <w:rsid w:val="00EB5F19"/>
    <w:rsid w:val="00EB648D"/>
    <w:rsid w:val="00EB65E2"/>
    <w:rsid w:val="00EB6ADE"/>
    <w:rsid w:val="00EB6E33"/>
    <w:rsid w:val="00EB6FA4"/>
    <w:rsid w:val="00EB76E0"/>
    <w:rsid w:val="00EB7926"/>
    <w:rsid w:val="00EB7996"/>
    <w:rsid w:val="00EB7EF5"/>
    <w:rsid w:val="00EB7F8C"/>
    <w:rsid w:val="00EB7FB2"/>
    <w:rsid w:val="00EB7FC7"/>
    <w:rsid w:val="00EB7FED"/>
    <w:rsid w:val="00EC002B"/>
    <w:rsid w:val="00EC01CA"/>
    <w:rsid w:val="00EC03A1"/>
    <w:rsid w:val="00EC0A15"/>
    <w:rsid w:val="00EC0A2F"/>
    <w:rsid w:val="00EC0DB9"/>
    <w:rsid w:val="00EC0E1F"/>
    <w:rsid w:val="00EC0F2C"/>
    <w:rsid w:val="00EC10EC"/>
    <w:rsid w:val="00EC12FB"/>
    <w:rsid w:val="00EC144B"/>
    <w:rsid w:val="00EC1783"/>
    <w:rsid w:val="00EC1A39"/>
    <w:rsid w:val="00EC1C7F"/>
    <w:rsid w:val="00EC1E89"/>
    <w:rsid w:val="00EC22E1"/>
    <w:rsid w:val="00EC22F9"/>
    <w:rsid w:val="00EC2369"/>
    <w:rsid w:val="00EC23A2"/>
    <w:rsid w:val="00EC24A0"/>
    <w:rsid w:val="00EC24D8"/>
    <w:rsid w:val="00EC2552"/>
    <w:rsid w:val="00EC2620"/>
    <w:rsid w:val="00EC29AC"/>
    <w:rsid w:val="00EC29BB"/>
    <w:rsid w:val="00EC2BFF"/>
    <w:rsid w:val="00EC2CC5"/>
    <w:rsid w:val="00EC2E5C"/>
    <w:rsid w:val="00EC316B"/>
    <w:rsid w:val="00EC33E2"/>
    <w:rsid w:val="00EC34D9"/>
    <w:rsid w:val="00EC3570"/>
    <w:rsid w:val="00EC361C"/>
    <w:rsid w:val="00EC36FB"/>
    <w:rsid w:val="00EC39CF"/>
    <w:rsid w:val="00EC3B5B"/>
    <w:rsid w:val="00EC3B96"/>
    <w:rsid w:val="00EC3BE1"/>
    <w:rsid w:val="00EC47DB"/>
    <w:rsid w:val="00EC4B39"/>
    <w:rsid w:val="00EC4B4A"/>
    <w:rsid w:val="00EC4D56"/>
    <w:rsid w:val="00EC4E92"/>
    <w:rsid w:val="00EC4EBC"/>
    <w:rsid w:val="00EC4F39"/>
    <w:rsid w:val="00EC5085"/>
    <w:rsid w:val="00EC5133"/>
    <w:rsid w:val="00EC527B"/>
    <w:rsid w:val="00EC56CB"/>
    <w:rsid w:val="00EC57C3"/>
    <w:rsid w:val="00EC60F2"/>
    <w:rsid w:val="00EC6885"/>
    <w:rsid w:val="00EC6A9F"/>
    <w:rsid w:val="00EC6AA1"/>
    <w:rsid w:val="00EC6AE9"/>
    <w:rsid w:val="00EC6BBA"/>
    <w:rsid w:val="00EC6C8F"/>
    <w:rsid w:val="00EC6CA0"/>
    <w:rsid w:val="00EC6D04"/>
    <w:rsid w:val="00EC6D4E"/>
    <w:rsid w:val="00EC6F61"/>
    <w:rsid w:val="00EC7106"/>
    <w:rsid w:val="00EC728E"/>
    <w:rsid w:val="00EC7624"/>
    <w:rsid w:val="00EC77E6"/>
    <w:rsid w:val="00EC78C9"/>
    <w:rsid w:val="00EC790B"/>
    <w:rsid w:val="00EC7AD9"/>
    <w:rsid w:val="00EC7D1C"/>
    <w:rsid w:val="00EC7E1A"/>
    <w:rsid w:val="00ED06FC"/>
    <w:rsid w:val="00ED0824"/>
    <w:rsid w:val="00ED0A9C"/>
    <w:rsid w:val="00ED0DD6"/>
    <w:rsid w:val="00ED10F5"/>
    <w:rsid w:val="00ED1201"/>
    <w:rsid w:val="00ED1416"/>
    <w:rsid w:val="00ED1565"/>
    <w:rsid w:val="00ED15A7"/>
    <w:rsid w:val="00ED16CA"/>
    <w:rsid w:val="00ED170A"/>
    <w:rsid w:val="00ED1A0E"/>
    <w:rsid w:val="00ED1E07"/>
    <w:rsid w:val="00ED2A9A"/>
    <w:rsid w:val="00ED2ADF"/>
    <w:rsid w:val="00ED2DEF"/>
    <w:rsid w:val="00ED2E2E"/>
    <w:rsid w:val="00ED2EA4"/>
    <w:rsid w:val="00ED301B"/>
    <w:rsid w:val="00ED3292"/>
    <w:rsid w:val="00ED336B"/>
    <w:rsid w:val="00ED36A9"/>
    <w:rsid w:val="00ED3BED"/>
    <w:rsid w:val="00ED40FC"/>
    <w:rsid w:val="00ED4283"/>
    <w:rsid w:val="00ED44DA"/>
    <w:rsid w:val="00ED4602"/>
    <w:rsid w:val="00ED5022"/>
    <w:rsid w:val="00ED5DE6"/>
    <w:rsid w:val="00ED5EE4"/>
    <w:rsid w:val="00ED60AE"/>
    <w:rsid w:val="00ED6303"/>
    <w:rsid w:val="00ED6416"/>
    <w:rsid w:val="00ED68E7"/>
    <w:rsid w:val="00ED6DBE"/>
    <w:rsid w:val="00ED6F49"/>
    <w:rsid w:val="00ED7385"/>
    <w:rsid w:val="00ED741D"/>
    <w:rsid w:val="00ED75A9"/>
    <w:rsid w:val="00ED75AC"/>
    <w:rsid w:val="00ED762C"/>
    <w:rsid w:val="00ED7869"/>
    <w:rsid w:val="00ED7A63"/>
    <w:rsid w:val="00EE07F4"/>
    <w:rsid w:val="00EE0DBA"/>
    <w:rsid w:val="00EE19B3"/>
    <w:rsid w:val="00EE1B40"/>
    <w:rsid w:val="00EE1CC8"/>
    <w:rsid w:val="00EE1DB4"/>
    <w:rsid w:val="00EE20BA"/>
    <w:rsid w:val="00EE2494"/>
    <w:rsid w:val="00EE24A0"/>
    <w:rsid w:val="00EE26CC"/>
    <w:rsid w:val="00EE2A77"/>
    <w:rsid w:val="00EE2ADD"/>
    <w:rsid w:val="00EE2B43"/>
    <w:rsid w:val="00EE3CD5"/>
    <w:rsid w:val="00EE3F8A"/>
    <w:rsid w:val="00EE3FD3"/>
    <w:rsid w:val="00EE40C4"/>
    <w:rsid w:val="00EE40FA"/>
    <w:rsid w:val="00EE412B"/>
    <w:rsid w:val="00EE4255"/>
    <w:rsid w:val="00EE4354"/>
    <w:rsid w:val="00EE4499"/>
    <w:rsid w:val="00EE462A"/>
    <w:rsid w:val="00EE4CE1"/>
    <w:rsid w:val="00EE4F61"/>
    <w:rsid w:val="00EE50E0"/>
    <w:rsid w:val="00EE5123"/>
    <w:rsid w:val="00EE51FB"/>
    <w:rsid w:val="00EE56F2"/>
    <w:rsid w:val="00EE598C"/>
    <w:rsid w:val="00EE59D1"/>
    <w:rsid w:val="00EE5D0E"/>
    <w:rsid w:val="00EE6267"/>
    <w:rsid w:val="00EE6C3D"/>
    <w:rsid w:val="00EE6C98"/>
    <w:rsid w:val="00EE703E"/>
    <w:rsid w:val="00EE7391"/>
    <w:rsid w:val="00EE741B"/>
    <w:rsid w:val="00EE751B"/>
    <w:rsid w:val="00EE783C"/>
    <w:rsid w:val="00EE7A65"/>
    <w:rsid w:val="00EE7B0E"/>
    <w:rsid w:val="00EE7E88"/>
    <w:rsid w:val="00EF02AF"/>
    <w:rsid w:val="00EF047A"/>
    <w:rsid w:val="00EF0490"/>
    <w:rsid w:val="00EF08B3"/>
    <w:rsid w:val="00EF08D7"/>
    <w:rsid w:val="00EF0C63"/>
    <w:rsid w:val="00EF0CDA"/>
    <w:rsid w:val="00EF0CDE"/>
    <w:rsid w:val="00EF1396"/>
    <w:rsid w:val="00EF13D8"/>
    <w:rsid w:val="00EF14AB"/>
    <w:rsid w:val="00EF16D2"/>
    <w:rsid w:val="00EF18C1"/>
    <w:rsid w:val="00EF18E7"/>
    <w:rsid w:val="00EF1E37"/>
    <w:rsid w:val="00EF22AF"/>
    <w:rsid w:val="00EF2947"/>
    <w:rsid w:val="00EF2D4D"/>
    <w:rsid w:val="00EF2F84"/>
    <w:rsid w:val="00EF3229"/>
    <w:rsid w:val="00EF3322"/>
    <w:rsid w:val="00EF369D"/>
    <w:rsid w:val="00EF39BF"/>
    <w:rsid w:val="00EF39FB"/>
    <w:rsid w:val="00EF3F7B"/>
    <w:rsid w:val="00EF454A"/>
    <w:rsid w:val="00EF470C"/>
    <w:rsid w:val="00EF48F9"/>
    <w:rsid w:val="00EF4ACB"/>
    <w:rsid w:val="00EF4E96"/>
    <w:rsid w:val="00EF4EEF"/>
    <w:rsid w:val="00EF5122"/>
    <w:rsid w:val="00EF5298"/>
    <w:rsid w:val="00EF5B4A"/>
    <w:rsid w:val="00EF5B88"/>
    <w:rsid w:val="00EF5B89"/>
    <w:rsid w:val="00EF5C48"/>
    <w:rsid w:val="00EF6178"/>
    <w:rsid w:val="00EF63D6"/>
    <w:rsid w:val="00EF650C"/>
    <w:rsid w:val="00EF6578"/>
    <w:rsid w:val="00EF747C"/>
    <w:rsid w:val="00EF7A3A"/>
    <w:rsid w:val="00EF7AAC"/>
    <w:rsid w:val="00EF7AF2"/>
    <w:rsid w:val="00EF7E1F"/>
    <w:rsid w:val="00EF7ED7"/>
    <w:rsid w:val="00F0007E"/>
    <w:rsid w:val="00F0023C"/>
    <w:rsid w:val="00F00674"/>
    <w:rsid w:val="00F00EBB"/>
    <w:rsid w:val="00F00F41"/>
    <w:rsid w:val="00F01020"/>
    <w:rsid w:val="00F01596"/>
    <w:rsid w:val="00F01A3B"/>
    <w:rsid w:val="00F01CEE"/>
    <w:rsid w:val="00F020C5"/>
    <w:rsid w:val="00F02C65"/>
    <w:rsid w:val="00F02FF6"/>
    <w:rsid w:val="00F0304E"/>
    <w:rsid w:val="00F033B8"/>
    <w:rsid w:val="00F03635"/>
    <w:rsid w:val="00F036F4"/>
    <w:rsid w:val="00F0374A"/>
    <w:rsid w:val="00F03F97"/>
    <w:rsid w:val="00F0413B"/>
    <w:rsid w:val="00F0429C"/>
    <w:rsid w:val="00F043C3"/>
    <w:rsid w:val="00F04519"/>
    <w:rsid w:val="00F0455E"/>
    <w:rsid w:val="00F04ACA"/>
    <w:rsid w:val="00F04F55"/>
    <w:rsid w:val="00F04FB9"/>
    <w:rsid w:val="00F05134"/>
    <w:rsid w:val="00F059CD"/>
    <w:rsid w:val="00F05A01"/>
    <w:rsid w:val="00F05BF9"/>
    <w:rsid w:val="00F05E65"/>
    <w:rsid w:val="00F0600D"/>
    <w:rsid w:val="00F0609A"/>
    <w:rsid w:val="00F06499"/>
    <w:rsid w:val="00F06B2D"/>
    <w:rsid w:val="00F06C5E"/>
    <w:rsid w:val="00F06C7B"/>
    <w:rsid w:val="00F06D0C"/>
    <w:rsid w:val="00F06D22"/>
    <w:rsid w:val="00F06E93"/>
    <w:rsid w:val="00F070AD"/>
    <w:rsid w:val="00F07773"/>
    <w:rsid w:val="00F07845"/>
    <w:rsid w:val="00F078BA"/>
    <w:rsid w:val="00F07C69"/>
    <w:rsid w:val="00F07E76"/>
    <w:rsid w:val="00F07F0A"/>
    <w:rsid w:val="00F1026C"/>
    <w:rsid w:val="00F10AC0"/>
    <w:rsid w:val="00F10C90"/>
    <w:rsid w:val="00F110E6"/>
    <w:rsid w:val="00F111DA"/>
    <w:rsid w:val="00F112C9"/>
    <w:rsid w:val="00F11319"/>
    <w:rsid w:val="00F11937"/>
    <w:rsid w:val="00F120AA"/>
    <w:rsid w:val="00F12112"/>
    <w:rsid w:val="00F1230D"/>
    <w:rsid w:val="00F1233F"/>
    <w:rsid w:val="00F1239E"/>
    <w:rsid w:val="00F1248E"/>
    <w:rsid w:val="00F12951"/>
    <w:rsid w:val="00F12D06"/>
    <w:rsid w:val="00F12EB2"/>
    <w:rsid w:val="00F1304C"/>
    <w:rsid w:val="00F13296"/>
    <w:rsid w:val="00F13455"/>
    <w:rsid w:val="00F13485"/>
    <w:rsid w:val="00F13EEF"/>
    <w:rsid w:val="00F14319"/>
    <w:rsid w:val="00F144B6"/>
    <w:rsid w:val="00F145F4"/>
    <w:rsid w:val="00F146DB"/>
    <w:rsid w:val="00F147A9"/>
    <w:rsid w:val="00F1482C"/>
    <w:rsid w:val="00F14A5D"/>
    <w:rsid w:val="00F14BCE"/>
    <w:rsid w:val="00F14DD8"/>
    <w:rsid w:val="00F14DE1"/>
    <w:rsid w:val="00F15141"/>
    <w:rsid w:val="00F15288"/>
    <w:rsid w:val="00F15FCC"/>
    <w:rsid w:val="00F161DC"/>
    <w:rsid w:val="00F16FDD"/>
    <w:rsid w:val="00F1711A"/>
    <w:rsid w:val="00F17139"/>
    <w:rsid w:val="00F1732C"/>
    <w:rsid w:val="00F17475"/>
    <w:rsid w:val="00F178B0"/>
    <w:rsid w:val="00F17A4D"/>
    <w:rsid w:val="00F17ADD"/>
    <w:rsid w:val="00F202E2"/>
    <w:rsid w:val="00F203F7"/>
    <w:rsid w:val="00F205FF"/>
    <w:rsid w:val="00F20725"/>
    <w:rsid w:val="00F20997"/>
    <w:rsid w:val="00F20AA6"/>
    <w:rsid w:val="00F20CEA"/>
    <w:rsid w:val="00F21042"/>
    <w:rsid w:val="00F210D7"/>
    <w:rsid w:val="00F2133E"/>
    <w:rsid w:val="00F213C8"/>
    <w:rsid w:val="00F214A0"/>
    <w:rsid w:val="00F214AD"/>
    <w:rsid w:val="00F21C49"/>
    <w:rsid w:val="00F21D1B"/>
    <w:rsid w:val="00F21E77"/>
    <w:rsid w:val="00F21E9F"/>
    <w:rsid w:val="00F21FAC"/>
    <w:rsid w:val="00F220E7"/>
    <w:rsid w:val="00F22675"/>
    <w:rsid w:val="00F226D0"/>
    <w:rsid w:val="00F2295E"/>
    <w:rsid w:val="00F22C72"/>
    <w:rsid w:val="00F22D80"/>
    <w:rsid w:val="00F23038"/>
    <w:rsid w:val="00F23093"/>
    <w:rsid w:val="00F23362"/>
    <w:rsid w:val="00F233C9"/>
    <w:rsid w:val="00F23620"/>
    <w:rsid w:val="00F236A2"/>
    <w:rsid w:val="00F239C6"/>
    <w:rsid w:val="00F23E0E"/>
    <w:rsid w:val="00F23E16"/>
    <w:rsid w:val="00F23E29"/>
    <w:rsid w:val="00F23E75"/>
    <w:rsid w:val="00F24074"/>
    <w:rsid w:val="00F245D8"/>
    <w:rsid w:val="00F245F9"/>
    <w:rsid w:val="00F246DA"/>
    <w:rsid w:val="00F246DD"/>
    <w:rsid w:val="00F25233"/>
    <w:rsid w:val="00F2529A"/>
    <w:rsid w:val="00F25EB0"/>
    <w:rsid w:val="00F25ED5"/>
    <w:rsid w:val="00F25FE3"/>
    <w:rsid w:val="00F26024"/>
    <w:rsid w:val="00F26068"/>
    <w:rsid w:val="00F26D4E"/>
    <w:rsid w:val="00F270D3"/>
    <w:rsid w:val="00F271BA"/>
    <w:rsid w:val="00F27223"/>
    <w:rsid w:val="00F2777A"/>
    <w:rsid w:val="00F277D0"/>
    <w:rsid w:val="00F27C69"/>
    <w:rsid w:val="00F27F54"/>
    <w:rsid w:val="00F281AD"/>
    <w:rsid w:val="00F30129"/>
    <w:rsid w:val="00F30349"/>
    <w:rsid w:val="00F3041E"/>
    <w:rsid w:val="00F3082E"/>
    <w:rsid w:val="00F30A30"/>
    <w:rsid w:val="00F30C5D"/>
    <w:rsid w:val="00F30FCB"/>
    <w:rsid w:val="00F31158"/>
    <w:rsid w:val="00F31386"/>
    <w:rsid w:val="00F31805"/>
    <w:rsid w:val="00F318DA"/>
    <w:rsid w:val="00F31B4F"/>
    <w:rsid w:val="00F32357"/>
    <w:rsid w:val="00F323EB"/>
    <w:rsid w:val="00F3261C"/>
    <w:rsid w:val="00F3264E"/>
    <w:rsid w:val="00F32998"/>
    <w:rsid w:val="00F32CBE"/>
    <w:rsid w:val="00F3307E"/>
    <w:rsid w:val="00F33895"/>
    <w:rsid w:val="00F33D03"/>
    <w:rsid w:val="00F341E0"/>
    <w:rsid w:val="00F343C2"/>
    <w:rsid w:val="00F34ADE"/>
    <w:rsid w:val="00F34B51"/>
    <w:rsid w:val="00F34CB3"/>
    <w:rsid w:val="00F34FD5"/>
    <w:rsid w:val="00F3537E"/>
    <w:rsid w:val="00F35605"/>
    <w:rsid w:val="00F35664"/>
    <w:rsid w:val="00F358B3"/>
    <w:rsid w:val="00F35B53"/>
    <w:rsid w:val="00F35D1B"/>
    <w:rsid w:val="00F35D51"/>
    <w:rsid w:val="00F35E95"/>
    <w:rsid w:val="00F36014"/>
    <w:rsid w:val="00F3607C"/>
    <w:rsid w:val="00F36162"/>
    <w:rsid w:val="00F362AD"/>
    <w:rsid w:val="00F3649F"/>
    <w:rsid w:val="00F366E6"/>
    <w:rsid w:val="00F36E18"/>
    <w:rsid w:val="00F371EE"/>
    <w:rsid w:val="00F37962"/>
    <w:rsid w:val="00F37B03"/>
    <w:rsid w:val="00F37BC2"/>
    <w:rsid w:val="00F37CA0"/>
    <w:rsid w:val="00F37CA8"/>
    <w:rsid w:val="00F37E10"/>
    <w:rsid w:val="00F402C4"/>
    <w:rsid w:val="00F40518"/>
    <w:rsid w:val="00F4059D"/>
    <w:rsid w:val="00F40789"/>
    <w:rsid w:val="00F40A05"/>
    <w:rsid w:val="00F40BB0"/>
    <w:rsid w:val="00F40C4F"/>
    <w:rsid w:val="00F412C3"/>
    <w:rsid w:val="00F412E7"/>
    <w:rsid w:val="00F41583"/>
    <w:rsid w:val="00F41845"/>
    <w:rsid w:val="00F4193F"/>
    <w:rsid w:val="00F41B47"/>
    <w:rsid w:val="00F41CBD"/>
    <w:rsid w:val="00F42325"/>
    <w:rsid w:val="00F4277E"/>
    <w:rsid w:val="00F433D4"/>
    <w:rsid w:val="00F43864"/>
    <w:rsid w:val="00F43DAD"/>
    <w:rsid w:val="00F43E6E"/>
    <w:rsid w:val="00F43F80"/>
    <w:rsid w:val="00F44586"/>
    <w:rsid w:val="00F4458E"/>
    <w:rsid w:val="00F4467B"/>
    <w:rsid w:val="00F446C3"/>
    <w:rsid w:val="00F44748"/>
    <w:rsid w:val="00F4476A"/>
    <w:rsid w:val="00F44AC4"/>
    <w:rsid w:val="00F44FB9"/>
    <w:rsid w:val="00F45063"/>
    <w:rsid w:val="00F45118"/>
    <w:rsid w:val="00F452D4"/>
    <w:rsid w:val="00F45845"/>
    <w:rsid w:val="00F45857"/>
    <w:rsid w:val="00F45AE0"/>
    <w:rsid w:val="00F46007"/>
    <w:rsid w:val="00F4616F"/>
    <w:rsid w:val="00F4620A"/>
    <w:rsid w:val="00F46314"/>
    <w:rsid w:val="00F463FC"/>
    <w:rsid w:val="00F4641B"/>
    <w:rsid w:val="00F46436"/>
    <w:rsid w:val="00F464B4"/>
    <w:rsid w:val="00F4668D"/>
    <w:rsid w:val="00F4702A"/>
    <w:rsid w:val="00F47528"/>
    <w:rsid w:val="00F47875"/>
    <w:rsid w:val="00F47A71"/>
    <w:rsid w:val="00F47E9B"/>
    <w:rsid w:val="00F47ED0"/>
    <w:rsid w:val="00F50662"/>
    <w:rsid w:val="00F5072B"/>
    <w:rsid w:val="00F50B11"/>
    <w:rsid w:val="00F50C37"/>
    <w:rsid w:val="00F50D5F"/>
    <w:rsid w:val="00F50FAF"/>
    <w:rsid w:val="00F5132D"/>
    <w:rsid w:val="00F513EB"/>
    <w:rsid w:val="00F5143E"/>
    <w:rsid w:val="00F51484"/>
    <w:rsid w:val="00F51537"/>
    <w:rsid w:val="00F516D4"/>
    <w:rsid w:val="00F51A2E"/>
    <w:rsid w:val="00F51D81"/>
    <w:rsid w:val="00F51ED4"/>
    <w:rsid w:val="00F51ED8"/>
    <w:rsid w:val="00F51F09"/>
    <w:rsid w:val="00F5236B"/>
    <w:rsid w:val="00F524D0"/>
    <w:rsid w:val="00F5252A"/>
    <w:rsid w:val="00F52C9F"/>
    <w:rsid w:val="00F52D49"/>
    <w:rsid w:val="00F52FE5"/>
    <w:rsid w:val="00F531E5"/>
    <w:rsid w:val="00F5340F"/>
    <w:rsid w:val="00F538F2"/>
    <w:rsid w:val="00F53AB2"/>
    <w:rsid w:val="00F5419A"/>
    <w:rsid w:val="00F54218"/>
    <w:rsid w:val="00F54266"/>
    <w:rsid w:val="00F5431E"/>
    <w:rsid w:val="00F54436"/>
    <w:rsid w:val="00F54502"/>
    <w:rsid w:val="00F54569"/>
    <w:rsid w:val="00F54639"/>
    <w:rsid w:val="00F549D6"/>
    <w:rsid w:val="00F54AD1"/>
    <w:rsid w:val="00F54C88"/>
    <w:rsid w:val="00F54E18"/>
    <w:rsid w:val="00F552D2"/>
    <w:rsid w:val="00F5561E"/>
    <w:rsid w:val="00F5594B"/>
    <w:rsid w:val="00F55B93"/>
    <w:rsid w:val="00F55BF0"/>
    <w:rsid w:val="00F55DF5"/>
    <w:rsid w:val="00F5647C"/>
    <w:rsid w:val="00F56667"/>
    <w:rsid w:val="00F5679F"/>
    <w:rsid w:val="00F569EA"/>
    <w:rsid w:val="00F56C83"/>
    <w:rsid w:val="00F56CF3"/>
    <w:rsid w:val="00F56E0F"/>
    <w:rsid w:val="00F56F3E"/>
    <w:rsid w:val="00F57004"/>
    <w:rsid w:val="00F574D2"/>
    <w:rsid w:val="00F57584"/>
    <w:rsid w:val="00F575A9"/>
    <w:rsid w:val="00F5767C"/>
    <w:rsid w:val="00F57BCA"/>
    <w:rsid w:val="00F57DEA"/>
    <w:rsid w:val="00F57EF5"/>
    <w:rsid w:val="00F60074"/>
    <w:rsid w:val="00F600D9"/>
    <w:rsid w:val="00F60106"/>
    <w:rsid w:val="00F60415"/>
    <w:rsid w:val="00F60513"/>
    <w:rsid w:val="00F60C83"/>
    <w:rsid w:val="00F60D6A"/>
    <w:rsid w:val="00F60F15"/>
    <w:rsid w:val="00F6110A"/>
    <w:rsid w:val="00F61893"/>
    <w:rsid w:val="00F61DC9"/>
    <w:rsid w:val="00F6239C"/>
    <w:rsid w:val="00F6263E"/>
    <w:rsid w:val="00F62708"/>
    <w:rsid w:val="00F62827"/>
    <w:rsid w:val="00F62F15"/>
    <w:rsid w:val="00F62F20"/>
    <w:rsid w:val="00F63071"/>
    <w:rsid w:val="00F635C6"/>
    <w:rsid w:val="00F63C1C"/>
    <w:rsid w:val="00F64517"/>
    <w:rsid w:val="00F6460E"/>
    <w:rsid w:val="00F646DE"/>
    <w:rsid w:val="00F648D4"/>
    <w:rsid w:val="00F64CB4"/>
    <w:rsid w:val="00F64CCC"/>
    <w:rsid w:val="00F64DC4"/>
    <w:rsid w:val="00F64E3E"/>
    <w:rsid w:val="00F65114"/>
    <w:rsid w:val="00F652AD"/>
    <w:rsid w:val="00F653AD"/>
    <w:rsid w:val="00F654CD"/>
    <w:rsid w:val="00F6554C"/>
    <w:rsid w:val="00F6560C"/>
    <w:rsid w:val="00F65774"/>
    <w:rsid w:val="00F65889"/>
    <w:rsid w:val="00F65975"/>
    <w:rsid w:val="00F65A25"/>
    <w:rsid w:val="00F65B2A"/>
    <w:rsid w:val="00F65C67"/>
    <w:rsid w:val="00F65FDC"/>
    <w:rsid w:val="00F66170"/>
    <w:rsid w:val="00F66399"/>
    <w:rsid w:val="00F66559"/>
    <w:rsid w:val="00F66BEC"/>
    <w:rsid w:val="00F66D8B"/>
    <w:rsid w:val="00F67192"/>
    <w:rsid w:val="00F672A1"/>
    <w:rsid w:val="00F674FE"/>
    <w:rsid w:val="00F67719"/>
    <w:rsid w:val="00F67B39"/>
    <w:rsid w:val="00F67BF1"/>
    <w:rsid w:val="00F67C62"/>
    <w:rsid w:val="00F67E08"/>
    <w:rsid w:val="00F67F32"/>
    <w:rsid w:val="00F7040F"/>
    <w:rsid w:val="00F70773"/>
    <w:rsid w:val="00F70F2E"/>
    <w:rsid w:val="00F7103B"/>
    <w:rsid w:val="00F711CF"/>
    <w:rsid w:val="00F715A4"/>
    <w:rsid w:val="00F7163E"/>
    <w:rsid w:val="00F71C05"/>
    <w:rsid w:val="00F71D99"/>
    <w:rsid w:val="00F71DE1"/>
    <w:rsid w:val="00F72398"/>
    <w:rsid w:val="00F72425"/>
    <w:rsid w:val="00F7286F"/>
    <w:rsid w:val="00F728A3"/>
    <w:rsid w:val="00F729CF"/>
    <w:rsid w:val="00F73784"/>
    <w:rsid w:val="00F73B21"/>
    <w:rsid w:val="00F73B55"/>
    <w:rsid w:val="00F73C52"/>
    <w:rsid w:val="00F73F17"/>
    <w:rsid w:val="00F740A6"/>
    <w:rsid w:val="00F7425A"/>
    <w:rsid w:val="00F74552"/>
    <w:rsid w:val="00F747B9"/>
    <w:rsid w:val="00F74CC9"/>
    <w:rsid w:val="00F74CFC"/>
    <w:rsid w:val="00F75132"/>
    <w:rsid w:val="00F753E4"/>
    <w:rsid w:val="00F7553E"/>
    <w:rsid w:val="00F75886"/>
    <w:rsid w:val="00F759B5"/>
    <w:rsid w:val="00F75B84"/>
    <w:rsid w:val="00F75CBE"/>
    <w:rsid w:val="00F76083"/>
    <w:rsid w:val="00F7616F"/>
    <w:rsid w:val="00F7617D"/>
    <w:rsid w:val="00F76488"/>
    <w:rsid w:val="00F765BA"/>
    <w:rsid w:val="00F7664F"/>
    <w:rsid w:val="00F76965"/>
    <w:rsid w:val="00F76BD7"/>
    <w:rsid w:val="00F76C30"/>
    <w:rsid w:val="00F76DCE"/>
    <w:rsid w:val="00F76E1D"/>
    <w:rsid w:val="00F76F88"/>
    <w:rsid w:val="00F77106"/>
    <w:rsid w:val="00F77222"/>
    <w:rsid w:val="00F7759C"/>
    <w:rsid w:val="00F77734"/>
    <w:rsid w:val="00F77970"/>
    <w:rsid w:val="00F77971"/>
    <w:rsid w:val="00F77B22"/>
    <w:rsid w:val="00F77E1E"/>
    <w:rsid w:val="00F802D8"/>
    <w:rsid w:val="00F80366"/>
    <w:rsid w:val="00F809FD"/>
    <w:rsid w:val="00F8107F"/>
    <w:rsid w:val="00F813CA"/>
    <w:rsid w:val="00F817A3"/>
    <w:rsid w:val="00F8184D"/>
    <w:rsid w:val="00F8186D"/>
    <w:rsid w:val="00F818E3"/>
    <w:rsid w:val="00F81B0D"/>
    <w:rsid w:val="00F81B29"/>
    <w:rsid w:val="00F81BBF"/>
    <w:rsid w:val="00F8256E"/>
    <w:rsid w:val="00F82689"/>
    <w:rsid w:val="00F82766"/>
    <w:rsid w:val="00F82A3E"/>
    <w:rsid w:val="00F82B4D"/>
    <w:rsid w:val="00F82C11"/>
    <w:rsid w:val="00F831FC"/>
    <w:rsid w:val="00F83553"/>
    <w:rsid w:val="00F835FA"/>
    <w:rsid w:val="00F837EF"/>
    <w:rsid w:val="00F8388B"/>
    <w:rsid w:val="00F83DD9"/>
    <w:rsid w:val="00F83E1A"/>
    <w:rsid w:val="00F83E8C"/>
    <w:rsid w:val="00F84034"/>
    <w:rsid w:val="00F843C4"/>
    <w:rsid w:val="00F843CC"/>
    <w:rsid w:val="00F8459D"/>
    <w:rsid w:val="00F846C2"/>
    <w:rsid w:val="00F847D6"/>
    <w:rsid w:val="00F84EDE"/>
    <w:rsid w:val="00F852B0"/>
    <w:rsid w:val="00F852B2"/>
    <w:rsid w:val="00F85382"/>
    <w:rsid w:val="00F854E1"/>
    <w:rsid w:val="00F85763"/>
    <w:rsid w:val="00F85B48"/>
    <w:rsid w:val="00F85B73"/>
    <w:rsid w:val="00F861AE"/>
    <w:rsid w:val="00F86239"/>
    <w:rsid w:val="00F862DF"/>
    <w:rsid w:val="00F86CC7"/>
    <w:rsid w:val="00F86F0A"/>
    <w:rsid w:val="00F87178"/>
    <w:rsid w:val="00F871D7"/>
    <w:rsid w:val="00F8756E"/>
    <w:rsid w:val="00F87D32"/>
    <w:rsid w:val="00F87F4A"/>
    <w:rsid w:val="00F87FB6"/>
    <w:rsid w:val="00F87FCF"/>
    <w:rsid w:val="00F90098"/>
    <w:rsid w:val="00F90591"/>
    <w:rsid w:val="00F906BF"/>
    <w:rsid w:val="00F90768"/>
    <w:rsid w:val="00F90FDD"/>
    <w:rsid w:val="00F91032"/>
    <w:rsid w:val="00F9132F"/>
    <w:rsid w:val="00F915A4"/>
    <w:rsid w:val="00F91618"/>
    <w:rsid w:val="00F91899"/>
    <w:rsid w:val="00F91AF8"/>
    <w:rsid w:val="00F91BAE"/>
    <w:rsid w:val="00F91C2A"/>
    <w:rsid w:val="00F91D0B"/>
    <w:rsid w:val="00F91EF1"/>
    <w:rsid w:val="00F9205E"/>
    <w:rsid w:val="00F921C2"/>
    <w:rsid w:val="00F9229E"/>
    <w:rsid w:val="00F926D9"/>
    <w:rsid w:val="00F9271D"/>
    <w:rsid w:val="00F92E72"/>
    <w:rsid w:val="00F92FA5"/>
    <w:rsid w:val="00F931F5"/>
    <w:rsid w:val="00F932AD"/>
    <w:rsid w:val="00F93461"/>
    <w:rsid w:val="00F934AD"/>
    <w:rsid w:val="00F935BD"/>
    <w:rsid w:val="00F935DF"/>
    <w:rsid w:val="00F93874"/>
    <w:rsid w:val="00F939BE"/>
    <w:rsid w:val="00F93A02"/>
    <w:rsid w:val="00F93B5A"/>
    <w:rsid w:val="00F93C11"/>
    <w:rsid w:val="00F93C6A"/>
    <w:rsid w:val="00F93DF5"/>
    <w:rsid w:val="00F94024"/>
    <w:rsid w:val="00F9413F"/>
    <w:rsid w:val="00F9425F"/>
    <w:rsid w:val="00F943D7"/>
    <w:rsid w:val="00F947D4"/>
    <w:rsid w:val="00F94830"/>
    <w:rsid w:val="00F94924"/>
    <w:rsid w:val="00F94C0D"/>
    <w:rsid w:val="00F9571B"/>
    <w:rsid w:val="00F95772"/>
    <w:rsid w:val="00F95B06"/>
    <w:rsid w:val="00F96133"/>
    <w:rsid w:val="00F9655F"/>
    <w:rsid w:val="00F96609"/>
    <w:rsid w:val="00F96889"/>
    <w:rsid w:val="00F968E6"/>
    <w:rsid w:val="00F968F7"/>
    <w:rsid w:val="00F96BF7"/>
    <w:rsid w:val="00F96D5A"/>
    <w:rsid w:val="00F96E17"/>
    <w:rsid w:val="00F96FE5"/>
    <w:rsid w:val="00F971B2"/>
    <w:rsid w:val="00F973E9"/>
    <w:rsid w:val="00F975B3"/>
    <w:rsid w:val="00F97760"/>
    <w:rsid w:val="00F97954"/>
    <w:rsid w:val="00F979ED"/>
    <w:rsid w:val="00F97B7E"/>
    <w:rsid w:val="00F97C10"/>
    <w:rsid w:val="00F97EC1"/>
    <w:rsid w:val="00FA008F"/>
    <w:rsid w:val="00FA00AE"/>
    <w:rsid w:val="00FA0352"/>
    <w:rsid w:val="00FA0620"/>
    <w:rsid w:val="00FA0717"/>
    <w:rsid w:val="00FA0A23"/>
    <w:rsid w:val="00FA0BFF"/>
    <w:rsid w:val="00FA0C43"/>
    <w:rsid w:val="00FA0D73"/>
    <w:rsid w:val="00FA10B1"/>
    <w:rsid w:val="00FA1DD6"/>
    <w:rsid w:val="00FA22AD"/>
    <w:rsid w:val="00FA2321"/>
    <w:rsid w:val="00FA25A5"/>
    <w:rsid w:val="00FA2946"/>
    <w:rsid w:val="00FA2BB6"/>
    <w:rsid w:val="00FA2FB6"/>
    <w:rsid w:val="00FA2FEB"/>
    <w:rsid w:val="00FA3251"/>
    <w:rsid w:val="00FA3611"/>
    <w:rsid w:val="00FA3BF9"/>
    <w:rsid w:val="00FA3CD8"/>
    <w:rsid w:val="00FA410B"/>
    <w:rsid w:val="00FA4226"/>
    <w:rsid w:val="00FA470B"/>
    <w:rsid w:val="00FA48FD"/>
    <w:rsid w:val="00FA4EA7"/>
    <w:rsid w:val="00FA51E0"/>
    <w:rsid w:val="00FA5904"/>
    <w:rsid w:val="00FA591F"/>
    <w:rsid w:val="00FA5F45"/>
    <w:rsid w:val="00FA614D"/>
    <w:rsid w:val="00FA61EE"/>
    <w:rsid w:val="00FA6309"/>
    <w:rsid w:val="00FA6319"/>
    <w:rsid w:val="00FA65D2"/>
    <w:rsid w:val="00FA69F6"/>
    <w:rsid w:val="00FA6A8B"/>
    <w:rsid w:val="00FA6BAD"/>
    <w:rsid w:val="00FA6E73"/>
    <w:rsid w:val="00FA6FD6"/>
    <w:rsid w:val="00FA7175"/>
    <w:rsid w:val="00FA7304"/>
    <w:rsid w:val="00FA7828"/>
    <w:rsid w:val="00FA7B28"/>
    <w:rsid w:val="00FB080C"/>
    <w:rsid w:val="00FB0F2E"/>
    <w:rsid w:val="00FB1155"/>
    <w:rsid w:val="00FB1317"/>
    <w:rsid w:val="00FB14CA"/>
    <w:rsid w:val="00FB1E00"/>
    <w:rsid w:val="00FB2038"/>
    <w:rsid w:val="00FB2176"/>
    <w:rsid w:val="00FB22CF"/>
    <w:rsid w:val="00FB2461"/>
    <w:rsid w:val="00FB257D"/>
    <w:rsid w:val="00FB2A09"/>
    <w:rsid w:val="00FB2CF9"/>
    <w:rsid w:val="00FB32FD"/>
    <w:rsid w:val="00FB3752"/>
    <w:rsid w:val="00FB3E31"/>
    <w:rsid w:val="00FB403B"/>
    <w:rsid w:val="00FB43E6"/>
    <w:rsid w:val="00FB46DD"/>
    <w:rsid w:val="00FB47FC"/>
    <w:rsid w:val="00FB48D4"/>
    <w:rsid w:val="00FB4916"/>
    <w:rsid w:val="00FB4A0F"/>
    <w:rsid w:val="00FB4EE9"/>
    <w:rsid w:val="00FB4EF7"/>
    <w:rsid w:val="00FB4F31"/>
    <w:rsid w:val="00FB522C"/>
    <w:rsid w:val="00FB5715"/>
    <w:rsid w:val="00FB5BD4"/>
    <w:rsid w:val="00FB6007"/>
    <w:rsid w:val="00FB620D"/>
    <w:rsid w:val="00FB6334"/>
    <w:rsid w:val="00FB637F"/>
    <w:rsid w:val="00FB64CB"/>
    <w:rsid w:val="00FB656A"/>
    <w:rsid w:val="00FB6E8C"/>
    <w:rsid w:val="00FB7019"/>
    <w:rsid w:val="00FB7143"/>
    <w:rsid w:val="00FB71C9"/>
    <w:rsid w:val="00FB7382"/>
    <w:rsid w:val="00FB7EBA"/>
    <w:rsid w:val="00FB7F58"/>
    <w:rsid w:val="00FBF61A"/>
    <w:rsid w:val="00FC0961"/>
    <w:rsid w:val="00FC0B75"/>
    <w:rsid w:val="00FC0F14"/>
    <w:rsid w:val="00FC0F1B"/>
    <w:rsid w:val="00FC12EB"/>
    <w:rsid w:val="00FC1442"/>
    <w:rsid w:val="00FC1A5C"/>
    <w:rsid w:val="00FC1F92"/>
    <w:rsid w:val="00FC201A"/>
    <w:rsid w:val="00FC2705"/>
    <w:rsid w:val="00FC2A05"/>
    <w:rsid w:val="00FC2C5E"/>
    <w:rsid w:val="00FC33ED"/>
    <w:rsid w:val="00FC38D8"/>
    <w:rsid w:val="00FC398D"/>
    <w:rsid w:val="00FC3ACB"/>
    <w:rsid w:val="00FC3BBA"/>
    <w:rsid w:val="00FC400D"/>
    <w:rsid w:val="00FC4217"/>
    <w:rsid w:val="00FC43B5"/>
    <w:rsid w:val="00FC47DF"/>
    <w:rsid w:val="00FC4A54"/>
    <w:rsid w:val="00FC4B9E"/>
    <w:rsid w:val="00FC4CC1"/>
    <w:rsid w:val="00FC4CCC"/>
    <w:rsid w:val="00FC4D38"/>
    <w:rsid w:val="00FC50A7"/>
    <w:rsid w:val="00FC519A"/>
    <w:rsid w:val="00FC522B"/>
    <w:rsid w:val="00FC54A9"/>
    <w:rsid w:val="00FC54D2"/>
    <w:rsid w:val="00FC5528"/>
    <w:rsid w:val="00FC57BD"/>
    <w:rsid w:val="00FC5943"/>
    <w:rsid w:val="00FC5B4B"/>
    <w:rsid w:val="00FC5C2E"/>
    <w:rsid w:val="00FC5E3D"/>
    <w:rsid w:val="00FC5E45"/>
    <w:rsid w:val="00FC5E6B"/>
    <w:rsid w:val="00FC61F2"/>
    <w:rsid w:val="00FC643F"/>
    <w:rsid w:val="00FC655E"/>
    <w:rsid w:val="00FC656F"/>
    <w:rsid w:val="00FC65D3"/>
    <w:rsid w:val="00FC65DF"/>
    <w:rsid w:val="00FC672B"/>
    <w:rsid w:val="00FC6921"/>
    <w:rsid w:val="00FC6A5C"/>
    <w:rsid w:val="00FC6AE8"/>
    <w:rsid w:val="00FC71C3"/>
    <w:rsid w:val="00FC7649"/>
    <w:rsid w:val="00FC791A"/>
    <w:rsid w:val="00FC7F7B"/>
    <w:rsid w:val="00FD0018"/>
    <w:rsid w:val="00FD02C9"/>
    <w:rsid w:val="00FD03EE"/>
    <w:rsid w:val="00FD04B6"/>
    <w:rsid w:val="00FD0912"/>
    <w:rsid w:val="00FD0A30"/>
    <w:rsid w:val="00FD0B0A"/>
    <w:rsid w:val="00FD0C72"/>
    <w:rsid w:val="00FD0F60"/>
    <w:rsid w:val="00FD102E"/>
    <w:rsid w:val="00FD11DD"/>
    <w:rsid w:val="00FD11F6"/>
    <w:rsid w:val="00FD1375"/>
    <w:rsid w:val="00FD174B"/>
    <w:rsid w:val="00FD1861"/>
    <w:rsid w:val="00FD1A80"/>
    <w:rsid w:val="00FD1CBA"/>
    <w:rsid w:val="00FD1D57"/>
    <w:rsid w:val="00FD21F4"/>
    <w:rsid w:val="00FD2302"/>
    <w:rsid w:val="00FD2325"/>
    <w:rsid w:val="00FD234A"/>
    <w:rsid w:val="00FD242E"/>
    <w:rsid w:val="00FD2591"/>
    <w:rsid w:val="00FD26D4"/>
    <w:rsid w:val="00FD27B9"/>
    <w:rsid w:val="00FD2944"/>
    <w:rsid w:val="00FD2F76"/>
    <w:rsid w:val="00FD31F1"/>
    <w:rsid w:val="00FD32DA"/>
    <w:rsid w:val="00FD32F3"/>
    <w:rsid w:val="00FD341E"/>
    <w:rsid w:val="00FD3453"/>
    <w:rsid w:val="00FD389A"/>
    <w:rsid w:val="00FD3903"/>
    <w:rsid w:val="00FD3D90"/>
    <w:rsid w:val="00FD3DF6"/>
    <w:rsid w:val="00FD3E6B"/>
    <w:rsid w:val="00FD3F3D"/>
    <w:rsid w:val="00FD3FC2"/>
    <w:rsid w:val="00FD4170"/>
    <w:rsid w:val="00FD419F"/>
    <w:rsid w:val="00FD421E"/>
    <w:rsid w:val="00FD48C5"/>
    <w:rsid w:val="00FD4A4D"/>
    <w:rsid w:val="00FD4B64"/>
    <w:rsid w:val="00FD4C20"/>
    <w:rsid w:val="00FD4E62"/>
    <w:rsid w:val="00FD59BF"/>
    <w:rsid w:val="00FD5C01"/>
    <w:rsid w:val="00FD5E4F"/>
    <w:rsid w:val="00FD5F36"/>
    <w:rsid w:val="00FD6BE4"/>
    <w:rsid w:val="00FD6E32"/>
    <w:rsid w:val="00FD6F21"/>
    <w:rsid w:val="00FD7068"/>
    <w:rsid w:val="00FD7079"/>
    <w:rsid w:val="00FD72D9"/>
    <w:rsid w:val="00FD769E"/>
    <w:rsid w:val="00FD7A9C"/>
    <w:rsid w:val="00FD7C71"/>
    <w:rsid w:val="00FE018C"/>
    <w:rsid w:val="00FE0431"/>
    <w:rsid w:val="00FE07EF"/>
    <w:rsid w:val="00FE10F3"/>
    <w:rsid w:val="00FE1279"/>
    <w:rsid w:val="00FE12E2"/>
    <w:rsid w:val="00FE1469"/>
    <w:rsid w:val="00FE1E64"/>
    <w:rsid w:val="00FE2572"/>
    <w:rsid w:val="00FE27C2"/>
    <w:rsid w:val="00FE289F"/>
    <w:rsid w:val="00FE28A4"/>
    <w:rsid w:val="00FE292E"/>
    <w:rsid w:val="00FE2A9F"/>
    <w:rsid w:val="00FE2C1C"/>
    <w:rsid w:val="00FE2F0A"/>
    <w:rsid w:val="00FE31F7"/>
    <w:rsid w:val="00FE3618"/>
    <w:rsid w:val="00FE36F8"/>
    <w:rsid w:val="00FE3BDF"/>
    <w:rsid w:val="00FE3D1E"/>
    <w:rsid w:val="00FE3F22"/>
    <w:rsid w:val="00FE44C2"/>
    <w:rsid w:val="00FE44E0"/>
    <w:rsid w:val="00FE46A9"/>
    <w:rsid w:val="00FE477A"/>
    <w:rsid w:val="00FE4789"/>
    <w:rsid w:val="00FE4853"/>
    <w:rsid w:val="00FE48B7"/>
    <w:rsid w:val="00FE4B1F"/>
    <w:rsid w:val="00FE4D3A"/>
    <w:rsid w:val="00FE4DAA"/>
    <w:rsid w:val="00FE4F91"/>
    <w:rsid w:val="00FE5000"/>
    <w:rsid w:val="00FE5230"/>
    <w:rsid w:val="00FE55A5"/>
    <w:rsid w:val="00FE589F"/>
    <w:rsid w:val="00FE5B46"/>
    <w:rsid w:val="00FE5B6F"/>
    <w:rsid w:val="00FE5D03"/>
    <w:rsid w:val="00FE5E2D"/>
    <w:rsid w:val="00FE5EC3"/>
    <w:rsid w:val="00FE5F36"/>
    <w:rsid w:val="00FE6119"/>
    <w:rsid w:val="00FE6560"/>
    <w:rsid w:val="00FE65AB"/>
    <w:rsid w:val="00FE65FA"/>
    <w:rsid w:val="00FE69DF"/>
    <w:rsid w:val="00FE6ACE"/>
    <w:rsid w:val="00FE6D6A"/>
    <w:rsid w:val="00FE71D2"/>
    <w:rsid w:val="00FE7666"/>
    <w:rsid w:val="00FE7970"/>
    <w:rsid w:val="00FF012F"/>
    <w:rsid w:val="00FF030D"/>
    <w:rsid w:val="00FF07A6"/>
    <w:rsid w:val="00FF0968"/>
    <w:rsid w:val="00FF0A01"/>
    <w:rsid w:val="00FF1015"/>
    <w:rsid w:val="00FF144C"/>
    <w:rsid w:val="00FF1645"/>
    <w:rsid w:val="00FF165C"/>
    <w:rsid w:val="00FF167A"/>
    <w:rsid w:val="00FF1688"/>
    <w:rsid w:val="00FF1988"/>
    <w:rsid w:val="00FF1BFD"/>
    <w:rsid w:val="00FF1CD6"/>
    <w:rsid w:val="00FF1F48"/>
    <w:rsid w:val="00FF2039"/>
    <w:rsid w:val="00FF203F"/>
    <w:rsid w:val="00FF206C"/>
    <w:rsid w:val="00FF208F"/>
    <w:rsid w:val="00FF219A"/>
    <w:rsid w:val="00FF2239"/>
    <w:rsid w:val="00FF266A"/>
    <w:rsid w:val="00FF284E"/>
    <w:rsid w:val="00FF2988"/>
    <w:rsid w:val="00FF2A10"/>
    <w:rsid w:val="00FF2D7E"/>
    <w:rsid w:val="00FF3253"/>
    <w:rsid w:val="00FF3E0F"/>
    <w:rsid w:val="00FF3E11"/>
    <w:rsid w:val="00FF3EAA"/>
    <w:rsid w:val="00FF405A"/>
    <w:rsid w:val="00FF4535"/>
    <w:rsid w:val="00FF46AA"/>
    <w:rsid w:val="00FF47F8"/>
    <w:rsid w:val="00FF49FC"/>
    <w:rsid w:val="00FF4B88"/>
    <w:rsid w:val="00FF4F74"/>
    <w:rsid w:val="00FF54C3"/>
    <w:rsid w:val="00FF54F3"/>
    <w:rsid w:val="00FF557B"/>
    <w:rsid w:val="00FF5796"/>
    <w:rsid w:val="00FF57A7"/>
    <w:rsid w:val="00FF57B7"/>
    <w:rsid w:val="00FF591D"/>
    <w:rsid w:val="00FF5E04"/>
    <w:rsid w:val="00FF60BD"/>
    <w:rsid w:val="00FF61DE"/>
    <w:rsid w:val="00FF665A"/>
    <w:rsid w:val="00FF667E"/>
    <w:rsid w:val="00FF6B5E"/>
    <w:rsid w:val="00FF6E25"/>
    <w:rsid w:val="00FF6FD2"/>
    <w:rsid w:val="00FF7184"/>
    <w:rsid w:val="00FF71C3"/>
    <w:rsid w:val="00FF7380"/>
    <w:rsid w:val="00FF73DA"/>
    <w:rsid w:val="00FF7718"/>
    <w:rsid w:val="00FF787E"/>
    <w:rsid w:val="00FF7BE6"/>
    <w:rsid w:val="00FF7C6A"/>
    <w:rsid w:val="00FF7D6C"/>
    <w:rsid w:val="0107D1CF"/>
    <w:rsid w:val="010C22E4"/>
    <w:rsid w:val="010C862C"/>
    <w:rsid w:val="010F7589"/>
    <w:rsid w:val="0110BED4"/>
    <w:rsid w:val="011E4B83"/>
    <w:rsid w:val="0120FA2C"/>
    <w:rsid w:val="0128E133"/>
    <w:rsid w:val="012F067B"/>
    <w:rsid w:val="01504DA4"/>
    <w:rsid w:val="0152290F"/>
    <w:rsid w:val="01595522"/>
    <w:rsid w:val="016763D6"/>
    <w:rsid w:val="01682BBC"/>
    <w:rsid w:val="0186847B"/>
    <w:rsid w:val="019524DE"/>
    <w:rsid w:val="01A07898"/>
    <w:rsid w:val="01ADD2E7"/>
    <w:rsid w:val="01AE5102"/>
    <w:rsid w:val="01AFBC1D"/>
    <w:rsid w:val="01CB1FC3"/>
    <w:rsid w:val="01CD6124"/>
    <w:rsid w:val="01D9DC1C"/>
    <w:rsid w:val="01F5EBE0"/>
    <w:rsid w:val="01FD8B34"/>
    <w:rsid w:val="01FF083D"/>
    <w:rsid w:val="02067AB6"/>
    <w:rsid w:val="021041D9"/>
    <w:rsid w:val="02214F38"/>
    <w:rsid w:val="02261654"/>
    <w:rsid w:val="0230CBF5"/>
    <w:rsid w:val="024B3943"/>
    <w:rsid w:val="02593A36"/>
    <w:rsid w:val="025C812A"/>
    <w:rsid w:val="025E2DE9"/>
    <w:rsid w:val="026D48C9"/>
    <w:rsid w:val="02715615"/>
    <w:rsid w:val="027714EF"/>
    <w:rsid w:val="027751AF"/>
    <w:rsid w:val="0284F5C0"/>
    <w:rsid w:val="0286921B"/>
    <w:rsid w:val="028967B3"/>
    <w:rsid w:val="028A6717"/>
    <w:rsid w:val="0290F089"/>
    <w:rsid w:val="02A3EAC5"/>
    <w:rsid w:val="02AE7E14"/>
    <w:rsid w:val="02AECB9C"/>
    <w:rsid w:val="02BCCA8D"/>
    <w:rsid w:val="02C0676D"/>
    <w:rsid w:val="02C5AF12"/>
    <w:rsid w:val="02C8AF44"/>
    <w:rsid w:val="02CC652C"/>
    <w:rsid w:val="02CF6F4E"/>
    <w:rsid w:val="02D16EA0"/>
    <w:rsid w:val="02E1A49B"/>
    <w:rsid w:val="02E917D1"/>
    <w:rsid w:val="02F7F808"/>
    <w:rsid w:val="030A6395"/>
    <w:rsid w:val="03124960"/>
    <w:rsid w:val="031E9891"/>
    <w:rsid w:val="031F7A4E"/>
    <w:rsid w:val="03387095"/>
    <w:rsid w:val="034296B6"/>
    <w:rsid w:val="0342E0D8"/>
    <w:rsid w:val="0343A04C"/>
    <w:rsid w:val="035883FF"/>
    <w:rsid w:val="03676E6B"/>
    <w:rsid w:val="036CD79C"/>
    <w:rsid w:val="0375E688"/>
    <w:rsid w:val="037A923D"/>
    <w:rsid w:val="037FBCF5"/>
    <w:rsid w:val="0395B5DB"/>
    <w:rsid w:val="03AEBDC1"/>
    <w:rsid w:val="03B062E4"/>
    <w:rsid w:val="03B404BE"/>
    <w:rsid w:val="03BEBF09"/>
    <w:rsid w:val="03C643C4"/>
    <w:rsid w:val="03C8080F"/>
    <w:rsid w:val="03CE7A3F"/>
    <w:rsid w:val="03D373F0"/>
    <w:rsid w:val="03DCA8E6"/>
    <w:rsid w:val="03F461D9"/>
    <w:rsid w:val="03F8D5B5"/>
    <w:rsid w:val="03F8E3A6"/>
    <w:rsid w:val="040E3B66"/>
    <w:rsid w:val="0415E43E"/>
    <w:rsid w:val="041663E5"/>
    <w:rsid w:val="0428128A"/>
    <w:rsid w:val="04427E9A"/>
    <w:rsid w:val="044750A4"/>
    <w:rsid w:val="0456E6A1"/>
    <w:rsid w:val="04594FE9"/>
    <w:rsid w:val="046B94FB"/>
    <w:rsid w:val="047FFD7B"/>
    <w:rsid w:val="0489D9E2"/>
    <w:rsid w:val="048EC577"/>
    <w:rsid w:val="049B3D89"/>
    <w:rsid w:val="04A948EB"/>
    <w:rsid w:val="04C2933A"/>
    <w:rsid w:val="04C34BA4"/>
    <w:rsid w:val="04D3492F"/>
    <w:rsid w:val="04D3696B"/>
    <w:rsid w:val="04D503C4"/>
    <w:rsid w:val="04D930A8"/>
    <w:rsid w:val="04DACAA6"/>
    <w:rsid w:val="04EC4FF7"/>
    <w:rsid w:val="04F208AB"/>
    <w:rsid w:val="04F78D99"/>
    <w:rsid w:val="0505C0F4"/>
    <w:rsid w:val="0518FFD3"/>
    <w:rsid w:val="0521C365"/>
    <w:rsid w:val="0528023A"/>
    <w:rsid w:val="053DA845"/>
    <w:rsid w:val="053E2F2E"/>
    <w:rsid w:val="0544EE97"/>
    <w:rsid w:val="0545AAC9"/>
    <w:rsid w:val="0547E3D6"/>
    <w:rsid w:val="0549B58D"/>
    <w:rsid w:val="054B3017"/>
    <w:rsid w:val="056BB4BB"/>
    <w:rsid w:val="056ED4A7"/>
    <w:rsid w:val="05793D5F"/>
    <w:rsid w:val="057BADDC"/>
    <w:rsid w:val="057F25AA"/>
    <w:rsid w:val="059686B6"/>
    <w:rsid w:val="059E100E"/>
    <w:rsid w:val="05A1DEF3"/>
    <w:rsid w:val="05A49967"/>
    <w:rsid w:val="05A4EF04"/>
    <w:rsid w:val="05A8936A"/>
    <w:rsid w:val="05AB4F92"/>
    <w:rsid w:val="05BD640E"/>
    <w:rsid w:val="05C28EA0"/>
    <w:rsid w:val="05C426B9"/>
    <w:rsid w:val="05CF579E"/>
    <w:rsid w:val="05DCB2E6"/>
    <w:rsid w:val="05EA6DCD"/>
    <w:rsid w:val="05EE9C1D"/>
    <w:rsid w:val="05F6D915"/>
    <w:rsid w:val="0605CB07"/>
    <w:rsid w:val="0611A8DF"/>
    <w:rsid w:val="0613E577"/>
    <w:rsid w:val="061B7DC5"/>
    <w:rsid w:val="061FAF5A"/>
    <w:rsid w:val="0628A4C8"/>
    <w:rsid w:val="063D3D32"/>
    <w:rsid w:val="063D51A9"/>
    <w:rsid w:val="06458741"/>
    <w:rsid w:val="06499F4D"/>
    <w:rsid w:val="064A585C"/>
    <w:rsid w:val="064D5B2A"/>
    <w:rsid w:val="0651FEB6"/>
    <w:rsid w:val="06591DD3"/>
    <w:rsid w:val="0668DCE9"/>
    <w:rsid w:val="06752E09"/>
    <w:rsid w:val="06768130"/>
    <w:rsid w:val="0679B771"/>
    <w:rsid w:val="06A0489C"/>
    <w:rsid w:val="06A6A6DB"/>
    <w:rsid w:val="06B77AE9"/>
    <w:rsid w:val="06BE37E0"/>
    <w:rsid w:val="06BF5E95"/>
    <w:rsid w:val="06C4E524"/>
    <w:rsid w:val="06CD9DC0"/>
    <w:rsid w:val="06D7E2F0"/>
    <w:rsid w:val="06D9A8A5"/>
    <w:rsid w:val="06EA8734"/>
    <w:rsid w:val="06ECB1DF"/>
    <w:rsid w:val="06F2F99A"/>
    <w:rsid w:val="06FE8903"/>
    <w:rsid w:val="07061B01"/>
    <w:rsid w:val="070B9052"/>
    <w:rsid w:val="071EC57B"/>
    <w:rsid w:val="072705B4"/>
    <w:rsid w:val="072A0A39"/>
    <w:rsid w:val="073072D0"/>
    <w:rsid w:val="07340757"/>
    <w:rsid w:val="073B6DB8"/>
    <w:rsid w:val="0742D664"/>
    <w:rsid w:val="074D8500"/>
    <w:rsid w:val="0752F8B7"/>
    <w:rsid w:val="075A9032"/>
    <w:rsid w:val="075AD27A"/>
    <w:rsid w:val="075B99B0"/>
    <w:rsid w:val="076249FC"/>
    <w:rsid w:val="0764847A"/>
    <w:rsid w:val="07715ED6"/>
    <w:rsid w:val="0779A2A3"/>
    <w:rsid w:val="077FAB4D"/>
    <w:rsid w:val="07889002"/>
    <w:rsid w:val="078CDBF9"/>
    <w:rsid w:val="0794C088"/>
    <w:rsid w:val="0796F30E"/>
    <w:rsid w:val="079A69F2"/>
    <w:rsid w:val="07A5D4CD"/>
    <w:rsid w:val="07A90A93"/>
    <w:rsid w:val="07B38503"/>
    <w:rsid w:val="07B48E02"/>
    <w:rsid w:val="07BC83E2"/>
    <w:rsid w:val="07C25132"/>
    <w:rsid w:val="07E228A6"/>
    <w:rsid w:val="07FCB568"/>
    <w:rsid w:val="08012CB9"/>
    <w:rsid w:val="080B0403"/>
    <w:rsid w:val="08163D3D"/>
    <w:rsid w:val="081D3E3B"/>
    <w:rsid w:val="0821AAB3"/>
    <w:rsid w:val="0823FB76"/>
    <w:rsid w:val="08304EBF"/>
    <w:rsid w:val="083D6214"/>
    <w:rsid w:val="0840149E"/>
    <w:rsid w:val="08416C7F"/>
    <w:rsid w:val="08466291"/>
    <w:rsid w:val="084A413F"/>
    <w:rsid w:val="0850A46E"/>
    <w:rsid w:val="0853EF7C"/>
    <w:rsid w:val="085B31EF"/>
    <w:rsid w:val="085B41B0"/>
    <w:rsid w:val="08604E72"/>
    <w:rsid w:val="0866A5F0"/>
    <w:rsid w:val="08690AD4"/>
    <w:rsid w:val="0870C760"/>
    <w:rsid w:val="089A22A2"/>
    <w:rsid w:val="089C34E8"/>
    <w:rsid w:val="08A4CE7E"/>
    <w:rsid w:val="08A7453C"/>
    <w:rsid w:val="08B4C3F6"/>
    <w:rsid w:val="08C4ED31"/>
    <w:rsid w:val="08C56783"/>
    <w:rsid w:val="08C8FC0E"/>
    <w:rsid w:val="08F2198F"/>
    <w:rsid w:val="08FB7578"/>
    <w:rsid w:val="08FE5482"/>
    <w:rsid w:val="0905D736"/>
    <w:rsid w:val="091E0354"/>
    <w:rsid w:val="092E1E24"/>
    <w:rsid w:val="0935EA9D"/>
    <w:rsid w:val="093DDECB"/>
    <w:rsid w:val="0946CBEB"/>
    <w:rsid w:val="094A9336"/>
    <w:rsid w:val="094F1BD9"/>
    <w:rsid w:val="0953183D"/>
    <w:rsid w:val="09583269"/>
    <w:rsid w:val="0960D0C5"/>
    <w:rsid w:val="0965B32D"/>
    <w:rsid w:val="0965DD2D"/>
    <w:rsid w:val="0966B815"/>
    <w:rsid w:val="09686150"/>
    <w:rsid w:val="096BDA49"/>
    <w:rsid w:val="097830A1"/>
    <w:rsid w:val="09883834"/>
    <w:rsid w:val="0994EDD3"/>
    <w:rsid w:val="099E1DCF"/>
    <w:rsid w:val="09A36192"/>
    <w:rsid w:val="09B713FB"/>
    <w:rsid w:val="09BAF7E2"/>
    <w:rsid w:val="09C06857"/>
    <w:rsid w:val="09C51AE0"/>
    <w:rsid w:val="09CCC7E1"/>
    <w:rsid w:val="09D8EC53"/>
    <w:rsid w:val="09DBCFC1"/>
    <w:rsid w:val="09EFE67C"/>
    <w:rsid w:val="09FBFA7F"/>
    <w:rsid w:val="0A005033"/>
    <w:rsid w:val="0A040B20"/>
    <w:rsid w:val="0A07A233"/>
    <w:rsid w:val="0A0C0680"/>
    <w:rsid w:val="0A11B87B"/>
    <w:rsid w:val="0A185D3C"/>
    <w:rsid w:val="0A1B1E67"/>
    <w:rsid w:val="0A1C935C"/>
    <w:rsid w:val="0A1F7F8D"/>
    <w:rsid w:val="0A2EE92D"/>
    <w:rsid w:val="0A39EA9B"/>
    <w:rsid w:val="0A3B71CD"/>
    <w:rsid w:val="0A3E61DF"/>
    <w:rsid w:val="0A4672F2"/>
    <w:rsid w:val="0A67DC9C"/>
    <w:rsid w:val="0A74F598"/>
    <w:rsid w:val="0A7EAF49"/>
    <w:rsid w:val="0A8525C2"/>
    <w:rsid w:val="0A87E4BB"/>
    <w:rsid w:val="0A988448"/>
    <w:rsid w:val="0A9F819C"/>
    <w:rsid w:val="0AAB352C"/>
    <w:rsid w:val="0AB0FC35"/>
    <w:rsid w:val="0AB4183A"/>
    <w:rsid w:val="0AB643B9"/>
    <w:rsid w:val="0AB9C292"/>
    <w:rsid w:val="0ABCBE8B"/>
    <w:rsid w:val="0AC1E1AA"/>
    <w:rsid w:val="0AC91FE0"/>
    <w:rsid w:val="0ACD9B4E"/>
    <w:rsid w:val="0AD088D6"/>
    <w:rsid w:val="0AD727BB"/>
    <w:rsid w:val="0AE7E40B"/>
    <w:rsid w:val="0AF00589"/>
    <w:rsid w:val="0AF42E2C"/>
    <w:rsid w:val="0AF54789"/>
    <w:rsid w:val="0AF6486B"/>
    <w:rsid w:val="0AFB98AA"/>
    <w:rsid w:val="0B01BD97"/>
    <w:rsid w:val="0B077468"/>
    <w:rsid w:val="0B29A82A"/>
    <w:rsid w:val="0B2C1549"/>
    <w:rsid w:val="0B338FA6"/>
    <w:rsid w:val="0B3B1EB0"/>
    <w:rsid w:val="0B450929"/>
    <w:rsid w:val="0B4D91BD"/>
    <w:rsid w:val="0B500A46"/>
    <w:rsid w:val="0B56DE93"/>
    <w:rsid w:val="0B59CC94"/>
    <w:rsid w:val="0B5ED573"/>
    <w:rsid w:val="0B62F9B8"/>
    <w:rsid w:val="0B76FB5D"/>
    <w:rsid w:val="0B7E3FD3"/>
    <w:rsid w:val="0B869414"/>
    <w:rsid w:val="0B8B9060"/>
    <w:rsid w:val="0B8EBA34"/>
    <w:rsid w:val="0B968A80"/>
    <w:rsid w:val="0B9875AA"/>
    <w:rsid w:val="0BA1B884"/>
    <w:rsid w:val="0BB45EE0"/>
    <w:rsid w:val="0BB46197"/>
    <w:rsid w:val="0BB80E6E"/>
    <w:rsid w:val="0BC368B6"/>
    <w:rsid w:val="0BC86156"/>
    <w:rsid w:val="0BC95C10"/>
    <w:rsid w:val="0BCBCC40"/>
    <w:rsid w:val="0BE7032A"/>
    <w:rsid w:val="0BF5CAB0"/>
    <w:rsid w:val="0BF7753C"/>
    <w:rsid w:val="0BF9F6FD"/>
    <w:rsid w:val="0BFC3647"/>
    <w:rsid w:val="0BFE45FD"/>
    <w:rsid w:val="0C023323"/>
    <w:rsid w:val="0C0AA2DA"/>
    <w:rsid w:val="0C0AC00F"/>
    <w:rsid w:val="0C0CFBC2"/>
    <w:rsid w:val="0C197142"/>
    <w:rsid w:val="0C1E33F5"/>
    <w:rsid w:val="0C3CAFCD"/>
    <w:rsid w:val="0C47EA28"/>
    <w:rsid w:val="0C481747"/>
    <w:rsid w:val="0C4AF3F5"/>
    <w:rsid w:val="0C4B93CE"/>
    <w:rsid w:val="0C4F4463"/>
    <w:rsid w:val="0C62EE63"/>
    <w:rsid w:val="0C6566EF"/>
    <w:rsid w:val="0C6E5659"/>
    <w:rsid w:val="0C70214E"/>
    <w:rsid w:val="0C72F199"/>
    <w:rsid w:val="0C7B8C2D"/>
    <w:rsid w:val="0C817233"/>
    <w:rsid w:val="0C86F4BB"/>
    <w:rsid w:val="0C8D8C35"/>
    <w:rsid w:val="0C966187"/>
    <w:rsid w:val="0C9909F2"/>
    <w:rsid w:val="0CAC78ED"/>
    <w:rsid w:val="0CAF21C3"/>
    <w:rsid w:val="0CB6961C"/>
    <w:rsid w:val="0CCFEC60"/>
    <w:rsid w:val="0CD74A64"/>
    <w:rsid w:val="0CF0B9E1"/>
    <w:rsid w:val="0CF38B2F"/>
    <w:rsid w:val="0CF98863"/>
    <w:rsid w:val="0D0ADE38"/>
    <w:rsid w:val="0D1C14EC"/>
    <w:rsid w:val="0D2D2D5D"/>
    <w:rsid w:val="0D35711F"/>
    <w:rsid w:val="0D3D5BA5"/>
    <w:rsid w:val="0D4AEFFE"/>
    <w:rsid w:val="0D4AFA0A"/>
    <w:rsid w:val="0D4AFF14"/>
    <w:rsid w:val="0D4F90E4"/>
    <w:rsid w:val="0D55D9A6"/>
    <w:rsid w:val="0D617A40"/>
    <w:rsid w:val="0D65E2DE"/>
    <w:rsid w:val="0D6C67DF"/>
    <w:rsid w:val="0D70370C"/>
    <w:rsid w:val="0D71568D"/>
    <w:rsid w:val="0D755C85"/>
    <w:rsid w:val="0D757B6D"/>
    <w:rsid w:val="0D7E19C0"/>
    <w:rsid w:val="0D8C0D12"/>
    <w:rsid w:val="0D8DA66C"/>
    <w:rsid w:val="0D9A3FCD"/>
    <w:rsid w:val="0DA33584"/>
    <w:rsid w:val="0DB1F678"/>
    <w:rsid w:val="0DB2E849"/>
    <w:rsid w:val="0DB6152C"/>
    <w:rsid w:val="0DBEAEBD"/>
    <w:rsid w:val="0DBEF7C1"/>
    <w:rsid w:val="0DCC524A"/>
    <w:rsid w:val="0DD3152D"/>
    <w:rsid w:val="0DD6B1B1"/>
    <w:rsid w:val="0DDB0E91"/>
    <w:rsid w:val="0DDCC714"/>
    <w:rsid w:val="0DE3BA89"/>
    <w:rsid w:val="0DE4E3A2"/>
    <w:rsid w:val="0DE4FEE3"/>
    <w:rsid w:val="0DE77EB7"/>
    <w:rsid w:val="0E1D1E0A"/>
    <w:rsid w:val="0E25E235"/>
    <w:rsid w:val="0E35A71C"/>
    <w:rsid w:val="0E3A9A01"/>
    <w:rsid w:val="0E4CE378"/>
    <w:rsid w:val="0E4E0A96"/>
    <w:rsid w:val="0E54BE17"/>
    <w:rsid w:val="0E572599"/>
    <w:rsid w:val="0E5ADD0C"/>
    <w:rsid w:val="0E6FB705"/>
    <w:rsid w:val="0E73BD6F"/>
    <w:rsid w:val="0E7C5290"/>
    <w:rsid w:val="0E7F23C3"/>
    <w:rsid w:val="0E848CC2"/>
    <w:rsid w:val="0E87B49E"/>
    <w:rsid w:val="0E9F96B7"/>
    <w:rsid w:val="0EB40CE7"/>
    <w:rsid w:val="0EB54553"/>
    <w:rsid w:val="0EB67DF0"/>
    <w:rsid w:val="0EC686F8"/>
    <w:rsid w:val="0ECB12E7"/>
    <w:rsid w:val="0ECB9D37"/>
    <w:rsid w:val="0ECC95E7"/>
    <w:rsid w:val="0ECD3A9B"/>
    <w:rsid w:val="0ECFA138"/>
    <w:rsid w:val="0ED083CE"/>
    <w:rsid w:val="0EDA5348"/>
    <w:rsid w:val="0EEF431D"/>
    <w:rsid w:val="0EEF74E0"/>
    <w:rsid w:val="0EF3A904"/>
    <w:rsid w:val="0EF7849B"/>
    <w:rsid w:val="0EF99156"/>
    <w:rsid w:val="0F00586F"/>
    <w:rsid w:val="0F02A09A"/>
    <w:rsid w:val="0F082AE7"/>
    <w:rsid w:val="0F0C5091"/>
    <w:rsid w:val="0F0D5DCF"/>
    <w:rsid w:val="0F13DE5A"/>
    <w:rsid w:val="0F2BDFCC"/>
    <w:rsid w:val="0F2F660C"/>
    <w:rsid w:val="0F4043E3"/>
    <w:rsid w:val="0F55D4B7"/>
    <w:rsid w:val="0F5A4520"/>
    <w:rsid w:val="0F60637D"/>
    <w:rsid w:val="0F63158C"/>
    <w:rsid w:val="0F74B775"/>
    <w:rsid w:val="0F78E5AD"/>
    <w:rsid w:val="0F7B1D65"/>
    <w:rsid w:val="0F87940D"/>
    <w:rsid w:val="0F8B147D"/>
    <w:rsid w:val="0F992405"/>
    <w:rsid w:val="0F9AD0F2"/>
    <w:rsid w:val="0F9C8E67"/>
    <w:rsid w:val="0FA179B2"/>
    <w:rsid w:val="0FABDCEF"/>
    <w:rsid w:val="0FB604E8"/>
    <w:rsid w:val="0FBCF8F5"/>
    <w:rsid w:val="0FC34F26"/>
    <w:rsid w:val="0FC819CE"/>
    <w:rsid w:val="0FD4DF66"/>
    <w:rsid w:val="0FE95E8B"/>
    <w:rsid w:val="0FEB1538"/>
    <w:rsid w:val="0FF33B20"/>
    <w:rsid w:val="0FF559B4"/>
    <w:rsid w:val="0FF6C920"/>
    <w:rsid w:val="0FF9D988"/>
    <w:rsid w:val="10019879"/>
    <w:rsid w:val="10120EAE"/>
    <w:rsid w:val="101699FE"/>
    <w:rsid w:val="10207F1D"/>
    <w:rsid w:val="103E135E"/>
    <w:rsid w:val="103E1ECD"/>
    <w:rsid w:val="104171A9"/>
    <w:rsid w:val="104421B5"/>
    <w:rsid w:val="104975CE"/>
    <w:rsid w:val="104C59D8"/>
    <w:rsid w:val="105B006C"/>
    <w:rsid w:val="105F4CCF"/>
    <w:rsid w:val="10611933"/>
    <w:rsid w:val="1064BBA8"/>
    <w:rsid w:val="10696268"/>
    <w:rsid w:val="1073EF80"/>
    <w:rsid w:val="1078657E"/>
    <w:rsid w:val="108AFBF2"/>
    <w:rsid w:val="1090B10F"/>
    <w:rsid w:val="10959659"/>
    <w:rsid w:val="109668E3"/>
    <w:rsid w:val="10A1169C"/>
    <w:rsid w:val="10ABD9EA"/>
    <w:rsid w:val="10AC69F3"/>
    <w:rsid w:val="10BA95F1"/>
    <w:rsid w:val="10BED720"/>
    <w:rsid w:val="10BF518D"/>
    <w:rsid w:val="10D9D736"/>
    <w:rsid w:val="10DDCBBA"/>
    <w:rsid w:val="10DE9164"/>
    <w:rsid w:val="10EA67B6"/>
    <w:rsid w:val="10EA8771"/>
    <w:rsid w:val="10EE3EF2"/>
    <w:rsid w:val="110EBB79"/>
    <w:rsid w:val="11116D0B"/>
    <w:rsid w:val="111AF5E3"/>
    <w:rsid w:val="111B5B4B"/>
    <w:rsid w:val="111D73C2"/>
    <w:rsid w:val="111E30A4"/>
    <w:rsid w:val="11320A5E"/>
    <w:rsid w:val="11664E45"/>
    <w:rsid w:val="117D384C"/>
    <w:rsid w:val="11825BCB"/>
    <w:rsid w:val="1185D6D5"/>
    <w:rsid w:val="118E79DF"/>
    <w:rsid w:val="1193750D"/>
    <w:rsid w:val="11961A8C"/>
    <w:rsid w:val="119C4828"/>
    <w:rsid w:val="11A894FE"/>
    <w:rsid w:val="11AE3BEF"/>
    <w:rsid w:val="11B9EAE1"/>
    <w:rsid w:val="11C271E0"/>
    <w:rsid w:val="11C85FAD"/>
    <w:rsid w:val="11CC35C4"/>
    <w:rsid w:val="11CFDE79"/>
    <w:rsid w:val="11D8EB8A"/>
    <w:rsid w:val="11DD68F8"/>
    <w:rsid w:val="11F6A347"/>
    <w:rsid w:val="12078660"/>
    <w:rsid w:val="121557C2"/>
    <w:rsid w:val="121A62F4"/>
    <w:rsid w:val="122B8F1D"/>
    <w:rsid w:val="1230921D"/>
    <w:rsid w:val="12340880"/>
    <w:rsid w:val="1239972F"/>
    <w:rsid w:val="123A8AB0"/>
    <w:rsid w:val="1248CDA8"/>
    <w:rsid w:val="124973C4"/>
    <w:rsid w:val="124B7F1C"/>
    <w:rsid w:val="125F6A0B"/>
    <w:rsid w:val="127E3B84"/>
    <w:rsid w:val="1286AAD2"/>
    <w:rsid w:val="1288F0E7"/>
    <w:rsid w:val="128E3F69"/>
    <w:rsid w:val="129F306D"/>
    <w:rsid w:val="12B5FA9C"/>
    <w:rsid w:val="12B72BAC"/>
    <w:rsid w:val="12B8A241"/>
    <w:rsid w:val="12C307A0"/>
    <w:rsid w:val="12CDEFB7"/>
    <w:rsid w:val="12D4B113"/>
    <w:rsid w:val="12FA6B48"/>
    <w:rsid w:val="12FD14E4"/>
    <w:rsid w:val="13058B18"/>
    <w:rsid w:val="13136C85"/>
    <w:rsid w:val="13150ACA"/>
    <w:rsid w:val="131A51A8"/>
    <w:rsid w:val="132F87C0"/>
    <w:rsid w:val="13338B73"/>
    <w:rsid w:val="1339838F"/>
    <w:rsid w:val="1345693B"/>
    <w:rsid w:val="134ECAB6"/>
    <w:rsid w:val="1351F67E"/>
    <w:rsid w:val="1358212D"/>
    <w:rsid w:val="135D5FD7"/>
    <w:rsid w:val="137773C1"/>
    <w:rsid w:val="138EF817"/>
    <w:rsid w:val="138F4AF5"/>
    <w:rsid w:val="139177CB"/>
    <w:rsid w:val="139C9CC2"/>
    <w:rsid w:val="139CB05A"/>
    <w:rsid w:val="13A06394"/>
    <w:rsid w:val="13A50A03"/>
    <w:rsid w:val="13ACA27E"/>
    <w:rsid w:val="13AE251D"/>
    <w:rsid w:val="13B1E01D"/>
    <w:rsid w:val="13B25D89"/>
    <w:rsid w:val="13B2A4DD"/>
    <w:rsid w:val="13B40575"/>
    <w:rsid w:val="13BCA046"/>
    <w:rsid w:val="13BF9B42"/>
    <w:rsid w:val="13C5155B"/>
    <w:rsid w:val="13D34D7E"/>
    <w:rsid w:val="13D5160F"/>
    <w:rsid w:val="13DB4B85"/>
    <w:rsid w:val="13E1F6CD"/>
    <w:rsid w:val="13E2DB59"/>
    <w:rsid w:val="13ED430E"/>
    <w:rsid w:val="13EF1826"/>
    <w:rsid w:val="13FB5A6B"/>
    <w:rsid w:val="13FC6F89"/>
    <w:rsid w:val="1406AFB4"/>
    <w:rsid w:val="140A5DA9"/>
    <w:rsid w:val="140CF6FB"/>
    <w:rsid w:val="140E1F36"/>
    <w:rsid w:val="141295CA"/>
    <w:rsid w:val="1412B734"/>
    <w:rsid w:val="142A0FCA"/>
    <w:rsid w:val="142EF794"/>
    <w:rsid w:val="143B7DCB"/>
    <w:rsid w:val="14481353"/>
    <w:rsid w:val="14577F0A"/>
    <w:rsid w:val="14588E06"/>
    <w:rsid w:val="145D83E1"/>
    <w:rsid w:val="14737FEB"/>
    <w:rsid w:val="14756D3B"/>
    <w:rsid w:val="147F3B4A"/>
    <w:rsid w:val="1485DE51"/>
    <w:rsid w:val="148C4D00"/>
    <w:rsid w:val="1499A3E7"/>
    <w:rsid w:val="14AC9D01"/>
    <w:rsid w:val="14BC6182"/>
    <w:rsid w:val="14BFDC58"/>
    <w:rsid w:val="14C4C47D"/>
    <w:rsid w:val="14C50B73"/>
    <w:rsid w:val="14C78428"/>
    <w:rsid w:val="14CE3A9B"/>
    <w:rsid w:val="14DCB500"/>
    <w:rsid w:val="14E1258D"/>
    <w:rsid w:val="14E8FE7D"/>
    <w:rsid w:val="14EC5583"/>
    <w:rsid w:val="14EF8953"/>
    <w:rsid w:val="14FBD045"/>
    <w:rsid w:val="15034213"/>
    <w:rsid w:val="150978AF"/>
    <w:rsid w:val="150E12C9"/>
    <w:rsid w:val="15152BB7"/>
    <w:rsid w:val="152E3528"/>
    <w:rsid w:val="1545481F"/>
    <w:rsid w:val="15463A68"/>
    <w:rsid w:val="154BE006"/>
    <w:rsid w:val="154D23CB"/>
    <w:rsid w:val="1551476B"/>
    <w:rsid w:val="155F41B3"/>
    <w:rsid w:val="15616CA7"/>
    <w:rsid w:val="15806824"/>
    <w:rsid w:val="15903097"/>
    <w:rsid w:val="15928EFB"/>
    <w:rsid w:val="15A51B7C"/>
    <w:rsid w:val="15A69EBF"/>
    <w:rsid w:val="15A7A057"/>
    <w:rsid w:val="15B50075"/>
    <w:rsid w:val="15B582DC"/>
    <w:rsid w:val="15BDC06B"/>
    <w:rsid w:val="15C31AFC"/>
    <w:rsid w:val="15CB1BD7"/>
    <w:rsid w:val="15D2C814"/>
    <w:rsid w:val="15D5F1AA"/>
    <w:rsid w:val="15DE9C8C"/>
    <w:rsid w:val="15EE14AC"/>
    <w:rsid w:val="15F2E58A"/>
    <w:rsid w:val="16081016"/>
    <w:rsid w:val="161A1F33"/>
    <w:rsid w:val="161E6095"/>
    <w:rsid w:val="161F44FB"/>
    <w:rsid w:val="1623CF62"/>
    <w:rsid w:val="162E00AA"/>
    <w:rsid w:val="163424F7"/>
    <w:rsid w:val="1636049E"/>
    <w:rsid w:val="163A41AA"/>
    <w:rsid w:val="164582FB"/>
    <w:rsid w:val="164D5F0F"/>
    <w:rsid w:val="1652D25F"/>
    <w:rsid w:val="1664BD22"/>
    <w:rsid w:val="16670E04"/>
    <w:rsid w:val="166CAB45"/>
    <w:rsid w:val="16876C5C"/>
    <w:rsid w:val="169EB1C5"/>
    <w:rsid w:val="16A05469"/>
    <w:rsid w:val="16A211FB"/>
    <w:rsid w:val="16A24FC2"/>
    <w:rsid w:val="16B7453E"/>
    <w:rsid w:val="16BB2B3D"/>
    <w:rsid w:val="16BB4379"/>
    <w:rsid w:val="16C59E7B"/>
    <w:rsid w:val="16C9D04C"/>
    <w:rsid w:val="16CC59D9"/>
    <w:rsid w:val="16CDAA25"/>
    <w:rsid w:val="16E4958E"/>
    <w:rsid w:val="16E8ACD6"/>
    <w:rsid w:val="16E95F2A"/>
    <w:rsid w:val="16F9E658"/>
    <w:rsid w:val="16FCEEB0"/>
    <w:rsid w:val="16FF9EF6"/>
    <w:rsid w:val="1705442E"/>
    <w:rsid w:val="170A4BCF"/>
    <w:rsid w:val="171C3ECB"/>
    <w:rsid w:val="1722745C"/>
    <w:rsid w:val="17254432"/>
    <w:rsid w:val="17256F49"/>
    <w:rsid w:val="173F76EF"/>
    <w:rsid w:val="1740E747"/>
    <w:rsid w:val="174F6303"/>
    <w:rsid w:val="17571F3A"/>
    <w:rsid w:val="1761B08C"/>
    <w:rsid w:val="176BF5CE"/>
    <w:rsid w:val="176FBE26"/>
    <w:rsid w:val="1781281D"/>
    <w:rsid w:val="178230BD"/>
    <w:rsid w:val="17831791"/>
    <w:rsid w:val="179E26E2"/>
    <w:rsid w:val="17B5B262"/>
    <w:rsid w:val="17BB585B"/>
    <w:rsid w:val="17BCCE9D"/>
    <w:rsid w:val="17BDB642"/>
    <w:rsid w:val="17BED2F9"/>
    <w:rsid w:val="17C48E44"/>
    <w:rsid w:val="17C7B9D4"/>
    <w:rsid w:val="17D03C5C"/>
    <w:rsid w:val="17DD145A"/>
    <w:rsid w:val="17E0D0B2"/>
    <w:rsid w:val="17E4452A"/>
    <w:rsid w:val="1801943E"/>
    <w:rsid w:val="18149743"/>
    <w:rsid w:val="182A6FF4"/>
    <w:rsid w:val="1837184B"/>
    <w:rsid w:val="18492543"/>
    <w:rsid w:val="18522E25"/>
    <w:rsid w:val="18545AF2"/>
    <w:rsid w:val="1854DDA1"/>
    <w:rsid w:val="1857269E"/>
    <w:rsid w:val="18603875"/>
    <w:rsid w:val="186345E2"/>
    <w:rsid w:val="18659519"/>
    <w:rsid w:val="1877B8C5"/>
    <w:rsid w:val="187ECF9C"/>
    <w:rsid w:val="188E8902"/>
    <w:rsid w:val="1892D855"/>
    <w:rsid w:val="1893D744"/>
    <w:rsid w:val="18972E42"/>
    <w:rsid w:val="18A19115"/>
    <w:rsid w:val="18B228F2"/>
    <w:rsid w:val="18B5A252"/>
    <w:rsid w:val="18BCBF1A"/>
    <w:rsid w:val="18C06925"/>
    <w:rsid w:val="18D9FB42"/>
    <w:rsid w:val="18F3641D"/>
    <w:rsid w:val="18F76562"/>
    <w:rsid w:val="1904A483"/>
    <w:rsid w:val="1904F249"/>
    <w:rsid w:val="19055329"/>
    <w:rsid w:val="1907CB76"/>
    <w:rsid w:val="19084BEB"/>
    <w:rsid w:val="1909F431"/>
    <w:rsid w:val="19160358"/>
    <w:rsid w:val="19171796"/>
    <w:rsid w:val="19218BC0"/>
    <w:rsid w:val="192BD263"/>
    <w:rsid w:val="192EBA60"/>
    <w:rsid w:val="1930F504"/>
    <w:rsid w:val="193A3989"/>
    <w:rsid w:val="193DD9BD"/>
    <w:rsid w:val="1942FC77"/>
    <w:rsid w:val="195D33BF"/>
    <w:rsid w:val="196B0878"/>
    <w:rsid w:val="196B1BA6"/>
    <w:rsid w:val="1972F56E"/>
    <w:rsid w:val="19746D8C"/>
    <w:rsid w:val="197AF71B"/>
    <w:rsid w:val="197E947D"/>
    <w:rsid w:val="19859953"/>
    <w:rsid w:val="1986AA4C"/>
    <w:rsid w:val="198BD2E9"/>
    <w:rsid w:val="19A2B9CB"/>
    <w:rsid w:val="19A706B0"/>
    <w:rsid w:val="19A8E267"/>
    <w:rsid w:val="19AC783B"/>
    <w:rsid w:val="19B16B1C"/>
    <w:rsid w:val="19BB6059"/>
    <w:rsid w:val="19BF315D"/>
    <w:rsid w:val="19C0F948"/>
    <w:rsid w:val="19C5EFF9"/>
    <w:rsid w:val="19C9BA1F"/>
    <w:rsid w:val="19D555C0"/>
    <w:rsid w:val="19E18898"/>
    <w:rsid w:val="19EEE600"/>
    <w:rsid w:val="19FCC364"/>
    <w:rsid w:val="1A0F819E"/>
    <w:rsid w:val="1A11637D"/>
    <w:rsid w:val="1A11E554"/>
    <w:rsid w:val="1A19A99D"/>
    <w:rsid w:val="1A1AC1FE"/>
    <w:rsid w:val="1A382735"/>
    <w:rsid w:val="1A42D83F"/>
    <w:rsid w:val="1A4365F2"/>
    <w:rsid w:val="1A4480A7"/>
    <w:rsid w:val="1A4B1D6D"/>
    <w:rsid w:val="1A53BB4B"/>
    <w:rsid w:val="1A57F5D4"/>
    <w:rsid w:val="1A5D9AAA"/>
    <w:rsid w:val="1A6630D2"/>
    <w:rsid w:val="1A6AB0FD"/>
    <w:rsid w:val="1A6C2154"/>
    <w:rsid w:val="1A728173"/>
    <w:rsid w:val="1A792C2E"/>
    <w:rsid w:val="1A7A59DF"/>
    <w:rsid w:val="1A82BCAF"/>
    <w:rsid w:val="1A89425C"/>
    <w:rsid w:val="1A8A5702"/>
    <w:rsid w:val="1A8ABA63"/>
    <w:rsid w:val="1A90508C"/>
    <w:rsid w:val="1A9C567D"/>
    <w:rsid w:val="1AA69133"/>
    <w:rsid w:val="1AB9227E"/>
    <w:rsid w:val="1ABB8A57"/>
    <w:rsid w:val="1AD05D32"/>
    <w:rsid w:val="1AD5AC38"/>
    <w:rsid w:val="1AD7B9B2"/>
    <w:rsid w:val="1AD8D62A"/>
    <w:rsid w:val="1AF33E7F"/>
    <w:rsid w:val="1AF7CDAB"/>
    <w:rsid w:val="1AFCED6C"/>
    <w:rsid w:val="1AFDAFB9"/>
    <w:rsid w:val="1AFF72D1"/>
    <w:rsid w:val="1B096E09"/>
    <w:rsid w:val="1B0E63B0"/>
    <w:rsid w:val="1B18CEF2"/>
    <w:rsid w:val="1B1B7473"/>
    <w:rsid w:val="1B25A8DE"/>
    <w:rsid w:val="1B2F82F0"/>
    <w:rsid w:val="1B3A6674"/>
    <w:rsid w:val="1B44BA2F"/>
    <w:rsid w:val="1B582750"/>
    <w:rsid w:val="1B6C372F"/>
    <w:rsid w:val="1B755E73"/>
    <w:rsid w:val="1B76D6AE"/>
    <w:rsid w:val="1B8AC5AA"/>
    <w:rsid w:val="1B8BC1A9"/>
    <w:rsid w:val="1B913179"/>
    <w:rsid w:val="1B9B5B75"/>
    <w:rsid w:val="1BAE3573"/>
    <w:rsid w:val="1BAFE6A7"/>
    <w:rsid w:val="1BBB9EFB"/>
    <w:rsid w:val="1BC44E26"/>
    <w:rsid w:val="1BCAE04B"/>
    <w:rsid w:val="1BD7741F"/>
    <w:rsid w:val="1BDF98ED"/>
    <w:rsid w:val="1BED8EA5"/>
    <w:rsid w:val="1BF3DC45"/>
    <w:rsid w:val="1C09570C"/>
    <w:rsid w:val="1C0EA9D9"/>
    <w:rsid w:val="1C119B40"/>
    <w:rsid w:val="1C15845E"/>
    <w:rsid w:val="1C1653B4"/>
    <w:rsid w:val="1C1B349B"/>
    <w:rsid w:val="1C2C08A2"/>
    <w:rsid w:val="1C2F0624"/>
    <w:rsid w:val="1C3C4545"/>
    <w:rsid w:val="1C4D64A9"/>
    <w:rsid w:val="1C525530"/>
    <w:rsid w:val="1C65D4C4"/>
    <w:rsid w:val="1C724630"/>
    <w:rsid w:val="1C7D93C4"/>
    <w:rsid w:val="1C803F1A"/>
    <w:rsid w:val="1C9DA7A8"/>
    <w:rsid w:val="1CB6474B"/>
    <w:rsid w:val="1CB6BB1A"/>
    <w:rsid w:val="1CC28F91"/>
    <w:rsid w:val="1CC55FBC"/>
    <w:rsid w:val="1CD8476A"/>
    <w:rsid w:val="1CDB6415"/>
    <w:rsid w:val="1CE05E3E"/>
    <w:rsid w:val="1CF31A44"/>
    <w:rsid w:val="1CFAFB9C"/>
    <w:rsid w:val="1D0716BD"/>
    <w:rsid w:val="1D0E899F"/>
    <w:rsid w:val="1D1382D5"/>
    <w:rsid w:val="1D1A0FFE"/>
    <w:rsid w:val="1D255FD5"/>
    <w:rsid w:val="1D277E55"/>
    <w:rsid w:val="1D27DE68"/>
    <w:rsid w:val="1D3249B0"/>
    <w:rsid w:val="1D3D37AE"/>
    <w:rsid w:val="1D409541"/>
    <w:rsid w:val="1D4DED08"/>
    <w:rsid w:val="1D4E035F"/>
    <w:rsid w:val="1D5D790A"/>
    <w:rsid w:val="1D5FA60A"/>
    <w:rsid w:val="1D6F11F2"/>
    <w:rsid w:val="1D6F9189"/>
    <w:rsid w:val="1D73F503"/>
    <w:rsid w:val="1D8B3131"/>
    <w:rsid w:val="1D8B804F"/>
    <w:rsid w:val="1D8D3E00"/>
    <w:rsid w:val="1D9F4296"/>
    <w:rsid w:val="1DA61433"/>
    <w:rsid w:val="1DB17E2F"/>
    <w:rsid w:val="1DC0B7DD"/>
    <w:rsid w:val="1DD0F210"/>
    <w:rsid w:val="1DD815A6"/>
    <w:rsid w:val="1DDACA48"/>
    <w:rsid w:val="1DED008B"/>
    <w:rsid w:val="1E02B57F"/>
    <w:rsid w:val="1E046627"/>
    <w:rsid w:val="1E05924A"/>
    <w:rsid w:val="1E0BADF8"/>
    <w:rsid w:val="1E136EBA"/>
    <w:rsid w:val="1E1C77D3"/>
    <w:rsid w:val="1E1CA774"/>
    <w:rsid w:val="1E210F5C"/>
    <w:rsid w:val="1E2E74B1"/>
    <w:rsid w:val="1E519F89"/>
    <w:rsid w:val="1E7382F4"/>
    <w:rsid w:val="1E7F37FD"/>
    <w:rsid w:val="1E810806"/>
    <w:rsid w:val="1E92C58D"/>
    <w:rsid w:val="1EA3B36E"/>
    <w:rsid w:val="1EAA65A9"/>
    <w:rsid w:val="1EAF7288"/>
    <w:rsid w:val="1EB267F5"/>
    <w:rsid w:val="1EC00D91"/>
    <w:rsid w:val="1EC88439"/>
    <w:rsid w:val="1ED1676B"/>
    <w:rsid w:val="1ED1A2D2"/>
    <w:rsid w:val="1ED318E3"/>
    <w:rsid w:val="1ED3898D"/>
    <w:rsid w:val="1ED69E66"/>
    <w:rsid w:val="1EF3BD76"/>
    <w:rsid w:val="1EF7FF36"/>
    <w:rsid w:val="1EFE2EBF"/>
    <w:rsid w:val="1F01E556"/>
    <w:rsid w:val="1F024CF0"/>
    <w:rsid w:val="1F080136"/>
    <w:rsid w:val="1F0BD18C"/>
    <w:rsid w:val="1F0E8097"/>
    <w:rsid w:val="1F2E0F21"/>
    <w:rsid w:val="1F4665F8"/>
    <w:rsid w:val="1F4DE53F"/>
    <w:rsid w:val="1F518F33"/>
    <w:rsid w:val="1F55884C"/>
    <w:rsid w:val="1F55E5F6"/>
    <w:rsid w:val="1F6B7C4F"/>
    <w:rsid w:val="1F6C8740"/>
    <w:rsid w:val="1F7965D9"/>
    <w:rsid w:val="1F7BF5FA"/>
    <w:rsid w:val="1F86779C"/>
    <w:rsid w:val="1F898651"/>
    <w:rsid w:val="1F907B57"/>
    <w:rsid w:val="1F9C71F2"/>
    <w:rsid w:val="1FB26AF6"/>
    <w:rsid w:val="1FB7A4E3"/>
    <w:rsid w:val="1FBF7006"/>
    <w:rsid w:val="1FCBF3C7"/>
    <w:rsid w:val="1FD89942"/>
    <w:rsid w:val="1FDF847C"/>
    <w:rsid w:val="1FE246A4"/>
    <w:rsid w:val="1FEA199C"/>
    <w:rsid w:val="1FEC3AFE"/>
    <w:rsid w:val="1FFACC19"/>
    <w:rsid w:val="1FFCB982"/>
    <w:rsid w:val="1FFE4920"/>
    <w:rsid w:val="20020D7C"/>
    <w:rsid w:val="200C6325"/>
    <w:rsid w:val="201A766E"/>
    <w:rsid w:val="2023271D"/>
    <w:rsid w:val="20453251"/>
    <w:rsid w:val="204A8424"/>
    <w:rsid w:val="205507EA"/>
    <w:rsid w:val="206701D5"/>
    <w:rsid w:val="20690F76"/>
    <w:rsid w:val="206CD453"/>
    <w:rsid w:val="20721BAD"/>
    <w:rsid w:val="2076DAD1"/>
    <w:rsid w:val="2077194B"/>
    <w:rsid w:val="2079F058"/>
    <w:rsid w:val="207EE719"/>
    <w:rsid w:val="208E3B23"/>
    <w:rsid w:val="208F2755"/>
    <w:rsid w:val="2099C58F"/>
    <w:rsid w:val="20A5E165"/>
    <w:rsid w:val="20BF0138"/>
    <w:rsid w:val="20C01A05"/>
    <w:rsid w:val="20C9D80F"/>
    <w:rsid w:val="20CBB46E"/>
    <w:rsid w:val="20D1DFC3"/>
    <w:rsid w:val="20D8A5AE"/>
    <w:rsid w:val="20DA131B"/>
    <w:rsid w:val="20E5DC69"/>
    <w:rsid w:val="20E94FD5"/>
    <w:rsid w:val="20F927C2"/>
    <w:rsid w:val="20FAC16F"/>
    <w:rsid w:val="20FB5FCF"/>
    <w:rsid w:val="2100B138"/>
    <w:rsid w:val="210517B8"/>
    <w:rsid w:val="210892D2"/>
    <w:rsid w:val="21122BC7"/>
    <w:rsid w:val="2113AA1D"/>
    <w:rsid w:val="21235B4F"/>
    <w:rsid w:val="212832F4"/>
    <w:rsid w:val="212A981D"/>
    <w:rsid w:val="2135BE60"/>
    <w:rsid w:val="213CD380"/>
    <w:rsid w:val="214CA12D"/>
    <w:rsid w:val="21594E20"/>
    <w:rsid w:val="217272D4"/>
    <w:rsid w:val="21733013"/>
    <w:rsid w:val="217395BB"/>
    <w:rsid w:val="2174C05F"/>
    <w:rsid w:val="217F7F71"/>
    <w:rsid w:val="218AFDA3"/>
    <w:rsid w:val="218E845B"/>
    <w:rsid w:val="2196F38E"/>
    <w:rsid w:val="2197125A"/>
    <w:rsid w:val="21B0707C"/>
    <w:rsid w:val="21B43CCE"/>
    <w:rsid w:val="21C713D3"/>
    <w:rsid w:val="21D12B0F"/>
    <w:rsid w:val="21D3AF14"/>
    <w:rsid w:val="21D93871"/>
    <w:rsid w:val="21DFF05E"/>
    <w:rsid w:val="21E102B2"/>
    <w:rsid w:val="21E83991"/>
    <w:rsid w:val="21EC8C91"/>
    <w:rsid w:val="21EF16EC"/>
    <w:rsid w:val="21FD7343"/>
    <w:rsid w:val="2204385E"/>
    <w:rsid w:val="22163076"/>
    <w:rsid w:val="2220EC06"/>
    <w:rsid w:val="22223B79"/>
    <w:rsid w:val="222913D5"/>
    <w:rsid w:val="2233A21B"/>
    <w:rsid w:val="224286FF"/>
    <w:rsid w:val="225226EB"/>
    <w:rsid w:val="226E1A07"/>
    <w:rsid w:val="22756285"/>
    <w:rsid w:val="22882A6A"/>
    <w:rsid w:val="228F2C2C"/>
    <w:rsid w:val="2292F3AE"/>
    <w:rsid w:val="229E08CB"/>
    <w:rsid w:val="22CD1C0A"/>
    <w:rsid w:val="22D8FEBB"/>
    <w:rsid w:val="22D907E6"/>
    <w:rsid w:val="22DBBEF0"/>
    <w:rsid w:val="22EEB733"/>
    <w:rsid w:val="2305EA67"/>
    <w:rsid w:val="230A2956"/>
    <w:rsid w:val="23220385"/>
    <w:rsid w:val="232FBB14"/>
    <w:rsid w:val="2330B3F4"/>
    <w:rsid w:val="233A5D54"/>
    <w:rsid w:val="233C1BD4"/>
    <w:rsid w:val="233DFEF3"/>
    <w:rsid w:val="2349DD96"/>
    <w:rsid w:val="234B4F39"/>
    <w:rsid w:val="234F11B7"/>
    <w:rsid w:val="2357A0F8"/>
    <w:rsid w:val="235A9BE4"/>
    <w:rsid w:val="2365F56E"/>
    <w:rsid w:val="236EE518"/>
    <w:rsid w:val="237CD313"/>
    <w:rsid w:val="237D6D22"/>
    <w:rsid w:val="23A6999A"/>
    <w:rsid w:val="23A7EA0C"/>
    <w:rsid w:val="23A9CB21"/>
    <w:rsid w:val="23B93A4F"/>
    <w:rsid w:val="23C30250"/>
    <w:rsid w:val="23D60D5C"/>
    <w:rsid w:val="23F20276"/>
    <w:rsid w:val="24046367"/>
    <w:rsid w:val="2407A745"/>
    <w:rsid w:val="2407E2ED"/>
    <w:rsid w:val="240A248F"/>
    <w:rsid w:val="24160BDC"/>
    <w:rsid w:val="241A00D0"/>
    <w:rsid w:val="241AC74E"/>
    <w:rsid w:val="2424F40D"/>
    <w:rsid w:val="2445D4EF"/>
    <w:rsid w:val="2449B4DB"/>
    <w:rsid w:val="24534632"/>
    <w:rsid w:val="24583B15"/>
    <w:rsid w:val="2461289B"/>
    <w:rsid w:val="246152E2"/>
    <w:rsid w:val="2468191A"/>
    <w:rsid w:val="2473A7AB"/>
    <w:rsid w:val="2477741F"/>
    <w:rsid w:val="247C057B"/>
    <w:rsid w:val="247F7803"/>
    <w:rsid w:val="24927E3D"/>
    <w:rsid w:val="24A93BE5"/>
    <w:rsid w:val="24AB668A"/>
    <w:rsid w:val="24ABD727"/>
    <w:rsid w:val="24B65C73"/>
    <w:rsid w:val="24C34C93"/>
    <w:rsid w:val="24C9547F"/>
    <w:rsid w:val="24CDD7F1"/>
    <w:rsid w:val="24D9D27E"/>
    <w:rsid w:val="24DB7C54"/>
    <w:rsid w:val="24DF1DC5"/>
    <w:rsid w:val="24F59F35"/>
    <w:rsid w:val="24FD5DF5"/>
    <w:rsid w:val="2505A80A"/>
    <w:rsid w:val="251602A9"/>
    <w:rsid w:val="2520DF3A"/>
    <w:rsid w:val="25274B3E"/>
    <w:rsid w:val="2536A5C5"/>
    <w:rsid w:val="253987B4"/>
    <w:rsid w:val="2540110E"/>
    <w:rsid w:val="25404732"/>
    <w:rsid w:val="2546BBDA"/>
    <w:rsid w:val="254D9FA0"/>
    <w:rsid w:val="254E2813"/>
    <w:rsid w:val="255C1FD2"/>
    <w:rsid w:val="25694E32"/>
    <w:rsid w:val="256B6607"/>
    <w:rsid w:val="256DFEEC"/>
    <w:rsid w:val="25705884"/>
    <w:rsid w:val="2572E071"/>
    <w:rsid w:val="257913E1"/>
    <w:rsid w:val="257AB6BB"/>
    <w:rsid w:val="2583C386"/>
    <w:rsid w:val="259D132F"/>
    <w:rsid w:val="25B15978"/>
    <w:rsid w:val="25B9D435"/>
    <w:rsid w:val="25BA2B4D"/>
    <w:rsid w:val="25C1E444"/>
    <w:rsid w:val="25C7A705"/>
    <w:rsid w:val="25D2028A"/>
    <w:rsid w:val="25D8C987"/>
    <w:rsid w:val="25DC11D2"/>
    <w:rsid w:val="25E9CD1C"/>
    <w:rsid w:val="25EDA960"/>
    <w:rsid w:val="25F4FB53"/>
    <w:rsid w:val="25F5B664"/>
    <w:rsid w:val="25F63E5F"/>
    <w:rsid w:val="25FCC8C9"/>
    <w:rsid w:val="25FE1170"/>
    <w:rsid w:val="26023679"/>
    <w:rsid w:val="26027BA0"/>
    <w:rsid w:val="260F780C"/>
    <w:rsid w:val="261073F1"/>
    <w:rsid w:val="26130FBB"/>
    <w:rsid w:val="261B63C2"/>
    <w:rsid w:val="26243B67"/>
    <w:rsid w:val="2631BC3D"/>
    <w:rsid w:val="2634FB54"/>
    <w:rsid w:val="2639EBD5"/>
    <w:rsid w:val="263E3ABC"/>
    <w:rsid w:val="2648F94E"/>
    <w:rsid w:val="2659849D"/>
    <w:rsid w:val="265BC0E1"/>
    <w:rsid w:val="265FE88B"/>
    <w:rsid w:val="26847C8C"/>
    <w:rsid w:val="26861A96"/>
    <w:rsid w:val="26893AF0"/>
    <w:rsid w:val="26896BA1"/>
    <w:rsid w:val="268DD5CF"/>
    <w:rsid w:val="26961DCD"/>
    <w:rsid w:val="2699E2F0"/>
    <w:rsid w:val="26A24FC8"/>
    <w:rsid w:val="26AC88AD"/>
    <w:rsid w:val="26ACE865"/>
    <w:rsid w:val="26AE9F5B"/>
    <w:rsid w:val="26B3586E"/>
    <w:rsid w:val="26BC4210"/>
    <w:rsid w:val="26C59497"/>
    <w:rsid w:val="26CB6019"/>
    <w:rsid w:val="26CB6632"/>
    <w:rsid w:val="26D4FF02"/>
    <w:rsid w:val="26FA6AEC"/>
    <w:rsid w:val="26FEE3A7"/>
    <w:rsid w:val="27137374"/>
    <w:rsid w:val="2721D8CB"/>
    <w:rsid w:val="2722687D"/>
    <w:rsid w:val="272A674D"/>
    <w:rsid w:val="272CA955"/>
    <w:rsid w:val="27314E1C"/>
    <w:rsid w:val="27323B18"/>
    <w:rsid w:val="27396FA1"/>
    <w:rsid w:val="27478983"/>
    <w:rsid w:val="2749E623"/>
    <w:rsid w:val="27501F67"/>
    <w:rsid w:val="2751ED04"/>
    <w:rsid w:val="275DCFDF"/>
    <w:rsid w:val="275F037E"/>
    <w:rsid w:val="2785EF59"/>
    <w:rsid w:val="278810EC"/>
    <w:rsid w:val="27895DDE"/>
    <w:rsid w:val="278D5740"/>
    <w:rsid w:val="2799A89E"/>
    <w:rsid w:val="279EA7D9"/>
    <w:rsid w:val="27A910B1"/>
    <w:rsid w:val="27AB486D"/>
    <w:rsid w:val="27BF8F9A"/>
    <w:rsid w:val="27BFDA1F"/>
    <w:rsid w:val="27D1843D"/>
    <w:rsid w:val="27DC9CD3"/>
    <w:rsid w:val="27DF2DA6"/>
    <w:rsid w:val="27F1DCB1"/>
    <w:rsid w:val="2806F525"/>
    <w:rsid w:val="28098E4F"/>
    <w:rsid w:val="28105501"/>
    <w:rsid w:val="281A6E0A"/>
    <w:rsid w:val="2823CAD8"/>
    <w:rsid w:val="282FD9A8"/>
    <w:rsid w:val="28504436"/>
    <w:rsid w:val="285146FC"/>
    <w:rsid w:val="2857D3FE"/>
    <w:rsid w:val="28590377"/>
    <w:rsid w:val="2861F005"/>
    <w:rsid w:val="28673693"/>
    <w:rsid w:val="2867A2D5"/>
    <w:rsid w:val="2879F3A2"/>
    <w:rsid w:val="287E0A80"/>
    <w:rsid w:val="2881EA94"/>
    <w:rsid w:val="288583AD"/>
    <w:rsid w:val="289FF6B2"/>
    <w:rsid w:val="28B2B03E"/>
    <w:rsid w:val="28C5679C"/>
    <w:rsid w:val="28D1B511"/>
    <w:rsid w:val="28D1C540"/>
    <w:rsid w:val="28D50D08"/>
    <w:rsid w:val="28EAA4A5"/>
    <w:rsid w:val="28F034E6"/>
    <w:rsid w:val="28F65694"/>
    <w:rsid w:val="28F7AAD7"/>
    <w:rsid w:val="2906B773"/>
    <w:rsid w:val="2906C151"/>
    <w:rsid w:val="290B1A3A"/>
    <w:rsid w:val="2913096E"/>
    <w:rsid w:val="291AE72D"/>
    <w:rsid w:val="2921EB42"/>
    <w:rsid w:val="292D0566"/>
    <w:rsid w:val="294A965C"/>
    <w:rsid w:val="294CEBAA"/>
    <w:rsid w:val="2950D65C"/>
    <w:rsid w:val="295302BC"/>
    <w:rsid w:val="29545CE4"/>
    <w:rsid w:val="29583CF7"/>
    <w:rsid w:val="295AC3A5"/>
    <w:rsid w:val="2974DDFB"/>
    <w:rsid w:val="297597A9"/>
    <w:rsid w:val="299DD625"/>
    <w:rsid w:val="299F97BD"/>
    <w:rsid w:val="29AA0C8F"/>
    <w:rsid w:val="29AB025F"/>
    <w:rsid w:val="29B62CDE"/>
    <w:rsid w:val="29BBD827"/>
    <w:rsid w:val="29DE6AD0"/>
    <w:rsid w:val="29E138F6"/>
    <w:rsid w:val="29E823C2"/>
    <w:rsid w:val="29EC1497"/>
    <w:rsid w:val="29EF6376"/>
    <w:rsid w:val="29FA4E6D"/>
    <w:rsid w:val="29FBA25C"/>
    <w:rsid w:val="2A0306F4"/>
    <w:rsid w:val="2A03B5E3"/>
    <w:rsid w:val="2A0CF750"/>
    <w:rsid w:val="2A15CF5D"/>
    <w:rsid w:val="2A17BB61"/>
    <w:rsid w:val="2A17F3AD"/>
    <w:rsid w:val="2A20927C"/>
    <w:rsid w:val="2A297E1F"/>
    <w:rsid w:val="2A300098"/>
    <w:rsid w:val="2A38CE0C"/>
    <w:rsid w:val="2A410CA2"/>
    <w:rsid w:val="2A59EC2D"/>
    <w:rsid w:val="2A654D60"/>
    <w:rsid w:val="2A6A187C"/>
    <w:rsid w:val="2A6D88C6"/>
    <w:rsid w:val="2A70BF79"/>
    <w:rsid w:val="2A7F3434"/>
    <w:rsid w:val="2A8C5B50"/>
    <w:rsid w:val="2A98CAF9"/>
    <w:rsid w:val="2A9C7675"/>
    <w:rsid w:val="2AA00A08"/>
    <w:rsid w:val="2AA7574D"/>
    <w:rsid w:val="2AAA15BC"/>
    <w:rsid w:val="2AAE51FE"/>
    <w:rsid w:val="2AB7629E"/>
    <w:rsid w:val="2AC511B2"/>
    <w:rsid w:val="2AD2E13B"/>
    <w:rsid w:val="2AD6A58B"/>
    <w:rsid w:val="2AE0256C"/>
    <w:rsid w:val="2AE0BFF0"/>
    <w:rsid w:val="2AE18650"/>
    <w:rsid w:val="2AE22D87"/>
    <w:rsid w:val="2AE233E4"/>
    <w:rsid w:val="2AE6F291"/>
    <w:rsid w:val="2AED8F3B"/>
    <w:rsid w:val="2AF00DAB"/>
    <w:rsid w:val="2AF451B0"/>
    <w:rsid w:val="2AF8F7E7"/>
    <w:rsid w:val="2B073AD4"/>
    <w:rsid w:val="2B1051CC"/>
    <w:rsid w:val="2B10FC4C"/>
    <w:rsid w:val="2B25E76A"/>
    <w:rsid w:val="2B441CF9"/>
    <w:rsid w:val="2B49D74B"/>
    <w:rsid w:val="2B4D92CA"/>
    <w:rsid w:val="2B4F15BA"/>
    <w:rsid w:val="2B5052B7"/>
    <w:rsid w:val="2B5A7412"/>
    <w:rsid w:val="2B5A7A3F"/>
    <w:rsid w:val="2B5E5CCD"/>
    <w:rsid w:val="2B62577F"/>
    <w:rsid w:val="2B63F215"/>
    <w:rsid w:val="2B6E3153"/>
    <w:rsid w:val="2B6F8B17"/>
    <w:rsid w:val="2B74DE73"/>
    <w:rsid w:val="2B750FBB"/>
    <w:rsid w:val="2B87E4F8"/>
    <w:rsid w:val="2B88516A"/>
    <w:rsid w:val="2B8BA93B"/>
    <w:rsid w:val="2B8BB63A"/>
    <w:rsid w:val="2B8C0FD1"/>
    <w:rsid w:val="2B968FD8"/>
    <w:rsid w:val="2B9BCAEA"/>
    <w:rsid w:val="2B9ED755"/>
    <w:rsid w:val="2BA6BC3B"/>
    <w:rsid w:val="2BAD0036"/>
    <w:rsid w:val="2BAECFC2"/>
    <w:rsid w:val="2BB3B10F"/>
    <w:rsid w:val="2BB7D8DD"/>
    <w:rsid w:val="2BB92FF2"/>
    <w:rsid w:val="2BBF8549"/>
    <w:rsid w:val="2BBFEE09"/>
    <w:rsid w:val="2BE1F81D"/>
    <w:rsid w:val="2BE6044B"/>
    <w:rsid w:val="2BEDB787"/>
    <w:rsid w:val="2BF2B191"/>
    <w:rsid w:val="2BF38681"/>
    <w:rsid w:val="2BFD6821"/>
    <w:rsid w:val="2C0149E0"/>
    <w:rsid w:val="2C095FB8"/>
    <w:rsid w:val="2C100C32"/>
    <w:rsid w:val="2C16E1FE"/>
    <w:rsid w:val="2C197DA4"/>
    <w:rsid w:val="2C24C9C0"/>
    <w:rsid w:val="2C287F69"/>
    <w:rsid w:val="2C313147"/>
    <w:rsid w:val="2C38BA9F"/>
    <w:rsid w:val="2C3906FC"/>
    <w:rsid w:val="2C4FA5F4"/>
    <w:rsid w:val="2C5C60B1"/>
    <w:rsid w:val="2C683515"/>
    <w:rsid w:val="2C7275EC"/>
    <w:rsid w:val="2C7BA8C8"/>
    <w:rsid w:val="2C83934A"/>
    <w:rsid w:val="2C8426A5"/>
    <w:rsid w:val="2C95BCB0"/>
    <w:rsid w:val="2CA9EA87"/>
    <w:rsid w:val="2CAC0456"/>
    <w:rsid w:val="2CAF19B2"/>
    <w:rsid w:val="2CB0D92E"/>
    <w:rsid w:val="2CB4118D"/>
    <w:rsid w:val="2CBA3CD7"/>
    <w:rsid w:val="2CC00559"/>
    <w:rsid w:val="2CC304DD"/>
    <w:rsid w:val="2CC63727"/>
    <w:rsid w:val="2CE4457C"/>
    <w:rsid w:val="2CF0A10E"/>
    <w:rsid w:val="2CF36DAC"/>
    <w:rsid w:val="2CF415C2"/>
    <w:rsid w:val="2CF7EF1B"/>
    <w:rsid w:val="2CFADCCF"/>
    <w:rsid w:val="2CFD0387"/>
    <w:rsid w:val="2CFE42CC"/>
    <w:rsid w:val="2D0510F6"/>
    <w:rsid w:val="2D0C85F2"/>
    <w:rsid w:val="2D23B559"/>
    <w:rsid w:val="2D290025"/>
    <w:rsid w:val="2D41FC83"/>
    <w:rsid w:val="2D449812"/>
    <w:rsid w:val="2D56F8C1"/>
    <w:rsid w:val="2D7B43E0"/>
    <w:rsid w:val="2D887A71"/>
    <w:rsid w:val="2D9A1246"/>
    <w:rsid w:val="2D9EEF3F"/>
    <w:rsid w:val="2DAFA07A"/>
    <w:rsid w:val="2DBBBD0F"/>
    <w:rsid w:val="2DD384C5"/>
    <w:rsid w:val="2DE118E2"/>
    <w:rsid w:val="2DE393C5"/>
    <w:rsid w:val="2E00B704"/>
    <w:rsid w:val="2E0BCB89"/>
    <w:rsid w:val="2E0CDFB4"/>
    <w:rsid w:val="2E0E464D"/>
    <w:rsid w:val="2E110D93"/>
    <w:rsid w:val="2E16A3EE"/>
    <w:rsid w:val="2E1DEBAA"/>
    <w:rsid w:val="2E1EF105"/>
    <w:rsid w:val="2E270911"/>
    <w:rsid w:val="2E283FC1"/>
    <w:rsid w:val="2E295453"/>
    <w:rsid w:val="2E353155"/>
    <w:rsid w:val="2E369147"/>
    <w:rsid w:val="2E489D0E"/>
    <w:rsid w:val="2E56B346"/>
    <w:rsid w:val="2E698D84"/>
    <w:rsid w:val="2E7FAF32"/>
    <w:rsid w:val="2E875267"/>
    <w:rsid w:val="2E915CA9"/>
    <w:rsid w:val="2E9171D1"/>
    <w:rsid w:val="2EA61ACB"/>
    <w:rsid w:val="2EB3A98F"/>
    <w:rsid w:val="2EB7EAF9"/>
    <w:rsid w:val="2EC71307"/>
    <w:rsid w:val="2ECD9704"/>
    <w:rsid w:val="2ECDEA6D"/>
    <w:rsid w:val="2EEB4D08"/>
    <w:rsid w:val="2EED046C"/>
    <w:rsid w:val="2F00D47E"/>
    <w:rsid w:val="2F03BA35"/>
    <w:rsid w:val="2F0D78EA"/>
    <w:rsid w:val="2F0EE89D"/>
    <w:rsid w:val="2F191423"/>
    <w:rsid w:val="2F313189"/>
    <w:rsid w:val="2F332903"/>
    <w:rsid w:val="2F3F71DD"/>
    <w:rsid w:val="2F42FBB5"/>
    <w:rsid w:val="2F447843"/>
    <w:rsid w:val="2F4BAC66"/>
    <w:rsid w:val="2F5CEAFF"/>
    <w:rsid w:val="2F5CEB8C"/>
    <w:rsid w:val="2F6B516F"/>
    <w:rsid w:val="2F70D4A7"/>
    <w:rsid w:val="2F7B5171"/>
    <w:rsid w:val="2F8AD3C1"/>
    <w:rsid w:val="2FA312F9"/>
    <w:rsid w:val="2FA6CB8D"/>
    <w:rsid w:val="2FA81CEE"/>
    <w:rsid w:val="2FAA16AE"/>
    <w:rsid w:val="2FAE610F"/>
    <w:rsid w:val="2FB27F06"/>
    <w:rsid w:val="2FC1EB55"/>
    <w:rsid w:val="2FC7BBEA"/>
    <w:rsid w:val="2FCD02EA"/>
    <w:rsid w:val="2FDA6F8A"/>
    <w:rsid w:val="2FE2E338"/>
    <w:rsid w:val="2FE2F46B"/>
    <w:rsid w:val="2FE4A7D6"/>
    <w:rsid w:val="2FEFB608"/>
    <w:rsid w:val="2FF00BE9"/>
    <w:rsid w:val="2FF56AE3"/>
    <w:rsid w:val="2FFD59C0"/>
    <w:rsid w:val="3003FAC5"/>
    <w:rsid w:val="30085FA6"/>
    <w:rsid w:val="30264601"/>
    <w:rsid w:val="302F131B"/>
    <w:rsid w:val="303E42D1"/>
    <w:rsid w:val="304AA201"/>
    <w:rsid w:val="304EDCF3"/>
    <w:rsid w:val="30550038"/>
    <w:rsid w:val="305B561B"/>
    <w:rsid w:val="30705B97"/>
    <w:rsid w:val="3076A8B1"/>
    <w:rsid w:val="308AF696"/>
    <w:rsid w:val="3090F4E8"/>
    <w:rsid w:val="309381BA"/>
    <w:rsid w:val="30AC6786"/>
    <w:rsid w:val="30B3ADCF"/>
    <w:rsid w:val="30B49A7B"/>
    <w:rsid w:val="30BE1B33"/>
    <w:rsid w:val="30CC230E"/>
    <w:rsid w:val="30D73FF2"/>
    <w:rsid w:val="30E093CA"/>
    <w:rsid w:val="30E38F81"/>
    <w:rsid w:val="30EC2E7B"/>
    <w:rsid w:val="30F18725"/>
    <w:rsid w:val="31131897"/>
    <w:rsid w:val="311B22F9"/>
    <w:rsid w:val="3126A422"/>
    <w:rsid w:val="31292772"/>
    <w:rsid w:val="31293E70"/>
    <w:rsid w:val="31367F48"/>
    <w:rsid w:val="314A499E"/>
    <w:rsid w:val="314E4F67"/>
    <w:rsid w:val="315C9859"/>
    <w:rsid w:val="31669B46"/>
    <w:rsid w:val="3174C862"/>
    <w:rsid w:val="318803D4"/>
    <w:rsid w:val="318B7EE5"/>
    <w:rsid w:val="318C1DDB"/>
    <w:rsid w:val="318C4D64"/>
    <w:rsid w:val="3193F48C"/>
    <w:rsid w:val="319A9D01"/>
    <w:rsid w:val="319D90C1"/>
    <w:rsid w:val="319EF310"/>
    <w:rsid w:val="31AA0D10"/>
    <w:rsid w:val="31AE98F7"/>
    <w:rsid w:val="31B7EFF4"/>
    <w:rsid w:val="31CD5AAA"/>
    <w:rsid w:val="31CFD21F"/>
    <w:rsid w:val="31D6CAAD"/>
    <w:rsid w:val="31E053A4"/>
    <w:rsid w:val="31E44E35"/>
    <w:rsid w:val="31F95132"/>
    <w:rsid w:val="32043355"/>
    <w:rsid w:val="32056A15"/>
    <w:rsid w:val="320985A9"/>
    <w:rsid w:val="320E18D9"/>
    <w:rsid w:val="321947A0"/>
    <w:rsid w:val="321AC03A"/>
    <w:rsid w:val="321E7FB4"/>
    <w:rsid w:val="32251728"/>
    <w:rsid w:val="3229F294"/>
    <w:rsid w:val="3233136A"/>
    <w:rsid w:val="323E27B6"/>
    <w:rsid w:val="3242A4A3"/>
    <w:rsid w:val="324A117A"/>
    <w:rsid w:val="325949E6"/>
    <w:rsid w:val="3270AA91"/>
    <w:rsid w:val="32779D03"/>
    <w:rsid w:val="32881946"/>
    <w:rsid w:val="32889F4F"/>
    <w:rsid w:val="328E288A"/>
    <w:rsid w:val="328F6E28"/>
    <w:rsid w:val="3291E377"/>
    <w:rsid w:val="32935B0F"/>
    <w:rsid w:val="32A00423"/>
    <w:rsid w:val="32A32EC5"/>
    <w:rsid w:val="32A924E8"/>
    <w:rsid w:val="32ACE361"/>
    <w:rsid w:val="32AF5280"/>
    <w:rsid w:val="32B46604"/>
    <w:rsid w:val="32B513C7"/>
    <w:rsid w:val="32B7E56D"/>
    <w:rsid w:val="32BFECD9"/>
    <w:rsid w:val="32C0DFEF"/>
    <w:rsid w:val="32C124A8"/>
    <w:rsid w:val="32D0DD91"/>
    <w:rsid w:val="32DDFE96"/>
    <w:rsid w:val="32E3B95E"/>
    <w:rsid w:val="32E53097"/>
    <w:rsid w:val="32EB6680"/>
    <w:rsid w:val="32F1CEEA"/>
    <w:rsid w:val="32F31FFE"/>
    <w:rsid w:val="32FD2417"/>
    <w:rsid w:val="32FE4234"/>
    <w:rsid w:val="33015E89"/>
    <w:rsid w:val="33046B44"/>
    <w:rsid w:val="3305B274"/>
    <w:rsid w:val="33090854"/>
    <w:rsid w:val="33302933"/>
    <w:rsid w:val="33396122"/>
    <w:rsid w:val="333F65F7"/>
    <w:rsid w:val="334C213B"/>
    <w:rsid w:val="3351AC19"/>
    <w:rsid w:val="33579D58"/>
    <w:rsid w:val="335C15DC"/>
    <w:rsid w:val="336BC075"/>
    <w:rsid w:val="337DE2E5"/>
    <w:rsid w:val="337EB47C"/>
    <w:rsid w:val="337FD913"/>
    <w:rsid w:val="3381322C"/>
    <w:rsid w:val="339184C6"/>
    <w:rsid w:val="3392553B"/>
    <w:rsid w:val="33933CC1"/>
    <w:rsid w:val="339AD43A"/>
    <w:rsid w:val="339B1CA7"/>
    <w:rsid w:val="339C4529"/>
    <w:rsid w:val="339F0757"/>
    <w:rsid w:val="33A4ABA5"/>
    <w:rsid w:val="33A7DC48"/>
    <w:rsid w:val="33AE7888"/>
    <w:rsid w:val="33B95287"/>
    <w:rsid w:val="33C19B01"/>
    <w:rsid w:val="33C895AA"/>
    <w:rsid w:val="33D375EA"/>
    <w:rsid w:val="33D8FE6C"/>
    <w:rsid w:val="33DD22AA"/>
    <w:rsid w:val="33EEFAED"/>
    <w:rsid w:val="33FD54A3"/>
    <w:rsid w:val="34108E75"/>
    <w:rsid w:val="3429BB61"/>
    <w:rsid w:val="34491A3F"/>
    <w:rsid w:val="3449686A"/>
    <w:rsid w:val="344D1034"/>
    <w:rsid w:val="347A8D4C"/>
    <w:rsid w:val="34801F40"/>
    <w:rsid w:val="3489FDA1"/>
    <w:rsid w:val="348AED13"/>
    <w:rsid w:val="349ABB03"/>
    <w:rsid w:val="349B2490"/>
    <w:rsid w:val="34A123DE"/>
    <w:rsid w:val="34A6A8F3"/>
    <w:rsid w:val="34AF703D"/>
    <w:rsid w:val="34B4D515"/>
    <w:rsid w:val="34C1F8E6"/>
    <w:rsid w:val="34C3F91B"/>
    <w:rsid w:val="34C4128E"/>
    <w:rsid w:val="34C706A3"/>
    <w:rsid w:val="34D31528"/>
    <w:rsid w:val="34D3C838"/>
    <w:rsid w:val="34D5094A"/>
    <w:rsid w:val="34E71742"/>
    <w:rsid w:val="34E90D01"/>
    <w:rsid w:val="34EB59F0"/>
    <w:rsid w:val="3501D715"/>
    <w:rsid w:val="3509B1DE"/>
    <w:rsid w:val="3510E544"/>
    <w:rsid w:val="35208733"/>
    <w:rsid w:val="3521D76F"/>
    <w:rsid w:val="3526ADEF"/>
    <w:rsid w:val="352D7C6B"/>
    <w:rsid w:val="35340428"/>
    <w:rsid w:val="353643D3"/>
    <w:rsid w:val="353F6565"/>
    <w:rsid w:val="354FFB84"/>
    <w:rsid w:val="355540D7"/>
    <w:rsid w:val="3566E1AB"/>
    <w:rsid w:val="35677B2B"/>
    <w:rsid w:val="357442E6"/>
    <w:rsid w:val="357585F2"/>
    <w:rsid w:val="357CFA4E"/>
    <w:rsid w:val="357D55CC"/>
    <w:rsid w:val="357E2818"/>
    <w:rsid w:val="3580441D"/>
    <w:rsid w:val="35826C5F"/>
    <w:rsid w:val="35887E80"/>
    <w:rsid w:val="358DD4EF"/>
    <w:rsid w:val="358F851C"/>
    <w:rsid w:val="35A30D63"/>
    <w:rsid w:val="35A52FE8"/>
    <w:rsid w:val="35B3AC37"/>
    <w:rsid w:val="35C83A9A"/>
    <w:rsid w:val="35CC6130"/>
    <w:rsid w:val="35CFAE53"/>
    <w:rsid w:val="35D7552A"/>
    <w:rsid w:val="35EA337E"/>
    <w:rsid w:val="35F05602"/>
    <w:rsid w:val="35F241AD"/>
    <w:rsid w:val="360DAA69"/>
    <w:rsid w:val="361E8CA1"/>
    <w:rsid w:val="361F1863"/>
    <w:rsid w:val="3634A26A"/>
    <w:rsid w:val="3635B748"/>
    <w:rsid w:val="363AAFBC"/>
    <w:rsid w:val="363E6D9F"/>
    <w:rsid w:val="3647656C"/>
    <w:rsid w:val="365448E0"/>
    <w:rsid w:val="365B9B8C"/>
    <w:rsid w:val="3661E15C"/>
    <w:rsid w:val="36643F67"/>
    <w:rsid w:val="366F9A3B"/>
    <w:rsid w:val="36750C6E"/>
    <w:rsid w:val="3676EA95"/>
    <w:rsid w:val="3677CB63"/>
    <w:rsid w:val="367AABA7"/>
    <w:rsid w:val="367BFECF"/>
    <w:rsid w:val="3684BFDA"/>
    <w:rsid w:val="369075BC"/>
    <w:rsid w:val="369F0E5D"/>
    <w:rsid w:val="369FB628"/>
    <w:rsid w:val="36A7194F"/>
    <w:rsid w:val="36AFF05F"/>
    <w:rsid w:val="36B0F15E"/>
    <w:rsid w:val="36B94A96"/>
    <w:rsid w:val="36D7650A"/>
    <w:rsid w:val="36F0039D"/>
    <w:rsid w:val="36FE340A"/>
    <w:rsid w:val="37005FC6"/>
    <w:rsid w:val="37034B8C"/>
    <w:rsid w:val="371256F8"/>
    <w:rsid w:val="37138E60"/>
    <w:rsid w:val="3715361A"/>
    <w:rsid w:val="37281DD3"/>
    <w:rsid w:val="37301DD1"/>
    <w:rsid w:val="37387733"/>
    <w:rsid w:val="37573982"/>
    <w:rsid w:val="3757AF31"/>
    <w:rsid w:val="375A0FF6"/>
    <w:rsid w:val="375B241D"/>
    <w:rsid w:val="375F1E13"/>
    <w:rsid w:val="377EE913"/>
    <w:rsid w:val="378F8C56"/>
    <w:rsid w:val="3795E5A6"/>
    <w:rsid w:val="379A727F"/>
    <w:rsid w:val="379D772E"/>
    <w:rsid w:val="37A26516"/>
    <w:rsid w:val="37B3D878"/>
    <w:rsid w:val="37BF0CED"/>
    <w:rsid w:val="37C2B8A6"/>
    <w:rsid w:val="37C2D764"/>
    <w:rsid w:val="37C50ABE"/>
    <w:rsid w:val="37D814D6"/>
    <w:rsid w:val="38005260"/>
    <w:rsid w:val="3802D9CC"/>
    <w:rsid w:val="38160202"/>
    <w:rsid w:val="381E1197"/>
    <w:rsid w:val="382C4CF5"/>
    <w:rsid w:val="383AA587"/>
    <w:rsid w:val="383C054B"/>
    <w:rsid w:val="384989D4"/>
    <w:rsid w:val="3854136A"/>
    <w:rsid w:val="3864C4EB"/>
    <w:rsid w:val="386DC24B"/>
    <w:rsid w:val="386FB64C"/>
    <w:rsid w:val="38733E78"/>
    <w:rsid w:val="38741FAE"/>
    <w:rsid w:val="387525FB"/>
    <w:rsid w:val="387F1DB3"/>
    <w:rsid w:val="38859B02"/>
    <w:rsid w:val="388B7E37"/>
    <w:rsid w:val="389118EC"/>
    <w:rsid w:val="389F1BED"/>
    <w:rsid w:val="38AA02B5"/>
    <w:rsid w:val="38AAA34A"/>
    <w:rsid w:val="38B6044D"/>
    <w:rsid w:val="38C004FB"/>
    <w:rsid w:val="38C06C47"/>
    <w:rsid w:val="38C840A7"/>
    <w:rsid w:val="38DA7A5E"/>
    <w:rsid w:val="38DDB4E6"/>
    <w:rsid w:val="38E0F944"/>
    <w:rsid w:val="38E2C7D5"/>
    <w:rsid w:val="38F103C0"/>
    <w:rsid w:val="38F4A69F"/>
    <w:rsid w:val="38F94A47"/>
    <w:rsid w:val="390545E5"/>
    <w:rsid w:val="390CA9BB"/>
    <w:rsid w:val="3929F8CC"/>
    <w:rsid w:val="394B1798"/>
    <w:rsid w:val="394B7780"/>
    <w:rsid w:val="396307EF"/>
    <w:rsid w:val="39633EEC"/>
    <w:rsid w:val="39682835"/>
    <w:rsid w:val="397C675B"/>
    <w:rsid w:val="39800F72"/>
    <w:rsid w:val="39801D12"/>
    <w:rsid w:val="39804BEF"/>
    <w:rsid w:val="3987192D"/>
    <w:rsid w:val="398D693B"/>
    <w:rsid w:val="3999EF4F"/>
    <w:rsid w:val="399AA508"/>
    <w:rsid w:val="399B7336"/>
    <w:rsid w:val="399BB6CA"/>
    <w:rsid w:val="399FAE23"/>
    <w:rsid w:val="39A35BE8"/>
    <w:rsid w:val="39A8A2A6"/>
    <w:rsid w:val="39AC5071"/>
    <w:rsid w:val="39E42065"/>
    <w:rsid w:val="39F9D9BD"/>
    <w:rsid w:val="39FB3448"/>
    <w:rsid w:val="39FDDD94"/>
    <w:rsid w:val="3A00B196"/>
    <w:rsid w:val="3A1D09DC"/>
    <w:rsid w:val="3A2D334F"/>
    <w:rsid w:val="3A33275A"/>
    <w:rsid w:val="3A350019"/>
    <w:rsid w:val="3A351452"/>
    <w:rsid w:val="3A37E5D0"/>
    <w:rsid w:val="3A3AEC4E"/>
    <w:rsid w:val="3A4B7A72"/>
    <w:rsid w:val="3A4E559E"/>
    <w:rsid w:val="3A53FD44"/>
    <w:rsid w:val="3A598EB8"/>
    <w:rsid w:val="3A59B33F"/>
    <w:rsid w:val="3A5C1862"/>
    <w:rsid w:val="3A6CD44B"/>
    <w:rsid w:val="3A6E9F16"/>
    <w:rsid w:val="3A74699E"/>
    <w:rsid w:val="3A7B5322"/>
    <w:rsid w:val="3A8E343F"/>
    <w:rsid w:val="3AA3C316"/>
    <w:rsid w:val="3AA8D86F"/>
    <w:rsid w:val="3AB03EE0"/>
    <w:rsid w:val="3AB92752"/>
    <w:rsid w:val="3ABA89B5"/>
    <w:rsid w:val="3ABB589D"/>
    <w:rsid w:val="3AC1D048"/>
    <w:rsid w:val="3ACA5E60"/>
    <w:rsid w:val="3ACE29DF"/>
    <w:rsid w:val="3ACF334D"/>
    <w:rsid w:val="3AD4FBE7"/>
    <w:rsid w:val="3AE0D40A"/>
    <w:rsid w:val="3AF079EC"/>
    <w:rsid w:val="3AF78355"/>
    <w:rsid w:val="3B05399C"/>
    <w:rsid w:val="3B0C8449"/>
    <w:rsid w:val="3B13F625"/>
    <w:rsid w:val="3B1990A1"/>
    <w:rsid w:val="3B265C18"/>
    <w:rsid w:val="3B34A5D4"/>
    <w:rsid w:val="3B3885EA"/>
    <w:rsid w:val="3B3D2552"/>
    <w:rsid w:val="3B41F723"/>
    <w:rsid w:val="3B449883"/>
    <w:rsid w:val="3B46E9E1"/>
    <w:rsid w:val="3B4DF4D6"/>
    <w:rsid w:val="3B50626A"/>
    <w:rsid w:val="3B5FA027"/>
    <w:rsid w:val="3B6917BE"/>
    <w:rsid w:val="3B6D2979"/>
    <w:rsid w:val="3B77BF3E"/>
    <w:rsid w:val="3B892632"/>
    <w:rsid w:val="3B8DE437"/>
    <w:rsid w:val="3B933A17"/>
    <w:rsid w:val="3B960F6B"/>
    <w:rsid w:val="3BA73AC7"/>
    <w:rsid w:val="3BA915BA"/>
    <w:rsid w:val="3BAC6683"/>
    <w:rsid w:val="3BAEF8B1"/>
    <w:rsid w:val="3BB66B14"/>
    <w:rsid w:val="3BCBDFA6"/>
    <w:rsid w:val="3BD93AF3"/>
    <w:rsid w:val="3BEF6EB1"/>
    <w:rsid w:val="3BF8921B"/>
    <w:rsid w:val="3BFBB389"/>
    <w:rsid w:val="3BFD3DED"/>
    <w:rsid w:val="3C049B2B"/>
    <w:rsid w:val="3C13E15D"/>
    <w:rsid w:val="3C16BA16"/>
    <w:rsid w:val="3C2071CD"/>
    <w:rsid w:val="3C295941"/>
    <w:rsid w:val="3C2DB176"/>
    <w:rsid w:val="3C30ECD7"/>
    <w:rsid w:val="3C420E38"/>
    <w:rsid w:val="3C521418"/>
    <w:rsid w:val="3C530AE8"/>
    <w:rsid w:val="3C62DCA5"/>
    <w:rsid w:val="3C6508BD"/>
    <w:rsid w:val="3C7F1E67"/>
    <w:rsid w:val="3C87631A"/>
    <w:rsid w:val="3C8F4E60"/>
    <w:rsid w:val="3C95EE97"/>
    <w:rsid w:val="3C9698EF"/>
    <w:rsid w:val="3CAED6CE"/>
    <w:rsid w:val="3CBF7CFC"/>
    <w:rsid w:val="3CC7E56E"/>
    <w:rsid w:val="3CC7ED16"/>
    <w:rsid w:val="3CDC7A6A"/>
    <w:rsid w:val="3CDDF6D8"/>
    <w:rsid w:val="3CE36637"/>
    <w:rsid w:val="3CE51B53"/>
    <w:rsid w:val="3CEEB602"/>
    <w:rsid w:val="3D152FAB"/>
    <w:rsid w:val="3D23DC00"/>
    <w:rsid w:val="3D25A72F"/>
    <w:rsid w:val="3D3DA00A"/>
    <w:rsid w:val="3D4AB60D"/>
    <w:rsid w:val="3D4EC584"/>
    <w:rsid w:val="3D64CE87"/>
    <w:rsid w:val="3D6B03F3"/>
    <w:rsid w:val="3D6FDA1D"/>
    <w:rsid w:val="3D7A0864"/>
    <w:rsid w:val="3D7CA664"/>
    <w:rsid w:val="3D899B78"/>
    <w:rsid w:val="3D8CE057"/>
    <w:rsid w:val="3D91C020"/>
    <w:rsid w:val="3D96D3EB"/>
    <w:rsid w:val="3DA5C012"/>
    <w:rsid w:val="3DAFE290"/>
    <w:rsid w:val="3DB86542"/>
    <w:rsid w:val="3DBB79DF"/>
    <w:rsid w:val="3DC056FC"/>
    <w:rsid w:val="3DC3FE9F"/>
    <w:rsid w:val="3DC4C804"/>
    <w:rsid w:val="3DCF3DB0"/>
    <w:rsid w:val="3DCF6B18"/>
    <w:rsid w:val="3DE02DBE"/>
    <w:rsid w:val="3DE6E693"/>
    <w:rsid w:val="3DE9A762"/>
    <w:rsid w:val="3DEBC57D"/>
    <w:rsid w:val="3DEF11CC"/>
    <w:rsid w:val="3DF72B75"/>
    <w:rsid w:val="3DF8FC8F"/>
    <w:rsid w:val="3DFA48B1"/>
    <w:rsid w:val="3DFB25D3"/>
    <w:rsid w:val="3DFF882D"/>
    <w:rsid w:val="3DFFA8EC"/>
    <w:rsid w:val="3E0C4859"/>
    <w:rsid w:val="3E0E9F50"/>
    <w:rsid w:val="3E141CE5"/>
    <w:rsid w:val="3E1CDEFB"/>
    <w:rsid w:val="3E28C1BE"/>
    <w:rsid w:val="3E31C505"/>
    <w:rsid w:val="3E328EB6"/>
    <w:rsid w:val="3E3D4159"/>
    <w:rsid w:val="3E40F429"/>
    <w:rsid w:val="3E464783"/>
    <w:rsid w:val="3E5099EB"/>
    <w:rsid w:val="3E580B5D"/>
    <w:rsid w:val="3E5C66AB"/>
    <w:rsid w:val="3E6062AE"/>
    <w:rsid w:val="3E61E7DA"/>
    <w:rsid w:val="3E73740F"/>
    <w:rsid w:val="3E7687D6"/>
    <w:rsid w:val="3E8BFC94"/>
    <w:rsid w:val="3E9249B0"/>
    <w:rsid w:val="3E979B3E"/>
    <w:rsid w:val="3E9A4FFF"/>
    <w:rsid w:val="3E9B6301"/>
    <w:rsid w:val="3E9C3EB4"/>
    <w:rsid w:val="3EA7B8E9"/>
    <w:rsid w:val="3EBB9791"/>
    <w:rsid w:val="3ED66B81"/>
    <w:rsid w:val="3EDC7401"/>
    <w:rsid w:val="3EEF44FC"/>
    <w:rsid w:val="3EF0E1DE"/>
    <w:rsid w:val="3EF13F36"/>
    <w:rsid w:val="3EF26028"/>
    <w:rsid w:val="3EF9B644"/>
    <w:rsid w:val="3F0531D4"/>
    <w:rsid w:val="3F176424"/>
    <w:rsid w:val="3F1DDC86"/>
    <w:rsid w:val="3F31D549"/>
    <w:rsid w:val="3F3C542E"/>
    <w:rsid w:val="3F420D3C"/>
    <w:rsid w:val="3F5B98AB"/>
    <w:rsid w:val="3F5C0524"/>
    <w:rsid w:val="3F5C5A1C"/>
    <w:rsid w:val="3F6DA32B"/>
    <w:rsid w:val="3F714529"/>
    <w:rsid w:val="3F7A152D"/>
    <w:rsid w:val="3F7AE582"/>
    <w:rsid w:val="3F83469A"/>
    <w:rsid w:val="3F90BAC4"/>
    <w:rsid w:val="3F9C857C"/>
    <w:rsid w:val="3FA8CB26"/>
    <w:rsid w:val="3FAFB378"/>
    <w:rsid w:val="3FB0B0C5"/>
    <w:rsid w:val="3FB16B2A"/>
    <w:rsid w:val="3FBC4B27"/>
    <w:rsid w:val="3FC35A59"/>
    <w:rsid w:val="3FC9F581"/>
    <w:rsid w:val="3FCF0804"/>
    <w:rsid w:val="3FD3114C"/>
    <w:rsid w:val="3FD91A35"/>
    <w:rsid w:val="3FE44C5D"/>
    <w:rsid w:val="3FE50FDE"/>
    <w:rsid w:val="3FF80861"/>
    <w:rsid w:val="40035E0F"/>
    <w:rsid w:val="402A2595"/>
    <w:rsid w:val="402F8D6D"/>
    <w:rsid w:val="40381C59"/>
    <w:rsid w:val="403EE0B1"/>
    <w:rsid w:val="40427850"/>
    <w:rsid w:val="4047FC85"/>
    <w:rsid w:val="40577B25"/>
    <w:rsid w:val="40668240"/>
    <w:rsid w:val="40705999"/>
    <w:rsid w:val="408B28F4"/>
    <w:rsid w:val="408B9D1B"/>
    <w:rsid w:val="4094B361"/>
    <w:rsid w:val="4095C9A9"/>
    <w:rsid w:val="409C328F"/>
    <w:rsid w:val="40AD08E1"/>
    <w:rsid w:val="40B049B6"/>
    <w:rsid w:val="40B8954D"/>
    <w:rsid w:val="40BC9F1A"/>
    <w:rsid w:val="40BF1345"/>
    <w:rsid w:val="40C6B242"/>
    <w:rsid w:val="40C9F630"/>
    <w:rsid w:val="40D34765"/>
    <w:rsid w:val="40D4FC0C"/>
    <w:rsid w:val="40D722BB"/>
    <w:rsid w:val="40E4C245"/>
    <w:rsid w:val="40E6C690"/>
    <w:rsid w:val="40EE4681"/>
    <w:rsid w:val="40F6E4E8"/>
    <w:rsid w:val="40F9A827"/>
    <w:rsid w:val="40FFA4EF"/>
    <w:rsid w:val="4101CD92"/>
    <w:rsid w:val="41089A2F"/>
    <w:rsid w:val="411DC109"/>
    <w:rsid w:val="412650EB"/>
    <w:rsid w:val="4138567B"/>
    <w:rsid w:val="413C0B6E"/>
    <w:rsid w:val="413F8440"/>
    <w:rsid w:val="41420B4B"/>
    <w:rsid w:val="4154A08D"/>
    <w:rsid w:val="415F7B46"/>
    <w:rsid w:val="416053C4"/>
    <w:rsid w:val="416AA80D"/>
    <w:rsid w:val="41707F1C"/>
    <w:rsid w:val="4175C9D7"/>
    <w:rsid w:val="4175FE40"/>
    <w:rsid w:val="417E856F"/>
    <w:rsid w:val="4184CEA6"/>
    <w:rsid w:val="4186D9A8"/>
    <w:rsid w:val="418A4922"/>
    <w:rsid w:val="419210A4"/>
    <w:rsid w:val="41921325"/>
    <w:rsid w:val="419938AE"/>
    <w:rsid w:val="41C0BAC1"/>
    <w:rsid w:val="41C1F166"/>
    <w:rsid w:val="41D117A6"/>
    <w:rsid w:val="41D1F0C1"/>
    <w:rsid w:val="41D92FA9"/>
    <w:rsid w:val="41E8F2D3"/>
    <w:rsid w:val="41F58CCC"/>
    <w:rsid w:val="4209D6C0"/>
    <w:rsid w:val="420B28FE"/>
    <w:rsid w:val="420C5138"/>
    <w:rsid w:val="421A31F9"/>
    <w:rsid w:val="4223F367"/>
    <w:rsid w:val="42271778"/>
    <w:rsid w:val="4227C87D"/>
    <w:rsid w:val="42379135"/>
    <w:rsid w:val="42384A56"/>
    <w:rsid w:val="42409CB2"/>
    <w:rsid w:val="4242E913"/>
    <w:rsid w:val="4260BD2B"/>
    <w:rsid w:val="4277CDF3"/>
    <w:rsid w:val="4296D816"/>
    <w:rsid w:val="429C9CCA"/>
    <w:rsid w:val="429DD423"/>
    <w:rsid w:val="42A62ABF"/>
    <w:rsid w:val="42AF9638"/>
    <w:rsid w:val="42B9A8FA"/>
    <w:rsid w:val="42BEAE74"/>
    <w:rsid w:val="42BF4B0C"/>
    <w:rsid w:val="42C0A9AF"/>
    <w:rsid w:val="42E35CDF"/>
    <w:rsid w:val="42EBE528"/>
    <w:rsid w:val="42ED4146"/>
    <w:rsid w:val="42F12E36"/>
    <w:rsid w:val="42F85216"/>
    <w:rsid w:val="430B2E5D"/>
    <w:rsid w:val="43127E32"/>
    <w:rsid w:val="431C1D63"/>
    <w:rsid w:val="431F4AC9"/>
    <w:rsid w:val="431FE435"/>
    <w:rsid w:val="43238C4D"/>
    <w:rsid w:val="43285F3D"/>
    <w:rsid w:val="43296588"/>
    <w:rsid w:val="432EF0D1"/>
    <w:rsid w:val="4332D018"/>
    <w:rsid w:val="4336AC06"/>
    <w:rsid w:val="43418574"/>
    <w:rsid w:val="4347DDF0"/>
    <w:rsid w:val="4352838B"/>
    <w:rsid w:val="4355291F"/>
    <w:rsid w:val="43690CB7"/>
    <w:rsid w:val="437E5348"/>
    <w:rsid w:val="4381C189"/>
    <w:rsid w:val="43914D29"/>
    <w:rsid w:val="4396117D"/>
    <w:rsid w:val="43AE2303"/>
    <w:rsid w:val="43B3006B"/>
    <w:rsid w:val="43CEA581"/>
    <w:rsid w:val="43E42379"/>
    <w:rsid w:val="43F28F51"/>
    <w:rsid w:val="440532EE"/>
    <w:rsid w:val="441778AB"/>
    <w:rsid w:val="4423B806"/>
    <w:rsid w:val="4428F713"/>
    <w:rsid w:val="4430141A"/>
    <w:rsid w:val="4436F5D0"/>
    <w:rsid w:val="4447C86B"/>
    <w:rsid w:val="444E9AF3"/>
    <w:rsid w:val="44560E3F"/>
    <w:rsid w:val="44562E7C"/>
    <w:rsid w:val="44638BD4"/>
    <w:rsid w:val="44651EB4"/>
    <w:rsid w:val="44744C39"/>
    <w:rsid w:val="447B2981"/>
    <w:rsid w:val="449B6F76"/>
    <w:rsid w:val="449C170E"/>
    <w:rsid w:val="449CE0AB"/>
    <w:rsid w:val="44A1EDC1"/>
    <w:rsid w:val="44A40BC8"/>
    <w:rsid w:val="44A8511E"/>
    <w:rsid w:val="44A986D2"/>
    <w:rsid w:val="44AB2A0C"/>
    <w:rsid w:val="44B81803"/>
    <w:rsid w:val="44BD4334"/>
    <w:rsid w:val="44C2258D"/>
    <w:rsid w:val="44CF0507"/>
    <w:rsid w:val="44D19BFE"/>
    <w:rsid w:val="44D5B4BD"/>
    <w:rsid w:val="44D5DA48"/>
    <w:rsid w:val="44DB4BF4"/>
    <w:rsid w:val="44DB583C"/>
    <w:rsid w:val="44DC895C"/>
    <w:rsid w:val="45086D21"/>
    <w:rsid w:val="4511D816"/>
    <w:rsid w:val="451EA0A2"/>
    <w:rsid w:val="452477E0"/>
    <w:rsid w:val="4537AAAE"/>
    <w:rsid w:val="45463BF2"/>
    <w:rsid w:val="454E9ECF"/>
    <w:rsid w:val="45525045"/>
    <w:rsid w:val="4561DEAA"/>
    <w:rsid w:val="456CFBD3"/>
    <w:rsid w:val="457B9664"/>
    <w:rsid w:val="458635C9"/>
    <w:rsid w:val="459CAC4C"/>
    <w:rsid w:val="45A80593"/>
    <w:rsid w:val="45A95D13"/>
    <w:rsid w:val="45B16227"/>
    <w:rsid w:val="45B3BFAB"/>
    <w:rsid w:val="45C22380"/>
    <w:rsid w:val="45C8046F"/>
    <w:rsid w:val="45C9744A"/>
    <w:rsid w:val="45DC44FD"/>
    <w:rsid w:val="45E8F745"/>
    <w:rsid w:val="460016DA"/>
    <w:rsid w:val="460C0F05"/>
    <w:rsid w:val="460E94F3"/>
    <w:rsid w:val="46115D24"/>
    <w:rsid w:val="461813CD"/>
    <w:rsid w:val="4618ED03"/>
    <w:rsid w:val="461E0DFD"/>
    <w:rsid w:val="46216563"/>
    <w:rsid w:val="46250FC4"/>
    <w:rsid w:val="462BA6B9"/>
    <w:rsid w:val="462E00F1"/>
    <w:rsid w:val="462E40F4"/>
    <w:rsid w:val="4634AF18"/>
    <w:rsid w:val="465E95C1"/>
    <w:rsid w:val="465F90D2"/>
    <w:rsid w:val="4688BE74"/>
    <w:rsid w:val="46911A37"/>
    <w:rsid w:val="4691A0A5"/>
    <w:rsid w:val="469DD360"/>
    <w:rsid w:val="46A561E4"/>
    <w:rsid w:val="46ADC19E"/>
    <w:rsid w:val="46B9F0B4"/>
    <w:rsid w:val="46CCD2E9"/>
    <w:rsid w:val="46CD16DC"/>
    <w:rsid w:val="46CE47DA"/>
    <w:rsid w:val="46D71FD2"/>
    <w:rsid w:val="46E20827"/>
    <w:rsid w:val="46E39CDD"/>
    <w:rsid w:val="46EDE388"/>
    <w:rsid w:val="47056548"/>
    <w:rsid w:val="470F94F4"/>
    <w:rsid w:val="471065B7"/>
    <w:rsid w:val="4711776F"/>
    <w:rsid w:val="4712F870"/>
    <w:rsid w:val="4713F269"/>
    <w:rsid w:val="47229DA1"/>
    <w:rsid w:val="47279727"/>
    <w:rsid w:val="472E7C0A"/>
    <w:rsid w:val="47327FC4"/>
    <w:rsid w:val="473FCB83"/>
    <w:rsid w:val="4745861F"/>
    <w:rsid w:val="474DBD54"/>
    <w:rsid w:val="47559036"/>
    <w:rsid w:val="475E2CEC"/>
    <w:rsid w:val="476DCDED"/>
    <w:rsid w:val="47720601"/>
    <w:rsid w:val="47763FA0"/>
    <w:rsid w:val="477CA9EA"/>
    <w:rsid w:val="478BE109"/>
    <w:rsid w:val="478C9786"/>
    <w:rsid w:val="4793EC0E"/>
    <w:rsid w:val="479938F5"/>
    <w:rsid w:val="479C4330"/>
    <w:rsid w:val="47A2F34A"/>
    <w:rsid w:val="47AF98B4"/>
    <w:rsid w:val="47B187B5"/>
    <w:rsid w:val="47B532EF"/>
    <w:rsid w:val="47BB55FF"/>
    <w:rsid w:val="47C8988B"/>
    <w:rsid w:val="47D2485C"/>
    <w:rsid w:val="47E21C26"/>
    <w:rsid w:val="47E31E8C"/>
    <w:rsid w:val="47E42EFD"/>
    <w:rsid w:val="47E6020B"/>
    <w:rsid w:val="47EF06CD"/>
    <w:rsid w:val="47F7AD4E"/>
    <w:rsid w:val="47FC3D81"/>
    <w:rsid w:val="47FCC349"/>
    <w:rsid w:val="480C93B9"/>
    <w:rsid w:val="48109C02"/>
    <w:rsid w:val="481154CE"/>
    <w:rsid w:val="48128F9A"/>
    <w:rsid w:val="4823DDBD"/>
    <w:rsid w:val="482C04BA"/>
    <w:rsid w:val="482C5608"/>
    <w:rsid w:val="482F5B02"/>
    <w:rsid w:val="484E6F44"/>
    <w:rsid w:val="4857183A"/>
    <w:rsid w:val="48743995"/>
    <w:rsid w:val="48744888"/>
    <w:rsid w:val="487CB834"/>
    <w:rsid w:val="48847901"/>
    <w:rsid w:val="488545A2"/>
    <w:rsid w:val="488CF93C"/>
    <w:rsid w:val="488FC2BC"/>
    <w:rsid w:val="48B7BC8A"/>
    <w:rsid w:val="48C52594"/>
    <w:rsid w:val="48D2577D"/>
    <w:rsid w:val="48D4E3C6"/>
    <w:rsid w:val="48DC41BA"/>
    <w:rsid w:val="48E532FA"/>
    <w:rsid w:val="48EE4418"/>
    <w:rsid w:val="48F96611"/>
    <w:rsid w:val="49036F7F"/>
    <w:rsid w:val="4913C444"/>
    <w:rsid w:val="491BA321"/>
    <w:rsid w:val="49246EC6"/>
    <w:rsid w:val="492B0A09"/>
    <w:rsid w:val="493A6D57"/>
    <w:rsid w:val="493F9DC3"/>
    <w:rsid w:val="494506E1"/>
    <w:rsid w:val="494FECB1"/>
    <w:rsid w:val="49506794"/>
    <w:rsid w:val="4962A8A5"/>
    <w:rsid w:val="497D64C0"/>
    <w:rsid w:val="49852C64"/>
    <w:rsid w:val="499C19CE"/>
    <w:rsid w:val="49A9D211"/>
    <w:rsid w:val="49B12CD4"/>
    <w:rsid w:val="49B27635"/>
    <w:rsid w:val="49BB84EE"/>
    <w:rsid w:val="49BD50DA"/>
    <w:rsid w:val="49C1E790"/>
    <w:rsid w:val="49D41E8B"/>
    <w:rsid w:val="49DD4DDA"/>
    <w:rsid w:val="49E14669"/>
    <w:rsid w:val="49EB2573"/>
    <w:rsid w:val="49F77234"/>
    <w:rsid w:val="4A0BC160"/>
    <w:rsid w:val="4A11118A"/>
    <w:rsid w:val="4A195B9B"/>
    <w:rsid w:val="4A1E9E76"/>
    <w:rsid w:val="4A269B82"/>
    <w:rsid w:val="4A41911F"/>
    <w:rsid w:val="4A456338"/>
    <w:rsid w:val="4A4BC6D9"/>
    <w:rsid w:val="4A57083A"/>
    <w:rsid w:val="4A650FDB"/>
    <w:rsid w:val="4A833DDD"/>
    <w:rsid w:val="4A90A85D"/>
    <w:rsid w:val="4A926666"/>
    <w:rsid w:val="4A9CA595"/>
    <w:rsid w:val="4A9E9944"/>
    <w:rsid w:val="4A9F8D02"/>
    <w:rsid w:val="4AA2F626"/>
    <w:rsid w:val="4AB25E2E"/>
    <w:rsid w:val="4ABBF71D"/>
    <w:rsid w:val="4ACF11A4"/>
    <w:rsid w:val="4AD539D9"/>
    <w:rsid w:val="4AF39FC8"/>
    <w:rsid w:val="4AF3B47C"/>
    <w:rsid w:val="4B1F642B"/>
    <w:rsid w:val="4B1FA770"/>
    <w:rsid w:val="4B262C0C"/>
    <w:rsid w:val="4B2D4221"/>
    <w:rsid w:val="4B3028B8"/>
    <w:rsid w:val="4B357BE9"/>
    <w:rsid w:val="4B3738B7"/>
    <w:rsid w:val="4B4067E6"/>
    <w:rsid w:val="4B40FB75"/>
    <w:rsid w:val="4B5B8CE1"/>
    <w:rsid w:val="4B70DC2C"/>
    <w:rsid w:val="4B7CB838"/>
    <w:rsid w:val="4B8C2A49"/>
    <w:rsid w:val="4B8EBF89"/>
    <w:rsid w:val="4B915E19"/>
    <w:rsid w:val="4B9BB9A7"/>
    <w:rsid w:val="4BBD5F5E"/>
    <w:rsid w:val="4BC6A1FD"/>
    <w:rsid w:val="4BC84AEF"/>
    <w:rsid w:val="4BC96683"/>
    <w:rsid w:val="4BD674FB"/>
    <w:rsid w:val="4BD6EA31"/>
    <w:rsid w:val="4BD912DC"/>
    <w:rsid w:val="4BDF9D0B"/>
    <w:rsid w:val="4BE8A437"/>
    <w:rsid w:val="4BE91AA5"/>
    <w:rsid w:val="4BF0088E"/>
    <w:rsid w:val="4BF524D8"/>
    <w:rsid w:val="4BFDF940"/>
    <w:rsid w:val="4C04BA06"/>
    <w:rsid w:val="4C15F7AE"/>
    <w:rsid w:val="4C1C91F8"/>
    <w:rsid w:val="4C1CB435"/>
    <w:rsid w:val="4C2B2011"/>
    <w:rsid w:val="4C2E4B58"/>
    <w:rsid w:val="4C40FA43"/>
    <w:rsid w:val="4C41F792"/>
    <w:rsid w:val="4C47A6F4"/>
    <w:rsid w:val="4C4A74C9"/>
    <w:rsid w:val="4C680293"/>
    <w:rsid w:val="4C6B7B75"/>
    <w:rsid w:val="4C8B07E5"/>
    <w:rsid w:val="4C9DA2EC"/>
    <w:rsid w:val="4CA820A8"/>
    <w:rsid w:val="4CAB0669"/>
    <w:rsid w:val="4CAD6100"/>
    <w:rsid w:val="4CCB3102"/>
    <w:rsid w:val="4CCE6BE0"/>
    <w:rsid w:val="4CD4784D"/>
    <w:rsid w:val="4CDCF183"/>
    <w:rsid w:val="4CE28D46"/>
    <w:rsid w:val="4CE52C41"/>
    <w:rsid w:val="4CE5B3F0"/>
    <w:rsid w:val="4CE8A141"/>
    <w:rsid w:val="4CF23CE4"/>
    <w:rsid w:val="4D09FFCA"/>
    <w:rsid w:val="4D0BD472"/>
    <w:rsid w:val="4D0C2E8E"/>
    <w:rsid w:val="4D0F7DA1"/>
    <w:rsid w:val="4D24455C"/>
    <w:rsid w:val="4D2464FD"/>
    <w:rsid w:val="4D278BAB"/>
    <w:rsid w:val="4D30E9C9"/>
    <w:rsid w:val="4D313218"/>
    <w:rsid w:val="4D437882"/>
    <w:rsid w:val="4D47B0A8"/>
    <w:rsid w:val="4D481062"/>
    <w:rsid w:val="4D4E63A2"/>
    <w:rsid w:val="4D60349C"/>
    <w:rsid w:val="4D63FBC9"/>
    <w:rsid w:val="4D68843A"/>
    <w:rsid w:val="4D6ADF4F"/>
    <w:rsid w:val="4D748C50"/>
    <w:rsid w:val="4D79DA76"/>
    <w:rsid w:val="4D86498D"/>
    <w:rsid w:val="4D897962"/>
    <w:rsid w:val="4D92CF55"/>
    <w:rsid w:val="4DA14DD4"/>
    <w:rsid w:val="4DA502B1"/>
    <w:rsid w:val="4DA6584F"/>
    <w:rsid w:val="4DBB9C5D"/>
    <w:rsid w:val="4DBCA2E8"/>
    <w:rsid w:val="4DBDF2D4"/>
    <w:rsid w:val="4DD36268"/>
    <w:rsid w:val="4DEF92D7"/>
    <w:rsid w:val="4DFC1684"/>
    <w:rsid w:val="4E0C5D7C"/>
    <w:rsid w:val="4E1DDB33"/>
    <w:rsid w:val="4E1FF0CE"/>
    <w:rsid w:val="4E2A9783"/>
    <w:rsid w:val="4E33E2DD"/>
    <w:rsid w:val="4E3445D8"/>
    <w:rsid w:val="4E35C3D5"/>
    <w:rsid w:val="4E3F04C2"/>
    <w:rsid w:val="4E42CCB5"/>
    <w:rsid w:val="4E500172"/>
    <w:rsid w:val="4E52BF54"/>
    <w:rsid w:val="4E58AFB5"/>
    <w:rsid w:val="4E5FB503"/>
    <w:rsid w:val="4E630E60"/>
    <w:rsid w:val="4E6BE18A"/>
    <w:rsid w:val="4E706D65"/>
    <w:rsid w:val="4E710F98"/>
    <w:rsid w:val="4E8DCC02"/>
    <w:rsid w:val="4E939EE8"/>
    <w:rsid w:val="4EA0DA8D"/>
    <w:rsid w:val="4EB4CCD2"/>
    <w:rsid w:val="4EBCD803"/>
    <w:rsid w:val="4EBDE348"/>
    <w:rsid w:val="4EBE59C9"/>
    <w:rsid w:val="4EC5AAE5"/>
    <w:rsid w:val="4ECD9FB8"/>
    <w:rsid w:val="4EE27366"/>
    <w:rsid w:val="4EECA54E"/>
    <w:rsid w:val="4EF48422"/>
    <w:rsid w:val="4F04CD82"/>
    <w:rsid w:val="4F18507F"/>
    <w:rsid w:val="4F34FF2B"/>
    <w:rsid w:val="4F3745F5"/>
    <w:rsid w:val="4F3A9E26"/>
    <w:rsid w:val="4F3B93E8"/>
    <w:rsid w:val="4F4492FD"/>
    <w:rsid w:val="4F4B50A9"/>
    <w:rsid w:val="4F4BF6F9"/>
    <w:rsid w:val="4F5D2E8B"/>
    <w:rsid w:val="4F651ADE"/>
    <w:rsid w:val="4F663FBA"/>
    <w:rsid w:val="4F696D92"/>
    <w:rsid w:val="4F718F4B"/>
    <w:rsid w:val="4F73CCC6"/>
    <w:rsid w:val="4F7445E5"/>
    <w:rsid w:val="4F7F4D28"/>
    <w:rsid w:val="4F811759"/>
    <w:rsid w:val="4F86CCDA"/>
    <w:rsid w:val="4F8B0E5F"/>
    <w:rsid w:val="4F8BB47B"/>
    <w:rsid w:val="4F97327C"/>
    <w:rsid w:val="4F9C56DF"/>
    <w:rsid w:val="4FA64870"/>
    <w:rsid w:val="4FC2770F"/>
    <w:rsid w:val="4FC2A8A7"/>
    <w:rsid w:val="4FC41985"/>
    <w:rsid w:val="4FD2785E"/>
    <w:rsid w:val="5009B51F"/>
    <w:rsid w:val="500BE306"/>
    <w:rsid w:val="5012CDD7"/>
    <w:rsid w:val="501855D3"/>
    <w:rsid w:val="501DE257"/>
    <w:rsid w:val="5022E8A8"/>
    <w:rsid w:val="502643E1"/>
    <w:rsid w:val="502815F1"/>
    <w:rsid w:val="502ABC06"/>
    <w:rsid w:val="50302248"/>
    <w:rsid w:val="5038BB1C"/>
    <w:rsid w:val="503CE544"/>
    <w:rsid w:val="503D5421"/>
    <w:rsid w:val="504221EA"/>
    <w:rsid w:val="5043BA00"/>
    <w:rsid w:val="50449B28"/>
    <w:rsid w:val="5055DE8E"/>
    <w:rsid w:val="5056E8C7"/>
    <w:rsid w:val="505CF2AA"/>
    <w:rsid w:val="506174B2"/>
    <w:rsid w:val="5062A9EE"/>
    <w:rsid w:val="506AB1C3"/>
    <w:rsid w:val="5072C294"/>
    <w:rsid w:val="5077D2D3"/>
    <w:rsid w:val="507B69CB"/>
    <w:rsid w:val="509D8B3F"/>
    <w:rsid w:val="50ADE68D"/>
    <w:rsid w:val="50BBE4FD"/>
    <w:rsid w:val="50BC677E"/>
    <w:rsid w:val="50C40E5D"/>
    <w:rsid w:val="50C94358"/>
    <w:rsid w:val="50C948A9"/>
    <w:rsid w:val="50DB5060"/>
    <w:rsid w:val="50DF6945"/>
    <w:rsid w:val="50EB55E9"/>
    <w:rsid w:val="50ED4876"/>
    <w:rsid w:val="51034C84"/>
    <w:rsid w:val="51079E0E"/>
    <w:rsid w:val="510D9C94"/>
    <w:rsid w:val="5110DF1F"/>
    <w:rsid w:val="5116B98A"/>
    <w:rsid w:val="511816F2"/>
    <w:rsid w:val="511C770E"/>
    <w:rsid w:val="511CCDB9"/>
    <w:rsid w:val="5121732E"/>
    <w:rsid w:val="512ACD22"/>
    <w:rsid w:val="5135264C"/>
    <w:rsid w:val="51369F57"/>
    <w:rsid w:val="5147B969"/>
    <w:rsid w:val="514E6EA3"/>
    <w:rsid w:val="515044EA"/>
    <w:rsid w:val="51512A40"/>
    <w:rsid w:val="51512C38"/>
    <w:rsid w:val="51514C33"/>
    <w:rsid w:val="515E7908"/>
    <w:rsid w:val="5162998E"/>
    <w:rsid w:val="516C7C7E"/>
    <w:rsid w:val="517368C2"/>
    <w:rsid w:val="517FDE5D"/>
    <w:rsid w:val="51938B2C"/>
    <w:rsid w:val="5199D004"/>
    <w:rsid w:val="51A19F8E"/>
    <w:rsid w:val="51C775EF"/>
    <w:rsid w:val="51C797A8"/>
    <w:rsid w:val="51C94652"/>
    <w:rsid w:val="51CC786C"/>
    <w:rsid w:val="51CCE645"/>
    <w:rsid w:val="51D60BDA"/>
    <w:rsid w:val="51F426D7"/>
    <w:rsid w:val="51F5E9EC"/>
    <w:rsid w:val="51FD770B"/>
    <w:rsid w:val="52139351"/>
    <w:rsid w:val="521FD694"/>
    <w:rsid w:val="52239012"/>
    <w:rsid w:val="522CB25E"/>
    <w:rsid w:val="523027E1"/>
    <w:rsid w:val="5231EA6C"/>
    <w:rsid w:val="523520E6"/>
    <w:rsid w:val="5239DACB"/>
    <w:rsid w:val="524181F3"/>
    <w:rsid w:val="524463C1"/>
    <w:rsid w:val="52484F49"/>
    <w:rsid w:val="524B3F69"/>
    <w:rsid w:val="52588AEE"/>
    <w:rsid w:val="525A4D06"/>
    <w:rsid w:val="5261AB5C"/>
    <w:rsid w:val="526DEDB3"/>
    <w:rsid w:val="527E8650"/>
    <w:rsid w:val="5284A1F5"/>
    <w:rsid w:val="5285A4AA"/>
    <w:rsid w:val="52912DC2"/>
    <w:rsid w:val="5295ABA7"/>
    <w:rsid w:val="52A1278F"/>
    <w:rsid w:val="52A1F104"/>
    <w:rsid w:val="52A29147"/>
    <w:rsid w:val="52A99D3E"/>
    <w:rsid w:val="52B28AC1"/>
    <w:rsid w:val="52BE6C81"/>
    <w:rsid w:val="52C94D23"/>
    <w:rsid w:val="52CACAF1"/>
    <w:rsid w:val="52CC9D23"/>
    <w:rsid w:val="5304E3B8"/>
    <w:rsid w:val="53053D35"/>
    <w:rsid w:val="5305F62C"/>
    <w:rsid w:val="530E33E5"/>
    <w:rsid w:val="530F355F"/>
    <w:rsid w:val="53114CEA"/>
    <w:rsid w:val="5335549F"/>
    <w:rsid w:val="533593CD"/>
    <w:rsid w:val="5336595F"/>
    <w:rsid w:val="533F0883"/>
    <w:rsid w:val="5340065D"/>
    <w:rsid w:val="534D75F4"/>
    <w:rsid w:val="5356EAAB"/>
    <w:rsid w:val="53573F25"/>
    <w:rsid w:val="5362A12E"/>
    <w:rsid w:val="536B3E5E"/>
    <w:rsid w:val="536B544B"/>
    <w:rsid w:val="537A547B"/>
    <w:rsid w:val="5382AB67"/>
    <w:rsid w:val="53866FB7"/>
    <w:rsid w:val="53881254"/>
    <w:rsid w:val="539105C4"/>
    <w:rsid w:val="539A718A"/>
    <w:rsid w:val="539F82CC"/>
    <w:rsid w:val="53AD1A47"/>
    <w:rsid w:val="53C84267"/>
    <w:rsid w:val="53DAC68B"/>
    <w:rsid w:val="53DD9174"/>
    <w:rsid w:val="53DEADF9"/>
    <w:rsid w:val="53E3A98A"/>
    <w:rsid w:val="53ECB35D"/>
    <w:rsid w:val="53EDB615"/>
    <w:rsid w:val="53F72932"/>
    <w:rsid w:val="540270A5"/>
    <w:rsid w:val="541433C8"/>
    <w:rsid w:val="5414E7F3"/>
    <w:rsid w:val="541F910D"/>
    <w:rsid w:val="5427B2EC"/>
    <w:rsid w:val="542ADDE1"/>
    <w:rsid w:val="542D6C42"/>
    <w:rsid w:val="543023E0"/>
    <w:rsid w:val="54377CB2"/>
    <w:rsid w:val="54587DBC"/>
    <w:rsid w:val="5458E422"/>
    <w:rsid w:val="545E3E9B"/>
    <w:rsid w:val="5461169A"/>
    <w:rsid w:val="5464C73C"/>
    <w:rsid w:val="547A6C7A"/>
    <w:rsid w:val="547CD691"/>
    <w:rsid w:val="54828E38"/>
    <w:rsid w:val="54831AFC"/>
    <w:rsid w:val="5486B9C2"/>
    <w:rsid w:val="54906B35"/>
    <w:rsid w:val="54913DE9"/>
    <w:rsid w:val="54A1C68D"/>
    <w:rsid w:val="54A6685C"/>
    <w:rsid w:val="54B38C3A"/>
    <w:rsid w:val="54C3D794"/>
    <w:rsid w:val="54D5F2D9"/>
    <w:rsid w:val="54DF1F28"/>
    <w:rsid w:val="54E17450"/>
    <w:rsid w:val="5504DFFD"/>
    <w:rsid w:val="550609D5"/>
    <w:rsid w:val="55092429"/>
    <w:rsid w:val="55098A9B"/>
    <w:rsid w:val="550BF335"/>
    <w:rsid w:val="5515D55B"/>
    <w:rsid w:val="5517D9A0"/>
    <w:rsid w:val="551849BD"/>
    <w:rsid w:val="551C9003"/>
    <w:rsid w:val="551CBD5E"/>
    <w:rsid w:val="552A9FC4"/>
    <w:rsid w:val="553CE99E"/>
    <w:rsid w:val="55477BE9"/>
    <w:rsid w:val="554ADA41"/>
    <w:rsid w:val="5553E124"/>
    <w:rsid w:val="5567CABB"/>
    <w:rsid w:val="5572D9EC"/>
    <w:rsid w:val="557EC826"/>
    <w:rsid w:val="55840A8E"/>
    <w:rsid w:val="55857341"/>
    <w:rsid w:val="5588A8E6"/>
    <w:rsid w:val="558A22D6"/>
    <w:rsid w:val="558C5781"/>
    <w:rsid w:val="5598C396"/>
    <w:rsid w:val="55A65C83"/>
    <w:rsid w:val="55AE36BF"/>
    <w:rsid w:val="55B04CA2"/>
    <w:rsid w:val="55B285A5"/>
    <w:rsid w:val="55BEC0BC"/>
    <w:rsid w:val="55C1C635"/>
    <w:rsid w:val="55E00C97"/>
    <w:rsid w:val="55EA1FCF"/>
    <w:rsid w:val="560417AF"/>
    <w:rsid w:val="56071A87"/>
    <w:rsid w:val="56078C6A"/>
    <w:rsid w:val="56161366"/>
    <w:rsid w:val="561B25B5"/>
    <w:rsid w:val="561FDA75"/>
    <w:rsid w:val="5620A199"/>
    <w:rsid w:val="563100FE"/>
    <w:rsid w:val="563426C0"/>
    <w:rsid w:val="563487CE"/>
    <w:rsid w:val="563EE7DE"/>
    <w:rsid w:val="56409199"/>
    <w:rsid w:val="56447B4A"/>
    <w:rsid w:val="5646D25D"/>
    <w:rsid w:val="564D3A70"/>
    <w:rsid w:val="565054BA"/>
    <w:rsid w:val="56519E8B"/>
    <w:rsid w:val="5668DE39"/>
    <w:rsid w:val="5671DCDE"/>
    <w:rsid w:val="567A609E"/>
    <w:rsid w:val="568E02D0"/>
    <w:rsid w:val="568E9188"/>
    <w:rsid w:val="56AD5474"/>
    <w:rsid w:val="56B36742"/>
    <w:rsid w:val="56CD8275"/>
    <w:rsid w:val="56D4338D"/>
    <w:rsid w:val="56DF28CE"/>
    <w:rsid w:val="56E26A86"/>
    <w:rsid w:val="56EB1E6D"/>
    <w:rsid w:val="56F5A9F5"/>
    <w:rsid w:val="56F7C74F"/>
    <w:rsid w:val="571D7789"/>
    <w:rsid w:val="57282284"/>
    <w:rsid w:val="572827E2"/>
    <w:rsid w:val="5728E0A6"/>
    <w:rsid w:val="572C17A8"/>
    <w:rsid w:val="57388718"/>
    <w:rsid w:val="573B8161"/>
    <w:rsid w:val="575077E9"/>
    <w:rsid w:val="57523AF6"/>
    <w:rsid w:val="5755F7A7"/>
    <w:rsid w:val="575714A0"/>
    <w:rsid w:val="575A6F55"/>
    <w:rsid w:val="57627EA3"/>
    <w:rsid w:val="577745F6"/>
    <w:rsid w:val="578525BB"/>
    <w:rsid w:val="578728C9"/>
    <w:rsid w:val="578B75DF"/>
    <w:rsid w:val="578BB3A5"/>
    <w:rsid w:val="578E1D67"/>
    <w:rsid w:val="57BDAB9F"/>
    <w:rsid w:val="57C3812A"/>
    <w:rsid w:val="57CB6E79"/>
    <w:rsid w:val="57CD1029"/>
    <w:rsid w:val="57D441FF"/>
    <w:rsid w:val="57D8F8F7"/>
    <w:rsid w:val="57DB9EFB"/>
    <w:rsid w:val="57E17CB5"/>
    <w:rsid w:val="57E33705"/>
    <w:rsid w:val="57E98E21"/>
    <w:rsid w:val="57EB2C7D"/>
    <w:rsid w:val="57EFFE97"/>
    <w:rsid w:val="57F5E231"/>
    <w:rsid w:val="58068D90"/>
    <w:rsid w:val="5806E6FA"/>
    <w:rsid w:val="5808B184"/>
    <w:rsid w:val="580928ED"/>
    <w:rsid w:val="580956F5"/>
    <w:rsid w:val="5827027D"/>
    <w:rsid w:val="582A37C3"/>
    <w:rsid w:val="582EA255"/>
    <w:rsid w:val="583ED90E"/>
    <w:rsid w:val="583EF66A"/>
    <w:rsid w:val="58429BDE"/>
    <w:rsid w:val="5849C0A4"/>
    <w:rsid w:val="5857E967"/>
    <w:rsid w:val="58633784"/>
    <w:rsid w:val="5866E00A"/>
    <w:rsid w:val="58703773"/>
    <w:rsid w:val="58739855"/>
    <w:rsid w:val="587609AC"/>
    <w:rsid w:val="58841784"/>
    <w:rsid w:val="58951E9B"/>
    <w:rsid w:val="58A0614F"/>
    <w:rsid w:val="58B05C42"/>
    <w:rsid w:val="58B62B38"/>
    <w:rsid w:val="58CC7D98"/>
    <w:rsid w:val="58D39528"/>
    <w:rsid w:val="58D63CAB"/>
    <w:rsid w:val="58D68181"/>
    <w:rsid w:val="58DEB68F"/>
    <w:rsid w:val="58E04676"/>
    <w:rsid w:val="58E8AACE"/>
    <w:rsid w:val="58F2DD9C"/>
    <w:rsid w:val="58F7AE37"/>
    <w:rsid w:val="58FA8C12"/>
    <w:rsid w:val="58FAE532"/>
    <w:rsid w:val="5907B23B"/>
    <w:rsid w:val="59092B35"/>
    <w:rsid w:val="590E8F09"/>
    <w:rsid w:val="591FB646"/>
    <w:rsid w:val="592FD770"/>
    <w:rsid w:val="5930A9BA"/>
    <w:rsid w:val="5939BBCD"/>
    <w:rsid w:val="593ED570"/>
    <w:rsid w:val="593F11ED"/>
    <w:rsid w:val="595007A7"/>
    <w:rsid w:val="5956E26E"/>
    <w:rsid w:val="595DF506"/>
    <w:rsid w:val="59606F88"/>
    <w:rsid w:val="5961DB7C"/>
    <w:rsid w:val="59634E75"/>
    <w:rsid w:val="59687D7C"/>
    <w:rsid w:val="5969AF52"/>
    <w:rsid w:val="5981748E"/>
    <w:rsid w:val="59832F9E"/>
    <w:rsid w:val="598CF29A"/>
    <w:rsid w:val="59912DBF"/>
    <w:rsid w:val="59923F6F"/>
    <w:rsid w:val="599E7A86"/>
    <w:rsid w:val="59A5A60C"/>
    <w:rsid w:val="59B5887A"/>
    <w:rsid w:val="59C022EC"/>
    <w:rsid w:val="59CD4B77"/>
    <w:rsid w:val="59DFBEBF"/>
    <w:rsid w:val="59EBFC08"/>
    <w:rsid w:val="59FE0747"/>
    <w:rsid w:val="5A0E25F5"/>
    <w:rsid w:val="5A10EB8E"/>
    <w:rsid w:val="5A13DFAE"/>
    <w:rsid w:val="5A190F02"/>
    <w:rsid w:val="5A1BD79A"/>
    <w:rsid w:val="5A20571B"/>
    <w:rsid w:val="5A33C461"/>
    <w:rsid w:val="5A3CCC9E"/>
    <w:rsid w:val="5A435C49"/>
    <w:rsid w:val="5A603DE7"/>
    <w:rsid w:val="5A737857"/>
    <w:rsid w:val="5A73794F"/>
    <w:rsid w:val="5A7CA68E"/>
    <w:rsid w:val="5A80B608"/>
    <w:rsid w:val="5A82E0BF"/>
    <w:rsid w:val="5A8C8F48"/>
    <w:rsid w:val="5A8E91E0"/>
    <w:rsid w:val="5A8EAAAD"/>
    <w:rsid w:val="5A9A1F65"/>
    <w:rsid w:val="5A9C2000"/>
    <w:rsid w:val="5AA69E95"/>
    <w:rsid w:val="5AA75AAF"/>
    <w:rsid w:val="5AB18B6E"/>
    <w:rsid w:val="5AB39CB9"/>
    <w:rsid w:val="5AB8F933"/>
    <w:rsid w:val="5ABE9221"/>
    <w:rsid w:val="5ACE447B"/>
    <w:rsid w:val="5AD4E914"/>
    <w:rsid w:val="5AD84D66"/>
    <w:rsid w:val="5AEB576E"/>
    <w:rsid w:val="5AEDD85D"/>
    <w:rsid w:val="5B023F2E"/>
    <w:rsid w:val="5B0C5187"/>
    <w:rsid w:val="5B16AD57"/>
    <w:rsid w:val="5B1D06BB"/>
    <w:rsid w:val="5B37B7D1"/>
    <w:rsid w:val="5B57DB5A"/>
    <w:rsid w:val="5B5D3697"/>
    <w:rsid w:val="5B605F4C"/>
    <w:rsid w:val="5B63D4E1"/>
    <w:rsid w:val="5B67BFA0"/>
    <w:rsid w:val="5B69E371"/>
    <w:rsid w:val="5B74F114"/>
    <w:rsid w:val="5BABB552"/>
    <w:rsid w:val="5BB9903D"/>
    <w:rsid w:val="5BC263CB"/>
    <w:rsid w:val="5BC913D7"/>
    <w:rsid w:val="5BCA7D44"/>
    <w:rsid w:val="5BCE1F3E"/>
    <w:rsid w:val="5BE2333B"/>
    <w:rsid w:val="5BE470E7"/>
    <w:rsid w:val="5BE5D06C"/>
    <w:rsid w:val="5BE646D1"/>
    <w:rsid w:val="5BF5FC37"/>
    <w:rsid w:val="5BFB146C"/>
    <w:rsid w:val="5BFF9EBA"/>
    <w:rsid w:val="5C044BBC"/>
    <w:rsid w:val="5C08FBDC"/>
    <w:rsid w:val="5C1FC8D1"/>
    <w:rsid w:val="5C2079C5"/>
    <w:rsid w:val="5C289B0A"/>
    <w:rsid w:val="5C306568"/>
    <w:rsid w:val="5C3362DB"/>
    <w:rsid w:val="5C3367FA"/>
    <w:rsid w:val="5C35D1CC"/>
    <w:rsid w:val="5C3F99D7"/>
    <w:rsid w:val="5C43DE7D"/>
    <w:rsid w:val="5C446EC5"/>
    <w:rsid w:val="5C4A074E"/>
    <w:rsid w:val="5C4C1D0A"/>
    <w:rsid w:val="5C608F68"/>
    <w:rsid w:val="5C61F9AB"/>
    <w:rsid w:val="5C699167"/>
    <w:rsid w:val="5C6AA3BB"/>
    <w:rsid w:val="5C6FFEB5"/>
    <w:rsid w:val="5C757016"/>
    <w:rsid w:val="5C7DAA40"/>
    <w:rsid w:val="5C806267"/>
    <w:rsid w:val="5C84CB05"/>
    <w:rsid w:val="5C888A81"/>
    <w:rsid w:val="5C90DA8F"/>
    <w:rsid w:val="5C941F1D"/>
    <w:rsid w:val="5C9F7768"/>
    <w:rsid w:val="5C9FC1F8"/>
    <w:rsid w:val="5CA1DB71"/>
    <w:rsid w:val="5CA6A7C2"/>
    <w:rsid w:val="5CA6CC34"/>
    <w:rsid w:val="5CB031BA"/>
    <w:rsid w:val="5CB75BE0"/>
    <w:rsid w:val="5CBCFAB4"/>
    <w:rsid w:val="5CD0434F"/>
    <w:rsid w:val="5CDF25ED"/>
    <w:rsid w:val="5CDF307A"/>
    <w:rsid w:val="5CE887BD"/>
    <w:rsid w:val="5CE96ADB"/>
    <w:rsid w:val="5CEA2254"/>
    <w:rsid w:val="5CEABF53"/>
    <w:rsid w:val="5CF3C79F"/>
    <w:rsid w:val="5CF44FA9"/>
    <w:rsid w:val="5CF62A2E"/>
    <w:rsid w:val="5D001E38"/>
    <w:rsid w:val="5D173CF3"/>
    <w:rsid w:val="5D1BFC42"/>
    <w:rsid w:val="5D2B11E5"/>
    <w:rsid w:val="5D33852D"/>
    <w:rsid w:val="5D431CFD"/>
    <w:rsid w:val="5D4741C8"/>
    <w:rsid w:val="5D4F8A69"/>
    <w:rsid w:val="5D514B17"/>
    <w:rsid w:val="5D633BF6"/>
    <w:rsid w:val="5D6ABAA1"/>
    <w:rsid w:val="5D6BFF23"/>
    <w:rsid w:val="5D6F03BF"/>
    <w:rsid w:val="5D704D02"/>
    <w:rsid w:val="5D7695CC"/>
    <w:rsid w:val="5D7E6B80"/>
    <w:rsid w:val="5D81ED75"/>
    <w:rsid w:val="5D853D61"/>
    <w:rsid w:val="5D867581"/>
    <w:rsid w:val="5D905DDC"/>
    <w:rsid w:val="5D91824E"/>
    <w:rsid w:val="5D91BE22"/>
    <w:rsid w:val="5D93A3F2"/>
    <w:rsid w:val="5DA072D9"/>
    <w:rsid w:val="5DA6D4DE"/>
    <w:rsid w:val="5DAFFB2B"/>
    <w:rsid w:val="5DB4278A"/>
    <w:rsid w:val="5DB53AEC"/>
    <w:rsid w:val="5DCF1B9F"/>
    <w:rsid w:val="5DCFF9B6"/>
    <w:rsid w:val="5DD9BE6E"/>
    <w:rsid w:val="5DDD005D"/>
    <w:rsid w:val="5DDDE8D1"/>
    <w:rsid w:val="5DEA8236"/>
    <w:rsid w:val="5DEB15C6"/>
    <w:rsid w:val="5DEEEADF"/>
    <w:rsid w:val="5DF7B753"/>
    <w:rsid w:val="5DFA3B02"/>
    <w:rsid w:val="5DFBDF5E"/>
    <w:rsid w:val="5DFFDC55"/>
    <w:rsid w:val="5E01ACAB"/>
    <w:rsid w:val="5E189279"/>
    <w:rsid w:val="5E1D2EA0"/>
    <w:rsid w:val="5E249E94"/>
    <w:rsid w:val="5E300E25"/>
    <w:rsid w:val="5E3704BD"/>
    <w:rsid w:val="5E3ABD7E"/>
    <w:rsid w:val="5E479B44"/>
    <w:rsid w:val="5E5D1612"/>
    <w:rsid w:val="5E5DC00A"/>
    <w:rsid w:val="5E636734"/>
    <w:rsid w:val="5E6CDA62"/>
    <w:rsid w:val="5E6D5562"/>
    <w:rsid w:val="5E6D80EC"/>
    <w:rsid w:val="5E713FD7"/>
    <w:rsid w:val="5E77A6F6"/>
    <w:rsid w:val="5E7950B5"/>
    <w:rsid w:val="5E85B89B"/>
    <w:rsid w:val="5E8DB892"/>
    <w:rsid w:val="5E92396D"/>
    <w:rsid w:val="5E96C85F"/>
    <w:rsid w:val="5E9E0300"/>
    <w:rsid w:val="5EA08EFA"/>
    <w:rsid w:val="5EB8D5AC"/>
    <w:rsid w:val="5EBE80DB"/>
    <w:rsid w:val="5EC8E156"/>
    <w:rsid w:val="5EC9B2F3"/>
    <w:rsid w:val="5ECFE7A4"/>
    <w:rsid w:val="5EE22DC8"/>
    <w:rsid w:val="5EE7733B"/>
    <w:rsid w:val="5EEEFE07"/>
    <w:rsid w:val="5EFAE8A6"/>
    <w:rsid w:val="5F00589E"/>
    <w:rsid w:val="5F159778"/>
    <w:rsid w:val="5F188160"/>
    <w:rsid w:val="5F18BF18"/>
    <w:rsid w:val="5F1E4FC2"/>
    <w:rsid w:val="5F268FD1"/>
    <w:rsid w:val="5F271F18"/>
    <w:rsid w:val="5F276D81"/>
    <w:rsid w:val="5F2AB8AA"/>
    <w:rsid w:val="5F2C26D8"/>
    <w:rsid w:val="5F44FDA2"/>
    <w:rsid w:val="5F4BA8E1"/>
    <w:rsid w:val="5F4E5B97"/>
    <w:rsid w:val="5F5687C9"/>
    <w:rsid w:val="5F59DE56"/>
    <w:rsid w:val="5F6B0D50"/>
    <w:rsid w:val="5F7287D4"/>
    <w:rsid w:val="5F75AC03"/>
    <w:rsid w:val="5F786D7E"/>
    <w:rsid w:val="5F78DF97"/>
    <w:rsid w:val="5F7B6D6D"/>
    <w:rsid w:val="5F7C2C72"/>
    <w:rsid w:val="5F7CCC57"/>
    <w:rsid w:val="5F85A60D"/>
    <w:rsid w:val="5F85EC46"/>
    <w:rsid w:val="5F97E6F0"/>
    <w:rsid w:val="5FAAEE5F"/>
    <w:rsid w:val="5FBC93E7"/>
    <w:rsid w:val="5FC8C3C5"/>
    <w:rsid w:val="5FC925C8"/>
    <w:rsid w:val="5FD5A450"/>
    <w:rsid w:val="5FD6C195"/>
    <w:rsid w:val="5FD89747"/>
    <w:rsid w:val="5FD918E3"/>
    <w:rsid w:val="5FDD646A"/>
    <w:rsid w:val="5FE1CC71"/>
    <w:rsid w:val="5FE63AE7"/>
    <w:rsid w:val="6003C9D4"/>
    <w:rsid w:val="60186E1E"/>
    <w:rsid w:val="601C4B71"/>
    <w:rsid w:val="601EB1BC"/>
    <w:rsid w:val="6027CFAC"/>
    <w:rsid w:val="6030B25C"/>
    <w:rsid w:val="60413A01"/>
    <w:rsid w:val="604AF2D3"/>
    <w:rsid w:val="604FD82F"/>
    <w:rsid w:val="605899E3"/>
    <w:rsid w:val="605A58FB"/>
    <w:rsid w:val="605C4B27"/>
    <w:rsid w:val="606A762A"/>
    <w:rsid w:val="606B3ACC"/>
    <w:rsid w:val="606F8CB4"/>
    <w:rsid w:val="6071088C"/>
    <w:rsid w:val="607FD3DE"/>
    <w:rsid w:val="6088B82B"/>
    <w:rsid w:val="608A7769"/>
    <w:rsid w:val="608D1149"/>
    <w:rsid w:val="60916E80"/>
    <w:rsid w:val="6096100F"/>
    <w:rsid w:val="60967CC5"/>
    <w:rsid w:val="60983E9D"/>
    <w:rsid w:val="60A1A17A"/>
    <w:rsid w:val="60AB9EFD"/>
    <w:rsid w:val="60B80EA0"/>
    <w:rsid w:val="60D035FB"/>
    <w:rsid w:val="60E0DCB4"/>
    <w:rsid w:val="60E3AD96"/>
    <w:rsid w:val="60F8FA8A"/>
    <w:rsid w:val="60FB218E"/>
    <w:rsid w:val="61002709"/>
    <w:rsid w:val="610B9148"/>
    <w:rsid w:val="610E48AF"/>
    <w:rsid w:val="611BBDB6"/>
    <w:rsid w:val="612ACEAE"/>
    <w:rsid w:val="61326027"/>
    <w:rsid w:val="613C0CCE"/>
    <w:rsid w:val="613CE774"/>
    <w:rsid w:val="6145A563"/>
    <w:rsid w:val="6148C76A"/>
    <w:rsid w:val="61528151"/>
    <w:rsid w:val="615A05A7"/>
    <w:rsid w:val="615B67A6"/>
    <w:rsid w:val="615DA219"/>
    <w:rsid w:val="615E0892"/>
    <w:rsid w:val="616A3411"/>
    <w:rsid w:val="616F5D2D"/>
    <w:rsid w:val="617C58C0"/>
    <w:rsid w:val="6180EC42"/>
    <w:rsid w:val="61831AEF"/>
    <w:rsid w:val="6183C5A8"/>
    <w:rsid w:val="6184C64D"/>
    <w:rsid w:val="618A3E41"/>
    <w:rsid w:val="61995AFA"/>
    <w:rsid w:val="619FB30C"/>
    <w:rsid w:val="61A57791"/>
    <w:rsid w:val="61A95245"/>
    <w:rsid w:val="61AA9937"/>
    <w:rsid w:val="61BA82E2"/>
    <w:rsid w:val="61BC1546"/>
    <w:rsid w:val="61BD8EC1"/>
    <w:rsid w:val="61C2CD1B"/>
    <w:rsid w:val="61C667D0"/>
    <w:rsid w:val="61D34DAD"/>
    <w:rsid w:val="61D92275"/>
    <w:rsid w:val="61DA0394"/>
    <w:rsid w:val="61E97731"/>
    <w:rsid w:val="61F7C511"/>
    <w:rsid w:val="61F960EA"/>
    <w:rsid w:val="61FB5F1D"/>
    <w:rsid w:val="6203B48F"/>
    <w:rsid w:val="6204D128"/>
    <w:rsid w:val="62106DA7"/>
    <w:rsid w:val="6212C2CB"/>
    <w:rsid w:val="62157C69"/>
    <w:rsid w:val="62200376"/>
    <w:rsid w:val="622474EE"/>
    <w:rsid w:val="622C38EA"/>
    <w:rsid w:val="6238B02A"/>
    <w:rsid w:val="624BBB34"/>
    <w:rsid w:val="624F3768"/>
    <w:rsid w:val="62538AEB"/>
    <w:rsid w:val="625C24F9"/>
    <w:rsid w:val="626914C4"/>
    <w:rsid w:val="627953DC"/>
    <w:rsid w:val="6286C826"/>
    <w:rsid w:val="628F3205"/>
    <w:rsid w:val="628FFFDF"/>
    <w:rsid w:val="62A345EE"/>
    <w:rsid w:val="62A6CC01"/>
    <w:rsid w:val="62C24FD2"/>
    <w:rsid w:val="62CE241F"/>
    <w:rsid w:val="62D2B44A"/>
    <w:rsid w:val="62DB918D"/>
    <w:rsid w:val="62E65E3C"/>
    <w:rsid w:val="62F3053C"/>
    <w:rsid w:val="63058F33"/>
    <w:rsid w:val="631462B2"/>
    <w:rsid w:val="6316210F"/>
    <w:rsid w:val="6316F7D6"/>
    <w:rsid w:val="6326EC45"/>
    <w:rsid w:val="63291A54"/>
    <w:rsid w:val="63352088"/>
    <w:rsid w:val="633890C2"/>
    <w:rsid w:val="63396E5D"/>
    <w:rsid w:val="633A15B8"/>
    <w:rsid w:val="633BD31C"/>
    <w:rsid w:val="6341C013"/>
    <w:rsid w:val="63441B04"/>
    <w:rsid w:val="63507844"/>
    <w:rsid w:val="6351E9EA"/>
    <w:rsid w:val="636297F0"/>
    <w:rsid w:val="6364116E"/>
    <w:rsid w:val="6365A3C6"/>
    <w:rsid w:val="6372908F"/>
    <w:rsid w:val="637A8651"/>
    <w:rsid w:val="639CCDE2"/>
    <w:rsid w:val="63A39FBD"/>
    <w:rsid w:val="63A7F474"/>
    <w:rsid w:val="63ADEE20"/>
    <w:rsid w:val="63B00B61"/>
    <w:rsid w:val="63B78C15"/>
    <w:rsid w:val="63BAA1EE"/>
    <w:rsid w:val="63BC4D6B"/>
    <w:rsid w:val="63C703FE"/>
    <w:rsid w:val="63C78C9E"/>
    <w:rsid w:val="63DC2D15"/>
    <w:rsid w:val="63E59C1B"/>
    <w:rsid w:val="63EB9814"/>
    <w:rsid w:val="63EF9D8F"/>
    <w:rsid w:val="63FA3F00"/>
    <w:rsid w:val="63FE95BD"/>
    <w:rsid w:val="63FF5E4E"/>
    <w:rsid w:val="6400B6CC"/>
    <w:rsid w:val="640D191B"/>
    <w:rsid w:val="640D4325"/>
    <w:rsid w:val="640F6B97"/>
    <w:rsid w:val="6415FD34"/>
    <w:rsid w:val="64177288"/>
    <w:rsid w:val="64184710"/>
    <w:rsid w:val="641DEBBA"/>
    <w:rsid w:val="64217E3A"/>
    <w:rsid w:val="6422C0EB"/>
    <w:rsid w:val="6427921D"/>
    <w:rsid w:val="642A8AF5"/>
    <w:rsid w:val="642E6935"/>
    <w:rsid w:val="642EEC8B"/>
    <w:rsid w:val="642F71D9"/>
    <w:rsid w:val="64452C3F"/>
    <w:rsid w:val="64531007"/>
    <w:rsid w:val="64571400"/>
    <w:rsid w:val="6457B405"/>
    <w:rsid w:val="645C51E4"/>
    <w:rsid w:val="6462B33F"/>
    <w:rsid w:val="646539B3"/>
    <w:rsid w:val="64679E9F"/>
    <w:rsid w:val="6473C45E"/>
    <w:rsid w:val="6493F7BB"/>
    <w:rsid w:val="64940B4D"/>
    <w:rsid w:val="649AD125"/>
    <w:rsid w:val="649BAB76"/>
    <w:rsid w:val="64A2953D"/>
    <w:rsid w:val="64ACDB2B"/>
    <w:rsid w:val="64B35ECC"/>
    <w:rsid w:val="64B41148"/>
    <w:rsid w:val="64B565EA"/>
    <w:rsid w:val="64B91E6A"/>
    <w:rsid w:val="64BBA158"/>
    <w:rsid w:val="64BED784"/>
    <w:rsid w:val="64C81722"/>
    <w:rsid w:val="64CC5E89"/>
    <w:rsid w:val="64CCECEB"/>
    <w:rsid w:val="64CF2E20"/>
    <w:rsid w:val="64DDE79C"/>
    <w:rsid w:val="64E053A7"/>
    <w:rsid w:val="64E1C052"/>
    <w:rsid w:val="64E32C04"/>
    <w:rsid w:val="64EFCA9F"/>
    <w:rsid w:val="64F1EDEB"/>
    <w:rsid w:val="64FE420C"/>
    <w:rsid w:val="650273E4"/>
    <w:rsid w:val="6508CA33"/>
    <w:rsid w:val="65121106"/>
    <w:rsid w:val="651D1AC0"/>
    <w:rsid w:val="652081F3"/>
    <w:rsid w:val="6520D888"/>
    <w:rsid w:val="65444106"/>
    <w:rsid w:val="654AC0DF"/>
    <w:rsid w:val="654CA994"/>
    <w:rsid w:val="65568652"/>
    <w:rsid w:val="6558F80F"/>
    <w:rsid w:val="655E5C63"/>
    <w:rsid w:val="6568880A"/>
    <w:rsid w:val="6571D70F"/>
    <w:rsid w:val="6572725C"/>
    <w:rsid w:val="6574F844"/>
    <w:rsid w:val="65750D9F"/>
    <w:rsid w:val="6580D55D"/>
    <w:rsid w:val="6582E3F9"/>
    <w:rsid w:val="658556D7"/>
    <w:rsid w:val="65A78178"/>
    <w:rsid w:val="65C6DFAA"/>
    <w:rsid w:val="65CBFF10"/>
    <w:rsid w:val="65D72049"/>
    <w:rsid w:val="65E3AE0E"/>
    <w:rsid w:val="65FA8D61"/>
    <w:rsid w:val="66050BF4"/>
    <w:rsid w:val="66186133"/>
    <w:rsid w:val="6619DD7A"/>
    <w:rsid w:val="661B9BEA"/>
    <w:rsid w:val="661C64F5"/>
    <w:rsid w:val="661D2777"/>
    <w:rsid w:val="661FC1C7"/>
    <w:rsid w:val="66223682"/>
    <w:rsid w:val="66255D0A"/>
    <w:rsid w:val="6628F70D"/>
    <w:rsid w:val="66306FAF"/>
    <w:rsid w:val="6636A186"/>
    <w:rsid w:val="6637F27A"/>
    <w:rsid w:val="6645E933"/>
    <w:rsid w:val="664836D3"/>
    <w:rsid w:val="664A032C"/>
    <w:rsid w:val="664AD548"/>
    <w:rsid w:val="664D1416"/>
    <w:rsid w:val="664D9638"/>
    <w:rsid w:val="6655E56E"/>
    <w:rsid w:val="66607A34"/>
    <w:rsid w:val="666811CF"/>
    <w:rsid w:val="666C477C"/>
    <w:rsid w:val="666D630B"/>
    <w:rsid w:val="66722E39"/>
    <w:rsid w:val="6679730F"/>
    <w:rsid w:val="66798CD7"/>
    <w:rsid w:val="667A9CD4"/>
    <w:rsid w:val="667B1546"/>
    <w:rsid w:val="667C6D92"/>
    <w:rsid w:val="668D90B4"/>
    <w:rsid w:val="66950955"/>
    <w:rsid w:val="6695A23C"/>
    <w:rsid w:val="66A239F4"/>
    <w:rsid w:val="66C7BA21"/>
    <w:rsid w:val="66D32396"/>
    <w:rsid w:val="66DBF0B0"/>
    <w:rsid w:val="66DD887E"/>
    <w:rsid w:val="66E2F7BF"/>
    <w:rsid w:val="66F54485"/>
    <w:rsid w:val="66FA0124"/>
    <w:rsid w:val="6709A280"/>
    <w:rsid w:val="670BFC8F"/>
    <w:rsid w:val="671F1D3F"/>
    <w:rsid w:val="6729F9FB"/>
    <w:rsid w:val="672E6547"/>
    <w:rsid w:val="67342E17"/>
    <w:rsid w:val="6736B5D1"/>
    <w:rsid w:val="673D0913"/>
    <w:rsid w:val="67411D22"/>
    <w:rsid w:val="6742F528"/>
    <w:rsid w:val="67466687"/>
    <w:rsid w:val="674FC0AE"/>
    <w:rsid w:val="6753C358"/>
    <w:rsid w:val="6757B483"/>
    <w:rsid w:val="675E4CD9"/>
    <w:rsid w:val="67606B30"/>
    <w:rsid w:val="676103E7"/>
    <w:rsid w:val="678376B8"/>
    <w:rsid w:val="67890120"/>
    <w:rsid w:val="678EC814"/>
    <w:rsid w:val="6793CDC5"/>
    <w:rsid w:val="67D17DC5"/>
    <w:rsid w:val="67DFB108"/>
    <w:rsid w:val="67E9B20F"/>
    <w:rsid w:val="67EEF6B2"/>
    <w:rsid w:val="67F07BA0"/>
    <w:rsid w:val="6814D4BD"/>
    <w:rsid w:val="68150546"/>
    <w:rsid w:val="68175CDE"/>
    <w:rsid w:val="6826A6F7"/>
    <w:rsid w:val="682FA58E"/>
    <w:rsid w:val="683D2450"/>
    <w:rsid w:val="68526B92"/>
    <w:rsid w:val="68552796"/>
    <w:rsid w:val="685687A2"/>
    <w:rsid w:val="68575F57"/>
    <w:rsid w:val="685C2F26"/>
    <w:rsid w:val="686248D8"/>
    <w:rsid w:val="68659372"/>
    <w:rsid w:val="686A4827"/>
    <w:rsid w:val="686A6130"/>
    <w:rsid w:val="6871BE37"/>
    <w:rsid w:val="68748B1D"/>
    <w:rsid w:val="6880E63D"/>
    <w:rsid w:val="6887082C"/>
    <w:rsid w:val="688AE46B"/>
    <w:rsid w:val="688C2420"/>
    <w:rsid w:val="689569F4"/>
    <w:rsid w:val="6896C0D3"/>
    <w:rsid w:val="68E19470"/>
    <w:rsid w:val="68EEC3E1"/>
    <w:rsid w:val="68F53CDC"/>
    <w:rsid w:val="68F5590C"/>
    <w:rsid w:val="69012919"/>
    <w:rsid w:val="6909F644"/>
    <w:rsid w:val="69190607"/>
    <w:rsid w:val="6919144F"/>
    <w:rsid w:val="691D3895"/>
    <w:rsid w:val="6924682B"/>
    <w:rsid w:val="69272D0F"/>
    <w:rsid w:val="693546ED"/>
    <w:rsid w:val="693BA005"/>
    <w:rsid w:val="69402615"/>
    <w:rsid w:val="6945D83B"/>
    <w:rsid w:val="69574EA7"/>
    <w:rsid w:val="695BA02F"/>
    <w:rsid w:val="6963732B"/>
    <w:rsid w:val="69653F19"/>
    <w:rsid w:val="696E4248"/>
    <w:rsid w:val="697706DE"/>
    <w:rsid w:val="6985345C"/>
    <w:rsid w:val="698FA952"/>
    <w:rsid w:val="699339EA"/>
    <w:rsid w:val="69993A93"/>
    <w:rsid w:val="6999624C"/>
    <w:rsid w:val="69A94FD6"/>
    <w:rsid w:val="69B7B4BA"/>
    <w:rsid w:val="69B7E2FF"/>
    <w:rsid w:val="69BDF3C9"/>
    <w:rsid w:val="69C29B40"/>
    <w:rsid w:val="69C40F67"/>
    <w:rsid w:val="69E82DF3"/>
    <w:rsid w:val="69E88084"/>
    <w:rsid w:val="69EB7D43"/>
    <w:rsid w:val="69EC8DA7"/>
    <w:rsid w:val="69ED7BB5"/>
    <w:rsid w:val="69EDFF78"/>
    <w:rsid w:val="69EEAC54"/>
    <w:rsid w:val="6A17123A"/>
    <w:rsid w:val="6A23ECCA"/>
    <w:rsid w:val="6A25D388"/>
    <w:rsid w:val="6A4BBB60"/>
    <w:rsid w:val="6A4C8A22"/>
    <w:rsid w:val="6A532DA0"/>
    <w:rsid w:val="6A6344A6"/>
    <w:rsid w:val="6A6D615A"/>
    <w:rsid w:val="6A74B0D5"/>
    <w:rsid w:val="6A75F9D1"/>
    <w:rsid w:val="6A7601FB"/>
    <w:rsid w:val="6A76063B"/>
    <w:rsid w:val="6A7CE86D"/>
    <w:rsid w:val="6A7FC297"/>
    <w:rsid w:val="6A81A01F"/>
    <w:rsid w:val="6A8AB27B"/>
    <w:rsid w:val="6A94D3E3"/>
    <w:rsid w:val="6A9B63D2"/>
    <w:rsid w:val="6AA19AC2"/>
    <w:rsid w:val="6AA6573D"/>
    <w:rsid w:val="6AAB6091"/>
    <w:rsid w:val="6ABCC1A5"/>
    <w:rsid w:val="6ABDDF53"/>
    <w:rsid w:val="6AC446B3"/>
    <w:rsid w:val="6AC8D863"/>
    <w:rsid w:val="6ACEBB47"/>
    <w:rsid w:val="6AEBD256"/>
    <w:rsid w:val="6AEE263E"/>
    <w:rsid w:val="6AF0ADDE"/>
    <w:rsid w:val="6AF2642A"/>
    <w:rsid w:val="6AF53AE5"/>
    <w:rsid w:val="6AFDA388"/>
    <w:rsid w:val="6AFDF36E"/>
    <w:rsid w:val="6B149E2E"/>
    <w:rsid w:val="6B2FFDA7"/>
    <w:rsid w:val="6B33E39F"/>
    <w:rsid w:val="6B43DC6D"/>
    <w:rsid w:val="6B45AB18"/>
    <w:rsid w:val="6B4C211F"/>
    <w:rsid w:val="6B5EF250"/>
    <w:rsid w:val="6B61FB18"/>
    <w:rsid w:val="6B75CE8F"/>
    <w:rsid w:val="6B8638C0"/>
    <w:rsid w:val="6B86D8F4"/>
    <w:rsid w:val="6B874DA4"/>
    <w:rsid w:val="6B9977E4"/>
    <w:rsid w:val="6BA9A425"/>
    <w:rsid w:val="6BAA4E77"/>
    <w:rsid w:val="6BAB89FB"/>
    <w:rsid w:val="6BAF7123"/>
    <w:rsid w:val="6BB4258F"/>
    <w:rsid w:val="6BC7240D"/>
    <w:rsid w:val="6BE57F0E"/>
    <w:rsid w:val="6BEC8EF0"/>
    <w:rsid w:val="6BF889A4"/>
    <w:rsid w:val="6C05308A"/>
    <w:rsid w:val="6C10A851"/>
    <w:rsid w:val="6C1D2008"/>
    <w:rsid w:val="6C275459"/>
    <w:rsid w:val="6C28B843"/>
    <w:rsid w:val="6C2CA8C3"/>
    <w:rsid w:val="6C39ABE8"/>
    <w:rsid w:val="6C42F2D5"/>
    <w:rsid w:val="6C63FA01"/>
    <w:rsid w:val="6C7099C5"/>
    <w:rsid w:val="6C73930D"/>
    <w:rsid w:val="6C794542"/>
    <w:rsid w:val="6C7D2AE3"/>
    <w:rsid w:val="6C83BDCF"/>
    <w:rsid w:val="6C8C7E3F"/>
    <w:rsid w:val="6C9842F4"/>
    <w:rsid w:val="6C9FFCBA"/>
    <w:rsid w:val="6CA03177"/>
    <w:rsid w:val="6CAAFC01"/>
    <w:rsid w:val="6CACB2E7"/>
    <w:rsid w:val="6CAFAE43"/>
    <w:rsid w:val="6CB1B11C"/>
    <w:rsid w:val="6CB33D6C"/>
    <w:rsid w:val="6CBADFF1"/>
    <w:rsid w:val="6CBFC134"/>
    <w:rsid w:val="6CC29AA6"/>
    <w:rsid w:val="6CC5F56B"/>
    <w:rsid w:val="6CCE91B5"/>
    <w:rsid w:val="6CDC6275"/>
    <w:rsid w:val="6CDEF15F"/>
    <w:rsid w:val="6CE4229A"/>
    <w:rsid w:val="6CF537A6"/>
    <w:rsid w:val="6D019E62"/>
    <w:rsid w:val="6D0F597A"/>
    <w:rsid w:val="6D0FF76A"/>
    <w:rsid w:val="6D1BE43C"/>
    <w:rsid w:val="6D227C60"/>
    <w:rsid w:val="6D231E05"/>
    <w:rsid w:val="6D38E3C6"/>
    <w:rsid w:val="6D44920D"/>
    <w:rsid w:val="6D458524"/>
    <w:rsid w:val="6D4F7ADF"/>
    <w:rsid w:val="6D55B515"/>
    <w:rsid w:val="6D565839"/>
    <w:rsid w:val="6D569F2F"/>
    <w:rsid w:val="6D5EC415"/>
    <w:rsid w:val="6D60F86F"/>
    <w:rsid w:val="6D69B951"/>
    <w:rsid w:val="6D7102C2"/>
    <w:rsid w:val="6D76364A"/>
    <w:rsid w:val="6D8B28AA"/>
    <w:rsid w:val="6DA4DFF0"/>
    <w:rsid w:val="6DB8D853"/>
    <w:rsid w:val="6DBB8009"/>
    <w:rsid w:val="6DC57BDE"/>
    <w:rsid w:val="6DD0FB90"/>
    <w:rsid w:val="6DD1E0D2"/>
    <w:rsid w:val="6DD65A70"/>
    <w:rsid w:val="6DDF17BD"/>
    <w:rsid w:val="6DEA7571"/>
    <w:rsid w:val="6DF57E63"/>
    <w:rsid w:val="6E0130DB"/>
    <w:rsid w:val="6E1017E6"/>
    <w:rsid w:val="6E1916A1"/>
    <w:rsid w:val="6E1BDA3D"/>
    <w:rsid w:val="6E284EA0"/>
    <w:rsid w:val="6E2BA689"/>
    <w:rsid w:val="6E320B06"/>
    <w:rsid w:val="6E3A5DA3"/>
    <w:rsid w:val="6E3AA0C4"/>
    <w:rsid w:val="6E3DE2EB"/>
    <w:rsid w:val="6E4FC7D5"/>
    <w:rsid w:val="6E61AFCE"/>
    <w:rsid w:val="6E646DE8"/>
    <w:rsid w:val="6E65C24C"/>
    <w:rsid w:val="6E661856"/>
    <w:rsid w:val="6E71109D"/>
    <w:rsid w:val="6E71B26F"/>
    <w:rsid w:val="6E7DE59B"/>
    <w:rsid w:val="6E8FE47B"/>
    <w:rsid w:val="6E9D7B17"/>
    <w:rsid w:val="6E9DCCFF"/>
    <w:rsid w:val="6EB7B989"/>
    <w:rsid w:val="6EBB6627"/>
    <w:rsid w:val="6EC9670B"/>
    <w:rsid w:val="6ECCA992"/>
    <w:rsid w:val="6ECEB521"/>
    <w:rsid w:val="6ED07A47"/>
    <w:rsid w:val="6EEDCFAE"/>
    <w:rsid w:val="6EEEC870"/>
    <w:rsid w:val="6EF8B372"/>
    <w:rsid w:val="6F044CCE"/>
    <w:rsid w:val="6F0C9E65"/>
    <w:rsid w:val="6F146491"/>
    <w:rsid w:val="6F208F90"/>
    <w:rsid w:val="6F348361"/>
    <w:rsid w:val="6F4524EF"/>
    <w:rsid w:val="6F4A8C75"/>
    <w:rsid w:val="6F4BC31C"/>
    <w:rsid w:val="6F5A2114"/>
    <w:rsid w:val="6F6282E4"/>
    <w:rsid w:val="6F7457D6"/>
    <w:rsid w:val="6F7B50D8"/>
    <w:rsid w:val="6F85B609"/>
    <w:rsid w:val="6F8E4927"/>
    <w:rsid w:val="6F9115A6"/>
    <w:rsid w:val="6F92C6F7"/>
    <w:rsid w:val="6F950B48"/>
    <w:rsid w:val="6F989670"/>
    <w:rsid w:val="6F9B2E45"/>
    <w:rsid w:val="6F9D4EBF"/>
    <w:rsid w:val="6F9D690D"/>
    <w:rsid w:val="6F9E5CB4"/>
    <w:rsid w:val="6F9FE1BE"/>
    <w:rsid w:val="6FA3321D"/>
    <w:rsid w:val="6FA71C44"/>
    <w:rsid w:val="6FA78D6F"/>
    <w:rsid w:val="6FA8110F"/>
    <w:rsid w:val="6FAD58DC"/>
    <w:rsid w:val="6FAD9B57"/>
    <w:rsid w:val="6FB5F03E"/>
    <w:rsid w:val="6FB90C2A"/>
    <w:rsid w:val="6FBCDAD0"/>
    <w:rsid w:val="6FC6CABB"/>
    <w:rsid w:val="6FCA48F6"/>
    <w:rsid w:val="6FD592A9"/>
    <w:rsid w:val="6FDFDE5A"/>
    <w:rsid w:val="6FED55D5"/>
    <w:rsid w:val="7006B03E"/>
    <w:rsid w:val="7009B47A"/>
    <w:rsid w:val="700A51E1"/>
    <w:rsid w:val="700D6B54"/>
    <w:rsid w:val="7021E5D5"/>
    <w:rsid w:val="702501E6"/>
    <w:rsid w:val="7025B303"/>
    <w:rsid w:val="7028F9BD"/>
    <w:rsid w:val="7038D9BD"/>
    <w:rsid w:val="703A1FE7"/>
    <w:rsid w:val="7045268B"/>
    <w:rsid w:val="704882B4"/>
    <w:rsid w:val="7049E94C"/>
    <w:rsid w:val="705D4F2D"/>
    <w:rsid w:val="7071D98B"/>
    <w:rsid w:val="70731934"/>
    <w:rsid w:val="70790004"/>
    <w:rsid w:val="70796C30"/>
    <w:rsid w:val="70960C14"/>
    <w:rsid w:val="70A07209"/>
    <w:rsid w:val="70A81248"/>
    <w:rsid w:val="70C48227"/>
    <w:rsid w:val="70C4A712"/>
    <w:rsid w:val="70CDD9E1"/>
    <w:rsid w:val="70EAE188"/>
    <w:rsid w:val="70EB2FCB"/>
    <w:rsid w:val="70FFE0A7"/>
    <w:rsid w:val="71051B01"/>
    <w:rsid w:val="7108B567"/>
    <w:rsid w:val="710F3426"/>
    <w:rsid w:val="711A042A"/>
    <w:rsid w:val="711EE10F"/>
    <w:rsid w:val="7126322E"/>
    <w:rsid w:val="71275EE0"/>
    <w:rsid w:val="713DEBE1"/>
    <w:rsid w:val="7152DEFA"/>
    <w:rsid w:val="717A0331"/>
    <w:rsid w:val="7182F6DE"/>
    <w:rsid w:val="718EE182"/>
    <w:rsid w:val="719A9791"/>
    <w:rsid w:val="71A0992B"/>
    <w:rsid w:val="71B2E3CF"/>
    <w:rsid w:val="71B67B04"/>
    <w:rsid w:val="71BDF046"/>
    <w:rsid w:val="71BEE885"/>
    <w:rsid w:val="71C14A05"/>
    <w:rsid w:val="71C5835A"/>
    <w:rsid w:val="71CAFA4D"/>
    <w:rsid w:val="71CBA9BB"/>
    <w:rsid w:val="71D288AF"/>
    <w:rsid w:val="71DCAE66"/>
    <w:rsid w:val="71DDF2C3"/>
    <w:rsid w:val="71E0F5EA"/>
    <w:rsid w:val="71EAACBE"/>
    <w:rsid w:val="71EF37F8"/>
    <w:rsid w:val="71F08FFD"/>
    <w:rsid w:val="71F30255"/>
    <w:rsid w:val="720263A9"/>
    <w:rsid w:val="72047EFD"/>
    <w:rsid w:val="7211DF60"/>
    <w:rsid w:val="721B3E0E"/>
    <w:rsid w:val="721F7283"/>
    <w:rsid w:val="72218568"/>
    <w:rsid w:val="722C6C6C"/>
    <w:rsid w:val="722F771E"/>
    <w:rsid w:val="723C3BB9"/>
    <w:rsid w:val="724F543D"/>
    <w:rsid w:val="72549BC7"/>
    <w:rsid w:val="727021E5"/>
    <w:rsid w:val="727E8B30"/>
    <w:rsid w:val="7283892B"/>
    <w:rsid w:val="7285ADFD"/>
    <w:rsid w:val="72874D26"/>
    <w:rsid w:val="728DABF4"/>
    <w:rsid w:val="729149F2"/>
    <w:rsid w:val="7294D327"/>
    <w:rsid w:val="7299F1C8"/>
    <w:rsid w:val="72A66F59"/>
    <w:rsid w:val="72A6B399"/>
    <w:rsid w:val="72AC7328"/>
    <w:rsid w:val="72ACE59A"/>
    <w:rsid w:val="72BE2F3D"/>
    <w:rsid w:val="72D80FEB"/>
    <w:rsid w:val="72D81841"/>
    <w:rsid w:val="72E2EDDF"/>
    <w:rsid w:val="72EF0F5A"/>
    <w:rsid w:val="73005B61"/>
    <w:rsid w:val="73051381"/>
    <w:rsid w:val="730B3FD2"/>
    <w:rsid w:val="730FFC65"/>
    <w:rsid w:val="7313D79A"/>
    <w:rsid w:val="73156D01"/>
    <w:rsid w:val="731714A4"/>
    <w:rsid w:val="731DD986"/>
    <w:rsid w:val="732ABE82"/>
    <w:rsid w:val="733AAC83"/>
    <w:rsid w:val="733C07E7"/>
    <w:rsid w:val="733C0DAE"/>
    <w:rsid w:val="733CB469"/>
    <w:rsid w:val="73462BFD"/>
    <w:rsid w:val="73715152"/>
    <w:rsid w:val="737D152F"/>
    <w:rsid w:val="737DA9AA"/>
    <w:rsid w:val="7387DBBB"/>
    <w:rsid w:val="738FE50D"/>
    <w:rsid w:val="73A298AD"/>
    <w:rsid w:val="73A57E0B"/>
    <w:rsid w:val="73BA7D89"/>
    <w:rsid w:val="73C16541"/>
    <w:rsid w:val="73C19561"/>
    <w:rsid w:val="73DA870B"/>
    <w:rsid w:val="73E85AC3"/>
    <w:rsid w:val="740C1FB0"/>
    <w:rsid w:val="74102E95"/>
    <w:rsid w:val="74114C10"/>
    <w:rsid w:val="742E5238"/>
    <w:rsid w:val="7433D443"/>
    <w:rsid w:val="7437F12D"/>
    <w:rsid w:val="744C4077"/>
    <w:rsid w:val="744F0AD0"/>
    <w:rsid w:val="74580168"/>
    <w:rsid w:val="745E429D"/>
    <w:rsid w:val="7462D468"/>
    <w:rsid w:val="7466E026"/>
    <w:rsid w:val="74689CD3"/>
    <w:rsid w:val="747CD9DD"/>
    <w:rsid w:val="747E88E9"/>
    <w:rsid w:val="748A6857"/>
    <w:rsid w:val="748B2DFD"/>
    <w:rsid w:val="7491CB2A"/>
    <w:rsid w:val="749C53FD"/>
    <w:rsid w:val="749E9AD2"/>
    <w:rsid w:val="74A80462"/>
    <w:rsid w:val="74AB142B"/>
    <w:rsid w:val="74B8D7C3"/>
    <w:rsid w:val="74D1F464"/>
    <w:rsid w:val="74D85D9F"/>
    <w:rsid w:val="74DD5E2B"/>
    <w:rsid w:val="74F3B595"/>
    <w:rsid w:val="74FCBC62"/>
    <w:rsid w:val="74FF5BF5"/>
    <w:rsid w:val="75025870"/>
    <w:rsid w:val="7505B119"/>
    <w:rsid w:val="75067630"/>
    <w:rsid w:val="750F0EF0"/>
    <w:rsid w:val="7514324F"/>
    <w:rsid w:val="751CBDF3"/>
    <w:rsid w:val="751EB463"/>
    <w:rsid w:val="751F4F3E"/>
    <w:rsid w:val="75246698"/>
    <w:rsid w:val="7529431E"/>
    <w:rsid w:val="753A6144"/>
    <w:rsid w:val="753E1DB7"/>
    <w:rsid w:val="753EAB4F"/>
    <w:rsid w:val="75437A94"/>
    <w:rsid w:val="75535250"/>
    <w:rsid w:val="75561A2D"/>
    <w:rsid w:val="755717D5"/>
    <w:rsid w:val="7563641A"/>
    <w:rsid w:val="7564E9EB"/>
    <w:rsid w:val="7574B960"/>
    <w:rsid w:val="757A6728"/>
    <w:rsid w:val="75871D09"/>
    <w:rsid w:val="7597BF2E"/>
    <w:rsid w:val="7597D08B"/>
    <w:rsid w:val="759D163F"/>
    <w:rsid w:val="75A32953"/>
    <w:rsid w:val="75A405FE"/>
    <w:rsid w:val="75A4B7E2"/>
    <w:rsid w:val="75A544F7"/>
    <w:rsid w:val="75B6195E"/>
    <w:rsid w:val="75C25A77"/>
    <w:rsid w:val="75C89D96"/>
    <w:rsid w:val="75D03237"/>
    <w:rsid w:val="75D1887D"/>
    <w:rsid w:val="75D32792"/>
    <w:rsid w:val="75D3B403"/>
    <w:rsid w:val="75DC6C80"/>
    <w:rsid w:val="75E4E3CB"/>
    <w:rsid w:val="76020ABC"/>
    <w:rsid w:val="760756FA"/>
    <w:rsid w:val="760D2361"/>
    <w:rsid w:val="76143F7D"/>
    <w:rsid w:val="761804AA"/>
    <w:rsid w:val="76329291"/>
    <w:rsid w:val="765601B0"/>
    <w:rsid w:val="7668392A"/>
    <w:rsid w:val="76780504"/>
    <w:rsid w:val="767FAFF1"/>
    <w:rsid w:val="7688482F"/>
    <w:rsid w:val="768A75FA"/>
    <w:rsid w:val="76914B34"/>
    <w:rsid w:val="76940C93"/>
    <w:rsid w:val="769AA0D6"/>
    <w:rsid w:val="769C3BEA"/>
    <w:rsid w:val="769CF493"/>
    <w:rsid w:val="769D1A45"/>
    <w:rsid w:val="76A1AC2A"/>
    <w:rsid w:val="76A5E4B3"/>
    <w:rsid w:val="76A9ED06"/>
    <w:rsid w:val="76B4680F"/>
    <w:rsid w:val="76E0B609"/>
    <w:rsid w:val="76F08C46"/>
    <w:rsid w:val="76F64644"/>
    <w:rsid w:val="770816DE"/>
    <w:rsid w:val="7715EADB"/>
    <w:rsid w:val="7723204C"/>
    <w:rsid w:val="77234D50"/>
    <w:rsid w:val="77235568"/>
    <w:rsid w:val="7733434A"/>
    <w:rsid w:val="773993BF"/>
    <w:rsid w:val="773BF07B"/>
    <w:rsid w:val="77433DDA"/>
    <w:rsid w:val="774552A7"/>
    <w:rsid w:val="7748E7E9"/>
    <w:rsid w:val="774B96C2"/>
    <w:rsid w:val="7764EA2C"/>
    <w:rsid w:val="77655BD1"/>
    <w:rsid w:val="776A2D7D"/>
    <w:rsid w:val="776B6619"/>
    <w:rsid w:val="7770B20A"/>
    <w:rsid w:val="777A900C"/>
    <w:rsid w:val="778097FA"/>
    <w:rsid w:val="77865C1F"/>
    <w:rsid w:val="77956818"/>
    <w:rsid w:val="7799B86C"/>
    <w:rsid w:val="77A4FC93"/>
    <w:rsid w:val="77B6C2B7"/>
    <w:rsid w:val="77B79F8A"/>
    <w:rsid w:val="77BC1E2B"/>
    <w:rsid w:val="77C97E31"/>
    <w:rsid w:val="77CD733B"/>
    <w:rsid w:val="77DF9A70"/>
    <w:rsid w:val="77E09995"/>
    <w:rsid w:val="77E2DC5F"/>
    <w:rsid w:val="77F50909"/>
    <w:rsid w:val="77F78AA4"/>
    <w:rsid w:val="77F9698B"/>
    <w:rsid w:val="77FFDBD5"/>
    <w:rsid w:val="78005854"/>
    <w:rsid w:val="78062E50"/>
    <w:rsid w:val="7806CD99"/>
    <w:rsid w:val="780E2FD8"/>
    <w:rsid w:val="780F5999"/>
    <w:rsid w:val="7815ED9B"/>
    <w:rsid w:val="7819711E"/>
    <w:rsid w:val="7827FF1F"/>
    <w:rsid w:val="782A2D33"/>
    <w:rsid w:val="7839E709"/>
    <w:rsid w:val="783A387D"/>
    <w:rsid w:val="784AE90F"/>
    <w:rsid w:val="784B73DF"/>
    <w:rsid w:val="784CD116"/>
    <w:rsid w:val="785AD74B"/>
    <w:rsid w:val="785E3B76"/>
    <w:rsid w:val="7873FE58"/>
    <w:rsid w:val="787A05C5"/>
    <w:rsid w:val="788FBF3B"/>
    <w:rsid w:val="7890D40F"/>
    <w:rsid w:val="78919B5B"/>
    <w:rsid w:val="78A757DF"/>
    <w:rsid w:val="78AB39F6"/>
    <w:rsid w:val="78ACAB81"/>
    <w:rsid w:val="78B24260"/>
    <w:rsid w:val="78BBE74C"/>
    <w:rsid w:val="78C44CE1"/>
    <w:rsid w:val="78C91126"/>
    <w:rsid w:val="78CDAC97"/>
    <w:rsid w:val="78D0B7E3"/>
    <w:rsid w:val="78D9AF4F"/>
    <w:rsid w:val="78DB209F"/>
    <w:rsid w:val="78E9E736"/>
    <w:rsid w:val="78F4B6B8"/>
    <w:rsid w:val="78FC5142"/>
    <w:rsid w:val="78FDD4DE"/>
    <w:rsid w:val="78FF1F99"/>
    <w:rsid w:val="7909DF28"/>
    <w:rsid w:val="791791A4"/>
    <w:rsid w:val="791C015C"/>
    <w:rsid w:val="792CCB5D"/>
    <w:rsid w:val="79363C62"/>
    <w:rsid w:val="79426713"/>
    <w:rsid w:val="794278B6"/>
    <w:rsid w:val="7946498F"/>
    <w:rsid w:val="79479955"/>
    <w:rsid w:val="794ADC27"/>
    <w:rsid w:val="794E447D"/>
    <w:rsid w:val="7955601C"/>
    <w:rsid w:val="795EAA3E"/>
    <w:rsid w:val="79740D19"/>
    <w:rsid w:val="797683B2"/>
    <w:rsid w:val="7980D4F4"/>
    <w:rsid w:val="798A858E"/>
    <w:rsid w:val="79943314"/>
    <w:rsid w:val="7994650E"/>
    <w:rsid w:val="79A01E51"/>
    <w:rsid w:val="79AE7581"/>
    <w:rsid w:val="79B13992"/>
    <w:rsid w:val="79B7993F"/>
    <w:rsid w:val="79B9EFB9"/>
    <w:rsid w:val="79BB1C4A"/>
    <w:rsid w:val="79C4FFB5"/>
    <w:rsid w:val="79C9F96C"/>
    <w:rsid w:val="79CD8639"/>
    <w:rsid w:val="79E00F38"/>
    <w:rsid w:val="79E9194B"/>
    <w:rsid w:val="79EA8123"/>
    <w:rsid w:val="79EB6280"/>
    <w:rsid w:val="7A08D0A7"/>
    <w:rsid w:val="7A0DFCEF"/>
    <w:rsid w:val="7A122971"/>
    <w:rsid w:val="7A13A049"/>
    <w:rsid w:val="7A162E52"/>
    <w:rsid w:val="7A20508E"/>
    <w:rsid w:val="7A288788"/>
    <w:rsid w:val="7A35BDC6"/>
    <w:rsid w:val="7A38D2CF"/>
    <w:rsid w:val="7A38F007"/>
    <w:rsid w:val="7A3A4CDF"/>
    <w:rsid w:val="7A3B95FF"/>
    <w:rsid w:val="7A44D912"/>
    <w:rsid w:val="7A4D5113"/>
    <w:rsid w:val="7A4FE9B2"/>
    <w:rsid w:val="7A54C554"/>
    <w:rsid w:val="7A6199AB"/>
    <w:rsid w:val="7A6F8781"/>
    <w:rsid w:val="7A78973D"/>
    <w:rsid w:val="7A7B9937"/>
    <w:rsid w:val="7A7C19DA"/>
    <w:rsid w:val="7A7D16CF"/>
    <w:rsid w:val="7A908719"/>
    <w:rsid w:val="7A963DFF"/>
    <w:rsid w:val="7A9C50FB"/>
    <w:rsid w:val="7A9F7F7A"/>
    <w:rsid w:val="7AB22A43"/>
    <w:rsid w:val="7AB658E7"/>
    <w:rsid w:val="7AB6D60E"/>
    <w:rsid w:val="7AB9B091"/>
    <w:rsid w:val="7ABF7552"/>
    <w:rsid w:val="7AC4C54E"/>
    <w:rsid w:val="7AC77F97"/>
    <w:rsid w:val="7ACB53B7"/>
    <w:rsid w:val="7ACD8A14"/>
    <w:rsid w:val="7AD45B42"/>
    <w:rsid w:val="7AD8871D"/>
    <w:rsid w:val="7AE1129E"/>
    <w:rsid w:val="7AE2D0BF"/>
    <w:rsid w:val="7AE72A4A"/>
    <w:rsid w:val="7AEB8D8F"/>
    <w:rsid w:val="7AEBFDD8"/>
    <w:rsid w:val="7AF09C2E"/>
    <w:rsid w:val="7AF67A71"/>
    <w:rsid w:val="7AFCEFE4"/>
    <w:rsid w:val="7AFDC6EF"/>
    <w:rsid w:val="7B0766C7"/>
    <w:rsid w:val="7B09D8EF"/>
    <w:rsid w:val="7B0BEBA9"/>
    <w:rsid w:val="7B1850FB"/>
    <w:rsid w:val="7B1C65AE"/>
    <w:rsid w:val="7B1D386A"/>
    <w:rsid w:val="7B208570"/>
    <w:rsid w:val="7B23174D"/>
    <w:rsid w:val="7B244AC7"/>
    <w:rsid w:val="7B4386AC"/>
    <w:rsid w:val="7B45FDA8"/>
    <w:rsid w:val="7B4822CF"/>
    <w:rsid w:val="7B4CB8CE"/>
    <w:rsid w:val="7B51240D"/>
    <w:rsid w:val="7B516F61"/>
    <w:rsid w:val="7B56AF67"/>
    <w:rsid w:val="7B63721F"/>
    <w:rsid w:val="7B69354D"/>
    <w:rsid w:val="7B6C0C9E"/>
    <w:rsid w:val="7B7104FB"/>
    <w:rsid w:val="7B760EE8"/>
    <w:rsid w:val="7B77000A"/>
    <w:rsid w:val="7B7798FF"/>
    <w:rsid w:val="7B79A40E"/>
    <w:rsid w:val="7B85D6F7"/>
    <w:rsid w:val="7B93324E"/>
    <w:rsid w:val="7B947B5F"/>
    <w:rsid w:val="7B965E82"/>
    <w:rsid w:val="7B9E098F"/>
    <w:rsid w:val="7BB528B1"/>
    <w:rsid w:val="7BBC20EF"/>
    <w:rsid w:val="7BBFFFE8"/>
    <w:rsid w:val="7BC1BA91"/>
    <w:rsid w:val="7BC4438B"/>
    <w:rsid w:val="7BC7799B"/>
    <w:rsid w:val="7BCC0918"/>
    <w:rsid w:val="7BD4A330"/>
    <w:rsid w:val="7BD9A1A9"/>
    <w:rsid w:val="7BE0EA74"/>
    <w:rsid w:val="7BE8B70C"/>
    <w:rsid w:val="7BF128D4"/>
    <w:rsid w:val="7BF92BAD"/>
    <w:rsid w:val="7C00E173"/>
    <w:rsid w:val="7C0EB2BD"/>
    <w:rsid w:val="7C0EC31F"/>
    <w:rsid w:val="7C2527B9"/>
    <w:rsid w:val="7C25607E"/>
    <w:rsid w:val="7C2735E0"/>
    <w:rsid w:val="7C30A988"/>
    <w:rsid w:val="7C316AF2"/>
    <w:rsid w:val="7C320B8B"/>
    <w:rsid w:val="7C4DC1A8"/>
    <w:rsid w:val="7C4F7A14"/>
    <w:rsid w:val="7C54CC7B"/>
    <w:rsid w:val="7C6C307E"/>
    <w:rsid w:val="7C6FB342"/>
    <w:rsid w:val="7C7228F6"/>
    <w:rsid w:val="7C7246C4"/>
    <w:rsid w:val="7C792A67"/>
    <w:rsid w:val="7C855F7B"/>
    <w:rsid w:val="7C866541"/>
    <w:rsid w:val="7C8DDF47"/>
    <w:rsid w:val="7C8FD911"/>
    <w:rsid w:val="7C93A358"/>
    <w:rsid w:val="7C94CCD0"/>
    <w:rsid w:val="7C9D967E"/>
    <w:rsid w:val="7C9DDC85"/>
    <w:rsid w:val="7CA0501F"/>
    <w:rsid w:val="7CA0A4A7"/>
    <w:rsid w:val="7CAF08FF"/>
    <w:rsid w:val="7CB6F196"/>
    <w:rsid w:val="7CB87AEE"/>
    <w:rsid w:val="7CC07DF8"/>
    <w:rsid w:val="7CC8333B"/>
    <w:rsid w:val="7CCEED93"/>
    <w:rsid w:val="7CD83F0F"/>
    <w:rsid w:val="7CDF84AE"/>
    <w:rsid w:val="7CE6D80E"/>
    <w:rsid w:val="7CE8FF05"/>
    <w:rsid w:val="7CEE0333"/>
    <w:rsid w:val="7CF2E6A0"/>
    <w:rsid w:val="7CF32DEE"/>
    <w:rsid w:val="7D02250E"/>
    <w:rsid w:val="7D09AB38"/>
    <w:rsid w:val="7D0DDBF2"/>
    <w:rsid w:val="7D10373E"/>
    <w:rsid w:val="7D1476ED"/>
    <w:rsid w:val="7D1698EC"/>
    <w:rsid w:val="7D183A1C"/>
    <w:rsid w:val="7D1B9DFD"/>
    <w:rsid w:val="7D1C03EB"/>
    <w:rsid w:val="7D23060C"/>
    <w:rsid w:val="7D323A7D"/>
    <w:rsid w:val="7D3D35E7"/>
    <w:rsid w:val="7D3EF834"/>
    <w:rsid w:val="7D4D83B2"/>
    <w:rsid w:val="7D51F899"/>
    <w:rsid w:val="7D5A7374"/>
    <w:rsid w:val="7D6501F5"/>
    <w:rsid w:val="7D6C9318"/>
    <w:rsid w:val="7D6CF075"/>
    <w:rsid w:val="7D6CFFEC"/>
    <w:rsid w:val="7D6DC873"/>
    <w:rsid w:val="7D75C3C0"/>
    <w:rsid w:val="7D7E95D1"/>
    <w:rsid w:val="7D8181D6"/>
    <w:rsid w:val="7D8B20C2"/>
    <w:rsid w:val="7D8EB778"/>
    <w:rsid w:val="7D9080DB"/>
    <w:rsid w:val="7D9DC90F"/>
    <w:rsid w:val="7DA92432"/>
    <w:rsid w:val="7DADC497"/>
    <w:rsid w:val="7DB3294D"/>
    <w:rsid w:val="7DBA966A"/>
    <w:rsid w:val="7DBB9BC2"/>
    <w:rsid w:val="7DE42226"/>
    <w:rsid w:val="7DF8B49C"/>
    <w:rsid w:val="7DFFD314"/>
    <w:rsid w:val="7E03C61C"/>
    <w:rsid w:val="7E0AA791"/>
    <w:rsid w:val="7E118C37"/>
    <w:rsid w:val="7E134769"/>
    <w:rsid w:val="7E308F72"/>
    <w:rsid w:val="7E38AE14"/>
    <w:rsid w:val="7E3D5820"/>
    <w:rsid w:val="7E472FF9"/>
    <w:rsid w:val="7E5AD397"/>
    <w:rsid w:val="7E5BD2A1"/>
    <w:rsid w:val="7E5C2EA9"/>
    <w:rsid w:val="7E6A92CF"/>
    <w:rsid w:val="7E7B66E2"/>
    <w:rsid w:val="7E7FB5AC"/>
    <w:rsid w:val="7E8A1A81"/>
    <w:rsid w:val="7EA4BB1A"/>
    <w:rsid w:val="7EBA3865"/>
    <w:rsid w:val="7EBAC4B9"/>
    <w:rsid w:val="7EBB8943"/>
    <w:rsid w:val="7EBC2113"/>
    <w:rsid w:val="7EC7677A"/>
    <w:rsid w:val="7ED1567E"/>
    <w:rsid w:val="7ED6EE92"/>
    <w:rsid w:val="7EDCCCE5"/>
    <w:rsid w:val="7EECA270"/>
    <w:rsid w:val="7EF0D23E"/>
    <w:rsid w:val="7EF28E89"/>
    <w:rsid w:val="7EF94351"/>
    <w:rsid w:val="7EFD7C84"/>
    <w:rsid w:val="7F2DC6C6"/>
    <w:rsid w:val="7F3D4197"/>
    <w:rsid w:val="7F3F9FA9"/>
    <w:rsid w:val="7F421567"/>
    <w:rsid w:val="7F4AE64C"/>
    <w:rsid w:val="7F4DC15A"/>
    <w:rsid w:val="7F521A94"/>
    <w:rsid w:val="7F52ED00"/>
    <w:rsid w:val="7F5349B6"/>
    <w:rsid w:val="7F548323"/>
    <w:rsid w:val="7F5BA5D3"/>
    <w:rsid w:val="7F67B906"/>
    <w:rsid w:val="7F70A21A"/>
    <w:rsid w:val="7F7B2982"/>
    <w:rsid w:val="7F97322B"/>
    <w:rsid w:val="7F981E86"/>
    <w:rsid w:val="7FA14FE0"/>
    <w:rsid w:val="7FA41C84"/>
    <w:rsid w:val="7FB53C41"/>
    <w:rsid w:val="7FBFA7C0"/>
    <w:rsid w:val="7FC4D8F1"/>
    <w:rsid w:val="7FD28B80"/>
    <w:rsid w:val="7FED4C5F"/>
    <w:rsid w:val="7FF0AD56"/>
    <w:rsid w:val="7FF247BC"/>
    <w:rsid w:val="7FF3753D"/>
    <w:rsid w:val="7FF6E4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2368052B-304A-4B70-84D2-D02453DB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922"/>
    <w:pPr>
      <w:spacing w:before="200" w:after="0" w:line="276" w:lineRule="auto"/>
    </w:pPr>
  </w:style>
  <w:style w:type="paragraph" w:styleId="Heading1">
    <w:name w:val="heading 1"/>
    <w:basedOn w:val="Heading2"/>
    <w:next w:val="Normal"/>
    <w:link w:val="Heading1Char"/>
    <w:uiPriority w:val="1"/>
    <w:qFormat/>
    <w:rsid w:val="00D62D04"/>
    <w:pPr>
      <w:jc w:val="center"/>
      <w:outlineLvl w:val="0"/>
    </w:pPr>
    <w:rPr>
      <w:rFonts w:cs="Times New Roman"/>
      <w:color w:val="auto"/>
    </w:rPr>
  </w:style>
  <w:style w:type="paragraph" w:styleId="Heading2">
    <w:name w:val="heading 2"/>
    <w:basedOn w:val="Normal"/>
    <w:next w:val="Normal"/>
    <w:link w:val="Heading2Char"/>
    <w:uiPriority w:val="3"/>
    <w:unhideWhenUsed/>
    <w:qFormat/>
    <w:rsid w:val="00521922"/>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4"/>
    <w:unhideWhenUsed/>
    <w:qFormat/>
    <w:rsid w:val="00132399"/>
    <w:pPr>
      <w:spacing w:line="240" w:lineRule="auto"/>
      <w:ind w:right="91"/>
      <w:outlineLvl w:val="2"/>
    </w:pPr>
    <w:rPr>
      <w:rFonts w:eastAsia="Times New Roman" w:cs="Times New Roman"/>
      <w:bCs/>
      <w:szCs w:val="24"/>
      <w:u w:val="single"/>
      <w:lang w:eastAsia="en-AU"/>
    </w:rPr>
  </w:style>
  <w:style w:type="paragraph" w:styleId="Heading4">
    <w:name w:val="heading 4"/>
    <w:basedOn w:val="Heading3"/>
    <w:next w:val="Normal"/>
    <w:link w:val="Heading4Char"/>
    <w:uiPriority w:val="5"/>
    <w:unhideWhenUsed/>
    <w:qFormat/>
    <w:rsid w:val="00132399"/>
    <w:pPr>
      <w:outlineLvl w:val="3"/>
    </w:pPr>
    <w:rPr>
      <w:b/>
      <w:bCs w:val="0"/>
      <w:u w:val="none"/>
    </w:rPr>
  </w:style>
  <w:style w:type="paragraph" w:styleId="Heading5">
    <w:name w:val="heading 5"/>
    <w:basedOn w:val="Heading4"/>
    <w:next w:val="Normal"/>
    <w:link w:val="Heading5Char"/>
    <w:uiPriority w:val="6"/>
    <w:unhideWhenUsed/>
    <w:qFormat/>
    <w:rsid w:val="009A023A"/>
    <w:pPr>
      <w:keepNext/>
      <w:outlineLvl w:val="4"/>
    </w:pPr>
    <w:rPr>
      <w:i/>
      <w:iCs/>
    </w:rPr>
  </w:style>
  <w:style w:type="paragraph" w:styleId="Heading6">
    <w:name w:val="heading 6"/>
    <w:basedOn w:val="Heading5"/>
    <w:next w:val="Normal"/>
    <w:link w:val="Heading6Char"/>
    <w:uiPriority w:val="9"/>
    <w:unhideWhenUsed/>
    <w:qFormat/>
    <w:rsid w:val="009A023A"/>
    <w:pPr>
      <w:outlineLvl w:val="5"/>
    </w:pPr>
    <w:rPr>
      <w:b w:val="0"/>
      <w:bCs/>
    </w:rPr>
  </w:style>
  <w:style w:type="paragraph" w:styleId="Heading7">
    <w:name w:val="heading 7"/>
    <w:basedOn w:val="Normal"/>
    <w:next w:val="Normal"/>
    <w:link w:val="Heading7Char"/>
    <w:uiPriority w:val="9"/>
    <w:unhideWhenUsed/>
    <w:qFormat/>
    <w:rsid w:val="00F513EB"/>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Para,CV text,Dot pt,F5 List Paragraph,FooterText,L,List Paragraph1,List Paragraph11,List Paragraph111,List Paragraph2,Medium Grid 1 - Accent 21,NFP GP Bulleted List,Numbered Paragraph,Rec para,Recommendation,numbered,列出段落,列出段落1,列"/>
    <w:basedOn w:val="Normal"/>
    <w:link w:val="ListParagraphChar"/>
    <w:uiPriority w:val="34"/>
    <w:qFormat/>
    <w:rsid w:val="006118FF"/>
    <w:pPr>
      <w:spacing w:before="0" w:after="240" w:line="259" w:lineRule="auto"/>
      <w:ind w:left="720"/>
      <w:contextualSpacing/>
    </w:pPr>
  </w:style>
  <w:style w:type="character" w:styleId="Hyperlink">
    <w:name w:val="Hyperlink"/>
    <w:basedOn w:val="DefaultParagraphFont"/>
    <w:uiPriority w:val="99"/>
    <w:unhideWhenUsed/>
    <w:qFormat/>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3"/>
    <w:rsid w:val="00521922"/>
    <w:rPr>
      <w:rFonts w:eastAsiaTheme="majorEastAsia" w:cstheme="majorBidi"/>
      <w:b/>
      <w:color w:val="000000" w:themeColor="text1"/>
      <w:szCs w:val="26"/>
    </w:rPr>
  </w:style>
  <w:style w:type="table" w:styleId="TableGrid">
    <w:name w:val="Table Grid"/>
    <w:basedOn w:val="TableNormal"/>
    <w:uiPriority w:val="5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qFormat/>
    <w:rsid w:val="00377427"/>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377427"/>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4"/>
    <w:rsid w:val="00132399"/>
    <w:rPr>
      <w:rFonts w:eastAsia="Times New Roman" w:cs="Times New Roman"/>
      <w:bCs/>
      <w:szCs w:val="24"/>
      <w:u w:val="single"/>
      <w:lang w:eastAsia="en-AU"/>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1"/>
    <w:rsid w:val="00D62D04"/>
    <w:rPr>
      <w:rFonts w:eastAsiaTheme="majorEastAsia" w:cs="Times New Roman"/>
      <w:b/>
      <w:szCs w:val="26"/>
    </w:rPr>
  </w:style>
  <w:style w:type="character" w:customStyle="1" w:styleId="Heading4Char">
    <w:name w:val="Heading 4 Char"/>
    <w:basedOn w:val="DefaultParagraphFont"/>
    <w:link w:val="Heading4"/>
    <w:uiPriority w:val="5"/>
    <w:rsid w:val="00132399"/>
    <w:rPr>
      <w:rFonts w:eastAsia="Times New Roman" w:cs="Times New Roman"/>
      <w:b/>
      <w:szCs w:val="24"/>
      <w:lang w:eastAsia="en-AU"/>
    </w:rPr>
  </w:style>
  <w:style w:type="character" w:customStyle="1" w:styleId="Heading5Char">
    <w:name w:val="Heading 5 Char"/>
    <w:basedOn w:val="DefaultParagraphFont"/>
    <w:link w:val="Heading5"/>
    <w:uiPriority w:val="6"/>
    <w:rsid w:val="009A023A"/>
    <w:rPr>
      <w:rFonts w:eastAsia="Times New Roman" w:cs="Times New Roman"/>
      <w:b/>
      <w:i/>
      <w:iCs/>
      <w:szCs w:val="24"/>
      <w:lang w:eastAsia="en-AU"/>
    </w:rPr>
  </w:style>
  <w:style w:type="character" w:customStyle="1" w:styleId="Heading6Char">
    <w:name w:val="Heading 6 Char"/>
    <w:basedOn w:val="DefaultParagraphFont"/>
    <w:link w:val="Heading6"/>
    <w:uiPriority w:val="9"/>
    <w:rsid w:val="009A023A"/>
    <w:rPr>
      <w:rFonts w:eastAsia="Times New Roman" w:cs="Times New Roman"/>
      <w:bCs/>
      <w:i/>
      <w:iCs/>
      <w:szCs w:val="24"/>
      <w:lang w:eastAsia="en-AU"/>
    </w:rPr>
  </w:style>
  <w:style w:type="character" w:customStyle="1" w:styleId="Heading7Char">
    <w:name w:val="Heading 7 Char"/>
    <w:basedOn w:val="DefaultParagraphFont"/>
    <w:link w:val="Heading7"/>
    <w:uiPriority w:val="9"/>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26"/>
    <w:unhideWhenUsed/>
    <w:rsid w:val="00783FAB"/>
    <w:pPr>
      <w:tabs>
        <w:tab w:val="center" w:pos="4513"/>
        <w:tab w:val="right" w:pos="9026"/>
      </w:tabs>
      <w:spacing w:line="240" w:lineRule="auto"/>
    </w:pPr>
  </w:style>
  <w:style w:type="character" w:customStyle="1" w:styleId="HeaderChar">
    <w:name w:val="Header Char"/>
    <w:basedOn w:val="DefaultParagraphFont"/>
    <w:link w:val="Header"/>
    <w:uiPriority w:val="26"/>
    <w:rsid w:val="00783FAB"/>
  </w:style>
  <w:style w:type="paragraph" w:styleId="Footer">
    <w:name w:val="footer"/>
    <w:basedOn w:val="Normal"/>
    <w:link w:val="FooterChar"/>
    <w:uiPriority w:val="99"/>
    <w:unhideWhenUsed/>
    <w:rsid w:val="00783FAB"/>
    <w:pPr>
      <w:tabs>
        <w:tab w:val="center" w:pos="4513"/>
        <w:tab w:val="right" w:pos="9026"/>
      </w:tabs>
      <w:spacing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character" w:customStyle="1" w:styleId="ui-provider">
    <w:name w:val="ui-provider"/>
    <w:basedOn w:val="DefaultParagraphFont"/>
    <w:rsid w:val="006118FF"/>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locked/>
    <w:rsid w:val="006118FF"/>
  </w:style>
  <w:style w:type="numbering" w:customStyle="1" w:styleId="OPCBodyList">
    <w:name w:val="OPCBodyList"/>
    <w:uiPriority w:val="99"/>
    <w:rsid w:val="00677A0D"/>
    <w:pPr>
      <w:numPr>
        <w:numId w:val="1"/>
      </w:numPr>
    </w:pPr>
  </w:style>
  <w:style w:type="paragraph" w:styleId="FootnoteText">
    <w:name w:val="footnote text"/>
    <w:basedOn w:val="Normal"/>
    <w:link w:val="FootnoteTextChar"/>
    <w:uiPriority w:val="99"/>
    <w:qFormat/>
    <w:rsid w:val="00DB6247"/>
    <w:pPr>
      <w:overflowPunct w:val="0"/>
      <w:autoSpaceDE w:val="0"/>
      <w:autoSpaceDN w:val="0"/>
      <w:adjustRightInd w:val="0"/>
      <w:spacing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uiPriority w:val="99"/>
    <w:rsid w:val="00DB6247"/>
    <w:rPr>
      <w:rFonts w:eastAsia="Times New Roman" w:cs="Times New Roman"/>
      <w:sz w:val="20"/>
      <w:szCs w:val="20"/>
      <w:lang w:val="x-none" w:eastAsia="en-AU"/>
    </w:rPr>
  </w:style>
  <w:style w:type="character" w:styleId="FootnoteReference">
    <w:name w:val="footnote reference"/>
    <w:aliases w:val="(NECG) Footnote Reference,(NECG) Footnote Reference1,(NECG) Footnote Reference2,Footnote Reference 1,o,-E Fußnotenzeichen,JFR-Fußnotenzeichen,(Diplomarbeit FZ),(Diplomarbeit FZ)1,(Diplomarbeit FZ)2,(Diplomarbeit FZ)3"/>
    <w:uiPriority w:val="99"/>
    <w:semiHidden/>
    <w:rsid w:val="00DB6247"/>
    <w:rPr>
      <w:vertAlign w:val="superscript"/>
    </w:rPr>
  </w:style>
  <w:style w:type="character" w:customStyle="1" w:styleId="Mention1">
    <w:name w:val="Mention1"/>
    <w:basedOn w:val="DefaultParagraphFont"/>
    <w:uiPriority w:val="99"/>
    <w:unhideWhenUsed/>
    <w:rsid w:val="00513C8C"/>
    <w:rPr>
      <w:color w:val="2B579A"/>
      <w:shd w:val="clear" w:color="auto" w:fill="E1DFDD"/>
    </w:rPr>
  </w:style>
  <w:style w:type="paragraph" w:styleId="NormalWeb">
    <w:name w:val="Normal (Web)"/>
    <w:basedOn w:val="Normal"/>
    <w:uiPriority w:val="99"/>
    <w:unhideWhenUsed/>
    <w:rsid w:val="00E108E9"/>
    <w:pPr>
      <w:spacing w:before="100" w:beforeAutospacing="1" w:after="100" w:afterAutospacing="1" w:line="240" w:lineRule="auto"/>
    </w:pPr>
    <w:rPr>
      <w:rFonts w:eastAsia="Times New Roman" w:cs="Times New Roman"/>
      <w:szCs w:val="24"/>
      <w:lang w:eastAsia="en-AU"/>
    </w:rPr>
  </w:style>
  <w:style w:type="character" w:styleId="Emphasis">
    <w:name w:val="Emphasis"/>
    <w:basedOn w:val="DefaultParagraphFont"/>
    <w:uiPriority w:val="99"/>
    <w:qFormat/>
    <w:rsid w:val="00D918D7"/>
    <w:rPr>
      <w:i/>
      <w:iCs/>
    </w:rPr>
  </w:style>
  <w:style w:type="paragraph" w:customStyle="1" w:styleId="base-text-paragraphnonumbers">
    <w:name w:val="base-text-paragraph no numbers"/>
    <w:basedOn w:val="Normal"/>
    <w:uiPriority w:val="99"/>
    <w:rsid w:val="00D07822"/>
    <w:pPr>
      <w:spacing w:before="120" w:after="120" w:line="240" w:lineRule="auto"/>
      <w:ind w:left="1134"/>
    </w:pPr>
    <w:rPr>
      <w:rFonts w:eastAsia="Times New Roman" w:cs="Times New Roman"/>
      <w:sz w:val="22"/>
      <w:lang w:eastAsia="en-AU"/>
    </w:rPr>
  </w:style>
  <w:style w:type="character" w:styleId="Mention">
    <w:name w:val="Mention"/>
    <w:basedOn w:val="DefaultParagraphFont"/>
    <w:uiPriority w:val="99"/>
    <w:unhideWhenUsed/>
    <w:rPr>
      <w:color w:val="2B579A"/>
      <w:shd w:val="clear" w:color="auto" w:fill="E6E6E6"/>
    </w:rPr>
  </w:style>
  <w:style w:type="paragraph" w:customStyle="1" w:styleId="Itemheadings">
    <w:name w:val="Item headings"/>
    <w:basedOn w:val="Normal"/>
    <w:next w:val="Normal"/>
    <w:qFormat/>
    <w:rsid w:val="00F516D4"/>
    <w:pPr>
      <w:keepNext/>
      <w:tabs>
        <w:tab w:val="left" w:pos="1701"/>
      </w:tabs>
      <w:spacing w:line="240" w:lineRule="auto"/>
    </w:pPr>
    <w:rPr>
      <w:rFonts w:eastAsia="Calibri" w:cs="Times New Roman"/>
      <w:b/>
    </w:rPr>
  </w:style>
  <w:style w:type="paragraph" w:customStyle="1" w:styleId="Scheduleheading">
    <w:name w:val="Schedule heading"/>
    <w:basedOn w:val="Normal"/>
    <w:qFormat/>
    <w:rsid w:val="00C65B2D"/>
    <w:pPr>
      <w:keepNext/>
      <w:spacing w:before="120" w:after="360" w:line="240" w:lineRule="auto"/>
    </w:pPr>
    <w:rPr>
      <w:rFonts w:eastAsia="Calibri" w:cs="Times New Roman"/>
      <w:b/>
      <w:sz w:val="28"/>
      <w:szCs w:val="28"/>
    </w:rPr>
  </w:style>
  <w:style w:type="character" w:styleId="UnresolvedMention">
    <w:name w:val="Unresolved Mention"/>
    <w:basedOn w:val="DefaultParagraphFont"/>
    <w:uiPriority w:val="99"/>
    <w:semiHidden/>
    <w:unhideWhenUsed/>
    <w:rsid w:val="00DE65A3"/>
    <w:rPr>
      <w:color w:val="605E5C"/>
      <w:shd w:val="clear" w:color="auto" w:fill="E1DFDD"/>
    </w:rPr>
  </w:style>
  <w:style w:type="paragraph" w:styleId="Title">
    <w:name w:val="Title"/>
    <w:basedOn w:val="Normal"/>
    <w:next w:val="Normal"/>
    <w:link w:val="TitleChar"/>
    <w:uiPriority w:val="10"/>
    <w:qFormat/>
    <w:rsid w:val="006118FF"/>
    <w:pPr>
      <w:pageBreakBefore/>
      <w:spacing w:before="0" w:after="240" w:line="259" w:lineRule="auto"/>
      <w:jc w:val="center"/>
    </w:pPr>
    <w:rPr>
      <w:b/>
      <w:szCs w:val="24"/>
      <w:u w:val="single"/>
    </w:rPr>
  </w:style>
  <w:style w:type="character" w:customStyle="1" w:styleId="TitleChar">
    <w:name w:val="Title Char"/>
    <w:basedOn w:val="DefaultParagraphFont"/>
    <w:link w:val="Title"/>
    <w:uiPriority w:val="10"/>
    <w:rsid w:val="006118FF"/>
    <w:rPr>
      <w:b/>
      <w:szCs w:val="24"/>
      <w:u w:val="single"/>
    </w:rPr>
  </w:style>
  <w:style w:type="paragraph" w:styleId="Subtitle">
    <w:name w:val="Subtitle"/>
    <w:basedOn w:val="Normal"/>
    <w:next w:val="Normal"/>
    <w:link w:val="SubtitleChar"/>
    <w:uiPriority w:val="23"/>
    <w:qFormat/>
    <w:rsid w:val="006118FF"/>
    <w:pPr>
      <w:spacing w:before="0" w:after="240" w:line="259" w:lineRule="auto"/>
      <w:jc w:val="center"/>
    </w:pPr>
    <w:rPr>
      <w:szCs w:val="24"/>
      <w:u w:val="single"/>
    </w:rPr>
  </w:style>
  <w:style w:type="character" w:customStyle="1" w:styleId="SubtitleChar">
    <w:name w:val="Subtitle Char"/>
    <w:basedOn w:val="DefaultParagraphFont"/>
    <w:link w:val="Subtitle"/>
    <w:uiPriority w:val="23"/>
    <w:rsid w:val="006118FF"/>
    <w:rPr>
      <w:szCs w:val="24"/>
      <w:u w:val="single"/>
    </w:rPr>
  </w:style>
  <w:style w:type="paragraph" w:customStyle="1" w:styleId="Footeraddress">
    <w:name w:val="Footer address"/>
    <w:basedOn w:val="Footer"/>
    <w:semiHidden/>
    <w:qFormat/>
    <w:rsid w:val="004C7222"/>
    <w:pPr>
      <w:tabs>
        <w:tab w:val="clear" w:pos="4513"/>
        <w:tab w:val="clear" w:pos="9026"/>
        <w:tab w:val="center" w:pos="4536"/>
      </w:tabs>
      <w:spacing w:before="0"/>
    </w:pPr>
    <w:rPr>
      <w:rFonts w:ascii="Calibri" w:hAnsi="Calibri"/>
      <w:sz w:val="16"/>
    </w:rPr>
  </w:style>
  <w:style w:type="paragraph" w:styleId="Quote">
    <w:name w:val="Quote"/>
    <w:basedOn w:val="Normal"/>
    <w:next w:val="Normal"/>
    <w:link w:val="QuoteChar"/>
    <w:uiPriority w:val="18"/>
    <w:qFormat/>
    <w:rsid w:val="004C7222"/>
    <w:pPr>
      <w:spacing w:before="0" w:after="200"/>
      <w:ind w:left="709" w:right="567"/>
    </w:pPr>
    <w:rPr>
      <w:rFonts w:asciiTheme="minorHAnsi" w:hAnsiTheme="minorHAnsi"/>
      <w:iCs/>
      <w:color w:val="000000"/>
      <w:sz w:val="22"/>
    </w:rPr>
  </w:style>
  <w:style w:type="character" w:customStyle="1" w:styleId="QuoteChar">
    <w:name w:val="Quote Char"/>
    <w:basedOn w:val="DefaultParagraphFont"/>
    <w:link w:val="Quote"/>
    <w:uiPriority w:val="18"/>
    <w:rsid w:val="004C7222"/>
    <w:rPr>
      <w:rFonts w:asciiTheme="minorHAnsi" w:hAnsiTheme="minorHAnsi"/>
      <w:iCs/>
      <w:color w:val="000000"/>
      <w:sz w:val="22"/>
    </w:rPr>
  </w:style>
  <w:style w:type="paragraph" w:customStyle="1" w:styleId="BoxText">
    <w:name w:val="Box Text"/>
    <w:basedOn w:val="Normal"/>
    <w:uiPriority w:val="19"/>
    <w:semiHidden/>
    <w:qFormat/>
    <w:rsid w:val="004C7222"/>
    <w:pPr>
      <w:pBdr>
        <w:top w:val="single" w:sz="4" w:space="10" w:color="auto"/>
        <w:left w:val="single" w:sz="4" w:space="10" w:color="auto"/>
        <w:bottom w:val="single" w:sz="4" w:space="10" w:color="auto"/>
        <w:right w:val="single" w:sz="4" w:space="10" w:color="auto"/>
      </w:pBdr>
      <w:spacing w:before="120" w:after="120"/>
    </w:pPr>
    <w:rPr>
      <w:rFonts w:asciiTheme="minorHAnsi" w:hAnsiTheme="minorHAnsi"/>
      <w:sz w:val="20"/>
    </w:rPr>
  </w:style>
  <w:style w:type="paragraph" w:styleId="Caption">
    <w:name w:val="caption"/>
    <w:basedOn w:val="Normal"/>
    <w:next w:val="Normal"/>
    <w:uiPriority w:val="12"/>
    <w:qFormat/>
    <w:rsid w:val="004C7222"/>
    <w:pPr>
      <w:keepNext/>
      <w:spacing w:before="0" w:after="120" w:line="240" w:lineRule="auto"/>
    </w:pPr>
    <w:rPr>
      <w:rFonts w:ascii="Calibri" w:hAnsi="Calibri"/>
      <w:b/>
      <w:bCs/>
      <w:szCs w:val="18"/>
    </w:rPr>
  </w:style>
  <w:style w:type="paragraph" w:customStyle="1" w:styleId="FigureTableNoteSource">
    <w:name w:val="Figure/Table Note/Source"/>
    <w:basedOn w:val="Normal"/>
    <w:next w:val="Normal"/>
    <w:uiPriority w:val="16"/>
    <w:qFormat/>
    <w:rsid w:val="004C7222"/>
    <w:pPr>
      <w:spacing w:before="120" w:after="200" w:line="264" w:lineRule="auto"/>
      <w:contextualSpacing/>
    </w:pPr>
    <w:rPr>
      <w:rFonts w:ascii="Calibri" w:hAnsi="Calibri"/>
      <w:sz w:val="18"/>
    </w:rPr>
  </w:style>
  <w:style w:type="paragraph" w:styleId="ListBullet">
    <w:name w:val="List Bullet"/>
    <w:basedOn w:val="Normal"/>
    <w:uiPriority w:val="99"/>
    <w:qFormat/>
    <w:rsid w:val="004C7222"/>
    <w:pPr>
      <w:numPr>
        <w:numId w:val="7"/>
      </w:numPr>
      <w:spacing w:before="120" w:after="120"/>
    </w:pPr>
    <w:rPr>
      <w:rFonts w:asciiTheme="minorHAnsi" w:hAnsiTheme="minorHAnsi"/>
      <w:sz w:val="22"/>
    </w:rPr>
  </w:style>
  <w:style w:type="paragraph" w:styleId="TableofFigures">
    <w:name w:val="table of figures"/>
    <w:basedOn w:val="Normal"/>
    <w:next w:val="Normal"/>
    <w:uiPriority w:val="99"/>
    <w:rsid w:val="004C7222"/>
    <w:pPr>
      <w:spacing w:before="120" w:after="120" w:line="240" w:lineRule="auto"/>
    </w:pPr>
    <w:rPr>
      <w:rFonts w:asciiTheme="minorHAnsi" w:hAnsiTheme="minorHAnsi"/>
      <w:sz w:val="22"/>
    </w:rPr>
  </w:style>
  <w:style w:type="paragraph" w:styleId="ListBullet2">
    <w:name w:val="List Bullet 2"/>
    <w:basedOn w:val="Normal"/>
    <w:uiPriority w:val="99"/>
    <w:qFormat/>
    <w:rsid w:val="004C7222"/>
    <w:pPr>
      <w:numPr>
        <w:ilvl w:val="1"/>
        <w:numId w:val="7"/>
      </w:numPr>
      <w:spacing w:before="120" w:after="120"/>
      <w:contextualSpacing/>
    </w:pPr>
    <w:rPr>
      <w:rFonts w:asciiTheme="minorHAnsi" w:hAnsiTheme="minorHAnsi"/>
      <w:sz w:val="22"/>
    </w:rPr>
  </w:style>
  <w:style w:type="paragraph" w:styleId="ListNumber">
    <w:name w:val="List Number"/>
    <w:basedOn w:val="Normal"/>
    <w:uiPriority w:val="9"/>
    <w:qFormat/>
    <w:rsid w:val="004C7222"/>
    <w:pPr>
      <w:numPr>
        <w:numId w:val="11"/>
      </w:numPr>
      <w:tabs>
        <w:tab w:val="left" w:pos="142"/>
      </w:tabs>
      <w:spacing w:before="120" w:after="120"/>
    </w:pPr>
    <w:rPr>
      <w:rFonts w:asciiTheme="minorHAnsi" w:hAnsiTheme="minorHAnsi"/>
      <w:sz w:val="22"/>
    </w:rPr>
  </w:style>
  <w:style w:type="paragraph" w:styleId="ListNumber2">
    <w:name w:val="List Number 2"/>
    <w:uiPriority w:val="10"/>
    <w:qFormat/>
    <w:rsid w:val="004C7222"/>
    <w:pPr>
      <w:numPr>
        <w:ilvl w:val="1"/>
        <w:numId w:val="11"/>
      </w:numPr>
      <w:tabs>
        <w:tab w:val="left" w:pos="567"/>
      </w:tabs>
      <w:spacing w:before="120" w:after="120" w:line="264" w:lineRule="auto"/>
    </w:pPr>
    <w:rPr>
      <w:rFonts w:asciiTheme="minorHAnsi" w:eastAsia="Times New Roman" w:hAnsiTheme="minorHAnsi" w:cs="Times New Roman"/>
      <w:sz w:val="22"/>
      <w:szCs w:val="24"/>
    </w:rPr>
  </w:style>
  <w:style w:type="paragraph" w:styleId="ListNumber3">
    <w:name w:val="List Number 3"/>
    <w:uiPriority w:val="11"/>
    <w:qFormat/>
    <w:rsid w:val="004C7222"/>
    <w:pPr>
      <w:numPr>
        <w:ilvl w:val="2"/>
        <w:numId w:val="11"/>
      </w:numPr>
      <w:spacing w:before="120" w:after="120" w:line="264" w:lineRule="auto"/>
    </w:pPr>
    <w:rPr>
      <w:rFonts w:asciiTheme="minorHAnsi" w:eastAsia="Times New Roman" w:hAnsiTheme="minorHAnsi" w:cs="Times New Roman"/>
      <w:sz w:val="22"/>
      <w:szCs w:val="24"/>
    </w:rPr>
  </w:style>
  <w:style w:type="table" w:customStyle="1" w:styleId="LightShading1">
    <w:name w:val="Light Shading1"/>
    <w:basedOn w:val="TableNormal"/>
    <w:uiPriority w:val="60"/>
    <w:rsid w:val="004C7222"/>
    <w:pPr>
      <w:spacing w:after="0" w:line="240" w:lineRule="auto"/>
    </w:pPr>
    <w:rPr>
      <w:rFonts w:ascii="Cambria" w:eastAsia="Cambria" w:hAnsi="Cambria"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C7222"/>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C7222"/>
    <w:pPr>
      <w:spacing w:before="60" w:after="60" w:line="240" w:lineRule="auto"/>
    </w:pPr>
    <w:rPr>
      <w:rFonts w:asciiTheme="minorHAnsi" w:hAnsiTheme="minorHAnsi"/>
      <w:sz w:val="18"/>
    </w:rPr>
  </w:style>
  <w:style w:type="table" w:styleId="TableGrid1">
    <w:name w:val="Table Grid 1"/>
    <w:basedOn w:val="TableNormal"/>
    <w:uiPriority w:val="99"/>
    <w:semiHidden/>
    <w:unhideWhenUsed/>
    <w:rsid w:val="004C7222"/>
    <w:pPr>
      <w:spacing w:after="200" w:line="280" w:lineRule="atLeast"/>
    </w:pPr>
    <w:rPr>
      <w:rFonts w:ascii="Cambria" w:eastAsia="Cambria" w:hAnsi="Cambria"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C7222"/>
    <w:pPr>
      <w:keepNext/>
    </w:pPr>
    <w:rPr>
      <w:b/>
    </w:rPr>
  </w:style>
  <w:style w:type="character" w:styleId="PlaceholderText">
    <w:name w:val="Placeholder Text"/>
    <w:basedOn w:val="DefaultParagraphFont"/>
    <w:uiPriority w:val="99"/>
    <w:semiHidden/>
    <w:rsid w:val="004C7222"/>
    <w:rPr>
      <w:color w:val="808080"/>
    </w:rPr>
  </w:style>
  <w:style w:type="paragraph" w:customStyle="1" w:styleId="Author">
    <w:name w:val="Author"/>
    <w:basedOn w:val="Normal"/>
    <w:next w:val="Normal"/>
    <w:uiPriority w:val="24"/>
    <w:qFormat/>
    <w:rsid w:val="004C7222"/>
    <w:pPr>
      <w:spacing w:before="0" w:after="60"/>
    </w:pPr>
    <w:rPr>
      <w:rFonts w:asciiTheme="minorHAnsi" w:hAnsiTheme="minorHAnsi"/>
      <w:b/>
      <w:szCs w:val="28"/>
    </w:rPr>
  </w:style>
  <w:style w:type="paragraph" w:customStyle="1" w:styleId="AuthorOrganisationAffiliation">
    <w:name w:val="Author Organisation/Affiliation"/>
    <w:basedOn w:val="Normal"/>
    <w:next w:val="Normal"/>
    <w:uiPriority w:val="25"/>
    <w:qFormat/>
    <w:rsid w:val="004C7222"/>
    <w:pPr>
      <w:spacing w:before="0" w:after="720"/>
    </w:pPr>
    <w:rPr>
      <w:rFonts w:asciiTheme="minorHAnsi" w:hAnsiTheme="minorHAnsi"/>
      <w:sz w:val="22"/>
    </w:rPr>
  </w:style>
  <w:style w:type="character" w:styleId="Strong">
    <w:name w:val="Strong"/>
    <w:basedOn w:val="DefaultParagraphFont"/>
    <w:uiPriority w:val="22"/>
    <w:qFormat/>
    <w:rsid w:val="004C7222"/>
    <w:rPr>
      <w:b/>
      <w:bCs/>
    </w:rPr>
  </w:style>
  <w:style w:type="paragraph" w:customStyle="1" w:styleId="Glossary">
    <w:name w:val="Glossary"/>
    <w:basedOn w:val="Normal"/>
    <w:link w:val="GlossaryChar"/>
    <w:uiPriority w:val="28"/>
    <w:semiHidden/>
    <w:locked/>
    <w:rsid w:val="004C7222"/>
    <w:pPr>
      <w:spacing w:before="120" w:after="120"/>
      <w:ind w:left="2126" w:hanging="2126"/>
    </w:pPr>
    <w:rPr>
      <w:rFonts w:asciiTheme="minorHAnsi" w:eastAsia="Calibri" w:hAnsiTheme="minorHAnsi"/>
      <w:color w:val="000000"/>
      <w:sz w:val="22"/>
    </w:rPr>
  </w:style>
  <w:style w:type="character" w:customStyle="1" w:styleId="GlossaryChar">
    <w:name w:val="Glossary Char"/>
    <w:basedOn w:val="DefaultParagraphFont"/>
    <w:link w:val="Glossary"/>
    <w:uiPriority w:val="28"/>
    <w:semiHidden/>
    <w:rsid w:val="004C7222"/>
    <w:rPr>
      <w:rFonts w:asciiTheme="minorHAnsi" w:eastAsia="Calibri" w:hAnsiTheme="minorHAnsi"/>
      <w:color w:val="000000"/>
      <w:sz w:val="22"/>
    </w:rPr>
  </w:style>
  <w:style w:type="paragraph" w:styleId="TOAHeading">
    <w:name w:val="toa heading"/>
    <w:basedOn w:val="Heading1"/>
    <w:next w:val="Normal"/>
    <w:uiPriority w:val="99"/>
    <w:semiHidden/>
    <w:unhideWhenUsed/>
    <w:rsid w:val="004C7222"/>
    <w:pPr>
      <w:keepNext w:val="0"/>
      <w:keepLines w:val="0"/>
      <w:widowControl w:val="0"/>
      <w:spacing w:before="120" w:after="120" w:line="240" w:lineRule="auto"/>
      <w:contextualSpacing/>
      <w:jc w:val="left"/>
    </w:pPr>
    <w:rPr>
      <w:rFonts w:ascii="Calibri" w:eastAsiaTheme="minorHAnsi" w:hAnsi="Calibri" w:cstheme="minorBidi"/>
      <w:spacing w:val="5"/>
      <w:kern w:val="28"/>
      <w:szCs w:val="28"/>
    </w:rPr>
  </w:style>
  <w:style w:type="paragraph" w:customStyle="1" w:styleId="BoxTextBullet">
    <w:name w:val="Box Text Bullet"/>
    <w:basedOn w:val="BoxText"/>
    <w:uiPriority w:val="21"/>
    <w:semiHidden/>
    <w:qFormat/>
    <w:rsid w:val="004C7222"/>
    <w:pPr>
      <w:numPr>
        <w:numId w:val="5"/>
      </w:numPr>
      <w:ind w:left="357" w:hanging="357"/>
    </w:pPr>
  </w:style>
  <w:style w:type="paragraph" w:customStyle="1" w:styleId="TableBullet1">
    <w:name w:val="Table Bullet 1"/>
    <w:basedOn w:val="TableText"/>
    <w:uiPriority w:val="15"/>
    <w:qFormat/>
    <w:rsid w:val="004C7222"/>
    <w:pPr>
      <w:numPr>
        <w:numId w:val="6"/>
      </w:numPr>
      <w:ind w:left="284" w:hanging="284"/>
    </w:pPr>
  </w:style>
  <w:style w:type="paragraph" w:styleId="DocumentMap">
    <w:name w:val="Document Map"/>
    <w:basedOn w:val="Normal"/>
    <w:link w:val="DocumentMapChar"/>
    <w:uiPriority w:val="99"/>
    <w:semiHidden/>
    <w:unhideWhenUsed/>
    <w:rsid w:val="004C7222"/>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C7222"/>
    <w:rPr>
      <w:rFonts w:ascii="Tahoma" w:hAnsi="Tahoma" w:cs="Tahoma"/>
      <w:sz w:val="16"/>
      <w:szCs w:val="16"/>
    </w:rPr>
  </w:style>
  <w:style w:type="paragraph" w:customStyle="1" w:styleId="BoxHeading">
    <w:name w:val="Box Heading"/>
    <w:basedOn w:val="BoxText"/>
    <w:uiPriority w:val="20"/>
    <w:semiHidden/>
    <w:qFormat/>
    <w:rsid w:val="004C7222"/>
    <w:pPr>
      <w:spacing w:line="240" w:lineRule="auto"/>
    </w:pPr>
    <w:rPr>
      <w:b/>
    </w:rPr>
  </w:style>
  <w:style w:type="paragraph" w:customStyle="1" w:styleId="Headersecurityclassification">
    <w:name w:val="Header security classification"/>
    <w:basedOn w:val="Header"/>
    <w:next w:val="Header"/>
    <w:uiPriority w:val="26"/>
    <w:qFormat/>
    <w:rsid w:val="004C7222"/>
    <w:pPr>
      <w:tabs>
        <w:tab w:val="clear" w:pos="4513"/>
        <w:tab w:val="clear" w:pos="9026"/>
        <w:tab w:val="center" w:pos="4820"/>
      </w:tabs>
      <w:spacing w:before="0"/>
      <w:jc w:val="center"/>
    </w:pPr>
    <w:rPr>
      <w:rFonts w:ascii="Calibri" w:hAnsi="Calibri"/>
      <w:b/>
      <w:color w:val="FF0000"/>
      <w:sz w:val="28"/>
      <w:szCs w:val="36"/>
    </w:rPr>
  </w:style>
  <w:style w:type="paragraph" w:customStyle="1" w:styleId="DisseminationLimitingMarker">
    <w:name w:val="Dissemination Limiting Marker"/>
    <w:basedOn w:val="Header"/>
    <w:next w:val="Header"/>
    <w:uiPriority w:val="27"/>
    <w:semiHidden/>
    <w:rsid w:val="004C7222"/>
    <w:pPr>
      <w:tabs>
        <w:tab w:val="clear" w:pos="4513"/>
        <w:tab w:val="clear" w:pos="9026"/>
        <w:tab w:val="center" w:pos="4820"/>
      </w:tabs>
      <w:spacing w:before="0"/>
      <w:jc w:val="center"/>
    </w:pPr>
    <w:rPr>
      <w:rFonts w:ascii="Calibri" w:hAnsi="Calibri"/>
      <w:b/>
      <w:sz w:val="36"/>
      <w:szCs w:val="36"/>
    </w:rPr>
  </w:style>
  <w:style w:type="paragraph" w:styleId="EndnoteText">
    <w:name w:val="endnote text"/>
    <w:basedOn w:val="Normal"/>
    <w:link w:val="EndnoteTextChar"/>
    <w:uiPriority w:val="99"/>
    <w:unhideWhenUsed/>
    <w:rsid w:val="004C7222"/>
    <w:pPr>
      <w:spacing w:before="0" w:after="60" w:line="264" w:lineRule="auto"/>
    </w:pPr>
    <w:rPr>
      <w:rFonts w:asciiTheme="minorHAnsi" w:hAnsiTheme="minorHAnsi"/>
      <w:sz w:val="20"/>
      <w:szCs w:val="20"/>
    </w:rPr>
  </w:style>
  <w:style w:type="character" w:customStyle="1" w:styleId="EndnoteTextChar">
    <w:name w:val="Endnote Text Char"/>
    <w:basedOn w:val="DefaultParagraphFont"/>
    <w:link w:val="EndnoteText"/>
    <w:uiPriority w:val="99"/>
    <w:rsid w:val="004C7222"/>
    <w:rPr>
      <w:rFonts w:asciiTheme="minorHAnsi" w:hAnsiTheme="minorHAnsi"/>
      <w:sz w:val="20"/>
      <w:szCs w:val="20"/>
    </w:rPr>
  </w:style>
  <w:style w:type="character" w:styleId="EndnoteReference">
    <w:name w:val="endnote reference"/>
    <w:basedOn w:val="DefaultParagraphFont"/>
    <w:uiPriority w:val="99"/>
    <w:semiHidden/>
    <w:unhideWhenUsed/>
    <w:rsid w:val="004C7222"/>
    <w:rPr>
      <w:vertAlign w:val="superscript"/>
    </w:rPr>
  </w:style>
  <w:style w:type="paragraph" w:customStyle="1" w:styleId="BoxSource">
    <w:name w:val="Box Source"/>
    <w:basedOn w:val="FigureTableNoteSource"/>
    <w:uiPriority w:val="22"/>
    <w:semiHidden/>
    <w:qFormat/>
    <w:rsid w:val="004C7222"/>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C7222"/>
    <w:pPr>
      <w:numPr>
        <w:numId w:val="7"/>
      </w:numPr>
    </w:pPr>
  </w:style>
  <w:style w:type="paragraph" w:customStyle="1" w:styleId="TOCHeading2">
    <w:name w:val="TOC Heading 2"/>
    <w:next w:val="Normal"/>
    <w:semiHidden/>
    <w:qFormat/>
    <w:rsid w:val="004C7222"/>
    <w:pPr>
      <w:spacing w:after="0" w:line="240" w:lineRule="auto"/>
    </w:pPr>
    <w:rPr>
      <w:rFonts w:ascii="Calibri Light" w:hAnsi="Calibri Light"/>
      <w:sz w:val="36"/>
    </w:rPr>
  </w:style>
  <w:style w:type="numbering" w:customStyle="1" w:styleId="Numberlist">
    <w:name w:val="Number list"/>
    <w:uiPriority w:val="99"/>
    <w:rsid w:val="004C7222"/>
    <w:pPr>
      <w:numPr>
        <w:numId w:val="8"/>
      </w:numPr>
    </w:pPr>
  </w:style>
  <w:style w:type="numbering" w:customStyle="1" w:styleId="Headinglist">
    <w:name w:val="Heading list"/>
    <w:uiPriority w:val="99"/>
    <w:rsid w:val="004C7222"/>
    <w:pPr>
      <w:numPr>
        <w:numId w:val="9"/>
      </w:numPr>
    </w:pPr>
  </w:style>
  <w:style w:type="paragraph" w:customStyle="1" w:styleId="Normalsmall">
    <w:name w:val="Normal small"/>
    <w:qFormat/>
    <w:rsid w:val="004C7222"/>
    <w:pPr>
      <w:spacing w:after="120" w:line="276" w:lineRule="auto"/>
    </w:pPr>
    <w:rPr>
      <w:rFonts w:asciiTheme="minorHAnsi" w:hAnsiTheme="minorHAnsi"/>
      <w:sz w:val="18"/>
      <w:szCs w:val="18"/>
    </w:rPr>
  </w:style>
  <w:style w:type="paragraph" w:styleId="ListBullet3">
    <w:name w:val="List Bullet 3"/>
    <w:basedOn w:val="Normal"/>
    <w:uiPriority w:val="99"/>
    <w:semiHidden/>
    <w:rsid w:val="004C7222"/>
    <w:pPr>
      <w:numPr>
        <w:ilvl w:val="2"/>
        <w:numId w:val="7"/>
      </w:numPr>
      <w:spacing w:before="0" w:after="200"/>
      <w:contextualSpacing/>
    </w:pPr>
    <w:rPr>
      <w:rFonts w:asciiTheme="minorHAnsi" w:hAnsiTheme="minorHAnsi"/>
      <w:sz w:val="22"/>
    </w:rPr>
  </w:style>
  <w:style w:type="table" w:customStyle="1" w:styleId="ABARESTableleftrightalign">
    <w:name w:val="ABARES Table (left/right align)"/>
    <w:basedOn w:val="TableNormal"/>
    <w:uiPriority w:val="99"/>
    <w:rsid w:val="004C7222"/>
    <w:pPr>
      <w:spacing w:before="60" w:after="60" w:line="240" w:lineRule="auto"/>
      <w:jc w:val="right"/>
    </w:pPr>
    <w:rPr>
      <w:rFonts w:ascii="Cambria" w:eastAsia="Calibri" w:hAnsi="Cambria" w:cs="Times New Roman"/>
      <w:sz w:val="19"/>
      <w:szCs w:val="20"/>
      <w:lang w:eastAsia="en-AU"/>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rsid w:val="004C7222"/>
    <w:pPr>
      <w:spacing w:before="60" w:after="60" w:line="240" w:lineRule="auto"/>
    </w:pPr>
    <w:rPr>
      <w:rFonts w:ascii="Cambria" w:eastAsia="Calibri" w:hAnsi="Cambria" w:cs="Times New Roman"/>
      <w:sz w:val="19"/>
      <w:szCs w:val="20"/>
      <w:lang w:eastAsia="en-AU"/>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4C7222"/>
    <w:pPr>
      <w:numPr>
        <w:numId w:val="10"/>
      </w:numPr>
      <w:spacing w:before="60" w:after="60" w:line="240" w:lineRule="auto"/>
      <w:ind w:left="403"/>
      <w:contextualSpacing/>
    </w:pPr>
    <w:rPr>
      <w:rFonts w:asciiTheme="minorHAnsi" w:eastAsia="Calibri" w:hAnsiTheme="minorHAnsi" w:cs="Times New Roman"/>
      <w:color w:val="000000" w:themeColor="text1"/>
      <w:sz w:val="18"/>
    </w:rPr>
  </w:style>
  <w:style w:type="character" w:styleId="IntenseEmphasis">
    <w:name w:val="Intense Emphasis"/>
    <w:basedOn w:val="DefaultParagraphFont"/>
    <w:uiPriority w:val="21"/>
    <w:qFormat/>
    <w:rsid w:val="004C7222"/>
    <w:rPr>
      <w:i/>
      <w:iCs/>
      <w:color w:val="5B9BD5" w:themeColor="accent1"/>
    </w:rPr>
  </w:style>
  <w:style w:type="paragraph" w:customStyle="1" w:styleId="TableBullet2">
    <w:name w:val="Table Bullet 2"/>
    <w:basedOn w:val="TableBullet1"/>
    <w:qFormat/>
    <w:rsid w:val="004C7222"/>
    <w:pPr>
      <w:numPr>
        <w:numId w:val="13"/>
      </w:numPr>
      <w:tabs>
        <w:tab w:val="num" w:pos="284"/>
      </w:tabs>
      <w:ind w:left="568" w:hanging="284"/>
    </w:pPr>
  </w:style>
  <w:style w:type="numbering" w:customStyle="1" w:styleId="TableBulletlist">
    <w:name w:val="Table Bullet list"/>
    <w:uiPriority w:val="99"/>
    <w:rsid w:val="004C7222"/>
    <w:pPr>
      <w:numPr>
        <w:numId w:val="12"/>
      </w:numPr>
    </w:pPr>
  </w:style>
  <w:style w:type="paragraph" w:styleId="Date">
    <w:name w:val="Date"/>
    <w:aliases w:val="Reference"/>
    <w:basedOn w:val="Normal"/>
    <w:next w:val="Normal"/>
    <w:link w:val="DateChar"/>
    <w:uiPriority w:val="99"/>
    <w:unhideWhenUsed/>
    <w:rsid w:val="004C7222"/>
    <w:pPr>
      <w:spacing w:before="240" w:after="480" w:line="360" w:lineRule="auto"/>
    </w:pPr>
    <w:rPr>
      <w:rFonts w:asciiTheme="minorHAnsi" w:hAnsiTheme="minorHAnsi"/>
      <w:sz w:val="22"/>
    </w:rPr>
  </w:style>
  <w:style w:type="character" w:customStyle="1" w:styleId="DateChar">
    <w:name w:val="Date Char"/>
    <w:aliases w:val="Reference Char"/>
    <w:basedOn w:val="DefaultParagraphFont"/>
    <w:link w:val="Date"/>
    <w:uiPriority w:val="99"/>
    <w:rsid w:val="004C7222"/>
    <w:rPr>
      <w:rFonts w:asciiTheme="minorHAnsi" w:hAnsiTheme="minorHAnsi"/>
      <w:sz w:val="22"/>
    </w:rPr>
  </w:style>
  <w:style w:type="paragraph" w:customStyle="1" w:styleId="Picture">
    <w:name w:val="Picture"/>
    <w:basedOn w:val="Normal"/>
    <w:uiPriority w:val="17"/>
    <w:qFormat/>
    <w:rsid w:val="004C7222"/>
    <w:pPr>
      <w:spacing w:before="120" w:after="120" w:line="240" w:lineRule="auto"/>
    </w:pPr>
    <w:rPr>
      <w:rFonts w:asciiTheme="majorHAnsi" w:hAnsiTheme="majorHAnsi"/>
      <w:noProof/>
      <w:sz w:val="22"/>
      <w:lang w:eastAsia="en-AU"/>
    </w:rPr>
  </w:style>
  <w:style w:type="paragraph" w:customStyle="1" w:styleId="Series">
    <w:name w:val="Series"/>
    <w:semiHidden/>
    <w:qFormat/>
    <w:rsid w:val="004C7222"/>
    <w:pPr>
      <w:spacing w:before="120" w:after="120" w:line="240" w:lineRule="auto"/>
    </w:pPr>
    <w:rPr>
      <w:rFonts w:asciiTheme="minorHAnsi" w:hAnsiTheme="minorHAnsi"/>
      <w:b/>
      <w:i/>
      <w:sz w:val="32"/>
    </w:rPr>
  </w:style>
  <w:style w:type="character" w:customStyle="1" w:styleId="Attachment">
    <w:name w:val="Attachment"/>
    <w:uiPriority w:val="1"/>
    <w:qFormat/>
    <w:rsid w:val="004C7222"/>
    <w:rPr>
      <w:u w:val="single"/>
    </w:rPr>
  </w:style>
  <w:style w:type="character" w:customStyle="1" w:styleId="Advisorytext">
    <w:name w:val="Advisory text"/>
    <w:uiPriority w:val="1"/>
    <w:qFormat/>
    <w:rsid w:val="004C7222"/>
    <w:rPr>
      <w:bdr w:val="none" w:sz="0" w:space="0" w:color="auto"/>
      <w:shd w:val="clear" w:color="auto" w:fill="EEECE1"/>
    </w:rPr>
  </w:style>
  <w:style w:type="paragraph" w:customStyle="1" w:styleId="Footersecurityclassification">
    <w:name w:val="Footer security classification"/>
    <w:basedOn w:val="Footer"/>
    <w:next w:val="Footer"/>
    <w:qFormat/>
    <w:rsid w:val="004C7222"/>
    <w:pPr>
      <w:tabs>
        <w:tab w:val="clear" w:pos="4513"/>
        <w:tab w:val="clear" w:pos="9026"/>
        <w:tab w:val="center" w:pos="4536"/>
      </w:tabs>
      <w:spacing w:before="0"/>
      <w:jc w:val="center"/>
    </w:pPr>
    <w:rPr>
      <w:rFonts w:ascii="Calibri" w:hAnsi="Calibri"/>
      <w:b/>
      <w:color w:val="FF0000"/>
    </w:rPr>
  </w:style>
  <w:style w:type="character" w:styleId="PageNumber">
    <w:name w:val="page number"/>
    <w:basedOn w:val="DefaultParagraphFont"/>
    <w:uiPriority w:val="99"/>
    <w:semiHidden/>
    <w:unhideWhenUsed/>
    <w:rsid w:val="004C7222"/>
  </w:style>
  <w:style w:type="paragraph" w:customStyle="1" w:styleId="Normalnumbered">
    <w:name w:val="Normal numbered"/>
    <w:basedOn w:val="Normal"/>
    <w:semiHidden/>
    <w:qFormat/>
    <w:rsid w:val="004C7222"/>
    <w:pPr>
      <w:numPr>
        <w:numId w:val="14"/>
      </w:numPr>
      <w:spacing w:before="0" w:after="200"/>
      <w:ind w:left="357" w:hanging="357"/>
    </w:pPr>
    <w:rPr>
      <w:rFonts w:asciiTheme="minorHAnsi" w:hAnsiTheme="minorHAnsi"/>
      <w:sz w:val="22"/>
    </w:rPr>
  </w:style>
  <w:style w:type="paragraph" w:styleId="NoSpacing">
    <w:name w:val="No Spacing"/>
    <w:uiPriority w:val="99"/>
    <w:qFormat/>
    <w:rsid w:val="004C7222"/>
    <w:pPr>
      <w:spacing w:after="0" w:line="240" w:lineRule="auto"/>
    </w:pPr>
    <w:rPr>
      <w:rFonts w:asciiTheme="minorHAnsi" w:hAnsiTheme="minorHAnsi"/>
      <w:sz w:val="22"/>
    </w:rPr>
  </w:style>
  <w:style w:type="character" w:customStyle="1" w:styleId="Style1">
    <w:name w:val="Style1"/>
    <w:basedOn w:val="DefaultParagraphFont"/>
    <w:uiPriority w:val="1"/>
    <w:rsid w:val="004C7222"/>
    <w:rPr>
      <w:rFonts w:asciiTheme="minorHAnsi" w:hAnsiTheme="minorHAnsi"/>
      <w:sz w:val="22"/>
    </w:rPr>
  </w:style>
  <w:style w:type="paragraph" w:customStyle="1" w:styleId="ListNumberDotted">
    <w:name w:val="List Number Dotted"/>
    <w:basedOn w:val="ListNumber"/>
    <w:qFormat/>
    <w:rsid w:val="004C7222"/>
    <w:pPr>
      <w:numPr>
        <w:numId w:val="19"/>
      </w:numPr>
    </w:pPr>
  </w:style>
  <w:style w:type="character" w:customStyle="1" w:styleId="subsectionChar">
    <w:name w:val="subsection Char"/>
    <w:aliases w:val="ss Char"/>
    <w:link w:val="subsection"/>
    <w:locked/>
    <w:rsid w:val="004C7222"/>
    <w:rPr>
      <w:rFonts w:eastAsia="Times New Roman"/>
      <w:sz w:val="22"/>
    </w:rPr>
  </w:style>
  <w:style w:type="paragraph" w:customStyle="1" w:styleId="subsection">
    <w:name w:val="subsection"/>
    <w:aliases w:val="ss,Subsection"/>
    <w:basedOn w:val="Normal"/>
    <w:link w:val="subsectionChar"/>
    <w:rsid w:val="004C7222"/>
    <w:pPr>
      <w:tabs>
        <w:tab w:val="right" w:pos="1021"/>
      </w:tabs>
      <w:spacing w:before="180" w:line="240" w:lineRule="auto"/>
      <w:ind w:left="1134" w:hanging="1134"/>
    </w:pPr>
    <w:rPr>
      <w:rFonts w:eastAsia="Times New Roman"/>
      <w:sz w:val="22"/>
    </w:rPr>
  </w:style>
  <w:style w:type="paragraph" w:customStyle="1" w:styleId="paragraphsub">
    <w:name w:val="paragraph(sub)"/>
    <w:aliases w:val="aa"/>
    <w:basedOn w:val="Normal"/>
    <w:rsid w:val="004C7222"/>
    <w:pPr>
      <w:tabs>
        <w:tab w:val="right" w:pos="1985"/>
      </w:tabs>
      <w:spacing w:before="40" w:line="240" w:lineRule="auto"/>
      <w:ind w:left="2098" w:hanging="2098"/>
    </w:pPr>
    <w:rPr>
      <w:rFonts w:eastAsia="Times New Roman" w:cs="Times New Roman"/>
      <w:sz w:val="22"/>
      <w:szCs w:val="20"/>
      <w:lang w:eastAsia="en-AU"/>
    </w:rPr>
  </w:style>
  <w:style w:type="character" w:customStyle="1" w:styleId="paragraphChar">
    <w:name w:val="paragraph Char"/>
    <w:aliases w:val="a Char"/>
    <w:link w:val="paragraph"/>
    <w:locked/>
    <w:rsid w:val="004C7222"/>
    <w:rPr>
      <w:rFonts w:eastAsia="Times New Roman"/>
      <w:sz w:val="22"/>
    </w:rPr>
  </w:style>
  <w:style w:type="paragraph" w:customStyle="1" w:styleId="paragraph">
    <w:name w:val="paragraph"/>
    <w:aliases w:val="a"/>
    <w:basedOn w:val="Normal"/>
    <w:link w:val="paragraphChar"/>
    <w:rsid w:val="004C7222"/>
    <w:pPr>
      <w:tabs>
        <w:tab w:val="right" w:pos="1531"/>
      </w:tabs>
      <w:spacing w:before="40" w:line="240" w:lineRule="auto"/>
      <w:ind w:left="1644" w:hanging="1644"/>
    </w:pPr>
    <w:rPr>
      <w:rFonts w:eastAsia="Times New Roman"/>
      <w:sz w:val="22"/>
    </w:rPr>
  </w:style>
  <w:style w:type="paragraph" w:styleId="BodyText">
    <w:name w:val="Body Text"/>
    <w:basedOn w:val="Normal"/>
    <w:link w:val="BodyTextChar"/>
    <w:uiPriority w:val="99"/>
    <w:semiHidden/>
    <w:unhideWhenUsed/>
    <w:rsid w:val="004C7222"/>
    <w:pPr>
      <w:spacing w:before="0" w:after="120" w:line="264" w:lineRule="auto"/>
    </w:pPr>
    <w:rPr>
      <w:rFonts w:ascii="Calibri" w:hAnsi="Calibri" w:cs="Calibri"/>
      <w:color w:val="262626"/>
      <w:sz w:val="20"/>
      <w:szCs w:val="20"/>
    </w:rPr>
  </w:style>
  <w:style w:type="character" w:customStyle="1" w:styleId="BodyTextChar">
    <w:name w:val="Body Text Char"/>
    <w:basedOn w:val="DefaultParagraphFont"/>
    <w:link w:val="BodyText"/>
    <w:uiPriority w:val="99"/>
    <w:semiHidden/>
    <w:rsid w:val="004C7222"/>
    <w:rPr>
      <w:rFonts w:ascii="Calibri" w:hAnsi="Calibri" w:cs="Calibri"/>
      <w:color w:val="262626"/>
      <w:sz w:val="20"/>
      <w:szCs w:val="20"/>
    </w:rPr>
  </w:style>
  <w:style w:type="character" w:customStyle="1" w:styleId="normaltextrun">
    <w:name w:val="normaltextrun"/>
    <w:basedOn w:val="DefaultParagraphFont"/>
    <w:rsid w:val="004C7222"/>
  </w:style>
  <w:style w:type="character" w:customStyle="1" w:styleId="eop">
    <w:name w:val="eop"/>
    <w:basedOn w:val="DefaultParagraphFont"/>
    <w:rsid w:val="004C7222"/>
  </w:style>
  <w:style w:type="character" w:customStyle="1" w:styleId="cf01">
    <w:name w:val="cf01"/>
    <w:basedOn w:val="DefaultParagraphFont"/>
    <w:rsid w:val="004C7222"/>
    <w:rPr>
      <w:rFonts w:ascii="Segoe UI" w:hAnsi="Segoe UI" w:cs="Segoe UI" w:hint="default"/>
      <w:sz w:val="18"/>
      <w:szCs w:val="18"/>
    </w:rPr>
  </w:style>
  <w:style w:type="paragraph" w:customStyle="1" w:styleId="pf1">
    <w:name w:val="pf1"/>
    <w:basedOn w:val="Normal"/>
    <w:rsid w:val="004C7222"/>
    <w:pPr>
      <w:spacing w:before="100" w:beforeAutospacing="1" w:after="100" w:afterAutospacing="1" w:line="240" w:lineRule="auto"/>
    </w:pPr>
    <w:rPr>
      <w:rFonts w:eastAsia="Times New Roman" w:cs="Times New Roman"/>
      <w:szCs w:val="24"/>
      <w:lang w:eastAsia="en-AU"/>
    </w:rPr>
  </w:style>
  <w:style w:type="paragraph" w:customStyle="1" w:styleId="pf0">
    <w:name w:val="pf0"/>
    <w:basedOn w:val="Normal"/>
    <w:rsid w:val="004C7222"/>
    <w:pPr>
      <w:spacing w:before="100" w:beforeAutospacing="1" w:after="100" w:afterAutospacing="1" w:line="240" w:lineRule="auto"/>
    </w:pPr>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3491">
      <w:bodyDiv w:val="1"/>
      <w:marLeft w:val="0"/>
      <w:marRight w:val="0"/>
      <w:marTop w:val="0"/>
      <w:marBottom w:val="0"/>
      <w:divBdr>
        <w:top w:val="none" w:sz="0" w:space="0" w:color="auto"/>
        <w:left w:val="none" w:sz="0" w:space="0" w:color="auto"/>
        <w:bottom w:val="none" w:sz="0" w:space="0" w:color="auto"/>
        <w:right w:val="none" w:sz="0" w:space="0" w:color="auto"/>
      </w:divBdr>
    </w:div>
    <w:div w:id="28722597">
      <w:bodyDiv w:val="1"/>
      <w:marLeft w:val="0"/>
      <w:marRight w:val="0"/>
      <w:marTop w:val="0"/>
      <w:marBottom w:val="0"/>
      <w:divBdr>
        <w:top w:val="none" w:sz="0" w:space="0" w:color="auto"/>
        <w:left w:val="none" w:sz="0" w:space="0" w:color="auto"/>
        <w:bottom w:val="none" w:sz="0" w:space="0" w:color="auto"/>
        <w:right w:val="none" w:sz="0" w:space="0" w:color="auto"/>
      </w:divBdr>
    </w:div>
    <w:div w:id="51971998">
      <w:bodyDiv w:val="1"/>
      <w:marLeft w:val="0"/>
      <w:marRight w:val="0"/>
      <w:marTop w:val="0"/>
      <w:marBottom w:val="0"/>
      <w:divBdr>
        <w:top w:val="none" w:sz="0" w:space="0" w:color="auto"/>
        <w:left w:val="none" w:sz="0" w:space="0" w:color="auto"/>
        <w:bottom w:val="none" w:sz="0" w:space="0" w:color="auto"/>
        <w:right w:val="none" w:sz="0" w:space="0" w:color="auto"/>
      </w:divBdr>
    </w:div>
    <w:div w:id="93862590">
      <w:bodyDiv w:val="1"/>
      <w:marLeft w:val="0"/>
      <w:marRight w:val="0"/>
      <w:marTop w:val="0"/>
      <w:marBottom w:val="0"/>
      <w:divBdr>
        <w:top w:val="none" w:sz="0" w:space="0" w:color="auto"/>
        <w:left w:val="none" w:sz="0" w:space="0" w:color="auto"/>
        <w:bottom w:val="none" w:sz="0" w:space="0" w:color="auto"/>
        <w:right w:val="none" w:sz="0" w:space="0" w:color="auto"/>
      </w:divBdr>
    </w:div>
    <w:div w:id="111873196">
      <w:bodyDiv w:val="1"/>
      <w:marLeft w:val="0"/>
      <w:marRight w:val="0"/>
      <w:marTop w:val="0"/>
      <w:marBottom w:val="0"/>
      <w:divBdr>
        <w:top w:val="none" w:sz="0" w:space="0" w:color="auto"/>
        <w:left w:val="none" w:sz="0" w:space="0" w:color="auto"/>
        <w:bottom w:val="none" w:sz="0" w:space="0" w:color="auto"/>
        <w:right w:val="none" w:sz="0" w:space="0" w:color="auto"/>
      </w:divBdr>
    </w:div>
    <w:div w:id="123349875">
      <w:bodyDiv w:val="1"/>
      <w:marLeft w:val="0"/>
      <w:marRight w:val="0"/>
      <w:marTop w:val="0"/>
      <w:marBottom w:val="0"/>
      <w:divBdr>
        <w:top w:val="none" w:sz="0" w:space="0" w:color="auto"/>
        <w:left w:val="none" w:sz="0" w:space="0" w:color="auto"/>
        <w:bottom w:val="none" w:sz="0" w:space="0" w:color="auto"/>
        <w:right w:val="none" w:sz="0" w:space="0" w:color="auto"/>
      </w:divBdr>
    </w:div>
    <w:div w:id="128086917">
      <w:bodyDiv w:val="1"/>
      <w:marLeft w:val="0"/>
      <w:marRight w:val="0"/>
      <w:marTop w:val="0"/>
      <w:marBottom w:val="0"/>
      <w:divBdr>
        <w:top w:val="none" w:sz="0" w:space="0" w:color="auto"/>
        <w:left w:val="none" w:sz="0" w:space="0" w:color="auto"/>
        <w:bottom w:val="none" w:sz="0" w:space="0" w:color="auto"/>
        <w:right w:val="none" w:sz="0" w:space="0" w:color="auto"/>
      </w:divBdr>
    </w:div>
    <w:div w:id="184371440">
      <w:bodyDiv w:val="1"/>
      <w:marLeft w:val="0"/>
      <w:marRight w:val="0"/>
      <w:marTop w:val="0"/>
      <w:marBottom w:val="0"/>
      <w:divBdr>
        <w:top w:val="none" w:sz="0" w:space="0" w:color="auto"/>
        <w:left w:val="none" w:sz="0" w:space="0" w:color="auto"/>
        <w:bottom w:val="none" w:sz="0" w:space="0" w:color="auto"/>
        <w:right w:val="none" w:sz="0" w:space="0" w:color="auto"/>
      </w:divBdr>
    </w:div>
    <w:div w:id="190384369">
      <w:bodyDiv w:val="1"/>
      <w:marLeft w:val="0"/>
      <w:marRight w:val="0"/>
      <w:marTop w:val="0"/>
      <w:marBottom w:val="0"/>
      <w:divBdr>
        <w:top w:val="none" w:sz="0" w:space="0" w:color="auto"/>
        <w:left w:val="none" w:sz="0" w:space="0" w:color="auto"/>
        <w:bottom w:val="none" w:sz="0" w:space="0" w:color="auto"/>
        <w:right w:val="none" w:sz="0" w:space="0" w:color="auto"/>
      </w:divBdr>
    </w:div>
    <w:div w:id="203174369">
      <w:bodyDiv w:val="1"/>
      <w:marLeft w:val="0"/>
      <w:marRight w:val="0"/>
      <w:marTop w:val="0"/>
      <w:marBottom w:val="0"/>
      <w:divBdr>
        <w:top w:val="none" w:sz="0" w:space="0" w:color="auto"/>
        <w:left w:val="none" w:sz="0" w:space="0" w:color="auto"/>
        <w:bottom w:val="none" w:sz="0" w:space="0" w:color="auto"/>
        <w:right w:val="none" w:sz="0" w:space="0" w:color="auto"/>
      </w:divBdr>
    </w:div>
    <w:div w:id="215748480">
      <w:bodyDiv w:val="1"/>
      <w:marLeft w:val="0"/>
      <w:marRight w:val="0"/>
      <w:marTop w:val="0"/>
      <w:marBottom w:val="0"/>
      <w:divBdr>
        <w:top w:val="none" w:sz="0" w:space="0" w:color="auto"/>
        <w:left w:val="none" w:sz="0" w:space="0" w:color="auto"/>
        <w:bottom w:val="none" w:sz="0" w:space="0" w:color="auto"/>
        <w:right w:val="none" w:sz="0" w:space="0" w:color="auto"/>
      </w:divBdr>
    </w:div>
    <w:div w:id="218593853">
      <w:bodyDiv w:val="1"/>
      <w:marLeft w:val="0"/>
      <w:marRight w:val="0"/>
      <w:marTop w:val="0"/>
      <w:marBottom w:val="0"/>
      <w:divBdr>
        <w:top w:val="none" w:sz="0" w:space="0" w:color="auto"/>
        <w:left w:val="none" w:sz="0" w:space="0" w:color="auto"/>
        <w:bottom w:val="none" w:sz="0" w:space="0" w:color="auto"/>
        <w:right w:val="none" w:sz="0" w:space="0" w:color="auto"/>
      </w:divBdr>
    </w:div>
    <w:div w:id="222445099">
      <w:bodyDiv w:val="1"/>
      <w:marLeft w:val="0"/>
      <w:marRight w:val="0"/>
      <w:marTop w:val="0"/>
      <w:marBottom w:val="0"/>
      <w:divBdr>
        <w:top w:val="none" w:sz="0" w:space="0" w:color="auto"/>
        <w:left w:val="none" w:sz="0" w:space="0" w:color="auto"/>
        <w:bottom w:val="none" w:sz="0" w:space="0" w:color="auto"/>
        <w:right w:val="none" w:sz="0" w:space="0" w:color="auto"/>
      </w:divBdr>
    </w:div>
    <w:div w:id="227304938">
      <w:bodyDiv w:val="1"/>
      <w:marLeft w:val="0"/>
      <w:marRight w:val="0"/>
      <w:marTop w:val="0"/>
      <w:marBottom w:val="0"/>
      <w:divBdr>
        <w:top w:val="none" w:sz="0" w:space="0" w:color="auto"/>
        <w:left w:val="none" w:sz="0" w:space="0" w:color="auto"/>
        <w:bottom w:val="none" w:sz="0" w:space="0" w:color="auto"/>
        <w:right w:val="none" w:sz="0" w:space="0" w:color="auto"/>
      </w:divBdr>
    </w:div>
    <w:div w:id="261181147">
      <w:bodyDiv w:val="1"/>
      <w:marLeft w:val="0"/>
      <w:marRight w:val="0"/>
      <w:marTop w:val="0"/>
      <w:marBottom w:val="0"/>
      <w:divBdr>
        <w:top w:val="none" w:sz="0" w:space="0" w:color="auto"/>
        <w:left w:val="none" w:sz="0" w:space="0" w:color="auto"/>
        <w:bottom w:val="none" w:sz="0" w:space="0" w:color="auto"/>
        <w:right w:val="none" w:sz="0" w:space="0" w:color="auto"/>
      </w:divBdr>
    </w:div>
    <w:div w:id="268972709">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277878245">
      <w:bodyDiv w:val="1"/>
      <w:marLeft w:val="0"/>
      <w:marRight w:val="0"/>
      <w:marTop w:val="0"/>
      <w:marBottom w:val="0"/>
      <w:divBdr>
        <w:top w:val="none" w:sz="0" w:space="0" w:color="auto"/>
        <w:left w:val="none" w:sz="0" w:space="0" w:color="auto"/>
        <w:bottom w:val="none" w:sz="0" w:space="0" w:color="auto"/>
        <w:right w:val="none" w:sz="0" w:space="0" w:color="auto"/>
      </w:divBdr>
    </w:div>
    <w:div w:id="301081198">
      <w:bodyDiv w:val="1"/>
      <w:marLeft w:val="0"/>
      <w:marRight w:val="0"/>
      <w:marTop w:val="0"/>
      <w:marBottom w:val="0"/>
      <w:divBdr>
        <w:top w:val="none" w:sz="0" w:space="0" w:color="auto"/>
        <w:left w:val="none" w:sz="0" w:space="0" w:color="auto"/>
        <w:bottom w:val="none" w:sz="0" w:space="0" w:color="auto"/>
        <w:right w:val="none" w:sz="0" w:space="0" w:color="auto"/>
      </w:divBdr>
    </w:div>
    <w:div w:id="322200601">
      <w:bodyDiv w:val="1"/>
      <w:marLeft w:val="0"/>
      <w:marRight w:val="0"/>
      <w:marTop w:val="0"/>
      <w:marBottom w:val="0"/>
      <w:divBdr>
        <w:top w:val="none" w:sz="0" w:space="0" w:color="auto"/>
        <w:left w:val="none" w:sz="0" w:space="0" w:color="auto"/>
        <w:bottom w:val="none" w:sz="0" w:space="0" w:color="auto"/>
        <w:right w:val="none" w:sz="0" w:space="0" w:color="auto"/>
      </w:divBdr>
    </w:div>
    <w:div w:id="330721157">
      <w:bodyDiv w:val="1"/>
      <w:marLeft w:val="0"/>
      <w:marRight w:val="0"/>
      <w:marTop w:val="0"/>
      <w:marBottom w:val="0"/>
      <w:divBdr>
        <w:top w:val="none" w:sz="0" w:space="0" w:color="auto"/>
        <w:left w:val="none" w:sz="0" w:space="0" w:color="auto"/>
        <w:bottom w:val="none" w:sz="0" w:space="0" w:color="auto"/>
        <w:right w:val="none" w:sz="0" w:space="0" w:color="auto"/>
      </w:divBdr>
    </w:div>
    <w:div w:id="359286671">
      <w:bodyDiv w:val="1"/>
      <w:marLeft w:val="0"/>
      <w:marRight w:val="0"/>
      <w:marTop w:val="0"/>
      <w:marBottom w:val="0"/>
      <w:divBdr>
        <w:top w:val="none" w:sz="0" w:space="0" w:color="auto"/>
        <w:left w:val="none" w:sz="0" w:space="0" w:color="auto"/>
        <w:bottom w:val="none" w:sz="0" w:space="0" w:color="auto"/>
        <w:right w:val="none" w:sz="0" w:space="0" w:color="auto"/>
      </w:divBdr>
    </w:div>
    <w:div w:id="397442868">
      <w:bodyDiv w:val="1"/>
      <w:marLeft w:val="0"/>
      <w:marRight w:val="0"/>
      <w:marTop w:val="0"/>
      <w:marBottom w:val="0"/>
      <w:divBdr>
        <w:top w:val="none" w:sz="0" w:space="0" w:color="auto"/>
        <w:left w:val="none" w:sz="0" w:space="0" w:color="auto"/>
        <w:bottom w:val="none" w:sz="0" w:space="0" w:color="auto"/>
        <w:right w:val="none" w:sz="0" w:space="0" w:color="auto"/>
      </w:divBdr>
    </w:div>
    <w:div w:id="409471489">
      <w:bodyDiv w:val="1"/>
      <w:marLeft w:val="0"/>
      <w:marRight w:val="0"/>
      <w:marTop w:val="0"/>
      <w:marBottom w:val="0"/>
      <w:divBdr>
        <w:top w:val="none" w:sz="0" w:space="0" w:color="auto"/>
        <w:left w:val="none" w:sz="0" w:space="0" w:color="auto"/>
        <w:bottom w:val="none" w:sz="0" w:space="0" w:color="auto"/>
        <w:right w:val="none" w:sz="0" w:space="0" w:color="auto"/>
      </w:divBdr>
    </w:div>
    <w:div w:id="437527857">
      <w:bodyDiv w:val="1"/>
      <w:marLeft w:val="0"/>
      <w:marRight w:val="0"/>
      <w:marTop w:val="0"/>
      <w:marBottom w:val="0"/>
      <w:divBdr>
        <w:top w:val="none" w:sz="0" w:space="0" w:color="auto"/>
        <w:left w:val="none" w:sz="0" w:space="0" w:color="auto"/>
        <w:bottom w:val="none" w:sz="0" w:space="0" w:color="auto"/>
        <w:right w:val="none" w:sz="0" w:space="0" w:color="auto"/>
      </w:divBdr>
    </w:div>
    <w:div w:id="468278889">
      <w:bodyDiv w:val="1"/>
      <w:marLeft w:val="0"/>
      <w:marRight w:val="0"/>
      <w:marTop w:val="0"/>
      <w:marBottom w:val="0"/>
      <w:divBdr>
        <w:top w:val="none" w:sz="0" w:space="0" w:color="auto"/>
        <w:left w:val="none" w:sz="0" w:space="0" w:color="auto"/>
        <w:bottom w:val="none" w:sz="0" w:space="0" w:color="auto"/>
        <w:right w:val="none" w:sz="0" w:space="0" w:color="auto"/>
      </w:divBdr>
    </w:div>
    <w:div w:id="486438862">
      <w:bodyDiv w:val="1"/>
      <w:marLeft w:val="0"/>
      <w:marRight w:val="0"/>
      <w:marTop w:val="0"/>
      <w:marBottom w:val="0"/>
      <w:divBdr>
        <w:top w:val="none" w:sz="0" w:space="0" w:color="auto"/>
        <w:left w:val="none" w:sz="0" w:space="0" w:color="auto"/>
        <w:bottom w:val="none" w:sz="0" w:space="0" w:color="auto"/>
        <w:right w:val="none" w:sz="0" w:space="0" w:color="auto"/>
      </w:divBdr>
    </w:div>
    <w:div w:id="489979340">
      <w:bodyDiv w:val="1"/>
      <w:marLeft w:val="0"/>
      <w:marRight w:val="0"/>
      <w:marTop w:val="0"/>
      <w:marBottom w:val="0"/>
      <w:divBdr>
        <w:top w:val="none" w:sz="0" w:space="0" w:color="auto"/>
        <w:left w:val="none" w:sz="0" w:space="0" w:color="auto"/>
        <w:bottom w:val="none" w:sz="0" w:space="0" w:color="auto"/>
        <w:right w:val="none" w:sz="0" w:space="0" w:color="auto"/>
      </w:divBdr>
    </w:div>
    <w:div w:id="506940967">
      <w:bodyDiv w:val="1"/>
      <w:marLeft w:val="0"/>
      <w:marRight w:val="0"/>
      <w:marTop w:val="0"/>
      <w:marBottom w:val="0"/>
      <w:divBdr>
        <w:top w:val="none" w:sz="0" w:space="0" w:color="auto"/>
        <w:left w:val="none" w:sz="0" w:space="0" w:color="auto"/>
        <w:bottom w:val="none" w:sz="0" w:space="0" w:color="auto"/>
        <w:right w:val="none" w:sz="0" w:space="0" w:color="auto"/>
      </w:divBdr>
    </w:div>
    <w:div w:id="509951992">
      <w:bodyDiv w:val="1"/>
      <w:marLeft w:val="0"/>
      <w:marRight w:val="0"/>
      <w:marTop w:val="0"/>
      <w:marBottom w:val="0"/>
      <w:divBdr>
        <w:top w:val="none" w:sz="0" w:space="0" w:color="auto"/>
        <w:left w:val="none" w:sz="0" w:space="0" w:color="auto"/>
        <w:bottom w:val="none" w:sz="0" w:space="0" w:color="auto"/>
        <w:right w:val="none" w:sz="0" w:space="0" w:color="auto"/>
      </w:divBdr>
    </w:div>
    <w:div w:id="510144393">
      <w:bodyDiv w:val="1"/>
      <w:marLeft w:val="0"/>
      <w:marRight w:val="0"/>
      <w:marTop w:val="0"/>
      <w:marBottom w:val="0"/>
      <w:divBdr>
        <w:top w:val="none" w:sz="0" w:space="0" w:color="auto"/>
        <w:left w:val="none" w:sz="0" w:space="0" w:color="auto"/>
        <w:bottom w:val="none" w:sz="0" w:space="0" w:color="auto"/>
        <w:right w:val="none" w:sz="0" w:space="0" w:color="auto"/>
      </w:divBdr>
    </w:div>
    <w:div w:id="515117527">
      <w:bodyDiv w:val="1"/>
      <w:marLeft w:val="0"/>
      <w:marRight w:val="0"/>
      <w:marTop w:val="0"/>
      <w:marBottom w:val="0"/>
      <w:divBdr>
        <w:top w:val="none" w:sz="0" w:space="0" w:color="auto"/>
        <w:left w:val="none" w:sz="0" w:space="0" w:color="auto"/>
        <w:bottom w:val="none" w:sz="0" w:space="0" w:color="auto"/>
        <w:right w:val="none" w:sz="0" w:space="0" w:color="auto"/>
      </w:divBdr>
    </w:div>
    <w:div w:id="554969431">
      <w:bodyDiv w:val="1"/>
      <w:marLeft w:val="0"/>
      <w:marRight w:val="0"/>
      <w:marTop w:val="0"/>
      <w:marBottom w:val="0"/>
      <w:divBdr>
        <w:top w:val="none" w:sz="0" w:space="0" w:color="auto"/>
        <w:left w:val="none" w:sz="0" w:space="0" w:color="auto"/>
        <w:bottom w:val="none" w:sz="0" w:space="0" w:color="auto"/>
        <w:right w:val="none" w:sz="0" w:space="0" w:color="auto"/>
      </w:divBdr>
    </w:div>
    <w:div w:id="569733002">
      <w:bodyDiv w:val="1"/>
      <w:marLeft w:val="0"/>
      <w:marRight w:val="0"/>
      <w:marTop w:val="0"/>
      <w:marBottom w:val="0"/>
      <w:divBdr>
        <w:top w:val="none" w:sz="0" w:space="0" w:color="auto"/>
        <w:left w:val="none" w:sz="0" w:space="0" w:color="auto"/>
        <w:bottom w:val="none" w:sz="0" w:space="0" w:color="auto"/>
        <w:right w:val="none" w:sz="0" w:space="0" w:color="auto"/>
      </w:divBdr>
    </w:div>
    <w:div w:id="618612218">
      <w:bodyDiv w:val="1"/>
      <w:marLeft w:val="0"/>
      <w:marRight w:val="0"/>
      <w:marTop w:val="0"/>
      <w:marBottom w:val="0"/>
      <w:divBdr>
        <w:top w:val="none" w:sz="0" w:space="0" w:color="auto"/>
        <w:left w:val="none" w:sz="0" w:space="0" w:color="auto"/>
        <w:bottom w:val="none" w:sz="0" w:space="0" w:color="auto"/>
        <w:right w:val="none" w:sz="0" w:space="0" w:color="auto"/>
      </w:divBdr>
    </w:div>
    <w:div w:id="626469047">
      <w:bodyDiv w:val="1"/>
      <w:marLeft w:val="0"/>
      <w:marRight w:val="0"/>
      <w:marTop w:val="0"/>
      <w:marBottom w:val="0"/>
      <w:divBdr>
        <w:top w:val="none" w:sz="0" w:space="0" w:color="auto"/>
        <w:left w:val="none" w:sz="0" w:space="0" w:color="auto"/>
        <w:bottom w:val="none" w:sz="0" w:space="0" w:color="auto"/>
        <w:right w:val="none" w:sz="0" w:space="0" w:color="auto"/>
      </w:divBdr>
    </w:div>
    <w:div w:id="716587494">
      <w:bodyDiv w:val="1"/>
      <w:marLeft w:val="0"/>
      <w:marRight w:val="0"/>
      <w:marTop w:val="0"/>
      <w:marBottom w:val="0"/>
      <w:divBdr>
        <w:top w:val="none" w:sz="0" w:space="0" w:color="auto"/>
        <w:left w:val="none" w:sz="0" w:space="0" w:color="auto"/>
        <w:bottom w:val="none" w:sz="0" w:space="0" w:color="auto"/>
        <w:right w:val="none" w:sz="0" w:space="0" w:color="auto"/>
      </w:divBdr>
    </w:div>
    <w:div w:id="734006636">
      <w:bodyDiv w:val="1"/>
      <w:marLeft w:val="0"/>
      <w:marRight w:val="0"/>
      <w:marTop w:val="0"/>
      <w:marBottom w:val="0"/>
      <w:divBdr>
        <w:top w:val="none" w:sz="0" w:space="0" w:color="auto"/>
        <w:left w:val="none" w:sz="0" w:space="0" w:color="auto"/>
        <w:bottom w:val="none" w:sz="0" w:space="0" w:color="auto"/>
        <w:right w:val="none" w:sz="0" w:space="0" w:color="auto"/>
      </w:divBdr>
    </w:div>
    <w:div w:id="789516422">
      <w:bodyDiv w:val="1"/>
      <w:marLeft w:val="0"/>
      <w:marRight w:val="0"/>
      <w:marTop w:val="0"/>
      <w:marBottom w:val="0"/>
      <w:divBdr>
        <w:top w:val="none" w:sz="0" w:space="0" w:color="auto"/>
        <w:left w:val="none" w:sz="0" w:space="0" w:color="auto"/>
        <w:bottom w:val="none" w:sz="0" w:space="0" w:color="auto"/>
        <w:right w:val="none" w:sz="0" w:space="0" w:color="auto"/>
      </w:divBdr>
    </w:div>
    <w:div w:id="800146549">
      <w:bodyDiv w:val="1"/>
      <w:marLeft w:val="0"/>
      <w:marRight w:val="0"/>
      <w:marTop w:val="0"/>
      <w:marBottom w:val="0"/>
      <w:divBdr>
        <w:top w:val="none" w:sz="0" w:space="0" w:color="auto"/>
        <w:left w:val="none" w:sz="0" w:space="0" w:color="auto"/>
        <w:bottom w:val="none" w:sz="0" w:space="0" w:color="auto"/>
        <w:right w:val="none" w:sz="0" w:space="0" w:color="auto"/>
      </w:divBdr>
    </w:div>
    <w:div w:id="803544398">
      <w:bodyDiv w:val="1"/>
      <w:marLeft w:val="0"/>
      <w:marRight w:val="0"/>
      <w:marTop w:val="0"/>
      <w:marBottom w:val="0"/>
      <w:divBdr>
        <w:top w:val="none" w:sz="0" w:space="0" w:color="auto"/>
        <w:left w:val="none" w:sz="0" w:space="0" w:color="auto"/>
        <w:bottom w:val="none" w:sz="0" w:space="0" w:color="auto"/>
        <w:right w:val="none" w:sz="0" w:space="0" w:color="auto"/>
      </w:divBdr>
    </w:div>
    <w:div w:id="828444093">
      <w:bodyDiv w:val="1"/>
      <w:marLeft w:val="0"/>
      <w:marRight w:val="0"/>
      <w:marTop w:val="0"/>
      <w:marBottom w:val="0"/>
      <w:divBdr>
        <w:top w:val="none" w:sz="0" w:space="0" w:color="auto"/>
        <w:left w:val="none" w:sz="0" w:space="0" w:color="auto"/>
        <w:bottom w:val="none" w:sz="0" w:space="0" w:color="auto"/>
        <w:right w:val="none" w:sz="0" w:space="0" w:color="auto"/>
      </w:divBdr>
    </w:div>
    <w:div w:id="878207003">
      <w:bodyDiv w:val="1"/>
      <w:marLeft w:val="0"/>
      <w:marRight w:val="0"/>
      <w:marTop w:val="0"/>
      <w:marBottom w:val="0"/>
      <w:divBdr>
        <w:top w:val="none" w:sz="0" w:space="0" w:color="auto"/>
        <w:left w:val="none" w:sz="0" w:space="0" w:color="auto"/>
        <w:bottom w:val="none" w:sz="0" w:space="0" w:color="auto"/>
        <w:right w:val="none" w:sz="0" w:space="0" w:color="auto"/>
      </w:divBdr>
    </w:div>
    <w:div w:id="884367716">
      <w:bodyDiv w:val="1"/>
      <w:marLeft w:val="0"/>
      <w:marRight w:val="0"/>
      <w:marTop w:val="0"/>
      <w:marBottom w:val="0"/>
      <w:divBdr>
        <w:top w:val="none" w:sz="0" w:space="0" w:color="auto"/>
        <w:left w:val="none" w:sz="0" w:space="0" w:color="auto"/>
        <w:bottom w:val="none" w:sz="0" w:space="0" w:color="auto"/>
        <w:right w:val="none" w:sz="0" w:space="0" w:color="auto"/>
      </w:divBdr>
    </w:div>
    <w:div w:id="928394834">
      <w:bodyDiv w:val="1"/>
      <w:marLeft w:val="0"/>
      <w:marRight w:val="0"/>
      <w:marTop w:val="0"/>
      <w:marBottom w:val="0"/>
      <w:divBdr>
        <w:top w:val="none" w:sz="0" w:space="0" w:color="auto"/>
        <w:left w:val="none" w:sz="0" w:space="0" w:color="auto"/>
        <w:bottom w:val="none" w:sz="0" w:space="0" w:color="auto"/>
        <w:right w:val="none" w:sz="0" w:space="0" w:color="auto"/>
      </w:divBdr>
    </w:div>
    <w:div w:id="954210222">
      <w:bodyDiv w:val="1"/>
      <w:marLeft w:val="0"/>
      <w:marRight w:val="0"/>
      <w:marTop w:val="0"/>
      <w:marBottom w:val="0"/>
      <w:divBdr>
        <w:top w:val="none" w:sz="0" w:space="0" w:color="auto"/>
        <w:left w:val="none" w:sz="0" w:space="0" w:color="auto"/>
        <w:bottom w:val="none" w:sz="0" w:space="0" w:color="auto"/>
        <w:right w:val="none" w:sz="0" w:space="0" w:color="auto"/>
      </w:divBdr>
    </w:div>
    <w:div w:id="965938683">
      <w:bodyDiv w:val="1"/>
      <w:marLeft w:val="0"/>
      <w:marRight w:val="0"/>
      <w:marTop w:val="0"/>
      <w:marBottom w:val="0"/>
      <w:divBdr>
        <w:top w:val="none" w:sz="0" w:space="0" w:color="auto"/>
        <w:left w:val="none" w:sz="0" w:space="0" w:color="auto"/>
        <w:bottom w:val="none" w:sz="0" w:space="0" w:color="auto"/>
        <w:right w:val="none" w:sz="0" w:space="0" w:color="auto"/>
      </w:divBdr>
    </w:div>
    <w:div w:id="1009068469">
      <w:bodyDiv w:val="1"/>
      <w:marLeft w:val="0"/>
      <w:marRight w:val="0"/>
      <w:marTop w:val="0"/>
      <w:marBottom w:val="0"/>
      <w:divBdr>
        <w:top w:val="none" w:sz="0" w:space="0" w:color="auto"/>
        <w:left w:val="none" w:sz="0" w:space="0" w:color="auto"/>
        <w:bottom w:val="none" w:sz="0" w:space="0" w:color="auto"/>
        <w:right w:val="none" w:sz="0" w:space="0" w:color="auto"/>
      </w:divBdr>
    </w:div>
    <w:div w:id="1022511602">
      <w:bodyDiv w:val="1"/>
      <w:marLeft w:val="0"/>
      <w:marRight w:val="0"/>
      <w:marTop w:val="0"/>
      <w:marBottom w:val="0"/>
      <w:divBdr>
        <w:top w:val="none" w:sz="0" w:space="0" w:color="auto"/>
        <w:left w:val="none" w:sz="0" w:space="0" w:color="auto"/>
        <w:bottom w:val="none" w:sz="0" w:space="0" w:color="auto"/>
        <w:right w:val="none" w:sz="0" w:space="0" w:color="auto"/>
      </w:divBdr>
    </w:div>
    <w:div w:id="1045445277">
      <w:bodyDiv w:val="1"/>
      <w:marLeft w:val="0"/>
      <w:marRight w:val="0"/>
      <w:marTop w:val="0"/>
      <w:marBottom w:val="0"/>
      <w:divBdr>
        <w:top w:val="none" w:sz="0" w:space="0" w:color="auto"/>
        <w:left w:val="none" w:sz="0" w:space="0" w:color="auto"/>
        <w:bottom w:val="none" w:sz="0" w:space="0" w:color="auto"/>
        <w:right w:val="none" w:sz="0" w:space="0" w:color="auto"/>
      </w:divBdr>
    </w:div>
    <w:div w:id="1109856942">
      <w:bodyDiv w:val="1"/>
      <w:marLeft w:val="0"/>
      <w:marRight w:val="0"/>
      <w:marTop w:val="0"/>
      <w:marBottom w:val="0"/>
      <w:divBdr>
        <w:top w:val="none" w:sz="0" w:space="0" w:color="auto"/>
        <w:left w:val="none" w:sz="0" w:space="0" w:color="auto"/>
        <w:bottom w:val="none" w:sz="0" w:space="0" w:color="auto"/>
        <w:right w:val="none" w:sz="0" w:space="0" w:color="auto"/>
      </w:divBdr>
    </w:div>
    <w:div w:id="1150752837">
      <w:bodyDiv w:val="1"/>
      <w:marLeft w:val="0"/>
      <w:marRight w:val="0"/>
      <w:marTop w:val="0"/>
      <w:marBottom w:val="0"/>
      <w:divBdr>
        <w:top w:val="none" w:sz="0" w:space="0" w:color="auto"/>
        <w:left w:val="none" w:sz="0" w:space="0" w:color="auto"/>
        <w:bottom w:val="none" w:sz="0" w:space="0" w:color="auto"/>
        <w:right w:val="none" w:sz="0" w:space="0" w:color="auto"/>
      </w:divBdr>
    </w:div>
    <w:div w:id="1151215016">
      <w:bodyDiv w:val="1"/>
      <w:marLeft w:val="0"/>
      <w:marRight w:val="0"/>
      <w:marTop w:val="0"/>
      <w:marBottom w:val="0"/>
      <w:divBdr>
        <w:top w:val="none" w:sz="0" w:space="0" w:color="auto"/>
        <w:left w:val="none" w:sz="0" w:space="0" w:color="auto"/>
        <w:bottom w:val="none" w:sz="0" w:space="0" w:color="auto"/>
        <w:right w:val="none" w:sz="0" w:space="0" w:color="auto"/>
      </w:divBdr>
    </w:div>
    <w:div w:id="1198931728">
      <w:bodyDiv w:val="1"/>
      <w:marLeft w:val="0"/>
      <w:marRight w:val="0"/>
      <w:marTop w:val="0"/>
      <w:marBottom w:val="0"/>
      <w:divBdr>
        <w:top w:val="none" w:sz="0" w:space="0" w:color="auto"/>
        <w:left w:val="none" w:sz="0" w:space="0" w:color="auto"/>
        <w:bottom w:val="none" w:sz="0" w:space="0" w:color="auto"/>
        <w:right w:val="none" w:sz="0" w:space="0" w:color="auto"/>
      </w:divBdr>
    </w:div>
    <w:div w:id="1229926726">
      <w:bodyDiv w:val="1"/>
      <w:marLeft w:val="0"/>
      <w:marRight w:val="0"/>
      <w:marTop w:val="0"/>
      <w:marBottom w:val="0"/>
      <w:divBdr>
        <w:top w:val="none" w:sz="0" w:space="0" w:color="auto"/>
        <w:left w:val="none" w:sz="0" w:space="0" w:color="auto"/>
        <w:bottom w:val="none" w:sz="0" w:space="0" w:color="auto"/>
        <w:right w:val="none" w:sz="0" w:space="0" w:color="auto"/>
      </w:divBdr>
    </w:div>
    <w:div w:id="1276324036">
      <w:bodyDiv w:val="1"/>
      <w:marLeft w:val="0"/>
      <w:marRight w:val="0"/>
      <w:marTop w:val="0"/>
      <w:marBottom w:val="0"/>
      <w:divBdr>
        <w:top w:val="none" w:sz="0" w:space="0" w:color="auto"/>
        <w:left w:val="none" w:sz="0" w:space="0" w:color="auto"/>
        <w:bottom w:val="none" w:sz="0" w:space="0" w:color="auto"/>
        <w:right w:val="none" w:sz="0" w:space="0" w:color="auto"/>
      </w:divBdr>
    </w:div>
    <w:div w:id="1321076069">
      <w:bodyDiv w:val="1"/>
      <w:marLeft w:val="0"/>
      <w:marRight w:val="0"/>
      <w:marTop w:val="0"/>
      <w:marBottom w:val="0"/>
      <w:divBdr>
        <w:top w:val="none" w:sz="0" w:space="0" w:color="auto"/>
        <w:left w:val="none" w:sz="0" w:space="0" w:color="auto"/>
        <w:bottom w:val="none" w:sz="0" w:space="0" w:color="auto"/>
        <w:right w:val="none" w:sz="0" w:space="0" w:color="auto"/>
      </w:divBdr>
    </w:div>
    <w:div w:id="1456634341">
      <w:bodyDiv w:val="1"/>
      <w:marLeft w:val="0"/>
      <w:marRight w:val="0"/>
      <w:marTop w:val="0"/>
      <w:marBottom w:val="0"/>
      <w:divBdr>
        <w:top w:val="none" w:sz="0" w:space="0" w:color="auto"/>
        <w:left w:val="none" w:sz="0" w:space="0" w:color="auto"/>
        <w:bottom w:val="none" w:sz="0" w:space="0" w:color="auto"/>
        <w:right w:val="none" w:sz="0" w:space="0" w:color="auto"/>
      </w:divBdr>
    </w:div>
    <w:div w:id="1457212055">
      <w:bodyDiv w:val="1"/>
      <w:marLeft w:val="0"/>
      <w:marRight w:val="0"/>
      <w:marTop w:val="0"/>
      <w:marBottom w:val="0"/>
      <w:divBdr>
        <w:top w:val="none" w:sz="0" w:space="0" w:color="auto"/>
        <w:left w:val="none" w:sz="0" w:space="0" w:color="auto"/>
        <w:bottom w:val="none" w:sz="0" w:space="0" w:color="auto"/>
        <w:right w:val="none" w:sz="0" w:space="0" w:color="auto"/>
      </w:divBdr>
    </w:div>
    <w:div w:id="1537934572">
      <w:bodyDiv w:val="1"/>
      <w:marLeft w:val="0"/>
      <w:marRight w:val="0"/>
      <w:marTop w:val="0"/>
      <w:marBottom w:val="0"/>
      <w:divBdr>
        <w:top w:val="none" w:sz="0" w:space="0" w:color="auto"/>
        <w:left w:val="none" w:sz="0" w:space="0" w:color="auto"/>
        <w:bottom w:val="none" w:sz="0" w:space="0" w:color="auto"/>
        <w:right w:val="none" w:sz="0" w:space="0" w:color="auto"/>
      </w:divBdr>
    </w:div>
    <w:div w:id="1605073990">
      <w:bodyDiv w:val="1"/>
      <w:marLeft w:val="0"/>
      <w:marRight w:val="0"/>
      <w:marTop w:val="0"/>
      <w:marBottom w:val="0"/>
      <w:divBdr>
        <w:top w:val="none" w:sz="0" w:space="0" w:color="auto"/>
        <w:left w:val="none" w:sz="0" w:space="0" w:color="auto"/>
        <w:bottom w:val="none" w:sz="0" w:space="0" w:color="auto"/>
        <w:right w:val="none" w:sz="0" w:space="0" w:color="auto"/>
      </w:divBdr>
    </w:div>
    <w:div w:id="1619992200">
      <w:bodyDiv w:val="1"/>
      <w:marLeft w:val="0"/>
      <w:marRight w:val="0"/>
      <w:marTop w:val="0"/>
      <w:marBottom w:val="0"/>
      <w:divBdr>
        <w:top w:val="none" w:sz="0" w:space="0" w:color="auto"/>
        <w:left w:val="none" w:sz="0" w:space="0" w:color="auto"/>
        <w:bottom w:val="none" w:sz="0" w:space="0" w:color="auto"/>
        <w:right w:val="none" w:sz="0" w:space="0" w:color="auto"/>
      </w:divBdr>
    </w:div>
    <w:div w:id="1624921663">
      <w:bodyDiv w:val="1"/>
      <w:marLeft w:val="0"/>
      <w:marRight w:val="0"/>
      <w:marTop w:val="0"/>
      <w:marBottom w:val="0"/>
      <w:divBdr>
        <w:top w:val="none" w:sz="0" w:space="0" w:color="auto"/>
        <w:left w:val="none" w:sz="0" w:space="0" w:color="auto"/>
        <w:bottom w:val="none" w:sz="0" w:space="0" w:color="auto"/>
        <w:right w:val="none" w:sz="0" w:space="0" w:color="auto"/>
      </w:divBdr>
    </w:div>
    <w:div w:id="1683193578">
      <w:bodyDiv w:val="1"/>
      <w:marLeft w:val="0"/>
      <w:marRight w:val="0"/>
      <w:marTop w:val="0"/>
      <w:marBottom w:val="0"/>
      <w:divBdr>
        <w:top w:val="none" w:sz="0" w:space="0" w:color="auto"/>
        <w:left w:val="none" w:sz="0" w:space="0" w:color="auto"/>
        <w:bottom w:val="none" w:sz="0" w:space="0" w:color="auto"/>
        <w:right w:val="none" w:sz="0" w:space="0" w:color="auto"/>
      </w:divBdr>
    </w:div>
    <w:div w:id="1704667193">
      <w:bodyDiv w:val="1"/>
      <w:marLeft w:val="0"/>
      <w:marRight w:val="0"/>
      <w:marTop w:val="0"/>
      <w:marBottom w:val="0"/>
      <w:divBdr>
        <w:top w:val="none" w:sz="0" w:space="0" w:color="auto"/>
        <w:left w:val="none" w:sz="0" w:space="0" w:color="auto"/>
        <w:bottom w:val="none" w:sz="0" w:space="0" w:color="auto"/>
        <w:right w:val="none" w:sz="0" w:space="0" w:color="auto"/>
      </w:divBdr>
    </w:div>
    <w:div w:id="1754348959">
      <w:bodyDiv w:val="1"/>
      <w:marLeft w:val="0"/>
      <w:marRight w:val="0"/>
      <w:marTop w:val="0"/>
      <w:marBottom w:val="0"/>
      <w:divBdr>
        <w:top w:val="none" w:sz="0" w:space="0" w:color="auto"/>
        <w:left w:val="none" w:sz="0" w:space="0" w:color="auto"/>
        <w:bottom w:val="none" w:sz="0" w:space="0" w:color="auto"/>
        <w:right w:val="none" w:sz="0" w:space="0" w:color="auto"/>
      </w:divBdr>
    </w:div>
    <w:div w:id="1762410572">
      <w:bodyDiv w:val="1"/>
      <w:marLeft w:val="0"/>
      <w:marRight w:val="0"/>
      <w:marTop w:val="0"/>
      <w:marBottom w:val="0"/>
      <w:divBdr>
        <w:top w:val="none" w:sz="0" w:space="0" w:color="auto"/>
        <w:left w:val="none" w:sz="0" w:space="0" w:color="auto"/>
        <w:bottom w:val="none" w:sz="0" w:space="0" w:color="auto"/>
        <w:right w:val="none" w:sz="0" w:space="0" w:color="auto"/>
      </w:divBdr>
    </w:div>
    <w:div w:id="1772437501">
      <w:bodyDiv w:val="1"/>
      <w:marLeft w:val="0"/>
      <w:marRight w:val="0"/>
      <w:marTop w:val="0"/>
      <w:marBottom w:val="0"/>
      <w:divBdr>
        <w:top w:val="none" w:sz="0" w:space="0" w:color="auto"/>
        <w:left w:val="none" w:sz="0" w:space="0" w:color="auto"/>
        <w:bottom w:val="none" w:sz="0" w:space="0" w:color="auto"/>
        <w:right w:val="none" w:sz="0" w:space="0" w:color="auto"/>
      </w:divBdr>
    </w:div>
    <w:div w:id="1810703023">
      <w:bodyDiv w:val="1"/>
      <w:marLeft w:val="0"/>
      <w:marRight w:val="0"/>
      <w:marTop w:val="0"/>
      <w:marBottom w:val="0"/>
      <w:divBdr>
        <w:top w:val="none" w:sz="0" w:space="0" w:color="auto"/>
        <w:left w:val="none" w:sz="0" w:space="0" w:color="auto"/>
        <w:bottom w:val="none" w:sz="0" w:space="0" w:color="auto"/>
        <w:right w:val="none" w:sz="0" w:space="0" w:color="auto"/>
      </w:divBdr>
    </w:div>
    <w:div w:id="1833839393">
      <w:bodyDiv w:val="1"/>
      <w:marLeft w:val="0"/>
      <w:marRight w:val="0"/>
      <w:marTop w:val="0"/>
      <w:marBottom w:val="0"/>
      <w:divBdr>
        <w:top w:val="none" w:sz="0" w:space="0" w:color="auto"/>
        <w:left w:val="none" w:sz="0" w:space="0" w:color="auto"/>
        <w:bottom w:val="none" w:sz="0" w:space="0" w:color="auto"/>
        <w:right w:val="none" w:sz="0" w:space="0" w:color="auto"/>
      </w:divBdr>
    </w:div>
    <w:div w:id="1835954730">
      <w:bodyDiv w:val="1"/>
      <w:marLeft w:val="0"/>
      <w:marRight w:val="0"/>
      <w:marTop w:val="0"/>
      <w:marBottom w:val="0"/>
      <w:divBdr>
        <w:top w:val="none" w:sz="0" w:space="0" w:color="auto"/>
        <w:left w:val="none" w:sz="0" w:space="0" w:color="auto"/>
        <w:bottom w:val="none" w:sz="0" w:space="0" w:color="auto"/>
        <w:right w:val="none" w:sz="0" w:space="0" w:color="auto"/>
      </w:divBdr>
    </w:div>
    <w:div w:id="1850951765">
      <w:bodyDiv w:val="1"/>
      <w:marLeft w:val="0"/>
      <w:marRight w:val="0"/>
      <w:marTop w:val="0"/>
      <w:marBottom w:val="0"/>
      <w:divBdr>
        <w:top w:val="none" w:sz="0" w:space="0" w:color="auto"/>
        <w:left w:val="none" w:sz="0" w:space="0" w:color="auto"/>
        <w:bottom w:val="none" w:sz="0" w:space="0" w:color="auto"/>
        <w:right w:val="none" w:sz="0" w:space="0" w:color="auto"/>
      </w:divBdr>
    </w:div>
    <w:div w:id="1852836621">
      <w:bodyDiv w:val="1"/>
      <w:marLeft w:val="0"/>
      <w:marRight w:val="0"/>
      <w:marTop w:val="0"/>
      <w:marBottom w:val="0"/>
      <w:divBdr>
        <w:top w:val="none" w:sz="0" w:space="0" w:color="auto"/>
        <w:left w:val="none" w:sz="0" w:space="0" w:color="auto"/>
        <w:bottom w:val="none" w:sz="0" w:space="0" w:color="auto"/>
        <w:right w:val="none" w:sz="0" w:space="0" w:color="auto"/>
      </w:divBdr>
    </w:div>
    <w:div w:id="1874489353">
      <w:bodyDiv w:val="1"/>
      <w:marLeft w:val="0"/>
      <w:marRight w:val="0"/>
      <w:marTop w:val="0"/>
      <w:marBottom w:val="0"/>
      <w:divBdr>
        <w:top w:val="none" w:sz="0" w:space="0" w:color="auto"/>
        <w:left w:val="none" w:sz="0" w:space="0" w:color="auto"/>
        <w:bottom w:val="none" w:sz="0" w:space="0" w:color="auto"/>
        <w:right w:val="none" w:sz="0" w:space="0" w:color="auto"/>
      </w:divBdr>
    </w:div>
    <w:div w:id="1910844089">
      <w:bodyDiv w:val="1"/>
      <w:marLeft w:val="0"/>
      <w:marRight w:val="0"/>
      <w:marTop w:val="0"/>
      <w:marBottom w:val="0"/>
      <w:divBdr>
        <w:top w:val="none" w:sz="0" w:space="0" w:color="auto"/>
        <w:left w:val="none" w:sz="0" w:space="0" w:color="auto"/>
        <w:bottom w:val="none" w:sz="0" w:space="0" w:color="auto"/>
        <w:right w:val="none" w:sz="0" w:space="0" w:color="auto"/>
      </w:divBdr>
    </w:div>
    <w:div w:id="1951737206">
      <w:bodyDiv w:val="1"/>
      <w:marLeft w:val="0"/>
      <w:marRight w:val="0"/>
      <w:marTop w:val="0"/>
      <w:marBottom w:val="0"/>
      <w:divBdr>
        <w:top w:val="none" w:sz="0" w:space="0" w:color="auto"/>
        <w:left w:val="none" w:sz="0" w:space="0" w:color="auto"/>
        <w:bottom w:val="none" w:sz="0" w:space="0" w:color="auto"/>
        <w:right w:val="none" w:sz="0" w:space="0" w:color="auto"/>
      </w:divBdr>
    </w:div>
    <w:div w:id="1961834168">
      <w:bodyDiv w:val="1"/>
      <w:marLeft w:val="0"/>
      <w:marRight w:val="0"/>
      <w:marTop w:val="0"/>
      <w:marBottom w:val="0"/>
      <w:divBdr>
        <w:top w:val="none" w:sz="0" w:space="0" w:color="auto"/>
        <w:left w:val="none" w:sz="0" w:space="0" w:color="auto"/>
        <w:bottom w:val="none" w:sz="0" w:space="0" w:color="auto"/>
        <w:right w:val="none" w:sz="0" w:space="0" w:color="auto"/>
      </w:divBdr>
    </w:div>
    <w:div w:id="1990790307">
      <w:bodyDiv w:val="1"/>
      <w:marLeft w:val="0"/>
      <w:marRight w:val="0"/>
      <w:marTop w:val="0"/>
      <w:marBottom w:val="0"/>
      <w:divBdr>
        <w:top w:val="none" w:sz="0" w:space="0" w:color="auto"/>
        <w:left w:val="none" w:sz="0" w:space="0" w:color="auto"/>
        <w:bottom w:val="none" w:sz="0" w:space="0" w:color="auto"/>
        <w:right w:val="none" w:sz="0" w:space="0" w:color="auto"/>
      </w:divBdr>
    </w:div>
    <w:div w:id="2007591418">
      <w:bodyDiv w:val="1"/>
      <w:marLeft w:val="0"/>
      <w:marRight w:val="0"/>
      <w:marTop w:val="0"/>
      <w:marBottom w:val="0"/>
      <w:divBdr>
        <w:top w:val="none" w:sz="0" w:space="0" w:color="auto"/>
        <w:left w:val="none" w:sz="0" w:space="0" w:color="auto"/>
        <w:bottom w:val="none" w:sz="0" w:space="0" w:color="auto"/>
        <w:right w:val="none" w:sz="0" w:space="0" w:color="auto"/>
      </w:divBdr>
    </w:div>
    <w:div w:id="2036732300">
      <w:bodyDiv w:val="1"/>
      <w:marLeft w:val="0"/>
      <w:marRight w:val="0"/>
      <w:marTop w:val="0"/>
      <w:marBottom w:val="0"/>
      <w:divBdr>
        <w:top w:val="none" w:sz="0" w:space="0" w:color="auto"/>
        <w:left w:val="none" w:sz="0" w:space="0" w:color="auto"/>
        <w:bottom w:val="none" w:sz="0" w:space="0" w:color="auto"/>
        <w:right w:val="none" w:sz="0" w:space="0" w:color="auto"/>
      </w:divBdr>
    </w:div>
    <w:div w:id="209230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AB5E2B1B6D5A48B22E125CB4EBF9E6" ma:contentTypeVersion="6" ma:contentTypeDescription="Create a new document." ma:contentTypeScope="" ma:versionID="42cfe1170f377a50e8ce5822db470643">
  <xsd:schema xmlns:xsd="http://www.w3.org/2001/XMLSchema" xmlns:xs="http://www.w3.org/2001/XMLSchema" xmlns:p="http://schemas.microsoft.com/office/2006/metadata/properties" xmlns:ns1="http://schemas.microsoft.com/sharepoint/v3" xmlns:ns2="eb511945-55a0-4b8c-a28b-7bc3ad442a40" xmlns:ns3="e75883d2-18c9-4905-892c-33562302d513" xmlns:ns4="6d752013-48f3-44e0-8fb9-3cd7fc1f0ba8" xmlns:ns5="e069ed18-643f-4fa2-8f24-2a187e93ad6d" targetNamespace="http://schemas.microsoft.com/office/2006/metadata/properties" ma:root="true" ma:fieldsID="6e75ef051e4350a7168f4e34243b3c1b" ns1:_="" ns2:_="" ns3:_="" ns4:_="" ns5:_="">
    <xsd:import namespace="http://schemas.microsoft.com/sharepoint/v3"/>
    <xsd:import namespace="eb511945-55a0-4b8c-a28b-7bc3ad442a40"/>
    <xsd:import namespace="e75883d2-18c9-4905-892c-33562302d513"/>
    <xsd:import namespace="6d752013-48f3-44e0-8fb9-3cd7fc1f0ba8"/>
    <xsd:import namespace="e069ed18-643f-4fa2-8f24-2a187e93ad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Topic" minOccurs="0"/>
                <xsd:element ref="ns2:MediaServiceLocation" minOccurs="0"/>
                <xsd:element ref="ns2:MediaServiceSearchProperties" minOccurs="0"/>
                <xsd:element ref="ns4:lcf76f155ced4ddcb4097134ff3c332f" minOccurs="0"/>
                <xsd:element ref="ns5: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11945-55a0-4b8c-a28b-7bc3ad442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Topic" ma:index="18" nillable="true" ma:displayName="Topic" ma:internalName="Topic">
      <xsd:simpleType>
        <xsd:restriction base="dms:Text">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883d2-18c9-4905-892c-33562302d5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752013-48f3-44e0-8fb9-3cd7fc1f0ba8"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69ed18-643f-4fa2-8f24-2a187e93ad6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4516796-82ae-4caa-b3ad-222c41a33246}"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752013-48f3-44e0-8fb9-3cd7fc1f0ba8">
      <Terms xmlns="http://schemas.microsoft.com/office/infopath/2007/PartnerControls"/>
    </lcf76f155ced4ddcb4097134ff3c332f>
    <Topic xmlns="eb511945-55a0-4b8c-a28b-7bc3ad442a40" xsi:nil="true"/>
    <_ip_UnifiedCompliancePolicyProperties xmlns="http://schemas.microsoft.com/sharepoint/v3" xsi:nil="true"/>
    <TaxCatchAll xmlns="e069ed18-643f-4fa2-8f24-2a187e93ad6d" xsi:nil="true"/>
  </documentManagement>
</p:properties>
</file>

<file path=customXml/itemProps1.xml><?xml version="1.0" encoding="utf-8"?>
<ds:datastoreItem xmlns:ds="http://schemas.openxmlformats.org/officeDocument/2006/customXml" ds:itemID="{859BE2FA-3F43-47CD-9127-FD24ED24F2B5}">
  <ds:schemaRefs>
    <ds:schemaRef ds:uri="http://schemas.openxmlformats.org/officeDocument/2006/bibliography"/>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B2739EA4-F569-414D-B67E-948D310E4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511945-55a0-4b8c-a28b-7bc3ad442a40"/>
    <ds:schemaRef ds:uri="e75883d2-18c9-4905-892c-33562302d513"/>
    <ds:schemaRef ds:uri="6d752013-48f3-44e0-8fb9-3cd7fc1f0ba8"/>
    <ds:schemaRef ds:uri="e069ed18-643f-4fa2-8f24-2a187e93a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2F429-4198-4ECD-8E59-23F01B09005A}">
  <ds:schemaRefs>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FC5F77D3-5041-455F-A8EF-4F2D0A758F55"/>
    <ds:schemaRef ds:uri="http://schemas.microsoft.com/sharepoint/v3"/>
    <ds:schemaRef ds:uri="6d752013-48f3-44e0-8fb9-3cd7fc1f0ba8"/>
    <ds:schemaRef ds:uri="eb511945-55a0-4b8c-a28b-7bc3ad442a40"/>
    <ds:schemaRef ds:uri="e069ed18-643f-4fa2-8f24-2a187e93ad6d"/>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5</TotalTime>
  <Pages>41</Pages>
  <Words>16204</Words>
  <Characters>92369</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108357</CharactersWithSpaces>
  <SharedDoc>false</SharedDoc>
  <HLinks>
    <vt:vector size="78" baseType="variant">
      <vt:variant>
        <vt:i4>5898267</vt:i4>
      </vt:variant>
      <vt:variant>
        <vt:i4>9</vt:i4>
      </vt:variant>
      <vt:variant>
        <vt:i4>0</vt:i4>
      </vt:variant>
      <vt:variant>
        <vt:i4>5</vt:i4>
      </vt:variant>
      <vt:variant>
        <vt:lpwstr>http://www.dcceew.gov.au/climate-change/publications/framework-developing-production-variables-default-emissions-intensity-values</vt:lpwstr>
      </vt:variant>
      <vt:variant>
        <vt:lpwstr/>
      </vt:variant>
      <vt:variant>
        <vt:i4>2031643</vt:i4>
      </vt:variant>
      <vt:variant>
        <vt:i4>6</vt:i4>
      </vt:variant>
      <vt:variant>
        <vt:i4>0</vt:i4>
      </vt:variant>
      <vt:variant>
        <vt:i4>5</vt:i4>
      </vt:variant>
      <vt:variant>
        <vt:lpwstr>https://oia.pmc.gov.au/resources/guidance-impact-analysis/australian-government-guide-policy-impact-analysis</vt:lpwstr>
      </vt:variant>
      <vt:variant>
        <vt:lpwstr/>
      </vt:variant>
      <vt:variant>
        <vt:i4>5898267</vt:i4>
      </vt:variant>
      <vt:variant>
        <vt:i4>3</vt:i4>
      </vt:variant>
      <vt:variant>
        <vt:i4>0</vt:i4>
      </vt:variant>
      <vt:variant>
        <vt:i4>5</vt:i4>
      </vt:variant>
      <vt:variant>
        <vt:lpwstr>http://www.dcceew.gov.au/climate-change/publications/framework-developing-production-variables-default-emissions-intensity-values</vt:lpwstr>
      </vt:variant>
      <vt:variant>
        <vt:lpwstr/>
      </vt:variant>
      <vt:variant>
        <vt:i4>7733309</vt:i4>
      </vt:variant>
      <vt:variant>
        <vt:i4>0</vt:i4>
      </vt:variant>
      <vt:variant>
        <vt:i4>0</vt:i4>
      </vt:variant>
      <vt:variant>
        <vt:i4>5</vt:i4>
      </vt:variant>
      <vt:variant>
        <vt:lpwstr>https://www.dcceew.gov.au/climate-change/publications/benchmark-guidelines-setting-international-best-practice</vt:lpwstr>
      </vt:variant>
      <vt:variant>
        <vt:lpwstr/>
      </vt:variant>
      <vt:variant>
        <vt:i4>2162767</vt:i4>
      </vt:variant>
      <vt:variant>
        <vt:i4>24</vt:i4>
      </vt:variant>
      <vt:variant>
        <vt:i4>0</vt:i4>
      </vt:variant>
      <vt:variant>
        <vt:i4>5</vt:i4>
      </vt:variant>
      <vt:variant>
        <vt:lpwstr>mailto:Peter.WOOD@dcceew-migration.gov.au</vt:lpwstr>
      </vt:variant>
      <vt:variant>
        <vt:lpwstr/>
      </vt:variant>
      <vt:variant>
        <vt:i4>655473</vt:i4>
      </vt:variant>
      <vt:variant>
        <vt:i4>21</vt:i4>
      </vt:variant>
      <vt:variant>
        <vt:i4>0</vt:i4>
      </vt:variant>
      <vt:variant>
        <vt:i4>5</vt:i4>
      </vt:variant>
      <vt:variant>
        <vt:lpwstr>mailto:Mark.HUNSTONE@dcceew-migration.gov.au</vt:lpwstr>
      </vt:variant>
      <vt:variant>
        <vt:lpwstr/>
      </vt:variant>
      <vt:variant>
        <vt:i4>2162767</vt:i4>
      </vt:variant>
      <vt:variant>
        <vt:i4>18</vt:i4>
      </vt:variant>
      <vt:variant>
        <vt:i4>0</vt:i4>
      </vt:variant>
      <vt:variant>
        <vt:i4>5</vt:i4>
      </vt:variant>
      <vt:variant>
        <vt:lpwstr>mailto:Peter.WOOD@dcceew-migration.gov.au</vt:lpwstr>
      </vt:variant>
      <vt:variant>
        <vt:lpwstr/>
      </vt:variant>
      <vt:variant>
        <vt:i4>655473</vt:i4>
      </vt:variant>
      <vt:variant>
        <vt:i4>15</vt:i4>
      </vt:variant>
      <vt:variant>
        <vt:i4>0</vt:i4>
      </vt:variant>
      <vt:variant>
        <vt:i4>5</vt:i4>
      </vt:variant>
      <vt:variant>
        <vt:lpwstr>mailto:Mark.HUNSTONE@dcceew-migration.gov.au</vt:lpwstr>
      </vt:variant>
      <vt:variant>
        <vt:lpwstr/>
      </vt:variant>
      <vt:variant>
        <vt:i4>2162767</vt:i4>
      </vt:variant>
      <vt:variant>
        <vt:i4>12</vt:i4>
      </vt:variant>
      <vt:variant>
        <vt:i4>0</vt:i4>
      </vt:variant>
      <vt:variant>
        <vt:i4>5</vt:i4>
      </vt:variant>
      <vt:variant>
        <vt:lpwstr>mailto:Peter.WOOD@dcceew-migration.gov.au</vt:lpwstr>
      </vt:variant>
      <vt:variant>
        <vt:lpwstr/>
      </vt:variant>
      <vt:variant>
        <vt:i4>655473</vt:i4>
      </vt:variant>
      <vt:variant>
        <vt:i4>9</vt:i4>
      </vt:variant>
      <vt:variant>
        <vt:i4>0</vt:i4>
      </vt:variant>
      <vt:variant>
        <vt:i4>5</vt:i4>
      </vt:variant>
      <vt:variant>
        <vt:lpwstr>mailto:Mark.HUNSTONE@dcceew-migration.gov.au</vt:lpwstr>
      </vt:variant>
      <vt:variant>
        <vt:lpwstr/>
      </vt:variant>
      <vt:variant>
        <vt:i4>2162767</vt:i4>
      </vt:variant>
      <vt:variant>
        <vt:i4>6</vt:i4>
      </vt:variant>
      <vt:variant>
        <vt:i4>0</vt:i4>
      </vt:variant>
      <vt:variant>
        <vt:i4>5</vt:i4>
      </vt:variant>
      <vt:variant>
        <vt:lpwstr>mailto:Peter.WOOD@dcceew-migration.gov.au</vt:lpwstr>
      </vt:variant>
      <vt:variant>
        <vt:lpwstr/>
      </vt:variant>
      <vt:variant>
        <vt:i4>655473</vt:i4>
      </vt:variant>
      <vt:variant>
        <vt:i4>3</vt:i4>
      </vt:variant>
      <vt:variant>
        <vt:i4>0</vt:i4>
      </vt:variant>
      <vt:variant>
        <vt:i4>5</vt:i4>
      </vt:variant>
      <vt:variant>
        <vt:lpwstr>mailto:Mark.HUNSTONE@dcceew-migration.gov.au</vt:lpwstr>
      </vt:variant>
      <vt:variant>
        <vt:lpwstr/>
      </vt:variant>
      <vt:variant>
        <vt:i4>655473</vt:i4>
      </vt:variant>
      <vt:variant>
        <vt:i4>0</vt:i4>
      </vt:variant>
      <vt:variant>
        <vt:i4>0</vt:i4>
      </vt:variant>
      <vt:variant>
        <vt:i4>5</vt:i4>
      </vt:variant>
      <vt:variant>
        <vt:lpwstr>mailto:Mark.HUNSTONE@dcceew-migration.gov.au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CHIU</dc:creator>
  <cp:keywords/>
  <cp:lastModifiedBy>Sharon CHIU</cp:lastModifiedBy>
  <cp:revision>2</cp:revision>
  <cp:lastPrinted>2022-12-05T05:43:00Z</cp:lastPrinted>
  <dcterms:created xsi:type="dcterms:W3CDTF">2024-08-29T06:07:00Z</dcterms:created>
  <dcterms:modified xsi:type="dcterms:W3CDTF">2024-08-29T06:07:00Z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0x01010065AB5E2B1B6D5A48B22E125CB4EBF9E6</vt:lpwstr>
  </property>
  <property fmtid="{D5CDD505-2E9C-101B-9397-08002B2CF9AE}" pid="3" name="DocHub_Year">
    <vt:lpwstr>1787;#2023|4fbcaf2e-c858-4248-836e-58ac5eb285ca</vt:lpwstr>
  </property>
  <property fmtid="{D5CDD505-2E9C-101B-9397-08002B2CF9AE}" pid="4" name="DocHub_DocumentType">
    <vt:lpwstr>460;#Explanatory Memorandum|e1baf4eb-cfb1-4562-a99a-5aebab1aca70</vt:lpwstr>
  </property>
  <property fmtid="{D5CDD505-2E9C-101B-9397-08002B2CF9AE}" pid="5" name="DocHub_SecurityClassification">
    <vt:lpwstr>204;#Legal privilege|e0e7653a-6457-4726-a51f-c98e23f83bad</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184;#Legislation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2022-10-19T11:26:31Z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9a39ff51-ddf7-4ac8-b30e-501f50ff350e</vt:lpwstr>
  </property>
  <property fmtid="{D5CDD505-2E9C-101B-9397-08002B2CF9AE}" pid="17" name="MSIP_Label_79d889eb-932f-4752-8739-64d25806ef64_ContentBits">
    <vt:lpwstr>0</vt:lpwstr>
  </property>
  <property fmtid="{D5CDD505-2E9C-101B-9397-08002B2CF9AE}" pid="18" name="DocHub_Keywords">
    <vt:lpwstr>234;#Safeguard Mechanism|462066da-c297-4969-b9e8-878ecfcc0dda</vt:lpwstr>
  </property>
  <property fmtid="{D5CDD505-2E9C-101B-9397-08002B2CF9AE}" pid="19" name="MediaServiceImageTags">
    <vt:lpwstr/>
  </property>
  <property fmtid="{D5CDD505-2E9C-101B-9397-08002B2CF9AE}" pid="20" name="ClassificationContentMarkingHeaderShapeIds">
    <vt:lpwstr>26d1ee6,609bb4ef,191854ae</vt:lpwstr>
  </property>
  <property fmtid="{D5CDD505-2E9C-101B-9397-08002B2CF9AE}" pid="21" name="ClassificationContentMarkingHeaderFontProps">
    <vt:lpwstr>#ff0000,12,Calibri</vt:lpwstr>
  </property>
  <property fmtid="{D5CDD505-2E9C-101B-9397-08002B2CF9AE}" pid="22" name="ClassificationContentMarkingHeaderText">
    <vt:lpwstr>OFFICIAL</vt:lpwstr>
  </property>
  <property fmtid="{D5CDD505-2E9C-101B-9397-08002B2CF9AE}" pid="23" name="ClassificationContentMarkingFooterShapeIds">
    <vt:lpwstr>6f6fee75,29f86d59,4f9cf69f</vt:lpwstr>
  </property>
  <property fmtid="{D5CDD505-2E9C-101B-9397-08002B2CF9AE}" pid="24" name="ClassificationContentMarkingFooterFontProps">
    <vt:lpwstr>#ff0000,12,Calibri</vt:lpwstr>
  </property>
  <property fmtid="{D5CDD505-2E9C-101B-9397-08002B2CF9AE}" pid="25" name="ClassificationContentMarkingFooterText">
    <vt:lpwstr>OFFICIAL</vt:lpwstr>
  </property>
</Properties>
</file>