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6F6B"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3FB731D0" w14:textId="0A212FAC"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849D35CB70E14BC89D3AE5E1A8AB9357"/>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047707">
            <w:rPr>
              <w:rStyle w:val="DefaultChar"/>
            </w:rPr>
            <w:t>the Assistant Treasurer and Minister for Financial Services</w:t>
          </w:r>
        </w:sdtContent>
      </w:sdt>
      <w:r w:rsidR="00076178" w:rsidRPr="003C5719">
        <w:rPr>
          <w:sz w:val="24"/>
          <w:szCs w:val="24"/>
        </w:rPr>
        <w:t xml:space="preserve"> </w:t>
      </w:r>
    </w:p>
    <w:p w14:paraId="71FEDF83" w14:textId="1089A21C" w:rsidR="00F109D4" w:rsidRPr="003C5719" w:rsidRDefault="00397D22" w:rsidP="004A27A8">
      <w:pPr>
        <w:spacing w:before="240" w:after="240"/>
        <w:jc w:val="center"/>
        <w:rPr>
          <w:i/>
        </w:rPr>
      </w:pPr>
      <w:r>
        <w:rPr>
          <w:i/>
        </w:rPr>
        <w:t>Income Tax Assessment Act 1997</w:t>
      </w:r>
    </w:p>
    <w:p w14:paraId="59D19475" w14:textId="6B3EFD94" w:rsidR="00F109D4" w:rsidRPr="003C5719" w:rsidRDefault="001A0358" w:rsidP="004A27A8">
      <w:pPr>
        <w:tabs>
          <w:tab w:val="left" w:pos="1418"/>
        </w:tabs>
        <w:spacing w:before="0" w:after="240"/>
        <w:jc w:val="center"/>
        <w:rPr>
          <w:i/>
        </w:rPr>
      </w:pPr>
      <w:bookmarkStart w:id="0" w:name="_Hlk155609976"/>
      <w:r>
        <w:rPr>
          <w:i/>
        </w:rPr>
        <w:t>In</w:t>
      </w:r>
      <w:r w:rsidR="00CB6738">
        <w:rPr>
          <w:i/>
        </w:rPr>
        <w:t>come Tax Assessment</w:t>
      </w:r>
      <w:r w:rsidR="00397D22" w:rsidRPr="00397D22">
        <w:rPr>
          <w:i/>
        </w:rPr>
        <w:t xml:space="preserve"> Amendment </w:t>
      </w:r>
      <w:bookmarkStart w:id="1" w:name="_Hlk155609996"/>
      <w:r w:rsidR="00397D22" w:rsidRPr="00397D22">
        <w:rPr>
          <w:i/>
        </w:rPr>
        <w:t>(</w:t>
      </w:r>
      <w:r w:rsidR="00CB6738">
        <w:rPr>
          <w:i/>
        </w:rPr>
        <w:t>Transfer Balance Account</w:t>
      </w:r>
      <w:r w:rsidR="00397D22" w:rsidRPr="00397D22">
        <w:rPr>
          <w:i/>
        </w:rPr>
        <w:t xml:space="preserve"> Value for Certain Superannuation Income Streams) Regulations 2024</w:t>
      </w:r>
      <w:bookmarkEnd w:id="1"/>
    </w:p>
    <w:bookmarkEnd w:id="0"/>
    <w:p w14:paraId="58392DAF" w14:textId="133C138C" w:rsidR="00892D3B" w:rsidRDefault="00C55D29" w:rsidP="004A27A8">
      <w:pPr>
        <w:spacing w:before="240"/>
      </w:pPr>
      <w:r w:rsidRPr="003C5719">
        <w:t>Section</w:t>
      </w:r>
      <w:r w:rsidR="00BF15B9">
        <w:t xml:space="preserve"> 909-1</w:t>
      </w:r>
      <w:r w:rsidR="005E4BAC" w:rsidRPr="003C5719">
        <w:t xml:space="preserve"> </w:t>
      </w:r>
      <w:r w:rsidR="00F109D4" w:rsidRPr="003C5719">
        <w:t xml:space="preserve">of the </w:t>
      </w:r>
      <w:r w:rsidR="004E5CE2" w:rsidRPr="520B763C">
        <w:rPr>
          <w:i/>
          <w:iCs/>
        </w:rPr>
        <w:t>Income Tax Assessment Act 1997</w:t>
      </w:r>
      <w:r w:rsidR="00F109D4" w:rsidRPr="003C5719">
        <w:t xml:space="preserve"> (the Act) provides that the Governor</w:t>
      </w:r>
      <w:r w:rsidR="009E27A5">
        <w:noBreakHyphen/>
      </w:r>
      <w:r w:rsidR="00F109D4" w:rsidRPr="003C5719">
        <w:t>General may make regulations prescribing matters required or permitted by the Act to be prescribed, or necessary or convenient to be prescribed for carrying out or giving effect to the Act.</w:t>
      </w:r>
    </w:p>
    <w:p w14:paraId="5072DB2F" w14:textId="2B36D8AC" w:rsidR="00526AAB" w:rsidRDefault="00261541" w:rsidP="004A27A8">
      <w:pPr>
        <w:spacing w:before="240"/>
      </w:pPr>
      <w:r w:rsidRPr="00261541">
        <w:t xml:space="preserve">Subsection 294-135(4) of the </w:t>
      </w:r>
      <w:r>
        <w:t>Act</w:t>
      </w:r>
      <w:r w:rsidRPr="00261541">
        <w:t xml:space="preserve"> provides that regulations may specify a method for determining the special value of a superannuation interest that supports a superannuation income stream prescribed by regulations made for the purposes of subsection 294</w:t>
      </w:r>
      <w:r w:rsidR="00A61259">
        <w:noBreakHyphen/>
      </w:r>
      <w:r w:rsidRPr="00261541">
        <w:t>130(2).</w:t>
      </w:r>
      <w:r w:rsidR="00A61259">
        <w:t xml:space="preserve"> </w:t>
      </w:r>
      <w:r w:rsidR="00526AAB">
        <w:t xml:space="preserve">Item 8 of the table in section 294-80 of the Act provides for regulations to cause a transfer balance debit to arise for the purpose of that section and to specify details for working out the amount of the debit and the time it arises. </w:t>
      </w:r>
    </w:p>
    <w:p w14:paraId="104680D1" w14:textId="77777777" w:rsidR="00C1240E" w:rsidRDefault="004F03F4" w:rsidP="004A27A8">
      <w:pPr>
        <w:spacing w:before="240"/>
      </w:pPr>
      <w:r w:rsidRPr="003C5719">
        <w:t xml:space="preserve">The purpose of the </w:t>
      </w:r>
      <w:r w:rsidR="00A973EE" w:rsidRPr="00A92C2F">
        <w:rPr>
          <w:i/>
          <w:iCs/>
        </w:rPr>
        <w:t>Income Tax Assessment Amendment (Transfer Balance Account Value for Certain Superannuation Income Streams) Regulations 2024</w:t>
      </w:r>
      <w:r w:rsidR="00A973EE">
        <w:rPr>
          <w:i/>
        </w:rPr>
        <w:t xml:space="preserve"> </w:t>
      </w:r>
      <w:r w:rsidR="00851B72">
        <w:rPr>
          <w:iCs/>
        </w:rPr>
        <w:t xml:space="preserve">(‘the Regulations’) </w:t>
      </w:r>
      <w:r w:rsidRPr="003C5719">
        <w:t>is to</w:t>
      </w:r>
      <w:r w:rsidR="00997C20">
        <w:t xml:space="preserve"> prescribe rules for dealing with certain superannuation income streams</w:t>
      </w:r>
      <w:r w:rsidR="00B5012F">
        <w:t xml:space="preserve"> </w:t>
      </w:r>
      <w:r w:rsidR="00997C20">
        <w:t xml:space="preserve">for the purpose of the </w:t>
      </w:r>
      <w:r w:rsidR="008D41DF">
        <w:t>transfer</w:t>
      </w:r>
      <w:r w:rsidR="00997C20">
        <w:t xml:space="preserve"> balance account provisions in</w:t>
      </w:r>
      <w:r w:rsidR="008D41DF">
        <w:t xml:space="preserve"> Division 294 of the Act. </w:t>
      </w:r>
      <w:r w:rsidR="007D715E">
        <w:t>The Regulations</w:t>
      </w:r>
      <w:r w:rsidR="00B5012F">
        <w:t xml:space="preserve"> </w:t>
      </w:r>
      <w:r w:rsidR="007D715E">
        <w:t>prescribe a special value for</w:t>
      </w:r>
      <w:r w:rsidR="00CE6063">
        <w:t xml:space="preserve"> transfer balance account reporting purposes</w:t>
      </w:r>
      <w:r w:rsidR="00F07B1D">
        <w:t xml:space="preserve"> and provide for a transfer balance debit to arise when these superannuation income streams </w:t>
      </w:r>
      <w:proofErr w:type="gramStart"/>
      <w:r w:rsidR="00F07B1D">
        <w:t>cease</w:t>
      </w:r>
      <w:proofErr w:type="gramEnd"/>
      <w:r w:rsidR="00E768DE">
        <w:t xml:space="preserve"> and the cessation does not otherwise result in a transfer balance debit</w:t>
      </w:r>
      <w:r w:rsidR="00CE6063">
        <w:t xml:space="preserve">. </w:t>
      </w:r>
    </w:p>
    <w:p w14:paraId="27CECFAF" w14:textId="1033BAB4" w:rsidR="00F705CA" w:rsidRDefault="00CE6063" w:rsidP="004A27A8">
      <w:pPr>
        <w:spacing w:before="240"/>
      </w:pPr>
      <w:r>
        <w:t xml:space="preserve">The regulations apply to certain non-lifetime permanent incapacity </w:t>
      </w:r>
      <w:r w:rsidR="00B153F1">
        <w:t xml:space="preserve">pensions </w:t>
      </w:r>
      <w:r w:rsidR="003470A0">
        <w:t>that</w:t>
      </w:r>
      <w:r w:rsidR="00312659">
        <w:t xml:space="preserve"> scheme trustees had </w:t>
      </w:r>
      <w:r w:rsidR="006333E4">
        <w:t xml:space="preserve">not </w:t>
      </w:r>
      <w:r w:rsidR="00312659">
        <w:t xml:space="preserve">reported </w:t>
      </w:r>
      <w:r w:rsidR="002A3859">
        <w:t xml:space="preserve">as </w:t>
      </w:r>
      <w:r w:rsidR="006333E4">
        <w:t xml:space="preserve">a </w:t>
      </w:r>
      <w:r w:rsidR="002A3859">
        <w:t xml:space="preserve">superannuation </w:t>
      </w:r>
      <w:r w:rsidR="006333E4">
        <w:t>income stream</w:t>
      </w:r>
      <w:r w:rsidR="00827191">
        <w:t xml:space="preserve"> because they did not meet relevant legislative criteria</w:t>
      </w:r>
      <w:r w:rsidR="00CF5C1E">
        <w:t xml:space="preserve"> prior to the Government’s legislative response to the Federal Court decision in </w:t>
      </w:r>
      <w:r w:rsidR="00CF5C1E" w:rsidRPr="00FC4823">
        <w:rPr>
          <w:i/>
          <w:iCs/>
        </w:rPr>
        <w:t>Commissioner of Taxation v Douglas</w:t>
      </w:r>
      <w:r w:rsidR="00CF5C1E" w:rsidRPr="00A757F3">
        <w:t xml:space="preserve"> [2020] FCAFC 220 (the Douglas decision)</w:t>
      </w:r>
      <w:r w:rsidR="00827191">
        <w:t xml:space="preserve">. The regulations apply </w:t>
      </w:r>
      <w:r w:rsidR="008D175F">
        <w:t>where the scheme</w:t>
      </w:r>
      <w:r w:rsidR="00247BCF">
        <w:t xml:space="preserve"> trustee</w:t>
      </w:r>
      <w:r w:rsidR="008D175F">
        <w:t xml:space="preserve"> ha</w:t>
      </w:r>
      <w:r w:rsidR="007D2D47">
        <w:t>s</w:t>
      </w:r>
      <w:r w:rsidR="008D175F">
        <w:t xml:space="preserve"> not reported to the Commissioner for transfer balance cap purposes prior to the commencement of these regulations.</w:t>
      </w:r>
      <w:r w:rsidR="00001FAA">
        <w:t xml:space="preserve"> These </w:t>
      </w:r>
      <w:r w:rsidR="00866D53">
        <w:t>pensions</w:t>
      </w:r>
      <w:r w:rsidR="00001FAA">
        <w:t xml:space="preserve"> have</w:t>
      </w:r>
      <w:r w:rsidR="00574BA0">
        <w:t xml:space="preserve"> subsequently</w:t>
      </w:r>
      <w:r w:rsidR="00001FAA">
        <w:t xml:space="preserve"> been prescribed as capped defined benefit income</w:t>
      </w:r>
      <w:r w:rsidR="007B36E0">
        <w:t xml:space="preserve"> streams</w:t>
      </w:r>
      <w:r w:rsidR="00001FAA">
        <w:t xml:space="preserve"> and are </w:t>
      </w:r>
      <w:r w:rsidR="002A3859">
        <w:t xml:space="preserve">superannuation income streams </w:t>
      </w:r>
      <w:proofErr w:type="gramStart"/>
      <w:r w:rsidR="002A3859">
        <w:t>as a result of</w:t>
      </w:r>
      <w:proofErr w:type="gramEnd"/>
      <w:r w:rsidR="002A3859">
        <w:t xml:space="preserve"> </w:t>
      </w:r>
      <w:r w:rsidR="00DF179F">
        <w:t xml:space="preserve">the Government’s legislative response to the </w:t>
      </w:r>
      <w:r w:rsidR="00FF1748" w:rsidRPr="00A757F3">
        <w:t>Douglas decision</w:t>
      </w:r>
      <w:r w:rsidR="00562C1F">
        <w:t>.</w:t>
      </w:r>
      <w:r w:rsidR="00235FB8">
        <w:t xml:space="preserve"> </w:t>
      </w:r>
      <w:r w:rsidR="000855EF">
        <w:t xml:space="preserve"> </w:t>
      </w:r>
    </w:p>
    <w:p w14:paraId="44B896E5" w14:textId="0D583624" w:rsidR="00DF0652" w:rsidRDefault="00717ABF" w:rsidP="005779EE">
      <w:pPr>
        <w:spacing w:before="240"/>
      </w:pPr>
      <w:r>
        <w:t xml:space="preserve">The Regulations provide that </w:t>
      </w:r>
      <w:r w:rsidR="00790803">
        <w:t xml:space="preserve">the special value for these superannuation income streams is </w:t>
      </w:r>
      <w:r w:rsidR="00C1097C">
        <w:t xml:space="preserve">worked out using </w:t>
      </w:r>
      <w:r w:rsidR="007616D5">
        <w:t xml:space="preserve">one of two </w:t>
      </w:r>
      <w:r w:rsidR="00C1097C">
        <w:t>methodologies</w:t>
      </w:r>
      <w:r w:rsidR="00024DAB">
        <w:t xml:space="preserve">. </w:t>
      </w:r>
      <w:r w:rsidR="003C575C">
        <w:t>T</w:t>
      </w:r>
      <w:r w:rsidR="00024DAB">
        <w:t xml:space="preserve">he methodology </w:t>
      </w:r>
      <w:r w:rsidR="007934EC">
        <w:t>is</w:t>
      </w:r>
      <w:r w:rsidR="00AC25F8">
        <w:t xml:space="preserve"> whichever gives the lesser amount of</w:t>
      </w:r>
      <w:r w:rsidR="005F15EC">
        <w:t xml:space="preserve"> </w:t>
      </w:r>
      <w:r w:rsidR="00C1097C">
        <w:t xml:space="preserve">annual entitlement multiplied by 16, </w:t>
      </w:r>
      <w:r w:rsidR="007934EC">
        <w:t>or</w:t>
      </w:r>
      <w:r w:rsidR="00C1097C">
        <w:t xml:space="preserve"> annual entitlement multiplied by the term remaining</w:t>
      </w:r>
      <w:r w:rsidR="00BA63D7">
        <w:t xml:space="preserve"> if the income stream has a fixed term</w:t>
      </w:r>
      <w:r w:rsidR="005F15EC">
        <w:t xml:space="preserve">. </w:t>
      </w:r>
      <w:r w:rsidR="005779EE">
        <w:t xml:space="preserve"> </w:t>
      </w:r>
      <w:r w:rsidR="00DF0652">
        <w:t xml:space="preserve">This approach will ensure that </w:t>
      </w:r>
      <w:r w:rsidR="00331B47">
        <w:t>the special value for</w:t>
      </w:r>
      <w:r w:rsidR="0078401F">
        <w:t xml:space="preserve"> these</w:t>
      </w:r>
      <w:r w:rsidR="00331B47">
        <w:t xml:space="preserve"> superannuation income streams </w:t>
      </w:r>
      <w:r w:rsidR="00492F12">
        <w:t>uses the method that is most advantageous to the member.</w:t>
      </w:r>
      <w:r w:rsidR="005B6089">
        <w:t xml:space="preserve"> </w:t>
      </w:r>
      <w:r w:rsidR="005B6089" w:rsidRPr="005B6089">
        <w:t>The special value of the superannuation income stream</w:t>
      </w:r>
      <w:r w:rsidR="005B6089">
        <w:t xml:space="preserve"> is </w:t>
      </w:r>
      <w:r w:rsidR="005B6089" w:rsidRPr="005B6089">
        <w:t>calculated from the later of 1 July 2017 or the date that the superannuation income stream commenced.</w:t>
      </w:r>
    </w:p>
    <w:p w14:paraId="4B31648D" w14:textId="77777777" w:rsidR="00084AEA" w:rsidRDefault="00084AEA">
      <w:pPr>
        <w:spacing w:before="0" w:after="0"/>
      </w:pPr>
      <w:r>
        <w:br w:type="page"/>
      </w:r>
    </w:p>
    <w:p w14:paraId="5ADC89BF" w14:textId="4A240A58" w:rsidR="001863C6" w:rsidRDefault="003D506B" w:rsidP="000A6EA5">
      <w:pPr>
        <w:spacing w:before="240"/>
      </w:pPr>
      <w:r>
        <w:lastRenderedPageBreak/>
        <w:t>The regulations also</w:t>
      </w:r>
      <w:r w:rsidR="00447247">
        <w:t xml:space="preserve"> provide</w:t>
      </w:r>
      <w:r w:rsidR="00545579">
        <w:t xml:space="preserve"> for a transfer balance debit to be applied</w:t>
      </w:r>
      <w:r w:rsidR="0008582A">
        <w:t xml:space="preserve"> if one of these superannuation income streams </w:t>
      </w:r>
      <w:r w:rsidR="003037BE">
        <w:t>c</w:t>
      </w:r>
      <w:r w:rsidR="00447247">
        <w:t>eases</w:t>
      </w:r>
      <w:r w:rsidR="00970D9B">
        <w:t xml:space="preserve"> and the cessation does not otherwise result in a transfer balance debit</w:t>
      </w:r>
      <w:r w:rsidR="00460001">
        <w:t>.</w:t>
      </w:r>
      <w:r w:rsidR="00DB1DA3">
        <w:t xml:space="preserve"> The value of the transfer balance debit </w:t>
      </w:r>
      <w:r w:rsidR="00E126BD">
        <w:t xml:space="preserve">will be equal to the value of the original transfer balance credit, less </w:t>
      </w:r>
      <w:r w:rsidR="00D74262">
        <w:t>certain other transfer balance debits that have arisen prior to cessation.</w:t>
      </w:r>
      <w:r w:rsidR="003037BE">
        <w:t xml:space="preserve"> </w:t>
      </w:r>
      <w:r w:rsidR="0012040D">
        <w:t>Th</w:t>
      </w:r>
      <w:r w:rsidR="00460001">
        <w:t xml:space="preserve">is change will </w:t>
      </w:r>
      <w:r w:rsidR="004A1702">
        <w:t>address an unintended consequence of the</w:t>
      </w:r>
      <w:r w:rsidR="0083647A">
        <w:t xml:space="preserve"> government’s legislative response to the </w:t>
      </w:r>
      <w:r w:rsidR="004A1702">
        <w:t>Douglas</w:t>
      </w:r>
      <w:r w:rsidR="0083647A">
        <w:t xml:space="preserve"> decision</w:t>
      </w:r>
      <w:r w:rsidR="00DA5F54">
        <w:t>, which</w:t>
      </w:r>
      <w:r w:rsidR="00FF461A">
        <w:t xml:space="preserve"> </w:t>
      </w:r>
      <w:r w:rsidR="00234941">
        <w:t xml:space="preserve">resulted in these </w:t>
      </w:r>
      <w:r w:rsidR="00042941">
        <w:t>non</w:t>
      </w:r>
      <w:r w:rsidR="00234941">
        <w:noBreakHyphen/>
      </w:r>
      <w:r w:rsidR="00042941">
        <w:t xml:space="preserve">lifetime permanent incapacity pensions </w:t>
      </w:r>
      <w:r w:rsidR="00234941">
        <w:t xml:space="preserve">having to be </w:t>
      </w:r>
      <w:r w:rsidR="00DA5F54">
        <w:t>reported as superannuation income streams for transfer balance cap purpose</w:t>
      </w:r>
      <w:r w:rsidR="00042941">
        <w:t>s</w:t>
      </w:r>
      <w:r w:rsidR="008B6B8B">
        <w:t xml:space="preserve">. </w:t>
      </w:r>
      <w:r w:rsidR="00F57AB9">
        <w:t xml:space="preserve">It will ensure </w:t>
      </w:r>
      <w:r w:rsidR="00280524">
        <w:t>that the</w:t>
      </w:r>
      <w:r w:rsidR="003818AD">
        <w:t xml:space="preserve"> </w:t>
      </w:r>
      <w:r w:rsidR="00900146">
        <w:t>person</w:t>
      </w:r>
      <w:r w:rsidR="003818AD">
        <w:t xml:space="preserve"> does </w:t>
      </w:r>
      <w:r w:rsidR="003C6E75">
        <w:t xml:space="preserve">not have their </w:t>
      </w:r>
      <w:r w:rsidR="00621CC6">
        <w:t xml:space="preserve">transfer balance </w:t>
      </w:r>
      <w:r w:rsidR="003C6E75">
        <w:t>cap space taken up</w:t>
      </w:r>
      <w:r w:rsidR="004B580F">
        <w:t xml:space="preserve"> </w:t>
      </w:r>
      <w:r w:rsidR="00621CC6">
        <w:t>by that pension</w:t>
      </w:r>
      <w:r w:rsidR="0078110F">
        <w:t xml:space="preserve"> if it </w:t>
      </w:r>
      <w:proofErr w:type="gramStart"/>
      <w:r w:rsidR="0078110F">
        <w:t>ceases,</w:t>
      </w:r>
      <w:r w:rsidR="000A6EA5">
        <w:t xml:space="preserve"> and</w:t>
      </w:r>
      <w:proofErr w:type="gramEnd"/>
      <w:r w:rsidR="000A6EA5">
        <w:t xml:space="preserve"> </w:t>
      </w:r>
      <w:r w:rsidR="003818AD">
        <w:t>is</w:t>
      </w:r>
      <w:r w:rsidR="000A6EA5">
        <w:t xml:space="preserve"> not adversely affected </w:t>
      </w:r>
      <w:r w:rsidR="0080412C">
        <w:t xml:space="preserve">when commencing a new </w:t>
      </w:r>
      <w:r w:rsidR="003E780A">
        <w:t xml:space="preserve">retirement phase </w:t>
      </w:r>
      <w:r w:rsidR="0078110F">
        <w:t>superannuation income stream</w:t>
      </w:r>
      <w:r w:rsidR="00447247">
        <w:t xml:space="preserve">. </w:t>
      </w:r>
    </w:p>
    <w:p w14:paraId="3132072A" w14:textId="55C7B746" w:rsidR="00F343AA" w:rsidRPr="00C56F2E" w:rsidRDefault="00F343AA" w:rsidP="004A27A8">
      <w:pPr>
        <w:pStyle w:val="Bullet"/>
        <w:numPr>
          <w:ilvl w:val="0"/>
          <w:numId w:val="0"/>
        </w:numPr>
        <w:rPr>
          <w:color w:val="FF0000"/>
        </w:rPr>
      </w:pPr>
      <w:r>
        <w:t xml:space="preserve">The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r w:rsidR="007D6771">
        <w:t xml:space="preserve"> </w:t>
      </w:r>
    </w:p>
    <w:p w14:paraId="21F761EF" w14:textId="5FFB36C0" w:rsidR="000026BE" w:rsidRPr="00844849" w:rsidRDefault="00D44EA8" w:rsidP="00A92C2F">
      <w:pPr>
        <w:pStyle w:val="Bullet"/>
        <w:numPr>
          <w:ilvl w:val="0"/>
          <w:numId w:val="0"/>
        </w:numPr>
        <w:rPr>
          <w:color w:val="FF0000"/>
        </w:rPr>
      </w:pPr>
      <w:r w:rsidRPr="00A92C2F">
        <w:t>Targeted consultation on an exposure draft of the Regulations was undertaken with</w:t>
      </w:r>
      <w:r w:rsidR="001863C6">
        <w:t xml:space="preserve"> superannuation funds</w:t>
      </w:r>
      <w:r w:rsidR="00C2331E">
        <w:t xml:space="preserve"> and administrators</w:t>
      </w:r>
      <w:r w:rsidR="001863C6">
        <w:t xml:space="preserve"> </w:t>
      </w:r>
      <w:r w:rsidR="00E85BE7">
        <w:t xml:space="preserve">who have schemes that provide </w:t>
      </w:r>
      <w:r w:rsidR="00AE607C">
        <w:t xml:space="preserve">non-lifetime pensions that had </w:t>
      </w:r>
      <w:r w:rsidR="00585328">
        <w:t xml:space="preserve">been treated as superannuation lump sums prior to the Government’s legislative response to the Douglas decision. </w:t>
      </w:r>
      <w:r w:rsidR="00DC420A">
        <w:t>Following consultation, further changes were made to the draft regulations to ensure that they were appropriately targeted to the correct cohort</w:t>
      </w:r>
      <w:r w:rsidR="00781888">
        <w:t xml:space="preserve"> and addressed unintentional consequences relating to the transfer balance cap provisions. </w:t>
      </w:r>
    </w:p>
    <w:p w14:paraId="799C83D9" w14:textId="77777777" w:rsidR="0054445F" w:rsidRPr="003C5719" w:rsidRDefault="0054445F" w:rsidP="00A92C2F">
      <w:pPr>
        <w:pStyle w:val="Bullet"/>
        <w:numPr>
          <w:ilvl w:val="0"/>
          <w:numId w:val="0"/>
        </w:numPr>
        <w:rPr>
          <w:color w:val="FF0000"/>
        </w:rPr>
      </w:pPr>
      <w:r>
        <w:t xml:space="preserve">The Regulations are a legislative instrument for the purposes of the </w:t>
      </w:r>
      <w:r w:rsidRPr="261EAF6E">
        <w:rPr>
          <w:i/>
          <w:iCs/>
        </w:rPr>
        <w:t>Legislation Act 2003</w:t>
      </w:r>
      <w:r>
        <w:t>.</w:t>
      </w:r>
    </w:p>
    <w:p w14:paraId="047B173E" w14:textId="77777777" w:rsidR="0054445F" w:rsidRDefault="0054445F" w:rsidP="00A92C2F">
      <w:pPr>
        <w:spacing w:before="240"/>
      </w:pPr>
      <w:r>
        <w:t xml:space="preserve">The Regulations are subject to disallowance under section 42 of the </w:t>
      </w:r>
      <w:r w:rsidRPr="261EAF6E">
        <w:rPr>
          <w:i/>
          <w:iCs/>
        </w:rPr>
        <w:t>Legislation Act 2003</w:t>
      </w:r>
      <w:r>
        <w:t>.</w:t>
      </w:r>
    </w:p>
    <w:p w14:paraId="01375F4C" w14:textId="77777777" w:rsidR="0054445F" w:rsidRDefault="0054445F" w:rsidP="00A92C2F">
      <w:pPr>
        <w:spacing w:before="240"/>
      </w:pPr>
      <w:r>
        <w:t xml:space="preserve">The Regulations are subject to sunsetting under section 50 of the </w:t>
      </w:r>
      <w:r w:rsidRPr="261EAF6E">
        <w:rPr>
          <w:i/>
          <w:iCs/>
        </w:rPr>
        <w:t>Legislation Act 2003</w:t>
      </w:r>
      <w:r>
        <w:t xml:space="preserve">. </w:t>
      </w:r>
    </w:p>
    <w:p w14:paraId="401BC497" w14:textId="1AB5F578" w:rsidR="0000628C" w:rsidRDefault="00F109D4" w:rsidP="00934F05">
      <w:pPr>
        <w:spacing w:before="240"/>
      </w:pPr>
      <w:r w:rsidRPr="003C5719">
        <w:t xml:space="preserve">The Regulations commenced on </w:t>
      </w:r>
      <w:r w:rsidR="009943DC">
        <w:t>the day after</w:t>
      </w:r>
      <w:r w:rsidR="000E7A9C">
        <w:t xml:space="preserve"> registration</w:t>
      </w:r>
      <w:r w:rsidR="00841B04">
        <w:t xml:space="preserve"> on the Federal Register of Legislation</w:t>
      </w:r>
      <w:r w:rsidR="008F0C50" w:rsidRPr="003C5719">
        <w:t>.</w:t>
      </w:r>
      <w:r w:rsidR="0047265F" w:rsidRPr="003C5719">
        <w:t xml:space="preserve"> </w:t>
      </w:r>
    </w:p>
    <w:p w14:paraId="04F6A3A1" w14:textId="07817370" w:rsidR="00160787" w:rsidRDefault="00160787" w:rsidP="004A27A8">
      <w:pPr>
        <w:spacing w:before="240"/>
      </w:pPr>
      <w:r>
        <w:t xml:space="preserve">The Regulations have retrospective operation as it is necessary to prescribe a special value </w:t>
      </w:r>
      <w:r w:rsidR="0060602F">
        <w:t xml:space="preserve">to determine the transfer balance credit that is to be used for the purpose of the transfer balance </w:t>
      </w:r>
      <w:r w:rsidR="00E20713">
        <w:t>provisions, which commenced on 1 July 2017</w:t>
      </w:r>
      <w:r w:rsidR="00933835">
        <w:t xml:space="preserve">. It is also necessary </w:t>
      </w:r>
      <w:r w:rsidR="00E5477B">
        <w:t xml:space="preserve">to apply the transfer balance </w:t>
      </w:r>
      <w:r w:rsidR="00B35A50">
        <w:t>debit to relevant pensions that may have ceased prior to the commencement of the Regulations</w:t>
      </w:r>
      <w:r w:rsidR="00E20713">
        <w:t xml:space="preserve">. The retrospective application is a consequence of </w:t>
      </w:r>
      <w:r w:rsidR="003A16C8">
        <w:t xml:space="preserve">the </w:t>
      </w:r>
      <w:r w:rsidR="00E20713">
        <w:t xml:space="preserve">Douglas response legislation that retrospectively </w:t>
      </w:r>
      <w:r w:rsidR="004A453E">
        <w:t xml:space="preserve">provided </w:t>
      </w:r>
      <w:r w:rsidR="00E20713">
        <w:t>that these superannuation benefits a</w:t>
      </w:r>
      <w:r w:rsidR="006D4F97">
        <w:t>re superannuation income streams.</w:t>
      </w:r>
      <w:r w:rsidR="00734F02">
        <w:t xml:space="preserve"> While it is possible that some taxpayers may have </w:t>
      </w:r>
      <w:r w:rsidR="00C2331E">
        <w:t xml:space="preserve">a </w:t>
      </w:r>
      <w:r w:rsidR="0070171E">
        <w:t xml:space="preserve">detrimental impact </w:t>
      </w:r>
      <w:proofErr w:type="gramStart"/>
      <w:r w:rsidR="0070171E">
        <w:t>as a result of</w:t>
      </w:r>
      <w:proofErr w:type="gramEnd"/>
      <w:r w:rsidR="0070171E">
        <w:t xml:space="preserve"> the</w:t>
      </w:r>
      <w:r w:rsidR="00F30EF7">
        <w:t xml:space="preserve"> </w:t>
      </w:r>
      <w:r w:rsidR="0070171E">
        <w:t>Douglas response legislation, these</w:t>
      </w:r>
      <w:r w:rsidR="003E2332">
        <w:rPr>
          <w:color w:val="000000" w:themeColor="text1"/>
        </w:rPr>
        <w:t xml:space="preserve"> Regulations will not have any detrimental impacts</w:t>
      </w:r>
      <w:r w:rsidR="00E62420">
        <w:rPr>
          <w:color w:val="000000" w:themeColor="text1"/>
        </w:rPr>
        <w:t xml:space="preserve"> on individual taxpayers</w:t>
      </w:r>
      <w:r w:rsidR="003E2332">
        <w:rPr>
          <w:color w:val="000000" w:themeColor="text1"/>
        </w:rPr>
        <w:t xml:space="preserve"> and therefore are not affected by subsection 12(2) of the </w:t>
      </w:r>
      <w:r w:rsidR="003E2332">
        <w:rPr>
          <w:i/>
          <w:iCs/>
          <w:color w:val="000000" w:themeColor="text1"/>
        </w:rPr>
        <w:t>Legislation Act 2003</w:t>
      </w:r>
      <w:r w:rsidR="003E2332">
        <w:rPr>
          <w:color w:val="000000" w:themeColor="text1"/>
        </w:rPr>
        <w:t xml:space="preserve">. </w:t>
      </w:r>
    </w:p>
    <w:p w14:paraId="4F03592D" w14:textId="453E9E87" w:rsidR="0011527C" w:rsidRPr="003C5719" w:rsidRDefault="0011527C" w:rsidP="004A27A8">
      <w:pPr>
        <w:spacing w:before="240"/>
      </w:pPr>
      <w:r w:rsidRPr="003C5719">
        <w:t xml:space="preserve">Details of the Regulations are set out in </w:t>
      </w:r>
      <w:r w:rsidRPr="003C5719">
        <w:rPr>
          <w:u w:val="single"/>
        </w:rPr>
        <w:t xml:space="preserve">Attachment </w:t>
      </w:r>
      <w:r w:rsidR="003E2332">
        <w:rPr>
          <w:u w:val="single"/>
        </w:rPr>
        <w:t>A</w:t>
      </w:r>
      <w:r w:rsidRPr="003C5719">
        <w:t xml:space="preserve">. </w:t>
      </w:r>
    </w:p>
    <w:p w14:paraId="4E80FDAC" w14:textId="4150E5E3" w:rsidR="0000628C" w:rsidRDefault="00EB2AEF" w:rsidP="004A27A8">
      <w:pPr>
        <w:spacing w:before="240"/>
      </w:pPr>
      <w:r w:rsidRPr="003C5719">
        <w:t xml:space="preserve">A statement of Compatibility with Human Rights is at </w:t>
      </w:r>
      <w:r w:rsidRPr="003C5719">
        <w:rPr>
          <w:u w:val="single"/>
        </w:rPr>
        <w:t xml:space="preserve">Attachment </w:t>
      </w:r>
      <w:r w:rsidR="003E2332">
        <w:rPr>
          <w:u w:val="single"/>
        </w:rPr>
        <w:t>B</w:t>
      </w:r>
      <w:r w:rsidR="00CE4EFB" w:rsidRPr="003C5719">
        <w:rPr>
          <w:u w:val="single"/>
        </w:rPr>
        <w:t>.</w:t>
      </w:r>
      <w:r w:rsidR="00013390" w:rsidRPr="003C5719">
        <w:t xml:space="preserve"> </w:t>
      </w:r>
    </w:p>
    <w:p w14:paraId="009A8947" w14:textId="77777777" w:rsidR="00865E0A" w:rsidRDefault="00865E0A" w:rsidP="00865E0A">
      <w:pPr>
        <w:spacing w:before="240"/>
      </w:pPr>
      <w:r w:rsidRPr="003C5719">
        <w:t>The Office of Impact Analysis has been (OIA) has been consulted (</w:t>
      </w:r>
      <w:sdt>
        <w:sdtPr>
          <w:id w:val="-2093919849"/>
          <w:placeholder>
            <w:docPart w:val="E498EBBE63F641ECBB9A796EDF310DBB"/>
          </w:placeholder>
        </w:sdtPr>
        <w:sdtEndPr/>
        <w:sdtContent>
          <w:r w:rsidRPr="00C8015E">
            <w:t>OIA23-06092</w:t>
          </w:r>
        </w:sdtContent>
      </w:sdt>
      <w:r w:rsidRPr="003C5719">
        <w:t>) and agreed that</w:t>
      </w:r>
      <w:r>
        <w:t xml:space="preserve"> an Impact Analysis is not required. </w:t>
      </w:r>
      <w:r w:rsidRPr="003C5719">
        <w:t xml:space="preserve"> </w:t>
      </w:r>
    </w:p>
    <w:p w14:paraId="576849DC" w14:textId="4A914D10" w:rsidR="00EA4DD8" w:rsidRPr="003C5719" w:rsidRDefault="00EA4DD8" w:rsidP="004A27A8">
      <w:pPr>
        <w:pageBreakBefore/>
        <w:spacing w:before="240"/>
        <w:jc w:val="right"/>
        <w:rPr>
          <w:b/>
          <w:u w:val="single"/>
        </w:rPr>
      </w:pPr>
      <w:r w:rsidRPr="003C5719">
        <w:rPr>
          <w:b/>
          <w:u w:val="single"/>
        </w:rPr>
        <w:lastRenderedPageBreak/>
        <w:t xml:space="preserve">ATTACHMENT </w:t>
      </w:r>
      <w:r w:rsidR="003E2332">
        <w:rPr>
          <w:b/>
          <w:u w:val="single"/>
        </w:rPr>
        <w:t>A</w:t>
      </w:r>
    </w:p>
    <w:p w14:paraId="56E653EA" w14:textId="62D45BE1" w:rsidR="00EA4DD8" w:rsidRPr="003C5719" w:rsidRDefault="00EA4DD8" w:rsidP="004A27A8">
      <w:pPr>
        <w:spacing w:before="240"/>
        <w:rPr>
          <w:b/>
          <w:bCs/>
          <w:szCs w:val="24"/>
          <w:u w:val="single"/>
        </w:rPr>
      </w:pPr>
      <w:r w:rsidRPr="003C5719">
        <w:rPr>
          <w:b/>
          <w:bCs/>
          <w:u w:val="single"/>
        </w:rPr>
        <w:t xml:space="preserve">Details of the </w:t>
      </w:r>
      <w:r w:rsidR="0098743A" w:rsidRPr="0098743A">
        <w:rPr>
          <w:b/>
          <w:bCs/>
          <w:u w:val="single"/>
        </w:rPr>
        <w:t>Income Tax Assessment Amendment (Transfer Balance Account Value for Certain Superannuation Income Streams) Regulations 2024</w:t>
      </w:r>
    </w:p>
    <w:p w14:paraId="5D2E0D6D"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4AC5EB22" w14:textId="7B504B72"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r w:rsidR="0098743A" w:rsidRPr="0098743A">
        <w:rPr>
          <w:i/>
        </w:rPr>
        <w:t>Income Tax Assessment Amendment (Transfer Balance Account Value for Certain Superannuation Income Streams) Regulations 2024</w:t>
      </w:r>
      <w:r w:rsidR="0098743A" w:rsidRPr="0098743A" w:rsidDel="0098743A">
        <w:rPr>
          <w:i/>
        </w:rPr>
        <w:t xml:space="preserve"> </w:t>
      </w:r>
      <w:r w:rsidRPr="003C5719">
        <w:t>(the Regulations).</w:t>
      </w:r>
    </w:p>
    <w:p w14:paraId="25DA5DB5" w14:textId="77777777" w:rsidR="00EA4DD8" w:rsidRPr="003C5719" w:rsidRDefault="00EA4DD8" w:rsidP="004A27A8">
      <w:pPr>
        <w:spacing w:before="240"/>
        <w:rPr>
          <w:u w:val="single"/>
        </w:rPr>
      </w:pPr>
      <w:r w:rsidRPr="003C5719">
        <w:rPr>
          <w:u w:val="single"/>
        </w:rPr>
        <w:t>Section 2 – Commencement</w:t>
      </w:r>
    </w:p>
    <w:p w14:paraId="4549A0E0" w14:textId="16E29DCA" w:rsidR="00EA4DD8" w:rsidRPr="003C5719" w:rsidRDefault="00EA4DD8" w:rsidP="004A27A8">
      <w:pPr>
        <w:spacing w:before="240"/>
      </w:pPr>
      <w:r w:rsidRPr="003C5719">
        <w:t xml:space="preserve">Schedule 1 to the Regulations commence </w:t>
      </w:r>
      <w:r w:rsidRPr="006F683C">
        <w:t xml:space="preserve">the day after the instrument is registered </w:t>
      </w:r>
      <w:r w:rsidRPr="003C5719">
        <w:t>on the Federal Register of Legislation.</w:t>
      </w:r>
      <w:r w:rsidR="005858FB">
        <w:t xml:space="preserve"> </w:t>
      </w:r>
    </w:p>
    <w:p w14:paraId="34AD8D17" w14:textId="77777777" w:rsidR="00EA4DD8" w:rsidRPr="003C5719" w:rsidRDefault="00EA4DD8" w:rsidP="004A27A8">
      <w:pPr>
        <w:spacing w:before="240"/>
        <w:rPr>
          <w:u w:val="single"/>
        </w:rPr>
      </w:pPr>
      <w:r w:rsidRPr="003C5719">
        <w:rPr>
          <w:u w:val="single"/>
        </w:rPr>
        <w:t>Section 3 – Authority</w:t>
      </w:r>
    </w:p>
    <w:p w14:paraId="010A6B6C" w14:textId="334A06A0" w:rsidR="00EA4DD8" w:rsidRPr="003C5719" w:rsidRDefault="00EA4DD8" w:rsidP="004A27A8">
      <w:pPr>
        <w:spacing w:before="240"/>
      </w:pPr>
      <w:r w:rsidRPr="003C5719">
        <w:t xml:space="preserve">The Regulations are made under the </w:t>
      </w:r>
      <w:r w:rsidR="00516B11">
        <w:rPr>
          <w:i/>
        </w:rPr>
        <w:t>Income Tax Assessment Act 1997</w:t>
      </w:r>
      <w:r w:rsidRPr="003C5719">
        <w:t xml:space="preserve"> (the Act).</w:t>
      </w:r>
    </w:p>
    <w:p w14:paraId="07C7CD54" w14:textId="33C34A28" w:rsidR="00EA4DD8" w:rsidRPr="003C5719" w:rsidRDefault="00EA4DD8" w:rsidP="004A27A8">
      <w:pPr>
        <w:spacing w:before="240"/>
        <w:rPr>
          <w:u w:val="single"/>
        </w:rPr>
      </w:pPr>
      <w:r w:rsidRPr="003C5719">
        <w:rPr>
          <w:u w:val="single"/>
        </w:rPr>
        <w:t>Section 4 – Schedule</w:t>
      </w:r>
    </w:p>
    <w:p w14:paraId="171CC0BF" w14:textId="0ECBFA72" w:rsidR="00EA4DD8" w:rsidRDefault="00EA4DD8" w:rsidP="00466DD5">
      <w:pPr>
        <w:spacing w:before="240" w:after="200"/>
      </w:pPr>
      <w:r w:rsidRPr="003C5719">
        <w:t xml:space="preserve">This section provides that each instrument that is specified in </w:t>
      </w:r>
      <w:r w:rsidR="00EA43E7">
        <w:t>a</w:t>
      </w:r>
      <w:r w:rsidRPr="003C5719">
        <w:t xml:space="preserve"> Schedule to this instrument</w:t>
      </w:r>
      <w:r w:rsidR="00EA43E7">
        <w:t xml:space="preserve"> is</w:t>
      </w:r>
      <w:r w:rsidR="005D7E35">
        <w:t xml:space="preserve"> </w:t>
      </w:r>
      <w:r w:rsidRPr="003C5719">
        <w:t>amended or repealed as set out in the applicable items in the Schedule, and any other item in the Schedule to this instrument has effect according to its terms.</w:t>
      </w:r>
    </w:p>
    <w:p w14:paraId="4EFD34BA" w14:textId="5344524D" w:rsidR="00351F72" w:rsidRDefault="00351F72" w:rsidP="00466DD5">
      <w:pPr>
        <w:spacing w:before="240" w:after="200"/>
        <w:rPr>
          <w:b/>
          <w:bCs/>
          <w:u w:val="single"/>
        </w:rPr>
      </w:pPr>
      <w:r w:rsidRPr="000D0375">
        <w:rPr>
          <w:b/>
          <w:bCs/>
          <w:u w:val="single"/>
        </w:rPr>
        <w:t>Schedule 1 – Amendments</w:t>
      </w:r>
    </w:p>
    <w:p w14:paraId="58090FB9" w14:textId="1B463C97" w:rsidR="00AA64F9" w:rsidRPr="00A92C2F" w:rsidRDefault="00AA64F9" w:rsidP="00466DD5">
      <w:pPr>
        <w:spacing w:before="240" w:after="200"/>
        <w:rPr>
          <w:u w:val="single"/>
        </w:rPr>
      </w:pPr>
      <w:r w:rsidRPr="00A92C2F">
        <w:rPr>
          <w:u w:val="single"/>
        </w:rPr>
        <w:t>Item 1</w:t>
      </w:r>
      <w:r>
        <w:rPr>
          <w:u w:val="single"/>
        </w:rPr>
        <w:t xml:space="preserve"> – new transfer balance debit when certain superannuation income streams </w:t>
      </w:r>
      <w:proofErr w:type="gramStart"/>
      <w:r>
        <w:rPr>
          <w:u w:val="single"/>
        </w:rPr>
        <w:t>cease</w:t>
      </w:r>
      <w:proofErr w:type="gramEnd"/>
    </w:p>
    <w:p w14:paraId="3E82A567" w14:textId="77777777" w:rsidR="00633E35" w:rsidRDefault="00DA5B11" w:rsidP="00466DD5">
      <w:pPr>
        <w:spacing w:before="240" w:after="200"/>
      </w:pPr>
      <w:r w:rsidRPr="00A92C2F">
        <w:rPr>
          <w:b/>
          <w:bCs/>
        </w:rPr>
        <w:t xml:space="preserve">Item </w:t>
      </w:r>
      <w:r w:rsidR="006F3CB9" w:rsidRPr="00A92C2F">
        <w:rPr>
          <w:b/>
          <w:bCs/>
        </w:rPr>
        <w:t xml:space="preserve">1 </w:t>
      </w:r>
      <w:r w:rsidR="006F3CB9" w:rsidRPr="00A92C2F">
        <w:t>inserts a new section 294-80.02B into the</w:t>
      </w:r>
      <w:r w:rsidR="00F50401">
        <w:t xml:space="preserve"> </w:t>
      </w:r>
      <w:r w:rsidR="0055025D">
        <w:rPr>
          <w:i/>
          <w:iCs/>
        </w:rPr>
        <w:t xml:space="preserve">Income Tax Assessment (1997 Act) Regulations 2021 </w:t>
      </w:r>
      <w:r w:rsidR="0055025D">
        <w:t>(‘the Principal Regulations’)</w:t>
      </w:r>
      <w:r w:rsidR="00363BAD">
        <w:t xml:space="preserve"> to provide for a </w:t>
      </w:r>
      <w:r w:rsidR="00276DB7">
        <w:t xml:space="preserve">transfer balance </w:t>
      </w:r>
      <w:r w:rsidR="00363BAD">
        <w:t xml:space="preserve">debit to </w:t>
      </w:r>
      <w:r w:rsidR="000A71F8">
        <w:t>arise</w:t>
      </w:r>
      <w:r w:rsidR="00A661F7">
        <w:t xml:space="preserve"> in </w:t>
      </w:r>
      <w:r w:rsidR="00363BAD">
        <w:t>a</w:t>
      </w:r>
      <w:r w:rsidR="00A661F7">
        <w:t xml:space="preserve">n individual’s </w:t>
      </w:r>
      <w:r w:rsidR="00363BAD">
        <w:t>transfer balance account in certain circumstances. The debit appl</w:t>
      </w:r>
      <w:r w:rsidR="008A0DC9">
        <w:t>ies</w:t>
      </w:r>
      <w:r w:rsidR="00633E35">
        <w:t>:</w:t>
      </w:r>
    </w:p>
    <w:p w14:paraId="7BF40FED" w14:textId="42539366" w:rsidR="002B68CB" w:rsidRDefault="00274F8B" w:rsidP="00633E35">
      <w:pPr>
        <w:pStyle w:val="ListParagraph"/>
        <w:numPr>
          <w:ilvl w:val="0"/>
          <w:numId w:val="19"/>
        </w:numPr>
        <w:spacing w:before="240" w:after="200"/>
      </w:pPr>
      <w:r>
        <w:t xml:space="preserve">if a credit arose in the </w:t>
      </w:r>
      <w:r w:rsidR="004536E6">
        <w:t>person</w:t>
      </w:r>
      <w:r>
        <w:t xml:space="preserve">’s transfer balance account under </w:t>
      </w:r>
      <w:r w:rsidR="00CC05EB">
        <w:t>items</w:t>
      </w:r>
      <w:r w:rsidR="00174B2B">
        <w:t xml:space="preserve"> 1 or 2 of the table in subsection</w:t>
      </w:r>
      <w:r w:rsidR="008A0DC9">
        <w:t> </w:t>
      </w:r>
      <w:r w:rsidR="00174B2B">
        <w:t>294-25(1) of the Act</w:t>
      </w:r>
      <w:r w:rsidR="00AF2693">
        <w:t>;</w:t>
      </w:r>
      <w:r w:rsidR="0043773D">
        <w:t xml:space="preserve"> </w:t>
      </w:r>
    </w:p>
    <w:p w14:paraId="413FF513" w14:textId="77777777" w:rsidR="002B68CB" w:rsidRDefault="0043773D" w:rsidP="00633E35">
      <w:pPr>
        <w:pStyle w:val="ListParagraph"/>
        <w:numPr>
          <w:ilvl w:val="0"/>
          <w:numId w:val="19"/>
        </w:numPr>
        <w:spacing w:before="240" w:after="200"/>
      </w:pPr>
      <w:r>
        <w:t xml:space="preserve">the superannuation income stream is supported by an interest covered by subsection </w:t>
      </w:r>
      <w:r w:rsidR="002E17B9">
        <w:t>294-135.01(6) of the regulations</w:t>
      </w:r>
      <w:r w:rsidR="00AF2693">
        <w:t>;</w:t>
      </w:r>
      <w:r w:rsidR="002E17B9">
        <w:t xml:space="preserve"> </w:t>
      </w:r>
    </w:p>
    <w:p w14:paraId="54D016F3" w14:textId="77777777" w:rsidR="002B68CB" w:rsidRDefault="00174B2B" w:rsidP="00633E35">
      <w:pPr>
        <w:pStyle w:val="ListParagraph"/>
        <w:numPr>
          <w:ilvl w:val="0"/>
          <w:numId w:val="19"/>
        </w:numPr>
        <w:spacing w:before="240" w:after="200"/>
      </w:pPr>
      <w:r>
        <w:t xml:space="preserve">the </w:t>
      </w:r>
      <w:r w:rsidR="00CC05EB">
        <w:t>superannuation</w:t>
      </w:r>
      <w:r>
        <w:t xml:space="preserve"> income stream cease</w:t>
      </w:r>
      <w:r w:rsidR="002E17B9">
        <w:t>s</w:t>
      </w:r>
      <w:r w:rsidR="00AF2693">
        <w:t>;</w:t>
      </w:r>
      <w:r w:rsidR="002E17B9">
        <w:t xml:space="preserve"> and </w:t>
      </w:r>
    </w:p>
    <w:p w14:paraId="79474802" w14:textId="18F6F2DF" w:rsidR="00633E35" w:rsidRDefault="002E17B9" w:rsidP="004A136D">
      <w:pPr>
        <w:pStyle w:val="ListParagraph"/>
        <w:numPr>
          <w:ilvl w:val="0"/>
          <w:numId w:val="19"/>
        </w:numPr>
        <w:spacing w:before="240" w:after="200"/>
      </w:pPr>
      <w:r>
        <w:t>that cessation does not give rise to a transfer balance debit under another provision</w:t>
      </w:r>
      <w:r w:rsidR="00CC05EB">
        <w:t xml:space="preserve">. </w:t>
      </w:r>
    </w:p>
    <w:p w14:paraId="4676D646" w14:textId="37E22236" w:rsidR="00CF05D6" w:rsidRDefault="00CC05EB" w:rsidP="00466DD5">
      <w:pPr>
        <w:spacing w:before="240" w:after="200"/>
      </w:pPr>
      <w:r>
        <w:t>Th</w:t>
      </w:r>
      <w:r w:rsidR="00D17EB7">
        <w:t>e</w:t>
      </w:r>
      <w:r w:rsidR="0098633D">
        <w:t xml:space="preserve"> transfer balance</w:t>
      </w:r>
      <w:r w:rsidR="00D17EB7">
        <w:t xml:space="preserve"> debit will apply to a non-lifetime permanent incapacity pension in a scheme that had not been reporting for transfer balance cap purposes</w:t>
      </w:r>
      <w:r w:rsidR="002962A6">
        <w:t xml:space="preserve"> for these pension types</w:t>
      </w:r>
      <w:r w:rsidR="00D17EB7">
        <w:t xml:space="preserve"> prior to the</w:t>
      </w:r>
      <w:r w:rsidR="00267F38">
        <w:t xml:space="preserve"> commencement of these regulations</w:t>
      </w:r>
      <w:r w:rsidR="00D17EB7">
        <w:t xml:space="preserve">. </w:t>
      </w:r>
    </w:p>
    <w:p w14:paraId="73FD1516" w14:textId="4C69E7A5" w:rsidR="00D17EB7" w:rsidRDefault="00D17EB7" w:rsidP="00466DD5">
      <w:pPr>
        <w:spacing w:before="240" w:after="200"/>
      </w:pPr>
      <w:r>
        <w:t>This</w:t>
      </w:r>
      <w:r w:rsidR="001032B9">
        <w:t xml:space="preserve"> new </w:t>
      </w:r>
      <w:r w:rsidR="0098633D">
        <w:t xml:space="preserve">transfer balance </w:t>
      </w:r>
      <w:r w:rsidR="001032B9">
        <w:t>debit</w:t>
      </w:r>
      <w:r>
        <w:t xml:space="preserve"> is</w:t>
      </w:r>
      <w:r w:rsidR="001032B9">
        <w:t xml:space="preserve"> intended</w:t>
      </w:r>
      <w:r>
        <w:t xml:space="preserve"> to address an unintentional consequence of th</w:t>
      </w:r>
      <w:r w:rsidR="005008CE">
        <w:t>e</w:t>
      </w:r>
      <w:r w:rsidR="001032B9">
        <w:t xml:space="preserve"> government’s legislative response to the Douglas decision</w:t>
      </w:r>
      <w:r w:rsidR="005008CE">
        <w:t xml:space="preserve"> that arises where non-lifetime permanent incapacity </w:t>
      </w:r>
      <w:r w:rsidR="001B009B">
        <w:t>pensions</w:t>
      </w:r>
      <w:r w:rsidR="005008CE">
        <w:t xml:space="preserve"> have become subject to the transfer balance </w:t>
      </w:r>
      <w:r w:rsidR="00F212C4">
        <w:t>account provisions under the Act</w:t>
      </w:r>
      <w:r w:rsidR="005008CE">
        <w:t xml:space="preserve">. The amendments </w:t>
      </w:r>
      <w:r w:rsidR="00FE02E8">
        <w:t xml:space="preserve">mean that </w:t>
      </w:r>
      <w:r>
        <w:t>individuals wh</w:t>
      </w:r>
      <w:r w:rsidR="00DF7955">
        <w:t>o are receiving a</w:t>
      </w:r>
      <w:r>
        <w:t xml:space="preserve"> permanent incapacity</w:t>
      </w:r>
      <w:r w:rsidR="00DF7955">
        <w:t xml:space="preserve"> </w:t>
      </w:r>
      <w:r w:rsidR="00895B1C">
        <w:t>pension</w:t>
      </w:r>
      <w:r w:rsidR="00DF7955">
        <w:t xml:space="preserve">, </w:t>
      </w:r>
      <w:r w:rsidR="004D14C9">
        <w:t xml:space="preserve">where that scheme did </w:t>
      </w:r>
      <w:r w:rsidR="00CF05D6">
        <w:t>not previously have to report for transfer balance purposes</w:t>
      </w:r>
      <w:r w:rsidR="00E67239">
        <w:t xml:space="preserve"> for these pension types</w:t>
      </w:r>
      <w:r w:rsidR="00CF05D6">
        <w:t>,</w:t>
      </w:r>
      <w:r w:rsidR="005E3A11">
        <w:t xml:space="preserve"> will not have their cap space used up by </w:t>
      </w:r>
      <w:r w:rsidR="005E3A11">
        <w:lastRenderedPageBreak/>
        <w:t>that</w:t>
      </w:r>
      <w:r w:rsidR="004D14C9">
        <w:t xml:space="preserve"> superannuation income </w:t>
      </w:r>
      <w:r w:rsidR="00202570">
        <w:t>stream</w:t>
      </w:r>
      <w:r w:rsidR="005E3A11">
        <w:t xml:space="preserve"> if it ceases</w:t>
      </w:r>
      <w:r w:rsidR="00F04A66">
        <w:t xml:space="preserve"> under the relevant scheme rules</w:t>
      </w:r>
      <w:r w:rsidR="00CF05D6">
        <w:t>.</w:t>
      </w:r>
      <w:r w:rsidR="0066162D">
        <w:t xml:space="preserve"> </w:t>
      </w:r>
      <w:r w:rsidR="0066162D" w:rsidRPr="00084AEA">
        <w:rPr>
          <w:rStyle w:val="normaltextrun"/>
          <w:shd w:val="clear" w:color="auto" w:fill="FFFFFF"/>
        </w:rPr>
        <w:t>This will allow a more appropriate amount of cap space for the individuals to use in their retirement.</w:t>
      </w:r>
      <w:r w:rsidR="000A7FF3" w:rsidRPr="00084AEA">
        <w:t xml:space="preserve"> </w:t>
      </w:r>
      <w:r w:rsidR="00F04A66" w:rsidRPr="00084AEA">
        <w:t xml:space="preserve">  </w:t>
      </w:r>
      <w:r w:rsidR="00CF05D6" w:rsidRPr="00084AEA">
        <w:t xml:space="preserve"> </w:t>
      </w:r>
    </w:p>
    <w:p w14:paraId="38492443" w14:textId="0D55B0BC" w:rsidR="007C7686" w:rsidRDefault="00202570" w:rsidP="00466DD5">
      <w:pPr>
        <w:spacing w:before="240" w:after="200"/>
      </w:pPr>
      <w:r>
        <w:t xml:space="preserve">Subsection (2) provides that the </w:t>
      </w:r>
      <w:r w:rsidR="004B468C">
        <w:t>amount of the</w:t>
      </w:r>
      <w:r w:rsidR="00AA64F9">
        <w:t xml:space="preserve"> transfer balance debit </w:t>
      </w:r>
      <w:r w:rsidR="00611ABB">
        <w:t>is the amount of the initial transfer balance credit in respect of that superannuation income stream, less any transfer balance debits that have previously arisen in respect of the income stream</w:t>
      </w:r>
      <w:r w:rsidR="006A5F41">
        <w:t xml:space="preserve"> </w:t>
      </w:r>
      <w:r w:rsidR="00B9139B">
        <w:t>(</w:t>
      </w:r>
      <w:r w:rsidR="006A5F41">
        <w:t xml:space="preserve">other than </w:t>
      </w:r>
      <w:r w:rsidR="00A5005A">
        <w:t>debits</w:t>
      </w:r>
      <w:r w:rsidR="00B9139B">
        <w:t xml:space="preserve"> covered by </w:t>
      </w:r>
      <w:r w:rsidR="00C22560">
        <w:t>i</w:t>
      </w:r>
      <w:r w:rsidR="00B9139B">
        <w:t>tem 4 of the table in subsection 294-80(1) of the Act, which deals with family law</w:t>
      </w:r>
      <w:r w:rsidR="000D4004">
        <w:t xml:space="preserve"> payment splits</w:t>
      </w:r>
      <w:r w:rsidR="00B9139B">
        <w:t>)</w:t>
      </w:r>
      <w:r w:rsidR="00611ABB">
        <w:t xml:space="preserve">. </w:t>
      </w:r>
      <w:r w:rsidR="00D33131">
        <w:t>This means</w:t>
      </w:r>
      <w:r w:rsidR="00611ABB">
        <w:t xml:space="preserve"> that </w:t>
      </w:r>
      <w:r w:rsidR="00FF6386">
        <w:t xml:space="preserve">if one of these superannuation income streams cease, the </w:t>
      </w:r>
      <w:r w:rsidR="00F33F21">
        <w:t xml:space="preserve">transfer balance debit will </w:t>
      </w:r>
      <w:r w:rsidR="001F24CA">
        <w:t xml:space="preserve">offset the </w:t>
      </w:r>
      <w:r w:rsidR="00FF6386">
        <w:t>original transfer balance credit</w:t>
      </w:r>
      <w:r w:rsidR="00501502">
        <w:t xml:space="preserve">, so the non-lifetime permanent incapacity </w:t>
      </w:r>
      <w:r w:rsidR="00D33131">
        <w:t xml:space="preserve">pension does not reduce the transfer balance account cap space that would otherwise have been available to them in retirement. </w:t>
      </w:r>
      <w:r w:rsidR="00091AFD">
        <w:t>T</w:t>
      </w:r>
      <w:r w:rsidR="0007733F">
        <w:t>ransfer balance debit</w:t>
      </w:r>
      <w:r w:rsidR="00091AFD">
        <w:t>s</w:t>
      </w:r>
      <w:r w:rsidR="0007733F">
        <w:t xml:space="preserve"> </w:t>
      </w:r>
      <w:r w:rsidR="009342EF">
        <w:t xml:space="preserve">arising prior to the cession </w:t>
      </w:r>
      <w:r w:rsidR="00091AFD">
        <w:t>are</w:t>
      </w:r>
      <w:r w:rsidR="0007733F">
        <w:t xml:space="preserve"> </w:t>
      </w:r>
      <w:proofErr w:type="gramStart"/>
      <w:r w:rsidR="0007733F">
        <w:t>taken into account</w:t>
      </w:r>
      <w:proofErr w:type="gramEnd"/>
      <w:r w:rsidR="00904FA6">
        <w:t xml:space="preserve"> (with the exception of</w:t>
      </w:r>
      <w:r w:rsidR="006234D5">
        <w:t xml:space="preserve"> debits arising because of a </w:t>
      </w:r>
      <w:r w:rsidR="00904FA6">
        <w:t>payment split)</w:t>
      </w:r>
      <w:r w:rsidR="0007733F">
        <w:t xml:space="preserve">, noting that the </w:t>
      </w:r>
      <w:r w:rsidR="00234B68">
        <w:t xml:space="preserve">resulting </w:t>
      </w:r>
      <w:r w:rsidR="0007733F">
        <w:t xml:space="preserve">amount of the debit cannot </w:t>
      </w:r>
      <w:r w:rsidR="00234B68">
        <w:t xml:space="preserve">be </w:t>
      </w:r>
      <w:r w:rsidR="0007733F">
        <w:t xml:space="preserve">less than </w:t>
      </w:r>
      <w:r w:rsidR="007C7686">
        <w:t>zero.</w:t>
      </w:r>
    </w:p>
    <w:p w14:paraId="74593A72" w14:textId="2AA9F99B" w:rsidR="00202570" w:rsidRDefault="007C7686" w:rsidP="00466DD5">
      <w:pPr>
        <w:spacing w:before="240" w:after="200"/>
      </w:pPr>
      <w:r>
        <w:t>The transfer balance debit under this provision arises at the time the superannuation income stream ceases.</w:t>
      </w:r>
      <w:r w:rsidR="00D33131">
        <w:t xml:space="preserve"> </w:t>
      </w:r>
      <w:r w:rsidR="00611ABB">
        <w:t xml:space="preserve">  </w:t>
      </w:r>
    </w:p>
    <w:p w14:paraId="114C5734" w14:textId="63577875" w:rsidR="00004394" w:rsidRPr="004C4BF6" w:rsidRDefault="001A2CE9" w:rsidP="00466DD5">
      <w:pPr>
        <w:spacing w:before="240" w:after="200"/>
        <w:rPr>
          <w:u w:val="single"/>
        </w:rPr>
      </w:pPr>
      <w:r w:rsidRPr="004C4BF6">
        <w:rPr>
          <w:u w:val="single"/>
        </w:rPr>
        <w:t>Item</w:t>
      </w:r>
      <w:r w:rsidR="00D84C34" w:rsidRPr="004C4BF6">
        <w:rPr>
          <w:u w:val="single"/>
        </w:rPr>
        <w:t xml:space="preserve">s </w:t>
      </w:r>
      <w:r w:rsidR="004C4BF6" w:rsidRPr="004C4BF6">
        <w:rPr>
          <w:u w:val="single"/>
        </w:rPr>
        <w:t xml:space="preserve"> 2 and 3</w:t>
      </w:r>
      <w:r w:rsidR="00004394" w:rsidRPr="004C4BF6">
        <w:rPr>
          <w:u w:val="single"/>
        </w:rPr>
        <w:t xml:space="preserve"> – special commencement value for certain superannuation income streams</w:t>
      </w:r>
    </w:p>
    <w:p w14:paraId="1FB09BBB" w14:textId="02EE0DC8" w:rsidR="003A291D" w:rsidRPr="00401A68" w:rsidRDefault="0065212D" w:rsidP="00466DD5">
      <w:pPr>
        <w:spacing w:before="240" w:after="200"/>
      </w:pPr>
      <w:r w:rsidRPr="004C4BF6">
        <w:rPr>
          <w:b/>
          <w:bCs/>
        </w:rPr>
        <w:t xml:space="preserve">Items </w:t>
      </w:r>
      <w:r w:rsidR="004C4BF6" w:rsidRPr="004C4BF6">
        <w:rPr>
          <w:b/>
          <w:bCs/>
        </w:rPr>
        <w:t>2</w:t>
      </w:r>
      <w:r w:rsidRPr="004C4BF6">
        <w:rPr>
          <w:b/>
          <w:bCs/>
        </w:rPr>
        <w:t xml:space="preserve"> and </w:t>
      </w:r>
      <w:r w:rsidR="004C4BF6" w:rsidRPr="00A92C2F">
        <w:rPr>
          <w:b/>
          <w:bCs/>
        </w:rPr>
        <w:t>3</w:t>
      </w:r>
      <w:r w:rsidRPr="004C4BF6">
        <w:t xml:space="preserve"> </w:t>
      </w:r>
      <w:r w:rsidR="00335317" w:rsidRPr="004C4BF6">
        <w:t xml:space="preserve">amend section 294-135.01 of the Principal Regulations to </w:t>
      </w:r>
      <w:r w:rsidR="001B0F29">
        <w:t>prescribe</w:t>
      </w:r>
      <w:r w:rsidR="00E66CEF" w:rsidRPr="004C4BF6">
        <w:t xml:space="preserve"> methodology to work out the special commencement value for certain superannuation income streams. </w:t>
      </w:r>
      <w:r w:rsidR="001B4BBD" w:rsidRPr="00401A68">
        <w:rPr>
          <w:rStyle w:val="normaltextrun"/>
          <w:shd w:val="clear" w:color="auto" w:fill="FFFFFF"/>
        </w:rPr>
        <w:t>The special value of the superannuation income stream is calculated from the later of 1 July 2017 or the date that the superannuation income stream commenced.</w:t>
      </w:r>
    </w:p>
    <w:p w14:paraId="1E31DF28" w14:textId="6B401660" w:rsidR="00F97C9D" w:rsidRDefault="00F97C9D" w:rsidP="00466DD5">
      <w:pPr>
        <w:spacing w:before="240" w:after="200"/>
      </w:pPr>
      <w:r w:rsidRPr="004C4BF6">
        <w:t xml:space="preserve">Item </w:t>
      </w:r>
      <w:r w:rsidR="004C4BF6" w:rsidRPr="004C4BF6">
        <w:t>2</w:t>
      </w:r>
      <w:r w:rsidRPr="004C4BF6">
        <w:t xml:space="preserve"> is a consequential amendment, inserting a reference to the new subsection </w:t>
      </w:r>
      <w:r w:rsidR="006B4AD1" w:rsidRPr="004C4BF6">
        <w:t>294</w:t>
      </w:r>
      <w:r w:rsidR="006B4AD1" w:rsidRPr="004C4BF6">
        <w:noBreakHyphen/>
        <w:t xml:space="preserve">135.01(6) that is inserted by </w:t>
      </w:r>
      <w:r w:rsidR="00A5005A">
        <w:t>i</w:t>
      </w:r>
      <w:r w:rsidR="006B4AD1" w:rsidRPr="004C4BF6">
        <w:t xml:space="preserve">tem </w:t>
      </w:r>
      <w:r w:rsidR="004C4BF6" w:rsidRPr="00A92C2F">
        <w:t>3</w:t>
      </w:r>
      <w:r w:rsidR="006B4AD1" w:rsidRPr="004C4BF6">
        <w:t>.</w:t>
      </w:r>
    </w:p>
    <w:p w14:paraId="4F52FDFD" w14:textId="4951F61D" w:rsidR="003C27B1" w:rsidRDefault="006B4AD1" w:rsidP="004E19B7">
      <w:r>
        <w:t xml:space="preserve">Item </w:t>
      </w:r>
      <w:r w:rsidR="0031122A">
        <w:t>3</w:t>
      </w:r>
      <w:r>
        <w:t xml:space="preserve"> inserts n</w:t>
      </w:r>
      <w:r w:rsidR="00E66CEF">
        <w:t>ew subsection</w:t>
      </w:r>
      <w:r w:rsidR="00BB6336">
        <w:t>s (6) to (9) into section</w:t>
      </w:r>
      <w:r w:rsidR="00E66CEF">
        <w:t xml:space="preserve"> 294-135.01</w:t>
      </w:r>
      <w:r>
        <w:t>, which</w:t>
      </w:r>
      <w:r w:rsidR="00B75F05">
        <w:t xml:space="preserve"> provide </w:t>
      </w:r>
      <w:r w:rsidR="00FB2ADB">
        <w:t>rules for working out the special value</w:t>
      </w:r>
      <w:r w:rsidR="003C27B1">
        <w:t xml:space="preserve"> for the purposes of the transfer balance account provisions in subsection 294-135(4)</w:t>
      </w:r>
      <w:r w:rsidR="00FB2ADB">
        <w:t xml:space="preserve"> for certain superannuation income streams. </w:t>
      </w:r>
      <w:r w:rsidR="00B75F05">
        <w:t xml:space="preserve"> </w:t>
      </w:r>
    </w:p>
    <w:p w14:paraId="22E406C6" w14:textId="55570920" w:rsidR="004A3D4C" w:rsidRDefault="005864AB">
      <w:r>
        <w:t xml:space="preserve">Subsection 294-135.01(6) deals with the scope of the </w:t>
      </w:r>
      <w:r w:rsidR="00773E88">
        <w:t xml:space="preserve">new special value provisions. The special value rules apply </w:t>
      </w:r>
      <w:r w:rsidR="00F608A0">
        <w:t>to a superannuation interest in a superannuation plan if</w:t>
      </w:r>
      <w:r w:rsidR="00BD0567">
        <w:t xml:space="preserve"> it meets the following conditions</w:t>
      </w:r>
      <w:r w:rsidR="00F608A0">
        <w:t>:</w:t>
      </w:r>
    </w:p>
    <w:p w14:paraId="5F45E569" w14:textId="14A755FE" w:rsidR="004A3D4C" w:rsidRDefault="00F608A0" w:rsidP="0011445B">
      <w:pPr>
        <w:pStyle w:val="Bullet"/>
        <w:numPr>
          <w:ilvl w:val="0"/>
          <w:numId w:val="18"/>
        </w:numPr>
        <w:ind w:left="924" w:hanging="357"/>
      </w:pPr>
      <w:r>
        <w:t>The superannuation interest</w:t>
      </w:r>
      <w:r w:rsidR="006C43F4">
        <w:t xml:space="preserve"> supports an income stream that is, or was</w:t>
      </w:r>
      <w:r w:rsidR="00F278BD">
        <w:t xml:space="preserve"> at any time</w:t>
      </w:r>
      <w:r w:rsidR="006C43F4">
        <w:t xml:space="preserve">, a </w:t>
      </w:r>
      <w:r w:rsidR="004435C3">
        <w:t>superannuation</w:t>
      </w:r>
      <w:r w:rsidR="006C43F4">
        <w:t xml:space="preserve"> income stream </w:t>
      </w:r>
      <w:r w:rsidR="004435C3">
        <w:t>prescribed</w:t>
      </w:r>
      <w:r w:rsidR="006C43F4">
        <w:t xml:space="preserve"> by section 294-130.01 to which </w:t>
      </w:r>
      <w:r w:rsidR="004435C3">
        <w:t>subsection</w:t>
      </w:r>
      <w:r w:rsidR="006C43F4">
        <w:t xml:space="preserve"> 294</w:t>
      </w:r>
      <w:r w:rsidR="004435C3">
        <w:t xml:space="preserve">-130.01(7) applies. This means </w:t>
      </w:r>
      <w:r w:rsidR="000E3C30">
        <w:t xml:space="preserve">superannuation </w:t>
      </w:r>
      <w:r w:rsidR="004435C3">
        <w:t>income st</w:t>
      </w:r>
      <w:r w:rsidR="002F1B17">
        <w:t>r</w:t>
      </w:r>
      <w:r w:rsidR="004435C3">
        <w:t xml:space="preserve">eams that were prescribed as capped defined benefit income streams </w:t>
      </w:r>
      <w:proofErr w:type="gramStart"/>
      <w:r w:rsidR="004435C3">
        <w:t>as a result of</w:t>
      </w:r>
      <w:proofErr w:type="gramEnd"/>
      <w:r w:rsidR="004435C3">
        <w:t xml:space="preserve"> the Douglas response legislation applying to them. </w:t>
      </w:r>
    </w:p>
    <w:p w14:paraId="4E38AB85" w14:textId="312531A1" w:rsidR="004435C3" w:rsidRDefault="00E45E58" w:rsidP="0011445B">
      <w:pPr>
        <w:pStyle w:val="Bullet"/>
        <w:numPr>
          <w:ilvl w:val="0"/>
          <w:numId w:val="18"/>
        </w:numPr>
        <w:ind w:left="924" w:hanging="357"/>
      </w:pPr>
      <w:r>
        <w:t>A superannuation benefit was paid from the superannuation income stream to the person, whether before, at or after the commencement of these regulations. This means that the special value provisions operate retrospectively and prospectively to income streams</w:t>
      </w:r>
      <w:r w:rsidR="005977C4">
        <w:t xml:space="preserve"> commencing</w:t>
      </w:r>
      <w:r w:rsidR="00AE0188">
        <w:t xml:space="preserve"> before and after the commencement of these regulations, ensuring consistent treatment of members of the relevant superannuation plans.</w:t>
      </w:r>
    </w:p>
    <w:p w14:paraId="6D783366" w14:textId="0FDF295D" w:rsidR="00AE0188" w:rsidRDefault="005C1CDC" w:rsidP="0011445B">
      <w:pPr>
        <w:pStyle w:val="Bullet"/>
        <w:numPr>
          <w:ilvl w:val="0"/>
          <w:numId w:val="18"/>
        </w:numPr>
        <w:ind w:left="924" w:hanging="357"/>
      </w:pPr>
      <w:r>
        <w:t xml:space="preserve">The superannuation benefit was paid to the person because they satisfied a condition of release specified in item 103 of the </w:t>
      </w:r>
      <w:r w:rsidR="00B87757">
        <w:t>table</w:t>
      </w:r>
      <w:r>
        <w:t xml:space="preserve"> in Schedule 1 of the </w:t>
      </w:r>
      <w:r>
        <w:rPr>
          <w:i/>
          <w:iCs/>
        </w:rPr>
        <w:lastRenderedPageBreak/>
        <w:t xml:space="preserve">Superannuation Industry (Supervision) Regulations 1994. </w:t>
      </w:r>
      <w:r>
        <w:t xml:space="preserve">This covers benefits paid </w:t>
      </w:r>
      <w:r w:rsidR="00472A5C">
        <w:t xml:space="preserve">due to the person’s </w:t>
      </w:r>
      <w:r>
        <w:t>permanent incapacity.</w:t>
      </w:r>
    </w:p>
    <w:p w14:paraId="0F8F1918" w14:textId="23B18D59" w:rsidR="005C1CDC" w:rsidRDefault="0040530C" w:rsidP="0011445B">
      <w:pPr>
        <w:pStyle w:val="Bullet"/>
        <w:numPr>
          <w:ilvl w:val="0"/>
          <w:numId w:val="18"/>
        </w:numPr>
        <w:ind w:left="924" w:hanging="357"/>
      </w:pPr>
      <w:r>
        <w:t xml:space="preserve">The superannuation provider in relation to the superannuation plan had not reported that a transfer balance credit arose in the person’s </w:t>
      </w:r>
      <w:r w:rsidR="009747DC">
        <w:t xml:space="preserve">transfer balance account before the time these regulations commenced. This will mean that members of these superannuation plans, whether they commenced a superannuation income stream before or after the commencement of the regulations, will be within scope of this provision. This </w:t>
      </w:r>
      <w:r w:rsidR="00B87757">
        <w:t xml:space="preserve">ensures consistent treatment for members of those superannuation plans. </w:t>
      </w:r>
    </w:p>
    <w:p w14:paraId="526AB5EF" w14:textId="3414B166" w:rsidR="003D3B75" w:rsidRDefault="003D3B75" w:rsidP="004A136D">
      <w:pPr>
        <w:spacing w:before="240"/>
      </w:pPr>
      <w:r>
        <w:rPr>
          <w:iCs/>
        </w:rPr>
        <w:t xml:space="preserve">Subsection </w:t>
      </w:r>
      <w:r>
        <w:t>294-135.01(7) sets out the methodology that is to be used to determine the special value for those superannuation interests covered by subsection 294-135.01(6).</w:t>
      </w:r>
      <w:r w:rsidR="003A2D10">
        <w:t xml:space="preserve"> </w:t>
      </w:r>
      <w:r w:rsidR="005A35E1">
        <w:t>T</w:t>
      </w:r>
      <w:r w:rsidR="000762D8">
        <w:t>he special value is the lesser of:</w:t>
      </w:r>
    </w:p>
    <w:p w14:paraId="323813EF" w14:textId="619AAE82" w:rsidR="000762D8" w:rsidRDefault="009468DD" w:rsidP="0011445B">
      <w:pPr>
        <w:pStyle w:val="Dash"/>
        <w:numPr>
          <w:ilvl w:val="1"/>
          <w:numId w:val="17"/>
        </w:numPr>
        <w:ind w:left="924" w:hanging="357"/>
      </w:pPr>
      <w:r>
        <w:t xml:space="preserve">the </w:t>
      </w:r>
      <w:r w:rsidR="00E23AFA">
        <w:t>amount</w:t>
      </w:r>
      <w:r w:rsidR="00927752">
        <w:t xml:space="preserve"> worked out under subsection 294-135(2) of the Act, which is the annual entitlement multiplied by 16; or</w:t>
      </w:r>
    </w:p>
    <w:p w14:paraId="6A93EE7D" w14:textId="6147AACD" w:rsidR="00927752" w:rsidRDefault="009E66BD" w:rsidP="0011445B">
      <w:pPr>
        <w:pStyle w:val="Dash"/>
        <w:numPr>
          <w:ilvl w:val="1"/>
          <w:numId w:val="17"/>
        </w:numPr>
        <w:ind w:left="924" w:hanging="357"/>
      </w:pPr>
      <w:r>
        <w:t>if the</w:t>
      </w:r>
      <w:r w:rsidR="0063563B">
        <w:t xml:space="preserve"> </w:t>
      </w:r>
      <w:r>
        <w:t>superannuation income stream</w:t>
      </w:r>
      <w:r w:rsidR="00D300D8">
        <w:t xml:space="preserve"> </w:t>
      </w:r>
      <w:r w:rsidR="00D300D8" w:rsidRPr="00D47910">
        <w:t>has a</w:t>
      </w:r>
      <w:r w:rsidR="00720EFB" w:rsidRPr="00A92C2F">
        <w:t xml:space="preserve"> particular</w:t>
      </w:r>
      <w:r w:rsidR="00325021" w:rsidRPr="00D47910">
        <w:t xml:space="preserve"> period throughout which benefits are payable</w:t>
      </w:r>
      <w:r w:rsidRPr="00D47910">
        <w:t>, the amount work</w:t>
      </w:r>
      <w:r>
        <w:t xml:space="preserve">ed out under </w:t>
      </w:r>
      <w:r w:rsidR="0063563B">
        <w:t>subsection 2</w:t>
      </w:r>
      <w:r w:rsidR="0063563B" w:rsidRPr="00FA4482">
        <w:t>94</w:t>
      </w:r>
      <w:r w:rsidR="0063563B">
        <w:noBreakHyphen/>
      </w:r>
      <w:r w:rsidR="0063563B" w:rsidRPr="00FA4482">
        <w:t>135(3) of the Act</w:t>
      </w:r>
      <w:r w:rsidR="0063563B">
        <w:t xml:space="preserve">, which is the annual entitlement multiplied by the term remaining. </w:t>
      </w:r>
    </w:p>
    <w:p w14:paraId="7CD34207" w14:textId="4FCAE4D1" w:rsidR="000C35BB" w:rsidRDefault="000C35BB" w:rsidP="0063563B">
      <w:pPr>
        <w:pStyle w:val="Bullet"/>
        <w:numPr>
          <w:ilvl w:val="0"/>
          <w:numId w:val="0"/>
        </w:numPr>
      </w:pPr>
      <w:r>
        <w:t>Subsection 294-135.01(</w:t>
      </w:r>
      <w:r w:rsidR="00103208">
        <w:t>8</w:t>
      </w:r>
      <w:r>
        <w:t>)</w:t>
      </w:r>
      <w:r w:rsidR="00103208">
        <w:t xml:space="preserve"> explains how this method is to be used</w:t>
      </w:r>
      <w:r w:rsidR="008A3BD1">
        <w:t xml:space="preserve"> when working out the special value for capped defined benefit income streams for transfer balance cap purposes under </w:t>
      </w:r>
      <w:r w:rsidR="00B64B9D">
        <w:t>section 294-135 of the Act.</w:t>
      </w:r>
    </w:p>
    <w:p w14:paraId="64F6C5B9" w14:textId="282F7010" w:rsidR="00BE1DAC" w:rsidRDefault="00D96A02" w:rsidP="0063563B">
      <w:pPr>
        <w:pStyle w:val="Bullet"/>
        <w:numPr>
          <w:ilvl w:val="0"/>
          <w:numId w:val="0"/>
        </w:numPr>
      </w:pPr>
      <w:r>
        <w:t>T</w:t>
      </w:r>
      <w:r w:rsidR="00BE1DAC">
        <w:t>he reference to a superannuation income stream that has a particular period throughout which benefits are payable is intended to cover ‘</w:t>
      </w:r>
      <w:r w:rsidR="00C01800">
        <w:t>fixed term</w:t>
      </w:r>
      <w:r w:rsidR="00BE1DAC">
        <w:t>’ interests. That is, interests that</w:t>
      </w:r>
      <w:r w:rsidR="00D47910">
        <w:t xml:space="preserve">, under the scheme rules, are payable for a certain period or until the person reaches a certain age. </w:t>
      </w:r>
      <w:r>
        <w:t xml:space="preserve">Subsection 294-135.01(9) clarifies that this </w:t>
      </w:r>
      <w:r w:rsidR="00D47910">
        <w:t xml:space="preserve">is intended to cover such </w:t>
      </w:r>
      <w:r w:rsidR="005A2D10">
        <w:t xml:space="preserve">superannuation </w:t>
      </w:r>
      <w:r w:rsidR="00D47910">
        <w:t>income streams even if the scheme rules provide that the income stream may c</w:t>
      </w:r>
      <w:r w:rsidR="00522D0D">
        <w:t>ease</w:t>
      </w:r>
      <w:r w:rsidR="00D47910">
        <w:t xml:space="preserve"> earlier in certain circumstances</w:t>
      </w:r>
      <w:r w:rsidR="00E77F57">
        <w:t>, such as commutation</w:t>
      </w:r>
      <w:r w:rsidR="00D47910">
        <w:t>.</w:t>
      </w:r>
    </w:p>
    <w:p w14:paraId="3CBFD2EA" w14:textId="3A2224C1" w:rsidR="0063563B" w:rsidRDefault="0063563B" w:rsidP="0063563B">
      <w:pPr>
        <w:pStyle w:val="Bullet"/>
        <w:numPr>
          <w:ilvl w:val="0"/>
          <w:numId w:val="0"/>
        </w:numPr>
      </w:pPr>
      <w:r>
        <w:t>If the superannuation income stream does not have a</w:t>
      </w:r>
      <w:r w:rsidR="00D47910">
        <w:t xml:space="preserve"> particular </w:t>
      </w:r>
      <w:r w:rsidR="007E04AE" w:rsidRPr="00E23DF3">
        <w:t>period throughout which benefits are payable</w:t>
      </w:r>
      <w:r>
        <w:t>, then the method will be the annual entitlement multiplied by 16.</w:t>
      </w:r>
    </w:p>
    <w:p w14:paraId="3468DEA4" w14:textId="4E06AF69" w:rsidR="003D2983" w:rsidRDefault="00F20223" w:rsidP="0063563B">
      <w:pPr>
        <w:pStyle w:val="Bullet"/>
        <w:numPr>
          <w:ilvl w:val="0"/>
          <w:numId w:val="0"/>
        </w:numPr>
      </w:pPr>
      <w:r>
        <w:t>Prescribing</w:t>
      </w:r>
      <w:r w:rsidR="0074094C">
        <w:t xml:space="preserve"> a</w:t>
      </w:r>
      <w:r>
        <w:t xml:space="preserve"> valuation method </w:t>
      </w:r>
      <w:r w:rsidR="002E1EBE">
        <w:t xml:space="preserve">will provide certainty for individuals and trustees </w:t>
      </w:r>
      <w:r w:rsidR="00E7117A">
        <w:t>for these superannuation interests</w:t>
      </w:r>
      <w:r w:rsidR="00475E1B">
        <w:t>. It</w:t>
      </w:r>
      <w:r w:rsidR="00E7117A">
        <w:t xml:space="preserve"> will ensure that </w:t>
      </w:r>
      <w:r w:rsidR="00AF2878">
        <w:t>for in</w:t>
      </w:r>
      <w:r w:rsidR="00353D83">
        <w:t>come streams</w:t>
      </w:r>
      <w:r w:rsidR="00AF2878">
        <w:t xml:space="preserve"> </w:t>
      </w:r>
      <w:r w:rsidR="00E7117A">
        <w:t>where</w:t>
      </w:r>
      <w:r w:rsidR="006F2B26">
        <w:t xml:space="preserve"> there is an</w:t>
      </w:r>
      <w:r w:rsidR="006F2B26" w:rsidRPr="00E23DF3">
        <w:t xml:space="preserve"> identifiable period throughout which benefits are payable</w:t>
      </w:r>
      <w:r w:rsidR="006F2B26">
        <w:t>,</w:t>
      </w:r>
      <w:r w:rsidR="00E7117A">
        <w:t xml:space="preserve"> </w:t>
      </w:r>
      <w:r w:rsidR="00CA53E3">
        <w:t xml:space="preserve">where </w:t>
      </w:r>
      <w:r w:rsidR="00E7117A">
        <w:t xml:space="preserve">both methodologies could apply, the method is used that will be the most advantageous for the individual. </w:t>
      </w:r>
    </w:p>
    <w:p w14:paraId="6E58190E" w14:textId="77777777" w:rsidR="00621E0C" w:rsidRPr="0008360C" w:rsidRDefault="00621E0C" w:rsidP="00621E0C">
      <w:pPr>
        <w:spacing w:before="240" w:after="200"/>
        <w:rPr>
          <w:i/>
          <w:iCs/>
        </w:rPr>
      </w:pPr>
      <w:r w:rsidRPr="0008360C">
        <w:rPr>
          <w:i/>
          <w:iCs/>
        </w:rPr>
        <w:t>Example</w:t>
      </w:r>
    </w:p>
    <w:p w14:paraId="44C62586" w14:textId="00FA2F93" w:rsidR="00621E0C" w:rsidRPr="00CF58F9" w:rsidRDefault="00621E0C" w:rsidP="00621E0C">
      <w:pPr>
        <w:spacing w:before="240" w:after="200"/>
        <w:ind w:left="794"/>
        <w:rPr>
          <w:rStyle w:val="normaltextrun"/>
          <w:color w:val="000000"/>
          <w:shd w:val="clear" w:color="auto" w:fill="FFFFFF"/>
        </w:rPr>
      </w:pPr>
      <w:r w:rsidRPr="00CF58F9">
        <w:rPr>
          <w:rStyle w:val="normaltextrun"/>
          <w:color w:val="000000"/>
          <w:shd w:val="clear" w:color="auto" w:fill="FFFFFF"/>
        </w:rPr>
        <w:t xml:space="preserve">A </w:t>
      </w:r>
      <w:r w:rsidR="00824BA9">
        <w:rPr>
          <w:rStyle w:val="normaltextrun"/>
          <w:color w:val="000000"/>
          <w:shd w:val="clear" w:color="auto" w:fill="FFFFFF"/>
        </w:rPr>
        <w:t xml:space="preserve">then </w:t>
      </w:r>
      <w:r w:rsidR="00EA3E14" w:rsidRPr="00CF58F9">
        <w:rPr>
          <w:rStyle w:val="normaltextrun"/>
          <w:color w:val="000000"/>
          <w:shd w:val="clear" w:color="auto" w:fill="FFFFFF"/>
        </w:rPr>
        <w:t>44-year-old</w:t>
      </w:r>
      <w:r w:rsidRPr="00CF58F9">
        <w:rPr>
          <w:rStyle w:val="normaltextrun"/>
          <w:color w:val="000000"/>
          <w:shd w:val="clear" w:color="auto" w:fill="FFFFFF"/>
        </w:rPr>
        <w:t xml:space="preserve"> was earning $120,000 from employment in 2016</w:t>
      </w:r>
      <w:r>
        <w:rPr>
          <w:rStyle w:val="normaltextrun"/>
          <w:color w:val="000000"/>
          <w:shd w:val="clear" w:color="auto" w:fill="FFFFFF"/>
        </w:rPr>
        <w:t>-</w:t>
      </w:r>
      <w:r w:rsidRPr="00CF58F9">
        <w:rPr>
          <w:rStyle w:val="normaltextrun"/>
          <w:color w:val="000000"/>
          <w:shd w:val="clear" w:color="auto" w:fill="FFFFFF"/>
        </w:rPr>
        <w:t xml:space="preserve">17 just before being originally assessed as permanently incapacitated. The commencing annual permanent incapacity pension payment was $80,000. </w:t>
      </w:r>
      <w:r>
        <w:rPr>
          <w:rStyle w:val="normaltextrun"/>
          <w:color w:val="000000"/>
          <w:shd w:val="clear" w:color="auto" w:fill="FFFFFF"/>
        </w:rPr>
        <w:t xml:space="preserve">They are </w:t>
      </w:r>
      <w:r w:rsidRPr="00CF58F9">
        <w:rPr>
          <w:rStyle w:val="normaltextrun"/>
          <w:color w:val="000000"/>
          <w:shd w:val="clear" w:color="auto" w:fill="FFFFFF"/>
        </w:rPr>
        <w:t>in receipt of that pension until it stops when</w:t>
      </w:r>
      <w:r>
        <w:rPr>
          <w:rStyle w:val="normaltextrun"/>
          <w:color w:val="000000"/>
          <w:shd w:val="clear" w:color="auto" w:fill="FFFFFF"/>
        </w:rPr>
        <w:t xml:space="preserve"> they reach</w:t>
      </w:r>
      <w:r w:rsidRPr="00CF58F9">
        <w:rPr>
          <w:rStyle w:val="normaltextrun"/>
          <w:color w:val="000000"/>
          <w:shd w:val="clear" w:color="auto" w:fill="FFFFFF"/>
        </w:rPr>
        <w:t xml:space="preserve"> age 60.</w:t>
      </w:r>
      <w:r>
        <w:rPr>
          <w:rStyle w:val="normaltextrun"/>
          <w:color w:val="000000"/>
          <w:shd w:val="clear" w:color="auto" w:fill="FFFFFF"/>
        </w:rPr>
        <w:t xml:space="preserve"> They have a</w:t>
      </w:r>
      <w:r w:rsidRPr="00CF58F9">
        <w:rPr>
          <w:rStyle w:val="normaltextrun"/>
          <w:color w:val="000000"/>
          <w:shd w:val="clear" w:color="auto" w:fill="FFFFFF"/>
        </w:rPr>
        <w:t>lso made a $330,000 non-concessional contribution into another account in 2017</w:t>
      </w:r>
      <w:r>
        <w:rPr>
          <w:rStyle w:val="normaltextrun"/>
          <w:color w:val="000000"/>
          <w:shd w:val="clear" w:color="auto" w:fill="FFFFFF"/>
        </w:rPr>
        <w:t>-</w:t>
      </w:r>
      <w:r w:rsidRPr="00CF58F9">
        <w:rPr>
          <w:rStyle w:val="normaltextrun"/>
          <w:color w:val="000000"/>
          <w:shd w:val="clear" w:color="auto" w:fill="FFFFFF"/>
        </w:rPr>
        <w:t xml:space="preserve">18.  </w:t>
      </w:r>
    </w:p>
    <w:p w14:paraId="009A4DD7" w14:textId="1361336E" w:rsidR="00621E0C" w:rsidRPr="00CF58F9" w:rsidRDefault="00621E0C" w:rsidP="00621E0C">
      <w:pPr>
        <w:spacing w:before="240" w:after="200"/>
        <w:ind w:left="794"/>
        <w:rPr>
          <w:rStyle w:val="normaltextrun"/>
          <w:color w:val="000000"/>
          <w:shd w:val="clear" w:color="auto" w:fill="FFFFFF"/>
        </w:rPr>
      </w:pPr>
      <w:r w:rsidRPr="00CF58F9">
        <w:rPr>
          <w:rStyle w:val="normaltextrun"/>
          <w:color w:val="000000"/>
          <w:shd w:val="clear" w:color="auto" w:fill="FFFFFF"/>
        </w:rPr>
        <w:t>As a result of the Douglas response legislation</w:t>
      </w:r>
      <w:r>
        <w:rPr>
          <w:rStyle w:val="normaltextrun"/>
          <w:color w:val="000000"/>
          <w:shd w:val="clear" w:color="auto" w:fill="FFFFFF"/>
        </w:rPr>
        <w:t>,</w:t>
      </w:r>
      <w:r w:rsidR="008525FB">
        <w:rPr>
          <w:rStyle w:val="normaltextrun"/>
          <w:color w:val="000000"/>
          <w:shd w:val="clear" w:color="auto" w:fill="FFFFFF"/>
        </w:rPr>
        <w:t xml:space="preserve"> a credit will arise </w:t>
      </w:r>
      <w:r w:rsidR="0018771D">
        <w:rPr>
          <w:rStyle w:val="normaltextrun"/>
          <w:color w:val="000000"/>
          <w:shd w:val="clear" w:color="auto" w:fill="FFFFFF"/>
        </w:rPr>
        <w:t xml:space="preserve">in </w:t>
      </w:r>
      <w:r>
        <w:rPr>
          <w:rStyle w:val="normaltextrun"/>
          <w:color w:val="000000"/>
          <w:shd w:val="clear" w:color="auto" w:fill="FFFFFF"/>
        </w:rPr>
        <w:t xml:space="preserve">their transfer balance account </w:t>
      </w:r>
      <w:r w:rsidRPr="00CF58F9">
        <w:rPr>
          <w:rStyle w:val="normaltextrun"/>
          <w:color w:val="000000"/>
          <w:shd w:val="clear" w:color="auto" w:fill="FFFFFF"/>
        </w:rPr>
        <w:t xml:space="preserve">for the permanent incapacity pension as </w:t>
      </w:r>
      <w:r w:rsidR="005753E1" w:rsidRPr="00CF58F9">
        <w:rPr>
          <w:rStyle w:val="normaltextrun"/>
          <w:color w:val="000000"/>
          <w:shd w:val="clear" w:color="auto" w:fill="FFFFFF"/>
        </w:rPr>
        <w:t>of</w:t>
      </w:r>
      <w:r w:rsidRPr="00CF58F9">
        <w:rPr>
          <w:rStyle w:val="normaltextrun"/>
          <w:color w:val="000000"/>
          <w:shd w:val="clear" w:color="auto" w:fill="FFFFFF"/>
        </w:rPr>
        <w:t xml:space="preserve"> 1 July 2017</w:t>
      </w:r>
      <w:r>
        <w:rPr>
          <w:rStyle w:val="normaltextrun"/>
          <w:color w:val="000000"/>
          <w:shd w:val="clear" w:color="auto" w:fill="FFFFFF"/>
        </w:rPr>
        <w:t>.</w:t>
      </w:r>
      <w:r w:rsidR="0018771D">
        <w:rPr>
          <w:rStyle w:val="normaltextrun"/>
          <w:color w:val="000000"/>
          <w:shd w:val="clear" w:color="auto" w:fill="FFFFFF"/>
        </w:rPr>
        <w:t xml:space="preserve"> The </w:t>
      </w:r>
      <w:r w:rsidR="0018771D">
        <w:rPr>
          <w:rStyle w:val="normaltextrun"/>
          <w:color w:val="000000"/>
          <w:shd w:val="clear" w:color="auto" w:fill="FFFFFF"/>
        </w:rPr>
        <w:lastRenderedPageBreak/>
        <w:t>scheme trustee has not reported a credit</w:t>
      </w:r>
      <w:r w:rsidR="00864364">
        <w:rPr>
          <w:rStyle w:val="normaltextrun"/>
          <w:color w:val="000000"/>
          <w:shd w:val="clear" w:color="auto" w:fill="FFFFFF"/>
        </w:rPr>
        <w:t xml:space="preserve"> at the date these regulations commenced.</w:t>
      </w:r>
      <w:r>
        <w:rPr>
          <w:rStyle w:val="normaltextrun"/>
          <w:color w:val="000000"/>
          <w:shd w:val="clear" w:color="auto" w:fill="FFFFFF"/>
        </w:rPr>
        <w:t xml:space="preserve"> Applying the commencement value methodology set out in</w:t>
      </w:r>
      <w:r w:rsidR="00167E29">
        <w:rPr>
          <w:rStyle w:val="normaltextrun"/>
          <w:color w:val="000000"/>
          <w:shd w:val="clear" w:color="auto" w:fill="FFFFFF"/>
        </w:rPr>
        <w:t xml:space="preserve"> item 3 of the</w:t>
      </w:r>
      <w:r>
        <w:rPr>
          <w:rStyle w:val="normaltextrun"/>
          <w:color w:val="000000"/>
          <w:shd w:val="clear" w:color="auto" w:fill="FFFFFF"/>
        </w:rPr>
        <w:t xml:space="preserve">se regulations, the credit value is </w:t>
      </w:r>
      <w:r w:rsidRPr="00CF58F9">
        <w:rPr>
          <w:rStyle w:val="normaltextrun"/>
          <w:color w:val="000000"/>
          <w:shd w:val="clear" w:color="auto" w:fill="FFFFFF"/>
        </w:rPr>
        <w:t>$1,200,000 (</w:t>
      </w:r>
      <w:r>
        <w:rPr>
          <w:rStyle w:val="normaltextrun"/>
          <w:color w:val="000000"/>
          <w:shd w:val="clear" w:color="auto" w:fill="FFFFFF"/>
        </w:rPr>
        <w:t xml:space="preserve">based on a term remaining of 15 years, which gives a lesser value than the annual entitlement multiplied by 16, which would be </w:t>
      </w:r>
      <w:r w:rsidRPr="00CF58F9">
        <w:rPr>
          <w:rStyle w:val="normaltextrun"/>
          <w:color w:val="000000"/>
          <w:shd w:val="clear" w:color="auto" w:fill="FFFFFF"/>
        </w:rPr>
        <w:t>$1,</w:t>
      </w:r>
      <w:r w:rsidR="00BE6A37">
        <w:rPr>
          <w:rStyle w:val="normaltextrun"/>
          <w:color w:val="000000"/>
          <w:shd w:val="clear" w:color="auto" w:fill="FFFFFF"/>
        </w:rPr>
        <w:t>28</w:t>
      </w:r>
      <w:r w:rsidR="00244501">
        <w:rPr>
          <w:rStyle w:val="normaltextrun"/>
          <w:color w:val="000000"/>
          <w:shd w:val="clear" w:color="auto" w:fill="FFFFFF"/>
        </w:rPr>
        <w:t>0</w:t>
      </w:r>
      <w:r w:rsidRPr="00CF58F9">
        <w:rPr>
          <w:rStyle w:val="normaltextrun"/>
          <w:color w:val="000000"/>
          <w:shd w:val="clear" w:color="auto" w:fill="FFFFFF"/>
        </w:rPr>
        <w:t>,000</w:t>
      </w:r>
      <w:r>
        <w:rPr>
          <w:rStyle w:val="normaltextrun"/>
          <w:color w:val="000000"/>
          <w:shd w:val="clear" w:color="auto" w:fill="FFFFFF"/>
        </w:rPr>
        <w:t>)</w:t>
      </w:r>
      <w:r w:rsidRPr="00CF58F9">
        <w:rPr>
          <w:rStyle w:val="normaltextrun"/>
          <w:color w:val="000000"/>
          <w:shd w:val="clear" w:color="auto" w:fill="FFFFFF"/>
        </w:rPr>
        <w:t xml:space="preserve">.  </w:t>
      </w:r>
    </w:p>
    <w:p w14:paraId="7BE01F1A" w14:textId="21A569A9" w:rsidR="00621E0C" w:rsidRDefault="0000517F" w:rsidP="00621E0C">
      <w:pPr>
        <w:spacing w:before="240" w:after="200"/>
        <w:ind w:left="794"/>
        <w:rPr>
          <w:rStyle w:val="normaltextrun"/>
          <w:color w:val="000000"/>
          <w:shd w:val="clear" w:color="auto" w:fill="FFFFFF"/>
        </w:rPr>
      </w:pPr>
      <w:r>
        <w:rPr>
          <w:rStyle w:val="normaltextrun"/>
          <w:color w:val="000000"/>
          <w:shd w:val="clear" w:color="auto" w:fill="FFFFFF"/>
        </w:rPr>
        <w:t>U</w:t>
      </w:r>
      <w:r w:rsidR="00621E0C" w:rsidRPr="00CF58F9">
        <w:rPr>
          <w:rStyle w:val="normaltextrun"/>
          <w:color w:val="000000"/>
          <w:shd w:val="clear" w:color="auto" w:fill="FFFFFF"/>
        </w:rPr>
        <w:t xml:space="preserve">nder </w:t>
      </w:r>
      <w:r w:rsidR="00167E29">
        <w:rPr>
          <w:rStyle w:val="normaltextrun"/>
          <w:color w:val="000000"/>
          <w:shd w:val="clear" w:color="auto" w:fill="FFFFFF"/>
        </w:rPr>
        <w:t xml:space="preserve">item 1 of </w:t>
      </w:r>
      <w:r w:rsidR="00621E0C" w:rsidRPr="00CF58F9">
        <w:rPr>
          <w:rStyle w:val="normaltextrun"/>
          <w:color w:val="000000"/>
          <w:shd w:val="clear" w:color="auto" w:fill="FFFFFF"/>
        </w:rPr>
        <w:t xml:space="preserve">these </w:t>
      </w:r>
      <w:r w:rsidR="00EA3E14" w:rsidRPr="00CF58F9">
        <w:rPr>
          <w:rStyle w:val="normaltextrun"/>
          <w:color w:val="000000"/>
          <w:shd w:val="clear" w:color="auto" w:fill="FFFFFF"/>
        </w:rPr>
        <w:t>regulations,</w:t>
      </w:r>
      <w:r w:rsidR="00621E0C" w:rsidRPr="00CF58F9">
        <w:rPr>
          <w:rStyle w:val="normaltextrun"/>
          <w:color w:val="000000"/>
          <w:shd w:val="clear" w:color="auto" w:fill="FFFFFF"/>
        </w:rPr>
        <w:t xml:space="preserve"> </w:t>
      </w:r>
      <w:r w:rsidR="00612216">
        <w:rPr>
          <w:rStyle w:val="normaltextrun"/>
          <w:color w:val="000000"/>
          <w:shd w:val="clear" w:color="auto" w:fill="FFFFFF"/>
        </w:rPr>
        <w:t xml:space="preserve">they </w:t>
      </w:r>
      <w:r w:rsidR="00621E0C" w:rsidRPr="00CF58F9">
        <w:rPr>
          <w:rStyle w:val="normaltextrun"/>
          <w:color w:val="000000"/>
          <w:shd w:val="clear" w:color="auto" w:fill="FFFFFF"/>
        </w:rPr>
        <w:t xml:space="preserve">will receive a $1,200,000 </w:t>
      </w:r>
      <w:r w:rsidR="00612216">
        <w:rPr>
          <w:rStyle w:val="normaltextrun"/>
          <w:color w:val="000000"/>
          <w:shd w:val="clear" w:color="auto" w:fill="FFFFFF"/>
        </w:rPr>
        <w:t xml:space="preserve">transfer balance </w:t>
      </w:r>
      <w:r w:rsidR="00621E0C" w:rsidRPr="00CF58F9">
        <w:rPr>
          <w:rStyle w:val="normaltextrun"/>
          <w:color w:val="000000"/>
          <w:shd w:val="clear" w:color="auto" w:fill="FFFFFF"/>
        </w:rPr>
        <w:t xml:space="preserve">debit </w:t>
      </w:r>
      <w:r w:rsidR="00612216">
        <w:rPr>
          <w:rStyle w:val="normaltextrun"/>
          <w:color w:val="000000"/>
          <w:shd w:val="clear" w:color="auto" w:fill="FFFFFF"/>
        </w:rPr>
        <w:t xml:space="preserve">(assuming no other debits have arisen) </w:t>
      </w:r>
      <w:r w:rsidR="00621E0C" w:rsidRPr="00CF58F9">
        <w:rPr>
          <w:rStyle w:val="normaltextrun"/>
          <w:color w:val="000000"/>
          <w:shd w:val="clear" w:color="auto" w:fill="FFFFFF"/>
        </w:rPr>
        <w:t>when the permanent incapacity pension ceases</w:t>
      </w:r>
      <w:r>
        <w:rPr>
          <w:rStyle w:val="normaltextrun"/>
          <w:color w:val="000000"/>
          <w:shd w:val="clear" w:color="auto" w:fill="FFFFFF"/>
        </w:rPr>
        <w:t xml:space="preserve"> in 2032-33</w:t>
      </w:r>
      <w:r w:rsidR="00D669CE">
        <w:rPr>
          <w:rStyle w:val="normaltextrun"/>
          <w:color w:val="000000"/>
          <w:shd w:val="clear" w:color="auto" w:fill="FFFFFF"/>
        </w:rPr>
        <w:t>. This will enable them t</w:t>
      </w:r>
      <w:r w:rsidR="00621E0C" w:rsidRPr="00CF58F9">
        <w:rPr>
          <w:rStyle w:val="normaltextrun"/>
          <w:color w:val="000000"/>
          <w:shd w:val="clear" w:color="auto" w:fill="FFFFFF"/>
        </w:rPr>
        <w:t xml:space="preserve">o use that returned </w:t>
      </w:r>
      <w:r>
        <w:rPr>
          <w:rStyle w:val="normaltextrun"/>
          <w:color w:val="000000"/>
          <w:shd w:val="clear" w:color="auto" w:fill="FFFFFF"/>
        </w:rPr>
        <w:t xml:space="preserve">transfer balance </w:t>
      </w:r>
      <w:r w:rsidR="00621E0C" w:rsidRPr="00CF58F9">
        <w:rPr>
          <w:rStyle w:val="normaltextrun"/>
          <w:color w:val="000000"/>
          <w:shd w:val="clear" w:color="auto" w:fill="FFFFFF"/>
        </w:rPr>
        <w:t xml:space="preserve">cap space to commence a lifetime retirement pension and/or retirement </w:t>
      </w:r>
      <w:r w:rsidR="008C5E60" w:rsidRPr="00CF58F9">
        <w:rPr>
          <w:rStyle w:val="normaltextrun"/>
          <w:color w:val="000000"/>
          <w:shd w:val="clear" w:color="auto" w:fill="FFFFFF"/>
        </w:rPr>
        <w:t>account-based</w:t>
      </w:r>
      <w:r w:rsidR="00621E0C" w:rsidRPr="00CF58F9">
        <w:rPr>
          <w:rStyle w:val="normaltextrun"/>
          <w:color w:val="000000"/>
          <w:shd w:val="clear" w:color="auto" w:fill="FFFFFF"/>
        </w:rPr>
        <w:t xml:space="preserve"> pension.</w:t>
      </w:r>
      <w:r w:rsidR="005753E1">
        <w:rPr>
          <w:rStyle w:val="normaltextrun"/>
          <w:color w:val="000000"/>
          <w:shd w:val="clear" w:color="auto" w:fill="FFFFFF"/>
        </w:rPr>
        <w:t xml:space="preserve"> </w:t>
      </w:r>
      <w:r w:rsidR="00621E0C" w:rsidRPr="00CF58F9">
        <w:rPr>
          <w:rStyle w:val="normaltextrun"/>
          <w:color w:val="000000"/>
          <w:shd w:val="clear" w:color="auto" w:fill="FFFFFF"/>
        </w:rPr>
        <w:t xml:space="preserve">  </w:t>
      </w:r>
    </w:p>
    <w:p w14:paraId="184F2522" w14:textId="609D0963" w:rsidR="00621E0C" w:rsidRDefault="0000517F" w:rsidP="00084AEA">
      <w:pPr>
        <w:spacing w:before="240" w:after="200"/>
        <w:ind w:left="794"/>
      </w:pPr>
      <w:r>
        <w:rPr>
          <w:rStyle w:val="normaltextrun"/>
          <w:color w:val="000000"/>
          <w:shd w:val="clear" w:color="auto" w:fill="FFFFFF"/>
        </w:rPr>
        <w:t xml:space="preserve">In the absence of these regulations, </w:t>
      </w:r>
      <w:r w:rsidRPr="00CF58F9">
        <w:rPr>
          <w:rStyle w:val="normaltextrun"/>
          <w:color w:val="000000"/>
          <w:shd w:val="clear" w:color="auto" w:fill="FFFFFF"/>
        </w:rPr>
        <w:t xml:space="preserve">when the pension ceases in </w:t>
      </w:r>
      <w:proofErr w:type="gramStart"/>
      <w:r w:rsidRPr="00CF58F9">
        <w:rPr>
          <w:rStyle w:val="normaltextrun"/>
          <w:color w:val="000000"/>
          <w:shd w:val="clear" w:color="auto" w:fill="FFFFFF"/>
        </w:rPr>
        <w:t>2032</w:t>
      </w:r>
      <w:r>
        <w:rPr>
          <w:rStyle w:val="normaltextrun"/>
          <w:color w:val="000000"/>
          <w:shd w:val="clear" w:color="auto" w:fill="FFFFFF"/>
        </w:rPr>
        <w:t>-</w:t>
      </w:r>
      <w:r w:rsidRPr="00CF58F9">
        <w:rPr>
          <w:rStyle w:val="normaltextrun"/>
          <w:color w:val="000000"/>
          <w:shd w:val="clear" w:color="auto" w:fill="FFFFFF"/>
        </w:rPr>
        <w:t>33</w:t>
      </w:r>
      <w:proofErr w:type="gramEnd"/>
      <w:r w:rsidRPr="00CF58F9">
        <w:rPr>
          <w:rStyle w:val="normaltextrun"/>
          <w:color w:val="000000"/>
          <w:shd w:val="clear" w:color="auto" w:fill="FFFFFF"/>
        </w:rPr>
        <w:t xml:space="preserve"> </w:t>
      </w:r>
      <w:r>
        <w:rPr>
          <w:rStyle w:val="normaltextrun"/>
          <w:color w:val="000000"/>
          <w:shd w:val="clear" w:color="auto" w:fill="FFFFFF"/>
        </w:rPr>
        <w:t>they</w:t>
      </w:r>
      <w:r w:rsidRPr="00CF58F9">
        <w:rPr>
          <w:rStyle w:val="normaltextrun"/>
          <w:color w:val="000000"/>
          <w:shd w:val="clear" w:color="auto" w:fill="FFFFFF"/>
        </w:rPr>
        <w:t xml:space="preserve"> </w:t>
      </w:r>
      <w:r w:rsidR="00582DE5">
        <w:rPr>
          <w:rStyle w:val="normaltextrun"/>
          <w:color w:val="000000"/>
          <w:shd w:val="clear" w:color="auto" w:fill="FFFFFF"/>
        </w:rPr>
        <w:t xml:space="preserve">would not </w:t>
      </w:r>
      <w:r w:rsidRPr="00CF58F9">
        <w:rPr>
          <w:rStyle w:val="normaltextrun"/>
          <w:color w:val="000000"/>
          <w:shd w:val="clear" w:color="auto" w:fill="FFFFFF"/>
        </w:rPr>
        <w:t xml:space="preserve">receive a </w:t>
      </w:r>
      <w:r w:rsidR="00582DE5">
        <w:rPr>
          <w:rStyle w:val="normaltextrun"/>
          <w:color w:val="000000"/>
          <w:shd w:val="clear" w:color="auto" w:fill="FFFFFF"/>
        </w:rPr>
        <w:t xml:space="preserve">transfer balance debit, and the transfer balance </w:t>
      </w:r>
      <w:r>
        <w:rPr>
          <w:rStyle w:val="normaltextrun"/>
          <w:color w:val="000000"/>
          <w:shd w:val="clear" w:color="auto" w:fill="FFFFFF"/>
        </w:rPr>
        <w:t xml:space="preserve">credit of $1,200,000 would take up </w:t>
      </w:r>
      <w:r w:rsidR="00922379">
        <w:rPr>
          <w:rStyle w:val="normaltextrun"/>
          <w:color w:val="000000"/>
          <w:shd w:val="clear" w:color="auto" w:fill="FFFFFF"/>
        </w:rPr>
        <w:t xml:space="preserve">transfer balance </w:t>
      </w:r>
      <w:r>
        <w:rPr>
          <w:rStyle w:val="normaltextrun"/>
          <w:color w:val="000000"/>
          <w:shd w:val="clear" w:color="auto" w:fill="FFFFFF"/>
        </w:rPr>
        <w:t>cap space</w:t>
      </w:r>
      <w:r w:rsidR="007025D7">
        <w:rPr>
          <w:rStyle w:val="normaltextrun"/>
          <w:color w:val="000000"/>
          <w:shd w:val="clear" w:color="auto" w:fill="FFFFFF"/>
        </w:rPr>
        <w:t>.</w:t>
      </w:r>
      <w:r w:rsidR="00126C74">
        <w:rPr>
          <w:rStyle w:val="normaltextrun"/>
          <w:color w:val="000000"/>
          <w:shd w:val="clear" w:color="auto" w:fill="FFFFFF"/>
        </w:rPr>
        <w:t xml:space="preserve"> </w:t>
      </w:r>
      <w:r w:rsidR="00555A76">
        <w:rPr>
          <w:rStyle w:val="normaltextrun"/>
          <w:color w:val="000000"/>
          <w:shd w:val="clear" w:color="auto" w:fill="FFFFFF"/>
        </w:rPr>
        <w:t xml:space="preserve">In this scenario, </w:t>
      </w:r>
      <w:r w:rsidR="00126C74">
        <w:rPr>
          <w:rStyle w:val="normaltextrun"/>
          <w:color w:val="000000"/>
          <w:shd w:val="clear" w:color="auto" w:fill="FFFFFF"/>
        </w:rPr>
        <w:t>commencing a new retirement product</w:t>
      </w:r>
      <w:r w:rsidR="004365B0">
        <w:rPr>
          <w:rStyle w:val="normaltextrun"/>
          <w:color w:val="000000"/>
          <w:shd w:val="clear" w:color="auto" w:fill="FFFFFF"/>
        </w:rPr>
        <w:t xml:space="preserve"> </w:t>
      </w:r>
      <w:r w:rsidR="004365B0" w:rsidRPr="004365B0">
        <w:rPr>
          <w:rStyle w:val="normaltextrun"/>
          <w:color w:val="000000"/>
          <w:shd w:val="clear" w:color="auto" w:fill="FFFFFF"/>
        </w:rPr>
        <w:t>may cause them to exceed their transfer balance cap and require them</w:t>
      </w:r>
      <w:r w:rsidR="004365B0">
        <w:rPr>
          <w:rStyle w:val="normaltextrun"/>
          <w:color w:val="000000"/>
          <w:shd w:val="clear" w:color="auto" w:fill="FFFFFF"/>
        </w:rPr>
        <w:t xml:space="preserve"> to </w:t>
      </w:r>
      <w:r w:rsidRPr="00CF58F9">
        <w:rPr>
          <w:rStyle w:val="normaltextrun"/>
          <w:color w:val="000000"/>
          <w:shd w:val="clear" w:color="auto" w:fill="FFFFFF"/>
        </w:rPr>
        <w:t xml:space="preserve">commute amounts from the </w:t>
      </w:r>
      <w:r w:rsidR="00582DE5" w:rsidRPr="00CF58F9">
        <w:rPr>
          <w:rStyle w:val="normaltextrun"/>
          <w:color w:val="000000"/>
          <w:shd w:val="clear" w:color="auto" w:fill="FFFFFF"/>
        </w:rPr>
        <w:t>account-based</w:t>
      </w:r>
      <w:r w:rsidRPr="00CF58F9">
        <w:rPr>
          <w:rStyle w:val="normaltextrun"/>
          <w:color w:val="000000"/>
          <w:shd w:val="clear" w:color="auto" w:fill="FFFFFF"/>
        </w:rPr>
        <w:t xml:space="preserve"> pension and pay excess </w:t>
      </w:r>
      <w:r>
        <w:rPr>
          <w:rStyle w:val="normaltextrun"/>
          <w:color w:val="000000"/>
          <w:shd w:val="clear" w:color="auto" w:fill="FFFFFF"/>
        </w:rPr>
        <w:t xml:space="preserve">transfer </w:t>
      </w:r>
      <w:r w:rsidRPr="00CF58F9">
        <w:rPr>
          <w:rStyle w:val="normaltextrun"/>
          <w:color w:val="000000"/>
          <w:shd w:val="clear" w:color="auto" w:fill="FFFFFF"/>
        </w:rPr>
        <w:t>balance tax</w:t>
      </w:r>
      <w:r w:rsidR="005A2792">
        <w:rPr>
          <w:rStyle w:val="normaltextrun"/>
          <w:color w:val="000000"/>
          <w:shd w:val="clear" w:color="auto" w:fill="FFFFFF"/>
        </w:rPr>
        <w:t xml:space="preserve"> or defined benefit income tax</w:t>
      </w:r>
      <w:r w:rsidRPr="00CF58F9">
        <w:rPr>
          <w:rStyle w:val="normaltextrun"/>
          <w:color w:val="000000"/>
          <w:shd w:val="clear" w:color="auto" w:fill="FFFFFF"/>
        </w:rPr>
        <w:t>.</w:t>
      </w:r>
      <w:r w:rsidR="00D64300">
        <w:rPr>
          <w:rStyle w:val="normaltextrun"/>
          <w:color w:val="000000"/>
          <w:shd w:val="clear" w:color="auto" w:fill="FFFFFF"/>
        </w:rPr>
        <w:t xml:space="preserve"> </w:t>
      </w:r>
    </w:p>
    <w:p w14:paraId="2BDA139A" w14:textId="31D98A6E" w:rsidR="000762D8" w:rsidRDefault="00385A57" w:rsidP="00466DD5">
      <w:pPr>
        <w:spacing w:before="240" w:after="200"/>
        <w:rPr>
          <w:iCs/>
          <w:u w:val="single"/>
        </w:rPr>
      </w:pPr>
      <w:r>
        <w:rPr>
          <w:iCs/>
          <w:u w:val="single"/>
        </w:rPr>
        <w:t xml:space="preserve">Item </w:t>
      </w:r>
      <w:r w:rsidR="008876BA">
        <w:rPr>
          <w:iCs/>
          <w:u w:val="single"/>
        </w:rPr>
        <w:t>4</w:t>
      </w:r>
      <w:r>
        <w:rPr>
          <w:iCs/>
          <w:u w:val="single"/>
        </w:rPr>
        <w:t xml:space="preserve"> – transitional matters</w:t>
      </w:r>
    </w:p>
    <w:p w14:paraId="3ADC8C04" w14:textId="00CB0B8F" w:rsidR="00C77C36" w:rsidRDefault="00863F7C" w:rsidP="00466DD5">
      <w:pPr>
        <w:spacing w:before="240" w:after="200"/>
        <w:rPr>
          <w:iCs/>
        </w:rPr>
      </w:pPr>
      <w:r>
        <w:rPr>
          <w:b/>
          <w:bCs/>
          <w:iCs/>
        </w:rPr>
        <w:t xml:space="preserve">Item </w:t>
      </w:r>
      <w:r w:rsidR="008876BA">
        <w:rPr>
          <w:b/>
          <w:bCs/>
          <w:iCs/>
        </w:rPr>
        <w:t>4</w:t>
      </w:r>
      <w:r>
        <w:rPr>
          <w:b/>
          <w:bCs/>
          <w:iCs/>
        </w:rPr>
        <w:t xml:space="preserve"> </w:t>
      </w:r>
      <w:r>
        <w:rPr>
          <w:iCs/>
        </w:rPr>
        <w:t>inserts a new Part 1000-</w:t>
      </w:r>
      <w:r w:rsidR="00C0158B">
        <w:rPr>
          <w:iCs/>
        </w:rPr>
        <w:t>6</w:t>
      </w:r>
      <w:r>
        <w:rPr>
          <w:iCs/>
        </w:rPr>
        <w:t xml:space="preserve"> into the Principal Regulations to deal with transitional matters. </w:t>
      </w:r>
    </w:p>
    <w:p w14:paraId="030862A6" w14:textId="4255B9E2" w:rsidR="003A20D9" w:rsidRPr="00715CBF" w:rsidRDefault="00D36962" w:rsidP="00466DD5">
      <w:pPr>
        <w:spacing w:before="240" w:after="200"/>
        <w:rPr>
          <w:b/>
          <w:bCs/>
          <w:i/>
        </w:rPr>
      </w:pPr>
      <w:r>
        <w:rPr>
          <w:iCs/>
        </w:rPr>
        <w:t xml:space="preserve">Section </w:t>
      </w:r>
      <w:r w:rsidR="00F208CC">
        <w:rPr>
          <w:iCs/>
        </w:rPr>
        <w:t>1000-</w:t>
      </w:r>
      <w:r w:rsidR="00C0158B">
        <w:rPr>
          <w:iCs/>
        </w:rPr>
        <w:t>6</w:t>
      </w:r>
      <w:r w:rsidR="00F208CC">
        <w:rPr>
          <w:iCs/>
        </w:rPr>
        <w:t>.01</w:t>
      </w:r>
      <w:r>
        <w:rPr>
          <w:iCs/>
        </w:rPr>
        <w:t xml:space="preserve"> sets out definitions</w:t>
      </w:r>
      <w:r w:rsidR="00B27AA4">
        <w:rPr>
          <w:iCs/>
        </w:rPr>
        <w:t xml:space="preserve"> relevant to this Part</w:t>
      </w:r>
      <w:r w:rsidR="00990ED9">
        <w:rPr>
          <w:iCs/>
        </w:rPr>
        <w:t>.</w:t>
      </w:r>
    </w:p>
    <w:p w14:paraId="208B94C2" w14:textId="77777777" w:rsidR="00B30CD5" w:rsidRDefault="00B30CD5" w:rsidP="00B30CD5">
      <w:pPr>
        <w:spacing w:before="240" w:after="200"/>
        <w:rPr>
          <w:iCs/>
        </w:rPr>
      </w:pPr>
      <w:r>
        <w:rPr>
          <w:b/>
          <w:bCs/>
          <w:i/>
        </w:rPr>
        <w:t xml:space="preserve">2021 commencement time </w:t>
      </w:r>
      <w:r>
        <w:rPr>
          <w:iCs/>
        </w:rPr>
        <w:t xml:space="preserve">refers to time that the </w:t>
      </w:r>
      <w:r>
        <w:rPr>
          <w:i/>
        </w:rPr>
        <w:t xml:space="preserve">Income Tax Assessment (1997 Act) Regulations 2021 </w:t>
      </w:r>
      <w:r>
        <w:rPr>
          <w:iCs/>
        </w:rPr>
        <w:t xml:space="preserve">commenced, which is 1 April 2021.  </w:t>
      </w:r>
    </w:p>
    <w:p w14:paraId="771A7B8C" w14:textId="34A3165C" w:rsidR="001959FB" w:rsidRDefault="001959FB" w:rsidP="00B30CD5">
      <w:pPr>
        <w:spacing w:before="240" w:after="200"/>
        <w:rPr>
          <w:iCs/>
        </w:rPr>
      </w:pPr>
      <w:r w:rsidRPr="00A92C2F">
        <w:rPr>
          <w:b/>
          <w:bCs/>
          <w:i/>
        </w:rPr>
        <w:t>amending instrument</w:t>
      </w:r>
      <w:r w:rsidRPr="001959FB">
        <w:rPr>
          <w:iCs/>
        </w:rPr>
        <w:t xml:space="preserve"> means the </w:t>
      </w:r>
      <w:r w:rsidR="00FC7AFF" w:rsidRPr="00FC7AFF">
        <w:rPr>
          <w:i/>
        </w:rPr>
        <w:t>Income Tax Assessment Amendment (Transfer Balance Account Value for Certain Superannuation Income Streams) Regulations 2024</w:t>
      </w:r>
      <w:r w:rsidRPr="001959FB">
        <w:rPr>
          <w:iCs/>
        </w:rPr>
        <w:t>.</w:t>
      </w:r>
    </w:p>
    <w:p w14:paraId="284B7B44" w14:textId="77777777" w:rsidR="00E20F6F" w:rsidRDefault="003A20D9" w:rsidP="00466DD5">
      <w:pPr>
        <w:spacing w:before="240" w:after="200"/>
        <w:rPr>
          <w:iCs/>
        </w:rPr>
      </w:pPr>
      <w:r w:rsidRPr="00715CBF">
        <w:rPr>
          <w:b/>
          <w:bCs/>
          <w:i/>
        </w:rPr>
        <w:t>o</w:t>
      </w:r>
      <w:r w:rsidR="00371512" w:rsidRPr="00715CBF">
        <w:rPr>
          <w:b/>
          <w:bCs/>
          <w:i/>
        </w:rPr>
        <w:t>ld regulations</w:t>
      </w:r>
      <w:r w:rsidR="00371512">
        <w:rPr>
          <w:b/>
          <w:bCs/>
          <w:iCs/>
        </w:rPr>
        <w:t xml:space="preserve"> </w:t>
      </w:r>
      <w:proofErr w:type="gramStart"/>
      <w:r w:rsidR="00371512">
        <w:rPr>
          <w:iCs/>
        </w:rPr>
        <w:t>refers</w:t>
      </w:r>
      <w:proofErr w:type="gramEnd"/>
      <w:r w:rsidR="00371512">
        <w:rPr>
          <w:iCs/>
        </w:rPr>
        <w:t xml:space="preserve"> to the </w:t>
      </w:r>
      <w:r w:rsidR="00371512">
        <w:rPr>
          <w:i/>
        </w:rPr>
        <w:t>Income Tax Assessment Regulations 1997</w:t>
      </w:r>
      <w:r>
        <w:rPr>
          <w:iCs/>
        </w:rPr>
        <w:t xml:space="preserve">, which were repealed, but have continuing application in relation to </w:t>
      </w:r>
      <w:r w:rsidR="00E20F6F">
        <w:rPr>
          <w:iCs/>
        </w:rPr>
        <w:t xml:space="preserve">certain matters, including the transfer balance cap provisions. </w:t>
      </w:r>
    </w:p>
    <w:p w14:paraId="71B08E6A" w14:textId="3EEAF09B" w:rsidR="00182AC3" w:rsidRDefault="003067F5" w:rsidP="00466DD5">
      <w:pPr>
        <w:spacing w:before="240" w:after="200"/>
        <w:rPr>
          <w:iCs/>
        </w:rPr>
      </w:pPr>
      <w:r>
        <w:rPr>
          <w:iCs/>
        </w:rPr>
        <w:t>Se</w:t>
      </w:r>
      <w:r w:rsidR="00D36962">
        <w:rPr>
          <w:iCs/>
        </w:rPr>
        <w:t>ction 1000-</w:t>
      </w:r>
      <w:r w:rsidR="00B30CD5">
        <w:rPr>
          <w:iCs/>
        </w:rPr>
        <w:t>6</w:t>
      </w:r>
      <w:r w:rsidR="00D36962">
        <w:rPr>
          <w:iCs/>
        </w:rPr>
        <w:t xml:space="preserve">.02 </w:t>
      </w:r>
      <w:r w:rsidR="00F208CC">
        <w:rPr>
          <w:iCs/>
        </w:rPr>
        <w:t>provides that the</w:t>
      </w:r>
      <w:r w:rsidR="00677624">
        <w:rPr>
          <w:iCs/>
        </w:rPr>
        <w:t xml:space="preserve"> new transfer balance debit provision </w:t>
      </w:r>
      <w:r w:rsidR="00533662">
        <w:rPr>
          <w:iCs/>
        </w:rPr>
        <w:t>in section</w:t>
      </w:r>
      <w:r w:rsidR="00AC56FF">
        <w:rPr>
          <w:iCs/>
        </w:rPr>
        <w:t> </w:t>
      </w:r>
      <w:r w:rsidR="00533662">
        <w:rPr>
          <w:iCs/>
        </w:rPr>
        <w:t>294</w:t>
      </w:r>
      <w:r w:rsidR="00ED7ADB">
        <w:rPr>
          <w:iCs/>
        </w:rPr>
        <w:noBreakHyphen/>
      </w:r>
      <w:r w:rsidR="00533662">
        <w:rPr>
          <w:iCs/>
        </w:rPr>
        <w:t>80.02B appl</w:t>
      </w:r>
      <w:r w:rsidR="00482589">
        <w:rPr>
          <w:iCs/>
        </w:rPr>
        <w:t>ies</w:t>
      </w:r>
      <w:r w:rsidR="00533662">
        <w:rPr>
          <w:iCs/>
        </w:rPr>
        <w:t xml:space="preserve"> in relation to a superannuation income stream that ceases</w:t>
      </w:r>
      <w:r w:rsidR="00ED7ADB">
        <w:rPr>
          <w:iCs/>
        </w:rPr>
        <w:t xml:space="preserve"> o</w:t>
      </w:r>
      <w:r w:rsidR="00482589">
        <w:rPr>
          <w:iCs/>
        </w:rPr>
        <w:t>n</w:t>
      </w:r>
      <w:r w:rsidR="00ED7ADB">
        <w:rPr>
          <w:iCs/>
        </w:rPr>
        <w:t xml:space="preserve"> or after the 2021 commencement time. Similarly, </w:t>
      </w:r>
      <w:r w:rsidR="003624BF">
        <w:rPr>
          <w:iCs/>
        </w:rPr>
        <w:t>the</w:t>
      </w:r>
      <w:r w:rsidR="00F208CC">
        <w:rPr>
          <w:iCs/>
        </w:rPr>
        <w:t xml:space="preserve"> amendments made by the Regulations apply in relation to working out the special value </w:t>
      </w:r>
      <w:r w:rsidR="00107DA9">
        <w:rPr>
          <w:iCs/>
        </w:rPr>
        <w:t xml:space="preserve">of a superannuation income </w:t>
      </w:r>
      <w:r w:rsidR="00A23153">
        <w:rPr>
          <w:iCs/>
        </w:rPr>
        <w:t xml:space="preserve">stream </w:t>
      </w:r>
      <w:r w:rsidR="00EE1672">
        <w:rPr>
          <w:iCs/>
        </w:rPr>
        <w:t>on or after</w:t>
      </w:r>
      <w:r w:rsidR="00182AC3">
        <w:rPr>
          <w:iCs/>
        </w:rPr>
        <w:t xml:space="preserve"> the 2021</w:t>
      </w:r>
      <w:r w:rsidR="00EF5641">
        <w:rPr>
          <w:iCs/>
        </w:rPr>
        <w:t> </w:t>
      </w:r>
      <w:r w:rsidR="00182AC3">
        <w:rPr>
          <w:iCs/>
        </w:rPr>
        <w:t>commencement time</w:t>
      </w:r>
      <w:r w:rsidR="00A23153" w:rsidRPr="00ED5826">
        <w:rPr>
          <w:iCs/>
        </w:rPr>
        <w:t>, subject to the modifications in new section 1000-</w:t>
      </w:r>
      <w:r w:rsidR="00D50A57" w:rsidRPr="00A92C2F">
        <w:rPr>
          <w:iCs/>
        </w:rPr>
        <w:t>6</w:t>
      </w:r>
      <w:r w:rsidR="00A23153" w:rsidRPr="00ED5826">
        <w:rPr>
          <w:iCs/>
        </w:rPr>
        <w:t>.03</w:t>
      </w:r>
      <w:r w:rsidR="00182AC3" w:rsidRPr="00ED5826">
        <w:rPr>
          <w:iCs/>
        </w:rPr>
        <w:t>.</w:t>
      </w:r>
      <w:r w:rsidR="00182AC3">
        <w:rPr>
          <w:iCs/>
        </w:rPr>
        <w:t xml:space="preserve"> </w:t>
      </w:r>
    </w:p>
    <w:p w14:paraId="727FC760" w14:textId="0836F097" w:rsidR="00BB184C" w:rsidRDefault="003067F5" w:rsidP="00BB184C">
      <w:pPr>
        <w:rPr>
          <w:rFonts w:cstheme="minorHAnsi"/>
          <w:bCs/>
        </w:rPr>
      </w:pPr>
      <w:r>
        <w:rPr>
          <w:iCs/>
        </w:rPr>
        <w:t>Section 1000-</w:t>
      </w:r>
      <w:r w:rsidR="001959FB">
        <w:rPr>
          <w:iCs/>
        </w:rPr>
        <w:t>6</w:t>
      </w:r>
      <w:r>
        <w:rPr>
          <w:iCs/>
        </w:rPr>
        <w:t xml:space="preserve">.03 </w:t>
      </w:r>
      <w:r w:rsidR="000C6FAD">
        <w:rPr>
          <w:iCs/>
        </w:rPr>
        <w:t xml:space="preserve">modifies the </w:t>
      </w:r>
      <w:r w:rsidR="00B4742C">
        <w:rPr>
          <w:iCs/>
        </w:rPr>
        <w:t xml:space="preserve">application of the </w:t>
      </w:r>
      <w:r w:rsidR="001969A6">
        <w:rPr>
          <w:iCs/>
        </w:rPr>
        <w:t>old regulations</w:t>
      </w:r>
      <w:r w:rsidR="00663765">
        <w:rPr>
          <w:iCs/>
        </w:rPr>
        <w:t xml:space="preserve"> </w:t>
      </w:r>
      <w:r w:rsidR="001969A6">
        <w:rPr>
          <w:iCs/>
        </w:rPr>
        <w:t xml:space="preserve">so that the provisions in these amending regulations </w:t>
      </w:r>
      <w:r w:rsidR="00BB184C">
        <w:rPr>
          <w:iCs/>
        </w:rPr>
        <w:t xml:space="preserve">apply to </w:t>
      </w:r>
      <w:r w:rsidR="00BB184C" w:rsidRPr="00715CBF">
        <w:rPr>
          <w:rFonts w:cstheme="minorHAnsi"/>
          <w:bCs/>
        </w:rPr>
        <w:t>superannuation income streams that started to be in the retirement phase</w:t>
      </w:r>
      <w:r w:rsidR="00BB184C">
        <w:rPr>
          <w:rFonts w:cstheme="minorHAnsi"/>
          <w:bCs/>
        </w:rPr>
        <w:t xml:space="preserve"> </w:t>
      </w:r>
      <w:r w:rsidR="00686995">
        <w:rPr>
          <w:rFonts w:cstheme="minorHAnsi"/>
          <w:bCs/>
        </w:rPr>
        <w:t xml:space="preserve">and/or ceased </w:t>
      </w:r>
      <w:r w:rsidR="00BB184C">
        <w:rPr>
          <w:rFonts w:cstheme="minorHAnsi"/>
          <w:bCs/>
        </w:rPr>
        <w:t xml:space="preserve">before </w:t>
      </w:r>
      <w:r w:rsidR="00BB184C" w:rsidRPr="00715CBF">
        <w:rPr>
          <w:rFonts w:cstheme="minorHAnsi"/>
          <w:bCs/>
        </w:rPr>
        <w:t>1 April 2021 (the 2021 commencement date). This transitional provision is necessary to enable the</w:t>
      </w:r>
      <w:r w:rsidR="00ED5826">
        <w:rPr>
          <w:rFonts w:cstheme="minorHAnsi"/>
          <w:bCs/>
        </w:rPr>
        <w:t xml:space="preserve"> new transfer balance debit and the </w:t>
      </w:r>
      <w:r w:rsidR="00BB184C" w:rsidRPr="00715CBF">
        <w:rPr>
          <w:rFonts w:cstheme="minorHAnsi"/>
          <w:bCs/>
        </w:rPr>
        <w:t xml:space="preserve">special value set by these Regulations to apply to a superannuation income stream that commenced </w:t>
      </w:r>
      <w:r w:rsidR="00ED5826">
        <w:rPr>
          <w:rFonts w:cstheme="minorHAnsi"/>
          <w:bCs/>
        </w:rPr>
        <w:t xml:space="preserve">and/or ceased </w:t>
      </w:r>
      <w:r w:rsidR="00BB184C" w:rsidRPr="00715CBF">
        <w:rPr>
          <w:rFonts w:cstheme="minorHAnsi"/>
          <w:bCs/>
        </w:rPr>
        <w:t>prior to the 2021 commencement date.</w:t>
      </w:r>
    </w:p>
    <w:p w14:paraId="1DB492BC" w14:textId="236D0366" w:rsidR="0093421F" w:rsidRPr="003C5719" w:rsidRDefault="007A55A7" w:rsidP="0093421F">
      <w:pPr>
        <w:pageBreakBefore/>
        <w:spacing w:before="240"/>
        <w:jc w:val="right"/>
        <w:rPr>
          <w:b/>
          <w:u w:val="single"/>
        </w:rPr>
      </w:pPr>
      <w:r w:rsidRPr="003C5719">
        <w:rPr>
          <w:b/>
          <w:u w:val="single"/>
        </w:rPr>
        <w:lastRenderedPageBreak/>
        <w:t xml:space="preserve">ATTACHMENT </w:t>
      </w:r>
      <w:r w:rsidR="00F171CC">
        <w:rPr>
          <w:b/>
          <w:u w:val="single"/>
        </w:rPr>
        <w:t>B</w:t>
      </w:r>
    </w:p>
    <w:p w14:paraId="50E3EDF1" w14:textId="77777777" w:rsidR="00E4438C" w:rsidRPr="003C5719" w:rsidRDefault="00E4438C" w:rsidP="00883863">
      <w:pPr>
        <w:pStyle w:val="Heading3"/>
        <w:jc w:val="center"/>
      </w:pPr>
      <w:r w:rsidRPr="003C5719">
        <w:t>Statement of Compatibility with Human Rights</w:t>
      </w:r>
    </w:p>
    <w:p w14:paraId="532C1961"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5DD68E7B" w14:textId="1BEBB91F" w:rsidR="00E4438C" w:rsidRPr="003C5719" w:rsidRDefault="00FC7AFF" w:rsidP="004A27A8">
      <w:pPr>
        <w:pStyle w:val="Heading3"/>
        <w:jc w:val="center"/>
      </w:pPr>
      <w:r w:rsidRPr="00FC7AFF">
        <w:t>Income Tax Assessment Amendment (Transfer Balance Account Value for Certain Superannuation Income Streams) Regulations 2024</w:t>
      </w:r>
      <w:r w:rsidR="00DD293F" w:rsidRPr="00DD293F">
        <w:t xml:space="preserve">   </w:t>
      </w:r>
    </w:p>
    <w:p w14:paraId="0B24E246"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210945E3" w14:textId="77777777" w:rsidR="00E4438C" w:rsidRPr="003C5719" w:rsidRDefault="00E4438C" w:rsidP="004A27A8">
      <w:pPr>
        <w:pStyle w:val="Heading3"/>
      </w:pPr>
      <w:r w:rsidRPr="003C5719">
        <w:t>Overview of the Legislative Instrument</w:t>
      </w:r>
    </w:p>
    <w:p w14:paraId="48D5F68D" w14:textId="77777777" w:rsidR="00AB3076" w:rsidRDefault="00AB3076" w:rsidP="00AB3076">
      <w:pPr>
        <w:spacing w:before="240"/>
      </w:pPr>
      <w:r w:rsidRPr="003C5719">
        <w:t xml:space="preserve">The purpose of the </w:t>
      </w:r>
      <w:r w:rsidRPr="00A92C2F">
        <w:rPr>
          <w:i/>
          <w:iCs/>
        </w:rPr>
        <w:t>Income Tax Assessment Amendment (Transfer Balance Account Value for Certain Superannuation Income Streams) Regulations 2024</w:t>
      </w:r>
      <w:r>
        <w:rPr>
          <w:i/>
        </w:rPr>
        <w:t xml:space="preserve"> </w:t>
      </w:r>
      <w:r>
        <w:rPr>
          <w:iCs/>
        </w:rPr>
        <w:t xml:space="preserve">(‘the Regulations’) </w:t>
      </w:r>
      <w:r w:rsidRPr="003C5719">
        <w:t>is to</w:t>
      </w:r>
      <w:r>
        <w:t xml:space="preserve"> prescribe rules for dealing with certain superannuation income streams for the purpose of the transfer balance account provisions in Division 294 of the Act. The Regulations prescribe a special value for transfer balance account reporting purposes and provide for a transfer balance debit to arise when these superannuation income streams </w:t>
      </w:r>
      <w:proofErr w:type="gramStart"/>
      <w:r>
        <w:t>cease</w:t>
      </w:r>
      <w:proofErr w:type="gramEnd"/>
      <w:r>
        <w:t xml:space="preserve"> and the cessation does not otherwise result in a transfer balance debit. </w:t>
      </w:r>
    </w:p>
    <w:p w14:paraId="53605A42" w14:textId="77777777" w:rsidR="00AB3076" w:rsidRDefault="00AB3076" w:rsidP="00AB3076">
      <w:pPr>
        <w:spacing w:before="240"/>
      </w:pPr>
      <w:r>
        <w:t xml:space="preserve">The regulations apply to certain non-lifetime permanent incapacity pensions that scheme trustees had not reported as a superannuation income stream because they did not meet relevant legislative criteria prior to the Government’s legislative response to the Federal Court decision in </w:t>
      </w:r>
      <w:r w:rsidRPr="00FC4823">
        <w:rPr>
          <w:i/>
          <w:iCs/>
        </w:rPr>
        <w:t>Commissioner of Taxation v Douglas</w:t>
      </w:r>
      <w:r w:rsidRPr="00A757F3">
        <w:t xml:space="preserve"> [2020] FCAFC 220 (the Douglas decision)</w:t>
      </w:r>
      <w:r>
        <w:t xml:space="preserve">. The regulations apply where the scheme trustee has not reported to the Commissioner for transfer balance cap purposes prior to the commencement of these regulations. These pensions have subsequently been prescribed as capped defined benefit income streams and are superannuation income streams </w:t>
      </w:r>
      <w:proofErr w:type="gramStart"/>
      <w:r>
        <w:t>as a result of</w:t>
      </w:r>
      <w:proofErr w:type="gramEnd"/>
      <w:r>
        <w:t xml:space="preserve"> the Government’s legislative response to the </w:t>
      </w:r>
      <w:r w:rsidRPr="00A757F3">
        <w:t>Douglas decision</w:t>
      </w:r>
      <w:r>
        <w:t xml:space="preserve">.  </w:t>
      </w:r>
    </w:p>
    <w:p w14:paraId="32738A6B" w14:textId="77777777" w:rsidR="00AB3076" w:rsidRDefault="00AB3076" w:rsidP="00AB3076">
      <w:pPr>
        <w:spacing w:before="240"/>
      </w:pPr>
      <w:r>
        <w:t xml:space="preserve">The Regulations provide that the special value for these superannuation income streams is worked out using one of two methodologies. The methodology is whichever gives the lesser amount of annual entitlement multiplied by 16, or annual entitlement multiplied by the term remaining if the income stream has a fixed term.  This approach will ensure that the special value for these superannuation income streams uses the method that is most advantageous to the member. </w:t>
      </w:r>
      <w:r w:rsidRPr="005B6089">
        <w:t>The special value of the superannuation income stream</w:t>
      </w:r>
      <w:r>
        <w:t xml:space="preserve"> is </w:t>
      </w:r>
      <w:r w:rsidRPr="005B6089">
        <w:t>calculated from the later of 1 July 2017 or the date that the superannuation income stream commenced.</w:t>
      </w:r>
    </w:p>
    <w:p w14:paraId="61C3180A" w14:textId="43B68274" w:rsidR="0044342C" w:rsidRDefault="0044342C" w:rsidP="0044342C">
      <w:pPr>
        <w:spacing w:before="240"/>
      </w:pPr>
      <w:r>
        <w:t>The regulations also provide for a transfer balance debit to be applied if one of these superannuation income streams ceases and the cessation does not otherwise result in a transfer balance debit. The value of the transfer balance debit will be equal to the value of the original transfer balance credit, less certain other transfer balance debits that have arisen prior to cessation. This change will address an unintended consequence of the government’s legislative response to the Douglas decision, which resulted in these non</w:t>
      </w:r>
      <w:r>
        <w:noBreakHyphen/>
        <w:t>lifetime permanent incapacity pensions having to be reported as superannuation income streams for transfer balance cap purposes. It will ensure that the</w:t>
      </w:r>
      <w:r w:rsidR="003818AD">
        <w:t xml:space="preserve"> </w:t>
      </w:r>
      <w:r w:rsidR="00900146">
        <w:t>person</w:t>
      </w:r>
      <w:r w:rsidR="003818AD">
        <w:t xml:space="preserve"> does </w:t>
      </w:r>
      <w:r>
        <w:t xml:space="preserve">not </w:t>
      </w:r>
      <w:r>
        <w:lastRenderedPageBreak/>
        <w:t xml:space="preserve">have their transfer balance cap space taken up by that pension if it </w:t>
      </w:r>
      <w:proofErr w:type="gramStart"/>
      <w:r>
        <w:t>ceases, and</w:t>
      </w:r>
      <w:proofErr w:type="gramEnd"/>
      <w:r w:rsidR="003818AD">
        <w:t xml:space="preserve"> is</w:t>
      </w:r>
      <w:r>
        <w:t xml:space="preserve"> not adversely affected when commencing a new retirement phase superannuation income stream. </w:t>
      </w:r>
    </w:p>
    <w:p w14:paraId="1591E8B1" w14:textId="0C1C8183" w:rsidR="00AB3076" w:rsidRDefault="00AB3076" w:rsidP="00AB3076">
      <w:pPr>
        <w:spacing w:before="240"/>
      </w:pPr>
      <w:r>
        <w:t xml:space="preserve"> </w:t>
      </w:r>
    </w:p>
    <w:p w14:paraId="7E1FF4B1" w14:textId="77777777" w:rsidR="00EB2BED" w:rsidRDefault="00E4438C" w:rsidP="004A27A8">
      <w:pPr>
        <w:pStyle w:val="Heading3"/>
      </w:pPr>
      <w:r w:rsidRPr="003C5719">
        <w:t>Human rights implications</w:t>
      </w:r>
      <w:r w:rsidR="006B520A">
        <w:t xml:space="preserve"> </w:t>
      </w:r>
    </w:p>
    <w:p w14:paraId="0171FEFD" w14:textId="6D1C4310" w:rsidR="00E4438C" w:rsidRPr="003C5719" w:rsidRDefault="00454E2D" w:rsidP="004A27A8">
      <w:pPr>
        <w:spacing w:before="240"/>
      </w:pPr>
      <w:r>
        <w:t>This Legislative Instrument does not engage any of the applicable rights or freedoms.</w:t>
      </w:r>
      <w:r w:rsidR="00F24736">
        <w:t xml:space="preserve"> </w:t>
      </w:r>
    </w:p>
    <w:p w14:paraId="0D4FEEB4" w14:textId="77777777" w:rsidR="00EB2BED" w:rsidRDefault="00E4438C" w:rsidP="004A27A8">
      <w:pPr>
        <w:pStyle w:val="Heading3"/>
      </w:pPr>
      <w:r w:rsidRPr="003C5719">
        <w:t>Conclusion</w:t>
      </w:r>
      <w:r w:rsidR="006D60D0">
        <w:t xml:space="preserve"> </w:t>
      </w:r>
    </w:p>
    <w:p w14:paraId="65D3AD98" w14:textId="2B0E5F90" w:rsidR="00E37FF7" w:rsidRPr="00C84FA0" w:rsidRDefault="00B91ECE" w:rsidP="004A27A8">
      <w:pPr>
        <w:spacing w:before="240"/>
      </w:pPr>
      <w:r>
        <w:t>This Legislative Instrument is compatible with human rights as it does not raise any human rights issues.</w:t>
      </w:r>
      <w:r w:rsidR="007A57BC">
        <w:t xml:space="preserve"> </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2759" w14:textId="77777777" w:rsidR="000D01DF" w:rsidRDefault="000D01DF" w:rsidP="00954679">
      <w:pPr>
        <w:spacing w:before="0" w:after="0"/>
      </w:pPr>
      <w:r>
        <w:separator/>
      </w:r>
    </w:p>
  </w:endnote>
  <w:endnote w:type="continuationSeparator" w:id="0">
    <w:p w14:paraId="724B24AE" w14:textId="77777777" w:rsidR="000D01DF" w:rsidRDefault="000D01DF" w:rsidP="00954679">
      <w:pPr>
        <w:spacing w:before="0" w:after="0"/>
      </w:pPr>
      <w:r>
        <w:continuationSeparator/>
      </w:r>
    </w:p>
  </w:endnote>
  <w:endnote w:type="continuationNotice" w:id="1">
    <w:p w14:paraId="5794409A" w14:textId="77777777" w:rsidR="000D01DF" w:rsidRDefault="000D01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C6BFCB9"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F28D" w14:textId="77777777" w:rsidR="000D01DF" w:rsidRDefault="000D01DF" w:rsidP="00954679">
      <w:pPr>
        <w:spacing w:before="0" w:after="0"/>
      </w:pPr>
      <w:r>
        <w:separator/>
      </w:r>
    </w:p>
  </w:footnote>
  <w:footnote w:type="continuationSeparator" w:id="0">
    <w:p w14:paraId="58B7965C" w14:textId="77777777" w:rsidR="000D01DF" w:rsidRDefault="000D01DF" w:rsidP="00954679">
      <w:pPr>
        <w:spacing w:before="0" w:after="0"/>
      </w:pPr>
      <w:r>
        <w:continuationSeparator/>
      </w:r>
    </w:p>
  </w:footnote>
  <w:footnote w:type="continuationNotice" w:id="1">
    <w:p w14:paraId="073FD1D4" w14:textId="77777777" w:rsidR="000D01DF" w:rsidRDefault="000D01D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2EEE0D42"/>
    <w:multiLevelType w:val="multilevel"/>
    <w:tmpl w:val="55589378"/>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 w15:restartNumberingAfterBreak="0">
    <w:nsid w:val="4E002E3A"/>
    <w:multiLevelType w:val="hybridMultilevel"/>
    <w:tmpl w:val="397A4E7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5C6441E3"/>
    <w:multiLevelType w:val="multilevel"/>
    <w:tmpl w:val="1992363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ind w:left="927" w:hanging="360"/>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7A43C0B"/>
    <w:multiLevelType w:val="multilevel"/>
    <w:tmpl w:val="34EA810A"/>
    <w:name w:val="StandardBulletedList"/>
    <w:lvl w:ilvl="0">
      <w:start w:val="1"/>
      <w:numFmt w:val="bullet"/>
      <w:pStyle w:val="Bullet"/>
      <w:lvlText w:val="•"/>
      <w:lvlJc w:val="left"/>
      <w:pPr>
        <w:tabs>
          <w:tab w:val="num" w:pos="1361"/>
        </w:tabs>
        <w:ind w:left="1361" w:hanging="567"/>
      </w:pPr>
      <w:rPr>
        <w:rFonts w:ascii="Times New Roman" w:hAnsi="Times New Roman" w:cs="Times New Roman"/>
      </w:rPr>
    </w:lvl>
    <w:lvl w:ilvl="1">
      <w:start w:val="1"/>
      <w:numFmt w:val="bullet"/>
      <w:pStyle w:val="Dash"/>
      <w:lvlText w:val="–"/>
      <w:lvlJc w:val="left"/>
      <w:pPr>
        <w:tabs>
          <w:tab w:val="num" w:pos="1928"/>
        </w:tabs>
        <w:ind w:left="1928" w:hanging="567"/>
      </w:pPr>
      <w:rPr>
        <w:rFonts w:ascii="Times New Roman" w:hAnsi="Times New Roman" w:cs="Times New Roman"/>
      </w:rPr>
    </w:lvl>
    <w:lvl w:ilvl="2">
      <w:start w:val="1"/>
      <w:numFmt w:val="bullet"/>
      <w:pStyle w:val="DoubleDot"/>
      <w:lvlText w:val=":"/>
      <w:lvlJc w:val="left"/>
      <w:pPr>
        <w:tabs>
          <w:tab w:val="num" w:pos="2495"/>
        </w:tabs>
        <w:ind w:left="2495" w:hanging="567"/>
      </w:pPr>
      <w:rPr>
        <w:rFonts w:ascii="Times New Roman" w:hAnsi="Times New Roman" w:cs="Times New Roman"/>
      </w:rPr>
    </w:lvl>
    <w:lvl w:ilvl="3">
      <w:start w:val="1"/>
      <w:numFmt w:val="decimal"/>
      <w:lvlText w:val="(%4)"/>
      <w:lvlJc w:val="left"/>
      <w:pPr>
        <w:ind w:left="2234" w:hanging="360"/>
      </w:pPr>
    </w:lvl>
    <w:lvl w:ilvl="4">
      <w:start w:val="1"/>
      <w:numFmt w:val="lowerLetter"/>
      <w:lvlText w:val="(%5)"/>
      <w:lvlJc w:val="left"/>
      <w:pPr>
        <w:ind w:left="2594" w:hanging="360"/>
      </w:pPr>
    </w:lvl>
    <w:lvl w:ilvl="5">
      <w:start w:val="1"/>
      <w:numFmt w:val="lowerRoman"/>
      <w:lvlText w:val="(%6)"/>
      <w:lvlJc w:val="left"/>
      <w:pPr>
        <w:ind w:left="2954" w:hanging="360"/>
      </w:pPr>
    </w:lvl>
    <w:lvl w:ilvl="6">
      <w:start w:val="1"/>
      <w:numFmt w:val="decimal"/>
      <w:lvlText w:val="%7."/>
      <w:lvlJc w:val="left"/>
      <w:pPr>
        <w:ind w:left="3314" w:hanging="360"/>
      </w:pPr>
    </w:lvl>
    <w:lvl w:ilvl="7">
      <w:start w:val="1"/>
      <w:numFmt w:val="lowerLetter"/>
      <w:lvlText w:val="%8."/>
      <w:lvlJc w:val="left"/>
      <w:pPr>
        <w:ind w:left="3674" w:hanging="360"/>
      </w:pPr>
    </w:lvl>
    <w:lvl w:ilvl="8">
      <w:start w:val="1"/>
      <w:numFmt w:val="lowerRoman"/>
      <w:lvlText w:val="%9."/>
      <w:lvlJc w:val="left"/>
      <w:pPr>
        <w:ind w:left="4034" w:hanging="360"/>
      </w:pPr>
    </w:lvl>
  </w:abstractNum>
  <w:num w:numId="1" w16cid:durableId="2142919768">
    <w:abstractNumId w:val="2"/>
  </w:num>
  <w:num w:numId="2" w16cid:durableId="92435628">
    <w:abstractNumId w:val="6"/>
  </w:num>
  <w:num w:numId="3" w16cid:durableId="102648425">
    <w:abstractNumId w:val="1"/>
  </w:num>
  <w:num w:numId="4" w16cid:durableId="1451314351">
    <w:abstractNumId w:val="0"/>
  </w:num>
  <w:num w:numId="5" w16cid:durableId="1455824937">
    <w:abstractNumId w:val="6"/>
  </w:num>
  <w:num w:numId="6" w16cid:durableId="2012178582">
    <w:abstractNumId w:val="6"/>
  </w:num>
  <w:num w:numId="7" w16cid:durableId="1173374635">
    <w:abstractNumId w:val="6"/>
  </w:num>
  <w:num w:numId="8" w16cid:durableId="1074162301">
    <w:abstractNumId w:val="6"/>
  </w:num>
  <w:num w:numId="9" w16cid:durableId="1206795025">
    <w:abstractNumId w:val="6"/>
  </w:num>
  <w:num w:numId="10" w16cid:durableId="474571849">
    <w:abstractNumId w:val="6"/>
  </w:num>
  <w:num w:numId="11" w16cid:durableId="890385033">
    <w:abstractNumId w:val="6"/>
  </w:num>
  <w:num w:numId="12" w16cid:durableId="392780191">
    <w:abstractNumId w:val="6"/>
  </w:num>
  <w:num w:numId="13" w16cid:durableId="1793669345">
    <w:abstractNumId w:val="6"/>
  </w:num>
  <w:num w:numId="14" w16cid:durableId="2085832638">
    <w:abstractNumId w:val="6"/>
  </w:num>
  <w:num w:numId="15" w16cid:durableId="724838217">
    <w:abstractNumId w:val="6"/>
  </w:num>
  <w:num w:numId="16" w16cid:durableId="951398036">
    <w:abstractNumId w:val="6"/>
  </w:num>
  <w:num w:numId="17" w16cid:durableId="1402681511">
    <w:abstractNumId w:val="5"/>
  </w:num>
  <w:num w:numId="18" w16cid:durableId="1092777729">
    <w:abstractNumId w:val="3"/>
  </w:num>
  <w:num w:numId="19" w16cid:durableId="1008866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22"/>
    <w:rsid w:val="00001FAA"/>
    <w:rsid w:val="000026BE"/>
    <w:rsid w:val="0000280D"/>
    <w:rsid w:val="00003189"/>
    <w:rsid w:val="00004394"/>
    <w:rsid w:val="0000517F"/>
    <w:rsid w:val="00005B51"/>
    <w:rsid w:val="000060B8"/>
    <w:rsid w:val="0000628C"/>
    <w:rsid w:val="0001128F"/>
    <w:rsid w:val="000113DD"/>
    <w:rsid w:val="00013390"/>
    <w:rsid w:val="00016EA2"/>
    <w:rsid w:val="00024DAB"/>
    <w:rsid w:val="0002546A"/>
    <w:rsid w:val="00026EE6"/>
    <w:rsid w:val="00031AE1"/>
    <w:rsid w:val="00031BB6"/>
    <w:rsid w:val="0003704F"/>
    <w:rsid w:val="00041C87"/>
    <w:rsid w:val="00042941"/>
    <w:rsid w:val="000455BA"/>
    <w:rsid w:val="00047707"/>
    <w:rsid w:val="00051648"/>
    <w:rsid w:val="000524A9"/>
    <w:rsid w:val="0005316A"/>
    <w:rsid w:val="000547DB"/>
    <w:rsid w:val="0006263D"/>
    <w:rsid w:val="00063FD1"/>
    <w:rsid w:val="00067BE5"/>
    <w:rsid w:val="000735A7"/>
    <w:rsid w:val="00075A77"/>
    <w:rsid w:val="00076178"/>
    <w:rsid w:val="000762D8"/>
    <w:rsid w:val="00076E15"/>
    <w:rsid w:val="00076FF9"/>
    <w:rsid w:val="0007733F"/>
    <w:rsid w:val="00080673"/>
    <w:rsid w:val="00084AEA"/>
    <w:rsid w:val="000854E0"/>
    <w:rsid w:val="000855EF"/>
    <w:rsid w:val="0008582A"/>
    <w:rsid w:val="0008741E"/>
    <w:rsid w:val="00091AFD"/>
    <w:rsid w:val="00095211"/>
    <w:rsid w:val="000965D5"/>
    <w:rsid w:val="00096A31"/>
    <w:rsid w:val="000A2C4E"/>
    <w:rsid w:val="000A69C5"/>
    <w:rsid w:val="000A6EA5"/>
    <w:rsid w:val="000A71F8"/>
    <w:rsid w:val="000A7958"/>
    <w:rsid w:val="000A7FF3"/>
    <w:rsid w:val="000B39A1"/>
    <w:rsid w:val="000C10DD"/>
    <w:rsid w:val="000C10DF"/>
    <w:rsid w:val="000C2E12"/>
    <w:rsid w:val="000C35BB"/>
    <w:rsid w:val="000C3ECC"/>
    <w:rsid w:val="000C4B61"/>
    <w:rsid w:val="000C5C40"/>
    <w:rsid w:val="000C6935"/>
    <w:rsid w:val="000C6FAD"/>
    <w:rsid w:val="000D01DF"/>
    <w:rsid w:val="000D0375"/>
    <w:rsid w:val="000D11E5"/>
    <w:rsid w:val="000D2234"/>
    <w:rsid w:val="000D4004"/>
    <w:rsid w:val="000D409A"/>
    <w:rsid w:val="000D5827"/>
    <w:rsid w:val="000D59B4"/>
    <w:rsid w:val="000E32E3"/>
    <w:rsid w:val="000E3C30"/>
    <w:rsid w:val="000E3F84"/>
    <w:rsid w:val="000E7A9C"/>
    <w:rsid w:val="000F1F12"/>
    <w:rsid w:val="000F20C8"/>
    <w:rsid w:val="000F2D57"/>
    <w:rsid w:val="000F3382"/>
    <w:rsid w:val="000F3A05"/>
    <w:rsid w:val="000F53D9"/>
    <w:rsid w:val="001012C2"/>
    <w:rsid w:val="00103208"/>
    <w:rsid w:val="001032B9"/>
    <w:rsid w:val="00107DA9"/>
    <w:rsid w:val="00113B45"/>
    <w:rsid w:val="00114003"/>
    <w:rsid w:val="0011445B"/>
    <w:rsid w:val="0011527C"/>
    <w:rsid w:val="00117C02"/>
    <w:rsid w:val="0012040D"/>
    <w:rsid w:val="00120526"/>
    <w:rsid w:val="00126C74"/>
    <w:rsid w:val="001276B4"/>
    <w:rsid w:val="00130907"/>
    <w:rsid w:val="001319C8"/>
    <w:rsid w:val="001331B7"/>
    <w:rsid w:val="00133D7A"/>
    <w:rsid w:val="001375F7"/>
    <w:rsid w:val="00140C03"/>
    <w:rsid w:val="00142372"/>
    <w:rsid w:val="00142BCF"/>
    <w:rsid w:val="0014608E"/>
    <w:rsid w:val="0015512C"/>
    <w:rsid w:val="00157288"/>
    <w:rsid w:val="00160787"/>
    <w:rsid w:val="00161E5D"/>
    <w:rsid w:val="00167E29"/>
    <w:rsid w:val="00172B5A"/>
    <w:rsid w:val="00174B2B"/>
    <w:rsid w:val="00182AC3"/>
    <w:rsid w:val="001845D7"/>
    <w:rsid w:val="001863C6"/>
    <w:rsid w:val="00186AB6"/>
    <w:rsid w:val="0018771D"/>
    <w:rsid w:val="00187857"/>
    <w:rsid w:val="001959FB"/>
    <w:rsid w:val="00195A29"/>
    <w:rsid w:val="001969A6"/>
    <w:rsid w:val="001A0358"/>
    <w:rsid w:val="001A2CE9"/>
    <w:rsid w:val="001B009B"/>
    <w:rsid w:val="001B0F29"/>
    <w:rsid w:val="001B4919"/>
    <w:rsid w:val="001B4BBD"/>
    <w:rsid w:val="001B69E0"/>
    <w:rsid w:val="001B7535"/>
    <w:rsid w:val="001B7EC2"/>
    <w:rsid w:val="001C0477"/>
    <w:rsid w:val="001C5A24"/>
    <w:rsid w:val="001D5248"/>
    <w:rsid w:val="001D6BFE"/>
    <w:rsid w:val="001E6A74"/>
    <w:rsid w:val="001F01E5"/>
    <w:rsid w:val="001F24CA"/>
    <w:rsid w:val="001F41D0"/>
    <w:rsid w:val="001F452A"/>
    <w:rsid w:val="001F462C"/>
    <w:rsid w:val="00202570"/>
    <w:rsid w:val="002033FB"/>
    <w:rsid w:val="00213157"/>
    <w:rsid w:val="00220F16"/>
    <w:rsid w:val="00221082"/>
    <w:rsid w:val="00231837"/>
    <w:rsid w:val="00234941"/>
    <w:rsid w:val="002349A0"/>
    <w:rsid w:val="00234B68"/>
    <w:rsid w:val="002359B7"/>
    <w:rsid w:val="00235FB8"/>
    <w:rsid w:val="00240D31"/>
    <w:rsid w:val="0024245F"/>
    <w:rsid w:val="002438DC"/>
    <w:rsid w:val="00244501"/>
    <w:rsid w:val="00246035"/>
    <w:rsid w:val="00247BCF"/>
    <w:rsid w:val="00254C5B"/>
    <w:rsid w:val="002574B3"/>
    <w:rsid w:val="002606D8"/>
    <w:rsid w:val="00261541"/>
    <w:rsid w:val="00266CCC"/>
    <w:rsid w:val="00267F38"/>
    <w:rsid w:val="0027118E"/>
    <w:rsid w:val="00272353"/>
    <w:rsid w:val="002725F4"/>
    <w:rsid w:val="00274005"/>
    <w:rsid w:val="00274F8B"/>
    <w:rsid w:val="00276DB7"/>
    <w:rsid w:val="002771E5"/>
    <w:rsid w:val="00277840"/>
    <w:rsid w:val="00280524"/>
    <w:rsid w:val="002855F4"/>
    <w:rsid w:val="00287967"/>
    <w:rsid w:val="00287C5A"/>
    <w:rsid w:val="00291FAA"/>
    <w:rsid w:val="00293609"/>
    <w:rsid w:val="00293839"/>
    <w:rsid w:val="00295806"/>
    <w:rsid w:val="002962A6"/>
    <w:rsid w:val="002A1236"/>
    <w:rsid w:val="002A2F08"/>
    <w:rsid w:val="002A3859"/>
    <w:rsid w:val="002A3C80"/>
    <w:rsid w:val="002A6DA4"/>
    <w:rsid w:val="002A7B74"/>
    <w:rsid w:val="002A7E1F"/>
    <w:rsid w:val="002B68CB"/>
    <w:rsid w:val="002B76FB"/>
    <w:rsid w:val="002B7B2A"/>
    <w:rsid w:val="002C0792"/>
    <w:rsid w:val="002C0A5A"/>
    <w:rsid w:val="002C226C"/>
    <w:rsid w:val="002C3EE2"/>
    <w:rsid w:val="002C7A8B"/>
    <w:rsid w:val="002D0D61"/>
    <w:rsid w:val="002D4B55"/>
    <w:rsid w:val="002D7546"/>
    <w:rsid w:val="002E17B9"/>
    <w:rsid w:val="002E1EBE"/>
    <w:rsid w:val="002E67CE"/>
    <w:rsid w:val="002E73BB"/>
    <w:rsid w:val="002F022D"/>
    <w:rsid w:val="002F10D5"/>
    <w:rsid w:val="002F1B17"/>
    <w:rsid w:val="002F6BB1"/>
    <w:rsid w:val="003037BE"/>
    <w:rsid w:val="003037F8"/>
    <w:rsid w:val="003041FA"/>
    <w:rsid w:val="003067F5"/>
    <w:rsid w:val="0031122A"/>
    <w:rsid w:val="00312659"/>
    <w:rsid w:val="00312A68"/>
    <w:rsid w:val="00325021"/>
    <w:rsid w:val="00331B47"/>
    <w:rsid w:val="003342CD"/>
    <w:rsid w:val="0033477F"/>
    <w:rsid w:val="00335042"/>
    <w:rsid w:val="00335317"/>
    <w:rsid w:val="00341197"/>
    <w:rsid w:val="00341642"/>
    <w:rsid w:val="003470A0"/>
    <w:rsid w:val="00351F72"/>
    <w:rsid w:val="00353D83"/>
    <w:rsid w:val="00355872"/>
    <w:rsid w:val="00355979"/>
    <w:rsid w:val="00355CC5"/>
    <w:rsid w:val="00357733"/>
    <w:rsid w:val="00360C0A"/>
    <w:rsid w:val="003624BF"/>
    <w:rsid w:val="00362B70"/>
    <w:rsid w:val="00363BAD"/>
    <w:rsid w:val="00364DEE"/>
    <w:rsid w:val="00370395"/>
    <w:rsid w:val="00371512"/>
    <w:rsid w:val="0037180D"/>
    <w:rsid w:val="00372F88"/>
    <w:rsid w:val="00373853"/>
    <w:rsid w:val="00377A97"/>
    <w:rsid w:val="00381627"/>
    <w:rsid w:val="003818AD"/>
    <w:rsid w:val="0038476B"/>
    <w:rsid w:val="00385A57"/>
    <w:rsid w:val="00392BBA"/>
    <w:rsid w:val="00392C0C"/>
    <w:rsid w:val="00393BBB"/>
    <w:rsid w:val="0039420E"/>
    <w:rsid w:val="003954FD"/>
    <w:rsid w:val="00397D22"/>
    <w:rsid w:val="003A16C8"/>
    <w:rsid w:val="003A1A3E"/>
    <w:rsid w:val="003A20D9"/>
    <w:rsid w:val="003A291D"/>
    <w:rsid w:val="003A2D10"/>
    <w:rsid w:val="003A736A"/>
    <w:rsid w:val="003A7561"/>
    <w:rsid w:val="003B19DD"/>
    <w:rsid w:val="003B31F4"/>
    <w:rsid w:val="003B375C"/>
    <w:rsid w:val="003B4356"/>
    <w:rsid w:val="003C11EA"/>
    <w:rsid w:val="003C27B1"/>
    <w:rsid w:val="003C445C"/>
    <w:rsid w:val="003C5719"/>
    <w:rsid w:val="003C575C"/>
    <w:rsid w:val="003C5D79"/>
    <w:rsid w:val="003C6E75"/>
    <w:rsid w:val="003C7907"/>
    <w:rsid w:val="003C7B82"/>
    <w:rsid w:val="003D0B99"/>
    <w:rsid w:val="003D2983"/>
    <w:rsid w:val="003D392B"/>
    <w:rsid w:val="003D3B75"/>
    <w:rsid w:val="003D506B"/>
    <w:rsid w:val="003D60D7"/>
    <w:rsid w:val="003E0411"/>
    <w:rsid w:val="003E1C8F"/>
    <w:rsid w:val="003E1CE3"/>
    <w:rsid w:val="003E2332"/>
    <w:rsid w:val="003E581B"/>
    <w:rsid w:val="003E6364"/>
    <w:rsid w:val="003E77BC"/>
    <w:rsid w:val="003E780A"/>
    <w:rsid w:val="003F0331"/>
    <w:rsid w:val="003F17A4"/>
    <w:rsid w:val="003F2482"/>
    <w:rsid w:val="003F3B86"/>
    <w:rsid w:val="004000AE"/>
    <w:rsid w:val="004002DC"/>
    <w:rsid w:val="00401A68"/>
    <w:rsid w:val="004049A9"/>
    <w:rsid w:val="0040530C"/>
    <w:rsid w:val="00412BB6"/>
    <w:rsid w:val="004166BE"/>
    <w:rsid w:val="00421FFB"/>
    <w:rsid w:val="004309DD"/>
    <w:rsid w:val="00433C58"/>
    <w:rsid w:val="0043408D"/>
    <w:rsid w:val="004365B0"/>
    <w:rsid w:val="00436952"/>
    <w:rsid w:val="00436E23"/>
    <w:rsid w:val="0043773D"/>
    <w:rsid w:val="0044342C"/>
    <w:rsid w:val="004435C3"/>
    <w:rsid w:val="00447247"/>
    <w:rsid w:val="004526A6"/>
    <w:rsid w:val="004536E6"/>
    <w:rsid w:val="00454E2D"/>
    <w:rsid w:val="0045632D"/>
    <w:rsid w:val="004577E7"/>
    <w:rsid w:val="00460001"/>
    <w:rsid w:val="00462095"/>
    <w:rsid w:val="00464356"/>
    <w:rsid w:val="00466731"/>
    <w:rsid w:val="00466DD5"/>
    <w:rsid w:val="00467E83"/>
    <w:rsid w:val="0047265F"/>
    <w:rsid w:val="00472A5C"/>
    <w:rsid w:val="00473B71"/>
    <w:rsid w:val="0047557D"/>
    <w:rsid w:val="004755FE"/>
    <w:rsid w:val="00475E1B"/>
    <w:rsid w:val="004767A6"/>
    <w:rsid w:val="004804D2"/>
    <w:rsid w:val="00482589"/>
    <w:rsid w:val="00482B81"/>
    <w:rsid w:val="00482D4C"/>
    <w:rsid w:val="00483475"/>
    <w:rsid w:val="004838E4"/>
    <w:rsid w:val="0048463A"/>
    <w:rsid w:val="00492BF6"/>
    <w:rsid w:val="00492F12"/>
    <w:rsid w:val="00497036"/>
    <w:rsid w:val="00497AC1"/>
    <w:rsid w:val="004A0340"/>
    <w:rsid w:val="004A10CE"/>
    <w:rsid w:val="004A136D"/>
    <w:rsid w:val="004A1638"/>
    <w:rsid w:val="004A1702"/>
    <w:rsid w:val="004A1FE3"/>
    <w:rsid w:val="004A27A8"/>
    <w:rsid w:val="004A3018"/>
    <w:rsid w:val="004A3CF4"/>
    <w:rsid w:val="004A3D4C"/>
    <w:rsid w:val="004A4499"/>
    <w:rsid w:val="004A453E"/>
    <w:rsid w:val="004A46EA"/>
    <w:rsid w:val="004B0853"/>
    <w:rsid w:val="004B2E22"/>
    <w:rsid w:val="004B3C0F"/>
    <w:rsid w:val="004B468C"/>
    <w:rsid w:val="004B4A3C"/>
    <w:rsid w:val="004B580F"/>
    <w:rsid w:val="004B6339"/>
    <w:rsid w:val="004C05E4"/>
    <w:rsid w:val="004C1C86"/>
    <w:rsid w:val="004C28DF"/>
    <w:rsid w:val="004C474E"/>
    <w:rsid w:val="004C4BF6"/>
    <w:rsid w:val="004D14C9"/>
    <w:rsid w:val="004D4A30"/>
    <w:rsid w:val="004D4AE5"/>
    <w:rsid w:val="004E19B7"/>
    <w:rsid w:val="004E2EE7"/>
    <w:rsid w:val="004E3590"/>
    <w:rsid w:val="004E39E1"/>
    <w:rsid w:val="004E5CE2"/>
    <w:rsid w:val="004F00BA"/>
    <w:rsid w:val="004F011F"/>
    <w:rsid w:val="004F03F4"/>
    <w:rsid w:val="004F4C00"/>
    <w:rsid w:val="004F56D0"/>
    <w:rsid w:val="005008CE"/>
    <w:rsid w:val="00501502"/>
    <w:rsid w:val="0050235E"/>
    <w:rsid w:val="00502910"/>
    <w:rsid w:val="00503A99"/>
    <w:rsid w:val="00503E44"/>
    <w:rsid w:val="005048EB"/>
    <w:rsid w:val="00506514"/>
    <w:rsid w:val="0050777E"/>
    <w:rsid w:val="00513FE8"/>
    <w:rsid w:val="0051429B"/>
    <w:rsid w:val="00515283"/>
    <w:rsid w:val="00516B11"/>
    <w:rsid w:val="005227CE"/>
    <w:rsid w:val="00522D0D"/>
    <w:rsid w:val="005231C5"/>
    <w:rsid w:val="00526AAB"/>
    <w:rsid w:val="00530BF4"/>
    <w:rsid w:val="00533662"/>
    <w:rsid w:val="00533926"/>
    <w:rsid w:val="00537FB7"/>
    <w:rsid w:val="005411D1"/>
    <w:rsid w:val="00542873"/>
    <w:rsid w:val="0054445F"/>
    <w:rsid w:val="00545579"/>
    <w:rsid w:val="0055025D"/>
    <w:rsid w:val="00555A76"/>
    <w:rsid w:val="0055675D"/>
    <w:rsid w:val="005573C4"/>
    <w:rsid w:val="00560C7B"/>
    <w:rsid w:val="00561056"/>
    <w:rsid w:val="00562C1F"/>
    <w:rsid w:val="00562D17"/>
    <w:rsid w:val="00564BB2"/>
    <w:rsid w:val="00566E8F"/>
    <w:rsid w:val="0056716B"/>
    <w:rsid w:val="005709DE"/>
    <w:rsid w:val="005720DD"/>
    <w:rsid w:val="005726BA"/>
    <w:rsid w:val="00573FFC"/>
    <w:rsid w:val="0057422E"/>
    <w:rsid w:val="00574BA0"/>
    <w:rsid w:val="005753E1"/>
    <w:rsid w:val="00577683"/>
    <w:rsid w:val="005779EE"/>
    <w:rsid w:val="00582DE5"/>
    <w:rsid w:val="005833BE"/>
    <w:rsid w:val="00585328"/>
    <w:rsid w:val="005858FB"/>
    <w:rsid w:val="005864AB"/>
    <w:rsid w:val="00586905"/>
    <w:rsid w:val="00587F62"/>
    <w:rsid w:val="005910C4"/>
    <w:rsid w:val="0059302A"/>
    <w:rsid w:val="005977C4"/>
    <w:rsid w:val="005A2572"/>
    <w:rsid w:val="005A2792"/>
    <w:rsid w:val="005A2D10"/>
    <w:rsid w:val="005A35E1"/>
    <w:rsid w:val="005A7242"/>
    <w:rsid w:val="005B16F0"/>
    <w:rsid w:val="005B3AF1"/>
    <w:rsid w:val="005B6089"/>
    <w:rsid w:val="005C032C"/>
    <w:rsid w:val="005C1CDC"/>
    <w:rsid w:val="005C73D6"/>
    <w:rsid w:val="005C7A30"/>
    <w:rsid w:val="005D2168"/>
    <w:rsid w:val="005D455F"/>
    <w:rsid w:val="005D7D5A"/>
    <w:rsid w:val="005D7E35"/>
    <w:rsid w:val="005E2CD4"/>
    <w:rsid w:val="005E3A11"/>
    <w:rsid w:val="005E4792"/>
    <w:rsid w:val="005E4BAC"/>
    <w:rsid w:val="005E580A"/>
    <w:rsid w:val="005F0ABE"/>
    <w:rsid w:val="005F0DDC"/>
    <w:rsid w:val="005F15EC"/>
    <w:rsid w:val="005F1BC2"/>
    <w:rsid w:val="005F2762"/>
    <w:rsid w:val="005F693F"/>
    <w:rsid w:val="0060130D"/>
    <w:rsid w:val="0060602F"/>
    <w:rsid w:val="00606671"/>
    <w:rsid w:val="006068EB"/>
    <w:rsid w:val="006100E5"/>
    <w:rsid w:val="00611ABB"/>
    <w:rsid w:val="00612216"/>
    <w:rsid w:val="00612329"/>
    <w:rsid w:val="006137A6"/>
    <w:rsid w:val="00613B16"/>
    <w:rsid w:val="00615574"/>
    <w:rsid w:val="0061724C"/>
    <w:rsid w:val="00621CC6"/>
    <w:rsid w:val="00621E0C"/>
    <w:rsid w:val="006234D5"/>
    <w:rsid w:val="00623F9C"/>
    <w:rsid w:val="006243C6"/>
    <w:rsid w:val="00624776"/>
    <w:rsid w:val="00626A04"/>
    <w:rsid w:val="0062715D"/>
    <w:rsid w:val="00630893"/>
    <w:rsid w:val="00632276"/>
    <w:rsid w:val="006333E4"/>
    <w:rsid w:val="00633E35"/>
    <w:rsid w:val="0063563B"/>
    <w:rsid w:val="00637A33"/>
    <w:rsid w:val="00640D3C"/>
    <w:rsid w:val="0064129F"/>
    <w:rsid w:val="0064309D"/>
    <w:rsid w:val="00643D72"/>
    <w:rsid w:val="00644A9C"/>
    <w:rsid w:val="00647BB7"/>
    <w:rsid w:val="0065212D"/>
    <w:rsid w:val="00654CA8"/>
    <w:rsid w:val="00660F56"/>
    <w:rsid w:val="0066162D"/>
    <w:rsid w:val="00663765"/>
    <w:rsid w:val="006638A7"/>
    <w:rsid w:val="006711DF"/>
    <w:rsid w:val="0067688E"/>
    <w:rsid w:val="00677624"/>
    <w:rsid w:val="00680297"/>
    <w:rsid w:val="0068037F"/>
    <w:rsid w:val="0068046D"/>
    <w:rsid w:val="00680871"/>
    <w:rsid w:val="00682F64"/>
    <w:rsid w:val="00683956"/>
    <w:rsid w:val="00683967"/>
    <w:rsid w:val="00686995"/>
    <w:rsid w:val="006873CE"/>
    <w:rsid w:val="0069205F"/>
    <w:rsid w:val="006A0786"/>
    <w:rsid w:val="006A11D6"/>
    <w:rsid w:val="006A5102"/>
    <w:rsid w:val="006A5F41"/>
    <w:rsid w:val="006B0E48"/>
    <w:rsid w:val="006B4AD1"/>
    <w:rsid w:val="006B520A"/>
    <w:rsid w:val="006B523A"/>
    <w:rsid w:val="006B65DC"/>
    <w:rsid w:val="006C170A"/>
    <w:rsid w:val="006C43F4"/>
    <w:rsid w:val="006D10EC"/>
    <w:rsid w:val="006D478B"/>
    <w:rsid w:val="006D4DAA"/>
    <w:rsid w:val="006D4F97"/>
    <w:rsid w:val="006D60D0"/>
    <w:rsid w:val="006D672B"/>
    <w:rsid w:val="006E04DB"/>
    <w:rsid w:val="006E0852"/>
    <w:rsid w:val="006E0CBA"/>
    <w:rsid w:val="006E3AB4"/>
    <w:rsid w:val="006E60BC"/>
    <w:rsid w:val="006E6321"/>
    <w:rsid w:val="006F06C1"/>
    <w:rsid w:val="006F21FD"/>
    <w:rsid w:val="006F2B26"/>
    <w:rsid w:val="006F3CB9"/>
    <w:rsid w:val="006F683C"/>
    <w:rsid w:val="006F6C2A"/>
    <w:rsid w:val="006F74AB"/>
    <w:rsid w:val="006F781D"/>
    <w:rsid w:val="0070169C"/>
    <w:rsid w:val="0070171E"/>
    <w:rsid w:val="00701F57"/>
    <w:rsid w:val="007025D7"/>
    <w:rsid w:val="00704CCA"/>
    <w:rsid w:val="00705171"/>
    <w:rsid w:val="007053B0"/>
    <w:rsid w:val="00710E94"/>
    <w:rsid w:val="00711019"/>
    <w:rsid w:val="00715CBF"/>
    <w:rsid w:val="00717ABF"/>
    <w:rsid w:val="00720EFB"/>
    <w:rsid w:val="00727D8A"/>
    <w:rsid w:val="00730DA8"/>
    <w:rsid w:val="00731FEA"/>
    <w:rsid w:val="007323F4"/>
    <w:rsid w:val="00734F02"/>
    <w:rsid w:val="00735921"/>
    <w:rsid w:val="0073599B"/>
    <w:rsid w:val="00736F61"/>
    <w:rsid w:val="0074094C"/>
    <w:rsid w:val="0074185E"/>
    <w:rsid w:val="00742253"/>
    <w:rsid w:val="007436F0"/>
    <w:rsid w:val="0074422A"/>
    <w:rsid w:val="00745BAA"/>
    <w:rsid w:val="007464A4"/>
    <w:rsid w:val="0074728E"/>
    <w:rsid w:val="00757B95"/>
    <w:rsid w:val="007616D5"/>
    <w:rsid w:val="007630A2"/>
    <w:rsid w:val="007662C7"/>
    <w:rsid w:val="00772FAF"/>
    <w:rsid w:val="00773E88"/>
    <w:rsid w:val="0077543C"/>
    <w:rsid w:val="00776306"/>
    <w:rsid w:val="0078008C"/>
    <w:rsid w:val="0078110F"/>
    <w:rsid w:val="007816E2"/>
    <w:rsid w:val="00781888"/>
    <w:rsid w:val="0078401F"/>
    <w:rsid w:val="00790803"/>
    <w:rsid w:val="007934EC"/>
    <w:rsid w:val="007A1887"/>
    <w:rsid w:val="007A3240"/>
    <w:rsid w:val="007A33F8"/>
    <w:rsid w:val="007A55A7"/>
    <w:rsid w:val="007A5648"/>
    <w:rsid w:val="007A57BC"/>
    <w:rsid w:val="007B1F10"/>
    <w:rsid w:val="007B2143"/>
    <w:rsid w:val="007B335E"/>
    <w:rsid w:val="007B36E0"/>
    <w:rsid w:val="007B4A9D"/>
    <w:rsid w:val="007C137D"/>
    <w:rsid w:val="007C580E"/>
    <w:rsid w:val="007C7686"/>
    <w:rsid w:val="007C7D64"/>
    <w:rsid w:val="007D2D47"/>
    <w:rsid w:val="007D50F1"/>
    <w:rsid w:val="007D6771"/>
    <w:rsid w:val="007D715E"/>
    <w:rsid w:val="007E018D"/>
    <w:rsid w:val="007E04AE"/>
    <w:rsid w:val="007E1D57"/>
    <w:rsid w:val="007E6A45"/>
    <w:rsid w:val="007F1B71"/>
    <w:rsid w:val="007F480A"/>
    <w:rsid w:val="0080291E"/>
    <w:rsid w:val="0080320B"/>
    <w:rsid w:val="0080412C"/>
    <w:rsid w:val="00805A5B"/>
    <w:rsid w:val="00806628"/>
    <w:rsid w:val="00807E7D"/>
    <w:rsid w:val="008145BA"/>
    <w:rsid w:val="00817DD0"/>
    <w:rsid w:val="008249BE"/>
    <w:rsid w:val="00824BA9"/>
    <w:rsid w:val="00827191"/>
    <w:rsid w:val="00830801"/>
    <w:rsid w:val="00831675"/>
    <w:rsid w:val="00833654"/>
    <w:rsid w:val="0083647A"/>
    <w:rsid w:val="008374E5"/>
    <w:rsid w:val="008404AD"/>
    <w:rsid w:val="00841B04"/>
    <w:rsid w:val="00844849"/>
    <w:rsid w:val="00845A80"/>
    <w:rsid w:val="00851B72"/>
    <w:rsid w:val="008525FB"/>
    <w:rsid w:val="008543F4"/>
    <w:rsid w:val="008552D6"/>
    <w:rsid w:val="00855DA3"/>
    <w:rsid w:val="008605AE"/>
    <w:rsid w:val="00860BB5"/>
    <w:rsid w:val="00862443"/>
    <w:rsid w:val="00863F7C"/>
    <w:rsid w:val="00864364"/>
    <w:rsid w:val="00865E0A"/>
    <w:rsid w:val="0086609E"/>
    <w:rsid w:val="00866D53"/>
    <w:rsid w:val="00877071"/>
    <w:rsid w:val="008779B4"/>
    <w:rsid w:val="00877A2F"/>
    <w:rsid w:val="00877D65"/>
    <w:rsid w:val="0088138D"/>
    <w:rsid w:val="00883863"/>
    <w:rsid w:val="0088467C"/>
    <w:rsid w:val="00884A7D"/>
    <w:rsid w:val="008853B9"/>
    <w:rsid w:val="00885A69"/>
    <w:rsid w:val="00885AA3"/>
    <w:rsid w:val="008876BA"/>
    <w:rsid w:val="00891F21"/>
    <w:rsid w:val="00892D3B"/>
    <w:rsid w:val="00893633"/>
    <w:rsid w:val="00893651"/>
    <w:rsid w:val="00894579"/>
    <w:rsid w:val="00895B1C"/>
    <w:rsid w:val="008A0DC9"/>
    <w:rsid w:val="008A2BDB"/>
    <w:rsid w:val="008A31E5"/>
    <w:rsid w:val="008A3BD1"/>
    <w:rsid w:val="008A5B67"/>
    <w:rsid w:val="008A5CCD"/>
    <w:rsid w:val="008A6A6D"/>
    <w:rsid w:val="008B0BF1"/>
    <w:rsid w:val="008B29E7"/>
    <w:rsid w:val="008B2C4E"/>
    <w:rsid w:val="008B33DF"/>
    <w:rsid w:val="008B5C0B"/>
    <w:rsid w:val="008B6B8B"/>
    <w:rsid w:val="008C2216"/>
    <w:rsid w:val="008C5E60"/>
    <w:rsid w:val="008D07E2"/>
    <w:rsid w:val="008D16F7"/>
    <w:rsid w:val="008D175F"/>
    <w:rsid w:val="008D40FA"/>
    <w:rsid w:val="008D41DF"/>
    <w:rsid w:val="008D4835"/>
    <w:rsid w:val="008E1427"/>
    <w:rsid w:val="008E2521"/>
    <w:rsid w:val="008E2756"/>
    <w:rsid w:val="008E5256"/>
    <w:rsid w:val="008E52C7"/>
    <w:rsid w:val="008E5A1D"/>
    <w:rsid w:val="008E5C19"/>
    <w:rsid w:val="008E5C6D"/>
    <w:rsid w:val="008E6F1D"/>
    <w:rsid w:val="008F0C50"/>
    <w:rsid w:val="008F2529"/>
    <w:rsid w:val="008F35A0"/>
    <w:rsid w:val="008F778A"/>
    <w:rsid w:val="00900146"/>
    <w:rsid w:val="00902ED6"/>
    <w:rsid w:val="0090320B"/>
    <w:rsid w:val="0090442C"/>
    <w:rsid w:val="00904FA6"/>
    <w:rsid w:val="00906037"/>
    <w:rsid w:val="009103F9"/>
    <w:rsid w:val="009111B9"/>
    <w:rsid w:val="0091133A"/>
    <w:rsid w:val="0091280A"/>
    <w:rsid w:val="009143A0"/>
    <w:rsid w:val="00921B5A"/>
    <w:rsid w:val="00922379"/>
    <w:rsid w:val="00925124"/>
    <w:rsid w:val="00925635"/>
    <w:rsid w:val="00927752"/>
    <w:rsid w:val="00927C59"/>
    <w:rsid w:val="00931881"/>
    <w:rsid w:val="00933835"/>
    <w:rsid w:val="0093421F"/>
    <w:rsid w:val="009342EF"/>
    <w:rsid w:val="00934F05"/>
    <w:rsid w:val="00936902"/>
    <w:rsid w:val="00942170"/>
    <w:rsid w:val="0094486D"/>
    <w:rsid w:val="009468DD"/>
    <w:rsid w:val="00950E58"/>
    <w:rsid w:val="00951B00"/>
    <w:rsid w:val="00952DF0"/>
    <w:rsid w:val="00954679"/>
    <w:rsid w:val="009552FE"/>
    <w:rsid w:val="00955673"/>
    <w:rsid w:val="009562E9"/>
    <w:rsid w:val="00960552"/>
    <w:rsid w:val="009655DA"/>
    <w:rsid w:val="00965BBC"/>
    <w:rsid w:val="009673D0"/>
    <w:rsid w:val="00970D9B"/>
    <w:rsid w:val="00972823"/>
    <w:rsid w:val="009747DC"/>
    <w:rsid w:val="00974996"/>
    <w:rsid w:val="00975474"/>
    <w:rsid w:val="0097698B"/>
    <w:rsid w:val="0098633D"/>
    <w:rsid w:val="0098737D"/>
    <w:rsid w:val="0098743A"/>
    <w:rsid w:val="00990BE6"/>
    <w:rsid w:val="00990ED9"/>
    <w:rsid w:val="009929D3"/>
    <w:rsid w:val="009943DC"/>
    <w:rsid w:val="009953FB"/>
    <w:rsid w:val="00997852"/>
    <w:rsid w:val="00997C20"/>
    <w:rsid w:val="009A155B"/>
    <w:rsid w:val="009A2167"/>
    <w:rsid w:val="009A49F0"/>
    <w:rsid w:val="009A5307"/>
    <w:rsid w:val="009B0F1D"/>
    <w:rsid w:val="009B7A38"/>
    <w:rsid w:val="009C0051"/>
    <w:rsid w:val="009C6A1E"/>
    <w:rsid w:val="009C79BF"/>
    <w:rsid w:val="009D2F0C"/>
    <w:rsid w:val="009D477C"/>
    <w:rsid w:val="009D4E04"/>
    <w:rsid w:val="009D5719"/>
    <w:rsid w:val="009D6E39"/>
    <w:rsid w:val="009E03C4"/>
    <w:rsid w:val="009E27A5"/>
    <w:rsid w:val="009E2F86"/>
    <w:rsid w:val="009E3EF4"/>
    <w:rsid w:val="009E66BD"/>
    <w:rsid w:val="009F2FA6"/>
    <w:rsid w:val="009F796B"/>
    <w:rsid w:val="00A04A2C"/>
    <w:rsid w:val="00A12209"/>
    <w:rsid w:val="00A1224B"/>
    <w:rsid w:val="00A153FB"/>
    <w:rsid w:val="00A22428"/>
    <w:rsid w:val="00A23153"/>
    <w:rsid w:val="00A30CD3"/>
    <w:rsid w:val="00A31484"/>
    <w:rsid w:val="00A31681"/>
    <w:rsid w:val="00A32784"/>
    <w:rsid w:val="00A34CA4"/>
    <w:rsid w:val="00A36DF3"/>
    <w:rsid w:val="00A407BA"/>
    <w:rsid w:val="00A43B67"/>
    <w:rsid w:val="00A4441D"/>
    <w:rsid w:val="00A469D2"/>
    <w:rsid w:val="00A5005A"/>
    <w:rsid w:val="00A532DD"/>
    <w:rsid w:val="00A53860"/>
    <w:rsid w:val="00A5522E"/>
    <w:rsid w:val="00A56A00"/>
    <w:rsid w:val="00A61259"/>
    <w:rsid w:val="00A649B6"/>
    <w:rsid w:val="00A661F7"/>
    <w:rsid w:val="00A72203"/>
    <w:rsid w:val="00A74B90"/>
    <w:rsid w:val="00A760F0"/>
    <w:rsid w:val="00A80BCF"/>
    <w:rsid w:val="00A81BD4"/>
    <w:rsid w:val="00A825D1"/>
    <w:rsid w:val="00A8369C"/>
    <w:rsid w:val="00A8616C"/>
    <w:rsid w:val="00A86539"/>
    <w:rsid w:val="00A86579"/>
    <w:rsid w:val="00A86E34"/>
    <w:rsid w:val="00A90212"/>
    <w:rsid w:val="00A90CC4"/>
    <w:rsid w:val="00A92C2F"/>
    <w:rsid w:val="00A9401D"/>
    <w:rsid w:val="00A957A1"/>
    <w:rsid w:val="00A973EE"/>
    <w:rsid w:val="00AA1689"/>
    <w:rsid w:val="00AA2B64"/>
    <w:rsid w:val="00AA496F"/>
    <w:rsid w:val="00AA5770"/>
    <w:rsid w:val="00AA64F9"/>
    <w:rsid w:val="00AA70DB"/>
    <w:rsid w:val="00AB2E70"/>
    <w:rsid w:val="00AB3076"/>
    <w:rsid w:val="00AB33C1"/>
    <w:rsid w:val="00AB3E03"/>
    <w:rsid w:val="00AB65BB"/>
    <w:rsid w:val="00AC1D15"/>
    <w:rsid w:val="00AC25F8"/>
    <w:rsid w:val="00AC56FF"/>
    <w:rsid w:val="00AD1521"/>
    <w:rsid w:val="00AD44C6"/>
    <w:rsid w:val="00AD52A5"/>
    <w:rsid w:val="00AD7EFE"/>
    <w:rsid w:val="00AE0188"/>
    <w:rsid w:val="00AE460D"/>
    <w:rsid w:val="00AE607C"/>
    <w:rsid w:val="00AE7F82"/>
    <w:rsid w:val="00AF2693"/>
    <w:rsid w:val="00AF2878"/>
    <w:rsid w:val="00AF321A"/>
    <w:rsid w:val="00AF4AD9"/>
    <w:rsid w:val="00AF7AEF"/>
    <w:rsid w:val="00B00838"/>
    <w:rsid w:val="00B00EBB"/>
    <w:rsid w:val="00B021C1"/>
    <w:rsid w:val="00B07B0C"/>
    <w:rsid w:val="00B120F9"/>
    <w:rsid w:val="00B153F1"/>
    <w:rsid w:val="00B20AB1"/>
    <w:rsid w:val="00B23CDB"/>
    <w:rsid w:val="00B25563"/>
    <w:rsid w:val="00B26D48"/>
    <w:rsid w:val="00B274FC"/>
    <w:rsid w:val="00B2789F"/>
    <w:rsid w:val="00B27AA4"/>
    <w:rsid w:val="00B30CD5"/>
    <w:rsid w:val="00B3421A"/>
    <w:rsid w:val="00B35A50"/>
    <w:rsid w:val="00B40949"/>
    <w:rsid w:val="00B40D80"/>
    <w:rsid w:val="00B41F7B"/>
    <w:rsid w:val="00B420CB"/>
    <w:rsid w:val="00B42EE1"/>
    <w:rsid w:val="00B43FD3"/>
    <w:rsid w:val="00B4742C"/>
    <w:rsid w:val="00B47A59"/>
    <w:rsid w:val="00B5012F"/>
    <w:rsid w:val="00B5349B"/>
    <w:rsid w:val="00B5649C"/>
    <w:rsid w:val="00B64B9D"/>
    <w:rsid w:val="00B7138A"/>
    <w:rsid w:val="00B75F05"/>
    <w:rsid w:val="00B76908"/>
    <w:rsid w:val="00B8293D"/>
    <w:rsid w:val="00B87757"/>
    <w:rsid w:val="00B87A49"/>
    <w:rsid w:val="00B9139B"/>
    <w:rsid w:val="00B91ECE"/>
    <w:rsid w:val="00B92478"/>
    <w:rsid w:val="00B943FB"/>
    <w:rsid w:val="00B97463"/>
    <w:rsid w:val="00BA13A1"/>
    <w:rsid w:val="00BA25B4"/>
    <w:rsid w:val="00BA6188"/>
    <w:rsid w:val="00BA63D7"/>
    <w:rsid w:val="00BB184C"/>
    <w:rsid w:val="00BB608E"/>
    <w:rsid w:val="00BB6336"/>
    <w:rsid w:val="00BB7567"/>
    <w:rsid w:val="00BC361A"/>
    <w:rsid w:val="00BC50CB"/>
    <w:rsid w:val="00BC68C2"/>
    <w:rsid w:val="00BD0567"/>
    <w:rsid w:val="00BD2045"/>
    <w:rsid w:val="00BD3450"/>
    <w:rsid w:val="00BD3D7D"/>
    <w:rsid w:val="00BD420D"/>
    <w:rsid w:val="00BD49F7"/>
    <w:rsid w:val="00BD61A2"/>
    <w:rsid w:val="00BE1DAC"/>
    <w:rsid w:val="00BE484D"/>
    <w:rsid w:val="00BE6A37"/>
    <w:rsid w:val="00BF15B9"/>
    <w:rsid w:val="00BF2596"/>
    <w:rsid w:val="00BF3B26"/>
    <w:rsid w:val="00C00B11"/>
    <w:rsid w:val="00C0158B"/>
    <w:rsid w:val="00C01800"/>
    <w:rsid w:val="00C1097C"/>
    <w:rsid w:val="00C1240E"/>
    <w:rsid w:val="00C17D1D"/>
    <w:rsid w:val="00C21406"/>
    <w:rsid w:val="00C22560"/>
    <w:rsid w:val="00C2331E"/>
    <w:rsid w:val="00C24EDE"/>
    <w:rsid w:val="00C26C64"/>
    <w:rsid w:val="00C32ABB"/>
    <w:rsid w:val="00C37E05"/>
    <w:rsid w:val="00C41F72"/>
    <w:rsid w:val="00C4270A"/>
    <w:rsid w:val="00C47789"/>
    <w:rsid w:val="00C5196C"/>
    <w:rsid w:val="00C52172"/>
    <w:rsid w:val="00C55D29"/>
    <w:rsid w:val="00C56F2E"/>
    <w:rsid w:val="00C62B3A"/>
    <w:rsid w:val="00C64C18"/>
    <w:rsid w:val="00C733CF"/>
    <w:rsid w:val="00C75C2D"/>
    <w:rsid w:val="00C76D98"/>
    <w:rsid w:val="00C77C36"/>
    <w:rsid w:val="00C83B6B"/>
    <w:rsid w:val="00C83DB6"/>
    <w:rsid w:val="00C84FA0"/>
    <w:rsid w:val="00C85FFD"/>
    <w:rsid w:val="00C86F6D"/>
    <w:rsid w:val="00C92A32"/>
    <w:rsid w:val="00C948D8"/>
    <w:rsid w:val="00C96172"/>
    <w:rsid w:val="00CA0BE9"/>
    <w:rsid w:val="00CA138D"/>
    <w:rsid w:val="00CA53E3"/>
    <w:rsid w:val="00CA5579"/>
    <w:rsid w:val="00CA57D9"/>
    <w:rsid w:val="00CA5D67"/>
    <w:rsid w:val="00CB0133"/>
    <w:rsid w:val="00CB0416"/>
    <w:rsid w:val="00CB2ED7"/>
    <w:rsid w:val="00CB2FD5"/>
    <w:rsid w:val="00CB6738"/>
    <w:rsid w:val="00CB684F"/>
    <w:rsid w:val="00CC05EB"/>
    <w:rsid w:val="00CC220F"/>
    <w:rsid w:val="00CC2AFE"/>
    <w:rsid w:val="00CC586D"/>
    <w:rsid w:val="00CC7641"/>
    <w:rsid w:val="00CD036C"/>
    <w:rsid w:val="00CD0843"/>
    <w:rsid w:val="00CE0610"/>
    <w:rsid w:val="00CE0B46"/>
    <w:rsid w:val="00CE4EFB"/>
    <w:rsid w:val="00CE6063"/>
    <w:rsid w:val="00CE64D8"/>
    <w:rsid w:val="00CE7B80"/>
    <w:rsid w:val="00CE7D19"/>
    <w:rsid w:val="00CF05D6"/>
    <w:rsid w:val="00CF0681"/>
    <w:rsid w:val="00CF2515"/>
    <w:rsid w:val="00CF3E79"/>
    <w:rsid w:val="00CF58F9"/>
    <w:rsid w:val="00CF5C1E"/>
    <w:rsid w:val="00CF7076"/>
    <w:rsid w:val="00CF7B3E"/>
    <w:rsid w:val="00D0146C"/>
    <w:rsid w:val="00D02373"/>
    <w:rsid w:val="00D074A2"/>
    <w:rsid w:val="00D1022B"/>
    <w:rsid w:val="00D10B76"/>
    <w:rsid w:val="00D11B53"/>
    <w:rsid w:val="00D13794"/>
    <w:rsid w:val="00D1629C"/>
    <w:rsid w:val="00D17572"/>
    <w:rsid w:val="00D17EB7"/>
    <w:rsid w:val="00D218E7"/>
    <w:rsid w:val="00D22F89"/>
    <w:rsid w:val="00D24052"/>
    <w:rsid w:val="00D24386"/>
    <w:rsid w:val="00D27447"/>
    <w:rsid w:val="00D300D8"/>
    <w:rsid w:val="00D31575"/>
    <w:rsid w:val="00D31A89"/>
    <w:rsid w:val="00D33131"/>
    <w:rsid w:val="00D34626"/>
    <w:rsid w:val="00D34DBC"/>
    <w:rsid w:val="00D34FB4"/>
    <w:rsid w:val="00D3510F"/>
    <w:rsid w:val="00D359BA"/>
    <w:rsid w:val="00D36962"/>
    <w:rsid w:val="00D4257A"/>
    <w:rsid w:val="00D434F4"/>
    <w:rsid w:val="00D44EA8"/>
    <w:rsid w:val="00D456A9"/>
    <w:rsid w:val="00D47910"/>
    <w:rsid w:val="00D50A57"/>
    <w:rsid w:val="00D52798"/>
    <w:rsid w:val="00D539B8"/>
    <w:rsid w:val="00D5468A"/>
    <w:rsid w:val="00D61745"/>
    <w:rsid w:val="00D62665"/>
    <w:rsid w:val="00D64300"/>
    <w:rsid w:val="00D645AC"/>
    <w:rsid w:val="00D669CE"/>
    <w:rsid w:val="00D66C71"/>
    <w:rsid w:val="00D66D7C"/>
    <w:rsid w:val="00D70205"/>
    <w:rsid w:val="00D70D6A"/>
    <w:rsid w:val="00D735EF"/>
    <w:rsid w:val="00D74262"/>
    <w:rsid w:val="00D7609F"/>
    <w:rsid w:val="00D81AA7"/>
    <w:rsid w:val="00D82E47"/>
    <w:rsid w:val="00D84A01"/>
    <w:rsid w:val="00D84C34"/>
    <w:rsid w:val="00D96A02"/>
    <w:rsid w:val="00D977EA"/>
    <w:rsid w:val="00DA06CC"/>
    <w:rsid w:val="00DA50A2"/>
    <w:rsid w:val="00DA5B11"/>
    <w:rsid w:val="00DA5F54"/>
    <w:rsid w:val="00DA66CE"/>
    <w:rsid w:val="00DB148C"/>
    <w:rsid w:val="00DB1A31"/>
    <w:rsid w:val="00DB1DA3"/>
    <w:rsid w:val="00DB202E"/>
    <w:rsid w:val="00DB4F78"/>
    <w:rsid w:val="00DC027B"/>
    <w:rsid w:val="00DC0CDE"/>
    <w:rsid w:val="00DC1A85"/>
    <w:rsid w:val="00DC420A"/>
    <w:rsid w:val="00DC498E"/>
    <w:rsid w:val="00DC4D72"/>
    <w:rsid w:val="00DC6525"/>
    <w:rsid w:val="00DC7018"/>
    <w:rsid w:val="00DD12B0"/>
    <w:rsid w:val="00DD293F"/>
    <w:rsid w:val="00DD5610"/>
    <w:rsid w:val="00DD6F58"/>
    <w:rsid w:val="00DE131F"/>
    <w:rsid w:val="00DF0652"/>
    <w:rsid w:val="00DF0CB3"/>
    <w:rsid w:val="00DF179F"/>
    <w:rsid w:val="00DF2879"/>
    <w:rsid w:val="00DF494C"/>
    <w:rsid w:val="00DF6120"/>
    <w:rsid w:val="00DF6D0B"/>
    <w:rsid w:val="00DF7955"/>
    <w:rsid w:val="00DF7E0D"/>
    <w:rsid w:val="00E01D93"/>
    <w:rsid w:val="00E0624D"/>
    <w:rsid w:val="00E11AE8"/>
    <w:rsid w:val="00E12434"/>
    <w:rsid w:val="00E126BD"/>
    <w:rsid w:val="00E179D4"/>
    <w:rsid w:val="00E20023"/>
    <w:rsid w:val="00E20713"/>
    <w:rsid w:val="00E20F6F"/>
    <w:rsid w:val="00E2196C"/>
    <w:rsid w:val="00E23AFA"/>
    <w:rsid w:val="00E25DAE"/>
    <w:rsid w:val="00E3210E"/>
    <w:rsid w:val="00E353A3"/>
    <w:rsid w:val="00E35C9D"/>
    <w:rsid w:val="00E374D5"/>
    <w:rsid w:val="00E37FF7"/>
    <w:rsid w:val="00E4438C"/>
    <w:rsid w:val="00E457F3"/>
    <w:rsid w:val="00E45E58"/>
    <w:rsid w:val="00E50663"/>
    <w:rsid w:val="00E5477B"/>
    <w:rsid w:val="00E55F9B"/>
    <w:rsid w:val="00E576F5"/>
    <w:rsid w:val="00E57A6A"/>
    <w:rsid w:val="00E62420"/>
    <w:rsid w:val="00E65EEA"/>
    <w:rsid w:val="00E65FA0"/>
    <w:rsid w:val="00E667A5"/>
    <w:rsid w:val="00E66CEF"/>
    <w:rsid w:val="00E66F46"/>
    <w:rsid w:val="00E67239"/>
    <w:rsid w:val="00E7117A"/>
    <w:rsid w:val="00E73CC1"/>
    <w:rsid w:val="00E768DE"/>
    <w:rsid w:val="00E77F57"/>
    <w:rsid w:val="00E84B54"/>
    <w:rsid w:val="00E85BE7"/>
    <w:rsid w:val="00E86357"/>
    <w:rsid w:val="00E87284"/>
    <w:rsid w:val="00E90A90"/>
    <w:rsid w:val="00E97664"/>
    <w:rsid w:val="00EA170F"/>
    <w:rsid w:val="00EA3802"/>
    <w:rsid w:val="00EA3E14"/>
    <w:rsid w:val="00EA43E7"/>
    <w:rsid w:val="00EA4DD8"/>
    <w:rsid w:val="00EA6912"/>
    <w:rsid w:val="00EA7959"/>
    <w:rsid w:val="00EB2AEF"/>
    <w:rsid w:val="00EB2BED"/>
    <w:rsid w:val="00EB5FD5"/>
    <w:rsid w:val="00EB7192"/>
    <w:rsid w:val="00EB7E71"/>
    <w:rsid w:val="00EC29E6"/>
    <w:rsid w:val="00EC2E57"/>
    <w:rsid w:val="00ED123E"/>
    <w:rsid w:val="00ED1F15"/>
    <w:rsid w:val="00ED216B"/>
    <w:rsid w:val="00ED4157"/>
    <w:rsid w:val="00ED5826"/>
    <w:rsid w:val="00ED68BF"/>
    <w:rsid w:val="00ED7ADB"/>
    <w:rsid w:val="00EE1555"/>
    <w:rsid w:val="00EE1672"/>
    <w:rsid w:val="00EF0838"/>
    <w:rsid w:val="00EF2788"/>
    <w:rsid w:val="00EF3103"/>
    <w:rsid w:val="00EF5641"/>
    <w:rsid w:val="00EF6E9B"/>
    <w:rsid w:val="00EF7714"/>
    <w:rsid w:val="00F023DB"/>
    <w:rsid w:val="00F0462B"/>
    <w:rsid w:val="00F04A66"/>
    <w:rsid w:val="00F06543"/>
    <w:rsid w:val="00F07B1D"/>
    <w:rsid w:val="00F109D4"/>
    <w:rsid w:val="00F10A6F"/>
    <w:rsid w:val="00F15EE9"/>
    <w:rsid w:val="00F171CC"/>
    <w:rsid w:val="00F20223"/>
    <w:rsid w:val="00F208CC"/>
    <w:rsid w:val="00F21234"/>
    <w:rsid w:val="00F212C4"/>
    <w:rsid w:val="00F24736"/>
    <w:rsid w:val="00F27344"/>
    <w:rsid w:val="00F278BD"/>
    <w:rsid w:val="00F30EF7"/>
    <w:rsid w:val="00F33F21"/>
    <w:rsid w:val="00F343AA"/>
    <w:rsid w:val="00F4241B"/>
    <w:rsid w:val="00F46704"/>
    <w:rsid w:val="00F46C17"/>
    <w:rsid w:val="00F47585"/>
    <w:rsid w:val="00F50401"/>
    <w:rsid w:val="00F57AB9"/>
    <w:rsid w:val="00F608A0"/>
    <w:rsid w:val="00F6249C"/>
    <w:rsid w:val="00F66C5D"/>
    <w:rsid w:val="00F678B8"/>
    <w:rsid w:val="00F705CA"/>
    <w:rsid w:val="00F7078E"/>
    <w:rsid w:val="00F75BDB"/>
    <w:rsid w:val="00F81232"/>
    <w:rsid w:val="00F82712"/>
    <w:rsid w:val="00F8291C"/>
    <w:rsid w:val="00F85E6F"/>
    <w:rsid w:val="00F93FEA"/>
    <w:rsid w:val="00F95449"/>
    <w:rsid w:val="00F97C9D"/>
    <w:rsid w:val="00FA1942"/>
    <w:rsid w:val="00FA380A"/>
    <w:rsid w:val="00FB2ADB"/>
    <w:rsid w:val="00FB4A82"/>
    <w:rsid w:val="00FB4E81"/>
    <w:rsid w:val="00FB75A2"/>
    <w:rsid w:val="00FC2CB5"/>
    <w:rsid w:val="00FC38D9"/>
    <w:rsid w:val="00FC3A8F"/>
    <w:rsid w:val="00FC595E"/>
    <w:rsid w:val="00FC73E7"/>
    <w:rsid w:val="00FC7AFF"/>
    <w:rsid w:val="00FD15D2"/>
    <w:rsid w:val="00FD19F7"/>
    <w:rsid w:val="00FD7402"/>
    <w:rsid w:val="00FD7746"/>
    <w:rsid w:val="00FE02E8"/>
    <w:rsid w:val="00FE04E4"/>
    <w:rsid w:val="00FE2A67"/>
    <w:rsid w:val="00FE2DD7"/>
    <w:rsid w:val="00FE2E55"/>
    <w:rsid w:val="00FE73F9"/>
    <w:rsid w:val="00FF1057"/>
    <w:rsid w:val="00FF1748"/>
    <w:rsid w:val="00FF3C72"/>
    <w:rsid w:val="00FF3E25"/>
    <w:rsid w:val="00FF461A"/>
    <w:rsid w:val="00FF5FD8"/>
    <w:rsid w:val="00FF6386"/>
    <w:rsid w:val="00FF638C"/>
    <w:rsid w:val="00FF66C5"/>
    <w:rsid w:val="0EF7F914"/>
    <w:rsid w:val="520B7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11002"/>
  <w15:docId w15:val="{2AB01C65-EE63-4102-96BA-910CD041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paragraph">
    <w:name w:val="paragraph"/>
    <w:basedOn w:val="Normal"/>
    <w:rsid w:val="00A407BA"/>
    <w:pPr>
      <w:spacing w:before="100" w:beforeAutospacing="1" w:after="100" w:afterAutospacing="1"/>
    </w:pPr>
    <w:rPr>
      <w:szCs w:val="24"/>
    </w:rPr>
  </w:style>
  <w:style w:type="paragraph" w:customStyle="1" w:styleId="paragraphsub">
    <w:name w:val="paragraphsub"/>
    <w:basedOn w:val="Normal"/>
    <w:rsid w:val="00A407BA"/>
    <w:pPr>
      <w:spacing w:before="100" w:beforeAutospacing="1" w:after="100" w:afterAutospacing="1"/>
    </w:pPr>
    <w:rPr>
      <w:szCs w:val="24"/>
    </w:rPr>
  </w:style>
  <w:style w:type="paragraph" w:customStyle="1" w:styleId="notedraft">
    <w:name w:val="note(draft)"/>
    <w:aliases w:val="nd"/>
    <w:basedOn w:val="Normal"/>
    <w:rsid w:val="009953FB"/>
    <w:pPr>
      <w:spacing w:before="240" w:after="0"/>
      <w:ind w:left="284" w:hanging="284"/>
    </w:pPr>
    <w:rPr>
      <w:i/>
    </w:rPr>
  </w:style>
  <w:style w:type="character" w:customStyle="1" w:styleId="normaltextrun">
    <w:name w:val="normaltextrun"/>
    <w:basedOn w:val="DefaultParagraphFont"/>
    <w:rsid w:val="00661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8876">
      <w:bodyDiv w:val="1"/>
      <w:marLeft w:val="0"/>
      <w:marRight w:val="0"/>
      <w:marTop w:val="0"/>
      <w:marBottom w:val="0"/>
      <w:divBdr>
        <w:top w:val="none" w:sz="0" w:space="0" w:color="auto"/>
        <w:left w:val="none" w:sz="0" w:space="0" w:color="auto"/>
        <w:bottom w:val="none" w:sz="0" w:space="0" w:color="auto"/>
        <w:right w:val="none" w:sz="0" w:space="0" w:color="auto"/>
      </w:divBdr>
    </w:div>
    <w:div w:id="66078596">
      <w:bodyDiv w:val="1"/>
      <w:marLeft w:val="0"/>
      <w:marRight w:val="0"/>
      <w:marTop w:val="0"/>
      <w:marBottom w:val="0"/>
      <w:divBdr>
        <w:top w:val="none" w:sz="0" w:space="0" w:color="auto"/>
        <w:left w:val="none" w:sz="0" w:space="0" w:color="auto"/>
        <w:bottom w:val="none" w:sz="0" w:space="0" w:color="auto"/>
        <w:right w:val="none" w:sz="0" w:space="0" w:color="auto"/>
      </w:divBdr>
    </w:div>
    <w:div w:id="489516465">
      <w:bodyDiv w:val="1"/>
      <w:marLeft w:val="0"/>
      <w:marRight w:val="0"/>
      <w:marTop w:val="0"/>
      <w:marBottom w:val="0"/>
      <w:divBdr>
        <w:top w:val="none" w:sz="0" w:space="0" w:color="auto"/>
        <w:left w:val="none" w:sz="0" w:space="0" w:color="auto"/>
        <w:bottom w:val="none" w:sz="0" w:space="0" w:color="auto"/>
        <w:right w:val="none" w:sz="0" w:space="0" w:color="auto"/>
      </w:divBdr>
    </w:div>
    <w:div w:id="536967994">
      <w:bodyDiv w:val="1"/>
      <w:marLeft w:val="0"/>
      <w:marRight w:val="0"/>
      <w:marTop w:val="0"/>
      <w:marBottom w:val="0"/>
      <w:divBdr>
        <w:top w:val="none" w:sz="0" w:space="0" w:color="auto"/>
        <w:left w:val="none" w:sz="0" w:space="0" w:color="auto"/>
        <w:bottom w:val="none" w:sz="0" w:space="0" w:color="auto"/>
        <w:right w:val="none" w:sz="0" w:space="0" w:color="auto"/>
      </w:divBdr>
    </w:div>
    <w:div w:id="550577399">
      <w:bodyDiv w:val="1"/>
      <w:marLeft w:val="0"/>
      <w:marRight w:val="0"/>
      <w:marTop w:val="0"/>
      <w:marBottom w:val="0"/>
      <w:divBdr>
        <w:top w:val="none" w:sz="0" w:space="0" w:color="auto"/>
        <w:left w:val="none" w:sz="0" w:space="0" w:color="auto"/>
        <w:bottom w:val="none" w:sz="0" w:space="0" w:color="auto"/>
        <w:right w:val="none" w:sz="0" w:space="0" w:color="auto"/>
      </w:divBdr>
    </w:div>
    <w:div w:id="562568791">
      <w:bodyDiv w:val="1"/>
      <w:marLeft w:val="0"/>
      <w:marRight w:val="0"/>
      <w:marTop w:val="0"/>
      <w:marBottom w:val="0"/>
      <w:divBdr>
        <w:top w:val="none" w:sz="0" w:space="0" w:color="auto"/>
        <w:left w:val="none" w:sz="0" w:space="0" w:color="auto"/>
        <w:bottom w:val="none" w:sz="0" w:space="0" w:color="auto"/>
        <w:right w:val="none" w:sz="0" w:space="0" w:color="auto"/>
      </w:divBdr>
    </w:div>
    <w:div w:id="825515646">
      <w:bodyDiv w:val="1"/>
      <w:marLeft w:val="0"/>
      <w:marRight w:val="0"/>
      <w:marTop w:val="0"/>
      <w:marBottom w:val="0"/>
      <w:divBdr>
        <w:top w:val="none" w:sz="0" w:space="0" w:color="auto"/>
        <w:left w:val="none" w:sz="0" w:space="0" w:color="auto"/>
        <w:bottom w:val="none" w:sz="0" w:space="0" w:color="auto"/>
        <w:right w:val="none" w:sz="0" w:space="0" w:color="auto"/>
      </w:divBdr>
      <w:divsChild>
        <w:div w:id="2033874157">
          <w:marLeft w:val="0"/>
          <w:marRight w:val="0"/>
          <w:marTop w:val="0"/>
          <w:marBottom w:val="0"/>
          <w:divBdr>
            <w:top w:val="none" w:sz="0" w:space="0" w:color="auto"/>
            <w:left w:val="none" w:sz="0" w:space="0" w:color="auto"/>
            <w:bottom w:val="none" w:sz="0" w:space="0" w:color="auto"/>
            <w:right w:val="none" w:sz="0" w:space="0" w:color="auto"/>
          </w:divBdr>
          <w:divsChild>
            <w:div w:id="701783567">
              <w:marLeft w:val="0"/>
              <w:marRight w:val="0"/>
              <w:marTop w:val="0"/>
              <w:marBottom w:val="0"/>
              <w:divBdr>
                <w:top w:val="none" w:sz="0" w:space="0" w:color="auto"/>
                <w:left w:val="none" w:sz="0" w:space="0" w:color="auto"/>
                <w:bottom w:val="none" w:sz="0" w:space="0" w:color="auto"/>
                <w:right w:val="none" w:sz="0" w:space="0" w:color="auto"/>
              </w:divBdr>
            </w:div>
            <w:div w:id="646592998">
              <w:marLeft w:val="0"/>
              <w:marRight w:val="0"/>
              <w:marTop w:val="0"/>
              <w:marBottom w:val="0"/>
              <w:divBdr>
                <w:top w:val="none" w:sz="0" w:space="0" w:color="auto"/>
                <w:left w:val="none" w:sz="0" w:space="0" w:color="auto"/>
                <w:bottom w:val="none" w:sz="0" w:space="0" w:color="auto"/>
                <w:right w:val="none" w:sz="0" w:space="0" w:color="auto"/>
              </w:divBdr>
            </w:div>
            <w:div w:id="817385377">
              <w:marLeft w:val="0"/>
              <w:marRight w:val="0"/>
              <w:marTop w:val="0"/>
              <w:marBottom w:val="0"/>
              <w:divBdr>
                <w:top w:val="none" w:sz="0" w:space="0" w:color="auto"/>
                <w:left w:val="none" w:sz="0" w:space="0" w:color="auto"/>
                <w:bottom w:val="none" w:sz="0" w:space="0" w:color="auto"/>
                <w:right w:val="none" w:sz="0" w:space="0" w:color="auto"/>
              </w:divBdr>
            </w:div>
            <w:div w:id="1361777312">
              <w:marLeft w:val="0"/>
              <w:marRight w:val="0"/>
              <w:marTop w:val="0"/>
              <w:marBottom w:val="0"/>
              <w:divBdr>
                <w:top w:val="none" w:sz="0" w:space="0" w:color="auto"/>
                <w:left w:val="none" w:sz="0" w:space="0" w:color="auto"/>
                <w:bottom w:val="none" w:sz="0" w:space="0" w:color="auto"/>
                <w:right w:val="none" w:sz="0" w:space="0" w:color="auto"/>
              </w:divBdr>
            </w:div>
            <w:div w:id="1301692210">
              <w:marLeft w:val="0"/>
              <w:marRight w:val="0"/>
              <w:marTop w:val="0"/>
              <w:marBottom w:val="0"/>
              <w:divBdr>
                <w:top w:val="none" w:sz="0" w:space="0" w:color="auto"/>
                <w:left w:val="none" w:sz="0" w:space="0" w:color="auto"/>
                <w:bottom w:val="none" w:sz="0" w:space="0" w:color="auto"/>
                <w:right w:val="none" w:sz="0" w:space="0" w:color="auto"/>
              </w:divBdr>
            </w:div>
          </w:divsChild>
        </w:div>
        <w:div w:id="1556770892">
          <w:marLeft w:val="0"/>
          <w:marRight w:val="0"/>
          <w:marTop w:val="0"/>
          <w:marBottom w:val="0"/>
          <w:divBdr>
            <w:top w:val="none" w:sz="0" w:space="0" w:color="auto"/>
            <w:left w:val="none" w:sz="0" w:space="0" w:color="auto"/>
            <w:bottom w:val="none" w:sz="0" w:space="0" w:color="auto"/>
            <w:right w:val="none" w:sz="0" w:space="0" w:color="auto"/>
          </w:divBdr>
        </w:div>
      </w:divsChild>
    </w:div>
    <w:div w:id="965165195">
      <w:bodyDiv w:val="1"/>
      <w:marLeft w:val="0"/>
      <w:marRight w:val="0"/>
      <w:marTop w:val="0"/>
      <w:marBottom w:val="0"/>
      <w:divBdr>
        <w:top w:val="none" w:sz="0" w:space="0" w:color="auto"/>
        <w:left w:val="none" w:sz="0" w:space="0" w:color="auto"/>
        <w:bottom w:val="none" w:sz="0" w:space="0" w:color="auto"/>
        <w:right w:val="none" w:sz="0" w:space="0" w:color="auto"/>
      </w:divBdr>
    </w:div>
    <w:div w:id="1126586471">
      <w:bodyDiv w:val="1"/>
      <w:marLeft w:val="0"/>
      <w:marRight w:val="0"/>
      <w:marTop w:val="0"/>
      <w:marBottom w:val="0"/>
      <w:divBdr>
        <w:top w:val="none" w:sz="0" w:space="0" w:color="auto"/>
        <w:left w:val="none" w:sz="0" w:space="0" w:color="auto"/>
        <w:bottom w:val="none" w:sz="0" w:space="0" w:color="auto"/>
        <w:right w:val="none" w:sz="0" w:space="0" w:color="auto"/>
      </w:divBdr>
    </w:div>
    <w:div w:id="1286501266">
      <w:bodyDiv w:val="1"/>
      <w:marLeft w:val="0"/>
      <w:marRight w:val="0"/>
      <w:marTop w:val="0"/>
      <w:marBottom w:val="0"/>
      <w:divBdr>
        <w:top w:val="none" w:sz="0" w:space="0" w:color="auto"/>
        <w:left w:val="none" w:sz="0" w:space="0" w:color="auto"/>
        <w:bottom w:val="none" w:sz="0" w:space="0" w:color="auto"/>
        <w:right w:val="none" w:sz="0" w:space="0" w:color="auto"/>
      </w:divBdr>
    </w:div>
    <w:div w:id="1324358060">
      <w:bodyDiv w:val="1"/>
      <w:marLeft w:val="0"/>
      <w:marRight w:val="0"/>
      <w:marTop w:val="0"/>
      <w:marBottom w:val="0"/>
      <w:divBdr>
        <w:top w:val="none" w:sz="0" w:space="0" w:color="auto"/>
        <w:left w:val="none" w:sz="0" w:space="0" w:color="auto"/>
        <w:bottom w:val="none" w:sz="0" w:space="0" w:color="auto"/>
        <w:right w:val="none" w:sz="0" w:space="0" w:color="auto"/>
      </w:divBdr>
    </w:div>
    <w:div w:id="1409183656">
      <w:bodyDiv w:val="1"/>
      <w:marLeft w:val="0"/>
      <w:marRight w:val="0"/>
      <w:marTop w:val="0"/>
      <w:marBottom w:val="0"/>
      <w:divBdr>
        <w:top w:val="none" w:sz="0" w:space="0" w:color="auto"/>
        <w:left w:val="none" w:sz="0" w:space="0" w:color="auto"/>
        <w:bottom w:val="none" w:sz="0" w:space="0" w:color="auto"/>
        <w:right w:val="none" w:sz="0" w:space="0" w:color="auto"/>
      </w:divBdr>
    </w:div>
    <w:div w:id="1450664068">
      <w:bodyDiv w:val="1"/>
      <w:marLeft w:val="0"/>
      <w:marRight w:val="0"/>
      <w:marTop w:val="0"/>
      <w:marBottom w:val="0"/>
      <w:divBdr>
        <w:top w:val="none" w:sz="0" w:space="0" w:color="auto"/>
        <w:left w:val="none" w:sz="0" w:space="0" w:color="auto"/>
        <w:bottom w:val="none" w:sz="0" w:space="0" w:color="auto"/>
        <w:right w:val="none" w:sz="0" w:space="0" w:color="auto"/>
      </w:divBdr>
    </w:div>
    <w:div w:id="1564943632">
      <w:bodyDiv w:val="1"/>
      <w:marLeft w:val="0"/>
      <w:marRight w:val="0"/>
      <w:marTop w:val="0"/>
      <w:marBottom w:val="0"/>
      <w:divBdr>
        <w:top w:val="none" w:sz="0" w:space="0" w:color="auto"/>
        <w:left w:val="none" w:sz="0" w:space="0" w:color="auto"/>
        <w:bottom w:val="none" w:sz="0" w:space="0" w:color="auto"/>
        <w:right w:val="none" w:sz="0" w:space="0" w:color="auto"/>
      </w:divBdr>
    </w:div>
    <w:div w:id="1593776635">
      <w:bodyDiv w:val="1"/>
      <w:marLeft w:val="0"/>
      <w:marRight w:val="0"/>
      <w:marTop w:val="0"/>
      <w:marBottom w:val="0"/>
      <w:divBdr>
        <w:top w:val="none" w:sz="0" w:space="0" w:color="auto"/>
        <w:left w:val="none" w:sz="0" w:space="0" w:color="auto"/>
        <w:bottom w:val="none" w:sz="0" w:space="0" w:color="auto"/>
        <w:right w:val="none" w:sz="0" w:space="0" w:color="auto"/>
      </w:divBdr>
    </w:div>
    <w:div w:id="1601640863">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60117573">
      <w:bodyDiv w:val="1"/>
      <w:marLeft w:val="0"/>
      <w:marRight w:val="0"/>
      <w:marTop w:val="0"/>
      <w:marBottom w:val="0"/>
      <w:divBdr>
        <w:top w:val="none" w:sz="0" w:space="0" w:color="auto"/>
        <w:left w:val="none" w:sz="0" w:space="0" w:color="auto"/>
        <w:bottom w:val="none" w:sz="0" w:space="0" w:color="auto"/>
        <w:right w:val="none" w:sz="0" w:space="0" w:color="auto"/>
      </w:divBdr>
    </w:div>
    <w:div w:id="1773352164">
      <w:bodyDiv w:val="1"/>
      <w:marLeft w:val="0"/>
      <w:marRight w:val="0"/>
      <w:marTop w:val="0"/>
      <w:marBottom w:val="0"/>
      <w:divBdr>
        <w:top w:val="none" w:sz="0" w:space="0" w:color="auto"/>
        <w:left w:val="none" w:sz="0" w:space="0" w:color="auto"/>
        <w:bottom w:val="none" w:sz="0" w:space="0" w:color="auto"/>
        <w:right w:val="none" w:sz="0" w:space="0" w:color="auto"/>
      </w:divBdr>
    </w:div>
    <w:div w:id="1805659275">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60062423">
      <w:bodyDiv w:val="1"/>
      <w:marLeft w:val="0"/>
      <w:marRight w:val="0"/>
      <w:marTop w:val="0"/>
      <w:marBottom w:val="0"/>
      <w:divBdr>
        <w:top w:val="none" w:sz="0" w:space="0" w:color="auto"/>
        <w:left w:val="none" w:sz="0" w:space="0" w:color="auto"/>
        <w:bottom w:val="none" w:sz="0" w:space="0" w:color="auto"/>
        <w:right w:val="none" w:sz="0" w:space="0" w:color="auto"/>
      </w:divBdr>
    </w:div>
    <w:div w:id="1964192269">
      <w:bodyDiv w:val="1"/>
      <w:marLeft w:val="0"/>
      <w:marRight w:val="0"/>
      <w:marTop w:val="0"/>
      <w:marBottom w:val="0"/>
      <w:divBdr>
        <w:top w:val="none" w:sz="0" w:space="0" w:color="auto"/>
        <w:left w:val="none" w:sz="0" w:space="0" w:color="auto"/>
        <w:bottom w:val="none" w:sz="0" w:space="0" w:color="auto"/>
        <w:right w:val="none" w:sz="0" w:space="0" w:color="auto"/>
      </w:divBdr>
    </w:div>
    <w:div w:id="21313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glossaryDocument" Target="glossary/document.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9D35CB70E14BC89D3AE5E1A8AB9357"/>
        <w:category>
          <w:name w:val="General"/>
          <w:gallery w:val="placeholder"/>
        </w:category>
        <w:types>
          <w:type w:val="bbPlcHdr"/>
        </w:types>
        <w:behaviors>
          <w:behavior w:val="content"/>
        </w:behaviors>
        <w:guid w:val="{A08C88D4-0254-45CD-BD91-ACA59080CEBC}"/>
      </w:docPartPr>
      <w:docPartBody>
        <w:p w:rsidR="0080291E" w:rsidRDefault="0080291E">
          <w:pPr>
            <w:pStyle w:val="849D35CB70E14BC89D3AE5E1A8AB9357"/>
          </w:pPr>
          <w:r w:rsidRPr="003C5719">
            <w:rPr>
              <w:rStyle w:val="PlaceholderText"/>
              <w:sz w:val="24"/>
              <w:szCs w:val="24"/>
            </w:rPr>
            <w:t>select a Minister</w:t>
          </w:r>
        </w:p>
      </w:docPartBody>
    </w:docPart>
    <w:docPart>
      <w:docPartPr>
        <w:name w:val="E498EBBE63F641ECBB9A796EDF310DBB"/>
        <w:category>
          <w:name w:val="General"/>
          <w:gallery w:val="placeholder"/>
        </w:category>
        <w:types>
          <w:type w:val="bbPlcHdr"/>
        </w:types>
        <w:behaviors>
          <w:behavior w:val="content"/>
        </w:behaviors>
        <w:guid w:val="{6F01C33C-6B1A-4231-888E-F093980A0B5B}"/>
      </w:docPartPr>
      <w:docPartBody>
        <w:p w:rsidR="00F831A2" w:rsidRDefault="0080291E" w:rsidP="0080291E">
          <w:pPr>
            <w:pStyle w:val="E498EBBE63F641ECBB9A796EDF310DBB"/>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99"/>
    <w:rsid w:val="00057B77"/>
    <w:rsid w:val="000E6AF2"/>
    <w:rsid w:val="00193EFC"/>
    <w:rsid w:val="00294799"/>
    <w:rsid w:val="003429A0"/>
    <w:rsid w:val="00485332"/>
    <w:rsid w:val="004C5FE4"/>
    <w:rsid w:val="005A4980"/>
    <w:rsid w:val="007E4405"/>
    <w:rsid w:val="0080291E"/>
    <w:rsid w:val="0081005B"/>
    <w:rsid w:val="008C74FF"/>
    <w:rsid w:val="00A068D8"/>
    <w:rsid w:val="00AA75FC"/>
    <w:rsid w:val="00BA58B9"/>
    <w:rsid w:val="00BF07D3"/>
    <w:rsid w:val="00D811C4"/>
    <w:rsid w:val="00E20123"/>
    <w:rsid w:val="00EB7134"/>
    <w:rsid w:val="00F831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91E"/>
    <w:rPr>
      <w:color w:val="808080"/>
    </w:rPr>
  </w:style>
  <w:style w:type="paragraph" w:customStyle="1" w:styleId="849D35CB70E14BC89D3AE5E1A8AB9357">
    <w:name w:val="849D35CB70E14BC89D3AE5E1A8AB9357"/>
  </w:style>
  <w:style w:type="paragraph" w:customStyle="1" w:styleId="E498EBBE63F641ECBB9A796EDF310DBB">
    <w:name w:val="E498EBBE63F641ECBB9A796EDF310DBB"/>
    <w:rsid w:val="00802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D84D9BB-E3BC-45E2-BC2A-3E77BA96F0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D2CD6BDA9F02444BF39A3816DA1B97D" ma:contentTypeVersion="" ma:contentTypeDescription="PDMS Document Site Content Type" ma:contentTypeScope="" ma:versionID="113673c274fea4c74649b36f6682fd88">
  <xsd:schema xmlns:xsd="http://www.w3.org/2001/XMLSchema" xmlns:xs="http://www.w3.org/2001/XMLSchema" xmlns:p="http://schemas.microsoft.com/office/2006/metadata/properties" xmlns:ns2="4D84D9BB-E3BC-45E2-BC2A-3E77BA96F0A7" targetNamespace="http://schemas.microsoft.com/office/2006/metadata/properties" ma:root="true" ma:fieldsID="4495d10cb90afed166b56487f4d5fc02" ns2:_="">
    <xsd:import namespace="4D84D9BB-E3BC-45E2-BC2A-3E77BA96F0A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4D9BB-E3BC-45E2-BC2A-3E77BA96F0A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78533-3486-40E5-9013-DD26FD164D39}">
  <ds:schemaRefs>
    <ds:schemaRef ds:uri="http://purl.org/dc/elements/1.1/"/>
    <ds:schemaRef ds:uri="http://schemas.microsoft.com/office/2006/documentManagement/types"/>
    <ds:schemaRef ds:uri="9a91be02-49fe-4568-a0ce-30550d2c0542"/>
    <ds:schemaRef ds:uri="http://schemas.microsoft.com/office/infopath/2007/PartnerControls"/>
    <ds:schemaRef ds:uri="http://www.w3.org/XML/1998/namespace"/>
    <ds:schemaRef ds:uri="http://purl.org/dc/terms/"/>
    <ds:schemaRef ds:uri="http://schemas.openxmlformats.org/package/2006/metadata/core-properties"/>
    <ds:schemaRef ds:uri="42f4cb5a-261c-4c59-b165-7132460581a3"/>
    <ds:schemaRef ds:uri="fe39d773-a83d-4623-ae74-f25711a76616"/>
    <ds:schemaRef ds:uri="ff38c824-6e29-4496-8487-69f397e7ed2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5.xml><?xml version="1.0" encoding="utf-8"?>
<ds:datastoreItem xmlns:ds="http://schemas.openxmlformats.org/officeDocument/2006/customXml" ds:itemID="{5553FCB7-0401-4EBC-9A98-4AED351EA2DE}"/>
</file>

<file path=docProps/app.xml><?xml version="1.0" encoding="utf-8"?>
<Properties xmlns="http://schemas.openxmlformats.org/officeDocument/2006/extended-properties" xmlns:vt="http://schemas.openxmlformats.org/officeDocument/2006/docPropsVTypes">
  <Template>Sub-ES.dotx</Template>
  <TotalTime>675</TotalTime>
  <Pages>8</Pages>
  <Words>3145</Words>
  <Characters>17691</Characters>
  <Application>Microsoft Office Word</Application>
  <DocSecurity>0</DocSecurity>
  <Lines>147</Lines>
  <Paragraphs>41</Paragraphs>
  <ScaleCrop>false</ScaleCrop>
  <Company>Treasury</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Munsie, Laura</dc:creator>
  <cp:keywords/>
  <cp:lastModifiedBy>Ahmed, Istiak</cp:lastModifiedBy>
  <cp:revision>621</cp:revision>
  <cp:lastPrinted>2024-07-11T00:42:00Z</cp:lastPrinted>
  <dcterms:created xsi:type="dcterms:W3CDTF">2023-12-22T17:32:00Z</dcterms:created>
  <dcterms:modified xsi:type="dcterms:W3CDTF">2024-07-23T02:46:00Z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0x010100266966F133664895A6EE3632470D45F500FD2CD6BDA9F02444BF39A3816DA1B97D</vt:lpwstr>
  </property>
  <property fmtid="{D5CDD505-2E9C-101B-9397-08002B2CF9AE}" pid="4" name="TSYRecordClass">
    <vt:lpwstr>1;#AE-20260-Destroy 7 years after action completed|623f5ec9-ec5d-4824-8e13-9c9bfc51fe7e</vt:lpwstr>
  </property>
  <property fmtid="{D5CDD505-2E9C-101B-9397-08002B2CF9AE}" pid="5" name="_dlc_DocIdItemGuid">
    <vt:lpwstr>74f17797-1a95-4ff5-9250-14bc6c5620ec</vt:lpwstr>
  </property>
  <property fmtid="{D5CDD505-2E9C-101B-9397-08002B2CF9AE}" pid="6" name="TSYTopic">
    <vt:lpwstr/>
  </property>
  <property fmtid="{D5CDD505-2E9C-101B-9397-08002B2CF9AE}" pid="7" name="eTheme">
    <vt:lpwstr>115;#Governance and Legal|6a768051-04c8-48b5-8d6f-573137680008</vt:lpwstr>
  </property>
  <property fmtid="{D5CDD505-2E9C-101B-9397-08002B2CF9AE}" pid="8" name="TSYStatus">
    <vt:lpwstr/>
  </property>
  <property fmtid="{D5CDD505-2E9C-101B-9397-08002B2CF9AE}" pid="9" name="MediaServiceImageTags">
    <vt:lpwstr/>
  </property>
  <property fmtid="{D5CDD505-2E9C-101B-9397-08002B2CF9AE}" pid="10" name="eDocumentType">
    <vt:lpwstr>81;#Explanatory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LMDivision">
    <vt:lpwstr/>
  </property>
  <property fmtid="{D5CDD505-2E9C-101B-9397-08002B2CF9AE}" pid="14" name="eActivity">
    <vt:lpwstr>35;#Legislation management|cb630f2f-9155-496b-ad0f-d960eb1bf90c</vt:lpwstr>
  </property>
  <property fmtid="{D5CDD505-2E9C-101B-9397-08002B2CF9AE}" pid="15" name="k8424359e03846678cc4a99dd97e9705">
    <vt:lpwstr/>
  </property>
  <property fmtid="{D5CDD505-2E9C-101B-9397-08002B2CF9AE}" pid="16" name="_docset_NoMedatataSyncRequired">
    <vt:lpwstr>False</vt:lpwstr>
  </property>
  <property fmtid="{D5CDD505-2E9C-101B-9397-08002B2CF9AE}" pid="17" name="Theme">
    <vt:lpwstr>1;#Law Design|318dd2d2-18da-4b8e-a458-14db2c1af95f</vt:lpwstr>
  </property>
</Properties>
</file>