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CBE5A"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2B4F338D" w14:textId="4CA535D1"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21ED4FDA1FDE45258EDC438F5DA01C1E"/>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716D5E">
            <w:rPr>
              <w:rStyle w:val="DefaultChar"/>
            </w:rPr>
            <w:t>the Assistant Treasurer and Minister for Financial Services</w:t>
          </w:r>
        </w:sdtContent>
      </w:sdt>
      <w:r w:rsidR="00076178" w:rsidRPr="003C5719">
        <w:rPr>
          <w:sz w:val="24"/>
          <w:szCs w:val="24"/>
        </w:rPr>
        <w:t xml:space="preserve"> </w:t>
      </w:r>
    </w:p>
    <w:p w14:paraId="18796C2F" w14:textId="0265F697" w:rsidR="00F109D4" w:rsidRPr="003C5719" w:rsidRDefault="00716D5E" w:rsidP="004A27A8">
      <w:pPr>
        <w:spacing w:before="240" w:after="240"/>
        <w:jc w:val="center"/>
        <w:rPr>
          <w:i/>
        </w:rPr>
      </w:pPr>
      <w:r>
        <w:rPr>
          <w:i/>
        </w:rPr>
        <w:t>Taxation Administration Act 1953</w:t>
      </w:r>
    </w:p>
    <w:p w14:paraId="05381740" w14:textId="0C825B9C" w:rsidR="00F109D4" w:rsidRPr="003C5719" w:rsidRDefault="00924C42" w:rsidP="004A27A8">
      <w:pPr>
        <w:tabs>
          <w:tab w:val="left" w:pos="1418"/>
        </w:tabs>
        <w:spacing w:before="0" w:after="240"/>
        <w:jc w:val="center"/>
        <w:rPr>
          <w:i/>
        </w:rPr>
      </w:pPr>
      <w:r w:rsidRPr="00284B80">
        <w:rPr>
          <w:i/>
        </w:rPr>
        <w:t>Taxation Administration</w:t>
      </w:r>
      <w:r w:rsidR="00716D5E" w:rsidRPr="00284B80">
        <w:rPr>
          <w:i/>
        </w:rPr>
        <w:t xml:space="preserve"> Amendment (Disclosure of Information to </w:t>
      </w:r>
      <w:r w:rsidR="007C797F" w:rsidRPr="00284B80">
        <w:rPr>
          <w:i/>
        </w:rPr>
        <w:t xml:space="preserve">Operation </w:t>
      </w:r>
      <w:proofErr w:type="spellStart"/>
      <w:r w:rsidR="007C797F" w:rsidRPr="00284B80">
        <w:rPr>
          <w:i/>
        </w:rPr>
        <w:t>Protego</w:t>
      </w:r>
      <w:proofErr w:type="spellEnd"/>
      <w:r w:rsidR="007C797F" w:rsidRPr="00284B80">
        <w:rPr>
          <w:i/>
        </w:rPr>
        <w:t xml:space="preserve"> Integrity Taskforce</w:t>
      </w:r>
      <w:r w:rsidR="00716D5E" w:rsidRPr="00284B80">
        <w:rPr>
          <w:i/>
        </w:rPr>
        <w:t>) Regulations 2024</w:t>
      </w:r>
    </w:p>
    <w:p w14:paraId="7C72E1F3" w14:textId="43FAFC66" w:rsidR="0095005A" w:rsidRDefault="00B00FE2" w:rsidP="004A27A8">
      <w:pPr>
        <w:spacing w:before="240"/>
        <w:rPr>
          <w:color w:val="000000"/>
        </w:rPr>
      </w:pPr>
      <w:r>
        <w:rPr>
          <w:color w:val="000000"/>
        </w:rPr>
        <w:t>The </w:t>
      </w:r>
      <w:r>
        <w:rPr>
          <w:i/>
          <w:iCs/>
          <w:color w:val="000000"/>
        </w:rPr>
        <w:t>Taxation Administration Act 1953</w:t>
      </w:r>
      <w:r>
        <w:rPr>
          <w:color w:val="000000"/>
        </w:rPr>
        <w:t xml:space="preserve"> (the </w:t>
      </w:r>
      <w:r w:rsidR="000A2133">
        <w:rPr>
          <w:color w:val="000000"/>
        </w:rPr>
        <w:t>Act</w:t>
      </w:r>
      <w:r>
        <w:rPr>
          <w:color w:val="000000"/>
        </w:rPr>
        <w:t xml:space="preserve">) provides the administrative framework for the tax law. This includes the collection and recovery of income tax and other liabilities, objections, reviews and appeals processes, charges and penalties, </w:t>
      </w:r>
      <w:proofErr w:type="gramStart"/>
      <w:r>
        <w:rPr>
          <w:color w:val="000000"/>
        </w:rPr>
        <w:t>rulings</w:t>
      </w:r>
      <w:proofErr w:type="gramEnd"/>
      <w:r>
        <w:rPr>
          <w:color w:val="000000"/>
        </w:rPr>
        <w:t xml:space="preserve"> and other tax administration matters.</w:t>
      </w:r>
      <w:r w:rsidR="009C735B" w:rsidRPr="009C735B">
        <w:t xml:space="preserve"> </w:t>
      </w:r>
      <w:r w:rsidR="009C735B">
        <w:t xml:space="preserve">Personal and corporate information held by the </w:t>
      </w:r>
      <w:r w:rsidR="000A2133">
        <w:t>Australian Taxation Office (</w:t>
      </w:r>
      <w:r w:rsidR="009C735B">
        <w:t>ATO</w:t>
      </w:r>
      <w:r w:rsidR="000A2133">
        <w:t>)</w:t>
      </w:r>
      <w:r w:rsidR="009C735B">
        <w:t>, that is not publicly available, is subject to secrecy provisions and can only be disclosed to other Government agencies if authorised by law.</w:t>
      </w:r>
      <w:r w:rsidR="00690AB3">
        <w:t xml:space="preserve"> </w:t>
      </w:r>
      <w:r w:rsidR="00690AB3">
        <w:rPr>
          <w:color w:val="000000"/>
        </w:rPr>
        <w:t>It is a strict liability offence (punishable by two years’ imprisonment) for a taxation officer (an ATO employee, Commissioner or Second Commissioner) to record or disclose protected information</w:t>
      </w:r>
      <w:r w:rsidR="00FA67DD">
        <w:rPr>
          <w:color w:val="000000"/>
        </w:rPr>
        <w:t xml:space="preserve"> without being authorised by law</w:t>
      </w:r>
      <w:r w:rsidR="00690AB3">
        <w:rPr>
          <w:color w:val="000000"/>
        </w:rPr>
        <w:t xml:space="preserve">. </w:t>
      </w:r>
    </w:p>
    <w:p w14:paraId="53E0B35D" w14:textId="68218943" w:rsidR="00892D3B" w:rsidRDefault="00C55D29" w:rsidP="004A27A8">
      <w:pPr>
        <w:spacing w:before="240"/>
      </w:pPr>
      <w:r w:rsidRPr="003C5719">
        <w:t xml:space="preserve">Section </w:t>
      </w:r>
      <w:r w:rsidR="00AB116E">
        <w:t>18</w:t>
      </w:r>
      <w:r w:rsidR="005E4BAC" w:rsidRPr="003C5719">
        <w:t xml:space="preserve"> </w:t>
      </w:r>
      <w:r w:rsidR="00F109D4" w:rsidRPr="003C5719">
        <w:t xml:space="preserve">of the </w:t>
      </w:r>
      <w:r w:rsidR="000A2133">
        <w:t>Act</w:t>
      </w:r>
      <w:r w:rsidR="00F109D4" w:rsidRPr="003C5719">
        <w:t xml:space="preserve"> provides that the Governor</w:t>
      </w:r>
      <w:r w:rsidR="009E27A5">
        <w:noBreakHyphen/>
      </w:r>
      <w:r w:rsidR="00F109D4" w:rsidRPr="003C5719">
        <w:t xml:space="preserve">General may make regulations prescribing matters required or permitted by the </w:t>
      </w:r>
      <w:r w:rsidR="000A2133">
        <w:t>Act</w:t>
      </w:r>
      <w:r w:rsidR="00F109D4" w:rsidRPr="003C5719">
        <w:t xml:space="preserve"> to be prescribed, or necessary or convenient to be prescribed for carrying out or giving effect to the </w:t>
      </w:r>
      <w:r w:rsidR="000A2133">
        <w:t>Act</w:t>
      </w:r>
      <w:r w:rsidR="00F109D4" w:rsidRPr="003C5719">
        <w:t>.</w:t>
      </w:r>
      <w:r w:rsidR="00AB116E">
        <w:t xml:space="preserve"> Paragraph 355</w:t>
      </w:r>
      <w:r w:rsidR="00422F1F">
        <w:noBreakHyphen/>
      </w:r>
      <w:r w:rsidR="00AB116E">
        <w:t xml:space="preserve">70(1)(b) in Schedule 1 to the </w:t>
      </w:r>
      <w:r w:rsidR="000A2133">
        <w:t>Act</w:t>
      </w:r>
      <w:r w:rsidR="00AB116E">
        <w:t xml:space="preserve"> further provides that a taxation officer may disclose protected information to a</w:t>
      </w:r>
      <w:r w:rsidR="00FA67DD">
        <w:t>n</w:t>
      </w:r>
      <w:r w:rsidR="00AB116E">
        <w:t xml:space="preserve"> officer of a taskforce prescribed by regulations.</w:t>
      </w:r>
    </w:p>
    <w:p w14:paraId="3D0B73D1" w14:textId="2D181536" w:rsidR="002026BF" w:rsidRDefault="002026BF" w:rsidP="002026BF">
      <w:r>
        <w:t xml:space="preserve">The Regulations allow the ATO to share </w:t>
      </w:r>
      <w:r w:rsidR="0095005A">
        <w:t xml:space="preserve">information with the Operation </w:t>
      </w:r>
      <w:proofErr w:type="spellStart"/>
      <w:r w:rsidR="0095005A">
        <w:t>Protego</w:t>
      </w:r>
      <w:proofErr w:type="spellEnd"/>
      <w:r w:rsidR="0095005A">
        <w:t xml:space="preserve"> Integrity Taskforce</w:t>
      </w:r>
      <w:r w:rsidR="000A2133">
        <w:t xml:space="preserve"> (the Taskforce)</w:t>
      </w:r>
      <w:r w:rsidR="0095005A">
        <w:t xml:space="preserve"> to take </w:t>
      </w:r>
      <w:r w:rsidR="00A9503F">
        <w:t xml:space="preserve">investigative or </w:t>
      </w:r>
      <w:r w:rsidR="0095005A">
        <w:t xml:space="preserve">disciplinary action </w:t>
      </w:r>
      <w:r w:rsidR="00A9503F">
        <w:t xml:space="preserve">against </w:t>
      </w:r>
      <w:r w:rsidR="0095005A">
        <w:t>Commonwealth employees</w:t>
      </w:r>
      <w:r w:rsidR="00682F01">
        <w:t xml:space="preserve"> </w:t>
      </w:r>
      <w:r w:rsidR="0095005A">
        <w:t xml:space="preserve">suspected of engaging in misconduct in respect of goods and services tax (GST) fraud being investigated by the ATO as part of Operation </w:t>
      </w:r>
      <w:proofErr w:type="spellStart"/>
      <w:r w:rsidR="0095005A">
        <w:t>Protego</w:t>
      </w:r>
      <w:proofErr w:type="spellEnd"/>
      <w:r w:rsidR="00A9503F">
        <w:t xml:space="preserve">. The sharing of this information seeks to ensure the protection of public finances through better detection, </w:t>
      </w:r>
      <w:proofErr w:type="gramStart"/>
      <w:r w:rsidR="00A9503F">
        <w:t>management</w:t>
      </w:r>
      <w:proofErr w:type="gramEnd"/>
      <w:r w:rsidR="00A9503F">
        <w:t xml:space="preserve"> and prevention of</w:t>
      </w:r>
      <w:r w:rsidR="0095005A">
        <w:t xml:space="preserve"> fraud against the Commonwealth</w:t>
      </w:r>
      <w:r>
        <w:t xml:space="preserve">. A major purpose of the </w:t>
      </w:r>
      <w:r w:rsidR="007C797F">
        <w:t>Taskforce</w:t>
      </w:r>
      <w:r>
        <w:t xml:space="preserve"> is protecting the public finances of Australia,</w:t>
      </w:r>
      <w:r w:rsidR="00E06319">
        <w:t xml:space="preserve"> by </w:t>
      </w:r>
      <w:r w:rsidR="00E06319">
        <w:rPr>
          <w:color w:val="000000"/>
        </w:rPr>
        <w:t>better managing and mitigating risks of fraud and dishonesty within Commonwealth agencies,</w:t>
      </w:r>
      <w:r>
        <w:t xml:space="preserve"> consistent with subsection 355</w:t>
      </w:r>
      <w:r w:rsidR="000A2133">
        <w:noBreakHyphen/>
      </w:r>
      <w:r>
        <w:t xml:space="preserve">70(12) </w:t>
      </w:r>
      <w:r w:rsidR="00A9503F">
        <w:t xml:space="preserve">of </w:t>
      </w:r>
      <w:r>
        <w:t xml:space="preserve">Schedule 1 to the </w:t>
      </w:r>
      <w:r w:rsidR="000A2133">
        <w:t>Act</w:t>
      </w:r>
      <w:r>
        <w:t xml:space="preserve">. </w:t>
      </w:r>
    </w:p>
    <w:p w14:paraId="7B66F8FB" w14:textId="2296055D" w:rsidR="002026BF" w:rsidRDefault="002026BF" w:rsidP="002026BF">
      <w:pPr>
        <w:spacing w:before="240"/>
      </w:pPr>
      <w:r w:rsidRPr="00266D7E">
        <w:t xml:space="preserve">The Government </w:t>
      </w:r>
      <w:r w:rsidR="003862E1">
        <w:t xml:space="preserve">is assessing the impacts of the potential involvement of </w:t>
      </w:r>
      <w:r w:rsidR="00B80E08">
        <w:t>Commonwealth</w:t>
      </w:r>
      <w:r w:rsidR="003862E1">
        <w:t xml:space="preserve"> employee</w:t>
      </w:r>
      <w:r w:rsidR="00741C17">
        <w:t>s</w:t>
      </w:r>
      <w:r w:rsidR="00735AFA">
        <w:t xml:space="preserve"> in</w:t>
      </w:r>
      <w:r w:rsidR="00D61B1D" w:rsidRPr="00D61B1D">
        <w:t xml:space="preserve"> </w:t>
      </w:r>
      <w:r w:rsidR="00D61B1D">
        <w:t>GST fraud being investigated by the ATO as part of</w:t>
      </w:r>
      <w:r w:rsidR="00735AFA">
        <w:t xml:space="preserve"> Operation </w:t>
      </w:r>
      <w:proofErr w:type="spellStart"/>
      <w:r w:rsidR="00735AFA">
        <w:t>Protego</w:t>
      </w:r>
      <w:proofErr w:type="spellEnd"/>
      <w:r w:rsidR="00D61B1D">
        <w:t>.</w:t>
      </w:r>
      <w:r>
        <w:t xml:space="preserve"> </w:t>
      </w:r>
      <w:r w:rsidR="00F05323">
        <w:t xml:space="preserve">The Government is concerned that allegations </w:t>
      </w:r>
      <w:r w:rsidR="000A2133">
        <w:t xml:space="preserve">of Commonwealth employees involved in GST fraud </w:t>
      </w:r>
      <w:r w:rsidR="00F05323">
        <w:t xml:space="preserve">are very serious, </w:t>
      </w:r>
      <w:r w:rsidR="00EC382D">
        <w:t>given</w:t>
      </w:r>
      <w:r w:rsidR="00F05323">
        <w:t xml:space="preserve"> the misappropriation of public funds</w:t>
      </w:r>
      <w:r w:rsidR="001D14DB">
        <w:t>. The sharing of information to the Taskforce seek</w:t>
      </w:r>
      <w:r w:rsidR="00D61B1D">
        <w:t>s</w:t>
      </w:r>
      <w:r w:rsidR="001D14DB">
        <w:t xml:space="preserve"> to mitigate the risk of</w:t>
      </w:r>
      <w:r w:rsidR="00F05323">
        <w:t xml:space="preserve"> other Commonwealth funds</w:t>
      </w:r>
      <w:r w:rsidR="0085631F">
        <w:t xml:space="preserve"> </w:t>
      </w:r>
      <w:r w:rsidR="0095005A">
        <w:t>being misused</w:t>
      </w:r>
      <w:r w:rsidR="00F05323">
        <w:t xml:space="preserve"> and </w:t>
      </w:r>
      <w:r w:rsidR="0085631F">
        <w:t>protects</w:t>
      </w:r>
      <w:r w:rsidR="00F05323">
        <w:t xml:space="preserve"> the </w:t>
      </w:r>
      <w:r w:rsidR="00720791">
        <w:t>reputation</w:t>
      </w:r>
      <w:r w:rsidR="00F05323">
        <w:t xml:space="preserve"> of </w:t>
      </w:r>
      <w:r w:rsidR="00B80E08">
        <w:t>Commonwealth agencies</w:t>
      </w:r>
      <w:r w:rsidR="00F05323">
        <w:t xml:space="preserve"> and the public’s faith in th</w:t>
      </w:r>
      <w:r w:rsidR="00B80E08">
        <w:t>eir integrity</w:t>
      </w:r>
      <w:r w:rsidR="00F05323">
        <w:t>.</w:t>
      </w:r>
    </w:p>
    <w:p w14:paraId="7944084D" w14:textId="12579770" w:rsidR="001B3E74" w:rsidRDefault="00D70663" w:rsidP="002026BF">
      <w:pPr>
        <w:spacing w:before="240"/>
        <w:rPr>
          <w:color w:val="000000"/>
        </w:rPr>
      </w:pPr>
      <w:bookmarkStart w:id="0" w:name="_Hlk124508116"/>
      <w:r>
        <w:rPr>
          <w:color w:val="000000"/>
        </w:rPr>
        <w:t xml:space="preserve">The Regulations allow protected information to be shared by prescribing the Taskforce as a body or entity that can lawfully receive protected information. </w:t>
      </w:r>
      <w:r w:rsidR="000060E3">
        <w:rPr>
          <w:color w:val="000000"/>
        </w:rPr>
        <w:t xml:space="preserve">The use of this protected information is intended to facilitate </w:t>
      </w:r>
      <w:r w:rsidR="000A2133">
        <w:rPr>
          <w:color w:val="000000"/>
        </w:rPr>
        <w:t>civil or administrative investigations</w:t>
      </w:r>
      <w:r w:rsidR="000060E3">
        <w:rPr>
          <w:color w:val="000000"/>
        </w:rPr>
        <w:t xml:space="preserve"> of the potential involvement of Commonwealth employees in serious crimes (involving fraud or dishonesty) against the Commonwealth relating to Operation </w:t>
      </w:r>
      <w:proofErr w:type="spellStart"/>
      <w:r w:rsidR="000060E3">
        <w:rPr>
          <w:color w:val="000000"/>
        </w:rPr>
        <w:t>Protego</w:t>
      </w:r>
      <w:proofErr w:type="spellEnd"/>
      <w:r w:rsidR="000060E3">
        <w:rPr>
          <w:color w:val="000000"/>
        </w:rPr>
        <w:t xml:space="preserve"> and </w:t>
      </w:r>
      <w:r w:rsidR="00E31A97">
        <w:rPr>
          <w:color w:val="000000"/>
        </w:rPr>
        <w:t xml:space="preserve">to </w:t>
      </w:r>
      <w:r w:rsidR="000060E3">
        <w:rPr>
          <w:color w:val="000000"/>
        </w:rPr>
        <w:t xml:space="preserve">assist related investigations into suspected code of conduct breaches by Commonwealth employees. Facilitating such investigations is </w:t>
      </w:r>
      <w:r w:rsidR="001B3E74">
        <w:rPr>
          <w:color w:val="000000"/>
        </w:rPr>
        <w:t xml:space="preserve">a reasonable, </w:t>
      </w:r>
      <w:proofErr w:type="gramStart"/>
      <w:r w:rsidR="001B3E74">
        <w:rPr>
          <w:color w:val="000000"/>
        </w:rPr>
        <w:t>necessary</w:t>
      </w:r>
      <w:proofErr w:type="gramEnd"/>
      <w:r w:rsidR="001B3E74">
        <w:rPr>
          <w:color w:val="000000"/>
        </w:rPr>
        <w:t xml:space="preserve"> and proportionate approach</w:t>
      </w:r>
      <w:r w:rsidR="000060E3">
        <w:rPr>
          <w:color w:val="000000"/>
        </w:rPr>
        <w:t xml:space="preserve"> to </w:t>
      </w:r>
      <w:r w:rsidR="000060E3">
        <w:rPr>
          <w:color w:val="000000"/>
        </w:rPr>
        <w:lastRenderedPageBreak/>
        <w:t>better manage and mitigate risks of fraud and dishonesty within Commonwealth agencies to ensure the ongoing protection of the public finances of the Commonwealth. In addition to protecting Commonwealth finances, the Taskforce better equip</w:t>
      </w:r>
      <w:r w:rsidR="00E31A97">
        <w:rPr>
          <w:color w:val="000000"/>
        </w:rPr>
        <w:t>s</w:t>
      </w:r>
      <w:r w:rsidR="000060E3">
        <w:rPr>
          <w:color w:val="000000"/>
        </w:rPr>
        <w:t xml:space="preserve"> Commonwealth agencies to assist with investigations into serious crimes involving fraud and dishonesty relating to Operation </w:t>
      </w:r>
      <w:proofErr w:type="spellStart"/>
      <w:r w:rsidR="000060E3">
        <w:rPr>
          <w:color w:val="000000"/>
        </w:rPr>
        <w:t>Protego</w:t>
      </w:r>
      <w:proofErr w:type="spellEnd"/>
      <w:r w:rsidR="000060E3">
        <w:rPr>
          <w:color w:val="000000"/>
        </w:rPr>
        <w:t xml:space="preserve"> and </w:t>
      </w:r>
      <w:r w:rsidR="00E31A97">
        <w:rPr>
          <w:color w:val="000000"/>
        </w:rPr>
        <w:t>e</w:t>
      </w:r>
      <w:r w:rsidR="000060E3">
        <w:rPr>
          <w:color w:val="000000"/>
        </w:rPr>
        <w:t>nsure</w:t>
      </w:r>
      <w:r w:rsidR="00E31A97">
        <w:rPr>
          <w:color w:val="000000"/>
        </w:rPr>
        <w:t>s</w:t>
      </w:r>
      <w:r w:rsidR="000060E3">
        <w:rPr>
          <w:color w:val="000000"/>
        </w:rPr>
        <w:t xml:space="preserve"> the protection and safeguard of Commonwealth employee rights.</w:t>
      </w:r>
      <w:bookmarkEnd w:id="0"/>
    </w:p>
    <w:p w14:paraId="0625FA22" w14:textId="125196D3" w:rsidR="002026BF" w:rsidRDefault="002026BF" w:rsidP="002026BF">
      <w:pPr>
        <w:spacing w:before="240"/>
        <w:rPr>
          <w:color w:val="000000"/>
        </w:rPr>
      </w:pPr>
      <w:r>
        <w:rPr>
          <w:color w:val="000000"/>
        </w:rPr>
        <w:t xml:space="preserve">Officers of Government agencies, </w:t>
      </w:r>
      <w:r w:rsidR="000A2133">
        <w:rPr>
          <w:color w:val="000000"/>
        </w:rPr>
        <w:t xml:space="preserve">including the ATO, Australian Public Service Commission, Treasury, Australian Government Security Vetting Agency, the Australian Federal Police and other employer agencies, </w:t>
      </w:r>
      <w:r>
        <w:rPr>
          <w:color w:val="000000"/>
        </w:rPr>
        <w:t xml:space="preserve">which together constitute the Taskforce, remain subject to the on-disclosure rules in section 355-155 in Schedule 1 to the </w:t>
      </w:r>
      <w:r w:rsidR="001B7448">
        <w:rPr>
          <w:color w:val="000000"/>
        </w:rPr>
        <w:t>Act</w:t>
      </w:r>
      <w:r w:rsidR="0013434B">
        <w:rPr>
          <w:color w:val="000000"/>
        </w:rPr>
        <w:t>, ensuring ongoing protection of this protected information</w:t>
      </w:r>
      <w:r>
        <w:rPr>
          <w:color w:val="000000"/>
        </w:rPr>
        <w:t xml:space="preserve">. </w:t>
      </w:r>
    </w:p>
    <w:p w14:paraId="79F99A3A" w14:textId="1C498425" w:rsidR="002026BF" w:rsidRDefault="002026BF" w:rsidP="002026BF">
      <w:pPr>
        <w:spacing w:before="240"/>
      </w:pPr>
      <w:r>
        <w:t xml:space="preserve">This measure relates to administrative arrangements within </w:t>
      </w:r>
      <w:r w:rsidR="006D7AC1">
        <w:t>Commonwealth G</w:t>
      </w:r>
      <w:r>
        <w:t>overnment agencies and</w:t>
      </w:r>
      <w:r w:rsidR="006D7AC1">
        <w:t>,</w:t>
      </w:r>
      <w:r>
        <w:t xml:space="preserve"> as such</w:t>
      </w:r>
      <w:r w:rsidR="006D7AC1">
        <w:t>,</w:t>
      </w:r>
      <w:r>
        <w:t xml:space="preserve"> no public consultation was undertaken. However</w:t>
      </w:r>
      <w:r w:rsidR="0092695F">
        <w:t xml:space="preserve">, the ATO and </w:t>
      </w:r>
      <w:r w:rsidR="001B7448">
        <w:t xml:space="preserve">the </w:t>
      </w:r>
      <w:r w:rsidR="0092695F">
        <w:t>A</w:t>
      </w:r>
      <w:r w:rsidR="001B7448">
        <w:t xml:space="preserve">ustralian </w:t>
      </w:r>
      <w:r w:rsidR="0092695F">
        <w:t>P</w:t>
      </w:r>
      <w:r w:rsidR="001B7448">
        <w:t xml:space="preserve">ublic </w:t>
      </w:r>
      <w:r w:rsidR="0092695F">
        <w:t>S</w:t>
      </w:r>
      <w:r w:rsidR="001B7448">
        <w:t xml:space="preserve">ervice </w:t>
      </w:r>
      <w:r w:rsidR="0092695F">
        <w:t>C</w:t>
      </w:r>
      <w:r w:rsidR="001B7448">
        <w:t>ommission, along with other relevant government agencies</w:t>
      </w:r>
      <w:r w:rsidR="0092695F">
        <w:t xml:space="preserve"> </w:t>
      </w:r>
      <w:r>
        <w:t>were consulted in the development of the Regulations.</w:t>
      </w:r>
    </w:p>
    <w:p w14:paraId="779EA5E4" w14:textId="77777777" w:rsidR="002026BF" w:rsidRDefault="002026BF" w:rsidP="002026BF">
      <w:pPr>
        <w:spacing w:before="240"/>
      </w:pPr>
      <w:r>
        <w:t xml:space="preserve">Details of the Regulations are set out in </w:t>
      </w:r>
      <w:r w:rsidRPr="00317816">
        <w:rPr>
          <w:u w:val="single"/>
        </w:rPr>
        <w:t>Attachment</w:t>
      </w:r>
      <w:r>
        <w:rPr>
          <w:u w:val="single"/>
        </w:rPr>
        <w:t xml:space="preserve"> A</w:t>
      </w:r>
      <w:r w:rsidRPr="00CE742E">
        <w:t>.</w:t>
      </w:r>
      <w:r>
        <w:t xml:space="preserve"> </w:t>
      </w:r>
    </w:p>
    <w:p w14:paraId="1C4F21BA" w14:textId="77777777" w:rsidR="002026BF" w:rsidRDefault="002026BF" w:rsidP="002026BF">
      <w:pPr>
        <w:spacing w:before="240"/>
      </w:pPr>
      <w:r>
        <w:t xml:space="preserve">The Regulations are a legislative instrument for the purposes of the </w:t>
      </w:r>
      <w:r w:rsidRPr="2278B0DA">
        <w:rPr>
          <w:i/>
          <w:iCs/>
        </w:rPr>
        <w:t>Legislation Act 2003</w:t>
      </w:r>
      <w:r>
        <w:t>.</w:t>
      </w:r>
    </w:p>
    <w:p w14:paraId="19566225" w14:textId="77777777" w:rsidR="00422DAC" w:rsidRDefault="00422DAC" w:rsidP="00422DAC">
      <w:pPr>
        <w:pStyle w:val="NormalWeb"/>
        <w:spacing w:after="120" w:afterAutospacing="0"/>
      </w:pPr>
      <w:r>
        <w:t xml:space="preserve">The Regulations are subject to disallowance under section 42 of the </w:t>
      </w:r>
      <w:r>
        <w:rPr>
          <w:i/>
          <w:iCs/>
        </w:rPr>
        <w:t>Legislation Act 2003</w:t>
      </w:r>
      <w:r>
        <w:t>.</w:t>
      </w:r>
    </w:p>
    <w:p w14:paraId="70EE2D41" w14:textId="6AA2AA91" w:rsidR="00422DAC" w:rsidRDefault="00422DAC" w:rsidP="000060E3">
      <w:pPr>
        <w:pStyle w:val="NormalWeb"/>
        <w:spacing w:after="120" w:afterAutospacing="0"/>
      </w:pPr>
      <w:r>
        <w:t xml:space="preserve">The Regulations are subject to sunsetting under section 50 of the </w:t>
      </w:r>
      <w:r>
        <w:rPr>
          <w:i/>
          <w:iCs/>
        </w:rPr>
        <w:t>Legislation Act 2003</w:t>
      </w:r>
      <w:r>
        <w:t>. </w:t>
      </w:r>
    </w:p>
    <w:p w14:paraId="22CDA6D4" w14:textId="77777777" w:rsidR="002026BF" w:rsidRPr="00647BB7" w:rsidRDefault="002026BF" w:rsidP="002026BF">
      <w:pPr>
        <w:spacing w:before="240"/>
        <w:rPr>
          <w:i/>
        </w:rPr>
      </w:pPr>
      <w:r w:rsidRPr="00503E44">
        <w:t xml:space="preserve">The Regulations commence </w:t>
      </w:r>
      <w:r>
        <w:t>the day after they are registered on the Federal Register of Legislation.</w:t>
      </w:r>
    </w:p>
    <w:p w14:paraId="2E32A2E6" w14:textId="77777777" w:rsidR="00D514D0" w:rsidRDefault="00D514D0" w:rsidP="00D514D0">
      <w:pPr>
        <w:pStyle w:val="Heading2"/>
        <w:spacing w:before="360" w:after="120"/>
        <w:rPr>
          <w:b w:val="0"/>
          <w:sz w:val="24"/>
          <w:szCs w:val="24"/>
          <w:u w:val="none"/>
        </w:rPr>
      </w:pPr>
      <w:r w:rsidRPr="00462095">
        <w:rPr>
          <w:sz w:val="24"/>
          <w:szCs w:val="24"/>
        </w:rPr>
        <w:t>Regulation Impact Statement</w:t>
      </w:r>
      <w:r>
        <w:rPr>
          <w:b w:val="0"/>
          <w:sz w:val="24"/>
          <w:szCs w:val="24"/>
          <w:u w:val="none"/>
        </w:rPr>
        <w:t xml:space="preserve"> </w:t>
      </w:r>
    </w:p>
    <w:p w14:paraId="17C369E7" w14:textId="13438132" w:rsidR="00D514D0" w:rsidRDefault="00D514D0" w:rsidP="00D514D0">
      <w:pPr>
        <w:spacing w:before="240"/>
      </w:pPr>
      <w:r w:rsidRPr="003C5719">
        <w:t xml:space="preserve">The Office of Impact Analysis (OIA) has been consulted (OIA </w:t>
      </w:r>
      <w:r>
        <w:t xml:space="preserve">ref: </w:t>
      </w:r>
      <w:sdt>
        <w:sdtPr>
          <w:id w:val="581026769"/>
          <w:placeholder>
            <w:docPart w:val="C16D8B23A5844232B7326F96A1E46159"/>
          </w:placeholder>
        </w:sdtPr>
        <w:sdtEndPr/>
        <w:sdtContent>
          <w:r w:rsidR="00EB73C4">
            <w:t>OIA24-06567</w:t>
          </w:r>
        </w:sdtContent>
      </w:sdt>
      <w:r w:rsidRPr="003C5719">
        <w:t xml:space="preserve">) and agreed that </w:t>
      </w:r>
      <w:r w:rsidR="00EB73C4">
        <w:t>an Impact Analysis is not required.</w:t>
      </w:r>
      <w:r w:rsidRPr="003C5719">
        <w:t xml:space="preserve"> </w:t>
      </w:r>
      <w:r w:rsidR="00EB73C4">
        <w:t>The measure has no impact on compliance costs</w:t>
      </w:r>
      <w:r w:rsidRPr="003C5719">
        <w:t xml:space="preserve">. </w:t>
      </w:r>
    </w:p>
    <w:p w14:paraId="06D011D1" w14:textId="77777777" w:rsidR="00D514D0" w:rsidRPr="00013390" w:rsidRDefault="00D514D0" w:rsidP="00D514D0">
      <w:pPr>
        <w:spacing w:before="240"/>
      </w:pPr>
      <w:r>
        <w:t xml:space="preserve">A statement of Compatibility with Human Rights is at </w:t>
      </w:r>
      <w:r w:rsidRPr="000B39A1">
        <w:rPr>
          <w:u w:val="single"/>
        </w:rPr>
        <w:t xml:space="preserve">Attachment </w:t>
      </w:r>
      <w:r>
        <w:rPr>
          <w:u w:val="single"/>
        </w:rPr>
        <w:t>B</w:t>
      </w:r>
      <w:r>
        <w:t>.</w:t>
      </w:r>
    </w:p>
    <w:p w14:paraId="36A7E066" w14:textId="77777777" w:rsidR="00EB2AEF" w:rsidRPr="003C5719" w:rsidRDefault="00EB2AEF" w:rsidP="004A27A8">
      <w:pPr>
        <w:spacing w:before="240"/>
      </w:pPr>
    </w:p>
    <w:p w14:paraId="61587F72" w14:textId="3F71B76D" w:rsidR="00EA4DD8" w:rsidRPr="003C5719" w:rsidRDefault="00EA4DD8" w:rsidP="004A27A8">
      <w:pPr>
        <w:pageBreakBefore/>
        <w:spacing w:before="240"/>
        <w:jc w:val="right"/>
        <w:rPr>
          <w:b/>
          <w:u w:val="single"/>
        </w:rPr>
      </w:pPr>
      <w:r w:rsidRPr="003C5719">
        <w:rPr>
          <w:b/>
          <w:u w:val="single"/>
        </w:rPr>
        <w:lastRenderedPageBreak/>
        <w:t xml:space="preserve">ATTACHMENT </w:t>
      </w:r>
      <w:r w:rsidR="00721E2F">
        <w:rPr>
          <w:b/>
          <w:u w:val="single"/>
        </w:rPr>
        <w:t>A</w:t>
      </w:r>
    </w:p>
    <w:p w14:paraId="1B1E22D1" w14:textId="73F4090A" w:rsidR="00EA4DD8" w:rsidRPr="003C5719" w:rsidRDefault="00EA4DD8" w:rsidP="004A27A8">
      <w:pPr>
        <w:spacing w:before="240"/>
        <w:rPr>
          <w:b/>
          <w:bCs/>
          <w:szCs w:val="24"/>
          <w:u w:val="single"/>
        </w:rPr>
      </w:pPr>
      <w:r w:rsidRPr="003C5719">
        <w:rPr>
          <w:b/>
          <w:bCs/>
          <w:u w:val="single"/>
        </w:rPr>
        <w:t xml:space="preserve">Details of the </w:t>
      </w:r>
      <w:bookmarkStart w:id="1" w:name="_Hlk156470180"/>
      <w:r w:rsidR="001261CA">
        <w:rPr>
          <w:b/>
          <w:i/>
          <w:u w:val="single"/>
        </w:rPr>
        <w:t>Taxation Administration</w:t>
      </w:r>
      <w:r w:rsidR="00721E2F" w:rsidRPr="005C4C1E">
        <w:rPr>
          <w:b/>
          <w:i/>
          <w:u w:val="single"/>
        </w:rPr>
        <w:t xml:space="preserve"> Amendment (Disclosure of Information to </w:t>
      </w:r>
      <w:r w:rsidR="007C797F">
        <w:rPr>
          <w:b/>
          <w:i/>
          <w:u w:val="single"/>
        </w:rPr>
        <w:t xml:space="preserve">Operation </w:t>
      </w:r>
      <w:proofErr w:type="spellStart"/>
      <w:r w:rsidR="007C797F">
        <w:rPr>
          <w:b/>
          <w:i/>
          <w:u w:val="single"/>
        </w:rPr>
        <w:t>Protego</w:t>
      </w:r>
      <w:proofErr w:type="spellEnd"/>
      <w:r w:rsidR="007C797F">
        <w:rPr>
          <w:b/>
          <w:i/>
          <w:u w:val="single"/>
        </w:rPr>
        <w:t xml:space="preserve"> Integrity Taskforce</w:t>
      </w:r>
      <w:r w:rsidR="00721E2F" w:rsidRPr="005C4C1E">
        <w:rPr>
          <w:b/>
          <w:i/>
          <w:u w:val="single"/>
        </w:rPr>
        <w:t>) Regulations 202</w:t>
      </w:r>
      <w:r w:rsidR="00721E2F">
        <w:rPr>
          <w:b/>
          <w:i/>
          <w:u w:val="single"/>
        </w:rPr>
        <w:t>4</w:t>
      </w:r>
      <w:r w:rsidR="00721E2F" w:rsidRPr="005C4C1E">
        <w:rPr>
          <w:b/>
          <w:bCs/>
          <w:u w:val="single"/>
        </w:rPr>
        <w:t xml:space="preserve"> </w:t>
      </w:r>
      <w:r w:rsidRPr="003C5719">
        <w:rPr>
          <w:b/>
          <w:bCs/>
          <w:u w:val="single"/>
        </w:rPr>
        <w:t xml:space="preserve"> </w:t>
      </w:r>
      <w:bookmarkEnd w:id="1"/>
    </w:p>
    <w:p w14:paraId="6E2A5CB4" w14:textId="1281D9E4"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r w:rsidR="00EA2D5C">
        <w:rPr>
          <w:u w:val="single"/>
        </w:rPr>
        <w:t>of Regulations</w:t>
      </w:r>
    </w:p>
    <w:p w14:paraId="6A3348BE" w14:textId="1C18CAD8" w:rsidR="00EA4DD8" w:rsidRPr="003C5719" w:rsidRDefault="00EA4DD8" w:rsidP="004A27A8">
      <w:pPr>
        <w:spacing w:before="240"/>
      </w:pPr>
      <w:r w:rsidRPr="003C5719">
        <w:t xml:space="preserve">This section provides that the </w:t>
      </w:r>
      <w:r w:rsidR="00EA2D5C">
        <w:t>title</w:t>
      </w:r>
      <w:r w:rsidRPr="003C5719">
        <w:t xml:space="preserve"> of the </w:t>
      </w:r>
      <w:r w:rsidR="00A760F0" w:rsidRPr="003C5719">
        <w:t>r</w:t>
      </w:r>
      <w:r w:rsidRPr="003C5719">
        <w:t xml:space="preserve">egulations is the </w:t>
      </w:r>
      <w:r w:rsidR="00E03291">
        <w:rPr>
          <w:i/>
        </w:rPr>
        <w:t>Taxation Administration</w:t>
      </w:r>
      <w:r w:rsidR="00EA2D5C" w:rsidRPr="00EA2D5C">
        <w:rPr>
          <w:i/>
        </w:rPr>
        <w:t xml:space="preserve"> Amendment (Disclosure of Information to </w:t>
      </w:r>
      <w:r w:rsidR="007C797F">
        <w:rPr>
          <w:i/>
        </w:rPr>
        <w:t>Operation Protego Integrity Taskforce</w:t>
      </w:r>
      <w:r w:rsidR="00EA2D5C" w:rsidRPr="00EA2D5C">
        <w:rPr>
          <w:i/>
        </w:rPr>
        <w:t xml:space="preserve">) Regulations 2024 </w:t>
      </w:r>
      <w:r w:rsidRPr="003C5719">
        <w:t>(the Regulations).</w:t>
      </w:r>
    </w:p>
    <w:p w14:paraId="4C7A9BD5" w14:textId="77777777" w:rsidR="00EA4DD8" w:rsidRPr="003C5719" w:rsidRDefault="00EA4DD8" w:rsidP="004A27A8">
      <w:pPr>
        <w:spacing w:before="240"/>
        <w:rPr>
          <w:u w:val="single"/>
        </w:rPr>
      </w:pPr>
      <w:r w:rsidRPr="003C5719">
        <w:rPr>
          <w:u w:val="single"/>
        </w:rPr>
        <w:t>Section 2 – Commencement</w:t>
      </w:r>
    </w:p>
    <w:p w14:paraId="16B9090E" w14:textId="217287A5" w:rsidR="00EA4DD8" w:rsidRPr="003C5719" w:rsidRDefault="00EA2D5C" w:rsidP="004A27A8">
      <w:pPr>
        <w:spacing w:before="240"/>
      </w:pPr>
      <w:r>
        <w:t>This section provides that the Regulations commence</w:t>
      </w:r>
      <w:r w:rsidR="00EA4DD8" w:rsidRPr="003C5719">
        <w:t xml:space="preserve"> on </w:t>
      </w:r>
      <w:r w:rsidR="00EA4DD8" w:rsidRPr="006F683C">
        <w:t xml:space="preserve">the day after </w:t>
      </w:r>
      <w:r>
        <w:t>registration</w:t>
      </w:r>
      <w:r w:rsidR="00EA4DD8" w:rsidRPr="006F683C">
        <w:t xml:space="preserve"> </w:t>
      </w:r>
      <w:r w:rsidR="00EA4DD8" w:rsidRPr="003C5719">
        <w:t>on the Federal Register of Legislation.</w:t>
      </w:r>
      <w:r w:rsidR="005858FB">
        <w:t xml:space="preserve"> </w:t>
      </w:r>
    </w:p>
    <w:p w14:paraId="539D2D49" w14:textId="77777777" w:rsidR="00EA4DD8" w:rsidRPr="003C5719" w:rsidRDefault="00EA4DD8" w:rsidP="004A27A8">
      <w:pPr>
        <w:spacing w:before="240"/>
        <w:rPr>
          <w:u w:val="single"/>
        </w:rPr>
      </w:pPr>
      <w:r w:rsidRPr="003C5719">
        <w:rPr>
          <w:u w:val="single"/>
        </w:rPr>
        <w:t>Section 3 – Authority</w:t>
      </w:r>
    </w:p>
    <w:p w14:paraId="4FDF2322" w14:textId="653E90B8" w:rsidR="00EA4DD8" w:rsidRPr="003C5719" w:rsidRDefault="00367CE7" w:rsidP="004A27A8">
      <w:pPr>
        <w:spacing w:before="240"/>
      </w:pPr>
      <w:r>
        <w:t>This section provides that th</w:t>
      </w:r>
      <w:r w:rsidR="00FE1BF0">
        <w:t>e</w:t>
      </w:r>
      <w:r w:rsidR="0026217D">
        <w:t xml:space="preserve"> </w:t>
      </w:r>
      <w:r w:rsidR="0026217D" w:rsidRPr="0026217D">
        <w:t xml:space="preserve">instrument is </w:t>
      </w:r>
      <w:r w:rsidRPr="0026217D">
        <w:t>made</w:t>
      </w:r>
      <w:r>
        <w:t xml:space="preserve"> under the </w:t>
      </w:r>
      <w:r w:rsidRPr="00367CE7">
        <w:rPr>
          <w:i/>
          <w:iCs/>
        </w:rPr>
        <w:t>Taxation Administration Act 1953</w:t>
      </w:r>
      <w:r w:rsidR="00EA4DD8" w:rsidRPr="003C5719">
        <w:t xml:space="preserve"> (the Act).</w:t>
      </w:r>
    </w:p>
    <w:p w14:paraId="3E53B27B" w14:textId="3072D79B" w:rsidR="00EA4DD8" w:rsidRPr="003C5719" w:rsidRDefault="00EA4DD8" w:rsidP="004A27A8">
      <w:pPr>
        <w:spacing w:before="240"/>
        <w:rPr>
          <w:u w:val="single"/>
        </w:rPr>
      </w:pPr>
      <w:r w:rsidRPr="003C5719">
        <w:rPr>
          <w:u w:val="single"/>
        </w:rPr>
        <w:t>Section 4 – Schedule</w:t>
      </w:r>
    </w:p>
    <w:p w14:paraId="2BF2FE70" w14:textId="0DDEFF9B" w:rsidR="00EA4DD8" w:rsidRDefault="00EA4DD8" w:rsidP="00466DD5">
      <w:pPr>
        <w:spacing w:before="240" w:after="200"/>
      </w:pPr>
      <w:r w:rsidRPr="003C5719">
        <w:t xml:space="preserve">This section provides that each instrument that is specified in </w:t>
      </w:r>
      <w:r w:rsidR="00FC0DDF">
        <w:t>a</w:t>
      </w:r>
      <w:r w:rsidRPr="003C5719">
        <w:t xml:space="preserve"> Schedule to this instrument </w:t>
      </w:r>
      <w:r w:rsidR="00FC0DDF">
        <w:t>is</w:t>
      </w:r>
      <w:r w:rsidR="005D7E35">
        <w:t xml:space="preserve"> </w:t>
      </w:r>
      <w:r w:rsidRPr="003C5719">
        <w:t>amended or repealed as set out in the applicable items in the Schedule, and any other item in the Schedule to this instrument has effect according to its terms.</w:t>
      </w:r>
    </w:p>
    <w:p w14:paraId="12E4CA86" w14:textId="22C87023" w:rsidR="00FC0DDF" w:rsidRDefault="00FC0DDF" w:rsidP="00466DD5">
      <w:pPr>
        <w:spacing w:before="240" w:after="200"/>
      </w:pPr>
      <w:r>
        <w:rPr>
          <w:u w:val="single"/>
        </w:rPr>
        <w:t xml:space="preserve">Schedule 1 – Amendments  </w:t>
      </w:r>
    </w:p>
    <w:p w14:paraId="279B131B" w14:textId="77777777" w:rsidR="00FC0DDF" w:rsidRDefault="00FC0DDF" w:rsidP="00FC0DDF">
      <w:pPr>
        <w:spacing w:before="240" w:after="0"/>
        <w:ind w:right="91"/>
        <w:rPr>
          <w:i/>
          <w:iCs/>
        </w:rPr>
      </w:pPr>
      <w:r>
        <w:rPr>
          <w:i/>
          <w:iCs/>
          <w:color w:val="000000"/>
        </w:rPr>
        <w:t xml:space="preserve">Taxation Administration </w:t>
      </w:r>
      <w:r>
        <w:rPr>
          <w:i/>
          <w:iCs/>
        </w:rPr>
        <w:t>Regulations 2017</w:t>
      </w:r>
    </w:p>
    <w:p w14:paraId="0338ACCF" w14:textId="7F705BDB" w:rsidR="00FC0DDF" w:rsidRDefault="00FC0DDF" w:rsidP="00FC0DDF">
      <w:pPr>
        <w:spacing w:before="240" w:after="0"/>
        <w:ind w:right="91"/>
        <w:rPr>
          <w:b/>
          <w:bCs/>
          <w:color w:val="000000"/>
        </w:rPr>
      </w:pPr>
      <w:r>
        <w:rPr>
          <w:b/>
          <w:bCs/>
          <w:color w:val="000000"/>
        </w:rPr>
        <w:t>Item [</w:t>
      </w:r>
      <w:r w:rsidR="009A6807">
        <w:rPr>
          <w:b/>
          <w:bCs/>
          <w:color w:val="000000"/>
        </w:rPr>
        <w:t>1</w:t>
      </w:r>
      <w:r>
        <w:rPr>
          <w:b/>
          <w:bCs/>
          <w:color w:val="000000"/>
        </w:rPr>
        <w:t xml:space="preserve">] – Addition of the </w:t>
      </w:r>
      <w:r w:rsidR="007C797F">
        <w:rPr>
          <w:b/>
          <w:bCs/>
          <w:color w:val="000000"/>
        </w:rPr>
        <w:t>Operation Protego Integrity Taskforce</w:t>
      </w:r>
      <w:r>
        <w:rPr>
          <w:b/>
          <w:bCs/>
          <w:color w:val="000000"/>
        </w:rPr>
        <w:t xml:space="preserve"> to the table of prescribed taskforces</w:t>
      </w:r>
    </w:p>
    <w:p w14:paraId="304A24F1" w14:textId="1793652F" w:rsidR="00FC0DDF" w:rsidRDefault="00FC0DDF" w:rsidP="00FC0DDF">
      <w:pPr>
        <w:spacing w:before="240"/>
        <w:rPr>
          <w:color w:val="000000"/>
        </w:rPr>
      </w:pPr>
      <w:r>
        <w:rPr>
          <w:color w:val="000000"/>
        </w:rPr>
        <w:t>This item amends Regulation 67</w:t>
      </w:r>
      <w:r>
        <w:rPr>
          <w:i/>
          <w:iCs/>
          <w:color w:val="000000"/>
        </w:rPr>
        <w:t xml:space="preserve"> </w:t>
      </w:r>
      <w:r>
        <w:rPr>
          <w:color w:val="000000"/>
        </w:rPr>
        <w:t xml:space="preserve">of the </w:t>
      </w:r>
      <w:r>
        <w:rPr>
          <w:i/>
          <w:iCs/>
          <w:color w:val="000000"/>
        </w:rPr>
        <w:t>Taxation Administration Regulations 2017</w:t>
      </w:r>
      <w:r>
        <w:rPr>
          <w:color w:val="000000"/>
        </w:rPr>
        <w:t xml:space="preserve"> to add the </w:t>
      </w:r>
      <w:r w:rsidR="007C797F">
        <w:rPr>
          <w:color w:val="000000"/>
        </w:rPr>
        <w:t>Operation Protego Integrity Taskforce</w:t>
      </w:r>
      <w:r>
        <w:rPr>
          <w:color w:val="000000"/>
        </w:rPr>
        <w:t xml:space="preserve"> to the list of prescribed taskforces. This allows taxation officers to share protected information with </w:t>
      </w:r>
      <w:r w:rsidR="00FD67E6">
        <w:rPr>
          <w:color w:val="000000"/>
        </w:rPr>
        <w:t xml:space="preserve">taskforce </w:t>
      </w:r>
      <w:r>
        <w:rPr>
          <w:color w:val="000000"/>
        </w:rPr>
        <w:t xml:space="preserve">officers of Government agencies, which together constitute the </w:t>
      </w:r>
      <w:r w:rsidR="007C797F">
        <w:rPr>
          <w:color w:val="000000"/>
        </w:rPr>
        <w:t>Operation Protego Integrity Taskforce</w:t>
      </w:r>
      <w:r>
        <w:rPr>
          <w:color w:val="000000"/>
        </w:rPr>
        <w:t>, where the record or disclosure is for or in connection with a purpose of the taskforce.</w:t>
      </w:r>
    </w:p>
    <w:p w14:paraId="2777FDAF" w14:textId="424D208E" w:rsidR="00FC0DDF" w:rsidRDefault="00FC0DDF" w:rsidP="00FC0DDF">
      <w:pPr>
        <w:spacing w:before="240"/>
        <w:rPr>
          <w:color w:val="000000"/>
        </w:rPr>
      </w:pPr>
      <w:r>
        <w:rPr>
          <w:color w:val="000000"/>
        </w:rPr>
        <w:t>The list of prescribed taskforces relates to Item 4 of the table in subsection 355</w:t>
      </w:r>
      <w:r>
        <w:rPr>
          <w:color w:val="000000"/>
        </w:rPr>
        <w:noBreakHyphen/>
        <w:t xml:space="preserve">70(1) in Schedule 1 to the </w:t>
      </w:r>
      <w:r w:rsidR="009A6807">
        <w:rPr>
          <w:color w:val="000000"/>
        </w:rPr>
        <w:t>Act</w:t>
      </w:r>
      <w:r>
        <w:rPr>
          <w:color w:val="000000"/>
        </w:rPr>
        <w:t xml:space="preserve">, which protects from liability for disclosure of records made or disclosed to a taskforce officer of a prescribed taskforce that is for or in connection with a purpose of the prescribed taskforce. A taskforce officer is an entity who holds an office in, is employed in, or is performing services for, an agency in the prescribed taskforce (subsection 355-70(11) in Schedule 1 to the </w:t>
      </w:r>
      <w:r w:rsidR="009A6807">
        <w:rPr>
          <w:color w:val="000000"/>
        </w:rPr>
        <w:t>Act</w:t>
      </w:r>
      <w:r w:rsidR="00935202">
        <w:rPr>
          <w:color w:val="000000"/>
        </w:rPr>
        <w:t>)</w:t>
      </w:r>
      <w:r>
        <w:rPr>
          <w:color w:val="000000"/>
        </w:rPr>
        <w:t xml:space="preserve">. </w:t>
      </w:r>
    </w:p>
    <w:p w14:paraId="414BDBAB" w14:textId="3E237808" w:rsidR="00FC0DDF" w:rsidRDefault="00FC0DDF" w:rsidP="00FC0DDF">
      <w:pPr>
        <w:spacing w:before="240" w:after="0"/>
        <w:ind w:right="91"/>
        <w:rPr>
          <w:b/>
          <w:bCs/>
          <w:color w:val="000000"/>
        </w:rPr>
      </w:pPr>
      <w:r>
        <w:rPr>
          <w:b/>
          <w:bCs/>
          <w:color w:val="000000"/>
        </w:rPr>
        <w:t>Item [</w:t>
      </w:r>
      <w:r w:rsidR="009A6807">
        <w:rPr>
          <w:b/>
          <w:bCs/>
          <w:color w:val="000000"/>
        </w:rPr>
        <w:t>2</w:t>
      </w:r>
      <w:r>
        <w:rPr>
          <w:b/>
          <w:bCs/>
          <w:color w:val="000000"/>
        </w:rPr>
        <w:t>] – Transitional Provisions</w:t>
      </w:r>
    </w:p>
    <w:p w14:paraId="163718B3" w14:textId="77777777" w:rsidR="00FC0DDF" w:rsidRDefault="00FC0DDF" w:rsidP="00FC0DDF">
      <w:pPr>
        <w:spacing w:before="240" w:after="0"/>
        <w:ind w:right="91"/>
        <w:rPr>
          <w:color w:val="000000"/>
        </w:rPr>
      </w:pPr>
      <w:r w:rsidRPr="4A1DCB43">
        <w:rPr>
          <w:color w:val="000000" w:themeColor="text1"/>
        </w:rPr>
        <w:t>This item provides transitional provisions to allow for the sharing of information obtained before, on or after the commencement of the Regulations.</w:t>
      </w:r>
    </w:p>
    <w:p w14:paraId="48796C31" w14:textId="77777777" w:rsidR="005B6B84" w:rsidRDefault="005B6B84" w:rsidP="005B6B84">
      <w:pPr>
        <w:pageBreakBefore/>
        <w:spacing w:before="240"/>
        <w:jc w:val="right"/>
        <w:rPr>
          <w:b/>
          <w:u w:val="single"/>
        </w:rPr>
      </w:pPr>
      <w:r w:rsidRPr="007B335E">
        <w:rPr>
          <w:b/>
          <w:u w:val="single"/>
        </w:rPr>
        <w:lastRenderedPageBreak/>
        <w:t xml:space="preserve">ATTACHMENT </w:t>
      </w:r>
      <w:r>
        <w:rPr>
          <w:b/>
          <w:u w:val="single"/>
        </w:rPr>
        <w:t>B</w:t>
      </w:r>
    </w:p>
    <w:p w14:paraId="75385C54" w14:textId="77777777" w:rsidR="005B6B84" w:rsidRPr="00462095" w:rsidRDefault="005B6B84" w:rsidP="005B6B84">
      <w:pPr>
        <w:pStyle w:val="Heading3"/>
      </w:pPr>
      <w:r w:rsidRPr="00462095">
        <w:t>Statement of Compatibility with Human Rights</w:t>
      </w:r>
    </w:p>
    <w:p w14:paraId="0E3AFC21" w14:textId="77777777" w:rsidR="005B6B84" w:rsidRPr="00647BB7" w:rsidRDefault="005B6B84" w:rsidP="005B6B84">
      <w:pPr>
        <w:spacing w:before="240"/>
        <w:jc w:val="center"/>
        <w:rPr>
          <w:i/>
        </w:rPr>
      </w:pPr>
      <w:r w:rsidRPr="00647BB7">
        <w:rPr>
          <w:i/>
        </w:rPr>
        <w:t>Prepared in accordance with Part 3 of the Human Rights (Parliamentary Scrutiny) Act 2011</w:t>
      </w:r>
    </w:p>
    <w:p w14:paraId="07E729FA" w14:textId="360B5910" w:rsidR="005B6B84" w:rsidRPr="003F0D87" w:rsidRDefault="00C73440" w:rsidP="005B6B84">
      <w:pPr>
        <w:tabs>
          <w:tab w:val="left" w:pos="1418"/>
        </w:tabs>
        <w:spacing w:before="0" w:after="240"/>
        <w:jc w:val="center"/>
        <w:rPr>
          <w:b/>
          <w:bCs/>
          <w:iCs/>
        </w:rPr>
      </w:pPr>
      <w:r>
        <w:rPr>
          <w:b/>
          <w:bCs/>
          <w:iCs/>
        </w:rPr>
        <w:t>Taxation Administration</w:t>
      </w:r>
      <w:r w:rsidR="005B6B84" w:rsidRPr="003F0D87">
        <w:rPr>
          <w:b/>
          <w:bCs/>
          <w:iCs/>
        </w:rPr>
        <w:t xml:space="preserve"> Amendment (Disclosure of Information to </w:t>
      </w:r>
      <w:r w:rsidR="007C797F">
        <w:rPr>
          <w:b/>
          <w:bCs/>
          <w:iCs/>
        </w:rPr>
        <w:t>Operation Protego Integrity Taskforce</w:t>
      </w:r>
      <w:r w:rsidR="005B6B84" w:rsidRPr="003F0D87">
        <w:rPr>
          <w:b/>
          <w:bCs/>
          <w:iCs/>
        </w:rPr>
        <w:t>) Regulations 202</w:t>
      </w:r>
      <w:r w:rsidR="005B6B84">
        <w:rPr>
          <w:b/>
          <w:bCs/>
          <w:iCs/>
        </w:rPr>
        <w:t>4</w:t>
      </w:r>
    </w:p>
    <w:p w14:paraId="4A4200D6" w14:textId="77777777" w:rsidR="005B6B84" w:rsidRPr="00647BB7" w:rsidRDefault="005B6B84" w:rsidP="005B6B84">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6126E13D" w14:textId="77777777" w:rsidR="005B6B84" w:rsidRPr="00196679" w:rsidRDefault="005B6B84" w:rsidP="005B6B84">
      <w:pPr>
        <w:pStyle w:val="Heading3"/>
      </w:pPr>
      <w:r w:rsidRPr="00196679">
        <w:t>Overview of the Legislative Instrument</w:t>
      </w:r>
    </w:p>
    <w:p w14:paraId="2B9BD6A6" w14:textId="090ECDD1" w:rsidR="005B6B84" w:rsidRDefault="005B6B84" w:rsidP="005B6B84">
      <w:r w:rsidRPr="00196679">
        <w:t xml:space="preserve">The Regulations amend the </w:t>
      </w:r>
      <w:r w:rsidRPr="00196679">
        <w:rPr>
          <w:i/>
          <w:iCs/>
        </w:rPr>
        <w:t>Taxation Administration Regulations 2017</w:t>
      </w:r>
      <w:r w:rsidRPr="00196679">
        <w:t xml:space="preserve"> to include the </w:t>
      </w:r>
      <w:r w:rsidR="007C797F">
        <w:t>Operation Protego Integrity Taskforce</w:t>
      </w:r>
      <w:r w:rsidRPr="00196679">
        <w:t xml:space="preserve"> (the Taskforce) as a prescribed taskforce to enable the disclosure of protected information</w:t>
      </w:r>
      <w:r w:rsidR="008412E0">
        <w:t xml:space="preserve"> by taxation officers to </w:t>
      </w:r>
      <w:r w:rsidR="005B332A">
        <w:t>T</w:t>
      </w:r>
      <w:r w:rsidR="008412E0">
        <w:t>askforce officers</w:t>
      </w:r>
      <w:r w:rsidRPr="00196679">
        <w:t>.</w:t>
      </w:r>
    </w:p>
    <w:p w14:paraId="2EB125FB" w14:textId="62C61FFE" w:rsidR="00302DB3" w:rsidRPr="00196679" w:rsidRDefault="00302DB3" w:rsidP="005B6B84">
      <w:r>
        <w:t>The Regulations engage the following rights.</w:t>
      </w:r>
    </w:p>
    <w:p w14:paraId="148670F4" w14:textId="77777777" w:rsidR="005B6B84" w:rsidRPr="00196679" w:rsidRDefault="005B6B84" w:rsidP="005B6B84">
      <w:pPr>
        <w:pStyle w:val="Heading3"/>
      </w:pPr>
      <w:r w:rsidRPr="00196679">
        <w:t>Human rights implications</w:t>
      </w:r>
    </w:p>
    <w:p w14:paraId="61AA9AD2" w14:textId="77777777" w:rsidR="005B6B84" w:rsidRPr="00196679" w:rsidRDefault="005B6B84" w:rsidP="005B6B84">
      <w:pPr>
        <w:pStyle w:val="Heading6"/>
        <w:rPr>
          <w:color w:val="auto"/>
        </w:rPr>
      </w:pPr>
      <w:r w:rsidRPr="00196679">
        <w:rPr>
          <w:color w:val="auto"/>
        </w:rPr>
        <w:t>Right to Privacy</w:t>
      </w:r>
    </w:p>
    <w:p w14:paraId="69025F1A" w14:textId="6AE8ACBA" w:rsidR="005B6B84" w:rsidRPr="004E4B1E" w:rsidRDefault="005B6B84" w:rsidP="005B6B84">
      <w:pPr>
        <w:pStyle w:val="base-text-paragraph"/>
        <w:ind w:left="0"/>
      </w:pPr>
      <w:bookmarkStart w:id="2" w:name="_Hlk84624876"/>
      <w:r w:rsidRPr="004E4B1E">
        <w:t>Schedul</w:t>
      </w:r>
      <w:r>
        <w:t>es 1 and 2</w:t>
      </w:r>
      <w:r w:rsidRPr="004E4B1E">
        <w:t xml:space="preserve"> of the </w:t>
      </w:r>
      <w:r>
        <w:rPr>
          <w:iCs/>
        </w:rPr>
        <w:t>Regulations</w:t>
      </w:r>
      <w:r w:rsidRPr="004E4B1E">
        <w:t xml:space="preserve"> engage the right to protection from unlawful or arbitrary interference with privacy under Article 17 of the </w:t>
      </w:r>
      <w:r w:rsidR="00FE341E">
        <w:t>I</w:t>
      </w:r>
      <w:r w:rsidR="008412E0">
        <w:t xml:space="preserve">nternational </w:t>
      </w:r>
      <w:r w:rsidR="00FE341E">
        <w:t>C</w:t>
      </w:r>
      <w:r w:rsidR="008412E0">
        <w:t xml:space="preserve">ovenant </w:t>
      </w:r>
      <w:r w:rsidR="00F40C85">
        <w:t xml:space="preserve">on </w:t>
      </w:r>
      <w:r w:rsidR="00FE341E">
        <w:t>C</w:t>
      </w:r>
      <w:r w:rsidR="00F40C85">
        <w:t xml:space="preserve">ivil and </w:t>
      </w:r>
      <w:r w:rsidR="00FE341E">
        <w:t>P</w:t>
      </w:r>
      <w:r w:rsidR="00F40C85">
        <w:t xml:space="preserve">olitical </w:t>
      </w:r>
      <w:r w:rsidR="00FE341E">
        <w:t>R</w:t>
      </w:r>
      <w:r w:rsidR="00F40C85">
        <w:t>ights (ICCPR)</w:t>
      </w:r>
      <w:r w:rsidRPr="004E4B1E">
        <w:t xml:space="preserve"> because it </w:t>
      </w:r>
      <w:r>
        <w:t>allows for the sharing of protected, private tax and financial information more broadly than is currently permitted by law.</w:t>
      </w:r>
    </w:p>
    <w:p w14:paraId="1B07491B" w14:textId="77777777" w:rsidR="005B6B84" w:rsidRPr="004E4B1E" w:rsidRDefault="005B6B84" w:rsidP="005B6B84">
      <w:pPr>
        <w:pStyle w:val="base-text-paragraph"/>
        <w:ind w:left="0"/>
      </w:pPr>
      <w:r w:rsidRPr="004E4B1E">
        <w:t xml:space="preserve">The right in Article 17 may be subject to permissible limitations, where these limitations are authorised by law and are not arbitrary. In order for an interference with the right to privacy to be permissible, the interference must be authorised by law, be for a reason consistent with the ICCPR and be reasonable in the particular circumstances. The UN Human Rights Committee has interpreted the requirement of ‘reasonableness’ to imply that any interference with privacy must be proportional to the end sought and be necessary in the circumstances of any given case. </w:t>
      </w:r>
    </w:p>
    <w:p w14:paraId="018C506D" w14:textId="415A3BCE" w:rsidR="005B6B84" w:rsidRDefault="005B6B84" w:rsidP="005B6B84">
      <w:pPr>
        <w:pStyle w:val="base-text-paragraph"/>
        <w:ind w:left="0"/>
      </w:pPr>
      <w:r w:rsidRPr="004E4B1E">
        <w:t xml:space="preserve">The amendment </w:t>
      </w:r>
      <w:r>
        <w:t>enables</w:t>
      </w:r>
      <w:r w:rsidR="00F40C85">
        <w:t xml:space="preserve"> taxation officers </w:t>
      </w:r>
      <w:r>
        <w:t>to</w:t>
      </w:r>
      <w:r w:rsidR="00E93A31">
        <w:t xml:space="preserve"> </w:t>
      </w:r>
      <w:r w:rsidRPr="004E4B1E">
        <w:t xml:space="preserve">disclose </w:t>
      </w:r>
      <w:r>
        <w:t>protected</w:t>
      </w:r>
      <w:r w:rsidRPr="004E4B1E">
        <w:t xml:space="preserve"> information to </w:t>
      </w:r>
      <w:r>
        <w:t>taskforce officers of the Taskforce where the record or disclosure is for</w:t>
      </w:r>
      <w:r w:rsidR="00F40C85">
        <w:t>,</w:t>
      </w:r>
      <w:r>
        <w:t xml:space="preserve"> or in connection with</w:t>
      </w:r>
      <w:r w:rsidR="00F40C85">
        <w:t>,</w:t>
      </w:r>
      <w:r>
        <w:t xml:space="preserve"> a purpose of the </w:t>
      </w:r>
      <w:r w:rsidR="005B332A">
        <w:t>T</w:t>
      </w:r>
      <w:r>
        <w:t>askforce</w:t>
      </w:r>
      <w:r w:rsidRPr="004E4B1E">
        <w:t>. It will improve the</w:t>
      </w:r>
      <w:r>
        <w:t xml:space="preserve"> </w:t>
      </w:r>
      <w:r w:rsidRPr="004E4B1E">
        <w:t xml:space="preserve">ability </w:t>
      </w:r>
      <w:r w:rsidR="00F40C85">
        <w:t xml:space="preserve">of Government agency </w:t>
      </w:r>
      <w:r w:rsidR="005B332A">
        <w:t>T</w:t>
      </w:r>
      <w:r w:rsidR="00F40C85">
        <w:t xml:space="preserve">askforce members </w:t>
      </w:r>
      <w:r w:rsidRPr="004E4B1E">
        <w:t xml:space="preserve">to conduct timely </w:t>
      </w:r>
      <w:r w:rsidR="00F40C85">
        <w:t xml:space="preserve">investigations and </w:t>
      </w:r>
      <w:r w:rsidR="00D8685D">
        <w:t>to take early</w:t>
      </w:r>
      <w:r w:rsidR="00F40C85">
        <w:t xml:space="preserve"> disc</w:t>
      </w:r>
      <w:r w:rsidR="00D8685D">
        <w:t>i</w:t>
      </w:r>
      <w:r w:rsidR="00F40C85">
        <w:t xml:space="preserve">plinary </w:t>
      </w:r>
      <w:r w:rsidR="00D8685D">
        <w:t>action to</w:t>
      </w:r>
      <w:r w:rsidRPr="004E4B1E">
        <w:t xml:space="preserve"> better protect the integrity of Australia’s</w:t>
      </w:r>
      <w:r>
        <w:t xml:space="preserve"> social security</w:t>
      </w:r>
      <w:r w:rsidRPr="004E4B1E">
        <w:t xml:space="preserve"> system. This amendment will enable effective and timely collaboration during investigations into </w:t>
      </w:r>
      <w:r>
        <w:t xml:space="preserve">fraud against the </w:t>
      </w:r>
      <w:r w:rsidR="00E93A31">
        <w:t>Commonwealth</w:t>
      </w:r>
      <w:r w:rsidRPr="004E4B1E">
        <w:t>. The amendment is a reasonable change as it will allow</w:t>
      </w:r>
      <w:r>
        <w:t xml:space="preserve"> the ATO</w:t>
      </w:r>
      <w:r w:rsidR="00E93A31">
        <w:t xml:space="preserve"> </w:t>
      </w:r>
      <w:r w:rsidRPr="004E4B1E">
        <w:t>and</w:t>
      </w:r>
      <w:r>
        <w:t xml:space="preserve"> the Taskforce</w:t>
      </w:r>
      <w:r w:rsidR="00A35C0C">
        <w:t xml:space="preserve"> members</w:t>
      </w:r>
      <w:r w:rsidRPr="004E4B1E">
        <w:t xml:space="preserve"> to more effectively work together to ensure compliance wit</w:t>
      </w:r>
      <w:r>
        <w:t xml:space="preserve">h </w:t>
      </w:r>
      <w:r w:rsidR="006622F8">
        <w:t>Australia’s tax laws</w:t>
      </w:r>
      <w:r w:rsidRPr="004E4B1E">
        <w:t>.</w:t>
      </w:r>
      <w:r>
        <w:t xml:space="preserve"> Importantly, this limited information sharing will substantially uphold the integrity of </w:t>
      </w:r>
      <w:r w:rsidR="006622F8">
        <w:t>Australia’s taxation</w:t>
      </w:r>
      <w:r>
        <w:t xml:space="preserve"> system.</w:t>
      </w:r>
    </w:p>
    <w:p w14:paraId="7EF6213D" w14:textId="432154EE" w:rsidR="005B6B84" w:rsidRDefault="005B6B84" w:rsidP="005B6B84">
      <w:pPr>
        <w:pStyle w:val="base-text-paragraph"/>
        <w:ind w:left="0"/>
      </w:pPr>
      <w:r>
        <w:t xml:space="preserve">The sharing of certain protected information necessary for the </w:t>
      </w:r>
      <w:r w:rsidR="00D8685D">
        <w:t xml:space="preserve">purposes of the </w:t>
      </w:r>
      <w:r>
        <w:t>Taskforce will</w:t>
      </w:r>
      <w:r w:rsidR="00331AFE">
        <w:t xml:space="preserve"> be limited</w:t>
      </w:r>
      <w:r w:rsidR="00D8685D">
        <w:t>,</w:t>
      </w:r>
      <w:r w:rsidR="00331AFE">
        <w:t xml:space="preserve"> as</w:t>
      </w:r>
      <w:r w:rsidR="00D8685D">
        <w:t xml:space="preserve"> protected information</w:t>
      </w:r>
      <w:r w:rsidR="00331AFE">
        <w:t xml:space="preserve"> will</w:t>
      </w:r>
      <w:r>
        <w:t xml:space="preserve"> only be </w:t>
      </w:r>
      <w:r w:rsidR="00D8685D">
        <w:t xml:space="preserve">shared with the </w:t>
      </w:r>
      <w:r w:rsidR="00340305">
        <w:t>relevant</w:t>
      </w:r>
      <w:r w:rsidR="00D8685D">
        <w:t xml:space="preserve"> </w:t>
      </w:r>
      <w:r w:rsidR="00A35C0C">
        <w:t>T</w:t>
      </w:r>
      <w:r>
        <w:t>askforce officers,</w:t>
      </w:r>
      <w:r w:rsidR="00D8685D">
        <w:t xml:space="preserve"> </w:t>
      </w:r>
      <w:r w:rsidR="00340305">
        <w:t xml:space="preserve">such as </w:t>
      </w:r>
      <w:r w:rsidR="00D8685D">
        <w:t xml:space="preserve">officers of </w:t>
      </w:r>
      <w:r w:rsidR="00340305">
        <w:t xml:space="preserve">the </w:t>
      </w:r>
      <w:r w:rsidR="00D8685D">
        <w:t>Government agency that is the employer o</w:t>
      </w:r>
      <w:r w:rsidR="009819F6">
        <w:t xml:space="preserve">f the Commonwealth employee who is suspected of having engaged in the GST fraud against the Commonwealth. This ensures </w:t>
      </w:r>
      <w:r>
        <w:t xml:space="preserve">the protected information is not disseminated more </w:t>
      </w:r>
      <w:r>
        <w:lastRenderedPageBreak/>
        <w:t xml:space="preserve">broadly than necessary, </w:t>
      </w:r>
      <w:r w:rsidR="009819F6">
        <w:t>safeguarding the rights of the individual</w:t>
      </w:r>
      <w:r w:rsidR="00E24C23">
        <w:t>.</w:t>
      </w:r>
      <w:r w:rsidR="00AC72F5">
        <w:t xml:space="preserve"> The information will</w:t>
      </w:r>
      <w:r>
        <w:t xml:space="preserve"> only </w:t>
      </w:r>
      <w:r w:rsidR="00AC72F5">
        <w:t xml:space="preserve">be </w:t>
      </w:r>
      <w:r>
        <w:t xml:space="preserve">shared proportionately to achieve improvements to Australia’s </w:t>
      </w:r>
      <w:r w:rsidR="006622F8">
        <w:t>taxation</w:t>
      </w:r>
      <w:r>
        <w:t xml:space="preserve"> system. </w:t>
      </w:r>
    </w:p>
    <w:p w14:paraId="4366117B" w14:textId="0E6922BB" w:rsidR="005B6B84" w:rsidRPr="004E4B1E" w:rsidRDefault="005B6B84" w:rsidP="005B6B84">
      <w:pPr>
        <w:pStyle w:val="base-text-paragraph"/>
        <w:ind w:left="0"/>
      </w:pPr>
      <w:r>
        <w:t>Taskforce officers are required to adhere to the on-disclosure rules in section 355-1</w:t>
      </w:r>
      <w:r w:rsidR="00AD77C3">
        <w:t>5</w:t>
      </w:r>
      <w:r>
        <w:t xml:space="preserve">5 of Schedule 1 to the </w:t>
      </w:r>
      <w:r w:rsidRPr="008A57A5">
        <w:rPr>
          <w:i/>
          <w:iCs/>
        </w:rPr>
        <w:t>Taxation Administration Act 1953</w:t>
      </w:r>
      <w:r>
        <w:rPr>
          <w:i/>
          <w:iCs/>
        </w:rPr>
        <w:t xml:space="preserve">, </w:t>
      </w:r>
      <w:r>
        <w:t>ensuring ongoing protection of taxation information once it is disclosed to Taskforce officers.</w:t>
      </w:r>
    </w:p>
    <w:bookmarkEnd w:id="2"/>
    <w:p w14:paraId="3DB9657D" w14:textId="72661ECC" w:rsidR="005B6B84" w:rsidRDefault="005B6B84" w:rsidP="005B6B84">
      <w:pPr>
        <w:pStyle w:val="base-text-paragraph"/>
        <w:ind w:left="0"/>
      </w:pPr>
      <w:r>
        <w:t>The Regulations are essential for the Taskforce to effectively achieve its objectives and identify, address and prevent fraud</w:t>
      </w:r>
      <w:r w:rsidR="009819F6">
        <w:t xml:space="preserve"> for the protection of public finances</w:t>
      </w:r>
      <w:r>
        <w:t xml:space="preserve">. The Regulations enable the sharing of protected information in circumstances where the information would otherwise not be allowed to be shared. </w:t>
      </w:r>
    </w:p>
    <w:p w14:paraId="0C774308" w14:textId="123C9B0A" w:rsidR="005B6B84" w:rsidRPr="00DF28D0" w:rsidRDefault="005B6B84" w:rsidP="005B6B84">
      <w:pPr>
        <w:pStyle w:val="base-text-paragraph"/>
        <w:ind w:left="0"/>
      </w:pPr>
      <w:r w:rsidRPr="004E4B1E">
        <w:t xml:space="preserve">Finally, the </w:t>
      </w:r>
      <w:r>
        <w:t>Regulations are</w:t>
      </w:r>
      <w:r w:rsidRPr="004E4B1E">
        <w:t xml:space="preserve"> </w:t>
      </w:r>
      <w:r>
        <w:t xml:space="preserve">intended to be a </w:t>
      </w:r>
      <w:r w:rsidRPr="004E4B1E">
        <w:t xml:space="preserve">proportionate response to </w:t>
      </w:r>
      <w:r>
        <w:t xml:space="preserve">fraud against the </w:t>
      </w:r>
      <w:r w:rsidR="006622F8">
        <w:t>Commonwealth</w:t>
      </w:r>
      <w:r w:rsidRPr="004E4B1E">
        <w:t>.</w:t>
      </w:r>
      <w:r>
        <w:t xml:space="preserve"> The limited potential infringements on the right to privacy caused by the sharing of protected information and other forms of confidential information are substantially outweighed by the tangible benefits to the integrity and sustainability of </w:t>
      </w:r>
      <w:r w:rsidR="00A22393">
        <w:t xml:space="preserve">the public finances of Australia and the </w:t>
      </w:r>
      <w:r>
        <w:t>Australia</w:t>
      </w:r>
      <w:r w:rsidR="00A22393">
        <w:t xml:space="preserve"> Public Service</w:t>
      </w:r>
      <w:r w:rsidR="006622F8">
        <w:t>.</w:t>
      </w:r>
      <w:r>
        <w:t xml:space="preserve"> </w:t>
      </w:r>
    </w:p>
    <w:p w14:paraId="56533C7B" w14:textId="77777777" w:rsidR="005B6B84" w:rsidRPr="00647BB7" w:rsidRDefault="005B6B84" w:rsidP="005B6B84">
      <w:pPr>
        <w:pStyle w:val="Heading3"/>
      </w:pPr>
      <w:r w:rsidRPr="00647BB7">
        <w:t>Conclusion</w:t>
      </w:r>
    </w:p>
    <w:p w14:paraId="52442BD3" w14:textId="3AD4174E" w:rsidR="005B6B84" w:rsidRPr="00EA4DD8" w:rsidRDefault="005B6B84" w:rsidP="005B6B84">
      <w:pPr>
        <w:spacing w:before="240"/>
      </w:pPr>
      <w:r w:rsidRPr="00647BB7">
        <w:t>This Legislative Instrument is compatible with human rights as it</w:t>
      </w:r>
      <w:r>
        <w:t xml:space="preserve"> </w:t>
      </w:r>
      <w:r w:rsidR="00DD4189">
        <w:t>reasonab</w:t>
      </w:r>
      <w:r>
        <w:t>ly</w:t>
      </w:r>
      <w:r w:rsidR="00302DB3">
        <w:t>, necessarily</w:t>
      </w:r>
      <w:r>
        <w:t xml:space="preserve"> and proportionately affect</w:t>
      </w:r>
      <w:r w:rsidR="00DD4189">
        <w:t>s</w:t>
      </w:r>
      <w:r>
        <w:t xml:space="preserve"> the right to privacy.</w:t>
      </w:r>
    </w:p>
    <w:p w14:paraId="54C5A1D0" w14:textId="2F00A7FB" w:rsidR="00E37FF7" w:rsidRPr="005F42F4" w:rsidRDefault="00E37FF7" w:rsidP="005F42F4">
      <w:pPr>
        <w:spacing w:before="240" w:after="200"/>
        <w:rPr>
          <w:color w:val="FF0000"/>
        </w:rPr>
      </w:pPr>
    </w:p>
    <w:sectPr w:rsidR="00E37FF7" w:rsidRPr="005F42F4" w:rsidSect="004A27A8">
      <w:headerReference w:type="even" r:id="rId11"/>
      <w:footerReference w:type="even" r:id="rId12"/>
      <w:footerReference w:type="default" r:id="rId13"/>
      <w:headerReference w:type="first" r:id="rId14"/>
      <w:footerReference w:type="first" r:id="rId15"/>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23EB3" w14:textId="77777777" w:rsidR="00FC0267" w:rsidRDefault="00FC0267" w:rsidP="00954679">
      <w:pPr>
        <w:spacing w:before="0" w:after="0"/>
      </w:pPr>
      <w:r>
        <w:separator/>
      </w:r>
    </w:p>
  </w:endnote>
  <w:endnote w:type="continuationSeparator" w:id="0">
    <w:p w14:paraId="26514BC2" w14:textId="77777777" w:rsidR="00FC0267" w:rsidRDefault="00FC0267" w:rsidP="00954679">
      <w:pPr>
        <w:spacing w:before="0" w:after="0"/>
      </w:pPr>
      <w:r>
        <w:continuationSeparator/>
      </w:r>
    </w:p>
  </w:endnote>
  <w:endnote w:type="continuationNotice" w:id="1">
    <w:p w14:paraId="41077A2D" w14:textId="77777777" w:rsidR="00FC0267" w:rsidRDefault="00FC02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5013" w14:textId="7EB5145A" w:rsidR="00721E2F" w:rsidRDefault="00F06E5B" w:rsidP="00721E2F">
    <w:pPr>
      <w:pStyle w:val="DLMSecurityFooter"/>
    </w:pPr>
    <w:fldSimple w:instr="DOCPROPERTY DLMSecurityClassification \* MERGEFORMAT">
      <w:r w:rsidR="00721E2F">
        <w:t>Legal Privilege</w:t>
      </w:r>
    </w:fldSimple>
  </w:p>
  <w:p w14:paraId="41BB31D7" w14:textId="4DC8A548" w:rsidR="00721E2F" w:rsidRDefault="00F06E5B" w:rsidP="00721E2F">
    <w:pPr>
      <w:pStyle w:val="SecurityClassificationFooter"/>
    </w:pPr>
    <w:fldSimple w:instr="DOCPROPERTY SecurityClassification \* MERGEFORMAT">
      <w:r w:rsidR="00721E2F">
        <w:t>PROTECTED</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C92779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E8ED" w14:textId="147BFD86" w:rsidR="00721E2F" w:rsidRDefault="00F06E5B" w:rsidP="00721E2F">
    <w:pPr>
      <w:pStyle w:val="DLMSecurityFooter"/>
    </w:pPr>
    <w:fldSimple w:instr="DOCPROPERTY DLMSecurityClassification \* MERGEFORMAT">
      <w:r w:rsidR="00721E2F">
        <w:t>Legal Privilege</w:t>
      </w:r>
    </w:fldSimple>
  </w:p>
  <w:p w14:paraId="5BDF8093" w14:textId="78A9B1C7" w:rsidR="00721E2F" w:rsidRDefault="00F06E5B" w:rsidP="00721E2F">
    <w:pPr>
      <w:pStyle w:val="SecurityClassificationFooter"/>
    </w:pPr>
    <w:fldSimple w:instr="DOCPROPERTY SecurityClassification \* MERGEFORMAT">
      <w:r w:rsidR="00721E2F">
        <w:t>PROTECTED</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64F3" w14:textId="77777777" w:rsidR="00FC0267" w:rsidRDefault="00FC0267" w:rsidP="00954679">
      <w:pPr>
        <w:spacing w:before="0" w:after="0"/>
      </w:pPr>
      <w:r>
        <w:separator/>
      </w:r>
    </w:p>
  </w:footnote>
  <w:footnote w:type="continuationSeparator" w:id="0">
    <w:p w14:paraId="55C92A8C" w14:textId="77777777" w:rsidR="00FC0267" w:rsidRDefault="00FC0267" w:rsidP="00954679">
      <w:pPr>
        <w:spacing w:before="0" w:after="0"/>
      </w:pPr>
      <w:r>
        <w:continuationSeparator/>
      </w:r>
    </w:p>
  </w:footnote>
  <w:footnote w:type="continuationNotice" w:id="1">
    <w:p w14:paraId="34F113C1" w14:textId="77777777" w:rsidR="00FC0267" w:rsidRDefault="00FC026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D8BE" w14:textId="3B9B1D12" w:rsidR="00721E2F" w:rsidRDefault="00F06E5B" w:rsidP="00721E2F">
    <w:pPr>
      <w:pStyle w:val="SecurityClassificationHeader"/>
    </w:pPr>
    <w:fldSimple w:instr="DOCPROPERTY SecurityClassification \* MERGEFORMAT">
      <w:r w:rsidR="00721E2F">
        <w:t>PROTECTED</w:t>
      </w:r>
    </w:fldSimple>
  </w:p>
  <w:p w14:paraId="33FDED6D" w14:textId="7D091014" w:rsidR="00721E2F" w:rsidRDefault="00F06E5B" w:rsidP="00721E2F">
    <w:pPr>
      <w:pStyle w:val="DLMSecurityHeader"/>
    </w:pPr>
    <w:fldSimple w:instr="DOCPROPERTY DLMSecurityClassification \* MERGEFORMAT">
      <w:r w:rsidR="00721E2F">
        <w:t>Legal Privilege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BADF0" w14:textId="18F421D9" w:rsidR="00721E2F" w:rsidRDefault="00F06E5B" w:rsidP="00721E2F">
    <w:pPr>
      <w:pStyle w:val="SecurityClassificationHeader"/>
    </w:pPr>
    <w:fldSimple w:instr="DOCPROPERTY SecurityClassification \* MERGEFORMAT">
      <w:r w:rsidR="00721E2F">
        <w:t>PROTECTED</w:t>
      </w:r>
    </w:fldSimple>
  </w:p>
  <w:p w14:paraId="264F6152" w14:textId="2127381D" w:rsidR="00721E2F" w:rsidRDefault="00F06E5B" w:rsidP="00721E2F">
    <w:pPr>
      <w:pStyle w:val="DLMSecurityHeader"/>
    </w:pPr>
    <w:fldSimple w:instr="DOCPROPERTY DLMSecurityClassification \* MERGEFORMAT">
      <w:r w:rsidR="00721E2F">
        <w:t>Legal Privilege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B43623"/>
    <w:rsid w:val="000026BE"/>
    <w:rsid w:val="00003189"/>
    <w:rsid w:val="00005B51"/>
    <w:rsid w:val="000060E3"/>
    <w:rsid w:val="0000628C"/>
    <w:rsid w:val="00013390"/>
    <w:rsid w:val="000134F1"/>
    <w:rsid w:val="00016EA2"/>
    <w:rsid w:val="0002546A"/>
    <w:rsid w:val="00031AE1"/>
    <w:rsid w:val="00034DB3"/>
    <w:rsid w:val="000359C8"/>
    <w:rsid w:val="0004056C"/>
    <w:rsid w:val="00041C87"/>
    <w:rsid w:val="000447DB"/>
    <w:rsid w:val="000455BA"/>
    <w:rsid w:val="00045F3C"/>
    <w:rsid w:val="00051648"/>
    <w:rsid w:val="000524A9"/>
    <w:rsid w:val="0005316A"/>
    <w:rsid w:val="000547DB"/>
    <w:rsid w:val="00075A77"/>
    <w:rsid w:val="00076178"/>
    <w:rsid w:val="00076E15"/>
    <w:rsid w:val="00076FF9"/>
    <w:rsid w:val="00080673"/>
    <w:rsid w:val="0008205B"/>
    <w:rsid w:val="000854E0"/>
    <w:rsid w:val="0008741E"/>
    <w:rsid w:val="00090C1C"/>
    <w:rsid w:val="00092C6B"/>
    <w:rsid w:val="00095211"/>
    <w:rsid w:val="000A2133"/>
    <w:rsid w:val="000A69C5"/>
    <w:rsid w:val="000B2594"/>
    <w:rsid w:val="000B39A1"/>
    <w:rsid w:val="000C10DF"/>
    <w:rsid w:val="000C2E12"/>
    <w:rsid w:val="000C3ECC"/>
    <w:rsid w:val="000C4B61"/>
    <w:rsid w:val="000C5C40"/>
    <w:rsid w:val="000C6935"/>
    <w:rsid w:val="000D0FF2"/>
    <w:rsid w:val="000D11E5"/>
    <w:rsid w:val="000D2234"/>
    <w:rsid w:val="000D5827"/>
    <w:rsid w:val="000D59B4"/>
    <w:rsid w:val="000D6957"/>
    <w:rsid w:val="000E32E3"/>
    <w:rsid w:val="000F1F12"/>
    <w:rsid w:val="000F3A05"/>
    <w:rsid w:val="000F53D9"/>
    <w:rsid w:val="001012C2"/>
    <w:rsid w:val="0011072A"/>
    <w:rsid w:val="00113B45"/>
    <w:rsid w:val="00114003"/>
    <w:rsid w:val="0011527C"/>
    <w:rsid w:val="00117C02"/>
    <w:rsid w:val="00121416"/>
    <w:rsid w:val="001261CA"/>
    <w:rsid w:val="001276B4"/>
    <w:rsid w:val="001319C8"/>
    <w:rsid w:val="001331B7"/>
    <w:rsid w:val="001332F7"/>
    <w:rsid w:val="00133D7A"/>
    <w:rsid w:val="0013434B"/>
    <w:rsid w:val="00142BCF"/>
    <w:rsid w:val="0014608E"/>
    <w:rsid w:val="0015263D"/>
    <w:rsid w:val="0016101B"/>
    <w:rsid w:val="00172B5A"/>
    <w:rsid w:val="00187857"/>
    <w:rsid w:val="00195A29"/>
    <w:rsid w:val="0019721B"/>
    <w:rsid w:val="001B3E74"/>
    <w:rsid w:val="001B4919"/>
    <w:rsid w:val="001B7448"/>
    <w:rsid w:val="001B7535"/>
    <w:rsid w:val="001B7EC2"/>
    <w:rsid w:val="001C0477"/>
    <w:rsid w:val="001C2181"/>
    <w:rsid w:val="001C40FA"/>
    <w:rsid w:val="001D14DB"/>
    <w:rsid w:val="001D6CB2"/>
    <w:rsid w:val="001E1F23"/>
    <w:rsid w:val="001E6A74"/>
    <w:rsid w:val="001F41D0"/>
    <w:rsid w:val="001F462C"/>
    <w:rsid w:val="001F709A"/>
    <w:rsid w:val="002026BF"/>
    <w:rsid w:val="00206228"/>
    <w:rsid w:val="00206836"/>
    <w:rsid w:val="00220F16"/>
    <w:rsid w:val="00221082"/>
    <w:rsid w:val="00227A1E"/>
    <w:rsid w:val="00231837"/>
    <w:rsid w:val="002349A0"/>
    <w:rsid w:val="00240D31"/>
    <w:rsid w:val="0024245F"/>
    <w:rsid w:val="002541DE"/>
    <w:rsid w:val="00254C5B"/>
    <w:rsid w:val="002612B2"/>
    <w:rsid w:val="0026217D"/>
    <w:rsid w:val="0027118E"/>
    <w:rsid w:val="002725F4"/>
    <w:rsid w:val="002771E5"/>
    <w:rsid w:val="00277840"/>
    <w:rsid w:val="00284B80"/>
    <w:rsid w:val="00287B74"/>
    <w:rsid w:val="00287C5A"/>
    <w:rsid w:val="00291F4B"/>
    <w:rsid w:val="0029379A"/>
    <w:rsid w:val="00293839"/>
    <w:rsid w:val="002A1236"/>
    <w:rsid w:val="002A3C80"/>
    <w:rsid w:val="002A6DA4"/>
    <w:rsid w:val="002A7B74"/>
    <w:rsid w:val="002A7E1F"/>
    <w:rsid w:val="002B1093"/>
    <w:rsid w:val="002B50ED"/>
    <w:rsid w:val="002C0792"/>
    <w:rsid w:val="002C0A5A"/>
    <w:rsid w:val="002C226C"/>
    <w:rsid w:val="002C2C1E"/>
    <w:rsid w:val="002C39B0"/>
    <w:rsid w:val="002C3EE2"/>
    <w:rsid w:val="002C7A8B"/>
    <w:rsid w:val="002D4B55"/>
    <w:rsid w:val="002D4F88"/>
    <w:rsid w:val="002E6EC3"/>
    <w:rsid w:val="002E73BB"/>
    <w:rsid w:val="002F022D"/>
    <w:rsid w:val="002F6BB1"/>
    <w:rsid w:val="00302DB3"/>
    <w:rsid w:val="003037F8"/>
    <w:rsid w:val="003041FA"/>
    <w:rsid w:val="00305C01"/>
    <w:rsid w:val="00312A68"/>
    <w:rsid w:val="00315B8F"/>
    <w:rsid w:val="00331AFE"/>
    <w:rsid w:val="003342CD"/>
    <w:rsid w:val="0033477F"/>
    <w:rsid w:val="00335042"/>
    <w:rsid w:val="00336107"/>
    <w:rsid w:val="00340305"/>
    <w:rsid w:val="00341642"/>
    <w:rsid w:val="00355872"/>
    <w:rsid w:val="00357733"/>
    <w:rsid w:val="00360C0A"/>
    <w:rsid w:val="00362B70"/>
    <w:rsid w:val="00364DEE"/>
    <w:rsid w:val="00367CE7"/>
    <w:rsid w:val="00370395"/>
    <w:rsid w:val="0037180D"/>
    <w:rsid w:val="00373853"/>
    <w:rsid w:val="00374798"/>
    <w:rsid w:val="00380480"/>
    <w:rsid w:val="003862E1"/>
    <w:rsid w:val="00392BBA"/>
    <w:rsid w:val="00392C0C"/>
    <w:rsid w:val="003954FD"/>
    <w:rsid w:val="0039637B"/>
    <w:rsid w:val="003A44C8"/>
    <w:rsid w:val="003B1973"/>
    <w:rsid w:val="003B19DD"/>
    <w:rsid w:val="003B31F4"/>
    <w:rsid w:val="003B3C51"/>
    <w:rsid w:val="003B4356"/>
    <w:rsid w:val="003C445C"/>
    <w:rsid w:val="003C5719"/>
    <w:rsid w:val="003C7907"/>
    <w:rsid w:val="003C7B82"/>
    <w:rsid w:val="003D0B99"/>
    <w:rsid w:val="003D392B"/>
    <w:rsid w:val="003D60D7"/>
    <w:rsid w:val="003E0411"/>
    <w:rsid w:val="003E1C8F"/>
    <w:rsid w:val="003E1CE3"/>
    <w:rsid w:val="003E77BC"/>
    <w:rsid w:val="003F17A4"/>
    <w:rsid w:val="003F3B86"/>
    <w:rsid w:val="004000AE"/>
    <w:rsid w:val="004019D2"/>
    <w:rsid w:val="004049A9"/>
    <w:rsid w:val="004072E1"/>
    <w:rsid w:val="00412BB6"/>
    <w:rsid w:val="00416A72"/>
    <w:rsid w:val="00422DAC"/>
    <w:rsid w:val="00422F1F"/>
    <w:rsid w:val="00430AF9"/>
    <w:rsid w:val="00436952"/>
    <w:rsid w:val="00443E2A"/>
    <w:rsid w:val="00452A90"/>
    <w:rsid w:val="00453ACB"/>
    <w:rsid w:val="00454E2D"/>
    <w:rsid w:val="004577E7"/>
    <w:rsid w:val="00462095"/>
    <w:rsid w:val="00464356"/>
    <w:rsid w:val="00465FBF"/>
    <w:rsid w:val="00466731"/>
    <w:rsid w:val="00466DD5"/>
    <w:rsid w:val="00467E83"/>
    <w:rsid w:val="0047265F"/>
    <w:rsid w:val="00473B71"/>
    <w:rsid w:val="004755FE"/>
    <w:rsid w:val="00482B81"/>
    <w:rsid w:val="00482D4C"/>
    <w:rsid w:val="00483475"/>
    <w:rsid w:val="004838E4"/>
    <w:rsid w:val="0048463A"/>
    <w:rsid w:val="00492BF6"/>
    <w:rsid w:val="004A10CE"/>
    <w:rsid w:val="004A1638"/>
    <w:rsid w:val="004A27A8"/>
    <w:rsid w:val="004A3018"/>
    <w:rsid w:val="004A4499"/>
    <w:rsid w:val="004B339C"/>
    <w:rsid w:val="004B3C0F"/>
    <w:rsid w:val="004B4A3C"/>
    <w:rsid w:val="004B521D"/>
    <w:rsid w:val="004C05E4"/>
    <w:rsid w:val="004C28DF"/>
    <w:rsid w:val="004C7D93"/>
    <w:rsid w:val="004D4AE5"/>
    <w:rsid w:val="004E2EE7"/>
    <w:rsid w:val="004E3590"/>
    <w:rsid w:val="004E39E1"/>
    <w:rsid w:val="004E51F9"/>
    <w:rsid w:val="004F00BA"/>
    <w:rsid w:val="004F011F"/>
    <w:rsid w:val="004F03F4"/>
    <w:rsid w:val="004F4C00"/>
    <w:rsid w:val="004F56D0"/>
    <w:rsid w:val="0050235E"/>
    <w:rsid w:val="00503A99"/>
    <w:rsid w:val="00503E44"/>
    <w:rsid w:val="0050777E"/>
    <w:rsid w:val="00513FE8"/>
    <w:rsid w:val="0051429B"/>
    <w:rsid w:val="00514903"/>
    <w:rsid w:val="00515283"/>
    <w:rsid w:val="005227CE"/>
    <w:rsid w:val="005231C5"/>
    <w:rsid w:val="00533926"/>
    <w:rsid w:val="00537FB7"/>
    <w:rsid w:val="005411D1"/>
    <w:rsid w:val="00542873"/>
    <w:rsid w:val="00545D70"/>
    <w:rsid w:val="0055675D"/>
    <w:rsid w:val="005573C4"/>
    <w:rsid w:val="00562CE7"/>
    <w:rsid w:val="00564837"/>
    <w:rsid w:val="00566E8F"/>
    <w:rsid w:val="005709DE"/>
    <w:rsid w:val="005726BA"/>
    <w:rsid w:val="00573FFC"/>
    <w:rsid w:val="0057422E"/>
    <w:rsid w:val="00575399"/>
    <w:rsid w:val="005833BE"/>
    <w:rsid w:val="005858FB"/>
    <w:rsid w:val="00590EE7"/>
    <w:rsid w:val="0059302A"/>
    <w:rsid w:val="005956D9"/>
    <w:rsid w:val="005A2572"/>
    <w:rsid w:val="005A672A"/>
    <w:rsid w:val="005B332A"/>
    <w:rsid w:val="005B3AF1"/>
    <w:rsid w:val="005B44BD"/>
    <w:rsid w:val="005B6B84"/>
    <w:rsid w:val="005C0009"/>
    <w:rsid w:val="005C032C"/>
    <w:rsid w:val="005C5C0E"/>
    <w:rsid w:val="005C73D6"/>
    <w:rsid w:val="005D2168"/>
    <w:rsid w:val="005D7D5A"/>
    <w:rsid w:val="005D7E35"/>
    <w:rsid w:val="005E4792"/>
    <w:rsid w:val="005E4BAC"/>
    <w:rsid w:val="005E580A"/>
    <w:rsid w:val="005F0ABE"/>
    <w:rsid w:val="005F1BC2"/>
    <w:rsid w:val="005F42F4"/>
    <w:rsid w:val="0060130D"/>
    <w:rsid w:val="00606671"/>
    <w:rsid w:val="006100E5"/>
    <w:rsid w:val="00612329"/>
    <w:rsid w:val="006137A6"/>
    <w:rsid w:val="00613B16"/>
    <w:rsid w:val="00615574"/>
    <w:rsid w:val="0061714C"/>
    <w:rsid w:val="00623F9C"/>
    <w:rsid w:val="006243C6"/>
    <w:rsid w:val="00624A83"/>
    <w:rsid w:val="00626D51"/>
    <w:rsid w:val="00630893"/>
    <w:rsid w:val="0064129F"/>
    <w:rsid w:val="0064309D"/>
    <w:rsid w:val="00646DB1"/>
    <w:rsid w:val="00647BB7"/>
    <w:rsid w:val="00650ABC"/>
    <w:rsid w:val="00660F56"/>
    <w:rsid w:val="006622F8"/>
    <w:rsid w:val="006711DF"/>
    <w:rsid w:val="00671F14"/>
    <w:rsid w:val="006742CE"/>
    <w:rsid w:val="00680297"/>
    <w:rsid w:val="0068046D"/>
    <w:rsid w:val="00680871"/>
    <w:rsid w:val="00682F01"/>
    <w:rsid w:val="00683956"/>
    <w:rsid w:val="006873CE"/>
    <w:rsid w:val="00690AB3"/>
    <w:rsid w:val="0069205F"/>
    <w:rsid w:val="006A0786"/>
    <w:rsid w:val="006A11D6"/>
    <w:rsid w:val="006A6634"/>
    <w:rsid w:val="006B520A"/>
    <w:rsid w:val="006B523A"/>
    <w:rsid w:val="006C170A"/>
    <w:rsid w:val="006C5687"/>
    <w:rsid w:val="006D10EC"/>
    <w:rsid w:val="006D478B"/>
    <w:rsid w:val="006D4DAA"/>
    <w:rsid w:val="006D60D0"/>
    <w:rsid w:val="006D672B"/>
    <w:rsid w:val="006D7AC1"/>
    <w:rsid w:val="006E04DB"/>
    <w:rsid w:val="006E0852"/>
    <w:rsid w:val="006E0CBA"/>
    <w:rsid w:val="006E3AB4"/>
    <w:rsid w:val="006E6321"/>
    <w:rsid w:val="006F0505"/>
    <w:rsid w:val="006F06C1"/>
    <w:rsid w:val="006F1E48"/>
    <w:rsid w:val="006F32A6"/>
    <w:rsid w:val="006F365B"/>
    <w:rsid w:val="006F4582"/>
    <w:rsid w:val="006F4C50"/>
    <w:rsid w:val="006F683C"/>
    <w:rsid w:val="006F6C2A"/>
    <w:rsid w:val="006F74AB"/>
    <w:rsid w:val="0070169C"/>
    <w:rsid w:val="00701F57"/>
    <w:rsid w:val="00703495"/>
    <w:rsid w:val="00703BBB"/>
    <w:rsid w:val="00704CCA"/>
    <w:rsid w:val="00705171"/>
    <w:rsid w:val="007053B0"/>
    <w:rsid w:val="007072BD"/>
    <w:rsid w:val="00710E94"/>
    <w:rsid w:val="00716D5E"/>
    <w:rsid w:val="00720121"/>
    <w:rsid w:val="00720791"/>
    <w:rsid w:val="00721E2F"/>
    <w:rsid w:val="007243B9"/>
    <w:rsid w:val="00727D8A"/>
    <w:rsid w:val="00730DA8"/>
    <w:rsid w:val="00731FEA"/>
    <w:rsid w:val="007323F4"/>
    <w:rsid w:val="00732851"/>
    <w:rsid w:val="00735921"/>
    <w:rsid w:val="0073599B"/>
    <w:rsid w:val="00735AFA"/>
    <w:rsid w:val="00736F61"/>
    <w:rsid w:val="0074185E"/>
    <w:rsid w:val="00741C17"/>
    <w:rsid w:val="00742253"/>
    <w:rsid w:val="007436F0"/>
    <w:rsid w:val="0074422A"/>
    <w:rsid w:val="0074728E"/>
    <w:rsid w:val="00757B95"/>
    <w:rsid w:val="00765751"/>
    <w:rsid w:val="007662C7"/>
    <w:rsid w:val="00772FAF"/>
    <w:rsid w:val="00776306"/>
    <w:rsid w:val="007816E2"/>
    <w:rsid w:val="00782ABB"/>
    <w:rsid w:val="007860DB"/>
    <w:rsid w:val="0079022C"/>
    <w:rsid w:val="007A1887"/>
    <w:rsid w:val="007A2BDC"/>
    <w:rsid w:val="007A33F8"/>
    <w:rsid w:val="007A55A7"/>
    <w:rsid w:val="007A57BC"/>
    <w:rsid w:val="007B1F10"/>
    <w:rsid w:val="007B2143"/>
    <w:rsid w:val="007B335E"/>
    <w:rsid w:val="007B4A9D"/>
    <w:rsid w:val="007C02B2"/>
    <w:rsid w:val="007C137D"/>
    <w:rsid w:val="007C797F"/>
    <w:rsid w:val="007C7D64"/>
    <w:rsid w:val="007D6771"/>
    <w:rsid w:val="007E018D"/>
    <w:rsid w:val="007E6A45"/>
    <w:rsid w:val="007F1B71"/>
    <w:rsid w:val="007F3331"/>
    <w:rsid w:val="0080320B"/>
    <w:rsid w:val="00807030"/>
    <w:rsid w:val="00807E7D"/>
    <w:rsid w:val="008145BA"/>
    <w:rsid w:val="0081571B"/>
    <w:rsid w:val="008249BE"/>
    <w:rsid w:val="00825514"/>
    <w:rsid w:val="00827158"/>
    <w:rsid w:val="0082796D"/>
    <w:rsid w:val="00831675"/>
    <w:rsid w:val="00833654"/>
    <w:rsid w:val="008404AD"/>
    <w:rsid w:val="008412E0"/>
    <w:rsid w:val="00844849"/>
    <w:rsid w:val="00844C54"/>
    <w:rsid w:val="00845822"/>
    <w:rsid w:val="00845A80"/>
    <w:rsid w:val="008512C4"/>
    <w:rsid w:val="00855087"/>
    <w:rsid w:val="008552D6"/>
    <w:rsid w:val="00855DA3"/>
    <w:rsid w:val="0085631F"/>
    <w:rsid w:val="00860BB5"/>
    <w:rsid w:val="00862443"/>
    <w:rsid w:val="00877071"/>
    <w:rsid w:val="008779B4"/>
    <w:rsid w:val="00877A2F"/>
    <w:rsid w:val="0088138D"/>
    <w:rsid w:val="00883863"/>
    <w:rsid w:val="0088467C"/>
    <w:rsid w:val="008853B9"/>
    <w:rsid w:val="00885AA3"/>
    <w:rsid w:val="008870C9"/>
    <w:rsid w:val="0089079C"/>
    <w:rsid w:val="00891F21"/>
    <w:rsid w:val="00892D3B"/>
    <w:rsid w:val="0089407B"/>
    <w:rsid w:val="00894579"/>
    <w:rsid w:val="008A2BDB"/>
    <w:rsid w:val="008A32CB"/>
    <w:rsid w:val="008A3AAD"/>
    <w:rsid w:val="008A5B67"/>
    <w:rsid w:val="008A5CCD"/>
    <w:rsid w:val="008A6A6D"/>
    <w:rsid w:val="008B29E7"/>
    <w:rsid w:val="008B2C4E"/>
    <w:rsid w:val="008B33DF"/>
    <w:rsid w:val="008B4FD2"/>
    <w:rsid w:val="008B5C0B"/>
    <w:rsid w:val="008C2216"/>
    <w:rsid w:val="008C7F23"/>
    <w:rsid w:val="008D07E2"/>
    <w:rsid w:val="008D16F7"/>
    <w:rsid w:val="008D40FA"/>
    <w:rsid w:val="008D4835"/>
    <w:rsid w:val="008E1427"/>
    <w:rsid w:val="008E52C7"/>
    <w:rsid w:val="008E5A1D"/>
    <w:rsid w:val="008E6B6A"/>
    <w:rsid w:val="008F0C50"/>
    <w:rsid w:val="008F2529"/>
    <w:rsid w:val="008F4DED"/>
    <w:rsid w:val="008F60C4"/>
    <w:rsid w:val="008F778A"/>
    <w:rsid w:val="00902ED6"/>
    <w:rsid w:val="0090320B"/>
    <w:rsid w:val="00906037"/>
    <w:rsid w:val="009120E3"/>
    <w:rsid w:val="0091280A"/>
    <w:rsid w:val="009143A0"/>
    <w:rsid w:val="0091565E"/>
    <w:rsid w:val="00915F60"/>
    <w:rsid w:val="00921B5A"/>
    <w:rsid w:val="00924C42"/>
    <w:rsid w:val="00925124"/>
    <w:rsid w:val="00925635"/>
    <w:rsid w:val="0092695F"/>
    <w:rsid w:val="00927C59"/>
    <w:rsid w:val="00931881"/>
    <w:rsid w:val="0093421F"/>
    <w:rsid w:val="00935202"/>
    <w:rsid w:val="00936319"/>
    <w:rsid w:val="00936902"/>
    <w:rsid w:val="00942170"/>
    <w:rsid w:val="0094486D"/>
    <w:rsid w:val="0095005A"/>
    <w:rsid w:val="00950E58"/>
    <w:rsid w:val="00952DF0"/>
    <w:rsid w:val="009538DC"/>
    <w:rsid w:val="00954679"/>
    <w:rsid w:val="009552FE"/>
    <w:rsid w:val="00955673"/>
    <w:rsid w:val="009562E9"/>
    <w:rsid w:val="009655DA"/>
    <w:rsid w:val="00965BBC"/>
    <w:rsid w:val="009673D0"/>
    <w:rsid w:val="0097181A"/>
    <w:rsid w:val="00972823"/>
    <w:rsid w:val="00974996"/>
    <w:rsid w:val="00974BD2"/>
    <w:rsid w:val="009819F6"/>
    <w:rsid w:val="00985AC5"/>
    <w:rsid w:val="0098737D"/>
    <w:rsid w:val="00990BE6"/>
    <w:rsid w:val="009A2167"/>
    <w:rsid w:val="009A49F0"/>
    <w:rsid w:val="009A5307"/>
    <w:rsid w:val="009A6807"/>
    <w:rsid w:val="009B700B"/>
    <w:rsid w:val="009B7A38"/>
    <w:rsid w:val="009C0051"/>
    <w:rsid w:val="009C6A1E"/>
    <w:rsid w:val="009C735B"/>
    <w:rsid w:val="009D2F0C"/>
    <w:rsid w:val="009D477C"/>
    <w:rsid w:val="009E27A5"/>
    <w:rsid w:val="009E2F86"/>
    <w:rsid w:val="00A12209"/>
    <w:rsid w:val="00A14946"/>
    <w:rsid w:val="00A22393"/>
    <w:rsid w:val="00A24709"/>
    <w:rsid w:val="00A31484"/>
    <w:rsid w:val="00A31681"/>
    <w:rsid w:val="00A34CA4"/>
    <w:rsid w:val="00A35C0C"/>
    <w:rsid w:val="00A36DF3"/>
    <w:rsid w:val="00A44174"/>
    <w:rsid w:val="00A4441D"/>
    <w:rsid w:val="00A51BDE"/>
    <w:rsid w:val="00A53219"/>
    <w:rsid w:val="00A532DD"/>
    <w:rsid w:val="00A5522E"/>
    <w:rsid w:val="00A643CF"/>
    <w:rsid w:val="00A649B6"/>
    <w:rsid w:val="00A73466"/>
    <w:rsid w:val="00A7356F"/>
    <w:rsid w:val="00A74B90"/>
    <w:rsid w:val="00A760F0"/>
    <w:rsid w:val="00A80BCF"/>
    <w:rsid w:val="00A825D1"/>
    <w:rsid w:val="00A8369C"/>
    <w:rsid w:val="00A856D8"/>
    <w:rsid w:val="00A86579"/>
    <w:rsid w:val="00A90212"/>
    <w:rsid w:val="00A90CC4"/>
    <w:rsid w:val="00A91E0F"/>
    <w:rsid w:val="00A9401D"/>
    <w:rsid w:val="00A9503F"/>
    <w:rsid w:val="00AA1689"/>
    <w:rsid w:val="00AA496F"/>
    <w:rsid w:val="00AA5770"/>
    <w:rsid w:val="00AA70DB"/>
    <w:rsid w:val="00AB116E"/>
    <w:rsid w:val="00AB1D89"/>
    <w:rsid w:val="00AB2E70"/>
    <w:rsid w:val="00AB33C1"/>
    <w:rsid w:val="00AB3E03"/>
    <w:rsid w:val="00AC1D15"/>
    <w:rsid w:val="00AC3461"/>
    <w:rsid w:val="00AC72F5"/>
    <w:rsid w:val="00AC793F"/>
    <w:rsid w:val="00AD21C9"/>
    <w:rsid w:val="00AD44C6"/>
    <w:rsid w:val="00AD77C3"/>
    <w:rsid w:val="00AE460D"/>
    <w:rsid w:val="00AE7F82"/>
    <w:rsid w:val="00AF7AEF"/>
    <w:rsid w:val="00B00FE2"/>
    <w:rsid w:val="00B051C9"/>
    <w:rsid w:val="00B07B0C"/>
    <w:rsid w:val="00B10008"/>
    <w:rsid w:val="00B120F9"/>
    <w:rsid w:val="00B14379"/>
    <w:rsid w:val="00B22DFB"/>
    <w:rsid w:val="00B23CDB"/>
    <w:rsid w:val="00B25563"/>
    <w:rsid w:val="00B26D48"/>
    <w:rsid w:val="00B2789F"/>
    <w:rsid w:val="00B30391"/>
    <w:rsid w:val="00B40949"/>
    <w:rsid w:val="00B40D80"/>
    <w:rsid w:val="00B41100"/>
    <w:rsid w:val="00B41F7B"/>
    <w:rsid w:val="00B42533"/>
    <w:rsid w:val="00B42EE1"/>
    <w:rsid w:val="00B43623"/>
    <w:rsid w:val="00B47A59"/>
    <w:rsid w:val="00B50CE1"/>
    <w:rsid w:val="00B5349B"/>
    <w:rsid w:val="00B5649C"/>
    <w:rsid w:val="00B67878"/>
    <w:rsid w:val="00B7138A"/>
    <w:rsid w:val="00B7401E"/>
    <w:rsid w:val="00B80E08"/>
    <w:rsid w:val="00B8293D"/>
    <w:rsid w:val="00B87A49"/>
    <w:rsid w:val="00B91ECE"/>
    <w:rsid w:val="00B92478"/>
    <w:rsid w:val="00B943FB"/>
    <w:rsid w:val="00B97463"/>
    <w:rsid w:val="00BA13A1"/>
    <w:rsid w:val="00BA25B4"/>
    <w:rsid w:val="00BA6188"/>
    <w:rsid w:val="00BA7EA1"/>
    <w:rsid w:val="00BB608E"/>
    <w:rsid w:val="00BB7567"/>
    <w:rsid w:val="00BC032D"/>
    <w:rsid w:val="00BC361A"/>
    <w:rsid w:val="00BC68C2"/>
    <w:rsid w:val="00BD2045"/>
    <w:rsid w:val="00BD3450"/>
    <w:rsid w:val="00BD3D7D"/>
    <w:rsid w:val="00BD49F7"/>
    <w:rsid w:val="00BD61A2"/>
    <w:rsid w:val="00BE2488"/>
    <w:rsid w:val="00BE484D"/>
    <w:rsid w:val="00BE5D5E"/>
    <w:rsid w:val="00BE5E9F"/>
    <w:rsid w:val="00BF2596"/>
    <w:rsid w:val="00C00B11"/>
    <w:rsid w:val="00C17407"/>
    <w:rsid w:val="00C1750D"/>
    <w:rsid w:val="00C24EDE"/>
    <w:rsid w:val="00C37E05"/>
    <w:rsid w:val="00C4270A"/>
    <w:rsid w:val="00C4395D"/>
    <w:rsid w:val="00C45DA1"/>
    <w:rsid w:val="00C47789"/>
    <w:rsid w:val="00C52172"/>
    <w:rsid w:val="00C55D29"/>
    <w:rsid w:val="00C56F2E"/>
    <w:rsid w:val="00C56F62"/>
    <w:rsid w:val="00C6015D"/>
    <w:rsid w:val="00C62B3A"/>
    <w:rsid w:val="00C73440"/>
    <w:rsid w:val="00C83DB6"/>
    <w:rsid w:val="00C84FA0"/>
    <w:rsid w:val="00C86F6D"/>
    <w:rsid w:val="00C948D8"/>
    <w:rsid w:val="00CA0BE9"/>
    <w:rsid w:val="00CA0C81"/>
    <w:rsid w:val="00CA138D"/>
    <w:rsid w:val="00CA29C4"/>
    <w:rsid w:val="00CA57D9"/>
    <w:rsid w:val="00CA5D67"/>
    <w:rsid w:val="00CB684F"/>
    <w:rsid w:val="00CC220F"/>
    <w:rsid w:val="00CC2AFE"/>
    <w:rsid w:val="00CC7641"/>
    <w:rsid w:val="00CD7F6C"/>
    <w:rsid w:val="00CE0B46"/>
    <w:rsid w:val="00CE11F7"/>
    <w:rsid w:val="00CE4EFB"/>
    <w:rsid w:val="00CE7D19"/>
    <w:rsid w:val="00CF0681"/>
    <w:rsid w:val="00CF1461"/>
    <w:rsid w:val="00CF2279"/>
    <w:rsid w:val="00CF2515"/>
    <w:rsid w:val="00CF3E79"/>
    <w:rsid w:val="00D048EC"/>
    <w:rsid w:val="00D074A2"/>
    <w:rsid w:val="00D13794"/>
    <w:rsid w:val="00D218E7"/>
    <w:rsid w:val="00D21CC6"/>
    <w:rsid w:val="00D23CE8"/>
    <w:rsid w:val="00D24052"/>
    <w:rsid w:val="00D24386"/>
    <w:rsid w:val="00D26B14"/>
    <w:rsid w:val="00D31575"/>
    <w:rsid w:val="00D31A89"/>
    <w:rsid w:val="00D34626"/>
    <w:rsid w:val="00D34FB4"/>
    <w:rsid w:val="00D359BA"/>
    <w:rsid w:val="00D4257A"/>
    <w:rsid w:val="00D456A9"/>
    <w:rsid w:val="00D514D0"/>
    <w:rsid w:val="00D52798"/>
    <w:rsid w:val="00D5468A"/>
    <w:rsid w:val="00D61745"/>
    <w:rsid w:val="00D61B1D"/>
    <w:rsid w:val="00D62665"/>
    <w:rsid w:val="00D645AC"/>
    <w:rsid w:val="00D66C71"/>
    <w:rsid w:val="00D66D7C"/>
    <w:rsid w:val="00D70205"/>
    <w:rsid w:val="00D70663"/>
    <w:rsid w:val="00D7286A"/>
    <w:rsid w:val="00D735EF"/>
    <w:rsid w:val="00D7609F"/>
    <w:rsid w:val="00D81AA7"/>
    <w:rsid w:val="00D82E47"/>
    <w:rsid w:val="00D84A01"/>
    <w:rsid w:val="00D8685D"/>
    <w:rsid w:val="00D91892"/>
    <w:rsid w:val="00D92076"/>
    <w:rsid w:val="00D977EA"/>
    <w:rsid w:val="00DB148C"/>
    <w:rsid w:val="00DB1A31"/>
    <w:rsid w:val="00DB1A63"/>
    <w:rsid w:val="00DB202E"/>
    <w:rsid w:val="00DB4F78"/>
    <w:rsid w:val="00DC027B"/>
    <w:rsid w:val="00DC0CDE"/>
    <w:rsid w:val="00DC1A85"/>
    <w:rsid w:val="00DC498E"/>
    <w:rsid w:val="00DC4D72"/>
    <w:rsid w:val="00DC6525"/>
    <w:rsid w:val="00DC7018"/>
    <w:rsid w:val="00DD12B0"/>
    <w:rsid w:val="00DD4189"/>
    <w:rsid w:val="00DD5610"/>
    <w:rsid w:val="00DD5B41"/>
    <w:rsid w:val="00DD7E01"/>
    <w:rsid w:val="00DF0CB3"/>
    <w:rsid w:val="00DF494C"/>
    <w:rsid w:val="00DF6D0B"/>
    <w:rsid w:val="00DF7E0D"/>
    <w:rsid w:val="00E03291"/>
    <w:rsid w:val="00E05303"/>
    <w:rsid w:val="00E0624D"/>
    <w:rsid w:val="00E06319"/>
    <w:rsid w:val="00E12B4D"/>
    <w:rsid w:val="00E179D4"/>
    <w:rsid w:val="00E20023"/>
    <w:rsid w:val="00E24C23"/>
    <w:rsid w:val="00E31A97"/>
    <w:rsid w:val="00E33764"/>
    <w:rsid w:val="00E353A3"/>
    <w:rsid w:val="00E35C9D"/>
    <w:rsid w:val="00E37FF7"/>
    <w:rsid w:val="00E42128"/>
    <w:rsid w:val="00E4438C"/>
    <w:rsid w:val="00E457F3"/>
    <w:rsid w:val="00E50663"/>
    <w:rsid w:val="00E512AB"/>
    <w:rsid w:val="00E52FDD"/>
    <w:rsid w:val="00E55F9B"/>
    <w:rsid w:val="00E56F9D"/>
    <w:rsid w:val="00E576F5"/>
    <w:rsid w:val="00E57A6A"/>
    <w:rsid w:val="00E73CC1"/>
    <w:rsid w:val="00E86357"/>
    <w:rsid w:val="00E87284"/>
    <w:rsid w:val="00E93A31"/>
    <w:rsid w:val="00E97664"/>
    <w:rsid w:val="00EA2D5C"/>
    <w:rsid w:val="00EA4DD8"/>
    <w:rsid w:val="00EA7959"/>
    <w:rsid w:val="00EB2AEF"/>
    <w:rsid w:val="00EB2BED"/>
    <w:rsid w:val="00EB73C4"/>
    <w:rsid w:val="00EB7E71"/>
    <w:rsid w:val="00EC382D"/>
    <w:rsid w:val="00ED123E"/>
    <w:rsid w:val="00ED1F15"/>
    <w:rsid w:val="00ED216B"/>
    <w:rsid w:val="00ED4D68"/>
    <w:rsid w:val="00EE491D"/>
    <w:rsid w:val="00EF0478"/>
    <w:rsid w:val="00EF1931"/>
    <w:rsid w:val="00EF2788"/>
    <w:rsid w:val="00EF3103"/>
    <w:rsid w:val="00EF61C1"/>
    <w:rsid w:val="00EF67D8"/>
    <w:rsid w:val="00EF6E9B"/>
    <w:rsid w:val="00EF7714"/>
    <w:rsid w:val="00F023DB"/>
    <w:rsid w:val="00F05323"/>
    <w:rsid w:val="00F06E5B"/>
    <w:rsid w:val="00F0785A"/>
    <w:rsid w:val="00F109D4"/>
    <w:rsid w:val="00F10A6F"/>
    <w:rsid w:val="00F15EE9"/>
    <w:rsid w:val="00F24736"/>
    <w:rsid w:val="00F27344"/>
    <w:rsid w:val="00F309AC"/>
    <w:rsid w:val="00F343AA"/>
    <w:rsid w:val="00F40C85"/>
    <w:rsid w:val="00F4241B"/>
    <w:rsid w:val="00F46704"/>
    <w:rsid w:val="00F46C17"/>
    <w:rsid w:val="00F47585"/>
    <w:rsid w:val="00F56F33"/>
    <w:rsid w:val="00F6249C"/>
    <w:rsid w:val="00F678B8"/>
    <w:rsid w:val="00F7078E"/>
    <w:rsid w:val="00F730E6"/>
    <w:rsid w:val="00F75BDB"/>
    <w:rsid w:val="00F81232"/>
    <w:rsid w:val="00F8291C"/>
    <w:rsid w:val="00F85E6F"/>
    <w:rsid w:val="00F863B1"/>
    <w:rsid w:val="00F95449"/>
    <w:rsid w:val="00FA1942"/>
    <w:rsid w:val="00FA380A"/>
    <w:rsid w:val="00FA65CA"/>
    <w:rsid w:val="00FA67DD"/>
    <w:rsid w:val="00FB2F47"/>
    <w:rsid w:val="00FB49C2"/>
    <w:rsid w:val="00FB6898"/>
    <w:rsid w:val="00FC0267"/>
    <w:rsid w:val="00FC0DDF"/>
    <w:rsid w:val="00FC2CB5"/>
    <w:rsid w:val="00FC38D9"/>
    <w:rsid w:val="00FC3A8F"/>
    <w:rsid w:val="00FC595E"/>
    <w:rsid w:val="00FD19F7"/>
    <w:rsid w:val="00FD3288"/>
    <w:rsid w:val="00FD67E6"/>
    <w:rsid w:val="00FD7402"/>
    <w:rsid w:val="00FD7E9B"/>
    <w:rsid w:val="00FE04E4"/>
    <w:rsid w:val="00FE1BF0"/>
    <w:rsid w:val="00FE2DD7"/>
    <w:rsid w:val="00FE341E"/>
    <w:rsid w:val="00FE73F9"/>
    <w:rsid w:val="00FF020F"/>
    <w:rsid w:val="00FF1057"/>
    <w:rsid w:val="00FF3E25"/>
    <w:rsid w:val="00FF5FD8"/>
    <w:rsid w:val="100A0FD3"/>
    <w:rsid w:val="1F423F08"/>
    <w:rsid w:val="2278B0DA"/>
    <w:rsid w:val="27795250"/>
    <w:rsid w:val="3BAF2DA3"/>
    <w:rsid w:val="4A1DCB43"/>
    <w:rsid w:val="4FFEC8C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E7795"/>
  <w15:docId w15:val="{DC34C92B-197A-4B14-BE7F-B8AC921A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uiPriority w:val="9"/>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6">
    <w:name w:val="heading 6"/>
    <w:basedOn w:val="Normal"/>
    <w:next w:val="Normal"/>
    <w:link w:val="Heading6Char"/>
    <w:uiPriority w:val="9"/>
    <w:unhideWhenUsed/>
    <w:qFormat/>
    <w:rsid w:val="005B6B8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uiPriority w:val="9"/>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SecurityClassificationHeader">
    <w:name w:val="Security Classification Header"/>
    <w:link w:val="SecurityClassificationHeaderChar"/>
    <w:rsid w:val="00721E2F"/>
    <w:pPr>
      <w:spacing w:before="360" w:after="60"/>
      <w:jc w:val="center"/>
    </w:pPr>
    <w:rPr>
      <w:rFonts w:ascii="Calibri" w:hAnsi="Calibri" w:cs="Calibri"/>
      <w:b/>
      <w:color w:val="FF0000"/>
      <w:sz w:val="24"/>
    </w:rPr>
  </w:style>
  <w:style w:type="character" w:customStyle="1" w:styleId="SecurityClassificationHeaderChar">
    <w:name w:val="Security Classification Header Char"/>
    <w:basedOn w:val="HeaderChar"/>
    <w:link w:val="SecurityClassificationHeader"/>
    <w:rsid w:val="00721E2F"/>
    <w:rPr>
      <w:rFonts w:ascii="Calibri" w:hAnsi="Calibri" w:cs="Calibri"/>
      <w:b/>
      <w:color w:val="FF0000"/>
      <w:sz w:val="24"/>
    </w:rPr>
  </w:style>
  <w:style w:type="paragraph" w:customStyle="1" w:styleId="SecurityClassificationFooter">
    <w:name w:val="Security Classification Footer"/>
    <w:link w:val="SecurityClassificationFooterChar"/>
    <w:rsid w:val="00721E2F"/>
    <w:pPr>
      <w:spacing w:before="360" w:after="60"/>
      <w:jc w:val="center"/>
    </w:pPr>
    <w:rPr>
      <w:rFonts w:ascii="Calibri" w:hAnsi="Calibri" w:cs="Calibri"/>
      <w:b/>
      <w:color w:val="FF0000"/>
      <w:sz w:val="24"/>
    </w:rPr>
  </w:style>
  <w:style w:type="character" w:customStyle="1" w:styleId="SecurityClassificationFooterChar">
    <w:name w:val="Security Classification Footer Char"/>
    <w:basedOn w:val="HeaderChar"/>
    <w:link w:val="SecurityClassificationFooter"/>
    <w:rsid w:val="00721E2F"/>
    <w:rPr>
      <w:rFonts w:ascii="Calibri" w:hAnsi="Calibri" w:cs="Calibri"/>
      <w:b/>
      <w:color w:val="FF0000"/>
      <w:sz w:val="24"/>
    </w:rPr>
  </w:style>
  <w:style w:type="paragraph" w:customStyle="1" w:styleId="DLMSecurityHeader">
    <w:name w:val="DLM Security Header"/>
    <w:link w:val="DLMSecurityHeaderChar"/>
    <w:rsid w:val="00721E2F"/>
    <w:pPr>
      <w:spacing w:before="360" w:after="60"/>
      <w:jc w:val="center"/>
    </w:pPr>
    <w:rPr>
      <w:rFonts w:ascii="Calibri" w:hAnsi="Calibri" w:cs="Calibri"/>
      <w:b/>
      <w:color w:val="FF0000"/>
      <w:sz w:val="24"/>
    </w:rPr>
  </w:style>
  <w:style w:type="character" w:customStyle="1" w:styleId="DLMSecurityHeaderChar">
    <w:name w:val="DLM Security Header Char"/>
    <w:basedOn w:val="HeaderChar"/>
    <w:link w:val="DLMSecurityHeader"/>
    <w:rsid w:val="00721E2F"/>
    <w:rPr>
      <w:rFonts w:ascii="Calibri" w:hAnsi="Calibri" w:cs="Calibri"/>
      <w:b/>
      <w:color w:val="FF0000"/>
      <w:sz w:val="24"/>
    </w:rPr>
  </w:style>
  <w:style w:type="paragraph" w:customStyle="1" w:styleId="DLMSecurityFooter">
    <w:name w:val="DLM Security Footer"/>
    <w:link w:val="DLMSecurityFooterChar"/>
    <w:rsid w:val="00721E2F"/>
    <w:pPr>
      <w:spacing w:before="360" w:after="60"/>
      <w:jc w:val="center"/>
    </w:pPr>
    <w:rPr>
      <w:rFonts w:ascii="Calibri" w:hAnsi="Calibri" w:cs="Calibri"/>
      <w:b/>
      <w:color w:val="FF0000"/>
      <w:sz w:val="24"/>
    </w:rPr>
  </w:style>
  <w:style w:type="character" w:customStyle="1" w:styleId="DLMSecurityFooterChar">
    <w:name w:val="DLM Security Footer Char"/>
    <w:basedOn w:val="HeaderChar"/>
    <w:link w:val="DLMSecurityFooter"/>
    <w:rsid w:val="00721E2F"/>
    <w:rPr>
      <w:rFonts w:ascii="Calibri" w:hAnsi="Calibri" w:cs="Calibri"/>
      <w:b/>
      <w:color w:val="FF0000"/>
      <w:sz w:val="24"/>
    </w:rPr>
  </w:style>
  <w:style w:type="character" w:customStyle="1" w:styleId="Heading6Char">
    <w:name w:val="Heading 6 Char"/>
    <w:basedOn w:val="DefaultParagraphFont"/>
    <w:link w:val="Heading6"/>
    <w:uiPriority w:val="9"/>
    <w:rsid w:val="005B6B84"/>
    <w:rPr>
      <w:rFonts w:asciiTheme="majorHAnsi" w:eastAsiaTheme="majorEastAsia" w:hAnsiTheme="majorHAnsi" w:cstheme="majorBidi"/>
      <w:color w:val="243F60" w:themeColor="accent1" w:themeShade="7F"/>
      <w:sz w:val="24"/>
    </w:rPr>
  </w:style>
  <w:style w:type="character" w:styleId="Mention">
    <w:name w:val="Mention"/>
    <w:basedOn w:val="DefaultParagraphFont"/>
    <w:uiPriority w:val="99"/>
    <w:unhideWhenUsed/>
    <w:rsid w:val="00CF14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69081">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ED4FDA1FDE45258EDC438F5DA01C1E"/>
        <w:category>
          <w:name w:val="General"/>
          <w:gallery w:val="placeholder"/>
        </w:category>
        <w:types>
          <w:type w:val="bbPlcHdr"/>
        </w:types>
        <w:behaviors>
          <w:behavior w:val="content"/>
        </w:behaviors>
        <w:guid w:val="{AF27FA3F-D98D-4388-8241-423EB4763129}"/>
      </w:docPartPr>
      <w:docPartBody>
        <w:p w:rsidR="00C17407" w:rsidRDefault="005C5C0E">
          <w:pPr>
            <w:pStyle w:val="21ED4FDA1FDE45258EDC438F5DA01C1E"/>
          </w:pPr>
          <w:r w:rsidRPr="003C5719">
            <w:rPr>
              <w:rStyle w:val="PlaceholderText"/>
              <w:sz w:val="24"/>
              <w:szCs w:val="24"/>
            </w:rPr>
            <w:t>select a Minister</w:t>
          </w:r>
        </w:p>
      </w:docPartBody>
    </w:docPart>
    <w:docPart>
      <w:docPartPr>
        <w:name w:val="C16D8B23A5844232B7326F96A1E46159"/>
        <w:category>
          <w:name w:val="General"/>
          <w:gallery w:val="placeholder"/>
        </w:category>
        <w:types>
          <w:type w:val="bbPlcHdr"/>
        </w:types>
        <w:behaviors>
          <w:behavior w:val="content"/>
        </w:behaviors>
        <w:guid w:val="{94F87A58-D76C-481C-AA6E-7B5D329A0A8B}"/>
      </w:docPartPr>
      <w:docPartBody>
        <w:p w:rsidR="005C5C0E" w:rsidRDefault="00C17407" w:rsidP="00C17407">
          <w:pPr>
            <w:pStyle w:val="C16D8B23A5844232B7326F96A1E46159"/>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6F"/>
    <w:rsid w:val="001E043E"/>
    <w:rsid w:val="002453AA"/>
    <w:rsid w:val="0036019B"/>
    <w:rsid w:val="003D68D9"/>
    <w:rsid w:val="004C2E20"/>
    <w:rsid w:val="005C5C0E"/>
    <w:rsid w:val="005F0905"/>
    <w:rsid w:val="00654CA5"/>
    <w:rsid w:val="006952FD"/>
    <w:rsid w:val="007311CA"/>
    <w:rsid w:val="00765AA1"/>
    <w:rsid w:val="00771A3B"/>
    <w:rsid w:val="008977C3"/>
    <w:rsid w:val="00962D1D"/>
    <w:rsid w:val="00A069DF"/>
    <w:rsid w:val="00A171C9"/>
    <w:rsid w:val="00AF5F6F"/>
    <w:rsid w:val="00B76E53"/>
    <w:rsid w:val="00C03E79"/>
    <w:rsid w:val="00C17407"/>
    <w:rsid w:val="00D14B6D"/>
    <w:rsid w:val="00D26E20"/>
    <w:rsid w:val="00D43A67"/>
    <w:rsid w:val="00E86510"/>
    <w:rsid w:val="00EC3521"/>
    <w:rsid w:val="00EF1373"/>
    <w:rsid w:val="00FB37D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407"/>
    <w:rPr>
      <w:color w:val="808080"/>
    </w:rPr>
  </w:style>
  <w:style w:type="paragraph" w:customStyle="1" w:styleId="21ED4FDA1FDE45258EDC438F5DA01C1E">
    <w:name w:val="21ED4FDA1FDE45258EDC438F5DA01C1E"/>
  </w:style>
  <w:style w:type="paragraph" w:customStyle="1" w:styleId="C16D8B23A5844232B7326F96A1E46159">
    <w:name w:val="C16D8B23A5844232B7326F96A1E46159"/>
    <w:rsid w:val="00C174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D85F6AA4C4604E9E4908C3D40B08D2" ma:contentTypeVersion="" ma:contentTypeDescription="PDMS Document Site Content Type" ma:contentTypeScope="" ma:versionID="b63dc63ddd743f9be1d030a1f6a7b7ab">
  <xsd:schema xmlns:xsd="http://www.w3.org/2001/XMLSchema" xmlns:xs="http://www.w3.org/2001/XMLSchema" xmlns:p="http://schemas.microsoft.com/office/2006/metadata/properties" xmlns:ns2="08DEA25A-1002-4009-AD46-2F11AD061AFC" targetNamespace="http://schemas.microsoft.com/office/2006/metadata/properties" ma:root="true" ma:fieldsID="f2df21bd8b68c5f4f446b50b34938bd6" ns2:_="">
    <xsd:import namespace="08DEA25A-1002-4009-AD46-2F11AD061AF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EA25A-1002-4009-AD46-2F11AD061AF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08DEA25A-1002-4009-AD46-2F11AD061AFC">PROTECTED</SecurityClassificat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0ED04F-461A-4654-8642-98C03E328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EA25A-1002-4009-AD46-2F11AD061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78533-3486-40E5-9013-DD26FD164D39}">
  <ds:schemaRefs>
    <ds:schemaRef ds:uri="http://purl.org/dc/terms/"/>
    <ds:schemaRef ds:uri="http://schemas.microsoft.com/office/infopath/2007/PartnerControls"/>
    <ds:schemaRef ds:uri="08DEA25A-1002-4009-AD46-2F11AD061AFC"/>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Sub-ES.dotx</Template>
  <TotalTime>1</TotalTime>
  <Pages>5</Pages>
  <Words>1701</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Treasury</Company>
  <LinksUpToDate>false</LinksUpToDate>
  <CharactersWithSpaces>11675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Chan, Jodic</dc:creator>
  <cp:keywords/>
  <cp:lastModifiedBy>Cuming, Anita</cp:lastModifiedBy>
  <cp:revision>3</cp:revision>
  <cp:lastPrinted>2019-02-21T03:23:00Z</cp:lastPrinted>
  <dcterms:created xsi:type="dcterms:W3CDTF">2024-08-15T06:43:00Z</dcterms:created>
  <dcterms:modified xsi:type="dcterms:W3CDTF">2024-08-15T06:44:00Z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0x010100266966F133664895A6EE3632470D45F5008DD85F6AA4C4604E9E4908C3D40B08D2</vt:lpwstr>
  </property>
  <property fmtid="{D5CDD505-2E9C-101B-9397-08002B2CF9AE}" pid="4" name="TSYRecordClass">
    <vt:lpwstr>1;#AE-20260-Destroy 7 years after action completed|623f5ec9-ec5d-4824-8e13-9c9bfc51fe7e</vt:lpwstr>
  </property>
  <property fmtid="{D5CDD505-2E9C-101B-9397-08002B2CF9AE}" pid="5" name="_dlc_DocIdItemGuid">
    <vt:lpwstr>0a6189a1-5c12-48bb-9503-a7cb6cc5f004</vt:lpwstr>
  </property>
  <property fmtid="{D5CDD505-2E9C-101B-9397-08002B2CF9AE}" pid="6" name="TSYTopic">
    <vt:lpwstr/>
  </property>
  <property fmtid="{D5CDD505-2E9C-101B-9397-08002B2CF9AE}" pid="7" name="eTheme">
    <vt:lpwstr>1;#Law Design|318dd2d2-18da-4b8e-a458-14db2c1af95f</vt:lpwstr>
  </property>
  <property fmtid="{D5CDD505-2E9C-101B-9397-08002B2CF9AE}" pid="8" name="TSYStatus">
    <vt:lpwstr/>
  </property>
  <property fmtid="{D5CDD505-2E9C-101B-9397-08002B2CF9AE}" pid="9" name="MediaServiceImageTags">
    <vt:lpwstr/>
  </property>
  <property fmtid="{D5CDD505-2E9C-101B-9397-08002B2CF9AE}" pid="10" name="eDocumentType">
    <vt:lpwstr>153;#Explanatory Materials|ac61e78e-992e-40fd-ae93-2c9522960b05</vt:lpwstr>
  </property>
  <property fmtid="{D5CDD505-2E9C-101B-9397-08002B2CF9AE}" pid="11" name="TSYOffice">
    <vt:lpwstr/>
  </property>
  <property fmtid="{D5CDD505-2E9C-101B-9397-08002B2CF9AE}" pid="12" name="eTopic">
    <vt:lpwstr>73;#Personal Tax|4ccbe142-44ee-4a73-b192-b57e486e389f</vt:lpwstr>
  </property>
  <property fmtid="{D5CDD505-2E9C-101B-9397-08002B2CF9AE}" pid="13" name="SecurityClassification">
    <vt:lpwstr>PROTECTED</vt:lpwstr>
  </property>
  <property fmtid="{D5CDD505-2E9C-101B-9397-08002B2CF9AE}" pid="14" name="DLMSecurityClassification">
    <vt:lpwstr>Legal Privilege</vt:lpwstr>
  </property>
  <property fmtid="{D5CDD505-2E9C-101B-9397-08002B2CF9AE}" pid="15" name="WorkingDocStatus">
    <vt:lpwstr/>
  </property>
  <property fmtid="{D5CDD505-2E9C-101B-9397-08002B2CF9AE}" pid="16" name="eActivity">
    <vt:lpwstr>28;#Legislative measures|0d31ce10-0017-4a46-8d2d-ba60058cb6a2</vt:lpwstr>
  </property>
  <property fmtid="{D5CDD505-2E9C-101B-9397-08002B2CF9AE}" pid="17" name="k8424359e03846678cc4a99dd97e9705">
    <vt:lpwstr>Treasury Enterprise Terms|69519368-d55f-4403-adc0-7b3d464d5501</vt:lpwstr>
  </property>
  <property fmtid="{D5CDD505-2E9C-101B-9397-08002B2CF9AE}" pid="18" name="LMDivision">
    <vt:lpwstr>3;#Treasury Enterprise Terms|69519368-d55f-4403-adc0-7b3d464d5501</vt:lpwstr>
  </property>
  <property fmtid="{D5CDD505-2E9C-101B-9397-08002B2CF9AE}" pid="19" name="MSIP_Label_4f932d64-9ab1-4d9b-81d2-a3a8b82dd47d_Enabled">
    <vt:lpwstr>true</vt:lpwstr>
  </property>
  <property fmtid="{D5CDD505-2E9C-101B-9397-08002B2CF9AE}" pid="20" name="MSIP_Label_4f932d64-9ab1-4d9b-81d2-a3a8b82dd47d_SetDate">
    <vt:lpwstr>2024-08-15T06:43:45Z</vt:lpwstr>
  </property>
  <property fmtid="{D5CDD505-2E9C-101B-9397-08002B2CF9AE}" pid="21" name="MSIP_Label_4f932d64-9ab1-4d9b-81d2-a3a8b82dd47d_Method">
    <vt:lpwstr>Privileged</vt:lpwstr>
  </property>
  <property fmtid="{D5CDD505-2E9C-101B-9397-08002B2CF9AE}" pid="22" name="MSIP_Label_4f932d64-9ab1-4d9b-81d2-a3a8b82dd47d_Name">
    <vt:lpwstr>OFFICIAL No Visual Marking</vt:lpwstr>
  </property>
  <property fmtid="{D5CDD505-2E9C-101B-9397-08002B2CF9AE}" pid="23" name="MSIP_Label_4f932d64-9ab1-4d9b-81d2-a3a8b82dd47d_SiteId">
    <vt:lpwstr>214f1646-2021-47cc-8397-e3d3a7ba7d9d</vt:lpwstr>
  </property>
  <property fmtid="{D5CDD505-2E9C-101B-9397-08002B2CF9AE}" pid="24" name="MSIP_Label_4f932d64-9ab1-4d9b-81d2-a3a8b82dd47d_ActionId">
    <vt:lpwstr>74e9354c-9e20-4fea-a91d-aef3e6fa086e</vt:lpwstr>
  </property>
  <property fmtid="{D5CDD505-2E9C-101B-9397-08002B2CF9AE}" pid="25" name="MSIP_Label_4f932d64-9ab1-4d9b-81d2-a3a8b82dd47d_ContentBits">
    <vt:lpwstr>0</vt:lpwstr>
  </property>
</Properties>
</file>