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08831E" w14:textId="77777777" w:rsidR="00302262" w:rsidRPr="008F1784" w:rsidRDefault="00591342" w:rsidP="00FA0A85">
      <w:pPr>
        <w:keepLines w:val="0"/>
        <w:jc w:val="center"/>
        <w:rPr>
          <w:b/>
          <w:sz w:val="22"/>
          <w:szCs w:val="22"/>
        </w:rPr>
      </w:pPr>
      <w:r w:rsidRPr="008F1784">
        <w:rPr>
          <w:b/>
          <w:sz w:val="22"/>
          <w:szCs w:val="22"/>
        </w:rPr>
        <w:t>E</w:t>
      </w:r>
      <w:r w:rsidR="00302262" w:rsidRPr="008F1784">
        <w:rPr>
          <w:b/>
          <w:sz w:val="22"/>
          <w:szCs w:val="22"/>
        </w:rPr>
        <w:t>XPLANATORY STATEMENT</w:t>
      </w:r>
    </w:p>
    <w:p w14:paraId="099AEDF1" w14:textId="77777777" w:rsidR="00302262" w:rsidRPr="008F1784" w:rsidRDefault="00302262" w:rsidP="00702E76">
      <w:pPr>
        <w:keepLines w:val="0"/>
        <w:spacing w:before="240" w:after="0"/>
        <w:jc w:val="center"/>
        <w:rPr>
          <w:b/>
          <w:i/>
          <w:sz w:val="22"/>
          <w:szCs w:val="22"/>
        </w:rPr>
      </w:pPr>
      <w:r w:rsidRPr="008F1784">
        <w:rPr>
          <w:b/>
          <w:i/>
          <w:sz w:val="22"/>
          <w:szCs w:val="22"/>
        </w:rPr>
        <w:t>NATIONAL HEALTH ACT 1953</w:t>
      </w:r>
    </w:p>
    <w:p w14:paraId="17A6FA70" w14:textId="05F7C9C2" w:rsidR="00302262" w:rsidRPr="008F1784" w:rsidRDefault="00302262" w:rsidP="00702E76">
      <w:pPr>
        <w:keepLines w:val="0"/>
        <w:spacing w:before="240"/>
        <w:jc w:val="center"/>
        <w:rPr>
          <w:b/>
          <w:i/>
          <w:sz w:val="22"/>
          <w:szCs w:val="22"/>
        </w:rPr>
      </w:pPr>
      <w:r w:rsidRPr="008F1784">
        <w:rPr>
          <w:b/>
          <w:i/>
          <w:sz w:val="22"/>
          <w:szCs w:val="22"/>
        </w:rPr>
        <w:t>NATIONAL HEALTH (</w:t>
      </w:r>
      <w:r w:rsidR="002E744A" w:rsidRPr="008F1784">
        <w:rPr>
          <w:b/>
          <w:i/>
          <w:sz w:val="22"/>
          <w:szCs w:val="22"/>
        </w:rPr>
        <w:t>HIGHLY SPECIALISED DRUGS P</w:t>
      </w:r>
      <w:r w:rsidR="0052565C" w:rsidRPr="008F1784">
        <w:rPr>
          <w:b/>
          <w:i/>
          <w:sz w:val="22"/>
          <w:szCs w:val="22"/>
        </w:rPr>
        <w:t>ROGRAM</w:t>
      </w:r>
      <w:r w:rsidRPr="008F1784">
        <w:rPr>
          <w:b/>
          <w:i/>
          <w:sz w:val="22"/>
          <w:szCs w:val="22"/>
        </w:rPr>
        <w:t xml:space="preserve">) </w:t>
      </w:r>
      <w:r w:rsidR="00573361" w:rsidRPr="008F1784">
        <w:rPr>
          <w:b/>
          <w:i/>
          <w:sz w:val="22"/>
          <w:szCs w:val="22"/>
        </w:rPr>
        <w:br/>
      </w:r>
      <w:r w:rsidRPr="008F1784">
        <w:rPr>
          <w:b/>
          <w:i/>
          <w:sz w:val="22"/>
          <w:szCs w:val="22"/>
        </w:rPr>
        <w:t>SPECIAL</w:t>
      </w:r>
      <w:r w:rsidR="00573361" w:rsidRPr="008F1784">
        <w:rPr>
          <w:b/>
          <w:i/>
          <w:sz w:val="22"/>
          <w:szCs w:val="22"/>
        </w:rPr>
        <w:t xml:space="preserve"> </w:t>
      </w:r>
      <w:r w:rsidRPr="008F1784">
        <w:rPr>
          <w:b/>
          <w:i/>
          <w:sz w:val="22"/>
          <w:szCs w:val="22"/>
        </w:rPr>
        <w:t>ARRA</w:t>
      </w:r>
      <w:r w:rsidR="005E6D84" w:rsidRPr="008F1784">
        <w:rPr>
          <w:b/>
          <w:i/>
          <w:sz w:val="22"/>
          <w:szCs w:val="22"/>
        </w:rPr>
        <w:t xml:space="preserve">NGEMENT AMENDMENT </w:t>
      </w:r>
      <w:r w:rsidR="0014117B" w:rsidRPr="008F1784">
        <w:rPr>
          <w:b/>
          <w:i/>
          <w:sz w:val="22"/>
          <w:szCs w:val="22"/>
        </w:rPr>
        <w:t>(</w:t>
      </w:r>
      <w:r w:rsidR="003D3898" w:rsidRPr="008F1784">
        <w:rPr>
          <w:b/>
          <w:i/>
          <w:sz w:val="22"/>
          <w:szCs w:val="22"/>
        </w:rPr>
        <w:t>AUGUST</w:t>
      </w:r>
      <w:r w:rsidR="00376C64" w:rsidRPr="008F1784">
        <w:rPr>
          <w:b/>
          <w:i/>
          <w:sz w:val="22"/>
          <w:szCs w:val="22"/>
        </w:rPr>
        <w:t xml:space="preserve"> </w:t>
      </w:r>
      <w:r w:rsidR="00AA01F5" w:rsidRPr="008F1784">
        <w:rPr>
          <w:b/>
          <w:i/>
          <w:sz w:val="22"/>
          <w:szCs w:val="22"/>
        </w:rPr>
        <w:t>UPDATE</w:t>
      </w:r>
      <w:r w:rsidR="00826166" w:rsidRPr="008F1784">
        <w:rPr>
          <w:b/>
          <w:i/>
          <w:sz w:val="22"/>
          <w:szCs w:val="22"/>
        </w:rPr>
        <w:t xml:space="preserve">) </w:t>
      </w:r>
      <w:r w:rsidR="005E6D84" w:rsidRPr="008F1784">
        <w:rPr>
          <w:b/>
          <w:i/>
          <w:sz w:val="22"/>
          <w:szCs w:val="22"/>
        </w:rPr>
        <w:t>INSTRUMENT 20</w:t>
      </w:r>
      <w:r w:rsidR="00376C64" w:rsidRPr="008F1784">
        <w:rPr>
          <w:b/>
          <w:i/>
          <w:sz w:val="22"/>
          <w:szCs w:val="22"/>
        </w:rPr>
        <w:t>2</w:t>
      </w:r>
      <w:r w:rsidR="008E1ABE" w:rsidRPr="008F1784">
        <w:rPr>
          <w:b/>
          <w:i/>
          <w:sz w:val="22"/>
          <w:szCs w:val="22"/>
        </w:rPr>
        <w:t>4</w:t>
      </w:r>
    </w:p>
    <w:p w14:paraId="7BE263E4" w14:textId="4EC0FA18" w:rsidR="00302262" w:rsidRPr="008F1784" w:rsidRDefault="008779C9" w:rsidP="00702E76">
      <w:pPr>
        <w:keepLines w:val="0"/>
        <w:spacing w:before="120"/>
        <w:jc w:val="center"/>
        <w:rPr>
          <w:b/>
          <w:sz w:val="22"/>
          <w:szCs w:val="22"/>
        </w:rPr>
      </w:pPr>
      <w:r w:rsidRPr="008F1784">
        <w:rPr>
          <w:b/>
          <w:sz w:val="22"/>
          <w:szCs w:val="22"/>
        </w:rPr>
        <w:t xml:space="preserve">PB </w:t>
      </w:r>
      <w:r w:rsidR="00E949A5" w:rsidRPr="008F1784">
        <w:rPr>
          <w:b/>
          <w:sz w:val="22"/>
          <w:szCs w:val="22"/>
        </w:rPr>
        <w:t>79</w:t>
      </w:r>
      <w:r w:rsidR="00506411" w:rsidRPr="008F1784">
        <w:rPr>
          <w:b/>
          <w:sz w:val="22"/>
          <w:szCs w:val="22"/>
        </w:rPr>
        <w:t xml:space="preserve"> </w:t>
      </w:r>
      <w:r w:rsidR="00557A6F" w:rsidRPr="008F1784">
        <w:rPr>
          <w:b/>
          <w:sz w:val="22"/>
          <w:szCs w:val="22"/>
        </w:rPr>
        <w:t>of 20</w:t>
      </w:r>
      <w:r w:rsidR="00376C64" w:rsidRPr="008F1784">
        <w:rPr>
          <w:b/>
          <w:sz w:val="22"/>
          <w:szCs w:val="22"/>
        </w:rPr>
        <w:t>2</w:t>
      </w:r>
      <w:r w:rsidR="008E1ABE" w:rsidRPr="008F1784">
        <w:rPr>
          <w:b/>
          <w:sz w:val="22"/>
          <w:szCs w:val="22"/>
        </w:rPr>
        <w:t>4</w:t>
      </w:r>
    </w:p>
    <w:p w14:paraId="371F0D6D" w14:textId="554DAB63" w:rsidR="004D4CAB" w:rsidRPr="008F1784" w:rsidRDefault="004D4CAB" w:rsidP="00702E76">
      <w:pPr>
        <w:keepLines w:val="0"/>
        <w:spacing w:before="120" w:after="0"/>
        <w:rPr>
          <w:sz w:val="22"/>
          <w:szCs w:val="22"/>
        </w:rPr>
      </w:pPr>
    </w:p>
    <w:p w14:paraId="25C27724" w14:textId="77777777" w:rsidR="0072261F" w:rsidRPr="008F1784" w:rsidRDefault="0072261F" w:rsidP="000018A4">
      <w:pPr>
        <w:keepLines w:val="0"/>
        <w:spacing w:before="120" w:after="0"/>
        <w:rPr>
          <w:b/>
          <w:sz w:val="22"/>
          <w:szCs w:val="22"/>
        </w:rPr>
      </w:pPr>
      <w:r w:rsidRPr="008F1784">
        <w:rPr>
          <w:b/>
          <w:sz w:val="22"/>
          <w:szCs w:val="22"/>
        </w:rPr>
        <w:t>Purpose</w:t>
      </w:r>
    </w:p>
    <w:p w14:paraId="3061708D" w14:textId="11F36181" w:rsidR="0072261F" w:rsidRPr="008F1784" w:rsidRDefault="0099423F" w:rsidP="00461DB2">
      <w:pPr>
        <w:spacing w:before="120" w:after="0"/>
      </w:pPr>
      <w:r w:rsidRPr="008F1784">
        <w:rPr>
          <w:sz w:val="22"/>
          <w:szCs w:val="22"/>
        </w:rPr>
        <w:t>This is the</w:t>
      </w:r>
      <w:r w:rsidRPr="008F1784">
        <w:rPr>
          <w:i/>
          <w:sz w:val="24"/>
          <w:szCs w:val="22"/>
        </w:rPr>
        <w:t xml:space="preserve"> </w:t>
      </w:r>
      <w:r w:rsidR="00826166" w:rsidRPr="008F1784">
        <w:rPr>
          <w:i/>
          <w:sz w:val="22"/>
        </w:rPr>
        <w:t>National Health (Highly Specialised Drugs Program) Special Arrangement Amendment (</w:t>
      </w:r>
      <w:r w:rsidR="003D3898" w:rsidRPr="008F1784">
        <w:rPr>
          <w:i/>
          <w:sz w:val="22"/>
        </w:rPr>
        <w:t>August</w:t>
      </w:r>
      <w:r w:rsidR="0014117B" w:rsidRPr="008F1784">
        <w:rPr>
          <w:i/>
          <w:sz w:val="22"/>
        </w:rPr>
        <w:t xml:space="preserve"> </w:t>
      </w:r>
      <w:r w:rsidR="00AA01F5" w:rsidRPr="008F1784">
        <w:rPr>
          <w:i/>
          <w:sz w:val="22"/>
        </w:rPr>
        <w:t>Update</w:t>
      </w:r>
      <w:r w:rsidR="00826166" w:rsidRPr="008F1784">
        <w:rPr>
          <w:i/>
          <w:sz w:val="22"/>
        </w:rPr>
        <w:t>) Instrument 202</w:t>
      </w:r>
      <w:r w:rsidR="008E1ABE" w:rsidRPr="008F1784">
        <w:rPr>
          <w:i/>
          <w:sz w:val="22"/>
        </w:rPr>
        <w:t>4</w:t>
      </w:r>
      <w:r w:rsidR="003E7848" w:rsidRPr="008F1784">
        <w:rPr>
          <w:sz w:val="22"/>
          <w:szCs w:val="22"/>
        </w:rPr>
        <w:t xml:space="preserve"> (</w:t>
      </w:r>
      <w:r w:rsidR="008779C9" w:rsidRPr="008F1784">
        <w:rPr>
          <w:sz w:val="22"/>
          <w:szCs w:val="22"/>
        </w:rPr>
        <w:t xml:space="preserve">PB </w:t>
      </w:r>
      <w:r w:rsidR="00E949A5" w:rsidRPr="008F1784">
        <w:rPr>
          <w:sz w:val="22"/>
          <w:szCs w:val="22"/>
        </w:rPr>
        <w:t>79</w:t>
      </w:r>
      <w:r w:rsidR="00BF0C35" w:rsidRPr="008F1784">
        <w:rPr>
          <w:sz w:val="22"/>
          <w:szCs w:val="22"/>
        </w:rPr>
        <w:t xml:space="preserve"> </w:t>
      </w:r>
      <w:r w:rsidR="003E7848" w:rsidRPr="008F1784">
        <w:rPr>
          <w:sz w:val="22"/>
          <w:szCs w:val="22"/>
        </w:rPr>
        <w:t>of 202</w:t>
      </w:r>
      <w:r w:rsidR="008E1ABE" w:rsidRPr="008F1784">
        <w:rPr>
          <w:sz w:val="22"/>
          <w:szCs w:val="22"/>
        </w:rPr>
        <w:t>4</w:t>
      </w:r>
      <w:r w:rsidR="003E7848" w:rsidRPr="008F1784">
        <w:rPr>
          <w:sz w:val="22"/>
          <w:szCs w:val="22"/>
        </w:rPr>
        <w:t>)</w:t>
      </w:r>
      <w:r w:rsidRPr="008F1784">
        <w:rPr>
          <w:sz w:val="22"/>
          <w:szCs w:val="22"/>
        </w:rPr>
        <w:t xml:space="preserve"> </w:t>
      </w:r>
      <w:r w:rsidR="00B958E6" w:rsidRPr="008F1784">
        <w:rPr>
          <w:sz w:val="22"/>
          <w:szCs w:val="22"/>
        </w:rPr>
        <w:t>(this</w:t>
      </w:r>
      <w:r w:rsidR="007D5716" w:rsidRPr="008F1784">
        <w:rPr>
          <w:sz w:val="22"/>
          <w:szCs w:val="22"/>
        </w:rPr>
        <w:t xml:space="preserve"> </w:t>
      </w:r>
      <w:r w:rsidRPr="008F1784">
        <w:rPr>
          <w:sz w:val="22"/>
          <w:szCs w:val="22"/>
        </w:rPr>
        <w:t>Instrument). The purpose of th</w:t>
      </w:r>
      <w:r w:rsidR="009138BB" w:rsidRPr="008F1784">
        <w:rPr>
          <w:sz w:val="22"/>
          <w:szCs w:val="22"/>
        </w:rPr>
        <w:t>is</w:t>
      </w:r>
      <w:r w:rsidR="0014278F" w:rsidRPr="008F1784">
        <w:rPr>
          <w:sz w:val="22"/>
          <w:szCs w:val="22"/>
        </w:rPr>
        <w:t xml:space="preserve"> </w:t>
      </w:r>
      <w:r w:rsidRPr="008F1784">
        <w:rPr>
          <w:sz w:val="22"/>
          <w:szCs w:val="22"/>
        </w:rPr>
        <w:t>Instrument</w:t>
      </w:r>
      <w:r w:rsidR="00FA7269" w:rsidRPr="008F1784">
        <w:rPr>
          <w:sz w:val="22"/>
          <w:szCs w:val="22"/>
        </w:rPr>
        <w:t xml:space="preserve">, made under subsection 100(2) of the </w:t>
      </w:r>
      <w:r w:rsidR="007B66F8" w:rsidRPr="008F1784">
        <w:rPr>
          <w:i/>
          <w:iCs/>
          <w:sz w:val="22"/>
          <w:szCs w:val="22"/>
        </w:rPr>
        <w:t xml:space="preserve">National Health </w:t>
      </w:r>
      <w:r w:rsidR="00FA7269" w:rsidRPr="008F1784">
        <w:rPr>
          <w:i/>
          <w:iCs/>
          <w:sz w:val="22"/>
          <w:szCs w:val="22"/>
        </w:rPr>
        <w:t>Act</w:t>
      </w:r>
      <w:r w:rsidR="007B66F8" w:rsidRPr="008F1784">
        <w:rPr>
          <w:i/>
          <w:iCs/>
          <w:sz w:val="22"/>
          <w:szCs w:val="22"/>
        </w:rPr>
        <w:t xml:space="preserve"> 1953 </w:t>
      </w:r>
      <w:r w:rsidR="007B66F8" w:rsidRPr="008F1784">
        <w:rPr>
          <w:sz w:val="22"/>
          <w:szCs w:val="22"/>
        </w:rPr>
        <w:t>(the Act)</w:t>
      </w:r>
      <w:r w:rsidR="00FA7269" w:rsidRPr="008F1784">
        <w:rPr>
          <w:sz w:val="22"/>
          <w:szCs w:val="22"/>
        </w:rPr>
        <w:t xml:space="preserve">, </w:t>
      </w:r>
      <w:r w:rsidRPr="008F1784">
        <w:rPr>
          <w:sz w:val="22"/>
          <w:szCs w:val="22"/>
        </w:rPr>
        <w:t xml:space="preserve">is to amend the </w:t>
      </w:r>
      <w:r w:rsidR="008A4A82" w:rsidRPr="008F1784">
        <w:rPr>
          <w:i/>
          <w:sz w:val="22"/>
          <w:szCs w:val="22"/>
        </w:rPr>
        <w:t>National Health (Highly Specialised Drugs P</w:t>
      </w:r>
      <w:r w:rsidRPr="008F1784">
        <w:rPr>
          <w:i/>
          <w:sz w:val="22"/>
          <w:szCs w:val="22"/>
        </w:rPr>
        <w:t>rogram) Special Arrangement 20</w:t>
      </w:r>
      <w:r w:rsidR="008A4A82" w:rsidRPr="008F1784">
        <w:rPr>
          <w:i/>
          <w:sz w:val="22"/>
          <w:szCs w:val="22"/>
        </w:rPr>
        <w:t>21</w:t>
      </w:r>
      <w:r w:rsidRPr="008F1784">
        <w:rPr>
          <w:sz w:val="22"/>
          <w:szCs w:val="22"/>
        </w:rPr>
        <w:t xml:space="preserve"> (PB </w:t>
      </w:r>
      <w:r w:rsidR="008A4A82" w:rsidRPr="008F1784">
        <w:rPr>
          <w:sz w:val="22"/>
          <w:szCs w:val="22"/>
        </w:rPr>
        <w:t>27</w:t>
      </w:r>
      <w:r w:rsidRPr="008F1784">
        <w:rPr>
          <w:sz w:val="22"/>
          <w:szCs w:val="22"/>
        </w:rPr>
        <w:t xml:space="preserve"> of 20</w:t>
      </w:r>
      <w:r w:rsidR="008A4A82" w:rsidRPr="008F1784">
        <w:rPr>
          <w:sz w:val="22"/>
          <w:szCs w:val="22"/>
        </w:rPr>
        <w:t>2</w:t>
      </w:r>
      <w:r w:rsidRPr="008F1784">
        <w:rPr>
          <w:sz w:val="22"/>
          <w:szCs w:val="22"/>
        </w:rPr>
        <w:t>1) (the Special Arrangement), to make changes to the Special Arrangement relating to th</w:t>
      </w:r>
      <w:r w:rsidR="00702E76" w:rsidRPr="008F1784">
        <w:rPr>
          <w:sz w:val="22"/>
          <w:szCs w:val="22"/>
        </w:rPr>
        <w:t>e Highly Specialised Drugs</w:t>
      </w:r>
      <w:r w:rsidR="008262B4" w:rsidRPr="008F1784">
        <w:rPr>
          <w:sz w:val="22"/>
          <w:szCs w:val="22"/>
        </w:rPr>
        <w:t xml:space="preserve"> </w:t>
      </w:r>
      <w:r w:rsidR="007B66F8" w:rsidRPr="008F1784">
        <w:rPr>
          <w:sz w:val="22"/>
          <w:szCs w:val="22"/>
        </w:rPr>
        <w:t xml:space="preserve">(HSD) </w:t>
      </w:r>
      <w:r w:rsidR="008262B4" w:rsidRPr="008F1784">
        <w:rPr>
          <w:sz w:val="22"/>
          <w:szCs w:val="22"/>
        </w:rPr>
        <w:t>P</w:t>
      </w:r>
      <w:r w:rsidRPr="008F1784">
        <w:rPr>
          <w:sz w:val="22"/>
          <w:szCs w:val="22"/>
        </w:rPr>
        <w:t>rogram.</w:t>
      </w:r>
    </w:p>
    <w:p w14:paraId="55145694" w14:textId="3BB92E0C" w:rsidR="00B06218" w:rsidRPr="008F1784" w:rsidRDefault="00FE1E54" w:rsidP="009947DF">
      <w:pPr>
        <w:keepLines w:val="0"/>
        <w:spacing w:before="120" w:after="0"/>
        <w:rPr>
          <w:sz w:val="22"/>
          <w:szCs w:val="22"/>
        </w:rPr>
      </w:pPr>
      <w:r w:rsidRPr="008F1784">
        <w:rPr>
          <w:sz w:val="22"/>
          <w:szCs w:val="22"/>
        </w:rPr>
        <w:t xml:space="preserve">The amendments made by this Instrument reflect amendments to the </w:t>
      </w:r>
      <w:r w:rsidRPr="008F1784">
        <w:rPr>
          <w:i/>
          <w:iCs/>
          <w:sz w:val="22"/>
          <w:szCs w:val="22"/>
        </w:rPr>
        <w:t xml:space="preserve">National Health (Listing of Pharmaceutical Benefits) Instrument </w:t>
      </w:r>
      <w:r w:rsidR="00CC0724" w:rsidRPr="008F1784">
        <w:rPr>
          <w:i/>
          <w:iCs/>
          <w:sz w:val="22"/>
          <w:szCs w:val="22"/>
        </w:rPr>
        <w:t>2024</w:t>
      </w:r>
      <w:r w:rsidRPr="008F1784">
        <w:rPr>
          <w:sz w:val="22"/>
          <w:szCs w:val="22"/>
        </w:rPr>
        <w:t xml:space="preserve"> (PB </w:t>
      </w:r>
      <w:r w:rsidR="00CC0724" w:rsidRPr="008F1784">
        <w:rPr>
          <w:sz w:val="22"/>
          <w:szCs w:val="22"/>
        </w:rPr>
        <w:t>26</w:t>
      </w:r>
      <w:r w:rsidRPr="008F1784">
        <w:rPr>
          <w:sz w:val="22"/>
          <w:szCs w:val="22"/>
        </w:rPr>
        <w:t xml:space="preserve"> of </w:t>
      </w:r>
      <w:r w:rsidR="00CC0724" w:rsidRPr="008F1784">
        <w:rPr>
          <w:sz w:val="22"/>
          <w:szCs w:val="22"/>
        </w:rPr>
        <w:t>2024</w:t>
      </w:r>
      <w:r w:rsidRPr="008F1784">
        <w:rPr>
          <w:sz w:val="22"/>
          <w:szCs w:val="22"/>
        </w:rPr>
        <w:t xml:space="preserve">), which commence on the same day. The </w:t>
      </w:r>
      <w:r w:rsidRPr="008F1784">
        <w:rPr>
          <w:i/>
          <w:iCs/>
          <w:sz w:val="22"/>
          <w:szCs w:val="22"/>
        </w:rPr>
        <w:t xml:space="preserve">National Health (Listing of Pharmaceutical Benefits) Instrument </w:t>
      </w:r>
      <w:r w:rsidR="00CC0724" w:rsidRPr="008F1784">
        <w:rPr>
          <w:i/>
          <w:iCs/>
          <w:sz w:val="22"/>
          <w:szCs w:val="22"/>
        </w:rPr>
        <w:t>2024</w:t>
      </w:r>
      <w:r w:rsidRPr="008F1784">
        <w:rPr>
          <w:sz w:val="22"/>
          <w:szCs w:val="22"/>
        </w:rPr>
        <w:t xml:space="preserve"> (PB </w:t>
      </w:r>
      <w:r w:rsidR="00CC0724" w:rsidRPr="008F1784">
        <w:rPr>
          <w:sz w:val="22"/>
          <w:szCs w:val="22"/>
        </w:rPr>
        <w:t>26</w:t>
      </w:r>
      <w:r w:rsidRPr="008F1784">
        <w:rPr>
          <w:sz w:val="22"/>
          <w:szCs w:val="22"/>
        </w:rPr>
        <w:t xml:space="preserve"> of </w:t>
      </w:r>
      <w:r w:rsidR="00CC0724" w:rsidRPr="008F1784">
        <w:rPr>
          <w:sz w:val="22"/>
          <w:szCs w:val="22"/>
        </w:rPr>
        <w:t>2024</w:t>
      </w:r>
      <w:r w:rsidRPr="008F1784">
        <w:rPr>
          <w:sz w:val="22"/>
          <w:szCs w:val="22"/>
        </w:rPr>
        <w:t>) is made under sections 84AF, 84AK, 85, 85A, 88 and 101 of the Act.</w:t>
      </w:r>
      <w:r w:rsidR="00A37A97" w:rsidRPr="008F1784">
        <w:rPr>
          <w:sz w:val="22"/>
          <w:szCs w:val="22"/>
        </w:rPr>
        <w:t xml:space="preserve"> </w:t>
      </w:r>
    </w:p>
    <w:p w14:paraId="795D77F2" w14:textId="19D68FE9" w:rsidR="002D5A84" w:rsidRPr="008F1784" w:rsidRDefault="002D5A84" w:rsidP="002D5A84">
      <w:pPr>
        <w:keepLines w:val="0"/>
        <w:spacing w:before="120" w:after="0"/>
        <w:rPr>
          <w:sz w:val="22"/>
          <w:szCs w:val="22"/>
        </w:rPr>
      </w:pPr>
      <w:r w:rsidRPr="008F1784">
        <w:rPr>
          <w:sz w:val="22"/>
          <w:szCs w:val="22"/>
        </w:rPr>
        <w:t xml:space="preserve">Schedule 1 to this Instrument provides for the addition of </w:t>
      </w:r>
      <w:r w:rsidR="00A261A8" w:rsidRPr="008F1784">
        <w:rPr>
          <w:sz w:val="22"/>
          <w:szCs w:val="22"/>
        </w:rPr>
        <w:t xml:space="preserve">the drug </w:t>
      </w:r>
      <w:proofErr w:type="spellStart"/>
      <w:r w:rsidR="00A261A8" w:rsidRPr="008F1784">
        <w:rPr>
          <w:sz w:val="22"/>
          <w:szCs w:val="22"/>
        </w:rPr>
        <w:t>patisiran</w:t>
      </w:r>
      <w:proofErr w:type="spellEnd"/>
      <w:r w:rsidR="00A261A8" w:rsidRPr="008F1784">
        <w:rPr>
          <w:sz w:val="22"/>
          <w:szCs w:val="22"/>
        </w:rPr>
        <w:t xml:space="preserve">, the addition of </w:t>
      </w:r>
      <w:r w:rsidRPr="008F1784">
        <w:rPr>
          <w:sz w:val="22"/>
          <w:szCs w:val="22"/>
        </w:rPr>
        <w:t>form</w:t>
      </w:r>
      <w:r w:rsidR="00A261A8" w:rsidRPr="008F1784">
        <w:rPr>
          <w:sz w:val="22"/>
          <w:szCs w:val="22"/>
        </w:rPr>
        <w:t>s</w:t>
      </w:r>
      <w:r w:rsidRPr="008F1784">
        <w:rPr>
          <w:sz w:val="22"/>
          <w:szCs w:val="22"/>
        </w:rPr>
        <w:t xml:space="preserve"> of the listed drug</w:t>
      </w:r>
      <w:r w:rsidR="00A261A8" w:rsidRPr="008F1784">
        <w:rPr>
          <w:sz w:val="22"/>
          <w:szCs w:val="22"/>
        </w:rPr>
        <w:t xml:space="preserve"> </w:t>
      </w:r>
      <w:proofErr w:type="spellStart"/>
      <w:r w:rsidR="00A261A8" w:rsidRPr="008F1784">
        <w:rPr>
          <w:sz w:val="22"/>
          <w:szCs w:val="22"/>
        </w:rPr>
        <w:t>elexacaftor</w:t>
      </w:r>
      <w:proofErr w:type="spellEnd"/>
      <w:r w:rsidR="00A261A8" w:rsidRPr="008F1784">
        <w:rPr>
          <w:sz w:val="22"/>
          <w:szCs w:val="22"/>
        </w:rPr>
        <w:t xml:space="preserve"> with </w:t>
      </w:r>
      <w:proofErr w:type="spellStart"/>
      <w:r w:rsidR="00A261A8" w:rsidRPr="008F1784">
        <w:rPr>
          <w:sz w:val="22"/>
          <w:szCs w:val="22"/>
        </w:rPr>
        <w:t>tezacaftor</w:t>
      </w:r>
      <w:proofErr w:type="spellEnd"/>
      <w:r w:rsidR="00A261A8" w:rsidRPr="008F1784">
        <w:rPr>
          <w:sz w:val="22"/>
          <w:szCs w:val="22"/>
        </w:rPr>
        <w:t xml:space="preserve"> and with ivacaftor, and ivacaftor,</w:t>
      </w:r>
      <w:r w:rsidRPr="008F1784">
        <w:rPr>
          <w:sz w:val="22"/>
          <w:szCs w:val="22"/>
        </w:rPr>
        <w:t xml:space="preserve"> and the addition of brands of the listed drugs </w:t>
      </w:r>
      <w:r w:rsidR="00A261A8" w:rsidRPr="008F1784">
        <w:rPr>
          <w:sz w:val="22"/>
          <w:szCs w:val="22"/>
        </w:rPr>
        <w:t xml:space="preserve">adalimumab, </w:t>
      </w:r>
      <w:r w:rsidR="00D92F47" w:rsidRPr="008F1784">
        <w:rPr>
          <w:sz w:val="22"/>
          <w:szCs w:val="22"/>
        </w:rPr>
        <w:t xml:space="preserve">tadalafil, </w:t>
      </w:r>
      <w:r w:rsidR="00A261A8" w:rsidRPr="008F1784">
        <w:rPr>
          <w:sz w:val="22"/>
          <w:szCs w:val="22"/>
        </w:rPr>
        <w:t>tenofovir</w:t>
      </w:r>
      <w:r w:rsidR="00F634F9" w:rsidRPr="008F1784">
        <w:rPr>
          <w:sz w:val="22"/>
          <w:szCs w:val="22"/>
        </w:rPr>
        <w:t>,</w:t>
      </w:r>
      <w:r w:rsidR="00A261A8" w:rsidRPr="008F1784">
        <w:rPr>
          <w:sz w:val="22"/>
          <w:szCs w:val="22"/>
        </w:rPr>
        <w:t xml:space="preserve"> and zoledronic acid</w:t>
      </w:r>
      <w:r w:rsidRPr="008F1784">
        <w:rPr>
          <w:sz w:val="22"/>
          <w:szCs w:val="22"/>
        </w:rPr>
        <w:t xml:space="preserve">. It also provides for the deletion of brands of the listed drugs </w:t>
      </w:r>
      <w:proofErr w:type="spellStart"/>
      <w:r w:rsidR="00A261A8" w:rsidRPr="008F1784">
        <w:rPr>
          <w:sz w:val="22"/>
          <w:szCs w:val="22"/>
        </w:rPr>
        <w:t>bosentan</w:t>
      </w:r>
      <w:proofErr w:type="spellEnd"/>
      <w:r w:rsidR="00A261A8" w:rsidRPr="008F1784">
        <w:rPr>
          <w:sz w:val="22"/>
          <w:szCs w:val="22"/>
        </w:rPr>
        <w:t>, cinacalcet, mycophenolic acid</w:t>
      </w:r>
      <w:r w:rsidR="00F634F9" w:rsidRPr="008F1784">
        <w:rPr>
          <w:sz w:val="22"/>
          <w:szCs w:val="22"/>
        </w:rPr>
        <w:t>,</w:t>
      </w:r>
      <w:r w:rsidR="00A261A8" w:rsidRPr="008F1784">
        <w:rPr>
          <w:sz w:val="22"/>
          <w:szCs w:val="22"/>
        </w:rPr>
        <w:t xml:space="preserve"> and valganciclovir,</w:t>
      </w:r>
      <w:r w:rsidRPr="008F1784">
        <w:rPr>
          <w:sz w:val="22"/>
          <w:szCs w:val="22"/>
        </w:rPr>
        <w:t xml:space="preserve"> and for the alteration of circumstances in which a prescription may be written for the listed drugs </w:t>
      </w:r>
      <w:proofErr w:type="spellStart"/>
      <w:r w:rsidR="00A261A8" w:rsidRPr="008F1784">
        <w:rPr>
          <w:sz w:val="22"/>
          <w:szCs w:val="22"/>
        </w:rPr>
        <w:t>onasemnogene</w:t>
      </w:r>
      <w:proofErr w:type="spellEnd"/>
      <w:r w:rsidR="00A261A8" w:rsidRPr="008F1784">
        <w:rPr>
          <w:sz w:val="22"/>
          <w:szCs w:val="22"/>
        </w:rPr>
        <w:t xml:space="preserve"> </w:t>
      </w:r>
      <w:proofErr w:type="spellStart"/>
      <w:r w:rsidR="00A261A8" w:rsidRPr="008F1784">
        <w:rPr>
          <w:sz w:val="22"/>
          <w:szCs w:val="22"/>
        </w:rPr>
        <w:t>abeparvovec</w:t>
      </w:r>
      <w:proofErr w:type="spellEnd"/>
      <w:r w:rsidR="00A261A8" w:rsidRPr="008F1784">
        <w:rPr>
          <w:sz w:val="22"/>
          <w:szCs w:val="22"/>
        </w:rPr>
        <w:t xml:space="preserve"> and tadalafil</w:t>
      </w:r>
      <w:r w:rsidRPr="008F1784">
        <w:rPr>
          <w:sz w:val="22"/>
          <w:szCs w:val="22"/>
        </w:rPr>
        <w:t xml:space="preserve"> under the Special Arrangement.</w:t>
      </w:r>
    </w:p>
    <w:p w14:paraId="2A00728B" w14:textId="67BC4EC0" w:rsidR="006B44F9" w:rsidRPr="008F1784" w:rsidRDefault="00D51587" w:rsidP="000F7232">
      <w:pPr>
        <w:keepLines w:val="0"/>
        <w:spacing w:before="120" w:after="0"/>
        <w:rPr>
          <w:sz w:val="22"/>
          <w:szCs w:val="22"/>
        </w:rPr>
      </w:pPr>
      <w:r w:rsidRPr="008F1784">
        <w:rPr>
          <w:sz w:val="22"/>
          <w:szCs w:val="22"/>
        </w:rPr>
        <w:t>These</w:t>
      </w:r>
      <w:r w:rsidR="00AC5ACB" w:rsidRPr="008F1784">
        <w:rPr>
          <w:sz w:val="22"/>
          <w:szCs w:val="22"/>
        </w:rPr>
        <w:t xml:space="preserve"> </w:t>
      </w:r>
      <w:r w:rsidR="00E643A3" w:rsidRPr="008F1784">
        <w:rPr>
          <w:sz w:val="22"/>
          <w:szCs w:val="22"/>
        </w:rPr>
        <w:t>change</w:t>
      </w:r>
      <w:r w:rsidRPr="008F1784">
        <w:rPr>
          <w:sz w:val="22"/>
          <w:szCs w:val="22"/>
        </w:rPr>
        <w:t xml:space="preserve">s are </w:t>
      </w:r>
      <w:r w:rsidR="00E643A3" w:rsidRPr="008F1784">
        <w:rPr>
          <w:sz w:val="22"/>
          <w:szCs w:val="22"/>
        </w:rPr>
        <w:t>summarised, by subject matter, in the Attachment.</w:t>
      </w:r>
    </w:p>
    <w:p w14:paraId="60606F59" w14:textId="77777777" w:rsidR="000A5033" w:rsidRPr="008F1784" w:rsidRDefault="000A5033" w:rsidP="000018A4">
      <w:pPr>
        <w:keepLines w:val="0"/>
        <w:spacing w:before="120" w:after="0"/>
        <w:rPr>
          <w:b/>
          <w:sz w:val="22"/>
          <w:szCs w:val="22"/>
        </w:rPr>
      </w:pPr>
      <w:r w:rsidRPr="008F1784">
        <w:rPr>
          <w:b/>
          <w:sz w:val="22"/>
          <w:szCs w:val="22"/>
        </w:rPr>
        <w:t>Authority</w:t>
      </w:r>
    </w:p>
    <w:p w14:paraId="6E9C90CE" w14:textId="180F9AB3" w:rsidR="000A5033" w:rsidRPr="008F1784" w:rsidRDefault="000A5033" w:rsidP="000A5033">
      <w:pPr>
        <w:keepLines w:val="0"/>
        <w:spacing w:before="120" w:after="0"/>
        <w:rPr>
          <w:sz w:val="22"/>
          <w:szCs w:val="22"/>
        </w:rPr>
      </w:pPr>
      <w:r w:rsidRPr="008F1784">
        <w:rPr>
          <w:sz w:val="22"/>
          <w:szCs w:val="22"/>
        </w:rPr>
        <w:t>Subsection 100(1) of the Act enables the Minister to make special arrangements for the supply of pharmaceutical benefits.</w:t>
      </w:r>
    </w:p>
    <w:p w14:paraId="076C291F" w14:textId="77777777" w:rsidR="000A5033" w:rsidRPr="008F1784" w:rsidRDefault="000A5033" w:rsidP="000A5033">
      <w:pPr>
        <w:keepLines w:val="0"/>
        <w:spacing w:before="120" w:after="0"/>
        <w:rPr>
          <w:sz w:val="22"/>
          <w:szCs w:val="22"/>
        </w:rPr>
      </w:pPr>
      <w:r w:rsidRPr="008F1784">
        <w:rPr>
          <w:sz w:val="22"/>
          <w:szCs w:val="22"/>
        </w:rPr>
        <w:t>Subsection 100(2) of the Act provides that the Minister may vary or revoke a special arrangement made under subsection 100(1).</w:t>
      </w:r>
    </w:p>
    <w:p w14:paraId="5B724E85" w14:textId="77777777" w:rsidR="000A5033" w:rsidRPr="008F1784" w:rsidRDefault="000A5033" w:rsidP="000A5033">
      <w:pPr>
        <w:keepLines w:val="0"/>
        <w:spacing w:before="120" w:after="0"/>
        <w:rPr>
          <w:sz w:val="22"/>
          <w:szCs w:val="22"/>
        </w:rPr>
      </w:pPr>
      <w:r w:rsidRPr="008F1784">
        <w:rPr>
          <w:sz w:val="22"/>
          <w:szCs w:val="22"/>
        </w:rPr>
        <w:t>Subsection 100(3) of the Act provides that Part VII of the Act, and instruments made for the purposes of Part VII have effect subject to a special arrangement made under subsection 100(1).</w:t>
      </w:r>
    </w:p>
    <w:p w14:paraId="564D3B81" w14:textId="58387463" w:rsidR="005C58D3" w:rsidRPr="008F1784" w:rsidRDefault="005C58D3" w:rsidP="000018A4">
      <w:pPr>
        <w:keepLines w:val="0"/>
        <w:spacing w:before="120" w:after="0"/>
        <w:rPr>
          <w:b/>
          <w:sz w:val="22"/>
          <w:szCs w:val="22"/>
        </w:rPr>
      </w:pPr>
      <w:r w:rsidRPr="008F1784">
        <w:rPr>
          <w:b/>
          <w:sz w:val="22"/>
          <w:szCs w:val="22"/>
        </w:rPr>
        <w:t>Consultation</w:t>
      </w:r>
    </w:p>
    <w:p w14:paraId="65F30E32" w14:textId="77777777" w:rsidR="002D5A84" w:rsidRPr="008F1784" w:rsidRDefault="002D5A84" w:rsidP="002D5A84">
      <w:pPr>
        <w:keepLines w:val="0"/>
        <w:spacing w:before="120" w:after="0"/>
        <w:rPr>
          <w:sz w:val="22"/>
          <w:szCs w:val="22"/>
        </w:rPr>
      </w:pPr>
      <w:r w:rsidRPr="008F1784">
        <w:rPr>
          <w:sz w:val="22"/>
          <w:szCs w:val="22"/>
        </w:rPr>
        <w:t>The amendments made by this Instrument accord with recommendations made by the Pharmaceutical Benefits Advisory Committee (PBAC).</w:t>
      </w:r>
    </w:p>
    <w:p w14:paraId="08A276C8" w14:textId="77777777" w:rsidR="005C58D3" w:rsidRPr="008F1784" w:rsidRDefault="005C58D3" w:rsidP="00702E76">
      <w:pPr>
        <w:keepLines w:val="0"/>
        <w:spacing w:before="120" w:after="0"/>
        <w:rPr>
          <w:sz w:val="22"/>
          <w:szCs w:val="22"/>
        </w:rPr>
      </w:pPr>
      <w:r w:rsidRPr="008F1784">
        <w:rPr>
          <w:sz w:val="22"/>
          <w:szCs w:val="22"/>
        </w:rPr>
        <w:t>An ongoing and formal process of consultation in relation to matters relevant to the Special Arrangement includes the involvement of interested parties throu</w:t>
      </w:r>
      <w:r w:rsidR="00D46558" w:rsidRPr="008F1784">
        <w:rPr>
          <w:sz w:val="22"/>
          <w:szCs w:val="22"/>
        </w:rPr>
        <w:t>gh the membership of the PBAC.</w:t>
      </w:r>
    </w:p>
    <w:p w14:paraId="5BB39392" w14:textId="20A3ED1C" w:rsidR="00302262" w:rsidRPr="008F1784" w:rsidRDefault="00302262" w:rsidP="00702E76">
      <w:pPr>
        <w:keepLines w:val="0"/>
        <w:spacing w:before="120" w:after="0"/>
        <w:rPr>
          <w:sz w:val="22"/>
          <w:szCs w:val="22"/>
        </w:rPr>
      </w:pPr>
      <w:r w:rsidRPr="008F1784">
        <w:rPr>
          <w:sz w:val="22"/>
          <w:szCs w:val="22"/>
        </w:rPr>
        <w:t>PBAC is an independent expert body established by section 100A of the Act which makes recommendations to the Minister about which drugs and medicinal preparations should be available as pharmaceutical benefits.</w:t>
      </w:r>
      <w:r w:rsidR="00BE459E" w:rsidRPr="008F1784">
        <w:rPr>
          <w:sz w:val="22"/>
          <w:szCs w:val="22"/>
        </w:rPr>
        <w:t xml:space="preserve"> </w:t>
      </w:r>
      <w:r w:rsidRPr="008F1784">
        <w:rPr>
          <w:sz w:val="22"/>
          <w:szCs w:val="22"/>
        </w:rPr>
        <w:t xml:space="preserve">PBAC members are appointed following nomination by prescribed organisations and associations from consumers, health economists, practising community pharmacists, general practitioners, clinical </w:t>
      </w:r>
      <w:proofErr w:type="gramStart"/>
      <w:r w:rsidRPr="008F1784">
        <w:rPr>
          <w:sz w:val="22"/>
          <w:szCs w:val="22"/>
        </w:rPr>
        <w:t>pharmacologists</w:t>
      </w:r>
      <w:proofErr w:type="gramEnd"/>
      <w:r w:rsidRPr="008F1784">
        <w:rPr>
          <w:sz w:val="22"/>
          <w:szCs w:val="22"/>
        </w:rPr>
        <w:t xml:space="preserve"> and specialists, with at least one member selected from each of those interests or professions. Remaining members are persons whom the Minister is satisfied have qualifications and experience in a field relevant to the functions of PBAC, and that would enable them to contribute meaningfully to the deliberations of PBAC.</w:t>
      </w:r>
      <w:r w:rsidR="004A2713" w:rsidRPr="008F1784">
        <w:rPr>
          <w:sz w:val="22"/>
          <w:szCs w:val="22"/>
        </w:rPr>
        <w:t xml:space="preserve"> </w:t>
      </w:r>
      <w:r w:rsidR="00D872FC" w:rsidRPr="008F1784">
        <w:rPr>
          <w:sz w:val="22"/>
          <w:szCs w:val="22"/>
        </w:rPr>
        <w:t>In addition, an industry nominee has been appointed to the PBAC membership.</w:t>
      </w:r>
      <w:r w:rsidR="004A2713" w:rsidRPr="008F1784">
        <w:rPr>
          <w:sz w:val="22"/>
          <w:szCs w:val="22"/>
        </w:rPr>
        <w:t xml:space="preserve"> </w:t>
      </w:r>
      <w:r w:rsidRPr="008F1784">
        <w:rPr>
          <w:sz w:val="22"/>
          <w:szCs w:val="22"/>
        </w:rPr>
        <w:t>When recommending the listing of a medicine on the Pharmaceutical</w:t>
      </w:r>
      <w:r w:rsidR="001C3893" w:rsidRPr="008F1784">
        <w:rPr>
          <w:sz w:val="22"/>
          <w:szCs w:val="22"/>
        </w:rPr>
        <w:t xml:space="preserve"> </w:t>
      </w:r>
      <w:r w:rsidRPr="008F1784">
        <w:rPr>
          <w:sz w:val="22"/>
          <w:szCs w:val="22"/>
        </w:rPr>
        <w:t xml:space="preserve">Benefits Scheme (PBS), PBAC </w:t>
      </w:r>
      <w:proofErr w:type="gramStart"/>
      <w:r w:rsidRPr="008F1784">
        <w:rPr>
          <w:sz w:val="22"/>
          <w:szCs w:val="22"/>
        </w:rPr>
        <w:t>takes into account</w:t>
      </w:r>
      <w:proofErr w:type="gramEnd"/>
      <w:r w:rsidRPr="008F1784">
        <w:rPr>
          <w:sz w:val="22"/>
          <w:szCs w:val="22"/>
        </w:rPr>
        <w:t xml:space="preserve"> the medical conditions for which the </w:t>
      </w:r>
      <w:r w:rsidRPr="008F1784">
        <w:rPr>
          <w:sz w:val="22"/>
          <w:szCs w:val="22"/>
        </w:rPr>
        <w:lastRenderedPageBreak/>
        <w:t>medicine has been approved for use in Australia, its clinical effectiveness, safety and cost-effectiveness compared with other treatments.</w:t>
      </w:r>
    </w:p>
    <w:p w14:paraId="13313BBB" w14:textId="4BCC1D85" w:rsidR="007A1E23" w:rsidRPr="008F1784" w:rsidRDefault="00302262" w:rsidP="00702E76">
      <w:pPr>
        <w:keepLines w:val="0"/>
        <w:spacing w:before="120" w:after="0"/>
        <w:rPr>
          <w:sz w:val="22"/>
          <w:szCs w:val="22"/>
        </w:rPr>
      </w:pPr>
      <w:r w:rsidRPr="008F1784">
        <w:rPr>
          <w:sz w:val="22"/>
          <w:szCs w:val="22"/>
        </w:rPr>
        <w:t>Pharmaceutical companies were consulted throughout the process of changes to the listings on the PBS.</w:t>
      </w:r>
      <w:r w:rsidR="004E7F32" w:rsidRPr="008F1784">
        <w:rPr>
          <w:sz w:val="22"/>
          <w:szCs w:val="22"/>
        </w:rPr>
        <w:t xml:space="preserve"> </w:t>
      </w:r>
      <w:r w:rsidRPr="008F1784">
        <w:rPr>
          <w:sz w:val="22"/>
          <w:szCs w:val="22"/>
        </w:rPr>
        <w:t>This includes consultation through the PBAC process</w:t>
      </w:r>
      <w:r w:rsidR="000F1FB7" w:rsidRPr="008F1784">
        <w:rPr>
          <w:sz w:val="22"/>
          <w:szCs w:val="22"/>
        </w:rPr>
        <w:t>.</w:t>
      </w:r>
    </w:p>
    <w:p w14:paraId="62CD39CA" w14:textId="505CBA51" w:rsidR="00A46F3B" w:rsidRPr="008F1784" w:rsidRDefault="005138A2" w:rsidP="00702E76">
      <w:pPr>
        <w:keepLines w:val="0"/>
        <w:spacing w:before="120" w:after="0"/>
        <w:rPr>
          <w:sz w:val="22"/>
          <w:szCs w:val="22"/>
        </w:rPr>
      </w:pPr>
      <w:bookmarkStart w:id="0" w:name="_Hlk96588746"/>
      <w:r w:rsidRPr="008F1784">
        <w:rPr>
          <w:sz w:val="22"/>
          <w:szCs w:val="22"/>
        </w:rPr>
        <w:t>Further consultation for this Instrument was considered unnecessary due to the nature of the consultation that has already taken place in the decision to list the medication</w:t>
      </w:r>
      <w:bookmarkEnd w:id="0"/>
      <w:r w:rsidRPr="008F1784">
        <w:rPr>
          <w:sz w:val="22"/>
          <w:szCs w:val="22"/>
        </w:rPr>
        <w:t xml:space="preserve">s outlined </w:t>
      </w:r>
      <w:r w:rsidR="00483A13" w:rsidRPr="008F1784">
        <w:rPr>
          <w:sz w:val="22"/>
          <w:szCs w:val="22"/>
        </w:rPr>
        <w:t>under ‘Purpose’.</w:t>
      </w:r>
    </w:p>
    <w:p w14:paraId="762EF7CF" w14:textId="77777777" w:rsidR="00AF05D6" w:rsidRPr="008F1784" w:rsidRDefault="003503AF" w:rsidP="00702E76">
      <w:pPr>
        <w:keepLines w:val="0"/>
        <w:spacing w:before="120" w:after="0"/>
        <w:rPr>
          <w:sz w:val="22"/>
          <w:szCs w:val="22"/>
        </w:rPr>
      </w:pPr>
      <w:r w:rsidRPr="008F1784">
        <w:rPr>
          <w:sz w:val="22"/>
          <w:szCs w:val="22"/>
        </w:rPr>
        <w:t>Details of th</w:t>
      </w:r>
      <w:r w:rsidR="00B61F3B" w:rsidRPr="008F1784">
        <w:rPr>
          <w:sz w:val="22"/>
          <w:szCs w:val="22"/>
        </w:rPr>
        <w:t>is</w:t>
      </w:r>
      <w:r w:rsidRPr="008F1784">
        <w:rPr>
          <w:sz w:val="22"/>
          <w:szCs w:val="22"/>
        </w:rPr>
        <w:t xml:space="preserve"> </w:t>
      </w:r>
      <w:r w:rsidR="00B61F3B" w:rsidRPr="008F1784">
        <w:rPr>
          <w:sz w:val="22"/>
          <w:szCs w:val="22"/>
        </w:rPr>
        <w:t>I</w:t>
      </w:r>
      <w:r w:rsidRPr="008F1784">
        <w:rPr>
          <w:sz w:val="22"/>
          <w:szCs w:val="22"/>
        </w:rPr>
        <w:t>nstrument are set out in the Attachment.</w:t>
      </w:r>
    </w:p>
    <w:p w14:paraId="02E5C2F4" w14:textId="1D9F5A8D" w:rsidR="00302262" w:rsidRPr="008F1784" w:rsidRDefault="006C256A" w:rsidP="00702E76">
      <w:pPr>
        <w:keepLines w:val="0"/>
        <w:spacing w:before="120" w:after="0"/>
        <w:rPr>
          <w:sz w:val="22"/>
          <w:szCs w:val="22"/>
        </w:rPr>
      </w:pPr>
      <w:r w:rsidRPr="008F1784">
        <w:rPr>
          <w:sz w:val="22"/>
          <w:szCs w:val="22"/>
        </w:rPr>
        <w:t xml:space="preserve">This Instrument commences on </w:t>
      </w:r>
      <w:r w:rsidR="00AA01F5" w:rsidRPr="008F1784">
        <w:rPr>
          <w:sz w:val="22"/>
          <w:szCs w:val="22"/>
        </w:rPr>
        <w:t xml:space="preserve">1 </w:t>
      </w:r>
      <w:r w:rsidR="0024056B" w:rsidRPr="008F1784">
        <w:rPr>
          <w:sz w:val="22"/>
          <w:szCs w:val="22"/>
        </w:rPr>
        <w:t>August</w:t>
      </w:r>
      <w:r w:rsidR="00A52202" w:rsidRPr="008F1784">
        <w:rPr>
          <w:sz w:val="22"/>
          <w:szCs w:val="22"/>
        </w:rPr>
        <w:t xml:space="preserve"> </w:t>
      </w:r>
      <w:r w:rsidR="00AA01F5" w:rsidRPr="008F1784">
        <w:rPr>
          <w:sz w:val="22"/>
          <w:szCs w:val="22"/>
        </w:rPr>
        <w:t>202</w:t>
      </w:r>
      <w:r w:rsidR="00F81FAD" w:rsidRPr="008F1784">
        <w:rPr>
          <w:sz w:val="22"/>
          <w:szCs w:val="22"/>
        </w:rPr>
        <w:t>4</w:t>
      </w:r>
      <w:r w:rsidR="00302262" w:rsidRPr="008F1784">
        <w:rPr>
          <w:sz w:val="22"/>
          <w:szCs w:val="22"/>
        </w:rPr>
        <w:t>.</w:t>
      </w:r>
    </w:p>
    <w:p w14:paraId="5006F56E" w14:textId="51D6489A" w:rsidR="00AC48B6" w:rsidRPr="008F1784" w:rsidRDefault="00302262" w:rsidP="00702E76">
      <w:pPr>
        <w:keepLines w:val="0"/>
        <w:spacing w:before="120" w:after="0"/>
        <w:rPr>
          <w:sz w:val="22"/>
          <w:szCs w:val="22"/>
        </w:rPr>
      </w:pPr>
      <w:r w:rsidRPr="008F1784">
        <w:rPr>
          <w:sz w:val="22"/>
          <w:szCs w:val="22"/>
        </w:rPr>
        <w:t xml:space="preserve">This Instrument is a legislative instrument for the purposes of the </w:t>
      </w:r>
      <w:r w:rsidR="00D205CF" w:rsidRPr="008F1784">
        <w:rPr>
          <w:i/>
          <w:sz w:val="22"/>
          <w:szCs w:val="22"/>
        </w:rPr>
        <w:t>Legislation</w:t>
      </w:r>
      <w:r w:rsidRPr="008F1784">
        <w:rPr>
          <w:i/>
          <w:sz w:val="22"/>
          <w:szCs w:val="22"/>
        </w:rPr>
        <w:t xml:space="preserve"> Act</w:t>
      </w:r>
      <w:r w:rsidR="001C3893" w:rsidRPr="008F1784">
        <w:rPr>
          <w:i/>
          <w:sz w:val="22"/>
          <w:szCs w:val="22"/>
        </w:rPr>
        <w:t xml:space="preserve"> </w:t>
      </w:r>
      <w:r w:rsidRPr="008F1784">
        <w:rPr>
          <w:i/>
          <w:sz w:val="22"/>
          <w:szCs w:val="22"/>
        </w:rPr>
        <w:t>2003</w:t>
      </w:r>
      <w:r w:rsidRPr="008F1784">
        <w:rPr>
          <w:sz w:val="22"/>
          <w:szCs w:val="22"/>
        </w:rPr>
        <w:t>.</w:t>
      </w:r>
    </w:p>
    <w:p w14:paraId="707A98E6" w14:textId="77777777" w:rsidR="000A4B91" w:rsidRPr="008F1784" w:rsidRDefault="000A4B91" w:rsidP="00456324">
      <w:pPr>
        <w:keepLines w:val="0"/>
        <w:jc w:val="right"/>
        <w:rPr>
          <w:b/>
          <w:sz w:val="22"/>
          <w:szCs w:val="22"/>
        </w:rPr>
      </w:pPr>
      <w:r w:rsidRPr="008F1784">
        <w:rPr>
          <w:sz w:val="22"/>
          <w:szCs w:val="22"/>
        </w:rPr>
        <w:br w:type="page"/>
      </w:r>
      <w:r w:rsidRPr="008F1784">
        <w:rPr>
          <w:b/>
          <w:sz w:val="22"/>
          <w:szCs w:val="22"/>
        </w:rPr>
        <w:lastRenderedPageBreak/>
        <w:t>ATTACHMENT</w:t>
      </w:r>
    </w:p>
    <w:p w14:paraId="2A489D67" w14:textId="6CAD6CED" w:rsidR="00B54A5B" w:rsidRPr="008F1784" w:rsidRDefault="00560EC6" w:rsidP="00633959">
      <w:pPr>
        <w:keepLines w:val="0"/>
        <w:spacing w:before="360"/>
        <w:rPr>
          <w:b/>
          <w:sz w:val="22"/>
          <w:szCs w:val="22"/>
        </w:rPr>
      </w:pPr>
      <w:r w:rsidRPr="008F1784">
        <w:rPr>
          <w:b/>
          <w:sz w:val="22"/>
          <w:szCs w:val="22"/>
        </w:rPr>
        <w:t>DETAILS</w:t>
      </w:r>
      <w:r w:rsidR="00456324" w:rsidRPr="008F1784">
        <w:rPr>
          <w:b/>
          <w:sz w:val="22"/>
          <w:szCs w:val="22"/>
        </w:rPr>
        <w:t xml:space="preserve"> OF </w:t>
      </w:r>
      <w:r w:rsidRPr="008F1784">
        <w:rPr>
          <w:b/>
          <w:sz w:val="22"/>
          <w:szCs w:val="22"/>
        </w:rPr>
        <w:t xml:space="preserve">THE </w:t>
      </w:r>
      <w:r w:rsidR="00456324" w:rsidRPr="008F1784">
        <w:rPr>
          <w:b/>
          <w:i/>
          <w:sz w:val="22"/>
          <w:szCs w:val="22"/>
        </w:rPr>
        <w:t>NATIONAL HEALTH</w:t>
      </w:r>
      <w:r w:rsidR="0044792C" w:rsidRPr="008F1784">
        <w:rPr>
          <w:b/>
          <w:i/>
          <w:sz w:val="22"/>
          <w:szCs w:val="22"/>
        </w:rPr>
        <w:t xml:space="preserve"> (</w:t>
      </w:r>
      <w:r w:rsidR="00456324" w:rsidRPr="008F1784">
        <w:rPr>
          <w:b/>
          <w:i/>
          <w:sz w:val="22"/>
          <w:szCs w:val="22"/>
        </w:rPr>
        <w:t>HIGHLY</w:t>
      </w:r>
      <w:r w:rsidR="0044792C" w:rsidRPr="008F1784">
        <w:rPr>
          <w:b/>
          <w:i/>
          <w:sz w:val="22"/>
          <w:szCs w:val="22"/>
        </w:rPr>
        <w:t xml:space="preserve"> </w:t>
      </w:r>
      <w:r w:rsidR="00456324" w:rsidRPr="008F1784">
        <w:rPr>
          <w:b/>
          <w:i/>
          <w:sz w:val="22"/>
          <w:szCs w:val="22"/>
        </w:rPr>
        <w:t>SPECIALISED</w:t>
      </w:r>
      <w:r w:rsidR="00B54A5B" w:rsidRPr="008F1784">
        <w:rPr>
          <w:b/>
          <w:i/>
          <w:sz w:val="22"/>
          <w:szCs w:val="22"/>
        </w:rPr>
        <w:t xml:space="preserve"> </w:t>
      </w:r>
      <w:r w:rsidR="00456324" w:rsidRPr="008F1784">
        <w:rPr>
          <w:b/>
          <w:i/>
          <w:sz w:val="22"/>
          <w:szCs w:val="22"/>
        </w:rPr>
        <w:t>DRUGS PROGRAM</w:t>
      </w:r>
      <w:r w:rsidR="00B54A5B" w:rsidRPr="008F1784">
        <w:rPr>
          <w:b/>
          <w:i/>
          <w:sz w:val="22"/>
          <w:szCs w:val="22"/>
        </w:rPr>
        <w:t xml:space="preserve">) </w:t>
      </w:r>
      <w:r w:rsidR="00826166" w:rsidRPr="008F1784">
        <w:rPr>
          <w:b/>
          <w:i/>
          <w:sz w:val="22"/>
          <w:szCs w:val="22"/>
        </w:rPr>
        <w:t>SPECIAL ARRANGEMENT AMENDMENT (</w:t>
      </w:r>
      <w:r w:rsidR="0024056B" w:rsidRPr="008F1784">
        <w:rPr>
          <w:b/>
          <w:i/>
          <w:sz w:val="22"/>
          <w:szCs w:val="22"/>
        </w:rPr>
        <w:t>AUGUST</w:t>
      </w:r>
      <w:r w:rsidR="00281399" w:rsidRPr="008F1784">
        <w:rPr>
          <w:b/>
          <w:i/>
          <w:sz w:val="22"/>
          <w:szCs w:val="22"/>
        </w:rPr>
        <w:t xml:space="preserve"> </w:t>
      </w:r>
      <w:r w:rsidR="00AA01F5" w:rsidRPr="008F1784">
        <w:rPr>
          <w:b/>
          <w:i/>
          <w:sz w:val="22"/>
          <w:szCs w:val="22"/>
        </w:rPr>
        <w:t>UPDATE</w:t>
      </w:r>
      <w:r w:rsidR="00826166" w:rsidRPr="008F1784">
        <w:rPr>
          <w:b/>
          <w:i/>
          <w:sz w:val="22"/>
          <w:szCs w:val="22"/>
        </w:rPr>
        <w:t xml:space="preserve">) </w:t>
      </w:r>
      <w:r w:rsidR="00456324" w:rsidRPr="008F1784">
        <w:rPr>
          <w:b/>
          <w:i/>
          <w:sz w:val="22"/>
          <w:szCs w:val="22"/>
        </w:rPr>
        <w:t xml:space="preserve">INSTRUMENT </w:t>
      </w:r>
      <w:r w:rsidR="00557A6F" w:rsidRPr="008F1784">
        <w:rPr>
          <w:b/>
          <w:i/>
          <w:sz w:val="22"/>
          <w:szCs w:val="22"/>
        </w:rPr>
        <w:t>202</w:t>
      </w:r>
      <w:r w:rsidR="008E1ABE" w:rsidRPr="008F1784">
        <w:rPr>
          <w:b/>
          <w:i/>
          <w:sz w:val="22"/>
          <w:szCs w:val="22"/>
        </w:rPr>
        <w:t>4</w:t>
      </w:r>
    </w:p>
    <w:p w14:paraId="3ECB36FC" w14:textId="77777777" w:rsidR="006A613A" w:rsidRPr="008F1784" w:rsidRDefault="000A4B91" w:rsidP="00192841">
      <w:pPr>
        <w:keepLines w:val="0"/>
        <w:tabs>
          <w:tab w:val="left" w:pos="1418"/>
        </w:tabs>
        <w:spacing w:before="240" w:after="0"/>
        <w:rPr>
          <w:b/>
          <w:sz w:val="22"/>
          <w:szCs w:val="22"/>
        </w:rPr>
      </w:pPr>
      <w:r w:rsidRPr="008F1784">
        <w:rPr>
          <w:b/>
          <w:sz w:val="22"/>
          <w:szCs w:val="22"/>
        </w:rPr>
        <w:t>Section 1</w:t>
      </w:r>
      <w:r w:rsidRPr="008F1784">
        <w:rPr>
          <w:b/>
          <w:sz w:val="22"/>
          <w:szCs w:val="22"/>
        </w:rPr>
        <w:tab/>
        <w:t>Name of Instrument</w:t>
      </w:r>
    </w:p>
    <w:p w14:paraId="15092EBA" w14:textId="5CA7DF6E" w:rsidR="000A4B91" w:rsidRPr="008F1784" w:rsidRDefault="000A4B91" w:rsidP="00C974B7">
      <w:pPr>
        <w:keepLines w:val="0"/>
        <w:spacing w:before="120" w:after="0"/>
        <w:rPr>
          <w:sz w:val="22"/>
          <w:szCs w:val="22"/>
        </w:rPr>
      </w:pPr>
      <w:r w:rsidRPr="008F1784">
        <w:rPr>
          <w:sz w:val="22"/>
          <w:szCs w:val="22"/>
        </w:rPr>
        <w:t>This sec</w:t>
      </w:r>
      <w:r w:rsidR="005D7DC1" w:rsidRPr="008F1784">
        <w:rPr>
          <w:sz w:val="22"/>
          <w:szCs w:val="22"/>
        </w:rPr>
        <w:t xml:space="preserve">tion provides </w:t>
      </w:r>
      <w:r w:rsidR="00152B53" w:rsidRPr="008F1784">
        <w:rPr>
          <w:sz w:val="22"/>
          <w:szCs w:val="22"/>
        </w:rPr>
        <w:t xml:space="preserve">that the </w:t>
      </w:r>
      <w:r w:rsidR="00E076D9" w:rsidRPr="008F1784">
        <w:rPr>
          <w:sz w:val="22"/>
          <w:szCs w:val="22"/>
        </w:rPr>
        <w:t xml:space="preserve">name of the </w:t>
      </w:r>
      <w:r w:rsidR="005D7DC1" w:rsidRPr="008F1784">
        <w:rPr>
          <w:sz w:val="22"/>
          <w:szCs w:val="22"/>
        </w:rPr>
        <w:t>I</w:t>
      </w:r>
      <w:r w:rsidRPr="008F1784">
        <w:rPr>
          <w:sz w:val="22"/>
          <w:szCs w:val="22"/>
        </w:rPr>
        <w:t xml:space="preserve">nstrument </w:t>
      </w:r>
      <w:r w:rsidR="00152B53" w:rsidRPr="008F1784">
        <w:rPr>
          <w:sz w:val="22"/>
          <w:szCs w:val="22"/>
        </w:rPr>
        <w:t xml:space="preserve">is </w:t>
      </w:r>
      <w:r w:rsidRPr="008F1784">
        <w:rPr>
          <w:sz w:val="22"/>
          <w:szCs w:val="22"/>
        </w:rPr>
        <w:t xml:space="preserve">the </w:t>
      </w:r>
      <w:r w:rsidR="008A4A82" w:rsidRPr="008F1784">
        <w:rPr>
          <w:i/>
          <w:sz w:val="22"/>
          <w:szCs w:val="22"/>
        </w:rPr>
        <w:t>National Health (Highly S</w:t>
      </w:r>
      <w:r w:rsidRPr="008F1784">
        <w:rPr>
          <w:i/>
          <w:sz w:val="22"/>
          <w:szCs w:val="22"/>
        </w:rPr>
        <w:t xml:space="preserve">pecialised </w:t>
      </w:r>
      <w:r w:rsidR="008A4A82" w:rsidRPr="008F1784">
        <w:rPr>
          <w:i/>
          <w:sz w:val="22"/>
          <w:szCs w:val="22"/>
        </w:rPr>
        <w:t>D</w:t>
      </w:r>
      <w:r w:rsidRPr="008F1784">
        <w:rPr>
          <w:i/>
          <w:sz w:val="22"/>
          <w:szCs w:val="22"/>
        </w:rPr>
        <w:t xml:space="preserve">rugs </w:t>
      </w:r>
      <w:r w:rsidR="008A4A82" w:rsidRPr="008F1784">
        <w:rPr>
          <w:i/>
          <w:sz w:val="22"/>
          <w:szCs w:val="22"/>
        </w:rPr>
        <w:t>P</w:t>
      </w:r>
      <w:r w:rsidRPr="008F1784">
        <w:rPr>
          <w:i/>
          <w:sz w:val="22"/>
          <w:szCs w:val="22"/>
        </w:rPr>
        <w:t>rogram) Special A</w:t>
      </w:r>
      <w:r w:rsidR="006036A7" w:rsidRPr="008F1784">
        <w:rPr>
          <w:i/>
          <w:sz w:val="22"/>
          <w:szCs w:val="22"/>
        </w:rPr>
        <w:t xml:space="preserve">rrangement Amendment </w:t>
      </w:r>
      <w:r w:rsidR="00826166" w:rsidRPr="008F1784">
        <w:rPr>
          <w:i/>
          <w:sz w:val="22"/>
          <w:szCs w:val="22"/>
        </w:rPr>
        <w:t>(</w:t>
      </w:r>
      <w:r w:rsidR="0024056B" w:rsidRPr="008F1784">
        <w:rPr>
          <w:i/>
          <w:sz w:val="22"/>
          <w:szCs w:val="22"/>
        </w:rPr>
        <w:t>August</w:t>
      </w:r>
      <w:r w:rsidR="00832F05" w:rsidRPr="008F1784">
        <w:rPr>
          <w:i/>
          <w:sz w:val="22"/>
          <w:szCs w:val="22"/>
        </w:rPr>
        <w:t xml:space="preserve"> </w:t>
      </w:r>
      <w:r w:rsidR="00AA01F5" w:rsidRPr="008F1784">
        <w:rPr>
          <w:i/>
          <w:sz w:val="22"/>
          <w:szCs w:val="22"/>
        </w:rPr>
        <w:t>Update</w:t>
      </w:r>
      <w:r w:rsidR="00826166" w:rsidRPr="008F1784">
        <w:rPr>
          <w:i/>
          <w:sz w:val="22"/>
          <w:szCs w:val="22"/>
        </w:rPr>
        <w:t xml:space="preserve">) </w:t>
      </w:r>
      <w:r w:rsidR="006036A7" w:rsidRPr="008F1784">
        <w:rPr>
          <w:i/>
          <w:sz w:val="22"/>
          <w:szCs w:val="22"/>
        </w:rPr>
        <w:t xml:space="preserve">Instrument </w:t>
      </w:r>
      <w:r w:rsidR="008F2270" w:rsidRPr="008F1784">
        <w:rPr>
          <w:i/>
          <w:sz w:val="22"/>
          <w:szCs w:val="22"/>
        </w:rPr>
        <w:t>202</w:t>
      </w:r>
      <w:r w:rsidR="008E1ABE" w:rsidRPr="008F1784">
        <w:rPr>
          <w:i/>
          <w:sz w:val="22"/>
          <w:szCs w:val="22"/>
        </w:rPr>
        <w:t>4</w:t>
      </w:r>
      <w:r w:rsidR="008E5300" w:rsidRPr="008F1784">
        <w:rPr>
          <w:sz w:val="22"/>
          <w:szCs w:val="22"/>
        </w:rPr>
        <w:t xml:space="preserve"> and may </w:t>
      </w:r>
      <w:r w:rsidR="00833424" w:rsidRPr="008F1784">
        <w:rPr>
          <w:sz w:val="22"/>
          <w:szCs w:val="22"/>
        </w:rPr>
        <w:t xml:space="preserve">also </w:t>
      </w:r>
      <w:r w:rsidR="00825F76" w:rsidRPr="008F1784">
        <w:rPr>
          <w:sz w:val="22"/>
          <w:szCs w:val="22"/>
        </w:rPr>
        <w:t>be cit</w:t>
      </w:r>
      <w:r w:rsidR="004E7F32" w:rsidRPr="008F1784">
        <w:rPr>
          <w:sz w:val="22"/>
          <w:szCs w:val="22"/>
        </w:rPr>
        <w:t xml:space="preserve">ed as </w:t>
      </w:r>
      <w:r w:rsidR="008779C9" w:rsidRPr="008F1784">
        <w:rPr>
          <w:sz w:val="22"/>
          <w:szCs w:val="22"/>
        </w:rPr>
        <w:t xml:space="preserve">PB </w:t>
      </w:r>
      <w:r w:rsidR="00E949A5" w:rsidRPr="008F1784">
        <w:rPr>
          <w:sz w:val="22"/>
          <w:szCs w:val="22"/>
        </w:rPr>
        <w:t>79</w:t>
      </w:r>
      <w:r w:rsidR="00152B53" w:rsidRPr="008F1784">
        <w:rPr>
          <w:sz w:val="22"/>
          <w:szCs w:val="22"/>
        </w:rPr>
        <w:t> </w:t>
      </w:r>
      <w:r w:rsidRPr="008F1784">
        <w:rPr>
          <w:sz w:val="22"/>
          <w:szCs w:val="22"/>
        </w:rPr>
        <w:t>of</w:t>
      </w:r>
      <w:r w:rsidR="006036A7" w:rsidRPr="008F1784">
        <w:rPr>
          <w:sz w:val="22"/>
          <w:szCs w:val="22"/>
        </w:rPr>
        <w:t> </w:t>
      </w:r>
      <w:r w:rsidR="007D7545" w:rsidRPr="008F1784">
        <w:rPr>
          <w:sz w:val="22"/>
          <w:szCs w:val="22"/>
        </w:rPr>
        <w:t>20</w:t>
      </w:r>
      <w:r w:rsidR="00376C64" w:rsidRPr="008F1784">
        <w:rPr>
          <w:sz w:val="22"/>
          <w:szCs w:val="22"/>
        </w:rPr>
        <w:t>2</w:t>
      </w:r>
      <w:r w:rsidR="008E1ABE" w:rsidRPr="008F1784">
        <w:rPr>
          <w:sz w:val="22"/>
          <w:szCs w:val="22"/>
        </w:rPr>
        <w:t>4</w:t>
      </w:r>
      <w:r w:rsidRPr="008F1784">
        <w:rPr>
          <w:sz w:val="22"/>
          <w:szCs w:val="22"/>
        </w:rPr>
        <w:t>.</w:t>
      </w:r>
    </w:p>
    <w:p w14:paraId="1C524C7F" w14:textId="75F5BAF4" w:rsidR="006A613A" w:rsidRPr="008F1784" w:rsidRDefault="000A4B91" w:rsidP="00630B65">
      <w:pPr>
        <w:keepLines w:val="0"/>
        <w:tabs>
          <w:tab w:val="left" w:pos="1418"/>
        </w:tabs>
        <w:spacing w:before="240" w:after="0"/>
        <w:rPr>
          <w:b/>
          <w:sz w:val="22"/>
          <w:szCs w:val="22"/>
        </w:rPr>
      </w:pPr>
      <w:r w:rsidRPr="008F1784">
        <w:rPr>
          <w:b/>
          <w:sz w:val="22"/>
          <w:szCs w:val="22"/>
        </w:rPr>
        <w:t>Section 2</w:t>
      </w:r>
      <w:r w:rsidR="00AD7C60" w:rsidRPr="008F1784">
        <w:rPr>
          <w:b/>
          <w:sz w:val="22"/>
          <w:szCs w:val="22"/>
        </w:rPr>
        <w:tab/>
      </w:r>
      <w:r w:rsidRPr="008F1784">
        <w:rPr>
          <w:b/>
          <w:sz w:val="22"/>
          <w:szCs w:val="22"/>
        </w:rPr>
        <w:t>Commencement</w:t>
      </w:r>
    </w:p>
    <w:p w14:paraId="1CA996BD" w14:textId="463A7203" w:rsidR="00CD443C" w:rsidRPr="008F1784" w:rsidRDefault="000A4B91" w:rsidP="00931768">
      <w:pPr>
        <w:keepLines w:val="0"/>
        <w:spacing w:before="120" w:after="0"/>
        <w:rPr>
          <w:sz w:val="22"/>
          <w:szCs w:val="22"/>
        </w:rPr>
      </w:pPr>
      <w:r w:rsidRPr="008F1784">
        <w:rPr>
          <w:sz w:val="22"/>
          <w:szCs w:val="22"/>
        </w:rPr>
        <w:t xml:space="preserve">This section provides that this </w:t>
      </w:r>
      <w:r w:rsidR="005D7DC1" w:rsidRPr="008F1784">
        <w:rPr>
          <w:sz w:val="22"/>
          <w:szCs w:val="22"/>
        </w:rPr>
        <w:t>I</w:t>
      </w:r>
      <w:r w:rsidRPr="008F1784">
        <w:rPr>
          <w:sz w:val="22"/>
          <w:szCs w:val="22"/>
        </w:rPr>
        <w:t xml:space="preserve">nstrument </w:t>
      </w:r>
      <w:r w:rsidR="00CD443C" w:rsidRPr="008F1784">
        <w:rPr>
          <w:sz w:val="22"/>
          <w:szCs w:val="22"/>
        </w:rPr>
        <w:t xml:space="preserve">commences on </w:t>
      </w:r>
      <w:r w:rsidR="00F81FAD" w:rsidRPr="008F1784">
        <w:rPr>
          <w:sz w:val="22"/>
          <w:szCs w:val="22"/>
        </w:rPr>
        <w:t xml:space="preserve">1 </w:t>
      </w:r>
      <w:r w:rsidR="0024056B" w:rsidRPr="008F1784">
        <w:rPr>
          <w:sz w:val="22"/>
          <w:szCs w:val="22"/>
        </w:rPr>
        <w:t>August</w:t>
      </w:r>
      <w:r w:rsidR="00F81FAD" w:rsidRPr="008F1784">
        <w:rPr>
          <w:sz w:val="22"/>
          <w:szCs w:val="22"/>
        </w:rPr>
        <w:t xml:space="preserve"> 2024</w:t>
      </w:r>
      <w:r w:rsidR="004E4493" w:rsidRPr="008F1784">
        <w:rPr>
          <w:sz w:val="22"/>
          <w:szCs w:val="22"/>
        </w:rPr>
        <w:t>.</w:t>
      </w:r>
    </w:p>
    <w:p w14:paraId="1EE5077C" w14:textId="69FE29B8" w:rsidR="00AD7C60" w:rsidRPr="008F1784" w:rsidRDefault="00AD7C60" w:rsidP="00D33516">
      <w:pPr>
        <w:keepLines w:val="0"/>
        <w:spacing w:before="240" w:after="0"/>
        <w:ind w:left="1418" w:hanging="1418"/>
        <w:rPr>
          <w:b/>
          <w:sz w:val="22"/>
          <w:szCs w:val="22"/>
        </w:rPr>
      </w:pPr>
      <w:r w:rsidRPr="008F1784">
        <w:rPr>
          <w:b/>
          <w:sz w:val="22"/>
          <w:szCs w:val="22"/>
        </w:rPr>
        <w:t>Section 3</w:t>
      </w:r>
      <w:r w:rsidRPr="008F1784">
        <w:rPr>
          <w:b/>
          <w:sz w:val="22"/>
          <w:szCs w:val="22"/>
        </w:rPr>
        <w:tab/>
        <w:t>Authority</w:t>
      </w:r>
    </w:p>
    <w:p w14:paraId="0D87659C" w14:textId="77777777" w:rsidR="00AD7C60" w:rsidRPr="008F1784" w:rsidRDefault="00AD7C60" w:rsidP="00AD7C60">
      <w:pPr>
        <w:spacing w:before="120"/>
        <w:rPr>
          <w:b/>
          <w:sz w:val="22"/>
          <w:szCs w:val="22"/>
        </w:rPr>
      </w:pPr>
      <w:bookmarkStart w:id="1" w:name="_Hlk79566839"/>
      <w:r w:rsidRPr="008F1784">
        <w:rPr>
          <w:color w:val="000000"/>
          <w:sz w:val="22"/>
          <w:szCs w:val="19"/>
        </w:rPr>
        <w:t xml:space="preserve">This section states that this instrument is made under </w:t>
      </w:r>
      <w:r w:rsidRPr="008F1784">
        <w:rPr>
          <w:sz w:val="22"/>
          <w:szCs w:val="22"/>
        </w:rPr>
        <w:t xml:space="preserve">subsection 100(2) </w:t>
      </w:r>
      <w:r w:rsidRPr="008F1784">
        <w:rPr>
          <w:color w:val="000000"/>
          <w:sz w:val="22"/>
          <w:szCs w:val="19"/>
        </w:rPr>
        <w:t xml:space="preserve">of the </w:t>
      </w:r>
      <w:r w:rsidRPr="008F1784">
        <w:rPr>
          <w:i/>
          <w:iCs/>
          <w:color w:val="000000"/>
          <w:sz w:val="22"/>
          <w:szCs w:val="19"/>
        </w:rPr>
        <w:t>National Health Act 1953</w:t>
      </w:r>
      <w:r w:rsidRPr="008F1784">
        <w:rPr>
          <w:color w:val="000000"/>
          <w:sz w:val="22"/>
          <w:szCs w:val="19"/>
        </w:rPr>
        <w:t>.</w:t>
      </w:r>
      <w:bookmarkEnd w:id="1"/>
    </w:p>
    <w:p w14:paraId="0974722A" w14:textId="1056A6B6" w:rsidR="003308F2" w:rsidRPr="008F1784" w:rsidRDefault="000A4B91" w:rsidP="00AD7C60">
      <w:pPr>
        <w:keepLines w:val="0"/>
        <w:tabs>
          <w:tab w:val="left" w:pos="1418"/>
        </w:tabs>
        <w:spacing w:before="240" w:after="0"/>
        <w:ind w:left="1418" w:hanging="1418"/>
        <w:rPr>
          <w:b/>
          <w:sz w:val="22"/>
          <w:szCs w:val="22"/>
        </w:rPr>
      </w:pPr>
      <w:r w:rsidRPr="008F1784">
        <w:rPr>
          <w:b/>
          <w:sz w:val="22"/>
          <w:szCs w:val="22"/>
        </w:rPr>
        <w:t xml:space="preserve">Section </w:t>
      </w:r>
      <w:r w:rsidR="00AD7C60" w:rsidRPr="008F1784">
        <w:rPr>
          <w:b/>
          <w:sz w:val="22"/>
          <w:szCs w:val="22"/>
        </w:rPr>
        <w:t>4</w:t>
      </w:r>
      <w:r w:rsidRPr="008F1784">
        <w:rPr>
          <w:b/>
          <w:sz w:val="22"/>
          <w:szCs w:val="22"/>
        </w:rPr>
        <w:tab/>
      </w:r>
      <w:r w:rsidR="00AD7C60" w:rsidRPr="008F1784">
        <w:rPr>
          <w:b/>
          <w:bCs/>
          <w:sz w:val="22"/>
          <w:szCs w:val="22"/>
        </w:rPr>
        <w:t>Schedules</w:t>
      </w:r>
    </w:p>
    <w:p w14:paraId="3C1E99D7" w14:textId="0801FF57" w:rsidR="00AD7C60" w:rsidRPr="008F1784" w:rsidRDefault="00355481" w:rsidP="00AD7C60">
      <w:pPr>
        <w:spacing w:before="120"/>
        <w:rPr>
          <w:sz w:val="22"/>
          <w:szCs w:val="22"/>
        </w:rPr>
      </w:pPr>
      <w:r w:rsidRPr="008F1784">
        <w:rPr>
          <w:sz w:val="22"/>
          <w:szCs w:val="22"/>
        </w:rPr>
        <w:t>This section</w:t>
      </w:r>
      <w:r w:rsidR="00AD7C60" w:rsidRPr="008F1784">
        <w:rPr>
          <w:sz w:val="22"/>
          <w:szCs w:val="22"/>
        </w:rPr>
        <w:t xml:space="preserve"> provides that each instrument that is specified in a Schedule to the Instrument is amended or repealed as set out in the applicable items in the Schedule concerned, and any other item in a Schedule to the Instrument has effect according to its terms.</w:t>
      </w:r>
    </w:p>
    <w:p w14:paraId="40E4804B" w14:textId="706C36E0" w:rsidR="00FF1698" w:rsidRPr="008F1784" w:rsidRDefault="00EA6689" w:rsidP="00FF1698">
      <w:pPr>
        <w:keepLines w:val="0"/>
        <w:tabs>
          <w:tab w:val="left" w:pos="1418"/>
        </w:tabs>
        <w:spacing w:before="240" w:after="0"/>
        <w:rPr>
          <w:b/>
          <w:sz w:val="22"/>
          <w:szCs w:val="22"/>
        </w:rPr>
      </w:pPr>
      <w:r w:rsidRPr="008F1784">
        <w:rPr>
          <w:b/>
          <w:sz w:val="22"/>
          <w:szCs w:val="22"/>
        </w:rPr>
        <w:t>Schedule 1</w:t>
      </w:r>
      <w:r w:rsidRPr="008F1784">
        <w:rPr>
          <w:b/>
          <w:sz w:val="22"/>
          <w:szCs w:val="22"/>
        </w:rPr>
        <w:tab/>
        <w:t>Amendments</w:t>
      </w:r>
    </w:p>
    <w:p w14:paraId="57E8E2E1" w14:textId="0454B071" w:rsidR="00486B10" w:rsidRPr="008F1784" w:rsidRDefault="00486B10" w:rsidP="00486B10">
      <w:pPr>
        <w:pStyle w:val="NormalWeb"/>
        <w:spacing w:before="120" w:beforeAutospacing="0" w:after="0" w:afterAutospacing="0"/>
        <w:jc w:val="both"/>
        <w:rPr>
          <w:sz w:val="22"/>
          <w:szCs w:val="22"/>
        </w:rPr>
      </w:pPr>
      <w:bookmarkStart w:id="2" w:name="_Hlk161660382"/>
      <w:r w:rsidRPr="008F1784">
        <w:rPr>
          <w:sz w:val="22"/>
          <w:szCs w:val="22"/>
        </w:rPr>
        <w:t xml:space="preserve">The amendments in Schedule 1 involve the addition of </w:t>
      </w:r>
      <w:r w:rsidR="00DF6FDA" w:rsidRPr="008F1784">
        <w:rPr>
          <w:sz w:val="22"/>
          <w:szCs w:val="22"/>
        </w:rPr>
        <w:t xml:space="preserve">a </w:t>
      </w:r>
      <w:r w:rsidRPr="008F1784">
        <w:rPr>
          <w:sz w:val="22"/>
          <w:szCs w:val="22"/>
        </w:rPr>
        <w:t xml:space="preserve">drug, </w:t>
      </w:r>
      <w:r w:rsidR="00266937" w:rsidRPr="008F1784">
        <w:rPr>
          <w:sz w:val="22"/>
          <w:szCs w:val="22"/>
        </w:rPr>
        <w:t xml:space="preserve">the addition of forms of listed drugs, </w:t>
      </w:r>
      <w:r w:rsidRPr="008F1784">
        <w:rPr>
          <w:sz w:val="22"/>
          <w:szCs w:val="22"/>
        </w:rPr>
        <w:t xml:space="preserve">the addition </w:t>
      </w:r>
      <w:r w:rsidR="00DF6FDA" w:rsidRPr="008F1784">
        <w:rPr>
          <w:sz w:val="22"/>
          <w:szCs w:val="22"/>
        </w:rPr>
        <w:t xml:space="preserve">and deletion </w:t>
      </w:r>
      <w:r w:rsidRPr="008F1784">
        <w:rPr>
          <w:sz w:val="22"/>
          <w:szCs w:val="22"/>
        </w:rPr>
        <w:t xml:space="preserve">of brands of listed drugs, </w:t>
      </w:r>
      <w:r w:rsidR="00DF6FDA" w:rsidRPr="008F1784">
        <w:rPr>
          <w:sz w:val="22"/>
          <w:szCs w:val="22"/>
        </w:rPr>
        <w:t>and the</w:t>
      </w:r>
      <w:r w:rsidRPr="008F1784">
        <w:rPr>
          <w:sz w:val="22"/>
          <w:szCs w:val="22"/>
        </w:rPr>
        <w:t xml:space="preserve"> alteration of circumstances in which a prescription may be written for various listed drugs available under the Special Arrangement. These changes are summarised below.</w:t>
      </w:r>
    </w:p>
    <w:p w14:paraId="3816330B" w14:textId="5DAC3659" w:rsidR="00C16D99" w:rsidRPr="008F1784" w:rsidRDefault="006F23F5" w:rsidP="00AE7EB5">
      <w:pPr>
        <w:keepLines w:val="0"/>
        <w:spacing w:before="480" w:after="0"/>
        <w:jc w:val="center"/>
        <w:rPr>
          <w:b/>
          <w:sz w:val="22"/>
          <w:szCs w:val="22"/>
        </w:rPr>
      </w:pPr>
      <w:r w:rsidRPr="008F1784">
        <w:rPr>
          <w:b/>
          <w:sz w:val="22"/>
          <w:szCs w:val="22"/>
        </w:rPr>
        <w:t xml:space="preserve">SUMMARY OF CHANGES TO THE </w:t>
      </w:r>
      <w:r w:rsidRPr="008F1784">
        <w:rPr>
          <w:b/>
          <w:i/>
          <w:sz w:val="22"/>
          <w:szCs w:val="22"/>
        </w:rPr>
        <w:t>H</w:t>
      </w:r>
      <w:r w:rsidR="00782042" w:rsidRPr="008F1784">
        <w:rPr>
          <w:b/>
          <w:i/>
          <w:sz w:val="22"/>
          <w:szCs w:val="22"/>
        </w:rPr>
        <w:t xml:space="preserve">IGHLY SPECIALISED </w:t>
      </w:r>
      <w:r w:rsidR="00782042" w:rsidRPr="008F1784">
        <w:rPr>
          <w:b/>
          <w:i/>
          <w:sz w:val="22"/>
          <w:szCs w:val="22"/>
        </w:rPr>
        <w:br/>
        <w:t xml:space="preserve">DRUGS PROGRAM </w:t>
      </w:r>
      <w:r w:rsidRPr="008F1784">
        <w:rPr>
          <w:b/>
          <w:sz w:val="22"/>
          <w:szCs w:val="22"/>
        </w:rPr>
        <w:t>MADE BY THIS INSTRUMENT</w:t>
      </w:r>
    </w:p>
    <w:p w14:paraId="6F6F951F" w14:textId="5EA7DC9E" w:rsidR="00A57D88" w:rsidRPr="008F1784" w:rsidRDefault="00A57D88" w:rsidP="00A57D88">
      <w:pPr>
        <w:keepLines w:val="0"/>
        <w:spacing w:before="240" w:after="0"/>
        <w:jc w:val="left"/>
        <w:rPr>
          <w:b/>
          <w:bCs/>
          <w:color w:val="000000"/>
          <w:sz w:val="24"/>
          <w:szCs w:val="24"/>
        </w:rPr>
      </w:pPr>
      <w:r w:rsidRPr="008F1784">
        <w:rPr>
          <w:b/>
          <w:bCs/>
          <w:color w:val="000000"/>
          <w:sz w:val="24"/>
          <w:szCs w:val="24"/>
        </w:rPr>
        <w:t>Drug Added</w:t>
      </w:r>
    </w:p>
    <w:tbl>
      <w:tblPr>
        <w:tblW w:w="4798" w:type="dxa"/>
        <w:tblCellMar>
          <w:left w:w="0" w:type="dxa"/>
          <w:right w:w="0" w:type="dxa"/>
        </w:tblCellMar>
        <w:tblLook w:val="04A0" w:firstRow="1" w:lastRow="0" w:firstColumn="1" w:lastColumn="0" w:noHBand="0" w:noVBand="1"/>
      </w:tblPr>
      <w:tblGrid>
        <w:gridCol w:w="4798"/>
      </w:tblGrid>
      <w:tr w:rsidR="00A57D88" w:rsidRPr="008F1784" w14:paraId="13493ED3" w14:textId="77777777" w:rsidTr="00A57D88">
        <w:trPr>
          <w:trHeight w:val="20"/>
        </w:trPr>
        <w:tc>
          <w:tcPr>
            <w:tcW w:w="4798" w:type="dxa"/>
            <w:tcMar>
              <w:top w:w="57" w:type="dxa"/>
              <w:left w:w="57" w:type="dxa"/>
              <w:bottom w:w="57" w:type="dxa"/>
              <w:right w:w="57" w:type="dxa"/>
            </w:tcMar>
            <w:hideMark/>
          </w:tcPr>
          <w:p w14:paraId="26B8BFF2" w14:textId="77777777" w:rsidR="00A57D88" w:rsidRPr="008F1784" w:rsidRDefault="00A57D88" w:rsidP="008840EF">
            <w:pPr>
              <w:keepLines w:val="0"/>
              <w:spacing w:before="60" w:after="0"/>
              <w:ind w:left="-62"/>
              <w:jc w:val="left"/>
              <w:rPr>
                <w:b/>
                <w:bCs/>
                <w:i/>
                <w:iCs/>
                <w:color w:val="000000"/>
                <w:sz w:val="22"/>
                <w:szCs w:val="22"/>
              </w:rPr>
            </w:pPr>
            <w:r w:rsidRPr="008F1784">
              <w:rPr>
                <w:b/>
                <w:bCs/>
                <w:i/>
                <w:iCs/>
                <w:color w:val="000000"/>
                <w:sz w:val="22"/>
                <w:szCs w:val="22"/>
              </w:rPr>
              <w:t>Listed Drug</w:t>
            </w:r>
          </w:p>
        </w:tc>
      </w:tr>
      <w:tr w:rsidR="00A57D88" w:rsidRPr="008F1784" w14:paraId="16E19C5A" w14:textId="77777777" w:rsidTr="00A57D88">
        <w:trPr>
          <w:trHeight w:val="20"/>
        </w:trPr>
        <w:tc>
          <w:tcPr>
            <w:tcW w:w="4798" w:type="dxa"/>
            <w:tcMar>
              <w:top w:w="57" w:type="dxa"/>
              <w:left w:w="57" w:type="dxa"/>
              <w:bottom w:w="57" w:type="dxa"/>
              <w:right w:w="57" w:type="dxa"/>
            </w:tcMar>
          </w:tcPr>
          <w:p w14:paraId="6090322C" w14:textId="0BCFDDF3" w:rsidR="00A57D88" w:rsidRPr="008F1784" w:rsidRDefault="00E949A5" w:rsidP="00A57D88">
            <w:pPr>
              <w:keepLines w:val="0"/>
              <w:spacing w:before="60" w:after="60"/>
              <w:ind w:left="-62"/>
              <w:jc w:val="left"/>
              <w:rPr>
                <w:sz w:val="22"/>
                <w:szCs w:val="22"/>
              </w:rPr>
            </w:pPr>
            <w:proofErr w:type="spellStart"/>
            <w:r w:rsidRPr="008F1784">
              <w:rPr>
                <w:sz w:val="22"/>
                <w:szCs w:val="22"/>
              </w:rPr>
              <w:t>Patisiran</w:t>
            </w:r>
            <w:proofErr w:type="spellEnd"/>
          </w:p>
        </w:tc>
      </w:tr>
    </w:tbl>
    <w:p w14:paraId="42F07938" w14:textId="253F47EB" w:rsidR="00266937" w:rsidRPr="008F1784" w:rsidRDefault="00266937" w:rsidP="00266937">
      <w:pPr>
        <w:keepLines w:val="0"/>
        <w:spacing w:before="240" w:after="0"/>
        <w:jc w:val="left"/>
        <w:rPr>
          <w:b/>
          <w:sz w:val="24"/>
          <w:szCs w:val="24"/>
        </w:rPr>
      </w:pPr>
      <w:r w:rsidRPr="008F1784">
        <w:rPr>
          <w:b/>
          <w:sz w:val="24"/>
          <w:szCs w:val="24"/>
        </w:rPr>
        <w:t>Forms Added</w:t>
      </w:r>
    </w:p>
    <w:tbl>
      <w:tblPr>
        <w:tblStyle w:val="TableGrid8"/>
        <w:tblW w:w="9639" w:type="dxa"/>
        <w:tblLayout w:type="fixed"/>
        <w:tblCellMar>
          <w:top w:w="57" w:type="dxa"/>
          <w:left w:w="57" w:type="dxa"/>
          <w:bottom w:w="57" w:type="dxa"/>
          <w:right w:w="57" w:type="dxa"/>
        </w:tblCellMar>
        <w:tblLook w:val="04A0" w:firstRow="1" w:lastRow="0" w:firstColumn="1" w:lastColumn="0" w:noHBand="0" w:noVBand="1"/>
      </w:tblPr>
      <w:tblGrid>
        <w:gridCol w:w="2268"/>
        <w:gridCol w:w="7371"/>
      </w:tblGrid>
      <w:tr w:rsidR="00266937" w:rsidRPr="008F1784" w14:paraId="53AFD0C0" w14:textId="77777777" w:rsidTr="00E949A5">
        <w:trPr>
          <w:trHeight w:val="369"/>
        </w:trPr>
        <w:tc>
          <w:tcPr>
            <w:tcW w:w="2268" w:type="dxa"/>
          </w:tcPr>
          <w:p w14:paraId="1E672848" w14:textId="77777777" w:rsidR="00266937" w:rsidRPr="008F1784" w:rsidRDefault="00266937" w:rsidP="008840EF">
            <w:pPr>
              <w:keepLines w:val="0"/>
              <w:spacing w:before="60" w:after="0"/>
              <w:ind w:left="-62"/>
              <w:jc w:val="left"/>
              <w:rPr>
                <w:sz w:val="22"/>
                <w:szCs w:val="22"/>
              </w:rPr>
            </w:pPr>
            <w:r w:rsidRPr="008F1784">
              <w:rPr>
                <w:b/>
                <w:i/>
                <w:sz w:val="22"/>
                <w:szCs w:val="22"/>
              </w:rPr>
              <w:t>Listed Drug</w:t>
            </w:r>
          </w:p>
        </w:tc>
        <w:tc>
          <w:tcPr>
            <w:tcW w:w="7371" w:type="dxa"/>
          </w:tcPr>
          <w:p w14:paraId="76812686" w14:textId="07B6BE8B" w:rsidR="00266937" w:rsidRPr="008F1784" w:rsidRDefault="00266937" w:rsidP="008840EF">
            <w:pPr>
              <w:keepLines w:val="0"/>
              <w:widowControl w:val="0"/>
              <w:spacing w:before="60" w:after="60"/>
              <w:ind w:left="-62"/>
              <w:jc w:val="left"/>
              <w:rPr>
                <w:i/>
                <w:iCs/>
                <w:sz w:val="22"/>
                <w:szCs w:val="22"/>
              </w:rPr>
            </w:pPr>
            <w:r w:rsidRPr="008F1784">
              <w:rPr>
                <w:b/>
                <w:i/>
                <w:sz w:val="22"/>
                <w:szCs w:val="22"/>
              </w:rPr>
              <w:t xml:space="preserve">Form </w:t>
            </w:r>
          </w:p>
        </w:tc>
      </w:tr>
      <w:tr w:rsidR="00E949A5" w:rsidRPr="008F1784" w14:paraId="4A45D2D6" w14:textId="77777777" w:rsidTr="00E949A5">
        <w:trPr>
          <w:trHeight w:val="369"/>
        </w:trPr>
        <w:tc>
          <w:tcPr>
            <w:tcW w:w="2268" w:type="dxa"/>
            <w:vMerge w:val="restart"/>
          </w:tcPr>
          <w:p w14:paraId="1AE82926" w14:textId="03FADB3C" w:rsidR="00E949A5" w:rsidRPr="008F1784" w:rsidRDefault="00E949A5" w:rsidP="008840EF">
            <w:pPr>
              <w:keepLines w:val="0"/>
              <w:spacing w:before="60" w:after="0"/>
              <w:ind w:left="-62"/>
              <w:jc w:val="left"/>
              <w:rPr>
                <w:sz w:val="22"/>
                <w:szCs w:val="22"/>
              </w:rPr>
            </w:pPr>
            <w:r w:rsidRPr="008F1784">
              <w:rPr>
                <w:sz w:val="22"/>
                <w:szCs w:val="22"/>
              </w:rPr>
              <w:t>Elexacaftor with tezacaftor and with ivacaftor, and ivacaftor</w:t>
            </w:r>
          </w:p>
        </w:tc>
        <w:tc>
          <w:tcPr>
            <w:tcW w:w="7371" w:type="dxa"/>
          </w:tcPr>
          <w:p w14:paraId="577F50A6" w14:textId="68F0FBB2" w:rsidR="00E949A5" w:rsidRPr="008F1784" w:rsidRDefault="00E949A5" w:rsidP="008840EF">
            <w:pPr>
              <w:keepLines w:val="0"/>
              <w:widowControl w:val="0"/>
              <w:spacing w:before="60" w:after="60"/>
              <w:ind w:left="-62"/>
              <w:jc w:val="left"/>
              <w:rPr>
                <w:sz w:val="22"/>
                <w:szCs w:val="22"/>
              </w:rPr>
            </w:pPr>
            <w:r w:rsidRPr="008F1784">
              <w:rPr>
                <w:sz w:val="22"/>
                <w:szCs w:val="22"/>
              </w:rPr>
              <w:t xml:space="preserve">Pack containing 28 sachets containing granules </w:t>
            </w:r>
            <w:proofErr w:type="spellStart"/>
            <w:r w:rsidRPr="008F1784">
              <w:rPr>
                <w:sz w:val="22"/>
                <w:szCs w:val="22"/>
              </w:rPr>
              <w:t>elexacaftor</w:t>
            </w:r>
            <w:proofErr w:type="spellEnd"/>
            <w:r w:rsidRPr="008F1784">
              <w:rPr>
                <w:sz w:val="22"/>
                <w:szCs w:val="22"/>
              </w:rPr>
              <w:t xml:space="preserve"> 80 mg with tezacaftor 40 mg and with ivacaftor 60 mg and 28 sachets containing granules ivacaftor 59.5 mg</w:t>
            </w:r>
          </w:p>
        </w:tc>
      </w:tr>
      <w:tr w:rsidR="00E949A5" w:rsidRPr="008F1784" w14:paraId="268A6DEC" w14:textId="77777777" w:rsidTr="00E949A5">
        <w:trPr>
          <w:trHeight w:val="369"/>
        </w:trPr>
        <w:tc>
          <w:tcPr>
            <w:tcW w:w="2268" w:type="dxa"/>
            <w:vMerge/>
          </w:tcPr>
          <w:p w14:paraId="73B6301C" w14:textId="77777777" w:rsidR="00E949A5" w:rsidRPr="008F1784" w:rsidRDefault="00E949A5" w:rsidP="008840EF">
            <w:pPr>
              <w:keepLines w:val="0"/>
              <w:spacing w:before="60" w:after="0"/>
              <w:ind w:left="-62"/>
              <w:jc w:val="left"/>
              <w:rPr>
                <w:sz w:val="22"/>
                <w:szCs w:val="22"/>
              </w:rPr>
            </w:pPr>
          </w:p>
        </w:tc>
        <w:tc>
          <w:tcPr>
            <w:tcW w:w="7371" w:type="dxa"/>
          </w:tcPr>
          <w:p w14:paraId="2F60903E" w14:textId="6B1A5991" w:rsidR="00E949A5" w:rsidRPr="008F1784" w:rsidRDefault="00E949A5" w:rsidP="008840EF">
            <w:pPr>
              <w:keepLines w:val="0"/>
              <w:widowControl w:val="0"/>
              <w:spacing w:before="60" w:after="60"/>
              <w:ind w:left="-62"/>
              <w:jc w:val="left"/>
              <w:rPr>
                <w:sz w:val="22"/>
                <w:szCs w:val="22"/>
              </w:rPr>
            </w:pPr>
            <w:r w:rsidRPr="008F1784">
              <w:rPr>
                <w:sz w:val="22"/>
                <w:szCs w:val="22"/>
              </w:rPr>
              <w:t xml:space="preserve">Pack containing 28 sachets containing granules </w:t>
            </w:r>
            <w:proofErr w:type="spellStart"/>
            <w:r w:rsidRPr="008F1784">
              <w:rPr>
                <w:sz w:val="22"/>
                <w:szCs w:val="22"/>
              </w:rPr>
              <w:t>elexacaftor</w:t>
            </w:r>
            <w:proofErr w:type="spellEnd"/>
            <w:r w:rsidRPr="008F1784">
              <w:rPr>
                <w:sz w:val="22"/>
                <w:szCs w:val="22"/>
              </w:rPr>
              <w:t xml:space="preserve"> 100 mg with tezacaftor 50 mg and with ivacaftor 75 mg and 28 sachets containing granules ivacaftor 75 mg</w:t>
            </w:r>
          </w:p>
        </w:tc>
      </w:tr>
    </w:tbl>
    <w:p w14:paraId="5F611720" w14:textId="20529645" w:rsidR="00A04EEA" w:rsidRPr="008F1784" w:rsidRDefault="00A04EEA" w:rsidP="00F844E0">
      <w:pPr>
        <w:keepLines w:val="0"/>
        <w:spacing w:before="240" w:after="0"/>
        <w:jc w:val="left"/>
        <w:rPr>
          <w:b/>
          <w:sz w:val="24"/>
          <w:szCs w:val="24"/>
        </w:rPr>
      </w:pPr>
      <w:r w:rsidRPr="008F1784">
        <w:rPr>
          <w:b/>
          <w:sz w:val="24"/>
          <w:szCs w:val="24"/>
        </w:rPr>
        <w:t>Brand</w:t>
      </w:r>
      <w:r w:rsidR="00B416A0" w:rsidRPr="008F1784">
        <w:rPr>
          <w:b/>
          <w:sz w:val="24"/>
          <w:szCs w:val="24"/>
        </w:rPr>
        <w:t>s</w:t>
      </w:r>
      <w:r w:rsidRPr="008F1784">
        <w:rPr>
          <w:b/>
          <w:sz w:val="24"/>
          <w:szCs w:val="24"/>
        </w:rPr>
        <w:t xml:space="preserve"> Added</w:t>
      </w:r>
    </w:p>
    <w:tbl>
      <w:tblPr>
        <w:tblStyle w:val="TableGrid8"/>
        <w:tblW w:w="9628" w:type="dxa"/>
        <w:tblLayout w:type="fixed"/>
        <w:tblCellMar>
          <w:top w:w="57" w:type="dxa"/>
          <w:left w:w="57" w:type="dxa"/>
          <w:bottom w:w="57" w:type="dxa"/>
          <w:right w:w="57" w:type="dxa"/>
        </w:tblCellMar>
        <w:tblLook w:val="04A0" w:firstRow="1" w:lastRow="0" w:firstColumn="1" w:lastColumn="0" w:noHBand="0" w:noVBand="1"/>
      </w:tblPr>
      <w:tblGrid>
        <w:gridCol w:w="2268"/>
        <w:gridCol w:w="7360"/>
      </w:tblGrid>
      <w:tr w:rsidR="006E052D" w:rsidRPr="008F1784" w14:paraId="0C2DFF1F" w14:textId="77777777" w:rsidTr="00E949A5">
        <w:trPr>
          <w:trHeight w:val="369"/>
        </w:trPr>
        <w:tc>
          <w:tcPr>
            <w:tcW w:w="2268" w:type="dxa"/>
          </w:tcPr>
          <w:p w14:paraId="319C017F" w14:textId="61A16C30" w:rsidR="006E052D" w:rsidRPr="008F1784" w:rsidRDefault="006E052D" w:rsidP="006E052D">
            <w:pPr>
              <w:keepLines w:val="0"/>
              <w:spacing w:before="60" w:after="0"/>
              <w:ind w:left="-62"/>
              <w:jc w:val="left"/>
              <w:rPr>
                <w:sz w:val="22"/>
                <w:szCs w:val="22"/>
              </w:rPr>
            </w:pPr>
            <w:r w:rsidRPr="008F1784">
              <w:rPr>
                <w:b/>
                <w:i/>
                <w:sz w:val="22"/>
                <w:szCs w:val="22"/>
              </w:rPr>
              <w:t>Listed Drug</w:t>
            </w:r>
          </w:p>
        </w:tc>
        <w:tc>
          <w:tcPr>
            <w:tcW w:w="7360" w:type="dxa"/>
          </w:tcPr>
          <w:p w14:paraId="48F222CD" w14:textId="08C0658D" w:rsidR="006E052D" w:rsidRPr="008F1784" w:rsidRDefault="006E052D" w:rsidP="006E052D">
            <w:pPr>
              <w:keepLines w:val="0"/>
              <w:widowControl w:val="0"/>
              <w:spacing w:before="60" w:after="60"/>
              <w:ind w:left="-62"/>
              <w:jc w:val="left"/>
              <w:rPr>
                <w:i/>
                <w:iCs/>
                <w:sz w:val="22"/>
                <w:szCs w:val="22"/>
              </w:rPr>
            </w:pPr>
            <w:r w:rsidRPr="008F1784">
              <w:rPr>
                <w:b/>
                <w:i/>
                <w:sz w:val="22"/>
                <w:szCs w:val="22"/>
              </w:rPr>
              <w:t>Form and Brand</w:t>
            </w:r>
          </w:p>
        </w:tc>
      </w:tr>
      <w:tr w:rsidR="00E949A5" w:rsidRPr="008F1784" w14:paraId="12FFF7D9" w14:textId="77777777" w:rsidTr="00E949A5">
        <w:trPr>
          <w:trHeight w:val="369"/>
        </w:trPr>
        <w:tc>
          <w:tcPr>
            <w:tcW w:w="2268" w:type="dxa"/>
            <w:vMerge w:val="restart"/>
          </w:tcPr>
          <w:p w14:paraId="591905B5" w14:textId="593B2456" w:rsidR="00E949A5" w:rsidRPr="008F1784" w:rsidRDefault="00E949A5" w:rsidP="0085611C">
            <w:pPr>
              <w:keepLines w:val="0"/>
              <w:spacing w:before="60" w:after="0"/>
              <w:ind w:left="-62"/>
              <w:jc w:val="left"/>
              <w:rPr>
                <w:sz w:val="22"/>
                <w:szCs w:val="22"/>
              </w:rPr>
            </w:pPr>
            <w:r w:rsidRPr="008F1784">
              <w:rPr>
                <w:sz w:val="22"/>
                <w:szCs w:val="22"/>
              </w:rPr>
              <w:t>Adalimumab</w:t>
            </w:r>
          </w:p>
        </w:tc>
        <w:tc>
          <w:tcPr>
            <w:tcW w:w="7360" w:type="dxa"/>
          </w:tcPr>
          <w:p w14:paraId="2FFCDEE6" w14:textId="7672766D" w:rsidR="00E949A5" w:rsidRPr="008F1784" w:rsidRDefault="00E949A5" w:rsidP="0085611C">
            <w:pPr>
              <w:keepLines w:val="0"/>
              <w:widowControl w:val="0"/>
              <w:spacing w:before="60" w:after="60"/>
              <w:ind w:left="-62"/>
              <w:jc w:val="left"/>
              <w:rPr>
                <w:i/>
                <w:iCs/>
                <w:sz w:val="22"/>
                <w:szCs w:val="22"/>
              </w:rPr>
            </w:pPr>
            <w:r w:rsidRPr="008F1784">
              <w:rPr>
                <w:sz w:val="22"/>
                <w:szCs w:val="22"/>
              </w:rPr>
              <w:t xml:space="preserve">Injection 20 mg in 0.4 mL pre-filled syringe </w:t>
            </w:r>
            <w:r w:rsidRPr="008F1784">
              <w:rPr>
                <w:i/>
                <w:iCs/>
                <w:sz w:val="22"/>
                <w:szCs w:val="22"/>
              </w:rPr>
              <w:t>(</w:t>
            </w:r>
            <w:proofErr w:type="spellStart"/>
            <w:r w:rsidRPr="008F1784">
              <w:rPr>
                <w:i/>
                <w:iCs/>
                <w:sz w:val="22"/>
                <w:szCs w:val="22"/>
              </w:rPr>
              <w:t>Abrilada</w:t>
            </w:r>
            <w:proofErr w:type="spellEnd"/>
            <w:r w:rsidRPr="008F1784">
              <w:rPr>
                <w:i/>
                <w:iCs/>
                <w:sz w:val="22"/>
                <w:szCs w:val="22"/>
              </w:rPr>
              <w:t>)</w:t>
            </w:r>
          </w:p>
        </w:tc>
      </w:tr>
      <w:tr w:rsidR="00E949A5" w:rsidRPr="008F1784" w14:paraId="52139C16" w14:textId="77777777" w:rsidTr="00E949A5">
        <w:trPr>
          <w:trHeight w:val="369"/>
        </w:trPr>
        <w:tc>
          <w:tcPr>
            <w:tcW w:w="2268" w:type="dxa"/>
            <w:vMerge/>
          </w:tcPr>
          <w:p w14:paraId="5E95D1D0" w14:textId="20EA582B" w:rsidR="00E949A5" w:rsidRPr="008F1784" w:rsidRDefault="00E949A5" w:rsidP="00266937">
            <w:pPr>
              <w:keepLines w:val="0"/>
              <w:spacing w:before="60" w:after="0"/>
              <w:ind w:left="-62"/>
              <w:jc w:val="left"/>
              <w:rPr>
                <w:sz w:val="22"/>
                <w:szCs w:val="22"/>
              </w:rPr>
            </w:pPr>
          </w:p>
        </w:tc>
        <w:tc>
          <w:tcPr>
            <w:tcW w:w="7360" w:type="dxa"/>
          </w:tcPr>
          <w:p w14:paraId="349EFB18" w14:textId="5B066A4A" w:rsidR="00E949A5" w:rsidRPr="008F1784" w:rsidRDefault="00E949A5" w:rsidP="0085611C">
            <w:pPr>
              <w:keepLines w:val="0"/>
              <w:widowControl w:val="0"/>
              <w:spacing w:before="60" w:after="60"/>
              <w:ind w:left="-62"/>
              <w:jc w:val="left"/>
              <w:rPr>
                <w:sz w:val="22"/>
                <w:szCs w:val="22"/>
              </w:rPr>
            </w:pPr>
            <w:r w:rsidRPr="008F1784">
              <w:rPr>
                <w:sz w:val="22"/>
                <w:szCs w:val="22"/>
              </w:rPr>
              <w:t xml:space="preserve">Injection 40 mg in 0.8 mL pre-filled pen </w:t>
            </w:r>
            <w:r w:rsidRPr="008F1784">
              <w:rPr>
                <w:i/>
                <w:iCs/>
                <w:sz w:val="22"/>
                <w:szCs w:val="22"/>
              </w:rPr>
              <w:t>(</w:t>
            </w:r>
            <w:proofErr w:type="spellStart"/>
            <w:r w:rsidRPr="008F1784">
              <w:rPr>
                <w:i/>
                <w:iCs/>
                <w:sz w:val="22"/>
                <w:szCs w:val="22"/>
              </w:rPr>
              <w:t>Abrilada</w:t>
            </w:r>
            <w:proofErr w:type="spellEnd"/>
            <w:r w:rsidRPr="008F1784">
              <w:rPr>
                <w:i/>
                <w:iCs/>
                <w:sz w:val="22"/>
                <w:szCs w:val="22"/>
              </w:rPr>
              <w:t>)</w:t>
            </w:r>
          </w:p>
        </w:tc>
      </w:tr>
      <w:tr w:rsidR="00E949A5" w:rsidRPr="008F1784" w14:paraId="36C74067" w14:textId="77777777" w:rsidTr="00E949A5">
        <w:trPr>
          <w:trHeight w:val="369"/>
        </w:trPr>
        <w:tc>
          <w:tcPr>
            <w:tcW w:w="2268" w:type="dxa"/>
            <w:vMerge/>
          </w:tcPr>
          <w:p w14:paraId="5141DFF8" w14:textId="77777777" w:rsidR="00E949A5" w:rsidRPr="008F1784" w:rsidRDefault="00E949A5" w:rsidP="00266937">
            <w:pPr>
              <w:keepLines w:val="0"/>
              <w:spacing w:before="60" w:after="0"/>
              <w:ind w:left="-62"/>
              <w:jc w:val="left"/>
              <w:rPr>
                <w:sz w:val="22"/>
                <w:szCs w:val="22"/>
              </w:rPr>
            </w:pPr>
          </w:p>
        </w:tc>
        <w:tc>
          <w:tcPr>
            <w:tcW w:w="7360" w:type="dxa"/>
          </w:tcPr>
          <w:p w14:paraId="6739FDB7" w14:textId="69413C2E" w:rsidR="00E949A5" w:rsidRPr="008F1784" w:rsidRDefault="00E949A5" w:rsidP="0085611C">
            <w:pPr>
              <w:keepLines w:val="0"/>
              <w:widowControl w:val="0"/>
              <w:spacing w:before="60" w:after="60"/>
              <w:ind w:left="-62"/>
              <w:jc w:val="left"/>
              <w:rPr>
                <w:sz w:val="22"/>
                <w:szCs w:val="22"/>
              </w:rPr>
            </w:pPr>
            <w:r w:rsidRPr="008F1784">
              <w:rPr>
                <w:sz w:val="22"/>
                <w:szCs w:val="22"/>
              </w:rPr>
              <w:t xml:space="preserve">Injection 40 mg in 0.8 mL pre-filled syringe </w:t>
            </w:r>
            <w:r w:rsidRPr="008F1784">
              <w:rPr>
                <w:i/>
                <w:iCs/>
                <w:sz w:val="22"/>
                <w:szCs w:val="22"/>
              </w:rPr>
              <w:t>(</w:t>
            </w:r>
            <w:proofErr w:type="spellStart"/>
            <w:r w:rsidRPr="008F1784">
              <w:rPr>
                <w:i/>
                <w:iCs/>
                <w:sz w:val="22"/>
                <w:szCs w:val="22"/>
              </w:rPr>
              <w:t>Abrilada</w:t>
            </w:r>
            <w:proofErr w:type="spellEnd"/>
            <w:r w:rsidRPr="008F1784">
              <w:rPr>
                <w:i/>
                <w:iCs/>
                <w:sz w:val="22"/>
                <w:szCs w:val="22"/>
              </w:rPr>
              <w:t>)</w:t>
            </w:r>
          </w:p>
        </w:tc>
      </w:tr>
      <w:tr w:rsidR="00D92F47" w:rsidRPr="008F1784" w14:paraId="6D63D187" w14:textId="77777777" w:rsidTr="00E949A5">
        <w:trPr>
          <w:trHeight w:val="369"/>
        </w:trPr>
        <w:tc>
          <w:tcPr>
            <w:tcW w:w="2268" w:type="dxa"/>
          </w:tcPr>
          <w:p w14:paraId="4592E31D" w14:textId="70EC35ED" w:rsidR="00D92F47" w:rsidRPr="008F1784" w:rsidRDefault="00D92F47" w:rsidP="00D92F47">
            <w:pPr>
              <w:keepLines w:val="0"/>
              <w:spacing w:before="60" w:after="0"/>
              <w:ind w:left="-62"/>
              <w:jc w:val="left"/>
              <w:rPr>
                <w:sz w:val="22"/>
                <w:szCs w:val="22"/>
              </w:rPr>
            </w:pPr>
            <w:r w:rsidRPr="008F1784">
              <w:rPr>
                <w:sz w:val="22"/>
                <w:szCs w:val="22"/>
              </w:rPr>
              <w:t>Tadalafil</w:t>
            </w:r>
          </w:p>
        </w:tc>
        <w:tc>
          <w:tcPr>
            <w:tcW w:w="7360" w:type="dxa"/>
          </w:tcPr>
          <w:p w14:paraId="2F1FAE05" w14:textId="46EF8C68" w:rsidR="00D92F47" w:rsidRPr="008F1784" w:rsidRDefault="00D92F47" w:rsidP="00D92F47">
            <w:pPr>
              <w:keepLines w:val="0"/>
              <w:widowControl w:val="0"/>
              <w:spacing w:before="60" w:after="60"/>
              <w:ind w:left="-62"/>
              <w:jc w:val="left"/>
              <w:rPr>
                <w:sz w:val="22"/>
                <w:szCs w:val="22"/>
              </w:rPr>
            </w:pPr>
            <w:r w:rsidRPr="008F1784">
              <w:rPr>
                <w:sz w:val="22"/>
                <w:szCs w:val="22"/>
              </w:rPr>
              <w:t xml:space="preserve">Tablet 20 mg </w:t>
            </w:r>
            <w:r w:rsidRPr="008F1784">
              <w:rPr>
                <w:i/>
                <w:iCs/>
                <w:sz w:val="22"/>
                <w:szCs w:val="22"/>
              </w:rPr>
              <w:t>(</w:t>
            </w:r>
            <w:proofErr w:type="spellStart"/>
            <w:r w:rsidRPr="008F1784">
              <w:rPr>
                <w:i/>
                <w:iCs/>
                <w:sz w:val="22"/>
                <w:szCs w:val="22"/>
              </w:rPr>
              <w:t>Tadalis</w:t>
            </w:r>
            <w:proofErr w:type="spellEnd"/>
            <w:r w:rsidRPr="008F1784">
              <w:rPr>
                <w:i/>
                <w:iCs/>
                <w:sz w:val="22"/>
                <w:szCs w:val="22"/>
              </w:rPr>
              <w:t xml:space="preserve"> 20)</w:t>
            </w:r>
          </w:p>
        </w:tc>
      </w:tr>
      <w:tr w:rsidR="00E949A5" w:rsidRPr="008F1784" w14:paraId="5652A8A0" w14:textId="77777777" w:rsidTr="00E949A5">
        <w:trPr>
          <w:trHeight w:val="369"/>
        </w:trPr>
        <w:tc>
          <w:tcPr>
            <w:tcW w:w="2268" w:type="dxa"/>
          </w:tcPr>
          <w:p w14:paraId="105A28BE" w14:textId="366F1DD8" w:rsidR="00E949A5" w:rsidRPr="008F1784" w:rsidRDefault="00E949A5" w:rsidP="00266937">
            <w:pPr>
              <w:keepLines w:val="0"/>
              <w:spacing w:before="60" w:after="0"/>
              <w:ind w:left="-62"/>
              <w:jc w:val="left"/>
              <w:rPr>
                <w:sz w:val="22"/>
                <w:szCs w:val="22"/>
              </w:rPr>
            </w:pPr>
            <w:r w:rsidRPr="008F1784">
              <w:rPr>
                <w:sz w:val="22"/>
                <w:szCs w:val="22"/>
              </w:rPr>
              <w:t>Tenofovir</w:t>
            </w:r>
          </w:p>
        </w:tc>
        <w:tc>
          <w:tcPr>
            <w:tcW w:w="7360" w:type="dxa"/>
          </w:tcPr>
          <w:p w14:paraId="6DD9C475" w14:textId="634B7E54" w:rsidR="00E949A5" w:rsidRPr="008F1784" w:rsidRDefault="00E949A5" w:rsidP="0085611C">
            <w:pPr>
              <w:keepLines w:val="0"/>
              <w:widowControl w:val="0"/>
              <w:spacing w:before="60" w:after="60"/>
              <w:ind w:left="-62"/>
              <w:jc w:val="left"/>
              <w:rPr>
                <w:sz w:val="22"/>
                <w:szCs w:val="22"/>
              </w:rPr>
            </w:pPr>
            <w:r w:rsidRPr="008F1784">
              <w:rPr>
                <w:sz w:val="22"/>
                <w:szCs w:val="22"/>
              </w:rPr>
              <w:t xml:space="preserve">Tablet containing tenofovir disoproxil fumarate 300 mg </w:t>
            </w:r>
            <w:r w:rsidRPr="008F1784">
              <w:rPr>
                <w:i/>
                <w:iCs/>
                <w:sz w:val="22"/>
                <w:szCs w:val="22"/>
              </w:rPr>
              <w:t>(TENOFOVIR ARX)</w:t>
            </w:r>
          </w:p>
        </w:tc>
      </w:tr>
      <w:tr w:rsidR="00E949A5" w:rsidRPr="008F1784" w14:paraId="43885512" w14:textId="77777777" w:rsidTr="00E949A5">
        <w:trPr>
          <w:trHeight w:val="369"/>
        </w:trPr>
        <w:tc>
          <w:tcPr>
            <w:tcW w:w="2268" w:type="dxa"/>
          </w:tcPr>
          <w:p w14:paraId="129BC552" w14:textId="30B2218D" w:rsidR="00E949A5" w:rsidRPr="008F1784" w:rsidRDefault="00E949A5" w:rsidP="00266937">
            <w:pPr>
              <w:keepLines w:val="0"/>
              <w:spacing w:before="60" w:after="0"/>
              <w:ind w:left="-62"/>
              <w:jc w:val="left"/>
              <w:rPr>
                <w:sz w:val="22"/>
                <w:szCs w:val="22"/>
              </w:rPr>
            </w:pPr>
            <w:r w:rsidRPr="008F1784">
              <w:rPr>
                <w:sz w:val="22"/>
                <w:szCs w:val="22"/>
              </w:rPr>
              <w:t>Zoledronic acid</w:t>
            </w:r>
          </w:p>
        </w:tc>
        <w:tc>
          <w:tcPr>
            <w:tcW w:w="7360" w:type="dxa"/>
          </w:tcPr>
          <w:p w14:paraId="7CEDA2B8" w14:textId="4725F79D" w:rsidR="00E949A5" w:rsidRPr="008F1784" w:rsidRDefault="00E949A5" w:rsidP="0085611C">
            <w:pPr>
              <w:keepLines w:val="0"/>
              <w:widowControl w:val="0"/>
              <w:spacing w:before="60" w:after="60"/>
              <w:ind w:left="-62"/>
              <w:jc w:val="left"/>
              <w:rPr>
                <w:sz w:val="22"/>
                <w:szCs w:val="22"/>
              </w:rPr>
            </w:pPr>
            <w:r w:rsidRPr="008F1784">
              <w:rPr>
                <w:sz w:val="22"/>
                <w:szCs w:val="22"/>
              </w:rPr>
              <w:t xml:space="preserve">Injection concentrate for I.V. infusion 4 mg (as monohydrate) in 5 mL </w:t>
            </w:r>
            <w:r w:rsidRPr="008F1784">
              <w:rPr>
                <w:i/>
                <w:iCs/>
                <w:sz w:val="22"/>
                <w:szCs w:val="22"/>
              </w:rPr>
              <w:t>(DEZTRON)</w:t>
            </w:r>
          </w:p>
        </w:tc>
      </w:tr>
    </w:tbl>
    <w:p w14:paraId="15057FB0" w14:textId="086AB66D" w:rsidR="00E949A5" w:rsidRPr="008F1784" w:rsidRDefault="00E949A5" w:rsidP="00E949A5">
      <w:pPr>
        <w:keepLines w:val="0"/>
        <w:spacing w:before="240" w:after="0"/>
        <w:jc w:val="left"/>
        <w:rPr>
          <w:b/>
          <w:sz w:val="24"/>
          <w:szCs w:val="24"/>
        </w:rPr>
      </w:pPr>
      <w:r w:rsidRPr="008F1784">
        <w:rPr>
          <w:b/>
          <w:sz w:val="24"/>
          <w:szCs w:val="24"/>
        </w:rPr>
        <w:t>Brands Deleted</w:t>
      </w:r>
    </w:p>
    <w:tbl>
      <w:tblPr>
        <w:tblStyle w:val="TableGrid8"/>
        <w:tblW w:w="9628" w:type="dxa"/>
        <w:tblLayout w:type="fixed"/>
        <w:tblCellMar>
          <w:top w:w="57" w:type="dxa"/>
          <w:left w:w="57" w:type="dxa"/>
          <w:bottom w:w="57" w:type="dxa"/>
          <w:right w:w="57" w:type="dxa"/>
        </w:tblCellMar>
        <w:tblLook w:val="04A0" w:firstRow="1" w:lastRow="0" w:firstColumn="1" w:lastColumn="0" w:noHBand="0" w:noVBand="1"/>
      </w:tblPr>
      <w:tblGrid>
        <w:gridCol w:w="2268"/>
        <w:gridCol w:w="7360"/>
      </w:tblGrid>
      <w:tr w:rsidR="00E949A5" w:rsidRPr="008F1784" w14:paraId="643C9E2E" w14:textId="77777777" w:rsidTr="00E949A5">
        <w:trPr>
          <w:trHeight w:val="369"/>
        </w:trPr>
        <w:tc>
          <w:tcPr>
            <w:tcW w:w="2268" w:type="dxa"/>
          </w:tcPr>
          <w:p w14:paraId="0F003E95" w14:textId="77777777" w:rsidR="00E949A5" w:rsidRPr="008F1784" w:rsidRDefault="00E949A5" w:rsidP="00B764AE">
            <w:pPr>
              <w:keepLines w:val="0"/>
              <w:spacing w:before="60" w:after="0"/>
              <w:ind w:left="-62"/>
              <w:jc w:val="left"/>
              <w:rPr>
                <w:sz w:val="22"/>
                <w:szCs w:val="22"/>
              </w:rPr>
            </w:pPr>
            <w:r w:rsidRPr="008F1784">
              <w:rPr>
                <w:b/>
                <w:i/>
                <w:sz w:val="22"/>
                <w:szCs w:val="22"/>
              </w:rPr>
              <w:t>Listed Drug</w:t>
            </w:r>
          </w:p>
        </w:tc>
        <w:tc>
          <w:tcPr>
            <w:tcW w:w="7360" w:type="dxa"/>
          </w:tcPr>
          <w:p w14:paraId="176DA416" w14:textId="77777777" w:rsidR="00E949A5" w:rsidRPr="008F1784" w:rsidRDefault="00E949A5" w:rsidP="00B764AE">
            <w:pPr>
              <w:keepLines w:val="0"/>
              <w:widowControl w:val="0"/>
              <w:spacing w:before="60" w:after="60"/>
              <w:ind w:left="-62"/>
              <w:jc w:val="left"/>
              <w:rPr>
                <w:i/>
                <w:iCs/>
                <w:sz w:val="22"/>
                <w:szCs w:val="22"/>
              </w:rPr>
            </w:pPr>
            <w:r w:rsidRPr="008F1784">
              <w:rPr>
                <w:b/>
                <w:i/>
                <w:sz w:val="22"/>
                <w:szCs w:val="22"/>
              </w:rPr>
              <w:t>Form and Brand</w:t>
            </w:r>
          </w:p>
        </w:tc>
      </w:tr>
      <w:tr w:rsidR="00E949A5" w:rsidRPr="008F1784" w14:paraId="221AA9F1" w14:textId="77777777" w:rsidTr="00E949A5">
        <w:trPr>
          <w:trHeight w:val="369"/>
        </w:trPr>
        <w:tc>
          <w:tcPr>
            <w:tcW w:w="2268" w:type="dxa"/>
          </w:tcPr>
          <w:p w14:paraId="048D41C7" w14:textId="7DB29696" w:rsidR="00E949A5" w:rsidRPr="008F1784" w:rsidRDefault="00E949A5" w:rsidP="00B764AE">
            <w:pPr>
              <w:keepLines w:val="0"/>
              <w:spacing w:before="60" w:after="0"/>
              <w:ind w:left="-62"/>
              <w:jc w:val="left"/>
              <w:rPr>
                <w:sz w:val="22"/>
                <w:szCs w:val="22"/>
              </w:rPr>
            </w:pPr>
            <w:proofErr w:type="spellStart"/>
            <w:r w:rsidRPr="008F1784">
              <w:rPr>
                <w:sz w:val="22"/>
                <w:szCs w:val="22"/>
              </w:rPr>
              <w:t>Bosentan</w:t>
            </w:r>
            <w:proofErr w:type="spellEnd"/>
          </w:p>
        </w:tc>
        <w:tc>
          <w:tcPr>
            <w:tcW w:w="7360" w:type="dxa"/>
          </w:tcPr>
          <w:p w14:paraId="3A211475" w14:textId="3DCB6FEB" w:rsidR="00E949A5" w:rsidRPr="008F1784" w:rsidRDefault="00E949A5" w:rsidP="00B764AE">
            <w:pPr>
              <w:keepLines w:val="0"/>
              <w:widowControl w:val="0"/>
              <w:spacing w:before="60" w:after="60"/>
              <w:ind w:left="-62"/>
              <w:jc w:val="left"/>
              <w:rPr>
                <w:i/>
                <w:iCs/>
                <w:sz w:val="22"/>
                <w:szCs w:val="22"/>
              </w:rPr>
            </w:pPr>
            <w:r w:rsidRPr="008F1784">
              <w:rPr>
                <w:sz w:val="22"/>
                <w:szCs w:val="22"/>
              </w:rPr>
              <w:t xml:space="preserve">Tablet 125 mg (as monohydrate) </w:t>
            </w:r>
            <w:r w:rsidRPr="008F1784">
              <w:rPr>
                <w:i/>
                <w:iCs/>
                <w:sz w:val="22"/>
                <w:szCs w:val="22"/>
              </w:rPr>
              <w:t>(</w:t>
            </w:r>
            <w:proofErr w:type="spellStart"/>
            <w:r w:rsidRPr="008F1784">
              <w:rPr>
                <w:i/>
                <w:iCs/>
                <w:sz w:val="22"/>
                <w:szCs w:val="22"/>
              </w:rPr>
              <w:t>Bosentan</w:t>
            </w:r>
            <w:proofErr w:type="spellEnd"/>
            <w:r w:rsidRPr="008F1784">
              <w:rPr>
                <w:i/>
                <w:iCs/>
                <w:sz w:val="22"/>
                <w:szCs w:val="22"/>
              </w:rPr>
              <w:t xml:space="preserve"> Cipla)</w:t>
            </w:r>
          </w:p>
        </w:tc>
      </w:tr>
      <w:tr w:rsidR="00E949A5" w:rsidRPr="008F1784" w14:paraId="2B7E4521" w14:textId="77777777" w:rsidTr="00E949A5">
        <w:trPr>
          <w:trHeight w:val="369"/>
        </w:trPr>
        <w:tc>
          <w:tcPr>
            <w:tcW w:w="2268" w:type="dxa"/>
          </w:tcPr>
          <w:p w14:paraId="73F6496E" w14:textId="7B59BE93" w:rsidR="00E949A5" w:rsidRPr="008F1784" w:rsidRDefault="00E949A5" w:rsidP="00B764AE">
            <w:pPr>
              <w:keepLines w:val="0"/>
              <w:spacing w:before="60" w:after="0"/>
              <w:ind w:left="-62"/>
              <w:jc w:val="left"/>
              <w:rPr>
                <w:sz w:val="22"/>
                <w:szCs w:val="22"/>
              </w:rPr>
            </w:pPr>
            <w:r w:rsidRPr="008F1784">
              <w:rPr>
                <w:sz w:val="22"/>
                <w:szCs w:val="22"/>
              </w:rPr>
              <w:t>Cinacalcet</w:t>
            </w:r>
          </w:p>
        </w:tc>
        <w:tc>
          <w:tcPr>
            <w:tcW w:w="7360" w:type="dxa"/>
          </w:tcPr>
          <w:p w14:paraId="4A6BFAB8" w14:textId="69D23CFA" w:rsidR="00E949A5" w:rsidRPr="008F1784" w:rsidRDefault="00E949A5" w:rsidP="00B764AE">
            <w:pPr>
              <w:keepLines w:val="0"/>
              <w:widowControl w:val="0"/>
              <w:spacing w:before="60" w:after="60"/>
              <w:ind w:left="-62"/>
              <w:jc w:val="left"/>
              <w:rPr>
                <w:sz w:val="22"/>
                <w:szCs w:val="22"/>
              </w:rPr>
            </w:pPr>
            <w:r w:rsidRPr="008F1784">
              <w:rPr>
                <w:sz w:val="22"/>
                <w:szCs w:val="22"/>
              </w:rPr>
              <w:t xml:space="preserve">Tablet 90 mg (as hydrochloride) </w:t>
            </w:r>
            <w:r w:rsidRPr="008F1784">
              <w:rPr>
                <w:i/>
                <w:iCs/>
                <w:sz w:val="22"/>
                <w:szCs w:val="22"/>
              </w:rPr>
              <w:t>(Cinacalcet Mylan)</w:t>
            </w:r>
          </w:p>
        </w:tc>
      </w:tr>
      <w:tr w:rsidR="00E949A5" w:rsidRPr="008F1784" w14:paraId="3EA12209" w14:textId="77777777" w:rsidTr="00E949A5">
        <w:trPr>
          <w:trHeight w:val="369"/>
        </w:trPr>
        <w:tc>
          <w:tcPr>
            <w:tcW w:w="2268" w:type="dxa"/>
            <w:vMerge w:val="restart"/>
          </w:tcPr>
          <w:p w14:paraId="7D511941" w14:textId="6D5F739B" w:rsidR="00E949A5" w:rsidRPr="008F1784" w:rsidRDefault="00E949A5" w:rsidP="00B764AE">
            <w:pPr>
              <w:keepLines w:val="0"/>
              <w:spacing w:before="60" w:after="0"/>
              <w:ind w:left="-62"/>
              <w:jc w:val="left"/>
              <w:rPr>
                <w:sz w:val="22"/>
                <w:szCs w:val="22"/>
              </w:rPr>
            </w:pPr>
            <w:r w:rsidRPr="008F1784">
              <w:rPr>
                <w:sz w:val="22"/>
                <w:szCs w:val="22"/>
              </w:rPr>
              <w:t>Mycophenolic acid</w:t>
            </w:r>
          </w:p>
        </w:tc>
        <w:tc>
          <w:tcPr>
            <w:tcW w:w="7360" w:type="dxa"/>
          </w:tcPr>
          <w:p w14:paraId="2B42D990" w14:textId="1105960B" w:rsidR="00E949A5" w:rsidRPr="008F1784" w:rsidRDefault="00E949A5" w:rsidP="00B764AE">
            <w:pPr>
              <w:keepLines w:val="0"/>
              <w:widowControl w:val="0"/>
              <w:spacing w:before="60" w:after="60"/>
              <w:ind w:left="-62"/>
              <w:jc w:val="left"/>
              <w:rPr>
                <w:sz w:val="22"/>
                <w:szCs w:val="22"/>
              </w:rPr>
            </w:pPr>
            <w:r w:rsidRPr="008F1784">
              <w:rPr>
                <w:sz w:val="22"/>
                <w:szCs w:val="22"/>
              </w:rPr>
              <w:t xml:space="preserve">Capsule containing mycophenolate mofetil 250 mg </w:t>
            </w:r>
            <w:r w:rsidRPr="008F1784">
              <w:rPr>
                <w:i/>
                <w:iCs/>
                <w:sz w:val="22"/>
                <w:szCs w:val="22"/>
              </w:rPr>
              <w:t>(</w:t>
            </w:r>
            <w:proofErr w:type="spellStart"/>
            <w:r w:rsidRPr="008F1784">
              <w:rPr>
                <w:i/>
                <w:iCs/>
                <w:sz w:val="22"/>
                <w:szCs w:val="22"/>
              </w:rPr>
              <w:t>CellCept</w:t>
            </w:r>
            <w:proofErr w:type="spellEnd"/>
            <w:r w:rsidRPr="008F1784">
              <w:rPr>
                <w:i/>
                <w:iCs/>
                <w:sz w:val="22"/>
                <w:szCs w:val="22"/>
              </w:rPr>
              <w:t>)</w:t>
            </w:r>
          </w:p>
        </w:tc>
      </w:tr>
      <w:tr w:rsidR="00E949A5" w:rsidRPr="008F1784" w14:paraId="786A0F7E" w14:textId="77777777" w:rsidTr="00E949A5">
        <w:trPr>
          <w:trHeight w:val="369"/>
        </w:trPr>
        <w:tc>
          <w:tcPr>
            <w:tcW w:w="2268" w:type="dxa"/>
            <w:vMerge/>
          </w:tcPr>
          <w:p w14:paraId="220BCE43" w14:textId="77777777" w:rsidR="00E949A5" w:rsidRPr="008F1784" w:rsidRDefault="00E949A5" w:rsidP="00B764AE">
            <w:pPr>
              <w:keepLines w:val="0"/>
              <w:spacing w:before="60" w:after="0"/>
              <w:ind w:left="-62"/>
              <w:jc w:val="left"/>
              <w:rPr>
                <w:sz w:val="22"/>
                <w:szCs w:val="22"/>
              </w:rPr>
            </w:pPr>
          </w:p>
        </w:tc>
        <w:tc>
          <w:tcPr>
            <w:tcW w:w="7360" w:type="dxa"/>
          </w:tcPr>
          <w:p w14:paraId="39F49E4F" w14:textId="00845EB7" w:rsidR="00E949A5" w:rsidRPr="008F1784" w:rsidRDefault="00E949A5" w:rsidP="00B764AE">
            <w:pPr>
              <w:keepLines w:val="0"/>
              <w:widowControl w:val="0"/>
              <w:spacing w:before="60" w:after="60"/>
              <w:ind w:left="-62"/>
              <w:jc w:val="left"/>
              <w:rPr>
                <w:sz w:val="22"/>
                <w:szCs w:val="22"/>
              </w:rPr>
            </w:pPr>
            <w:r w:rsidRPr="008F1784">
              <w:rPr>
                <w:sz w:val="22"/>
                <w:szCs w:val="22"/>
              </w:rPr>
              <w:t xml:space="preserve">Tablet containing mycophenolate mofetil 500 mg </w:t>
            </w:r>
            <w:r w:rsidRPr="008F1784">
              <w:rPr>
                <w:i/>
                <w:iCs/>
                <w:sz w:val="22"/>
                <w:szCs w:val="22"/>
              </w:rPr>
              <w:t>(</w:t>
            </w:r>
            <w:proofErr w:type="spellStart"/>
            <w:r w:rsidRPr="008F1784">
              <w:rPr>
                <w:i/>
                <w:iCs/>
                <w:sz w:val="22"/>
                <w:szCs w:val="22"/>
              </w:rPr>
              <w:t>CellCept</w:t>
            </w:r>
            <w:proofErr w:type="spellEnd"/>
            <w:r w:rsidRPr="008F1784">
              <w:rPr>
                <w:i/>
                <w:iCs/>
                <w:sz w:val="22"/>
                <w:szCs w:val="22"/>
              </w:rPr>
              <w:t>)</w:t>
            </w:r>
          </w:p>
        </w:tc>
      </w:tr>
      <w:tr w:rsidR="00E949A5" w:rsidRPr="008F1784" w14:paraId="2B101A57" w14:textId="77777777" w:rsidTr="00E949A5">
        <w:trPr>
          <w:trHeight w:val="369"/>
        </w:trPr>
        <w:tc>
          <w:tcPr>
            <w:tcW w:w="2268" w:type="dxa"/>
          </w:tcPr>
          <w:p w14:paraId="5297026F" w14:textId="74F5AC8F" w:rsidR="00E949A5" w:rsidRPr="008F1784" w:rsidRDefault="00E949A5" w:rsidP="00B764AE">
            <w:pPr>
              <w:keepLines w:val="0"/>
              <w:spacing w:before="60" w:after="0"/>
              <w:ind w:left="-62"/>
              <w:jc w:val="left"/>
              <w:rPr>
                <w:sz w:val="22"/>
                <w:szCs w:val="22"/>
              </w:rPr>
            </w:pPr>
            <w:r w:rsidRPr="008F1784">
              <w:rPr>
                <w:sz w:val="22"/>
                <w:szCs w:val="22"/>
              </w:rPr>
              <w:t>Valganciclovir</w:t>
            </w:r>
          </w:p>
        </w:tc>
        <w:tc>
          <w:tcPr>
            <w:tcW w:w="7360" w:type="dxa"/>
          </w:tcPr>
          <w:p w14:paraId="0645490D" w14:textId="3ACC2A12" w:rsidR="00E949A5" w:rsidRPr="008F1784" w:rsidRDefault="00E949A5" w:rsidP="00B764AE">
            <w:pPr>
              <w:keepLines w:val="0"/>
              <w:widowControl w:val="0"/>
              <w:spacing w:before="60" w:after="60"/>
              <w:ind w:left="-62"/>
              <w:jc w:val="left"/>
              <w:rPr>
                <w:sz w:val="22"/>
                <w:szCs w:val="22"/>
              </w:rPr>
            </w:pPr>
            <w:r w:rsidRPr="008F1784">
              <w:rPr>
                <w:sz w:val="22"/>
                <w:szCs w:val="22"/>
              </w:rPr>
              <w:t xml:space="preserve">Tablet 450 mg (as hydrochloride) </w:t>
            </w:r>
            <w:r w:rsidRPr="008F1784">
              <w:rPr>
                <w:i/>
                <w:iCs/>
                <w:sz w:val="22"/>
                <w:szCs w:val="22"/>
              </w:rPr>
              <w:t>(VALGANCICLOVIR HETERO)</w:t>
            </w:r>
          </w:p>
        </w:tc>
      </w:tr>
    </w:tbl>
    <w:p w14:paraId="15A09154" w14:textId="6B509A0D" w:rsidR="00F11C48" w:rsidRPr="008F1784" w:rsidRDefault="00F11C48" w:rsidP="00F844E0">
      <w:pPr>
        <w:keepLines w:val="0"/>
        <w:spacing w:before="240" w:after="0"/>
        <w:jc w:val="left"/>
        <w:rPr>
          <w:b/>
          <w:sz w:val="24"/>
          <w:szCs w:val="24"/>
        </w:rPr>
      </w:pPr>
      <w:r w:rsidRPr="008F1784">
        <w:rPr>
          <w:b/>
          <w:sz w:val="24"/>
          <w:szCs w:val="24"/>
        </w:rPr>
        <w:t xml:space="preserve">Alteration of Circumstances in Which a Prescription May be </w:t>
      </w:r>
      <w:proofErr w:type="gramStart"/>
      <w:r w:rsidRPr="008F1784">
        <w:rPr>
          <w:b/>
          <w:sz w:val="24"/>
          <w:szCs w:val="24"/>
        </w:rPr>
        <w:t>Written</w:t>
      </w:r>
      <w:proofErr w:type="gramEnd"/>
    </w:p>
    <w:tbl>
      <w:tblPr>
        <w:tblStyle w:val="TableGrid"/>
        <w:tblW w:w="82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4111"/>
        <w:gridCol w:w="4111"/>
      </w:tblGrid>
      <w:tr w:rsidR="00960B78" w:rsidRPr="008F1784" w14:paraId="6AA4B0F1" w14:textId="123CD508" w:rsidTr="00960B78">
        <w:trPr>
          <w:trHeight w:val="295"/>
        </w:trPr>
        <w:tc>
          <w:tcPr>
            <w:tcW w:w="4111" w:type="dxa"/>
          </w:tcPr>
          <w:p w14:paraId="1521AF9E" w14:textId="77777777" w:rsidR="00960B78" w:rsidRPr="008F1784" w:rsidRDefault="00960B78" w:rsidP="00AC48B6">
            <w:pPr>
              <w:keepLines w:val="0"/>
              <w:spacing w:before="60" w:after="0"/>
              <w:ind w:left="-62"/>
              <w:jc w:val="left"/>
              <w:rPr>
                <w:bCs/>
                <w:iCs/>
                <w:sz w:val="22"/>
                <w:szCs w:val="22"/>
              </w:rPr>
            </w:pPr>
            <w:r w:rsidRPr="008F1784">
              <w:rPr>
                <w:b/>
                <w:i/>
                <w:sz w:val="22"/>
                <w:szCs w:val="22"/>
              </w:rPr>
              <w:t>Listed Drug</w:t>
            </w:r>
          </w:p>
        </w:tc>
        <w:tc>
          <w:tcPr>
            <w:tcW w:w="4111" w:type="dxa"/>
          </w:tcPr>
          <w:p w14:paraId="42C546C8" w14:textId="77777777" w:rsidR="00960B78" w:rsidRPr="008F1784" w:rsidRDefault="00960B78" w:rsidP="00AC48B6">
            <w:pPr>
              <w:keepLines w:val="0"/>
              <w:spacing w:before="60" w:after="0"/>
              <w:ind w:left="-62"/>
              <w:jc w:val="left"/>
              <w:rPr>
                <w:b/>
                <w:i/>
                <w:sz w:val="22"/>
                <w:szCs w:val="22"/>
              </w:rPr>
            </w:pPr>
          </w:p>
        </w:tc>
      </w:tr>
      <w:tr w:rsidR="00960B78" w:rsidRPr="008F1784" w14:paraId="7A82BCDE" w14:textId="25394D4F" w:rsidTr="00960B78">
        <w:trPr>
          <w:trHeight w:val="295"/>
        </w:trPr>
        <w:tc>
          <w:tcPr>
            <w:tcW w:w="4111" w:type="dxa"/>
            <w:shd w:val="clear" w:color="auto" w:fill="auto"/>
          </w:tcPr>
          <w:p w14:paraId="64D5D614" w14:textId="2DE6C1C4" w:rsidR="00960B78" w:rsidRPr="008F1784" w:rsidRDefault="00E949A5" w:rsidP="00960B78">
            <w:pPr>
              <w:keepLines w:val="0"/>
              <w:spacing w:before="60" w:after="0"/>
              <w:ind w:left="-62"/>
              <w:jc w:val="left"/>
              <w:rPr>
                <w:sz w:val="22"/>
                <w:szCs w:val="22"/>
              </w:rPr>
            </w:pPr>
            <w:r w:rsidRPr="008F1784">
              <w:rPr>
                <w:sz w:val="22"/>
                <w:szCs w:val="22"/>
              </w:rPr>
              <w:t>Onasemnogene abeparvovec</w:t>
            </w:r>
          </w:p>
        </w:tc>
        <w:tc>
          <w:tcPr>
            <w:tcW w:w="4111" w:type="dxa"/>
          </w:tcPr>
          <w:p w14:paraId="2257A3B2" w14:textId="064E2970" w:rsidR="00960B78" w:rsidRPr="008F1784" w:rsidRDefault="00960B78" w:rsidP="00960B78">
            <w:pPr>
              <w:keepLines w:val="0"/>
              <w:spacing w:before="60" w:after="0"/>
              <w:ind w:left="-62"/>
              <w:jc w:val="left"/>
              <w:rPr>
                <w:sz w:val="22"/>
                <w:szCs w:val="22"/>
              </w:rPr>
            </w:pPr>
          </w:p>
        </w:tc>
      </w:tr>
      <w:tr w:rsidR="00960B78" w:rsidRPr="008F1784" w14:paraId="7D8E2677" w14:textId="172FAEE5" w:rsidTr="00960B78">
        <w:trPr>
          <w:trHeight w:val="295"/>
        </w:trPr>
        <w:tc>
          <w:tcPr>
            <w:tcW w:w="4111" w:type="dxa"/>
            <w:shd w:val="clear" w:color="auto" w:fill="auto"/>
          </w:tcPr>
          <w:p w14:paraId="6D0F431A" w14:textId="138988CD" w:rsidR="00960B78" w:rsidRPr="008F1784" w:rsidRDefault="00E949A5" w:rsidP="00960B78">
            <w:pPr>
              <w:keepLines w:val="0"/>
              <w:spacing w:before="60" w:after="0"/>
              <w:ind w:left="-62"/>
              <w:jc w:val="left"/>
              <w:rPr>
                <w:sz w:val="22"/>
                <w:szCs w:val="22"/>
              </w:rPr>
            </w:pPr>
            <w:r w:rsidRPr="008F1784">
              <w:rPr>
                <w:sz w:val="22"/>
                <w:szCs w:val="22"/>
              </w:rPr>
              <w:t>Tadalafil</w:t>
            </w:r>
          </w:p>
        </w:tc>
        <w:tc>
          <w:tcPr>
            <w:tcW w:w="4111" w:type="dxa"/>
          </w:tcPr>
          <w:p w14:paraId="1B5548C2" w14:textId="1535EA07" w:rsidR="00960B78" w:rsidRPr="008F1784" w:rsidRDefault="00960B78" w:rsidP="00960B78">
            <w:pPr>
              <w:keepLines w:val="0"/>
              <w:spacing w:before="60" w:after="0"/>
              <w:ind w:left="-62"/>
              <w:jc w:val="left"/>
              <w:rPr>
                <w:sz w:val="22"/>
                <w:szCs w:val="22"/>
              </w:rPr>
            </w:pPr>
          </w:p>
        </w:tc>
      </w:tr>
    </w:tbl>
    <w:p w14:paraId="04DE53EF" w14:textId="15E12CE6" w:rsidR="00BB6CD7" w:rsidRPr="008F1784" w:rsidRDefault="00BB6CD7" w:rsidP="004D7A04">
      <w:pPr>
        <w:keepLines w:val="0"/>
        <w:widowControl w:val="0"/>
        <w:spacing w:before="240" w:after="0"/>
        <w:jc w:val="left"/>
        <w:rPr>
          <w:b/>
          <w:sz w:val="24"/>
          <w:szCs w:val="24"/>
        </w:rPr>
      </w:pPr>
      <w:r w:rsidRPr="008F1784">
        <w:rPr>
          <w:b/>
          <w:sz w:val="24"/>
          <w:szCs w:val="24"/>
        </w:rPr>
        <w:t>Documents Incorporated by Reference</w:t>
      </w:r>
    </w:p>
    <w:tbl>
      <w:tblPr>
        <w:tblStyle w:val="TableGrid"/>
        <w:tblW w:w="518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1E0" w:firstRow="1" w:lastRow="1" w:firstColumn="1" w:lastColumn="1" w:noHBand="0" w:noVBand="0"/>
      </w:tblPr>
      <w:tblGrid>
        <w:gridCol w:w="1584"/>
        <w:gridCol w:w="4031"/>
        <w:gridCol w:w="3743"/>
      </w:tblGrid>
      <w:tr w:rsidR="00BB6CD7" w:rsidRPr="008F1784" w14:paraId="2F7FCC41" w14:textId="77777777" w:rsidTr="004D7A04">
        <w:trPr>
          <w:trHeight w:val="340"/>
        </w:trPr>
        <w:tc>
          <w:tcPr>
            <w:tcW w:w="846" w:type="pct"/>
            <w:shd w:val="clear" w:color="auto" w:fill="auto"/>
          </w:tcPr>
          <w:p w14:paraId="6046999E" w14:textId="77777777" w:rsidR="00BB6CD7" w:rsidRPr="008F1784" w:rsidRDefault="00BB6CD7" w:rsidP="006B0DB9">
            <w:pPr>
              <w:keepLines w:val="0"/>
              <w:widowControl w:val="0"/>
              <w:spacing w:before="60" w:after="0"/>
              <w:ind w:left="-62"/>
              <w:jc w:val="left"/>
              <w:rPr>
                <w:b/>
                <w:bCs/>
                <w:i/>
                <w:iCs/>
                <w:sz w:val="22"/>
                <w:szCs w:val="22"/>
              </w:rPr>
            </w:pPr>
            <w:r w:rsidRPr="008F1784">
              <w:rPr>
                <w:b/>
                <w:bCs/>
                <w:i/>
                <w:iCs/>
                <w:sz w:val="22"/>
                <w:szCs w:val="22"/>
              </w:rPr>
              <w:t>Listed Drug</w:t>
            </w:r>
          </w:p>
        </w:tc>
        <w:tc>
          <w:tcPr>
            <w:tcW w:w="2154" w:type="pct"/>
            <w:shd w:val="clear" w:color="auto" w:fill="auto"/>
          </w:tcPr>
          <w:p w14:paraId="0F80192B" w14:textId="77777777" w:rsidR="00BB6CD7" w:rsidRPr="008F1784" w:rsidRDefault="00BB6CD7" w:rsidP="006B0DB9">
            <w:pPr>
              <w:keepLines w:val="0"/>
              <w:widowControl w:val="0"/>
              <w:spacing w:before="60" w:after="0"/>
              <w:ind w:left="-62"/>
              <w:jc w:val="left"/>
              <w:rPr>
                <w:b/>
                <w:bCs/>
                <w:i/>
                <w:iCs/>
                <w:sz w:val="22"/>
                <w:szCs w:val="22"/>
              </w:rPr>
            </w:pPr>
            <w:r w:rsidRPr="008F1784">
              <w:rPr>
                <w:b/>
                <w:bCs/>
                <w:i/>
                <w:iCs/>
                <w:sz w:val="22"/>
                <w:szCs w:val="22"/>
              </w:rPr>
              <w:t>Document incorporated</w:t>
            </w:r>
          </w:p>
        </w:tc>
        <w:tc>
          <w:tcPr>
            <w:tcW w:w="2000" w:type="pct"/>
            <w:shd w:val="clear" w:color="auto" w:fill="auto"/>
          </w:tcPr>
          <w:p w14:paraId="40524722" w14:textId="77777777" w:rsidR="00BB6CD7" w:rsidRPr="008F1784" w:rsidRDefault="00BB6CD7" w:rsidP="006B0DB9">
            <w:pPr>
              <w:keepLines w:val="0"/>
              <w:widowControl w:val="0"/>
              <w:spacing w:before="60" w:after="0"/>
              <w:jc w:val="left"/>
              <w:rPr>
                <w:b/>
                <w:bCs/>
                <w:i/>
                <w:iCs/>
                <w:sz w:val="22"/>
                <w:szCs w:val="22"/>
              </w:rPr>
            </w:pPr>
            <w:r w:rsidRPr="008F1784">
              <w:rPr>
                <w:b/>
                <w:bCs/>
                <w:i/>
                <w:iCs/>
                <w:sz w:val="22"/>
                <w:szCs w:val="22"/>
              </w:rPr>
              <w:t>Document access</w:t>
            </w:r>
          </w:p>
        </w:tc>
      </w:tr>
      <w:tr w:rsidR="00E92CC8" w:rsidRPr="008F1784" w14:paraId="2434D5EA" w14:textId="77777777" w:rsidTr="004D7A04">
        <w:trPr>
          <w:trHeight w:val="340"/>
        </w:trPr>
        <w:tc>
          <w:tcPr>
            <w:tcW w:w="846" w:type="pct"/>
            <w:shd w:val="clear" w:color="auto" w:fill="auto"/>
          </w:tcPr>
          <w:p w14:paraId="168F6167" w14:textId="77777777" w:rsidR="00334046" w:rsidRPr="008F1784" w:rsidRDefault="00A65521" w:rsidP="006B0DB9">
            <w:pPr>
              <w:keepLines w:val="0"/>
              <w:widowControl w:val="0"/>
              <w:spacing w:before="60" w:after="60"/>
              <w:ind w:left="-62"/>
              <w:jc w:val="left"/>
              <w:rPr>
                <w:bCs/>
                <w:iCs/>
                <w:sz w:val="22"/>
                <w:szCs w:val="22"/>
              </w:rPr>
            </w:pPr>
            <w:r w:rsidRPr="008F1784">
              <w:rPr>
                <w:bCs/>
                <w:iCs/>
                <w:sz w:val="22"/>
                <w:szCs w:val="22"/>
              </w:rPr>
              <w:t>Elexacaftor with tezacaftor and with ivacaftor, and ivacaftor</w:t>
            </w:r>
          </w:p>
          <w:p w14:paraId="49986E18" w14:textId="77777777" w:rsidR="00A65521" w:rsidRPr="008F1784" w:rsidRDefault="00A65521" w:rsidP="006B0DB9">
            <w:pPr>
              <w:keepLines w:val="0"/>
              <w:widowControl w:val="0"/>
              <w:spacing w:before="60" w:after="60"/>
              <w:ind w:left="-62"/>
              <w:jc w:val="left"/>
              <w:rPr>
                <w:bCs/>
                <w:iCs/>
                <w:sz w:val="22"/>
                <w:szCs w:val="22"/>
              </w:rPr>
            </w:pPr>
            <w:r w:rsidRPr="008F1784">
              <w:rPr>
                <w:bCs/>
                <w:iCs/>
                <w:sz w:val="22"/>
                <w:szCs w:val="22"/>
              </w:rPr>
              <w:t>Onasemnogene abeparvovec</w:t>
            </w:r>
          </w:p>
          <w:p w14:paraId="11E7F5D1" w14:textId="77C46123" w:rsidR="004608AB" w:rsidRPr="008F1784" w:rsidRDefault="004608AB" w:rsidP="006B0DB9">
            <w:pPr>
              <w:keepLines w:val="0"/>
              <w:widowControl w:val="0"/>
              <w:spacing w:before="60" w:after="60"/>
              <w:ind w:left="-62"/>
              <w:jc w:val="left"/>
              <w:rPr>
                <w:bCs/>
                <w:iCs/>
                <w:sz w:val="22"/>
                <w:szCs w:val="22"/>
              </w:rPr>
            </w:pPr>
            <w:r w:rsidRPr="008F1784">
              <w:rPr>
                <w:sz w:val="22"/>
                <w:szCs w:val="22"/>
              </w:rPr>
              <w:t>Tadalafil</w:t>
            </w:r>
          </w:p>
        </w:tc>
        <w:tc>
          <w:tcPr>
            <w:tcW w:w="2154" w:type="pct"/>
            <w:shd w:val="clear" w:color="auto" w:fill="auto"/>
          </w:tcPr>
          <w:p w14:paraId="4C4BC90D" w14:textId="77777777" w:rsidR="00E92CC8" w:rsidRPr="008F1784" w:rsidRDefault="00E92CC8" w:rsidP="006B0DB9">
            <w:pPr>
              <w:keepLines w:val="0"/>
              <w:widowControl w:val="0"/>
              <w:spacing w:before="60" w:after="60"/>
              <w:ind w:left="-62"/>
              <w:jc w:val="left"/>
              <w:rPr>
                <w:b/>
                <w:sz w:val="22"/>
                <w:szCs w:val="22"/>
                <w:lang w:val="en-US" w:eastAsia="en-US"/>
              </w:rPr>
            </w:pPr>
            <w:r w:rsidRPr="008F1784">
              <w:rPr>
                <w:b/>
                <w:sz w:val="22"/>
                <w:szCs w:val="22"/>
                <w:lang w:val="en-US" w:eastAsia="en-US"/>
              </w:rPr>
              <w:t>Approved Product Information/Australian Product Information/TGA-approved Product Information.</w:t>
            </w:r>
          </w:p>
          <w:p w14:paraId="126CCCFF" w14:textId="77777777" w:rsidR="00E92CC8" w:rsidRPr="008F1784" w:rsidRDefault="00E92CC8" w:rsidP="006B0DB9">
            <w:pPr>
              <w:keepLines w:val="0"/>
              <w:widowControl w:val="0"/>
              <w:spacing w:before="60" w:after="60"/>
              <w:ind w:left="-62"/>
              <w:jc w:val="left"/>
              <w:rPr>
                <w:bCs/>
                <w:sz w:val="22"/>
                <w:szCs w:val="22"/>
                <w:lang w:val="en-US" w:eastAsia="en-US"/>
              </w:rPr>
            </w:pPr>
            <w:r w:rsidRPr="008F1784">
              <w:rPr>
                <w:bCs/>
                <w:sz w:val="22"/>
                <w:szCs w:val="22"/>
                <w:lang w:val="en-US" w:eastAsia="en-US"/>
              </w:rPr>
              <w:t xml:space="preserve">The document is incorporated as in force on the day this Instrument takes effect, pursuant to paragraph 14(1)(b) of the </w:t>
            </w:r>
            <w:r w:rsidRPr="008F1784">
              <w:rPr>
                <w:bCs/>
                <w:i/>
                <w:iCs/>
                <w:sz w:val="22"/>
                <w:szCs w:val="22"/>
                <w:lang w:val="en-US" w:eastAsia="en-US"/>
              </w:rPr>
              <w:t>Legislation Act 2003.</w:t>
            </w:r>
          </w:p>
          <w:p w14:paraId="0ACDFC38" w14:textId="7300FADF" w:rsidR="00E92CC8" w:rsidRPr="008F1784" w:rsidRDefault="00E92CC8" w:rsidP="006B0DB9">
            <w:pPr>
              <w:keepLines w:val="0"/>
              <w:widowControl w:val="0"/>
              <w:spacing w:before="60" w:after="60"/>
              <w:ind w:left="-62"/>
              <w:jc w:val="left"/>
              <w:rPr>
                <w:bCs/>
                <w:iCs/>
                <w:sz w:val="22"/>
                <w:szCs w:val="22"/>
              </w:rPr>
            </w:pPr>
            <w:r w:rsidRPr="008F1784">
              <w:rPr>
                <w:bCs/>
                <w:sz w:val="22"/>
                <w:szCs w:val="22"/>
                <w:lang w:val="en-US" w:eastAsia="en-US"/>
              </w:rPr>
              <w:t>This document provides health professionals with a summary of the scientific information relevant to the safe and effective use of a prescription medicine.</w:t>
            </w:r>
          </w:p>
        </w:tc>
        <w:tc>
          <w:tcPr>
            <w:tcW w:w="2000" w:type="pct"/>
            <w:shd w:val="clear" w:color="auto" w:fill="auto"/>
          </w:tcPr>
          <w:p w14:paraId="1B5197AF" w14:textId="6CEC3710" w:rsidR="00E92CC8" w:rsidRPr="008F1784" w:rsidRDefault="00E92CC8" w:rsidP="006B0DB9">
            <w:pPr>
              <w:keepLines w:val="0"/>
              <w:widowControl w:val="0"/>
              <w:spacing w:before="60" w:after="60"/>
              <w:jc w:val="left"/>
              <w:rPr>
                <w:bCs/>
                <w:iCs/>
                <w:sz w:val="22"/>
                <w:szCs w:val="22"/>
              </w:rPr>
            </w:pPr>
            <w:r w:rsidRPr="008F1784">
              <w:rPr>
                <w:bCs/>
                <w:iCs/>
                <w:sz w:val="22"/>
                <w:szCs w:val="22"/>
              </w:rPr>
              <w:t xml:space="preserve">TGA-approved Product Information is available for download for free from the TGA website: </w:t>
            </w:r>
            <w:hyperlink r:id="rId8" w:history="1">
              <w:r w:rsidR="00CE23EB" w:rsidRPr="008F1784">
                <w:rPr>
                  <w:rStyle w:val="Hyperlink"/>
                  <w:bCs/>
                  <w:iCs/>
                  <w:sz w:val="22"/>
                  <w:szCs w:val="22"/>
                </w:rPr>
                <w:t>https://www.tga.gov.au/product-information-0</w:t>
              </w:r>
            </w:hyperlink>
            <w:r w:rsidR="00CE23EB" w:rsidRPr="008F1784">
              <w:rPr>
                <w:bCs/>
                <w:iCs/>
                <w:sz w:val="22"/>
                <w:szCs w:val="22"/>
              </w:rPr>
              <w:t xml:space="preserve"> </w:t>
            </w:r>
          </w:p>
        </w:tc>
      </w:tr>
      <w:tr w:rsidR="00320C66" w:rsidRPr="008F1784" w14:paraId="2862853B" w14:textId="77777777" w:rsidTr="004D7A04">
        <w:trPr>
          <w:trHeight w:val="340"/>
        </w:trPr>
        <w:tc>
          <w:tcPr>
            <w:tcW w:w="846" w:type="pct"/>
            <w:shd w:val="clear" w:color="auto" w:fill="auto"/>
          </w:tcPr>
          <w:p w14:paraId="02D27F84" w14:textId="360D33A3" w:rsidR="00320C66" w:rsidRPr="008F1784" w:rsidRDefault="00320C66" w:rsidP="006B0DB9">
            <w:pPr>
              <w:keepLines w:val="0"/>
              <w:widowControl w:val="0"/>
              <w:spacing w:before="60" w:after="60"/>
              <w:ind w:left="-62"/>
              <w:jc w:val="left"/>
              <w:rPr>
                <w:bCs/>
                <w:iCs/>
                <w:sz w:val="22"/>
                <w:szCs w:val="22"/>
              </w:rPr>
            </w:pPr>
            <w:proofErr w:type="spellStart"/>
            <w:r w:rsidRPr="008F1784">
              <w:rPr>
                <w:bCs/>
                <w:iCs/>
                <w:sz w:val="22"/>
                <w:szCs w:val="22"/>
              </w:rPr>
              <w:t>Patisiran</w:t>
            </w:r>
            <w:proofErr w:type="spellEnd"/>
          </w:p>
        </w:tc>
        <w:tc>
          <w:tcPr>
            <w:tcW w:w="2154" w:type="pct"/>
            <w:shd w:val="clear" w:color="auto" w:fill="auto"/>
          </w:tcPr>
          <w:p w14:paraId="2FEE84AE" w14:textId="77CA7350" w:rsidR="00320C66" w:rsidRPr="008F1784" w:rsidRDefault="00320C66" w:rsidP="006B0DB9">
            <w:pPr>
              <w:keepLines w:val="0"/>
              <w:widowControl w:val="0"/>
              <w:spacing w:before="60" w:after="60"/>
              <w:ind w:left="-62"/>
              <w:jc w:val="left"/>
              <w:rPr>
                <w:b/>
                <w:bCs/>
                <w:color w:val="000000"/>
                <w:sz w:val="22"/>
                <w:szCs w:val="22"/>
              </w:rPr>
            </w:pPr>
            <w:r w:rsidRPr="008F1784">
              <w:rPr>
                <w:b/>
                <w:bCs/>
                <w:color w:val="000000"/>
                <w:sz w:val="22"/>
                <w:szCs w:val="22"/>
              </w:rPr>
              <w:t>New York Heart Association (NYHA) classification.</w:t>
            </w:r>
          </w:p>
          <w:p w14:paraId="65B8014D" w14:textId="77777777" w:rsidR="00320C66" w:rsidRPr="008F1784" w:rsidRDefault="00320C66" w:rsidP="006B0DB9">
            <w:pPr>
              <w:keepLines w:val="0"/>
              <w:widowControl w:val="0"/>
              <w:spacing w:before="60" w:after="60"/>
              <w:ind w:left="-62"/>
              <w:jc w:val="left"/>
              <w:rPr>
                <w:color w:val="000000"/>
                <w:sz w:val="22"/>
                <w:szCs w:val="22"/>
              </w:rPr>
            </w:pPr>
            <w:r w:rsidRPr="008F1784">
              <w:rPr>
                <w:color w:val="000000"/>
                <w:sz w:val="22"/>
                <w:szCs w:val="22"/>
              </w:rPr>
              <w:t xml:space="preserve">The document is incorporated as in force on the day this Instrument takes effect, pursuant to paragraph 14(1)(b) of the </w:t>
            </w:r>
            <w:r w:rsidRPr="008F1784">
              <w:rPr>
                <w:i/>
                <w:iCs/>
                <w:color w:val="000000"/>
                <w:sz w:val="22"/>
                <w:szCs w:val="22"/>
              </w:rPr>
              <w:t>Legislation Act 2003</w:t>
            </w:r>
            <w:r w:rsidRPr="008F1784">
              <w:rPr>
                <w:color w:val="000000"/>
                <w:sz w:val="22"/>
                <w:szCs w:val="22"/>
              </w:rPr>
              <w:t>.</w:t>
            </w:r>
          </w:p>
          <w:p w14:paraId="60729DC1" w14:textId="5903E0DC" w:rsidR="00320C66" w:rsidRPr="008F1784" w:rsidRDefault="00320C66" w:rsidP="006B0DB9">
            <w:pPr>
              <w:keepLines w:val="0"/>
              <w:widowControl w:val="0"/>
              <w:spacing w:before="60" w:after="60"/>
              <w:ind w:left="-62"/>
              <w:jc w:val="left"/>
              <w:rPr>
                <w:color w:val="000000"/>
                <w:sz w:val="22"/>
                <w:szCs w:val="22"/>
              </w:rPr>
            </w:pPr>
            <w:r w:rsidRPr="008F1784">
              <w:rPr>
                <w:color w:val="000000"/>
                <w:sz w:val="22"/>
                <w:szCs w:val="22"/>
              </w:rPr>
              <w:t xml:space="preserve">The NYHA classification system is used to </w:t>
            </w:r>
            <w:r w:rsidRPr="008F1784">
              <w:rPr>
                <w:color w:val="000000"/>
                <w:sz w:val="22"/>
                <w:szCs w:val="22"/>
              </w:rPr>
              <w:lastRenderedPageBreak/>
              <w:t>define the degree of heart failure.</w:t>
            </w:r>
          </w:p>
        </w:tc>
        <w:tc>
          <w:tcPr>
            <w:tcW w:w="2000" w:type="pct"/>
            <w:shd w:val="clear" w:color="auto" w:fill="auto"/>
          </w:tcPr>
          <w:p w14:paraId="281AD4CD" w14:textId="52AC3657" w:rsidR="00320C66" w:rsidRPr="008F1784" w:rsidRDefault="00320C66" w:rsidP="006B0DB9">
            <w:pPr>
              <w:keepLines w:val="0"/>
              <w:widowControl w:val="0"/>
              <w:spacing w:before="60" w:after="60"/>
              <w:jc w:val="left"/>
              <w:rPr>
                <w:color w:val="000000"/>
                <w:sz w:val="22"/>
                <w:szCs w:val="22"/>
              </w:rPr>
            </w:pPr>
            <w:r w:rsidRPr="008F1784">
              <w:rPr>
                <w:color w:val="000000"/>
                <w:sz w:val="22"/>
                <w:szCs w:val="22"/>
              </w:rPr>
              <w:lastRenderedPageBreak/>
              <w:t xml:space="preserve">The NYHA classification system is available for download for free from the American Heart Association website: </w:t>
            </w:r>
            <w:hyperlink r:id="rId9" w:history="1">
              <w:r w:rsidRPr="008F1784">
                <w:rPr>
                  <w:rStyle w:val="Hyperlink"/>
                  <w:sz w:val="22"/>
                  <w:szCs w:val="22"/>
                </w:rPr>
                <w:t>https://www.heart.org/en/health-topics/heart-failure/what-is-heart-failure/classes-of-heart-failure</w:t>
              </w:r>
            </w:hyperlink>
          </w:p>
        </w:tc>
      </w:tr>
      <w:tr w:rsidR="00BD7AE1" w:rsidRPr="008F1784" w14:paraId="672F1E1A" w14:textId="77777777" w:rsidTr="004D7A04">
        <w:trPr>
          <w:trHeight w:val="340"/>
        </w:trPr>
        <w:tc>
          <w:tcPr>
            <w:tcW w:w="846" w:type="pct"/>
            <w:shd w:val="clear" w:color="auto" w:fill="auto"/>
          </w:tcPr>
          <w:p w14:paraId="45AC8439" w14:textId="67648BFC" w:rsidR="00BD7AE1" w:rsidRPr="008F1784" w:rsidRDefault="00BD7AE1" w:rsidP="006B0DB9">
            <w:pPr>
              <w:keepLines w:val="0"/>
              <w:widowControl w:val="0"/>
              <w:spacing w:before="60" w:after="60"/>
              <w:ind w:left="-62"/>
              <w:jc w:val="left"/>
              <w:rPr>
                <w:sz w:val="22"/>
                <w:szCs w:val="22"/>
              </w:rPr>
            </w:pPr>
            <w:r w:rsidRPr="008F1784">
              <w:rPr>
                <w:sz w:val="22"/>
                <w:szCs w:val="22"/>
              </w:rPr>
              <w:t>Tadalafil</w:t>
            </w:r>
          </w:p>
        </w:tc>
        <w:tc>
          <w:tcPr>
            <w:tcW w:w="2154" w:type="pct"/>
            <w:shd w:val="clear" w:color="auto" w:fill="auto"/>
          </w:tcPr>
          <w:p w14:paraId="59F63993" w14:textId="77777777" w:rsidR="00BD7AE1" w:rsidRPr="008F1784" w:rsidRDefault="00BD7AE1" w:rsidP="006B0DB9">
            <w:pPr>
              <w:keepLines w:val="0"/>
              <w:widowControl w:val="0"/>
              <w:spacing w:before="60" w:after="60"/>
              <w:ind w:left="-62"/>
              <w:jc w:val="left"/>
              <w:rPr>
                <w:b/>
                <w:bCs/>
                <w:color w:val="000000"/>
                <w:sz w:val="22"/>
                <w:szCs w:val="22"/>
              </w:rPr>
            </w:pPr>
            <w:r w:rsidRPr="008F1784">
              <w:rPr>
                <w:b/>
                <w:bCs/>
                <w:color w:val="000000"/>
                <w:sz w:val="22"/>
                <w:szCs w:val="22"/>
              </w:rPr>
              <w:t xml:space="preserve">WHO Functional Classes for pulmonary arterial hypertension (PAH).  </w:t>
            </w:r>
          </w:p>
          <w:p w14:paraId="560B986A" w14:textId="77777777" w:rsidR="00BD7AE1" w:rsidRPr="008F1784" w:rsidRDefault="00BD7AE1" w:rsidP="006B0DB9">
            <w:pPr>
              <w:keepLines w:val="0"/>
              <w:widowControl w:val="0"/>
              <w:spacing w:before="60" w:after="60"/>
              <w:ind w:left="-62"/>
              <w:jc w:val="left"/>
              <w:rPr>
                <w:color w:val="000000"/>
                <w:sz w:val="22"/>
                <w:szCs w:val="22"/>
              </w:rPr>
            </w:pPr>
            <w:r w:rsidRPr="008F1784">
              <w:rPr>
                <w:color w:val="000000"/>
                <w:sz w:val="22"/>
                <w:szCs w:val="22"/>
              </w:rPr>
              <w:t xml:space="preserve">The document is incorporated as in force on the day this Instrument takes effect, pursuant to paragraph 14(1)(b) of the </w:t>
            </w:r>
            <w:r w:rsidRPr="008F1784">
              <w:rPr>
                <w:i/>
                <w:iCs/>
                <w:color w:val="000000"/>
                <w:sz w:val="22"/>
                <w:szCs w:val="22"/>
              </w:rPr>
              <w:t>Legislation Act 2003</w:t>
            </w:r>
            <w:r w:rsidRPr="008F1784">
              <w:rPr>
                <w:color w:val="000000"/>
                <w:sz w:val="22"/>
                <w:szCs w:val="22"/>
              </w:rPr>
              <w:t>.</w:t>
            </w:r>
          </w:p>
          <w:p w14:paraId="06596600" w14:textId="15E2F673" w:rsidR="00BD7AE1" w:rsidRPr="008F1784" w:rsidRDefault="00BD7AE1" w:rsidP="006B0DB9">
            <w:pPr>
              <w:keepLines w:val="0"/>
              <w:widowControl w:val="0"/>
              <w:spacing w:before="60" w:after="60"/>
              <w:ind w:left="-62"/>
              <w:jc w:val="left"/>
              <w:rPr>
                <w:b/>
                <w:bCs/>
                <w:color w:val="000000"/>
                <w:sz w:val="22"/>
                <w:szCs w:val="22"/>
              </w:rPr>
            </w:pPr>
            <w:r w:rsidRPr="008F1784">
              <w:rPr>
                <w:color w:val="000000"/>
                <w:sz w:val="22"/>
                <w:szCs w:val="22"/>
              </w:rPr>
              <w:t>The WHO Functional Class system for PAH is used to define the severity of PAH symptoms and the impact they have on a patient’s day-to-day activities.</w:t>
            </w:r>
          </w:p>
        </w:tc>
        <w:tc>
          <w:tcPr>
            <w:tcW w:w="2000" w:type="pct"/>
            <w:shd w:val="clear" w:color="auto" w:fill="auto"/>
          </w:tcPr>
          <w:p w14:paraId="2EAABD5B" w14:textId="758775CE" w:rsidR="00BD7AE1" w:rsidRPr="008F1784" w:rsidRDefault="00BD7AE1" w:rsidP="006B0DB9">
            <w:pPr>
              <w:keepLines w:val="0"/>
              <w:widowControl w:val="0"/>
              <w:spacing w:before="60" w:after="60"/>
              <w:jc w:val="left"/>
              <w:rPr>
                <w:color w:val="000000"/>
                <w:sz w:val="22"/>
                <w:szCs w:val="22"/>
              </w:rPr>
            </w:pPr>
            <w:r w:rsidRPr="008F1784">
              <w:rPr>
                <w:color w:val="000000"/>
                <w:sz w:val="22"/>
                <w:szCs w:val="22"/>
              </w:rPr>
              <w:t xml:space="preserve">The WHO Functional Class system for PAH is available for download for free from the Pulmonary Hypertension Association Australia website: </w:t>
            </w:r>
            <w:hyperlink r:id="rId10" w:history="1">
              <w:r w:rsidRPr="008F1784">
                <w:rPr>
                  <w:rStyle w:val="Hyperlink"/>
                  <w:sz w:val="22"/>
                  <w:szCs w:val="22"/>
                </w:rPr>
                <w:t>https://www.phaaustralia.com/page/11/classification-of-pulmonary-hypertension</w:t>
              </w:r>
            </w:hyperlink>
          </w:p>
        </w:tc>
      </w:tr>
    </w:tbl>
    <w:p w14:paraId="5B4E2A9C" w14:textId="77777777" w:rsidR="00BD7AE1" w:rsidRPr="008F1784" w:rsidRDefault="00BD7AE1" w:rsidP="00BD7AE1">
      <w:pPr>
        <w:keepLines w:val="0"/>
        <w:spacing w:before="240" w:after="0"/>
        <w:rPr>
          <w:b/>
          <w:sz w:val="24"/>
          <w:szCs w:val="24"/>
        </w:rPr>
      </w:pPr>
      <w:r w:rsidRPr="008F1784">
        <w:rPr>
          <w:b/>
          <w:sz w:val="24"/>
          <w:szCs w:val="24"/>
        </w:rPr>
        <w:t xml:space="preserve">Diagnostic tools referenced in the </w:t>
      </w:r>
      <w:proofErr w:type="gramStart"/>
      <w:r w:rsidRPr="008F1784">
        <w:rPr>
          <w:b/>
          <w:sz w:val="24"/>
          <w:szCs w:val="24"/>
        </w:rPr>
        <w:t>Instrument</w:t>
      </w:r>
      <w:proofErr w:type="gramEnd"/>
    </w:p>
    <w:p w14:paraId="60C585E0" w14:textId="77777777" w:rsidR="00BD7AE1" w:rsidRPr="008F1784" w:rsidRDefault="00BD7AE1" w:rsidP="00BD7AE1">
      <w:pPr>
        <w:keepLines w:val="0"/>
        <w:spacing w:after="0"/>
        <w:rPr>
          <w:i/>
          <w:sz w:val="22"/>
          <w:szCs w:val="22"/>
        </w:rPr>
      </w:pPr>
      <w:r w:rsidRPr="008F1784">
        <w:rPr>
          <w:i/>
          <w:sz w:val="22"/>
          <w:szCs w:val="22"/>
        </w:rPr>
        <w:t>The following standard medical diagnostic tools are referenced in the Instrument but are not intended to incorporate a document by reference.</w:t>
      </w:r>
    </w:p>
    <w:tbl>
      <w:tblPr>
        <w:tblStyle w:val="TableGrid"/>
        <w:tblW w:w="998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57" w:type="dxa"/>
          <w:left w:w="57" w:type="dxa"/>
          <w:bottom w:w="57" w:type="dxa"/>
          <w:right w:w="57" w:type="dxa"/>
        </w:tblCellMar>
        <w:tblLook w:val="04A0" w:firstRow="1" w:lastRow="0" w:firstColumn="1" w:lastColumn="0" w:noHBand="0" w:noVBand="1"/>
      </w:tblPr>
      <w:tblGrid>
        <w:gridCol w:w="1333"/>
        <w:gridCol w:w="2268"/>
        <w:gridCol w:w="3260"/>
        <w:gridCol w:w="3119"/>
      </w:tblGrid>
      <w:tr w:rsidR="00BD7AE1" w:rsidRPr="008F1784" w14:paraId="399BF975" w14:textId="77777777" w:rsidTr="00AC5A18">
        <w:tc>
          <w:tcPr>
            <w:tcW w:w="1333" w:type="dxa"/>
            <w:hideMark/>
          </w:tcPr>
          <w:p w14:paraId="14ADCF19" w14:textId="77777777" w:rsidR="00BD7AE1" w:rsidRPr="008F1784" w:rsidRDefault="00BD7AE1" w:rsidP="006B0DB9">
            <w:pPr>
              <w:keepNext/>
              <w:spacing w:before="60" w:after="60"/>
              <w:ind w:left="-62"/>
              <w:jc w:val="left"/>
              <w:rPr>
                <w:b/>
                <w:i/>
                <w:sz w:val="22"/>
                <w:szCs w:val="22"/>
              </w:rPr>
            </w:pPr>
            <w:r w:rsidRPr="008F1784">
              <w:rPr>
                <w:b/>
                <w:i/>
                <w:sz w:val="22"/>
                <w:szCs w:val="22"/>
              </w:rPr>
              <w:t>Listed Drug</w:t>
            </w:r>
          </w:p>
        </w:tc>
        <w:tc>
          <w:tcPr>
            <w:tcW w:w="2268" w:type="dxa"/>
            <w:hideMark/>
          </w:tcPr>
          <w:p w14:paraId="6AEEBB0F" w14:textId="77777777" w:rsidR="00BD7AE1" w:rsidRPr="008F1784" w:rsidRDefault="00BD7AE1" w:rsidP="006B0DB9">
            <w:pPr>
              <w:spacing w:before="60" w:after="60"/>
              <w:ind w:left="-62"/>
              <w:jc w:val="left"/>
              <w:rPr>
                <w:b/>
                <w:i/>
                <w:sz w:val="22"/>
                <w:szCs w:val="22"/>
              </w:rPr>
            </w:pPr>
            <w:r w:rsidRPr="008F1784">
              <w:rPr>
                <w:b/>
                <w:i/>
                <w:sz w:val="22"/>
                <w:szCs w:val="22"/>
              </w:rPr>
              <w:t>Diagnostic tool</w:t>
            </w:r>
          </w:p>
        </w:tc>
        <w:tc>
          <w:tcPr>
            <w:tcW w:w="3260" w:type="dxa"/>
            <w:hideMark/>
          </w:tcPr>
          <w:p w14:paraId="638B2B81" w14:textId="77777777" w:rsidR="00BD7AE1" w:rsidRPr="008F1784" w:rsidRDefault="00BD7AE1" w:rsidP="006B0DB9">
            <w:pPr>
              <w:spacing w:before="60" w:after="60"/>
              <w:ind w:left="-62"/>
              <w:jc w:val="left"/>
              <w:rPr>
                <w:b/>
                <w:i/>
                <w:sz w:val="22"/>
                <w:szCs w:val="22"/>
              </w:rPr>
            </w:pPr>
            <w:r w:rsidRPr="008F1784">
              <w:rPr>
                <w:b/>
                <w:i/>
                <w:sz w:val="22"/>
                <w:szCs w:val="22"/>
              </w:rPr>
              <w:t>Purpose and use in the Instrument</w:t>
            </w:r>
          </w:p>
        </w:tc>
        <w:tc>
          <w:tcPr>
            <w:tcW w:w="3119" w:type="dxa"/>
            <w:hideMark/>
          </w:tcPr>
          <w:p w14:paraId="6D10D3D8" w14:textId="77777777" w:rsidR="00BD7AE1" w:rsidRPr="008F1784" w:rsidRDefault="00BD7AE1" w:rsidP="006B0DB9">
            <w:pPr>
              <w:spacing w:before="60" w:after="60"/>
              <w:ind w:left="-62"/>
              <w:jc w:val="left"/>
              <w:rPr>
                <w:b/>
                <w:i/>
                <w:sz w:val="22"/>
                <w:szCs w:val="22"/>
              </w:rPr>
            </w:pPr>
            <w:r w:rsidRPr="008F1784">
              <w:rPr>
                <w:b/>
                <w:i/>
                <w:sz w:val="22"/>
                <w:szCs w:val="22"/>
              </w:rPr>
              <w:t>Reason this reference does not serve to incorporate a document</w:t>
            </w:r>
          </w:p>
        </w:tc>
      </w:tr>
      <w:tr w:rsidR="00BD7AE1" w:rsidRPr="008F1784" w14:paraId="50819E0C" w14:textId="77777777" w:rsidTr="00AC5A18">
        <w:tc>
          <w:tcPr>
            <w:tcW w:w="1333" w:type="dxa"/>
          </w:tcPr>
          <w:p w14:paraId="2FBDDE3D" w14:textId="00F842B4" w:rsidR="00BD7AE1" w:rsidRPr="008F1784" w:rsidRDefault="00BD7AE1" w:rsidP="00AC5A18">
            <w:pPr>
              <w:widowControl w:val="0"/>
              <w:spacing w:before="60" w:after="60"/>
              <w:ind w:left="-62"/>
              <w:jc w:val="left"/>
              <w:rPr>
                <w:sz w:val="22"/>
                <w:szCs w:val="22"/>
              </w:rPr>
            </w:pPr>
            <w:r w:rsidRPr="008F1784">
              <w:rPr>
                <w:sz w:val="22"/>
                <w:szCs w:val="22"/>
              </w:rPr>
              <w:t>Tadalafil</w:t>
            </w:r>
          </w:p>
        </w:tc>
        <w:tc>
          <w:tcPr>
            <w:tcW w:w="2268" w:type="dxa"/>
          </w:tcPr>
          <w:p w14:paraId="220390BF" w14:textId="77777777" w:rsidR="00BD7AE1" w:rsidRPr="008F1784" w:rsidRDefault="00BD7AE1" w:rsidP="006B0DB9">
            <w:pPr>
              <w:pStyle w:val="NormalWeb"/>
              <w:widowControl w:val="0"/>
              <w:spacing w:before="60" w:beforeAutospacing="0" w:after="60" w:afterAutospacing="0"/>
              <w:ind w:left="-62"/>
              <w:rPr>
                <w:b/>
                <w:sz w:val="22"/>
                <w:szCs w:val="22"/>
              </w:rPr>
            </w:pPr>
            <w:r w:rsidRPr="008F1784">
              <w:rPr>
                <w:b/>
                <w:sz w:val="22"/>
                <w:szCs w:val="22"/>
              </w:rPr>
              <w:t xml:space="preserve">Right heart </w:t>
            </w:r>
            <w:proofErr w:type="spellStart"/>
            <w:r w:rsidRPr="008F1784">
              <w:rPr>
                <w:b/>
                <w:sz w:val="22"/>
                <w:szCs w:val="22"/>
              </w:rPr>
              <w:t>catherization</w:t>
            </w:r>
            <w:proofErr w:type="spellEnd"/>
            <w:r w:rsidRPr="008F1784">
              <w:rPr>
                <w:b/>
                <w:sz w:val="22"/>
                <w:szCs w:val="22"/>
              </w:rPr>
              <w:t xml:space="preserve"> (RHC) composite assessment</w:t>
            </w:r>
          </w:p>
        </w:tc>
        <w:tc>
          <w:tcPr>
            <w:tcW w:w="3260" w:type="dxa"/>
          </w:tcPr>
          <w:p w14:paraId="7DD4A6E8" w14:textId="77777777" w:rsidR="00BD7AE1" w:rsidRPr="008F1784" w:rsidRDefault="00BD7AE1" w:rsidP="006B0DB9">
            <w:pPr>
              <w:keepLines w:val="0"/>
              <w:spacing w:before="60" w:after="60"/>
              <w:ind w:left="-62"/>
              <w:jc w:val="left"/>
              <w:rPr>
                <w:sz w:val="22"/>
                <w:szCs w:val="22"/>
              </w:rPr>
            </w:pPr>
            <w:r w:rsidRPr="008F1784">
              <w:rPr>
                <w:sz w:val="22"/>
                <w:szCs w:val="22"/>
              </w:rPr>
              <w:t>RHC is a diagnostic procedure used to measure pulmonary artery pressures and thus evaluate whether a patient has pulmonary hypertension or not, and sometimes what is causing the pulmonary hypertension.</w:t>
            </w:r>
          </w:p>
          <w:p w14:paraId="621402F9" w14:textId="77777777" w:rsidR="00BD7AE1" w:rsidRPr="008F1784" w:rsidRDefault="00BD7AE1" w:rsidP="006B0DB9">
            <w:pPr>
              <w:keepLines w:val="0"/>
              <w:spacing w:before="60" w:after="60"/>
              <w:ind w:left="-62"/>
              <w:jc w:val="left"/>
              <w:rPr>
                <w:sz w:val="22"/>
                <w:szCs w:val="22"/>
              </w:rPr>
            </w:pPr>
            <w:r w:rsidRPr="008F1784">
              <w:rPr>
                <w:sz w:val="22"/>
                <w:szCs w:val="22"/>
              </w:rPr>
              <w:t xml:space="preserve">RHC composite assessment is a range of haemodynamic assessment comprising the measurement of cardiac output, mixed venous oxygen saturation, mean pulmonary arterial pressure, pulmonary artery wedge pressure, right atrial </w:t>
            </w:r>
            <w:proofErr w:type="gramStart"/>
            <w:r w:rsidRPr="008F1784">
              <w:rPr>
                <w:sz w:val="22"/>
                <w:szCs w:val="22"/>
              </w:rPr>
              <w:t>pressure</w:t>
            </w:r>
            <w:proofErr w:type="gramEnd"/>
            <w:r w:rsidRPr="008F1784">
              <w:rPr>
                <w:sz w:val="22"/>
                <w:szCs w:val="22"/>
              </w:rPr>
              <w:t xml:space="preserve"> and right ventricular pressure.</w:t>
            </w:r>
          </w:p>
          <w:p w14:paraId="34C2EB7D" w14:textId="77777777" w:rsidR="00BD7AE1" w:rsidRPr="008F1784" w:rsidRDefault="00BD7AE1" w:rsidP="006B0DB9">
            <w:pPr>
              <w:keepLines w:val="0"/>
              <w:spacing w:before="60" w:after="60"/>
              <w:ind w:left="-62"/>
              <w:jc w:val="left"/>
              <w:rPr>
                <w:sz w:val="22"/>
                <w:szCs w:val="22"/>
              </w:rPr>
            </w:pPr>
            <w:r w:rsidRPr="008F1784">
              <w:rPr>
                <w:sz w:val="22"/>
                <w:szCs w:val="22"/>
              </w:rPr>
              <w:t xml:space="preserve">Measurement must be reported on as part of the authority application for </w:t>
            </w:r>
            <w:proofErr w:type="gramStart"/>
            <w:r w:rsidRPr="008F1784">
              <w:rPr>
                <w:sz w:val="22"/>
                <w:szCs w:val="22"/>
              </w:rPr>
              <w:t>a number of</w:t>
            </w:r>
            <w:proofErr w:type="gramEnd"/>
            <w:r w:rsidRPr="008F1784">
              <w:rPr>
                <w:sz w:val="22"/>
                <w:szCs w:val="22"/>
              </w:rPr>
              <w:t xml:space="preserve"> PBS listed drugs.</w:t>
            </w:r>
          </w:p>
        </w:tc>
        <w:tc>
          <w:tcPr>
            <w:tcW w:w="3119" w:type="dxa"/>
          </w:tcPr>
          <w:p w14:paraId="34D0FCDE" w14:textId="77777777" w:rsidR="00BD7AE1" w:rsidRPr="008F1784" w:rsidRDefault="00BD7AE1" w:rsidP="006B0DB9">
            <w:pPr>
              <w:keepLines w:val="0"/>
              <w:spacing w:before="60" w:after="60"/>
              <w:ind w:left="-62"/>
              <w:jc w:val="left"/>
              <w:rPr>
                <w:sz w:val="22"/>
                <w:szCs w:val="22"/>
              </w:rPr>
            </w:pPr>
            <w:r w:rsidRPr="008F1784">
              <w:rPr>
                <w:sz w:val="22"/>
                <w:szCs w:val="22"/>
              </w:rPr>
              <w:t xml:space="preserve">The RHC composite assessment is part of the standard diagnostic work-up for Pulmonary Arterial Hypertension and does not constitute a written record of information that must be referred to </w:t>
            </w:r>
            <w:proofErr w:type="gramStart"/>
            <w:r w:rsidRPr="008F1784">
              <w:rPr>
                <w:sz w:val="22"/>
                <w:szCs w:val="22"/>
              </w:rPr>
              <w:t>in order to</w:t>
            </w:r>
            <w:proofErr w:type="gramEnd"/>
            <w:r w:rsidRPr="008F1784">
              <w:rPr>
                <w:sz w:val="22"/>
                <w:szCs w:val="22"/>
              </w:rPr>
              <w:t xml:space="preserve"> determine whether statutory conditions have been met.</w:t>
            </w:r>
          </w:p>
        </w:tc>
      </w:tr>
      <w:tr w:rsidR="00BD7AE1" w:rsidRPr="008F1784" w14:paraId="7DCEE52F" w14:textId="77777777" w:rsidTr="00AC5A18">
        <w:tc>
          <w:tcPr>
            <w:tcW w:w="1333" w:type="dxa"/>
          </w:tcPr>
          <w:p w14:paraId="1799248E" w14:textId="4F239ED9" w:rsidR="00BD7AE1" w:rsidRPr="008F1784" w:rsidRDefault="00BD7AE1" w:rsidP="00AC5A18">
            <w:pPr>
              <w:widowControl w:val="0"/>
              <w:spacing w:before="60" w:after="60"/>
              <w:ind w:left="-62"/>
              <w:jc w:val="left"/>
              <w:rPr>
                <w:sz w:val="22"/>
                <w:szCs w:val="22"/>
              </w:rPr>
            </w:pPr>
            <w:r w:rsidRPr="008F1784">
              <w:rPr>
                <w:sz w:val="22"/>
                <w:szCs w:val="22"/>
              </w:rPr>
              <w:t>Tadalafil</w:t>
            </w:r>
          </w:p>
        </w:tc>
        <w:tc>
          <w:tcPr>
            <w:tcW w:w="2268" w:type="dxa"/>
          </w:tcPr>
          <w:p w14:paraId="691C082B" w14:textId="77777777" w:rsidR="00BD7AE1" w:rsidRPr="008F1784" w:rsidRDefault="00BD7AE1" w:rsidP="006B0DB9">
            <w:pPr>
              <w:pStyle w:val="NormalWeb"/>
              <w:widowControl w:val="0"/>
              <w:spacing w:before="60" w:beforeAutospacing="0" w:after="60" w:afterAutospacing="0"/>
              <w:ind w:left="-62"/>
              <w:rPr>
                <w:b/>
                <w:sz w:val="22"/>
                <w:szCs w:val="22"/>
              </w:rPr>
            </w:pPr>
            <w:r w:rsidRPr="008F1784">
              <w:rPr>
                <w:b/>
                <w:sz w:val="22"/>
                <w:szCs w:val="22"/>
              </w:rPr>
              <w:t>Echocardiography (ECHO) composite assessment</w:t>
            </w:r>
          </w:p>
        </w:tc>
        <w:tc>
          <w:tcPr>
            <w:tcW w:w="3260" w:type="dxa"/>
          </w:tcPr>
          <w:p w14:paraId="73723661" w14:textId="77777777" w:rsidR="00BD7AE1" w:rsidRPr="008F1784" w:rsidRDefault="00BD7AE1" w:rsidP="006B0DB9">
            <w:pPr>
              <w:keepLines w:val="0"/>
              <w:spacing w:before="60" w:after="60"/>
              <w:ind w:left="-62"/>
              <w:jc w:val="left"/>
              <w:rPr>
                <w:sz w:val="22"/>
                <w:szCs w:val="22"/>
              </w:rPr>
            </w:pPr>
            <w:r w:rsidRPr="008F1784">
              <w:rPr>
                <w:sz w:val="22"/>
                <w:szCs w:val="22"/>
              </w:rPr>
              <w:t>ECHO is an ultrasound of the heart used to estimate the pulmonary artery pressures using mathematical equations and thus evaluate whether a patient has pulmonary hypertension.</w:t>
            </w:r>
          </w:p>
          <w:p w14:paraId="7F9D227E" w14:textId="77777777" w:rsidR="00BD7AE1" w:rsidRPr="008F1784" w:rsidRDefault="00BD7AE1" w:rsidP="006B0DB9">
            <w:pPr>
              <w:keepLines w:val="0"/>
              <w:spacing w:before="60" w:after="60"/>
              <w:ind w:left="-62"/>
              <w:jc w:val="left"/>
              <w:rPr>
                <w:sz w:val="22"/>
                <w:szCs w:val="22"/>
              </w:rPr>
            </w:pPr>
            <w:r w:rsidRPr="008F1784">
              <w:rPr>
                <w:sz w:val="22"/>
                <w:szCs w:val="22"/>
              </w:rPr>
              <w:t>ECHO composite assessment is a range of haemodynamic assessment comprising the measurement of pulmonary artery systolic pressure, right ventricular systolic pressure, right atrial pressure.</w:t>
            </w:r>
          </w:p>
          <w:p w14:paraId="4A413455" w14:textId="77777777" w:rsidR="00BD7AE1" w:rsidRPr="008F1784" w:rsidRDefault="00BD7AE1" w:rsidP="006B0DB9">
            <w:pPr>
              <w:keepLines w:val="0"/>
              <w:spacing w:before="60" w:after="60"/>
              <w:ind w:left="-62"/>
              <w:jc w:val="left"/>
              <w:rPr>
                <w:sz w:val="22"/>
                <w:szCs w:val="22"/>
              </w:rPr>
            </w:pPr>
            <w:r w:rsidRPr="008F1784">
              <w:rPr>
                <w:sz w:val="22"/>
                <w:szCs w:val="22"/>
              </w:rPr>
              <w:t xml:space="preserve">Measurement must be reported on as part of the authority application for </w:t>
            </w:r>
            <w:proofErr w:type="gramStart"/>
            <w:r w:rsidRPr="008F1784">
              <w:rPr>
                <w:sz w:val="22"/>
                <w:szCs w:val="22"/>
              </w:rPr>
              <w:t>a number of</w:t>
            </w:r>
            <w:proofErr w:type="gramEnd"/>
            <w:r w:rsidRPr="008F1784">
              <w:rPr>
                <w:sz w:val="22"/>
                <w:szCs w:val="22"/>
              </w:rPr>
              <w:t xml:space="preserve"> PBS listed drugs.</w:t>
            </w:r>
          </w:p>
        </w:tc>
        <w:tc>
          <w:tcPr>
            <w:tcW w:w="3119" w:type="dxa"/>
          </w:tcPr>
          <w:p w14:paraId="428184C2" w14:textId="77777777" w:rsidR="00BD7AE1" w:rsidRPr="008F1784" w:rsidRDefault="00BD7AE1" w:rsidP="006B0DB9">
            <w:pPr>
              <w:keepLines w:val="0"/>
              <w:spacing w:before="60" w:after="60"/>
              <w:ind w:left="-62"/>
              <w:jc w:val="left"/>
              <w:rPr>
                <w:sz w:val="22"/>
                <w:szCs w:val="22"/>
              </w:rPr>
            </w:pPr>
            <w:r w:rsidRPr="008F1784">
              <w:rPr>
                <w:sz w:val="22"/>
                <w:szCs w:val="22"/>
              </w:rPr>
              <w:t xml:space="preserve">The ECHO composite assessment is part of the standard diagnostic work-up for Pulmonary Arterial Hypertension and does not constitute a written record of information that must be referred to </w:t>
            </w:r>
            <w:proofErr w:type="gramStart"/>
            <w:r w:rsidRPr="008F1784">
              <w:rPr>
                <w:sz w:val="22"/>
                <w:szCs w:val="22"/>
              </w:rPr>
              <w:t>in order to</w:t>
            </w:r>
            <w:proofErr w:type="gramEnd"/>
            <w:r w:rsidRPr="008F1784">
              <w:rPr>
                <w:sz w:val="22"/>
                <w:szCs w:val="22"/>
              </w:rPr>
              <w:t xml:space="preserve"> determine whether statutory conditions have been met.</w:t>
            </w:r>
          </w:p>
        </w:tc>
      </w:tr>
      <w:tr w:rsidR="00BD7AE1" w:rsidRPr="008F1784" w14:paraId="2FEE6931" w14:textId="77777777" w:rsidTr="00AC5A18">
        <w:tc>
          <w:tcPr>
            <w:tcW w:w="1333" w:type="dxa"/>
          </w:tcPr>
          <w:p w14:paraId="053B2CB2" w14:textId="403C1A59" w:rsidR="00BD7AE1" w:rsidRPr="008F1784" w:rsidRDefault="00BD7AE1" w:rsidP="00AC5A18">
            <w:pPr>
              <w:widowControl w:val="0"/>
              <w:spacing w:before="60" w:after="60"/>
              <w:ind w:left="-62"/>
              <w:jc w:val="left"/>
              <w:rPr>
                <w:sz w:val="22"/>
                <w:szCs w:val="22"/>
              </w:rPr>
            </w:pPr>
            <w:r w:rsidRPr="008F1784">
              <w:rPr>
                <w:sz w:val="22"/>
                <w:szCs w:val="22"/>
              </w:rPr>
              <w:lastRenderedPageBreak/>
              <w:t>Tadalafil</w:t>
            </w:r>
          </w:p>
        </w:tc>
        <w:tc>
          <w:tcPr>
            <w:tcW w:w="2268" w:type="dxa"/>
          </w:tcPr>
          <w:p w14:paraId="4A2E5C70" w14:textId="77777777" w:rsidR="00BD7AE1" w:rsidRPr="008F1784" w:rsidRDefault="00BD7AE1" w:rsidP="006B0DB9">
            <w:pPr>
              <w:pStyle w:val="NormalWeb"/>
              <w:widowControl w:val="0"/>
              <w:spacing w:before="60" w:beforeAutospacing="0" w:after="60" w:afterAutospacing="0"/>
              <w:ind w:left="-62"/>
              <w:rPr>
                <w:b/>
                <w:sz w:val="22"/>
                <w:szCs w:val="22"/>
              </w:rPr>
            </w:pPr>
            <w:r w:rsidRPr="008F1784">
              <w:rPr>
                <w:b/>
                <w:sz w:val="22"/>
                <w:szCs w:val="22"/>
              </w:rPr>
              <w:t>Six Minute Walk Test (6MWT)</w:t>
            </w:r>
          </w:p>
        </w:tc>
        <w:tc>
          <w:tcPr>
            <w:tcW w:w="3260" w:type="dxa"/>
          </w:tcPr>
          <w:p w14:paraId="6F9D223B" w14:textId="77777777" w:rsidR="00BD7AE1" w:rsidRPr="008F1784" w:rsidRDefault="00BD7AE1" w:rsidP="006B0DB9">
            <w:pPr>
              <w:keepLines w:val="0"/>
              <w:spacing w:before="60" w:after="60"/>
              <w:ind w:left="-62"/>
              <w:jc w:val="left"/>
              <w:rPr>
                <w:sz w:val="22"/>
                <w:szCs w:val="22"/>
              </w:rPr>
            </w:pPr>
            <w:r w:rsidRPr="008F1784">
              <w:rPr>
                <w:sz w:val="22"/>
                <w:szCs w:val="22"/>
              </w:rPr>
              <w:t>To measure patient motor functioning (physical movement abilities) in any assessment of whether the drug is providing the patient with a clinically meaningful response to treatment.</w:t>
            </w:r>
          </w:p>
        </w:tc>
        <w:tc>
          <w:tcPr>
            <w:tcW w:w="3119" w:type="dxa"/>
          </w:tcPr>
          <w:p w14:paraId="7A3720B3" w14:textId="77777777" w:rsidR="00BD7AE1" w:rsidRPr="008F1784" w:rsidRDefault="00BD7AE1" w:rsidP="006B0DB9">
            <w:pPr>
              <w:keepLines w:val="0"/>
              <w:spacing w:before="60" w:after="60"/>
              <w:ind w:left="-62"/>
              <w:jc w:val="left"/>
              <w:rPr>
                <w:sz w:val="22"/>
                <w:szCs w:val="22"/>
              </w:rPr>
            </w:pPr>
            <w:r w:rsidRPr="008F1784">
              <w:rPr>
                <w:sz w:val="22"/>
                <w:szCs w:val="22"/>
              </w:rPr>
              <w:t xml:space="preserve">The PBS restriction requires use of standardised measures of patient motor function in assessing whether the treatment has resulted in a clinically meaningful response, but only where it is practical to do so.  Such measures are not limited to this </w:t>
            </w:r>
            <w:proofErr w:type="gramStart"/>
            <w:r w:rsidRPr="008F1784">
              <w:rPr>
                <w:sz w:val="22"/>
                <w:szCs w:val="22"/>
              </w:rPr>
              <w:t>particular instrument</w:t>
            </w:r>
            <w:proofErr w:type="gramEnd"/>
            <w:r w:rsidRPr="008F1784">
              <w:rPr>
                <w:sz w:val="22"/>
                <w:szCs w:val="22"/>
              </w:rPr>
              <w:t xml:space="preserve">. </w:t>
            </w:r>
            <w:proofErr w:type="gramStart"/>
            <w:r w:rsidRPr="008F1784">
              <w:rPr>
                <w:sz w:val="22"/>
                <w:szCs w:val="22"/>
              </w:rPr>
              <w:t>Therefore</w:t>
            </w:r>
            <w:proofErr w:type="gramEnd"/>
            <w:r w:rsidRPr="008F1784">
              <w:rPr>
                <w:sz w:val="22"/>
                <w:szCs w:val="22"/>
              </w:rPr>
              <w:t xml:space="preserve"> the reference does not serve to incorporate a document.</w:t>
            </w:r>
          </w:p>
        </w:tc>
      </w:tr>
    </w:tbl>
    <w:p w14:paraId="742C321F" w14:textId="0473CAF7" w:rsidR="00522FAC" w:rsidRPr="008F1784" w:rsidRDefault="00522FAC">
      <w:pPr>
        <w:keepLines w:val="0"/>
        <w:spacing w:after="0"/>
        <w:jc w:val="left"/>
      </w:pPr>
      <w:r w:rsidRPr="008F1784">
        <w:br w:type="page"/>
      </w:r>
    </w:p>
    <w:bookmarkEnd w:id="2"/>
    <w:p w14:paraId="152525F2" w14:textId="03EE5051" w:rsidR="000C6A04" w:rsidRPr="008F1784" w:rsidRDefault="000C6A04" w:rsidP="002C54D2">
      <w:pPr>
        <w:keepLines w:val="0"/>
        <w:spacing w:after="0"/>
        <w:ind w:left="1701" w:firstLine="567"/>
        <w:jc w:val="left"/>
        <w:rPr>
          <w:b/>
          <w:sz w:val="24"/>
          <w:szCs w:val="24"/>
        </w:rPr>
      </w:pPr>
      <w:r w:rsidRPr="008F1784">
        <w:rPr>
          <w:b/>
          <w:sz w:val="26"/>
          <w:szCs w:val="26"/>
        </w:rPr>
        <w:lastRenderedPageBreak/>
        <w:t>Statement of Compatibility with Human Rights</w:t>
      </w:r>
    </w:p>
    <w:p w14:paraId="4D2D6099" w14:textId="77777777" w:rsidR="000C6A04" w:rsidRPr="008F1784" w:rsidRDefault="000C6A04" w:rsidP="000B45B3">
      <w:pPr>
        <w:keepLines w:val="0"/>
        <w:spacing w:before="120" w:after="0"/>
        <w:jc w:val="center"/>
        <w:rPr>
          <w:i/>
          <w:sz w:val="22"/>
          <w:szCs w:val="22"/>
        </w:rPr>
      </w:pPr>
      <w:r w:rsidRPr="008F1784">
        <w:rPr>
          <w:i/>
          <w:sz w:val="22"/>
          <w:szCs w:val="22"/>
        </w:rPr>
        <w:t>Prepared in accordance with Part 3 of the Human Rights (Parliamentary Scrutiny) Act 2011</w:t>
      </w:r>
    </w:p>
    <w:p w14:paraId="60DFA373" w14:textId="7BEB009B" w:rsidR="000C6A04" w:rsidRPr="008F1784" w:rsidRDefault="000C6A04" w:rsidP="000B45B3">
      <w:pPr>
        <w:keepLines w:val="0"/>
        <w:spacing w:before="360" w:after="0"/>
        <w:jc w:val="center"/>
        <w:rPr>
          <w:b/>
          <w:i/>
          <w:sz w:val="22"/>
          <w:szCs w:val="22"/>
        </w:rPr>
      </w:pPr>
      <w:r w:rsidRPr="008F1784">
        <w:rPr>
          <w:b/>
          <w:i/>
          <w:sz w:val="22"/>
          <w:szCs w:val="22"/>
        </w:rPr>
        <w:t>National Health (Hi</w:t>
      </w:r>
      <w:r w:rsidR="008A4A82" w:rsidRPr="008F1784">
        <w:rPr>
          <w:b/>
          <w:i/>
          <w:sz w:val="22"/>
          <w:szCs w:val="22"/>
        </w:rPr>
        <w:t>ghly Specialised Drugs P</w:t>
      </w:r>
      <w:r w:rsidR="00F405CF" w:rsidRPr="008F1784">
        <w:rPr>
          <w:b/>
          <w:i/>
          <w:sz w:val="22"/>
          <w:szCs w:val="22"/>
        </w:rPr>
        <w:t>rogram)</w:t>
      </w:r>
      <w:r w:rsidR="001A0B2B" w:rsidRPr="008F1784">
        <w:rPr>
          <w:b/>
          <w:i/>
          <w:sz w:val="22"/>
          <w:szCs w:val="22"/>
        </w:rPr>
        <w:t xml:space="preserve"> </w:t>
      </w:r>
      <w:r w:rsidRPr="008F1784">
        <w:rPr>
          <w:b/>
          <w:i/>
          <w:sz w:val="22"/>
          <w:szCs w:val="22"/>
        </w:rPr>
        <w:t>Special</w:t>
      </w:r>
      <w:r w:rsidR="00F405CF" w:rsidRPr="008F1784">
        <w:rPr>
          <w:b/>
          <w:i/>
          <w:sz w:val="22"/>
          <w:szCs w:val="22"/>
        </w:rPr>
        <w:t xml:space="preserve"> </w:t>
      </w:r>
      <w:r w:rsidRPr="008F1784">
        <w:rPr>
          <w:b/>
          <w:i/>
          <w:sz w:val="22"/>
          <w:szCs w:val="22"/>
        </w:rPr>
        <w:t>Arrangement</w:t>
      </w:r>
      <w:r w:rsidR="00F405CF" w:rsidRPr="008F1784">
        <w:rPr>
          <w:b/>
          <w:i/>
          <w:sz w:val="22"/>
          <w:szCs w:val="22"/>
        </w:rPr>
        <w:t xml:space="preserve"> </w:t>
      </w:r>
      <w:r w:rsidR="001A0B2B" w:rsidRPr="008F1784">
        <w:rPr>
          <w:b/>
          <w:i/>
          <w:sz w:val="22"/>
          <w:szCs w:val="22"/>
        </w:rPr>
        <w:br/>
      </w:r>
      <w:r w:rsidRPr="008F1784">
        <w:rPr>
          <w:b/>
          <w:i/>
          <w:sz w:val="22"/>
          <w:szCs w:val="22"/>
        </w:rPr>
        <w:t>Amendment</w:t>
      </w:r>
      <w:r w:rsidR="00826166" w:rsidRPr="008F1784">
        <w:rPr>
          <w:b/>
          <w:i/>
          <w:sz w:val="22"/>
          <w:szCs w:val="22"/>
        </w:rPr>
        <w:t xml:space="preserve"> (</w:t>
      </w:r>
      <w:r w:rsidR="0024056B" w:rsidRPr="008F1784">
        <w:rPr>
          <w:b/>
          <w:i/>
          <w:sz w:val="22"/>
          <w:szCs w:val="22"/>
        </w:rPr>
        <w:t>August</w:t>
      </w:r>
      <w:r w:rsidR="00AF2DDA" w:rsidRPr="008F1784">
        <w:rPr>
          <w:b/>
          <w:i/>
          <w:sz w:val="22"/>
          <w:szCs w:val="22"/>
        </w:rPr>
        <w:t xml:space="preserve"> </w:t>
      </w:r>
      <w:r w:rsidR="00AA01F5" w:rsidRPr="008F1784">
        <w:rPr>
          <w:b/>
          <w:i/>
          <w:sz w:val="22"/>
          <w:szCs w:val="22"/>
        </w:rPr>
        <w:t>Update</w:t>
      </w:r>
      <w:r w:rsidR="00826166" w:rsidRPr="008F1784">
        <w:rPr>
          <w:b/>
          <w:i/>
          <w:sz w:val="22"/>
          <w:szCs w:val="22"/>
        </w:rPr>
        <w:t>)</w:t>
      </w:r>
      <w:r w:rsidR="00F405CF" w:rsidRPr="008F1784">
        <w:rPr>
          <w:b/>
          <w:i/>
          <w:sz w:val="22"/>
          <w:szCs w:val="22"/>
        </w:rPr>
        <w:t xml:space="preserve"> </w:t>
      </w:r>
      <w:r w:rsidRPr="008F1784">
        <w:rPr>
          <w:b/>
          <w:i/>
          <w:sz w:val="22"/>
          <w:szCs w:val="22"/>
        </w:rPr>
        <w:t>Instrument</w:t>
      </w:r>
      <w:r w:rsidR="00F405CF" w:rsidRPr="008F1784">
        <w:rPr>
          <w:b/>
          <w:i/>
          <w:sz w:val="22"/>
          <w:szCs w:val="22"/>
        </w:rPr>
        <w:t xml:space="preserve"> </w:t>
      </w:r>
      <w:r w:rsidR="00557A6F" w:rsidRPr="008F1784">
        <w:rPr>
          <w:b/>
          <w:i/>
          <w:sz w:val="22"/>
          <w:szCs w:val="22"/>
        </w:rPr>
        <w:t>202</w:t>
      </w:r>
      <w:r w:rsidR="008E1ABE" w:rsidRPr="008F1784">
        <w:rPr>
          <w:b/>
          <w:i/>
          <w:sz w:val="22"/>
          <w:szCs w:val="22"/>
        </w:rPr>
        <w:t>4</w:t>
      </w:r>
    </w:p>
    <w:p w14:paraId="7E8E52C2" w14:textId="26E705AE" w:rsidR="000C6A04" w:rsidRPr="008F1784" w:rsidRDefault="000C6A04" w:rsidP="00441D04">
      <w:pPr>
        <w:keepLines w:val="0"/>
        <w:spacing w:before="120" w:after="0"/>
        <w:jc w:val="center"/>
        <w:rPr>
          <w:b/>
          <w:sz w:val="22"/>
          <w:szCs w:val="22"/>
        </w:rPr>
      </w:pPr>
      <w:r w:rsidRPr="008F1784">
        <w:rPr>
          <w:b/>
          <w:sz w:val="22"/>
          <w:szCs w:val="22"/>
        </w:rPr>
        <w:t>(</w:t>
      </w:r>
      <w:r w:rsidR="008779C9" w:rsidRPr="008F1784">
        <w:rPr>
          <w:b/>
          <w:sz w:val="22"/>
          <w:szCs w:val="22"/>
        </w:rPr>
        <w:t xml:space="preserve">PB </w:t>
      </w:r>
      <w:r w:rsidR="009C6DEC" w:rsidRPr="008F1784">
        <w:rPr>
          <w:b/>
          <w:sz w:val="22"/>
          <w:szCs w:val="22"/>
        </w:rPr>
        <w:t>79</w:t>
      </w:r>
      <w:r w:rsidR="006C5FBB" w:rsidRPr="008F1784">
        <w:rPr>
          <w:b/>
          <w:sz w:val="22"/>
          <w:szCs w:val="22"/>
        </w:rPr>
        <w:t xml:space="preserve"> </w:t>
      </w:r>
      <w:r w:rsidR="005E6D84" w:rsidRPr="008F1784">
        <w:rPr>
          <w:b/>
          <w:sz w:val="22"/>
          <w:szCs w:val="22"/>
        </w:rPr>
        <w:t xml:space="preserve">of </w:t>
      </w:r>
      <w:r w:rsidR="00557A6F" w:rsidRPr="008F1784">
        <w:rPr>
          <w:b/>
          <w:sz w:val="22"/>
          <w:szCs w:val="22"/>
        </w:rPr>
        <w:t>202</w:t>
      </w:r>
      <w:r w:rsidR="008E1ABE" w:rsidRPr="008F1784">
        <w:rPr>
          <w:b/>
          <w:sz w:val="22"/>
          <w:szCs w:val="22"/>
        </w:rPr>
        <w:t>4</w:t>
      </w:r>
      <w:r w:rsidRPr="008F1784">
        <w:rPr>
          <w:b/>
          <w:sz w:val="22"/>
          <w:szCs w:val="22"/>
        </w:rPr>
        <w:t>)</w:t>
      </w:r>
    </w:p>
    <w:p w14:paraId="3509D077" w14:textId="77777777" w:rsidR="000C6A04" w:rsidRPr="008F1784" w:rsidRDefault="000C6A04" w:rsidP="00D95293">
      <w:pPr>
        <w:keepLines w:val="0"/>
        <w:spacing w:before="240" w:after="0"/>
        <w:rPr>
          <w:sz w:val="22"/>
          <w:szCs w:val="22"/>
        </w:rPr>
      </w:pPr>
      <w:r w:rsidRPr="008F1784">
        <w:rPr>
          <w:sz w:val="22"/>
          <w:szCs w:val="22"/>
        </w:rPr>
        <w:t xml:space="preserve">This Instrument is compatible with the human rights and freedoms recognised or declared in the international instruments listed in section 3 of the </w:t>
      </w:r>
      <w:r w:rsidRPr="008F1784">
        <w:rPr>
          <w:i/>
          <w:sz w:val="22"/>
          <w:szCs w:val="22"/>
        </w:rPr>
        <w:t>Human Rights (Parliamentary Scrutiny) Act 2011</w:t>
      </w:r>
      <w:r w:rsidRPr="008F1784">
        <w:rPr>
          <w:sz w:val="22"/>
          <w:szCs w:val="22"/>
        </w:rPr>
        <w:t>.</w:t>
      </w:r>
    </w:p>
    <w:p w14:paraId="548F45F6" w14:textId="77777777" w:rsidR="000C6A04" w:rsidRPr="008F1784" w:rsidRDefault="000C6A04" w:rsidP="00B111E7">
      <w:pPr>
        <w:keepLines w:val="0"/>
        <w:spacing w:before="120" w:after="0"/>
        <w:rPr>
          <w:b/>
          <w:sz w:val="22"/>
          <w:szCs w:val="22"/>
        </w:rPr>
      </w:pPr>
      <w:r w:rsidRPr="008F1784">
        <w:rPr>
          <w:b/>
          <w:sz w:val="22"/>
          <w:szCs w:val="22"/>
        </w:rPr>
        <w:t>Overview of the Instrument</w:t>
      </w:r>
    </w:p>
    <w:p w14:paraId="177BDB51" w14:textId="0972D9C2" w:rsidR="000C6A04" w:rsidRPr="008F1784" w:rsidRDefault="006F2CEF" w:rsidP="00B2617C">
      <w:pPr>
        <w:keepLines w:val="0"/>
        <w:spacing w:before="120" w:after="0"/>
        <w:rPr>
          <w:sz w:val="22"/>
          <w:szCs w:val="22"/>
        </w:rPr>
      </w:pPr>
      <w:r w:rsidRPr="008F1784">
        <w:rPr>
          <w:sz w:val="22"/>
          <w:szCs w:val="22"/>
        </w:rPr>
        <w:t>The purpose of this I</w:t>
      </w:r>
      <w:r w:rsidR="000C6A04" w:rsidRPr="008F1784">
        <w:rPr>
          <w:sz w:val="22"/>
          <w:szCs w:val="22"/>
        </w:rPr>
        <w:t xml:space="preserve">nstrument, made under subsection 100(2) of the </w:t>
      </w:r>
      <w:r w:rsidR="000C6A04" w:rsidRPr="008F1784">
        <w:rPr>
          <w:i/>
          <w:iCs/>
          <w:sz w:val="22"/>
          <w:szCs w:val="22"/>
        </w:rPr>
        <w:t>National Health Act</w:t>
      </w:r>
      <w:r w:rsidR="00F405CF" w:rsidRPr="008F1784">
        <w:rPr>
          <w:i/>
          <w:iCs/>
          <w:sz w:val="22"/>
          <w:szCs w:val="22"/>
        </w:rPr>
        <w:t xml:space="preserve"> </w:t>
      </w:r>
      <w:r w:rsidR="000C6A04" w:rsidRPr="008F1784">
        <w:rPr>
          <w:i/>
          <w:iCs/>
          <w:sz w:val="22"/>
          <w:szCs w:val="22"/>
        </w:rPr>
        <w:t>19</w:t>
      </w:r>
      <w:r w:rsidR="00D76B16" w:rsidRPr="008F1784">
        <w:rPr>
          <w:i/>
          <w:iCs/>
          <w:sz w:val="22"/>
          <w:szCs w:val="22"/>
        </w:rPr>
        <w:t>5</w:t>
      </w:r>
      <w:r w:rsidR="000C6A04" w:rsidRPr="008F1784">
        <w:rPr>
          <w:i/>
          <w:iCs/>
          <w:sz w:val="22"/>
          <w:szCs w:val="22"/>
        </w:rPr>
        <w:t>3</w:t>
      </w:r>
      <w:r w:rsidR="000C6A04" w:rsidRPr="008F1784">
        <w:rPr>
          <w:sz w:val="22"/>
          <w:szCs w:val="22"/>
        </w:rPr>
        <w:t xml:space="preserve"> (the Act), is to amend the </w:t>
      </w:r>
      <w:r w:rsidR="000C6A04" w:rsidRPr="008F1784">
        <w:rPr>
          <w:i/>
          <w:iCs/>
          <w:sz w:val="22"/>
          <w:szCs w:val="22"/>
        </w:rPr>
        <w:t xml:space="preserve">National Health (Highly </w:t>
      </w:r>
      <w:r w:rsidR="008A4A82" w:rsidRPr="008F1784">
        <w:rPr>
          <w:i/>
          <w:iCs/>
          <w:sz w:val="22"/>
          <w:szCs w:val="22"/>
        </w:rPr>
        <w:t>Specialised D</w:t>
      </w:r>
      <w:r w:rsidR="000C6A04" w:rsidRPr="008F1784">
        <w:rPr>
          <w:i/>
          <w:iCs/>
          <w:sz w:val="22"/>
          <w:szCs w:val="22"/>
        </w:rPr>
        <w:t xml:space="preserve">rugs </w:t>
      </w:r>
      <w:r w:rsidR="008A4A82" w:rsidRPr="008F1784">
        <w:rPr>
          <w:i/>
          <w:iCs/>
          <w:sz w:val="22"/>
          <w:szCs w:val="22"/>
        </w:rPr>
        <w:t>P</w:t>
      </w:r>
      <w:r w:rsidR="000C6A04" w:rsidRPr="008F1784">
        <w:rPr>
          <w:i/>
          <w:iCs/>
          <w:sz w:val="22"/>
          <w:szCs w:val="22"/>
        </w:rPr>
        <w:t>rogram) Special Arrangement 20</w:t>
      </w:r>
      <w:r w:rsidR="008A4A82" w:rsidRPr="008F1784">
        <w:rPr>
          <w:i/>
          <w:iCs/>
          <w:sz w:val="22"/>
          <w:szCs w:val="22"/>
        </w:rPr>
        <w:t>2</w:t>
      </w:r>
      <w:r w:rsidR="000C6A04" w:rsidRPr="008F1784">
        <w:rPr>
          <w:i/>
          <w:iCs/>
          <w:sz w:val="22"/>
          <w:szCs w:val="22"/>
        </w:rPr>
        <w:t>1</w:t>
      </w:r>
      <w:r w:rsidR="000C6A04" w:rsidRPr="008F1784">
        <w:rPr>
          <w:sz w:val="22"/>
          <w:szCs w:val="22"/>
        </w:rPr>
        <w:t xml:space="preserve"> (PB </w:t>
      </w:r>
      <w:r w:rsidR="008A4A82" w:rsidRPr="008F1784">
        <w:rPr>
          <w:sz w:val="22"/>
          <w:szCs w:val="22"/>
        </w:rPr>
        <w:t>27</w:t>
      </w:r>
      <w:r w:rsidR="000C6A04" w:rsidRPr="008F1784">
        <w:rPr>
          <w:sz w:val="22"/>
          <w:szCs w:val="22"/>
        </w:rPr>
        <w:t xml:space="preserve"> of 20</w:t>
      </w:r>
      <w:r w:rsidR="008A4A82" w:rsidRPr="008F1784">
        <w:rPr>
          <w:sz w:val="22"/>
          <w:szCs w:val="22"/>
        </w:rPr>
        <w:t>2</w:t>
      </w:r>
      <w:r w:rsidR="000C6A04" w:rsidRPr="008F1784">
        <w:rPr>
          <w:sz w:val="22"/>
          <w:szCs w:val="22"/>
        </w:rPr>
        <w:t xml:space="preserve">1) (the Special Arrangement), to make changes to the Special Arrangement relating to the </w:t>
      </w:r>
      <w:r w:rsidR="00DB0632" w:rsidRPr="008F1784">
        <w:rPr>
          <w:sz w:val="22"/>
          <w:szCs w:val="22"/>
        </w:rPr>
        <w:t>Highly Specialised D</w:t>
      </w:r>
      <w:r w:rsidR="000C6A04" w:rsidRPr="008F1784">
        <w:rPr>
          <w:sz w:val="22"/>
          <w:szCs w:val="22"/>
        </w:rPr>
        <w:t xml:space="preserve">rugs </w:t>
      </w:r>
      <w:r w:rsidR="006F53A9" w:rsidRPr="008F1784">
        <w:rPr>
          <w:sz w:val="22"/>
          <w:szCs w:val="22"/>
        </w:rPr>
        <w:t>P</w:t>
      </w:r>
      <w:r w:rsidR="000C6A04" w:rsidRPr="008F1784">
        <w:rPr>
          <w:sz w:val="22"/>
          <w:szCs w:val="22"/>
        </w:rPr>
        <w:t>rogram.</w:t>
      </w:r>
    </w:p>
    <w:p w14:paraId="059969F4" w14:textId="12DC7E54" w:rsidR="000C6A04" w:rsidRPr="008F1784" w:rsidRDefault="000C6A04" w:rsidP="00B2617C">
      <w:pPr>
        <w:keepLines w:val="0"/>
        <w:spacing w:before="120" w:after="0"/>
        <w:rPr>
          <w:sz w:val="22"/>
          <w:szCs w:val="22"/>
        </w:rPr>
      </w:pPr>
      <w:r w:rsidRPr="008F1784">
        <w:rPr>
          <w:sz w:val="22"/>
          <w:szCs w:val="22"/>
        </w:rPr>
        <w:t>The pharmaceutical benefits supplied under the Special Arrangement are for the treatment of chronic conditions which, because of their clinical use or other special features, may only be supplied to patients receiving specialised treatment.</w:t>
      </w:r>
      <w:r w:rsidR="00D8527F" w:rsidRPr="008F1784">
        <w:rPr>
          <w:sz w:val="22"/>
          <w:szCs w:val="22"/>
        </w:rPr>
        <w:t xml:space="preserve"> </w:t>
      </w:r>
    </w:p>
    <w:p w14:paraId="6982599B" w14:textId="6ED6FFAA" w:rsidR="000C6A04" w:rsidRPr="008F1784" w:rsidRDefault="000C6A04" w:rsidP="00B111E7">
      <w:pPr>
        <w:keepLines w:val="0"/>
        <w:spacing w:before="120" w:after="0"/>
        <w:rPr>
          <w:b/>
          <w:sz w:val="22"/>
          <w:szCs w:val="22"/>
        </w:rPr>
      </w:pPr>
      <w:r w:rsidRPr="008F1784">
        <w:rPr>
          <w:b/>
          <w:sz w:val="22"/>
          <w:szCs w:val="22"/>
        </w:rPr>
        <w:t xml:space="preserve">Human </w:t>
      </w:r>
      <w:r w:rsidR="00F63405" w:rsidRPr="008F1784">
        <w:rPr>
          <w:b/>
          <w:sz w:val="22"/>
          <w:szCs w:val="22"/>
        </w:rPr>
        <w:t>R</w:t>
      </w:r>
      <w:r w:rsidRPr="008F1784">
        <w:rPr>
          <w:b/>
          <w:sz w:val="22"/>
          <w:szCs w:val="22"/>
        </w:rPr>
        <w:t xml:space="preserve">ights </w:t>
      </w:r>
      <w:r w:rsidR="00F63405" w:rsidRPr="008F1784">
        <w:rPr>
          <w:b/>
          <w:sz w:val="22"/>
          <w:szCs w:val="22"/>
        </w:rPr>
        <w:t>I</w:t>
      </w:r>
      <w:r w:rsidRPr="008F1784">
        <w:rPr>
          <w:b/>
          <w:sz w:val="22"/>
          <w:szCs w:val="22"/>
        </w:rPr>
        <w:t>mplications</w:t>
      </w:r>
    </w:p>
    <w:p w14:paraId="46C8C1F3" w14:textId="67464C01" w:rsidR="003C526C" w:rsidRPr="008F1784" w:rsidRDefault="003C526C" w:rsidP="00EA47E2">
      <w:pPr>
        <w:spacing w:before="120"/>
        <w:rPr>
          <w:sz w:val="22"/>
          <w:szCs w:val="22"/>
        </w:rPr>
      </w:pPr>
      <w:bookmarkStart w:id="3" w:name="_Hlk90288405"/>
      <w:r w:rsidRPr="008F1784">
        <w:rPr>
          <w:sz w:val="22"/>
          <w:szCs w:val="22"/>
        </w:rPr>
        <w:t xml:space="preserve">This Instrument engages Articles 9 and 12 of the International Covenant on Economic Social and Cultural Rights (ICESCR), specifically the rights to </w:t>
      </w:r>
      <w:bookmarkStart w:id="4" w:name="_Hlk93905106"/>
      <w:r w:rsidR="00E41F73" w:rsidRPr="008F1784">
        <w:rPr>
          <w:sz w:val="22"/>
          <w:szCs w:val="22"/>
        </w:rPr>
        <w:t xml:space="preserve">social security and </w:t>
      </w:r>
      <w:r w:rsidRPr="008F1784">
        <w:rPr>
          <w:sz w:val="22"/>
          <w:szCs w:val="22"/>
        </w:rPr>
        <w:t>health</w:t>
      </w:r>
      <w:r w:rsidR="000F2CD4" w:rsidRPr="008F1784">
        <w:rPr>
          <w:sz w:val="22"/>
          <w:szCs w:val="22"/>
        </w:rPr>
        <w:t>.</w:t>
      </w:r>
      <w:bookmarkEnd w:id="4"/>
    </w:p>
    <w:bookmarkEnd w:id="3"/>
    <w:p w14:paraId="1EC56098" w14:textId="77777777" w:rsidR="003C526C" w:rsidRPr="008F1784" w:rsidRDefault="003C526C" w:rsidP="00EA47E2">
      <w:pPr>
        <w:keepLines w:val="0"/>
        <w:spacing w:before="120" w:after="0"/>
        <w:rPr>
          <w:sz w:val="22"/>
          <w:szCs w:val="22"/>
        </w:rPr>
      </w:pPr>
      <w:r w:rsidRPr="008F1784">
        <w:rPr>
          <w:i/>
          <w:iCs/>
          <w:sz w:val="22"/>
          <w:szCs w:val="22"/>
        </w:rPr>
        <w:t>The Right to Social Security</w:t>
      </w:r>
    </w:p>
    <w:p w14:paraId="15176E7A" w14:textId="1096ED64" w:rsidR="003C526C" w:rsidRPr="008F1784" w:rsidRDefault="003C526C" w:rsidP="00EA47E2">
      <w:pPr>
        <w:keepLines w:val="0"/>
        <w:spacing w:before="120" w:after="0"/>
        <w:rPr>
          <w:sz w:val="22"/>
          <w:szCs w:val="22"/>
        </w:rPr>
      </w:pPr>
      <w:r w:rsidRPr="008F1784">
        <w:rPr>
          <w:sz w:val="22"/>
          <w:szCs w:val="22"/>
        </w:rPr>
        <w:t xml:space="preserve">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w:t>
      </w:r>
      <w:proofErr w:type="gramStart"/>
      <w:r w:rsidRPr="008F1784">
        <w:rPr>
          <w:sz w:val="22"/>
          <w:szCs w:val="22"/>
        </w:rPr>
        <w:t>in an effort to</w:t>
      </w:r>
      <w:proofErr w:type="gramEnd"/>
      <w:r w:rsidRPr="008F1784">
        <w:rPr>
          <w:sz w:val="22"/>
          <w:szCs w:val="22"/>
        </w:rPr>
        <w:t xml:space="preserve"> satisfy, as a matter of priority, this minimum obligation.</w:t>
      </w:r>
    </w:p>
    <w:p w14:paraId="1CDFC733" w14:textId="77777777" w:rsidR="003A0D33" w:rsidRPr="008F1784" w:rsidRDefault="003A0D33" w:rsidP="00EA47E2">
      <w:pPr>
        <w:keepLines w:val="0"/>
        <w:spacing w:before="120" w:after="0"/>
        <w:rPr>
          <w:sz w:val="22"/>
          <w:szCs w:val="22"/>
        </w:rPr>
      </w:pPr>
      <w:bookmarkStart w:id="5" w:name="_Hlk93905188"/>
      <w:r w:rsidRPr="008F1784">
        <w:rPr>
          <w:sz w:val="22"/>
          <w:szCs w:val="22"/>
        </w:rPr>
        <w:t xml:space="preserve">The UN Committee on Economic Social and Cultural Rights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w:t>
      </w:r>
      <w:proofErr w:type="gramStart"/>
      <w:r w:rsidRPr="008F1784">
        <w:rPr>
          <w:sz w:val="22"/>
          <w:szCs w:val="22"/>
        </w:rPr>
        <w:t>Government</w:t>
      </w:r>
      <w:proofErr w:type="gramEnd"/>
      <w:r w:rsidRPr="008F1784">
        <w:rPr>
          <w:sz w:val="22"/>
          <w:szCs w:val="22"/>
        </w:rPr>
        <w:t xml:space="preserve"> to re-direct its limited resources in ways that it considers to be more effective at meeting the general health needs of all society, particularly the needs of the more disadvantaged members of society.</w:t>
      </w:r>
    </w:p>
    <w:bookmarkEnd w:id="5"/>
    <w:p w14:paraId="3EF60E32" w14:textId="77777777" w:rsidR="003C526C" w:rsidRPr="008F1784" w:rsidRDefault="003C526C" w:rsidP="00EA47E2">
      <w:pPr>
        <w:spacing w:before="120"/>
        <w:rPr>
          <w:i/>
          <w:iCs/>
          <w:sz w:val="22"/>
          <w:szCs w:val="22"/>
        </w:rPr>
      </w:pPr>
      <w:r w:rsidRPr="008F1784">
        <w:rPr>
          <w:i/>
          <w:iCs/>
          <w:sz w:val="22"/>
          <w:szCs w:val="22"/>
        </w:rPr>
        <w:t>The Right to Health</w:t>
      </w:r>
    </w:p>
    <w:p w14:paraId="008B5FC5" w14:textId="77777777" w:rsidR="003C526C" w:rsidRPr="008F1784" w:rsidRDefault="003C526C" w:rsidP="00EA47E2">
      <w:pPr>
        <w:spacing w:before="120"/>
        <w:rPr>
          <w:sz w:val="22"/>
          <w:szCs w:val="22"/>
        </w:rPr>
      </w:pPr>
      <w:r w:rsidRPr="008F1784">
        <w:rPr>
          <w:sz w:val="22"/>
          <w:szCs w:val="22"/>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proofErr w:type="gramStart"/>
      <w:r w:rsidRPr="008F1784">
        <w:rPr>
          <w:sz w:val="22"/>
          <w:szCs w:val="22"/>
        </w:rPr>
        <w:t>healthy, but</w:t>
      </w:r>
      <w:proofErr w:type="gramEnd"/>
      <w:r w:rsidRPr="008F1784">
        <w:rPr>
          <w:sz w:val="22"/>
          <w:szCs w:val="22"/>
        </w:rPr>
        <w:t xml:space="preserve"> is a right to a system of health protection which provides equality of opportunity for people to enjoy the highest attainable level of health.</w:t>
      </w:r>
    </w:p>
    <w:p w14:paraId="7DE5C69B" w14:textId="087F44C6" w:rsidR="003C526C" w:rsidRPr="008F1784" w:rsidRDefault="003C526C" w:rsidP="00EA47E2">
      <w:pPr>
        <w:keepLines w:val="0"/>
        <w:spacing w:before="120" w:after="0"/>
        <w:rPr>
          <w:sz w:val="22"/>
          <w:szCs w:val="22"/>
        </w:rPr>
      </w:pPr>
      <w:r w:rsidRPr="008F1784">
        <w:rPr>
          <w:sz w:val="22"/>
          <w:szCs w:val="22"/>
        </w:rPr>
        <w:t xml:space="preserve">The Committee reports that the ‘highest attainable standard of health’ </w:t>
      </w:r>
      <w:proofErr w:type="gramStart"/>
      <w:r w:rsidRPr="008F1784">
        <w:rPr>
          <w:sz w:val="22"/>
          <w:szCs w:val="22"/>
        </w:rPr>
        <w:t>takes into account</w:t>
      </w:r>
      <w:proofErr w:type="gramEnd"/>
      <w:r w:rsidRPr="008F1784">
        <w:rPr>
          <w:sz w:val="22"/>
          <w:szCs w:val="22"/>
        </w:rPr>
        <w:t xml:space="preserve"> the country’s available resources. This right may be understood as a right of access to a variety of public health and health care facilities, goods, services, programs, and conditions necessary for the realisation of the highest attainable standard of health</w:t>
      </w:r>
      <w:r w:rsidR="004A49FD" w:rsidRPr="008F1784">
        <w:rPr>
          <w:sz w:val="22"/>
          <w:szCs w:val="22"/>
        </w:rPr>
        <w:t>.</w:t>
      </w:r>
    </w:p>
    <w:p w14:paraId="0AF2E1D2" w14:textId="77777777" w:rsidR="00A46E6E" w:rsidRPr="008F1784" w:rsidRDefault="00A46E6E">
      <w:pPr>
        <w:keepLines w:val="0"/>
        <w:spacing w:after="0"/>
        <w:jc w:val="left"/>
        <w:rPr>
          <w:b/>
          <w:bCs/>
          <w:sz w:val="22"/>
          <w:szCs w:val="22"/>
        </w:rPr>
      </w:pPr>
      <w:r w:rsidRPr="008F1784">
        <w:rPr>
          <w:b/>
          <w:bCs/>
          <w:sz w:val="22"/>
          <w:szCs w:val="22"/>
        </w:rPr>
        <w:br w:type="page"/>
      </w:r>
    </w:p>
    <w:p w14:paraId="7301116E" w14:textId="0E4BBF34" w:rsidR="003C526C" w:rsidRPr="008F1784" w:rsidRDefault="003C526C" w:rsidP="00A46E6E">
      <w:pPr>
        <w:rPr>
          <w:b/>
          <w:bCs/>
          <w:sz w:val="22"/>
          <w:szCs w:val="22"/>
        </w:rPr>
      </w:pPr>
      <w:r w:rsidRPr="008F1784">
        <w:rPr>
          <w:b/>
          <w:bCs/>
          <w:sz w:val="22"/>
          <w:szCs w:val="22"/>
        </w:rPr>
        <w:lastRenderedPageBreak/>
        <w:t>Analysis</w:t>
      </w:r>
    </w:p>
    <w:p w14:paraId="590213BE" w14:textId="7F738690" w:rsidR="00A57D88" w:rsidRPr="008F1784" w:rsidRDefault="008B45F7" w:rsidP="00CC109C">
      <w:pPr>
        <w:rPr>
          <w:sz w:val="22"/>
          <w:szCs w:val="22"/>
        </w:rPr>
      </w:pPr>
      <w:bookmarkStart w:id="6" w:name="_Hlk95462817"/>
      <w:r w:rsidRPr="008F1784">
        <w:rPr>
          <w:sz w:val="22"/>
          <w:szCs w:val="22"/>
        </w:rPr>
        <w:t xml:space="preserve">This Instrument advances the right to health and the right to social security by ensuring that the amendments to the </w:t>
      </w:r>
      <w:r w:rsidRPr="008F1784">
        <w:rPr>
          <w:i/>
          <w:iCs/>
          <w:sz w:val="22"/>
          <w:szCs w:val="22"/>
        </w:rPr>
        <w:t xml:space="preserve">National Health (Listing of Pharmaceutical Benefits) Instrument </w:t>
      </w:r>
      <w:r w:rsidR="00602E5D" w:rsidRPr="008F1784">
        <w:rPr>
          <w:i/>
          <w:iCs/>
          <w:sz w:val="22"/>
          <w:szCs w:val="22"/>
        </w:rPr>
        <w:t>2024</w:t>
      </w:r>
      <w:r w:rsidRPr="008F1784">
        <w:rPr>
          <w:sz w:val="22"/>
          <w:szCs w:val="22"/>
        </w:rPr>
        <w:t xml:space="preserve"> (the Listing Instrument), that affect the pharmaceutical benefits that may be supplied under the Special Arrangement, are made concurrently</w:t>
      </w:r>
      <w:r w:rsidR="00014E3A" w:rsidRPr="008F1784">
        <w:rPr>
          <w:sz w:val="22"/>
          <w:szCs w:val="22"/>
        </w:rPr>
        <w:t xml:space="preserve">. </w:t>
      </w:r>
      <w:r w:rsidR="00A57D88" w:rsidRPr="008F1784">
        <w:rPr>
          <w:sz w:val="22"/>
          <w:szCs w:val="22"/>
        </w:rPr>
        <w:t xml:space="preserve">This Instrument provides for the addition of the listed drug </w:t>
      </w:r>
      <w:proofErr w:type="spellStart"/>
      <w:r w:rsidR="009C6DEC" w:rsidRPr="008F1784">
        <w:rPr>
          <w:sz w:val="22"/>
          <w:szCs w:val="22"/>
        </w:rPr>
        <w:t>patisiran</w:t>
      </w:r>
      <w:proofErr w:type="spellEnd"/>
      <w:r w:rsidR="00A57D88" w:rsidRPr="008F1784">
        <w:rPr>
          <w:sz w:val="22"/>
          <w:szCs w:val="22"/>
        </w:rPr>
        <w:t xml:space="preserve">, </w:t>
      </w:r>
      <w:r w:rsidR="00A8000F" w:rsidRPr="008F1784">
        <w:rPr>
          <w:sz w:val="22"/>
          <w:szCs w:val="22"/>
        </w:rPr>
        <w:t xml:space="preserve">the addition of forms of the listed drug </w:t>
      </w:r>
      <w:proofErr w:type="spellStart"/>
      <w:r w:rsidR="009C6DEC" w:rsidRPr="008F1784">
        <w:rPr>
          <w:sz w:val="22"/>
          <w:szCs w:val="22"/>
        </w:rPr>
        <w:t>elexacaftor</w:t>
      </w:r>
      <w:proofErr w:type="spellEnd"/>
      <w:r w:rsidR="009C6DEC" w:rsidRPr="008F1784">
        <w:rPr>
          <w:sz w:val="22"/>
          <w:szCs w:val="22"/>
        </w:rPr>
        <w:t xml:space="preserve"> with </w:t>
      </w:r>
      <w:proofErr w:type="spellStart"/>
      <w:r w:rsidR="009C6DEC" w:rsidRPr="008F1784">
        <w:rPr>
          <w:sz w:val="22"/>
          <w:szCs w:val="22"/>
        </w:rPr>
        <w:t>tezacaftor</w:t>
      </w:r>
      <w:proofErr w:type="spellEnd"/>
      <w:r w:rsidR="009C6DEC" w:rsidRPr="008F1784">
        <w:rPr>
          <w:sz w:val="22"/>
          <w:szCs w:val="22"/>
        </w:rPr>
        <w:t xml:space="preserve"> and with ivacaftor, and ivacaftor</w:t>
      </w:r>
      <w:r w:rsidR="00A8000F" w:rsidRPr="008F1784">
        <w:rPr>
          <w:sz w:val="22"/>
          <w:szCs w:val="22"/>
        </w:rPr>
        <w:t>, and the addition of brand</w:t>
      </w:r>
      <w:r w:rsidR="009C6DEC" w:rsidRPr="008F1784">
        <w:rPr>
          <w:sz w:val="22"/>
          <w:szCs w:val="22"/>
        </w:rPr>
        <w:t>s</w:t>
      </w:r>
      <w:r w:rsidR="00A8000F" w:rsidRPr="008F1784">
        <w:rPr>
          <w:sz w:val="22"/>
          <w:szCs w:val="22"/>
        </w:rPr>
        <w:t xml:space="preserve"> of the listed drugs </w:t>
      </w:r>
      <w:r w:rsidR="009C6DEC" w:rsidRPr="008F1784">
        <w:rPr>
          <w:sz w:val="22"/>
          <w:szCs w:val="22"/>
        </w:rPr>
        <w:t xml:space="preserve">adalimumab, </w:t>
      </w:r>
      <w:r w:rsidR="006B0DB9" w:rsidRPr="008F1784">
        <w:rPr>
          <w:sz w:val="22"/>
          <w:szCs w:val="22"/>
        </w:rPr>
        <w:t xml:space="preserve">tadalafil, </w:t>
      </w:r>
      <w:r w:rsidR="009C6DEC" w:rsidRPr="008F1784">
        <w:rPr>
          <w:sz w:val="22"/>
          <w:szCs w:val="22"/>
        </w:rPr>
        <w:t>tenofovir, and zoledronic acid</w:t>
      </w:r>
      <w:r w:rsidR="00A8000F" w:rsidRPr="008F1784">
        <w:rPr>
          <w:sz w:val="22"/>
          <w:szCs w:val="22"/>
        </w:rPr>
        <w:t>.</w:t>
      </w:r>
      <w:r w:rsidR="009C6DEC" w:rsidRPr="008F1784">
        <w:rPr>
          <w:sz w:val="22"/>
          <w:szCs w:val="22"/>
        </w:rPr>
        <w:t xml:space="preserve"> It also provides for the deletion of brands of the listed drugs </w:t>
      </w:r>
      <w:proofErr w:type="spellStart"/>
      <w:r w:rsidR="009C6DEC" w:rsidRPr="008F1784">
        <w:rPr>
          <w:sz w:val="22"/>
          <w:szCs w:val="22"/>
        </w:rPr>
        <w:t>bosentan</w:t>
      </w:r>
      <w:proofErr w:type="spellEnd"/>
      <w:r w:rsidR="009C6DEC" w:rsidRPr="008F1784">
        <w:rPr>
          <w:sz w:val="22"/>
          <w:szCs w:val="22"/>
        </w:rPr>
        <w:t>, cinacalcet, mycophenolic acid</w:t>
      </w:r>
      <w:r w:rsidR="00800B9B" w:rsidRPr="008F1784">
        <w:rPr>
          <w:sz w:val="22"/>
          <w:szCs w:val="22"/>
        </w:rPr>
        <w:t>,</w:t>
      </w:r>
      <w:r w:rsidR="009C6DEC" w:rsidRPr="008F1784">
        <w:rPr>
          <w:sz w:val="22"/>
          <w:szCs w:val="22"/>
        </w:rPr>
        <w:t xml:space="preserve"> and valganciclovir.</w:t>
      </w:r>
    </w:p>
    <w:p w14:paraId="6549628E" w14:textId="15A3EC8B" w:rsidR="00A71510" w:rsidRPr="008F1784" w:rsidRDefault="00A71510" w:rsidP="00D95293">
      <w:pPr>
        <w:keepLines w:val="0"/>
        <w:spacing w:before="120" w:after="0"/>
        <w:rPr>
          <w:sz w:val="22"/>
          <w:szCs w:val="22"/>
        </w:rPr>
      </w:pPr>
      <w:r w:rsidRPr="008F1784">
        <w:rPr>
          <w:sz w:val="22"/>
          <w:szCs w:val="22"/>
        </w:rPr>
        <w:t>The Listing Instrument determines the pharmaceutical benefits that are on the Pharmaceutical Benefits Scheme (PBS) through declarations of drugs and medicinal preparations, and determinations of forms, manners of administration and brands. The PBS is a benefit scheme which assists with advancement of these human rights by providing for subsidised access by patients to medicines. The recommendatory role of the Pharmaceutical Benefits Advisory Committee (PBAC) ensures that decisions about subsidised access to medicines on the PBS are evidence-based.</w:t>
      </w:r>
      <w:bookmarkEnd w:id="6"/>
    </w:p>
    <w:p w14:paraId="471DB08D" w14:textId="77777777" w:rsidR="009C6DEC" w:rsidRPr="008F1784" w:rsidRDefault="009C6DEC" w:rsidP="009C6DEC">
      <w:pPr>
        <w:pStyle w:val="NormalWeb"/>
        <w:spacing w:before="120" w:beforeAutospacing="0" w:after="0" w:afterAutospacing="0"/>
        <w:jc w:val="both"/>
        <w:rPr>
          <w:rFonts w:ascii="Calibri" w:hAnsi="Calibri" w:cs="Calibri"/>
          <w:sz w:val="22"/>
          <w:szCs w:val="22"/>
        </w:rPr>
      </w:pPr>
      <w:r w:rsidRPr="008F1784">
        <w:rPr>
          <w:sz w:val="22"/>
          <w:szCs w:val="22"/>
        </w:rPr>
        <w:t xml:space="preserve">If there are many brands of a listed drug and form, then the delisting of one brand will not adversely affect members of the public as they will be able to obtain any of the other equivalent brands. The deletion of brands in this Instrument will not affect access to the drugs, as affected patients will be able to access equivalent brands, at the same cost. Consequently, the brand </w:t>
      </w:r>
      <w:proofErr w:type="spellStart"/>
      <w:r w:rsidRPr="008F1784">
        <w:rPr>
          <w:sz w:val="22"/>
          <w:szCs w:val="22"/>
        </w:rPr>
        <w:t>delistings</w:t>
      </w:r>
      <w:proofErr w:type="spellEnd"/>
      <w:r w:rsidRPr="008F1784">
        <w:rPr>
          <w:sz w:val="22"/>
          <w:szCs w:val="22"/>
        </w:rPr>
        <w:t xml:space="preserve"> in this instrument do not result in an unmet clinical need. Note that delisting of maximum quantities, number of repeats, and pack sizes are equivalent to brand </w:t>
      </w:r>
      <w:proofErr w:type="spellStart"/>
      <w:r w:rsidRPr="008F1784">
        <w:rPr>
          <w:sz w:val="22"/>
          <w:szCs w:val="22"/>
        </w:rPr>
        <w:t>delistings</w:t>
      </w:r>
      <w:proofErr w:type="spellEnd"/>
      <w:r w:rsidRPr="008F1784">
        <w:rPr>
          <w:sz w:val="22"/>
          <w:szCs w:val="22"/>
        </w:rPr>
        <w:t>.</w:t>
      </w:r>
    </w:p>
    <w:p w14:paraId="28DDDF37" w14:textId="3F0C1414" w:rsidR="000C6A04" w:rsidRPr="008F1784" w:rsidRDefault="000C6A04" w:rsidP="00CC109C">
      <w:pPr>
        <w:spacing w:before="120" w:after="0"/>
        <w:rPr>
          <w:b/>
          <w:sz w:val="22"/>
          <w:szCs w:val="22"/>
        </w:rPr>
      </w:pPr>
      <w:r w:rsidRPr="008F1784">
        <w:rPr>
          <w:b/>
          <w:sz w:val="22"/>
          <w:szCs w:val="22"/>
        </w:rPr>
        <w:t>Conclusion</w:t>
      </w:r>
    </w:p>
    <w:p w14:paraId="62C90CCE" w14:textId="77777777" w:rsidR="000C6A04" w:rsidRPr="008F1784" w:rsidRDefault="006F2CEF" w:rsidP="00CC109C">
      <w:pPr>
        <w:keepLines w:val="0"/>
        <w:spacing w:before="120" w:after="0"/>
        <w:rPr>
          <w:sz w:val="22"/>
          <w:szCs w:val="22"/>
        </w:rPr>
      </w:pPr>
      <w:r w:rsidRPr="008F1784">
        <w:rPr>
          <w:sz w:val="22"/>
          <w:szCs w:val="22"/>
        </w:rPr>
        <w:t>This I</w:t>
      </w:r>
      <w:r w:rsidR="000C6A04" w:rsidRPr="008F1784">
        <w:rPr>
          <w:sz w:val="22"/>
          <w:szCs w:val="22"/>
        </w:rPr>
        <w:t>nstrument is compatible with human rights because it advances the protection of human rights.</w:t>
      </w:r>
    </w:p>
    <w:p w14:paraId="37A620C2" w14:textId="515CAD80" w:rsidR="00506411" w:rsidRPr="008F1784" w:rsidRDefault="00A36694" w:rsidP="004E3980">
      <w:pPr>
        <w:spacing w:before="240" w:after="0"/>
        <w:jc w:val="center"/>
        <w:rPr>
          <w:b/>
        </w:rPr>
      </w:pPr>
      <w:r w:rsidRPr="008F1784">
        <w:rPr>
          <w:b/>
        </w:rPr>
        <w:t>Nikolai Tsyganov</w:t>
      </w:r>
      <w:r w:rsidR="00503469" w:rsidRPr="008F1784">
        <w:rPr>
          <w:b/>
        </w:rPr>
        <w:br/>
      </w:r>
      <w:r w:rsidR="00506411" w:rsidRPr="008F1784">
        <w:rPr>
          <w:b/>
        </w:rPr>
        <w:t>Assistant Secretary</w:t>
      </w:r>
    </w:p>
    <w:p w14:paraId="7B4379BB" w14:textId="77777777" w:rsidR="00506411" w:rsidRPr="008F1784" w:rsidRDefault="00506411" w:rsidP="00506411">
      <w:pPr>
        <w:spacing w:after="0"/>
        <w:jc w:val="center"/>
        <w:rPr>
          <w:b/>
        </w:rPr>
      </w:pPr>
      <w:r w:rsidRPr="008F1784">
        <w:rPr>
          <w:b/>
        </w:rPr>
        <w:t>Pricing and PBS Policy Branch</w:t>
      </w:r>
    </w:p>
    <w:p w14:paraId="6FBB74A6" w14:textId="77777777" w:rsidR="00FD3A22" w:rsidRPr="008F1784" w:rsidRDefault="00FD3A22" w:rsidP="00506411">
      <w:pPr>
        <w:keepLines w:val="0"/>
        <w:spacing w:after="0"/>
        <w:jc w:val="center"/>
        <w:rPr>
          <w:b/>
        </w:rPr>
      </w:pPr>
      <w:r w:rsidRPr="008F1784">
        <w:rPr>
          <w:b/>
        </w:rPr>
        <w:t>Technology Assessment and Access Division</w:t>
      </w:r>
    </w:p>
    <w:p w14:paraId="0576FBF8" w14:textId="10A06B31" w:rsidR="00FD3A22" w:rsidRPr="003B6CD7" w:rsidRDefault="00FD3A22" w:rsidP="00506411">
      <w:pPr>
        <w:keepLines w:val="0"/>
        <w:spacing w:after="0"/>
        <w:jc w:val="center"/>
        <w:rPr>
          <w:b/>
        </w:rPr>
      </w:pPr>
      <w:r w:rsidRPr="008F1784">
        <w:rPr>
          <w:b/>
        </w:rPr>
        <w:t>Department of Health</w:t>
      </w:r>
      <w:r w:rsidR="00D01321" w:rsidRPr="008F1784">
        <w:rPr>
          <w:b/>
        </w:rPr>
        <w:t xml:space="preserve"> and Aged Care</w:t>
      </w:r>
    </w:p>
    <w:sectPr w:rsidR="00FD3A22" w:rsidRPr="003B6CD7" w:rsidSect="00470A0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993"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61CB4A" w14:textId="77777777" w:rsidR="00766BA4" w:rsidRDefault="00766BA4">
      <w:r>
        <w:separator/>
      </w:r>
    </w:p>
  </w:endnote>
  <w:endnote w:type="continuationSeparator" w:id="0">
    <w:p w14:paraId="6C920D53" w14:textId="77777777" w:rsidR="00766BA4" w:rsidRDefault="00766B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OUZZP+HelveticaNeue">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AFF3E4" w14:textId="77777777" w:rsidR="00940735" w:rsidRDefault="00940735" w:rsidP="00617C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2C4DB1" w14:textId="77777777" w:rsidR="00940735" w:rsidRDefault="009407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5052024"/>
      <w:docPartObj>
        <w:docPartGallery w:val="Page Numbers (Bottom of Page)"/>
        <w:docPartUnique/>
      </w:docPartObj>
    </w:sdtPr>
    <w:sdtEndPr>
      <w:rPr>
        <w:noProof/>
      </w:rPr>
    </w:sdtEndPr>
    <w:sdtContent>
      <w:p w14:paraId="237B602F" w14:textId="66E1C691" w:rsidR="00D85AAA" w:rsidRDefault="00D85AAA" w:rsidP="00D85AAA">
        <w:pPr>
          <w:pStyle w:val="Footer"/>
          <w:keepLines w:val="0"/>
          <w:spacing w:after="0"/>
          <w:jc w:val="center"/>
        </w:pPr>
        <w:r>
          <w:fldChar w:fldCharType="begin"/>
        </w:r>
        <w:r>
          <w:instrText xml:space="preserve"> PAGE   \* MERGEFORMAT </w:instrText>
        </w:r>
        <w:r>
          <w:fldChar w:fldCharType="separate"/>
        </w:r>
        <w:r w:rsidR="00D606CE">
          <w:rPr>
            <w:noProof/>
          </w:rPr>
          <w:t>5</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1620915"/>
      <w:docPartObj>
        <w:docPartGallery w:val="Page Numbers (Bottom of Page)"/>
        <w:docPartUnique/>
      </w:docPartObj>
    </w:sdtPr>
    <w:sdtEndPr>
      <w:rPr>
        <w:noProof/>
      </w:rPr>
    </w:sdtEndPr>
    <w:sdtContent>
      <w:p w14:paraId="6E16443A" w14:textId="5CCCA38E" w:rsidR="00940735" w:rsidRDefault="002E334F" w:rsidP="002E334F">
        <w:pPr>
          <w:pStyle w:val="Footer"/>
          <w:keepLines w:val="0"/>
          <w:spacing w:after="0"/>
          <w:jc w:val="center"/>
        </w:pPr>
        <w:r>
          <w:fldChar w:fldCharType="begin"/>
        </w:r>
        <w:r>
          <w:instrText xml:space="preserve"> PAGE   \* MERGEFORMAT </w:instrText>
        </w:r>
        <w:r>
          <w:fldChar w:fldCharType="separate"/>
        </w:r>
        <w:r w:rsidR="00D606CE">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E42709" w14:textId="77777777" w:rsidR="00766BA4" w:rsidRDefault="00766BA4">
      <w:r>
        <w:separator/>
      </w:r>
    </w:p>
  </w:footnote>
  <w:footnote w:type="continuationSeparator" w:id="0">
    <w:p w14:paraId="1B1D99CF" w14:textId="77777777" w:rsidR="00766BA4" w:rsidRDefault="00766B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8175F" w14:textId="77777777" w:rsidR="00940735" w:rsidRDefault="00940735" w:rsidP="0085737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F553FA" w14:textId="77777777" w:rsidR="00940735" w:rsidRDefault="009407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D966" w14:textId="77777777" w:rsidR="00940735" w:rsidRDefault="00940735" w:rsidP="00D85AAA">
    <w:pPr>
      <w:pStyle w:val="Header"/>
      <w:keepLines w:val="0"/>
      <w:spacing w:before="120" w:after="0"/>
    </w:pPr>
  </w:p>
  <w:p w14:paraId="7AD9F2F2" w14:textId="77777777" w:rsidR="00D85AAA" w:rsidRDefault="00D85AAA" w:rsidP="00D85AAA">
    <w:pPr>
      <w:pStyle w:val="Header"/>
      <w:keepLines w:val="0"/>
      <w:spacing w:before="120"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9943" w14:textId="77777777" w:rsidR="00E469A4" w:rsidRDefault="00E469A4" w:rsidP="002E334F">
    <w:pPr>
      <w:pStyle w:val="Header"/>
      <w:keepLines w:val="0"/>
      <w:spacing w:before="120" w:after="0"/>
    </w:pPr>
  </w:p>
  <w:p w14:paraId="3BF2A4CA" w14:textId="77777777" w:rsidR="002E334F" w:rsidRDefault="002E334F" w:rsidP="002E334F">
    <w:pPr>
      <w:pStyle w:val="Header"/>
      <w:keepLines w:val="0"/>
      <w:spacing w:before="120"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37614"/>
    <w:multiLevelType w:val="hybridMultilevel"/>
    <w:tmpl w:val="5A9690E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5EB25B7"/>
    <w:multiLevelType w:val="hybridMultilevel"/>
    <w:tmpl w:val="09F8CC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9B87853"/>
    <w:multiLevelType w:val="hybridMultilevel"/>
    <w:tmpl w:val="E0CECA18"/>
    <w:lvl w:ilvl="0" w:tplc="7780F7EE">
      <w:start w:val="1"/>
      <w:numFmt w:val="decimal"/>
      <w:lvlText w:val="[%1]"/>
      <w:lvlJc w:val="left"/>
      <w:pPr>
        <w:ind w:left="720" w:hanging="360"/>
      </w:pPr>
      <w:rPr>
        <w:rFonts w:ascii="Arial" w:hAnsi="Arial" w:cs="Arial" w:hint="default"/>
        <w:b/>
        <w:i w:val="0"/>
        <w:sz w:val="20"/>
        <w:szCs w:val="2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FAF6BE3"/>
    <w:multiLevelType w:val="hybridMultilevel"/>
    <w:tmpl w:val="FFBEBC6E"/>
    <w:lvl w:ilvl="0" w:tplc="6036607A">
      <w:start w:val="1"/>
      <w:numFmt w:val="decimal"/>
      <w:lvlText w:val="[%1]"/>
      <w:lvlJc w:val="left"/>
      <w:pPr>
        <w:tabs>
          <w:tab w:val="num" w:pos="-3"/>
        </w:tabs>
        <w:ind w:left="-59" w:firstLine="59"/>
      </w:pPr>
      <w:rPr>
        <w:rFonts w:ascii="Arial Bold" w:hAnsi="Arial Bold" w:cs="Times New Roman" w:hint="default"/>
        <w:i w:val="0"/>
        <w:color w:val="auto"/>
        <w:sz w:val="20"/>
      </w:rPr>
    </w:lvl>
    <w:lvl w:ilvl="1" w:tplc="4C5E2182">
      <w:start w:val="1"/>
      <w:numFmt w:val="lowerLetter"/>
      <w:lvlText w:val="(%2)"/>
      <w:lvlJc w:val="left"/>
      <w:pPr>
        <w:tabs>
          <w:tab w:val="num" w:pos="1440"/>
        </w:tabs>
        <w:ind w:left="1440" w:hanging="360"/>
      </w:pPr>
      <w:rPr>
        <w:rFonts w:ascii="Arial" w:hAnsi="Arial" w:cs="Arial" w:hint="default"/>
        <w:b/>
        <w:i w:val="0"/>
        <w:sz w:val="20"/>
        <w:szCs w:val="20"/>
      </w:rPr>
    </w:lvl>
    <w:lvl w:ilvl="2" w:tplc="4C5E2182">
      <w:start w:val="1"/>
      <w:numFmt w:val="lowerLetter"/>
      <w:lvlText w:val="(%3)"/>
      <w:lvlJc w:val="left"/>
      <w:pPr>
        <w:tabs>
          <w:tab w:val="num" w:pos="1189"/>
        </w:tabs>
        <w:ind w:left="1189" w:hanging="480"/>
      </w:pPr>
      <w:rPr>
        <w:rFonts w:ascii="Arial" w:hAnsi="Arial" w:cs="Arial" w:hint="default"/>
        <w:b/>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CA5D43"/>
    <w:multiLevelType w:val="hybridMultilevel"/>
    <w:tmpl w:val="F0B857FC"/>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11B1768C"/>
    <w:multiLevelType w:val="multilevel"/>
    <w:tmpl w:val="AB7683A6"/>
    <w:styleLink w:val="AmendmentInstruction"/>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 w:ilvl="1">
      <w:start w:val="1"/>
      <w:numFmt w:val="none"/>
      <w:pStyle w:val="Amendment2"/>
      <w:lvlText w:val="%2"/>
      <w:lvlJc w:val="left"/>
      <w:pPr>
        <w:ind w:left="794" w:hanging="794"/>
      </w:pPr>
      <w:rPr>
        <w:rFonts w:hint="default"/>
      </w:rPr>
    </w:lvl>
    <w:lvl w:ilvl="2">
      <w:start w:val="1"/>
      <w:numFmt w:val="lowerLetter"/>
      <w:lvlRestart w:val="1"/>
      <w:pStyle w:val="Amendment3"/>
      <w:lvlText w:val="(%3)"/>
      <w:lvlJc w:val="right"/>
      <w:pPr>
        <w:tabs>
          <w:tab w:val="num" w:pos="1474"/>
        </w:tabs>
        <w:ind w:left="1474" w:hanging="340"/>
      </w:pPr>
      <w:rPr>
        <w:rFonts w:hint="default"/>
        <w:b/>
        <w:i w:val="0"/>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454169F"/>
    <w:multiLevelType w:val="hybridMultilevel"/>
    <w:tmpl w:val="F28A4D04"/>
    <w:lvl w:ilvl="0" w:tplc="2C16B42E">
      <w:start w:val="1"/>
      <w:numFmt w:val="decimal"/>
      <w:lvlText w:val="[%1]"/>
      <w:lvlJc w:val="left"/>
      <w:pPr>
        <w:ind w:left="720" w:hanging="360"/>
      </w:pPr>
      <w:rPr>
        <w:rFonts w:ascii="Arial Bold" w:hAnsi="Arial Bold" w:hint="default"/>
        <w:b/>
        <w:i w:val="0"/>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45A079B"/>
    <w:multiLevelType w:val="hybridMultilevel"/>
    <w:tmpl w:val="DEF01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DA1827"/>
    <w:multiLevelType w:val="hybridMultilevel"/>
    <w:tmpl w:val="ABA2FD6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15:restartNumberingAfterBreak="0">
    <w:nsid w:val="3E8118C4"/>
    <w:multiLevelType w:val="hybridMultilevel"/>
    <w:tmpl w:val="B7B2D8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7BA7E84"/>
    <w:multiLevelType w:val="hybridMultilevel"/>
    <w:tmpl w:val="9F4A534E"/>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5A0F4ABD"/>
    <w:multiLevelType w:val="hybridMultilevel"/>
    <w:tmpl w:val="121285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A11D15"/>
    <w:multiLevelType w:val="hybridMultilevel"/>
    <w:tmpl w:val="77B6E48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6E921A50"/>
    <w:multiLevelType w:val="hybridMultilevel"/>
    <w:tmpl w:val="4BD8100A"/>
    <w:lvl w:ilvl="0" w:tplc="BD2CB082">
      <w:start w:val="1"/>
      <w:numFmt w:val="bullet"/>
      <w:lvlText w:val=""/>
      <w:lvlJc w:val="left"/>
      <w:pPr>
        <w:tabs>
          <w:tab w:val="num" w:pos="360"/>
        </w:tabs>
        <w:ind w:left="360" w:hanging="360"/>
      </w:pPr>
      <w:rPr>
        <w:rFonts w:ascii="Symbol" w:hAnsi="Symbol"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6EC078D"/>
    <w:multiLevelType w:val="hybridMultilevel"/>
    <w:tmpl w:val="D6A034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82D2E95"/>
    <w:multiLevelType w:val="hybridMultilevel"/>
    <w:tmpl w:val="A470D1DA"/>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start w:val="1"/>
      <w:numFmt w:val="bullet"/>
      <w:lvlText w:val=""/>
      <w:lvlJc w:val="left"/>
      <w:pPr>
        <w:ind w:left="2367" w:hanging="360"/>
      </w:pPr>
      <w:rPr>
        <w:rFonts w:ascii="Wingdings" w:hAnsi="Wingdings" w:hint="default"/>
      </w:rPr>
    </w:lvl>
    <w:lvl w:ilvl="3" w:tplc="0C090001">
      <w:start w:val="1"/>
      <w:numFmt w:val="bullet"/>
      <w:lvlText w:val=""/>
      <w:lvlJc w:val="left"/>
      <w:pPr>
        <w:ind w:left="3087" w:hanging="360"/>
      </w:pPr>
      <w:rPr>
        <w:rFonts w:ascii="Symbol" w:hAnsi="Symbol" w:hint="default"/>
      </w:rPr>
    </w:lvl>
    <w:lvl w:ilvl="4" w:tplc="0C090003">
      <w:start w:val="1"/>
      <w:numFmt w:val="bullet"/>
      <w:lvlText w:val="o"/>
      <w:lvlJc w:val="left"/>
      <w:pPr>
        <w:ind w:left="3807" w:hanging="360"/>
      </w:pPr>
      <w:rPr>
        <w:rFonts w:ascii="Courier New" w:hAnsi="Courier New" w:cs="Courier New" w:hint="default"/>
      </w:rPr>
    </w:lvl>
    <w:lvl w:ilvl="5" w:tplc="0C090005">
      <w:start w:val="1"/>
      <w:numFmt w:val="bullet"/>
      <w:lvlText w:val=""/>
      <w:lvlJc w:val="left"/>
      <w:pPr>
        <w:ind w:left="4527" w:hanging="360"/>
      </w:pPr>
      <w:rPr>
        <w:rFonts w:ascii="Wingdings" w:hAnsi="Wingdings" w:hint="default"/>
      </w:rPr>
    </w:lvl>
    <w:lvl w:ilvl="6" w:tplc="0C090001">
      <w:start w:val="1"/>
      <w:numFmt w:val="bullet"/>
      <w:lvlText w:val=""/>
      <w:lvlJc w:val="left"/>
      <w:pPr>
        <w:ind w:left="5247" w:hanging="360"/>
      </w:pPr>
      <w:rPr>
        <w:rFonts w:ascii="Symbol" w:hAnsi="Symbol" w:hint="default"/>
      </w:rPr>
    </w:lvl>
    <w:lvl w:ilvl="7" w:tplc="0C090003">
      <w:start w:val="1"/>
      <w:numFmt w:val="bullet"/>
      <w:lvlText w:val="o"/>
      <w:lvlJc w:val="left"/>
      <w:pPr>
        <w:ind w:left="5967" w:hanging="360"/>
      </w:pPr>
      <w:rPr>
        <w:rFonts w:ascii="Courier New" w:hAnsi="Courier New" w:cs="Courier New" w:hint="default"/>
      </w:rPr>
    </w:lvl>
    <w:lvl w:ilvl="8" w:tplc="0C090005">
      <w:start w:val="1"/>
      <w:numFmt w:val="bullet"/>
      <w:lvlText w:val=""/>
      <w:lvlJc w:val="left"/>
      <w:pPr>
        <w:ind w:left="6687" w:hanging="360"/>
      </w:pPr>
      <w:rPr>
        <w:rFonts w:ascii="Wingdings" w:hAnsi="Wingdings" w:hint="default"/>
      </w:rPr>
    </w:lvl>
  </w:abstractNum>
  <w:num w:numId="1" w16cid:durableId="418066981">
    <w:abstractNumId w:val="0"/>
  </w:num>
  <w:num w:numId="2" w16cid:durableId="1900945113">
    <w:abstractNumId w:val="8"/>
  </w:num>
  <w:num w:numId="3" w16cid:durableId="344938897">
    <w:abstractNumId w:val="11"/>
  </w:num>
  <w:num w:numId="4" w16cid:durableId="450132842">
    <w:abstractNumId w:val="10"/>
  </w:num>
  <w:num w:numId="5" w16cid:durableId="727991162">
    <w:abstractNumId w:val="13"/>
  </w:num>
  <w:num w:numId="6" w16cid:durableId="1736053555">
    <w:abstractNumId w:val="4"/>
  </w:num>
  <w:num w:numId="7" w16cid:durableId="2082558470">
    <w:abstractNumId w:val="9"/>
  </w:num>
  <w:num w:numId="8" w16cid:durableId="95754280">
    <w:abstractNumId w:val="15"/>
  </w:num>
  <w:num w:numId="9" w16cid:durableId="2116710351">
    <w:abstractNumId w:val="1"/>
  </w:num>
  <w:num w:numId="10" w16cid:durableId="129713654">
    <w:abstractNumId w:val="3"/>
  </w:num>
  <w:num w:numId="11" w16cid:durableId="964192072">
    <w:abstractNumId w:val="14"/>
  </w:num>
  <w:num w:numId="12" w16cid:durableId="1561591958">
    <w:abstractNumId w:val="12"/>
  </w:num>
  <w:num w:numId="13" w16cid:durableId="1003238021">
    <w:abstractNumId w:val="7"/>
  </w:num>
  <w:num w:numId="14" w16cid:durableId="1410804614">
    <w:abstractNumId w:val="2"/>
  </w:num>
  <w:num w:numId="15" w16cid:durableId="2446078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6" w16cid:durableId="841044058">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050"/>
          </w:tabs>
          <w:ind w:left="105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17" w16cid:durableId="554463697">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num>
  <w:num w:numId="18" w16cid:durableId="1340042770">
    <w:abstractNumId w:val="5"/>
  </w:num>
  <w:num w:numId="19" w16cid:durableId="1968311093">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474"/>
          </w:tabs>
          <w:ind w:left="1474" w:hanging="340"/>
        </w:pPr>
        <w:rPr>
          <w:rFonts w:ascii="Arial" w:hAnsi="Arial" w:cs="Arial" w:hint="default"/>
          <w:b/>
          <w:i w:val="0"/>
          <w:color w:val="auto"/>
          <w:sz w:val="20"/>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0" w16cid:durableId="1041318516">
    <w:abstractNumId w:val="5"/>
    <w:lvlOverride w:ilvl="0">
      <w:lvl w:ilvl="0">
        <w:start w:val="1"/>
        <w:numFmt w:val="decimal"/>
        <w:pStyle w:val="Amendment1"/>
        <w:lvlText w:val="[%1]"/>
        <w:lvlJc w:val="left"/>
        <w:pPr>
          <w:tabs>
            <w:tab w:val="num" w:pos="794"/>
          </w:tabs>
          <w:ind w:left="794" w:hanging="794"/>
        </w:pPr>
        <w:rPr>
          <w:rFonts w:ascii="Arial" w:hAnsi="Arial" w:cs="Arial" w:hint="default"/>
          <w:b/>
          <w:i w:val="0"/>
          <w:color w:val="auto"/>
          <w:sz w:val="20"/>
          <w:szCs w:val="20"/>
        </w:rPr>
      </w:lvl>
    </w:lvlOverride>
    <w:lvlOverride w:ilvl="1">
      <w:lvl w:ilvl="1">
        <w:start w:val="1"/>
        <w:numFmt w:val="none"/>
        <w:pStyle w:val="Amendment2"/>
        <w:lvlText w:val="%2"/>
        <w:lvlJc w:val="left"/>
        <w:pPr>
          <w:ind w:left="794" w:hanging="794"/>
        </w:pPr>
        <w:rPr>
          <w:rFonts w:hint="default"/>
        </w:rPr>
      </w:lvl>
    </w:lvlOverride>
    <w:lvlOverride w:ilvl="2">
      <w:lvl w:ilvl="2">
        <w:start w:val="1"/>
        <w:numFmt w:val="lowerLetter"/>
        <w:lvlRestart w:val="1"/>
        <w:pStyle w:val="Amendment3"/>
        <w:lvlText w:val="(%3)"/>
        <w:lvlJc w:val="right"/>
        <w:pPr>
          <w:tabs>
            <w:tab w:val="num" w:pos="1900"/>
          </w:tabs>
          <w:ind w:left="1900" w:hanging="340"/>
        </w:pPr>
        <w:rPr>
          <w:rFonts w:ascii="Arial Bold" w:hAnsi="Arial Bold" w:cs="Arial" w:hint="default"/>
          <w:b/>
          <w:i w:val="0"/>
          <w:color w:val="auto"/>
        </w:rPr>
      </w:lvl>
    </w:lvlOverride>
    <w:lvlOverride w:ilvl="3">
      <w:lvl w:ilvl="3">
        <w:start w:val="1"/>
        <w:numFmt w:val="decimal"/>
        <w:lvlText w:val="%4."/>
        <w:lvlJc w:val="left"/>
        <w:pPr>
          <w:ind w:left="2880" w:hanging="360"/>
        </w:pPr>
        <w:rPr>
          <w:rFonts w:hint="default"/>
        </w:rPr>
      </w:lvl>
    </w:lvlOverride>
    <w:lvlOverride w:ilvl="4">
      <w:lvl w:ilvl="4">
        <w:start w:val="1"/>
        <w:numFmt w:val="lowerLetter"/>
        <w:lvlText w:val="%5."/>
        <w:lvlJc w:val="left"/>
        <w:pPr>
          <w:ind w:left="3600" w:hanging="360"/>
        </w:pPr>
        <w:rPr>
          <w:rFonts w:hint="default"/>
        </w:rPr>
      </w:lvl>
    </w:lvlOverride>
    <w:lvlOverride w:ilvl="5">
      <w:lvl w:ilvl="5">
        <w:start w:val="1"/>
        <w:numFmt w:val="lowerRoman"/>
        <w:lvlText w:val="%6."/>
        <w:lvlJc w:val="right"/>
        <w:pPr>
          <w:ind w:left="4320" w:hanging="180"/>
        </w:pPr>
        <w:rPr>
          <w:rFonts w:hint="default"/>
        </w:rPr>
      </w:lvl>
    </w:lvlOverride>
    <w:lvlOverride w:ilvl="6">
      <w:lvl w:ilvl="6">
        <w:start w:val="1"/>
        <w:numFmt w:val="decimal"/>
        <w:lvlText w:val="%7."/>
        <w:lvlJc w:val="left"/>
        <w:pPr>
          <w:ind w:left="5040" w:hanging="360"/>
        </w:pPr>
        <w:rPr>
          <w:rFonts w:hint="default"/>
        </w:rPr>
      </w:lvl>
    </w:lvlOverride>
    <w:lvlOverride w:ilvl="7">
      <w:lvl w:ilvl="7">
        <w:start w:val="1"/>
        <w:numFmt w:val="lowerLetter"/>
        <w:lvlText w:val="%8."/>
        <w:lvlJc w:val="left"/>
        <w:pPr>
          <w:ind w:left="5760" w:hanging="360"/>
        </w:pPr>
        <w:rPr>
          <w:rFonts w:hint="default"/>
        </w:rPr>
      </w:lvl>
    </w:lvlOverride>
    <w:lvlOverride w:ilvl="8">
      <w:lvl w:ilvl="8">
        <w:start w:val="1"/>
        <w:numFmt w:val="lowerRoman"/>
        <w:lvlText w:val="%9."/>
        <w:lvlJc w:val="right"/>
        <w:pPr>
          <w:ind w:left="6480" w:hanging="180"/>
        </w:pPr>
        <w:rPr>
          <w:rFonts w:hint="default"/>
        </w:rPr>
      </w:lvl>
    </w:lvlOverride>
  </w:num>
  <w:num w:numId="21" w16cid:durableId="1786657580">
    <w:abstractNumId w:val="5"/>
    <w:lvlOverride w:ilvl="0">
      <w:lvl w:ilvl="0">
        <w:start w:val="1"/>
        <w:numFmt w:val="decimal"/>
        <w:pStyle w:val="Amendment1"/>
        <w:lvlText w:val="[%1]"/>
        <w:lvlJc w:val="left"/>
        <w:pPr>
          <w:ind w:left="360" w:hanging="360"/>
        </w:pPr>
        <w:rPr>
          <w:rFonts w:ascii="Arial" w:hAnsi="Arial" w:cs="Arial" w:hint="default"/>
          <w:b/>
          <w:i w:val="0"/>
          <w:color w:val="auto"/>
          <w:sz w:val="20"/>
          <w:szCs w:val="20"/>
        </w:rPr>
      </w:lvl>
    </w:lvlOverride>
    <w:lvlOverride w:ilvl="1">
      <w:lvl w:ilvl="1">
        <w:start w:val="1"/>
        <w:numFmt w:val="lowerLetter"/>
        <w:pStyle w:val="Amendment2"/>
        <w:lvlText w:val="%2."/>
        <w:lvlJc w:val="left"/>
        <w:pPr>
          <w:ind w:left="1080" w:hanging="360"/>
        </w:pPr>
      </w:lvl>
    </w:lvlOverride>
    <w:lvlOverride w:ilvl="2">
      <w:lvl w:ilvl="2" w:tentative="1">
        <w:start w:val="1"/>
        <w:numFmt w:val="lowerRoman"/>
        <w:pStyle w:val="Amendment3"/>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2" w16cid:durableId="984705478">
    <w:abstractNumId w:val="5"/>
  </w:num>
  <w:num w:numId="23" w16cid:durableId="13868305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2262"/>
    <w:rsid w:val="000018A4"/>
    <w:rsid w:val="000029AA"/>
    <w:rsid w:val="000047BA"/>
    <w:rsid w:val="0000497C"/>
    <w:rsid w:val="00005EFA"/>
    <w:rsid w:val="00006902"/>
    <w:rsid w:val="00006A8D"/>
    <w:rsid w:val="000079FC"/>
    <w:rsid w:val="000105B5"/>
    <w:rsid w:val="000117B8"/>
    <w:rsid w:val="00013822"/>
    <w:rsid w:val="00014E3A"/>
    <w:rsid w:val="0001502A"/>
    <w:rsid w:val="000156DC"/>
    <w:rsid w:val="00015A54"/>
    <w:rsid w:val="00015E1C"/>
    <w:rsid w:val="000167C2"/>
    <w:rsid w:val="00016B81"/>
    <w:rsid w:val="00016D11"/>
    <w:rsid w:val="00017B0D"/>
    <w:rsid w:val="000202FF"/>
    <w:rsid w:val="000207AA"/>
    <w:rsid w:val="00020A27"/>
    <w:rsid w:val="000225AC"/>
    <w:rsid w:val="000228C8"/>
    <w:rsid w:val="00022B06"/>
    <w:rsid w:val="00022BCE"/>
    <w:rsid w:val="00022CFA"/>
    <w:rsid w:val="00023501"/>
    <w:rsid w:val="00023614"/>
    <w:rsid w:val="00023CE1"/>
    <w:rsid w:val="0002404C"/>
    <w:rsid w:val="00025690"/>
    <w:rsid w:val="0002632B"/>
    <w:rsid w:val="00026352"/>
    <w:rsid w:val="00027256"/>
    <w:rsid w:val="00027C8E"/>
    <w:rsid w:val="00030979"/>
    <w:rsid w:val="00031683"/>
    <w:rsid w:val="00031841"/>
    <w:rsid w:val="00031DA4"/>
    <w:rsid w:val="00032785"/>
    <w:rsid w:val="00032A06"/>
    <w:rsid w:val="00033202"/>
    <w:rsid w:val="00033BBE"/>
    <w:rsid w:val="00033C21"/>
    <w:rsid w:val="00034A75"/>
    <w:rsid w:val="00034F95"/>
    <w:rsid w:val="00035D1B"/>
    <w:rsid w:val="000360E6"/>
    <w:rsid w:val="00036143"/>
    <w:rsid w:val="0003684F"/>
    <w:rsid w:val="00036AA9"/>
    <w:rsid w:val="00037E3C"/>
    <w:rsid w:val="0004060F"/>
    <w:rsid w:val="0004135F"/>
    <w:rsid w:val="000413B3"/>
    <w:rsid w:val="000419D2"/>
    <w:rsid w:val="00041D3B"/>
    <w:rsid w:val="00041E74"/>
    <w:rsid w:val="00043241"/>
    <w:rsid w:val="00043696"/>
    <w:rsid w:val="0004453E"/>
    <w:rsid w:val="00044788"/>
    <w:rsid w:val="000455F1"/>
    <w:rsid w:val="00045826"/>
    <w:rsid w:val="00045C97"/>
    <w:rsid w:val="00045D42"/>
    <w:rsid w:val="00045DB6"/>
    <w:rsid w:val="00046E33"/>
    <w:rsid w:val="0004700F"/>
    <w:rsid w:val="000471FA"/>
    <w:rsid w:val="00047660"/>
    <w:rsid w:val="0004767F"/>
    <w:rsid w:val="00050018"/>
    <w:rsid w:val="00050186"/>
    <w:rsid w:val="000505DC"/>
    <w:rsid w:val="00050CE4"/>
    <w:rsid w:val="00051C02"/>
    <w:rsid w:val="00051DFF"/>
    <w:rsid w:val="0005214B"/>
    <w:rsid w:val="00052198"/>
    <w:rsid w:val="000525A8"/>
    <w:rsid w:val="000528B0"/>
    <w:rsid w:val="00052A56"/>
    <w:rsid w:val="00052F16"/>
    <w:rsid w:val="00053476"/>
    <w:rsid w:val="000534DD"/>
    <w:rsid w:val="00053624"/>
    <w:rsid w:val="00053739"/>
    <w:rsid w:val="00054DA4"/>
    <w:rsid w:val="00054E7E"/>
    <w:rsid w:val="00055A07"/>
    <w:rsid w:val="00055ADB"/>
    <w:rsid w:val="00055F04"/>
    <w:rsid w:val="0005667C"/>
    <w:rsid w:val="000573B7"/>
    <w:rsid w:val="0005784C"/>
    <w:rsid w:val="000609F3"/>
    <w:rsid w:val="0006234C"/>
    <w:rsid w:val="00062399"/>
    <w:rsid w:val="00063A64"/>
    <w:rsid w:val="00063C9F"/>
    <w:rsid w:val="00064AD6"/>
    <w:rsid w:val="00065348"/>
    <w:rsid w:val="00065C4D"/>
    <w:rsid w:val="00066910"/>
    <w:rsid w:val="00066C99"/>
    <w:rsid w:val="000704B1"/>
    <w:rsid w:val="000705DA"/>
    <w:rsid w:val="000718FA"/>
    <w:rsid w:val="00071C00"/>
    <w:rsid w:val="00071E58"/>
    <w:rsid w:val="000734A1"/>
    <w:rsid w:val="00073D21"/>
    <w:rsid w:val="000743F8"/>
    <w:rsid w:val="00074F80"/>
    <w:rsid w:val="000756F4"/>
    <w:rsid w:val="00075BDA"/>
    <w:rsid w:val="0007745B"/>
    <w:rsid w:val="00077F65"/>
    <w:rsid w:val="0008000E"/>
    <w:rsid w:val="00080503"/>
    <w:rsid w:val="000811D7"/>
    <w:rsid w:val="0008159E"/>
    <w:rsid w:val="00081665"/>
    <w:rsid w:val="00082170"/>
    <w:rsid w:val="00082402"/>
    <w:rsid w:val="00083037"/>
    <w:rsid w:val="0008340B"/>
    <w:rsid w:val="00083677"/>
    <w:rsid w:val="000842A6"/>
    <w:rsid w:val="00084BE5"/>
    <w:rsid w:val="00084FC6"/>
    <w:rsid w:val="00087624"/>
    <w:rsid w:val="00090B86"/>
    <w:rsid w:val="00090F63"/>
    <w:rsid w:val="00092D40"/>
    <w:rsid w:val="00093BA7"/>
    <w:rsid w:val="00094E8B"/>
    <w:rsid w:val="000952B9"/>
    <w:rsid w:val="00095834"/>
    <w:rsid w:val="00095E2C"/>
    <w:rsid w:val="000966C5"/>
    <w:rsid w:val="000A094F"/>
    <w:rsid w:val="000A2C03"/>
    <w:rsid w:val="000A3FCA"/>
    <w:rsid w:val="000A416F"/>
    <w:rsid w:val="000A4B91"/>
    <w:rsid w:val="000A5033"/>
    <w:rsid w:val="000A52B4"/>
    <w:rsid w:val="000A5B07"/>
    <w:rsid w:val="000A6881"/>
    <w:rsid w:val="000A6C4C"/>
    <w:rsid w:val="000A71EB"/>
    <w:rsid w:val="000A725B"/>
    <w:rsid w:val="000A78F7"/>
    <w:rsid w:val="000B0066"/>
    <w:rsid w:val="000B100F"/>
    <w:rsid w:val="000B10B7"/>
    <w:rsid w:val="000B23F1"/>
    <w:rsid w:val="000B3602"/>
    <w:rsid w:val="000B3611"/>
    <w:rsid w:val="000B3627"/>
    <w:rsid w:val="000B3836"/>
    <w:rsid w:val="000B4116"/>
    <w:rsid w:val="000B45B3"/>
    <w:rsid w:val="000B45FC"/>
    <w:rsid w:val="000B6F1A"/>
    <w:rsid w:val="000B7175"/>
    <w:rsid w:val="000B7722"/>
    <w:rsid w:val="000C060A"/>
    <w:rsid w:val="000C1A5F"/>
    <w:rsid w:val="000C277C"/>
    <w:rsid w:val="000C2A2B"/>
    <w:rsid w:val="000C2B4D"/>
    <w:rsid w:val="000C3F6A"/>
    <w:rsid w:val="000C4D34"/>
    <w:rsid w:val="000C5355"/>
    <w:rsid w:val="000C55D1"/>
    <w:rsid w:val="000C5D52"/>
    <w:rsid w:val="000C65BD"/>
    <w:rsid w:val="000C6A04"/>
    <w:rsid w:val="000C6B71"/>
    <w:rsid w:val="000C6E8D"/>
    <w:rsid w:val="000C7205"/>
    <w:rsid w:val="000C7851"/>
    <w:rsid w:val="000D0C85"/>
    <w:rsid w:val="000D1286"/>
    <w:rsid w:val="000D1BCC"/>
    <w:rsid w:val="000D2B6E"/>
    <w:rsid w:val="000D2C6C"/>
    <w:rsid w:val="000D32FE"/>
    <w:rsid w:val="000D4216"/>
    <w:rsid w:val="000D454A"/>
    <w:rsid w:val="000D4FD7"/>
    <w:rsid w:val="000D63A4"/>
    <w:rsid w:val="000D6861"/>
    <w:rsid w:val="000D787C"/>
    <w:rsid w:val="000D78FB"/>
    <w:rsid w:val="000D79C8"/>
    <w:rsid w:val="000D7BBA"/>
    <w:rsid w:val="000D7C43"/>
    <w:rsid w:val="000E032F"/>
    <w:rsid w:val="000E10A0"/>
    <w:rsid w:val="000E2645"/>
    <w:rsid w:val="000E2F0C"/>
    <w:rsid w:val="000E340C"/>
    <w:rsid w:val="000E3E0A"/>
    <w:rsid w:val="000E4137"/>
    <w:rsid w:val="000E4656"/>
    <w:rsid w:val="000E489F"/>
    <w:rsid w:val="000E5076"/>
    <w:rsid w:val="000E70DA"/>
    <w:rsid w:val="000E725C"/>
    <w:rsid w:val="000E7761"/>
    <w:rsid w:val="000F068B"/>
    <w:rsid w:val="000F0974"/>
    <w:rsid w:val="000F1811"/>
    <w:rsid w:val="000F1FB7"/>
    <w:rsid w:val="000F274D"/>
    <w:rsid w:val="000F2CD4"/>
    <w:rsid w:val="000F2E95"/>
    <w:rsid w:val="000F2F00"/>
    <w:rsid w:val="000F5885"/>
    <w:rsid w:val="000F5F85"/>
    <w:rsid w:val="000F6372"/>
    <w:rsid w:val="000F653B"/>
    <w:rsid w:val="000F6F44"/>
    <w:rsid w:val="000F7232"/>
    <w:rsid w:val="000F7DA4"/>
    <w:rsid w:val="00100E92"/>
    <w:rsid w:val="00100ECA"/>
    <w:rsid w:val="00102CFC"/>
    <w:rsid w:val="00105385"/>
    <w:rsid w:val="00105706"/>
    <w:rsid w:val="00106030"/>
    <w:rsid w:val="00106758"/>
    <w:rsid w:val="00106B2D"/>
    <w:rsid w:val="0010721F"/>
    <w:rsid w:val="001077D9"/>
    <w:rsid w:val="001078A1"/>
    <w:rsid w:val="00107E5E"/>
    <w:rsid w:val="00110374"/>
    <w:rsid w:val="001105C4"/>
    <w:rsid w:val="00110F0F"/>
    <w:rsid w:val="00111782"/>
    <w:rsid w:val="0011178E"/>
    <w:rsid w:val="0011193D"/>
    <w:rsid w:val="00112272"/>
    <w:rsid w:val="00112B0F"/>
    <w:rsid w:val="0011340E"/>
    <w:rsid w:val="001138C7"/>
    <w:rsid w:val="00113E5C"/>
    <w:rsid w:val="00114270"/>
    <w:rsid w:val="00114355"/>
    <w:rsid w:val="00115DAF"/>
    <w:rsid w:val="00115EED"/>
    <w:rsid w:val="00116066"/>
    <w:rsid w:val="00117A4C"/>
    <w:rsid w:val="0012081F"/>
    <w:rsid w:val="00121898"/>
    <w:rsid w:val="00121DEE"/>
    <w:rsid w:val="001227CD"/>
    <w:rsid w:val="001228DB"/>
    <w:rsid w:val="001230A1"/>
    <w:rsid w:val="00123F0F"/>
    <w:rsid w:val="00123FD9"/>
    <w:rsid w:val="00124100"/>
    <w:rsid w:val="00124354"/>
    <w:rsid w:val="00124C40"/>
    <w:rsid w:val="00125139"/>
    <w:rsid w:val="00126088"/>
    <w:rsid w:val="001276D3"/>
    <w:rsid w:val="00130259"/>
    <w:rsid w:val="0013095E"/>
    <w:rsid w:val="00130E00"/>
    <w:rsid w:val="00131119"/>
    <w:rsid w:val="00131254"/>
    <w:rsid w:val="00131728"/>
    <w:rsid w:val="00131CC6"/>
    <w:rsid w:val="00131EB4"/>
    <w:rsid w:val="00131F6D"/>
    <w:rsid w:val="00133403"/>
    <w:rsid w:val="00134002"/>
    <w:rsid w:val="00134EE9"/>
    <w:rsid w:val="00136467"/>
    <w:rsid w:val="00136BAF"/>
    <w:rsid w:val="00137620"/>
    <w:rsid w:val="00137EA0"/>
    <w:rsid w:val="00140C63"/>
    <w:rsid w:val="0014117B"/>
    <w:rsid w:val="0014157D"/>
    <w:rsid w:val="0014163C"/>
    <w:rsid w:val="00141708"/>
    <w:rsid w:val="00141C52"/>
    <w:rsid w:val="001425B9"/>
    <w:rsid w:val="001426D8"/>
    <w:rsid w:val="00142730"/>
    <w:rsid w:val="0014278F"/>
    <w:rsid w:val="0014288A"/>
    <w:rsid w:val="001428B2"/>
    <w:rsid w:val="00143781"/>
    <w:rsid w:val="001440F4"/>
    <w:rsid w:val="001442AF"/>
    <w:rsid w:val="00144CA8"/>
    <w:rsid w:val="00145D86"/>
    <w:rsid w:val="00147813"/>
    <w:rsid w:val="00147B16"/>
    <w:rsid w:val="00147B83"/>
    <w:rsid w:val="00150EC9"/>
    <w:rsid w:val="001517B5"/>
    <w:rsid w:val="0015185F"/>
    <w:rsid w:val="0015188B"/>
    <w:rsid w:val="00152B53"/>
    <w:rsid w:val="001533A0"/>
    <w:rsid w:val="001534B0"/>
    <w:rsid w:val="00153C2A"/>
    <w:rsid w:val="00153EBF"/>
    <w:rsid w:val="001540F2"/>
    <w:rsid w:val="00154C9A"/>
    <w:rsid w:val="00155092"/>
    <w:rsid w:val="001555C8"/>
    <w:rsid w:val="00156615"/>
    <w:rsid w:val="00156F65"/>
    <w:rsid w:val="00156F9B"/>
    <w:rsid w:val="00160EBF"/>
    <w:rsid w:val="00161079"/>
    <w:rsid w:val="001627D9"/>
    <w:rsid w:val="00162BFA"/>
    <w:rsid w:val="00164F42"/>
    <w:rsid w:val="001657C6"/>
    <w:rsid w:val="00165D94"/>
    <w:rsid w:val="00165E29"/>
    <w:rsid w:val="001661EF"/>
    <w:rsid w:val="00167458"/>
    <w:rsid w:val="001674E1"/>
    <w:rsid w:val="00167CDA"/>
    <w:rsid w:val="001701A6"/>
    <w:rsid w:val="00170629"/>
    <w:rsid w:val="00170907"/>
    <w:rsid w:val="00170FFF"/>
    <w:rsid w:val="00171212"/>
    <w:rsid w:val="00171A39"/>
    <w:rsid w:val="00172937"/>
    <w:rsid w:val="0017323A"/>
    <w:rsid w:val="00173D35"/>
    <w:rsid w:val="00173E32"/>
    <w:rsid w:val="001741B9"/>
    <w:rsid w:val="00174375"/>
    <w:rsid w:val="00176F19"/>
    <w:rsid w:val="001810AB"/>
    <w:rsid w:val="00181ACC"/>
    <w:rsid w:val="00182B4E"/>
    <w:rsid w:val="00182F1E"/>
    <w:rsid w:val="00183CDB"/>
    <w:rsid w:val="00184CDD"/>
    <w:rsid w:val="00184EE5"/>
    <w:rsid w:val="001869B0"/>
    <w:rsid w:val="00187390"/>
    <w:rsid w:val="00187D0D"/>
    <w:rsid w:val="0019021B"/>
    <w:rsid w:val="00190A04"/>
    <w:rsid w:val="00190D7D"/>
    <w:rsid w:val="001918BF"/>
    <w:rsid w:val="0019211D"/>
    <w:rsid w:val="001922C2"/>
    <w:rsid w:val="001927A1"/>
    <w:rsid w:val="00192841"/>
    <w:rsid w:val="00192C91"/>
    <w:rsid w:val="001941C6"/>
    <w:rsid w:val="0019570E"/>
    <w:rsid w:val="00195966"/>
    <w:rsid w:val="00195BAA"/>
    <w:rsid w:val="00195E78"/>
    <w:rsid w:val="00196120"/>
    <w:rsid w:val="001963EF"/>
    <w:rsid w:val="001A0413"/>
    <w:rsid w:val="001A0B2B"/>
    <w:rsid w:val="001A11AE"/>
    <w:rsid w:val="001A12E7"/>
    <w:rsid w:val="001A2156"/>
    <w:rsid w:val="001A2FAF"/>
    <w:rsid w:val="001A3CC3"/>
    <w:rsid w:val="001A410C"/>
    <w:rsid w:val="001A49AD"/>
    <w:rsid w:val="001A4A01"/>
    <w:rsid w:val="001A68D8"/>
    <w:rsid w:val="001A6B00"/>
    <w:rsid w:val="001A7304"/>
    <w:rsid w:val="001A7A33"/>
    <w:rsid w:val="001A7D57"/>
    <w:rsid w:val="001B0789"/>
    <w:rsid w:val="001B16BE"/>
    <w:rsid w:val="001B1922"/>
    <w:rsid w:val="001B1E09"/>
    <w:rsid w:val="001B2B26"/>
    <w:rsid w:val="001B3491"/>
    <w:rsid w:val="001B4349"/>
    <w:rsid w:val="001B4EB0"/>
    <w:rsid w:val="001B5079"/>
    <w:rsid w:val="001B5453"/>
    <w:rsid w:val="001B6F43"/>
    <w:rsid w:val="001C0011"/>
    <w:rsid w:val="001C016F"/>
    <w:rsid w:val="001C10C2"/>
    <w:rsid w:val="001C1A79"/>
    <w:rsid w:val="001C1E1C"/>
    <w:rsid w:val="001C2C69"/>
    <w:rsid w:val="001C3451"/>
    <w:rsid w:val="001C3893"/>
    <w:rsid w:val="001C418C"/>
    <w:rsid w:val="001C43DE"/>
    <w:rsid w:val="001C5241"/>
    <w:rsid w:val="001C6666"/>
    <w:rsid w:val="001C753F"/>
    <w:rsid w:val="001C764D"/>
    <w:rsid w:val="001D00EA"/>
    <w:rsid w:val="001D0B1B"/>
    <w:rsid w:val="001D1964"/>
    <w:rsid w:val="001D3067"/>
    <w:rsid w:val="001D35B1"/>
    <w:rsid w:val="001D3638"/>
    <w:rsid w:val="001D40EB"/>
    <w:rsid w:val="001D55CD"/>
    <w:rsid w:val="001D5C31"/>
    <w:rsid w:val="001D775C"/>
    <w:rsid w:val="001D7990"/>
    <w:rsid w:val="001E0818"/>
    <w:rsid w:val="001E0E85"/>
    <w:rsid w:val="001E0FE1"/>
    <w:rsid w:val="001E11CF"/>
    <w:rsid w:val="001E1A78"/>
    <w:rsid w:val="001E5B47"/>
    <w:rsid w:val="001E61A5"/>
    <w:rsid w:val="001E64FB"/>
    <w:rsid w:val="001E6D8B"/>
    <w:rsid w:val="001F0043"/>
    <w:rsid w:val="001F04D7"/>
    <w:rsid w:val="001F1BAE"/>
    <w:rsid w:val="001F220A"/>
    <w:rsid w:val="001F249A"/>
    <w:rsid w:val="001F299F"/>
    <w:rsid w:val="001F3090"/>
    <w:rsid w:val="001F43A5"/>
    <w:rsid w:val="002001D9"/>
    <w:rsid w:val="002010E7"/>
    <w:rsid w:val="00202535"/>
    <w:rsid w:val="00205AEF"/>
    <w:rsid w:val="00206D28"/>
    <w:rsid w:val="002070FE"/>
    <w:rsid w:val="00207559"/>
    <w:rsid w:val="002075B9"/>
    <w:rsid w:val="002105F3"/>
    <w:rsid w:val="00210B78"/>
    <w:rsid w:val="00210EF8"/>
    <w:rsid w:val="002117E9"/>
    <w:rsid w:val="00211A95"/>
    <w:rsid w:val="002130C8"/>
    <w:rsid w:val="002140B6"/>
    <w:rsid w:val="00214239"/>
    <w:rsid w:val="0021537B"/>
    <w:rsid w:val="00215BA8"/>
    <w:rsid w:val="00216665"/>
    <w:rsid w:val="00217B84"/>
    <w:rsid w:val="00220A64"/>
    <w:rsid w:val="00220C92"/>
    <w:rsid w:val="00220EF4"/>
    <w:rsid w:val="0022195C"/>
    <w:rsid w:val="00221B1A"/>
    <w:rsid w:val="002222E8"/>
    <w:rsid w:val="00222683"/>
    <w:rsid w:val="00223299"/>
    <w:rsid w:val="0022336C"/>
    <w:rsid w:val="002243A8"/>
    <w:rsid w:val="00225F71"/>
    <w:rsid w:val="00226250"/>
    <w:rsid w:val="002262D2"/>
    <w:rsid w:val="00226D43"/>
    <w:rsid w:val="00226E08"/>
    <w:rsid w:val="00226EF0"/>
    <w:rsid w:val="0022704D"/>
    <w:rsid w:val="002272B1"/>
    <w:rsid w:val="002303E1"/>
    <w:rsid w:val="00230C8C"/>
    <w:rsid w:val="00230E76"/>
    <w:rsid w:val="00231583"/>
    <w:rsid w:val="00231D7B"/>
    <w:rsid w:val="00231E0E"/>
    <w:rsid w:val="00232296"/>
    <w:rsid w:val="00232C26"/>
    <w:rsid w:val="00232D63"/>
    <w:rsid w:val="00234FD7"/>
    <w:rsid w:val="0023637E"/>
    <w:rsid w:val="00236694"/>
    <w:rsid w:val="00237AEF"/>
    <w:rsid w:val="00240104"/>
    <w:rsid w:val="0024018F"/>
    <w:rsid w:val="0024056B"/>
    <w:rsid w:val="002410B9"/>
    <w:rsid w:val="002410EB"/>
    <w:rsid w:val="00241790"/>
    <w:rsid w:val="002417A2"/>
    <w:rsid w:val="00241B82"/>
    <w:rsid w:val="00242D1C"/>
    <w:rsid w:val="00243137"/>
    <w:rsid w:val="002431D9"/>
    <w:rsid w:val="002465B8"/>
    <w:rsid w:val="00246782"/>
    <w:rsid w:val="00247663"/>
    <w:rsid w:val="00247F99"/>
    <w:rsid w:val="00250068"/>
    <w:rsid w:val="00250097"/>
    <w:rsid w:val="00250F75"/>
    <w:rsid w:val="002518FB"/>
    <w:rsid w:val="002523CF"/>
    <w:rsid w:val="00252503"/>
    <w:rsid w:val="00254075"/>
    <w:rsid w:val="00254A33"/>
    <w:rsid w:val="00254A95"/>
    <w:rsid w:val="002577D5"/>
    <w:rsid w:val="00257ABD"/>
    <w:rsid w:val="00257F40"/>
    <w:rsid w:val="002633F0"/>
    <w:rsid w:val="00264E30"/>
    <w:rsid w:val="00265072"/>
    <w:rsid w:val="00265705"/>
    <w:rsid w:val="00266937"/>
    <w:rsid w:val="00266C80"/>
    <w:rsid w:val="0026748B"/>
    <w:rsid w:val="002674BD"/>
    <w:rsid w:val="00267B1A"/>
    <w:rsid w:val="002706D1"/>
    <w:rsid w:val="00270FA9"/>
    <w:rsid w:val="00271316"/>
    <w:rsid w:val="00271534"/>
    <w:rsid w:val="002727F0"/>
    <w:rsid w:val="00272D12"/>
    <w:rsid w:val="0027324E"/>
    <w:rsid w:val="00273640"/>
    <w:rsid w:val="0027467B"/>
    <w:rsid w:val="0027522F"/>
    <w:rsid w:val="002756C6"/>
    <w:rsid w:val="00276D8B"/>
    <w:rsid w:val="00277456"/>
    <w:rsid w:val="00277AE5"/>
    <w:rsid w:val="0028016A"/>
    <w:rsid w:val="00281399"/>
    <w:rsid w:val="00281789"/>
    <w:rsid w:val="00282EE3"/>
    <w:rsid w:val="00283A17"/>
    <w:rsid w:val="00284F06"/>
    <w:rsid w:val="002855CC"/>
    <w:rsid w:val="00286BF6"/>
    <w:rsid w:val="00286CF8"/>
    <w:rsid w:val="00287A83"/>
    <w:rsid w:val="00287EC4"/>
    <w:rsid w:val="0029029F"/>
    <w:rsid w:val="00291B6D"/>
    <w:rsid w:val="00291FC5"/>
    <w:rsid w:val="00292E46"/>
    <w:rsid w:val="002956CD"/>
    <w:rsid w:val="00295725"/>
    <w:rsid w:val="00295872"/>
    <w:rsid w:val="00296ABC"/>
    <w:rsid w:val="002A0F23"/>
    <w:rsid w:val="002A1729"/>
    <w:rsid w:val="002A1B2D"/>
    <w:rsid w:val="002A1F0F"/>
    <w:rsid w:val="002A23EA"/>
    <w:rsid w:val="002A249F"/>
    <w:rsid w:val="002A2768"/>
    <w:rsid w:val="002A3138"/>
    <w:rsid w:val="002A31D5"/>
    <w:rsid w:val="002A3D37"/>
    <w:rsid w:val="002A49FC"/>
    <w:rsid w:val="002A590E"/>
    <w:rsid w:val="002A596C"/>
    <w:rsid w:val="002A6414"/>
    <w:rsid w:val="002A6B10"/>
    <w:rsid w:val="002A7B82"/>
    <w:rsid w:val="002B0004"/>
    <w:rsid w:val="002B0FC3"/>
    <w:rsid w:val="002B1123"/>
    <w:rsid w:val="002B1B93"/>
    <w:rsid w:val="002B2151"/>
    <w:rsid w:val="002B2803"/>
    <w:rsid w:val="002B573E"/>
    <w:rsid w:val="002B5ACB"/>
    <w:rsid w:val="002B5B34"/>
    <w:rsid w:val="002B686B"/>
    <w:rsid w:val="002B6B82"/>
    <w:rsid w:val="002B7096"/>
    <w:rsid w:val="002B7B4E"/>
    <w:rsid w:val="002C0015"/>
    <w:rsid w:val="002C0A52"/>
    <w:rsid w:val="002C1480"/>
    <w:rsid w:val="002C1ECB"/>
    <w:rsid w:val="002C24B2"/>
    <w:rsid w:val="002C2A53"/>
    <w:rsid w:val="002C33AC"/>
    <w:rsid w:val="002C3CF4"/>
    <w:rsid w:val="002C4911"/>
    <w:rsid w:val="002C4A2E"/>
    <w:rsid w:val="002C5315"/>
    <w:rsid w:val="002C54D2"/>
    <w:rsid w:val="002C5F39"/>
    <w:rsid w:val="002C606D"/>
    <w:rsid w:val="002C6795"/>
    <w:rsid w:val="002C6E10"/>
    <w:rsid w:val="002D0773"/>
    <w:rsid w:val="002D14FC"/>
    <w:rsid w:val="002D1613"/>
    <w:rsid w:val="002D29D9"/>
    <w:rsid w:val="002D4435"/>
    <w:rsid w:val="002D4CC9"/>
    <w:rsid w:val="002D51D6"/>
    <w:rsid w:val="002D58EF"/>
    <w:rsid w:val="002D5A84"/>
    <w:rsid w:val="002D5C35"/>
    <w:rsid w:val="002D62C7"/>
    <w:rsid w:val="002D6620"/>
    <w:rsid w:val="002D668E"/>
    <w:rsid w:val="002D7AED"/>
    <w:rsid w:val="002E0832"/>
    <w:rsid w:val="002E0D3C"/>
    <w:rsid w:val="002E0DFB"/>
    <w:rsid w:val="002E1597"/>
    <w:rsid w:val="002E2B5A"/>
    <w:rsid w:val="002E334F"/>
    <w:rsid w:val="002E40DC"/>
    <w:rsid w:val="002E48D2"/>
    <w:rsid w:val="002E4CF3"/>
    <w:rsid w:val="002E744A"/>
    <w:rsid w:val="002E76C0"/>
    <w:rsid w:val="002E779F"/>
    <w:rsid w:val="002F13BA"/>
    <w:rsid w:val="002F303F"/>
    <w:rsid w:val="002F30B0"/>
    <w:rsid w:val="002F4124"/>
    <w:rsid w:val="002F4A74"/>
    <w:rsid w:val="002F4F29"/>
    <w:rsid w:val="002F5BA4"/>
    <w:rsid w:val="002F67CA"/>
    <w:rsid w:val="002F78E7"/>
    <w:rsid w:val="002F7909"/>
    <w:rsid w:val="002F7F3D"/>
    <w:rsid w:val="00300E77"/>
    <w:rsid w:val="00302262"/>
    <w:rsid w:val="003029C5"/>
    <w:rsid w:val="00302FEF"/>
    <w:rsid w:val="003032E4"/>
    <w:rsid w:val="00303634"/>
    <w:rsid w:val="0030455A"/>
    <w:rsid w:val="00304CEC"/>
    <w:rsid w:val="0030558A"/>
    <w:rsid w:val="003056DB"/>
    <w:rsid w:val="003060EF"/>
    <w:rsid w:val="00306C89"/>
    <w:rsid w:val="00306E0F"/>
    <w:rsid w:val="00307A4B"/>
    <w:rsid w:val="00307B03"/>
    <w:rsid w:val="00310E9F"/>
    <w:rsid w:val="0031170A"/>
    <w:rsid w:val="0031239D"/>
    <w:rsid w:val="00313037"/>
    <w:rsid w:val="003131B7"/>
    <w:rsid w:val="00313293"/>
    <w:rsid w:val="00313373"/>
    <w:rsid w:val="003135AB"/>
    <w:rsid w:val="00313FC3"/>
    <w:rsid w:val="003150B5"/>
    <w:rsid w:val="00316183"/>
    <w:rsid w:val="003161A3"/>
    <w:rsid w:val="003167A9"/>
    <w:rsid w:val="00316D05"/>
    <w:rsid w:val="00320C0E"/>
    <w:rsid w:val="00320C66"/>
    <w:rsid w:val="00321291"/>
    <w:rsid w:val="00321388"/>
    <w:rsid w:val="00321C8A"/>
    <w:rsid w:val="00323172"/>
    <w:rsid w:val="00323361"/>
    <w:rsid w:val="00323491"/>
    <w:rsid w:val="003237F1"/>
    <w:rsid w:val="00323CC5"/>
    <w:rsid w:val="00324450"/>
    <w:rsid w:val="00324A45"/>
    <w:rsid w:val="00325CEC"/>
    <w:rsid w:val="00325CF3"/>
    <w:rsid w:val="003264AC"/>
    <w:rsid w:val="00326BEF"/>
    <w:rsid w:val="00327EBB"/>
    <w:rsid w:val="00330838"/>
    <w:rsid w:val="003308F2"/>
    <w:rsid w:val="00330E53"/>
    <w:rsid w:val="003323E5"/>
    <w:rsid w:val="003330B8"/>
    <w:rsid w:val="003334F6"/>
    <w:rsid w:val="00334046"/>
    <w:rsid w:val="00334ADE"/>
    <w:rsid w:val="003350A8"/>
    <w:rsid w:val="003405BA"/>
    <w:rsid w:val="00341B93"/>
    <w:rsid w:val="00341E5E"/>
    <w:rsid w:val="00341F9F"/>
    <w:rsid w:val="0034264A"/>
    <w:rsid w:val="00342752"/>
    <w:rsid w:val="00342D16"/>
    <w:rsid w:val="00342F79"/>
    <w:rsid w:val="00342FAC"/>
    <w:rsid w:val="00343441"/>
    <w:rsid w:val="003438AE"/>
    <w:rsid w:val="00345811"/>
    <w:rsid w:val="00346B4E"/>
    <w:rsid w:val="00346E46"/>
    <w:rsid w:val="00347184"/>
    <w:rsid w:val="003473C5"/>
    <w:rsid w:val="00347545"/>
    <w:rsid w:val="0035037E"/>
    <w:rsid w:val="003503AF"/>
    <w:rsid w:val="00350B21"/>
    <w:rsid w:val="00350E6E"/>
    <w:rsid w:val="00351069"/>
    <w:rsid w:val="00351500"/>
    <w:rsid w:val="00352579"/>
    <w:rsid w:val="0035298D"/>
    <w:rsid w:val="003533AF"/>
    <w:rsid w:val="00353B95"/>
    <w:rsid w:val="003540B7"/>
    <w:rsid w:val="003546FE"/>
    <w:rsid w:val="00355481"/>
    <w:rsid w:val="0035554E"/>
    <w:rsid w:val="003559F5"/>
    <w:rsid w:val="00360054"/>
    <w:rsid w:val="0036086F"/>
    <w:rsid w:val="00360954"/>
    <w:rsid w:val="00360A43"/>
    <w:rsid w:val="003610CD"/>
    <w:rsid w:val="00361984"/>
    <w:rsid w:val="003619FC"/>
    <w:rsid w:val="00361B7D"/>
    <w:rsid w:val="0036207B"/>
    <w:rsid w:val="00362D99"/>
    <w:rsid w:val="00362EAA"/>
    <w:rsid w:val="00362EE6"/>
    <w:rsid w:val="00362FAF"/>
    <w:rsid w:val="00363553"/>
    <w:rsid w:val="00363AC0"/>
    <w:rsid w:val="0036439A"/>
    <w:rsid w:val="003644DD"/>
    <w:rsid w:val="00364A6C"/>
    <w:rsid w:val="00364B70"/>
    <w:rsid w:val="00365125"/>
    <w:rsid w:val="003672D6"/>
    <w:rsid w:val="0036777B"/>
    <w:rsid w:val="00367DC4"/>
    <w:rsid w:val="00367DCE"/>
    <w:rsid w:val="00367EA4"/>
    <w:rsid w:val="00370B88"/>
    <w:rsid w:val="00372F32"/>
    <w:rsid w:val="003732A8"/>
    <w:rsid w:val="00373CD4"/>
    <w:rsid w:val="00374216"/>
    <w:rsid w:val="00374A1C"/>
    <w:rsid w:val="00376803"/>
    <w:rsid w:val="003768C8"/>
    <w:rsid w:val="00376B17"/>
    <w:rsid w:val="00376C64"/>
    <w:rsid w:val="003771A0"/>
    <w:rsid w:val="0037739C"/>
    <w:rsid w:val="0037769E"/>
    <w:rsid w:val="0037779D"/>
    <w:rsid w:val="0037797E"/>
    <w:rsid w:val="0038007A"/>
    <w:rsid w:val="003819FD"/>
    <w:rsid w:val="00381AA2"/>
    <w:rsid w:val="00381F1F"/>
    <w:rsid w:val="003827FF"/>
    <w:rsid w:val="00382C38"/>
    <w:rsid w:val="0038303D"/>
    <w:rsid w:val="003833AC"/>
    <w:rsid w:val="003834BE"/>
    <w:rsid w:val="00383729"/>
    <w:rsid w:val="003845B2"/>
    <w:rsid w:val="003848B5"/>
    <w:rsid w:val="00384E95"/>
    <w:rsid w:val="0038516A"/>
    <w:rsid w:val="003853D9"/>
    <w:rsid w:val="00385513"/>
    <w:rsid w:val="00385524"/>
    <w:rsid w:val="003859D1"/>
    <w:rsid w:val="00385B3E"/>
    <w:rsid w:val="00385E4E"/>
    <w:rsid w:val="003869FF"/>
    <w:rsid w:val="00386A46"/>
    <w:rsid w:val="00386DF0"/>
    <w:rsid w:val="00387C03"/>
    <w:rsid w:val="00390028"/>
    <w:rsid w:val="00390ED8"/>
    <w:rsid w:val="00391600"/>
    <w:rsid w:val="00391D84"/>
    <w:rsid w:val="00392492"/>
    <w:rsid w:val="00392B69"/>
    <w:rsid w:val="003930C0"/>
    <w:rsid w:val="003935BE"/>
    <w:rsid w:val="00393DD5"/>
    <w:rsid w:val="00394E08"/>
    <w:rsid w:val="00394FAD"/>
    <w:rsid w:val="00395FCC"/>
    <w:rsid w:val="00396876"/>
    <w:rsid w:val="003A0627"/>
    <w:rsid w:val="003A0D33"/>
    <w:rsid w:val="003A114E"/>
    <w:rsid w:val="003A2E72"/>
    <w:rsid w:val="003A47DE"/>
    <w:rsid w:val="003A4D88"/>
    <w:rsid w:val="003A6B17"/>
    <w:rsid w:val="003A74B4"/>
    <w:rsid w:val="003A7674"/>
    <w:rsid w:val="003B01EE"/>
    <w:rsid w:val="003B08FA"/>
    <w:rsid w:val="003B1762"/>
    <w:rsid w:val="003B233E"/>
    <w:rsid w:val="003B23B6"/>
    <w:rsid w:val="003B5E7E"/>
    <w:rsid w:val="003B6CD7"/>
    <w:rsid w:val="003B733C"/>
    <w:rsid w:val="003B7C13"/>
    <w:rsid w:val="003B7D80"/>
    <w:rsid w:val="003C0AC2"/>
    <w:rsid w:val="003C0C09"/>
    <w:rsid w:val="003C121E"/>
    <w:rsid w:val="003C12FF"/>
    <w:rsid w:val="003C1810"/>
    <w:rsid w:val="003C1CBC"/>
    <w:rsid w:val="003C40D2"/>
    <w:rsid w:val="003C4D76"/>
    <w:rsid w:val="003C5150"/>
    <w:rsid w:val="003C526C"/>
    <w:rsid w:val="003C56AC"/>
    <w:rsid w:val="003C59DB"/>
    <w:rsid w:val="003C6470"/>
    <w:rsid w:val="003C66F3"/>
    <w:rsid w:val="003C671D"/>
    <w:rsid w:val="003C704C"/>
    <w:rsid w:val="003D0046"/>
    <w:rsid w:val="003D089D"/>
    <w:rsid w:val="003D0EB1"/>
    <w:rsid w:val="003D1229"/>
    <w:rsid w:val="003D1478"/>
    <w:rsid w:val="003D156A"/>
    <w:rsid w:val="003D15C1"/>
    <w:rsid w:val="003D19B9"/>
    <w:rsid w:val="003D220E"/>
    <w:rsid w:val="003D223E"/>
    <w:rsid w:val="003D2B0B"/>
    <w:rsid w:val="003D3898"/>
    <w:rsid w:val="003D38B4"/>
    <w:rsid w:val="003D3AC1"/>
    <w:rsid w:val="003D41D1"/>
    <w:rsid w:val="003D47F5"/>
    <w:rsid w:val="003D4E94"/>
    <w:rsid w:val="003D6780"/>
    <w:rsid w:val="003D799C"/>
    <w:rsid w:val="003D79D2"/>
    <w:rsid w:val="003E04AA"/>
    <w:rsid w:val="003E1027"/>
    <w:rsid w:val="003E22A5"/>
    <w:rsid w:val="003E2D4C"/>
    <w:rsid w:val="003E35C6"/>
    <w:rsid w:val="003E3D0C"/>
    <w:rsid w:val="003E3EA8"/>
    <w:rsid w:val="003E50D9"/>
    <w:rsid w:val="003E5AAD"/>
    <w:rsid w:val="003E5C30"/>
    <w:rsid w:val="003E5EEC"/>
    <w:rsid w:val="003E66E4"/>
    <w:rsid w:val="003E6F5E"/>
    <w:rsid w:val="003E6FCC"/>
    <w:rsid w:val="003E70FC"/>
    <w:rsid w:val="003E72C2"/>
    <w:rsid w:val="003E7848"/>
    <w:rsid w:val="003F0A89"/>
    <w:rsid w:val="003F1EEB"/>
    <w:rsid w:val="003F209F"/>
    <w:rsid w:val="003F22F2"/>
    <w:rsid w:val="003F5D13"/>
    <w:rsid w:val="003F782B"/>
    <w:rsid w:val="004001DD"/>
    <w:rsid w:val="00400BD7"/>
    <w:rsid w:val="0040192B"/>
    <w:rsid w:val="004020B2"/>
    <w:rsid w:val="0040308D"/>
    <w:rsid w:val="00404278"/>
    <w:rsid w:val="0040469D"/>
    <w:rsid w:val="004046DC"/>
    <w:rsid w:val="00404966"/>
    <w:rsid w:val="00405940"/>
    <w:rsid w:val="00405F4B"/>
    <w:rsid w:val="00411E96"/>
    <w:rsid w:val="00412288"/>
    <w:rsid w:val="00412323"/>
    <w:rsid w:val="00413455"/>
    <w:rsid w:val="004134D2"/>
    <w:rsid w:val="00414394"/>
    <w:rsid w:val="00414776"/>
    <w:rsid w:val="004151AA"/>
    <w:rsid w:val="004153F1"/>
    <w:rsid w:val="00416678"/>
    <w:rsid w:val="00417C4A"/>
    <w:rsid w:val="00417E97"/>
    <w:rsid w:val="00420597"/>
    <w:rsid w:val="00420A37"/>
    <w:rsid w:val="00420BE9"/>
    <w:rsid w:val="00422032"/>
    <w:rsid w:val="004224CA"/>
    <w:rsid w:val="0042255D"/>
    <w:rsid w:val="0042309B"/>
    <w:rsid w:val="004230D3"/>
    <w:rsid w:val="00423C46"/>
    <w:rsid w:val="00424269"/>
    <w:rsid w:val="004247E0"/>
    <w:rsid w:val="00424AA2"/>
    <w:rsid w:val="004255D7"/>
    <w:rsid w:val="00425CDE"/>
    <w:rsid w:val="00425DED"/>
    <w:rsid w:val="00426B4E"/>
    <w:rsid w:val="004272C8"/>
    <w:rsid w:val="00427565"/>
    <w:rsid w:val="00427C15"/>
    <w:rsid w:val="00427E51"/>
    <w:rsid w:val="0043001E"/>
    <w:rsid w:val="0043151F"/>
    <w:rsid w:val="00431F00"/>
    <w:rsid w:val="00432A32"/>
    <w:rsid w:val="00432F86"/>
    <w:rsid w:val="0043313A"/>
    <w:rsid w:val="0043398C"/>
    <w:rsid w:val="00433F89"/>
    <w:rsid w:val="00434612"/>
    <w:rsid w:val="004352FC"/>
    <w:rsid w:val="00436FFF"/>
    <w:rsid w:val="0044042D"/>
    <w:rsid w:val="0044129C"/>
    <w:rsid w:val="00441B1B"/>
    <w:rsid w:val="00441C39"/>
    <w:rsid w:val="00441D04"/>
    <w:rsid w:val="004422B3"/>
    <w:rsid w:val="00444981"/>
    <w:rsid w:val="00444CC7"/>
    <w:rsid w:val="00445238"/>
    <w:rsid w:val="00445F3D"/>
    <w:rsid w:val="0044695E"/>
    <w:rsid w:val="00446CFC"/>
    <w:rsid w:val="004475D8"/>
    <w:rsid w:val="00447915"/>
    <w:rsid w:val="0044792C"/>
    <w:rsid w:val="00447A9C"/>
    <w:rsid w:val="00447D0A"/>
    <w:rsid w:val="00447FC2"/>
    <w:rsid w:val="004501DA"/>
    <w:rsid w:val="0045065E"/>
    <w:rsid w:val="00450A27"/>
    <w:rsid w:val="00451EA7"/>
    <w:rsid w:val="00452149"/>
    <w:rsid w:val="004523DB"/>
    <w:rsid w:val="00453883"/>
    <w:rsid w:val="004547C7"/>
    <w:rsid w:val="00454D43"/>
    <w:rsid w:val="004554B6"/>
    <w:rsid w:val="00456235"/>
    <w:rsid w:val="00456324"/>
    <w:rsid w:val="004571D7"/>
    <w:rsid w:val="004608AB"/>
    <w:rsid w:val="00460B48"/>
    <w:rsid w:val="00461658"/>
    <w:rsid w:val="00461850"/>
    <w:rsid w:val="00461DB2"/>
    <w:rsid w:val="00463FA9"/>
    <w:rsid w:val="004642E2"/>
    <w:rsid w:val="00464318"/>
    <w:rsid w:val="0046622B"/>
    <w:rsid w:val="004663F6"/>
    <w:rsid w:val="00466F6A"/>
    <w:rsid w:val="004673B0"/>
    <w:rsid w:val="00467B04"/>
    <w:rsid w:val="0047029E"/>
    <w:rsid w:val="00470A0A"/>
    <w:rsid w:val="00470E6B"/>
    <w:rsid w:val="00471C53"/>
    <w:rsid w:val="00472651"/>
    <w:rsid w:val="00473150"/>
    <w:rsid w:val="00473C0C"/>
    <w:rsid w:val="0047429D"/>
    <w:rsid w:val="004751DB"/>
    <w:rsid w:val="00475C3D"/>
    <w:rsid w:val="00476D22"/>
    <w:rsid w:val="00476D2A"/>
    <w:rsid w:val="004777EC"/>
    <w:rsid w:val="00477908"/>
    <w:rsid w:val="00477F59"/>
    <w:rsid w:val="004801F1"/>
    <w:rsid w:val="00480A01"/>
    <w:rsid w:val="004812DB"/>
    <w:rsid w:val="00481310"/>
    <w:rsid w:val="00481C1F"/>
    <w:rsid w:val="00481D0E"/>
    <w:rsid w:val="00481F05"/>
    <w:rsid w:val="00483A13"/>
    <w:rsid w:val="00483C1E"/>
    <w:rsid w:val="00483D30"/>
    <w:rsid w:val="00483D86"/>
    <w:rsid w:val="00484D13"/>
    <w:rsid w:val="00485722"/>
    <w:rsid w:val="00485DD4"/>
    <w:rsid w:val="00486927"/>
    <w:rsid w:val="00486B10"/>
    <w:rsid w:val="00491940"/>
    <w:rsid w:val="00491C0E"/>
    <w:rsid w:val="0049310C"/>
    <w:rsid w:val="00494050"/>
    <w:rsid w:val="004943A1"/>
    <w:rsid w:val="00494DFA"/>
    <w:rsid w:val="0049623E"/>
    <w:rsid w:val="004969BA"/>
    <w:rsid w:val="00496BFA"/>
    <w:rsid w:val="0049782C"/>
    <w:rsid w:val="004A0647"/>
    <w:rsid w:val="004A0947"/>
    <w:rsid w:val="004A0964"/>
    <w:rsid w:val="004A0DAB"/>
    <w:rsid w:val="004A1487"/>
    <w:rsid w:val="004A2713"/>
    <w:rsid w:val="004A326A"/>
    <w:rsid w:val="004A49FD"/>
    <w:rsid w:val="004A4C3A"/>
    <w:rsid w:val="004A549F"/>
    <w:rsid w:val="004A54D9"/>
    <w:rsid w:val="004A54DE"/>
    <w:rsid w:val="004A55E3"/>
    <w:rsid w:val="004A578D"/>
    <w:rsid w:val="004A7206"/>
    <w:rsid w:val="004A74A3"/>
    <w:rsid w:val="004A7BD1"/>
    <w:rsid w:val="004B1671"/>
    <w:rsid w:val="004B1823"/>
    <w:rsid w:val="004B3058"/>
    <w:rsid w:val="004B30DA"/>
    <w:rsid w:val="004B33C1"/>
    <w:rsid w:val="004B3596"/>
    <w:rsid w:val="004B3F0E"/>
    <w:rsid w:val="004B6461"/>
    <w:rsid w:val="004B656A"/>
    <w:rsid w:val="004B77FC"/>
    <w:rsid w:val="004C0771"/>
    <w:rsid w:val="004C0D2A"/>
    <w:rsid w:val="004C1891"/>
    <w:rsid w:val="004C2FA4"/>
    <w:rsid w:val="004C325D"/>
    <w:rsid w:val="004C4025"/>
    <w:rsid w:val="004C486D"/>
    <w:rsid w:val="004C4A7B"/>
    <w:rsid w:val="004C4D10"/>
    <w:rsid w:val="004C4D20"/>
    <w:rsid w:val="004C6D1B"/>
    <w:rsid w:val="004C6E04"/>
    <w:rsid w:val="004C7289"/>
    <w:rsid w:val="004D0CD1"/>
    <w:rsid w:val="004D17B3"/>
    <w:rsid w:val="004D1A6F"/>
    <w:rsid w:val="004D1F98"/>
    <w:rsid w:val="004D2995"/>
    <w:rsid w:val="004D2D15"/>
    <w:rsid w:val="004D34F2"/>
    <w:rsid w:val="004D4169"/>
    <w:rsid w:val="004D43FA"/>
    <w:rsid w:val="004D4650"/>
    <w:rsid w:val="004D4CAB"/>
    <w:rsid w:val="004D4DC8"/>
    <w:rsid w:val="004D6A47"/>
    <w:rsid w:val="004D6A57"/>
    <w:rsid w:val="004D7A04"/>
    <w:rsid w:val="004E0006"/>
    <w:rsid w:val="004E0643"/>
    <w:rsid w:val="004E0F35"/>
    <w:rsid w:val="004E1103"/>
    <w:rsid w:val="004E1DB4"/>
    <w:rsid w:val="004E23AA"/>
    <w:rsid w:val="004E2AF6"/>
    <w:rsid w:val="004E3263"/>
    <w:rsid w:val="004E3980"/>
    <w:rsid w:val="004E4291"/>
    <w:rsid w:val="004E4493"/>
    <w:rsid w:val="004E451B"/>
    <w:rsid w:val="004E589E"/>
    <w:rsid w:val="004E591C"/>
    <w:rsid w:val="004E5CD0"/>
    <w:rsid w:val="004E660C"/>
    <w:rsid w:val="004E713E"/>
    <w:rsid w:val="004E77BC"/>
    <w:rsid w:val="004E7F32"/>
    <w:rsid w:val="004F0791"/>
    <w:rsid w:val="004F0CA5"/>
    <w:rsid w:val="004F21CB"/>
    <w:rsid w:val="004F2742"/>
    <w:rsid w:val="004F2810"/>
    <w:rsid w:val="004F2AC2"/>
    <w:rsid w:val="004F2BB3"/>
    <w:rsid w:val="004F36DC"/>
    <w:rsid w:val="004F3BB5"/>
    <w:rsid w:val="004F3CFD"/>
    <w:rsid w:val="004F3DCA"/>
    <w:rsid w:val="004F3F62"/>
    <w:rsid w:val="004F41D6"/>
    <w:rsid w:val="004F492C"/>
    <w:rsid w:val="004F5147"/>
    <w:rsid w:val="004F5857"/>
    <w:rsid w:val="004F5A55"/>
    <w:rsid w:val="004F5C87"/>
    <w:rsid w:val="004F623B"/>
    <w:rsid w:val="004F6300"/>
    <w:rsid w:val="004F674F"/>
    <w:rsid w:val="004F6775"/>
    <w:rsid w:val="004F6D8E"/>
    <w:rsid w:val="00501895"/>
    <w:rsid w:val="00501F69"/>
    <w:rsid w:val="00502F5A"/>
    <w:rsid w:val="005033FD"/>
    <w:rsid w:val="00503469"/>
    <w:rsid w:val="00503D54"/>
    <w:rsid w:val="00503D57"/>
    <w:rsid w:val="00504A74"/>
    <w:rsid w:val="00505F61"/>
    <w:rsid w:val="005063B2"/>
    <w:rsid w:val="00506411"/>
    <w:rsid w:val="005065FB"/>
    <w:rsid w:val="0050778B"/>
    <w:rsid w:val="0051052F"/>
    <w:rsid w:val="00511149"/>
    <w:rsid w:val="005112C1"/>
    <w:rsid w:val="0051230A"/>
    <w:rsid w:val="005126F6"/>
    <w:rsid w:val="00512BDE"/>
    <w:rsid w:val="005138A2"/>
    <w:rsid w:val="00513E2A"/>
    <w:rsid w:val="005144B1"/>
    <w:rsid w:val="00514FF9"/>
    <w:rsid w:val="00515FDA"/>
    <w:rsid w:val="0051607A"/>
    <w:rsid w:val="00520F75"/>
    <w:rsid w:val="00521029"/>
    <w:rsid w:val="005214CC"/>
    <w:rsid w:val="00521C36"/>
    <w:rsid w:val="00522499"/>
    <w:rsid w:val="00522C0B"/>
    <w:rsid w:val="00522F6C"/>
    <w:rsid w:val="00522FAC"/>
    <w:rsid w:val="005234B0"/>
    <w:rsid w:val="005238D5"/>
    <w:rsid w:val="005241F5"/>
    <w:rsid w:val="00524BD9"/>
    <w:rsid w:val="00525072"/>
    <w:rsid w:val="0052565C"/>
    <w:rsid w:val="00526069"/>
    <w:rsid w:val="00526976"/>
    <w:rsid w:val="0052697A"/>
    <w:rsid w:val="0052739D"/>
    <w:rsid w:val="005277F8"/>
    <w:rsid w:val="0053030C"/>
    <w:rsid w:val="00531406"/>
    <w:rsid w:val="00531DE9"/>
    <w:rsid w:val="00531E23"/>
    <w:rsid w:val="00532C27"/>
    <w:rsid w:val="00532F08"/>
    <w:rsid w:val="005337EA"/>
    <w:rsid w:val="00533842"/>
    <w:rsid w:val="00533EBA"/>
    <w:rsid w:val="00535579"/>
    <w:rsid w:val="0053562E"/>
    <w:rsid w:val="0053625E"/>
    <w:rsid w:val="00536B53"/>
    <w:rsid w:val="00537377"/>
    <w:rsid w:val="00537795"/>
    <w:rsid w:val="00537CFC"/>
    <w:rsid w:val="00540DB6"/>
    <w:rsid w:val="00542083"/>
    <w:rsid w:val="00542689"/>
    <w:rsid w:val="00542E28"/>
    <w:rsid w:val="00543032"/>
    <w:rsid w:val="0054458C"/>
    <w:rsid w:val="005448EA"/>
    <w:rsid w:val="00544AFA"/>
    <w:rsid w:val="00544D13"/>
    <w:rsid w:val="0054585B"/>
    <w:rsid w:val="00547EC6"/>
    <w:rsid w:val="005504B0"/>
    <w:rsid w:val="00551046"/>
    <w:rsid w:val="005511C0"/>
    <w:rsid w:val="0055132F"/>
    <w:rsid w:val="00551D01"/>
    <w:rsid w:val="00551F42"/>
    <w:rsid w:val="00552B0D"/>
    <w:rsid w:val="005539EC"/>
    <w:rsid w:val="005544E5"/>
    <w:rsid w:val="00554853"/>
    <w:rsid w:val="00554EA4"/>
    <w:rsid w:val="00554F44"/>
    <w:rsid w:val="005551E2"/>
    <w:rsid w:val="00555488"/>
    <w:rsid w:val="00555832"/>
    <w:rsid w:val="00555839"/>
    <w:rsid w:val="005559E4"/>
    <w:rsid w:val="00555F82"/>
    <w:rsid w:val="00556968"/>
    <w:rsid w:val="00557400"/>
    <w:rsid w:val="0055790C"/>
    <w:rsid w:val="00557A6F"/>
    <w:rsid w:val="00557CB4"/>
    <w:rsid w:val="00560680"/>
    <w:rsid w:val="00560BF2"/>
    <w:rsid w:val="00560EC6"/>
    <w:rsid w:val="005616BE"/>
    <w:rsid w:val="005622B7"/>
    <w:rsid w:val="005643A5"/>
    <w:rsid w:val="00564970"/>
    <w:rsid w:val="0056541F"/>
    <w:rsid w:val="00565857"/>
    <w:rsid w:val="00565B20"/>
    <w:rsid w:val="005667B4"/>
    <w:rsid w:val="0056718A"/>
    <w:rsid w:val="00567370"/>
    <w:rsid w:val="00567492"/>
    <w:rsid w:val="0057069A"/>
    <w:rsid w:val="00570E60"/>
    <w:rsid w:val="00571306"/>
    <w:rsid w:val="00571D5D"/>
    <w:rsid w:val="0057272E"/>
    <w:rsid w:val="00573361"/>
    <w:rsid w:val="00574173"/>
    <w:rsid w:val="00574400"/>
    <w:rsid w:val="00574CA8"/>
    <w:rsid w:val="005819FE"/>
    <w:rsid w:val="00581B95"/>
    <w:rsid w:val="00581DA3"/>
    <w:rsid w:val="00581F7D"/>
    <w:rsid w:val="00582DEA"/>
    <w:rsid w:val="00582EE8"/>
    <w:rsid w:val="005838B1"/>
    <w:rsid w:val="0058394C"/>
    <w:rsid w:val="00583C38"/>
    <w:rsid w:val="00583C8B"/>
    <w:rsid w:val="005845A5"/>
    <w:rsid w:val="005846FD"/>
    <w:rsid w:val="00584BC6"/>
    <w:rsid w:val="00584F0F"/>
    <w:rsid w:val="0058694B"/>
    <w:rsid w:val="00586D28"/>
    <w:rsid w:val="00586DE6"/>
    <w:rsid w:val="00587723"/>
    <w:rsid w:val="00587765"/>
    <w:rsid w:val="00587869"/>
    <w:rsid w:val="0058787C"/>
    <w:rsid w:val="00587D72"/>
    <w:rsid w:val="00590EED"/>
    <w:rsid w:val="00590F01"/>
    <w:rsid w:val="00590F59"/>
    <w:rsid w:val="00591342"/>
    <w:rsid w:val="00591415"/>
    <w:rsid w:val="00591AC9"/>
    <w:rsid w:val="005956D7"/>
    <w:rsid w:val="005958C6"/>
    <w:rsid w:val="00595A09"/>
    <w:rsid w:val="00596027"/>
    <w:rsid w:val="005A08F6"/>
    <w:rsid w:val="005A0AB9"/>
    <w:rsid w:val="005A0DCD"/>
    <w:rsid w:val="005A1C79"/>
    <w:rsid w:val="005A21C9"/>
    <w:rsid w:val="005A2DED"/>
    <w:rsid w:val="005A2E86"/>
    <w:rsid w:val="005A3573"/>
    <w:rsid w:val="005A3E36"/>
    <w:rsid w:val="005A47F0"/>
    <w:rsid w:val="005A505F"/>
    <w:rsid w:val="005A6057"/>
    <w:rsid w:val="005A63A6"/>
    <w:rsid w:val="005A65A1"/>
    <w:rsid w:val="005A7BBC"/>
    <w:rsid w:val="005B0177"/>
    <w:rsid w:val="005B0815"/>
    <w:rsid w:val="005B1BFD"/>
    <w:rsid w:val="005B2135"/>
    <w:rsid w:val="005B49D6"/>
    <w:rsid w:val="005B50AB"/>
    <w:rsid w:val="005B692E"/>
    <w:rsid w:val="005B758F"/>
    <w:rsid w:val="005B7644"/>
    <w:rsid w:val="005B79CE"/>
    <w:rsid w:val="005B7D69"/>
    <w:rsid w:val="005C0C36"/>
    <w:rsid w:val="005C1205"/>
    <w:rsid w:val="005C17BD"/>
    <w:rsid w:val="005C2FAB"/>
    <w:rsid w:val="005C3D16"/>
    <w:rsid w:val="005C5154"/>
    <w:rsid w:val="005C524B"/>
    <w:rsid w:val="005C55E5"/>
    <w:rsid w:val="005C58D3"/>
    <w:rsid w:val="005C5F7B"/>
    <w:rsid w:val="005C6470"/>
    <w:rsid w:val="005C64BD"/>
    <w:rsid w:val="005C70CE"/>
    <w:rsid w:val="005C7547"/>
    <w:rsid w:val="005C79EC"/>
    <w:rsid w:val="005D0A87"/>
    <w:rsid w:val="005D19DF"/>
    <w:rsid w:val="005D1F8F"/>
    <w:rsid w:val="005D24E5"/>
    <w:rsid w:val="005D28D9"/>
    <w:rsid w:val="005D3A52"/>
    <w:rsid w:val="005D48F9"/>
    <w:rsid w:val="005D4A1F"/>
    <w:rsid w:val="005D55A3"/>
    <w:rsid w:val="005D73F3"/>
    <w:rsid w:val="005D77B6"/>
    <w:rsid w:val="005D7DC1"/>
    <w:rsid w:val="005E028A"/>
    <w:rsid w:val="005E0615"/>
    <w:rsid w:val="005E0E18"/>
    <w:rsid w:val="005E163A"/>
    <w:rsid w:val="005E229E"/>
    <w:rsid w:val="005E29AA"/>
    <w:rsid w:val="005E3503"/>
    <w:rsid w:val="005E3F10"/>
    <w:rsid w:val="005E483C"/>
    <w:rsid w:val="005E4A6A"/>
    <w:rsid w:val="005E59E8"/>
    <w:rsid w:val="005E63BB"/>
    <w:rsid w:val="005E6D84"/>
    <w:rsid w:val="005E7026"/>
    <w:rsid w:val="005E7B71"/>
    <w:rsid w:val="005F1F3F"/>
    <w:rsid w:val="005F21A4"/>
    <w:rsid w:val="005F2BC8"/>
    <w:rsid w:val="005F3118"/>
    <w:rsid w:val="005F31F0"/>
    <w:rsid w:val="005F342F"/>
    <w:rsid w:val="005F376F"/>
    <w:rsid w:val="005F3ACD"/>
    <w:rsid w:val="005F4610"/>
    <w:rsid w:val="005F5773"/>
    <w:rsid w:val="005F5895"/>
    <w:rsid w:val="005F5A96"/>
    <w:rsid w:val="005F5FA4"/>
    <w:rsid w:val="005F6E97"/>
    <w:rsid w:val="005F70A5"/>
    <w:rsid w:val="006000B9"/>
    <w:rsid w:val="00600181"/>
    <w:rsid w:val="00600EF4"/>
    <w:rsid w:val="00601498"/>
    <w:rsid w:val="00601A13"/>
    <w:rsid w:val="00601AA2"/>
    <w:rsid w:val="00602BA4"/>
    <w:rsid w:val="00602E5D"/>
    <w:rsid w:val="00603359"/>
    <w:rsid w:val="006036A7"/>
    <w:rsid w:val="006059CF"/>
    <w:rsid w:val="00605C50"/>
    <w:rsid w:val="006068E3"/>
    <w:rsid w:val="00606F36"/>
    <w:rsid w:val="006071BC"/>
    <w:rsid w:val="00607403"/>
    <w:rsid w:val="00607E56"/>
    <w:rsid w:val="00607FA9"/>
    <w:rsid w:val="006101B6"/>
    <w:rsid w:val="0061047F"/>
    <w:rsid w:val="00610E23"/>
    <w:rsid w:val="00611124"/>
    <w:rsid w:val="006127BF"/>
    <w:rsid w:val="0061316E"/>
    <w:rsid w:val="006132A7"/>
    <w:rsid w:val="006135F2"/>
    <w:rsid w:val="00615191"/>
    <w:rsid w:val="00615489"/>
    <w:rsid w:val="006155CB"/>
    <w:rsid w:val="00615653"/>
    <w:rsid w:val="0061572C"/>
    <w:rsid w:val="00615F1F"/>
    <w:rsid w:val="0061688E"/>
    <w:rsid w:val="006170AF"/>
    <w:rsid w:val="00617C97"/>
    <w:rsid w:val="00617CE0"/>
    <w:rsid w:val="00620390"/>
    <w:rsid w:val="0062046F"/>
    <w:rsid w:val="006212DB"/>
    <w:rsid w:val="0062151F"/>
    <w:rsid w:val="00621B53"/>
    <w:rsid w:val="0062290A"/>
    <w:rsid w:val="00622C88"/>
    <w:rsid w:val="00623C15"/>
    <w:rsid w:val="00623C79"/>
    <w:rsid w:val="00624636"/>
    <w:rsid w:val="00625087"/>
    <w:rsid w:val="006253BD"/>
    <w:rsid w:val="006253DC"/>
    <w:rsid w:val="00626436"/>
    <w:rsid w:val="006275F8"/>
    <w:rsid w:val="00630B65"/>
    <w:rsid w:val="006313BE"/>
    <w:rsid w:val="006317A6"/>
    <w:rsid w:val="00631BCF"/>
    <w:rsid w:val="00631F6C"/>
    <w:rsid w:val="00632650"/>
    <w:rsid w:val="00632781"/>
    <w:rsid w:val="00632900"/>
    <w:rsid w:val="00633468"/>
    <w:rsid w:val="006336F5"/>
    <w:rsid w:val="00633826"/>
    <w:rsid w:val="00633959"/>
    <w:rsid w:val="00633996"/>
    <w:rsid w:val="00633C0D"/>
    <w:rsid w:val="006346DA"/>
    <w:rsid w:val="006349FA"/>
    <w:rsid w:val="00634E31"/>
    <w:rsid w:val="00634FD5"/>
    <w:rsid w:val="0063554F"/>
    <w:rsid w:val="006367DF"/>
    <w:rsid w:val="00636F76"/>
    <w:rsid w:val="00637609"/>
    <w:rsid w:val="0063760A"/>
    <w:rsid w:val="00637709"/>
    <w:rsid w:val="006378C6"/>
    <w:rsid w:val="00637FCA"/>
    <w:rsid w:val="0064030F"/>
    <w:rsid w:val="00640750"/>
    <w:rsid w:val="00640B56"/>
    <w:rsid w:val="0064118C"/>
    <w:rsid w:val="006413EE"/>
    <w:rsid w:val="006418BC"/>
    <w:rsid w:val="00641CE9"/>
    <w:rsid w:val="00641CEB"/>
    <w:rsid w:val="00642106"/>
    <w:rsid w:val="006432D0"/>
    <w:rsid w:val="00645F41"/>
    <w:rsid w:val="0064723B"/>
    <w:rsid w:val="0064747C"/>
    <w:rsid w:val="00647CE9"/>
    <w:rsid w:val="00650A31"/>
    <w:rsid w:val="00650BF8"/>
    <w:rsid w:val="00651266"/>
    <w:rsid w:val="00651372"/>
    <w:rsid w:val="00651D38"/>
    <w:rsid w:val="00651DD8"/>
    <w:rsid w:val="00652642"/>
    <w:rsid w:val="00652701"/>
    <w:rsid w:val="00653388"/>
    <w:rsid w:val="00653824"/>
    <w:rsid w:val="00653C64"/>
    <w:rsid w:val="00654AA9"/>
    <w:rsid w:val="00655C57"/>
    <w:rsid w:val="006564F3"/>
    <w:rsid w:val="00656E91"/>
    <w:rsid w:val="00657D6C"/>
    <w:rsid w:val="00661157"/>
    <w:rsid w:val="006617E8"/>
    <w:rsid w:val="00661F30"/>
    <w:rsid w:val="00661F78"/>
    <w:rsid w:val="00663BB3"/>
    <w:rsid w:val="00663E0F"/>
    <w:rsid w:val="006640D6"/>
    <w:rsid w:val="006657A7"/>
    <w:rsid w:val="00666306"/>
    <w:rsid w:val="006673E4"/>
    <w:rsid w:val="006674C7"/>
    <w:rsid w:val="0066767F"/>
    <w:rsid w:val="00667687"/>
    <w:rsid w:val="00670760"/>
    <w:rsid w:val="00671A22"/>
    <w:rsid w:val="00672138"/>
    <w:rsid w:val="0067223A"/>
    <w:rsid w:val="00672A9F"/>
    <w:rsid w:val="00672D62"/>
    <w:rsid w:val="0067326D"/>
    <w:rsid w:val="00673A2E"/>
    <w:rsid w:val="00673BBC"/>
    <w:rsid w:val="00673BE0"/>
    <w:rsid w:val="00673FB2"/>
    <w:rsid w:val="00674233"/>
    <w:rsid w:val="0067457E"/>
    <w:rsid w:val="00675E5E"/>
    <w:rsid w:val="0067655E"/>
    <w:rsid w:val="00676DBA"/>
    <w:rsid w:val="00677593"/>
    <w:rsid w:val="00677BBD"/>
    <w:rsid w:val="0068009A"/>
    <w:rsid w:val="00681865"/>
    <w:rsid w:val="006819CA"/>
    <w:rsid w:val="00681D0B"/>
    <w:rsid w:val="00682FE1"/>
    <w:rsid w:val="00683072"/>
    <w:rsid w:val="00683173"/>
    <w:rsid w:val="006831AE"/>
    <w:rsid w:val="006838B7"/>
    <w:rsid w:val="0068393C"/>
    <w:rsid w:val="00684733"/>
    <w:rsid w:val="006857B6"/>
    <w:rsid w:val="00685BD6"/>
    <w:rsid w:val="006862F0"/>
    <w:rsid w:val="0068633F"/>
    <w:rsid w:val="006867ED"/>
    <w:rsid w:val="00687EB5"/>
    <w:rsid w:val="00690C47"/>
    <w:rsid w:val="00690F66"/>
    <w:rsid w:val="006910CD"/>
    <w:rsid w:val="00691712"/>
    <w:rsid w:val="00691D4E"/>
    <w:rsid w:val="00692457"/>
    <w:rsid w:val="0069342B"/>
    <w:rsid w:val="0069346F"/>
    <w:rsid w:val="00693DFC"/>
    <w:rsid w:val="00694E0F"/>
    <w:rsid w:val="00694E3C"/>
    <w:rsid w:val="006951D1"/>
    <w:rsid w:val="0069559C"/>
    <w:rsid w:val="00695683"/>
    <w:rsid w:val="006956C9"/>
    <w:rsid w:val="00695A94"/>
    <w:rsid w:val="00696EA9"/>
    <w:rsid w:val="00696F7D"/>
    <w:rsid w:val="006978F2"/>
    <w:rsid w:val="00697FFC"/>
    <w:rsid w:val="006A0456"/>
    <w:rsid w:val="006A0970"/>
    <w:rsid w:val="006A0B32"/>
    <w:rsid w:val="006A1CB2"/>
    <w:rsid w:val="006A1E40"/>
    <w:rsid w:val="006A2591"/>
    <w:rsid w:val="006A2C3F"/>
    <w:rsid w:val="006A2CF8"/>
    <w:rsid w:val="006A382C"/>
    <w:rsid w:val="006A3A75"/>
    <w:rsid w:val="006A449F"/>
    <w:rsid w:val="006A4783"/>
    <w:rsid w:val="006A4DD7"/>
    <w:rsid w:val="006A55B6"/>
    <w:rsid w:val="006A56DE"/>
    <w:rsid w:val="006A5E47"/>
    <w:rsid w:val="006A613A"/>
    <w:rsid w:val="006A6682"/>
    <w:rsid w:val="006A701E"/>
    <w:rsid w:val="006B00C7"/>
    <w:rsid w:val="006B0DB9"/>
    <w:rsid w:val="006B1866"/>
    <w:rsid w:val="006B1C58"/>
    <w:rsid w:val="006B2290"/>
    <w:rsid w:val="006B2AC1"/>
    <w:rsid w:val="006B3019"/>
    <w:rsid w:val="006B33B8"/>
    <w:rsid w:val="006B44F9"/>
    <w:rsid w:val="006B4534"/>
    <w:rsid w:val="006B634C"/>
    <w:rsid w:val="006B6981"/>
    <w:rsid w:val="006B6CBA"/>
    <w:rsid w:val="006B7CA5"/>
    <w:rsid w:val="006C04CE"/>
    <w:rsid w:val="006C16A7"/>
    <w:rsid w:val="006C1E6B"/>
    <w:rsid w:val="006C20FF"/>
    <w:rsid w:val="006C256A"/>
    <w:rsid w:val="006C339A"/>
    <w:rsid w:val="006C4645"/>
    <w:rsid w:val="006C4E1A"/>
    <w:rsid w:val="006C5FBB"/>
    <w:rsid w:val="006C608C"/>
    <w:rsid w:val="006C73BB"/>
    <w:rsid w:val="006D13B9"/>
    <w:rsid w:val="006D16BF"/>
    <w:rsid w:val="006D1807"/>
    <w:rsid w:val="006D28C3"/>
    <w:rsid w:val="006D36DA"/>
    <w:rsid w:val="006D3C7E"/>
    <w:rsid w:val="006D4566"/>
    <w:rsid w:val="006D475A"/>
    <w:rsid w:val="006D6954"/>
    <w:rsid w:val="006D69EB"/>
    <w:rsid w:val="006D6C96"/>
    <w:rsid w:val="006D765E"/>
    <w:rsid w:val="006E006D"/>
    <w:rsid w:val="006E052D"/>
    <w:rsid w:val="006E0B09"/>
    <w:rsid w:val="006E0EC8"/>
    <w:rsid w:val="006E0EF0"/>
    <w:rsid w:val="006E1A9D"/>
    <w:rsid w:val="006E2164"/>
    <w:rsid w:val="006E24DD"/>
    <w:rsid w:val="006E2BDD"/>
    <w:rsid w:val="006E33FC"/>
    <w:rsid w:val="006E3DBC"/>
    <w:rsid w:val="006E3FAA"/>
    <w:rsid w:val="006E555A"/>
    <w:rsid w:val="006E6946"/>
    <w:rsid w:val="006E7B79"/>
    <w:rsid w:val="006E7BAE"/>
    <w:rsid w:val="006E7EED"/>
    <w:rsid w:val="006F049B"/>
    <w:rsid w:val="006F1193"/>
    <w:rsid w:val="006F1297"/>
    <w:rsid w:val="006F13E7"/>
    <w:rsid w:val="006F179D"/>
    <w:rsid w:val="006F23F5"/>
    <w:rsid w:val="006F28F0"/>
    <w:rsid w:val="006F2CEF"/>
    <w:rsid w:val="006F32AC"/>
    <w:rsid w:val="006F3AB1"/>
    <w:rsid w:val="006F53A9"/>
    <w:rsid w:val="006F5905"/>
    <w:rsid w:val="006F7376"/>
    <w:rsid w:val="0070001E"/>
    <w:rsid w:val="007007D8"/>
    <w:rsid w:val="00701436"/>
    <w:rsid w:val="0070207D"/>
    <w:rsid w:val="00702E76"/>
    <w:rsid w:val="0070314C"/>
    <w:rsid w:val="007031EF"/>
    <w:rsid w:val="00703A44"/>
    <w:rsid w:val="007049EA"/>
    <w:rsid w:val="00704D53"/>
    <w:rsid w:val="007053C4"/>
    <w:rsid w:val="00705CE6"/>
    <w:rsid w:val="007065AD"/>
    <w:rsid w:val="00706608"/>
    <w:rsid w:val="00706660"/>
    <w:rsid w:val="00707179"/>
    <w:rsid w:val="00707D68"/>
    <w:rsid w:val="00707E31"/>
    <w:rsid w:val="007104FC"/>
    <w:rsid w:val="00710570"/>
    <w:rsid w:val="00710FA2"/>
    <w:rsid w:val="00711A1D"/>
    <w:rsid w:val="00713C7A"/>
    <w:rsid w:val="00713D87"/>
    <w:rsid w:val="007144C3"/>
    <w:rsid w:val="00714961"/>
    <w:rsid w:val="00715C68"/>
    <w:rsid w:val="00715ECD"/>
    <w:rsid w:val="00720EB4"/>
    <w:rsid w:val="0072261F"/>
    <w:rsid w:val="00722900"/>
    <w:rsid w:val="007233D3"/>
    <w:rsid w:val="007239E0"/>
    <w:rsid w:val="00723DFE"/>
    <w:rsid w:val="007240C1"/>
    <w:rsid w:val="0072410B"/>
    <w:rsid w:val="0072423C"/>
    <w:rsid w:val="007242B9"/>
    <w:rsid w:val="00725922"/>
    <w:rsid w:val="00725EDD"/>
    <w:rsid w:val="00726312"/>
    <w:rsid w:val="00726F2E"/>
    <w:rsid w:val="007273B1"/>
    <w:rsid w:val="007304AC"/>
    <w:rsid w:val="007309DC"/>
    <w:rsid w:val="00730FC1"/>
    <w:rsid w:val="00731C4D"/>
    <w:rsid w:val="00732812"/>
    <w:rsid w:val="00732A50"/>
    <w:rsid w:val="00732D1D"/>
    <w:rsid w:val="00733AC0"/>
    <w:rsid w:val="00735C98"/>
    <w:rsid w:val="007366E9"/>
    <w:rsid w:val="00736980"/>
    <w:rsid w:val="00736C12"/>
    <w:rsid w:val="0073744A"/>
    <w:rsid w:val="00737AF7"/>
    <w:rsid w:val="00737BCF"/>
    <w:rsid w:val="00740302"/>
    <w:rsid w:val="00741AE5"/>
    <w:rsid w:val="00741C61"/>
    <w:rsid w:val="00741E8B"/>
    <w:rsid w:val="00743246"/>
    <w:rsid w:val="007437E8"/>
    <w:rsid w:val="00744B06"/>
    <w:rsid w:val="00745A42"/>
    <w:rsid w:val="007462A8"/>
    <w:rsid w:val="0074657E"/>
    <w:rsid w:val="00746E72"/>
    <w:rsid w:val="00747FFE"/>
    <w:rsid w:val="00752C76"/>
    <w:rsid w:val="007538D3"/>
    <w:rsid w:val="0075454B"/>
    <w:rsid w:val="00754A23"/>
    <w:rsid w:val="007553A9"/>
    <w:rsid w:val="00755CDC"/>
    <w:rsid w:val="00757DCF"/>
    <w:rsid w:val="00760C18"/>
    <w:rsid w:val="007613A3"/>
    <w:rsid w:val="0076184C"/>
    <w:rsid w:val="00761973"/>
    <w:rsid w:val="00761B76"/>
    <w:rsid w:val="00762677"/>
    <w:rsid w:val="00762738"/>
    <w:rsid w:val="00762FCF"/>
    <w:rsid w:val="0076473A"/>
    <w:rsid w:val="00765EA3"/>
    <w:rsid w:val="007665D2"/>
    <w:rsid w:val="00766BA4"/>
    <w:rsid w:val="007670DA"/>
    <w:rsid w:val="00771557"/>
    <w:rsid w:val="00772934"/>
    <w:rsid w:val="00773E26"/>
    <w:rsid w:val="00774E84"/>
    <w:rsid w:val="007750A4"/>
    <w:rsid w:val="00775790"/>
    <w:rsid w:val="00777D05"/>
    <w:rsid w:val="007803D2"/>
    <w:rsid w:val="00781711"/>
    <w:rsid w:val="00782042"/>
    <w:rsid w:val="0078249C"/>
    <w:rsid w:val="00782B46"/>
    <w:rsid w:val="00782CC1"/>
    <w:rsid w:val="00782F99"/>
    <w:rsid w:val="00783D29"/>
    <w:rsid w:val="007843E3"/>
    <w:rsid w:val="00784D25"/>
    <w:rsid w:val="00785543"/>
    <w:rsid w:val="007856B2"/>
    <w:rsid w:val="007856C0"/>
    <w:rsid w:val="00785918"/>
    <w:rsid w:val="007872F2"/>
    <w:rsid w:val="007873F0"/>
    <w:rsid w:val="0078749A"/>
    <w:rsid w:val="00791BD7"/>
    <w:rsid w:val="00793972"/>
    <w:rsid w:val="00793A1D"/>
    <w:rsid w:val="007940EC"/>
    <w:rsid w:val="0079464D"/>
    <w:rsid w:val="00794FB2"/>
    <w:rsid w:val="00795054"/>
    <w:rsid w:val="00795703"/>
    <w:rsid w:val="00795CF1"/>
    <w:rsid w:val="007975C5"/>
    <w:rsid w:val="00797658"/>
    <w:rsid w:val="00797759"/>
    <w:rsid w:val="007A02AE"/>
    <w:rsid w:val="007A10E8"/>
    <w:rsid w:val="007A1E23"/>
    <w:rsid w:val="007A2064"/>
    <w:rsid w:val="007A63D2"/>
    <w:rsid w:val="007A72A7"/>
    <w:rsid w:val="007A76B2"/>
    <w:rsid w:val="007B31BA"/>
    <w:rsid w:val="007B4D16"/>
    <w:rsid w:val="007B5A81"/>
    <w:rsid w:val="007B66F8"/>
    <w:rsid w:val="007B6D54"/>
    <w:rsid w:val="007B7B96"/>
    <w:rsid w:val="007B7F2A"/>
    <w:rsid w:val="007C0306"/>
    <w:rsid w:val="007C05A9"/>
    <w:rsid w:val="007C0646"/>
    <w:rsid w:val="007C1248"/>
    <w:rsid w:val="007C1D87"/>
    <w:rsid w:val="007C1FBF"/>
    <w:rsid w:val="007C24A0"/>
    <w:rsid w:val="007C263F"/>
    <w:rsid w:val="007C28E0"/>
    <w:rsid w:val="007C2CA7"/>
    <w:rsid w:val="007C3828"/>
    <w:rsid w:val="007C4151"/>
    <w:rsid w:val="007C4A32"/>
    <w:rsid w:val="007C614E"/>
    <w:rsid w:val="007C618F"/>
    <w:rsid w:val="007C6A68"/>
    <w:rsid w:val="007C6BB2"/>
    <w:rsid w:val="007C6ECB"/>
    <w:rsid w:val="007C6F12"/>
    <w:rsid w:val="007D0631"/>
    <w:rsid w:val="007D1488"/>
    <w:rsid w:val="007D3847"/>
    <w:rsid w:val="007D3C6F"/>
    <w:rsid w:val="007D5716"/>
    <w:rsid w:val="007D5EA5"/>
    <w:rsid w:val="007D7545"/>
    <w:rsid w:val="007D769E"/>
    <w:rsid w:val="007D7F35"/>
    <w:rsid w:val="007E0C1A"/>
    <w:rsid w:val="007E0D57"/>
    <w:rsid w:val="007E1660"/>
    <w:rsid w:val="007E25C8"/>
    <w:rsid w:val="007E38F9"/>
    <w:rsid w:val="007E40E5"/>
    <w:rsid w:val="007E5537"/>
    <w:rsid w:val="007E6A18"/>
    <w:rsid w:val="007E7E2D"/>
    <w:rsid w:val="007E7F3B"/>
    <w:rsid w:val="007F0755"/>
    <w:rsid w:val="007F0B04"/>
    <w:rsid w:val="007F12D6"/>
    <w:rsid w:val="007F2B8C"/>
    <w:rsid w:val="007F2ECE"/>
    <w:rsid w:val="007F3290"/>
    <w:rsid w:val="007F34C9"/>
    <w:rsid w:val="007F3CC1"/>
    <w:rsid w:val="007F4AC3"/>
    <w:rsid w:val="007F54EB"/>
    <w:rsid w:val="007F6E2F"/>
    <w:rsid w:val="007F7349"/>
    <w:rsid w:val="007F7708"/>
    <w:rsid w:val="008003EB"/>
    <w:rsid w:val="00800B9B"/>
    <w:rsid w:val="00800BC5"/>
    <w:rsid w:val="008013AB"/>
    <w:rsid w:val="00801C5E"/>
    <w:rsid w:val="00802B2B"/>
    <w:rsid w:val="0080304E"/>
    <w:rsid w:val="008035B8"/>
    <w:rsid w:val="008049A4"/>
    <w:rsid w:val="00804D98"/>
    <w:rsid w:val="0080506B"/>
    <w:rsid w:val="00805957"/>
    <w:rsid w:val="008066A4"/>
    <w:rsid w:val="00806C67"/>
    <w:rsid w:val="00806E47"/>
    <w:rsid w:val="00806F72"/>
    <w:rsid w:val="00806F9F"/>
    <w:rsid w:val="008075EA"/>
    <w:rsid w:val="008077E3"/>
    <w:rsid w:val="00807D95"/>
    <w:rsid w:val="008109AC"/>
    <w:rsid w:val="00812310"/>
    <w:rsid w:val="008123C5"/>
    <w:rsid w:val="008124ED"/>
    <w:rsid w:val="00812602"/>
    <w:rsid w:val="008133BF"/>
    <w:rsid w:val="0081361F"/>
    <w:rsid w:val="00813D1C"/>
    <w:rsid w:val="008143EE"/>
    <w:rsid w:val="00816238"/>
    <w:rsid w:val="0081643C"/>
    <w:rsid w:val="0081672C"/>
    <w:rsid w:val="00816AB1"/>
    <w:rsid w:val="00816D32"/>
    <w:rsid w:val="00820FBE"/>
    <w:rsid w:val="00821962"/>
    <w:rsid w:val="008219F4"/>
    <w:rsid w:val="00821E24"/>
    <w:rsid w:val="00821F16"/>
    <w:rsid w:val="00822232"/>
    <w:rsid w:val="00822DFF"/>
    <w:rsid w:val="00823018"/>
    <w:rsid w:val="00823417"/>
    <w:rsid w:val="008235C4"/>
    <w:rsid w:val="00825A8C"/>
    <w:rsid w:val="00825F76"/>
    <w:rsid w:val="00826166"/>
    <w:rsid w:val="008262B4"/>
    <w:rsid w:val="00826735"/>
    <w:rsid w:val="00826828"/>
    <w:rsid w:val="00826EBB"/>
    <w:rsid w:val="008305EF"/>
    <w:rsid w:val="00830BC0"/>
    <w:rsid w:val="008319C8"/>
    <w:rsid w:val="008320CD"/>
    <w:rsid w:val="00832358"/>
    <w:rsid w:val="00832F05"/>
    <w:rsid w:val="00833424"/>
    <w:rsid w:val="00833699"/>
    <w:rsid w:val="00833876"/>
    <w:rsid w:val="008361EC"/>
    <w:rsid w:val="00836D97"/>
    <w:rsid w:val="0083736C"/>
    <w:rsid w:val="00837D71"/>
    <w:rsid w:val="00840E0A"/>
    <w:rsid w:val="0084129C"/>
    <w:rsid w:val="00841A09"/>
    <w:rsid w:val="00842336"/>
    <w:rsid w:val="0084296B"/>
    <w:rsid w:val="0084403D"/>
    <w:rsid w:val="00845853"/>
    <w:rsid w:val="008458D6"/>
    <w:rsid w:val="00845EA4"/>
    <w:rsid w:val="00846466"/>
    <w:rsid w:val="00846619"/>
    <w:rsid w:val="00846821"/>
    <w:rsid w:val="0084684A"/>
    <w:rsid w:val="00846D48"/>
    <w:rsid w:val="008479F1"/>
    <w:rsid w:val="0085038C"/>
    <w:rsid w:val="00851DDE"/>
    <w:rsid w:val="00852066"/>
    <w:rsid w:val="0085223D"/>
    <w:rsid w:val="00852A72"/>
    <w:rsid w:val="008533C0"/>
    <w:rsid w:val="00853788"/>
    <w:rsid w:val="00854F4E"/>
    <w:rsid w:val="008553D2"/>
    <w:rsid w:val="00855527"/>
    <w:rsid w:val="00855A06"/>
    <w:rsid w:val="0085611C"/>
    <w:rsid w:val="008566B3"/>
    <w:rsid w:val="0085737C"/>
    <w:rsid w:val="0085767C"/>
    <w:rsid w:val="00857AF0"/>
    <w:rsid w:val="00860707"/>
    <w:rsid w:val="008608EE"/>
    <w:rsid w:val="00861472"/>
    <w:rsid w:val="00861B38"/>
    <w:rsid w:val="008624FE"/>
    <w:rsid w:val="0086366E"/>
    <w:rsid w:val="008643DC"/>
    <w:rsid w:val="0086474A"/>
    <w:rsid w:val="00864C23"/>
    <w:rsid w:val="00864FD7"/>
    <w:rsid w:val="00865008"/>
    <w:rsid w:val="008653E3"/>
    <w:rsid w:val="0086569B"/>
    <w:rsid w:val="00865CD0"/>
    <w:rsid w:val="00866330"/>
    <w:rsid w:val="00866827"/>
    <w:rsid w:val="00866881"/>
    <w:rsid w:val="008671C0"/>
    <w:rsid w:val="00867635"/>
    <w:rsid w:val="00870EE8"/>
    <w:rsid w:val="00870F22"/>
    <w:rsid w:val="00871264"/>
    <w:rsid w:val="00871352"/>
    <w:rsid w:val="008713E0"/>
    <w:rsid w:val="008726F3"/>
    <w:rsid w:val="00872814"/>
    <w:rsid w:val="00872E5E"/>
    <w:rsid w:val="008737D1"/>
    <w:rsid w:val="008738B5"/>
    <w:rsid w:val="008739B6"/>
    <w:rsid w:val="0087644B"/>
    <w:rsid w:val="0087674C"/>
    <w:rsid w:val="008772D4"/>
    <w:rsid w:val="00877549"/>
    <w:rsid w:val="008776BB"/>
    <w:rsid w:val="00877822"/>
    <w:rsid w:val="008779C9"/>
    <w:rsid w:val="00880C2B"/>
    <w:rsid w:val="00881502"/>
    <w:rsid w:val="008815D6"/>
    <w:rsid w:val="00881F64"/>
    <w:rsid w:val="00882D2D"/>
    <w:rsid w:val="008840FC"/>
    <w:rsid w:val="008850BD"/>
    <w:rsid w:val="00886CCC"/>
    <w:rsid w:val="0088729C"/>
    <w:rsid w:val="008879C8"/>
    <w:rsid w:val="00887F6A"/>
    <w:rsid w:val="008900B2"/>
    <w:rsid w:val="00890F67"/>
    <w:rsid w:val="00891AB5"/>
    <w:rsid w:val="00892233"/>
    <w:rsid w:val="00892443"/>
    <w:rsid w:val="00892762"/>
    <w:rsid w:val="00892DE3"/>
    <w:rsid w:val="00892FB1"/>
    <w:rsid w:val="0089386F"/>
    <w:rsid w:val="008941E2"/>
    <w:rsid w:val="00894EDB"/>
    <w:rsid w:val="008950A8"/>
    <w:rsid w:val="008955DE"/>
    <w:rsid w:val="00895C10"/>
    <w:rsid w:val="00895F8E"/>
    <w:rsid w:val="00897991"/>
    <w:rsid w:val="008A251F"/>
    <w:rsid w:val="008A25FE"/>
    <w:rsid w:val="008A3D19"/>
    <w:rsid w:val="008A4A82"/>
    <w:rsid w:val="008A5632"/>
    <w:rsid w:val="008A58EF"/>
    <w:rsid w:val="008A69D6"/>
    <w:rsid w:val="008B04D6"/>
    <w:rsid w:val="008B193A"/>
    <w:rsid w:val="008B1A15"/>
    <w:rsid w:val="008B1CEC"/>
    <w:rsid w:val="008B2554"/>
    <w:rsid w:val="008B45F7"/>
    <w:rsid w:val="008B4CE1"/>
    <w:rsid w:val="008B55A0"/>
    <w:rsid w:val="008B5D67"/>
    <w:rsid w:val="008B6686"/>
    <w:rsid w:val="008B6E28"/>
    <w:rsid w:val="008B70CB"/>
    <w:rsid w:val="008B7FC1"/>
    <w:rsid w:val="008C061C"/>
    <w:rsid w:val="008C0E40"/>
    <w:rsid w:val="008C15C7"/>
    <w:rsid w:val="008C1936"/>
    <w:rsid w:val="008C1CB9"/>
    <w:rsid w:val="008C3137"/>
    <w:rsid w:val="008C456D"/>
    <w:rsid w:val="008C5181"/>
    <w:rsid w:val="008C53C4"/>
    <w:rsid w:val="008C54B5"/>
    <w:rsid w:val="008C62F2"/>
    <w:rsid w:val="008C715D"/>
    <w:rsid w:val="008C76A9"/>
    <w:rsid w:val="008D0077"/>
    <w:rsid w:val="008D0EE1"/>
    <w:rsid w:val="008D133B"/>
    <w:rsid w:val="008D1476"/>
    <w:rsid w:val="008D1A33"/>
    <w:rsid w:val="008D1D7E"/>
    <w:rsid w:val="008D293B"/>
    <w:rsid w:val="008D30C8"/>
    <w:rsid w:val="008D31AA"/>
    <w:rsid w:val="008D38DA"/>
    <w:rsid w:val="008D3C2A"/>
    <w:rsid w:val="008D42A1"/>
    <w:rsid w:val="008D4711"/>
    <w:rsid w:val="008D4EF0"/>
    <w:rsid w:val="008D5064"/>
    <w:rsid w:val="008D5334"/>
    <w:rsid w:val="008D5750"/>
    <w:rsid w:val="008D5A13"/>
    <w:rsid w:val="008D6D1D"/>
    <w:rsid w:val="008D75E0"/>
    <w:rsid w:val="008D77E6"/>
    <w:rsid w:val="008D7BF3"/>
    <w:rsid w:val="008E1ABE"/>
    <w:rsid w:val="008E20B7"/>
    <w:rsid w:val="008E2504"/>
    <w:rsid w:val="008E2785"/>
    <w:rsid w:val="008E49FF"/>
    <w:rsid w:val="008E5300"/>
    <w:rsid w:val="008E639A"/>
    <w:rsid w:val="008E64B4"/>
    <w:rsid w:val="008E66AD"/>
    <w:rsid w:val="008E6C77"/>
    <w:rsid w:val="008E7B2F"/>
    <w:rsid w:val="008F03AB"/>
    <w:rsid w:val="008F0500"/>
    <w:rsid w:val="008F0993"/>
    <w:rsid w:val="008F1784"/>
    <w:rsid w:val="008F1C6F"/>
    <w:rsid w:val="008F2270"/>
    <w:rsid w:val="008F2F59"/>
    <w:rsid w:val="008F302B"/>
    <w:rsid w:val="008F3169"/>
    <w:rsid w:val="008F35AF"/>
    <w:rsid w:val="008F3C6C"/>
    <w:rsid w:val="008F4516"/>
    <w:rsid w:val="008F51DF"/>
    <w:rsid w:val="008F565A"/>
    <w:rsid w:val="008F5A67"/>
    <w:rsid w:val="008F5ADB"/>
    <w:rsid w:val="008F6138"/>
    <w:rsid w:val="008F6B57"/>
    <w:rsid w:val="008F782B"/>
    <w:rsid w:val="008F7B51"/>
    <w:rsid w:val="009002A5"/>
    <w:rsid w:val="0090156B"/>
    <w:rsid w:val="009015A9"/>
    <w:rsid w:val="009018A6"/>
    <w:rsid w:val="00902554"/>
    <w:rsid w:val="009025D0"/>
    <w:rsid w:val="00902BBC"/>
    <w:rsid w:val="00902DF2"/>
    <w:rsid w:val="00903991"/>
    <w:rsid w:val="0090437E"/>
    <w:rsid w:val="00904606"/>
    <w:rsid w:val="00904C56"/>
    <w:rsid w:val="00905155"/>
    <w:rsid w:val="00905D29"/>
    <w:rsid w:val="00906463"/>
    <w:rsid w:val="00906976"/>
    <w:rsid w:val="00906BCE"/>
    <w:rsid w:val="00907A29"/>
    <w:rsid w:val="00907FCF"/>
    <w:rsid w:val="00910866"/>
    <w:rsid w:val="009109BC"/>
    <w:rsid w:val="00910E03"/>
    <w:rsid w:val="0091111D"/>
    <w:rsid w:val="00911425"/>
    <w:rsid w:val="009124A5"/>
    <w:rsid w:val="00913617"/>
    <w:rsid w:val="009138BB"/>
    <w:rsid w:val="00913C46"/>
    <w:rsid w:val="00913F3B"/>
    <w:rsid w:val="00914A1B"/>
    <w:rsid w:val="00914D54"/>
    <w:rsid w:val="00915379"/>
    <w:rsid w:val="00916F04"/>
    <w:rsid w:val="00917A4D"/>
    <w:rsid w:val="009211B3"/>
    <w:rsid w:val="0092137E"/>
    <w:rsid w:val="00921C2F"/>
    <w:rsid w:val="00921CBA"/>
    <w:rsid w:val="009230E6"/>
    <w:rsid w:val="009239EF"/>
    <w:rsid w:val="0092424D"/>
    <w:rsid w:val="00924282"/>
    <w:rsid w:val="009250A6"/>
    <w:rsid w:val="00925AAA"/>
    <w:rsid w:val="009261EC"/>
    <w:rsid w:val="00927093"/>
    <w:rsid w:val="00931768"/>
    <w:rsid w:val="00932316"/>
    <w:rsid w:val="009328A2"/>
    <w:rsid w:val="00932B40"/>
    <w:rsid w:val="00933196"/>
    <w:rsid w:val="009334EE"/>
    <w:rsid w:val="00933530"/>
    <w:rsid w:val="00933743"/>
    <w:rsid w:val="009338A5"/>
    <w:rsid w:val="00933AEF"/>
    <w:rsid w:val="00933C37"/>
    <w:rsid w:val="00933EF4"/>
    <w:rsid w:val="00934C1F"/>
    <w:rsid w:val="00935482"/>
    <w:rsid w:val="009359FC"/>
    <w:rsid w:val="00935F34"/>
    <w:rsid w:val="009377DB"/>
    <w:rsid w:val="0093789A"/>
    <w:rsid w:val="00937F94"/>
    <w:rsid w:val="009404D5"/>
    <w:rsid w:val="00940735"/>
    <w:rsid w:val="00943B47"/>
    <w:rsid w:val="00943EDC"/>
    <w:rsid w:val="00945C12"/>
    <w:rsid w:val="00946CB5"/>
    <w:rsid w:val="009478FB"/>
    <w:rsid w:val="009508CC"/>
    <w:rsid w:val="00951D82"/>
    <w:rsid w:val="00952810"/>
    <w:rsid w:val="00953664"/>
    <w:rsid w:val="009544E2"/>
    <w:rsid w:val="00954EE9"/>
    <w:rsid w:val="00955892"/>
    <w:rsid w:val="00956DC5"/>
    <w:rsid w:val="00957725"/>
    <w:rsid w:val="00960ACF"/>
    <w:rsid w:val="00960B78"/>
    <w:rsid w:val="00960BB5"/>
    <w:rsid w:val="00960F97"/>
    <w:rsid w:val="00963567"/>
    <w:rsid w:val="00963BF5"/>
    <w:rsid w:val="00963E4F"/>
    <w:rsid w:val="0096416A"/>
    <w:rsid w:val="00964A5E"/>
    <w:rsid w:val="00964AEC"/>
    <w:rsid w:val="0096609A"/>
    <w:rsid w:val="00966496"/>
    <w:rsid w:val="009664B1"/>
    <w:rsid w:val="0096671A"/>
    <w:rsid w:val="009670B7"/>
    <w:rsid w:val="009704C9"/>
    <w:rsid w:val="0097162F"/>
    <w:rsid w:val="00971CDD"/>
    <w:rsid w:val="0097205F"/>
    <w:rsid w:val="00972211"/>
    <w:rsid w:val="0097223F"/>
    <w:rsid w:val="009724CA"/>
    <w:rsid w:val="00972556"/>
    <w:rsid w:val="00972636"/>
    <w:rsid w:val="009726EB"/>
    <w:rsid w:val="00972BB1"/>
    <w:rsid w:val="00973946"/>
    <w:rsid w:val="00973F8C"/>
    <w:rsid w:val="00974545"/>
    <w:rsid w:val="00975A63"/>
    <w:rsid w:val="00976C2F"/>
    <w:rsid w:val="00980138"/>
    <w:rsid w:val="00980678"/>
    <w:rsid w:val="0098079E"/>
    <w:rsid w:val="00980A0D"/>
    <w:rsid w:val="009818A9"/>
    <w:rsid w:val="00981D92"/>
    <w:rsid w:val="00981E49"/>
    <w:rsid w:val="00982239"/>
    <w:rsid w:val="00982810"/>
    <w:rsid w:val="0098341C"/>
    <w:rsid w:val="009839E2"/>
    <w:rsid w:val="00983A5A"/>
    <w:rsid w:val="00983CFD"/>
    <w:rsid w:val="0098420D"/>
    <w:rsid w:val="00984892"/>
    <w:rsid w:val="00984CB9"/>
    <w:rsid w:val="009852C5"/>
    <w:rsid w:val="009853D4"/>
    <w:rsid w:val="00985F22"/>
    <w:rsid w:val="00986C1E"/>
    <w:rsid w:val="00986E4A"/>
    <w:rsid w:val="00987599"/>
    <w:rsid w:val="00987BFC"/>
    <w:rsid w:val="0099190F"/>
    <w:rsid w:val="00992C77"/>
    <w:rsid w:val="00992ECB"/>
    <w:rsid w:val="0099354D"/>
    <w:rsid w:val="009941E5"/>
    <w:rsid w:val="0099423F"/>
    <w:rsid w:val="0099475C"/>
    <w:rsid w:val="009947DF"/>
    <w:rsid w:val="009954FF"/>
    <w:rsid w:val="0099592E"/>
    <w:rsid w:val="00995F67"/>
    <w:rsid w:val="00996124"/>
    <w:rsid w:val="009961A0"/>
    <w:rsid w:val="00996973"/>
    <w:rsid w:val="009A06E0"/>
    <w:rsid w:val="009A09DC"/>
    <w:rsid w:val="009A0DE6"/>
    <w:rsid w:val="009A10CB"/>
    <w:rsid w:val="009A1AC7"/>
    <w:rsid w:val="009A1F4E"/>
    <w:rsid w:val="009A2446"/>
    <w:rsid w:val="009A24CE"/>
    <w:rsid w:val="009A2997"/>
    <w:rsid w:val="009A2A5D"/>
    <w:rsid w:val="009A2CCC"/>
    <w:rsid w:val="009A3384"/>
    <w:rsid w:val="009A4473"/>
    <w:rsid w:val="009A4A8F"/>
    <w:rsid w:val="009A50ED"/>
    <w:rsid w:val="009A50F8"/>
    <w:rsid w:val="009A6AFC"/>
    <w:rsid w:val="009A6C62"/>
    <w:rsid w:val="009A7236"/>
    <w:rsid w:val="009B14E3"/>
    <w:rsid w:val="009B1686"/>
    <w:rsid w:val="009B1BC4"/>
    <w:rsid w:val="009B3E20"/>
    <w:rsid w:val="009B5CE3"/>
    <w:rsid w:val="009B5FAE"/>
    <w:rsid w:val="009B6455"/>
    <w:rsid w:val="009B6854"/>
    <w:rsid w:val="009C0168"/>
    <w:rsid w:val="009C075B"/>
    <w:rsid w:val="009C19B6"/>
    <w:rsid w:val="009C221F"/>
    <w:rsid w:val="009C3C02"/>
    <w:rsid w:val="009C523C"/>
    <w:rsid w:val="009C55DA"/>
    <w:rsid w:val="009C56CA"/>
    <w:rsid w:val="009C658F"/>
    <w:rsid w:val="009C6DEC"/>
    <w:rsid w:val="009C743B"/>
    <w:rsid w:val="009C765E"/>
    <w:rsid w:val="009C7978"/>
    <w:rsid w:val="009D0B88"/>
    <w:rsid w:val="009D107D"/>
    <w:rsid w:val="009D1F7C"/>
    <w:rsid w:val="009D25C8"/>
    <w:rsid w:val="009D2931"/>
    <w:rsid w:val="009D2FCF"/>
    <w:rsid w:val="009D358B"/>
    <w:rsid w:val="009D4514"/>
    <w:rsid w:val="009D5514"/>
    <w:rsid w:val="009D62E7"/>
    <w:rsid w:val="009D6AB4"/>
    <w:rsid w:val="009D6D51"/>
    <w:rsid w:val="009D7F10"/>
    <w:rsid w:val="009E0519"/>
    <w:rsid w:val="009E05CF"/>
    <w:rsid w:val="009E1544"/>
    <w:rsid w:val="009E26E9"/>
    <w:rsid w:val="009E30EC"/>
    <w:rsid w:val="009E3757"/>
    <w:rsid w:val="009E47B1"/>
    <w:rsid w:val="009E4829"/>
    <w:rsid w:val="009E4BD1"/>
    <w:rsid w:val="009E7162"/>
    <w:rsid w:val="009E7A13"/>
    <w:rsid w:val="009E7AAD"/>
    <w:rsid w:val="009F0330"/>
    <w:rsid w:val="009F0B75"/>
    <w:rsid w:val="009F0C12"/>
    <w:rsid w:val="009F29F1"/>
    <w:rsid w:val="009F2EFC"/>
    <w:rsid w:val="009F3473"/>
    <w:rsid w:val="009F376A"/>
    <w:rsid w:val="009F3907"/>
    <w:rsid w:val="009F3992"/>
    <w:rsid w:val="009F4043"/>
    <w:rsid w:val="009F4A5E"/>
    <w:rsid w:val="009F5961"/>
    <w:rsid w:val="009F5D28"/>
    <w:rsid w:val="009F603A"/>
    <w:rsid w:val="009F6651"/>
    <w:rsid w:val="009F6E9F"/>
    <w:rsid w:val="009F7652"/>
    <w:rsid w:val="00A0060E"/>
    <w:rsid w:val="00A00DD1"/>
    <w:rsid w:val="00A012B5"/>
    <w:rsid w:val="00A018C0"/>
    <w:rsid w:val="00A0194B"/>
    <w:rsid w:val="00A04676"/>
    <w:rsid w:val="00A04D3A"/>
    <w:rsid w:val="00A04EEA"/>
    <w:rsid w:val="00A0527B"/>
    <w:rsid w:val="00A058F4"/>
    <w:rsid w:val="00A05C7D"/>
    <w:rsid w:val="00A07681"/>
    <w:rsid w:val="00A11B0F"/>
    <w:rsid w:val="00A1354C"/>
    <w:rsid w:val="00A13687"/>
    <w:rsid w:val="00A13D05"/>
    <w:rsid w:val="00A14479"/>
    <w:rsid w:val="00A14E6C"/>
    <w:rsid w:val="00A157BB"/>
    <w:rsid w:val="00A1596B"/>
    <w:rsid w:val="00A15E91"/>
    <w:rsid w:val="00A1641D"/>
    <w:rsid w:val="00A17001"/>
    <w:rsid w:val="00A1720E"/>
    <w:rsid w:val="00A175C1"/>
    <w:rsid w:val="00A20CB0"/>
    <w:rsid w:val="00A22077"/>
    <w:rsid w:val="00A22B6C"/>
    <w:rsid w:val="00A23C43"/>
    <w:rsid w:val="00A240B6"/>
    <w:rsid w:val="00A24D46"/>
    <w:rsid w:val="00A25141"/>
    <w:rsid w:val="00A25650"/>
    <w:rsid w:val="00A2576E"/>
    <w:rsid w:val="00A25959"/>
    <w:rsid w:val="00A25B66"/>
    <w:rsid w:val="00A25E1B"/>
    <w:rsid w:val="00A261A8"/>
    <w:rsid w:val="00A26488"/>
    <w:rsid w:val="00A271B7"/>
    <w:rsid w:val="00A27AC7"/>
    <w:rsid w:val="00A27FC4"/>
    <w:rsid w:val="00A305D9"/>
    <w:rsid w:val="00A312CF"/>
    <w:rsid w:val="00A3153C"/>
    <w:rsid w:val="00A32161"/>
    <w:rsid w:val="00A32302"/>
    <w:rsid w:val="00A3317C"/>
    <w:rsid w:val="00A33ECE"/>
    <w:rsid w:val="00A35E48"/>
    <w:rsid w:val="00A36436"/>
    <w:rsid w:val="00A36625"/>
    <w:rsid w:val="00A36694"/>
    <w:rsid w:val="00A369F4"/>
    <w:rsid w:val="00A36BC5"/>
    <w:rsid w:val="00A37641"/>
    <w:rsid w:val="00A37A97"/>
    <w:rsid w:val="00A37BA1"/>
    <w:rsid w:val="00A415A0"/>
    <w:rsid w:val="00A4299F"/>
    <w:rsid w:val="00A4303C"/>
    <w:rsid w:val="00A43E50"/>
    <w:rsid w:val="00A43EA2"/>
    <w:rsid w:val="00A440C8"/>
    <w:rsid w:val="00A4456A"/>
    <w:rsid w:val="00A4575F"/>
    <w:rsid w:val="00A45F1C"/>
    <w:rsid w:val="00A46E6E"/>
    <w:rsid w:val="00A46F3B"/>
    <w:rsid w:val="00A4737F"/>
    <w:rsid w:val="00A4753B"/>
    <w:rsid w:val="00A47B53"/>
    <w:rsid w:val="00A50CC7"/>
    <w:rsid w:val="00A5126F"/>
    <w:rsid w:val="00A51294"/>
    <w:rsid w:val="00A51BCC"/>
    <w:rsid w:val="00A51F73"/>
    <w:rsid w:val="00A52202"/>
    <w:rsid w:val="00A5253D"/>
    <w:rsid w:val="00A52A81"/>
    <w:rsid w:val="00A5311B"/>
    <w:rsid w:val="00A53429"/>
    <w:rsid w:val="00A543BD"/>
    <w:rsid w:val="00A54CFC"/>
    <w:rsid w:val="00A556C2"/>
    <w:rsid w:val="00A561BA"/>
    <w:rsid w:val="00A56D80"/>
    <w:rsid w:val="00A571C6"/>
    <w:rsid w:val="00A57785"/>
    <w:rsid w:val="00A57D88"/>
    <w:rsid w:val="00A60E82"/>
    <w:rsid w:val="00A62904"/>
    <w:rsid w:val="00A633AC"/>
    <w:rsid w:val="00A63788"/>
    <w:rsid w:val="00A64D5F"/>
    <w:rsid w:val="00A65521"/>
    <w:rsid w:val="00A6590C"/>
    <w:rsid w:val="00A65D03"/>
    <w:rsid w:val="00A66E4F"/>
    <w:rsid w:val="00A6764B"/>
    <w:rsid w:val="00A7079B"/>
    <w:rsid w:val="00A70D8D"/>
    <w:rsid w:val="00A70E9D"/>
    <w:rsid w:val="00A71510"/>
    <w:rsid w:val="00A7195C"/>
    <w:rsid w:val="00A72540"/>
    <w:rsid w:val="00A732F2"/>
    <w:rsid w:val="00A7363A"/>
    <w:rsid w:val="00A73967"/>
    <w:rsid w:val="00A73ED8"/>
    <w:rsid w:val="00A74067"/>
    <w:rsid w:val="00A740DF"/>
    <w:rsid w:val="00A74B1E"/>
    <w:rsid w:val="00A74DB1"/>
    <w:rsid w:val="00A75EAE"/>
    <w:rsid w:val="00A76973"/>
    <w:rsid w:val="00A8000F"/>
    <w:rsid w:val="00A80859"/>
    <w:rsid w:val="00A819EC"/>
    <w:rsid w:val="00A81F5E"/>
    <w:rsid w:val="00A821C5"/>
    <w:rsid w:val="00A82862"/>
    <w:rsid w:val="00A82C0E"/>
    <w:rsid w:val="00A83DBB"/>
    <w:rsid w:val="00A85323"/>
    <w:rsid w:val="00A85BDF"/>
    <w:rsid w:val="00A8649F"/>
    <w:rsid w:val="00A86656"/>
    <w:rsid w:val="00A87C32"/>
    <w:rsid w:val="00A87D23"/>
    <w:rsid w:val="00A90687"/>
    <w:rsid w:val="00A90917"/>
    <w:rsid w:val="00A91BE6"/>
    <w:rsid w:val="00A923D8"/>
    <w:rsid w:val="00A92E9F"/>
    <w:rsid w:val="00A934CB"/>
    <w:rsid w:val="00A93C80"/>
    <w:rsid w:val="00A93CFA"/>
    <w:rsid w:val="00A95A34"/>
    <w:rsid w:val="00A95D91"/>
    <w:rsid w:val="00A9683D"/>
    <w:rsid w:val="00A97578"/>
    <w:rsid w:val="00AA01F5"/>
    <w:rsid w:val="00AA0A60"/>
    <w:rsid w:val="00AA1456"/>
    <w:rsid w:val="00AA17F2"/>
    <w:rsid w:val="00AA1D73"/>
    <w:rsid w:val="00AA213A"/>
    <w:rsid w:val="00AA26DE"/>
    <w:rsid w:val="00AA2C4D"/>
    <w:rsid w:val="00AA2D1A"/>
    <w:rsid w:val="00AA3244"/>
    <w:rsid w:val="00AA339B"/>
    <w:rsid w:val="00AA4178"/>
    <w:rsid w:val="00AA5378"/>
    <w:rsid w:val="00AA5A62"/>
    <w:rsid w:val="00AA6A18"/>
    <w:rsid w:val="00AA6A51"/>
    <w:rsid w:val="00AA7468"/>
    <w:rsid w:val="00AA7E95"/>
    <w:rsid w:val="00AB0B6A"/>
    <w:rsid w:val="00AB0EA4"/>
    <w:rsid w:val="00AB12CA"/>
    <w:rsid w:val="00AB18E5"/>
    <w:rsid w:val="00AB1D13"/>
    <w:rsid w:val="00AB2B18"/>
    <w:rsid w:val="00AB2FA2"/>
    <w:rsid w:val="00AB526F"/>
    <w:rsid w:val="00AB608F"/>
    <w:rsid w:val="00AB6E69"/>
    <w:rsid w:val="00AC1396"/>
    <w:rsid w:val="00AC1AC9"/>
    <w:rsid w:val="00AC2234"/>
    <w:rsid w:val="00AC2BC7"/>
    <w:rsid w:val="00AC3CF7"/>
    <w:rsid w:val="00AC48B6"/>
    <w:rsid w:val="00AC49F5"/>
    <w:rsid w:val="00AC4DC3"/>
    <w:rsid w:val="00AC5871"/>
    <w:rsid w:val="00AC5875"/>
    <w:rsid w:val="00AC5ACB"/>
    <w:rsid w:val="00AC5FF7"/>
    <w:rsid w:val="00AC723F"/>
    <w:rsid w:val="00AC7349"/>
    <w:rsid w:val="00AC7745"/>
    <w:rsid w:val="00AC7D5D"/>
    <w:rsid w:val="00AC7FC5"/>
    <w:rsid w:val="00AD00CF"/>
    <w:rsid w:val="00AD015D"/>
    <w:rsid w:val="00AD068D"/>
    <w:rsid w:val="00AD0CEB"/>
    <w:rsid w:val="00AD0EDF"/>
    <w:rsid w:val="00AD1803"/>
    <w:rsid w:val="00AD2063"/>
    <w:rsid w:val="00AD2082"/>
    <w:rsid w:val="00AD3373"/>
    <w:rsid w:val="00AD3491"/>
    <w:rsid w:val="00AD3CD2"/>
    <w:rsid w:val="00AD4B39"/>
    <w:rsid w:val="00AD4F2C"/>
    <w:rsid w:val="00AD4F4C"/>
    <w:rsid w:val="00AD52C0"/>
    <w:rsid w:val="00AD59D9"/>
    <w:rsid w:val="00AD5C7D"/>
    <w:rsid w:val="00AD6429"/>
    <w:rsid w:val="00AD6C65"/>
    <w:rsid w:val="00AD7C60"/>
    <w:rsid w:val="00AD7CCB"/>
    <w:rsid w:val="00AE0100"/>
    <w:rsid w:val="00AE0873"/>
    <w:rsid w:val="00AE1B9C"/>
    <w:rsid w:val="00AE239E"/>
    <w:rsid w:val="00AE3335"/>
    <w:rsid w:val="00AE3BD4"/>
    <w:rsid w:val="00AE48CB"/>
    <w:rsid w:val="00AE4901"/>
    <w:rsid w:val="00AE5528"/>
    <w:rsid w:val="00AE579D"/>
    <w:rsid w:val="00AE5E32"/>
    <w:rsid w:val="00AE6B8F"/>
    <w:rsid w:val="00AE7EB5"/>
    <w:rsid w:val="00AF05D6"/>
    <w:rsid w:val="00AF1133"/>
    <w:rsid w:val="00AF12B3"/>
    <w:rsid w:val="00AF1551"/>
    <w:rsid w:val="00AF197D"/>
    <w:rsid w:val="00AF1DD1"/>
    <w:rsid w:val="00AF1E16"/>
    <w:rsid w:val="00AF27C3"/>
    <w:rsid w:val="00AF29B1"/>
    <w:rsid w:val="00AF29ED"/>
    <w:rsid w:val="00AF2DDA"/>
    <w:rsid w:val="00AF390D"/>
    <w:rsid w:val="00AF3F85"/>
    <w:rsid w:val="00AF405C"/>
    <w:rsid w:val="00AF567C"/>
    <w:rsid w:val="00AF61EB"/>
    <w:rsid w:val="00AF6585"/>
    <w:rsid w:val="00AF7120"/>
    <w:rsid w:val="00AF739C"/>
    <w:rsid w:val="00AF763D"/>
    <w:rsid w:val="00AF7D58"/>
    <w:rsid w:val="00AF7F45"/>
    <w:rsid w:val="00B0044C"/>
    <w:rsid w:val="00B00746"/>
    <w:rsid w:val="00B01B1E"/>
    <w:rsid w:val="00B02116"/>
    <w:rsid w:val="00B03583"/>
    <w:rsid w:val="00B05D51"/>
    <w:rsid w:val="00B061D7"/>
    <w:rsid w:val="00B06218"/>
    <w:rsid w:val="00B068B5"/>
    <w:rsid w:val="00B06EAF"/>
    <w:rsid w:val="00B07247"/>
    <w:rsid w:val="00B0725E"/>
    <w:rsid w:val="00B10E72"/>
    <w:rsid w:val="00B111E7"/>
    <w:rsid w:val="00B11C49"/>
    <w:rsid w:val="00B12ED1"/>
    <w:rsid w:val="00B1372E"/>
    <w:rsid w:val="00B13B00"/>
    <w:rsid w:val="00B13DAE"/>
    <w:rsid w:val="00B14CBD"/>
    <w:rsid w:val="00B1553B"/>
    <w:rsid w:val="00B17038"/>
    <w:rsid w:val="00B17ACC"/>
    <w:rsid w:val="00B17BDC"/>
    <w:rsid w:val="00B20592"/>
    <w:rsid w:val="00B20979"/>
    <w:rsid w:val="00B20B23"/>
    <w:rsid w:val="00B22000"/>
    <w:rsid w:val="00B23A1B"/>
    <w:rsid w:val="00B2414A"/>
    <w:rsid w:val="00B2524A"/>
    <w:rsid w:val="00B25D40"/>
    <w:rsid w:val="00B26016"/>
    <w:rsid w:val="00B2617C"/>
    <w:rsid w:val="00B2686C"/>
    <w:rsid w:val="00B26AD9"/>
    <w:rsid w:val="00B27036"/>
    <w:rsid w:val="00B2788E"/>
    <w:rsid w:val="00B301E2"/>
    <w:rsid w:val="00B308AA"/>
    <w:rsid w:val="00B3145E"/>
    <w:rsid w:val="00B315E3"/>
    <w:rsid w:val="00B31E95"/>
    <w:rsid w:val="00B32AB1"/>
    <w:rsid w:val="00B33CBF"/>
    <w:rsid w:val="00B33DD7"/>
    <w:rsid w:val="00B34DC9"/>
    <w:rsid w:val="00B35D07"/>
    <w:rsid w:val="00B35F9C"/>
    <w:rsid w:val="00B3721A"/>
    <w:rsid w:val="00B376B9"/>
    <w:rsid w:val="00B4084E"/>
    <w:rsid w:val="00B40AF2"/>
    <w:rsid w:val="00B4108E"/>
    <w:rsid w:val="00B416A0"/>
    <w:rsid w:val="00B4219A"/>
    <w:rsid w:val="00B438F3"/>
    <w:rsid w:val="00B43E5B"/>
    <w:rsid w:val="00B459E4"/>
    <w:rsid w:val="00B45D67"/>
    <w:rsid w:val="00B46D78"/>
    <w:rsid w:val="00B47DE9"/>
    <w:rsid w:val="00B504EC"/>
    <w:rsid w:val="00B515E2"/>
    <w:rsid w:val="00B51C81"/>
    <w:rsid w:val="00B5208C"/>
    <w:rsid w:val="00B523C8"/>
    <w:rsid w:val="00B53318"/>
    <w:rsid w:val="00B53490"/>
    <w:rsid w:val="00B53777"/>
    <w:rsid w:val="00B53B4A"/>
    <w:rsid w:val="00B53DD8"/>
    <w:rsid w:val="00B5433B"/>
    <w:rsid w:val="00B54A5B"/>
    <w:rsid w:val="00B55443"/>
    <w:rsid w:val="00B56518"/>
    <w:rsid w:val="00B56DBB"/>
    <w:rsid w:val="00B57151"/>
    <w:rsid w:val="00B575A8"/>
    <w:rsid w:val="00B57E32"/>
    <w:rsid w:val="00B60825"/>
    <w:rsid w:val="00B6165B"/>
    <w:rsid w:val="00B61809"/>
    <w:rsid w:val="00B61894"/>
    <w:rsid w:val="00B61F3B"/>
    <w:rsid w:val="00B61F6C"/>
    <w:rsid w:val="00B62187"/>
    <w:rsid w:val="00B6326F"/>
    <w:rsid w:val="00B63CB1"/>
    <w:rsid w:val="00B63F99"/>
    <w:rsid w:val="00B645D1"/>
    <w:rsid w:val="00B6466B"/>
    <w:rsid w:val="00B66F0E"/>
    <w:rsid w:val="00B72B54"/>
    <w:rsid w:val="00B72E59"/>
    <w:rsid w:val="00B731C6"/>
    <w:rsid w:val="00B737EF"/>
    <w:rsid w:val="00B73E9F"/>
    <w:rsid w:val="00B741D9"/>
    <w:rsid w:val="00B74922"/>
    <w:rsid w:val="00B74BAB"/>
    <w:rsid w:val="00B7578A"/>
    <w:rsid w:val="00B75BCB"/>
    <w:rsid w:val="00B76239"/>
    <w:rsid w:val="00B7720C"/>
    <w:rsid w:val="00B77723"/>
    <w:rsid w:val="00B77B3B"/>
    <w:rsid w:val="00B82209"/>
    <w:rsid w:val="00B8250D"/>
    <w:rsid w:val="00B837E2"/>
    <w:rsid w:val="00B840BC"/>
    <w:rsid w:val="00B8528A"/>
    <w:rsid w:val="00B85634"/>
    <w:rsid w:val="00B85984"/>
    <w:rsid w:val="00B8790F"/>
    <w:rsid w:val="00B879F3"/>
    <w:rsid w:val="00B87B27"/>
    <w:rsid w:val="00B87BA0"/>
    <w:rsid w:val="00B903CF"/>
    <w:rsid w:val="00B904AE"/>
    <w:rsid w:val="00B90595"/>
    <w:rsid w:val="00B90D1D"/>
    <w:rsid w:val="00B91E1A"/>
    <w:rsid w:val="00B91F83"/>
    <w:rsid w:val="00B9228A"/>
    <w:rsid w:val="00B92798"/>
    <w:rsid w:val="00B93ACD"/>
    <w:rsid w:val="00B958E6"/>
    <w:rsid w:val="00B962F1"/>
    <w:rsid w:val="00B96A91"/>
    <w:rsid w:val="00B9780D"/>
    <w:rsid w:val="00BA1A01"/>
    <w:rsid w:val="00BA1A65"/>
    <w:rsid w:val="00BA2477"/>
    <w:rsid w:val="00BA29ED"/>
    <w:rsid w:val="00BA3E74"/>
    <w:rsid w:val="00BA4A33"/>
    <w:rsid w:val="00BA4B26"/>
    <w:rsid w:val="00BA554A"/>
    <w:rsid w:val="00BA767B"/>
    <w:rsid w:val="00BA7835"/>
    <w:rsid w:val="00BB024C"/>
    <w:rsid w:val="00BB0576"/>
    <w:rsid w:val="00BB0604"/>
    <w:rsid w:val="00BB0875"/>
    <w:rsid w:val="00BB0B9E"/>
    <w:rsid w:val="00BB3084"/>
    <w:rsid w:val="00BB360D"/>
    <w:rsid w:val="00BB4C93"/>
    <w:rsid w:val="00BB5A5C"/>
    <w:rsid w:val="00BB6CD7"/>
    <w:rsid w:val="00BB7444"/>
    <w:rsid w:val="00BC0DC1"/>
    <w:rsid w:val="00BC1889"/>
    <w:rsid w:val="00BC1B88"/>
    <w:rsid w:val="00BC20A2"/>
    <w:rsid w:val="00BC2691"/>
    <w:rsid w:val="00BC308E"/>
    <w:rsid w:val="00BC439F"/>
    <w:rsid w:val="00BC4A16"/>
    <w:rsid w:val="00BC668D"/>
    <w:rsid w:val="00BC6A50"/>
    <w:rsid w:val="00BD0F4A"/>
    <w:rsid w:val="00BD10B8"/>
    <w:rsid w:val="00BD28CE"/>
    <w:rsid w:val="00BD33DA"/>
    <w:rsid w:val="00BD3629"/>
    <w:rsid w:val="00BD3814"/>
    <w:rsid w:val="00BD3C4E"/>
    <w:rsid w:val="00BD417E"/>
    <w:rsid w:val="00BD5988"/>
    <w:rsid w:val="00BD6311"/>
    <w:rsid w:val="00BD6E6E"/>
    <w:rsid w:val="00BD7AE1"/>
    <w:rsid w:val="00BD7D68"/>
    <w:rsid w:val="00BE0857"/>
    <w:rsid w:val="00BE0B3F"/>
    <w:rsid w:val="00BE1489"/>
    <w:rsid w:val="00BE15CE"/>
    <w:rsid w:val="00BE2E12"/>
    <w:rsid w:val="00BE3255"/>
    <w:rsid w:val="00BE3F0F"/>
    <w:rsid w:val="00BE459E"/>
    <w:rsid w:val="00BE4AF0"/>
    <w:rsid w:val="00BE540D"/>
    <w:rsid w:val="00BE542B"/>
    <w:rsid w:val="00BE545B"/>
    <w:rsid w:val="00BE6E77"/>
    <w:rsid w:val="00BE7002"/>
    <w:rsid w:val="00BE7AD3"/>
    <w:rsid w:val="00BF0C35"/>
    <w:rsid w:val="00BF0D84"/>
    <w:rsid w:val="00BF13E3"/>
    <w:rsid w:val="00BF1565"/>
    <w:rsid w:val="00BF1926"/>
    <w:rsid w:val="00BF23F0"/>
    <w:rsid w:val="00BF296D"/>
    <w:rsid w:val="00BF2FCD"/>
    <w:rsid w:val="00BF3428"/>
    <w:rsid w:val="00BF37F8"/>
    <w:rsid w:val="00BF3FEB"/>
    <w:rsid w:val="00BF42FB"/>
    <w:rsid w:val="00BF5A6A"/>
    <w:rsid w:val="00BF5F9C"/>
    <w:rsid w:val="00BF6102"/>
    <w:rsid w:val="00BF6145"/>
    <w:rsid w:val="00BF6410"/>
    <w:rsid w:val="00BF65AA"/>
    <w:rsid w:val="00BF744D"/>
    <w:rsid w:val="00C01F5C"/>
    <w:rsid w:val="00C02BED"/>
    <w:rsid w:val="00C03001"/>
    <w:rsid w:val="00C0319A"/>
    <w:rsid w:val="00C036D3"/>
    <w:rsid w:val="00C037FE"/>
    <w:rsid w:val="00C03E0A"/>
    <w:rsid w:val="00C03FA3"/>
    <w:rsid w:val="00C041B1"/>
    <w:rsid w:val="00C042C4"/>
    <w:rsid w:val="00C04A8F"/>
    <w:rsid w:val="00C04F78"/>
    <w:rsid w:val="00C0504C"/>
    <w:rsid w:val="00C05F52"/>
    <w:rsid w:val="00C06D72"/>
    <w:rsid w:val="00C06DE9"/>
    <w:rsid w:val="00C06E05"/>
    <w:rsid w:val="00C07F83"/>
    <w:rsid w:val="00C1016A"/>
    <w:rsid w:val="00C101F7"/>
    <w:rsid w:val="00C10708"/>
    <w:rsid w:val="00C12FD6"/>
    <w:rsid w:val="00C13004"/>
    <w:rsid w:val="00C13ED9"/>
    <w:rsid w:val="00C14C47"/>
    <w:rsid w:val="00C1562B"/>
    <w:rsid w:val="00C15967"/>
    <w:rsid w:val="00C15B0F"/>
    <w:rsid w:val="00C15ED4"/>
    <w:rsid w:val="00C16736"/>
    <w:rsid w:val="00C16D99"/>
    <w:rsid w:val="00C1757F"/>
    <w:rsid w:val="00C17CD7"/>
    <w:rsid w:val="00C20904"/>
    <w:rsid w:val="00C20A6F"/>
    <w:rsid w:val="00C222EE"/>
    <w:rsid w:val="00C223B4"/>
    <w:rsid w:val="00C22CC5"/>
    <w:rsid w:val="00C22FE4"/>
    <w:rsid w:val="00C236CC"/>
    <w:rsid w:val="00C23900"/>
    <w:rsid w:val="00C23BCB"/>
    <w:rsid w:val="00C2423E"/>
    <w:rsid w:val="00C2470C"/>
    <w:rsid w:val="00C25AE2"/>
    <w:rsid w:val="00C25BA7"/>
    <w:rsid w:val="00C262FD"/>
    <w:rsid w:val="00C266C0"/>
    <w:rsid w:val="00C27124"/>
    <w:rsid w:val="00C2722A"/>
    <w:rsid w:val="00C27CE7"/>
    <w:rsid w:val="00C30AAA"/>
    <w:rsid w:val="00C31840"/>
    <w:rsid w:val="00C32A2B"/>
    <w:rsid w:val="00C3345B"/>
    <w:rsid w:val="00C340D5"/>
    <w:rsid w:val="00C344CF"/>
    <w:rsid w:val="00C34632"/>
    <w:rsid w:val="00C346CB"/>
    <w:rsid w:val="00C3615E"/>
    <w:rsid w:val="00C36269"/>
    <w:rsid w:val="00C3796D"/>
    <w:rsid w:val="00C37B4C"/>
    <w:rsid w:val="00C402F9"/>
    <w:rsid w:val="00C40945"/>
    <w:rsid w:val="00C40A1A"/>
    <w:rsid w:val="00C4110E"/>
    <w:rsid w:val="00C4167D"/>
    <w:rsid w:val="00C41A1C"/>
    <w:rsid w:val="00C4267B"/>
    <w:rsid w:val="00C43225"/>
    <w:rsid w:val="00C43370"/>
    <w:rsid w:val="00C43D3E"/>
    <w:rsid w:val="00C446D6"/>
    <w:rsid w:val="00C44BE4"/>
    <w:rsid w:val="00C44C37"/>
    <w:rsid w:val="00C45656"/>
    <w:rsid w:val="00C45D6A"/>
    <w:rsid w:val="00C46FF0"/>
    <w:rsid w:val="00C50283"/>
    <w:rsid w:val="00C5086F"/>
    <w:rsid w:val="00C50BD7"/>
    <w:rsid w:val="00C51129"/>
    <w:rsid w:val="00C51983"/>
    <w:rsid w:val="00C51F0C"/>
    <w:rsid w:val="00C52B21"/>
    <w:rsid w:val="00C5348F"/>
    <w:rsid w:val="00C53975"/>
    <w:rsid w:val="00C53BEE"/>
    <w:rsid w:val="00C54E6E"/>
    <w:rsid w:val="00C54F38"/>
    <w:rsid w:val="00C55024"/>
    <w:rsid w:val="00C556F0"/>
    <w:rsid w:val="00C563A1"/>
    <w:rsid w:val="00C56B46"/>
    <w:rsid w:val="00C57B23"/>
    <w:rsid w:val="00C62289"/>
    <w:rsid w:val="00C62A08"/>
    <w:rsid w:val="00C62ABC"/>
    <w:rsid w:val="00C62E1E"/>
    <w:rsid w:val="00C64778"/>
    <w:rsid w:val="00C65E67"/>
    <w:rsid w:val="00C65F2D"/>
    <w:rsid w:val="00C66E17"/>
    <w:rsid w:val="00C67D02"/>
    <w:rsid w:val="00C67E61"/>
    <w:rsid w:val="00C7077F"/>
    <w:rsid w:val="00C707F7"/>
    <w:rsid w:val="00C70B4A"/>
    <w:rsid w:val="00C70BED"/>
    <w:rsid w:val="00C70EE1"/>
    <w:rsid w:val="00C70F34"/>
    <w:rsid w:val="00C73955"/>
    <w:rsid w:val="00C74149"/>
    <w:rsid w:val="00C7434E"/>
    <w:rsid w:val="00C74476"/>
    <w:rsid w:val="00C74AE4"/>
    <w:rsid w:val="00C76E31"/>
    <w:rsid w:val="00C76EC4"/>
    <w:rsid w:val="00C7754A"/>
    <w:rsid w:val="00C77F91"/>
    <w:rsid w:val="00C813C9"/>
    <w:rsid w:val="00C8158A"/>
    <w:rsid w:val="00C81E42"/>
    <w:rsid w:val="00C8228D"/>
    <w:rsid w:val="00C82F94"/>
    <w:rsid w:val="00C832B4"/>
    <w:rsid w:val="00C837CF"/>
    <w:rsid w:val="00C84480"/>
    <w:rsid w:val="00C8493C"/>
    <w:rsid w:val="00C84C29"/>
    <w:rsid w:val="00C84D21"/>
    <w:rsid w:val="00C850BB"/>
    <w:rsid w:val="00C8566A"/>
    <w:rsid w:val="00C9093A"/>
    <w:rsid w:val="00C91EC0"/>
    <w:rsid w:val="00C9250A"/>
    <w:rsid w:val="00C92D17"/>
    <w:rsid w:val="00C933AE"/>
    <w:rsid w:val="00C93A52"/>
    <w:rsid w:val="00C93B96"/>
    <w:rsid w:val="00C968BA"/>
    <w:rsid w:val="00C9699B"/>
    <w:rsid w:val="00C97192"/>
    <w:rsid w:val="00C97420"/>
    <w:rsid w:val="00C974B7"/>
    <w:rsid w:val="00C975D5"/>
    <w:rsid w:val="00C97642"/>
    <w:rsid w:val="00C978F4"/>
    <w:rsid w:val="00C97C77"/>
    <w:rsid w:val="00CA0D67"/>
    <w:rsid w:val="00CA139B"/>
    <w:rsid w:val="00CA1DCD"/>
    <w:rsid w:val="00CA29AF"/>
    <w:rsid w:val="00CA2A35"/>
    <w:rsid w:val="00CA2B89"/>
    <w:rsid w:val="00CA346A"/>
    <w:rsid w:val="00CA3A0E"/>
    <w:rsid w:val="00CA3E01"/>
    <w:rsid w:val="00CA5A87"/>
    <w:rsid w:val="00CA692C"/>
    <w:rsid w:val="00CA6A04"/>
    <w:rsid w:val="00CB10F0"/>
    <w:rsid w:val="00CB2358"/>
    <w:rsid w:val="00CB2A6A"/>
    <w:rsid w:val="00CB2ABB"/>
    <w:rsid w:val="00CB3239"/>
    <w:rsid w:val="00CB3620"/>
    <w:rsid w:val="00CB38A3"/>
    <w:rsid w:val="00CB38B1"/>
    <w:rsid w:val="00CB4C80"/>
    <w:rsid w:val="00CB5121"/>
    <w:rsid w:val="00CB5573"/>
    <w:rsid w:val="00CB5D3D"/>
    <w:rsid w:val="00CB791D"/>
    <w:rsid w:val="00CB796F"/>
    <w:rsid w:val="00CB79AC"/>
    <w:rsid w:val="00CC02FE"/>
    <w:rsid w:val="00CC0441"/>
    <w:rsid w:val="00CC0724"/>
    <w:rsid w:val="00CC109C"/>
    <w:rsid w:val="00CC228D"/>
    <w:rsid w:val="00CC22A2"/>
    <w:rsid w:val="00CC2C4F"/>
    <w:rsid w:val="00CC30BE"/>
    <w:rsid w:val="00CC3352"/>
    <w:rsid w:val="00CC3B73"/>
    <w:rsid w:val="00CC3C86"/>
    <w:rsid w:val="00CC4B83"/>
    <w:rsid w:val="00CC4EBB"/>
    <w:rsid w:val="00CD004B"/>
    <w:rsid w:val="00CD00ED"/>
    <w:rsid w:val="00CD0461"/>
    <w:rsid w:val="00CD1D90"/>
    <w:rsid w:val="00CD2F7A"/>
    <w:rsid w:val="00CD32C4"/>
    <w:rsid w:val="00CD3625"/>
    <w:rsid w:val="00CD41AF"/>
    <w:rsid w:val="00CD443C"/>
    <w:rsid w:val="00CD483D"/>
    <w:rsid w:val="00CD612E"/>
    <w:rsid w:val="00CD7CFC"/>
    <w:rsid w:val="00CD7EC8"/>
    <w:rsid w:val="00CE1035"/>
    <w:rsid w:val="00CE23EB"/>
    <w:rsid w:val="00CE2EBF"/>
    <w:rsid w:val="00CE3B6B"/>
    <w:rsid w:val="00CE4428"/>
    <w:rsid w:val="00CE45DE"/>
    <w:rsid w:val="00CE4672"/>
    <w:rsid w:val="00CE493A"/>
    <w:rsid w:val="00CE4BD6"/>
    <w:rsid w:val="00CE4DAD"/>
    <w:rsid w:val="00CE5396"/>
    <w:rsid w:val="00CE61F4"/>
    <w:rsid w:val="00CE6E6C"/>
    <w:rsid w:val="00CF0C8F"/>
    <w:rsid w:val="00CF123B"/>
    <w:rsid w:val="00CF1375"/>
    <w:rsid w:val="00CF1C75"/>
    <w:rsid w:val="00CF1D59"/>
    <w:rsid w:val="00CF28CB"/>
    <w:rsid w:val="00CF2ADE"/>
    <w:rsid w:val="00CF2B39"/>
    <w:rsid w:val="00CF35C1"/>
    <w:rsid w:val="00CF4F84"/>
    <w:rsid w:val="00CF555D"/>
    <w:rsid w:val="00CF659C"/>
    <w:rsid w:val="00CF7AD0"/>
    <w:rsid w:val="00D01321"/>
    <w:rsid w:val="00D02D4D"/>
    <w:rsid w:val="00D03084"/>
    <w:rsid w:val="00D0476C"/>
    <w:rsid w:val="00D04A14"/>
    <w:rsid w:val="00D0535E"/>
    <w:rsid w:val="00D054E9"/>
    <w:rsid w:val="00D05507"/>
    <w:rsid w:val="00D05671"/>
    <w:rsid w:val="00D0594D"/>
    <w:rsid w:val="00D05C53"/>
    <w:rsid w:val="00D05FFE"/>
    <w:rsid w:val="00D0632B"/>
    <w:rsid w:val="00D06DF1"/>
    <w:rsid w:val="00D102B8"/>
    <w:rsid w:val="00D107C4"/>
    <w:rsid w:val="00D10DDB"/>
    <w:rsid w:val="00D11244"/>
    <w:rsid w:val="00D12194"/>
    <w:rsid w:val="00D121E2"/>
    <w:rsid w:val="00D12AE4"/>
    <w:rsid w:val="00D12C5E"/>
    <w:rsid w:val="00D13325"/>
    <w:rsid w:val="00D145C6"/>
    <w:rsid w:val="00D14E1D"/>
    <w:rsid w:val="00D15810"/>
    <w:rsid w:val="00D15963"/>
    <w:rsid w:val="00D162BA"/>
    <w:rsid w:val="00D16735"/>
    <w:rsid w:val="00D171EA"/>
    <w:rsid w:val="00D17E2E"/>
    <w:rsid w:val="00D17EBE"/>
    <w:rsid w:val="00D20011"/>
    <w:rsid w:val="00D205CF"/>
    <w:rsid w:val="00D209E9"/>
    <w:rsid w:val="00D2180D"/>
    <w:rsid w:val="00D22412"/>
    <w:rsid w:val="00D22B7A"/>
    <w:rsid w:val="00D235ED"/>
    <w:rsid w:val="00D23627"/>
    <w:rsid w:val="00D2386F"/>
    <w:rsid w:val="00D24019"/>
    <w:rsid w:val="00D265BE"/>
    <w:rsid w:val="00D274D2"/>
    <w:rsid w:val="00D27593"/>
    <w:rsid w:val="00D27D16"/>
    <w:rsid w:val="00D3160B"/>
    <w:rsid w:val="00D31807"/>
    <w:rsid w:val="00D321B3"/>
    <w:rsid w:val="00D3220D"/>
    <w:rsid w:val="00D3344F"/>
    <w:rsid w:val="00D33516"/>
    <w:rsid w:val="00D33B07"/>
    <w:rsid w:val="00D34B7D"/>
    <w:rsid w:val="00D35D25"/>
    <w:rsid w:val="00D35D4B"/>
    <w:rsid w:val="00D360B6"/>
    <w:rsid w:val="00D362CB"/>
    <w:rsid w:val="00D36B1A"/>
    <w:rsid w:val="00D3725B"/>
    <w:rsid w:val="00D37C94"/>
    <w:rsid w:val="00D4091A"/>
    <w:rsid w:val="00D40A60"/>
    <w:rsid w:val="00D40C0A"/>
    <w:rsid w:val="00D41529"/>
    <w:rsid w:val="00D41F02"/>
    <w:rsid w:val="00D43098"/>
    <w:rsid w:val="00D43460"/>
    <w:rsid w:val="00D44046"/>
    <w:rsid w:val="00D449A1"/>
    <w:rsid w:val="00D449F9"/>
    <w:rsid w:val="00D458D1"/>
    <w:rsid w:val="00D46352"/>
    <w:rsid w:val="00D46544"/>
    <w:rsid w:val="00D4654C"/>
    <w:rsid w:val="00D46558"/>
    <w:rsid w:val="00D46D05"/>
    <w:rsid w:val="00D50051"/>
    <w:rsid w:val="00D5005B"/>
    <w:rsid w:val="00D51587"/>
    <w:rsid w:val="00D51C78"/>
    <w:rsid w:val="00D51D1F"/>
    <w:rsid w:val="00D532C7"/>
    <w:rsid w:val="00D55322"/>
    <w:rsid w:val="00D55ADD"/>
    <w:rsid w:val="00D55AE3"/>
    <w:rsid w:val="00D56789"/>
    <w:rsid w:val="00D567FE"/>
    <w:rsid w:val="00D5698E"/>
    <w:rsid w:val="00D56DFA"/>
    <w:rsid w:val="00D574BD"/>
    <w:rsid w:val="00D606CE"/>
    <w:rsid w:val="00D610A1"/>
    <w:rsid w:val="00D61356"/>
    <w:rsid w:val="00D6178E"/>
    <w:rsid w:val="00D6200A"/>
    <w:rsid w:val="00D62378"/>
    <w:rsid w:val="00D639F1"/>
    <w:rsid w:val="00D640D5"/>
    <w:rsid w:val="00D6628D"/>
    <w:rsid w:val="00D666A2"/>
    <w:rsid w:val="00D674DE"/>
    <w:rsid w:val="00D67720"/>
    <w:rsid w:val="00D70995"/>
    <w:rsid w:val="00D70A24"/>
    <w:rsid w:val="00D71D20"/>
    <w:rsid w:val="00D71DF2"/>
    <w:rsid w:val="00D72F48"/>
    <w:rsid w:val="00D7316F"/>
    <w:rsid w:val="00D735B2"/>
    <w:rsid w:val="00D73735"/>
    <w:rsid w:val="00D75B2F"/>
    <w:rsid w:val="00D75C0C"/>
    <w:rsid w:val="00D76B16"/>
    <w:rsid w:val="00D76FD3"/>
    <w:rsid w:val="00D77657"/>
    <w:rsid w:val="00D8020E"/>
    <w:rsid w:val="00D812B1"/>
    <w:rsid w:val="00D814BE"/>
    <w:rsid w:val="00D81CBD"/>
    <w:rsid w:val="00D82F98"/>
    <w:rsid w:val="00D83166"/>
    <w:rsid w:val="00D83282"/>
    <w:rsid w:val="00D8478D"/>
    <w:rsid w:val="00D8527F"/>
    <w:rsid w:val="00D85444"/>
    <w:rsid w:val="00D85AAA"/>
    <w:rsid w:val="00D86119"/>
    <w:rsid w:val="00D8638E"/>
    <w:rsid w:val="00D872FC"/>
    <w:rsid w:val="00D90554"/>
    <w:rsid w:val="00D9055D"/>
    <w:rsid w:val="00D91298"/>
    <w:rsid w:val="00D91930"/>
    <w:rsid w:val="00D9219B"/>
    <w:rsid w:val="00D927A6"/>
    <w:rsid w:val="00D92F47"/>
    <w:rsid w:val="00D946D5"/>
    <w:rsid w:val="00D95293"/>
    <w:rsid w:val="00D95FE4"/>
    <w:rsid w:val="00D96758"/>
    <w:rsid w:val="00DA0828"/>
    <w:rsid w:val="00DA13A0"/>
    <w:rsid w:val="00DA14A6"/>
    <w:rsid w:val="00DA1C48"/>
    <w:rsid w:val="00DA1DF7"/>
    <w:rsid w:val="00DA1FD9"/>
    <w:rsid w:val="00DA3690"/>
    <w:rsid w:val="00DA3732"/>
    <w:rsid w:val="00DA3769"/>
    <w:rsid w:val="00DA41D4"/>
    <w:rsid w:val="00DA4EEE"/>
    <w:rsid w:val="00DA4F02"/>
    <w:rsid w:val="00DA50F7"/>
    <w:rsid w:val="00DA72D7"/>
    <w:rsid w:val="00DB0632"/>
    <w:rsid w:val="00DB2BCF"/>
    <w:rsid w:val="00DB324F"/>
    <w:rsid w:val="00DB49B6"/>
    <w:rsid w:val="00DB5694"/>
    <w:rsid w:val="00DB5BD3"/>
    <w:rsid w:val="00DB5D28"/>
    <w:rsid w:val="00DB5DCB"/>
    <w:rsid w:val="00DB5EB9"/>
    <w:rsid w:val="00DB5FDF"/>
    <w:rsid w:val="00DB6F91"/>
    <w:rsid w:val="00DB79CB"/>
    <w:rsid w:val="00DB7E71"/>
    <w:rsid w:val="00DC037E"/>
    <w:rsid w:val="00DC0B4A"/>
    <w:rsid w:val="00DC0C7D"/>
    <w:rsid w:val="00DC1260"/>
    <w:rsid w:val="00DC1B06"/>
    <w:rsid w:val="00DC1B28"/>
    <w:rsid w:val="00DC2627"/>
    <w:rsid w:val="00DC298E"/>
    <w:rsid w:val="00DC2D40"/>
    <w:rsid w:val="00DC3032"/>
    <w:rsid w:val="00DC42CC"/>
    <w:rsid w:val="00DC4D6B"/>
    <w:rsid w:val="00DC503E"/>
    <w:rsid w:val="00DC5A33"/>
    <w:rsid w:val="00DC6AC6"/>
    <w:rsid w:val="00DC7216"/>
    <w:rsid w:val="00DC7F7A"/>
    <w:rsid w:val="00DD1856"/>
    <w:rsid w:val="00DD254E"/>
    <w:rsid w:val="00DD2AF9"/>
    <w:rsid w:val="00DD4277"/>
    <w:rsid w:val="00DD4640"/>
    <w:rsid w:val="00DD48BC"/>
    <w:rsid w:val="00DD5AAB"/>
    <w:rsid w:val="00DD64CE"/>
    <w:rsid w:val="00DD6C06"/>
    <w:rsid w:val="00DD6D04"/>
    <w:rsid w:val="00DD6DB6"/>
    <w:rsid w:val="00DD6F65"/>
    <w:rsid w:val="00DE1FE5"/>
    <w:rsid w:val="00DE23AC"/>
    <w:rsid w:val="00DE277F"/>
    <w:rsid w:val="00DE302B"/>
    <w:rsid w:val="00DE34DC"/>
    <w:rsid w:val="00DE3751"/>
    <w:rsid w:val="00DE3D14"/>
    <w:rsid w:val="00DE3D87"/>
    <w:rsid w:val="00DE4BC3"/>
    <w:rsid w:val="00DE55BF"/>
    <w:rsid w:val="00DE5F49"/>
    <w:rsid w:val="00DE6559"/>
    <w:rsid w:val="00DF0465"/>
    <w:rsid w:val="00DF13DA"/>
    <w:rsid w:val="00DF29B5"/>
    <w:rsid w:val="00DF2DCB"/>
    <w:rsid w:val="00DF38B0"/>
    <w:rsid w:val="00DF4BC2"/>
    <w:rsid w:val="00DF4EA9"/>
    <w:rsid w:val="00DF5150"/>
    <w:rsid w:val="00DF5A21"/>
    <w:rsid w:val="00DF5DC7"/>
    <w:rsid w:val="00DF6261"/>
    <w:rsid w:val="00DF649C"/>
    <w:rsid w:val="00DF650A"/>
    <w:rsid w:val="00DF6B7C"/>
    <w:rsid w:val="00DF6B96"/>
    <w:rsid w:val="00DF6FDA"/>
    <w:rsid w:val="00DF7115"/>
    <w:rsid w:val="00E0232E"/>
    <w:rsid w:val="00E024CD"/>
    <w:rsid w:val="00E02836"/>
    <w:rsid w:val="00E02A20"/>
    <w:rsid w:val="00E02B16"/>
    <w:rsid w:val="00E02ED2"/>
    <w:rsid w:val="00E037FC"/>
    <w:rsid w:val="00E03AD1"/>
    <w:rsid w:val="00E03FF5"/>
    <w:rsid w:val="00E04123"/>
    <w:rsid w:val="00E060C1"/>
    <w:rsid w:val="00E06305"/>
    <w:rsid w:val="00E06843"/>
    <w:rsid w:val="00E07315"/>
    <w:rsid w:val="00E076D9"/>
    <w:rsid w:val="00E0774B"/>
    <w:rsid w:val="00E07AF8"/>
    <w:rsid w:val="00E1050E"/>
    <w:rsid w:val="00E10D27"/>
    <w:rsid w:val="00E11072"/>
    <w:rsid w:val="00E12623"/>
    <w:rsid w:val="00E12F3B"/>
    <w:rsid w:val="00E1342B"/>
    <w:rsid w:val="00E140A9"/>
    <w:rsid w:val="00E16D3A"/>
    <w:rsid w:val="00E17D95"/>
    <w:rsid w:val="00E2037C"/>
    <w:rsid w:val="00E212DF"/>
    <w:rsid w:val="00E21DAB"/>
    <w:rsid w:val="00E224C2"/>
    <w:rsid w:val="00E22707"/>
    <w:rsid w:val="00E234C0"/>
    <w:rsid w:val="00E24081"/>
    <w:rsid w:val="00E241D9"/>
    <w:rsid w:val="00E2437E"/>
    <w:rsid w:val="00E244C2"/>
    <w:rsid w:val="00E24B40"/>
    <w:rsid w:val="00E24F47"/>
    <w:rsid w:val="00E25545"/>
    <w:rsid w:val="00E255F6"/>
    <w:rsid w:val="00E25B58"/>
    <w:rsid w:val="00E2600F"/>
    <w:rsid w:val="00E26F25"/>
    <w:rsid w:val="00E2719C"/>
    <w:rsid w:val="00E27A29"/>
    <w:rsid w:val="00E27C2F"/>
    <w:rsid w:val="00E27D71"/>
    <w:rsid w:val="00E3008B"/>
    <w:rsid w:val="00E30999"/>
    <w:rsid w:val="00E31965"/>
    <w:rsid w:val="00E31A9E"/>
    <w:rsid w:val="00E31B20"/>
    <w:rsid w:val="00E31B31"/>
    <w:rsid w:val="00E3247D"/>
    <w:rsid w:val="00E34686"/>
    <w:rsid w:val="00E34DBB"/>
    <w:rsid w:val="00E35337"/>
    <w:rsid w:val="00E35D60"/>
    <w:rsid w:val="00E361AC"/>
    <w:rsid w:val="00E36D11"/>
    <w:rsid w:val="00E37379"/>
    <w:rsid w:val="00E37C45"/>
    <w:rsid w:val="00E40170"/>
    <w:rsid w:val="00E408F1"/>
    <w:rsid w:val="00E41F73"/>
    <w:rsid w:val="00E4227A"/>
    <w:rsid w:val="00E42FD1"/>
    <w:rsid w:val="00E4361C"/>
    <w:rsid w:val="00E4424A"/>
    <w:rsid w:val="00E45338"/>
    <w:rsid w:val="00E4563B"/>
    <w:rsid w:val="00E45A0E"/>
    <w:rsid w:val="00E45FFE"/>
    <w:rsid w:val="00E46042"/>
    <w:rsid w:val="00E469A4"/>
    <w:rsid w:val="00E46B27"/>
    <w:rsid w:val="00E47589"/>
    <w:rsid w:val="00E50326"/>
    <w:rsid w:val="00E50620"/>
    <w:rsid w:val="00E50C51"/>
    <w:rsid w:val="00E50DD4"/>
    <w:rsid w:val="00E51716"/>
    <w:rsid w:val="00E51D24"/>
    <w:rsid w:val="00E51EAB"/>
    <w:rsid w:val="00E52103"/>
    <w:rsid w:val="00E52935"/>
    <w:rsid w:val="00E5324A"/>
    <w:rsid w:val="00E533EF"/>
    <w:rsid w:val="00E53724"/>
    <w:rsid w:val="00E5373E"/>
    <w:rsid w:val="00E55C2E"/>
    <w:rsid w:val="00E56A4A"/>
    <w:rsid w:val="00E579C9"/>
    <w:rsid w:val="00E61057"/>
    <w:rsid w:val="00E610BB"/>
    <w:rsid w:val="00E619A0"/>
    <w:rsid w:val="00E61CCB"/>
    <w:rsid w:val="00E6238C"/>
    <w:rsid w:val="00E643A3"/>
    <w:rsid w:val="00E651DD"/>
    <w:rsid w:val="00E65A31"/>
    <w:rsid w:val="00E65D20"/>
    <w:rsid w:val="00E66F0D"/>
    <w:rsid w:val="00E703E8"/>
    <w:rsid w:val="00E709AB"/>
    <w:rsid w:val="00E71E14"/>
    <w:rsid w:val="00E721E6"/>
    <w:rsid w:val="00E73AA1"/>
    <w:rsid w:val="00E741F0"/>
    <w:rsid w:val="00E74D08"/>
    <w:rsid w:val="00E75593"/>
    <w:rsid w:val="00E75D5C"/>
    <w:rsid w:val="00E761F0"/>
    <w:rsid w:val="00E765E6"/>
    <w:rsid w:val="00E7761D"/>
    <w:rsid w:val="00E80144"/>
    <w:rsid w:val="00E804D7"/>
    <w:rsid w:val="00E81762"/>
    <w:rsid w:val="00E82163"/>
    <w:rsid w:val="00E8245A"/>
    <w:rsid w:val="00E843E8"/>
    <w:rsid w:val="00E84763"/>
    <w:rsid w:val="00E84A97"/>
    <w:rsid w:val="00E85989"/>
    <w:rsid w:val="00E859F5"/>
    <w:rsid w:val="00E86DDB"/>
    <w:rsid w:val="00E8799C"/>
    <w:rsid w:val="00E916C3"/>
    <w:rsid w:val="00E92808"/>
    <w:rsid w:val="00E92CC8"/>
    <w:rsid w:val="00E93784"/>
    <w:rsid w:val="00E93CEB"/>
    <w:rsid w:val="00E9458D"/>
    <w:rsid w:val="00E949A5"/>
    <w:rsid w:val="00E9536B"/>
    <w:rsid w:val="00E96D12"/>
    <w:rsid w:val="00E970D8"/>
    <w:rsid w:val="00E97867"/>
    <w:rsid w:val="00EA0254"/>
    <w:rsid w:val="00EA099C"/>
    <w:rsid w:val="00EA0A2E"/>
    <w:rsid w:val="00EA1004"/>
    <w:rsid w:val="00EA1877"/>
    <w:rsid w:val="00EA1C78"/>
    <w:rsid w:val="00EA2A6D"/>
    <w:rsid w:val="00EA32F7"/>
    <w:rsid w:val="00EA3FE2"/>
    <w:rsid w:val="00EA4333"/>
    <w:rsid w:val="00EA4799"/>
    <w:rsid w:val="00EA47E2"/>
    <w:rsid w:val="00EA545A"/>
    <w:rsid w:val="00EA633E"/>
    <w:rsid w:val="00EA6689"/>
    <w:rsid w:val="00EA73DE"/>
    <w:rsid w:val="00EA75C4"/>
    <w:rsid w:val="00EA7986"/>
    <w:rsid w:val="00EB0935"/>
    <w:rsid w:val="00EB0B33"/>
    <w:rsid w:val="00EB170F"/>
    <w:rsid w:val="00EB18F8"/>
    <w:rsid w:val="00EB208B"/>
    <w:rsid w:val="00EB250C"/>
    <w:rsid w:val="00EB2964"/>
    <w:rsid w:val="00EB374C"/>
    <w:rsid w:val="00EB426C"/>
    <w:rsid w:val="00EB4B13"/>
    <w:rsid w:val="00EB5456"/>
    <w:rsid w:val="00EB5617"/>
    <w:rsid w:val="00EB573B"/>
    <w:rsid w:val="00EB6333"/>
    <w:rsid w:val="00EB66B6"/>
    <w:rsid w:val="00EB680B"/>
    <w:rsid w:val="00EB6D4C"/>
    <w:rsid w:val="00EB7CDC"/>
    <w:rsid w:val="00EC0437"/>
    <w:rsid w:val="00EC050C"/>
    <w:rsid w:val="00EC1382"/>
    <w:rsid w:val="00EC1533"/>
    <w:rsid w:val="00EC1913"/>
    <w:rsid w:val="00EC1F76"/>
    <w:rsid w:val="00EC2AE3"/>
    <w:rsid w:val="00EC3EF3"/>
    <w:rsid w:val="00EC3FBA"/>
    <w:rsid w:val="00EC435F"/>
    <w:rsid w:val="00EC44F8"/>
    <w:rsid w:val="00EC5449"/>
    <w:rsid w:val="00EC585A"/>
    <w:rsid w:val="00EC58D0"/>
    <w:rsid w:val="00EC5908"/>
    <w:rsid w:val="00EC5D25"/>
    <w:rsid w:val="00EC6033"/>
    <w:rsid w:val="00EC6F39"/>
    <w:rsid w:val="00ED0DE1"/>
    <w:rsid w:val="00ED0ED8"/>
    <w:rsid w:val="00ED1FE5"/>
    <w:rsid w:val="00ED38B4"/>
    <w:rsid w:val="00ED3A75"/>
    <w:rsid w:val="00ED41FD"/>
    <w:rsid w:val="00ED59A8"/>
    <w:rsid w:val="00ED66F6"/>
    <w:rsid w:val="00ED750A"/>
    <w:rsid w:val="00ED7EF7"/>
    <w:rsid w:val="00EE00F4"/>
    <w:rsid w:val="00EE0D00"/>
    <w:rsid w:val="00EE211F"/>
    <w:rsid w:val="00EE2DD6"/>
    <w:rsid w:val="00EE4ABF"/>
    <w:rsid w:val="00EE4D8B"/>
    <w:rsid w:val="00EE50CA"/>
    <w:rsid w:val="00EE63F1"/>
    <w:rsid w:val="00EE694B"/>
    <w:rsid w:val="00EE69AF"/>
    <w:rsid w:val="00EF0345"/>
    <w:rsid w:val="00EF099E"/>
    <w:rsid w:val="00EF14C1"/>
    <w:rsid w:val="00EF1D78"/>
    <w:rsid w:val="00EF2941"/>
    <w:rsid w:val="00EF4040"/>
    <w:rsid w:val="00EF49AB"/>
    <w:rsid w:val="00EF5C4A"/>
    <w:rsid w:val="00EF60C5"/>
    <w:rsid w:val="00EF66B3"/>
    <w:rsid w:val="00EF6DA3"/>
    <w:rsid w:val="00EF6ECF"/>
    <w:rsid w:val="00EF7621"/>
    <w:rsid w:val="00EF7DC4"/>
    <w:rsid w:val="00EF7E0E"/>
    <w:rsid w:val="00EF7F92"/>
    <w:rsid w:val="00F01D53"/>
    <w:rsid w:val="00F01E57"/>
    <w:rsid w:val="00F02767"/>
    <w:rsid w:val="00F027BA"/>
    <w:rsid w:val="00F0317E"/>
    <w:rsid w:val="00F03483"/>
    <w:rsid w:val="00F038BC"/>
    <w:rsid w:val="00F03921"/>
    <w:rsid w:val="00F0454F"/>
    <w:rsid w:val="00F058C6"/>
    <w:rsid w:val="00F062E0"/>
    <w:rsid w:val="00F06478"/>
    <w:rsid w:val="00F0661D"/>
    <w:rsid w:val="00F06EC2"/>
    <w:rsid w:val="00F10A45"/>
    <w:rsid w:val="00F115B8"/>
    <w:rsid w:val="00F118D6"/>
    <w:rsid w:val="00F11A29"/>
    <w:rsid w:val="00F11C48"/>
    <w:rsid w:val="00F1216A"/>
    <w:rsid w:val="00F12307"/>
    <w:rsid w:val="00F1283A"/>
    <w:rsid w:val="00F12BDE"/>
    <w:rsid w:val="00F14527"/>
    <w:rsid w:val="00F173EE"/>
    <w:rsid w:val="00F17698"/>
    <w:rsid w:val="00F17B3E"/>
    <w:rsid w:val="00F17FAB"/>
    <w:rsid w:val="00F20B43"/>
    <w:rsid w:val="00F217AA"/>
    <w:rsid w:val="00F22070"/>
    <w:rsid w:val="00F225E1"/>
    <w:rsid w:val="00F22B9D"/>
    <w:rsid w:val="00F23966"/>
    <w:rsid w:val="00F239EF"/>
    <w:rsid w:val="00F24247"/>
    <w:rsid w:val="00F250DD"/>
    <w:rsid w:val="00F2533F"/>
    <w:rsid w:val="00F25A96"/>
    <w:rsid w:val="00F26008"/>
    <w:rsid w:val="00F26629"/>
    <w:rsid w:val="00F27598"/>
    <w:rsid w:val="00F3091D"/>
    <w:rsid w:val="00F31499"/>
    <w:rsid w:val="00F31E11"/>
    <w:rsid w:val="00F3209F"/>
    <w:rsid w:val="00F32C2B"/>
    <w:rsid w:val="00F32DAF"/>
    <w:rsid w:val="00F33EA0"/>
    <w:rsid w:val="00F34070"/>
    <w:rsid w:val="00F344D5"/>
    <w:rsid w:val="00F34C5D"/>
    <w:rsid w:val="00F35F89"/>
    <w:rsid w:val="00F35FA2"/>
    <w:rsid w:val="00F37AA1"/>
    <w:rsid w:val="00F405CF"/>
    <w:rsid w:val="00F40E4E"/>
    <w:rsid w:val="00F41AC5"/>
    <w:rsid w:val="00F42114"/>
    <w:rsid w:val="00F42640"/>
    <w:rsid w:val="00F435F9"/>
    <w:rsid w:val="00F43D0E"/>
    <w:rsid w:val="00F45A7F"/>
    <w:rsid w:val="00F467DD"/>
    <w:rsid w:val="00F46C98"/>
    <w:rsid w:val="00F47585"/>
    <w:rsid w:val="00F50612"/>
    <w:rsid w:val="00F508DC"/>
    <w:rsid w:val="00F50EF6"/>
    <w:rsid w:val="00F51539"/>
    <w:rsid w:val="00F52010"/>
    <w:rsid w:val="00F52F11"/>
    <w:rsid w:val="00F5347F"/>
    <w:rsid w:val="00F53B81"/>
    <w:rsid w:val="00F53C17"/>
    <w:rsid w:val="00F53C7D"/>
    <w:rsid w:val="00F54622"/>
    <w:rsid w:val="00F54F2F"/>
    <w:rsid w:val="00F55316"/>
    <w:rsid w:val="00F569A2"/>
    <w:rsid w:val="00F57B8E"/>
    <w:rsid w:val="00F60438"/>
    <w:rsid w:val="00F60DB0"/>
    <w:rsid w:val="00F61041"/>
    <w:rsid w:val="00F61B13"/>
    <w:rsid w:val="00F6244D"/>
    <w:rsid w:val="00F6337A"/>
    <w:rsid w:val="00F63405"/>
    <w:rsid w:val="00F634F9"/>
    <w:rsid w:val="00F64698"/>
    <w:rsid w:val="00F646EE"/>
    <w:rsid w:val="00F6697C"/>
    <w:rsid w:val="00F67661"/>
    <w:rsid w:val="00F67870"/>
    <w:rsid w:val="00F70CA6"/>
    <w:rsid w:val="00F714B5"/>
    <w:rsid w:val="00F7308E"/>
    <w:rsid w:val="00F73542"/>
    <w:rsid w:val="00F73787"/>
    <w:rsid w:val="00F73EDB"/>
    <w:rsid w:val="00F743E9"/>
    <w:rsid w:val="00F74AE7"/>
    <w:rsid w:val="00F74D46"/>
    <w:rsid w:val="00F7517D"/>
    <w:rsid w:val="00F75305"/>
    <w:rsid w:val="00F75930"/>
    <w:rsid w:val="00F76363"/>
    <w:rsid w:val="00F768DF"/>
    <w:rsid w:val="00F76D40"/>
    <w:rsid w:val="00F76D41"/>
    <w:rsid w:val="00F77355"/>
    <w:rsid w:val="00F778AD"/>
    <w:rsid w:val="00F77E3F"/>
    <w:rsid w:val="00F80334"/>
    <w:rsid w:val="00F804CC"/>
    <w:rsid w:val="00F81FAD"/>
    <w:rsid w:val="00F823D5"/>
    <w:rsid w:val="00F8281A"/>
    <w:rsid w:val="00F83448"/>
    <w:rsid w:val="00F834F5"/>
    <w:rsid w:val="00F8358F"/>
    <w:rsid w:val="00F83C68"/>
    <w:rsid w:val="00F8429E"/>
    <w:rsid w:val="00F844E0"/>
    <w:rsid w:val="00F8534E"/>
    <w:rsid w:val="00F857B7"/>
    <w:rsid w:val="00F86388"/>
    <w:rsid w:val="00F86E0F"/>
    <w:rsid w:val="00F8702F"/>
    <w:rsid w:val="00F8737E"/>
    <w:rsid w:val="00F87A1C"/>
    <w:rsid w:val="00F87BEF"/>
    <w:rsid w:val="00F91782"/>
    <w:rsid w:val="00F922B0"/>
    <w:rsid w:val="00F92A9A"/>
    <w:rsid w:val="00F92B4D"/>
    <w:rsid w:val="00F94CA1"/>
    <w:rsid w:val="00F953D8"/>
    <w:rsid w:val="00F9553C"/>
    <w:rsid w:val="00F95D75"/>
    <w:rsid w:val="00F96B13"/>
    <w:rsid w:val="00F97135"/>
    <w:rsid w:val="00F97509"/>
    <w:rsid w:val="00F97BDF"/>
    <w:rsid w:val="00FA0A85"/>
    <w:rsid w:val="00FA0AB2"/>
    <w:rsid w:val="00FA21F5"/>
    <w:rsid w:val="00FA2803"/>
    <w:rsid w:val="00FA2DDE"/>
    <w:rsid w:val="00FA37D0"/>
    <w:rsid w:val="00FA4FCE"/>
    <w:rsid w:val="00FA6625"/>
    <w:rsid w:val="00FA6F58"/>
    <w:rsid w:val="00FA70C4"/>
    <w:rsid w:val="00FA7269"/>
    <w:rsid w:val="00FA7347"/>
    <w:rsid w:val="00FB07B7"/>
    <w:rsid w:val="00FB09EC"/>
    <w:rsid w:val="00FB0F42"/>
    <w:rsid w:val="00FB1425"/>
    <w:rsid w:val="00FB167E"/>
    <w:rsid w:val="00FB1CF9"/>
    <w:rsid w:val="00FB33BC"/>
    <w:rsid w:val="00FB3B5E"/>
    <w:rsid w:val="00FB489A"/>
    <w:rsid w:val="00FB4E6B"/>
    <w:rsid w:val="00FB5F72"/>
    <w:rsid w:val="00FB623E"/>
    <w:rsid w:val="00FB6A6F"/>
    <w:rsid w:val="00FB6FA0"/>
    <w:rsid w:val="00FB7B32"/>
    <w:rsid w:val="00FC0C8D"/>
    <w:rsid w:val="00FC10E7"/>
    <w:rsid w:val="00FC13C8"/>
    <w:rsid w:val="00FC22CE"/>
    <w:rsid w:val="00FC2607"/>
    <w:rsid w:val="00FC2E4E"/>
    <w:rsid w:val="00FC3332"/>
    <w:rsid w:val="00FC3B53"/>
    <w:rsid w:val="00FC3BCE"/>
    <w:rsid w:val="00FC45F3"/>
    <w:rsid w:val="00FC5360"/>
    <w:rsid w:val="00FC5EE3"/>
    <w:rsid w:val="00FC74B0"/>
    <w:rsid w:val="00FC7802"/>
    <w:rsid w:val="00FD13E0"/>
    <w:rsid w:val="00FD1A20"/>
    <w:rsid w:val="00FD1CBE"/>
    <w:rsid w:val="00FD21AE"/>
    <w:rsid w:val="00FD292D"/>
    <w:rsid w:val="00FD2C54"/>
    <w:rsid w:val="00FD3A22"/>
    <w:rsid w:val="00FD3D62"/>
    <w:rsid w:val="00FD4802"/>
    <w:rsid w:val="00FD4876"/>
    <w:rsid w:val="00FD619E"/>
    <w:rsid w:val="00FD71FF"/>
    <w:rsid w:val="00FE0DD5"/>
    <w:rsid w:val="00FE0EC0"/>
    <w:rsid w:val="00FE112D"/>
    <w:rsid w:val="00FE1756"/>
    <w:rsid w:val="00FE19C5"/>
    <w:rsid w:val="00FE19E8"/>
    <w:rsid w:val="00FE1E54"/>
    <w:rsid w:val="00FE2067"/>
    <w:rsid w:val="00FE2498"/>
    <w:rsid w:val="00FE3B10"/>
    <w:rsid w:val="00FE4617"/>
    <w:rsid w:val="00FE47F0"/>
    <w:rsid w:val="00FE48BF"/>
    <w:rsid w:val="00FE5612"/>
    <w:rsid w:val="00FE58C2"/>
    <w:rsid w:val="00FE5F1A"/>
    <w:rsid w:val="00FE637D"/>
    <w:rsid w:val="00FE678C"/>
    <w:rsid w:val="00FE6B6E"/>
    <w:rsid w:val="00FE75B7"/>
    <w:rsid w:val="00FE7C72"/>
    <w:rsid w:val="00FF04C2"/>
    <w:rsid w:val="00FF04D3"/>
    <w:rsid w:val="00FF0CDB"/>
    <w:rsid w:val="00FF1698"/>
    <w:rsid w:val="00FF1870"/>
    <w:rsid w:val="00FF33CE"/>
    <w:rsid w:val="00FF3743"/>
    <w:rsid w:val="00FF3FB6"/>
    <w:rsid w:val="00FF526C"/>
    <w:rsid w:val="00FF5C70"/>
    <w:rsid w:val="00FF619B"/>
    <w:rsid w:val="00FF68BF"/>
    <w:rsid w:val="00FF749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B5C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4C7"/>
    <w:pPr>
      <w:keepLines/>
      <w:spacing w:after="12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6">
    <w:name w:val="Heading6"/>
    <w:basedOn w:val="Normal"/>
    <w:link w:val="Heading6Char"/>
    <w:rsid w:val="00302262"/>
    <w:pPr>
      <w:keepNext/>
      <w:suppressAutoHyphens/>
    </w:pPr>
    <w:rPr>
      <w:b/>
    </w:rPr>
  </w:style>
  <w:style w:type="paragraph" w:customStyle="1" w:styleId="Heading4">
    <w:name w:val="Heading4"/>
    <w:basedOn w:val="Normal"/>
    <w:rsid w:val="00302262"/>
    <w:pPr>
      <w:keepNext/>
      <w:suppressAutoHyphens/>
      <w:jc w:val="center"/>
    </w:pPr>
    <w:rPr>
      <w:b/>
    </w:rPr>
  </w:style>
  <w:style w:type="paragraph" w:styleId="Header">
    <w:name w:val="header"/>
    <w:basedOn w:val="Normal"/>
    <w:rsid w:val="00302262"/>
    <w:pPr>
      <w:tabs>
        <w:tab w:val="center" w:pos="4153"/>
        <w:tab w:val="right" w:pos="8306"/>
      </w:tabs>
    </w:pPr>
  </w:style>
  <w:style w:type="paragraph" w:styleId="Footer">
    <w:name w:val="footer"/>
    <w:basedOn w:val="Normal"/>
    <w:link w:val="FooterChar"/>
    <w:uiPriority w:val="99"/>
    <w:rsid w:val="00302262"/>
    <w:pPr>
      <w:tabs>
        <w:tab w:val="center" w:pos="4153"/>
        <w:tab w:val="right" w:pos="8306"/>
      </w:tabs>
    </w:pPr>
  </w:style>
  <w:style w:type="character" w:styleId="PageNumber">
    <w:name w:val="page number"/>
    <w:basedOn w:val="DefaultParagraphFont"/>
    <w:rsid w:val="00302262"/>
  </w:style>
  <w:style w:type="character" w:customStyle="1" w:styleId="FooterChar">
    <w:name w:val="Footer Char"/>
    <w:link w:val="Footer"/>
    <w:uiPriority w:val="99"/>
    <w:rsid w:val="00302262"/>
    <w:rPr>
      <w:lang w:val="en-AU" w:eastAsia="en-AU" w:bidi="ar-SA"/>
    </w:rPr>
  </w:style>
  <w:style w:type="character" w:customStyle="1" w:styleId="Heading6Char">
    <w:name w:val="Heading6 Char"/>
    <w:link w:val="Heading6"/>
    <w:rsid w:val="00302262"/>
    <w:rPr>
      <w:b/>
      <w:lang w:val="en-AU" w:eastAsia="en-AU" w:bidi="ar-SA"/>
    </w:rPr>
  </w:style>
  <w:style w:type="paragraph" w:styleId="BalloonText">
    <w:name w:val="Balloon Text"/>
    <w:basedOn w:val="Normal"/>
    <w:semiHidden/>
    <w:rsid w:val="00684733"/>
    <w:rPr>
      <w:rFonts w:ascii="Tahoma" w:hAnsi="Tahoma" w:cs="Tahoma"/>
      <w:sz w:val="16"/>
      <w:szCs w:val="16"/>
    </w:rPr>
  </w:style>
  <w:style w:type="character" w:styleId="CommentReference">
    <w:name w:val="annotation reference"/>
    <w:uiPriority w:val="99"/>
    <w:rsid w:val="009F3473"/>
    <w:rPr>
      <w:sz w:val="16"/>
      <w:szCs w:val="16"/>
    </w:rPr>
  </w:style>
  <w:style w:type="paragraph" w:styleId="CommentText">
    <w:name w:val="annotation text"/>
    <w:basedOn w:val="Normal"/>
    <w:link w:val="CommentTextChar"/>
    <w:uiPriority w:val="99"/>
    <w:rsid w:val="009F3473"/>
  </w:style>
  <w:style w:type="paragraph" w:styleId="CommentSubject">
    <w:name w:val="annotation subject"/>
    <w:basedOn w:val="CommentText"/>
    <w:next w:val="CommentText"/>
    <w:semiHidden/>
    <w:rsid w:val="009F3473"/>
    <w:rPr>
      <w:b/>
      <w:bCs/>
    </w:rPr>
  </w:style>
  <w:style w:type="paragraph" w:customStyle="1" w:styleId="P1">
    <w:name w:val="P1"/>
    <w:aliases w:val="(a)"/>
    <w:basedOn w:val="Normal"/>
    <w:link w:val="P1Char"/>
    <w:rsid w:val="00C7077F"/>
    <w:pPr>
      <w:tabs>
        <w:tab w:val="right" w:pos="1191"/>
      </w:tabs>
      <w:spacing w:before="60" w:after="60" w:line="260" w:lineRule="exact"/>
      <w:ind w:left="1418" w:hanging="1418"/>
    </w:pPr>
    <w:rPr>
      <w:rFonts w:ascii="Calibri" w:eastAsia="SimSun" w:hAnsi="Calibri"/>
      <w:sz w:val="16"/>
      <w:szCs w:val="22"/>
      <w:lang w:eastAsia="zh-CN"/>
    </w:rPr>
  </w:style>
  <w:style w:type="character" w:customStyle="1" w:styleId="P1Char">
    <w:name w:val="P1 Char"/>
    <w:aliases w:val="(a) Char"/>
    <w:link w:val="P1"/>
    <w:rsid w:val="00C7077F"/>
    <w:rPr>
      <w:rFonts w:ascii="Calibri" w:eastAsia="SimSun" w:hAnsi="Calibri"/>
      <w:sz w:val="16"/>
      <w:szCs w:val="22"/>
      <w:lang w:val="en-AU" w:eastAsia="zh-CN" w:bidi="ar-SA"/>
    </w:rPr>
  </w:style>
  <w:style w:type="table" w:styleId="TableGrid">
    <w:name w:val="Table Grid"/>
    <w:basedOn w:val="TableNormal"/>
    <w:rsid w:val="00872E5E"/>
    <w:pPr>
      <w:keepLines/>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S">
    <w:name w:val="A1S"/>
    <w:aliases w:val="1.Schedule Amendment"/>
    <w:basedOn w:val="Normal"/>
    <w:next w:val="Normal"/>
    <w:rsid w:val="00A43EA2"/>
    <w:pPr>
      <w:keepNext/>
      <w:keepLines w:val="0"/>
      <w:spacing w:before="480" w:after="0" w:line="260" w:lineRule="exact"/>
      <w:ind w:left="964" w:hanging="964"/>
      <w:jc w:val="left"/>
    </w:pPr>
    <w:rPr>
      <w:rFonts w:ascii="Arial" w:hAnsi="Arial"/>
      <w:b/>
      <w:sz w:val="24"/>
      <w:szCs w:val="24"/>
    </w:rPr>
  </w:style>
  <w:style w:type="paragraph" w:customStyle="1" w:styleId="A2S">
    <w:name w:val="A2S"/>
    <w:aliases w:val="Schedule Inst Amendment"/>
    <w:basedOn w:val="Normal"/>
    <w:next w:val="Normal"/>
    <w:link w:val="A2SChar"/>
    <w:rsid w:val="00A50CC7"/>
    <w:pPr>
      <w:keepNext/>
      <w:keepLines w:val="0"/>
      <w:spacing w:before="120" w:after="0" w:line="260" w:lineRule="exact"/>
      <w:ind w:left="964"/>
      <w:jc w:val="left"/>
    </w:pPr>
    <w:rPr>
      <w:i/>
      <w:sz w:val="24"/>
      <w:szCs w:val="24"/>
    </w:rPr>
  </w:style>
  <w:style w:type="character" w:customStyle="1" w:styleId="A2SChar">
    <w:name w:val="A2S Char"/>
    <w:aliases w:val="Schedule Inst Amendment Char"/>
    <w:link w:val="A2S"/>
    <w:rsid w:val="00A50CC7"/>
    <w:rPr>
      <w:i/>
      <w:sz w:val="24"/>
      <w:szCs w:val="24"/>
    </w:rPr>
  </w:style>
  <w:style w:type="paragraph" w:customStyle="1" w:styleId="HeaderBoldEven">
    <w:name w:val="HeaderBoldEven"/>
    <w:basedOn w:val="Normal"/>
    <w:rsid w:val="00935482"/>
    <w:pPr>
      <w:keepLines w:val="0"/>
      <w:spacing w:before="120" w:after="60"/>
      <w:jc w:val="left"/>
    </w:pPr>
    <w:rPr>
      <w:rFonts w:ascii="Arial" w:hAnsi="Arial"/>
      <w:b/>
      <w:szCs w:val="24"/>
    </w:rPr>
  </w:style>
  <w:style w:type="paragraph" w:customStyle="1" w:styleId="HeaderLiteEven">
    <w:name w:val="HeaderLiteEven"/>
    <w:basedOn w:val="Normal"/>
    <w:rsid w:val="00935482"/>
    <w:pPr>
      <w:keepLines w:val="0"/>
      <w:tabs>
        <w:tab w:val="center" w:pos="3969"/>
        <w:tab w:val="right" w:pos="8505"/>
      </w:tabs>
      <w:spacing w:before="60" w:after="0"/>
      <w:jc w:val="left"/>
    </w:pPr>
    <w:rPr>
      <w:rFonts w:ascii="Arial" w:hAnsi="Arial"/>
      <w:sz w:val="18"/>
      <w:szCs w:val="24"/>
    </w:rPr>
  </w:style>
  <w:style w:type="paragraph" w:customStyle="1" w:styleId="FooterDraft">
    <w:name w:val="FooterDraft"/>
    <w:basedOn w:val="Normal"/>
    <w:rsid w:val="00935482"/>
    <w:pPr>
      <w:keepLines w:val="0"/>
      <w:spacing w:after="0"/>
      <w:jc w:val="center"/>
    </w:pPr>
    <w:rPr>
      <w:rFonts w:ascii="Arial" w:hAnsi="Arial"/>
      <w:b/>
      <w:sz w:val="40"/>
      <w:szCs w:val="24"/>
    </w:rPr>
  </w:style>
  <w:style w:type="paragraph" w:customStyle="1" w:styleId="FooterInfo">
    <w:name w:val="FooterInfo"/>
    <w:basedOn w:val="Normal"/>
    <w:rsid w:val="00935482"/>
    <w:pPr>
      <w:keepLines w:val="0"/>
      <w:spacing w:after="0"/>
      <w:jc w:val="left"/>
    </w:pPr>
    <w:rPr>
      <w:rFonts w:ascii="Arial" w:hAnsi="Arial"/>
      <w:sz w:val="12"/>
      <w:szCs w:val="24"/>
    </w:rPr>
  </w:style>
  <w:style w:type="paragraph" w:styleId="ListParagraph">
    <w:name w:val="List Paragraph"/>
    <w:basedOn w:val="Normal"/>
    <w:uiPriority w:val="34"/>
    <w:qFormat/>
    <w:rsid w:val="00935482"/>
    <w:pPr>
      <w:keepLines w:val="0"/>
      <w:spacing w:after="0"/>
      <w:ind w:left="720"/>
      <w:jc w:val="left"/>
    </w:pPr>
    <w:rPr>
      <w:sz w:val="24"/>
      <w:szCs w:val="24"/>
    </w:rPr>
  </w:style>
  <w:style w:type="paragraph" w:customStyle="1" w:styleId="FooterCitation">
    <w:name w:val="FooterCitation"/>
    <w:basedOn w:val="Footer"/>
    <w:rsid w:val="00935482"/>
    <w:pPr>
      <w:keepLines w:val="0"/>
      <w:spacing w:before="20" w:after="0" w:line="240" w:lineRule="exact"/>
      <w:jc w:val="center"/>
    </w:pPr>
    <w:rPr>
      <w:rFonts w:ascii="Arial" w:hAnsi="Arial"/>
      <w:i/>
      <w:sz w:val="18"/>
      <w:szCs w:val="24"/>
    </w:rPr>
  </w:style>
  <w:style w:type="character" w:customStyle="1" w:styleId="A0">
    <w:name w:val="A0"/>
    <w:uiPriority w:val="99"/>
    <w:rsid w:val="00C40A1A"/>
    <w:rPr>
      <w:rFonts w:cs="YOUZZP+HelveticaNeue"/>
      <w:color w:val="221E1F"/>
      <w:sz w:val="20"/>
      <w:szCs w:val="20"/>
    </w:rPr>
  </w:style>
  <w:style w:type="character" w:styleId="Hyperlink">
    <w:name w:val="Hyperlink"/>
    <w:uiPriority w:val="99"/>
    <w:rsid w:val="00D22412"/>
    <w:rPr>
      <w:color w:val="0000FF"/>
      <w:u w:val="single"/>
    </w:rPr>
  </w:style>
  <w:style w:type="table" w:customStyle="1" w:styleId="TableGrid1">
    <w:name w:val="Table Grid1"/>
    <w:basedOn w:val="TableNormal"/>
    <w:next w:val="TableGrid"/>
    <w:rsid w:val="00511149"/>
    <w:tblPr/>
  </w:style>
  <w:style w:type="table" w:customStyle="1" w:styleId="TableGrid2">
    <w:name w:val="Table Grid2"/>
    <w:basedOn w:val="TableNormal"/>
    <w:next w:val="TableGrid"/>
    <w:rsid w:val="009E3757"/>
    <w:tblPr/>
  </w:style>
  <w:style w:type="table" w:customStyle="1" w:styleId="TableGrid3">
    <w:name w:val="Table Grid3"/>
    <w:basedOn w:val="TableNormal"/>
    <w:next w:val="TableGrid"/>
    <w:rsid w:val="009E3757"/>
    <w:tblPr/>
  </w:style>
  <w:style w:type="paragraph" w:customStyle="1" w:styleId="ItemHead">
    <w:name w:val="ItemHead"/>
    <w:aliases w:val="ih"/>
    <w:basedOn w:val="Normal"/>
    <w:next w:val="Normal"/>
    <w:rsid w:val="000E4656"/>
    <w:pPr>
      <w:keepNext/>
      <w:spacing w:before="220" w:after="0"/>
      <w:ind w:left="709" w:hanging="709"/>
      <w:jc w:val="left"/>
    </w:pPr>
    <w:rPr>
      <w:rFonts w:ascii="Arial" w:eastAsiaTheme="minorEastAsia" w:hAnsi="Arial"/>
      <w:b/>
      <w:kern w:val="28"/>
      <w:sz w:val="24"/>
    </w:rPr>
  </w:style>
  <w:style w:type="table" w:customStyle="1" w:styleId="TableGrid4">
    <w:name w:val="Table Grid4"/>
    <w:basedOn w:val="TableNormal"/>
    <w:next w:val="TableGrid"/>
    <w:rsid w:val="005B758F"/>
    <w:tblPr/>
  </w:style>
  <w:style w:type="table" w:customStyle="1" w:styleId="TableGrid5">
    <w:name w:val="Table Grid5"/>
    <w:basedOn w:val="TableNormal"/>
    <w:next w:val="TableGrid"/>
    <w:rsid w:val="00145D86"/>
    <w:tblPr/>
  </w:style>
  <w:style w:type="paragraph" w:customStyle="1" w:styleId="Amendment1">
    <w:name w:val="Amendment 1"/>
    <w:basedOn w:val="Normal"/>
    <w:link w:val="Amendment1Char"/>
    <w:qFormat/>
    <w:rsid w:val="00CF35C1"/>
    <w:pPr>
      <w:keepLines w:val="0"/>
      <w:widowControl w:val="0"/>
      <w:numPr>
        <w:numId w:val="15"/>
      </w:numPr>
      <w:spacing w:before="120" w:after="0"/>
      <w:jc w:val="left"/>
      <w:outlineLvl w:val="1"/>
    </w:pPr>
    <w:rPr>
      <w:rFonts w:ascii="Arial" w:hAnsi="Arial" w:cs="Arial"/>
      <w:b/>
      <w:bCs/>
    </w:rPr>
  </w:style>
  <w:style w:type="paragraph" w:customStyle="1" w:styleId="Amendment2">
    <w:name w:val="Amendment 2"/>
    <w:basedOn w:val="Normal"/>
    <w:link w:val="Amendment2Char"/>
    <w:qFormat/>
    <w:rsid w:val="00CF35C1"/>
    <w:pPr>
      <w:keepLines w:val="0"/>
      <w:widowControl w:val="0"/>
      <w:numPr>
        <w:ilvl w:val="1"/>
        <w:numId w:val="15"/>
      </w:numPr>
      <w:spacing w:before="120" w:after="0"/>
      <w:jc w:val="left"/>
      <w:outlineLvl w:val="2"/>
    </w:pPr>
    <w:rPr>
      <w:iCs/>
    </w:rPr>
  </w:style>
  <w:style w:type="paragraph" w:customStyle="1" w:styleId="Amendment3">
    <w:name w:val="Amendment 3"/>
    <w:qFormat/>
    <w:rsid w:val="00CF35C1"/>
    <w:pPr>
      <w:widowControl w:val="0"/>
      <w:numPr>
        <w:ilvl w:val="2"/>
        <w:numId w:val="15"/>
      </w:numPr>
      <w:tabs>
        <w:tab w:val="clear" w:pos="1474"/>
        <w:tab w:val="num" w:pos="1050"/>
      </w:tabs>
      <w:spacing w:before="60" w:after="60" w:line="260" w:lineRule="exact"/>
      <w:ind w:left="1050"/>
      <w:outlineLvl w:val="2"/>
    </w:pPr>
    <w:rPr>
      <w:iCs/>
    </w:rPr>
  </w:style>
  <w:style w:type="character" w:customStyle="1" w:styleId="Amendment1Char">
    <w:name w:val="Amendment 1 Char"/>
    <w:basedOn w:val="DefaultParagraphFont"/>
    <w:link w:val="Amendment1"/>
    <w:rsid w:val="00CF35C1"/>
    <w:rPr>
      <w:rFonts w:ascii="Arial" w:hAnsi="Arial" w:cs="Arial"/>
      <w:b/>
      <w:bCs/>
    </w:rPr>
  </w:style>
  <w:style w:type="numbering" w:customStyle="1" w:styleId="AmendmentInstruction">
    <w:name w:val="Amendment Instruction"/>
    <w:basedOn w:val="NoList"/>
    <w:uiPriority w:val="99"/>
    <w:rsid w:val="00CF35C1"/>
    <w:pPr>
      <w:numPr>
        <w:numId w:val="18"/>
      </w:numPr>
    </w:pPr>
  </w:style>
  <w:style w:type="character" w:styleId="Emphasis">
    <w:name w:val="Emphasis"/>
    <w:basedOn w:val="DefaultParagraphFont"/>
    <w:uiPriority w:val="20"/>
    <w:qFormat/>
    <w:rsid w:val="00F60DB0"/>
    <w:rPr>
      <w:i/>
      <w:iCs/>
    </w:rPr>
  </w:style>
  <w:style w:type="character" w:styleId="FollowedHyperlink">
    <w:name w:val="FollowedHyperlink"/>
    <w:basedOn w:val="DefaultParagraphFont"/>
    <w:semiHidden/>
    <w:unhideWhenUsed/>
    <w:rsid w:val="009F0C12"/>
    <w:rPr>
      <w:color w:val="800080" w:themeColor="followedHyperlink"/>
      <w:u w:val="single"/>
    </w:rPr>
  </w:style>
  <w:style w:type="character" w:customStyle="1" w:styleId="Amendment2Char">
    <w:name w:val="Amendment 2 Char"/>
    <w:basedOn w:val="DefaultParagraphFont"/>
    <w:link w:val="Amendment2"/>
    <w:rsid w:val="001A4A01"/>
    <w:rPr>
      <w:iCs/>
    </w:rPr>
  </w:style>
  <w:style w:type="character" w:customStyle="1" w:styleId="AmendmentKeyword">
    <w:name w:val="Amendment Keyword"/>
    <w:basedOn w:val="DefaultParagraphFont"/>
    <w:uiPriority w:val="1"/>
    <w:rsid w:val="001A4A01"/>
    <w:rPr>
      <w:rFonts w:ascii="Arial" w:hAnsi="Arial"/>
      <w:b/>
      <w:i w:val="0"/>
      <w:iCs/>
      <w:sz w:val="20"/>
      <w:szCs w:val="24"/>
      <w:lang w:eastAsia="en-US"/>
    </w:rPr>
  </w:style>
  <w:style w:type="character" w:customStyle="1" w:styleId="amendmentkeyword0">
    <w:name w:val="amendmentkeyword"/>
    <w:basedOn w:val="DefaultParagraphFont"/>
    <w:rsid w:val="001A4A01"/>
  </w:style>
  <w:style w:type="character" w:styleId="UnresolvedMention">
    <w:name w:val="Unresolved Mention"/>
    <w:basedOn w:val="DefaultParagraphFont"/>
    <w:uiPriority w:val="99"/>
    <w:semiHidden/>
    <w:unhideWhenUsed/>
    <w:rsid w:val="006D3C7E"/>
    <w:rPr>
      <w:color w:val="605E5C"/>
      <w:shd w:val="clear" w:color="auto" w:fill="E1DFDD"/>
    </w:rPr>
  </w:style>
  <w:style w:type="paragraph" w:styleId="Revision">
    <w:name w:val="Revision"/>
    <w:hidden/>
    <w:uiPriority w:val="99"/>
    <w:semiHidden/>
    <w:rsid w:val="006674C7"/>
  </w:style>
  <w:style w:type="character" w:customStyle="1" w:styleId="CommentTextChar">
    <w:name w:val="Comment Text Char"/>
    <w:basedOn w:val="DefaultParagraphFont"/>
    <w:link w:val="CommentText"/>
    <w:uiPriority w:val="99"/>
    <w:rsid w:val="00A71510"/>
  </w:style>
  <w:style w:type="paragraph" w:styleId="NormalWeb">
    <w:name w:val="Normal (Web)"/>
    <w:basedOn w:val="Normal"/>
    <w:uiPriority w:val="99"/>
    <w:unhideWhenUsed/>
    <w:rsid w:val="002262D2"/>
    <w:pPr>
      <w:keepLines w:val="0"/>
      <w:spacing w:before="100" w:beforeAutospacing="1" w:after="100" w:afterAutospacing="1"/>
      <w:jc w:val="left"/>
    </w:pPr>
    <w:rPr>
      <w:sz w:val="24"/>
      <w:szCs w:val="24"/>
    </w:rPr>
  </w:style>
  <w:style w:type="paragraph" w:customStyle="1" w:styleId="Default">
    <w:name w:val="Default"/>
    <w:rsid w:val="00CB791D"/>
    <w:pPr>
      <w:autoSpaceDE w:val="0"/>
      <w:autoSpaceDN w:val="0"/>
      <w:adjustRightInd w:val="0"/>
    </w:pPr>
    <w:rPr>
      <w:rFonts w:ascii="Arial" w:hAnsi="Arial" w:cs="Arial"/>
      <w:color w:val="000000"/>
      <w:sz w:val="24"/>
      <w:szCs w:val="24"/>
    </w:rPr>
  </w:style>
  <w:style w:type="table" w:customStyle="1" w:styleId="TableGrid6">
    <w:name w:val="Table Grid6"/>
    <w:basedOn w:val="TableNormal"/>
    <w:next w:val="TableGrid"/>
    <w:rsid w:val="00A04EEA"/>
    <w:tblPr/>
  </w:style>
  <w:style w:type="table" w:customStyle="1" w:styleId="TableGrid7">
    <w:name w:val="Table Grid7"/>
    <w:basedOn w:val="TableNormal"/>
    <w:next w:val="TableGrid"/>
    <w:rsid w:val="00A04EEA"/>
    <w:tblPr/>
  </w:style>
  <w:style w:type="table" w:customStyle="1" w:styleId="TableGrid8">
    <w:name w:val="Table Grid8"/>
    <w:basedOn w:val="TableNormal"/>
    <w:next w:val="TableGrid"/>
    <w:rsid w:val="00A04EEA"/>
    <w:tblPr/>
  </w:style>
  <w:style w:type="table" w:customStyle="1" w:styleId="TableGrid9">
    <w:name w:val="Table Grid9"/>
    <w:basedOn w:val="TableNormal"/>
    <w:next w:val="TableGrid"/>
    <w:rsid w:val="003C56AC"/>
    <w:tblPr/>
  </w:style>
  <w:style w:type="character" w:customStyle="1" w:styleId="contentpasted0">
    <w:name w:val="contentpasted0"/>
    <w:basedOn w:val="DefaultParagraphFont"/>
    <w:rsid w:val="004C7289"/>
  </w:style>
  <w:style w:type="paragraph" w:customStyle="1" w:styleId="pf0">
    <w:name w:val="pf0"/>
    <w:basedOn w:val="Normal"/>
    <w:rsid w:val="00A57D88"/>
    <w:pPr>
      <w:keepLines w:val="0"/>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4557">
      <w:bodyDiv w:val="1"/>
      <w:marLeft w:val="0"/>
      <w:marRight w:val="0"/>
      <w:marTop w:val="0"/>
      <w:marBottom w:val="0"/>
      <w:divBdr>
        <w:top w:val="none" w:sz="0" w:space="0" w:color="auto"/>
        <w:left w:val="none" w:sz="0" w:space="0" w:color="auto"/>
        <w:bottom w:val="none" w:sz="0" w:space="0" w:color="auto"/>
        <w:right w:val="none" w:sz="0" w:space="0" w:color="auto"/>
      </w:divBdr>
    </w:div>
    <w:div w:id="31812047">
      <w:bodyDiv w:val="1"/>
      <w:marLeft w:val="0"/>
      <w:marRight w:val="0"/>
      <w:marTop w:val="0"/>
      <w:marBottom w:val="0"/>
      <w:divBdr>
        <w:top w:val="none" w:sz="0" w:space="0" w:color="auto"/>
        <w:left w:val="none" w:sz="0" w:space="0" w:color="auto"/>
        <w:bottom w:val="none" w:sz="0" w:space="0" w:color="auto"/>
        <w:right w:val="none" w:sz="0" w:space="0" w:color="auto"/>
      </w:divBdr>
    </w:div>
    <w:div w:id="39912363">
      <w:bodyDiv w:val="1"/>
      <w:marLeft w:val="0"/>
      <w:marRight w:val="0"/>
      <w:marTop w:val="0"/>
      <w:marBottom w:val="0"/>
      <w:divBdr>
        <w:top w:val="none" w:sz="0" w:space="0" w:color="auto"/>
        <w:left w:val="none" w:sz="0" w:space="0" w:color="auto"/>
        <w:bottom w:val="none" w:sz="0" w:space="0" w:color="auto"/>
        <w:right w:val="none" w:sz="0" w:space="0" w:color="auto"/>
      </w:divBdr>
    </w:div>
    <w:div w:id="130094309">
      <w:bodyDiv w:val="1"/>
      <w:marLeft w:val="0"/>
      <w:marRight w:val="0"/>
      <w:marTop w:val="0"/>
      <w:marBottom w:val="0"/>
      <w:divBdr>
        <w:top w:val="none" w:sz="0" w:space="0" w:color="auto"/>
        <w:left w:val="none" w:sz="0" w:space="0" w:color="auto"/>
        <w:bottom w:val="none" w:sz="0" w:space="0" w:color="auto"/>
        <w:right w:val="none" w:sz="0" w:space="0" w:color="auto"/>
      </w:divBdr>
    </w:div>
    <w:div w:id="329018051">
      <w:bodyDiv w:val="1"/>
      <w:marLeft w:val="0"/>
      <w:marRight w:val="0"/>
      <w:marTop w:val="0"/>
      <w:marBottom w:val="0"/>
      <w:divBdr>
        <w:top w:val="none" w:sz="0" w:space="0" w:color="auto"/>
        <w:left w:val="none" w:sz="0" w:space="0" w:color="auto"/>
        <w:bottom w:val="none" w:sz="0" w:space="0" w:color="auto"/>
        <w:right w:val="none" w:sz="0" w:space="0" w:color="auto"/>
      </w:divBdr>
    </w:div>
    <w:div w:id="349338949">
      <w:bodyDiv w:val="1"/>
      <w:marLeft w:val="0"/>
      <w:marRight w:val="0"/>
      <w:marTop w:val="0"/>
      <w:marBottom w:val="0"/>
      <w:divBdr>
        <w:top w:val="none" w:sz="0" w:space="0" w:color="auto"/>
        <w:left w:val="none" w:sz="0" w:space="0" w:color="auto"/>
        <w:bottom w:val="none" w:sz="0" w:space="0" w:color="auto"/>
        <w:right w:val="none" w:sz="0" w:space="0" w:color="auto"/>
      </w:divBdr>
    </w:div>
    <w:div w:id="364906869">
      <w:bodyDiv w:val="1"/>
      <w:marLeft w:val="0"/>
      <w:marRight w:val="0"/>
      <w:marTop w:val="0"/>
      <w:marBottom w:val="0"/>
      <w:divBdr>
        <w:top w:val="none" w:sz="0" w:space="0" w:color="auto"/>
        <w:left w:val="none" w:sz="0" w:space="0" w:color="auto"/>
        <w:bottom w:val="none" w:sz="0" w:space="0" w:color="auto"/>
        <w:right w:val="none" w:sz="0" w:space="0" w:color="auto"/>
      </w:divBdr>
    </w:div>
    <w:div w:id="385690361">
      <w:bodyDiv w:val="1"/>
      <w:marLeft w:val="0"/>
      <w:marRight w:val="0"/>
      <w:marTop w:val="0"/>
      <w:marBottom w:val="0"/>
      <w:divBdr>
        <w:top w:val="none" w:sz="0" w:space="0" w:color="auto"/>
        <w:left w:val="none" w:sz="0" w:space="0" w:color="auto"/>
        <w:bottom w:val="none" w:sz="0" w:space="0" w:color="auto"/>
        <w:right w:val="none" w:sz="0" w:space="0" w:color="auto"/>
      </w:divBdr>
    </w:div>
    <w:div w:id="403602851">
      <w:bodyDiv w:val="1"/>
      <w:marLeft w:val="0"/>
      <w:marRight w:val="0"/>
      <w:marTop w:val="0"/>
      <w:marBottom w:val="0"/>
      <w:divBdr>
        <w:top w:val="none" w:sz="0" w:space="0" w:color="auto"/>
        <w:left w:val="none" w:sz="0" w:space="0" w:color="auto"/>
        <w:bottom w:val="none" w:sz="0" w:space="0" w:color="auto"/>
        <w:right w:val="none" w:sz="0" w:space="0" w:color="auto"/>
      </w:divBdr>
    </w:div>
    <w:div w:id="426656727">
      <w:bodyDiv w:val="1"/>
      <w:marLeft w:val="0"/>
      <w:marRight w:val="0"/>
      <w:marTop w:val="0"/>
      <w:marBottom w:val="0"/>
      <w:divBdr>
        <w:top w:val="none" w:sz="0" w:space="0" w:color="auto"/>
        <w:left w:val="none" w:sz="0" w:space="0" w:color="auto"/>
        <w:bottom w:val="none" w:sz="0" w:space="0" w:color="auto"/>
        <w:right w:val="none" w:sz="0" w:space="0" w:color="auto"/>
      </w:divBdr>
    </w:div>
    <w:div w:id="433593526">
      <w:bodyDiv w:val="1"/>
      <w:marLeft w:val="0"/>
      <w:marRight w:val="0"/>
      <w:marTop w:val="0"/>
      <w:marBottom w:val="0"/>
      <w:divBdr>
        <w:top w:val="none" w:sz="0" w:space="0" w:color="auto"/>
        <w:left w:val="none" w:sz="0" w:space="0" w:color="auto"/>
        <w:bottom w:val="none" w:sz="0" w:space="0" w:color="auto"/>
        <w:right w:val="none" w:sz="0" w:space="0" w:color="auto"/>
      </w:divBdr>
    </w:div>
    <w:div w:id="434906056">
      <w:bodyDiv w:val="1"/>
      <w:marLeft w:val="0"/>
      <w:marRight w:val="0"/>
      <w:marTop w:val="0"/>
      <w:marBottom w:val="0"/>
      <w:divBdr>
        <w:top w:val="none" w:sz="0" w:space="0" w:color="auto"/>
        <w:left w:val="none" w:sz="0" w:space="0" w:color="auto"/>
        <w:bottom w:val="none" w:sz="0" w:space="0" w:color="auto"/>
        <w:right w:val="none" w:sz="0" w:space="0" w:color="auto"/>
      </w:divBdr>
      <w:divsChild>
        <w:div w:id="1741441874">
          <w:marLeft w:val="0"/>
          <w:marRight w:val="0"/>
          <w:marTop w:val="0"/>
          <w:marBottom w:val="0"/>
          <w:divBdr>
            <w:top w:val="none" w:sz="0" w:space="0" w:color="auto"/>
            <w:left w:val="none" w:sz="0" w:space="0" w:color="auto"/>
            <w:bottom w:val="none" w:sz="0" w:space="0" w:color="auto"/>
            <w:right w:val="none" w:sz="0" w:space="0" w:color="auto"/>
          </w:divBdr>
        </w:div>
      </w:divsChild>
    </w:div>
    <w:div w:id="465706246">
      <w:bodyDiv w:val="1"/>
      <w:marLeft w:val="0"/>
      <w:marRight w:val="0"/>
      <w:marTop w:val="0"/>
      <w:marBottom w:val="0"/>
      <w:divBdr>
        <w:top w:val="none" w:sz="0" w:space="0" w:color="auto"/>
        <w:left w:val="none" w:sz="0" w:space="0" w:color="auto"/>
        <w:bottom w:val="none" w:sz="0" w:space="0" w:color="auto"/>
        <w:right w:val="none" w:sz="0" w:space="0" w:color="auto"/>
      </w:divBdr>
    </w:div>
    <w:div w:id="480970354">
      <w:bodyDiv w:val="1"/>
      <w:marLeft w:val="0"/>
      <w:marRight w:val="0"/>
      <w:marTop w:val="0"/>
      <w:marBottom w:val="0"/>
      <w:divBdr>
        <w:top w:val="none" w:sz="0" w:space="0" w:color="auto"/>
        <w:left w:val="none" w:sz="0" w:space="0" w:color="auto"/>
        <w:bottom w:val="none" w:sz="0" w:space="0" w:color="auto"/>
        <w:right w:val="none" w:sz="0" w:space="0" w:color="auto"/>
      </w:divBdr>
    </w:div>
    <w:div w:id="496193696">
      <w:bodyDiv w:val="1"/>
      <w:marLeft w:val="0"/>
      <w:marRight w:val="0"/>
      <w:marTop w:val="0"/>
      <w:marBottom w:val="0"/>
      <w:divBdr>
        <w:top w:val="none" w:sz="0" w:space="0" w:color="auto"/>
        <w:left w:val="none" w:sz="0" w:space="0" w:color="auto"/>
        <w:bottom w:val="none" w:sz="0" w:space="0" w:color="auto"/>
        <w:right w:val="none" w:sz="0" w:space="0" w:color="auto"/>
      </w:divBdr>
    </w:div>
    <w:div w:id="502626699">
      <w:bodyDiv w:val="1"/>
      <w:marLeft w:val="0"/>
      <w:marRight w:val="0"/>
      <w:marTop w:val="0"/>
      <w:marBottom w:val="0"/>
      <w:divBdr>
        <w:top w:val="none" w:sz="0" w:space="0" w:color="auto"/>
        <w:left w:val="none" w:sz="0" w:space="0" w:color="auto"/>
        <w:bottom w:val="none" w:sz="0" w:space="0" w:color="auto"/>
        <w:right w:val="none" w:sz="0" w:space="0" w:color="auto"/>
      </w:divBdr>
    </w:div>
    <w:div w:id="553007858">
      <w:bodyDiv w:val="1"/>
      <w:marLeft w:val="0"/>
      <w:marRight w:val="0"/>
      <w:marTop w:val="0"/>
      <w:marBottom w:val="0"/>
      <w:divBdr>
        <w:top w:val="none" w:sz="0" w:space="0" w:color="auto"/>
        <w:left w:val="none" w:sz="0" w:space="0" w:color="auto"/>
        <w:bottom w:val="none" w:sz="0" w:space="0" w:color="auto"/>
        <w:right w:val="none" w:sz="0" w:space="0" w:color="auto"/>
      </w:divBdr>
      <w:divsChild>
        <w:div w:id="715475407">
          <w:marLeft w:val="0"/>
          <w:marRight w:val="0"/>
          <w:marTop w:val="0"/>
          <w:marBottom w:val="0"/>
          <w:divBdr>
            <w:top w:val="none" w:sz="0" w:space="0" w:color="auto"/>
            <w:left w:val="none" w:sz="0" w:space="0" w:color="auto"/>
            <w:bottom w:val="none" w:sz="0" w:space="0" w:color="auto"/>
            <w:right w:val="none" w:sz="0" w:space="0" w:color="auto"/>
          </w:divBdr>
        </w:div>
        <w:div w:id="355277697">
          <w:marLeft w:val="0"/>
          <w:marRight w:val="0"/>
          <w:marTop w:val="0"/>
          <w:marBottom w:val="0"/>
          <w:divBdr>
            <w:top w:val="none" w:sz="0" w:space="0" w:color="auto"/>
            <w:left w:val="none" w:sz="0" w:space="0" w:color="auto"/>
            <w:bottom w:val="none" w:sz="0" w:space="0" w:color="auto"/>
            <w:right w:val="none" w:sz="0" w:space="0" w:color="auto"/>
          </w:divBdr>
        </w:div>
      </w:divsChild>
    </w:div>
    <w:div w:id="564998689">
      <w:bodyDiv w:val="1"/>
      <w:marLeft w:val="0"/>
      <w:marRight w:val="0"/>
      <w:marTop w:val="0"/>
      <w:marBottom w:val="0"/>
      <w:divBdr>
        <w:top w:val="none" w:sz="0" w:space="0" w:color="auto"/>
        <w:left w:val="none" w:sz="0" w:space="0" w:color="auto"/>
        <w:bottom w:val="none" w:sz="0" w:space="0" w:color="auto"/>
        <w:right w:val="none" w:sz="0" w:space="0" w:color="auto"/>
      </w:divBdr>
    </w:div>
    <w:div w:id="612907878">
      <w:bodyDiv w:val="1"/>
      <w:marLeft w:val="0"/>
      <w:marRight w:val="0"/>
      <w:marTop w:val="0"/>
      <w:marBottom w:val="0"/>
      <w:divBdr>
        <w:top w:val="none" w:sz="0" w:space="0" w:color="auto"/>
        <w:left w:val="none" w:sz="0" w:space="0" w:color="auto"/>
        <w:bottom w:val="none" w:sz="0" w:space="0" w:color="auto"/>
        <w:right w:val="none" w:sz="0" w:space="0" w:color="auto"/>
      </w:divBdr>
    </w:div>
    <w:div w:id="665397960">
      <w:bodyDiv w:val="1"/>
      <w:marLeft w:val="0"/>
      <w:marRight w:val="0"/>
      <w:marTop w:val="0"/>
      <w:marBottom w:val="0"/>
      <w:divBdr>
        <w:top w:val="none" w:sz="0" w:space="0" w:color="auto"/>
        <w:left w:val="none" w:sz="0" w:space="0" w:color="auto"/>
        <w:bottom w:val="none" w:sz="0" w:space="0" w:color="auto"/>
        <w:right w:val="none" w:sz="0" w:space="0" w:color="auto"/>
      </w:divBdr>
    </w:div>
    <w:div w:id="733888602">
      <w:bodyDiv w:val="1"/>
      <w:marLeft w:val="0"/>
      <w:marRight w:val="0"/>
      <w:marTop w:val="0"/>
      <w:marBottom w:val="0"/>
      <w:divBdr>
        <w:top w:val="none" w:sz="0" w:space="0" w:color="auto"/>
        <w:left w:val="none" w:sz="0" w:space="0" w:color="auto"/>
        <w:bottom w:val="none" w:sz="0" w:space="0" w:color="auto"/>
        <w:right w:val="none" w:sz="0" w:space="0" w:color="auto"/>
      </w:divBdr>
    </w:div>
    <w:div w:id="740103793">
      <w:bodyDiv w:val="1"/>
      <w:marLeft w:val="0"/>
      <w:marRight w:val="0"/>
      <w:marTop w:val="0"/>
      <w:marBottom w:val="0"/>
      <w:divBdr>
        <w:top w:val="none" w:sz="0" w:space="0" w:color="auto"/>
        <w:left w:val="none" w:sz="0" w:space="0" w:color="auto"/>
        <w:bottom w:val="none" w:sz="0" w:space="0" w:color="auto"/>
        <w:right w:val="none" w:sz="0" w:space="0" w:color="auto"/>
      </w:divBdr>
    </w:div>
    <w:div w:id="763307548">
      <w:bodyDiv w:val="1"/>
      <w:marLeft w:val="0"/>
      <w:marRight w:val="0"/>
      <w:marTop w:val="0"/>
      <w:marBottom w:val="0"/>
      <w:divBdr>
        <w:top w:val="none" w:sz="0" w:space="0" w:color="auto"/>
        <w:left w:val="none" w:sz="0" w:space="0" w:color="auto"/>
        <w:bottom w:val="none" w:sz="0" w:space="0" w:color="auto"/>
        <w:right w:val="none" w:sz="0" w:space="0" w:color="auto"/>
      </w:divBdr>
    </w:div>
    <w:div w:id="792090151">
      <w:bodyDiv w:val="1"/>
      <w:marLeft w:val="0"/>
      <w:marRight w:val="0"/>
      <w:marTop w:val="0"/>
      <w:marBottom w:val="0"/>
      <w:divBdr>
        <w:top w:val="none" w:sz="0" w:space="0" w:color="auto"/>
        <w:left w:val="none" w:sz="0" w:space="0" w:color="auto"/>
        <w:bottom w:val="none" w:sz="0" w:space="0" w:color="auto"/>
        <w:right w:val="none" w:sz="0" w:space="0" w:color="auto"/>
      </w:divBdr>
    </w:div>
    <w:div w:id="807744062">
      <w:bodyDiv w:val="1"/>
      <w:marLeft w:val="0"/>
      <w:marRight w:val="0"/>
      <w:marTop w:val="0"/>
      <w:marBottom w:val="0"/>
      <w:divBdr>
        <w:top w:val="none" w:sz="0" w:space="0" w:color="auto"/>
        <w:left w:val="none" w:sz="0" w:space="0" w:color="auto"/>
        <w:bottom w:val="none" w:sz="0" w:space="0" w:color="auto"/>
        <w:right w:val="none" w:sz="0" w:space="0" w:color="auto"/>
      </w:divBdr>
    </w:div>
    <w:div w:id="838232824">
      <w:bodyDiv w:val="1"/>
      <w:marLeft w:val="0"/>
      <w:marRight w:val="0"/>
      <w:marTop w:val="0"/>
      <w:marBottom w:val="0"/>
      <w:divBdr>
        <w:top w:val="none" w:sz="0" w:space="0" w:color="auto"/>
        <w:left w:val="none" w:sz="0" w:space="0" w:color="auto"/>
        <w:bottom w:val="none" w:sz="0" w:space="0" w:color="auto"/>
        <w:right w:val="none" w:sz="0" w:space="0" w:color="auto"/>
      </w:divBdr>
    </w:div>
    <w:div w:id="842823738">
      <w:bodyDiv w:val="1"/>
      <w:marLeft w:val="0"/>
      <w:marRight w:val="0"/>
      <w:marTop w:val="0"/>
      <w:marBottom w:val="0"/>
      <w:divBdr>
        <w:top w:val="none" w:sz="0" w:space="0" w:color="auto"/>
        <w:left w:val="none" w:sz="0" w:space="0" w:color="auto"/>
        <w:bottom w:val="none" w:sz="0" w:space="0" w:color="auto"/>
        <w:right w:val="none" w:sz="0" w:space="0" w:color="auto"/>
      </w:divBdr>
    </w:div>
    <w:div w:id="873887321">
      <w:bodyDiv w:val="1"/>
      <w:marLeft w:val="0"/>
      <w:marRight w:val="0"/>
      <w:marTop w:val="0"/>
      <w:marBottom w:val="0"/>
      <w:divBdr>
        <w:top w:val="none" w:sz="0" w:space="0" w:color="auto"/>
        <w:left w:val="none" w:sz="0" w:space="0" w:color="auto"/>
        <w:bottom w:val="none" w:sz="0" w:space="0" w:color="auto"/>
        <w:right w:val="none" w:sz="0" w:space="0" w:color="auto"/>
      </w:divBdr>
    </w:div>
    <w:div w:id="887450131">
      <w:bodyDiv w:val="1"/>
      <w:marLeft w:val="0"/>
      <w:marRight w:val="0"/>
      <w:marTop w:val="0"/>
      <w:marBottom w:val="0"/>
      <w:divBdr>
        <w:top w:val="none" w:sz="0" w:space="0" w:color="auto"/>
        <w:left w:val="none" w:sz="0" w:space="0" w:color="auto"/>
        <w:bottom w:val="none" w:sz="0" w:space="0" w:color="auto"/>
        <w:right w:val="none" w:sz="0" w:space="0" w:color="auto"/>
      </w:divBdr>
    </w:div>
    <w:div w:id="888568703">
      <w:bodyDiv w:val="1"/>
      <w:marLeft w:val="0"/>
      <w:marRight w:val="0"/>
      <w:marTop w:val="0"/>
      <w:marBottom w:val="0"/>
      <w:divBdr>
        <w:top w:val="none" w:sz="0" w:space="0" w:color="auto"/>
        <w:left w:val="none" w:sz="0" w:space="0" w:color="auto"/>
        <w:bottom w:val="none" w:sz="0" w:space="0" w:color="auto"/>
        <w:right w:val="none" w:sz="0" w:space="0" w:color="auto"/>
      </w:divBdr>
    </w:div>
    <w:div w:id="898321184">
      <w:bodyDiv w:val="1"/>
      <w:marLeft w:val="0"/>
      <w:marRight w:val="0"/>
      <w:marTop w:val="0"/>
      <w:marBottom w:val="0"/>
      <w:divBdr>
        <w:top w:val="none" w:sz="0" w:space="0" w:color="auto"/>
        <w:left w:val="none" w:sz="0" w:space="0" w:color="auto"/>
        <w:bottom w:val="none" w:sz="0" w:space="0" w:color="auto"/>
        <w:right w:val="none" w:sz="0" w:space="0" w:color="auto"/>
      </w:divBdr>
    </w:div>
    <w:div w:id="969018578">
      <w:bodyDiv w:val="1"/>
      <w:marLeft w:val="0"/>
      <w:marRight w:val="0"/>
      <w:marTop w:val="0"/>
      <w:marBottom w:val="0"/>
      <w:divBdr>
        <w:top w:val="none" w:sz="0" w:space="0" w:color="auto"/>
        <w:left w:val="none" w:sz="0" w:space="0" w:color="auto"/>
        <w:bottom w:val="none" w:sz="0" w:space="0" w:color="auto"/>
        <w:right w:val="none" w:sz="0" w:space="0" w:color="auto"/>
      </w:divBdr>
    </w:div>
    <w:div w:id="1016350540">
      <w:bodyDiv w:val="1"/>
      <w:marLeft w:val="0"/>
      <w:marRight w:val="0"/>
      <w:marTop w:val="0"/>
      <w:marBottom w:val="0"/>
      <w:divBdr>
        <w:top w:val="none" w:sz="0" w:space="0" w:color="auto"/>
        <w:left w:val="none" w:sz="0" w:space="0" w:color="auto"/>
        <w:bottom w:val="none" w:sz="0" w:space="0" w:color="auto"/>
        <w:right w:val="none" w:sz="0" w:space="0" w:color="auto"/>
      </w:divBdr>
    </w:div>
    <w:div w:id="1026910917">
      <w:bodyDiv w:val="1"/>
      <w:marLeft w:val="0"/>
      <w:marRight w:val="0"/>
      <w:marTop w:val="0"/>
      <w:marBottom w:val="0"/>
      <w:divBdr>
        <w:top w:val="none" w:sz="0" w:space="0" w:color="auto"/>
        <w:left w:val="none" w:sz="0" w:space="0" w:color="auto"/>
        <w:bottom w:val="none" w:sz="0" w:space="0" w:color="auto"/>
        <w:right w:val="none" w:sz="0" w:space="0" w:color="auto"/>
      </w:divBdr>
      <w:divsChild>
        <w:div w:id="929001236">
          <w:marLeft w:val="0"/>
          <w:marRight w:val="0"/>
          <w:marTop w:val="0"/>
          <w:marBottom w:val="0"/>
          <w:divBdr>
            <w:top w:val="none" w:sz="0" w:space="0" w:color="auto"/>
            <w:left w:val="none" w:sz="0" w:space="0" w:color="auto"/>
            <w:bottom w:val="none" w:sz="0" w:space="0" w:color="auto"/>
            <w:right w:val="none" w:sz="0" w:space="0" w:color="auto"/>
          </w:divBdr>
        </w:div>
        <w:div w:id="227768580">
          <w:marLeft w:val="0"/>
          <w:marRight w:val="0"/>
          <w:marTop w:val="0"/>
          <w:marBottom w:val="0"/>
          <w:divBdr>
            <w:top w:val="none" w:sz="0" w:space="0" w:color="auto"/>
            <w:left w:val="none" w:sz="0" w:space="0" w:color="auto"/>
            <w:bottom w:val="none" w:sz="0" w:space="0" w:color="auto"/>
            <w:right w:val="none" w:sz="0" w:space="0" w:color="auto"/>
          </w:divBdr>
        </w:div>
      </w:divsChild>
    </w:div>
    <w:div w:id="1036852933">
      <w:bodyDiv w:val="1"/>
      <w:marLeft w:val="0"/>
      <w:marRight w:val="0"/>
      <w:marTop w:val="0"/>
      <w:marBottom w:val="0"/>
      <w:divBdr>
        <w:top w:val="none" w:sz="0" w:space="0" w:color="auto"/>
        <w:left w:val="none" w:sz="0" w:space="0" w:color="auto"/>
        <w:bottom w:val="none" w:sz="0" w:space="0" w:color="auto"/>
        <w:right w:val="none" w:sz="0" w:space="0" w:color="auto"/>
      </w:divBdr>
    </w:div>
    <w:div w:id="1097289468">
      <w:bodyDiv w:val="1"/>
      <w:marLeft w:val="0"/>
      <w:marRight w:val="0"/>
      <w:marTop w:val="0"/>
      <w:marBottom w:val="0"/>
      <w:divBdr>
        <w:top w:val="none" w:sz="0" w:space="0" w:color="auto"/>
        <w:left w:val="none" w:sz="0" w:space="0" w:color="auto"/>
        <w:bottom w:val="none" w:sz="0" w:space="0" w:color="auto"/>
        <w:right w:val="none" w:sz="0" w:space="0" w:color="auto"/>
      </w:divBdr>
    </w:div>
    <w:div w:id="1100833046">
      <w:bodyDiv w:val="1"/>
      <w:marLeft w:val="0"/>
      <w:marRight w:val="0"/>
      <w:marTop w:val="0"/>
      <w:marBottom w:val="0"/>
      <w:divBdr>
        <w:top w:val="none" w:sz="0" w:space="0" w:color="auto"/>
        <w:left w:val="none" w:sz="0" w:space="0" w:color="auto"/>
        <w:bottom w:val="none" w:sz="0" w:space="0" w:color="auto"/>
        <w:right w:val="none" w:sz="0" w:space="0" w:color="auto"/>
      </w:divBdr>
    </w:div>
    <w:div w:id="1108240005">
      <w:bodyDiv w:val="1"/>
      <w:marLeft w:val="0"/>
      <w:marRight w:val="0"/>
      <w:marTop w:val="0"/>
      <w:marBottom w:val="0"/>
      <w:divBdr>
        <w:top w:val="none" w:sz="0" w:space="0" w:color="auto"/>
        <w:left w:val="none" w:sz="0" w:space="0" w:color="auto"/>
        <w:bottom w:val="none" w:sz="0" w:space="0" w:color="auto"/>
        <w:right w:val="none" w:sz="0" w:space="0" w:color="auto"/>
      </w:divBdr>
    </w:div>
    <w:div w:id="1111784259">
      <w:bodyDiv w:val="1"/>
      <w:marLeft w:val="0"/>
      <w:marRight w:val="0"/>
      <w:marTop w:val="0"/>
      <w:marBottom w:val="0"/>
      <w:divBdr>
        <w:top w:val="none" w:sz="0" w:space="0" w:color="auto"/>
        <w:left w:val="none" w:sz="0" w:space="0" w:color="auto"/>
        <w:bottom w:val="none" w:sz="0" w:space="0" w:color="auto"/>
        <w:right w:val="none" w:sz="0" w:space="0" w:color="auto"/>
      </w:divBdr>
    </w:div>
    <w:div w:id="1137993559">
      <w:bodyDiv w:val="1"/>
      <w:marLeft w:val="0"/>
      <w:marRight w:val="0"/>
      <w:marTop w:val="0"/>
      <w:marBottom w:val="0"/>
      <w:divBdr>
        <w:top w:val="none" w:sz="0" w:space="0" w:color="auto"/>
        <w:left w:val="none" w:sz="0" w:space="0" w:color="auto"/>
        <w:bottom w:val="none" w:sz="0" w:space="0" w:color="auto"/>
        <w:right w:val="none" w:sz="0" w:space="0" w:color="auto"/>
      </w:divBdr>
    </w:div>
    <w:div w:id="1235117486">
      <w:bodyDiv w:val="1"/>
      <w:marLeft w:val="0"/>
      <w:marRight w:val="0"/>
      <w:marTop w:val="0"/>
      <w:marBottom w:val="0"/>
      <w:divBdr>
        <w:top w:val="none" w:sz="0" w:space="0" w:color="auto"/>
        <w:left w:val="none" w:sz="0" w:space="0" w:color="auto"/>
        <w:bottom w:val="none" w:sz="0" w:space="0" w:color="auto"/>
        <w:right w:val="none" w:sz="0" w:space="0" w:color="auto"/>
      </w:divBdr>
    </w:div>
    <w:div w:id="1237396411">
      <w:bodyDiv w:val="1"/>
      <w:marLeft w:val="0"/>
      <w:marRight w:val="0"/>
      <w:marTop w:val="0"/>
      <w:marBottom w:val="0"/>
      <w:divBdr>
        <w:top w:val="none" w:sz="0" w:space="0" w:color="auto"/>
        <w:left w:val="none" w:sz="0" w:space="0" w:color="auto"/>
        <w:bottom w:val="none" w:sz="0" w:space="0" w:color="auto"/>
        <w:right w:val="none" w:sz="0" w:space="0" w:color="auto"/>
      </w:divBdr>
    </w:div>
    <w:div w:id="1269973938">
      <w:bodyDiv w:val="1"/>
      <w:marLeft w:val="0"/>
      <w:marRight w:val="0"/>
      <w:marTop w:val="0"/>
      <w:marBottom w:val="0"/>
      <w:divBdr>
        <w:top w:val="none" w:sz="0" w:space="0" w:color="auto"/>
        <w:left w:val="none" w:sz="0" w:space="0" w:color="auto"/>
        <w:bottom w:val="none" w:sz="0" w:space="0" w:color="auto"/>
        <w:right w:val="none" w:sz="0" w:space="0" w:color="auto"/>
      </w:divBdr>
    </w:div>
    <w:div w:id="1291130608">
      <w:bodyDiv w:val="1"/>
      <w:marLeft w:val="0"/>
      <w:marRight w:val="0"/>
      <w:marTop w:val="0"/>
      <w:marBottom w:val="0"/>
      <w:divBdr>
        <w:top w:val="none" w:sz="0" w:space="0" w:color="auto"/>
        <w:left w:val="none" w:sz="0" w:space="0" w:color="auto"/>
        <w:bottom w:val="none" w:sz="0" w:space="0" w:color="auto"/>
        <w:right w:val="none" w:sz="0" w:space="0" w:color="auto"/>
      </w:divBdr>
    </w:div>
    <w:div w:id="1294218371">
      <w:bodyDiv w:val="1"/>
      <w:marLeft w:val="0"/>
      <w:marRight w:val="0"/>
      <w:marTop w:val="0"/>
      <w:marBottom w:val="0"/>
      <w:divBdr>
        <w:top w:val="none" w:sz="0" w:space="0" w:color="auto"/>
        <w:left w:val="none" w:sz="0" w:space="0" w:color="auto"/>
        <w:bottom w:val="none" w:sz="0" w:space="0" w:color="auto"/>
        <w:right w:val="none" w:sz="0" w:space="0" w:color="auto"/>
      </w:divBdr>
    </w:div>
    <w:div w:id="1353074868">
      <w:bodyDiv w:val="1"/>
      <w:marLeft w:val="0"/>
      <w:marRight w:val="0"/>
      <w:marTop w:val="0"/>
      <w:marBottom w:val="0"/>
      <w:divBdr>
        <w:top w:val="none" w:sz="0" w:space="0" w:color="auto"/>
        <w:left w:val="none" w:sz="0" w:space="0" w:color="auto"/>
        <w:bottom w:val="none" w:sz="0" w:space="0" w:color="auto"/>
        <w:right w:val="none" w:sz="0" w:space="0" w:color="auto"/>
      </w:divBdr>
    </w:div>
    <w:div w:id="1418673215">
      <w:bodyDiv w:val="1"/>
      <w:marLeft w:val="0"/>
      <w:marRight w:val="0"/>
      <w:marTop w:val="0"/>
      <w:marBottom w:val="0"/>
      <w:divBdr>
        <w:top w:val="none" w:sz="0" w:space="0" w:color="auto"/>
        <w:left w:val="none" w:sz="0" w:space="0" w:color="auto"/>
        <w:bottom w:val="none" w:sz="0" w:space="0" w:color="auto"/>
        <w:right w:val="none" w:sz="0" w:space="0" w:color="auto"/>
      </w:divBdr>
    </w:div>
    <w:div w:id="1475293999">
      <w:bodyDiv w:val="1"/>
      <w:marLeft w:val="0"/>
      <w:marRight w:val="0"/>
      <w:marTop w:val="0"/>
      <w:marBottom w:val="0"/>
      <w:divBdr>
        <w:top w:val="none" w:sz="0" w:space="0" w:color="auto"/>
        <w:left w:val="none" w:sz="0" w:space="0" w:color="auto"/>
        <w:bottom w:val="none" w:sz="0" w:space="0" w:color="auto"/>
        <w:right w:val="none" w:sz="0" w:space="0" w:color="auto"/>
      </w:divBdr>
    </w:div>
    <w:div w:id="1602059994">
      <w:bodyDiv w:val="1"/>
      <w:marLeft w:val="0"/>
      <w:marRight w:val="0"/>
      <w:marTop w:val="0"/>
      <w:marBottom w:val="0"/>
      <w:divBdr>
        <w:top w:val="none" w:sz="0" w:space="0" w:color="auto"/>
        <w:left w:val="none" w:sz="0" w:space="0" w:color="auto"/>
        <w:bottom w:val="none" w:sz="0" w:space="0" w:color="auto"/>
        <w:right w:val="none" w:sz="0" w:space="0" w:color="auto"/>
      </w:divBdr>
    </w:div>
    <w:div w:id="1609895436">
      <w:bodyDiv w:val="1"/>
      <w:marLeft w:val="0"/>
      <w:marRight w:val="0"/>
      <w:marTop w:val="0"/>
      <w:marBottom w:val="0"/>
      <w:divBdr>
        <w:top w:val="none" w:sz="0" w:space="0" w:color="auto"/>
        <w:left w:val="none" w:sz="0" w:space="0" w:color="auto"/>
        <w:bottom w:val="none" w:sz="0" w:space="0" w:color="auto"/>
        <w:right w:val="none" w:sz="0" w:space="0" w:color="auto"/>
      </w:divBdr>
    </w:div>
    <w:div w:id="1653871445">
      <w:bodyDiv w:val="1"/>
      <w:marLeft w:val="0"/>
      <w:marRight w:val="0"/>
      <w:marTop w:val="0"/>
      <w:marBottom w:val="0"/>
      <w:divBdr>
        <w:top w:val="none" w:sz="0" w:space="0" w:color="auto"/>
        <w:left w:val="none" w:sz="0" w:space="0" w:color="auto"/>
        <w:bottom w:val="none" w:sz="0" w:space="0" w:color="auto"/>
        <w:right w:val="none" w:sz="0" w:space="0" w:color="auto"/>
      </w:divBdr>
    </w:div>
    <w:div w:id="1736125367">
      <w:bodyDiv w:val="1"/>
      <w:marLeft w:val="0"/>
      <w:marRight w:val="0"/>
      <w:marTop w:val="0"/>
      <w:marBottom w:val="0"/>
      <w:divBdr>
        <w:top w:val="none" w:sz="0" w:space="0" w:color="auto"/>
        <w:left w:val="none" w:sz="0" w:space="0" w:color="auto"/>
        <w:bottom w:val="none" w:sz="0" w:space="0" w:color="auto"/>
        <w:right w:val="none" w:sz="0" w:space="0" w:color="auto"/>
      </w:divBdr>
    </w:div>
    <w:div w:id="1743525387">
      <w:bodyDiv w:val="1"/>
      <w:marLeft w:val="0"/>
      <w:marRight w:val="0"/>
      <w:marTop w:val="0"/>
      <w:marBottom w:val="0"/>
      <w:divBdr>
        <w:top w:val="none" w:sz="0" w:space="0" w:color="auto"/>
        <w:left w:val="none" w:sz="0" w:space="0" w:color="auto"/>
        <w:bottom w:val="none" w:sz="0" w:space="0" w:color="auto"/>
        <w:right w:val="none" w:sz="0" w:space="0" w:color="auto"/>
      </w:divBdr>
    </w:div>
    <w:div w:id="1755474548">
      <w:bodyDiv w:val="1"/>
      <w:marLeft w:val="0"/>
      <w:marRight w:val="0"/>
      <w:marTop w:val="0"/>
      <w:marBottom w:val="0"/>
      <w:divBdr>
        <w:top w:val="none" w:sz="0" w:space="0" w:color="auto"/>
        <w:left w:val="none" w:sz="0" w:space="0" w:color="auto"/>
        <w:bottom w:val="none" w:sz="0" w:space="0" w:color="auto"/>
        <w:right w:val="none" w:sz="0" w:space="0" w:color="auto"/>
      </w:divBdr>
    </w:div>
    <w:div w:id="1757969860">
      <w:bodyDiv w:val="1"/>
      <w:marLeft w:val="0"/>
      <w:marRight w:val="0"/>
      <w:marTop w:val="0"/>
      <w:marBottom w:val="0"/>
      <w:divBdr>
        <w:top w:val="none" w:sz="0" w:space="0" w:color="auto"/>
        <w:left w:val="none" w:sz="0" w:space="0" w:color="auto"/>
        <w:bottom w:val="none" w:sz="0" w:space="0" w:color="auto"/>
        <w:right w:val="none" w:sz="0" w:space="0" w:color="auto"/>
      </w:divBdr>
    </w:div>
    <w:div w:id="1778989129">
      <w:bodyDiv w:val="1"/>
      <w:marLeft w:val="0"/>
      <w:marRight w:val="0"/>
      <w:marTop w:val="0"/>
      <w:marBottom w:val="0"/>
      <w:divBdr>
        <w:top w:val="none" w:sz="0" w:space="0" w:color="auto"/>
        <w:left w:val="none" w:sz="0" w:space="0" w:color="auto"/>
        <w:bottom w:val="none" w:sz="0" w:space="0" w:color="auto"/>
        <w:right w:val="none" w:sz="0" w:space="0" w:color="auto"/>
      </w:divBdr>
    </w:div>
    <w:div w:id="1784038222">
      <w:bodyDiv w:val="1"/>
      <w:marLeft w:val="0"/>
      <w:marRight w:val="0"/>
      <w:marTop w:val="0"/>
      <w:marBottom w:val="0"/>
      <w:divBdr>
        <w:top w:val="none" w:sz="0" w:space="0" w:color="auto"/>
        <w:left w:val="none" w:sz="0" w:space="0" w:color="auto"/>
        <w:bottom w:val="none" w:sz="0" w:space="0" w:color="auto"/>
        <w:right w:val="none" w:sz="0" w:space="0" w:color="auto"/>
      </w:divBdr>
    </w:div>
    <w:div w:id="1825244340">
      <w:bodyDiv w:val="1"/>
      <w:marLeft w:val="0"/>
      <w:marRight w:val="0"/>
      <w:marTop w:val="0"/>
      <w:marBottom w:val="0"/>
      <w:divBdr>
        <w:top w:val="none" w:sz="0" w:space="0" w:color="auto"/>
        <w:left w:val="none" w:sz="0" w:space="0" w:color="auto"/>
        <w:bottom w:val="none" w:sz="0" w:space="0" w:color="auto"/>
        <w:right w:val="none" w:sz="0" w:space="0" w:color="auto"/>
      </w:divBdr>
      <w:divsChild>
        <w:div w:id="1165128661">
          <w:marLeft w:val="0"/>
          <w:marRight w:val="0"/>
          <w:marTop w:val="0"/>
          <w:marBottom w:val="0"/>
          <w:divBdr>
            <w:top w:val="none" w:sz="0" w:space="0" w:color="auto"/>
            <w:left w:val="none" w:sz="0" w:space="0" w:color="auto"/>
            <w:bottom w:val="none" w:sz="0" w:space="0" w:color="auto"/>
            <w:right w:val="none" w:sz="0" w:space="0" w:color="auto"/>
          </w:divBdr>
        </w:div>
      </w:divsChild>
    </w:div>
    <w:div w:id="1834174532">
      <w:bodyDiv w:val="1"/>
      <w:marLeft w:val="0"/>
      <w:marRight w:val="0"/>
      <w:marTop w:val="0"/>
      <w:marBottom w:val="0"/>
      <w:divBdr>
        <w:top w:val="none" w:sz="0" w:space="0" w:color="auto"/>
        <w:left w:val="none" w:sz="0" w:space="0" w:color="auto"/>
        <w:bottom w:val="none" w:sz="0" w:space="0" w:color="auto"/>
        <w:right w:val="none" w:sz="0" w:space="0" w:color="auto"/>
      </w:divBdr>
    </w:div>
    <w:div w:id="1839927123">
      <w:bodyDiv w:val="1"/>
      <w:marLeft w:val="0"/>
      <w:marRight w:val="0"/>
      <w:marTop w:val="0"/>
      <w:marBottom w:val="0"/>
      <w:divBdr>
        <w:top w:val="none" w:sz="0" w:space="0" w:color="auto"/>
        <w:left w:val="none" w:sz="0" w:space="0" w:color="auto"/>
        <w:bottom w:val="none" w:sz="0" w:space="0" w:color="auto"/>
        <w:right w:val="none" w:sz="0" w:space="0" w:color="auto"/>
      </w:divBdr>
    </w:div>
    <w:div w:id="1850826191">
      <w:bodyDiv w:val="1"/>
      <w:marLeft w:val="0"/>
      <w:marRight w:val="0"/>
      <w:marTop w:val="0"/>
      <w:marBottom w:val="0"/>
      <w:divBdr>
        <w:top w:val="none" w:sz="0" w:space="0" w:color="auto"/>
        <w:left w:val="none" w:sz="0" w:space="0" w:color="auto"/>
        <w:bottom w:val="none" w:sz="0" w:space="0" w:color="auto"/>
        <w:right w:val="none" w:sz="0" w:space="0" w:color="auto"/>
      </w:divBdr>
    </w:div>
    <w:div w:id="1890648692">
      <w:bodyDiv w:val="1"/>
      <w:marLeft w:val="0"/>
      <w:marRight w:val="0"/>
      <w:marTop w:val="0"/>
      <w:marBottom w:val="0"/>
      <w:divBdr>
        <w:top w:val="none" w:sz="0" w:space="0" w:color="auto"/>
        <w:left w:val="none" w:sz="0" w:space="0" w:color="auto"/>
        <w:bottom w:val="none" w:sz="0" w:space="0" w:color="auto"/>
        <w:right w:val="none" w:sz="0" w:space="0" w:color="auto"/>
      </w:divBdr>
    </w:div>
    <w:div w:id="1935556468">
      <w:bodyDiv w:val="1"/>
      <w:marLeft w:val="0"/>
      <w:marRight w:val="0"/>
      <w:marTop w:val="0"/>
      <w:marBottom w:val="0"/>
      <w:divBdr>
        <w:top w:val="none" w:sz="0" w:space="0" w:color="auto"/>
        <w:left w:val="none" w:sz="0" w:space="0" w:color="auto"/>
        <w:bottom w:val="none" w:sz="0" w:space="0" w:color="auto"/>
        <w:right w:val="none" w:sz="0" w:space="0" w:color="auto"/>
      </w:divBdr>
    </w:div>
    <w:div w:id="1948729807">
      <w:bodyDiv w:val="1"/>
      <w:marLeft w:val="0"/>
      <w:marRight w:val="0"/>
      <w:marTop w:val="0"/>
      <w:marBottom w:val="0"/>
      <w:divBdr>
        <w:top w:val="none" w:sz="0" w:space="0" w:color="auto"/>
        <w:left w:val="none" w:sz="0" w:space="0" w:color="auto"/>
        <w:bottom w:val="none" w:sz="0" w:space="0" w:color="auto"/>
        <w:right w:val="none" w:sz="0" w:space="0" w:color="auto"/>
      </w:divBdr>
    </w:div>
    <w:div w:id="1973172262">
      <w:bodyDiv w:val="1"/>
      <w:marLeft w:val="0"/>
      <w:marRight w:val="0"/>
      <w:marTop w:val="0"/>
      <w:marBottom w:val="0"/>
      <w:divBdr>
        <w:top w:val="none" w:sz="0" w:space="0" w:color="auto"/>
        <w:left w:val="none" w:sz="0" w:space="0" w:color="auto"/>
        <w:bottom w:val="none" w:sz="0" w:space="0" w:color="auto"/>
        <w:right w:val="none" w:sz="0" w:space="0" w:color="auto"/>
      </w:divBdr>
    </w:div>
    <w:div w:id="2001345237">
      <w:bodyDiv w:val="1"/>
      <w:marLeft w:val="0"/>
      <w:marRight w:val="0"/>
      <w:marTop w:val="0"/>
      <w:marBottom w:val="0"/>
      <w:divBdr>
        <w:top w:val="none" w:sz="0" w:space="0" w:color="auto"/>
        <w:left w:val="none" w:sz="0" w:space="0" w:color="auto"/>
        <w:bottom w:val="none" w:sz="0" w:space="0" w:color="auto"/>
        <w:right w:val="none" w:sz="0" w:space="0" w:color="auto"/>
      </w:divBdr>
    </w:div>
    <w:div w:id="2013336769">
      <w:bodyDiv w:val="1"/>
      <w:marLeft w:val="0"/>
      <w:marRight w:val="0"/>
      <w:marTop w:val="0"/>
      <w:marBottom w:val="0"/>
      <w:divBdr>
        <w:top w:val="none" w:sz="0" w:space="0" w:color="auto"/>
        <w:left w:val="none" w:sz="0" w:space="0" w:color="auto"/>
        <w:bottom w:val="none" w:sz="0" w:space="0" w:color="auto"/>
        <w:right w:val="none" w:sz="0" w:space="0" w:color="auto"/>
      </w:divBdr>
    </w:div>
    <w:div w:id="2084713922">
      <w:bodyDiv w:val="1"/>
      <w:marLeft w:val="0"/>
      <w:marRight w:val="0"/>
      <w:marTop w:val="0"/>
      <w:marBottom w:val="0"/>
      <w:divBdr>
        <w:top w:val="none" w:sz="0" w:space="0" w:color="auto"/>
        <w:left w:val="none" w:sz="0" w:space="0" w:color="auto"/>
        <w:bottom w:val="none" w:sz="0" w:space="0" w:color="auto"/>
        <w:right w:val="none" w:sz="0" w:space="0" w:color="auto"/>
      </w:divBdr>
    </w:div>
    <w:div w:id="2113742622">
      <w:bodyDiv w:val="1"/>
      <w:marLeft w:val="0"/>
      <w:marRight w:val="0"/>
      <w:marTop w:val="0"/>
      <w:marBottom w:val="0"/>
      <w:divBdr>
        <w:top w:val="none" w:sz="0" w:space="0" w:color="auto"/>
        <w:left w:val="none" w:sz="0" w:space="0" w:color="auto"/>
        <w:bottom w:val="none" w:sz="0" w:space="0" w:color="auto"/>
        <w:right w:val="none" w:sz="0" w:space="0" w:color="auto"/>
      </w:divBdr>
    </w:div>
    <w:div w:id="2122415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product-information-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phaaustralia.com/page/11/classification-of-pulmonary-hypertension" TargetMode="External"/><Relationship Id="rId4" Type="http://schemas.openxmlformats.org/officeDocument/2006/relationships/settings" Target="settings.xml"/><Relationship Id="rId9" Type="http://schemas.openxmlformats.org/officeDocument/2006/relationships/hyperlink" Target="https://www.heart.org/en/health-topics/heart-failure/what-is-heart-failure/classes-of-heart-failur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C904A-AA13-49BC-9887-3404A7BCD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2516</Words>
  <Characters>14347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2024-06-25T00:28:00Z</dcterms:created>
  <dcterms:modified xsi:type="dcterms:W3CDTF">2024-07-31T01:41:00Z</dcterms:modified>
</cp:coreProperties>
</file>