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7EA89" w14:textId="40A23450" w:rsidR="006837DA" w:rsidRPr="0012641B" w:rsidRDefault="00FB1873" w:rsidP="002B6F8D">
      <w:pPr>
        <w:pStyle w:val="Heading1"/>
        <w:spacing w:before="240"/>
        <w:ind w:firstLine="425"/>
        <w:jc w:val="center"/>
        <w:rPr>
          <w:rFonts w:ascii="Times New Roman" w:hAnsi="Times New Roman" w:cs="Times New Roman"/>
          <w:sz w:val="24"/>
          <w:szCs w:val="24"/>
        </w:rPr>
      </w:pPr>
      <w:r>
        <w:rPr>
          <w:rFonts w:ascii="Times New Roman" w:hAnsi="Times New Roman" w:cs="Times New Roman"/>
          <w:sz w:val="24"/>
          <w:szCs w:val="24"/>
        </w:rPr>
        <w:t xml:space="preserve"> </w:t>
      </w:r>
      <w:r w:rsidR="002B6F8D">
        <w:rPr>
          <w:rFonts w:ascii="Times New Roman" w:hAnsi="Times New Roman" w:cs="Times New Roman"/>
          <w:sz w:val="24"/>
          <w:szCs w:val="24"/>
        </w:rPr>
        <w:t>Insurance</w:t>
      </w:r>
      <w:r w:rsidR="006837DA">
        <w:rPr>
          <w:rFonts w:ascii="Times New Roman" w:hAnsi="Times New Roman" w:cs="Times New Roman"/>
          <w:sz w:val="24"/>
          <w:szCs w:val="24"/>
        </w:rPr>
        <w:t xml:space="preserve"> </w:t>
      </w:r>
      <w:r w:rsidR="002B6F8D">
        <w:rPr>
          <w:rFonts w:ascii="Times New Roman" w:hAnsi="Times New Roman" w:cs="Times New Roman"/>
          <w:sz w:val="24"/>
          <w:szCs w:val="24"/>
        </w:rPr>
        <w:t>(prudential standard)</w:t>
      </w:r>
      <w:r w:rsidR="00A923DC">
        <w:rPr>
          <w:rFonts w:ascii="Times New Roman" w:hAnsi="Times New Roman" w:cs="Times New Roman"/>
          <w:sz w:val="24"/>
          <w:szCs w:val="24"/>
        </w:rPr>
        <w:t xml:space="preserve"> determination </w:t>
      </w:r>
      <w:r w:rsidR="002B6F8D">
        <w:rPr>
          <w:rFonts w:ascii="Times New Roman" w:hAnsi="Times New Roman" w:cs="Times New Roman"/>
          <w:sz w:val="24"/>
          <w:szCs w:val="24"/>
        </w:rPr>
        <w:t>N</w:t>
      </w:r>
      <w:r w:rsidR="00A923DC">
        <w:rPr>
          <w:rFonts w:ascii="Times New Roman" w:hAnsi="Times New Roman" w:cs="Times New Roman"/>
          <w:sz w:val="24"/>
          <w:szCs w:val="24"/>
        </w:rPr>
        <w:t>o.</w:t>
      </w:r>
      <w:r w:rsidR="002B6F8D">
        <w:rPr>
          <w:rFonts w:ascii="Times New Roman" w:hAnsi="Times New Roman" w:cs="Times New Roman"/>
          <w:sz w:val="24"/>
          <w:szCs w:val="24"/>
        </w:rPr>
        <w:t xml:space="preserve"> </w:t>
      </w:r>
      <w:r w:rsidR="007D49B4" w:rsidRPr="0014150B">
        <w:rPr>
          <w:rFonts w:ascii="Times New Roman" w:hAnsi="Times New Roman" w:cs="Times New Roman"/>
          <w:sz w:val="24"/>
          <w:szCs w:val="24"/>
        </w:rPr>
        <w:t>1</w:t>
      </w:r>
      <w:r w:rsidR="00776B5F" w:rsidRPr="0014150B">
        <w:rPr>
          <w:rFonts w:ascii="Times New Roman" w:hAnsi="Times New Roman" w:cs="Times New Roman"/>
          <w:sz w:val="24"/>
          <w:szCs w:val="24"/>
        </w:rPr>
        <w:t xml:space="preserve"> </w:t>
      </w:r>
      <w:r w:rsidR="00A923DC" w:rsidRPr="0014150B">
        <w:rPr>
          <w:rFonts w:ascii="Times New Roman" w:hAnsi="Times New Roman" w:cs="Times New Roman"/>
          <w:sz w:val="24"/>
          <w:szCs w:val="24"/>
        </w:rPr>
        <w:t>of 2</w:t>
      </w:r>
      <w:r w:rsidR="002B6F8D" w:rsidRPr="0014150B">
        <w:rPr>
          <w:rFonts w:ascii="Times New Roman" w:hAnsi="Times New Roman" w:cs="Times New Roman"/>
          <w:sz w:val="24"/>
          <w:szCs w:val="24"/>
        </w:rPr>
        <w:t>0</w:t>
      </w:r>
      <w:r w:rsidR="00E750EB" w:rsidRPr="0014150B">
        <w:rPr>
          <w:rFonts w:ascii="Times New Roman" w:hAnsi="Times New Roman" w:cs="Times New Roman"/>
          <w:sz w:val="24"/>
          <w:szCs w:val="24"/>
        </w:rPr>
        <w:t>2</w:t>
      </w:r>
      <w:r w:rsidR="006E31AC" w:rsidRPr="0014150B">
        <w:rPr>
          <w:rFonts w:ascii="Times New Roman" w:hAnsi="Times New Roman" w:cs="Times New Roman"/>
          <w:sz w:val="24"/>
          <w:szCs w:val="24"/>
        </w:rPr>
        <w:t>4</w:t>
      </w:r>
    </w:p>
    <w:p w14:paraId="0D8D3981" w14:textId="77777777" w:rsidR="00A533A9" w:rsidRPr="006837DA" w:rsidRDefault="0036196C" w:rsidP="006837DA">
      <w:pPr>
        <w:pStyle w:val="Title"/>
      </w:pPr>
      <w:r w:rsidRPr="006837DA">
        <w:t>EXPLANATORY STATEMENT</w:t>
      </w:r>
    </w:p>
    <w:p w14:paraId="7DE3B206" w14:textId="77777777" w:rsidR="0036196C" w:rsidRPr="0012641B" w:rsidRDefault="0036196C" w:rsidP="004F24F5">
      <w:pPr>
        <w:pStyle w:val="Heading1"/>
        <w:spacing w:before="120" w:after="120"/>
        <w:jc w:val="center"/>
        <w:rPr>
          <w:rFonts w:ascii="Times New Roman" w:hAnsi="Times New Roman" w:cs="Times New Roman"/>
          <w:sz w:val="24"/>
          <w:szCs w:val="24"/>
        </w:rPr>
      </w:pPr>
      <w:r w:rsidRPr="0012641B">
        <w:rPr>
          <w:rFonts w:ascii="Times New Roman" w:hAnsi="Times New Roman" w:cs="Times New Roman"/>
          <w:sz w:val="24"/>
          <w:szCs w:val="24"/>
        </w:rPr>
        <w:t>Prepared by the Australian Prudential Regulation Authority (APRA)</w:t>
      </w:r>
    </w:p>
    <w:p w14:paraId="3C5FA00F" w14:textId="59ED773C" w:rsidR="00F657C3" w:rsidRPr="00316255" w:rsidRDefault="002B6F8D" w:rsidP="00316255">
      <w:pPr>
        <w:pStyle w:val="Heading1"/>
        <w:spacing w:before="240" w:after="120"/>
        <w:jc w:val="center"/>
        <w:rPr>
          <w:rFonts w:ascii="Times New Roman" w:hAnsi="Times New Roman" w:cs="Times New Roman"/>
          <w:b w:val="0"/>
          <w:i/>
          <w:sz w:val="24"/>
          <w:szCs w:val="24"/>
        </w:rPr>
      </w:pPr>
      <w:r>
        <w:rPr>
          <w:rFonts w:ascii="Times New Roman" w:hAnsi="Times New Roman" w:cs="Times New Roman"/>
          <w:b w:val="0"/>
          <w:i/>
          <w:sz w:val="24"/>
          <w:szCs w:val="24"/>
        </w:rPr>
        <w:t xml:space="preserve">Insurance </w:t>
      </w:r>
      <w:r w:rsidR="004F24F5" w:rsidRPr="004F24F5">
        <w:rPr>
          <w:rFonts w:ascii="Times New Roman" w:hAnsi="Times New Roman" w:cs="Times New Roman"/>
          <w:b w:val="0"/>
          <w:i/>
          <w:sz w:val="24"/>
          <w:szCs w:val="24"/>
        </w:rPr>
        <w:t xml:space="preserve">Act </w:t>
      </w:r>
      <w:r w:rsidR="00F657C3">
        <w:rPr>
          <w:rFonts w:ascii="Times New Roman" w:hAnsi="Times New Roman" w:cs="Times New Roman"/>
          <w:b w:val="0"/>
          <w:i/>
          <w:sz w:val="24"/>
          <w:szCs w:val="24"/>
        </w:rPr>
        <w:t>1973</w:t>
      </w:r>
      <w:r w:rsidR="006837DA" w:rsidRPr="00931210">
        <w:rPr>
          <w:rFonts w:ascii="Times New Roman" w:hAnsi="Times New Roman" w:cs="Times New Roman"/>
          <w:b w:val="0"/>
          <w:sz w:val="24"/>
          <w:szCs w:val="24"/>
        </w:rPr>
        <w:t xml:space="preserve">, </w:t>
      </w:r>
      <w:r w:rsidR="00021102" w:rsidRPr="00931210">
        <w:rPr>
          <w:rFonts w:ascii="Times New Roman" w:hAnsi="Times New Roman" w:cs="Times New Roman"/>
          <w:b w:val="0"/>
          <w:sz w:val="24"/>
          <w:szCs w:val="24"/>
        </w:rPr>
        <w:t>s</w:t>
      </w:r>
      <w:r w:rsidR="006837DA" w:rsidRPr="00931210">
        <w:rPr>
          <w:rFonts w:ascii="Times New Roman" w:hAnsi="Times New Roman" w:cs="Times New Roman"/>
          <w:b w:val="0"/>
          <w:sz w:val="24"/>
          <w:szCs w:val="24"/>
        </w:rPr>
        <w:t xml:space="preserve">ection </w:t>
      </w:r>
      <w:r w:rsidR="00F657C3" w:rsidRPr="00931210">
        <w:rPr>
          <w:rFonts w:ascii="Times New Roman" w:hAnsi="Times New Roman" w:cs="Times New Roman"/>
          <w:b w:val="0"/>
          <w:sz w:val="24"/>
          <w:szCs w:val="24"/>
        </w:rPr>
        <w:t>32</w:t>
      </w:r>
    </w:p>
    <w:p w14:paraId="077A65B5" w14:textId="7AF344FE" w:rsidR="006837DA" w:rsidRDefault="006837DA" w:rsidP="006837DA">
      <w:pPr>
        <w:shd w:val="clear" w:color="auto" w:fill="FFFFFF" w:themeFill="background1"/>
        <w:spacing w:before="100" w:beforeAutospacing="1" w:after="100" w:afterAutospacing="1"/>
      </w:pPr>
      <w:r>
        <w:t>U</w:t>
      </w:r>
      <w:r w:rsidRPr="00D55383">
        <w:t>nder</w:t>
      </w:r>
      <w:bookmarkStart w:id="0" w:name="_Hlk128141819"/>
      <w:bookmarkStart w:id="1" w:name="_Hlk128145224"/>
      <w:r w:rsidRPr="00D55383">
        <w:t xml:space="preserve"> </w:t>
      </w:r>
      <w:r w:rsidRPr="00AD2B38">
        <w:rPr>
          <w:shd w:val="clear" w:color="auto" w:fill="FFFFFF"/>
        </w:rPr>
        <w:t>the</w:t>
      </w:r>
      <w:r>
        <w:rPr>
          <w:shd w:val="clear" w:color="auto" w:fill="FFFFFF"/>
        </w:rPr>
        <w:t xml:space="preserve"> </w:t>
      </w:r>
      <w:r w:rsidR="00021102" w:rsidRPr="00021102">
        <w:rPr>
          <w:i/>
        </w:rPr>
        <w:t>Insurance</w:t>
      </w:r>
      <w:r w:rsidRPr="00AD2B38">
        <w:rPr>
          <w:i/>
          <w:iCs/>
          <w:shd w:val="clear" w:color="auto" w:fill="FFFFFF"/>
        </w:rPr>
        <w:t xml:space="preserve"> Act </w:t>
      </w:r>
      <w:r w:rsidR="00E97FD0">
        <w:rPr>
          <w:i/>
          <w:iCs/>
          <w:shd w:val="clear" w:color="auto" w:fill="FFFFFF"/>
        </w:rPr>
        <w:t>1973</w:t>
      </w:r>
      <w:r>
        <w:rPr>
          <w:i/>
          <w:iCs/>
          <w:shd w:val="clear" w:color="auto" w:fill="FFFFFF"/>
        </w:rPr>
        <w:t xml:space="preserve"> </w:t>
      </w:r>
      <w:r w:rsidRPr="00AD2B38">
        <w:rPr>
          <w:shd w:val="clear" w:color="auto" w:fill="FFFFFF"/>
        </w:rPr>
        <w:t>(</w:t>
      </w:r>
      <w:r>
        <w:rPr>
          <w:shd w:val="clear" w:color="auto" w:fill="FFFFFF"/>
        </w:rPr>
        <w:t xml:space="preserve">the </w:t>
      </w:r>
      <w:r w:rsidRPr="00AD2B38">
        <w:rPr>
          <w:shd w:val="clear" w:color="auto" w:fill="FFFFFF"/>
        </w:rPr>
        <w:t>Act),</w:t>
      </w:r>
      <w:r>
        <w:rPr>
          <w:shd w:val="clear" w:color="auto" w:fill="FFFFFF"/>
        </w:rPr>
        <w:t xml:space="preserve"> APRA has power to determine standards in relation to prudential matters</w:t>
      </w:r>
      <w:r w:rsidR="001816A2">
        <w:rPr>
          <w:shd w:val="clear" w:color="auto" w:fill="FFFFFF"/>
        </w:rPr>
        <w:t xml:space="preserve"> </w:t>
      </w:r>
      <w:r w:rsidR="00542F00">
        <w:rPr>
          <w:shd w:val="clear" w:color="auto" w:fill="FFFFFF"/>
        </w:rPr>
        <w:t>(prudential standards)</w:t>
      </w:r>
      <w:r w:rsidR="007C0A90">
        <w:rPr>
          <w:shd w:val="clear" w:color="auto" w:fill="FFFFFF"/>
        </w:rPr>
        <w:t xml:space="preserve"> </w:t>
      </w:r>
      <w:r w:rsidR="001816A2">
        <w:rPr>
          <w:shd w:val="clear" w:color="auto" w:fill="FFFFFF"/>
        </w:rPr>
        <w:t>t</w:t>
      </w:r>
      <w:r>
        <w:rPr>
          <w:shd w:val="clear" w:color="auto" w:fill="FFFFFF"/>
        </w:rPr>
        <w:t xml:space="preserve">o be complied with by </w:t>
      </w:r>
      <w:r w:rsidR="00021102">
        <w:rPr>
          <w:shd w:val="clear" w:color="auto" w:fill="FFFFFF"/>
        </w:rPr>
        <w:t xml:space="preserve">all </w:t>
      </w:r>
      <w:r w:rsidR="0088684B">
        <w:rPr>
          <w:shd w:val="clear" w:color="auto" w:fill="FFFFFF"/>
        </w:rPr>
        <w:t xml:space="preserve">general insurers </w:t>
      </w:r>
      <w:r w:rsidR="00F555F7">
        <w:rPr>
          <w:shd w:val="clear" w:color="auto" w:fill="FFFFFF"/>
        </w:rPr>
        <w:t>and authorised non-operating holding companies (authorised NOHC</w:t>
      </w:r>
      <w:r w:rsidR="005A5F4D">
        <w:rPr>
          <w:shd w:val="clear" w:color="auto" w:fill="FFFFFF"/>
        </w:rPr>
        <w:t>s)</w:t>
      </w:r>
      <w:r>
        <w:rPr>
          <w:shd w:val="clear" w:color="auto" w:fill="FFFFFF"/>
        </w:rPr>
        <w:t>.</w:t>
      </w:r>
      <w:bookmarkEnd w:id="0"/>
      <w:bookmarkEnd w:id="1"/>
      <w:r w:rsidRPr="00FC071B">
        <w:t xml:space="preserve"> </w:t>
      </w:r>
      <w:r>
        <w:t xml:space="preserve">Under subsection </w:t>
      </w:r>
      <w:r w:rsidR="00C31472">
        <w:t>32</w:t>
      </w:r>
      <w:r w:rsidR="00315CE5">
        <w:t>(</w:t>
      </w:r>
      <w:r w:rsidR="00DC0C5E">
        <w:t>4</w:t>
      </w:r>
      <w:r>
        <w:t xml:space="preserve">) of the Act, APRA may vary or revoke a prudential standard. </w:t>
      </w:r>
    </w:p>
    <w:p w14:paraId="7D9C90F7" w14:textId="48BAFA4B" w:rsidR="006837DA" w:rsidRDefault="006837DA" w:rsidP="006837DA">
      <w:pPr>
        <w:shd w:val="clear" w:color="auto" w:fill="FFFFFF" w:themeFill="background1"/>
        <w:spacing w:before="100" w:beforeAutospacing="1" w:after="100" w:afterAutospacing="1"/>
      </w:pPr>
      <w:r>
        <w:t xml:space="preserve">On </w:t>
      </w:r>
      <w:r w:rsidR="53646F3C">
        <w:t>9 July 2024</w:t>
      </w:r>
      <w:r>
        <w:t>, APRA made</w:t>
      </w:r>
      <w:r w:rsidR="00822698">
        <w:t xml:space="preserve"> Insurance</w:t>
      </w:r>
      <w:r>
        <w:t xml:space="preserve"> (prudential standard) determination No. </w:t>
      </w:r>
      <w:r w:rsidR="007D49B4">
        <w:t>1</w:t>
      </w:r>
      <w:r>
        <w:t xml:space="preserve"> of 20</w:t>
      </w:r>
      <w:r w:rsidR="00E750EB">
        <w:t>2</w:t>
      </w:r>
      <w:r w:rsidR="006E31AC">
        <w:t>4</w:t>
      </w:r>
      <w:r>
        <w:t xml:space="preserve"> (the instrument), which revokes </w:t>
      </w:r>
      <w:r>
        <w:rPr>
          <w:i/>
        </w:rPr>
        <w:t xml:space="preserve">Prudential Standard </w:t>
      </w:r>
      <w:r w:rsidR="000D265E">
        <w:rPr>
          <w:i/>
        </w:rPr>
        <w:t>GPS</w:t>
      </w:r>
      <w:r>
        <w:rPr>
          <w:i/>
        </w:rPr>
        <w:t xml:space="preserve"> </w:t>
      </w:r>
      <w:r w:rsidR="000F2208">
        <w:rPr>
          <w:i/>
        </w:rPr>
        <w:t>310</w:t>
      </w:r>
      <w:r>
        <w:rPr>
          <w:i/>
        </w:rPr>
        <w:t xml:space="preserve"> </w:t>
      </w:r>
      <w:r w:rsidR="000F2208">
        <w:rPr>
          <w:i/>
        </w:rPr>
        <w:t>Audit and Related Matters</w:t>
      </w:r>
      <w:r>
        <w:rPr>
          <w:i/>
        </w:rPr>
        <w:t xml:space="preserve"> </w:t>
      </w:r>
      <w:r>
        <w:t xml:space="preserve">made under </w:t>
      </w:r>
      <w:r w:rsidR="000D265E" w:rsidRPr="001CE24A">
        <w:rPr>
          <w:i/>
        </w:rPr>
        <w:t>Insurance</w:t>
      </w:r>
      <w:r w:rsidRPr="001CE24A">
        <w:rPr>
          <w:i/>
        </w:rPr>
        <w:t xml:space="preserve"> (prudential standard) determination No. </w:t>
      </w:r>
      <w:r w:rsidR="00D91179" w:rsidRPr="001CE24A">
        <w:rPr>
          <w:i/>
        </w:rPr>
        <w:t>9</w:t>
      </w:r>
      <w:r w:rsidRPr="001CE24A">
        <w:rPr>
          <w:i/>
        </w:rPr>
        <w:t xml:space="preserve"> of 20</w:t>
      </w:r>
      <w:r w:rsidR="00D91179" w:rsidRPr="001CE24A">
        <w:rPr>
          <w:i/>
        </w:rPr>
        <w:t>19</w:t>
      </w:r>
      <w:r>
        <w:t xml:space="preserve"> and determines a new </w:t>
      </w:r>
      <w:r>
        <w:rPr>
          <w:i/>
        </w:rPr>
        <w:t xml:space="preserve">Prudential Standard </w:t>
      </w:r>
      <w:r w:rsidR="00AD46F4">
        <w:rPr>
          <w:i/>
        </w:rPr>
        <w:t>GPS</w:t>
      </w:r>
      <w:r>
        <w:rPr>
          <w:i/>
        </w:rPr>
        <w:t xml:space="preserve"> </w:t>
      </w:r>
      <w:r w:rsidR="00AD46F4">
        <w:rPr>
          <w:i/>
        </w:rPr>
        <w:t>310</w:t>
      </w:r>
      <w:r>
        <w:rPr>
          <w:i/>
        </w:rPr>
        <w:t xml:space="preserve"> </w:t>
      </w:r>
      <w:r w:rsidR="00AD46F4">
        <w:rPr>
          <w:i/>
        </w:rPr>
        <w:t xml:space="preserve">Audit and Related Matters </w:t>
      </w:r>
      <w:r>
        <w:t>(</w:t>
      </w:r>
      <w:r w:rsidR="00AD46F4">
        <w:t>GPS</w:t>
      </w:r>
      <w:r>
        <w:t xml:space="preserve"> </w:t>
      </w:r>
      <w:r w:rsidR="00AD46F4">
        <w:t>310</w:t>
      </w:r>
      <w:r>
        <w:t xml:space="preserve">). </w:t>
      </w:r>
    </w:p>
    <w:p w14:paraId="02D82B4D" w14:textId="16EFDFEC" w:rsidR="00793990" w:rsidRPr="00691C97" w:rsidRDefault="000F119A" w:rsidP="0012641B">
      <w:r w:rsidRPr="00691C97">
        <w:t>The instrument commences o</w:t>
      </w:r>
      <w:r w:rsidR="0035494D">
        <w:t xml:space="preserve">n </w:t>
      </w:r>
      <w:r w:rsidR="00B76788">
        <w:t xml:space="preserve">1 </w:t>
      </w:r>
      <w:r w:rsidR="00A07169">
        <w:t>October</w:t>
      </w:r>
      <w:r w:rsidR="00D1614B">
        <w:t xml:space="preserve"> </w:t>
      </w:r>
      <w:r w:rsidR="00B76788">
        <w:t>20</w:t>
      </w:r>
      <w:r w:rsidR="00A07169">
        <w:t>24</w:t>
      </w:r>
      <w:r w:rsidR="00B76788">
        <w:t>.</w:t>
      </w:r>
    </w:p>
    <w:p w14:paraId="3A01E477" w14:textId="77777777" w:rsidR="000F119A" w:rsidRPr="00691C97" w:rsidRDefault="000F119A" w:rsidP="0012641B">
      <w:pPr>
        <w:pStyle w:val="Heading2"/>
      </w:pPr>
      <w:r w:rsidRPr="003559B1">
        <w:t>Background</w:t>
      </w:r>
      <w:r w:rsidRPr="00691C97">
        <w:t xml:space="preserve"> </w:t>
      </w:r>
    </w:p>
    <w:p w14:paraId="7946DA93" w14:textId="725F87EC" w:rsidR="000E46A6" w:rsidRDefault="000E46A6" w:rsidP="000E46A6">
      <w:pPr>
        <w:pStyle w:val="paragraph"/>
        <w:spacing w:before="0" w:beforeAutospacing="0" w:after="0" w:afterAutospacing="0"/>
        <w:textAlignment w:val="baseline"/>
        <w:rPr>
          <w:rFonts w:ascii="Segoe UI" w:hAnsi="Segoe UI" w:cs="Segoe UI"/>
          <w:color w:val="000000"/>
          <w:sz w:val="18"/>
          <w:szCs w:val="18"/>
          <w:lang w:val="en-US"/>
        </w:rPr>
      </w:pPr>
      <w:r>
        <w:rPr>
          <w:rStyle w:val="normaltextrun"/>
          <w:color w:val="000000"/>
        </w:rPr>
        <w:t>APRA’s role is to protect the financial interests of Australians</w:t>
      </w:r>
      <w:r w:rsidR="003A622A">
        <w:rPr>
          <w:rStyle w:val="normaltextrun"/>
          <w:color w:val="000000"/>
        </w:rPr>
        <w:t xml:space="preserve"> </w:t>
      </w:r>
      <w:r w:rsidR="003A622A" w:rsidRPr="003A622A">
        <w:rPr>
          <w:rStyle w:val="normaltextrun"/>
          <w:color w:val="000000"/>
        </w:rPr>
        <w:t xml:space="preserve">by </w:t>
      </w:r>
      <w:r w:rsidR="003A622A" w:rsidRPr="0083297A">
        <w:rPr>
          <w:color w:val="000000"/>
        </w:rPr>
        <w:t>maintaining the safety and soundness of financial institutions</w:t>
      </w:r>
      <w:r w:rsidRPr="003A622A">
        <w:rPr>
          <w:rStyle w:val="normaltextrun"/>
          <w:color w:val="000000"/>
        </w:rPr>
        <w:t>.</w:t>
      </w:r>
      <w:r>
        <w:rPr>
          <w:rStyle w:val="normaltextrun"/>
          <w:color w:val="000000"/>
        </w:rPr>
        <w:t xml:space="preserve"> To do this, APRA sets legal requirements and guidance for the entities it regulates (the prudential framework). </w:t>
      </w:r>
      <w:r>
        <w:rPr>
          <w:rStyle w:val="eop"/>
          <w:color w:val="000000"/>
          <w:lang w:val="en-US"/>
        </w:rPr>
        <w:t> </w:t>
      </w:r>
    </w:p>
    <w:p w14:paraId="2E3C3C01" w14:textId="77777777" w:rsidR="000E46A6" w:rsidRDefault="000E46A6" w:rsidP="000E46A6">
      <w:pPr>
        <w:pStyle w:val="paragraph"/>
        <w:spacing w:before="0" w:beforeAutospacing="0" w:after="0" w:afterAutospacing="0"/>
        <w:textAlignment w:val="baseline"/>
        <w:rPr>
          <w:rFonts w:ascii="Segoe UI" w:hAnsi="Segoe UI" w:cs="Segoe UI"/>
          <w:color w:val="000000"/>
          <w:sz w:val="18"/>
          <w:szCs w:val="18"/>
          <w:lang w:val="en-US"/>
        </w:rPr>
      </w:pPr>
      <w:r>
        <w:rPr>
          <w:rStyle w:val="eop"/>
          <w:color w:val="000000"/>
          <w:lang w:val="en-US"/>
        </w:rPr>
        <w:t> </w:t>
      </w:r>
    </w:p>
    <w:p w14:paraId="57D6BCEA" w14:textId="0CA5D443" w:rsidR="000E46A6" w:rsidRDefault="000E46A6" w:rsidP="000E46A6">
      <w:pPr>
        <w:pStyle w:val="paragraph"/>
        <w:spacing w:before="0" w:beforeAutospacing="0" w:after="0" w:afterAutospacing="0"/>
        <w:textAlignment w:val="baseline"/>
        <w:rPr>
          <w:rStyle w:val="eop"/>
          <w:color w:val="000000"/>
          <w:lang w:val="en-US"/>
        </w:rPr>
      </w:pPr>
      <w:r>
        <w:rPr>
          <w:rStyle w:val="normaltextrun"/>
          <w:color w:val="000000"/>
        </w:rPr>
        <w:t>The prudential framework comprises:</w:t>
      </w:r>
      <w:r>
        <w:rPr>
          <w:rStyle w:val="eop"/>
          <w:color w:val="000000"/>
          <w:lang w:val="en-US"/>
        </w:rPr>
        <w:t> </w:t>
      </w:r>
    </w:p>
    <w:p w14:paraId="2AE47CED" w14:textId="77777777" w:rsidR="000E46A6" w:rsidRDefault="000E46A6" w:rsidP="000E46A6">
      <w:pPr>
        <w:pStyle w:val="paragraph"/>
        <w:spacing w:before="0" w:beforeAutospacing="0" w:after="0" w:afterAutospacing="0"/>
        <w:textAlignment w:val="baseline"/>
        <w:rPr>
          <w:rStyle w:val="eop"/>
          <w:color w:val="000000"/>
          <w:lang w:val="en-US"/>
        </w:rPr>
      </w:pPr>
    </w:p>
    <w:p w14:paraId="5E2B242A" w14:textId="77777777" w:rsidR="000E46A6" w:rsidRDefault="000E46A6" w:rsidP="000E46A6">
      <w:pPr>
        <w:pStyle w:val="paragraph"/>
        <w:numPr>
          <w:ilvl w:val="0"/>
          <w:numId w:val="36"/>
        </w:numPr>
        <w:spacing w:before="0" w:beforeAutospacing="0" w:after="0" w:afterAutospacing="0"/>
        <w:textAlignment w:val="baseline"/>
        <w:rPr>
          <w:rFonts w:ascii="Segoe UI" w:hAnsi="Segoe UI" w:cs="Segoe UI"/>
          <w:color w:val="000000"/>
          <w:sz w:val="18"/>
          <w:szCs w:val="18"/>
          <w:lang w:val="en-US"/>
        </w:rPr>
      </w:pPr>
      <w:r w:rsidRPr="000E46A6">
        <w:rPr>
          <w:rStyle w:val="normaltextrun"/>
          <w:color w:val="000000"/>
        </w:rPr>
        <w:t xml:space="preserve">legally binding prudential </w:t>
      </w:r>
      <w:proofErr w:type="gramStart"/>
      <w:r w:rsidRPr="000E46A6">
        <w:rPr>
          <w:rStyle w:val="normaltextrun"/>
          <w:color w:val="000000"/>
        </w:rPr>
        <w:t>standards;</w:t>
      </w:r>
      <w:proofErr w:type="gramEnd"/>
      <w:r w:rsidRPr="000E46A6">
        <w:rPr>
          <w:rStyle w:val="eop"/>
          <w:color w:val="000000"/>
          <w:lang w:val="en-US"/>
        </w:rPr>
        <w:t> </w:t>
      </w:r>
    </w:p>
    <w:p w14:paraId="5609F8C3" w14:textId="77777777" w:rsidR="000E46A6" w:rsidRDefault="000E46A6" w:rsidP="000E46A6">
      <w:pPr>
        <w:pStyle w:val="paragraph"/>
        <w:numPr>
          <w:ilvl w:val="0"/>
          <w:numId w:val="36"/>
        </w:numPr>
        <w:spacing w:before="0" w:beforeAutospacing="0" w:after="0" w:afterAutospacing="0"/>
        <w:textAlignment w:val="baseline"/>
        <w:rPr>
          <w:rFonts w:ascii="Segoe UI" w:hAnsi="Segoe UI" w:cs="Segoe UI"/>
          <w:color w:val="000000"/>
          <w:sz w:val="18"/>
          <w:szCs w:val="18"/>
          <w:lang w:val="en-US"/>
        </w:rPr>
      </w:pPr>
      <w:r w:rsidRPr="000E46A6">
        <w:rPr>
          <w:rStyle w:val="normaltextrun"/>
          <w:color w:val="000000"/>
        </w:rPr>
        <w:t xml:space="preserve">legally binding reporting standards; and </w:t>
      </w:r>
      <w:r w:rsidRPr="000E46A6">
        <w:rPr>
          <w:rStyle w:val="eop"/>
          <w:color w:val="000000"/>
          <w:lang w:val="en-US"/>
        </w:rPr>
        <w:t> </w:t>
      </w:r>
    </w:p>
    <w:p w14:paraId="7B2E51DF" w14:textId="35D5617E" w:rsidR="000E46A6" w:rsidRPr="000E46A6" w:rsidRDefault="000E46A6" w:rsidP="000E46A6">
      <w:pPr>
        <w:pStyle w:val="paragraph"/>
        <w:numPr>
          <w:ilvl w:val="0"/>
          <w:numId w:val="36"/>
        </w:numPr>
        <w:spacing w:before="0" w:beforeAutospacing="0" w:after="0" w:afterAutospacing="0"/>
        <w:textAlignment w:val="baseline"/>
        <w:rPr>
          <w:rFonts w:ascii="Segoe UI" w:hAnsi="Segoe UI" w:cs="Segoe UI"/>
          <w:color w:val="000000"/>
          <w:sz w:val="18"/>
          <w:szCs w:val="18"/>
          <w:lang w:val="en-US"/>
        </w:rPr>
      </w:pPr>
      <w:r w:rsidRPr="000E46A6">
        <w:rPr>
          <w:rStyle w:val="normaltextrun"/>
          <w:color w:val="000000"/>
        </w:rPr>
        <w:t>supporting guidance (such as prudential practice guides).</w:t>
      </w:r>
      <w:r w:rsidRPr="000E46A6">
        <w:rPr>
          <w:rStyle w:val="eop"/>
          <w:color w:val="000000"/>
          <w:lang w:val="en-US"/>
        </w:rPr>
        <w:t> </w:t>
      </w:r>
    </w:p>
    <w:p w14:paraId="3B07E04F" w14:textId="77777777" w:rsidR="000E46A6" w:rsidRDefault="000E46A6" w:rsidP="000E46A6">
      <w:pPr>
        <w:pStyle w:val="paragraph"/>
        <w:spacing w:before="0" w:beforeAutospacing="0" w:after="0" w:afterAutospacing="0"/>
        <w:textAlignment w:val="baseline"/>
        <w:rPr>
          <w:rFonts w:ascii="Segoe UI" w:hAnsi="Segoe UI" w:cs="Segoe UI"/>
          <w:color w:val="000000"/>
          <w:sz w:val="18"/>
          <w:szCs w:val="18"/>
          <w:lang w:val="en-US"/>
        </w:rPr>
      </w:pPr>
      <w:r>
        <w:rPr>
          <w:rStyle w:val="eop"/>
          <w:color w:val="000000"/>
          <w:lang w:val="en-US"/>
        </w:rPr>
        <w:t> </w:t>
      </w:r>
    </w:p>
    <w:p w14:paraId="126C2E99" w14:textId="20C62EBE" w:rsidR="006049E1" w:rsidRDefault="000E46A6" w:rsidP="006049E1">
      <w:pPr>
        <w:pStyle w:val="Templateguidance"/>
        <w:rPr>
          <w:i w:val="0"/>
          <w:color w:val="auto"/>
        </w:rPr>
      </w:pPr>
      <w:r w:rsidRPr="006049E1">
        <w:rPr>
          <w:rStyle w:val="normaltextrun"/>
          <w:i w:val="0"/>
          <w:color w:val="000000"/>
        </w:rPr>
        <w:t>GPS 310 is a legally binding prudential standard. It</w:t>
      </w:r>
      <w:r>
        <w:rPr>
          <w:rStyle w:val="normaltextrun"/>
          <w:color w:val="000000"/>
        </w:rPr>
        <w:t xml:space="preserve"> </w:t>
      </w:r>
      <w:r w:rsidR="00CA3F7E">
        <w:rPr>
          <w:rStyle w:val="normaltextrun"/>
          <w:i w:val="0"/>
          <w:color w:val="000000"/>
        </w:rPr>
        <w:t xml:space="preserve">outlines the responsibilities of an </w:t>
      </w:r>
      <w:r w:rsidR="006049E1">
        <w:rPr>
          <w:i w:val="0"/>
          <w:color w:val="auto"/>
        </w:rPr>
        <w:t>Appointed Auditor (A</w:t>
      </w:r>
      <w:r w:rsidR="0083297A">
        <w:rPr>
          <w:i w:val="0"/>
          <w:color w:val="auto"/>
        </w:rPr>
        <w:t xml:space="preserve">uditor) </w:t>
      </w:r>
      <w:r w:rsidR="006049E1">
        <w:rPr>
          <w:i w:val="0"/>
          <w:color w:val="auto"/>
        </w:rPr>
        <w:t xml:space="preserve">and </w:t>
      </w:r>
      <w:r w:rsidR="00CA3F7E">
        <w:rPr>
          <w:i w:val="0"/>
          <w:color w:val="auto"/>
        </w:rPr>
        <w:t>the obligations of insurers t</w:t>
      </w:r>
      <w:r w:rsidR="00EB7FB6">
        <w:rPr>
          <w:i w:val="0"/>
          <w:color w:val="auto"/>
        </w:rPr>
        <w:t xml:space="preserve">o enable </w:t>
      </w:r>
      <w:r w:rsidR="0078447E">
        <w:rPr>
          <w:i w:val="0"/>
          <w:color w:val="auto"/>
        </w:rPr>
        <w:t>the</w:t>
      </w:r>
      <w:r w:rsidR="00EB7FB6">
        <w:rPr>
          <w:i w:val="0"/>
          <w:color w:val="auto"/>
        </w:rPr>
        <w:t xml:space="preserve"> A</w:t>
      </w:r>
      <w:r w:rsidR="0083297A">
        <w:rPr>
          <w:i w:val="0"/>
          <w:color w:val="auto"/>
        </w:rPr>
        <w:t>uditor</w:t>
      </w:r>
      <w:r w:rsidR="00EB7FB6">
        <w:rPr>
          <w:i w:val="0"/>
          <w:color w:val="auto"/>
        </w:rPr>
        <w:t xml:space="preserve"> to fulfil their functions</w:t>
      </w:r>
      <w:r w:rsidR="006049E1">
        <w:rPr>
          <w:i w:val="0"/>
          <w:color w:val="auto"/>
        </w:rPr>
        <w:t xml:space="preserve">. </w:t>
      </w:r>
    </w:p>
    <w:p w14:paraId="293EB4AC" w14:textId="286F2CB9" w:rsidR="00CF714D" w:rsidRDefault="00351965" w:rsidP="0F1DAC6E">
      <w:pPr>
        <w:pStyle w:val="paragraph"/>
        <w:shd w:val="clear" w:color="auto" w:fill="FFFFFF" w:themeFill="background1"/>
        <w:spacing w:before="0" w:beforeAutospacing="0" w:after="0" w:afterAutospacing="0"/>
        <w:textAlignment w:val="baseline"/>
      </w:pPr>
      <w:r>
        <w:t xml:space="preserve">In response to queries from </w:t>
      </w:r>
      <w:r w:rsidR="005828F4">
        <w:t>insurers</w:t>
      </w:r>
      <w:r>
        <w:t xml:space="preserve">, </w:t>
      </w:r>
      <w:r w:rsidR="00F53AE9">
        <w:t xml:space="preserve">APRA published </w:t>
      </w:r>
      <w:r w:rsidR="00361FDE">
        <w:t>Frequently Asked Questions</w:t>
      </w:r>
      <w:r w:rsidR="002F3A4B">
        <w:t xml:space="preserve"> (Q 23.9)</w:t>
      </w:r>
      <w:r w:rsidR="008A6F22">
        <w:rPr>
          <w:rFonts w:ascii="Arial" w:hAnsi="Arial" w:cs="Arial"/>
          <w:sz w:val="22"/>
          <w:szCs w:val="22"/>
        </w:rPr>
        <w:t xml:space="preserve"> </w:t>
      </w:r>
      <w:r w:rsidR="008A6F22" w:rsidRPr="00417BF2">
        <w:t>on 7 February 2024</w:t>
      </w:r>
      <w:r w:rsidR="00C15ABB">
        <w:t xml:space="preserve"> </w:t>
      </w:r>
      <w:r w:rsidR="00D66F3A">
        <w:t xml:space="preserve">which includes a table </w:t>
      </w:r>
      <w:r w:rsidR="005828F4">
        <w:t xml:space="preserve">clarifying </w:t>
      </w:r>
      <w:r w:rsidR="003E2EA7">
        <w:t>the level of assurance required from the A</w:t>
      </w:r>
      <w:r w:rsidR="0083297A">
        <w:t>uditor</w:t>
      </w:r>
      <w:r w:rsidR="003E2EA7">
        <w:t xml:space="preserve"> </w:t>
      </w:r>
      <w:r w:rsidR="009765DC">
        <w:t xml:space="preserve">for each </w:t>
      </w:r>
      <w:r w:rsidR="003E2EA7">
        <w:t xml:space="preserve">General Insurance reporting standard. </w:t>
      </w:r>
      <w:r w:rsidR="001B1C3C">
        <w:t xml:space="preserve">This </w:t>
      </w:r>
      <w:r w:rsidR="00005930">
        <w:t xml:space="preserve">table </w:t>
      </w:r>
      <w:r w:rsidR="001B58EA">
        <w:t>has been incorporated</w:t>
      </w:r>
      <w:r w:rsidR="00944C8F">
        <w:t xml:space="preserve"> </w:t>
      </w:r>
      <w:r w:rsidR="002A3019">
        <w:t xml:space="preserve">into </w:t>
      </w:r>
      <w:r w:rsidR="00944C8F">
        <w:t xml:space="preserve">the </w:t>
      </w:r>
      <w:r w:rsidR="001B58EA">
        <w:t>new version of</w:t>
      </w:r>
      <w:r w:rsidR="00944C8F">
        <w:t xml:space="preserve"> the prudential </w:t>
      </w:r>
      <w:r w:rsidR="003A0648">
        <w:t xml:space="preserve">standard </w:t>
      </w:r>
      <w:r w:rsidR="008A0B96">
        <w:t xml:space="preserve">(GPS 310) </w:t>
      </w:r>
      <w:r w:rsidR="00A055D4">
        <w:t>t</w:t>
      </w:r>
      <w:r w:rsidR="00880290">
        <w:t xml:space="preserve">o provide clarity </w:t>
      </w:r>
      <w:r w:rsidR="002A3019">
        <w:t>to the</w:t>
      </w:r>
      <w:r w:rsidR="0056774D">
        <w:t xml:space="preserve"> general insurance industr</w:t>
      </w:r>
      <w:r w:rsidR="00AD4D14">
        <w:t>y.</w:t>
      </w:r>
    </w:p>
    <w:p w14:paraId="06178F28" w14:textId="77777777" w:rsidR="006049E1" w:rsidRDefault="006049E1" w:rsidP="0F1DAC6E">
      <w:pPr>
        <w:pStyle w:val="paragraph"/>
        <w:shd w:val="clear" w:color="auto" w:fill="FFFFFF" w:themeFill="background1"/>
        <w:spacing w:before="0" w:beforeAutospacing="0" w:after="0" w:afterAutospacing="0"/>
        <w:textAlignment w:val="baseline"/>
      </w:pPr>
    </w:p>
    <w:p w14:paraId="1146E379" w14:textId="77777777" w:rsidR="006501FB" w:rsidRPr="00691C97" w:rsidRDefault="006501FB" w:rsidP="0012641B">
      <w:pPr>
        <w:pStyle w:val="Heading2"/>
      </w:pPr>
      <w:r w:rsidRPr="00691C97">
        <w:t xml:space="preserve">Purpose and Operation </w:t>
      </w:r>
    </w:p>
    <w:p w14:paraId="67915FE9" w14:textId="09E9BFAC" w:rsidR="000F119A" w:rsidRDefault="00C9518F" w:rsidP="0012641B">
      <w:r w:rsidRPr="00691C97">
        <w:t>The purpose of the</w:t>
      </w:r>
      <w:r w:rsidR="003B6CA0">
        <w:t xml:space="preserve"> instrument </w:t>
      </w:r>
      <w:r w:rsidRPr="00691C97">
        <w:t>is to</w:t>
      </w:r>
      <w:r w:rsidR="003B6CA0">
        <w:t xml:space="preserve"> revoke the previous </w:t>
      </w:r>
      <w:r w:rsidR="004F773A">
        <w:t xml:space="preserve">GPS </w:t>
      </w:r>
      <w:r w:rsidR="00B02083">
        <w:t>310</w:t>
      </w:r>
      <w:r w:rsidR="003B6CA0">
        <w:t xml:space="preserve"> and replace it with a new version. The new </w:t>
      </w:r>
      <w:r w:rsidR="00B02083">
        <w:t>GPS 310</w:t>
      </w:r>
      <w:r w:rsidR="003D640E">
        <w:t xml:space="preserve"> includes</w:t>
      </w:r>
      <w:r w:rsidR="00542FF5">
        <w:t xml:space="preserve"> a</w:t>
      </w:r>
      <w:r w:rsidR="003D640E">
        <w:t xml:space="preserve"> minor update</w:t>
      </w:r>
      <w:r w:rsidR="00542FF5">
        <w:t xml:space="preserve"> </w:t>
      </w:r>
      <w:r w:rsidR="00600FE1">
        <w:t xml:space="preserve">by incorporating </w:t>
      </w:r>
      <w:r w:rsidR="00CA74EC">
        <w:t xml:space="preserve">the level of assurance to be provided by </w:t>
      </w:r>
      <w:r w:rsidR="00B212DD">
        <w:t>the A</w:t>
      </w:r>
      <w:r w:rsidR="0083297A">
        <w:t>uditor</w:t>
      </w:r>
      <w:r w:rsidR="001E30C1">
        <w:t xml:space="preserve"> on the annual data reported to APRA </w:t>
      </w:r>
      <w:r w:rsidR="00E95797">
        <w:t>for each G</w:t>
      </w:r>
      <w:r w:rsidR="009F1D0F">
        <w:t xml:space="preserve">eneral </w:t>
      </w:r>
      <w:r w:rsidR="00E95797">
        <w:t>I</w:t>
      </w:r>
      <w:r w:rsidR="009F1D0F">
        <w:t>nsurance reporting standard</w:t>
      </w:r>
      <w:r w:rsidR="003B6CA0">
        <w:t xml:space="preserve">. </w:t>
      </w:r>
    </w:p>
    <w:p w14:paraId="03F40B32" w14:textId="41456849" w:rsidR="005D6939" w:rsidRDefault="005D6939" w:rsidP="0012641B">
      <w:r>
        <w:lastRenderedPageBreak/>
        <w:t>GP</w:t>
      </w:r>
      <w:r w:rsidR="00602285">
        <w:t xml:space="preserve">S 310 </w:t>
      </w:r>
      <w:r w:rsidR="00AD68F3">
        <w:t xml:space="preserve">aims to ensure </w:t>
      </w:r>
      <w:r w:rsidR="00680E9B">
        <w:t xml:space="preserve">that </w:t>
      </w:r>
      <w:r w:rsidR="00CD188F">
        <w:t xml:space="preserve">insurers </w:t>
      </w:r>
      <w:r w:rsidR="00AD68F3">
        <w:t>ha</w:t>
      </w:r>
      <w:r w:rsidR="00CD188F">
        <w:t>ve</w:t>
      </w:r>
      <w:r w:rsidR="00AD68F3">
        <w:t xml:space="preserve"> access to independent advice from an </w:t>
      </w:r>
      <w:r w:rsidR="00D7474A">
        <w:t>A</w:t>
      </w:r>
      <w:r w:rsidR="0083297A">
        <w:t>uditor</w:t>
      </w:r>
      <w:r w:rsidR="00AD68F3">
        <w:t xml:space="preserve"> relating to </w:t>
      </w:r>
      <w:r w:rsidR="00C05D7B">
        <w:t xml:space="preserve">its </w:t>
      </w:r>
      <w:r w:rsidR="00AD68F3">
        <w:t xml:space="preserve">operations, </w:t>
      </w:r>
      <w:r w:rsidR="004A39B4">
        <w:t>financial condition</w:t>
      </w:r>
      <w:r w:rsidR="00AD68F3">
        <w:t xml:space="preserve"> and </w:t>
      </w:r>
      <w:r w:rsidR="004A39B4">
        <w:t>internal controls</w:t>
      </w:r>
      <w:r w:rsidR="00043947">
        <w:t xml:space="preserve"> t</w:t>
      </w:r>
      <w:r w:rsidR="0064054B">
        <w:t xml:space="preserve">o carry out </w:t>
      </w:r>
      <w:r w:rsidR="00793853">
        <w:t>the insurer’s re</w:t>
      </w:r>
      <w:r w:rsidR="0064054B">
        <w:t>sponsibilities prudently.</w:t>
      </w:r>
      <w:r w:rsidR="00C05D7B">
        <w:t xml:space="preserve"> </w:t>
      </w:r>
      <w:r w:rsidR="0064054B">
        <w:t>The standard</w:t>
      </w:r>
      <w:r w:rsidR="00F94D79">
        <w:t xml:space="preserve"> </w:t>
      </w:r>
      <w:r w:rsidR="006D212F">
        <w:t xml:space="preserve">sets out the </w:t>
      </w:r>
      <w:r w:rsidR="00843EF7">
        <w:t xml:space="preserve">roles and </w:t>
      </w:r>
      <w:r w:rsidR="006D212F">
        <w:t xml:space="preserve">responsibilities of the </w:t>
      </w:r>
      <w:r w:rsidR="00D7474A">
        <w:t>A</w:t>
      </w:r>
      <w:r w:rsidR="0083297A">
        <w:t>uditor</w:t>
      </w:r>
      <w:r w:rsidR="00E17232">
        <w:t xml:space="preserve"> and obligations of insurers</w:t>
      </w:r>
      <w:r w:rsidR="00843EF7">
        <w:t>.</w:t>
      </w:r>
    </w:p>
    <w:p w14:paraId="729970E4" w14:textId="68A706EC" w:rsidR="00E17232" w:rsidRDefault="00FD1A41" w:rsidP="0012641B">
      <w:r>
        <w:t xml:space="preserve">The key requirements of GPS 310 are set out </w:t>
      </w:r>
      <w:r w:rsidR="006049E1">
        <w:t xml:space="preserve">in Attachment </w:t>
      </w:r>
      <w:r w:rsidR="0049078E">
        <w:t>A</w:t>
      </w:r>
      <w:r w:rsidR="004757BA">
        <w:t xml:space="preserve"> to th</w:t>
      </w:r>
      <w:r w:rsidR="005926DA">
        <w:t>is</w:t>
      </w:r>
      <w:r w:rsidR="004757BA">
        <w:t xml:space="preserve"> Explanatory Statement</w:t>
      </w:r>
      <w:r w:rsidR="006049E1">
        <w:t>.</w:t>
      </w:r>
    </w:p>
    <w:p w14:paraId="1DAC0E9A" w14:textId="77777777" w:rsidR="008B26DB" w:rsidRPr="00691C97" w:rsidRDefault="00D073A1" w:rsidP="0012641B">
      <w:pPr>
        <w:pStyle w:val="Heading2"/>
      </w:pPr>
      <w:r w:rsidRPr="00691C97">
        <w:t xml:space="preserve">Consultation </w:t>
      </w:r>
    </w:p>
    <w:p w14:paraId="2E686136" w14:textId="57D703CE" w:rsidR="000768DD" w:rsidRPr="00AF6832" w:rsidRDefault="000768DD" w:rsidP="00C860BD">
      <w:pPr>
        <w:pStyle w:val="Templateguidance"/>
        <w:rPr>
          <w:rStyle w:val="eop"/>
          <w:i w:val="0"/>
          <w:iCs/>
          <w:color w:val="auto"/>
        </w:rPr>
      </w:pPr>
      <w:r w:rsidRPr="00AF6832">
        <w:rPr>
          <w:rStyle w:val="normaltextrun"/>
          <w:i w:val="0"/>
          <w:color w:val="auto"/>
        </w:rPr>
        <w:t>On 4 April 2024, APRA consulted</w:t>
      </w:r>
      <w:r w:rsidR="00AF6832">
        <w:rPr>
          <w:rStyle w:val="FootnoteReference"/>
          <w:i w:val="0"/>
          <w:color w:val="auto"/>
        </w:rPr>
        <w:footnoteReference w:id="2"/>
      </w:r>
      <w:r w:rsidRPr="00AF6832">
        <w:rPr>
          <w:rStyle w:val="normaltextrun"/>
          <w:i w:val="0"/>
          <w:color w:val="auto"/>
        </w:rPr>
        <w:t xml:space="preserve"> on a set of minor updates to the prudential framework, including changes </w:t>
      </w:r>
      <w:r w:rsidR="002D77BC">
        <w:rPr>
          <w:rStyle w:val="normaltextrun"/>
          <w:i w:val="0"/>
          <w:color w:val="auto"/>
        </w:rPr>
        <w:t xml:space="preserve">to </w:t>
      </w:r>
      <w:r w:rsidR="00AF6832">
        <w:rPr>
          <w:rStyle w:val="normaltextrun"/>
          <w:i w:val="0"/>
          <w:color w:val="auto"/>
        </w:rPr>
        <w:t>G</w:t>
      </w:r>
      <w:r w:rsidRPr="00AF6832">
        <w:rPr>
          <w:rStyle w:val="normaltextrun"/>
          <w:i w:val="0"/>
          <w:color w:val="auto"/>
        </w:rPr>
        <w:t xml:space="preserve">PS </w:t>
      </w:r>
      <w:r w:rsidR="00AF6832">
        <w:rPr>
          <w:rStyle w:val="normaltextrun"/>
          <w:i w:val="0"/>
          <w:color w:val="auto"/>
        </w:rPr>
        <w:t>310</w:t>
      </w:r>
      <w:r w:rsidRPr="00AF6832">
        <w:rPr>
          <w:rStyle w:val="normaltextrun"/>
          <w:i w:val="0"/>
          <w:color w:val="auto"/>
        </w:rPr>
        <w:t xml:space="preserve">. APRA has previously consulted on the provisions in </w:t>
      </w:r>
      <w:r w:rsidR="00AF6832">
        <w:rPr>
          <w:rStyle w:val="normaltextrun"/>
          <w:i w:val="0"/>
          <w:color w:val="auto"/>
        </w:rPr>
        <w:t>G</w:t>
      </w:r>
      <w:r w:rsidRPr="00AF6832">
        <w:rPr>
          <w:rStyle w:val="normaltextrun"/>
          <w:i w:val="0"/>
          <w:color w:val="auto"/>
        </w:rPr>
        <w:t xml:space="preserve">PS </w:t>
      </w:r>
      <w:r w:rsidR="00AF6832">
        <w:rPr>
          <w:rStyle w:val="normaltextrun"/>
          <w:i w:val="0"/>
          <w:color w:val="auto"/>
        </w:rPr>
        <w:t>310</w:t>
      </w:r>
      <w:r w:rsidRPr="00AF6832">
        <w:rPr>
          <w:rStyle w:val="normaltextrun"/>
          <w:i w:val="0"/>
          <w:color w:val="auto"/>
        </w:rPr>
        <w:t xml:space="preserve"> that were unchanged.</w:t>
      </w:r>
      <w:r w:rsidRPr="00AF6832">
        <w:rPr>
          <w:rStyle w:val="eop"/>
          <w:i w:val="0"/>
          <w:iCs/>
          <w:color w:val="auto"/>
        </w:rPr>
        <w:t> </w:t>
      </w:r>
    </w:p>
    <w:p w14:paraId="3ACB98D6" w14:textId="48FC7BA2" w:rsidR="00CB65FF" w:rsidRDefault="00F56E45" w:rsidP="00C860BD">
      <w:pPr>
        <w:pStyle w:val="Templateguidance"/>
        <w:rPr>
          <w:i w:val="0"/>
          <w:color w:val="auto"/>
        </w:rPr>
      </w:pPr>
      <w:r>
        <w:rPr>
          <w:i w:val="0"/>
          <w:color w:val="auto"/>
        </w:rPr>
        <w:t xml:space="preserve">APRA did not receive any </w:t>
      </w:r>
      <w:r w:rsidR="00A24460">
        <w:rPr>
          <w:i w:val="0"/>
          <w:color w:val="auto"/>
        </w:rPr>
        <w:t xml:space="preserve">submissions </w:t>
      </w:r>
      <w:r w:rsidR="00924A87">
        <w:rPr>
          <w:i w:val="0"/>
          <w:color w:val="auto"/>
        </w:rPr>
        <w:t xml:space="preserve">regarding </w:t>
      </w:r>
      <w:r w:rsidR="004B4FEC">
        <w:rPr>
          <w:i w:val="0"/>
          <w:color w:val="auto"/>
        </w:rPr>
        <w:t xml:space="preserve">GPS 310 </w:t>
      </w:r>
      <w:r w:rsidR="00A9210C">
        <w:rPr>
          <w:i w:val="0"/>
          <w:color w:val="auto"/>
        </w:rPr>
        <w:t xml:space="preserve">from insurers </w:t>
      </w:r>
      <w:r w:rsidR="00A24460">
        <w:rPr>
          <w:i w:val="0"/>
          <w:color w:val="auto"/>
        </w:rPr>
        <w:t>during the consultation</w:t>
      </w:r>
      <w:r w:rsidR="00AF6832">
        <w:rPr>
          <w:i w:val="0"/>
          <w:color w:val="auto"/>
        </w:rPr>
        <w:t>.</w:t>
      </w:r>
    </w:p>
    <w:p w14:paraId="6E2631DF" w14:textId="77777777" w:rsidR="001E5A58" w:rsidRDefault="004901AC" w:rsidP="0012641B">
      <w:pPr>
        <w:pStyle w:val="Heading2"/>
      </w:pPr>
      <w:r w:rsidRPr="00691C97">
        <w:t xml:space="preserve">Scope of administrative powers </w:t>
      </w:r>
    </w:p>
    <w:p w14:paraId="559358C5" w14:textId="77777777" w:rsidR="00B9351C" w:rsidRPr="00EB171F" w:rsidRDefault="00B9351C" w:rsidP="00B9351C">
      <w:pPr>
        <w:rPr>
          <w:b/>
          <w:i/>
        </w:rPr>
      </w:pPr>
      <w:r w:rsidRPr="00EB171F">
        <w:rPr>
          <w:b/>
          <w:i/>
        </w:rPr>
        <w:t xml:space="preserve">Exercise of discretion by APRA </w:t>
      </w:r>
    </w:p>
    <w:p w14:paraId="10C16BCA" w14:textId="376B8893" w:rsidR="00B9351C" w:rsidRDefault="00B9351C" w:rsidP="00B9351C">
      <w:r>
        <w:t>GPS 310 provides for APRA to exercise various discretion</w:t>
      </w:r>
      <w:r w:rsidR="00AF6832">
        <w:t>s</w:t>
      </w:r>
      <w:r w:rsidRPr="00066F5A">
        <w:t>. Decisions made by APRA in exercising those discretions are not subject to merits review. This is because these decisions are preliminary decisions that may facilitate or lead to substantive decisions which are subject to merits review.</w:t>
      </w:r>
    </w:p>
    <w:p w14:paraId="6750DF46" w14:textId="77777777" w:rsidR="00B9351C" w:rsidRDefault="00B9351C" w:rsidP="00B9351C">
      <w:r w:rsidRPr="00066F5A">
        <w:t xml:space="preserve">Under the Act, a breach of a prudential standard is a breach of the Act, as the Act provides that regulated entities must comply with the standard. However, there are no penalties prescribed for such breaches. Instead, an </w:t>
      </w:r>
      <w:r>
        <w:t>insurer’s</w:t>
      </w:r>
      <w:r w:rsidRPr="00066F5A">
        <w:t xml:space="preserve"> breach of a provision in the Act is grounds for APRA to make further, substantive decisions under the Act in relation to the </w:t>
      </w:r>
      <w:r>
        <w:t>insurer</w:t>
      </w:r>
      <w:r w:rsidRPr="00066F5A">
        <w:t xml:space="preserve">. </w:t>
      </w:r>
      <w:r w:rsidRPr="007263A3">
        <w:t>Those decisions may include the decision:</w:t>
      </w:r>
    </w:p>
    <w:p w14:paraId="249277CB" w14:textId="77777777" w:rsidR="00B9351C" w:rsidRDefault="00B9351C" w:rsidP="00B9351C">
      <w:r>
        <w:t>(a) to issue a direction to the insurer, including a direction to comply with the whole or part of a prudential standard (section 104 of the Act); and</w:t>
      </w:r>
    </w:p>
    <w:p w14:paraId="220A67C9" w14:textId="77777777" w:rsidR="00B9351C" w:rsidRDefault="00B9351C" w:rsidP="00B9351C">
      <w:r>
        <w:t>(b) to revoke an authority to carry on insurance business (section 15 of the Act) or an insurance NOHC authorisation (section 21 of the Act).</w:t>
      </w:r>
    </w:p>
    <w:p w14:paraId="043C56FA" w14:textId="77777777" w:rsidR="00B9351C" w:rsidRDefault="00B9351C" w:rsidP="00B9351C">
      <w:r>
        <w:t>It is only at this stage that an insurer is exposed to a penalty, loss of licence or imposition of a penalty if it breaches the direction (50 penalty units each day under section 108 of the Act). In nearly all cases,</w:t>
      </w:r>
      <w:r>
        <w:rPr>
          <w:rStyle w:val="FootnoteReference"/>
        </w:rPr>
        <w:footnoteReference w:id="3"/>
      </w:r>
      <w:r>
        <w:t xml:space="preserve"> the decision is preceded by a full consultation with the insurer to raise any concerns it may have in relation to the decision.</w:t>
      </w:r>
    </w:p>
    <w:p w14:paraId="19E156D7" w14:textId="77777777" w:rsidR="00B9351C" w:rsidRDefault="00B9351C" w:rsidP="00B9351C">
      <w:r>
        <w:t>A decision of APRA to impose a direction is subject to merits review under section 104 of the Act, which is appropriately available at the point where an insurer could be exposed to a penalty.</w:t>
      </w:r>
    </w:p>
    <w:p w14:paraId="74CD3B69" w14:textId="5BDF0AAE" w:rsidR="00B9351C" w:rsidRDefault="00B9351C" w:rsidP="00B9351C">
      <w:r>
        <w:lastRenderedPageBreak/>
        <w:t xml:space="preserve">Revocation of an authorisation to carry on insurance business or an insurance </w:t>
      </w:r>
      <w:r w:rsidR="005107A6">
        <w:t>N</w:t>
      </w:r>
      <w:r>
        <w:t>OHC authorisation is subject to merits review under section 15 and 21 of the Ac</w:t>
      </w:r>
      <w:r w:rsidR="005107A6">
        <w:t>t</w:t>
      </w:r>
      <w:r>
        <w:t xml:space="preserve">, unless specifically excluded by enabling legislation. </w:t>
      </w:r>
    </w:p>
    <w:p w14:paraId="006D2C07" w14:textId="77777777" w:rsidR="00B9351C" w:rsidRPr="007351DA" w:rsidRDefault="00B9351C" w:rsidP="00B9351C">
      <w:pPr>
        <w:rPr>
          <w:b/>
          <w:i/>
        </w:rPr>
      </w:pPr>
      <w:r w:rsidRPr="007351DA">
        <w:rPr>
          <w:b/>
          <w:i/>
        </w:rPr>
        <w:t xml:space="preserve">Adjust and exclude </w:t>
      </w:r>
      <w:proofErr w:type="gramStart"/>
      <w:r w:rsidRPr="007351DA">
        <w:rPr>
          <w:b/>
          <w:i/>
        </w:rPr>
        <w:t>powers</w:t>
      </w:r>
      <w:proofErr w:type="gramEnd"/>
    </w:p>
    <w:p w14:paraId="773EA5D6" w14:textId="77777777" w:rsidR="00B9351C" w:rsidRDefault="00B9351C" w:rsidP="00B9351C">
      <w:r>
        <w:t>GPS 310 gives APRA the discretion to adjust or exclude a provision of the prudential standard (paragraph 37). The power to create such a discretion is provided for under subsection 32(3D) of the Act.</w:t>
      </w:r>
    </w:p>
    <w:p w14:paraId="396D03C5" w14:textId="77777777" w:rsidR="00B9351C" w:rsidRDefault="00B9351C" w:rsidP="00B9351C">
      <w:r>
        <w:t xml:space="preserve">APRA may exercise this power when it is satisfied that the adjustment or exclusion of a specific requirement for one or more specified regulated entities will better support APRA in meeting its objectives. For example, the adjustment or exclusion may be necessary to obtain a better prudential outcome than would be the case if the prudential requirement were applied unaltered to a particular regulated entity. A tailored approach would give APRA comfort that the prudential requirements apply appropriately to protect the interests of policyholders. APRA will also </w:t>
      </w:r>
      <w:proofErr w:type="gramStart"/>
      <w:r>
        <w:t>take into account</w:t>
      </w:r>
      <w:proofErr w:type="gramEnd"/>
      <w:r>
        <w:t xml:space="preserve"> other considerations, such as efficiency, competition, contestability, competitive neutrality and regulatory burden, including comparisons with the entity’s peer group.</w:t>
      </w:r>
    </w:p>
    <w:p w14:paraId="2BCBE651" w14:textId="436B4D17" w:rsidR="00CE5AC1" w:rsidRPr="00691C97" w:rsidRDefault="00B9351C" w:rsidP="002250D5">
      <w:r>
        <w:t>The exercise of APRA's powers is governed by a robust decision-making framework which is documented in APRA's internal policies. This framework supports APRA in fulfilling its mandate by limiting decision making to those senior APRA officers with the appropriate experience and skill to exercise prudent judgement. The framework also requires decision makers to seek advice from internal technical experts.</w:t>
      </w:r>
    </w:p>
    <w:p w14:paraId="484F6A72" w14:textId="38588950" w:rsidR="007309A1" w:rsidRPr="00691C97" w:rsidRDefault="007309A1" w:rsidP="0012641B">
      <w:pPr>
        <w:pStyle w:val="Heading2"/>
      </w:pPr>
      <w:r w:rsidRPr="00691C97">
        <w:t xml:space="preserve">Incorporation </w:t>
      </w:r>
      <w:r w:rsidR="00C23536">
        <w:t>by reference</w:t>
      </w:r>
    </w:p>
    <w:p w14:paraId="36D49653" w14:textId="77777777" w:rsidR="002250D5" w:rsidRPr="0047643C" w:rsidRDefault="002250D5" w:rsidP="002250D5">
      <w:r>
        <w:t xml:space="preserve">Under section 14(1)(a) of the </w:t>
      </w:r>
      <w:r w:rsidRPr="0047643C">
        <w:rPr>
          <w:i/>
        </w:rPr>
        <w:t>Legislation Act 2003</w:t>
      </w:r>
      <w:r>
        <w:t xml:space="preserve">, the standard incorporates by reference as </w:t>
      </w:r>
      <w:r w:rsidRPr="0047643C">
        <w:t>in force from time to time:</w:t>
      </w:r>
    </w:p>
    <w:p w14:paraId="1497AF91" w14:textId="77777777" w:rsidR="002250D5" w:rsidRDefault="002250D5" w:rsidP="002250D5">
      <w:pPr>
        <w:pStyle w:val="ListParagraph"/>
        <w:numPr>
          <w:ilvl w:val="0"/>
          <w:numId w:val="33"/>
        </w:numPr>
        <w:rPr>
          <w:rFonts w:ascii="Times New Roman" w:hAnsi="Times New Roman" w:cs="Times New Roman"/>
          <w:sz w:val="24"/>
          <w:szCs w:val="24"/>
        </w:rPr>
      </w:pPr>
      <w:r w:rsidRPr="0047643C">
        <w:rPr>
          <w:rFonts w:ascii="Times New Roman" w:hAnsi="Times New Roman" w:cs="Times New Roman"/>
          <w:sz w:val="24"/>
          <w:szCs w:val="24"/>
        </w:rPr>
        <w:t xml:space="preserve">Acts of Parliament and associated delegated </w:t>
      </w:r>
      <w:proofErr w:type="gramStart"/>
      <w:r w:rsidRPr="0047643C">
        <w:rPr>
          <w:rFonts w:ascii="Times New Roman" w:hAnsi="Times New Roman" w:cs="Times New Roman"/>
          <w:sz w:val="24"/>
          <w:szCs w:val="24"/>
        </w:rPr>
        <w:t>laws;</w:t>
      </w:r>
      <w:proofErr w:type="gramEnd"/>
      <w:r w:rsidRPr="0047643C">
        <w:rPr>
          <w:rFonts w:ascii="Times New Roman" w:hAnsi="Times New Roman" w:cs="Times New Roman"/>
          <w:sz w:val="24"/>
          <w:szCs w:val="24"/>
        </w:rPr>
        <w:t xml:space="preserve"> </w:t>
      </w:r>
    </w:p>
    <w:p w14:paraId="1A37171C" w14:textId="77777777" w:rsidR="002250D5" w:rsidRDefault="002250D5" w:rsidP="002250D5">
      <w:pPr>
        <w:pStyle w:val="ListParagraph"/>
        <w:numPr>
          <w:ilvl w:val="0"/>
          <w:numId w:val="33"/>
        </w:numPr>
        <w:rPr>
          <w:rFonts w:ascii="Times New Roman" w:hAnsi="Times New Roman" w:cs="Times New Roman"/>
          <w:sz w:val="24"/>
          <w:szCs w:val="24"/>
        </w:rPr>
      </w:pPr>
      <w:r w:rsidRPr="0047643C">
        <w:rPr>
          <w:rFonts w:ascii="Times New Roman" w:hAnsi="Times New Roman" w:cs="Times New Roman"/>
          <w:sz w:val="24"/>
          <w:szCs w:val="24"/>
        </w:rPr>
        <w:t xml:space="preserve">Prudential Standards determined by APRA under subsection </w:t>
      </w:r>
      <w:r>
        <w:rPr>
          <w:rFonts w:ascii="Times New Roman" w:hAnsi="Times New Roman" w:cs="Times New Roman"/>
          <w:sz w:val="24"/>
          <w:szCs w:val="24"/>
        </w:rPr>
        <w:t>32(1</w:t>
      </w:r>
      <w:r w:rsidRPr="0047643C">
        <w:rPr>
          <w:rFonts w:ascii="Times New Roman" w:hAnsi="Times New Roman" w:cs="Times New Roman"/>
          <w:sz w:val="24"/>
          <w:szCs w:val="24"/>
        </w:rPr>
        <w:t>) of the </w:t>
      </w:r>
      <w:proofErr w:type="gramStart"/>
      <w:r w:rsidRPr="0047643C">
        <w:rPr>
          <w:rFonts w:ascii="Times New Roman" w:hAnsi="Times New Roman" w:cs="Times New Roman"/>
          <w:sz w:val="24"/>
          <w:szCs w:val="24"/>
        </w:rPr>
        <w:t>Act</w:t>
      </w:r>
      <w:r>
        <w:rPr>
          <w:rFonts w:ascii="Times New Roman" w:hAnsi="Times New Roman" w:cs="Times New Roman"/>
          <w:sz w:val="24"/>
          <w:szCs w:val="24"/>
        </w:rPr>
        <w:t>;</w:t>
      </w:r>
      <w:proofErr w:type="gramEnd"/>
    </w:p>
    <w:p w14:paraId="4E7E40F2" w14:textId="77777777" w:rsidR="002250D5" w:rsidRDefault="002250D5" w:rsidP="002250D5">
      <w:pPr>
        <w:pStyle w:val="ListParagraph"/>
        <w:numPr>
          <w:ilvl w:val="0"/>
          <w:numId w:val="33"/>
        </w:numPr>
        <w:rPr>
          <w:rFonts w:ascii="Times New Roman" w:hAnsi="Times New Roman" w:cs="Times New Roman"/>
          <w:sz w:val="24"/>
          <w:szCs w:val="24"/>
        </w:rPr>
      </w:pPr>
      <w:r w:rsidRPr="00E82857">
        <w:rPr>
          <w:rFonts w:ascii="Times New Roman" w:hAnsi="Times New Roman" w:cs="Times New Roman"/>
          <w:sz w:val="24"/>
          <w:szCs w:val="24"/>
        </w:rPr>
        <w:t xml:space="preserve">Reporting Standards determined by APRA under subsection 13(1) of the </w:t>
      </w:r>
      <w:r w:rsidRPr="00022E3D">
        <w:rPr>
          <w:rFonts w:ascii="Times New Roman" w:hAnsi="Times New Roman" w:cs="Times New Roman"/>
          <w:i/>
          <w:sz w:val="24"/>
          <w:szCs w:val="24"/>
        </w:rPr>
        <w:t xml:space="preserve">Financial Sector (Collection of Data) Act </w:t>
      </w:r>
      <w:proofErr w:type="gramStart"/>
      <w:r w:rsidRPr="00022E3D">
        <w:rPr>
          <w:rFonts w:ascii="Times New Roman" w:hAnsi="Times New Roman" w:cs="Times New Roman"/>
          <w:i/>
          <w:sz w:val="24"/>
          <w:szCs w:val="24"/>
        </w:rPr>
        <w:t>2001</w:t>
      </w:r>
      <w:r w:rsidRPr="00E82857">
        <w:rPr>
          <w:rFonts w:ascii="Times New Roman" w:hAnsi="Times New Roman" w:cs="Times New Roman"/>
          <w:sz w:val="24"/>
          <w:szCs w:val="24"/>
        </w:rPr>
        <w:t>;</w:t>
      </w:r>
      <w:proofErr w:type="gramEnd"/>
    </w:p>
    <w:p w14:paraId="5C8E7175" w14:textId="77777777" w:rsidR="002250D5" w:rsidRDefault="002250D5" w:rsidP="002250D5">
      <w:pPr>
        <w:pStyle w:val="ListParagraph"/>
        <w:numPr>
          <w:ilvl w:val="0"/>
          <w:numId w:val="33"/>
        </w:numPr>
        <w:rPr>
          <w:rFonts w:ascii="Times New Roman" w:hAnsi="Times New Roman" w:cs="Times New Roman"/>
          <w:sz w:val="24"/>
          <w:szCs w:val="24"/>
        </w:rPr>
      </w:pPr>
      <w:r w:rsidRPr="00E82857">
        <w:rPr>
          <w:rFonts w:ascii="Times New Roman" w:hAnsi="Times New Roman" w:cs="Times New Roman"/>
          <w:sz w:val="24"/>
          <w:szCs w:val="24"/>
        </w:rPr>
        <w:t xml:space="preserve">the Australian Accounting Standards determined by the Australian Accounting Standards Board under section 334 of the </w:t>
      </w:r>
      <w:r w:rsidRPr="00022E3D">
        <w:rPr>
          <w:rFonts w:ascii="Times New Roman" w:hAnsi="Times New Roman" w:cs="Times New Roman"/>
          <w:i/>
          <w:sz w:val="24"/>
          <w:szCs w:val="24"/>
        </w:rPr>
        <w:t>Corporations Act 2001</w:t>
      </w:r>
      <w:r w:rsidRPr="00E82857">
        <w:rPr>
          <w:rFonts w:ascii="Times New Roman" w:hAnsi="Times New Roman" w:cs="Times New Roman"/>
          <w:sz w:val="24"/>
          <w:szCs w:val="24"/>
        </w:rPr>
        <w:t xml:space="preserve"> (</w:t>
      </w:r>
      <w:proofErr w:type="spellStart"/>
      <w:r w:rsidRPr="00E82857">
        <w:rPr>
          <w:rFonts w:ascii="Times New Roman" w:hAnsi="Times New Roman" w:cs="Times New Roman"/>
          <w:sz w:val="24"/>
          <w:szCs w:val="24"/>
        </w:rPr>
        <w:t>Cth</w:t>
      </w:r>
      <w:proofErr w:type="spellEnd"/>
      <w:r w:rsidRPr="00E82857">
        <w:rPr>
          <w:rFonts w:ascii="Times New Roman" w:hAnsi="Times New Roman" w:cs="Times New Roman"/>
          <w:sz w:val="24"/>
          <w:szCs w:val="24"/>
        </w:rPr>
        <w:t>); an</w:t>
      </w:r>
      <w:r>
        <w:rPr>
          <w:rFonts w:ascii="Times New Roman" w:hAnsi="Times New Roman" w:cs="Times New Roman"/>
          <w:sz w:val="24"/>
          <w:szCs w:val="24"/>
        </w:rPr>
        <w:t>d</w:t>
      </w:r>
    </w:p>
    <w:p w14:paraId="5FA384C5" w14:textId="77777777" w:rsidR="002250D5" w:rsidRDefault="002250D5" w:rsidP="002250D5">
      <w:pPr>
        <w:pStyle w:val="ListParagraph"/>
        <w:numPr>
          <w:ilvl w:val="0"/>
          <w:numId w:val="33"/>
        </w:numPr>
        <w:rPr>
          <w:rFonts w:ascii="Times New Roman" w:hAnsi="Times New Roman" w:cs="Times New Roman"/>
          <w:sz w:val="24"/>
          <w:szCs w:val="24"/>
        </w:rPr>
      </w:pPr>
      <w:r w:rsidRPr="00E82857">
        <w:rPr>
          <w:rFonts w:ascii="Times New Roman" w:hAnsi="Times New Roman" w:cs="Times New Roman"/>
          <w:sz w:val="24"/>
          <w:szCs w:val="24"/>
        </w:rPr>
        <w:t xml:space="preserve">the Australian Auditing Standards determined by the Auditing and Assurance Standards Board under section 336 of the </w:t>
      </w:r>
      <w:r w:rsidRPr="00022E3D">
        <w:rPr>
          <w:rFonts w:ascii="Times New Roman" w:hAnsi="Times New Roman" w:cs="Times New Roman"/>
          <w:i/>
          <w:sz w:val="24"/>
          <w:szCs w:val="24"/>
        </w:rPr>
        <w:t xml:space="preserve">Corporations Act 2001 </w:t>
      </w:r>
      <w:r w:rsidRPr="00E82857">
        <w:rPr>
          <w:rFonts w:ascii="Times New Roman" w:hAnsi="Times New Roman" w:cs="Times New Roman"/>
          <w:sz w:val="24"/>
          <w:szCs w:val="24"/>
        </w:rPr>
        <w:t>(</w:t>
      </w:r>
      <w:proofErr w:type="spellStart"/>
      <w:r w:rsidRPr="00E82857">
        <w:rPr>
          <w:rFonts w:ascii="Times New Roman" w:hAnsi="Times New Roman" w:cs="Times New Roman"/>
          <w:sz w:val="24"/>
          <w:szCs w:val="24"/>
        </w:rPr>
        <w:t>Cth</w:t>
      </w:r>
      <w:proofErr w:type="spellEnd"/>
      <w:r w:rsidRPr="00E82857">
        <w:rPr>
          <w:rFonts w:ascii="Times New Roman" w:hAnsi="Times New Roman" w:cs="Times New Roman"/>
          <w:sz w:val="24"/>
          <w:szCs w:val="24"/>
        </w:rPr>
        <w:t>).</w:t>
      </w:r>
    </w:p>
    <w:p w14:paraId="1F296FA8" w14:textId="689BD82A" w:rsidR="002250D5" w:rsidRPr="00022E3D" w:rsidRDefault="002250D5" w:rsidP="002250D5">
      <w:r w:rsidRPr="00022E3D">
        <w:t>These documents may be freely obtained</w:t>
      </w:r>
      <w:r>
        <w:t xml:space="preserve"> on the Federal Register of Legislation</w:t>
      </w:r>
      <w:r w:rsidRPr="00022E3D">
        <w:t xml:space="preserve"> at </w:t>
      </w:r>
      <w:r w:rsidRPr="00854CF0">
        <w:t>www.legislation.gov.au</w:t>
      </w:r>
      <w:r>
        <w:t xml:space="preserve"> </w:t>
      </w:r>
      <w:r w:rsidRPr="00022E3D">
        <w:t xml:space="preserve">(all documents listed above except for Australian Accounting and Auditing Standards), </w:t>
      </w:r>
      <w:r w:rsidRPr="00854CF0">
        <w:t>https://www.aasb.gov.au/pronouncements/accounting-standards/</w:t>
      </w:r>
      <w:r>
        <w:t xml:space="preserve"> </w:t>
      </w:r>
      <w:r w:rsidRPr="00022E3D">
        <w:t xml:space="preserve">(Australian Accounting Standards) and </w:t>
      </w:r>
      <w:r w:rsidRPr="00854CF0">
        <w:t>https://auasb.gov.au/standards-guidance/auasb-standards/auditing-standards/</w:t>
      </w:r>
      <w:r>
        <w:t xml:space="preserve"> </w:t>
      </w:r>
      <w:r w:rsidRPr="00022E3D">
        <w:t>(Australian Auditing Standards)</w:t>
      </w:r>
      <w:r>
        <w:t>.</w:t>
      </w:r>
    </w:p>
    <w:p w14:paraId="0BC049D6" w14:textId="0583A7C3" w:rsidR="008C40BF" w:rsidRPr="00691C97" w:rsidRDefault="009B10E1" w:rsidP="0012641B">
      <w:pPr>
        <w:pStyle w:val="Heading2"/>
      </w:pPr>
      <w:r w:rsidRPr="00691C97">
        <w:t xml:space="preserve">Impact Analysis </w:t>
      </w:r>
      <w:r w:rsidR="00ED4DA2">
        <w:t>(IA)</w:t>
      </w:r>
    </w:p>
    <w:p w14:paraId="6ADD4007" w14:textId="37B99035" w:rsidR="009B10E1" w:rsidRPr="00691C97" w:rsidRDefault="009B10E1" w:rsidP="0012641B">
      <w:r w:rsidRPr="00691C97">
        <w:t>The Office of Impact Analysis has confirmed</w:t>
      </w:r>
      <w:r w:rsidR="00140752">
        <w:t xml:space="preserve"> that </w:t>
      </w:r>
      <w:r w:rsidR="00C466C8">
        <w:t>an</w:t>
      </w:r>
      <w:r w:rsidR="00140752">
        <w:t xml:space="preserve"> </w:t>
      </w:r>
      <w:r w:rsidR="00ED4DA2">
        <w:t>IA</w:t>
      </w:r>
      <w:r w:rsidR="00140752">
        <w:t xml:space="preserve"> is not required as the remaking of GPS 310 is unlikely to have more than a minor regulatory impact.</w:t>
      </w:r>
      <w:r w:rsidR="004101FF" w:rsidRPr="00691C97">
        <w:t xml:space="preserve"> </w:t>
      </w:r>
    </w:p>
    <w:p w14:paraId="44EE299B" w14:textId="3C96AD1B" w:rsidR="00A94B90" w:rsidRPr="00ED4DA2" w:rsidRDefault="00C21C3E" w:rsidP="0012641B">
      <w:pPr>
        <w:pStyle w:val="Heading2"/>
        <w:rPr>
          <w:i/>
        </w:rPr>
      </w:pPr>
      <w:r w:rsidRPr="00691C97">
        <w:lastRenderedPageBreak/>
        <w:t xml:space="preserve">Statement of compatibility </w:t>
      </w:r>
      <w:r w:rsidR="00ED4DA2">
        <w:t xml:space="preserve">prepared in accordance with Part 3 of the </w:t>
      </w:r>
      <w:r w:rsidR="00ED4DA2" w:rsidRPr="00ED4DA2">
        <w:rPr>
          <w:i/>
        </w:rPr>
        <w:t xml:space="preserve">Human Rights (Parliamentary Scrutiny) Act 2011 </w:t>
      </w:r>
    </w:p>
    <w:p w14:paraId="7FBEE9DC" w14:textId="6F9A6B84" w:rsidR="00254E90" w:rsidRPr="0012641B" w:rsidRDefault="00A94B90" w:rsidP="0012641B">
      <w:r w:rsidRPr="00691C97">
        <w:t xml:space="preserve">A </w:t>
      </w:r>
      <w:r w:rsidR="00ED4DA2">
        <w:t>S</w:t>
      </w:r>
      <w:r w:rsidRPr="00691C97">
        <w:t xml:space="preserve">tatement of compatibility prepared in accordance with Part 3 of the </w:t>
      </w:r>
      <w:r w:rsidRPr="00691C97">
        <w:rPr>
          <w:i/>
        </w:rPr>
        <w:t xml:space="preserve">Human Rights (Parliamentary Scrutiny) Act 2011 </w:t>
      </w:r>
      <w:r w:rsidRPr="00691C97">
        <w:t xml:space="preserve">is provided at Attachment </w:t>
      </w:r>
      <w:r w:rsidR="0049078E">
        <w:t>B</w:t>
      </w:r>
      <w:r w:rsidRPr="00691C97">
        <w:t xml:space="preserve"> to th</w:t>
      </w:r>
      <w:r w:rsidR="005926DA">
        <w:t>is</w:t>
      </w:r>
      <w:r w:rsidRPr="00691C97">
        <w:t xml:space="preserve"> Explanatory Statement. </w:t>
      </w:r>
      <w:r w:rsidR="00C21C3E" w:rsidRPr="00691C97">
        <w:t xml:space="preserve"> </w:t>
      </w:r>
    </w:p>
    <w:p w14:paraId="5A1E92DC" w14:textId="77777777" w:rsidR="003B6CA0" w:rsidRDefault="003B6CA0" w:rsidP="0012641B">
      <w:pPr>
        <w:sectPr w:rsidR="003B6CA0" w:rsidSect="00A34ADD">
          <w:pgSz w:w="11906" w:h="16838" w:code="9"/>
          <w:pgMar w:top="1440" w:right="1440" w:bottom="1440" w:left="1440" w:header="567" w:footer="567" w:gutter="0"/>
          <w:pgNumType w:start="1"/>
          <w:cols w:space="708"/>
          <w:docGrid w:linePitch="360"/>
        </w:sectPr>
      </w:pPr>
    </w:p>
    <w:p w14:paraId="2BC698D7" w14:textId="475638F8" w:rsidR="0049078E" w:rsidRPr="006049E1" w:rsidRDefault="0049078E" w:rsidP="0049078E">
      <w:pPr>
        <w:jc w:val="center"/>
        <w:rPr>
          <w:b/>
        </w:rPr>
      </w:pPr>
      <w:r w:rsidRPr="006049E1">
        <w:rPr>
          <w:b/>
        </w:rPr>
        <w:lastRenderedPageBreak/>
        <w:t xml:space="preserve">ATTACHMENT </w:t>
      </w:r>
      <w:r w:rsidR="005926DA">
        <w:rPr>
          <w:b/>
        </w:rPr>
        <w:t>A</w:t>
      </w:r>
    </w:p>
    <w:p w14:paraId="7CE2320A" w14:textId="77777777" w:rsidR="0049078E" w:rsidRPr="006049E1" w:rsidRDefault="0049078E" w:rsidP="0049078E">
      <w:pPr>
        <w:jc w:val="center"/>
        <w:rPr>
          <w:b/>
        </w:rPr>
      </w:pPr>
      <w:r w:rsidRPr="006049E1">
        <w:rPr>
          <w:b/>
        </w:rPr>
        <w:t>Key requirements of GPS 310</w:t>
      </w:r>
    </w:p>
    <w:p w14:paraId="0CA6A3D8" w14:textId="77777777" w:rsidR="0049078E" w:rsidRPr="00594398" w:rsidRDefault="0049078E" w:rsidP="0049078E">
      <w:pPr>
        <w:rPr>
          <w:i/>
        </w:rPr>
      </w:pPr>
      <w:r>
        <w:rPr>
          <w:i/>
        </w:rPr>
        <w:t xml:space="preserve">1. </w:t>
      </w:r>
      <w:r w:rsidRPr="00594398">
        <w:rPr>
          <w:i/>
        </w:rPr>
        <w:t>Obligations of the Insurer</w:t>
      </w:r>
    </w:p>
    <w:p w14:paraId="6FE852D5" w14:textId="77777777" w:rsidR="0049078E" w:rsidRDefault="0049078E" w:rsidP="0049078E">
      <w:r>
        <w:t xml:space="preserve">Paragraphs 10-11 require insurers to </w:t>
      </w:r>
      <w:proofErr w:type="gramStart"/>
      <w:r>
        <w:t>make arrangements</w:t>
      </w:r>
      <w:proofErr w:type="gramEnd"/>
      <w:r>
        <w:t xml:space="preserve"> necessary to enable the Auditor to undertake their functions. This includes ensuring the Auditor has access to all the relevant data, information, reports, staff, Board members and Board committees, and is fully informed of all prudential requirements applicable to the insurer.</w:t>
      </w:r>
    </w:p>
    <w:p w14:paraId="3EBEAC84" w14:textId="77777777" w:rsidR="0049078E" w:rsidRDefault="0049078E" w:rsidP="0049078E">
      <w:r>
        <w:t>Paragraph 12 requires an insurer to submit to APRA all certificates and reports required to be prepared by the Auditor.</w:t>
      </w:r>
    </w:p>
    <w:p w14:paraId="33ED169A" w14:textId="77777777" w:rsidR="0049078E" w:rsidRDefault="0049078E" w:rsidP="0049078E">
      <w:pPr>
        <w:rPr>
          <w:i/>
        </w:rPr>
      </w:pPr>
      <w:r>
        <w:rPr>
          <w:i/>
        </w:rPr>
        <w:t>2. Responsibilities of the Auditor</w:t>
      </w:r>
    </w:p>
    <w:p w14:paraId="2988D2D6" w14:textId="77777777" w:rsidR="0049078E" w:rsidRDefault="0049078E" w:rsidP="0049078E">
      <w:r w:rsidRPr="009764EF">
        <w:t>The A</w:t>
      </w:r>
      <w:r>
        <w:t>uditor</w:t>
      </w:r>
      <w:r w:rsidRPr="009764EF">
        <w:t>’s role is to provide an independent and objective view of the insurer’s financial statements</w:t>
      </w:r>
      <w:r>
        <w:t>,</w:t>
      </w:r>
      <w:r w:rsidRPr="009764EF">
        <w:t xml:space="preserve"> and an assessment of the insurer’s systems, procedures and controls used to </w:t>
      </w:r>
      <w:r>
        <w:t xml:space="preserve">comply </w:t>
      </w:r>
      <w:r w:rsidRPr="009764EF">
        <w:t>with prudential requirements</w:t>
      </w:r>
      <w:r>
        <w:t>.</w:t>
      </w:r>
    </w:p>
    <w:p w14:paraId="010D1AC3" w14:textId="77777777" w:rsidR="0049078E" w:rsidRDefault="0049078E" w:rsidP="0049078E">
      <w:r>
        <w:t xml:space="preserve">Paragraphs 15-17 set out the responsibilities of the Auditor. This includes </w:t>
      </w:r>
      <w:r w:rsidRPr="00395664">
        <w:t>audit</w:t>
      </w:r>
      <w:r>
        <w:t>ing</w:t>
      </w:r>
      <w:r w:rsidRPr="00395664">
        <w:t xml:space="preserve"> yearly statutory accounts; provid</w:t>
      </w:r>
      <w:r>
        <w:t>ing</w:t>
      </w:r>
      <w:r w:rsidRPr="00395664">
        <w:t xml:space="preserve"> </w:t>
      </w:r>
      <w:r>
        <w:t xml:space="preserve">a </w:t>
      </w:r>
      <w:r w:rsidRPr="00395664">
        <w:t>certificate relating to yearly statutory accounts</w:t>
      </w:r>
      <w:r>
        <w:t xml:space="preserve">; </w:t>
      </w:r>
      <w:r w:rsidRPr="00395664">
        <w:t>annually review</w:t>
      </w:r>
      <w:r>
        <w:t>ing</w:t>
      </w:r>
      <w:r w:rsidRPr="00395664">
        <w:t xml:space="preserve"> and test</w:t>
      </w:r>
      <w:r>
        <w:t>ing</w:t>
      </w:r>
      <w:r w:rsidRPr="00395664">
        <w:t xml:space="preserve"> systems, processes and control</w:t>
      </w:r>
      <w:r>
        <w:t>s</w:t>
      </w:r>
      <w:r w:rsidRPr="00395664">
        <w:t xml:space="preserve">; and </w:t>
      </w:r>
      <w:r>
        <w:t>providing a report</w:t>
      </w:r>
      <w:r w:rsidRPr="00395664">
        <w:t xml:space="preserve"> relating to findings</w:t>
      </w:r>
      <w:r>
        <w:t xml:space="preserve"> of their review.</w:t>
      </w:r>
    </w:p>
    <w:p w14:paraId="6EC85519" w14:textId="77777777" w:rsidR="0049078E" w:rsidRDefault="0049078E" w:rsidP="0049078E">
      <w:r>
        <w:rPr>
          <w:i/>
        </w:rPr>
        <w:t>3. Special purpose review</w:t>
      </w:r>
    </w:p>
    <w:p w14:paraId="16758B02" w14:textId="77777777" w:rsidR="0049078E" w:rsidRDefault="0049078E" w:rsidP="0049078E">
      <w:r>
        <w:t xml:space="preserve">Paragraphs 19-21 require the Auditor to undertake </w:t>
      </w:r>
      <w:r w:rsidRPr="006C590B">
        <w:t>a special purpose review and prepare a report with the cost borne by the entity</w:t>
      </w:r>
      <w:r>
        <w:t>, if requested by APRA</w:t>
      </w:r>
      <w:r w:rsidRPr="006C590B">
        <w:t>. This review must be conducted in line with any relevant professional standards and guidance, unless advised by APRA.</w:t>
      </w:r>
    </w:p>
    <w:p w14:paraId="36629289" w14:textId="77777777" w:rsidR="0049078E" w:rsidRDefault="0049078E" w:rsidP="0049078E">
      <w:r>
        <w:rPr>
          <w:i/>
        </w:rPr>
        <w:t>4. Non-routine reporting by the Auditor</w:t>
      </w:r>
    </w:p>
    <w:p w14:paraId="7E9C5E31" w14:textId="77777777" w:rsidR="0049078E" w:rsidRDefault="0049078E" w:rsidP="0049078E">
      <w:r>
        <w:t>Paragraphs 22-26 set out the requirements for non-routine reporting by the Auditor. The Auditor</w:t>
      </w:r>
      <w:r w:rsidRPr="00E1453B">
        <w:t xml:space="preserve"> </w:t>
      </w:r>
      <w:r>
        <w:t>must</w:t>
      </w:r>
      <w:r w:rsidRPr="00E1453B">
        <w:t xml:space="preserve"> report to APRA on a non-routine basis where: </w:t>
      </w:r>
      <w:r>
        <w:t>(</w:t>
      </w:r>
      <w:proofErr w:type="spellStart"/>
      <w:r>
        <w:t>i</w:t>
      </w:r>
      <w:proofErr w:type="spellEnd"/>
      <w:r>
        <w:t xml:space="preserve">) </w:t>
      </w:r>
      <w:r w:rsidRPr="00E1453B">
        <w:t xml:space="preserve">APRA requests specific information; or (ii) </w:t>
      </w:r>
      <w:r>
        <w:t xml:space="preserve">the </w:t>
      </w:r>
      <w:r w:rsidRPr="00E1453B">
        <w:t>A</w:t>
      </w:r>
      <w:r>
        <w:t>uditor</w:t>
      </w:r>
      <w:r w:rsidRPr="00E1453B">
        <w:t xml:space="preserve"> has information that is specified in the Act or considers beneficial for APRA in performing its functions.</w:t>
      </w:r>
      <w:r>
        <w:t xml:space="preserve"> An example of this may include an Auditor providing information, or producing books, accounts or documents, about an insurer if it will assist APRA in performing its functions under the Act.</w:t>
      </w:r>
    </w:p>
    <w:p w14:paraId="4FD6887E" w14:textId="77777777" w:rsidR="0049078E" w:rsidRDefault="0049078E" w:rsidP="0049078E">
      <w:pPr>
        <w:rPr>
          <w:i/>
        </w:rPr>
      </w:pPr>
      <w:r>
        <w:rPr>
          <w:i/>
        </w:rPr>
        <w:t>5. Meetings with the Auditor</w:t>
      </w:r>
    </w:p>
    <w:p w14:paraId="743F2C00" w14:textId="77777777" w:rsidR="0049078E" w:rsidRDefault="0049078E" w:rsidP="0049078E">
      <w:r>
        <w:t>Paragraphs 27-28 state that APRA liaison meetings will involve APRA, the insurer and the Auditor. Any party may initiate a meeting and if required, APRA and the Auditor can meet independently of the insurer.</w:t>
      </w:r>
    </w:p>
    <w:p w14:paraId="36880139" w14:textId="77777777" w:rsidR="0049078E" w:rsidRPr="00A04F54" w:rsidRDefault="0049078E" w:rsidP="0049078E">
      <w:pPr>
        <w:rPr>
          <w:i/>
        </w:rPr>
      </w:pPr>
      <w:r w:rsidRPr="00A04F54">
        <w:rPr>
          <w:i/>
        </w:rPr>
        <w:t>6. Audit certificate and report</w:t>
      </w:r>
    </w:p>
    <w:p w14:paraId="1AA3C00D" w14:textId="77777777" w:rsidR="0049078E" w:rsidRDefault="0049078E" w:rsidP="0049078E">
      <w:r>
        <w:t xml:space="preserve">Paragraphs 29-32 require the Auditor to annually prepare a certificate relating to the insurer’s yearly statutory accounts and provide it to the insurer. The certificate must provide the </w:t>
      </w:r>
      <w:r>
        <w:lastRenderedPageBreak/>
        <w:t>Auditor’s opinion of the insurer’s yearly statutory accounts and present a true and fair view of the results of the insurer’s operations.</w:t>
      </w:r>
    </w:p>
    <w:p w14:paraId="170B6C1F" w14:textId="77777777" w:rsidR="0049078E" w:rsidRPr="0036196C" w:rsidRDefault="0049078E" w:rsidP="0049078E">
      <w:r>
        <w:t xml:space="preserve">Paragraphs 34-36 require that the Auditor must annually prepare a report to the insurer, providing the Auditor’s opinion and results of their investigation. </w:t>
      </w:r>
    </w:p>
    <w:p w14:paraId="2C3F99FC" w14:textId="77777777" w:rsidR="0049078E" w:rsidRDefault="0049078E" w:rsidP="00ED4DA2">
      <w:pPr>
        <w:jc w:val="center"/>
        <w:rPr>
          <w:b/>
        </w:rPr>
        <w:sectPr w:rsidR="0049078E" w:rsidSect="00A34ADD">
          <w:pgSz w:w="11906" w:h="16838" w:code="9"/>
          <w:pgMar w:top="1440" w:right="1440" w:bottom="1440" w:left="1440" w:header="567" w:footer="567" w:gutter="0"/>
          <w:pgNumType w:start="1"/>
          <w:cols w:space="708"/>
          <w:docGrid w:linePitch="360"/>
        </w:sectPr>
      </w:pPr>
    </w:p>
    <w:p w14:paraId="61F4D82A" w14:textId="5A8FD4BA" w:rsidR="003543F6" w:rsidRPr="00ED4DA2" w:rsidRDefault="00C02F8C" w:rsidP="00ED4DA2">
      <w:pPr>
        <w:jc w:val="center"/>
        <w:rPr>
          <w:b/>
        </w:rPr>
      </w:pPr>
      <w:r w:rsidRPr="00ED4DA2">
        <w:rPr>
          <w:b/>
        </w:rPr>
        <w:lastRenderedPageBreak/>
        <w:t>A</w:t>
      </w:r>
      <w:r w:rsidR="00ED4DA2" w:rsidRPr="00ED4DA2">
        <w:rPr>
          <w:b/>
        </w:rPr>
        <w:t>TTACHMENT</w:t>
      </w:r>
      <w:r w:rsidR="003B6CA0" w:rsidRPr="00ED4DA2">
        <w:rPr>
          <w:b/>
        </w:rPr>
        <w:t xml:space="preserve"> </w:t>
      </w:r>
      <w:r w:rsidR="005926DA">
        <w:rPr>
          <w:b/>
        </w:rPr>
        <w:t>B</w:t>
      </w:r>
    </w:p>
    <w:p w14:paraId="72355D86" w14:textId="4BC9838B" w:rsidR="00ED4DA2" w:rsidRDefault="00ED4DA2" w:rsidP="00ED4DA2">
      <w:pPr>
        <w:jc w:val="center"/>
        <w:rPr>
          <w:b/>
        </w:rPr>
      </w:pPr>
      <w:r w:rsidRPr="00ED4DA2">
        <w:rPr>
          <w:b/>
        </w:rPr>
        <w:t>Statement of Compatibility with Human Rights</w:t>
      </w:r>
    </w:p>
    <w:p w14:paraId="79F64776" w14:textId="274C5B75" w:rsidR="00ED4DA2" w:rsidRDefault="00ED4DA2" w:rsidP="00ED4DA2">
      <w:pPr>
        <w:jc w:val="center"/>
        <w:rPr>
          <w:i/>
        </w:rPr>
      </w:pPr>
      <w:r>
        <w:t xml:space="preserve">Prepared in </w:t>
      </w:r>
      <w:r w:rsidR="0006113F">
        <w:t xml:space="preserve">accordance with Part 3 of the </w:t>
      </w:r>
      <w:r w:rsidR="0006113F" w:rsidRPr="00DA4855">
        <w:rPr>
          <w:i/>
        </w:rPr>
        <w:t>Human Rights (Parliamentary Scrutiny) Act 2011</w:t>
      </w:r>
    </w:p>
    <w:p w14:paraId="1522E20B" w14:textId="465E211D" w:rsidR="00DA4855" w:rsidRPr="00DA4855" w:rsidRDefault="00DA4855" w:rsidP="00ED4DA2">
      <w:pPr>
        <w:jc w:val="center"/>
        <w:rPr>
          <w:b/>
        </w:rPr>
      </w:pPr>
      <w:r>
        <w:rPr>
          <w:b/>
        </w:rPr>
        <w:t xml:space="preserve">Insurance (prudential standard) </w:t>
      </w:r>
      <w:r w:rsidR="006A2A67" w:rsidRPr="006A2A67">
        <w:rPr>
          <w:b/>
        </w:rPr>
        <w:t xml:space="preserve">determination </w:t>
      </w:r>
      <w:r w:rsidR="006A2A67" w:rsidRPr="00E24D45">
        <w:rPr>
          <w:b/>
        </w:rPr>
        <w:t xml:space="preserve">No. </w:t>
      </w:r>
      <w:r w:rsidR="00387E05" w:rsidRPr="00E24D45">
        <w:rPr>
          <w:b/>
        </w:rPr>
        <w:t>1</w:t>
      </w:r>
      <w:r w:rsidR="006A2A67" w:rsidRPr="00E24D45">
        <w:rPr>
          <w:b/>
        </w:rPr>
        <w:t xml:space="preserve"> of 20</w:t>
      </w:r>
      <w:r w:rsidR="00AF6832" w:rsidRPr="00E24D45">
        <w:rPr>
          <w:b/>
        </w:rPr>
        <w:t>2</w:t>
      </w:r>
      <w:r w:rsidR="006E31AC" w:rsidRPr="00E24D45">
        <w:rPr>
          <w:b/>
        </w:rPr>
        <w:t>4</w:t>
      </w:r>
    </w:p>
    <w:p w14:paraId="50694E8B" w14:textId="77777777" w:rsidR="009454BD" w:rsidRPr="00C02F8C" w:rsidRDefault="009454BD" w:rsidP="0012641B">
      <w:r w:rsidRPr="00C02F8C">
        <w:t xml:space="preserve">This Legislative Instrument is compatible with the human rights and freedoms recognised or declared in the international instruments listed in section 3 of the </w:t>
      </w:r>
      <w:r w:rsidRPr="00C02F8C">
        <w:rPr>
          <w:i/>
        </w:rPr>
        <w:t>Human Rights (Parliamentary Scrutiny) Act 2011</w:t>
      </w:r>
      <w:r w:rsidR="00C131CF">
        <w:t xml:space="preserve"> (HRPS Act). </w:t>
      </w:r>
    </w:p>
    <w:p w14:paraId="72F71ABC" w14:textId="77777777" w:rsidR="009454BD" w:rsidRPr="00294BDF" w:rsidRDefault="009454BD" w:rsidP="0012641B">
      <w:pPr>
        <w:rPr>
          <w:b/>
        </w:rPr>
      </w:pPr>
      <w:r w:rsidRPr="00294BDF">
        <w:rPr>
          <w:b/>
        </w:rPr>
        <w:t>Overview of the Legislative Instrument</w:t>
      </w:r>
    </w:p>
    <w:p w14:paraId="2C2248B4" w14:textId="3F84111C" w:rsidR="00ED208C" w:rsidRDefault="00D03053" w:rsidP="00ED208C">
      <w:r>
        <w:t xml:space="preserve">The purpose of the Legislative Instrument is to revoke </w:t>
      </w:r>
      <w:r w:rsidR="00ED208C">
        <w:rPr>
          <w:i/>
        </w:rPr>
        <w:t xml:space="preserve">Prudential </w:t>
      </w:r>
      <w:r>
        <w:rPr>
          <w:i/>
        </w:rPr>
        <w:t xml:space="preserve">Standard GPS 310 Audit and Related Matters </w:t>
      </w:r>
      <w:r>
        <w:t xml:space="preserve">made under </w:t>
      </w:r>
      <w:r w:rsidRPr="0014150B">
        <w:rPr>
          <w:i/>
        </w:rPr>
        <w:t xml:space="preserve">Insurance (prudential standard) determination No. </w:t>
      </w:r>
      <w:r w:rsidR="005F2295" w:rsidRPr="0014150B">
        <w:rPr>
          <w:i/>
        </w:rPr>
        <w:t>9</w:t>
      </w:r>
      <w:r w:rsidRPr="0014150B">
        <w:rPr>
          <w:i/>
        </w:rPr>
        <w:t xml:space="preserve"> of 201</w:t>
      </w:r>
      <w:r w:rsidR="005F2295" w:rsidRPr="0014150B">
        <w:rPr>
          <w:i/>
        </w:rPr>
        <w:t>9</w:t>
      </w:r>
      <w:r w:rsidR="005F2295">
        <w:t xml:space="preserve"> </w:t>
      </w:r>
      <w:r>
        <w:t xml:space="preserve">and </w:t>
      </w:r>
      <w:r w:rsidR="00ED208C">
        <w:t>replace it with another version.</w:t>
      </w:r>
    </w:p>
    <w:p w14:paraId="2D89D6AC" w14:textId="129F42EF" w:rsidR="00D03053" w:rsidRPr="00A20D9C" w:rsidRDefault="00ED208C" w:rsidP="0012641B">
      <w:r>
        <w:t xml:space="preserve">GPS 310 </w:t>
      </w:r>
      <w:r w:rsidR="00F50A6A">
        <w:t xml:space="preserve">aims to ensure that the Board </w:t>
      </w:r>
      <w:r w:rsidR="002C440A">
        <w:t>and senior management of a</w:t>
      </w:r>
      <w:r w:rsidR="002A5E48">
        <w:t>n</w:t>
      </w:r>
      <w:r w:rsidR="002C440A">
        <w:t xml:space="preserve"> insurer are provided with impartial advice in relation to its operations, financial condition and insurance liabilities </w:t>
      </w:r>
      <w:r w:rsidR="002A5E48">
        <w:t>to</w:t>
      </w:r>
      <w:r w:rsidR="002C440A">
        <w:t xml:space="preserve"> carry out their responsibilit</w:t>
      </w:r>
      <w:r w:rsidR="00435DBC">
        <w:t>ies prudently.</w:t>
      </w:r>
      <w:r w:rsidR="002C440A">
        <w:t xml:space="preserve"> </w:t>
      </w:r>
      <w:r w:rsidR="00435DBC">
        <w:t>The standard</w:t>
      </w:r>
      <w:r w:rsidR="002C440A">
        <w:t xml:space="preserve"> outlines responsibilities of </w:t>
      </w:r>
      <w:r w:rsidR="003F4001">
        <w:t xml:space="preserve">an </w:t>
      </w:r>
      <w:r w:rsidR="002C440A">
        <w:t>A</w:t>
      </w:r>
      <w:r w:rsidR="0083297A">
        <w:t>uditor</w:t>
      </w:r>
      <w:r w:rsidR="002C440A">
        <w:t xml:space="preserve"> </w:t>
      </w:r>
      <w:r w:rsidR="00A1697D">
        <w:t>and</w:t>
      </w:r>
      <w:r w:rsidR="002C440A">
        <w:t xml:space="preserve"> the obligations of insurer</w:t>
      </w:r>
      <w:r w:rsidR="004B766F">
        <w:t>s</w:t>
      </w:r>
      <w:r w:rsidR="00151AA8">
        <w:t xml:space="preserve"> to enable </w:t>
      </w:r>
      <w:r w:rsidR="00213D78">
        <w:t xml:space="preserve">the </w:t>
      </w:r>
      <w:r w:rsidR="00151AA8">
        <w:t>A</w:t>
      </w:r>
      <w:r w:rsidR="0083297A">
        <w:t>uditor</w:t>
      </w:r>
      <w:r w:rsidR="00151AA8">
        <w:t xml:space="preserve"> to fulfil their functions.</w:t>
      </w:r>
    </w:p>
    <w:p w14:paraId="2E621FC8" w14:textId="0A047B61" w:rsidR="009454BD" w:rsidRPr="00294BDF" w:rsidRDefault="009454BD" w:rsidP="0012641B">
      <w:pPr>
        <w:rPr>
          <w:b/>
        </w:rPr>
      </w:pPr>
      <w:r w:rsidRPr="00294BDF">
        <w:rPr>
          <w:b/>
        </w:rPr>
        <w:t xml:space="preserve">Human rights implications </w:t>
      </w:r>
    </w:p>
    <w:p w14:paraId="517014F6" w14:textId="77777777" w:rsidR="00A20D9C" w:rsidRDefault="00330311" w:rsidP="0012641B">
      <w:r>
        <w:t xml:space="preserve">APRA has assessed the Legislative Instrument and is of the view that it does not engage any of the applicable rights or freedoms recognised or declared in the international instruments listed in section 3 of the </w:t>
      </w:r>
      <w:r w:rsidR="00C131CF">
        <w:t xml:space="preserve">HRPS Act. </w:t>
      </w:r>
      <w:r w:rsidR="00A20D9C">
        <w:t>Accordingly, in APRA’s assessment, the</w:t>
      </w:r>
      <w:r w:rsidR="009454BD" w:rsidRPr="00C02F8C">
        <w:t xml:space="preserve"> Instrument is compatible with human rights</w:t>
      </w:r>
      <w:r w:rsidR="00A20D9C">
        <w:t>.</w:t>
      </w:r>
    </w:p>
    <w:p w14:paraId="24CE53DA" w14:textId="77777777" w:rsidR="00A20D9C" w:rsidRPr="00A20D9C" w:rsidRDefault="00A20D9C" w:rsidP="0012641B">
      <w:pPr>
        <w:rPr>
          <w:b/>
        </w:rPr>
      </w:pPr>
      <w:r w:rsidRPr="00A20D9C">
        <w:rPr>
          <w:b/>
        </w:rPr>
        <w:t>Conclusion</w:t>
      </w:r>
    </w:p>
    <w:p w14:paraId="2A039A33" w14:textId="1DEB25D3" w:rsidR="006049E1" w:rsidRDefault="00A20D9C" w:rsidP="0012641B">
      <w:r>
        <w:t>This Legislative Instrument is compatible with human rights</w:t>
      </w:r>
      <w:r w:rsidR="009454BD" w:rsidRPr="00C02F8C">
        <w:t xml:space="preserve"> as it does not raise any human rights issues. </w:t>
      </w:r>
    </w:p>
    <w:p w14:paraId="6116C620" w14:textId="1F031F48" w:rsidR="009454BD" w:rsidRPr="0036196C" w:rsidRDefault="009454BD">
      <w:pPr>
        <w:jc w:val="both"/>
      </w:pPr>
    </w:p>
    <w:sectPr w:rsidR="009454BD" w:rsidRPr="0036196C"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E45E0" w14:textId="77777777" w:rsidR="0004022B" w:rsidRPr="000D4EDE" w:rsidRDefault="0004022B" w:rsidP="0012641B">
      <w:r>
        <w:separator/>
      </w:r>
    </w:p>
  </w:endnote>
  <w:endnote w:type="continuationSeparator" w:id="0">
    <w:p w14:paraId="1DEE188D" w14:textId="77777777" w:rsidR="0004022B" w:rsidRPr="000D4EDE" w:rsidRDefault="0004022B" w:rsidP="0012641B">
      <w:r>
        <w:continuationSeparator/>
      </w:r>
    </w:p>
  </w:endnote>
  <w:endnote w:type="continuationNotice" w:id="1">
    <w:p w14:paraId="2DEE258B" w14:textId="77777777" w:rsidR="0004022B" w:rsidRDefault="0004022B" w:rsidP="00126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C2434" w14:textId="77777777" w:rsidR="0004022B" w:rsidRPr="000D4EDE" w:rsidRDefault="0004022B" w:rsidP="0012641B">
      <w:r>
        <w:separator/>
      </w:r>
    </w:p>
  </w:footnote>
  <w:footnote w:type="continuationSeparator" w:id="0">
    <w:p w14:paraId="346E6742" w14:textId="77777777" w:rsidR="0004022B" w:rsidRPr="000D4EDE" w:rsidRDefault="0004022B" w:rsidP="0012641B">
      <w:r>
        <w:continuationSeparator/>
      </w:r>
    </w:p>
  </w:footnote>
  <w:footnote w:type="continuationNotice" w:id="1">
    <w:p w14:paraId="54205AAC" w14:textId="77777777" w:rsidR="0004022B" w:rsidRDefault="0004022B" w:rsidP="0012641B"/>
  </w:footnote>
  <w:footnote w:id="2">
    <w:p w14:paraId="5A85B6FD" w14:textId="7B1D18CA" w:rsidR="00AF6832" w:rsidRDefault="00AF6832">
      <w:pPr>
        <w:pStyle w:val="FootnoteText"/>
      </w:pPr>
      <w:r>
        <w:rPr>
          <w:rStyle w:val="FootnoteReference"/>
        </w:rPr>
        <w:footnoteRef/>
      </w:r>
      <w:r w:rsidR="00F13616">
        <w:t xml:space="preserve"> </w:t>
      </w:r>
      <w:r w:rsidR="00F13616">
        <w:tab/>
        <w:t>See:</w:t>
      </w:r>
      <w:r>
        <w:t xml:space="preserve"> </w:t>
      </w:r>
      <w:r w:rsidR="00854CF0" w:rsidRPr="00854CF0">
        <w:rPr>
          <w:rStyle w:val="normaltextrun"/>
          <w:shd w:val="clear" w:color="auto" w:fill="FFFFFF"/>
        </w:rPr>
        <w:t>https://www.apra.gov.au/prudential-framework-minor-updates-0</w:t>
      </w:r>
    </w:p>
  </w:footnote>
  <w:footnote w:id="3">
    <w:p w14:paraId="12E7BFC4" w14:textId="093CC34D" w:rsidR="00B9351C" w:rsidRDefault="00B9351C" w:rsidP="00B9351C">
      <w:pPr>
        <w:pStyle w:val="FootnoteText"/>
      </w:pPr>
      <w:r>
        <w:rPr>
          <w:rStyle w:val="FootnoteReference"/>
        </w:rPr>
        <w:footnoteRef/>
      </w:r>
      <w:r>
        <w:t xml:space="preserve"> </w:t>
      </w:r>
      <w:r w:rsidR="00F13616">
        <w:tab/>
      </w:r>
      <w:r>
        <w:t>Subsection 15(4) of the Act specifically provides that APRA does not need to consult where APRA is satisfied that doing</w:t>
      </w:r>
      <w:r w:rsidR="00086A5B">
        <w:t xml:space="preserve"> </w:t>
      </w:r>
      <w:r>
        <w:t>so could result in a delay in revocation that would be contrary to the national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C70CEC"/>
    <w:multiLevelType w:val="hybridMultilevel"/>
    <w:tmpl w:val="34225274"/>
    <w:lvl w:ilvl="0" w:tplc="87AAF206">
      <w:start w:val="1"/>
      <w:numFmt w:val="lowerLetter"/>
      <w:lvlText w:val="(%1)"/>
      <w:lvlJc w:val="left"/>
      <w:pPr>
        <w:ind w:left="2080" w:hanging="360"/>
      </w:pPr>
      <w:rPr>
        <w:rFonts w:ascii="Times New Roman" w:hAnsi="Times New Roman" w:cs="Times New Roman" w:hint="default"/>
        <w:sz w:val="20"/>
        <w:szCs w:val="20"/>
      </w:rPr>
    </w:lvl>
    <w:lvl w:ilvl="1" w:tplc="0C090019">
      <w:start w:val="1"/>
      <w:numFmt w:val="lowerLetter"/>
      <w:lvlText w:val="%2."/>
      <w:lvlJc w:val="left"/>
      <w:pPr>
        <w:ind w:left="2800" w:hanging="360"/>
      </w:pPr>
    </w:lvl>
    <w:lvl w:ilvl="2" w:tplc="0C09001B">
      <w:start w:val="1"/>
      <w:numFmt w:val="lowerRoman"/>
      <w:lvlText w:val="%3."/>
      <w:lvlJc w:val="right"/>
      <w:pPr>
        <w:ind w:left="3520" w:hanging="180"/>
      </w:pPr>
    </w:lvl>
    <w:lvl w:ilvl="3" w:tplc="0C09000F">
      <w:start w:val="1"/>
      <w:numFmt w:val="decimal"/>
      <w:lvlText w:val="%4."/>
      <w:lvlJc w:val="left"/>
      <w:pPr>
        <w:ind w:left="4240" w:hanging="360"/>
      </w:pPr>
    </w:lvl>
    <w:lvl w:ilvl="4" w:tplc="0C090019">
      <w:start w:val="1"/>
      <w:numFmt w:val="lowerLetter"/>
      <w:lvlText w:val="%5."/>
      <w:lvlJc w:val="left"/>
      <w:pPr>
        <w:ind w:left="4960" w:hanging="360"/>
      </w:pPr>
    </w:lvl>
    <w:lvl w:ilvl="5" w:tplc="0C09001B">
      <w:start w:val="1"/>
      <w:numFmt w:val="lowerRoman"/>
      <w:lvlText w:val="%6."/>
      <w:lvlJc w:val="right"/>
      <w:pPr>
        <w:ind w:left="5680" w:hanging="180"/>
      </w:pPr>
    </w:lvl>
    <w:lvl w:ilvl="6" w:tplc="0C09000F">
      <w:start w:val="1"/>
      <w:numFmt w:val="decimal"/>
      <w:lvlText w:val="%7."/>
      <w:lvlJc w:val="left"/>
      <w:pPr>
        <w:ind w:left="6400" w:hanging="360"/>
      </w:pPr>
    </w:lvl>
    <w:lvl w:ilvl="7" w:tplc="0C090019">
      <w:start w:val="1"/>
      <w:numFmt w:val="lowerLetter"/>
      <w:lvlText w:val="%8."/>
      <w:lvlJc w:val="left"/>
      <w:pPr>
        <w:ind w:left="7120" w:hanging="360"/>
      </w:pPr>
    </w:lvl>
    <w:lvl w:ilvl="8" w:tplc="0C09001B">
      <w:start w:val="1"/>
      <w:numFmt w:val="lowerRoman"/>
      <w:lvlText w:val="%9."/>
      <w:lvlJc w:val="right"/>
      <w:pPr>
        <w:ind w:left="784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5D5C13"/>
    <w:multiLevelType w:val="hybridMultilevel"/>
    <w:tmpl w:val="B57CC292"/>
    <w:lvl w:ilvl="0" w:tplc="016A88B6">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2A51C9"/>
    <w:multiLevelType w:val="hybridMultilevel"/>
    <w:tmpl w:val="85F22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FB1402"/>
    <w:multiLevelType w:val="hybridMultilevel"/>
    <w:tmpl w:val="A2B8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57CE4"/>
    <w:multiLevelType w:val="hybridMultilevel"/>
    <w:tmpl w:val="0952EB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C1162C"/>
    <w:multiLevelType w:val="hybridMultilevel"/>
    <w:tmpl w:val="6B8065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FC5D64"/>
    <w:multiLevelType w:val="hybridMultilevel"/>
    <w:tmpl w:val="5440889C"/>
    <w:lvl w:ilvl="0" w:tplc="6C128976">
      <w:start w:val="1"/>
      <w:numFmt w:val="lowerLetter"/>
      <w:lvlText w:val="(%1)"/>
      <w:lvlJc w:val="left"/>
      <w:pPr>
        <w:ind w:left="720" w:hanging="360"/>
      </w:pPr>
      <w:rPr>
        <w:rFonts w:ascii="Times New Roman" w:eastAsiaTheme="minorHAns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7A13FA"/>
    <w:multiLevelType w:val="hybridMultilevel"/>
    <w:tmpl w:val="D7B84F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AA75AD"/>
    <w:multiLevelType w:val="hybridMultilevel"/>
    <w:tmpl w:val="F68AA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4F3178"/>
    <w:multiLevelType w:val="hybridMultilevel"/>
    <w:tmpl w:val="2272DF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2023D0"/>
    <w:multiLevelType w:val="hybridMultilevel"/>
    <w:tmpl w:val="47C600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D2F1A20"/>
    <w:multiLevelType w:val="hybridMultilevel"/>
    <w:tmpl w:val="E3D0531E"/>
    <w:lvl w:ilvl="0" w:tplc="082A98D8">
      <w:start w:val="1"/>
      <w:numFmt w:val="bullet"/>
      <w:pStyle w:val="Templateguidan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0"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B66259"/>
    <w:multiLevelType w:val="hybridMultilevel"/>
    <w:tmpl w:val="2CC03AE8"/>
    <w:lvl w:ilvl="0" w:tplc="5A92F9F0">
      <w:start w:val="1"/>
      <w:numFmt w:val="decimal"/>
      <w:pStyle w:val="Heading2"/>
      <w:lvlText w:val="%1."/>
      <w:lvlJc w:val="left"/>
      <w:pPr>
        <w:ind w:left="720" w:hanging="360"/>
      </w:pPr>
      <w:rPr>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E46900"/>
    <w:multiLevelType w:val="hybridMultilevel"/>
    <w:tmpl w:val="3EC812F8"/>
    <w:lvl w:ilvl="0" w:tplc="9B78DA9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5785424"/>
    <w:multiLevelType w:val="multilevel"/>
    <w:tmpl w:val="67C4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CE4E52"/>
    <w:multiLevelType w:val="hybridMultilevel"/>
    <w:tmpl w:val="BD365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9862204"/>
    <w:multiLevelType w:val="hybridMultilevel"/>
    <w:tmpl w:val="324AA4CC"/>
    <w:name w:val="StandardBulleted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9" w15:restartNumberingAfterBreak="0">
    <w:nsid w:val="67A43C0B"/>
    <w:multiLevelType w:val="multilevel"/>
    <w:tmpl w:val="4D30BD72"/>
    <w:lvl w:ilvl="0">
      <w:start w:val="1"/>
      <w:numFmt w:val="bullet"/>
      <w:pStyle w:val="Bullet"/>
      <w:lvlText w:val=""/>
      <w:lvlJc w:val="left"/>
      <w:pPr>
        <w:tabs>
          <w:tab w:val="num" w:pos="567"/>
        </w:tabs>
        <w:ind w:left="567" w:hanging="567"/>
      </w:pPr>
      <w:rPr>
        <w:rFonts w:ascii="Symbol" w:hAnsi="Symbol" w:hint="default"/>
        <w:sz w:val="24"/>
        <w:szCs w:val="24"/>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5141A4"/>
    <w:multiLevelType w:val="hybridMultilevel"/>
    <w:tmpl w:val="B2C83DE2"/>
    <w:lvl w:ilvl="0" w:tplc="C4C678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AC35B9"/>
    <w:multiLevelType w:val="hybridMultilevel"/>
    <w:tmpl w:val="78F0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B17A3F"/>
    <w:multiLevelType w:val="multilevel"/>
    <w:tmpl w:val="A1EED9E0"/>
    <w:styleLink w:val="1ai"/>
    <w:lvl w:ilvl="0">
      <w:start w:val="1"/>
      <w:numFmt w:val="decimal"/>
      <w:pStyle w:val="Heading3"/>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1657B67"/>
    <w:multiLevelType w:val="hybridMultilevel"/>
    <w:tmpl w:val="EFAE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E3240B"/>
    <w:multiLevelType w:val="hybridMultilevel"/>
    <w:tmpl w:val="FC9C9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8643765">
    <w:abstractNumId w:val="1"/>
  </w:num>
  <w:num w:numId="2" w16cid:durableId="1446654584">
    <w:abstractNumId w:val="0"/>
  </w:num>
  <w:num w:numId="3" w16cid:durableId="490557818">
    <w:abstractNumId w:val="6"/>
  </w:num>
  <w:num w:numId="4" w16cid:durableId="1880360156">
    <w:abstractNumId w:val="26"/>
  </w:num>
  <w:num w:numId="5" w16cid:durableId="1753161718">
    <w:abstractNumId w:val="32"/>
  </w:num>
  <w:num w:numId="6" w16cid:durableId="2101103661">
    <w:abstractNumId w:val="23"/>
  </w:num>
  <w:num w:numId="7" w16cid:durableId="1358199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97614">
    <w:abstractNumId w:val="19"/>
  </w:num>
  <w:num w:numId="9" w16cid:durableId="1335911710">
    <w:abstractNumId w:val="2"/>
  </w:num>
  <w:num w:numId="10" w16cid:durableId="1609433727">
    <w:abstractNumId w:val="7"/>
  </w:num>
  <w:num w:numId="11" w16cid:durableId="1661226827">
    <w:abstractNumId w:val="4"/>
  </w:num>
  <w:num w:numId="12" w16cid:durableId="366830362">
    <w:abstractNumId w:val="8"/>
  </w:num>
  <w:num w:numId="13" w16cid:durableId="1156844678">
    <w:abstractNumId w:val="29"/>
  </w:num>
  <w:num w:numId="14" w16cid:durableId="483938177">
    <w:abstractNumId w:val="13"/>
  </w:num>
  <w:num w:numId="15" w16cid:durableId="852694237">
    <w:abstractNumId w:val="9"/>
  </w:num>
  <w:num w:numId="16" w16cid:durableId="1137723804">
    <w:abstractNumId w:val="10"/>
  </w:num>
  <w:num w:numId="17" w16cid:durableId="1263144474">
    <w:abstractNumId w:val="21"/>
  </w:num>
  <w:num w:numId="18" w16cid:durableId="1016930423">
    <w:abstractNumId w:val="16"/>
  </w:num>
  <w:num w:numId="19" w16cid:durableId="813713866">
    <w:abstractNumId w:val="5"/>
  </w:num>
  <w:num w:numId="20" w16cid:durableId="1619945035">
    <w:abstractNumId w:val="15"/>
  </w:num>
  <w:num w:numId="21" w16cid:durableId="307517501">
    <w:abstractNumId w:val="27"/>
  </w:num>
  <w:num w:numId="22" w16cid:durableId="99960872">
    <w:abstractNumId w:val="17"/>
  </w:num>
  <w:num w:numId="23" w16cid:durableId="1804232892">
    <w:abstractNumId w:val="33"/>
  </w:num>
  <w:num w:numId="24" w16cid:durableId="1003779446">
    <w:abstractNumId w:val="31"/>
  </w:num>
  <w:num w:numId="25" w16cid:durableId="531454864">
    <w:abstractNumId w:val="20"/>
  </w:num>
  <w:num w:numId="26" w16cid:durableId="1563254777">
    <w:abstractNumId w:val="3"/>
  </w:num>
  <w:num w:numId="27" w16cid:durableId="2031181993">
    <w:abstractNumId w:val="28"/>
  </w:num>
  <w:num w:numId="28" w16cid:durableId="1492985312">
    <w:abstractNumId w:val="18"/>
  </w:num>
  <w:num w:numId="29" w16cid:durableId="426968335">
    <w:abstractNumId w:val="11"/>
  </w:num>
  <w:num w:numId="30" w16cid:durableId="43867428">
    <w:abstractNumId w:val="14"/>
  </w:num>
  <w:num w:numId="31" w16cid:durableId="489104991">
    <w:abstractNumId w:val="12"/>
  </w:num>
  <w:num w:numId="32" w16cid:durableId="1878197470">
    <w:abstractNumId w:val="30"/>
  </w:num>
  <w:num w:numId="33" w16cid:durableId="470708993">
    <w:abstractNumId w:val="25"/>
  </w:num>
  <w:num w:numId="34" w16cid:durableId="866605757">
    <w:abstractNumId w:val="22"/>
  </w:num>
  <w:num w:numId="35" w16cid:durableId="299964901">
    <w:abstractNumId w:val="24"/>
  </w:num>
  <w:num w:numId="36" w16cid:durableId="32671207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DF"/>
    <w:rsid w:val="00000448"/>
    <w:rsid w:val="00002E21"/>
    <w:rsid w:val="00004ED1"/>
    <w:rsid w:val="00005930"/>
    <w:rsid w:val="00005D98"/>
    <w:rsid w:val="00005F96"/>
    <w:rsid w:val="00007262"/>
    <w:rsid w:val="00011C96"/>
    <w:rsid w:val="00011D09"/>
    <w:rsid w:val="00012D1D"/>
    <w:rsid w:val="000133FB"/>
    <w:rsid w:val="000141B9"/>
    <w:rsid w:val="000156C1"/>
    <w:rsid w:val="00021102"/>
    <w:rsid w:val="00022E3D"/>
    <w:rsid w:val="00026F0E"/>
    <w:rsid w:val="000309FB"/>
    <w:rsid w:val="000325D6"/>
    <w:rsid w:val="00034A19"/>
    <w:rsid w:val="00036A7C"/>
    <w:rsid w:val="00036CF9"/>
    <w:rsid w:val="00036F9E"/>
    <w:rsid w:val="0004022B"/>
    <w:rsid w:val="000413B3"/>
    <w:rsid w:val="000425EF"/>
    <w:rsid w:val="00043947"/>
    <w:rsid w:val="000453D9"/>
    <w:rsid w:val="00046C76"/>
    <w:rsid w:val="00051CFB"/>
    <w:rsid w:val="000573E5"/>
    <w:rsid w:val="00057B71"/>
    <w:rsid w:val="0006113F"/>
    <w:rsid w:val="0006197D"/>
    <w:rsid w:val="00062411"/>
    <w:rsid w:val="00064D60"/>
    <w:rsid w:val="00066F5A"/>
    <w:rsid w:val="000677A3"/>
    <w:rsid w:val="00070830"/>
    <w:rsid w:val="0007202C"/>
    <w:rsid w:val="00072B30"/>
    <w:rsid w:val="0007319C"/>
    <w:rsid w:val="000732AA"/>
    <w:rsid w:val="000767DD"/>
    <w:rsid w:val="000768DD"/>
    <w:rsid w:val="00077F7C"/>
    <w:rsid w:val="0008011A"/>
    <w:rsid w:val="00080D38"/>
    <w:rsid w:val="00081149"/>
    <w:rsid w:val="00084928"/>
    <w:rsid w:val="00084F8B"/>
    <w:rsid w:val="000851D0"/>
    <w:rsid w:val="00086A5B"/>
    <w:rsid w:val="00086D07"/>
    <w:rsid w:val="00086F71"/>
    <w:rsid w:val="000921FF"/>
    <w:rsid w:val="00093915"/>
    <w:rsid w:val="000949AD"/>
    <w:rsid w:val="00095109"/>
    <w:rsid w:val="00096B0F"/>
    <w:rsid w:val="000A490E"/>
    <w:rsid w:val="000A5628"/>
    <w:rsid w:val="000A7B3A"/>
    <w:rsid w:val="000B04C5"/>
    <w:rsid w:val="000B0AFD"/>
    <w:rsid w:val="000B1996"/>
    <w:rsid w:val="000B63CA"/>
    <w:rsid w:val="000B752A"/>
    <w:rsid w:val="000C14D9"/>
    <w:rsid w:val="000C15C7"/>
    <w:rsid w:val="000D265E"/>
    <w:rsid w:val="000D4EDE"/>
    <w:rsid w:val="000D7B9E"/>
    <w:rsid w:val="000E02BE"/>
    <w:rsid w:val="000E2460"/>
    <w:rsid w:val="000E2C24"/>
    <w:rsid w:val="000E43AC"/>
    <w:rsid w:val="000E46A6"/>
    <w:rsid w:val="000E6E37"/>
    <w:rsid w:val="000F0E6F"/>
    <w:rsid w:val="000F119A"/>
    <w:rsid w:val="000F2208"/>
    <w:rsid w:val="000F3225"/>
    <w:rsid w:val="000F58B3"/>
    <w:rsid w:val="000F6289"/>
    <w:rsid w:val="0010097C"/>
    <w:rsid w:val="001013A5"/>
    <w:rsid w:val="00101744"/>
    <w:rsid w:val="001018A5"/>
    <w:rsid w:val="00101AAA"/>
    <w:rsid w:val="00105CFC"/>
    <w:rsid w:val="00106545"/>
    <w:rsid w:val="00106F56"/>
    <w:rsid w:val="00111B5C"/>
    <w:rsid w:val="00111CE1"/>
    <w:rsid w:val="00115A39"/>
    <w:rsid w:val="001172AA"/>
    <w:rsid w:val="00117479"/>
    <w:rsid w:val="00122E75"/>
    <w:rsid w:val="00123576"/>
    <w:rsid w:val="001241CB"/>
    <w:rsid w:val="00124B21"/>
    <w:rsid w:val="00125BC2"/>
    <w:rsid w:val="0012641B"/>
    <w:rsid w:val="00127F8F"/>
    <w:rsid w:val="001327B8"/>
    <w:rsid w:val="0013471B"/>
    <w:rsid w:val="001352D4"/>
    <w:rsid w:val="00135D8F"/>
    <w:rsid w:val="0013708F"/>
    <w:rsid w:val="00140752"/>
    <w:rsid w:val="0014150B"/>
    <w:rsid w:val="001443BB"/>
    <w:rsid w:val="0015195F"/>
    <w:rsid w:val="00151AA8"/>
    <w:rsid w:val="00154F1E"/>
    <w:rsid w:val="00155789"/>
    <w:rsid w:val="00157C98"/>
    <w:rsid w:val="001653B6"/>
    <w:rsid w:val="00165BF6"/>
    <w:rsid w:val="00166B49"/>
    <w:rsid w:val="00174B0F"/>
    <w:rsid w:val="001816A2"/>
    <w:rsid w:val="0018235E"/>
    <w:rsid w:val="00183C2F"/>
    <w:rsid w:val="00184187"/>
    <w:rsid w:val="00186711"/>
    <w:rsid w:val="0019020C"/>
    <w:rsid w:val="00192AF4"/>
    <w:rsid w:val="00193DB0"/>
    <w:rsid w:val="001A0D3A"/>
    <w:rsid w:val="001A1B4C"/>
    <w:rsid w:val="001A1C78"/>
    <w:rsid w:val="001A2FE0"/>
    <w:rsid w:val="001A4EA4"/>
    <w:rsid w:val="001A6050"/>
    <w:rsid w:val="001A664F"/>
    <w:rsid w:val="001B1C3C"/>
    <w:rsid w:val="001B237A"/>
    <w:rsid w:val="001B26CC"/>
    <w:rsid w:val="001B2DB7"/>
    <w:rsid w:val="001B3A9F"/>
    <w:rsid w:val="001B58EA"/>
    <w:rsid w:val="001C3571"/>
    <w:rsid w:val="001C6C73"/>
    <w:rsid w:val="001C737F"/>
    <w:rsid w:val="001CE24A"/>
    <w:rsid w:val="001D0C02"/>
    <w:rsid w:val="001D1D7F"/>
    <w:rsid w:val="001D3D43"/>
    <w:rsid w:val="001E0318"/>
    <w:rsid w:val="001E0D52"/>
    <w:rsid w:val="001E0F51"/>
    <w:rsid w:val="001E30C1"/>
    <w:rsid w:val="001E55BF"/>
    <w:rsid w:val="001E5A58"/>
    <w:rsid w:val="001E6632"/>
    <w:rsid w:val="001F2AC9"/>
    <w:rsid w:val="001F6E1A"/>
    <w:rsid w:val="001F780A"/>
    <w:rsid w:val="001F7917"/>
    <w:rsid w:val="00200613"/>
    <w:rsid w:val="00202125"/>
    <w:rsid w:val="00205CA7"/>
    <w:rsid w:val="00213B64"/>
    <w:rsid w:val="00213D78"/>
    <w:rsid w:val="00214883"/>
    <w:rsid w:val="002156F6"/>
    <w:rsid w:val="00216934"/>
    <w:rsid w:val="00220550"/>
    <w:rsid w:val="00222D51"/>
    <w:rsid w:val="0022494A"/>
    <w:rsid w:val="002250D5"/>
    <w:rsid w:val="002301A2"/>
    <w:rsid w:val="00230F95"/>
    <w:rsid w:val="00236C2D"/>
    <w:rsid w:val="002374B7"/>
    <w:rsid w:val="00240126"/>
    <w:rsid w:val="002410B9"/>
    <w:rsid w:val="00241D16"/>
    <w:rsid w:val="00242384"/>
    <w:rsid w:val="0024304D"/>
    <w:rsid w:val="00244826"/>
    <w:rsid w:val="00247ACA"/>
    <w:rsid w:val="0025214B"/>
    <w:rsid w:val="00252D2A"/>
    <w:rsid w:val="00252E6A"/>
    <w:rsid w:val="00254295"/>
    <w:rsid w:val="00254E90"/>
    <w:rsid w:val="00255A20"/>
    <w:rsid w:val="002560AF"/>
    <w:rsid w:val="0025782A"/>
    <w:rsid w:val="002614DC"/>
    <w:rsid w:val="00263414"/>
    <w:rsid w:val="00263AAA"/>
    <w:rsid w:val="002647E8"/>
    <w:rsid w:val="00264E41"/>
    <w:rsid w:val="00265D3E"/>
    <w:rsid w:val="002661A6"/>
    <w:rsid w:val="00266C23"/>
    <w:rsid w:val="00275869"/>
    <w:rsid w:val="00277D6C"/>
    <w:rsid w:val="002821FD"/>
    <w:rsid w:val="002827DB"/>
    <w:rsid w:val="00286EAD"/>
    <w:rsid w:val="00287DA9"/>
    <w:rsid w:val="00292A60"/>
    <w:rsid w:val="0029389B"/>
    <w:rsid w:val="00294BDF"/>
    <w:rsid w:val="00295B7E"/>
    <w:rsid w:val="0029612A"/>
    <w:rsid w:val="002A1894"/>
    <w:rsid w:val="002A2188"/>
    <w:rsid w:val="002A3019"/>
    <w:rsid w:val="002A36F2"/>
    <w:rsid w:val="002A5E48"/>
    <w:rsid w:val="002A7D14"/>
    <w:rsid w:val="002B0913"/>
    <w:rsid w:val="002B0D3C"/>
    <w:rsid w:val="002B28E4"/>
    <w:rsid w:val="002B6F8D"/>
    <w:rsid w:val="002B7504"/>
    <w:rsid w:val="002C0484"/>
    <w:rsid w:val="002C0D97"/>
    <w:rsid w:val="002C19AB"/>
    <w:rsid w:val="002C34C3"/>
    <w:rsid w:val="002C3A85"/>
    <w:rsid w:val="002C440A"/>
    <w:rsid w:val="002C66D1"/>
    <w:rsid w:val="002C7065"/>
    <w:rsid w:val="002C7F2F"/>
    <w:rsid w:val="002C7F4A"/>
    <w:rsid w:val="002D224F"/>
    <w:rsid w:val="002D2804"/>
    <w:rsid w:val="002D4B6C"/>
    <w:rsid w:val="002D5274"/>
    <w:rsid w:val="002D6121"/>
    <w:rsid w:val="002D77BC"/>
    <w:rsid w:val="002E037B"/>
    <w:rsid w:val="002E1EE3"/>
    <w:rsid w:val="002E2843"/>
    <w:rsid w:val="002E2A82"/>
    <w:rsid w:val="002F0135"/>
    <w:rsid w:val="002F0C2C"/>
    <w:rsid w:val="002F3A4B"/>
    <w:rsid w:val="002F4486"/>
    <w:rsid w:val="002F5679"/>
    <w:rsid w:val="002F7A06"/>
    <w:rsid w:val="00300029"/>
    <w:rsid w:val="00300655"/>
    <w:rsid w:val="00302846"/>
    <w:rsid w:val="00303D18"/>
    <w:rsid w:val="0030475A"/>
    <w:rsid w:val="003051EE"/>
    <w:rsid w:val="00305A3A"/>
    <w:rsid w:val="003065D5"/>
    <w:rsid w:val="00307ADD"/>
    <w:rsid w:val="00307B6B"/>
    <w:rsid w:val="00307E55"/>
    <w:rsid w:val="00312A66"/>
    <w:rsid w:val="003130CA"/>
    <w:rsid w:val="00314E78"/>
    <w:rsid w:val="003153E2"/>
    <w:rsid w:val="00315CE5"/>
    <w:rsid w:val="00316255"/>
    <w:rsid w:val="0032180D"/>
    <w:rsid w:val="00324FF2"/>
    <w:rsid w:val="00330311"/>
    <w:rsid w:val="003306A5"/>
    <w:rsid w:val="00330E5C"/>
    <w:rsid w:val="003334CA"/>
    <w:rsid w:val="00334D53"/>
    <w:rsid w:val="00335E31"/>
    <w:rsid w:val="0034330C"/>
    <w:rsid w:val="00344DBA"/>
    <w:rsid w:val="00345E28"/>
    <w:rsid w:val="003505A0"/>
    <w:rsid w:val="00351965"/>
    <w:rsid w:val="00351B8C"/>
    <w:rsid w:val="0035334C"/>
    <w:rsid w:val="003543F6"/>
    <w:rsid w:val="0035494D"/>
    <w:rsid w:val="00354E87"/>
    <w:rsid w:val="003559B1"/>
    <w:rsid w:val="00355D40"/>
    <w:rsid w:val="003565F4"/>
    <w:rsid w:val="00357280"/>
    <w:rsid w:val="00357593"/>
    <w:rsid w:val="0036196C"/>
    <w:rsid w:val="00361FDE"/>
    <w:rsid w:val="00364395"/>
    <w:rsid w:val="003665E1"/>
    <w:rsid w:val="00371AAC"/>
    <w:rsid w:val="00371F54"/>
    <w:rsid w:val="00372F17"/>
    <w:rsid w:val="00373815"/>
    <w:rsid w:val="0037770C"/>
    <w:rsid w:val="00377C8B"/>
    <w:rsid w:val="00383A95"/>
    <w:rsid w:val="003849ED"/>
    <w:rsid w:val="00385CA0"/>
    <w:rsid w:val="00387B08"/>
    <w:rsid w:val="00387E05"/>
    <w:rsid w:val="00391766"/>
    <w:rsid w:val="00395664"/>
    <w:rsid w:val="00396BA8"/>
    <w:rsid w:val="003A0648"/>
    <w:rsid w:val="003A2733"/>
    <w:rsid w:val="003A3021"/>
    <w:rsid w:val="003A35FE"/>
    <w:rsid w:val="003A376E"/>
    <w:rsid w:val="003A5074"/>
    <w:rsid w:val="003A622A"/>
    <w:rsid w:val="003A627E"/>
    <w:rsid w:val="003A79EE"/>
    <w:rsid w:val="003B6CA0"/>
    <w:rsid w:val="003B6E16"/>
    <w:rsid w:val="003C180A"/>
    <w:rsid w:val="003C1E25"/>
    <w:rsid w:val="003C519F"/>
    <w:rsid w:val="003C7DCF"/>
    <w:rsid w:val="003D27CB"/>
    <w:rsid w:val="003D329D"/>
    <w:rsid w:val="003D3FB7"/>
    <w:rsid w:val="003D640E"/>
    <w:rsid w:val="003D6A32"/>
    <w:rsid w:val="003D6F7F"/>
    <w:rsid w:val="003D7186"/>
    <w:rsid w:val="003E2EA7"/>
    <w:rsid w:val="003E525B"/>
    <w:rsid w:val="003E6BF6"/>
    <w:rsid w:val="003F0F0D"/>
    <w:rsid w:val="003F4001"/>
    <w:rsid w:val="003F5085"/>
    <w:rsid w:val="0040173E"/>
    <w:rsid w:val="004101FF"/>
    <w:rsid w:val="00413FDF"/>
    <w:rsid w:val="00417BF2"/>
    <w:rsid w:val="00421156"/>
    <w:rsid w:val="004305EA"/>
    <w:rsid w:val="00431BE6"/>
    <w:rsid w:val="00433383"/>
    <w:rsid w:val="00435339"/>
    <w:rsid w:val="00435DBC"/>
    <w:rsid w:val="00436CD6"/>
    <w:rsid w:val="004410DC"/>
    <w:rsid w:val="0044447D"/>
    <w:rsid w:val="004453CE"/>
    <w:rsid w:val="00445E2F"/>
    <w:rsid w:val="00450C67"/>
    <w:rsid w:val="0045297E"/>
    <w:rsid w:val="00452EDC"/>
    <w:rsid w:val="004545AB"/>
    <w:rsid w:val="00454762"/>
    <w:rsid w:val="004574C2"/>
    <w:rsid w:val="00460CF7"/>
    <w:rsid w:val="00463FA8"/>
    <w:rsid w:val="00464299"/>
    <w:rsid w:val="004655B0"/>
    <w:rsid w:val="00466648"/>
    <w:rsid w:val="00470B31"/>
    <w:rsid w:val="004718DA"/>
    <w:rsid w:val="00472CBC"/>
    <w:rsid w:val="004757BA"/>
    <w:rsid w:val="0047643C"/>
    <w:rsid w:val="004765B3"/>
    <w:rsid w:val="00477A33"/>
    <w:rsid w:val="00482DDC"/>
    <w:rsid w:val="0048353C"/>
    <w:rsid w:val="00484372"/>
    <w:rsid w:val="004843CA"/>
    <w:rsid w:val="00485360"/>
    <w:rsid w:val="004853D8"/>
    <w:rsid w:val="004901AC"/>
    <w:rsid w:val="0049078E"/>
    <w:rsid w:val="00493DAA"/>
    <w:rsid w:val="00494335"/>
    <w:rsid w:val="00495A4C"/>
    <w:rsid w:val="00496053"/>
    <w:rsid w:val="004967A1"/>
    <w:rsid w:val="00496DC1"/>
    <w:rsid w:val="004A0518"/>
    <w:rsid w:val="004A39B4"/>
    <w:rsid w:val="004A3F72"/>
    <w:rsid w:val="004A51F7"/>
    <w:rsid w:val="004A7880"/>
    <w:rsid w:val="004B21BD"/>
    <w:rsid w:val="004B4FEC"/>
    <w:rsid w:val="004B584E"/>
    <w:rsid w:val="004B6701"/>
    <w:rsid w:val="004B766F"/>
    <w:rsid w:val="004C1106"/>
    <w:rsid w:val="004C1338"/>
    <w:rsid w:val="004C15DF"/>
    <w:rsid w:val="004C6D4B"/>
    <w:rsid w:val="004C6EC0"/>
    <w:rsid w:val="004C766B"/>
    <w:rsid w:val="004D33E3"/>
    <w:rsid w:val="004D38C4"/>
    <w:rsid w:val="004D6E4E"/>
    <w:rsid w:val="004D76C1"/>
    <w:rsid w:val="004D7785"/>
    <w:rsid w:val="004D7C22"/>
    <w:rsid w:val="004E1FD3"/>
    <w:rsid w:val="004E2269"/>
    <w:rsid w:val="004E3BE1"/>
    <w:rsid w:val="004E451A"/>
    <w:rsid w:val="004E705B"/>
    <w:rsid w:val="004F1697"/>
    <w:rsid w:val="004F24F5"/>
    <w:rsid w:val="004F3339"/>
    <w:rsid w:val="004F4987"/>
    <w:rsid w:val="004F5024"/>
    <w:rsid w:val="004F72A2"/>
    <w:rsid w:val="004F773A"/>
    <w:rsid w:val="004F78E5"/>
    <w:rsid w:val="005026D4"/>
    <w:rsid w:val="0050310B"/>
    <w:rsid w:val="00503A51"/>
    <w:rsid w:val="00504A10"/>
    <w:rsid w:val="00506774"/>
    <w:rsid w:val="005071CD"/>
    <w:rsid w:val="00507BD5"/>
    <w:rsid w:val="005107A6"/>
    <w:rsid w:val="00510FB6"/>
    <w:rsid w:val="00512309"/>
    <w:rsid w:val="0051601A"/>
    <w:rsid w:val="00517D5E"/>
    <w:rsid w:val="00534E91"/>
    <w:rsid w:val="005364CD"/>
    <w:rsid w:val="00541006"/>
    <w:rsid w:val="00541D54"/>
    <w:rsid w:val="00542522"/>
    <w:rsid w:val="00542F00"/>
    <w:rsid w:val="00542FF5"/>
    <w:rsid w:val="0054417F"/>
    <w:rsid w:val="005444A4"/>
    <w:rsid w:val="00544FCB"/>
    <w:rsid w:val="0054526E"/>
    <w:rsid w:val="00545CE1"/>
    <w:rsid w:val="005476B5"/>
    <w:rsid w:val="005502FC"/>
    <w:rsid w:val="00552E5F"/>
    <w:rsid w:val="00554291"/>
    <w:rsid w:val="0055432A"/>
    <w:rsid w:val="00554529"/>
    <w:rsid w:val="005549D7"/>
    <w:rsid w:val="005574F6"/>
    <w:rsid w:val="005601F6"/>
    <w:rsid w:val="005602DA"/>
    <w:rsid w:val="0056067E"/>
    <w:rsid w:val="00560E85"/>
    <w:rsid w:val="00562087"/>
    <w:rsid w:val="0056323B"/>
    <w:rsid w:val="0056774D"/>
    <w:rsid w:val="005678FC"/>
    <w:rsid w:val="0057138A"/>
    <w:rsid w:val="00572FA1"/>
    <w:rsid w:val="00573327"/>
    <w:rsid w:val="005817C4"/>
    <w:rsid w:val="005822D3"/>
    <w:rsid w:val="005828F4"/>
    <w:rsid w:val="00587D03"/>
    <w:rsid w:val="00591C06"/>
    <w:rsid w:val="005926DA"/>
    <w:rsid w:val="00592F64"/>
    <w:rsid w:val="00594398"/>
    <w:rsid w:val="005A32D8"/>
    <w:rsid w:val="005A3F63"/>
    <w:rsid w:val="005A4152"/>
    <w:rsid w:val="005A4738"/>
    <w:rsid w:val="005A59D0"/>
    <w:rsid w:val="005A5F4D"/>
    <w:rsid w:val="005A709D"/>
    <w:rsid w:val="005A7120"/>
    <w:rsid w:val="005B0292"/>
    <w:rsid w:val="005B073E"/>
    <w:rsid w:val="005B227F"/>
    <w:rsid w:val="005B5A73"/>
    <w:rsid w:val="005B7801"/>
    <w:rsid w:val="005C2EF2"/>
    <w:rsid w:val="005C5173"/>
    <w:rsid w:val="005C5891"/>
    <w:rsid w:val="005D04CC"/>
    <w:rsid w:val="005D0B37"/>
    <w:rsid w:val="005D3023"/>
    <w:rsid w:val="005D47C9"/>
    <w:rsid w:val="005D5FAE"/>
    <w:rsid w:val="005D6939"/>
    <w:rsid w:val="005D7F4A"/>
    <w:rsid w:val="005E3D43"/>
    <w:rsid w:val="005E4BC9"/>
    <w:rsid w:val="005F2295"/>
    <w:rsid w:val="005F29B7"/>
    <w:rsid w:val="005F355E"/>
    <w:rsid w:val="005F501C"/>
    <w:rsid w:val="005F5AEF"/>
    <w:rsid w:val="005F7AF9"/>
    <w:rsid w:val="00600FE1"/>
    <w:rsid w:val="00602285"/>
    <w:rsid w:val="006048A1"/>
    <w:rsid w:val="006049E1"/>
    <w:rsid w:val="00606EB5"/>
    <w:rsid w:val="00606FC8"/>
    <w:rsid w:val="0061337B"/>
    <w:rsid w:val="00615790"/>
    <w:rsid w:val="006168B2"/>
    <w:rsid w:val="00616C90"/>
    <w:rsid w:val="00616F6E"/>
    <w:rsid w:val="00617FDA"/>
    <w:rsid w:val="0062116F"/>
    <w:rsid w:val="00623554"/>
    <w:rsid w:val="00623FD7"/>
    <w:rsid w:val="00624E40"/>
    <w:rsid w:val="00626087"/>
    <w:rsid w:val="00634E4C"/>
    <w:rsid w:val="00635797"/>
    <w:rsid w:val="00636B8B"/>
    <w:rsid w:val="00637E57"/>
    <w:rsid w:val="006402D9"/>
    <w:rsid w:val="0064054B"/>
    <w:rsid w:val="00641EAA"/>
    <w:rsid w:val="006427FE"/>
    <w:rsid w:val="006501FB"/>
    <w:rsid w:val="006506C1"/>
    <w:rsid w:val="00654341"/>
    <w:rsid w:val="00657459"/>
    <w:rsid w:val="0065747A"/>
    <w:rsid w:val="006607A6"/>
    <w:rsid w:val="00662E28"/>
    <w:rsid w:val="0066334D"/>
    <w:rsid w:val="0066674D"/>
    <w:rsid w:val="00666A78"/>
    <w:rsid w:val="00676C12"/>
    <w:rsid w:val="00680E9B"/>
    <w:rsid w:val="006837DA"/>
    <w:rsid w:val="0068432B"/>
    <w:rsid w:val="00686371"/>
    <w:rsid w:val="00686A0E"/>
    <w:rsid w:val="00686B31"/>
    <w:rsid w:val="00691C97"/>
    <w:rsid w:val="0069375D"/>
    <w:rsid w:val="0069407C"/>
    <w:rsid w:val="0069574E"/>
    <w:rsid w:val="006969C0"/>
    <w:rsid w:val="00696A41"/>
    <w:rsid w:val="006977DB"/>
    <w:rsid w:val="006A1921"/>
    <w:rsid w:val="006A2303"/>
    <w:rsid w:val="006A2A67"/>
    <w:rsid w:val="006A2C82"/>
    <w:rsid w:val="006A603F"/>
    <w:rsid w:val="006B1527"/>
    <w:rsid w:val="006B4CFB"/>
    <w:rsid w:val="006B5290"/>
    <w:rsid w:val="006C40EC"/>
    <w:rsid w:val="006C590B"/>
    <w:rsid w:val="006D212F"/>
    <w:rsid w:val="006D2A45"/>
    <w:rsid w:val="006D315C"/>
    <w:rsid w:val="006D71B8"/>
    <w:rsid w:val="006E26EA"/>
    <w:rsid w:val="006E276A"/>
    <w:rsid w:val="006E31AC"/>
    <w:rsid w:val="006E4272"/>
    <w:rsid w:val="006E4A8D"/>
    <w:rsid w:val="006E5F94"/>
    <w:rsid w:val="006E6307"/>
    <w:rsid w:val="006E64AD"/>
    <w:rsid w:val="006F145A"/>
    <w:rsid w:val="006F27CB"/>
    <w:rsid w:val="006F359B"/>
    <w:rsid w:val="006F361F"/>
    <w:rsid w:val="006F3A30"/>
    <w:rsid w:val="006F5865"/>
    <w:rsid w:val="006F6647"/>
    <w:rsid w:val="00701EB3"/>
    <w:rsid w:val="00701EC6"/>
    <w:rsid w:val="00702078"/>
    <w:rsid w:val="00703C20"/>
    <w:rsid w:val="00706179"/>
    <w:rsid w:val="0070672A"/>
    <w:rsid w:val="007071AB"/>
    <w:rsid w:val="00714F78"/>
    <w:rsid w:val="007152B0"/>
    <w:rsid w:val="007170F7"/>
    <w:rsid w:val="00717589"/>
    <w:rsid w:val="00722F9F"/>
    <w:rsid w:val="007253B8"/>
    <w:rsid w:val="007263A3"/>
    <w:rsid w:val="00726C12"/>
    <w:rsid w:val="007277A6"/>
    <w:rsid w:val="007309A1"/>
    <w:rsid w:val="007351DA"/>
    <w:rsid w:val="00736E7D"/>
    <w:rsid w:val="00744826"/>
    <w:rsid w:val="007468B9"/>
    <w:rsid w:val="007509A6"/>
    <w:rsid w:val="00753DBD"/>
    <w:rsid w:val="00753F83"/>
    <w:rsid w:val="007541B0"/>
    <w:rsid w:val="0075469B"/>
    <w:rsid w:val="00755163"/>
    <w:rsid w:val="00755689"/>
    <w:rsid w:val="007556AF"/>
    <w:rsid w:val="00756AAB"/>
    <w:rsid w:val="00756DE3"/>
    <w:rsid w:val="007576C9"/>
    <w:rsid w:val="00757F63"/>
    <w:rsid w:val="007618D4"/>
    <w:rsid w:val="007645AE"/>
    <w:rsid w:val="00764992"/>
    <w:rsid w:val="00765749"/>
    <w:rsid w:val="007661BD"/>
    <w:rsid w:val="007665C2"/>
    <w:rsid w:val="0076712F"/>
    <w:rsid w:val="0077128D"/>
    <w:rsid w:val="00773549"/>
    <w:rsid w:val="00775AA0"/>
    <w:rsid w:val="00776B5F"/>
    <w:rsid w:val="007770FA"/>
    <w:rsid w:val="0078447E"/>
    <w:rsid w:val="00791738"/>
    <w:rsid w:val="00791780"/>
    <w:rsid w:val="00792D37"/>
    <w:rsid w:val="00793853"/>
    <w:rsid w:val="00793990"/>
    <w:rsid w:val="007963B6"/>
    <w:rsid w:val="007971C0"/>
    <w:rsid w:val="007A0EB7"/>
    <w:rsid w:val="007A6C66"/>
    <w:rsid w:val="007A7A5D"/>
    <w:rsid w:val="007B6131"/>
    <w:rsid w:val="007B6871"/>
    <w:rsid w:val="007B7899"/>
    <w:rsid w:val="007C0071"/>
    <w:rsid w:val="007C08B1"/>
    <w:rsid w:val="007C0A90"/>
    <w:rsid w:val="007C2CC2"/>
    <w:rsid w:val="007C38BD"/>
    <w:rsid w:val="007C79AA"/>
    <w:rsid w:val="007D1AD4"/>
    <w:rsid w:val="007D31DA"/>
    <w:rsid w:val="007D3EAB"/>
    <w:rsid w:val="007D49B4"/>
    <w:rsid w:val="007D72C5"/>
    <w:rsid w:val="007E14BA"/>
    <w:rsid w:val="007E525D"/>
    <w:rsid w:val="007E5609"/>
    <w:rsid w:val="007E64F7"/>
    <w:rsid w:val="007E7C0E"/>
    <w:rsid w:val="007F0323"/>
    <w:rsid w:val="007F23BD"/>
    <w:rsid w:val="007F2926"/>
    <w:rsid w:val="007F379E"/>
    <w:rsid w:val="007F471C"/>
    <w:rsid w:val="00800C90"/>
    <w:rsid w:val="00804A35"/>
    <w:rsid w:val="0080504C"/>
    <w:rsid w:val="008065F5"/>
    <w:rsid w:val="00807D37"/>
    <w:rsid w:val="00807F17"/>
    <w:rsid w:val="008125F8"/>
    <w:rsid w:val="00815E2E"/>
    <w:rsid w:val="008208A8"/>
    <w:rsid w:val="00822698"/>
    <w:rsid w:val="008244C7"/>
    <w:rsid w:val="00824A9A"/>
    <w:rsid w:val="00826012"/>
    <w:rsid w:val="00831828"/>
    <w:rsid w:val="0083297A"/>
    <w:rsid w:val="008330C6"/>
    <w:rsid w:val="00834294"/>
    <w:rsid w:val="00834CCB"/>
    <w:rsid w:val="00834CE0"/>
    <w:rsid w:val="008350A1"/>
    <w:rsid w:val="0084110F"/>
    <w:rsid w:val="00843EF7"/>
    <w:rsid w:val="008449FC"/>
    <w:rsid w:val="00844B1D"/>
    <w:rsid w:val="00844F5C"/>
    <w:rsid w:val="00845820"/>
    <w:rsid w:val="00845843"/>
    <w:rsid w:val="0084596F"/>
    <w:rsid w:val="00846D34"/>
    <w:rsid w:val="00846DC9"/>
    <w:rsid w:val="00854CF0"/>
    <w:rsid w:val="0085518A"/>
    <w:rsid w:val="00855C14"/>
    <w:rsid w:val="008564DB"/>
    <w:rsid w:val="00863020"/>
    <w:rsid w:val="008637EC"/>
    <w:rsid w:val="00863F28"/>
    <w:rsid w:val="00864018"/>
    <w:rsid w:val="00865F5E"/>
    <w:rsid w:val="00870BC6"/>
    <w:rsid w:val="00874A13"/>
    <w:rsid w:val="00875DAD"/>
    <w:rsid w:val="008762AB"/>
    <w:rsid w:val="00877B84"/>
    <w:rsid w:val="00877E5F"/>
    <w:rsid w:val="00880290"/>
    <w:rsid w:val="0088036D"/>
    <w:rsid w:val="00881155"/>
    <w:rsid w:val="00882892"/>
    <w:rsid w:val="008839BF"/>
    <w:rsid w:val="00885A14"/>
    <w:rsid w:val="00886117"/>
    <w:rsid w:val="0088684B"/>
    <w:rsid w:val="0088689B"/>
    <w:rsid w:val="00890FA0"/>
    <w:rsid w:val="008918AF"/>
    <w:rsid w:val="008947BF"/>
    <w:rsid w:val="00896E2E"/>
    <w:rsid w:val="008A09D6"/>
    <w:rsid w:val="008A0B96"/>
    <w:rsid w:val="008A0CBE"/>
    <w:rsid w:val="008A1CA8"/>
    <w:rsid w:val="008A214D"/>
    <w:rsid w:val="008A2D4F"/>
    <w:rsid w:val="008A53C0"/>
    <w:rsid w:val="008A6F22"/>
    <w:rsid w:val="008A72D2"/>
    <w:rsid w:val="008A74A3"/>
    <w:rsid w:val="008B0207"/>
    <w:rsid w:val="008B26DB"/>
    <w:rsid w:val="008B4ACB"/>
    <w:rsid w:val="008B6707"/>
    <w:rsid w:val="008B6868"/>
    <w:rsid w:val="008B6D24"/>
    <w:rsid w:val="008C34F7"/>
    <w:rsid w:val="008C40BF"/>
    <w:rsid w:val="008C6A43"/>
    <w:rsid w:val="008D080C"/>
    <w:rsid w:val="008D1867"/>
    <w:rsid w:val="008D579C"/>
    <w:rsid w:val="008D6437"/>
    <w:rsid w:val="008D6EDF"/>
    <w:rsid w:val="008E3EF5"/>
    <w:rsid w:val="008E6FDA"/>
    <w:rsid w:val="008F33B5"/>
    <w:rsid w:val="00901414"/>
    <w:rsid w:val="00906799"/>
    <w:rsid w:val="00917279"/>
    <w:rsid w:val="00917642"/>
    <w:rsid w:val="009177D8"/>
    <w:rsid w:val="009211C3"/>
    <w:rsid w:val="00922193"/>
    <w:rsid w:val="0092333F"/>
    <w:rsid w:val="00923813"/>
    <w:rsid w:val="00923A74"/>
    <w:rsid w:val="00924152"/>
    <w:rsid w:val="00924A87"/>
    <w:rsid w:val="00931210"/>
    <w:rsid w:val="0093194D"/>
    <w:rsid w:val="00934125"/>
    <w:rsid w:val="00934C3F"/>
    <w:rsid w:val="00934CE0"/>
    <w:rsid w:val="009417AE"/>
    <w:rsid w:val="0094465F"/>
    <w:rsid w:val="00944C8F"/>
    <w:rsid w:val="009454BD"/>
    <w:rsid w:val="00945B3F"/>
    <w:rsid w:val="00945E50"/>
    <w:rsid w:val="00950DCB"/>
    <w:rsid w:val="0095201C"/>
    <w:rsid w:val="00952D47"/>
    <w:rsid w:val="00952D4C"/>
    <w:rsid w:val="00954009"/>
    <w:rsid w:val="00954ECC"/>
    <w:rsid w:val="009564A4"/>
    <w:rsid w:val="0096013C"/>
    <w:rsid w:val="00960246"/>
    <w:rsid w:val="00964D7A"/>
    <w:rsid w:val="00970C4A"/>
    <w:rsid w:val="009720E1"/>
    <w:rsid w:val="00974F0E"/>
    <w:rsid w:val="00975C0A"/>
    <w:rsid w:val="00975CD7"/>
    <w:rsid w:val="009764EF"/>
    <w:rsid w:val="009765DC"/>
    <w:rsid w:val="00980CA1"/>
    <w:rsid w:val="00983A8F"/>
    <w:rsid w:val="00985E70"/>
    <w:rsid w:val="00986C5C"/>
    <w:rsid w:val="0098783B"/>
    <w:rsid w:val="00990D4A"/>
    <w:rsid w:val="009927E8"/>
    <w:rsid w:val="00992AA3"/>
    <w:rsid w:val="00993C2B"/>
    <w:rsid w:val="00993E01"/>
    <w:rsid w:val="0099648C"/>
    <w:rsid w:val="009979F4"/>
    <w:rsid w:val="009A0125"/>
    <w:rsid w:val="009A132C"/>
    <w:rsid w:val="009A186A"/>
    <w:rsid w:val="009A234F"/>
    <w:rsid w:val="009A246D"/>
    <w:rsid w:val="009A3A38"/>
    <w:rsid w:val="009A4505"/>
    <w:rsid w:val="009A45B2"/>
    <w:rsid w:val="009A5585"/>
    <w:rsid w:val="009A59D5"/>
    <w:rsid w:val="009A6256"/>
    <w:rsid w:val="009B10E1"/>
    <w:rsid w:val="009B2CB7"/>
    <w:rsid w:val="009B6519"/>
    <w:rsid w:val="009C0E17"/>
    <w:rsid w:val="009C2198"/>
    <w:rsid w:val="009C2F81"/>
    <w:rsid w:val="009C719D"/>
    <w:rsid w:val="009D2DDD"/>
    <w:rsid w:val="009D4BC4"/>
    <w:rsid w:val="009E0C10"/>
    <w:rsid w:val="009E4116"/>
    <w:rsid w:val="009E4E73"/>
    <w:rsid w:val="009E529F"/>
    <w:rsid w:val="009F1D0F"/>
    <w:rsid w:val="009F2FBF"/>
    <w:rsid w:val="009F59A2"/>
    <w:rsid w:val="00A0160E"/>
    <w:rsid w:val="00A040FE"/>
    <w:rsid w:val="00A04F54"/>
    <w:rsid w:val="00A055D4"/>
    <w:rsid w:val="00A07169"/>
    <w:rsid w:val="00A10DA6"/>
    <w:rsid w:val="00A124A4"/>
    <w:rsid w:val="00A1396A"/>
    <w:rsid w:val="00A13C24"/>
    <w:rsid w:val="00A15055"/>
    <w:rsid w:val="00A151E9"/>
    <w:rsid w:val="00A15578"/>
    <w:rsid w:val="00A159E8"/>
    <w:rsid w:val="00A15DBB"/>
    <w:rsid w:val="00A1697D"/>
    <w:rsid w:val="00A20D9C"/>
    <w:rsid w:val="00A22D77"/>
    <w:rsid w:val="00A239AC"/>
    <w:rsid w:val="00A239C9"/>
    <w:rsid w:val="00A24460"/>
    <w:rsid w:val="00A24AE1"/>
    <w:rsid w:val="00A259F2"/>
    <w:rsid w:val="00A2758A"/>
    <w:rsid w:val="00A31721"/>
    <w:rsid w:val="00A323E7"/>
    <w:rsid w:val="00A33802"/>
    <w:rsid w:val="00A33A6B"/>
    <w:rsid w:val="00A33A7D"/>
    <w:rsid w:val="00A34ADD"/>
    <w:rsid w:val="00A370C0"/>
    <w:rsid w:val="00A37162"/>
    <w:rsid w:val="00A37E51"/>
    <w:rsid w:val="00A401B0"/>
    <w:rsid w:val="00A438D7"/>
    <w:rsid w:val="00A440DB"/>
    <w:rsid w:val="00A44F4E"/>
    <w:rsid w:val="00A466DB"/>
    <w:rsid w:val="00A51E2D"/>
    <w:rsid w:val="00A5319F"/>
    <w:rsid w:val="00A533A9"/>
    <w:rsid w:val="00A533BD"/>
    <w:rsid w:val="00A53690"/>
    <w:rsid w:val="00A536DE"/>
    <w:rsid w:val="00A54B9D"/>
    <w:rsid w:val="00A54BB5"/>
    <w:rsid w:val="00A54FAF"/>
    <w:rsid w:val="00A55CC3"/>
    <w:rsid w:val="00A62703"/>
    <w:rsid w:val="00A62D31"/>
    <w:rsid w:val="00A62E2B"/>
    <w:rsid w:val="00A63380"/>
    <w:rsid w:val="00A704D0"/>
    <w:rsid w:val="00A73594"/>
    <w:rsid w:val="00A8129D"/>
    <w:rsid w:val="00A82188"/>
    <w:rsid w:val="00A864A3"/>
    <w:rsid w:val="00A865C7"/>
    <w:rsid w:val="00A877E3"/>
    <w:rsid w:val="00A909CC"/>
    <w:rsid w:val="00A90A8A"/>
    <w:rsid w:val="00A9210C"/>
    <w:rsid w:val="00A923DC"/>
    <w:rsid w:val="00A94B90"/>
    <w:rsid w:val="00A964A5"/>
    <w:rsid w:val="00A97E3B"/>
    <w:rsid w:val="00AA00CB"/>
    <w:rsid w:val="00AA0787"/>
    <w:rsid w:val="00AA20A1"/>
    <w:rsid w:val="00AA41F2"/>
    <w:rsid w:val="00AA4F8A"/>
    <w:rsid w:val="00AB039E"/>
    <w:rsid w:val="00AB4206"/>
    <w:rsid w:val="00AB5E98"/>
    <w:rsid w:val="00AB636D"/>
    <w:rsid w:val="00AC012A"/>
    <w:rsid w:val="00AC1B4A"/>
    <w:rsid w:val="00AC1F17"/>
    <w:rsid w:val="00AC2734"/>
    <w:rsid w:val="00AC4DB3"/>
    <w:rsid w:val="00AC7E54"/>
    <w:rsid w:val="00AD0971"/>
    <w:rsid w:val="00AD26E2"/>
    <w:rsid w:val="00AD3558"/>
    <w:rsid w:val="00AD46F4"/>
    <w:rsid w:val="00AD4D14"/>
    <w:rsid w:val="00AD68F3"/>
    <w:rsid w:val="00AD6EC6"/>
    <w:rsid w:val="00AE6618"/>
    <w:rsid w:val="00AE6A4E"/>
    <w:rsid w:val="00AE7B98"/>
    <w:rsid w:val="00AF129F"/>
    <w:rsid w:val="00AF336F"/>
    <w:rsid w:val="00AF5306"/>
    <w:rsid w:val="00AF662D"/>
    <w:rsid w:val="00AF6832"/>
    <w:rsid w:val="00AF6858"/>
    <w:rsid w:val="00AF6DAD"/>
    <w:rsid w:val="00B016D7"/>
    <w:rsid w:val="00B0189F"/>
    <w:rsid w:val="00B0191E"/>
    <w:rsid w:val="00B02083"/>
    <w:rsid w:val="00B04E06"/>
    <w:rsid w:val="00B10C48"/>
    <w:rsid w:val="00B12DC9"/>
    <w:rsid w:val="00B13F84"/>
    <w:rsid w:val="00B142BC"/>
    <w:rsid w:val="00B14604"/>
    <w:rsid w:val="00B15ABA"/>
    <w:rsid w:val="00B15D50"/>
    <w:rsid w:val="00B20FA0"/>
    <w:rsid w:val="00B212DD"/>
    <w:rsid w:val="00B239F3"/>
    <w:rsid w:val="00B24DD4"/>
    <w:rsid w:val="00B27554"/>
    <w:rsid w:val="00B31C17"/>
    <w:rsid w:val="00B337F2"/>
    <w:rsid w:val="00B34339"/>
    <w:rsid w:val="00B34C4F"/>
    <w:rsid w:val="00B40B7D"/>
    <w:rsid w:val="00B42B2F"/>
    <w:rsid w:val="00B44900"/>
    <w:rsid w:val="00B457CF"/>
    <w:rsid w:val="00B467F6"/>
    <w:rsid w:val="00B472E1"/>
    <w:rsid w:val="00B4780C"/>
    <w:rsid w:val="00B52821"/>
    <w:rsid w:val="00B5533C"/>
    <w:rsid w:val="00B554C1"/>
    <w:rsid w:val="00B56C63"/>
    <w:rsid w:val="00B57AA1"/>
    <w:rsid w:val="00B62AFA"/>
    <w:rsid w:val="00B664C7"/>
    <w:rsid w:val="00B71170"/>
    <w:rsid w:val="00B738DA"/>
    <w:rsid w:val="00B73D67"/>
    <w:rsid w:val="00B76788"/>
    <w:rsid w:val="00B7714E"/>
    <w:rsid w:val="00B80BCE"/>
    <w:rsid w:val="00B81524"/>
    <w:rsid w:val="00B81740"/>
    <w:rsid w:val="00B83542"/>
    <w:rsid w:val="00B85BA4"/>
    <w:rsid w:val="00B85D7B"/>
    <w:rsid w:val="00B900EA"/>
    <w:rsid w:val="00B91069"/>
    <w:rsid w:val="00B91255"/>
    <w:rsid w:val="00B92842"/>
    <w:rsid w:val="00B9351C"/>
    <w:rsid w:val="00B962C8"/>
    <w:rsid w:val="00BA25FB"/>
    <w:rsid w:val="00BA2713"/>
    <w:rsid w:val="00BA2941"/>
    <w:rsid w:val="00BA4C61"/>
    <w:rsid w:val="00BA627A"/>
    <w:rsid w:val="00BA736B"/>
    <w:rsid w:val="00BB063D"/>
    <w:rsid w:val="00BB22FA"/>
    <w:rsid w:val="00BB3339"/>
    <w:rsid w:val="00BB5064"/>
    <w:rsid w:val="00BB5497"/>
    <w:rsid w:val="00BB62CA"/>
    <w:rsid w:val="00BC41C0"/>
    <w:rsid w:val="00BC6EC4"/>
    <w:rsid w:val="00BD05A7"/>
    <w:rsid w:val="00BD12A1"/>
    <w:rsid w:val="00BD1D09"/>
    <w:rsid w:val="00BD7B83"/>
    <w:rsid w:val="00BE7BD2"/>
    <w:rsid w:val="00BF0744"/>
    <w:rsid w:val="00BF17C6"/>
    <w:rsid w:val="00BF352F"/>
    <w:rsid w:val="00BF3901"/>
    <w:rsid w:val="00BF3915"/>
    <w:rsid w:val="00BF6357"/>
    <w:rsid w:val="00BF6F09"/>
    <w:rsid w:val="00C00FDA"/>
    <w:rsid w:val="00C02EB9"/>
    <w:rsid w:val="00C02F8C"/>
    <w:rsid w:val="00C0349C"/>
    <w:rsid w:val="00C0373C"/>
    <w:rsid w:val="00C04E4B"/>
    <w:rsid w:val="00C05D7B"/>
    <w:rsid w:val="00C10CAD"/>
    <w:rsid w:val="00C11531"/>
    <w:rsid w:val="00C11ABB"/>
    <w:rsid w:val="00C11B56"/>
    <w:rsid w:val="00C131CF"/>
    <w:rsid w:val="00C14C04"/>
    <w:rsid w:val="00C1529E"/>
    <w:rsid w:val="00C15ABB"/>
    <w:rsid w:val="00C16045"/>
    <w:rsid w:val="00C21C3E"/>
    <w:rsid w:val="00C21E27"/>
    <w:rsid w:val="00C2332A"/>
    <w:rsid w:val="00C23536"/>
    <w:rsid w:val="00C271F9"/>
    <w:rsid w:val="00C31472"/>
    <w:rsid w:val="00C32FC1"/>
    <w:rsid w:val="00C37591"/>
    <w:rsid w:val="00C37E56"/>
    <w:rsid w:val="00C4135A"/>
    <w:rsid w:val="00C42EA5"/>
    <w:rsid w:val="00C466C8"/>
    <w:rsid w:val="00C4762B"/>
    <w:rsid w:val="00C479AD"/>
    <w:rsid w:val="00C47DBB"/>
    <w:rsid w:val="00C50195"/>
    <w:rsid w:val="00C51D70"/>
    <w:rsid w:val="00C6038F"/>
    <w:rsid w:val="00C62BF5"/>
    <w:rsid w:val="00C636DA"/>
    <w:rsid w:val="00C6501F"/>
    <w:rsid w:val="00C672AA"/>
    <w:rsid w:val="00C67E22"/>
    <w:rsid w:val="00C70DA3"/>
    <w:rsid w:val="00C72271"/>
    <w:rsid w:val="00C72A17"/>
    <w:rsid w:val="00C80558"/>
    <w:rsid w:val="00C81356"/>
    <w:rsid w:val="00C813CD"/>
    <w:rsid w:val="00C81F3F"/>
    <w:rsid w:val="00C858D9"/>
    <w:rsid w:val="00C860BD"/>
    <w:rsid w:val="00C87DA0"/>
    <w:rsid w:val="00C909F0"/>
    <w:rsid w:val="00C9352A"/>
    <w:rsid w:val="00C9518F"/>
    <w:rsid w:val="00C95FD1"/>
    <w:rsid w:val="00CA3F7E"/>
    <w:rsid w:val="00CA4E4D"/>
    <w:rsid w:val="00CA680D"/>
    <w:rsid w:val="00CA6FF9"/>
    <w:rsid w:val="00CA7107"/>
    <w:rsid w:val="00CA74EC"/>
    <w:rsid w:val="00CB29C6"/>
    <w:rsid w:val="00CB3CEB"/>
    <w:rsid w:val="00CB4238"/>
    <w:rsid w:val="00CB5938"/>
    <w:rsid w:val="00CB5B27"/>
    <w:rsid w:val="00CB65FF"/>
    <w:rsid w:val="00CC13F5"/>
    <w:rsid w:val="00CC18B3"/>
    <w:rsid w:val="00CC1A64"/>
    <w:rsid w:val="00CC34EB"/>
    <w:rsid w:val="00CC66EA"/>
    <w:rsid w:val="00CD0DA7"/>
    <w:rsid w:val="00CD188F"/>
    <w:rsid w:val="00CD3C17"/>
    <w:rsid w:val="00CD6C6D"/>
    <w:rsid w:val="00CD7347"/>
    <w:rsid w:val="00CE1F9C"/>
    <w:rsid w:val="00CE2E48"/>
    <w:rsid w:val="00CE5AC1"/>
    <w:rsid w:val="00CE744D"/>
    <w:rsid w:val="00CF0184"/>
    <w:rsid w:val="00CF2746"/>
    <w:rsid w:val="00CF2AD5"/>
    <w:rsid w:val="00CF55F6"/>
    <w:rsid w:val="00CF59E0"/>
    <w:rsid w:val="00CF6672"/>
    <w:rsid w:val="00CF714D"/>
    <w:rsid w:val="00D021F7"/>
    <w:rsid w:val="00D03053"/>
    <w:rsid w:val="00D04AFD"/>
    <w:rsid w:val="00D05678"/>
    <w:rsid w:val="00D061D8"/>
    <w:rsid w:val="00D069C7"/>
    <w:rsid w:val="00D07139"/>
    <w:rsid w:val="00D073A1"/>
    <w:rsid w:val="00D078A2"/>
    <w:rsid w:val="00D1119D"/>
    <w:rsid w:val="00D13FB8"/>
    <w:rsid w:val="00D1614B"/>
    <w:rsid w:val="00D16C4B"/>
    <w:rsid w:val="00D1709B"/>
    <w:rsid w:val="00D21123"/>
    <w:rsid w:val="00D2555E"/>
    <w:rsid w:val="00D26BB7"/>
    <w:rsid w:val="00D273EB"/>
    <w:rsid w:val="00D367EB"/>
    <w:rsid w:val="00D36C91"/>
    <w:rsid w:val="00D41871"/>
    <w:rsid w:val="00D43C52"/>
    <w:rsid w:val="00D45954"/>
    <w:rsid w:val="00D461C2"/>
    <w:rsid w:val="00D46313"/>
    <w:rsid w:val="00D52C82"/>
    <w:rsid w:val="00D5551D"/>
    <w:rsid w:val="00D56A33"/>
    <w:rsid w:val="00D61AAE"/>
    <w:rsid w:val="00D61E7D"/>
    <w:rsid w:val="00D633B3"/>
    <w:rsid w:val="00D64CB8"/>
    <w:rsid w:val="00D66F3A"/>
    <w:rsid w:val="00D67E2F"/>
    <w:rsid w:val="00D70801"/>
    <w:rsid w:val="00D720AE"/>
    <w:rsid w:val="00D72C37"/>
    <w:rsid w:val="00D72FD8"/>
    <w:rsid w:val="00D7474A"/>
    <w:rsid w:val="00D809E6"/>
    <w:rsid w:val="00D83B45"/>
    <w:rsid w:val="00D91179"/>
    <w:rsid w:val="00D92A45"/>
    <w:rsid w:val="00D93545"/>
    <w:rsid w:val="00D9697A"/>
    <w:rsid w:val="00DA3023"/>
    <w:rsid w:val="00DA4301"/>
    <w:rsid w:val="00DA4855"/>
    <w:rsid w:val="00DA4C48"/>
    <w:rsid w:val="00DA61EE"/>
    <w:rsid w:val="00DA727D"/>
    <w:rsid w:val="00DB53A7"/>
    <w:rsid w:val="00DB7725"/>
    <w:rsid w:val="00DC0C5E"/>
    <w:rsid w:val="00DC2965"/>
    <w:rsid w:val="00DC71DB"/>
    <w:rsid w:val="00DC7D10"/>
    <w:rsid w:val="00DD170F"/>
    <w:rsid w:val="00DD223D"/>
    <w:rsid w:val="00DE0A8A"/>
    <w:rsid w:val="00DE23B4"/>
    <w:rsid w:val="00DF04DB"/>
    <w:rsid w:val="00DF1C5E"/>
    <w:rsid w:val="00DF2F8B"/>
    <w:rsid w:val="00DF40B0"/>
    <w:rsid w:val="00DF6837"/>
    <w:rsid w:val="00DF68E4"/>
    <w:rsid w:val="00DF6E2F"/>
    <w:rsid w:val="00DF6E54"/>
    <w:rsid w:val="00E02561"/>
    <w:rsid w:val="00E03293"/>
    <w:rsid w:val="00E035C0"/>
    <w:rsid w:val="00E03811"/>
    <w:rsid w:val="00E04228"/>
    <w:rsid w:val="00E04457"/>
    <w:rsid w:val="00E04BBC"/>
    <w:rsid w:val="00E10450"/>
    <w:rsid w:val="00E1453B"/>
    <w:rsid w:val="00E1478E"/>
    <w:rsid w:val="00E159D7"/>
    <w:rsid w:val="00E16958"/>
    <w:rsid w:val="00E17232"/>
    <w:rsid w:val="00E2075B"/>
    <w:rsid w:val="00E213AB"/>
    <w:rsid w:val="00E21653"/>
    <w:rsid w:val="00E21C9B"/>
    <w:rsid w:val="00E2414E"/>
    <w:rsid w:val="00E24CFB"/>
    <w:rsid w:val="00E24D45"/>
    <w:rsid w:val="00E2675D"/>
    <w:rsid w:val="00E26830"/>
    <w:rsid w:val="00E26FAF"/>
    <w:rsid w:val="00E3380A"/>
    <w:rsid w:val="00E3581A"/>
    <w:rsid w:val="00E40B36"/>
    <w:rsid w:val="00E4259D"/>
    <w:rsid w:val="00E43F3D"/>
    <w:rsid w:val="00E51672"/>
    <w:rsid w:val="00E522FC"/>
    <w:rsid w:val="00E525CD"/>
    <w:rsid w:val="00E54500"/>
    <w:rsid w:val="00E55EE5"/>
    <w:rsid w:val="00E5777D"/>
    <w:rsid w:val="00E57D06"/>
    <w:rsid w:val="00E61784"/>
    <w:rsid w:val="00E625B3"/>
    <w:rsid w:val="00E62DB3"/>
    <w:rsid w:val="00E64743"/>
    <w:rsid w:val="00E64EDE"/>
    <w:rsid w:val="00E7257D"/>
    <w:rsid w:val="00E728CB"/>
    <w:rsid w:val="00E72941"/>
    <w:rsid w:val="00E7336F"/>
    <w:rsid w:val="00E74F3B"/>
    <w:rsid w:val="00E750EB"/>
    <w:rsid w:val="00E7612C"/>
    <w:rsid w:val="00E76262"/>
    <w:rsid w:val="00E82857"/>
    <w:rsid w:val="00E84A6B"/>
    <w:rsid w:val="00E90A67"/>
    <w:rsid w:val="00E917CB"/>
    <w:rsid w:val="00E91A6B"/>
    <w:rsid w:val="00E92385"/>
    <w:rsid w:val="00E93F74"/>
    <w:rsid w:val="00E9541D"/>
    <w:rsid w:val="00E95797"/>
    <w:rsid w:val="00E96846"/>
    <w:rsid w:val="00E96DEA"/>
    <w:rsid w:val="00E97FD0"/>
    <w:rsid w:val="00EA135F"/>
    <w:rsid w:val="00EA1585"/>
    <w:rsid w:val="00EA48AE"/>
    <w:rsid w:val="00EA4958"/>
    <w:rsid w:val="00EA6111"/>
    <w:rsid w:val="00EB09E2"/>
    <w:rsid w:val="00EB171F"/>
    <w:rsid w:val="00EB74A5"/>
    <w:rsid w:val="00EB7920"/>
    <w:rsid w:val="00EB7FB6"/>
    <w:rsid w:val="00EC403F"/>
    <w:rsid w:val="00ED0A9A"/>
    <w:rsid w:val="00ED208C"/>
    <w:rsid w:val="00ED370F"/>
    <w:rsid w:val="00ED4DA2"/>
    <w:rsid w:val="00ED56C6"/>
    <w:rsid w:val="00ED6C81"/>
    <w:rsid w:val="00EE0126"/>
    <w:rsid w:val="00EE0728"/>
    <w:rsid w:val="00EE0C89"/>
    <w:rsid w:val="00EE11FD"/>
    <w:rsid w:val="00EE47FE"/>
    <w:rsid w:val="00EE50C6"/>
    <w:rsid w:val="00EE5D41"/>
    <w:rsid w:val="00EE6BE1"/>
    <w:rsid w:val="00EE766D"/>
    <w:rsid w:val="00EF10DF"/>
    <w:rsid w:val="00EF14ED"/>
    <w:rsid w:val="00EF2A15"/>
    <w:rsid w:val="00EF564D"/>
    <w:rsid w:val="00EF5BFD"/>
    <w:rsid w:val="00EF7B33"/>
    <w:rsid w:val="00F00470"/>
    <w:rsid w:val="00F01C6F"/>
    <w:rsid w:val="00F03F65"/>
    <w:rsid w:val="00F04AD4"/>
    <w:rsid w:val="00F0509B"/>
    <w:rsid w:val="00F06EE2"/>
    <w:rsid w:val="00F074DC"/>
    <w:rsid w:val="00F1186B"/>
    <w:rsid w:val="00F13616"/>
    <w:rsid w:val="00F13EC8"/>
    <w:rsid w:val="00F14365"/>
    <w:rsid w:val="00F15632"/>
    <w:rsid w:val="00F17535"/>
    <w:rsid w:val="00F20949"/>
    <w:rsid w:val="00F2194B"/>
    <w:rsid w:val="00F2259A"/>
    <w:rsid w:val="00F24F8F"/>
    <w:rsid w:val="00F303B2"/>
    <w:rsid w:val="00F307E0"/>
    <w:rsid w:val="00F31357"/>
    <w:rsid w:val="00F33926"/>
    <w:rsid w:val="00F33A6E"/>
    <w:rsid w:val="00F34D63"/>
    <w:rsid w:val="00F35118"/>
    <w:rsid w:val="00F358A8"/>
    <w:rsid w:val="00F36B25"/>
    <w:rsid w:val="00F378F6"/>
    <w:rsid w:val="00F4098B"/>
    <w:rsid w:val="00F43EF2"/>
    <w:rsid w:val="00F44B42"/>
    <w:rsid w:val="00F50A6A"/>
    <w:rsid w:val="00F53AE9"/>
    <w:rsid w:val="00F555F7"/>
    <w:rsid w:val="00F56E45"/>
    <w:rsid w:val="00F57F7A"/>
    <w:rsid w:val="00F62574"/>
    <w:rsid w:val="00F62D33"/>
    <w:rsid w:val="00F645DB"/>
    <w:rsid w:val="00F64AB3"/>
    <w:rsid w:val="00F6570B"/>
    <w:rsid w:val="00F657C3"/>
    <w:rsid w:val="00F66EA7"/>
    <w:rsid w:val="00F67615"/>
    <w:rsid w:val="00F71FFA"/>
    <w:rsid w:val="00F722C2"/>
    <w:rsid w:val="00F726F8"/>
    <w:rsid w:val="00F7579F"/>
    <w:rsid w:val="00F76C98"/>
    <w:rsid w:val="00F7770E"/>
    <w:rsid w:val="00F804CD"/>
    <w:rsid w:val="00F80750"/>
    <w:rsid w:val="00F85676"/>
    <w:rsid w:val="00F859F1"/>
    <w:rsid w:val="00F85F59"/>
    <w:rsid w:val="00F86538"/>
    <w:rsid w:val="00F86717"/>
    <w:rsid w:val="00F86DD4"/>
    <w:rsid w:val="00F93F05"/>
    <w:rsid w:val="00F9441D"/>
    <w:rsid w:val="00F94D79"/>
    <w:rsid w:val="00F97C7A"/>
    <w:rsid w:val="00FA176F"/>
    <w:rsid w:val="00FA2569"/>
    <w:rsid w:val="00FA2909"/>
    <w:rsid w:val="00FA3CEC"/>
    <w:rsid w:val="00FA7EE3"/>
    <w:rsid w:val="00FB04E0"/>
    <w:rsid w:val="00FB1873"/>
    <w:rsid w:val="00FB4CF2"/>
    <w:rsid w:val="00FB5F41"/>
    <w:rsid w:val="00FC26E4"/>
    <w:rsid w:val="00FC4845"/>
    <w:rsid w:val="00FC6B03"/>
    <w:rsid w:val="00FD06D5"/>
    <w:rsid w:val="00FD1A41"/>
    <w:rsid w:val="00FD28FF"/>
    <w:rsid w:val="00FD5EFA"/>
    <w:rsid w:val="00FD68A1"/>
    <w:rsid w:val="00FE18F5"/>
    <w:rsid w:val="00FE419E"/>
    <w:rsid w:val="00FE5CBD"/>
    <w:rsid w:val="00FF2484"/>
    <w:rsid w:val="00FF4201"/>
    <w:rsid w:val="00FF5998"/>
    <w:rsid w:val="00FF6533"/>
    <w:rsid w:val="0632252A"/>
    <w:rsid w:val="0F1DAC6E"/>
    <w:rsid w:val="103F2E62"/>
    <w:rsid w:val="19667A20"/>
    <w:rsid w:val="1B699D61"/>
    <w:rsid w:val="1B908165"/>
    <w:rsid w:val="246E4EF8"/>
    <w:rsid w:val="2A605D52"/>
    <w:rsid w:val="2CDF7EFB"/>
    <w:rsid w:val="3333F180"/>
    <w:rsid w:val="3B4D992E"/>
    <w:rsid w:val="3F0BE972"/>
    <w:rsid w:val="405955DE"/>
    <w:rsid w:val="467243BB"/>
    <w:rsid w:val="4B38C262"/>
    <w:rsid w:val="51B5AD80"/>
    <w:rsid w:val="52687660"/>
    <w:rsid w:val="53646F3C"/>
    <w:rsid w:val="57AF2750"/>
    <w:rsid w:val="5F0BCA74"/>
    <w:rsid w:val="5FF892DF"/>
    <w:rsid w:val="68ACE451"/>
    <w:rsid w:val="69B5447B"/>
    <w:rsid w:val="6A6C3990"/>
    <w:rsid w:val="6C19C02E"/>
    <w:rsid w:val="704A91F1"/>
    <w:rsid w:val="76DCD2CC"/>
    <w:rsid w:val="78FD0567"/>
    <w:rsid w:val="7CB0484E"/>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22A0"/>
  <w15:chartTrackingRefBased/>
  <w15:docId w15:val="{1ACFD19D-C6A8-44F7-9F0B-E856FC22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0"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12641B"/>
    <w:pPr>
      <w:jc w:val="left"/>
    </w:pPr>
    <w:rPr>
      <w:rFonts w:ascii="Times New Roman" w:hAnsi="Times New Roman" w:cs="Times New Roman"/>
      <w:sz w:val="24"/>
      <w:szCs w:val="24"/>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List"/>
    <w:next w:val="Normal"/>
    <w:link w:val="Heading2Char"/>
    <w:uiPriority w:val="9"/>
    <w:qFormat/>
    <w:rsid w:val="003559B1"/>
    <w:pPr>
      <w:numPr>
        <w:ilvl w:val="0"/>
        <w:numId w:val="17"/>
      </w:numPr>
      <w:ind w:left="567" w:hanging="567"/>
      <w:outlineLvl w:val="1"/>
    </w:pPr>
    <w:rPr>
      <w:b/>
    </w:rPr>
  </w:style>
  <w:style w:type="paragraph" w:styleId="Heading3">
    <w:name w:val="heading 3"/>
    <w:basedOn w:val="Normal"/>
    <w:next w:val="Normal"/>
    <w:link w:val="Heading3Char"/>
    <w:qFormat/>
    <w:rsid w:val="0012641B"/>
    <w:pPr>
      <w:numPr>
        <w:numId w:val="5"/>
      </w:numPr>
      <w:outlineLvl w:val="2"/>
    </w:pPr>
    <w:rPr>
      <w:b/>
      <w:i/>
    </w:rPr>
  </w:style>
  <w:style w:type="paragraph" w:styleId="Heading4">
    <w:name w:val="heading 4"/>
    <w:basedOn w:val="Normal"/>
    <w:next w:val="Normal"/>
    <w:link w:val="Heading4Char"/>
    <w:uiPriority w:val="9"/>
    <w:qFormat/>
    <w:rsid w:val="00517D5E"/>
    <w:pPr>
      <w:keepNext/>
      <w:keepLines/>
      <w:spacing w:before="240"/>
      <w:outlineLvl w:val="3"/>
    </w:pPr>
    <w:rPr>
      <w:rFonts w:eastAsiaTheme="majorEastAsia"/>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3559B1"/>
    <w:rPr>
      <w:rFonts w:ascii="Times New Roman" w:hAnsi="Times New Roman" w:cs="Times New Roman"/>
      <w:b/>
      <w:sz w:val="24"/>
      <w:szCs w:val="24"/>
    </w:rPr>
  </w:style>
  <w:style w:type="character" w:customStyle="1" w:styleId="Heading3Char">
    <w:name w:val="Heading 3 Char"/>
    <w:basedOn w:val="DefaultParagraphFont"/>
    <w:link w:val="Heading3"/>
    <w:rsid w:val="0012641B"/>
    <w:rPr>
      <w:rFonts w:ascii="Times New Roman" w:hAnsi="Times New Roman" w:cs="Times New Roman"/>
      <w:b/>
      <w:i/>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17D5E"/>
    <w:rPr>
      <w:rFonts w:ascii="Times New Roman" w:eastAsiaTheme="majorEastAsia" w:hAnsi="Times New Roman" w:cs="Times New Roman"/>
      <w:b/>
      <w:bCs/>
      <w:i/>
      <w:iCs/>
      <w:color w:val="000000" w:themeColor="text1"/>
      <w:sz w:val="24"/>
      <w:szCs w:val="24"/>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6837DA"/>
    <w:pPr>
      <w:jc w:val="center"/>
    </w:pPr>
    <w:rPr>
      <w:rFonts w:eastAsiaTheme="majorEastAsia"/>
      <w:b/>
      <w:caps/>
      <w:color w:val="000000" w:themeColor="text1"/>
      <w:u w:val="single"/>
    </w:rPr>
  </w:style>
  <w:style w:type="character" w:customStyle="1" w:styleId="TitleChar">
    <w:name w:val="Title Char"/>
    <w:basedOn w:val="DefaultParagraphFont"/>
    <w:link w:val="Title"/>
    <w:uiPriority w:val="1"/>
    <w:rsid w:val="006837DA"/>
    <w:rPr>
      <w:rFonts w:ascii="Times New Roman" w:eastAsiaTheme="majorEastAsia" w:hAnsi="Times New Roman" w:cs="Times New Roman"/>
      <w:b/>
      <w:caps/>
      <w:color w:val="000000" w:themeColor="text1"/>
      <w:sz w:val="24"/>
      <w:szCs w:val="24"/>
      <w:u w:val="single"/>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aliases w:val=" Char,Char"/>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aliases w:val=" Char Char,Char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pPr>
    <w:rPr>
      <w:b/>
    </w:rPr>
  </w:style>
  <w:style w:type="paragraph" w:styleId="TOC3">
    <w:name w:val="toc 3"/>
    <w:basedOn w:val="Normal"/>
    <w:next w:val="Normal"/>
    <w:autoRedefine/>
    <w:uiPriority w:val="39"/>
    <w:unhideWhenUsed/>
    <w:rsid w:val="00E21C9B"/>
    <w:pPr>
      <w:tabs>
        <w:tab w:val="left" w:pos="851"/>
        <w:tab w:val="right" w:pos="9038"/>
      </w:tabs>
      <w:ind w:left="851" w:hanging="851"/>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pPr>
  </w:style>
  <w:style w:type="paragraph" w:customStyle="1" w:styleId="Postscript">
    <w:name w:val="Postscript"/>
    <w:basedOn w:val="Normal"/>
    <w:uiPriority w:val="19"/>
    <w:qFormat/>
    <w:rsid w:val="00B40B7D"/>
    <w:rPr>
      <w:sz w:val="20"/>
    </w:rPr>
  </w:style>
  <w:style w:type="paragraph" w:customStyle="1" w:styleId="Bullet">
    <w:name w:val="Bullet"/>
    <w:basedOn w:val="Normal"/>
    <w:link w:val="BulletChar"/>
    <w:rsid w:val="00C909F0"/>
    <w:pPr>
      <w:numPr>
        <w:numId w:val="13"/>
      </w:numPr>
      <w:spacing w:before="240" w:after="120"/>
    </w:pPr>
    <w:rPr>
      <w:rFonts w:eastAsia="Times New Roman"/>
      <w:color w:val="auto"/>
      <w:szCs w:val="23"/>
      <w:lang w:eastAsia="en-AU"/>
    </w:rPr>
  </w:style>
  <w:style w:type="character" w:customStyle="1" w:styleId="BulletChar">
    <w:name w:val="Bullet Char"/>
    <w:basedOn w:val="DefaultParagraphFont"/>
    <w:link w:val="Bullet"/>
    <w:rsid w:val="00C909F0"/>
    <w:rPr>
      <w:rFonts w:ascii="Times New Roman" w:eastAsia="Times New Roman" w:hAnsi="Times New Roman" w:cs="Times New Roman"/>
      <w:color w:val="auto"/>
      <w:sz w:val="24"/>
      <w:szCs w:val="23"/>
      <w:lang w:eastAsia="en-AU"/>
    </w:rPr>
  </w:style>
  <w:style w:type="paragraph" w:customStyle="1" w:styleId="Dash">
    <w:name w:val="Dash"/>
    <w:basedOn w:val="Normal"/>
    <w:rsid w:val="00C909F0"/>
    <w:pPr>
      <w:numPr>
        <w:ilvl w:val="1"/>
        <w:numId w:val="13"/>
      </w:numPr>
      <w:spacing w:before="240" w:after="120"/>
    </w:pPr>
    <w:rPr>
      <w:rFonts w:eastAsia="Times New Roman"/>
      <w:color w:val="auto"/>
      <w:szCs w:val="23"/>
      <w:lang w:eastAsia="en-AU"/>
    </w:rPr>
  </w:style>
  <w:style w:type="paragraph" w:customStyle="1" w:styleId="DoubleDot">
    <w:name w:val="Double Dot"/>
    <w:basedOn w:val="Normal"/>
    <w:rsid w:val="00C909F0"/>
    <w:pPr>
      <w:numPr>
        <w:ilvl w:val="2"/>
        <w:numId w:val="13"/>
      </w:numPr>
      <w:spacing w:before="240" w:after="120"/>
    </w:pPr>
    <w:rPr>
      <w:rFonts w:eastAsia="Times New Roman"/>
      <w:color w:val="auto"/>
      <w:szCs w:val="23"/>
      <w:lang w:eastAsia="en-AU"/>
    </w:rPr>
  </w:style>
  <w:style w:type="character" w:customStyle="1" w:styleId="normaltextrun">
    <w:name w:val="normaltextrun"/>
    <w:basedOn w:val="DefaultParagraphFont"/>
    <w:rsid w:val="00C50195"/>
  </w:style>
  <w:style w:type="paragraph" w:customStyle="1" w:styleId="Default">
    <w:name w:val="Default"/>
    <w:rsid w:val="003051EE"/>
    <w:pPr>
      <w:autoSpaceDE w:val="0"/>
      <w:autoSpaceDN w:val="0"/>
      <w:adjustRightInd w:val="0"/>
      <w:spacing w:after="0"/>
      <w:jc w:val="left"/>
    </w:pPr>
    <w:rPr>
      <w:rFonts w:ascii="Calibri" w:hAnsi="Calibri" w:cs="Calibri"/>
      <w:sz w:val="24"/>
      <w:szCs w:val="24"/>
    </w:rPr>
  </w:style>
  <w:style w:type="paragraph" w:customStyle="1" w:styleId="base-text-paragraph">
    <w:name w:val="base-text-paragraph"/>
    <w:rsid w:val="009454BD"/>
    <w:pPr>
      <w:tabs>
        <w:tab w:val="left" w:pos="1987"/>
      </w:tabs>
      <w:spacing w:before="120" w:after="120"/>
      <w:ind w:left="1140"/>
      <w:jc w:val="left"/>
    </w:pPr>
    <w:rPr>
      <w:rFonts w:ascii="Times New Roman" w:eastAsia="Times New Roman" w:hAnsi="Times New Roman" w:cs="Times New Roman"/>
      <w:color w:val="auto"/>
      <w:sz w:val="24"/>
      <w:szCs w:val="20"/>
      <w:lang w:eastAsia="en-AU"/>
    </w:rPr>
  </w:style>
  <w:style w:type="paragraph" w:customStyle="1" w:styleId="Templateguidance">
    <w:name w:val="Template guidance"/>
    <w:basedOn w:val="Normal"/>
    <w:qFormat/>
    <w:rsid w:val="00C860BD"/>
    <w:rPr>
      <w:i/>
      <w:color w:val="FF0000"/>
      <w:shd w:val="clear" w:color="auto" w:fill="FFFFFF"/>
    </w:rPr>
  </w:style>
  <w:style w:type="paragraph" w:customStyle="1" w:styleId="Templateguidancebullets">
    <w:name w:val="Template guidance bullets"/>
    <w:basedOn w:val="Templateguidance"/>
    <w:qFormat/>
    <w:rsid w:val="00C860BD"/>
    <w:pPr>
      <w:numPr>
        <w:numId w:val="28"/>
      </w:numPr>
      <w:ind w:left="567" w:hanging="567"/>
    </w:pPr>
  </w:style>
  <w:style w:type="character" w:styleId="UnresolvedMention">
    <w:name w:val="Unresolved Mention"/>
    <w:basedOn w:val="DefaultParagraphFont"/>
    <w:uiPriority w:val="99"/>
    <w:semiHidden/>
    <w:unhideWhenUsed/>
    <w:locked/>
    <w:rsid w:val="003D6A32"/>
    <w:rPr>
      <w:color w:val="605E5C"/>
      <w:shd w:val="clear" w:color="auto" w:fill="E1DFDD"/>
    </w:rPr>
  </w:style>
  <w:style w:type="paragraph" w:customStyle="1" w:styleId="paragraph">
    <w:name w:val="paragraph"/>
    <w:basedOn w:val="Normal"/>
    <w:rsid w:val="000E46A6"/>
    <w:pPr>
      <w:spacing w:before="100" w:beforeAutospacing="1" w:after="100" w:afterAutospacing="1"/>
    </w:pPr>
    <w:rPr>
      <w:rFonts w:eastAsia="Times New Roman"/>
      <w:color w:val="auto"/>
      <w:lang w:eastAsia="en-AU"/>
    </w:rPr>
  </w:style>
  <w:style w:type="character" w:customStyle="1" w:styleId="eop">
    <w:name w:val="eop"/>
    <w:basedOn w:val="DefaultParagraphFont"/>
    <w:rsid w:val="000E46A6"/>
  </w:style>
  <w:style w:type="character" w:customStyle="1" w:styleId="superscript">
    <w:name w:val="superscript"/>
    <w:basedOn w:val="DefaultParagraphFont"/>
    <w:rsid w:val="000768DD"/>
  </w:style>
  <w:style w:type="paragraph" w:styleId="Revision">
    <w:name w:val="Revision"/>
    <w:hidden/>
    <w:uiPriority w:val="99"/>
    <w:semiHidden/>
    <w:rsid w:val="00CA680D"/>
    <w:pPr>
      <w:spacing w:after="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6012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16964520">
      <w:bodyDiv w:val="1"/>
      <w:marLeft w:val="0"/>
      <w:marRight w:val="0"/>
      <w:marTop w:val="0"/>
      <w:marBottom w:val="0"/>
      <w:divBdr>
        <w:top w:val="none" w:sz="0" w:space="0" w:color="auto"/>
        <w:left w:val="none" w:sz="0" w:space="0" w:color="auto"/>
        <w:bottom w:val="none" w:sz="0" w:space="0" w:color="auto"/>
        <w:right w:val="none" w:sz="0" w:space="0" w:color="auto"/>
      </w:divBdr>
      <w:divsChild>
        <w:div w:id="1421832602">
          <w:marLeft w:val="0"/>
          <w:marRight w:val="0"/>
          <w:marTop w:val="0"/>
          <w:marBottom w:val="0"/>
          <w:divBdr>
            <w:top w:val="single" w:sz="2" w:space="0" w:color="auto"/>
            <w:left w:val="single" w:sz="2" w:space="0" w:color="auto"/>
            <w:bottom w:val="single" w:sz="2" w:space="0" w:color="auto"/>
            <w:right w:val="single" w:sz="2" w:space="0" w:color="auto"/>
          </w:divBdr>
          <w:divsChild>
            <w:div w:id="294606509">
              <w:marLeft w:val="0"/>
              <w:marRight w:val="0"/>
              <w:marTop w:val="0"/>
              <w:marBottom w:val="0"/>
              <w:divBdr>
                <w:top w:val="single" w:sz="2" w:space="0" w:color="auto"/>
                <w:left w:val="single" w:sz="2" w:space="0" w:color="auto"/>
                <w:bottom w:val="single" w:sz="2" w:space="0" w:color="auto"/>
                <w:right w:val="single" w:sz="2" w:space="0" w:color="auto"/>
              </w:divBdr>
              <w:divsChild>
                <w:div w:id="14493948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2175771">
          <w:marLeft w:val="0"/>
          <w:marRight w:val="0"/>
          <w:marTop w:val="0"/>
          <w:marBottom w:val="0"/>
          <w:divBdr>
            <w:top w:val="single" w:sz="2" w:space="0" w:color="auto"/>
            <w:left w:val="single" w:sz="2" w:space="0" w:color="auto"/>
            <w:bottom w:val="single" w:sz="2" w:space="0" w:color="auto"/>
            <w:right w:val="single" w:sz="2" w:space="0" w:color="auto"/>
          </w:divBdr>
          <w:divsChild>
            <w:div w:id="927738381">
              <w:marLeft w:val="0"/>
              <w:marRight w:val="0"/>
              <w:marTop w:val="0"/>
              <w:marBottom w:val="0"/>
              <w:divBdr>
                <w:top w:val="single" w:sz="2" w:space="0" w:color="auto"/>
                <w:left w:val="single" w:sz="2" w:space="0" w:color="auto"/>
                <w:bottom w:val="single" w:sz="2" w:space="0" w:color="auto"/>
                <w:right w:val="single" w:sz="2" w:space="0" w:color="auto"/>
              </w:divBdr>
              <w:divsChild>
                <w:div w:id="120135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543363">
          <w:marLeft w:val="0"/>
          <w:marRight w:val="0"/>
          <w:marTop w:val="0"/>
          <w:marBottom w:val="0"/>
          <w:divBdr>
            <w:top w:val="single" w:sz="2" w:space="0" w:color="auto"/>
            <w:left w:val="single" w:sz="2" w:space="0" w:color="auto"/>
            <w:bottom w:val="single" w:sz="2" w:space="0" w:color="auto"/>
            <w:right w:val="single" w:sz="2" w:space="0" w:color="auto"/>
          </w:divBdr>
          <w:divsChild>
            <w:div w:id="502476690">
              <w:marLeft w:val="0"/>
              <w:marRight w:val="0"/>
              <w:marTop w:val="0"/>
              <w:marBottom w:val="0"/>
              <w:divBdr>
                <w:top w:val="single" w:sz="2" w:space="0" w:color="auto"/>
                <w:left w:val="single" w:sz="2" w:space="0" w:color="auto"/>
                <w:bottom w:val="single" w:sz="2" w:space="0" w:color="auto"/>
                <w:right w:val="single" w:sz="2" w:space="0" w:color="auto"/>
              </w:divBdr>
            </w:div>
          </w:divsChild>
        </w:div>
        <w:div w:id="1816801104">
          <w:marLeft w:val="0"/>
          <w:marRight w:val="0"/>
          <w:marTop w:val="0"/>
          <w:marBottom w:val="0"/>
          <w:divBdr>
            <w:top w:val="single" w:sz="2" w:space="0" w:color="auto"/>
            <w:left w:val="single" w:sz="2" w:space="0" w:color="auto"/>
            <w:bottom w:val="single" w:sz="2" w:space="0" w:color="auto"/>
            <w:right w:val="single" w:sz="2" w:space="0" w:color="auto"/>
          </w:divBdr>
          <w:divsChild>
            <w:div w:id="2692879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93425400">
      <w:bodyDiv w:val="1"/>
      <w:marLeft w:val="0"/>
      <w:marRight w:val="0"/>
      <w:marTop w:val="0"/>
      <w:marBottom w:val="0"/>
      <w:divBdr>
        <w:top w:val="none" w:sz="0" w:space="0" w:color="auto"/>
        <w:left w:val="none" w:sz="0" w:space="0" w:color="auto"/>
        <w:bottom w:val="none" w:sz="0" w:space="0" w:color="auto"/>
        <w:right w:val="none" w:sz="0" w:space="0" w:color="auto"/>
      </w:divBdr>
    </w:div>
    <w:div w:id="1357196419">
      <w:bodyDiv w:val="1"/>
      <w:marLeft w:val="0"/>
      <w:marRight w:val="0"/>
      <w:marTop w:val="0"/>
      <w:marBottom w:val="0"/>
      <w:divBdr>
        <w:top w:val="none" w:sz="0" w:space="0" w:color="auto"/>
        <w:left w:val="none" w:sz="0" w:space="0" w:color="auto"/>
        <w:bottom w:val="none" w:sz="0" w:space="0" w:color="auto"/>
        <w:right w:val="none" w:sz="0" w:space="0" w:color="auto"/>
      </w:divBdr>
    </w:div>
    <w:div w:id="1370839357">
      <w:bodyDiv w:val="1"/>
      <w:marLeft w:val="0"/>
      <w:marRight w:val="0"/>
      <w:marTop w:val="0"/>
      <w:marBottom w:val="0"/>
      <w:divBdr>
        <w:top w:val="none" w:sz="0" w:space="0" w:color="auto"/>
        <w:left w:val="none" w:sz="0" w:space="0" w:color="auto"/>
        <w:bottom w:val="none" w:sz="0" w:space="0" w:color="auto"/>
        <w:right w:val="none" w:sz="0" w:space="0" w:color="auto"/>
      </w:divBdr>
      <w:divsChild>
        <w:div w:id="738215384">
          <w:marLeft w:val="0"/>
          <w:marRight w:val="0"/>
          <w:marTop w:val="0"/>
          <w:marBottom w:val="0"/>
          <w:divBdr>
            <w:top w:val="none" w:sz="0" w:space="0" w:color="auto"/>
            <w:left w:val="none" w:sz="0" w:space="0" w:color="auto"/>
            <w:bottom w:val="none" w:sz="0" w:space="0" w:color="auto"/>
            <w:right w:val="none" w:sz="0" w:space="0" w:color="auto"/>
          </w:divBdr>
        </w:div>
        <w:div w:id="2126272502">
          <w:marLeft w:val="0"/>
          <w:marRight w:val="0"/>
          <w:marTop w:val="0"/>
          <w:marBottom w:val="0"/>
          <w:divBdr>
            <w:top w:val="none" w:sz="0" w:space="0" w:color="auto"/>
            <w:left w:val="none" w:sz="0" w:space="0" w:color="auto"/>
            <w:bottom w:val="none" w:sz="0" w:space="0" w:color="auto"/>
            <w:right w:val="none" w:sz="0" w:space="0" w:color="auto"/>
          </w:divBdr>
        </w:div>
        <w:div w:id="138420033">
          <w:marLeft w:val="0"/>
          <w:marRight w:val="0"/>
          <w:marTop w:val="0"/>
          <w:marBottom w:val="0"/>
          <w:divBdr>
            <w:top w:val="none" w:sz="0" w:space="0" w:color="auto"/>
            <w:left w:val="none" w:sz="0" w:space="0" w:color="auto"/>
            <w:bottom w:val="none" w:sz="0" w:space="0" w:color="auto"/>
            <w:right w:val="none" w:sz="0" w:space="0" w:color="auto"/>
          </w:divBdr>
        </w:div>
        <w:div w:id="310064107">
          <w:marLeft w:val="0"/>
          <w:marRight w:val="0"/>
          <w:marTop w:val="0"/>
          <w:marBottom w:val="0"/>
          <w:divBdr>
            <w:top w:val="none" w:sz="0" w:space="0" w:color="auto"/>
            <w:left w:val="none" w:sz="0" w:space="0" w:color="auto"/>
            <w:bottom w:val="none" w:sz="0" w:space="0" w:color="auto"/>
            <w:right w:val="none" w:sz="0" w:space="0" w:color="auto"/>
          </w:divBdr>
        </w:div>
        <w:div w:id="243030985">
          <w:marLeft w:val="0"/>
          <w:marRight w:val="0"/>
          <w:marTop w:val="0"/>
          <w:marBottom w:val="0"/>
          <w:divBdr>
            <w:top w:val="none" w:sz="0" w:space="0" w:color="auto"/>
            <w:left w:val="none" w:sz="0" w:space="0" w:color="auto"/>
            <w:bottom w:val="none" w:sz="0" w:space="0" w:color="auto"/>
            <w:right w:val="none" w:sz="0" w:space="0" w:color="auto"/>
          </w:divBdr>
        </w:div>
        <w:div w:id="1234239663">
          <w:marLeft w:val="0"/>
          <w:marRight w:val="0"/>
          <w:marTop w:val="0"/>
          <w:marBottom w:val="0"/>
          <w:divBdr>
            <w:top w:val="none" w:sz="0" w:space="0" w:color="auto"/>
            <w:left w:val="none" w:sz="0" w:space="0" w:color="auto"/>
            <w:bottom w:val="none" w:sz="0" w:space="0" w:color="auto"/>
            <w:right w:val="none" w:sz="0" w:space="0" w:color="auto"/>
          </w:divBdr>
        </w:div>
        <w:div w:id="1389957882">
          <w:marLeft w:val="0"/>
          <w:marRight w:val="0"/>
          <w:marTop w:val="0"/>
          <w:marBottom w:val="0"/>
          <w:divBdr>
            <w:top w:val="none" w:sz="0" w:space="0" w:color="auto"/>
            <w:left w:val="none" w:sz="0" w:space="0" w:color="auto"/>
            <w:bottom w:val="none" w:sz="0" w:space="0" w:color="auto"/>
            <w:right w:val="none" w:sz="0" w:space="0" w:color="auto"/>
          </w:divBdr>
        </w:div>
        <w:div w:id="526719439">
          <w:marLeft w:val="0"/>
          <w:marRight w:val="0"/>
          <w:marTop w:val="0"/>
          <w:marBottom w:val="0"/>
          <w:divBdr>
            <w:top w:val="none" w:sz="0" w:space="0" w:color="auto"/>
            <w:left w:val="none" w:sz="0" w:space="0" w:color="auto"/>
            <w:bottom w:val="none" w:sz="0" w:space="0" w:color="auto"/>
            <w:right w:val="none" w:sz="0" w:space="0" w:color="auto"/>
          </w:divBdr>
        </w:div>
        <w:div w:id="418645795">
          <w:marLeft w:val="0"/>
          <w:marRight w:val="0"/>
          <w:marTop w:val="0"/>
          <w:marBottom w:val="0"/>
          <w:divBdr>
            <w:top w:val="none" w:sz="0" w:space="0" w:color="auto"/>
            <w:left w:val="none" w:sz="0" w:space="0" w:color="auto"/>
            <w:bottom w:val="none" w:sz="0" w:space="0" w:color="auto"/>
            <w:right w:val="none" w:sz="0" w:space="0" w:color="auto"/>
          </w:divBdr>
        </w:div>
      </w:divsChild>
    </w:div>
    <w:div w:id="150840005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Robert Street</DisplayName>
        <AccountId>44</AccountId>
        <AccountType/>
      </UserInfo>
      <UserInfo>
        <DisplayName>Vasili Pirozek</DisplayName>
        <AccountId>223</AccountId>
        <AccountType/>
      </UserInfo>
      <UserInfo>
        <DisplayName>Rose-Mary Wehbe</DisplayName>
        <AccountId>602</AccountId>
        <AccountType/>
      </UserInfo>
      <UserInfo>
        <DisplayName>Kara Hooper</DisplayName>
        <AccountId>20</AccountId>
        <AccountType/>
      </UserInfo>
      <UserInfo>
        <DisplayName>Cindy Wang</DisplayName>
        <AccountId>436</AccountId>
        <AccountType/>
      </UserInfo>
      <UserInfo>
        <DisplayName>Sarah Brodie</DisplayName>
        <AccountId>434</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xsi:nil="true"/>
    <j163382b748246d3b6e7caae71dbeeb0 xmlns="92a8a7e8-49a1-4017-acf0-0edc7cce208b">
      <Terms xmlns="http://schemas.microsoft.com/office/infopath/2007/PartnerControls"/>
    </j163382b748246d3b6e7caae71dbeeb0>
    <b37d8d7e823543f58f89056343a9035c xmlns="92a8a7e8-49a1-4017-acf0-0edc7cce208b">
      <Terms xmlns="http://schemas.microsoft.com/office/infopath/2007/PartnerControls"/>
    </b37d8d7e823543f58f89056343a9035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A9EF3-7CC4-43D4-BE64-232F6330670B}"/>
</file>

<file path=customXml/itemProps2.xml><?xml version="1.0" encoding="utf-8"?>
<ds:datastoreItem xmlns:ds="http://schemas.openxmlformats.org/officeDocument/2006/customXml" ds:itemID="{597AE5EB-5C7B-47DF-91BE-949A13435A48}">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79530295-9eea-494d-b82a-9ff74409eafc"/>
    <ds:schemaRef ds:uri="http://purl.org/dc/elements/1.1/"/>
    <ds:schemaRef ds:uri="5664482d-1961-4d38-bfc2-b109b341883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9A0DF1-5F47-47A2-83C0-74E12C339408}">
  <ds:schemaRefs>
    <ds:schemaRef ds:uri="http://schemas.microsoft.com/sharepoint/v3/contenttype/forms"/>
  </ds:schemaRefs>
</ds:datastoreItem>
</file>

<file path=customXml/itemProps4.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1806</Words>
  <Characters>10050</Characters>
  <Application>Microsoft Office Word</Application>
  <DocSecurity>0</DocSecurity>
  <Lines>181</Lines>
  <Paragraphs>76</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11816</CharactersWithSpaces>
  <SharedDoc>false</SharedDoc>
  <HLinks>
    <vt:vector size="18" baseType="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7405619</vt:i4>
      </vt:variant>
      <vt:variant>
        <vt:i4>3</vt:i4>
      </vt:variant>
      <vt:variant>
        <vt:i4>0</vt:i4>
      </vt:variant>
      <vt:variant>
        <vt:i4>5</vt:i4>
      </vt:variant>
      <vt:variant>
        <vt:lpwstr>https://austreasury.sharepoint.com/:w:/r/sites/parl-scr-function/sgt/Checklist for Explanatory Statements.docx?d=w22e1a54ced4c43d7861aa02b025a68e5&amp;csf=1&amp;web=1&amp;e=nuQOoe</vt:lpwstr>
      </vt:variant>
      <vt:variant>
        <vt:lpwstr/>
      </vt:variant>
      <vt:variant>
        <vt:i4>917584</vt:i4>
      </vt:variant>
      <vt:variant>
        <vt:i4>0</vt:i4>
      </vt:variant>
      <vt:variant>
        <vt:i4>0</vt:i4>
      </vt:variant>
      <vt:variant>
        <vt:i4>5</vt:i4>
      </vt:variant>
      <vt:variant>
        <vt:lpwstr>https://www.aph.gov.au/Parliamentary_Business/Committees/Senate/Scrutiny_of_Delegated_Legislation/Guidelines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Cindy</dc:creator>
  <cp:keywords>[SEC=OFFICIAL]</cp:keywords>
  <dc:description/>
  <cp:lastModifiedBy>Toni Michalis</cp:lastModifiedBy>
  <cp:revision>3</cp:revision>
  <cp:lastPrinted>2014-02-03T07:10:00Z</cp:lastPrinted>
  <dcterms:created xsi:type="dcterms:W3CDTF">2024-07-10T04:41:00Z</dcterms:created>
  <dcterms:modified xsi:type="dcterms:W3CDTF">2024-07-10T04:42:00Z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_Qualifier">
    <vt:lpwstr/>
  </property>
  <property fmtid="{D5CDD505-2E9C-101B-9397-08002B2CF9AE}" pid="8" name="MSIP_Label_c0129afb-6481-4f92-bc9f-5a4a6346364d_Method">
    <vt:lpwstr>Privileged</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2023-09-08T07:11:37Z</vt:lpwstr>
  </property>
  <property fmtid="{D5CDD505-2E9C-101B-9397-08002B2CF9AE}" pid="12" name="PM_Markers">
    <vt:lpwstr/>
  </property>
  <property fmtid="{D5CDD505-2E9C-101B-9397-08002B2CF9AE}" pid="13" name="MSIP_Label_c0129afb-6481-4f92-bc9f-5a4a6346364d_SiteId">
    <vt:lpwstr>c05e3ffd-b491-4431-9809-e61d4dc78816</vt:lpwstr>
  </property>
  <property fmtid="{D5CDD505-2E9C-101B-9397-08002B2CF9AE}" pid="14" name="MSIP_Label_c0129afb-6481-4f92-bc9f-5a4a6346364d_ContentBits">
    <vt:lpwstr>0</vt:lpwstr>
  </property>
  <property fmtid="{D5CDD505-2E9C-101B-9397-08002B2CF9AE}" pid="15" name="MSIP_Label_c0129afb-6481-4f92-bc9f-5a4a6346364d_Enabled">
    <vt:lpwstr>true</vt:lpwstr>
  </property>
  <property fmtid="{D5CDD505-2E9C-101B-9397-08002B2CF9AE}" pid="16" name="MSIP_Label_c0129afb-6481-4f92-bc9f-5a4a6346364d_SetDate">
    <vt:lpwstr>2023-09-08T07:11:37Z</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0CB6DED102F04227BB4C23EA422E9C73</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0x01010080D163DB4DEE504FAB457909715FEC45</vt:lpwstr>
  </property>
  <property fmtid="{D5CDD505-2E9C-101B-9397-08002B2CF9AE}" pid="30" name="PMHMAC">
    <vt:lpwstr>v=2022.1;a=SHA256;h=138763F5B7745A22D67EEFEC5C7CB2CF51259F1A55D3C3E4BF2A38AA7E2D1F29</vt:lpwstr>
  </property>
  <property fmtid="{D5CDD505-2E9C-101B-9397-08002B2CF9AE}" pid="31" name="PM_Hash_Salt_Prev">
    <vt:lpwstr>A54CA596060E6B7785455DB5D901A504</vt:lpwstr>
  </property>
  <property fmtid="{D5CDD505-2E9C-101B-9397-08002B2CF9AE}" pid="32" name="MSIP_Label_c0129afb-6481-4f92-bc9f-5a4a6346364d_ActionId">
    <vt:lpwstr>ee9d2ac9829140848925e50590f27173</vt:lpwstr>
  </property>
  <property fmtid="{D5CDD505-2E9C-101B-9397-08002B2CF9AE}" pid="33" name="PM_Originator_Hash_SHA1">
    <vt:lpwstr>C3AD57350F36D8E1BD75F8F67CB06D435C9C43CA</vt:lpwstr>
  </property>
  <property fmtid="{D5CDD505-2E9C-101B-9397-08002B2CF9AE}" pid="34" name="PM_OriginatorUserAccountName_SHA256">
    <vt:lpwstr>6E3018F28A186D2E5FF5207C041E7A82E907C3008E071057026A53705873B72E</vt:lpwstr>
  </property>
  <property fmtid="{D5CDD505-2E9C-101B-9397-08002B2CF9AE}" pid="35" name="PM_Hash_Salt">
    <vt:lpwstr>88B963C921E5EFF08E734EC65CA41D36</vt:lpwstr>
  </property>
  <property fmtid="{D5CDD505-2E9C-101B-9397-08002B2CF9AE}" pid="36" name="PM_Hash_SHA1">
    <vt:lpwstr>C19B906CCEC4C574936D751F57695424D5D3DD60</vt:lpwstr>
  </property>
  <property fmtid="{D5CDD505-2E9C-101B-9397-08002B2CF9AE}" pid="37" name="APRAStatus">
    <vt:lpwstr/>
  </property>
  <property fmtid="{D5CDD505-2E9C-101B-9397-08002B2CF9AE}" pid="38" name="APRADocumentType">
    <vt:lpwstr/>
  </property>
  <property fmtid="{D5CDD505-2E9C-101B-9397-08002B2CF9AE}" pid="39" name="APRAActivity">
    <vt:lpwstr/>
  </property>
  <property fmtid="{D5CDD505-2E9C-101B-9397-08002B2CF9AE}" pid="40" name="APRALegislation">
    <vt:lpwstr/>
  </property>
  <property fmtid="{D5CDD505-2E9C-101B-9397-08002B2CF9AE}" pid="41" name="APRAEntityAdviceSupport">
    <vt:lpwstr/>
  </property>
  <property fmtid="{D5CDD505-2E9C-101B-9397-08002B2CF9AE}" pid="42" name="APRAIndustry">
    <vt:lpwstr/>
  </property>
</Properties>
</file>