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0F6A" w14:textId="711CA366" w:rsidR="00C70807" w:rsidRPr="00784C6B" w:rsidRDefault="00E120A7" w:rsidP="00C70807">
      <w:pPr>
        <w:spacing w:before="280" w:after="240"/>
        <w:rPr>
          <w:b/>
          <w:sz w:val="32"/>
          <w:szCs w:val="32"/>
        </w:rPr>
      </w:pPr>
      <w:r w:rsidRPr="00784C6B">
        <w:rPr>
          <w:b/>
          <w:noProof/>
          <w:sz w:val="28"/>
        </w:rPr>
        <w:drawing>
          <wp:inline distT="0" distB="0" distL="0" distR="0" wp14:anchorId="748DE479" wp14:editId="0282DB1D">
            <wp:extent cx="5261610" cy="865505"/>
            <wp:effectExtent l="0" t="0" r="0" b="0"/>
            <wp:docPr id="1" name="Picture 1" descr="Commonwealth of Australia Coat of Arms, APRA logo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of Australia Coat of Arms, APRA logo and ASI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1610" cy="865505"/>
                    </a:xfrm>
                    <a:prstGeom prst="rect">
                      <a:avLst/>
                    </a:prstGeom>
                    <a:noFill/>
                  </pic:spPr>
                </pic:pic>
              </a:graphicData>
            </a:graphic>
          </wp:inline>
        </w:drawing>
      </w:r>
    </w:p>
    <w:p w14:paraId="7F8E24A1" w14:textId="77777777" w:rsidR="00C70807" w:rsidRPr="00784C6B" w:rsidRDefault="00C70807" w:rsidP="00C70807">
      <w:pPr>
        <w:pStyle w:val="LI-Title"/>
        <w:pBdr>
          <w:top w:val="none" w:sz="0" w:space="0" w:color="auto"/>
        </w:pBdr>
        <w:jc w:val="center"/>
      </w:pPr>
      <w:r w:rsidRPr="00784C6B">
        <w:t>Explanatory Statement</w:t>
      </w:r>
    </w:p>
    <w:p w14:paraId="0B202D80" w14:textId="77777777" w:rsidR="00C70807" w:rsidRPr="00784C6B" w:rsidRDefault="00C70807" w:rsidP="00C70807">
      <w:pPr>
        <w:rPr>
          <w:lang w:eastAsia="en-AU"/>
        </w:rPr>
      </w:pPr>
    </w:p>
    <w:p w14:paraId="202CF7E2" w14:textId="5B8895DD" w:rsidR="5D4FA693" w:rsidRPr="00784C6B" w:rsidRDefault="5D4FA693" w:rsidP="0E8E41CC">
      <w:pPr>
        <w:jc w:val="center"/>
        <w:rPr>
          <w:b/>
          <w:bCs/>
          <w:i/>
          <w:iCs/>
          <w:sz w:val="28"/>
          <w:szCs w:val="28"/>
          <w:lang w:eastAsia="en-AU"/>
        </w:rPr>
      </w:pPr>
      <w:r w:rsidRPr="00784C6B">
        <w:rPr>
          <w:b/>
          <w:bCs/>
          <w:i/>
          <w:iCs/>
          <w:sz w:val="28"/>
          <w:szCs w:val="28"/>
          <w:lang w:eastAsia="en-AU"/>
        </w:rPr>
        <w:t xml:space="preserve">Financial Accountability Regime Regulator Rules </w:t>
      </w:r>
      <w:r w:rsidRPr="00784C6B">
        <w:rPr>
          <w:b/>
          <w:bCs/>
          <w:iCs/>
          <w:sz w:val="28"/>
          <w:szCs w:val="28"/>
          <w:lang w:eastAsia="en-AU"/>
        </w:rPr>
        <w:t>Amendment</w:t>
      </w:r>
      <w:r w:rsidRPr="00784C6B">
        <w:rPr>
          <w:b/>
          <w:bCs/>
          <w:i/>
          <w:iCs/>
          <w:sz w:val="28"/>
          <w:szCs w:val="28"/>
          <w:lang w:eastAsia="en-AU"/>
        </w:rPr>
        <w:t xml:space="preserve"> Instrument No. 1 of 2024</w:t>
      </w:r>
      <w:bookmarkStart w:id="0" w:name="_Hlk33458136"/>
    </w:p>
    <w:p w14:paraId="43AEC337" w14:textId="6297FD62" w:rsidR="00C70807" w:rsidRPr="00784C6B" w:rsidRDefault="00C70807" w:rsidP="00C70807">
      <w:pPr>
        <w:pStyle w:val="LI-BodyTextParaa"/>
        <w:ind w:left="0" w:firstLine="0"/>
      </w:pPr>
      <w:bookmarkStart w:id="1" w:name="BK_S3P1L1C1"/>
      <w:bookmarkEnd w:id="0"/>
      <w:bookmarkEnd w:id="1"/>
    </w:p>
    <w:p w14:paraId="2283E1A2" w14:textId="4A17D121" w:rsidR="00C70807" w:rsidRPr="00784C6B" w:rsidRDefault="00094985" w:rsidP="00C70807">
      <w:pPr>
        <w:pStyle w:val="LI-BodyTextParaa"/>
        <w:ind w:left="0" w:firstLine="0"/>
      </w:pPr>
      <w:r w:rsidRPr="00784C6B">
        <w:t>P</w:t>
      </w:r>
      <w:r w:rsidR="00D51FB5" w:rsidRPr="00784C6B">
        <w:t>repared</w:t>
      </w:r>
      <w:r w:rsidR="00C70807" w:rsidRPr="00784C6B">
        <w:t xml:space="preserve"> by the</w:t>
      </w:r>
      <w:r w:rsidR="00E120A7" w:rsidRPr="00784C6B">
        <w:t xml:space="preserve"> Australian Prudential Regulation Authority (</w:t>
      </w:r>
      <w:r w:rsidR="00E120A7" w:rsidRPr="00784C6B">
        <w:rPr>
          <w:b/>
          <w:bCs/>
          <w:i/>
          <w:iCs/>
        </w:rPr>
        <w:t>APRA</w:t>
      </w:r>
      <w:r w:rsidR="00E120A7" w:rsidRPr="00784C6B">
        <w:t>) and the</w:t>
      </w:r>
      <w:r w:rsidR="00C70807" w:rsidRPr="00784C6B">
        <w:t xml:space="preserve"> Australian Securities and Investments Commission (</w:t>
      </w:r>
      <w:r w:rsidR="00C70807" w:rsidRPr="00784C6B">
        <w:rPr>
          <w:b/>
          <w:bCs/>
          <w:i/>
          <w:iCs/>
        </w:rPr>
        <w:t>ASIC</w:t>
      </w:r>
      <w:r w:rsidR="00C70807" w:rsidRPr="00784C6B">
        <w:t>).</w:t>
      </w:r>
    </w:p>
    <w:p w14:paraId="3873D6B9" w14:textId="2C7F4EEF" w:rsidR="00C70807" w:rsidRPr="00784C6B" w:rsidRDefault="00C70807" w:rsidP="00C70807">
      <w:pPr>
        <w:pStyle w:val="LI-Heading2"/>
      </w:pPr>
      <w:r w:rsidRPr="00784C6B">
        <w:t>Summary</w:t>
      </w:r>
    </w:p>
    <w:p w14:paraId="2CE40F9D" w14:textId="15B156FE" w:rsidR="00F904F1" w:rsidRPr="00784C6B" w:rsidRDefault="00F904F1" w:rsidP="006222FF">
      <w:pPr>
        <w:pStyle w:val="LI-BodyTextNumbered"/>
        <w:numPr>
          <w:ilvl w:val="0"/>
          <w:numId w:val="35"/>
        </w:numPr>
      </w:pPr>
      <w:r w:rsidRPr="00784C6B">
        <w:t xml:space="preserve">The </w:t>
      </w:r>
      <w:r w:rsidRPr="00784C6B">
        <w:rPr>
          <w:i/>
          <w:iCs/>
        </w:rPr>
        <w:t>Financial Accountability Regime Regulator Rules Amendment Instrument No. 1 of 2024</w:t>
      </w:r>
      <w:r w:rsidRPr="00784C6B">
        <w:t xml:space="preserve"> (</w:t>
      </w:r>
      <w:r w:rsidRPr="00784C6B">
        <w:rPr>
          <w:b/>
          <w:bCs/>
          <w:i/>
          <w:iCs/>
        </w:rPr>
        <w:t>Amendment Instrument</w:t>
      </w:r>
      <w:r w:rsidRPr="00784C6B">
        <w:rPr>
          <w:b/>
          <w:bCs/>
        </w:rPr>
        <w:t xml:space="preserve">) </w:t>
      </w:r>
      <w:r w:rsidRPr="00784C6B">
        <w:t xml:space="preserve">amends </w:t>
      </w:r>
      <w:r w:rsidRPr="00784C6B">
        <w:rPr>
          <w:i/>
          <w:iCs/>
        </w:rPr>
        <w:t>Financial Accountability Regime Act (Information for register) Regulator Rules 2024</w:t>
      </w:r>
      <w:r w:rsidRPr="00784C6B">
        <w:t xml:space="preserve"> (</w:t>
      </w:r>
      <w:r w:rsidRPr="00784C6B">
        <w:rPr>
          <w:b/>
          <w:bCs/>
          <w:i/>
          <w:iCs/>
        </w:rPr>
        <w:t>the Principal Instrument</w:t>
      </w:r>
      <w:r w:rsidRPr="00784C6B">
        <w:t xml:space="preserve">). </w:t>
      </w:r>
    </w:p>
    <w:p w14:paraId="3BD08CDF" w14:textId="4C406482" w:rsidR="003247FE" w:rsidRPr="00784C6B" w:rsidRDefault="006A0AA4" w:rsidP="006222FF">
      <w:pPr>
        <w:pStyle w:val="LI-BodyTextNumbered"/>
        <w:numPr>
          <w:ilvl w:val="0"/>
          <w:numId w:val="35"/>
        </w:numPr>
      </w:pPr>
      <w:r w:rsidRPr="00784C6B">
        <w:t xml:space="preserve">Section 105(1) of the </w:t>
      </w:r>
      <w:r w:rsidRPr="00784C6B">
        <w:rPr>
          <w:i/>
          <w:iCs/>
        </w:rPr>
        <w:t>Financial Accountability Regime Act 202</w:t>
      </w:r>
      <w:r w:rsidR="0036605A" w:rsidRPr="00784C6B">
        <w:rPr>
          <w:i/>
          <w:iCs/>
        </w:rPr>
        <w:t>3</w:t>
      </w:r>
      <w:r w:rsidRPr="00784C6B">
        <w:t xml:space="preserve"> (</w:t>
      </w:r>
      <w:r w:rsidRPr="00784C6B">
        <w:rPr>
          <w:b/>
          <w:bCs/>
          <w:i/>
          <w:iCs/>
        </w:rPr>
        <w:t>the Act</w:t>
      </w:r>
      <w:r w:rsidRPr="00784C6B">
        <w:t>) provides that APRA and ASIC (</w:t>
      </w:r>
      <w:r w:rsidRPr="00784C6B">
        <w:rPr>
          <w:b/>
          <w:bCs/>
          <w:i/>
          <w:iCs/>
        </w:rPr>
        <w:t>the Regulator</w:t>
      </w:r>
      <w:r w:rsidR="00A32AFE" w:rsidRPr="00784C6B">
        <w:rPr>
          <w:b/>
          <w:bCs/>
          <w:i/>
          <w:iCs/>
        </w:rPr>
        <w:t>s</w:t>
      </w:r>
      <w:r w:rsidRPr="00784C6B">
        <w:t>) may</w:t>
      </w:r>
      <w:r w:rsidR="5A2A89A1" w:rsidRPr="00784C6B">
        <w:t xml:space="preserve"> jointly</w:t>
      </w:r>
      <w:r w:rsidRPr="00784C6B">
        <w:t>, by legislative instrument, make rules</w:t>
      </w:r>
      <w:r w:rsidR="005326F5" w:rsidRPr="00784C6B">
        <w:t xml:space="preserve"> (the </w:t>
      </w:r>
      <w:r w:rsidR="005326F5" w:rsidRPr="00784C6B">
        <w:rPr>
          <w:b/>
          <w:bCs/>
          <w:i/>
          <w:iCs/>
        </w:rPr>
        <w:t>Regulator rules</w:t>
      </w:r>
      <w:r w:rsidR="005326F5" w:rsidRPr="00784C6B">
        <w:t>)</w:t>
      </w:r>
      <w:r w:rsidRPr="00784C6B">
        <w:t xml:space="preserve"> prescribing matters required or permitted by the Act to be prescribed</w:t>
      </w:r>
      <w:r w:rsidR="005326F5" w:rsidRPr="00784C6B">
        <w:t xml:space="preserve"> by the Regulator rules</w:t>
      </w:r>
      <w:r w:rsidRPr="00784C6B">
        <w:t>, or necessary or convenient to be prescribed for carrying out or giving effect to the Act.</w:t>
      </w:r>
      <w:r w:rsidR="00DF2356" w:rsidRPr="00784C6B">
        <w:t xml:space="preserve"> </w:t>
      </w:r>
      <w:r w:rsidR="00F904F1" w:rsidRPr="00784C6B">
        <w:t>On 6 March 2024</w:t>
      </w:r>
      <w:r w:rsidR="00E56DD6" w:rsidRPr="00784C6B">
        <w:t xml:space="preserve">, </w:t>
      </w:r>
      <w:r w:rsidR="00E2638B" w:rsidRPr="00784C6B">
        <w:t>the Regulator</w:t>
      </w:r>
      <w:r w:rsidR="06AF08CF" w:rsidRPr="00784C6B">
        <w:t xml:space="preserve">s </w:t>
      </w:r>
      <w:r w:rsidR="00E56DD6" w:rsidRPr="00784C6B">
        <w:t xml:space="preserve">made </w:t>
      </w:r>
      <w:r w:rsidR="00E2638B" w:rsidRPr="00784C6B">
        <w:t xml:space="preserve">the </w:t>
      </w:r>
      <w:r w:rsidR="00F904F1" w:rsidRPr="00784C6B">
        <w:t>Principal Instrument</w:t>
      </w:r>
      <w:r w:rsidR="00E56DD6" w:rsidRPr="00784C6B">
        <w:t>.</w:t>
      </w:r>
      <w:r w:rsidR="00B87532" w:rsidRPr="00784C6B">
        <w:t xml:space="preserve"> The </w:t>
      </w:r>
      <w:r w:rsidR="20EEE633" w:rsidRPr="00784C6B">
        <w:t>Amendment Instrument and Principal Instrument are</w:t>
      </w:r>
      <w:r w:rsidR="00B87532" w:rsidRPr="00784C6B">
        <w:t xml:space="preserve"> </w:t>
      </w:r>
      <w:r w:rsidR="00C93309" w:rsidRPr="00784C6B">
        <w:t>legislative instrument</w:t>
      </w:r>
      <w:r w:rsidR="228AB694" w:rsidRPr="00784C6B">
        <w:t>s</w:t>
      </w:r>
      <w:r w:rsidR="00C93309" w:rsidRPr="00784C6B">
        <w:t xml:space="preserve"> for the purposes of the </w:t>
      </w:r>
      <w:r w:rsidR="00C93309" w:rsidRPr="00784C6B">
        <w:rPr>
          <w:i/>
          <w:iCs/>
        </w:rPr>
        <w:t>Legislation Act 2003</w:t>
      </w:r>
      <w:r w:rsidR="003460D5" w:rsidRPr="00784C6B">
        <w:rPr>
          <w:i/>
          <w:iCs/>
        </w:rPr>
        <w:t xml:space="preserve"> </w:t>
      </w:r>
      <w:r w:rsidR="009009D5" w:rsidRPr="00784C6B">
        <w:t>(</w:t>
      </w:r>
      <w:r w:rsidR="009009D5" w:rsidRPr="00784C6B">
        <w:rPr>
          <w:b/>
          <w:bCs/>
          <w:i/>
          <w:iCs/>
        </w:rPr>
        <w:t>the Legislation Act</w:t>
      </w:r>
      <w:r w:rsidR="009009D5" w:rsidRPr="00784C6B">
        <w:t>)</w:t>
      </w:r>
      <w:r w:rsidR="003247FE" w:rsidRPr="00784C6B">
        <w:t>.</w:t>
      </w:r>
    </w:p>
    <w:p w14:paraId="2863B235" w14:textId="375EB7D7" w:rsidR="00E56DD6" w:rsidRPr="00784C6B" w:rsidRDefault="00E56DD6" w:rsidP="006F1155">
      <w:pPr>
        <w:pStyle w:val="LI-BodyTextNumbered"/>
        <w:numPr>
          <w:ilvl w:val="0"/>
          <w:numId w:val="35"/>
        </w:numPr>
      </w:pPr>
      <w:r w:rsidRPr="00784C6B">
        <w:t>The</w:t>
      </w:r>
      <w:r w:rsidR="5C4F34DA" w:rsidRPr="00784C6B">
        <w:t xml:space="preserve"> Amendment In</w:t>
      </w:r>
      <w:r w:rsidRPr="00784C6B">
        <w:t xml:space="preserve">strument commences on </w:t>
      </w:r>
      <w:r w:rsidR="007B297D" w:rsidRPr="00784C6B">
        <w:t xml:space="preserve">the day after it is </w:t>
      </w:r>
      <w:r w:rsidRPr="00784C6B">
        <w:t>regist</w:t>
      </w:r>
      <w:r w:rsidR="00615A8D" w:rsidRPr="00784C6B">
        <w:t>e</w:t>
      </w:r>
      <w:r w:rsidRPr="00784C6B">
        <w:t>r</w:t>
      </w:r>
      <w:r w:rsidR="00615A8D" w:rsidRPr="00784C6B">
        <w:t>ed</w:t>
      </w:r>
      <w:r w:rsidRPr="00784C6B">
        <w:t xml:space="preserve"> on the Federal Register of Legislation.</w:t>
      </w:r>
    </w:p>
    <w:p w14:paraId="2AD063FB" w14:textId="1FD20741" w:rsidR="006F1155" w:rsidRPr="00784C6B" w:rsidRDefault="006F1155" w:rsidP="0085606B">
      <w:pPr>
        <w:pStyle w:val="LI-BodyTextNumbered"/>
        <w:numPr>
          <w:ilvl w:val="0"/>
          <w:numId w:val="0"/>
        </w:numPr>
      </w:pPr>
      <w:r w:rsidRPr="00784C6B">
        <w:rPr>
          <w:b/>
        </w:rPr>
        <w:t>Background</w:t>
      </w:r>
    </w:p>
    <w:p w14:paraId="1D048127" w14:textId="47BF92DD" w:rsidR="006A0AA4" w:rsidRPr="00784C6B" w:rsidRDefault="006A0AA4" w:rsidP="006F1155">
      <w:pPr>
        <w:pStyle w:val="LI-BodyTextNumbered"/>
        <w:numPr>
          <w:ilvl w:val="0"/>
          <w:numId w:val="35"/>
        </w:numPr>
      </w:pPr>
      <w:r w:rsidRPr="00784C6B">
        <w:t xml:space="preserve">On 4 February 2019, the Royal Commission </w:t>
      </w:r>
      <w:r w:rsidR="00CA163A" w:rsidRPr="00784C6B">
        <w:t>into</w:t>
      </w:r>
      <w:r w:rsidRPr="00784C6B">
        <w:t xml:space="preserve"> Misconduct in the Banking, Superannuation and Financial Services Industry</w:t>
      </w:r>
      <w:r w:rsidR="00B617CB" w:rsidRPr="00784C6B">
        <w:t xml:space="preserve"> released its Final Report</w:t>
      </w:r>
      <w:r w:rsidRPr="00784C6B">
        <w:t xml:space="preserve">. The Final Report included recommendations </w:t>
      </w:r>
      <w:r w:rsidR="004314AA" w:rsidRPr="00784C6B">
        <w:t>that provisions modelled on</w:t>
      </w:r>
      <w:r w:rsidRPr="00784C6B">
        <w:t xml:space="preserve"> the Banking Executive Accountability Regime </w:t>
      </w:r>
      <w:r w:rsidR="004314AA" w:rsidRPr="00784C6B">
        <w:t xml:space="preserve">be extended </w:t>
      </w:r>
      <w:r w:rsidRPr="00784C6B">
        <w:t xml:space="preserve">to </w:t>
      </w:r>
      <w:r w:rsidR="004314AA" w:rsidRPr="00784C6B">
        <w:t>all</w:t>
      </w:r>
      <w:r w:rsidRPr="00784C6B">
        <w:t xml:space="preserve"> APRA</w:t>
      </w:r>
      <w:r w:rsidR="004314AA" w:rsidRPr="00784C6B">
        <w:t>-</w:t>
      </w:r>
      <w:r w:rsidRPr="00784C6B">
        <w:t xml:space="preserve">regulated </w:t>
      </w:r>
      <w:r w:rsidR="00E81282" w:rsidRPr="00784C6B">
        <w:t>financial services institutions</w:t>
      </w:r>
      <w:r w:rsidRPr="00784C6B">
        <w:t>.</w:t>
      </w:r>
    </w:p>
    <w:p w14:paraId="7D816705" w14:textId="2625ABF3" w:rsidR="00227A03" w:rsidRPr="00784C6B" w:rsidRDefault="006A0AA4" w:rsidP="006F1155">
      <w:pPr>
        <w:pStyle w:val="LI-BodyTextNumbered"/>
        <w:numPr>
          <w:ilvl w:val="0"/>
          <w:numId w:val="35"/>
        </w:numPr>
      </w:pPr>
      <w:r w:rsidRPr="00784C6B">
        <w:t xml:space="preserve">The Act </w:t>
      </w:r>
      <w:r w:rsidR="006A1A2C" w:rsidRPr="00784C6B">
        <w:t xml:space="preserve">and the </w:t>
      </w:r>
      <w:r w:rsidR="006A1A2C" w:rsidRPr="00784C6B">
        <w:rPr>
          <w:i/>
          <w:iCs/>
        </w:rPr>
        <w:t xml:space="preserve">Financial Accountability Regime (Consequential Amendments) Act 2023 </w:t>
      </w:r>
      <w:r w:rsidRPr="00784C6B">
        <w:t>implement the recommendations of the Royal Commission by</w:t>
      </w:r>
      <w:r w:rsidR="003247FE" w:rsidRPr="00784C6B">
        <w:t xml:space="preserve"> </w:t>
      </w:r>
      <w:r w:rsidRPr="00784C6B">
        <w:t xml:space="preserve">establishing the Financial Accountability Regime, a new accountability regime for institutions and their senior executives in the banking, insurance, and superannuation </w:t>
      </w:r>
      <w:r w:rsidR="6990A701" w:rsidRPr="00784C6B">
        <w:t>industries</w:t>
      </w:r>
      <w:r w:rsidRPr="00784C6B">
        <w:t xml:space="preserve">. The regime </w:t>
      </w:r>
      <w:r w:rsidR="00606703" w:rsidRPr="00784C6B">
        <w:t>is</w:t>
      </w:r>
      <w:r w:rsidRPr="00784C6B">
        <w:t xml:space="preserve"> jointly </w:t>
      </w:r>
      <w:r w:rsidR="00E81282" w:rsidRPr="00784C6B">
        <w:t>administered</w:t>
      </w:r>
      <w:r w:rsidRPr="00784C6B">
        <w:t xml:space="preserve"> by APRA and ASIC.</w:t>
      </w:r>
      <w:r w:rsidR="00DA7CD3" w:rsidRPr="00784C6B">
        <w:t xml:space="preserve"> </w:t>
      </w:r>
    </w:p>
    <w:p w14:paraId="6AC029D5" w14:textId="2C137798" w:rsidR="00832619" w:rsidRPr="00784C6B" w:rsidRDefault="00832619" w:rsidP="006F1155">
      <w:pPr>
        <w:pStyle w:val="LI-BodyTextNumbered"/>
        <w:numPr>
          <w:ilvl w:val="0"/>
          <w:numId w:val="35"/>
        </w:numPr>
      </w:pPr>
      <w:r w:rsidRPr="00784C6B">
        <w:lastRenderedPageBreak/>
        <w:t xml:space="preserve">The obligations of an </w:t>
      </w:r>
      <w:r w:rsidR="00386F81" w:rsidRPr="00784C6B">
        <w:t>authorised deposit-taking institution (</w:t>
      </w:r>
      <w:r w:rsidR="00386F81" w:rsidRPr="00784C6B">
        <w:rPr>
          <w:b/>
          <w:bCs/>
          <w:i/>
          <w:iCs/>
        </w:rPr>
        <w:t>ADI</w:t>
      </w:r>
      <w:r w:rsidR="00386F81" w:rsidRPr="00784C6B">
        <w:t xml:space="preserve">) and </w:t>
      </w:r>
      <w:r w:rsidR="004713D5" w:rsidRPr="00784C6B">
        <w:t>non-operating holding companies (</w:t>
      </w:r>
      <w:r w:rsidR="004713D5" w:rsidRPr="00784C6B">
        <w:rPr>
          <w:b/>
          <w:bCs/>
          <w:i/>
          <w:iCs/>
        </w:rPr>
        <w:t>NOHC</w:t>
      </w:r>
      <w:r w:rsidR="004713D5" w:rsidRPr="00784C6B">
        <w:t xml:space="preserve">) </w:t>
      </w:r>
      <w:r w:rsidR="000B5EA6" w:rsidRPr="00784C6B">
        <w:t xml:space="preserve">of an ADI under the Act commenced on </w:t>
      </w:r>
      <w:r w:rsidR="006A575B" w:rsidRPr="00784C6B">
        <w:t>15 March 2024</w:t>
      </w:r>
      <w:r w:rsidR="000B5EA6" w:rsidRPr="00784C6B">
        <w:t xml:space="preserve">. The obligations of </w:t>
      </w:r>
      <w:r w:rsidR="007D2416" w:rsidRPr="00784C6B">
        <w:t xml:space="preserve">general insurers, </w:t>
      </w:r>
      <w:r w:rsidR="008A5B93" w:rsidRPr="00784C6B">
        <w:t>authorised</w:t>
      </w:r>
      <w:r w:rsidR="007D2416" w:rsidRPr="00784C6B">
        <w:t xml:space="preserve"> NOHCs of general insurers, life companies</w:t>
      </w:r>
      <w:r w:rsidR="003D26ED" w:rsidRPr="00784C6B">
        <w:t xml:space="preserve">, authorised NOHCs of life companies, private health insurers and RSE licensees </w:t>
      </w:r>
      <w:r w:rsidR="008A5B93" w:rsidRPr="00784C6B">
        <w:t xml:space="preserve">commence on </w:t>
      </w:r>
      <w:r w:rsidR="00C71065" w:rsidRPr="00784C6B">
        <w:t>15 Marc</w:t>
      </w:r>
      <w:r w:rsidR="008A6193" w:rsidRPr="00784C6B">
        <w:t>h</w:t>
      </w:r>
      <w:r w:rsidR="00C71065" w:rsidRPr="00784C6B">
        <w:t xml:space="preserve"> 2025. </w:t>
      </w:r>
    </w:p>
    <w:p w14:paraId="05E11EB8" w14:textId="17C7BD6D" w:rsidR="00890E71" w:rsidRPr="00784C6B" w:rsidRDefault="00C3733B" w:rsidP="006F1155">
      <w:pPr>
        <w:pStyle w:val="LI-BodyTextNumbered"/>
        <w:numPr>
          <w:ilvl w:val="0"/>
          <w:numId w:val="35"/>
        </w:numPr>
      </w:pPr>
      <w:r w:rsidRPr="00784C6B">
        <w:t>Under section 40(1) of the Act, the Regulators must establish and keep a register of accountable persons (</w:t>
      </w:r>
      <w:r w:rsidRPr="00784C6B">
        <w:rPr>
          <w:b/>
          <w:bCs/>
          <w:i/>
          <w:iCs/>
        </w:rPr>
        <w:t>the register of accountable persons</w:t>
      </w:r>
      <w:r w:rsidRPr="00784C6B">
        <w:t xml:space="preserve">). The register of accountable persons must contain certain information for each accountable person under the Act, including any information prescribed by the Regulator rules for the purposes of paragraph 40(4)(g) of the Act. </w:t>
      </w:r>
    </w:p>
    <w:p w14:paraId="037CFA18" w14:textId="2DF49BD7" w:rsidR="00A82583" w:rsidRPr="00784C6B" w:rsidRDefault="00890E71" w:rsidP="006F1155">
      <w:pPr>
        <w:pStyle w:val="LI-BodyTextNumbered"/>
        <w:numPr>
          <w:ilvl w:val="0"/>
          <w:numId w:val="35"/>
        </w:numPr>
      </w:pPr>
      <w:r w:rsidRPr="00784C6B">
        <w:t xml:space="preserve">The </w:t>
      </w:r>
      <w:r w:rsidR="00A82583" w:rsidRPr="00784C6B">
        <w:t xml:space="preserve">Principal Instrument </w:t>
      </w:r>
      <w:r w:rsidR="000157F2" w:rsidRPr="00784C6B">
        <w:t xml:space="preserve">was made by the Regulators </w:t>
      </w:r>
      <w:r w:rsidR="00F257E3" w:rsidRPr="00784C6B">
        <w:t>to prescribe in</w:t>
      </w:r>
      <w:r w:rsidR="009104DE" w:rsidRPr="00784C6B">
        <w:t xml:space="preserve">formation </w:t>
      </w:r>
      <w:r w:rsidR="005C36A6" w:rsidRPr="00784C6B">
        <w:t>for inclusion in the reg</w:t>
      </w:r>
      <w:r w:rsidR="001C278B" w:rsidRPr="00784C6B">
        <w:t>ister of accountable persons</w:t>
      </w:r>
      <w:r w:rsidR="00C3733B" w:rsidRPr="00784C6B">
        <w:t xml:space="preserve"> </w:t>
      </w:r>
      <w:r w:rsidR="00DC0B0A" w:rsidRPr="00784C6B">
        <w:t xml:space="preserve">for all accountable persons (commencement information, personal identification details, employment status, reporting lines, and suspensions), and key functions information for accountable persons </w:t>
      </w:r>
      <w:r w:rsidR="00664CB7" w:rsidRPr="00784C6B">
        <w:t xml:space="preserve">of ADIs and NOHCs of ADIs.  </w:t>
      </w:r>
      <w:r w:rsidR="001C278B" w:rsidRPr="00784C6B">
        <w:t xml:space="preserve"> </w:t>
      </w:r>
    </w:p>
    <w:p w14:paraId="3BDD961E" w14:textId="77777777" w:rsidR="00B837DF" w:rsidRPr="00784C6B" w:rsidRDefault="00B837DF" w:rsidP="0085606B">
      <w:pPr>
        <w:pStyle w:val="LI-BodyTextNumbered"/>
        <w:numPr>
          <w:ilvl w:val="0"/>
          <w:numId w:val="0"/>
        </w:numPr>
        <w:rPr>
          <w:b/>
          <w:bCs/>
        </w:rPr>
      </w:pPr>
      <w:r w:rsidRPr="00784C6B">
        <w:rPr>
          <w:b/>
          <w:bCs/>
        </w:rPr>
        <w:t>Purpose of the instrument</w:t>
      </w:r>
    </w:p>
    <w:p w14:paraId="23FA0BF5" w14:textId="01DFC669" w:rsidR="002F36F3" w:rsidRPr="00784C6B" w:rsidRDefault="00B837DF" w:rsidP="006F1155">
      <w:pPr>
        <w:pStyle w:val="LI-BodyTextNumbered"/>
        <w:numPr>
          <w:ilvl w:val="0"/>
          <w:numId w:val="35"/>
        </w:numPr>
      </w:pPr>
      <w:r w:rsidRPr="00784C6B">
        <w:t xml:space="preserve">The Amendment Instrument supports the ongoing administration of the Financial Accountability Regime </w:t>
      </w:r>
      <w:r w:rsidR="00C875B3" w:rsidRPr="00784C6B">
        <w:t xml:space="preserve">by </w:t>
      </w:r>
      <w:r w:rsidR="00393376" w:rsidRPr="00784C6B">
        <w:t xml:space="preserve">the Regulators </w:t>
      </w:r>
      <w:r w:rsidRPr="00784C6B">
        <w:t>by amending the Principal Instrument to prescribe further information for inclusion in the register of accountable persons for the purposes of paragraph 40(4)(g) of the Act</w:t>
      </w:r>
      <w:r w:rsidR="00EE1856" w:rsidRPr="00784C6B">
        <w:t xml:space="preserve">. </w:t>
      </w:r>
      <w:r w:rsidR="007353A8" w:rsidRPr="00784C6B">
        <w:t>This will enable the Regulators to administer the Financial Accountability Regime on the commencement of that regime for the insurance and superannuation industries on 15 March 2025</w:t>
      </w:r>
      <w:r w:rsidR="00F368F0" w:rsidRPr="00784C6B">
        <w:t>.</w:t>
      </w:r>
    </w:p>
    <w:p w14:paraId="6A59FE99" w14:textId="77777777" w:rsidR="00EE1856" w:rsidRPr="00784C6B" w:rsidRDefault="00EE1856" w:rsidP="0085606B">
      <w:pPr>
        <w:pStyle w:val="LI-BodyTextNumbered"/>
        <w:numPr>
          <w:ilvl w:val="0"/>
          <w:numId w:val="0"/>
        </w:numPr>
        <w:rPr>
          <w:b/>
          <w:bCs/>
        </w:rPr>
      </w:pPr>
      <w:r w:rsidRPr="00784C6B">
        <w:rPr>
          <w:b/>
          <w:bCs/>
        </w:rPr>
        <w:t>Operation of the instrument</w:t>
      </w:r>
    </w:p>
    <w:p w14:paraId="0FCB8613" w14:textId="66260A67" w:rsidR="00EE1856" w:rsidRPr="00784C6B" w:rsidRDefault="00EE1856" w:rsidP="006F1155">
      <w:pPr>
        <w:pStyle w:val="LI-BodyTextNumbered"/>
        <w:numPr>
          <w:ilvl w:val="0"/>
          <w:numId w:val="35"/>
        </w:numPr>
      </w:pPr>
      <w:r w:rsidRPr="00784C6B">
        <w:t xml:space="preserve">Schedule 1 of the Amendment Instrument amends the Principal Instrument to prescribe key functions information to be included in the register of accountable persons for a general insurer, an authorised NOHC of a general insurer, a life company, a registered NOHC of a life company, a private health insurer, and an RSE licensee. </w:t>
      </w:r>
    </w:p>
    <w:p w14:paraId="646D3E7D" w14:textId="633E6CCE" w:rsidR="00E765AE" w:rsidRPr="00784C6B" w:rsidRDefault="00EE1856">
      <w:pPr>
        <w:pStyle w:val="LI-BodyTextNumbered"/>
        <w:numPr>
          <w:ilvl w:val="0"/>
          <w:numId w:val="35"/>
        </w:numPr>
      </w:pPr>
      <w:r w:rsidRPr="00784C6B">
        <w:t xml:space="preserve">Item 1 inserts </w:t>
      </w:r>
      <w:r w:rsidR="005C5222" w:rsidRPr="00784C6B">
        <w:t xml:space="preserve">four </w:t>
      </w:r>
      <w:r w:rsidRPr="00784C6B">
        <w:t xml:space="preserve">definitions into the Primary Instrument, “Insurance Key </w:t>
      </w:r>
      <w:r w:rsidR="00933D66" w:rsidRPr="00784C6B">
        <w:t>Function” “</w:t>
      </w:r>
      <w:r w:rsidRPr="00784C6B">
        <w:t>Insurance Key Functions Requirements”</w:t>
      </w:r>
      <w:r w:rsidR="005C5222" w:rsidRPr="00784C6B">
        <w:t xml:space="preserve"> “RSE licensee Key Function” and “RSE licensee Key Function Requirements”</w:t>
      </w:r>
      <w:r w:rsidRPr="00784C6B">
        <w:t xml:space="preserve">. </w:t>
      </w:r>
    </w:p>
    <w:p w14:paraId="3ADB7C0F" w14:textId="390C4362" w:rsidR="004C47AE" w:rsidRDefault="00EE1856">
      <w:pPr>
        <w:pStyle w:val="LI-BodyTextNumbered"/>
        <w:numPr>
          <w:ilvl w:val="0"/>
          <w:numId w:val="35"/>
        </w:numPr>
      </w:pPr>
      <w:r w:rsidRPr="00784C6B">
        <w:t xml:space="preserve">Subsection (a) to (p) of the “Insurance Key Function” definition sets out what each key function is. The </w:t>
      </w:r>
      <w:r w:rsidR="001665AD" w:rsidRPr="00784C6B">
        <w:t xml:space="preserve">“Insurance Key Functions Requirements” </w:t>
      </w:r>
      <w:r w:rsidRPr="00784C6B">
        <w:t>definition clarifies that information regarding a key function</w:t>
      </w:r>
      <w:r>
        <w:t xml:space="preserve"> only needs to be provided to the Regulators for inclusion in the register of accountable persons if: </w:t>
      </w:r>
    </w:p>
    <w:p w14:paraId="7DBDDCB3" w14:textId="77777777" w:rsidR="004C47AE" w:rsidRDefault="004C47AE" w:rsidP="0085606B">
      <w:pPr>
        <w:pStyle w:val="LI-BodyTextNumbered"/>
        <w:numPr>
          <w:ilvl w:val="0"/>
          <w:numId w:val="0"/>
        </w:numPr>
        <w:ind w:left="1276" w:hanging="556"/>
      </w:pPr>
      <w:r>
        <w:t xml:space="preserve">(a) </w:t>
      </w:r>
      <w:r>
        <w:tab/>
        <w:t>the key function is undertaken by an accountable entity which is a general insurer, an authorised NOHC of a general insurer, a life company, a registered NOHC of a life company, or a private health insurer; and</w:t>
      </w:r>
    </w:p>
    <w:p w14:paraId="10E15E80" w14:textId="2A39BCB4" w:rsidR="004C47AE" w:rsidRDefault="004C47AE" w:rsidP="0085606B">
      <w:pPr>
        <w:pStyle w:val="LI-BodyTextNumbered"/>
        <w:numPr>
          <w:ilvl w:val="0"/>
          <w:numId w:val="0"/>
        </w:numPr>
        <w:ind w:left="1276" w:hanging="556"/>
      </w:pPr>
      <w:r>
        <w:lastRenderedPageBreak/>
        <w:t xml:space="preserve">(b) </w:t>
      </w:r>
      <w:r>
        <w:tab/>
        <w:t>an accountable person has actual or effective senior executive responsibility for management or control of the whole of, or a significant or substantial part or aspect of, the key function.</w:t>
      </w:r>
    </w:p>
    <w:p w14:paraId="79ED59B9" w14:textId="77777777" w:rsidR="0001308F" w:rsidRDefault="0001308F" w:rsidP="0085606B">
      <w:pPr>
        <w:pStyle w:val="LI-BodyTextNumbered"/>
        <w:numPr>
          <w:ilvl w:val="0"/>
          <w:numId w:val="0"/>
        </w:numPr>
        <w:ind w:left="720"/>
      </w:pPr>
      <w:r>
        <w:t xml:space="preserve">These definitions do not require a relevant accountable entity to undertake each key function.    </w:t>
      </w:r>
    </w:p>
    <w:p w14:paraId="45EC069F" w14:textId="77777777" w:rsidR="0009528A" w:rsidRDefault="0009528A" w:rsidP="0009528A">
      <w:pPr>
        <w:pStyle w:val="LI-BodyTextNumbered"/>
        <w:numPr>
          <w:ilvl w:val="0"/>
          <w:numId w:val="35"/>
        </w:numPr>
      </w:pPr>
      <w:r>
        <w:t xml:space="preserve">Subsections (a) to (p) of the “RSE licensee Key Function” definition set out what each key function is. The “RSE licensee Key Function Requirements” definition clarifies that information regarding a key function only needs to be provided to the Regulators for inclusion in the register of accountable persons if: </w:t>
      </w:r>
    </w:p>
    <w:p w14:paraId="0AC6CBDF" w14:textId="4EC77635" w:rsidR="0009528A" w:rsidRDefault="0009528A" w:rsidP="00933D66">
      <w:pPr>
        <w:pStyle w:val="LI-BodyTextNumbered"/>
        <w:numPr>
          <w:ilvl w:val="0"/>
          <w:numId w:val="0"/>
        </w:numPr>
        <w:ind w:left="1276" w:hanging="556"/>
      </w:pPr>
      <w:r>
        <w:t xml:space="preserve">(a) </w:t>
      </w:r>
      <w:r>
        <w:tab/>
        <w:t xml:space="preserve">the key function is undertaken by an </w:t>
      </w:r>
      <w:r w:rsidR="006260BB">
        <w:t>accountable</w:t>
      </w:r>
      <w:r>
        <w:t xml:space="preserve"> entity which is a RSE licensee; and</w:t>
      </w:r>
    </w:p>
    <w:p w14:paraId="0787CFC8" w14:textId="77777777" w:rsidR="0009528A" w:rsidRDefault="0009528A" w:rsidP="00933D66">
      <w:pPr>
        <w:pStyle w:val="LI-BodyTextNumbered"/>
        <w:numPr>
          <w:ilvl w:val="0"/>
          <w:numId w:val="0"/>
        </w:numPr>
        <w:ind w:left="1276" w:hanging="556"/>
      </w:pPr>
      <w:r>
        <w:t xml:space="preserve">(b) </w:t>
      </w:r>
      <w:r>
        <w:tab/>
        <w:t>an accountable person has actual or effective senior executive responsibility for management or control of the whole of, or a significant or substantial part or aspect of, the key function.</w:t>
      </w:r>
    </w:p>
    <w:p w14:paraId="030F35EF" w14:textId="5BC142B0" w:rsidR="00AD1454" w:rsidRDefault="0009528A" w:rsidP="00933D66">
      <w:pPr>
        <w:pStyle w:val="LI-BodyTextNumbered"/>
        <w:numPr>
          <w:ilvl w:val="0"/>
          <w:numId w:val="0"/>
        </w:numPr>
        <w:ind w:left="720"/>
      </w:pPr>
      <w:r>
        <w:t xml:space="preserve">These definitions do not require a relevant accountable entity to undertake each key function.    </w:t>
      </w:r>
    </w:p>
    <w:p w14:paraId="671BB214" w14:textId="253CF5CC" w:rsidR="004C47AE" w:rsidRDefault="000C77BC">
      <w:pPr>
        <w:pStyle w:val="LI-BodyTextNumbered"/>
        <w:numPr>
          <w:ilvl w:val="0"/>
          <w:numId w:val="35"/>
        </w:numPr>
      </w:pPr>
      <w:r w:rsidRPr="7936FF1A">
        <w:t>Item 2 and Item 3 of the Amendment Instrument amend Note 1 in the Primary Instrument definitions</w:t>
      </w:r>
      <w:r>
        <w:t>,</w:t>
      </w:r>
      <w:r w:rsidRPr="7936FF1A">
        <w:t xml:space="preserve"> to clarify that the following terms are defined in the Act: ADI; authorised NOHC; general insurer; life company; private health insurer; registered NOHC; </w:t>
      </w:r>
      <w:r>
        <w:t xml:space="preserve">and </w:t>
      </w:r>
      <w:r w:rsidRPr="7936FF1A">
        <w:t>RSE licensee</w:t>
      </w:r>
      <w:r w:rsidR="00AA6006">
        <w:t>.</w:t>
      </w:r>
    </w:p>
    <w:p w14:paraId="7E59B925" w14:textId="37496191" w:rsidR="004C47AE" w:rsidRDefault="000C77BC">
      <w:pPr>
        <w:pStyle w:val="LI-BodyTextNumbered"/>
        <w:numPr>
          <w:ilvl w:val="0"/>
          <w:numId w:val="35"/>
        </w:numPr>
      </w:pPr>
      <w:r w:rsidRPr="1928C7A9">
        <w:t>Item 4 repeals Note 2 in the Primary Instrument as it is no longer needed. The terms in Note 2</w:t>
      </w:r>
      <w:r w:rsidR="00B25DDB">
        <w:t xml:space="preserve"> of the Primary Instrument</w:t>
      </w:r>
      <w:r w:rsidRPr="1928C7A9">
        <w:t xml:space="preserve">, ADI and authorised NOHC, are both defined in the Act and are now referred to in </w:t>
      </w:r>
      <w:r w:rsidR="004C2053">
        <w:t xml:space="preserve">the amended </w:t>
      </w:r>
      <w:r w:rsidRPr="1928C7A9">
        <w:t>Note 1 of the</w:t>
      </w:r>
      <w:r>
        <w:t xml:space="preserve"> </w:t>
      </w:r>
      <w:r w:rsidRPr="1928C7A9">
        <w:t>definitions.</w:t>
      </w:r>
    </w:p>
    <w:p w14:paraId="2B520146" w14:textId="77777777" w:rsidR="000C77BC" w:rsidRDefault="000C77BC" w:rsidP="000C77BC">
      <w:pPr>
        <w:pStyle w:val="LI-BodyTextNumbered"/>
        <w:numPr>
          <w:ilvl w:val="0"/>
          <w:numId w:val="35"/>
        </w:numPr>
      </w:pPr>
      <w:bookmarkStart w:id="2" w:name="_Ref167198374"/>
      <w:r>
        <w:t>Item 5 inserts the requirement for a relevant accountable entity to provide the Regulators with the following information:</w:t>
      </w:r>
      <w:bookmarkEnd w:id="2"/>
      <w:r>
        <w:t xml:space="preserve"> </w:t>
      </w:r>
    </w:p>
    <w:p w14:paraId="0407933B" w14:textId="77777777" w:rsidR="000C77BC" w:rsidRDefault="000C77BC" w:rsidP="00933D66">
      <w:pPr>
        <w:pStyle w:val="LI-BodyTextNumbered"/>
        <w:numPr>
          <w:ilvl w:val="0"/>
          <w:numId w:val="0"/>
        </w:numPr>
        <w:ind w:left="1276" w:hanging="556"/>
      </w:pPr>
      <w:r>
        <w:t xml:space="preserve">(a) </w:t>
      </w:r>
      <w:r>
        <w:tab/>
        <w:t>each Insurance Key Function of an accountable person (if any</w:t>
      </w:r>
      <w:proofErr w:type="gramStart"/>
      <w:r>
        <w:t>);</w:t>
      </w:r>
      <w:proofErr w:type="gramEnd"/>
      <w:r>
        <w:t xml:space="preserve"> </w:t>
      </w:r>
    </w:p>
    <w:p w14:paraId="31A7E5C6" w14:textId="7B8D4615" w:rsidR="000C77BC" w:rsidRDefault="000C77BC" w:rsidP="00933D66">
      <w:pPr>
        <w:pStyle w:val="LI-BodyTextNumbered"/>
        <w:numPr>
          <w:ilvl w:val="0"/>
          <w:numId w:val="0"/>
        </w:numPr>
        <w:ind w:left="1276" w:hanging="556"/>
      </w:pPr>
      <w:r>
        <w:t xml:space="preserve">(b) </w:t>
      </w:r>
      <w:r>
        <w:tab/>
        <w:t xml:space="preserve">the date the person </w:t>
      </w:r>
      <w:r w:rsidR="007947CC">
        <w:t xml:space="preserve">assumed </w:t>
      </w:r>
      <w:r>
        <w:t>and ceased responsibility for the Insurance Key Function (if applicable</w:t>
      </w:r>
      <w:proofErr w:type="gramStart"/>
      <w:r>
        <w:t>);</w:t>
      </w:r>
      <w:proofErr w:type="gramEnd"/>
      <w:r>
        <w:t xml:space="preserve"> </w:t>
      </w:r>
    </w:p>
    <w:p w14:paraId="11269E45" w14:textId="77777777" w:rsidR="000C77BC" w:rsidRDefault="000C77BC" w:rsidP="00933D66">
      <w:pPr>
        <w:pStyle w:val="LI-BodyTextNumbered"/>
        <w:numPr>
          <w:ilvl w:val="0"/>
          <w:numId w:val="0"/>
        </w:numPr>
        <w:ind w:left="1276" w:hanging="556"/>
      </w:pPr>
      <w:r>
        <w:t xml:space="preserve">(c) </w:t>
      </w:r>
      <w:r>
        <w:tab/>
        <w:t>each RSE licensee Key Function of an accountable person (if any); and</w:t>
      </w:r>
    </w:p>
    <w:p w14:paraId="11927F88" w14:textId="34362264" w:rsidR="000C77BC" w:rsidRDefault="000C77BC" w:rsidP="00933D66">
      <w:pPr>
        <w:pStyle w:val="LI-BodyTextNumbered"/>
        <w:numPr>
          <w:ilvl w:val="0"/>
          <w:numId w:val="0"/>
        </w:numPr>
        <w:ind w:left="1276" w:hanging="556"/>
      </w:pPr>
      <w:r>
        <w:t xml:space="preserve">(d) </w:t>
      </w:r>
      <w:r>
        <w:tab/>
        <w:t xml:space="preserve">the dates the accountable person </w:t>
      </w:r>
      <w:r w:rsidR="007947CC">
        <w:t xml:space="preserve">assumed </w:t>
      </w:r>
      <w:r>
        <w:t xml:space="preserve">and ceased responsibility for a Key Function (if applicable). </w:t>
      </w:r>
    </w:p>
    <w:p w14:paraId="07D4CE52" w14:textId="55D831EC" w:rsidR="00EE1856" w:rsidRDefault="000C77BC">
      <w:pPr>
        <w:pStyle w:val="LI-BodyTextNumbered"/>
        <w:numPr>
          <w:ilvl w:val="0"/>
          <w:numId w:val="35"/>
        </w:numPr>
      </w:pPr>
      <w:r>
        <w:t xml:space="preserve">Item 6, Item 7, and Item 8 renumber subparagraphs 5(1)(l), 5(1)(m) and 5(1)(n) in the Principal Instrument, </w:t>
      </w:r>
      <w:r w:rsidR="006260BB">
        <w:t xml:space="preserve">to </w:t>
      </w:r>
      <w:proofErr w:type="gramStart"/>
      <w:r w:rsidR="006260BB">
        <w:t>take into account</w:t>
      </w:r>
      <w:proofErr w:type="gramEnd"/>
      <w:r>
        <w:t xml:space="preserve"> the insertion of new subparagraphs</w:t>
      </w:r>
      <w:r w:rsidR="00971DB4">
        <w:t xml:space="preserve"> described </w:t>
      </w:r>
      <w:r w:rsidR="00CB29F4">
        <w:t xml:space="preserve">in paragraph </w:t>
      </w:r>
      <w:r w:rsidR="00CB29F4">
        <w:fldChar w:fldCharType="begin"/>
      </w:r>
      <w:r w:rsidR="00CB29F4">
        <w:instrText xml:space="preserve"> REF _Ref167198374 \r \h </w:instrText>
      </w:r>
      <w:r w:rsidR="00CB29F4">
        <w:fldChar w:fldCharType="separate"/>
      </w:r>
      <w:r w:rsidR="00CB29F4">
        <w:t>16</w:t>
      </w:r>
      <w:r w:rsidR="00CB29F4">
        <w:fldChar w:fldCharType="end"/>
      </w:r>
      <w:r w:rsidR="00CB29F4">
        <w:t xml:space="preserve"> above</w:t>
      </w:r>
      <w:r>
        <w:t>.</w:t>
      </w:r>
    </w:p>
    <w:p w14:paraId="58B1BD6C" w14:textId="0640F928" w:rsidR="000C77BC" w:rsidRDefault="000C77BC" w:rsidP="0085606B">
      <w:pPr>
        <w:pStyle w:val="LI-BodyTextNumbered"/>
        <w:numPr>
          <w:ilvl w:val="0"/>
          <w:numId w:val="0"/>
        </w:numPr>
        <w:ind w:left="360"/>
      </w:pPr>
      <w:r>
        <w:rPr>
          <w:i/>
          <w:iCs/>
        </w:rPr>
        <w:t>The concept of k</w:t>
      </w:r>
      <w:r w:rsidRPr="2FEB1475">
        <w:rPr>
          <w:i/>
          <w:iCs/>
        </w:rPr>
        <w:t>ey functions</w:t>
      </w:r>
    </w:p>
    <w:p w14:paraId="4D790543" w14:textId="5D0E8FD0" w:rsidR="000C77BC" w:rsidRDefault="000C77BC">
      <w:pPr>
        <w:pStyle w:val="LI-BodyTextNumbered"/>
        <w:numPr>
          <w:ilvl w:val="0"/>
          <w:numId w:val="35"/>
        </w:numPr>
      </w:pPr>
      <w:r>
        <w:lastRenderedPageBreak/>
        <w:t>The concepts of Insurance Key Functions and RSE licensee Key Functions, like the concept of ADI Key Functions, do not expand the definition or scope of responsibilities of accountable persons under the Act. The inclusion of information regarding Insurance Key Functions and RSE licensee Key Functions in the register of accountable persons will assist the Regulators in assessing a relevant accountable entity’s compliance with its obligation under paragraph 23(1)(a) of the Act</w:t>
      </w:r>
      <w:r w:rsidR="00733917">
        <w:t xml:space="preserve">. </w:t>
      </w:r>
    </w:p>
    <w:p w14:paraId="1B5CAA11" w14:textId="5F51C8E2" w:rsidR="000C77BC" w:rsidRDefault="00733917">
      <w:pPr>
        <w:pStyle w:val="LI-BodyTextNumbered"/>
        <w:numPr>
          <w:ilvl w:val="0"/>
          <w:numId w:val="35"/>
        </w:numPr>
      </w:pPr>
      <w:r>
        <w:t>Relevant information in respect of Insurance Key Functions and RSE licensee Key Functions should reflect actual practices. For example, one accountable person may not have the requisite level of responsibility for any applicable Insurance Key Functions or RSE licensee Key Functions, while another accountable person may have the requisite level of responsibility for multiple applicable Insurance Key Functions or RSE licensee Key Functions</w:t>
      </w:r>
      <w:r w:rsidR="001E730C">
        <w:t xml:space="preserve">. </w:t>
      </w:r>
    </w:p>
    <w:p w14:paraId="1199E2D0" w14:textId="5BE9DE7A" w:rsidR="000C77BC" w:rsidRDefault="00733917">
      <w:pPr>
        <w:pStyle w:val="LI-BodyTextNumbered"/>
        <w:numPr>
          <w:ilvl w:val="0"/>
          <w:numId w:val="35"/>
        </w:numPr>
      </w:pPr>
      <w:r>
        <w:t>Accountable entities can also assign an applicable Insurance Key Function or RSE licensee Key Function to more than one accountable person if those accountable persons have the requisite level of responsibility for different aspects of the Insurance Key Function or RSE licensee Key Function</w:t>
      </w:r>
      <w:r w:rsidR="00D20CD4">
        <w:t>.</w:t>
      </w:r>
    </w:p>
    <w:p w14:paraId="58348A45" w14:textId="77777777" w:rsidR="00D20CD4" w:rsidRPr="009C087D" w:rsidRDefault="00D20CD4" w:rsidP="0085606B">
      <w:pPr>
        <w:pStyle w:val="LI-BodyTextNumbered"/>
        <w:numPr>
          <w:ilvl w:val="0"/>
          <w:numId w:val="0"/>
        </w:numPr>
        <w:rPr>
          <w:b/>
          <w:bCs/>
        </w:rPr>
      </w:pPr>
      <w:r w:rsidRPr="1FAFE7F3">
        <w:rPr>
          <w:b/>
          <w:bCs/>
        </w:rPr>
        <w:t>Consultation</w:t>
      </w:r>
    </w:p>
    <w:p w14:paraId="64955A3C" w14:textId="7269980D" w:rsidR="00D20CD4" w:rsidRDefault="00D20CD4">
      <w:pPr>
        <w:pStyle w:val="LI-BodyTextNumbered"/>
        <w:numPr>
          <w:ilvl w:val="0"/>
          <w:numId w:val="35"/>
        </w:numPr>
      </w:pPr>
      <w:r>
        <w:t>In making the Amendment Instrument, the Regulators undertook a public consultation between March 2024 and April 2024. The instrument was amended where appropriate to reflect the feedback received during the consultation.</w:t>
      </w:r>
    </w:p>
    <w:p w14:paraId="1292A35A" w14:textId="307D5FAD" w:rsidR="00D20CD4" w:rsidRPr="00933D66" w:rsidRDefault="00D20CD4" w:rsidP="0085606B">
      <w:pPr>
        <w:pStyle w:val="LI-BodyTextNumbered"/>
        <w:numPr>
          <w:ilvl w:val="0"/>
          <w:numId w:val="0"/>
        </w:numPr>
        <w:rPr>
          <w:b/>
          <w:bCs/>
        </w:rPr>
      </w:pPr>
      <w:r w:rsidRPr="00933D66">
        <w:rPr>
          <w:b/>
          <w:bCs/>
        </w:rPr>
        <w:t xml:space="preserve">Impact Analysis </w:t>
      </w:r>
    </w:p>
    <w:p w14:paraId="6AD2C9F3" w14:textId="399C4261" w:rsidR="00D20CD4" w:rsidRDefault="00D20CD4">
      <w:pPr>
        <w:pStyle w:val="LI-BodyTextNumbered"/>
        <w:numPr>
          <w:ilvl w:val="0"/>
          <w:numId w:val="35"/>
        </w:numPr>
      </w:pPr>
      <w:r>
        <w:t>The Office of Impact Analysis advised that an Impact Analysis is not required for the instrument</w:t>
      </w:r>
      <w:r w:rsidR="00223FAD">
        <w:t xml:space="preserve">.  </w:t>
      </w:r>
    </w:p>
    <w:p w14:paraId="5ABFA09A" w14:textId="77777777" w:rsidR="00223FAD" w:rsidRPr="002256AF" w:rsidRDefault="00223FAD" w:rsidP="0085606B">
      <w:pPr>
        <w:pStyle w:val="LI-Heading2"/>
      </w:pPr>
      <w:r>
        <w:t xml:space="preserve">Statement of Compatibility prepared in accordance with Part 3 of the </w:t>
      </w:r>
      <w:r w:rsidRPr="1FAFE7F3">
        <w:rPr>
          <w:i/>
          <w:iCs/>
        </w:rPr>
        <w:t>Human Rights (Parliamentary Scrutiny) Act 2011</w:t>
      </w:r>
    </w:p>
    <w:p w14:paraId="5CB8EE5A" w14:textId="77777777" w:rsidR="00223FAD" w:rsidRPr="002256AF" w:rsidRDefault="00223FAD" w:rsidP="00223FAD">
      <w:pPr>
        <w:pStyle w:val="LI-BodyTextNumbered"/>
        <w:numPr>
          <w:ilvl w:val="0"/>
          <w:numId w:val="35"/>
        </w:numPr>
      </w:pPr>
      <w:r>
        <w:t xml:space="preserve">A Statement of Compatibility prepared in accordance with Part 3 of the </w:t>
      </w:r>
      <w:r w:rsidRPr="1FAFE7F3">
        <w:rPr>
          <w:i/>
          <w:iCs/>
        </w:rPr>
        <w:t>Human Rights (Parliamentary Scrutiny) Act 2011</w:t>
      </w:r>
      <w:r>
        <w:t xml:space="preserve"> is provided at </w:t>
      </w:r>
      <w:r w:rsidRPr="1FAFE7F3">
        <w:rPr>
          <w:u w:val="single"/>
        </w:rPr>
        <w:t>Attachment A to this Explanatory Statement</w:t>
      </w:r>
      <w:r>
        <w:t xml:space="preserve">. </w:t>
      </w:r>
    </w:p>
    <w:p w14:paraId="6C6D25E2" w14:textId="752B3241" w:rsidR="00C70807" w:rsidRPr="00EA17A6" w:rsidRDefault="00C70807" w:rsidP="1FAFE7F3">
      <w:pPr>
        <w:ind w:left="709" w:hanging="567"/>
        <w:jc w:val="right"/>
        <w:rPr>
          <w:u w:val="single"/>
        </w:rPr>
      </w:pPr>
      <w:r w:rsidRPr="1FAFE7F3">
        <w:rPr>
          <w:highlight w:val="yellow"/>
        </w:rPr>
        <w:br w:type="page"/>
      </w:r>
      <w:r w:rsidRPr="1FAFE7F3">
        <w:rPr>
          <w:u w:val="single"/>
        </w:rPr>
        <w:lastRenderedPageBreak/>
        <w:t xml:space="preserve">Attachment </w:t>
      </w:r>
      <w:r w:rsidR="00925A24" w:rsidRPr="1FAFE7F3">
        <w:rPr>
          <w:u w:val="single"/>
        </w:rPr>
        <w:t>A</w:t>
      </w:r>
    </w:p>
    <w:p w14:paraId="325347AA" w14:textId="77777777" w:rsidR="00C70807" w:rsidRPr="00EA17A6" w:rsidRDefault="00C70807" w:rsidP="6A6D250A">
      <w:pPr>
        <w:pStyle w:val="LI-BodyTextParaa"/>
        <w:ind w:left="567"/>
        <w:jc w:val="center"/>
        <w:rPr>
          <w:b/>
          <w:bCs/>
          <w:sz w:val="28"/>
          <w:szCs w:val="28"/>
        </w:rPr>
      </w:pPr>
      <w:r w:rsidRPr="6A6D250A">
        <w:rPr>
          <w:b/>
          <w:bCs/>
          <w:sz w:val="28"/>
          <w:szCs w:val="28"/>
        </w:rPr>
        <w:t>Statement of Compatibility with Human Rights</w:t>
      </w:r>
    </w:p>
    <w:p w14:paraId="19C15BF9" w14:textId="1A947DB5" w:rsidR="00E67BCF" w:rsidRPr="00EA17A6" w:rsidRDefault="005F33EE" w:rsidP="1FAFE7F3">
      <w:pPr>
        <w:pStyle w:val="LI-BodyTextNumbered"/>
        <w:numPr>
          <w:ilvl w:val="0"/>
          <w:numId w:val="0"/>
        </w:numPr>
      </w:pPr>
      <w:bookmarkStart w:id="3" w:name="_Hlk534286677"/>
      <w:r>
        <w:t>P</w:t>
      </w:r>
      <w:r w:rsidR="00C70807">
        <w:t xml:space="preserve">repared in accordance with Part 3 of </w:t>
      </w:r>
      <w:bookmarkStart w:id="4" w:name="_Hlk4054932"/>
      <w:r w:rsidR="00C70807">
        <w:t xml:space="preserve">the </w:t>
      </w:r>
      <w:r w:rsidR="00C70807" w:rsidRPr="1FAFE7F3">
        <w:rPr>
          <w:i/>
          <w:iCs/>
        </w:rPr>
        <w:t>Human Rights (Parliamentary Scrutiny) Act 2011</w:t>
      </w:r>
      <w:bookmarkEnd w:id="4"/>
      <w:r w:rsidR="0044274C">
        <w:rPr>
          <w:i/>
          <w:iCs/>
        </w:rPr>
        <w:t xml:space="preserve"> </w:t>
      </w:r>
      <w:r w:rsidR="0044274C">
        <w:t>(</w:t>
      </w:r>
      <w:r w:rsidR="0044274C" w:rsidRPr="00F82F5E">
        <w:rPr>
          <w:b/>
          <w:i/>
        </w:rPr>
        <w:t>HRPS Act</w:t>
      </w:r>
      <w:r w:rsidR="0044274C">
        <w:t>)</w:t>
      </w:r>
      <w:r w:rsidR="00C70807">
        <w:t xml:space="preserve">. </w:t>
      </w:r>
    </w:p>
    <w:p w14:paraId="0164D948" w14:textId="43108EDE" w:rsidR="00AE0B51" w:rsidRPr="00AE0B51" w:rsidRDefault="00AE0B51" w:rsidP="1FAFE7F3">
      <w:pPr>
        <w:pStyle w:val="LI-BodyTextNumbered"/>
        <w:numPr>
          <w:ilvl w:val="0"/>
          <w:numId w:val="0"/>
        </w:numPr>
        <w:rPr>
          <w:highlight w:val="yellow"/>
        </w:rPr>
      </w:pPr>
      <w:r>
        <w:t>Th</w:t>
      </w:r>
      <w:r w:rsidR="000F32B5">
        <w:t xml:space="preserve">e </w:t>
      </w:r>
      <w:r w:rsidR="00B70FE2" w:rsidRPr="00B70FE2">
        <w:rPr>
          <w:i/>
          <w:iCs/>
        </w:rPr>
        <w:t>Financial Accountability Regime Regulator Rules Amendment Instrument No. 1 of 2024</w:t>
      </w:r>
      <w:r w:rsidR="00B70FE2">
        <w:t xml:space="preserve"> </w:t>
      </w:r>
      <w:r w:rsidR="000F32B5">
        <w:t>(</w:t>
      </w:r>
      <w:r w:rsidR="000F32B5" w:rsidRPr="00446D67">
        <w:rPr>
          <w:b/>
          <w:i/>
        </w:rPr>
        <w:t>the</w:t>
      </w:r>
      <w:r w:rsidRPr="00446D67">
        <w:rPr>
          <w:b/>
          <w:i/>
        </w:rPr>
        <w:t xml:space="preserve"> </w:t>
      </w:r>
      <w:r w:rsidR="00452636" w:rsidRPr="00446D67">
        <w:rPr>
          <w:b/>
          <w:i/>
        </w:rPr>
        <w:t>l</w:t>
      </w:r>
      <w:r w:rsidRPr="00446D67">
        <w:rPr>
          <w:b/>
          <w:i/>
        </w:rPr>
        <w:t xml:space="preserve">egislative </w:t>
      </w:r>
      <w:r w:rsidR="00452636" w:rsidRPr="00446D67">
        <w:rPr>
          <w:b/>
          <w:i/>
        </w:rPr>
        <w:t>i</w:t>
      </w:r>
      <w:r w:rsidRPr="00446D67">
        <w:rPr>
          <w:b/>
          <w:i/>
        </w:rPr>
        <w:t>nstrument</w:t>
      </w:r>
      <w:r w:rsidR="0078029B">
        <w:t>)</w:t>
      </w:r>
      <w:r>
        <w:t xml:space="preserve"> is compatible with the human rights and freedoms recognised or declared in the international instruments listed in section 3 of the </w:t>
      </w:r>
      <w:r w:rsidR="0044274C">
        <w:t>HRPS Act</w:t>
      </w:r>
      <w:r>
        <w:t>.</w:t>
      </w:r>
    </w:p>
    <w:p w14:paraId="0AEB2D56" w14:textId="018BB4EF" w:rsidR="00C70807" w:rsidRPr="00EA17A6" w:rsidRDefault="00C70807" w:rsidP="00C70807">
      <w:pPr>
        <w:pStyle w:val="LI-Heading2"/>
      </w:pPr>
      <w:r w:rsidRPr="00EA17A6">
        <w:t>Overview</w:t>
      </w:r>
      <w:r w:rsidR="00A14D63">
        <w:t xml:space="preserve"> of the Legislative Instrument </w:t>
      </w:r>
    </w:p>
    <w:p w14:paraId="20123F52" w14:textId="5C7A272D" w:rsidR="00E97D8B" w:rsidRDefault="00E97D8B" w:rsidP="1FAFE7F3">
      <w:pPr>
        <w:pStyle w:val="LI-BodyTextNumbered"/>
        <w:numPr>
          <w:ilvl w:val="0"/>
          <w:numId w:val="11"/>
        </w:numPr>
        <w:ind w:left="567" w:hanging="567"/>
      </w:pPr>
      <w:bookmarkStart w:id="5" w:name="_Hlk534286807"/>
      <w:bookmarkEnd w:id="3"/>
      <w:r w:rsidRPr="1FAFE7F3">
        <w:t xml:space="preserve">Section 105(1) of </w:t>
      </w:r>
      <w:r w:rsidRPr="00F82231">
        <w:t xml:space="preserve">the </w:t>
      </w:r>
      <w:r w:rsidRPr="00F82231">
        <w:rPr>
          <w:i/>
          <w:iCs/>
        </w:rPr>
        <w:t>Financial Accountability Regime Act 202</w:t>
      </w:r>
      <w:r w:rsidR="001C0914" w:rsidRPr="00F82231">
        <w:rPr>
          <w:i/>
          <w:iCs/>
        </w:rPr>
        <w:t>3</w:t>
      </w:r>
      <w:r w:rsidRPr="00F82231">
        <w:t xml:space="preserve"> (</w:t>
      </w:r>
      <w:r w:rsidRPr="00F82231">
        <w:rPr>
          <w:b/>
          <w:bCs/>
          <w:i/>
          <w:iCs/>
        </w:rPr>
        <w:t>the Act</w:t>
      </w:r>
      <w:r w:rsidRPr="00F82231">
        <w:t>) provides that the APRA and ASIC (</w:t>
      </w:r>
      <w:r w:rsidRPr="00F82231">
        <w:rPr>
          <w:b/>
          <w:bCs/>
          <w:i/>
          <w:iCs/>
        </w:rPr>
        <w:t>the Regulator</w:t>
      </w:r>
      <w:r w:rsidR="5C5E53A6" w:rsidRPr="00F82231">
        <w:rPr>
          <w:b/>
          <w:bCs/>
          <w:i/>
          <w:iCs/>
        </w:rPr>
        <w:t>s</w:t>
      </w:r>
      <w:r w:rsidRPr="00F82231">
        <w:t>) may</w:t>
      </w:r>
      <w:r w:rsidR="5F46D784" w:rsidRPr="00F82231">
        <w:t xml:space="preserve"> jointly</w:t>
      </w:r>
      <w:r w:rsidRPr="00F82231">
        <w:t xml:space="preserve">, by legislative instrument, make rules </w:t>
      </w:r>
      <w:r w:rsidR="00F602CA">
        <w:t>(</w:t>
      </w:r>
      <w:r w:rsidR="00F602CA" w:rsidRPr="00446D67">
        <w:rPr>
          <w:b/>
          <w:i/>
        </w:rPr>
        <w:t>the</w:t>
      </w:r>
      <w:r w:rsidR="00F602CA">
        <w:t xml:space="preserve"> </w:t>
      </w:r>
      <w:r w:rsidR="00F602CA">
        <w:rPr>
          <w:b/>
          <w:i/>
        </w:rPr>
        <w:t>Regulator rules</w:t>
      </w:r>
      <w:r w:rsidR="00F602CA">
        <w:t>)</w:t>
      </w:r>
      <w:r w:rsidR="00F602CA" w:rsidRPr="00F602CA">
        <w:t xml:space="preserve"> </w:t>
      </w:r>
      <w:r w:rsidRPr="00F82231">
        <w:t>prescribing matters required or permitted by the Act to be prescribed</w:t>
      </w:r>
      <w:r w:rsidR="00F602CA">
        <w:t xml:space="preserve"> by the Regulator </w:t>
      </w:r>
      <w:r w:rsidR="000E7753">
        <w:t>rules</w:t>
      </w:r>
      <w:r w:rsidRPr="00F82231">
        <w:t>, or necessary or convenient to be prescribed for carrying out or giving effect to the Act.</w:t>
      </w:r>
    </w:p>
    <w:p w14:paraId="6F56AC94" w14:textId="7AC32D01" w:rsidR="00FB0B90" w:rsidRPr="00F82231" w:rsidRDefault="00FB0B90" w:rsidP="1FAFE7F3">
      <w:pPr>
        <w:pStyle w:val="LI-BodyTextNumbered"/>
        <w:numPr>
          <w:ilvl w:val="0"/>
          <w:numId w:val="11"/>
        </w:numPr>
        <w:ind w:left="567" w:hanging="567"/>
      </w:pPr>
      <w:r>
        <w:t xml:space="preserve">The legislative instrument amends </w:t>
      </w:r>
      <w:r w:rsidRPr="2645443D">
        <w:rPr>
          <w:i/>
          <w:iCs/>
        </w:rPr>
        <w:t>Financial Accountability Regime Act (Information for register) Regulator Rules 202</w:t>
      </w:r>
      <w:r>
        <w:rPr>
          <w:i/>
          <w:iCs/>
        </w:rPr>
        <w:t>4</w:t>
      </w:r>
      <w:r>
        <w:t xml:space="preserve"> (</w:t>
      </w:r>
      <w:r w:rsidRPr="00F904F1">
        <w:rPr>
          <w:b/>
          <w:bCs/>
          <w:i/>
          <w:iCs/>
        </w:rPr>
        <w:t>the Principal Instrument</w:t>
      </w:r>
      <w:r>
        <w:t>)</w:t>
      </w:r>
      <w:r w:rsidR="00E245B5">
        <w:t>. The Principal Instrument was made by the Regulators to prescribe information for inclusion in the register of accountable persons for all accountable persons (commencement information, personal identification details, employment status, reporting lines, and suspensions), and key functions information for accountable persons of</w:t>
      </w:r>
      <w:r w:rsidR="00B101A8">
        <w:t xml:space="preserve"> authorised deposit taking institutions (</w:t>
      </w:r>
      <w:r w:rsidR="00E245B5" w:rsidRPr="00B101A8">
        <w:rPr>
          <w:b/>
          <w:bCs/>
          <w:i/>
          <w:iCs/>
        </w:rPr>
        <w:t>ADIs</w:t>
      </w:r>
      <w:r w:rsidR="00B101A8">
        <w:t>)</w:t>
      </w:r>
      <w:r w:rsidR="00E245B5">
        <w:t xml:space="preserve"> and </w:t>
      </w:r>
      <w:r w:rsidR="00B101A8">
        <w:t>non-operating holding companies (</w:t>
      </w:r>
      <w:r w:rsidR="00E245B5" w:rsidRPr="00B101A8">
        <w:rPr>
          <w:b/>
          <w:bCs/>
          <w:i/>
          <w:iCs/>
        </w:rPr>
        <w:t>NOHC</w:t>
      </w:r>
      <w:r w:rsidR="00B101A8" w:rsidRPr="00B101A8">
        <w:rPr>
          <w:b/>
          <w:bCs/>
          <w:i/>
          <w:iCs/>
        </w:rPr>
        <w:t>s</w:t>
      </w:r>
      <w:r w:rsidR="00B101A8">
        <w:t xml:space="preserve">) </w:t>
      </w:r>
      <w:r w:rsidR="00E245B5">
        <w:t>of ADIs</w:t>
      </w:r>
      <w:r w:rsidR="00B101A8">
        <w:t>.</w:t>
      </w:r>
    </w:p>
    <w:p w14:paraId="7E0118B2" w14:textId="127C1967" w:rsidR="00E97D8B" w:rsidRDefault="00F602CA" w:rsidP="1FAFE7F3">
      <w:pPr>
        <w:pStyle w:val="LI-BodyTextNumbered"/>
        <w:numPr>
          <w:ilvl w:val="0"/>
          <w:numId w:val="11"/>
        </w:numPr>
        <w:ind w:left="567" w:hanging="567"/>
      </w:pPr>
      <w:r>
        <w:rPr>
          <w:iCs/>
        </w:rPr>
        <w:t>Th</w:t>
      </w:r>
      <w:r w:rsidR="00687816">
        <w:rPr>
          <w:iCs/>
        </w:rPr>
        <w:t>e</w:t>
      </w:r>
      <w:r>
        <w:rPr>
          <w:iCs/>
        </w:rPr>
        <w:t xml:space="preserve"> </w:t>
      </w:r>
      <w:r w:rsidR="00452636">
        <w:rPr>
          <w:iCs/>
        </w:rPr>
        <w:t>l</w:t>
      </w:r>
      <w:r>
        <w:rPr>
          <w:iCs/>
        </w:rPr>
        <w:t xml:space="preserve">egislative </w:t>
      </w:r>
      <w:r w:rsidR="00452636">
        <w:rPr>
          <w:iCs/>
        </w:rPr>
        <w:t>i</w:t>
      </w:r>
      <w:r>
        <w:rPr>
          <w:iCs/>
        </w:rPr>
        <w:t>nstrument</w:t>
      </w:r>
      <w:r w:rsidR="00E97D8B" w:rsidRPr="00F82231">
        <w:rPr>
          <w:i/>
          <w:iCs/>
        </w:rPr>
        <w:t xml:space="preserve"> </w:t>
      </w:r>
      <w:r w:rsidR="00E97D8B" w:rsidRPr="00F82231">
        <w:t>support</w:t>
      </w:r>
      <w:r>
        <w:t>s</w:t>
      </w:r>
      <w:r w:rsidR="00E97D8B" w:rsidRPr="00F82231">
        <w:t xml:space="preserve"> the </w:t>
      </w:r>
      <w:r>
        <w:t xml:space="preserve">ongoing administration </w:t>
      </w:r>
      <w:r w:rsidR="00E97D8B" w:rsidRPr="00F82231">
        <w:t>of the Financial Accountability Regime by prescribing information</w:t>
      </w:r>
      <w:r w:rsidR="00E97D8B" w:rsidRPr="1FAFE7F3">
        <w:t xml:space="preserve"> </w:t>
      </w:r>
      <w:r w:rsidR="0072114E" w:rsidRPr="1FAFE7F3">
        <w:t>for inclusion in</w:t>
      </w:r>
      <w:r w:rsidR="00E97D8B" w:rsidRPr="1FAFE7F3">
        <w:t xml:space="preserve"> the </w:t>
      </w:r>
      <w:r w:rsidR="007611F6" w:rsidRPr="1FAFE7F3">
        <w:t>r</w:t>
      </w:r>
      <w:r w:rsidR="00E97D8B" w:rsidRPr="1FAFE7F3">
        <w:t>egister of accountable persons</w:t>
      </w:r>
      <w:r w:rsidR="00725AB8" w:rsidRPr="1FAFE7F3">
        <w:t xml:space="preserve"> for the purposes of paragraph 40(4)(g) of the Act</w:t>
      </w:r>
      <w:r w:rsidR="00E97D8B" w:rsidRPr="1FAFE7F3">
        <w:t xml:space="preserve">. </w:t>
      </w:r>
    </w:p>
    <w:p w14:paraId="45B74AEC" w14:textId="6B61FDDC" w:rsidR="006135A4" w:rsidRDefault="005201DF" w:rsidP="1FAFE7F3">
      <w:pPr>
        <w:pStyle w:val="LI-BodyTextNumbered"/>
        <w:numPr>
          <w:ilvl w:val="0"/>
          <w:numId w:val="11"/>
        </w:numPr>
        <w:ind w:left="567" w:hanging="567"/>
      </w:pPr>
      <w:r>
        <w:t xml:space="preserve">The obligations of an ADI and authorised </w:t>
      </w:r>
      <w:r w:rsidR="00B101A8">
        <w:t>NOHC</w:t>
      </w:r>
      <w:r>
        <w:t xml:space="preserve"> of an ADI under the Act commenced on </w:t>
      </w:r>
      <w:r w:rsidR="006A575B">
        <w:t>15 March 2024</w:t>
      </w:r>
      <w:r>
        <w:t xml:space="preserve">. The obligations of general insurers, authorised NOHCs of general insurers, life companies, authorised NOHCs of life companies, private health insurers and RSE licensees commence on 15 March 2025. </w:t>
      </w:r>
    </w:p>
    <w:p w14:paraId="77A6BEF1" w14:textId="77F3CE05" w:rsidR="00052A9D" w:rsidRDefault="00B70FE2" w:rsidP="003F5686">
      <w:pPr>
        <w:pStyle w:val="LI-BodyTextNumbered"/>
        <w:numPr>
          <w:ilvl w:val="0"/>
          <w:numId w:val="11"/>
        </w:numPr>
        <w:ind w:left="567" w:hanging="567"/>
      </w:pPr>
      <w:bookmarkStart w:id="6" w:name="_Hlk149237205"/>
      <w:r>
        <w:t>Schedule</w:t>
      </w:r>
      <w:r w:rsidR="005E3653">
        <w:t xml:space="preserve"> </w:t>
      </w:r>
      <w:r>
        <w:t xml:space="preserve">1 </w:t>
      </w:r>
      <w:r w:rsidR="005E3653">
        <w:t xml:space="preserve">of the </w:t>
      </w:r>
      <w:r w:rsidR="00460AA3">
        <w:t xml:space="preserve">legislative </w:t>
      </w:r>
      <w:r w:rsidR="005E3653">
        <w:t xml:space="preserve">instrument </w:t>
      </w:r>
      <w:r>
        <w:t xml:space="preserve">amends the </w:t>
      </w:r>
      <w:r w:rsidRPr="058FA742">
        <w:rPr>
          <w:i/>
          <w:iCs/>
        </w:rPr>
        <w:t>Financial Accountability Regime Act (Information for register) Regulator Rules 2024</w:t>
      </w:r>
      <w:r>
        <w:t xml:space="preserve"> </w:t>
      </w:r>
      <w:r w:rsidR="00A8785A">
        <w:t>(</w:t>
      </w:r>
      <w:r w:rsidR="00A8785A" w:rsidRPr="00933D66">
        <w:rPr>
          <w:b/>
          <w:bCs/>
        </w:rPr>
        <w:t>Principal Instrument</w:t>
      </w:r>
      <w:r w:rsidR="00A8785A">
        <w:t xml:space="preserve">) </w:t>
      </w:r>
      <w:r>
        <w:t xml:space="preserve">to </w:t>
      </w:r>
      <w:r w:rsidR="005E3653">
        <w:t>prescribe</w:t>
      </w:r>
      <w:r>
        <w:t xml:space="preserve"> </w:t>
      </w:r>
      <w:r w:rsidR="00AC47E1">
        <w:t xml:space="preserve">additional </w:t>
      </w:r>
      <w:r w:rsidR="00DC0B0A">
        <w:t xml:space="preserve">key functions </w:t>
      </w:r>
      <w:r w:rsidR="005E3653">
        <w:t>information for inclusion in the register of accountable persons</w:t>
      </w:r>
      <w:r w:rsidR="004761E8">
        <w:t xml:space="preserve"> </w:t>
      </w:r>
      <w:r w:rsidR="003F5686">
        <w:t xml:space="preserve">when the </w:t>
      </w:r>
      <w:r w:rsidR="00AF53AA">
        <w:t xml:space="preserve">Financial Accountability Regime commences operation for general insurers, authorised NOHCs of general insurers, life companies, authorised NOHCs of life companies, private health insurers and RSE licensees on 15 March 2025. </w:t>
      </w:r>
    </w:p>
    <w:p w14:paraId="35C14B4D" w14:textId="3F44F81A" w:rsidR="004067BB" w:rsidRDefault="00B52998" w:rsidP="00814DF4">
      <w:pPr>
        <w:pStyle w:val="LI-BodyTextNumbered"/>
        <w:numPr>
          <w:ilvl w:val="0"/>
          <w:numId w:val="11"/>
        </w:numPr>
        <w:ind w:left="567" w:hanging="567"/>
      </w:pPr>
      <w:bookmarkStart w:id="7" w:name="_Ref167201438"/>
      <w:r>
        <w:t>The</w:t>
      </w:r>
      <w:r w:rsidR="005E3653">
        <w:t xml:space="preserve"> </w:t>
      </w:r>
      <w:r w:rsidR="00052A9D">
        <w:t xml:space="preserve">Principal </w:t>
      </w:r>
      <w:r w:rsidR="00F04CC7">
        <w:t>I</w:t>
      </w:r>
      <w:r w:rsidR="00052A9D">
        <w:t xml:space="preserve">nstrument </w:t>
      </w:r>
      <w:r w:rsidR="00230ECC">
        <w:t xml:space="preserve">prescribes a range of information to be included </w:t>
      </w:r>
      <w:r w:rsidR="009C649C">
        <w:t>i</w:t>
      </w:r>
      <w:r w:rsidR="00230ECC">
        <w:t>n the register of accountable persons</w:t>
      </w:r>
      <w:r w:rsidR="00ED6E38">
        <w:t xml:space="preserve"> </w:t>
      </w:r>
      <w:r w:rsidR="004067BB">
        <w:t>for</w:t>
      </w:r>
      <w:r w:rsidR="00ED6E38">
        <w:t xml:space="preserve"> </w:t>
      </w:r>
      <w:r w:rsidR="00DC0B0A">
        <w:t xml:space="preserve">all </w:t>
      </w:r>
      <w:r w:rsidR="00ED6E38">
        <w:t>accountable persons.</w:t>
      </w:r>
      <w:r w:rsidR="00230ECC">
        <w:t xml:space="preserve"> This includes </w:t>
      </w:r>
      <w:r w:rsidR="004067BB">
        <w:t xml:space="preserve">the following </w:t>
      </w:r>
      <w:r w:rsidR="00230ECC">
        <w:t>personal information</w:t>
      </w:r>
      <w:r w:rsidR="00B74BC3">
        <w:t>:</w:t>
      </w:r>
      <w:bookmarkEnd w:id="7"/>
      <w:r w:rsidR="00230ECC">
        <w:t xml:space="preserve"> </w:t>
      </w:r>
    </w:p>
    <w:p w14:paraId="440C221D" w14:textId="74AD8131" w:rsidR="00106551" w:rsidRDefault="00933D66" w:rsidP="00933D66">
      <w:pPr>
        <w:pStyle w:val="LI-BodyTextNumbered"/>
        <w:numPr>
          <w:ilvl w:val="1"/>
          <w:numId w:val="11"/>
        </w:numPr>
      </w:pPr>
      <w:r>
        <w:lastRenderedPageBreak/>
        <w:t>t</w:t>
      </w:r>
      <w:r w:rsidR="00106551">
        <w:t xml:space="preserve">he name of the accountable </w:t>
      </w:r>
      <w:proofErr w:type="gramStart"/>
      <w:r w:rsidR="00106551">
        <w:t>person</w:t>
      </w:r>
      <w:r>
        <w:t>;</w:t>
      </w:r>
      <w:proofErr w:type="gramEnd"/>
    </w:p>
    <w:p w14:paraId="520722BF" w14:textId="2F7FF540" w:rsidR="00106551" w:rsidRDefault="00933D66" w:rsidP="00106551">
      <w:pPr>
        <w:pStyle w:val="LI-BodyTextNumbered"/>
        <w:numPr>
          <w:ilvl w:val="1"/>
          <w:numId w:val="11"/>
        </w:numPr>
      </w:pPr>
      <w:r>
        <w:t>t</w:t>
      </w:r>
      <w:r w:rsidR="00106551">
        <w:t xml:space="preserve">he date a person becomes an accountable </w:t>
      </w:r>
      <w:proofErr w:type="gramStart"/>
      <w:r w:rsidR="00106551">
        <w:t>person</w:t>
      </w:r>
      <w:r>
        <w:t>;</w:t>
      </w:r>
      <w:proofErr w:type="gramEnd"/>
      <w:r w:rsidR="00106551">
        <w:t xml:space="preserve"> </w:t>
      </w:r>
    </w:p>
    <w:p w14:paraId="69D0EF46" w14:textId="46B091E7" w:rsidR="008D3230" w:rsidRDefault="008D3230" w:rsidP="00106551">
      <w:pPr>
        <w:pStyle w:val="LI-BodyTextNumbered"/>
        <w:numPr>
          <w:ilvl w:val="1"/>
          <w:numId w:val="11"/>
        </w:numPr>
      </w:pPr>
      <w:r>
        <w:t xml:space="preserve">the date of birth, direct phone number and direct email address of an accountable person, as well as the date of any change to these details or to an accountable person’s </w:t>
      </w:r>
      <w:proofErr w:type="gramStart"/>
      <w:r>
        <w:t>name;</w:t>
      </w:r>
      <w:proofErr w:type="gramEnd"/>
    </w:p>
    <w:p w14:paraId="6761D999" w14:textId="1D0FC475" w:rsidR="008D3230" w:rsidRDefault="008D3230" w:rsidP="00106551">
      <w:pPr>
        <w:pStyle w:val="LI-BodyTextNumbered"/>
        <w:numPr>
          <w:ilvl w:val="1"/>
          <w:numId w:val="11"/>
        </w:numPr>
      </w:pPr>
      <w:r>
        <w:t>accountable person’s position (role) title, the start and end date of the position (role) title, the name of the</w:t>
      </w:r>
      <w:r w:rsidR="008D6C6C">
        <w:t xml:space="preserve"> accountable person’s employer and the accountable person’s employment start and end </w:t>
      </w:r>
      <w:proofErr w:type="gramStart"/>
      <w:r w:rsidR="008D6C6C">
        <w:t>dates</w:t>
      </w:r>
      <w:r w:rsidR="00C022A4">
        <w:t>;</w:t>
      </w:r>
      <w:proofErr w:type="gramEnd"/>
    </w:p>
    <w:p w14:paraId="15087B42" w14:textId="1D7FE9F0" w:rsidR="006B02EE" w:rsidRDefault="006B02EE" w:rsidP="006B02EE">
      <w:pPr>
        <w:pStyle w:val="LI-BodyTextNumbered"/>
        <w:numPr>
          <w:ilvl w:val="1"/>
          <w:numId w:val="11"/>
        </w:numPr>
      </w:pPr>
      <w:r>
        <w:t xml:space="preserve">reporting lines information, being </w:t>
      </w:r>
      <w:proofErr w:type="gramStart"/>
      <w:r>
        <w:t>the position title of the person</w:t>
      </w:r>
      <w:proofErr w:type="gramEnd"/>
      <w:r>
        <w:t xml:space="preserve"> the accountable person reports to and the dates the accountable person started, and ceased, to report to that person;</w:t>
      </w:r>
      <w:r w:rsidR="00E33B17">
        <w:t xml:space="preserve"> and</w:t>
      </w:r>
    </w:p>
    <w:p w14:paraId="6B254E62" w14:textId="29C7E74F" w:rsidR="00670B3E" w:rsidRDefault="006B02EE" w:rsidP="00670B3E">
      <w:pPr>
        <w:pStyle w:val="LI-BodyTextNumbered"/>
        <w:numPr>
          <w:ilvl w:val="1"/>
          <w:numId w:val="11"/>
        </w:numPr>
      </w:pPr>
      <w:r>
        <w:t xml:space="preserve">an accountable person’s suspension </w:t>
      </w:r>
      <w:proofErr w:type="gramStart"/>
      <w:r>
        <w:t>start</w:t>
      </w:r>
      <w:proofErr w:type="gramEnd"/>
      <w:r>
        <w:t xml:space="preserve"> and end date (where the suspension is because the person has failed to comply with one or more of the person’s accountability obligations under section 21 of the Act).</w:t>
      </w:r>
    </w:p>
    <w:p w14:paraId="50C92755" w14:textId="0896E80C" w:rsidR="00DC0B0A" w:rsidRPr="008F0902" w:rsidRDefault="00DC0B0A" w:rsidP="008F0902">
      <w:pPr>
        <w:pStyle w:val="LI-BodyTextNumbered"/>
        <w:numPr>
          <w:ilvl w:val="0"/>
          <w:numId w:val="11"/>
        </w:numPr>
        <w:ind w:left="567" w:hanging="567"/>
      </w:pPr>
      <w:r>
        <w:t>The Principal Instrument also prescribes key functions information</w:t>
      </w:r>
      <w:r w:rsidR="00C63891">
        <w:t xml:space="preserve">, </w:t>
      </w:r>
      <w:r>
        <w:t xml:space="preserve">to be included in the register of accountable persons for </w:t>
      </w:r>
      <w:r w:rsidR="00670B3E">
        <w:t xml:space="preserve">an accountable person of </w:t>
      </w:r>
      <w:r w:rsidR="0029763D">
        <w:t>ADIs</w:t>
      </w:r>
      <w:r w:rsidR="00670B3E">
        <w:t xml:space="preserve"> and </w:t>
      </w:r>
      <w:r w:rsidR="0029763D">
        <w:t xml:space="preserve">NOHCs </w:t>
      </w:r>
      <w:r w:rsidR="00670B3E">
        <w:t xml:space="preserve">of ADIs. This includes the dates the accountable person assumed, and ceased to have, responsibility for a </w:t>
      </w:r>
      <w:r w:rsidR="0029763D">
        <w:t>k</w:t>
      </w:r>
      <w:r w:rsidR="00670B3E">
        <w:t xml:space="preserve">ey </w:t>
      </w:r>
      <w:r w:rsidR="0029763D">
        <w:t>f</w:t>
      </w:r>
      <w:r w:rsidR="00670B3E">
        <w:t>unction.</w:t>
      </w:r>
    </w:p>
    <w:p w14:paraId="546F64C5" w14:textId="216BF13A" w:rsidR="005E3653" w:rsidRDefault="004067BB" w:rsidP="00814DF4">
      <w:pPr>
        <w:pStyle w:val="LI-BodyTextNumbered"/>
        <w:numPr>
          <w:ilvl w:val="0"/>
          <w:numId w:val="11"/>
        </w:numPr>
        <w:ind w:left="567" w:hanging="567"/>
      </w:pPr>
      <w:r>
        <w:t xml:space="preserve">The effect of the </w:t>
      </w:r>
      <w:r w:rsidR="00B561A0">
        <w:t xml:space="preserve">amendments to the Principal Instrument made by the </w:t>
      </w:r>
      <w:r w:rsidR="00F04CC7">
        <w:t xml:space="preserve">legislative instrument </w:t>
      </w:r>
      <w:r w:rsidR="00C11E38">
        <w:t xml:space="preserve">is to prescribe </w:t>
      </w:r>
      <w:r w:rsidR="000810BA">
        <w:t>key functions information</w:t>
      </w:r>
      <w:r w:rsidR="00A45F80">
        <w:t xml:space="preserve"> </w:t>
      </w:r>
      <w:r w:rsidR="006547E0">
        <w:t>for inclusion</w:t>
      </w:r>
      <w:r w:rsidR="00A45F80">
        <w:t xml:space="preserve"> in the register of accountable persons </w:t>
      </w:r>
      <w:r w:rsidR="006547E0">
        <w:t xml:space="preserve">of </w:t>
      </w:r>
      <w:r w:rsidR="3E262614">
        <w:t>a general insurer, an authorised NOHC of a general insurer, a life company, a registered NOHC of a life company, a private health insurer, and an RSE licensee.</w:t>
      </w:r>
      <w:r w:rsidR="000A09B0">
        <w:t xml:space="preserve"> </w:t>
      </w:r>
      <w:r w:rsidR="00200FF3">
        <w:t>This is achieved by inserting four new definitions</w:t>
      </w:r>
      <w:r w:rsidR="00B561A0">
        <w:t xml:space="preserve"> into the P</w:t>
      </w:r>
      <w:r w:rsidR="00E03A6F">
        <w:t>rincipal Instrument</w:t>
      </w:r>
      <w:r w:rsidR="00D12CF2">
        <w:t>:</w:t>
      </w:r>
      <w:r w:rsidR="00425CC9">
        <w:t xml:space="preserve"> “Insurance Key </w:t>
      </w:r>
      <w:r w:rsidR="4863B738">
        <w:t>Function” “</w:t>
      </w:r>
      <w:r w:rsidR="00425CC9">
        <w:t>Insurance Key Functions Requirements” “RSE licensee Key Function” and “RSE licensee Key Function Requirements</w:t>
      </w:r>
      <w:r w:rsidR="002A17E1">
        <w:t>”</w:t>
      </w:r>
      <w:r w:rsidR="00D12CF2">
        <w:t xml:space="preserve">. </w:t>
      </w:r>
      <w:r w:rsidR="000E12C8">
        <w:t xml:space="preserve">This will ensure the </w:t>
      </w:r>
      <w:r w:rsidR="0036514B">
        <w:t xml:space="preserve">Principal Instrument (as amended) has appropriate operation for the insurance and superannuation industries when their obligations commence on </w:t>
      </w:r>
      <w:r w:rsidR="00CE5992">
        <w:t>1</w:t>
      </w:r>
      <w:r w:rsidR="0036514B">
        <w:t xml:space="preserve">5 March 2025. </w:t>
      </w:r>
    </w:p>
    <w:bookmarkEnd w:id="6"/>
    <w:p w14:paraId="600CDA16" w14:textId="71982A03" w:rsidR="00C70807" w:rsidRPr="00EA17A6" w:rsidRDefault="00AF554A" w:rsidP="1FAFE7F3">
      <w:pPr>
        <w:pStyle w:val="LI-Heading2"/>
      </w:pPr>
      <w:r w:rsidRPr="1FAFE7F3">
        <w:t>H</w:t>
      </w:r>
      <w:r w:rsidR="00C70807" w:rsidRPr="1FAFE7F3">
        <w:t>uman rights implications</w:t>
      </w:r>
    </w:p>
    <w:bookmarkEnd w:id="5"/>
    <w:p w14:paraId="3239C7C8" w14:textId="6E477216" w:rsidR="000A03FF" w:rsidRDefault="000A03FF" w:rsidP="00814DF4">
      <w:pPr>
        <w:pStyle w:val="LI-BodyTextNumbered"/>
        <w:numPr>
          <w:ilvl w:val="0"/>
          <w:numId w:val="11"/>
        </w:numPr>
        <w:ind w:left="567" w:hanging="567"/>
      </w:pPr>
      <w:r>
        <w:t>The legislative instrument may engage the right to protection from unlawful or arbitrary interference with privacy under Article 17 of the International Covenant on Civil and Political Rights (</w:t>
      </w:r>
      <w:r w:rsidRPr="1C4A6AD0">
        <w:rPr>
          <w:b/>
          <w:bCs/>
          <w:i/>
          <w:iCs/>
        </w:rPr>
        <w:t>ICCPR</w:t>
      </w:r>
      <w:r>
        <w:t xml:space="preserve">), as it requires the provision of personal information to the Regulators.  </w:t>
      </w:r>
    </w:p>
    <w:p w14:paraId="6DB2213D" w14:textId="77777777" w:rsidR="000A03FF" w:rsidRDefault="000A03FF" w:rsidP="00814DF4">
      <w:pPr>
        <w:pStyle w:val="LI-BodyTextNumbered"/>
        <w:numPr>
          <w:ilvl w:val="0"/>
          <w:numId w:val="11"/>
        </w:numPr>
        <w:ind w:left="567" w:hanging="567"/>
      </w:pPr>
      <w:r>
        <w:t xml:space="preserve">‘Personal information’ is defined in the </w:t>
      </w:r>
      <w:r w:rsidRPr="058FA742">
        <w:rPr>
          <w:i/>
          <w:iCs/>
        </w:rPr>
        <w:t>Privacy Act 1988</w:t>
      </w:r>
      <w:r>
        <w:t xml:space="preserve"> as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5B21C57" w14:textId="77777777" w:rsidR="000A03FF" w:rsidRDefault="000A03FF" w:rsidP="00814DF4">
      <w:pPr>
        <w:pStyle w:val="LI-BodyTextNumbered"/>
        <w:numPr>
          <w:ilvl w:val="0"/>
          <w:numId w:val="11"/>
        </w:numPr>
        <w:ind w:left="567" w:hanging="567"/>
      </w:pPr>
      <w:r>
        <w:t xml:space="preserve">The right in Article 17 may be subject to permissible limitations, where these limitations are authorised by law and are not arbitrary. In order for the </w:t>
      </w:r>
      <w:r>
        <w:lastRenderedPageBreak/>
        <w:t>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5670ED89" w14:textId="6E391CBE" w:rsidR="007D1A61" w:rsidRDefault="007D1A61" w:rsidP="007D1A61">
      <w:pPr>
        <w:pStyle w:val="LI-BodyTextNumbered"/>
        <w:numPr>
          <w:ilvl w:val="0"/>
          <w:numId w:val="11"/>
        </w:numPr>
        <w:ind w:left="567" w:hanging="567"/>
      </w:pPr>
      <w:r>
        <w:t xml:space="preserve">The Regulators are collecting personal </w:t>
      </w:r>
      <w:r w:rsidR="00ED0394">
        <w:t>information</w:t>
      </w:r>
      <w:r>
        <w:t xml:space="preserve"> </w:t>
      </w:r>
      <w:r w:rsidR="004A35AC">
        <w:t>of</w:t>
      </w:r>
      <w:r>
        <w:t xml:space="preserve"> accountable person</w:t>
      </w:r>
      <w:r w:rsidR="004A35AC">
        <w:t xml:space="preserve">s of </w:t>
      </w:r>
      <w:r w:rsidR="00345D58">
        <w:t xml:space="preserve">general insurer, an authorised </w:t>
      </w:r>
      <w:r w:rsidR="00345D58" w:rsidRPr="004A35AC">
        <w:t xml:space="preserve">NOHC </w:t>
      </w:r>
      <w:r w:rsidR="00345D58">
        <w:t>of a general insurer, a life company, a registered NOHC of a life company, a private health insurer, and an RSE licensee</w:t>
      </w:r>
      <w:r w:rsidR="00CA6916">
        <w:t>, including key functions information,</w:t>
      </w:r>
      <w:r>
        <w:t xml:space="preserve"> for the purpose of their regulatory functions under the Act and the </w:t>
      </w:r>
      <w:r w:rsidRPr="00523446">
        <w:rPr>
          <w:i/>
          <w:iCs/>
        </w:rPr>
        <w:t>Financial Accountability Regime (Consequential Amendments) Act 2023</w:t>
      </w:r>
      <w:r>
        <w:t>. These functions include:</w:t>
      </w:r>
    </w:p>
    <w:p w14:paraId="4555719E" w14:textId="62D67795" w:rsidR="007D1A61" w:rsidRDefault="007D1A61" w:rsidP="00933D66">
      <w:pPr>
        <w:pStyle w:val="LI-BodyTextNumbered"/>
        <w:numPr>
          <w:ilvl w:val="0"/>
          <w:numId w:val="34"/>
        </w:numPr>
      </w:pPr>
      <w:r>
        <w:t xml:space="preserve">maintaining a register of accountable persons for all entities which are subject to the </w:t>
      </w:r>
      <w:proofErr w:type="gramStart"/>
      <w:r>
        <w:t>regime;</w:t>
      </w:r>
      <w:proofErr w:type="gramEnd"/>
    </w:p>
    <w:p w14:paraId="79F493DC" w14:textId="77777777" w:rsidR="007D1A61" w:rsidRDefault="007D1A61" w:rsidP="007D1A61">
      <w:pPr>
        <w:pStyle w:val="LI-BodyTextNumbered"/>
        <w:numPr>
          <w:ilvl w:val="0"/>
          <w:numId w:val="34"/>
        </w:numPr>
      </w:pPr>
      <w:r>
        <w:t xml:space="preserve">understanding the accountability obligations of an accountable </w:t>
      </w:r>
      <w:proofErr w:type="gramStart"/>
      <w:r>
        <w:t>person;</w:t>
      </w:r>
      <w:proofErr w:type="gramEnd"/>
    </w:p>
    <w:p w14:paraId="36D95A7B" w14:textId="77777777" w:rsidR="007D1A61" w:rsidRDefault="007D1A61" w:rsidP="007D1A61">
      <w:pPr>
        <w:pStyle w:val="LI-BodyTextNumbered"/>
        <w:numPr>
          <w:ilvl w:val="0"/>
          <w:numId w:val="34"/>
        </w:numPr>
      </w:pPr>
      <w:r>
        <w:t>performing supervisory activities in connection with the administration of the regime and any associated investigation or enforcement activity; and</w:t>
      </w:r>
    </w:p>
    <w:p w14:paraId="4B70E864" w14:textId="77777777" w:rsidR="007D1A61" w:rsidRDefault="007D1A61" w:rsidP="007D1A61">
      <w:pPr>
        <w:pStyle w:val="LI-BodyTextNumbered"/>
        <w:numPr>
          <w:ilvl w:val="0"/>
          <w:numId w:val="34"/>
        </w:numPr>
      </w:pPr>
      <w:r>
        <w:t>handling and responding to queries and requests received in relation to the regime.</w:t>
      </w:r>
    </w:p>
    <w:p w14:paraId="43A3367F" w14:textId="6C660D70" w:rsidR="00EA2B9F" w:rsidRDefault="000A03FF" w:rsidP="00EA2B9F">
      <w:pPr>
        <w:pStyle w:val="LI-BodyTextNumbered"/>
        <w:numPr>
          <w:ilvl w:val="0"/>
          <w:numId w:val="11"/>
        </w:numPr>
        <w:ind w:left="567" w:hanging="567"/>
      </w:pPr>
      <w:r>
        <w:t xml:space="preserve">The provision of personal information to the Regulators is compatible with the rights recognised in Article 17 of the ICCPR as it is proportional to the ends sought and is necessary in the circumstances to ensure the </w:t>
      </w:r>
      <w:r w:rsidR="008D436B">
        <w:t>Financial Accountability Regime</w:t>
      </w:r>
      <w:r w:rsidR="00EA2B9F">
        <w:t xml:space="preserve"> (</w:t>
      </w:r>
      <w:r w:rsidR="00EA2B9F" w:rsidRPr="006222FF">
        <w:rPr>
          <w:b/>
          <w:bCs/>
          <w:i/>
          <w:iCs/>
        </w:rPr>
        <w:t>the regime</w:t>
      </w:r>
      <w:r w:rsidR="00EA2B9F">
        <w:t>)</w:t>
      </w:r>
      <w:r w:rsidR="007C2A6C">
        <w:t xml:space="preserve"> </w:t>
      </w:r>
      <w:r>
        <w:t>achieves its broader legislative purpose of improving the operating culture and increasing transparency and accountability of entities making that transition.</w:t>
      </w:r>
      <w:r w:rsidR="00EA2B9F">
        <w:t xml:space="preserve"> </w:t>
      </w:r>
    </w:p>
    <w:p w14:paraId="5581BB4D" w14:textId="08132D69" w:rsidR="00465AA5" w:rsidRDefault="00465AA5" w:rsidP="00EA2B9F">
      <w:pPr>
        <w:pStyle w:val="LI-BodyTextNumbered"/>
        <w:numPr>
          <w:ilvl w:val="0"/>
          <w:numId w:val="11"/>
        </w:numPr>
        <w:ind w:left="567" w:hanging="567"/>
      </w:pPr>
      <w:r w:rsidRPr="00465AA5">
        <w:t xml:space="preserve">The collection of </w:t>
      </w:r>
      <w:r w:rsidR="00C63891">
        <w:t xml:space="preserve">key functions information </w:t>
      </w:r>
      <w:r w:rsidR="00CC4559">
        <w:t xml:space="preserve">of accountable persons of general insurer, an authorised </w:t>
      </w:r>
      <w:r w:rsidR="00CC4559" w:rsidRPr="004A35AC">
        <w:t xml:space="preserve">NOHC </w:t>
      </w:r>
      <w:r w:rsidR="00CC4559">
        <w:t xml:space="preserve">of a general insurer, a life company, a registered NOHC of a life company, a private health insurer, and an RSE licensee </w:t>
      </w:r>
      <w:r w:rsidRPr="00465AA5">
        <w:t>is necessary for the Regulators to undertake their regulatory functions</w:t>
      </w:r>
      <w:r w:rsidR="007D1A61">
        <w:t xml:space="preserve">. </w:t>
      </w:r>
      <w:r>
        <w:t>It is</w:t>
      </w:r>
      <w:r w:rsidRPr="00465AA5">
        <w:t xml:space="preserve"> particularly important that </w:t>
      </w:r>
      <w:r w:rsidR="007D1A61">
        <w:t>the Regulators</w:t>
      </w:r>
      <w:r w:rsidRPr="00465AA5">
        <w:t xml:space="preserve"> have sufficient information to </w:t>
      </w:r>
      <w:proofErr w:type="gramStart"/>
      <w:r w:rsidRPr="00465AA5">
        <w:t xml:space="preserve">properly </w:t>
      </w:r>
      <w:r w:rsidR="00967999">
        <w:t xml:space="preserve">and accurately </w:t>
      </w:r>
      <w:r w:rsidRPr="00465AA5">
        <w:t xml:space="preserve">identify </w:t>
      </w:r>
      <w:r w:rsidR="000C2EE3">
        <w:t>accountable persons</w:t>
      </w:r>
      <w:r>
        <w:t xml:space="preserve"> and their </w:t>
      </w:r>
      <w:r w:rsidR="00F37160">
        <w:t xml:space="preserve">respective </w:t>
      </w:r>
      <w:r>
        <w:t>responsibilities</w:t>
      </w:r>
      <w:proofErr w:type="gramEnd"/>
      <w:r w:rsidRPr="00465AA5">
        <w:t xml:space="preserve">, noting that </w:t>
      </w:r>
      <w:r>
        <w:t>the Regulators will</w:t>
      </w:r>
      <w:r w:rsidRPr="00465AA5">
        <w:t xml:space="preserve"> need to ensure they are dealing with the correct person if undertaking enforcement action to disqualify an accountable person.</w:t>
      </w:r>
    </w:p>
    <w:p w14:paraId="46833719" w14:textId="76FFFC5F" w:rsidR="00EA2B9F" w:rsidRDefault="00EA2B9F" w:rsidP="006222FF">
      <w:pPr>
        <w:pStyle w:val="LI-BodyTextNumbered"/>
        <w:numPr>
          <w:ilvl w:val="0"/>
          <w:numId w:val="11"/>
        </w:numPr>
        <w:ind w:left="567" w:hanging="567"/>
      </w:pPr>
      <w:r>
        <w:t>A range of safeguards apply to how the Regulators collect, use, and disclose personal information about an accountable person for the purposes of the regime, including:</w:t>
      </w:r>
    </w:p>
    <w:p w14:paraId="32E5992B" w14:textId="60217F65" w:rsidR="00EA2B9F" w:rsidRDefault="00EA2B9F" w:rsidP="00933D66">
      <w:pPr>
        <w:pStyle w:val="LI-BodyTextNumbered"/>
        <w:numPr>
          <w:ilvl w:val="0"/>
          <w:numId w:val="33"/>
        </w:numPr>
      </w:pPr>
      <w:r>
        <w:t xml:space="preserve">the Regulator’s Privacy Policies and privacy collection notices, which are available on their websites and </w:t>
      </w:r>
      <w:r w:rsidR="00382F71">
        <w:t>constitute</w:t>
      </w:r>
      <w:r w:rsidR="007755A8">
        <w:t xml:space="preserve"> </w:t>
      </w:r>
      <w:r>
        <w:t xml:space="preserve">notice under Australian Privacy Principle 5 for collecting personal information in relation to the </w:t>
      </w:r>
      <w:proofErr w:type="gramStart"/>
      <w:r>
        <w:t>regime;</w:t>
      </w:r>
      <w:proofErr w:type="gramEnd"/>
    </w:p>
    <w:p w14:paraId="2D31CD5B" w14:textId="075731C6" w:rsidR="00EA2B9F" w:rsidRDefault="00EA2B9F" w:rsidP="006222FF">
      <w:pPr>
        <w:pStyle w:val="LI-BodyTextNumbered"/>
        <w:numPr>
          <w:ilvl w:val="0"/>
          <w:numId w:val="33"/>
        </w:numPr>
      </w:pPr>
      <w:r>
        <w:lastRenderedPageBreak/>
        <w:t xml:space="preserve">data security and integrity measures as required to comply with Australian Privacy Principle 11 to secure personal information and </w:t>
      </w:r>
      <w:r w:rsidR="00D71A26">
        <w:t xml:space="preserve">as required to comply with </w:t>
      </w:r>
      <w:r>
        <w:t>the Commonwealth Protective Security Policy Framework; and</w:t>
      </w:r>
    </w:p>
    <w:p w14:paraId="078950A1" w14:textId="14373B5B" w:rsidR="00EA2B9F" w:rsidRDefault="00EA2B9F" w:rsidP="00465AA5">
      <w:pPr>
        <w:pStyle w:val="LI-BodyTextNumbered"/>
        <w:numPr>
          <w:ilvl w:val="0"/>
          <w:numId w:val="33"/>
        </w:numPr>
      </w:pPr>
      <w:r>
        <w:t xml:space="preserve">the secrecy provisions in section 56 of the </w:t>
      </w:r>
      <w:r w:rsidRPr="006222FF">
        <w:rPr>
          <w:i/>
          <w:iCs/>
        </w:rPr>
        <w:t>Australian Prudential Regulation Authority Act 1998</w:t>
      </w:r>
      <w:r>
        <w:t xml:space="preserve"> and section 127 of the </w:t>
      </w:r>
      <w:r w:rsidRPr="006222FF">
        <w:rPr>
          <w:i/>
          <w:iCs/>
        </w:rPr>
        <w:t>Australian Securities and Investments Commission Act 2001</w:t>
      </w:r>
      <w:r>
        <w:t>.</w:t>
      </w:r>
      <w:r w:rsidR="003679C3">
        <w:t xml:space="preserve">  </w:t>
      </w:r>
    </w:p>
    <w:p w14:paraId="56D0F901" w14:textId="5948102B" w:rsidR="00BC7FE4" w:rsidRDefault="00BC7FE4" w:rsidP="006222FF">
      <w:pPr>
        <w:pStyle w:val="LI-BodyTextNumbered"/>
        <w:numPr>
          <w:ilvl w:val="0"/>
          <w:numId w:val="11"/>
        </w:numPr>
        <w:ind w:left="567" w:hanging="567"/>
      </w:pPr>
      <w:r>
        <w:t xml:space="preserve">Information collected for the register will only be made publicly available in circumstances where the Regulators disqualify an accountable person under the Act. The information made public in relation to disqualifications will only contain the name of each disqualified accountable person and the scope of their disqualification. </w:t>
      </w:r>
    </w:p>
    <w:p w14:paraId="437D6273" w14:textId="54B4E75F" w:rsidR="00BC7FE4" w:rsidRDefault="00BC7FE4" w:rsidP="00BC7FE4">
      <w:pPr>
        <w:pStyle w:val="LI-BodyTextNumbered"/>
        <w:numPr>
          <w:ilvl w:val="0"/>
          <w:numId w:val="11"/>
        </w:numPr>
        <w:ind w:left="567" w:hanging="567"/>
      </w:pPr>
      <w:r>
        <w:t xml:space="preserve">Making </w:t>
      </w:r>
      <w:r w:rsidR="004A5754">
        <w:t xml:space="preserve">the limited </w:t>
      </w:r>
      <w:r>
        <w:t xml:space="preserve">disqualification information public is important for transparency purposes and supports </w:t>
      </w:r>
      <w:r w:rsidR="004A5754">
        <w:t xml:space="preserve">regulated entities </w:t>
      </w:r>
      <w:r>
        <w:t xml:space="preserve">to discharge </w:t>
      </w:r>
      <w:r w:rsidR="004A5754">
        <w:t>their</w:t>
      </w:r>
      <w:r>
        <w:t xml:space="preserve"> obligations, noting it is an offence under the Act if an accountable entity or a significant related entity allows a person to be or act as an accountable person whilst disqualified.</w:t>
      </w:r>
    </w:p>
    <w:p w14:paraId="0A47B139" w14:textId="77777777" w:rsidR="000A03FF" w:rsidRPr="00F01E10" w:rsidRDefault="000A03FF" w:rsidP="000A03FF">
      <w:pPr>
        <w:pStyle w:val="LI-Heading2"/>
        <w:ind w:left="0" w:firstLine="0"/>
      </w:pPr>
      <w:r>
        <w:t>Conclusion</w:t>
      </w:r>
    </w:p>
    <w:p w14:paraId="7B668CFA" w14:textId="1B2BA8AE" w:rsidR="000A03FF" w:rsidRDefault="000A03FF" w:rsidP="00814DF4">
      <w:pPr>
        <w:pStyle w:val="LI-BodyTextNumbered"/>
        <w:numPr>
          <w:ilvl w:val="0"/>
          <w:numId w:val="11"/>
        </w:numPr>
        <w:ind w:left="567" w:hanging="567"/>
      </w:pPr>
      <w:r>
        <w:t>Accordingly, to the extent that the legislative instrument may engage rights under Article 17 of the ICCPR, it is compatible with the human rights and freedoms recognised or declared in the international instruments listed in section 3 of the HRPS Act as the limitations are appropriate, proportionate and achieve a legitimate objective.</w:t>
      </w:r>
    </w:p>
    <w:p w14:paraId="18103F8E" w14:textId="77777777" w:rsidR="005C58F6" w:rsidRDefault="005C58F6" w:rsidP="00D711DA"/>
    <w:sectPr w:rsidR="005C58F6" w:rsidSect="00143BC0">
      <w:headerReference w:type="even" r:id="rId12"/>
      <w:footerReference w:type="default" r:id="rId13"/>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7A8C" w14:textId="77777777" w:rsidR="004F5150" w:rsidRDefault="004F5150">
      <w:pPr>
        <w:spacing w:line="240" w:lineRule="auto"/>
      </w:pPr>
      <w:r>
        <w:separator/>
      </w:r>
    </w:p>
  </w:endnote>
  <w:endnote w:type="continuationSeparator" w:id="0">
    <w:p w14:paraId="313059C2" w14:textId="77777777" w:rsidR="004F5150" w:rsidRDefault="004F5150">
      <w:pPr>
        <w:spacing w:line="240" w:lineRule="auto"/>
      </w:pPr>
      <w:r>
        <w:continuationSeparator/>
      </w:r>
    </w:p>
  </w:endnote>
  <w:endnote w:type="continuationNotice" w:id="1">
    <w:p w14:paraId="66BF37DC" w14:textId="77777777" w:rsidR="004F5150" w:rsidRDefault="004F51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E3BF" w14:textId="77777777" w:rsidR="00143BC0" w:rsidRDefault="00C623D2">
    <w:pPr>
      <w:pStyle w:val="Footer"/>
      <w:jc w:val="center"/>
    </w:pPr>
    <w:r>
      <w:fldChar w:fldCharType="begin"/>
    </w:r>
    <w:r>
      <w:instrText xml:space="preserve"> PAGE   \* MERGEFORMAT </w:instrText>
    </w:r>
    <w:r>
      <w:fldChar w:fldCharType="separate"/>
    </w:r>
    <w:r>
      <w:rPr>
        <w:noProof/>
      </w:rPr>
      <w:t>2</w:t>
    </w:r>
    <w:r>
      <w:rPr>
        <w:noProof/>
      </w:rPr>
      <w:fldChar w:fldCharType="end"/>
    </w:r>
  </w:p>
  <w:p w14:paraId="7422C896" w14:textId="77777777" w:rsidR="00143BC0" w:rsidRDefault="00143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8D18" w14:textId="77777777" w:rsidR="004F5150" w:rsidRDefault="004F5150">
      <w:pPr>
        <w:spacing w:line="240" w:lineRule="auto"/>
      </w:pPr>
      <w:r>
        <w:separator/>
      </w:r>
    </w:p>
  </w:footnote>
  <w:footnote w:type="continuationSeparator" w:id="0">
    <w:p w14:paraId="5CC4CB7B" w14:textId="77777777" w:rsidR="004F5150" w:rsidRDefault="004F5150">
      <w:pPr>
        <w:spacing w:line="240" w:lineRule="auto"/>
      </w:pPr>
      <w:r>
        <w:continuationSeparator/>
      </w:r>
    </w:p>
  </w:footnote>
  <w:footnote w:type="continuationNotice" w:id="1">
    <w:p w14:paraId="3014AB67" w14:textId="77777777" w:rsidR="004F5150" w:rsidRDefault="004F51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B3DF" w14:textId="46BD1C17" w:rsidR="00143BC0" w:rsidRPr="00243EC0" w:rsidRDefault="00AF4C2D" w:rsidP="00143BC0">
    <w:pPr>
      <w:pStyle w:val="LI-Footer"/>
      <w:pBdr>
        <w:top w:val="none" w:sz="0" w:space="0" w:color="auto"/>
        <w:bottom w:val="single" w:sz="4" w:space="1" w:color="auto"/>
      </w:pBdr>
    </w:pPr>
    <w:r>
      <w:rPr>
        <w:noProof/>
      </w:rPr>
      <mc:AlternateContent>
        <mc:Choice Requires="wps">
          <w:drawing>
            <wp:anchor distT="0" distB="0" distL="114300" distR="114300" simplePos="1" relativeHeight="251676688" behindDoc="0" locked="0" layoutInCell="1" allowOverlap="1" wp14:anchorId="5FEB6EC0" wp14:editId="1140B18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46878949"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5542B06" w14:textId="77777777" w:rsidR="00AF4C2D" w:rsidRDefault="00AF4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EB6EC0" id="_x0000_t202" coordsize="21600,21600" o:spt="202" path="m,l,21600r21600,l21600,xe">
              <v:stroke joinstyle="miter"/>
              <v:path gradientshapeok="t" o:connecttype="rect"/>
            </v:shapetype>
            <v:shape id="Text Box 6" o:spid="_x0000_s1026" type="#_x0000_t202" style="position:absolute;margin-left:0;margin-top:0;width:110pt;height:36pt;z-index:25167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75542B06" w14:textId="77777777" w:rsidR="00AF4C2D" w:rsidRDefault="00AF4C2D"/>
                </w:txbxContent>
              </v:textbox>
              <w10:wrap type="through"/>
            </v:shape>
          </w:pict>
        </mc:Fallback>
      </mc:AlternateContent>
    </w:r>
    <w:r>
      <w:rPr>
        <w:noProof/>
      </w:rPr>
      <mc:AlternateContent>
        <mc:Choice Requires="wps">
          <w:drawing>
            <wp:anchor distT="0" distB="0" distL="114300" distR="114300" simplePos="1" relativeHeight="251673616" behindDoc="0" locked="0" layoutInCell="1" allowOverlap="1" wp14:anchorId="3520F127" wp14:editId="6420AB4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4878475"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C87FD2E" w14:textId="77777777" w:rsidR="00AF4C2D" w:rsidRDefault="00AF4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0F127" id="Text Box 3" o:spid="_x0000_s1027" type="#_x0000_t202" style="position:absolute;margin-left:0;margin-top:0;width:110pt;height:36pt;z-index:25167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7C87FD2E" w14:textId="77777777" w:rsidR="00AF4C2D" w:rsidRDefault="00AF4C2D"/>
                </w:txbxContent>
              </v:textbox>
              <w10:wrap type="through"/>
            </v:shape>
          </w:pict>
        </mc:Fallback>
      </mc:AlternateContent>
    </w:r>
    <w:r w:rsidR="00DC62A3">
      <w:rPr>
        <w:noProof/>
      </w:rPr>
      <mc:AlternateContent>
        <mc:Choice Requires="wps">
          <w:drawing>
            <wp:anchor distT="0" distB="0" distL="114300" distR="114300" simplePos="1" relativeHeight="251670544" behindDoc="0" locked="0" layoutInCell="1" allowOverlap="1" wp14:anchorId="73733D0E" wp14:editId="121E322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8304854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9D3A25E" w14:textId="77777777" w:rsidR="00DC62A3" w:rsidRDefault="00DC62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33D0E" id="_x0000_s1028" type="#_x0000_t202" style="position:absolute;margin-left:0;margin-top:0;width:110pt;height:36pt;z-index:25167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69D3A25E" w14:textId="77777777" w:rsidR="00DC62A3" w:rsidRDefault="00DC62A3"/>
                </w:txbxContent>
              </v:textbox>
              <w10:wrap type="through"/>
            </v:shape>
          </w:pict>
        </mc:Fallback>
      </mc:AlternateContent>
    </w:r>
    <w:r w:rsidR="00DC62A3">
      <w:rPr>
        <w:noProof/>
      </w:rPr>
      <mc:AlternateContent>
        <mc:Choice Requires="wps">
          <w:drawing>
            <wp:anchor distT="0" distB="0" distL="114300" distR="114300" simplePos="1" relativeHeight="251667472" behindDoc="0" locked="0" layoutInCell="1" allowOverlap="1" wp14:anchorId="7AF3940D" wp14:editId="5F68B3E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07825937"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F0AEAEB" w14:textId="77777777" w:rsidR="00DC62A3" w:rsidRDefault="00DC62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F3940D" id="_x0000_s1029" type="#_x0000_t202" style="position:absolute;margin-left:0;margin-top:0;width:110pt;height:36pt;z-index:25166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6F0AEAEB" w14:textId="77777777" w:rsidR="00DC62A3" w:rsidRDefault="00DC62A3"/>
                </w:txbxContent>
              </v:textbox>
              <w10:wrap type="through"/>
            </v:shape>
          </w:pict>
        </mc:Fallback>
      </mc:AlternateContent>
    </w:r>
    <w:r w:rsidR="00D55D3B">
      <w:rPr>
        <w:noProof/>
      </w:rPr>
      <mc:AlternateContent>
        <mc:Choice Requires="wps">
          <w:drawing>
            <wp:anchor distT="0" distB="0" distL="114300" distR="114300" simplePos="1" relativeHeight="251664400" behindDoc="0" locked="0" layoutInCell="1" allowOverlap="1" wp14:anchorId="092DBD72" wp14:editId="08DB9A8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5217406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4D753DB" w14:textId="77777777" w:rsidR="00D55D3B" w:rsidRDefault="00D55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DBD72" id="_x0000_s1030" type="#_x0000_t202" style="position:absolute;margin-left:0;margin-top:0;width:110pt;height:36pt;z-index:25166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74D753DB" w14:textId="77777777" w:rsidR="00D55D3B" w:rsidRDefault="00D55D3B"/>
                </w:txbxContent>
              </v:textbox>
              <w10:wrap type="through"/>
            </v:shape>
          </w:pict>
        </mc:Fallback>
      </mc:AlternateContent>
    </w:r>
    <w:r w:rsidR="00D55D3B">
      <w:rPr>
        <w:noProof/>
      </w:rPr>
      <mc:AlternateContent>
        <mc:Choice Requires="wps">
          <w:drawing>
            <wp:anchor distT="0" distB="0" distL="114300" distR="114300" simplePos="1" relativeHeight="251661328" behindDoc="0" locked="0" layoutInCell="1" allowOverlap="1" wp14:anchorId="3912FCC5" wp14:editId="51398A8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2005554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5914A26" w14:textId="77777777" w:rsidR="00D55D3B" w:rsidRDefault="00D55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12FCC5" id="_x0000_s1031" type="#_x0000_t202" style="position:absolute;margin-left:0;margin-top:0;width:110pt;height:36pt;z-index:25166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55914A26" w14:textId="77777777" w:rsidR="00D55D3B" w:rsidRDefault="00D55D3B"/>
                </w:txbxContent>
              </v:textbox>
              <w10:wrap type="through"/>
            </v:shape>
          </w:pict>
        </mc:Fallback>
      </mc:AlternateContent>
    </w:r>
    <w:r w:rsidR="00320B2B">
      <w:rPr>
        <w:noProof/>
      </w:rPr>
      <mc:AlternateContent>
        <mc:Choice Requires="wps">
          <w:drawing>
            <wp:anchor distT="0" distB="0" distL="114300" distR="114300" simplePos="1" relativeHeight="251658256" behindDoc="0" locked="0" layoutInCell="1" allowOverlap="1" wp14:anchorId="3CFCDEB8" wp14:editId="0EC3973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73546076"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DBC99E5" w14:textId="77777777" w:rsidR="00320B2B" w:rsidRDefault="00320B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FCDEB8" id="_x0000_s1032" type="#_x0000_t202" style="position:absolute;margin-left:0;margin-top:0;width:110pt;height:36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1DBC99E5" w14:textId="77777777" w:rsidR="00320B2B" w:rsidRDefault="00320B2B"/>
                </w:txbxContent>
              </v:textbox>
              <w10:wrap type="through"/>
            </v:shape>
          </w:pict>
        </mc:Fallback>
      </mc:AlternateContent>
    </w:r>
    <w:r w:rsidR="00320B2B">
      <w:rPr>
        <w:noProof/>
      </w:rPr>
      <mc:AlternateContent>
        <mc:Choice Requires="wps">
          <w:drawing>
            <wp:anchor distT="0" distB="0" distL="114300" distR="114300" simplePos="1" relativeHeight="251658253" behindDoc="0" locked="0" layoutInCell="1" allowOverlap="1" wp14:anchorId="52FB9827" wp14:editId="4D5E0A9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10439009"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6D0FB6E" w14:textId="77777777" w:rsidR="00320B2B" w:rsidRDefault="00320B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FB9827" id="_x0000_s1033" type="#_x0000_t202" style="position:absolute;margin-left:0;margin-top:0;width:110pt;height:36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textbox>
                <w:txbxContent>
                  <w:p w14:paraId="76D0FB6E" w14:textId="77777777" w:rsidR="00320B2B" w:rsidRDefault="00320B2B"/>
                </w:txbxContent>
              </v:textbox>
              <w10:wrap type="through"/>
            </v:shape>
          </w:pict>
        </mc:Fallback>
      </mc:AlternateContent>
    </w:r>
    <w:r w:rsidR="00094834">
      <w:rPr>
        <w:noProof/>
      </w:rPr>
      <mc:AlternateContent>
        <mc:Choice Requires="wps">
          <w:drawing>
            <wp:anchor distT="0" distB="0" distL="114300" distR="114300" simplePos="0" relativeHeight="251658250" behindDoc="0" locked="1" layoutInCell="0" allowOverlap="1" wp14:anchorId="7106A16F" wp14:editId="266B929A">
              <wp:simplePos x="0" y="0"/>
              <wp:positionH relativeFrom="margin">
                <wp:align>center</wp:align>
              </wp:positionH>
              <wp:positionV relativeFrom="topMargin">
                <wp:align>center</wp:align>
              </wp:positionV>
              <wp:extent cx="1654175" cy="273050"/>
              <wp:effectExtent l="0" t="0" r="0" b="0"/>
              <wp:wrapNone/>
              <wp:docPr id="1020873758" name="janusSEAL SC H_EvenPage"/>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4AD50" w14:textId="33517274" w:rsidR="00094834" w:rsidRPr="00094834" w:rsidRDefault="00094834" w:rsidP="00094834">
                          <w:pPr>
                            <w:jc w:val="center"/>
                            <w:rPr>
                              <w:rFonts w:ascii="Arial" w:hAnsi="Arial" w:cs="Arial"/>
                              <w:b/>
                              <w:color w:val="FF0000"/>
                              <w:sz w:val="24"/>
                            </w:rPr>
                          </w:pPr>
                          <w:r w:rsidRPr="00094834">
                            <w:rPr>
                              <w:rFonts w:ascii="Arial" w:hAnsi="Arial" w:cs="Arial"/>
                              <w:b/>
                              <w:color w:val="FF0000"/>
                              <w:sz w:val="24"/>
                            </w:rPr>
                            <w:fldChar w:fldCharType="begin"/>
                          </w:r>
                          <w:r w:rsidRPr="00094834">
                            <w:rPr>
                              <w:rFonts w:ascii="Arial" w:hAnsi="Arial" w:cs="Arial"/>
                              <w:b/>
                              <w:color w:val="FF0000"/>
                              <w:sz w:val="24"/>
                            </w:rPr>
                            <w:instrText xml:space="preserve"> DOCPROPERTY PM_ProtectiveMarkingValue_Header \* MERGEFORMAT </w:instrText>
                          </w:r>
                          <w:r w:rsidRPr="00094834">
                            <w:rPr>
                              <w:rFonts w:ascii="Arial" w:hAnsi="Arial" w:cs="Arial"/>
                              <w:b/>
                              <w:color w:val="FF0000"/>
                              <w:sz w:val="24"/>
                            </w:rPr>
                            <w:fldChar w:fldCharType="separate"/>
                          </w:r>
                          <w:r w:rsidR="008D492D">
                            <w:rPr>
                              <w:rFonts w:ascii="Arial" w:hAnsi="Arial" w:cs="Arial"/>
                              <w:b/>
                              <w:color w:val="FF0000"/>
                              <w:sz w:val="24"/>
                            </w:rPr>
                            <w:t>OFFICIAL: Sensitive</w:t>
                          </w:r>
                          <w:r w:rsidRPr="00094834">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06A16F" id="janusSEAL SC H_EvenPage" o:spid="_x0000_s1034" type="#_x0000_t202" style="position:absolute;margin-left:0;margin-top:0;width:130.25pt;height:21.5pt;z-index:25165825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" o:allowincell="f" filled="f" stroked="f" strokeweight=".5pt">
              <v:textbox style="mso-fit-shape-to-text:t">
                <w:txbxContent>
                  <w:p w14:paraId="4C14AD50" w14:textId="33517274" w:rsidR="00094834" w:rsidRPr="00094834" w:rsidRDefault="00094834" w:rsidP="00094834">
                    <w:pPr>
                      <w:jc w:val="center"/>
                      <w:rPr>
                        <w:rFonts w:ascii="Arial" w:hAnsi="Arial" w:cs="Arial"/>
                        <w:b/>
                        <w:color w:val="FF0000"/>
                        <w:sz w:val="24"/>
                      </w:rPr>
                    </w:pPr>
                    <w:r w:rsidRPr="00094834">
                      <w:rPr>
                        <w:rFonts w:ascii="Arial" w:hAnsi="Arial" w:cs="Arial"/>
                        <w:b/>
                        <w:color w:val="FF0000"/>
                        <w:sz w:val="24"/>
                      </w:rPr>
                      <w:fldChar w:fldCharType="begin"/>
                    </w:r>
                    <w:r w:rsidRPr="00094834">
                      <w:rPr>
                        <w:rFonts w:ascii="Arial" w:hAnsi="Arial" w:cs="Arial"/>
                        <w:b/>
                        <w:color w:val="FF0000"/>
                        <w:sz w:val="24"/>
                      </w:rPr>
                      <w:instrText xml:space="preserve"> DOCPROPERTY PM_ProtectiveMarkingValue_Header \* MERGEFORMAT </w:instrText>
                    </w:r>
                    <w:r w:rsidRPr="00094834">
                      <w:rPr>
                        <w:rFonts w:ascii="Arial" w:hAnsi="Arial" w:cs="Arial"/>
                        <w:b/>
                        <w:color w:val="FF0000"/>
                        <w:sz w:val="24"/>
                      </w:rPr>
                      <w:fldChar w:fldCharType="separate"/>
                    </w:r>
                    <w:r w:rsidR="008D492D">
                      <w:rPr>
                        <w:rFonts w:ascii="Arial" w:hAnsi="Arial" w:cs="Arial"/>
                        <w:b/>
                        <w:color w:val="FF0000"/>
                        <w:sz w:val="24"/>
                      </w:rPr>
                      <w:t>OFFICIAL: Sensitive</w:t>
                    </w:r>
                    <w:r w:rsidRPr="00094834">
                      <w:rPr>
                        <w:rFonts w:ascii="Arial" w:hAnsi="Arial" w:cs="Arial"/>
                        <w:b/>
                        <w:color w:val="FF0000"/>
                        <w:sz w:val="24"/>
                      </w:rPr>
                      <w:fldChar w:fldCharType="end"/>
                    </w:r>
                  </w:p>
                </w:txbxContent>
              </v:textbox>
              <w10:wrap anchorx="margin" anchory="margin"/>
              <w10:anchorlock/>
            </v:shape>
          </w:pict>
        </mc:Fallback>
      </mc:AlternateContent>
    </w:r>
    <w:r w:rsidR="00B378AE">
      <w:rPr>
        <w:noProof/>
      </w:rPr>
      <mc:AlternateContent>
        <mc:Choice Requires="wps">
          <w:drawing>
            <wp:anchor distT="0" distB="0" distL="114300" distR="114300" simplePos="0" relativeHeight="251658247" behindDoc="0" locked="1" layoutInCell="0" allowOverlap="1" wp14:anchorId="6A473190" wp14:editId="0C400B1E">
              <wp:simplePos x="0" y="0"/>
              <wp:positionH relativeFrom="margin">
                <wp:align>center</wp:align>
              </wp:positionH>
              <wp:positionV relativeFrom="topMargin">
                <wp:align>center</wp:align>
              </wp:positionV>
              <wp:extent cx="165417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F2FC5" w14:textId="6F221641" w:rsidR="00B378AE" w:rsidRPr="00B378AE" w:rsidRDefault="00B378AE" w:rsidP="00B378AE">
                          <w:pPr>
                            <w:jc w:val="center"/>
                            <w:rPr>
                              <w:rFonts w:ascii="Arial" w:hAnsi="Arial" w:cs="Arial"/>
                              <w:b/>
                              <w:color w:val="FF0000"/>
                              <w:sz w:val="24"/>
                            </w:rPr>
                          </w:pPr>
                          <w:r w:rsidRPr="00B378AE">
                            <w:rPr>
                              <w:rFonts w:ascii="Arial" w:hAnsi="Arial" w:cs="Arial"/>
                              <w:b/>
                              <w:color w:val="FF0000"/>
                              <w:sz w:val="24"/>
                            </w:rPr>
                            <w:fldChar w:fldCharType="begin"/>
                          </w:r>
                          <w:r w:rsidRPr="00B378AE">
                            <w:rPr>
                              <w:rFonts w:ascii="Arial" w:hAnsi="Arial" w:cs="Arial"/>
                              <w:b/>
                              <w:color w:val="FF0000"/>
                              <w:sz w:val="24"/>
                            </w:rPr>
                            <w:instrText xml:space="preserve"> DOCPROPERTY PM_ProtectiveMarkingValue_Header \* MERGEFORMAT </w:instrText>
                          </w:r>
                          <w:r w:rsidRPr="00B378AE">
                            <w:rPr>
                              <w:rFonts w:ascii="Arial" w:hAnsi="Arial" w:cs="Arial"/>
                              <w:b/>
                              <w:color w:val="FF0000"/>
                              <w:sz w:val="24"/>
                            </w:rPr>
                            <w:fldChar w:fldCharType="separate"/>
                          </w:r>
                          <w:r w:rsidR="00E27E09">
                            <w:rPr>
                              <w:rFonts w:ascii="Arial" w:hAnsi="Arial" w:cs="Arial"/>
                              <w:b/>
                              <w:color w:val="FF0000"/>
                              <w:sz w:val="24"/>
                            </w:rPr>
                            <w:t>OFFICIAL: Sensitive</w:t>
                          </w:r>
                          <w:r w:rsidRPr="00B378A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473190" id="Text Box 9" o:spid="_x0000_s1035" type="#_x0000_t202" style="position:absolute;margin-left:0;margin-top:0;width:130.25pt;height:21.5pt;z-index:25165824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" o:allowincell="f" filled="f" stroked="f" strokeweight=".5pt">
              <v:textbox style="mso-fit-shape-to-text:t">
                <w:txbxContent>
                  <w:p w14:paraId="072F2FC5" w14:textId="6F221641" w:rsidR="00B378AE" w:rsidRPr="00B378AE" w:rsidRDefault="00B378AE" w:rsidP="00B378AE">
                    <w:pPr>
                      <w:jc w:val="center"/>
                      <w:rPr>
                        <w:rFonts w:ascii="Arial" w:hAnsi="Arial" w:cs="Arial"/>
                        <w:b/>
                        <w:color w:val="FF0000"/>
                        <w:sz w:val="24"/>
                      </w:rPr>
                    </w:pPr>
                    <w:r w:rsidRPr="00B378AE">
                      <w:rPr>
                        <w:rFonts w:ascii="Arial" w:hAnsi="Arial" w:cs="Arial"/>
                        <w:b/>
                        <w:color w:val="FF0000"/>
                        <w:sz w:val="24"/>
                      </w:rPr>
                      <w:fldChar w:fldCharType="begin"/>
                    </w:r>
                    <w:r w:rsidRPr="00B378AE">
                      <w:rPr>
                        <w:rFonts w:ascii="Arial" w:hAnsi="Arial" w:cs="Arial"/>
                        <w:b/>
                        <w:color w:val="FF0000"/>
                        <w:sz w:val="24"/>
                      </w:rPr>
                      <w:instrText xml:space="preserve"> DOCPROPERTY PM_ProtectiveMarkingValue_Header \* MERGEFORMAT </w:instrText>
                    </w:r>
                    <w:r w:rsidRPr="00B378AE">
                      <w:rPr>
                        <w:rFonts w:ascii="Arial" w:hAnsi="Arial" w:cs="Arial"/>
                        <w:b/>
                        <w:color w:val="FF0000"/>
                        <w:sz w:val="24"/>
                      </w:rPr>
                      <w:fldChar w:fldCharType="separate"/>
                    </w:r>
                    <w:r w:rsidR="00E27E09">
                      <w:rPr>
                        <w:rFonts w:ascii="Arial" w:hAnsi="Arial" w:cs="Arial"/>
                        <w:b/>
                        <w:color w:val="FF0000"/>
                        <w:sz w:val="24"/>
                      </w:rPr>
                      <w:t>OFFICIAL: Sensitive</w:t>
                    </w:r>
                    <w:r w:rsidRPr="00B378AE">
                      <w:rPr>
                        <w:rFonts w:ascii="Arial" w:hAnsi="Arial" w:cs="Arial"/>
                        <w:b/>
                        <w:color w:val="FF0000"/>
                        <w:sz w:val="24"/>
                      </w:rPr>
                      <w:fldChar w:fldCharType="end"/>
                    </w:r>
                  </w:p>
                </w:txbxContent>
              </v:textbox>
              <w10:wrap anchorx="margin" anchory="margin"/>
              <w10:anchorlock/>
            </v:shape>
          </w:pict>
        </mc:Fallback>
      </mc:AlternateContent>
    </w:r>
    <w:r w:rsidR="003030A0">
      <w:rPr>
        <w:noProof/>
      </w:rPr>
      <mc:AlternateContent>
        <mc:Choice Requires="wps">
          <w:drawing>
            <wp:anchor distT="0" distB="0" distL="114300" distR="114300" simplePos="0" relativeHeight="251658242" behindDoc="0" locked="1" layoutInCell="0" allowOverlap="1" wp14:anchorId="1EAB4B59" wp14:editId="408AB0B2">
              <wp:simplePos x="0" y="0"/>
              <wp:positionH relativeFrom="margin">
                <wp:align>center</wp:align>
              </wp:positionH>
              <wp:positionV relativeFrom="topMargin">
                <wp:align>center</wp:align>
              </wp:positionV>
              <wp:extent cx="1654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59423F" w14:textId="2905763D" w:rsidR="003030A0" w:rsidRPr="000701AA" w:rsidRDefault="003030A0">
                          <w:pPr>
                            <w:jc w:val="center"/>
                            <w:rPr>
                              <w:rFonts w:ascii="Arial" w:hAnsi="Arial" w:cs="Arial"/>
                              <w:b/>
                              <w:color w:val="FF0000"/>
                              <w:sz w:val="24"/>
                            </w:rPr>
                          </w:pPr>
                          <w:r w:rsidRPr="00446D67">
                            <w:rPr>
                              <w:rFonts w:ascii="Arial" w:hAnsi="Arial" w:cs="Arial"/>
                              <w:b/>
                              <w:color w:val="FF0000"/>
                              <w:sz w:val="24"/>
                            </w:rPr>
                            <w:fldChar w:fldCharType="begin"/>
                          </w:r>
                          <w:r w:rsidRPr="000701AA">
                            <w:rPr>
                              <w:rFonts w:ascii="Arial" w:hAnsi="Arial" w:cs="Arial"/>
                              <w:b/>
                              <w:color w:val="FF0000"/>
                              <w:sz w:val="24"/>
                            </w:rPr>
                            <w:instrText xml:space="preserve"> DOCPROPERTY PM_ProtectiveMarkingValue_Header \* MERGEFORMAT </w:instrText>
                          </w:r>
                          <w:r w:rsidRPr="00446D67">
                            <w:rPr>
                              <w:rFonts w:ascii="Arial" w:hAnsi="Arial" w:cs="Arial"/>
                              <w:b/>
                              <w:color w:val="FF0000"/>
                              <w:sz w:val="24"/>
                            </w:rPr>
                            <w:fldChar w:fldCharType="separate"/>
                          </w:r>
                          <w:r w:rsidR="00F01E10">
                            <w:rPr>
                              <w:rFonts w:ascii="Arial" w:hAnsi="Arial" w:cs="Arial"/>
                              <w:b/>
                              <w:color w:val="FF0000"/>
                              <w:sz w:val="24"/>
                            </w:rPr>
                            <w:t>OFFICIAL: Sensitive</w:t>
                          </w:r>
                          <w:r w:rsidRPr="00446D67">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AB4B59" id="Text Box 7" o:spid="_x0000_s1036" type="#_x0000_t202" style="position:absolute;margin-left:0;margin-top:0;width:130.25pt;height:21.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" o:allowincell="f" filled="f" stroked="f" strokeweight=".5pt">
              <v:textbox style="mso-fit-shape-to-text:t">
                <w:txbxContent>
                  <w:p w14:paraId="4E59423F" w14:textId="2905763D" w:rsidR="003030A0" w:rsidRPr="000701AA" w:rsidRDefault="003030A0">
                    <w:pPr>
                      <w:jc w:val="center"/>
                      <w:rPr>
                        <w:rFonts w:ascii="Arial" w:hAnsi="Arial" w:cs="Arial"/>
                        <w:b/>
                        <w:color w:val="FF0000"/>
                        <w:sz w:val="24"/>
                      </w:rPr>
                    </w:pPr>
                    <w:r w:rsidRPr="00446D67">
                      <w:rPr>
                        <w:rFonts w:ascii="Arial" w:hAnsi="Arial" w:cs="Arial"/>
                        <w:b/>
                        <w:color w:val="FF0000"/>
                        <w:sz w:val="24"/>
                      </w:rPr>
                      <w:fldChar w:fldCharType="begin"/>
                    </w:r>
                    <w:r w:rsidRPr="000701AA">
                      <w:rPr>
                        <w:rFonts w:ascii="Arial" w:hAnsi="Arial" w:cs="Arial"/>
                        <w:b/>
                        <w:color w:val="FF0000"/>
                        <w:sz w:val="24"/>
                      </w:rPr>
                      <w:instrText xml:space="preserve"> DOCPROPERTY PM_ProtectiveMarkingValue_Header \* MERGEFORMAT </w:instrText>
                    </w:r>
                    <w:r w:rsidRPr="00446D67">
                      <w:rPr>
                        <w:rFonts w:ascii="Arial" w:hAnsi="Arial" w:cs="Arial"/>
                        <w:b/>
                        <w:color w:val="FF0000"/>
                        <w:sz w:val="24"/>
                      </w:rPr>
                      <w:fldChar w:fldCharType="separate"/>
                    </w:r>
                    <w:r w:rsidR="00F01E10">
                      <w:rPr>
                        <w:rFonts w:ascii="Arial" w:hAnsi="Arial" w:cs="Arial"/>
                        <w:b/>
                        <w:color w:val="FF0000"/>
                        <w:sz w:val="24"/>
                      </w:rPr>
                      <w:t>OFFICIAL: Sensitive</w:t>
                    </w:r>
                    <w:r w:rsidRPr="00446D67">
                      <w:rPr>
                        <w:rFonts w:ascii="Arial" w:hAnsi="Arial" w:cs="Arial"/>
                        <w:b/>
                        <w:color w:val="FF0000"/>
                        <w:sz w:val="24"/>
                      </w:rPr>
                      <w:fldChar w:fldCharType="end"/>
                    </w:r>
                  </w:p>
                </w:txbxContent>
              </v:textbox>
              <w10:wrap anchorx="margin" anchory="margin"/>
              <w10:anchorlock/>
            </v:shape>
          </w:pict>
        </mc:Fallback>
      </mc:AlternateContent>
    </w:r>
    <w:r w:rsidR="00F917F7">
      <w:rPr>
        <w:noProof/>
      </w:rPr>
      <mc:AlternateContent>
        <mc:Choice Requires="wps">
          <w:drawing>
            <wp:anchor distT="0" distB="0" distL="114300" distR="114300" simplePos="0" relativeHeight="251658241" behindDoc="0" locked="1" layoutInCell="0" allowOverlap="1" wp14:anchorId="55933F89" wp14:editId="6E4F81C8">
              <wp:simplePos x="0" y="0"/>
              <wp:positionH relativeFrom="margin">
                <wp:align>center</wp:align>
              </wp:positionH>
              <wp:positionV relativeFrom="topMargin">
                <wp:align>center</wp:align>
              </wp:positionV>
              <wp:extent cx="1654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B20A6" w14:textId="23B412D1" w:rsidR="00F917F7" w:rsidRPr="00215302" w:rsidRDefault="00F917F7">
                          <w:pPr>
                            <w:jc w:val="center"/>
                            <w:rPr>
                              <w:rFonts w:ascii="Arial" w:hAnsi="Arial" w:cs="Arial"/>
                              <w:b/>
                              <w:color w:val="FF0000"/>
                              <w:sz w:val="24"/>
                            </w:rPr>
                          </w:pPr>
                          <w:r w:rsidRPr="00C34C2C">
                            <w:rPr>
                              <w:rFonts w:ascii="Arial" w:hAnsi="Arial" w:cs="Arial"/>
                              <w:b/>
                              <w:color w:val="FF0000"/>
                              <w:sz w:val="24"/>
                            </w:rPr>
                            <w:fldChar w:fldCharType="begin"/>
                          </w:r>
                          <w:r w:rsidRPr="00215302">
                            <w:rPr>
                              <w:rFonts w:ascii="Arial" w:hAnsi="Arial" w:cs="Arial"/>
                              <w:b/>
                              <w:color w:val="FF0000"/>
                              <w:sz w:val="24"/>
                            </w:rPr>
                            <w:instrText xml:space="preserve"> DOCPROPERTY PM_ProtectiveMarkingValue_Header \* MERGEFORMAT </w:instrText>
                          </w:r>
                          <w:r w:rsidRPr="00C34C2C">
                            <w:rPr>
                              <w:rFonts w:ascii="Arial" w:hAnsi="Arial" w:cs="Arial"/>
                              <w:b/>
                              <w:color w:val="FF0000"/>
                              <w:sz w:val="24"/>
                            </w:rPr>
                            <w:fldChar w:fldCharType="separate"/>
                          </w:r>
                          <w:r w:rsidR="00215302">
                            <w:rPr>
                              <w:rFonts w:ascii="Arial" w:hAnsi="Arial" w:cs="Arial"/>
                              <w:b/>
                              <w:color w:val="FF0000"/>
                              <w:sz w:val="24"/>
                            </w:rPr>
                            <w:t>OFFICIAL: Sensitive</w:t>
                          </w:r>
                          <w:r w:rsidRPr="00C34C2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933F89" id="Text Box 4" o:spid="_x0000_s1037" type="#_x0000_t202" style="position:absolute;margin-left:0;margin-top:0;width:13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NaScDxcCAAAyBAAADgAAAAAAAAAAAAAAAAAuAgAAZHJzL2Uyb0RvYy54bWxQSwECLQAUAAYACAAA&#10;ACEAOa3hu9sAAAAEAQAADwAAAAAAAAAAAAAAAABxBAAAZHJzL2Rvd25yZXYueG1sUEsFBgAAAAAE&#10;AAQA8wAAAHkFAAAAAA==&#10;" o:allowincell="f" filled="f" stroked="f" strokeweight=".5pt">
              <v:textbox style="mso-fit-shape-to-text:t">
                <w:txbxContent>
                  <w:p w14:paraId="008B20A6" w14:textId="23B412D1" w:rsidR="00F917F7" w:rsidRPr="00215302" w:rsidRDefault="00F917F7">
                    <w:pPr>
                      <w:jc w:val="center"/>
                      <w:rPr>
                        <w:rFonts w:ascii="Arial" w:hAnsi="Arial" w:cs="Arial"/>
                        <w:b/>
                        <w:color w:val="FF0000"/>
                        <w:sz w:val="24"/>
                      </w:rPr>
                    </w:pPr>
                    <w:r w:rsidRPr="00C34C2C">
                      <w:rPr>
                        <w:rFonts w:ascii="Arial" w:hAnsi="Arial" w:cs="Arial"/>
                        <w:b/>
                        <w:color w:val="FF0000"/>
                        <w:sz w:val="24"/>
                      </w:rPr>
                      <w:fldChar w:fldCharType="begin"/>
                    </w:r>
                    <w:r w:rsidRPr="00215302">
                      <w:rPr>
                        <w:rFonts w:ascii="Arial" w:hAnsi="Arial" w:cs="Arial"/>
                        <w:b/>
                        <w:color w:val="FF0000"/>
                        <w:sz w:val="24"/>
                      </w:rPr>
                      <w:instrText xml:space="preserve"> DOCPROPERTY PM_ProtectiveMarkingValue_Header \* MERGEFORMAT </w:instrText>
                    </w:r>
                    <w:r w:rsidRPr="00C34C2C">
                      <w:rPr>
                        <w:rFonts w:ascii="Arial" w:hAnsi="Arial" w:cs="Arial"/>
                        <w:b/>
                        <w:color w:val="FF0000"/>
                        <w:sz w:val="24"/>
                      </w:rPr>
                      <w:fldChar w:fldCharType="separate"/>
                    </w:r>
                    <w:r w:rsidR="00215302">
                      <w:rPr>
                        <w:rFonts w:ascii="Arial" w:hAnsi="Arial" w:cs="Arial"/>
                        <w:b/>
                        <w:color w:val="FF0000"/>
                        <w:sz w:val="24"/>
                      </w:rPr>
                      <w:t>OFFICIAL: Sensitive</w:t>
                    </w:r>
                    <w:r w:rsidRPr="00C34C2C">
                      <w:rPr>
                        <w:rFonts w:ascii="Arial" w:hAnsi="Arial" w:cs="Arial"/>
                        <w:b/>
                        <w:color w:val="FF0000"/>
                        <w:sz w:val="24"/>
                      </w:rPr>
                      <w:fldChar w:fldCharType="end"/>
                    </w:r>
                  </w:p>
                </w:txbxContent>
              </v:textbox>
              <w10:wrap anchorx="margin" anchory="margin"/>
              <w10:anchorlock/>
            </v:shape>
          </w:pict>
        </mc:Fallback>
      </mc:AlternateContent>
    </w:r>
    <w:r w:rsidR="00C623D2" w:rsidRPr="00A52B0F">
      <w:t xml:space="preserve">ASIC Corporations / Superannuation / Credit </w:t>
    </w:r>
    <w:r w:rsidR="00C623D2" w:rsidRPr="00A52B0F">
      <w:rPr>
        <w:highlight w:val="yellow"/>
      </w:rPr>
      <w:t>(&lt;Short Narrative Name&gt;</w:t>
    </w:r>
    <w:r w:rsidR="00C623D2" w:rsidRPr="00A52B0F">
      <w:t xml:space="preserve">) Instrument </w:t>
    </w:r>
    <w:r w:rsidR="00C623D2" w:rsidRPr="00A52B0F">
      <w:rPr>
        <w:highlight w:val="yellow"/>
      </w:rPr>
      <w:t>&lt;Year&gt;</w:t>
    </w:r>
    <w:r w:rsidR="00C623D2">
      <w:tab/>
      <w:t>Part 3—Declaration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288"/>
    <w:multiLevelType w:val="hybridMultilevel"/>
    <w:tmpl w:val="31A04238"/>
    <w:lvl w:ilvl="0" w:tplc="E398EC9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852864"/>
    <w:multiLevelType w:val="hybridMultilevel"/>
    <w:tmpl w:val="7F9AC1CE"/>
    <w:lvl w:ilvl="0" w:tplc="AA60C106">
      <w:start w:val="1"/>
      <w:numFmt w:val="bullet"/>
      <w:lvlText w:val=""/>
      <w:lvlJc w:val="left"/>
      <w:pPr>
        <w:ind w:left="1440" w:hanging="360"/>
      </w:pPr>
      <w:rPr>
        <w:rFonts w:ascii="Symbol" w:hAnsi="Symbol"/>
      </w:rPr>
    </w:lvl>
    <w:lvl w:ilvl="1" w:tplc="BF6886B4">
      <w:start w:val="1"/>
      <w:numFmt w:val="bullet"/>
      <w:lvlText w:val=""/>
      <w:lvlJc w:val="left"/>
      <w:pPr>
        <w:ind w:left="1440" w:hanging="360"/>
      </w:pPr>
      <w:rPr>
        <w:rFonts w:ascii="Symbol" w:hAnsi="Symbol"/>
      </w:rPr>
    </w:lvl>
    <w:lvl w:ilvl="2" w:tplc="2098BF12">
      <w:start w:val="1"/>
      <w:numFmt w:val="bullet"/>
      <w:lvlText w:val=""/>
      <w:lvlJc w:val="left"/>
      <w:pPr>
        <w:ind w:left="1440" w:hanging="360"/>
      </w:pPr>
      <w:rPr>
        <w:rFonts w:ascii="Symbol" w:hAnsi="Symbol"/>
      </w:rPr>
    </w:lvl>
    <w:lvl w:ilvl="3" w:tplc="A43AE074">
      <w:start w:val="1"/>
      <w:numFmt w:val="bullet"/>
      <w:lvlText w:val=""/>
      <w:lvlJc w:val="left"/>
      <w:pPr>
        <w:ind w:left="1440" w:hanging="360"/>
      </w:pPr>
      <w:rPr>
        <w:rFonts w:ascii="Symbol" w:hAnsi="Symbol"/>
      </w:rPr>
    </w:lvl>
    <w:lvl w:ilvl="4" w:tplc="3D2C447C">
      <w:start w:val="1"/>
      <w:numFmt w:val="bullet"/>
      <w:lvlText w:val=""/>
      <w:lvlJc w:val="left"/>
      <w:pPr>
        <w:ind w:left="1440" w:hanging="360"/>
      </w:pPr>
      <w:rPr>
        <w:rFonts w:ascii="Symbol" w:hAnsi="Symbol"/>
      </w:rPr>
    </w:lvl>
    <w:lvl w:ilvl="5" w:tplc="BBC04FA6">
      <w:start w:val="1"/>
      <w:numFmt w:val="bullet"/>
      <w:lvlText w:val=""/>
      <w:lvlJc w:val="left"/>
      <w:pPr>
        <w:ind w:left="1440" w:hanging="360"/>
      </w:pPr>
      <w:rPr>
        <w:rFonts w:ascii="Symbol" w:hAnsi="Symbol"/>
      </w:rPr>
    </w:lvl>
    <w:lvl w:ilvl="6" w:tplc="10585A8C">
      <w:start w:val="1"/>
      <w:numFmt w:val="bullet"/>
      <w:lvlText w:val=""/>
      <w:lvlJc w:val="left"/>
      <w:pPr>
        <w:ind w:left="1440" w:hanging="360"/>
      </w:pPr>
      <w:rPr>
        <w:rFonts w:ascii="Symbol" w:hAnsi="Symbol"/>
      </w:rPr>
    </w:lvl>
    <w:lvl w:ilvl="7" w:tplc="1346DC08">
      <w:start w:val="1"/>
      <w:numFmt w:val="bullet"/>
      <w:lvlText w:val=""/>
      <w:lvlJc w:val="left"/>
      <w:pPr>
        <w:ind w:left="1440" w:hanging="360"/>
      </w:pPr>
      <w:rPr>
        <w:rFonts w:ascii="Symbol" w:hAnsi="Symbol"/>
      </w:rPr>
    </w:lvl>
    <w:lvl w:ilvl="8" w:tplc="B1C6A480">
      <w:start w:val="1"/>
      <w:numFmt w:val="bullet"/>
      <w:lvlText w:val=""/>
      <w:lvlJc w:val="left"/>
      <w:pPr>
        <w:ind w:left="1440" w:hanging="360"/>
      </w:pPr>
      <w:rPr>
        <w:rFonts w:ascii="Symbol" w:hAnsi="Symbol"/>
      </w:rPr>
    </w:lvl>
  </w:abstractNum>
  <w:abstractNum w:abstractNumId="2" w15:restartNumberingAfterBreak="0">
    <w:nsid w:val="13CA64FE"/>
    <w:multiLevelType w:val="hybridMultilevel"/>
    <w:tmpl w:val="7BF4B0DC"/>
    <w:lvl w:ilvl="0" w:tplc="615EC1A6">
      <w:start w:val="2"/>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18261EC0"/>
    <w:multiLevelType w:val="hybridMultilevel"/>
    <w:tmpl w:val="ED7A284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C51C40"/>
    <w:multiLevelType w:val="hybridMultilevel"/>
    <w:tmpl w:val="E34435B0"/>
    <w:lvl w:ilvl="0" w:tplc="F868582C">
      <w:start w:val="1"/>
      <w:numFmt w:val="bullet"/>
      <w:lvlText w:val=""/>
      <w:lvlJc w:val="left"/>
      <w:pPr>
        <w:ind w:left="1440" w:hanging="360"/>
      </w:pPr>
      <w:rPr>
        <w:rFonts w:ascii="Symbol" w:hAnsi="Symbol"/>
      </w:rPr>
    </w:lvl>
    <w:lvl w:ilvl="1" w:tplc="013841B2">
      <w:start w:val="1"/>
      <w:numFmt w:val="bullet"/>
      <w:lvlText w:val=""/>
      <w:lvlJc w:val="left"/>
      <w:pPr>
        <w:ind w:left="1440" w:hanging="360"/>
      </w:pPr>
      <w:rPr>
        <w:rFonts w:ascii="Symbol" w:hAnsi="Symbol"/>
      </w:rPr>
    </w:lvl>
    <w:lvl w:ilvl="2" w:tplc="C3947C4A">
      <w:start w:val="1"/>
      <w:numFmt w:val="bullet"/>
      <w:lvlText w:val=""/>
      <w:lvlJc w:val="left"/>
      <w:pPr>
        <w:ind w:left="1440" w:hanging="360"/>
      </w:pPr>
      <w:rPr>
        <w:rFonts w:ascii="Symbol" w:hAnsi="Symbol"/>
      </w:rPr>
    </w:lvl>
    <w:lvl w:ilvl="3" w:tplc="BC745D48">
      <w:start w:val="1"/>
      <w:numFmt w:val="bullet"/>
      <w:lvlText w:val=""/>
      <w:lvlJc w:val="left"/>
      <w:pPr>
        <w:ind w:left="1440" w:hanging="360"/>
      </w:pPr>
      <w:rPr>
        <w:rFonts w:ascii="Symbol" w:hAnsi="Symbol"/>
      </w:rPr>
    </w:lvl>
    <w:lvl w:ilvl="4" w:tplc="FA8C9560">
      <w:start w:val="1"/>
      <w:numFmt w:val="bullet"/>
      <w:lvlText w:val=""/>
      <w:lvlJc w:val="left"/>
      <w:pPr>
        <w:ind w:left="1440" w:hanging="360"/>
      </w:pPr>
      <w:rPr>
        <w:rFonts w:ascii="Symbol" w:hAnsi="Symbol"/>
      </w:rPr>
    </w:lvl>
    <w:lvl w:ilvl="5" w:tplc="FE3A8932">
      <w:start w:val="1"/>
      <w:numFmt w:val="bullet"/>
      <w:lvlText w:val=""/>
      <w:lvlJc w:val="left"/>
      <w:pPr>
        <w:ind w:left="1440" w:hanging="360"/>
      </w:pPr>
      <w:rPr>
        <w:rFonts w:ascii="Symbol" w:hAnsi="Symbol"/>
      </w:rPr>
    </w:lvl>
    <w:lvl w:ilvl="6" w:tplc="B29ED654">
      <w:start w:val="1"/>
      <w:numFmt w:val="bullet"/>
      <w:lvlText w:val=""/>
      <w:lvlJc w:val="left"/>
      <w:pPr>
        <w:ind w:left="1440" w:hanging="360"/>
      </w:pPr>
      <w:rPr>
        <w:rFonts w:ascii="Symbol" w:hAnsi="Symbol"/>
      </w:rPr>
    </w:lvl>
    <w:lvl w:ilvl="7" w:tplc="F94EA9A6">
      <w:start w:val="1"/>
      <w:numFmt w:val="bullet"/>
      <w:lvlText w:val=""/>
      <w:lvlJc w:val="left"/>
      <w:pPr>
        <w:ind w:left="1440" w:hanging="360"/>
      </w:pPr>
      <w:rPr>
        <w:rFonts w:ascii="Symbol" w:hAnsi="Symbol"/>
      </w:rPr>
    </w:lvl>
    <w:lvl w:ilvl="8" w:tplc="B144EA74">
      <w:start w:val="1"/>
      <w:numFmt w:val="bullet"/>
      <w:lvlText w:val=""/>
      <w:lvlJc w:val="left"/>
      <w:pPr>
        <w:ind w:left="1440" w:hanging="360"/>
      </w:pPr>
      <w:rPr>
        <w:rFonts w:ascii="Symbol" w:hAnsi="Symbol"/>
      </w:rPr>
    </w:lvl>
  </w:abstractNum>
  <w:abstractNum w:abstractNumId="5" w15:restartNumberingAfterBreak="0">
    <w:nsid w:val="30876F7C"/>
    <w:multiLevelType w:val="hybridMultilevel"/>
    <w:tmpl w:val="0354F300"/>
    <w:lvl w:ilvl="0" w:tplc="10666B54">
      <w:start w:val="1"/>
      <w:numFmt w:val="decimal"/>
      <w:lvlText w:val="%1."/>
      <w:lvlJc w:val="left"/>
      <w:pPr>
        <w:ind w:left="360"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6" w15:restartNumberingAfterBreak="0">
    <w:nsid w:val="36F648F0"/>
    <w:multiLevelType w:val="hybridMultilevel"/>
    <w:tmpl w:val="E64A4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934129"/>
    <w:multiLevelType w:val="hybridMultilevel"/>
    <w:tmpl w:val="F642E5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406A9F"/>
    <w:multiLevelType w:val="hybridMultilevel"/>
    <w:tmpl w:val="DCBE0FE8"/>
    <w:lvl w:ilvl="0" w:tplc="8EA6FDD6">
      <w:start w:val="1"/>
      <w:numFmt w:val="lowerLetter"/>
      <w:lvlText w:val="(%1)"/>
      <w:lvlJc w:val="left"/>
      <w:pPr>
        <w:ind w:left="1080" w:hanging="36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3F72368"/>
    <w:multiLevelType w:val="hybridMultilevel"/>
    <w:tmpl w:val="F84E56E2"/>
    <w:lvl w:ilvl="0" w:tplc="A69882B0">
      <w:start w:val="1"/>
      <w:numFmt w:val="lowerLetter"/>
      <w:pStyle w:val="LI-BodyTextNumbered"/>
      <w:lvlText w:val="(%1)"/>
      <w:lvlJc w:val="left"/>
      <w:pPr>
        <w:ind w:left="1780" w:hanging="570"/>
      </w:pPr>
      <w:rPr>
        <w:rFonts w:ascii="Times New Roman" w:eastAsia="Times New Roman" w:hAnsi="Times New Roman" w:cs="Times New Roman"/>
        <w:i w:val="0"/>
        <w:iCs/>
      </w:rPr>
    </w:lvl>
    <w:lvl w:ilvl="1" w:tplc="519AD7E8">
      <w:start w:val="1"/>
      <w:numFmt w:val="lowerRoman"/>
      <w:pStyle w:val="LI-BodyTextSubparai"/>
      <w:lvlText w:val="(%2)"/>
      <w:lvlJc w:val="left"/>
      <w:pPr>
        <w:ind w:left="2290" w:hanging="360"/>
      </w:pPr>
      <w:rPr>
        <w:rFonts w:hint="default"/>
      </w:rPr>
    </w:lvl>
    <w:lvl w:ilvl="2" w:tplc="8656FBF4">
      <w:start w:val="1"/>
      <w:numFmt w:val="upperLetter"/>
      <w:pStyle w:val="LI-BodyTextSubsubparaA"/>
      <w:lvlText w:val="(%3)"/>
      <w:lvlJc w:val="right"/>
      <w:pPr>
        <w:ind w:left="3010" w:hanging="180"/>
      </w:pPr>
      <w:rPr>
        <w:rFonts w:hint="default"/>
      </w:r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0" w15:restartNumberingAfterBreak="0">
    <w:nsid w:val="46270C06"/>
    <w:multiLevelType w:val="hybridMultilevel"/>
    <w:tmpl w:val="AD88CC58"/>
    <w:lvl w:ilvl="0" w:tplc="732867D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CB16E5"/>
    <w:multiLevelType w:val="hybridMultilevel"/>
    <w:tmpl w:val="243C57EC"/>
    <w:lvl w:ilvl="0" w:tplc="0C09000F">
      <w:start w:val="1"/>
      <w:numFmt w:val="decimal"/>
      <w:lvlText w:val="%1."/>
      <w:lvlJc w:val="left"/>
      <w:pPr>
        <w:ind w:left="360" w:hanging="360"/>
      </w:pPr>
      <w:rPr>
        <w:rFonts w:hint="default"/>
      </w:rPr>
    </w:lvl>
    <w:lvl w:ilvl="1" w:tplc="559A45DA">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932662"/>
    <w:multiLevelType w:val="hybridMultilevel"/>
    <w:tmpl w:val="2A160220"/>
    <w:lvl w:ilvl="0" w:tplc="946CA010">
      <w:start w:val="1"/>
      <w:numFmt w:val="decimal"/>
      <w:lvlText w:val="%1."/>
      <w:lvlJc w:val="left"/>
      <w:pPr>
        <w:ind w:left="90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6014A82"/>
    <w:multiLevelType w:val="hybridMultilevel"/>
    <w:tmpl w:val="091E3870"/>
    <w:lvl w:ilvl="0" w:tplc="95AC9400">
      <w:start w:val="1"/>
      <w:numFmt w:val="lowerLetter"/>
      <w:lvlText w:val="(%1)"/>
      <w:lvlJc w:val="left"/>
      <w:pPr>
        <w:ind w:left="108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70F5898"/>
    <w:multiLevelType w:val="hybridMultilevel"/>
    <w:tmpl w:val="BDF4E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3368525">
    <w:abstractNumId w:val="9"/>
  </w:num>
  <w:num w:numId="2" w16cid:durableId="2078506932">
    <w:abstractNumId w:val="9"/>
    <w:lvlOverride w:ilvl="0">
      <w:startOverride w:val="1"/>
    </w:lvlOverride>
  </w:num>
  <w:num w:numId="3" w16cid:durableId="1766923361">
    <w:abstractNumId w:val="9"/>
    <w:lvlOverride w:ilvl="0">
      <w:startOverride w:val="1"/>
    </w:lvlOverride>
  </w:num>
  <w:num w:numId="4" w16cid:durableId="641155441">
    <w:abstractNumId w:val="3"/>
  </w:num>
  <w:num w:numId="5" w16cid:durableId="1110933305">
    <w:abstractNumId w:val="9"/>
    <w:lvlOverride w:ilvl="0">
      <w:startOverride w:val="1"/>
    </w:lvlOverride>
  </w:num>
  <w:num w:numId="6" w16cid:durableId="1991055794">
    <w:abstractNumId w:val="6"/>
  </w:num>
  <w:num w:numId="7" w16cid:durableId="2015690822">
    <w:abstractNumId w:val="4"/>
  </w:num>
  <w:num w:numId="8" w16cid:durableId="502280119">
    <w:abstractNumId w:val="1"/>
  </w:num>
  <w:num w:numId="9" w16cid:durableId="2036269634">
    <w:abstractNumId w:val="14"/>
  </w:num>
  <w:num w:numId="10" w16cid:durableId="386490071">
    <w:abstractNumId w:val="2"/>
  </w:num>
  <w:num w:numId="11" w16cid:durableId="1070809935">
    <w:abstractNumId w:val="11"/>
  </w:num>
  <w:num w:numId="12" w16cid:durableId="1742630003">
    <w:abstractNumId w:val="10"/>
  </w:num>
  <w:num w:numId="13" w16cid:durableId="1010911435">
    <w:abstractNumId w:val="9"/>
  </w:num>
  <w:num w:numId="14" w16cid:durableId="987125632">
    <w:abstractNumId w:val="0"/>
  </w:num>
  <w:num w:numId="15" w16cid:durableId="800923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2229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3098411">
    <w:abstractNumId w:val="5"/>
  </w:num>
  <w:num w:numId="18" w16cid:durableId="1081104136">
    <w:abstractNumId w:val="9"/>
  </w:num>
  <w:num w:numId="19" w16cid:durableId="246112338">
    <w:abstractNumId w:val="9"/>
  </w:num>
  <w:num w:numId="20" w16cid:durableId="42605042">
    <w:abstractNumId w:val="9"/>
  </w:num>
  <w:num w:numId="21" w16cid:durableId="672805355">
    <w:abstractNumId w:val="9"/>
  </w:num>
  <w:num w:numId="22" w16cid:durableId="208348752">
    <w:abstractNumId w:val="9"/>
  </w:num>
  <w:num w:numId="23" w16cid:durableId="429620975">
    <w:abstractNumId w:val="9"/>
  </w:num>
  <w:num w:numId="24" w16cid:durableId="2076973955">
    <w:abstractNumId w:val="9"/>
  </w:num>
  <w:num w:numId="25" w16cid:durableId="781725382">
    <w:abstractNumId w:val="9"/>
  </w:num>
  <w:num w:numId="26" w16cid:durableId="477305628">
    <w:abstractNumId w:val="9"/>
  </w:num>
  <w:num w:numId="27" w16cid:durableId="2049449198">
    <w:abstractNumId w:val="9"/>
  </w:num>
  <w:num w:numId="28" w16cid:durableId="1858302439">
    <w:abstractNumId w:val="9"/>
  </w:num>
  <w:num w:numId="29" w16cid:durableId="1304116349">
    <w:abstractNumId w:val="9"/>
  </w:num>
  <w:num w:numId="30" w16cid:durableId="162356896">
    <w:abstractNumId w:val="9"/>
  </w:num>
  <w:num w:numId="31" w16cid:durableId="883635388">
    <w:abstractNumId w:val="9"/>
  </w:num>
  <w:num w:numId="32" w16cid:durableId="1524633164">
    <w:abstractNumId w:val="9"/>
  </w:num>
  <w:num w:numId="33" w16cid:durableId="1057704188">
    <w:abstractNumId w:val="8"/>
  </w:num>
  <w:num w:numId="34" w16cid:durableId="373121539">
    <w:abstractNumId w:val="13"/>
  </w:num>
  <w:num w:numId="35" w16cid:durableId="354385205">
    <w:abstractNumId w:val="7"/>
  </w:num>
  <w:num w:numId="36" w16cid:durableId="59062083">
    <w:abstractNumId w:val="12"/>
  </w:num>
  <w:num w:numId="37" w16cid:durableId="2144156995">
    <w:abstractNumId w:val="9"/>
  </w:num>
  <w:num w:numId="38" w16cid:durableId="1691104491">
    <w:abstractNumId w:val="9"/>
  </w:num>
  <w:num w:numId="39" w16cid:durableId="1054354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07"/>
    <w:rsid w:val="0000067C"/>
    <w:rsid w:val="00006975"/>
    <w:rsid w:val="00011375"/>
    <w:rsid w:val="0001308F"/>
    <w:rsid w:val="000157F2"/>
    <w:rsid w:val="00021E7F"/>
    <w:rsid w:val="00022727"/>
    <w:rsid w:val="00022FC7"/>
    <w:rsid w:val="00023C23"/>
    <w:rsid w:val="000440AC"/>
    <w:rsid w:val="00045492"/>
    <w:rsid w:val="00050B71"/>
    <w:rsid w:val="00052A9D"/>
    <w:rsid w:val="000608CA"/>
    <w:rsid w:val="00064286"/>
    <w:rsid w:val="00065EAC"/>
    <w:rsid w:val="00066602"/>
    <w:rsid w:val="00070004"/>
    <w:rsid w:val="000701AA"/>
    <w:rsid w:val="000727D5"/>
    <w:rsid w:val="000760D4"/>
    <w:rsid w:val="00076459"/>
    <w:rsid w:val="000810BA"/>
    <w:rsid w:val="00081CCF"/>
    <w:rsid w:val="00090DEB"/>
    <w:rsid w:val="00094834"/>
    <w:rsid w:val="00094985"/>
    <w:rsid w:val="00095070"/>
    <w:rsid w:val="0009528A"/>
    <w:rsid w:val="000A03FF"/>
    <w:rsid w:val="000A09B0"/>
    <w:rsid w:val="000A2E14"/>
    <w:rsid w:val="000A3D0A"/>
    <w:rsid w:val="000A5817"/>
    <w:rsid w:val="000A5AEC"/>
    <w:rsid w:val="000A632C"/>
    <w:rsid w:val="000B4059"/>
    <w:rsid w:val="000B5DC8"/>
    <w:rsid w:val="000B5EA6"/>
    <w:rsid w:val="000B7636"/>
    <w:rsid w:val="000C1F2E"/>
    <w:rsid w:val="000C2625"/>
    <w:rsid w:val="000C2EE3"/>
    <w:rsid w:val="000C302C"/>
    <w:rsid w:val="000C3036"/>
    <w:rsid w:val="000C5780"/>
    <w:rsid w:val="000C77BC"/>
    <w:rsid w:val="000D3878"/>
    <w:rsid w:val="000D6396"/>
    <w:rsid w:val="000E12C8"/>
    <w:rsid w:val="000E35CE"/>
    <w:rsid w:val="000E4CCF"/>
    <w:rsid w:val="000E7753"/>
    <w:rsid w:val="000F0121"/>
    <w:rsid w:val="000F32B5"/>
    <w:rsid w:val="000F72E4"/>
    <w:rsid w:val="001010C3"/>
    <w:rsid w:val="00106551"/>
    <w:rsid w:val="00107D94"/>
    <w:rsid w:val="00112AD2"/>
    <w:rsid w:val="0012292B"/>
    <w:rsid w:val="00123078"/>
    <w:rsid w:val="001232C0"/>
    <w:rsid w:val="001303DC"/>
    <w:rsid w:val="00136250"/>
    <w:rsid w:val="00136262"/>
    <w:rsid w:val="00136EB8"/>
    <w:rsid w:val="001373C4"/>
    <w:rsid w:val="00141090"/>
    <w:rsid w:val="001424A8"/>
    <w:rsid w:val="00142FBA"/>
    <w:rsid w:val="00143BC0"/>
    <w:rsid w:val="00146E94"/>
    <w:rsid w:val="001503A5"/>
    <w:rsid w:val="00150960"/>
    <w:rsid w:val="00150AC6"/>
    <w:rsid w:val="00154C09"/>
    <w:rsid w:val="001612DC"/>
    <w:rsid w:val="00161FC6"/>
    <w:rsid w:val="001665AD"/>
    <w:rsid w:val="0017118C"/>
    <w:rsid w:val="001836BD"/>
    <w:rsid w:val="00193F12"/>
    <w:rsid w:val="00195C8F"/>
    <w:rsid w:val="001A3247"/>
    <w:rsid w:val="001A39C4"/>
    <w:rsid w:val="001A53FE"/>
    <w:rsid w:val="001B691D"/>
    <w:rsid w:val="001C0914"/>
    <w:rsid w:val="001C278B"/>
    <w:rsid w:val="001C3BCF"/>
    <w:rsid w:val="001C6AA9"/>
    <w:rsid w:val="001D1966"/>
    <w:rsid w:val="001D19A1"/>
    <w:rsid w:val="001D4581"/>
    <w:rsid w:val="001D7752"/>
    <w:rsid w:val="001D7BD5"/>
    <w:rsid w:val="001E3813"/>
    <w:rsid w:val="001E730C"/>
    <w:rsid w:val="001E7CB6"/>
    <w:rsid w:val="001F6436"/>
    <w:rsid w:val="00200FF3"/>
    <w:rsid w:val="00210BD2"/>
    <w:rsid w:val="00214B5B"/>
    <w:rsid w:val="00215302"/>
    <w:rsid w:val="00223E17"/>
    <w:rsid w:val="00223FAD"/>
    <w:rsid w:val="002256AF"/>
    <w:rsid w:val="00227A03"/>
    <w:rsid w:val="00230ECC"/>
    <w:rsid w:val="00245D5B"/>
    <w:rsid w:val="002468B4"/>
    <w:rsid w:val="00251D8B"/>
    <w:rsid w:val="00251DF3"/>
    <w:rsid w:val="00252FBA"/>
    <w:rsid w:val="0025427A"/>
    <w:rsid w:val="00254E5E"/>
    <w:rsid w:val="0026009F"/>
    <w:rsid w:val="0026424C"/>
    <w:rsid w:val="0026661A"/>
    <w:rsid w:val="0026706F"/>
    <w:rsid w:val="00274E1E"/>
    <w:rsid w:val="00281AF5"/>
    <w:rsid w:val="0028659F"/>
    <w:rsid w:val="00290A7B"/>
    <w:rsid w:val="00290AB1"/>
    <w:rsid w:val="00293360"/>
    <w:rsid w:val="00293FC0"/>
    <w:rsid w:val="00294B2D"/>
    <w:rsid w:val="00294B6F"/>
    <w:rsid w:val="0029763D"/>
    <w:rsid w:val="002A17E1"/>
    <w:rsid w:val="002A2640"/>
    <w:rsid w:val="002A38F1"/>
    <w:rsid w:val="002B193F"/>
    <w:rsid w:val="002B24BB"/>
    <w:rsid w:val="002B6602"/>
    <w:rsid w:val="002D0671"/>
    <w:rsid w:val="002D6A6D"/>
    <w:rsid w:val="002E12F1"/>
    <w:rsid w:val="002E716C"/>
    <w:rsid w:val="002F0D7F"/>
    <w:rsid w:val="002F239F"/>
    <w:rsid w:val="002F2B75"/>
    <w:rsid w:val="002F36F3"/>
    <w:rsid w:val="002F4905"/>
    <w:rsid w:val="002F753F"/>
    <w:rsid w:val="002F792D"/>
    <w:rsid w:val="002F7F0A"/>
    <w:rsid w:val="0030022C"/>
    <w:rsid w:val="003030A0"/>
    <w:rsid w:val="003030E4"/>
    <w:rsid w:val="00305743"/>
    <w:rsid w:val="0031023B"/>
    <w:rsid w:val="0031253D"/>
    <w:rsid w:val="003131CC"/>
    <w:rsid w:val="00313CA3"/>
    <w:rsid w:val="003207F3"/>
    <w:rsid w:val="00320B2B"/>
    <w:rsid w:val="003247FE"/>
    <w:rsid w:val="00326AE9"/>
    <w:rsid w:val="003346D3"/>
    <w:rsid w:val="0034401A"/>
    <w:rsid w:val="0034523A"/>
    <w:rsid w:val="00345D58"/>
    <w:rsid w:val="003460D5"/>
    <w:rsid w:val="0034705F"/>
    <w:rsid w:val="0036118B"/>
    <w:rsid w:val="00364323"/>
    <w:rsid w:val="0036514B"/>
    <w:rsid w:val="00365FA4"/>
    <w:rsid w:val="0036605A"/>
    <w:rsid w:val="003679C3"/>
    <w:rsid w:val="00371039"/>
    <w:rsid w:val="003717C3"/>
    <w:rsid w:val="003747D4"/>
    <w:rsid w:val="003753D8"/>
    <w:rsid w:val="003764D0"/>
    <w:rsid w:val="0037796D"/>
    <w:rsid w:val="00377E0D"/>
    <w:rsid w:val="0038229F"/>
    <w:rsid w:val="00382F71"/>
    <w:rsid w:val="0038346B"/>
    <w:rsid w:val="00386F81"/>
    <w:rsid w:val="00393376"/>
    <w:rsid w:val="00396026"/>
    <w:rsid w:val="003A051D"/>
    <w:rsid w:val="003A0F8E"/>
    <w:rsid w:val="003A2012"/>
    <w:rsid w:val="003A4694"/>
    <w:rsid w:val="003B00F2"/>
    <w:rsid w:val="003B09E0"/>
    <w:rsid w:val="003B158A"/>
    <w:rsid w:val="003B2397"/>
    <w:rsid w:val="003B3E0A"/>
    <w:rsid w:val="003C0B15"/>
    <w:rsid w:val="003C1BD2"/>
    <w:rsid w:val="003C1FF6"/>
    <w:rsid w:val="003C5202"/>
    <w:rsid w:val="003C6044"/>
    <w:rsid w:val="003C6717"/>
    <w:rsid w:val="003C687B"/>
    <w:rsid w:val="003C6AD6"/>
    <w:rsid w:val="003D2319"/>
    <w:rsid w:val="003D26ED"/>
    <w:rsid w:val="003D6C6F"/>
    <w:rsid w:val="003E1E90"/>
    <w:rsid w:val="003E33F0"/>
    <w:rsid w:val="003E53D2"/>
    <w:rsid w:val="003E70B2"/>
    <w:rsid w:val="003E7DC5"/>
    <w:rsid w:val="003F5686"/>
    <w:rsid w:val="003F72E4"/>
    <w:rsid w:val="004067BB"/>
    <w:rsid w:val="0041180F"/>
    <w:rsid w:val="00416C6D"/>
    <w:rsid w:val="0042256A"/>
    <w:rsid w:val="00424AEB"/>
    <w:rsid w:val="00425CC9"/>
    <w:rsid w:val="004314AA"/>
    <w:rsid w:val="00435B76"/>
    <w:rsid w:val="004366CB"/>
    <w:rsid w:val="00436CEB"/>
    <w:rsid w:val="00441673"/>
    <w:rsid w:val="00441989"/>
    <w:rsid w:val="004419BF"/>
    <w:rsid w:val="00441D2B"/>
    <w:rsid w:val="0044274C"/>
    <w:rsid w:val="00446D67"/>
    <w:rsid w:val="0045170D"/>
    <w:rsid w:val="0045191C"/>
    <w:rsid w:val="00452636"/>
    <w:rsid w:val="00453526"/>
    <w:rsid w:val="004562DA"/>
    <w:rsid w:val="00460AA3"/>
    <w:rsid w:val="0046146E"/>
    <w:rsid w:val="00465AA5"/>
    <w:rsid w:val="004713D5"/>
    <w:rsid w:val="004761E8"/>
    <w:rsid w:val="00477A4F"/>
    <w:rsid w:val="004902C5"/>
    <w:rsid w:val="004913AE"/>
    <w:rsid w:val="004A21AC"/>
    <w:rsid w:val="004A273C"/>
    <w:rsid w:val="004A274C"/>
    <w:rsid w:val="004A35AC"/>
    <w:rsid w:val="004A5754"/>
    <w:rsid w:val="004B1452"/>
    <w:rsid w:val="004B3AF1"/>
    <w:rsid w:val="004C2053"/>
    <w:rsid w:val="004C3030"/>
    <w:rsid w:val="004C47AE"/>
    <w:rsid w:val="004C547E"/>
    <w:rsid w:val="004D2155"/>
    <w:rsid w:val="004D3DF9"/>
    <w:rsid w:val="004D43B2"/>
    <w:rsid w:val="004E33C8"/>
    <w:rsid w:val="004E3708"/>
    <w:rsid w:val="004F2546"/>
    <w:rsid w:val="004F2FDC"/>
    <w:rsid w:val="004F5150"/>
    <w:rsid w:val="00502219"/>
    <w:rsid w:val="00514A75"/>
    <w:rsid w:val="00516833"/>
    <w:rsid w:val="005201DF"/>
    <w:rsid w:val="00520840"/>
    <w:rsid w:val="00522E6F"/>
    <w:rsid w:val="00525E3C"/>
    <w:rsid w:val="00526969"/>
    <w:rsid w:val="00526C96"/>
    <w:rsid w:val="005326F5"/>
    <w:rsid w:val="00533F9D"/>
    <w:rsid w:val="00540289"/>
    <w:rsid w:val="005414F1"/>
    <w:rsid w:val="005427CF"/>
    <w:rsid w:val="00546ABE"/>
    <w:rsid w:val="00554BC3"/>
    <w:rsid w:val="00557831"/>
    <w:rsid w:val="00566420"/>
    <w:rsid w:val="00574791"/>
    <w:rsid w:val="00581B28"/>
    <w:rsid w:val="00583896"/>
    <w:rsid w:val="005866B7"/>
    <w:rsid w:val="005968B5"/>
    <w:rsid w:val="00597801"/>
    <w:rsid w:val="005A4A10"/>
    <w:rsid w:val="005A4B2F"/>
    <w:rsid w:val="005B20A7"/>
    <w:rsid w:val="005B2E19"/>
    <w:rsid w:val="005B3360"/>
    <w:rsid w:val="005B4F18"/>
    <w:rsid w:val="005B509F"/>
    <w:rsid w:val="005B6EDF"/>
    <w:rsid w:val="005C25D5"/>
    <w:rsid w:val="005C36A6"/>
    <w:rsid w:val="005C49EE"/>
    <w:rsid w:val="005C5222"/>
    <w:rsid w:val="005C58F6"/>
    <w:rsid w:val="005C6679"/>
    <w:rsid w:val="005D477F"/>
    <w:rsid w:val="005E33DE"/>
    <w:rsid w:val="005E3653"/>
    <w:rsid w:val="005E422E"/>
    <w:rsid w:val="005E441E"/>
    <w:rsid w:val="005E48A6"/>
    <w:rsid w:val="005E55E5"/>
    <w:rsid w:val="005E60E7"/>
    <w:rsid w:val="005F0548"/>
    <w:rsid w:val="005F141E"/>
    <w:rsid w:val="005F33EE"/>
    <w:rsid w:val="005F7504"/>
    <w:rsid w:val="00600117"/>
    <w:rsid w:val="0060328F"/>
    <w:rsid w:val="0060363E"/>
    <w:rsid w:val="00604549"/>
    <w:rsid w:val="0060465A"/>
    <w:rsid w:val="00606567"/>
    <w:rsid w:val="00606703"/>
    <w:rsid w:val="00607B54"/>
    <w:rsid w:val="00610B95"/>
    <w:rsid w:val="006135A4"/>
    <w:rsid w:val="00615096"/>
    <w:rsid w:val="00615A8D"/>
    <w:rsid w:val="006222FF"/>
    <w:rsid w:val="00623F23"/>
    <w:rsid w:val="006260BB"/>
    <w:rsid w:val="00630C68"/>
    <w:rsid w:val="00631EF0"/>
    <w:rsid w:val="0063400F"/>
    <w:rsid w:val="006374A4"/>
    <w:rsid w:val="006436EB"/>
    <w:rsid w:val="006438CF"/>
    <w:rsid w:val="00643D81"/>
    <w:rsid w:val="0065069C"/>
    <w:rsid w:val="00650F5B"/>
    <w:rsid w:val="006547E0"/>
    <w:rsid w:val="00664CB7"/>
    <w:rsid w:val="00670B3E"/>
    <w:rsid w:val="006760E3"/>
    <w:rsid w:val="006777B0"/>
    <w:rsid w:val="00682BCC"/>
    <w:rsid w:val="00683B63"/>
    <w:rsid w:val="00687816"/>
    <w:rsid w:val="00687C3E"/>
    <w:rsid w:val="00694C87"/>
    <w:rsid w:val="00697E5C"/>
    <w:rsid w:val="006A0AA4"/>
    <w:rsid w:val="006A1A2C"/>
    <w:rsid w:val="006A3AF5"/>
    <w:rsid w:val="006A575B"/>
    <w:rsid w:val="006A6710"/>
    <w:rsid w:val="006B02EE"/>
    <w:rsid w:val="006B08FC"/>
    <w:rsid w:val="006B4A3B"/>
    <w:rsid w:val="006B4FBE"/>
    <w:rsid w:val="006B51FA"/>
    <w:rsid w:val="006B6696"/>
    <w:rsid w:val="006C3E29"/>
    <w:rsid w:val="006C4950"/>
    <w:rsid w:val="006C639E"/>
    <w:rsid w:val="006C7500"/>
    <w:rsid w:val="006E4735"/>
    <w:rsid w:val="006F1155"/>
    <w:rsid w:val="006F4486"/>
    <w:rsid w:val="00701790"/>
    <w:rsid w:val="00704515"/>
    <w:rsid w:val="007079A5"/>
    <w:rsid w:val="00707CC9"/>
    <w:rsid w:val="007145FD"/>
    <w:rsid w:val="00716261"/>
    <w:rsid w:val="0072114E"/>
    <w:rsid w:val="00723E69"/>
    <w:rsid w:val="00725AB8"/>
    <w:rsid w:val="00725CAF"/>
    <w:rsid w:val="007327DF"/>
    <w:rsid w:val="00732C43"/>
    <w:rsid w:val="00733917"/>
    <w:rsid w:val="007353A8"/>
    <w:rsid w:val="00743EE1"/>
    <w:rsid w:val="00745369"/>
    <w:rsid w:val="00747FA6"/>
    <w:rsid w:val="007512BF"/>
    <w:rsid w:val="007557FA"/>
    <w:rsid w:val="007576B7"/>
    <w:rsid w:val="00760CCF"/>
    <w:rsid w:val="007611F6"/>
    <w:rsid w:val="007617C3"/>
    <w:rsid w:val="00764494"/>
    <w:rsid w:val="00765277"/>
    <w:rsid w:val="007658DE"/>
    <w:rsid w:val="00767FCF"/>
    <w:rsid w:val="007700D6"/>
    <w:rsid w:val="00773D68"/>
    <w:rsid w:val="007740F1"/>
    <w:rsid w:val="00774C54"/>
    <w:rsid w:val="00774F3C"/>
    <w:rsid w:val="007755A8"/>
    <w:rsid w:val="00776E2D"/>
    <w:rsid w:val="0078029B"/>
    <w:rsid w:val="00784C6B"/>
    <w:rsid w:val="00785268"/>
    <w:rsid w:val="00793010"/>
    <w:rsid w:val="00794054"/>
    <w:rsid w:val="007947CC"/>
    <w:rsid w:val="00796874"/>
    <w:rsid w:val="007A1941"/>
    <w:rsid w:val="007B1EC2"/>
    <w:rsid w:val="007B1F80"/>
    <w:rsid w:val="007B23D0"/>
    <w:rsid w:val="007B297D"/>
    <w:rsid w:val="007B3DCF"/>
    <w:rsid w:val="007B6351"/>
    <w:rsid w:val="007C2A6C"/>
    <w:rsid w:val="007C32CD"/>
    <w:rsid w:val="007C6052"/>
    <w:rsid w:val="007C7F22"/>
    <w:rsid w:val="007D1A61"/>
    <w:rsid w:val="007D2416"/>
    <w:rsid w:val="007D5213"/>
    <w:rsid w:val="007D6302"/>
    <w:rsid w:val="007D64AD"/>
    <w:rsid w:val="007D6616"/>
    <w:rsid w:val="007D77DC"/>
    <w:rsid w:val="007E50A8"/>
    <w:rsid w:val="007E539F"/>
    <w:rsid w:val="007F3FFF"/>
    <w:rsid w:val="007F7C51"/>
    <w:rsid w:val="00801C13"/>
    <w:rsid w:val="00813E81"/>
    <w:rsid w:val="00813F40"/>
    <w:rsid w:val="00814DF4"/>
    <w:rsid w:val="0082096D"/>
    <w:rsid w:val="0082375E"/>
    <w:rsid w:val="00825F9C"/>
    <w:rsid w:val="00827AAC"/>
    <w:rsid w:val="00832619"/>
    <w:rsid w:val="0083453F"/>
    <w:rsid w:val="008350CF"/>
    <w:rsid w:val="008354D1"/>
    <w:rsid w:val="00837256"/>
    <w:rsid w:val="008372AB"/>
    <w:rsid w:val="00837A15"/>
    <w:rsid w:val="00837BD6"/>
    <w:rsid w:val="00841EBD"/>
    <w:rsid w:val="00843DDE"/>
    <w:rsid w:val="00847C75"/>
    <w:rsid w:val="0085176A"/>
    <w:rsid w:val="008524E6"/>
    <w:rsid w:val="008537C5"/>
    <w:rsid w:val="0085606B"/>
    <w:rsid w:val="00865E97"/>
    <w:rsid w:val="00870FB7"/>
    <w:rsid w:val="00870FEA"/>
    <w:rsid w:val="00871606"/>
    <w:rsid w:val="008723C8"/>
    <w:rsid w:val="008736DF"/>
    <w:rsid w:val="008742B9"/>
    <w:rsid w:val="008742D7"/>
    <w:rsid w:val="008744D3"/>
    <w:rsid w:val="008754B1"/>
    <w:rsid w:val="00876564"/>
    <w:rsid w:val="00884B04"/>
    <w:rsid w:val="00890E71"/>
    <w:rsid w:val="008A2465"/>
    <w:rsid w:val="008A2E43"/>
    <w:rsid w:val="008A5B93"/>
    <w:rsid w:val="008A6193"/>
    <w:rsid w:val="008B0F01"/>
    <w:rsid w:val="008C1A6C"/>
    <w:rsid w:val="008C2336"/>
    <w:rsid w:val="008C3A40"/>
    <w:rsid w:val="008C5324"/>
    <w:rsid w:val="008C7AEE"/>
    <w:rsid w:val="008D3230"/>
    <w:rsid w:val="008D436B"/>
    <w:rsid w:val="008D492D"/>
    <w:rsid w:val="008D4F17"/>
    <w:rsid w:val="008D672B"/>
    <w:rsid w:val="008D6C6C"/>
    <w:rsid w:val="008D7258"/>
    <w:rsid w:val="008E2FD6"/>
    <w:rsid w:val="008F016C"/>
    <w:rsid w:val="008F0902"/>
    <w:rsid w:val="008F1889"/>
    <w:rsid w:val="008F35A8"/>
    <w:rsid w:val="008F4D73"/>
    <w:rsid w:val="008F726E"/>
    <w:rsid w:val="009009D5"/>
    <w:rsid w:val="009033E0"/>
    <w:rsid w:val="00905569"/>
    <w:rsid w:val="00906AD1"/>
    <w:rsid w:val="009104DE"/>
    <w:rsid w:val="00910B62"/>
    <w:rsid w:val="00911131"/>
    <w:rsid w:val="00912E10"/>
    <w:rsid w:val="00914F5E"/>
    <w:rsid w:val="00923A24"/>
    <w:rsid w:val="00925A24"/>
    <w:rsid w:val="00926724"/>
    <w:rsid w:val="00931177"/>
    <w:rsid w:val="00931C14"/>
    <w:rsid w:val="00932249"/>
    <w:rsid w:val="0093242B"/>
    <w:rsid w:val="009328F0"/>
    <w:rsid w:val="009339DA"/>
    <w:rsid w:val="00933D66"/>
    <w:rsid w:val="0094025C"/>
    <w:rsid w:val="009415A9"/>
    <w:rsid w:val="00945B68"/>
    <w:rsid w:val="0094795D"/>
    <w:rsid w:val="00951A8E"/>
    <w:rsid w:val="00952165"/>
    <w:rsid w:val="00957BB9"/>
    <w:rsid w:val="009628D9"/>
    <w:rsid w:val="009651D6"/>
    <w:rsid w:val="00967999"/>
    <w:rsid w:val="00971DB4"/>
    <w:rsid w:val="0097435D"/>
    <w:rsid w:val="00975656"/>
    <w:rsid w:val="0097672E"/>
    <w:rsid w:val="009779B8"/>
    <w:rsid w:val="00980442"/>
    <w:rsid w:val="00996999"/>
    <w:rsid w:val="009A1324"/>
    <w:rsid w:val="009A1788"/>
    <w:rsid w:val="009A1B88"/>
    <w:rsid w:val="009A58E9"/>
    <w:rsid w:val="009A5CE5"/>
    <w:rsid w:val="009B23B2"/>
    <w:rsid w:val="009B62A5"/>
    <w:rsid w:val="009B63CC"/>
    <w:rsid w:val="009C087D"/>
    <w:rsid w:val="009C0B8F"/>
    <w:rsid w:val="009C649C"/>
    <w:rsid w:val="009D01CB"/>
    <w:rsid w:val="009D0572"/>
    <w:rsid w:val="009D2062"/>
    <w:rsid w:val="009D66E0"/>
    <w:rsid w:val="009E0960"/>
    <w:rsid w:val="009E0C96"/>
    <w:rsid w:val="009E171B"/>
    <w:rsid w:val="009F43F7"/>
    <w:rsid w:val="009F5C9E"/>
    <w:rsid w:val="00A14D63"/>
    <w:rsid w:val="00A14FDF"/>
    <w:rsid w:val="00A178B2"/>
    <w:rsid w:val="00A202EE"/>
    <w:rsid w:val="00A204A4"/>
    <w:rsid w:val="00A21136"/>
    <w:rsid w:val="00A22BA8"/>
    <w:rsid w:val="00A23C1A"/>
    <w:rsid w:val="00A23FE7"/>
    <w:rsid w:val="00A248E8"/>
    <w:rsid w:val="00A25B94"/>
    <w:rsid w:val="00A3008A"/>
    <w:rsid w:val="00A32584"/>
    <w:rsid w:val="00A32AFE"/>
    <w:rsid w:val="00A342F9"/>
    <w:rsid w:val="00A368C4"/>
    <w:rsid w:val="00A4005C"/>
    <w:rsid w:val="00A43D55"/>
    <w:rsid w:val="00A44834"/>
    <w:rsid w:val="00A45026"/>
    <w:rsid w:val="00A45F80"/>
    <w:rsid w:val="00A46876"/>
    <w:rsid w:val="00A517A9"/>
    <w:rsid w:val="00A520D9"/>
    <w:rsid w:val="00A543FD"/>
    <w:rsid w:val="00A576AE"/>
    <w:rsid w:val="00A578E5"/>
    <w:rsid w:val="00A63E50"/>
    <w:rsid w:val="00A725A3"/>
    <w:rsid w:val="00A72CF6"/>
    <w:rsid w:val="00A76AC1"/>
    <w:rsid w:val="00A82583"/>
    <w:rsid w:val="00A828CC"/>
    <w:rsid w:val="00A8785A"/>
    <w:rsid w:val="00A92FEC"/>
    <w:rsid w:val="00A968E2"/>
    <w:rsid w:val="00AA0ABE"/>
    <w:rsid w:val="00AA3935"/>
    <w:rsid w:val="00AA6006"/>
    <w:rsid w:val="00AB0D26"/>
    <w:rsid w:val="00AB0DFA"/>
    <w:rsid w:val="00AB1084"/>
    <w:rsid w:val="00AB61BB"/>
    <w:rsid w:val="00AB7DDE"/>
    <w:rsid w:val="00AC47E1"/>
    <w:rsid w:val="00AC546C"/>
    <w:rsid w:val="00AC5D2E"/>
    <w:rsid w:val="00AC79F5"/>
    <w:rsid w:val="00AD1454"/>
    <w:rsid w:val="00AD2B6D"/>
    <w:rsid w:val="00AE0B51"/>
    <w:rsid w:val="00AE4609"/>
    <w:rsid w:val="00AE4AAE"/>
    <w:rsid w:val="00AF4C2D"/>
    <w:rsid w:val="00AF53AA"/>
    <w:rsid w:val="00AF554A"/>
    <w:rsid w:val="00AF5E87"/>
    <w:rsid w:val="00AF6CC1"/>
    <w:rsid w:val="00B01707"/>
    <w:rsid w:val="00B024EA"/>
    <w:rsid w:val="00B05D9C"/>
    <w:rsid w:val="00B101A8"/>
    <w:rsid w:val="00B15C2C"/>
    <w:rsid w:val="00B2098F"/>
    <w:rsid w:val="00B25DDB"/>
    <w:rsid w:val="00B2629D"/>
    <w:rsid w:val="00B317A1"/>
    <w:rsid w:val="00B32A14"/>
    <w:rsid w:val="00B341D2"/>
    <w:rsid w:val="00B378AE"/>
    <w:rsid w:val="00B44962"/>
    <w:rsid w:val="00B45355"/>
    <w:rsid w:val="00B52998"/>
    <w:rsid w:val="00B561A0"/>
    <w:rsid w:val="00B617CB"/>
    <w:rsid w:val="00B6561B"/>
    <w:rsid w:val="00B7030B"/>
    <w:rsid w:val="00B70FE2"/>
    <w:rsid w:val="00B71F5D"/>
    <w:rsid w:val="00B7351D"/>
    <w:rsid w:val="00B737DC"/>
    <w:rsid w:val="00B74BC3"/>
    <w:rsid w:val="00B778CA"/>
    <w:rsid w:val="00B800DC"/>
    <w:rsid w:val="00B837DF"/>
    <w:rsid w:val="00B844B7"/>
    <w:rsid w:val="00B854D8"/>
    <w:rsid w:val="00B854E7"/>
    <w:rsid w:val="00B87532"/>
    <w:rsid w:val="00B92710"/>
    <w:rsid w:val="00B96169"/>
    <w:rsid w:val="00B970EC"/>
    <w:rsid w:val="00B9724F"/>
    <w:rsid w:val="00BA0A41"/>
    <w:rsid w:val="00BA0CFD"/>
    <w:rsid w:val="00BA3758"/>
    <w:rsid w:val="00BA4C86"/>
    <w:rsid w:val="00BB4465"/>
    <w:rsid w:val="00BC31C8"/>
    <w:rsid w:val="00BC3C1A"/>
    <w:rsid w:val="00BC67D6"/>
    <w:rsid w:val="00BC7B97"/>
    <w:rsid w:val="00BC7FE4"/>
    <w:rsid w:val="00BD0325"/>
    <w:rsid w:val="00BE20C6"/>
    <w:rsid w:val="00BE4938"/>
    <w:rsid w:val="00BE4E86"/>
    <w:rsid w:val="00BF1DE1"/>
    <w:rsid w:val="00BF4437"/>
    <w:rsid w:val="00BF4710"/>
    <w:rsid w:val="00C00863"/>
    <w:rsid w:val="00C022A4"/>
    <w:rsid w:val="00C050BE"/>
    <w:rsid w:val="00C07E40"/>
    <w:rsid w:val="00C112D6"/>
    <w:rsid w:val="00C11E38"/>
    <w:rsid w:val="00C122FA"/>
    <w:rsid w:val="00C20D36"/>
    <w:rsid w:val="00C22434"/>
    <w:rsid w:val="00C224D9"/>
    <w:rsid w:val="00C312F7"/>
    <w:rsid w:val="00C33BA7"/>
    <w:rsid w:val="00C34C2C"/>
    <w:rsid w:val="00C3733B"/>
    <w:rsid w:val="00C43549"/>
    <w:rsid w:val="00C4698E"/>
    <w:rsid w:val="00C512C2"/>
    <w:rsid w:val="00C52078"/>
    <w:rsid w:val="00C5369D"/>
    <w:rsid w:val="00C53B91"/>
    <w:rsid w:val="00C5643D"/>
    <w:rsid w:val="00C61FE8"/>
    <w:rsid w:val="00C623D2"/>
    <w:rsid w:val="00C63891"/>
    <w:rsid w:val="00C679E9"/>
    <w:rsid w:val="00C70807"/>
    <w:rsid w:val="00C71065"/>
    <w:rsid w:val="00C75ABD"/>
    <w:rsid w:val="00C77DDA"/>
    <w:rsid w:val="00C77FD2"/>
    <w:rsid w:val="00C845EA"/>
    <w:rsid w:val="00C85FB9"/>
    <w:rsid w:val="00C86683"/>
    <w:rsid w:val="00C875B3"/>
    <w:rsid w:val="00C92080"/>
    <w:rsid w:val="00C93309"/>
    <w:rsid w:val="00C949AD"/>
    <w:rsid w:val="00CA0F12"/>
    <w:rsid w:val="00CA163A"/>
    <w:rsid w:val="00CA33AC"/>
    <w:rsid w:val="00CA40FC"/>
    <w:rsid w:val="00CA6916"/>
    <w:rsid w:val="00CB0FE8"/>
    <w:rsid w:val="00CB29F4"/>
    <w:rsid w:val="00CB2CD5"/>
    <w:rsid w:val="00CB2E85"/>
    <w:rsid w:val="00CB331B"/>
    <w:rsid w:val="00CB651B"/>
    <w:rsid w:val="00CC0744"/>
    <w:rsid w:val="00CC1938"/>
    <w:rsid w:val="00CC4559"/>
    <w:rsid w:val="00CC6059"/>
    <w:rsid w:val="00CC6893"/>
    <w:rsid w:val="00CD06FA"/>
    <w:rsid w:val="00CD082E"/>
    <w:rsid w:val="00CD3ED4"/>
    <w:rsid w:val="00CD52E4"/>
    <w:rsid w:val="00CE5992"/>
    <w:rsid w:val="00CF580B"/>
    <w:rsid w:val="00CF67FE"/>
    <w:rsid w:val="00CF7E54"/>
    <w:rsid w:val="00D02E74"/>
    <w:rsid w:val="00D03B11"/>
    <w:rsid w:val="00D07AEF"/>
    <w:rsid w:val="00D100A2"/>
    <w:rsid w:val="00D12CF2"/>
    <w:rsid w:val="00D132F8"/>
    <w:rsid w:val="00D133BB"/>
    <w:rsid w:val="00D15965"/>
    <w:rsid w:val="00D2029A"/>
    <w:rsid w:val="00D20B93"/>
    <w:rsid w:val="00D20CD4"/>
    <w:rsid w:val="00D24E6A"/>
    <w:rsid w:val="00D30E85"/>
    <w:rsid w:val="00D35455"/>
    <w:rsid w:val="00D44A44"/>
    <w:rsid w:val="00D51FB5"/>
    <w:rsid w:val="00D5434F"/>
    <w:rsid w:val="00D55C95"/>
    <w:rsid w:val="00D55D3B"/>
    <w:rsid w:val="00D57734"/>
    <w:rsid w:val="00D57F96"/>
    <w:rsid w:val="00D63935"/>
    <w:rsid w:val="00D66674"/>
    <w:rsid w:val="00D70EEB"/>
    <w:rsid w:val="00D711DA"/>
    <w:rsid w:val="00D71A26"/>
    <w:rsid w:val="00D74BFE"/>
    <w:rsid w:val="00D85DFF"/>
    <w:rsid w:val="00D91E71"/>
    <w:rsid w:val="00D93980"/>
    <w:rsid w:val="00D97F92"/>
    <w:rsid w:val="00DA456F"/>
    <w:rsid w:val="00DA5072"/>
    <w:rsid w:val="00DA54B5"/>
    <w:rsid w:val="00DA7CD3"/>
    <w:rsid w:val="00DB2C20"/>
    <w:rsid w:val="00DB3D26"/>
    <w:rsid w:val="00DB41FD"/>
    <w:rsid w:val="00DB44FF"/>
    <w:rsid w:val="00DB58E3"/>
    <w:rsid w:val="00DB75BB"/>
    <w:rsid w:val="00DC0B0A"/>
    <w:rsid w:val="00DC58E6"/>
    <w:rsid w:val="00DC62A3"/>
    <w:rsid w:val="00DD054F"/>
    <w:rsid w:val="00DD1CA9"/>
    <w:rsid w:val="00DD608E"/>
    <w:rsid w:val="00DD763E"/>
    <w:rsid w:val="00DE3FC6"/>
    <w:rsid w:val="00DE4136"/>
    <w:rsid w:val="00DF2356"/>
    <w:rsid w:val="00DF2666"/>
    <w:rsid w:val="00DF58DA"/>
    <w:rsid w:val="00DF6776"/>
    <w:rsid w:val="00E03A6F"/>
    <w:rsid w:val="00E044A0"/>
    <w:rsid w:val="00E1153A"/>
    <w:rsid w:val="00E120A7"/>
    <w:rsid w:val="00E12785"/>
    <w:rsid w:val="00E13A35"/>
    <w:rsid w:val="00E1405F"/>
    <w:rsid w:val="00E21844"/>
    <w:rsid w:val="00E245B5"/>
    <w:rsid w:val="00E2539E"/>
    <w:rsid w:val="00E2638B"/>
    <w:rsid w:val="00E27E09"/>
    <w:rsid w:val="00E3213F"/>
    <w:rsid w:val="00E3223F"/>
    <w:rsid w:val="00E32B8B"/>
    <w:rsid w:val="00E33B17"/>
    <w:rsid w:val="00E4273C"/>
    <w:rsid w:val="00E42CDD"/>
    <w:rsid w:val="00E46737"/>
    <w:rsid w:val="00E51D01"/>
    <w:rsid w:val="00E52B18"/>
    <w:rsid w:val="00E56DD6"/>
    <w:rsid w:val="00E62880"/>
    <w:rsid w:val="00E62B43"/>
    <w:rsid w:val="00E62F73"/>
    <w:rsid w:val="00E6624B"/>
    <w:rsid w:val="00E67BCF"/>
    <w:rsid w:val="00E70839"/>
    <w:rsid w:val="00E72FA4"/>
    <w:rsid w:val="00E758D9"/>
    <w:rsid w:val="00E765AE"/>
    <w:rsid w:val="00E80D8C"/>
    <w:rsid w:val="00E81282"/>
    <w:rsid w:val="00E820FB"/>
    <w:rsid w:val="00E826F3"/>
    <w:rsid w:val="00E92D65"/>
    <w:rsid w:val="00E97D8B"/>
    <w:rsid w:val="00EA23BB"/>
    <w:rsid w:val="00EA2B9F"/>
    <w:rsid w:val="00EA3824"/>
    <w:rsid w:val="00EA6039"/>
    <w:rsid w:val="00EA696B"/>
    <w:rsid w:val="00EB0CBD"/>
    <w:rsid w:val="00EB3802"/>
    <w:rsid w:val="00EC5415"/>
    <w:rsid w:val="00ED0394"/>
    <w:rsid w:val="00ED093F"/>
    <w:rsid w:val="00ED0B01"/>
    <w:rsid w:val="00ED33DA"/>
    <w:rsid w:val="00ED6E38"/>
    <w:rsid w:val="00ED784D"/>
    <w:rsid w:val="00EE1856"/>
    <w:rsid w:val="00EE335F"/>
    <w:rsid w:val="00EF1DA6"/>
    <w:rsid w:val="00EF2614"/>
    <w:rsid w:val="00EF3A01"/>
    <w:rsid w:val="00EF41BF"/>
    <w:rsid w:val="00F01E10"/>
    <w:rsid w:val="00F03DB7"/>
    <w:rsid w:val="00F04CC7"/>
    <w:rsid w:val="00F0528B"/>
    <w:rsid w:val="00F0643D"/>
    <w:rsid w:val="00F11887"/>
    <w:rsid w:val="00F11967"/>
    <w:rsid w:val="00F11E62"/>
    <w:rsid w:val="00F1230A"/>
    <w:rsid w:val="00F13409"/>
    <w:rsid w:val="00F162A3"/>
    <w:rsid w:val="00F16BCE"/>
    <w:rsid w:val="00F20BAE"/>
    <w:rsid w:val="00F21935"/>
    <w:rsid w:val="00F21969"/>
    <w:rsid w:val="00F21D48"/>
    <w:rsid w:val="00F257E3"/>
    <w:rsid w:val="00F31DDE"/>
    <w:rsid w:val="00F32F36"/>
    <w:rsid w:val="00F33264"/>
    <w:rsid w:val="00F368F0"/>
    <w:rsid w:val="00F37160"/>
    <w:rsid w:val="00F42641"/>
    <w:rsid w:val="00F42D4D"/>
    <w:rsid w:val="00F42EB8"/>
    <w:rsid w:val="00F52CBD"/>
    <w:rsid w:val="00F532CE"/>
    <w:rsid w:val="00F5534F"/>
    <w:rsid w:val="00F57294"/>
    <w:rsid w:val="00F602CA"/>
    <w:rsid w:val="00F660FF"/>
    <w:rsid w:val="00F66275"/>
    <w:rsid w:val="00F733E3"/>
    <w:rsid w:val="00F74F8C"/>
    <w:rsid w:val="00F77312"/>
    <w:rsid w:val="00F80F3A"/>
    <w:rsid w:val="00F82231"/>
    <w:rsid w:val="00F84BA9"/>
    <w:rsid w:val="00F85AE4"/>
    <w:rsid w:val="00F904F1"/>
    <w:rsid w:val="00F917F7"/>
    <w:rsid w:val="00F965DB"/>
    <w:rsid w:val="00FA0792"/>
    <w:rsid w:val="00FB029B"/>
    <w:rsid w:val="00FB0B90"/>
    <w:rsid w:val="00FB1232"/>
    <w:rsid w:val="00FB572F"/>
    <w:rsid w:val="00FB6C4B"/>
    <w:rsid w:val="00FC498A"/>
    <w:rsid w:val="00FC4D26"/>
    <w:rsid w:val="00FD46B3"/>
    <w:rsid w:val="00FE437D"/>
    <w:rsid w:val="00FE5009"/>
    <w:rsid w:val="00FE62DC"/>
    <w:rsid w:val="00FE73D0"/>
    <w:rsid w:val="00FF2916"/>
    <w:rsid w:val="00FF48E2"/>
    <w:rsid w:val="00FF7823"/>
    <w:rsid w:val="028F2B28"/>
    <w:rsid w:val="0378DD6B"/>
    <w:rsid w:val="046E90C5"/>
    <w:rsid w:val="0573FC0A"/>
    <w:rsid w:val="058FA742"/>
    <w:rsid w:val="06AF08CF"/>
    <w:rsid w:val="07C36C63"/>
    <w:rsid w:val="0806A4A2"/>
    <w:rsid w:val="092575E1"/>
    <w:rsid w:val="0B975AA3"/>
    <w:rsid w:val="0C1E57D3"/>
    <w:rsid w:val="0C281D53"/>
    <w:rsid w:val="0C5A0DBB"/>
    <w:rsid w:val="0D6195D2"/>
    <w:rsid w:val="0D66E7E5"/>
    <w:rsid w:val="0E8E41CC"/>
    <w:rsid w:val="10175028"/>
    <w:rsid w:val="116BD819"/>
    <w:rsid w:val="11ABA504"/>
    <w:rsid w:val="1289697D"/>
    <w:rsid w:val="13B4AF10"/>
    <w:rsid w:val="13E3BA10"/>
    <w:rsid w:val="1558D16D"/>
    <w:rsid w:val="156F5E81"/>
    <w:rsid w:val="170B2EE2"/>
    <w:rsid w:val="171E21CF"/>
    <w:rsid w:val="175B4454"/>
    <w:rsid w:val="18ED9398"/>
    <w:rsid w:val="1928C7A9"/>
    <w:rsid w:val="19DB72A9"/>
    <w:rsid w:val="1A427377"/>
    <w:rsid w:val="1C4A6AD0"/>
    <w:rsid w:val="1C5D3D0F"/>
    <w:rsid w:val="1E50646D"/>
    <w:rsid w:val="1ED215D2"/>
    <w:rsid w:val="1F4FE823"/>
    <w:rsid w:val="1FAFE7F3"/>
    <w:rsid w:val="2026D465"/>
    <w:rsid w:val="202F8F8C"/>
    <w:rsid w:val="20EEE633"/>
    <w:rsid w:val="211200AB"/>
    <w:rsid w:val="211911D6"/>
    <w:rsid w:val="228AB694"/>
    <w:rsid w:val="23B24780"/>
    <w:rsid w:val="242686F5"/>
    <w:rsid w:val="2466D69F"/>
    <w:rsid w:val="26006A30"/>
    <w:rsid w:val="2645443D"/>
    <w:rsid w:val="273D53E5"/>
    <w:rsid w:val="2A5F9E9F"/>
    <w:rsid w:val="2A9EC817"/>
    <w:rsid w:val="2C2290D1"/>
    <w:rsid w:val="2CE665C5"/>
    <w:rsid w:val="2DC91085"/>
    <w:rsid w:val="2E8CB160"/>
    <w:rsid w:val="2F9F60B4"/>
    <w:rsid w:val="2FBC4ECC"/>
    <w:rsid w:val="2FEB1475"/>
    <w:rsid w:val="3539F39E"/>
    <w:rsid w:val="396B549D"/>
    <w:rsid w:val="397CFC3A"/>
    <w:rsid w:val="399CA5CD"/>
    <w:rsid w:val="3A0A3A06"/>
    <w:rsid w:val="3B08E8F6"/>
    <w:rsid w:val="3B772809"/>
    <w:rsid w:val="3CC8DF78"/>
    <w:rsid w:val="3D346C21"/>
    <w:rsid w:val="3E262614"/>
    <w:rsid w:val="3E3FFC1D"/>
    <w:rsid w:val="3E7DE12F"/>
    <w:rsid w:val="3EFDF1D4"/>
    <w:rsid w:val="41A08E2D"/>
    <w:rsid w:val="420F32F0"/>
    <w:rsid w:val="431375F6"/>
    <w:rsid w:val="439B8AD9"/>
    <w:rsid w:val="4677B86D"/>
    <w:rsid w:val="4863B738"/>
    <w:rsid w:val="48ADB17B"/>
    <w:rsid w:val="49F3D00A"/>
    <w:rsid w:val="4D9577B7"/>
    <w:rsid w:val="4DBA55DD"/>
    <w:rsid w:val="4E7112BE"/>
    <w:rsid w:val="4E96F8CF"/>
    <w:rsid w:val="4F46C167"/>
    <w:rsid w:val="52B43A81"/>
    <w:rsid w:val="546E1245"/>
    <w:rsid w:val="549FF10F"/>
    <w:rsid w:val="5A2A89A1"/>
    <w:rsid w:val="5C4F34DA"/>
    <w:rsid w:val="5C5E53A6"/>
    <w:rsid w:val="5D4FA693"/>
    <w:rsid w:val="5EFB68D5"/>
    <w:rsid w:val="5F46D784"/>
    <w:rsid w:val="5F902240"/>
    <w:rsid w:val="5FAB7F3B"/>
    <w:rsid w:val="5FDD7443"/>
    <w:rsid w:val="5FE08771"/>
    <w:rsid w:val="602A436D"/>
    <w:rsid w:val="640FEECB"/>
    <w:rsid w:val="64664F99"/>
    <w:rsid w:val="647E3FCC"/>
    <w:rsid w:val="6493A944"/>
    <w:rsid w:val="64F9668F"/>
    <w:rsid w:val="655A22AC"/>
    <w:rsid w:val="65FC6E7D"/>
    <w:rsid w:val="66454581"/>
    <w:rsid w:val="68515C68"/>
    <w:rsid w:val="6891105C"/>
    <w:rsid w:val="68A8A4C8"/>
    <w:rsid w:val="6990A701"/>
    <w:rsid w:val="6A1C3E8A"/>
    <w:rsid w:val="6A520E17"/>
    <w:rsid w:val="6A6D250A"/>
    <w:rsid w:val="6A920C0F"/>
    <w:rsid w:val="6BC8C01E"/>
    <w:rsid w:val="6C01D853"/>
    <w:rsid w:val="6EE24DEA"/>
    <w:rsid w:val="6F165F21"/>
    <w:rsid w:val="6FE9A91E"/>
    <w:rsid w:val="6FF8E878"/>
    <w:rsid w:val="71C2F366"/>
    <w:rsid w:val="730C82AF"/>
    <w:rsid w:val="73814FB9"/>
    <w:rsid w:val="74D65EE4"/>
    <w:rsid w:val="74DAC7D9"/>
    <w:rsid w:val="7545B71C"/>
    <w:rsid w:val="75707D6B"/>
    <w:rsid w:val="76931EEE"/>
    <w:rsid w:val="76B387FA"/>
    <w:rsid w:val="7936FF1A"/>
    <w:rsid w:val="7A513255"/>
    <w:rsid w:val="7B2FE2B8"/>
    <w:rsid w:val="7C5D88F0"/>
    <w:rsid w:val="7D419981"/>
    <w:rsid w:val="7E0445AD"/>
    <w:rsid w:val="7F084ACA"/>
    <w:rsid w:val="7F578A65"/>
    <w:rsid w:val="7F7E1876"/>
    <w:rsid w:val="7F9B5A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2A477"/>
  <w15:chartTrackingRefBased/>
  <w15:docId w15:val="{4FADE04D-0004-48A3-BF5F-53171E86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0807"/>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C70807"/>
    <w:pPr>
      <w:pBdr>
        <w:top w:val="single" w:sz="4" w:space="1" w:color="auto"/>
      </w:pBdr>
      <w:spacing w:line="240" w:lineRule="auto"/>
    </w:pPr>
    <w:rPr>
      <w:rFonts w:eastAsia="Times New Roman"/>
      <w:b/>
      <w:sz w:val="40"/>
      <w:lang w:eastAsia="en-AU"/>
    </w:rPr>
  </w:style>
  <w:style w:type="paragraph" w:customStyle="1" w:styleId="LI-Heading2">
    <w:name w:val="LI - Heading 2"/>
    <w:basedOn w:val="Normal"/>
    <w:next w:val="Normal"/>
    <w:qFormat/>
    <w:rsid w:val="00C70807"/>
    <w:pPr>
      <w:keepNext/>
      <w:keepLines/>
      <w:spacing w:before="360" w:line="240" w:lineRule="auto"/>
      <w:ind w:left="567" w:hanging="567"/>
      <w:outlineLvl w:val="1"/>
    </w:pPr>
    <w:rPr>
      <w:rFonts w:eastAsia="Times New Roman"/>
      <w:b/>
      <w:kern w:val="28"/>
      <w:sz w:val="24"/>
      <w:lang w:eastAsia="en-AU"/>
    </w:rPr>
  </w:style>
  <w:style w:type="paragraph" w:styleId="Header">
    <w:name w:val="header"/>
    <w:basedOn w:val="Normal"/>
    <w:link w:val="HeaderChar"/>
    <w:unhideWhenUsed/>
    <w:rsid w:val="00C70807"/>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C70807"/>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C70807"/>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C7080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C70807"/>
    <w:rPr>
      <w:rFonts w:ascii="Times New Roman" w:eastAsia="Times New Roman" w:hAnsi="Times New Roman" w:cs="Times New Roman"/>
      <w:szCs w:val="24"/>
      <w:lang w:eastAsia="en-AU"/>
    </w:rPr>
  </w:style>
  <w:style w:type="paragraph" w:customStyle="1" w:styleId="LI-BodyTextSubparai">
    <w:name w:val="LI - Body Text Subpara (i)"/>
    <w:basedOn w:val="LI-BodyTextNumbered"/>
    <w:link w:val="LI-BodyTextSubparaiChar"/>
    <w:qFormat/>
    <w:rsid w:val="00C70807"/>
    <w:pPr>
      <w:numPr>
        <w:ilvl w:val="1"/>
      </w:numPr>
      <w:tabs>
        <w:tab w:val="num" w:pos="360"/>
      </w:tabs>
      <w:ind w:hanging="589"/>
    </w:pPr>
  </w:style>
  <w:style w:type="paragraph" w:customStyle="1" w:styleId="LI-BodyTextSubsubparaA">
    <w:name w:val="LI - Body Text Subsubpara (A)"/>
    <w:basedOn w:val="LI-BodyTextSubparai"/>
    <w:qFormat/>
    <w:rsid w:val="00C70807"/>
    <w:pPr>
      <w:numPr>
        <w:ilvl w:val="2"/>
      </w:numPr>
      <w:tabs>
        <w:tab w:val="num" w:pos="360"/>
      </w:tabs>
    </w:pPr>
  </w:style>
  <w:style w:type="character" w:customStyle="1" w:styleId="LI-BodyTextParaaChar">
    <w:name w:val="LI - Body Text Para (a) Char"/>
    <w:link w:val="LI-BodyTextParaa"/>
    <w:rsid w:val="00C70807"/>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C70807"/>
    <w:rPr>
      <w:rFonts w:ascii="Times New Roman" w:eastAsia="Times New Roman" w:hAnsi="Times New Roman" w:cs="Times New Roman"/>
      <w:sz w:val="24"/>
      <w:szCs w:val="24"/>
      <w:lang w:eastAsia="en-AU"/>
    </w:rPr>
  </w:style>
  <w:style w:type="paragraph" w:customStyle="1" w:styleId="LI-BodyTextNumbered">
    <w:name w:val="LI - Body Text Numbered"/>
    <w:basedOn w:val="LI-BodyTextParaa"/>
    <w:link w:val="LI-BodyTextNumberedChar"/>
    <w:qFormat/>
    <w:rsid w:val="00C70807"/>
    <w:pPr>
      <w:numPr>
        <w:numId w:val="1"/>
      </w:numPr>
    </w:pPr>
  </w:style>
  <w:style w:type="paragraph" w:customStyle="1" w:styleId="LI-Footer">
    <w:name w:val="LI - Footer"/>
    <w:basedOn w:val="Normal"/>
    <w:link w:val="LI-FooterChar"/>
    <w:qFormat/>
    <w:rsid w:val="00C70807"/>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C70807"/>
    <w:rPr>
      <w:rFonts w:ascii="Times New Roman" w:eastAsia="Times New Roman" w:hAnsi="Times New Roman" w:cs="Times New Roman"/>
      <w:sz w:val="24"/>
      <w:szCs w:val="24"/>
      <w:lang w:eastAsia="en-AU"/>
    </w:rPr>
  </w:style>
  <w:style w:type="character" w:customStyle="1" w:styleId="LI-FooterChar">
    <w:name w:val="LI - Footer Char"/>
    <w:link w:val="LI-Footer"/>
    <w:rsid w:val="00C70807"/>
    <w:rPr>
      <w:rFonts w:ascii="Times New Roman" w:eastAsia="Calibri" w:hAnsi="Times New Roman" w:cs="Times New Roman"/>
      <w:i/>
      <w:sz w:val="18"/>
      <w:szCs w:val="20"/>
    </w:rPr>
  </w:style>
  <w:style w:type="paragraph" w:customStyle="1" w:styleId="LI-Header">
    <w:name w:val="LI - Header"/>
    <w:basedOn w:val="LI-Footer"/>
    <w:link w:val="LI-HeaderChar"/>
    <w:qFormat/>
    <w:rsid w:val="00C70807"/>
    <w:pPr>
      <w:pBdr>
        <w:top w:val="none" w:sz="0" w:space="0" w:color="auto"/>
        <w:bottom w:val="single" w:sz="4" w:space="1" w:color="auto"/>
      </w:pBdr>
      <w:jc w:val="right"/>
    </w:pPr>
  </w:style>
  <w:style w:type="character" w:customStyle="1" w:styleId="LI-HeaderChar">
    <w:name w:val="LI - Header Char"/>
    <w:basedOn w:val="LI-FooterChar"/>
    <w:link w:val="LI-Header"/>
    <w:rsid w:val="00C70807"/>
    <w:rPr>
      <w:rFonts w:ascii="Times New Roman" w:eastAsia="Calibri" w:hAnsi="Times New Roman" w:cs="Times New Roman"/>
      <w:i/>
      <w:sz w:val="18"/>
      <w:szCs w:val="20"/>
    </w:rPr>
  </w:style>
  <w:style w:type="character" w:styleId="CommentReference">
    <w:name w:val="annotation reference"/>
    <w:basedOn w:val="DefaultParagraphFont"/>
    <w:uiPriority w:val="99"/>
    <w:semiHidden/>
    <w:unhideWhenUsed/>
    <w:rsid w:val="00E120A7"/>
    <w:rPr>
      <w:sz w:val="16"/>
      <w:szCs w:val="16"/>
    </w:rPr>
  </w:style>
  <w:style w:type="paragraph" w:styleId="CommentText">
    <w:name w:val="annotation text"/>
    <w:basedOn w:val="Normal"/>
    <w:link w:val="CommentTextChar"/>
    <w:uiPriority w:val="99"/>
    <w:unhideWhenUsed/>
    <w:rsid w:val="00E120A7"/>
    <w:pPr>
      <w:spacing w:line="240" w:lineRule="auto"/>
    </w:pPr>
    <w:rPr>
      <w:sz w:val="20"/>
    </w:rPr>
  </w:style>
  <w:style w:type="character" w:customStyle="1" w:styleId="CommentTextChar">
    <w:name w:val="Comment Text Char"/>
    <w:basedOn w:val="DefaultParagraphFont"/>
    <w:link w:val="CommentText"/>
    <w:uiPriority w:val="99"/>
    <w:rsid w:val="00E120A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0A7"/>
    <w:rPr>
      <w:b/>
      <w:bCs/>
    </w:rPr>
  </w:style>
  <w:style w:type="character" w:customStyle="1" w:styleId="CommentSubjectChar">
    <w:name w:val="Comment Subject Char"/>
    <w:basedOn w:val="CommentTextChar"/>
    <w:link w:val="CommentSubject"/>
    <w:uiPriority w:val="99"/>
    <w:semiHidden/>
    <w:rsid w:val="00E120A7"/>
    <w:rPr>
      <w:rFonts w:ascii="Times New Roman" w:eastAsia="Calibri" w:hAnsi="Times New Roman" w:cs="Times New Roman"/>
      <w:b/>
      <w:bCs/>
      <w:sz w:val="20"/>
      <w:szCs w:val="20"/>
    </w:rPr>
  </w:style>
  <w:style w:type="paragraph" w:styleId="Revision">
    <w:name w:val="Revision"/>
    <w:hidden/>
    <w:uiPriority w:val="99"/>
    <w:semiHidden/>
    <w:rsid w:val="009D01CB"/>
    <w:pPr>
      <w:spacing w:after="0" w:line="240" w:lineRule="auto"/>
    </w:pPr>
    <w:rPr>
      <w:rFonts w:ascii="Times New Roman" w:eastAsia="Calibri" w:hAnsi="Times New Roman" w:cs="Times New Roman"/>
      <w:szCs w:val="20"/>
    </w:rPr>
  </w:style>
  <w:style w:type="paragraph" w:styleId="NormalWeb">
    <w:name w:val="Normal (Web)"/>
    <w:basedOn w:val="Normal"/>
    <w:uiPriority w:val="99"/>
    <w:rsid w:val="003A4694"/>
    <w:pPr>
      <w:spacing w:after="240" w:line="240" w:lineRule="auto"/>
      <w:jc w:val="both"/>
    </w:pPr>
    <w:rPr>
      <w:rFonts w:asciiTheme="minorHAnsi" w:eastAsiaTheme="minorHAnsi" w:hAnsiTheme="minorHAnsi"/>
      <w:color w:val="000000"/>
      <w:szCs w:val="22"/>
    </w:rPr>
  </w:style>
  <w:style w:type="character" w:styleId="Hyperlink">
    <w:name w:val="Hyperlink"/>
    <w:basedOn w:val="DefaultParagraphFont"/>
    <w:uiPriority w:val="99"/>
    <w:unhideWhenUsed/>
    <w:rsid w:val="00A21136"/>
    <w:rPr>
      <w:color w:val="0563C1" w:themeColor="hyperlink"/>
      <w:u w:val="single"/>
    </w:rPr>
  </w:style>
  <w:style w:type="character" w:styleId="UnresolvedMention">
    <w:name w:val="Unresolved Mention"/>
    <w:basedOn w:val="DefaultParagraphFont"/>
    <w:uiPriority w:val="99"/>
    <w:semiHidden/>
    <w:unhideWhenUsed/>
    <w:rsid w:val="00A21136"/>
    <w:rPr>
      <w:color w:val="605E5C"/>
      <w:shd w:val="clear" w:color="auto" w:fill="E1DFDD"/>
    </w:rPr>
  </w:style>
  <w:style w:type="paragraph" w:styleId="ListParagraph">
    <w:name w:val="List Paragraph"/>
    <w:basedOn w:val="Normal"/>
    <w:uiPriority w:val="34"/>
    <w:qFormat/>
    <w:rsid w:val="0067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96049">
      <w:bodyDiv w:val="1"/>
      <w:marLeft w:val="0"/>
      <w:marRight w:val="0"/>
      <w:marTop w:val="0"/>
      <w:marBottom w:val="0"/>
      <w:divBdr>
        <w:top w:val="none" w:sz="0" w:space="0" w:color="auto"/>
        <w:left w:val="none" w:sz="0" w:space="0" w:color="auto"/>
        <w:bottom w:val="none" w:sz="0" w:space="0" w:color="auto"/>
        <w:right w:val="none" w:sz="0" w:space="0" w:color="auto"/>
      </w:divBdr>
    </w:div>
    <w:div w:id="299186549">
      <w:bodyDiv w:val="1"/>
      <w:marLeft w:val="0"/>
      <w:marRight w:val="0"/>
      <w:marTop w:val="0"/>
      <w:marBottom w:val="0"/>
      <w:divBdr>
        <w:top w:val="none" w:sz="0" w:space="0" w:color="auto"/>
        <w:left w:val="none" w:sz="0" w:space="0" w:color="auto"/>
        <w:bottom w:val="none" w:sz="0" w:space="0" w:color="auto"/>
        <w:right w:val="none" w:sz="0" w:space="0" w:color="auto"/>
      </w:divBdr>
      <w:divsChild>
        <w:div w:id="238368698">
          <w:marLeft w:val="0"/>
          <w:marRight w:val="0"/>
          <w:marTop w:val="0"/>
          <w:marBottom w:val="0"/>
          <w:divBdr>
            <w:top w:val="none" w:sz="0" w:space="0" w:color="auto"/>
            <w:left w:val="none" w:sz="0" w:space="0" w:color="auto"/>
            <w:bottom w:val="none" w:sz="0" w:space="0" w:color="auto"/>
            <w:right w:val="none" w:sz="0" w:space="0" w:color="auto"/>
          </w:divBdr>
        </w:div>
        <w:div w:id="361173752">
          <w:marLeft w:val="0"/>
          <w:marRight w:val="0"/>
          <w:marTop w:val="0"/>
          <w:marBottom w:val="0"/>
          <w:divBdr>
            <w:top w:val="none" w:sz="0" w:space="0" w:color="auto"/>
            <w:left w:val="none" w:sz="0" w:space="0" w:color="auto"/>
            <w:bottom w:val="none" w:sz="0" w:space="0" w:color="auto"/>
            <w:right w:val="none" w:sz="0" w:space="0" w:color="auto"/>
          </w:divBdr>
        </w:div>
        <w:div w:id="738671897">
          <w:marLeft w:val="0"/>
          <w:marRight w:val="0"/>
          <w:marTop w:val="0"/>
          <w:marBottom w:val="0"/>
          <w:divBdr>
            <w:top w:val="none" w:sz="0" w:space="0" w:color="auto"/>
            <w:left w:val="none" w:sz="0" w:space="0" w:color="auto"/>
            <w:bottom w:val="none" w:sz="0" w:space="0" w:color="auto"/>
            <w:right w:val="none" w:sz="0" w:space="0" w:color="auto"/>
          </w:divBdr>
        </w:div>
        <w:div w:id="2074502618">
          <w:marLeft w:val="0"/>
          <w:marRight w:val="0"/>
          <w:marTop w:val="0"/>
          <w:marBottom w:val="0"/>
          <w:divBdr>
            <w:top w:val="none" w:sz="0" w:space="0" w:color="auto"/>
            <w:left w:val="none" w:sz="0" w:space="0" w:color="auto"/>
            <w:bottom w:val="none" w:sz="0" w:space="0" w:color="auto"/>
            <w:right w:val="none" w:sz="0" w:space="0" w:color="auto"/>
          </w:divBdr>
        </w:div>
      </w:divsChild>
    </w:div>
    <w:div w:id="438061404">
      <w:bodyDiv w:val="1"/>
      <w:marLeft w:val="0"/>
      <w:marRight w:val="0"/>
      <w:marTop w:val="0"/>
      <w:marBottom w:val="0"/>
      <w:divBdr>
        <w:top w:val="none" w:sz="0" w:space="0" w:color="auto"/>
        <w:left w:val="none" w:sz="0" w:space="0" w:color="auto"/>
        <w:bottom w:val="none" w:sz="0" w:space="0" w:color="auto"/>
        <w:right w:val="none" w:sz="0" w:space="0" w:color="auto"/>
      </w:divBdr>
    </w:div>
    <w:div w:id="926381565">
      <w:bodyDiv w:val="1"/>
      <w:marLeft w:val="0"/>
      <w:marRight w:val="0"/>
      <w:marTop w:val="0"/>
      <w:marBottom w:val="0"/>
      <w:divBdr>
        <w:top w:val="none" w:sz="0" w:space="0" w:color="auto"/>
        <w:left w:val="none" w:sz="0" w:space="0" w:color="auto"/>
        <w:bottom w:val="none" w:sz="0" w:space="0" w:color="auto"/>
        <w:right w:val="none" w:sz="0" w:space="0" w:color="auto"/>
      </w:divBdr>
    </w:div>
    <w:div w:id="1324821410">
      <w:bodyDiv w:val="1"/>
      <w:marLeft w:val="0"/>
      <w:marRight w:val="0"/>
      <w:marTop w:val="0"/>
      <w:marBottom w:val="0"/>
      <w:divBdr>
        <w:top w:val="none" w:sz="0" w:space="0" w:color="auto"/>
        <w:left w:val="none" w:sz="0" w:space="0" w:color="auto"/>
        <w:bottom w:val="none" w:sz="0" w:space="0" w:color="auto"/>
        <w:right w:val="none" w:sz="0" w:space="0" w:color="auto"/>
      </w:divBdr>
    </w:div>
    <w:div w:id="1507943124">
      <w:bodyDiv w:val="1"/>
      <w:marLeft w:val="0"/>
      <w:marRight w:val="0"/>
      <w:marTop w:val="0"/>
      <w:marBottom w:val="0"/>
      <w:divBdr>
        <w:top w:val="none" w:sz="0" w:space="0" w:color="auto"/>
        <w:left w:val="none" w:sz="0" w:space="0" w:color="auto"/>
        <w:bottom w:val="none" w:sz="0" w:space="0" w:color="auto"/>
        <w:right w:val="none" w:sz="0" w:space="0" w:color="auto"/>
      </w:divBdr>
    </w:div>
    <w:div w:id="162912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F9CBFB8E20F4AA276130F4F1B46EC" ma:contentTypeVersion="6" ma:contentTypeDescription="Create a new document." ma:contentTypeScope="" ma:versionID="2de7225b6bb924ed4195f4dcbf70a7b2">
  <xsd:schema xmlns:xsd="http://www.w3.org/2001/XMLSchema" xmlns:xs="http://www.w3.org/2001/XMLSchema" xmlns:p="http://schemas.microsoft.com/office/2006/metadata/properties" xmlns:ns2="5fb742e0-e8f5-4989-86ab-e1222629aa4c" xmlns:ns3="fe4b2e7c-6f1a-43ae-89b0-aa6d5bed53d0" targetNamespace="http://schemas.microsoft.com/office/2006/metadata/properties" ma:root="true" ma:fieldsID="1a5d6c09b616e35a7628354c634a31dd" ns2:_="" ns3:_="">
    <xsd:import namespace="5fb742e0-e8f5-4989-86ab-e1222629aa4c"/>
    <xsd:import namespace="fe4b2e7c-6f1a-43ae-89b0-aa6d5bed53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742e0-e8f5-4989-86ab-e1222629a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b2e7c-6f1a-43ae-89b0-aa6d5bed53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71796-ABC7-44DC-A89F-30DC6A120441}">
  <ds:schemaRefs>
    <ds:schemaRef ds:uri="http://schemas.microsoft.com/sharepoint/v3/contenttype/forms"/>
  </ds:schemaRefs>
</ds:datastoreItem>
</file>

<file path=customXml/itemProps2.xml><?xml version="1.0" encoding="utf-8"?>
<ds:datastoreItem xmlns:ds="http://schemas.openxmlformats.org/officeDocument/2006/customXml" ds:itemID="{018C8679-6D5E-4D94-AAD8-10734876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742e0-e8f5-4989-86ab-e1222629aa4c"/>
    <ds:schemaRef ds:uri="fe4b2e7c-6f1a-43ae-89b0-aa6d5bed5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2E1CF-8795-4AFF-9CAC-15892F72F85A}">
  <ds:schemaRefs>
    <ds:schemaRef ds:uri="http://schemas.openxmlformats.org/officeDocument/2006/bibliography"/>
  </ds:schemaRefs>
</ds:datastoreItem>
</file>

<file path=customXml/itemProps4.xml><?xml version="1.0" encoding="utf-8"?>
<ds:datastoreItem xmlns:ds="http://schemas.openxmlformats.org/officeDocument/2006/customXml" ds:itemID="{FE5989EB-306D-48A2-9EEB-A1F8150EA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2699</Words>
  <Characters>15385</Characters>
  <Application>Microsoft Office Word</Application>
  <DocSecurity>0</DocSecurity>
  <Lines>128</Lines>
  <Paragraphs>36</Paragraphs>
  <ScaleCrop>false</ScaleCrop>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221220 - ES Regulator Rules - Review Copy</dc:title>
  <dc:subject/>
  <dc:creator>Sugden, Astrid</dc:creator>
  <cp:keywords>[SEC=OFFICIAL:Sensitive]</cp:keywords>
  <dc:description/>
  <cp:lastModifiedBy>Narelle Kane</cp:lastModifiedBy>
  <cp:revision>36</cp:revision>
  <dcterms:created xsi:type="dcterms:W3CDTF">2024-06-12T02:45:00Z</dcterms:created>
  <dcterms:modified xsi:type="dcterms:W3CDTF">2024-07-09T01:07:00Z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0x010100BC8F9CBFB8E20F4AA276130F4F1B46EC</vt:lpwstr>
  </property>
  <property fmtid="{D5CDD505-2E9C-101B-9397-08002B2CF9AE}" pid="3" name="_dlc_DocIdItemGuid">
    <vt:lpwstr>858a490f-c174-4b82-820f-75775ea5851e</vt:lpwstr>
  </property>
  <property fmtid="{D5CDD505-2E9C-101B-9397-08002B2CF9AE}" pid="4" name="StrategicPolicyProjectName">
    <vt:lpwstr/>
  </property>
  <property fmtid="{D5CDD505-2E9C-101B-9397-08002B2CF9AE}" pid="5" name="Order">
    <vt:r8>406000</vt:r8>
  </property>
  <property fmtid="{D5CDD505-2E9C-101B-9397-08002B2CF9AE}" pid="6" name="SecurityClassification">
    <vt:lpwstr>3;#OFFICIAL|cffd3088-7a74-4edb-8c9e-fbf79371a422</vt:lpwstr>
  </property>
  <property fmtid="{D5CDD505-2E9C-101B-9397-08002B2CF9AE}" pid="7" name="Policy_x002d_ProjectDocumentType">
    <vt:lpwstr/>
  </property>
  <property fmtid="{D5CDD505-2E9C-101B-9397-08002B2CF9AE}" pid="8" name="decba91418854b4b96d3eb9f506ea6b5">
    <vt:lpwstr/>
  </property>
  <property fmtid="{D5CDD505-2E9C-101B-9397-08002B2CF9AE}" pid="9" name="Policy-ProjectDocumentType">
    <vt:lpwstr/>
  </property>
  <property fmtid="{D5CDD505-2E9C-101B-9397-08002B2CF9AE}" pid="10" name="MSIP_Label_99f366a8-7720-4340-a6ff-ef1500b3ed99_Enabled">
    <vt:lpwstr>true</vt:lpwstr>
  </property>
  <property fmtid="{D5CDD505-2E9C-101B-9397-08002B2CF9AE}" pid="11" name="MSIP_Label_99f366a8-7720-4340-a6ff-ef1500b3ed99_SetDate">
    <vt:lpwstr>2023-04-17T23:50:10Z</vt:lpwstr>
  </property>
  <property fmtid="{D5CDD505-2E9C-101B-9397-08002B2CF9AE}" pid="12" name="MSIP_Label_99f366a8-7720-4340-a6ff-ef1500b3ed99_Method">
    <vt:lpwstr>Privileged</vt:lpwstr>
  </property>
  <property fmtid="{D5CDD505-2E9C-101B-9397-08002B2CF9AE}" pid="13" name="MSIP_Label_99f366a8-7720-4340-a6ff-ef1500b3ed99_Name">
    <vt:lpwstr>OFFICIAL:Sensitive</vt:lpwstr>
  </property>
  <property fmtid="{D5CDD505-2E9C-101B-9397-08002B2CF9AE}" pid="14" name="MSIP_Label_99f366a8-7720-4340-a6ff-ef1500b3ed99_SiteId">
    <vt:lpwstr>c05e3ffd-b491-4431-9809-e61d4dc78816</vt:lpwstr>
  </property>
  <property fmtid="{D5CDD505-2E9C-101B-9397-08002B2CF9AE}" pid="15" name="MSIP_Label_99f366a8-7720-4340-a6ff-ef1500b3ed99_ActionId">
    <vt:lpwstr>1fcf46d022f246bf84df58481855e8de</vt:lpwstr>
  </property>
  <property fmtid="{D5CDD505-2E9C-101B-9397-08002B2CF9AE}" pid="16" name="MSIP_Label_99f366a8-7720-4340-a6ff-ef1500b3ed99_ContentBits">
    <vt:lpwstr>0</vt:lpwstr>
  </property>
  <property fmtid="{D5CDD505-2E9C-101B-9397-08002B2CF9AE}" pid="17" name="PM_InsertionValue">
    <vt:lpwstr>OFFICIAL: Sensitive</vt:lpwstr>
  </property>
  <property fmtid="{D5CDD505-2E9C-101B-9397-08002B2CF9AE}" pid="18" name="PM_ProtectiveMarkingValue_Header">
    <vt:lpwstr>OFFICIAL: Sensitive</vt:lpwstr>
  </property>
  <property fmtid="{D5CDD505-2E9C-101B-9397-08002B2CF9AE}" pid="19" name="PM_DisplayValueSecClassificationWithQualifier">
    <vt:lpwstr>OFFICIAL: Sensitive</vt:lpwstr>
  </property>
  <property fmtid="{D5CDD505-2E9C-101B-9397-08002B2CF9AE}" pid="20" name="PM_ProtectiveMarkingValue_Footer">
    <vt:lpwstr>OFFICIAL: Sensitive</vt:lpwstr>
  </property>
  <property fmtid="{D5CDD505-2E9C-101B-9397-08002B2CF9AE}" pid="21" name="PM_Display">
    <vt:lpwstr>OFFICIAL: Sensitive</vt:lpwstr>
  </property>
  <property fmtid="{D5CDD505-2E9C-101B-9397-08002B2CF9AE}" pid="22" name="PM_OriginationTimeStamp">
    <vt:lpwstr>2023-04-17T23:50:10Z</vt:lpwstr>
  </property>
  <property fmtid="{D5CDD505-2E9C-101B-9397-08002B2CF9AE}" pid="23" name="PM_Qualifier_Prev">
    <vt:lpwstr/>
  </property>
  <property fmtid="{D5CDD505-2E9C-101B-9397-08002B2CF9AE}" pid="24" name="PM_Originating_FileId">
    <vt:lpwstr>9BE6AEBE5F59469BB0BB3033BF8F76C1</vt:lpwstr>
  </property>
  <property fmtid="{D5CDD505-2E9C-101B-9397-08002B2CF9AE}" pid="25" name="PM_Caveats_Count">
    <vt:lpwstr>0</vt:lpwstr>
  </property>
  <property fmtid="{D5CDD505-2E9C-101B-9397-08002B2CF9AE}" pid="26" name="PM_Namespace">
    <vt:lpwstr>gov.au</vt:lpwstr>
  </property>
  <property fmtid="{D5CDD505-2E9C-101B-9397-08002B2CF9AE}" pid="27" name="PM_Version">
    <vt:lpwstr>2018.4</vt:lpwstr>
  </property>
  <property fmtid="{D5CDD505-2E9C-101B-9397-08002B2CF9AE}" pid="28" name="PM_SecurityClassification">
    <vt:lpwstr>OFFICIAL:Sensitive</vt:lpwstr>
  </property>
  <property fmtid="{D5CDD505-2E9C-101B-9397-08002B2CF9AE}" pid="29" name="PMHMAC">
    <vt:lpwstr>v=2022.1;a=SHA256;h=FBB4408241B57E5602CFF698285CBC4A0F8EB05EC1E4B7F108F76B43C8476A7B</vt:lpwstr>
  </property>
  <property fmtid="{D5CDD505-2E9C-101B-9397-08002B2CF9AE}" pid="30" name="PM_Qualifier">
    <vt:lpwstr/>
  </property>
  <property fmtid="{D5CDD505-2E9C-101B-9397-08002B2CF9AE}" pid="31" name="PM_Note">
    <vt:lpwstr/>
  </property>
  <property fmtid="{D5CDD505-2E9C-101B-9397-08002B2CF9AE}" pid="32" name="PM_Markers">
    <vt:lpwstr/>
  </property>
  <property fmtid="{D5CDD505-2E9C-101B-9397-08002B2CF9AE}" pid="33" name="PM_SecurityClassification_Prev">
    <vt:lpwstr>OFFICIAL:Sensitive</vt:lpwstr>
  </property>
  <property fmtid="{D5CDD505-2E9C-101B-9397-08002B2CF9AE}" pid="34" name="PM_Originator_Hash_SHA1">
    <vt:lpwstr>235977A862F721F684931E281EB068E4AB5BE4C5</vt:lpwstr>
  </property>
  <property fmtid="{D5CDD505-2E9C-101B-9397-08002B2CF9AE}" pid="35" name="PM_ProtectiveMarkingImage_Header">
    <vt:lpwstr>C:\Program Files\Common Files\janusNET Shared\janusSEAL\Images\DocumentSlashBlue.png</vt:lpwstr>
  </property>
  <property fmtid="{D5CDD505-2E9C-101B-9397-08002B2CF9AE}" pid="36" name="PM_ProtectiveMarkingImage_Footer">
    <vt:lpwstr>C:\Program Files\Common Files\janusNET Shared\janusSEAL\Images\DocumentSlashBlue.png</vt:lpwstr>
  </property>
  <property fmtid="{D5CDD505-2E9C-101B-9397-08002B2CF9AE}" pid="37" name="PM_OriginatorUserAccountName_SHA256">
    <vt:lpwstr>3FF49B73C7E62CCC785D8CD5FE3E90F73C9136B38988CBDBF464926C94368E77</vt:lpwstr>
  </property>
  <property fmtid="{D5CDD505-2E9C-101B-9397-08002B2CF9AE}" pid="38" name="PM_OriginatorDomainName_SHA256">
    <vt:lpwstr>ECBDE2B44A971754412B3FB70606937A119CC0D4B6C1B658A40FBD41C30BE3EC</vt:lpwstr>
  </property>
  <property fmtid="{D5CDD505-2E9C-101B-9397-08002B2CF9AE}" pid="39" name="PMUuid">
    <vt:lpwstr>v=2022.2;d=gov.au;g=ABA70C08-925C-5FA3-8765-3178156983AC</vt:lpwstr>
  </property>
  <property fmtid="{D5CDD505-2E9C-101B-9397-08002B2CF9AE}" pid="40" name="PM_Hash_Version">
    <vt:lpwstr>2022.1</vt:lpwstr>
  </property>
  <property fmtid="{D5CDD505-2E9C-101B-9397-08002B2CF9AE}" pid="41" name="PM_Hash_Salt_Prev">
    <vt:lpwstr>0F7A05C57742DCB350B25E0A91BE387C</vt:lpwstr>
  </property>
  <property fmtid="{D5CDD505-2E9C-101B-9397-08002B2CF9AE}" pid="42" name="PM_Hash_Salt">
    <vt:lpwstr>3D31700927AC0756C96D2B616FF9A35D</vt:lpwstr>
  </property>
  <property fmtid="{D5CDD505-2E9C-101B-9397-08002B2CF9AE}" pid="43" name="PM_Hash_SHA1">
    <vt:lpwstr>F003D4ECBD234A52A8D5FB2BDB6551C63EDFCE90</vt:lpwstr>
  </property>
  <property fmtid="{D5CDD505-2E9C-101B-9397-08002B2CF9AE}" pid="44" name="MediaServiceImageTags">
    <vt:lpwstr/>
  </property>
  <property fmtid="{D5CDD505-2E9C-101B-9397-08002B2CF9AE}" pid="45" name="c90048a9da1e45a2932fa41dce6cff0b">
    <vt:lpwstr/>
  </property>
  <property fmtid="{D5CDD505-2E9C-101B-9397-08002B2CF9AE}" pid="46" name="MSIP_Label_a6aead41-07f8-4767-ac8e-ef1c9c793766_Enabled">
    <vt:lpwstr>true</vt:lpwstr>
  </property>
  <property fmtid="{D5CDD505-2E9C-101B-9397-08002B2CF9AE}" pid="47" name="MSIP_Label_a6aead41-07f8-4767-ac8e-ef1c9c793766_SetDate">
    <vt:lpwstr>2023-08-11T03:41:39Z</vt:lpwstr>
  </property>
  <property fmtid="{D5CDD505-2E9C-101B-9397-08002B2CF9AE}" pid="48" name="MSIP_Label_a6aead41-07f8-4767-ac8e-ef1c9c793766_Method">
    <vt:lpwstr>Standard</vt:lpwstr>
  </property>
  <property fmtid="{D5CDD505-2E9C-101B-9397-08002B2CF9AE}" pid="49" name="MSIP_Label_a6aead41-07f8-4767-ac8e-ef1c9c793766_Name">
    <vt:lpwstr>OFFICIAL</vt:lpwstr>
  </property>
  <property fmtid="{D5CDD505-2E9C-101B-9397-08002B2CF9AE}" pid="50" name="MSIP_Label_a6aead41-07f8-4767-ac8e-ef1c9c793766_SiteId">
    <vt:lpwstr>5f1de7c6-55cd-4bb2-902d-514c78cf10f4</vt:lpwstr>
  </property>
  <property fmtid="{D5CDD505-2E9C-101B-9397-08002B2CF9AE}" pid="51" name="MSIP_Label_a6aead41-07f8-4767-ac8e-ef1c9c793766_ActionId">
    <vt:lpwstr>dccd9e60-3893-4c3c-8b28-c42f8a361bd4</vt:lpwstr>
  </property>
  <property fmtid="{D5CDD505-2E9C-101B-9397-08002B2CF9AE}" pid="52" name="MSIP_Label_a6aead41-07f8-4767-ac8e-ef1c9c793766_ContentBits">
    <vt:lpwstr>0</vt:lpwstr>
  </property>
</Properties>
</file>