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E320" w14:textId="77777777" w:rsidR="00F5638C" w:rsidRDefault="00F5638C" w:rsidP="00F5638C">
      <w:pPr>
        <w:rPr>
          <w:sz w:val="28"/>
        </w:rPr>
      </w:pPr>
      <w:r>
        <w:rPr>
          <w:noProof/>
          <w:lang w:eastAsia="en-AU"/>
        </w:rPr>
        <w:drawing>
          <wp:inline distT="0" distB="0" distL="0" distR="0" wp14:anchorId="39B54C9D" wp14:editId="3025DEA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3B12933" w14:textId="77777777" w:rsidR="00F5638C" w:rsidRDefault="00F5638C" w:rsidP="00F5638C">
      <w:pPr>
        <w:rPr>
          <w:sz w:val="19"/>
        </w:rPr>
      </w:pPr>
    </w:p>
    <w:p w14:paraId="1E867CEB" w14:textId="60A702FE" w:rsidR="00F5638C" w:rsidRDefault="001C1A32" w:rsidP="00F5638C">
      <w:pPr>
        <w:pStyle w:val="ShortT"/>
      </w:pPr>
      <w:r w:rsidRPr="001C1A32">
        <w:t>Housing Australia Investment Mandate Amendment (2024 Measures No. 1) Direction</w:t>
      </w:r>
      <w:r>
        <w:t> </w:t>
      </w:r>
      <w:r w:rsidRPr="001C1A32">
        <w:t>2024</w:t>
      </w:r>
    </w:p>
    <w:p w14:paraId="287312B9" w14:textId="39A2DB56" w:rsidR="00F5638C" w:rsidRPr="00BC5754" w:rsidRDefault="001C1A32" w:rsidP="00F5638C">
      <w:pPr>
        <w:pStyle w:val="SignCoverPageStart"/>
        <w:spacing w:before="240"/>
        <w:rPr>
          <w:szCs w:val="22"/>
        </w:rPr>
      </w:pPr>
      <w:r w:rsidRPr="001C1A32">
        <w:rPr>
          <w:szCs w:val="22"/>
        </w:rPr>
        <w:t>I, Julie Collins, Minister for Housing, Minister for Homelessness and Minister for Small Business, make the following direction.</w:t>
      </w:r>
    </w:p>
    <w:p w14:paraId="61A20465" w14:textId="66C1B0B7" w:rsidR="00F5638C" w:rsidRPr="00BC5754" w:rsidRDefault="00F5638C" w:rsidP="00F5638C">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FB6A09">
        <w:rPr>
          <w:szCs w:val="22"/>
        </w:rPr>
        <w:t xml:space="preserve">4 July </w:t>
      </w:r>
      <w:r w:rsidR="001C1A32">
        <w:rPr>
          <w:szCs w:val="22"/>
        </w:rPr>
        <w:t>2024</w:t>
      </w:r>
    </w:p>
    <w:p w14:paraId="28DA1A20" w14:textId="2316A815" w:rsidR="00F5638C" w:rsidRPr="00BC5754" w:rsidRDefault="00F5638C" w:rsidP="00F5638C">
      <w:pPr>
        <w:keepNext/>
        <w:tabs>
          <w:tab w:val="left" w:pos="3402"/>
        </w:tabs>
        <w:spacing w:before="840" w:after="1080" w:line="300" w:lineRule="atLeast"/>
        <w:ind w:right="397"/>
        <w:rPr>
          <w:szCs w:val="22"/>
        </w:rPr>
      </w:pPr>
    </w:p>
    <w:p w14:paraId="52291118" w14:textId="697FDEB5" w:rsidR="00F5638C" w:rsidRPr="00BC5754" w:rsidRDefault="001C1A32" w:rsidP="00F5638C">
      <w:pPr>
        <w:keepNext/>
        <w:tabs>
          <w:tab w:val="left" w:pos="3402"/>
        </w:tabs>
        <w:spacing w:before="480" w:line="300" w:lineRule="atLeast"/>
        <w:ind w:right="397"/>
        <w:rPr>
          <w:szCs w:val="22"/>
        </w:rPr>
      </w:pPr>
      <w:r>
        <w:rPr>
          <w:szCs w:val="22"/>
        </w:rPr>
        <w:t>Julie Collins</w:t>
      </w:r>
    </w:p>
    <w:p w14:paraId="0C81ACE6" w14:textId="2794AE20" w:rsidR="00F5638C" w:rsidRPr="00BC5754" w:rsidRDefault="001C1A32" w:rsidP="00F5638C">
      <w:pPr>
        <w:pStyle w:val="SignCoverPageEnd"/>
        <w:rPr>
          <w:szCs w:val="22"/>
        </w:rPr>
      </w:pPr>
      <w:r>
        <w:rPr>
          <w:szCs w:val="22"/>
        </w:rPr>
        <w:t>Minister for Housing</w:t>
      </w:r>
      <w:r>
        <w:rPr>
          <w:szCs w:val="22"/>
        </w:rPr>
        <w:br/>
        <w:t>Minister for Homelessness</w:t>
      </w:r>
      <w:r>
        <w:rPr>
          <w:szCs w:val="22"/>
        </w:rPr>
        <w:br/>
        <w:t>Minister for Small Business</w:t>
      </w:r>
    </w:p>
    <w:p w14:paraId="65D2AB99" w14:textId="77777777" w:rsidR="00F5638C" w:rsidRDefault="00F5638C" w:rsidP="00F5638C"/>
    <w:p w14:paraId="5E0E07B0"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5B49D57C"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3A8FDB20" w14:textId="77777777" w:rsidR="00F5638C" w:rsidRDefault="00F5638C" w:rsidP="00F5638C">
      <w:pPr>
        <w:sectPr w:rsidR="00F5638C">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BD635BD" w14:textId="77777777" w:rsidR="00F5638C" w:rsidRDefault="00F5638C" w:rsidP="00F5638C">
      <w:pPr>
        <w:outlineLvl w:val="0"/>
        <w:rPr>
          <w:sz w:val="36"/>
        </w:rPr>
      </w:pPr>
      <w:r w:rsidRPr="007A1328">
        <w:rPr>
          <w:sz w:val="36"/>
        </w:rPr>
        <w:lastRenderedPageBreak/>
        <w:t>Contents</w:t>
      </w:r>
    </w:p>
    <w:p w14:paraId="0BD58F9F" w14:textId="7ABD8750" w:rsidR="008D360F" w:rsidRDefault="00F5638C">
      <w:pPr>
        <w:pStyle w:val="TOC5"/>
        <w:rPr>
          <w:rFonts w:asciiTheme="minorHAnsi" w:eastAsiaTheme="minorEastAsia" w:hAnsiTheme="minorHAnsi" w:cstheme="minorBidi"/>
          <w:noProof/>
          <w:kern w:val="2"/>
          <w:sz w:val="22"/>
          <w:szCs w:val="22"/>
          <w14:ligatures w14:val="standardContextual"/>
        </w:rPr>
      </w:pPr>
      <w:r w:rsidRPr="008D360F">
        <w:fldChar w:fldCharType="begin"/>
      </w:r>
      <w:r>
        <w:instrText xml:space="preserve"> TOC \o "1-9" </w:instrText>
      </w:r>
      <w:r w:rsidRPr="008D360F">
        <w:fldChar w:fldCharType="separate"/>
      </w:r>
      <w:r w:rsidR="008D360F">
        <w:rPr>
          <w:noProof/>
        </w:rPr>
        <w:t>1  Name</w:t>
      </w:r>
      <w:r w:rsidR="008D360F">
        <w:rPr>
          <w:noProof/>
        </w:rPr>
        <w:tab/>
      </w:r>
      <w:r w:rsidR="008D360F">
        <w:rPr>
          <w:noProof/>
        </w:rPr>
        <w:tab/>
      </w:r>
      <w:r w:rsidR="008D360F" w:rsidRPr="008D360F">
        <w:rPr>
          <w:noProof/>
        </w:rPr>
        <w:fldChar w:fldCharType="begin"/>
      </w:r>
      <w:r w:rsidR="008D360F" w:rsidRPr="008D360F">
        <w:rPr>
          <w:noProof/>
        </w:rPr>
        <w:instrText xml:space="preserve"> PAGEREF _Toc168307765 \h </w:instrText>
      </w:r>
      <w:r w:rsidR="008D360F" w:rsidRPr="008D360F">
        <w:rPr>
          <w:noProof/>
        </w:rPr>
      </w:r>
      <w:r w:rsidR="008D360F" w:rsidRPr="008D360F">
        <w:rPr>
          <w:noProof/>
        </w:rPr>
        <w:fldChar w:fldCharType="separate"/>
      </w:r>
      <w:r w:rsidR="00695AB1">
        <w:rPr>
          <w:noProof/>
        </w:rPr>
        <w:t>1</w:t>
      </w:r>
      <w:r w:rsidR="008D360F" w:rsidRPr="008D360F">
        <w:rPr>
          <w:noProof/>
        </w:rPr>
        <w:fldChar w:fldCharType="end"/>
      </w:r>
    </w:p>
    <w:p w14:paraId="1AF37E83" w14:textId="298F945A" w:rsidR="008D360F" w:rsidRDefault="008D360F">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8D360F">
        <w:rPr>
          <w:noProof/>
        </w:rPr>
        <w:fldChar w:fldCharType="begin"/>
      </w:r>
      <w:r w:rsidRPr="008D360F">
        <w:rPr>
          <w:noProof/>
        </w:rPr>
        <w:instrText xml:space="preserve"> PAGEREF _Toc168307766 \h </w:instrText>
      </w:r>
      <w:r w:rsidRPr="008D360F">
        <w:rPr>
          <w:noProof/>
        </w:rPr>
      </w:r>
      <w:r w:rsidRPr="008D360F">
        <w:rPr>
          <w:noProof/>
        </w:rPr>
        <w:fldChar w:fldCharType="separate"/>
      </w:r>
      <w:r w:rsidR="00695AB1">
        <w:rPr>
          <w:noProof/>
        </w:rPr>
        <w:t>1</w:t>
      </w:r>
      <w:r w:rsidRPr="008D360F">
        <w:rPr>
          <w:noProof/>
        </w:rPr>
        <w:fldChar w:fldCharType="end"/>
      </w:r>
    </w:p>
    <w:p w14:paraId="0A492077" w14:textId="6A506D1F" w:rsidR="008D360F" w:rsidRDefault="008D360F">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8D360F">
        <w:rPr>
          <w:noProof/>
        </w:rPr>
        <w:fldChar w:fldCharType="begin"/>
      </w:r>
      <w:r w:rsidRPr="008D360F">
        <w:rPr>
          <w:noProof/>
        </w:rPr>
        <w:instrText xml:space="preserve"> PAGEREF _Toc168307767 \h </w:instrText>
      </w:r>
      <w:r w:rsidRPr="008D360F">
        <w:rPr>
          <w:noProof/>
        </w:rPr>
      </w:r>
      <w:r w:rsidRPr="008D360F">
        <w:rPr>
          <w:noProof/>
        </w:rPr>
        <w:fldChar w:fldCharType="separate"/>
      </w:r>
      <w:r w:rsidR="00695AB1">
        <w:rPr>
          <w:noProof/>
        </w:rPr>
        <w:t>1</w:t>
      </w:r>
      <w:r w:rsidRPr="008D360F">
        <w:rPr>
          <w:noProof/>
        </w:rPr>
        <w:fldChar w:fldCharType="end"/>
      </w:r>
    </w:p>
    <w:p w14:paraId="326F238A" w14:textId="381AB5A4" w:rsidR="008D360F" w:rsidRDefault="008D360F">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8D360F">
        <w:rPr>
          <w:noProof/>
        </w:rPr>
        <w:fldChar w:fldCharType="begin"/>
      </w:r>
      <w:r w:rsidRPr="008D360F">
        <w:rPr>
          <w:noProof/>
        </w:rPr>
        <w:instrText xml:space="preserve"> PAGEREF _Toc168307768 \h </w:instrText>
      </w:r>
      <w:r w:rsidRPr="008D360F">
        <w:rPr>
          <w:noProof/>
        </w:rPr>
      </w:r>
      <w:r w:rsidRPr="008D360F">
        <w:rPr>
          <w:noProof/>
        </w:rPr>
        <w:fldChar w:fldCharType="separate"/>
      </w:r>
      <w:r w:rsidR="00695AB1">
        <w:rPr>
          <w:noProof/>
        </w:rPr>
        <w:t>1</w:t>
      </w:r>
      <w:r w:rsidRPr="008D360F">
        <w:rPr>
          <w:noProof/>
        </w:rPr>
        <w:fldChar w:fldCharType="end"/>
      </w:r>
    </w:p>
    <w:p w14:paraId="6CB32259" w14:textId="547CBC0D" w:rsidR="008D360F" w:rsidRDefault="008D360F">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Pr="008D360F">
        <w:rPr>
          <w:b w:val="0"/>
          <w:noProof/>
          <w:sz w:val="18"/>
        </w:rPr>
        <w:fldChar w:fldCharType="begin"/>
      </w:r>
      <w:r w:rsidRPr="008D360F">
        <w:rPr>
          <w:b w:val="0"/>
          <w:noProof/>
          <w:sz w:val="18"/>
        </w:rPr>
        <w:instrText xml:space="preserve"> PAGEREF _Toc168307769 \h </w:instrText>
      </w:r>
      <w:r w:rsidRPr="008D360F">
        <w:rPr>
          <w:b w:val="0"/>
          <w:noProof/>
          <w:sz w:val="18"/>
        </w:rPr>
      </w:r>
      <w:r w:rsidRPr="008D360F">
        <w:rPr>
          <w:b w:val="0"/>
          <w:noProof/>
          <w:sz w:val="18"/>
        </w:rPr>
        <w:fldChar w:fldCharType="separate"/>
      </w:r>
      <w:r w:rsidR="00695AB1">
        <w:rPr>
          <w:b w:val="0"/>
          <w:noProof/>
          <w:sz w:val="18"/>
        </w:rPr>
        <w:t>2</w:t>
      </w:r>
      <w:r w:rsidRPr="008D360F">
        <w:rPr>
          <w:b w:val="0"/>
          <w:noProof/>
          <w:sz w:val="18"/>
        </w:rPr>
        <w:fldChar w:fldCharType="end"/>
      </w:r>
    </w:p>
    <w:p w14:paraId="2F399988" w14:textId="55B0B983" w:rsidR="008D360F" w:rsidRPr="008D360F" w:rsidRDefault="008D360F">
      <w:pPr>
        <w:pStyle w:val="TOC9"/>
        <w:rPr>
          <w:rFonts w:asciiTheme="minorHAnsi" w:eastAsiaTheme="minorEastAsia" w:hAnsiTheme="minorHAnsi" w:cstheme="minorBidi"/>
          <w:i w:val="0"/>
          <w:noProof/>
          <w:kern w:val="2"/>
          <w:sz w:val="18"/>
          <w:szCs w:val="22"/>
          <w14:ligatures w14:val="standardContextual"/>
        </w:rPr>
      </w:pPr>
      <w:r>
        <w:rPr>
          <w:noProof/>
        </w:rPr>
        <w:t>Housing Australia Investment Mandate Direction 2018</w:t>
      </w:r>
      <w:r>
        <w:rPr>
          <w:noProof/>
        </w:rPr>
        <w:tab/>
      </w:r>
      <w:r w:rsidRPr="008D360F">
        <w:rPr>
          <w:i w:val="0"/>
          <w:iCs/>
          <w:noProof/>
          <w:sz w:val="18"/>
        </w:rPr>
        <w:fldChar w:fldCharType="begin"/>
      </w:r>
      <w:r w:rsidRPr="008D360F">
        <w:rPr>
          <w:i w:val="0"/>
          <w:iCs/>
          <w:noProof/>
          <w:sz w:val="18"/>
        </w:rPr>
        <w:instrText xml:space="preserve"> PAGEREF _Toc168307770 \h </w:instrText>
      </w:r>
      <w:r w:rsidRPr="008D360F">
        <w:rPr>
          <w:i w:val="0"/>
          <w:iCs/>
          <w:noProof/>
          <w:sz w:val="18"/>
        </w:rPr>
      </w:r>
      <w:r w:rsidRPr="008D360F">
        <w:rPr>
          <w:i w:val="0"/>
          <w:iCs/>
          <w:noProof/>
          <w:sz w:val="18"/>
        </w:rPr>
        <w:fldChar w:fldCharType="separate"/>
      </w:r>
      <w:r w:rsidR="00695AB1">
        <w:rPr>
          <w:i w:val="0"/>
          <w:iCs/>
          <w:noProof/>
          <w:sz w:val="18"/>
        </w:rPr>
        <w:t>2</w:t>
      </w:r>
      <w:r w:rsidRPr="008D360F">
        <w:rPr>
          <w:i w:val="0"/>
          <w:iCs/>
          <w:noProof/>
          <w:sz w:val="18"/>
        </w:rPr>
        <w:fldChar w:fldCharType="end"/>
      </w:r>
    </w:p>
    <w:p w14:paraId="50929A7E" w14:textId="712F2634" w:rsidR="00F5638C" w:rsidRDefault="00F5638C" w:rsidP="00F5638C">
      <w:r w:rsidRPr="008D360F">
        <w:rPr>
          <w:sz w:val="18"/>
        </w:rPr>
        <w:fldChar w:fldCharType="end"/>
      </w:r>
    </w:p>
    <w:p w14:paraId="233DAFDD" w14:textId="77777777" w:rsidR="00F5638C" w:rsidRPr="007A1328" w:rsidRDefault="00F5638C" w:rsidP="00F5638C"/>
    <w:p w14:paraId="10906DD5" w14:textId="77777777" w:rsidR="00F5638C" w:rsidRDefault="00F5638C" w:rsidP="00F5638C">
      <w:pPr>
        <w:sectPr w:rsidR="00F5638C">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0FD22EDE" w14:textId="77777777" w:rsidR="00F5638C" w:rsidRDefault="00F5638C" w:rsidP="00F5638C">
      <w:pPr>
        <w:pStyle w:val="ActHead5"/>
      </w:pPr>
      <w:bookmarkStart w:id="16" w:name="_Toc168307765"/>
      <w:r>
        <w:rPr>
          <w:rStyle w:val="CharSectno"/>
        </w:rPr>
        <w:lastRenderedPageBreak/>
        <w:t>1</w:t>
      </w:r>
      <w:r>
        <w:t xml:space="preserve">  Name</w:t>
      </w:r>
      <w:bookmarkEnd w:id="16"/>
    </w:p>
    <w:p w14:paraId="0D5CADC1" w14:textId="1992D8DD" w:rsidR="00F5638C" w:rsidRDefault="00F5638C" w:rsidP="00F5638C">
      <w:pPr>
        <w:pStyle w:val="subsection"/>
      </w:pPr>
      <w:r>
        <w:tab/>
      </w:r>
      <w:r>
        <w:tab/>
        <w:t xml:space="preserve">This instrument is the </w:t>
      </w:r>
      <w:r w:rsidR="001C1A32" w:rsidRPr="001C1A32">
        <w:rPr>
          <w:i/>
          <w:noProof/>
        </w:rPr>
        <w:t>Housing Australia Investment Mandate Amendment (2024 Measures No. 1) Direction 2024</w:t>
      </w:r>
      <w:r>
        <w:t>.</w:t>
      </w:r>
    </w:p>
    <w:p w14:paraId="378273F2" w14:textId="77777777" w:rsidR="00F5638C" w:rsidRDefault="00F5638C" w:rsidP="00F5638C">
      <w:pPr>
        <w:pStyle w:val="ActHead5"/>
      </w:pPr>
      <w:bookmarkStart w:id="17" w:name="_Toc168307766"/>
      <w:r>
        <w:rPr>
          <w:rStyle w:val="CharSectno"/>
        </w:rPr>
        <w:t>2</w:t>
      </w:r>
      <w:r>
        <w:t xml:space="preserve">  Commencement</w:t>
      </w:r>
      <w:bookmarkEnd w:id="17"/>
    </w:p>
    <w:p w14:paraId="22A6D28C"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74E81135"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5BC95A3F" w14:textId="77777777" w:rsidTr="001C1A32">
        <w:trPr>
          <w:cantSplit/>
          <w:tblHeader/>
        </w:trPr>
        <w:tc>
          <w:tcPr>
            <w:tcW w:w="8364" w:type="dxa"/>
            <w:gridSpan w:val="3"/>
            <w:tcBorders>
              <w:top w:val="single" w:sz="12" w:space="0" w:color="auto"/>
              <w:left w:val="nil"/>
              <w:bottom w:val="single" w:sz="6" w:space="0" w:color="auto"/>
              <w:right w:val="nil"/>
            </w:tcBorders>
            <w:hideMark/>
          </w:tcPr>
          <w:p w14:paraId="05E921FB" w14:textId="77777777" w:rsidR="00F5638C" w:rsidRPr="00416235" w:rsidRDefault="00F5638C">
            <w:pPr>
              <w:pStyle w:val="TableHeading"/>
            </w:pPr>
            <w:r w:rsidRPr="00416235">
              <w:t>Commencement information</w:t>
            </w:r>
          </w:p>
        </w:tc>
      </w:tr>
      <w:tr w:rsidR="00F5638C" w:rsidRPr="00416235" w14:paraId="49190AA9" w14:textId="77777777" w:rsidTr="001C1A32">
        <w:trPr>
          <w:cantSplit/>
          <w:tblHeader/>
        </w:trPr>
        <w:tc>
          <w:tcPr>
            <w:tcW w:w="2127" w:type="dxa"/>
            <w:tcBorders>
              <w:top w:val="single" w:sz="6" w:space="0" w:color="auto"/>
              <w:left w:val="nil"/>
              <w:bottom w:val="single" w:sz="6" w:space="0" w:color="auto"/>
              <w:right w:val="nil"/>
            </w:tcBorders>
            <w:hideMark/>
          </w:tcPr>
          <w:p w14:paraId="56980857" w14:textId="77777777" w:rsidR="00F5638C" w:rsidRPr="00416235" w:rsidRDefault="00F5638C">
            <w:pPr>
              <w:pStyle w:val="TableHeading"/>
            </w:pPr>
            <w:r w:rsidRPr="00416235">
              <w:t>Column 1</w:t>
            </w:r>
          </w:p>
        </w:tc>
        <w:tc>
          <w:tcPr>
            <w:tcW w:w="4394" w:type="dxa"/>
            <w:tcBorders>
              <w:top w:val="single" w:sz="6" w:space="0" w:color="auto"/>
              <w:left w:val="nil"/>
              <w:bottom w:val="single" w:sz="6" w:space="0" w:color="auto"/>
              <w:right w:val="nil"/>
            </w:tcBorders>
            <w:hideMark/>
          </w:tcPr>
          <w:p w14:paraId="2184C933" w14:textId="77777777" w:rsidR="00F5638C" w:rsidRPr="00416235" w:rsidRDefault="00F5638C">
            <w:pPr>
              <w:pStyle w:val="TableHeading"/>
            </w:pPr>
            <w:r w:rsidRPr="00416235">
              <w:t>Column 2</w:t>
            </w:r>
          </w:p>
        </w:tc>
        <w:tc>
          <w:tcPr>
            <w:tcW w:w="1843" w:type="dxa"/>
            <w:tcBorders>
              <w:top w:val="single" w:sz="6" w:space="0" w:color="auto"/>
              <w:left w:val="nil"/>
              <w:bottom w:val="single" w:sz="6" w:space="0" w:color="auto"/>
              <w:right w:val="nil"/>
            </w:tcBorders>
            <w:hideMark/>
          </w:tcPr>
          <w:p w14:paraId="7E2769F6" w14:textId="77777777" w:rsidR="00F5638C" w:rsidRPr="00416235" w:rsidRDefault="00F5638C">
            <w:pPr>
              <w:pStyle w:val="TableHeading"/>
            </w:pPr>
            <w:r w:rsidRPr="00416235">
              <w:t>Column 3</w:t>
            </w:r>
          </w:p>
        </w:tc>
      </w:tr>
      <w:tr w:rsidR="00F5638C" w14:paraId="782F5205" w14:textId="77777777" w:rsidTr="001C1A32">
        <w:trPr>
          <w:cantSplit/>
          <w:tblHeader/>
        </w:trPr>
        <w:tc>
          <w:tcPr>
            <w:tcW w:w="2127" w:type="dxa"/>
            <w:tcBorders>
              <w:top w:val="single" w:sz="6" w:space="0" w:color="auto"/>
              <w:left w:val="nil"/>
              <w:bottom w:val="single" w:sz="12" w:space="0" w:color="auto"/>
              <w:right w:val="nil"/>
            </w:tcBorders>
            <w:hideMark/>
          </w:tcPr>
          <w:p w14:paraId="60BADED1" w14:textId="77777777" w:rsidR="00F5638C" w:rsidRPr="00416235" w:rsidRDefault="00F5638C">
            <w:pPr>
              <w:pStyle w:val="TableHeading"/>
            </w:pPr>
            <w:r w:rsidRPr="00416235">
              <w:t>Provisions</w:t>
            </w:r>
          </w:p>
        </w:tc>
        <w:tc>
          <w:tcPr>
            <w:tcW w:w="4394" w:type="dxa"/>
            <w:tcBorders>
              <w:top w:val="single" w:sz="6" w:space="0" w:color="auto"/>
              <w:left w:val="nil"/>
              <w:bottom w:val="single" w:sz="12" w:space="0" w:color="auto"/>
              <w:right w:val="nil"/>
            </w:tcBorders>
            <w:hideMark/>
          </w:tcPr>
          <w:p w14:paraId="7C02E791" w14:textId="77777777" w:rsidR="00F5638C" w:rsidRPr="00416235" w:rsidRDefault="00F5638C">
            <w:pPr>
              <w:pStyle w:val="TableHeading"/>
            </w:pPr>
            <w:r w:rsidRPr="00416235">
              <w:t>Commencement</w:t>
            </w:r>
          </w:p>
        </w:tc>
        <w:tc>
          <w:tcPr>
            <w:tcW w:w="1843" w:type="dxa"/>
            <w:tcBorders>
              <w:top w:val="single" w:sz="6" w:space="0" w:color="auto"/>
              <w:left w:val="nil"/>
              <w:bottom w:val="single" w:sz="12" w:space="0" w:color="auto"/>
              <w:right w:val="nil"/>
            </w:tcBorders>
            <w:hideMark/>
          </w:tcPr>
          <w:p w14:paraId="167A983E" w14:textId="77777777" w:rsidR="00F5638C" w:rsidRPr="00416235" w:rsidRDefault="00F5638C">
            <w:pPr>
              <w:pStyle w:val="TableHeading"/>
            </w:pPr>
            <w:r w:rsidRPr="00416235">
              <w:t>Date/Details</w:t>
            </w:r>
          </w:p>
        </w:tc>
      </w:tr>
      <w:tr w:rsidR="00F5638C" w14:paraId="5ABA0F57" w14:textId="77777777" w:rsidTr="001C1A32">
        <w:trPr>
          <w:cantSplit/>
        </w:trPr>
        <w:tc>
          <w:tcPr>
            <w:tcW w:w="2127" w:type="dxa"/>
            <w:tcBorders>
              <w:top w:val="single" w:sz="2" w:space="0" w:color="auto"/>
              <w:left w:val="nil"/>
              <w:bottom w:val="single" w:sz="12" w:space="0" w:color="auto"/>
              <w:right w:val="nil"/>
            </w:tcBorders>
            <w:hideMark/>
          </w:tcPr>
          <w:p w14:paraId="56FDC2E3" w14:textId="026639DF" w:rsidR="00F5638C" w:rsidRDefault="001C1A32">
            <w:pPr>
              <w:pStyle w:val="Tabletext"/>
            </w:pPr>
            <w:r>
              <w:t>1</w:t>
            </w:r>
            <w:r w:rsidR="00F5638C">
              <w:t xml:space="preserve">.  </w:t>
            </w:r>
            <w:r>
              <w:t>The whole of this instrument</w:t>
            </w:r>
          </w:p>
        </w:tc>
        <w:tc>
          <w:tcPr>
            <w:tcW w:w="4394" w:type="dxa"/>
            <w:tcBorders>
              <w:top w:val="single" w:sz="2" w:space="0" w:color="auto"/>
              <w:left w:val="nil"/>
              <w:bottom w:val="single" w:sz="12" w:space="0" w:color="auto"/>
              <w:right w:val="nil"/>
            </w:tcBorders>
          </w:tcPr>
          <w:p w14:paraId="17B47E5B" w14:textId="77777777" w:rsidR="00790711" w:rsidRDefault="00790711" w:rsidP="00790711">
            <w:pPr>
              <w:pStyle w:val="Tabletext"/>
            </w:pPr>
            <w:r>
              <w:t>The later of:</w:t>
            </w:r>
          </w:p>
          <w:p w14:paraId="02603A5C" w14:textId="77777777" w:rsidR="00790711" w:rsidRPr="00CB2D9A" w:rsidRDefault="00790711" w:rsidP="001B3F80">
            <w:pPr>
              <w:pStyle w:val="Tablea"/>
            </w:pPr>
            <w:r w:rsidRPr="00CB2D9A">
              <w:t>(a) 1 July 2024; and</w:t>
            </w:r>
          </w:p>
          <w:p w14:paraId="602A668A" w14:textId="72B3C86D" w:rsidR="00666417" w:rsidRDefault="00790711" w:rsidP="001B3F80">
            <w:pPr>
              <w:pStyle w:val="Tablea"/>
            </w:pPr>
            <w:r w:rsidRPr="00CB2D9A">
              <w:t>(b) the day after this instrument is registered.</w:t>
            </w:r>
          </w:p>
        </w:tc>
        <w:tc>
          <w:tcPr>
            <w:tcW w:w="1843" w:type="dxa"/>
            <w:tcBorders>
              <w:top w:val="single" w:sz="2" w:space="0" w:color="auto"/>
              <w:left w:val="nil"/>
              <w:bottom w:val="single" w:sz="12" w:space="0" w:color="auto"/>
              <w:right w:val="nil"/>
            </w:tcBorders>
          </w:tcPr>
          <w:p w14:paraId="55ACA16F" w14:textId="77777777" w:rsidR="00F5638C" w:rsidRDefault="00F5638C">
            <w:pPr>
              <w:pStyle w:val="Tabletext"/>
            </w:pPr>
          </w:p>
        </w:tc>
      </w:tr>
    </w:tbl>
    <w:p w14:paraId="2EEB6BA7"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188DA07D" w14:textId="77777777" w:rsidR="00F5638C" w:rsidRPr="00FB7638" w:rsidRDefault="00F5638C" w:rsidP="00F5638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59A1A535" w14:textId="77777777" w:rsidR="00F5638C" w:rsidRDefault="00F5638C" w:rsidP="00F5638C">
      <w:pPr>
        <w:pStyle w:val="ActHead5"/>
      </w:pPr>
      <w:bookmarkStart w:id="18" w:name="_Toc168307767"/>
      <w:r>
        <w:t>3  Authority</w:t>
      </w:r>
      <w:bookmarkEnd w:id="18"/>
    </w:p>
    <w:p w14:paraId="294BD532" w14:textId="4C678ECB" w:rsidR="00F5638C" w:rsidRPr="007769D4" w:rsidRDefault="00F5638C" w:rsidP="00F5638C">
      <w:pPr>
        <w:pStyle w:val="subsection"/>
      </w:pPr>
      <w:r>
        <w:tab/>
      </w:r>
      <w:r>
        <w:tab/>
        <w:t xml:space="preserve">This instrument is made under the </w:t>
      </w:r>
      <w:r w:rsidR="001C1A32" w:rsidRPr="001C1A32">
        <w:rPr>
          <w:i/>
        </w:rPr>
        <w:t>Housing Australia Act 2018</w:t>
      </w:r>
      <w:r>
        <w:rPr>
          <w:i/>
        </w:rPr>
        <w:t>.</w:t>
      </w:r>
    </w:p>
    <w:p w14:paraId="5D3EAB11" w14:textId="77777777" w:rsidR="00F5638C" w:rsidRDefault="00F5638C" w:rsidP="00F5638C">
      <w:pPr>
        <w:pStyle w:val="ActHead5"/>
      </w:pPr>
      <w:bookmarkStart w:id="19" w:name="_Toc168307768"/>
      <w:r>
        <w:t>4  Schedules</w:t>
      </w:r>
      <w:bookmarkEnd w:id="19"/>
    </w:p>
    <w:p w14:paraId="48358517"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483F9BFF" w14:textId="77777777" w:rsidR="00F5638C" w:rsidRDefault="00F5638C" w:rsidP="00F5638C">
      <w:pPr>
        <w:pStyle w:val="ActHead6"/>
        <w:pageBreakBefore/>
      </w:pPr>
      <w:bookmarkStart w:id="20" w:name="_Toc168307769"/>
      <w:r w:rsidRPr="00291167">
        <w:rPr>
          <w:rStyle w:val="CharAmSchNo"/>
        </w:rPr>
        <w:lastRenderedPageBreak/>
        <w:t>Schedule 1</w:t>
      </w:r>
      <w:r>
        <w:t>—</w:t>
      </w:r>
      <w:r w:rsidRPr="00291167">
        <w:rPr>
          <w:rStyle w:val="CharAmSchText"/>
        </w:rPr>
        <w:t>Amendments</w:t>
      </w:r>
      <w:bookmarkEnd w:id="20"/>
    </w:p>
    <w:p w14:paraId="4B505AE8" w14:textId="77777777" w:rsidR="00F5638C" w:rsidRDefault="00F5638C" w:rsidP="00F5638C">
      <w:pPr>
        <w:pStyle w:val="Header"/>
      </w:pPr>
      <w:r>
        <w:t xml:space="preserve">  </w:t>
      </w:r>
    </w:p>
    <w:p w14:paraId="17AE12ED" w14:textId="77777777" w:rsidR="001C1A32" w:rsidRDefault="001C1A32" w:rsidP="001C1A32">
      <w:pPr>
        <w:pStyle w:val="ActHead9"/>
      </w:pPr>
      <w:bookmarkStart w:id="21" w:name="_Toc168307770"/>
      <w:r>
        <w:t xml:space="preserve">Housing Australia Investment </w:t>
      </w:r>
      <w:r w:rsidRPr="001C1A32">
        <w:t>Mandate</w:t>
      </w:r>
      <w:r>
        <w:t xml:space="preserve"> Direction 2018</w:t>
      </w:r>
      <w:bookmarkEnd w:id="21"/>
    </w:p>
    <w:p w14:paraId="0C18BC8F" w14:textId="77777777" w:rsidR="001C1A32" w:rsidRDefault="001C1A32" w:rsidP="001C1A32">
      <w:pPr>
        <w:pStyle w:val="ItemHead"/>
      </w:pPr>
      <w:r>
        <w:t>1  Section 4</w:t>
      </w:r>
    </w:p>
    <w:p w14:paraId="2C065EBE" w14:textId="77777777" w:rsidR="001C1A32" w:rsidRPr="001C1A32" w:rsidRDefault="001C1A32" w:rsidP="001C1A32">
      <w:pPr>
        <w:pStyle w:val="Item"/>
      </w:pPr>
      <w:r w:rsidRPr="001C1A32">
        <w:t>Insert:</w:t>
      </w:r>
    </w:p>
    <w:p w14:paraId="0B6D599F" w14:textId="18947AA0" w:rsidR="001C1A32" w:rsidRDefault="001C1A32" w:rsidP="001C1A32">
      <w:pPr>
        <w:pStyle w:val="Definition"/>
      </w:pPr>
      <w:r w:rsidRPr="001C1A32">
        <w:rPr>
          <w:b/>
          <w:bCs/>
          <w:i/>
          <w:iCs/>
        </w:rPr>
        <w:t>HAFFF availability payment</w:t>
      </w:r>
      <w:r>
        <w:t>—see subsection 28N(</w:t>
      </w:r>
      <w:r w:rsidR="00595534">
        <w:t>4</w:t>
      </w:r>
      <w:r>
        <w:t>).</w:t>
      </w:r>
    </w:p>
    <w:p w14:paraId="30959B5D" w14:textId="66146B5A" w:rsidR="001C1A32" w:rsidRDefault="001C1A32" w:rsidP="001C1A32">
      <w:pPr>
        <w:pStyle w:val="Definition"/>
      </w:pPr>
      <w:r w:rsidRPr="001C1A32">
        <w:rPr>
          <w:b/>
          <w:bCs/>
          <w:i/>
          <w:iCs/>
        </w:rPr>
        <w:t>HAFFF upfront grant</w:t>
      </w:r>
      <w:r>
        <w:t>—see subsection 28N(</w:t>
      </w:r>
      <w:r w:rsidR="00595534">
        <w:t>4</w:t>
      </w:r>
      <w:r>
        <w:t>).</w:t>
      </w:r>
    </w:p>
    <w:p w14:paraId="1401CF76" w14:textId="03B61E11" w:rsidR="001C1A32" w:rsidRDefault="008C0E9E" w:rsidP="001C1A32">
      <w:pPr>
        <w:pStyle w:val="Definition"/>
      </w:pPr>
      <w:r>
        <w:rPr>
          <w:b/>
          <w:bCs/>
          <w:i/>
          <w:iCs/>
        </w:rPr>
        <w:t>i</w:t>
      </w:r>
      <w:r w:rsidR="001C1A32" w:rsidRPr="001C1A32">
        <w:rPr>
          <w:b/>
          <w:bCs/>
          <w:i/>
          <w:iCs/>
        </w:rPr>
        <w:t>ndex number</w:t>
      </w:r>
      <w:r w:rsidR="001C1A32">
        <w:t>—see section 4B.</w:t>
      </w:r>
    </w:p>
    <w:p w14:paraId="2480AD8C" w14:textId="375B73A9" w:rsidR="001C1A32" w:rsidRDefault="00351C6A" w:rsidP="001C1A32">
      <w:pPr>
        <w:pStyle w:val="ItemHead"/>
      </w:pPr>
      <w:r>
        <w:t>2</w:t>
      </w:r>
      <w:r w:rsidR="001C1A32">
        <w:t xml:space="preserve">  After section 4A</w:t>
      </w:r>
    </w:p>
    <w:p w14:paraId="778E98DE" w14:textId="77777777" w:rsidR="001C1A32" w:rsidRPr="001C1A32" w:rsidRDefault="001C1A32" w:rsidP="001C1A32">
      <w:pPr>
        <w:pStyle w:val="Item"/>
      </w:pPr>
      <w:r>
        <w:t>Insert:</w:t>
      </w:r>
    </w:p>
    <w:p w14:paraId="348B61A7" w14:textId="77777777" w:rsidR="001C1A32" w:rsidRDefault="001C1A32" w:rsidP="001C1A32">
      <w:pPr>
        <w:pStyle w:val="ActHead5"/>
      </w:pPr>
      <w:bookmarkStart w:id="22" w:name="_Toc168307771"/>
      <w:r>
        <w:t>4B  Meaning of index number</w:t>
      </w:r>
      <w:bookmarkEnd w:id="22"/>
    </w:p>
    <w:p w14:paraId="622E17D0" w14:textId="77777777" w:rsidR="001C1A32" w:rsidRDefault="001C1A32" w:rsidP="001C1A32">
      <w:pPr>
        <w:pStyle w:val="subsection"/>
      </w:pPr>
      <w:r>
        <w:tab/>
        <w:t>(1)</w:t>
      </w:r>
      <w:r>
        <w:tab/>
        <w:t xml:space="preserve">The </w:t>
      </w:r>
      <w:r w:rsidRPr="00E67EDF">
        <w:rPr>
          <w:b/>
          <w:bCs/>
          <w:i/>
          <w:iCs/>
        </w:rPr>
        <w:t>index number</w:t>
      </w:r>
      <w:r>
        <w:t xml:space="preserve"> for a quarter is the All Groups Consumer Price Index number (being the weighted average of the 8 capital cities) published by the Australian Statistician in respect of that quarter.</w:t>
      </w:r>
    </w:p>
    <w:p w14:paraId="1D545FBB" w14:textId="77777777" w:rsidR="001C1A32" w:rsidRDefault="001C1A32" w:rsidP="001C1A32">
      <w:pPr>
        <w:pStyle w:val="subsection"/>
      </w:pPr>
      <w:r>
        <w:tab/>
        <w:t>(2)</w:t>
      </w:r>
      <w:r>
        <w:tab/>
        <w:t>Subject to subsection (3), if, at any time before or after the commencement of this instrument:</w:t>
      </w:r>
    </w:p>
    <w:p w14:paraId="48E94241" w14:textId="77777777" w:rsidR="001C1A32" w:rsidRPr="001C1A32" w:rsidRDefault="001C1A32" w:rsidP="001C1A32">
      <w:pPr>
        <w:pStyle w:val="paragraph"/>
      </w:pPr>
      <w:r w:rsidRPr="001C1A32">
        <w:tab/>
        <w:t>(a)</w:t>
      </w:r>
      <w:r w:rsidRPr="001C1A32">
        <w:tab/>
        <w:t>the Australian Statistician has published or publishes an index number in respect of a quarter; and</w:t>
      </w:r>
    </w:p>
    <w:p w14:paraId="379F8FBB" w14:textId="77777777" w:rsidR="001C1A32" w:rsidRPr="001C1A32" w:rsidRDefault="001C1A32" w:rsidP="001C1A32">
      <w:pPr>
        <w:pStyle w:val="paragraph"/>
      </w:pPr>
      <w:r w:rsidRPr="001C1A32">
        <w:tab/>
        <w:t>(b)</w:t>
      </w:r>
      <w:r w:rsidRPr="001C1A32">
        <w:tab/>
        <w:t>that index number is in substitution for an index number previously published by the Australian Statistician in respect of that quarter;</w:t>
      </w:r>
    </w:p>
    <w:p w14:paraId="7F59C3C9" w14:textId="77777777" w:rsidR="001C1A32" w:rsidRPr="001C1A32" w:rsidRDefault="001C1A32" w:rsidP="001C1A32">
      <w:pPr>
        <w:pStyle w:val="subsection2"/>
      </w:pPr>
      <w:r>
        <w:t>disregard the publication of the later index number for the purposes of this section.</w:t>
      </w:r>
    </w:p>
    <w:p w14:paraId="31B8E178" w14:textId="77777777" w:rsidR="001C1A32" w:rsidRDefault="001C1A32" w:rsidP="00E67EDF">
      <w:pPr>
        <w:pStyle w:val="subsection"/>
      </w:pPr>
      <w:r>
        <w:tab/>
        <w:t>(3)</w:t>
      </w:r>
      <w:r>
        <w:tab/>
        <w:t>If, at any time before or after the commencement of this instrument, the Australian Statistician has changed or changes the index reference period for the Consumer Price Index, then, for the purposes of applying this section after the change took place or takes place, have regard only to index numbers published in terms of the new index reference period.</w:t>
      </w:r>
    </w:p>
    <w:p w14:paraId="1CAE7E5B" w14:textId="10B6AA45" w:rsidR="001C1A32" w:rsidRDefault="00351C6A" w:rsidP="001C1A32">
      <w:pPr>
        <w:pStyle w:val="ItemHead"/>
      </w:pPr>
      <w:r>
        <w:t>3</w:t>
      </w:r>
      <w:r w:rsidR="001C1A32">
        <w:t xml:space="preserve">  Subsection 11(2)</w:t>
      </w:r>
    </w:p>
    <w:p w14:paraId="6D3220A7" w14:textId="77777777" w:rsidR="001C1A32" w:rsidRDefault="001C1A32" w:rsidP="00E67EDF">
      <w:pPr>
        <w:pStyle w:val="Item"/>
      </w:pPr>
      <w:r>
        <w:t xml:space="preserve">Omit “$1 billion”, </w:t>
      </w:r>
      <w:r w:rsidRPr="00E67EDF">
        <w:t>substitute</w:t>
      </w:r>
      <w:r>
        <w:t xml:space="preserve"> “$4 billion”.</w:t>
      </w:r>
    </w:p>
    <w:p w14:paraId="23CA9816" w14:textId="58D319E7" w:rsidR="00106E27" w:rsidRDefault="00A74E8B" w:rsidP="001C1A32">
      <w:pPr>
        <w:pStyle w:val="ItemHead"/>
      </w:pPr>
      <w:r>
        <w:t>4</w:t>
      </w:r>
      <w:r w:rsidR="00106E27">
        <w:t xml:space="preserve">  </w:t>
      </w:r>
      <w:r w:rsidR="00445DAE">
        <w:t>Subsection 15(1)</w:t>
      </w:r>
    </w:p>
    <w:p w14:paraId="2FFE799A" w14:textId="30913804" w:rsidR="00445DAE" w:rsidRDefault="00445DAE" w:rsidP="00445DAE">
      <w:pPr>
        <w:pStyle w:val="Item"/>
      </w:pPr>
      <w:r>
        <w:t>Omit “</w:t>
      </w:r>
      <w:r w:rsidR="00007436">
        <w:t>$175 million”, substitute “$176.5 million”.</w:t>
      </w:r>
    </w:p>
    <w:p w14:paraId="6AB20A5A" w14:textId="2186B83F" w:rsidR="00BF1E5B" w:rsidRDefault="00A74E8B" w:rsidP="00BF1E5B">
      <w:pPr>
        <w:pStyle w:val="ItemHead"/>
      </w:pPr>
      <w:r>
        <w:t>5</w:t>
      </w:r>
      <w:r w:rsidR="00BF1E5B">
        <w:t xml:space="preserve">  Subsection 15(2)</w:t>
      </w:r>
    </w:p>
    <w:p w14:paraId="2667E500" w14:textId="4E3393D4" w:rsidR="00BF1E5B" w:rsidRDefault="00BF1E5B" w:rsidP="00BF1E5B">
      <w:pPr>
        <w:pStyle w:val="Item"/>
      </w:pPr>
      <w:r>
        <w:t>Omit “$1.5 million”, substitute “$3 million”.</w:t>
      </w:r>
    </w:p>
    <w:p w14:paraId="371B9E54" w14:textId="2F756F4C" w:rsidR="001C1A32" w:rsidRDefault="00A74E8B" w:rsidP="001C1A32">
      <w:pPr>
        <w:pStyle w:val="ItemHead"/>
      </w:pPr>
      <w:r>
        <w:t>6</w:t>
      </w:r>
      <w:r w:rsidR="001C1A32">
        <w:t xml:space="preserve">  Paragraph 28H(3)(b)</w:t>
      </w:r>
    </w:p>
    <w:p w14:paraId="3995D981" w14:textId="77777777" w:rsidR="001C1A32" w:rsidRDefault="001C1A32" w:rsidP="00E67EDF">
      <w:pPr>
        <w:pStyle w:val="Item"/>
      </w:pPr>
      <w:r>
        <w:t>After “rates”, insert “(</w:t>
      </w:r>
      <w:r w:rsidRPr="00E67EDF">
        <w:t>including</w:t>
      </w:r>
      <w:r>
        <w:t xml:space="preserve"> no interest)”.</w:t>
      </w:r>
    </w:p>
    <w:p w14:paraId="44C5ED4C" w14:textId="1A13A9D0" w:rsidR="001C1A32" w:rsidRDefault="00A74E8B" w:rsidP="001C1A32">
      <w:pPr>
        <w:pStyle w:val="ItemHead"/>
      </w:pPr>
      <w:r>
        <w:lastRenderedPageBreak/>
        <w:t>7</w:t>
      </w:r>
      <w:r w:rsidR="001C1A32">
        <w:t xml:space="preserve">  Subsection 28K</w:t>
      </w:r>
    </w:p>
    <w:p w14:paraId="782D68BA" w14:textId="77777777" w:rsidR="001C1A32" w:rsidRPr="00E67EDF" w:rsidRDefault="001C1A32" w:rsidP="00E67EDF">
      <w:pPr>
        <w:pStyle w:val="Item"/>
      </w:pPr>
      <w:r>
        <w:t>Omit “(1)”.</w:t>
      </w:r>
    </w:p>
    <w:p w14:paraId="0117ABE6" w14:textId="42B66FBD" w:rsidR="001C1A32" w:rsidRDefault="00A74E8B" w:rsidP="001C1A32">
      <w:pPr>
        <w:pStyle w:val="ItemHead"/>
      </w:pPr>
      <w:r>
        <w:t>8</w:t>
      </w:r>
      <w:r w:rsidR="001C1A32">
        <w:t xml:space="preserve">  Subsections 28K(2) and (3)</w:t>
      </w:r>
    </w:p>
    <w:p w14:paraId="042A41A4" w14:textId="77777777" w:rsidR="001C1A32" w:rsidRDefault="001C1A32" w:rsidP="00E67EDF">
      <w:pPr>
        <w:pStyle w:val="Item"/>
      </w:pPr>
      <w:r>
        <w:t xml:space="preserve">Repeal the </w:t>
      </w:r>
      <w:r w:rsidRPr="00E67EDF">
        <w:t>subsections</w:t>
      </w:r>
      <w:r>
        <w:t>.</w:t>
      </w:r>
    </w:p>
    <w:p w14:paraId="6424F510" w14:textId="6B0393C9" w:rsidR="001C1A32" w:rsidRDefault="00A74E8B" w:rsidP="001C1A32">
      <w:pPr>
        <w:pStyle w:val="ItemHead"/>
      </w:pPr>
      <w:r>
        <w:t>9</w:t>
      </w:r>
      <w:r w:rsidR="001C1A32">
        <w:t xml:space="preserve">  Section 28N</w:t>
      </w:r>
    </w:p>
    <w:p w14:paraId="78DA4CE5" w14:textId="77777777" w:rsidR="001C1A32" w:rsidRDefault="001C1A32" w:rsidP="00E67EDF">
      <w:pPr>
        <w:pStyle w:val="Item"/>
      </w:pPr>
      <w:r>
        <w:t xml:space="preserve">Repeal the section, </w:t>
      </w:r>
      <w:r w:rsidRPr="00E67EDF">
        <w:t>substitute</w:t>
      </w:r>
      <w:r>
        <w:t>:</w:t>
      </w:r>
    </w:p>
    <w:p w14:paraId="69C4E539" w14:textId="77777777" w:rsidR="001C1A32" w:rsidRDefault="001C1A32" w:rsidP="00E67EDF">
      <w:pPr>
        <w:pStyle w:val="ActHead5"/>
      </w:pPr>
      <w:bookmarkStart w:id="23" w:name="_Toc168307772"/>
      <w:r>
        <w:t>28N  Limits on making loans and grants for the purposes of this Part</w:t>
      </w:r>
      <w:bookmarkEnd w:id="23"/>
    </w:p>
    <w:p w14:paraId="419ABB9C" w14:textId="77777777" w:rsidR="001C1A32" w:rsidRDefault="001C1A32" w:rsidP="00E67EDF">
      <w:pPr>
        <w:pStyle w:val="subsection"/>
      </w:pPr>
      <w:r>
        <w:tab/>
        <w:t>(1)</w:t>
      </w:r>
      <w:r>
        <w:tab/>
        <w:t>For the purposes of subparagraph 13(c)(i) of the Act, this section specifies limits on making loans and grants under the HAFFF.</w:t>
      </w:r>
    </w:p>
    <w:p w14:paraId="681C2BD5" w14:textId="77777777" w:rsidR="001C1A32" w:rsidRDefault="001C1A32" w:rsidP="00E67EDF">
      <w:pPr>
        <w:pStyle w:val="notetext"/>
      </w:pPr>
      <w:r>
        <w:t xml:space="preserve">Note: </w:t>
      </w:r>
      <w:r>
        <w:tab/>
        <w:t xml:space="preserve">It is </w:t>
      </w:r>
      <w:r w:rsidRPr="00E67EDF">
        <w:t>intended</w:t>
      </w:r>
      <w:r>
        <w:t xml:space="preserve"> that the monetary limits specified in this section will be increased from time to time.</w:t>
      </w:r>
    </w:p>
    <w:p w14:paraId="1BCA7441" w14:textId="77777777" w:rsidR="001C1A32" w:rsidRDefault="001C1A32" w:rsidP="00E67EDF">
      <w:pPr>
        <w:pStyle w:val="SubsectionHead"/>
      </w:pPr>
      <w:r>
        <w:t xml:space="preserve">Limits on </w:t>
      </w:r>
      <w:r w:rsidRPr="00E67EDF">
        <w:t>loans</w:t>
      </w:r>
    </w:p>
    <w:p w14:paraId="40DAAE57" w14:textId="77777777" w:rsidR="001C1A32" w:rsidRDefault="001C1A32" w:rsidP="00E67EDF">
      <w:pPr>
        <w:pStyle w:val="subsection"/>
      </w:pPr>
      <w:r>
        <w:tab/>
        <w:t>(2)</w:t>
      </w:r>
      <w:r>
        <w:tab/>
        <w:t>A loan made under the HAFFF must:</w:t>
      </w:r>
    </w:p>
    <w:p w14:paraId="205F1972" w14:textId="1C8257F4" w:rsidR="001C1A32" w:rsidRPr="00E67EDF" w:rsidRDefault="001C1A32" w:rsidP="00E67EDF">
      <w:pPr>
        <w:pStyle w:val="paragraph"/>
      </w:pPr>
      <w:r w:rsidRPr="00E67EDF">
        <w:tab/>
        <w:t>(a)</w:t>
      </w:r>
      <w:r w:rsidRPr="00E67EDF">
        <w:tab/>
        <w:t xml:space="preserve">be a </w:t>
      </w:r>
      <w:r w:rsidR="008D360F">
        <w:t xml:space="preserve">no </w:t>
      </w:r>
      <w:r w:rsidRPr="00E67EDF">
        <w:t>interest loan to finance a HAFFF project that increases available social or affordable housing, or both; and</w:t>
      </w:r>
    </w:p>
    <w:p w14:paraId="7B5FFC15" w14:textId="1F7AE815" w:rsidR="001C1A32" w:rsidRPr="00E67EDF" w:rsidRDefault="001C1A32" w:rsidP="00E67EDF">
      <w:pPr>
        <w:pStyle w:val="paragraph"/>
      </w:pPr>
      <w:r w:rsidRPr="00E67EDF">
        <w:tab/>
        <w:t>(b)</w:t>
      </w:r>
      <w:r w:rsidRPr="00E67EDF">
        <w:tab/>
        <w:t xml:space="preserve">be made on </w:t>
      </w:r>
      <w:r w:rsidR="0053576B">
        <w:t>or after</w:t>
      </w:r>
      <w:r w:rsidR="00564FE2">
        <w:t xml:space="preserve"> 1 July 2024 </w:t>
      </w:r>
      <w:r w:rsidRPr="00E67EDF">
        <w:t>and before 1 July 2029; and</w:t>
      </w:r>
    </w:p>
    <w:p w14:paraId="2C56B162" w14:textId="77777777" w:rsidR="001C1A32" w:rsidRPr="00E67EDF" w:rsidRDefault="001C1A32" w:rsidP="00E67EDF">
      <w:pPr>
        <w:pStyle w:val="paragraph"/>
      </w:pPr>
      <w:r w:rsidRPr="00E67EDF">
        <w:tab/>
        <w:t>(c)</w:t>
      </w:r>
      <w:r w:rsidRPr="00E67EDF">
        <w:tab/>
        <w:t>be made only to a project proponent mentioned in paragraph 28F(1)(f), (g), (h) or (i).</w:t>
      </w:r>
    </w:p>
    <w:p w14:paraId="14DFCAE8" w14:textId="15C8FE53" w:rsidR="001C1A32" w:rsidRDefault="001C1A32" w:rsidP="00E67EDF">
      <w:pPr>
        <w:pStyle w:val="subsection"/>
      </w:pPr>
      <w:r>
        <w:tab/>
        <w:t>(</w:t>
      </w:r>
      <w:r w:rsidR="00CB1F99">
        <w:t>3</w:t>
      </w:r>
      <w:r>
        <w:t>)</w:t>
      </w:r>
      <w:r>
        <w:tab/>
        <w:t xml:space="preserve">The sum of all loans made under the HAFFF during the period specified in </w:t>
      </w:r>
      <w:r w:rsidR="00BA5ECF">
        <w:t>paragraph</w:t>
      </w:r>
      <w:r>
        <w:t xml:space="preserve"> (2)</w:t>
      </w:r>
      <w:r w:rsidR="00BA5ECF">
        <w:t>(b)</w:t>
      </w:r>
      <w:r>
        <w:t xml:space="preserve"> must not exceed $1.53</w:t>
      </w:r>
      <w:r w:rsidR="00947EEC">
        <w:t>1</w:t>
      </w:r>
      <w:r>
        <w:t xml:space="preserve"> billion.</w:t>
      </w:r>
    </w:p>
    <w:p w14:paraId="6877D2A3" w14:textId="77777777" w:rsidR="001C1A32" w:rsidRDefault="001C1A32" w:rsidP="00E67EDF">
      <w:pPr>
        <w:pStyle w:val="SubsectionHead"/>
      </w:pPr>
      <w:r>
        <w:t xml:space="preserve">Limits on </w:t>
      </w:r>
      <w:r w:rsidRPr="00E67EDF">
        <w:t>grants</w:t>
      </w:r>
    </w:p>
    <w:p w14:paraId="57D8A56F" w14:textId="408DEEE5" w:rsidR="001C1A32" w:rsidRDefault="001C1A32" w:rsidP="00E67EDF">
      <w:pPr>
        <w:pStyle w:val="subsection"/>
      </w:pPr>
      <w:r>
        <w:tab/>
        <w:t>(</w:t>
      </w:r>
      <w:r w:rsidR="00CB1F99">
        <w:t>4</w:t>
      </w:r>
      <w:r>
        <w:t>)</w:t>
      </w:r>
      <w:r>
        <w:tab/>
        <w:t>A grant made under the HAFFF must be either:</w:t>
      </w:r>
    </w:p>
    <w:p w14:paraId="2D4F7495" w14:textId="77777777" w:rsidR="001C1A32" w:rsidRPr="00E67EDF" w:rsidRDefault="001C1A32" w:rsidP="00E67EDF">
      <w:pPr>
        <w:pStyle w:val="paragraph"/>
      </w:pPr>
      <w:r w:rsidRPr="00E67EDF">
        <w:tab/>
        <w:t>(a)</w:t>
      </w:r>
      <w:r w:rsidRPr="00E67EDF">
        <w:tab/>
        <w:t xml:space="preserve">a recurring grant made over a period of 25 years to finance a HAFFF project that increases available social or affordable housing, or both (a </w:t>
      </w:r>
      <w:r w:rsidRPr="00E67EDF">
        <w:rPr>
          <w:b/>
          <w:bCs/>
          <w:i/>
          <w:iCs/>
        </w:rPr>
        <w:t>HAFFF availability payment</w:t>
      </w:r>
      <w:r w:rsidRPr="00E67EDF">
        <w:t>); or</w:t>
      </w:r>
    </w:p>
    <w:p w14:paraId="5C384920" w14:textId="77777777" w:rsidR="001C1A32" w:rsidRPr="00E67EDF" w:rsidRDefault="001C1A32" w:rsidP="00E67EDF">
      <w:pPr>
        <w:pStyle w:val="paragraph"/>
      </w:pPr>
      <w:r w:rsidRPr="00E67EDF">
        <w:tab/>
        <w:t>(b)</w:t>
      </w:r>
      <w:r w:rsidRPr="00E67EDF">
        <w:tab/>
        <w:t xml:space="preserve">a one-off grant to finance a HAFFF project that increases available social housing (a </w:t>
      </w:r>
      <w:r w:rsidRPr="00E67EDF">
        <w:rPr>
          <w:b/>
          <w:bCs/>
          <w:i/>
          <w:iCs/>
        </w:rPr>
        <w:t>HAFFF upfront grant</w:t>
      </w:r>
      <w:r w:rsidRPr="00E67EDF">
        <w:t>).</w:t>
      </w:r>
    </w:p>
    <w:p w14:paraId="765A3806" w14:textId="0855FAD9" w:rsidR="001C1A32" w:rsidRDefault="001C1A32" w:rsidP="00E67EDF">
      <w:pPr>
        <w:pStyle w:val="subsection"/>
      </w:pPr>
      <w:r>
        <w:tab/>
        <w:t>(</w:t>
      </w:r>
      <w:r w:rsidR="00CB1F99">
        <w:t>5</w:t>
      </w:r>
      <w:r>
        <w:t>)</w:t>
      </w:r>
      <w:r>
        <w:tab/>
        <w:t>The annual limit for the sum of all HAFFF availability payments is:</w:t>
      </w:r>
    </w:p>
    <w:p w14:paraId="4D8B9D98" w14:textId="52C54A7B" w:rsidR="001C1A32" w:rsidRPr="00E67EDF" w:rsidRDefault="001C1A32" w:rsidP="00F460BB">
      <w:pPr>
        <w:pStyle w:val="paragraph"/>
      </w:pPr>
      <w:r w:rsidRPr="00E67EDF">
        <w:tab/>
        <w:t>(a)</w:t>
      </w:r>
      <w:r w:rsidRPr="00E67EDF">
        <w:tab/>
        <w:t>for the 2024-25 financial year</w:t>
      </w:r>
      <w:r w:rsidR="00F460BB">
        <w:t xml:space="preserve"> and each later </w:t>
      </w:r>
      <w:r w:rsidRPr="00E67EDF">
        <w:t xml:space="preserve">financial </w:t>
      </w:r>
      <w:r w:rsidR="00685624">
        <w:t xml:space="preserve">year </w:t>
      </w:r>
      <w:r w:rsidRPr="00E67EDF">
        <w:t xml:space="preserve">until the end of </w:t>
      </w:r>
      <w:r w:rsidR="00685624">
        <w:t xml:space="preserve">the </w:t>
      </w:r>
      <w:r w:rsidRPr="00E67EDF">
        <w:t>202</w:t>
      </w:r>
      <w:r w:rsidR="00965EF8">
        <w:t>8</w:t>
      </w:r>
      <w:r w:rsidR="00CB2E41">
        <w:t>-</w:t>
      </w:r>
      <w:r w:rsidR="00965EF8">
        <w:t>29</w:t>
      </w:r>
      <w:r w:rsidRPr="00E67EDF">
        <w:t xml:space="preserve"> financial year—</w:t>
      </w:r>
      <w:r w:rsidR="00F460BB">
        <w:t>$288 million</w:t>
      </w:r>
      <w:r w:rsidRPr="00E67EDF">
        <w:t>; and</w:t>
      </w:r>
    </w:p>
    <w:p w14:paraId="00299C93" w14:textId="55312071" w:rsidR="001C1A32" w:rsidRPr="00E67EDF" w:rsidRDefault="001C1A32" w:rsidP="00E67EDF">
      <w:pPr>
        <w:pStyle w:val="paragraph"/>
      </w:pPr>
      <w:r w:rsidRPr="00E67EDF">
        <w:tab/>
        <w:t>(</w:t>
      </w:r>
      <w:r w:rsidR="00F460BB">
        <w:t>b</w:t>
      </w:r>
      <w:r w:rsidRPr="00E67EDF">
        <w:t>)</w:t>
      </w:r>
      <w:r w:rsidRPr="00E67EDF">
        <w:tab/>
        <w:t>for the 20</w:t>
      </w:r>
      <w:r w:rsidR="00965EF8">
        <w:t>29</w:t>
      </w:r>
      <w:r w:rsidRPr="00E67EDF">
        <w:t>-</w:t>
      </w:r>
      <w:r w:rsidR="00965EF8">
        <w:t>30</w:t>
      </w:r>
      <w:r w:rsidRPr="00E67EDF">
        <w:t xml:space="preserve"> financial year and each later financial year—$288 million (as indexed </w:t>
      </w:r>
      <w:r w:rsidR="002178D3">
        <w:t xml:space="preserve">annually </w:t>
      </w:r>
      <w:r w:rsidRPr="00E67EDF">
        <w:t>in accordance with section 28NA).</w:t>
      </w:r>
    </w:p>
    <w:p w14:paraId="57686A66" w14:textId="1A6DDD23" w:rsidR="001C1A32" w:rsidRDefault="001C1A32" w:rsidP="00E67EDF">
      <w:pPr>
        <w:pStyle w:val="subsection"/>
      </w:pPr>
      <w:r>
        <w:tab/>
        <w:t>(</w:t>
      </w:r>
      <w:r w:rsidR="00CB1F99">
        <w:t>6</w:t>
      </w:r>
      <w:r>
        <w:t>)</w:t>
      </w:r>
      <w:r>
        <w:tab/>
        <w:t xml:space="preserve">The </w:t>
      </w:r>
      <w:r w:rsidR="00AF7343">
        <w:t xml:space="preserve">annual </w:t>
      </w:r>
      <w:r>
        <w:t>limit for the sum of all HAFFF upfront grants is:</w:t>
      </w:r>
    </w:p>
    <w:p w14:paraId="5BC6B155" w14:textId="77777777" w:rsidR="001C1A32" w:rsidRPr="00E67EDF" w:rsidRDefault="001C1A32" w:rsidP="00E67EDF">
      <w:pPr>
        <w:pStyle w:val="paragraph"/>
      </w:pPr>
      <w:r w:rsidRPr="00E67EDF">
        <w:tab/>
        <w:t>(a)</w:t>
      </w:r>
      <w:r w:rsidRPr="00E67EDF">
        <w:tab/>
        <w:t>for the 2024-25 financial year—$388 million; and</w:t>
      </w:r>
    </w:p>
    <w:p w14:paraId="708DEFC7" w14:textId="77777777" w:rsidR="001C1A32" w:rsidRPr="00E67EDF" w:rsidRDefault="001C1A32" w:rsidP="00E67EDF">
      <w:pPr>
        <w:pStyle w:val="paragraph"/>
      </w:pPr>
      <w:r w:rsidRPr="00E67EDF">
        <w:tab/>
        <w:t>(b)</w:t>
      </w:r>
      <w:r w:rsidRPr="00E67EDF">
        <w:tab/>
        <w:t>for each financial year after the 2024-25 financial year—$0.</w:t>
      </w:r>
    </w:p>
    <w:p w14:paraId="1034A6B3" w14:textId="77777777" w:rsidR="001C1A32" w:rsidRDefault="001C1A32" w:rsidP="00E67EDF">
      <w:pPr>
        <w:pStyle w:val="ActHead5"/>
      </w:pPr>
      <w:bookmarkStart w:id="24" w:name="_Toc168307773"/>
      <w:r>
        <w:t>28NA  Indexing relevant amounts</w:t>
      </w:r>
      <w:bookmarkEnd w:id="24"/>
    </w:p>
    <w:p w14:paraId="4EEBC8D0" w14:textId="4BC560BC" w:rsidR="001C1A32" w:rsidRDefault="001C1A32" w:rsidP="00E67EDF">
      <w:pPr>
        <w:pStyle w:val="subsection"/>
      </w:pPr>
      <w:r>
        <w:tab/>
        <w:t>(1)</w:t>
      </w:r>
      <w:r>
        <w:tab/>
        <w:t>The amount mentioned in paragraph 28N(</w:t>
      </w:r>
      <w:r w:rsidR="00CB1F99">
        <w:t>5</w:t>
      </w:r>
      <w:r>
        <w:t>)(</w:t>
      </w:r>
      <w:r w:rsidR="0076349D">
        <w:t>b</w:t>
      </w:r>
      <w:r>
        <w:t>) is to be indexed on the first day of each financial year</w:t>
      </w:r>
      <w:r w:rsidR="00F020F4">
        <w:t>,</w:t>
      </w:r>
      <w:r>
        <w:t xml:space="preserve"> starting on 1 July 20</w:t>
      </w:r>
      <w:r w:rsidR="00761A76">
        <w:t>29</w:t>
      </w:r>
      <w:r w:rsidR="00F020F4">
        <w:t>,</w:t>
      </w:r>
      <w:r>
        <w:t xml:space="preserve"> by multiplying it by its indexation factor for 1 June in the preceding financial year.</w:t>
      </w:r>
    </w:p>
    <w:p w14:paraId="4683BEB6" w14:textId="77777777" w:rsidR="001C1A32" w:rsidRDefault="001C1A32" w:rsidP="00E67EDF">
      <w:pPr>
        <w:pStyle w:val="subsection"/>
      </w:pPr>
      <w:r>
        <w:lastRenderedPageBreak/>
        <w:tab/>
        <w:t>(2)</w:t>
      </w:r>
      <w:r>
        <w:tab/>
        <w:t>The indexation factor for 1 June in a financial year is the number worked out as follows:</w:t>
      </w:r>
    </w:p>
    <w:p w14:paraId="47381C37" w14:textId="77777777" w:rsidR="001C1A32" w:rsidRDefault="001C1A32" w:rsidP="00E67EDF">
      <w:pPr>
        <w:pStyle w:val="BoxHeadItalic"/>
      </w:pPr>
      <w:r>
        <w:t xml:space="preserve">Method </w:t>
      </w:r>
      <w:r w:rsidRPr="00E67EDF">
        <w:t>statement</w:t>
      </w:r>
    </w:p>
    <w:p w14:paraId="4E9F4A7D" w14:textId="77777777" w:rsidR="001C1A32" w:rsidRDefault="001C1A32" w:rsidP="00E67EDF">
      <w:pPr>
        <w:pStyle w:val="BoxStep"/>
      </w:pPr>
      <w:r w:rsidRPr="00E67EDF">
        <w:t>Step</w:t>
      </w:r>
      <w:r>
        <w:t xml:space="preserve"> 1.</w:t>
      </w:r>
      <w:r>
        <w:tab/>
        <w:t>Add:</w:t>
      </w:r>
    </w:p>
    <w:p w14:paraId="4FF97573" w14:textId="77777777" w:rsidR="001C1A32" w:rsidRPr="00E67EDF" w:rsidRDefault="001C1A32" w:rsidP="00E67EDF">
      <w:pPr>
        <w:pStyle w:val="BoxPara"/>
      </w:pPr>
      <w:r w:rsidRPr="00E67EDF">
        <w:tab/>
        <w:t>(a)</w:t>
      </w:r>
      <w:r w:rsidRPr="00E67EDF">
        <w:tab/>
        <w:t>the index number for the quarter ending on 31 March in that financial year; and</w:t>
      </w:r>
    </w:p>
    <w:p w14:paraId="301BA707" w14:textId="77777777" w:rsidR="001C1A32" w:rsidRPr="00E67EDF" w:rsidRDefault="001C1A32" w:rsidP="00E67EDF">
      <w:pPr>
        <w:pStyle w:val="BoxPara"/>
      </w:pPr>
      <w:r w:rsidRPr="00E67EDF">
        <w:tab/>
        <w:t>(b)</w:t>
      </w:r>
      <w:r w:rsidRPr="00E67EDF">
        <w:tab/>
        <w:t>the index numbers for the 3 quarters that immediately preceded that quarter.</w:t>
      </w:r>
    </w:p>
    <w:p w14:paraId="2FE380C0" w14:textId="77777777" w:rsidR="001C1A32" w:rsidRDefault="001C1A32" w:rsidP="00E67EDF">
      <w:pPr>
        <w:pStyle w:val="BoxStep"/>
      </w:pPr>
      <w:r>
        <w:t>Step 2.</w:t>
      </w:r>
      <w:r>
        <w:tab/>
      </w:r>
      <w:r w:rsidRPr="00E67EDF">
        <w:t>Add</w:t>
      </w:r>
      <w:r>
        <w:t>:</w:t>
      </w:r>
    </w:p>
    <w:p w14:paraId="45CF0AFC" w14:textId="77777777" w:rsidR="001C1A32" w:rsidRPr="00E67EDF" w:rsidRDefault="001C1A32" w:rsidP="00E67EDF">
      <w:pPr>
        <w:pStyle w:val="BoxPara"/>
      </w:pPr>
      <w:r w:rsidRPr="00E67EDF">
        <w:tab/>
        <w:t>(a)</w:t>
      </w:r>
      <w:r w:rsidRPr="00E67EDF">
        <w:tab/>
        <w:t>the index number for the quarter ending on 31 March in the immediately preceding financial year; and</w:t>
      </w:r>
    </w:p>
    <w:p w14:paraId="32E53918" w14:textId="77777777" w:rsidR="001C1A32" w:rsidRPr="00E67EDF" w:rsidRDefault="001C1A32" w:rsidP="00E67EDF">
      <w:pPr>
        <w:pStyle w:val="BoxPara"/>
      </w:pPr>
      <w:r w:rsidRPr="00E67EDF">
        <w:tab/>
        <w:t>(b)</w:t>
      </w:r>
      <w:r w:rsidRPr="00E67EDF">
        <w:tab/>
        <w:t>the index numbers for the 3 quarters that immediately preceded that quarter.</w:t>
      </w:r>
    </w:p>
    <w:p w14:paraId="1ECC1581" w14:textId="77777777" w:rsidR="001C1A32" w:rsidRDefault="001C1A32" w:rsidP="00E67EDF">
      <w:pPr>
        <w:pStyle w:val="BoxStep"/>
      </w:pPr>
      <w:r w:rsidRPr="00E67EDF">
        <w:t>Step</w:t>
      </w:r>
      <w:r>
        <w:t xml:space="preserve"> 3.</w:t>
      </w:r>
      <w:r>
        <w:tab/>
        <w:t xml:space="preserve">The </w:t>
      </w:r>
      <w:r w:rsidRPr="00E67EDF">
        <w:rPr>
          <w:b/>
          <w:bCs/>
          <w:i/>
          <w:iCs/>
        </w:rPr>
        <w:t>indexation factor</w:t>
      </w:r>
      <w:r>
        <w:t xml:space="preserve"> for 1 June in the financial year is the amount under step 1 divided by the amount under step 2.</w:t>
      </w:r>
    </w:p>
    <w:p w14:paraId="1661A9CB" w14:textId="77777777" w:rsidR="001C1A32" w:rsidRDefault="001C1A32" w:rsidP="00E67EDF">
      <w:pPr>
        <w:pStyle w:val="subsection"/>
      </w:pPr>
      <w:r>
        <w:tab/>
        <w:t>(3)</w:t>
      </w:r>
      <w:r>
        <w:tab/>
        <w:t>The indexation factor is to be worked out to 3 decimal places, rounding up if the fourth decimal place is 5 or more.</w:t>
      </w:r>
    </w:p>
    <w:p w14:paraId="3BBB7F80" w14:textId="7A544983" w:rsidR="001C1A32" w:rsidRDefault="001C1A32" w:rsidP="00E67EDF">
      <w:pPr>
        <w:pStyle w:val="subsection"/>
      </w:pPr>
      <w:r>
        <w:tab/>
        <w:t>(4)</w:t>
      </w:r>
      <w:r>
        <w:tab/>
        <w:t>The amount mentioned in paragraph 28N(</w:t>
      </w:r>
      <w:r w:rsidR="00CB1F99">
        <w:t>5</w:t>
      </w:r>
      <w:r>
        <w:t>)</w:t>
      </w:r>
      <w:r w:rsidR="00C02B34">
        <w:t>(b)</w:t>
      </w:r>
      <w:r>
        <w:t>, after indexation, must be rounded to the nearest whole dollar, and, if the amount to be rounded is 50 cents, rounded down.</w:t>
      </w:r>
    </w:p>
    <w:p w14:paraId="23173887" w14:textId="042DEAC7" w:rsidR="001C1A32" w:rsidRDefault="00A74E8B" w:rsidP="001C1A32">
      <w:pPr>
        <w:pStyle w:val="ItemHead"/>
      </w:pPr>
      <w:r>
        <w:t>10</w:t>
      </w:r>
      <w:r w:rsidR="001C1A32">
        <w:t xml:space="preserve">  Paragraph 28V(3)(b)</w:t>
      </w:r>
    </w:p>
    <w:p w14:paraId="4CE06384" w14:textId="77777777" w:rsidR="001C1A32" w:rsidRDefault="001C1A32" w:rsidP="00E67EDF">
      <w:pPr>
        <w:pStyle w:val="Item"/>
      </w:pPr>
      <w:r>
        <w:t xml:space="preserve">After “rates”, </w:t>
      </w:r>
      <w:r w:rsidRPr="00E67EDF">
        <w:t>insert</w:t>
      </w:r>
      <w:r>
        <w:t xml:space="preserve"> “(including no interest)”.</w:t>
      </w:r>
    </w:p>
    <w:p w14:paraId="57569BF0" w14:textId="2F6CFB22" w:rsidR="001C1A32" w:rsidRDefault="00A74E8B" w:rsidP="001C1A32">
      <w:pPr>
        <w:pStyle w:val="ItemHead"/>
      </w:pPr>
      <w:r>
        <w:t>11</w:t>
      </w:r>
      <w:r w:rsidR="001C1A32">
        <w:t xml:space="preserve">  Subsection 28X</w:t>
      </w:r>
    </w:p>
    <w:p w14:paraId="30A92FFD" w14:textId="77777777" w:rsidR="001C1A32" w:rsidRDefault="001C1A32" w:rsidP="00E67EDF">
      <w:pPr>
        <w:pStyle w:val="Item"/>
      </w:pPr>
      <w:r w:rsidRPr="00E67EDF">
        <w:t>Omit</w:t>
      </w:r>
      <w:r>
        <w:t xml:space="preserve"> “(1)”.</w:t>
      </w:r>
    </w:p>
    <w:p w14:paraId="65A2C2AB" w14:textId="41BF8243" w:rsidR="001C1A32" w:rsidRDefault="001C1A32" w:rsidP="001C1A32">
      <w:pPr>
        <w:pStyle w:val="ItemHead"/>
      </w:pPr>
      <w:r>
        <w:t>1</w:t>
      </w:r>
      <w:r w:rsidR="00A74E8B">
        <w:t>2</w:t>
      </w:r>
      <w:r>
        <w:t xml:space="preserve">  Subsections 28X(2) and (3)</w:t>
      </w:r>
    </w:p>
    <w:p w14:paraId="3012F815" w14:textId="77777777" w:rsidR="001C1A32" w:rsidRDefault="001C1A32" w:rsidP="00E67EDF">
      <w:pPr>
        <w:pStyle w:val="Item"/>
      </w:pPr>
      <w:r>
        <w:t xml:space="preserve">Repeal the </w:t>
      </w:r>
      <w:r w:rsidRPr="00E67EDF">
        <w:t>subsections</w:t>
      </w:r>
      <w:r>
        <w:t>.</w:t>
      </w:r>
    </w:p>
    <w:p w14:paraId="62C40EED" w14:textId="369FCDFD" w:rsidR="001C1A32" w:rsidRDefault="001C1A32" w:rsidP="001C1A32">
      <w:pPr>
        <w:pStyle w:val="ItemHead"/>
      </w:pPr>
      <w:r>
        <w:t>1</w:t>
      </w:r>
      <w:r w:rsidR="00A74E8B">
        <w:t>3</w:t>
      </w:r>
      <w:r>
        <w:t xml:space="preserve">  Section 28ZA</w:t>
      </w:r>
    </w:p>
    <w:p w14:paraId="167D7703" w14:textId="77777777" w:rsidR="001C1A32" w:rsidRDefault="001C1A32" w:rsidP="00E67EDF">
      <w:pPr>
        <w:pStyle w:val="Item"/>
      </w:pPr>
      <w:r>
        <w:t xml:space="preserve">Repeal the section, </w:t>
      </w:r>
      <w:r w:rsidRPr="00E67EDF">
        <w:t>substitute</w:t>
      </w:r>
      <w:r>
        <w:t>:</w:t>
      </w:r>
    </w:p>
    <w:p w14:paraId="664B6A8E" w14:textId="7C3166F8" w:rsidR="001C1A32" w:rsidRDefault="001C1A32" w:rsidP="00E67EDF">
      <w:pPr>
        <w:pStyle w:val="ActHead5"/>
      </w:pPr>
      <w:bookmarkStart w:id="25" w:name="_Toc168307774"/>
      <w:r>
        <w:t>28ZA  Limit on making loans and grants for the purposes of this Part</w:t>
      </w:r>
      <w:bookmarkEnd w:id="25"/>
    </w:p>
    <w:p w14:paraId="7643B9D3" w14:textId="0E482950" w:rsidR="001C1A32" w:rsidRDefault="001C1A32" w:rsidP="00A92732">
      <w:pPr>
        <w:pStyle w:val="subsection"/>
      </w:pPr>
      <w:r>
        <w:tab/>
        <w:t>(1)</w:t>
      </w:r>
      <w:r>
        <w:tab/>
        <w:t>For the purposes of subparagraph 13(c)(i) of the Act, this section sets out limits on making loans and grants under the NHAF.</w:t>
      </w:r>
    </w:p>
    <w:p w14:paraId="1F3CD79A" w14:textId="77777777" w:rsidR="001C1A32" w:rsidRDefault="001C1A32" w:rsidP="00E67EDF">
      <w:pPr>
        <w:pStyle w:val="notetext"/>
      </w:pPr>
      <w:r>
        <w:t xml:space="preserve">Note: </w:t>
      </w:r>
      <w:r>
        <w:tab/>
        <w:t xml:space="preserve">It is intended that the </w:t>
      </w:r>
      <w:r w:rsidRPr="00E67EDF">
        <w:t>monetary</w:t>
      </w:r>
      <w:r>
        <w:t xml:space="preserve"> limits specified in this section will be increased from time to time.</w:t>
      </w:r>
    </w:p>
    <w:p w14:paraId="7C2803D6" w14:textId="77777777" w:rsidR="001C1A32" w:rsidRDefault="001C1A32" w:rsidP="00E67EDF">
      <w:pPr>
        <w:pStyle w:val="SubsectionHead"/>
      </w:pPr>
      <w:r>
        <w:lastRenderedPageBreak/>
        <w:t xml:space="preserve">Limits on </w:t>
      </w:r>
      <w:r w:rsidRPr="00E67EDF">
        <w:t>loans</w:t>
      </w:r>
    </w:p>
    <w:p w14:paraId="2628213B" w14:textId="77777777" w:rsidR="001C1A32" w:rsidRDefault="001C1A32" w:rsidP="00E67EDF">
      <w:pPr>
        <w:pStyle w:val="subsection"/>
      </w:pPr>
      <w:r>
        <w:tab/>
        <w:t>(2)</w:t>
      </w:r>
      <w:r>
        <w:tab/>
        <w:t>A loan made under the NHAF must:</w:t>
      </w:r>
    </w:p>
    <w:p w14:paraId="6C8F8AE7" w14:textId="24D4542A" w:rsidR="001C1A32" w:rsidRPr="00E67EDF" w:rsidRDefault="001C1A32" w:rsidP="00E67EDF">
      <w:pPr>
        <w:pStyle w:val="paragraph"/>
      </w:pPr>
      <w:r w:rsidRPr="00E67EDF">
        <w:tab/>
        <w:t>(a)</w:t>
      </w:r>
      <w:r w:rsidRPr="00E67EDF">
        <w:tab/>
        <w:t xml:space="preserve">be a </w:t>
      </w:r>
      <w:r w:rsidR="00DC01AB">
        <w:t xml:space="preserve">no </w:t>
      </w:r>
      <w:r w:rsidRPr="00E67EDF">
        <w:t>interest loan to finance a NHAF project that increases available affordable housing; and</w:t>
      </w:r>
    </w:p>
    <w:p w14:paraId="59D0C224" w14:textId="252C6B6C" w:rsidR="001C1A32" w:rsidRPr="00E67EDF" w:rsidRDefault="001C1A32" w:rsidP="00E67EDF">
      <w:pPr>
        <w:pStyle w:val="paragraph"/>
      </w:pPr>
      <w:r w:rsidRPr="00E67EDF">
        <w:tab/>
        <w:t>(b)</w:t>
      </w:r>
      <w:r w:rsidRPr="00E67EDF">
        <w:tab/>
        <w:t xml:space="preserve">be made on </w:t>
      </w:r>
      <w:r w:rsidRPr="003F57DA">
        <w:t xml:space="preserve">or </w:t>
      </w:r>
      <w:r w:rsidRPr="00564FE2">
        <w:t>after</w:t>
      </w:r>
      <w:r w:rsidR="00564FE2">
        <w:t xml:space="preserve"> 1 July 2024 </w:t>
      </w:r>
      <w:r w:rsidRPr="00E67EDF">
        <w:t>and before 1 July 2029; and</w:t>
      </w:r>
    </w:p>
    <w:p w14:paraId="38B4D398" w14:textId="02177E98" w:rsidR="001C1A32" w:rsidRPr="00E67EDF" w:rsidRDefault="001C1A32" w:rsidP="00E67EDF">
      <w:pPr>
        <w:pStyle w:val="paragraph"/>
      </w:pPr>
      <w:r w:rsidRPr="00E67EDF">
        <w:tab/>
        <w:t>(c)</w:t>
      </w:r>
      <w:r w:rsidRPr="00E67EDF">
        <w:tab/>
        <w:t>be made only to a project proponent mentioned in paragraph 28T(1)(f), (g), (h) or (i).</w:t>
      </w:r>
    </w:p>
    <w:p w14:paraId="0C263302" w14:textId="24C8B3E2" w:rsidR="001C1A32" w:rsidRDefault="001C1A32" w:rsidP="00E67EDF">
      <w:pPr>
        <w:pStyle w:val="subsection"/>
      </w:pPr>
      <w:r>
        <w:tab/>
        <w:t>(3)</w:t>
      </w:r>
      <w:r>
        <w:tab/>
        <w:t xml:space="preserve">The sum of all loans made under the NHAF during the period specified in </w:t>
      </w:r>
      <w:r w:rsidR="0062418D">
        <w:t>paragraph</w:t>
      </w:r>
      <w:r>
        <w:t xml:space="preserve"> (2)</w:t>
      </w:r>
      <w:r w:rsidR="0062418D">
        <w:t>(b)</w:t>
      </w:r>
      <w:r>
        <w:t xml:space="preserve"> must not exceed $38</w:t>
      </w:r>
      <w:r w:rsidR="003A6439">
        <w:t>3</w:t>
      </w:r>
      <w:r>
        <w:t xml:space="preserve"> million.</w:t>
      </w:r>
    </w:p>
    <w:p w14:paraId="307F7D77" w14:textId="77777777" w:rsidR="001C1A32" w:rsidRDefault="001C1A32" w:rsidP="00E67EDF">
      <w:pPr>
        <w:pStyle w:val="SubsectionHead"/>
      </w:pPr>
      <w:r>
        <w:t xml:space="preserve">Limits on </w:t>
      </w:r>
      <w:r w:rsidRPr="00E67EDF">
        <w:t>grants</w:t>
      </w:r>
    </w:p>
    <w:p w14:paraId="20C54651" w14:textId="2AC48D04" w:rsidR="00AB1291" w:rsidRDefault="00AB1291" w:rsidP="00AB1291">
      <w:pPr>
        <w:pStyle w:val="subsection"/>
      </w:pPr>
      <w:r>
        <w:tab/>
        <w:t>(4)</w:t>
      </w:r>
      <w:r>
        <w:tab/>
        <w:t xml:space="preserve">A grant made under the NHAF must be </w:t>
      </w:r>
      <w:r w:rsidR="00580591" w:rsidRPr="00E67EDF">
        <w:t xml:space="preserve">a recurring grant made over a period of 25 years to finance a </w:t>
      </w:r>
      <w:r w:rsidR="00580591">
        <w:t>NHAF</w:t>
      </w:r>
      <w:r w:rsidR="00580591" w:rsidRPr="00E67EDF">
        <w:t xml:space="preserve"> project that increases available affordable housing</w:t>
      </w:r>
      <w:r w:rsidR="00580591">
        <w:t>.</w:t>
      </w:r>
    </w:p>
    <w:p w14:paraId="74D152EA" w14:textId="20626DA1" w:rsidR="001C1A32" w:rsidRDefault="001C1A32" w:rsidP="00E67EDF">
      <w:pPr>
        <w:pStyle w:val="subsection"/>
      </w:pPr>
      <w:r>
        <w:tab/>
        <w:t>(</w:t>
      </w:r>
      <w:r w:rsidR="00351C6A">
        <w:t>5</w:t>
      </w:r>
      <w:r>
        <w:t>)</w:t>
      </w:r>
      <w:r>
        <w:tab/>
        <w:t>The annual limit for the sum of all grants made under the NHAF is:</w:t>
      </w:r>
    </w:p>
    <w:p w14:paraId="1D66C542" w14:textId="24D71FC2" w:rsidR="001C1A32" w:rsidRPr="00E67EDF" w:rsidRDefault="001C1A32" w:rsidP="00E67EDF">
      <w:pPr>
        <w:pStyle w:val="paragraph"/>
      </w:pPr>
      <w:r w:rsidRPr="00E67EDF">
        <w:tab/>
        <w:t>(a)</w:t>
      </w:r>
      <w:r w:rsidRPr="00E67EDF">
        <w:tab/>
      </w:r>
      <w:r w:rsidR="009D20B4" w:rsidRPr="00E67EDF">
        <w:t>for the 2024-25 financial year</w:t>
      </w:r>
      <w:r w:rsidR="009D20B4">
        <w:t xml:space="preserve"> and each later </w:t>
      </w:r>
      <w:r w:rsidR="009D20B4" w:rsidRPr="00E67EDF">
        <w:t xml:space="preserve">financial </w:t>
      </w:r>
      <w:r w:rsidR="009D20B4">
        <w:t xml:space="preserve">year </w:t>
      </w:r>
      <w:r w:rsidR="009D20B4" w:rsidRPr="00E67EDF">
        <w:t xml:space="preserve">until the end of </w:t>
      </w:r>
      <w:r w:rsidR="009D20B4">
        <w:t xml:space="preserve">the </w:t>
      </w:r>
      <w:r w:rsidR="009D20B4" w:rsidRPr="00E67EDF">
        <w:t>202</w:t>
      </w:r>
      <w:r w:rsidR="009D20B4">
        <w:t>8-29</w:t>
      </w:r>
      <w:r w:rsidR="009D20B4" w:rsidRPr="00E67EDF">
        <w:t xml:space="preserve"> financial year</w:t>
      </w:r>
      <w:r w:rsidRPr="00E67EDF">
        <w:t>—$72 million; and</w:t>
      </w:r>
    </w:p>
    <w:p w14:paraId="4026160D" w14:textId="448F17A8" w:rsidR="001C1A32" w:rsidRPr="00E67EDF" w:rsidRDefault="001C1A32" w:rsidP="00E67EDF">
      <w:pPr>
        <w:pStyle w:val="paragraph"/>
      </w:pPr>
      <w:r w:rsidRPr="00E67EDF">
        <w:tab/>
      </w:r>
      <w:r w:rsidR="00ED2FE1">
        <w:t>(</w:t>
      </w:r>
      <w:r w:rsidR="0076349D">
        <w:t>b</w:t>
      </w:r>
      <w:r w:rsidR="00ED2FE1">
        <w:t>)</w:t>
      </w:r>
      <w:r w:rsidRPr="00E67EDF">
        <w:tab/>
        <w:t xml:space="preserve">for the 2029-30 financial year and each later financial year—$72 million (as indexed </w:t>
      </w:r>
      <w:r w:rsidR="002178D3">
        <w:t xml:space="preserve">annually </w:t>
      </w:r>
      <w:r w:rsidRPr="00E67EDF">
        <w:t>in accordance with section 28ZAA).</w:t>
      </w:r>
    </w:p>
    <w:p w14:paraId="1028BC07" w14:textId="77777777" w:rsidR="001C1A32" w:rsidRDefault="001C1A32" w:rsidP="00E67EDF">
      <w:pPr>
        <w:pStyle w:val="ActHead5"/>
      </w:pPr>
      <w:bookmarkStart w:id="26" w:name="_Toc168307775"/>
      <w:r>
        <w:t>28ZAA  Indexing relevant amounts</w:t>
      </w:r>
      <w:bookmarkEnd w:id="26"/>
    </w:p>
    <w:p w14:paraId="05C22114" w14:textId="578F682B" w:rsidR="001C1A32" w:rsidRDefault="001C1A32" w:rsidP="00E67EDF">
      <w:pPr>
        <w:pStyle w:val="subsection"/>
      </w:pPr>
      <w:r>
        <w:tab/>
        <w:t>(1)</w:t>
      </w:r>
      <w:r>
        <w:tab/>
        <w:t>The amount mentioned in paragraph 28</w:t>
      </w:r>
      <w:r w:rsidR="008D360F">
        <w:t>ZA</w:t>
      </w:r>
      <w:r>
        <w:t>(5)(</w:t>
      </w:r>
      <w:r w:rsidR="0076349D">
        <w:t>b</w:t>
      </w:r>
      <w:r>
        <w:t>) is to be indexed on the first day of each financial year</w:t>
      </w:r>
      <w:r w:rsidR="00F020F4">
        <w:t>,</w:t>
      </w:r>
      <w:r>
        <w:t xml:space="preserve"> starting on 1 July 20</w:t>
      </w:r>
      <w:r w:rsidR="00761A76">
        <w:t>29</w:t>
      </w:r>
      <w:r w:rsidR="00F020F4">
        <w:t>,</w:t>
      </w:r>
      <w:r>
        <w:t xml:space="preserve"> by multiplying it by its indexation factor for 1 June in the preceding financial year.</w:t>
      </w:r>
    </w:p>
    <w:p w14:paraId="037BA927" w14:textId="77777777" w:rsidR="001C1A32" w:rsidRDefault="001C1A32" w:rsidP="00E67EDF">
      <w:pPr>
        <w:pStyle w:val="subsection"/>
      </w:pPr>
      <w:r>
        <w:tab/>
        <w:t>(2)</w:t>
      </w:r>
      <w:r>
        <w:tab/>
        <w:t>The indexation factor for 1 June in a financial year is the number worked out as follows:</w:t>
      </w:r>
    </w:p>
    <w:p w14:paraId="3A14E914" w14:textId="77777777" w:rsidR="001C1A32" w:rsidRDefault="001C1A32" w:rsidP="00E67EDF">
      <w:pPr>
        <w:pStyle w:val="BoxHeadItalic"/>
      </w:pPr>
      <w:r>
        <w:t xml:space="preserve">Method </w:t>
      </w:r>
      <w:r w:rsidRPr="00E67EDF">
        <w:t>statement</w:t>
      </w:r>
    </w:p>
    <w:p w14:paraId="4F3E68AD" w14:textId="77777777" w:rsidR="001C1A32" w:rsidRDefault="001C1A32" w:rsidP="00E67EDF">
      <w:pPr>
        <w:pStyle w:val="BoxStep"/>
      </w:pPr>
      <w:r w:rsidRPr="00E67EDF">
        <w:t>Step</w:t>
      </w:r>
      <w:r>
        <w:t xml:space="preserve"> 1.</w:t>
      </w:r>
      <w:r>
        <w:tab/>
        <w:t>Add:</w:t>
      </w:r>
    </w:p>
    <w:p w14:paraId="28428878" w14:textId="77777777" w:rsidR="001C1A32" w:rsidRPr="00E67EDF" w:rsidRDefault="001C1A32" w:rsidP="00E67EDF">
      <w:pPr>
        <w:pStyle w:val="BoxPara"/>
      </w:pPr>
      <w:r w:rsidRPr="00E67EDF">
        <w:tab/>
        <w:t>(a)</w:t>
      </w:r>
      <w:r w:rsidRPr="00E67EDF">
        <w:tab/>
        <w:t>the index number for the quarter ending on 31 March in that financial year; and</w:t>
      </w:r>
    </w:p>
    <w:p w14:paraId="1B7A3259" w14:textId="77777777" w:rsidR="001C1A32" w:rsidRPr="00E67EDF" w:rsidRDefault="001C1A32" w:rsidP="00E67EDF">
      <w:pPr>
        <w:pStyle w:val="BoxPara"/>
      </w:pPr>
      <w:r w:rsidRPr="00E67EDF">
        <w:tab/>
        <w:t>(b)</w:t>
      </w:r>
      <w:r w:rsidRPr="00E67EDF">
        <w:tab/>
        <w:t>the index numbers for the 3 quarters that immediately preceded that quarter.</w:t>
      </w:r>
    </w:p>
    <w:p w14:paraId="39EA3023" w14:textId="77777777" w:rsidR="001C1A32" w:rsidRDefault="001C1A32" w:rsidP="00E67EDF">
      <w:pPr>
        <w:pStyle w:val="BoxStep"/>
      </w:pPr>
      <w:r w:rsidRPr="00E67EDF">
        <w:t>Step</w:t>
      </w:r>
      <w:r>
        <w:t xml:space="preserve"> 2.</w:t>
      </w:r>
      <w:r>
        <w:tab/>
        <w:t>Add:</w:t>
      </w:r>
    </w:p>
    <w:p w14:paraId="68458435" w14:textId="77777777" w:rsidR="001C1A32" w:rsidRPr="00E67EDF" w:rsidRDefault="001C1A32" w:rsidP="00E67EDF">
      <w:pPr>
        <w:pStyle w:val="BoxPara"/>
      </w:pPr>
      <w:r w:rsidRPr="00E67EDF">
        <w:tab/>
        <w:t>(a)</w:t>
      </w:r>
      <w:r w:rsidRPr="00E67EDF">
        <w:tab/>
        <w:t>the index number for the quarter ending on 31 March in the immediately preceding financial year; and</w:t>
      </w:r>
    </w:p>
    <w:p w14:paraId="4DEDC8C2" w14:textId="77777777" w:rsidR="001C1A32" w:rsidRPr="00E67EDF" w:rsidRDefault="001C1A32" w:rsidP="00E67EDF">
      <w:pPr>
        <w:pStyle w:val="BoxPara"/>
      </w:pPr>
      <w:r w:rsidRPr="00E67EDF">
        <w:tab/>
        <w:t>(b)</w:t>
      </w:r>
      <w:r w:rsidRPr="00E67EDF">
        <w:tab/>
        <w:t>the index numbers for the 3 quarters that immediately preceded that quarter.</w:t>
      </w:r>
    </w:p>
    <w:p w14:paraId="363B9CB5" w14:textId="77777777" w:rsidR="001C1A32" w:rsidRDefault="001C1A32" w:rsidP="00E67EDF">
      <w:pPr>
        <w:pStyle w:val="BoxStep"/>
      </w:pPr>
      <w:r w:rsidRPr="00E67EDF">
        <w:t>Step</w:t>
      </w:r>
      <w:r>
        <w:t xml:space="preserve"> 3.</w:t>
      </w:r>
      <w:r>
        <w:tab/>
        <w:t xml:space="preserve">The </w:t>
      </w:r>
      <w:r w:rsidRPr="00E67EDF">
        <w:rPr>
          <w:b/>
          <w:bCs/>
          <w:i/>
          <w:iCs/>
        </w:rPr>
        <w:t>indexation factor</w:t>
      </w:r>
      <w:r>
        <w:t xml:space="preserve"> for 1 June in the financial year is the amount under step 1 divided by the amount under step 2.</w:t>
      </w:r>
    </w:p>
    <w:p w14:paraId="27F7AA9D" w14:textId="77777777" w:rsidR="001C1A32" w:rsidRDefault="001C1A32" w:rsidP="00E67EDF">
      <w:pPr>
        <w:pStyle w:val="subsection"/>
      </w:pPr>
      <w:r>
        <w:lastRenderedPageBreak/>
        <w:tab/>
        <w:t>(3)</w:t>
      </w:r>
      <w:r>
        <w:tab/>
        <w:t>The indexation factor is to be worked out to 3 decimal places, rounding up if the fourth decimal place is 5 or more.</w:t>
      </w:r>
    </w:p>
    <w:p w14:paraId="63592139" w14:textId="03FE9812" w:rsidR="001C1A32" w:rsidRDefault="001C1A32" w:rsidP="00E67EDF">
      <w:pPr>
        <w:pStyle w:val="subsection"/>
      </w:pPr>
      <w:r>
        <w:tab/>
        <w:t>(4)</w:t>
      </w:r>
      <w:r>
        <w:tab/>
        <w:t>The amount mentioned in paragraph 28</w:t>
      </w:r>
      <w:r w:rsidR="008D360F">
        <w:t>ZA</w:t>
      </w:r>
      <w:r>
        <w:t>(5)(</w:t>
      </w:r>
      <w:r w:rsidR="0076349D">
        <w:t>b</w:t>
      </w:r>
      <w:r>
        <w:t>), after indexation, must be rounded to the nearest whole dollar, and, if the amount to be rounded is 50 cents, rounded down.</w:t>
      </w:r>
    </w:p>
    <w:p w14:paraId="6D5C7FE4" w14:textId="709AD986" w:rsidR="001C1A32" w:rsidRDefault="001C1A32" w:rsidP="001C1A32">
      <w:pPr>
        <w:pStyle w:val="ItemHead"/>
      </w:pPr>
      <w:r>
        <w:t>1</w:t>
      </w:r>
      <w:r w:rsidR="00A74E8B">
        <w:t>4</w:t>
      </w:r>
      <w:r>
        <w:t xml:space="preserve">  Section 34 (heading)</w:t>
      </w:r>
    </w:p>
    <w:p w14:paraId="10A33528" w14:textId="77777777" w:rsidR="001C1A32" w:rsidRDefault="001C1A32" w:rsidP="00E67EDF">
      <w:pPr>
        <w:pStyle w:val="Item"/>
      </w:pPr>
      <w:r>
        <w:t>Omit “</w:t>
      </w:r>
      <w:r w:rsidRPr="008D360F">
        <w:rPr>
          <w:b/>
          <w:bCs/>
        </w:rPr>
        <w:t>$7.5 billion</w:t>
      </w:r>
      <w:r>
        <w:t>”, substitute “</w:t>
      </w:r>
      <w:r w:rsidRPr="008D360F">
        <w:rPr>
          <w:b/>
          <w:bCs/>
        </w:rPr>
        <w:t>$10 billion</w:t>
      </w:r>
      <w:r>
        <w:t>”.</w:t>
      </w:r>
    </w:p>
    <w:p w14:paraId="603B0596" w14:textId="3214A2AF" w:rsidR="001C1A32" w:rsidRDefault="001C1A32" w:rsidP="001C1A32">
      <w:pPr>
        <w:pStyle w:val="ItemHead"/>
      </w:pPr>
      <w:r>
        <w:t>1</w:t>
      </w:r>
      <w:r w:rsidR="00A74E8B">
        <w:t>5</w:t>
      </w:r>
      <w:r>
        <w:t xml:space="preserve">  Subsection 34(1)</w:t>
      </w:r>
    </w:p>
    <w:p w14:paraId="53524553" w14:textId="77777777" w:rsidR="001C1A32" w:rsidRDefault="001C1A32" w:rsidP="00E67EDF">
      <w:pPr>
        <w:pStyle w:val="Item"/>
      </w:pPr>
      <w:r>
        <w:tab/>
        <w:t xml:space="preserve">Omit “the cap”, </w:t>
      </w:r>
      <w:r w:rsidRPr="00E67EDF">
        <w:t>substitute</w:t>
      </w:r>
      <w:r>
        <w:t xml:space="preserve"> “$10 billion”.</w:t>
      </w:r>
    </w:p>
    <w:p w14:paraId="163A6855" w14:textId="6A172380" w:rsidR="001C1A32" w:rsidRDefault="001C1A32" w:rsidP="001C1A32">
      <w:pPr>
        <w:pStyle w:val="ItemHead"/>
      </w:pPr>
      <w:r>
        <w:t>1</w:t>
      </w:r>
      <w:r w:rsidR="00A74E8B">
        <w:t>6</w:t>
      </w:r>
      <w:r>
        <w:t xml:space="preserve">  Subsection 34(2) (definition of </w:t>
      </w:r>
      <w:r w:rsidRPr="00E37FA0">
        <w:rPr>
          <w:i/>
          <w:iCs/>
        </w:rPr>
        <w:t>cap</w:t>
      </w:r>
      <w:r>
        <w:t>)</w:t>
      </w:r>
    </w:p>
    <w:p w14:paraId="25AB5A56" w14:textId="59C13CED" w:rsidR="00F5638C" w:rsidRPr="008C0497" w:rsidRDefault="001C1A32" w:rsidP="00E67EDF">
      <w:pPr>
        <w:pStyle w:val="Item"/>
      </w:pPr>
      <w:r>
        <w:tab/>
        <w:t xml:space="preserve">Repeal the </w:t>
      </w:r>
      <w:r w:rsidRPr="00E67EDF">
        <w:t>definition</w:t>
      </w:r>
      <w:r>
        <w:t>.</w:t>
      </w:r>
    </w:p>
    <w:sectPr w:rsidR="00F5638C" w:rsidRPr="008C0497">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6B8B" w14:textId="77777777" w:rsidR="002D1A8A" w:rsidRDefault="002D1A8A" w:rsidP="00F5638C">
      <w:pPr>
        <w:spacing w:line="240" w:lineRule="auto"/>
      </w:pPr>
      <w:r>
        <w:separator/>
      </w:r>
    </w:p>
  </w:endnote>
  <w:endnote w:type="continuationSeparator" w:id="0">
    <w:p w14:paraId="7CDBFD60" w14:textId="77777777" w:rsidR="002D1A8A" w:rsidRDefault="002D1A8A" w:rsidP="00F5638C">
      <w:pPr>
        <w:spacing w:line="240" w:lineRule="auto"/>
      </w:pPr>
      <w:r>
        <w:continuationSeparator/>
      </w:r>
    </w:p>
  </w:endnote>
  <w:endnote w:type="continuationNotice" w:id="1">
    <w:p w14:paraId="36D63404" w14:textId="77777777" w:rsidR="002D1A8A" w:rsidRDefault="002D1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039" w14:textId="317B864A" w:rsidR="00F5638C" w:rsidRPr="005F1388" w:rsidRDefault="00F5638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FB60" w14:textId="0AA00C32" w:rsidR="00F5638C" w:rsidRDefault="00F5638C">
    <w:bookmarkStart w:id="0" w:name="_Hlk26285905"/>
    <w:bookmarkStart w:id="1" w:name="_Hlk26285906"/>
    <w:bookmarkStart w:id="2" w:name="_Hlk26285909"/>
    <w:bookmarkStart w:id="3" w:name="_Hlk26285910"/>
  </w:p>
  <w:bookmarkEnd w:id="0"/>
  <w:bookmarkEnd w:id="1"/>
  <w:bookmarkEnd w:id="2"/>
  <w:bookmarkEnd w:id="3"/>
  <w:p w14:paraId="692919FD" w14:textId="77777777" w:rsidR="00F5638C" w:rsidRPr="00E97334" w:rsidRDefault="00F563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82D1" w14:textId="77777777" w:rsidR="00F5638C" w:rsidRPr="00ED79B6" w:rsidRDefault="00F5638C">
    <w:pPr>
      <w:pStyle w:val="Footer"/>
      <w:tabs>
        <w:tab w:val="clear" w:pos="4153"/>
        <w:tab w:val="clear" w:pos="8306"/>
        <w:tab w:val="center" w:pos="4150"/>
        <w:tab w:val="right" w:pos="8307"/>
      </w:tabs>
      <w:spacing w:before="120"/>
    </w:pPr>
    <w:bookmarkStart w:id="6" w:name="_Hlk26285907"/>
    <w:bookmarkStart w:id="7" w:name="_Hlk26285908"/>
    <w:bookmarkStart w:id="8" w:name="_Hlk26285919"/>
    <w:bookmarkStart w:id="9" w:name="_Hlk26285920"/>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E65" w14:textId="7A69B631" w:rsidR="00F5638C" w:rsidRPr="00E33C1C" w:rsidRDefault="00F5638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638C" w14:paraId="13C868A1" w14:textId="77777777" w:rsidTr="001C1A32">
      <w:tc>
        <w:tcPr>
          <w:tcW w:w="709" w:type="dxa"/>
          <w:tcBorders>
            <w:top w:val="nil"/>
            <w:left w:val="nil"/>
            <w:bottom w:val="nil"/>
            <w:right w:val="nil"/>
          </w:tcBorders>
        </w:tcPr>
        <w:p w14:paraId="66CEB6D7" w14:textId="77777777" w:rsidR="00F5638C" w:rsidRDefault="00F563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3494141" w14:textId="4BE8E5D8" w:rsidR="00F5638C" w:rsidRDefault="00F5638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95AB1">
            <w:rPr>
              <w:i/>
              <w:noProof/>
              <w:sz w:val="18"/>
            </w:rPr>
            <w:t>Housing Australia Investment Mandate Amendment (2024 Measures No. 1) Direction 2024</w:t>
          </w:r>
          <w:r>
            <w:rPr>
              <w:i/>
              <w:sz w:val="18"/>
            </w:rPr>
            <w:fldChar w:fldCharType="end"/>
          </w:r>
        </w:p>
      </w:tc>
      <w:tc>
        <w:tcPr>
          <w:tcW w:w="1384" w:type="dxa"/>
          <w:tcBorders>
            <w:top w:val="nil"/>
            <w:left w:val="nil"/>
            <w:bottom w:val="nil"/>
            <w:right w:val="nil"/>
          </w:tcBorders>
        </w:tcPr>
        <w:p w14:paraId="4C592AB6" w14:textId="77777777" w:rsidR="00F5638C" w:rsidRDefault="00F5638C">
          <w:pPr>
            <w:spacing w:line="0" w:lineRule="atLeast"/>
            <w:jc w:val="right"/>
            <w:rPr>
              <w:sz w:val="18"/>
            </w:rPr>
          </w:pPr>
        </w:p>
      </w:tc>
    </w:tr>
  </w:tbl>
  <w:p w14:paraId="24156F6F" w14:textId="77777777" w:rsidR="00F5638C" w:rsidRPr="00ED79B6" w:rsidRDefault="00F5638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D37E" w14:textId="2032FBD3" w:rsidR="00F5638C" w:rsidRPr="00E33C1C" w:rsidRDefault="00F5638C">
    <w:pPr>
      <w:pBdr>
        <w:top w:val="single" w:sz="6" w:space="1" w:color="auto"/>
      </w:pBdr>
      <w:spacing w:before="120" w:line="0" w:lineRule="atLeast"/>
      <w:rPr>
        <w:sz w:val="16"/>
        <w:szCs w:val="16"/>
      </w:rPr>
    </w:pPr>
    <w:bookmarkStart w:id="10" w:name="_Hlk26285917"/>
    <w:bookmarkStart w:id="11" w:name="_Hlk26285918"/>
    <w:bookmarkStart w:id="12" w:name="_Hlk26285921"/>
    <w:bookmarkStart w:id="13" w:name="_Hlk26285922"/>
  </w:p>
  <w:tbl>
    <w:tblPr>
      <w:tblStyle w:val="TableGrid"/>
      <w:tblW w:w="8472" w:type="dxa"/>
      <w:tblLayout w:type="fixed"/>
      <w:tblLook w:val="04A0" w:firstRow="1" w:lastRow="0" w:firstColumn="1" w:lastColumn="0" w:noHBand="0" w:noVBand="1"/>
    </w:tblPr>
    <w:tblGrid>
      <w:gridCol w:w="1383"/>
      <w:gridCol w:w="6379"/>
      <w:gridCol w:w="710"/>
    </w:tblGrid>
    <w:tr w:rsidR="00F5638C" w14:paraId="02D0B79F" w14:textId="77777777" w:rsidTr="001C1A32">
      <w:tc>
        <w:tcPr>
          <w:tcW w:w="1383" w:type="dxa"/>
          <w:tcBorders>
            <w:top w:val="nil"/>
            <w:left w:val="nil"/>
            <w:bottom w:val="nil"/>
            <w:right w:val="nil"/>
          </w:tcBorders>
        </w:tcPr>
        <w:p w14:paraId="547B76EB" w14:textId="77777777" w:rsidR="00F5638C" w:rsidRDefault="00F5638C">
          <w:pPr>
            <w:spacing w:line="0" w:lineRule="atLeast"/>
            <w:rPr>
              <w:sz w:val="18"/>
            </w:rPr>
          </w:pPr>
        </w:p>
      </w:tc>
      <w:tc>
        <w:tcPr>
          <w:tcW w:w="6379" w:type="dxa"/>
          <w:tcBorders>
            <w:top w:val="nil"/>
            <w:left w:val="nil"/>
            <w:bottom w:val="nil"/>
            <w:right w:val="nil"/>
          </w:tcBorders>
        </w:tcPr>
        <w:p w14:paraId="1F8DEFA9" w14:textId="7299D774" w:rsidR="00F5638C" w:rsidRDefault="00F5638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234FB">
            <w:rPr>
              <w:i/>
              <w:noProof/>
              <w:sz w:val="18"/>
            </w:rPr>
            <w:t>Housing Australia Investment Mandate Amendment (2024 Measures No. 1) Direction 2024</w:t>
          </w:r>
          <w:r>
            <w:rPr>
              <w:i/>
              <w:sz w:val="18"/>
            </w:rPr>
            <w:fldChar w:fldCharType="end"/>
          </w:r>
        </w:p>
      </w:tc>
      <w:tc>
        <w:tcPr>
          <w:tcW w:w="710" w:type="dxa"/>
          <w:tcBorders>
            <w:top w:val="nil"/>
            <w:left w:val="nil"/>
            <w:bottom w:val="nil"/>
            <w:right w:val="nil"/>
          </w:tcBorders>
        </w:tcPr>
        <w:p w14:paraId="232FFB84" w14:textId="77777777" w:rsidR="00F5638C" w:rsidRDefault="00F563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4E87BA70" w14:textId="77777777" w:rsidR="00F5638C" w:rsidRPr="00ED79B6" w:rsidRDefault="00F5638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B1C1" w14:textId="61FBA292" w:rsidR="003719C7" w:rsidRPr="00E33C1C" w:rsidRDefault="003719C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CD77F9" w14:paraId="14FDF89C" w14:textId="77777777" w:rsidTr="001C1A32">
      <w:tc>
        <w:tcPr>
          <w:tcW w:w="709" w:type="dxa"/>
          <w:tcBorders>
            <w:top w:val="nil"/>
            <w:left w:val="nil"/>
            <w:bottom w:val="nil"/>
            <w:right w:val="nil"/>
          </w:tcBorders>
        </w:tcPr>
        <w:p w14:paraId="0FB93220" w14:textId="77777777" w:rsidR="003719C7" w:rsidRDefault="003C15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EC4B696" w14:textId="70E8408C" w:rsidR="003719C7" w:rsidRDefault="003C150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11260">
            <w:rPr>
              <w:i/>
              <w:noProof/>
              <w:sz w:val="18"/>
            </w:rPr>
            <w:t>Housing Australia Investment Mandate Amendment (2024 Measures No. 1) Direction 2024</w:t>
          </w:r>
          <w:r>
            <w:rPr>
              <w:i/>
              <w:sz w:val="18"/>
            </w:rPr>
            <w:fldChar w:fldCharType="end"/>
          </w:r>
        </w:p>
      </w:tc>
      <w:tc>
        <w:tcPr>
          <w:tcW w:w="1384" w:type="dxa"/>
          <w:tcBorders>
            <w:top w:val="nil"/>
            <w:left w:val="nil"/>
            <w:bottom w:val="nil"/>
            <w:right w:val="nil"/>
          </w:tcBorders>
        </w:tcPr>
        <w:p w14:paraId="6B9D84D6" w14:textId="77777777" w:rsidR="003719C7" w:rsidRDefault="003719C7">
          <w:pPr>
            <w:spacing w:line="0" w:lineRule="atLeast"/>
            <w:jc w:val="right"/>
            <w:rPr>
              <w:sz w:val="18"/>
            </w:rPr>
          </w:pPr>
        </w:p>
      </w:tc>
    </w:tr>
  </w:tbl>
  <w:p w14:paraId="15750F21" w14:textId="77777777" w:rsidR="003719C7" w:rsidRPr="00ED79B6" w:rsidRDefault="003719C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8012" w14:textId="5209D426" w:rsidR="003719C7" w:rsidRPr="00E33C1C" w:rsidRDefault="003719C7">
    <w:pPr>
      <w:pBdr>
        <w:top w:val="single" w:sz="6" w:space="1" w:color="auto"/>
      </w:pBdr>
      <w:spacing w:before="120" w:line="0" w:lineRule="atLeast"/>
      <w:rPr>
        <w:sz w:val="16"/>
        <w:szCs w:val="16"/>
      </w:rPr>
    </w:pPr>
    <w:bookmarkStart w:id="31" w:name="_Hlk26285929"/>
    <w:bookmarkStart w:id="32" w:name="_Hlk26285930"/>
    <w:bookmarkStart w:id="33" w:name="_Hlk26285933"/>
    <w:bookmarkStart w:id="34" w:name="_Hlk26285934"/>
  </w:p>
  <w:tbl>
    <w:tblPr>
      <w:tblStyle w:val="TableGrid"/>
      <w:tblW w:w="8472" w:type="dxa"/>
      <w:tblLayout w:type="fixed"/>
      <w:tblLook w:val="04A0" w:firstRow="1" w:lastRow="0" w:firstColumn="1" w:lastColumn="0" w:noHBand="0" w:noVBand="1"/>
    </w:tblPr>
    <w:tblGrid>
      <w:gridCol w:w="1384"/>
      <w:gridCol w:w="6379"/>
      <w:gridCol w:w="709"/>
    </w:tblGrid>
    <w:tr w:rsidR="00CD77F9" w14:paraId="041DA52B" w14:textId="77777777" w:rsidTr="001C1A32">
      <w:tc>
        <w:tcPr>
          <w:tcW w:w="1384" w:type="dxa"/>
          <w:tcBorders>
            <w:top w:val="nil"/>
            <w:left w:val="nil"/>
            <w:bottom w:val="nil"/>
            <w:right w:val="nil"/>
          </w:tcBorders>
        </w:tcPr>
        <w:p w14:paraId="4028E44B" w14:textId="77777777" w:rsidR="003719C7" w:rsidRDefault="003719C7">
          <w:pPr>
            <w:spacing w:line="0" w:lineRule="atLeast"/>
            <w:rPr>
              <w:sz w:val="18"/>
            </w:rPr>
          </w:pPr>
        </w:p>
      </w:tc>
      <w:tc>
        <w:tcPr>
          <w:tcW w:w="6379" w:type="dxa"/>
          <w:tcBorders>
            <w:top w:val="nil"/>
            <w:left w:val="nil"/>
            <w:bottom w:val="nil"/>
            <w:right w:val="nil"/>
          </w:tcBorders>
        </w:tcPr>
        <w:p w14:paraId="7BCADC19" w14:textId="189ECB6C" w:rsidR="003719C7" w:rsidRDefault="003C150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234FB">
            <w:rPr>
              <w:i/>
              <w:noProof/>
              <w:sz w:val="18"/>
            </w:rPr>
            <w:t>Housing Australia Investment Mandate Amendment (2024 Measures No. 1) Direction 2024</w:t>
          </w:r>
          <w:r>
            <w:rPr>
              <w:i/>
              <w:sz w:val="18"/>
            </w:rPr>
            <w:fldChar w:fldCharType="end"/>
          </w:r>
        </w:p>
      </w:tc>
      <w:tc>
        <w:tcPr>
          <w:tcW w:w="709" w:type="dxa"/>
          <w:tcBorders>
            <w:top w:val="nil"/>
            <w:left w:val="nil"/>
            <w:bottom w:val="nil"/>
            <w:right w:val="nil"/>
          </w:tcBorders>
        </w:tcPr>
        <w:p w14:paraId="306A9688" w14:textId="77777777" w:rsidR="003719C7" w:rsidRDefault="003C15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1"/>
    <w:bookmarkEnd w:id="32"/>
    <w:bookmarkEnd w:id="33"/>
    <w:bookmarkEnd w:id="34"/>
  </w:tbl>
  <w:p w14:paraId="52841B7D" w14:textId="77777777" w:rsidR="003719C7" w:rsidRPr="00ED79B6" w:rsidRDefault="003719C7">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01F2" w14:textId="77777777" w:rsidR="003719C7" w:rsidRPr="00E33C1C" w:rsidRDefault="003719C7">
    <w:pPr>
      <w:pBdr>
        <w:top w:val="single" w:sz="6" w:space="1" w:color="auto"/>
      </w:pBdr>
      <w:spacing w:line="0" w:lineRule="atLeast"/>
      <w:rPr>
        <w:sz w:val="16"/>
        <w:szCs w:val="16"/>
      </w:rPr>
    </w:pPr>
    <w:bookmarkStart w:id="37" w:name="_Hlk26285931"/>
    <w:bookmarkStart w:id="38" w:name="_Hlk26285932"/>
  </w:p>
  <w:tbl>
    <w:tblPr>
      <w:tblStyle w:val="TableGrid"/>
      <w:tblW w:w="8472" w:type="dxa"/>
      <w:tblLayout w:type="fixed"/>
      <w:tblLook w:val="04A0" w:firstRow="1" w:lastRow="0" w:firstColumn="1" w:lastColumn="0" w:noHBand="0" w:noVBand="1"/>
    </w:tblPr>
    <w:tblGrid>
      <w:gridCol w:w="1384"/>
      <w:gridCol w:w="6379"/>
      <w:gridCol w:w="709"/>
    </w:tblGrid>
    <w:tr w:rsidR="00CD77F9" w14:paraId="6E6E09C6" w14:textId="77777777" w:rsidTr="001C1A32">
      <w:tc>
        <w:tcPr>
          <w:tcW w:w="1384" w:type="dxa"/>
          <w:tcBorders>
            <w:top w:val="nil"/>
            <w:left w:val="nil"/>
            <w:bottom w:val="nil"/>
            <w:right w:val="nil"/>
          </w:tcBorders>
        </w:tcPr>
        <w:p w14:paraId="51BC7AE7" w14:textId="77777777" w:rsidR="003719C7" w:rsidRDefault="003719C7">
          <w:pPr>
            <w:spacing w:line="0" w:lineRule="atLeast"/>
            <w:rPr>
              <w:sz w:val="18"/>
            </w:rPr>
          </w:pPr>
        </w:p>
      </w:tc>
      <w:tc>
        <w:tcPr>
          <w:tcW w:w="6379" w:type="dxa"/>
          <w:tcBorders>
            <w:top w:val="nil"/>
            <w:left w:val="nil"/>
            <w:bottom w:val="nil"/>
            <w:right w:val="nil"/>
          </w:tcBorders>
        </w:tcPr>
        <w:p w14:paraId="46C3CF87" w14:textId="7EE6BB5E" w:rsidR="003719C7" w:rsidRDefault="003C15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5AB1">
            <w:rPr>
              <w:i/>
              <w:sz w:val="18"/>
            </w:rPr>
            <w:t>[title] Amendment [type] 2017</w:t>
          </w:r>
          <w:r w:rsidRPr="007A1328">
            <w:rPr>
              <w:i/>
              <w:sz w:val="18"/>
            </w:rPr>
            <w:fldChar w:fldCharType="end"/>
          </w:r>
        </w:p>
      </w:tc>
      <w:tc>
        <w:tcPr>
          <w:tcW w:w="709" w:type="dxa"/>
          <w:tcBorders>
            <w:top w:val="nil"/>
            <w:left w:val="nil"/>
            <w:bottom w:val="nil"/>
            <w:right w:val="nil"/>
          </w:tcBorders>
        </w:tcPr>
        <w:p w14:paraId="60FD3F30" w14:textId="77777777" w:rsidR="003719C7" w:rsidRDefault="003C15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7"/>
    <w:bookmarkEnd w:id="38"/>
  </w:tbl>
  <w:p w14:paraId="53693546" w14:textId="77777777" w:rsidR="003719C7" w:rsidRPr="00ED79B6" w:rsidRDefault="003719C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624" w14:textId="77777777" w:rsidR="002D1A8A" w:rsidRDefault="002D1A8A" w:rsidP="00F5638C">
      <w:pPr>
        <w:spacing w:line="240" w:lineRule="auto"/>
      </w:pPr>
      <w:r>
        <w:separator/>
      </w:r>
    </w:p>
  </w:footnote>
  <w:footnote w:type="continuationSeparator" w:id="0">
    <w:p w14:paraId="226BAF7C" w14:textId="77777777" w:rsidR="002D1A8A" w:rsidRDefault="002D1A8A" w:rsidP="00F5638C">
      <w:pPr>
        <w:spacing w:line="240" w:lineRule="auto"/>
      </w:pPr>
      <w:r>
        <w:continuationSeparator/>
      </w:r>
    </w:p>
  </w:footnote>
  <w:footnote w:type="continuationNotice" w:id="1">
    <w:p w14:paraId="340CBCE9" w14:textId="77777777" w:rsidR="002D1A8A" w:rsidRDefault="002D1A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6FE5" w14:textId="2A08C051" w:rsidR="00F5638C" w:rsidRPr="005F1388" w:rsidRDefault="00F5638C">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8A82" w14:textId="03B91E49" w:rsidR="00F5638C" w:rsidRPr="005F1388" w:rsidRDefault="00F5638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8AE2" w14:textId="77777777" w:rsidR="00F5638C" w:rsidRPr="005F1388" w:rsidRDefault="00F5638C">
    <w:pPr>
      <w:pStyle w:val="Header"/>
      <w:tabs>
        <w:tab w:val="clear" w:pos="4150"/>
        <w:tab w:val="clear" w:pos="8307"/>
      </w:tabs>
    </w:pPr>
    <w:bookmarkStart w:id="4" w:name="_Hlk26285901"/>
    <w:bookmarkStart w:id="5" w:name="_Hlk26285902"/>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232B" w14:textId="3DC42132" w:rsidR="00F5638C" w:rsidRPr="00ED79B6" w:rsidRDefault="00F5638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3667" w14:textId="1CA0824A" w:rsidR="00F5638C" w:rsidRPr="00ED79B6" w:rsidRDefault="00F5638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80CE" w14:textId="77777777" w:rsidR="00F5638C" w:rsidRPr="00ED79B6" w:rsidRDefault="00F5638C">
    <w:pPr>
      <w:pStyle w:val="Header"/>
      <w:tabs>
        <w:tab w:val="clear" w:pos="4150"/>
        <w:tab w:val="clear" w:pos="8307"/>
      </w:tabs>
    </w:pPr>
    <w:bookmarkStart w:id="14" w:name="_Hlk26285913"/>
    <w:bookmarkStart w:id="15" w:name="_Hlk26285914"/>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32D" w14:textId="7BEE14D1" w:rsidR="003719C7" w:rsidRPr="00A961C4" w:rsidRDefault="003C1503">
    <w:pPr>
      <w:rPr>
        <w:b/>
        <w:sz w:val="20"/>
      </w:rPr>
    </w:pPr>
    <w:r>
      <w:rPr>
        <w:b/>
        <w:sz w:val="20"/>
      </w:rPr>
      <w:fldChar w:fldCharType="begin"/>
    </w:r>
    <w:r>
      <w:rPr>
        <w:b/>
        <w:sz w:val="20"/>
      </w:rPr>
      <w:instrText xml:space="preserve"> STYLEREF CharAmSchNo </w:instrText>
    </w:r>
    <w:r>
      <w:rPr>
        <w:b/>
        <w:sz w:val="20"/>
      </w:rPr>
      <w:fldChar w:fldCharType="separate"/>
    </w:r>
    <w:r w:rsidR="0041126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11260">
      <w:rPr>
        <w:noProof/>
        <w:sz w:val="20"/>
      </w:rPr>
      <w:t>Amendments</w:t>
    </w:r>
    <w:r>
      <w:rPr>
        <w:sz w:val="20"/>
      </w:rPr>
      <w:fldChar w:fldCharType="end"/>
    </w:r>
  </w:p>
  <w:p w14:paraId="67D0FC4C" w14:textId="473EEB3D" w:rsidR="003719C7" w:rsidRPr="00A961C4" w:rsidRDefault="003C150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76BDF7A" w14:textId="77777777" w:rsidR="003719C7" w:rsidRPr="00A961C4" w:rsidRDefault="003719C7">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 w:name="_Hlk26285923"/>
  <w:bookmarkStart w:id="28" w:name="_Hlk26285924"/>
  <w:bookmarkStart w:id="29" w:name="_Hlk26285927"/>
  <w:bookmarkStart w:id="30" w:name="_Hlk26285928"/>
  <w:p w14:paraId="3DDA3B06" w14:textId="7CC201CE" w:rsidR="003719C7" w:rsidRPr="00A961C4" w:rsidRDefault="003C1503">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8171E75" w14:textId="49072823" w:rsidR="003719C7" w:rsidRPr="00A961C4" w:rsidRDefault="003C150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27"/>
  <w:bookmarkEnd w:id="28"/>
  <w:bookmarkEnd w:id="29"/>
  <w:bookmarkEnd w:id="30"/>
  <w:p w14:paraId="29F86112" w14:textId="77777777" w:rsidR="003719C7" w:rsidRPr="00A961C4" w:rsidRDefault="003719C7">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18F" w14:textId="77777777" w:rsidR="003719C7" w:rsidRPr="00A961C4" w:rsidRDefault="003719C7">
    <w:bookmarkStart w:id="35" w:name="_Hlk26285925"/>
    <w:bookmarkStart w:id="36" w:name="_Hlk26285926"/>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1536B25"/>
    <w:multiLevelType w:val="hybridMultilevel"/>
    <w:tmpl w:val="1482FDBC"/>
    <w:lvl w:ilvl="0" w:tplc="67BAE1AC">
      <w:start w:val="2"/>
      <w:numFmt w:val="lowerLetter"/>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num w:numId="1" w16cid:durableId="1824660799">
    <w:abstractNumId w:val="9"/>
  </w:num>
  <w:num w:numId="2" w16cid:durableId="426734653">
    <w:abstractNumId w:val="7"/>
  </w:num>
  <w:num w:numId="3" w16cid:durableId="430510163">
    <w:abstractNumId w:val="6"/>
  </w:num>
  <w:num w:numId="4" w16cid:durableId="1226526324">
    <w:abstractNumId w:val="5"/>
  </w:num>
  <w:num w:numId="5" w16cid:durableId="906770598">
    <w:abstractNumId w:val="4"/>
  </w:num>
  <w:num w:numId="6" w16cid:durableId="540435525">
    <w:abstractNumId w:val="8"/>
  </w:num>
  <w:num w:numId="7" w16cid:durableId="223956891">
    <w:abstractNumId w:val="3"/>
  </w:num>
  <w:num w:numId="8" w16cid:durableId="246111694">
    <w:abstractNumId w:val="2"/>
  </w:num>
  <w:num w:numId="9" w16cid:durableId="247152917">
    <w:abstractNumId w:val="1"/>
  </w:num>
  <w:num w:numId="10" w16cid:durableId="1473980968">
    <w:abstractNumId w:val="0"/>
  </w:num>
  <w:num w:numId="11" w16cid:durableId="1546526792">
    <w:abstractNumId w:val="11"/>
  </w:num>
  <w:num w:numId="12" w16cid:durableId="1278953861">
    <w:abstractNumId w:val="10"/>
  </w:num>
  <w:num w:numId="13" w16cid:durableId="1859272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32"/>
    <w:rsid w:val="00007436"/>
    <w:rsid w:val="00014094"/>
    <w:rsid w:val="0003066E"/>
    <w:rsid w:val="000A10DA"/>
    <w:rsid w:val="000C1614"/>
    <w:rsid w:val="000D08E4"/>
    <w:rsid w:val="000D540C"/>
    <w:rsid w:val="000E60B5"/>
    <w:rsid w:val="00106E27"/>
    <w:rsid w:val="00125429"/>
    <w:rsid w:val="00125739"/>
    <w:rsid w:val="0014779A"/>
    <w:rsid w:val="001517B9"/>
    <w:rsid w:val="001553EA"/>
    <w:rsid w:val="00160FA2"/>
    <w:rsid w:val="001A0E94"/>
    <w:rsid w:val="001B3F80"/>
    <w:rsid w:val="001C1A32"/>
    <w:rsid w:val="001D5CA3"/>
    <w:rsid w:val="001E52D3"/>
    <w:rsid w:val="002070E0"/>
    <w:rsid w:val="002178D3"/>
    <w:rsid w:val="00225DA8"/>
    <w:rsid w:val="00226CE1"/>
    <w:rsid w:val="00262136"/>
    <w:rsid w:val="002B1FD8"/>
    <w:rsid w:val="002D1A8A"/>
    <w:rsid w:val="003058AA"/>
    <w:rsid w:val="00351C6A"/>
    <w:rsid w:val="00356183"/>
    <w:rsid w:val="00361390"/>
    <w:rsid w:val="00365C86"/>
    <w:rsid w:val="003719C7"/>
    <w:rsid w:val="003A6439"/>
    <w:rsid w:val="003B6EF9"/>
    <w:rsid w:val="003C1503"/>
    <w:rsid w:val="003C3651"/>
    <w:rsid w:val="003D35E8"/>
    <w:rsid w:val="003D4F04"/>
    <w:rsid w:val="003D5FC3"/>
    <w:rsid w:val="003D7C74"/>
    <w:rsid w:val="003F57DA"/>
    <w:rsid w:val="00411260"/>
    <w:rsid w:val="004174ED"/>
    <w:rsid w:val="00420C26"/>
    <w:rsid w:val="004250AA"/>
    <w:rsid w:val="004440C3"/>
    <w:rsid w:val="00445DAE"/>
    <w:rsid w:val="004866D7"/>
    <w:rsid w:val="004C1807"/>
    <w:rsid w:val="004C4035"/>
    <w:rsid w:val="004E4897"/>
    <w:rsid w:val="004E7AF3"/>
    <w:rsid w:val="004F427C"/>
    <w:rsid w:val="005069A6"/>
    <w:rsid w:val="0053576B"/>
    <w:rsid w:val="00564FE2"/>
    <w:rsid w:val="00577641"/>
    <w:rsid w:val="00580591"/>
    <w:rsid w:val="00592374"/>
    <w:rsid w:val="00595534"/>
    <w:rsid w:val="005C0F0B"/>
    <w:rsid w:val="005E6CFF"/>
    <w:rsid w:val="0062418D"/>
    <w:rsid w:val="00666417"/>
    <w:rsid w:val="00685624"/>
    <w:rsid w:val="006948DC"/>
    <w:rsid w:val="00695AB1"/>
    <w:rsid w:val="006D58AC"/>
    <w:rsid w:val="006D7FDC"/>
    <w:rsid w:val="00703491"/>
    <w:rsid w:val="0071034A"/>
    <w:rsid w:val="00722655"/>
    <w:rsid w:val="00732F9F"/>
    <w:rsid w:val="00741E7F"/>
    <w:rsid w:val="007469C9"/>
    <w:rsid w:val="00754588"/>
    <w:rsid w:val="00761A76"/>
    <w:rsid w:val="0076349D"/>
    <w:rsid w:val="007873B5"/>
    <w:rsid w:val="00790711"/>
    <w:rsid w:val="0079122B"/>
    <w:rsid w:val="007E619C"/>
    <w:rsid w:val="007E7591"/>
    <w:rsid w:val="007F07BF"/>
    <w:rsid w:val="00834FFE"/>
    <w:rsid w:val="00892CFE"/>
    <w:rsid w:val="00893B19"/>
    <w:rsid w:val="008C0E9E"/>
    <w:rsid w:val="008D1A6A"/>
    <w:rsid w:val="008D360F"/>
    <w:rsid w:val="008E12E6"/>
    <w:rsid w:val="008E5603"/>
    <w:rsid w:val="009262C9"/>
    <w:rsid w:val="00934128"/>
    <w:rsid w:val="00947EEC"/>
    <w:rsid w:val="00965EF8"/>
    <w:rsid w:val="009664FC"/>
    <w:rsid w:val="00966FBB"/>
    <w:rsid w:val="009848BD"/>
    <w:rsid w:val="00992596"/>
    <w:rsid w:val="009D20B4"/>
    <w:rsid w:val="009E5BDE"/>
    <w:rsid w:val="009F1F1A"/>
    <w:rsid w:val="009F308E"/>
    <w:rsid w:val="00A00E86"/>
    <w:rsid w:val="00A16D4C"/>
    <w:rsid w:val="00A426C4"/>
    <w:rsid w:val="00A74E8B"/>
    <w:rsid w:val="00A76ED3"/>
    <w:rsid w:val="00A904ED"/>
    <w:rsid w:val="00A92732"/>
    <w:rsid w:val="00AB1291"/>
    <w:rsid w:val="00AB57D9"/>
    <w:rsid w:val="00AD4DAD"/>
    <w:rsid w:val="00AD7931"/>
    <w:rsid w:val="00AD7CAF"/>
    <w:rsid w:val="00AE2C42"/>
    <w:rsid w:val="00AF7343"/>
    <w:rsid w:val="00B234FB"/>
    <w:rsid w:val="00B425C6"/>
    <w:rsid w:val="00B4489C"/>
    <w:rsid w:val="00B60B64"/>
    <w:rsid w:val="00B659FC"/>
    <w:rsid w:val="00BA06BA"/>
    <w:rsid w:val="00BA5ECF"/>
    <w:rsid w:val="00BC6365"/>
    <w:rsid w:val="00BE4B92"/>
    <w:rsid w:val="00BF1E5B"/>
    <w:rsid w:val="00C02B34"/>
    <w:rsid w:val="00C140D7"/>
    <w:rsid w:val="00C20C24"/>
    <w:rsid w:val="00C502AD"/>
    <w:rsid w:val="00C70AA1"/>
    <w:rsid w:val="00C84C98"/>
    <w:rsid w:val="00C9209D"/>
    <w:rsid w:val="00C940B2"/>
    <w:rsid w:val="00C9500F"/>
    <w:rsid w:val="00CB09C9"/>
    <w:rsid w:val="00CB1F99"/>
    <w:rsid w:val="00CB2D9A"/>
    <w:rsid w:val="00CB2E41"/>
    <w:rsid w:val="00CD77F9"/>
    <w:rsid w:val="00CE14F5"/>
    <w:rsid w:val="00CE478A"/>
    <w:rsid w:val="00CE6FD8"/>
    <w:rsid w:val="00D044A9"/>
    <w:rsid w:val="00D30F93"/>
    <w:rsid w:val="00D31A67"/>
    <w:rsid w:val="00D90D9D"/>
    <w:rsid w:val="00D92659"/>
    <w:rsid w:val="00DA24EA"/>
    <w:rsid w:val="00DA4161"/>
    <w:rsid w:val="00DC01AB"/>
    <w:rsid w:val="00DE13A4"/>
    <w:rsid w:val="00DF721F"/>
    <w:rsid w:val="00E14A8B"/>
    <w:rsid w:val="00E31E8C"/>
    <w:rsid w:val="00E37FA0"/>
    <w:rsid w:val="00E46431"/>
    <w:rsid w:val="00E46726"/>
    <w:rsid w:val="00E67EDF"/>
    <w:rsid w:val="00E77F72"/>
    <w:rsid w:val="00E8033A"/>
    <w:rsid w:val="00EC5A91"/>
    <w:rsid w:val="00ED2FE1"/>
    <w:rsid w:val="00ED3AC1"/>
    <w:rsid w:val="00F002C3"/>
    <w:rsid w:val="00F020F4"/>
    <w:rsid w:val="00F13210"/>
    <w:rsid w:val="00F2369A"/>
    <w:rsid w:val="00F42AFF"/>
    <w:rsid w:val="00F460BB"/>
    <w:rsid w:val="00F5638C"/>
    <w:rsid w:val="00F606BF"/>
    <w:rsid w:val="00F627D2"/>
    <w:rsid w:val="00F80B68"/>
    <w:rsid w:val="00F86B12"/>
    <w:rsid w:val="00F93FDB"/>
    <w:rsid w:val="00F94657"/>
    <w:rsid w:val="00F97DB9"/>
    <w:rsid w:val="00FB3643"/>
    <w:rsid w:val="00FB6A09"/>
    <w:rsid w:val="00FE1BCB"/>
    <w:rsid w:val="00FE6B32"/>
    <w:rsid w:val="00FF7C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AF5"/>
  <w15:chartTrackingRefBased/>
  <w15:docId w15:val="{9632A715-1A59-4BF4-A56B-202FEFEB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 w:type="paragraph" w:styleId="Revision">
    <w:name w:val="Revision"/>
    <w:hidden/>
    <w:uiPriority w:val="99"/>
    <w:semiHidden/>
    <w:rsid w:val="00225DA8"/>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16</Value>
      <Value>42</Value>
      <Value>5</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approvals</TermName>
          <TermId xmlns="http://schemas.microsoft.com/office/infopath/2007/PartnerControls">3c8a7a38-5887-470f-bfda-0cbf857c59ce</TermId>
        </TermInfo>
      </Terms>
    </gfba5f33532c49208d2320ce38cc3c2b>
    <_dlc_DocId xmlns="fe39d773-a83d-4623-ae74-f25711a76616">S574FYTY5PW6-969949929-1686</_dlc_DocId>
    <_dlc_DocIdUrl xmlns="fe39d773-a83d-4623-ae74-f25711a76616">
      <Url>https://austreasury.sharepoint.com/sites/leg-cord-function/_layouts/15/DocIdRedir.aspx?ID=S574FYTY5PW6-969949929-1686</Url>
      <Description>S574FYTY5PW6-969949929-1686</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9" ma:contentTypeDescription="Create a new document." ma:contentTypeScope="" ma:versionID="ac34372069ed68bd6cd86d26ae34b720">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8a38fe6741b1ab46a1f0f429a620d4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8A78A-71B6-49CC-9160-FE6648B9355E}">
  <ds:schemaRefs>
    <ds:schemaRef ds:uri="http://schemas.microsoft.com/sharepoint/v3/contenttype/forms"/>
  </ds:schemaRefs>
</ds:datastoreItem>
</file>

<file path=customXml/itemProps2.xml><?xml version="1.0" encoding="utf-8"?>
<ds:datastoreItem xmlns:ds="http://schemas.openxmlformats.org/officeDocument/2006/customXml" ds:itemID="{C8477DD6-C4B3-4BED-81EE-4A816B9E3746}">
  <ds:schemaRefs>
    <ds:schemaRef ds:uri="ff38c824-6e29-4496-8487-69f397e7ed29"/>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0b813c2-29e2-43aa-bac2-1ed67b791ce7"/>
    <ds:schemaRef ds:uri="fe39d773-a83d-4623-ae74-f25711a76616"/>
    <ds:schemaRef ds:uri="http://schemas.microsoft.com/office/infopath/2007/PartnerControls"/>
    <ds:schemaRef ds:uri="http://purl.org/dc/dcmitype/"/>
    <ds:schemaRef ds:uri="42f4cb5a-261c-4c59-b165-7132460581a3"/>
    <ds:schemaRef ds:uri="http://purl.org/dc/terms/"/>
  </ds:schemaRefs>
</ds:datastoreItem>
</file>

<file path=customXml/itemProps3.xml><?xml version="1.0" encoding="utf-8"?>
<ds:datastoreItem xmlns:ds="http://schemas.openxmlformats.org/officeDocument/2006/customXml" ds:itemID="{6959B8E5-E43D-4A50-B68C-427D62E85C5C}">
  <ds:schemaRefs>
    <ds:schemaRef ds:uri="http://schemas.openxmlformats.org/officeDocument/2006/bibliography"/>
  </ds:schemaRefs>
</ds:datastoreItem>
</file>

<file path=customXml/itemProps4.xml><?xml version="1.0" encoding="utf-8"?>
<ds:datastoreItem xmlns:ds="http://schemas.openxmlformats.org/officeDocument/2006/customXml" ds:itemID="{DEE0D5FC-275F-4EDF-941E-2973A168CC82}">
  <ds:schemaRefs>
    <ds:schemaRef ds:uri="http://schemas.microsoft.com/sharepoint/events"/>
  </ds:schemaRefs>
</ds:datastoreItem>
</file>

<file path=customXml/itemProps5.xml><?xml version="1.0" encoding="utf-8"?>
<ds:datastoreItem xmlns:ds="http://schemas.openxmlformats.org/officeDocument/2006/customXml" ds:itemID="{FABA9AD8-980D-40BD-BA6F-8C9360C4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1</TotalTime>
  <Pages>10</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Cuming, Anita</cp:lastModifiedBy>
  <cp:revision>2</cp:revision>
  <cp:lastPrinted>2024-06-26T10:59:00Z</cp:lastPrinted>
  <dcterms:created xsi:type="dcterms:W3CDTF">2024-07-04T23:57:00Z</dcterms:created>
  <dcterms:modified xsi:type="dcterms:W3CDTF">2024-07-04T23:57:00Z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0x010100B569D256E75E71428C72445DFBB99E7A</vt:lpwstr>
  </property>
  <property fmtid="{D5CDD505-2E9C-101B-9397-08002B2CF9AE}" pid="14" name="TSYRecordClass">
    <vt:lpwstr>1;#AE-20260-Destroy 7 years after action completed|623f5ec9-ec5d-4824-8e13-9c9bfc51fe7e</vt:lpwstr>
  </property>
  <property fmtid="{D5CDD505-2E9C-101B-9397-08002B2CF9AE}" pid="15" name="_dlc_DocIdItemGuid">
    <vt:lpwstr>289b633e-0fef-4727-b3e9-058f81384a6e</vt:lpwstr>
  </property>
  <property fmtid="{D5CDD505-2E9C-101B-9397-08002B2CF9AE}" pid="16" name="TSYStatus">
    <vt:lpwstr/>
  </property>
  <property fmtid="{D5CDD505-2E9C-101B-9397-08002B2CF9AE}" pid="17" name="MediaServiceImageTags">
    <vt:lpwstr/>
  </property>
  <property fmtid="{D5CDD505-2E9C-101B-9397-08002B2CF9AE}" pid="18" name="eTheme">
    <vt:lpwstr>1;#Law Design|318dd2d2-18da-4b8e-a458-14db2c1af95f</vt:lpwstr>
  </property>
  <property fmtid="{D5CDD505-2E9C-101B-9397-08002B2CF9AE}" pid="19" name="eDocumentType">
    <vt:lpwstr>68;#Legislation|bc5c492f-641e-4b74-8651-322acd553d0f</vt:lpwstr>
  </property>
  <property fmtid="{D5CDD505-2E9C-101B-9397-08002B2CF9AE}" pid="20" name="LMDivision">
    <vt:lpwstr/>
  </property>
  <property fmtid="{D5CDD505-2E9C-101B-9397-08002B2CF9AE}" pid="21" name="eActivity">
    <vt:lpwstr>5;#Legislation management|cb630f2f-9155-496b-ad0f-d960eb1bf90c</vt:lpwstr>
  </property>
  <property fmtid="{D5CDD505-2E9C-101B-9397-08002B2CF9AE}" pid="22" name="eTopic">
    <vt:lpwstr>16;#policy approvals|3c8a7a38-5887-470f-bfda-0cbf857c59ce</vt:lpwstr>
  </property>
  <property fmtid="{D5CDD505-2E9C-101B-9397-08002B2CF9AE}" pid="23" name="Topic">
    <vt:lpwstr>36;#Legislation Coordination|58c6712e-e847-48f4-81ab-b25e2bbd3986</vt:lpwstr>
  </property>
  <property fmtid="{D5CDD505-2E9C-101B-9397-08002B2CF9AE}" pid="24" name="Activity">
    <vt:lpwstr>35;#Legislation management|cb630f2f-9155-496b-ad0f-d960eb1bf90c</vt:lpwstr>
  </property>
  <property fmtid="{D5CDD505-2E9C-101B-9397-08002B2CF9AE}" pid="25" name="Document Type">
    <vt:lpwstr>42;#Legislation|25c35cca-98fe-4d3e-a63c-3dda1c39f3ec</vt:lpwstr>
  </property>
  <property fmtid="{D5CDD505-2E9C-101B-9397-08002B2CF9AE}" pid="26" name="MSIP_Label_4f932d64-9ab1-4d9b-81d2-a3a8b82dd47d_Enabled">
    <vt:lpwstr>true</vt:lpwstr>
  </property>
  <property fmtid="{D5CDD505-2E9C-101B-9397-08002B2CF9AE}" pid="27" name="MSIP_Label_4f932d64-9ab1-4d9b-81d2-a3a8b82dd47d_SetDate">
    <vt:lpwstr>2024-07-04T23:56:39Z</vt:lpwstr>
  </property>
  <property fmtid="{D5CDD505-2E9C-101B-9397-08002B2CF9AE}" pid="28" name="MSIP_Label_4f932d64-9ab1-4d9b-81d2-a3a8b82dd47d_Method">
    <vt:lpwstr>Privileged</vt:lpwstr>
  </property>
  <property fmtid="{D5CDD505-2E9C-101B-9397-08002B2CF9AE}" pid="29" name="MSIP_Label_4f932d64-9ab1-4d9b-81d2-a3a8b82dd47d_Name">
    <vt:lpwstr>OFFICIAL No Visual Marking</vt:lpwstr>
  </property>
  <property fmtid="{D5CDD505-2E9C-101B-9397-08002B2CF9AE}" pid="30" name="MSIP_Label_4f932d64-9ab1-4d9b-81d2-a3a8b82dd47d_SiteId">
    <vt:lpwstr>214f1646-2021-47cc-8397-e3d3a7ba7d9d</vt:lpwstr>
  </property>
  <property fmtid="{D5CDD505-2E9C-101B-9397-08002B2CF9AE}" pid="31" name="MSIP_Label_4f932d64-9ab1-4d9b-81d2-a3a8b82dd47d_ActionId">
    <vt:lpwstr>c7ef429d-60d3-477d-8b20-7a72a0278b37</vt:lpwstr>
  </property>
  <property fmtid="{D5CDD505-2E9C-101B-9397-08002B2CF9AE}" pid="32" name="MSIP_Label_4f932d64-9ab1-4d9b-81d2-a3a8b82dd47d_ContentBits">
    <vt:lpwstr>0</vt:lpwstr>
  </property>
</Properties>
</file>