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BEB3D" w14:textId="77777777" w:rsidR="00955175" w:rsidRDefault="00955175" w:rsidP="00E2168B">
      <w:pPr>
        <w:spacing w:before="280" w:after="240"/>
        <w:rPr>
          <w:b/>
          <w:sz w:val="32"/>
          <w:szCs w:val="32"/>
        </w:rPr>
      </w:pPr>
    </w:p>
    <w:p w14:paraId="0AAC3FC8" w14:textId="781C253F" w:rsidR="00955175" w:rsidRPr="008B5BDD" w:rsidRDefault="00FC6D88" w:rsidP="00E2168B">
      <w:pPr>
        <w:spacing w:before="280" w:after="240"/>
        <w:rPr>
          <w:b/>
          <w:sz w:val="32"/>
          <w:szCs w:val="32"/>
        </w:rPr>
      </w:pPr>
      <w:r w:rsidRPr="008B5BDD">
        <w:rPr>
          <w:noProof/>
        </w:rPr>
        <w:drawing>
          <wp:anchor distT="0" distB="0" distL="114300" distR="114300" simplePos="0" relativeHeight="251658240" behindDoc="0" locked="0" layoutInCell="1" allowOverlap="1" wp14:anchorId="7F506AFA" wp14:editId="5DCC0D03">
            <wp:simplePos x="0" y="0"/>
            <wp:positionH relativeFrom="margin">
              <wp:align>center</wp:align>
            </wp:positionH>
            <wp:positionV relativeFrom="margin">
              <wp:align>top</wp:align>
            </wp:positionV>
            <wp:extent cx="3542030" cy="746760"/>
            <wp:effectExtent l="0" t="0" r="0" b="0"/>
            <wp:wrapSquare wrapText="bothSides"/>
            <wp:docPr id="3" name="Picture 3"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and ASIC logo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42030" cy="746760"/>
                    </a:xfrm>
                    <a:prstGeom prst="rect">
                      <a:avLst/>
                    </a:prstGeom>
                    <a:noFill/>
                  </pic:spPr>
                </pic:pic>
              </a:graphicData>
            </a:graphic>
            <wp14:sizeRelH relativeFrom="page">
              <wp14:pctWidth>0</wp14:pctWidth>
            </wp14:sizeRelH>
            <wp14:sizeRelV relativeFrom="page">
              <wp14:pctHeight>0</wp14:pctHeight>
            </wp14:sizeRelV>
          </wp:anchor>
        </w:drawing>
      </w:r>
    </w:p>
    <w:p w14:paraId="0D178D1D" w14:textId="77777777" w:rsidR="00955175" w:rsidRPr="008B5BDD" w:rsidRDefault="00955175" w:rsidP="00955175">
      <w:pPr>
        <w:pStyle w:val="LI-Title"/>
        <w:pBdr>
          <w:top w:val="none" w:sz="0" w:space="0" w:color="auto"/>
        </w:pBdr>
        <w:jc w:val="center"/>
      </w:pPr>
    </w:p>
    <w:p w14:paraId="5B8D4084" w14:textId="77777777" w:rsidR="00955175" w:rsidRPr="008B5BDD" w:rsidRDefault="00955175" w:rsidP="00955175">
      <w:pPr>
        <w:pStyle w:val="LI-Title"/>
        <w:pBdr>
          <w:top w:val="none" w:sz="0" w:space="0" w:color="auto"/>
        </w:pBdr>
        <w:jc w:val="center"/>
      </w:pPr>
      <w:r w:rsidRPr="008B5BDD">
        <w:t>Explanatory Statement</w:t>
      </w:r>
    </w:p>
    <w:p w14:paraId="54F0DD85" w14:textId="77777777" w:rsidR="00955175" w:rsidRPr="008B5BDD" w:rsidRDefault="00955175" w:rsidP="00955175">
      <w:pPr>
        <w:rPr>
          <w:lang w:eastAsia="en-AU"/>
        </w:rPr>
      </w:pPr>
    </w:p>
    <w:p w14:paraId="376F21CA" w14:textId="3585649B" w:rsidR="00C4170B" w:rsidRPr="008B5BDD" w:rsidRDefault="00C060B2" w:rsidP="5B2969A8">
      <w:pPr>
        <w:jc w:val="center"/>
        <w:rPr>
          <w:b/>
          <w:bCs/>
          <w:i/>
          <w:iCs/>
          <w:sz w:val="28"/>
          <w:szCs w:val="28"/>
          <w:lang w:eastAsia="en-AU"/>
        </w:rPr>
      </w:pPr>
      <w:r w:rsidRPr="008B5BDD">
        <w:rPr>
          <w:b/>
          <w:bCs/>
          <w:i/>
          <w:iCs/>
          <w:sz w:val="28"/>
          <w:szCs w:val="28"/>
          <w:lang w:eastAsia="en-AU"/>
        </w:rPr>
        <w:t>ASIC Corporations (Amendment) Instrument 2024/</w:t>
      </w:r>
      <w:r w:rsidR="00A770C7" w:rsidRPr="008B5BDD">
        <w:rPr>
          <w:b/>
          <w:bCs/>
          <w:i/>
          <w:iCs/>
          <w:sz w:val="28"/>
          <w:szCs w:val="28"/>
          <w:lang w:eastAsia="en-AU"/>
        </w:rPr>
        <w:t>554</w:t>
      </w:r>
      <w:bookmarkStart w:id="0" w:name="BK_S3P1L1C1"/>
      <w:bookmarkEnd w:id="0"/>
    </w:p>
    <w:p w14:paraId="3D70207E" w14:textId="29EE23F8" w:rsidR="00863657" w:rsidRPr="008B5BDD" w:rsidRDefault="00F800C9" w:rsidP="00F800C9">
      <w:pPr>
        <w:pStyle w:val="LI-BodyTextParaa"/>
        <w:ind w:left="0" w:firstLine="0"/>
      </w:pPr>
      <w:r w:rsidRPr="008B5BDD">
        <w:t xml:space="preserve">This is the Explanatory Statement for </w:t>
      </w:r>
      <w:r w:rsidR="00C060B2" w:rsidRPr="008B5BDD">
        <w:rPr>
          <w:i/>
          <w:iCs/>
        </w:rPr>
        <w:t>ASIC Corporations (Amendment) Instrument 2024/</w:t>
      </w:r>
      <w:r w:rsidR="00A770C7" w:rsidRPr="008B5BDD">
        <w:rPr>
          <w:i/>
          <w:iCs/>
        </w:rPr>
        <w:t>554</w:t>
      </w:r>
      <w:r w:rsidR="009C5113" w:rsidRPr="008B5BDD">
        <w:rPr>
          <w:i/>
          <w:iCs/>
        </w:rPr>
        <w:t xml:space="preserve"> </w:t>
      </w:r>
      <w:r w:rsidR="009C5113" w:rsidRPr="008B5BDD">
        <w:t>(</w:t>
      </w:r>
      <w:r w:rsidR="009C5113" w:rsidRPr="008B5BDD">
        <w:rPr>
          <w:b/>
          <w:bCs/>
        </w:rPr>
        <w:t>Amendment Instrument</w:t>
      </w:r>
      <w:r w:rsidR="009C5113" w:rsidRPr="008B5BDD">
        <w:t>)</w:t>
      </w:r>
      <w:r w:rsidRPr="008B5BDD">
        <w:t>.</w:t>
      </w:r>
    </w:p>
    <w:p w14:paraId="119B6103" w14:textId="77777777" w:rsidR="00F800C9" w:rsidRPr="008B5BDD" w:rsidRDefault="00863657" w:rsidP="00F800C9">
      <w:pPr>
        <w:pStyle w:val="LI-BodyTextParaa"/>
        <w:ind w:left="0" w:firstLine="0"/>
      </w:pPr>
      <w:r w:rsidRPr="008B5BDD">
        <w:t>Th</w:t>
      </w:r>
      <w:r w:rsidR="00F800C9" w:rsidRPr="008B5BDD">
        <w:t>e</w:t>
      </w:r>
      <w:r w:rsidRPr="008B5BDD">
        <w:t xml:space="preserve"> </w:t>
      </w:r>
      <w:r w:rsidR="00F800C9" w:rsidRPr="008B5BDD">
        <w:t>Explanatory Statement is approved by the Australian Securities and Investments Commission (</w:t>
      </w:r>
      <w:r w:rsidR="00F800C9" w:rsidRPr="008B5BDD">
        <w:rPr>
          <w:b/>
          <w:iCs/>
        </w:rPr>
        <w:t>ASIC</w:t>
      </w:r>
      <w:r w:rsidR="00F800C9" w:rsidRPr="008B5BDD">
        <w:t>).</w:t>
      </w:r>
    </w:p>
    <w:p w14:paraId="10E55E66" w14:textId="77777777" w:rsidR="00F800C9" w:rsidRPr="008B5BDD" w:rsidRDefault="005D1FEA" w:rsidP="006D6079">
      <w:pPr>
        <w:pStyle w:val="LI-BodyTextNumbered"/>
        <w:keepNext/>
        <w:ind w:left="0" w:firstLine="0"/>
        <w:rPr>
          <w:b/>
        </w:rPr>
      </w:pPr>
      <w:r w:rsidRPr="008B5BDD">
        <w:rPr>
          <w:b/>
        </w:rPr>
        <w:t>Summary</w:t>
      </w:r>
    </w:p>
    <w:p w14:paraId="762B1897" w14:textId="134FEB90" w:rsidR="001C7F69" w:rsidRPr="008B5BDD" w:rsidRDefault="00F800C9" w:rsidP="00717219">
      <w:pPr>
        <w:pStyle w:val="LI-BodyTextParaa"/>
        <w:ind w:left="567"/>
      </w:pPr>
      <w:r w:rsidRPr="008B5BDD">
        <w:t>1</w:t>
      </w:r>
      <w:r w:rsidR="005D1FEA" w:rsidRPr="008B5BDD">
        <w:t>.</w:t>
      </w:r>
      <w:r w:rsidRPr="008B5BDD">
        <w:tab/>
      </w:r>
      <w:r w:rsidR="00B70EF9" w:rsidRPr="008B5BDD">
        <w:t>Following the</w:t>
      </w:r>
      <w:r w:rsidR="003E016F" w:rsidRPr="008B5BDD">
        <w:t xml:space="preserve"> final response of the</w:t>
      </w:r>
      <w:r w:rsidR="00B70EF9" w:rsidRPr="008B5BDD">
        <w:t xml:space="preserve"> </w:t>
      </w:r>
      <w:r w:rsidR="00872419" w:rsidRPr="008B5BDD">
        <w:t>Federal Government</w:t>
      </w:r>
      <w:r w:rsidR="003E016F" w:rsidRPr="008B5BDD">
        <w:t xml:space="preserve"> to </w:t>
      </w:r>
      <w:r w:rsidR="00B235D1" w:rsidRPr="008B5BDD">
        <w:t>the</w:t>
      </w:r>
      <w:r w:rsidR="00872419" w:rsidRPr="008B5BDD">
        <w:t xml:space="preserve"> </w:t>
      </w:r>
      <w:r w:rsidR="00BA50CD" w:rsidRPr="008B5BDD">
        <w:t xml:space="preserve">Quality of Advice Review </w:t>
      </w:r>
      <w:r w:rsidR="00B5588B" w:rsidRPr="008B5BDD">
        <w:t>(</w:t>
      </w:r>
      <w:r w:rsidR="00B5588B" w:rsidRPr="008B5BDD">
        <w:rPr>
          <w:b/>
          <w:bCs/>
        </w:rPr>
        <w:t>Review</w:t>
      </w:r>
      <w:r w:rsidR="00B5588B" w:rsidRPr="008B5BDD">
        <w:t xml:space="preserve">) </w:t>
      </w:r>
      <w:r w:rsidR="003E016F" w:rsidRPr="008B5BDD">
        <w:t xml:space="preserve">on </w:t>
      </w:r>
      <w:r w:rsidR="00020D36" w:rsidRPr="008B5BDD">
        <w:t>7 December 2023</w:t>
      </w:r>
      <w:r w:rsidR="002D4F04" w:rsidRPr="008B5BDD">
        <w:t xml:space="preserve">, the </w:t>
      </w:r>
      <w:r w:rsidR="1DF4C546" w:rsidRPr="008B5BDD">
        <w:rPr>
          <w:i/>
          <w:iCs/>
        </w:rPr>
        <w:t xml:space="preserve">Treasury Laws Amendment (Delivering Better Financial Outcomes and Other Measures) </w:t>
      </w:r>
      <w:r w:rsidR="00E825E8" w:rsidRPr="008B5BDD">
        <w:rPr>
          <w:i/>
          <w:iCs/>
        </w:rPr>
        <w:t>Act</w:t>
      </w:r>
      <w:r w:rsidR="1DF4C546" w:rsidRPr="008B5BDD">
        <w:rPr>
          <w:i/>
          <w:iCs/>
        </w:rPr>
        <w:t xml:space="preserve"> 2024</w:t>
      </w:r>
      <w:r w:rsidR="00717219" w:rsidRPr="008B5BDD">
        <w:t xml:space="preserve"> (</w:t>
      </w:r>
      <w:r w:rsidR="00B235D1" w:rsidRPr="008B5BDD">
        <w:rPr>
          <w:b/>
          <w:bCs/>
        </w:rPr>
        <w:t>Act</w:t>
      </w:r>
      <w:r w:rsidR="00717219" w:rsidRPr="008B5BDD">
        <w:t xml:space="preserve">) was </w:t>
      </w:r>
      <w:r w:rsidR="00B235D1" w:rsidRPr="008B5BDD">
        <w:t>made</w:t>
      </w:r>
      <w:r w:rsidR="00717219" w:rsidRPr="008B5BDD">
        <w:t xml:space="preserve">. The </w:t>
      </w:r>
      <w:r w:rsidR="00B235D1" w:rsidRPr="008B5BDD">
        <w:t xml:space="preserve">Act </w:t>
      </w:r>
      <w:r w:rsidR="00815437" w:rsidRPr="008B5BDD">
        <w:t xml:space="preserve">implements Government’s response to </w:t>
      </w:r>
      <w:r w:rsidR="00371DF9" w:rsidRPr="008B5BDD">
        <w:t>several recommendations of the Review</w:t>
      </w:r>
      <w:r w:rsidR="00B54287" w:rsidRPr="008B5BDD">
        <w:t xml:space="preserve"> into the </w:t>
      </w:r>
      <w:r w:rsidR="00B54287" w:rsidRPr="008B5BDD">
        <w:rPr>
          <w:i/>
          <w:iCs/>
        </w:rPr>
        <w:t>Corporations Act 2001</w:t>
      </w:r>
      <w:r w:rsidR="00B54287" w:rsidRPr="008B5BDD">
        <w:t xml:space="preserve"> (</w:t>
      </w:r>
      <w:r w:rsidR="001C7F69" w:rsidRPr="008B5BDD">
        <w:rPr>
          <w:b/>
          <w:bCs/>
        </w:rPr>
        <w:t xml:space="preserve">Corporations </w:t>
      </w:r>
      <w:r w:rsidR="00B54287" w:rsidRPr="008B5BDD">
        <w:rPr>
          <w:b/>
          <w:bCs/>
        </w:rPr>
        <w:t>Act</w:t>
      </w:r>
      <w:r w:rsidR="00B54287" w:rsidRPr="008B5BDD">
        <w:t>)</w:t>
      </w:r>
      <w:r w:rsidR="001C7F69" w:rsidRPr="008B5BDD">
        <w:t>.</w:t>
      </w:r>
    </w:p>
    <w:p w14:paraId="51AC8302" w14:textId="254D4C0F" w:rsidR="07A845A9" w:rsidRPr="008B5BDD" w:rsidRDefault="001C7F69" w:rsidP="00B80846">
      <w:pPr>
        <w:pStyle w:val="LI-BodyTextParaa"/>
        <w:ind w:left="567"/>
      </w:pPr>
      <w:r w:rsidRPr="008B5BDD">
        <w:t xml:space="preserve">2. </w:t>
      </w:r>
      <w:r w:rsidRPr="008B5BDD">
        <w:tab/>
        <w:t xml:space="preserve">The Amendment Instrument </w:t>
      </w:r>
      <w:r w:rsidR="006A195D" w:rsidRPr="008B5BDD">
        <w:t>amends t</w:t>
      </w:r>
      <w:r w:rsidR="005E1368" w:rsidRPr="008B5BDD">
        <w:t>hree</w:t>
      </w:r>
      <w:r w:rsidR="006A195D" w:rsidRPr="008B5BDD">
        <w:t xml:space="preserve"> instruments in </w:t>
      </w:r>
      <w:r w:rsidR="00B80846" w:rsidRPr="008B5BDD">
        <w:t xml:space="preserve">response to </w:t>
      </w:r>
      <w:r w:rsidR="007D389E" w:rsidRPr="008B5BDD">
        <w:t>amendments</w:t>
      </w:r>
      <w:r w:rsidR="00B80846" w:rsidRPr="008B5BDD">
        <w:t xml:space="preserve"> to the Corporations Act</w:t>
      </w:r>
      <w:r w:rsidR="00424429" w:rsidRPr="008B5BDD">
        <w:t xml:space="preserve"> </w:t>
      </w:r>
      <w:r w:rsidR="007D389E" w:rsidRPr="008B5BDD">
        <w:t xml:space="preserve">that the Act makes. </w:t>
      </w:r>
    </w:p>
    <w:p w14:paraId="3380EAFE" w14:textId="1C8700F3" w:rsidR="005E1368" w:rsidRDefault="00B71EAE" w:rsidP="67C907C7">
      <w:pPr>
        <w:pStyle w:val="LI-BodyTextParaa"/>
        <w:ind w:left="567"/>
      </w:pPr>
      <w:r w:rsidRPr="008B5BDD">
        <w:t>3</w:t>
      </w:r>
      <w:r w:rsidR="31E2776F" w:rsidRPr="008B5BDD">
        <w:t>.</w:t>
      </w:r>
      <w:r w:rsidRPr="008B5BDD">
        <w:tab/>
      </w:r>
      <w:r w:rsidR="005E1368" w:rsidRPr="008B5BDD">
        <w:t xml:space="preserve">The Amendment Instrument amends </w:t>
      </w:r>
      <w:r w:rsidR="005E1368" w:rsidRPr="008B5BDD">
        <w:rPr>
          <w:i/>
          <w:iCs/>
        </w:rPr>
        <w:t>ASIC Corporations (Disclosure of Lack of Independence) Instrument 2021/125</w:t>
      </w:r>
      <w:r w:rsidR="005E1368" w:rsidRPr="008B5BDD">
        <w:t xml:space="preserve"> (</w:t>
      </w:r>
      <w:r w:rsidR="005E1368" w:rsidRPr="008B5BDD">
        <w:rPr>
          <w:b/>
          <w:bCs/>
        </w:rPr>
        <w:t>LI 2021/125</w:t>
      </w:r>
      <w:r w:rsidR="005E1368" w:rsidRPr="008B5BDD">
        <w:t>) to clarify requirements for statements disclosing lack of independence</w:t>
      </w:r>
      <w:r w:rsidR="005E1368">
        <w:t xml:space="preserve"> in website disclosure information.</w:t>
      </w:r>
    </w:p>
    <w:p w14:paraId="50EF1994" w14:textId="3D47FD98" w:rsidR="00414F41" w:rsidRDefault="005E1368" w:rsidP="67C907C7">
      <w:pPr>
        <w:pStyle w:val="LI-BodyTextParaa"/>
        <w:ind w:left="567"/>
      </w:pPr>
      <w:r>
        <w:t>4.</w:t>
      </w:r>
      <w:r>
        <w:tab/>
      </w:r>
      <w:r w:rsidR="00414F41">
        <w:t xml:space="preserve">The Amendment Instrument </w:t>
      </w:r>
      <w:r w:rsidR="006E6F8F">
        <w:t xml:space="preserve">also </w:t>
      </w:r>
      <w:r w:rsidR="00414F41">
        <w:t xml:space="preserve">amends </w:t>
      </w:r>
      <w:r w:rsidR="00414F41" w:rsidRPr="3F03CB62">
        <w:rPr>
          <w:i/>
          <w:iCs/>
        </w:rPr>
        <w:t>ASIC Corporations and Credit (Breach Reporting—Reportable Situations) Instrument 2021/716</w:t>
      </w:r>
      <w:r w:rsidR="00414F41">
        <w:t xml:space="preserve"> (</w:t>
      </w:r>
      <w:r w:rsidR="00414F41" w:rsidRPr="3F03CB62">
        <w:rPr>
          <w:b/>
          <w:bCs/>
        </w:rPr>
        <w:t>LI 2021/716</w:t>
      </w:r>
      <w:r w:rsidR="00414F41">
        <w:t>) by removing a provision notionally inserted by that instrument, which the Act directly inserts into subsections 912D(3)(b) to (e) of the Corporations Act.</w:t>
      </w:r>
    </w:p>
    <w:p w14:paraId="6A1312C2" w14:textId="255DE35A" w:rsidR="611BF0D5" w:rsidRDefault="00414F41" w:rsidP="00414F41">
      <w:pPr>
        <w:pStyle w:val="LI-BodyTextParaa"/>
        <w:ind w:left="567"/>
      </w:pPr>
      <w:r>
        <w:t>5.</w:t>
      </w:r>
      <w:r>
        <w:tab/>
      </w:r>
      <w:r w:rsidR="31E2776F">
        <w:t xml:space="preserve">The Amendment Instrument </w:t>
      </w:r>
      <w:r w:rsidR="00902976">
        <w:t>substitutes</w:t>
      </w:r>
      <w:r w:rsidR="31E2776F">
        <w:t xml:space="preserve"> </w:t>
      </w:r>
      <w:r w:rsidR="00567244">
        <w:t xml:space="preserve">notional </w:t>
      </w:r>
      <w:r w:rsidR="00F94A16">
        <w:t xml:space="preserve">sections 952BA and 953BA of </w:t>
      </w:r>
      <w:r w:rsidR="31E2776F" w:rsidRPr="5B2969A8">
        <w:rPr>
          <w:i/>
          <w:iCs/>
        </w:rPr>
        <w:t>ASIC Corporations (Investor Directed Portfolio Services) Instrument 2023/669</w:t>
      </w:r>
      <w:r w:rsidR="31E2776F">
        <w:t xml:space="preserve"> (</w:t>
      </w:r>
      <w:r w:rsidR="31E2776F" w:rsidRPr="5B2969A8">
        <w:rPr>
          <w:b/>
          <w:bCs/>
        </w:rPr>
        <w:t>LI 2023/669</w:t>
      </w:r>
      <w:r w:rsidR="31E2776F">
        <w:t>)</w:t>
      </w:r>
      <w:r w:rsidR="00902976">
        <w:t>,</w:t>
      </w:r>
      <w:r w:rsidR="17A86043">
        <w:t xml:space="preserve"> </w:t>
      </w:r>
      <w:r w:rsidR="00F94A16">
        <w:t xml:space="preserve">which relate </w:t>
      </w:r>
      <w:r w:rsidR="17A86043">
        <w:t xml:space="preserve">to </w:t>
      </w:r>
      <w:r w:rsidR="00F94A16">
        <w:t xml:space="preserve">the apportionment of liability for a defective </w:t>
      </w:r>
      <w:r w:rsidR="00330E0A">
        <w:t xml:space="preserve">Financial Services Guide </w:t>
      </w:r>
      <w:r w:rsidR="009519AF">
        <w:t>(</w:t>
      </w:r>
      <w:r w:rsidR="009519AF" w:rsidRPr="5B2969A8">
        <w:rPr>
          <w:b/>
          <w:bCs/>
        </w:rPr>
        <w:t>FSG)</w:t>
      </w:r>
      <w:r w:rsidR="009519AF">
        <w:t xml:space="preserve"> </w:t>
      </w:r>
      <w:r w:rsidR="00330E0A">
        <w:t>or Supplement</w:t>
      </w:r>
      <w:r w:rsidR="009519AF">
        <w:t>ary FSG</w:t>
      </w:r>
      <w:r w:rsidR="00902976">
        <w:t>,</w:t>
      </w:r>
      <w:r w:rsidR="009519AF">
        <w:t xml:space="preserve"> to </w:t>
      </w:r>
      <w:r w:rsidR="17A86043">
        <w:t xml:space="preserve">ensure that </w:t>
      </w:r>
      <w:r w:rsidR="00902976">
        <w:t xml:space="preserve">their </w:t>
      </w:r>
      <w:r w:rsidR="4924104B">
        <w:t xml:space="preserve">exemptions from liability </w:t>
      </w:r>
      <w:r w:rsidR="480D9082">
        <w:t xml:space="preserve">apply in respect of </w:t>
      </w:r>
      <w:r w:rsidR="003B233C">
        <w:t xml:space="preserve">defective information in </w:t>
      </w:r>
      <w:r w:rsidR="480D9082">
        <w:t>website disclosure information</w:t>
      </w:r>
      <w:r w:rsidR="006D2F52">
        <w:t>, in addition to F</w:t>
      </w:r>
      <w:r w:rsidR="00CC4145">
        <w:t>SGs</w:t>
      </w:r>
      <w:r w:rsidR="00167179">
        <w:t xml:space="preserve"> and Supplementary F</w:t>
      </w:r>
      <w:r w:rsidR="00CC4145">
        <w:t>SGs</w:t>
      </w:r>
      <w:r w:rsidR="00853403">
        <w:t>.</w:t>
      </w:r>
    </w:p>
    <w:p w14:paraId="59A63C44" w14:textId="31B0FD21" w:rsidR="005D1FEA" w:rsidRDefault="005D1FEA" w:rsidP="006D6079">
      <w:pPr>
        <w:pStyle w:val="LI-BodyTextNumbered"/>
        <w:keepNext/>
        <w:ind w:left="0" w:firstLine="0"/>
        <w:rPr>
          <w:b/>
        </w:rPr>
      </w:pPr>
      <w:r>
        <w:rPr>
          <w:b/>
        </w:rPr>
        <w:lastRenderedPageBreak/>
        <w:t>Purpose</w:t>
      </w:r>
      <w:r w:rsidR="00B71EAE">
        <w:rPr>
          <w:b/>
        </w:rPr>
        <w:t>s</w:t>
      </w:r>
      <w:r>
        <w:rPr>
          <w:b/>
        </w:rPr>
        <w:t xml:space="preserve"> of the instrument</w:t>
      </w:r>
    </w:p>
    <w:p w14:paraId="062B838E" w14:textId="71C50599" w:rsidR="00B71EAE" w:rsidRPr="00B71EAE" w:rsidRDefault="00B71EAE" w:rsidP="006D6079">
      <w:pPr>
        <w:pStyle w:val="LI-BodyTextNumbered"/>
        <w:keepNext/>
        <w:ind w:left="0" w:firstLine="0"/>
        <w:rPr>
          <w:b/>
          <w:i/>
          <w:iCs/>
        </w:rPr>
      </w:pPr>
      <w:r>
        <w:rPr>
          <w:b/>
          <w:i/>
          <w:iCs/>
        </w:rPr>
        <w:t>First Purpose</w:t>
      </w:r>
    </w:p>
    <w:p w14:paraId="42531744" w14:textId="076A5538" w:rsidR="00426D27" w:rsidRDefault="06A75290" w:rsidP="00BB121A">
      <w:pPr>
        <w:pStyle w:val="LI-BodyTextParaa"/>
        <w:ind w:left="567"/>
      </w:pPr>
      <w:r>
        <w:t>6</w:t>
      </w:r>
      <w:r w:rsidR="1A5715F7">
        <w:t>.</w:t>
      </w:r>
      <w:r w:rsidR="5B3E3AF2">
        <w:tab/>
      </w:r>
      <w:r w:rsidR="111C819A">
        <w:t xml:space="preserve">Recommendation 10 of the Review recommended that </w:t>
      </w:r>
      <w:r w:rsidR="15C7D182">
        <w:t>relevant advice providers</w:t>
      </w:r>
      <w:r w:rsidR="24A64807">
        <w:t xml:space="preserve"> </w:t>
      </w:r>
      <w:r w:rsidR="470E2D91">
        <w:t xml:space="preserve">be permitted to </w:t>
      </w:r>
      <w:r w:rsidR="15C7D182">
        <w:t>make information publicly available on their website</w:t>
      </w:r>
      <w:r w:rsidR="24A64807">
        <w:t xml:space="preserve"> as an alternative to </w:t>
      </w:r>
      <w:r w:rsidR="7F7558DA">
        <w:t>providing information to</w:t>
      </w:r>
      <w:r w:rsidR="24A64807">
        <w:t xml:space="preserve"> their clients </w:t>
      </w:r>
      <w:r w:rsidR="267FD1A8">
        <w:t>in</w:t>
      </w:r>
      <w:r w:rsidR="24A64807">
        <w:t xml:space="preserve"> a</w:t>
      </w:r>
      <w:r w:rsidR="004642B6">
        <w:t>n</w:t>
      </w:r>
      <w:r w:rsidR="24A64807">
        <w:t xml:space="preserve"> F</w:t>
      </w:r>
      <w:r w:rsidR="00CC4145">
        <w:t>SG</w:t>
      </w:r>
      <w:r w:rsidR="034EB690">
        <w:t>.</w:t>
      </w:r>
    </w:p>
    <w:p w14:paraId="6C788B23" w14:textId="1553F2FA" w:rsidR="002D796E" w:rsidRDefault="45D29594" w:rsidP="1B52746D">
      <w:pPr>
        <w:pStyle w:val="LI-BodyTextParaa"/>
        <w:ind w:left="567"/>
      </w:pPr>
      <w:r>
        <w:t>7</w:t>
      </w:r>
      <w:r w:rsidR="002D796E">
        <w:t xml:space="preserve">. </w:t>
      </w:r>
      <w:r w:rsidR="002D796E">
        <w:tab/>
        <w:t xml:space="preserve">The </w:t>
      </w:r>
      <w:r w:rsidR="00CD43E0">
        <w:t>Act</w:t>
      </w:r>
      <w:r w:rsidR="002D796E">
        <w:t xml:space="preserve"> insert</w:t>
      </w:r>
      <w:r w:rsidR="00CD43E0">
        <w:t>s</w:t>
      </w:r>
      <w:r w:rsidR="002D796E">
        <w:t xml:space="preserve"> a new </w:t>
      </w:r>
      <w:r w:rsidR="00212EB3">
        <w:t>Division 2A in Part 7.7 of the Corporations Act</w:t>
      </w:r>
      <w:r w:rsidR="0007220C">
        <w:t>,</w:t>
      </w:r>
      <w:r w:rsidR="002F6BA3">
        <w:t xml:space="preserve"> </w:t>
      </w:r>
      <w:r w:rsidR="246F6A6A">
        <w:t>creating</w:t>
      </w:r>
      <w:r w:rsidR="0007220C">
        <w:t xml:space="preserve"> a website disclosure </w:t>
      </w:r>
      <w:r w:rsidR="00864CBB">
        <w:t xml:space="preserve">information </w:t>
      </w:r>
      <w:r w:rsidR="0007220C">
        <w:t xml:space="preserve">option as an alternative </w:t>
      </w:r>
      <w:r w:rsidR="4503F37C">
        <w:t>to providing required information to a retail client through a</w:t>
      </w:r>
      <w:r w:rsidR="008A7691">
        <w:t>n</w:t>
      </w:r>
      <w:r w:rsidR="4503F37C">
        <w:t xml:space="preserve"> F</w:t>
      </w:r>
      <w:r w:rsidR="008A7691">
        <w:t>SG</w:t>
      </w:r>
      <w:r w:rsidR="0007220C">
        <w:t>.</w:t>
      </w:r>
    </w:p>
    <w:p w14:paraId="7F9F9640" w14:textId="6CDC64A2" w:rsidR="00A5260D" w:rsidRDefault="0DBCBF35" w:rsidP="0FBA1AF8">
      <w:pPr>
        <w:pStyle w:val="LI-BodyTextParaa"/>
        <w:ind w:left="567"/>
        <w:rPr>
          <w:color w:val="000000" w:themeColor="text1"/>
        </w:rPr>
      </w:pPr>
      <w:r>
        <w:t>8</w:t>
      </w:r>
      <w:r w:rsidR="00707239">
        <w:t>.</w:t>
      </w:r>
      <w:r w:rsidR="00707239">
        <w:tab/>
      </w:r>
      <w:r w:rsidR="00A5260D">
        <w:t>S</w:t>
      </w:r>
      <w:r w:rsidR="00A5260D" w:rsidRPr="75BDAFBB">
        <w:t xml:space="preserve">ections </w:t>
      </w:r>
      <w:r w:rsidR="00C870EF">
        <w:t>1–</w:t>
      </w:r>
      <w:r w:rsidR="00A5260D" w:rsidRPr="75BDAFBB">
        <w:t>3 of Schedule 1</w:t>
      </w:r>
      <w:r w:rsidR="00A5260D" w:rsidRPr="75BDAFBB">
        <w:rPr>
          <w:color w:val="000000" w:themeColor="text1"/>
        </w:rPr>
        <w:t xml:space="preserve"> to the Amendment Instrument amend LI </w:t>
      </w:r>
      <w:r w:rsidR="00A5260D" w:rsidRPr="00E5790C">
        <w:t>2021/125</w:t>
      </w:r>
      <w:r w:rsidR="00A5260D">
        <w:t xml:space="preserve"> to specify requirements for statements disclosing lack of independence in website disclosure information. These requirements are equivalent to the requirements for disclosure of lack of independence in FSG</w:t>
      </w:r>
      <w:r w:rsidR="00A5260D" w:rsidRPr="75BDAFBB">
        <w:t>s. Th</w:t>
      </w:r>
      <w:r w:rsidR="00A5260D">
        <w:t xml:space="preserve">e requirements </w:t>
      </w:r>
      <w:r w:rsidR="00A5260D" w:rsidRPr="75BDAFBB">
        <w:t xml:space="preserve">ensure that </w:t>
      </w:r>
      <w:r w:rsidR="00A5260D">
        <w:t xml:space="preserve">equivalent </w:t>
      </w:r>
      <w:r w:rsidR="00A5260D">
        <w:rPr>
          <w:color w:val="000000" w:themeColor="text1"/>
        </w:rPr>
        <w:t xml:space="preserve">lack of independence </w:t>
      </w:r>
      <w:r w:rsidR="00A5260D" w:rsidRPr="75BDAFBB">
        <w:rPr>
          <w:color w:val="000000" w:themeColor="text1"/>
        </w:rPr>
        <w:t xml:space="preserve">disclosure </w:t>
      </w:r>
      <w:r w:rsidR="00A5260D">
        <w:rPr>
          <w:color w:val="000000" w:themeColor="text1"/>
        </w:rPr>
        <w:t xml:space="preserve">requirements </w:t>
      </w:r>
      <w:r w:rsidR="00A5260D" w:rsidRPr="75BDAFBB">
        <w:rPr>
          <w:color w:val="000000" w:themeColor="text1"/>
        </w:rPr>
        <w:t>apply irrespective of whether a</w:t>
      </w:r>
      <w:r w:rsidR="00A5260D">
        <w:rPr>
          <w:color w:val="000000" w:themeColor="text1"/>
        </w:rPr>
        <w:t xml:space="preserve"> providing </w:t>
      </w:r>
      <w:r w:rsidR="00A5260D" w:rsidRPr="75BDAFBB">
        <w:rPr>
          <w:color w:val="000000" w:themeColor="text1"/>
        </w:rPr>
        <w:t xml:space="preserve">entity </w:t>
      </w:r>
      <w:r w:rsidR="00A5260D">
        <w:rPr>
          <w:color w:val="000000" w:themeColor="text1"/>
        </w:rPr>
        <w:t xml:space="preserve">provides clients with an </w:t>
      </w:r>
      <w:r w:rsidR="00A5260D" w:rsidRPr="75BDAFBB">
        <w:rPr>
          <w:color w:val="000000" w:themeColor="text1"/>
        </w:rPr>
        <w:t xml:space="preserve">FSG or </w:t>
      </w:r>
      <w:r w:rsidR="00A5260D">
        <w:rPr>
          <w:color w:val="000000" w:themeColor="text1"/>
        </w:rPr>
        <w:t xml:space="preserve">makes available </w:t>
      </w:r>
      <w:r w:rsidR="00A5260D" w:rsidRPr="75BDAFBB">
        <w:rPr>
          <w:color w:val="000000" w:themeColor="text1"/>
        </w:rPr>
        <w:t>website</w:t>
      </w:r>
      <w:r w:rsidR="00A5260D">
        <w:rPr>
          <w:color w:val="000000" w:themeColor="text1"/>
        </w:rPr>
        <w:t xml:space="preserve"> disclosure information</w:t>
      </w:r>
      <w:r w:rsidR="00A5260D" w:rsidRPr="75BDAFBB">
        <w:rPr>
          <w:color w:val="000000" w:themeColor="text1"/>
        </w:rPr>
        <w:t>.</w:t>
      </w:r>
    </w:p>
    <w:p w14:paraId="11EB6654" w14:textId="77777777" w:rsidR="00C870EF" w:rsidRDefault="00C870EF" w:rsidP="00C870EF">
      <w:pPr>
        <w:pStyle w:val="LI-BodyTextParaa"/>
        <w:ind w:left="567"/>
        <w:rPr>
          <w:b/>
          <w:bCs/>
          <w:i/>
          <w:iCs/>
        </w:rPr>
      </w:pPr>
      <w:r w:rsidRPr="1919905D">
        <w:rPr>
          <w:b/>
          <w:bCs/>
          <w:i/>
          <w:iCs/>
        </w:rPr>
        <w:t>Second Purpose</w:t>
      </w:r>
    </w:p>
    <w:p w14:paraId="354EF6D7" w14:textId="43808870" w:rsidR="06795FBC" w:rsidRDefault="008748E9" w:rsidP="00F34A5C">
      <w:pPr>
        <w:pStyle w:val="LI-BodyTextParaa"/>
        <w:ind w:left="567"/>
      </w:pPr>
      <w:r>
        <w:t>9.</w:t>
      </w:r>
      <w:r>
        <w:tab/>
      </w:r>
      <w:r w:rsidR="00656288">
        <w:t>Section 4 of Schedule 1 to the Amendment Instrument amends LI 2021</w:t>
      </w:r>
      <w:r w:rsidR="004E2830">
        <w:t>/716 to repeal former section 9.</w:t>
      </w:r>
    </w:p>
    <w:p w14:paraId="787E5100" w14:textId="50EE90E3" w:rsidR="00FF09B7" w:rsidRDefault="004E2830" w:rsidP="00D86206">
      <w:pPr>
        <w:pStyle w:val="LI-BodyTextParaa"/>
        <w:ind w:left="567"/>
      </w:pPr>
      <w:r w:rsidRPr="004E2830">
        <w:t>10.</w:t>
      </w:r>
      <w:r w:rsidR="00D86206">
        <w:tab/>
        <w:t xml:space="preserve">Former section 9 was inserted after the </w:t>
      </w:r>
      <w:r w:rsidR="237145EF" w:rsidRPr="3FFEF507">
        <w:rPr>
          <w:i/>
          <w:iCs/>
        </w:rPr>
        <w:t>Treasury Laws Amendment (2023 Law Improvement Package No. 1) Act 2023</w:t>
      </w:r>
      <w:r w:rsidR="237145EF">
        <w:t xml:space="preserve"> </w:t>
      </w:r>
      <w:r w:rsidR="0AF02226">
        <w:t>(</w:t>
      </w:r>
      <w:r w:rsidR="0AF02226" w:rsidRPr="3FFEF507">
        <w:rPr>
          <w:b/>
          <w:bCs/>
        </w:rPr>
        <w:t>2023 Act</w:t>
      </w:r>
      <w:r w:rsidR="0AF02226">
        <w:t>)</w:t>
      </w:r>
      <w:r w:rsidR="2A09C83C">
        <w:t xml:space="preserve"> renumbered </w:t>
      </w:r>
      <w:r w:rsidR="0C1F6863">
        <w:t xml:space="preserve">the </w:t>
      </w:r>
      <w:r w:rsidR="0E8F1AEB">
        <w:t xml:space="preserve">paragraphs within the </w:t>
      </w:r>
      <w:r w:rsidR="0043277D">
        <w:t>‘</w:t>
      </w:r>
      <w:r w:rsidR="0C1F6863">
        <w:t>financial services law</w:t>
      </w:r>
      <w:r w:rsidR="0043277D">
        <w:t>’</w:t>
      </w:r>
      <w:r w:rsidR="0C1F6863">
        <w:t xml:space="preserve"> </w:t>
      </w:r>
      <w:r w:rsidR="00B14EDF">
        <w:t xml:space="preserve">definition </w:t>
      </w:r>
      <w:r w:rsidR="05D858B5">
        <w:t>in</w:t>
      </w:r>
      <w:r w:rsidR="75DA3E67">
        <w:t xml:space="preserve"> section 761</w:t>
      </w:r>
      <w:r w:rsidR="5A669E15">
        <w:t>A</w:t>
      </w:r>
      <w:r w:rsidR="75DA3E67">
        <w:t xml:space="preserve"> of t</w:t>
      </w:r>
      <w:r w:rsidR="0C1F6863">
        <w:t>he Corporation</w:t>
      </w:r>
      <w:r w:rsidR="7AE04FB7">
        <w:t>s</w:t>
      </w:r>
      <w:r w:rsidR="0C1F6863">
        <w:t xml:space="preserve"> Act</w:t>
      </w:r>
      <w:r w:rsidR="51D303AE">
        <w:t>.</w:t>
      </w:r>
    </w:p>
    <w:p w14:paraId="068775F0" w14:textId="5AE22DE5" w:rsidR="00C560A9" w:rsidRDefault="0F138804" w:rsidP="00C560A9">
      <w:pPr>
        <w:pStyle w:val="LI-BodyTextParaa"/>
        <w:ind w:left="567"/>
      </w:pPr>
      <w:r>
        <w:t>11</w:t>
      </w:r>
      <w:r w:rsidR="6C84143B">
        <w:t>.</w:t>
      </w:r>
      <w:r w:rsidR="6C84143B">
        <w:tab/>
        <w:t>P</w:t>
      </w:r>
      <w:r w:rsidR="5ED31899">
        <w:t xml:space="preserve">aragraphs </w:t>
      </w:r>
      <w:r w:rsidR="00CE7640">
        <w:t xml:space="preserve">of the ‘financial services law’ definition in section 761A </w:t>
      </w:r>
      <w:r w:rsidR="00E634D5">
        <w:t xml:space="preserve">are cross-referenced in the </w:t>
      </w:r>
      <w:r w:rsidR="5C7C4B16">
        <w:t xml:space="preserve">list </w:t>
      </w:r>
      <w:r w:rsidR="00B14EDF">
        <w:t xml:space="preserve">of </w:t>
      </w:r>
      <w:r w:rsidR="319F3031">
        <w:t>‘core obligations’ for the purposes of the reportable situations regime</w:t>
      </w:r>
      <w:r w:rsidR="00E634D5">
        <w:t xml:space="preserve"> in </w:t>
      </w:r>
      <w:r w:rsidR="0030506F">
        <w:t xml:space="preserve">paragraphs </w:t>
      </w:r>
      <w:r w:rsidR="00E634D5">
        <w:t>912D(3)(b) to (e) of the Corporations Act</w:t>
      </w:r>
      <w:r w:rsidR="69127DDC">
        <w:t xml:space="preserve">. The </w:t>
      </w:r>
      <w:r w:rsidR="2DAEC47F">
        <w:t xml:space="preserve">2023 Act </w:t>
      </w:r>
      <w:r w:rsidR="69127DDC">
        <w:t xml:space="preserve">did not make consequential amendments to align </w:t>
      </w:r>
      <w:r w:rsidR="016FC45B">
        <w:t xml:space="preserve">the references in </w:t>
      </w:r>
      <w:r w:rsidR="6D454700">
        <w:t xml:space="preserve">subsection 912D(3) </w:t>
      </w:r>
      <w:r w:rsidR="69127DDC">
        <w:t xml:space="preserve">with the </w:t>
      </w:r>
      <w:r w:rsidR="6546BFF1">
        <w:t>amend</w:t>
      </w:r>
      <w:r w:rsidR="5ED31899">
        <w:t xml:space="preserve">ed </w:t>
      </w:r>
      <w:r w:rsidR="00A02F05">
        <w:t xml:space="preserve">paragraphs of the ‘financial services law’ </w:t>
      </w:r>
      <w:r w:rsidR="5ED31899">
        <w:t>definition</w:t>
      </w:r>
      <w:r w:rsidR="70A30546">
        <w:t>.</w:t>
      </w:r>
    </w:p>
    <w:p w14:paraId="78EDD3C3" w14:textId="3E693F04" w:rsidR="0042739B" w:rsidRDefault="7E783B7E" w:rsidP="00C560A9">
      <w:pPr>
        <w:pStyle w:val="LI-BodyTextParaa"/>
        <w:ind w:left="567"/>
      </w:pPr>
      <w:r>
        <w:t>1</w:t>
      </w:r>
      <w:r w:rsidR="0BA6736A">
        <w:t>2</w:t>
      </w:r>
      <w:r>
        <w:t xml:space="preserve">. </w:t>
      </w:r>
      <w:r>
        <w:tab/>
      </w:r>
      <w:r w:rsidR="00C8773D">
        <w:t>Former s</w:t>
      </w:r>
      <w:r>
        <w:t>ection 9 of LI 2021/716</w:t>
      </w:r>
      <w:r w:rsidR="6761BB93">
        <w:t xml:space="preserve"> notionally modifie</w:t>
      </w:r>
      <w:r w:rsidR="00C8773D">
        <w:t>d</w:t>
      </w:r>
      <w:r w:rsidR="6761BB93">
        <w:t xml:space="preserve"> section </w:t>
      </w:r>
      <w:r w:rsidR="46373B7C">
        <w:t xml:space="preserve">912D </w:t>
      </w:r>
      <w:r w:rsidR="29E8AC3B">
        <w:t>such that Part 7.6 of the Corporations Act applie</w:t>
      </w:r>
      <w:r w:rsidR="00C8773D">
        <w:t>d</w:t>
      </w:r>
      <w:r w:rsidR="29E8AC3B" w:rsidRPr="3FFEF507">
        <w:rPr>
          <w:color w:val="000000" w:themeColor="text1"/>
        </w:rPr>
        <w:t> in relation to financial service licensees</w:t>
      </w:r>
      <w:r w:rsidR="46373B7C">
        <w:t xml:space="preserve"> </w:t>
      </w:r>
      <w:r w:rsidR="29E8AC3B">
        <w:t>as if subsections 912D(3)(b) to (</w:t>
      </w:r>
      <w:r w:rsidR="06EBBD3F">
        <w:t>e)</w:t>
      </w:r>
      <w:r w:rsidR="1F323CE1">
        <w:t xml:space="preserve"> were</w:t>
      </w:r>
      <w:r w:rsidR="2B910EB5">
        <w:t xml:space="preserve"> aligned with the </w:t>
      </w:r>
      <w:r w:rsidR="18F34E99">
        <w:t>amended definition.</w:t>
      </w:r>
    </w:p>
    <w:p w14:paraId="69DE656C" w14:textId="2C0B7138" w:rsidR="0090297F" w:rsidRDefault="0090297F" w:rsidP="00C560A9">
      <w:pPr>
        <w:pStyle w:val="LI-BodyTextParaa"/>
        <w:ind w:left="567"/>
      </w:pPr>
      <w:r>
        <w:t>1</w:t>
      </w:r>
      <w:r w:rsidR="21F668C7">
        <w:t>3</w:t>
      </w:r>
      <w:r>
        <w:t>.</w:t>
      </w:r>
      <w:r>
        <w:tab/>
      </w:r>
      <w:r w:rsidR="00F77B37">
        <w:t xml:space="preserve">As </w:t>
      </w:r>
      <w:r w:rsidR="00F936E6">
        <w:t>i</w:t>
      </w:r>
      <w:r w:rsidR="009418EC">
        <w:t xml:space="preserve">tems 15 to 18 of Schedule 5 to the </w:t>
      </w:r>
      <w:r w:rsidR="006D4905">
        <w:t>Act</w:t>
      </w:r>
      <w:r w:rsidR="009418EC">
        <w:t xml:space="preserve"> amend </w:t>
      </w:r>
      <w:r w:rsidR="00F77B37">
        <w:t>subsection 912D(3) to align</w:t>
      </w:r>
      <w:r w:rsidR="00306358">
        <w:t xml:space="preserve"> it with</w:t>
      </w:r>
      <w:r w:rsidR="00F77B37">
        <w:t xml:space="preserve"> the </w:t>
      </w:r>
      <w:r w:rsidR="725ACDAC">
        <w:t>amended</w:t>
      </w:r>
      <w:r w:rsidR="00F77B37">
        <w:t xml:space="preserve"> definition</w:t>
      </w:r>
      <w:r w:rsidR="00F936E6">
        <w:t xml:space="preserve">, the provisions notionally inserted by </w:t>
      </w:r>
      <w:r w:rsidR="00C8773D">
        <w:t xml:space="preserve">former </w:t>
      </w:r>
      <w:r w:rsidR="00F936E6">
        <w:t xml:space="preserve">section 9 of LI 2021/716 are no longer necessary and </w:t>
      </w:r>
      <w:r w:rsidR="00EB0986">
        <w:t xml:space="preserve">former </w:t>
      </w:r>
      <w:r w:rsidR="0012230E">
        <w:t xml:space="preserve">section 9 </w:t>
      </w:r>
      <w:r w:rsidR="00EB0986">
        <w:t xml:space="preserve">can be repealed </w:t>
      </w:r>
      <w:r w:rsidR="7DE838BE">
        <w:t>to avoid duplication</w:t>
      </w:r>
      <w:r w:rsidR="00F936E6">
        <w:t>.</w:t>
      </w:r>
    </w:p>
    <w:p w14:paraId="5FDE400B" w14:textId="77777777" w:rsidR="00AB5AC7" w:rsidRDefault="00AB5AC7" w:rsidP="00AB5AC7">
      <w:pPr>
        <w:pStyle w:val="LI-BodyTextParaa"/>
        <w:ind w:left="567"/>
      </w:pPr>
      <w:r w:rsidRPr="18802C70">
        <w:rPr>
          <w:b/>
          <w:bCs/>
          <w:i/>
          <w:iCs/>
        </w:rPr>
        <w:t>Third Purpose</w:t>
      </w:r>
    </w:p>
    <w:p w14:paraId="2F9C52E3" w14:textId="28133A83" w:rsidR="00F34A5C" w:rsidRDefault="00AB5AC7" w:rsidP="00C560A9">
      <w:pPr>
        <w:pStyle w:val="LI-BodyTextParaa"/>
        <w:ind w:left="567"/>
      </w:pPr>
      <w:r>
        <w:t>14.</w:t>
      </w:r>
      <w:r>
        <w:tab/>
      </w:r>
      <w:r w:rsidR="00F34A5C">
        <w:t xml:space="preserve">Sections </w:t>
      </w:r>
      <w:r w:rsidR="00B37FCE">
        <w:t>5</w:t>
      </w:r>
      <w:r w:rsidR="003C6B79">
        <w:t xml:space="preserve">–6 </w:t>
      </w:r>
      <w:r w:rsidR="00F34A5C">
        <w:t>of Schedule 1</w:t>
      </w:r>
      <w:r w:rsidR="00F34A5C" w:rsidRPr="1919905D">
        <w:rPr>
          <w:color w:val="000000" w:themeColor="text1"/>
        </w:rPr>
        <w:t xml:space="preserve"> to the Amendment Instrument facilitate the effective operation of the amendments th</w:t>
      </w:r>
      <w:r w:rsidR="00F34A5C">
        <w:rPr>
          <w:color w:val="000000" w:themeColor="text1"/>
        </w:rPr>
        <w:t>at th</w:t>
      </w:r>
      <w:r w:rsidR="00F34A5C" w:rsidRPr="1919905D">
        <w:rPr>
          <w:color w:val="000000" w:themeColor="text1"/>
        </w:rPr>
        <w:t xml:space="preserve">e Act makes by ensuring that financial services licensees and providing entities are entitled to the same exemptions </w:t>
      </w:r>
      <w:r w:rsidR="00F34A5C" w:rsidRPr="1919905D">
        <w:rPr>
          <w:color w:val="000000" w:themeColor="text1"/>
        </w:rPr>
        <w:lastRenderedPageBreak/>
        <w:t>from liability for particular defective information, irrespective of whether using FSGs or websites to provide information to clients.</w:t>
      </w:r>
    </w:p>
    <w:p w14:paraId="3FEFE29E" w14:textId="77777777" w:rsidR="009A3F74" w:rsidRDefault="009A3F74" w:rsidP="006D6079">
      <w:pPr>
        <w:pStyle w:val="LI-BodyTextNumbered"/>
        <w:keepNext/>
        <w:ind w:left="0" w:firstLine="0"/>
        <w:rPr>
          <w:b/>
        </w:rPr>
      </w:pPr>
      <w:bookmarkStart w:id="1" w:name="_Hlk534291624"/>
      <w:r>
        <w:rPr>
          <w:b/>
        </w:rPr>
        <w:t>Consultation</w:t>
      </w:r>
    </w:p>
    <w:p w14:paraId="7B605FB2" w14:textId="7103531A" w:rsidR="002D296C" w:rsidRPr="002D296C" w:rsidRDefault="00577DE3" w:rsidP="009A3F74">
      <w:pPr>
        <w:pStyle w:val="LI-BodyTextParaa"/>
        <w:ind w:left="567"/>
        <w:rPr>
          <w:highlight w:val="yellow"/>
        </w:rPr>
      </w:pPr>
      <w:r>
        <w:t>1</w:t>
      </w:r>
      <w:r w:rsidR="00240E66">
        <w:t>5</w:t>
      </w:r>
      <w:r w:rsidR="009A3F74">
        <w:t>.</w:t>
      </w:r>
      <w:r>
        <w:tab/>
      </w:r>
      <w:r w:rsidR="008360A4">
        <w:t>Given the amendments that the Amend</w:t>
      </w:r>
      <w:r w:rsidR="0005161F">
        <w:t>ment</w:t>
      </w:r>
      <w:r w:rsidR="008360A4">
        <w:t xml:space="preserve"> Instrument makes are minor </w:t>
      </w:r>
      <w:r w:rsidR="00ED358A">
        <w:t xml:space="preserve">or </w:t>
      </w:r>
      <w:r w:rsidR="001969AF">
        <w:t>clarifying</w:t>
      </w:r>
      <w:r w:rsidR="00ED358A">
        <w:t xml:space="preserve">, and </w:t>
      </w:r>
      <w:r w:rsidR="00222D46">
        <w:t>consequential upon amendments th</w:t>
      </w:r>
      <w:r w:rsidR="000E4A65">
        <w:t xml:space="preserve">at </w:t>
      </w:r>
      <w:r w:rsidR="00390860">
        <w:t>the</w:t>
      </w:r>
      <w:r w:rsidR="00222D46">
        <w:t xml:space="preserve"> Act ma</w:t>
      </w:r>
      <w:r w:rsidR="00390860">
        <w:t>kes</w:t>
      </w:r>
      <w:r w:rsidR="00222D46">
        <w:t xml:space="preserve">, ASIC did not </w:t>
      </w:r>
      <w:r w:rsidR="00390860">
        <w:t xml:space="preserve">undertake </w:t>
      </w:r>
      <w:r w:rsidR="00222D46">
        <w:t>consultation before making the Amen</w:t>
      </w:r>
      <w:r w:rsidR="009371E8">
        <w:t>d</w:t>
      </w:r>
      <w:r w:rsidR="0005161F">
        <w:t>ment</w:t>
      </w:r>
      <w:r w:rsidR="00222D46">
        <w:t xml:space="preserve"> Instrument</w:t>
      </w:r>
      <w:r w:rsidR="006C1AF2">
        <w:t>.</w:t>
      </w:r>
      <w:r w:rsidR="002D296C" w:rsidRPr="3FFEF507">
        <w:rPr>
          <w:highlight w:val="yellow"/>
        </w:rPr>
        <w:t xml:space="preserve"> </w:t>
      </w:r>
    </w:p>
    <w:p w14:paraId="4CDCC6BF" w14:textId="101E2EF3" w:rsidR="005D1FEA" w:rsidRDefault="005D1FEA" w:rsidP="00A24B83">
      <w:pPr>
        <w:pStyle w:val="LI-BodyTextNumbered"/>
        <w:keepNext/>
        <w:ind w:left="567" w:firstLine="0"/>
        <w:rPr>
          <w:b/>
          <w:bCs/>
        </w:rPr>
      </w:pPr>
      <w:r w:rsidRPr="5B2969A8">
        <w:rPr>
          <w:b/>
          <w:bCs/>
        </w:rPr>
        <w:t>Operation of the instrument</w:t>
      </w:r>
    </w:p>
    <w:p w14:paraId="4CC17B9B" w14:textId="0C418F7A" w:rsidR="00474B52" w:rsidRDefault="000A23A7" w:rsidP="3FFEF507">
      <w:pPr>
        <w:pStyle w:val="LI-BodyTextParaa"/>
        <w:ind w:left="567"/>
        <w:rPr>
          <w:i/>
          <w:iCs/>
        </w:rPr>
      </w:pPr>
      <w:r>
        <w:t>1</w:t>
      </w:r>
      <w:r w:rsidR="00240E66">
        <w:t>6</w:t>
      </w:r>
      <w:r w:rsidR="005D1FEA">
        <w:t>.</w:t>
      </w:r>
      <w:r>
        <w:tab/>
      </w:r>
      <w:r w:rsidR="0050450C">
        <w:t>The Amend</w:t>
      </w:r>
      <w:r w:rsidR="0005161F">
        <w:t>ment</w:t>
      </w:r>
      <w:r w:rsidR="0050450C">
        <w:t xml:space="preserve"> Instrument operates</w:t>
      </w:r>
      <w:r w:rsidR="008927D5">
        <w:t xml:space="preserve"> </w:t>
      </w:r>
      <w:r w:rsidR="0034058F">
        <w:t>by specifying further requirements in LI 2021/125</w:t>
      </w:r>
      <w:r w:rsidR="00316DF6">
        <w:t xml:space="preserve"> and </w:t>
      </w:r>
      <w:r w:rsidR="008927D5">
        <w:t xml:space="preserve">by </w:t>
      </w:r>
      <w:r w:rsidR="002C4BCB">
        <w:t>amending notional sections of the Corporations Act inserted by</w:t>
      </w:r>
      <w:r w:rsidR="008927D5">
        <w:t xml:space="preserve"> </w:t>
      </w:r>
      <w:r w:rsidR="003466E7">
        <w:t xml:space="preserve">LI 2021/716 and </w:t>
      </w:r>
      <w:r w:rsidR="002C4BCB">
        <w:t>LI 2023/669.</w:t>
      </w:r>
      <w:r w:rsidR="00474B52" w:rsidRPr="3FFEF507">
        <w:rPr>
          <w:i/>
          <w:iCs/>
        </w:rPr>
        <w:t xml:space="preserve"> </w:t>
      </w:r>
    </w:p>
    <w:p w14:paraId="79CD8147" w14:textId="50FC2E22" w:rsidR="25A46190" w:rsidRPr="00E5790C" w:rsidRDefault="25A46190" w:rsidP="169F61B7">
      <w:pPr>
        <w:pStyle w:val="LI-BodyTextParaa"/>
        <w:ind w:left="567"/>
        <w:rPr>
          <w:i/>
          <w:iCs/>
        </w:rPr>
      </w:pPr>
      <w:r w:rsidRPr="00E5790C">
        <w:rPr>
          <w:b/>
          <w:bCs/>
          <w:i/>
          <w:iCs/>
        </w:rPr>
        <w:t>LI 2021/125</w:t>
      </w:r>
    </w:p>
    <w:p w14:paraId="63A1389B" w14:textId="2B700B04" w:rsidR="73E2D611" w:rsidRPr="0041075A" w:rsidRDefault="009137A5" w:rsidP="00E5790C">
      <w:pPr>
        <w:pStyle w:val="LI-BodyTextParaa"/>
        <w:ind w:left="567"/>
        <w:rPr>
          <w:color w:val="000000" w:themeColor="text1"/>
        </w:rPr>
      </w:pPr>
      <w:r>
        <w:rPr>
          <w:color w:val="000000" w:themeColor="text1"/>
        </w:rPr>
        <w:t>1</w:t>
      </w:r>
      <w:r w:rsidR="00240E66">
        <w:rPr>
          <w:color w:val="000000" w:themeColor="text1"/>
        </w:rPr>
        <w:t>7</w:t>
      </w:r>
      <w:r w:rsidR="25A46190" w:rsidRPr="41294260">
        <w:rPr>
          <w:color w:val="000000" w:themeColor="text1"/>
        </w:rPr>
        <w:t>.</w:t>
      </w:r>
      <w:r w:rsidR="73E2D611">
        <w:tab/>
      </w:r>
      <w:r w:rsidR="00173034">
        <w:rPr>
          <w:color w:val="000000" w:themeColor="text1"/>
        </w:rPr>
        <w:t>Paragraphs</w:t>
      </w:r>
      <w:r w:rsidR="0743566A" w:rsidRPr="41294260">
        <w:rPr>
          <w:color w:val="000000" w:themeColor="text1"/>
        </w:rPr>
        <w:t xml:space="preserve"> </w:t>
      </w:r>
      <w:r w:rsidR="6A871A8D" w:rsidRPr="00E5790C">
        <w:t>942B(2)(fa)</w:t>
      </w:r>
      <w:r w:rsidR="16945878" w:rsidRPr="41294260">
        <w:t xml:space="preserve"> </w:t>
      </w:r>
      <w:r w:rsidR="6A871A8D" w:rsidRPr="00E5790C">
        <w:t>and 942C(2)(ga)</w:t>
      </w:r>
      <w:r w:rsidR="0743566A" w:rsidRPr="41294260">
        <w:rPr>
          <w:color w:val="000000" w:themeColor="text1"/>
        </w:rPr>
        <w:t xml:space="preserve"> of the Corporations Act </w:t>
      </w:r>
      <w:r w:rsidR="00142AD9">
        <w:rPr>
          <w:color w:val="000000" w:themeColor="text1"/>
        </w:rPr>
        <w:t xml:space="preserve">require </w:t>
      </w:r>
      <w:r w:rsidR="001C3B9C">
        <w:rPr>
          <w:color w:val="000000" w:themeColor="text1"/>
        </w:rPr>
        <w:t xml:space="preserve">providing entities that </w:t>
      </w:r>
      <w:r w:rsidR="001C3B9C" w:rsidRPr="41294260">
        <w:rPr>
          <w:color w:val="000000" w:themeColor="text1"/>
        </w:rPr>
        <w:t xml:space="preserve">would contravene subsection 923A(1) by assuming or using a </w:t>
      </w:r>
      <w:r w:rsidR="001C3B9C">
        <w:rPr>
          <w:color w:val="000000" w:themeColor="text1"/>
        </w:rPr>
        <w:t>‘</w:t>
      </w:r>
      <w:r w:rsidR="001C3B9C" w:rsidRPr="41294260">
        <w:rPr>
          <w:color w:val="000000" w:themeColor="text1"/>
        </w:rPr>
        <w:t>restricted word or expression</w:t>
      </w:r>
      <w:r w:rsidR="005D7F6B">
        <w:rPr>
          <w:color w:val="000000" w:themeColor="text1"/>
        </w:rPr>
        <w:t>’</w:t>
      </w:r>
      <w:r w:rsidR="001C3B9C" w:rsidRPr="41294260">
        <w:rPr>
          <w:color w:val="000000" w:themeColor="text1"/>
        </w:rPr>
        <w:t xml:space="preserve"> (within the meaning of subsection 923A(5)</w:t>
      </w:r>
      <w:r w:rsidR="001C3B9C">
        <w:rPr>
          <w:color w:val="000000" w:themeColor="text1"/>
        </w:rPr>
        <w:t>)</w:t>
      </w:r>
      <w:r w:rsidR="005D7F6B">
        <w:rPr>
          <w:color w:val="000000" w:themeColor="text1"/>
        </w:rPr>
        <w:t xml:space="preserve"> in relation to </w:t>
      </w:r>
      <w:r w:rsidR="00804520">
        <w:rPr>
          <w:color w:val="000000" w:themeColor="text1"/>
        </w:rPr>
        <w:t xml:space="preserve">personal advice </w:t>
      </w:r>
      <w:r w:rsidR="00252169">
        <w:rPr>
          <w:color w:val="000000" w:themeColor="text1"/>
        </w:rPr>
        <w:t>to</w:t>
      </w:r>
      <w:r w:rsidR="00D32400">
        <w:rPr>
          <w:color w:val="000000" w:themeColor="text1"/>
        </w:rPr>
        <w:t xml:space="preserve"> include </w:t>
      </w:r>
      <w:r w:rsidR="00863DEF">
        <w:rPr>
          <w:color w:val="000000" w:themeColor="text1"/>
        </w:rPr>
        <w:t xml:space="preserve">a statement </w:t>
      </w:r>
      <w:r w:rsidR="008039C4">
        <w:rPr>
          <w:color w:val="000000" w:themeColor="text1"/>
        </w:rPr>
        <w:t>setting out that they are not independent</w:t>
      </w:r>
      <w:r w:rsidR="00A619CE">
        <w:rPr>
          <w:color w:val="000000" w:themeColor="text1"/>
        </w:rPr>
        <w:t xml:space="preserve">, impartial or unbiased </w:t>
      </w:r>
      <w:r w:rsidR="00A92B20">
        <w:rPr>
          <w:color w:val="000000" w:themeColor="text1"/>
        </w:rPr>
        <w:t xml:space="preserve">in an FSG </w:t>
      </w:r>
      <w:r w:rsidR="00252169">
        <w:rPr>
          <w:color w:val="000000" w:themeColor="text1"/>
        </w:rPr>
        <w:t>and explain the reasons why</w:t>
      </w:r>
      <w:r w:rsidR="256D161F" w:rsidRPr="41294260">
        <w:rPr>
          <w:color w:val="000000" w:themeColor="text1"/>
        </w:rPr>
        <w:t>. Subsection</w:t>
      </w:r>
      <w:r w:rsidR="03058A1F" w:rsidRPr="41294260">
        <w:rPr>
          <w:color w:val="000000" w:themeColor="text1"/>
        </w:rPr>
        <w:t>s 942B(7A) and 942C(7A) provide that ASIC may, by legislative instrument, determine requirements for</w:t>
      </w:r>
      <w:r w:rsidR="00A272E0">
        <w:rPr>
          <w:color w:val="000000" w:themeColor="text1"/>
        </w:rPr>
        <w:t xml:space="preserve"> </w:t>
      </w:r>
      <w:r w:rsidR="000B763F">
        <w:rPr>
          <w:color w:val="000000" w:themeColor="text1"/>
        </w:rPr>
        <w:t>th</w:t>
      </w:r>
      <w:r w:rsidR="00E4633A">
        <w:rPr>
          <w:color w:val="000000" w:themeColor="text1"/>
        </w:rPr>
        <w:t xml:space="preserve">is statement </w:t>
      </w:r>
      <w:r w:rsidR="006146E2">
        <w:rPr>
          <w:color w:val="000000" w:themeColor="text1"/>
        </w:rPr>
        <w:t>(</w:t>
      </w:r>
      <w:r w:rsidR="00605816" w:rsidRPr="006146E2">
        <w:rPr>
          <w:b/>
          <w:bCs/>
          <w:color w:val="000000" w:themeColor="text1"/>
        </w:rPr>
        <w:t>L</w:t>
      </w:r>
      <w:r w:rsidR="00BA745F" w:rsidRPr="006146E2">
        <w:rPr>
          <w:b/>
          <w:bCs/>
          <w:color w:val="000000" w:themeColor="text1"/>
        </w:rPr>
        <w:t xml:space="preserve">ack of </w:t>
      </w:r>
      <w:r w:rsidR="00605816" w:rsidRPr="006146E2">
        <w:rPr>
          <w:b/>
          <w:bCs/>
          <w:color w:val="000000" w:themeColor="text1"/>
        </w:rPr>
        <w:t>I</w:t>
      </w:r>
      <w:r w:rsidR="00BA745F" w:rsidRPr="006146E2">
        <w:rPr>
          <w:b/>
          <w:bCs/>
          <w:color w:val="000000" w:themeColor="text1"/>
        </w:rPr>
        <w:t xml:space="preserve">ndependence </w:t>
      </w:r>
      <w:r w:rsidR="00605816" w:rsidRPr="006146E2">
        <w:rPr>
          <w:b/>
          <w:bCs/>
          <w:color w:val="000000" w:themeColor="text1"/>
        </w:rPr>
        <w:t>Disclosure</w:t>
      </w:r>
      <w:r w:rsidR="0041075A" w:rsidRPr="006146E2">
        <w:rPr>
          <w:b/>
          <w:bCs/>
          <w:color w:val="000000" w:themeColor="text1"/>
        </w:rPr>
        <w:t xml:space="preserve"> statement</w:t>
      </w:r>
      <w:r w:rsidR="006146E2">
        <w:rPr>
          <w:color w:val="000000" w:themeColor="text1"/>
        </w:rPr>
        <w:t>)</w:t>
      </w:r>
      <w:r w:rsidR="00522F9C" w:rsidRPr="0041075A">
        <w:t>.</w:t>
      </w:r>
    </w:p>
    <w:p w14:paraId="23593F91" w14:textId="2DC7E1EB" w:rsidR="10E3B7DF" w:rsidRDefault="009137A5" w:rsidP="10607C96">
      <w:pPr>
        <w:pStyle w:val="LI-BodyTextParaa"/>
        <w:ind w:left="567"/>
        <w:rPr>
          <w:color w:val="000000" w:themeColor="text1"/>
        </w:rPr>
      </w:pPr>
      <w:r>
        <w:rPr>
          <w:color w:val="000000" w:themeColor="text1"/>
        </w:rPr>
        <w:t>1</w:t>
      </w:r>
      <w:r w:rsidR="00240E66">
        <w:rPr>
          <w:color w:val="000000" w:themeColor="text1"/>
        </w:rPr>
        <w:t>8</w:t>
      </w:r>
      <w:r w:rsidR="10E3B7DF" w:rsidRPr="10607C96">
        <w:rPr>
          <w:color w:val="000000" w:themeColor="text1"/>
        </w:rPr>
        <w:t>.</w:t>
      </w:r>
      <w:r w:rsidR="10E3B7DF">
        <w:tab/>
      </w:r>
      <w:r w:rsidR="006D0E2B">
        <w:t xml:space="preserve">LI 2021/125 is the ASIC instrument that </w:t>
      </w:r>
      <w:r w:rsidR="004F4DE7">
        <w:t xml:space="preserve">determines requirements for </w:t>
      </w:r>
      <w:r w:rsidR="006146E2">
        <w:t xml:space="preserve">the </w:t>
      </w:r>
      <w:r w:rsidR="00605816">
        <w:t>L</w:t>
      </w:r>
      <w:r w:rsidR="004F4DE7">
        <w:t xml:space="preserve">ack of </w:t>
      </w:r>
      <w:r w:rsidR="00605816">
        <w:t>I</w:t>
      </w:r>
      <w:r w:rsidR="004F4DE7">
        <w:t xml:space="preserve">ndependence </w:t>
      </w:r>
      <w:r w:rsidR="00605816">
        <w:t>Disclosure</w:t>
      </w:r>
      <w:r w:rsidR="006146E2">
        <w:t xml:space="preserve"> statement</w:t>
      </w:r>
      <w:r w:rsidR="10E3B7DF" w:rsidRPr="10607C96">
        <w:rPr>
          <w:color w:val="000000" w:themeColor="text1"/>
        </w:rPr>
        <w:t>.</w:t>
      </w:r>
      <w:r w:rsidR="73159004" w:rsidRPr="10607C96">
        <w:rPr>
          <w:color w:val="000000" w:themeColor="text1"/>
        </w:rPr>
        <w:t xml:space="preserve"> These requirements include that the </w:t>
      </w:r>
      <w:r w:rsidR="00605816">
        <w:rPr>
          <w:color w:val="000000" w:themeColor="text1"/>
        </w:rPr>
        <w:t>disclosure</w:t>
      </w:r>
      <w:r w:rsidR="73159004" w:rsidRPr="10607C96">
        <w:rPr>
          <w:color w:val="000000" w:themeColor="text1"/>
        </w:rPr>
        <w:t xml:space="preserve"> must:</w:t>
      </w:r>
    </w:p>
    <w:p w14:paraId="57A74D91" w14:textId="19EEA464" w:rsidR="10E3B7DF" w:rsidRDefault="10E3B7DF" w:rsidP="00E5790C">
      <w:pPr>
        <w:spacing w:before="240" w:line="240" w:lineRule="auto"/>
        <w:ind w:left="567"/>
        <w:rPr>
          <w:rFonts w:eastAsia="Times New Roman"/>
          <w:color w:val="000000" w:themeColor="text1"/>
          <w:sz w:val="24"/>
          <w:szCs w:val="24"/>
        </w:rPr>
      </w:pPr>
      <w:r w:rsidRPr="48F17467">
        <w:rPr>
          <w:rFonts w:eastAsia="Times New Roman"/>
          <w:color w:val="000000" w:themeColor="text1"/>
          <w:sz w:val="24"/>
          <w:szCs w:val="24"/>
        </w:rPr>
        <w:t xml:space="preserve">(a) appear on the first substantive page of the </w:t>
      </w:r>
      <w:r w:rsidR="00F60A7C">
        <w:rPr>
          <w:rFonts w:eastAsia="Times New Roman"/>
          <w:color w:val="000000" w:themeColor="text1"/>
          <w:sz w:val="24"/>
          <w:szCs w:val="24"/>
        </w:rPr>
        <w:t>FSG</w:t>
      </w:r>
      <w:r w:rsidRPr="48F17467">
        <w:rPr>
          <w:rFonts w:eastAsia="Times New Roman"/>
          <w:color w:val="000000" w:themeColor="text1"/>
          <w:sz w:val="24"/>
          <w:szCs w:val="24"/>
        </w:rPr>
        <w:t xml:space="preserve"> that contains </w:t>
      </w:r>
      <w:r w:rsidR="00103259">
        <w:rPr>
          <w:rFonts w:eastAsia="Times New Roman"/>
          <w:color w:val="000000" w:themeColor="text1"/>
          <w:sz w:val="24"/>
          <w:szCs w:val="24"/>
        </w:rPr>
        <w:t>it</w:t>
      </w:r>
      <w:r w:rsidRPr="48F17467">
        <w:rPr>
          <w:rFonts w:eastAsia="Times New Roman"/>
          <w:color w:val="000000" w:themeColor="text1"/>
          <w:sz w:val="24"/>
          <w:szCs w:val="24"/>
        </w:rPr>
        <w:t>;</w:t>
      </w:r>
    </w:p>
    <w:p w14:paraId="61C20059" w14:textId="6F1C80CC" w:rsidR="10E3B7DF" w:rsidRDefault="10E3B7DF" w:rsidP="00E5790C">
      <w:pPr>
        <w:spacing w:before="240"/>
        <w:ind w:left="567"/>
        <w:rPr>
          <w:rFonts w:eastAsia="Times New Roman"/>
          <w:color w:val="000000" w:themeColor="text1"/>
          <w:sz w:val="24"/>
          <w:szCs w:val="24"/>
        </w:rPr>
      </w:pPr>
      <w:r w:rsidRPr="077912F4">
        <w:rPr>
          <w:rFonts w:eastAsia="Times New Roman"/>
          <w:color w:val="000000" w:themeColor="text1"/>
          <w:sz w:val="24"/>
          <w:szCs w:val="24"/>
        </w:rPr>
        <w:t>(b) appear within a box under a bold heading that includes the phrase “Not Independent”, “Lack of Independence”, or another phrase of like import;</w:t>
      </w:r>
    </w:p>
    <w:p w14:paraId="038DD48A" w14:textId="58BBFD38" w:rsidR="10E3B7DF" w:rsidRDefault="10E3B7DF" w:rsidP="00E5790C">
      <w:pPr>
        <w:spacing w:before="240"/>
        <w:ind w:left="567"/>
        <w:rPr>
          <w:rFonts w:eastAsia="Times New Roman"/>
          <w:color w:val="000000" w:themeColor="text1"/>
          <w:sz w:val="24"/>
          <w:szCs w:val="24"/>
        </w:rPr>
      </w:pPr>
      <w:r w:rsidRPr="077912F4">
        <w:rPr>
          <w:rFonts w:eastAsia="Times New Roman"/>
          <w:color w:val="000000" w:themeColor="text1"/>
          <w:sz w:val="24"/>
          <w:szCs w:val="24"/>
        </w:rPr>
        <w:t>(c) be in a font size that is at least the same font size as that predominantly used for other text (if any) in the F</w:t>
      </w:r>
      <w:r w:rsidR="00795D79">
        <w:rPr>
          <w:rFonts w:eastAsia="Times New Roman"/>
          <w:color w:val="000000" w:themeColor="text1"/>
          <w:sz w:val="24"/>
          <w:szCs w:val="24"/>
        </w:rPr>
        <w:t>SG</w:t>
      </w:r>
      <w:r w:rsidRPr="077912F4">
        <w:rPr>
          <w:rFonts w:eastAsia="Times New Roman"/>
          <w:color w:val="000000" w:themeColor="text1"/>
          <w:sz w:val="24"/>
          <w:szCs w:val="24"/>
        </w:rPr>
        <w:t>; and</w:t>
      </w:r>
    </w:p>
    <w:p w14:paraId="6703C891" w14:textId="19192ABF" w:rsidR="10E3B7DF" w:rsidRDefault="10E3B7DF" w:rsidP="00E5790C">
      <w:pPr>
        <w:spacing w:before="240"/>
        <w:ind w:left="567"/>
        <w:rPr>
          <w:rFonts w:eastAsia="Times New Roman"/>
          <w:color w:val="000000" w:themeColor="text1"/>
          <w:sz w:val="24"/>
          <w:szCs w:val="24"/>
        </w:rPr>
      </w:pPr>
      <w:r w:rsidRPr="077912F4">
        <w:rPr>
          <w:rFonts w:eastAsia="Times New Roman"/>
          <w:color w:val="000000" w:themeColor="text1"/>
          <w:sz w:val="24"/>
          <w:szCs w:val="24"/>
        </w:rPr>
        <w:t>(d) not appear in a footnote.</w:t>
      </w:r>
    </w:p>
    <w:p w14:paraId="5AD15A17" w14:textId="7D747DF0" w:rsidR="00D9370E" w:rsidRDefault="009137A5" w:rsidP="0008665B">
      <w:pPr>
        <w:spacing w:before="240"/>
        <w:ind w:left="567" w:hanging="567"/>
        <w:rPr>
          <w:rFonts w:eastAsia="Times New Roman"/>
          <w:color w:val="000000" w:themeColor="text1"/>
          <w:sz w:val="24"/>
          <w:szCs w:val="24"/>
        </w:rPr>
      </w:pPr>
      <w:r>
        <w:rPr>
          <w:rFonts w:eastAsia="Times New Roman"/>
          <w:color w:val="000000" w:themeColor="text1"/>
          <w:sz w:val="24"/>
          <w:szCs w:val="24"/>
        </w:rPr>
        <w:t>1</w:t>
      </w:r>
      <w:r w:rsidR="00240E66">
        <w:rPr>
          <w:rFonts w:eastAsia="Times New Roman"/>
          <w:color w:val="000000" w:themeColor="text1"/>
          <w:sz w:val="24"/>
          <w:szCs w:val="24"/>
        </w:rPr>
        <w:t>9</w:t>
      </w:r>
      <w:r w:rsidR="69867E93" w:rsidRPr="4210B4C9">
        <w:rPr>
          <w:rFonts w:eastAsia="Times New Roman"/>
          <w:color w:val="000000" w:themeColor="text1"/>
          <w:sz w:val="24"/>
          <w:szCs w:val="24"/>
        </w:rPr>
        <w:t>.</w:t>
      </w:r>
      <w:r w:rsidR="69867E93">
        <w:tab/>
      </w:r>
      <w:r w:rsidR="307E8270" w:rsidRPr="4210B4C9">
        <w:rPr>
          <w:rFonts w:eastAsia="Times New Roman"/>
          <w:color w:val="000000" w:themeColor="text1"/>
          <w:sz w:val="24"/>
          <w:szCs w:val="24"/>
        </w:rPr>
        <w:t xml:space="preserve">Section </w:t>
      </w:r>
      <w:r w:rsidR="00815545">
        <w:rPr>
          <w:rFonts w:eastAsia="Times New Roman"/>
          <w:color w:val="000000" w:themeColor="text1"/>
          <w:sz w:val="24"/>
          <w:szCs w:val="24"/>
        </w:rPr>
        <w:t xml:space="preserve">1 to the Amendment Instrument </w:t>
      </w:r>
      <w:r w:rsidR="009C52AA">
        <w:rPr>
          <w:rFonts w:eastAsia="Times New Roman"/>
          <w:color w:val="000000" w:themeColor="text1"/>
          <w:sz w:val="24"/>
          <w:szCs w:val="24"/>
        </w:rPr>
        <w:t xml:space="preserve">amends section 3 of LI 2021/215 to include subsection 951B(1) which is the legislative power for the amendments </w:t>
      </w:r>
      <w:r w:rsidR="00D9370E">
        <w:rPr>
          <w:rFonts w:eastAsia="Times New Roman"/>
          <w:color w:val="000000" w:themeColor="text1"/>
          <w:sz w:val="24"/>
          <w:szCs w:val="24"/>
        </w:rPr>
        <w:t xml:space="preserve">that section 3 to the Amendment Instrument makes. </w:t>
      </w:r>
    </w:p>
    <w:p w14:paraId="6427965B" w14:textId="7BDF740A" w:rsidR="0008665B" w:rsidRDefault="00240E66" w:rsidP="0008665B">
      <w:pPr>
        <w:spacing w:before="240"/>
        <w:ind w:left="567" w:hanging="567"/>
        <w:rPr>
          <w:rFonts w:eastAsia="Times New Roman"/>
          <w:color w:val="000000" w:themeColor="text1"/>
          <w:sz w:val="24"/>
          <w:szCs w:val="24"/>
        </w:rPr>
      </w:pPr>
      <w:r>
        <w:rPr>
          <w:rFonts w:eastAsia="Times New Roman"/>
          <w:color w:val="000000" w:themeColor="text1"/>
          <w:sz w:val="24"/>
          <w:szCs w:val="24"/>
        </w:rPr>
        <w:t>20</w:t>
      </w:r>
      <w:r w:rsidR="00D9370E">
        <w:rPr>
          <w:rFonts w:eastAsia="Times New Roman"/>
          <w:color w:val="000000" w:themeColor="text1"/>
          <w:sz w:val="24"/>
          <w:szCs w:val="24"/>
        </w:rPr>
        <w:t>.</w:t>
      </w:r>
      <w:r w:rsidR="00D9370E">
        <w:rPr>
          <w:rFonts w:eastAsia="Times New Roman"/>
          <w:color w:val="000000" w:themeColor="text1"/>
          <w:sz w:val="24"/>
          <w:szCs w:val="24"/>
        </w:rPr>
        <w:tab/>
        <w:t>Section 2</w:t>
      </w:r>
      <w:r w:rsidR="307E8270" w:rsidRPr="4210B4C9">
        <w:rPr>
          <w:rFonts w:eastAsia="Times New Roman"/>
          <w:color w:val="000000" w:themeColor="text1"/>
          <w:sz w:val="24"/>
          <w:szCs w:val="24"/>
        </w:rPr>
        <w:t xml:space="preserve"> of Schedule 1</w:t>
      </w:r>
      <w:r w:rsidR="2462EB59" w:rsidRPr="4210B4C9">
        <w:rPr>
          <w:rFonts w:eastAsia="Times New Roman"/>
          <w:color w:val="000000" w:themeColor="text1"/>
          <w:sz w:val="24"/>
          <w:szCs w:val="24"/>
        </w:rPr>
        <w:t xml:space="preserve"> to the Amendment Instrument</w:t>
      </w:r>
      <w:r w:rsidR="58A02C0D" w:rsidRPr="4210B4C9">
        <w:rPr>
          <w:rFonts w:eastAsia="Times New Roman"/>
          <w:color w:val="000000" w:themeColor="text1"/>
          <w:sz w:val="24"/>
          <w:szCs w:val="24"/>
        </w:rPr>
        <w:t xml:space="preserve"> amends the title of</w:t>
      </w:r>
      <w:r w:rsidR="0008665B">
        <w:rPr>
          <w:rFonts w:eastAsia="Times New Roman"/>
          <w:color w:val="000000" w:themeColor="text1"/>
          <w:sz w:val="24"/>
          <w:szCs w:val="24"/>
        </w:rPr>
        <w:t xml:space="preserve"> </w:t>
      </w:r>
      <w:r w:rsidR="58A02C0D" w:rsidRPr="4210B4C9">
        <w:rPr>
          <w:rFonts w:eastAsia="Times New Roman"/>
          <w:color w:val="000000" w:themeColor="text1"/>
          <w:sz w:val="24"/>
          <w:szCs w:val="24"/>
        </w:rPr>
        <w:t>section 5 of LI 2021/125 to “</w:t>
      </w:r>
      <w:r w:rsidR="58A02C0D" w:rsidRPr="00E5790C">
        <w:rPr>
          <w:rFonts w:eastAsia="Times New Roman"/>
          <w:color w:val="000000" w:themeColor="text1"/>
          <w:sz w:val="24"/>
          <w:szCs w:val="24"/>
        </w:rPr>
        <w:t>Requirements for disclosure of lack of</w:t>
      </w:r>
      <w:r w:rsidR="0008665B">
        <w:rPr>
          <w:rFonts w:eastAsia="Times New Roman"/>
          <w:color w:val="000000" w:themeColor="text1"/>
          <w:sz w:val="24"/>
          <w:szCs w:val="24"/>
        </w:rPr>
        <w:t xml:space="preserve"> </w:t>
      </w:r>
      <w:r w:rsidR="58A02C0D" w:rsidRPr="00E5790C">
        <w:rPr>
          <w:rFonts w:eastAsia="Times New Roman"/>
          <w:color w:val="000000" w:themeColor="text1"/>
          <w:sz w:val="24"/>
          <w:szCs w:val="24"/>
        </w:rPr>
        <w:t>independence</w:t>
      </w:r>
      <w:r w:rsidR="58A02C0D" w:rsidRPr="4210B4C9">
        <w:rPr>
          <w:rFonts w:eastAsia="Times New Roman"/>
          <w:color w:val="000000" w:themeColor="text1"/>
          <w:sz w:val="24"/>
          <w:szCs w:val="24"/>
        </w:rPr>
        <w:t xml:space="preserve"> in a Financial Services Guide”</w:t>
      </w:r>
      <w:r w:rsidR="00DE21AA">
        <w:rPr>
          <w:rFonts w:eastAsia="Times New Roman"/>
          <w:color w:val="000000" w:themeColor="text1"/>
          <w:sz w:val="24"/>
          <w:szCs w:val="24"/>
        </w:rPr>
        <w:t>,</w:t>
      </w:r>
      <w:r w:rsidR="58A02C0D" w:rsidRPr="4210B4C9">
        <w:rPr>
          <w:rFonts w:eastAsia="Times New Roman"/>
          <w:color w:val="000000" w:themeColor="text1"/>
          <w:sz w:val="24"/>
          <w:szCs w:val="24"/>
        </w:rPr>
        <w:t xml:space="preserve"> thereby clarifying that section 5 applies</w:t>
      </w:r>
      <w:r w:rsidR="30729C89" w:rsidRPr="4210B4C9">
        <w:rPr>
          <w:rFonts w:eastAsia="Times New Roman"/>
          <w:color w:val="000000" w:themeColor="text1"/>
          <w:sz w:val="24"/>
          <w:szCs w:val="24"/>
        </w:rPr>
        <w:t xml:space="preserve"> principally</w:t>
      </w:r>
      <w:r w:rsidR="58A02C0D" w:rsidRPr="4210B4C9">
        <w:rPr>
          <w:rFonts w:eastAsia="Times New Roman"/>
          <w:color w:val="000000" w:themeColor="text1"/>
          <w:sz w:val="24"/>
          <w:szCs w:val="24"/>
        </w:rPr>
        <w:t xml:space="preserve"> </w:t>
      </w:r>
      <w:r w:rsidR="43BE0806" w:rsidRPr="4210B4C9">
        <w:rPr>
          <w:rFonts w:eastAsia="Times New Roman"/>
          <w:color w:val="000000" w:themeColor="text1"/>
          <w:sz w:val="24"/>
          <w:szCs w:val="24"/>
        </w:rPr>
        <w:t>to</w:t>
      </w:r>
      <w:r w:rsidR="00E230E2">
        <w:rPr>
          <w:rFonts w:eastAsia="Times New Roman"/>
          <w:color w:val="000000" w:themeColor="text1"/>
          <w:sz w:val="24"/>
          <w:szCs w:val="24"/>
        </w:rPr>
        <w:t xml:space="preserve"> statements made</w:t>
      </w:r>
      <w:r w:rsidR="43BE0806" w:rsidRPr="4210B4C9">
        <w:rPr>
          <w:rFonts w:eastAsia="Times New Roman"/>
          <w:color w:val="000000" w:themeColor="text1"/>
          <w:sz w:val="24"/>
          <w:szCs w:val="24"/>
        </w:rPr>
        <w:t xml:space="preserve"> </w:t>
      </w:r>
      <w:r w:rsidR="00BA58D7">
        <w:rPr>
          <w:rFonts w:eastAsia="Times New Roman"/>
          <w:color w:val="000000" w:themeColor="text1"/>
          <w:sz w:val="24"/>
          <w:szCs w:val="24"/>
        </w:rPr>
        <w:t xml:space="preserve">in </w:t>
      </w:r>
      <w:r w:rsidR="43BE0806" w:rsidRPr="4210B4C9">
        <w:rPr>
          <w:rFonts w:eastAsia="Times New Roman"/>
          <w:color w:val="000000" w:themeColor="text1"/>
          <w:sz w:val="24"/>
          <w:szCs w:val="24"/>
        </w:rPr>
        <w:t>F</w:t>
      </w:r>
      <w:r w:rsidR="00BA58D7">
        <w:rPr>
          <w:rFonts w:eastAsia="Times New Roman"/>
          <w:color w:val="000000" w:themeColor="text1"/>
          <w:sz w:val="24"/>
          <w:szCs w:val="24"/>
        </w:rPr>
        <w:t>SGs</w:t>
      </w:r>
      <w:r w:rsidR="43BE0806" w:rsidRPr="4210B4C9">
        <w:rPr>
          <w:rFonts w:eastAsia="Times New Roman"/>
          <w:color w:val="000000" w:themeColor="text1"/>
          <w:sz w:val="24"/>
          <w:szCs w:val="24"/>
        </w:rPr>
        <w:t>.</w:t>
      </w:r>
    </w:p>
    <w:p w14:paraId="2146A549" w14:textId="7F49E8FB" w:rsidR="00844B9F" w:rsidRDefault="0008665B" w:rsidP="0008665B">
      <w:pPr>
        <w:spacing w:before="240"/>
        <w:ind w:left="567" w:hanging="567"/>
        <w:rPr>
          <w:rFonts w:eastAsia="Times New Roman"/>
          <w:color w:val="000000" w:themeColor="text1"/>
          <w:sz w:val="24"/>
          <w:szCs w:val="24"/>
        </w:rPr>
      </w:pPr>
      <w:r>
        <w:rPr>
          <w:rFonts w:eastAsia="Times New Roman"/>
          <w:color w:val="000000" w:themeColor="text1"/>
          <w:sz w:val="24"/>
          <w:szCs w:val="24"/>
        </w:rPr>
        <w:t>2</w:t>
      </w:r>
      <w:r w:rsidR="00240E66">
        <w:rPr>
          <w:rFonts w:eastAsia="Times New Roman"/>
          <w:color w:val="000000" w:themeColor="text1"/>
          <w:sz w:val="24"/>
          <w:szCs w:val="24"/>
        </w:rPr>
        <w:t>1</w:t>
      </w:r>
      <w:r>
        <w:rPr>
          <w:rFonts w:eastAsia="Times New Roman"/>
          <w:color w:val="000000" w:themeColor="text1"/>
          <w:sz w:val="24"/>
          <w:szCs w:val="24"/>
        </w:rPr>
        <w:t>.</w:t>
      </w:r>
      <w:r>
        <w:rPr>
          <w:rFonts w:eastAsia="Times New Roman"/>
          <w:color w:val="000000" w:themeColor="text1"/>
          <w:sz w:val="24"/>
          <w:szCs w:val="24"/>
        </w:rPr>
        <w:tab/>
      </w:r>
      <w:r w:rsidR="307E8270" w:rsidRPr="7BAB1973">
        <w:rPr>
          <w:rFonts w:eastAsia="Times New Roman"/>
          <w:color w:val="000000" w:themeColor="text1"/>
          <w:sz w:val="24"/>
          <w:szCs w:val="24"/>
        </w:rPr>
        <w:t xml:space="preserve">Section </w:t>
      </w:r>
      <w:r w:rsidR="00DF1859">
        <w:rPr>
          <w:rFonts w:eastAsia="Times New Roman"/>
          <w:color w:val="000000" w:themeColor="text1"/>
          <w:sz w:val="24"/>
          <w:szCs w:val="24"/>
        </w:rPr>
        <w:t>3</w:t>
      </w:r>
      <w:r w:rsidR="37C7023E" w:rsidRPr="7BAB1973">
        <w:rPr>
          <w:rFonts w:eastAsia="Times New Roman"/>
          <w:color w:val="000000" w:themeColor="text1"/>
          <w:sz w:val="24"/>
          <w:szCs w:val="24"/>
        </w:rPr>
        <w:t xml:space="preserve"> of Schedule 1 to the Amendment Instrument inserts a section 6</w:t>
      </w:r>
      <w:r w:rsidR="7803ACC5" w:rsidRPr="7BAB1973">
        <w:rPr>
          <w:rFonts w:eastAsia="Times New Roman"/>
          <w:color w:val="000000" w:themeColor="text1"/>
          <w:sz w:val="24"/>
          <w:szCs w:val="24"/>
        </w:rPr>
        <w:t xml:space="preserve"> </w:t>
      </w:r>
      <w:r w:rsidR="37C7023E" w:rsidRPr="7BAB1973">
        <w:rPr>
          <w:rFonts w:eastAsia="Times New Roman"/>
          <w:color w:val="000000" w:themeColor="text1"/>
          <w:sz w:val="24"/>
          <w:szCs w:val="24"/>
        </w:rPr>
        <w:t>into LI 2021/125</w:t>
      </w:r>
      <w:r w:rsidR="7A9D4579" w:rsidRPr="7BAB1973">
        <w:rPr>
          <w:rFonts w:eastAsia="Times New Roman"/>
          <w:color w:val="000000" w:themeColor="text1"/>
          <w:sz w:val="24"/>
          <w:szCs w:val="24"/>
        </w:rPr>
        <w:t xml:space="preserve"> </w:t>
      </w:r>
      <w:r w:rsidR="00A0700D">
        <w:rPr>
          <w:rFonts w:eastAsia="Times New Roman"/>
          <w:color w:val="000000" w:themeColor="text1"/>
          <w:sz w:val="24"/>
          <w:szCs w:val="24"/>
        </w:rPr>
        <w:t>that imposes</w:t>
      </w:r>
      <w:r w:rsidR="7A9D4579" w:rsidRPr="7BAB1973">
        <w:rPr>
          <w:rFonts w:eastAsia="Times New Roman"/>
          <w:color w:val="000000" w:themeColor="text1"/>
          <w:sz w:val="24"/>
          <w:szCs w:val="24"/>
        </w:rPr>
        <w:t xml:space="preserve"> requirements upon</w:t>
      </w:r>
      <w:r w:rsidR="001E057E">
        <w:rPr>
          <w:rFonts w:eastAsia="Times New Roman"/>
          <w:color w:val="000000" w:themeColor="text1"/>
          <w:sz w:val="24"/>
          <w:szCs w:val="24"/>
        </w:rPr>
        <w:t xml:space="preserve"> </w:t>
      </w:r>
      <w:r w:rsidR="00EE60CE">
        <w:rPr>
          <w:rFonts w:eastAsia="Times New Roman"/>
          <w:color w:val="000000" w:themeColor="text1"/>
          <w:sz w:val="24"/>
          <w:szCs w:val="24"/>
        </w:rPr>
        <w:t xml:space="preserve">Lack of Independence Disclosure </w:t>
      </w:r>
      <w:r w:rsidR="000E10D3">
        <w:rPr>
          <w:rFonts w:eastAsia="Times New Roman"/>
          <w:color w:val="000000" w:themeColor="text1"/>
          <w:sz w:val="24"/>
          <w:szCs w:val="24"/>
        </w:rPr>
        <w:t xml:space="preserve">statements </w:t>
      </w:r>
      <w:r w:rsidR="00EE60CE">
        <w:rPr>
          <w:rFonts w:eastAsia="Times New Roman"/>
          <w:color w:val="000000" w:themeColor="text1"/>
          <w:sz w:val="24"/>
          <w:szCs w:val="24"/>
        </w:rPr>
        <w:t xml:space="preserve">as part of </w:t>
      </w:r>
      <w:r w:rsidR="7A9D4579" w:rsidRPr="7BAB1973">
        <w:rPr>
          <w:rFonts w:eastAsia="Times New Roman"/>
          <w:color w:val="000000" w:themeColor="text1"/>
          <w:sz w:val="24"/>
          <w:szCs w:val="24"/>
        </w:rPr>
        <w:t>website disclosure information</w:t>
      </w:r>
      <w:r w:rsidR="001E057E">
        <w:rPr>
          <w:rFonts w:eastAsia="Times New Roman"/>
          <w:color w:val="000000" w:themeColor="text1"/>
          <w:sz w:val="24"/>
          <w:szCs w:val="24"/>
        </w:rPr>
        <w:t xml:space="preserve">. </w:t>
      </w:r>
      <w:r w:rsidR="00064E5A">
        <w:rPr>
          <w:rFonts w:eastAsia="Times New Roman"/>
          <w:color w:val="000000" w:themeColor="text1"/>
          <w:sz w:val="24"/>
          <w:szCs w:val="24"/>
        </w:rPr>
        <w:t xml:space="preserve">The requirements modify </w:t>
      </w:r>
      <w:r w:rsidR="00064E5A">
        <w:rPr>
          <w:rFonts w:eastAsia="Times New Roman"/>
          <w:color w:val="000000" w:themeColor="text1"/>
          <w:sz w:val="24"/>
          <w:szCs w:val="24"/>
        </w:rPr>
        <w:lastRenderedPageBreak/>
        <w:t xml:space="preserve">section 943J of the Corporations Act </w:t>
      </w:r>
      <w:r w:rsidR="00022EFC">
        <w:rPr>
          <w:rFonts w:eastAsia="Times New Roman"/>
          <w:color w:val="000000" w:themeColor="text1"/>
          <w:sz w:val="24"/>
          <w:szCs w:val="24"/>
        </w:rPr>
        <w:t xml:space="preserve">that the Act inserts to </w:t>
      </w:r>
      <w:r w:rsidR="006144C0">
        <w:rPr>
          <w:rFonts w:eastAsia="Times New Roman"/>
          <w:color w:val="000000" w:themeColor="text1"/>
          <w:sz w:val="24"/>
          <w:szCs w:val="24"/>
        </w:rPr>
        <w:t xml:space="preserve">provide an alternative to meeting the requirements </w:t>
      </w:r>
      <w:r w:rsidR="00500701">
        <w:rPr>
          <w:rFonts w:eastAsia="Times New Roman"/>
          <w:color w:val="000000" w:themeColor="text1"/>
          <w:sz w:val="24"/>
          <w:szCs w:val="24"/>
        </w:rPr>
        <w:t xml:space="preserve">referred to </w:t>
      </w:r>
      <w:r w:rsidR="006144C0">
        <w:rPr>
          <w:rFonts w:eastAsia="Times New Roman"/>
          <w:color w:val="000000" w:themeColor="text1"/>
          <w:sz w:val="24"/>
          <w:szCs w:val="24"/>
        </w:rPr>
        <w:t>in subparagraph</w:t>
      </w:r>
      <w:r w:rsidR="00A46918">
        <w:rPr>
          <w:rFonts w:eastAsia="Times New Roman"/>
          <w:color w:val="000000" w:themeColor="text1"/>
          <w:sz w:val="24"/>
          <w:szCs w:val="24"/>
        </w:rPr>
        <w:t>s</w:t>
      </w:r>
      <w:r w:rsidR="006144C0">
        <w:rPr>
          <w:rFonts w:eastAsia="Times New Roman"/>
          <w:color w:val="000000" w:themeColor="text1"/>
          <w:sz w:val="24"/>
          <w:szCs w:val="24"/>
        </w:rPr>
        <w:t xml:space="preserve"> </w:t>
      </w:r>
      <w:r w:rsidR="00A46918">
        <w:rPr>
          <w:rFonts w:eastAsia="Times New Roman"/>
          <w:color w:val="000000" w:themeColor="text1"/>
          <w:sz w:val="24"/>
          <w:szCs w:val="24"/>
        </w:rPr>
        <w:t xml:space="preserve">942B(2)(fa)(iii) and 942C(2)(ga)(iii) of the Corporations Act </w:t>
      </w:r>
      <w:r w:rsidR="007C4B5C">
        <w:rPr>
          <w:rFonts w:eastAsia="Times New Roman"/>
          <w:color w:val="000000" w:themeColor="text1"/>
          <w:sz w:val="24"/>
          <w:szCs w:val="24"/>
        </w:rPr>
        <w:t xml:space="preserve">for website disclosure information </w:t>
      </w:r>
      <w:r w:rsidR="00A46918">
        <w:rPr>
          <w:rFonts w:eastAsia="Times New Roman"/>
          <w:color w:val="000000" w:themeColor="text1"/>
          <w:sz w:val="24"/>
          <w:szCs w:val="24"/>
        </w:rPr>
        <w:t xml:space="preserve">in a new notional section </w:t>
      </w:r>
      <w:r w:rsidR="00844B9F">
        <w:rPr>
          <w:rFonts w:eastAsia="Times New Roman"/>
          <w:color w:val="000000" w:themeColor="text1"/>
          <w:sz w:val="24"/>
          <w:szCs w:val="24"/>
        </w:rPr>
        <w:t>943JA.</w:t>
      </w:r>
    </w:p>
    <w:p w14:paraId="488CC5C0" w14:textId="17194FCA" w:rsidR="0008665B" w:rsidRDefault="00844B9F" w:rsidP="0008665B">
      <w:pPr>
        <w:spacing w:before="240"/>
        <w:ind w:left="567" w:hanging="567"/>
        <w:rPr>
          <w:rFonts w:eastAsia="Times New Roman"/>
          <w:color w:val="000000" w:themeColor="text1"/>
          <w:sz w:val="24"/>
          <w:szCs w:val="24"/>
        </w:rPr>
      </w:pPr>
      <w:r>
        <w:rPr>
          <w:rFonts w:eastAsia="Times New Roman"/>
          <w:color w:val="000000" w:themeColor="text1"/>
          <w:sz w:val="24"/>
          <w:szCs w:val="24"/>
        </w:rPr>
        <w:t>2</w:t>
      </w:r>
      <w:r w:rsidR="00240E66">
        <w:rPr>
          <w:rFonts w:eastAsia="Times New Roman"/>
          <w:color w:val="000000" w:themeColor="text1"/>
          <w:sz w:val="24"/>
          <w:szCs w:val="24"/>
        </w:rPr>
        <w:t>2</w:t>
      </w:r>
      <w:r>
        <w:rPr>
          <w:rFonts w:eastAsia="Times New Roman"/>
          <w:color w:val="000000" w:themeColor="text1"/>
          <w:sz w:val="24"/>
          <w:szCs w:val="24"/>
        </w:rPr>
        <w:t>.</w:t>
      </w:r>
      <w:r>
        <w:rPr>
          <w:rFonts w:eastAsia="Times New Roman"/>
          <w:color w:val="000000" w:themeColor="text1"/>
          <w:sz w:val="24"/>
          <w:szCs w:val="24"/>
        </w:rPr>
        <w:tab/>
        <w:t>Notional section 943JA</w:t>
      </w:r>
      <w:r w:rsidR="007C4B5C">
        <w:rPr>
          <w:rFonts w:eastAsia="Times New Roman"/>
          <w:color w:val="000000" w:themeColor="text1"/>
          <w:sz w:val="24"/>
          <w:szCs w:val="24"/>
        </w:rPr>
        <w:t xml:space="preserve"> </w:t>
      </w:r>
      <w:r w:rsidR="007B33CA">
        <w:rPr>
          <w:rFonts w:eastAsia="Times New Roman"/>
          <w:color w:val="000000" w:themeColor="text1"/>
          <w:sz w:val="24"/>
          <w:szCs w:val="24"/>
        </w:rPr>
        <w:t xml:space="preserve">applies to </w:t>
      </w:r>
      <w:r w:rsidR="00F62489">
        <w:rPr>
          <w:rFonts w:eastAsia="Times New Roman"/>
          <w:color w:val="000000" w:themeColor="text1"/>
          <w:sz w:val="24"/>
          <w:szCs w:val="24"/>
        </w:rPr>
        <w:t xml:space="preserve">any Lack of Independence statement </w:t>
      </w:r>
      <w:r w:rsidR="004D11B7">
        <w:rPr>
          <w:rFonts w:eastAsia="Times New Roman"/>
          <w:color w:val="000000" w:themeColor="text1"/>
          <w:sz w:val="24"/>
          <w:szCs w:val="24"/>
        </w:rPr>
        <w:t xml:space="preserve">that forms part of </w:t>
      </w:r>
      <w:r w:rsidR="00F62489">
        <w:rPr>
          <w:rFonts w:eastAsia="Times New Roman"/>
          <w:color w:val="000000" w:themeColor="text1"/>
          <w:sz w:val="24"/>
          <w:szCs w:val="24"/>
        </w:rPr>
        <w:t>website disclosure information. Its</w:t>
      </w:r>
      <w:r w:rsidR="001E057E">
        <w:rPr>
          <w:rFonts w:eastAsia="Times New Roman"/>
          <w:color w:val="000000" w:themeColor="text1"/>
          <w:sz w:val="24"/>
          <w:szCs w:val="24"/>
        </w:rPr>
        <w:t xml:space="preserve"> requirements</w:t>
      </w:r>
      <w:r w:rsidR="73B8D901" w:rsidRPr="7BAB1973">
        <w:rPr>
          <w:rFonts w:eastAsia="Times New Roman"/>
          <w:color w:val="000000" w:themeColor="text1"/>
          <w:sz w:val="24"/>
          <w:szCs w:val="24"/>
        </w:rPr>
        <w:t xml:space="preserve"> are </w:t>
      </w:r>
      <w:r w:rsidR="7A9D4579" w:rsidRPr="7BAB1973">
        <w:rPr>
          <w:rFonts w:eastAsia="Times New Roman"/>
          <w:color w:val="000000" w:themeColor="text1"/>
          <w:sz w:val="24"/>
          <w:szCs w:val="24"/>
        </w:rPr>
        <w:t xml:space="preserve">equivalent to </w:t>
      </w:r>
      <w:r w:rsidR="0F8473B7" w:rsidRPr="7BAB1973">
        <w:rPr>
          <w:rFonts w:eastAsia="Times New Roman"/>
          <w:color w:val="000000" w:themeColor="text1"/>
          <w:sz w:val="24"/>
          <w:szCs w:val="24"/>
        </w:rPr>
        <w:t>those required for FSGs</w:t>
      </w:r>
      <w:r w:rsidR="005C008E">
        <w:rPr>
          <w:rFonts w:eastAsia="Times New Roman"/>
          <w:color w:val="000000" w:themeColor="text1"/>
          <w:sz w:val="24"/>
          <w:szCs w:val="24"/>
        </w:rPr>
        <w:t xml:space="preserve"> and </w:t>
      </w:r>
      <w:r w:rsidR="7A703927" w:rsidRPr="7BAB1973">
        <w:rPr>
          <w:rFonts w:eastAsia="Times New Roman"/>
          <w:color w:val="000000" w:themeColor="text1"/>
          <w:sz w:val="24"/>
          <w:szCs w:val="24"/>
        </w:rPr>
        <w:t>requir</w:t>
      </w:r>
      <w:r w:rsidR="1AF1CA9D" w:rsidRPr="7BAB1973">
        <w:rPr>
          <w:rFonts w:eastAsia="Times New Roman"/>
          <w:color w:val="000000" w:themeColor="text1"/>
          <w:sz w:val="24"/>
          <w:szCs w:val="24"/>
        </w:rPr>
        <w:t>e</w:t>
      </w:r>
      <w:r w:rsidR="7A703927" w:rsidRPr="7BAB1973">
        <w:rPr>
          <w:rFonts w:eastAsia="Times New Roman"/>
          <w:color w:val="000000" w:themeColor="text1"/>
          <w:sz w:val="24"/>
          <w:szCs w:val="24"/>
        </w:rPr>
        <w:t xml:space="preserve"> that</w:t>
      </w:r>
      <w:r w:rsidR="68D3F258" w:rsidRPr="7BAB1973">
        <w:rPr>
          <w:rFonts w:eastAsia="Times New Roman"/>
          <w:color w:val="000000" w:themeColor="text1"/>
          <w:sz w:val="24"/>
          <w:szCs w:val="24"/>
        </w:rPr>
        <w:t xml:space="preserve"> </w:t>
      </w:r>
      <w:r w:rsidR="00B30DD7">
        <w:rPr>
          <w:rFonts w:eastAsia="Times New Roman"/>
          <w:color w:val="000000" w:themeColor="text1"/>
          <w:sz w:val="24"/>
          <w:szCs w:val="24"/>
        </w:rPr>
        <w:t xml:space="preserve">the </w:t>
      </w:r>
      <w:r w:rsidR="004D11B7">
        <w:rPr>
          <w:rFonts w:eastAsia="Times New Roman"/>
          <w:color w:val="000000" w:themeColor="text1"/>
          <w:sz w:val="24"/>
          <w:szCs w:val="24"/>
        </w:rPr>
        <w:t xml:space="preserve">statement </w:t>
      </w:r>
      <w:r w:rsidR="6AB379A6" w:rsidRPr="7BAB1973">
        <w:rPr>
          <w:rFonts w:eastAsia="Times New Roman"/>
          <w:color w:val="000000" w:themeColor="text1"/>
          <w:sz w:val="24"/>
          <w:szCs w:val="24"/>
        </w:rPr>
        <w:t>must:</w:t>
      </w:r>
    </w:p>
    <w:p w14:paraId="5AB988BA" w14:textId="77777777" w:rsidR="0008665B" w:rsidRDefault="7DC91A94" w:rsidP="0008665B">
      <w:pPr>
        <w:spacing w:before="240"/>
        <w:ind w:left="567"/>
        <w:rPr>
          <w:rFonts w:eastAsia="Times New Roman"/>
          <w:color w:val="000000" w:themeColor="text1"/>
          <w:sz w:val="24"/>
          <w:szCs w:val="24"/>
        </w:rPr>
      </w:pPr>
      <w:r w:rsidRPr="6A87F928">
        <w:rPr>
          <w:rFonts w:eastAsia="Times New Roman"/>
          <w:color w:val="000000" w:themeColor="text1"/>
          <w:sz w:val="24"/>
          <w:szCs w:val="24"/>
        </w:rPr>
        <w:t>(a)</w:t>
      </w:r>
      <w:r w:rsidR="33B191D2">
        <w:tab/>
      </w:r>
      <w:r w:rsidR="33B191D2" w:rsidRPr="6A87F928">
        <w:rPr>
          <w:rFonts w:eastAsia="Times New Roman"/>
          <w:color w:val="000000" w:themeColor="text1"/>
          <w:sz w:val="24"/>
          <w:szCs w:val="24"/>
        </w:rPr>
        <w:t xml:space="preserve">be in a prominent position; </w:t>
      </w:r>
    </w:p>
    <w:p w14:paraId="24242418" w14:textId="42EC66A1" w:rsidR="004D11B7" w:rsidRDefault="33B191D2" w:rsidP="00E5790C">
      <w:pPr>
        <w:spacing w:before="240"/>
        <w:ind w:left="1437" w:hanging="870"/>
        <w:rPr>
          <w:rFonts w:eastAsia="Times New Roman"/>
          <w:color w:val="000000" w:themeColor="text1"/>
          <w:sz w:val="24"/>
          <w:szCs w:val="24"/>
        </w:rPr>
      </w:pPr>
      <w:r w:rsidRPr="0087E24A">
        <w:rPr>
          <w:rFonts w:eastAsia="Times New Roman"/>
          <w:color w:val="000000" w:themeColor="text1"/>
          <w:sz w:val="24"/>
          <w:szCs w:val="24"/>
        </w:rPr>
        <w:t>(b)</w:t>
      </w:r>
      <w:r>
        <w:tab/>
      </w:r>
      <w:r w:rsidR="004D11B7" w:rsidRPr="0008665B">
        <w:rPr>
          <w:rFonts w:eastAsia="Times New Roman"/>
          <w:color w:val="000000" w:themeColor="text1"/>
          <w:sz w:val="24"/>
          <w:szCs w:val="24"/>
        </w:rPr>
        <w:t>appear within a box under a bold heading that includes the phrase “</w:t>
      </w:r>
      <w:r w:rsidR="004D11B7" w:rsidRPr="00E5790C">
        <w:rPr>
          <w:rFonts w:eastAsia="Times New Roman"/>
          <w:color w:val="000000" w:themeColor="text1"/>
          <w:sz w:val="24"/>
          <w:szCs w:val="24"/>
        </w:rPr>
        <w:t>Not Independent</w:t>
      </w:r>
      <w:r w:rsidR="004D11B7" w:rsidRPr="0008665B">
        <w:rPr>
          <w:rFonts w:eastAsia="Times New Roman"/>
          <w:color w:val="000000" w:themeColor="text1"/>
          <w:sz w:val="24"/>
          <w:szCs w:val="24"/>
        </w:rPr>
        <w:t>”, “</w:t>
      </w:r>
      <w:r w:rsidR="004D11B7" w:rsidRPr="00E5790C">
        <w:rPr>
          <w:rFonts w:eastAsia="Times New Roman"/>
          <w:color w:val="000000" w:themeColor="text1"/>
          <w:sz w:val="24"/>
          <w:szCs w:val="24"/>
        </w:rPr>
        <w:t>Lack of Independence</w:t>
      </w:r>
      <w:r w:rsidR="004D11B7" w:rsidRPr="0008665B">
        <w:rPr>
          <w:rFonts w:eastAsia="Times New Roman"/>
          <w:color w:val="000000" w:themeColor="text1"/>
          <w:sz w:val="24"/>
          <w:szCs w:val="24"/>
        </w:rPr>
        <w:t>”, or another phrase of like import;</w:t>
      </w:r>
      <w:r w:rsidR="004D11B7">
        <w:rPr>
          <w:rFonts w:eastAsia="Times New Roman"/>
          <w:color w:val="000000" w:themeColor="text1"/>
          <w:sz w:val="24"/>
          <w:szCs w:val="24"/>
        </w:rPr>
        <w:t xml:space="preserve"> </w:t>
      </w:r>
    </w:p>
    <w:p w14:paraId="6D85923E" w14:textId="1AA2BC8A" w:rsidR="0008665B" w:rsidRDefault="004D11B7" w:rsidP="00E5790C">
      <w:pPr>
        <w:spacing w:before="240"/>
        <w:ind w:left="1437" w:hanging="870"/>
        <w:rPr>
          <w:rFonts w:eastAsia="Times New Roman"/>
          <w:color w:val="000000" w:themeColor="text1"/>
          <w:sz w:val="24"/>
          <w:szCs w:val="24"/>
        </w:rPr>
      </w:pPr>
      <w:r>
        <w:rPr>
          <w:rFonts w:eastAsia="Times New Roman"/>
          <w:color w:val="000000" w:themeColor="text1"/>
          <w:sz w:val="24"/>
          <w:szCs w:val="24"/>
        </w:rPr>
        <w:t>(c)</w:t>
      </w:r>
      <w:r>
        <w:rPr>
          <w:rFonts w:eastAsia="Times New Roman"/>
          <w:color w:val="000000" w:themeColor="text1"/>
          <w:sz w:val="24"/>
          <w:szCs w:val="24"/>
        </w:rPr>
        <w:tab/>
      </w:r>
      <w:r w:rsidR="33B191D2" w:rsidRPr="0087E24A">
        <w:rPr>
          <w:rFonts w:eastAsia="Times New Roman"/>
          <w:color w:val="000000" w:themeColor="text1"/>
          <w:sz w:val="24"/>
          <w:szCs w:val="24"/>
        </w:rPr>
        <w:t xml:space="preserve">be in a font size that is at least the same font size as that predominantly used for other text in the website disclosure information; </w:t>
      </w:r>
      <w:r w:rsidR="00040422">
        <w:rPr>
          <w:rFonts w:eastAsia="Times New Roman"/>
          <w:color w:val="000000" w:themeColor="text1"/>
          <w:sz w:val="24"/>
          <w:szCs w:val="24"/>
        </w:rPr>
        <w:t>and</w:t>
      </w:r>
    </w:p>
    <w:p w14:paraId="0D8F05EE" w14:textId="64AE4A6D" w:rsidR="002B4924" w:rsidRDefault="74CC0A72" w:rsidP="00E5790C">
      <w:pPr>
        <w:spacing w:before="240"/>
        <w:ind w:left="1437" w:hanging="870"/>
        <w:rPr>
          <w:rFonts w:eastAsia="Times New Roman"/>
          <w:color w:val="000000" w:themeColor="text1"/>
          <w:sz w:val="24"/>
          <w:szCs w:val="24"/>
        </w:rPr>
      </w:pPr>
      <w:r w:rsidRPr="002B4924">
        <w:rPr>
          <w:rFonts w:eastAsia="Times New Roman"/>
          <w:color w:val="000000" w:themeColor="text1"/>
          <w:sz w:val="24"/>
          <w:szCs w:val="24"/>
        </w:rPr>
        <w:t>(</w:t>
      </w:r>
      <w:r w:rsidR="0008665B">
        <w:rPr>
          <w:rFonts w:eastAsia="Times New Roman"/>
          <w:color w:val="000000" w:themeColor="text1"/>
          <w:sz w:val="24"/>
          <w:szCs w:val="24"/>
        </w:rPr>
        <w:t>c</w:t>
      </w:r>
      <w:r w:rsidRPr="002B4924">
        <w:rPr>
          <w:rFonts w:eastAsia="Times New Roman"/>
          <w:color w:val="000000" w:themeColor="text1"/>
          <w:sz w:val="24"/>
          <w:szCs w:val="24"/>
        </w:rPr>
        <w:t>)</w:t>
      </w:r>
      <w:r w:rsidR="0008665B">
        <w:rPr>
          <w:rFonts w:eastAsia="Times New Roman"/>
          <w:color w:val="000000" w:themeColor="text1"/>
          <w:sz w:val="24"/>
          <w:szCs w:val="24"/>
        </w:rPr>
        <w:tab/>
      </w:r>
      <w:r w:rsidR="0023481C">
        <w:rPr>
          <w:rFonts w:eastAsia="Times New Roman"/>
          <w:color w:val="000000" w:themeColor="text1"/>
          <w:sz w:val="24"/>
          <w:szCs w:val="24"/>
        </w:rPr>
        <w:tab/>
      </w:r>
      <w:r w:rsidRPr="002B4924">
        <w:rPr>
          <w:rFonts w:eastAsia="Times New Roman"/>
          <w:color w:val="000000" w:themeColor="text1"/>
          <w:sz w:val="24"/>
          <w:szCs w:val="24"/>
        </w:rPr>
        <w:t>not appear in a footnote.</w:t>
      </w:r>
    </w:p>
    <w:p w14:paraId="173BCE99" w14:textId="712E0117" w:rsidR="00A15974" w:rsidRPr="00A15974" w:rsidRDefault="00A15974" w:rsidP="00D84434">
      <w:pPr>
        <w:pStyle w:val="LI-BodyTextParaa"/>
        <w:ind w:left="567"/>
      </w:pPr>
      <w:r>
        <w:t>2</w:t>
      </w:r>
      <w:r w:rsidR="00240E66">
        <w:t>3</w:t>
      </w:r>
      <w:r>
        <w:t>.</w:t>
      </w:r>
      <w:r>
        <w:tab/>
      </w:r>
      <w:r w:rsidR="004A5757">
        <w:t xml:space="preserve">A Lack of Independence </w:t>
      </w:r>
      <w:r w:rsidR="000C3C1C">
        <w:t>s</w:t>
      </w:r>
      <w:r w:rsidR="004A5757">
        <w:t xml:space="preserve">tatement </w:t>
      </w:r>
      <w:r w:rsidR="00500701">
        <w:t>i</w:t>
      </w:r>
      <w:r w:rsidR="004A5757">
        <w:t xml:space="preserve">s not </w:t>
      </w:r>
      <w:r w:rsidR="001B0DA6">
        <w:t>in a prominent position a</w:t>
      </w:r>
      <w:r w:rsidR="00500701">
        <w:t xml:space="preserve">s part of website disclosure information </w:t>
      </w:r>
      <w:r w:rsidR="001B0DA6">
        <w:t xml:space="preserve">if it is not readily </w:t>
      </w:r>
      <w:r w:rsidR="00CA3F87">
        <w:t>accessible</w:t>
      </w:r>
      <w:r w:rsidR="004062C1">
        <w:t xml:space="preserve">. </w:t>
      </w:r>
      <w:r w:rsidR="00533E0E">
        <w:t>A Lack of Independen</w:t>
      </w:r>
      <w:r w:rsidR="001B0DA6">
        <w:t>ce</w:t>
      </w:r>
      <w:r w:rsidR="00533E0E">
        <w:t xml:space="preserve"> </w:t>
      </w:r>
      <w:r w:rsidR="000C3C1C">
        <w:t>s</w:t>
      </w:r>
      <w:r w:rsidR="00533E0E">
        <w:t xml:space="preserve">tatement should be near the top of the relevant webpage </w:t>
      </w:r>
      <w:r w:rsidR="006538AF">
        <w:t>and user</w:t>
      </w:r>
      <w:r w:rsidR="001B0DA6">
        <w:t>s</w:t>
      </w:r>
      <w:r w:rsidR="006538AF">
        <w:t xml:space="preserve"> should not </w:t>
      </w:r>
      <w:r w:rsidR="00533E0E">
        <w:t xml:space="preserve">have to </w:t>
      </w:r>
      <w:r w:rsidR="006538AF">
        <w:t xml:space="preserve">scroll down to view the </w:t>
      </w:r>
      <w:r w:rsidR="001B0DA6">
        <w:t>s</w:t>
      </w:r>
      <w:r w:rsidR="006538AF">
        <w:t xml:space="preserve">tatement on any device using standard settings. </w:t>
      </w:r>
    </w:p>
    <w:p w14:paraId="74CFC6AD" w14:textId="10F4B7CC" w:rsidR="00725174" w:rsidRDefault="00725174" w:rsidP="00D84434">
      <w:pPr>
        <w:pStyle w:val="LI-BodyTextParaa"/>
        <w:ind w:left="567"/>
        <w:rPr>
          <w:b/>
          <w:bCs/>
          <w:i/>
          <w:iCs/>
        </w:rPr>
      </w:pPr>
      <w:r w:rsidRPr="00725174">
        <w:rPr>
          <w:b/>
          <w:bCs/>
          <w:i/>
          <w:iCs/>
        </w:rPr>
        <w:t>LI 2021/716</w:t>
      </w:r>
    </w:p>
    <w:p w14:paraId="24619EF9" w14:textId="2AF0DBF5" w:rsidR="00D73D10" w:rsidRPr="00D73D10" w:rsidRDefault="00647221" w:rsidP="00D84434">
      <w:pPr>
        <w:pStyle w:val="LI-BodyTextParaa"/>
        <w:ind w:left="567"/>
        <w:rPr>
          <w:b/>
          <w:bCs/>
        </w:rPr>
      </w:pPr>
      <w:r>
        <w:t>2</w:t>
      </w:r>
      <w:r w:rsidR="00240E66">
        <w:t>4</w:t>
      </w:r>
      <w:r w:rsidR="00D73D10">
        <w:t>.</w:t>
      </w:r>
      <w:r w:rsidR="00D73D10">
        <w:tab/>
        <w:t>Section</w:t>
      </w:r>
      <w:r w:rsidR="00500C8D">
        <w:t xml:space="preserve"> </w:t>
      </w:r>
      <w:r w:rsidR="00040422">
        <w:t>4</w:t>
      </w:r>
      <w:r w:rsidR="00D73D10">
        <w:t xml:space="preserve"> of Schedule 1</w:t>
      </w:r>
      <w:r w:rsidR="00D73D10" w:rsidRPr="5B2969A8">
        <w:rPr>
          <w:color w:val="000000" w:themeColor="text1"/>
        </w:rPr>
        <w:t xml:space="preserve"> to the Amend</w:t>
      </w:r>
      <w:r w:rsidR="0005161F" w:rsidRPr="5B2969A8">
        <w:rPr>
          <w:color w:val="000000" w:themeColor="text1"/>
        </w:rPr>
        <w:t>ment</w:t>
      </w:r>
      <w:r w:rsidR="00D73D10" w:rsidRPr="5B2969A8">
        <w:rPr>
          <w:color w:val="000000" w:themeColor="text1"/>
        </w:rPr>
        <w:t xml:space="preserve"> Instrument </w:t>
      </w:r>
      <w:r w:rsidR="00500C8D" w:rsidRPr="5B2969A8">
        <w:rPr>
          <w:color w:val="000000" w:themeColor="text1"/>
        </w:rPr>
        <w:t>repeals</w:t>
      </w:r>
      <w:r w:rsidR="004A417C" w:rsidRPr="5B2969A8">
        <w:rPr>
          <w:color w:val="000000" w:themeColor="text1"/>
        </w:rPr>
        <w:t xml:space="preserve"> section 9 </w:t>
      </w:r>
      <w:r w:rsidR="00FB5985" w:rsidRPr="5B2969A8">
        <w:rPr>
          <w:color w:val="000000" w:themeColor="text1"/>
        </w:rPr>
        <w:t xml:space="preserve">of LI 2021/716 </w:t>
      </w:r>
      <w:r w:rsidR="004A417C" w:rsidRPr="5B2969A8">
        <w:rPr>
          <w:color w:val="000000" w:themeColor="text1"/>
        </w:rPr>
        <w:t xml:space="preserve">so that </w:t>
      </w:r>
      <w:r w:rsidR="00B74FF9" w:rsidRPr="5B2969A8">
        <w:rPr>
          <w:color w:val="000000" w:themeColor="text1"/>
        </w:rPr>
        <w:t>its</w:t>
      </w:r>
      <w:r w:rsidR="004A417C" w:rsidRPr="5B2969A8">
        <w:rPr>
          <w:color w:val="000000" w:themeColor="text1"/>
        </w:rPr>
        <w:t xml:space="preserve"> </w:t>
      </w:r>
      <w:r w:rsidR="00FB5985" w:rsidRPr="5B2969A8">
        <w:rPr>
          <w:color w:val="000000" w:themeColor="text1"/>
        </w:rPr>
        <w:t xml:space="preserve">notional amendments </w:t>
      </w:r>
      <w:r w:rsidR="008B6A8C" w:rsidRPr="5B2969A8">
        <w:rPr>
          <w:color w:val="000000" w:themeColor="text1"/>
        </w:rPr>
        <w:t>of</w:t>
      </w:r>
      <w:r w:rsidR="00FB5985" w:rsidRPr="5B2969A8">
        <w:rPr>
          <w:color w:val="000000" w:themeColor="text1"/>
        </w:rPr>
        <w:t xml:space="preserve"> subsection 912</w:t>
      </w:r>
      <w:r w:rsidR="008B6A8C" w:rsidRPr="5B2969A8">
        <w:rPr>
          <w:color w:val="000000" w:themeColor="text1"/>
        </w:rPr>
        <w:t>D</w:t>
      </w:r>
      <w:r w:rsidR="00FB5985" w:rsidRPr="5B2969A8">
        <w:rPr>
          <w:color w:val="000000" w:themeColor="text1"/>
        </w:rPr>
        <w:t>(3) no longer apply</w:t>
      </w:r>
      <w:r w:rsidR="00D73D10" w:rsidRPr="5B2969A8">
        <w:rPr>
          <w:color w:val="000000" w:themeColor="text1"/>
        </w:rPr>
        <w:t>.</w:t>
      </w:r>
    </w:p>
    <w:p w14:paraId="2184100D" w14:textId="77777777" w:rsidR="00477F1F" w:rsidRPr="00326427" w:rsidRDefault="00477F1F" w:rsidP="00477F1F">
      <w:pPr>
        <w:pStyle w:val="LI-BodyTextParaa"/>
        <w:ind w:left="567"/>
        <w:rPr>
          <w:b/>
          <w:bCs/>
          <w:i/>
        </w:rPr>
      </w:pPr>
      <w:r w:rsidRPr="00326427">
        <w:rPr>
          <w:b/>
          <w:bCs/>
          <w:i/>
        </w:rPr>
        <w:t>LI 2023/669</w:t>
      </w:r>
    </w:p>
    <w:p w14:paraId="6268870E" w14:textId="419C3E35" w:rsidR="00477F1F" w:rsidRDefault="00040422" w:rsidP="00477F1F">
      <w:pPr>
        <w:pStyle w:val="LI-BodyTextParaa"/>
        <w:ind w:left="567"/>
      </w:pPr>
      <w:r>
        <w:t>2</w:t>
      </w:r>
      <w:r w:rsidR="00240E66">
        <w:t>5</w:t>
      </w:r>
      <w:r w:rsidR="00477F1F">
        <w:t>.</w:t>
      </w:r>
      <w:r w:rsidR="00477F1F">
        <w:tab/>
        <w:t xml:space="preserve">Section </w:t>
      </w:r>
      <w:r>
        <w:t>5</w:t>
      </w:r>
      <w:r w:rsidR="00477F1F">
        <w:t xml:space="preserve"> of LI 2023/669 inserts new notional sections 952BA and 953BA into the Corporations Act. </w:t>
      </w:r>
    </w:p>
    <w:p w14:paraId="5F121719" w14:textId="25D4272C" w:rsidR="00477F1F" w:rsidRDefault="00040422" w:rsidP="00477F1F">
      <w:pPr>
        <w:pStyle w:val="LI-BodyTextParaa"/>
        <w:ind w:left="567"/>
        <w:rPr>
          <w:color w:val="000000"/>
        </w:rPr>
      </w:pPr>
      <w:r>
        <w:t>2</w:t>
      </w:r>
      <w:r w:rsidR="00240E66">
        <w:t>6</w:t>
      </w:r>
      <w:r w:rsidR="00477F1F">
        <w:t>.</w:t>
      </w:r>
      <w:r w:rsidR="00477F1F">
        <w:tab/>
        <w:t>Former notional section 952BA provided that a financial services licensee did not commit an offence under section 952E and/or 952G of the Corporations Act if there was a defective FSG or Supplementary FSG provided certain conditions were met. Those conditions were that the FSG</w:t>
      </w:r>
      <w:r w:rsidR="00477F1F" w:rsidRPr="3FFEF507">
        <w:rPr>
          <w:color w:val="000000" w:themeColor="text1"/>
        </w:rPr>
        <w:t xml:space="preserve"> or Supplementary FSG was defective solely by reason of a statement in, or omission from, a part of it for which another financial services licensee stated it was responsible in the FSG or Supplementary FSG and that related to financial services that were or would likely be performed by that other licensee.</w:t>
      </w:r>
    </w:p>
    <w:p w14:paraId="540D1351" w14:textId="3C2A5855" w:rsidR="00477F1F" w:rsidRPr="004E24DC" w:rsidRDefault="00040422" w:rsidP="00477F1F">
      <w:pPr>
        <w:pStyle w:val="LI-BodyTextParaa"/>
        <w:ind w:left="567"/>
        <w:rPr>
          <w:color w:val="000000"/>
        </w:rPr>
      </w:pPr>
      <w:r>
        <w:rPr>
          <w:color w:val="000000" w:themeColor="text1"/>
        </w:rPr>
        <w:t>2</w:t>
      </w:r>
      <w:r w:rsidR="00240E66">
        <w:rPr>
          <w:color w:val="000000" w:themeColor="text1"/>
        </w:rPr>
        <w:t>7</w:t>
      </w:r>
      <w:r w:rsidR="00477F1F" w:rsidRPr="3FFEF507">
        <w:rPr>
          <w:color w:val="000000" w:themeColor="text1"/>
        </w:rPr>
        <w:t>.</w:t>
      </w:r>
      <w:r w:rsidR="00477F1F">
        <w:tab/>
      </w:r>
      <w:r w:rsidR="00477F1F" w:rsidRPr="3FFEF507">
        <w:rPr>
          <w:color w:val="000000" w:themeColor="text1"/>
        </w:rPr>
        <w:t xml:space="preserve">Former notional section 953BA provided </w:t>
      </w:r>
      <w:r w:rsidR="00477F1F">
        <w:t xml:space="preserve">that a </w:t>
      </w:r>
      <w:r w:rsidR="00477F1F" w:rsidRPr="3FFEF507">
        <w:rPr>
          <w:color w:val="000000" w:themeColor="text1"/>
        </w:rPr>
        <w:t xml:space="preserve">providing entity was not liable under s953B for loss or damage from a defective FSG or Supplementary FSG where certain conditions were met. Those conditions were that the document was defective by reason only of a statement in or an omission from a part of the FSG or Supplementary FSG for which another financial services licensee stated </w:t>
      </w:r>
      <w:r w:rsidR="00477F1F" w:rsidRPr="3FFEF507">
        <w:rPr>
          <w:color w:val="000000" w:themeColor="text1"/>
        </w:rPr>
        <w:lastRenderedPageBreak/>
        <w:t>it was responsible in the FSG or Supplementary FSG, and which related to financial services that were</w:t>
      </w:r>
      <w:r w:rsidR="004D0309">
        <w:rPr>
          <w:color w:val="000000" w:themeColor="text1"/>
        </w:rPr>
        <w:t>,</w:t>
      </w:r>
      <w:r w:rsidR="00477F1F" w:rsidRPr="3FFEF507">
        <w:rPr>
          <w:color w:val="000000" w:themeColor="text1"/>
        </w:rPr>
        <w:t xml:space="preserve"> or were likely to be</w:t>
      </w:r>
      <w:r w:rsidR="004D0309">
        <w:rPr>
          <w:color w:val="000000" w:themeColor="text1"/>
        </w:rPr>
        <w:t>,</w:t>
      </w:r>
      <w:r w:rsidR="00477F1F" w:rsidRPr="3FFEF507">
        <w:rPr>
          <w:color w:val="000000" w:themeColor="text1"/>
        </w:rPr>
        <w:t xml:space="preserve"> performed by that other licensee</w:t>
      </w:r>
    </w:p>
    <w:p w14:paraId="14AAE039" w14:textId="66F7C5A3" w:rsidR="00477F1F" w:rsidRDefault="004D0309" w:rsidP="00477F1F">
      <w:pPr>
        <w:pStyle w:val="LI-BodyTextParaa"/>
        <w:ind w:left="567"/>
        <w:rPr>
          <w:color w:val="000000"/>
        </w:rPr>
      </w:pPr>
      <w:r>
        <w:t>2</w:t>
      </w:r>
      <w:r w:rsidR="00240E66">
        <w:t>8</w:t>
      </w:r>
      <w:r w:rsidR="00477F1F">
        <w:t>.</w:t>
      </w:r>
      <w:r w:rsidR="00477F1F">
        <w:tab/>
        <w:t xml:space="preserve">Sections </w:t>
      </w:r>
      <w:r w:rsidR="0017491C">
        <w:t>5</w:t>
      </w:r>
      <w:r w:rsidR="00477F1F">
        <w:t xml:space="preserve"> and </w:t>
      </w:r>
      <w:r w:rsidR="0017491C">
        <w:t>6</w:t>
      </w:r>
      <w:r w:rsidR="00477F1F">
        <w:t xml:space="preserve"> of Schedule 1</w:t>
      </w:r>
      <w:r w:rsidR="00477F1F" w:rsidRPr="0498CA01">
        <w:rPr>
          <w:color w:val="000000" w:themeColor="text1"/>
        </w:rPr>
        <w:t xml:space="preserve"> to the Amendment Instrument </w:t>
      </w:r>
      <w:r w:rsidR="00477F1F">
        <w:rPr>
          <w:color w:val="000000" w:themeColor="text1"/>
        </w:rPr>
        <w:t>insert new</w:t>
      </w:r>
      <w:r w:rsidR="00477F1F" w:rsidRPr="0498CA01">
        <w:rPr>
          <w:color w:val="000000" w:themeColor="text1"/>
        </w:rPr>
        <w:t xml:space="preserve"> notional sections 952BA and 953BA </w:t>
      </w:r>
      <w:r w:rsidR="00477F1F">
        <w:rPr>
          <w:color w:val="000000" w:themeColor="text1"/>
        </w:rPr>
        <w:t xml:space="preserve">into the Corporations Act </w:t>
      </w:r>
      <w:r w:rsidR="00477F1F" w:rsidRPr="0498CA01">
        <w:rPr>
          <w:color w:val="000000" w:themeColor="text1"/>
        </w:rPr>
        <w:t>that are in the same form as the former notional sections except that their relief extends to defective website disclosure information. This means that a financial services licensee or providing entity will not be liable for defective website disclosure information for which another financial services licensee stated it was responsible in the information and which related to financial services that were or were likely to be performed by that other licensee.</w:t>
      </w:r>
    </w:p>
    <w:p w14:paraId="3B428433" w14:textId="75273E85" w:rsidR="00725174" w:rsidRPr="00725174" w:rsidRDefault="00725174" w:rsidP="00D84434">
      <w:pPr>
        <w:pStyle w:val="LI-BodyTextParaa"/>
        <w:ind w:left="567"/>
        <w:rPr>
          <w:i/>
          <w:iCs/>
          <w:color w:val="000000"/>
        </w:rPr>
      </w:pPr>
      <w:r>
        <w:rPr>
          <w:b/>
          <w:bCs/>
          <w:i/>
          <w:iCs/>
        </w:rPr>
        <w:t>Commencement</w:t>
      </w:r>
    </w:p>
    <w:p w14:paraId="33FAEDAD" w14:textId="78434337" w:rsidR="00474B52" w:rsidRPr="00725174" w:rsidRDefault="00647221" w:rsidP="00725174">
      <w:pPr>
        <w:pStyle w:val="LI-BodyTextParaa"/>
        <w:ind w:left="567"/>
        <w:rPr>
          <w:color w:val="000000"/>
        </w:rPr>
      </w:pPr>
      <w:r>
        <w:t>2</w:t>
      </w:r>
      <w:r w:rsidR="00240E66">
        <w:t>9</w:t>
      </w:r>
      <w:r w:rsidR="00F85540">
        <w:t xml:space="preserve">. </w:t>
      </w:r>
      <w:r w:rsidR="00F85540">
        <w:tab/>
      </w:r>
      <w:r w:rsidR="00F85540">
        <w:rPr>
          <w:rStyle w:val="normaltextrun"/>
          <w:color w:val="000000"/>
          <w:shd w:val="clear" w:color="auto" w:fill="FFFFFF"/>
        </w:rPr>
        <w:t>The Amend</w:t>
      </w:r>
      <w:r w:rsidR="0005161F">
        <w:rPr>
          <w:rStyle w:val="normaltextrun"/>
          <w:color w:val="000000"/>
          <w:shd w:val="clear" w:color="auto" w:fill="FFFFFF"/>
        </w:rPr>
        <w:t>ment</w:t>
      </w:r>
      <w:r w:rsidR="00F85540">
        <w:rPr>
          <w:rStyle w:val="normaltextrun"/>
          <w:color w:val="000000"/>
          <w:shd w:val="clear" w:color="auto" w:fill="FFFFFF"/>
        </w:rPr>
        <w:t xml:space="preserve"> Instrument </w:t>
      </w:r>
      <w:r w:rsidR="00F85540" w:rsidRPr="00CD7E4F">
        <w:rPr>
          <w:rStyle w:val="normaltextrun"/>
          <w:color w:val="000000"/>
          <w:shd w:val="clear" w:color="auto" w:fill="FFFFFF" w:themeFill="background1"/>
        </w:rPr>
        <w:t xml:space="preserve">commences </w:t>
      </w:r>
      <w:r w:rsidR="002D12CC">
        <w:rPr>
          <w:rStyle w:val="normaltextrun"/>
          <w:color w:val="000000"/>
          <w:shd w:val="clear" w:color="auto" w:fill="FFFFFF" w:themeFill="background1"/>
        </w:rPr>
        <w:t xml:space="preserve">on the later </w:t>
      </w:r>
      <w:r w:rsidR="4F669B06" w:rsidRPr="00CD7E4F">
        <w:rPr>
          <w:rStyle w:val="normaltextrun"/>
          <w:color w:val="000000"/>
          <w:shd w:val="clear" w:color="auto" w:fill="FFFFFF" w:themeFill="background1"/>
        </w:rPr>
        <w:t xml:space="preserve">of the day after </w:t>
      </w:r>
      <w:r w:rsidR="00F344C1">
        <w:rPr>
          <w:rStyle w:val="normaltextrun"/>
          <w:color w:val="000000"/>
          <w:shd w:val="clear" w:color="auto" w:fill="FFFFFF" w:themeFill="background1"/>
        </w:rPr>
        <w:t xml:space="preserve">it is registered </w:t>
      </w:r>
      <w:r w:rsidR="4F669B06" w:rsidRPr="00CD7E4F">
        <w:rPr>
          <w:rStyle w:val="normaltextrun"/>
          <w:color w:val="000000"/>
          <w:shd w:val="clear" w:color="auto" w:fill="FFFFFF" w:themeFill="background1"/>
        </w:rPr>
        <w:t xml:space="preserve">on the Federal Register of Legislation and commencement of </w:t>
      </w:r>
      <w:r w:rsidR="00F85540">
        <w:rPr>
          <w:rStyle w:val="normaltextrun"/>
          <w:color w:val="000000"/>
          <w:shd w:val="clear" w:color="auto" w:fill="FFFFFF"/>
        </w:rPr>
        <w:t xml:space="preserve">Parts 2 and 3 of Schedule 1 to the </w:t>
      </w:r>
      <w:r w:rsidR="00FC0BEF">
        <w:rPr>
          <w:rStyle w:val="normaltextrun"/>
          <w:color w:val="000000"/>
          <w:shd w:val="clear" w:color="auto" w:fill="FFFFFF"/>
        </w:rPr>
        <w:t>Act</w:t>
      </w:r>
      <w:r w:rsidR="00F85540">
        <w:rPr>
          <w:rStyle w:val="normaltextrun"/>
          <w:color w:val="000000"/>
          <w:shd w:val="clear" w:color="auto" w:fill="FFFFFF"/>
        </w:rPr>
        <w:t>.</w:t>
      </w:r>
    </w:p>
    <w:p w14:paraId="57A93CEC" w14:textId="17F536C9" w:rsidR="00C52E7C" w:rsidRPr="006D6079" w:rsidRDefault="00C52E7C" w:rsidP="006D6079">
      <w:pPr>
        <w:pStyle w:val="LI-BodyTextParaa"/>
        <w:keepNext/>
        <w:ind w:left="567"/>
        <w:rPr>
          <w:b/>
          <w:bCs/>
        </w:rPr>
      </w:pPr>
      <w:r w:rsidRPr="006D6079">
        <w:rPr>
          <w:b/>
          <w:bCs/>
        </w:rPr>
        <w:t xml:space="preserve">Legislative instrument </w:t>
      </w:r>
      <w:r w:rsidR="00610709" w:rsidRPr="006D6079">
        <w:rPr>
          <w:b/>
          <w:bCs/>
        </w:rPr>
        <w:t xml:space="preserve">and </w:t>
      </w:r>
      <w:r w:rsidRPr="006D6079">
        <w:rPr>
          <w:b/>
          <w:bCs/>
        </w:rPr>
        <w:t xml:space="preserve">primary legislation  </w:t>
      </w:r>
    </w:p>
    <w:p w14:paraId="304765E3" w14:textId="452DC8E5" w:rsidR="00536862" w:rsidRDefault="00240E66" w:rsidP="001E7E2B">
      <w:pPr>
        <w:pStyle w:val="LI-BodyTextParaa"/>
        <w:ind w:left="567"/>
      </w:pPr>
      <w:r>
        <w:t>30</w:t>
      </w:r>
      <w:r w:rsidR="00C52E7C">
        <w:t>.</w:t>
      </w:r>
      <w:r w:rsidR="00C52E7C">
        <w:tab/>
        <w:t xml:space="preserve">The </w:t>
      </w:r>
      <w:r w:rsidR="00ED796D">
        <w:t xml:space="preserve">subject matter and </w:t>
      </w:r>
      <w:r w:rsidR="00C52E7C">
        <w:t>policy implemented by th</w:t>
      </w:r>
      <w:r w:rsidR="00990A9C">
        <w:t>e Amend</w:t>
      </w:r>
      <w:r w:rsidR="00E40D36">
        <w:t>ment</w:t>
      </w:r>
      <w:r w:rsidR="00C52E7C">
        <w:t xml:space="preserve"> </w:t>
      </w:r>
      <w:r w:rsidR="00124CC4">
        <w:t>I</w:t>
      </w:r>
      <w:r w:rsidR="00C52E7C">
        <w:t xml:space="preserve">nstrument is more appropriate for </w:t>
      </w:r>
      <w:r w:rsidR="00ED796D">
        <w:t>a legislative instrument than primary legislation because</w:t>
      </w:r>
      <w:r w:rsidR="0054087C">
        <w:t xml:space="preserve"> </w:t>
      </w:r>
      <w:r w:rsidR="0053550E">
        <w:t xml:space="preserve">it </w:t>
      </w:r>
      <w:r w:rsidR="001F678F">
        <w:t xml:space="preserve">ensures consistency in </w:t>
      </w:r>
      <w:r w:rsidR="0053550E">
        <w:t xml:space="preserve">the expectations for Lack of Independence </w:t>
      </w:r>
      <w:r w:rsidR="00394ECB">
        <w:t>s</w:t>
      </w:r>
      <w:r w:rsidR="0053550E">
        <w:t xml:space="preserve">tatements </w:t>
      </w:r>
      <w:r w:rsidR="00C13919">
        <w:t xml:space="preserve">between FSGs and website disclosure information </w:t>
      </w:r>
      <w:r w:rsidR="0053550E">
        <w:t xml:space="preserve">that Parliament has permitted ASIC to determine </w:t>
      </w:r>
      <w:r w:rsidR="00C13919">
        <w:t>under s</w:t>
      </w:r>
      <w:r w:rsidR="007B450C" w:rsidRPr="007B450C">
        <w:t>ubsections 942B(7A) and 942C(7A)</w:t>
      </w:r>
      <w:r w:rsidR="007B450C">
        <w:t xml:space="preserve"> of the Corporations Act</w:t>
      </w:r>
      <w:r w:rsidR="00536862">
        <w:t xml:space="preserve">. </w:t>
      </w:r>
    </w:p>
    <w:p w14:paraId="1292FC75" w14:textId="27F62ABF" w:rsidR="001E7E2B" w:rsidRDefault="00536862" w:rsidP="001E7E2B">
      <w:pPr>
        <w:pStyle w:val="LI-BodyTextParaa"/>
        <w:ind w:left="567"/>
      </w:pPr>
      <w:r>
        <w:t>3</w:t>
      </w:r>
      <w:r w:rsidR="00240E66">
        <w:t>1</w:t>
      </w:r>
      <w:r>
        <w:t>.</w:t>
      </w:r>
      <w:r>
        <w:tab/>
        <w:t xml:space="preserve">The amendments also </w:t>
      </w:r>
      <w:r w:rsidR="0091488A">
        <w:t>amend provisions in legislative instruments that have no equivalent in primary legislation</w:t>
      </w:r>
      <w:r>
        <w:t xml:space="preserve"> to </w:t>
      </w:r>
      <w:r w:rsidR="004553CF">
        <w:t>ensure that LI 202</w:t>
      </w:r>
      <w:r w:rsidR="000D5062">
        <w:t>1</w:t>
      </w:r>
      <w:r w:rsidR="004553CF">
        <w:t>/</w:t>
      </w:r>
      <w:r w:rsidR="000D5062">
        <w:t>125</w:t>
      </w:r>
      <w:r w:rsidR="006C5C08">
        <w:t>,</w:t>
      </w:r>
      <w:r w:rsidR="004553CF">
        <w:t xml:space="preserve"> LI 2021/716</w:t>
      </w:r>
      <w:r w:rsidR="006C5C08">
        <w:t xml:space="preserve"> and LI 2023/669</w:t>
      </w:r>
      <w:r w:rsidR="004553CF">
        <w:t xml:space="preserve"> </w:t>
      </w:r>
      <w:r w:rsidR="0012680F">
        <w:t xml:space="preserve">continue to </w:t>
      </w:r>
      <w:r w:rsidR="004553CF">
        <w:t>align with the primary legislation</w:t>
      </w:r>
      <w:r w:rsidR="0012680F">
        <w:t xml:space="preserve"> </w:t>
      </w:r>
      <w:r w:rsidR="00C22AE4">
        <w:t>(</w:t>
      </w:r>
      <w:r w:rsidR="0012680F">
        <w:t xml:space="preserve">as amended by the </w:t>
      </w:r>
      <w:r w:rsidR="00302160">
        <w:t xml:space="preserve">Corporations </w:t>
      </w:r>
      <w:r w:rsidR="00FC0BEF">
        <w:t>Act</w:t>
      </w:r>
      <w:r w:rsidR="00C22AE4">
        <w:t>)</w:t>
      </w:r>
      <w:r w:rsidR="004553CF">
        <w:t>.</w:t>
      </w:r>
    </w:p>
    <w:p w14:paraId="166C2EF9" w14:textId="4C470AC8" w:rsidR="005D1770" w:rsidRDefault="004D0309" w:rsidP="00C75E22">
      <w:pPr>
        <w:pStyle w:val="LI-BodyTextParaa"/>
        <w:ind w:left="567"/>
      </w:pPr>
      <w:r>
        <w:t>3</w:t>
      </w:r>
      <w:r w:rsidR="00240E66">
        <w:t>2</w:t>
      </w:r>
      <w:r w:rsidR="00D57664">
        <w:t xml:space="preserve">. </w:t>
      </w:r>
      <w:r w:rsidR="00E3751D">
        <w:tab/>
      </w:r>
      <w:r w:rsidR="005D1770">
        <w:t xml:space="preserve">ASIC understands that the Government will consider the merits of making future amendments to the primary legislation and regulations as part of the review process for </w:t>
      </w:r>
      <w:r w:rsidR="008F11E7">
        <w:t xml:space="preserve">LI 2021/125, LI 2021/716 and </w:t>
      </w:r>
      <w:r w:rsidR="00441A8E">
        <w:t xml:space="preserve">LI </w:t>
      </w:r>
      <w:r w:rsidR="005300B6">
        <w:t xml:space="preserve">2023/669 </w:t>
      </w:r>
      <w:r w:rsidR="005D1770">
        <w:t xml:space="preserve">prior to </w:t>
      </w:r>
      <w:r w:rsidR="005300B6">
        <w:t>their</w:t>
      </w:r>
      <w:r w:rsidR="005D1770">
        <w:t xml:space="preserve"> expiry date</w:t>
      </w:r>
      <w:r w:rsidR="005300B6">
        <w:t>s</w:t>
      </w:r>
      <w:r w:rsidR="005D1770">
        <w:t>.</w:t>
      </w:r>
    </w:p>
    <w:p w14:paraId="4828665D" w14:textId="29D2A13A" w:rsidR="009A2319" w:rsidRPr="006D6079" w:rsidRDefault="004D0309" w:rsidP="006D6079">
      <w:pPr>
        <w:pStyle w:val="LI-BodyTextParaa"/>
        <w:ind w:left="567"/>
        <w:rPr>
          <w:color w:val="000000"/>
          <w:shd w:val="clear" w:color="auto" w:fill="FFFFFF"/>
        </w:rPr>
      </w:pPr>
      <w:r>
        <w:rPr>
          <w:color w:val="000000" w:themeColor="text1"/>
        </w:rPr>
        <w:t>3</w:t>
      </w:r>
      <w:r w:rsidR="00240E66">
        <w:rPr>
          <w:color w:val="000000" w:themeColor="text1"/>
        </w:rPr>
        <w:t>3</w:t>
      </w:r>
      <w:r w:rsidR="005D1770" w:rsidRPr="5B2969A8">
        <w:rPr>
          <w:color w:val="000000" w:themeColor="text1"/>
        </w:rPr>
        <w:t>.</w:t>
      </w:r>
      <w:r w:rsidR="00E3751D">
        <w:tab/>
      </w:r>
      <w:r w:rsidR="005D1770" w:rsidRPr="5B2969A8">
        <w:rPr>
          <w:color w:val="000000" w:themeColor="text1"/>
        </w:rPr>
        <w:t xml:space="preserve">It will be a matter for the Government and for Parliament as to whether the </w:t>
      </w:r>
      <w:r w:rsidR="00D57664" w:rsidRPr="5B2969A8">
        <w:rPr>
          <w:color w:val="000000" w:themeColor="text1"/>
        </w:rPr>
        <w:t xml:space="preserve">Corporations </w:t>
      </w:r>
      <w:r w:rsidR="005D1770" w:rsidRPr="5B2969A8">
        <w:rPr>
          <w:color w:val="000000" w:themeColor="text1"/>
        </w:rPr>
        <w:t xml:space="preserve">Act or Regulations may be amended in future to include the relief in </w:t>
      </w:r>
      <w:r w:rsidR="008F11E7">
        <w:rPr>
          <w:color w:val="000000" w:themeColor="text1"/>
        </w:rPr>
        <w:t>L</w:t>
      </w:r>
      <w:r w:rsidR="000D5062">
        <w:rPr>
          <w:color w:val="000000" w:themeColor="text1"/>
        </w:rPr>
        <w:t>I</w:t>
      </w:r>
      <w:r w:rsidR="008F11E7">
        <w:rPr>
          <w:color w:val="000000" w:themeColor="text1"/>
        </w:rPr>
        <w:t xml:space="preserve"> 2021/125, LI 2021/716 and </w:t>
      </w:r>
      <w:r w:rsidR="0091488A" w:rsidRPr="5B2969A8">
        <w:rPr>
          <w:color w:val="000000" w:themeColor="text1"/>
        </w:rPr>
        <w:t>LI 2023</w:t>
      </w:r>
      <w:r w:rsidR="00836AB5" w:rsidRPr="5B2969A8">
        <w:rPr>
          <w:color w:val="000000" w:themeColor="text1"/>
        </w:rPr>
        <w:t>/669.</w:t>
      </w:r>
    </w:p>
    <w:bookmarkEnd w:id="1"/>
    <w:p w14:paraId="6E228E05" w14:textId="2BF5E630" w:rsidR="00F03BB5" w:rsidRDefault="00474B52" w:rsidP="5B2969A8">
      <w:pPr>
        <w:pStyle w:val="LI-BodyTextNumbered"/>
        <w:keepNext/>
        <w:ind w:left="567"/>
        <w:rPr>
          <w:b/>
          <w:bCs/>
        </w:rPr>
      </w:pPr>
      <w:r w:rsidRPr="5B2969A8">
        <w:rPr>
          <w:b/>
          <w:bCs/>
        </w:rPr>
        <w:t>Legislative authority</w:t>
      </w:r>
    </w:p>
    <w:p w14:paraId="6DA16C02" w14:textId="4EF77148" w:rsidR="00B11979" w:rsidRPr="00076315" w:rsidRDefault="004D0309" w:rsidP="009B21D7">
      <w:pPr>
        <w:pStyle w:val="LI-BodyTextParaa"/>
        <w:ind w:left="567"/>
        <w:rPr>
          <w:color w:val="000000"/>
          <w:shd w:val="clear" w:color="auto" w:fill="FFFFFF"/>
        </w:rPr>
      </w:pPr>
      <w:r>
        <w:t>3</w:t>
      </w:r>
      <w:r w:rsidR="00240E66">
        <w:t>4</w:t>
      </w:r>
      <w:r w:rsidR="00F03BB5">
        <w:t>.</w:t>
      </w:r>
      <w:r w:rsidR="00F03BB5">
        <w:tab/>
      </w:r>
      <w:r w:rsidR="00350219">
        <w:t xml:space="preserve">The Amendment Instrument is made under </w:t>
      </w:r>
      <w:r w:rsidR="00B11979">
        <w:rPr>
          <w:color w:val="000000"/>
        </w:rPr>
        <w:t>subsections</w:t>
      </w:r>
      <w:r w:rsidR="00B11979">
        <w:rPr>
          <w:color w:val="000000"/>
          <w:shd w:val="clear" w:color="auto" w:fill="FFFFFF"/>
        </w:rPr>
        <w:t xml:space="preserve"> 926A(2)</w:t>
      </w:r>
      <w:r w:rsidR="00DB75D2">
        <w:rPr>
          <w:color w:val="000000"/>
          <w:shd w:val="clear" w:color="auto" w:fill="FFFFFF"/>
        </w:rPr>
        <w:t xml:space="preserve"> </w:t>
      </w:r>
      <w:r w:rsidR="0073077B">
        <w:rPr>
          <w:color w:val="000000"/>
          <w:shd w:val="clear" w:color="auto" w:fill="FFFFFF"/>
        </w:rPr>
        <w:t>and</w:t>
      </w:r>
      <w:r w:rsidR="00B11979">
        <w:rPr>
          <w:color w:val="000000"/>
          <w:shd w:val="clear" w:color="auto" w:fill="FFFFFF"/>
        </w:rPr>
        <w:t xml:space="preserve"> 951B(1)</w:t>
      </w:r>
      <w:r w:rsidR="00DB6C0A">
        <w:rPr>
          <w:color w:val="000000"/>
          <w:shd w:val="clear" w:color="auto" w:fill="FFFFFF"/>
        </w:rPr>
        <w:t xml:space="preserve"> </w:t>
      </w:r>
      <w:r w:rsidR="00B11979">
        <w:rPr>
          <w:color w:val="000000"/>
        </w:rPr>
        <w:t>of the </w:t>
      </w:r>
      <w:r w:rsidR="00B11979" w:rsidRPr="0073077B">
        <w:rPr>
          <w:color w:val="000000"/>
          <w:shd w:val="clear" w:color="auto" w:fill="FFFFFF"/>
        </w:rPr>
        <w:t>Corporations Act</w:t>
      </w:r>
      <w:r w:rsidR="00B11979">
        <w:rPr>
          <w:color w:val="000000"/>
        </w:rPr>
        <w:t>.</w:t>
      </w:r>
    </w:p>
    <w:p w14:paraId="37E54D87" w14:textId="734B3152" w:rsidR="00AD0142" w:rsidRDefault="00647221" w:rsidP="00AA3493">
      <w:pPr>
        <w:pStyle w:val="LI-BodyTextParaa"/>
        <w:ind w:left="567"/>
      </w:pPr>
      <w:r>
        <w:t>3</w:t>
      </w:r>
      <w:r w:rsidR="00240E66">
        <w:t>5</w:t>
      </w:r>
      <w:r w:rsidR="009A3F74">
        <w:t>.</w:t>
      </w:r>
      <w:r w:rsidR="003754E1">
        <w:tab/>
      </w:r>
      <w:r w:rsidR="00AD0142" w:rsidRPr="7EC1C276">
        <w:rPr>
          <w:color w:val="000000" w:themeColor="text1"/>
        </w:rPr>
        <w:t>Under subsection 33(3) of the </w:t>
      </w:r>
      <w:r w:rsidR="00AD0142" w:rsidRPr="7EC1C276">
        <w:rPr>
          <w:i/>
          <w:iCs/>
          <w:color w:val="000000" w:themeColor="text1"/>
        </w:rPr>
        <w:t>Acts Interpretation Act 1901</w:t>
      </w:r>
      <w:r w:rsidR="00AD0142" w:rsidRPr="7EC1C276">
        <w:rPr>
          <w:color w:val="000000" w:themeColor="text1"/>
        </w:rPr>
        <w:t xml:space="preserve">, where an </w:t>
      </w:r>
      <w:r w:rsidR="009847AE" w:rsidRPr="7EC1C276">
        <w:rPr>
          <w:color w:val="000000" w:themeColor="text1"/>
        </w:rPr>
        <w:t>a</w:t>
      </w:r>
      <w:r w:rsidR="00AD0142" w:rsidRPr="7EC1C276">
        <w:rPr>
          <w:color w:val="000000" w:themeColor="text1"/>
        </w:rPr>
        <w:t xml:space="preserve">ct confers a power to make, grant or issue any instrument (including rules, regulations or by-laws), the power shall be construed as including a power </w:t>
      </w:r>
      <w:r w:rsidR="00AD0142" w:rsidRPr="7EC1C276">
        <w:rPr>
          <w:color w:val="000000" w:themeColor="text1"/>
        </w:rPr>
        <w:lastRenderedPageBreak/>
        <w:t>exercisable in the like manner and subject to the like conditions (if any) to repeal, rescind, revoke, amend, or vary any such instrument.</w:t>
      </w:r>
    </w:p>
    <w:p w14:paraId="5B072D62" w14:textId="4D82D39B" w:rsidR="00AA3493" w:rsidRDefault="00647221" w:rsidP="00AA3493">
      <w:pPr>
        <w:pStyle w:val="LI-BodyTextParaa"/>
        <w:ind w:left="567"/>
      </w:pPr>
      <w:r>
        <w:t>3</w:t>
      </w:r>
      <w:r w:rsidR="00240E66">
        <w:t>6</w:t>
      </w:r>
      <w:r w:rsidR="003754E1">
        <w:t>.</w:t>
      </w:r>
      <w:r w:rsidR="003754E1">
        <w:tab/>
      </w:r>
      <w:r w:rsidR="00AA3493">
        <w:t>The Amendment Instrument is a disallowable legislative instrument.</w:t>
      </w:r>
    </w:p>
    <w:p w14:paraId="4D930F2D" w14:textId="3D64EF07" w:rsidR="00EA17A6" w:rsidRPr="00EA17A6" w:rsidRDefault="00EA17A6" w:rsidP="00AA3493">
      <w:pPr>
        <w:pStyle w:val="LI-BodyTextParaa"/>
        <w:ind w:left="567"/>
        <w:rPr>
          <w:b/>
        </w:rPr>
      </w:pPr>
      <w:r w:rsidRPr="00EA17A6">
        <w:rPr>
          <w:b/>
        </w:rPr>
        <w:t xml:space="preserve">Statement of Compatibility with Human Rights  </w:t>
      </w:r>
    </w:p>
    <w:p w14:paraId="1DBA07BE" w14:textId="2FD29BEB" w:rsidR="00223DCF" w:rsidRPr="00EA17A6" w:rsidRDefault="00BD5313" w:rsidP="00435EEF">
      <w:pPr>
        <w:pStyle w:val="LI-BodyTextParaa"/>
        <w:ind w:left="567"/>
      </w:pPr>
      <w:r>
        <w:t>3</w:t>
      </w:r>
      <w:r w:rsidR="00240E66">
        <w:t>7</w:t>
      </w:r>
      <w:r w:rsidR="00223DCF">
        <w:t>.</w:t>
      </w:r>
      <w:r w:rsidR="003754E1">
        <w:tab/>
      </w:r>
      <w:r w:rsidR="00223DCF">
        <w:t xml:space="preserve">The Explanatory Statement for a disallowable legislative instrument must contain a Statement of Compatibility with Human Rights under subsection 9(1) of the </w:t>
      </w:r>
      <w:r w:rsidR="00223DCF" w:rsidRPr="7EC1C276">
        <w:rPr>
          <w:i/>
          <w:iCs/>
        </w:rPr>
        <w:t>Human Rights (Parliamentary Scrutiny) Act 2011.</w:t>
      </w:r>
      <w:r w:rsidR="00223DCF">
        <w:t xml:space="preserve"> A Statement of Compatibility with Human Rights is in the </w:t>
      </w:r>
      <w:r w:rsidR="00223DCF" w:rsidRPr="7EC1C276">
        <w:rPr>
          <w:u w:val="single"/>
        </w:rPr>
        <w:t>Attachment</w:t>
      </w:r>
      <w:r w:rsidR="00223DCF">
        <w:t xml:space="preserve">. </w:t>
      </w:r>
    </w:p>
    <w:p w14:paraId="04C7C810" w14:textId="77777777" w:rsidR="00223DCF" w:rsidRPr="00EA17A6" w:rsidRDefault="00223DCF" w:rsidP="00223DCF">
      <w:pPr>
        <w:pStyle w:val="LI-BodyTextParaa"/>
        <w:ind w:left="567"/>
        <w:jc w:val="right"/>
        <w:rPr>
          <w:u w:val="single"/>
        </w:rPr>
      </w:pPr>
      <w:r>
        <w:rPr>
          <w:color w:val="FF0000"/>
        </w:rPr>
        <w:br w:type="page"/>
      </w:r>
      <w:r w:rsidRPr="00EA17A6">
        <w:rPr>
          <w:u w:val="single"/>
        </w:rPr>
        <w:lastRenderedPageBreak/>
        <w:t xml:space="preserve">Attachment </w:t>
      </w:r>
    </w:p>
    <w:p w14:paraId="7F52BE96" w14:textId="77777777" w:rsidR="00A15512" w:rsidRPr="00EA17A6" w:rsidRDefault="001E77ED" w:rsidP="00223DCF">
      <w:pPr>
        <w:pStyle w:val="LI-BodyTextParaa"/>
        <w:ind w:left="567"/>
        <w:jc w:val="center"/>
        <w:rPr>
          <w:b/>
          <w:sz w:val="28"/>
          <w:szCs w:val="28"/>
        </w:rPr>
      </w:pPr>
      <w:r w:rsidRPr="00EA17A6">
        <w:rPr>
          <w:b/>
          <w:sz w:val="28"/>
          <w:szCs w:val="28"/>
        </w:rPr>
        <w:t xml:space="preserve">Statement of </w:t>
      </w:r>
      <w:r w:rsidR="00223DCF" w:rsidRPr="00EA17A6">
        <w:rPr>
          <w:b/>
          <w:sz w:val="28"/>
          <w:szCs w:val="28"/>
        </w:rPr>
        <w:t>C</w:t>
      </w:r>
      <w:r w:rsidRPr="00EA17A6">
        <w:rPr>
          <w:b/>
          <w:sz w:val="28"/>
          <w:szCs w:val="28"/>
        </w:rPr>
        <w:t xml:space="preserve">ompatibility with </w:t>
      </w:r>
      <w:r w:rsidR="00223DCF" w:rsidRPr="00EA17A6">
        <w:rPr>
          <w:b/>
          <w:sz w:val="28"/>
          <w:szCs w:val="28"/>
        </w:rPr>
        <w:t>H</w:t>
      </w:r>
      <w:r w:rsidRPr="00EA17A6">
        <w:rPr>
          <w:b/>
          <w:sz w:val="28"/>
          <w:szCs w:val="28"/>
        </w:rPr>
        <w:t xml:space="preserve">uman </w:t>
      </w:r>
      <w:r w:rsidR="00223DCF" w:rsidRPr="00EA17A6">
        <w:rPr>
          <w:b/>
          <w:sz w:val="28"/>
          <w:szCs w:val="28"/>
        </w:rPr>
        <w:t>R</w:t>
      </w:r>
      <w:r w:rsidRPr="00EA17A6">
        <w:rPr>
          <w:b/>
          <w:sz w:val="28"/>
          <w:szCs w:val="28"/>
        </w:rPr>
        <w:t>ights</w:t>
      </w:r>
    </w:p>
    <w:p w14:paraId="24668A36" w14:textId="77777777" w:rsidR="00AE787B" w:rsidRPr="00EA17A6" w:rsidRDefault="00AE787B" w:rsidP="00223DCF">
      <w:pPr>
        <w:pStyle w:val="LI-BodyTextNumbered"/>
        <w:ind w:left="0" w:firstLine="0"/>
        <w:rPr>
          <w:iCs/>
        </w:rPr>
      </w:pPr>
      <w:bookmarkStart w:id="2" w:name="_Hlk534286677"/>
    </w:p>
    <w:p w14:paraId="0CD10E11" w14:textId="77777777" w:rsidR="00223DCF" w:rsidRPr="00EA17A6" w:rsidRDefault="00223DCF" w:rsidP="00223DCF">
      <w:pPr>
        <w:pStyle w:val="LI-BodyTextNumbered"/>
        <w:ind w:left="0" w:firstLine="0"/>
        <w:rPr>
          <w:iCs/>
        </w:rPr>
      </w:pPr>
      <w:r w:rsidRPr="00EA17A6">
        <w:rPr>
          <w:iCs/>
        </w:rPr>
        <w:t xml:space="preserve">This Statement of Compatibility with Human Rights is prepared in accordance with Part 3 of </w:t>
      </w:r>
      <w:bookmarkStart w:id="3" w:name="_Hlk4054932"/>
      <w:r w:rsidRPr="00EA17A6">
        <w:rPr>
          <w:iCs/>
        </w:rPr>
        <w:t xml:space="preserve">the </w:t>
      </w:r>
      <w:r w:rsidRPr="00EA17A6">
        <w:rPr>
          <w:i/>
          <w:iCs/>
        </w:rPr>
        <w:t>Human Rights (Parliamentary Scrutiny) Act 2011</w:t>
      </w:r>
      <w:bookmarkEnd w:id="3"/>
      <w:r w:rsidRPr="00EA17A6">
        <w:rPr>
          <w:iCs/>
        </w:rPr>
        <w:t xml:space="preserve">.   </w:t>
      </w:r>
    </w:p>
    <w:p w14:paraId="4B154A7D" w14:textId="339561C5" w:rsidR="00223DCF" w:rsidRPr="00EA17A6" w:rsidRDefault="00EE713D" w:rsidP="7EC1C276">
      <w:pPr>
        <w:pStyle w:val="LI-BodyTextNumbered"/>
        <w:ind w:left="0" w:firstLine="0"/>
        <w:rPr>
          <w:b/>
          <w:bCs/>
          <w:i/>
          <w:iCs/>
        </w:rPr>
      </w:pPr>
      <w:r w:rsidRPr="7EC1C276">
        <w:rPr>
          <w:b/>
          <w:bCs/>
          <w:i/>
          <w:iCs/>
        </w:rPr>
        <w:t>ASIC Corporations (Amendment) Instrument 2024/</w:t>
      </w:r>
      <w:r w:rsidR="00A770C7">
        <w:rPr>
          <w:b/>
          <w:bCs/>
          <w:i/>
          <w:iCs/>
        </w:rPr>
        <w:t>554</w:t>
      </w:r>
    </w:p>
    <w:p w14:paraId="0AD76C9D" w14:textId="77777777" w:rsidR="00223DCF" w:rsidRPr="00EA17A6" w:rsidRDefault="00223DCF" w:rsidP="001872DC">
      <w:pPr>
        <w:pStyle w:val="LI-BodyTextNumbered"/>
        <w:ind w:left="567"/>
        <w:rPr>
          <w:u w:val="single"/>
        </w:rPr>
      </w:pPr>
      <w:r w:rsidRPr="00EA17A6">
        <w:rPr>
          <w:u w:val="single"/>
        </w:rPr>
        <w:t>Overview</w:t>
      </w:r>
    </w:p>
    <w:p w14:paraId="2B9EEC53" w14:textId="23181F4D" w:rsidR="005E0908" w:rsidRDefault="00CB2D96" w:rsidP="005B510C">
      <w:pPr>
        <w:pStyle w:val="LI-BodyTextParaa"/>
        <w:ind w:left="567"/>
      </w:pPr>
      <w:r>
        <w:t>1.</w:t>
      </w:r>
      <w:r>
        <w:tab/>
      </w:r>
      <w:r w:rsidR="005E0908">
        <w:t xml:space="preserve">The instrument amends </w:t>
      </w:r>
      <w:r w:rsidR="005E0908" w:rsidRPr="75EA0FC9">
        <w:rPr>
          <w:i/>
          <w:iCs/>
        </w:rPr>
        <w:t>ASIC Corporations (Disclosure of Lack of Independence) Instrument 2021/125 t</w:t>
      </w:r>
      <w:r w:rsidR="005E0908">
        <w:t xml:space="preserve">o clarify </w:t>
      </w:r>
      <w:r w:rsidR="008C5FAE">
        <w:t xml:space="preserve">that </w:t>
      </w:r>
      <w:r w:rsidR="005E0908">
        <w:t xml:space="preserve">requirements for lack of independence disclosure </w:t>
      </w:r>
      <w:r w:rsidR="008C5FAE">
        <w:t xml:space="preserve">statements </w:t>
      </w:r>
      <w:r w:rsidR="005E0908">
        <w:t xml:space="preserve">in website disclosure information are equivalent to the disclosure required in </w:t>
      </w:r>
      <w:r w:rsidR="008C5FAE">
        <w:t>Financial Services Guides (</w:t>
      </w:r>
      <w:r w:rsidR="005E0908">
        <w:t>FSGs</w:t>
      </w:r>
      <w:r w:rsidR="008C5FAE">
        <w:t>)</w:t>
      </w:r>
      <w:r w:rsidR="005E0908">
        <w:t>.</w:t>
      </w:r>
    </w:p>
    <w:p w14:paraId="3940BFB8" w14:textId="4D9902E1" w:rsidR="005E0908" w:rsidRPr="005B510C" w:rsidRDefault="005E0908" w:rsidP="005E0908">
      <w:pPr>
        <w:pStyle w:val="LI-BodyTextParaa"/>
        <w:ind w:left="567"/>
      </w:pPr>
      <w:r>
        <w:t>2.</w:t>
      </w:r>
      <w:r>
        <w:tab/>
        <w:t xml:space="preserve">The instrument amends </w:t>
      </w:r>
      <w:r w:rsidRPr="5DEE4057">
        <w:rPr>
          <w:i/>
          <w:iCs/>
        </w:rPr>
        <w:t>ASIC Corporations and Credit (Breach Reporting—Reportable Situations) Instrument 2021/716</w:t>
      </w:r>
      <w:r>
        <w:t xml:space="preserve"> to remove an item that has been made redundant by amendments of subsections 912D(3)(b) to (e) of the </w:t>
      </w:r>
      <w:r w:rsidR="008C5FAE" w:rsidRPr="5DEE4057">
        <w:rPr>
          <w:i/>
          <w:iCs/>
        </w:rPr>
        <w:t>Corporations Act 2001</w:t>
      </w:r>
      <w:r w:rsidR="008C5FAE">
        <w:t xml:space="preserve"> (</w:t>
      </w:r>
      <w:r w:rsidRPr="008C5FAE">
        <w:rPr>
          <w:b/>
          <w:bCs/>
        </w:rPr>
        <w:t>Corporations Act</w:t>
      </w:r>
      <w:r w:rsidR="008C5FAE">
        <w:t>)</w:t>
      </w:r>
      <w:r>
        <w:t xml:space="preserve"> that Schedule 5 of the </w:t>
      </w:r>
      <w:r w:rsidR="008C5FAE" w:rsidRPr="5DEE4057">
        <w:rPr>
          <w:i/>
          <w:iCs/>
        </w:rPr>
        <w:t>Treasury Laws Amendment (Delivering Better Financial Outcomes and Other Measures) Act 2024</w:t>
      </w:r>
      <w:r w:rsidR="008C5FAE">
        <w:t xml:space="preserve"> (</w:t>
      </w:r>
      <w:r w:rsidR="008C5FAE" w:rsidRPr="5DEE4057">
        <w:rPr>
          <w:b/>
          <w:bCs/>
        </w:rPr>
        <w:t>Act</w:t>
      </w:r>
      <w:r w:rsidR="008C5FAE">
        <w:t xml:space="preserve">) </w:t>
      </w:r>
      <w:r>
        <w:t>made.</w:t>
      </w:r>
    </w:p>
    <w:p w14:paraId="5C34A7F7" w14:textId="0FDA2553" w:rsidR="005B510C" w:rsidRDefault="005E0908" w:rsidP="005B510C">
      <w:pPr>
        <w:pStyle w:val="LI-BodyTextParaa"/>
        <w:ind w:left="567"/>
      </w:pPr>
      <w:r>
        <w:t>3.</w:t>
      </w:r>
      <w:r>
        <w:tab/>
      </w:r>
      <w:r w:rsidR="00F252D2">
        <w:t xml:space="preserve">The instrument </w:t>
      </w:r>
      <w:r w:rsidR="008C5FAE">
        <w:t xml:space="preserve">also </w:t>
      </w:r>
      <w:r w:rsidR="00F252D2">
        <w:t>amends</w:t>
      </w:r>
      <w:r w:rsidR="00DA5526">
        <w:t xml:space="preserve"> </w:t>
      </w:r>
      <w:r w:rsidR="00DA5526" w:rsidRPr="5DEE4057">
        <w:rPr>
          <w:i/>
          <w:iCs/>
        </w:rPr>
        <w:t>ASIC Corporations (Investor Directed Portfolio Services) Instrument 2023/669</w:t>
      </w:r>
      <w:r w:rsidR="005B510C">
        <w:t xml:space="preserve"> to ensure that exemptions from liability for providing entities and financial services licensees under sections 952E, 952G, and 953B of the </w:t>
      </w:r>
      <w:r w:rsidR="005B510C" w:rsidRPr="008C5FAE">
        <w:t>Corporations Act</w:t>
      </w:r>
      <w:r w:rsidR="005B510C">
        <w:t xml:space="preserve"> </w:t>
      </w:r>
      <w:r w:rsidR="0094760F">
        <w:t xml:space="preserve">apply in respect of website disclosure information, in addition to </w:t>
      </w:r>
      <w:r w:rsidR="00760210">
        <w:t xml:space="preserve">FSGs </w:t>
      </w:r>
      <w:r w:rsidR="001C6EA2">
        <w:t>and Supplementary F</w:t>
      </w:r>
      <w:r w:rsidR="00760210">
        <w:t>SGs</w:t>
      </w:r>
      <w:r w:rsidR="0094760F">
        <w:t>.</w:t>
      </w:r>
      <w:r w:rsidR="004E3A32">
        <w:t xml:space="preserve"> Website disclosure information </w:t>
      </w:r>
      <w:r w:rsidR="000B439F">
        <w:t>is permitted in li</w:t>
      </w:r>
      <w:r w:rsidR="007526E9">
        <w:t xml:space="preserve">eu of FSGs following amendments that </w:t>
      </w:r>
      <w:r w:rsidR="00760210">
        <w:t xml:space="preserve">Schedule 1 of the </w:t>
      </w:r>
      <w:r w:rsidR="00FA76FD" w:rsidRPr="008C5FAE">
        <w:t xml:space="preserve">Act </w:t>
      </w:r>
      <w:r w:rsidR="007526E9">
        <w:t>made.</w:t>
      </w:r>
    </w:p>
    <w:p w14:paraId="79BCB1A5" w14:textId="77777777" w:rsidR="001872DC" w:rsidRPr="00EA17A6" w:rsidRDefault="001872DC" w:rsidP="001872DC">
      <w:pPr>
        <w:pStyle w:val="LI-BodyTextNumbered"/>
        <w:ind w:left="567"/>
        <w:rPr>
          <w:u w:val="single"/>
        </w:rPr>
      </w:pPr>
      <w:bookmarkStart w:id="4" w:name="_Hlk534286807"/>
      <w:bookmarkEnd w:id="2"/>
      <w:r w:rsidRPr="00EA17A6">
        <w:rPr>
          <w:u w:val="single"/>
        </w:rPr>
        <w:t>Assessment of human rights implications</w:t>
      </w:r>
    </w:p>
    <w:p w14:paraId="56F8130E" w14:textId="6A77EE7F" w:rsidR="00946759" w:rsidRPr="00EA17A6" w:rsidRDefault="560ED38E" w:rsidP="00D306F8">
      <w:pPr>
        <w:pStyle w:val="LI-BodyTextNumbered"/>
        <w:ind w:left="567"/>
      </w:pPr>
      <w:r>
        <w:t>4</w:t>
      </w:r>
      <w:r w:rsidR="001872DC">
        <w:t>.</w:t>
      </w:r>
      <w:r w:rsidR="004D6DB0">
        <w:tab/>
      </w:r>
      <w:bookmarkEnd w:id="4"/>
      <w:r w:rsidR="001872DC">
        <w:t xml:space="preserve">This instrument </w:t>
      </w:r>
      <w:r w:rsidR="00D306F8">
        <w:t>does not engage any of the applicable rights or freedoms</w:t>
      </w:r>
      <w:r w:rsidR="00B87100">
        <w:t>.</w:t>
      </w:r>
    </w:p>
    <w:p w14:paraId="05FFF3B4" w14:textId="77777777" w:rsidR="00CB2D96" w:rsidRPr="00EA17A6" w:rsidRDefault="00CB2D96" w:rsidP="00D306F8">
      <w:pPr>
        <w:pStyle w:val="LI-BodyTextNumbered"/>
        <w:ind w:left="567"/>
        <w:rPr>
          <w:u w:val="single"/>
        </w:rPr>
      </w:pPr>
      <w:r w:rsidRPr="00EA17A6">
        <w:rPr>
          <w:u w:val="single"/>
        </w:rPr>
        <w:t>Conclusion</w:t>
      </w:r>
    </w:p>
    <w:p w14:paraId="4734FE48" w14:textId="78617763" w:rsidR="00CB2D96" w:rsidRPr="00EA17A6" w:rsidRDefault="27A1EFD6" w:rsidP="00CB2D96">
      <w:pPr>
        <w:pStyle w:val="LI-BodyTextNumbered"/>
        <w:ind w:left="567"/>
      </w:pPr>
      <w:r>
        <w:t>5</w:t>
      </w:r>
      <w:r w:rsidR="00CB2D96">
        <w:t>.</w:t>
      </w:r>
      <w:r w:rsidR="004D6DB0">
        <w:tab/>
      </w:r>
      <w:r w:rsidR="00CB2D96">
        <w:t xml:space="preserve">This instrument is compatible with the human rights and freedoms recognised or declared in the international instruments listed in section 3 of the </w:t>
      </w:r>
      <w:r w:rsidR="00CB2D96" w:rsidRPr="4A1FB4C0">
        <w:rPr>
          <w:i/>
          <w:iCs/>
        </w:rPr>
        <w:t>Human Rights (Parliamentary Scrutiny) Act 2011</w:t>
      </w:r>
      <w:r w:rsidR="00CB2D96">
        <w:t>.</w:t>
      </w:r>
    </w:p>
    <w:p w14:paraId="570BEB58" w14:textId="77777777" w:rsidR="00CB2D96" w:rsidRPr="00EA17A6" w:rsidRDefault="00CB2D96" w:rsidP="00D306F8">
      <w:pPr>
        <w:pStyle w:val="LI-BodyTextNumbered"/>
        <w:ind w:left="567"/>
      </w:pPr>
    </w:p>
    <w:sectPr w:rsidR="00CB2D96" w:rsidRPr="00EA17A6" w:rsidSect="00863657">
      <w:headerReference w:type="even" r:id="rId15"/>
      <w:headerReference w:type="default" r:id="rId16"/>
      <w:footerReference w:type="default" r:id="rId17"/>
      <w:pgSz w:w="11907" w:h="16839" w:code="9"/>
      <w:pgMar w:top="1537" w:right="1797" w:bottom="1440" w:left="1797"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D63F4" w14:textId="77777777" w:rsidR="007B42F3" w:rsidRDefault="007B42F3" w:rsidP="00715914">
      <w:pPr>
        <w:spacing w:line="240" w:lineRule="auto"/>
      </w:pPr>
      <w:r>
        <w:separator/>
      </w:r>
    </w:p>
  </w:endnote>
  <w:endnote w:type="continuationSeparator" w:id="0">
    <w:p w14:paraId="1F89D163" w14:textId="77777777" w:rsidR="007B42F3" w:rsidRDefault="007B42F3" w:rsidP="00715914">
      <w:pPr>
        <w:spacing w:line="240" w:lineRule="auto"/>
      </w:pPr>
      <w:r>
        <w:continuationSeparator/>
      </w:r>
    </w:p>
  </w:endnote>
  <w:endnote w:type="continuationNotice" w:id="1">
    <w:p w14:paraId="7EA87FAE" w14:textId="77777777" w:rsidR="007B42F3" w:rsidRDefault="007B42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3F61" w14:textId="77777777" w:rsidR="00863657" w:rsidRDefault="00863657">
    <w:pPr>
      <w:pStyle w:val="Footer"/>
      <w:jc w:val="center"/>
    </w:pPr>
    <w:r>
      <w:fldChar w:fldCharType="begin"/>
    </w:r>
    <w:r>
      <w:instrText xml:space="preserve"> PAGE   \* MERGEFORMAT </w:instrText>
    </w:r>
    <w:r>
      <w:fldChar w:fldCharType="separate"/>
    </w:r>
    <w:r>
      <w:rPr>
        <w:noProof/>
      </w:rPr>
      <w:t>2</w:t>
    </w:r>
    <w:r>
      <w:rPr>
        <w:noProof/>
      </w:rPr>
      <w:fldChar w:fldCharType="end"/>
    </w:r>
  </w:p>
  <w:p w14:paraId="22ED3D50" w14:textId="77777777" w:rsidR="00863657" w:rsidRDefault="00863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7303A" w14:textId="77777777" w:rsidR="007B42F3" w:rsidRDefault="007B42F3" w:rsidP="00715914">
      <w:pPr>
        <w:spacing w:line="240" w:lineRule="auto"/>
      </w:pPr>
      <w:r>
        <w:separator/>
      </w:r>
    </w:p>
  </w:footnote>
  <w:footnote w:type="continuationSeparator" w:id="0">
    <w:p w14:paraId="46C30789" w14:textId="77777777" w:rsidR="007B42F3" w:rsidRDefault="007B42F3" w:rsidP="00715914">
      <w:pPr>
        <w:spacing w:line="240" w:lineRule="auto"/>
      </w:pPr>
      <w:r>
        <w:continuationSeparator/>
      </w:r>
    </w:p>
  </w:footnote>
  <w:footnote w:type="continuationNotice" w:id="1">
    <w:p w14:paraId="2E97129D" w14:textId="77777777" w:rsidR="007B42F3" w:rsidRDefault="007B42F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3CE4" w14:textId="77777777" w:rsidR="00E2168B" w:rsidRPr="00243EC0" w:rsidRDefault="00E2168B" w:rsidP="00243EC0">
    <w:pPr>
      <w:pStyle w:val="LI-Footer"/>
      <w:pBdr>
        <w:top w:val="none" w:sz="0" w:space="0" w:color="auto"/>
        <w:bottom w:val="single" w:sz="4" w:space="1" w:color="auto"/>
      </w:pBdr>
    </w:pPr>
    <w:r w:rsidRPr="00A52B0F">
      <w:t xml:space="preserve">ASIC Corporations / Superannuation / Credit </w:t>
    </w:r>
    <w:r w:rsidRPr="00A52B0F">
      <w:rPr>
        <w:highlight w:val="yellow"/>
      </w:rPr>
      <w:t>(&lt;Short Narrative Name&gt;</w:t>
    </w:r>
    <w:r w:rsidRPr="00A52B0F">
      <w:t xml:space="preserve">) Instrument </w:t>
    </w:r>
    <w:r w:rsidRPr="00A52B0F">
      <w:rPr>
        <w:highlight w:val="yellow"/>
      </w:rPr>
      <w:t>&lt;Year&gt;</w:t>
    </w:r>
    <w:r>
      <w:tab/>
      <w:t>Part 3—Declaration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tblBorders>
      <w:tblCellMar>
        <w:left w:w="0" w:type="dxa"/>
        <w:bottom w:w="28" w:type="dxa"/>
        <w:right w:w="0" w:type="dxa"/>
      </w:tblCellMar>
      <w:tblLook w:val="04A0" w:firstRow="1" w:lastRow="0" w:firstColumn="1" w:lastColumn="0" w:noHBand="0" w:noVBand="1"/>
    </w:tblPr>
    <w:tblGrid>
      <w:gridCol w:w="4253"/>
      <w:gridCol w:w="4060"/>
    </w:tblGrid>
    <w:tr w:rsidR="00F4215A" w:rsidRPr="00E40FF8" w14:paraId="243A6639" w14:textId="77777777" w:rsidTr="001E77ED">
      <w:tc>
        <w:tcPr>
          <w:tcW w:w="4253" w:type="dxa"/>
          <w:shd w:val="clear" w:color="auto" w:fill="auto"/>
        </w:tcPr>
        <w:p w14:paraId="4D19EF3A" w14:textId="77777777" w:rsidR="00F4215A" w:rsidRDefault="00F4215A" w:rsidP="00E40FF8">
          <w:pPr>
            <w:pStyle w:val="LI-Header"/>
            <w:pBdr>
              <w:bottom w:val="none" w:sz="0" w:space="0" w:color="auto"/>
            </w:pBdr>
            <w:jc w:val="left"/>
          </w:pPr>
        </w:p>
      </w:tc>
      <w:tc>
        <w:tcPr>
          <w:tcW w:w="4060" w:type="dxa"/>
          <w:shd w:val="clear" w:color="auto" w:fill="auto"/>
        </w:tcPr>
        <w:p w14:paraId="76FB5D62" w14:textId="77777777" w:rsidR="00F4215A" w:rsidRDefault="00F4215A" w:rsidP="00F03BB5">
          <w:pPr>
            <w:pStyle w:val="LI-BodyTextNumbered"/>
          </w:pPr>
        </w:p>
      </w:tc>
    </w:tr>
  </w:tbl>
  <w:p w14:paraId="6F7068A7" w14:textId="77777777" w:rsidR="0040053F" w:rsidRPr="00F4215A" w:rsidRDefault="0040053F" w:rsidP="00F421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AAC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1AFA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D08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AD637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CED8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A8CE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24B3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E6C7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6A4D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7C02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266B82"/>
    <w:multiLevelType w:val="hybridMultilevel"/>
    <w:tmpl w:val="8A1E49B4"/>
    <w:lvl w:ilvl="0" w:tplc="69EAD684">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15:restartNumberingAfterBreak="0">
    <w:nsid w:val="49B13F44"/>
    <w:multiLevelType w:val="hybridMultilevel"/>
    <w:tmpl w:val="0E4CB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9868421">
    <w:abstractNumId w:val="9"/>
  </w:num>
  <w:num w:numId="2" w16cid:durableId="223107082">
    <w:abstractNumId w:val="7"/>
  </w:num>
  <w:num w:numId="3" w16cid:durableId="738407609">
    <w:abstractNumId w:val="6"/>
  </w:num>
  <w:num w:numId="4" w16cid:durableId="917132900">
    <w:abstractNumId w:val="5"/>
  </w:num>
  <w:num w:numId="5" w16cid:durableId="464547238">
    <w:abstractNumId w:val="4"/>
  </w:num>
  <w:num w:numId="6" w16cid:durableId="1346859651">
    <w:abstractNumId w:val="8"/>
  </w:num>
  <w:num w:numId="7" w16cid:durableId="846990079">
    <w:abstractNumId w:val="3"/>
  </w:num>
  <w:num w:numId="8" w16cid:durableId="697703092">
    <w:abstractNumId w:val="2"/>
  </w:num>
  <w:num w:numId="9" w16cid:durableId="1148012361">
    <w:abstractNumId w:val="1"/>
  </w:num>
  <w:num w:numId="10" w16cid:durableId="166410172">
    <w:abstractNumId w:val="0"/>
  </w:num>
  <w:num w:numId="11" w16cid:durableId="330446348">
    <w:abstractNumId w:val="12"/>
  </w:num>
  <w:num w:numId="12" w16cid:durableId="1380130046">
    <w:abstractNumId w:val="10"/>
  </w:num>
  <w:num w:numId="13" w16cid:durableId="1614940614">
    <w:abstractNumId w:val="11"/>
  </w:num>
  <w:num w:numId="14" w16cid:durableId="15736165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1A1"/>
    <w:rsid w:val="000002A6"/>
    <w:rsid w:val="00004470"/>
    <w:rsid w:val="00005446"/>
    <w:rsid w:val="00010B38"/>
    <w:rsid w:val="00011F12"/>
    <w:rsid w:val="000136AF"/>
    <w:rsid w:val="00013B8D"/>
    <w:rsid w:val="00015719"/>
    <w:rsid w:val="0001597C"/>
    <w:rsid w:val="00016A7D"/>
    <w:rsid w:val="00020D36"/>
    <w:rsid w:val="00022EFC"/>
    <w:rsid w:val="00023D53"/>
    <w:rsid w:val="00023FBE"/>
    <w:rsid w:val="00040422"/>
    <w:rsid w:val="00042907"/>
    <w:rsid w:val="000437C1"/>
    <w:rsid w:val="000456FC"/>
    <w:rsid w:val="00050BA4"/>
    <w:rsid w:val="0005161F"/>
    <w:rsid w:val="0005365D"/>
    <w:rsid w:val="00056B76"/>
    <w:rsid w:val="000614BF"/>
    <w:rsid w:val="0006250C"/>
    <w:rsid w:val="00062891"/>
    <w:rsid w:val="00062A64"/>
    <w:rsid w:val="00064E5A"/>
    <w:rsid w:val="00070349"/>
    <w:rsid w:val="00070812"/>
    <w:rsid w:val="000720D8"/>
    <w:rsid w:val="0007220C"/>
    <w:rsid w:val="00073452"/>
    <w:rsid w:val="00073755"/>
    <w:rsid w:val="000754BA"/>
    <w:rsid w:val="00076146"/>
    <w:rsid w:val="00076315"/>
    <w:rsid w:val="00081794"/>
    <w:rsid w:val="00082470"/>
    <w:rsid w:val="000832BC"/>
    <w:rsid w:val="00084FF4"/>
    <w:rsid w:val="000862C6"/>
    <w:rsid w:val="0008665B"/>
    <w:rsid w:val="000872CD"/>
    <w:rsid w:val="00091315"/>
    <w:rsid w:val="000A142F"/>
    <w:rsid w:val="000A23A7"/>
    <w:rsid w:val="000A65FD"/>
    <w:rsid w:val="000A6C39"/>
    <w:rsid w:val="000B439F"/>
    <w:rsid w:val="000B58FA"/>
    <w:rsid w:val="000B763F"/>
    <w:rsid w:val="000C3C1C"/>
    <w:rsid w:val="000C55A0"/>
    <w:rsid w:val="000C690D"/>
    <w:rsid w:val="000D041F"/>
    <w:rsid w:val="000D05EF"/>
    <w:rsid w:val="000D5062"/>
    <w:rsid w:val="000D5654"/>
    <w:rsid w:val="000E10D3"/>
    <w:rsid w:val="000E2261"/>
    <w:rsid w:val="000E3C2E"/>
    <w:rsid w:val="000E4A65"/>
    <w:rsid w:val="000F20D4"/>
    <w:rsid w:val="000F21C1"/>
    <w:rsid w:val="000F5B55"/>
    <w:rsid w:val="00102CA6"/>
    <w:rsid w:val="00103259"/>
    <w:rsid w:val="0010745C"/>
    <w:rsid w:val="00107697"/>
    <w:rsid w:val="00112D33"/>
    <w:rsid w:val="0012230E"/>
    <w:rsid w:val="00123526"/>
    <w:rsid w:val="00124CC4"/>
    <w:rsid w:val="00125141"/>
    <w:rsid w:val="00126694"/>
    <w:rsid w:val="0012680F"/>
    <w:rsid w:val="00132CEB"/>
    <w:rsid w:val="00142AD9"/>
    <w:rsid w:val="00142B62"/>
    <w:rsid w:val="00152CB4"/>
    <w:rsid w:val="00153B32"/>
    <w:rsid w:val="00154F4C"/>
    <w:rsid w:val="00157B8B"/>
    <w:rsid w:val="001624E1"/>
    <w:rsid w:val="00166C2F"/>
    <w:rsid w:val="00167179"/>
    <w:rsid w:val="00170DC1"/>
    <w:rsid w:val="00171A6E"/>
    <w:rsid w:val="00173034"/>
    <w:rsid w:val="0017351D"/>
    <w:rsid w:val="0017491C"/>
    <w:rsid w:val="0017568C"/>
    <w:rsid w:val="001809D7"/>
    <w:rsid w:val="00180B95"/>
    <w:rsid w:val="00185A4A"/>
    <w:rsid w:val="001863C3"/>
    <w:rsid w:val="0018659E"/>
    <w:rsid w:val="001872DC"/>
    <w:rsid w:val="0019069C"/>
    <w:rsid w:val="00192262"/>
    <w:rsid w:val="001939E1"/>
    <w:rsid w:val="00194C3E"/>
    <w:rsid w:val="00195382"/>
    <w:rsid w:val="00195BD4"/>
    <w:rsid w:val="00196322"/>
    <w:rsid w:val="001969AF"/>
    <w:rsid w:val="00196DEF"/>
    <w:rsid w:val="00197023"/>
    <w:rsid w:val="001A7088"/>
    <w:rsid w:val="001B0DA6"/>
    <w:rsid w:val="001C2DF2"/>
    <w:rsid w:val="001C3B9C"/>
    <w:rsid w:val="001C5AB2"/>
    <w:rsid w:val="001C61C5"/>
    <w:rsid w:val="001C69C4"/>
    <w:rsid w:val="001C6EA2"/>
    <w:rsid w:val="001C7F69"/>
    <w:rsid w:val="001D268B"/>
    <w:rsid w:val="001D37EF"/>
    <w:rsid w:val="001D7B88"/>
    <w:rsid w:val="001E057E"/>
    <w:rsid w:val="001E3590"/>
    <w:rsid w:val="001E5976"/>
    <w:rsid w:val="001E7407"/>
    <w:rsid w:val="001E77ED"/>
    <w:rsid w:val="001E7C50"/>
    <w:rsid w:val="001E7E2B"/>
    <w:rsid w:val="001F02B1"/>
    <w:rsid w:val="001F5D5E"/>
    <w:rsid w:val="001F6219"/>
    <w:rsid w:val="001F678F"/>
    <w:rsid w:val="001F6CD4"/>
    <w:rsid w:val="001F7615"/>
    <w:rsid w:val="002054C7"/>
    <w:rsid w:val="00206C4D"/>
    <w:rsid w:val="00206F35"/>
    <w:rsid w:val="0021053C"/>
    <w:rsid w:val="00212EB3"/>
    <w:rsid w:val="00215AF1"/>
    <w:rsid w:val="0021649A"/>
    <w:rsid w:val="002164AE"/>
    <w:rsid w:val="00216BD3"/>
    <w:rsid w:val="0022087F"/>
    <w:rsid w:val="00220A36"/>
    <w:rsid w:val="00222D46"/>
    <w:rsid w:val="00223DCF"/>
    <w:rsid w:val="002321E8"/>
    <w:rsid w:val="0023481C"/>
    <w:rsid w:val="00236EEC"/>
    <w:rsid w:val="0024010F"/>
    <w:rsid w:val="00240749"/>
    <w:rsid w:val="00240E66"/>
    <w:rsid w:val="00243018"/>
    <w:rsid w:val="00243EC0"/>
    <w:rsid w:val="00244742"/>
    <w:rsid w:val="00244E20"/>
    <w:rsid w:val="00244F92"/>
    <w:rsid w:val="00245F46"/>
    <w:rsid w:val="00251A6E"/>
    <w:rsid w:val="00252169"/>
    <w:rsid w:val="00253710"/>
    <w:rsid w:val="002561C7"/>
    <w:rsid w:val="002564A4"/>
    <w:rsid w:val="00263840"/>
    <w:rsid w:val="0026736C"/>
    <w:rsid w:val="00270548"/>
    <w:rsid w:val="00270785"/>
    <w:rsid w:val="00281308"/>
    <w:rsid w:val="00281813"/>
    <w:rsid w:val="00281B51"/>
    <w:rsid w:val="00284719"/>
    <w:rsid w:val="0029098D"/>
    <w:rsid w:val="00297ECB"/>
    <w:rsid w:val="002A1F89"/>
    <w:rsid w:val="002A34C3"/>
    <w:rsid w:val="002A5A90"/>
    <w:rsid w:val="002A7328"/>
    <w:rsid w:val="002A7BCF"/>
    <w:rsid w:val="002B0012"/>
    <w:rsid w:val="002B19F3"/>
    <w:rsid w:val="002B1A91"/>
    <w:rsid w:val="002B4924"/>
    <w:rsid w:val="002B4A0D"/>
    <w:rsid w:val="002B5383"/>
    <w:rsid w:val="002B5B56"/>
    <w:rsid w:val="002B5ECB"/>
    <w:rsid w:val="002B6F5D"/>
    <w:rsid w:val="002C31F7"/>
    <w:rsid w:val="002C3D7E"/>
    <w:rsid w:val="002C4BCB"/>
    <w:rsid w:val="002C7B6F"/>
    <w:rsid w:val="002D043A"/>
    <w:rsid w:val="002D12CC"/>
    <w:rsid w:val="002D296C"/>
    <w:rsid w:val="002D2CBC"/>
    <w:rsid w:val="002D4F04"/>
    <w:rsid w:val="002D6224"/>
    <w:rsid w:val="002D796E"/>
    <w:rsid w:val="002E2974"/>
    <w:rsid w:val="002E3F4B"/>
    <w:rsid w:val="002E72DF"/>
    <w:rsid w:val="002F0F6B"/>
    <w:rsid w:val="002F2AB8"/>
    <w:rsid w:val="002F4EF5"/>
    <w:rsid w:val="002F6BA3"/>
    <w:rsid w:val="00302160"/>
    <w:rsid w:val="00304F8B"/>
    <w:rsid w:val="0030506F"/>
    <w:rsid w:val="00306358"/>
    <w:rsid w:val="003159BF"/>
    <w:rsid w:val="00316DF6"/>
    <w:rsid w:val="0032466B"/>
    <w:rsid w:val="00326427"/>
    <w:rsid w:val="00327250"/>
    <w:rsid w:val="00327DDF"/>
    <w:rsid w:val="00330E0A"/>
    <w:rsid w:val="00332C39"/>
    <w:rsid w:val="003354D2"/>
    <w:rsid w:val="00335BC6"/>
    <w:rsid w:val="0033699D"/>
    <w:rsid w:val="0034058F"/>
    <w:rsid w:val="003415D3"/>
    <w:rsid w:val="00344701"/>
    <w:rsid w:val="0034554C"/>
    <w:rsid w:val="003466E7"/>
    <w:rsid w:val="00350219"/>
    <w:rsid w:val="003523C2"/>
    <w:rsid w:val="003528DA"/>
    <w:rsid w:val="00352B0F"/>
    <w:rsid w:val="00353CA0"/>
    <w:rsid w:val="003554D1"/>
    <w:rsid w:val="00356690"/>
    <w:rsid w:val="00357DD0"/>
    <w:rsid w:val="00360459"/>
    <w:rsid w:val="00360C52"/>
    <w:rsid w:val="00360D42"/>
    <w:rsid w:val="003615E1"/>
    <w:rsid w:val="00361973"/>
    <w:rsid w:val="0036482C"/>
    <w:rsid w:val="00365497"/>
    <w:rsid w:val="0036678F"/>
    <w:rsid w:val="003670FD"/>
    <w:rsid w:val="00371DF9"/>
    <w:rsid w:val="003754E1"/>
    <w:rsid w:val="0038032F"/>
    <w:rsid w:val="00387034"/>
    <w:rsid w:val="00387A96"/>
    <w:rsid w:val="00390860"/>
    <w:rsid w:val="0039087F"/>
    <w:rsid w:val="00393155"/>
    <w:rsid w:val="00394ECB"/>
    <w:rsid w:val="003A2178"/>
    <w:rsid w:val="003A27B1"/>
    <w:rsid w:val="003A2A48"/>
    <w:rsid w:val="003A44AE"/>
    <w:rsid w:val="003A641B"/>
    <w:rsid w:val="003B233C"/>
    <w:rsid w:val="003B28C3"/>
    <w:rsid w:val="003B732F"/>
    <w:rsid w:val="003C5BC5"/>
    <w:rsid w:val="003C6231"/>
    <w:rsid w:val="003C6B79"/>
    <w:rsid w:val="003D0BFE"/>
    <w:rsid w:val="003D489B"/>
    <w:rsid w:val="003D5700"/>
    <w:rsid w:val="003E016F"/>
    <w:rsid w:val="003E0F99"/>
    <w:rsid w:val="003E341B"/>
    <w:rsid w:val="003E6185"/>
    <w:rsid w:val="003F3EFD"/>
    <w:rsid w:val="003F59CA"/>
    <w:rsid w:val="0040053F"/>
    <w:rsid w:val="004062C1"/>
    <w:rsid w:val="0041075A"/>
    <w:rsid w:val="004116CD"/>
    <w:rsid w:val="004144EC"/>
    <w:rsid w:val="00414F41"/>
    <w:rsid w:val="00415A67"/>
    <w:rsid w:val="00417EB9"/>
    <w:rsid w:val="0042218E"/>
    <w:rsid w:val="004236E3"/>
    <w:rsid w:val="00423A6C"/>
    <w:rsid w:val="00424429"/>
    <w:rsid w:val="00424CA9"/>
    <w:rsid w:val="00426D27"/>
    <w:rsid w:val="00426EC7"/>
    <w:rsid w:val="0042739B"/>
    <w:rsid w:val="00430A8C"/>
    <w:rsid w:val="00431E9B"/>
    <w:rsid w:val="0043277D"/>
    <w:rsid w:val="00435EEF"/>
    <w:rsid w:val="004371D0"/>
    <w:rsid w:val="004379E3"/>
    <w:rsid w:val="0044015E"/>
    <w:rsid w:val="00441365"/>
    <w:rsid w:val="00441A8E"/>
    <w:rsid w:val="0044291A"/>
    <w:rsid w:val="00442DD3"/>
    <w:rsid w:val="00443E40"/>
    <w:rsid w:val="00444ABD"/>
    <w:rsid w:val="00447877"/>
    <w:rsid w:val="00447DB4"/>
    <w:rsid w:val="0045007F"/>
    <w:rsid w:val="004553CF"/>
    <w:rsid w:val="00455BF4"/>
    <w:rsid w:val="0045656F"/>
    <w:rsid w:val="00460F1D"/>
    <w:rsid w:val="00462BF7"/>
    <w:rsid w:val="004642B6"/>
    <w:rsid w:val="00465DC1"/>
    <w:rsid w:val="00467661"/>
    <w:rsid w:val="004705B7"/>
    <w:rsid w:val="00471BA4"/>
    <w:rsid w:val="00472DBE"/>
    <w:rsid w:val="00473AE5"/>
    <w:rsid w:val="00474A19"/>
    <w:rsid w:val="00474B52"/>
    <w:rsid w:val="00477F1F"/>
    <w:rsid w:val="00481C24"/>
    <w:rsid w:val="00481F6A"/>
    <w:rsid w:val="004823C0"/>
    <w:rsid w:val="0048276B"/>
    <w:rsid w:val="0048308C"/>
    <w:rsid w:val="00492153"/>
    <w:rsid w:val="00495D4D"/>
    <w:rsid w:val="00496B5F"/>
    <w:rsid w:val="00496F97"/>
    <w:rsid w:val="004A346B"/>
    <w:rsid w:val="004A417C"/>
    <w:rsid w:val="004A44FC"/>
    <w:rsid w:val="004A5757"/>
    <w:rsid w:val="004B5B44"/>
    <w:rsid w:val="004BCAC1"/>
    <w:rsid w:val="004C0AD7"/>
    <w:rsid w:val="004C1CB1"/>
    <w:rsid w:val="004C27CC"/>
    <w:rsid w:val="004C2C6F"/>
    <w:rsid w:val="004C6546"/>
    <w:rsid w:val="004C7E4C"/>
    <w:rsid w:val="004D0309"/>
    <w:rsid w:val="004D11B7"/>
    <w:rsid w:val="004D4F85"/>
    <w:rsid w:val="004D6DB0"/>
    <w:rsid w:val="004D7ADF"/>
    <w:rsid w:val="004D7E7F"/>
    <w:rsid w:val="004E063A"/>
    <w:rsid w:val="004E24DC"/>
    <w:rsid w:val="004E2830"/>
    <w:rsid w:val="004E3A32"/>
    <w:rsid w:val="004E7BEC"/>
    <w:rsid w:val="004F4DE7"/>
    <w:rsid w:val="004F62B6"/>
    <w:rsid w:val="004F75BC"/>
    <w:rsid w:val="0050044F"/>
    <w:rsid w:val="00500701"/>
    <w:rsid w:val="00500C8D"/>
    <w:rsid w:val="0050450C"/>
    <w:rsid w:val="00505D3D"/>
    <w:rsid w:val="00506AF6"/>
    <w:rsid w:val="00507335"/>
    <w:rsid w:val="0051278E"/>
    <w:rsid w:val="00516689"/>
    <w:rsid w:val="00516B8D"/>
    <w:rsid w:val="00516CBD"/>
    <w:rsid w:val="00517E56"/>
    <w:rsid w:val="00520ED8"/>
    <w:rsid w:val="00522F9C"/>
    <w:rsid w:val="005238D0"/>
    <w:rsid w:val="005300B6"/>
    <w:rsid w:val="00532049"/>
    <w:rsid w:val="00533E0E"/>
    <w:rsid w:val="0053550E"/>
    <w:rsid w:val="005356A7"/>
    <w:rsid w:val="00536184"/>
    <w:rsid w:val="00536862"/>
    <w:rsid w:val="00537FBC"/>
    <w:rsid w:val="0054087C"/>
    <w:rsid w:val="00545FB6"/>
    <w:rsid w:val="005503E1"/>
    <w:rsid w:val="00550AC0"/>
    <w:rsid w:val="0055256A"/>
    <w:rsid w:val="005574D1"/>
    <w:rsid w:val="00561ABB"/>
    <w:rsid w:val="005657FE"/>
    <w:rsid w:val="00566451"/>
    <w:rsid w:val="00567244"/>
    <w:rsid w:val="005707F2"/>
    <w:rsid w:val="00572BB1"/>
    <w:rsid w:val="00574A46"/>
    <w:rsid w:val="0057670F"/>
    <w:rsid w:val="00577DE3"/>
    <w:rsid w:val="00583BB9"/>
    <w:rsid w:val="00583C7D"/>
    <w:rsid w:val="00584745"/>
    <w:rsid w:val="00584811"/>
    <w:rsid w:val="00585784"/>
    <w:rsid w:val="005869E9"/>
    <w:rsid w:val="00590922"/>
    <w:rsid w:val="00592809"/>
    <w:rsid w:val="0059323C"/>
    <w:rsid w:val="00593AA6"/>
    <w:rsid w:val="00594161"/>
    <w:rsid w:val="00594749"/>
    <w:rsid w:val="00595478"/>
    <w:rsid w:val="00597BB8"/>
    <w:rsid w:val="005A135E"/>
    <w:rsid w:val="005A6935"/>
    <w:rsid w:val="005B4067"/>
    <w:rsid w:val="005B510C"/>
    <w:rsid w:val="005B780C"/>
    <w:rsid w:val="005C008E"/>
    <w:rsid w:val="005C3F41"/>
    <w:rsid w:val="005C60F7"/>
    <w:rsid w:val="005D0489"/>
    <w:rsid w:val="005D124A"/>
    <w:rsid w:val="005D1770"/>
    <w:rsid w:val="005D1FEA"/>
    <w:rsid w:val="005D2D09"/>
    <w:rsid w:val="005D38DF"/>
    <w:rsid w:val="005D3D41"/>
    <w:rsid w:val="005D7F6B"/>
    <w:rsid w:val="005E0908"/>
    <w:rsid w:val="005E1368"/>
    <w:rsid w:val="005E1FF4"/>
    <w:rsid w:val="005E4810"/>
    <w:rsid w:val="005F1DB6"/>
    <w:rsid w:val="005F22FD"/>
    <w:rsid w:val="005F4140"/>
    <w:rsid w:val="005F65CD"/>
    <w:rsid w:val="005F67FB"/>
    <w:rsid w:val="00600219"/>
    <w:rsid w:val="006015CA"/>
    <w:rsid w:val="00601955"/>
    <w:rsid w:val="00603DC4"/>
    <w:rsid w:val="00605816"/>
    <w:rsid w:val="00607A71"/>
    <w:rsid w:val="00610709"/>
    <w:rsid w:val="006117CB"/>
    <w:rsid w:val="006144C0"/>
    <w:rsid w:val="006146E2"/>
    <w:rsid w:val="006150C6"/>
    <w:rsid w:val="00620076"/>
    <w:rsid w:val="00620C84"/>
    <w:rsid w:val="0062395F"/>
    <w:rsid w:val="00623C50"/>
    <w:rsid w:val="0062651C"/>
    <w:rsid w:val="00630226"/>
    <w:rsid w:val="00631EA3"/>
    <w:rsid w:val="006334DF"/>
    <w:rsid w:val="00634044"/>
    <w:rsid w:val="00640161"/>
    <w:rsid w:val="00647221"/>
    <w:rsid w:val="00652769"/>
    <w:rsid w:val="006538AF"/>
    <w:rsid w:val="0065542F"/>
    <w:rsid w:val="006554FF"/>
    <w:rsid w:val="00656288"/>
    <w:rsid w:val="00670752"/>
    <w:rsid w:val="00670EA1"/>
    <w:rsid w:val="00676E86"/>
    <w:rsid w:val="00677CC2"/>
    <w:rsid w:val="006840E0"/>
    <w:rsid w:val="006905DE"/>
    <w:rsid w:val="00690C20"/>
    <w:rsid w:val="0069207B"/>
    <w:rsid w:val="00693F29"/>
    <w:rsid w:val="006A0F06"/>
    <w:rsid w:val="006A14B0"/>
    <w:rsid w:val="006A195D"/>
    <w:rsid w:val="006A34EB"/>
    <w:rsid w:val="006A418D"/>
    <w:rsid w:val="006B245F"/>
    <w:rsid w:val="006B45EF"/>
    <w:rsid w:val="006B5789"/>
    <w:rsid w:val="006C1AF2"/>
    <w:rsid w:val="006C27BB"/>
    <w:rsid w:val="006C30C5"/>
    <w:rsid w:val="006C3F1E"/>
    <w:rsid w:val="006C48FA"/>
    <w:rsid w:val="006C5C08"/>
    <w:rsid w:val="006C7F8C"/>
    <w:rsid w:val="006D0E2B"/>
    <w:rsid w:val="006D2F52"/>
    <w:rsid w:val="006D4905"/>
    <w:rsid w:val="006D6079"/>
    <w:rsid w:val="006D70C6"/>
    <w:rsid w:val="006E0DE3"/>
    <w:rsid w:val="006E4CDD"/>
    <w:rsid w:val="006E5320"/>
    <w:rsid w:val="006E6246"/>
    <w:rsid w:val="006E6F8F"/>
    <w:rsid w:val="006F318F"/>
    <w:rsid w:val="006F4226"/>
    <w:rsid w:val="006F49EF"/>
    <w:rsid w:val="006F53D2"/>
    <w:rsid w:val="006F6F00"/>
    <w:rsid w:val="0070017E"/>
    <w:rsid w:val="00700B2C"/>
    <w:rsid w:val="00702EFD"/>
    <w:rsid w:val="007050A2"/>
    <w:rsid w:val="00707239"/>
    <w:rsid w:val="00713084"/>
    <w:rsid w:val="0071399B"/>
    <w:rsid w:val="00714F20"/>
    <w:rsid w:val="0071590F"/>
    <w:rsid w:val="00715914"/>
    <w:rsid w:val="00717219"/>
    <w:rsid w:val="00725174"/>
    <w:rsid w:val="00726804"/>
    <w:rsid w:val="0073077B"/>
    <w:rsid w:val="00730F75"/>
    <w:rsid w:val="00731E00"/>
    <w:rsid w:val="00735BDA"/>
    <w:rsid w:val="007400E6"/>
    <w:rsid w:val="00740D43"/>
    <w:rsid w:val="00741EE8"/>
    <w:rsid w:val="007440B7"/>
    <w:rsid w:val="007500C8"/>
    <w:rsid w:val="007526E9"/>
    <w:rsid w:val="00755EB6"/>
    <w:rsid w:val="00756272"/>
    <w:rsid w:val="00756DDB"/>
    <w:rsid w:val="00760210"/>
    <w:rsid w:val="00762A7E"/>
    <w:rsid w:val="00764E2C"/>
    <w:rsid w:val="00765001"/>
    <w:rsid w:val="007662B5"/>
    <w:rsid w:val="0076681A"/>
    <w:rsid w:val="007715C9"/>
    <w:rsid w:val="00771613"/>
    <w:rsid w:val="00772F3B"/>
    <w:rsid w:val="007733F3"/>
    <w:rsid w:val="00774EDD"/>
    <w:rsid w:val="0077506D"/>
    <w:rsid w:val="007757EC"/>
    <w:rsid w:val="00776A42"/>
    <w:rsid w:val="007825F0"/>
    <w:rsid w:val="00783E89"/>
    <w:rsid w:val="007842CE"/>
    <w:rsid w:val="00785379"/>
    <w:rsid w:val="007859F7"/>
    <w:rsid w:val="00785A9E"/>
    <w:rsid w:val="00793915"/>
    <w:rsid w:val="00795D79"/>
    <w:rsid w:val="007A4971"/>
    <w:rsid w:val="007B1981"/>
    <w:rsid w:val="007B2B32"/>
    <w:rsid w:val="007B33CA"/>
    <w:rsid w:val="007B42F3"/>
    <w:rsid w:val="007B450C"/>
    <w:rsid w:val="007B4C4F"/>
    <w:rsid w:val="007C2253"/>
    <w:rsid w:val="007C42B6"/>
    <w:rsid w:val="007C4525"/>
    <w:rsid w:val="007C4B5C"/>
    <w:rsid w:val="007C51D6"/>
    <w:rsid w:val="007D230B"/>
    <w:rsid w:val="007D389E"/>
    <w:rsid w:val="007E163D"/>
    <w:rsid w:val="007E667A"/>
    <w:rsid w:val="007F1115"/>
    <w:rsid w:val="007F28C9"/>
    <w:rsid w:val="007F3208"/>
    <w:rsid w:val="007F3D93"/>
    <w:rsid w:val="0080312D"/>
    <w:rsid w:val="00803587"/>
    <w:rsid w:val="008039C4"/>
    <w:rsid w:val="00804520"/>
    <w:rsid w:val="008117E9"/>
    <w:rsid w:val="00815437"/>
    <w:rsid w:val="00815545"/>
    <w:rsid w:val="00815A4D"/>
    <w:rsid w:val="008227E3"/>
    <w:rsid w:val="00824498"/>
    <w:rsid w:val="00824FCB"/>
    <w:rsid w:val="00825B8F"/>
    <w:rsid w:val="008346A0"/>
    <w:rsid w:val="00835179"/>
    <w:rsid w:val="008356AC"/>
    <w:rsid w:val="008360A4"/>
    <w:rsid w:val="00836AB5"/>
    <w:rsid w:val="00840442"/>
    <w:rsid w:val="00844B9F"/>
    <w:rsid w:val="00845ED3"/>
    <w:rsid w:val="008527C0"/>
    <w:rsid w:val="00852FA1"/>
    <w:rsid w:val="00853403"/>
    <w:rsid w:val="00853B4E"/>
    <w:rsid w:val="00855D08"/>
    <w:rsid w:val="00856A31"/>
    <w:rsid w:val="00860B58"/>
    <w:rsid w:val="00863657"/>
    <w:rsid w:val="008639B2"/>
    <w:rsid w:val="00863DEF"/>
    <w:rsid w:val="00864CBB"/>
    <w:rsid w:val="0086797E"/>
    <w:rsid w:val="00867B37"/>
    <w:rsid w:val="008718DD"/>
    <w:rsid w:val="008719ED"/>
    <w:rsid w:val="00872419"/>
    <w:rsid w:val="00872C6B"/>
    <w:rsid w:val="008748E9"/>
    <w:rsid w:val="008754D0"/>
    <w:rsid w:val="0087663A"/>
    <w:rsid w:val="0087685A"/>
    <w:rsid w:val="0087E24A"/>
    <w:rsid w:val="008855C9"/>
    <w:rsid w:val="00886456"/>
    <w:rsid w:val="008907FF"/>
    <w:rsid w:val="008927D5"/>
    <w:rsid w:val="008945E0"/>
    <w:rsid w:val="0089527F"/>
    <w:rsid w:val="008966D4"/>
    <w:rsid w:val="008A362B"/>
    <w:rsid w:val="008A46E1"/>
    <w:rsid w:val="008A4F43"/>
    <w:rsid w:val="008A7691"/>
    <w:rsid w:val="008B2706"/>
    <w:rsid w:val="008B3030"/>
    <w:rsid w:val="008B5BDD"/>
    <w:rsid w:val="008B6A8C"/>
    <w:rsid w:val="008C0F29"/>
    <w:rsid w:val="008C3638"/>
    <w:rsid w:val="008C5FAE"/>
    <w:rsid w:val="008D068F"/>
    <w:rsid w:val="008D0B74"/>
    <w:rsid w:val="008D0EE0"/>
    <w:rsid w:val="008D3422"/>
    <w:rsid w:val="008D3FDD"/>
    <w:rsid w:val="008D5DE5"/>
    <w:rsid w:val="008E0E88"/>
    <w:rsid w:val="008E47AC"/>
    <w:rsid w:val="008E6067"/>
    <w:rsid w:val="008E7294"/>
    <w:rsid w:val="008F0FAF"/>
    <w:rsid w:val="008F11E7"/>
    <w:rsid w:val="008F14EE"/>
    <w:rsid w:val="008F450A"/>
    <w:rsid w:val="008F5311"/>
    <w:rsid w:val="008F54E7"/>
    <w:rsid w:val="009016BE"/>
    <w:rsid w:val="00902976"/>
    <w:rsid w:val="0090297F"/>
    <w:rsid w:val="009029B3"/>
    <w:rsid w:val="00903422"/>
    <w:rsid w:val="00911C54"/>
    <w:rsid w:val="00912A58"/>
    <w:rsid w:val="009137A5"/>
    <w:rsid w:val="00913DD8"/>
    <w:rsid w:val="0091488A"/>
    <w:rsid w:val="009157B9"/>
    <w:rsid w:val="00915DF9"/>
    <w:rsid w:val="00921B61"/>
    <w:rsid w:val="009254C3"/>
    <w:rsid w:val="00926940"/>
    <w:rsid w:val="00927E0C"/>
    <w:rsid w:val="00930A0A"/>
    <w:rsid w:val="00932377"/>
    <w:rsid w:val="009371E8"/>
    <w:rsid w:val="00940992"/>
    <w:rsid w:val="009418EC"/>
    <w:rsid w:val="009460DC"/>
    <w:rsid w:val="00946759"/>
    <w:rsid w:val="0094760F"/>
    <w:rsid w:val="00947D5A"/>
    <w:rsid w:val="009519AF"/>
    <w:rsid w:val="009532A5"/>
    <w:rsid w:val="009546E9"/>
    <w:rsid w:val="0095496F"/>
    <w:rsid w:val="00955175"/>
    <w:rsid w:val="0095528E"/>
    <w:rsid w:val="00957E85"/>
    <w:rsid w:val="0096753E"/>
    <w:rsid w:val="00974498"/>
    <w:rsid w:val="009816FF"/>
    <w:rsid w:val="00981D5B"/>
    <w:rsid w:val="00982242"/>
    <w:rsid w:val="00984637"/>
    <w:rsid w:val="009847AE"/>
    <w:rsid w:val="009868E9"/>
    <w:rsid w:val="00990290"/>
    <w:rsid w:val="00990A27"/>
    <w:rsid w:val="00990A9C"/>
    <w:rsid w:val="009944E6"/>
    <w:rsid w:val="00996810"/>
    <w:rsid w:val="009A2319"/>
    <w:rsid w:val="009A3A6F"/>
    <w:rsid w:val="009A3F74"/>
    <w:rsid w:val="009A49C9"/>
    <w:rsid w:val="009B21D7"/>
    <w:rsid w:val="009C1294"/>
    <w:rsid w:val="009C2791"/>
    <w:rsid w:val="009C5113"/>
    <w:rsid w:val="009C52AA"/>
    <w:rsid w:val="009D1818"/>
    <w:rsid w:val="009D195A"/>
    <w:rsid w:val="009D33D1"/>
    <w:rsid w:val="009D767D"/>
    <w:rsid w:val="009D7993"/>
    <w:rsid w:val="009E464A"/>
    <w:rsid w:val="009E4F75"/>
    <w:rsid w:val="009E5CFC"/>
    <w:rsid w:val="009E75A7"/>
    <w:rsid w:val="00A010DA"/>
    <w:rsid w:val="00A0177B"/>
    <w:rsid w:val="00A02F05"/>
    <w:rsid w:val="00A03AF1"/>
    <w:rsid w:val="00A05EA7"/>
    <w:rsid w:val="00A063CD"/>
    <w:rsid w:val="00A0700D"/>
    <w:rsid w:val="00A07620"/>
    <w:rsid w:val="00A079CB"/>
    <w:rsid w:val="00A12128"/>
    <w:rsid w:val="00A12F48"/>
    <w:rsid w:val="00A13C81"/>
    <w:rsid w:val="00A14F6A"/>
    <w:rsid w:val="00A15512"/>
    <w:rsid w:val="00A15974"/>
    <w:rsid w:val="00A22C98"/>
    <w:rsid w:val="00A231E2"/>
    <w:rsid w:val="00A24B83"/>
    <w:rsid w:val="00A2678E"/>
    <w:rsid w:val="00A272E0"/>
    <w:rsid w:val="00A33D55"/>
    <w:rsid w:val="00A34412"/>
    <w:rsid w:val="00A377B3"/>
    <w:rsid w:val="00A37AAD"/>
    <w:rsid w:val="00A40424"/>
    <w:rsid w:val="00A44C99"/>
    <w:rsid w:val="00A46918"/>
    <w:rsid w:val="00A51832"/>
    <w:rsid w:val="00A5260D"/>
    <w:rsid w:val="00A52B0F"/>
    <w:rsid w:val="00A54DF7"/>
    <w:rsid w:val="00A559B3"/>
    <w:rsid w:val="00A5632E"/>
    <w:rsid w:val="00A619CE"/>
    <w:rsid w:val="00A64912"/>
    <w:rsid w:val="00A65A78"/>
    <w:rsid w:val="00A67B42"/>
    <w:rsid w:val="00A70A74"/>
    <w:rsid w:val="00A73EFA"/>
    <w:rsid w:val="00A770C7"/>
    <w:rsid w:val="00A80A10"/>
    <w:rsid w:val="00A84EDE"/>
    <w:rsid w:val="00A91966"/>
    <w:rsid w:val="00A91F62"/>
    <w:rsid w:val="00A92B20"/>
    <w:rsid w:val="00A9414B"/>
    <w:rsid w:val="00A97C27"/>
    <w:rsid w:val="00AA1D10"/>
    <w:rsid w:val="00AA3493"/>
    <w:rsid w:val="00AA5614"/>
    <w:rsid w:val="00AA66AC"/>
    <w:rsid w:val="00AB1DE8"/>
    <w:rsid w:val="00AB33A3"/>
    <w:rsid w:val="00AB5AC7"/>
    <w:rsid w:val="00AB69D9"/>
    <w:rsid w:val="00AB6BBD"/>
    <w:rsid w:val="00AC0823"/>
    <w:rsid w:val="00AC0886"/>
    <w:rsid w:val="00AC3851"/>
    <w:rsid w:val="00AC6C28"/>
    <w:rsid w:val="00AD0142"/>
    <w:rsid w:val="00AD02B8"/>
    <w:rsid w:val="00AD1F73"/>
    <w:rsid w:val="00AD2B54"/>
    <w:rsid w:val="00AD5315"/>
    <w:rsid w:val="00AD5641"/>
    <w:rsid w:val="00AD57D1"/>
    <w:rsid w:val="00AD7889"/>
    <w:rsid w:val="00AE16B3"/>
    <w:rsid w:val="00AE6ACB"/>
    <w:rsid w:val="00AE6FA7"/>
    <w:rsid w:val="00AE787B"/>
    <w:rsid w:val="00AF021B"/>
    <w:rsid w:val="00AF06CF"/>
    <w:rsid w:val="00B04305"/>
    <w:rsid w:val="00B07CDB"/>
    <w:rsid w:val="00B11979"/>
    <w:rsid w:val="00B14EDF"/>
    <w:rsid w:val="00B1523D"/>
    <w:rsid w:val="00B16A31"/>
    <w:rsid w:val="00B17DFD"/>
    <w:rsid w:val="00B17E36"/>
    <w:rsid w:val="00B235D1"/>
    <w:rsid w:val="00B27085"/>
    <w:rsid w:val="00B27951"/>
    <w:rsid w:val="00B27953"/>
    <w:rsid w:val="00B2799D"/>
    <w:rsid w:val="00B308FE"/>
    <w:rsid w:val="00B30DD7"/>
    <w:rsid w:val="00B33709"/>
    <w:rsid w:val="00B33B3C"/>
    <w:rsid w:val="00B33BD1"/>
    <w:rsid w:val="00B37FCE"/>
    <w:rsid w:val="00B4085F"/>
    <w:rsid w:val="00B42056"/>
    <w:rsid w:val="00B436FB"/>
    <w:rsid w:val="00B50ADC"/>
    <w:rsid w:val="00B54287"/>
    <w:rsid w:val="00B5588B"/>
    <w:rsid w:val="00B566B1"/>
    <w:rsid w:val="00B577C8"/>
    <w:rsid w:val="00B63834"/>
    <w:rsid w:val="00B70EF9"/>
    <w:rsid w:val="00B71480"/>
    <w:rsid w:val="00B71EAE"/>
    <w:rsid w:val="00B72734"/>
    <w:rsid w:val="00B74FF9"/>
    <w:rsid w:val="00B753CC"/>
    <w:rsid w:val="00B76704"/>
    <w:rsid w:val="00B80199"/>
    <w:rsid w:val="00B80846"/>
    <w:rsid w:val="00B8181D"/>
    <w:rsid w:val="00B82D81"/>
    <w:rsid w:val="00B83204"/>
    <w:rsid w:val="00B835BD"/>
    <w:rsid w:val="00B87097"/>
    <w:rsid w:val="00B87100"/>
    <w:rsid w:val="00B9126E"/>
    <w:rsid w:val="00BA220B"/>
    <w:rsid w:val="00BA3A57"/>
    <w:rsid w:val="00BA50CD"/>
    <w:rsid w:val="00BA58D7"/>
    <w:rsid w:val="00BA745F"/>
    <w:rsid w:val="00BA7F31"/>
    <w:rsid w:val="00BB121A"/>
    <w:rsid w:val="00BB4DB6"/>
    <w:rsid w:val="00BB4E1A"/>
    <w:rsid w:val="00BB5C17"/>
    <w:rsid w:val="00BC015E"/>
    <w:rsid w:val="00BC7183"/>
    <w:rsid w:val="00BC76AC"/>
    <w:rsid w:val="00BD0ECB"/>
    <w:rsid w:val="00BD5313"/>
    <w:rsid w:val="00BE12BE"/>
    <w:rsid w:val="00BE2155"/>
    <w:rsid w:val="00BE2213"/>
    <w:rsid w:val="00BE386C"/>
    <w:rsid w:val="00BE49E4"/>
    <w:rsid w:val="00BE6EF9"/>
    <w:rsid w:val="00BE719A"/>
    <w:rsid w:val="00BE720A"/>
    <w:rsid w:val="00BF0D73"/>
    <w:rsid w:val="00BF2465"/>
    <w:rsid w:val="00BF34FD"/>
    <w:rsid w:val="00BF75C9"/>
    <w:rsid w:val="00C02187"/>
    <w:rsid w:val="00C0544A"/>
    <w:rsid w:val="00C060B2"/>
    <w:rsid w:val="00C06AA5"/>
    <w:rsid w:val="00C06AC9"/>
    <w:rsid w:val="00C11452"/>
    <w:rsid w:val="00C12AB2"/>
    <w:rsid w:val="00C13919"/>
    <w:rsid w:val="00C1640F"/>
    <w:rsid w:val="00C17457"/>
    <w:rsid w:val="00C22AE4"/>
    <w:rsid w:val="00C23FF9"/>
    <w:rsid w:val="00C25C78"/>
    <w:rsid w:val="00C25E7F"/>
    <w:rsid w:val="00C2746F"/>
    <w:rsid w:val="00C324A0"/>
    <w:rsid w:val="00C3300F"/>
    <w:rsid w:val="00C34E77"/>
    <w:rsid w:val="00C35875"/>
    <w:rsid w:val="00C35D9B"/>
    <w:rsid w:val="00C35DAF"/>
    <w:rsid w:val="00C40852"/>
    <w:rsid w:val="00C4170B"/>
    <w:rsid w:val="00C42BF8"/>
    <w:rsid w:val="00C45171"/>
    <w:rsid w:val="00C471F6"/>
    <w:rsid w:val="00C47D01"/>
    <w:rsid w:val="00C50043"/>
    <w:rsid w:val="00C50B97"/>
    <w:rsid w:val="00C52E7C"/>
    <w:rsid w:val="00C53FCE"/>
    <w:rsid w:val="00C560A9"/>
    <w:rsid w:val="00C605DD"/>
    <w:rsid w:val="00C6434E"/>
    <w:rsid w:val="00C64631"/>
    <w:rsid w:val="00C67D7F"/>
    <w:rsid w:val="00C70CA8"/>
    <w:rsid w:val="00C7573B"/>
    <w:rsid w:val="00C75995"/>
    <w:rsid w:val="00C75E22"/>
    <w:rsid w:val="00C771F6"/>
    <w:rsid w:val="00C7761F"/>
    <w:rsid w:val="00C86B32"/>
    <w:rsid w:val="00C870EF"/>
    <w:rsid w:val="00C8773D"/>
    <w:rsid w:val="00C90273"/>
    <w:rsid w:val="00C90B36"/>
    <w:rsid w:val="00C93C03"/>
    <w:rsid w:val="00C94AB5"/>
    <w:rsid w:val="00C97747"/>
    <w:rsid w:val="00CA344A"/>
    <w:rsid w:val="00CA3F87"/>
    <w:rsid w:val="00CA66DC"/>
    <w:rsid w:val="00CB2C8E"/>
    <w:rsid w:val="00CB2D96"/>
    <w:rsid w:val="00CB38D9"/>
    <w:rsid w:val="00CB602E"/>
    <w:rsid w:val="00CC0802"/>
    <w:rsid w:val="00CC3AEC"/>
    <w:rsid w:val="00CC4145"/>
    <w:rsid w:val="00CC70A0"/>
    <w:rsid w:val="00CD169B"/>
    <w:rsid w:val="00CD2E90"/>
    <w:rsid w:val="00CD3A6F"/>
    <w:rsid w:val="00CD43E0"/>
    <w:rsid w:val="00CD7E4F"/>
    <w:rsid w:val="00CE0149"/>
    <w:rsid w:val="00CE03CE"/>
    <w:rsid w:val="00CE051D"/>
    <w:rsid w:val="00CE1335"/>
    <w:rsid w:val="00CE1543"/>
    <w:rsid w:val="00CE3D2A"/>
    <w:rsid w:val="00CE493D"/>
    <w:rsid w:val="00CE541A"/>
    <w:rsid w:val="00CE6D42"/>
    <w:rsid w:val="00CE7640"/>
    <w:rsid w:val="00CF07FA"/>
    <w:rsid w:val="00CF0BB2"/>
    <w:rsid w:val="00CF3CC5"/>
    <w:rsid w:val="00CF3EE8"/>
    <w:rsid w:val="00CF5313"/>
    <w:rsid w:val="00D002A7"/>
    <w:rsid w:val="00D03010"/>
    <w:rsid w:val="00D050E6"/>
    <w:rsid w:val="00D07D73"/>
    <w:rsid w:val="00D13441"/>
    <w:rsid w:val="00D150E7"/>
    <w:rsid w:val="00D16DB5"/>
    <w:rsid w:val="00D20A4B"/>
    <w:rsid w:val="00D306F8"/>
    <w:rsid w:val="00D32400"/>
    <w:rsid w:val="00D32F65"/>
    <w:rsid w:val="00D341C4"/>
    <w:rsid w:val="00D359D9"/>
    <w:rsid w:val="00D41A47"/>
    <w:rsid w:val="00D442A2"/>
    <w:rsid w:val="00D52DC2"/>
    <w:rsid w:val="00D53BCC"/>
    <w:rsid w:val="00D558B5"/>
    <w:rsid w:val="00D57664"/>
    <w:rsid w:val="00D648BB"/>
    <w:rsid w:val="00D702DE"/>
    <w:rsid w:val="00D70DFB"/>
    <w:rsid w:val="00D732EC"/>
    <w:rsid w:val="00D73C22"/>
    <w:rsid w:val="00D73D10"/>
    <w:rsid w:val="00D766DF"/>
    <w:rsid w:val="00D8090A"/>
    <w:rsid w:val="00D84076"/>
    <w:rsid w:val="00D84434"/>
    <w:rsid w:val="00D86206"/>
    <w:rsid w:val="00D9370E"/>
    <w:rsid w:val="00DA186E"/>
    <w:rsid w:val="00DA26AB"/>
    <w:rsid w:val="00DA4116"/>
    <w:rsid w:val="00DA5526"/>
    <w:rsid w:val="00DB251C"/>
    <w:rsid w:val="00DB38AD"/>
    <w:rsid w:val="00DB4630"/>
    <w:rsid w:val="00DB51FD"/>
    <w:rsid w:val="00DB6C0A"/>
    <w:rsid w:val="00DB75D2"/>
    <w:rsid w:val="00DC1135"/>
    <w:rsid w:val="00DC4445"/>
    <w:rsid w:val="00DC4F88"/>
    <w:rsid w:val="00DC6912"/>
    <w:rsid w:val="00DE0A85"/>
    <w:rsid w:val="00DE21AA"/>
    <w:rsid w:val="00DE79F9"/>
    <w:rsid w:val="00DF00D9"/>
    <w:rsid w:val="00DF1859"/>
    <w:rsid w:val="00DF3533"/>
    <w:rsid w:val="00DF443C"/>
    <w:rsid w:val="00DF5E47"/>
    <w:rsid w:val="00E03BCB"/>
    <w:rsid w:val="00E05704"/>
    <w:rsid w:val="00E06CC3"/>
    <w:rsid w:val="00E104F6"/>
    <w:rsid w:val="00E11E44"/>
    <w:rsid w:val="00E121AC"/>
    <w:rsid w:val="00E124E4"/>
    <w:rsid w:val="00E13AFA"/>
    <w:rsid w:val="00E17B30"/>
    <w:rsid w:val="00E2168B"/>
    <w:rsid w:val="00E21F03"/>
    <w:rsid w:val="00E230E2"/>
    <w:rsid w:val="00E24565"/>
    <w:rsid w:val="00E25C65"/>
    <w:rsid w:val="00E311F8"/>
    <w:rsid w:val="00E338EF"/>
    <w:rsid w:val="00E368CC"/>
    <w:rsid w:val="00E3751D"/>
    <w:rsid w:val="00E40D36"/>
    <w:rsid w:val="00E40FF8"/>
    <w:rsid w:val="00E42E76"/>
    <w:rsid w:val="00E4633A"/>
    <w:rsid w:val="00E5068D"/>
    <w:rsid w:val="00E544BB"/>
    <w:rsid w:val="00E578EC"/>
    <w:rsid w:val="00E5790C"/>
    <w:rsid w:val="00E57AFE"/>
    <w:rsid w:val="00E60423"/>
    <w:rsid w:val="00E634D5"/>
    <w:rsid w:val="00E649D7"/>
    <w:rsid w:val="00E662CB"/>
    <w:rsid w:val="00E74B1F"/>
    <w:rsid w:val="00E74DC7"/>
    <w:rsid w:val="00E8075A"/>
    <w:rsid w:val="00E818A6"/>
    <w:rsid w:val="00E825E8"/>
    <w:rsid w:val="00E85A91"/>
    <w:rsid w:val="00E87718"/>
    <w:rsid w:val="00E94D5E"/>
    <w:rsid w:val="00E95559"/>
    <w:rsid w:val="00EA0BF6"/>
    <w:rsid w:val="00EA17A6"/>
    <w:rsid w:val="00EA6113"/>
    <w:rsid w:val="00EA7100"/>
    <w:rsid w:val="00EA7F9F"/>
    <w:rsid w:val="00EB0404"/>
    <w:rsid w:val="00EB0986"/>
    <w:rsid w:val="00EB0E70"/>
    <w:rsid w:val="00EB1274"/>
    <w:rsid w:val="00EB4069"/>
    <w:rsid w:val="00EB471A"/>
    <w:rsid w:val="00EC4757"/>
    <w:rsid w:val="00EC4D40"/>
    <w:rsid w:val="00EC7EDB"/>
    <w:rsid w:val="00ED14FB"/>
    <w:rsid w:val="00ED2BB6"/>
    <w:rsid w:val="00ED34E1"/>
    <w:rsid w:val="00ED358A"/>
    <w:rsid w:val="00ED3A4D"/>
    <w:rsid w:val="00ED3B8D"/>
    <w:rsid w:val="00ED6B2A"/>
    <w:rsid w:val="00ED71F7"/>
    <w:rsid w:val="00ED796D"/>
    <w:rsid w:val="00EE04AB"/>
    <w:rsid w:val="00EE1174"/>
    <w:rsid w:val="00EE5AA2"/>
    <w:rsid w:val="00EE60CE"/>
    <w:rsid w:val="00EE713D"/>
    <w:rsid w:val="00EE7219"/>
    <w:rsid w:val="00EF15D3"/>
    <w:rsid w:val="00EF293A"/>
    <w:rsid w:val="00EF2E3A"/>
    <w:rsid w:val="00EF56A5"/>
    <w:rsid w:val="00F00214"/>
    <w:rsid w:val="00F02EF9"/>
    <w:rsid w:val="00F03BB5"/>
    <w:rsid w:val="00F047D8"/>
    <w:rsid w:val="00F06FCE"/>
    <w:rsid w:val="00F072A7"/>
    <w:rsid w:val="00F078DC"/>
    <w:rsid w:val="00F14593"/>
    <w:rsid w:val="00F152A3"/>
    <w:rsid w:val="00F171A1"/>
    <w:rsid w:val="00F252D2"/>
    <w:rsid w:val="00F32BA8"/>
    <w:rsid w:val="00F337CA"/>
    <w:rsid w:val="00F33FD8"/>
    <w:rsid w:val="00F344C1"/>
    <w:rsid w:val="00F349F1"/>
    <w:rsid w:val="00F34A5C"/>
    <w:rsid w:val="00F361D8"/>
    <w:rsid w:val="00F41989"/>
    <w:rsid w:val="00F4215A"/>
    <w:rsid w:val="00F4350D"/>
    <w:rsid w:val="00F451A4"/>
    <w:rsid w:val="00F45C97"/>
    <w:rsid w:val="00F46947"/>
    <w:rsid w:val="00F50532"/>
    <w:rsid w:val="00F518FE"/>
    <w:rsid w:val="00F52CA6"/>
    <w:rsid w:val="00F55D90"/>
    <w:rsid w:val="00F567F7"/>
    <w:rsid w:val="00F56FA8"/>
    <w:rsid w:val="00F60A7C"/>
    <w:rsid w:val="00F61A66"/>
    <w:rsid w:val="00F61B09"/>
    <w:rsid w:val="00F62036"/>
    <w:rsid w:val="00F62489"/>
    <w:rsid w:val="00F62DD3"/>
    <w:rsid w:val="00F6369B"/>
    <w:rsid w:val="00F64DE7"/>
    <w:rsid w:val="00F65B52"/>
    <w:rsid w:val="00F67BCA"/>
    <w:rsid w:val="00F7185A"/>
    <w:rsid w:val="00F73BD6"/>
    <w:rsid w:val="00F73D6E"/>
    <w:rsid w:val="00F77B37"/>
    <w:rsid w:val="00F800C9"/>
    <w:rsid w:val="00F83989"/>
    <w:rsid w:val="00F85099"/>
    <w:rsid w:val="00F85540"/>
    <w:rsid w:val="00F87E83"/>
    <w:rsid w:val="00F9348E"/>
    <w:rsid w:val="00F936E6"/>
    <w:rsid w:val="00F9379C"/>
    <w:rsid w:val="00F94A16"/>
    <w:rsid w:val="00F9632C"/>
    <w:rsid w:val="00F96434"/>
    <w:rsid w:val="00FA13A8"/>
    <w:rsid w:val="00FA1E52"/>
    <w:rsid w:val="00FA2D0C"/>
    <w:rsid w:val="00FA31DE"/>
    <w:rsid w:val="00FA76FD"/>
    <w:rsid w:val="00FA7D17"/>
    <w:rsid w:val="00FB5985"/>
    <w:rsid w:val="00FB6A07"/>
    <w:rsid w:val="00FC0BEF"/>
    <w:rsid w:val="00FC3EB8"/>
    <w:rsid w:val="00FC6D88"/>
    <w:rsid w:val="00FC7D25"/>
    <w:rsid w:val="00FD13CC"/>
    <w:rsid w:val="00FD2E53"/>
    <w:rsid w:val="00FE17E4"/>
    <w:rsid w:val="00FE2326"/>
    <w:rsid w:val="00FE2FB8"/>
    <w:rsid w:val="00FE4688"/>
    <w:rsid w:val="00FE72D6"/>
    <w:rsid w:val="00FE79D0"/>
    <w:rsid w:val="00FF09B7"/>
    <w:rsid w:val="00FF1B40"/>
    <w:rsid w:val="00FF3858"/>
    <w:rsid w:val="00FF7AD5"/>
    <w:rsid w:val="016FC45B"/>
    <w:rsid w:val="0290728D"/>
    <w:rsid w:val="03058A1F"/>
    <w:rsid w:val="034EB690"/>
    <w:rsid w:val="0498CA01"/>
    <w:rsid w:val="05B120A9"/>
    <w:rsid w:val="05D858B5"/>
    <w:rsid w:val="06174143"/>
    <w:rsid w:val="06795FBC"/>
    <w:rsid w:val="0689B334"/>
    <w:rsid w:val="0698446D"/>
    <w:rsid w:val="06A75290"/>
    <w:rsid w:val="06EBBD3F"/>
    <w:rsid w:val="07184A77"/>
    <w:rsid w:val="0743566A"/>
    <w:rsid w:val="07501863"/>
    <w:rsid w:val="077912F4"/>
    <w:rsid w:val="07A845A9"/>
    <w:rsid w:val="07CBAD5C"/>
    <w:rsid w:val="09F9589F"/>
    <w:rsid w:val="0AAA7778"/>
    <w:rsid w:val="0ABAB605"/>
    <w:rsid w:val="0AF02226"/>
    <w:rsid w:val="0BA6736A"/>
    <w:rsid w:val="0BB9829B"/>
    <w:rsid w:val="0BBAAFF2"/>
    <w:rsid w:val="0C1F6863"/>
    <w:rsid w:val="0D4EAD36"/>
    <w:rsid w:val="0DBCBF35"/>
    <w:rsid w:val="0E8F1AEB"/>
    <w:rsid w:val="0F062360"/>
    <w:rsid w:val="0F138804"/>
    <w:rsid w:val="0F8473B7"/>
    <w:rsid w:val="0FBA1AF8"/>
    <w:rsid w:val="1010CFAF"/>
    <w:rsid w:val="10607C96"/>
    <w:rsid w:val="10E3B7DF"/>
    <w:rsid w:val="1104826D"/>
    <w:rsid w:val="111C819A"/>
    <w:rsid w:val="1241FC82"/>
    <w:rsid w:val="126F4CEA"/>
    <w:rsid w:val="1329830C"/>
    <w:rsid w:val="13B38E8D"/>
    <w:rsid w:val="142C5CB6"/>
    <w:rsid w:val="14A5E3C6"/>
    <w:rsid w:val="14B98856"/>
    <w:rsid w:val="156C030C"/>
    <w:rsid w:val="15C7D182"/>
    <w:rsid w:val="161C2F67"/>
    <w:rsid w:val="16945878"/>
    <w:rsid w:val="169F61B7"/>
    <w:rsid w:val="16D432D6"/>
    <w:rsid w:val="1702CAD9"/>
    <w:rsid w:val="17A86043"/>
    <w:rsid w:val="17ADCCEC"/>
    <w:rsid w:val="17D52AD9"/>
    <w:rsid w:val="18802C70"/>
    <w:rsid w:val="18F34E99"/>
    <w:rsid w:val="1900CB3C"/>
    <w:rsid w:val="1919905D"/>
    <w:rsid w:val="19290E03"/>
    <w:rsid w:val="19BA8B50"/>
    <w:rsid w:val="1A147BDE"/>
    <w:rsid w:val="1A5715F7"/>
    <w:rsid w:val="1ACC7472"/>
    <w:rsid w:val="1AF1CA9D"/>
    <w:rsid w:val="1B52746D"/>
    <w:rsid w:val="1BAB7CDE"/>
    <w:rsid w:val="1C1F7AE1"/>
    <w:rsid w:val="1C5AB8AB"/>
    <w:rsid w:val="1D446D91"/>
    <w:rsid w:val="1D46DEAF"/>
    <w:rsid w:val="1D84C499"/>
    <w:rsid w:val="1DB6D750"/>
    <w:rsid w:val="1DF4C546"/>
    <w:rsid w:val="1DF4F93B"/>
    <w:rsid w:val="1E00E139"/>
    <w:rsid w:val="1E385165"/>
    <w:rsid w:val="1EB4A4B4"/>
    <w:rsid w:val="1ED2804B"/>
    <w:rsid w:val="1EE00F94"/>
    <w:rsid w:val="1F323CE1"/>
    <w:rsid w:val="21229753"/>
    <w:rsid w:val="2141D027"/>
    <w:rsid w:val="215809AF"/>
    <w:rsid w:val="21A1D1DA"/>
    <w:rsid w:val="21F668C7"/>
    <w:rsid w:val="237145EF"/>
    <w:rsid w:val="23989C3C"/>
    <w:rsid w:val="2462EB59"/>
    <w:rsid w:val="246F6A6A"/>
    <w:rsid w:val="24A64807"/>
    <w:rsid w:val="256D161F"/>
    <w:rsid w:val="259876A1"/>
    <w:rsid w:val="25A46190"/>
    <w:rsid w:val="25C3AAE3"/>
    <w:rsid w:val="25E6BBED"/>
    <w:rsid w:val="267FD1A8"/>
    <w:rsid w:val="271DF25C"/>
    <w:rsid w:val="27A1EFD6"/>
    <w:rsid w:val="27CF38B9"/>
    <w:rsid w:val="2878B43D"/>
    <w:rsid w:val="29E8AC3B"/>
    <w:rsid w:val="2A09C83C"/>
    <w:rsid w:val="2A742284"/>
    <w:rsid w:val="2AD7BA8D"/>
    <w:rsid w:val="2B910EB5"/>
    <w:rsid w:val="2B9485C8"/>
    <w:rsid w:val="2CDB79B9"/>
    <w:rsid w:val="2D1A533A"/>
    <w:rsid w:val="2D565459"/>
    <w:rsid w:val="2DAEC47F"/>
    <w:rsid w:val="2EB28AFD"/>
    <w:rsid w:val="2F581DCD"/>
    <w:rsid w:val="2FEB0DB2"/>
    <w:rsid w:val="30618278"/>
    <w:rsid w:val="30729C89"/>
    <w:rsid w:val="307E8270"/>
    <w:rsid w:val="310A3A1D"/>
    <w:rsid w:val="31304765"/>
    <w:rsid w:val="319F3031"/>
    <w:rsid w:val="31D2DD5A"/>
    <w:rsid w:val="31E2776F"/>
    <w:rsid w:val="324F2C96"/>
    <w:rsid w:val="327B12E7"/>
    <w:rsid w:val="32B00273"/>
    <w:rsid w:val="33A6F0F3"/>
    <w:rsid w:val="33B191D2"/>
    <w:rsid w:val="34457D57"/>
    <w:rsid w:val="345D494A"/>
    <w:rsid w:val="34C9B042"/>
    <w:rsid w:val="355C8909"/>
    <w:rsid w:val="36774E7E"/>
    <w:rsid w:val="36FAA387"/>
    <w:rsid w:val="370F747D"/>
    <w:rsid w:val="377EADDA"/>
    <w:rsid w:val="37C7023E"/>
    <w:rsid w:val="37F2A5E3"/>
    <w:rsid w:val="38FB6FFA"/>
    <w:rsid w:val="3949ADCC"/>
    <w:rsid w:val="394F889F"/>
    <w:rsid w:val="3A03CF6D"/>
    <w:rsid w:val="3A5F3DBA"/>
    <w:rsid w:val="3AFD7F70"/>
    <w:rsid w:val="3C5037CD"/>
    <w:rsid w:val="3C7AD85F"/>
    <w:rsid w:val="3CE7159C"/>
    <w:rsid w:val="3D075DB0"/>
    <w:rsid w:val="3D5251CF"/>
    <w:rsid w:val="3DE828D9"/>
    <w:rsid w:val="3E24BF92"/>
    <w:rsid w:val="3E3B6D88"/>
    <w:rsid w:val="3F03CB62"/>
    <w:rsid w:val="3FEC9C65"/>
    <w:rsid w:val="3FFEF507"/>
    <w:rsid w:val="40BB5760"/>
    <w:rsid w:val="41294260"/>
    <w:rsid w:val="412E5DDC"/>
    <w:rsid w:val="414A00C7"/>
    <w:rsid w:val="4210B4C9"/>
    <w:rsid w:val="422E27DD"/>
    <w:rsid w:val="4237E053"/>
    <w:rsid w:val="42735C8C"/>
    <w:rsid w:val="42781010"/>
    <w:rsid w:val="43846298"/>
    <w:rsid w:val="43BE0806"/>
    <w:rsid w:val="43F486EF"/>
    <w:rsid w:val="44762399"/>
    <w:rsid w:val="44A50EF1"/>
    <w:rsid w:val="4503F37C"/>
    <w:rsid w:val="455F7020"/>
    <w:rsid w:val="45D29594"/>
    <w:rsid w:val="45E81745"/>
    <w:rsid w:val="46373B7C"/>
    <w:rsid w:val="470E2D91"/>
    <w:rsid w:val="47178E10"/>
    <w:rsid w:val="47274FB2"/>
    <w:rsid w:val="477B00A8"/>
    <w:rsid w:val="4785B7CC"/>
    <w:rsid w:val="480D9082"/>
    <w:rsid w:val="48F17467"/>
    <w:rsid w:val="4924104B"/>
    <w:rsid w:val="49F2E448"/>
    <w:rsid w:val="4A039AFE"/>
    <w:rsid w:val="4A1FB4C0"/>
    <w:rsid w:val="4A573543"/>
    <w:rsid w:val="4B21AC59"/>
    <w:rsid w:val="4B3D15C3"/>
    <w:rsid w:val="4B6A2552"/>
    <w:rsid w:val="4C597A15"/>
    <w:rsid w:val="4C953A9A"/>
    <w:rsid w:val="4CC20A3F"/>
    <w:rsid w:val="4D3D7911"/>
    <w:rsid w:val="4D8480FB"/>
    <w:rsid w:val="4DFBFCB1"/>
    <w:rsid w:val="4E75829E"/>
    <w:rsid w:val="4F525FAC"/>
    <w:rsid w:val="4F669B06"/>
    <w:rsid w:val="500A72D5"/>
    <w:rsid w:val="515704F1"/>
    <w:rsid w:val="51A349E7"/>
    <w:rsid w:val="51D303AE"/>
    <w:rsid w:val="524328A0"/>
    <w:rsid w:val="5263E9E6"/>
    <w:rsid w:val="537578B6"/>
    <w:rsid w:val="53E1A81B"/>
    <w:rsid w:val="543775A1"/>
    <w:rsid w:val="5503BAB9"/>
    <w:rsid w:val="560ED38E"/>
    <w:rsid w:val="562CCDD8"/>
    <w:rsid w:val="57126B6B"/>
    <w:rsid w:val="57B8CF3E"/>
    <w:rsid w:val="57C32D06"/>
    <w:rsid w:val="58696684"/>
    <w:rsid w:val="58A02C0D"/>
    <w:rsid w:val="58FCBE89"/>
    <w:rsid w:val="5901B36D"/>
    <w:rsid w:val="594CB5FD"/>
    <w:rsid w:val="5A222A6D"/>
    <w:rsid w:val="5A669E15"/>
    <w:rsid w:val="5AF928BF"/>
    <w:rsid w:val="5B2969A8"/>
    <w:rsid w:val="5B3720BB"/>
    <w:rsid w:val="5B3E3AF2"/>
    <w:rsid w:val="5C7C4B16"/>
    <w:rsid w:val="5C838ECE"/>
    <w:rsid w:val="5CB44BD6"/>
    <w:rsid w:val="5CCB42AA"/>
    <w:rsid w:val="5D808B49"/>
    <w:rsid w:val="5D8EA41B"/>
    <w:rsid w:val="5DEE4057"/>
    <w:rsid w:val="5E73DCB5"/>
    <w:rsid w:val="5ED31899"/>
    <w:rsid w:val="5F110606"/>
    <w:rsid w:val="5FAC1B77"/>
    <w:rsid w:val="600A9512"/>
    <w:rsid w:val="6044E923"/>
    <w:rsid w:val="60B35FC9"/>
    <w:rsid w:val="611BF0D5"/>
    <w:rsid w:val="61295303"/>
    <w:rsid w:val="61610A04"/>
    <w:rsid w:val="61BC3992"/>
    <w:rsid w:val="61E8D8FD"/>
    <w:rsid w:val="634CAB0D"/>
    <w:rsid w:val="63B8EF15"/>
    <w:rsid w:val="641EE56D"/>
    <w:rsid w:val="645AB242"/>
    <w:rsid w:val="650498F8"/>
    <w:rsid w:val="6546BFF1"/>
    <w:rsid w:val="65A0BFD5"/>
    <w:rsid w:val="65F67E5F"/>
    <w:rsid w:val="660546FB"/>
    <w:rsid w:val="6626929E"/>
    <w:rsid w:val="6664CA57"/>
    <w:rsid w:val="674102C8"/>
    <w:rsid w:val="6761BB93"/>
    <w:rsid w:val="6789D3A2"/>
    <w:rsid w:val="67C907C7"/>
    <w:rsid w:val="6838C4C9"/>
    <w:rsid w:val="6895C175"/>
    <w:rsid w:val="68D3F258"/>
    <w:rsid w:val="690A6182"/>
    <w:rsid w:val="69127DDC"/>
    <w:rsid w:val="69867E93"/>
    <w:rsid w:val="69D5BAD5"/>
    <w:rsid w:val="69E58E5C"/>
    <w:rsid w:val="69FB823F"/>
    <w:rsid w:val="6A871A8D"/>
    <w:rsid w:val="6A87F928"/>
    <w:rsid w:val="6AB379A6"/>
    <w:rsid w:val="6ACAFCD1"/>
    <w:rsid w:val="6B1B58FC"/>
    <w:rsid w:val="6B43E361"/>
    <w:rsid w:val="6C73A46D"/>
    <w:rsid w:val="6C84143B"/>
    <w:rsid w:val="6CBE2197"/>
    <w:rsid w:val="6D454700"/>
    <w:rsid w:val="6D5D5B61"/>
    <w:rsid w:val="6DD7AF98"/>
    <w:rsid w:val="70056E20"/>
    <w:rsid w:val="70A30546"/>
    <w:rsid w:val="70CA3E11"/>
    <w:rsid w:val="70E3131C"/>
    <w:rsid w:val="70ED9CC9"/>
    <w:rsid w:val="713541C3"/>
    <w:rsid w:val="71533D70"/>
    <w:rsid w:val="71783365"/>
    <w:rsid w:val="725ACDAC"/>
    <w:rsid w:val="73159004"/>
    <w:rsid w:val="73B8ADE1"/>
    <w:rsid w:val="73B8D901"/>
    <w:rsid w:val="73E2D611"/>
    <w:rsid w:val="73F9964B"/>
    <w:rsid w:val="74CC0A72"/>
    <w:rsid w:val="7528D1ED"/>
    <w:rsid w:val="75BDAFBB"/>
    <w:rsid w:val="75C821AA"/>
    <w:rsid w:val="75DA3E67"/>
    <w:rsid w:val="75EA0FC9"/>
    <w:rsid w:val="779E6CF0"/>
    <w:rsid w:val="7803ACC5"/>
    <w:rsid w:val="7823DD6D"/>
    <w:rsid w:val="783F5701"/>
    <w:rsid w:val="78410E33"/>
    <w:rsid w:val="785D5FF4"/>
    <w:rsid w:val="7968D198"/>
    <w:rsid w:val="796E9507"/>
    <w:rsid w:val="799E63FC"/>
    <w:rsid w:val="7A703927"/>
    <w:rsid w:val="7A9D4579"/>
    <w:rsid w:val="7AD19001"/>
    <w:rsid w:val="7AE04FB7"/>
    <w:rsid w:val="7B2DDE85"/>
    <w:rsid w:val="7BA3C1BC"/>
    <w:rsid w:val="7BAB1973"/>
    <w:rsid w:val="7C055111"/>
    <w:rsid w:val="7C11827C"/>
    <w:rsid w:val="7D6E57C2"/>
    <w:rsid w:val="7D997632"/>
    <w:rsid w:val="7DC91A94"/>
    <w:rsid w:val="7DE838BE"/>
    <w:rsid w:val="7E783B7E"/>
    <w:rsid w:val="7EC1C276"/>
    <w:rsid w:val="7EF58BC6"/>
    <w:rsid w:val="7F7558DA"/>
    <w:rsid w:val="7FE1C2A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A39DB"/>
  <w15:chartTrackingRefBased/>
  <w15:docId w15:val="{93883728-9328-4B07-86D2-D6C3B5EF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F65CD"/>
    <w:pPr>
      <w:spacing w:line="260" w:lineRule="atLeast"/>
    </w:pPr>
    <w:rPr>
      <w:sz w:val="22"/>
      <w:lang w:eastAsia="en-US"/>
    </w:rPr>
  </w:style>
  <w:style w:type="paragraph" w:styleId="Heading1">
    <w:name w:val="heading 1"/>
    <w:basedOn w:val="Normal"/>
    <w:next w:val="Normal"/>
    <w:link w:val="Heading1Char"/>
    <w:uiPriority w:val="9"/>
    <w:qFormat/>
    <w:rsid w:val="008945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8945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8945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8945E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8945E0"/>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8945E0"/>
    <w:pPr>
      <w:spacing w:before="240" w:after="60"/>
      <w:outlineLvl w:val="5"/>
    </w:pPr>
    <w:rPr>
      <w:rFonts w:ascii="Calibri" w:eastAsia="Times New Roman" w:hAnsi="Calibri"/>
      <w:b/>
      <w:bCs/>
      <w:szCs w:val="22"/>
    </w:rPr>
  </w:style>
  <w:style w:type="paragraph" w:styleId="Heading7">
    <w:name w:val="heading 7"/>
    <w:basedOn w:val="Normal"/>
    <w:next w:val="Normal"/>
    <w:link w:val="Heading7Char"/>
    <w:uiPriority w:val="9"/>
    <w:semiHidden/>
    <w:unhideWhenUsed/>
    <w:qFormat/>
    <w:rsid w:val="008945E0"/>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8945E0"/>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8945E0"/>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61B09"/>
  </w:style>
  <w:style w:type="paragraph" w:customStyle="1" w:styleId="OPCParaBase">
    <w:name w:val="OPCParaBase"/>
    <w:link w:val="OPCParaBaseChar"/>
    <w:semiHidden/>
    <w:qFormat/>
    <w:rsid w:val="00F61B09"/>
    <w:pPr>
      <w:spacing w:line="260" w:lineRule="atLeast"/>
    </w:pPr>
    <w:rPr>
      <w:rFonts w:eastAsia="Times New Roman"/>
      <w:sz w:val="22"/>
    </w:rPr>
  </w:style>
  <w:style w:type="paragraph" w:customStyle="1" w:styleId="LI-Title">
    <w:name w:val="LI - Title"/>
    <w:basedOn w:val="OPCParaBase"/>
    <w:next w:val="Normal"/>
    <w:qFormat/>
    <w:rsid w:val="00243EC0"/>
    <w:pPr>
      <w:pBdr>
        <w:top w:val="single" w:sz="4" w:space="1" w:color="auto"/>
      </w:pBdr>
      <w:spacing w:line="240" w:lineRule="auto"/>
    </w:pPr>
    <w:rPr>
      <w:b/>
      <w:sz w:val="40"/>
    </w:rPr>
  </w:style>
  <w:style w:type="paragraph" w:customStyle="1" w:styleId="ActHead1">
    <w:name w:val="ActHead 1"/>
    <w:aliases w:val="c"/>
    <w:basedOn w:val="OPCParaBase"/>
    <w:next w:val="Normal"/>
    <w:semiHidden/>
    <w:rsid w:val="00F61B09"/>
    <w:pPr>
      <w:keepNext/>
      <w:keepLines/>
      <w:spacing w:line="240" w:lineRule="auto"/>
      <w:ind w:left="1134" w:hanging="1134"/>
      <w:outlineLvl w:val="0"/>
    </w:pPr>
    <w:rPr>
      <w:b/>
      <w:kern w:val="28"/>
      <w:sz w:val="36"/>
    </w:rPr>
  </w:style>
  <w:style w:type="paragraph" w:customStyle="1" w:styleId="LI-Heading1">
    <w:name w:val="LI - Heading 1"/>
    <w:basedOn w:val="OPCParaBase"/>
    <w:next w:val="ActHead3"/>
    <w:qFormat/>
    <w:rsid w:val="0040053F"/>
    <w:pPr>
      <w:keepNext/>
      <w:keepLines/>
      <w:spacing w:before="280" w:line="240" w:lineRule="auto"/>
      <w:ind w:left="1134" w:hanging="1134"/>
      <w:outlineLvl w:val="0"/>
    </w:pPr>
    <w:rPr>
      <w:b/>
      <w:kern w:val="28"/>
      <w:sz w:val="32"/>
    </w:rPr>
  </w:style>
  <w:style w:type="paragraph" w:customStyle="1" w:styleId="ActHead3">
    <w:name w:val="ActHead 3"/>
    <w:aliases w:val="d"/>
    <w:basedOn w:val="OPCParaBase"/>
    <w:next w:val="ActHead4"/>
    <w:semiHidden/>
    <w:qFormat/>
    <w:rsid w:val="00F61B0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LI-Heading2"/>
    <w:semiHidden/>
    <w:qFormat/>
    <w:rsid w:val="00F61B09"/>
    <w:pPr>
      <w:keepNext/>
      <w:keepLines/>
      <w:spacing w:before="220" w:line="240" w:lineRule="auto"/>
      <w:ind w:left="1134" w:hanging="1134"/>
      <w:outlineLvl w:val="3"/>
    </w:pPr>
    <w:rPr>
      <w:b/>
      <w:kern w:val="28"/>
      <w:sz w:val="26"/>
    </w:rPr>
  </w:style>
  <w:style w:type="paragraph" w:customStyle="1" w:styleId="LI-Heading2">
    <w:name w:val="LI - Heading 2"/>
    <w:basedOn w:val="OPCParaBase"/>
    <w:next w:val="LI-BodyTextUnnumbered"/>
    <w:qFormat/>
    <w:rsid w:val="000E3C2E"/>
    <w:pPr>
      <w:keepNext/>
      <w:keepLines/>
      <w:spacing w:before="360" w:line="240" w:lineRule="auto"/>
      <w:ind w:left="567" w:hanging="567"/>
      <w:outlineLvl w:val="1"/>
    </w:pPr>
    <w:rPr>
      <w:b/>
      <w:kern w:val="28"/>
      <w:sz w:val="24"/>
    </w:rPr>
  </w:style>
  <w:style w:type="paragraph" w:customStyle="1" w:styleId="ActHead6">
    <w:name w:val="ActHead 6"/>
    <w:aliases w:val="as"/>
    <w:basedOn w:val="OPCParaBase"/>
    <w:next w:val="ActHead7"/>
    <w:semiHidden/>
    <w:qFormat/>
    <w:rsid w:val="00F61B0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semiHidden/>
    <w:qFormat/>
    <w:rsid w:val="00F61B0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semiHidden/>
    <w:qFormat/>
    <w:rsid w:val="00F61B0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semiHidden/>
    <w:qFormat/>
    <w:rsid w:val="00F61B09"/>
    <w:pPr>
      <w:keepNext/>
      <w:keepLines/>
      <w:spacing w:before="280" w:line="240" w:lineRule="auto"/>
      <w:ind w:left="1134" w:hanging="1134"/>
      <w:outlineLvl w:val="8"/>
    </w:pPr>
    <w:rPr>
      <w:b/>
      <w:i/>
      <w:kern w:val="28"/>
      <w:sz w:val="28"/>
    </w:rPr>
  </w:style>
  <w:style w:type="paragraph" w:customStyle="1" w:styleId="Actno">
    <w:name w:val="Actno"/>
    <w:basedOn w:val="LI-Title"/>
    <w:next w:val="Normal"/>
    <w:semiHidden/>
    <w:qFormat/>
    <w:rsid w:val="00F61B09"/>
  </w:style>
  <w:style w:type="paragraph" w:customStyle="1" w:styleId="Blocks">
    <w:name w:val="Blocks"/>
    <w:aliases w:val="bb"/>
    <w:basedOn w:val="OPCParaBase"/>
    <w:semiHidden/>
    <w:qFormat/>
    <w:rsid w:val="00F61B09"/>
    <w:pPr>
      <w:spacing w:line="240" w:lineRule="auto"/>
    </w:pPr>
    <w:rPr>
      <w:sz w:val="24"/>
    </w:rPr>
  </w:style>
  <w:style w:type="paragraph" w:customStyle="1" w:styleId="BoxText">
    <w:name w:val="BoxText"/>
    <w:aliases w:val="bt"/>
    <w:basedOn w:val="OPCParaBase"/>
    <w:semiHidden/>
    <w:qFormat/>
    <w:rsid w:val="00F61B0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semiHidden/>
    <w:qFormat/>
    <w:rsid w:val="00F61B09"/>
    <w:rPr>
      <w:b/>
    </w:rPr>
  </w:style>
  <w:style w:type="paragraph" w:customStyle="1" w:styleId="BoxHeadItalic">
    <w:name w:val="BoxHeadItalic"/>
    <w:aliases w:val="bhi"/>
    <w:basedOn w:val="BoxText"/>
    <w:next w:val="BoxStep"/>
    <w:semiHidden/>
    <w:qFormat/>
    <w:rsid w:val="00F61B09"/>
    <w:rPr>
      <w:i/>
    </w:rPr>
  </w:style>
  <w:style w:type="paragraph" w:customStyle="1" w:styleId="BoxList">
    <w:name w:val="BoxList"/>
    <w:aliases w:val="bl"/>
    <w:basedOn w:val="BoxText"/>
    <w:semiHidden/>
    <w:qFormat/>
    <w:rsid w:val="00F61B09"/>
    <w:pPr>
      <w:ind w:left="1559" w:hanging="425"/>
    </w:pPr>
  </w:style>
  <w:style w:type="paragraph" w:customStyle="1" w:styleId="BoxNote">
    <w:name w:val="BoxNote"/>
    <w:aliases w:val="bn"/>
    <w:basedOn w:val="BoxText"/>
    <w:semiHidden/>
    <w:qFormat/>
    <w:rsid w:val="00F61B09"/>
    <w:pPr>
      <w:tabs>
        <w:tab w:val="left" w:pos="1985"/>
      </w:tabs>
      <w:spacing w:before="122" w:line="198" w:lineRule="exact"/>
      <w:ind w:left="2948" w:hanging="1814"/>
    </w:pPr>
    <w:rPr>
      <w:sz w:val="18"/>
    </w:rPr>
  </w:style>
  <w:style w:type="paragraph" w:customStyle="1" w:styleId="BoxPara">
    <w:name w:val="BoxPara"/>
    <w:aliases w:val="bp"/>
    <w:basedOn w:val="BoxText"/>
    <w:semiHidden/>
    <w:qFormat/>
    <w:rsid w:val="00F61B09"/>
    <w:pPr>
      <w:tabs>
        <w:tab w:val="right" w:pos="2268"/>
      </w:tabs>
      <w:ind w:left="2552" w:hanging="1418"/>
    </w:pPr>
  </w:style>
  <w:style w:type="paragraph" w:customStyle="1" w:styleId="BoxStep">
    <w:name w:val="BoxStep"/>
    <w:aliases w:val="bs"/>
    <w:basedOn w:val="BoxText"/>
    <w:semiHidden/>
    <w:qFormat/>
    <w:rsid w:val="00F61B09"/>
    <w:pPr>
      <w:ind w:left="1985" w:hanging="851"/>
    </w:pPr>
  </w:style>
  <w:style w:type="character" w:customStyle="1" w:styleId="CharAmPartNo">
    <w:name w:val="CharAmPartNo"/>
    <w:basedOn w:val="OPCCharBase"/>
    <w:uiPriority w:val="1"/>
    <w:semiHidden/>
    <w:qFormat/>
    <w:rsid w:val="00F61B09"/>
  </w:style>
  <w:style w:type="character" w:customStyle="1" w:styleId="CharAmPartText">
    <w:name w:val="CharAmPartText"/>
    <w:basedOn w:val="OPCCharBase"/>
    <w:uiPriority w:val="1"/>
    <w:semiHidden/>
    <w:qFormat/>
    <w:rsid w:val="00F61B09"/>
  </w:style>
  <w:style w:type="character" w:customStyle="1" w:styleId="CharAmSchNo">
    <w:name w:val="CharAmSchNo"/>
    <w:basedOn w:val="OPCCharBase"/>
    <w:uiPriority w:val="1"/>
    <w:semiHidden/>
    <w:qFormat/>
    <w:rsid w:val="00F61B09"/>
  </w:style>
  <w:style w:type="character" w:customStyle="1" w:styleId="CharAmSchText">
    <w:name w:val="CharAmSchText"/>
    <w:basedOn w:val="OPCCharBase"/>
    <w:uiPriority w:val="1"/>
    <w:semiHidden/>
    <w:qFormat/>
    <w:rsid w:val="00F61B09"/>
  </w:style>
  <w:style w:type="character" w:customStyle="1" w:styleId="CharBoldItalic">
    <w:name w:val="CharBoldItalic"/>
    <w:uiPriority w:val="1"/>
    <w:semiHidden/>
    <w:qFormat/>
    <w:rsid w:val="00F61B09"/>
    <w:rPr>
      <w:b/>
      <w:i/>
    </w:rPr>
  </w:style>
  <w:style w:type="character" w:customStyle="1" w:styleId="CharChapNo">
    <w:name w:val="CharChapNo"/>
    <w:basedOn w:val="OPCCharBase"/>
    <w:semiHidden/>
    <w:qFormat/>
    <w:rsid w:val="00F61B09"/>
  </w:style>
  <w:style w:type="character" w:customStyle="1" w:styleId="CharChapText">
    <w:name w:val="CharChapText"/>
    <w:basedOn w:val="OPCCharBase"/>
    <w:semiHidden/>
    <w:qFormat/>
    <w:rsid w:val="00F61B09"/>
  </w:style>
  <w:style w:type="character" w:customStyle="1" w:styleId="CharDivNo">
    <w:name w:val="CharDivNo"/>
    <w:basedOn w:val="OPCCharBase"/>
    <w:semiHidden/>
    <w:qFormat/>
    <w:rsid w:val="00F61B09"/>
  </w:style>
  <w:style w:type="character" w:customStyle="1" w:styleId="CharDivText">
    <w:name w:val="CharDivText"/>
    <w:basedOn w:val="OPCCharBase"/>
    <w:semiHidden/>
    <w:qFormat/>
    <w:rsid w:val="00F61B09"/>
  </w:style>
  <w:style w:type="character" w:customStyle="1" w:styleId="CharItalic">
    <w:name w:val="CharItalic"/>
    <w:uiPriority w:val="1"/>
    <w:semiHidden/>
    <w:qFormat/>
    <w:rsid w:val="00F61B09"/>
    <w:rPr>
      <w:i/>
    </w:rPr>
  </w:style>
  <w:style w:type="character" w:customStyle="1" w:styleId="CharPartNo">
    <w:name w:val="CharPartNo"/>
    <w:basedOn w:val="OPCCharBase"/>
    <w:semiHidden/>
    <w:qFormat/>
    <w:rsid w:val="00F61B09"/>
  </w:style>
  <w:style w:type="character" w:customStyle="1" w:styleId="CharPartText">
    <w:name w:val="CharPartText"/>
    <w:basedOn w:val="OPCCharBase"/>
    <w:semiHidden/>
    <w:qFormat/>
    <w:rsid w:val="00F61B09"/>
  </w:style>
  <w:style w:type="character" w:customStyle="1" w:styleId="CharSectno">
    <w:name w:val="CharSectno"/>
    <w:basedOn w:val="OPCCharBase"/>
    <w:semiHidden/>
    <w:qFormat/>
    <w:rsid w:val="00F61B09"/>
  </w:style>
  <w:style w:type="character" w:customStyle="1" w:styleId="CharSubdNo">
    <w:name w:val="CharSubdNo"/>
    <w:basedOn w:val="OPCCharBase"/>
    <w:uiPriority w:val="1"/>
    <w:semiHidden/>
    <w:qFormat/>
    <w:rsid w:val="00F61B09"/>
  </w:style>
  <w:style w:type="character" w:customStyle="1" w:styleId="CharSubdText">
    <w:name w:val="CharSubdText"/>
    <w:basedOn w:val="OPCCharBase"/>
    <w:uiPriority w:val="1"/>
    <w:semiHidden/>
    <w:qFormat/>
    <w:rsid w:val="00F61B09"/>
  </w:style>
  <w:style w:type="paragraph" w:customStyle="1" w:styleId="CTA--">
    <w:name w:val="CTA --"/>
    <w:basedOn w:val="OPCParaBase"/>
    <w:next w:val="Normal"/>
    <w:semiHidden/>
    <w:rsid w:val="00F61B09"/>
    <w:pPr>
      <w:spacing w:before="60" w:line="240" w:lineRule="atLeast"/>
      <w:ind w:left="142" w:hanging="142"/>
    </w:pPr>
    <w:rPr>
      <w:sz w:val="20"/>
    </w:rPr>
  </w:style>
  <w:style w:type="paragraph" w:customStyle="1" w:styleId="CTA-">
    <w:name w:val="CTA -"/>
    <w:basedOn w:val="OPCParaBase"/>
    <w:semiHidden/>
    <w:rsid w:val="00F61B09"/>
    <w:pPr>
      <w:spacing w:before="60" w:line="240" w:lineRule="atLeast"/>
      <w:ind w:left="85" w:hanging="85"/>
    </w:pPr>
    <w:rPr>
      <w:sz w:val="20"/>
    </w:rPr>
  </w:style>
  <w:style w:type="paragraph" w:customStyle="1" w:styleId="CTA---">
    <w:name w:val="CTA ---"/>
    <w:basedOn w:val="OPCParaBase"/>
    <w:next w:val="Normal"/>
    <w:semiHidden/>
    <w:rsid w:val="00F61B09"/>
    <w:pPr>
      <w:spacing w:before="60" w:line="240" w:lineRule="atLeast"/>
      <w:ind w:left="198" w:hanging="198"/>
    </w:pPr>
    <w:rPr>
      <w:sz w:val="20"/>
    </w:rPr>
  </w:style>
  <w:style w:type="paragraph" w:customStyle="1" w:styleId="CTA----">
    <w:name w:val="CTA ----"/>
    <w:basedOn w:val="OPCParaBase"/>
    <w:next w:val="Normal"/>
    <w:semiHidden/>
    <w:rsid w:val="00F61B09"/>
    <w:pPr>
      <w:spacing w:before="60" w:line="240" w:lineRule="atLeast"/>
      <w:ind w:left="255" w:hanging="255"/>
    </w:pPr>
    <w:rPr>
      <w:sz w:val="20"/>
    </w:rPr>
  </w:style>
  <w:style w:type="paragraph" w:customStyle="1" w:styleId="CTA1a">
    <w:name w:val="CTA 1(a)"/>
    <w:basedOn w:val="OPCParaBase"/>
    <w:semiHidden/>
    <w:rsid w:val="00F61B09"/>
    <w:pPr>
      <w:tabs>
        <w:tab w:val="right" w:pos="414"/>
      </w:tabs>
      <w:spacing w:before="40" w:line="240" w:lineRule="atLeast"/>
      <w:ind w:left="675" w:hanging="675"/>
    </w:pPr>
    <w:rPr>
      <w:sz w:val="20"/>
    </w:rPr>
  </w:style>
  <w:style w:type="paragraph" w:customStyle="1" w:styleId="CTA1ai">
    <w:name w:val="CTA 1(a)(i)"/>
    <w:basedOn w:val="OPCParaBase"/>
    <w:semiHidden/>
    <w:rsid w:val="00F61B09"/>
    <w:pPr>
      <w:tabs>
        <w:tab w:val="right" w:pos="1004"/>
      </w:tabs>
      <w:spacing w:before="40" w:line="240" w:lineRule="atLeast"/>
      <w:ind w:left="1253" w:hanging="1253"/>
    </w:pPr>
    <w:rPr>
      <w:sz w:val="20"/>
    </w:rPr>
  </w:style>
  <w:style w:type="paragraph" w:customStyle="1" w:styleId="CTA2a">
    <w:name w:val="CTA 2(a)"/>
    <w:basedOn w:val="OPCParaBase"/>
    <w:semiHidden/>
    <w:rsid w:val="00F61B09"/>
    <w:pPr>
      <w:tabs>
        <w:tab w:val="right" w:pos="482"/>
      </w:tabs>
      <w:spacing w:before="40" w:line="240" w:lineRule="atLeast"/>
      <w:ind w:left="748" w:hanging="748"/>
    </w:pPr>
    <w:rPr>
      <w:sz w:val="20"/>
    </w:rPr>
  </w:style>
  <w:style w:type="paragraph" w:customStyle="1" w:styleId="CTA2ai">
    <w:name w:val="CTA 2(a)(i)"/>
    <w:basedOn w:val="OPCParaBase"/>
    <w:semiHidden/>
    <w:rsid w:val="00F61B09"/>
    <w:pPr>
      <w:tabs>
        <w:tab w:val="right" w:pos="1089"/>
      </w:tabs>
      <w:spacing w:before="40" w:line="240" w:lineRule="atLeast"/>
      <w:ind w:left="1327" w:hanging="1327"/>
    </w:pPr>
    <w:rPr>
      <w:sz w:val="20"/>
    </w:rPr>
  </w:style>
  <w:style w:type="paragraph" w:customStyle="1" w:styleId="CTA3a">
    <w:name w:val="CTA 3(a)"/>
    <w:basedOn w:val="OPCParaBase"/>
    <w:semiHidden/>
    <w:rsid w:val="00F61B09"/>
    <w:pPr>
      <w:tabs>
        <w:tab w:val="right" w:pos="556"/>
      </w:tabs>
      <w:spacing w:before="40" w:line="240" w:lineRule="atLeast"/>
      <w:ind w:left="805" w:hanging="805"/>
    </w:pPr>
    <w:rPr>
      <w:sz w:val="20"/>
    </w:rPr>
  </w:style>
  <w:style w:type="paragraph" w:customStyle="1" w:styleId="CTA3ai">
    <w:name w:val="CTA 3(a)(i)"/>
    <w:basedOn w:val="OPCParaBase"/>
    <w:semiHidden/>
    <w:rsid w:val="00F61B09"/>
    <w:pPr>
      <w:tabs>
        <w:tab w:val="right" w:pos="1140"/>
      </w:tabs>
      <w:spacing w:before="40" w:line="240" w:lineRule="atLeast"/>
      <w:ind w:left="1361" w:hanging="1361"/>
    </w:pPr>
    <w:rPr>
      <w:sz w:val="20"/>
    </w:rPr>
  </w:style>
  <w:style w:type="paragraph" w:customStyle="1" w:styleId="CTA4a">
    <w:name w:val="CTA 4(a)"/>
    <w:basedOn w:val="OPCParaBase"/>
    <w:semiHidden/>
    <w:rsid w:val="00F61B09"/>
    <w:pPr>
      <w:tabs>
        <w:tab w:val="right" w:pos="624"/>
      </w:tabs>
      <w:spacing w:before="40" w:line="240" w:lineRule="atLeast"/>
      <w:ind w:left="873" w:hanging="873"/>
    </w:pPr>
    <w:rPr>
      <w:sz w:val="20"/>
    </w:rPr>
  </w:style>
  <w:style w:type="paragraph" w:customStyle="1" w:styleId="CTA4ai">
    <w:name w:val="CTA 4(a)(i)"/>
    <w:basedOn w:val="OPCParaBase"/>
    <w:semiHidden/>
    <w:rsid w:val="00F61B09"/>
    <w:pPr>
      <w:tabs>
        <w:tab w:val="right" w:pos="1213"/>
      </w:tabs>
      <w:spacing w:before="40" w:line="240" w:lineRule="atLeast"/>
      <w:ind w:left="1452" w:hanging="1452"/>
    </w:pPr>
    <w:rPr>
      <w:sz w:val="20"/>
    </w:rPr>
  </w:style>
  <w:style w:type="paragraph" w:customStyle="1" w:styleId="CTACAPS">
    <w:name w:val="CTA CAPS"/>
    <w:basedOn w:val="OPCParaBase"/>
    <w:semiHidden/>
    <w:rsid w:val="00F61B09"/>
    <w:pPr>
      <w:spacing w:before="60" w:line="240" w:lineRule="atLeast"/>
    </w:pPr>
    <w:rPr>
      <w:sz w:val="20"/>
    </w:rPr>
  </w:style>
  <w:style w:type="paragraph" w:customStyle="1" w:styleId="CTAright">
    <w:name w:val="CTA right"/>
    <w:basedOn w:val="OPCParaBase"/>
    <w:semiHidden/>
    <w:rsid w:val="00F61B09"/>
    <w:pPr>
      <w:spacing w:before="60" w:line="240" w:lineRule="auto"/>
      <w:jc w:val="right"/>
    </w:pPr>
    <w:rPr>
      <w:sz w:val="20"/>
    </w:rPr>
  </w:style>
  <w:style w:type="paragraph" w:customStyle="1" w:styleId="LI-BodyTextUnnumbered">
    <w:name w:val="LI - Body Text Unnumbered"/>
    <w:basedOn w:val="OPCParaBase"/>
    <w:link w:val="LI-BodyTextUnnumberedChar"/>
    <w:rsid w:val="006E5320"/>
    <w:pPr>
      <w:spacing w:before="240" w:line="240" w:lineRule="auto"/>
      <w:ind w:left="1134"/>
    </w:pPr>
    <w:rPr>
      <w:sz w:val="24"/>
    </w:rPr>
  </w:style>
  <w:style w:type="paragraph" w:customStyle="1" w:styleId="Definition">
    <w:name w:val="Definition"/>
    <w:aliases w:val="dd"/>
    <w:basedOn w:val="OPCParaBase"/>
    <w:semiHidden/>
    <w:rsid w:val="00F61B09"/>
    <w:pPr>
      <w:spacing w:before="180" w:line="240" w:lineRule="auto"/>
      <w:ind w:left="1134"/>
    </w:pPr>
  </w:style>
  <w:style w:type="paragraph" w:customStyle="1" w:styleId="EndNotespara">
    <w:name w:val="EndNotes(para)"/>
    <w:aliases w:val="eta"/>
    <w:basedOn w:val="OPCParaBase"/>
    <w:next w:val="EndNotessubpara"/>
    <w:semiHidden/>
    <w:rsid w:val="00F61B09"/>
    <w:pPr>
      <w:tabs>
        <w:tab w:val="right" w:pos="1985"/>
      </w:tabs>
      <w:spacing w:before="40" w:line="240" w:lineRule="auto"/>
      <w:ind w:left="828" w:hanging="828"/>
    </w:pPr>
    <w:rPr>
      <w:sz w:val="20"/>
    </w:rPr>
  </w:style>
  <w:style w:type="paragraph" w:customStyle="1" w:styleId="EndNotessubitem">
    <w:name w:val="EndNotes(subitem)"/>
    <w:aliases w:val="ens"/>
    <w:basedOn w:val="OPCParaBase"/>
    <w:semiHidden/>
    <w:rsid w:val="00F61B0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semiHidden/>
    <w:rsid w:val="00F61B0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semiHidden/>
    <w:rsid w:val="00F61B09"/>
    <w:pPr>
      <w:tabs>
        <w:tab w:val="right" w:pos="1412"/>
      </w:tabs>
      <w:spacing w:before="60" w:line="240" w:lineRule="auto"/>
      <w:ind w:left="1525" w:hanging="1525"/>
    </w:pPr>
    <w:rPr>
      <w:sz w:val="20"/>
    </w:rPr>
  </w:style>
  <w:style w:type="paragraph" w:customStyle="1" w:styleId="Formula">
    <w:name w:val="Formula"/>
    <w:basedOn w:val="OPCParaBase"/>
    <w:rsid w:val="00F61B09"/>
    <w:pPr>
      <w:spacing w:line="240" w:lineRule="auto"/>
      <w:ind w:left="1134"/>
    </w:pPr>
    <w:rPr>
      <w:sz w:val="20"/>
    </w:rPr>
  </w:style>
  <w:style w:type="paragraph" w:styleId="Header">
    <w:name w:val="header"/>
    <w:basedOn w:val="OPCParaBase"/>
    <w:link w:val="HeaderChar"/>
    <w:unhideWhenUsed/>
    <w:rsid w:val="00F61B09"/>
    <w:pPr>
      <w:keepNext/>
      <w:keepLines/>
      <w:tabs>
        <w:tab w:val="center" w:pos="4150"/>
        <w:tab w:val="right" w:pos="8307"/>
      </w:tabs>
      <w:spacing w:line="160" w:lineRule="exact"/>
    </w:pPr>
    <w:rPr>
      <w:sz w:val="16"/>
    </w:rPr>
  </w:style>
  <w:style w:type="character" w:customStyle="1" w:styleId="HeaderChar">
    <w:name w:val="Header Char"/>
    <w:link w:val="Header"/>
    <w:rsid w:val="00F61B09"/>
    <w:rPr>
      <w:rFonts w:eastAsia="Times New Roman" w:cs="Times New Roman"/>
      <w:sz w:val="16"/>
      <w:lang w:eastAsia="en-AU"/>
    </w:rPr>
  </w:style>
  <w:style w:type="paragraph" w:customStyle="1" w:styleId="House">
    <w:name w:val="House"/>
    <w:basedOn w:val="OPCParaBase"/>
    <w:semiHidden/>
    <w:rsid w:val="00F61B09"/>
    <w:pPr>
      <w:spacing w:line="240" w:lineRule="auto"/>
    </w:pPr>
    <w:rPr>
      <w:sz w:val="28"/>
    </w:rPr>
  </w:style>
  <w:style w:type="paragraph" w:customStyle="1" w:styleId="Item">
    <w:name w:val="Item"/>
    <w:aliases w:val="i"/>
    <w:basedOn w:val="OPCParaBase"/>
    <w:next w:val="ItemHead"/>
    <w:semiHidden/>
    <w:rsid w:val="00F61B09"/>
    <w:pPr>
      <w:keepLines/>
      <w:spacing w:before="80" w:line="240" w:lineRule="auto"/>
      <w:ind w:left="709"/>
    </w:pPr>
  </w:style>
  <w:style w:type="paragraph" w:customStyle="1" w:styleId="ItemHead">
    <w:name w:val="ItemHead"/>
    <w:aliases w:val="ih"/>
    <w:basedOn w:val="OPCParaBase"/>
    <w:next w:val="Item"/>
    <w:semiHidden/>
    <w:rsid w:val="00F61B09"/>
    <w:pPr>
      <w:keepNext/>
      <w:keepLines/>
      <w:spacing w:before="220" w:line="240" w:lineRule="auto"/>
      <w:ind w:left="709" w:hanging="709"/>
    </w:pPr>
    <w:rPr>
      <w:rFonts w:ascii="Arial" w:hAnsi="Arial"/>
      <w:b/>
      <w:kern w:val="28"/>
      <w:sz w:val="24"/>
    </w:rPr>
  </w:style>
  <w:style w:type="paragraph" w:customStyle="1" w:styleId="LongT">
    <w:name w:val="LongT"/>
    <w:basedOn w:val="OPCParaBase"/>
    <w:semiHidden/>
    <w:rsid w:val="00F61B09"/>
    <w:pPr>
      <w:spacing w:line="240" w:lineRule="auto"/>
    </w:pPr>
    <w:rPr>
      <w:b/>
      <w:sz w:val="32"/>
    </w:rPr>
  </w:style>
  <w:style w:type="paragraph" w:customStyle="1" w:styleId="notedraft">
    <w:name w:val="note(draft)"/>
    <w:aliases w:val="nd"/>
    <w:basedOn w:val="OPCParaBase"/>
    <w:semiHidden/>
    <w:rsid w:val="00F61B09"/>
    <w:pPr>
      <w:spacing w:before="240" w:line="240" w:lineRule="auto"/>
      <w:ind w:left="284" w:hanging="284"/>
    </w:pPr>
    <w:rPr>
      <w:i/>
      <w:sz w:val="24"/>
    </w:rPr>
  </w:style>
  <w:style w:type="paragraph" w:customStyle="1" w:styleId="notemargin">
    <w:name w:val="note(margin)"/>
    <w:aliases w:val="nm"/>
    <w:basedOn w:val="OPCParaBase"/>
    <w:semiHidden/>
    <w:rsid w:val="00F61B09"/>
    <w:pPr>
      <w:tabs>
        <w:tab w:val="left" w:pos="709"/>
      </w:tabs>
      <w:spacing w:before="122" w:line="198" w:lineRule="exact"/>
      <w:ind w:left="709" w:hanging="709"/>
    </w:pPr>
    <w:rPr>
      <w:sz w:val="18"/>
    </w:rPr>
  </w:style>
  <w:style w:type="paragraph" w:customStyle="1" w:styleId="noteToPara">
    <w:name w:val="noteToPara"/>
    <w:aliases w:val="ntp"/>
    <w:basedOn w:val="OPCParaBase"/>
    <w:semiHidden/>
    <w:rsid w:val="00F61B09"/>
    <w:pPr>
      <w:spacing w:before="122" w:line="198" w:lineRule="exact"/>
      <w:ind w:left="2353" w:hanging="709"/>
    </w:pPr>
    <w:rPr>
      <w:sz w:val="18"/>
    </w:rPr>
  </w:style>
  <w:style w:type="paragraph" w:customStyle="1" w:styleId="noteParlAmend">
    <w:name w:val="note(ParlAmend)"/>
    <w:aliases w:val="npp"/>
    <w:basedOn w:val="OPCParaBase"/>
    <w:next w:val="ParlAmend"/>
    <w:semiHidden/>
    <w:rsid w:val="00F61B09"/>
    <w:pPr>
      <w:spacing w:line="240" w:lineRule="auto"/>
      <w:jc w:val="right"/>
    </w:pPr>
    <w:rPr>
      <w:rFonts w:ascii="Arial" w:hAnsi="Arial"/>
      <w:b/>
      <w:i/>
    </w:rPr>
  </w:style>
  <w:style w:type="paragraph" w:customStyle="1" w:styleId="Page1">
    <w:name w:val="Page1"/>
    <w:basedOn w:val="OPCParaBase"/>
    <w:semiHidden/>
    <w:rsid w:val="00F61B09"/>
    <w:pPr>
      <w:spacing w:before="5600" w:line="240" w:lineRule="auto"/>
    </w:pPr>
    <w:rPr>
      <w:b/>
      <w:sz w:val="32"/>
    </w:rPr>
  </w:style>
  <w:style w:type="paragraph" w:customStyle="1" w:styleId="PageBreak">
    <w:name w:val="PageBreak"/>
    <w:aliases w:val="pb"/>
    <w:basedOn w:val="OPCParaBase"/>
    <w:semiHidden/>
    <w:rsid w:val="00F61B09"/>
    <w:pPr>
      <w:spacing w:line="240" w:lineRule="auto"/>
    </w:pPr>
    <w:rPr>
      <w:sz w:val="20"/>
    </w:rPr>
  </w:style>
  <w:style w:type="paragraph" w:customStyle="1" w:styleId="paragraphsub">
    <w:name w:val="paragraph(sub)"/>
    <w:aliases w:val="aa"/>
    <w:basedOn w:val="OPCParaBase"/>
    <w:semiHidden/>
    <w:rsid w:val="00F61B09"/>
    <w:pPr>
      <w:tabs>
        <w:tab w:val="right" w:pos="1985"/>
      </w:tabs>
      <w:spacing w:before="40" w:line="240" w:lineRule="auto"/>
      <w:ind w:left="2098" w:hanging="2098"/>
    </w:pPr>
  </w:style>
  <w:style w:type="paragraph" w:customStyle="1" w:styleId="paragraphsub-sub">
    <w:name w:val="paragraph(sub-sub)"/>
    <w:aliases w:val="aaa"/>
    <w:basedOn w:val="OPCParaBase"/>
    <w:semiHidden/>
    <w:rsid w:val="00F61B09"/>
    <w:pPr>
      <w:tabs>
        <w:tab w:val="right" w:pos="2722"/>
      </w:tabs>
      <w:spacing w:before="40" w:line="240" w:lineRule="auto"/>
      <w:ind w:left="2835" w:hanging="2835"/>
    </w:pPr>
  </w:style>
  <w:style w:type="paragraph" w:customStyle="1" w:styleId="LI-BodyTextParaa">
    <w:name w:val="LI - Body Text Para (a)"/>
    <w:basedOn w:val="OPCParaBase"/>
    <w:link w:val="LI-BodyTextParaaChar"/>
    <w:rsid w:val="00FC3EB8"/>
    <w:pPr>
      <w:spacing w:before="240" w:line="240" w:lineRule="auto"/>
      <w:ind w:left="1701" w:hanging="567"/>
    </w:pPr>
    <w:rPr>
      <w:sz w:val="24"/>
      <w:szCs w:val="24"/>
    </w:rPr>
  </w:style>
  <w:style w:type="paragraph" w:customStyle="1" w:styleId="ParlAmend">
    <w:name w:val="ParlAmend"/>
    <w:aliases w:val="pp"/>
    <w:basedOn w:val="OPCParaBase"/>
    <w:semiHidden/>
    <w:rsid w:val="00F61B09"/>
    <w:pPr>
      <w:spacing w:before="240" w:line="240" w:lineRule="atLeast"/>
      <w:ind w:hanging="567"/>
    </w:pPr>
    <w:rPr>
      <w:sz w:val="24"/>
    </w:rPr>
  </w:style>
  <w:style w:type="paragraph" w:customStyle="1" w:styleId="Penalty">
    <w:name w:val="Penalty"/>
    <w:basedOn w:val="OPCParaBase"/>
    <w:semiHidden/>
    <w:rsid w:val="00F61B09"/>
    <w:pPr>
      <w:tabs>
        <w:tab w:val="left" w:pos="2977"/>
      </w:tabs>
      <w:spacing w:before="180" w:line="240" w:lineRule="auto"/>
      <w:ind w:left="1985" w:hanging="851"/>
    </w:pPr>
  </w:style>
  <w:style w:type="paragraph" w:customStyle="1" w:styleId="Portfolio">
    <w:name w:val="Portfolio"/>
    <w:basedOn w:val="OPCParaBase"/>
    <w:semiHidden/>
    <w:rsid w:val="00F61B09"/>
    <w:pPr>
      <w:spacing w:line="240" w:lineRule="auto"/>
    </w:pPr>
    <w:rPr>
      <w:i/>
      <w:sz w:val="20"/>
    </w:rPr>
  </w:style>
  <w:style w:type="paragraph" w:customStyle="1" w:styleId="Preamble">
    <w:name w:val="Preamble"/>
    <w:basedOn w:val="OPCParaBase"/>
    <w:next w:val="Normal"/>
    <w:semiHidden/>
    <w:rsid w:val="00F61B0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semiHidden/>
    <w:rsid w:val="00F61B09"/>
    <w:pPr>
      <w:spacing w:line="240" w:lineRule="auto"/>
    </w:pPr>
    <w:rPr>
      <w:i/>
      <w:sz w:val="20"/>
    </w:rPr>
  </w:style>
  <w:style w:type="paragraph" w:customStyle="1" w:styleId="Session">
    <w:name w:val="Session"/>
    <w:basedOn w:val="OPCParaBase"/>
    <w:semiHidden/>
    <w:rsid w:val="00F61B09"/>
    <w:pPr>
      <w:spacing w:line="240" w:lineRule="auto"/>
    </w:pPr>
    <w:rPr>
      <w:sz w:val="28"/>
    </w:rPr>
  </w:style>
  <w:style w:type="paragraph" w:customStyle="1" w:styleId="Sponsor">
    <w:name w:val="Sponsor"/>
    <w:basedOn w:val="OPCParaBase"/>
    <w:semiHidden/>
    <w:rsid w:val="00F61B09"/>
    <w:pPr>
      <w:spacing w:line="240" w:lineRule="auto"/>
    </w:pPr>
    <w:rPr>
      <w:i/>
    </w:rPr>
  </w:style>
  <w:style w:type="paragraph" w:customStyle="1" w:styleId="Subitem">
    <w:name w:val="Subitem"/>
    <w:aliases w:val="iss"/>
    <w:basedOn w:val="OPCParaBase"/>
    <w:semiHidden/>
    <w:rsid w:val="00F61B09"/>
    <w:pPr>
      <w:spacing w:before="180" w:line="240" w:lineRule="auto"/>
      <w:ind w:left="709" w:hanging="709"/>
    </w:pPr>
  </w:style>
  <w:style w:type="paragraph" w:customStyle="1" w:styleId="SubitemHead">
    <w:name w:val="SubitemHead"/>
    <w:aliases w:val="issh"/>
    <w:basedOn w:val="OPCParaBase"/>
    <w:semiHidden/>
    <w:rsid w:val="00F61B0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LI-BodyTextUnnumbered"/>
    <w:semiHidden/>
    <w:rsid w:val="00F61B09"/>
    <w:pPr>
      <w:spacing w:before="40" w:line="240" w:lineRule="auto"/>
      <w:ind w:left="1134"/>
    </w:pPr>
  </w:style>
  <w:style w:type="paragraph" w:customStyle="1" w:styleId="LI-Heading3">
    <w:name w:val="LI - Heading 3"/>
    <w:basedOn w:val="OPCParaBase"/>
    <w:next w:val="LI-BodyTextUnnumbered"/>
    <w:rsid w:val="00005446"/>
    <w:pPr>
      <w:keepNext/>
      <w:keepLines/>
      <w:spacing w:before="240" w:line="240" w:lineRule="auto"/>
      <w:ind w:left="567"/>
      <w:outlineLvl w:val="2"/>
    </w:pPr>
    <w:rPr>
      <w:i/>
    </w:rPr>
  </w:style>
  <w:style w:type="paragraph" w:customStyle="1" w:styleId="Tablea">
    <w:name w:val="Table(a)"/>
    <w:aliases w:val="ta"/>
    <w:basedOn w:val="OPCParaBase"/>
    <w:semiHidden/>
    <w:rsid w:val="00F61B09"/>
    <w:pPr>
      <w:spacing w:before="60" w:line="240" w:lineRule="auto"/>
      <w:ind w:left="284" w:hanging="284"/>
    </w:pPr>
    <w:rPr>
      <w:sz w:val="20"/>
    </w:rPr>
  </w:style>
  <w:style w:type="paragraph" w:customStyle="1" w:styleId="TableAA">
    <w:name w:val="Table(AA)"/>
    <w:aliases w:val="taaa"/>
    <w:basedOn w:val="OPCParaBase"/>
    <w:semiHidden/>
    <w:rsid w:val="00F61B09"/>
    <w:pPr>
      <w:tabs>
        <w:tab w:val="left" w:pos="-6543"/>
        <w:tab w:val="left" w:pos="-6260"/>
      </w:tabs>
      <w:spacing w:line="240" w:lineRule="exact"/>
      <w:ind w:left="1055" w:hanging="284"/>
    </w:pPr>
    <w:rPr>
      <w:sz w:val="20"/>
    </w:rPr>
  </w:style>
  <w:style w:type="paragraph" w:customStyle="1" w:styleId="Tablei">
    <w:name w:val="Table(i)"/>
    <w:aliases w:val="taa"/>
    <w:basedOn w:val="OPCParaBase"/>
    <w:semiHidden/>
    <w:rsid w:val="00F61B09"/>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semiHidden/>
    <w:rsid w:val="00F61B09"/>
    <w:pPr>
      <w:spacing w:before="60" w:line="240" w:lineRule="atLeast"/>
    </w:pPr>
    <w:rPr>
      <w:sz w:val="20"/>
    </w:rPr>
  </w:style>
  <w:style w:type="paragraph" w:customStyle="1" w:styleId="TLPBoxTextnote">
    <w:name w:val="TLPBoxText(note"/>
    <w:aliases w:val="right)"/>
    <w:basedOn w:val="OPCParaBase"/>
    <w:semiHidden/>
    <w:rsid w:val="00F61B0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semiHidden/>
    <w:rsid w:val="00F61B09"/>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semiHidden/>
    <w:rsid w:val="00F61B09"/>
    <w:pPr>
      <w:spacing w:before="122" w:line="198" w:lineRule="exact"/>
      <w:ind w:left="1985" w:hanging="851"/>
      <w:jc w:val="right"/>
    </w:pPr>
    <w:rPr>
      <w:sz w:val="18"/>
    </w:rPr>
  </w:style>
  <w:style w:type="paragraph" w:customStyle="1" w:styleId="TLPTableBullet">
    <w:name w:val="TLPTableBullet"/>
    <w:aliases w:val="ttb"/>
    <w:basedOn w:val="OPCParaBase"/>
    <w:semiHidden/>
    <w:rsid w:val="00F61B09"/>
    <w:pPr>
      <w:spacing w:line="240" w:lineRule="exact"/>
      <w:ind w:left="284" w:hanging="284"/>
    </w:pPr>
    <w:rPr>
      <w:sz w:val="20"/>
    </w:rPr>
  </w:style>
  <w:style w:type="paragraph" w:styleId="TOC1">
    <w:name w:val="toc 1"/>
    <w:basedOn w:val="OPCParaBase"/>
    <w:next w:val="Normal"/>
    <w:uiPriority w:val="39"/>
    <w:unhideWhenUsed/>
    <w:rsid w:val="006E5320"/>
    <w:pPr>
      <w:keepNext/>
      <w:keepLines/>
      <w:tabs>
        <w:tab w:val="right" w:pos="8278"/>
      </w:tabs>
      <w:spacing w:before="120" w:line="240" w:lineRule="auto"/>
      <w:ind w:left="1474" w:right="567" w:hanging="1474"/>
    </w:pPr>
    <w:rPr>
      <w:b/>
      <w:kern w:val="28"/>
      <w:sz w:val="24"/>
    </w:rPr>
  </w:style>
  <w:style w:type="paragraph" w:styleId="TOC2">
    <w:name w:val="toc 2"/>
    <w:basedOn w:val="OPCParaBase"/>
    <w:next w:val="Normal"/>
    <w:uiPriority w:val="39"/>
    <w:unhideWhenUsed/>
    <w:rsid w:val="006E5320"/>
    <w:pPr>
      <w:keepNext/>
      <w:keepLines/>
      <w:tabs>
        <w:tab w:val="right" w:leader="dot" w:pos="8278"/>
      </w:tabs>
      <w:spacing w:before="120" w:line="240" w:lineRule="auto"/>
      <w:ind w:left="851" w:hanging="284"/>
    </w:pPr>
    <w:rPr>
      <w:kern w:val="28"/>
      <w:sz w:val="24"/>
    </w:rPr>
  </w:style>
  <w:style w:type="paragraph" w:styleId="TOC3">
    <w:name w:val="toc 3"/>
    <w:basedOn w:val="OPCParaBase"/>
    <w:next w:val="Normal"/>
    <w:uiPriority w:val="39"/>
    <w:unhideWhenUsed/>
    <w:rsid w:val="00F61B0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61B0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61B09"/>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61B0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61B0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61B0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61B0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semiHidden/>
    <w:rsid w:val="00F61B09"/>
    <w:pPr>
      <w:keepLines/>
      <w:spacing w:before="240" w:after="120" w:line="240" w:lineRule="auto"/>
      <w:ind w:left="794"/>
    </w:pPr>
    <w:rPr>
      <w:b/>
      <w:kern w:val="28"/>
      <w:sz w:val="20"/>
    </w:rPr>
  </w:style>
  <w:style w:type="paragraph" w:customStyle="1" w:styleId="TofSectsHeading">
    <w:name w:val="TofSects(Heading)"/>
    <w:basedOn w:val="OPCParaBase"/>
    <w:semiHidden/>
    <w:rsid w:val="00F61B09"/>
    <w:pPr>
      <w:spacing w:before="240" w:after="120" w:line="240" w:lineRule="auto"/>
    </w:pPr>
    <w:rPr>
      <w:b/>
      <w:sz w:val="24"/>
    </w:rPr>
  </w:style>
  <w:style w:type="paragraph" w:customStyle="1" w:styleId="TofSectsSection">
    <w:name w:val="TofSects(Section)"/>
    <w:basedOn w:val="OPCParaBase"/>
    <w:semiHidden/>
    <w:rsid w:val="00F61B09"/>
    <w:pPr>
      <w:keepLines/>
      <w:spacing w:before="40" w:line="240" w:lineRule="auto"/>
      <w:ind w:left="1588" w:hanging="794"/>
    </w:pPr>
    <w:rPr>
      <w:kern w:val="28"/>
      <w:sz w:val="18"/>
    </w:rPr>
  </w:style>
  <w:style w:type="paragraph" w:customStyle="1" w:styleId="TofSectsSubdiv">
    <w:name w:val="TofSects(Subdiv)"/>
    <w:basedOn w:val="OPCParaBase"/>
    <w:semiHidden/>
    <w:rsid w:val="00F61B09"/>
    <w:pPr>
      <w:keepLines/>
      <w:spacing w:before="80" w:line="240" w:lineRule="auto"/>
      <w:ind w:left="1588" w:hanging="794"/>
    </w:pPr>
    <w:rPr>
      <w:kern w:val="28"/>
    </w:rPr>
  </w:style>
  <w:style w:type="paragraph" w:customStyle="1" w:styleId="WRStyle">
    <w:name w:val="WR Style"/>
    <w:aliases w:val="WR"/>
    <w:basedOn w:val="OPCParaBase"/>
    <w:semiHidden/>
    <w:rsid w:val="00F61B09"/>
    <w:pPr>
      <w:spacing w:before="240" w:line="240" w:lineRule="auto"/>
      <w:ind w:left="284" w:hanging="284"/>
    </w:pPr>
    <w:rPr>
      <w:b/>
      <w:i/>
      <w:kern w:val="28"/>
      <w:sz w:val="24"/>
    </w:rPr>
  </w:style>
  <w:style w:type="paragraph" w:customStyle="1" w:styleId="notepara">
    <w:name w:val="note(para)"/>
    <w:aliases w:val="na"/>
    <w:basedOn w:val="OPCParaBase"/>
    <w:semiHidden/>
    <w:rsid w:val="00F61B09"/>
    <w:pPr>
      <w:spacing w:before="40" w:line="198" w:lineRule="exact"/>
      <w:ind w:left="2354" w:hanging="369"/>
    </w:pPr>
    <w:rPr>
      <w:sz w:val="18"/>
    </w:rPr>
  </w:style>
  <w:style w:type="paragraph" w:styleId="Footer">
    <w:name w:val="footer"/>
    <w:link w:val="FooterChar"/>
    <w:uiPriority w:val="99"/>
    <w:rsid w:val="00F61B09"/>
    <w:pPr>
      <w:tabs>
        <w:tab w:val="center" w:pos="4153"/>
        <w:tab w:val="right" w:pos="8306"/>
      </w:tabs>
    </w:pPr>
    <w:rPr>
      <w:rFonts w:eastAsia="Times New Roman"/>
      <w:sz w:val="22"/>
      <w:szCs w:val="24"/>
    </w:rPr>
  </w:style>
  <w:style w:type="character" w:customStyle="1" w:styleId="FooterChar">
    <w:name w:val="Footer Char"/>
    <w:link w:val="Footer"/>
    <w:uiPriority w:val="99"/>
    <w:rsid w:val="00F61B09"/>
    <w:rPr>
      <w:rFonts w:eastAsia="Times New Roman" w:cs="Times New Roman"/>
      <w:sz w:val="22"/>
      <w:szCs w:val="24"/>
      <w:lang w:eastAsia="en-AU"/>
    </w:rPr>
  </w:style>
  <w:style w:type="character" w:styleId="LineNumber">
    <w:name w:val="line number"/>
    <w:uiPriority w:val="99"/>
    <w:semiHidden/>
    <w:unhideWhenUsed/>
    <w:rsid w:val="00F61B09"/>
    <w:rPr>
      <w:sz w:val="16"/>
    </w:rPr>
  </w:style>
  <w:style w:type="table" w:customStyle="1" w:styleId="CFlag">
    <w:name w:val="CFlag"/>
    <w:basedOn w:val="TableNormal"/>
    <w:uiPriority w:val="99"/>
    <w:rsid w:val="00F61B09"/>
    <w:rPr>
      <w:rFonts w:eastAsia="Times New Roman"/>
    </w:rPr>
    <w:tblPr/>
  </w:style>
  <w:style w:type="paragraph" w:styleId="BalloonText">
    <w:name w:val="Balloon Text"/>
    <w:basedOn w:val="Normal"/>
    <w:link w:val="BalloonTextChar"/>
    <w:uiPriority w:val="99"/>
    <w:semiHidden/>
    <w:unhideWhenUsed/>
    <w:rsid w:val="00F61B09"/>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61B09"/>
    <w:rPr>
      <w:rFonts w:ascii="Tahoma" w:hAnsi="Tahoma" w:cs="Tahoma"/>
      <w:sz w:val="16"/>
      <w:szCs w:val="16"/>
    </w:rPr>
  </w:style>
  <w:style w:type="table" w:styleId="TableGrid">
    <w:name w:val="Table Grid"/>
    <w:basedOn w:val="TableNormal"/>
    <w:uiPriority w:val="59"/>
    <w:rsid w:val="00F61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semiHidden/>
    <w:rsid w:val="00F61B09"/>
    <w:rPr>
      <w:b/>
      <w:sz w:val="28"/>
      <w:szCs w:val="32"/>
    </w:rPr>
  </w:style>
  <w:style w:type="paragraph" w:customStyle="1" w:styleId="LegislationMadeUnder">
    <w:name w:val="LegislationMadeUnder"/>
    <w:basedOn w:val="OPCParaBase"/>
    <w:next w:val="Normal"/>
    <w:semiHidden/>
    <w:rsid w:val="00F61B09"/>
    <w:rPr>
      <w:i/>
      <w:sz w:val="32"/>
      <w:szCs w:val="32"/>
    </w:rPr>
  </w:style>
  <w:style w:type="paragraph" w:customStyle="1" w:styleId="SignCoverPageEnd">
    <w:name w:val="SignCoverPageEnd"/>
    <w:basedOn w:val="OPCParaBase"/>
    <w:next w:val="Normal"/>
    <w:semiHidden/>
    <w:rsid w:val="00F61B09"/>
    <w:pPr>
      <w:keepNext/>
      <w:pBdr>
        <w:bottom w:val="single" w:sz="4" w:space="12" w:color="auto"/>
      </w:pBdr>
      <w:tabs>
        <w:tab w:val="left" w:pos="3402"/>
      </w:tabs>
      <w:spacing w:line="300" w:lineRule="atLeast"/>
      <w:ind w:right="397"/>
    </w:pPr>
  </w:style>
  <w:style w:type="paragraph" w:customStyle="1" w:styleId="LI-Fronttext">
    <w:name w:val="LI - Front text"/>
    <w:basedOn w:val="OPCParaBase"/>
    <w:next w:val="Normal"/>
    <w:rsid w:val="00572BB1"/>
    <w:pPr>
      <w:spacing w:before="240"/>
      <w:ind w:right="397"/>
    </w:pPr>
  </w:style>
  <w:style w:type="paragraph" w:customStyle="1" w:styleId="NotesHeading1">
    <w:name w:val="NotesHeading 1"/>
    <w:basedOn w:val="OPCParaBase"/>
    <w:next w:val="Normal"/>
    <w:semiHidden/>
    <w:rsid w:val="00F61B09"/>
    <w:pPr>
      <w:outlineLvl w:val="0"/>
    </w:pPr>
    <w:rPr>
      <w:b/>
      <w:sz w:val="28"/>
      <w:szCs w:val="28"/>
    </w:rPr>
  </w:style>
  <w:style w:type="paragraph" w:customStyle="1" w:styleId="NotesHeading2">
    <w:name w:val="NotesHeading 2"/>
    <w:basedOn w:val="OPCParaBase"/>
    <w:next w:val="Normal"/>
    <w:semiHidden/>
    <w:rsid w:val="00F61B09"/>
    <w:rPr>
      <w:b/>
      <w:sz w:val="28"/>
      <w:szCs w:val="28"/>
    </w:rPr>
  </w:style>
  <w:style w:type="paragraph" w:customStyle="1" w:styleId="CompiledActNo">
    <w:name w:val="CompiledActNo"/>
    <w:basedOn w:val="OPCParaBase"/>
    <w:next w:val="Normal"/>
    <w:semiHidden/>
    <w:rsid w:val="00F61B09"/>
    <w:rPr>
      <w:b/>
      <w:sz w:val="24"/>
      <w:szCs w:val="24"/>
    </w:rPr>
  </w:style>
  <w:style w:type="paragraph" w:customStyle="1" w:styleId="ENotesText">
    <w:name w:val="ENotesText"/>
    <w:aliases w:val="Ent"/>
    <w:basedOn w:val="OPCParaBase"/>
    <w:next w:val="Normal"/>
    <w:semiHidden/>
    <w:rsid w:val="00F61B09"/>
    <w:pPr>
      <w:spacing w:before="120"/>
    </w:pPr>
  </w:style>
  <w:style w:type="paragraph" w:customStyle="1" w:styleId="CompiledMadeUnder">
    <w:name w:val="CompiledMadeUnder"/>
    <w:basedOn w:val="OPCParaBase"/>
    <w:next w:val="Normal"/>
    <w:semiHidden/>
    <w:rsid w:val="00F61B09"/>
    <w:rPr>
      <w:i/>
      <w:sz w:val="24"/>
      <w:szCs w:val="24"/>
    </w:rPr>
  </w:style>
  <w:style w:type="paragraph" w:customStyle="1" w:styleId="Paragraphsub-sub-sub">
    <w:name w:val="Paragraph(sub-sub-sub)"/>
    <w:aliases w:val="aaaa"/>
    <w:basedOn w:val="OPCParaBase"/>
    <w:semiHidden/>
    <w:rsid w:val="00F61B09"/>
    <w:pPr>
      <w:tabs>
        <w:tab w:val="right" w:pos="3402"/>
      </w:tabs>
      <w:spacing w:before="40" w:line="240" w:lineRule="auto"/>
      <w:ind w:left="3402" w:hanging="3402"/>
    </w:pPr>
  </w:style>
  <w:style w:type="paragraph" w:customStyle="1" w:styleId="TableTextEndNotes">
    <w:name w:val="TableTextEndNotes"/>
    <w:aliases w:val="Tten"/>
    <w:basedOn w:val="Normal"/>
    <w:semiHidden/>
    <w:rsid w:val="00F61B09"/>
    <w:pPr>
      <w:spacing w:before="60" w:line="240" w:lineRule="auto"/>
    </w:pPr>
    <w:rPr>
      <w:rFonts w:cs="Arial"/>
      <w:sz w:val="20"/>
      <w:szCs w:val="22"/>
    </w:rPr>
  </w:style>
  <w:style w:type="paragraph" w:customStyle="1" w:styleId="NoteToSubpara">
    <w:name w:val="NoteToSubpara"/>
    <w:aliases w:val="nts"/>
    <w:basedOn w:val="OPCParaBase"/>
    <w:semiHidden/>
    <w:rsid w:val="00F61B09"/>
    <w:pPr>
      <w:spacing w:before="40" w:line="198" w:lineRule="exact"/>
      <w:ind w:left="2835" w:hanging="709"/>
    </w:pPr>
    <w:rPr>
      <w:sz w:val="18"/>
    </w:rPr>
  </w:style>
  <w:style w:type="paragraph" w:customStyle="1" w:styleId="ENoteTableHeading">
    <w:name w:val="ENoteTableHeading"/>
    <w:aliases w:val="enth"/>
    <w:basedOn w:val="OPCParaBase"/>
    <w:semiHidden/>
    <w:rsid w:val="00F61B09"/>
    <w:pPr>
      <w:keepNext/>
      <w:spacing w:before="60" w:line="240" w:lineRule="atLeast"/>
    </w:pPr>
    <w:rPr>
      <w:rFonts w:ascii="Arial" w:hAnsi="Arial"/>
      <w:b/>
      <w:sz w:val="16"/>
    </w:rPr>
  </w:style>
  <w:style w:type="paragraph" w:customStyle="1" w:styleId="ENoteTTi">
    <w:name w:val="ENoteTTi"/>
    <w:aliases w:val="entti"/>
    <w:basedOn w:val="OPCParaBase"/>
    <w:semiHidden/>
    <w:rsid w:val="00F61B09"/>
    <w:pPr>
      <w:keepNext/>
      <w:spacing w:before="60" w:line="240" w:lineRule="atLeast"/>
      <w:ind w:left="170"/>
    </w:pPr>
    <w:rPr>
      <w:sz w:val="16"/>
    </w:rPr>
  </w:style>
  <w:style w:type="paragraph" w:customStyle="1" w:styleId="ENotesHeading1">
    <w:name w:val="ENotesHeading 1"/>
    <w:aliases w:val="Enh1"/>
    <w:basedOn w:val="OPCParaBase"/>
    <w:next w:val="Normal"/>
    <w:semiHidden/>
    <w:rsid w:val="00F61B09"/>
    <w:pPr>
      <w:spacing w:before="120"/>
      <w:outlineLvl w:val="1"/>
    </w:pPr>
    <w:rPr>
      <w:b/>
      <w:sz w:val="28"/>
      <w:szCs w:val="28"/>
    </w:rPr>
  </w:style>
  <w:style w:type="paragraph" w:customStyle="1" w:styleId="ENotesHeading2">
    <w:name w:val="ENotesHeading 2"/>
    <w:aliases w:val="Enh2"/>
    <w:basedOn w:val="OPCParaBase"/>
    <w:next w:val="Normal"/>
    <w:semiHidden/>
    <w:rsid w:val="00F61B09"/>
    <w:pPr>
      <w:spacing w:before="120" w:after="120"/>
      <w:outlineLvl w:val="2"/>
    </w:pPr>
    <w:rPr>
      <w:b/>
      <w:sz w:val="24"/>
      <w:szCs w:val="28"/>
    </w:rPr>
  </w:style>
  <w:style w:type="paragraph" w:customStyle="1" w:styleId="ENoteTTIndentHeading">
    <w:name w:val="ENoteTTIndentHeading"/>
    <w:aliases w:val="enTTHi"/>
    <w:basedOn w:val="OPCParaBase"/>
    <w:semiHidden/>
    <w:rsid w:val="00F61B09"/>
    <w:pPr>
      <w:keepNext/>
      <w:spacing w:before="60" w:line="240" w:lineRule="atLeast"/>
      <w:ind w:left="170"/>
    </w:pPr>
    <w:rPr>
      <w:rFonts w:cs="Arial"/>
      <w:b/>
      <w:sz w:val="16"/>
      <w:szCs w:val="16"/>
    </w:rPr>
  </w:style>
  <w:style w:type="paragraph" w:customStyle="1" w:styleId="ENoteTableText">
    <w:name w:val="ENoteTableText"/>
    <w:aliases w:val="entt"/>
    <w:basedOn w:val="OPCParaBase"/>
    <w:semiHidden/>
    <w:rsid w:val="00F61B09"/>
    <w:pPr>
      <w:spacing w:before="60" w:line="240" w:lineRule="atLeast"/>
    </w:pPr>
    <w:rPr>
      <w:sz w:val="16"/>
    </w:rPr>
  </w:style>
  <w:style w:type="paragraph" w:customStyle="1" w:styleId="MadeunderText">
    <w:name w:val="MadeunderText"/>
    <w:basedOn w:val="OPCParaBase"/>
    <w:next w:val="CompiledMadeUnder"/>
    <w:semiHidden/>
    <w:rsid w:val="00F61B09"/>
    <w:pPr>
      <w:spacing w:before="240"/>
    </w:pPr>
    <w:rPr>
      <w:sz w:val="24"/>
      <w:szCs w:val="24"/>
    </w:rPr>
  </w:style>
  <w:style w:type="paragraph" w:customStyle="1" w:styleId="ENotesHeading3">
    <w:name w:val="ENotesHeading 3"/>
    <w:aliases w:val="Enh3"/>
    <w:basedOn w:val="OPCParaBase"/>
    <w:next w:val="Normal"/>
    <w:semiHidden/>
    <w:rsid w:val="00F61B09"/>
    <w:pPr>
      <w:keepNext/>
      <w:spacing w:before="120" w:line="240" w:lineRule="auto"/>
      <w:outlineLvl w:val="4"/>
    </w:pPr>
    <w:rPr>
      <w:b/>
      <w:szCs w:val="24"/>
    </w:rPr>
  </w:style>
  <w:style w:type="paragraph" w:customStyle="1" w:styleId="SubPartCASA">
    <w:name w:val="SubPart(CASA)"/>
    <w:aliases w:val="csp"/>
    <w:basedOn w:val="OPCParaBase"/>
    <w:next w:val="ActHead3"/>
    <w:semiHidden/>
    <w:rsid w:val="00F61B09"/>
    <w:pPr>
      <w:keepNext/>
      <w:keepLines/>
      <w:spacing w:before="280"/>
      <w:outlineLvl w:val="1"/>
    </w:pPr>
    <w:rPr>
      <w:b/>
      <w:kern w:val="28"/>
      <w:sz w:val="32"/>
    </w:rPr>
  </w:style>
  <w:style w:type="character" w:customStyle="1" w:styleId="CharSubPartTextCASA">
    <w:name w:val="CharSubPartText(CASA)"/>
    <w:basedOn w:val="OPCCharBase"/>
    <w:uiPriority w:val="1"/>
    <w:semiHidden/>
    <w:rsid w:val="00F61B09"/>
  </w:style>
  <w:style w:type="character" w:customStyle="1" w:styleId="CharSubPartNoCASA">
    <w:name w:val="CharSubPartNo(CASA)"/>
    <w:basedOn w:val="OPCCharBase"/>
    <w:uiPriority w:val="1"/>
    <w:semiHidden/>
    <w:rsid w:val="00F61B09"/>
  </w:style>
  <w:style w:type="paragraph" w:customStyle="1" w:styleId="ENoteTTIndentHeadingSub">
    <w:name w:val="ENoteTTIndentHeadingSub"/>
    <w:aliases w:val="enTTHis"/>
    <w:basedOn w:val="OPCParaBase"/>
    <w:semiHidden/>
    <w:rsid w:val="00F61B09"/>
    <w:pPr>
      <w:keepNext/>
      <w:spacing w:before="60" w:line="240" w:lineRule="atLeast"/>
      <w:ind w:left="340"/>
    </w:pPr>
    <w:rPr>
      <w:b/>
      <w:sz w:val="16"/>
    </w:rPr>
  </w:style>
  <w:style w:type="paragraph" w:customStyle="1" w:styleId="ENoteTTiSub">
    <w:name w:val="ENoteTTiSub"/>
    <w:aliases w:val="enttis"/>
    <w:basedOn w:val="OPCParaBase"/>
    <w:semiHidden/>
    <w:rsid w:val="00F61B09"/>
    <w:pPr>
      <w:keepNext/>
      <w:spacing w:before="60" w:line="240" w:lineRule="atLeast"/>
      <w:ind w:left="340"/>
    </w:pPr>
    <w:rPr>
      <w:sz w:val="16"/>
    </w:rPr>
  </w:style>
  <w:style w:type="paragraph" w:customStyle="1" w:styleId="SubDivisionMigration">
    <w:name w:val="SubDivisionMigration"/>
    <w:aliases w:val="sdm"/>
    <w:basedOn w:val="OPCParaBase"/>
    <w:semiHidden/>
    <w:rsid w:val="00F61B0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semiHidden/>
    <w:rsid w:val="00F61B09"/>
    <w:pPr>
      <w:keepNext/>
      <w:keepLines/>
      <w:spacing w:before="240" w:line="240" w:lineRule="auto"/>
      <w:ind w:left="1134" w:hanging="1134"/>
    </w:pPr>
    <w:rPr>
      <w:b/>
      <w:sz w:val="28"/>
    </w:rPr>
  </w:style>
  <w:style w:type="paragraph" w:customStyle="1" w:styleId="LI-BodyTextNote">
    <w:name w:val="LI - Body Text Note"/>
    <w:basedOn w:val="OPCParaBase"/>
    <w:link w:val="LI-BodyTextNoteChar"/>
    <w:rsid w:val="00572BB1"/>
    <w:pPr>
      <w:spacing w:before="200" w:line="240" w:lineRule="auto"/>
      <w:ind w:left="1701" w:hanging="567"/>
    </w:pPr>
    <w:rPr>
      <w:sz w:val="18"/>
    </w:rPr>
  </w:style>
  <w:style w:type="paragraph" w:customStyle="1" w:styleId="FreeForm">
    <w:name w:val="FreeForm"/>
    <w:rsid w:val="00E11E44"/>
    <w:rPr>
      <w:rFonts w:ascii="Arial" w:hAnsi="Arial"/>
      <w:sz w:val="22"/>
      <w:lang w:eastAsia="en-US"/>
    </w:rPr>
  </w:style>
  <w:style w:type="paragraph" w:customStyle="1" w:styleId="SOText">
    <w:name w:val="SO Text"/>
    <w:aliases w:val="sot"/>
    <w:link w:val="SOTextChar"/>
    <w:semiHidden/>
    <w:rsid w:val="00F61B09"/>
    <w:pPr>
      <w:pBdr>
        <w:top w:val="single" w:sz="6" w:space="5" w:color="auto"/>
        <w:left w:val="single" w:sz="6" w:space="5" w:color="auto"/>
        <w:bottom w:val="single" w:sz="6" w:space="5" w:color="auto"/>
        <w:right w:val="single" w:sz="6" w:space="5" w:color="auto"/>
      </w:pBdr>
      <w:spacing w:before="240"/>
      <w:ind w:left="1134"/>
    </w:pPr>
    <w:rPr>
      <w:sz w:val="22"/>
      <w:lang w:eastAsia="en-US"/>
    </w:rPr>
  </w:style>
  <w:style w:type="character" w:customStyle="1" w:styleId="SOTextChar">
    <w:name w:val="SO Text Char"/>
    <w:aliases w:val="sot Char"/>
    <w:link w:val="SOText"/>
    <w:semiHidden/>
    <w:rsid w:val="005F65CD"/>
    <w:rPr>
      <w:sz w:val="22"/>
      <w:lang w:eastAsia="en-US"/>
    </w:rPr>
  </w:style>
  <w:style w:type="paragraph" w:customStyle="1" w:styleId="SOTextNote">
    <w:name w:val="SO TextNote"/>
    <w:aliases w:val="sont"/>
    <w:basedOn w:val="SOText"/>
    <w:semiHidden/>
    <w:qFormat/>
    <w:rsid w:val="00F61B09"/>
    <w:pPr>
      <w:spacing w:before="122" w:line="198" w:lineRule="exact"/>
      <w:ind w:left="1843" w:hanging="709"/>
    </w:pPr>
    <w:rPr>
      <w:sz w:val="18"/>
    </w:rPr>
  </w:style>
  <w:style w:type="paragraph" w:customStyle="1" w:styleId="SOPara">
    <w:name w:val="SO Para"/>
    <w:aliases w:val="soa"/>
    <w:basedOn w:val="SOText"/>
    <w:link w:val="SOParaChar"/>
    <w:semiHidden/>
    <w:qFormat/>
    <w:rsid w:val="00F61B09"/>
    <w:pPr>
      <w:tabs>
        <w:tab w:val="right" w:pos="1786"/>
      </w:tabs>
      <w:spacing w:before="40"/>
      <w:ind w:left="2070" w:hanging="936"/>
    </w:pPr>
  </w:style>
  <w:style w:type="character" w:customStyle="1" w:styleId="SOParaChar">
    <w:name w:val="SO Para Char"/>
    <w:aliases w:val="soa Char"/>
    <w:link w:val="SOPara"/>
    <w:semiHidden/>
    <w:rsid w:val="005F65CD"/>
    <w:rPr>
      <w:sz w:val="22"/>
      <w:lang w:eastAsia="en-US"/>
    </w:rPr>
  </w:style>
  <w:style w:type="paragraph" w:customStyle="1" w:styleId="FileName">
    <w:name w:val="FileName"/>
    <w:basedOn w:val="Normal"/>
    <w:semiHidden/>
    <w:rsid w:val="00F61B09"/>
  </w:style>
  <w:style w:type="paragraph" w:customStyle="1" w:styleId="TableHeading">
    <w:name w:val="TableHeading"/>
    <w:aliases w:val="th"/>
    <w:basedOn w:val="OPCParaBase"/>
    <w:next w:val="Tabletext"/>
    <w:semiHidden/>
    <w:rsid w:val="00F61B09"/>
    <w:pPr>
      <w:keepNext/>
      <w:spacing w:before="60" w:line="240" w:lineRule="atLeast"/>
    </w:pPr>
    <w:rPr>
      <w:b/>
      <w:sz w:val="20"/>
    </w:rPr>
  </w:style>
  <w:style w:type="paragraph" w:customStyle="1" w:styleId="SOHeadBold">
    <w:name w:val="SO HeadBold"/>
    <w:aliases w:val="sohb"/>
    <w:basedOn w:val="SOText"/>
    <w:next w:val="SOText"/>
    <w:link w:val="SOHeadBoldChar"/>
    <w:semiHidden/>
    <w:qFormat/>
    <w:rsid w:val="00F61B09"/>
    <w:rPr>
      <w:b/>
    </w:rPr>
  </w:style>
  <w:style w:type="character" w:customStyle="1" w:styleId="SOHeadBoldChar">
    <w:name w:val="SO HeadBold Char"/>
    <w:aliases w:val="sohb Char"/>
    <w:link w:val="SOHeadBold"/>
    <w:semiHidden/>
    <w:rsid w:val="005F65CD"/>
    <w:rPr>
      <w:b/>
      <w:sz w:val="22"/>
      <w:lang w:eastAsia="en-US"/>
    </w:rPr>
  </w:style>
  <w:style w:type="paragraph" w:customStyle="1" w:styleId="SOHeadItalic">
    <w:name w:val="SO HeadItalic"/>
    <w:aliases w:val="sohi"/>
    <w:basedOn w:val="SOText"/>
    <w:next w:val="SOText"/>
    <w:link w:val="SOHeadItalicChar"/>
    <w:semiHidden/>
    <w:qFormat/>
    <w:rsid w:val="00F61B09"/>
    <w:rPr>
      <w:i/>
    </w:rPr>
  </w:style>
  <w:style w:type="character" w:customStyle="1" w:styleId="SOHeadItalicChar">
    <w:name w:val="SO HeadItalic Char"/>
    <w:aliases w:val="sohi Char"/>
    <w:link w:val="SOHeadItalic"/>
    <w:semiHidden/>
    <w:rsid w:val="005F65CD"/>
    <w:rPr>
      <w:i/>
      <w:sz w:val="22"/>
      <w:lang w:eastAsia="en-US"/>
    </w:rPr>
  </w:style>
  <w:style w:type="paragraph" w:customStyle="1" w:styleId="SOBullet">
    <w:name w:val="SO Bullet"/>
    <w:aliases w:val="sotb"/>
    <w:basedOn w:val="SOText"/>
    <w:link w:val="SOBulletChar"/>
    <w:semiHidden/>
    <w:qFormat/>
    <w:rsid w:val="00F61B09"/>
    <w:pPr>
      <w:ind w:left="1559" w:hanging="425"/>
    </w:pPr>
  </w:style>
  <w:style w:type="character" w:customStyle="1" w:styleId="SOBulletChar">
    <w:name w:val="SO Bullet Char"/>
    <w:aliases w:val="sotb Char"/>
    <w:link w:val="SOBullet"/>
    <w:semiHidden/>
    <w:rsid w:val="005F65CD"/>
    <w:rPr>
      <w:sz w:val="22"/>
      <w:lang w:eastAsia="en-US"/>
    </w:rPr>
  </w:style>
  <w:style w:type="paragraph" w:customStyle="1" w:styleId="SOBulletNote">
    <w:name w:val="SO BulletNote"/>
    <w:aliases w:val="sonb"/>
    <w:basedOn w:val="SOTextNote"/>
    <w:link w:val="SOBulletNoteChar"/>
    <w:semiHidden/>
    <w:qFormat/>
    <w:rsid w:val="00F61B09"/>
    <w:pPr>
      <w:tabs>
        <w:tab w:val="left" w:pos="1560"/>
      </w:tabs>
      <w:ind w:left="2268" w:hanging="1134"/>
    </w:pPr>
  </w:style>
  <w:style w:type="character" w:customStyle="1" w:styleId="SOBulletNoteChar">
    <w:name w:val="SO BulletNote Char"/>
    <w:aliases w:val="sonb Char"/>
    <w:link w:val="SOBulletNote"/>
    <w:semiHidden/>
    <w:rsid w:val="005F65CD"/>
    <w:rPr>
      <w:sz w:val="18"/>
      <w:lang w:eastAsia="en-US"/>
    </w:rPr>
  </w:style>
  <w:style w:type="paragraph" w:customStyle="1" w:styleId="SOText2">
    <w:name w:val="SO Text2"/>
    <w:aliases w:val="sot2"/>
    <w:basedOn w:val="Normal"/>
    <w:next w:val="SOText"/>
    <w:link w:val="SOText2Char"/>
    <w:semiHidden/>
    <w:rsid w:val="00F61B0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link w:val="SOText2"/>
    <w:semiHidden/>
    <w:rsid w:val="005F65CD"/>
    <w:rPr>
      <w:sz w:val="22"/>
      <w:lang w:eastAsia="en-US"/>
    </w:rPr>
  </w:style>
  <w:style w:type="paragraph" w:styleId="BodyText">
    <w:name w:val="Body Text"/>
    <w:link w:val="BodyTextChar"/>
    <w:semiHidden/>
    <w:rsid w:val="00F02EF9"/>
    <w:pPr>
      <w:overflowPunct w:val="0"/>
      <w:autoSpaceDE w:val="0"/>
      <w:autoSpaceDN w:val="0"/>
      <w:adjustRightInd w:val="0"/>
      <w:spacing w:before="40" w:after="160" w:line="300" w:lineRule="atLeast"/>
    </w:pPr>
    <w:rPr>
      <w:rFonts w:eastAsia="Times New Roman"/>
      <w:color w:val="000000"/>
      <w:sz w:val="24"/>
      <w:lang w:eastAsia="en-US"/>
    </w:rPr>
  </w:style>
  <w:style w:type="character" w:customStyle="1" w:styleId="BodyTextChar">
    <w:name w:val="Body Text Char"/>
    <w:link w:val="BodyText"/>
    <w:semiHidden/>
    <w:rsid w:val="00F02EF9"/>
    <w:rPr>
      <w:rFonts w:eastAsia="Times New Roman" w:cs="Times New Roman"/>
      <w:color w:val="000000"/>
      <w:sz w:val="24"/>
    </w:rPr>
  </w:style>
  <w:style w:type="paragraph" w:styleId="BodyTextIndent">
    <w:name w:val="Body Text Indent"/>
    <w:basedOn w:val="Normal"/>
    <w:link w:val="BodyTextIndentChar"/>
    <w:semiHidden/>
    <w:unhideWhenUsed/>
    <w:rsid w:val="00840442"/>
    <w:pPr>
      <w:spacing w:after="120"/>
      <w:ind w:left="283"/>
    </w:pPr>
  </w:style>
  <w:style w:type="character" w:customStyle="1" w:styleId="BodyTextIndentChar">
    <w:name w:val="Body Text Indent Char"/>
    <w:link w:val="BodyTextIndent"/>
    <w:uiPriority w:val="99"/>
    <w:semiHidden/>
    <w:rsid w:val="00840442"/>
    <w:rPr>
      <w:sz w:val="22"/>
    </w:rPr>
  </w:style>
  <w:style w:type="character" w:styleId="Hyperlink">
    <w:name w:val="Hyperlink"/>
    <w:uiPriority w:val="99"/>
    <w:rsid w:val="00840442"/>
    <w:rPr>
      <w:color w:val="0000FF"/>
      <w:u w:val="single"/>
    </w:rPr>
  </w:style>
  <w:style w:type="character" w:styleId="PageNumber">
    <w:name w:val="page number"/>
    <w:basedOn w:val="DefaultParagraphFont"/>
    <w:semiHidden/>
    <w:rsid w:val="00840442"/>
  </w:style>
  <w:style w:type="character" w:customStyle="1" w:styleId="Heading1Char">
    <w:name w:val="Heading 1 Char"/>
    <w:link w:val="Heading1"/>
    <w:uiPriority w:val="9"/>
    <w:rsid w:val="008945E0"/>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8945E0"/>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8945E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8945E0"/>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8945E0"/>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8945E0"/>
    <w:rPr>
      <w:rFonts w:ascii="Calibri" w:eastAsia="Times New Roman" w:hAnsi="Calibri" w:cs="Times New Roman"/>
      <w:b/>
      <w:bCs/>
      <w:sz w:val="22"/>
      <w:szCs w:val="22"/>
      <w:lang w:eastAsia="en-US"/>
    </w:rPr>
  </w:style>
  <w:style w:type="character" w:customStyle="1" w:styleId="Heading7Char">
    <w:name w:val="Heading 7 Char"/>
    <w:link w:val="Heading7"/>
    <w:uiPriority w:val="9"/>
    <w:semiHidden/>
    <w:rsid w:val="008945E0"/>
    <w:rPr>
      <w:rFonts w:ascii="Calibri" w:eastAsia="Times New Roman" w:hAnsi="Calibri" w:cs="Times New Roman"/>
      <w:sz w:val="24"/>
      <w:szCs w:val="24"/>
      <w:lang w:eastAsia="en-US"/>
    </w:rPr>
  </w:style>
  <w:style w:type="character" w:customStyle="1" w:styleId="Heading8Char">
    <w:name w:val="Heading 8 Char"/>
    <w:link w:val="Heading8"/>
    <w:uiPriority w:val="9"/>
    <w:semiHidden/>
    <w:rsid w:val="008945E0"/>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8945E0"/>
    <w:rPr>
      <w:rFonts w:ascii="Cambria" w:eastAsia="Times New Roman" w:hAnsi="Cambria" w:cs="Times New Roman"/>
      <w:sz w:val="22"/>
      <w:szCs w:val="22"/>
      <w:lang w:eastAsia="en-US"/>
    </w:rPr>
  </w:style>
  <w:style w:type="paragraph" w:customStyle="1" w:styleId="LI-BodyTextSubparai">
    <w:name w:val="LI - Body Text Subpara (i)"/>
    <w:basedOn w:val="LI-BodyTextParaa"/>
    <w:link w:val="LI-BodyTextSubparaiChar"/>
    <w:qFormat/>
    <w:rsid w:val="00FC3EB8"/>
    <w:pPr>
      <w:ind w:left="2268"/>
    </w:pPr>
  </w:style>
  <w:style w:type="paragraph" w:customStyle="1" w:styleId="LI-BodyTextSubsubparaA">
    <w:name w:val="LI - Body Text Subsubpara (A)"/>
    <w:basedOn w:val="LI-BodyTextParaa"/>
    <w:link w:val="LI-BodyTextSubsubparaAChar"/>
    <w:qFormat/>
    <w:rsid w:val="00FC3EB8"/>
    <w:pPr>
      <w:ind w:left="2835"/>
    </w:pPr>
  </w:style>
  <w:style w:type="character" w:customStyle="1" w:styleId="OPCParaBaseChar">
    <w:name w:val="OPCParaBase Char"/>
    <w:link w:val="OPCParaBase"/>
    <w:semiHidden/>
    <w:rsid w:val="005F65CD"/>
    <w:rPr>
      <w:rFonts w:eastAsia="Times New Roman"/>
      <w:sz w:val="22"/>
    </w:rPr>
  </w:style>
  <w:style w:type="character" w:customStyle="1" w:styleId="LI-BodyTextParaaChar">
    <w:name w:val="LI - Body Text Para (a) Char"/>
    <w:link w:val="LI-BodyTextParaa"/>
    <w:rsid w:val="00FC3EB8"/>
    <w:rPr>
      <w:rFonts w:eastAsia="Times New Roman"/>
      <w:sz w:val="24"/>
      <w:szCs w:val="24"/>
    </w:rPr>
  </w:style>
  <w:style w:type="character" w:customStyle="1" w:styleId="LI-BodyTextSubparaiChar">
    <w:name w:val="LI - Body Text Subpara (i) Char"/>
    <w:basedOn w:val="LI-BodyTextParaaChar"/>
    <w:link w:val="LI-BodyTextSubparai"/>
    <w:rsid w:val="00FC3EB8"/>
    <w:rPr>
      <w:rFonts w:eastAsia="Times New Roman"/>
      <w:sz w:val="24"/>
      <w:szCs w:val="24"/>
    </w:rPr>
  </w:style>
  <w:style w:type="paragraph" w:customStyle="1" w:styleId="LI-BodyTextNumbered">
    <w:name w:val="LI - Body Text Numbered"/>
    <w:basedOn w:val="LI-BodyTextUnnumbered"/>
    <w:link w:val="LI-BodyTextNumberedChar"/>
    <w:qFormat/>
    <w:rsid w:val="00005446"/>
    <w:pPr>
      <w:ind w:hanging="567"/>
    </w:pPr>
    <w:rPr>
      <w:szCs w:val="24"/>
    </w:rPr>
  </w:style>
  <w:style w:type="character" w:customStyle="1" w:styleId="LI-BodyTextSubsubparaAChar">
    <w:name w:val="LI - Body Text Subsubpara (A) Char"/>
    <w:basedOn w:val="LI-BodyTextParaaChar"/>
    <w:link w:val="LI-BodyTextSubsubparaA"/>
    <w:rsid w:val="00FC3EB8"/>
    <w:rPr>
      <w:rFonts w:eastAsia="Times New Roman"/>
      <w:sz w:val="24"/>
      <w:szCs w:val="24"/>
    </w:rPr>
  </w:style>
  <w:style w:type="paragraph" w:customStyle="1" w:styleId="LI-Footer">
    <w:name w:val="LI - Footer"/>
    <w:basedOn w:val="Normal"/>
    <w:link w:val="LI-FooterChar"/>
    <w:qFormat/>
    <w:rsid w:val="002B4A0D"/>
    <w:pPr>
      <w:pBdr>
        <w:top w:val="single" w:sz="6" w:space="1" w:color="auto"/>
      </w:pBdr>
      <w:tabs>
        <w:tab w:val="right" w:pos="8313"/>
      </w:tabs>
      <w:spacing w:before="120" w:line="0" w:lineRule="atLeast"/>
    </w:pPr>
    <w:rPr>
      <w:i/>
      <w:sz w:val="18"/>
    </w:rPr>
  </w:style>
  <w:style w:type="character" w:customStyle="1" w:styleId="LI-BodyTextUnnumberedChar">
    <w:name w:val="LI - Body Text Unnumbered Char"/>
    <w:link w:val="LI-BodyTextUnnumbered"/>
    <w:rsid w:val="006E5320"/>
    <w:rPr>
      <w:rFonts w:eastAsia="Times New Roman"/>
      <w:sz w:val="24"/>
    </w:rPr>
  </w:style>
  <w:style w:type="character" w:customStyle="1" w:styleId="LI-BodyTextNumberedChar">
    <w:name w:val="LI - Body Text Numbered Char"/>
    <w:link w:val="LI-BodyTextNumbered"/>
    <w:rsid w:val="00005446"/>
    <w:rPr>
      <w:rFonts w:eastAsia="Times New Roman"/>
      <w:sz w:val="24"/>
      <w:szCs w:val="24"/>
    </w:rPr>
  </w:style>
  <w:style w:type="paragraph" w:customStyle="1" w:styleId="LI-SectionHeading">
    <w:name w:val="LI - Section Heading"/>
    <w:basedOn w:val="LI-BodyTextUnnumbered"/>
    <w:link w:val="LI-SectionHeadingChar"/>
    <w:qFormat/>
    <w:rsid w:val="002B4A0D"/>
    <w:pPr>
      <w:ind w:left="2268" w:hanging="567"/>
    </w:pPr>
    <w:rPr>
      <w:b/>
      <w:szCs w:val="24"/>
    </w:rPr>
  </w:style>
  <w:style w:type="character" w:customStyle="1" w:styleId="LI-FooterChar">
    <w:name w:val="LI - Footer Char"/>
    <w:link w:val="LI-Footer"/>
    <w:rsid w:val="002B4A0D"/>
    <w:rPr>
      <w:i/>
      <w:sz w:val="18"/>
      <w:lang w:eastAsia="en-US"/>
    </w:rPr>
  </w:style>
  <w:style w:type="paragraph" w:customStyle="1" w:styleId="LI-SectionSubsectionText">
    <w:name w:val="LI - Section Subsection Text"/>
    <w:basedOn w:val="LI-BodyTextUnnumbered"/>
    <w:link w:val="LI-SectionSubsectionTextChar"/>
    <w:qFormat/>
    <w:rsid w:val="006554FF"/>
    <w:pPr>
      <w:ind w:left="2268" w:hanging="567"/>
    </w:pPr>
    <w:rPr>
      <w:szCs w:val="24"/>
    </w:rPr>
  </w:style>
  <w:style w:type="character" w:customStyle="1" w:styleId="LI-SectionHeadingChar">
    <w:name w:val="LI - Section Heading Char"/>
    <w:link w:val="LI-SectionHeading"/>
    <w:rsid w:val="002B4A0D"/>
    <w:rPr>
      <w:rFonts w:eastAsia="Times New Roman"/>
      <w:b/>
      <w:sz w:val="24"/>
      <w:szCs w:val="24"/>
    </w:rPr>
  </w:style>
  <w:style w:type="paragraph" w:customStyle="1" w:styleId="LI-SectionNote">
    <w:name w:val="LI - Section Note"/>
    <w:basedOn w:val="LI-BodyTextNote"/>
    <w:link w:val="LI-SectionNoteChar"/>
    <w:qFormat/>
    <w:rsid w:val="006554FF"/>
    <w:pPr>
      <w:spacing w:before="240"/>
      <w:ind w:left="2835"/>
    </w:pPr>
  </w:style>
  <w:style w:type="character" w:customStyle="1" w:styleId="LI-SectionSubsectionTextChar">
    <w:name w:val="LI - Section Subsection Text Char"/>
    <w:link w:val="LI-SectionSubsectionText"/>
    <w:rsid w:val="006554FF"/>
    <w:rPr>
      <w:rFonts w:eastAsia="Times New Roman"/>
      <w:sz w:val="24"/>
      <w:szCs w:val="24"/>
    </w:rPr>
  </w:style>
  <w:style w:type="paragraph" w:customStyle="1" w:styleId="LI-Sectionparaa">
    <w:name w:val="LI - Section para (a)"/>
    <w:basedOn w:val="LI-BodyTextUnnumbered"/>
    <w:link w:val="LI-SectionparaaChar"/>
    <w:qFormat/>
    <w:rsid w:val="006554FF"/>
    <w:pPr>
      <w:ind w:left="2835" w:hanging="567"/>
    </w:pPr>
    <w:rPr>
      <w:szCs w:val="24"/>
    </w:rPr>
  </w:style>
  <w:style w:type="character" w:customStyle="1" w:styleId="LI-BodyTextNoteChar">
    <w:name w:val="LI - Body Text Note Char"/>
    <w:link w:val="LI-BodyTextNote"/>
    <w:rsid w:val="00572BB1"/>
    <w:rPr>
      <w:rFonts w:eastAsia="Times New Roman"/>
      <w:sz w:val="18"/>
    </w:rPr>
  </w:style>
  <w:style w:type="character" w:customStyle="1" w:styleId="LI-SectionNoteChar">
    <w:name w:val="LI - Section Note Char"/>
    <w:basedOn w:val="LI-BodyTextNoteChar"/>
    <w:link w:val="LI-SectionNote"/>
    <w:rsid w:val="006554FF"/>
    <w:rPr>
      <w:rFonts w:eastAsia="Times New Roman"/>
      <w:sz w:val="18"/>
    </w:rPr>
  </w:style>
  <w:style w:type="paragraph" w:customStyle="1" w:styleId="LI-Sectionsubparai">
    <w:name w:val="LI - Section subpara (i)"/>
    <w:basedOn w:val="LI-BodyTextUnnumbered"/>
    <w:link w:val="LI-SectionsubparaiChar"/>
    <w:qFormat/>
    <w:rsid w:val="006554FF"/>
    <w:pPr>
      <w:ind w:left="3402" w:hanging="567"/>
    </w:pPr>
    <w:rPr>
      <w:szCs w:val="24"/>
    </w:rPr>
  </w:style>
  <w:style w:type="character" w:customStyle="1" w:styleId="LI-SectionparaaChar">
    <w:name w:val="LI - Section para (a) Char"/>
    <w:link w:val="LI-Sectionparaa"/>
    <w:rsid w:val="006554FF"/>
    <w:rPr>
      <w:rFonts w:eastAsia="Times New Roman"/>
      <w:sz w:val="24"/>
      <w:szCs w:val="24"/>
    </w:rPr>
  </w:style>
  <w:style w:type="paragraph" w:customStyle="1" w:styleId="LI-SectionsubsubparaA">
    <w:name w:val="LI - Section subsubpara (A)"/>
    <w:basedOn w:val="LI-BodyTextUnnumbered"/>
    <w:link w:val="LI-SectionsubsubparaAChar"/>
    <w:qFormat/>
    <w:rsid w:val="006554FF"/>
    <w:pPr>
      <w:ind w:left="3969" w:hanging="567"/>
    </w:pPr>
    <w:rPr>
      <w:szCs w:val="24"/>
    </w:rPr>
  </w:style>
  <w:style w:type="character" w:customStyle="1" w:styleId="LI-SectionsubparaiChar">
    <w:name w:val="LI - Section subpara (i) Char"/>
    <w:link w:val="LI-Sectionsubparai"/>
    <w:rsid w:val="006554FF"/>
    <w:rPr>
      <w:rFonts w:eastAsia="Times New Roman"/>
      <w:sz w:val="24"/>
      <w:szCs w:val="24"/>
    </w:rPr>
  </w:style>
  <w:style w:type="character" w:customStyle="1" w:styleId="LI-SectionsubsubparaAChar">
    <w:name w:val="LI - Section subsubpara (A) Char"/>
    <w:link w:val="LI-SectionsubsubparaA"/>
    <w:rsid w:val="006554FF"/>
    <w:rPr>
      <w:rFonts w:eastAsia="Times New Roman"/>
      <w:sz w:val="24"/>
      <w:szCs w:val="24"/>
    </w:rPr>
  </w:style>
  <w:style w:type="paragraph" w:customStyle="1" w:styleId="LI-SectionsubsubsubparaI">
    <w:name w:val="LI - Section subsubsubpara (I)"/>
    <w:basedOn w:val="LI-SectionsubsubparaA"/>
    <w:link w:val="LI-SectionsubsubsubparaIChar"/>
    <w:qFormat/>
    <w:rsid w:val="003528DA"/>
    <w:pPr>
      <w:ind w:left="4536"/>
    </w:pPr>
  </w:style>
  <w:style w:type="character" w:customStyle="1" w:styleId="LI-SectionsubsubsubparaIChar">
    <w:name w:val="LI - Section subsubsubpara (I) Char"/>
    <w:basedOn w:val="LI-SectionsubsubparaAChar"/>
    <w:link w:val="LI-SectionsubsubsubparaI"/>
    <w:rsid w:val="003528DA"/>
    <w:rPr>
      <w:rFonts w:eastAsia="Times New Roman"/>
      <w:sz w:val="24"/>
      <w:szCs w:val="24"/>
    </w:rPr>
  </w:style>
  <w:style w:type="character" w:styleId="CommentReference">
    <w:name w:val="annotation reference"/>
    <w:uiPriority w:val="99"/>
    <w:semiHidden/>
    <w:unhideWhenUsed/>
    <w:rsid w:val="00D702DE"/>
    <w:rPr>
      <w:sz w:val="16"/>
      <w:szCs w:val="16"/>
    </w:rPr>
  </w:style>
  <w:style w:type="paragraph" w:styleId="CommentText">
    <w:name w:val="annotation text"/>
    <w:basedOn w:val="Normal"/>
    <w:link w:val="CommentTextChar"/>
    <w:uiPriority w:val="99"/>
    <w:unhideWhenUsed/>
    <w:rsid w:val="00D702DE"/>
    <w:rPr>
      <w:sz w:val="20"/>
    </w:rPr>
  </w:style>
  <w:style w:type="character" w:customStyle="1" w:styleId="CommentTextChar">
    <w:name w:val="Comment Text Char"/>
    <w:link w:val="CommentText"/>
    <w:uiPriority w:val="99"/>
    <w:rsid w:val="00D702DE"/>
    <w:rPr>
      <w:lang w:eastAsia="en-US"/>
    </w:rPr>
  </w:style>
  <w:style w:type="paragraph" w:styleId="CommentSubject">
    <w:name w:val="annotation subject"/>
    <w:basedOn w:val="CommentText"/>
    <w:next w:val="CommentText"/>
    <w:link w:val="CommentSubjectChar"/>
    <w:uiPriority w:val="99"/>
    <w:semiHidden/>
    <w:unhideWhenUsed/>
    <w:rsid w:val="00D702DE"/>
    <w:rPr>
      <w:b/>
      <w:bCs/>
    </w:rPr>
  </w:style>
  <w:style w:type="character" w:customStyle="1" w:styleId="CommentSubjectChar">
    <w:name w:val="Comment Subject Char"/>
    <w:link w:val="CommentSubject"/>
    <w:uiPriority w:val="99"/>
    <w:semiHidden/>
    <w:rsid w:val="00D702DE"/>
    <w:rPr>
      <w:b/>
      <w:bCs/>
      <w:lang w:eastAsia="en-US"/>
    </w:rPr>
  </w:style>
  <w:style w:type="paragraph" w:customStyle="1" w:styleId="LI-Header">
    <w:name w:val="LI - Header"/>
    <w:basedOn w:val="LI-Footer"/>
    <w:link w:val="LI-HeaderChar"/>
    <w:qFormat/>
    <w:rsid w:val="0040053F"/>
    <w:pPr>
      <w:pBdr>
        <w:top w:val="none" w:sz="0" w:space="0" w:color="auto"/>
        <w:bottom w:val="single" w:sz="4" w:space="1" w:color="auto"/>
      </w:pBdr>
      <w:jc w:val="right"/>
    </w:pPr>
  </w:style>
  <w:style w:type="paragraph" w:customStyle="1" w:styleId="LI-Subtitle">
    <w:name w:val="LI - Subtitle"/>
    <w:basedOn w:val="Normal"/>
    <w:link w:val="LI-SubtitleChar"/>
    <w:qFormat/>
    <w:rsid w:val="00243EC0"/>
    <w:pPr>
      <w:pBdr>
        <w:bottom w:val="single" w:sz="4" w:space="1" w:color="auto"/>
      </w:pBdr>
      <w:spacing w:before="240"/>
    </w:pPr>
    <w:rPr>
      <w:b/>
      <w:sz w:val="28"/>
      <w:szCs w:val="28"/>
      <w:lang w:eastAsia="en-AU"/>
    </w:rPr>
  </w:style>
  <w:style w:type="character" w:customStyle="1" w:styleId="LI-HeaderChar">
    <w:name w:val="LI - Header Char"/>
    <w:basedOn w:val="LI-FooterChar"/>
    <w:link w:val="LI-Header"/>
    <w:rsid w:val="0040053F"/>
    <w:rPr>
      <w:i/>
      <w:sz w:val="18"/>
      <w:lang w:eastAsia="en-US"/>
    </w:rPr>
  </w:style>
  <w:style w:type="character" w:customStyle="1" w:styleId="LI-SubtitleChar">
    <w:name w:val="LI - Subtitle Char"/>
    <w:link w:val="LI-Subtitle"/>
    <w:rsid w:val="00243EC0"/>
    <w:rPr>
      <w:b/>
      <w:sz w:val="28"/>
      <w:szCs w:val="28"/>
    </w:rPr>
  </w:style>
  <w:style w:type="character" w:customStyle="1" w:styleId="normaltextrun">
    <w:name w:val="normaltextrun"/>
    <w:basedOn w:val="DefaultParagraphFont"/>
    <w:rsid w:val="00F85540"/>
  </w:style>
  <w:style w:type="paragraph" w:styleId="Revision">
    <w:name w:val="Revision"/>
    <w:hidden/>
    <w:uiPriority w:val="99"/>
    <w:semiHidden/>
    <w:rsid w:val="00E825E8"/>
    <w:rPr>
      <w:sz w:val="22"/>
      <w:lang w:eastAsia="en-US"/>
    </w:rPr>
  </w:style>
  <w:style w:type="character" w:styleId="UnresolvedMention">
    <w:name w:val="Unresolved Mention"/>
    <w:basedOn w:val="DefaultParagraphFont"/>
    <w:uiPriority w:val="99"/>
    <w:semiHidden/>
    <w:unhideWhenUsed/>
    <w:rsid w:val="00332C39"/>
    <w:rPr>
      <w:color w:val="605E5C"/>
      <w:shd w:val="clear" w:color="auto" w:fill="E1DFDD"/>
    </w:rPr>
  </w:style>
  <w:style w:type="character" w:styleId="Mention">
    <w:name w:val="Mention"/>
    <w:basedOn w:val="DefaultParagraphFont"/>
    <w:uiPriority w:val="99"/>
    <w:unhideWhenUsed/>
    <w:rsid w:val="00C605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7055">
      <w:bodyDiv w:val="1"/>
      <w:marLeft w:val="0"/>
      <w:marRight w:val="0"/>
      <w:marTop w:val="0"/>
      <w:marBottom w:val="0"/>
      <w:divBdr>
        <w:top w:val="none" w:sz="0" w:space="0" w:color="auto"/>
        <w:left w:val="none" w:sz="0" w:space="0" w:color="auto"/>
        <w:bottom w:val="none" w:sz="0" w:space="0" w:color="auto"/>
        <w:right w:val="none" w:sz="0" w:space="0" w:color="auto"/>
      </w:divBdr>
    </w:div>
    <w:div w:id="256138385">
      <w:bodyDiv w:val="1"/>
      <w:marLeft w:val="0"/>
      <w:marRight w:val="0"/>
      <w:marTop w:val="0"/>
      <w:marBottom w:val="0"/>
      <w:divBdr>
        <w:top w:val="none" w:sz="0" w:space="0" w:color="auto"/>
        <w:left w:val="none" w:sz="0" w:space="0" w:color="auto"/>
        <w:bottom w:val="none" w:sz="0" w:space="0" w:color="auto"/>
        <w:right w:val="none" w:sz="0" w:space="0" w:color="auto"/>
      </w:divBdr>
    </w:div>
    <w:div w:id="442578538">
      <w:bodyDiv w:val="1"/>
      <w:marLeft w:val="0"/>
      <w:marRight w:val="0"/>
      <w:marTop w:val="0"/>
      <w:marBottom w:val="0"/>
      <w:divBdr>
        <w:top w:val="none" w:sz="0" w:space="0" w:color="auto"/>
        <w:left w:val="none" w:sz="0" w:space="0" w:color="auto"/>
        <w:bottom w:val="none" w:sz="0" w:space="0" w:color="auto"/>
        <w:right w:val="none" w:sz="0" w:space="0" w:color="auto"/>
      </w:divBdr>
    </w:div>
    <w:div w:id="501706349">
      <w:bodyDiv w:val="1"/>
      <w:marLeft w:val="0"/>
      <w:marRight w:val="0"/>
      <w:marTop w:val="0"/>
      <w:marBottom w:val="0"/>
      <w:divBdr>
        <w:top w:val="none" w:sz="0" w:space="0" w:color="auto"/>
        <w:left w:val="none" w:sz="0" w:space="0" w:color="auto"/>
        <w:bottom w:val="none" w:sz="0" w:space="0" w:color="auto"/>
        <w:right w:val="none" w:sz="0" w:space="0" w:color="auto"/>
      </w:divBdr>
    </w:div>
    <w:div w:id="648247979">
      <w:bodyDiv w:val="1"/>
      <w:marLeft w:val="0"/>
      <w:marRight w:val="0"/>
      <w:marTop w:val="0"/>
      <w:marBottom w:val="0"/>
      <w:divBdr>
        <w:top w:val="none" w:sz="0" w:space="0" w:color="auto"/>
        <w:left w:val="none" w:sz="0" w:space="0" w:color="auto"/>
        <w:bottom w:val="none" w:sz="0" w:space="0" w:color="auto"/>
        <w:right w:val="none" w:sz="0" w:space="0" w:color="auto"/>
      </w:divBdr>
    </w:div>
    <w:div w:id="692731220">
      <w:bodyDiv w:val="1"/>
      <w:marLeft w:val="0"/>
      <w:marRight w:val="0"/>
      <w:marTop w:val="0"/>
      <w:marBottom w:val="0"/>
      <w:divBdr>
        <w:top w:val="none" w:sz="0" w:space="0" w:color="auto"/>
        <w:left w:val="none" w:sz="0" w:space="0" w:color="auto"/>
        <w:bottom w:val="none" w:sz="0" w:space="0" w:color="auto"/>
        <w:right w:val="none" w:sz="0" w:space="0" w:color="auto"/>
      </w:divBdr>
    </w:div>
    <w:div w:id="882474341">
      <w:bodyDiv w:val="1"/>
      <w:marLeft w:val="0"/>
      <w:marRight w:val="0"/>
      <w:marTop w:val="0"/>
      <w:marBottom w:val="0"/>
      <w:divBdr>
        <w:top w:val="none" w:sz="0" w:space="0" w:color="auto"/>
        <w:left w:val="none" w:sz="0" w:space="0" w:color="auto"/>
        <w:bottom w:val="none" w:sz="0" w:space="0" w:color="auto"/>
        <w:right w:val="none" w:sz="0" w:space="0" w:color="auto"/>
      </w:divBdr>
    </w:div>
    <w:div w:id="1208104315">
      <w:bodyDiv w:val="1"/>
      <w:marLeft w:val="0"/>
      <w:marRight w:val="0"/>
      <w:marTop w:val="0"/>
      <w:marBottom w:val="0"/>
      <w:divBdr>
        <w:top w:val="none" w:sz="0" w:space="0" w:color="auto"/>
        <w:left w:val="none" w:sz="0" w:space="0" w:color="auto"/>
        <w:bottom w:val="none" w:sz="0" w:space="0" w:color="auto"/>
        <w:right w:val="none" w:sz="0" w:space="0" w:color="auto"/>
      </w:divBdr>
    </w:div>
    <w:div w:id="1277981005">
      <w:bodyDiv w:val="1"/>
      <w:marLeft w:val="0"/>
      <w:marRight w:val="0"/>
      <w:marTop w:val="0"/>
      <w:marBottom w:val="0"/>
      <w:divBdr>
        <w:top w:val="none" w:sz="0" w:space="0" w:color="auto"/>
        <w:left w:val="none" w:sz="0" w:space="0" w:color="auto"/>
        <w:bottom w:val="none" w:sz="0" w:space="0" w:color="auto"/>
        <w:right w:val="none" w:sz="0" w:space="0" w:color="auto"/>
      </w:divBdr>
    </w:div>
    <w:div w:id="1297416932">
      <w:bodyDiv w:val="1"/>
      <w:marLeft w:val="0"/>
      <w:marRight w:val="0"/>
      <w:marTop w:val="0"/>
      <w:marBottom w:val="0"/>
      <w:divBdr>
        <w:top w:val="none" w:sz="0" w:space="0" w:color="auto"/>
        <w:left w:val="none" w:sz="0" w:space="0" w:color="auto"/>
        <w:bottom w:val="none" w:sz="0" w:space="0" w:color="auto"/>
        <w:right w:val="none" w:sz="0" w:space="0" w:color="auto"/>
      </w:divBdr>
    </w:div>
    <w:div w:id="184832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af302855-5de3-48f9-83c2-fc1acc0f760b" ContentTypeId="0x010100B5F685A1365F544391EF8C813B164F3A" PreviousValue="false"/>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1abb5e704a84578aa4b8ef0390c3b25 xmlns="db2b92ca-6ed0-4085-802d-4c686a2e8c3f">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19fd2cb8-3e97-4464-ae71-8c2c2095d028</TermId>
        </TermInfo>
      </Terms>
    </p1abb5e704a84578aa4b8ef0390c3b25>
    <DocumentNotes xmlns="db2b92ca-6ed0-4085-802d-4c686a2e8c3f" xsi:nil="true"/>
    <NAPReason xmlns="db2b92ca-6ed0-4085-802d-4c686a2e8c3f" xsi:nil="true"/>
    <_dlc_DocId xmlns="6d01ba57-bcb9-4c1f-9f73-80759da4b854">010950-1026046881-962</_dlc_DocId>
    <_dlc_DocIdUrl xmlns="6d01ba57-bcb9-4c1f-9f73-80759da4b854">
      <Url>https://asiclink.sharepoint.com/teams/010950/_layouts/15/DocIdRedir.aspx?ID=010950-1026046881-962</Url>
      <Description>010950-1026046881-962</Description>
    </_dlc_DocIdUrl>
    <TaxCatchAll xmlns="db2b92ca-6ed0-4085-802d-4c686a2e8c3f">
      <Value>5</Value>
    </TaxCatchAl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ASIC Document" ma:contentTypeID="0x010100B5F685A1365F544391EF8C813B164F3A002DC58295C58F994C96F03A24E100A49C" ma:contentTypeVersion="25" ma:contentTypeDescription="Create a new document." ma:contentTypeScope="" ma:versionID="b442e02755b69089bdfb29bf76c298c0">
  <xsd:schema xmlns:xsd="http://www.w3.org/2001/XMLSchema" xmlns:xs="http://www.w3.org/2001/XMLSchema" xmlns:p="http://schemas.microsoft.com/office/2006/metadata/properties" xmlns:ns2="db2b92ca-6ed0-4085-802d-4c686a2e8c3f" xmlns:ns3="6d01ba57-bcb9-4c1f-9f73-80759da4b854" targetNamespace="http://schemas.microsoft.com/office/2006/metadata/properties" ma:root="true" ma:fieldsID="e16c524076ad0c65a69563821fb64933" ns2:_="" ns3:_="">
    <xsd:import namespace="db2b92ca-6ed0-4085-802d-4c686a2e8c3f"/>
    <xsd:import namespace="6d01ba57-bcb9-4c1f-9f73-80759da4b854"/>
    <xsd:element name="properties">
      <xsd:complexType>
        <xsd:sequence>
          <xsd:element name="documentManagement">
            <xsd:complexType>
              <xsd:all>
                <xsd:element ref="ns2:NAPReason" minOccurs="0"/>
                <xsd:element ref="ns2:p1abb5e704a84578aa4b8ef0390c3b25" minOccurs="0"/>
                <xsd:element ref="ns2:TaxCatchAll" minOccurs="0"/>
                <xsd:element ref="ns2:TaxCatchAllLabel" minOccurs="0"/>
                <xsd:element ref="ns2:DocumentNot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2b92ca-6ed0-4085-802d-4c686a2e8c3f" elementFormDefault="qualified">
    <xsd:import namespace="http://schemas.microsoft.com/office/2006/documentManagement/types"/>
    <xsd:import namespace="http://schemas.microsoft.com/office/infopath/2007/PartnerControls"/>
    <xsd:element name="NAPReason" ma:index="8" nillable="true" ma:displayName="NAP Reason" ma:internalName="NAPReason">
      <xsd:simpleType>
        <xsd:restriction base="dms:Choice">
          <xsd:enumeration value="Created in error"/>
          <xsd:enumeration value="Low risk email, calendar entry or alert"/>
          <xsd:enumeration value="Copy kept for reference only"/>
          <xsd:enumeration value="Duplicate"/>
          <xsd:enumeration value="Rough working paper or calculations"/>
          <xsd:enumeration value="Draft not intended for further use"/>
          <xsd:enumeration value="Externally published material"/>
          <xsd:enumeration value="Unofficial information"/>
        </xsd:restriction>
      </xsd:simpleType>
    </xsd:element>
    <xsd:element name="p1abb5e704a84578aa4b8ef0390c3b25" ma:index="9" ma:taxonomy="true" ma:internalName="p1abb5e704a84578aa4b8ef0390c3b25" ma:taxonomyFieldName="SecurityClassification" ma:displayName="Security Classification" ma:readOnly="false" ma:fieldId="{91abb5e7-04a8-4578-aa4b-8ef0390c3b25}" ma:sspId="af302855-5de3-48f9-83c2-fc1acc0f760b" ma:termSetId="1d2f2699-c9ac-44b7-aa84-d64945e6f0b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5da22b1-9180-4a81-8ed3-1b22e6fc70b0}" ma:internalName="TaxCatchAll" ma:showField="CatchAllData" ma:web="6d01ba57-bcb9-4c1f-9f73-80759da4b85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5da22b1-9180-4a81-8ed3-1b22e6fc70b0}" ma:internalName="TaxCatchAllLabel" ma:readOnly="true" ma:showField="CatchAllDataLabel" ma:web="6d01ba57-bcb9-4c1f-9f73-80759da4b854">
      <xsd:complexType>
        <xsd:complexContent>
          <xsd:extension base="dms:MultiChoiceLookup">
            <xsd:sequence>
              <xsd:element name="Value" type="dms:Lookup" maxOccurs="unbounded" minOccurs="0" nillable="true"/>
            </xsd:sequence>
          </xsd:extension>
        </xsd:complexContent>
      </xsd:complexType>
    </xsd:element>
    <xsd:element name="DocumentNotes" ma:index="13" nillable="true" ma:displayName="Document Notes" ma:internalName="Document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01ba57-bcb9-4c1f-9f73-80759da4b854"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D521A-DAB7-4FB7-B2F4-979DB9280F3E}">
  <ds:schemaRefs>
    <ds:schemaRef ds:uri="Microsoft.SharePoint.Taxonomy.ContentTypeSync"/>
  </ds:schemaRefs>
</ds:datastoreItem>
</file>

<file path=customXml/itemProps2.xml><?xml version="1.0" encoding="utf-8"?>
<ds:datastoreItem xmlns:ds="http://schemas.openxmlformats.org/officeDocument/2006/customXml" ds:itemID="{FD751942-C67F-4D0C-9A01-EDA69EE9D211}">
  <ds:schemaRefs>
    <ds:schemaRef ds:uri="http://schemas.microsoft.com/office/2006/metadata/longProperties"/>
  </ds:schemaRefs>
</ds:datastoreItem>
</file>

<file path=customXml/itemProps3.xml><?xml version="1.0" encoding="utf-8"?>
<ds:datastoreItem xmlns:ds="http://schemas.openxmlformats.org/officeDocument/2006/customXml" ds:itemID="{A954CD4F-4ADE-45EC-8760-0728E2692B40}">
  <ds:schemaRefs>
    <ds:schemaRef ds:uri="db2b92ca-6ed0-4085-802d-4c686a2e8c3f"/>
    <ds:schemaRef ds:uri="http://schemas.microsoft.com/office/2006/documentManagement/types"/>
    <ds:schemaRef ds:uri="http://purl.org/dc/dcmitype/"/>
    <ds:schemaRef ds:uri="http://schemas.microsoft.com/office/infopath/2007/PartnerControls"/>
    <ds:schemaRef ds:uri="http://purl.org/dc/elements/1.1/"/>
    <ds:schemaRef ds:uri="6d01ba57-bcb9-4c1f-9f73-80759da4b854"/>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E2CA826B-73E7-4F17-9BA1-76589DEFEB3C}">
  <ds:schemaRefs>
    <ds:schemaRef ds:uri="http://schemas.microsoft.com/sharepoint/events"/>
  </ds:schemaRefs>
</ds:datastoreItem>
</file>

<file path=customXml/itemProps5.xml><?xml version="1.0" encoding="utf-8"?>
<ds:datastoreItem xmlns:ds="http://schemas.openxmlformats.org/officeDocument/2006/customXml" ds:itemID="{1B914A11-A6CE-469A-88F9-60907E8738B0}">
  <ds:schemaRefs>
    <ds:schemaRef ds:uri="http://schemas.microsoft.com/sharepoint/v3/contenttype/forms"/>
  </ds:schemaRefs>
</ds:datastoreItem>
</file>

<file path=customXml/itemProps6.xml><?xml version="1.0" encoding="utf-8"?>
<ds:datastoreItem xmlns:ds="http://schemas.openxmlformats.org/officeDocument/2006/customXml" ds:itemID="{DFF62D22-A1E5-4B55-8E5F-394F06BC6000}">
  <ds:schemaRefs>
    <ds:schemaRef ds:uri="http://schemas.openxmlformats.org/officeDocument/2006/bibliography"/>
  </ds:schemaRefs>
</ds:datastoreItem>
</file>

<file path=customXml/itemProps7.xml><?xml version="1.0" encoding="utf-8"?>
<ds:datastoreItem xmlns:ds="http://schemas.openxmlformats.org/officeDocument/2006/customXml" ds:itemID="{F923B9B9-AE48-4136-A09A-175EDC008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2b92ca-6ed0-4085-802d-4c686a2e8c3f"/>
    <ds:schemaRef ds:uri="6d01ba57-bcb9-4c1f-9f73-80759da4b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INST_NEW.DOTX</Template>
  <TotalTime>3</TotalTime>
  <Pages>7</Pages>
  <Words>2063</Words>
  <Characters>11765</Characters>
  <Application>Microsoft Office Word</Application>
  <DocSecurity>0</DocSecurity>
  <PresentationFormat/>
  <Lines>98</Lines>
  <Paragraphs>27</Paragraphs>
  <ScaleCrop>false</ScaleCrop>
  <Company>ASIC</Company>
  <LinksUpToDate>false</LinksUpToDate>
  <CharactersWithSpaces>13801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(Explanatory Statement - Jan 2019).docx</dc:title>
  <dc:subject/>
  <dc:creator>Elinor Egan</dc:creator>
  <cp:keywords/>
  <cp:lastModifiedBy>Narelle Kane</cp:lastModifiedBy>
  <cp:revision>3</cp:revision>
  <cp:lastPrinted>2019-01-04T16:56:00Z</cp:lastPrinted>
  <dcterms:created xsi:type="dcterms:W3CDTF">2024-07-04T06:11:00Z</dcterms:created>
  <dcterms:modified xsi:type="dcterms:W3CDTF">2024-07-04T06:12:00Z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Australian Securities and Investments Commission Class Order 13/1050</vt:lpwstr>
  </property>
  <property fmtid="{D5CDD505-2E9C-101B-9397-08002B2CF9AE}" pid="4" name="Header">
    <vt:lpwstr>Section</vt:lpwstr>
  </property>
  <property fmtid="{D5CDD505-2E9C-101B-9397-08002B2CF9AE}" pid="5" name="Class">
    <vt:lpwstr>Order</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2014</vt:lpwstr>
  </property>
  <property fmtid="{D5CDD505-2E9C-101B-9397-08002B2CF9AE}" pid="10" name="Authority">
    <vt:lpwstr>Unk</vt:lpwstr>
  </property>
  <property fmtid="{D5CDD505-2E9C-101B-9397-08002B2CF9AE}" pid="11" name="ID">
    <vt:lpwstr>OPC60621</vt:lpwstr>
  </property>
  <property fmtid="{D5CDD505-2E9C-101B-9397-08002B2CF9AE}" pid="12" name="Classification">
    <vt:lpwstr>UNCLASSIFIED</vt:lpwstr>
  </property>
  <property fmtid="{D5CDD505-2E9C-101B-9397-08002B2CF9AE}" pid="13" name="DLM">
    <vt:lpwstr>Sensitive: Legal</vt:lpwstr>
  </property>
  <property fmtid="{D5CDD505-2E9C-101B-9397-08002B2CF9AE}" pid="14" name="ActMadeUnder">
    <vt:lpwstr>Corporations Act 2001</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TrimID">
    <vt:lpwstr>PC:D14/8969</vt:lpwstr>
  </property>
  <property fmtid="{D5CDD505-2E9C-101B-9397-08002B2CF9AE}" pid="19" name="Objective-Id">
    <vt:lpwstr>A4330949</vt:lpwstr>
  </property>
  <property fmtid="{D5CDD505-2E9C-101B-9397-08002B2CF9AE}" pid="20" name="Objective-Title">
    <vt:lpwstr>ASIC Template (Principal Legislative Instruments - May 2015)</vt:lpwstr>
  </property>
  <property fmtid="{D5CDD505-2E9C-101B-9397-08002B2CF9AE}" pid="21" name="Objective-Comment">
    <vt:lpwstr/>
  </property>
  <property fmtid="{D5CDD505-2E9C-101B-9397-08002B2CF9AE}" pid="22" name="Objective-CreationStamp">
    <vt:filetime>2014-11-19T05:20:39Z</vt:filetime>
  </property>
  <property fmtid="{D5CDD505-2E9C-101B-9397-08002B2CF9AE}" pid="23" name="Objective-IsApproved">
    <vt:bool>false</vt:bool>
  </property>
  <property fmtid="{D5CDD505-2E9C-101B-9397-08002B2CF9AE}" pid="24" name="Objective-IsPublished">
    <vt:bool>false</vt:bool>
  </property>
  <property fmtid="{D5CDD505-2E9C-101B-9397-08002B2CF9AE}" pid="25" name="Objective-DatePublished">
    <vt:lpwstr/>
  </property>
  <property fmtid="{D5CDD505-2E9C-101B-9397-08002B2CF9AE}" pid="26" name="Objective-ModificationStamp">
    <vt:filetime>2015-09-03T05:00:51Z</vt:filetime>
  </property>
  <property fmtid="{D5CDD505-2E9C-101B-9397-08002B2CF9AE}" pid="27" name="Objective-Owner">
    <vt:lpwstr>Grant Moodie</vt:lpwstr>
  </property>
  <property fmtid="{D5CDD505-2E9C-101B-9397-08002B2CF9AE}" pid="28" name="Objective-Path">
    <vt:lpwstr>BCS:ASIC:LEGAL SERVICES:Advice:Legislative Instruments:Legislative Instrument Templates:</vt:lpwstr>
  </property>
  <property fmtid="{D5CDD505-2E9C-101B-9397-08002B2CF9AE}" pid="29" name="Objective-Parent">
    <vt:lpwstr>Legislative Instrument Templates</vt:lpwstr>
  </property>
  <property fmtid="{D5CDD505-2E9C-101B-9397-08002B2CF9AE}" pid="30" name="Objective-State">
    <vt:lpwstr>Being Drafted</vt:lpwstr>
  </property>
  <property fmtid="{D5CDD505-2E9C-101B-9397-08002B2CF9AE}" pid="31" name="Objective-Version">
    <vt:lpwstr>3.1</vt:lpwstr>
  </property>
  <property fmtid="{D5CDD505-2E9C-101B-9397-08002B2CF9AE}" pid="32" name="Objective-VersionNumber">
    <vt:i4>15</vt:i4>
  </property>
  <property fmtid="{D5CDD505-2E9C-101B-9397-08002B2CF9AE}" pid="33" name="Objective-VersionComment">
    <vt:lpwstr/>
  </property>
  <property fmtid="{D5CDD505-2E9C-101B-9397-08002B2CF9AE}" pid="34" name="Objective-FileNumber">
    <vt:lpwstr>2014 - 005986</vt:lpwstr>
  </property>
  <property fmtid="{D5CDD505-2E9C-101B-9397-08002B2CF9AE}" pid="35" name="Objective-Classification">
    <vt:lpwstr>[Inherited - IN-CONFIDENCE]</vt:lpwstr>
  </property>
  <property fmtid="{D5CDD505-2E9C-101B-9397-08002B2CF9AE}" pid="36" name="Objective-Caveats">
    <vt:lpwstr/>
  </property>
  <property fmtid="{D5CDD505-2E9C-101B-9397-08002B2CF9AE}" pid="37" name="Objective-Category [system]">
    <vt:lpwstr/>
  </property>
  <property fmtid="{D5CDD505-2E9C-101B-9397-08002B2CF9AE}" pid="38" name="k274875fb6994245bc6e4e8c07243a23">
    <vt:lpwstr>Sensitive|19fd2cb8-3e97-4464-ae71-8c2c2095d028</vt:lpwstr>
  </property>
  <property fmtid="{D5CDD505-2E9C-101B-9397-08002B2CF9AE}" pid="39" name="TaxCatchAll">
    <vt:lpwstr>7;#Sensitive|19fd2cb8-3e97-4464-ae71-8c2c2095d028</vt:lpwstr>
  </property>
  <property fmtid="{D5CDD505-2E9C-101B-9397-08002B2CF9AE}" pid="40" name="RecordPoint_WorkflowType">
    <vt:lpwstr>ActiveSubmitStub</vt:lpwstr>
  </property>
  <property fmtid="{D5CDD505-2E9C-101B-9397-08002B2CF9AE}" pid="41" name="RecordPoint_ActiveItemSiteId">
    <vt:lpwstr>{fa96e6fb-4129-44b7-b105-10ec3844cb78}</vt:lpwstr>
  </property>
  <property fmtid="{D5CDD505-2E9C-101B-9397-08002B2CF9AE}" pid="42" name="RecordPoint_ActiveItemListId">
    <vt:lpwstr>{e8634c1b-1868-4a02-8de8-ef4b1316a551}</vt:lpwstr>
  </property>
  <property fmtid="{D5CDD505-2E9C-101B-9397-08002B2CF9AE}" pid="43" name="RecordPoint_ActiveItemUniqueId">
    <vt:lpwstr>{0f4c5c6f-0dad-4deb-a834-375fa2501599}</vt:lpwstr>
  </property>
  <property fmtid="{D5CDD505-2E9C-101B-9397-08002B2CF9AE}" pid="44" name="RecordPoint_ActiveItemWebId">
    <vt:lpwstr>{6fdf923d-1605-456d-9034-49e4c2a6593d}</vt:lpwstr>
  </property>
  <property fmtid="{D5CDD505-2E9C-101B-9397-08002B2CF9AE}" pid="45" name="IconOverlay">
    <vt:lpwstr/>
  </property>
  <property fmtid="{D5CDD505-2E9C-101B-9397-08002B2CF9AE}" pid="46" name="RecordNumber">
    <vt:lpwstr>R20210000583158</vt:lpwstr>
  </property>
  <property fmtid="{D5CDD505-2E9C-101B-9397-08002B2CF9AE}" pid="47" name="RecordPoint_SubmissionCompleted">
    <vt:lpwstr>2021-09-14T18:42:49.7315500+10:00</vt:lpwstr>
  </property>
  <property fmtid="{D5CDD505-2E9C-101B-9397-08002B2CF9AE}" pid="48" name="RecordPoint_RecordNumberSubmitted">
    <vt:lpwstr>R20210000583158</vt:lpwstr>
  </property>
  <property fmtid="{D5CDD505-2E9C-101B-9397-08002B2CF9AE}" pid="49" name="Reviewers">
    <vt:lpwstr/>
  </property>
  <property fmtid="{D5CDD505-2E9C-101B-9397-08002B2CF9AE}" pid="50" name="NotesLinks">
    <vt:lpwstr/>
  </property>
  <property fmtid="{D5CDD505-2E9C-101B-9397-08002B2CF9AE}" pid="51" name="Approvers">
    <vt:lpwstr/>
  </property>
  <property fmtid="{D5CDD505-2E9C-101B-9397-08002B2CF9AE}" pid="52" name="SecurityClassification">
    <vt:lpwstr>5;#Sensitive|19fd2cb8-3e97-4464-ae71-8c2c2095d028</vt:lpwstr>
  </property>
  <property fmtid="{D5CDD505-2E9C-101B-9397-08002B2CF9AE}" pid="53" name="ObjectiveID">
    <vt:lpwstr/>
  </property>
  <property fmtid="{D5CDD505-2E9C-101B-9397-08002B2CF9AE}" pid="54" name="SignificantFlag">
    <vt:lpwstr>0</vt:lpwstr>
  </property>
  <property fmtid="{D5CDD505-2E9C-101B-9397-08002B2CF9AE}" pid="55" name="SenateOrder12">
    <vt:lpwstr>0</vt:lpwstr>
  </property>
  <property fmtid="{D5CDD505-2E9C-101B-9397-08002B2CF9AE}" pid="56" name="ded95d7ab059406991d558011d18c177">
    <vt:lpwstr/>
  </property>
  <property fmtid="{D5CDD505-2E9C-101B-9397-08002B2CF9AE}" pid="57" name="SignificantReason">
    <vt:lpwstr/>
  </property>
  <property fmtid="{D5CDD505-2E9C-101B-9397-08002B2CF9AE}" pid="58" name="Order">
    <vt:lpwstr>71900.0000000000</vt:lpwstr>
  </property>
  <property fmtid="{D5CDD505-2E9C-101B-9397-08002B2CF9AE}" pid="59" name="RecordPoint_SubmissionDate">
    <vt:lpwstr/>
  </property>
  <property fmtid="{D5CDD505-2E9C-101B-9397-08002B2CF9AE}" pid="60" name="RecordPoint_RecordFormat">
    <vt:lpwstr/>
  </property>
  <property fmtid="{D5CDD505-2E9C-101B-9397-08002B2CF9AE}" pid="61" name="_dlc_DocId">
    <vt:lpwstr>000853-1726373233-1250</vt:lpwstr>
  </property>
  <property fmtid="{D5CDD505-2E9C-101B-9397-08002B2CF9AE}" pid="62" name="_dlc_DocIdItemGuid">
    <vt:lpwstr>5cbd699f-2193-42b2-a4a9-3b25be8edb92</vt:lpwstr>
  </property>
  <property fmtid="{D5CDD505-2E9C-101B-9397-08002B2CF9AE}" pid="63" name="_dlc_DocIdUrl">
    <vt:lpwstr>https://asiclink.sharepoint.com/teams/000853/_layouts/15/DocIdRedir.aspx?ID=000853-1726373233-1250, 000853-1726373233-1250</vt:lpwstr>
  </property>
  <property fmtid="{D5CDD505-2E9C-101B-9397-08002B2CF9AE}" pid="64" name="ContentTypeId">
    <vt:lpwstr>0x010100B5F685A1365F544391EF8C813B164F3A002DC58295C58F994C96F03A24E100A49C</vt:lpwstr>
  </property>
  <property fmtid="{D5CDD505-2E9C-101B-9397-08002B2CF9AE}" pid="65" name="MSIP_Label_a6aead41-07f8-4767-ac8e-ef1c9c793766_Enabled">
    <vt:lpwstr>true</vt:lpwstr>
  </property>
  <property fmtid="{D5CDD505-2E9C-101B-9397-08002B2CF9AE}" pid="66" name="MSIP_Label_a6aead41-07f8-4767-ac8e-ef1c9c793766_SetDate">
    <vt:lpwstr>2023-07-21T02:05:38Z</vt:lpwstr>
  </property>
  <property fmtid="{D5CDD505-2E9C-101B-9397-08002B2CF9AE}" pid="67" name="MSIP_Label_a6aead41-07f8-4767-ac8e-ef1c9c793766_Method">
    <vt:lpwstr>Standard</vt:lpwstr>
  </property>
  <property fmtid="{D5CDD505-2E9C-101B-9397-08002B2CF9AE}" pid="68" name="MSIP_Label_a6aead41-07f8-4767-ac8e-ef1c9c793766_Name">
    <vt:lpwstr>OFFICIAL</vt:lpwstr>
  </property>
  <property fmtid="{D5CDD505-2E9C-101B-9397-08002B2CF9AE}" pid="69" name="MSIP_Label_a6aead41-07f8-4767-ac8e-ef1c9c793766_SiteId">
    <vt:lpwstr>5f1de7c6-55cd-4bb2-902d-514c78cf10f4</vt:lpwstr>
  </property>
  <property fmtid="{D5CDD505-2E9C-101B-9397-08002B2CF9AE}" pid="70" name="MSIP_Label_a6aead41-07f8-4767-ac8e-ef1c9c793766_ActionId">
    <vt:lpwstr>59538b45-0da9-4ad6-a28d-b86ecde4c0ff</vt:lpwstr>
  </property>
  <property fmtid="{D5CDD505-2E9C-101B-9397-08002B2CF9AE}" pid="71" name="MSIP_Label_a6aead41-07f8-4767-ac8e-ef1c9c793766_ContentBits">
    <vt:lpwstr>0</vt:lpwstr>
  </property>
</Properties>
</file>