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078C" w14:textId="77777777" w:rsidR="00715914" w:rsidRPr="00894B03" w:rsidRDefault="00DA186E" w:rsidP="00715914">
      <w:pPr>
        <w:rPr>
          <w:sz w:val="28"/>
        </w:rPr>
      </w:pPr>
      <w:r w:rsidRPr="00894B03">
        <w:rPr>
          <w:noProof/>
          <w:lang w:eastAsia="en-AU"/>
        </w:rPr>
        <w:drawing>
          <wp:inline distT="0" distB="0" distL="0" distR="0" wp14:anchorId="4DB33B44" wp14:editId="5BA22C5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64A451A" w14:textId="77777777" w:rsidR="00715914" w:rsidRPr="00894B03" w:rsidRDefault="00715914" w:rsidP="00715914">
      <w:pPr>
        <w:rPr>
          <w:sz w:val="19"/>
        </w:rPr>
      </w:pPr>
    </w:p>
    <w:p w14:paraId="6A49B59C" w14:textId="69FC2E46" w:rsidR="00554826" w:rsidRPr="00894B03" w:rsidRDefault="00C01333" w:rsidP="00554826">
      <w:pPr>
        <w:pStyle w:val="ShortT"/>
      </w:pPr>
      <w:r w:rsidRPr="00894B03">
        <w:t xml:space="preserve">Therapeutic Goods </w:t>
      </w:r>
      <w:r w:rsidR="00554826" w:rsidRPr="00894B03">
        <w:t>(</w:t>
      </w:r>
      <w:r w:rsidRPr="00894B03">
        <w:t>Vaping Goods</w:t>
      </w:r>
      <w:r w:rsidR="00475182" w:rsidRPr="00894B03">
        <w:t>—Other Indications</w:t>
      </w:r>
      <w:r w:rsidR="00554826" w:rsidRPr="00894B03">
        <w:t xml:space="preserve">) </w:t>
      </w:r>
      <w:r w:rsidRPr="00894B03">
        <w:t>Determination</w:t>
      </w:r>
      <w:r w:rsidR="00554826" w:rsidRPr="00894B03">
        <w:t xml:space="preserve"> </w:t>
      </w:r>
      <w:r w:rsidRPr="00894B03">
        <w:t>2024</w:t>
      </w:r>
    </w:p>
    <w:p w14:paraId="28C9003C" w14:textId="12271CEA" w:rsidR="00554826" w:rsidRPr="00894B03" w:rsidRDefault="00554826" w:rsidP="00554826">
      <w:pPr>
        <w:pStyle w:val="SignCoverPageStart"/>
        <w:spacing w:before="240"/>
        <w:ind w:right="91"/>
        <w:rPr>
          <w:szCs w:val="22"/>
        </w:rPr>
      </w:pPr>
      <w:r w:rsidRPr="00894B03">
        <w:rPr>
          <w:szCs w:val="22"/>
        </w:rPr>
        <w:t xml:space="preserve">I, </w:t>
      </w:r>
      <w:r w:rsidR="00F64540" w:rsidRPr="00894B03">
        <w:rPr>
          <w:szCs w:val="22"/>
        </w:rPr>
        <w:t>Nic</w:t>
      </w:r>
      <w:r w:rsidR="005162B9" w:rsidRPr="00894B03">
        <w:rPr>
          <w:szCs w:val="22"/>
        </w:rPr>
        <w:t>holas</w:t>
      </w:r>
      <w:r w:rsidR="00F64540" w:rsidRPr="00894B03">
        <w:rPr>
          <w:szCs w:val="22"/>
        </w:rPr>
        <w:t xml:space="preserve"> Henderson</w:t>
      </w:r>
      <w:r w:rsidRPr="00894B03">
        <w:rPr>
          <w:szCs w:val="22"/>
        </w:rPr>
        <w:t xml:space="preserve">, </w:t>
      </w:r>
      <w:r w:rsidR="00C01333" w:rsidRPr="00894B03">
        <w:rPr>
          <w:szCs w:val="22"/>
        </w:rPr>
        <w:t>as delegate of the Minster for Health and Aged Care</w:t>
      </w:r>
      <w:r w:rsidRPr="00894B03">
        <w:rPr>
          <w:szCs w:val="22"/>
        </w:rPr>
        <w:t xml:space="preserve">, make the following </w:t>
      </w:r>
      <w:r w:rsidR="00214064" w:rsidRPr="00894B03">
        <w:rPr>
          <w:szCs w:val="22"/>
        </w:rPr>
        <w:t>d</w:t>
      </w:r>
      <w:r w:rsidR="00C01333" w:rsidRPr="00894B03">
        <w:rPr>
          <w:szCs w:val="22"/>
        </w:rPr>
        <w:t>etermination</w:t>
      </w:r>
      <w:r w:rsidRPr="00894B03">
        <w:rPr>
          <w:szCs w:val="22"/>
        </w:rPr>
        <w:t>.</w:t>
      </w:r>
    </w:p>
    <w:p w14:paraId="421ABA1D" w14:textId="6FCB996C" w:rsidR="00554826" w:rsidRPr="00894B03" w:rsidRDefault="00554826" w:rsidP="00554826">
      <w:pPr>
        <w:keepNext/>
        <w:spacing w:before="300" w:line="240" w:lineRule="atLeast"/>
        <w:ind w:right="397"/>
        <w:jc w:val="both"/>
        <w:rPr>
          <w:szCs w:val="22"/>
        </w:rPr>
      </w:pPr>
      <w:r w:rsidRPr="00894B03">
        <w:rPr>
          <w:szCs w:val="22"/>
        </w:rPr>
        <w:t>Dated</w:t>
      </w:r>
      <w:r w:rsidR="00EB7385">
        <w:rPr>
          <w:szCs w:val="22"/>
        </w:rPr>
        <w:t xml:space="preserve"> </w:t>
      </w:r>
      <w:r w:rsidR="00A421DC">
        <w:rPr>
          <w:szCs w:val="22"/>
        </w:rPr>
        <w:t>29</w:t>
      </w:r>
      <w:r w:rsidR="00EB7385">
        <w:rPr>
          <w:szCs w:val="22"/>
        </w:rPr>
        <w:t xml:space="preserve"> </w:t>
      </w:r>
      <w:r w:rsidR="005162B9" w:rsidRPr="00894B03">
        <w:rPr>
          <w:szCs w:val="22"/>
        </w:rPr>
        <w:t>June 2024</w:t>
      </w:r>
    </w:p>
    <w:p w14:paraId="6E71BBBE" w14:textId="7B928086" w:rsidR="00C01333" w:rsidRPr="00894B03" w:rsidRDefault="00F64540" w:rsidP="00C01333">
      <w:pPr>
        <w:keepNext/>
        <w:tabs>
          <w:tab w:val="left" w:pos="3402"/>
        </w:tabs>
        <w:spacing w:before="1440" w:line="300" w:lineRule="atLeast"/>
        <w:ind w:right="397"/>
        <w:rPr>
          <w:b/>
          <w:szCs w:val="22"/>
        </w:rPr>
      </w:pPr>
      <w:r w:rsidRPr="00894B03">
        <w:rPr>
          <w:szCs w:val="22"/>
        </w:rPr>
        <w:t>Nic</w:t>
      </w:r>
      <w:r w:rsidR="00214064" w:rsidRPr="00894B03">
        <w:rPr>
          <w:szCs w:val="22"/>
        </w:rPr>
        <w:t>holas</w:t>
      </w:r>
      <w:r w:rsidRPr="00894B03">
        <w:rPr>
          <w:szCs w:val="22"/>
        </w:rPr>
        <w:t xml:space="preserve"> Henderson</w:t>
      </w:r>
    </w:p>
    <w:p w14:paraId="1C3C647B" w14:textId="6650EC11" w:rsidR="00C01333" w:rsidRPr="00894B03" w:rsidRDefault="00F64540" w:rsidP="00C01333">
      <w:pPr>
        <w:pStyle w:val="SignCoverPageEnd"/>
        <w:ind w:right="91"/>
        <w:rPr>
          <w:sz w:val="22"/>
        </w:rPr>
      </w:pPr>
      <w:r w:rsidRPr="00894B03">
        <w:rPr>
          <w:sz w:val="22"/>
        </w:rPr>
        <w:t xml:space="preserve">Acting </w:t>
      </w:r>
      <w:r w:rsidR="00C01333" w:rsidRPr="00894B03">
        <w:rPr>
          <w:sz w:val="22"/>
        </w:rPr>
        <w:t>Deputy Secretary</w:t>
      </w:r>
      <w:r w:rsidR="00C01333" w:rsidRPr="00894B03">
        <w:rPr>
          <w:sz w:val="22"/>
        </w:rPr>
        <w:br/>
        <w:t>Health Products Regulation Group</w:t>
      </w:r>
      <w:r w:rsidR="00C01333" w:rsidRPr="00894B03">
        <w:rPr>
          <w:sz w:val="22"/>
        </w:rPr>
        <w:br/>
        <w:t>Department of Health and Aged Care</w:t>
      </w:r>
    </w:p>
    <w:p w14:paraId="651059E4" w14:textId="77777777" w:rsidR="00554826" w:rsidRPr="00894B03" w:rsidRDefault="00554826" w:rsidP="00554826"/>
    <w:p w14:paraId="3F557863" w14:textId="77777777" w:rsidR="00554826" w:rsidRPr="00894B03" w:rsidRDefault="00554826" w:rsidP="00554826"/>
    <w:p w14:paraId="4CF851C5" w14:textId="77777777" w:rsidR="00F6696E" w:rsidRPr="00894B03" w:rsidRDefault="00F6696E" w:rsidP="00F6696E"/>
    <w:p w14:paraId="6D65CA4E" w14:textId="77777777" w:rsidR="00F6696E" w:rsidRPr="00894B03" w:rsidRDefault="00F6696E" w:rsidP="00F6696E">
      <w:pPr>
        <w:sectPr w:rsidR="00F6696E" w:rsidRPr="00894B03"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14:paraId="750F0712" w14:textId="77777777" w:rsidR="007500C8" w:rsidRPr="00894B03" w:rsidRDefault="00715914" w:rsidP="00715914">
      <w:pPr>
        <w:outlineLvl w:val="0"/>
        <w:rPr>
          <w:sz w:val="36"/>
        </w:rPr>
      </w:pPr>
      <w:r w:rsidRPr="00894B03">
        <w:rPr>
          <w:sz w:val="36"/>
        </w:rPr>
        <w:lastRenderedPageBreak/>
        <w:t>Contents</w:t>
      </w:r>
    </w:p>
    <w:p w14:paraId="3FA58E1A" w14:textId="1705FD23" w:rsidR="00894B03" w:rsidRDefault="00B418CB">
      <w:pPr>
        <w:pStyle w:val="TOC5"/>
        <w:rPr>
          <w:rFonts w:asciiTheme="minorHAnsi" w:eastAsiaTheme="minorEastAsia" w:hAnsiTheme="minorHAnsi" w:cstheme="minorBidi"/>
          <w:noProof/>
          <w:kern w:val="2"/>
          <w:sz w:val="22"/>
          <w:szCs w:val="22"/>
          <w14:ligatures w14:val="standardContextual"/>
        </w:rPr>
      </w:pPr>
      <w:r w:rsidRPr="00894B03">
        <w:fldChar w:fldCharType="begin"/>
      </w:r>
      <w:r w:rsidRPr="00894B03">
        <w:instrText xml:space="preserve"> TOC \o "1-9" </w:instrText>
      </w:r>
      <w:r w:rsidRPr="00894B03">
        <w:fldChar w:fldCharType="separate"/>
      </w:r>
      <w:r w:rsidR="00894B03">
        <w:rPr>
          <w:noProof/>
        </w:rPr>
        <w:t>1  Name</w:t>
      </w:r>
      <w:r w:rsidR="00894B03">
        <w:rPr>
          <w:noProof/>
        </w:rPr>
        <w:tab/>
      </w:r>
      <w:r w:rsidR="00894B03">
        <w:rPr>
          <w:noProof/>
        </w:rPr>
        <w:fldChar w:fldCharType="begin"/>
      </w:r>
      <w:r w:rsidR="00894B03">
        <w:rPr>
          <w:noProof/>
        </w:rPr>
        <w:instrText xml:space="preserve"> PAGEREF _Toc170564506 \h </w:instrText>
      </w:r>
      <w:r w:rsidR="00894B03">
        <w:rPr>
          <w:noProof/>
        </w:rPr>
      </w:r>
      <w:r w:rsidR="00894B03">
        <w:rPr>
          <w:noProof/>
        </w:rPr>
        <w:fldChar w:fldCharType="separate"/>
      </w:r>
      <w:r w:rsidR="00894B03">
        <w:rPr>
          <w:noProof/>
        </w:rPr>
        <w:t>1</w:t>
      </w:r>
      <w:r w:rsidR="00894B03">
        <w:rPr>
          <w:noProof/>
        </w:rPr>
        <w:fldChar w:fldCharType="end"/>
      </w:r>
    </w:p>
    <w:p w14:paraId="4D494613" w14:textId="54AD1DBC" w:rsidR="00894B03" w:rsidRDefault="00894B03">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_Toc170564507 \h </w:instrText>
      </w:r>
      <w:r>
        <w:rPr>
          <w:noProof/>
        </w:rPr>
      </w:r>
      <w:r>
        <w:rPr>
          <w:noProof/>
        </w:rPr>
        <w:fldChar w:fldCharType="separate"/>
      </w:r>
      <w:r>
        <w:rPr>
          <w:noProof/>
        </w:rPr>
        <w:t>1</w:t>
      </w:r>
      <w:r>
        <w:rPr>
          <w:noProof/>
        </w:rPr>
        <w:fldChar w:fldCharType="end"/>
      </w:r>
    </w:p>
    <w:p w14:paraId="0F121D73" w14:textId="00B2C530" w:rsidR="00894B03" w:rsidRDefault="00894B03">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_Toc170564508 \h </w:instrText>
      </w:r>
      <w:r>
        <w:rPr>
          <w:noProof/>
        </w:rPr>
      </w:r>
      <w:r>
        <w:rPr>
          <w:noProof/>
        </w:rPr>
        <w:fldChar w:fldCharType="separate"/>
      </w:r>
      <w:r>
        <w:rPr>
          <w:noProof/>
        </w:rPr>
        <w:t>1</w:t>
      </w:r>
      <w:r>
        <w:rPr>
          <w:noProof/>
        </w:rPr>
        <w:fldChar w:fldCharType="end"/>
      </w:r>
    </w:p>
    <w:p w14:paraId="45007063" w14:textId="3F3C9FF1" w:rsidR="00894B03" w:rsidRDefault="00894B03">
      <w:pPr>
        <w:pStyle w:val="TOC5"/>
        <w:rPr>
          <w:rFonts w:asciiTheme="minorHAnsi" w:eastAsiaTheme="minorEastAsia" w:hAnsiTheme="minorHAnsi" w:cstheme="minorBidi"/>
          <w:noProof/>
          <w:kern w:val="2"/>
          <w:sz w:val="22"/>
          <w:szCs w:val="22"/>
          <w14:ligatures w14:val="standardContextual"/>
        </w:rPr>
      </w:pPr>
      <w:r>
        <w:rPr>
          <w:noProof/>
        </w:rPr>
        <w:t>4  Definitions</w:t>
      </w:r>
      <w:r>
        <w:rPr>
          <w:noProof/>
        </w:rPr>
        <w:tab/>
      </w:r>
      <w:r>
        <w:rPr>
          <w:noProof/>
        </w:rPr>
        <w:fldChar w:fldCharType="begin"/>
      </w:r>
      <w:r>
        <w:rPr>
          <w:noProof/>
        </w:rPr>
        <w:instrText xml:space="preserve"> PAGEREF _Toc170564509 \h </w:instrText>
      </w:r>
      <w:r>
        <w:rPr>
          <w:noProof/>
        </w:rPr>
      </w:r>
      <w:r>
        <w:rPr>
          <w:noProof/>
        </w:rPr>
        <w:fldChar w:fldCharType="separate"/>
      </w:r>
      <w:r>
        <w:rPr>
          <w:noProof/>
        </w:rPr>
        <w:t>1</w:t>
      </w:r>
      <w:r>
        <w:rPr>
          <w:noProof/>
        </w:rPr>
        <w:fldChar w:fldCharType="end"/>
      </w:r>
    </w:p>
    <w:p w14:paraId="3CE454DD" w14:textId="6BDDCE68" w:rsidR="00894B03" w:rsidRDefault="00894B03">
      <w:pPr>
        <w:pStyle w:val="TOC5"/>
        <w:rPr>
          <w:rFonts w:asciiTheme="minorHAnsi" w:eastAsiaTheme="minorEastAsia" w:hAnsiTheme="minorHAnsi" w:cstheme="minorBidi"/>
          <w:noProof/>
          <w:kern w:val="2"/>
          <w:sz w:val="22"/>
          <w:szCs w:val="22"/>
          <w14:ligatures w14:val="standardContextual"/>
        </w:rPr>
      </w:pPr>
      <w:r>
        <w:rPr>
          <w:noProof/>
        </w:rPr>
        <w:t>5  Other indications for which vaping goods may be used</w:t>
      </w:r>
      <w:r>
        <w:rPr>
          <w:noProof/>
        </w:rPr>
        <w:tab/>
      </w:r>
      <w:r>
        <w:rPr>
          <w:noProof/>
        </w:rPr>
        <w:fldChar w:fldCharType="begin"/>
      </w:r>
      <w:r>
        <w:rPr>
          <w:noProof/>
        </w:rPr>
        <w:instrText xml:space="preserve"> PAGEREF _Toc170564510 \h </w:instrText>
      </w:r>
      <w:r>
        <w:rPr>
          <w:noProof/>
        </w:rPr>
      </w:r>
      <w:r>
        <w:rPr>
          <w:noProof/>
        </w:rPr>
        <w:fldChar w:fldCharType="separate"/>
      </w:r>
      <w:r>
        <w:rPr>
          <w:noProof/>
        </w:rPr>
        <w:t>2</w:t>
      </w:r>
      <w:r>
        <w:rPr>
          <w:noProof/>
        </w:rPr>
        <w:fldChar w:fldCharType="end"/>
      </w:r>
    </w:p>
    <w:p w14:paraId="1E988664" w14:textId="29D4C595" w:rsidR="00894B03" w:rsidRDefault="00894B03">
      <w:pPr>
        <w:pStyle w:val="TOC1"/>
        <w:rPr>
          <w:rFonts w:asciiTheme="minorHAnsi" w:eastAsiaTheme="minorEastAsia" w:hAnsiTheme="minorHAnsi" w:cstheme="minorBidi"/>
          <w:b w:val="0"/>
          <w:noProof/>
          <w:kern w:val="2"/>
          <w:sz w:val="22"/>
          <w:szCs w:val="22"/>
          <w14:ligatures w14:val="standardContextual"/>
        </w:rPr>
      </w:pPr>
      <w:r>
        <w:rPr>
          <w:noProof/>
        </w:rPr>
        <w:t>Schedule 1—Other indications for which vaping goods may be used</w:t>
      </w:r>
      <w:r>
        <w:rPr>
          <w:noProof/>
        </w:rPr>
        <w:tab/>
      </w:r>
      <w:r>
        <w:rPr>
          <w:noProof/>
        </w:rPr>
        <w:fldChar w:fldCharType="begin"/>
      </w:r>
      <w:r>
        <w:rPr>
          <w:noProof/>
        </w:rPr>
        <w:instrText xml:space="preserve"> PAGEREF _Toc170564511 \h </w:instrText>
      </w:r>
      <w:r>
        <w:rPr>
          <w:noProof/>
        </w:rPr>
      </w:r>
      <w:r>
        <w:rPr>
          <w:noProof/>
        </w:rPr>
        <w:fldChar w:fldCharType="separate"/>
      </w:r>
      <w:r>
        <w:rPr>
          <w:noProof/>
        </w:rPr>
        <w:t>3</w:t>
      </w:r>
      <w:r>
        <w:rPr>
          <w:noProof/>
        </w:rPr>
        <w:fldChar w:fldCharType="end"/>
      </w:r>
    </w:p>
    <w:p w14:paraId="7B144EE2" w14:textId="5C687794" w:rsidR="00F6696E" w:rsidRPr="00894B03" w:rsidRDefault="00B418CB" w:rsidP="00F6696E">
      <w:pPr>
        <w:outlineLvl w:val="0"/>
      </w:pPr>
      <w:r w:rsidRPr="00894B03">
        <w:fldChar w:fldCharType="end"/>
      </w:r>
    </w:p>
    <w:p w14:paraId="55231BA7" w14:textId="77777777" w:rsidR="00F6696E" w:rsidRPr="00894B03" w:rsidRDefault="00F6696E" w:rsidP="00F6696E">
      <w:pPr>
        <w:outlineLvl w:val="0"/>
        <w:rPr>
          <w:sz w:val="20"/>
        </w:rPr>
      </w:pPr>
    </w:p>
    <w:p w14:paraId="3EE8B0B5" w14:textId="77777777" w:rsidR="00F6696E" w:rsidRPr="00894B03" w:rsidRDefault="00F6696E" w:rsidP="00F6696E">
      <w:pPr>
        <w:sectPr w:rsidR="00F6696E" w:rsidRPr="00894B03" w:rsidSect="00A87A58">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FCFDDD3" w14:textId="77777777" w:rsidR="00554826" w:rsidRPr="00894B03" w:rsidRDefault="00554826" w:rsidP="00554826">
      <w:pPr>
        <w:pStyle w:val="ActHead5"/>
      </w:pPr>
      <w:bookmarkStart w:id="0" w:name="_Toc170564506"/>
      <w:proofErr w:type="gramStart"/>
      <w:r w:rsidRPr="00894B03">
        <w:lastRenderedPageBreak/>
        <w:t>1  Name</w:t>
      </w:r>
      <w:bookmarkEnd w:id="0"/>
      <w:proofErr w:type="gramEnd"/>
    </w:p>
    <w:p w14:paraId="647DF231" w14:textId="4F3F3CC0" w:rsidR="00554826" w:rsidRPr="00894B03" w:rsidRDefault="00554826" w:rsidP="00554826">
      <w:pPr>
        <w:pStyle w:val="subsection"/>
        <w:rPr>
          <w:iCs/>
        </w:rPr>
      </w:pPr>
      <w:r w:rsidRPr="00894B03">
        <w:tab/>
      </w:r>
      <w:r w:rsidRPr="00894B03">
        <w:tab/>
        <w:t xml:space="preserve">This instrument is the </w:t>
      </w:r>
      <w:bookmarkStart w:id="1" w:name="BKCheck15B_3"/>
      <w:bookmarkEnd w:id="1"/>
      <w:r w:rsidR="00C01333" w:rsidRPr="00894B03">
        <w:rPr>
          <w:i/>
        </w:rPr>
        <w:t>Therapeutic Goods (Vaping Good</w:t>
      </w:r>
      <w:r w:rsidR="00214064" w:rsidRPr="00894B03">
        <w:rPr>
          <w:i/>
        </w:rPr>
        <w:t>s</w:t>
      </w:r>
      <w:r w:rsidR="00475182" w:rsidRPr="00894B03">
        <w:rPr>
          <w:i/>
        </w:rPr>
        <w:t>—Other Indications</w:t>
      </w:r>
      <w:r w:rsidR="00C01333" w:rsidRPr="00894B03">
        <w:rPr>
          <w:i/>
        </w:rPr>
        <w:t>) Determination 2024</w:t>
      </w:r>
      <w:r w:rsidR="00214064" w:rsidRPr="00894B03">
        <w:rPr>
          <w:iCs/>
        </w:rPr>
        <w:t>.</w:t>
      </w:r>
    </w:p>
    <w:p w14:paraId="4EC13C75" w14:textId="77777777" w:rsidR="00554826" w:rsidRPr="00894B03" w:rsidRDefault="00554826" w:rsidP="00554826">
      <w:pPr>
        <w:pStyle w:val="ActHead5"/>
      </w:pPr>
      <w:bookmarkStart w:id="2" w:name="_Toc170564507"/>
      <w:proofErr w:type="gramStart"/>
      <w:r w:rsidRPr="00894B03">
        <w:t>2  Commencement</w:t>
      </w:r>
      <w:bookmarkEnd w:id="2"/>
      <w:proofErr w:type="gramEnd"/>
    </w:p>
    <w:p w14:paraId="3EF42F25" w14:textId="77777777" w:rsidR="00D94B70" w:rsidRPr="00894B03" w:rsidRDefault="00D94B70" w:rsidP="00D94B70">
      <w:pPr>
        <w:pStyle w:val="subsection"/>
      </w:pPr>
      <w:r w:rsidRPr="00894B03">
        <w:tab/>
        <w:t>(1)</w:t>
      </w:r>
      <w:r w:rsidRPr="00894B03">
        <w:tab/>
        <w:t>Each provision of this instrument specified in column 1 of the table commences, or is taken to have commenced, in accordance with column 2 of the table. Any other statement in column 2 has effect according to its terms.</w:t>
      </w:r>
    </w:p>
    <w:p w14:paraId="38C17C67" w14:textId="77777777" w:rsidR="00D94B70" w:rsidRPr="00894B03" w:rsidRDefault="00D94B70" w:rsidP="00D94B7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D94B70" w:rsidRPr="00894B03" w14:paraId="1261E565" w14:textId="77777777" w:rsidTr="00AF1671">
        <w:trPr>
          <w:tblHeader/>
        </w:trPr>
        <w:tc>
          <w:tcPr>
            <w:tcW w:w="8364" w:type="dxa"/>
            <w:gridSpan w:val="3"/>
            <w:tcBorders>
              <w:top w:val="single" w:sz="12" w:space="0" w:color="auto"/>
              <w:bottom w:val="single" w:sz="6" w:space="0" w:color="auto"/>
            </w:tcBorders>
            <w:shd w:val="clear" w:color="auto" w:fill="auto"/>
            <w:hideMark/>
          </w:tcPr>
          <w:p w14:paraId="71CE4CB6" w14:textId="77777777" w:rsidR="00D94B70" w:rsidRPr="00894B03" w:rsidRDefault="00D94B70" w:rsidP="00AF1671">
            <w:pPr>
              <w:pStyle w:val="TableHeading"/>
            </w:pPr>
            <w:r w:rsidRPr="00894B03">
              <w:t>Commencement information</w:t>
            </w:r>
          </w:p>
        </w:tc>
      </w:tr>
      <w:tr w:rsidR="00D94B70" w:rsidRPr="00894B03" w14:paraId="374F8FC6" w14:textId="77777777" w:rsidTr="00AF1671">
        <w:trPr>
          <w:tblHeader/>
        </w:trPr>
        <w:tc>
          <w:tcPr>
            <w:tcW w:w="2127" w:type="dxa"/>
            <w:tcBorders>
              <w:top w:val="single" w:sz="6" w:space="0" w:color="auto"/>
              <w:bottom w:val="single" w:sz="6" w:space="0" w:color="auto"/>
            </w:tcBorders>
            <w:shd w:val="clear" w:color="auto" w:fill="auto"/>
            <w:hideMark/>
          </w:tcPr>
          <w:p w14:paraId="50AA1028" w14:textId="77777777" w:rsidR="00D94B70" w:rsidRPr="00894B03" w:rsidRDefault="00D94B70" w:rsidP="00AF1671">
            <w:pPr>
              <w:pStyle w:val="TableHeading"/>
            </w:pPr>
            <w:r w:rsidRPr="00894B03">
              <w:t>Column 1</w:t>
            </w:r>
          </w:p>
        </w:tc>
        <w:tc>
          <w:tcPr>
            <w:tcW w:w="4394" w:type="dxa"/>
            <w:tcBorders>
              <w:top w:val="single" w:sz="6" w:space="0" w:color="auto"/>
              <w:bottom w:val="single" w:sz="6" w:space="0" w:color="auto"/>
            </w:tcBorders>
            <w:shd w:val="clear" w:color="auto" w:fill="auto"/>
            <w:hideMark/>
          </w:tcPr>
          <w:p w14:paraId="273ABEC7" w14:textId="77777777" w:rsidR="00D94B70" w:rsidRPr="00894B03" w:rsidRDefault="00D94B70" w:rsidP="00AF1671">
            <w:pPr>
              <w:pStyle w:val="TableHeading"/>
            </w:pPr>
            <w:r w:rsidRPr="00894B03">
              <w:t>Column 2</w:t>
            </w:r>
          </w:p>
        </w:tc>
        <w:tc>
          <w:tcPr>
            <w:tcW w:w="1843" w:type="dxa"/>
            <w:tcBorders>
              <w:top w:val="single" w:sz="6" w:space="0" w:color="auto"/>
              <w:bottom w:val="single" w:sz="6" w:space="0" w:color="auto"/>
            </w:tcBorders>
            <w:shd w:val="clear" w:color="auto" w:fill="auto"/>
            <w:hideMark/>
          </w:tcPr>
          <w:p w14:paraId="13B58F85" w14:textId="77777777" w:rsidR="00D94B70" w:rsidRPr="00894B03" w:rsidRDefault="00D94B70" w:rsidP="00AF1671">
            <w:pPr>
              <w:pStyle w:val="TableHeading"/>
            </w:pPr>
            <w:r w:rsidRPr="00894B03">
              <w:t>Column 3</w:t>
            </w:r>
          </w:p>
        </w:tc>
      </w:tr>
      <w:tr w:rsidR="00D94B70" w:rsidRPr="00894B03" w14:paraId="17F22EB6" w14:textId="77777777" w:rsidTr="00AF1671">
        <w:trPr>
          <w:tblHeader/>
        </w:trPr>
        <w:tc>
          <w:tcPr>
            <w:tcW w:w="2127" w:type="dxa"/>
            <w:tcBorders>
              <w:top w:val="single" w:sz="6" w:space="0" w:color="auto"/>
              <w:bottom w:val="single" w:sz="12" w:space="0" w:color="auto"/>
            </w:tcBorders>
            <w:shd w:val="clear" w:color="auto" w:fill="auto"/>
            <w:hideMark/>
          </w:tcPr>
          <w:p w14:paraId="024B6A16" w14:textId="77777777" w:rsidR="00D94B70" w:rsidRPr="00894B03" w:rsidRDefault="00D94B70" w:rsidP="00AF1671">
            <w:pPr>
              <w:pStyle w:val="TableHeading"/>
            </w:pPr>
            <w:r w:rsidRPr="00894B03">
              <w:t>Provisions</w:t>
            </w:r>
          </w:p>
        </w:tc>
        <w:tc>
          <w:tcPr>
            <w:tcW w:w="4394" w:type="dxa"/>
            <w:tcBorders>
              <w:top w:val="single" w:sz="6" w:space="0" w:color="auto"/>
              <w:bottom w:val="single" w:sz="12" w:space="0" w:color="auto"/>
            </w:tcBorders>
            <w:shd w:val="clear" w:color="auto" w:fill="auto"/>
            <w:hideMark/>
          </w:tcPr>
          <w:p w14:paraId="22318897" w14:textId="77777777" w:rsidR="00D94B70" w:rsidRPr="00894B03" w:rsidRDefault="00D94B70" w:rsidP="00AF1671">
            <w:pPr>
              <w:pStyle w:val="TableHeading"/>
            </w:pPr>
            <w:r w:rsidRPr="00894B03">
              <w:t>Commencement</w:t>
            </w:r>
          </w:p>
        </w:tc>
        <w:tc>
          <w:tcPr>
            <w:tcW w:w="1843" w:type="dxa"/>
            <w:tcBorders>
              <w:top w:val="single" w:sz="6" w:space="0" w:color="auto"/>
              <w:bottom w:val="single" w:sz="12" w:space="0" w:color="auto"/>
            </w:tcBorders>
            <w:shd w:val="clear" w:color="auto" w:fill="auto"/>
            <w:hideMark/>
          </w:tcPr>
          <w:p w14:paraId="6151BDFB" w14:textId="77777777" w:rsidR="00D94B70" w:rsidRPr="00894B03" w:rsidRDefault="00D94B70" w:rsidP="00AF1671">
            <w:pPr>
              <w:pStyle w:val="TableHeading"/>
            </w:pPr>
            <w:r w:rsidRPr="00894B03">
              <w:t>Date/Details</w:t>
            </w:r>
          </w:p>
        </w:tc>
      </w:tr>
      <w:tr w:rsidR="00D94B70" w:rsidRPr="00894B03" w14:paraId="79AF0CD3" w14:textId="77777777" w:rsidTr="00AF1671">
        <w:tc>
          <w:tcPr>
            <w:tcW w:w="2127" w:type="dxa"/>
            <w:tcBorders>
              <w:top w:val="single" w:sz="12" w:space="0" w:color="auto"/>
              <w:bottom w:val="single" w:sz="12" w:space="0" w:color="auto"/>
            </w:tcBorders>
            <w:shd w:val="clear" w:color="auto" w:fill="auto"/>
            <w:hideMark/>
          </w:tcPr>
          <w:p w14:paraId="40F6BE81" w14:textId="77777777" w:rsidR="00D94B70" w:rsidRPr="00894B03" w:rsidRDefault="00D94B70" w:rsidP="00AF1671">
            <w:pPr>
              <w:pStyle w:val="Tabletext"/>
            </w:pPr>
            <w:r w:rsidRPr="00894B03">
              <w:t>1.  The whole of this instrument</w:t>
            </w:r>
          </w:p>
        </w:tc>
        <w:tc>
          <w:tcPr>
            <w:tcW w:w="4394" w:type="dxa"/>
            <w:tcBorders>
              <w:top w:val="single" w:sz="12" w:space="0" w:color="auto"/>
              <w:bottom w:val="single" w:sz="12" w:space="0" w:color="auto"/>
            </w:tcBorders>
            <w:shd w:val="clear" w:color="auto" w:fill="auto"/>
            <w:hideMark/>
          </w:tcPr>
          <w:p w14:paraId="7D138C8E" w14:textId="77777777" w:rsidR="006A6C59" w:rsidRPr="00894B03" w:rsidRDefault="006A6C59" w:rsidP="006A6C59">
            <w:pPr>
              <w:pStyle w:val="Tabletext"/>
            </w:pPr>
            <w:r w:rsidRPr="00894B03">
              <w:rPr>
                <w:lang w:eastAsia="en-US"/>
              </w:rPr>
              <w:t xml:space="preserve">At the same time as Parts 1 to 3 of Schedule 1 to the </w:t>
            </w:r>
            <w:r w:rsidRPr="00894B03">
              <w:rPr>
                <w:i/>
                <w:lang w:eastAsia="en-US"/>
              </w:rPr>
              <w:t>Therapeutic Goods and Other Legislation Amendment (Vaping Reforms) Act 2024</w:t>
            </w:r>
            <w:r w:rsidRPr="00894B03">
              <w:rPr>
                <w:lang w:eastAsia="en-US"/>
              </w:rPr>
              <w:t xml:space="preserve"> commence.</w:t>
            </w:r>
          </w:p>
          <w:p w14:paraId="10673C3A" w14:textId="2B2183CA" w:rsidR="00D94B70" w:rsidRPr="00894B03" w:rsidRDefault="006A6C59" w:rsidP="00AF1671">
            <w:pPr>
              <w:pStyle w:val="Tabletext"/>
              <w:rPr>
                <w:i/>
                <w:iCs/>
              </w:rPr>
            </w:pPr>
            <w:r w:rsidRPr="00894B03">
              <w:t xml:space="preserve">However, this instrument does not commence at all if the </w:t>
            </w:r>
            <w:r w:rsidRPr="00894B03">
              <w:rPr>
                <w:i/>
                <w:iCs/>
              </w:rPr>
              <w:t xml:space="preserve">Therapeutic Goods and Other Legislation Amendment (Vaping Reforms) Act 2024 </w:t>
            </w:r>
            <w:r w:rsidRPr="00894B03">
              <w:t>does not commence.</w:t>
            </w:r>
          </w:p>
        </w:tc>
        <w:tc>
          <w:tcPr>
            <w:tcW w:w="1843" w:type="dxa"/>
            <w:tcBorders>
              <w:top w:val="single" w:sz="12" w:space="0" w:color="auto"/>
              <w:bottom w:val="single" w:sz="12" w:space="0" w:color="auto"/>
            </w:tcBorders>
            <w:shd w:val="clear" w:color="auto" w:fill="auto"/>
          </w:tcPr>
          <w:p w14:paraId="637E271A" w14:textId="77777777" w:rsidR="00D94B70" w:rsidRPr="00894B03" w:rsidRDefault="00D94B70" w:rsidP="00AF1671">
            <w:pPr>
              <w:pStyle w:val="Tabletext"/>
            </w:pPr>
          </w:p>
        </w:tc>
      </w:tr>
    </w:tbl>
    <w:p w14:paraId="4B8BE892" w14:textId="77777777" w:rsidR="00D94B70" w:rsidRPr="00894B03" w:rsidRDefault="00D94B70" w:rsidP="00D94B70">
      <w:pPr>
        <w:pStyle w:val="notetext"/>
      </w:pPr>
      <w:r w:rsidRPr="00894B03">
        <w:rPr>
          <w:snapToGrid w:val="0"/>
          <w:lang w:eastAsia="en-US"/>
        </w:rPr>
        <w:t>Note:</w:t>
      </w:r>
      <w:r w:rsidRPr="00894B03">
        <w:rPr>
          <w:snapToGrid w:val="0"/>
          <w:lang w:eastAsia="en-US"/>
        </w:rPr>
        <w:tab/>
        <w:t>This table relates only to the provisions of this instrument</w:t>
      </w:r>
      <w:r w:rsidRPr="00894B03">
        <w:t xml:space="preserve"> </w:t>
      </w:r>
      <w:r w:rsidRPr="00894B03">
        <w:rPr>
          <w:snapToGrid w:val="0"/>
          <w:lang w:eastAsia="en-US"/>
        </w:rPr>
        <w:t>as originally made. It will not be amended to deal with any later amendments of this instrument.</w:t>
      </w:r>
    </w:p>
    <w:p w14:paraId="516614DC" w14:textId="77777777" w:rsidR="00D94B70" w:rsidRPr="00894B03" w:rsidRDefault="00D94B70" w:rsidP="00D94B70">
      <w:pPr>
        <w:pStyle w:val="subsection"/>
      </w:pPr>
      <w:r w:rsidRPr="00894B03">
        <w:tab/>
        <w:t>(2)</w:t>
      </w:r>
      <w:r w:rsidRPr="00894B03">
        <w:tab/>
        <w:t>Any information in column 3 of the table is not part of this instrument. Information may be inserted in this column, or information in it may be edited, in any published version of this instrument.</w:t>
      </w:r>
    </w:p>
    <w:p w14:paraId="3CB080C0" w14:textId="77777777" w:rsidR="00554826" w:rsidRPr="00894B03" w:rsidRDefault="00554826" w:rsidP="00554826">
      <w:pPr>
        <w:pStyle w:val="ActHead5"/>
      </w:pPr>
      <w:bookmarkStart w:id="3" w:name="_Toc170564508"/>
      <w:proofErr w:type="gramStart"/>
      <w:r w:rsidRPr="00894B03">
        <w:t>3  Authority</w:t>
      </w:r>
      <w:bookmarkEnd w:id="3"/>
      <w:proofErr w:type="gramEnd"/>
    </w:p>
    <w:p w14:paraId="5A481E9D" w14:textId="367845A7" w:rsidR="00554826" w:rsidRPr="00894B03" w:rsidRDefault="00554826" w:rsidP="00554826">
      <w:pPr>
        <w:pStyle w:val="subsection"/>
      </w:pPr>
      <w:r w:rsidRPr="00894B03">
        <w:tab/>
      </w:r>
      <w:r w:rsidRPr="00894B03">
        <w:tab/>
        <w:t xml:space="preserve">This instrument is made under </w:t>
      </w:r>
      <w:r w:rsidR="00C01333" w:rsidRPr="00894B03">
        <w:t xml:space="preserve">section 41RA of the </w:t>
      </w:r>
      <w:r w:rsidR="00C01333" w:rsidRPr="00894B03">
        <w:rPr>
          <w:i/>
          <w:iCs/>
        </w:rPr>
        <w:t>Therapeutic Goods Act 1989</w:t>
      </w:r>
      <w:r w:rsidRPr="00894B03">
        <w:t>.</w:t>
      </w:r>
    </w:p>
    <w:p w14:paraId="1BCB5736" w14:textId="77777777" w:rsidR="00554826" w:rsidRPr="00894B03" w:rsidRDefault="00554826" w:rsidP="00554826">
      <w:pPr>
        <w:pStyle w:val="ActHead5"/>
      </w:pPr>
      <w:bookmarkStart w:id="4" w:name="_Toc170564509"/>
      <w:proofErr w:type="gramStart"/>
      <w:r w:rsidRPr="00894B03">
        <w:t>4  Definitions</w:t>
      </w:r>
      <w:bookmarkEnd w:id="4"/>
      <w:proofErr w:type="gramEnd"/>
    </w:p>
    <w:p w14:paraId="62DD74DA" w14:textId="717C7B76" w:rsidR="00554826" w:rsidRPr="00894B03" w:rsidRDefault="00554826" w:rsidP="00554826">
      <w:pPr>
        <w:pStyle w:val="notetext"/>
      </w:pPr>
      <w:r w:rsidRPr="00894B03">
        <w:t>Note:</w:t>
      </w:r>
      <w:r w:rsidRPr="00894B03">
        <w:tab/>
      </w:r>
      <w:proofErr w:type="gramStart"/>
      <w:r w:rsidRPr="00894B03">
        <w:t>A number of</w:t>
      </w:r>
      <w:proofErr w:type="gramEnd"/>
      <w:r w:rsidRPr="00894B03">
        <w:t xml:space="preserve"> expressions used in this instrument are defined in </w:t>
      </w:r>
      <w:r w:rsidR="00B87B13" w:rsidRPr="00894B03">
        <w:t>subsection 3(1)</w:t>
      </w:r>
      <w:r w:rsidRPr="00894B03">
        <w:t xml:space="preserve"> of the Act, including the following:</w:t>
      </w:r>
    </w:p>
    <w:p w14:paraId="724219B3" w14:textId="7E7EA765" w:rsidR="00321F43" w:rsidRPr="00894B03" w:rsidRDefault="00321F43" w:rsidP="00321F43">
      <w:pPr>
        <w:pStyle w:val="notepara"/>
      </w:pPr>
      <w:r w:rsidRPr="00894B03">
        <w:t>(a)</w:t>
      </w:r>
      <w:r w:rsidRPr="00894B03">
        <w:tab/>
        <w:t>included in the Register;</w:t>
      </w:r>
    </w:p>
    <w:p w14:paraId="28AAC0D4" w14:textId="41EC3D8E" w:rsidR="00B87B13" w:rsidRPr="00894B03" w:rsidRDefault="00F21E4F" w:rsidP="00321F43">
      <w:pPr>
        <w:pStyle w:val="notepara"/>
      </w:pPr>
      <w:r w:rsidRPr="00894B03">
        <w:t>(b)</w:t>
      </w:r>
      <w:r w:rsidRPr="00894B03">
        <w:tab/>
      </w:r>
      <w:r w:rsidR="00B87B13" w:rsidRPr="00894B03">
        <w:t>indications</w:t>
      </w:r>
      <w:r w:rsidR="00214064" w:rsidRPr="00894B03">
        <w:t>;</w:t>
      </w:r>
    </w:p>
    <w:p w14:paraId="79E0EECB" w14:textId="5BE8B7F0" w:rsidR="00316673" w:rsidRPr="00894B03" w:rsidRDefault="00B87B13" w:rsidP="00554826">
      <w:pPr>
        <w:pStyle w:val="notepara"/>
      </w:pPr>
      <w:r w:rsidRPr="00894B03">
        <w:t>(</w:t>
      </w:r>
      <w:r w:rsidR="00F21E4F" w:rsidRPr="00894B03">
        <w:t>c</w:t>
      </w:r>
      <w:r w:rsidRPr="00894B03">
        <w:t>)</w:t>
      </w:r>
      <w:r w:rsidRPr="00894B03">
        <w:tab/>
      </w:r>
      <w:r w:rsidR="00102648" w:rsidRPr="00894B03">
        <w:t>medical device</w:t>
      </w:r>
      <w:r w:rsidR="00214064" w:rsidRPr="00894B03">
        <w:t>;</w:t>
      </w:r>
    </w:p>
    <w:p w14:paraId="7CAA3C4E" w14:textId="3FE9D474" w:rsidR="00102648" w:rsidRPr="00894B03" w:rsidRDefault="00F21E4F" w:rsidP="00102648">
      <w:pPr>
        <w:pStyle w:val="notepara"/>
      </w:pPr>
      <w:r w:rsidRPr="00894B03">
        <w:t>(d</w:t>
      </w:r>
      <w:r w:rsidR="00102648" w:rsidRPr="00894B03">
        <w:t>)</w:t>
      </w:r>
      <w:r w:rsidR="00102648" w:rsidRPr="00894B03">
        <w:tab/>
      </w:r>
      <w:r w:rsidR="0048225B" w:rsidRPr="00894B03">
        <w:t>medical practitioner</w:t>
      </w:r>
      <w:r w:rsidR="00214064" w:rsidRPr="00894B03">
        <w:t>;</w:t>
      </w:r>
    </w:p>
    <w:p w14:paraId="36A790FF" w14:textId="3FB471EB" w:rsidR="00321F43" w:rsidRPr="00894B03" w:rsidRDefault="00F21E4F" w:rsidP="00102648">
      <w:pPr>
        <w:pStyle w:val="notepara"/>
      </w:pPr>
      <w:r w:rsidRPr="00894B03">
        <w:t>(e)</w:t>
      </w:r>
      <w:r w:rsidRPr="00894B03">
        <w:tab/>
      </w:r>
      <w:r w:rsidR="00321F43" w:rsidRPr="00894B03">
        <w:t>medicine</w:t>
      </w:r>
      <w:r w:rsidRPr="00894B03">
        <w:t>;</w:t>
      </w:r>
    </w:p>
    <w:p w14:paraId="03F9AB3E" w14:textId="08883173" w:rsidR="0048225B" w:rsidRPr="00894B03" w:rsidRDefault="0048225B" w:rsidP="0048225B">
      <w:pPr>
        <w:pStyle w:val="notepara"/>
      </w:pPr>
      <w:r w:rsidRPr="00894B03">
        <w:t>(</w:t>
      </w:r>
      <w:r w:rsidR="00F21E4F" w:rsidRPr="00894B03">
        <w:t>f</w:t>
      </w:r>
      <w:r w:rsidRPr="00894B03">
        <w:t>)</w:t>
      </w:r>
      <w:r w:rsidRPr="00894B03">
        <w:tab/>
        <w:t>Register</w:t>
      </w:r>
      <w:r w:rsidR="00214064" w:rsidRPr="00894B03">
        <w:t>;</w:t>
      </w:r>
    </w:p>
    <w:p w14:paraId="02FD8688" w14:textId="0F36D152" w:rsidR="00321F43" w:rsidRPr="00894B03" w:rsidRDefault="00F21E4F" w:rsidP="0048225B">
      <w:pPr>
        <w:pStyle w:val="notepara"/>
      </w:pPr>
      <w:r w:rsidRPr="00894B03">
        <w:t>(g)</w:t>
      </w:r>
      <w:r w:rsidRPr="00894B03">
        <w:tab/>
        <w:t>r</w:t>
      </w:r>
      <w:r w:rsidR="00321F43" w:rsidRPr="00894B03">
        <w:t>egistered goods</w:t>
      </w:r>
      <w:r w:rsidRPr="00894B03">
        <w:t>;</w:t>
      </w:r>
    </w:p>
    <w:p w14:paraId="3EEF297F" w14:textId="6BDDAAF1" w:rsidR="00B87B13" w:rsidRPr="00894B03" w:rsidRDefault="00554826" w:rsidP="00316673">
      <w:pPr>
        <w:pStyle w:val="notepara"/>
      </w:pPr>
      <w:r w:rsidRPr="00894B03">
        <w:t>(</w:t>
      </w:r>
      <w:r w:rsidR="00F21E4F" w:rsidRPr="00894B03">
        <w:t>h</w:t>
      </w:r>
      <w:r w:rsidRPr="00894B03">
        <w:t>)</w:t>
      </w:r>
      <w:r w:rsidRPr="00894B03">
        <w:tab/>
      </w:r>
      <w:r w:rsidR="00B87B13" w:rsidRPr="00894B03">
        <w:t>therapeutic goods</w:t>
      </w:r>
      <w:r w:rsidR="00214064" w:rsidRPr="00894B03">
        <w:t>;</w:t>
      </w:r>
    </w:p>
    <w:p w14:paraId="5F413979" w14:textId="163F9729" w:rsidR="00321F43" w:rsidRPr="00894B03" w:rsidRDefault="00F21E4F" w:rsidP="00F21E4F">
      <w:pPr>
        <w:pStyle w:val="notepara"/>
      </w:pPr>
      <w:r w:rsidRPr="00894B03">
        <w:t>(i)</w:t>
      </w:r>
      <w:r w:rsidRPr="00894B03">
        <w:tab/>
        <w:t>v</w:t>
      </w:r>
      <w:r w:rsidR="00321F43" w:rsidRPr="00894B03">
        <w:t>aping device</w:t>
      </w:r>
      <w:r w:rsidRPr="00894B03">
        <w:t>;</w:t>
      </w:r>
    </w:p>
    <w:p w14:paraId="27B37D51" w14:textId="31F3D929" w:rsidR="00321F43" w:rsidRPr="00894B03" w:rsidRDefault="00B87B13" w:rsidP="005162B9">
      <w:pPr>
        <w:pStyle w:val="notepara"/>
      </w:pPr>
      <w:r w:rsidRPr="00894B03">
        <w:t>(</w:t>
      </w:r>
      <w:r w:rsidR="00F21E4F" w:rsidRPr="00894B03">
        <w:t>j</w:t>
      </w:r>
      <w:r w:rsidRPr="00894B03">
        <w:t>)</w:t>
      </w:r>
      <w:r w:rsidRPr="00894B03">
        <w:tab/>
      </w:r>
      <w:r w:rsidR="00316673" w:rsidRPr="00894B03">
        <w:t>vaping goods</w:t>
      </w:r>
      <w:r w:rsidR="00321F43" w:rsidRPr="00894B03">
        <w:t>;</w:t>
      </w:r>
    </w:p>
    <w:p w14:paraId="6A20EA2D" w14:textId="72DECC3D" w:rsidR="00554826" w:rsidRPr="00894B03" w:rsidRDefault="00321F43" w:rsidP="00321F43">
      <w:pPr>
        <w:pStyle w:val="notepara"/>
      </w:pPr>
      <w:r w:rsidRPr="00894B03">
        <w:t>(</w:t>
      </w:r>
      <w:r w:rsidR="00F21E4F" w:rsidRPr="00894B03">
        <w:t>k</w:t>
      </w:r>
      <w:r w:rsidRPr="00894B03">
        <w:t>)</w:t>
      </w:r>
      <w:r w:rsidRPr="00894B03">
        <w:tab/>
        <w:t>vaping substance.</w:t>
      </w:r>
    </w:p>
    <w:p w14:paraId="0BC4B204" w14:textId="25B4A176" w:rsidR="00554826" w:rsidRPr="00894B03" w:rsidRDefault="00554826" w:rsidP="007C3DEA">
      <w:pPr>
        <w:pStyle w:val="subsection"/>
        <w:keepNext/>
      </w:pPr>
      <w:r w:rsidRPr="00894B03">
        <w:lastRenderedPageBreak/>
        <w:tab/>
      </w:r>
      <w:r w:rsidRPr="00894B03">
        <w:tab/>
        <w:t>In this instrument:</w:t>
      </w:r>
    </w:p>
    <w:p w14:paraId="17D55F05" w14:textId="02A49467" w:rsidR="00554826" w:rsidRPr="00894B03" w:rsidRDefault="00C01333" w:rsidP="00C01333">
      <w:pPr>
        <w:pStyle w:val="Definition"/>
      </w:pPr>
      <w:r w:rsidRPr="00894B03">
        <w:rPr>
          <w:b/>
          <w:i/>
        </w:rPr>
        <w:t>Act</w:t>
      </w:r>
      <w:r w:rsidRPr="00894B03">
        <w:t xml:space="preserve"> means the </w:t>
      </w:r>
      <w:r w:rsidRPr="00894B03">
        <w:rPr>
          <w:i/>
          <w:iCs/>
        </w:rPr>
        <w:t>Therapeutic Goods Act 1989</w:t>
      </w:r>
      <w:r w:rsidR="00554826" w:rsidRPr="00894B03">
        <w:t>.</w:t>
      </w:r>
    </w:p>
    <w:p w14:paraId="1D81C336" w14:textId="77777777" w:rsidR="00F21E4F" w:rsidRPr="00894B03" w:rsidRDefault="00321F43" w:rsidP="00C01333">
      <w:pPr>
        <w:pStyle w:val="Definition"/>
        <w:rPr>
          <w:bCs/>
          <w:iCs/>
        </w:rPr>
      </w:pPr>
      <w:r w:rsidRPr="00894B03">
        <w:rPr>
          <w:b/>
          <w:i/>
        </w:rPr>
        <w:t xml:space="preserve">intended purpose </w:t>
      </w:r>
      <w:r w:rsidRPr="00894B03">
        <w:rPr>
          <w:bCs/>
          <w:iCs/>
        </w:rPr>
        <w:t>has the same meaning as in the MD Regulations.</w:t>
      </w:r>
    </w:p>
    <w:p w14:paraId="7E832581" w14:textId="4E2A2FBF" w:rsidR="00F21E4F" w:rsidRPr="00894B03" w:rsidRDefault="00F21E4F" w:rsidP="00C01333">
      <w:pPr>
        <w:pStyle w:val="Definition"/>
        <w:rPr>
          <w:bCs/>
          <w:iCs/>
        </w:rPr>
      </w:pPr>
      <w:r w:rsidRPr="00894B03">
        <w:rPr>
          <w:b/>
          <w:i/>
        </w:rPr>
        <w:t>medicinal cannabis products</w:t>
      </w:r>
      <w:r w:rsidRPr="00894B03">
        <w:rPr>
          <w:bCs/>
          <w:iCs/>
        </w:rPr>
        <w:t xml:space="preserve"> </w:t>
      </w:r>
      <w:proofErr w:type="gramStart"/>
      <w:r w:rsidRPr="00894B03">
        <w:rPr>
          <w:bCs/>
          <w:iCs/>
        </w:rPr>
        <w:t>has</w:t>
      </w:r>
      <w:proofErr w:type="gramEnd"/>
      <w:r w:rsidRPr="00894B03">
        <w:rPr>
          <w:bCs/>
          <w:iCs/>
        </w:rPr>
        <w:t xml:space="preserve"> the same meaning as in the Regulations.</w:t>
      </w:r>
    </w:p>
    <w:p w14:paraId="25E0D725" w14:textId="5CC8C6DC" w:rsidR="00321F43" w:rsidRPr="00894B03" w:rsidRDefault="00321F43" w:rsidP="00C01333">
      <w:pPr>
        <w:pStyle w:val="Definition"/>
        <w:rPr>
          <w:bCs/>
          <w:iCs/>
        </w:rPr>
      </w:pPr>
      <w:r w:rsidRPr="00894B03">
        <w:rPr>
          <w:b/>
          <w:i/>
        </w:rPr>
        <w:t>MD Regulations</w:t>
      </w:r>
      <w:r w:rsidRPr="00894B03">
        <w:rPr>
          <w:bCs/>
          <w:iCs/>
        </w:rPr>
        <w:t xml:space="preserve"> means the </w:t>
      </w:r>
      <w:r w:rsidRPr="00894B03">
        <w:rPr>
          <w:bCs/>
          <w:i/>
        </w:rPr>
        <w:t>Therapeutic Goods (Medical Devices) Regulations 2002</w:t>
      </w:r>
      <w:r w:rsidRPr="00894B03">
        <w:rPr>
          <w:bCs/>
          <w:iCs/>
        </w:rPr>
        <w:t>.</w:t>
      </w:r>
    </w:p>
    <w:p w14:paraId="0AE2294F" w14:textId="0127B22D" w:rsidR="00321F43" w:rsidRPr="00894B03" w:rsidRDefault="00321F43" w:rsidP="00C01333">
      <w:pPr>
        <w:pStyle w:val="Definition"/>
        <w:rPr>
          <w:bCs/>
          <w:iCs/>
        </w:rPr>
      </w:pPr>
      <w:r w:rsidRPr="00894B03">
        <w:rPr>
          <w:b/>
          <w:i/>
        </w:rPr>
        <w:t>Regulations</w:t>
      </w:r>
      <w:r w:rsidRPr="00894B03">
        <w:rPr>
          <w:bCs/>
          <w:iCs/>
        </w:rPr>
        <w:t xml:space="preserve"> means the </w:t>
      </w:r>
      <w:r w:rsidRPr="00894B03">
        <w:rPr>
          <w:bCs/>
          <w:i/>
        </w:rPr>
        <w:t>Therapeutic Goods Regulations 1990</w:t>
      </w:r>
      <w:r w:rsidRPr="00894B03">
        <w:rPr>
          <w:bCs/>
          <w:iCs/>
        </w:rPr>
        <w:t>.</w:t>
      </w:r>
    </w:p>
    <w:p w14:paraId="4E03C80D" w14:textId="38031376" w:rsidR="00554826" w:rsidRPr="00894B03" w:rsidRDefault="00E6115D" w:rsidP="00554826">
      <w:pPr>
        <w:pStyle w:val="ActHead5"/>
      </w:pPr>
      <w:bookmarkStart w:id="5" w:name="_Toc170564510"/>
      <w:proofErr w:type="gramStart"/>
      <w:r w:rsidRPr="00894B03">
        <w:t>5</w:t>
      </w:r>
      <w:r w:rsidR="00554826" w:rsidRPr="00894B03">
        <w:t xml:space="preserve">  </w:t>
      </w:r>
      <w:r w:rsidRPr="00894B03">
        <w:t>Other</w:t>
      </w:r>
      <w:proofErr w:type="gramEnd"/>
      <w:r w:rsidRPr="00894B03">
        <w:t xml:space="preserve"> i</w:t>
      </w:r>
      <w:r w:rsidR="00C01333" w:rsidRPr="00894B03">
        <w:t>ndications for which vaping goods may be used</w:t>
      </w:r>
      <w:bookmarkEnd w:id="5"/>
    </w:p>
    <w:p w14:paraId="4D5A504B" w14:textId="2FAF2ADD" w:rsidR="001C3579" w:rsidRPr="00894B03" w:rsidRDefault="001C3579" w:rsidP="001C3579">
      <w:pPr>
        <w:pStyle w:val="subsection"/>
      </w:pPr>
      <w:r w:rsidRPr="00894B03">
        <w:tab/>
      </w:r>
      <w:r w:rsidRPr="00894B03">
        <w:tab/>
      </w:r>
      <w:r w:rsidR="00CA5B70" w:rsidRPr="00894B03">
        <w:t xml:space="preserve">For the purposes of </w:t>
      </w:r>
      <w:r w:rsidR="00825691" w:rsidRPr="00894B03">
        <w:t>paragraph 41</w:t>
      </w:r>
      <w:proofErr w:type="gramStart"/>
      <w:r w:rsidR="00825691" w:rsidRPr="00894B03">
        <w:t>QB(</w:t>
      </w:r>
      <w:proofErr w:type="gramEnd"/>
      <w:r w:rsidR="00825691" w:rsidRPr="00894B03">
        <w:t>11)(a)</w:t>
      </w:r>
      <w:r w:rsidR="007B1F35" w:rsidRPr="00894B03">
        <w:t xml:space="preserve"> </w:t>
      </w:r>
      <w:r w:rsidR="00CA5B70" w:rsidRPr="00894B03">
        <w:t>of the Act</w:t>
      </w:r>
      <w:r w:rsidR="0048225B" w:rsidRPr="00894B03">
        <w:t xml:space="preserve">, </w:t>
      </w:r>
      <w:r w:rsidRPr="00894B03">
        <w:t>in relation to each item of the table in Schedule 1, the indications in column 3 are determined to be indications (other than smoking cessation or management of nicotine dependence) for which the vaping goods in column 2 may be used.</w:t>
      </w:r>
    </w:p>
    <w:p w14:paraId="408B4E5E" w14:textId="71C2125A" w:rsidR="001C3579" w:rsidRPr="00894B03" w:rsidRDefault="001C3579">
      <w:pPr>
        <w:spacing w:line="240" w:lineRule="auto"/>
        <w:rPr>
          <w:rFonts w:eastAsia="Times New Roman" w:cs="Times New Roman"/>
          <w:lang w:eastAsia="en-AU"/>
        </w:rPr>
      </w:pPr>
      <w:r w:rsidRPr="00894B03">
        <w:br w:type="page"/>
      </w:r>
    </w:p>
    <w:p w14:paraId="02545D87" w14:textId="6833B518" w:rsidR="001C3579" w:rsidRPr="00894B03" w:rsidRDefault="001C3579" w:rsidP="001C3579">
      <w:pPr>
        <w:pStyle w:val="ActHead1"/>
        <w:pageBreakBefore/>
        <w:rPr>
          <w:rStyle w:val="CharChapNo"/>
        </w:rPr>
      </w:pPr>
      <w:bookmarkStart w:id="6" w:name="_Toc117866937"/>
      <w:bookmarkStart w:id="7" w:name="_Toc153353468"/>
      <w:bookmarkStart w:id="8" w:name="_Toc169625775"/>
      <w:bookmarkStart w:id="9" w:name="_Toc170564511"/>
      <w:r w:rsidRPr="00894B03">
        <w:rPr>
          <w:rStyle w:val="CharChapNo"/>
        </w:rPr>
        <w:lastRenderedPageBreak/>
        <w:t>Schedule 1—</w:t>
      </w:r>
      <w:bookmarkEnd w:id="6"/>
      <w:bookmarkEnd w:id="7"/>
      <w:bookmarkEnd w:id="8"/>
      <w:r w:rsidRPr="00894B03">
        <w:rPr>
          <w:rStyle w:val="CharChapNo"/>
        </w:rPr>
        <w:t xml:space="preserve">Other indications for which vaping goods may be </w:t>
      </w:r>
      <w:proofErr w:type="gramStart"/>
      <w:r w:rsidRPr="00894B03">
        <w:rPr>
          <w:rStyle w:val="CharChapNo"/>
        </w:rPr>
        <w:t>used</w:t>
      </w:r>
      <w:bookmarkEnd w:id="9"/>
      <w:proofErr w:type="gramEnd"/>
    </w:p>
    <w:p w14:paraId="7994ACA7" w14:textId="0B146C79" w:rsidR="001C3579" w:rsidRPr="00894B03" w:rsidRDefault="001C3579" w:rsidP="001C3579">
      <w:pPr>
        <w:pStyle w:val="notemargin"/>
        <w:spacing w:after="240"/>
        <w:ind w:left="0" w:firstLine="0"/>
      </w:pPr>
      <w:r w:rsidRPr="00894B03">
        <w:t>Note:</w:t>
      </w:r>
      <w:r w:rsidRPr="00894B03">
        <w:tab/>
        <w:t>See section 5.</w:t>
      </w: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4"/>
        <w:gridCol w:w="2411"/>
        <w:gridCol w:w="4738"/>
        <w:gridCol w:w="30"/>
      </w:tblGrid>
      <w:tr w:rsidR="001C3579" w:rsidRPr="00894B03" w14:paraId="266EF229" w14:textId="77777777" w:rsidTr="001C3579">
        <w:trPr>
          <w:trHeight w:val="57"/>
          <w:tblHeader/>
        </w:trPr>
        <w:tc>
          <w:tcPr>
            <w:tcW w:w="5000" w:type="pct"/>
            <w:gridSpan w:val="4"/>
            <w:tcBorders>
              <w:top w:val="single" w:sz="12" w:space="0" w:color="auto"/>
              <w:bottom w:val="single" w:sz="4" w:space="0" w:color="auto"/>
            </w:tcBorders>
          </w:tcPr>
          <w:p w14:paraId="57B06DBE" w14:textId="096429D1" w:rsidR="001C3579" w:rsidRPr="00894B03" w:rsidRDefault="001C3579" w:rsidP="00FF23AF">
            <w:pPr>
              <w:pStyle w:val="TableHeading"/>
            </w:pPr>
            <w:r w:rsidRPr="00894B03">
              <w:t>Other indications for which vaping goods may be used</w:t>
            </w:r>
          </w:p>
        </w:tc>
      </w:tr>
      <w:tr w:rsidR="001C3579" w:rsidRPr="00894B03" w14:paraId="16CDCFF4" w14:textId="1461169A" w:rsidTr="007C3DEA">
        <w:trPr>
          <w:gridAfter w:val="1"/>
          <w:wAfter w:w="18" w:type="pct"/>
          <w:trHeight w:val="57"/>
          <w:tblHeader/>
        </w:trPr>
        <w:tc>
          <w:tcPr>
            <w:tcW w:w="682" w:type="pct"/>
            <w:tcBorders>
              <w:top w:val="nil"/>
              <w:bottom w:val="single" w:sz="2" w:space="0" w:color="auto"/>
            </w:tcBorders>
          </w:tcPr>
          <w:p w14:paraId="094CC419" w14:textId="77777777" w:rsidR="001C3579" w:rsidRPr="00894B03" w:rsidRDefault="001C3579" w:rsidP="00FF23AF">
            <w:pPr>
              <w:pStyle w:val="TableHeading"/>
            </w:pPr>
            <w:r w:rsidRPr="00894B03">
              <w:t>Column 1</w:t>
            </w:r>
          </w:p>
        </w:tc>
        <w:tc>
          <w:tcPr>
            <w:tcW w:w="1450" w:type="pct"/>
            <w:tcBorders>
              <w:top w:val="nil"/>
              <w:bottom w:val="single" w:sz="2" w:space="0" w:color="auto"/>
            </w:tcBorders>
            <w:shd w:val="clear" w:color="auto" w:fill="auto"/>
          </w:tcPr>
          <w:p w14:paraId="610BA535" w14:textId="77777777" w:rsidR="001C3579" w:rsidRPr="00894B03" w:rsidRDefault="001C3579" w:rsidP="00FF23AF">
            <w:pPr>
              <w:pStyle w:val="TableHeading"/>
            </w:pPr>
            <w:r w:rsidRPr="00894B03">
              <w:t>Column 2</w:t>
            </w:r>
          </w:p>
        </w:tc>
        <w:tc>
          <w:tcPr>
            <w:tcW w:w="2850" w:type="pct"/>
            <w:tcBorders>
              <w:top w:val="nil"/>
              <w:bottom w:val="single" w:sz="2" w:space="0" w:color="auto"/>
            </w:tcBorders>
          </w:tcPr>
          <w:p w14:paraId="6BACD4C7" w14:textId="0B1868BA" w:rsidR="001C3579" w:rsidRPr="00894B03" w:rsidRDefault="001C3579" w:rsidP="00FF23AF">
            <w:pPr>
              <w:pStyle w:val="TableHeading"/>
            </w:pPr>
            <w:r w:rsidRPr="00894B03">
              <w:t>Column 3</w:t>
            </w:r>
          </w:p>
        </w:tc>
      </w:tr>
      <w:tr w:rsidR="001C3579" w:rsidRPr="00894B03" w14:paraId="14EBADF4" w14:textId="606BD765" w:rsidTr="007C3DEA">
        <w:trPr>
          <w:gridAfter w:val="1"/>
          <w:wAfter w:w="18" w:type="pct"/>
          <w:trHeight w:val="57"/>
          <w:tblHeader/>
        </w:trPr>
        <w:tc>
          <w:tcPr>
            <w:tcW w:w="682" w:type="pct"/>
            <w:tcBorders>
              <w:top w:val="single" w:sz="2" w:space="0" w:color="auto"/>
              <w:bottom w:val="single" w:sz="12" w:space="0" w:color="auto"/>
            </w:tcBorders>
          </w:tcPr>
          <w:p w14:paraId="70AF741E" w14:textId="77777777" w:rsidR="001C3579" w:rsidRPr="00894B03" w:rsidRDefault="001C3579" w:rsidP="00FF23AF">
            <w:pPr>
              <w:pStyle w:val="TableHeading"/>
            </w:pPr>
            <w:r w:rsidRPr="00894B03">
              <w:t>Item</w:t>
            </w:r>
          </w:p>
        </w:tc>
        <w:tc>
          <w:tcPr>
            <w:tcW w:w="1450" w:type="pct"/>
            <w:tcBorders>
              <w:top w:val="single" w:sz="2" w:space="0" w:color="auto"/>
              <w:bottom w:val="single" w:sz="12" w:space="0" w:color="auto"/>
            </w:tcBorders>
            <w:shd w:val="clear" w:color="auto" w:fill="auto"/>
          </w:tcPr>
          <w:p w14:paraId="160690BF" w14:textId="089DB315" w:rsidR="001C3579" w:rsidRPr="00894B03" w:rsidRDefault="001C3579" w:rsidP="00FF23AF">
            <w:pPr>
              <w:pStyle w:val="TableHeading"/>
            </w:pPr>
            <w:r w:rsidRPr="00894B03">
              <w:t>Vaping goods</w:t>
            </w:r>
          </w:p>
        </w:tc>
        <w:tc>
          <w:tcPr>
            <w:tcW w:w="2850" w:type="pct"/>
            <w:tcBorders>
              <w:top w:val="single" w:sz="2" w:space="0" w:color="auto"/>
              <w:bottom w:val="single" w:sz="12" w:space="0" w:color="auto"/>
            </w:tcBorders>
          </w:tcPr>
          <w:p w14:paraId="24331655" w14:textId="06FB77E9" w:rsidR="001C3579" w:rsidRPr="00894B03" w:rsidRDefault="001C3579" w:rsidP="00FF23AF">
            <w:pPr>
              <w:pStyle w:val="TableHeading"/>
            </w:pPr>
            <w:r w:rsidRPr="00894B03">
              <w:t>Indications</w:t>
            </w:r>
          </w:p>
        </w:tc>
      </w:tr>
      <w:tr w:rsidR="00475182" w:rsidRPr="00894B03" w14:paraId="6C313284" w14:textId="77777777" w:rsidTr="00D009E2">
        <w:trPr>
          <w:gridAfter w:val="1"/>
          <w:wAfter w:w="18" w:type="pct"/>
          <w:trHeight w:val="20"/>
        </w:trPr>
        <w:tc>
          <w:tcPr>
            <w:tcW w:w="682" w:type="pct"/>
            <w:tcBorders>
              <w:top w:val="single" w:sz="2" w:space="0" w:color="auto"/>
              <w:bottom w:val="single" w:sz="2" w:space="0" w:color="auto"/>
            </w:tcBorders>
          </w:tcPr>
          <w:p w14:paraId="57BE821F" w14:textId="26F9EAD7" w:rsidR="00475182" w:rsidRPr="00894B03" w:rsidRDefault="00475182" w:rsidP="00D009E2">
            <w:pPr>
              <w:pStyle w:val="Tabletext"/>
            </w:pPr>
            <w:r w:rsidRPr="00894B03">
              <w:t>1</w:t>
            </w:r>
          </w:p>
        </w:tc>
        <w:tc>
          <w:tcPr>
            <w:tcW w:w="1450" w:type="pct"/>
            <w:tcBorders>
              <w:top w:val="single" w:sz="2" w:space="0" w:color="auto"/>
              <w:bottom w:val="single" w:sz="2" w:space="0" w:color="auto"/>
            </w:tcBorders>
            <w:shd w:val="clear" w:color="auto" w:fill="auto"/>
          </w:tcPr>
          <w:p w14:paraId="4292B49B" w14:textId="77777777" w:rsidR="00475182" w:rsidRPr="00894B03" w:rsidRDefault="00475182" w:rsidP="00D009E2">
            <w:pPr>
              <w:pStyle w:val="Tabletext"/>
              <w:ind w:left="37" w:firstLine="2"/>
            </w:pPr>
            <w:r w:rsidRPr="00894B03">
              <w:t>a vaping good</w:t>
            </w:r>
          </w:p>
        </w:tc>
        <w:tc>
          <w:tcPr>
            <w:tcW w:w="2850" w:type="pct"/>
            <w:tcBorders>
              <w:top w:val="single" w:sz="2" w:space="0" w:color="auto"/>
              <w:bottom w:val="single" w:sz="2" w:space="0" w:color="auto"/>
            </w:tcBorders>
          </w:tcPr>
          <w:p w14:paraId="112773E1" w14:textId="77777777" w:rsidR="00475182" w:rsidRPr="00894B03" w:rsidRDefault="00475182" w:rsidP="00D009E2">
            <w:pPr>
              <w:pStyle w:val="Tabletext"/>
            </w:pPr>
            <w:r w:rsidRPr="00894B03">
              <w:t>the following:</w:t>
            </w:r>
          </w:p>
          <w:p w14:paraId="319542D9" w14:textId="77777777" w:rsidR="00475182" w:rsidRPr="00894B03" w:rsidRDefault="00475182" w:rsidP="00D009E2">
            <w:pPr>
              <w:pStyle w:val="Tabletext"/>
              <w:ind w:left="455" w:hanging="455"/>
            </w:pPr>
            <w:r w:rsidRPr="00894B03">
              <w:t>(a)</w:t>
            </w:r>
            <w:r w:rsidRPr="00894B03">
              <w:tab/>
              <w:t>for goods approved under paragraph 19(1)(b) of the Act—one or more indications specified in the approval;</w:t>
            </w:r>
          </w:p>
          <w:p w14:paraId="46325CF1" w14:textId="77777777" w:rsidR="00475182" w:rsidRPr="00894B03" w:rsidRDefault="00475182" w:rsidP="00D009E2">
            <w:pPr>
              <w:pStyle w:val="Tabletext"/>
              <w:ind w:left="455" w:hanging="455"/>
            </w:pPr>
            <w:r w:rsidRPr="00894B03">
              <w:t>(b)</w:t>
            </w:r>
            <w:r w:rsidRPr="00894B03">
              <w:tab/>
              <w:t>for a medical device approved under paragraph 41HB(1)(e) of the Act—one or more intended purposes specified in the approval;</w:t>
            </w:r>
          </w:p>
          <w:p w14:paraId="152468CA" w14:textId="77777777" w:rsidR="00475182" w:rsidRPr="00894B03" w:rsidRDefault="00475182" w:rsidP="00D009E2">
            <w:pPr>
              <w:pStyle w:val="Tabletext"/>
              <w:ind w:left="455" w:hanging="455"/>
            </w:pPr>
            <w:r w:rsidRPr="00894B03">
              <w:t>(c)</w:t>
            </w:r>
            <w:r w:rsidRPr="00894B03">
              <w:tab/>
              <w:t xml:space="preserve">for goods exempt under item 3 of Schedule 5A to the Regulations—one or more indications set out in the notice that is given in accordance with that item; </w:t>
            </w:r>
          </w:p>
          <w:p w14:paraId="30D4BBB1" w14:textId="77777777" w:rsidR="00475182" w:rsidRPr="00894B03" w:rsidRDefault="00475182" w:rsidP="00D009E2">
            <w:pPr>
              <w:pStyle w:val="Tabletext"/>
              <w:ind w:left="455" w:hanging="455"/>
            </w:pPr>
            <w:r w:rsidRPr="00894B03">
              <w:t>(d)</w:t>
            </w:r>
            <w:r w:rsidRPr="00894B03">
              <w:tab/>
              <w:t>for medical devices exempt under item 2.3 in Part 2 of Schedule 4 to the MD Regulations—the intended purpose set out in the notice that is given in accordance with that item</w:t>
            </w:r>
          </w:p>
        </w:tc>
      </w:tr>
      <w:tr w:rsidR="00475182" w:rsidRPr="00894B03" w14:paraId="6EB6401D" w14:textId="77777777" w:rsidTr="00D009E2">
        <w:trPr>
          <w:gridAfter w:val="1"/>
          <w:wAfter w:w="18" w:type="pct"/>
          <w:trHeight w:val="20"/>
        </w:trPr>
        <w:tc>
          <w:tcPr>
            <w:tcW w:w="682" w:type="pct"/>
            <w:tcBorders>
              <w:top w:val="single" w:sz="2" w:space="0" w:color="auto"/>
              <w:bottom w:val="single" w:sz="2" w:space="0" w:color="auto"/>
            </w:tcBorders>
          </w:tcPr>
          <w:p w14:paraId="236994A0" w14:textId="6E272336" w:rsidR="00475182" w:rsidRPr="00894B03" w:rsidRDefault="00475182" w:rsidP="00D009E2">
            <w:pPr>
              <w:pStyle w:val="Tabletext"/>
            </w:pPr>
            <w:r w:rsidRPr="00894B03">
              <w:t>2</w:t>
            </w:r>
          </w:p>
        </w:tc>
        <w:tc>
          <w:tcPr>
            <w:tcW w:w="1450" w:type="pct"/>
            <w:tcBorders>
              <w:top w:val="single" w:sz="2" w:space="0" w:color="auto"/>
              <w:bottom w:val="single" w:sz="2" w:space="0" w:color="auto"/>
            </w:tcBorders>
            <w:shd w:val="clear" w:color="auto" w:fill="auto"/>
          </w:tcPr>
          <w:p w14:paraId="24777666" w14:textId="77777777" w:rsidR="00475182" w:rsidRPr="00894B03" w:rsidRDefault="00475182" w:rsidP="00D009E2">
            <w:pPr>
              <w:pStyle w:val="Tabletext"/>
              <w:ind w:left="37" w:firstLine="2"/>
            </w:pPr>
            <w:r w:rsidRPr="00894B03">
              <w:t>a medicinal cannabis vaping good</w:t>
            </w:r>
          </w:p>
        </w:tc>
        <w:tc>
          <w:tcPr>
            <w:tcW w:w="2850" w:type="pct"/>
            <w:tcBorders>
              <w:top w:val="single" w:sz="2" w:space="0" w:color="auto"/>
              <w:bottom w:val="single" w:sz="2" w:space="0" w:color="auto"/>
            </w:tcBorders>
          </w:tcPr>
          <w:p w14:paraId="1605EA58" w14:textId="77777777" w:rsidR="00475182" w:rsidRPr="00894B03" w:rsidRDefault="00475182" w:rsidP="00D009E2">
            <w:pPr>
              <w:pStyle w:val="Tabletext"/>
            </w:pPr>
            <w:r w:rsidRPr="00894B03">
              <w:t>the following:</w:t>
            </w:r>
          </w:p>
          <w:p w14:paraId="7BFBE9C9" w14:textId="77777777" w:rsidR="00475182" w:rsidRPr="00894B03" w:rsidRDefault="00475182" w:rsidP="00D009E2">
            <w:pPr>
              <w:pStyle w:val="Tabletext"/>
              <w:ind w:left="455" w:hanging="455"/>
            </w:pPr>
            <w:r w:rsidRPr="00894B03">
              <w:t>(a)</w:t>
            </w:r>
            <w:r w:rsidRPr="00894B03">
              <w:tab/>
              <w:t>for a medical device included in the Register—one or more intended purposes accepted in relation to the inclusion of the medical device in the Register;</w:t>
            </w:r>
          </w:p>
          <w:p w14:paraId="0A44D097" w14:textId="77777777" w:rsidR="00475182" w:rsidRPr="00894B03" w:rsidRDefault="00475182" w:rsidP="00D009E2">
            <w:pPr>
              <w:pStyle w:val="Tabletext"/>
              <w:ind w:left="455" w:hanging="455"/>
            </w:pPr>
            <w:r w:rsidRPr="00894B03">
              <w:t>(b)</w:t>
            </w:r>
            <w:r w:rsidRPr="00894B03">
              <w:tab/>
              <w:t>for a medical device approved under subsection 41HB(1)(d) of the Act—one or more intended purposes specified in the approval;</w:t>
            </w:r>
          </w:p>
          <w:p w14:paraId="0D02DB0B" w14:textId="77777777" w:rsidR="00475182" w:rsidRPr="00894B03" w:rsidRDefault="00475182" w:rsidP="00D009E2">
            <w:pPr>
              <w:pStyle w:val="Tabletext"/>
              <w:ind w:left="455" w:hanging="455"/>
            </w:pPr>
            <w:r w:rsidRPr="00894B03">
              <w:t>(c)</w:t>
            </w:r>
            <w:r w:rsidRPr="00894B03">
              <w:tab/>
              <w:t>for a medical device authorised for supply under subsection 41</w:t>
            </w:r>
            <w:proofErr w:type="gramStart"/>
            <w:r w:rsidRPr="00894B03">
              <w:t>HC(</w:t>
            </w:r>
            <w:proofErr w:type="gramEnd"/>
            <w:r w:rsidRPr="00894B03">
              <w:t>1) of the Act—one or more intended purposes specified in the authorisation;</w:t>
            </w:r>
          </w:p>
          <w:p w14:paraId="4199F296" w14:textId="77777777" w:rsidR="00475182" w:rsidRPr="00894B03" w:rsidRDefault="00475182" w:rsidP="00D009E2">
            <w:pPr>
              <w:pStyle w:val="Tabletext"/>
              <w:ind w:left="455" w:hanging="455"/>
            </w:pPr>
            <w:r w:rsidRPr="00894B03">
              <w:t>(d)</w:t>
            </w:r>
            <w:r w:rsidRPr="00894B03">
              <w:tab/>
              <w:t>for a medical device authorised for supply under rules made under subsection 41</w:t>
            </w:r>
            <w:proofErr w:type="gramStart"/>
            <w:r w:rsidRPr="00894B03">
              <w:t>HC(</w:t>
            </w:r>
            <w:proofErr w:type="gramEnd"/>
            <w:r w:rsidRPr="00894B03">
              <w:t>6) of the Act—one or more purposes specified in the rules;</w:t>
            </w:r>
          </w:p>
          <w:p w14:paraId="49FC4A2B" w14:textId="77777777" w:rsidR="00475182" w:rsidRPr="00894B03" w:rsidRDefault="00475182" w:rsidP="00D009E2">
            <w:pPr>
              <w:pStyle w:val="Tabletext"/>
              <w:ind w:left="455" w:hanging="455"/>
            </w:pPr>
            <w:r w:rsidRPr="00894B03">
              <w:t>(e)</w:t>
            </w:r>
            <w:r w:rsidRPr="00894B03">
              <w:tab/>
              <w:t>for medical devices exempt under regulation 7.2 of the MD Regulations, in relation to a person who is a Category A patient within the meaning of subregulation 7.2(2)—the use of the device in relation to the treatment of the person’s condition, as set out in the statement referred to in subparagraph 7.2(1)(b)(ii) of the MD Regulations</w:t>
            </w:r>
          </w:p>
        </w:tc>
      </w:tr>
      <w:tr w:rsidR="001C3579" w:rsidRPr="00E159BF" w14:paraId="0BF996B1" w14:textId="56EC9025" w:rsidTr="007C3DEA">
        <w:trPr>
          <w:gridAfter w:val="1"/>
          <w:wAfter w:w="18" w:type="pct"/>
          <w:trHeight w:val="20"/>
        </w:trPr>
        <w:tc>
          <w:tcPr>
            <w:tcW w:w="682" w:type="pct"/>
            <w:tcBorders>
              <w:top w:val="single" w:sz="2" w:space="0" w:color="auto"/>
              <w:bottom w:val="single" w:sz="2" w:space="0" w:color="auto"/>
            </w:tcBorders>
          </w:tcPr>
          <w:p w14:paraId="307D36D1" w14:textId="480A6944" w:rsidR="001C3579" w:rsidRPr="00894B03" w:rsidRDefault="00475182" w:rsidP="00FF23AF">
            <w:pPr>
              <w:pStyle w:val="Tabletext"/>
            </w:pPr>
            <w:r w:rsidRPr="00894B03">
              <w:t>3</w:t>
            </w:r>
          </w:p>
        </w:tc>
        <w:tc>
          <w:tcPr>
            <w:tcW w:w="1450" w:type="pct"/>
            <w:tcBorders>
              <w:top w:val="single" w:sz="2" w:space="0" w:color="auto"/>
              <w:bottom w:val="single" w:sz="2" w:space="0" w:color="auto"/>
            </w:tcBorders>
            <w:shd w:val="clear" w:color="auto" w:fill="auto"/>
          </w:tcPr>
          <w:p w14:paraId="2714799B" w14:textId="77777777" w:rsidR="00B01F00" w:rsidRPr="00894B03" w:rsidRDefault="00CE6AE1" w:rsidP="005E309C">
            <w:pPr>
              <w:pStyle w:val="Tabletext"/>
              <w:ind w:left="37" w:firstLine="2"/>
              <w:rPr>
                <w:szCs w:val="22"/>
              </w:rPr>
            </w:pPr>
            <w:r w:rsidRPr="00894B03">
              <w:t xml:space="preserve">a </w:t>
            </w:r>
            <w:r w:rsidRPr="00894B03">
              <w:rPr>
                <w:szCs w:val="22"/>
              </w:rPr>
              <w:t>vaping substance that is</w:t>
            </w:r>
            <w:r w:rsidR="00B01F00" w:rsidRPr="00894B03">
              <w:rPr>
                <w:szCs w:val="22"/>
              </w:rPr>
              <w:t>:</w:t>
            </w:r>
          </w:p>
          <w:p w14:paraId="4FADA976" w14:textId="26818D17" w:rsidR="00B01F00" w:rsidRPr="00894B03" w:rsidRDefault="00B01F00" w:rsidP="007C3DEA">
            <w:pPr>
              <w:pStyle w:val="Tabletext"/>
              <w:ind w:left="321" w:hanging="321"/>
            </w:pPr>
            <w:r w:rsidRPr="00894B03">
              <w:t>(a)</w:t>
            </w:r>
            <w:r w:rsidRPr="00894B03">
              <w:tab/>
            </w:r>
            <w:r w:rsidR="00CE6AE1" w:rsidRPr="00894B03">
              <w:t>a medicinal cannabis product</w:t>
            </w:r>
            <w:r w:rsidRPr="00894B03">
              <w:t>;</w:t>
            </w:r>
            <w:r w:rsidR="00CE6AE1" w:rsidRPr="00894B03">
              <w:t xml:space="preserve"> or</w:t>
            </w:r>
          </w:p>
          <w:p w14:paraId="7170B5C1" w14:textId="33DDB46C" w:rsidR="001C3579" w:rsidRPr="00894B03" w:rsidRDefault="00B01F00" w:rsidP="007C3DEA">
            <w:pPr>
              <w:pStyle w:val="Tabletext"/>
              <w:ind w:left="321" w:hanging="321"/>
            </w:pPr>
            <w:r w:rsidRPr="00894B03">
              <w:lastRenderedPageBreak/>
              <w:t>(b)</w:t>
            </w:r>
            <w:r w:rsidRPr="00894B03">
              <w:tab/>
            </w:r>
            <w:r w:rsidR="00CE6AE1" w:rsidRPr="00894B03">
              <w:t>a medicine that contains synthetic cannabis</w:t>
            </w:r>
          </w:p>
        </w:tc>
        <w:tc>
          <w:tcPr>
            <w:tcW w:w="2850" w:type="pct"/>
            <w:tcBorders>
              <w:top w:val="single" w:sz="2" w:space="0" w:color="auto"/>
              <w:bottom w:val="single" w:sz="2" w:space="0" w:color="auto"/>
            </w:tcBorders>
          </w:tcPr>
          <w:p w14:paraId="4E803A55" w14:textId="4E00D547" w:rsidR="001C3579" w:rsidRPr="00894B03" w:rsidRDefault="00021685" w:rsidP="00FF23AF">
            <w:pPr>
              <w:pStyle w:val="Tabletext"/>
            </w:pPr>
            <w:r w:rsidRPr="00894B03">
              <w:lastRenderedPageBreak/>
              <w:t>t</w:t>
            </w:r>
            <w:r w:rsidR="00CE6AE1" w:rsidRPr="00894B03">
              <w:t>he following:</w:t>
            </w:r>
          </w:p>
          <w:p w14:paraId="2FA14CC5" w14:textId="52753589" w:rsidR="00CE6AE1" w:rsidRPr="00894B03" w:rsidRDefault="00CE6AE1" w:rsidP="005E309C">
            <w:pPr>
              <w:pStyle w:val="Tabletext"/>
              <w:ind w:left="455" w:hanging="455"/>
            </w:pPr>
            <w:r w:rsidRPr="00894B03">
              <w:t>(a)</w:t>
            </w:r>
            <w:r w:rsidRPr="00894B03">
              <w:tab/>
              <w:t xml:space="preserve">for </w:t>
            </w:r>
            <w:r w:rsidR="00021685" w:rsidRPr="00894B03">
              <w:t>registered goods—</w:t>
            </w:r>
            <w:r w:rsidR="00475182" w:rsidRPr="00894B03">
              <w:t xml:space="preserve">one or more </w:t>
            </w:r>
            <w:r w:rsidRPr="00894B03">
              <w:t>indications that are accepted in relation to the inclusion</w:t>
            </w:r>
            <w:r w:rsidR="00021685" w:rsidRPr="00894B03">
              <w:t xml:space="preserve"> of the goods in the Register;</w:t>
            </w:r>
          </w:p>
          <w:p w14:paraId="4BEC099D" w14:textId="7593AED2" w:rsidR="00E56B24" w:rsidRPr="00894B03" w:rsidRDefault="00CE6AE1" w:rsidP="005E309C">
            <w:pPr>
              <w:pStyle w:val="Tabletext"/>
              <w:ind w:left="455" w:hanging="455"/>
            </w:pPr>
            <w:r w:rsidRPr="00894B03">
              <w:lastRenderedPageBreak/>
              <w:t>(b)</w:t>
            </w:r>
            <w:r w:rsidRPr="00894B03">
              <w:tab/>
            </w:r>
            <w:r w:rsidR="00E56B24" w:rsidRPr="00894B03">
              <w:t>for goods approved under subsection 19(1)</w:t>
            </w:r>
            <w:r w:rsidR="00261624" w:rsidRPr="00894B03">
              <w:t>(a)</w:t>
            </w:r>
            <w:r w:rsidR="00E56B24" w:rsidRPr="00894B03">
              <w:t xml:space="preserve"> of the Act—</w:t>
            </w:r>
            <w:r w:rsidR="00475182" w:rsidRPr="00894B03">
              <w:t xml:space="preserve">one or more </w:t>
            </w:r>
            <w:r w:rsidR="00E56B24" w:rsidRPr="00894B03">
              <w:t>indication</w:t>
            </w:r>
            <w:r w:rsidR="0099064F" w:rsidRPr="00894B03">
              <w:t>s</w:t>
            </w:r>
            <w:r w:rsidR="00E56B24" w:rsidRPr="00894B03">
              <w:t xml:space="preserve"> specified in the approval;</w:t>
            </w:r>
          </w:p>
          <w:p w14:paraId="79058E43" w14:textId="3DA69744" w:rsidR="00E56B24" w:rsidRPr="00894B03" w:rsidRDefault="00E56B24" w:rsidP="005E309C">
            <w:pPr>
              <w:pStyle w:val="Tabletext"/>
              <w:ind w:left="455" w:hanging="455"/>
            </w:pPr>
            <w:r w:rsidRPr="00894B03">
              <w:t>(c)</w:t>
            </w:r>
            <w:r w:rsidRPr="00894B03">
              <w:tab/>
              <w:t>for goods authorised for supply under subsection</w:t>
            </w:r>
            <w:r w:rsidR="005E309C" w:rsidRPr="00894B03">
              <w:t> </w:t>
            </w:r>
            <w:r w:rsidRPr="00894B03">
              <w:t>19(5)</w:t>
            </w:r>
            <w:r w:rsidR="0070487E" w:rsidRPr="00894B03">
              <w:t xml:space="preserve"> of the Act</w:t>
            </w:r>
            <w:r w:rsidRPr="00894B03">
              <w:t>—</w:t>
            </w:r>
            <w:r w:rsidR="00475182" w:rsidRPr="00894B03">
              <w:t xml:space="preserve">one or more </w:t>
            </w:r>
            <w:r w:rsidRPr="00894B03">
              <w:t xml:space="preserve">indications specified in the </w:t>
            </w:r>
            <w:r w:rsidR="005E309C" w:rsidRPr="00894B03">
              <w:t>authorisation</w:t>
            </w:r>
            <w:r w:rsidRPr="00894B03">
              <w:t>;</w:t>
            </w:r>
          </w:p>
          <w:p w14:paraId="6E370C94" w14:textId="3B05D19D" w:rsidR="00E56B24" w:rsidRPr="00894B03" w:rsidRDefault="00E56B24" w:rsidP="005E309C">
            <w:pPr>
              <w:pStyle w:val="Tabletext"/>
              <w:ind w:left="455" w:hanging="455"/>
            </w:pPr>
            <w:r w:rsidRPr="00894B03">
              <w:t>(d)</w:t>
            </w:r>
            <w:r w:rsidRPr="00894B03">
              <w:tab/>
              <w:t>for goods authorised for supply under rules made under subsection 19(7A)</w:t>
            </w:r>
            <w:r w:rsidR="0070487E" w:rsidRPr="00894B03">
              <w:t xml:space="preserve"> of the Act</w:t>
            </w:r>
            <w:r w:rsidRPr="00894B03">
              <w:t>—</w:t>
            </w:r>
            <w:r w:rsidR="00475182" w:rsidRPr="00894B03">
              <w:t xml:space="preserve">one or more </w:t>
            </w:r>
            <w:r w:rsidRPr="00894B03">
              <w:t>indications specified in the rules</w:t>
            </w:r>
            <w:r w:rsidR="005E309C" w:rsidRPr="00894B03">
              <w:t>;</w:t>
            </w:r>
          </w:p>
          <w:p w14:paraId="4C62D067" w14:textId="003BB104" w:rsidR="00CE6AE1" w:rsidRDefault="005E309C" w:rsidP="007C3DEA">
            <w:pPr>
              <w:pStyle w:val="Tabletext"/>
              <w:ind w:left="455" w:hanging="455"/>
            </w:pPr>
            <w:r w:rsidRPr="00894B03">
              <w:t>(</w:t>
            </w:r>
            <w:r w:rsidR="00261624" w:rsidRPr="00894B03">
              <w:t>e</w:t>
            </w:r>
            <w:r w:rsidRPr="00894B03">
              <w:t>)</w:t>
            </w:r>
            <w:r w:rsidRPr="00894B03">
              <w:tab/>
              <w:t>for goods exempt under regulation 12A of the Regulations</w:t>
            </w:r>
            <w:r w:rsidR="00E211A6" w:rsidRPr="00894B03">
              <w:t>, in relation to a person who is a Category A patient within the meaning of subregulation 12</w:t>
            </w:r>
            <w:proofErr w:type="gramStart"/>
            <w:r w:rsidR="00E211A6" w:rsidRPr="00894B03">
              <w:t>A(</w:t>
            </w:r>
            <w:proofErr w:type="gramEnd"/>
            <w:r w:rsidR="00E211A6" w:rsidRPr="00894B03">
              <w:t>5)</w:t>
            </w:r>
            <w:r w:rsidRPr="00894B03">
              <w:t>—</w:t>
            </w:r>
            <w:r w:rsidR="008353EA" w:rsidRPr="00894B03">
              <w:t xml:space="preserve">the </w:t>
            </w:r>
            <w:r w:rsidR="006331C9" w:rsidRPr="00894B03">
              <w:t>use</w:t>
            </w:r>
            <w:r w:rsidR="008353EA" w:rsidRPr="00894B03">
              <w:t xml:space="preserve"> of the good in relation to</w:t>
            </w:r>
            <w:r w:rsidR="006331C9" w:rsidRPr="00894B03">
              <w:t xml:space="preserve"> the treatment of the person’s condition</w:t>
            </w:r>
            <w:r w:rsidR="008353EA" w:rsidRPr="00894B03">
              <w:t>,</w:t>
            </w:r>
            <w:r w:rsidR="006331C9" w:rsidRPr="00894B03">
              <w:t xml:space="preserve"> as </w:t>
            </w:r>
            <w:r w:rsidR="00B01F00" w:rsidRPr="00894B03">
              <w:t>set out in the statement referred to in subparagraph 12</w:t>
            </w:r>
            <w:r w:rsidR="00FB529A" w:rsidRPr="00894B03">
              <w:t>A</w:t>
            </w:r>
            <w:r w:rsidR="00B01F00" w:rsidRPr="00894B03">
              <w:t>(2)(a)(iii)</w:t>
            </w:r>
            <w:r w:rsidR="0070487E" w:rsidRPr="00894B03">
              <w:t xml:space="preserve"> of the Regulations</w:t>
            </w:r>
          </w:p>
        </w:tc>
      </w:tr>
    </w:tbl>
    <w:p w14:paraId="45C26541" w14:textId="4539104B" w:rsidR="00A75FE9" w:rsidRDefault="00A75FE9" w:rsidP="00554826">
      <w:pPr>
        <w:pStyle w:val="BodyPara"/>
        <w:numPr>
          <w:ilvl w:val="0"/>
          <w:numId w:val="0"/>
        </w:numPr>
        <w:ind w:left="720"/>
      </w:pPr>
    </w:p>
    <w:sectPr w:rsidR="00A75FE9"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9D47" w14:textId="77777777" w:rsidR="00B764F1" w:rsidRDefault="00B764F1" w:rsidP="00715914">
      <w:pPr>
        <w:spacing w:line="240" w:lineRule="auto"/>
      </w:pPr>
      <w:r>
        <w:separator/>
      </w:r>
    </w:p>
  </w:endnote>
  <w:endnote w:type="continuationSeparator" w:id="0">
    <w:p w14:paraId="04E26D62" w14:textId="77777777" w:rsidR="00B764F1" w:rsidRDefault="00B764F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3853"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7550488B" w14:textId="77777777" w:rsidTr="00B33709">
      <w:tc>
        <w:tcPr>
          <w:tcW w:w="709" w:type="dxa"/>
          <w:tcBorders>
            <w:top w:val="nil"/>
            <w:left w:val="nil"/>
            <w:bottom w:val="nil"/>
            <w:right w:val="nil"/>
          </w:tcBorders>
        </w:tcPr>
        <w:p w14:paraId="74E1915B"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C923BA9"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01333">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61076F93" w14:textId="77777777" w:rsidR="0072147A" w:rsidRDefault="0072147A" w:rsidP="00A369E3">
          <w:pPr>
            <w:spacing w:line="0" w:lineRule="atLeast"/>
            <w:jc w:val="right"/>
            <w:rPr>
              <w:sz w:val="18"/>
            </w:rPr>
          </w:pPr>
        </w:p>
      </w:tc>
    </w:tr>
    <w:tr w:rsidR="0072147A" w14:paraId="152B7000"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3FBFD26" w14:textId="77777777" w:rsidR="0072147A" w:rsidRDefault="0072147A" w:rsidP="00A369E3">
          <w:pPr>
            <w:jc w:val="right"/>
            <w:rPr>
              <w:sz w:val="18"/>
            </w:rPr>
          </w:pPr>
        </w:p>
      </w:tc>
    </w:tr>
  </w:tbl>
  <w:p w14:paraId="3E7477A2"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FE40"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1133C8B6" w14:textId="77777777" w:rsidTr="00A369E3">
      <w:tc>
        <w:tcPr>
          <w:tcW w:w="1384" w:type="dxa"/>
          <w:tcBorders>
            <w:top w:val="nil"/>
            <w:left w:val="nil"/>
            <w:bottom w:val="nil"/>
            <w:right w:val="nil"/>
          </w:tcBorders>
        </w:tcPr>
        <w:p w14:paraId="28E8C387" w14:textId="77777777" w:rsidR="0072147A" w:rsidRDefault="0072147A" w:rsidP="00A369E3">
          <w:pPr>
            <w:spacing w:line="0" w:lineRule="atLeast"/>
            <w:rPr>
              <w:sz w:val="18"/>
            </w:rPr>
          </w:pPr>
        </w:p>
      </w:tc>
      <w:tc>
        <w:tcPr>
          <w:tcW w:w="6379" w:type="dxa"/>
          <w:tcBorders>
            <w:top w:val="nil"/>
            <w:left w:val="nil"/>
            <w:bottom w:val="nil"/>
            <w:right w:val="nil"/>
          </w:tcBorders>
        </w:tcPr>
        <w:p w14:paraId="04A1E990"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01333">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5289F2C8"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E33BBC4"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A7B0BB" w14:textId="77777777" w:rsidR="0072147A" w:rsidRDefault="0072147A" w:rsidP="00A369E3">
          <w:pPr>
            <w:rPr>
              <w:sz w:val="18"/>
            </w:rPr>
          </w:pPr>
        </w:p>
      </w:tc>
    </w:tr>
  </w:tbl>
  <w:p w14:paraId="01B73323"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5455"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5579266E" w14:textId="77777777" w:rsidTr="00B33709">
      <w:tc>
        <w:tcPr>
          <w:tcW w:w="1384" w:type="dxa"/>
          <w:tcBorders>
            <w:top w:val="nil"/>
            <w:left w:val="nil"/>
            <w:bottom w:val="nil"/>
            <w:right w:val="nil"/>
          </w:tcBorders>
        </w:tcPr>
        <w:p w14:paraId="633910D3" w14:textId="77777777" w:rsidR="0072147A" w:rsidRDefault="0072147A" w:rsidP="00A369E3">
          <w:pPr>
            <w:spacing w:line="0" w:lineRule="atLeast"/>
            <w:rPr>
              <w:sz w:val="18"/>
            </w:rPr>
          </w:pPr>
        </w:p>
      </w:tc>
      <w:tc>
        <w:tcPr>
          <w:tcW w:w="6379" w:type="dxa"/>
          <w:tcBorders>
            <w:top w:val="nil"/>
            <w:left w:val="nil"/>
            <w:bottom w:val="nil"/>
            <w:right w:val="nil"/>
          </w:tcBorders>
        </w:tcPr>
        <w:p w14:paraId="1F476797"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115DC5C7" w14:textId="77777777" w:rsidR="0072147A" w:rsidRDefault="0072147A" w:rsidP="00A369E3">
          <w:pPr>
            <w:spacing w:line="0" w:lineRule="atLeast"/>
            <w:jc w:val="right"/>
            <w:rPr>
              <w:sz w:val="18"/>
            </w:rPr>
          </w:pPr>
        </w:p>
      </w:tc>
    </w:tr>
  </w:tbl>
  <w:p w14:paraId="23C41A36"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037E"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691D1022" w14:textId="77777777" w:rsidTr="00A87A58">
      <w:tc>
        <w:tcPr>
          <w:tcW w:w="365" w:type="pct"/>
        </w:tcPr>
        <w:p w14:paraId="03BCEA12"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016C5A3B"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C01333">
            <w:rPr>
              <w:i/>
              <w:noProof/>
              <w:sz w:val="18"/>
            </w:rPr>
            <w:t>Act Name (Subject Matter) Kind of Instrument Year</w:t>
          </w:r>
          <w:r w:rsidRPr="004E1307">
            <w:rPr>
              <w:i/>
              <w:sz w:val="18"/>
            </w:rPr>
            <w:fldChar w:fldCharType="end"/>
          </w:r>
        </w:p>
      </w:tc>
      <w:tc>
        <w:tcPr>
          <w:tcW w:w="947" w:type="pct"/>
        </w:tcPr>
        <w:p w14:paraId="34CE4AEC" w14:textId="77777777" w:rsidR="00F6696E" w:rsidRDefault="00F6696E" w:rsidP="000850AC">
          <w:pPr>
            <w:spacing w:line="0" w:lineRule="atLeast"/>
            <w:jc w:val="right"/>
            <w:rPr>
              <w:sz w:val="18"/>
            </w:rPr>
          </w:pPr>
        </w:p>
      </w:tc>
    </w:tr>
    <w:tr w:rsidR="00F6696E" w14:paraId="084D462F" w14:textId="77777777" w:rsidTr="00A87A58">
      <w:tc>
        <w:tcPr>
          <w:tcW w:w="5000" w:type="pct"/>
          <w:gridSpan w:val="3"/>
        </w:tcPr>
        <w:p w14:paraId="1B00C9E0" w14:textId="77777777" w:rsidR="00F6696E" w:rsidRDefault="00F6696E" w:rsidP="000850AC">
          <w:pPr>
            <w:jc w:val="right"/>
            <w:rPr>
              <w:sz w:val="18"/>
            </w:rPr>
          </w:pPr>
        </w:p>
      </w:tc>
    </w:tr>
  </w:tbl>
  <w:p w14:paraId="178A2835"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A2EC" w14:textId="77777777" w:rsidR="00F6696E" w:rsidRPr="002B0EA5" w:rsidRDefault="00F6696E" w:rsidP="00E708D8">
    <w:pPr>
      <w:pBdr>
        <w:top w:val="single" w:sz="6" w:space="1" w:color="auto"/>
      </w:pBdr>
      <w:spacing w:before="120" w:line="0" w:lineRule="atLeast"/>
      <w:rPr>
        <w:sz w:val="16"/>
        <w:szCs w:val="16"/>
      </w:rPr>
    </w:pPr>
  </w:p>
  <w:tbl>
    <w:tblPr>
      <w:tblStyle w:val="TableGrid"/>
      <w:tblW w:w="50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522"/>
      <w:gridCol w:w="1086"/>
    </w:tblGrid>
    <w:tr w:rsidR="00F6696E" w14:paraId="5B11690E" w14:textId="77777777" w:rsidTr="004D21BD">
      <w:tc>
        <w:tcPr>
          <w:tcW w:w="503" w:type="pct"/>
        </w:tcPr>
        <w:p w14:paraId="539B1698" w14:textId="77777777" w:rsidR="00F6696E" w:rsidRDefault="00F6696E" w:rsidP="000850AC">
          <w:pPr>
            <w:spacing w:line="0" w:lineRule="atLeast"/>
            <w:rPr>
              <w:sz w:val="18"/>
            </w:rPr>
          </w:pPr>
        </w:p>
      </w:tc>
      <w:tc>
        <w:tcPr>
          <w:tcW w:w="3855" w:type="pct"/>
        </w:tcPr>
        <w:p w14:paraId="7FBE9D68" w14:textId="5C9F16A9"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B7385">
            <w:rPr>
              <w:i/>
              <w:noProof/>
              <w:sz w:val="18"/>
            </w:rPr>
            <w:t>Therapeutic Goods (Vaping Goods—Other Indications) Determination 2024</w:t>
          </w:r>
          <w:r w:rsidRPr="004E1307">
            <w:rPr>
              <w:i/>
              <w:sz w:val="18"/>
            </w:rPr>
            <w:fldChar w:fldCharType="end"/>
          </w:r>
        </w:p>
      </w:tc>
      <w:tc>
        <w:tcPr>
          <w:tcW w:w="640" w:type="pct"/>
        </w:tcPr>
        <w:p w14:paraId="4EA996F7"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i</w:t>
          </w:r>
          <w:r w:rsidRPr="00ED79B6">
            <w:rPr>
              <w:i/>
              <w:sz w:val="18"/>
            </w:rPr>
            <w:fldChar w:fldCharType="end"/>
          </w:r>
        </w:p>
      </w:tc>
    </w:tr>
    <w:tr w:rsidR="00F6696E" w14:paraId="5C80B0D3" w14:textId="77777777" w:rsidTr="004D21BD">
      <w:tc>
        <w:tcPr>
          <w:tcW w:w="5000" w:type="pct"/>
          <w:gridSpan w:val="3"/>
        </w:tcPr>
        <w:p w14:paraId="45F82A6F" w14:textId="77777777" w:rsidR="00F6696E" w:rsidRDefault="00F6696E" w:rsidP="000850AC">
          <w:pPr>
            <w:rPr>
              <w:sz w:val="18"/>
            </w:rPr>
          </w:pPr>
        </w:p>
      </w:tc>
    </w:tr>
  </w:tbl>
  <w:p w14:paraId="500C79F3"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7B27" w14:textId="77777777" w:rsidR="008C2EAC" w:rsidRPr="002B0EA5" w:rsidRDefault="008C2EAC" w:rsidP="00E708D8">
    <w:pPr>
      <w:pBdr>
        <w:top w:val="single" w:sz="6" w:space="1" w:color="auto"/>
      </w:pBdr>
      <w:spacing w:before="120" w:line="0" w:lineRule="atLeast"/>
      <w:rPr>
        <w:sz w:val="16"/>
        <w:szCs w:val="16"/>
      </w:rPr>
    </w:pPr>
  </w:p>
  <w:tbl>
    <w:tblPr>
      <w:tblStyle w:val="TableGrid"/>
      <w:tblW w:w="51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379"/>
      <w:gridCol w:w="944"/>
    </w:tblGrid>
    <w:tr w:rsidR="008C2EAC" w14:paraId="08E9AA15" w14:textId="77777777" w:rsidTr="004D21BD">
      <w:tc>
        <w:tcPr>
          <w:tcW w:w="742" w:type="pct"/>
        </w:tcPr>
        <w:p w14:paraId="046846F0"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709" w:type="pct"/>
        </w:tcPr>
        <w:p w14:paraId="2F760868" w14:textId="0DFDC603"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B7385">
            <w:rPr>
              <w:i/>
              <w:noProof/>
              <w:sz w:val="18"/>
            </w:rPr>
            <w:t>Therapeutic Goods (Vaping Goods—Other Indications) Determination 2024</w:t>
          </w:r>
          <w:r w:rsidRPr="004E1307">
            <w:rPr>
              <w:i/>
              <w:sz w:val="18"/>
            </w:rPr>
            <w:fldChar w:fldCharType="end"/>
          </w:r>
        </w:p>
      </w:tc>
      <w:tc>
        <w:tcPr>
          <w:tcW w:w="548" w:type="pct"/>
        </w:tcPr>
        <w:p w14:paraId="5E2D3F7E" w14:textId="77777777" w:rsidR="008C2EAC" w:rsidRDefault="008C2EAC" w:rsidP="000850AC">
          <w:pPr>
            <w:spacing w:line="0" w:lineRule="atLeast"/>
            <w:jc w:val="right"/>
            <w:rPr>
              <w:sz w:val="18"/>
            </w:rPr>
          </w:pPr>
        </w:p>
      </w:tc>
    </w:tr>
    <w:tr w:rsidR="008C2EAC" w14:paraId="1F94486B" w14:textId="77777777" w:rsidTr="004D21BD">
      <w:tc>
        <w:tcPr>
          <w:tcW w:w="5000" w:type="pct"/>
          <w:gridSpan w:val="3"/>
        </w:tcPr>
        <w:p w14:paraId="072E8AED" w14:textId="77777777" w:rsidR="008C2EAC" w:rsidRDefault="008C2EAC" w:rsidP="000850AC">
          <w:pPr>
            <w:jc w:val="right"/>
            <w:rPr>
              <w:sz w:val="18"/>
            </w:rPr>
          </w:pPr>
        </w:p>
      </w:tc>
    </w:tr>
  </w:tbl>
  <w:p w14:paraId="16AAEBB1"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150A"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519"/>
      <w:gridCol w:w="943"/>
    </w:tblGrid>
    <w:tr w:rsidR="008C2EAC" w14:paraId="683D1404" w14:textId="77777777" w:rsidTr="007C3DEA">
      <w:tc>
        <w:tcPr>
          <w:tcW w:w="512" w:type="pct"/>
        </w:tcPr>
        <w:p w14:paraId="6E7AED35" w14:textId="77777777" w:rsidR="008C2EAC" w:rsidRDefault="008C2EAC" w:rsidP="000850AC">
          <w:pPr>
            <w:spacing w:line="0" w:lineRule="atLeast"/>
            <w:rPr>
              <w:sz w:val="18"/>
            </w:rPr>
          </w:pPr>
        </w:p>
      </w:tc>
      <w:tc>
        <w:tcPr>
          <w:tcW w:w="3921" w:type="pct"/>
        </w:tcPr>
        <w:p w14:paraId="7CEAFC84" w14:textId="71F124CA"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B7385">
            <w:rPr>
              <w:i/>
              <w:noProof/>
              <w:sz w:val="18"/>
            </w:rPr>
            <w:t>Therapeutic Goods (Vaping Goods—Other Indications) Determination 2024</w:t>
          </w:r>
          <w:r w:rsidRPr="004E1307">
            <w:rPr>
              <w:i/>
              <w:sz w:val="18"/>
            </w:rPr>
            <w:fldChar w:fldCharType="end"/>
          </w:r>
        </w:p>
      </w:tc>
      <w:tc>
        <w:tcPr>
          <w:tcW w:w="567" w:type="pct"/>
        </w:tcPr>
        <w:p w14:paraId="5DE6544E"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4F432AAD" w14:textId="77777777" w:rsidTr="00A87A58">
      <w:tc>
        <w:tcPr>
          <w:tcW w:w="5000" w:type="pct"/>
          <w:gridSpan w:val="3"/>
        </w:tcPr>
        <w:p w14:paraId="0A35DBF0" w14:textId="77777777" w:rsidR="008C2EAC" w:rsidRDefault="008C2EAC" w:rsidP="000850AC">
          <w:pPr>
            <w:rPr>
              <w:sz w:val="18"/>
            </w:rPr>
          </w:pPr>
        </w:p>
      </w:tc>
    </w:tr>
  </w:tbl>
  <w:p w14:paraId="5EC91A4B"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0AEA" w14:textId="77777777" w:rsidR="00B764F1" w:rsidRDefault="00B764F1" w:rsidP="00715914">
      <w:pPr>
        <w:spacing w:line="240" w:lineRule="auto"/>
      </w:pPr>
      <w:r>
        <w:separator/>
      </w:r>
    </w:p>
  </w:footnote>
  <w:footnote w:type="continuationSeparator" w:id="0">
    <w:p w14:paraId="70D420DB" w14:textId="77777777" w:rsidR="00B764F1" w:rsidRDefault="00B764F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9A42"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0769"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17EB" w14:textId="77777777" w:rsidR="008342A2" w:rsidRDefault="008342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0FD3" w14:textId="77777777"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54D5" w14:textId="77777777" w:rsidR="00F6696E" w:rsidRPr="00ED79B6" w:rsidRDefault="00F6696E"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FE55" w14:textId="77777777"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548B" w14:textId="77777777" w:rsidR="004E1307" w:rsidRDefault="004E1307" w:rsidP="00715914">
    <w:pPr>
      <w:rPr>
        <w:sz w:val="20"/>
      </w:rPr>
    </w:pPr>
  </w:p>
  <w:p w14:paraId="7E4C1EDA" w14:textId="77777777" w:rsidR="004E1307" w:rsidRDefault="004E1307" w:rsidP="00715914">
    <w:pPr>
      <w:rPr>
        <w:sz w:val="20"/>
      </w:rPr>
    </w:pPr>
  </w:p>
  <w:p w14:paraId="4948808A" w14:textId="77777777" w:rsidR="004E1307" w:rsidRPr="007A1328" w:rsidRDefault="004E1307" w:rsidP="00715914">
    <w:pPr>
      <w:rPr>
        <w:sz w:val="20"/>
      </w:rPr>
    </w:pPr>
  </w:p>
  <w:p w14:paraId="7D7804F9" w14:textId="77777777" w:rsidR="004E1307" w:rsidRPr="007A1328" w:rsidRDefault="004E1307" w:rsidP="00715914">
    <w:pPr>
      <w:rPr>
        <w:b/>
        <w:sz w:val="24"/>
      </w:rPr>
    </w:pPr>
  </w:p>
  <w:p w14:paraId="0063B24E"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2318" w14:textId="77777777" w:rsidR="004E1307" w:rsidRPr="007A1328" w:rsidRDefault="004E1307" w:rsidP="00715914">
    <w:pPr>
      <w:jc w:val="right"/>
      <w:rPr>
        <w:sz w:val="20"/>
      </w:rPr>
    </w:pPr>
  </w:p>
  <w:p w14:paraId="01933B63" w14:textId="77777777" w:rsidR="004E1307" w:rsidRPr="007A1328" w:rsidRDefault="004E1307" w:rsidP="00715914">
    <w:pPr>
      <w:jc w:val="right"/>
      <w:rPr>
        <w:sz w:val="20"/>
      </w:rPr>
    </w:pPr>
  </w:p>
  <w:p w14:paraId="0859E9D5" w14:textId="77777777" w:rsidR="004E1307" w:rsidRPr="007A1328" w:rsidRDefault="004E1307" w:rsidP="00715914">
    <w:pPr>
      <w:jc w:val="right"/>
      <w:rPr>
        <w:sz w:val="20"/>
      </w:rPr>
    </w:pPr>
  </w:p>
  <w:p w14:paraId="7C6C51F0" w14:textId="77777777" w:rsidR="004E1307" w:rsidRPr="007A1328" w:rsidRDefault="004E1307" w:rsidP="00715914">
    <w:pPr>
      <w:jc w:val="right"/>
      <w:rPr>
        <w:b/>
        <w:sz w:val="24"/>
      </w:rPr>
    </w:pPr>
  </w:p>
  <w:p w14:paraId="62906D6B"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46FF1"/>
    <w:multiLevelType w:val="hybridMultilevel"/>
    <w:tmpl w:val="284092BA"/>
    <w:lvl w:ilvl="0" w:tplc="21CCE97E">
      <w:start w:val="1"/>
      <w:numFmt w:val="lowerLetter"/>
      <w:lvlText w:val="(%1)"/>
      <w:lvlJc w:val="left"/>
      <w:pPr>
        <w:ind w:left="719" w:hanging="680"/>
      </w:pPr>
      <w:rPr>
        <w:rFonts w:hint="default"/>
      </w:rPr>
    </w:lvl>
    <w:lvl w:ilvl="1" w:tplc="0C090019" w:tentative="1">
      <w:start w:val="1"/>
      <w:numFmt w:val="lowerLetter"/>
      <w:lvlText w:val="%2."/>
      <w:lvlJc w:val="left"/>
      <w:pPr>
        <w:ind w:left="1119" w:hanging="360"/>
      </w:pPr>
    </w:lvl>
    <w:lvl w:ilvl="2" w:tplc="0C09001B" w:tentative="1">
      <w:start w:val="1"/>
      <w:numFmt w:val="lowerRoman"/>
      <w:lvlText w:val="%3."/>
      <w:lvlJc w:val="right"/>
      <w:pPr>
        <w:ind w:left="1839" w:hanging="180"/>
      </w:pPr>
    </w:lvl>
    <w:lvl w:ilvl="3" w:tplc="0C09000F" w:tentative="1">
      <w:start w:val="1"/>
      <w:numFmt w:val="decimal"/>
      <w:lvlText w:val="%4."/>
      <w:lvlJc w:val="left"/>
      <w:pPr>
        <w:ind w:left="2559" w:hanging="360"/>
      </w:pPr>
    </w:lvl>
    <w:lvl w:ilvl="4" w:tplc="0C090019" w:tentative="1">
      <w:start w:val="1"/>
      <w:numFmt w:val="lowerLetter"/>
      <w:lvlText w:val="%5."/>
      <w:lvlJc w:val="left"/>
      <w:pPr>
        <w:ind w:left="3279" w:hanging="360"/>
      </w:pPr>
    </w:lvl>
    <w:lvl w:ilvl="5" w:tplc="0C09001B" w:tentative="1">
      <w:start w:val="1"/>
      <w:numFmt w:val="lowerRoman"/>
      <w:lvlText w:val="%6."/>
      <w:lvlJc w:val="right"/>
      <w:pPr>
        <w:ind w:left="3999" w:hanging="180"/>
      </w:pPr>
    </w:lvl>
    <w:lvl w:ilvl="6" w:tplc="0C09000F" w:tentative="1">
      <w:start w:val="1"/>
      <w:numFmt w:val="decimal"/>
      <w:lvlText w:val="%7."/>
      <w:lvlJc w:val="left"/>
      <w:pPr>
        <w:ind w:left="4719" w:hanging="360"/>
      </w:pPr>
    </w:lvl>
    <w:lvl w:ilvl="7" w:tplc="0C090019" w:tentative="1">
      <w:start w:val="1"/>
      <w:numFmt w:val="lowerLetter"/>
      <w:lvlText w:val="%8."/>
      <w:lvlJc w:val="left"/>
      <w:pPr>
        <w:ind w:left="5439" w:hanging="360"/>
      </w:pPr>
    </w:lvl>
    <w:lvl w:ilvl="8" w:tplc="0C09001B" w:tentative="1">
      <w:start w:val="1"/>
      <w:numFmt w:val="lowerRoman"/>
      <w:lvlText w:val="%9."/>
      <w:lvlJc w:val="right"/>
      <w:pPr>
        <w:ind w:left="6159"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656369"/>
    <w:multiLevelType w:val="hybridMultilevel"/>
    <w:tmpl w:val="92A2C9E8"/>
    <w:lvl w:ilvl="0" w:tplc="DD6AB1F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E251FA"/>
    <w:multiLevelType w:val="hybridMultilevel"/>
    <w:tmpl w:val="3376B4E6"/>
    <w:lvl w:ilvl="0" w:tplc="AF8283E4">
      <w:start w:val="1"/>
      <w:numFmt w:val="lowerLetter"/>
      <w:lvlText w:val="(%1)"/>
      <w:lvlJc w:val="left"/>
      <w:pPr>
        <w:ind w:left="399" w:hanging="360"/>
      </w:pPr>
      <w:rPr>
        <w:rFonts w:hint="default"/>
      </w:rPr>
    </w:lvl>
    <w:lvl w:ilvl="1" w:tplc="0C090019" w:tentative="1">
      <w:start w:val="1"/>
      <w:numFmt w:val="lowerLetter"/>
      <w:lvlText w:val="%2."/>
      <w:lvlJc w:val="left"/>
      <w:pPr>
        <w:ind w:left="1119" w:hanging="360"/>
      </w:pPr>
    </w:lvl>
    <w:lvl w:ilvl="2" w:tplc="0C09001B" w:tentative="1">
      <w:start w:val="1"/>
      <w:numFmt w:val="lowerRoman"/>
      <w:lvlText w:val="%3."/>
      <w:lvlJc w:val="right"/>
      <w:pPr>
        <w:ind w:left="1839" w:hanging="180"/>
      </w:pPr>
    </w:lvl>
    <w:lvl w:ilvl="3" w:tplc="0C09000F" w:tentative="1">
      <w:start w:val="1"/>
      <w:numFmt w:val="decimal"/>
      <w:lvlText w:val="%4."/>
      <w:lvlJc w:val="left"/>
      <w:pPr>
        <w:ind w:left="2559" w:hanging="360"/>
      </w:pPr>
    </w:lvl>
    <w:lvl w:ilvl="4" w:tplc="0C090019" w:tentative="1">
      <w:start w:val="1"/>
      <w:numFmt w:val="lowerLetter"/>
      <w:lvlText w:val="%5."/>
      <w:lvlJc w:val="left"/>
      <w:pPr>
        <w:ind w:left="3279" w:hanging="360"/>
      </w:pPr>
    </w:lvl>
    <w:lvl w:ilvl="5" w:tplc="0C09001B" w:tentative="1">
      <w:start w:val="1"/>
      <w:numFmt w:val="lowerRoman"/>
      <w:lvlText w:val="%6."/>
      <w:lvlJc w:val="right"/>
      <w:pPr>
        <w:ind w:left="3999" w:hanging="180"/>
      </w:pPr>
    </w:lvl>
    <w:lvl w:ilvl="6" w:tplc="0C09000F" w:tentative="1">
      <w:start w:val="1"/>
      <w:numFmt w:val="decimal"/>
      <w:lvlText w:val="%7."/>
      <w:lvlJc w:val="left"/>
      <w:pPr>
        <w:ind w:left="4719" w:hanging="360"/>
      </w:pPr>
    </w:lvl>
    <w:lvl w:ilvl="7" w:tplc="0C090019" w:tentative="1">
      <w:start w:val="1"/>
      <w:numFmt w:val="lowerLetter"/>
      <w:lvlText w:val="%8."/>
      <w:lvlJc w:val="left"/>
      <w:pPr>
        <w:ind w:left="5439" w:hanging="360"/>
      </w:pPr>
    </w:lvl>
    <w:lvl w:ilvl="8" w:tplc="0C09001B" w:tentative="1">
      <w:start w:val="1"/>
      <w:numFmt w:val="lowerRoman"/>
      <w:lvlText w:val="%9."/>
      <w:lvlJc w:val="right"/>
      <w:pPr>
        <w:ind w:left="6159" w:hanging="180"/>
      </w:pPr>
    </w:lvl>
  </w:abstractNum>
  <w:abstractNum w:abstractNumId="15" w15:restartNumberingAfterBreak="0">
    <w:nsid w:val="37B42B16"/>
    <w:multiLevelType w:val="hybridMultilevel"/>
    <w:tmpl w:val="4EEC2982"/>
    <w:lvl w:ilvl="0" w:tplc="1CCE64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B834654"/>
    <w:multiLevelType w:val="hybridMultilevel"/>
    <w:tmpl w:val="78D85674"/>
    <w:lvl w:ilvl="0" w:tplc="69B4B99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8" w15:restartNumberingAfterBreak="0">
    <w:nsid w:val="4D9E7333"/>
    <w:multiLevelType w:val="hybridMultilevel"/>
    <w:tmpl w:val="BF023BCE"/>
    <w:lvl w:ilvl="0" w:tplc="A35A2610">
      <w:start w:val="1"/>
      <w:numFmt w:val="lowerLetter"/>
      <w:lvlText w:val="(%1)"/>
      <w:lvlJc w:val="left"/>
      <w:pPr>
        <w:ind w:left="820" w:hanging="4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5402C2"/>
    <w:multiLevelType w:val="hybridMultilevel"/>
    <w:tmpl w:val="A330CFB4"/>
    <w:lvl w:ilvl="0" w:tplc="925A09A0">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0" w15:restartNumberingAfterBreak="0">
    <w:nsid w:val="7A0723A1"/>
    <w:multiLevelType w:val="hybridMultilevel"/>
    <w:tmpl w:val="09F44CCC"/>
    <w:lvl w:ilvl="0" w:tplc="86D896A0">
      <w:start w:val="1"/>
      <w:numFmt w:val="bullet"/>
      <w:lvlText w:val=""/>
      <w:lvlJc w:val="left"/>
      <w:pPr>
        <w:ind w:left="1440" w:hanging="360"/>
      </w:pPr>
      <w:rPr>
        <w:rFonts w:ascii="Symbol" w:hAnsi="Symbol"/>
      </w:rPr>
    </w:lvl>
    <w:lvl w:ilvl="1" w:tplc="0548D4C6">
      <w:start w:val="1"/>
      <w:numFmt w:val="bullet"/>
      <w:lvlText w:val=""/>
      <w:lvlJc w:val="left"/>
      <w:pPr>
        <w:ind w:left="1440" w:hanging="360"/>
      </w:pPr>
      <w:rPr>
        <w:rFonts w:ascii="Symbol" w:hAnsi="Symbol"/>
      </w:rPr>
    </w:lvl>
    <w:lvl w:ilvl="2" w:tplc="474CA610">
      <w:start w:val="1"/>
      <w:numFmt w:val="bullet"/>
      <w:lvlText w:val=""/>
      <w:lvlJc w:val="left"/>
      <w:pPr>
        <w:ind w:left="1440" w:hanging="360"/>
      </w:pPr>
      <w:rPr>
        <w:rFonts w:ascii="Symbol" w:hAnsi="Symbol"/>
      </w:rPr>
    </w:lvl>
    <w:lvl w:ilvl="3" w:tplc="2A6CDDDE">
      <w:start w:val="1"/>
      <w:numFmt w:val="bullet"/>
      <w:lvlText w:val=""/>
      <w:lvlJc w:val="left"/>
      <w:pPr>
        <w:ind w:left="1440" w:hanging="360"/>
      </w:pPr>
      <w:rPr>
        <w:rFonts w:ascii="Symbol" w:hAnsi="Symbol"/>
      </w:rPr>
    </w:lvl>
    <w:lvl w:ilvl="4" w:tplc="0DFE388E">
      <w:start w:val="1"/>
      <w:numFmt w:val="bullet"/>
      <w:lvlText w:val=""/>
      <w:lvlJc w:val="left"/>
      <w:pPr>
        <w:ind w:left="1440" w:hanging="360"/>
      </w:pPr>
      <w:rPr>
        <w:rFonts w:ascii="Symbol" w:hAnsi="Symbol"/>
      </w:rPr>
    </w:lvl>
    <w:lvl w:ilvl="5" w:tplc="27A06B54">
      <w:start w:val="1"/>
      <w:numFmt w:val="bullet"/>
      <w:lvlText w:val=""/>
      <w:lvlJc w:val="left"/>
      <w:pPr>
        <w:ind w:left="1440" w:hanging="360"/>
      </w:pPr>
      <w:rPr>
        <w:rFonts w:ascii="Symbol" w:hAnsi="Symbol"/>
      </w:rPr>
    </w:lvl>
    <w:lvl w:ilvl="6" w:tplc="DC761CBE">
      <w:start w:val="1"/>
      <w:numFmt w:val="bullet"/>
      <w:lvlText w:val=""/>
      <w:lvlJc w:val="left"/>
      <w:pPr>
        <w:ind w:left="1440" w:hanging="360"/>
      </w:pPr>
      <w:rPr>
        <w:rFonts w:ascii="Symbol" w:hAnsi="Symbol"/>
      </w:rPr>
    </w:lvl>
    <w:lvl w:ilvl="7" w:tplc="F6C8DE40">
      <w:start w:val="1"/>
      <w:numFmt w:val="bullet"/>
      <w:lvlText w:val=""/>
      <w:lvlJc w:val="left"/>
      <w:pPr>
        <w:ind w:left="1440" w:hanging="360"/>
      </w:pPr>
      <w:rPr>
        <w:rFonts w:ascii="Symbol" w:hAnsi="Symbol"/>
      </w:rPr>
    </w:lvl>
    <w:lvl w:ilvl="8" w:tplc="FA122242">
      <w:start w:val="1"/>
      <w:numFmt w:val="bullet"/>
      <w:lvlText w:val=""/>
      <w:lvlJc w:val="left"/>
      <w:pPr>
        <w:ind w:left="1440" w:hanging="360"/>
      </w:pPr>
      <w:rPr>
        <w:rFonts w:ascii="Symbol" w:hAnsi="Symbol"/>
      </w:rPr>
    </w:lvl>
  </w:abstractNum>
  <w:abstractNum w:abstractNumId="21" w15:restartNumberingAfterBreak="0">
    <w:nsid w:val="7CFC1EEC"/>
    <w:multiLevelType w:val="hybridMultilevel"/>
    <w:tmpl w:val="F1362556"/>
    <w:lvl w:ilvl="0" w:tplc="79C87F94">
      <w:start w:val="1"/>
      <w:numFmt w:val="lowerRoman"/>
      <w:lvlText w:val="(%1)"/>
      <w:lvlJc w:val="left"/>
      <w:pPr>
        <w:ind w:left="2705" w:hanging="72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16cid:durableId="1350915617">
    <w:abstractNumId w:val="9"/>
  </w:num>
  <w:num w:numId="2" w16cid:durableId="137456247">
    <w:abstractNumId w:val="7"/>
  </w:num>
  <w:num w:numId="3" w16cid:durableId="1818836972">
    <w:abstractNumId w:val="6"/>
  </w:num>
  <w:num w:numId="4" w16cid:durableId="868681078">
    <w:abstractNumId w:val="5"/>
  </w:num>
  <w:num w:numId="5" w16cid:durableId="1300182972">
    <w:abstractNumId w:val="4"/>
  </w:num>
  <w:num w:numId="6" w16cid:durableId="77605242">
    <w:abstractNumId w:val="8"/>
  </w:num>
  <w:num w:numId="7" w16cid:durableId="724449957">
    <w:abstractNumId w:val="3"/>
  </w:num>
  <w:num w:numId="8" w16cid:durableId="29302003">
    <w:abstractNumId w:val="2"/>
  </w:num>
  <w:num w:numId="9" w16cid:durableId="862013259">
    <w:abstractNumId w:val="1"/>
  </w:num>
  <w:num w:numId="10" w16cid:durableId="298345907">
    <w:abstractNumId w:val="0"/>
  </w:num>
  <w:num w:numId="11" w16cid:durableId="1610698595">
    <w:abstractNumId w:val="16"/>
  </w:num>
  <w:num w:numId="12" w16cid:durableId="216551283">
    <w:abstractNumId w:val="10"/>
  </w:num>
  <w:num w:numId="13" w16cid:durableId="766659596">
    <w:abstractNumId w:val="12"/>
  </w:num>
  <w:num w:numId="14" w16cid:durableId="2116317680">
    <w:abstractNumId w:val="19"/>
  </w:num>
  <w:num w:numId="15" w16cid:durableId="735586364">
    <w:abstractNumId w:val="20"/>
  </w:num>
  <w:num w:numId="16" w16cid:durableId="641035795">
    <w:abstractNumId w:val="15"/>
  </w:num>
  <w:num w:numId="17" w16cid:durableId="289168492">
    <w:abstractNumId w:val="13"/>
  </w:num>
  <w:num w:numId="18" w16cid:durableId="108669532">
    <w:abstractNumId w:val="14"/>
  </w:num>
  <w:num w:numId="19" w16cid:durableId="2037077491">
    <w:abstractNumId w:val="11"/>
  </w:num>
  <w:num w:numId="20" w16cid:durableId="1012492286">
    <w:abstractNumId w:val="18"/>
  </w:num>
  <w:num w:numId="21" w16cid:durableId="1283152833">
    <w:abstractNumId w:val="17"/>
  </w:num>
  <w:num w:numId="22" w16cid:durableId="9274703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33"/>
    <w:rsid w:val="00001599"/>
    <w:rsid w:val="00004174"/>
    <w:rsid w:val="00004470"/>
    <w:rsid w:val="000136AF"/>
    <w:rsid w:val="00021685"/>
    <w:rsid w:val="000258B1"/>
    <w:rsid w:val="00040A89"/>
    <w:rsid w:val="000437C1"/>
    <w:rsid w:val="00043CE8"/>
    <w:rsid w:val="0004455A"/>
    <w:rsid w:val="0005365D"/>
    <w:rsid w:val="000614BF"/>
    <w:rsid w:val="0006709C"/>
    <w:rsid w:val="00074376"/>
    <w:rsid w:val="000833D2"/>
    <w:rsid w:val="00084ADD"/>
    <w:rsid w:val="000978F5"/>
    <w:rsid w:val="000B15CD"/>
    <w:rsid w:val="000B35EB"/>
    <w:rsid w:val="000C4A38"/>
    <w:rsid w:val="000D05EF"/>
    <w:rsid w:val="000E2261"/>
    <w:rsid w:val="000E78B7"/>
    <w:rsid w:val="000F21C1"/>
    <w:rsid w:val="00102648"/>
    <w:rsid w:val="0010745C"/>
    <w:rsid w:val="00132CEB"/>
    <w:rsid w:val="0013371A"/>
    <w:rsid w:val="001339B0"/>
    <w:rsid w:val="00142B62"/>
    <w:rsid w:val="001441B7"/>
    <w:rsid w:val="001516CB"/>
    <w:rsid w:val="00152336"/>
    <w:rsid w:val="00157B8B"/>
    <w:rsid w:val="00166C2F"/>
    <w:rsid w:val="001809D7"/>
    <w:rsid w:val="001939E1"/>
    <w:rsid w:val="00194C3E"/>
    <w:rsid w:val="00195382"/>
    <w:rsid w:val="001A3F94"/>
    <w:rsid w:val="001A5BEE"/>
    <w:rsid w:val="001B2CB6"/>
    <w:rsid w:val="001C3579"/>
    <w:rsid w:val="001C61C5"/>
    <w:rsid w:val="001C69C4"/>
    <w:rsid w:val="001D37EF"/>
    <w:rsid w:val="001E2364"/>
    <w:rsid w:val="001E3590"/>
    <w:rsid w:val="001E7407"/>
    <w:rsid w:val="001F5D5E"/>
    <w:rsid w:val="001F6219"/>
    <w:rsid w:val="001F6CD4"/>
    <w:rsid w:val="00206C4D"/>
    <w:rsid w:val="00214064"/>
    <w:rsid w:val="00215AF1"/>
    <w:rsid w:val="002321E8"/>
    <w:rsid w:val="00232984"/>
    <w:rsid w:val="0024010F"/>
    <w:rsid w:val="00240749"/>
    <w:rsid w:val="00243018"/>
    <w:rsid w:val="002564A4"/>
    <w:rsid w:val="00261624"/>
    <w:rsid w:val="0026736C"/>
    <w:rsid w:val="00281308"/>
    <w:rsid w:val="002813F1"/>
    <w:rsid w:val="00284719"/>
    <w:rsid w:val="00297ECB"/>
    <w:rsid w:val="002A7BCF"/>
    <w:rsid w:val="002C3FD1"/>
    <w:rsid w:val="002D043A"/>
    <w:rsid w:val="002D266B"/>
    <w:rsid w:val="002D6224"/>
    <w:rsid w:val="00304F8B"/>
    <w:rsid w:val="003074F9"/>
    <w:rsid w:val="00307B30"/>
    <w:rsid w:val="00316673"/>
    <w:rsid w:val="00321F43"/>
    <w:rsid w:val="00335BC6"/>
    <w:rsid w:val="003415D3"/>
    <w:rsid w:val="00344338"/>
    <w:rsid w:val="00344701"/>
    <w:rsid w:val="00352B0F"/>
    <w:rsid w:val="00360459"/>
    <w:rsid w:val="00362EE8"/>
    <w:rsid w:val="00363129"/>
    <w:rsid w:val="00370D7B"/>
    <w:rsid w:val="0038049F"/>
    <w:rsid w:val="0039756E"/>
    <w:rsid w:val="003C6231"/>
    <w:rsid w:val="003D0BFE"/>
    <w:rsid w:val="003D5700"/>
    <w:rsid w:val="003E341B"/>
    <w:rsid w:val="003E4D00"/>
    <w:rsid w:val="004116CD"/>
    <w:rsid w:val="00412F2F"/>
    <w:rsid w:val="00417EB9"/>
    <w:rsid w:val="00424CA9"/>
    <w:rsid w:val="004276DF"/>
    <w:rsid w:val="00431E9B"/>
    <w:rsid w:val="004379E3"/>
    <w:rsid w:val="0044015E"/>
    <w:rsid w:val="0044291A"/>
    <w:rsid w:val="00443916"/>
    <w:rsid w:val="00446279"/>
    <w:rsid w:val="00467661"/>
    <w:rsid w:val="00472DBE"/>
    <w:rsid w:val="00474A19"/>
    <w:rsid w:val="00475182"/>
    <w:rsid w:val="004774B3"/>
    <w:rsid w:val="00477830"/>
    <w:rsid w:val="0048225B"/>
    <w:rsid w:val="00487764"/>
    <w:rsid w:val="00496F97"/>
    <w:rsid w:val="004B4474"/>
    <w:rsid w:val="004B62B9"/>
    <w:rsid w:val="004B6C48"/>
    <w:rsid w:val="004C4E59"/>
    <w:rsid w:val="004C6809"/>
    <w:rsid w:val="004D21BD"/>
    <w:rsid w:val="004E063A"/>
    <w:rsid w:val="004E1307"/>
    <w:rsid w:val="004E7BEC"/>
    <w:rsid w:val="00505D3D"/>
    <w:rsid w:val="00506AF6"/>
    <w:rsid w:val="005162B9"/>
    <w:rsid w:val="00516B8D"/>
    <w:rsid w:val="005303C8"/>
    <w:rsid w:val="00537FBC"/>
    <w:rsid w:val="00554826"/>
    <w:rsid w:val="00562877"/>
    <w:rsid w:val="00584811"/>
    <w:rsid w:val="00585784"/>
    <w:rsid w:val="00593AA6"/>
    <w:rsid w:val="00594161"/>
    <w:rsid w:val="00594749"/>
    <w:rsid w:val="005A65D5"/>
    <w:rsid w:val="005B4067"/>
    <w:rsid w:val="005C087A"/>
    <w:rsid w:val="005C3F41"/>
    <w:rsid w:val="005D1D92"/>
    <w:rsid w:val="005D2D09"/>
    <w:rsid w:val="005E309C"/>
    <w:rsid w:val="005E7021"/>
    <w:rsid w:val="005F0281"/>
    <w:rsid w:val="00600219"/>
    <w:rsid w:val="00604F2A"/>
    <w:rsid w:val="00620076"/>
    <w:rsid w:val="00620A6F"/>
    <w:rsid w:val="00626B89"/>
    <w:rsid w:val="00627E0A"/>
    <w:rsid w:val="006331C9"/>
    <w:rsid w:val="00645FF4"/>
    <w:rsid w:val="00652B5A"/>
    <w:rsid w:val="0065488B"/>
    <w:rsid w:val="00657111"/>
    <w:rsid w:val="00665A4D"/>
    <w:rsid w:val="00670EA1"/>
    <w:rsid w:val="00677CC2"/>
    <w:rsid w:val="0068744B"/>
    <w:rsid w:val="006905DE"/>
    <w:rsid w:val="0069207B"/>
    <w:rsid w:val="006A154F"/>
    <w:rsid w:val="006A437B"/>
    <w:rsid w:val="006A6C59"/>
    <w:rsid w:val="006B5789"/>
    <w:rsid w:val="006C30C5"/>
    <w:rsid w:val="006C7F8C"/>
    <w:rsid w:val="006D79AF"/>
    <w:rsid w:val="006D7B75"/>
    <w:rsid w:val="006E2E1C"/>
    <w:rsid w:val="006E6246"/>
    <w:rsid w:val="006E69C2"/>
    <w:rsid w:val="006E6DCC"/>
    <w:rsid w:val="006F318F"/>
    <w:rsid w:val="0070017E"/>
    <w:rsid w:val="00700B2C"/>
    <w:rsid w:val="0070487E"/>
    <w:rsid w:val="007050A2"/>
    <w:rsid w:val="00713084"/>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83E89"/>
    <w:rsid w:val="00793915"/>
    <w:rsid w:val="007B1F35"/>
    <w:rsid w:val="007C2253"/>
    <w:rsid w:val="007C3DEA"/>
    <w:rsid w:val="007D0E78"/>
    <w:rsid w:val="007D3EB9"/>
    <w:rsid w:val="007D7911"/>
    <w:rsid w:val="007E163D"/>
    <w:rsid w:val="007E667A"/>
    <w:rsid w:val="007E7509"/>
    <w:rsid w:val="007F28C9"/>
    <w:rsid w:val="007F51B2"/>
    <w:rsid w:val="00800931"/>
    <w:rsid w:val="008040DD"/>
    <w:rsid w:val="008117E9"/>
    <w:rsid w:val="00824498"/>
    <w:rsid w:val="00825691"/>
    <w:rsid w:val="00826BD1"/>
    <w:rsid w:val="008342A2"/>
    <w:rsid w:val="008353EA"/>
    <w:rsid w:val="008439A3"/>
    <w:rsid w:val="00854D0B"/>
    <w:rsid w:val="00856A31"/>
    <w:rsid w:val="00860B4E"/>
    <w:rsid w:val="00867B37"/>
    <w:rsid w:val="008754D0"/>
    <w:rsid w:val="0087591B"/>
    <w:rsid w:val="00875D13"/>
    <w:rsid w:val="008855C9"/>
    <w:rsid w:val="00886456"/>
    <w:rsid w:val="00894B03"/>
    <w:rsid w:val="00896176"/>
    <w:rsid w:val="008A46E1"/>
    <w:rsid w:val="008A4F43"/>
    <w:rsid w:val="008B2706"/>
    <w:rsid w:val="008C0556"/>
    <w:rsid w:val="008C2EAC"/>
    <w:rsid w:val="008D0EE0"/>
    <w:rsid w:val="008D4008"/>
    <w:rsid w:val="008E0027"/>
    <w:rsid w:val="008E6067"/>
    <w:rsid w:val="008F5035"/>
    <w:rsid w:val="008F54E7"/>
    <w:rsid w:val="00903422"/>
    <w:rsid w:val="00920461"/>
    <w:rsid w:val="00920B68"/>
    <w:rsid w:val="009254C3"/>
    <w:rsid w:val="00932377"/>
    <w:rsid w:val="00941236"/>
    <w:rsid w:val="00943FD5"/>
    <w:rsid w:val="00947D5A"/>
    <w:rsid w:val="009532A5"/>
    <w:rsid w:val="009545BD"/>
    <w:rsid w:val="00963460"/>
    <w:rsid w:val="00964CF0"/>
    <w:rsid w:val="00977806"/>
    <w:rsid w:val="00982242"/>
    <w:rsid w:val="009868E9"/>
    <w:rsid w:val="009900A3"/>
    <w:rsid w:val="0099064F"/>
    <w:rsid w:val="009C3413"/>
    <w:rsid w:val="009D19B7"/>
    <w:rsid w:val="009D783A"/>
    <w:rsid w:val="00A0441E"/>
    <w:rsid w:val="00A12128"/>
    <w:rsid w:val="00A15132"/>
    <w:rsid w:val="00A22C98"/>
    <w:rsid w:val="00A231E2"/>
    <w:rsid w:val="00A369E3"/>
    <w:rsid w:val="00A421DC"/>
    <w:rsid w:val="00A51D68"/>
    <w:rsid w:val="00A57600"/>
    <w:rsid w:val="00A64912"/>
    <w:rsid w:val="00A70A74"/>
    <w:rsid w:val="00A75FE9"/>
    <w:rsid w:val="00AD53CC"/>
    <w:rsid w:val="00AD5641"/>
    <w:rsid w:val="00AF06CF"/>
    <w:rsid w:val="00AF7DD4"/>
    <w:rsid w:val="00B01F00"/>
    <w:rsid w:val="00B07CDB"/>
    <w:rsid w:val="00B16A31"/>
    <w:rsid w:val="00B17D32"/>
    <w:rsid w:val="00B17DFD"/>
    <w:rsid w:val="00B217FD"/>
    <w:rsid w:val="00B25306"/>
    <w:rsid w:val="00B26DFE"/>
    <w:rsid w:val="00B27831"/>
    <w:rsid w:val="00B308FE"/>
    <w:rsid w:val="00B33709"/>
    <w:rsid w:val="00B33B3C"/>
    <w:rsid w:val="00B36392"/>
    <w:rsid w:val="00B418CB"/>
    <w:rsid w:val="00B47444"/>
    <w:rsid w:val="00B50ADC"/>
    <w:rsid w:val="00B566B1"/>
    <w:rsid w:val="00B63834"/>
    <w:rsid w:val="00B764F1"/>
    <w:rsid w:val="00B80199"/>
    <w:rsid w:val="00B83204"/>
    <w:rsid w:val="00B856E7"/>
    <w:rsid w:val="00B87B13"/>
    <w:rsid w:val="00B97D0C"/>
    <w:rsid w:val="00BA220B"/>
    <w:rsid w:val="00BA3A57"/>
    <w:rsid w:val="00BB1533"/>
    <w:rsid w:val="00BB4E1A"/>
    <w:rsid w:val="00BC015E"/>
    <w:rsid w:val="00BC76AC"/>
    <w:rsid w:val="00BD0ECB"/>
    <w:rsid w:val="00BE2155"/>
    <w:rsid w:val="00BE719A"/>
    <w:rsid w:val="00BE720A"/>
    <w:rsid w:val="00BF0D73"/>
    <w:rsid w:val="00BF2465"/>
    <w:rsid w:val="00C01333"/>
    <w:rsid w:val="00C16619"/>
    <w:rsid w:val="00C25E7F"/>
    <w:rsid w:val="00C2746F"/>
    <w:rsid w:val="00C323D6"/>
    <w:rsid w:val="00C324A0"/>
    <w:rsid w:val="00C416FA"/>
    <w:rsid w:val="00C42BF8"/>
    <w:rsid w:val="00C50043"/>
    <w:rsid w:val="00C7573B"/>
    <w:rsid w:val="00C916E9"/>
    <w:rsid w:val="00C95601"/>
    <w:rsid w:val="00C97A54"/>
    <w:rsid w:val="00CA5B23"/>
    <w:rsid w:val="00CA5B70"/>
    <w:rsid w:val="00CB602E"/>
    <w:rsid w:val="00CB7E90"/>
    <w:rsid w:val="00CE051D"/>
    <w:rsid w:val="00CE1335"/>
    <w:rsid w:val="00CE493D"/>
    <w:rsid w:val="00CE6AE1"/>
    <w:rsid w:val="00CF07FA"/>
    <w:rsid w:val="00CF0BB2"/>
    <w:rsid w:val="00CF3EE8"/>
    <w:rsid w:val="00D13441"/>
    <w:rsid w:val="00D150E7"/>
    <w:rsid w:val="00D52DC2"/>
    <w:rsid w:val="00D53BCC"/>
    <w:rsid w:val="00D54C9E"/>
    <w:rsid w:val="00D554C1"/>
    <w:rsid w:val="00D6537E"/>
    <w:rsid w:val="00D70DFB"/>
    <w:rsid w:val="00D766DF"/>
    <w:rsid w:val="00D8206C"/>
    <w:rsid w:val="00D91F10"/>
    <w:rsid w:val="00D94B70"/>
    <w:rsid w:val="00DA186E"/>
    <w:rsid w:val="00DA4116"/>
    <w:rsid w:val="00DB251C"/>
    <w:rsid w:val="00DB4630"/>
    <w:rsid w:val="00DC4F88"/>
    <w:rsid w:val="00DE107C"/>
    <w:rsid w:val="00DE2572"/>
    <w:rsid w:val="00DF2388"/>
    <w:rsid w:val="00DF46AF"/>
    <w:rsid w:val="00DF6091"/>
    <w:rsid w:val="00E05704"/>
    <w:rsid w:val="00E211A6"/>
    <w:rsid w:val="00E338EF"/>
    <w:rsid w:val="00E377FB"/>
    <w:rsid w:val="00E53B64"/>
    <w:rsid w:val="00E544BB"/>
    <w:rsid w:val="00E56B24"/>
    <w:rsid w:val="00E6115D"/>
    <w:rsid w:val="00E611C5"/>
    <w:rsid w:val="00E74DC7"/>
    <w:rsid w:val="00E76260"/>
    <w:rsid w:val="00E8075A"/>
    <w:rsid w:val="00E940D8"/>
    <w:rsid w:val="00E94D5E"/>
    <w:rsid w:val="00EA3262"/>
    <w:rsid w:val="00EA7100"/>
    <w:rsid w:val="00EA7F9F"/>
    <w:rsid w:val="00EB1274"/>
    <w:rsid w:val="00EB7385"/>
    <w:rsid w:val="00ED2BB6"/>
    <w:rsid w:val="00ED34E1"/>
    <w:rsid w:val="00ED3B8D"/>
    <w:rsid w:val="00EE5E36"/>
    <w:rsid w:val="00EF2E3A"/>
    <w:rsid w:val="00F02C7C"/>
    <w:rsid w:val="00F072A7"/>
    <w:rsid w:val="00F073D6"/>
    <w:rsid w:val="00F078DC"/>
    <w:rsid w:val="00F21E4F"/>
    <w:rsid w:val="00F314CF"/>
    <w:rsid w:val="00F32BA8"/>
    <w:rsid w:val="00F32EE0"/>
    <w:rsid w:val="00F349F1"/>
    <w:rsid w:val="00F4350D"/>
    <w:rsid w:val="00F479C4"/>
    <w:rsid w:val="00F567F7"/>
    <w:rsid w:val="00F64540"/>
    <w:rsid w:val="00F6696E"/>
    <w:rsid w:val="00F73BD6"/>
    <w:rsid w:val="00F83989"/>
    <w:rsid w:val="00F85099"/>
    <w:rsid w:val="00F9379C"/>
    <w:rsid w:val="00F9632C"/>
    <w:rsid w:val="00FA1E52"/>
    <w:rsid w:val="00FB529A"/>
    <w:rsid w:val="00FB5A08"/>
    <w:rsid w:val="00FC6A80"/>
    <w:rsid w:val="00FE4688"/>
    <w:rsid w:val="00FE7E52"/>
    <w:rsid w:val="00FF5704"/>
    <w:rsid w:val="00FF6B76"/>
    <w:rsid w:val="00FF7D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8EA19"/>
  <w15:docId w15:val="{F5E365AC-156B-4A70-81EC-62DE8F28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8225B"/>
    <w:rPr>
      <w:sz w:val="16"/>
      <w:szCs w:val="16"/>
    </w:rPr>
  </w:style>
  <w:style w:type="paragraph" w:styleId="CommentText">
    <w:name w:val="annotation text"/>
    <w:basedOn w:val="Normal"/>
    <w:link w:val="CommentTextChar"/>
    <w:uiPriority w:val="99"/>
    <w:unhideWhenUsed/>
    <w:rsid w:val="0048225B"/>
    <w:pPr>
      <w:spacing w:line="240" w:lineRule="auto"/>
    </w:pPr>
    <w:rPr>
      <w:sz w:val="20"/>
    </w:rPr>
  </w:style>
  <w:style w:type="character" w:customStyle="1" w:styleId="CommentTextChar">
    <w:name w:val="Comment Text Char"/>
    <w:basedOn w:val="DefaultParagraphFont"/>
    <w:link w:val="CommentText"/>
    <w:uiPriority w:val="99"/>
    <w:rsid w:val="0048225B"/>
  </w:style>
  <w:style w:type="paragraph" w:styleId="CommentSubject">
    <w:name w:val="annotation subject"/>
    <w:basedOn w:val="CommentText"/>
    <w:next w:val="CommentText"/>
    <w:link w:val="CommentSubjectChar"/>
    <w:uiPriority w:val="99"/>
    <w:semiHidden/>
    <w:unhideWhenUsed/>
    <w:rsid w:val="0048225B"/>
    <w:rPr>
      <w:b/>
      <w:bCs/>
    </w:rPr>
  </w:style>
  <w:style w:type="character" w:customStyle="1" w:styleId="CommentSubjectChar">
    <w:name w:val="Comment Subject Char"/>
    <w:basedOn w:val="CommentTextChar"/>
    <w:link w:val="CommentSubject"/>
    <w:uiPriority w:val="99"/>
    <w:semiHidden/>
    <w:rsid w:val="0048225B"/>
    <w:rPr>
      <w:b/>
      <w:bCs/>
    </w:rPr>
  </w:style>
  <w:style w:type="paragraph" w:styleId="Revision">
    <w:name w:val="Revision"/>
    <w:hidden/>
    <w:uiPriority w:val="99"/>
    <w:semiHidden/>
    <w:rsid w:val="00620A6F"/>
    <w:rPr>
      <w:sz w:val="22"/>
    </w:rPr>
  </w:style>
  <w:style w:type="character" w:styleId="Hyperlink">
    <w:name w:val="Hyperlink"/>
    <w:basedOn w:val="DefaultParagraphFont"/>
    <w:uiPriority w:val="99"/>
    <w:unhideWhenUsed/>
    <w:rsid w:val="001C3579"/>
    <w:rPr>
      <w:color w:val="0000FF" w:themeColor="hyperlink"/>
      <w:u w:val="single"/>
    </w:rPr>
  </w:style>
  <w:style w:type="character" w:customStyle="1" w:styleId="cf01">
    <w:name w:val="cf01"/>
    <w:basedOn w:val="DefaultParagraphFont"/>
    <w:rsid w:val="00CE6AE1"/>
    <w:rPr>
      <w:rFonts w:ascii="Segoe UI" w:hAnsi="Segoe UI" w:cs="Segoe UI" w:hint="default"/>
      <w:sz w:val="18"/>
      <w:szCs w:val="18"/>
    </w:rPr>
  </w:style>
  <w:style w:type="paragraph" w:customStyle="1" w:styleId="pf0">
    <w:name w:val="pf0"/>
    <w:basedOn w:val="Normal"/>
    <w:rsid w:val="00CE6AE1"/>
    <w:pPr>
      <w:spacing w:before="100" w:beforeAutospacing="1" w:after="100" w:afterAutospacing="1" w:line="240" w:lineRule="auto"/>
    </w:pPr>
    <w:rPr>
      <w:rFonts w:eastAsia="Times New Roman" w:cs="Times New Roman"/>
      <w:sz w:val="24"/>
      <w:szCs w:val="24"/>
      <w:lang w:eastAsia="en-AU"/>
    </w:rPr>
  </w:style>
  <w:style w:type="paragraph" w:styleId="NormalWeb">
    <w:name w:val="Normal (Web)"/>
    <w:basedOn w:val="Normal"/>
    <w:uiPriority w:val="99"/>
    <w:semiHidden/>
    <w:unhideWhenUsed/>
    <w:rsid w:val="00CE6AE1"/>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06453">
      <w:bodyDiv w:val="1"/>
      <w:marLeft w:val="0"/>
      <w:marRight w:val="0"/>
      <w:marTop w:val="0"/>
      <w:marBottom w:val="0"/>
      <w:divBdr>
        <w:top w:val="none" w:sz="0" w:space="0" w:color="auto"/>
        <w:left w:val="none" w:sz="0" w:space="0" w:color="auto"/>
        <w:bottom w:val="none" w:sz="0" w:space="0" w:color="auto"/>
        <w:right w:val="none" w:sz="0" w:space="0" w:color="auto"/>
      </w:divBdr>
    </w:div>
    <w:div w:id="169850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BRID\Downloads\template_-_principal_instr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 (1).dotx</Template>
  <TotalTime>1</TotalTime>
  <Pages>8</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Bridget</dc:creator>
  <cp:lastModifiedBy>NEWMAN, Trent</cp:lastModifiedBy>
  <cp:revision>3</cp:revision>
  <dcterms:created xsi:type="dcterms:W3CDTF">2024-06-29T12:20:00Z</dcterms:created>
  <dcterms:modified xsi:type="dcterms:W3CDTF">2024-06-29T22:18:00Z</dcterms:modified>
</cp:coreProperties>
</file>