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D6D12" w14:textId="4C880833" w:rsidR="0024360E" w:rsidRPr="00137B29" w:rsidRDefault="0024360E" w:rsidP="000C2611">
      <w:pPr>
        <w:keepNext/>
        <w:spacing w:before="0"/>
        <w:ind w:right="40"/>
        <w:jc w:val="center"/>
        <w:rPr>
          <w:b/>
          <w:bCs/>
          <w:u w:val="single"/>
        </w:rPr>
      </w:pPr>
      <w:r w:rsidRPr="00137B29">
        <w:rPr>
          <w:b/>
          <w:bCs/>
          <w:u w:val="single"/>
        </w:rPr>
        <w:t>EXPLANATORY STATEMENT</w:t>
      </w:r>
    </w:p>
    <w:p w14:paraId="299D6D13" w14:textId="77777777" w:rsidR="0024360E" w:rsidRPr="00137B29" w:rsidRDefault="0024360E" w:rsidP="000C2611">
      <w:pPr>
        <w:keepNext/>
        <w:spacing w:before="0"/>
        <w:ind w:right="40"/>
        <w:jc w:val="center"/>
        <w:rPr>
          <w:b/>
          <w:bCs/>
          <w:u w:val="single"/>
        </w:rPr>
      </w:pPr>
    </w:p>
    <w:p w14:paraId="299D6D14" w14:textId="6D6D5C2E" w:rsidR="0024360E" w:rsidRPr="00137B29" w:rsidRDefault="0024360E" w:rsidP="000C2611">
      <w:pPr>
        <w:keepNext/>
        <w:spacing w:before="0" w:after="240"/>
        <w:jc w:val="center"/>
      </w:pPr>
      <w:r w:rsidRPr="00137B29">
        <w:t xml:space="preserve">Issued by the Minister for </w:t>
      </w:r>
      <w:r w:rsidR="00EC4B0C" w:rsidRPr="00EC4B0C">
        <w:t>Immigration, Citizenship and Multicultural Affairs</w:t>
      </w:r>
    </w:p>
    <w:p w14:paraId="299D6D16" w14:textId="77777777" w:rsidR="0024360E" w:rsidRPr="00137B29" w:rsidRDefault="0024360E" w:rsidP="000C2611">
      <w:pPr>
        <w:keepNext/>
        <w:spacing w:before="0" w:after="240"/>
        <w:ind w:right="40"/>
        <w:jc w:val="center"/>
        <w:rPr>
          <w:i/>
          <w:iCs/>
        </w:rPr>
      </w:pPr>
      <w:r w:rsidRPr="00137B29">
        <w:rPr>
          <w:i/>
          <w:iCs/>
        </w:rPr>
        <w:t>Migration Act 1958</w:t>
      </w:r>
    </w:p>
    <w:p w14:paraId="2A7D96E8" w14:textId="6B8BFD7E" w:rsidR="00986335" w:rsidRDefault="00B11AD6" w:rsidP="000C2611">
      <w:pPr>
        <w:keepNext/>
        <w:spacing w:before="0"/>
        <w:ind w:left="1440" w:right="91"/>
        <w:rPr>
          <w:i/>
        </w:rPr>
      </w:pPr>
      <w:r w:rsidRPr="00137B29">
        <w:rPr>
          <w:i/>
          <w:iCs/>
          <w:lang w:eastAsia="en-US"/>
        </w:rPr>
        <w:t xml:space="preserve">Migration Amendment </w:t>
      </w:r>
      <w:r w:rsidR="006A4E21" w:rsidRPr="00137B29">
        <w:rPr>
          <w:i/>
        </w:rPr>
        <w:t>(</w:t>
      </w:r>
      <w:r w:rsidR="0073336B">
        <w:rPr>
          <w:i/>
        </w:rPr>
        <w:t>Workplace Justice Visa</w:t>
      </w:r>
      <w:r w:rsidR="006A4E21" w:rsidRPr="00137B29">
        <w:rPr>
          <w:i/>
        </w:rPr>
        <w:t>) Regulations 2024</w:t>
      </w:r>
    </w:p>
    <w:p w14:paraId="7488C188" w14:textId="77777777" w:rsidR="00234226" w:rsidRPr="00D84E79" w:rsidRDefault="00234226" w:rsidP="000C2611">
      <w:pPr>
        <w:keepNext/>
        <w:spacing w:before="0"/>
        <w:ind w:left="1440" w:right="91"/>
      </w:pPr>
    </w:p>
    <w:p w14:paraId="299D6D1A" w14:textId="77777777" w:rsidR="0024360E" w:rsidRPr="00137B29" w:rsidRDefault="0024360E" w:rsidP="000C2611">
      <w:pPr>
        <w:keepNext/>
        <w:spacing w:after="240"/>
        <w:ind w:right="40"/>
      </w:pPr>
      <w:r w:rsidRPr="00137B29">
        <w:t xml:space="preserve">The </w:t>
      </w:r>
      <w:r w:rsidRPr="0073336B">
        <w:rPr>
          <w:i/>
        </w:rPr>
        <w:t>Migration Act 1958</w:t>
      </w:r>
      <w:r w:rsidRPr="00137B29">
        <w:t xml:space="preserve"> (the Migration Act) is an Act relating to the entry into, and presence in, Australia of aliens, and the departure or deportation from Australia of aliens and certain other persons.</w:t>
      </w:r>
    </w:p>
    <w:p w14:paraId="57D4E874" w14:textId="46572341" w:rsidR="00F064FE" w:rsidRDefault="0024360E" w:rsidP="00F064FE">
      <w:pPr>
        <w:keepNext/>
        <w:keepLines/>
        <w:spacing w:before="0" w:after="240"/>
        <w:ind w:right="91"/>
      </w:pPr>
      <w:r w:rsidRPr="00137B29">
        <w:t>Subsection 504(1) of the Migration Act</w:t>
      </w:r>
      <w:r w:rsidRPr="00137B29">
        <w:rPr>
          <w:i/>
          <w:iCs/>
        </w:rPr>
        <w:t xml:space="preserve"> </w:t>
      </w:r>
      <w:r w:rsidRPr="00137B29">
        <w:t>provides that the Governor-General may make regulations, not inconsistent with the Act, prescribing matters required or permitted to be prescribed, or necessary or convenient to be prescribed, for carrying out or giving effect to the Act.</w:t>
      </w:r>
      <w:r w:rsidR="006A4E21" w:rsidRPr="00137B29">
        <w:t xml:space="preserve"> </w:t>
      </w:r>
    </w:p>
    <w:p w14:paraId="42B355B3" w14:textId="37247997" w:rsidR="00F064FE" w:rsidRDefault="00F064FE" w:rsidP="00F064FE">
      <w:pPr>
        <w:keepNext/>
        <w:keepLines/>
        <w:spacing w:before="0" w:after="240"/>
        <w:ind w:right="91"/>
      </w:pPr>
      <w:r>
        <w:t>Subsection 31(3) of the Migration Act provides that t</w:t>
      </w:r>
      <w:r w:rsidRPr="00F064FE">
        <w:t>he regulations may prescribe criteria for a visa or visas of a specified class</w:t>
      </w:r>
      <w:r>
        <w:t>.</w:t>
      </w:r>
      <w:r w:rsidR="00F96CB7">
        <w:t xml:space="preserve"> Section 505 of the Migration Act provides that </w:t>
      </w:r>
      <w:r w:rsidR="00F96CB7" w:rsidRPr="00F96CB7">
        <w:t>regulations for the purpose of prescribing a criterion for visas of a class may provide that the Minister, when required to decide whether an applicant for a visa of the class satisfies the criterion</w:t>
      </w:r>
      <w:r w:rsidR="00F96CB7">
        <w:t xml:space="preserve">, </w:t>
      </w:r>
      <w:r w:rsidR="00F96CB7" w:rsidRPr="00F96CB7">
        <w:t>is to get a specified person or organisation, or a person or organisation in a specified class</w:t>
      </w:r>
      <w:r w:rsidR="00F96CB7">
        <w:t xml:space="preserve">, to give an opinion </w:t>
      </w:r>
      <w:proofErr w:type="spellStart"/>
      <w:r w:rsidR="00F96CB7">
        <w:t>etc</w:t>
      </w:r>
      <w:proofErr w:type="spellEnd"/>
      <w:r w:rsidR="00F96CB7">
        <w:t xml:space="preserve"> on a specified matter when </w:t>
      </w:r>
      <w:r w:rsidR="00F96CB7" w:rsidRPr="00F96CB7">
        <w:t>deciding whether the applicant satisfies the criterion</w:t>
      </w:r>
      <w:r w:rsidR="00F96CB7">
        <w:t>.</w:t>
      </w:r>
    </w:p>
    <w:p w14:paraId="2A47F1DF" w14:textId="1E1C48D7" w:rsidR="0010498A" w:rsidRDefault="0010498A" w:rsidP="0010498A">
      <w:pPr>
        <w:keepNext/>
        <w:keepLines/>
        <w:spacing w:before="0" w:after="240"/>
        <w:ind w:right="91"/>
      </w:pPr>
      <w:r>
        <w:t xml:space="preserve">The </w:t>
      </w:r>
      <w:r w:rsidRPr="0010498A">
        <w:rPr>
          <w:i/>
        </w:rPr>
        <w:t>Migration Amendment (Workplace Justice Visa) Regulations 2024</w:t>
      </w:r>
      <w:r>
        <w:t xml:space="preserve"> (the amendment Regulations) amend the </w:t>
      </w:r>
      <w:r w:rsidRPr="0010498A">
        <w:rPr>
          <w:i/>
        </w:rPr>
        <w:t>Migration Regulations 1994</w:t>
      </w:r>
      <w:r>
        <w:t xml:space="preserve"> (the </w:t>
      </w:r>
      <w:r w:rsidR="00B21A6A">
        <w:t xml:space="preserve">Migration </w:t>
      </w:r>
      <w:r>
        <w:t xml:space="preserve">Regulations) to implement a new </w:t>
      </w:r>
      <w:r w:rsidR="00B21A6A">
        <w:t>w</w:t>
      </w:r>
      <w:r>
        <w:t xml:space="preserve">orkplace </w:t>
      </w:r>
      <w:r w:rsidR="00B21A6A">
        <w:t>j</w:t>
      </w:r>
      <w:r>
        <w:t xml:space="preserve">ustice </w:t>
      </w:r>
      <w:r w:rsidR="00B21A6A">
        <w:t>v</w:t>
      </w:r>
      <w:r>
        <w:t>isa that enables a temporary migrant to remain in Australia</w:t>
      </w:r>
      <w:r w:rsidR="003E50AD">
        <w:t xml:space="preserve"> for a period of time</w:t>
      </w:r>
      <w:r>
        <w:t xml:space="preserve"> to undertake a workplace justice activity. </w:t>
      </w:r>
    </w:p>
    <w:p w14:paraId="5228F1B3" w14:textId="77777777" w:rsidR="005E7A9F" w:rsidRDefault="005E7A9F" w:rsidP="005E7A9F">
      <w:pPr>
        <w:keepNext/>
        <w:keepLines/>
        <w:spacing w:before="0" w:after="240"/>
        <w:ind w:right="91"/>
      </w:pPr>
      <w:r>
        <w:t xml:space="preserve">The Workplace Justice Visa is one component of a range of measures that the Government is introducing to address migrant worker exploitation following a commitment made at the Jobs and Skills Summit. This commitment was made in response to serious concerns about the corrosive impact of migrant worker exploitation, recognising the harm exploitation causes to the migrant worker and their family. The commitment also recognised broader concerns that if left unaddressed, migrant worker exploitation has the potential to put downward pressure on wages and conditions for all workers and it creates an un-level playing field for those businesses who do the right thing. </w:t>
      </w:r>
    </w:p>
    <w:p w14:paraId="07CD3D64" w14:textId="77777777" w:rsidR="005E7A9F" w:rsidRDefault="005E7A9F" w:rsidP="005E7A9F">
      <w:pPr>
        <w:keepNext/>
        <w:keepLines/>
        <w:spacing w:before="0" w:after="240"/>
        <w:ind w:right="91"/>
      </w:pPr>
      <w:r>
        <w:t xml:space="preserve">The package of reforms is informed by the findings of the Migrant Workers’ Taskforce report, the Nixon Review and the Migration Strategy. One of the overarching objectives of these measures is to address migration-related barriers that have been identified as deterring temporary migrant workers from reporting exploitation due to fears of adverse repercussions on their visa status. </w:t>
      </w:r>
    </w:p>
    <w:p w14:paraId="67B8E53D" w14:textId="77777777" w:rsidR="005E7A9F" w:rsidRDefault="005E7A9F" w:rsidP="005E7A9F">
      <w:pPr>
        <w:keepNext/>
        <w:keepLines/>
        <w:spacing w:before="0" w:after="240"/>
        <w:ind w:right="91"/>
      </w:pPr>
      <w:r>
        <w:t xml:space="preserve">The Workplace Justice Visa has been informed by an extensive co-design process with a range of practitioners experienced in supporting temporary migrants with workplace matters. It has been designed to complement existing supports that enable non-citizen workers to report exploitation and seek workplace justice, including through the proposed amendments to strengthen reporting protections. </w:t>
      </w:r>
    </w:p>
    <w:p w14:paraId="3B3F530A" w14:textId="43E69FA2" w:rsidR="005E7A9F" w:rsidRDefault="005E7A9F" w:rsidP="005E7A9F">
      <w:pPr>
        <w:keepNext/>
        <w:keepLines/>
        <w:spacing w:before="0" w:after="240"/>
        <w:ind w:right="91"/>
      </w:pPr>
      <w:r>
        <w:lastRenderedPageBreak/>
        <w:t xml:space="preserve">The Workplace Justice Visa operates as a new clause in the subclass 408 (Temporary Activity) visa. Under policy, a Workplace Justice Visa may generally be granted for a period to allow the holder the right to remain in Australia for a minimum period of 6 months or up to 12 months (within a maximum available period of 4 years available under the Migration Regulations). The visa is only available to temporary migrants in Australia, and who have certification regarding their workplace exploitation matter from a participating government entity or accredited non-government party.  Workplace Justice Visa holders will be able to work in order to support themselves while they pursue workplace justice. Members of their family unit who are in Australia are also able to apply for this visa. </w:t>
      </w:r>
    </w:p>
    <w:p w14:paraId="60CE8084" w14:textId="5C316C97" w:rsidR="003F13EF" w:rsidRPr="00137B29" w:rsidRDefault="005E7A9F" w:rsidP="0010498A">
      <w:pPr>
        <w:keepNext/>
        <w:keepLines/>
        <w:spacing w:before="0" w:after="240"/>
        <w:ind w:right="91"/>
      </w:pPr>
      <w:r>
        <w:t xml:space="preserve">Implemented initially as a pilot, the Workplace Justice Visa will be available to a class of persons determined in a legislative instrument made under the Migration Regulations. With careful monitoring and ongoing engagement with participating certifying bodies, the class of persons eligible may be adjusted throughout the life of the pilot to maximise opportunities to achieve the overarching objective of improving workplace justice outcomes while managing integrity risks. A legislative instrument will also set out which government or non-government entities can certify workplace exploitation matters, supporting transparency about participating third parties, and providing a framework for participation. </w:t>
      </w:r>
      <w:r w:rsidR="002A0412">
        <w:t>The workplace justice v</w:t>
      </w:r>
      <w:r w:rsidR="0010498A">
        <w:t xml:space="preserve">isa also provides a holder with work rights to ensure that they can maintain their ability to support themselves during their stay. </w:t>
      </w:r>
    </w:p>
    <w:p w14:paraId="299D6D28" w14:textId="5CE28BF2" w:rsidR="0024360E" w:rsidRPr="00137B29" w:rsidRDefault="0024360E" w:rsidP="00F064FE">
      <w:pPr>
        <w:spacing w:before="0" w:after="240"/>
      </w:pPr>
      <w:r w:rsidRPr="00137B29">
        <w:t>A Statement of Compatibility w</w:t>
      </w:r>
      <w:r w:rsidR="00165075" w:rsidRPr="00137B29">
        <w:t>ith Human Rights</w:t>
      </w:r>
      <w:r w:rsidRPr="00137B29">
        <w:t xml:space="preserve"> has been completed in accordance with the </w:t>
      </w:r>
      <w:r w:rsidRPr="00137B29">
        <w:rPr>
          <w:i/>
          <w:iCs/>
        </w:rPr>
        <w:t>Human Rights (Parliamentary Scrutiny) Act 2011</w:t>
      </w:r>
      <w:r w:rsidR="00B43D98" w:rsidRPr="00137B29">
        <w:t xml:space="preserve">. </w:t>
      </w:r>
      <w:r w:rsidRPr="00137B29">
        <w:t>The overall assessment is that the Regulations are</w:t>
      </w:r>
      <w:r w:rsidR="00B43D98" w:rsidRPr="00137B29">
        <w:t xml:space="preserve"> compatible with human rights. </w:t>
      </w:r>
      <w:r w:rsidRPr="00137B29">
        <w:t xml:space="preserve">A copy of the Statement is at </w:t>
      </w:r>
      <w:r w:rsidR="0074200D" w:rsidRPr="00137B29">
        <w:rPr>
          <w:u w:val="single"/>
        </w:rPr>
        <w:t>Attachment A</w:t>
      </w:r>
      <w:r w:rsidRPr="00137B29">
        <w:t>.</w:t>
      </w:r>
    </w:p>
    <w:p w14:paraId="299D6D2A" w14:textId="50699A64" w:rsidR="0024360E" w:rsidRPr="00137B29" w:rsidRDefault="0024360E" w:rsidP="00F064FE">
      <w:pPr>
        <w:spacing w:before="0" w:after="240"/>
      </w:pPr>
      <w:r w:rsidRPr="00137B29">
        <w:t>The O</w:t>
      </w:r>
      <w:r w:rsidR="006A4E21" w:rsidRPr="00137B29">
        <w:t>ffice of Impact Analysis (OIA)</w:t>
      </w:r>
      <w:r w:rsidRPr="00137B29">
        <w:t xml:space="preserve"> has been consulted </w:t>
      </w:r>
      <w:r w:rsidR="00B43D98" w:rsidRPr="00137B29">
        <w:t xml:space="preserve">in relation to the amendments. </w:t>
      </w:r>
      <w:r w:rsidR="005C6994" w:rsidRPr="00137B29">
        <w:t>The OIA considers that the Regulations are unlikely to have more th</w:t>
      </w:r>
      <w:r w:rsidR="00F5374A">
        <w:t>an a minor regulatory impact and therefore no</w:t>
      </w:r>
      <w:r w:rsidR="0010498A">
        <w:t xml:space="preserve"> i</w:t>
      </w:r>
      <w:r w:rsidRPr="00137B29">
        <w:t xml:space="preserve">mpact </w:t>
      </w:r>
      <w:r w:rsidR="0010498A">
        <w:t>a</w:t>
      </w:r>
      <w:r w:rsidR="005C6994" w:rsidRPr="00137B29">
        <w:t xml:space="preserve">nalysis </w:t>
      </w:r>
      <w:r w:rsidR="00B43D98" w:rsidRPr="00137B29">
        <w:t xml:space="preserve">is required. </w:t>
      </w:r>
      <w:r w:rsidRPr="00137B29">
        <w:t xml:space="preserve">The </w:t>
      </w:r>
      <w:r w:rsidR="006A4E21" w:rsidRPr="00137B29">
        <w:t>OIA</w:t>
      </w:r>
      <w:r w:rsidRPr="00137B29">
        <w:t xml:space="preserve"> consultation reference number is </w:t>
      </w:r>
      <w:r w:rsidR="0073336B" w:rsidRPr="0073336B">
        <w:t>OIA24-07058</w:t>
      </w:r>
      <w:r w:rsidR="002A0687" w:rsidRPr="00137B29">
        <w:rPr>
          <w:lang w:val="en-US"/>
        </w:rPr>
        <w:t>.</w:t>
      </w:r>
    </w:p>
    <w:p w14:paraId="474DA707" w14:textId="50B569CB" w:rsidR="00CD754F" w:rsidRPr="00137B29" w:rsidRDefault="00A461F7" w:rsidP="00F064FE">
      <w:pPr>
        <w:spacing w:before="0" w:after="240"/>
      </w:pPr>
      <w:r w:rsidRPr="00137B29">
        <w:t xml:space="preserve">Section 17 of the </w:t>
      </w:r>
      <w:r w:rsidRPr="00F5374A">
        <w:rPr>
          <w:i/>
        </w:rPr>
        <w:t>Legislation Act</w:t>
      </w:r>
      <w:r w:rsidR="00F5374A" w:rsidRPr="00F5374A">
        <w:rPr>
          <w:i/>
        </w:rPr>
        <w:t xml:space="preserve"> 2003</w:t>
      </w:r>
      <w:r w:rsidR="00F5374A">
        <w:t xml:space="preserve"> (Legislation Act)</w:t>
      </w:r>
      <w:r w:rsidRPr="00137B29">
        <w:t xml:space="preserve"> provides that the rule maker must be satisfied that consultation has been undertaken that is appropriate and reasonably practicable before making a legislative instrument. </w:t>
      </w:r>
      <w:r w:rsidR="00B21A6A" w:rsidRPr="007012FB">
        <w:t>The Department has consulted other Commonwealth agencies i</w:t>
      </w:r>
      <w:r w:rsidR="00B21A6A">
        <w:t>n the course of developing the amend r</w:t>
      </w:r>
      <w:r w:rsidR="00B21A6A" w:rsidRPr="007012FB">
        <w:t>egulations, including the Department of Employment and Workplace Relations</w:t>
      </w:r>
      <w:r w:rsidR="00B21A6A">
        <w:t xml:space="preserve"> (DEWR)</w:t>
      </w:r>
      <w:r w:rsidR="00B21A6A" w:rsidRPr="007012FB">
        <w:t>.</w:t>
      </w:r>
      <w:r w:rsidR="00B21A6A">
        <w:t xml:space="preserve"> </w:t>
      </w:r>
      <w:r w:rsidR="006D6AC2">
        <w:t xml:space="preserve">The Department has also consulted extensively with targeted non-government stakeholders on the policy parameters of the pilot, and these consultations have informed the pilot settings. </w:t>
      </w:r>
    </w:p>
    <w:p w14:paraId="06FB7611" w14:textId="31045DA0" w:rsidR="00B11AD6" w:rsidRPr="00137B29" w:rsidRDefault="00B11AD6" w:rsidP="00F064FE">
      <w:pPr>
        <w:tabs>
          <w:tab w:val="left" w:pos="6521"/>
        </w:tabs>
        <w:spacing w:before="0" w:after="240"/>
        <w:ind w:right="521"/>
      </w:pPr>
      <w:r w:rsidRPr="00137B29">
        <w:t xml:space="preserve">The amendments commence on </w:t>
      </w:r>
      <w:r w:rsidR="0073336B">
        <w:t>1 July 2024</w:t>
      </w:r>
      <w:r w:rsidR="006A4E21" w:rsidRPr="00137B29">
        <w:t>.</w:t>
      </w:r>
    </w:p>
    <w:p w14:paraId="5157C2D0" w14:textId="0A34F32D" w:rsidR="00231291" w:rsidRPr="00137B29" w:rsidRDefault="00F064FE" w:rsidP="00F064FE">
      <w:pPr>
        <w:spacing w:before="0" w:after="240"/>
        <w:ind w:right="91"/>
      </w:pPr>
      <w:r>
        <w:t>D</w:t>
      </w:r>
      <w:r w:rsidR="0024360E" w:rsidRPr="00137B29">
        <w:t xml:space="preserve">etails of the Regulations are set out in </w:t>
      </w:r>
      <w:r w:rsidR="0074200D" w:rsidRPr="00137B29">
        <w:rPr>
          <w:u w:val="single"/>
        </w:rPr>
        <w:t>Attachment B</w:t>
      </w:r>
      <w:r w:rsidR="0024360E" w:rsidRPr="00137B29">
        <w:t>.</w:t>
      </w:r>
    </w:p>
    <w:p w14:paraId="4C2A2531" w14:textId="77777777" w:rsidR="00EC4B0C" w:rsidRDefault="00231291" w:rsidP="00EC4B0C">
      <w:pPr>
        <w:spacing w:before="0" w:after="240"/>
      </w:pPr>
      <w:r w:rsidRPr="00137B29">
        <w:t>The Regulations amend the Migration Regulations</w:t>
      </w:r>
      <w:r w:rsidR="0073336B">
        <w:t>,</w:t>
      </w:r>
      <w:r w:rsidRPr="00137B29">
        <w:t xml:space="preserve"> which are exempt from </w:t>
      </w:r>
      <w:proofErr w:type="spellStart"/>
      <w:r w:rsidRPr="00137B29">
        <w:t>sunsetting</w:t>
      </w:r>
      <w:proofErr w:type="spellEnd"/>
      <w:r w:rsidRPr="00137B29">
        <w:t xml:space="preserve"> under table item 38A of section 12 of the </w:t>
      </w:r>
      <w:r w:rsidRPr="00137B29">
        <w:rPr>
          <w:i/>
        </w:rPr>
        <w:t xml:space="preserve">Legislation (Exemptions and Other Matters) Regulation </w:t>
      </w:r>
      <w:r w:rsidR="00F064FE">
        <w:rPr>
          <w:i/>
        </w:rPr>
        <w:t>2</w:t>
      </w:r>
      <w:r w:rsidRPr="00137B29">
        <w:rPr>
          <w:i/>
        </w:rPr>
        <w:t xml:space="preserve">015. </w:t>
      </w:r>
      <w:r w:rsidR="00EC4B0C">
        <w:t xml:space="preserve">The Migration Regulations are exempt from </w:t>
      </w:r>
      <w:proofErr w:type="spellStart"/>
      <w:r w:rsidR="00EC4B0C">
        <w:t>sunsetting</w:t>
      </w:r>
      <w:proofErr w:type="spellEnd"/>
      <w:r w:rsidR="00EC4B0C">
        <w:t xml:space="preserve"> on the basis that the repeal and remaking of the Migration Regulations:</w:t>
      </w:r>
    </w:p>
    <w:p w14:paraId="07E1B860" w14:textId="77777777" w:rsidR="00EC4B0C" w:rsidRDefault="00EC4B0C" w:rsidP="00EC4B0C">
      <w:pPr>
        <w:pStyle w:val="ListParagraph"/>
        <w:numPr>
          <w:ilvl w:val="0"/>
          <w:numId w:val="2"/>
        </w:numPr>
        <w:ind w:right="91"/>
      </w:pPr>
      <w:r>
        <w:t xml:space="preserve">is unnecessary as the Migration Regulations are regularly amended numerous times each year to update policy settings for immigration programs; </w:t>
      </w:r>
    </w:p>
    <w:p w14:paraId="796AE535" w14:textId="77777777" w:rsidR="00EC4B0C" w:rsidRDefault="00EC4B0C" w:rsidP="00EC4B0C">
      <w:pPr>
        <w:pStyle w:val="ListParagraph"/>
        <w:numPr>
          <w:ilvl w:val="0"/>
          <w:numId w:val="2"/>
        </w:numPr>
        <w:ind w:right="91"/>
      </w:pPr>
      <w:r>
        <w:lastRenderedPageBreak/>
        <w:t>would require complex and difficult to administer transitional provisions to ensure, amongst other things, the position of the many people who hold Australian visas, and similarly, there would likely be a significant impact on undecided visa and sponsorship applications; and</w:t>
      </w:r>
    </w:p>
    <w:p w14:paraId="14E81426" w14:textId="77777777" w:rsidR="00EC4B0C" w:rsidRDefault="00EC4B0C" w:rsidP="00832EC4">
      <w:pPr>
        <w:pStyle w:val="ListParagraph"/>
        <w:numPr>
          <w:ilvl w:val="0"/>
          <w:numId w:val="2"/>
        </w:numPr>
        <w:spacing w:after="240"/>
        <w:ind w:left="714" w:right="91" w:hanging="357"/>
      </w:pPr>
      <w:proofErr w:type="gramStart"/>
      <w:r>
        <w:t>would</w:t>
      </w:r>
      <w:proofErr w:type="gramEnd"/>
      <w:r>
        <w:t xml:space="preserve"> demand complicated and costly systems, training and operational changes that would impose significant strain on Government resources and the Australian public for insignificant gain, while not advancing the aims of the Legislation Act.</w:t>
      </w:r>
    </w:p>
    <w:p w14:paraId="299D6D34" w14:textId="3DFD1C30" w:rsidR="0024360E" w:rsidRPr="00137B29" w:rsidRDefault="0024360E" w:rsidP="00F064FE">
      <w:pPr>
        <w:spacing w:before="0" w:after="240"/>
      </w:pPr>
      <w:r w:rsidRPr="00137B29">
        <w:t>The Migration Act specifies no conditions that need to be satisfied before the power to make th</w:t>
      </w:r>
      <w:r w:rsidR="00BE2524" w:rsidRPr="00137B29">
        <w:t>e Regulations may be exercised.</w:t>
      </w:r>
    </w:p>
    <w:p w14:paraId="299D6D38" w14:textId="56077FE0" w:rsidR="0024360E" w:rsidRPr="00137B29" w:rsidRDefault="0024360E" w:rsidP="00F064FE">
      <w:pPr>
        <w:tabs>
          <w:tab w:val="left" w:pos="6521"/>
        </w:tabs>
        <w:spacing w:before="0" w:after="240"/>
        <w:ind w:right="-2"/>
      </w:pPr>
      <w:r w:rsidRPr="00137B29">
        <w:t xml:space="preserve">The Regulations are a legislative instrument for the purposes of the </w:t>
      </w:r>
      <w:r w:rsidR="00F5374A">
        <w:t>Legislation Act</w:t>
      </w:r>
      <w:r w:rsidRPr="00137B29">
        <w:t>.</w:t>
      </w:r>
    </w:p>
    <w:p w14:paraId="5EA57418" w14:textId="668F4D6F" w:rsidR="00165075" w:rsidRDefault="00165075">
      <w:pPr>
        <w:spacing w:before="0" w:after="160" w:line="259" w:lineRule="auto"/>
      </w:pPr>
      <w:r w:rsidRPr="00137B29">
        <w:br w:type="page"/>
      </w:r>
    </w:p>
    <w:p w14:paraId="3DE90A1A" w14:textId="77777777" w:rsidR="000A098B" w:rsidRPr="000A098B" w:rsidRDefault="000A098B" w:rsidP="000A098B">
      <w:pPr>
        <w:tabs>
          <w:tab w:val="left" w:pos="345"/>
        </w:tabs>
        <w:spacing w:before="0" w:after="160" w:line="240" w:lineRule="atLeast"/>
        <w:ind w:right="45"/>
        <w:jc w:val="right"/>
        <w:rPr>
          <w:rFonts w:eastAsia="Times New Roman"/>
          <w:b/>
          <w:bCs/>
          <w:u w:val="single"/>
        </w:rPr>
      </w:pPr>
      <w:r w:rsidRPr="000A098B">
        <w:rPr>
          <w:rFonts w:eastAsia="Times New Roman"/>
          <w:b/>
          <w:bCs/>
          <w:color w:val="000000"/>
          <w:u w:val="single"/>
        </w:rPr>
        <w:lastRenderedPageBreak/>
        <w:t>ATTACHMENT A</w:t>
      </w:r>
    </w:p>
    <w:p w14:paraId="30354FE7" w14:textId="77777777" w:rsidR="000A098B" w:rsidRPr="000A098B" w:rsidRDefault="000A098B" w:rsidP="000A098B">
      <w:pPr>
        <w:spacing w:before="360" w:after="160" w:line="240" w:lineRule="atLeast"/>
        <w:jc w:val="center"/>
        <w:outlineLvl w:val="1"/>
        <w:rPr>
          <w:rFonts w:eastAsia="Times New Roman"/>
          <w:b/>
        </w:rPr>
      </w:pPr>
      <w:r w:rsidRPr="000A098B">
        <w:rPr>
          <w:rFonts w:eastAsiaTheme="minorHAnsi"/>
          <w:b/>
          <w:lang w:eastAsia="en-US"/>
        </w:rPr>
        <w:t>Statement of Compatibility with Human Rights</w:t>
      </w:r>
    </w:p>
    <w:p w14:paraId="08471D33" w14:textId="77777777" w:rsidR="000A098B" w:rsidRPr="000A098B" w:rsidRDefault="000A098B" w:rsidP="000A098B">
      <w:pPr>
        <w:spacing w:before="120" w:after="160" w:line="240" w:lineRule="atLeast"/>
        <w:jc w:val="center"/>
        <w:rPr>
          <w:rFonts w:eastAsia="Times New Roman"/>
        </w:rPr>
      </w:pPr>
      <w:r w:rsidRPr="000A098B">
        <w:rPr>
          <w:rFonts w:eastAsia="Times New Roman"/>
          <w:i/>
        </w:rPr>
        <w:t>Prepared in accordance with Part 3 of the Human Rights (Parliamentary Scrutiny) Act 2011</w:t>
      </w:r>
    </w:p>
    <w:p w14:paraId="2B37DD8F" w14:textId="77777777" w:rsidR="000A098B" w:rsidRPr="000A098B" w:rsidRDefault="000A098B" w:rsidP="000A098B">
      <w:pPr>
        <w:spacing w:before="120" w:after="160" w:line="240" w:lineRule="atLeast"/>
        <w:jc w:val="center"/>
        <w:rPr>
          <w:rFonts w:eastAsia="Calibri"/>
          <w:b/>
        </w:rPr>
      </w:pPr>
      <w:r w:rsidRPr="000A098B">
        <w:rPr>
          <w:rFonts w:eastAsia="Calibri"/>
          <w:b/>
          <w:i/>
        </w:rPr>
        <w:t>Migration Amendment (Workplace Justice Visa) Regulations 2024</w:t>
      </w:r>
    </w:p>
    <w:p w14:paraId="193B7AFD" w14:textId="77777777" w:rsidR="000A098B" w:rsidRPr="000A098B" w:rsidRDefault="000A098B" w:rsidP="000A098B">
      <w:pPr>
        <w:spacing w:before="120" w:after="120" w:line="240" w:lineRule="atLeast"/>
        <w:jc w:val="center"/>
        <w:rPr>
          <w:rFonts w:eastAsia="Times New Roman"/>
          <w:color w:val="000000"/>
        </w:rPr>
      </w:pPr>
      <w:r w:rsidRPr="000A098B">
        <w:rPr>
          <w:rFonts w:eastAsia="Times New Roman"/>
          <w:color w:val="000000"/>
        </w:rPr>
        <w:t xml:space="preserve">This Disallowable Legislative Instrument is compatible with the human rights and freedoms recognised or declared in the international instruments listed in section 3 of the </w:t>
      </w:r>
      <w:r w:rsidRPr="000A098B">
        <w:rPr>
          <w:rFonts w:eastAsia="Times New Roman"/>
          <w:i/>
          <w:color w:val="000000"/>
        </w:rPr>
        <w:t>Human Rights (Parliamentary Scrutiny) Act 2011</w:t>
      </w:r>
      <w:r w:rsidRPr="000A098B">
        <w:rPr>
          <w:rFonts w:eastAsia="Times New Roman"/>
          <w:color w:val="000000"/>
        </w:rPr>
        <w:t>.</w:t>
      </w:r>
    </w:p>
    <w:p w14:paraId="19E9ECB1" w14:textId="77777777" w:rsidR="000A098B" w:rsidRPr="000A098B" w:rsidRDefault="000A098B" w:rsidP="000A098B">
      <w:pPr>
        <w:spacing w:before="120" w:after="120" w:line="240" w:lineRule="atLeast"/>
        <w:jc w:val="center"/>
        <w:rPr>
          <w:rFonts w:eastAsia="Calibri"/>
          <w:i/>
        </w:rPr>
      </w:pPr>
    </w:p>
    <w:p w14:paraId="3E29FF4B" w14:textId="77777777" w:rsidR="000A098B" w:rsidRPr="000A098B" w:rsidRDefault="000A098B" w:rsidP="000A098B">
      <w:pPr>
        <w:tabs>
          <w:tab w:val="center" w:pos="4153"/>
          <w:tab w:val="right" w:pos="8306"/>
        </w:tabs>
        <w:spacing w:before="0" w:after="120"/>
        <w:jc w:val="both"/>
        <w:rPr>
          <w:rFonts w:eastAsiaTheme="minorHAnsi"/>
          <w:lang w:eastAsia="en-US"/>
        </w:rPr>
      </w:pPr>
      <w:r w:rsidRPr="000A098B">
        <w:rPr>
          <w:rFonts w:eastAsiaTheme="minorHAnsi"/>
          <w:b/>
          <w:lang w:eastAsia="en-US"/>
        </w:rPr>
        <w:t>Overview of the Disallowable Legislative Instrument</w:t>
      </w:r>
      <w:r w:rsidRPr="000A098B" w:rsidDel="00504D56">
        <w:rPr>
          <w:rFonts w:eastAsiaTheme="minorHAnsi"/>
          <w:lang w:eastAsia="en-US"/>
        </w:rPr>
        <w:t xml:space="preserve"> </w:t>
      </w:r>
    </w:p>
    <w:p w14:paraId="6C33B48A" w14:textId="77777777" w:rsidR="000A098B" w:rsidRPr="000A098B" w:rsidRDefault="000A098B" w:rsidP="000A098B">
      <w:pPr>
        <w:tabs>
          <w:tab w:val="center" w:pos="4153"/>
          <w:tab w:val="right" w:pos="8306"/>
        </w:tabs>
        <w:spacing w:before="0" w:after="120"/>
        <w:jc w:val="both"/>
        <w:rPr>
          <w:rFonts w:eastAsia="Times New Roman"/>
        </w:rPr>
      </w:pPr>
      <w:r w:rsidRPr="000A098B">
        <w:rPr>
          <w:rFonts w:eastAsia="Calibri"/>
        </w:rPr>
        <w:t xml:space="preserve">The </w:t>
      </w:r>
      <w:r w:rsidRPr="000A098B">
        <w:rPr>
          <w:rFonts w:eastAsia="Calibri"/>
          <w:i/>
        </w:rPr>
        <w:t>Migration Amendment (Workplace Justice Visa) Regulations 2024</w:t>
      </w:r>
      <w:r w:rsidRPr="000A098B">
        <w:rPr>
          <w:rFonts w:eastAsia="Calibri"/>
        </w:rPr>
        <w:t xml:space="preserve"> (the amendment Regulations) amend</w:t>
      </w:r>
      <w:r w:rsidRPr="000A098B">
        <w:rPr>
          <w:rFonts w:eastAsia="Times New Roman"/>
        </w:rPr>
        <w:t xml:space="preserve"> the </w:t>
      </w:r>
      <w:r w:rsidRPr="000A098B">
        <w:rPr>
          <w:rFonts w:eastAsia="Times New Roman"/>
          <w:i/>
        </w:rPr>
        <w:t>Migration Regulations 1994</w:t>
      </w:r>
      <w:r w:rsidRPr="000A098B">
        <w:rPr>
          <w:rFonts w:eastAsia="Times New Roman"/>
        </w:rPr>
        <w:t xml:space="preserve"> (the Migration Regulations) to implement a new Workplace Justice Visa. The Workplace Justice Visa allows temporary migrants to extend their stay in Australia for a short period, where beneficial or necessary, to pursue workplace justice where they have been the subject of a workplace exploitation matter.</w:t>
      </w:r>
    </w:p>
    <w:p w14:paraId="16A1F93D" w14:textId="77777777" w:rsidR="000A098B" w:rsidRPr="000A098B" w:rsidRDefault="000A098B" w:rsidP="000A098B">
      <w:pPr>
        <w:tabs>
          <w:tab w:val="center" w:pos="4153"/>
          <w:tab w:val="right" w:pos="8306"/>
        </w:tabs>
        <w:spacing w:before="0" w:after="120"/>
        <w:jc w:val="both"/>
        <w:rPr>
          <w:rFonts w:eastAsia="Times New Roman"/>
        </w:rPr>
      </w:pPr>
      <w:r w:rsidRPr="000A098B">
        <w:rPr>
          <w:rFonts w:eastAsia="Times New Roman"/>
        </w:rPr>
        <w:t xml:space="preserve">The Workplace Justice Visa is one component of a range of measures that the Government is introducing to address migrant worker exploitation following a commitment made at the </w:t>
      </w:r>
      <w:r w:rsidRPr="000A098B">
        <w:rPr>
          <w:rFonts w:eastAsia="Times New Roman"/>
          <w:i/>
        </w:rPr>
        <w:t xml:space="preserve">Jobs and Skills Summit. </w:t>
      </w:r>
      <w:r w:rsidRPr="000A098B">
        <w:rPr>
          <w:rFonts w:eastAsia="Times New Roman"/>
        </w:rPr>
        <w:t xml:space="preserve">This commitment was made in response to serious concerns about the corrosive impact of migrant worker exploitation, recognising the harm exploitation causes to the migrant worker and their family. The commitment also recognised broader concerns that if left unaddressed, migrant worker exploitation has the potential to put downward pressure on wages and conditions for all workers and it creates an un-level playing field for those businesses who do the right thing. </w:t>
      </w:r>
    </w:p>
    <w:p w14:paraId="5EE34A3D" w14:textId="77777777" w:rsidR="000A098B" w:rsidRPr="000A098B" w:rsidRDefault="000A098B" w:rsidP="000A098B">
      <w:pPr>
        <w:tabs>
          <w:tab w:val="center" w:pos="4153"/>
          <w:tab w:val="right" w:pos="8306"/>
        </w:tabs>
        <w:spacing w:before="0" w:after="120"/>
        <w:jc w:val="both"/>
        <w:rPr>
          <w:rFonts w:eastAsia="Times New Roman"/>
        </w:rPr>
      </w:pPr>
      <w:r w:rsidRPr="000A098B">
        <w:rPr>
          <w:rFonts w:eastAsia="Times New Roman"/>
        </w:rPr>
        <w:t xml:space="preserve">The package of reforms is informed by the findings of the </w:t>
      </w:r>
      <w:r w:rsidRPr="000A098B">
        <w:rPr>
          <w:rFonts w:eastAsia="Times New Roman"/>
          <w:i/>
        </w:rPr>
        <w:t>Migrant Workers’ Taskforce</w:t>
      </w:r>
      <w:r w:rsidRPr="000A098B">
        <w:rPr>
          <w:rFonts w:eastAsia="Times New Roman"/>
        </w:rPr>
        <w:t xml:space="preserve"> report, the </w:t>
      </w:r>
      <w:r w:rsidRPr="000A098B">
        <w:rPr>
          <w:rFonts w:eastAsia="Times New Roman"/>
          <w:i/>
        </w:rPr>
        <w:t>Nixon Review</w:t>
      </w:r>
      <w:r w:rsidRPr="000A098B">
        <w:rPr>
          <w:rFonts w:eastAsia="Times New Roman"/>
        </w:rPr>
        <w:t xml:space="preserve"> and the </w:t>
      </w:r>
      <w:r w:rsidRPr="000A098B">
        <w:rPr>
          <w:rFonts w:eastAsia="Times New Roman"/>
          <w:i/>
        </w:rPr>
        <w:t>Migration Strategy</w:t>
      </w:r>
      <w:r w:rsidRPr="000A098B">
        <w:rPr>
          <w:rFonts w:eastAsia="Times New Roman"/>
        </w:rPr>
        <w:t xml:space="preserve">. One of the overarching objectives of these measures is to address migration-related barriers that have been identified as deterring temporary migrant workers from reporting exploitation due to fears of adverse repercussions on their visa status. </w:t>
      </w:r>
    </w:p>
    <w:p w14:paraId="50A3DF06" w14:textId="0E76B26A" w:rsidR="000A098B" w:rsidRPr="000A098B" w:rsidRDefault="000A098B" w:rsidP="000A098B">
      <w:pPr>
        <w:tabs>
          <w:tab w:val="center" w:pos="4153"/>
          <w:tab w:val="right" w:pos="8306"/>
        </w:tabs>
        <w:spacing w:before="0" w:after="120"/>
        <w:jc w:val="both"/>
        <w:rPr>
          <w:rFonts w:eastAsia="Times New Roman"/>
        </w:rPr>
      </w:pPr>
      <w:r w:rsidRPr="000A098B">
        <w:rPr>
          <w:rFonts w:eastAsia="Times New Roman"/>
        </w:rPr>
        <w:t xml:space="preserve">The Workplace Justice Visa has been informed by an extensive co-design process with a range of practitioners experienced in supporting temporary migrants with workplace matters. It has been designed to complement existing supports that enable non-citizen workers to report exploitation and seek workplace justice, including through </w:t>
      </w:r>
      <w:r w:rsidR="00E36F3E">
        <w:rPr>
          <w:rFonts w:eastAsia="Times New Roman"/>
        </w:rPr>
        <w:t>the proposed amendments to strengthen reporting protections</w:t>
      </w:r>
      <w:r w:rsidRPr="000A098B">
        <w:rPr>
          <w:rFonts w:eastAsia="Times New Roman"/>
        </w:rPr>
        <w:t xml:space="preserve">. </w:t>
      </w:r>
    </w:p>
    <w:p w14:paraId="39AFD35B" w14:textId="77777777" w:rsidR="000A098B" w:rsidRPr="000A098B" w:rsidRDefault="000A098B" w:rsidP="000A098B">
      <w:pPr>
        <w:tabs>
          <w:tab w:val="center" w:pos="4153"/>
          <w:tab w:val="right" w:pos="8306"/>
        </w:tabs>
        <w:spacing w:before="0" w:after="120"/>
        <w:jc w:val="both"/>
        <w:rPr>
          <w:rFonts w:eastAsia="Times New Roman"/>
        </w:rPr>
      </w:pPr>
      <w:r w:rsidRPr="000A098B">
        <w:rPr>
          <w:rFonts w:eastAsia="Times New Roman"/>
        </w:rPr>
        <w:t xml:space="preserve">The Workplace Justice Visa operates as a new clause in the subclass 408 (Temporary Activity) visa, and will grant a holder the right to remain in Australia for a minimum 6 months or up to 12 months (within the maximum available period of 4 years available under the Migration Regulations). The visa is only available to temporary migrants in Australia, and who have certification regarding their workplace exploitation matter from a participating government entity or accredited non-government party.  Workplace Justice Visa holders will be able to work in order to support themselves while they pursue workplace justice. Members of their family unit who are in Australia are also able to apply for this visa. </w:t>
      </w:r>
    </w:p>
    <w:p w14:paraId="294C0C4C" w14:textId="77777777" w:rsidR="000A098B" w:rsidRPr="000A098B" w:rsidRDefault="000A098B" w:rsidP="000A098B">
      <w:pPr>
        <w:tabs>
          <w:tab w:val="center" w:pos="4153"/>
          <w:tab w:val="right" w:pos="8306"/>
        </w:tabs>
        <w:spacing w:before="0" w:after="120"/>
        <w:jc w:val="both"/>
        <w:rPr>
          <w:rFonts w:eastAsia="Times New Roman"/>
        </w:rPr>
      </w:pPr>
      <w:r w:rsidRPr="000A098B">
        <w:rPr>
          <w:rFonts w:eastAsia="Times New Roman"/>
        </w:rPr>
        <w:t xml:space="preserve">Implemented initially as a pilot, the Workplace Justice Visa will be available to a class of persons determined in a legislative instrument made under the Migration Regulations. With careful monitoring and ongoing engagement with participating certifying bodies, the class of persons eligible may be adjusted throughout the life of the pilot to maximise opportunities to </w:t>
      </w:r>
      <w:r w:rsidRPr="000A098B">
        <w:rPr>
          <w:rFonts w:eastAsia="Times New Roman"/>
        </w:rPr>
        <w:lastRenderedPageBreak/>
        <w:t>achieve the overarching objective of improving workplace justice outcomes while managing integrity risks. A legislative instrument will also set out which government or non-government entities can certify workplace exploitation matters, supporting transparency about participating third parties, and providing a framework for participation.</w:t>
      </w:r>
    </w:p>
    <w:p w14:paraId="658088F6" w14:textId="77777777" w:rsidR="000A098B" w:rsidRPr="000A098B" w:rsidRDefault="000A098B" w:rsidP="000A098B">
      <w:pPr>
        <w:tabs>
          <w:tab w:val="center" w:pos="4153"/>
          <w:tab w:val="right" w:pos="8306"/>
        </w:tabs>
        <w:spacing w:before="0" w:after="120"/>
        <w:jc w:val="both"/>
        <w:rPr>
          <w:rFonts w:eastAsia="Times New Roman"/>
        </w:rPr>
      </w:pPr>
      <w:r w:rsidRPr="000A098B">
        <w:rPr>
          <w:rFonts w:eastAsia="Times New Roman"/>
        </w:rPr>
        <w:t xml:space="preserve">The Amendment Regulations commence on 1 July 2024 to coincide with the commencement of the </w:t>
      </w:r>
      <w:r w:rsidRPr="000A098B">
        <w:rPr>
          <w:rFonts w:eastAsia="Times New Roman"/>
          <w:i/>
        </w:rPr>
        <w:t>Migration Amendment (Strengthening Employer Compliance) Act 2024.</w:t>
      </w:r>
      <w:r w:rsidRPr="000A098B">
        <w:rPr>
          <w:rFonts w:eastAsia="Times New Roman"/>
        </w:rPr>
        <w:t xml:space="preserve"> While these amendments are not dependent on that Act, they do complement the broader package of reforms by supporting workplace justice outcomes, with the broader goal of improving employer compliance and reducing the exploitation of temporary migrant workers. </w:t>
      </w:r>
    </w:p>
    <w:p w14:paraId="0F133EE7" w14:textId="77777777" w:rsidR="000A098B" w:rsidRPr="000A098B" w:rsidRDefault="000A098B" w:rsidP="000A098B">
      <w:pPr>
        <w:keepNext/>
        <w:spacing w:before="120" w:after="160" w:line="240" w:lineRule="atLeast"/>
        <w:rPr>
          <w:rFonts w:eastAsia="Times New Roman"/>
          <w:i/>
          <w:color w:val="000000"/>
        </w:rPr>
      </w:pPr>
    </w:p>
    <w:p w14:paraId="7060EF38" w14:textId="77777777" w:rsidR="000A098B" w:rsidRPr="000A098B" w:rsidRDefault="000A098B" w:rsidP="000A098B">
      <w:pPr>
        <w:keepNext/>
        <w:spacing w:before="120" w:after="160" w:line="240" w:lineRule="atLeast"/>
        <w:rPr>
          <w:rFonts w:eastAsia="Times New Roman"/>
          <w:b/>
          <w:bCs/>
        </w:rPr>
      </w:pPr>
      <w:r w:rsidRPr="000A098B">
        <w:rPr>
          <w:rFonts w:eastAsia="Times New Roman"/>
          <w:b/>
          <w:bCs/>
        </w:rPr>
        <w:t>Human rights implications</w:t>
      </w:r>
    </w:p>
    <w:p w14:paraId="51C6263D" w14:textId="77777777" w:rsidR="000A098B" w:rsidRPr="000A098B" w:rsidRDefault="000A098B" w:rsidP="000A098B">
      <w:pPr>
        <w:spacing w:before="120" w:after="120" w:line="240" w:lineRule="atLeast"/>
        <w:rPr>
          <w:rFonts w:eastAsia="Times New Roman"/>
          <w:color w:val="000000"/>
        </w:rPr>
      </w:pPr>
      <w:r w:rsidRPr="000A098B">
        <w:rPr>
          <w:rFonts w:eastAsia="Times New Roman"/>
          <w:color w:val="000000"/>
        </w:rPr>
        <w:t>This Disallowable Legislative Instrument may engage:</w:t>
      </w:r>
    </w:p>
    <w:p w14:paraId="39B5C568" w14:textId="77777777" w:rsidR="000A098B" w:rsidRPr="000A098B" w:rsidRDefault="000A098B" w:rsidP="000A098B">
      <w:pPr>
        <w:numPr>
          <w:ilvl w:val="0"/>
          <w:numId w:val="39"/>
        </w:numPr>
        <w:spacing w:before="0" w:after="160" w:line="240" w:lineRule="atLeast"/>
        <w:jc w:val="both"/>
        <w:rPr>
          <w:rFonts w:eastAsia="Times New Roman"/>
        </w:rPr>
      </w:pPr>
      <w:r w:rsidRPr="000A098B">
        <w:rPr>
          <w:rFonts w:eastAsia="Times New Roman"/>
        </w:rPr>
        <w:t>The right to just and favourable conditions of work – Article 7 of the </w:t>
      </w:r>
      <w:r w:rsidRPr="000A098B">
        <w:rPr>
          <w:rFonts w:eastAsia="Times New Roman"/>
          <w:i/>
        </w:rPr>
        <w:t>International Covenant on Economic, Social and Cultural Rights</w:t>
      </w:r>
      <w:r w:rsidRPr="000A098B">
        <w:rPr>
          <w:rFonts w:eastAsia="Times New Roman"/>
        </w:rPr>
        <w:t xml:space="preserve"> (ICESCR) </w:t>
      </w:r>
    </w:p>
    <w:p w14:paraId="0D62F90E" w14:textId="77777777" w:rsidR="000A098B" w:rsidRPr="000A098B" w:rsidRDefault="000A098B" w:rsidP="000A098B">
      <w:pPr>
        <w:numPr>
          <w:ilvl w:val="0"/>
          <w:numId w:val="39"/>
        </w:numPr>
        <w:spacing w:before="0" w:after="160" w:line="240" w:lineRule="atLeast"/>
        <w:jc w:val="both"/>
        <w:rPr>
          <w:rFonts w:eastAsia="Times New Roman"/>
        </w:rPr>
      </w:pPr>
      <w:r w:rsidRPr="000A098B">
        <w:rPr>
          <w:rFonts w:eastAsia="Times New Roman"/>
        </w:rPr>
        <w:t xml:space="preserve">The right to equality and non-discrimination – Article 26 of the </w:t>
      </w:r>
      <w:r w:rsidRPr="000A098B">
        <w:rPr>
          <w:rFonts w:eastAsia="Times New Roman"/>
          <w:i/>
        </w:rPr>
        <w:t>International Covenant on Civil and Political Rights</w:t>
      </w:r>
      <w:r w:rsidRPr="000A098B">
        <w:rPr>
          <w:rFonts w:eastAsia="Times New Roman"/>
        </w:rPr>
        <w:t xml:space="preserve"> (ICCPR) and Article 2(2) of the ICESCR</w:t>
      </w:r>
    </w:p>
    <w:p w14:paraId="28F9527F" w14:textId="77777777" w:rsidR="000A098B" w:rsidRPr="000A098B" w:rsidRDefault="000A098B" w:rsidP="000A098B">
      <w:pPr>
        <w:spacing w:before="0" w:after="160" w:line="240" w:lineRule="atLeast"/>
        <w:jc w:val="both"/>
        <w:rPr>
          <w:rFonts w:eastAsia="Times New Roman"/>
          <w:u w:val="single"/>
        </w:rPr>
      </w:pPr>
      <w:r w:rsidRPr="000A098B">
        <w:rPr>
          <w:rFonts w:eastAsia="Times New Roman"/>
          <w:u w:val="single"/>
        </w:rPr>
        <w:t xml:space="preserve">Rights relating to just and favourable conditions of work </w:t>
      </w:r>
    </w:p>
    <w:p w14:paraId="7FDEA5C1" w14:textId="77777777" w:rsidR="000A098B" w:rsidRPr="000A098B" w:rsidRDefault="000A098B" w:rsidP="000A098B">
      <w:pPr>
        <w:spacing w:before="0" w:after="240" w:line="240" w:lineRule="atLeast"/>
        <w:jc w:val="both"/>
        <w:rPr>
          <w:rFonts w:eastAsia="Times New Roman"/>
          <w:color w:val="000000"/>
        </w:rPr>
      </w:pPr>
      <w:r w:rsidRPr="000A098B">
        <w:rPr>
          <w:rFonts w:eastAsia="Times New Roman"/>
          <w:color w:val="000000"/>
        </w:rPr>
        <w:t>The amendment Regulations engage Article 7 of the ICESCR, which states that:</w:t>
      </w:r>
    </w:p>
    <w:p w14:paraId="1B89D23B" w14:textId="77777777" w:rsidR="000A098B" w:rsidRPr="000A098B" w:rsidRDefault="000A098B" w:rsidP="000A098B">
      <w:pPr>
        <w:spacing w:before="0" w:after="240" w:line="240" w:lineRule="atLeast"/>
        <w:ind w:left="720"/>
        <w:jc w:val="both"/>
        <w:rPr>
          <w:rFonts w:eastAsia="Times New Roman" w:cs="Arial"/>
          <w:i/>
          <w:color w:val="000000" w:themeColor="text1"/>
          <w:szCs w:val="22"/>
        </w:rPr>
      </w:pPr>
      <w:r w:rsidRPr="000A098B">
        <w:rPr>
          <w:rFonts w:eastAsia="Times New Roman" w:cs="Arial"/>
          <w:i/>
          <w:color w:val="000000" w:themeColor="text1"/>
          <w:szCs w:val="22"/>
        </w:rPr>
        <w:t>The States Parties to the present Covenant recognize the right of everyone to</w:t>
      </w:r>
      <w:r w:rsidRPr="000A098B">
        <w:rPr>
          <w:rFonts w:eastAsia="Times New Roman" w:cs="Arial"/>
          <w:i/>
          <w:color w:val="000000" w:themeColor="text1"/>
          <w:szCs w:val="22"/>
        </w:rPr>
        <w:br/>
        <w:t>the enjoyment of just and favourable conditions of work which ensure, in</w:t>
      </w:r>
      <w:r w:rsidRPr="000A098B">
        <w:rPr>
          <w:rFonts w:eastAsia="Times New Roman" w:cs="Arial"/>
          <w:i/>
          <w:color w:val="000000" w:themeColor="text1"/>
          <w:szCs w:val="22"/>
        </w:rPr>
        <w:br/>
        <w:t>particular:</w:t>
      </w:r>
    </w:p>
    <w:p w14:paraId="1152D151" w14:textId="77777777" w:rsidR="000A098B" w:rsidRPr="000A098B" w:rsidRDefault="000A098B" w:rsidP="000A098B">
      <w:pPr>
        <w:numPr>
          <w:ilvl w:val="0"/>
          <w:numId w:val="40"/>
        </w:numPr>
        <w:spacing w:before="120" w:after="120" w:line="240" w:lineRule="atLeast"/>
        <w:contextualSpacing/>
        <w:rPr>
          <w:rFonts w:eastAsia="Times New Roman"/>
          <w:i/>
          <w:color w:val="000000" w:themeColor="text1"/>
        </w:rPr>
      </w:pPr>
      <w:r w:rsidRPr="000A098B">
        <w:rPr>
          <w:rFonts w:eastAsia="Times New Roman"/>
          <w:i/>
          <w:color w:val="000000" w:themeColor="text1"/>
        </w:rPr>
        <w:t xml:space="preserve">Remuneration which provides all workers, as a minimum, with: </w:t>
      </w:r>
    </w:p>
    <w:p w14:paraId="3134C686" w14:textId="77777777" w:rsidR="000A098B" w:rsidRPr="000A098B" w:rsidRDefault="000A098B" w:rsidP="000A098B">
      <w:pPr>
        <w:spacing w:before="120" w:after="120" w:line="240" w:lineRule="atLeast"/>
        <w:ind w:left="1080"/>
        <w:rPr>
          <w:rFonts w:eastAsia="Times New Roman"/>
          <w:i/>
          <w:color w:val="000000" w:themeColor="text1"/>
        </w:rPr>
      </w:pPr>
      <w:r w:rsidRPr="000A098B">
        <w:rPr>
          <w:rFonts w:eastAsia="Times New Roman"/>
          <w:i/>
          <w:color w:val="000000" w:themeColor="text1"/>
        </w:rPr>
        <w:t>(</w:t>
      </w:r>
      <w:proofErr w:type="spellStart"/>
      <w:r w:rsidRPr="000A098B">
        <w:rPr>
          <w:rFonts w:eastAsia="Times New Roman"/>
          <w:i/>
          <w:color w:val="000000" w:themeColor="text1"/>
        </w:rPr>
        <w:t>i</w:t>
      </w:r>
      <w:proofErr w:type="spellEnd"/>
      <w:r w:rsidRPr="000A098B">
        <w:rPr>
          <w:rFonts w:eastAsia="Times New Roman"/>
          <w:i/>
          <w:color w:val="000000" w:themeColor="text1"/>
        </w:rPr>
        <w:t>) Fair wages and equal remuneration for work of equal value without distinction of any kind, in particular omen being guaranteed conditions of work not inferior to those enjoyed by men, with equal pay for equal work […]</w:t>
      </w:r>
    </w:p>
    <w:p w14:paraId="50B0E210" w14:textId="77777777" w:rsidR="000A098B" w:rsidRPr="000A098B" w:rsidRDefault="000A098B" w:rsidP="000A098B">
      <w:pPr>
        <w:spacing w:before="120" w:after="120" w:line="240" w:lineRule="atLeast"/>
        <w:ind w:left="720"/>
        <w:rPr>
          <w:rFonts w:eastAsia="Times New Roman"/>
          <w:i/>
          <w:color w:val="000000" w:themeColor="text1"/>
        </w:rPr>
      </w:pPr>
      <w:r w:rsidRPr="000A098B">
        <w:rPr>
          <w:rFonts w:eastAsia="Times New Roman"/>
          <w:i/>
          <w:color w:val="000000" w:themeColor="text1"/>
        </w:rPr>
        <w:t>(b) Safe and healthy working conditions</w:t>
      </w:r>
      <w:proofErr w:type="gramStart"/>
      <w:r w:rsidRPr="000A098B">
        <w:rPr>
          <w:rFonts w:eastAsia="Times New Roman"/>
          <w:i/>
          <w:color w:val="000000" w:themeColor="text1"/>
        </w:rPr>
        <w:t>;[</w:t>
      </w:r>
      <w:proofErr w:type="gramEnd"/>
      <w:r w:rsidRPr="000A098B">
        <w:rPr>
          <w:rFonts w:eastAsia="Times New Roman"/>
          <w:i/>
          <w:color w:val="000000" w:themeColor="text1"/>
        </w:rPr>
        <w:t>…]</w:t>
      </w:r>
    </w:p>
    <w:p w14:paraId="2CDD626B" w14:textId="77777777" w:rsidR="000A098B" w:rsidRPr="000A098B" w:rsidRDefault="000A098B" w:rsidP="000A098B">
      <w:pPr>
        <w:spacing w:before="0" w:after="240" w:line="240" w:lineRule="atLeast"/>
        <w:jc w:val="both"/>
        <w:rPr>
          <w:rFonts w:eastAsia="Times New Roman"/>
          <w:color w:val="000000"/>
        </w:rPr>
      </w:pPr>
      <w:r w:rsidRPr="000A098B">
        <w:rPr>
          <w:rFonts w:eastAsia="Times New Roman"/>
          <w:color w:val="000000"/>
        </w:rPr>
        <w:t xml:space="preserve">The Workplace Justice Visa is intended to promote rights to just and favourable conditions of work, for both the individual visa holder and for workers more broadly. </w:t>
      </w:r>
    </w:p>
    <w:p w14:paraId="44157E35" w14:textId="77777777" w:rsidR="000A098B" w:rsidRPr="000A098B" w:rsidRDefault="000A098B" w:rsidP="000A098B">
      <w:pPr>
        <w:spacing w:before="0" w:after="240" w:line="240" w:lineRule="atLeast"/>
        <w:jc w:val="both"/>
        <w:rPr>
          <w:rFonts w:eastAsia="Times New Roman"/>
          <w:color w:val="000000"/>
        </w:rPr>
      </w:pPr>
      <w:r w:rsidRPr="000A098B">
        <w:rPr>
          <w:rFonts w:eastAsia="Times New Roman"/>
          <w:color w:val="000000"/>
        </w:rPr>
        <w:t xml:space="preserve">The amendments enable temporary migrant workers to extend their stay in Australia to pursue workplace justice where they are unable to effectively do so on their current visa. The aim of this measure, in conjunction with other measures the Government is implementing to address migrant worker exploitation, is to remove migration-related barriers to reporting exploitation so that temporary migrant workers can more easily initiate claims to remedy breaches of workplace laws and assist in investigations of employer breaches. </w:t>
      </w:r>
    </w:p>
    <w:p w14:paraId="0797A135" w14:textId="77777777" w:rsidR="000A098B" w:rsidRPr="000A098B" w:rsidRDefault="000A098B" w:rsidP="000A098B">
      <w:pPr>
        <w:spacing w:before="0" w:after="240" w:line="240" w:lineRule="atLeast"/>
        <w:jc w:val="both"/>
        <w:rPr>
          <w:rFonts w:eastAsia="Times New Roman"/>
          <w:color w:val="000000"/>
        </w:rPr>
      </w:pPr>
      <w:r w:rsidRPr="000A098B">
        <w:rPr>
          <w:rFonts w:eastAsia="Times New Roman"/>
          <w:color w:val="000000"/>
        </w:rPr>
        <w:t xml:space="preserve">Increased reporting of breaches of workplace law will also inform compliance targeting, enabling enforcement officials to better identify dishonest and non-compliant employers. This will benefit a broad range of vulnerable workers in the Australian labour market - enhancing employer compliance, improving workplace justice outcomes for temporary migrant workers, and assisting in upholding just and favourable conditions of work for all workers. </w:t>
      </w:r>
    </w:p>
    <w:p w14:paraId="5F101B95" w14:textId="77777777" w:rsidR="000A098B" w:rsidRPr="000A098B" w:rsidRDefault="000A098B" w:rsidP="000A098B">
      <w:pPr>
        <w:keepNext/>
        <w:spacing w:before="120" w:after="120" w:line="240" w:lineRule="atLeast"/>
        <w:rPr>
          <w:rFonts w:eastAsia="Times New Roman"/>
          <w:color w:val="000000" w:themeColor="text1"/>
        </w:rPr>
      </w:pPr>
      <w:r w:rsidRPr="000A098B">
        <w:rPr>
          <w:rFonts w:eastAsia="Times New Roman"/>
          <w:color w:val="000000" w:themeColor="text1"/>
          <w:u w:val="single"/>
        </w:rPr>
        <w:lastRenderedPageBreak/>
        <w:t>Right of equality and non-discrimination</w:t>
      </w:r>
    </w:p>
    <w:p w14:paraId="07FF1F37" w14:textId="77777777" w:rsidR="000A098B" w:rsidRPr="000A098B" w:rsidRDefault="000A098B" w:rsidP="000A098B">
      <w:pPr>
        <w:spacing w:before="0" w:after="176" w:line="240" w:lineRule="atLeast"/>
        <w:rPr>
          <w:rFonts w:eastAsia="Times New Roman"/>
          <w:color w:val="000000"/>
        </w:rPr>
      </w:pPr>
      <w:r w:rsidRPr="000A098B">
        <w:rPr>
          <w:rFonts w:eastAsia="Times New Roman"/>
          <w:color w:val="000000"/>
        </w:rPr>
        <w:t>The amendment Regulations may engage the right of equality and non-discrimination in Article 26 of the ICCPR, which states:</w:t>
      </w:r>
    </w:p>
    <w:p w14:paraId="615D2CA9" w14:textId="77777777" w:rsidR="000A098B" w:rsidRPr="000A098B" w:rsidRDefault="000A098B" w:rsidP="000A098B">
      <w:pPr>
        <w:spacing w:before="120" w:after="120" w:line="240" w:lineRule="atLeast"/>
        <w:ind w:left="720"/>
        <w:rPr>
          <w:rFonts w:eastAsia="Times New Roman"/>
          <w:i/>
          <w:color w:val="000000" w:themeColor="text1"/>
        </w:rPr>
      </w:pPr>
      <w:r w:rsidRPr="000A098B">
        <w:rPr>
          <w:rFonts w:eastAsia="Times New Roman"/>
          <w:i/>
          <w:color w:val="000000" w:themeColor="text1"/>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w:t>
      </w:r>
    </w:p>
    <w:p w14:paraId="4E874BA0" w14:textId="77777777" w:rsidR="000A098B" w:rsidRPr="000A098B" w:rsidRDefault="000A098B" w:rsidP="000A098B">
      <w:pPr>
        <w:spacing w:before="120" w:after="120" w:line="240" w:lineRule="atLeast"/>
        <w:rPr>
          <w:rFonts w:eastAsia="Times New Roman"/>
          <w:color w:val="000000" w:themeColor="text1"/>
        </w:rPr>
      </w:pPr>
      <w:r w:rsidRPr="000A098B">
        <w:rPr>
          <w:rFonts w:eastAsia="Times New Roman"/>
          <w:color w:val="000000" w:themeColor="text1"/>
        </w:rPr>
        <w:t>Similarly, Article 2(2) of the ICESCR states:</w:t>
      </w:r>
    </w:p>
    <w:p w14:paraId="376D191C" w14:textId="77777777" w:rsidR="000A098B" w:rsidRPr="000A098B" w:rsidRDefault="000A098B" w:rsidP="000A098B">
      <w:pPr>
        <w:spacing w:before="120" w:after="120" w:line="240" w:lineRule="atLeast"/>
        <w:ind w:left="720"/>
        <w:rPr>
          <w:rFonts w:eastAsia="Times New Roman"/>
          <w:i/>
          <w:color w:val="000000" w:themeColor="text1"/>
        </w:rPr>
      </w:pPr>
      <w:r w:rsidRPr="000A098B">
        <w:rPr>
          <w:rFonts w:eastAsia="Times New Roman"/>
          <w:i/>
          <w:color w:val="000000" w:themeColor="text1"/>
        </w:rPr>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w:t>
      </w:r>
    </w:p>
    <w:p w14:paraId="6F6914CC" w14:textId="77777777" w:rsidR="000A098B" w:rsidRPr="000A098B" w:rsidRDefault="000A098B" w:rsidP="000A098B">
      <w:pPr>
        <w:spacing w:before="120" w:after="120" w:line="240" w:lineRule="atLeast"/>
        <w:rPr>
          <w:rFonts w:eastAsia="Times New Roman"/>
          <w:color w:val="000000" w:themeColor="text1"/>
        </w:rPr>
      </w:pPr>
      <w:r w:rsidRPr="000A098B">
        <w:rPr>
          <w:rFonts w:eastAsia="Times New Roman"/>
          <w:color w:val="000000" w:themeColor="text1"/>
        </w:rPr>
        <w:t xml:space="preserve">As an underlying principle, workers should be protected by workplace laws regardless of their immigration status. The Workplace Justice Visa supports this principle and promotes the rights to equality and non-discrimination, ensuring visa holders are not unduly disadvantaged because of their temporary visa status, specifically in relation to their exercise of work-related rights. Key features of the visa include no visa application charge and an ability to work so that they are able to support themselves while they pursue workplace justice. </w:t>
      </w:r>
    </w:p>
    <w:p w14:paraId="2D4FB6D8" w14:textId="77777777" w:rsidR="000A098B" w:rsidRPr="000A098B" w:rsidRDefault="000A098B" w:rsidP="000A098B">
      <w:pPr>
        <w:spacing w:before="120" w:after="120" w:line="240" w:lineRule="atLeast"/>
        <w:rPr>
          <w:rFonts w:eastAsia="Times New Roman"/>
          <w:color w:val="000000" w:themeColor="text1"/>
        </w:rPr>
      </w:pPr>
      <w:r w:rsidRPr="000A098B">
        <w:rPr>
          <w:rFonts w:eastAsia="Times New Roman"/>
          <w:color w:val="000000" w:themeColor="text1"/>
        </w:rPr>
        <w:t xml:space="preserve">It is intended that only applicants who meet the parameters outlined in a legislative instrument will be eligible for the visa. The aim is to ensure such settings can be adjusted as required – based on evidence and outcomes – so that the new visa can achieve its objectives. Migrant workers who are not eligible for the new Workplace Justice Visa are still able to seek redress for breaches of workplace laws regardless of their immigration status. </w:t>
      </w:r>
    </w:p>
    <w:p w14:paraId="66264320" w14:textId="77777777" w:rsidR="000A098B" w:rsidRPr="000A098B" w:rsidRDefault="000A098B" w:rsidP="000A098B">
      <w:pPr>
        <w:keepNext/>
        <w:spacing w:before="0" w:after="240" w:line="240" w:lineRule="atLeast"/>
        <w:jc w:val="both"/>
        <w:rPr>
          <w:rFonts w:eastAsia="Times New Roman"/>
          <w:b/>
          <w:color w:val="000000"/>
        </w:rPr>
      </w:pPr>
      <w:r w:rsidRPr="000A098B">
        <w:rPr>
          <w:rFonts w:eastAsia="Times New Roman"/>
          <w:b/>
          <w:color w:val="000000"/>
        </w:rPr>
        <w:t>Conclusion</w:t>
      </w:r>
    </w:p>
    <w:p w14:paraId="64EA077A" w14:textId="77777777" w:rsidR="000A098B" w:rsidRPr="000A098B" w:rsidRDefault="000A098B" w:rsidP="000A098B">
      <w:pPr>
        <w:spacing w:before="120" w:after="160" w:line="240" w:lineRule="atLeast"/>
        <w:rPr>
          <w:rFonts w:eastAsia="Times New Roman"/>
          <w:color w:val="000000"/>
        </w:rPr>
      </w:pPr>
      <w:r w:rsidRPr="000A098B">
        <w:rPr>
          <w:rFonts w:eastAsia="Times New Roman"/>
          <w:color w:val="000000"/>
        </w:rPr>
        <w:t xml:space="preserve">This Disallowable Legislative Instrument is compatible with human rights as it helps protect the human rights of temporary migrant workers in Australia. </w:t>
      </w:r>
    </w:p>
    <w:p w14:paraId="012DBFE5" w14:textId="77777777" w:rsidR="000A098B" w:rsidRPr="000A098B" w:rsidRDefault="000A098B" w:rsidP="000A098B">
      <w:pPr>
        <w:spacing w:before="120" w:after="160" w:line="240" w:lineRule="atLeast"/>
        <w:rPr>
          <w:rFonts w:eastAsia="Calibri"/>
          <w:b/>
        </w:rPr>
      </w:pPr>
    </w:p>
    <w:p w14:paraId="53276F3C" w14:textId="77777777" w:rsidR="000A098B" w:rsidRPr="000A098B" w:rsidRDefault="000A098B" w:rsidP="000A098B">
      <w:pPr>
        <w:spacing w:before="0" w:after="160" w:line="240" w:lineRule="atLeast"/>
        <w:jc w:val="center"/>
        <w:rPr>
          <w:rFonts w:eastAsia="Times New Roman"/>
          <w:b/>
        </w:rPr>
      </w:pPr>
      <w:r w:rsidRPr="000A098B">
        <w:rPr>
          <w:rFonts w:eastAsia="Times New Roman"/>
          <w:b/>
        </w:rPr>
        <w:t>The Hon Andrew Giles MP</w:t>
      </w:r>
    </w:p>
    <w:p w14:paraId="2AE32FBC" w14:textId="77777777" w:rsidR="000A098B" w:rsidRPr="000A098B" w:rsidRDefault="000A098B" w:rsidP="000A098B">
      <w:pPr>
        <w:spacing w:before="0" w:after="160" w:line="240" w:lineRule="atLeast"/>
        <w:jc w:val="center"/>
        <w:rPr>
          <w:rFonts w:eastAsia="Times New Roman"/>
        </w:rPr>
      </w:pPr>
      <w:r w:rsidRPr="000A098B">
        <w:rPr>
          <w:rFonts w:eastAsia="Times New Roman"/>
          <w:b/>
        </w:rPr>
        <w:t>Minister for Immigration, Citizenship and Multicultural Affairs</w:t>
      </w:r>
    </w:p>
    <w:p w14:paraId="68AB038E" w14:textId="77777777" w:rsidR="000A098B" w:rsidRPr="000A098B" w:rsidRDefault="000A098B" w:rsidP="000A098B">
      <w:pPr>
        <w:spacing w:before="0" w:after="176" w:line="240" w:lineRule="atLeast"/>
        <w:rPr>
          <w:rFonts w:eastAsia="Times New Roman"/>
          <w:color w:val="000000"/>
        </w:rPr>
      </w:pPr>
    </w:p>
    <w:p w14:paraId="03B44AA3" w14:textId="77777777" w:rsidR="000A098B" w:rsidRPr="000A098B" w:rsidRDefault="000A098B" w:rsidP="000A098B">
      <w:pPr>
        <w:spacing w:before="0" w:after="176" w:line="240" w:lineRule="atLeast"/>
        <w:rPr>
          <w:rFonts w:eastAsia="Times New Roman"/>
          <w:color w:val="000000"/>
        </w:rPr>
      </w:pPr>
    </w:p>
    <w:p w14:paraId="229A7DEF" w14:textId="64DBB579" w:rsidR="000A098B" w:rsidRDefault="000A098B">
      <w:pPr>
        <w:spacing w:before="0" w:after="160" w:line="259" w:lineRule="auto"/>
      </w:pPr>
    </w:p>
    <w:p w14:paraId="5BCDBCF2" w14:textId="5D5715F7" w:rsidR="000A098B" w:rsidRDefault="000A098B">
      <w:pPr>
        <w:spacing w:before="0" w:after="160" w:line="259" w:lineRule="auto"/>
      </w:pPr>
    </w:p>
    <w:p w14:paraId="70F2822A" w14:textId="35CF9D16" w:rsidR="000A098B" w:rsidRDefault="000A098B">
      <w:pPr>
        <w:spacing w:before="0" w:after="160" w:line="259" w:lineRule="auto"/>
      </w:pPr>
    </w:p>
    <w:p w14:paraId="78CA32F3" w14:textId="05BE35DD" w:rsidR="000A098B" w:rsidRDefault="000A098B">
      <w:pPr>
        <w:spacing w:before="0" w:after="160" w:line="259" w:lineRule="auto"/>
      </w:pPr>
    </w:p>
    <w:p w14:paraId="6D251B9A" w14:textId="020D864D" w:rsidR="000A098B" w:rsidRDefault="000A098B">
      <w:pPr>
        <w:spacing w:before="0" w:after="160" w:line="259" w:lineRule="auto"/>
      </w:pPr>
    </w:p>
    <w:p w14:paraId="5BE5E707" w14:textId="77777777" w:rsidR="000A098B" w:rsidRPr="00137B29" w:rsidRDefault="000A098B">
      <w:pPr>
        <w:spacing w:before="0" w:after="160" w:line="259" w:lineRule="auto"/>
      </w:pPr>
    </w:p>
    <w:p w14:paraId="2B98D3A8" w14:textId="5791F0CF" w:rsidR="00B11AD6" w:rsidRPr="00137B29" w:rsidRDefault="00B11AD6" w:rsidP="00B11AD6">
      <w:pPr>
        <w:tabs>
          <w:tab w:val="left" w:pos="345"/>
        </w:tabs>
        <w:spacing w:before="0"/>
        <w:ind w:right="43"/>
        <w:jc w:val="right"/>
        <w:rPr>
          <w:b/>
          <w:bCs/>
          <w:u w:val="single"/>
        </w:rPr>
      </w:pPr>
      <w:r w:rsidRPr="00137B29">
        <w:rPr>
          <w:b/>
          <w:bCs/>
          <w:u w:val="single"/>
        </w:rPr>
        <w:lastRenderedPageBreak/>
        <w:t>ATTACHMENT B</w:t>
      </w:r>
    </w:p>
    <w:p w14:paraId="20FC93CC" w14:textId="77777777" w:rsidR="00B11AD6" w:rsidRPr="00137B29" w:rsidRDefault="00B11AD6" w:rsidP="00B11AD6">
      <w:pPr>
        <w:tabs>
          <w:tab w:val="left" w:pos="345"/>
        </w:tabs>
        <w:spacing w:before="0"/>
        <w:ind w:right="43"/>
        <w:rPr>
          <w:b/>
          <w:bCs/>
          <w:u w:val="single"/>
        </w:rPr>
      </w:pPr>
    </w:p>
    <w:p w14:paraId="497E89BF" w14:textId="7DC2EC39" w:rsidR="006A4E21" w:rsidRPr="00137B29" w:rsidRDefault="006A4E21" w:rsidP="006A4E21">
      <w:pPr>
        <w:rPr>
          <w:i/>
        </w:rPr>
      </w:pPr>
      <w:r w:rsidRPr="00137B29">
        <w:rPr>
          <w:b/>
          <w:u w:val="single"/>
        </w:rPr>
        <w:t xml:space="preserve">Details of the </w:t>
      </w:r>
      <w:r w:rsidRPr="00137B29">
        <w:rPr>
          <w:b/>
          <w:i/>
          <w:u w:val="single"/>
        </w:rPr>
        <w:t>Migration Amendment (</w:t>
      </w:r>
      <w:r w:rsidR="0073336B">
        <w:rPr>
          <w:b/>
          <w:i/>
          <w:u w:val="single"/>
        </w:rPr>
        <w:t>Workplace Justice Visa</w:t>
      </w:r>
      <w:r w:rsidRPr="00137B29">
        <w:rPr>
          <w:b/>
          <w:i/>
          <w:u w:val="single"/>
        </w:rPr>
        <w:t>) Regulations 2024</w:t>
      </w:r>
    </w:p>
    <w:p w14:paraId="1677389C" w14:textId="77777777" w:rsidR="006A4E21" w:rsidRPr="00137B29" w:rsidRDefault="006A4E21" w:rsidP="006A4E21">
      <w:r w:rsidRPr="00137B29">
        <w:rPr>
          <w:u w:val="single"/>
        </w:rPr>
        <w:t>Section 1 – Name</w:t>
      </w:r>
    </w:p>
    <w:p w14:paraId="76C37270" w14:textId="7654B87E" w:rsidR="006A4E21" w:rsidRPr="00137B29" w:rsidRDefault="006A4E21" w:rsidP="006A4E21">
      <w:r w:rsidRPr="00137B29">
        <w:t>This section provide</w:t>
      </w:r>
      <w:r w:rsidR="00E94ECD" w:rsidRPr="00137B29">
        <w:t>s</w:t>
      </w:r>
      <w:r w:rsidRPr="00137B29">
        <w:t xml:space="preserve"> that the name of the instrument is the </w:t>
      </w:r>
      <w:r w:rsidRPr="00137B29">
        <w:rPr>
          <w:i/>
        </w:rPr>
        <w:t>Migration Amendment (</w:t>
      </w:r>
      <w:r w:rsidR="0073336B">
        <w:rPr>
          <w:i/>
        </w:rPr>
        <w:t>Workplace Justice Visa</w:t>
      </w:r>
      <w:r w:rsidRPr="00137B29">
        <w:rPr>
          <w:i/>
        </w:rPr>
        <w:t>) Regulations 2024</w:t>
      </w:r>
      <w:r w:rsidRPr="00137B29">
        <w:t xml:space="preserve">. </w:t>
      </w:r>
    </w:p>
    <w:p w14:paraId="430A349D" w14:textId="77777777" w:rsidR="006A4E21" w:rsidRPr="00137B29" w:rsidRDefault="006A4E21" w:rsidP="006A4E21">
      <w:pPr>
        <w:rPr>
          <w:u w:val="single"/>
        </w:rPr>
      </w:pPr>
      <w:r w:rsidRPr="00137B29">
        <w:rPr>
          <w:u w:val="single"/>
        </w:rPr>
        <w:t xml:space="preserve">Section 2 – Commencement </w:t>
      </w:r>
    </w:p>
    <w:p w14:paraId="799143AC" w14:textId="0A7B0941" w:rsidR="006A4E21" w:rsidRPr="00137B29" w:rsidRDefault="006A4E21" w:rsidP="006A4E21">
      <w:r w:rsidRPr="00137B29">
        <w:t>This section</w:t>
      </w:r>
      <w:r w:rsidR="00E94ECD" w:rsidRPr="00137B29">
        <w:t xml:space="preserve"> </w:t>
      </w:r>
      <w:r w:rsidRPr="00137B29">
        <w:t>provide</w:t>
      </w:r>
      <w:r w:rsidR="00E94ECD" w:rsidRPr="00137B29">
        <w:t>s</w:t>
      </w:r>
      <w:r w:rsidRPr="00137B29">
        <w:t xml:space="preserve"> that the Regulations commence on </w:t>
      </w:r>
      <w:r w:rsidR="00F5374A">
        <w:t>1 July 2024</w:t>
      </w:r>
      <w:r w:rsidRPr="00137B29">
        <w:t xml:space="preserve">. </w:t>
      </w:r>
    </w:p>
    <w:p w14:paraId="54DE191D" w14:textId="77777777" w:rsidR="006A4E21" w:rsidRPr="00137B29" w:rsidRDefault="006A4E21" w:rsidP="006A4E21">
      <w:r w:rsidRPr="00137B29">
        <w:rPr>
          <w:u w:val="single"/>
        </w:rPr>
        <w:t>Section 3 – Authority</w:t>
      </w:r>
    </w:p>
    <w:p w14:paraId="677662A5" w14:textId="1C9B1669" w:rsidR="006A4E21" w:rsidRPr="00137B29" w:rsidRDefault="006A4E21" w:rsidP="006A4E21">
      <w:r w:rsidRPr="00137B29">
        <w:t>This section provide</w:t>
      </w:r>
      <w:r w:rsidR="00E94ECD" w:rsidRPr="00137B29">
        <w:t>s</w:t>
      </w:r>
      <w:r w:rsidRPr="00137B29">
        <w:t xml:space="preserve"> that the instrument is made under the </w:t>
      </w:r>
      <w:r w:rsidRPr="00137B29">
        <w:rPr>
          <w:i/>
        </w:rPr>
        <w:t>Migration Act 1958</w:t>
      </w:r>
      <w:r w:rsidRPr="00137B29">
        <w:t xml:space="preserve">. </w:t>
      </w:r>
    </w:p>
    <w:p w14:paraId="43B35079" w14:textId="77777777" w:rsidR="006A4E21" w:rsidRPr="00137B29" w:rsidRDefault="006A4E21" w:rsidP="006A4E21">
      <w:r w:rsidRPr="00137B29">
        <w:rPr>
          <w:u w:val="single"/>
        </w:rPr>
        <w:t>Section 4 – Schedules</w:t>
      </w:r>
    </w:p>
    <w:p w14:paraId="51230773" w14:textId="3D929A98" w:rsidR="006A4E21" w:rsidRPr="00137B29" w:rsidRDefault="006A4E21" w:rsidP="006A4E21">
      <w:r w:rsidRPr="00137B29">
        <w:t>This section provide</w:t>
      </w:r>
      <w:r w:rsidR="00E94ECD" w:rsidRPr="00137B29">
        <w:t>s</w:t>
      </w:r>
      <w:r w:rsidRPr="00137B29">
        <w:t xml:space="preserve"> for how the amendments made by the Regulations operate. </w:t>
      </w:r>
      <w:r w:rsidR="00B21A6A" w:rsidRPr="00B21A6A">
        <w:t>In summary, Schedule 1 to the Regulations amends the Migration Regulations as set out in the Schedule</w:t>
      </w:r>
      <w:r w:rsidR="00B21A6A">
        <w:t>.</w:t>
      </w:r>
      <w:r w:rsidR="00B21A6A" w:rsidRPr="00B21A6A" w:rsidDel="00B21A6A">
        <w:t xml:space="preserve"> </w:t>
      </w:r>
    </w:p>
    <w:p w14:paraId="47E1AA48" w14:textId="77777777" w:rsidR="006A4E21" w:rsidRPr="00137B29" w:rsidRDefault="006A4E21" w:rsidP="006A4E21">
      <w:r w:rsidRPr="00137B29">
        <w:rPr>
          <w:b/>
          <w:u w:val="single"/>
        </w:rPr>
        <w:t>Schedule 1 – Amendments</w:t>
      </w:r>
    </w:p>
    <w:p w14:paraId="374E6E63" w14:textId="77777777" w:rsidR="006A4E21" w:rsidRPr="00137B29" w:rsidRDefault="006A4E21" w:rsidP="006A4E21">
      <w:r w:rsidRPr="00137B29">
        <w:rPr>
          <w:b/>
          <w:i/>
        </w:rPr>
        <w:t>Migration Regulations 1994</w:t>
      </w:r>
    </w:p>
    <w:p w14:paraId="69E8589C" w14:textId="77777777" w:rsidR="00504A81" w:rsidRDefault="00504A81" w:rsidP="00504A81">
      <w:pPr>
        <w:spacing w:after="240"/>
        <w:rPr>
          <w:b/>
        </w:rPr>
      </w:pPr>
      <w:r>
        <w:rPr>
          <w:b/>
        </w:rPr>
        <w:t xml:space="preserve">Item [1] – </w:t>
      </w:r>
      <w:proofErr w:type="spellStart"/>
      <w:r>
        <w:rPr>
          <w:b/>
        </w:rPr>
        <w:t>Subitem</w:t>
      </w:r>
      <w:proofErr w:type="spellEnd"/>
      <w:r>
        <w:rPr>
          <w:b/>
        </w:rPr>
        <w:t xml:space="preserve"> 1237(3) of Schedule 1 (table item 2)</w:t>
      </w:r>
    </w:p>
    <w:p w14:paraId="119C4E3D" w14:textId="3C418F16" w:rsidR="00504A81" w:rsidRDefault="00504A81" w:rsidP="00504A81">
      <w:pPr>
        <w:pStyle w:val="ListParagraph"/>
        <w:numPr>
          <w:ilvl w:val="0"/>
          <w:numId w:val="32"/>
        </w:numPr>
        <w:spacing w:before="0" w:after="240"/>
        <w:ind w:left="360"/>
      </w:pPr>
      <w:r>
        <w:t xml:space="preserve">This item repeals and substitutes table item 2 in </w:t>
      </w:r>
      <w:proofErr w:type="spellStart"/>
      <w:r>
        <w:t>subitem</w:t>
      </w:r>
      <w:proofErr w:type="spellEnd"/>
      <w:r>
        <w:t xml:space="preserve"> 1237</w:t>
      </w:r>
      <w:r w:rsidR="0007097D">
        <w:t>(3) of Schedule 1 to</w:t>
      </w:r>
      <w:r>
        <w:t xml:space="preserve"> the Migration Regulations. </w:t>
      </w:r>
    </w:p>
    <w:p w14:paraId="34722D6A" w14:textId="4F3B3E2D" w:rsidR="00504A81" w:rsidRDefault="00504A81" w:rsidP="00504A81">
      <w:pPr>
        <w:pStyle w:val="ListParagraph"/>
        <w:numPr>
          <w:ilvl w:val="0"/>
          <w:numId w:val="32"/>
        </w:numPr>
        <w:spacing w:before="0" w:after="240"/>
        <w:ind w:left="360"/>
      </w:pPr>
      <w:proofErr w:type="spellStart"/>
      <w:r>
        <w:t>Subitem</w:t>
      </w:r>
      <w:proofErr w:type="spellEnd"/>
      <w:r>
        <w:t xml:space="preserve"> 1237(3) of Schedule 1 </w:t>
      </w:r>
      <w:r w:rsidR="0007097D">
        <w:t>to</w:t>
      </w:r>
      <w:r>
        <w:t xml:space="preserve"> the Migration Regulations </w:t>
      </w:r>
      <w:r w:rsidR="008E003C">
        <w:t>provides</w:t>
      </w:r>
      <w:r>
        <w:t xml:space="preserve"> a range of additional requirements that must be met by an applicant for the Temporary Activity (Class GG) visa. </w:t>
      </w:r>
    </w:p>
    <w:p w14:paraId="1B44F847" w14:textId="55C6FDA2" w:rsidR="00504A81" w:rsidRDefault="00504A81" w:rsidP="00504A81">
      <w:pPr>
        <w:pStyle w:val="ListParagraph"/>
        <w:numPr>
          <w:ilvl w:val="0"/>
          <w:numId w:val="32"/>
        </w:numPr>
        <w:spacing w:before="0" w:after="240"/>
        <w:ind w:left="360"/>
      </w:pPr>
      <w:r>
        <w:t xml:space="preserve">Table item 2 in </w:t>
      </w:r>
      <w:proofErr w:type="spellStart"/>
      <w:r>
        <w:t>subitem</w:t>
      </w:r>
      <w:proofErr w:type="spellEnd"/>
      <w:r>
        <w:t xml:space="preserve"> 1237(3) </w:t>
      </w:r>
      <w:r w:rsidR="00DE7AA4">
        <w:t>currently</w:t>
      </w:r>
      <w:r>
        <w:t xml:space="preserve"> </w:t>
      </w:r>
      <w:r w:rsidR="00DE7AA4">
        <w:t xml:space="preserve">provides </w:t>
      </w:r>
      <w:r>
        <w:t xml:space="preserve">that an applicant for the Temporary Activity (Class GG) visa may be in or outside Australia, but not in immigration clearance. </w:t>
      </w:r>
    </w:p>
    <w:p w14:paraId="49EC9BFE" w14:textId="508D525E" w:rsidR="00DE7AA4" w:rsidRDefault="00DE7AA4" w:rsidP="00504A81">
      <w:pPr>
        <w:pStyle w:val="ListParagraph"/>
        <w:numPr>
          <w:ilvl w:val="0"/>
          <w:numId w:val="32"/>
        </w:numPr>
        <w:spacing w:before="0" w:after="240"/>
        <w:ind w:left="360"/>
      </w:pPr>
      <w:r>
        <w:t xml:space="preserve">This item repeals current table item 2 in </w:t>
      </w:r>
      <w:proofErr w:type="spellStart"/>
      <w:r>
        <w:t>subitem</w:t>
      </w:r>
      <w:proofErr w:type="spellEnd"/>
      <w:r>
        <w:t xml:space="preserve"> 1237(3) of Schedule 1 and substitutes the following:</w:t>
      </w:r>
    </w:p>
    <w:p w14:paraId="5455FBF7" w14:textId="77777777" w:rsidR="00DE7AA4" w:rsidRPr="00DE7AA4" w:rsidRDefault="00DE7AA4" w:rsidP="000C2611">
      <w:pPr>
        <w:pStyle w:val="ListParagraph"/>
        <w:spacing w:before="0" w:after="240"/>
        <w:contextualSpacing/>
        <w:rPr>
          <w:sz w:val="22"/>
          <w:szCs w:val="22"/>
        </w:rPr>
      </w:pPr>
      <w:r w:rsidRPr="00DE7AA4">
        <w:rPr>
          <w:sz w:val="22"/>
          <w:szCs w:val="22"/>
        </w:rPr>
        <w:t>An applicant:</w:t>
      </w:r>
    </w:p>
    <w:p w14:paraId="01B01FD5" w14:textId="14D02226" w:rsidR="00DE7AA4" w:rsidRPr="00DE7AA4" w:rsidRDefault="00DE7AA4" w:rsidP="000C2611">
      <w:pPr>
        <w:pStyle w:val="ListParagraph"/>
        <w:spacing w:before="0" w:after="240"/>
        <w:ind w:left="993" w:hanging="284"/>
        <w:contextualSpacing/>
        <w:rPr>
          <w:sz w:val="22"/>
          <w:szCs w:val="22"/>
        </w:rPr>
      </w:pPr>
      <w:r w:rsidRPr="00DE7AA4">
        <w:rPr>
          <w:sz w:val="22"/>
          <w:szCs w:val="22"/>
        </w:rPr>
        <w:t>(a</w:t>
      </w:r>
      <w:r w:rsidR="00415C6E" w:rsidRPr="00DE7AA4">
        <w:rPr>
          <w:sz w:val="22"/>
          <w:szCs w:val="22"/>
        </w:rPr>
        <w:t>)</w:t>
      </w:r>
      <w:r w:rsidR="00415C6E">
        <w:rPr>
          <w:sz w:val="22"/>
          <w:szCs w:val="22"/>
        </w:rPr>
        <w:tab/>
      </w:r>
      <w:proofErr w:type="gramStart"/>
      <w:r w:rsidRPr="00DE7AA4">
        <w:rPr>
          <w:sz w:val="22"/>
          <w:szCs w:val="22"/>
        </w:rPr>
        <w:t>if</w:t>
      </w:r>
      <w:proofErr w:type="gramEnd"/>
      <w:r w:rsidRPr="00DE7AA4">
        <w:rPr>
          <w:sz w:val="22"/>
          <w:szCs w:val="22"/>
        </w:rPr>
        <w:t xml:space="preserve"> </w:t>
      </w:r>
      <w:proofErr w:type="spellStart"/>
      <w:r w:rsidRPr="00DE7AA4">
        <w:rPr>
          <w:sz w:val="22"/>
          <w:szCs w:val="22"/>
        </w:rPr>
        <w:t>subitem</w:t>
      </w:r>
      <w:proofErr w:type="spellEnd"/>
      <w:r w:rsidRPr="00DE7AA4">
        <w:rPr>
          <w:sz w:val="22"/>
          <w:szCs w:val="22"/>
        </w:rPr>
        <w:t xml:space="preserve"> (5A) applies to the applicant—must be in Australia, but not in immigration clearance; or</w:t>
      </w:r>
    </w:p>
    <w:p w14:paraId="589DB6D7" w14:textId="0FBAC354" w:rsidR="00DE7AA4" w:rsidRPr="00DE7AA4" w:rsidRDefault="00DE7AA4" w:rsidP="000C2611">
      <w:pPr>
        <w:pStyle w:val="ListParagraph"/>
        <w:spacing w:before="0" w:after="240"/>
        <w:ind w:left="993" w:hanging="284"/>
        <w:rPr>
          <w:sz w:val="22"/>
          <w:szCs w:val="22"/>
        </w:rPr>
      </w:pPr>
      <w:r w:rsidRPr="00DE7AA4">
        <w:rPr>
          <w:sz w:val="22"/>
          <w:szCs w:val="22"/>
        </w:rPr>
        <w:t>(b</w:t>
      </w:r>
      <w:r w:rsidR="00415C6E" w:rsidRPr="00DE7AA4">
        <w:rPr>
          <w:sz w:val="22"/>
          <w:szCs w:val="22"/>
        </w:rPr>
        <w:t>)</w:t>
      </w:r>
      <w:r w:rsidR="00415C6E">
        <w:rPr>
          <w:sz w:val="22"/>
          <w:szCs w:val="22"/>
        </w:rPr>
        <w:tab/>
      </w:r>
      <w:proofErr w:type="gramStart"/>
      <w:r w:rsidRPr="00DE7AA4">
        <w:rPr>
          <w:sz w:val="22"/>
          <w:szCs w:val="22"/>
        </w:rPr>
        <w:t>otherwise—</w:t>
      </w:r>
      <w:proofErr w:type="gramEnd"/>
      <w:r w:rsidRPr="00DE7AA4">
        <w:rPr>
          <w:sz w:val="22"/>
          <w:szCs w:val="22"/>
        </w:rPr>
        <w:t>may be in or outside Australia, but not in immigration clearance.</w:t>
      </w:r>
    </w:p>
    <w:p w14:paraId="0138A168" w14:textId="709ECC54" w:rsidR="0007097D" w:rsidRDefault="00DE7AA4" w:rsidP="00504A81">
      <w:pPr>
        <w:pStyle w:val="ListParagraph"/>
        <w:numPr>
          <w:ilvl w:val="0"/>
          <w:numId w:val="32"/>
        </w:numPr>
        <w:spacing w:before="0" w:after="240"/>
        <w:ind w:left="360"/>
      </w:pPr>
      <w:r>
        <w:t xml:space="preserve">The reference to new </w:t>
      </w:r>
      <w:proofErr w:type="spellStart"/>
      <w:r>
        <w:t>subitem</w:t>
      </w:r>
      <w:proofErr w:type="spellEnd"/>
      <w:r>
        <w:t xml:space="preserve"> </w:t>
      </w:r>
      <w:r w:rsidR="00EE4111">
        <w:t>1237</w:t>
      </w:r>
      <w:r>
        <w:t xml:space="preserve">(5A) in new paragraph (a) of table item 2 in </w:t>
      </w:r>
      <w:proofErr w:type="spellStart"/>
      <w:r>
        <w:t>subitem</w:t>
      </w:r>
      <w:proofErr w:type="spellEnd"/>
      <w:r>
        <w:t xml:space="preserve"> 1237(3) of Schedule 1 is in effect a reference to an applicant for a workplace justice visa.</w:t>
      </w:r>
      <w:r w:rsidR="0007097D">
        <w:t xml:space="preserve"> As noted below, new </w:t>
      </w:r>
      <w:proofErr w:type="spellStart"/>
      <w:r w:rsidR="0007097D">
        <w:t>subitem</w:t>
      </w:r>
      <w:proofErr w:type="spellEnd"/>
      <w:r w:rsidR="0007097D">
        <w:t xml:space="preserve"> </w:t>
      </w:r>
      <w:r w:rsidR="00EE4111">
        <w:t>1237</w:t>
      </w:r>
      <w:r w:rsidR="0007097D">
        <w:t>(5A) refers to</w:t>
      </w:r>
      <w:r w:rsidR="00060FFA">
        <w:t xml:space="preserve"> an</w:t>
      </w:r>
      <w:r w:rsidR="0007097D">
        <w:t xml:space="preserve"> </w:t>
      </w:r>
      <w:r w:rsidR="00060FFA">
        <w:t xml:space="preserve">applicant </w:t>
      </w:r>
      <w:r w:rsidR="0007097D" w:rsidRPr="0007097D">
        <w:t>who is seeking to satisfy the criterion in clause 408.219A of Schedule 2 on the basis that clause 408.228A (workplace justice) of that Schedule applies to the applicant</w:t>
      </w:r>
      <w:r w:rsidR="00060FFA">
        <w:t>.</w:t>
      </w:r>
    </w:p>
    <w:p w14:paraId="6872CD31" w14:textId="2960441C" w:rsidR="00DE7AA4" w:rsidRDefault="00DE7AA4" w:rsidP="00504A81">
      <w:pPr>
        <w:pStyle w:val="ListParagraph"/>
        <w:numPr>
          <w:ilvl w:val="0"/>
          <w:numId w:val="32"/>
        </w:numPr>
        <w:spacing w:before="0" w:after="240"/>
        <w:ind w:left="360"/>
      </w:pPr>
      <w:r>
        <w:lastRenderedPageBreak/>
        <w:t xml:space="preserve">The effect of new paragraph (a) of table item 2 in </w:t>
      </w:r>
      <w:proofErr w:type="spellStart"/>
      <w:r>
        <w:t>subitem</w:t>
      </w:r>
      <w:proofErr w:type="spellEnd"/>
      <w:r>
        <w:t xml:space="preserve"> 1237(3) of Schedule 1 is that an applicant for a workplace justice visa must, at the time of applying for the visa, be in Australia and not in immigration clearance.</w:t>
      </w:r>
      <w:r w:rsidR="00B65F5D">
        <w:t xml:space="preserve"> However, as per the amendments to clause 408.511 described below, the applicant may be either inside or outside Australia at the time of visa grant.</w:t>
      </w:r>
    </w:p>
    <w:p w14:paraId="012BB074" w14:textId="143D1D16" w:rsidR="00DE7AA4" w:rsidRDefault="00D8387E" w:rsidP="00504A81">
      <w:pPr>
        <w:pStyle w:val="ListParagraph"/>
        <w:numPr>
          <w:ilvl w:val="0"/>
          <w:numId w:val="32"/>
        </w:numPr>
        <w:spacing w:before="0" w:after="240"/>
        <w:ind w:left="360"/>
      </w:pPr>
      <w:r>
        <w:t xml:space="preserve">Under new paragraph (b) of table item 2 in </w:t>
      </w:r>
      <w:proofErr w:type="spellStart"/>
      <w:r>
        <w:t>subitem</w:t>
      </w:r>
      <w:proofErr w:type="spellEnd"/>
      <w:r>
        <w:t xml:space="preserve"> 1237(3) of Schedule 1, it will continue to be the case that any applicant for a Temporary Activity (Class GG) visa other than an applicant for a workplace justice visa may be in or outside Australia (but not in immigration clearance) at the time of application for the visa.</w:t>
      </w:r>
    </w:p>
    <w:p w14:paraId="48A13323" w14:textId="2ECD1E43" w:rsidR="00A351E2" w:rsidRDefault="00A351E2" w:rsidP="00A351E2">
      <w:pPr>
        <w:spacing w:after="240"/>
        <w:rPr>
          <w:b/>
        </w:rPr>
      </w:pPr>
      <w:r>
        <w:rPr>
          <w:b/>
        </w:rPr>
        <w:t>Item [</w:t>
      </w:r>
      <w:r w:rsidR="008E003C">
        <w:rPr>
          <w:b/>
        </w:rPr>
        <w:t>2</w:t>
      </w:r>
      <w:r>
        <w:rPr>
          <w:b/>
        </w:rPr>
        <w:t xml:space="preserve">] – </w:t>
      </w:r>
      <w:proofErr w:type="spellStart"/>
      <w:r w:rsidRPr="00A351E2">
        <w:rPr>
          <w:b/>
        </w:rPr>
        <w:t>Subitem</w:t>
      </w:r>
      <w:proofErr w:type="spellEnd"/>
      <w:r w:rsidRPr="00A351E2">
        <w:rPr>
          <w:b/>
        </w:rPr>
        <w:t xml:space="preserve"> 1237(3) of Schedule 1 (paragraph (a) of table item 3)</w:t>
      </w:r>
    </w:p>
    <w:p w14:paraId="6936A603" w14:textId="0AE159BD" w:rsidR="00A351E2" w:rsidRDefault="00A351E2" w:rsidP="00504A81">
      <w:pPr>
        <w:pStyle w:val="ListParagraph"/>
        <w:numPr>
          <w:ilvl w:val="0"/>
          <w:numId w:val="32"/>
        </w:numPr>
        <w:spacing w:before="0" w:after="240"/>
        <w:ind w:left="360"/>
      </w:pPr>
      <w:r>
        <w:t xml:space="preserve">This item inserts a reference to the new workplace justice visa in paragraph (a) of table item 3 of </w:t>
      </w:r>
      <w:proofErr w:type="spellStart"/>
      <w:r>
        <w:t>subitem</w:t>
      </w:r>
      <w:proofErr w:type="spellEnd"/>
      <w:r>
        <w:t xml:space="preserve"> 1237(3) of Schedule 1 to the Migration Regulations.</w:t>
      </w:r>
    </w:p>
    <w:p w14:paraId="79B09F54" w14:textId="10C6AD46" w:rsidR="00A351E2" w:rsidRDefault="00A351E2" w:rsidP="00504A81">
      <w:pPr>
        <w:pStyle w:val="ListParagraph"/>
        <w:numPr>
          <w:ilvl w:val="0"/>
          <w:numId w:val="32"/>
        </w:numPr>
        <w:spacing w:before="0" w:after="240"/>
        <w:ind w:left="360"/>
      </w:pPr>
      <w:r>
        <w:t>The effect of this item is that an applicant for a workplace justice visa</w:t>
      </w:r>
      <w:r w:rsidR="00F25630">
        <w:t xml:space="preserve"> (i.e. an applicant </w:t>
      </w:r>
      <w:r w:rsidR="00F25630" w:rsidRPr="00F25630">
        <w:t>seeking to satisfy the criterion in clause </w:t>
      </w:r>
      <w:hyperlink r:id="rId7" w:history="1">
        <w:r w:rsidR="00F25630" w:rsidRPr="00F25630">
          <w:rPr>
            <w:rStyle w:val="Hyperlink"/>
          </w:rPr>
          <w:t>408.219A</w:t>
        </w:r>
      </w:hyperlink>
      <w:r w:rsidR="00F25630" w:rsidRPr="00F25630">
        <w:t> of Schedule 2 on the basis of</w:t>
      </w:r>
      <w:r w:rsidR="00F25630">
        <w:t xml:space="preserve"> new clause 408.228A)</w:t>
      </w:r>
      <w:r>
        <w:t xml:space="preserve"> will not be required to satisfy the sponsorship requirements of </w:t>
      </w:r>
      <w:proofErr w:type="spellStart"/>
      <w:r>
        <w:t>subitems</w:t>
      </w:r>
      <w:proofErr w:type="spellEnd"/>
      <w:r>
        <w:t xml:space="preserve"> (4) or (5) of item 1237 of Schedule 1</w:t>
      </w:r>
      <w:r w:rsidR="00CD421C">
        <w:t xml:space="preserve"> to the Migration Regulations</w:t>
      </w:r>
      <w:r>
        <w:t>.</w:t>
      </w:r>
    </w:p>
    <w:p w14:paraId="532B2030" w14:textId="0E0EC8FC" w:rsidR="00504A81" w:rsidRPr="00504A81" w:rsidRDefault="00504A81" w:rsidP="00504A81">
      <w:pPr>
        <w:spacing w:before="0" w:after="240"/>
        <w:rPr>
          <w:b/>
        </w:rPr>
      </w:pPr>
      <w:r w:rsidRPr="00504A81">
        <w:rPr>
          <w:b/>
        </w:rPr>
        <w:t>Item [</w:t>
      </w:r>
      <w:r w:rsidR="008E003C">
        <w:rPr>
          <w:b/>
        </w:rPr>
        <w:t>3</w:t>
      </w:r>
      <w:r w:rsidRPr="00504A81">
        <w:rPr>
          <w:b/>
        </w:rPr>
        <w:t xml:space="preserve">] – </w:t>
      </w:r>
      <w:proofErr w:type="spellStart"/>
      <w:r w:rsidRPr="00504A81">
        <w:rPr>
          <w:b/>
        </w:rPr>
        <w:t>Subitem</w:t>
      </w:r>
      <w:proofErr w:type="spellEnd"/>
      <w:r w:rsidRPr="00504A81">
        <w:rPr>
          <w:b/>
        </w:rPr>
        <w:t xml:space="preserve"> 1237(3) of Schedule 1 (after table item 3)</w:t>
      </w:r>
    </w:p>
    <w:p w14:paraId="387EACB3" w14:textId="4EC574F4" w:rsidR="00504A81" w:rsidRDefault="00504A81" w:rsidP="00504A81">
      <w:pPr>
        <w:pStyle w:val="ListParagraph"/>
        <w:numPr>
          <w:ilvl w:val="0"/>
          <w:numId w:val="32"/>
        </w:numPr>
        <w:spacing w:before="0" w:after="240"/>
        <w:ind w:left="360"/>
      </w:pPr>
      <w:r>
        <w:t>This item inserts new table item (3A) after</w:t>
      </w:r>
      <w:r w:rsidR="0007097D">
        <w:t xml:space="preserve"> table item 3 of</w:t>
      </w:r>
      <w:r>
        <w:t xml:space="preserve"> </w:t>
      </w:r>
      <w:proofErr w:type="spellStart"/>
      <w:r>
        <w:t>subitem</w:t>
      </w:r>
      <w:proofErr w:type="spellEnd"/>
      <w:r>
        <w:t xml:space="preserve"> 1237(3) of Schedule 1 </w:t>
      </w:r>
      <w:r w:rsidR="0007097D">
        <w:t>to</w:t>
      </w:r>
      <w:r>
        <w:t xml:space="preserve"> the Migration Regulations. </w:t>
      </w:r>
    </w:p>
    <w:p w14:paraId="6EB43201" w14:textId="68411A73" w:rsidR="00504A81" w:rsidRDefault="00504A81" w:rsidP="00504A81">
      <w:pPr>
        <w:pStyle w:val="ListParagraph"/>
        <w:numPr>
          <w:ilvl w:val="0"/>
          <w:numId w:val="32"/>
        </w:numPr>
        <w:spacing w:before="0" w:after="240"/>
        <w:ind w:left="360"/>
      </w:pPr>
      <w:proofErr w:type="spellStart"/>
      <w:r>
        <w:t>Subitem</w:t>
      </w:r>
      <w:proofErr w:type="spellEnd"/>
      <w:r>
        <w:t xml:space="preserve"> 1237(3) of Schedule 1 of the Migration Regulations </w:t>
      </w:r>
      <w:r w:rsidR="008E003C">
        <w:t>provides</w:t>
      </w:r>
      <w:r>
        <w:t xml:space="preserve"> a range of additional requirements that must be met by an applicant for the Temporary Activity (Class GG) visa. </w:t>
      </w:r>
    </w:p>
    <w:p w14:paraId="4561A616" w14:textId="724899CF" w:rsidR="00F17733" w:rsidRDefault="00504A81" w:rsidP="00504A81">
      <w:pPr>
        <w:pStyle w:val="ListParagraph"/>
        <w:numPr>
          <w:ilvl w:val="0"/>
          <w:numId w:val="32"/>
        </w:numPr>
        <w:spacing w:before="0" w:after="240"/>
        <w:ind w:left="360"/>
      </w:pPr>
      <w:r>
        <w:t>New table item (3A)</w:t>
      </w:r>
      <w:r w:rsidR="00F17733">
        <w:t xml:space="preserve"> of </w:t>
      </w:r>
      <w:proofErr w:type="spellStart"/>
      <w:r w:rsidR="00F17733">
        <w:t>subitem</w:t>
      </w:r>
      <w:proofErr w:type="spellEnd"/>
      <w:r w:rsidR="00F17733">
        <w:t xml:space="preserve"> 1237(3)</w:t>
      </w:r>
      <w:r>
        <w:t xml:space="preserve"> sets out </w:t>
      </w:r>
      <w:r w:rsidR="00F17733">
        <w:t xml:space="preserve">the Schedule 1 </w:t>
      </w:r>
      <w:r>
        <w:t>criteria that must be met by</w:t>
      </w:r>
      <w:r w:rsidR="00F17733">
        <w:t xml:space="preserve"> </w:t>
      </w:r>
      <w:r w:rsidR="00E117EA">
        <w:t xml:space="preserve">a </w:t>
      </w:r>
      <w:r w:rsidR="00F17733">
        <w:t>workplace justice visa applicant (referred to in new table item (3A) as</w:t>
      </w:r>
      <w:r>
        <w:t xml:space="preserve"> an applicant who is seeking to satisfy the criterion in clause 408.219A of Schedule 2 on the basis that new cla</w:t>
      </w:r>
      <w:r w:rsidR="00F17733">
        <w:t>use 408.228A (workplace justice) applies)</w:t>
      </w:r>
      <w:r>
        <w:t xml:space="preserve">. </w:t>
      </w:r>
    </w:p>
    <w:p w14:paraId="11EF4E8C" w14:textId="3E2E62AD" w:rsidR="00504A81" w:rsidRDefault="00F17733" w:rsidP="00504A81">
      <w:pPr>
        <w:pStyle w:val="ListParagraph"/>
        <w:numPr>
          <w:ilvl w:val="0"/>
          <w:numId w:val="32"/>
        </w:numPr>
        <w:spacing w:before="0" w:after="240"/>
        <w:ind w:left="360"/>
      </w:pPr>
      <w:r>
        <w:t xml:space="preserve">New table item (3A) of </w:t>
      </w:r>
      <w:proofErr w:type="spellStart"/>
      <w:r>
        <w:t>subitem</w:t>
      </w:r>
      <w:proofErr w:type="spellEnd"/>
      <w:r>
        <w:t xml:space="preserve"> 1237(3) of Schedule 1 prescribes the following Schedule 1 criteria for an applicant for a workplace justice visa</w:t>
      </w:r>
      <w:r w:rsidR="00504A81">
        <w:t xml:space="preserve">: </w:t>
      </w:r>
    </w:p>
    <w:p w14:paraId="5E797896" w14:textId="0AE437D9" w:rsidR="00282D42" w:rsidRDefault="00EE4111" w:rsidP="00282D42">
      <w:pPr>
        <w:pStyle w:val="ListParagraph"/>
        <w:numPr>
          <w:ilvl w:val="0"/>
          <w:numId w:val="35"/>
        </w:numPr>
        <w:spacing w:before="0" w:after="240" w:line="259" w:lineRule="auto"/>
      </w:pPr>
      <w:r>
        <w:t xml:space="preserve">a </w:t>
      </w:r>
      <w:r w:rsidR="00504A81">
        <w:t>certificate has been issued in relation to the applicant by a person</w:t>
      </w:r>
      <w:r w:rsidR="00DA2902">
        <w:t xml:space="preserve">, </w:t>
      </w:r>
      <w:r w:rsidR="00504A81">
        <w:t>body</w:t>
      </w:r>
      <w:r w:rsidR="00DA2902">
        <w:t xml:space="preserve"> or government entity</w:t>
      </w:r>
      <w:r w:rsidR="00504A81">
        <w:t xml:space="preserve"> determined in </w:t>
      </w:r>
      <w:r w:rsidR="00F17733">
        <w:t>an</w:t>
      </w:r>
      <w:r w:rsidR="00504A81">
        <w:t xml:space="preserve"> instrument made under new </w:t>
      </w:r>
      <w:proofErr w:type="spellStart"/>
      <w:r w:rsidR="00504A81">
        <w:t>subitem</w:t>
      </w:r>
      <w:proofErr w:type="spellEnd"/>
      <w:r w:rsidR="00504A81">
        <w:t xml:space="preserve"> (5B)</w:t>
      </w:r>
      <w:r w:rsidR="00F17733">
        <w:t xml:space="preserve"> of item 1237</w:t>
      </w:r>
      <w:r w:rsidR="00282D42">
        <w:t>;</w:t>
      </w:r>
    </w:p>
    <w:p w14:paraId="754A8896" w14:textId="44B422F5" w:rsidR="00282D42" w:rsidRDefault="00EE4111" w:rsidP="00282D42">
      <w:pPr>
        <w:pStyle w:val="ListParagraph"/>
        <w:numPr>
          <w:ilvl w:val="0"/>
          <w:numId w:val="35"/>
        </w:numPr>
        <w:spacing w:before="0" w:after="240" w:line="259" w:lineRule="auto"/>
      </w:pPr>
      <w:r>
        <w:t xml:space="preserve">the </w:t>
      </w:r>
      <w:r w:rsidR="00504A81">
        <w:t xml:space="preserve">certificate states a matter relating to workplace exploitation that is of a kind determined in the instrument made under </w:t>
      </w:r>
      <w:proofErr w:type="spellStart"/>
      <w:r w:rsidR="00504A81">
        <w:t>subitem</w:t>
      </w:r>
      <w:proofErr w:type="spellEnd"/>
      <w:r w:rsidR="00F17733">
        <w:t xml:space="preserve"> (5B) of item 1237</w:t>
      </w:r>
      <w:r w:rsidR="00504A81">
        <w:t xml:space="preserve"> applies in rel</w:t>
      </w:r>
      <w:r w:rsidR="00282D42">
        <w:t xml:space="preserve">ation to the applicant; </w:t>
      </w:r>
    </w:p>
    <w:p w14:paraId="0141A0F6" w14:textId="4DADDE8E" w:rsidR="00504A81" w:rsidRPr="007262D8" w:rsidRDefault="00EE4111" w:rsidP="00282D42">
      <w:pPr>
        <w:pStyle w:val="ListParagraph"/>
        <w:numPr>
          <w:ilvl w:val="0"/>
          <w:numId w:val="35"/>
        </w:numPr>
        <w:spacing w:before="0" w:after="240" w:line="259" w:lineRule="auto"/>
      </w:pPr>
      <w:proofErr w:type="gramStart"/>
      <w:r>
        <w:t>the</w:t>
      </w:r>
      <w:proofErr w:type="gramEnd"/>
      <w:r>
        <w:t xml:space="preserve"> </w:t>
      </w:r>
      <w:r w:rsidR="00504A81">
        <w:t xml:space="preserve">certificate has not been revoked or set aside. </w:t>
      </w:r>
    </w:p>
    <w:p w14:paraId="4257DCAF" w14:textId="62C7B929" w:rsidR="00282D42" w:rsidRDefault="00254D93" w:rsidP="00F858FB">
      <w:pPr>
        <w:pStyle w:val="ListParagraph"/>
        <w:numPr>
          <w:ilvl w:val="0"/>
          <w:numId w:val="32"/>
        </w:numPr>
        <w:spacing w:before="0" w:after="240"/>
        <w:ind w:left="360"/>
      </w:pPr>
      <w:r>
        <w:t xml:space="preserve">In relation to new paragraph (b) in table item (3A) of </w:t>
      </w:r>
      <w:proofErr w:type="spellStart"/>
      <w:r>
        <w:t>subitem</w:t>
      </w:r>
      <w:proofErr w:type="spellEnd"/>
      <w:r>
        <w:t xml:space="preserve"> 1237(3), the certificate must only state a matter relating to a kind of workplace exploitation determined in the </w:t>
      </w:r>
      <w:r w:rsidR="001E36F9">
        <w:t xml:space="preserve">legislative </w:t>
      </w:r>
      <w:r>
        <w:t>instrument</w:t>
      </w:r>
      <w:r w:rsidR="001E36F9">
        <w:t xml:space="preserve"> made by the Minister</w:t>
      </w:r>
      <w:r>
        <w:t xml:space="preserve">. The certificate will not meet the </w:t>
      </w:r>
      <w:r>
        <w:lastRenderedPageBreak/>
        <w:t xml:space="preserve">requirements of the provision where it refers to a kind of workplace exploitation that is not determined in the </w:t>
      </w:r>
      <w:r w:rsidR="001E36F9">
        <w:t xml:space="preserve">legislative </w:t>
      </w:r>
      <w:r>
        <w:t>instrument.</w:t>
      </w:r>
    </w:p>
    <w:p w14:paraId="431F8F92" w14:textId="0BE9FE96" w:rsidR="00F34805" w:rsidRDefault="00F858FB" w:rsidP="00F858FB">
      <w:pPr>
        <w:pStyle w:val="ListParagraph"/>
        <w:numPr>
          <w:ilvl w:val="0"/>
          <w:numId w:val="32"/>
        </w:numPr>
        <w:spacing w:before="0" w:after="240"/>
        <w:ind w:left="360"/>
      </w:pPr>
      <w:r>
        <w:t xml:space="preserve">Section 505 of the Migration Act </w:t>
      </w:r>
      <w:r w:rsidR="00EE4111">
        <w:t xml:space="preserve">relevantly </w:t>
      </w:r>
      <w:r>
        <w:t xml:space="preserve">provides </w:t>
      </w:r>
      <w:r w:rsidR="00F34805">
        <w:t>that:</w:t>
      </w:r>
    </w:p>
    <w:p w14:paraId="3AD3ABCA" w14:textId="70E0CE9B" w:rsidR="00F34805" w:rsidRPr="00F34805" w:rsidRDefault="00F34805" w:rsidP="00F34805">
      <w:pPr>
        <w:keepNext/>
        <w:keepLines/>
        <w:tabs>
          <w:tab w:val="right" w:pos="1021"/>
        </w:tabs>
        <w:spacing w:before="180"/>
        <w:ind w:left="1134" w:hanging="1134"/>
        <w:rPr>
          <w:rFonts w:eastAsia="Times New Roman"/>
          <w:sz w:val="22"/>
          <w:szCs w:val="20"/>
        </w:rPr>
      </w:pPr>
      <w:r>
        <w:rPr>
          <w:rFonts w:eastAsia="Times New Roman"/>
          <w:sz w:val="22"/>
          <w:szCs w:val="20"/>
        </w:rPr>
        <w:tab/>
      </w:r>
      <w:r>
        <w:rPr>
          <w:rFonts w:eastAsia="Times New Roman"/>
          <w:sz w:val="22"/>
          <w:szCs w:val="20"/>
        </w:rPr>
        <w:tab/>
      </w:r>
      <w:proofErr w:type="gramStart"/>
      <w:r w:rsidRPr="00F34805">
        <w:rPr>
          <w:rFonts w:eastAsia="Times New Roman"/>
          <w:sz w:val="22"/>
          <w:szCs w:val="20"/>
        </w:rPr>
        <w:t>regulations</w:t>
      </w:r>
      <w:proofErr w:type="gramEnd"/>
      <w:r w:rsidRPr="00F34805">
        <w:rPr>
          <w:rFonts w:eastAsia="Times New Roman"/>
          <w:sz w:val="22"/>
          <w:szCs w:val="20"/>
        </w:rPr>
        <w:t xml:space="preserve"> for the purpose of prescribing a criterion for visas of a class may provide that the Minister, when required to decide whether an applicant for a visa of the class satisfies the criterion:</w:t>
      </w:r>
    </w:p>
    <w:p w14:paraId="65724424" w14:textId="77777777" w:rsidR="00F34805" w:rsidRPr="00F34805" w:rsidRDefault="00F34805" w:rsidP="00F34805">
      <w:pPr>
        <w:tabs>
          <w:tab w:val="right" w:pos="1531"/>
        </w:tabs>
        <w:spacing w:before="40"/>
        <w:ind w:left="1644" w:hanging="1644"/>
        <w:rPr>
          <w:rFonts w:eastAsia="Times New Roman"/>
          <w:sz w:val="22"/>
          <w:szCs w:val="20"/>
        </w:rPr>
      </w:pPr>
      <w:r w:rsidRPr="00F34805">
        <w:rPr>
          <w:rFonts w:eastAsia="Times New Roman"/>
          <w:sz w:val="22"/>
          <w:szCs w:val="20"/>
        </w:rPr>
        <w:tab/>
        <w:t>(</w:t>
      </w:r>
      <w:proofErr w:type="gramStart"/>
      <w:r w:rsidRPr="00F34805">
        <w:rPr>
          <w:rFonts w:eastAsia="Times New Roman"/>
          <w:sz w:val="22"/>
          <w:szCs w:val="20"/>
        </w:rPr>
        <w:t>a</w:t>
      </w:r>
      <w:proofErr w:type="gramEnd"/>
      <w:r w:rsidRPr="00F34805">
        <w:rPr>
          <w:rFonts w:eastAsia="Times New Roman"/>
          <w:sz w:val="22"/>
          <w:szCs w:val="20"/>
        </w:rPr>
        <w:t>)</w:t>
      </w:r>
      <w:r w:rsidRPr="00F34805">
        <w:rPr>
          <w:rFonts w:eastAsia="Times New Roman"/>
          <w:sz w:val="22"/>
          <w:szCs w:val="20"/>
        </w:rPr>
        <w:tab/>
        <w:t>is to get a specified person or organisation, or a person or organisation in a specified class, to:</w:t>
      </w:r>
    </w:p>
    <w:p w14:paraId="6BACF829" w14:textId="77777777" w:rsidR="00F34805" w:rsidRPr="00F34805" w:rsidRDefault="00F34805" w:rsidP="00F34805">
      <w:pPr>
        <w:tabs>
          <w:tab w:val="right" w:pos="1985"/>
        </w:tabs>
        <w:spacing w:before="40"/>
        <w:ind w:left="2098" w:hanging="2098"/>
        <w:rPr>
          <w:rFonts w:eastAsia="Times New Roman"/>
          <w:sz w:val="22"/>
          <w:szCs w:val="20"/>
        </w:rPr>
      </w:pPr>
      <w:r w:rsidRPr="00F34805">
        <w:rPr>
          <w:rFonts w:eastAsia="Times New Roman"/>
          <w:sz w:val="22"/>
          <w:szCs w:val="20"/>
        </w:rPr>
        <w:tab/>
        <w:t>(</w:t>
      </w:r>
      <w:proofErr w:type="spellStart"/>
      <w:r w:rsidRPr="00F34805">
        <w:rPr>
          <w:rFonts w:eastAsia="Times New Roman"/>
          <w:sz w:val="22"/>
          <w:szCs w:val="20"/>
        </w:rPr>
        <w:t>i</w:t>
      </w:r>
      <w:proofErr w:type="spellEnd"/>
      <w:r w:rsidRPr="00F34805">
        <w:rPr>
          <w:rFonts w:eastAsia="Times New Roman"/>
          <w:sz w:val="22"/>
          <w:szCs w:val="20"/>
        </w:rPr>
        <w:t>)</w:t>
      </w:r>
      <w:r w:rsidRPr="00F34805">
        <w:rPr>
          <w:rFonts w:eastAsia="Times New Roman"/>
          <w:sz w:val="22"/>
          <w:szCs w:val="20"/>
        </w:rPr>
        <w:tab/>
      </w:r>
      <w:proofErr w:type="gramStart"/>
      <w:r w:rsidRPr="00F34805">
        <w:rPr>
          <w:rFonts w:eastAsia="Times New Roman"/>
          <w:sz w:val="22"/>
          <w:szCs w:val="20"/>
        </w:rPr>
        <w:t>give</w:t>
      </w:r>
      <w:proofErr w:type="gramEnd"/>
      <w:r w:rsidRPr="00F34805">
        <w:rPr>
          <w:rFonts w:eastAsia="Times New Roman"/>
          <w:sz w:val="22"/>
          <w:szCs w:val="20"/>
        </w:rPr>
        <w:t xml:space="preserve"> an opinion on a specified matter; or</w:t>
      </w:r>
    </w:p>
    <w:p w14:paraId="65B929FD" w14:textId="77777777" w:rsidR="00F34805" w:rsidRPr="00F34805" w:rsidRDefault="00F34805" w:rsidP="00F34805">
      <w:pPr>
        <w:tabs>
          <w:tab w:val="right" w:pos="1985"/>
        </w:tabs>
        <w:spacing w:before="40"/>
        <w:ind w:left="2098" w:hanging="2098"/>
        <w:rPr>
          <w:rFonts w:eastAsia="Times New Roman"/>
          <w:sz w:val="22"/>
          <w:szCs w:val="20"/>
        </w:rPr>
      </w:pPr>
      <w:r w:rsidRPr="00F34805">
        <w:rPr>
          <w:rFonts w:eastAsia="Times New Roman"/>
          <w:sz w:val="22"/>
          <w:szCs w:val="20"/>
        </w:rPr>
        <w:tab/>
        <w:t>(ii)</w:t>
      </w:r>
      <w:r w:rsidRPr="00F34805">
        <w:rPr>
          <w:rFonts w:eastAsia="Times New Roman"/>
          <w:sz w:val="22"/>
          <w:szCs w:val="20"/>
        </w:rPr>
        <w:tab/>
      </w:r>
      <w:proofErr w:type="gramStart"/>
      <w:r w:rsidRPr="00F34805">
        <w:rPr>
          <w:rFonts w:eastAsia="Times New Roman"/>
          <w:sz w:val="22"/>
          <w:szCs w:val="20"/>
        </w:rPr>
        <w:t>make</w:t>
      </w:r>
      <w:proofErr w:type="gramEnd"/>
      <w:r w:rsidRPr="00F34805">
        <w:rPr>
          <w:rFonts w:eastAsia="Times New Roman"/>
          <w:sz w:val="22"/>
          <w:szCs w:val="20"/>
        </w:rPr>
        <w:t xml:space="preserve"> an assessment of a specified matter; or</w:t>
      </w:r>
    </w:p>
    <w:p w14:paraId="0B8CBABC" w14:textId="77777777" w:rsidR="00F34805" w:rsidRPr="00F34805" w:rsidRDefault="00F34805" w:rsidP="00F34805">
      <w:pPr>
        <w:tabs>
          <w:tab w:val="right" w:pos="1985"/>
        </w:tabs>
        <w:spacing w:before="40"/>
        <w:ind w:left="2098" w:hanging="2098"/>
        <w:rPr>
          <w:rFonts w:eastAsia="Times New Roman"/>
          <w:sz w:val="22"/>
          <w:szCs w:val="20"/>
        </w:rPr>
      </w:pPr>
      <w:r w:rsidRPr="00F34805">
        <w:rPr>
          <w:rFonts w:eastAsia="Times New Roman"/>
          <w:sz w:val="22"/>
          <w:szCs w:val="20"/>
        </w:rPr>
        <w:tab/>
        <w:t>(iii)</w:t>
      </w:r>
      <w:r w:rsidRPr="00F34805">
        <w:rPr>
          <w:rFonts w:eastAsia="Times New Roman"/>
          <w:sz w:val="22"/>
          <w:szCs w:val="20"/>
        </w:rPr>
        <w:tab/>
      </w:r>
      <w:proofErr w:type="gramStart"/>
      <w:r w:rsidRPr="00F34805">
        <w:rPr>
          <w:rFonts w:eastAsia="Times New Roman"/>
          <w:sz w:val="22"/>
          <w:szCs w:val="20"/>
        </w:rPr>
        <w:t>make</w:t>
      </w:r>
      <w:proofErr w:type="gramEnd"/>
      <w:r w:rsidRPr="00F34805">
        <w:rPr>
          <w:rFonts w:eastAsia="Times New Roman"/>
          <w:sz w:val="22"/>
          <w:szCs w:val="20"/>
        </w:rPr>
        <w:t xml:space="preserve"> a finding about a specified matter; or</w:t>
      </w:r>
    </w:p>
    <w:p w14:paraId="30E48063" w14:textId="77777777" w:rsidR="00F34805" w:rsidRPr="00F34805" w:rsidRDefault="00F34805" w:rsidP="00F34805">
      <w:pPr>
        <w:tabs>
          <w:tab w:val="right" w:pos="1985"/>
        </w:tabs>
        <w:spacing w:before="40"/>
        <w:ind w:left="2098" w:hanging="2098"/>
        <w:rPr>
          <w:rFonts w:eastAsia="Times New Roman"/>
          <w:sz w:val="22"/>
          <w:szCs w:val="20"/>
        </w:rPr>
      </w:pPr>
      <w:r w:rsidRPr="00F34805">
        <w:rPr>
          <w:rFonts w:eastAsia="Times New Roman"/>
          <w:sz w:val="22"/>
          <w:szCs w:val="20"/>
        </w:rPr>
        <w:tab/>
        <w:t>(iv)</w:t>
      </w:r>
      <w:r w:rsidRPr="00F34805">
        <w:rPr>
          <w:rFonts w:eastAsia="Times New Roman"/>
          <w:sz w:val="22"/>
          <w:szCs w:val="20"/>
        </w:rPr>
        <w:tab/>
      </w:r>
      <w:proofErr w:type="gramStart"/>
      <w:r w:rsidRPr="00F34805">
        <w:rPr>
          <w:rFonts w:eastAsia="Times New Roman"/>
          <w:sz w:val="22"/>
          <w:szCs w:val="20"/>
        </w:rPr>
        <w:t>make</w:t>
      </w:r>
      <w:proofErr w:type="gramEnd"/>
      <w:r w:rsidRPr="00F34805">
        <w:rPr>
          <w:rFonts w:eastAsia="Times New Roman"/>
          <w:sz w:val="22"/>
          <w:szCs w:val="20"/>
        </w:rPr>
        <w:t xml:space="preserve"> a decision about a specified matter; and</w:t>
      </w:r>
    </w:p>
    <w:p w14:paraId="491E1162" w14:textId="77777777" w:rsidR="00F34805" w:rsidRPr="00F34805" w:rsidRDefault="00F34805" w:rsidP="00F34805">
      <w:pPr>
        <w:tabs>
          <w:tab w:val="right" w:pos="1531"/>
        </w:tabs>
        <w:spacing w:before="40"/>
        <w:ind w:left="1644" w:hanging="1644"/>
        <w:rPr>
          <w:rFonts w:eastAsia="Times New Roman"/>
          <w:sz w:val="22"/>
          <w:szCs w:val="20"/>
        </w:rPr>
      </w:pPr>
      <w:r w:rsidRPr="00F34805">
        <w:rPr>
          <w:rFonts w:eastAsia="Times New Roman"/>
          <w:sz w:val="22"/>
          <w:szCs w:val="20"/>
        </w:rPr>
        <w:tab/>
        <w:t>(b)</w:t>
      </w:r>
      <w:r w:rsidRPr="00F34805">
        <w:rPr>
          <w:rFonts w:eastAsia="Times New Roman"/>
          <w:sz w:val="22"/>
          <w:szCs w:val="20"/>
        </w:rPr>
        <w:tab/>
      </w:r>
      <w:proofErr w:type="gramStart"/>
      <w:r w:rsidRPr="00F34805">
        <w:rPr>
          <w:rFonts w:eastAsia="Times New Roman"/>
          <w:sz w:val="22"/>
          <w:szCs w:val="20"/>
        </w:rPr>
        <w:t>is</w:t>
      </w:r>
      <w:proofErr w:type="gramEnd"/>
      <w:r w:rsidRPr="00F34805">
        <w:rPr>
          <w:rFonts w:eastAsia="Times New Roman"/>
          <w:sz w:val="22"/>
          <w:szCs w:val="20"/>
        </w:rPr>
        <w:t>:</w:t>
      </w:r>
    </w:p>
    <w:p w14:paraId="218DB804" w14:textId="77777777" w:rsidR="00F34805" w:rsidRPr="00F34805" w:rsidRDefault="00F34805" w:rsidP="00F34805">
      <w:pPr>
        <w:tabs>
          <w:tab w:val="right" w:pos="1985"/>
        </w:tabs>
        <w:spacing w:before="40"/>
        <w:ind w:left="2098" w:hanging="2098"/>
        <w:rPr>
          <w:rFonts w:eastAsia="Times New Roman"/>
          <w:sz w:val="22"/>
          <w:szCs w:val="20"/>
        </w:rPr>
      </w:pPr>
      <w:r w:rsidRPr="00F34805">
        <w:rPr>
          <w:rFonts w:eastAsia="Times New Roman"/>
          <w:sz w:val="22"/>
          <w:szCs w:val="20"/>
        </w:rPr>
        <w:tab/>
        <w:t>(</w:t>
      </w:r>
      <w:proofErr w:type="spellStart"/>
      <w:r w:rsidRPr="00F34805">
        <w:rPr>
          <w:rFonts w:eastAsia="Times New Roman"/>
          <w:sz w:val="22"/>
          <w:szCs w:val="20"/>
        </w:rPr>
        <w:t>i</w:t>
      </w:r>
      <w:proofErr w:type="spellEnd"/>
      <w:r w:rsidRPr="00F34805">
        <w:rPr>
          <w:rFonts w:eastAsia="Times New Roman"/>
          <w:sz w:val="22"/>
          <w:szCs w:val="20"/>
        </w:rPr>
        <w:t>)</w:t>
      </w:r>
      <w:r w:rsidRPr="00F34805">
        <w:rPr>
          <w:rFonts w:eastAsia="Times New Roman"/>
          <w:sz w:val="22"/>
          <w:szCs w:val="20"/>
        </w:rPr>
        <w:tab/>
      </w:r>
      <w:proofErr w:type="gramStart"/>
      <w:r w:rsidRPr="00F34805">
        <w:rPr>
          <w:rFonts w:eastAsia="Times New Roman"/>
          <w:sz w:val="22"/>
          <w:szCs w:val="20"/>
        </w:rPr>
        <w:t>to</w:t>
      </w:r>
      <w:proofErr w:type="gramEnd"/>
      <w:r w:rsidRPr="00F34805">
        <w:rPr>
          <w:rFonts w:eastAsia="Times New Roman"/>
          <w:sz w:val="22"/>
          <w:szCs w:val="20"/>
        </w:rPr>
        <w:t xml:space="preserve"> have regard to that opinion, assessment, finding or decision in; or</w:t>
      </w:r>
    </w:p>
    <w:p w14:paraId="54D93C01" w14:textId="77777777" w:rsidR="00F34805" w:rsidRPr="00F34805" w:rsidRDefault="00F34805" w:rsidP="00F34805">
      <w:pPr>
        <w:tabs>
          <w:tab w:val="right" w:pos="1985"/>
        </w:tabs>
        <w:spacing w:before="40"/>
        <w:ind w:left="2098" w:hanging="2098"/>
        <w:rPr>
          <w:rFonts w:eastAsia="Times New Roman"/>
          <w:sz w:val="22"/>
          <w:szCs w:val="20"/>
        </w:rPr>
      </w:pPr>
      <w:r w:rsidRPr="00F34805">
        <w:rPr>
          <w:rFonts w:eastAsia="Times New Roman"/>
          <w:sz w:val="22"/>
          <w:szCs w:val="20"/>
        </w:rPr>
        <w:tab/>
        <w:t>(ii)</w:t>
      </w:r>
      <w:r w:rsidRPr="00F34805">
        <w:rPr>
          <w:rFonts w:eastAsia="Times New Roman"/>
          <w:sz w:val="22"/>
          <w:szCs w:val="20"/>
        </w:rPr>
        <w:tab/>
      </w:r>
      <w:proofErr w:type="gramStart"/>
      <w:r w:rsidRPr="00F34805">
        <w:rPr>
          <w:rFonts w:eastAsia="Times New Roman"/>
          <w:sz w:val="22"/>
          <w:szCs w:val="20"/>
        </w:rPr>
        <w:t>to</w:t>
      </w:r>
      <w:proofErr w:type="gramEnd"/>
      <w:r w:rsidRPr="00F34805">
        <w:rPr>
          <w:rFonts w:eastAsia="Times New Roman"/>
          <w:sz w:val="22"/>
          <w:szCs w:val="20"/>
        </w:rPr>
        <w:t xml:space="preserve"> take that opinion, assessment, finding or decision to be correct for the purposes of;</w:t>
      </w:r>
    </w:p>
    <w:p w14:paraId="062E08D6" w14:textId="2C09C823" w:rsidR="00F34805" w:rsidRDefault="00F34805" w:rsidP="00F34805">
      <w:pPr>
        <w:spacing w:before="0" w:after="240"/>
      </w:pPr>
      <w:r w:rsidRPr="00F34805">
        <w:rPr>
          <w:rFonts w:eastAsia="Calibri"/>
          <w:sz w:val="22"/>
          <w:szCs w:val="20"/>
          <w:lang w:eastAsia="en-US"/>
        </w:rPr>
        <w:tab/>
      </w:r>
      <w:r w:rsidRPr="00F34805">
        <w:rPr>
          <w:rFonts w:eastAsia="Calibri"/>
          <w:sz w:val="22"/>
          <w:szCs w:val="20"/>
          <w:lang w:eastAsia="en-US"/>
        </w:rPr>
        <w:tab/>
      </w:r>
      <w:proofErr w:type="gramStart"/>
      <w:r w:rsidRPr="00F34805">
        <w:rPr>
          <w:rFonts w:eastAsia="Calibri"/>
          <w:sz w:val="22"/>
          <w:szCs w:val="20"/>
          <w:lang w:eastAsia="en-US"/>
        </w:rPr>
        <w:t>deciding</w:t>
      </w:r>
      <w:proofErr w:type="gramEnd"/>
      <w:r w:rsidRPr="00F34805">
        <w:rPr>
          <w:rFonts w:eastAsia="Calibri"/>
          <w:sz w:val="22"/>
          <w:szCs w:val="20"/>
          <w:lang w:eastAsia="en-US"/>
        </w:rPr>
        <w:t xml:space="preserve"> whether the applicant satisfies the criterion</w:t>
      </w:r>
      <w:r>
        <w:rPr>
          <w:rFonts w:eastAsia="Calibri"/>
          <w:sz w:val="22"/>
          <w:szCs w:val="20"/>
          <w:lang w:eastAsia="en-US"/>
        </w:rPr>
        <w:t>.</w:t>
      </w:r>
    </w:p>
    <w:p w14:paraId="1FFB4A18" w14:textId="15222252" w:rsidR="00F858FB" w:rsidRDefault="00504A81" w:rsidP="00F858FB">
      <w:pPr>
        <w:pStyle w:val="ListParagraph"/>
        <w:numPr>
          <w:ilvl w:val="0"/>
          <w:numId w:val="32"/>
        </w:numPr>
        <w:spacing w:before="0" w:after="240"/>
        <w:ind w:left="360"/>
      </w:pPr>
      <w:r>
        <w:t xml:space="preserve">The </w:t>
      </w:r>
      <w:r w:rsidR="00F17733">
        <w:t>purpose of</w:t>
      </w:r>
      <w:r>
        <w:t xml:space="preserve"> new table item (3A)</w:t>
      </w:r>
      <w:r w:rsidR="004E0359">
        <w:t xml:space="preserve"> of </w:t>
      </w:r>
      <w:proofErr w:type="spellStart"/>
      <w:r w:rsidR="004E0359">
        <w:t>subitem</w:t>
      </w:r>
      <w:proofErr w:type="spellEnd"/>
      <w:r w:rsidR="004E0359">
        <w:t xml:space="preserve"> </w:t>
      </w:r>
      <w:r w:rsidR="00EE4111">
        <w:t>1237</w:t>
      </w:r>
      <w:r w:rsidR="004E0359">
        <w:t>(3)</w:t>
      </w:r>
      <w:r>
        <w:t xml:space="preserve"> is to require an applicant </w:t>
      </w:r>
      <w:r w:rsidR="00F17733">
        <w:t>for the workplace justice v</w:t>
      </w:r>
      <w:r>
        <w:t xml:space="preserve">isa to hold relevant certification by </w:t>
      </w:r>
      <w:r w:rsidR="001F3700">
        <w:t>a body or person determined in a legislative instrument</w:t>
      </w:r>
      <w:r>
        <w:t xml:space="preserve"> demonstrating</w:t>
      </w:r>
      <w:r w:rsidR="00F17733">
        <w:t xml:space="preserve"> there is</w:t>
      </w:r>
      <w:r>
        <w:t xml:space="preserve"> </w:t>
      </w:r>
      <w:r w:rsidRPr="00504A81">
        <w:rPr>
          <w:i/>
        </w:rPr>
        <w:t>prima facie</w:t>
      </w:r>
      <w:r>
        <w:t xml:space="preserve"> evidence</w:t>
      </w:r>
      <w:r w:rsidR="00F17733">
        <w:t xml:space="preserve"> that the applicant has been subjected to</w:t>
      </w:r>
      <w:r>
        <w:t xml:space="preserve"> workplace exploitation. The</w:t>
      </w:r>
      <w:r w:rsidR="00F34805">
        <w:t xml:space="preserve"> persons or bodies who can provide the certification, and the</w:t>
      </w:r>
      <w:r>
        <w:t xml:space="preserve"> kinds of workplace exp</w:t>
      </w:r>
      <w:r w:rsidR="00F34805">
        <w:t xml:space="preserve">loitation that will be relevant, </w:t>
      </w:r>
      <w:r w:rsidR="001F3700">
        <w:t>may</w:t>
      </w:r>
      <w:r>
        <w:t xml:space="preserve"> be </w:t>
      </w:r>
      <w:r w:rsidR="00F17733">
        <w:t>determined</w:t>
      </w:r>
      <w:r>
        <w:t xml:space="preserve"> in an instrument made under the power </w:t>
      </w:r>
      <w:r w:rsidR="00F34805">
        <w:t>in</w:t>
      </w:r>
      <w:r>
        <w:t xml:space="preserve"> new </w:t>
      </w:r>
      <w:proofErr w:type="spellStart"/>
      <w:r>
        <w:t>subitem</w:t>
      </w:r>
      <w:proofErr w:type="spellEnd"/>
      <w:r>
        <w:t xml:space="preserve"> </w:t>
      </w:r>
      <w:r w:rsidR="00EE4111">
        <w:t>1237</w:t>
      </w:r>
      <w:r>
        <w:t>(5B).</w:t>
      </w:r>
    </w:p>
    <w:p w14:paraId="49CC7DB3" w14:textId="24A0A2BE" w:rsidR="00504A81" w:rsidRPr="00504A81" w:rsidRDefault="009E7C52" w:rsidP="00F858FB">
      <w:pPr>
        <w:keepNext/>
        <w:spacing w:before="0" w:after="240"/>
        <w:rPr>
          <w:b/>
        </w:rPr>
      </w:pPr>
      <w:r>
        <w:rPr>
          <w:b/>
        </w:rPr>
        <w:t>Item [</w:t>
      </w:r>
      <w:r w:rsidR="008E003C">
        <w:rPr>
          <w:b/>
        </w:rPr>
        <w:t>4</w:t>
      </w:r>
      <w:r>
        <w:rPr>
          <w:b/>
        </w:rPr>
        <w:t xml:space="preserve">] – After </w:t>
      </w:r>
      <w:proofErr w:type="spellStart"/>
      <w:r>
        <w:rPr>
          <w:b/>
        </w:rPr>
        <w:t>s</w:t>
      </w:r>
      <w:r w:rsidR="00504A81" w:rsidRPr="00504A81">
        <w:rPr>
          <w:b/>
        </w:rPr>
        <w:t>ubitem</w:t>
      </w:r>
      <w:proofErr w:type="spellEnd"/>
      <w:r w:rsidR="00504A81" w:rsidRPr="00504A81">
        <w:rPr>
          <w:b/>
        </w:rPr>
        <w:t xml:space="preserve"> 1237(5) of Schedule 1</w:t>
      </w:r>
    </w:p>
    <w:p w14:paraId="44FF1797" w14:textId="6650C353" w:rsidR="00504A81" w:rsidRDefault="00504A81" w:rsidP="00504A81">
      <w:pPr>
        <w:pStyle w:val="ListParagraph"/>
        <w:numPr>
          <w:ilvl w:val="0"/>
          <w:numId w:val="32"/>
        </w:numPr>
        <w:spacing w:before="0" w:after="240"/>
        <w:ind w:left="360"/>
      </w:pPr>
      <w:r>
        <w:t xml:space="preserve">This item inserts new </w:t>
      </w:r>
      <w:proofErr w:type="spellStart"/>
      <w:r w:rsidR="009E7C52">
        <w:t>sub</w:t>
      </w:r>
      <w:r>
        <w:t>items</w:t>
      </w:r>
      <w:proofErr w:type="spellEnd"/>
      <w:r>
        <w:t xml:space="preserve"> </w:t>
      </w:r>
      <w:r w:rsidR="00EE4111">
        <w:t>1237</w:t>
      </w:r>
      <w:r>
        <w:t xml:space="preserve">(5A) and (5B) after </w:t>
      </w:r>
      <w:proofErr w:type="spellStart"/>
      <w:r>
        <w:t>subitem</w:t>
      </w:r>
      <w:proofErr w:type="spellEnd"/>
      <w:r>
        <w:t xml:space="preserve"> 1237(5) in Schedule 1 of the Migration Regulations. </w:t>
      </w:r>
    </w:p>
    <w:p w14:paraId="5AD4BA08" w14:textId="598B5E02" w:rsidR="007D7D30" w:rsidRDefault="00504A81" w:rsidP="00504A81">
      <w:pPr>
        <w:pStyle w:val="ListParagraph"/>
        <w:numPr>
          <w:ilvl w:val="0"/>
          <w:numId w:val="32"/>
        </w:numPr>
        <w:spacing w:before="0" w:after="240"/>
        <w:ind w:left="360"/>
      </w:pPr>
      <w:r>
        <w:t xml:space="preserve">New </w:t>
      </w:r>
      <w:proofErr w:type="spellStart"/>
      <w:r w:rsidR="009E7C52">
        <w:t>sub</w:t>
      </w:r>
      <w:r>
        <w:t>item</w:t>
      </w:r>
      <w:proofErr w:type="spellEnd"/>
      <w:r>
        <w:t xml:space="preserve"> </w:t>
      </w:r>
      <w:r w:rsidR="00EE4111">
        <w:t>1237</w:t>
      </w:r>
      <w:r>
        <w:t xml:space="preserve">(5A) </w:t>
      </w:r>
      <w:r w:rsidR="007D7D30">
        <w:t>prescribes</w:t>
      </w:r>
      <w:r>
        <w:t xml:space="preserve"> th</w:t>
      </w:r>
      <w:r w:rsidR="009E7C52">
        <w:t xml:space="preserve">e classes of applicants </w:t>
      </w:r>
      <w:r w:rsidR="007D7D30">
        <w:t xml:space="preserve">for </w:t>
      </w:r>
      <w:r>
        <w:t xml:space="preserve">new table item 2 in </w:t>
      </w:r>
      <w:proofErr w:type="spellStart"/>
      <w:r>
        <w:t>subitem</w:t>
      </w:r>
      <w:proofErr w:type="spellEnd"/>
      <w:r>
        <w:t xml:space="preserve"> 1237(3) of Schedule</w:t>
      </w:r>
      <w:r w:rsidR="007D7D30">
        <w:t xml:space="preserve"> 1 of the Migration Regulations. As described above, this in effect prescribes the classes of applicants for the Temporary Activity (Class GG) visa who must be in Australia (</w:t>
      </w:r>
      <w:r w:rsidR="007D7D30" w:rsidRPr="007D7D30">
        <w:t>but not in immigration clearance</w:t>
      </w:r>
      <w:r w:rsidR="007D7D30">
        <w:t>) at the time of application for the visa.</w:t>
      </w:r>
    </w:p>
    <w:p w14:paraId="0938D459" w14:textId="52A251BC" w:rsidR="00504A81" w:rsidRDefault="007D7D30" w:rsidP="007D7D30">
      <w:pPr>
        <w:pStyle w:val="ListParagraph"/>
        <w:numPr>
          <w:ilvl w:val="0"/>
          <w:numId w:val="32"/>
        </w:numPr>
        <w:spacing w:before="0" w:after="240"/>
        <w:ind w:left="360"/>
      </w:pPr>
      <w:r>
        <w:t xml:space="preserve">Under new </w:t>
      </w:r>
      <w:proofErr w:type="spellStart"/>
      <w:r>
        <w:t>subitem</w:t>
      </w:r>
      <w:proofErr w:type="spellEnd"/>
      <w:r>
        <w:t xml:space="preserve"> </w:t>
      </w:r>
      <w:r w:rsidR="00EE4111">
        <w:t>1237</w:t>
      </w:r>
      <w:r>
        <w:t xml:space="preserve">(5A), this requirement will apply to </w:t>
      </w:r>
      <w:r w:rsidR="00504A81">
        <w:t>the following applicants:</w:t>
      </w:r>
    </w:p>
    <w:p w14:paraId="643721A9" w14:textId="58C4DF9F" w:rsidR="00504A81" w:rsidRDefault="007D7D30" w:rsidP="007D7D30">
      <w:pPr>
        <w:pStyle w:val="ListParagraph"/>
        <w:numPr>
          <w:ilvl w:val="0"/>
          <w:numId w:val="34"/>
        </w:numPr>
        <w:spacing w:before="0" w:after="240" w:line="259" w:lineRule="auto"/>
      </w:pPr>
      <w:r>
        <w:t xml:space="preserve">Under new paragraph (a) – </w:t>
      </w:r>
      <w:r w:rsidR="00504A81">
        <w:t>A primary applicant</w:t>
      </w:r>
      <w:r>
        <w:t xml:space="preserve"> for a workplace justice visa (referred to as an applicant</w:t>
      </w:r>
      <w:r w:rsidR="00504A81">
        <w:t xml:space="preserve"> who is seeking to the criterion in clause 408.219A of Schedule 2 on the basis that clause 408.228A (workplace justice) of that Schedules applies</w:t>
      </w:r>
      <w:r>
        <w:t>)</w:t>
      </w:r>
      <w:r w:rsidR="00504A81">
        <w:t>; or</w:t>
      </w:r>
    </w:p>
    <w:p w14:paraId="32134D9A" w14:textId="21C012AB" w:rsidR="00504A81" w:rsidRPr="00512168" w:rsidRDefault="007D7D30" w:rsidP="007D7D30">
      <w:pPr>
        <w:pStyle w:val="ListParagraph"/>
        <w:numPr>
          <w:ilvl w:val="0"/>
          <w:numId w:val="34"/>
        </w:numPr>
        <w:spacing w:before="0" w:after="240" w:line="259" w:lineRule="auto"/>
      </w:pPr>
      <w:r>
        <w:t xml:space="preserve">Under new paragraph (b) – </w:t>
      </w:r>
      <w:r w:rsidR="00504A81">
        <w:t xml:space="preserve">An applicant who claims to be a family member of the family unit of the primary applicant. </w:t>
      </w:r>
    </w:p>
    <w:p w14:paraId="1D13E31A" w14:textId="38267F6D" w:rsidR="00392892" w:rsidRDefault="00504A81" w:rsidP="001E36F9">
      <w:pPr>
        <w:pStyle w:val="ListParagraph"/>
        <w:keepNext/>
        <w:numPr>
          <w:ilvl w:val="0"/>
          <w:numId w:val="32"/>
        </w:numPr>
        <w:spacing w:before="0" w:after="240"/>
        <w:ind w:left="357" w:hanging="357"/>
      </w:pPr>
      <w:r w:rsidRPr="00447322">
        <w:lastRenderedPageBreak/>
        <w:t xml:space="preserve">New </w:t>
      </w:r>
      <w:proofErr w:type="spellStart"/>
      <w:r w:rsidR="009E7C52">
        <w:t>sub</w:t>
      </w:r>
      <w:r w:rsidRPr="00447322">
        <w:t>item</w:t>
      </w:r>
      <w:proofErr w:type="spellEnd"/>
      <w:r w:rsidRPr="00447322">
        <w:t xml:space="preserve"> </w:t>
      </w:r>
      <w:r w:rsidR="00EE4111">
        <w:t>1237</w:t>
      </w:r>
      <w:r w:rsidRPr="00447322">
        <w:t xml:space="preserve">(5B) </w:t>
      </w:r>
      <w:r w:rsidR="00392892">
        <w:t>provides that</w:t>
      </w:r>
      <w:r w:rsidRPr="00447322">
        <w:t xml:space="preserve"> the Minister</w:t>
      </w:r>
      <w:r w:rsidR="00B93614">
        <w:t xml:space="preserve"> may make a legislative instrument</w:t>
      </w:r>
      <w:r w:rsidRPr="00447322">
        <w:t xml:space="preserve"> to determine</w:t>
      </w:r>
      <w:r w:rsidR="00392892">
        <w:t>:</w:t>
      </w:r>
    </w:p>
    <w:p w14:paraId="5D7A9893" w14:textId="77777777" w:rsidR="00392892" w:rsidRDefault="00392892" w:rsidP="00392892">
      <w:pPr>
        <w:pStyle w:val="paragraph"/>
        <w:rPr>
          <w:szCs w:val="20"/>
        </w:rPr>
      </w:pPr>
      <w:r>
        <w:tab/>
        <w:t>(a)</w:t>
      </w:r>
      <w:r>
        <w:tab/>
      </w:r>
      <w:proofErr w:type="gramStart"/>
      <w:r>
        <w:t>a</w:t>
      </w:r>
      <w:proofErr w:type="gramEnd"/>
      <w:r>
        <w:t xml:space="preserve"> person or body for the purposes of paragraph (a) of item 3A of the table in </w:t>
      </w:r>
      <w:proofErr w:type="spellStart"/>
      <w:r>
        <w:t>subitem</w:t>
      </w:r>
      <w:proofErr w:type="spellEnd"/>
      <w:r>
        <w:t xml:space="preserve"> (3);</w:t>
      </w:r>
    </w:p>
    <w:p w14:paraId="2994D46E" w14:textId="3E5EC073" w:rsidR="00504A81" w:rsidRPr="00447322" w:rsidRDefault="00392892" w:rsidP="00392892">
      <w:pPr>
        <w:pStyle w:val="paragraph"/>
        <w:spacing w:after="240"/>
      </w:pPr>
      <w:r>
        <w:tab/>
        <w:t>(b)</w:t>
      </w:r>
      <w:r>
        <w:tab/>
      </w:r>
      <w:proofErr w:type="gramStart"/>
      <w:r>
        <w:t>a</w:t>
      </w:r>
      <w:proofErr w:type="gramEnd"/>
      <w:r>
        <w:t xml:space="preserve"> kind of matter relating to workplace exploitation for the purposes of paragraph (b) of item 3A of the table in </w:t>
      </w:r>
      <w:proofErr w:type="spellStart"/>
      <w:r>
        <w:t>subitem</w:t>
      </w:r>
      <w:proofErr w:type="spellEnd"/>
      <w:r>
        <w:t xml:space="preserve"> (3).</w:t>
      </w:r>
      <w:r w:rsidR="00504A81" w:rsidRPr="00447322">
        <w:t xml:space="preserve"> </w:t>
      </w:r>
    </w:p>
    <w:p w14:paraId="4DA63E60" w14:textId="6CF55BC9" w:rsidR="00504A81" w:rsidRDefault="00EE4111" w:rsidP="00504A81">
      <w:pPr>
        <w:pStyle w:val="ListParagraph"/>
        <w:numPr>
          <w:ilvl w:val="0"/>
          <w:numId w:val="32"/>
        </w:numPr>
        <w:spacing w:before="0" w:after="240"/>
        <w:ind w:left="360"/>
      </w:pPr>
      <w:r>
        <w:t>P</w:t>
      </w:r>
      <w:r w:rsidR="00B93614">
        <w:t xml:space="preserve">aragraph (a) of new </w:t>
      </w:r>
      <w:proofErr w:type="spellStart"/>
      <w:r w:rsidR="00B93614">
        <w:t>sub</w:t>
      </w:r>
      <w:r w:rsidR="00B93614" w:rsidRPr="00447322">
        <w:t>item</w:t>
      </w:r>
      <w:proofErr w:type="spellEnd"/>
      <w:r w:rsidR="00B93614" w:rsidRPr="00447322">
        <w:t xml:space="preserve"> </w:t>
      </w:r>
      <w:r>
        <w:t>1237</w:t>
      </w:r>
      <w:r w:rsidR="00B93614" w:rsidRPr="00447322">
        <w:t>(5B)</w:t>
      </w:r>
      <w:r w:rsidR="00B93614">
        <w:t xml:space="preserve"> provides that the legislative instrument may determine a person</w:t>
      </w:r>
      <w:r w:rsidR="00DA2902">
        <w:t>,</w:t>
      </w:r>
      <w:r w:rsidR="00B93614">
        <w:t xml:space="preserve"> body</w:t>
      </w:r>
      <w:r w:rsidR="00DA2902">
        <w:t xml:space="preserve"> or government entity</w:t>
      </w:r>
      <w:r w:rsidR="00B93614">
        <w:t xml:space="preserve"> </w:t>
      </w:r>
      <w:r w:rsidR="00B93614" w:rsidRPr="00B93614">
        <w:t xml:space="preserve">for the purposes of paragraph (a) of </w:t>
      </w:r>
      <w:r w:rsidR="00DE42A4">
        <w:t xml:space="preserve">table </w:t>
      </w:r>
      <w:r w:rsidR="00B93614" w:rsidRPr="00B93614">
        <w:t xml:space="preserve">item 3A in </w:t>
      </w:r>
      <w:proofErr w:type="spellStart"/>
      <w:r w:rsidR="00B93614" w:rsidRPr="00B93614">
        <w:t>subitem</w:t>
      </w:r>
      <w:proofErr w:type="spellEnd"/>
      <w:r w:rsidR="00B93614" w:rsidRPr="00B93614">
        <w:t xml:space="preserve"> (3)</w:t>
      </w:r>
      <w:r w:rsidR="00504A81" w:rsidRPr="00447322">
        <w:t>.</w:t>
      </w:r>
      <w:r w:rsidR="00B93614">
        <w:t xml:space="preserve"> As noted above, that provision </w:t>
      </w:r>
      <w:r w:rsidR="00F96CB7">
        <w:t xml:space="preserve">prescribes </w:t>
      </w:r>
      <w:r w:rsidR="008E003C">
        <w:t>a criterion</w:t>
      </w:r>
      <w:r w:rsidR="00F96CB7">
        <w:t xml:space="preserve"> for a workplace justice visa applicant that </w:t>
      </w:r>
      <w:r w:rsidR="00F96CB7" w:rsidRPr="00F96CB7">
        <w:t xml:space="preserve">a certificate has been issued in relation to the applicant by a person or body determined in the instrument made under </w:t>
      </w:r>
      <w:proofErr w:type="spellStart"/>
      <w:r w:rsidR="00F96CB7" w:rsidRPr="00F96CB7">
        <w:t>subitem</w:t>
      </w:r>
      <w:proofErr w:type="spellEnd"/>
      <w:r w:rsidR="00F96CB7" w:rsidRPr="00F96CB7">
        <w:t xml:space="preserve"> (5B)</w:t>
      </w:r>
      <w:r w:rsidR="00F96CB7">
        <w:t>.</w:t>
      </w:r>
    </w:p>
    <w:p w14:paraId="78E4F025" w14:textId="09A4E286" w:rsidR="00282D42" w:rsidRDefault="00EE4111" w:rsidP="00282D42">
      <w:pPr>
        <w:pStyle w:val="ListParagraph"/>
        <w:numPr>
          <w:ilvl w:val="0"/>
          <w:numId w:val="32"/>
        </w:numPr>
        <w:spacing w:before="0" w:after="240"/>
        <w:ind w:left="360"/>
      </w:pPr>
      <w:r>
        <w:t>P</w:t>
      </w:r>
      <w:r w:rsidR="00DE42A4">
        <w:t>aragraph (</w:t>
      </w:r>
      <w:r w:rsidR="00282D42">
        <w:t>b</w:t>
      </w:r>
      <w:r w:rsidR="00DE42A4">
        <w:t xml:space="preserve">) of new </w:t>
      </w:r>
      <w:proofErr w:type="spellStart"/>
      <w:r w:rsidR="00DE42A4">
        <w:t>sub</w:t>
      </w:r>
      <w:r w:rsidR="00DE42A4" w:rsidRPr="00447322">
        <w:t>item</w:t>
      </w:r>
      <w:proofErr w:type="spellEnd"/>
      <w:r w:rsidR="00DE42A4" w:rsidRPr="00447322">
        <w:t xml:space="preserve"> </w:t>
      </w:r>
      <w:r w:rsidR="002A577A">
        <w:t>1237</w:t>
      </w:r>
      <w:r w:rsidR="00DE42A4" w:rsidRPr="00447322">
        <w:t>(5B)</w:t>
      </w:r>
      <w:r w:rsidR="00DE42A4">
        <w:t xml:space="preserve"> provides that the legislative instrument may determine a kind of matter relating to workplace exploitation for the purposes of paragraph (b) of table item 3A in </w:t>
      </w:r>
      <w:proofErr w:type="spellStart"/>
      <w:r w:rsidR="00DE42A4">
        <w:t>subitem</w:t>
      </w:r>
      <w:proofErr w:type="spellEnd"/>
      <w:r w:rsidR="00DE42A4">
        <w:t xml:space="preserve"> </w:t>
      </w:r>
      <w:r w:rsidR="002A577A">
        <w:t>1237</w:t>
      </w:r>
      <w:r w:rsidR="00DE42A4">
        <w:t xml:space="preserve">(3). As noted above, that provision prescribes </w:t>
      </w:r>
      <w:r w:rsidR="008E003C">
        <w:t>a criterion</w:t>
      </w:r>
      <w:r w:rsidR="00DE42A4">
        <w:t xml:space="preserve"> for a workplace justice visa applicant that </w:t>
      </w:r>
      <w:r w:rsidR="00282D42">
        <w:t>the</w:t>
      </w:r>
      <w:r w:rsidR="00DE42A4" w:rsidRPr="00DE42A4">
        <w:t xml:space="preserve"> </w:t>
      </w:r>
      <w:r w:rsidR="00282D42">
        <w:t xml:space="preserve">required </w:t>
      </w:r>
      <w:r w:rsidR="00DE42A4" w:rsidRPr="00DE42A4">
        <w:t>certificate</w:t>
      </w:r>
      <w:r w:rsidR="00282D42">
        <w:t xml:space="preserve"> states </w:t>
      </w:r>
      <w:r w:rsidR="00DE42A4" w:rsidRPr="00DE42A4">
        <w:t>that a matter relating to workplace exploitation determined in the instrument applies in relation to the applicant</w:t>
      </w:r>
      <w:r w:rsidR="00282D42">
        <w:t>.</w:t>
      </w:r>
    </w:p>
    <w:p w14:paraId="5FBB69AF" w14:textId="4834894E" w:rsidR="00832EC4" w:rsidRDefault="00832EC4">
      <w:pPr>
        <w:pStyle w:val="ListParagraph"/>
        <w:numPr>
          <w:ilvl w:val="0"/>
          <w:numId w:val="32"/>
        </w:numPr>
        <w:spacing w:before="0" w:after="240"/>
        <w:ind w:left="360"/>
      </w:pPr>
      <w:r>
        <w:t>The legislative i</w:t>
      </w:r>
      <w:r w:rsidRPr="00832EC4">
        <w:t xml:space="preserve">nstrument is exempt from disallowance under section 42 of the </w:t>
      </w:r>
      <w:r w:rsidRPr="00913F1E">
        <w:rPr>
          <w:i/>
        </w:rPr>
        <w:t>Legislation Act 2003</w:t>
      </w:r>
      <w:r>
        <w:t xml:space="preserve"> (Legislation Act)</w:t>
      </w:r>
      <w:r w:rsidRPr="00832EC4">
        <w:t xml:space="preserve">. This is because a legislative instrument made under </w:t>
      </w:r>
      <w:r>
        <w:t>Schedule 1 to</w:t>
      </w:r>
      <w:r w:rsidRPr="00832EC4">
        <w:t xml:space="preserve"> the Migration Regulations is prescribed under section 10, item 20(b) of the </w:t>
      </w:r>
      <w:r w:rsidRPr="00832EC4">
        <w:rPr>
          <w:i/>
          <w:iCs/>
        </w:rPr>
        <w:t>Legislation (Exemptions and Other Matters) Regulation 2015</w:t>
      </w:r>
      <w:r w:rsidRPr="00832EC4">
        <w:t> as an instrument not subject to disallowance</w:t>
      </w:r>
      <w:r>
        <w:t>.</w:t>
      </w:r>
    </w:p>
    <w:p w14:paraId="301665E0" w14:textId="1592DEA3" w:rsidR="00657C63" w:rsidRDefault="00657C63" w:rsidP="00282D42">
      <w:pPr>
        <w:pStyle w:val="ListParagraph"/>
        <w:numPr>
          <w:ilvl w:val="0"/>
          <w:numId w:val="32"/>
        </w:numPr>
        <w:spacing w:before="0" w:after="240"/>
        <w:ind w:left="360"/>
      </w:pPr>
      <w:r>
        <w:t xml:space="preserve">The effect of new </w:t>
      </w:r>
      <w:proofErr w:type="spellStart"/>
      <w:r>
        <w:t>sub</w:t>
      </w:r>
      <w:r w:rsidRPr="00447322">
        <w:t>item</w:t>
      </w:r>
      <w:proofErr w:type="spellEnd"/>
      <w:r w:rsidRPr="00447322">
        <w:t xml:space="preserve"> </w:t>
      </w:r>
      <w:r w:rsidR="002A577A">
        <w:t>1237</w:t>
      </w:r>
      <w:r w:rsidRPr="00447322">
        <w:t xml:space="preserve">(5B) </w:t>
      </w:r>
      <w:r>
        <w:t xml:space="preserve">in conjunction with new table item 3A in </w:t>
      </w:r>
      <w:proofErr w:type="spellStart"/>
      <w:r>
        <w:t>subitem</w:t>
      </w:r>
      <w:proofErr w:type="spellEnd"/>
      <w:r>
        <w:t xml:space="preserve"> </w:t>
      </w:r>
      <w:r w:rsidR="002A577A">
        <w:t>1237</w:t>
      </w:r>
      <w:r>
        <w:t>(3) is that only a certificate that:</w:t>
      </w:r>
    </w:p>
    <w:p w14:paraId="78BE6940" w14:textId="77777777" w:rsidR="00657C63" w:rsidRDefault="00657C63" w:rsidP="00657C63">
      <w:pPr>
        <w:pStyle w:val="ListParagraph"/>
        <w:numPr>
          <w:ilvl w:val="0"/>
          <w:numId w:val="36"/>
        </w:numPr>
        <w:spacing w:before="0" w:after="240"/>
      </w:pPr>
      <w:r>
        <w:t>is issued by a person or body determined in the legislative instrument; and</w:t>
      </w:r>
    </w:p>
    <w:p w14:paraId="32E108E1" w14:textId="77777777" w:rsidR="00657C63" w:rsidRDefault="00657C63" w:rsidP="00657C63">
      <w:pPr>
        <w:pStyle w:val="ListParagraph"/>
        <w:numPr>
          <w:ilvl w:val="0"/>
          <w:numId w:val="36"/>
        </w:numPr>
        <w:spacing w:before="0" w:after="240"/>
      </w:pPr>
      <w:r>
        <w:t>relates to kind of workplace exploitation determined in the legislative instrument</w:t>
      </w:r>
    </w:p>
    <w:p w14:paraId="3D484EB7" w14:textId="0DD664DF" w:rsidR="00657C63" w:rsidRPr="00447322" w:rsidRDefault="00657C63" w:rsidP="00657C63">
      <w:pPr>
        <w:spacing w:before="0" w:after="240"/>
        <w:ind w:left="360"/>
      </w:pPr>
      <w:proofErr w:type="gramStart"/>
      <w:r>
        <w:t>will</w:t>
      </w:r>
      <w:proofErr w:type="gramEnd"/>
      <w:r>
        <w:t xml:space="preserve"> be sufficient to satisfy the criteria prescribed under new table item 3A in </w:t>
      </w:r>
      <w:proofErr w:type="spellStart"/>
      <w:r>
        <w:t>subitem</w:t>
      </w:r>
      <w:proofErr w:type="spellEnd"/>
      <w:r>
        <w:t xml:space="preserve"> (3).</w:t>
      </w:r>
    </w:p>
    <w:p w14:paraId="2B1DC0C1" w14:textId="21B40FC6" w:rsidR="00DA2902" w:rsidRPr="00913F1E" w:rsidRDefault="0051399E" w:rsidP="00913F1E">
      <w:pPr>
        <w:spacing w:before="0" w:after="240"/>
        <w:rPr>
          <w:b/>
        </w:rPr>
      </w:pPr>
      <w:r>
        <w:rPr>
          <w:b/>
        </w:rPr>
        <w:t>Item [5]</w:t>
      </w:r>
      <w:r w:rsidR="00DA2902" w:rsidRPr="00913F1E">
        <w:rPr>
          <w:b/>
        </w:rPr>
        <w:t xml:space="preserve"> - At the end of item 1237 of Schedule 1</w:t>
      </w:r>
    </w:p>
    <w:p w14:paraId="46CE415F" w14:textId="40F9B450" w:rsidR="00DA2902" w:rsidRDefault="00DA2902" w:rsidP="00504A81">
      <w:pPr>
        <w:pStyle w:val="ListParagraph"/>
        <w:numPr>
          <w:ilvl w:val="0"/>
          <w:numId w:val="32"/>
        </w:numPr>
        <w:spacing w:before="0" w:after="240"/>
        <w:ind w:left="360"/>
      </w:pPr>
      <w:r>
        <w:t xml:space="preserve">This item inserts a definition of </w:t>
      </w:r>
      <w:r>
        <w:rPr>
          <w:i/>
        </w:rPr>
        <w:t>government entity</w:t>
      </w:r>
      <w:r>
        <w:t xml:space="preserve"> for the purposes of item 1237 of Schedule 1 of the Migration Regulations.</w:t>
      </w:r>
    </w:p>
    <w:p w14:paraId="46874205" w14:textId="0000B879" w:rsidR="00DA2902" w:rsidRDefault="00DA2902" w:rsidP="00504A81">
      <w:pPr>
        <w:pStyle w:val="ListParagraph"/>
        <w:numPr>
          <w:ilvl w:val="0"/>
          <w:numId w:val="32"/>
        </w:numPr>
        <w:spacing w:before="0" w:after="240"/>
        <w:ind w:left="360"/>
      </w:pPr>
      <w:r>
        <w:t xml:space="preserve">The term is defined </w:t>
      </w:r>
      <w:r w:rsidRPr="00DA2902">
        <w:t>to mean an agency or authority of the Commonwealth, a State or a Territory, or a person who holds an office or appointment under a law of the Commonwealth, a State or a Territory</w:t>
      </w:r>
      <w:r>
        <w:t>.</w:t>
      </w:r>
    </w:p>
    <w:p w14:paraId="1F54004A" w14:textId="4F0A6FE5" w:rsidR="00DA2902" w:rsidRDefault="00DA2902" w:rsidP="00DA2902">
      <w:pPr>
        <w:spacing w:before="0" w:after="240"/>
      </w:pPr>
      <w:r w:rsidRPr="00504A81">
        <w:rPr>
          <w:b/>
        </w:rPr>
        <w:t>Item [</w:t>
      </w:r>
      <w:r w:rsidR="0051399E">
        <w:rPr>
          <w:b/>
        </w:rPr>
        <w:t>6</w:t>
      </w:r>
      <w:r w:rsidRPr="00504A81">
        <w:rPr>
          <w:b/>
        </w:rPr>
        <w:t>] – Subclause 408.219(2) of Schedule 2</w:t>
      </w:r>
    </w:p>
    <w:p w14:paraId="39717A78" w14:textId="31071D49" w:rsidR="00504A81" w:rsidRDefault="00504A81" w:rsidP="00504A81">
      <w:pPr>
        <w:pStyle w:val="ListParagraph"/>
        <w:numPr>
          <w:ilvl w:val="0"/>
          <w:numId w:val="32"/>
        </w:numPr>
        <w:spacing w:before="0" w:after="240"/>
        <w:ind w:left="360"/>
      </w:pPr>
      <w:r>
        <w:t xml:space="preserve">This item inserts </w:t>
      </w:r>
      <w:r w:rsidR="000A7BD4">
        <w:t xml:space="preserve">a reference to the new workplace justice visa </w:t>
      </w:r>
      <w:r>
        <w:t xml:space="preserve">in subclause 408.219(2) of Schedule 2 </w:t>
      </w:r>
      <w:r w:rsidR="000A7BD4">
        <w:t>to</w:t>
      </w:r>
      <w:r>
        <w:t xml:space="preserve"> the Migration Regulations.</w:t>
      </w:r>
    </w:p>
    <w:p w14:paraId="17EA9A2A" w14:textId="3FDBB6DD" w:rsidR="000A7BD4" w:rsidRDefault="000A7BD4" w:rsidP="00504A81">
      <w:pPr>
        <w:pStyle w:val="ListParagraph"/>
        <w:numPr>
          <w:ilvl w:val="0"/>
          <w:numId w:val="32"/>
        </w:numPr>
        <w:spacing w:before="0" w:after="240"/>
        <w:ind w:left="360"/>
      </w:pPr>
      <w:r>
        <w:lastRenderedPageBreak/>
        <w:t>Clause 408.219 of Schedule 2 to the Migration Regulations prescribes one of the primary criteria for the subclass 408 – Temporary activity visa</w:t>
      </w:r>
      <w:r w:rsidR="002A0412">
        <w:t xml:space="preserve"> (subclass 408 visa)</w:t>
      </w:r>
      <w:r>
        <w:t xml:space="preserve"> set in clause 408.2 of Schedule 2.</w:t>
      </w:r>
    </w:p>
    <w:p w14:paraId="45EE2163" w14:textId="04E75C6C" w:rsidR="000A7BD4" w:rsidRDefault="000A7BD4" w:rsidP="00504A81">
      <w:pPr>
        <w:pStyle w:val="ListParagraph"/>
        <w:numPr>
          <w:ilvl w:val="0"/>
          <w:numId w:val="32"/>
        </w:numPr>
        <w:spacing w:before="0" w:after="240"/>
        <w:ind w:left="360"/>
      </w:pPr>
      <w:r>
        <w:t xml:space="preserve">Subclause 408.219(1) of Schedule 2 generally prescribes </w:t>
      </w:r>
      <w:r w:rsidR="008E003C">
        <w:t>a criterion</w:t>
      </w:r>
      <w:r>
        <w:t xml:space="preserve"> that an applicant for the subclass 408 visa will not be performing as an entertainer </w:t>
      </w:r>
      <w:proofErr w:type="spellStart"/>
      <w:r>
        <w:t>etc</w:t>
      </w:r>
      <w:proofErr w:type="spellEnd"/>
      <w:r>
        <w:t xml:space="preserve"> in Australia.</w:t>
      </w:r>
    </w:p>
    <w:p w14:paraId="7E5496BC" w14:textId="0D4B63EA" w:rsidR="000A7BD4" w:rsidRDefault="000A7BD4" w:rsidP="00504A81">
      <w:pPr>
        <w:pStyle w:val="ListParagraph"/>
        <w:numPr>
          <w:ilvl w:val="0"/>
          <w:numId w:val="32"/>
        </w:numPr>
        <w:spacing w:before="0" w:after="240"/>
        <w:ind w:left="360"/>
      </w:pPr>
      <w:r>
        <w:t>However, subclause 408.219(2) of Schedule 2 provides that subclause 408.219(2) is not to apply to applicants of kind prescribed in that subclause.</w:t>
      </w:r>
    </w:p>
    <w:p w14:paraId="517410F4" w14:textId="5CD36D8F" w:rsidR="00504A81" w:rsidRDefault="000A7BD4" w:rsidP="00504A81">
      <w:pPr>
        <w:pStyle w:val="ListParagraph"/>
        <w:numPr>
          <w:ilvl w:val="0"/>
          <w:numId w:val="32"/>
        </w:numPr>
        <w:spacing w:before="0" w:after="240"/>
        <w:ind w:left="360"/>
      </w:pPr>
      <w:r>
        <w:t xml:space="preserve">This item amends subclause 408.219(2) of Schedule 2 to add a reference to </w:t>
      </w:r>
      <w:r w:rsidR="0060653B" w:rsidRPr="0060653B">
        <w:t>an applicant who satisfies the requirements in clause</w:t>
      </w:r>
      <w:r w:rsidR="0060653B">
        <w:t xml:space="preserve"> </w:t>
      </w:r>
      <w:r w:rsidR="0060653B" w:rsidRPr="0060653B">
        <w:t>408.228A (workplace justice)</w:t>
      </w:r>
      <w:r w:rsidR="00504A81">
        <w:t xml:space="preserve">. </w:t>
      </w:r>
      <w:r w:rsidR="0060653B">
        <w:t xml:space="preserve">The effect is that these applicants will not be prevented by subclause 408.219(1) from performing as an entertainer </w:t>
      </w:r>
      <w:proofErr w:type="spellStart"/>
      <w:r w:rsidR="0060653B">
        <w:t>etc</w:t>
      </w:r>
      <w:proofErr w:type="spellEnd"/>
      <w:r w:rsidR="0060653B">
        <w:t xml:space="preserve"> in Australia.</w:t>
      </w:r>
    </w:p>
    <w:p w14:paraId="3641EFE5" w14:textId="417D79FA" w:rsidR="005C2877" w:rsidRDefault="005C2877" w:rsidP="001E36F9">
      <w:pPr>
        <w:keepNext/>
        <w:spacing w:before="0" w:after="240"/>
      </w:pPr>
      <w:r>
        <w:rPr>
          <w:b/>
        </w:rPr>
        <w:t>Item [</w:t>
      </w:r>
      <w:r w:rsidR="0051399E">
        <w:rPr>
          <w:b/>
        </w:rPr>
        <w:t>7</w:t>
      </w:r>
      <w:r>
        <w:rPr>
          <w:b/>
        </w:rPr>
        <w:t xml:space="preserve">] – </w:t>
      </w:r>
      <w:r w:rsidRPr="005C2877">
        <w:rPr>
          <w:b/>
        </w:rPr>
        <w:t>After clause 408.228 of Schedule 2</w:t>
      </w:r>
    </w:p>
    <w:p w14:paraId="7A6ED9F5" w14:textId="34A2E02F" w:rsidR="005C2877" w:rsidRDefault="009C2193" w:rsidP="00504A81">
      <w:pPr>
        <w:pStyle w:val="ListParagraph"/>
        <w:numPr>
          <w:ilvl w:val="0"/>
          <w:numId w:val="32"/>
        </w:numPr>
        <w:spacing w:before="0" w:after="240"/>
        <w:ind w:left="360"/>
      </w:pPr>
      <w:r>
        <w:t>This item inserts new clause 408.228A in Schedule 2 of the Migration Regulations. This clause prescribes the Schedule 2 criteria for the workplace justice visa</w:t>
      </w:r>
      <w:r w:rsidR="001352C9">
        <w:t xml:space="preserve"> where an applicant is applying for the subclass 408 visa</w:t>
      </w:r>
      <w:r>
        <w:t>.</w:t>
      </w:r>
    </w:p>
    <w:p w14:paraId="09A481E6" w14:textId="6D467C1E" w:rsidR="001352C9" w:rsidRDefault="001352C9" w:rsidP="002F6A5C">
      <w:pPr>
        <w:pStyle w:val="ListParagraph"/>
        <w:numPr>
          <w:ilvl w:val="0"/>
          <w:numId w:val="32"/>
        </w:numPr>
        <w:spacing w:before="0" w:after="240"/>
        <w:ind w:left="360"/>
      </w:pPr>
      <w:r>
        <w:t xml:space="preserve">New </w:t>
      </w:r>
      <w:r w:rsidR="007A173B">
        <w:t>paragraph</w:t>
      </w:r>
      <w:r>
        <w:t xml:space="preserve"> </w:t>
      </w:r>
      <w:proofErr w:type="gramStart"/>
      <w:r>
        <w:t>408.228A(</w:t>
      </w:r>
      <w:proofErr w:type="gramEnd"/>
      <w:r>
        <w:t>1)</w:t>
      </w:r>
      <w:r w:rsidR="007A173B">
        <w:t>(a)</w:t>
      </w:r>
      <w:r w:rsidR="00824890">
        <w:t xml:space="preserve"> provides </w:t>
      </w:r>
      <w:r w:rsidR="008E003C">
        <w:t>a Schedule 2 criterion</w:t>
      </w:r>
      <w:r w:rsidR="00B65F5D">
        <w:t xml:space="preserve"> for a workplace justice visa</w:t>
      </w:r>
      <w:r w:rsidR="00824890">
        <w:t xml:space="preserve"> that the</w:t>
      </w:r>
      <w:r>
        <w:t xml:space="preserve"> applicant seeks to remain in Australia to </w:t>
      </w:r>
      <w:r w:rsidR="002F6A5C">
        <w:t>‘</w:t>
      </w:r>
      <w:r>
        <w:t>undertake a</w:t>
      </w:r>
      <w:r w:rsidR="002F6A5C">
        <w:t xml:space="preserve"> workplace justice activity’, a term which is defined in new subclause 408.228A(2).</w:t>
      </w:r>
    </w:p>
    <w:p w14:paraId="2461010A" w14:textId="32D886B0" w:rsidR="00824890" w:rsidRDefault="00824890" w:rsidP="00504A81">
      <w:pPr>
        <w:pStyle w:val="ListParagraph"/>
        <w:numPr>
          <w:ilvl w:val="0"/>
          <w:numId w:val="32"/>
        </w:numPr>
        <w:spacing w:before="0" w:after="240"/>
        <w:ind w:left="360"/>
      </w:pPr>
      <w:r>
        <w:t>New paragraph 408.22</w:t>
      </w:r>
      <w:r w:rsidR="007D48A3">
        <w:t>8</w:t>
      </w:r>
      <w:r>
        <w:t xml:space="preserve">A(1)(b) provides </w:t>
      </w:r>
      <w:r w:rsidR="008E003C">
        <w:t>a Schedule 2 criterion</w:t>
      </w:r>
      <w:r>
        <w:t xml:space="preserve"> for a workplace justice visa that </w:t>
      </w:r>
      <w:r w:rsidR="007D48A3" w:rsidRPr="007D48A3">
        <w:t>the applicant is in a class of persons specified in a legislative instrument made by the Minister</w:t>
      </w:r>
      <w:r w:rsidR="007D48A3">
        <w:t xml:space="preserve">. </w:t>
      </w:r>
      <w:r w:rsidR="0027535E" w:rsidRPr="0027535E">
        <w:t xml:space="preserve">This will provide the Minister with the flexibility to specify, over time, </w:t>
      </w:r>
      <w:r w:rsidR="0027535E">
        <w:t>a class of persons</w:t>
      </w:r>
      <w:r w:rsidR="0027535E" w:rsidRPr="0027535E">
        <w:t xml:space="preserve"> that </w:t>
      </w:r>
      <w:r w:rsidR="0027535E">
        <w:t>is</w:t>
      </w:r>
      <w:r w:rsidR="0027535E" w:rsidRPr="0027535E">
        <w:t xml:space="preserve"> appropriate in the circumstances</w:t>
      </w:r>
      <w:r w:rsidR="0027535E">
        <w:t xml:space="preserve">. </w:t>
      </w:r>
    </w:p>
    <w:p w14:paraId="37B3D652" w14:textId="3E73D048" w:rsidR="00CE1B4E" w:rsidRDefault="002A577A">
      <w:pPr>
        <w:pStyle w:val="ListParagraph"/>
        <w:numPr>
          <w:ilvl w:val="0"/>
          <w:numId w:val="32"/>
        </w:numPr>
        <w:spacing w:before="0" w:after="240"/>
        <w:ind w:left="360"/>
      </w:pPr>
      <w:r>
        <w:t xml:space="preserve">A </w:t>
      </w:r>
      <w:r w:rsidR="00CE1B4E">
        <w:t>legislative i</w:t>
      </w:r>
      <w:r w:rsidR="00CE1B4E" w:rsidRPr="00832EC4">
        <w:t xml:space="preserve">nstrument </w:t>
      </w:r>
      <w:r>
        <w:t xml:space="preserve">made under this provision </w:t>
      </w:r>
      <w:r w:rsidR="00CE1B4E" w:rsidRPr="00832EC4">
        <w:t xml:space="preserve">is exempt from disallowance under section 42 of the </w:t>
      </w:r>
      <w:r w:rsidR="00CE1B4E" w:rsidRPr="00FA14CA">
        <w:rPr>
          <w:i/>
        </w:rPr>
        <w:t>Legislation Act 2003</w:t>
      </w:r>
      <w:r w:rsidR="00CE1B4E">
        <w:t xml:space="preserve"> (Legislation Act)</w:t>
      </w:r>
      <w:r w:rsidR="00CE1B4E" w:rsidRPr="00832EC4">
        <w:t xml:space="preserve">. This is because a legislative instrument made under </w:t>
      </w:r>
      <w:r w:rsidR="00CE1B4E">
        <w:t xml:space="preserve">Schedule </w:t>
      </w:r>
      <w:r w:rsidR="00C106C4">
        <w:t>2</w:t>
      </w:r>
      <w:r w:rsidR="00CE1B4E">
        <w:t xml:space="preserve"> to</w:t>
      </w:r>
      <w:r w:rsidR="00CE1B4E" w:rsidRPr="00832EC4">
        <w:t xml:space="preserve"> the Migration Regulations is prescribed under section 10, item 20(b) of the </w:t>
      </w:r>
      <w:r w:rsidR="00CE1B4E" w:rsidRPr="00832EC4">
        <w:rPr>
          <w:i/>
          <w:iCs/>
        </w:rPr>
        <w:t>Legislation (Exemptions and Other Matters) Regulation 2015</w:t>
      </w:r>
      <w:r w:rsidR="00CE1B4E" w:rsidRPr="00832EC4">
        <w:t> as an instrument not subject to disallowance</w:t>
      </w:r>
      <w:r w:rsidR="00CE1B4E">
        <w:t>.</w:t>
      </w:r>
    </w:p>
    <w:p w14:paraId="20ACEE05" w14:textId="6D0F505C" w:rsidR="00B65F5D" w:rsidRDefault="002F6A5C" w:rsidP="00504A81">
      <w:pPr>
        <w:pStyle w:val="ListParagraph"/>
        <w:numPr>
          <w:ilvl w:val="0"/>
          <w:numId w:val="32"/>
        </w:numPr>
        <w:spacing w:before="0" w:after="240"/>
        <w:ind w:left="360"/>
      </w:pPr>
      <w:r>
        <w:t xml:space="preserve">New subclause </w:t>
      </w:r>
      <w:proofErr w:type="gramStart"/>
      <w:r>
        <w:t>408.228A(</w:t>
      </w:r>
      <w:proofErr w:type="gramEnd"/>
      <w:r>
        <w:t xml:space="preserve">2) provides a definition of </w:t>
      </w:r>
      <w:r w:rsidR="00F76EB1">
        <w:t>‘</w:t>
      </w:r>
      <w:r>
        <w:t>undertake a workplace justice activity</w:t>
      </w:r>
      <w:r w:rsidR="00F76EB1">
        <w:t>’</w:t>
      </w:r>
      <w:r>
        <w:t xml:space="preserve">, which is </w:t>
      </w:r>
      <w:r w:rsidR="008E003C">
        <w:t>a Schedule 2 criterion</w:t>
      </w:r>
      <w:r>
        <w:t xml:space="preserve"> for the workplace justice visa under new paragraph 408.228A(1)(a).</w:t>
      </w:r>
      <w:r w:rsidR="00BF7ED6">
        <w:t xml:space="preserve"> The term ‘undertake a workplace justice activity’ is defined to mean the applicant:</w:t>
      </w:r>
    </w:p>
    <w:p w14:paraId="23DB7CBC" w14:textId="77777777" w:rsidR="00BF7ED6" w:rsidRDefault="00BF7ED6" w:rsidP="00BF7ED6">
      <w:pPr>
        <w:pStyle w:val="paragraph"/>
        <w:rPr>
          <w:szCs w:val="20"/>
        </w:rPr>
      </w:pPr>
      <w:r>
        <w:tab/>
        <w:t>(a)</w:t>
      </w:r>
      <w:r>
        <w:tab/>
      </w:r>
      <w:proofErr w:type="gramStart"/>
      <w:r>
        <w:t>is</w:t>
      </w:r>
      <w:proofErr w:type="gramEnd"/>
      <w:r>
        <w:t xml:space="preserve"> a complainant or victim (or alleged victim) in criminal proceedings relating to the matter (the </w:t>
      </w:r>
      <w:r>
        <w:rPr>
          <w:b/>
          <w:i/>
        </w:rPr>
        <w:t>workplace exploitation matter</w:t>
      </w:r>
      <w:r>
        <w:t xml:space="preserve">) referred to in paragraph (b) of item 3A of the table in </w:t>
      </w:r>
      <w:proofErr w:type="spellStart"/>
      <w:r>
        <w:t>subitem</w:t>
      </w:r>
      <w:proofErr w:type="spellEnd"/>
      <w:r>
        <w:t> 1237(3) of Schedule 1; or</w:t>
      </w:r>
    </w:p>
    <w:p w14:paraId="364CFD75" w14:textId="77777777" w:rsidR="00BF7ED6" w:rsidRDefault="00BF7ED6" w:rsidP="00BF7ED6">
      <w:pPr>
        <w:pStyle w:val="paragraph"/>
      </w:pPr>
      <w:r>
        <w:tab/>
        <w:t>(b)</w:t>
      </w:r>
      <w:r>
        <w:tab/>
      </w:r>
      <w:proofErr w:type="gramStart"/>
      <w:r>
        <w:t>is</w:t>
      </w:r>
      <w:proofErr w:type="gramEnd"/>
      <w:r>
        <w:t xml:space="preserve"> a party to civil proceedings relating to the workplace exploitation matter; or</w:t>
      </w:r>
    </w:p>
    <w:p w14:paraId="42A43E15" w14:textId="77777777" w:rsidR="00BF7ED6" w:rsidRDefault="00BF7ED6" w:rsidP="00BF7ED6">
      <w:pPr>
        <w:pStyle w:val="paragraph"/>
        <w:spacing w:after="240"/>
      </w:pPr>
      <w:r>
        <w:tab/>
        <w:t>(c)</w:t>
      </w:r>
      <w:r>
        <w:tab/>
      </w:r>
      <w:proofErr w:type="gramStart"/>
      <w:r>
        <w:t>is</w:t>
      </w:r>
      <w:proofErr w:type="gramEnd"/>
      <w:r>
        <w:t xml:space="preserve"> a complainant in a complaint made relating to the workplace exploitation matter.</w:t>
      </w:r>
    </w:p>
    <w:p w14:paraId="2E011119" w14:textId="5066BB16" w:rsidR="005C2877" w:rsidRDefault="001E36F9" w:rsidP="00504A81">
      <w:pPr>
        <w:pStyle w:val="ListParagraph"/>
        <w:numPr>
          <w:ilvl w:val="0"/>
          <w:numId w:val="32"/>
        </w:numPr>
        <w:spacing w:before="0" w:after="240"/>
        <w:ind w:left="360"/>
      </w:pPr>
      <w:r>
        <w:t>A</w:t>
      </w:r>
      <w:r w:rsidR="00F76EB1">
        <w:t xml:space="preserve"> general requirement for each of paragraphs (a), (b) and (c) of new subclause </w:t>
      </w:r>
      <w:proofErr w:type="gramStart"/>
      <w:r w:rsidR="00F76EB1">
        <w:t>408.228A(</w:t>
      </w:r>
      <w:proofErr w:type="gramEnd"/>
      <w:r w:rsidR="00F76EB1">
        <w:t xml:space="preserve">2) is that the relevant proceedings or complaint must already </w:t>
      </w:r>
      <w:r w:rsidR="000F5F52">
        <w:t>have commenced</w:t>
      </w:r>
      <w:r w:rsidR="00F76EB1">
        <w:t xml:space="preserve"> at the time the person is applying for the workplace justice visa. </w:t>
      </w:r>
      <w:r>
        <w:t>It will not be sufficient if such proceedings are merely contemplated or intended to occur after the application for the workplace justice visa has been made.</w:t>
      </w:r>
    </w:p>
    <w:p w14:paraId="07286448" w14:textId="3A1B1EFA" w:rsidR="001E36F9" w:rsidRDefault="001E36F9" w:rsidP="00D66481">
      <w:pPr>
        <w:pStyle w:val="ListParagraph"/>
        <w:numPr>
          <w:ilvl w:val="0"/>
          <w:numId w:val="32"/>
        </w:numPr>
        <w:spacing w:before="0" w:after="240"/>
        <w:ind w:left="360"/>
      </w:pPr>
      <w:r>
        <w:lastRenderedPageBreak/>
        <w:t xml:space="preserve">Each of paragraphs (a), (b) and (c) of new subclause 408.228A(2) operate by reference to a </w:t>
      </w:r>
      <w:r>
        <w:rPr>
          <w:i/>
        </w:rPr>
        <w:t>workplace exploitation matter</w:t>
      </w:r>
      <w:r>
        <w:t xml:space="preserve">, as referred to in new paragraph (b) of </w:t>
      </w:r>
      <w:r w:rsidR="00D66481">
        <w:t xml:space="preserve">table </w:t>
      </w:r>
      <w:r>
        <w:t xml:space="preserve">item 3A in </w:t>
      </w:r>
      <w:proofErr w:type="spellStart"/>
      <w:r>
        <w:t>subitem</w:t>
      </w:r>
      <w:proofErr w:type="spellEnd"/>
      <w:r>
        <w:t> 1237(3) of Schedule 1. A</w:t>
      </w:r>
      <w:r w:rsidR="00D66481">
        <w:t xml:space="preserve">s described above, that provision prescribes </w:t>
      </w:r>
      <w:r w:rsidR="008E003C">
        <w:t>a Schedule</w:t>
      </w:r>
      <w:r w:rsidR="009877BC">
        <w:t> </w:t>
      </w:r>
      <w:r w:rsidR="008E003C">
        <w:t>1 criterion</w:t>
      </w:r>
      <w:r w:rsidR="00D66481">
        <w:t xml:space="preserve"> that the applicant has obtained a certificate stating a matter relating to workplace exploitation applies in relation to the applicant.</w:t>
      </w:r>
    </w:p>
    <w:p w14:paraId="3434F02B" w14:textId="4A65CCDF" w:rsidR="00D66481" w:rsidRDefault="00A24A77" w:rsidP="00D66481">
      <w:pPr>
        <w:pStyle w:val="ListParagraph"/>
        <w:numPr>
          <w:ilvl w:val="0"/>
          <w:numId w:val="32"/>
        </w:numPr>
        <w:spacing w:before="0" w:after="240"/>
        <w:ind w:left="360"/>
      </w:pPr>
      <w:r>
        <w:t>N</w:t>
      </w:r>
      <w:r w:rsidR="00D66481">
        <w:t>ew subclause 408.228A(2)</w:t>
      </w:r>
      <w:r>
        <w:t xml:space="preserve"> of Schedule 2 provides that the term ‘undertake a workplace justice activity’ will only refer to a particular matter of workplace exploitation set out in the relevant certificate for the applicant. The effect of this provision in conjunction with new paragraph </w:t>
      </w:r>
      <w:proofErr w:type="gramStart"/>
      <w:r>
        <w:t>408.228A(</w:t>
      </w:r>
      <w:proofErr w:type="gramEnd"/>
      <w:r>
        <w:t>1)(a) of Schedule 2 is that an applicant will only be considered to ‘undertake a workplace justice’ if they pursue a particular matter of workplace exploitation set out in the applicant’s certificate.</w:t>
      </w:r>
    </w:p>
    <w:p w14:paraId="034FBC04" w14:textId="23E93DF9" w:rsidR="00504A81" w:rsidRDefault="00504A81" w:rsidP="00913F1E">
      <w:pPr>
        <w:keepNext/>
        <w:spacing w:before="0" w:after="240"/>
      </w:pPr>
      <w:r w:rsidRPr="00504A81">
        <w:rPr>
          <w:b/>
        </w:rPr>
        <w:t>Item [</w:t>
      </w:r>
      <w:r w:rsidR="000E2229">
        <w:rPr>
          <w:b/>
        </w:rPr>
        <w:t>8</w:t>
      </w:r>
      <w:bookmarkStart w:id="0" w:name="_GoBack"/>
      <w:bookmarkEnd w:id="0"/>
      <w:r w:rsidRPr="00504A81">
        <w:rPr>
          <w:b/>
        </w:rPr>
        <w:t>] – Subparagraphs 408.511(1</w:t>
      </w:r>
      <w:proofErr w:type="gramStart"/>
      <w:r w:rsidRPr="00504A81">
        <w:rPr>
          <w:b/>
        </w:rPr>
        <w:t>)(</w:t>
      </w:r>
      <w:proofErr w:type="gramEnd"/>
      <w:r w:rsidRPr="00504A81">
        <w:rPr>
          <w:b/>
        </w:rPr>
        <w:t>b)(ii) and (2)(a)(ii) of Schedule 2</w:t>
      </w:r>
    </w:p>
    <w:p w14:paraId="24ECA67E" w14:textId="68E2EBA1" w:rsidR="00504A81" w:rsidRDefault="00524E22" w:rsidP="00524E22">
      <w:pPr>
        <w:pStyle w:val="ListParagraph"/>
        <w:numPr>
          <w:ilvl w:val="0"/>
          <w:numId w:val="32"/>
        </w:numPr>
        <w:spacing w:before="0" w:after="240"/>
        <w:ind w:left="360"/>
      </w:pPr>
      <w:r>
        <w:t xml:space="preserve">This item inserts a reference to the new workplace justice visa in </w:t>
      </w:r>
      <w:r w:rsidR="00504A81">
        <w:t>subparagraphs 408.511(1</w:t>
      </w:r>
      <w:proofErr w:type="gramStart"/>
      <w:r w:rsidR="00504A81">
        <w:t>)(</w:t>
      </w:r>
      <w:proofErr w:type="gramEnd"/>
      <w:r w:rsidR="00504A81">
        <w:t xml:space="preserve">b)(ii) and (2)(a)(ii) of Schedule 2 </w:t>
      </w:r>
      <w:r w:rsidR="002A0412">
        <w:t>to</w:t>
      </w:r>
      <w:r w:rsidR="00504A81">
        <w:t xml:space="preserve"> the Migration Regulations. </w:t>
      </w:r>
    </w:p>
    <w:p w14:paraId="7A600EDC" w14:textId="68A5C7F3" w:rsidR="00524E22" w:rsidRDefault="002A0412" w:rsidP="00504A81">
      <w:pPr>
        <w:pStyle w:val="ListParagraph"/>
        <w:numPr>
          <w:ilvl w:val="0"/>
          <w:numId w:val="32"/>
        </w:numPr>
        <w:spacing w:before="0" w:after="240"/>
        <w:ind w:left="360"/>
      </w:pPr>
      <w:r>
        <w:t>Clause 408.5</w:t>
      </w:r>
      <w:r w:rsidR="00FB3000">
        <w:t>11</w:t>
      </w:r>
      <w:r>
        <w:t xml:space="preserve"> of Schedule 2 to the Migration Regulations prescribes when a subclass 408 visa is in effect.</w:t>
      </w:r>
    </w:p>
    <w:p w14:paraId="1C92C90A" w14:textId="4577DA54" w:rsidR="002A0412" w:rsidRDefault="002A0412" w:rsidP="00504A81">
      <w:pPr>
        <w:pStyle w:val="ListParagraph"/>
        <w:numPr>
          <w:ilvl w:val="0"/>
          <w:numId w:val="32"/>
        </w:numPr>
        <w:spacing w:before="0" w:after="240"/>
        <w:ind w:left="360"/>
      </w:pPr>
      <w:r>
        <w:t>Subclause 408.511(1) of Schedule 2 to the Migration Regulations prescribes when</w:t>
      </w:r>
      <w:r w:rsidRPr="002A0412">
        <w:t xml:space="preserve"> the</w:t>
      </w:r>
      <w:r>
        <w:t xml:space="preserve"> visa is in effect if the</w:t>
      </w:r>
      <w:r w:rsidRPr="002A0412">
        <w:t xml:space="preserve"> applicant is </w:t>
      </w:r>
      <w:hyperlink r:id="rId8" w:anchor="OutsideAus" w:history="1">
        <w:r w:rsidRPr="002A0412">
          <w:rPr>
            <w:rStyle w:val="Hyperlink"/>
          </w:rPr>
          <w:t>outside Australia</w:t>
        </w:r>
      </w:hyperlink>
      <w:r w:rsidRPr="002A0412">
        <w:t> at the time of grant</w:t>
      </w:r>
      <w:r>
        <w:t xml:space="preserve"> of the visa.</w:t>
      </w:r>
    </w:p>
    <w:p w14:paraId="21FF9565" w14:textId="59B2C229" w:rsidR="00F73EE2" w:rsidRDefault="00F73EE2" w:rsidP="00504A81">
      <w:pPr>
        <w:pStyle w:val="ListParagraph"/>
        <w:numPr>
          <w:ilvl w:val="0"/>
          <w:numId w:val="32"/>
        </w:numPr>
        <w:spacing w:before="0" w:after="240"/>
        <w:ind w:left="360"/>
      </w:pPr>
      <w:r>
        <w:t>Subclause 408.511(2) of Schedule 2 to the Migration Regulations prescribes when</w:t>
      </w:r>
      <w:r w:rsidRPr="002A0412">
        <w:t xml:space="preserve"> the</w:t>
      </w:r>
      <w:r>
        <w:t xml:space="preserve"> visa is in effect if the</w:t>
      </w:r>
      <w:r w:rsidRPr="002A0412">
        <w:t xml:space="preserve"> applicant is </w:t>
      </w:r>
      <w:hyperlink r:id="rId9" w:anchor="OutsideAus" w:history="1">
        <w:r>
          <w:rPr>
            <w:rStyle w:val="Hyperlink"/>
          </w:rPr>
          <w:t>inside</w:t>
        </w:r>
        <w:r w:rsidRPr="002A0412">
          <w:rPr>
            <w:rStyle w:val="Hyperlink"/>
          </w:rPr>
          <w:t xml:space="preserve"> Australia</w:t>
        </w:r>
      </w:hyperlink>
      <w:r w:rsidRPr="002A0412">
        <w:t> at the time of grant</w:t>
      </w:r>
      <w:r>
        <w:t xml:space="preserve"> of the visa.</w:t>
      </w:r>
    </w:p>
    <w:p w14:paraId="2F0C1173" w14:textId="77777777" w:rsidR="0006474C" w:rsidRDefault="00F73EE2" w:rsidP="00504A81">
      <w:pPr>
        <w:pStyle w:val="ListParagraph"/>
        <w:numPr>
          <w:ilvl w:val="0"/>
          <w:numId w:val="32"/>
        </w:numPr>
        <w:spacing w:before="0" w:after="240"/>
        <w:ind w:left="360"/>
      </w:pPr>
      <w:r>
        <w:t>The effect of this ite</w:t>
      </w:r>
      <w:r w:rsidR="0006474C">
        <w:t>m is that a primary</w:t>
      </w:r>
      <w:r>
        <w:t xml:space="preserve"> applicant for a workplace justice visa</w:t>
      </w:r>
      <w:r w:rsidR="0006474C">
        <w:t>:</w:t>
      </w:r>
    </w:p>
    <w:p w14:paraId="525F76DD" w14:textId="1ACC7017" w:rsidR="0006474C" w:rsidRDefault="0006474C" w:rsidP="00FA6880">
      <w:pPr>
        <w:pStyle w:val="ListParagraph"/>
        <w:numPr>
          <w:ilvl w:val="0"/>
          <w:numId w:val="37"/>
        </w:numPr>
        <w:spacing w:before="0" w:after="240"/>
      </w:pPr>
      <w:r>
        <w:t>who was outside Australia at the time of grant</w:t>
      </w:r>
      <w:r w:rsidR="00504A81">
        <w:t xml:space="preserve"> will be </w:t>
      </w:r>
      <w:r>
        <w:t>permitted</w:t>
      </w:r>
      <w:r w:rsidR="00504A81">
        <w:t xml:space="preserve"> to </w:t>
      </w:r>
      <w:r w:rsidR="00702EA7">
        <w:t xml:space="preserve">travel and enter Australia and </w:t>
      </w:r>
      <w:r w:rsidR="00504A81">
        <w:t>remain in Australia for a peri</w:t>
      </w:r>
      <w:r>
        <w:t>od</w:t>
      </w:r>
      <w:r w:rsidR="00FA6880">
        <w:t xml:space="preserve"> </w:t>
      </w:r>
      <w:r w:rsidR="00FA6880" w:rsidRPr="00FA6880">
        <w:t>specified by the Minister</w:t>
      </w:r>
      <w:r w:rsidR="0014054F">
        <w:t xml:space="preserve"> (</w:t>
      </w:r>
      <w:r w:rsidR="002A577A">
        <w:t>per related policy guidance to support decision-making, generally</w:t>
      </w:r>
      <w:r w:rsidR="0014054F">
        <w:t xml:space="preserve"> a minimum</w:t>
      </w:r>
      <w:r w:rsidR="002A577A">
        <w:t xml:space="preserve"> period</w:t>
      </w:r>
      <w:r w:rsidR="0014054F">
        <w:t xml:space="preserve"> of 6 months or up to 12 months)</w:t>
      </w:r>
      <w:r>
        <w:t xml:space="preserve"> that must not exceed 4 years from when the applicant entered Australia</w:t>
      </w:r>
      <w:r w:rsidR="00FA6880">
        <w:t>;</w:t>
      </w:r>
    </w:p>
    <w:p w14:paraId="25BBFCBB" w14:textId="7653FE7B" w:rsidR="00504A81" w:rsidRDefault="0006474C" w:rsidP="00294B67">
      <w:pPr>
        <w:pStyle w:val="ListParagraph"/>
        <w:numPr>
          <w:ilvl w:val="0"/>
          <w:numId w:val="37"/>
        </w:numPr>
        <w:spacing w:before="0" w:after="240"/>
      </w:pPr>
      <w:proofErr w:type="gramStart"/>
      <w:r>
        <w:t>who</w:t>
      </w:r>
      <w:proofErr w:type="gramEnd"/>
      <w:r>
        <w:t xml:space="preserve"> was inside Australia at the time of grant will be permitted to remain in Australia for a period</w:t>
      </w:r>
      <w:r w:rsidR="00FA6880">
        <w:t xml:space="preserve"> </w:t>
      </w:r>
      <w:r w:rsidR="00FA6880" w:rsidRPr="00FA6880">
        <w:t>specified by the Minister</w:t>
      </w:r>
      <w:r w:rsidR="003E50AD">
        <w:t xml:space="preserve"> (</w:t>
      </w:r>
      <w:r w:rsidR="00294B67" w:rsidRPr="00294B67">
        <w:t xml:space="preserve">per related policy guidance to support decision-making, generally </w:t>
      </w:r>
      <w:r w:rsidR="003E50AD">
        <w:t xml:space="preserve">a minimum </w:t>
      </w:r>
      <w:r w:rsidR="00294B67">
        <w:t xml:space="preserve">period </w:t>
      </w:r>
      <w:r w:rsidR="003E50AD">
        <w:t>of 6 months or up to 12 months)</w:t>
      </w:r>
      <w:r>
        <w:t xml:space="preserve"> that must not exceed 4 years from the time of visa grant.</w:t>
      </w:r>
    </w:p>
    <w:p w14:paraId="4874043D" w14:textId="27647673" w:rsidR="00FB3000" w:rsidRDefault="00FB3000" w:rsidP="000C2611">
      <w:pPr>
        <w:pStyle w:val="ListParagraph"/>
        <w:numPr>
          <w:ilvl w:val="0"/>
          <w:numId w:val="32"/>
        </w:numPr>
        <w:spacing w:before="0" w:after="240"/>
        <w:ind w:left="360"/>
      </w:pPr>
      <w:r>
        <w:t xml:space="preserve">As noted in paragraph 44, policy guidance will be provided to support consideration of the period of stay to be determined at time of visa grant. While clause 408.511 as amended would provide for a </w:t>
      </w:r>
      <w:r w:rsidR="00694E0E">
        <w:t xml:space="preserve">stay </w:t>
      </w:r>
      <w:r>
        <w:t>period of up to four years</w:t>
      </w:r>
      <w:r w:rsidR="00694E0E">
        <w:t xml:space="preserve"> to be specified on visa grant</w:t>
      </w:r>
      <w:r>
        <w:t>, related policy guidanc</w:t>
      </w:r>
      <w:r w:rsidR="00694E0E">
        <w:t>e indicates that, having regard</w:t>
      </w:r>
      <w:r>
        <w:t xml:space="preserve"> to the circumstances of the applicant</w:t>
      </w:r>
      <w:r w:rsidR="00DC563F">
        <w:t xml:space="preserve"> and related matters</w:t>
      </w:r>
      <w:r>
        <w:t xml:space="preserve">, a </w:t>
      </w:r>
      <w:r w:rsidR="00694E0E">
        <w:t xml:space="preserve">stay </w:t>
      </w:r>
      <w:r>
        <w:t>period of at least six months, and up to 12 months, would generally be considered appropriate.</w:t>
      </w:r>
    </w:p>
    <w:p w14:paraId="299D6D91" w14:textId="48E8BFC8" w:rsidR="00265286" w:rsidRPr="00F6208B" w:rsidRDefault="00265286" w:rsidP="00F6208B"/>
    <w:sectPr w:rsidR="00265286" w:rsidRPr="00F6208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E5F40" w14:textId="77777777" w:rsidR="00516E4B" w:rsidRDefault="00516E4B">
      <w:pPr>
        <w:spacing w:before="0"/>
      </w:pPr>
      <w:r>
        <w:separator/>
      </w:r>
    </w:p>
  </w:endnote>
  <w:endnote w:type="continuationSeparator" w:id="0">
    <w:p w14:paraId="71AF8591" w14:textId="77777777" w:rsidR="00516E4B" w:rsidRDefault="00516E4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6" w14:textId="77777777" w:rsidR="00F334B7" w:rsidRDefault="00F33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7" w14:textId="4250DC23" w:rsidR="0024360E" w:rsidRDefault="0024360E">
    <w:pPr>
      <w:pStyle w:val="Footer"/>
      <w:jc w:val="center"/>
    </w:pPr>
    <w:r>
      <w:fldChar w:fldCharType="begin"/>
    </w:r>
    <w:r>
      <w:instrText xml:space="preserve"> PAGE   \* MERGEFORMAT </w:instrText>
    </w:r>
    <w:r>
      <w:fldChar w:fldCharType="separate"/>
    </w:r>
    <w:r w:rsidR="000E2229">
      <w:rPr>
        <w:noProof/>
      </w:rPr>
      <w:t>12</w:t>
    </w:r>
    <w:r>
      <w:fldChar w:fldCharType="end"/>
    </w:r>
  </w:p>
  <w:p w14:paraId="299D6E28" w14:textId="77777777" w:rsidR="0024360E" w:rsidRDefault="002436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A" w14:textId="77777777" w:rsidR="00F334B7" w:rsidRDefault="00F33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4E2967" w14:textId="77777777" w:rsidR="00516E4B" w:rsidRDefault="00516E4B">
      <w:pPr>
        <w:spacing w:before="0"/>
      </w:pPr>
      <w:r>
        <w:separator/>
      </w:r>
    </w:p>
  </w:footnote>
  <w:footnote w:type="continuationSeparator" w:id="0">
    <w:p w14:paraId="69BF15BC" w14:textId="77777777" w:rsidR="00516E4B" w:rsidRDefault="00516E4B">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4" w14:textId="77777777" w:rsidR="00F334B7" w:rsidRDefault="00F334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5" w14:textId="77777777" w:rsidR="0024360E" w:rsidRDefault="002436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D6E29" w14:textId="77777777" w:rsidR="00F334B7" w:rsidRDefault="00F334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A74068"/>
    <w:multiLevelType w:val="hybridMultilevel"/>
    <w:tmpl w:val="28F80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730C5F"/>
    <w:multiLevelType w:val="hybridMultilevel"/>
    <w:tmpl w:val="67443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A3853"/>
    <w:multiLevelType w:val="hybridMultilevel"/>
    <w:tmpl w:val="BB484D36"/>
    <w:lvl w:ilvl="0" w:tplc="9976DDF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265CFB"/>
    <w:multiLevelType w:val="hybridMultilevel"/>
    <w:tmpl w:val="8F228F70"/>
    <w:lvl w:ilvl="0" w:tplc="4D3A347A">
      <w:numFmt w:val="bullet"/>
      <w:lvlText w:val=""/>
      <w:lvlJc w:val="left"/>
      <w:pPr>
        <w:ind w:left="720" w:hanging="360"/>
      </w:pPr>
      <w:rPr>
        <w:rFonts w:ascii="Symbol" w:eastAsiaTheme="minorEastAsia"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B44FDE"/>
    <w:multiLevelType w:val="singleLevel"/>
    <w:tmpl w:val="4350A1D6"/>
    <w:lvl w:ilvl="0">
      <w:start w:val="2"/>
      <w:numFmt w:val="decimal"/>
      <w:pStyle w:val="DINumberedParagraph"/>
      <w:lvlText w:val="%1."/>
      <w:lvlJc w:val="left"/>
      <w:pPr>
        <w:tabs>
          <w:tab w:val="num" w:pos="360"/>
        </w:tabs>
      </w:pPr>
      <w:rPr>
        <w:rFonts w:ascii="Times New Roman" w:hAnsi="Times New Roman" w:cs="Times New Roman"/>
      </w:rPr>
    </w:lvl>
  </w:abstractNum>
  <w:abstractNum w:abstractNumId="6" w15:restartNumberingAfterBreak="0">
    <w:nsid w:val="15EB7FEE"/>
    <w:multiLevelType w:val="hybridMultilevel"/>
    <w:tmpl w:val="320A1C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87F702D"/>
    <w:multiLevelType w:val="hybridMultilevel"/>
    <w:tmpl w:val="8C925AC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E525B6E"/>
    <w:multiLevelType w:val="hybridMultilevel"/>
    <w:tmpl w:val="CB18106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1FC74F32"/>
    <w:multiLevelType w:val="hybridMultilevel"/>
    <w:tmpl w:val="9AB800B0"/>
    <w:lvl w:ilvl="0" w:tplc="7EC238F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9628A7"/>
    <w:multiLevelType w:val="hybridMultilevel"/>
    <w:tmpl w:val="DEB669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A76F40"/>
    <w:multiLevelType w:val="hybridMultilevel"/>
    <w:tmpl w:val="7B7CAC9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3B46C27"/>
    <w:multiLevelType w:val="hybridMultilevel"/>
    <w:tmpl w:val="A448C8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E94C5A"/>
    <w:multiLevelType w:val="hybridMultilevel"/>
    <w:tmpl w:val="A51EEDE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24ED5809"/>
    <w:multiLevelType w:val="hybridMultilevel"/>
    <w:tmpl w:val="A4166388"/>
    <w:lvl w:ilvl="0" w:tplc="53C66358">
      <w:numFmt w:val="bullet"/>
      <w:lvlText w:val="-"/>
      <w:lvlJc w:val="left"/>
      <w:pPr>
        <w:ind w:left="720" w:hanging="360"/>
      </w:pPr>
      <w:rPr>
        <w:rFonts w:ascii="Times New Roman" w:eastAsiaTheme="minorEastAsia" w:hAnsi="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4B6DDB"/>
    <w:multiLevelType w:val="hybridMultilevel"/>
    <w:tmpl w:val="85A6C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367DD3"/>
    <w:multiLevelType w:val="hybridMultilevel"/>
    <w:tmpl w:val="977CE1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74436A"/>
    <w:multiLevelType w:val="hybridMultilevel"/>
    <w:tmpl w:val="6DAA8A1E"/>
    <w:lvl w:ilvl="0" w:tplc="AD68EEF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4A4AA0"/>
    <w:multiLevelType w:val="hybridMultilevel"/>
    <w:tmpl w:val="27264F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A27216C"/>
    <w:multiLevelType w:val="multilevel"/>
    <w:tmpl w:val="D354C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B637BDB"/>
    <w:multiLevelType w:val="hybridMultilevel"/>
    <w:tmpl w:val="A6601C3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1" w15:restartNumberingAfterBreak="0">
    <w:nsid w:val="4D0324D0"/>
    <w:multiLevelType w:val="multilevel"/>
    <w:tmpl w:val="E542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FA5F0F"/>
    <w:multiLevelType w:val="hybridMultilevel"/>
    <w:tmpl w:val="99468D04"/>
    <w:lvl w:ilvl="0" w:tplc="25BE7526">
      <w:start w:val="1"/>
      <w:numFmt w:val="lowerLetter"/>
      <w:lvlText w:val="(%1)"/>
      <w:lvlJc w:val="left"/>
      <w:pPr>
        <w:ind w:left="1080" w:hanging="360"/>
      </w:pPr>
      <w:rPr>
        <w:rFonts w:hint="default"/>
      </w:r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3" w15:restartNumberingAfterBreak="0">
    <w:nsid w:val="50064C01"/>
    <w:multiLevelType w:val="hybridMultilevel"/>
    <w:tmpl w:val="EDE28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08A7FB4"/>
    <w:multiLevelType w:val="hybridMultilevel"/>
    <w:tmpl w:val="FB3849E6"/>
    <w:lvl w:ilvl="0" w:tplc="5574D15E">
      <w:start w:val="1"/>
      <w:numFmt w:val="bullet"/>
      <w:pStyle w:val="Bodytextbullet"/>
      <w:lvlText w:val=""/>
      <w:lvlJc w:val="left"/>
      <w:pPr>
        <w:tabs>
          <w:tab w:val="num" w:pos="18"/>
        </w:tabs>
        <w:ind w:left="18" w:hanging="360"/>
      </w:pPr>
      <w:rPr>
        <w:rFonts w:ascii="Symbol" w:hAnsi="Symbol" w:hint="default"/>
      </w:rPr>
    </w:lvl>
    <w:lvl w:ilvl="1" w:tplc="BD422FB6">
      <w:start w:val="1"/>
      <w:numFmt w:val="bullet"/>
      <w:lvlText w:val="o"/>
      <w:lvlJc w:val="left"/>
      <w:pPr>
        <w:tabs>
          <w:tab w:val="num" w:pos="738"/>
        </w:tabs>
        <w:ind w:left="738" w:hanging="360"/>
      </w:pPr>
      <w:rPr>
        <w:rFonts w:ascii="Courier New" w:hAnsi="Courier New" w:cs="Courier New" w:hint="default"/>
      </w:rPr>
    </w:lvl>
    <w:lvl w:ilvl="2" w:tplc="C12C4CD6">
      <w:start w:val="1"/>
      <w:numFmt w:val="bullet"/>
      <w:lvlText w:val=""/>
      <w:lvlJc w:val="left"/>
      <w:pPr>
        <w:tabs>
          <w:tab w:val="num" w:pos="1458"/>
        </w:tabs>
        <w:ind w:left="1458" w:hanging="360"/>
      </w:pPr>
      <w:rPr>
        <w:rFonts w:ascii="Wingdings" w:hAnsi="Wingdings" w:hint="default"/>
      </w:rPr>
    </w:lvl>
    <w:lvl w:ilvl="3" w:tplc="1F4A995A">
      <w:start w:val="1"/>
      <w:numFmt w:val="bullet"/>
      <w:lvlText w:val=""/>
      <w:lvlJc w:val="left"/>
      <w:pPr>
        <w:tabs>
          <w:tab w:val="num" w:pos="2178"/>
        </w:tabs>
        <w:ind w:left="2178" w:hanging="360"/>
      </w:pPr>
      <w:rPr>
        <w:rFonts w:ascii="Symbol" w:hAnsi="Symbol" w:hint="default"/>
      </w:rPr>
    </w:lvl>
    <w:lvl w:ilvl="4" w:tplc="B566876A">
      <w:start w:val="1"/>
      <w:numFmt w:val="bullet"/>
      <w:lvlText w:val="o"/>
      <w:lvlJc w:val="left"/>
      <w:pPr>
        <w:tabs>
          <w:tab w:val="num" w:pos="2898"/>
        </w:tabs>
        <w:ind w:left="2898" w:hanging="360"/>
      </w:pPr>
      <w:rPr>
        <w:rFonts w:ascii="Courier New" w:hAnsi="Courier New" w:cs="Courier New" w:hint="default"/>
      </w:rPr>
    </w:lvl>
    <w:lvl w:ilvl="5" w:tplc="68620E8E">
      <w:start w:val="1"/>
      <w:numFmt w:val="bullet"/>
      <w:lvlText w:val=""/>
      <w:lvlJc w:val="left"/>
      <w:pPr>
        <w:tabs>
          <w:tab w:val="num" w:pos="3618"/>
        </w:tabs>
        <w:ind w:left="3618" w:hanging="360"/>
      </w:pPr>
      <w:rPr>
        <w:rFonts w:ascii="Wingdings" w:hAnsi="Wingdings" w:hint="default"/>
      </w:rPr>
    </w:lvl>
    <w:lvl w:ilvl="6" w:tplc="9D123D6C">
      <w:start w:val="1"/>
      <w:numFmt w:val="bullet"/>
      <w:lvlText w:val=""/>
      <w:lvlJc w:val="left"/>
      <w:pPr>
        <w:tabs>
          <w:tab w:val="num" w:pos="4338"/>
        </w:tabs>
        <w:ind w:left="4338" w:hanging="360"/>
      </w:pPr>
      <w:rPr>
        <w:rFonts w:ascii="Symbol" w:hAnsi="Symbol" w:hint="default"/>
      </w:rPr>
    </w:lvl>
    <w:lvl w:ilvl="7" w:tplc="AA285CD8">
      <w:start w:val="1"/>
      <w:numFmt w:val="bullet"/>
      <w:lvlText w:val="o"/>
      <w:lvlJc w:val="left"/>
      <w:pPr>
        <w:tabs>
          <w:tab w:val="num" w:pos="5058"/>
        </w:tabs>
        <w:ind w:left="5058" w:hanging="360"/>
      </w:pPr>
      <w:rPr>
        <w:rFonts w:ascii="Courier New" w:hAnsi="Courier New" w:cs="Courier New" w:hint="default"/>
      </w:rPr>
    </w:lvl>
    <w:lvl w:ilvl="8" w:tplc="5A444A8A">
      <w:start w:val="1"/>
      <w:numFmt w:val="bullet"/>
      <w:lvlText w:val=""/>
      <w:lvlJc w:val="left"/>
      <w:pPr>
        <w:tabs>
          <w:tab w:val="num" w:pos="5778"/>
        </w:tabs>
        <w:ind w:left="5778" w:hanging="360"/>
      </w:pPr>
      <w:rPr>
        <w:rFonts w:ascii="Wingdings" w:hAnsi="Wingdings" w:hint="default"/>
      </w:rPr>
    </w:lvl>
  </w:abstractNum>
  <w:abstractNum w:abstractNumId="25" w15:restartNumberingAfterBreak="0">
    <w:nsid w:val="5172431B"/>
    <w:multiLevelType w:val="hybridMultilevel"/>
    <w:tmpl w:val="DE9ECC6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845428"/>
    <w:multiLevelType w:val="hybridMultilevel"/>
    <w:tmpl w:val="39C23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181A71"/>
    <w:multiLevelType w:val="hybridMultilevel"/>
    <w:tmpl w:val="43A47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F5021B"/>
    <w:multiLevelType w:val="hybridMultilevel"/>
    <w:tmpl w:val="C6B008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345028"/>
    <w:multiLevelType w:val="hybridMultilevel"/>
    <w:tmpl w:val="ACE8D2AC"/>
    <w:lvl w:ilvl="0" w:tplc="AA10D99C">
      <w:start w:val="1"/>
      <w:numFmt w:val="decimal"/>
      <w:lvlText w:val="%1."/>
      <w:lvlJc w:val="left"/>
      <w:pPr>
        <w:ind w:left="502" w:hanging="360"/>
      </w:pPr>
    </w:lvl>
    <w:lvl w:ilvl="1" w:tplc="F31E7960">
      <w:start w:val="1"/>
      <w:numFmt w:val="lowerLetter"/>
      <w:lvlText w:val="%2."/>
      <w:lvlJc w:val="left"/>
      <w:pPr>
        <w:ind w:left="1440" w:hanging="360"/>
      </w:pPr>
    </w:lvl>
    <w:lvl w:ilvl="2" w:tplc="DC927BC0">
      <w:start w:val="1"/>
      <w:numFmt w:val="lowerRoman"/>
      <w:lvlText w:val="%3."/>
      <w:lvlJc w:val="right"/>
      <w:pPr>
        <w:ind w:left="2160" w:hanging="180"/>
      </w:pPr>
    </w:lvl>
    <w:lvl w:ilvl="3" w:tplc="153C1C36">
      <w:start w:val="1"/>
      <w:numFmt w:val="decimal"/>
      <w:lvlText w:val="%4."/>
      <w:lvlJc w:val="left"/>
      <w:pPr>
        <w:ind w:left="2880" w:hanging="360"/>
      </w:pPr>
    </w:lvl>
    <w:lvl w:ilvl="4" w:tplc="AA143208">
      <w:start w:val="1"/>
      <w:numFmt w:val="lowerLetter"/>
      <w:lvlText w:val="%5."/>
      <w:lvlJc w:val="left"/>
      <w:pPr>
        <w:ind w:left="3600" w:hanging="360"/>
      </w:pPr>
    </w:lvl>
    <w:lvl w:ilvl="5" w:tplc="C3808080">
      <w:start w:val="1"/>
      <w:numFmt w:val="lowerRoman"/>
      <w:lvlText w:val="%6."/>
      <w:lvlJc w:val="right"/>
      <w:pPr>
        <w:ind w:left="4320" w:hanging="180"/>
      </w:pPr>
    </w:lvl>
    <w:lvl w:ilvl="6" w:tplc="22BE1F2A">
      <w:start w:val="1"/>
      <w:numFmt w:val="decimal"/>
      <w:lvlText w:val="%7."/>
      <w:lvlJc w:val="left"/>
      <w:pPr>
        <w:ind w:left="5040" w:hanging="360"/>
      </w:pPr>
    </w:lvl>
    <w:lvl w:ilvl="7" w:tplc="DB642FAA">
      <w:start w:val="1"/>
      <w:numFmt w:val="lowerLetter"/>
      <w:lvlText w:val="%8."/>
      <w:lvlJc w:val="left"/>
      <w:pPr>
        <w:ind w:left="5760" w:hanging="360"/>
      </w:pPr>
    </w:lvl>
    <w:lvl w:ilvl="8" w:tplc="E174B59C">
      <w:start w:val="1"/>
      <w:numFmt w:val="lowerRoman"/>
      <w:lvlText w:val="%9."/>
      <w:lvlJc w:val="right"/>
      <w:pPr>
        <w:ind w:left="6480" w:hanging="180"/>
      </w:pPr>
    </w:lvl>
  </w:abstractNum>
  <w:abstractNum w:abstractNumId="30" w15:restartNumberingAfterBreak="0">
    <w:nsid w:val="69204A74"/>
    <w:multiLevelType w:val="hybridMultilevel"/>
    <w:tmpl w:val="701A0FAA"/>
    <w:lvl w:ilvl="0" w:tplc="5D74AE4E">
      <w:start w:val="4"/>
      <w:numFmt w:val="bullet"/>
      <w:lvlText w:val="-"/>
      <w:lvlJc w:val="left"/>
      <w:pPr>
        <w:ind w:left="720" w:hanging="360"/>
      </w:pPr>
      <w:rPr>
        <w:rFonts w:ascii="Times New Roman" w:eastAsia="Times New Roman" w:hAnsi="Times New Roman"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1" w15:restartNumberingAfterBreak="0">
    <w:nsid w:val="69B50C6A"/>
    <w:multiLevelType w:val="hybridMultilevel"/>
    <w:tmpl w:val="D4BE08A8"/>
    <w:lvl w:ilvl="0" w:tplc="6FE410BC">
      <w:start w:val="1"/>
      <w:numFmt w:val="bullet"/>
      <w:lvlText w:val=""/>
      <w:lvlJc w:val="left"/>
      <w:pPr>
        <w:ind w:left="1148"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32" w15:restartNumberingAfterBreak="0">
    <w:nsid w:val="7139706E"/>
    <w:multiLevelType w:val="multilevel"/>
    <w:tmpl w:val="0EC886EA"/>
    <w:lvl w:ilvl="0">
      <w:start w:val="1"/>
      <w:numFmt w:val="none"/>
      <w:suff w:val="nothing"/>
      <w:lvlText w:val=""/>
      <w:lvlJc w:val="left"/>
      <w:pPr>
        <w:ind w:left="284" w:firstLine="0"/>
      </w:pPr>
      <w:rPr>
        <w:rFonts w:asciiTheme="minorHAnsi" w:hAnsiTheme="minorHAnsi" w:hint="default"/>
        <w:color w:val="auto"/>
      </w:rPr>
    </w:lvl>
    <w:lvl w:ilvl="1">
      <w:start w:val="1"/>
      <w:numFmt w:val="none"/>
      <w:suff w:val="nothing"/>
      <w:lvlText w:val=""/>
      <w:lvlJc w:val="left"/>
      <w:pPr>
        <w:ind w:left="568" w:firstLine="0"/>
      </w:pPr>
      <w:rPr>
        <w:rFonts w:asciiTheme="minorHAnsi" w:hAnsiTheme="minorHAnsi" w:hint="default"/>
        <w:color w:val="auto"/>
      </w:rPr>
    </w:lvl>
    <w:lvl w:ilvl="2">
      <w:start w:val="1"/>
      <w:numFmt w:val="none"/>
      <w:suff w:val="nothing"/>
      <w:lvlText w:val=""/>
      <w:lvlJc w:val="left"/>
      <w:pPr>
        <w:ind w:left="852" w:firstLine="0"/>
      </w:pPr>
      <w:rPr>
        <w:rFonts w:asciiTheme="minorHAnsi" w:hAnsiTheme="minorHAnsi" w:hint="default"/>
        <w:color w:val="auto"/>
      </w:rPr>
    </w:lvl>
    <w:lvl w:ilvl="3">
      <w:start w:val="1"/>
      <w:numFmt w:val="none"/>
      <w:suff w:val="nothing"/>
      <w:lvlText w:val=""/>
      <w:lvlJc w:val="left"/>
      <w:pPr>
        <w:ind w:left="1136" w:firstLine="0"/>
      </w:pPr>
      <w:rPr>
        <w:rFonts w:asciiTheme="minorHAnsi" w:hAnsiTheme="minorHAnsi" w:hint="default"/>
        <w:color w:val="auto"/>
      </w:rPr>
    </w:lvl>
    <w:lvl w:ilvl="4">
      <w:start w:val="1"/>
      <w:numFmt w:val="none"/>
      <w:suff w:val="nothing"/>
      <w:lvlText w:val=""/>
      <w:lvlJc w:val="left"/>
      <w:pPr>
        <w:ind w:left="1420" w:firstLine="0"/>
      </w:pPr>
      <w:rPr>
        <w:rFonts w:asciiTheme="minorHAnsi" w:hAnsiTheme="minorHAnsi" w:hint="default"/>
        <w:color w:val="auto"/>
      </w:rPr>
    </w:lvl>
    <w:lvl w:ilvl="5">
      <w:start w:val="1"/>
      <w:numFmt w:val="none"/>
      <w:suff w:val="nothing"/>
      <w:lvlText w:val=""/>
      <w:lvlJc w:val="left"/>
      <w:pPr>
        <w:ind w:left="1704" w:firstLine="0"/>
      </w:pPr>
      <w:rPr>
        <w:rFonts w:asciiTheme="minorHAnsi" w:hAnsiTheme="minorHAnsi" w:hint="default"/>
        <w:color w:val="auto"/>
      </w:rPr>
    </w:lvl>
    <w:lvl w:ilvl="6">
      <w:start w:val="1"/>
      <w:numFmt w:val="none"/>
      <w:suff w:val="nothing"/>
      <w:lvlText w:val=""/>
      <w:lvlJc w:val="left"/>
      <w:pPr>
        <w:ind w:left="1988" w:firstLine="0"/>
      </w:pPr>
      <w:rPr>
        <w:rFonts w:hint="default"/>
        <w:color w:val="000000"/>
      </w:rPr>
    </w:lvl>
    <w:lvl w:ilvl="7">
      <w:start w:val="1"/>
      <w:numFmt w:val="none"/>
      <w:suff w:val="nothing"/>
      <w:lvlText w:val=""/>
      <w:lvlJc w:val="left"/>
      <w:pPr>
        <w:ind w:left="2272" w:firstLine="0"/>
      </w:pPr>
      <w:rPr>
        <w:rFonts w:hint="default"/>
      </w:rPr>
    </w:lvl>
    <w:lvl w:ilvl="8">
      <w:numFmt w:val="none"/>
      <w:lvlText w:val=""/>
      <w:lvlJc w:val="left"/>
      <w:pPr>
        <w:tabs>
          <w:tab w:val="num" w:pos="3407"/>
        </w:tabs>
        <w:ind w:left="2556" w:firstLine="0"/>
      </w:pPr>
      <w:rPr>
        <w:rFonts w:hint="default"/>
      </w:rPr>
    </w:lvl>
  </w:abstractNum>
  <w:abstractNum w:abstractNumId="33" w15:restartNumberingAfterBreak="0">
    <w:nsid w:val="722C4BA4"/>
    <w:multiLevelType w:val="hybridMultilevel"/>
    <w:tmpl w:val="6E9605AC"/>
    <w:lvl w:ilvl="0" w:tplc="3DCE747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15:restartNumberingAfterBreak="0">
    <w:nsid w:val="738E58BA"/>
    <w:multiLevelType w:val="hybridMultilevel"/>
    <w:tmpl w:val="5218E8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4E37FD7"/>
    <w:multiLevelType w:val="hybridMultilevel"/>
    <w:tmpl w:val="4D2641DA"/>
    <w:lvl w:ilvl="0" w:tplc="0C09000F">
      <w:start w:val="1"/>
      <w:numFmt w:val="decimal"/>
      <w:lvlText w:val="%1."/>
      <w:lvlJc w:val="left"/>
      <w:pPr>
        <w:ind w:left="801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A6C533E"/>
    <w:multiLevelType w:val="hybridMultilevel"/>
    <w:tmpl w:val="9CD04DBE"/>
    <w:lvl w:ilvl="0" w:tplc="FF90BCC6">
      <w:numFmt w:val="bullet"/>
      <w:lvlText w:val="-"/>
      <w:lvlJc w:val="left"/>
      <w:pPr>
        <w:ind w:left="720" w:hanging="360"/>
      </w:pPr>
      <w:rPr>
        <w:rFonts w:ascii="Calibri" w:eastAsia="Times New Roman" w:hAnsi="Calibri"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D3C3DE9"/>
    <w:multiLevelType w:val="hybridMultilevel"/>
    <w:tmpl w:val="3918AC86"/>
    <w:lvl w:ilvl="0" w:tplc="10ACD3A6">
      <w:numFmt w:val="bullet"/>
      <w:lvlText w:val="-"/>
      <w:lvlJc w:val="left"/>
      <w:pPr>
        <w:ind w:left="720" w:hanging="360"/>
      </w:pPr>
      <w:rPr>
        <w:rFonts w:ascii="Times New Roman" w:eastAsiaTheme="minorEastAsia"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F0E183A"/>
    <w:multiLevelType w:val="hybridMultilevel"/>
    <w:tmpl w:val="52921F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lvlOverride w:ilvl="0">
      <w:startOverride w:val="2"/>
    </w:lvlOverride>
  </w:num>
  <w:num w:numId="2">
    <w:abstractNumId w:val="25"/>
  </w:num>
  <w:num w:numId="3">
    <w:abstractNumId w:val="30"/>
  </w:num>
  <w:num w:numId="4">
    <w:abstractNumId w:val="4"/>
  </w:num>
  <w:num w:numId="5">
    <w:abstractNumId w:val="36"/>
  </w:num>
  <w:num w:numId="6">
    <w:abstractNumId w:val="6"/>
  </w:num>
  <w:num w:numId="7">
    <w:abstractNumId w:val="14"/>
  </w:num>
  <w:num w:numId="8">
    <w:abstractNumId w:val="2"/>
  </w:num>
  <w:num w:numId="9">
    <w:abstractNumId w:val="5"/>
    <w:lvlOverride w:ilvl="0">
      <w:startOverride w:val="1"/>
    </w:lvlOverride>
  </w:num>
  <w:num w:numId="10">
    <w:abstractNumId w:val="10"/>
  </w:num>
  <w:num w:numId="11">
    <w:abstractNumId w:val="19"/>
  </w:num>
  <w:num w:numId="12">
    <w:abstractNumId w:val="21"/>
  </w:num>
  <w:num w:numId="13">
    <w:abstractNumId w:val="0"/>
  </w:num>
  <w:num w:numId="14">
    <w:abstractNumId w:val="32"/>
  </w:num>
  <w:num w:numId="15">
    <w:abstractNumId w:val="28"/>
  </w:num>
  <w:num w:numId="16">
    <w:abstractNumId w:val="1"/>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7"/>
  </w:num>
  <w:num w:numId="19">
    <w:abstractNumId w:val="20"/>
  </w:num>
  <w:num w:numId="20">
    <w:abstractNumId w:val="17"/>
  </w:num>
  <w:num w:numId="21">
    <w:abstractNumId w:val="15"/>
  </w:num>
  <w:num w:numId="22">
    <w:abstractNumId w:val="12"/>
  </w:num>
  <w:num w:numId="23">
    <w:abstractNumId w:val="26"/>
  </w:num>
  <w:num w:numId="24">
    <w:abstractNumId w:val="3"/>
  </w:num>
  <w:num w:numId="25">
    <w:abstractNumId w:val="33"/>
  </w:num>
  <w:num w:numId="26">
    <w:abstractNumId w:val="18"/>
  </w:num>
  <w:num w:numId="27">
    <w:abstractNumId w:val="24"/>
  </w:num>
  <w:num w:numId="28">
    <w:abstractNumId w:val="31"/>
  </w:num>
  <w:num w:numId="29">
    <w:abstractNumId w:val="7"/>
  </w:num>
  <w:num w:numId="30">
    <w:abstractNumId w:val="16"/>
  </w:num>
  <w:num w:numId="31">
    <w:abstractNumId w:val="8"/>
  </w:num>
  <w:num w:numId="32">
    <w:abstractNumId w:val="35"/>
  </w:num>
  <w:num w:numId="33">
    <w:abstractNumId w:val="11"/>
  </w:num>
  <w:num w:numId="34">
    <w:abstractNumId w:val="38"/>
  </w:num>
  <w:num w:numId="35">
    <w:abstractNumId w:val="9"/>
  </w:num>
  <w:num w:numId="36">
    <w:abstractNumId w:val="27"/>
  </w:num>
  <w:num w:numId="37">
    <w:abstractNumId w:val="13"/>
  </w:num>
  <w:num w:numId="38">
    <w:abstractNumId w:val="34"/>
  </w:num>
  <w:num w:numId="39">
    <w:abstractNumId w:val="23"/>
  </w:num>
  <w:num w:numId="40">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embedSystemFonts/>
  <w:proofState w:spelling="clean" w:grammar="clean"/>
  <w:defaultTabStop w:val="720"/>
  <w:doNotHyphenateCaps/>
  <w:characterSpacingControl w:val="doNotCompress"/>
  <w:doNotValidateAgainstSchema/>
  <w:doNotDemarcateInvalidXml/>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9AA"/>
    <w:rsid w:val="000036DE"/>
    <w:rsid w:val="00011715"/>
    <w:rsid w:val="00011BAC"/>
    <w:rsid w:val="00037ED0"/>
    <w:rsid w:val="00043A51"/>
    <w:rsid w:val="00060FFA"/>
    <w:rsid w:val="0006474C"/>
    <w:rsid w:val="000673B3"/>
    <w:rsid w:val="0007097D"/>
    <w:rsid w:val="0007750B"/>
    <w:rsid w:val="00087852"/>
    <w:rsid w:val="00093F82"/>
    <w:rsid w:val="000A098B"/>
    <w:rsid w:val="000A2965"/>
    <w:rsid w:val="000A7BD4"/>
    <w:rsid w:val="000C2611"/>
    <w:rsid w:val="000D0D9B"/>
    <w:rsid w:val="000D7C55"/>
    <w:rsid w:val="000E2229"/>
    <w:rsid w:val="000E31DD"/>
    <w:rsid w:val="000F5F52"/>
    <w:rsid w:val="0010188F"/>
    <w:rsid w:val="00102206"/>
    <w:rsid w:val="0010498A"/>
    <w:rsid w:val="00104FED"/>
    <w:rsid w:val="001128CF"/>
    <w:rsid w:val="00125FA0"/>
    <w:rsid w:val="001352C9"/>
    <w:rsid w:val="00137B29"/>
    <w:rsid w:val="0014054F"/>
    <w:rsid w:val="0015606D"/>
    <w:rsid w:val="00165075"/>
    <w:rsid w:val="001819B6"/>
    <w:rsid w:val="00191A3C"/>
    <w:rsid w:val="001950E2"/>
    <w:rsid w:val="001952C2"/>
    <w:rsid w:val="001B1861"/>
    <w:rsid w:val="001B64FC"/>
    <w:rsid w:val="001C3D48"/>
    <w:rsid w:val="001D18F3"/>
    <w:rsid w:val="001D1DB5"/>
    <w:rsid w:val="001D4807"/>
    <w:rsid w:val="001E36F9"/>
    <w:rsid w:val="001E6574"/>
    <w:rsid w:val="001F102F"/>
    <w:rsid w:val="001F1303"/>
    <w:rsid w:val="001F3700"/>
    <w:rsid w:val="001F6ACC"/>
    <w:rsid w:val="00201BE5"/>
    <w:rsid w:val="002230F6"/>
    <w:rsid w:val="00225340"/>
    <w:rsid w:val="00226837"/>
    <w:rsid w:val="00231291"/>
    <w:rsid w:val="00234226"/>
    <w:rsid w:val="0024360E"/>
    <w:rsid w:val="00243B1B"/>
    <w:rsid w:val="00252C37"/>
    <w:rsid w:val="00254D93"/>
    <w:rsid w:val="00265167"/>
    <w:rsid w:val="00265286"/>
    <w:rsid w:val="0027535E"/>
    <w:rsid w:val="00282D42"/>
    <w:rsid w:val="00284489"/>
    <w:rsid w:val="00294B67"/>
    <w:rsid w:val="002A0412"/>
    <w:rsid w:val="002A0687"/>
    <w:rsid w:val="002A577A"/>
    <w:rsid w:val="002A7145"/>
    <w:rsid w:val="002B6EE3"/>
    <w:rsid w:val="002B730D"/>
    <w:rsid w:val="002D15EA"/>
    <w:rsid w:val="002E5269"/>
    <w:rsid w:val="002E682E"/>
    <w:rsid w:val="002F6A5C"/>
    <w:rsid w:val="002F7BB2"/>
    <w:rsid w:val="00301A33"/>
    <w:rsid w:val="00316B06"/>
    <w:rsid w:val="00323747"/>
    <w:rsid w:val="00324C80"/>
    <w:rsid w:val="003254AA"/>
    <w:rsid w:val="00335BFE"/>
    <w:rsid w:val="0035095B"/>
    <w:rsid w:val="0035101B"/>
    <w:rsid w:val="00352144"/>
    <w:rsid w:val="0035314F"/>
    <w:rsid w:val="00363EDC"/>
    <w:rsid w:val="00392892"/>
    <w:rsid w:val="00397D06"/>
    <w:rsid w:val="003A0F98"/>
    <w:rsid w:val="003A39D5"/>
    <w:rsid w:val="003D5574"/>
    <w:rsid w:val="003E130B"/>
    <w:rsid w:val="003E50AD"/>
    <w:rsid w:val="003F13EF"/>
    <w:rsid w:val="003F2014"/>
    <w:rsid w:val="00402321"/>
    <w:rsid w:val="004057AC"/>
    <w:rsid w:val="00415C6E"/>
    <w:rsid w:val="00425E70"/>
    <w:rsid w:val="0045255C"/>
    <w:rsid w:val="004535EE"/>
    <w:rsid w:val="004542EE"/>
    <w:rsid w:val="00457F89"/>
    <w:rsid w:val="0047155E"/>
    <w:rsid w:val="00475C2B"/>
    <w:rsid w:val="00490DFA"/>
    <w:rsid w:val="004A03C9"/>
    <w:rsid w:val="004A49B8"/>
    <w:rsid w:val="004A6B8A"/>
    <w:rsid w:val="004B1E85"/>
    <w:rsid w:val="004B5120"/>
    <w:rsid w:val="004C372F"/>
    <w:rsid w:val="004D726E"/>
    <w:rsid w:val="004E0359"/>
    <w:rsid w:val="004E1515"/>
    <w:rsid w:val="004F1AF1"/>
    <w:rsid w:val="00504A81"/>
    <w:rsid w:val="00507EC7"/>
    <w:rsid w:val="0051373C"/>
    <w:rsid w:val="0051399E"/>
    <w:rsid w:val="00516E4B"/>
    <w:rsid w:val="00524E22"/>
    <w:rsid w:val="00554DFA"/>
    <w:rsid w:val="00555013"/>
    <w:rsid w:val="00556D2F"/>
    <w:rsid w:val="00557150"/>
    <w:rsid w:val="00575847"/>
    <w:rsid w:val="0058191B"/>
    <w:rsid w:val="0059245A"/>
    <w:rsid w:val="005949BF"/>
    <w:rsid w:val="0059680B"/>
    <w:rsid w:val="005A21E6"/>
    <w:rsid w:val="005A47DE"/>
    <w:rsid w:val="005A7615"/>
    <w:rsid w:val="005C2877"/>
    <w:rsid w:val="005C6994"/>
    <w:rsid w:val="005D219A"/>
    <w:rsid w:val="005E7A9F"/>
    <w:rsid w:val="005F690B"/>
    <w:rsid w:val="0060653B"/>
    <w:rsid w:val="00607F3E"/>
    <w:rsid w:val="0061263D"/>
    <w:rsid w:val="0062400F"/>
    <w:rsid w:val="00643B47"/>
    <w:rsid w:val="00643C17"/>
    <w:rsid w:val="00657C63"/>
    <w:rsid w:val="0066302B"/>
    <w:rsid w:val="00663129"/>
    <w:rsid w:val="00665484"/>
    <w:rsid w:val="00693494"/>
    <w:rsid w:val="00694E0E"/>
    <w:rsid w:val="006A4E21"/>
    <w:rsid w:val="006B2C60"/>
    <w:rsid w:val="006C6E0E"/>
    <w:rsid w:val="006D170C"/>
    <w:rsid w:val="006D5161"/>
    <w:rsid w:val="006D6AC2"/>
    <w:rsid w:val="006E1B12"/>
    <w:rsid w:val="00702EA7"/>
    <w:rsid w:val="007134C5"/>
    <w:rsid w:val="00721003"/>
    <w:rsid w:val="007309D4"/>
    <w:rsid w:val="0073336B"/>
    <w:rsid w:val="0074200D"/>
    <w:rsid w:val="007477E9"/>
    <w:rsid w:val="00757A7C"/>
    <w:rsid w:val="00760FD2"/>
    <w:rsid w:val="007749AA"/>
    <w:rsid w:val="00775BE6"/>
    <w:rsid w:val="00790692"/>
    <w:rsid w:val="00791B58"/>
    <w:rsid w:val="00793C4B"/>
    <w:rsid w:val="007A173B"/>
    <w:rsid w:val="007C2AFB"/>
    <w:rsid w:val="007C6819"/>
    <w:rsid w:val="007D4236"/>
    <w:rsid w:val="007D48A3"/>
    <w:rsid w:val="007D7D30"/>
    <w:rsid w:val="007E2DEE"/>
    <w:rsid w:val="007F1457"/>
    <w:rsid w:val="007F3109"/>
    <w:rsid w:val="00801361"/>
    <w:rsid w:val="008043CF"/>
    <w:rsid w:val="00804FE6"/>
    <w:rsid w:val="00824162"/>
    <w:rsid w:val="00824890"/>
    <w:rsid w:val="00832EC4"/>
    <w:rsid w:val="00836949"/>
    <w:rsid w:val="00841FD6"/>
    <w:rsid w:val="00846BE6"/>
    <w:rsid w:val="008526F0"/>
    <w:rsid w:val="00856AAA"/>
    <w:rsid w:val="00856AEB"/>
    <w:rsid w:val="00861F88"/>
    <w:rsid w:val="0086358F"/>
    <w:rsid w:val="00881226"/>
    <w:rsid w:val="00884D25"/>
    <w:rsid w:val="00886C53"/>
    <w:rsid w:val="0089349C"/>
    <w:rsid w:val="008B5D15"/>
    <w:rsid w:val="008C0D64"/>
    <w:rsid w:val="008C53A9"/>
    <w:rsid w:val="008C6BAF"/>
    <w:rsid w:val="008C6C25"/>
    <w:rsid w:val="008E003C"/>
    <w:rsid w:val="008E2766"/>
    <w:rsid w:val="008E6DB3"/>
    <w:rsid w:val="008F7F79"/>
    <w:rsid w:val="00900340"/>
    <w:rsid w:val="00900E23"/>
    <w:rsid w:val="00913F1E"/>
    <w:rsid w:val="009160EA"/>
    <w:rsid w:val="00923124"/>
    <w:rsid w:val="00957150"/>
    <w:rsid w:val="0097749C"/>
    <w:rsid w:val="0098389D"/>
    <w:rsid w:val="0098464C"/>
    <w:rsid w:val="00986335"/>
    <w:rsid w:val="009877BC"/>
    <w:rsid w:val="00994DC5"/>
    <w:rsid w:val="009969EA"/>
    <w:rsid w:val="009A168D"/>
    <w:rsid w:val="009A2EEE"/>
    <w:rsid w:val="009B5940"/>
    <w:rsid w:val="009B7A31"/>
    <w:rsid w:val="009C2193"/>
    <w:rsid w:val="009C2BAC"/>
    <w:rsid w:val="009C32A3"/>
    <w:rsid w:val="009C5D93"/>
    <w:rsid w:val="009C6096"/>
    <w:rsid w:val="009D2F38"/>
    <w:rsid w:val="009D548B"/>
    <w:rsid w:val="009D5738"/>
    <w:rsid w:val="009E7C52"/>
    <w:rsid w:val="009F16BD"/>
    <w:rsid w:val="009F1D4C"/>
    <w:rsid w:val="00A01BB3"/>
    <w:rsid w:val="00A217E8"/>
    <w:rsid w:val="00A24A77"/>
    <w:rsid w:val="00A27AE4"/>
    <w:rsid w:val="00A33F0F"/>
    <w:rsid w:val="00A351E2"/>
    <w:rsid w:val="00A461F7"/>
    <w:rsid w:val="00A55044"/>
    <w:rsid w:val="00A6297F"/>
    <w:rsid w:val="00A64508"/>
    <w:rsid w:val="00A71D55"/>
    <w:rsid w:val="00A87B9F"/>
    <w:rsid w:val="00A925A7"/>
    <w:rsid w:val="00A9681E"/>
    <w:rsid w:val="00AA1D24"/>
    <w:rsid w:val="00AD3929"/>
    <w:rsid w:val="00AD3B75"/>
    <w:rsid w:val="00AD3C1E"/>
    <w:rsid w:val="00AD460F"/>
    <w:rsid w:val="00AE0494"/>
    <w:rsid w:val="00AE0BFD"/>
    <w:rsid w:val="00AE4BC0"/>
    <w:rsid w:val="00B00225"/>
    <w:rsid w:val="00B04037"/>
    <w:rsid w:val="00B11AD6"/>
    <w:rsid w:val="00B209A4"/>
    <w:rsid w:val="00B21A6A"/>
    <w:rsid w:val="00B2211F"/>
    <w:rsid w:val="00B262BE"/>
    <w:rsid w:val="00B43D98"/>
    <w:rsid w:val="00B44825"/>
    <w:rsid w:val="00B566AB"/>
    <w:rsid w:val="00B605FF"/>
    <w:rsid w:val="00B61A41"/>
    <w:rsid w:val="00B65F5D"/>
    <w:rsid w:val="00B74BD3"/>
    <w:rsid w:val="00B77F70"/>
    <w:rsid w:val="00B83B68"/>
    <w:rsid w:val="00B85067"/>
    <w:rsid w:val="00B93567"/>
    <w:rsid w:val="00B93614"/>
    <w:rsid w:val="00B9611C"/>
    <w:rsid w:val="00BB3B5E"/>
    <w:rsid w:val="00BC6365"/>
    <w:rsid w:val="00BD4D59"/>
    <w:rsid w:val="00BE2524"/>
    <w:rsid w:val="00BF278F"/>
    <w:rsid w:val="00BF7ED6"/>
    <w:rsid w:val="00C106C4"/>
    <w:rsid w:val="00C134F8"/>
    <w:rsid w:val="00C16418"/>
    <w:rsid w:val="00C16BF9"/>
    <w:rsid w:val="00C16DEB"/>
    <w:rsid w:val="00C26032"/>
    <w:rsid w:val="00C52C4C"/>
    <w:rsid w:val="00C64F42"/>
    <w:rsid w:val="00C83820"/>
    <w:rsid w:val="00C90B2D"/>
    <w:rsid w:val="00C9359F"/>
    <w:rsid w:val="00C977DC"/>
    <w:rsid w:val="00CA2332"/>
    <w:rsid w:val="00CA3DA2"/>
    <w:rsid w:val="00CA5A77"/>
    <w:rsid w:val="00CB1B56"/>
    <w:rsid w:val="00CB41FF"/>
    <w:rsid w:val="00CC0048"/>
    <w:rsid w:val="00CC4693"/>
    <w:rsid w:val="00CC6BB7"/>
    <w:rsid w:val="00CC7A36"/>
    <w:rsid w:val="00CD10EF"/>
    <w:rsid w:val="00CD3F34"/>
    <w:rsid w:val="00CD421C"/>
    <w:rsid w:val="00CD754F"/>
    <w:rsid w:val="00CE1B4E"/>
    <w:rsid w:val="00CE46E3"/>
    <w:rsid w:val="00D13273"/>
    <w:rsid w:val="00D25704"/>
    <w:rsid w:val="00D5199C"/>
    <w:rsid w:val="00D54B6B"/>
    <w:rsid w:val="00D65924"/>
    <w:rsid w:val="00D66481"/>
    <w:rsid w:val="00D8387E"/>
    <w:rsid w:val="00D84E79"/>
    <w:rsid w:val="00D91498"/>
    <w:rsid w:val="00D95AB6"/>
    <w:rsid w:val="00D95FB7"/>
    <w:rsid w:val="00DA2902"/>
    <w:rsid w:val="00DA39F0"/>
    <w:rsid w:val="00DB670D"/>
    <w:rsid w:val="00DC003D"/>
    <w:rsid w:val="00DC4E21"/>
    <w:rsid w:val="00DC563F"/>
    <w:rsid w:val="00DD3124"/>
    <w:rsid w:val="00DE42A4"/>
    <w:rsid w:val="00DE7AA4"/>
    <w:rsid w:val="00DF3242"/>
    <w:rsid w:val="00E00F1E"/>
    <w:rsid w:val="00E117EA"/>
    <w:rsid w:val="00E21DEB"/>
    <w:rsid w:val="00E220A5"/>
    <w:rsid w:val="00E24090"/>
    <w:rsid w:val="00E36F3E"/>
    <w:rsid w:val="00E45EAB"/>
    <w:rsid w:val="00E46966"/>
    <w:rsid w:val="00E501B9"/>
    <w:rsid w:val="00E7506A"/>
    <w:rsid w:val="00E76DB5"/>
    <w:rsid w:val="00E86056"/>
    <w:rsid w:val="00E93E4E"/>
    <w:rsid w:val="00E93ED1"/>
    <w:rsid w:val="00E94ECD"/>
    <w:rsid w:val="00E974A9"/>
    <w:rsid w:val="00EA2746"/>
    <w:rsid w:val="00EA36A9"/>
    <w:rsid w:val="00EC2DB4"/>
    <w:rsid w:val="00EC4B0C"/>
    <w:rsid w:val="00ED21FA"/>
    <w:rsid w:val="00EE2D97"/>
    <w:rsid w:val="00EE3CC2"/>
    <w:rsid w:val="00EE4111"/>
    <w:rsid w:val="00F01013"/>
    <w:rsid w:val="00F064FE"/>
    <w:rsid w:val="00F10ABB"/>
    <w:rsid w:val="00F13C5E"/>
    <w:rsid w:val="00F17733"/>
    <w:rsid w:val="00F25630"/>
    <w:rsid w:val="00F334B7"/>
    <w:rsid w:val="00F34805"/>
    <w:rsid w:val="00F40310"/>
    <w:rsid w:val="00F5374A"/>
    <w:rsid w:val="00F6208B"/>
    <w:rsid w:val="00F67109"/>
    <w:rsid w:val="00F73EE2"/>
    <w:rsid w:val="00F73FA9"/>
    <w:rsid w:val="00F75853"/>
    <w:rsid w:val="00F76EB1"/>
    <w:rsid w:val="00F77AC1"/>
    <w:rsid w:val="00F858FB"/>
    <w:rsid w:val="00F87922"/>
    <w:rsid w:val="00F96CB7"/>
    <w:rsid w:val="00FA3755"/>
    <w:rsid w:val="00FA4281"/>
    <w:rsid w:val="00FA6880"/>
    <w:rsid w:val="00FB3000"/>
    <w:rsid w:val="00FC558C"/>
    <w:rsid w:val="00FC7035"/>
    <w:rsid w:val="00FE346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o:shapelayout v:ext="edit">
      <o:idmap v:ext="edit" data="1"/>
    </o:shapelayout>
  </w:shapeDefaults>
  <w:decimalSymbol w:val="."/>
  <w:listSeparator w:val=","/>
  <w14:docId w14:val="299D6D12"/>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qFormat="1"/>
    <w:lsdException w:name="heading 3" w:uiPriority="9" w:qFormat="1"/>
    <w:lsdException w:name="heading 4"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240" w:after="0" w:line="240" w:lineRule="auto"/>
    </w:pPr>
    <w:rPr>
      <w:rFonts w:ascii="Times New Roman" w:hAnsi="Times New Roman"/>
      <w:sz w:val="24"/>
      <w:szCs w:val="24"/>
    </w:rPr>
  </w:style>
  <w:style w:type="paragraph" w:styleId="Heading2">
    <w:name w:val="heading 2"/>
    <w:basedOn w:val="Normal"/>
    <w:next w:val="Normal"/>
    <w:link w:val="Heading2Char"/>
    <w:uiPriority w:val="99"/>
    <w:qFormat/>
    <w:pPr>
      <w:keepNext/>
      <w:keepLines/>
      <w:spacing w:before="40"/>
      <w:outlineLvl w:val="1"/>
    </w:pPr>
    <w:rPr>
      <w:rFonts w:ascii="Calibri Light" w:hAnsi="Calibri Light" w:cs="Calibri Light"/>
      <w:sz w:val="26"/>
      <w:szCs w:val="26"/>
    </w:rPr>
  </w:style>
  <w:style w:type="paragraph" w:styleId="Heading3">
    <w:name w:val="heading 3"/>
    <w:basedOn w:val="Normal"/>
    <w:next w:val="Normal"/>
    <w:link w:val="Heading3Char"/>
    <w:uiPriority w:val="9"/>
    <w:qFormat/>
    <w:pPr>
      <w:keepNext/>
      <w:keepLines/>
      <w:spacing w:before="40"/>
      <w:outlineLvl w:val="2"/>
    </w:pPr>
    <w:rPr>
      <w:rFonts w:ascii="Cambria" w:hAnsi="Cambria" w:cs="Cambria"/>
    </w:rPr>
  </w:style>
  <w:style w:type="paragraph" w:styleId="Heading4">
    <w:name w:val="heading 4"/>
    <w:basedOn w:val="Normal"/>
    <w:next w:val="Normal"/>
    <w:link w:val="Heading4Char"/>
    <w:uiPriority w:val="99"/>
    <w:qFormat/>
    <w:pPr>
      <w:keepNext/>
      <w:keepLines/>
      <w:spacing w:before="40"/>
      <w:outlineLvl w:val="3"/>
    </w:pPr>
    <w:rPr>
      <w:rFonts w:ascii="Calibri Light" w:hAnsi="Calibri Light" w:cs="Calibri Light"/>
      <w:i/>
      <w:iCs/>
    </w:rPr>
  </w:style>
  <w:style w:type="paragraph" w:styleId="Heading6">
    <w:name w:val="heading 6"/>
    <w:basedOn w:val="Normal"/>
    <w:next w:val="Normal"/>
    <w:link w:val="Heading6Char"/>
    <w:uiPriority w:val="99"/>
    <w:qFormat/>
    <w:pPr>
      <w:keepNext/>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Pr>
      <w:rFonts w:ascii="Calibri Light" w:hAnsi="Calibri Light" w:cs="Calibri Light"/>
      <w:color w:val="auto"/>
      <w:sz w:val="26"/>
      <w:szCs w:val="26"/>
    </w:rPr>
  </w:style>
  <w:style w:type="character" w:customStyle="1" w:styleId="Heading3Char">
    <w:name w:val="Heading 3 Char"/>
    <w:basedOn w:val="DefaultParagraphFont"/>
    <w:link w:val="Heading3"/>
    <w:uiPriority w:val="9"/>
    <w:locked/>
    <w:rPr>
      <w:rFonts w:ascii="Cambria" w:hAnsi="Cambria" w:cs="Cambria"/>
      <w:color w:val="auto"/>
      <w:sz w:val="24"/>
      <w:szCs w:val="24"/>
      <w:lang w:val="x-none" w:eastAsia="en-AU"/>
    </w:rPr>
  </w:style>
  <w:style w:type="character" w:customStyle="1" w:styleId="Heading4Char">
    <w:name w:val="Heading 4 Char"/>
    <w:basedOn w:val="DefaultParagraphFont"/>
    <w:link w:val="Heading4"/>
    <w:uiPriority w:val="99"/>
    <w:locked/>
    <w:rPr>
      <w:rFonts w:ascii="Calibri Light" w:hAnsi="Calibri Light" w:cs="Calibri Light"/>
      <w:i/>
      <w:iCs/>
      <w:color w:val="auto"/>
      <w:sz w:val="20"/>
      <w:szCs w:val="20"/>
    </w:rPr>
  </w:style>
  <w:style w:type="character" w:customStyle="1" w:styleId="Heading6Char">
    <w:name w:val="Heading 6 Char"/>
    <w:basedOn w:val="DefaultParagraphFont"/>
    <w:link w:val="Heading6"/>
    <w:uiPriority w:val="99"/>
    <w:locked/>
    <w:rPr>
      <w:rFonts w:ascii="Times New Roman" w:hAnsi="Times New Roman" w:cs="Times New Roman"/>
      <w:sz w:val="20"/>
      <w:szCs w:val="20"/>
      <w:u w:val="single"/>
      <w:lang w:val="x-none" w:eastAsia="en-AU"/>
    </w:rPr>
  </w:style>
  <w:style w:type="paragraph" w:styleId="ListParagraph">
    <w:name w:val="List Paragraph"/>
    <w:aliases w:val="List Paragraph1,Recommendation,List Paragraph11,Bullets,TOC style,lp1,Bullet OSM,Proposal Bullet List,List Paragraph111,L,F5 List Paragraph,Dot pt,CV text,Table text,Medium Grid 1 - Accent 21,Numbered Paragraph,List Paragraph2,FooterText"/>
    <w:basedOn w:val="Normal"/>
    <w:uiPriority w:val="34"/>
    <w:qFormat/>
    <w:pPr>
      <w:ind w:left="720"/>
    </w:pPr>
  </w:style>
  <w:style w:type="character" w:customStyle="1" w:styleId="ListParagraphChar">
    <w:name w:val="List Paragraph Char"/>
    <w:aliases w:val="List Paragraph1 Char,Recommendation Char,List Paragraph11 Char,Bullets Char,TOC style Char,lp1 Char,Bullet OSM Char,Proposal Bullet List Char,List Paragraph111 Char,L Char,F5 List Paragraph Char,Dot pt Char,CV text Char,lp11 Char"/>
    <w:uiPriority w:val="34"/>
    <w:qFormat/>
    <w:rPr>
      <w:rFonts w:ascii="Times New Roman" w:hAnsi="Times New Roman"/>
      <w:sz w:val="20"/>
      <w:lang w:val="x-none" w:eastAsia="en-AU"/>
    </w:rPr>
  </w:style>
  <w:style w:type="character" w:customStyle="1" w:styleId="DINumberedParagraphChar">
    <w:name w:val="DI Numbered Paragraph Char"/>
    <w:uiPriority w:val="99"/>
    <w:rPr>
      <w:sz w:val="24"/>
    </w:rPr>
  </w:style>
  <w:style w:type="paragraph" w:customStyle="1" w:styleId="DINumberedParagraph">
    <w:name w:val="DI Numbered Paragraph"/>
    <w:basedOn w:val="Normal"/>
    <w:pPr>
      <w:numPr>
        <w:numId w:val="1"/>
      </w:numPr>
      <w:tabs>
        <w:tab w:val="left" w:pos="567"/>
      </w:tabs>
      <w:spacing w:before="0" w:after="240"/>
    </w:pPr>
    <w:rPr>
      <w:rFonts w:ascii="Calibri" w:hAnsi="Calibri" w:cs="Calibri"/>
      <w:lang w:eastAsia="en-US"/>
    </w:rPr>
  </w:style>
  <w:style w:type="paragraph" w:styleId="BalloonText">
    <w:name w:val="Balloon Text"/>
    <w:basedOn w:val="Normal"/>
    <w:link w:val="BalloonTextChar"/>
    <w:uiPriority w:val="99"/>
    <w:pPr>
      <w:spacing w:before="0"/>
    </w:pPr>
    <w:rPr>
      <w:rFonts w:ascii="Tahoma" w:hAnsi="Tahoma" w:cs="Tahoma"/>
      <w:sz w:val="16"/>
      <w:szCs w:val="16"/>
    </w:rPr>
  </w:style>
  <w:style w:type="character" w:customStyle="1" w:styleId="BalloonTextChar">
    <w:name w:val="Balloon Text Char"/>
    <w:basedOn w:val="DefaultParagraphFont"/>
    <w:link w:val="BalloonText"/>
    <w:uiPriority w:val="99"/>
    <w:locked/>
    <w:rPr>
      <w:rFonts w:ascii="Tahoma" w:hAnsi="Tahoma" w:cs="Tahoma"/>
      <w:sz w:val="16"/>
      <w:szCs w:val="16"/>
      <w:lang w:val="x-none" w:eastAsia="en-AU"/>
    </w:rPr>
  </w:style>
  <w:style w:type="paragraph" w:customStyle="1" w:styleId="BodyText10">
    <w:name w:val="Body Text1_0"/>
    <w:basedOn w:val="Normal"/>
    <w:uiPriority w:val="99"/>
    <w:rPr>
      <w:rFonts w:ascii="Arial" w:hAnsi="Arial" w:cs="Arial"/>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locked/>
    <w:rPr>
      <w:rFonts w:ascii="Times New Roman" w:hAnsi="Times New Roman" w:cs="Times New Roman"/>
      <w:sz w:val="20"/>
      <w:szCs w:val="20"/>
      <w:lang w:val="x-none" w:eastAsia="en-AU"/>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locked/>
    <w:rPr>
      <w:rFonts w:ascii="Times New Roman" w:hAnsi="Times New Roman" w:cs="Times New Roman"/>
      <w:b/>
      <w:bCs/>
      <w:sz w:val="20"/>
      <w:szCs w:val="20"/>
      <w:lang w:val="x-none" w:eastAsia="en-AU"/>
    </w:rPr>
  </w:style>
  <w:style w:type="paragraph" w:customStyle="1" w:styleId="ActHead6">
    <w:name w:val="ActHead 6"/>
    <w:aliases w:val="as"/>
    <w:basedOn w:val="Normal"/>
    <w:next w:val="Normal"/>
    <w:uiPriority w:val="99"/>
    <w:pPr>
      <w:keepNext/>
      <w:keepLines/>
      <w:spacing w:before="0"/>
      <w:ind w:left="1134" w:hanging="1134"/>
      <w:outlineLvl w:val="5"/>
    </w:pPr>
    <w:rPr>
      <w:rFonts w:ascii="Arial" w:hAnsi="Arial" w:cs="Arial"/>
      <w:b/>
      <w:bCs/>
      <w:kern w:val="28"/>
      <w:sz w:val="32"/>
      <w:szCs w:val="32"/>
    </w:rPr>
  </w:style>
  <w:style w:type="character" w:customStyle="1" w:styleId="CharAmSchNo">
    <w:name w:val="CharAmSchNo"/>
    <w:uiPriority w:val="99"/>
    <w:rPr>
      <w:rFonts w:ascii="Times New Roman" w:hAnsi="Times New Roman"/>
    </w:rPr>
  </w:style>
  <w:style w:type="paragraph" w:customStyle="1" w:styleId="ItemHead">
    <w:name w:val="ItemHead"/>
    <w:aliases w:val="ih"/>
    <w:basedOn w:val="Normal"/>
    <w:next w:val="Normal"/>
    <w:pPr>
      <w:keepNext/>
      <w:keepLines/>
      <w:spacing w:before="220"/>
      <w:ind w:left="709" w:hanging="709"/>
    </w:pPr>
    <w:rPr>
      <w:rFonts w:ascii="Arial" w:hAnsi="Arial" w:cs="Arial"/>
      <w:b/>
      <w:bCs/>
      <w:kern w:val="28"/>
    </w:rPr>
  </w:style>
  <w:style w:type="paragraph" w:styleId="BodyText">
    <w:name w:val="Body Text"/>
    <w:basedOn w:val="Normal"/>
    <w:link w:val="BodyTextChar"/>
    <w:uiPriority w:val="99"/>
    <w:pPr>
      <w:spacing w:before="120" w:after="120" w:line="264" w:lineRule="auto"/>
    </w:pPr>
    <w:rPr>
      <w:rFonts w:ascii="Calibri" w:hAnsi="Calibri" w:cs="Calibri"/>
      <w:color w:val="000000"/>
      <w:sz w:val="20"/>
      <w:szCs w:val="20"/>
      <w:lang w:eastAsia="en-US"/>
    </w:rPr>
  </w:style>
  <w:style w:type="character" w:customStyle="1" w:styleId="BodyTextChar">
    <w:name w:val="Body Text Char"/>
    <w:basedOn w:val="DefaultParagraphFont"/>
    <w:link w:val="BodyText"/>
    <w:uiPriority w:val="99"/>
    <w:locked/>
    <w:rPr>
      <w:rFonts w:cs="Times New Roman"/>
      <w:color w:val="000000"/>
      <w:sz w:val="20"/>
      <w:szCs w:val="20"/>
    </w:rPr>
  </w:style>
  <w:style w:type="paragraph" w:customStyle="1" w:styleId="Default">
    <w:name w:val="Default"/>
    <w:uiPriority w:val="99"/>
    <w:pPr>
      <w:autoSpaceDE w:val="0"/>
      <w:autoSpaceDN w:val="0"/>
      <w:adjustRightInd w:val="0"/>
      <w:spacing w:after="0" w:line="240" w:lineRule="auto"/>
    </w:pPr>
    <w:rPr>
      <w:rFonts w:ascii="Times New Roman" w:hAnsi="Times New Roman"/>
      <w:color w:val="000000"/>
      <w:sz w:val="24"/>
      <w:szCs w:val="24"/>
    </w:rPr>
  </w:style>
  <w:style w:type="character" w:styleId="Hyperlink">
    <w:name w:val="Hyperlink"/>
    <w:basedOn w:val="DefaultParagraphFont"/>
    <w:uiPriority w:val="99"/>
    <w:rPr>
      <w:rFonts w:cs="Times New Roman"/>
      <w:color w:val="auto"/>
      <w:u w:val="none"/>
      <w:effect w:val="none"/>
    </w:rPr>
  </w:style>
  <w:style w:type="character" w:styleId="Emphasis">
    <w:name w:val="Emphasis"/>
    <w:basedOn w:val="DefaultParagraphFont"/>
    <w:uiPriority w:val="99"/>
    <w:qFormat/>
    <w:rPr>
      <w:rFonts w:cs="Times New Roman"/>
      <w:i/>
      <w:iCs/>
    </w:rPr>
  </w:style>
  <w:style w:type="character" w:styleId="Strong">
    <w:name w:val="Strong"/>
    <w:basedOn w:val="DefaultParagraphFont"/>
    <w:uiPriority w:val="22"/>
    <w:qFormat/>
    <w:rPr>
      <w:rFonts w:cs="Times New Roman"/>
      <w:b/>
      <w:bCs/>
    </w:rPr>
  </w:style>
  <w:style w:type="paragraph" w:customStyle="1" w:styleId="contentelement-indentone1">
    <w:name w:val="contentelement-indentone1"/>
    <w:basedOn w:val="Normal"/>
    <w:uiPriority w:val="99"/>
    <w:pPr>
      <w:spacing w:after="240"/>
      <w:ind w:left="468"/>
    </w:pPr>
  </w:style>
  <w:style w:type="paragraph" w:customStyle="1" w:styleId="contentelement-indenttwo1">
    <w:name w:val="contentelement-indenttwo1"/>
    <w:basedOn w:val="Normal"/>
    <w:uiPriority w:val="99"/>
    <w:pPr>
      <w:spacing w:after="240"/>
      <w:ind w:left="936"/>
    </w:pPr>
  </w:style>
  <w:style w:type="paragraph" w:customStyle="1" w:styleId="ActHead7">
    <w:name w:val="ActHead 7"/>
    <w:aliases w:val="ap"/>
    <w:basedOn w:val="Normal"/>
    <w:next w:val="ItemHead"/>
    <w:qFormat/>
    <w:pPr>
      <w:keepNext/>
      <w:keepLines/>
      <w:spacing w:before="280"/>
      <w:ind w:left="1134" w:hanging="1134"/>
      <w:outlineLvl w:val="6"/>
    </w:pPr>
    <w:rPr>
      <w:rFonts w:ascii="Arial" w:hAnsi="Arial" w:cs="Arial"/>
      <w:b/>
      <w:bCs/>
      <w:kern w:val="28"/>
      <w:sz w:val="28"/>
      <w:szCs w:val="28"/>
    </w:rPr>
  </w:style>
  <w:style w:type="character" w:customStyle="1" w:styleId="CharAmPartNo">
    <w:name w:val="CharAmPartNo"/>
    <w:uiPriority w:val="99"/>
    <w:rPr>
      <w:rFonts w:ascii="Times New Roman" w:hAnsi="Times New Roman"/>
    </w:rPr>
  </w:style>
  <w:style w:type="paragraph" w:customStyle="1" w:styleId="subsection">
    <w:name w:val="subsection"/>
    <w:basedOn w:val="Normal"/>
    <w:pPr>
      <w:spacing w:before="100" w:beforeAutospacing="1" w:after="100" w:afterAutospacing="1"/>
    </w:pPr>
  </w:style>
  <w:style w:type="paragraph" w:customStyle="1" w:styleId="EMparagraph">
    <w:name w:val="EM paragraph"/>
    <w:basedOn w:val="Normal"/>
    <w:uiPriority w:val="99"/>
    <w:pPr>
      <w:widowControl w:val="0"/>
      <w:adjustRightInd w:val="0"/>
      <w:spacing w:before="0" w:after="240"/>
      <w:ind w:right="85"/>
      <w:textAlignment w:val="baseline"/>
    </w:pPr>
  </w:style>
  <w:style w:type="paragraph" w:customStyle="1" w:styleId="contentelement-indentthree1">
    <w:name w:val="contentelement-indentthree1"/>
    <w:basedOn w:val="Normal"/>
    <w:uiPriority w:val="99"/>
    <w:pPr>
      <w:spacing w:after="240"/>
      <w:ind w:left="1404"/>
    </w:pPr>
  </w:style>
  <w:style w:type="paragraph" w:customStyle="1" w:styleId="ps1bullet">
    <w:name w:val="ps1bullet"/>
    <w:basedOn w:val="Normal"/>
    <w:uiPriority w:val="99"/>
    <w:pPr>
      <w:spacing w:before="100" w:beforeAutospacing="1" w:after="100" w:afterAutospacing="1"/>
    </w:pPr>
  </w:style>
  <w:style w:type="character" w:customStyle="1" w:styleId="CharAmSchText">
    <w:name w:val="CharAmSchText"/>
    <w:uiPriority w:val="99"/>
    <w:rPr>
      <w:rFonts w:ascii="Times New Roman" w:hAnsi="Times New Roman"/>
    </w:rPr>
  </w:style>
  <w:style w:type="paragraph" w:styleId="NormalWeb">
    <w:name w:val="Normal (Web)"/>
    <w:basedOn w:val="Normal"/>
    <w:uiPriority w:val="99"/>
    <w:pPr>
      <w:spacing w:before="0" w:after="408" w:line="360" w:lineRule="auto"/>
    </w:pPr>
  </w:style>
  <w:style w:type="paragraph" w:styleId="Header">
    <w:name w:val="header"/>
    <w:basedOn w:val="Normal"/>
    <w:link w:val="HeaderChar"/>
    <w:uiPriority w:val="99"/>
    <w:pPr>
      <w:tabs>
        <w:tab w:val="center" w:pos="4513"/>
        <w:tab w:val="right" w:pos="9026"/>
      </w:tabs>
      <w:spacing w:before="0"/>
    </w:pPr>
  </w:style>
  <w:style w:type="character" w:customStyle="1" w:styleId="HeaderChar">
    <w:name w:val="Header Char"/>
    <w:basedOn w:val="DefaultParagraphFont"/>
    <w:link w:val="Header"/>
    <w:uiPriority w:val="99"/>
    <w:locked/>
    <w:rPr>
      <w:rFonts w:ascii="Times New Roman" w:hAnsi="Times New Roman" w:cs="Times New Roman"/>
      <w:sz w:val="20"/>
      <w:szCs w:val="20"/>
      <w:lang w:val="x-none" w:eastAsia="en-AU"/>
    </w:rPr>
  </w:style>
  <w:style w:type="paragraph" w:styleId="Footer">
    <w:name w:val="footer"/>
    <w:basedOn w:val="Normal"/>
    <w:link w:val="FooterChar"/>
    <w:uiPriority w:val="99"/>
    <w:pPr>
      <w:tabs>
        <w:tab w:val="center" w:pos="4513"/>
        <w:tab w:val="right" w:pos="9026"/>
      </w:tabs>
      <w:spacing w:before="0"/>
    </w:pPr>
  </w:style>
  <w:style w:type="character" w:customStyle="1" w:styleId="FooterChar">
    <w:name w:val="Footer Char"/>
    <w:basedOn w:val="DefaultParagraphFont"/>
    <w:link w:val="Footer"/>
    <w:uiPriority w:val="99"/>
    <w:locked/>
    <w:rPr>
      <w:rFonts w:ascii="Times New Roman" w:hAnsi="Times New Roman" w:cs="Times New Roman"/>
      <w:sz w:val="20"/>
      <w:szCs w:val="20"/>
      <w:lang w:val="x-none" w:eastAsia="en-AU"/>
    </w:rPr>
  </w:style>
  <w:style w:type="paragraph" w:customStyle="1" w:styleId="notedraft">
    <w:name w:val="note(draft)"/>
    <w:aliases w:val="nd"/>
    <w:basedOn w:val="Normal"/>
    <w:uiPriority w:val="99"/>
    <w:pPr>
      <w:ind w:left="284" w:hanging="284"/>
    </w:pPr>
    <w:rPr>
      <w:i/>
      <w:iCs/>
    </w:rPr>
  </w:style>
  <w:style w:type="character" w:customStyle="1" w:styleId="ActHead5Char">
    <w:name w:val="ActHead 5 Char"/>
    <w:aliases w:val="s Char"/>
    <w:rPr>
      <w:rFonts w:ascii="Times New Roman" w:hAnsi="Times New Roman"/>
      <w:b/>
      <w:kern w:val="28"/>
      <w:sz w:val="20"/>
    </w:rPr>
  </w:style>
  <w:style w:type="paragraph" w:customStyle="1" w:styleId="ActHead5">
    <w:name w:val="ActHead 5"/>
    <w:aliases w:val="s"/>
    <w:basedOn w:val="Normal"/>
    <w:next w:val="Normal"/>
    <w:qFormat/>
    <w:pPr>
      <w:keepNext/>
      <w:keepLines/>
      <w:spacing w:before="280"/>
      <w:ind w:left="1134" w:hanging="1134"/>
      <w:outlineLvl w:val="4"/>
    </w:pPr>
    <w:rPr>
      <w:b/>
      <w:bCs/>
      <w:kern w:val="28"/>
    </w:rPr>
  </w:style>
  <w:style w:type="paragraph" w:customStyle="1" w:styleId="paragraph">
    <w:name w:val="paragraph"/>
    <w:aliases w:val="a"/>
    <w:basedOn w:val="Normal"/>
    <w:link w:val="paragraphChar"/>
    <w:pPr>
      <w:tabs>
        <w:tab w:val="right" w:pos="1531"/>
      </w:tabs>
      <w:spacing w:before="40"/>
      <w:ind w:left="1644" w:hanging="1644"/>
    </w:pPr>
    <w:rPr>
      <w:sz w:val="22"/>
      <w:szCs w:val="22"/>
    </w:rPr>
  </w:style>
  <w:style w:type="paragraph" w:customStyle="1" w:styleId="SubsectionHead">
    <w:name w:val="SubsectionHead"/>
    <w:aliases w:val="ssh"/>
    <w:basedOn w:val="Normal"/>
    <w:next w:val="Normal"/>
    <w:uiPriority w:val="99"/>
    <w:pPr>
      <w:keepNext/>
      <w:keepLines/>
      <w:ind w:left="1134"/>
    </w:pPr>
    <w:rPr>
      <w:i/>
      <w:iCs/>
      <w:sz w:val="22"/>
      <w:szCs w:val="22"/>
    </w:rPr>
  </w:style>
  <w:style w:type="paragraph" w:customStyle="1" w:styleId="paragraphsub">
    <w:name w:val="paragraph(sub)"/>
    <w:aliases w:val="aa"/>
    <w:basedOn w:val="Normal"/>
    <w:uiPriority w:val="99"/>
    <w:pPr>
      <w:tabs>
        <w:tab w:val="right" w:pos="1985"/>
      </w:tabs>
      <w:spacing w:before="40"/>
      <w:ind w:left="2098" w:hanging="2098"/>
    </w:pPr>
    <w:rPr>
      <w:sz w:val="22"/>
      <w:szCs w:val="22"/>
    </w:rPr>
  </w:style>
  <w:style w:type="paragraph" w:customStyle="1" w:styleId="embullet">
    <w:name w:val="embullet"/>
    <w:basedOn w:val="Normal"/>
    <w:uiPriority w:val="99"/>
    <w:pPr>
      <w:spacing w:before="100" w:beforeAutospacing="1" w:after="100" w:afterAutospacing="1"/>
    </w:pPr>
  </w:style>
  <w:style w:type="paragraph" w:customStyle="1" w:styleId="ListParagraph2">
    <w:name w:val="List Paragraph 2"/>
    <w:basedOn w:val="Normal"/>
    <w:uiPriority w:val="19"/>
    <w:pPr>
      <w:spacing w:before="0" w:after="120" w:line="264" w:lineRule="auto"/>
      <w:ind w:left="567"/>
    </w:pPr>
    <w:rPr>
      <w:sz w:val="20"/>
      <w:szCs w:val="20"/>
    </w:rPr>
  </w:style>
  <w:style w:type="paragraph" w:customStyle="1" w:styleId="ListParagraph3">
    <w:name w:val="List Paragraph 3"/>
    <w:basedOn w:val="Normal"/>
    <w:uiPriority w:val="19"/>
    <w:pPr>
      <w:spacing w:before="0" w:after="120" w:line="264" w:lineRule="auto"/>
      <w:ind w:left="851"/>
    </w:pPr>
    <w:rPr>
      <w:sz w:val="20"/>
      <w:szCs w:val="20"/>
    </w:rPr>
  </w:style>
  <w:style w:type="paragraph" w:customStyle="1" w:styleId="ListParagraph4">
    <w:name w:val="List Paragraph 4"/>
    <w:basedOn w:val="Normal"/>
    <w:uiPriority w:val="19"/>
    <w:pPr>
      <w:spacing w:before="0" w:after="120" w:line="264" w:lineRule="auto"/>
      <w:ind w:left="1134"/>
    </w:pPr>
    <w:rPr>
      <w:sz w:val="20"/>
      <w:szCs w:val="20"/>
    </w:rPr>
  </w:style>
  <w:style w:type="paragraph" w:customStyle="1" w:styleId="ListParagraph5">
    <w:name w:val="List Paragraph 5"/>
    <w:basedOn w:val="Normal"/>
    <w:uiPriority w:val="19"/>
    <w:pPr>
      <w:spacing w:before="0" w:after="120" w:line="264" w:lineRule="auto"/>
      <w:ind w:left="1418"/>
    </w:pPr>
    <w:rPr>
      <w:sz w:val="20"/>
      <w:szCs w:val="20"/>
    </w:rPr>
  </w:style>
  <w:style w:type="paragraph" w:customStyle="1" w:styleId="ListParagraph6">
    <w:name w:val="List Paragraph 6"/>
    <w:basedOn w:val="Normal"/>
    <w:uiPriority w:val="19"/>
    <w:pPr>
      <w:spacing w:before="0" w:after="120" w:line="264" w:lineRule="auto"/>
      <w:ind w:left="1701"/>
    </w:pPr>
    <w:rPr>
      <w:sz w:val="20"/>
      <w:szCs w:val="20"/>
    </w:rPr>
  </w:style>
  <w:style w:type="character" w:customStyle="1" w:styleId="paragraphChar">
    <w:name w:val="paragraph Char"/>
    <w:aliases w:val="a Char"/>
    <w:link w:val="paragraph"/>
    <w:locked/>
    <w:rsid w:val="00265286"/>
    <w:rPr>
      <w:rFonts w:ascii="Times New Roman" w:hAnsi="Times New Roman"/>
    </w:rPr>
  </w:style>
  <w:style w:type="paragraph" w:customStyle="1" w:styleId="ESAttNormal">
    <w:name w:val="ESAtt_Normal"/>
    <w:basedOn w:val="Normal"/>
    <w:link w:val="ESAttNormalChar"/>
    <w:qFormat/>
    <w:rsid w:val="00265286"/>
    <w:pPr>
      <w:spacing w:after="240" w:line="276" w:lineRule="auto"/>
    </w:pPr>
    <w:rPr>
      <w:sz w:val="22"/>
      <w:szCs w:val="22"/>
      <w:lang w:eastAsia="en-US"/>
    </w:rPr>
  </w:style>
  <w:style w:type="character" w:customStyle="1" w:styleId="ESAttNormalChar">
    <w:name w:val="ESAtt_Normal Char"/>
    <w:link w:val="ESAttNormal"/>
    <w:locked/>
    <w:rsid w:val="00265286"/>
    <w:rPr>
      <w:rFonts w:ascii="Times New Roman" w:hAnsi="Times New Roman"/>
      <w:lang w:val="x-none" w:eastAsia="en-US"/>
    </w:rPr>
  </w:style>
  <w:style w:type="paragraph" w:styleId="NoSpacing">
    <w:name w:val="No Spacing"/>
    <w:uiPriority w:val="1"/>
    <w:qFormat/>
    <w:rsid w:val="001128CF"/>
    <w:pPr>
      <w:spacing w:after="0" w:line="240" w:lineRule="auto"/>
    </w:pPr>
    <w:rPr>
      <w:rFonts w:ascii="Times New Roman" w:eastAsia="Times New Roman" w:hAnsi="Times New Roman"/>
      <w:sz w:val="24"/>
      <w:szCs w:val="24"/>
    </w:rPr>
  </w:style>
  <w:style w:type="table" w:styleId="TableGrid">
    <w:name w:val="Table Grid"/>
    <w:basedOn w:val="TableNormal"/>
    <w:uiPriority w:val="39"/>
    <w:rsid w:val="0059245A"/>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em">
    <w:name w:val="Item"/>
    <w:aliases w:val="i"/>
    <w:basedOn w:val="Normal"/>
    <w:next w:val="ItemHead"/>
    <w:rsid w:val="00DF3242"/>
    <w:pPr>
      <w:keepLines/>
      <w:spacing w:before="80"/>
      <w:ind w:left="709"/>
    </w:pPr>
    <w:rPr>
      <w:rFonts w:eastAsia="Times New Roman"/>
      <w:sz w:val="22"/>
      <w:szCs w:val="20"/>
    </w:rPr>
  </w:style>
  <w:style w:type="character" w:customStyle="1" w:styleId="CharSectno">
    <w:name w:val="CharSectno"/>
    <w:basedOn w:val="DefaultParagraphFont"/>
    <w:qFormat/>
    <w:rsid w:val="004E1515"/>
  </w:style>
  <w:style w:type="paragraph" w:customStyle="1" w:styleId="paranumbering">
    <w:name w:val="paranumbering"/>
    <w:basedOn w:val="Normal"/>
    <w:uiPriority w:val="99"/>
    <w:rsid w:val="00575847"/>
    <w:pPr>
      <w:spacing w:before="100" w:beforeAutospacing="1" w:after="100" w:afterAutospacing="1"/>
    </w:pPr>
    <w:rPr>
      <w:rFonts w:eastAsiaTheme="minorHAnsi"/>
    </w:rPr>
  </w:style>
  <w:style w:type="paragraph" w:customStyle="1" w:styleId="contentelement-indentone">
    <w:name w:val="contentelement-indentone"/>
    <w:basedOn w:val="Normal"/>
    <w:rsid w:val="00E46966"/>
    <w:pPr>
      <w:spacing w:before="100" w:beforeAutospacing="1" w:after="100" w:afterAutospacing="1"/>
    </w:pPr>
    <w:rPr>
      <w:rFonts w:eastAsia="Times New Roman"/>
    </w:rPr>
  </w:style>
  <w:style w:type="paragraph" w:customStyle="1" w:styleId="contentelement-indenttwo">
    <w:name w:val="contentelement-indenttwo"/>
    <w:basedOn w:val="Normal"/>
    <w:rsid w:val="00E46966"/>
    <w:pPr>
      <w:spacing w:before="100" w:beforeAutospacing="1" w:after="100" w:afterAutospacing="1"/>
    </w:pPr>
    <w:rPr>
      <w:rFonts w:eastAsia="Times New Roman"/>
    </w:rPr>
  </w:style>
  <w:style w:type="paragraph" w:customStyle="1" w:styleId="contentelement-indentthree">
    <w:name w:val="contentelement-indentthree"/>
    <w:basedOn w:val="Normal"/>
    <w:rsid w:val="00E46966"/>
    <w:pPr>
      <w:spacing w:before="100" w:beforeAutospacing="1" w:after="100" w:afterAutospacing="1"/>
    </w:pPr>
    <w:rPr>
      <w:rFonts w:eastAsia="Times New Roman"/>
    </w:rPr>
  </w:style>
  <w:style w:type="character" w:customStyle="1" w:styleId="BodytextChar0">
    <w:name w:val="Body text Char"/>
    <w:link w:val="BodyText1"/>
    <w:locked/>
    <w:rsid w:val="002E5269"/>
    <w:rPr>
      <w:rFonts w:ascii="Arial" w:hAnsi="Arial" w:cs="Arial"/>
      <w:sz w:val="24"/>
      <w:szCs w:val="24"/>
    </w:rPr>
  </w:style>
  <w:style w:type="paragraph" w:customStyle="1" w:styleId="BodyText1">
    <w:name w:val="Body Text1"/>
    <w:basedOn w:val="Normal"/>
    <w:link w:val="BodytextChar0"/>
    <w:rsid w:val="002E5269"/>
    <w:rPr>
      <w:rFonts w:ascii="Arial" w:hAnsi="Arial" w:cs="Arial"/>
    </w:rPr>
  </w:style>
  <w:style w:type="character" w:customStyle="1" w:styleId="ms-rtestyle-notelink">
    <w:name w:val="ms-rtestyle-notelink"/>
    <w:basedOn w:val="DefaultParagraphFont"/>
    <w:rsid w:val="00804FE6"/>
  </w:style>
  <w:style w:type="paragraph" w:customStyle="1" w:styleId="Bodytextbullet">
    <w:name w:val="Body text bullet"/>
    <w:basedOn w:val="Normal"/>
    <w:rsid w:val="009B7A31"/>
    <w:pPr>
      <w:numPr>
        <w:numId w:val="27"/>
      </w:numPr>
      <w:spacing w:before="60"/>
    </w:pPr>
    <w:rPr>
      <w:rFonts w:ascii="Arial" w:eastAsia="Times New Roman" w:hAnsi="Arial" w:cs="Arial"/>
    </w:rPr>
  </w:style>
  <w:style w:type="paragraph" w:styleId="FootnoteText">
    <w:name w:val="footnote text"/>
    <w:basedOn w:val="Normal"/>
    <w:link w:val="FootnoteTextChar"/>
    <w:uiPriority w:val="99"/>
    <w:semiHidden/>
    <w:unhideWhenUsed/>
    <w:rsid w:val="005C6994"/>
    <w:pPr>
      <w:spacing w:before="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5C6994"/>
    <w:rPr>
      <w:rFonts w:eastAsiaTheme="minorHAnsi" w:cstheme="minorBidi"/>
      <w:sz w:val="20"/>
      <w:szCs w:val="20"/>
      <w:lang w:eastAsia="en-US"/>
    </w:rPr>
  </w:style>
  <w:style w:type="character" w:styleId="FootnoteReference">
    <w:name w:val="footnote reference"/>
    <w:basedOn w:val="DefaultParagraphFont"/>
    <w:uiPriority w:val="99"/>
    <w:semiHidden/>
    <w:unhideWhenUsed/>
    <w:rsid w:val="005C699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165">
      <w:bodyDiv w:val="1"/>
      <w:marLeft w:val="0"/>
      <w:marRight w:val="0"/>
      <w:marTop w:val="0"/>
      <w:marBottom w:val="0"/>
      <w:divBdr>
        <w:top w:val="none" w:sz="0" w:space="0" w:color="auto"/>
        <w:left w:val="none" w:sz="0" w:space="0" w:color="auto"/>
        <w:bottom w:val="none" w:sz="0" w:space="0" w:color="auto"/>
        <w:right w:val="none" w:sz="0" w:space="0" w:color="auto"/>
      </w:divBdr>
    </w:div>
    <w:div w:id="219244077">
      <w:bodyDiv w:val="1"/>
      <w:marLeft w:val="0"/>
      <w:marRight w:val="0"/>
      <w:marTop w:val="0"/>
      <w:marBottom w:val="0"/>
      <w:divBdr>
        <w:top w:val="none" w:sz="0" w:space="0" w:color="auto"/>
        <w:left w:val="none" w:sz="0" w:space="0" w:color="auto"/>
        <w:bottom w:val="none" w:sz="0" w:space="0" w:color="auto"/>
        <w:right w:val="none" w:sz="0" w:space="0" w:color="auto"/>
      </w:divBdr>
    </w:div>
    <w:div w:id="231811867">
      <w:bodyDiv w:val="1"/>
      <w:marLeft w:val="0"/>
      <w:marRight w:val="0"/>
      <w:marTop w:val="0"/>
      <w:marBottom w:val="0"/>
      <w:divBdr>
        <w:top w:val="none" w:sz="0" w:space="0" w:color="auto"/>
        <w:left w:val="none" w:sz="0" w:space="0" w:color="auto"/>
        <w:bottom w:val="none" w:sz="0" w:space="0" w:color="auto"/>
        <w:right w:val="none" w:sz="0" w:space="0" w:color="auto"/>
      </w:divBdr>
    </w:div>
    <w:div w:id="263658238">
      <w:bodyDiv w:val="1"/>
      <w:marLeft w:val="0"/>
      <w:marRight w:val="0"/>
      <w:marTop w:val="0"/>
      <w:marBottom w:val="0"/>
      <w:divBdr>
        <w:top w:val="none" w:sz="0" w:space="0" w:color="auto"/>
        <w:left w:val="none" w:sz="0" w:space="0" w:color="auto"/>
        <w:bottom w:val="none" w:sz="0" w:space="0" w:color="auto"/>
        <w:right w:val="none" w:sz="0" w:space="0" w:color="auto"/>
      </w:divBdr>
    </w:div>
    <w:div w:id="286738942">
      <w:bodyDiv w:val="1"/>
      <w:marLeft w:val="0"/>
      <w:marRight w:val="0"/>
      <w:marTop w:val="0"/>
      <w:marBottom w:val="0"/>
      <w:divBdr>
        <w:top w:val="none" w:sz="0" w:space="0" w:color="auto"/>
        <w:left w:val="none" w:sz="0" w:space="0" w:color="auto"/>
        <w:bottom w:val="none" w:sz="0" w:space="0" w:color="auto"/>
        <w:right w:val="none" w:sz="0" w:space="0" w:color="auto"/>
      </w:divBdr>
    </w:div>
    <w:div w:id="366679102">
      <w:bodyDiv w:val="1"/>
      <w:marLeft w:val="0"/>
      <w:marRight w:val="0"/>
      <w:marTop w:val="0"/>
      <w:marBottom w:val="0"/>
      <w:divBdr>
        <w:top w:val="none" w:sz="0" w:space="0" w:color="auto"/>
        <w:left w:val="none" w:sz="0" w:space="0" w:color="auto"/>
        <w:bottom w:val="none" w:sz="0" w:space="0" w:color="auto"/>
        <w:right w:val="none" w:sz="0" w:space="0" w:color="auto"/>
      </w:divBdr>
    </w:div>
    <w:div w:id="524831065">
      <w:bodyDiv w:val="1"/>
      <w:marLeft w:val="0"/>
      <w:marRight w:val="0"/>
      <w:marTop w:val="0"/>
      <w:marBottom w:val="0"/>
      <w:divBdr>
        <w:top w:val="none" w:sz="0" w:space="0" w:color="auto"/>
        <w:left w:val="none" w:sz="0" w:space="0" w:color="auto"/>
        <w:bottom w:val="none" w:sz="0" w:space="0" w:color="auto"/>
        <w:right w:val="none" w:sz="0" w:space="0" w:color="auto"/>
      </w:divBdr>
    </w:div>
    <w:div w:id="798763367">
      <w:bodyDiv w:val="1"/>
      <w:marLeft w:val="0"/>
      <w:marRight w:val="0"/>
      <w:marTop w:val="0"/>
      <w:marBottom w:val="0"/>
      <w:divBdr>
        <w:top w:val="none" w:sz="0" w:space="0" w:color="auto"/>
        <w:left w:val="none" w:sz="0" w:space="0" w:color="auto"/>
        <w:bottom w:val="none" w:sz="0" w:space="0" w:color="auto"/>
        <w:right w:val="none" w:sz="0" w:space="0" w:color="auto"/>
      </w:divBdr>
    </w:div>
    <w:div w:id="820389654">
      <w:bodyDiv w:val="1"/>
      <w:marLeft w:val="0"/>
      <w:marRight w:val="0"/>
      <w:marTop w:val="0"/>
      <w:marBottom w:val="0"/>
      <w:divBdr>
        <w:top w:val="none" w:sz="0" w:space="0" w:color="auto"/>
        <w:left w:val="none" w:sz="0" w:space="0" w:color="auto"/>
        <w:bottom w:val="none" w:sz="0" w:space="0" w:color="auto"/>
        <w:right w:val="none" w:sz="0" w:space="0" w:color="auto"/>
      </w:divBdr>
      <w:divsChild>
        <w:div w:id="1009913695">
          <w:marLeft w:val="0"/>
          <w:marRight w:val="0"/>
          <w:marTop w:val="0"/>
          <w:marBottom w:val="0"/>
          <w:divBdr>
            <w:top w:val="none" w:sz="0" w:space="0" w:color="auto"/>
            <w:left w:val="none" w:sz="0" w:space="0" w:color="auto"/>
            <w:bottom w:val="none" w:sz="0" w:space="0" w:color="auto"/>
            <w:right w:val="none" w:sz="0" w:space="0" w:color="auto"/>
          </w:divBdr>
          <w:divsChild>
            <w:div w:id="1763448480">
              <w:marLeft w:val="0"/>
              <w:marRight w:val="0"/>
              <w:marTop w:val="0"/>
              <w:marBottom w:val="0"/>
              <w:divBdr>
                <w:top w:val="none" w:sz="0" w:space="0" w:color="auto"/>
                <w:left w:val="none" w:sz="0" w:space="0" w:color="auto"/>
                <w:bottom w:val="none" w:sz="0" w:space="0" w:color="auto"/>
                <w:right w:val="none" w:sz="0" w:space="0" w:color="auto"/>
              </w:divBdr>
            </w:div>
            <w:div w:id="393311057">
              <w:marLeft w:val="0"/>
              <w:marRight w:val="0"/>
              <w:marTop w:val="0"/>
              <w:marBottom w:val="0"/>
              <w:divBdr>
                <w:top w:val="none" w:sz="0" w:space="0" w:color="auto"/>
                <w:left w:val="none" w:sz="0" w:space="0" w:color="auto"/>
                <w:bottom w:val="none" w:sz="0" w:space="0" w:color="auto"/>
                <w:right w:val="none" w:sz="0" w:space="0" w:color="auto"/>
              </w:divBdr>
            </w:div>
            <w:div w:id="292292537">
              <w:marLeft w:val="0"/>
              <w:marRight w:val="0"/>
              <w:marTop w:val="0"/>
              <w:marBottom w:val="0"/>
              <w:divBdr>
                <w:top w:val="none" w:sz="0" w:space="0" w:color="auto"/>
                <w:left w:val="none" w:sz="0" w:space="0" w:color="auto"/>
                <w:bottom w:val="none" w:sz="0" w:space="0" w:color="auto"/>
                <w:right w:val="none" w:sz="0" w:space="0" w:color="auto"/>
              </w:divBdr>
            </w:div>
            <w:div w:id="13758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15258">
      <w:bodyDiv w:val="1"/>
      <w:marLeft w:val="0"/>
      <w:marRight w:val="0"/>
      <w:marTop w:val="0"/>
      <w:marBottom w:val="0"/>
      <w:divBdr>
        <w:top w:val="none" w:sz="0" w:space="0" w:color="auto"/>
        <w:left w:val="none" w:sz="0" w:space="0" w:color="auto"/>
        <w:bottom w:val="none" w:sz="0" w:space="0" w:color="auto"/>
        <w:right w:val="none" w:sz="0" w:space="0" w:color="auto"/>
      </w:divBdr>
    </w:div>
    <w:div w:id="1283732553">
      <w:bodyDiv w:val="1"/>
      <w:marLeft w:val="0"/>
      <w:marRight w:val="0"/>
      <w:marTop w:val="0"/>
      <w:marBottom w:val="0"/>
      <w:divBdr>
        <w:top w:val="none" w:sz="0" w:space="0" w:color="auto"/>
        <w:left w:val="none" w:sz="0" w:space="0" w:color="auto"/>
        <w:bottom w:val="none" w:sz="0" w:space="0" w:color="auto"/>
        <w:right w:val="none" w:sz="0" w:space="0" w:color="auto"/>
      </w:divBdr>
    </w:div>
    <w:div w:id="1329212102">
      <w:bodyDiv w:val="1"/>
      <w:marLeft w:val="0"/>
      <w:marRight w:val="0"/>
      <w:marTop w:val="0"/>
      <w:marBottom w:val="0"/>
      <w:divBdr>
        <w:top w:val="none" w:sz="0" w:space="0" w:color="auto"/>
        <w:left w:val="none" w:sz="0" w:space="0" w:color="auto"/>
        <w:bottom w:val="none" w:sz="0" w:space="0" w:color="auto"/>
        <w:right w:val="none" w:sz="0" w:space="0" w:color="auto"/>
      </w:divBdr>
    </w:div>
    <w:div w:id="1452936083">
      <w:bodyDiv w:val="1"/>
      <w:marLeft w:val="0"/>
      <w:marRight w:val="0"/>
      <w:marTop w:val="0"/>
      <w:marBottom w:val="0"/>
      <w:divBdr>
        <w:top w:val="none" w:sz="0" w:space="0" w:color="auto"/>
        <w:left w:val="none" w:sz="0" w:space="0" w:color="auto"/>
        <w:bottom w:val="none" w:sz="0" w:space="0" w:color="auto"/>
        <w:right w:val="none" w:sz="0" w:space="0" w:color="auto"/>
      </w:divBdr>
      <w:divsChild>
        <w:div w:id="1370715857">
          <w:marLeft w:val="0"/>
          <w:marRight w:val="0"/>
          <w:marTop w:val="0"/>
          <w:marBottom w:val="0"/>
          <w:divBdr>
            <w:top w:val="none" w:sz="0" w:space="0" w:color="auto"/>
            <w:left w:val="none" w:sz="0" w:space="0" w:color="auto"/>
            <w:bottom w:val="none" w:sz="0" w:space="0" w:color="auto"/>
            <w:right w:val="none" w:sz="0" w:space="0" w:color="auto"/>
          </w:divBdr>
          <w:divsChild>
            <w:div w:id="1443649319">
              <w:marLeft w:val="0"/>
              <w:marRight w:val="0"/>
              <w:marTop w:val="0"/>
              <w:marBottom w:val="0"/>
              <w:divBdr>
                <w:top w:val="none" w:sz="0" w:space="0" w:color="auto"/>
                <w:left w:val="none" w:sz="0" w:space="0" w:color="auto"/>
                <w:bottom w:val="none" w:sz="0" w:space="0" w:color="auto"/>
                <w:right w:val="none" w:sz="0" w:space="0" w:color="auto"/>
              </w:divBdr>
            </w:div>
            <w:div w:id="394473328">
              <w:marLeft w:val="0"/>
              <w:marRight w:val="0"/>
              <w:marTop w:val="0"/>
              <w:marBottom w:val="0"/>
              <w:divBdr>
                <w:top w:val="none" w:sz="0" w:space="0" w:color="auto"/>
                <w:left w:val="none" w:sz="0" w:space="0" w:color="auto"/>
                <w:bottom w:val="none" w:sz="0" w:space="0" w:color="auto"/>
                <w:right w:val="none" w:sz="0" w:space="0" w:color="auto"/>
              </w:divBdr>
            </w:div>
            <w:div w:id="21172432">
              <w:marLeft w:val="0"/>
              <w:marRight w:val="0"/>
              <w:marTop w:val="0"/>
              <w:marBottom w:val="0"/>
              <w:divBdr>
                <w:top w:val="none" w:sz="0" w:space="0" w:color="auto"/>
                <w:left w:val="none" w:sz="0" w:space="0" w:color="auto"/>
                <w:bottom w:val="none" w:sz="0" w:space="0" w:color="auto"/>
                <w:right w:val="none" w:sz="0" w:space="0" w:color="auto"/>
              </w:divBdr>
            </w:div>
            <w:div w:id="223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5726">
      <w:bodyDiv w:val="1"/>
      <w:marLeft w:val="0"/>
      <w:marRight w:val="0"/>
      <w:marTop w:val="0"/>
      <w:marBottom w:val="0"/>
      <w:divBdr>
        <w:top w:val="none" w:sz="0" w:space="0" w:color="auto"/>
        <w:left w:val="none" w:sz="0" w:space="0" w:color="auto"/>
        <w:bottom w:val="none" w:sz="0" w:space="0" w:color="auto"/>
        <w:right w:val="none" w:sz="0" w:space="0" w:color="auto"/>
      </w:divBdr>
    </w:div>
    <w:div w:id="1735934015">
      <w:bodyDiv w:val="1"/>
      <w:marLeft w:val="0"/>
      <w:marRight w:val="0"/>
      <w:marTop w:val="0"/>
      <w:marBottom w:val="0"/>
      <w:divBdr>
        <w:top w:val="none" w:sz="0" w:space="0" w:color="auto"/>
        <w:left w:val="none" w:sz="0" w:space="0" w:color="auto"/>
        <w:bottom w:val="none" w:sz="0" w:space="0" w:color="auto"/>
        <w:right w:val="none" w:sz="0" w:space="0" w:color="auto"/>
      </w:divBdr>
      <w:divsChild>
        <w:div w:id="1744524723">
          <w:marLeft w:val="0"/>
          <w:marRight w:val="0"/>
          <w:marTop w:val="0"/>
          <w:marBottom w:val="0"/>
          <w:divBdr>
            <w:top w:val="none" w:sz="0" w:space="0" w:color="auto"/>
            <w:left w:val="none" w:sz="0" w:space="0" w:color="auto"/>
            <w:bottom w:val="none" w:sz="0" w:space="0" w:color="auto"/>
            <w:right w:val="none" w:sz="0" w:space="0" w:color="auto"/>
          </w:divBdr>
          <w:divsChild>
            <w:div w:id="915627275">
              <w:marLeft w:val="0"/>
              <w:marRight w:val="0"/>
              <w:marTop w:val="0"/>
              <w:marBottom w:val="0"/>
              <w:divBdr>
                <w:top w:val="none" w:sz="0" w:space="0" w:color="auto"/>
                <w:left w:val="none" w:sz="0" w:space="0" w:color="auto"/>
                <w:bottom w:val="none" w:sz="0" w:space="0" w:color="auto"/>
                <w:right w:val="none" w:sz="0" w:space="0" w:color="auto"/>
              </w:divBdr>
            </w:div>
            <w:div w:id="383412665">
              <w:marLeft w:val="0"/>
              <w:marRight w:val="0"/>
              <w:marTop w:val="0"/>
              <w:marBottom w:val="0"/>
              <w:divBdr>
                <w:top w:val="none" w:sz="0" w:space="0" w:color="auto"/>
                <w:left w:val="none" w:sz="0" w:space="0" w:color="auto"/>
                <w:bottom w:val="none" w:sz="0" w:space="0" w:color="auto"/>
                <w:right w:val="none" w:sz="0" w:space="0" w:color="auto"/>
              </w:divBdr>
            </w:div>
            <w:div w:id="40786597">
              <w:marLeft w:val="0"/>
              <w:marRight w:val="0"/>
              <w:marTop w:val="0"/>
              <w:marBottom w:val="0"/>
              <w:divBdr>
                <w:top w:val="none" w:sz="0" w:space="0" w:color="auto"/>
                <w:left w:val="none" w:sz="0" w:space="0" w:color="auto"/>
                <w:bottom w:val="none" w:sz="0" w:space="0" w:color="auto"/>
                <w:right w:val="none" w:sz="0" w:space="0" w:color="auto"/>
              </w:divBdr>
            </w:div>
            <w:div w:id="38595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15379">
      <w:bodyDiv w:val="1"/>
      <w:marLeft w:val="0"/>
      <w:marRight w:val="0"/>
      <w:marTop w:val="0"/>
      <w:marBottom w:val="0"/>
      <w:divBdr>
        <w:top w:val="none" w:sz="0" w:space="0" w:color="auto"/>
        <w:left w:val="none" w:sz="0" w:space="0" w:color="auto"/>
        <w:bottom w:val="none" w:sz="0" w:space="0" w:color="auto"/>
        <w:right w:val="none" w:sz="0" w:space="0" w:color="auto"/>
      </w:divBdr>
    </w:div>
    <w:div w:id="1793210607">
      <w:bodyDiv w:val="1"/>
      <w:marLeft w:val="0"/>
      <w:marRight w:val="0"/>
      <w:marTop w:val="0"/>
      <w:marBottom w:val="0"/>
      <w:divBdr>
        <w:top w:val="none" w:sz="0" w:space="0" w:color="auto"/>
        <w:left w:val="none" w:sz="0" w:space="0" w:color="auto"/>
        <w:bottom w:val="none" w:sz="0" w:space="0" w:color="auto"/>
        <w:right w:val="none" w:sz="0" w:space="0" w:color="auto"/>
      </w:divBdr>
    </w:div>
    <w:div w:id="1942716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nd.border.gov.au/migration/2021-2024/2024/10-05-2024/regs/Pages/_document00000/_level%20100001/_level%20200001/level%20200002.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legend.border.gov.au/migration/2021-2024/2024/10-05-2024/regs/Pages/_document00000/_level%20100008/level%20200185.aspx"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egend.border.gov.au/migration/2021-2024/2024/10-05-2024/regs/Pages/_document00000/_level%20100001/_level%20200001/level%20200002.aspx"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4922</Words>
  <Characters>26746</Characters>
  <Application>Microsoft Office Word</Application>
  <DocSecurity>0</DocSecurity>
  <Lines>222</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2024-06-28T05:36:00Z</dcterms:created>
  <dcterms:modified xsi:type="dcterms:W3CDTF">2024-06-28T08:17:00Z</dcterms:modified>
</cp:coreProperties>
</file>