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7559E" w14:textId="77777777" w:rsidR="0048364F" w:rsidRPr="007712D4" w:rsidRDefault="00193461" w:rsidP="0020300C">
      <w:pPr>
        <w:rPr>
          <w:sz w:val="28"/>
        </w:rPr>
      </w:pPr>
      <w:r w:rsidRPr="007712D4">
        <w:rPr>
          <w:noProof/>
          <w:lang w:eastAsia="en-AU"/>
        </w:rPr>
        <w:drawing>
          <wp:inline distT="0" distB="0" distL="0" distR="0" wp14:anchorId="70F79856" wp14:editId="6635344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97C7A4C" w14:textId="77777777" w:rsidR="0048364F" w:rsidRPr="007712D4" w:rsidRDefault="0048364F" w:rsidP="0048364F">
      <w:pPr>
        <w:rPr>
          <w:sz w:val="19"/>
        </w:rPr>
      </w:pPr>
    </w:p>
    <w:p w14:paraId="276C7EAB" w14:textId="77777777" w:rsidR="006F2462" w:rsidRPr="007712D4" w:rsidRDefault="006F2462" w:rsidP="006F2462">
      <w:pPr>
        <w:rPr>
          <w:sz w:val="19"/>
        </w:rPr>
      </w:pPr>
      <w:r w:rsidRPr="007712D4">
        <w:rPr>
          <w:b/>
          <w:sz w:val="28"/>
          <w:szCs w:val="28"/>
        </w:rPr>
        <w:t>PB</w:t>
      </w:r>
      <w:r w:rsidR="002462C3" w:rsidRPr="007712D4">
        <w:rPr>
          <w:b/>
          <w:sz w:val="28"/>
          <w:szCs w:val="28"/>
        </w:rPr>
        <w:t xml:space="preserve"> 66 </w:t>
      </w:r>
      <w:r w:rsidRPr="007712D4">
        <w:rPr>
          <w:b/>
          <w:sz w:val="28"/>
          <w:szCs w:val="28"/>
        </w:rPr>
        <w:t>of 2024</w:t>
      </w:r>
    </w:p>
    <w:p w14:paraId="08441D6C" w14:textId="77777777" w:rsidR="00784F22" w:rsidRPr="007712D4" w:rsidRDefault="00784F22" w:rsidP="006F2462"/>
    <w:p w14:paraId="38296DA9" w14:textId="77777777" w:rsidR="0048364F" w:rsidRPr="007712D4" w:rsidRDefault="008157EC" w:rsidP="0048364F">
      <w:pPr>
        <w:pStyle w:val="ShortT"/>
      </w:pPr>
      <w:bookmarkStart w:id="0" w:name="_GoBack"/>
      <w:r w:rsidRPr="007712D4">
        <w:t xml:space="preserve">National Health </w:t>
      </w:r>
      <w:r w:rsidR="00180BF2" w:rsidRPr="007712D4">
        <w:t xml:space="preserve">Legislation Amendment </w:t>
      </w:r>
      <w:r w:rsidRPr="007712D4">
        <w:t>(</w:t>
      </w:r>
      <w:r w:rsidR="00147D19" w:rsidRPr="007712D4">
        <w:t>Extension of Closing the Gap</w:t>
      </w:r>
      <w:bookmarkEnd w:id="0"/>
      <w:r w:rsidR="007C317F" w:rsidRPr="007712D4">
        <w:t xml:space="preserve"> </w:t>
      </w:r>
      <w:r w:rsidR="00C9210D" w:rsidRPr="007712D4">
        <w:t>–</w:t>
      </w:r>
      <w:r w:rsidR="007C317F" w:rsidRPr="007712D4">
        <w:t xml:space="preserve"> </w:t>
      </w:r>
      <w:r w:rsidR="00147D19" w:rsidRPr="007712D4">
        <w:t>PBS Co</w:t>
      </w:r>
      <w:r w:rsidR="007712D4">
        <w:noBreakHyphen/>
      </w:r>
      <w:r w:rsidR="00147D19" w:rsidRPr="007712D4">
        <w:t xml:space="preserve">payment </w:t>
      </w:r>
      <w:r w:rsidR="00DB46C6" w:rsidRPr="007712D4">
        <w:t>P</w:t>
      </w:r>
      <w:r w:rsidR="00147D19" w:rsidRPr="007712D4">
        <w:t>rogram</w:t>
      </w:r>
      <w:r w:rsidR="00331C65" w:rsidRPr="007712D4">
        <w:t>)</w:t>
      </w:r>
      <w:r w:rsidR="005210B5" w:rsidRPr="007712D4">
        <w:t xml:space="preserve"> Instrument 202</w:t>
      </w:r>
      <w:r w:rsidR="00C05C54" w:rsidRPr="007712D4">
        <w:t>4</w:t>
      </w:r>
    </w:p>
    <w:p w14:paraId="2860B36E" w14:textId="77777777" w:rsidR="006F2462" w:rsidRPr="007712D4" w:rsidRDefault="006F2462" w:rsidP="006F2462">
      <w:pPr>
        <w:pStyle w:val="SignCoverPageStart"/>
        <w:rPr>
          <w:szCs w:val="22"/>
        </w:rPr>
      </w:pPr>
      <w:r w:rsidRPr="007712D4">
        <w:rPr>
          <w:szCs w:val="22"/>
        </w:rPr>
        <w:t xml:space="preserve">I, </w:t>
      </w:r>
      <w:r w:rsidR="001E1C34" w:rsidRPr="007712D4">
        <w:rPr>
          <w:lang w:eastAsia="en-US"/>
        </w:rPr>
        <w:t>David Laffan</w:t>
      </w:r>
      <w:r w:rsidRPr="007712D4">
        <w:rPr>
          <w:szCs w:val="22"/>
        </w:rPr>
        <w:t>, as delegate of the Minister for Health and Aged Care, make the following instrument.</w:t>
      </w:r>
    </w:p>
    <w:p w14:paraId="20D03DEF" w14:textId="4D84D133" w:rsidR="006F2462" w:rsidRPr="007712D4" w:rsidRDefault="006F2462" w:rsidP="006F2462">
      <w:pPr>
        <w:keepNext/>
        <w:spacing w:before="300" w:line="240" w:lineRule="atLeast"/>
        <w:ind w:right="397"/>
        <w:jc w:val="both"/>
        <w:rPr>
          <w:szCs w:val="22"/>
        </w:rPr>
      </w:pPr>
      <w:r w:rsidRPr="007712D4">
        <w:rPr>
          <w:szCs w:val="22"/>
        </w:rPr>
        <w:t>Dated</w:t>
      </w:r>
      <w:r w:rsidRPr="007712D4">
        <w:rPr>
          <w:szCs w:val="22"/>
        </w:rPr>
        <w:tab/>
      </w:r>
      <w:r w:rsidR="00735A92">
        <w:rPr>
          <w:szCs w:val="22"/>
        </w:rPr>
        <w:t xml:space="preserve">19 June </w:t>
      </w:r>
      <w:r w:rsidRPr="007712D4">
        <w:rPr>
          <w:szCs w:val="22"/>
        </w:rPr>
        <w:t>2024</w:t>
      </w:r>
    </w:p>
    <w:p w14:paraId="6FE4AB6D" w14:textId="77777777" w:rsidR="006F2462" w:rsidRPr="007712D4" w:rsidRDefault="001E1C34" w:rsidP="006F2462">
      <w:pPr>
        <w:keepNext/>
        <w:tabs>
          <w:tab w:val="left" w:pos="3402"/>
        </w:tabs>
        <w:spacing w:before="1440" w:line="300" w:lineRule="atLeast"/>
        <w:ind w:right="397"/>
        <w:rPr>
          <w:szCs w:val="22"/>
        </w:rPr>
      </w:pPr>
      <w:r w:rsidRPr="007712D4">
        <w:t>David Laffan</w:t>
      </w:r>
    </w:p>
    <w:p w14:paraId="329157E1" w14:textId="77777777" w:rsidR="006F2462" w:rsidRPr="007712D4" w:rsidRDefault="006F2462" w:rsidP="006F2462">
      <w:pPr>
        <w:pStyle w:val="SignCoverPageEnd"/>
        <w:rPr>
          <w:szCs w:val="22"/>
        </w:rPr>
      </w:pPr>
      <w:r w:rsidRPr="007712D4">
        <w:rPr>
          <w:lang w:eastAsia="en-US"/>
        </w:rPr>
        <w:t>Assistant Secretary</w:t>
      </w:r>
      <w:r w:rsidRPr="007712D4">
        <w:rPr>
          <w:lang w:eastAsia="en-US"/>
        </w:rPr>
        <w:br/>
        <w:t>Pharmacy Branch</w:t>
      </w:r>
      <w:r w:rsidRPr="007712D4">
        <w:rPr>
          <w:lang w:eastAsia="en-US"/>
        </w:rPr>
        <w:br/>
        <w:t>Technology Assessment and Access Division</w:t>
      </w:r>
      <w:r w:rsidRPr="007712D4">
        <w:rPr>
          <w:lang w:eastAsia="en-US"/>
        </w:rPr>
        <w:br/>
        <w:t>Department of Health</w:t>
      </w:r>
      <w:r w:rsidR="004018EF" w:rsidRPr="007712D4">
        <w:rPr>
          <w:lang w:eastAsia="en-US"/>
        </w:rPr>
        <w:t xml:space="preserve"> and Aged Care</w:t>
      </w:r>
    </w:p>
    <w:p w14:paraId="0CE52025" w14:textId="77777777" w:rsidR="0048364F" w:rsidRPr="007712D4" w:rsidRDefault="0048364F" w:rsidP="0048364F"/>
    <w:p w14:paraId="4D0ED0E8" w14:textId="77777777" w:rsidR="0048364F" w:rsidRPr="00182579" w:rsidRDefault="0048364F" w:rsidP="0048364F">
      <w:pPr>
        <w:pStyle w:val="Header"/>
        <w:tabs>
          <w:tab w:val="clear" w:pos="4150"/>
          <w:tab w:val="clear" w:pos="8307"/>
        </w:tabs>
      </w:pPr>
      <w:r w:rsidRPr="00182579">
        <w:rPr>
          <w:rStyle w:val="CharAmSchNo"/>
        </w:rPr>
        <w:t xml:space="preserve"> </w:t>
      </w:r>
      <w:r w:rsidRPr="00182579">
        <w:rPr>
          <w:rStyle w:val="CharAmSchText"/>
        </w:rPr>
        <w:t xml:space="preserve"> </w:t>
      </w:r>
    </w:p>
    <w:p w14:paraId="4C71273A" w14:textId="77777777" w:rsidR="0048364F" w:rsidRPr="00182579" w:rsidRDefault="0048364F" w:rsidP="0048364F">
      <w:pPr>
        <w:pStyle w:val="Header"/>
        <w:tabs>
          <w:tab w:val="clear" w:pos="4150"/>
          <w:tab w:val="clear" w:pos="8307"/>
        </w:tabs>
      </w:pPr>
      <w:r w:rsidRPr="00182579">
        <w:rPr>
          <w:rStyle w:val="CharAmPartNo"/>
        </w:rPr>
        <w:t xml:space="preserve"> </w:t>
      </w:r>
      <w:r w:rsidRPr="00182579">
        <w:rPr>
          <w:rStyle w:val="CharAmPartText"/>
        </w:rPr>
        <w:t xml:space="preserve"> </w:t>
      </w:r>
    </w:p>
    <w:p w14:paraId="2BFAB8D5" w14:textId="77777777" w:rsidR="0048364F" w:rsidRPr="007712D4" w:rsidRDefault="0048364F" w:rsidP="0048364F">
      <w:pPr>
        <w:sectPr w:rsidR="0048364F" w:rsidRPr="007712D4" w:rsidSect="0046737F">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C919846" w14:textId="77777777" w:rsidR="00220A0C" w:rsidRPr="007712D4" w:rsidRDefault="0048364F" w:rsidP="0048364F">
      <w:pPr>
        <w:outlineLvl w:val="0"/>
        <w:rPr>
          <w:sz w:val="36"/>
        </w:rPr>
      </w:pPr>
      <w:r w:rsidRPr="007712D4">
        <w:rPr>
          <w:sz w:val="36"/>
        </w:rPr>
        <w:lastRenderedPageBreak/>
        <w:t>Contents</w:t>
      </w:r>
    </w:p>
    <w:p w14:paraId="088B878E" w14:textId="5DE9624B" w:rsidR="007712D4" w:rsidRDefault="007712D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7712D4">
        <w:rPr>
          <w:noProof/>
        </w:rPr>
        <w:tab/>
      </w:r>
      <w:r w:rsidRPr="007712D4">
        <w:rPr>
          <w:noProof/>
        </w:rPr>
        <w:fldChar w:fldCharType="begin"/>
      </w:r>
      <w:r w:rsidRPr="007712D4">
        <w:rPr>
          <w:noProof/>
        </w:rPr>
        <w:instrText xml:space="preserve"> PAGEREF _Toc168584372 \h </w:instrText>
      </w:r>
      <w:r w:rsidRPr="007712D4">
        <w:rPr>
          <w:noProof/>
        </w:rPr>
      </w:r>
      <w:r w:rsidRPr="007712D4">
        <w:rPr>
          <w:noProof/>
        </w:rPr>
        <w:fldChar w:fldCharType="separate"/>
      </w:r>
      <w:r w:rsidR="00027BF8">
        <w:rPr>
          <w:noProof/>
        </w:rPr>
        <w:t>1</w:t>
      </w:r>
      <w:r w:rsidRPr="007712D4">
        <w:rPr>
          <w:noProof/>
        </w:rPr>
        <w:fldChar w:fldCharType="end"/>
      </w:r>
    </w:p>
    <w:p w14:paraId="6BDC090E" w14:textId="2FE07300" w:rsidR="007712D4" w:rsidRDefault="007712D4">
      <w:pPr>
        <w:pStyle w:val="TOC5"/>
        <w:rPr>
          <w:rFonts w:asciiTheme="minorHAnsi" w:eastAsiaTheme="minorEastAsia" w:hAnsiTheme="minorHAnsi" w:cstheme="minorBidi"/>
          <w:noProof/>
          <w:kern w:val="0"/>
          <w:sz w:val="22"/>
          <w:szCs w:val="22"/>
        </w:rPr>
      </w:pPr>
      <w:r>
        <w:rPr>
          <w:noProof/>
        </w:rPr>
        <w:t>2</w:t>
      </w:r>
      <w:r>
        <w:rPr>
          <w:noProof/>
        </w:rPr>
        <w:tab/>
        <w:t>Commencement</w:t>
      </w:r>
      <w:r w:rsidRPr="007712D4">
        <w:rPr>
          <w:noProof/>
        </w:rPr>
        <w:tab/>
      </w:r>
      <w:r w:rsidRPr="007712D4">
        <w:rPr>
          <w:noProof/>
        </w:rPr>
        <w:fldChar w:fldCharType="begin"/>
      </w:r>
      <w:r w:rsidRPr="007712D4">
        <w:rPr>
          <w:noProof/>
        </w:rPr>
        <w:instrText xml:space="preserve"> PAGEREF _Toc168584373 \h </w:instrText>
      </w:r>
      <w:r w:rsidRPr="007712D4">
        <w:rPr>
          <w:noProof/>
        </w:rPr>
      </w:r>
      <w:r w:rsidRPr="007712D4">
        <w:rPr>
          <w:noProof/>
        </w:rPr>
        <w:fldChar w:fldCharType="separate"/>
      </w:r>
      <w:r w:rsidR="00027BF8">
        <w:rPr>
          <w:noProof/>
        </w:rPr>
        <w:t>1</w:t>
      </w:r>
      <w:r w:rsidRPr="007712D4">
        <w:rPr>
          <w:noProof/>
        </w:rPr>
        <w:fldChar w:fldCharType="end"/>
      </w:r>
    </w:p>
    <w:p w14:paraId="7354604F" w14:textId="6C553622" w:rsidR="007712D4" w:rsidRDefault="007712D4">
      <w:pPr>
        <w:pStyle w:val="TOC5"/>
        <w:rPr>
          <w:rFonts w:asciiTheme="minorHAnsi" w:eastAsiaTheme="minorEastAsia" w:hAnsiTheme="minorHAnsi" w:cstheme="minorBidi"/>
          <w:noProof/>
          <w:kern w:val="0"/>
          <w:sz w:val="22"/>
          <w:szCs w:val="22"/>
        </w:rPr>
      </w:pPr>
      <w:r>
        <w:rPr>
          <w:noProof/>
        </w:rPr>
        <w:t>3</w:t>
      </w:r>
      <w:r>
        <w:rPr>
          <w:noProof/>
        </w:rPr>
        <w:tab/>
        <w:t>Authority</w:t>
      </w:r>
      <w:r w:rsidRPr="007712D4">
        <w:rPr>
          <w:noProof/>
        </w:rPr>
        <w:tab/>
      </w:r>
      <w:r w:rsidRPr="007712D4">
        <w:rPr>
          <w:noProof/>
        </w:rPr>
        <w:fldChar w:fldCharType="begin"/>
      </w:r>
      <w:r w:rsidRPr="007712D4">
        <w:rPr>
          <w:noProof/>
        </w:rPr>
        <w:instrText xml:space="preserve"> PAGEREF _Toc168584374 \h </w:instrText>
      </w:r>
      <w:r w:rsidRPr="007712D4">
        <w:rPr>
          <w:noProof/>
        </w:rPr>
      </w:r>
      <w:r w:rsidRPr="007712D4">
        <w:rPr>
          <w:noProof/>
        </w:rPr>
        <w:fldChar w:fldCharType="separate"/>
      </w:r>
      <w:r w:rsidR="00027BF8">
        <w:rPr>
          <w:noProof/>
        </w:rPr>
        <w:t>1</w:t>
      </w:r>
      <w:r w:rsidRPr="007712D4">
        <w:rPr>
          <w:noProof/>
        </w:rPr>
        <w:fldChar w:fldCharType="end"/>
      </w:r>
    </w:p>
    <w:p w14:paraId="06FFAB37" w14:textId="6115E266" w:rsidR="007712D4" w:rsidRDefault="007712D4">
      <w:pPr>
        <w:pStyle w:val="TOC5"/>
        <w:rPr>
          <w:rFonts w:asciiTheme="minorHAnsi" w:eastAsiaTheme="minorEastAsia" w:hAnsiTheme="minorHAnsi" w:cstheme="minorBidi"/>
          <w:noProof/>
          <w:kern w:val="0"/>
          <w:sz w:val="22"/>
          <w:szCs w:val="22"/>
        </w:rPr>
      </w:pPr>
      <w:r>
        <w:rPr>
          <w:noProof/>
        </w:rPr>
        <w:t>4</w:t>
      </w:r>
      <w:r>
        <w:rPr>
          <w:noProof/>
        </w:rPr>
        <w:tab/>
        <w:t>Schedules</w:t>
      </w:r>
      <w:r w:rsidRPr="007712D4">
        <w:rPr>
          <w:noProof/>
        </w:rPr>
        <w:tab/>
      </w:r>
      <w:r w:rsidRPr="007712D4">
        <w:rPr>
          <w:noProof/>
        </w:rPr>
        <w:fldChar w:fldCharType="begin"/>
      </w:r>
      <w:r w:rsidRPr="007712D4">
        <w:rPr>
          <w:noProof/>
        </w:rPr>
        <w:instrText xml:space="preserve"> PAGEREF _Toc168584375 \h </w:instrText>
      </w:r>
      <w:r w:rsidRPr="007712D4">
        <w:rPr>
          <w:noProof/>
        </w:rPr>
      </w:r>
      <w:r w:rsidRPr="007712D4">
        <w:rPr>
          <w:noProof/>
        </w:rPr>
        <w:fldChar w:fldCharType="separate"/>
      </w:r>
      <w:r w:rsidR="00027BF8">
        <w:rPr>
          <w:noProof/>
        </w:rPr>
        <w:t>1</w:t>
      </w:r>
      <w:r w:rsidRPr="007712D4">
        <w:rPr>
          <w:noProof/>
        </w:rPr>
        <w:fldChar w:fldCharType="end"/>
      </w:r>
    </w:p>
    <w:p w14:paraId="195821D8" w14:textId="2441EEEC" w:rsidR="007712D4" w:rsidRDefault="007712D4">
      <w:pPr>
        <w:pStyle w:val="TOC6"/>
        <w:rPr>
          <w:rFonts w:asciiTheme="minorHAnsi" w:eastAsiaTheme="minorEastAsia" w:hAnsiTheme="minorHAnsi" w:cstheme="minorBidi"/>
          <w:b w:val="0"/>
          <w:noProof/>
          <w:kern w:val="0"/>
          <w:sz w:val="22"/>
          <w:szCs w:val="22"/>
        </w:rPr>
      </w:pPr>
      <w:r>
        <w:rPr>
          <w:noProof/>
        </w:rPr>
        <w:t>Schedule 1—Main Amendments</w:t>
      </w:r>
      <w:r w:rsidRPr="007712D4">
        <w:rPr>
          <w:b w:val="0"/>
          <w:noProof/>
          <w:sz w:val="18"/>
        </w:rPr>
        <w:tab/>
      </w:r>
      <w:r w:rsidRPr="007712D4">
        <w:rPr>
          <w:b w:val="0"/>
          <w:noProof/>
          <w:sz w:val="18"/>
        </w:rPr>
        <w:fldChar w:fldCharType="begin"/>
      </w:r>
      <w:r w:rsidRPr="007712D4">
        <w:rPr>
          <w:b w:val="0"/>
          <w:noProof/>
          <w:sz w:val="18"/>
        </w:rPr>
        <w:instrText xml:space="preserve"> PAGEREF _Toc168584376 \h </w:instrText>
      </w:r>
      <w:r w:rsidRPr="007712D4">
        <w:rPr>
          <w:b w:val="0"/>
          <w:noProof/>
          <w:sz w:val="18"/>
        </w:rPr>
      </w:r>
      <w:r w:rsidRPr="007712D4">
        <w:rPr>
          <w:b w:val="0"/>
          <w:noProof/>
          <w:sz w:val="18"/>
        </w:rPr>
        <w:fldChar w:fldCharType="separate"/>
      </w:r>
      <w:r w:rsidR="00027BF8">
        <w:rPr>
          <w:b w:val="0"/>
          <w:noProof/>
          <w:sz w:val="18"/>
        </w:rPr>
        <w:t>2</w:t>
      </w:r>
      <w:r w:rsidRPr="007712D4">
        <w:rPr>
          <w:b w:val="0"/>
          <w:noProof/>
          <w:sz w:val="18"/>
        </w:rPr>
        <w:fldChar w:fldCharType="end"/>
      </w:r>
    </w:p>
    <w:p w14:paraId="65170C2C" w14:textId="5728B628" w:rsidR="007712D4" w:rsidRDefault="007712D4">
      <w:pPr>
        <w:pStyle w:val="TOC9"/>
        <w:rPr>
          <w:rFonts w:asciiTheme="minorHAnsi" w:eastAsiaTheme="minorEastAsia" w:hAnsiTheme="minorHAnsi" w:cstheme="minorBidi"/>
          <w:i w:val="0"/>
          <w:noProof/>
          <w:kern w:val="0"/>
          <w:sz w:val="22"/>
          <w:szCs w:val="22"/>
        </w:rPr>
      </w:pPr>
      <w:r>
        <w:rPr>
          <w:noProof/>
        </w:rPr>
        <w:t>National Health (Botulinum Toxin Program) Special Arrangement 2015</w:t>
      </w:r>
      <w:r w:rsidRPr="007712D4">
        <w:rPr>
          <w:i w:val="0"/>
          <w:noProof/>
          <w:sz w:val="18"/>
        </w:rPr>
        <w:tab/>
      </w:r>
      <w:r w:rsidRPr="007712D4">
        <w:rPr>
          <w:i w:val="0"/>
          <w:noProof/>
          <w:sz w:val="18"/>
        </w:rPr>
        <w:fldChar w:fldCharType="begin"/>
      </w:r>
      <w:r w:rsidRPr="007712D4">
        <w:rPr>
          <w:i w:val="0"/>
          <w:noProof/>
          <w:sz w:val="18"/>
        </w:rPr>
        <w:instrText xml:space="preserve"> PAGEREF _Toc168584377 \h </w:instrText>
      </w:r>
      <w:r w:rsidRPr="007712D4">
        <w:rPr>
          <w:i w:val="0"/>
          <w:noProof/>
          <w:sz w:val="18"/>
        </w:rPr>
      </w:r>
      <w:r w:rsidRPr="007712D4">
        <w:rPr>
          <w:i w:val="0"/>
          <w:noProof/>
          <w:sz w:val="18"/>
        </w:rPr>
        <w:fldChar w:fldCharType="separate"/>
      </w:r>
      <w:r w:rsidR="00027BF8">
        <w:rPr>
          <w:i w:val="0"/>
          <w:noProof/>
          <w:sz w:val="18"/>
        </w:rPr>
        <w:t>2</w:t>
      </w:r>
      <w:r w:rsidRPr="007712D4">
        <w:rPr>
          <w:i w:val="0"/>
          <w:noProof/>
          <w:sz w:val="18"/>
        </w:rPr>
        <w:fldChar w:fldCharType="end"/>
      </w:r>
    </w:p>
    <w:p w14:paraId="403AD05F" w14:textId="041C0EE7" w:rsidR="007712D4" w:rsidRDefault="007712D4">
      <w:pPr>
        <w:pStyle w:val="TOC9"/>
        <w:rPr>
          <w:rFonts w:asciiTheme="minorHAnsi" w:eastAsiaTheme="minorEastAsia" w:hAnsiTheme="minorHAnsi" w:cstheme="minorBidi"/>
          <w:i w:val="0"/>
          <w:noProof/>
          <w:kern w:val="0"/>
          <w:sz w:val="22"/>
          <w:szCs w:val="22"/>
        </w:rPr>
      </w:pPr>
      <w:r>
        <w:rPr>
          <w:noProof/>
        </w:rPr>
        <w:t>National Health (Closing the Gap – PBS Co</w:t>
      </w:r>
      <w:r>
        <w:rPr>
          <w:noProof/>
        </w:rPr>
        <w:noBreakHyphen/>
        <w:t>payment Program) Special Arrangement 2016</w:t>
      </w:r>
      <w:r w:rsidRPr="007712D4">
        <w:rPr>
          <w:i w:val="0"/>
          <w:noProof/>
          <w:sz w:val="18"/>
        </w:rPr>
        <w:tab/>
      </w:r>
      <w:r w:rsidRPr="007712D4">
        <w:rPr>
          <w:i w:val="0"/>
          <w:noProof/>
          <w:sz w:val="18"/>
        </w:rPr>
        <w:fldChar w:fldCharType="begin"/>
      </w:r>
      <w:r w:rsidRPr="007712D4">
        <w:rPr>
          <w:i w:val="0"/>
          <w:noProof/>
          <w:sz w:val="18"/>
        </w:rPr>
        <w:instrText xml:space="preserve"> PAGEREF _Toc168584382 \h </w:instrText>
      </w:r>
      <w:r w:rsidRPr="007712D4">
        <w:rPr>
          <w:i w:val="0"/>
          <w:noProof/>
          <w:sz w:val="18"/>
        </w:rPr>
      </w:r>
      <w:r w:rsidRPr="007712D4">
        <w:rPr>
          <w:i w:val="0"/>
          <w:noProof/>
          <w:sz w:val="18"/>
        </w:rPr>
        <w:fldChar w:fldCharType="separate"/>
      </w:r>
      <w:r w:rsidR="00027BF8">
        <w:rPr>
          <w:i w:val="0"/>
          <w:noProof/>
          <w:sz w:val="18"/>
        </w:rPr>
        <w:t>3</w:t>
      </w:r>
      <w:r w:rsidRPr="007712D4">
        <w:rPr>
          <w:i w:val="0"/>
          <w:noProof/>
          <w:sz w:val="18"/>
        </w:rPr>
        <w:fldChar w:fldCharType="end"/>
      </w:r>
    </w:p>
    <w:p w14:paraId="2B58A4EE" w14:textId="6516AF32" w:rsidR="007712D4" w:rsidRDefault="007712D4">
      <w:pPr>
        <w:pStyle w:val="TOC9"/>
        <w:rPr>
          <w:rFonts w:asciiTheme="minorHAnsi" w:eastAsiaTheme="minorEastAsia" w:hAnsiTheme="minorHAnsi" w:cstheme="minorBidi"/>
          <w:i w:val="0"/>
          <w:noProof/>
          <w:kern w:val="0"/>
          <w:sz w:val="22"/>
          <w:szCs w:val="22"/>
        </w:rPr>
      </w:pPr>
      <w:r>
        <w:rPr>
          <w:noProof/>
        </w:rPr>
        <w:t>National Health (Efficient Funding of Chemotherapy) Special Arrangement 2024</w:t>
      </w:r>
      <w:r w:rsidRPr="007712D4">
        <w:rPr>
          <w:i w:val="0"/>
          <w:noProof/>
          <w:sz w:val="18"/>
        </w:rPr>
        <w:tab/>
      </w:r>
      <w:r w:rsidRPr="007712D4">
        <w:rPr>
          <w:i w:val="0"/>
          <w:noProof/>
          <w:sz w:val="18"/>
        </w:rPr>
        <w:fldChar w:fldCharType="begin"/>
      </w:r>
      <w:r w:rsidRPr="007712D4">
        <w:rPr>
          <w:i w:val="0"/>
          <w:noProof/>
          <w:sz w:val="18"/>
        </w:rPr>
        <w:instrText xml:space="preserve"> PAGEREF _Toc168584383 \h </w:instrText>
      </w:r>
      <w:r w:rsidRPr="007712D4">
        <w:rPr>
          <w:i w:val="0"/>
          <w:noProof/>
          <w:sz w:val="18"/>
        </w:rPr>
      </w:r>
      <w:r w:rsidRPr="007712D4">
        <w:rPr>
          <w:i w:val="0"/>
          <w:noProof/>
          <w:sz w:val="18"/>
        </w:rPr>
        <w:fldChar w:fldCharType="separate"/>
      </w:r>
      <w:r w:rsidR="00027BF8">
        <w:rPr>
          <w:i w:val="0"/>
          <w:noProof/>
          <w:sz w:val="18"/>
        </w:rPr>
        <w:t>4</w:t>
      </w:r>
      <w:r w:rsidRPr="007712D4">
        <w:rPr>
          <w:i w:val="0"/>
          <w:noProof/>
          <w:sz w:val="18"/>
        </w:rPr>
        <w:fldChar w:fldCharType="end"/>
      </w:r>
    </w:p>
    <w:p w14:paraId="02BBFED4" w14:textId="28BC51EC" w:rsidR="007712D4" w:rsidRDefault="007712D4">
      <w:pPr>
        <w:pStyle w:val="TOC9"/>
        <w:rPr>
          <w:rFonts w:asciiTheme="minorHAnsi" w:eastAsiaTheme="minorEastAsia" w:hAnsiTheme="minorHAnsi" w:cstheme="minorBidi"/>
          <w:i w:val="0"/>
          <w:noProof/>
          <w:kern w:val="0"/>
          <w:sz w:val="22"/>
          <w:szCs w:val="22"/>
        </w:rPr>
      </w:pPr>
      <w:r>
        <w:rPr>
          <w:noProof/>
        </w:rPr>
        <w:t>National Health (Growth Hormone Program) Special Arrangement 2015</w:t>
      </w:r>
      <w:r w:rsidRPr="007712D4">
        <w:rPr>
          <w:i w:val="0"/>
          <w:noProof/>
          <w:sz w:val="18"/>
        </w:rPr>
        <w:tab/>
      </w:r>
      <w:r w:rsidRPr="007712D4">
        <w:rPr>
          <w:i w:val="0"/>
          <w:noProof/>
          <w:sz w:val="18"/>
        </w:rPr>
        <w:fldChar w:fldCharType="begin"/>
      </w:r>
      <w:r w:rsidRPr="007712D4">
        <w:rPr>
          <w:i w:val="0"/>
          <w:noProof/>
          <w:sz w:val="18"/>
        </w:rPr>
        <w:instrText xml:space="preserve"> PAGEREF _Toc168584387 \h </w:instrText>
      </w:r>
      <w:r w:rsidRPr="007712D4">
        <w:rPr>
          <w:i w:val="0"/>
          <w:noProof/>
          <w:sz w:val="18"/>
        </w:rPr>
      </w:r>
      <w:r w:rsidRPr="007712D4">
        <w:rPr>
          <w:i w:val="0"/>
          <w:noProof/>
          <w:sz w:val="18"/>
        </w:rPr>
        <w:fldChar w:fldCharType="separate"/>
      </w:r>
      <w:r w:rsidR="00027BF8">
        <w:rPr>
          <w:i w:val="0"/>
          <w:noProof/>
          <w:sz w:val="18"/>
        </w:rPr>
        <w:t>7</w:t>
      </w:r>
      <w:r w:rsidRPr="007712D4">
        <w:rPr>
          <w:i w:val="0"/>
          <w:noProof/>
          <w:sz w:val="18"/>
        </w:rPr>
        <w:fldChar w:fldCharType="end"/>
      </w:r>
    </w:p>
    <w:p w14:paraId="012BBF9F" w14:textId="11A284D1" w:rsidR="007712D4" w:rsidRDefault="007712D4">
      <w:pPr>
        <w:pStyle w:val="TOC9"/>
        <w:rPr>
          <w:rFonts w:asciiTheme="minorHAnsi" w:eastAsiaTheme="minorEastAsia" w:hAnsiTheme="minorHAnsi" w:cstheme="minorBidi"/>
          <w:i w:val="0"/>
          <w:noProof/>
          <w:kern w:val="0"/>
          <w:sz w:val="22"/>
          <w:szCs w:val="22"/>
        </w:rPr>
      </w:pPr>
      <w:r>
        <w:rPr>
          <w:noProof/>
        </w:rPr>
        <w:t>National Health (Highly Specialised Drugs Program) Special Arrangement 2021</w:t>
      </w:r>
      <w:r w:rsidRPr="007712D4">
        <w:rPr>
          <w:i w:val="0"/>
          <w:noProof/>
          <w:sz w:val="18"/>
        </w:rPr>
        <w:tab/>
      </w:r>
      <w:r w:rsidRPr="007712D4">
        <w:rPr>
          <w:i w:val="0"/>
          <w:noProof/>
          <w:sz w:val="18"/>
        </w:rPr>
        <w:fldChar w:fldCharType="begin"/>
      </w:r>
      <w:r w:rsidRPr="007712D4">
        <w:rPr>
          <w:i w:val="0"/>
          <w:noProof/>
          <w:sz w:val="18"/>
        </w:rPr>
        <w:instrText xml:space="preserve"> PAGEREF _Toc168584392 \h </w:instrText>
      </w:r>
      <w:r w:rsidRPr="007712D4">
        <w:rPr>
          <w:i w:val="0"/>
          <w:noProof/>
          <w:sz w:val="18"/>
        </w:rPr>
      </w:r>
      <w:r w:rsidRPr="007712D4">
        <w:rPr>
          <w:i w:val="0"/>
          <w:noProof/>
          <w:sz w:val="18"/>
        </w:rPr>
        <w:fldChar w:fldCharType="separate"/>
      </w:r>
      <w:r w:rsidR="00027BF8">
        <w:rPr>
          <w:i w:val="0"/>
          <w:noProof/>
          <w:sz w:val="18"/>
        </w:rPr>
        <w:t>9</w:t>
      </w:r>
      <w:r w:rsidRPr="007712D4">
        <w:rPr>
          <w:i w:val="0"/>
          <w:noProof/>
          <w:sz w:val="18"/>
        </w:rPr>
        <w:fldChar w:fldCharType="end"/>
      </w:r>
    </w:p>
    <w:p w14:paraId="0662D783" w14:textId="548C4314" w:rsidR="007712D4" w:rsidRDefault="007712D4">
      <w:pPr>
        <w:pStyle w:val="TOC9"/>
        <w:rPr>
          <w:rFonts w:asciiTheme="minorHAnsi" w:eastAsiaTheme="minorEastAsia" w:hAnsiTheme="minorHAnsi" w:cstheme="minorBidi"/>
          <w:i w:val="0"/>
          <w:noProof/>
          <w:kern w:val="0"/>
          <w:sz w:val="22"/>
          <w:szCs w:val="22"/>
        </w:rPr>
      </w:pPr>
      <w:r>
        <w:rPr>
          <w:noProof/>
        </w:rPr>
        <w:t>National Health (IVF Program) Special Arrangement 2015</w:t>
      </w:r>
      <w:r w:rsidRPr="007712D4">
        <w:rPr>
          <w:i w:val="0"/>
          <w:noProof/>
          <w:sz w:val="18"/>
        </w:rPr>
        <w:tab/>
      </w:r>
      <w:r w:rsidRPr="007712D4">
        <w:rPr>
          <w:i w:val="0"/>
          <w:noProof/>
          <w:sz w:val="18"/>
        </w:rPr>
        <w:fldChar w:fldCharType="begin"/>
      </w:r>
      <w:r w:rsidRPr="007712D4">
        <w:rPr>
          <w:i w:val="0"/>
          <w:noProof/>
          <w:sz w:val="18"/>
        </w:rPr>
        <w:instrText xml:space="preserve"> PAGEREF _Toc168584397 \h </w:instrText>
      </w:r>
      <w:r w:rsidRPr="007712D4">
        <w:rPr>
          <w:i w:val="0"/>
          <w:noProof/>
          <w:sz w:val="18"/>
        </w:rPr>
      </w:r>
      <w:r w:rsidRPr="007712D4">
        <w:rPr>
          <w:i w:val="0"/>
          <w:noProof/>
          <w:sz w:val="18"/>
        </w:rPr>
        <w:fldChar w:fldCharType="separate"/>
      </w:r>
      <w:r w:rsidR="00027BF8">
        <w:rPr>
          <w:i w:val="0"/>
          <w:noProof/>
          <w:sz w:val="18"/>
        </w:rPr>
        <w:t>11</w:t>
      </w:r>
      <w:r w:rsidRPr="007712D4">
        <w:rPr>
          <w:i w:val="0"/>
          <w:noProof/>
          <w:sz w:val="18"/>
        </w:rPr>
        <w:fldChar w:fldCharType="end"/>
      </w:r>
    </w:p>
    <w:p w14:paraId="18F26F2A" w14:textId="37C2A06B" w:rsidR="007712D4" w:rsidRDefault="007712D4">
      <w:pPr>
        <w:pStyle w:val="TOC6"/>
        <w:rPr>
          <w:rFonts w:asciiTheme="minorHAnsi" w:eastAsiaTheme="minorEastAsia" w:hAnsiTheme="minorHAnsi" w:cstheme="minorBidi"/>
          <w:b w:val="0"/>
          <w:noProof/>
          <w:kern w:val="0"/>
          <w:sz w:val="22"/>
          <w:szCs w:val="22"/>
        </w:rPr>
      </w:pPr>
      <w:r>
        <w:rPr>
          <w:noProof/>
        </w:rPr>
        <w:t>Schedule 2—Approved hospital authorities</w:t>
      </w:r>
      <w:r w:rsidRPr="007712D4">
        <w:rPr>
          <w:b w:val="0"/>
          <w:noProof/>
          <w:sz w:val="18"/>
        </w:rPr>
        <w:tab/>
      </w:r>
      <w:r w:rsidRPr="007712D4">
        <w:rPr>
          <w:b w:val="0"/>
          <w:noProof/>
          <w:sz w:val="18"/>
        </w:rPr>
        <w:fldChar w:fldCharType="begin"/>
      </w:r>
      <w:r w:rsidRPr="007712D4">
        <w:rPr>
          <w:b w:val="0"/>
          <w:noProof/>
          <w:sz w:val="18"/>
        </w:rPr>
        <w:instrText xml:space="preserve"> PAGEREF _Toc168584401 \h </w:instrText>
      </w:r>
      <w:r w:rsidRPr="007712D4">
        <w:rPr>
          <w:b w:val="0"/>
          <w:noProof/>
          <w:sz w:val="18"/>
        </w:rPr>
      </w:r>
      <w:r w:rsidRPr="007712D4">
        <w:rPr>
          <w:b w:val="0"/>
          <w:noProof/>
          <w:sz w:val="18"/>
        </w:rPr>
        <w:fldChar w:fldCharType="separate"/>
      </w:r>
      <w:r w:rsidR="00027BF8">
        <w:rPr>
          <w:b w:val="0"/>
          <w:noProof/>
          <w:sz w:val="18"/>
        </w:rPr>
        <w:t>13</w:t>
      </w:r>
      <w:r w:rsidRPr="007712D4">
        <w:rPr>
          <w:b w:val="0"/>
          <w:noProof/>
          <w:sz w:val="18"/>
        </w:rPr>
        <w:fldChar w:fldCharType="end"/>
      </w:r>
    </w:p>
    <w:p w14:paraId="279F55EA" w14:textId="16EDE89C" w:rsidR="007712D4" w:rsidRDefault="007712D4">
      <w:pPr>
        <w:pStyle w:val="TOC9"/>
        <w:rPr>
          <w:rFonts w:asciiTheme="minorHAnsi" w:eastAsiaTheme="minorEastAsia" w:hAnsiTheme="minorHAnsi" w:cstheme="minorBidi"/>
          <w:i w:val="0"/>
          <w:noProof/>
          <w:kern w:val="0"/>
          <w:sz w:val="22"/>
          <w:szCs w:val="22"/>
        </w:rPr>
      </w:pPr>
      <w:r>
        <w:rPr>
          <w:noProof/>
        </w:rPr>
        <w:t>National Health (Closing the Gap – PBS Co</w:t>
      </w:r>
      <w:r>
        <w:rPr>
          <w:noProof/>
        </w:rPr>
        <w:noBreakHyphen/>
        <w:t>payment Program) Special Arrangement 2016</w:t>
      </w:r>
      <w:r w:rsidRPr="007712D4">
        <w:rPr>
          <w:i w:val="0"/>
          <w:noProof/>
          <w:sz w:val="18"/>
        </w:rPr>
        <w:tab/>
      </w:r>
      <w:r w:rsidRPr="007712D4">
        <w:rPr>
          <w:i w:val="0"/>
          <w:noProof/>
          <w:sz w:val="18"/>
        </w:rPr>
        <w:fldChar w:fldCharType="begin"/>
      </w:r>
      <w:r w:rsidRPr="007712D4">
        <w:rPr>
          <w:i w:val="0"/>
          <w:noProof/>
          <w:sz w:val="18"/>
        </w:rPr>
        <w:instrText xml:space="preserve"> PAGEREF _Toc168584402 \h </w:instrText>
      </w:r>
      <w:r w:rsidRPr="007712D4">
        <w:rPr>
          <w:i w:val="0"/>
          <w:noProof/>
          <w:sz w:val="18"/>
        </w:rPr>
      </w:r>
      <w:r w:rsidRPr="007712D4">
        <w:rPr>
          <w:i w:val="0"/>
          <w:noProof/>
          <w:sz w:val="18"/>
        </w:rPr>
        <w:fldChar w:fldCharType="separate"/>
      </w:r>
      <w:r w:rsidR="00027BF8">
        <w:rPr>
          <w:i w:val="0"/>
          <w:noProof/>
          <w:sz w:val="18"/>
        </w:rPr>
        <w:t>13</w:t>
      </w:r>
      <w:r w:rsidRPr="007712D4">
        <w:rPr>
          <w:i w:val="0"/>
          <w:noProof/>
          <w:sz w:val="18"/>
        </w:rPr>
        <w:fldChar w:fldCharType="end"/>
      </w:r>
    </w:p>
    <w:p w14:paraId="26AFABC3" w14:textId="77777777" w:rsidR="0048364F" w:rsidRPr="007712D4" w:rsidRDefault="007712D4" w:rsidP="0048364F">
      <w:r>
        <w:fldChar w:fldCharType="end"/>
      </w:r>
    </w:p>
    <w:p w14:paraId="3C5D14E8" w14:textId="77777777" w:rsidR="0048364F" w:rsidRPr="007712D4" w:rsidRDefault="0048364F" w:rsidP="0048364F">
      <w:pPr>
        <w:sectPr w:rsidR="0048364F" w:rsidRPr="007712D4" w:rsidSect="0046737F">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9F7E38B" w14:textId="77777777" w:rsidR="0048364F" w:rsidRPr="007712D4" w:rsidRDefault="0048364F" w:rsidP="0048364F">
      <w:pPr>
        <w:pStyle w:val="ActHead5"/>
      </w:pPr>
      <w:bookmarkStart w:id="1" w:name="_Toc168584372"/>
      <w:r w:rsidRPr="00182579">
        <w:rPr>
          <w:rStyle w:val="CharSectno"/>
        </w:rPr>
        <w:lastRenderedPageBreak/>
        <w:t>1</w:t>
      </w:r>
      <w:r w:rsidRPr="007712D4">
        <w:t xml:space="preserve">  </w:t>
      </w:r>
      <w:r w:rsidR="004F676E" w:rsidRPr="007712D4">
        <w:t>Name</w:t>
      </w:r>
      <w:bookmarkEnd w:id="1"/>
    </w:p>
    <w:p w14:paraId="15E12E7B" w14:textId="77777777" w:rsidR="004A2C0B" w:rsidRPr="007712D4" w:rsidRDefault="0048364F" w:rsidP="006E58F3">
      <w:pPr>
        <w:pStyle w:val="subsection"/>
      </w:pPr>
      <w:r w:rsidRPr="007712D4">
        <w:tab/>
      </w:r>
      <w:r w:rsidR="000F428A" w:rsidRPr="007712D4">
        <w:t>(1)</w:t>
      </w:r>
      <w:r w:rsidRPr="007712D4">
        <w:tab/>
      </w:r>
      <w:r w:rsidR="008157EC" w:rsidRPr="007712D4">
        <w:t>This instrument is</w:t>
      </w:r>
      <w:r w:rsidRPr="007712D4">
        <w:t xml:space="preserve"> th</w:t>
      </w:r>
      <w:r w:rsidR="006E58F3" w:rsidRPr="007712D4">
        <w:t xml:space="preserve">e </w:t>
      </w:r>
      <w:r w:rsidR="006E58F3" w:rsidRPr="007712D4">
        <w:rPr>
          <w:i/>
        </w:rPr>
        <w:t>National Health Legislation Amendment (Extension of Closing the Gap</w:t>
      </w:r>
      <w:r w:rsidR="00F8704C" w:rsidRPr="007712D4">
        <w:rPr>
          <w:i/>
        </w:rPr>
        <w:t xml:space="preserve"> </w:t>
      </w:r>
      <w:r w:rsidR="00C9210D" w:rsidRPr="007712D4">
        <w:rPr>
          <w:i/>
        </w:rPr>
        <w:t>–</w:t>
      </w:r>
      <w:r w:rsidR="00F8704C" w:rsidRPr="007712D4">
        <w:rPr>
          <w:i/>
        </w:rPr>
        <w:t xml:space="preserve"> </w:t>
      </w:r>
      <w:r w:rsidR="006E58F3" w:rsidRPr="007712D4">
        <w:rPr>
          <w:i/>
        </w:rPr>
        <w:t>PBS Co</w:t>
      </w:r>
      <w:r w:rsidR="007712D4">
        <w:rPr>
          <w:i/>
        </w:rPr>
        <w:noBreakHyphen/>
      </w:r>
      <w:r w:rsidR="006E58F3" w:rsidRPr="007712D4">
        <w:rPr>
          <w:i/>
        </w:rPr>
        <w:t xml:space="preserve">payment </w:t>
      </w:r>
      <w:r w:rsidR="006637B7" w:rsidRPr="007712D4">
        <w:rPr>
          <w:i/>
        </w:rPr>
        <w:t>P</w:t>
      </w:r>
      <w:r w:rsidR="006E58F3" w:rsidRPr="007712D4">
        <w:rPr>
          <w:i/>
        </w:rPr>
        <w:t>rogram) Instrument 2024</w:t>
      </w:r>
      <w:r w:rsidR="004A2C0B" w:rsidRPr="007712D4">
        <w:t>.</w:t>
      </w:r>
    </w:p>
    <w:p w14:paraId="7AC0D622" w14:textId="77777777" w:rsidR="000F428A" w:rsidRPr="007712D4" w:rsidRDefault="004A2C0B" w:rsidP="006E58F3">
      <w:pPr>
        <w:pStyle w:val="subsection"/>
      </w:pPr>
      <w:r w:rsidRPr="007712D4">
        <w:tab/>
      </w:r>
      <w:r w:rsidR="000F428A" w:rsidRPr="007712D4">
        <w:t>(2)</w:t>
      </w:r>
      <w:r w:rsidR="000F428A" w:rsidRPr="007712D4">
        <w:tab/>
        <w:t xml:space="preserve">This </w:t>
      </w:r>
      <w:r w:rsidR="003854BF" w:rsidRPr="007712D4">
        <w:t>i</w:t>
      </w:r>
      <w:r w:rsidR="000F428A" w:rsidRPr="007712D4">
        <w:t>nstrument may also be cited as PB</w:t>
      </w:r>
      <w:r w:rsidR="002462C3" w:rsidRPr="007712D4">
        <w:t xml:space="preserve"> 66 </w:t>
      </w:r>
      <w:r w:rsidR="000F428A" w:rsidRPr="007712D4">
        <w:t>of 2024.</w:t>
      </w:r>
    </w:p>
    <w:p w14:paraId="52E3D20F" w14:textId="77777777" w:rsidR="004F676E" w:rsidRPr="007712D4" w:rsidRDefault="0048364F" w:rsidP="005452CC">
      <w:pPr>
        <w:pStyle w:val="ActHead5"/>
      </w:pPr>
      <w:bookmarkStart w:id="2" w:name="_Toc168584373"/>
      <w:r w:rsidRPr="00182579">
        <w:rPr>
          <w:rStyle w:val="CharSectno"/>
        </w:rPr>
        <w:t>2</w:t>
      </w:r>
      <w:r w:rsidRPr="007712D4">
        <w:t xml:space="preserve">  Commencement</w:t>
      </w:r>
      <w:bookmarkEnd w:id="2"/>
    </w:p>
    <w:p w14:paraId="08FE5F19" w14:textId="77777777" w:rsidR="005452CC" w:rsidRPr="007712D4" w:rsidRDefault="005452CC" w:rsidP="00EE0C03">
      <w:pPr>
        <w:pStyle w:val="subsection"/>
      </w:pPr>
      <w:r w:rsidRPr="007712D4">
        <w:tab/>
        <w:t>(1)</w:t>
      </w:r>
      <w:r w:rsidRPr="007712D4">
        <w:tab/>
        <w:t xml:space="preserve">Each provision of </w:t>
      </w:r>
      <w:r w:rsidR="008157EC" w:rsidRPr="007712D4">
        <w:t>this instrument</w:t>
      </w:r>
      <w:r w:rsidRPr="007712D4">
        <w:t xml:space="preserve"> specified in column 1 of the table commences, or is taken to have commenced, in accordance with column 2 of the table. Any other statement in column 2 has effect according to its terms.</w:t>
      </w:r>
    </w:p>
    <w:p w14:paraId="2192E6CD" w14:textId="77777777" w:rsidR="005452CC" w:rsidRPr="007712D4" w:rsidRDefault="005452CC" w:rsidP="00EE0C0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7712D4" w14:paraId="560370B1" w14:textId="77777777" w:rsidTr="00941CBC">
        <w:trPr>
          <w:tblHeader/>
        </w:trPr>
        <w:tc>
          <w:tcPr>
            <w:tcW w:w="8364" w:type="dxa"/>
            <w:gridSpan w:val="3"/>
            <w:tcBorders>
              <w:top w:val="single" w:sz="12" w:space="0" w:color="auto"/>
              <w:bottom w:val="single" w:sz="6" w:space="0" w:color="auto"/>
            </w:tcBorders>
            <w:shd w:val="clear" w:color="auto" w:fill="auto"/>
            <w:hideMark/>
          </w:tcPr>
          <w:p w14:paraId="1BACFA1A" w14:textId="77777777" w:rsidR="005452CC" w:rsidRPr="007712D4" w:rsidRDefault="005452CC" w:rsidP="00EE0C03">
            <w:pPr>
              <w:pStyle w:val="TableHeading"/>
            </w:pPr>
            <w:r w:rsidRPr="007712D4">
              <w:t>Commencement information</w:t>
            </w:r>
          </w:p>
        </w:tc>
      </w:tr>
      <w:tr w:rsidR="005452CC" w:rsidRPr="007712D4" w14:paraId="2B0454DC" w14:textId="77777777" w:rsidTr="00941CBC">
        <w:trPr>
          <w:tblHeader/>
        </w:trPr>
        <w:tc>
          <w:tcPr>
            <w:tcW w:w="2127" w:type="dxa"/>
            <w:tcBorders>
              <w:top w:val="single" w:sz="6" w:space="0" w:color="auto"/>
              <w:bottom w:val="single" w:sz="6" w:space="0" w:color="auto"/>
            </w:tcBorders>
            <w:shd w:val="clear" w:color="auto" w:fill="auto"/>
            <w:hideMark/>
          </w:tcPr>
          <w:p w14:paraId="5D070772" w14:textId="77777777" w:rsidR="005452CC" w:rsidRPr="007712D4" w:rsidRDefault="005452CC" w:rsidP="00EE0C03">
            <w:pPr>
              <w:pStyle w:val="TableHeading"/>
            </w:pPr>
            <w:r w:rsidRPr="007712D4">
              <w:t>Column 1</w:t>
            </w:r>
          </w:p>
        </w:tc>
        <w:tc>
          <w:tcPr>
            <w:tcW w:w="4394" w:type="dxa"/>
            <w:tcBorders>
              <w:top w:val="single" w:sz="6" w:space="0" w:color="auto"/>
              <w:bottom w:val="single" w:sz="6" w:space="0" w:color="auto"/>
            </w:tcBorders>
            <w:shd w:val="clear" w:color="auto" w:fill="auto"/>
            <w:hideMark/>
          </w:tcPr>
          <w:p w14:paraId="71B595C0" w14:textId="77777777" w:rsidR="005452CC" w:rsidRPr="007712D4" w:rsidRDefault="005452CC" w:rsidP="00EE0C03">
            <w:pPr>
              <w:pStyle w:val="TableHeading"/>
            </w:pPr>
            <w:r w:rsidRPr="007712D4">
              <w:t>Column 2</w:t>
            </w:r>
          </w:p>
        </w:tc>
        <w:tc>
          <w:tcPr>
            <w:tcW w:w="1843" w:type="dxa"/>
            <w:tcBorders>
              <w:top w:val="single" w:sz="6" w:space="0" w:color="auto"/>
              <w:bottom w:val="single" w:sz="6" w:space="0" w:color="auto"/>
            </w:tcBorders>
            <w:shd w:val="clear" w:color="auto" w:fill="auto"/>
            <w:hideMark/>
          </w:tcPr>
          <w:p w14:paraId="5E3ED1D2" w14:textId="77777777" w:rsidR="005452CC" w:rsidRPr="007712D4" w:rsidRDefault="005452CC" w:rsidP="00EE0C03">
            <w:pPr>
              <w:pStyle w:val="TableHeading"/>
            </w:pPr>
            <w:r w:rsidRPr="007712D4">
              <w:t>Column 3</w:t>
            </w:r>
          </w:p>
        </w:tc>
      </w:tr>
      <w:tr w:rsidR="005452CC" w:rsidRPr="007712D4" w14:paraId="030618A7" w14:textId="77777777" w:rsidTr="00941CBC">
        <w:trPr>
          <w:tblHeader/>
        </w:trPr>
        <w:tc>
          <w:tcPr>
            <w:tcW w:w="2127" w:type="dxa"/>
            <w:tcBorders>
              <w:top w:val="single" w:sz="6" w:space="0" w:color="auto"/>
              <w:bottom w:val="single" w:sz="12" w:space="0" w:color="auto"/>
            </w:tcBorders>
            <w:shd w:val="clear" w:color="auto" w:fill="auto"/>
            <w:hideMark/>
          </w:tcPr>
          <w:p w14:paraId="60384127" w14:textId="77777777" w:rsidR="005452CC" w:rsidRPr="007712D4" w:rsidRDefault="005452CC" w:rsidP="00EE0C03">
            <w:pPr>
              <w:pStyle w:val="TableHeading"/>
            </w:pPr>
            <w:r w:rsidRPr="007712D4">
              <w:t>Provisions</w:t>
            </w:r>
          </w:p>
        </w:tc>
        <w:tc>
          <w:tcPr>
            <w:tcW w:w="4394" w:type="dxa"/>
            <w:tcBorders>
              <w:top w:val="single" w:sz="6" w:space="0" w:color="auto"/>
              <w:bottom w:val="single" w:sz="12" w:space="0" w:color="auto"/>
            </w:tcBorders>
            <w:shd w:val="clear" w:color="auto" w:fill="auto"/>
            <w:hideMark/>
          </w:tcPr>
          <w:p w14:paraId="69286F13" w14:textId="77777777" w:rsidR="005452CC" w:rsidRPr="007712D4" w:rsidRDefault="005452CC" w:rsidP="00EE0C03">
            <w:pPr>
              <w:pStyle w:val="TableHeading"/>
            </w:pPr>
            <w:r w:rsidRPr="007712D4">
              <w:t>Commencement</w:t>
            </w:r>
          </w:p>
        </w:tc>
        <w:tc>
          <w:tcPr>
            <w:tcW w:w="1843" w:type="dxa"/>
            <w:tcBorders>
              <w:top w:val="single" w:sz="6" w:space="0" w:color="auto"/>
              <w:bottom w:val="single" w:sz="12" w:space="0" w:color="auto"/>
            </w:tcBorders>
            <w:shd w:val="clear" w:color="auto" w:fill="auto"/>
            <w:hideMark/>
          </w:tcPr>
          <w:p w14:paraId="4F3A1A0C" w14:textId="77777777" w:rsidR="005452CC" w:rsidRPr="007712D4" w:rsidRDefault="005452CC" w:rsidP="00EE0C03">
            <w:pPr>
              <w:pStyle w:val="TableHeading"/>
            </w:pPr>
            <w:r w:rsidRPr="007712D4">
              <w:t>Date/Details</w:t>
            </w:r>
          </w:p>
        </w:tc>
      </w:tr>
      <w:tr w:rsidR="00B072C9" w:rsidRPr="007712D4" w14:paraId="1F2219D9" w14:textId="77777777" w:rsidTr="00941CBC">
        <w:tc>
          <w:tcPr>
            <w:tcW w:w="2127" w:type="dxa"/>
            <w:tcBorders>
              <w:top w:val="single" w:sz="12" w:space="0" w:color="auto"/>
            </w:tcBorders>
            <w:shd w:val="clear" w:color="auto" w:fill="auto"/>
          </w:tcPr>
          <w:p w14:paraId="1BEC6D6D" w14:textId="77777777" w:rsidR="00B072C9" w:rsidRPr="007712D4" w:rsidRDefault="00560D17" w:rsidP="00AD7252">
            <w:pPr>
              <w:pStyle w:val="Tabletext"/>
            </w:pPr>
            <w:r w:rsidRPr="007712D4">
              <w:t xml:space="preserve">1.  </w:t>
            </w:r>
            <w:r w:rsidR="00DA4E9F" w:rsidRPr="007712D4">
              <w:t>Sections 1</w:t>
            </w:r>
            <w:r w:rsidRPr="007712D4">
              <w:t xml:space="preserve"> to </w:t>
            </w:r>
            <w:r w:rsidR="006C0D73" w:rsidRPr="007712D4">
              <w:t>4</w:t>
            </w:r>
            <w:r w:rsidRPr="007712D4">
              <w:t xml:space="preserve"> and anything in this instrument not elsewhere covered by this table</w:t>
            </w:r>
          </w:p>
        </w:tc>
        <w:tc>
          <w:tcPr>
            <w:tcW w:w="4394" w:type="dxa"/>
            <w:tcBorders>
              <w:top w:val="single" w:sz="12" w:space="0" w:color="auto"/>
            </w:tcBorders>
            <w:shd w:val="clear" w:color="auto" w:fill="auto"/>
          </w:tcPr>
          <w:p w14:paraId="582EAF43" w14:textId="77777777" w:rsidR="00B072C9" w:rsidRPr="007712D4" w:rsidRDefault="00560D17" w:rsidP="005452CC">
            <w:pPr>
              <w:pStyle w:val="Tabletext"/>
            </w:pPr>
            <w:r w:rsidRPr="007712D4">
              <w:t>The day after this instrument is registered.</w:t>
            </w:r>
          </w:p>
        </w:tc>
        <w:tc>
          <w:tcPr>
            <w:tcW w:w="1843" w:type="dxa"/>
            <w:tcBorders>
              <w:top w:val="single" w:sz="12" w:space="0" w:color="auto"/>
            </w:tcBorders>
            <w:shd w:val="clear" w:color="auto" w:fill="auto"/>
          </w:tcPr>
          <w:p w14:paraId="120684D2" w14:textId="40B68CCA" w:rsidR="00B072C9" w:rsidRPr="007712D4" w:rsidRDefault="004924B3">
            <w:pPr>
              <w:pStyle w:val="Tabletext"/>
            </w:pPr>
            <w:r>
              <w:t>28 June 2024</w:t>
            </w:r>
          </w:p>
        </w:tc>
      </w:tr>
      <w:tr w:rsidR="00D26146" w:rsidRPr="007712D4" w14:paraId="74DB6360" w14:textId="77777777" w:rsidTr="00941CBC">
        <w:tc>
          <w:tcPr>
            <w:tcW w:w="2127" w:type="dxa"/>
            <w:tcBorders>
              <w:bottom w:val="single" w:sz="2" w:space="0" w:color="auto"/>
            </w:tcBorders>
            <w:shd w:val="clear" w:color="auto" w:fill="auto"/>
          </w:tcPr>
          <w:p w14:paraId="7A465E17" w14:textId="77777777" w:rsidR="00D26146" w:rsidRPr="007712D4" w:rsidRDefault="00097DA3" w:rsidP="00AD7252">
            <w:pPr>
              <w:pStyle w:val="Tabletext"/>
            </w:pPr>
            <w:r w:rsidRPr="007712D4">
              <w:t>2</w:t>
            </w:r>
            <w:r w:rsidR="00D26146" w:rsidRPr="007712D4">
              <w:t xml:space="preserve">.  </w:t>
            </w:r>
            <w:r w:rsidR="00D2229A" w:rsidRPr="007712D4">
              <w:t>Schedule 1</w:t>
            </w:r>
          </w:p>
        </w:tc>
        <w:tc>
          <w:tcPr>
            <w:tcW w:w="4394" w:type="dxa"/>
            <w:tcBorders>
              <w:bottom w:val="single" w:sz="2" w:space="0" w:color="auto"/>
            </w:tcBorders>
            <w:shd w:val="clear" w:color="auto" w:fill="auto"/>
          </w:tcPr>
          <w:p w14:paraId="78948466" w14:textId="77777777" w:rsidR="00D26146" w:rsidRPr="007712D4" w:rsidRDefault="00D2229A" w:rsidP="005452CC">
            <w:pPr>
              <w:pStyle w:val="Tabletext"/>
            </w:pPr>
            <w:r w:rsidRPr="007712D4">
              <w:t>1 J</w:t>
            </w:r>
            <w:r w:rsidR="00C11D6E" w:rsidRPr="007712D4">
              <w:t>uly</w:t>
            </w:r>
            <w:r w:rsidR="00D26146" w:rsidRPr="007712D4">
              <w:t xml:space="preserve"> 202</w:t>
            </w:r>
            <w:r w:rsidR="00C11D6E" w:rsidRPr="007712D4">
              <w:t>4</w:t>
            </w:r>
            <w:r w:rsidR="00D26146" w:rsidRPr="007712D4">
              <w:t>.</w:t>
            </w:r>
          </w:p>
        </w:tc>
        <w:tc>
          <w:tcPr>
            <w:tcW w:w="1843" w:type="dxa"/>
            <w:tcBorders>
              <w:bottom w:val="single" w:sz="2" w:space="0" w:color="auto"/>
            </w:tcBorders>
            <w:shd w:val="clear" w:color="auto" w:fill="auto"/>
          </w:tcPr>
          <w:p w14:paraId="74A83A8F" w14:textId="77777777" w:rsidR="00D26146" w:rsidRPr="007712D4" w:rsidRDefault="00D2229A">
            <w:pPr>
              <w:pStyle w:val="Tabletext"/>
            </w:pPr>
            <w:r w:rsidRPr="007712D4">
              <w:t>1 J</w:t>
            </w:r>
            <w:r w:rsidR="00C11D6E" w:rsidRPr="007712D4">
              <w:t>uly</w:t>
            </w:r>
            <w:r w:rsidR="009F6327" w:rsidRPr="007712D4">
              <w:t xml:space="preserve"> 202</w:t>
            </w:r>
            <w:r w:rsidR="00C11D6E" w:rsidRPr="007712D4">
              <w:t>4</w:t>
            </w:r>
          </w:p>
        </w:tc>
      </w:tr>
      <w:tr w:rsidR="005452CC" w:rsidRPr="007712D4" w14:paraId="30B9089C" w14:textId="77777777" w:rsidTr="00941CBC">
        <w:tc>
          <w:tcPr>
            <w:tcW w:w="2127" w:type="dxa"/>
            <w:tcBorders>
              <w:top w:val="single" w:sz="2" w:space="0" w:color="auto"/>
              <w:bottom w:val="single" w:sz="12" w:space="0" w:color="auto"/>
            </w:tcBorders>
            <w:shd w:val="clear" w:color="auto" w:fill="auto"/>
            <w:hideMark/>
          </w:tcPr>
          <w:p w14:paraId="1F805B94" w14:textId="77777777" w:rsidR="00B072C9" w:rsidRPr="007712D4" w:rsidRDefault="00A93C6D" w:rsidP="00AD7252">
            <w:pPr>
              <w:pStyle w:val="Tabletext"/>
            </w:pPr>
            <w:r w:rsidRPr="007712D4">
              <w:t>3</w:t>
            </w:r>
            <w:r w:rsidR="00560D17" w:rsidRPr="007712D4">
              <w:t xml:space="preserve">.  </w:t>
            </w:r>
            <w:r w:rsidR="00DA4E9F" w:rsidRPr="007712D4">
              <w:t>Schedule 2</w:t>
            </w:r>
          </w:p>
        </w:tc>
        <w:tc>
          <w:tcPr>
            <w:tcW w:w="4394" w:type="dxa"/>
            <w:tcBorders>
              <w:top w:val="single" w:sz="2" w:space="0" w:color="auto"/>
              <w:bottom w:val="single" w:sz="12" w:space="0" w:color="auto"/>
            </w:tcBorders>
            <w:shd w:val="clear" w:color="auto" w:fill="auto"/>
            <w:hideMark/>
          </w:tcPr>
          <w:p w14:paraId="1A46006E" w14:textId="77777777" w:rsidR="00EA1607" w:rsidRPr="007712D4" w:rsidRDefault="00EA1607" w:rsidP="00EA1607">
            <w:pPr>
              <w:pStyle w:val="Tabletext"/>
            </w:pPr>
            <w:r w:rsidRPr="007712D4">
              <w:t>A single day to be fixed b</w:t>
            </w:r>
            <w:r w:rsidR="00DD72D3" w:rsidRPr="007712D4">
              <w:t>y the Secretary</w:t>
            </w:r>
            <w:r w:rsidR="00D527B1" w:rsidRPr="007712D4">
              <w:t xml:space="preserve"> </w:t>
            </w:r>
            <w:r w:rsidRPr="007712D4">
              <w:t>by notifiable instrument.</w:t>
            </w:r>
          </w:p>
          <w:p w14:paraId="0A8B3044" w14:textId="77777777" w:rsidR="005452CC" w:rsidRPr="007712D4" w:rsidRDefault="00EA1607" w:rsidP="00EA1607">
            <w:pPr>
              <w:pStyle w:val="Tabletext"/>
            </w:pPr>
            <w:r w:rsidRPr="007712D4">
              <w:t>However, if the provisions do not commence before 1 </w:t>
            </w:r>
            <w:r w:rsidR="00B92201" w:rsidRPr="007712D4">
              <w:t xml:space="preserve">January </w:t>
            </w:r>
            <w:r w:rsidRPr="007712D4">
              <w:t>2025, they commence on that day.</w:t>
            </w:r>
          </w:p>
        </w:tc>
        <w:tc>
          <w:tcPr>
            <w:tcW w:w="1843" w:type="dxa"/>
            <w:tcBorders>
              <w:top w:val="single" w:sz="2" w:space="0" w:color="auto"/>
              <w:bottom w:val="single" w:sz="12" w:space="0" w:color="auto"/>
            </w:tcBorders>
            <w:shd w:val="clear" w:color="auto" w:fill="auto"/>
          </w:tcPr>
          <w:p w14:paraId="18C74BF1" w14:textId="77777777" w:rsidR="005452CC" w:rsidRPr="007712D4" w:rsidRDefault="005452CC">
            <w:pPr>
              <w:pStyle w:val="Tabletext"/>
            </w:pPr>
          </w:p>
        </w:tc>
      </w:tr>
    </w:tbl>
    <w:p w14:paraId="458C1B05" w14:textId="77777777" w:rsidR="005452CC" w:rsidRPr="007712D4" w:rsidRDefault="005452CC" w:rsidP="00EE0C03">
      <w:pPr>
        <w:pStyle w:val="notetext"/>
      </w:pPr>
      <w:r w:rsidRPr="007712D4">
        <w:rPr>
          <w:snapToGrid w:val="0"/>
          <w:lang w:eastAsia="en-US"/>
        </w:rPr>
        <w:t>Note:</w:t>
      </w:r>
      <w:r w:rsidRPr="007712D4">
        <w:rPr>
          <w:snapToGrid w:val="0"/>
          <w:lang w:eastAsia="en-US"/>
        </w:rPr>
        <w:tab/>
        <w:t xml:space="preserve">This table relates only to the provisions of </w:t>
      </w:r>
      <w:r w:rsidR="008157EC" w:rsidRPr="007712D4">
        <w:rPr>
          <w:snapToGrid w:val="0"/>
          <w:lang w:eastAsia="en-US"/>
        </w:rPr>
        <w:t>this instrument</w:t>
      </w:r>
      <w:r w:rsidRPr="007712D4">
        <w:t xml:space="preserve"> </w:t>
      </w:r>
      <w:r w:rsidRPr="007712D4">
        <w:rPr>
          <w:snapToGrid w:val="0"/>
          <w:lang w:eastAsia="en-US"/>
        </w:rPr>
        <w:t xml:space="preserve">as originally made. It will not be amended to deal with any later amendments of </w:t>
      </w:r>
      <w:r w:rsidR="008157EC" w:rsidRPr="007712D4">
        <w:rPr>
          <w:snapToGrid w:val="0"/>
          <w:lang w:eastAsia="en-US"/>
        </w:rPr>
        <w:t>this instrument</w:t>
      </w:r>
      <w:r w:rsidRPr="007712D4">
        <w:rPr>
          <w:snapToGrid w:val="0"/>
          <w:lang w:eastAsia="en-US"/>
        </w:rPr>
        <w:t>.</w:t>
      </w:r>
    </w:p>
    <w:p w14:paraId="2AF55A32" w14:textId="77777777" w:rsidR="00097DA3" w:rsidRPr="007712D4" w:rsidRDefault="005452CC" w:rsidP="00B92201">
      <w:pPr>
        <w:pStyle w:val="subsection"/>
      </w:pPr>
      <w:r w:rsidRPr="007712D4">
        <w:tab/>
        <w:t>(2)</w:t>
      </w:r>
      <w:r w:rsidRPr="007712D4">
        <w:tab/>
        <w:t xml:space="preserve">Any information in column 3 of the table is not part of </w:t>
      </w:r>
      <w:r w:rsidR="008157EC" w:rsidRPr="007712D4">
        <w:t>this instrument</w:t>
      </w:r>
      <w:r w:rsidRPr="007712D4">
        <w:t xml:space="preserve">. Information may be inserted in this column, or information in it may be edited, in any published version of </w:t>
      </w:r>
      <w:r w:rsidR="008157EC" w:rsidRPr="007712D4">
        <w:t>this instrument</w:t>
      </w:r>
      <w:r w:rsidRPr="007712D4">
        <w:t>.</w:t>
      </w:r>
    </w:p>
    <w:p w14:paraId="2191FFAA" w14:textId="77777777" w:rsidR="00BF6650" w:rsidRPr="007712D4" w:rsidRDefault="00BF6650" w:rsidP="00BF6650">
      <w:pPr>
        <w:pStyle w:val="ActHead5"/>
      </w:pPr>
      <w:bookmarkStart w:id="3" w:name="_Toc168584374"/>
      <w:r w:rsidRPr="00182579">
        <w:rPr>
          <w:rStyle w:val="CharSectno"/>
        </w:rPr>
        <w:t>3</w:t>
      </w:r>
      <w:r w:rsidRPr="007712D4">
        <w:t xml:space="preserve">  Authority</w:t>
      </w:r>
      <w:bookmarkEnd w:id="3"/>
    </w:p>
    <w:p w14:paraId="7909EBE1" w14:textId="77777777" w:rsidR="00BF6650" w:rsidRPr="007712D4" w:rsidRDefault="00BF6650" w:rsidP="00BF6650">
      <w:pPr>
        <w:pStyle w:val="subsection"/>
      </w:pPr>
      <w:r w:rsidRPr="007712D4">
        <w:tab/>
      </w:r>
      <w:r w:rsidRPr="007712D4">
        <w:tab/>
      </w:r>
      <w:r w:rsidR="00EC0C2B" w:rsidRPr="007712D4">
        <w:t xml:space="preserve">This instrument is made under </w:t>
      </w:r>
      <w:r w:rsidR="00401A8C" w:rsidRPr="007712D4">
        <w:t>subsection 1</w:t>
      </w:r>
      <w:r w:rsidR="00EC0C2B" w:rsidRPr="007712D4">
        <w:t xml:space="preserve">00(2) of the </w:t>
      </w:r>
      <w:r w:rsidR="00EC0C2B" w:rsidRPr="007712D4">
        <w:rPr>
          <w:i/>
        </w:rPr>
        <w:t>National Health Act 1953</w:t>
      </w:r>
      <w:r w:rsidR="00EC0C2B" w:rsidRPr="007712D4">
        <w:t>.</w:t>
      </w:r>
    </w:p>
    <w:p w14:paraId="0CAB0FC0" w14:textId="77777777" w:rsidR="00557C7A" w:rsidRPr="007712D4" w:rsidRDefault="00BF6650" w:rsidP="00557C7A">
      <w:pPr>
        <w:pStyle w:val="ActHead5"/>
      </w:pPr>
      <w:bookmarkStart w:id="4" w:name="_Toc168584375"/>
      <w:r w:rsidRPr="00182579">
        <w:rPr>
          <w:rStyle w:val="CharSectno"/>
        </w:rPr>
        <w:t>4</w:t>
      </w:r>
      <w:r w:rsidR="00557C7A" w:rsidRPr="007712D4">
        <w:t xml:space="preserve">  </w:t>
      </w:r>
      <w:r w:rsidR="00083F48" w:rsidRPr="007712D4">
        <w:t>Schedules</w:t>
      </w:r>
      <w:bookmarkEnd w:id="4"/>
    </w:p>
    <w:p w14:paraId="1987F9B7" w14:textId="77777777" w:rsidR="00FE17DE" w:rsidRPr="007712D4" w:rsidRDefault="00557C7A" w:rsidP="001E52F4">
      <w:pPr>
        <w:pStyle w:val="subsection"/>
      </w:pPr>
      <w:r w:rsidRPr="007712D4">
        <w:tab/>
      </w:r>
      <w:r w:rsidRPr="007712D4">
        <w:tab/>
      </w:r>
      <w:r w:rsidR="00083F48" w:rsidRPr="007712D4">
        <w:t xml:space="preserve">Each </w:t>
      </w:r>
      <w:r w:rsidR="00160BD7" w:rsidRPr="007712D4">
        <w:t>instrument</w:t>
      </w:r>
      <w:r w:rsidR="00083F48" w:rsidRPr="007712D4">
        <w:t xml:space="preserve"> that is specified in a Schedule to </w:t>
      </w:r>
      <w:r w:rsidR="008157EC" w:rsidRPr="007712D4">
        <w:t>this instrument</w:t>
      </w:r>
      <w:r w:rsidR="00083F48" w:rsidRPr="007712D4">
        <w:t xml:space="preserve"> is amended or repealed as set out in the applicable items in the Schedule concerned, and any other item in a Schedule to </w:t>
      </w:r>
      <w:r w:rsidR="008157EC" w:rsidRPr="007712D4">
        <w:t>this instrument</w:t>
      </w:r>
      <w:r w:rsidR="00083F48" w:rsidRPr="007712D4">
        <w:t xml:space="preserve"> has effect according to its terms.</w:t>
      </w:r>
    </w:p>
    <w:p w14:paraId="1083A777" w14:textId="77777777" w:rsidR="00401A8C" w:rsidRPr="007712D4" w:rsidRDefault="00D2229A" w:rsidP="00855700">
      <w:pPr>
        <w:pStyle w:val="ActHead6"/>
        <w:pageBreakBefore/>
      </w:pPr>
      <w:bookmarkStart w:id="5" w:name="_Toc168584376"/>
      <w:r w:rsidRPr="00182579">
        <w:rPr>
          <w:rStyle w:val="CharAmSchNo"/>
        </w:rPr>
        <w:lastRenderedPageBreak/>
        <w:t>Schedule </w:t>
      </w:r>
      <w:r w:rsidR="00716883" w:rsidRPr="00182579">
        <w:rPr>
          <w:rStyle w:val="CharAmSchNo"/>
        </w:rPr>
        <w:t>1</w:t>
      </w:r>
      <w:r w:rsidR="00A93C6D" w:rsidRPr="007712D4">
        <w:t>—</w:t>
      </w:r>
      <w:r w:rsidR="00716883" w:rsidRPr="00182579">
        <w:rPr>
          <w:rStyle w:val="CharAmSchText"/>
        </w:rPr>
        <w:t>Main Amendments</w:t>
      </w:r>
      <w:bookmarkEnd w:id="5"/>
    </w:p>
    <w:p w14:paraId="25BC4CBC" w14:textId="77777777" w:rsidR="00855700" w:rsidRPr="00182579" w:rsidRDefault="00E56159" w:rsidP="00E56159">
      <w:pPr>
        <w:pStyle w:val="Header"/>
      </w:pPr>
      <w:r w:rsidRPr="00182579">
        <w:rPr>
          <w:rStyle w:val="CharAmPartNo"/>
        </w:rPr>
        <w:t xml:space="preserve"> </w:t>
      </w:r>
      <w:r w:rsidRPr="00182579">
        <w:rPr>
          <w:rStyle w:val="CharAmPartText"/>
        </w:rPr>
        <w:t xml:space="preserve"> </w:t>
      </w:r>
    </w:p>
    <w:p w14:paraId="43D88D3B" w14:textId="77777777" w:rsidR="00A93C6D" w:rsidRPr="007712D4" w:rsidRDefault="00A93C6D" w:rsidP="00A93C6D">
      <w:pPr>
        <w:pStyle w:val="ActHead9"/>
      </w:pPr>
      <w:bookmarkStart w:id="6" w:name="_Toc168584377"/>
      <w:r w:rsidRPr="007712D4">
        <w:t>National Health</w:t>
      </w:r>
      <w:r w:rsidR="00EE0C03" w:rsidRPr="007712D4">
        <w:t xml:space="preserve"> (Botulinum Toxin Program) Special Arrangement 2015</w:t>
      </w:r>
      <w:bookmarkEnd w:id="6"/>
    </w:p>
    <w:p w14:paraId="65AEEE77" w14:textId="77777777" w:rsidR="00884ADD" w:rsidRPr="007712D4" w:rsidRDefault="00903B54" w:rsidP="0093243A">
      <w:pPr>
        <w:pStyle w:val="ItemHead"/>
      </w:pPr>
      <w:r w:rsidRPr="007712D4">
        <w:t>1</w:t>
      </w:r>
      <w:r w:rsidR="0093243A" w:rsidRPr="007712D4">
        <w:t xml:space="preserve">  </w:t>
      </w:r>
      <w:r w:rsidR="0028668B" w:rsidRPr="007712D4">
        <w:t>Section 4</w:t>
      </w:r>
    </w:p>
    <w:p w14:paraId="02FF49DD" w14:textId="77777777" w:rsidR="0093243A" w:rsidRPr="007712D4" w:rsidRDefault="0093243A" w:rsidP="0093243A">
      <w:pPr>
        <w:pStyle w:val="Item"/>
      </w:pPr>
      <w:r w:rsidRPr="007712D4">
        <w:t>Insert:</w:t>
      </w:r>
    </w:p>
    <w:p w14:paraId="16C155B7" w14:textId="77777777" w:rsidR="00884ADD" w:rsidRPr="007712D4" w:rsidRDefault="00884ADD" w:rsidP="00884ADD">
      <w:pPr>
        <w:pStyle w:val="Definition"/>
        <w:rPr>
          <w:i/>
        </w:rPr>
      </w:pPr>
      <w:r w:rsidRPr="007712D4">
        <w:rPr>
          <w:b/>
          <w:i/>
        </w:rPr>
        <w:t>CTG registered patient</w:t>
      </w:r>
      <w:r w:rsidRPr="007712D4">
        <w:t xml:space="preserve"> means a patient registered under </w:t>
      </w:r>
      <w:r w:rsidR="00401A8C" w:rsidRPr="007712D4">
        <w:t>subsection 1</w:t>
      </w:r>
      <w:r w:rsidRPr="007712D4">
        <w:t xml:space="preserve">0(2) of the CTG </w:t>
      </w:r>
      <w:r w:rsidR="000F40CB" w:rsidRPr="007712D4">
        <w:t>S</w:t>
      </w:r>
      <w:r w:rsidRPr="007712D4">
        <w:t xml:space="preserve">pecial </w:t>
      </w:r>
      <w:r w:rsidR="000F40CB" w:rsidRPr="007712D4">
        <w:t>A</w:t>
      </w:r>
      <w:r w:rsidRPr="007712D4">
        <w:t>rrangement.</w:t>
      </w:r>
    </w:p>
    <w:p w14:paraId="12020A54" w14:textId="77777777" w:rsidR="00884ADD" w:rsidRPr="007712D4" w:rsidRDefault="00884ADD" w:rsidP="00884ADD">
      <w:pPr>
        <w:pStyle w:val="Definition"/>
      </w:pPr>
      <w:r w:rsidRPr="007712D4">
        <w:rPr>
          <w:b/>
          <w:i/>
        </w:rPr>
        <w:t xml:space="preserve">CTG </w:t>
      </w:r>
      <w:r w:rsidR="003837EB" w:rsidRPr="007712D4">
        <w:rPr>
          <w:b/>
          <w:i/>
        </w:rPr>
        <w:t>S</w:t>
      </w:r>
      <w:r w:rsidRPr="007712D4">
        <w:rPr>
          <w:b/>
          <w:i/>
        </w:rPr>
        <w:t xml:space="preserve">pecial </w:t>
      </w:r>
      <w:r w:rsidR="003837EB" w:rsidRPr="007712D4">
        <w:rPr>
          <w:b/>
          <w:i/>
        </w:rPr>
        <w:t>A</w:t>
      </w:r>
      <w:r w:rsidRPr="007712D4">
        <w:rPr>
          <w:b/>
          <w:i/>
        </w:rPr>
        <w:t>rrangement</w:t>
      </w:r>
      <w:r w:rsidRPr="007712D4">
        <w:t xml:space="preserve"> means the </w:t>
      </w:r>
      <w:r w:rsidRPr="007712D4">
        <w:rPr>
          <w:i/>
        </w:rPr>
        <w:t>National Health (Closing the Gap – PBS Co</w:t>
      </w:r>
      <w:r w:rsidR="007712D4">
        <w:rPr>
          <w:i/>
        </w:rPr>
        <w:noBreakHyphen/>
      </w:r>
      <w:r w:rsidRPr="007712D4">
        <w:rPr>
          <w:i/>
        </w:rPr>
        <w:t>payment Program) Special Arrangement 2016</w:t>
      </w:r>
      <w:r w:rsidRPr="00681495">
        <w:t>.</w:t>
      </w:r>
    </w:p>
    <w:p w14:paraId="7352EF83" w14:textId="77777777" w:rsidR="00954C20" w:rsidRPr="007712D4" w:rsidRDefault="00884ADD" w:rsidP="00EC773D">
      <w:pPr>
        <w:pStyle w:val="Definition"/>
      </w:pPr>
      <w:r w:rsidRPr="007712D4">
        <w:rPr>
          <w:b/>
          <w:i/>
        </w:rPr>
        <w:t>CTG supplier</w:t>
      </w:r>
      <w:r w:rsidRPr="007712D4">
        <w:t xml:space="preserve"> has the same meaning as </w:t>
      </w:r>
      <w:r w:rsidR="00C835B1" w:rsidRPr="007712D4">
        <w:t xml:space="preserve">in </w:t>
      </w:r>
      <w:r w:rsidRPr="007712D4">
        <w:t xml:space="preserve">the CTG </w:t>
      </w:r>
      <w:r w:rsidR="00B76CAE" w:rsidRPr="007712D4">
        <w:t>S</w:t>
      </w:r>
      <w:r w:rsidRPr="007712D4">
        <w:t xml:space="preserve">pecial </w:t>
      </w:r>
      <w:r w:rsidR="00B76CAE" w:rsidRPr="007712D4">
        <w:t>A</w:t>
      </w:r>
      <w:r w:rsidRPr="007712D4">
        <w:t>rrangement.</w:t>
      </w:r>
    </w:p>
    <w:p w14:paraId="4FBB5ADE" w14:textId="77777777" w:rsidR="00EC773D" w:rsidRPr="007712D4" w:rsidRDefault="00903B54" w:rsidP="0093243A">
      <w:pPr>
        <w:pStyle w:val="ItemHead"/>
      </w:pPr>
      <w:bookmarkStart w:id="7" w:name="_Hlk163736023"/>
      <w:r w:rsidRPr="007712D4">
        <w:t>2</w:t>
      </w:r>
      <w:r w:rsidR="000516E0" w:rsidRPr="007712D4">
        <w:t xml:space="preserve">  </w:t>
      </w:r>
      <w:r w:rsidR="00E4228F" w:rsidRPr="007712D4">
        <w:t xml:space="preserve">At the end of </w:t>
      </w:r>
      <w:r w:rsidR="00401A8C" w:rsidRPr="007712D4">
        <w:t>subsection 1</w:t>
      </w:r>
      <w:r w:rsidR="000516E0" w:rsidRPr="007712D4">
        <w:t>3(1)</w:t>
      </w:r>
    </w:p>
    <w:p w14:paraId="6199CE3D" w14:textId="77777777" w:rsidR="0080139C" w:rsidRPr="007712D4" w:rsidRDefault="0080139C" w:rsidP="0080139C">
      <w:pPr>
        <w:pStyle w:val="Item"/>
      </w:pPr>
      <w:r w:rsidRPr="007712D4">
        <w:t>Add:</w:t>
      </w:r>
    </w:p>
    <w:p w14:paraId="6489E0F6" w14:textId="77777777" w:rsidR="000516E0" w:rsidRPr="007712D4" w:rsidRDefault="00300E28" w:rsidP="0080139C">
      <w:pPr>
        <w:pStyle w:val="notetext"/>
      </w:pPr>
      <w:r w:rsidRPr="007712D4">
        <w:t>Note:</w:t>
      </w:r>
      <w:r w:rsidRPr="007712D4">
        <w:tab/>
        <w:t>However, s</w:t>
      </w:r>
      <w:r w:rsidR="0080139C" w:rsidRPr="007712D4">
        <w:t xml:space="preserve">ee </w:t>
      </w:r>
      <w:r w:rsidR="00DA4E9F" w:rsidRPr="007712D4">
        <w:t>Part 9</w:t>
      </w:r>
      <w:r w:rsidR="0080139C" w:rsidRPr="007712D4">
        <w:t xml:space="preserve"> in relation to the supply of a pharmaceutical benefit to a CTG </w:t>
      </w:r>
      <w:r w:rsidRPr="007712D4">
        <w:t>registered patient by a CTG supplier.</w:t>
      </w:r>
    </w:p>
    <w:p w14:paraId="18881F4D" w14:textId="77777777" w:rsidR="00D80949" w:rsidRPr="007712D4" w:rsidRDefault="00903B54" w:rsidP="00D80949">
      <w:pPr>
        <w:pStyle w:val="ItemHead"/>
      </w:pPr>
      <w:r w:rsidRPr="007712D4">
        <w:t>3</w:t>
      </w:r>
      <w:r w:rsidR="00D80949" w:rsidRPr="007712D4">
        <w:t xml:space="preserve">  </w:t>
      </w:r>
      <w:r w:rsidR="00300E28" w:rsidRPr="007712D4">
        <w:t xml:space="preserve">At the end of </w:t>
      </w:r>
      <w:r w:rsidR="00401A8C" w:rsidRPr="007712D4">
        <w:t>subsection 1</w:t>
      </w:r>
      <w:r w:rsidR="009E357F" w:rsidRPr="007712D4">
        <w:t>4(1)</w:t>
      </w:r>
    </w:p>
    <w:p w14:paraId="39258FF6" w14:textId="77777777" w:rsidR="00300E28" w:rsidRPr="007712D4" w:rsidRDefault="00300E28" w:rsidP="00300E28">
      <w:pPr>
        <w:pStyle w:val="Item"/>
      </w:pPr>
      <w:r w:rsidRPr="007712D4">
        <w:t>Add:</w:t>
      </w:r>
    </w:p>
    <w:p w14:paraId="711092AD" w14:textId="77777777" w:rsidR="00D80949" w:rsidRPr="007712D4" w:rsidRDefault="00300E28" w:rsidP="00300E28">
      <w:pPr>
        <w:pStyle w:val="notetext"/>
      </w:pPr>
      <w:r w:rsidRPr="007712D4">
        <w:t>Note:</w:t>
      </w:r>
      <w:r w:rsidRPr="007712D4">
        <w:tab/>
        <w:t xml:space="preserve">However, see </w:t>
      </w:r>
      <w:r w:rsidR="00DA4E9F" w:rsidRPr="007712D4">
        <w:t>Part 9</w:t>
      </w:r>
      <w:r w:rsidRPr="007712D4">
        <w:t xml:space="preserve"> in relation to the supply of a pharmaceutical benefit to a CTG registered patient by a CTG supplier.</w:t>
      </w:r>
    </w:p>
    <w:p w14:paraId="23D7ED89" w14:textId="77777777" w:rsidR="00976588" w:rsidRPr="007712D4" w:rsidRDefault="00903B54" w:rsidP="00976588">
      <w:pPr>
        <w:pStyle w:val="ItemHead"/>
      </w:pPr>
      <w:r w:rsidRPr="007712D4">
        <w:t>4</w:t>
      </w:r>
      <w:r w:rsidR="00976588" w:rsidRPr="007712D4">
        <w:t xml:space="preserve">  </w:t>
      </w:r>
      <w:r w:rsidR="000F40CB" w:rsidRPr="007712D4">
        <w:t xml:space="preserve">At the end of </w:t>
      </w:r>
      <w:r w:rsidR="00401A8C" w:rsidRPr="007712D4">
        <w:t>subsection 2</w:t>
      </w:r>
      <w:r w:rsidR="00976588" w:rsidRPr="007712D4">
        <w:t>2(1)</w:t>
      </w:r>
    </w:p>
    <w:p w14:paraId="2DC06FD2" w14:textId="77777777" w:rsidR="000F40CB" w:rsidRPr="007712D4" w:rsidRDefault="000F40CB" w:rsidP="000F40CB">
      <w:pPr>
        <w:pStyle w:val="Item"/>
      </w:pPr>
      <w:r w:rsidRPr="007712D4">
        <w:t>Add:</w:t>
      </w:r>
    </w:p>
    <w:p w14:paraId="4A8E96F7" w14:textId="77777777" w:rsidR="00444313" w:rsidRPr="007712D4" w:rsidRDefault="000F40CB" w:rsidP="000F40CB">
      <w:pPr>
        <w:pStyle w:val="notetext"/>
      </w:pPr>
      <w:r w:rsidRPr="007712D4">
        <w:t>Note:</w:t>
      </w:r>
      <w:r w:rsidRPr="007712D4">
        <w:tab/>
        <w:t xml:space="preserve">However, see </w:t>
      </w:r>
      <w:r w:rsidR="00DA4E9F" w:rsidRPr="007712D4">
        <w:t>Part 9</w:t>
      </w:r>
      <w:r w:rsidRPr="007712D4">
        <w:t xml:space="preserve"> in relation to the supply of a pharmaceutical benefit to a CTG registered patient by a CTG supplier.</w:t>
      </w:r>
    </w:p>
    <w:p w14:paraId="5B426D1A" w14:textId="77777777" w:rsidR="007E44E1" w:rsidRPr="007712D4" w:rsidRDefault="00903B54" w:rsidP="007E44E1">
      <w:pPr>
        <w:pStyle w:val="ItemHead"/>
      </w:pPr>
      <w:r w:rsidRPr="007712D4">
        <w:t>5</w:t>
      </w:r>
      <w:r w:rsidR="007E44E1" w:rsidRPr="007712D4">
        <w:t xml:space="preserve">  After </w:t>
      </w:r>
      <w:r w:rsidR="00DA4E9F" w:rsidRPr="007712D4">
        <w:t>Part 8</w:t>
      </w:r>
    </w:p>
    <w:p w14:paraId="1E606373" w14:textId="77777777" w:rsidR="00976588" w:rsidRPr="007712D4" w:rsidRDefault="00976588" w:rsidP="00976588">
      <w:pPr>
        <w:pStyle w:val="Item"/>
      </w:pPr>
      <w:r w:rsidRPr="007712D4">
        <w:t>Insert:</w:t>
      </w:r>
    </w:p>
    <w:p w14:paraId="72D406EB" w14:textId="77777777" w:rsidR="00407D98" w:rsidRPr="007712D4" w:rsidRDefault="00DA4E9F" w:rsidP="00EB6E19">
      <w:pPr>
        <w:pStyle w:val="ActHead2"/>
      </w:pPr>
      <w:bookmarkStart w:id="8" w:name="_Toc168584378"/>
      <w:r w:rsidRPr="00182579">
        <w:rPr>
          <w:rStyle w:val="CharPartNo"/>
        </w:rPr>
        <w:t>Part 9</w:t>
      </w:r>
      <w:r w:rsidR="00172BDC" w:rsidRPr="007712D4">
        <w:t>—</w:t>
      </w:r>
      <w:r w:rsidR="00D54A11" w:rsidRPr="00182579">
        <w:rPr>
          <w:rStyle w:val="CharPartText"/>
        </w:rPr>
        <w:t xml:space="preserve">Supply to CTG </w:t>
      </w:r>
      <w:r w:rsidR="00407D98" w:rsidRPr="00182579">
        <w:rPr>
          <w:rStyle w:val="CharPartText"/>
        </w:rPr>
        <w:t xml:space="preserve">registered </w:t>
      </w:r>
      <w:r w:rsidR="00D54A11" w:rsidRPr="00182579">
        <w:rPr>
          <w:rStyle w:val="CharPartText"/>
        </w:rPr>
        <w:t>patients</w:t>
      </w:r>
      <w:r w:rsidR="0016536F" w:rsidRPr="00182579">
        <w:rPr>
          <w:rStyle w:val="CharPartText"/>
        </w:rPr>
        <w:t xml:space="preserve"> by CTG suppliers</w:t>
      </w:r>
      <w:bookmarkEnd w:id="8"/>
    </w:p>
    <w:p w14:paraId="4B1A64E6" w14:textId="77777777" w:rsidR="00A5472D" w:rsidRPr="007712D4" w:rsidRDefault="00A5472D" w:rsidP="00A5472D">
      <w:pPr>
        <w:pStyle w:val="ActHead5"/>
      </w:pPr>
      <w:bookmarkStart w:id="9" w:name="_Toc168584379"/>
      <w:r w:rsidRPr="00182579">
        <w:rPr>
          <w:rStyle w:val="CharSectno"/>
        </w:rPr>
        <w:t>23</w:t>
      </w:r>
      <w:r w:rsidRPr="007712D4">
        <w:t xml:space="preserve">  Application of this Part</w:t>
      </w:r>
      <w:bookmarkEnd w:id="9"/>
    </w:p>
    <w:p w14:paraId="4E9DAB63" w14:textId="77777777" w:rsidR="00A26D8B" w:rsidRPr="007712D4" w:rsidRDefault="00A5472D" w:rsidP="00A5472D">
      <w:pPr>
        <w:pStyle w:val="subsection"/>
      </w:pPr>
      <w:r w:rsidRPr="007712D4">
        <w:tab/>
      </w:r>
      <w:r w:rsidR="002D5FE3" w:rsidRPr="007712D4">
        <w:tab/>
      </w:r>
      <w:r w:rsidRPr="007712D4">
        <w:t xml:space="preserve">This Part applies to </w:t>
      </w:r>
      <w:r w:rsidR="00491F52" w:rsidRPr="007712D4">
        <w:t>a</w:t>
      </w:r>
      <w:r w:rsidRPr="007712D4">
        <w:t xml:space="preserve"> supply </w:t>
      </w:r>
      <w:r w:rsidR="008D569C" w:rsidRPr="007712D4">
        <w:t xml:space="preserve">(the </w:t>
      </w:r>
      <w:r w:rsidR="008D569C" w:rsidRPr="007712D4">
        <w:rPr>
          <w:b/>
          <w:i/>
        </w:rPr>
        <w:t>relevant supply</w:t>
      </w:r>
      <w:r w:rsidR="008D569C" w:rsidRPr="007712D4">
        <w:t xml:space="preserve">) </w:t>
      </w:r>
      <w:r w:rsidRPr="007712D4">
        <w:t xml:space="preserve">of a </w:t>
      </w:r>
      <w:r w:rsidR="002D5FE3" w:rsidRPr="007712D4">
        <w:t>pharmaceutical benefit</w:t>
      </w:r>
      <w:r w:rsidR="000729B5" w:rsidRPr="007712D4">
        <w:t xml:space="preserve"> </w:t>
      </w:r>
      <w:r w:rsidR="002D5FE3" w:rsidRPr="007712D4">
        <w:t>under this Special Arrangement</w:t>
      </w:r>
      <w:r w:rsidR="006A07C3" w:rsidRPr="007712D4">
        <w:t xml:space="preserve"> </w:t>
      </w:r>
      <w:r w:rsidR="00A26D8B" w:rsidRPr="007712D4">
        <w:t xml:space="preserve">if </w:t>
      </w:r>
      <w:r w:rsidR="00583B4B" w:rsidRPr="007712D4">
        <w:t>the</w:t>
      </w:r>
      <w:r w:rsidR="00A21779" w:rsidRPr="007712D4">
        <w:t xml:space="preserve"> </w:t>
      </w:r>
      <w:r w:rsidR="00A665FA" w:rsidRPr="007712D4">
        <w:t>relevant</w:t>
      </w:r>
      <w:r w:rsidR="006A07C3" w:rsidRPr="007712D4">
        <w:t xml:space="preserve"> </w:t>
      </w:r>
      <w:r w:rsidR="00A26D8B" w:rsidRPr="007712D4">
        <w:t>supply is made:</w:t>
      </w:r>
    </w:p>
    <w:p w14:paraId="11C4DB05" w14:textId="77777777" w:rsidR="00A26D8B" w:rsidRPr="007712D4" w:rsidRDefault="00A26D8B" w:rsidP="00A26D8B">
      <w:pPr>
        <w:pStyle w:val="paragraph"/>
      </w:pPr>
      <w:r w:rsidRPr="007712D4">
        <w:tab/>
        <w:t>(a)</w:t>
      </w:r>
      <w:r w:rsidRPr="007712D4">
        <w:tab/>
      </w:r>
      <w:r w:rsidR="002D5FE3" w:rsidRPr="007712D4">
        <w:t>to an eligible p</w:t>
      </w:r>
      <w:r w:rsidR="00A21C57" w:rsidRPr="007712D4">
        <w:t>atient</w:t>
      </w:r>
      <w:r w:rsidR="002D5FE3" w:rsidRPr="007712D4">
        <w:t xml:space="preserve"> who is a CTG registered patien</w:t>
      </w:r>
      <w:r w:rsidRPr="007712D4">
        <w:t>t; and</w:t>
      </w:r>
    </w:p>
    <w:p w14:paraId="4813116D" w14:textId="77777777" w:rsidR="00A5472D" w:rsidRPr="007712D4" w:rsidRDefault="00A26D8B" w:rsidP="00A26D8B">
      <w:pPr>
        <w:pStyle w:val="paragraph"/>
      </w:pPr>
      <w:r w:rsidRPr="007712D4">
        <w:tab/>
        <w:t>(b)</w:t>
      </w:r>
      <w:r w:rsidRPr="007712D4">
        <w:tab/>
      </w:r>
      <w:r w:rsidR="002D5FE3" w:rsidRPr="007712D4">
        <w:t xml:space="preserve">by </w:t>
      </w:r>
      <w:r w:rsidR="00A5472D" w:rsidRPr="007712D4">
        <w:t>an approved hospital authority who is a CTG supplier</w:t>
      </w:r>
      <w:r w:rsidR="002D5FE3" w:rsidRPr="007712D4">
        <w:t>.</w:t>
      </w:r>
    </w:p>
    <w:p w14:paraId="1E906ECC" w14:textId="77777777" w:rsidR="00A60DE6" w:rsidRPr="007712D4" w:rsidRDefault="002D5FE3" w:rsidP="00A836AC">
      <w:pPr>
        <w:pStyle w:val="ActHead5"/>
      </w:pPr>
      <w:bookmarkStart w:id="10" w:name="_Toc168584380"/>
      <w:r w:rsidRPr="00182579">
        <w:rPr>
          <w:rStyle w:val="CharSectno"/>
        </w:rPr>
        <w:t>24</w:t>
      </w:r>
      <w:r w:rsidRPr="007712D4">
        <w:t xml:space="preserve">  </w:t>
      </w:r>
      <w:r w:rsidR="005C08D3" w:rsidRPr="007712D4">
        <w:t xml:space="preserve">Application of the CTG </w:t>
      </w:r>
      <w:r w:rsidR="001323E9" w:rsidRPr="007712D4">
        <w:t xml:space="preserve">Special </w:t>
      </w:r>
      <w:r w:rsidR="005C08D3" w:rsidRPr="007712D4">
        <w:t>Arrangement</w:t>
      </w:r>
      <w:r w:rsidR="0095077C" w:rsidRPr="007712D4">
        <w:t>—c</w:t>
      </w:r>
      <w:r w:rsidR="00A60DE6" w:rsidRPr="007712D4">
        <w:t>o</w:t>
      </w:r>
      <w:r w:rsidR="007712D4">
        <w:noBreakHyphen/>
      </w:r>
      <w:r w:rsidR="00A60DE6" w:rsidRPr="007712D4">
        <w:t xml:space="preserve">payment </w:t>
      </w:r>
      <w:r w:rsidR="005441A4" w:rsidRPr="007712D4">
        <w:t xml:space="preserve">and payment </w:t>
      </w:r>
      <w:r w:rsidR="00A60DE6" w:rsidRPr="007712D4">
        <w:t>etc.</w:t>
      </w:r>
      <w:bookmarkEnd w:id="10"/>
    </w:p>
    <w:p w14:paraId="25F746AD" w14:textId="77777777" w:rsidR="00A43A2D" w:rsidRPr="007712D4" w:rsidRDefault="00A43A2D" w:rsidP="005C08D3">
      <w:pPr>
        <w:pStyle w:val="subsection"/>
      </w:pPr>
      <w:r w:rsidRPr="007712D4">
        <w:tab/>
        <w:t>(1)</w:t>
      </w:r>
      <w:r w:rsidR="00794F32" w:rsidRPr="007712D4">
        <w:tab/>
      </w:r>
      <w:r w:rsidR="008506A4" w:rsidRPr="007712D4">
        <w:t xml:space="preserve">Despite </w:t>
      </w:r>
      <w:r w:rsidR="00DA4E9F" w:rsidRPr="007712D4">
        <w:t>sections 1</w:t>
      </w:r>
      <w:r w:rsidR="003355DF" w:rsidRPr="007712D4">
        <w:t xml:space="preserve">3, 14 and 22 of this Special Arrangement, </w:t>
      </w:r>
      <w:r w:rsidR="0028668B" w:rsidRPr="007712D4">
        <w:t>subsections 1</w:t>
      </w:r>
      <w:r w:rsidR="000A3994" w:rsidRPr="007712D4">
        <w:t>1</w:t>
      </w:r>
      <w:r w:rsidR="00A106DD" w:rsidRPr="007712D4">
        <w:t>(</w:t>
      </w:r>
      <w:r w:rsidR="0037275F" w:rsidRPr="007712D4">
        <w:t>1), (2), (3)</w:t>
      </w:r>
      <w:r w:rsidR="00BC0BBC" w:rsidRPr="007712D4">
        <w:t xml:space="preserve"> and (4)</w:t>
      </w:r>
      <w:r w:rsidR="005B277E" w:rsidRPr="007712D4">
        <w:t xml:space="preserve"> (co</w:t>
      </w:r>
      <w:r w:rsidR="007712D4">
        <w:noBreakHyphen/>
      </w:r>
      <w:r w:rsidR="005B277E" w:rsidRPr="007712D4">
        <w:t>payment</w:t>
      </w:r>
      <w:r w:rsidR="00153CB6" w:rsidRPr="007712D4">
        <w:t xml:space="preserve"> reduction</w:t>
      </w:r>
      <w:r w:rsidR="005B277E" w:rsidRPr="007712D4">
        <w:t xml:space="preserve"> </w:t>
      </w:r>
      <w:r w:rsidR="00444313" w:rsidRPr="007712D4">
        <w:t>etc.</w:t>
      </w:r>
      <w:r w:rsidR="005B277E" w:rsidRPr="007712D4">
        <w:t>)</w:t>
      </w:r>
      <w:r w:rsidR="00BC0BBC" w:rsidRPr="007712D4">
        <w:t xml:space="preserve"> and </w:t>
      </w:r>
      <w:r w:rsidR="00401A8C" w:rsidRPr="007712D4">
        <w:t>section 1</w:t>
      </w:r>
      <w:r w:rsidR="000A3994" w:rsidRPr="007712D4">
        <w:t>3</w:t>
      </w:r>
      <w:r w:rsidR="005B277E" w:rsidRPr="007712D4">
        <w:t xml:space="preserve"> (</w:t>
      </w:r>
      <w:r w:rsidR="00692511" w:rsidRPr="007712D4">
        <w:t>payment by Commonwealth)</w:t>
      </w:r>
      <w:r w:rsidR="00CB0123" w:rsidRPr="007712D4">
        <w:t xml:space="preserve"> of the CTG </w:t>
      </w:r>
      <w:r w:rsidR="000C057A" w:rsidRPr="007712D4">
        <w:t>S</w:t>
      </w:r>
      <w:r w:rsidR="00CB0123" w:rsidRPr="007712D4">
        <w:t xml:space="preserve">pecial </w:t>
      </w:r>
      <w:r w:rsidR="000C057A" w:rsidRPr="007712D4">
        <w:t>A</w:t>
      </w:r>
      <w:r w:rsidR="00CB0123" w:rsidRPr="007712D4">
        <w:t>rrangement apply</w:t>
      </w:r>
      <w:r w:rsidR="007160ED" w:rsidRPr="007712D4">
        <w:t xml:space="preserve"> in re</w:t>
      </w:r>
      <w:r w:rsidR="001641AC" w:rsidRPr="007712D4">
        <w:t xml:space="preserve">lation to </w:t>
      </w:r>
      <w:r w:rsidR="00A665FA" w:rsidRPr="007712D4">
        <w:t xml:space="preserve">the </w:t>
      </w:r>
      <w:r w:rsidR="00A665FA" w:rsidRPr="007712D4">
        <w:lastRenderedPageBreak/>
        <w:t>relevant</w:t>
      </w:r>
      <w:r w:rsidR="006A07C3" w:rsidRPr="007712D4">
        <w:t xml:space="preserve"> supply</w:t>
      </w:r>
      <w:r w:rsidR="000729B5" w:rsidRPr="007712D4">
        <w:t xml:space="preserve"> under </w:t>
      </w:r>
      <w:r w:rsidR="003837EB" w:rsidRPr="007712D4">
        <w:t xml:space="preserve">this Special Arrangement </w:t>
      </w:r>
      <w:r w:rsidR="00ED4AAE" w:rsidRPr="007712D4">
        <w:t>w</w:t>
      </w:r>
      <w:r w:rsidRPr="007712D4">
        <w:t xml:space="preserve">ith the modification set out in </w:t>
      </w:r>
      <w:r w:rsidR="00401A8C" w:rsidRPr="007712D4">
        <w:t>subsection (</w:t>
      </w:r>
      <w:r w:rsidRPr="007712D4">
        <w:t>2)</w:t>
      </w:r>
      <w:r w:rsidR="003264E5" w:rsidRPr="007712D4">
        <w:t xml:space="preserve"> of this section</w:t>
      </w:r>
      <w:r w:rsidR="00583B4B" w:rsidRPr="007712D4">
        <w:t>.</w:t>
      </w:r>
    </w:p>
    <w:p w14:paraId="1A5F2807" w14:textId="77777777" w:rsidR="00A93501" w:rsidRPr="007712D4" w:rsidRDefault="00A43A2D" w:rsidP="00A93501">
      <w:pPr>
        <w:pStyle w:val="subsection"/>
      </w:pPr>
      <w:r w:rsidRPr="007712D4">
        <w:tab/>
        <w:t>(2)</w:t>
      </w:r>
      <w:r w:rsidRPr="007712D4">
        <w:tab/>
        <w:t>A reference</w:t>
      </w:r>
      <w:r w:rsidR="00FF28C2" w:rsidRPr="007712D4">
        <w:t xml:space="preserve"> in the CTG </w:t>
      </w:r>
      <w:r w:rsidR="000C057A" w:rsidRPr="007712D4">
        <w:t>S</w:t>
      </w:r>
      <w:r w:rsidR="00FF28C2" w:rsidRPr="007712D4">
        <w:t xml:space="preserve">pecial </w:t>
      </w:r>
      <w:r w:rsidR="000C057A" w:rsidRPr="007712D4">
        <w:t>A</w:t>
      </w:r>
      <w:r w:rsidR="00FF28C2" w:rsidRPr="007712D4">
        <w:t xml:space="preserve">rrangement to </w:t>
      </w:r>
      <w:r w:rsidR="005E5D8B" w:rsidRPr="007712D4">
        <w:t>a</w:t>
      </w:r>
      <w:r w:rsidR="00FF28C2" w:rsidRPr="007712D4">
        <w:t xml:space="preserve"> supply of a</w:t>
      </w:r>
      <w:r w:rsidR="00282C52" w:rsidRPr="007712D4">
        <w:t xml:space="preserve"> </w:t>
      </w:r>
      <w:r w:rsidR="00FF28C2" w:rsidRPr="007712D4">
        <w:t xml:space="preserve">pharmaceutical benefit under </w:t>
      </w:r>
      <w:r w:rsidR="00444E8F" w:rsidRPr="007712D4">
        <w:t>the CTG</w:t>
      </w:r>
      <w:r w:rsidR="005E5D8B" w:rsidRPr="007712D4">
        <w:t xml:space="preserve"> </w:t>
      </w:r>
      <w:r w:rsidR="000C057A" w:rsidRPr="007712D4">
        <w:t>S</w:t>
      </w:r>
      <w:r w:rsidR="005E5D8B" w:rsidRPr="007712D4">
        <w:t xml:space="preserve">pecial </w:t>
      </w:r>
      <w:r w:rsidR="000C057A" w:rsidRPr="007712D4">
        <w:t>A</w:t>
      </w:r>
      <w:r w:rsidR="005E5D8B" w:rsidRPr="007712D4">
        <w:t>rrangement</w:t>
      </w:r>
      <w:r w:rsidR="002143AB" w:rsidRPr="007712D4">
        <w:t xml:space="preserve"> </w:t>
      </w:r>
      <w:r w:rsidRPr="007712D4">
        <w:t>is taken to be</w:t>
      </w:r>
      <w:r w:rsidR="002143AB" w:rsidRPr="007712D4">
        <w:t xml:space="preserve"> a reference to</w:t>
      </w:r>
      <w:r w:rsidR="000729B5" w:rsidRPr="007712D4">
        <w:t xml:space="preserve"> </w:t>
      </w:r>
      <w:r w:rsidR="00E94CC2" w:rsidRPr="007712D4">
        <w:t>the relevant</w:t>
      </w:r>
      <w:r w:rsidR="00A21779" w:rsidRPr="007712D4">
        <w:t xml:space="preserve"> supply </w:t>
      </w:r>
      <w:r w:rsidR="002143AB" w:rsidRPr="007712D4">
        <w:t>under this Special Arrangement</w:t>
      </w:r>
      <w:r w:rsidR="00210E83" w:rsidRPr="007712D4">
        <w:t>.</w:t>
      </w:r>
    </w:p>
    <w:p w14:paraId="4F8F4B77" w14:textId="77777777" w:rsidR="00892CAE" w:rsidRPr="007712D4" w:rsidRDefault="00210E83" w:rsidP="002A29C9">
      <w:pPr>
        <w:pStyle w:val="subsection"/>
      </w:pPr>
      <w:r w:rsidRPr="007712D4">
        <w:tab/>
        <w:t>(3)</w:t>
      </w:r>
      <w:r w:rsidRPr="007712D4">
        <w:tab/>
      </w:r>
      <w:r w:rsidR="00A60DE6" w:rsidRPr="007712D4">
        <w:t xml:space="preserve">However, </w:t>
      </w:r>
      <w:r w:rsidR="00E43EA9" w:rsidRPr="007712D4">
        <w:t>the note</w:t>
      </w:r>
      <w:r w:rsidR="00744D50" w:rsidRPr="007712D4">
        <w:t>s</w:t>
      </w:r>
      <w:r w:rsidR="00E43EA9" w:rsidRPr="007712D4">
        <w:t xml:space="preserve"> to </w:t>
      </w:r>
      <w:r w:rsidR="0028668B" w:rsidRPr="007712D4">
        <w:t>subsections 1</w:t>
      </w:r>
      <w:r w:rsidR="00E43EA9" w:rsidRPr="007712D4">
        <w:t xml:space="preserve">1(2) </w:t>
      </w:r>
      <w:r w:rsidR="007A105D" w:rsidRPr="007712D4">
        <w:t>and (3) of the CTG Special Arrangement</w:t>
      </w:r>
      <w:r w:rsidR="007F1321" w:rsidRPr="007712D4">
        <w:t xml:space="preserve"> </w:t>
      </w:r>
      <w:r w:rsidR="00CF0BA0" w:rsidRPr="007712D4">
        <w:t>d</w:t>
      </w:r>
      <w:r w:rsidR="007F1321" w:rsidRPr="007712D4">
        <w:t xml:space="preserve">o not apply </w:t>
      </w:r>
      <w:r w:rsidR="006C6E34" w:rsidRPr="007712D4">
        <w:t>i</w:t>
      </w:r>
      <w:r w:rsidR="00901025" w:rsidRPr="007712D4">
        <w:t>n relation to the relevant supply under this Special Arrangement</w:t>
      </w:r>
      <w:r w:rsidR="006C6E34" w:rsidRPr="007712D4">
        <w:t>.</w:t>
      </w:r>
    </w:p>
    <w:p w14:paraId="474EF38A" w14:textId="77777777" w:rsidR="009E036D" w:rsidRPr="007712D4" w:rsidRDefault="007A105D" w:rsidP="000B2FB6">
      <w:pPr>
        <w:pStyle w:val="notetext"/>
      </w:pPr>
      <w:r w:rsidRPr="007712D4">
        <w:t>Note:</w:t>
      </w:r>
      <w:r w:rsidR="00744D50" w:rsidRPr="007712D4">
        <w:tab/>
        <w:t xml:space="preserve">The notes to </w:t>
      </w:r>
      <w:r w:rsidR="0028668B" w:rsidRPr="007712D4">
        <w:t>subsections 1</w:t>
      </w:r>
      <w:r w:rsidR="00744D50" w:rsidRPr="007712D4">
        <w:t>1(2) and (3) of the CTG Special Arrangement relate to CTG suppliers making claims</w:t>
      </w:r>
      <w:r w:rsidR="007951D9" w:rsidRPr="007712D4">
        <w:t xml:space="preserve"> for payment under the CTG Special Arrangement. Claim</w:t>
      </w:r>
      <w:r w:rsidR="006C6E34" w:rsidRPr="007712D4">
        <w:t>s</w:t>
      </w:r>
      <w:r w:rsidR="007951D9" w:rsidRPr="007712D4">
        <w:t xml:space="preserve"> for payment</w:t>
      </w:r>
      <w:r w:rsidR="00875504" w:rsidRPr="007712D4">
        <w:t xml:space="preserve"> </w:t>
      </w:r>
      <w:r w:rsidR="00A93501" w:rsidRPr="007712D4">
        <w:t xml:space="preserve">in relation to </w:t>
      </w:r>
      <w:r w:rsidR="00875504" w:rsidRPr="007712D4">
        <w:t xml:space="preserve">the relevant supply under this Special Arrangement </w:t>
      </w:r>
      <w:r w:rsidR="006C6E34" w:rsidRPr="007712D4">
        <w:t>are</w:t>
      </w:r>
      <w:r w:rsidR="00875504" w:rsidRPr="007712D4">
        <w:t xml:space="preserve"> </w:t>
      </w:r>
      <w:r w:rsidR="006A0BC3" w:rsidRPr="007712D4">
        <w:t xml:space="preserve">instead </w:t>
      </w:r>
      <w:r w:rsidR="00875504" w:rsidRPr="007712D4">
        <w:t xml:space="preserve">dealt with under </w:t>
      </w:r>
      <w:r w:rsidR="00401A8C" w:rsidRPr="007712D4">
        <w:t>section 2</w:t>
      </w:r>
      <w:r w:rsidR="00875504" w:rsidRPr="007712D4">
        <w:t>5 of this Special Ar</w:t>
      </w:r>
      <w:r w:rsidR="006C6E34" w:rsidRPr="007712D4">
        <w:t>rangement</w:t>
      </w:r>
      <w:r w:rsidR="006A0BC3" w:rsidRPr="007712D4">
        <w:t>.</w:t>
      </w:r>
    </w:p>
    <w:p w14:paraId="3AE1D0C5" w14:textId="77777777" w:rsidR="00501AA5" w:rsidRPr="007712D4" w:rsidRDefault="00717B24" w:rsidP="002A29C9">
      <w:pPr>
        <w:pStyle w:val="ActHead5"/>
      </w:pPr>
      <w:bookmarkStart w:id="11" w:name="_Toc168584381"/>
      <w:r w:rsidRPr="00182579">
        <w:rPr>
          <w:rStyle w:val="CharSectno"/>
        </w:rPr>
        <w:t>25</w:t>
      </w:r>
      <w:r w:rsidRPr="007712D4">
        <w:t xml:space="preserve">  Claim for payment</w:t>
      </w:r>
      <w:bookmarkEnd w:id="11"/>
    </w:p>
    <w:p w14:paraId="0412F507" w14:textId="77777777" w:rsidR="00E32319" w:rsidRPr="007712D4" w:rsidRDefault="00717B24" w:rsidP="00E32319">
      <w:pPr>
        <w:pStyle w:val="subsection"/>
      </w:pPr>
      <w:r w:rsidRPr="007712D4">
        <w:tab/>
        <w:t>(1)</w:t>
      </w:r>
      <w:r w:rsidRPr="007712D4">
        <w:tab/>
      </w:r>
      <w:r w:rsidR="00385092" w:rsidRPr="007712D4">
        <w:t>If a</w:t>
      </w:r>
      <w:r w:rsidR="00837468" w:rsidRPr="007712D4">
        <w:t xml:space="preserve">n </w:t>
      </w:r>
      <w:r w:rsidR="00E32319" w:rsidRPr="007712D4">
        <w:t>approved hospital authority</w:t>
      </w:r>
      <w:r w:rsidR="003A568C" w:rsidRPr="007712D4">
        <w:t xml:space="preserve"> </w:t>
      </w:r>
      <w:r w:rsidR="00E32319" w:rsidRPr="007712D4">
        <w:t>who is a CTG supplier</w:t>
      </w:r>
      <w:r w:rsidR="00837468" w:rsidRPr="007712D4">
        <w:t xml:space="preserve"> wants to receive payment from the Commonwealth in relation to</w:t>
      </w:r>
      <w:r w:rsidR="00EB0629" w:rsidRPr="007712D4">
        <w:t xml:space="preserve"> the</w:t>
      </w:r>
      <w:r w:rsidR="00837468" w:rsidRPr="007712D4">
        <w:t xml:space="preserve"> </w:t>
      </w:r>
      <w:r w:rsidR="003632E5" w:rsidRPr="007712D4">
        <w:t>relevant</w:t>
      </w:r>
      <w:r w:rsidR="00837468" w:rsidRPr="007712D4">
        <w:t xml:space="preserve"> supply under this </w:t>
      </w:r>
      <w:r w:rsidR="003632E5" w:rsidRPr="007712D4">
        <w:t xml:space="preserve">Special Arrangement, the </w:t>
      </w:r>
      <w:r w:rsidR="00885D99" w:rsidRPr="007712D4">
        <w:t xml:space="preserve">approved </w:t>
      </w:r>
      <w:r w:rsidR="00FA7330" w:rsidRPr="007712D4">
        <w:t xml:space="preserve">hospital authority </w:t>
      </w:r>
      <w:r w:rsidR="003632E5" w:rsidRPr="007712D4">
        <w:t xml:space="preserve">must </w:t>
      </w:r>
      <w:r w:rsidR="00EB0629" w:rsidRPr="007712D4">
        <w:t>make a claim for payment to the Chief Executive Medicare on behalf of the Secretary.</w:t>
      </w:r>
    </w:p>
    <w:p w14:paraId="664ED0C0" w14:textId="77777777" w:rsidR="000576A8" w:rsidRPr="007712D4" w:rsidRDefault="00EB0629" w:rsidP="00E32319">
      <w:pPr>
        <w:pStyle w:val="subsection"/>
      </w:pPr>
      <w:r w:rsidRPr="007712D4">
        <w:tab/>
        <w:t>(2)</w:t>
      </w:r>
      <w:r w:rsidRPr="007712D4">
        <w:tab/>
        <w:t xml:space="preserve">The claim must be made in accordance with the rules made under </w:t>
      </w:r>
      <w:r w:rsidR="00401A8C" w:rsidRPr="007712D4">
        <w:t>subsections 9</w:t>
      </w:r>
      <w:r w:rsidRPr="007712D4">
        <w:t>8A</w:t>
      </w:r>
      <w:r w:rsidR="00FD5987" w:rsidRPr="007712D4">
        <w:t>C(4) and 99AAA(8) of the Act</w:t>
      </w:r>
      <w:r w:rsidR="000576A8" w:rsidRPr="007712D4">
        <w:t xml:space="preserve"> with the modification </w:t>
      </w:r>
      <w:r w:rsidR="009075D0" w:rsidRPr="007712D4">
        <w:t xml:space="preserve">set out </w:t>
      </w:r>
      <w:r w:rsidR="000576A8" w:rsidRPr="007712D4">
        <w:t xml:space="preserve">in </w:t>
      </w:r>
      <w:r w:rsidR="00401A8C" w:rsidRPr="007712D4">
        <w:t>subsection (</w:t>
      </w:r>
      <w:r w:rsidR="000576A8" w:rsidRPr="007712D4">
        <w:t>3)</w:t>
      </w:r>
      <w:r w:rsidR="009075D0" w:rsidRPr="007712D4">
        <w:t xml:space="preserve"> of this section</w:t>
      </w:r>
      <w:r w:rsidR="000576A8" w:rsidRPr="007712D4">
        <w:t>.</w:t>
      </w:r>
    </w:p>
    <w:p w14:paraId="78AB5354" w14:textId="77777777" w:rsidR="007832DA" w:rsidRPr="007712D4" w:rsidRDefault="000576A8" w:rsidP="007D79D1">
      <w:pPr>
        <w:pStyle w:val="subsection"/>
      </w:pPr>
      <w:r w:rsidRPr="007712D4">
        <w:tab/>
        <w:t>(3)</w:t>
      </w:r>
      <w:r w:rsidRPr="007712D4">
        <w:tab/>
        <w:t xml:space="preserve">A claim for payment made using the manual system </w:t>
      </w:r>
      <w:r w:rsidR="009A745C" w:rsidRPr="007712D4">
        <w:t xml:space="preserve">referred to in section 99AAA of the Act </w:t>
      </w:r>
      <w:r w:rsidRPr="007712D4">
        <w:t xml:space="preserve">must include </w:t>
      </w:r>
      <w:r w:rsidR="00385092" w:rsidRPr="007712D4">
        <w:t xml:space="preserve">an indicator that the </w:t>
      </w:r>
      <w:r w:rsidR="002979AC" w:rsidRPr="007712D4">
        <w:t>patient is a CTG registered patient.</w:t>
      </w:r>
    </w:p>
    <w:p w14:paraId="5FA8A7D6" w14:textId="77777777" w:rsidR="00C30646" w:rsidRPr="007712D4" w:rsidRDefault="00C30646" w:rsidP="00C30646">
      <w:pPr>
        <w:pStyle w:val="ActHead9"/>
      </w:pPr>
      <w:bookmarkStart w:id="12" w:name="_Toc168584382"/>
      <w:r w:rsidRPr="007712D4">
        <w:t>National Health (Closing the Gap – PBS Co</w:t>
      </w:r>
      <w:r w:rsidR="007712D4">
        <w:noBreakHyphen/>
      </w:r>
      <w:r w:rsidRPr="007712D4">
        <w:t>payment Program) Special Arrangement 2016</w:t>
      </w:r>
      <w:bookmarkEnd w:id="12"/>
    </w:p>
    <w:p w14:paraId="643BB35A" w14:textId="77777777" w:rsidR="00F7338F" w:rsidRPr="007712D4" w:rsidRDefault="00903B54" w:rsidP="00C30646">
      <w:pPr>
        <w:pStyle w:val="ItemHead"/>
      </w:pPr>
      <w:r w:rsidRPr="007712D4">
        <w:t>6</w:t>
      </w:r>
      <w:r w:rsidR="00F7338F" w:rsidRPr="007712D4">
        <w:t xml:space="preserve">  </w:t>
      </w:r>
      <w:r w:rsidR="00DA4E9F" w:rsidRPr="007712D4">
        <w:t>Subsection 5</w:t>
      </w:r>
      <w:r w:rsidR="00D82791" w:rsidRPr="007712D4">
        <w:t>(2)</w:t>
      </w:r>
    </w:p>
    <w:p w14:paraId="615C7223" w14:textId="77777777" w:rsidR="00D82791" w:rsidRPr="007712D4" w:rsidRDefault="00D82791" w:rsidP="00D82791">
      <w:pPr>
        <w:pStyle w:val="Item"/>
      </w:pPr>
      <w:r w:rsidRPr="007712D4">
        <w:t xml:space="preserve">Omit “to a pharmaceutical benefit that can only be supplied </w:t>
      </w:r>
      <w:r w:rsidR="00D55252" w:rsidRPr="007712D4">
        <w:t xml:space="preserve">under </w:t>
      </w:r>
      <w:r w:rsidR="00DA4E9F" w:rsidRPr="007712D4">
        <w:t>Part V</w:t>
      </w:r>
      <w:r w:rsidR="00D55252" w:rsidRPr="007712D4">
        <w:t xml:space="preserve">II of the Act in accordance with another Special Arrangement under </w:t>
      </w:r>
      <w:r w:rsidR="00401A8C" w:rsidRPr="007712D4">
        <w:t>section 1</w:t>
      </w:r>
      <w:r w:rsidR="00D55252" w:rsidRPr="007712D4">
        <w:t>00 of the Act or”</w:t>
      </w:r>
      <w:r w:rsidR="009A4EA2" w:rsidRPr="007712D4">
        <w:t>.</w:t>
      </w:r>
    </w:p>
    <w:p w14:paraId="32939EE1" w14:textId="77777777" w:rsidR="00C30646" w:rsidRPr="007712D4" w:rsidRDefault="00903B54" w:rsidP="00C30646">
      <w:pPr>
        <w:pStyle w:val="ItemHead"/>
      </w:pPr>
      <w:r w:rsidRPr="007712D4">
        <w:t>7</w:t>
      </w:r>
      <w:r w:rsidR="00C30646" w:rsidRPr="007712D4">
        <w:t xml:space="preserve">  </w:t>
      </w:r>
      <w:r w:rsidR="00401A8C" w:rsidRPr="007712D4">
        <w:t>Section 5</w:t>
      </w:r>
      <w:r w:rsidR="00C30646" w:rsidRPr="007712D4">
        <w:t xml:space="preserve"> (note)</w:t>
      </w:r>
    </w:p>
    <w:p w14:paraId="6442E25F" w14:textId="77777777" w:rsidR="00C30646" w:rsidRPr="007712D4" w:rsidRDefault="00C30646" w:rsidP="00C30646">
      <w:pPr>
        <w:pStyle w:val="Item"/>
      </w:pPr>
      <w:r w:rsidRPr="007712D4">
        <w:t>Repeal the note, substitute:</w:t>
      </w:r>
    </w:p>
    <w:p w14:paraId="74F33F09" w14:textId="77777777" w:rsidR="00F7338F" w:rsidRPr="007712D4" w:rsidRDefault="00F7338F" w:rsidP="00C30646">
      <w:pPr>
        <w:pStyle w:val="notetext"/>
      </w:pPr>
      <w:r w:rsidRPr="007712D4">
        <w:t>Note 1:</w:t>
      </w:r>
      <w:r w:rsidRPr="007712D4">
        <w:tab/>
        <w:t>See section 85AAA of the Act in relation to pharmaceutical benefits that can only be supplied under the prescriber bag provisions of the Act.</w:t>
      </w:r>
    </w:p>
    <w:p w14:paraId="32C62505" w14:textId="77777777" w:rsidR="009A4EA2" w:rsidRPr="007712D4" w:rsidRDefault="00C30646" w:rsidP="00C30646">
      <w:pPr>
        <w:pStyle w:val="notetext"/>
      </w:pPr>
      <w:r w:rsidRPr="007712D4">
        <w:t xml:space="preserve">Note </w:t>
      </w:r>
      <w:r w:rsidR="00F7338F" w:rsidRPr="007712D4">
        <w:t>2</w:t>
      </w:r>
      <w:r w:rsidRPr="007712D4">
        <w:t>:</w:t>
      </w:r>
      <w:r w:rsidRPr="007712D4">
        <w:tab/>
        <w:t>The modifications of the Act under this Special Arrangement relating to</w:t>
      </w:r>
      <w:r w:rsidR="009A4EA2" w:rsidRPr="007712D4">
        <w:t>:</w:t>
      </w:r>
    </w:p>
    <w:p w14:paraId="76870841" w14:textId="77777777" w:rsidR="009A4EA2" w:rsidRPr="007712D4" w:rsidRDefault="009A4EA2" w:rsidP="009B4590">
      <w:pPr>
        <w:pStyle w:val="notepara"/>
      </w:pPr>
      <w:r w:rsidRPr="007712D4">
        <w:t>(a)</w:t>
      </w:r>
      <w:r w:rsidRPr="007712D4">
        <w:tab/>
      </w:r>
      <w:r w:rsidR="00C30646" w:rsidRPr="007712D4">
        <w:t>charges for the supply of a pharmaceutical benefit (</w:t>
      </w:r>
      <w:r w:rsidR="00401A8C" w:rsidRPr="007712D4">
        <w:t>section 1</w:t>
      </w:r>
      <w:r w:rsidR="00C30646" w:rsidRPr="007712D4">
        <w:t>1</w:t>
      </w:r>
      <w:r w:rsidR="003D23F7" w:rsidRPr="007712D4">
        <w:t xml:space="preserve"> of this Special Arrangement</w:t>
      </w:r>
      <w:r w:rsidR="00C30646" w:rsidRPr="007712D4">
        <w:t>)</w:t>
      </w:r>
      <w:r w:rsidRPr="007712D4">
        <w:t>;</w:t>
      </w:r>
      <w:r w:rsidR="00176ACC" w:rsidRPr="007712D4">
        <w:t xml:space="preserve"> and</w:t>
      </w:r>
    </w:p>
    <w:p w14:paraId="3554A4D8" w14:textId="77777777" w:rsidR="009B4590" w:rsidRPr="007712D4" w:rsidRDefault="009A4EA2" w:rsidP="009B4590">
      <w:pPr>
        <w:pStyle w:val="notepara"/>
      </w:pPr>
      <w:r w:rsidRPr="007712D4">
        <w:t>(b)</w:t>
      </w:r>
      <w:r w:rsidRPr="007712D4">
        <w:tab/>
      </w:r>
      <w:r w:rsidR="00C30646" w:rsidRPr="007712D4">
        <w:t>payments to a CTG supplier by the Commonwealth</w:t>
      </w:r>
      <w:r w:rsidR="00176ACC" w:rsidRPr="007712D4">
        <w:t xml:space="preserve"> </w:t>
      </w:r>
      <w:r w:rsidR="00184F7F" w:rsidRPr="007712D4">
        <w:t xml:space="preserve">for the supply of a pharmaceutical benefit </w:t>
      </w:r>
      <w:r w:rsidR="00176ACC" w:rsidRPr="007712D4">
        <w:t>(</w:t>
      </w:r>
      <w:r w:rsidR="00401A8C" w:rsidRPr="007712D4">
        <w:t>section 1</w:t>
      </w:r>
      <w:r w:rsidR="00176ACC" w:rsidRPr="007712D4">
        <w:t>3</w:t>
      </w:r>
      <w:r w:rsidR="003D23F7" w:rsidRPr="007712D4">
        <w:t xml:space="preserve"> of this Special Arrangement</w:t>
      </w:r>
      <w:r w:rsidR="00176ACC" w:rsidRPr="007712D4">
        <w:t>);</w:t>
      </w:r>
    </w:p>
    <w:p w14:paraId="0B44B66F" w14:textId="77777777" w:rsidR="00C30646" w:rsidRPr="007712D4" w:rsidRDefault="00C30646" w:rsidP="009B4590">
      <w:pPr>
        <w:pStyle w:val="notepara"/>
        <w:ind w:left="1985" w:firstLine="0"/>
      </w:pPr>
      <w:r w:rsidRPr="007712D4">
        <w:t>may apply</w:t>
      </w:r>
      <w:r w:rsidR="0045241A" w:rsidRPr="007712D4">
        <w:t xml:space="preserve"> in relation</w:t>
      </w:r>
      <w:r w:rsidRPr="007712D4">
        <w:t xml:space="preserve"> to the supply of a pharmaceutical benefit un</w:t>
      </w:r>
      <w:r w:rsidR="00752774" w:rsidRPr="007712D4">
        <w:t xml:space="preserve">der other </w:t>
      </w:r>
      <w:r w:rsidRPr="007712D4">
        <w:t>Special Arrangement</w:t>
      </w:r>
      <w:r w:rsidR="00752774" w:rsidRPr="007712D4">
        <w:t>s</w:t>
      </w:r>
      <w:r w:rsidRPr="007712D4">
        <w:t xml:space="preserve"> to a person who is registered under </w:t>
      </w:r>
      <w:r w:rsidR="00401A8C" w:rsidRPr="007712D4">
        <w:t>subsection 1</w:t>
      </w:r>
      <w:r w:rsidRPr="007712D4">
        <w:t>0(2) of this Special Arrangement.</w:t>
      </w:r>
    </w:p>
    <w:p w14:paraId="66176A22" w14:textId="77777777" w:rsidR="00667F8A" w:rsidRPr="007712D4" w:rsidRDefault="00903B54" w:rsidP="00667F8A">
      <w:pPr>
        <w:pStyle w:val="ItemHead"/>
      </w:pPr>
      <w:r w:rsidRPr="007712D4">
        <w:t>8</w:t>
      </w:r>
      <w:r w:rsidR="00667F8A" w:rsidRPr="007712D4">
        <w:t xml:space="preserve">  </w:t>
      </w:r>
      <w:r w:rsidR="00401A8C" w:rsidRPr="007712D4">
        <w:t>Section 1</w:t>
      </w:r>
      <w:r w:rsidR="00667F8A" w:rsidRPr="007712D4">
        <w:t>1</w:t>
      </w:r>
      <w:r w:rsidR="00153CB6" w:rsidRPr="007712D4">
        <w:t xml:space="preserve"> (at the end of the heading)</w:t>
      </w:r>
    </w:p>
    <w:p w14:paraId="2B4F81D4" w14:textId="77777777" w:rsidR="00153CB6" w:rsidRPr="007712D4" w:rsidRDefault="00153CB6" w:rsidP="00153CB6">
      <w:pPr>
        <w:pStyle w:val="Item"/>
      </w:pPr>
      <w:r w:rsidRPr="007712D4">
        <w:t>Add “</w:t>
      </w:r>
      <w:r w:rsidRPr="007712D4">
        <w:rPr>
          <w:b/>
        </w:rPr>
        <w:t>etc.</w:t>
      </w:r>
      <w:r w:rsidRPr="007712D4">
        <w:t>”</w:t>
      </w:r>
      <w:r w:rsidR="005B57F4" w:rsidRPr="007712D4">
        <w:t>.</w:t>
      </w:r>
    </w:p>
    <w:p w14:paraId="243475F0" w14:textId="77777777" w:rsidR="00C660D1" w:rsidRPr="007712D4" w:rsidRDefault="00903B54" w:rsidP="00C660D1">
      <w:pPr>
        <w:pStyle w:val="ItemHead"/>
      </w:pPr>
      <w:r w:rsidRPr="007712D4">
        <w:lastRenderedPageBreak/>
        <w:t>9</w:t>
      </w:r>
      <w:r w:rsidR="00C660D1" w:rsidRPr="007712D4">
        <w:t xml:space="preserve">  </w:t>
      </w:r>
      <w:r w:rsidR="00DA4E9F" w:rsidRPr="007712D4">
        <w:t>Paragraph 1</w:t>
      </w:r>
      <w:r w:rsidR="00F7177E" w:rsidRPr="007712D4">
        <w:t>4(2)(b)</w:t>
      </w:r>
    </w:p>
    <w:p w14:paraId="0B9D3C73" w14:textId="77777777" w:rsidR="00B30805" w:rsidRPr="007712D4" w:rsidRDefault="00F7177E" w:rsidP="00DE0F05">
      <w:pPr>
        <w:pStyle w:val="Item"/>
      </w:pPr>
      <w:r w:rsidRPr="007712D4">
        <w:t xml:space="preserve">Omit </w:t>
      </w:r>
      <w:r w:rsidR="00811A7F" w:rsidRPr="007712D4">
        <w:t>“unless made using the manual system,”</w:t>
      </w:r>
      <w:r w:rsidR="007E0BF4">
        <w:t>,</w:t>
      </w:r>
      <w:r w:rsidR="00811A7F" w:rsidRPr="007712D4">
        <w:t xml:space="preserve"> substitute “if made using the manual system</w:t>
      </w:r>
      <w:r w:rsidR="00A905CF" w:rsidRPr="007712D4">
        <w:t xml:space="preserve"> referred to in section 99AAA of the Act</w:t>
      </w:r>
      <w:r w:rsidR="00811A7F" w:rsidRPr="007712D4">
        <w:t>—”.</w:t>
      </w:r>
    </w:p>
    <w:p w14:paraId="2A24CD76" w14:textId="77777777" w:rsidR="005C61A2" w:rsidRPr="007712D4" w:rsidRDefault="00903B54" w:rsidP="00AD477C">
      <w:pPr>
        <w:pStyle w:val="ItemHead"/>
      </w:pPr>
      <w:r w:rsidRPr="007712D4">
        <w:t>10</w:t>
      </w:r>
      <w:r w:rsidR="00AD477C" w:rsidRPr="007712D4">
        <w:t xml:space="preserve">  </w:t>
      </w:r>
      <w:r w:rsidR="00DA4E9F" w:rsidRPr="007712D4">
        <w:t>Sections 1</w:t>
      </w:r>
      <w:r w:rsidR="005C61A2" w:rsidRPr="007712D4">
        <w:t>6 and 17</w:t>
      </w:r>
    </w:p>
    <w:p w14:paraId="60EAFEDB" w14:textId="77777777" w:rsidR="005C61A2" w:rsidRPr="007712D4" w:rsidRDefault="005C61A2" w:rsidP="005C61A2">
      <w:pPr>
        <w:pStyle w:val="Item"/>
      </w:pPr>
      <w:r w:rsidRPr="007712D4">
        <w:t>Repeal the sections.</w:t>
      </w:r>
    </w:p>
    <w:p w14:paraId="32401357" w14:textId="77777777" w:rsidR="005C61A2" w:rsidRPr="007712D4" w:rsidRDefault="00903B54" w:rsidP="005C61A2">
      <w:pPr>
        <w:pStyle w:val="ItemHead"/>
      </w:pPr>
      <w:r w:rsidRPr="007712D4">
        <w:t>11</w:t>
      </w:r>
      <w:r w:rsidR="005C61A2" w:rsidRPr="007712D4">
        <w:t xml:space="preserve">  </w:t>
      </w:r>
      <w:r w:rsidR="00DA4E9F" w:rsidRPr="007712D4">
        <w:t>Division 2</w:t>
      </w:r>
      <w:r w:rsidR="005C61A2" w:rsidRPr="007712D4">
        <w:t xml:space="preserve"> of </w:t>
      </w:r>
      <w:r w:rsidR="00DA4E9F" w:rsidRPr="007712D4">
        <w:t>Part 2</w:t>
      </w:r>
    </w:p>
    <w:p w14:paraId="5F32CD24" w14:textId="77777777" w:rsidR="00C660D1" w:rsidRPr="007712D4" w:rsidRDefault="005C61A2" w:rsidP="005C61A2">
      <w:pPr>
        <w:pStyle w:val="Item"/>
      </w:pPr>
      <w:r w:rsidRPr="007712D4">
        <w:t>Repeal the Division.</w:t>
      </w:r>
    </w:p>
    <w:p w14:paraId="3AF4C46E" w14:textId="77777777" w:rsidR="00EE0C03" w:rsidRPr="007712D4" w:rsidRDefault="00EE0C03" w:rsidP="00EE0C03">
      <w:pPr>
        <w:pStyle w:val="ActHead9"/>
      </w:pPr>
      <w:bookmarkStart w:id="13" w:name="_Toc168584383"/>
      <w:r w:rsidRPr="007712D4">
        <w:t>National Health (Efficient Funding of Chemoth</w:t>
      </w:r>
      <w:r w:rsidR="0050456C" w:rsidRPr="007712D4">
        <w:t>erapy) Special Arrangement 20</w:t>
      </w:r>
      <w:r w:rsidR="005B0D42" w:rsidRPr="007712D4">
        <w:t>24</w:t>
      </w:r>
      <w:bookmarkEnd w:id="13"/>
    </w:p>
    <w:p w14:paraId="5B208E72" w14:textId="77777777" w:rsidR="008F79C4" w:rsidRPr="007712D4" w:rsidRDefault="00903B54" w:rsidP="00B72D2A">
      <w:pPr>
        <w:pStyle w:val="ItemHead"/>
      </w:pPr>
      <w:r w:rsidRPr="007712D4">
        <w:t>12</w:t>
      </w:r>
      <w:r w:rsidR="00621A87" w:rsidRPr="007712D4">
        <w:t xml:space="preserve">  </w:t>
      </w:r>
      <w:r w:rsidR="00401A8C" w:rsidRPr="007712D4">
        <w:t>Section 5</w:t>
      </w:r>
    </w:p>
    <w:p w14:paraId="0B058721" w14:textId="77777777" w:rsidR="002878DA" w:rsidRPr="007712D4" w:rsidRDefault="002878DA" w:rsidP="002878DA">
      <w:pPr>
        <w:pStyle w:val="Item"/>
      </w:pPr>
      <w:r w:rsidRPr="007712D4">
        <w:t>Insert:</w:t>
      </w:r>
    </w:p>
    <w:p w14:paraId="6E1DBD0D" w14:textId="77777777" w:rsidR="002878DA" w:rsidRPr="007712D4" w:rsidRDefault="002878DA" w:rsidP="002878DA">
      <w:pPr>
        <w:pStyle w:val="Definition"/>
        <w:rPr>
          <w:i/>
        </w:rPr>
      </w:pPr>
      <w:r w:rsidRPr="007712D4">
        <w:rPr>
          <w:b/>
          <w:i/>
        </w:rPr>
        <w:t>CTG registered patient</w:t>
      </w:r>
      <w:r w:rsidRPr="007712D4">
        <w:t xml:space="preserve"> means a</w:t>
      </w:r>
      <w:r w:rsidR="009D4189" w:rsidRPr="007712D4">
        <w:t xml:space="preserve"> </w:t>
      </w:r>
      <w:r w:rsidRPr="007712D4">
        <w:t xml:space="preserve">patient registered under </w:t>
      </w:r>
      <w:r w:rsidR="00401A8C" w:rsidRPr="007712D4">
        <w:t>subsection 1</w:t>
      </w:r>
      <w:r w:rsidRPr="007712D4">
        <w:t>0(2) of the CTG Special Arrangement.</w:t>
      </w:r>
    </w:p>
    <w:p w14:paraId="05EA812E" w14:textId="77777777" w:rsidR="002878DA" w:rsidRPr="007712D4" w:rsidRDefault="002878DA" w:rsidP="002878DA">
      <w:pPr>
        <w:pStyle w:val="Definition"/>
      </w:pPr>
      <w:r w:rsidRPr="007712D4">
        <w:rPr>
          <w:b/>
          <w:i/>
        </w:rPr>
        <w:t>CTG Special Arrangement</w:t>
      </w:r>
      <w:r w:rsidRPr="007712D4">
        <w:t xml:space="preserve"> means the </w:t>
      </w:r>
      <w:r w:rsidRPr="007712D4">
        <w:rPr>
          <w:i/>
        </w:rPr>
        <w:t>National Health (Closing the Gap – PBS Co</w:t>
      </w:r>
      <w:r w:rsidR="007712D4">
        <w:rPr>
          <w:i/>
        </w:rPr>
        <w:noBreakHyphen/>
      </w:r>
      <w:r w:rsidRPr="007712D4">
        <w:rPr>
          <w:i/>
        </w:rPr>
        <w:t>payment Program) Special Arrangement 2016</w:t>
      </w:r>
      <w:r w:rsidRPr="00681495">
        <w:t>.</w:t>
      </w:r>
    </w:p>
    <w:p w14:paraId="106A7318" w14:textId="77777777" w:rsidR="002878DA" w:rsidRPr="007712D4" w:rsidRDefault="002878DA" w:rsidP="002878DA">
      <w:pPr>
        <w:pStyle w:val="Definition"/>
      </w:pPr>
      <w:r w:rsidRPr="007712D4">
        <w:rPr>
          <w:b/>
          <w:i/>
        </w:rPr>
        <w:t>CTG supplier</w:t>
      </w:r>
      <w:r w:rsidRPr="007712D4">
        <w:t xml:space="preserve"> has the same meaning as in the CTG Special Arrangement.</w:t>
      </w:r>
    </w:p>
    <w:p w14:paraId="5ECE07BB" w14:textId="77777777" w:rsidR="008444EE" w:rsidRPr="007712D4" w:rsidRDefault="00903B54" w:rsidP="009D4189">
      <w:pPr>
        <w:pStyle w:val="ItemHead"/>
      </w:pPr>
      <w:r w:rsidRPr="007712D4">
        <w:t>13</w:t>
      </w:r>
      <w:r w:rsidR="008444EE" w:rsidRPr="007712D4">
        <w:t xml:space="preserve">  At the end of </w:t>
      </w:r>
      <w:r w:rsidR="00401A8C" w:rsidRPr="007712D4">
        <w:t>paragraph 2</w:t>
      </w:r>
      <w:r w:rsidR="008444EE" w:rsidRPr="007712D4">
        <w:t>6(2)(c)</w:t>
      </w:r>
    </w:p>
    <w:p w14:paraId="210B6AA0" w14:textId="77777777" w:rsidR="00E55AA2" w:rsidRPr="007712D4" w:rsidRDefault="008444EE" w:rsidP="00E55AA2">
      <w:pPr>
        <w:pStyle w:val="Item"/>
      </w:pPr>
      <w:r w:rsidRPr="007712D4">
        <w:t>Add:</w:t>
      </w:r>
    </w:p>
    <w:p w14:paraId="4E063FDC" w14:textId="77777777" w:rsidR="0011461A" w:rsidRPr="007712D4" w:rsidRDefault="00E55AA2" w:rsidP="00E55AA2">
      <w:pPr>
        <w:pStyle w:val="paragraphsub"/>
      </w:pPr>
      <w:r w:rsidRPr="007712D4">
        <w:tab/>
        <w:t>(iv)</w:t>
      </w:r>
      <w:r w:rsidRPr="007712D4">
        <w:tab/>
      </w:r>
      <w:r w:rsidR="00115330" w:rsidRPr="007712D4">
        <w:t xml:space="preserve">if the claim is made using the manual system </w:t>
      </w:r>
      <w:r w:rsidR="00A905CF" w:rsidRPr="007712D4">
        <w:t>referred to in section 99AAA of the Act</w:t>
      </w:r>
      <w:r w:rsidR="00AF2028" w:rsidRPr="007712D4">
        <w:t xml:space="preserve">, </w:t>
      </w:r>
      <w:r w:rsidR="00115330" w:rsidRPr="007712D4">
        <w:t xml:space="preserve">the </w:t>
      </w:r>
      <w:r w:rsidR="004F5589" w:rsidRPr="007712D4">
        <w:t xml:space="preserve">eligible </w:t>
      </w:r>
      <w:r w:rsidR="00115330" w:rsidRPr="007712D4">
        <w:t>patient is a CTG registered patient</w:t>
      </w:r>
      <w:r w:rsidR="00AF2028" w:rsidRPr="007712D4">
        <w:t xml:space="preserve"> and the </w:t>
      </w:r>
      <w:r w:rsidR="00636401" w:rsidRPr="007712D4">
        <w:t>supplier is a CTG supplier</w:t>
      </w:r>
      <w:r w:rsidR="00115330" w:rsidRPr="007712D4">
        <w:t xml:space="preserve">—an indicator that the </w:t>
      </w:r>
      <w:r w:rsidR="007055C3" w:rsidRPr="007712D4">
        <w:t xml:space="preserve">eligible </w:t>
      </w:r>
      <w:r w:rsidR="00115330" w:rsidRPr="007712D4">
        <w:t>patient is a CTG registered patient</w:t>
      </w:r>
      <w:r w:rsidRPr="007712D4">
        <w:t>;</w:t>
      </w:r>
    </w:p>
    <w:p w14:paraId="60CCBC8D" w14:textId="77777777" w:rsidR="00EC6632" w:rsidRPr="007712D4" w:rsidRDefault="00903B54" w:rsidP="00EC6632">
      <w:pPr>
        <w:pStyle w:val="ItemHead"/>
      </w:pPr>
      <w:r w:rsidRPr="007712D4">
        <w:t>14</w:t>
      </w:r>
      <w:r w:rsidR="00EC6632" w:rsidRPr="007712D4">
        <w:t xml:space="preserve">  At the end of </w:t>
      </w:r>
      <w:r w:rsidR="00401A8C" w:rsidRPr="007712D4">
        <w:t>section 2</w:t>
      </w:r>
      <w:r w:rsidR="00EC6632" w:rsidRPr="007712D4">
        <w:t>6</w:t>
      </w:r>
    </w:p>
    <w:p w14:paraId="296A6110" w14:textId="77777777" w:rsidR="00EC6632" w:rsidRPr="007712D4" w:rsidRDefault="00EC6632" w:rsidP="00EC6632">
      <w:pPr>
        <w:pStyle w:val="Item"/>
      </w:pPr>
      <w:r w:rsidRPr="007712D4">
        <w:t>Add:</w:t>
      </w:r>
    </w:p>
    <w:p w14:paraId="711A759B" w14:textId="77777777" w:rsidR="00EC6632" w:rsidRPr="007712D4" w:rsidRDefault="00EC6632" w:rsidP="00EC6632">
      <w:pPr>
        <w:pStyle w:val="SubsectionHead"/>
      </w:pPr>
      <w:r w:rsidRPr="007712D4">
        <w:t xml:space="preserve">Supplies of </w:t>
      </w:r>
      <w:r w:rsidR="00325366" w:rsidRPr="007712D4">
        <w:t xml:space="preserve">related pharmaceutical benefits—CTG </w:t>
      </w:r>
      <w:r w:rsidR="00D37DA0" w:rsidRPr="007712D4">
        <w:t>registered patients and suppliers</w:t>
      </w:r>
    </w:p>
    <w:p w14:paraId="1F1EB080" w14:textId="77777777" w:rsidR="007F4888" w:rsidRPr="007712D4" w:rsidRDefault="00325366" w:rsidP="007F4888">
      <w:pPr>
        <w:pStyle w:val="subsection"/>
      </w:pPr>
      <w:r w:rsidRPr="007712D4">
        <w:tab/>
        <w:t>(3)</w:t>
      </w:r>
      <w:r w:rsidRPr="007712D4">
        <w:tab/>
      </w:r>
      <w:r w:rsidR="00990971" w:rsidRPr="007712D4">
        <w:t>For a claim in</w:t>
      </w:r>
      <w:r w:rsidR="00E66FAE" w:rsidRPr="007712D4">
        <w:t xml:space="preserve"> relation to a special arrangement supply of a </w:t>
      </w:r>
      <w:r w:rsidR="00C321CE" w:rsidRPr="007712D4">
        <w:t>related pharmaceutical benefit</w:t>
      </w:r>
      <w:r w:rsidR="00C242BA" w:rsidRPr="007712D4">
        <w:t xml:space="preserve">, the requirements in the rules made by the Minister under </w:t>
      </w:r>
      <w:r w:rsidR="00401A8C" w:rsidRPr="007712D4">
        <w:t>subsections 9</w:t>
      </w:r>
      <w:r w:rsidR="00C242BA" w:rsidRPr="007712D4">
        <w:t xml:space="preserve">8AC(4) and 99AAA(8) of the Act are modified </w:t>
      </w:r>
      <w:r w:rsidR="007F4888" w:rsidRPr="007712D4">
        <w:t xml:space="preserve">as set out in </w:t>
      </w:r>
      <w:r w:rsidR="00401A8C" w:rsidRPr="007712D4">
        <w:t>subsection (</w:t>
      </w:r>
      <w:r w:rsidR="007F4888" w:rsidRPr="007712D4">
        <w:t>4)</w:t>
      </w:r>
      <w:r w:rsidR="00F759A6" w:rsidRPr="007712D4">
        <w:t xml:space="preserve"> of this section</w:t>
      </w:r>
      <w:r w:rsidR="007F4888" w:rsidRPr="007712D4">
        <w:t>.</w:t>
      </w:r>
    </w:p>
    <w:p w14:paraId="7765D545" w14:textId="77777777" w:rsidR="007F4888" w:rsidRPr="007712D4" w:rsidRDefault="007F4888" w:rsidP="007F4888">
      <w:pPr>
        <w:pStyle w:val="subsection"/>
      </w:pPr>
      <w:r w:rsidRPr="007712D4">
        <w:tab/>
        <w:t>(4)</w:t>
      </w:r>
      <w:r w:rsidRPr="007712D4">
        <w:tab/>
        <w:t>If:</w:t>
      </w:r>
    </w:p>
    <w:p w14:paraId="18B3AFCE" w14:textId="77777777" w:rsidR="00C400D6" w:rsidRPr="007712D4" w:rsidRDefault="007F4888" w:rsidP="007F4888">
      <w:pPr>
        <w:pStyle w:val="paragraph"/>
      </w:pPr>
      <w:r w:rsidRPr="007712D4">
        <w:tab/>
        <w:t>(a)</w:t>
      </w:r>
      <w:r w:rsidRPr="007712D4">
        <w:tab/>
        <w:t xml:space="preserve">a claim </w:t>
      </w:r>
      <w:r w:rsidR="00C400D6" w:rsidRPr="007712D4">
        <w:t>is made using the manual system</w:t>
      </w:r>
      <w:r w:rsidR="00A905CF" w:rsidRPr="007712D4">
        <w:t xml:space="preserve"> referred to in section 99AAA of the Act</w:t>
      </w:r>
      <w:r w:rsidR="00C400D6" w:rsidRPr="007712D4">
        <w:t>; and</w:t>
      </w:r>
    </w:p>
    <w:p w14:paraId="406C2F81" w14:textId="77777777" w:rsidR="004D1952" w:rsidRPr="007712D4" w:rsidRDefault="004D1952" w:rsidP="007F4888">
      <w:pPr>
        <w:pStyle w:val="paragraph"/>
      </w:pPr>
      <w:r w:rsidRPr="007712D4">
        <w:tab/>
        <w:t>(b)</w:t>
      </w:r>
      <w:r w:rsidRPr="007712D4">
        <w:tab/>
        <w:t xml:space="preserve">the </w:t>
      </w:r>
      <w:r w:rsidR="00DD200C" w:rsidRPr="007712D4">
        <w:t>supplier is a CTG supplier; and</w:t>
      </w:r>
    </w:p>
    <w:p w14:paraId="11672E26" w14:textId="77777777" w:rsidR="00C400D6" w:rsidRPr="007712D4" w:rsidRDefault="00C400D6" w:rsidP="00C400D6">
      <w:pPr>
        <w:pStyle w:val="paragraph"/>
      </w:pPr>
      <w:r w:rsidRPr="007712D4">
        <w:tab/>
        <w:t>(</w:t>
      </w:r>
      <w:r w:rsidR="00DD200C" w:rsidRPr="007712D4">
        <w:t>c</w:t>
      </w:r>
      <w:r w:rsidRPr="007712D4">
        <w:t>)</w:t>
      </w:r>
      <w:r w:rsidRPr="007712D4">
        <w:tab/>
      </w:r>
      <w:r w:rsidR="00E66FAE" w:rsidRPr="007712D4">
        <w:t>the eligible patient is a CTG registered patient</w:t>
      </w:r>
      <w:r w:rsidRPr="007712D4">
        <w:t>;</w:t>
      </w:r>
    </w:p>
    <w:p w14:paraId="3E6229D1" w14:textId="77777777" w:rsidR="00967AEC" w:rsidRPr="007712D4" w:rsidRDefault="00E66FAE" w:rsidP="00C400D6">
      <w:pPr>
        <w:pStyle w:val="subsection2"/>
      </w:pPr>
      <w:r w:rsidRPr="007712D4">
        <w:t>the claim</w:t>
      </w:r>
      <w:r w:rsidR="007F4888" w:rsidRPr="007712D4">
        <w:t xml:space="preserve"> </w:t>
      </w:r>
      <w:r w:rsidRPr="007712D4">
        <w:t>must include an indicator that the eligible patient is a CTG registered patient.</w:t>
      </w:r>
    </w:p>
    <w:p w14:paraId="56EB11BD" w14:textId="77777777" w:rsidR="000835CF" w:rsidRPr="007712D4" w:rsidRDefault="00903B54" w:rsidP="009D4189">
      <w:pPr>
        <w:pStyle w:val="ItemHead"/>
      </w:pPr>
      <w:r w:rsidRPr="007712D4">
        <w:lastRenderedPageBreak/>
        <w:t>15</w:t>
      </w:r>
      <w:r w:rsidR="002E1210" w:rsidRPr="007712D4">
        <w:t xml:space="preserve">  </w:t>
      </w:r>
      <w:r w:rsidR="00401A8C" w:rsidRPr="007712D4">
        <w:t>Subsection 2</w:t>
      </w:r>
      <w:r w:rsidR="002E1210" w:rsidRPr="007712D4">
        <w:t>7(1)</w:t>
      </w:r>
    </w:p>
    <w:p w14:paraId="13145F32" w14:textId="77777777" w:rsidR="002E1210" w:rsidRPr="007712D4" w:rsidRDefault="002E1210" w:rsidP="002E1210">
      <w:pPr>
        <w:pStyle w:val="Item"/>
      </w:pPr>
      <w:r w:rsidRPr="007712D4">
        <w:t xml:space="preserve">Omit “An approved pharmacist”, substitute “Subject to </w:t>
      </w:r>
      <w:r w:rsidR="0028668B" w:rsidRPr="007712D4">
        <w:t>section 4</w:t>
      </w:r>
      <w:r w:rsidRPr="007712D4">
        <w:t>0</w:t>
      </w:r>
      <w:r w:rsidR="003F75E8" w:rsidRPr="007712D4">
        <w:t xml:space="preserve"> of this </w:t>
      </w:r>
      <w:r w:rsidR="00A25D6D" w:rsidRPr="007712D4">
        <w:t>instrument</w:t>
      </w:r>
      <w:r w:rsidRPr="007712D4">
        <w:t>, an approved pharmacist”.</w:t>
      </w:r>
    </w:p>
    <w:p w14:paraId="0F94CB59" w14:textId="77777777" w:rsidR="002E1210" w:rsidRPr="007712D4" w:rsidRDefault="00903B54" w:rsidP="002E1210">
      <w:pPr>
        <w:pStyle w:val="ItemHead"/>
      </w:pPr>
      <w:r w:rsidRPr="007712D4">
        <w:t>16</w:t>
      </w:r>
      <w:r w:rsidR="002E1210" w:rsidRPr="007712D4">
        <w:t xml:space="preserve">  At the end of </w:t>
      </w:r>
      <w:r w:rsidR="00401A8C" w:rsidRPr="007712D4">
        <w:t>subsection 2</w:t>
      </w:r>
      <w:r w:rsidR="002E1210" w:rsidRPr="007712D4">
        <w:t>7(1)</w:t>
      </w:r>
    </w:p>
    <w:p w14:paraId="5A49C210" w14:textId="77777777" w:rsidR="002E1210" w:rsidRPr="007712D4" w:rsidRDefault="002E1210" w:rsidP="00BB339E">
      <w:pPr>
        <w:pStyle w:val="Item"/>
      </w:pPr>
      <w:r w:rsidRPr="007712D4">
        <w:t>Add</w:t>
      </w:r>
      <w:r w:rsidR="00BB339E" w:rsidRPr="007712D4">
        <w:t>:</w:t>
      </w:r>
    </w:p>
    <w:p w14:paraId="5AA6CA82" w14:textId="77777777" w:rsidR="00575ED0" w:rsidRPr="007712D4" w:rsidRDefault="00575ED0" w:rsidP="00575ED0">
      <w:pPr>
        <w:pStyle w:val="notetext"/>
      </w:pPr>
      <w:r w:rsidRPr="007712D4">
        <w:t>Note:</w:t>
      </w:r>
      <w:r w:rsidRPr="007712D4">
        <w:tab/>
      </w:r>
      <w:r w:rsidR="0028668B" w:rsidRPr="007712D4">
        <w:t>Section 4</w:t>
      </w:r>
      <w:r w:rsidR="00851791" w:rsidRPr="007712D4">
        <w:t xml:space="preserve">0 </w:t>
      </w:r>
      <w:r w:rsidR="00632341" w:rsidRPr="007712D4">
        <w:t xml:space="preserve">of this instrument </w:t>
      </w:r>
      <w:r w:rsidR="00851791" w:rsidRPr="007712D4">
        <w:t>applies to an original special arrangement supply of a dose of a chemotherapy drug if the supply is made to a CTG registered patient by a CTG supplier.</w:t>
      </w:r>
    </w:p>
    <w:p w14:paraId="4BB3D03E" w14:textId="77777777" w:rsidR="005E2DF4" w:rsidRPr="007712D4" w:rsidRDefault="00903B54" w:rsidP="009D4189">
      <w:pPr>
        <w:pStyle w:val="ItemHead"/>
      </w:pPr>
      <w:r w:rsidRPr="007712D4">
        <w:t>17</w:t>
      </w:r>
      <w:r w:rsidR="005E2DF4" w:rsidRPr="007712D4">
        <w:t xml:space="preserve">  </w:t>
      </w:r>
      <w:r w:rsidR="00401A8C" w:rsidRPr="007712D4">
        <w:t>Subsection 2</w:t>
      </w:r>
      <w:r w:rsidR="005E2DF4" w:rsidRPr="007712D4">
        <w:t>8(1)</w:t>
      </w:r>
    </w:p>
    <w:p w14:paraId="4C48AD65" w14:textId="77777777" w:rsidR="005E2DF4" w:rsidRPr="007712D4" w:rsidRDefault="005E2DF4" w:rsidP="005E2DF4">
      <w:pPr>
        <w:pStyle w:val="Item"/>
      </w:pPr>
      <w:r w:rsidRPr="007712D4">
        <w:t xml:space="preserve">Omit “This section”, substitute “Subject to </w:t>
      </w:r>
      <w:r w:rsidR="00401A8C" w:rsidRPr="007712D4">
        <w:t>Part 5</w:t>
      </w:r>
      <w:r w:rsidR="00632341" w:rsidRPr="007712D4">
        <w:t xml:space="preserve"> of this instrument</w:t>
      </w:r>
      <w:r w:rsidRPr="007712D4">
        <w:t>, this section”.</w:t>
      </w:r>
    </w:p>
    <w:p w14:paraId="1B30D17D" w14:textId="77777777" w:rsidR="00347C4A" w:rsidRPr="007712D4" w:rsidRDefault="00903B54" w:rsidP="00347C4A">
      <w:pPr>
        <w:pStyle w:val="ItemHead"/>
      </w:pPr>
      <w:r w:rsidRPr="007712D4">
        <w:t>18</w:t>
      </w:r>
      <w:r w:rsidR="00347C4A" w:rsidRPr="007712D4">
        <w:t xml:space="preserve">  </w:t>
      </w:r>
      <w:r w:rsidR="00401A8C" w:rsidRPr="007712D4">
        <w:t>Subsection 2</w:t>
      </w:r>
      <w:r w:rsidR="00347C4A" w:rsidRPr="007712D4">
        <w:t>8(1) (before the note)</w:t>
      </w:r>
    </w:p>
    <w:p w14:paraId="3AE15B10" w14:textId="77777777" w:rsidR="00347C4A" w:rsidRPr="007712D4" w:rsidRDefault="00347C4A" w:rsidP="00347C4A">
      <w:pPr>
        <w:pStyle w:val="Item"/>
      </w:pPr>
      <w:r w:rsidRPr="007712D4">
        <w:t>Insert:</w:t>
      </w:r>
    </w:p>
    <w:p w14:paraId="726F468E" w14:textId="77777777" w:rsidR="00347C4A" w:rsidRPr="007712D4" w:rsidRDefault="00347C4A" w:rsidP="00347C4A">
      <w:pPr>
        <w:pStyle w:val="notetext"/>
      </w:pPr>
      <w:r w:rsidRPr="007712D4">
        <w:t>Note 1:</w:t>
      </w:r>
      <w:r w:rsidRPr="007712D4">
        <w:tab/>
      </w:r>
      <w:r w:rsidR="00401A8C" w:rsidRPr="007712D4">
        <w:t>Part 5</w:t>
      </w:r>
      <w:r w:rsidRPr="007712D4">
        <w:t xml:space="preserve"> of this instrument applies to an original special arrangement supply of a dose of a chemotherapy drug, and to a special arrangement supply of a related pharmaceutical benefit, if the supply is made to a CTG registered patient by a CTG supplier.</w:t>
      </w:r>
    </w:p>
    <w:p w14:paraId="31F2BC4F" w14:textId="77777777" w:rsidR="005E2DF4" w:rsidRPr="007712D4" w:rsidRDefault="00903B54" w:rsidP="005E2DF4">
      <w:pPr>
        <w:pStyle w:val="ItemHead"/>
      </w:pPr>
      <w:r w:rsidRPr="007712D4">
        <w:t>19</w:t>
      </w:r>
      <w:r w:rsidR="00FF221A" w:rsidRPr="007712D4">
        <w:t xml:space="preserve">  </w:t>
      </w:r>
      <w:r w:rsidR="00401A8C" w:rsidRPr="007712D4">
        <w:t>Subsection 2</w:t>
      </w:r>
      <w:r w:rsidR="00FF221A" w:rsidRPr="007712D4">
        <w:t>8(1) (note)</w:t>
      </w:r>
    </w:p>
    <w:p w14:paraId="482EECF4" w14:textId="77777777" w:rsidR="00FF221A" w:rsidRPr="007712D4" w:rsidRDefault="00FF221A" w:rsidP="00FF221A">
      <w:pPr>
        <w:pStyle w:val="Item"/>
      </w:pPr>
      <w:r w:rsidRPr="007712D4">
        <w:t xml:space="preserve">Omit “Note”, substitute “Note </w:t>
      </w:r>
      <w:r w:rsidR="00347C4A" w:rsidRPr="007712D4">
        <w:t>2</w:t>
      </w:r>
      <w:r w:rsidRPr="007712D4">
        <w:t>”.</w:t>
      </w:r>
    </w:p>
    <w:p w14:paraId="4B4526B4" w14:textId="77777777" w:rsidR="002878DA" w:rsidRPr="007712D4" w:rsidRDefault="00903B54" w:rsidP="009D4189">
      <w:pPr>
        <w:pStyle w:val="ItemHead"/>
      </w:pPr>
      <w:r w:rsidRPr="007712D4">
        <w:t>20</w:t>
      </w:r>
      <w:r w:rsidR="00D103FA" w:rsidRPr="007712D4">
        <w:t xml:space="preserve">  </w:t>
      </w:r>
      <w:r w:rsidR="00401A8C" w:rsidRPr="007712D4">
        <w:t>Subsection 3</w:t>
      </w:r>
      <w:r w:rsidR="00E613F1" w:rsidRPr="007712D4">
        <w:t>6(1)</w:t>
      </w:r>
    </w:p>
    <w:p w14:paraId="36EAADF8" w14:textId="77777777" w:rsidR="00566522" w:rsidRPr="007712D4" w:rsidRDefault="00E613F1" w:rsidP="00566522">
      <w:pPr>
        <w:pStyle w:val="Item"/>
      </w:pPr>
      <w:r w:rsidRPr="007712D4">
        <w:t xml:space="preserve">Omit “This section”, substitute “Subject to </w:t>
      </w:r>
      <w:r w:rsidR="0028668B" w:rsidRPr="007712D4">
        <w:t>section 4</w:t>
      </w:r>
      <w:r w:rsidR="00ED30BD" w:rsidRPr="007712D4">
        <w:t>0</w:t>
      </w:r>
      <w:r w:rsidR="00932CAB" w:rsidRPr="007712D4">
        <w:t xml:space="preserve"> of this instrument</w:t>
      </w:r>
      <w:r w:rsidRPr="007712D4">
        <w:t>, this section”.</w:t>
      </w:r>
    </w:p>
    <w:p w14:paraId="6420D01E" w14:textId="77777777" w:rsidR="00E613F1" w:rsidRPr="007712D4" w:rsidRDefault="00903B54" w:rsidP="00E613F1">
      <w:pPr>
        <w:pStyle w:val="ItemHead"/>
      </w:pPr>
      <w:r w:rsidRPr="007712D4">
        <w:t>21</w:t>
      </w:r>
      <w:r w:rsidR="00060E11" w:rsidRPr="007712D4">
        <w:t xml:space="preserve"> </w:t>
      </w:r>
      <w:r w:rsidR="00E613F1" w:rsidRPr="007712D4">
        <w:t xml:space="preserve"> At the end of </w:t>
      </w:r>
      <w:r w:rsidR="0028668B" w:rsidRPr="007712D4">
        <w:t>subsection 3</w:t>
      </w:r>
      <w:r w:rsidR="00E613F1" w:rsidRPr="007712D4">
        <w:t>6(1)</w:t>
      </w:r>
    </w:p>
    <w:p w14:paraId="59DD049C" w14:textId="77777777" w:rsidR="00E613F1" w:rsidRPr="007712D4" w:rsidRDefault="00E613F1" w:rsidP="00E613F1">
      <w:pPr>
        <w:pStyle w:val="Item"/>
      </w:pPr>
      <w:r w:rsidRPr="007712D4">
        <w:t>Add:</w:t>
      </w:r>
    </w:p>
    <w:p w14:paraId="0F06BC3A" w14:textId="77777777" w:rsidR="00E613F1" w:rsidRPr="007712D4" w:rsidRDefault="00E613F1" w:rsidP="00E613F1">
      <w:pPr>
        <w:pStyle w:val="notetext"/>
      </w:pPr>
      <w:r w:rsidRPr="007712D4">
        <w:t>Note:</w:t>
      </w:r>
      <w:r w:rsidRPr="007712D4">
        <w:tab/>
      </w:r>
      <w:r w:rsidR="0028668B" w:rsidRPr="007712D4">
        <w:t>Section 4</w:t>
      </w:r>
      <w:r w:rsidR="00442D8C" w:rsidRPr="007712D4">
        <w:t>0</w:t>
      </w:r>
      <w:r w:rsidR="00200403" w:rsidRPr="007712D4">
        <w:t xml:space="preserve"> </w:t>
      </w:r>
      <w:r w:rsidR="00932CAB" w:rsidRPr="007712D4">
        <w:t xml:space="preserve">of this instrument </w:t>
      </w:r>
      <w:r w:rsidR="00052459" w:rsidRPr="007712D4">
        <w:t>applies to</w:t>
      </w:r>
      <w:r w:rsidR="004E5E0A" w:rsidRPr="007712D4">
        <w:t xml:space="preserve"> </w:t>
      </w:r>
      <w:r w:rsidR="007555E6" w:rsidRPr="007712D4">
        <w:t>an</w:t>
      </w:r>
      <w:r w:rsidR="00A11AD9" w:rsidRPr="007712D4">
        <w:t xml:space="preserve"> original</w:t>
      </w:r>
      <w:r w:rsidR="00C22A75" w:rsidRPr="007712D4">
        <w:t xml:space="preserve"> special arrangement supply of a dose of a chemotherapy drug</w:t>
      </w:r>
      <w:r w:rsidR="00CC7DF6" w:rsidRPr="007712D4">
        <w:t xml:space="preserve"> if the supply is made</w:t>
      </w:r>
      <w:r w:rsidR="00C22A75" w:rsidRPr="007712D4">
        <w:t xml:space="preserve"> </w:t>
      </w:r>
      <w:r w:rsidR="00200403" w:rsidRPr="007712D4">
        <w:t>to a CTG registered patient by a CTG supplier.</w:t>
      </w:r>
    </w:p>
    <w:p w14:paraId="106FB199" w14:textId="77777777" w:rsidR="00E05AE6" w:rsidRPr="007712D4" w:rsidRDefault="00903B54" w:rsidP="00780222">
      <w:pPr>
        <w:pStyle w:val="ItemHead"/>
      </w:pPr>
      <w:r w:rsidRPr="007712D4">
        <w:t>22</w:t>
      </w:r>
      <w:r w:rsidR="00E05AE6" w:rsidRPr="007712D4">
        <w:t xml:space="preserve">  </w:t>
      </w:r>
      <w:r w:rsidR="001E0D0E" w:rsidRPr="007712D4">
        <w:t xml:space="preserve">After </w:t>
      </w:r>
      <w:r w:rsidR="0028668B" w:rsidRPr="007712D4">
        <w:t>subsection 3</w:t>
      </w:r>
      <w:r w:rsidR="00E05AE6" w:rsidRPr="007712D4">
        <w:t>6(3)</w:t>
      </w:r>
    </w:p>
    <w:p w14:paraId="27FCFAB9" w14:textId="77777777" w:rsidR="001E0D0E" w:rsidRPr="007712D4" w:rsidRDefault="001E0D0E" w:rsidP="001E0D0E">
      <w:pPr>
        <w:pStyle w:val="Item"/>
      </w:pPr>
      <w:r w:rsidRPr="007712D4">
        <w:t>Insert:</w:t>
      </w:r>
    </w:p>
    <w:p w14:paraId="2F2B5144" w14:textId="77777777" w:rsidR="001E0D0E" w:rsidRPr="007712D4" w:rsidRDefault="001E0D0E" w:rsidP="001E0D0E">
      <w:pPr>
        <w:pStyle w:val="subsection"/>
      </w:pPr>
      <w:r w:rsidRPr="007712D4">
        <w:tab/>
        <w:t>(3A)</w:t>
      </w:r>
      <w:r w:rsidRPr="007712D4">
        <w:tab/>
      </w:r>
      <w:r w:rsidR="00DB5E3E" w:rsidRPr="007712D4">
        <w:t xml:space="preserve">In addition, </w:t>
      </w:r>
      <w:r w:rsidR="00E07E31" w:rsidRPr="007712D4">
        <w:t>if the supply is made to a</w:t>
      </w:r>
      <w:r w:rsidR="00891FB1" w:rsidRPr="007712D4">
        <w:t xml:space="preserve">n eligible patient who is a </w:t>
      </w:r>
      <w:r w:rsidR="00E07E31" w:rsidRPr="007712D4">
        <w:t xml:space="preserve">CTG registered patient by a CTG supplier, </w:t>
      </w:r>
      <w:r w:rsidR="00DB5E3E" w:rsidRPr="007712D4">
        <w:t xml:space="preserve">no amount may be charged under </w:t>
      </w:r>
      <w:r w:rsidR="0028668B" w:rsidRPr="007712D4">
        <w:t>subsections 1</w:t>
      </w:r>
      <w:r w:rsidR="00DB5E3E" w:rsidRPr="007712D4">
        <w:t>1(1) to (3) of the CTG Special Arrangement</w:t>
      </w:r>
      <w:r w:rsidR="008863EF" w:rsidRPr="007712D4">
        <w:t xml:space="preserve"> for a repeated supply.</w:t>
      </w:r>
    </w:p>
    <w:p w14:paraId="2BD9712D" w14:textId="77777777" w:rsidR="008863EF" w:rsidRPr="007712D4" w:rsidRDefault="008863EF" w:rsidP="008863EF">
      <w:pPr>
        <w:pStyle w:val="notetext"/>
      </w:pPr>
      <w:r w:rsidRPr="007712D4">
        <w:t>Note:</w:t>
      </w:r>
      <w:r w:rsidRPr="007712D4">
        <w:tab/>
        <w:t xml:space="preserve">See </w:t>
      </w:r>
      <w:r w:rsidR="0028668B" w:rsidRPr="007712D4">
        <w:t>section 4</w:t>
      </w:r>
      <w:r w:rsidRPr="007712D4">
        <w:t xml:space="preserve">0 </w:t>
      </w:r>
      <w:r w:rsidR="00FC037E" w:rsidRPr="007712D4">
        <w:t xml:space="preserve">of this instrument </w:t>
      </w:r>
      <w:r w:rsidRPr="007712D4">
        <w:t>in relation to the application of the CTG Special Arrangement</w:t>
      </w:r>
      <w:r w:rsidR="00FC037E" w:rsidRPr="007712D4">
        <w:t>.</w:t>
      </w:r>
    </w:p>
    <w:p w14:paraId="4FD78C29" w14:textId="77777777" w:rsidR="00780222" w:rsidRPr="007712D4" w:rsidRDefault="00903B54" w:rsidP="00780222">
      <w:pPr>
        <w:pStyle w:val="ItemHead"/>
      </w:pPr>
      <w:r w:rsidRPr="007712D4">
        <w:t>23</w:t>
      </w:r>
      <w:r w:rsidR="00780222" w:rsidRPr="007712D4">
        <w:t xml:space="preserve">  </w:t>
      </w:r>
      <w:r w:rsidR="00401A8C" w:rsidRPr="007712D4">
        <w:t>Subsection 3</w:t>
      </w:r>
      <w:r w:rsidR="00780222" w:rsidRPr="007712D4">
        <w:t>7(1)</w:t>
      </w:r>
    </w:p>
    <w:p w14:paraId="1B28DF4F" w14:textId="77777777" w:rsidR="00780222" w:rsidRPr="007712D4" w:rsidRDefault="00780222" w:rsidP="00780222">
      <w:pPr>
        <w:pStyle w:val="Item"/>
      </w:pPr>
      <w:r w:rsidRPr="007712D4">
        <w:t xml:space="preserve">Omit “This section”, substitute “Subject to </w:t>
      </w:r>
      <w:r w:rsidR="0028668B" w:rsidRPr="007712D4">
        <w:t>section 4</w:t>
      </w:r>
      <w:r w:rsidR="00442D8C" w:rsidRPr="007712D4">
        <w:t>0</w:t>
      </w:r>
      <w:r w:rsidR="00932CAB" w:rsidRPr="007712D4">
        <w:t xml:space="preserve"> of this instrument</w:t>
      </w:r>
      <w:r w:rsidRPr="007712D4">
        <w:t>, this section”.</w:t>
      </w:r>
    </w:p>
    <w:p w14:paraId="0A0B8815" w14:textId="77777777" w:rsidR="00780222" w:rsidRPr="007712D4" w:rsidRDefault="00903B54" w:rsidP="00780222">
      <w:pPr>
        <w:pStyle w:val="ItemHead"/>
      </w:pPr>
      <w:r w:rsidRPr="007712D4">
        <w:t>24</w:t>
      </w:r>
      <w:r w:rsidR="00780222" w:rsidRPr="007712D4">
        <w:t xml:space="preserve">  At the end of </w:t>
      </w:r>
      <w:r w:rsidR="0028668B" w:rsidRPr="007712D4">
        <w:t>subsection 3</w:t>
      </w:r>
      <w:r w:rsidR="00780222" w:rsidRPr="007712D4">
        <w:t>7(1)</w:t>
      </w:r>
    </w:p>
    <w:p w14:paraId="777051D0" w14:textId="77777777" w:rsidR="00780222" w:rsidRPr="007712D4" w:rsidRDefault="00780222" w:rsidP="00780222">
      <w:pPr>
        <w:pStyle w:val="Item"/>
      </w:pPr>
      <w:r w:rsidRPr="007712D4">
        <w:t>Add:</w:t>
      </w:r>
    </w:p>
    <w:p w14:paraId="2AFF7DA4" w14:textId="77777777" w:rsidR="00111CAC" w:rsidRPr="007712D4" w:rsidRDefault="00780222" w:rsidP="00111CAC">
      <w:pPr>
        <w:pStyle w:val="notetext"/>
      </w:pPr>
      <w:r w:rsidRPr="007712D4">
        <w:t>Note:</w:t>
      </w:r>
      <w:r w:rsidRPr="007712D4">
        <w:tab/>
      </w:r>
      <w:r w:rsidR="0028668B" w:rsidRPr="007712D4">
        <w:t>Section 4</w:t>
      </w:r>
      <w:r w:rsidR="00442D8C" w:rsidRPr="007712D4">
        <w:t>0</w:t>
      </w:r>
      <w:r w:rsidRPr="007712D4">
        <w:t xml:space="preserve"> </w:t>
      </w:r>
      <w:r w:rsidR="00932CAB" w:rsidRPr="007712D4">
        <w:t xml:space="preserve">of this instrument </w:t>
      </w:r>
      <w:r w:rsidR="004E5E0A" w:rsidRPr="007712D4">
        <w:t xml:space="preserve">applies to </w:t>
      </w:r>
      <w:r w:rsidR="007555E6" w:rsidRPr="007712D4">
        <w:t>an</w:t>
      </w:r>
      <w:r w:rsidRPr="007712D4">
        <w:t xml:space="preserve"> </w:t>
      </w:r>
      <w:r w:rsidR="00052459" w:rsidRPr="007712D4">
        <w:t xml:space="preserve">original </w:t>
      </w:r>
      <w:r w:rsidRPr="007712D4">
        <w:t xml:space="preserve">special arrangement supply of a dose of a chemotherapy drug </w:t>
      </w:r>
      <w:r w:rsidR="00CC7DF6" w:rsidRPr="007712D4">
        <w:t xml:space="preserve">if the supply is made </w:t>
      </w:r>
      <w:r w:rsidRPr="007712D4">
        <w:t>to a CTG registered patient by a CTG supplier</w:t>
      </w:r>
      <w:r w:rsidR="00AC5611" w:rsidRPr="007712D4">
        <w:t>.</w:t>
      </w:r>
    </w:p>
    <w:p w14:paraId="2683D7C5" w14:textId="77777777" w:rsidR="00177EAB" w:rsidRPr="007712D4" w:rsidRDefault="00903B54" w:rsidP="00CC25EE">
      <w:pPr>
        <w:pStyle w:val="ItemHead"/>
      </w:pPr>
      <w:r w:rsidRPr="007712D4">
        <w:lastRenderedPageBreak/>
        <w:t>25</w:t>
      </w:r>
      <w:r w:rsidR="00177EAB" w:rsidRPr="007712D4">
        <w:t xml:space="preserve">  After </w:t>
      </w:r>
      <w:r w:rsidR="0028668B" w:rsidRPr="007712D4">
        <w:t>subsection 3</w:t>
      </w:r>
      <w:r w:rsidR="00177EAB" w:rsidRPr="007712D4">
        <w:t>7(</w:t>
      </w:r>
      <w:r w:rsidR="005214DF" w:rsidRPr="007712D4">
        <w:t>3)</w:t>
      </w:r>
    </w:p>
    <w:p w14:paraId="2AF95637" w14:textId="77777777" w:rsidR="00BA43E6" w:rsidRPr="007712D4" w:rsidRDefault="00BA43E6" w:rsidP="00BA43E6">
      <w:pPr>
        <w:pStyle w:val="Item"/>
      </w:pPr>
      <w:r w:rsidRPr="007712D4">
        <w:t>Insert:</w:t>
      </w:r>
    </w:p>
    <w:p w14:paraId="3A6D57EB" w14:textId="77777777" w:rsidR="005214DF" w:rsidRPr="007712D4" w:rsidRDefault="005214DF" w:rsidP="005214DF">
      <w:pPr>
        <w:pStyle w:val="subsection"/>
      </w:pPr>
      <w:r w:rsidRPr="007712D4">
        <w:tab/>
        <w:t>(3A)</w:t>
      </w:r>
      <w:r w:rsidRPr="007712D4">
        <w:tab/>
      </w:r>
      <w:r w:rsidR="00AB2B02" w:rsidRPr="007712D4">
        <w:t>In addition, i</w:t>
      </w:r>
      <w:r w:rsidRPr="007712D4">
        <w:t>f the supply is made to a</w:t>
      </w:r>
      <w:r w:rsidR="005202C5" w:rsidRPr="007712D4">
        <w:t xml:space="preserve">n eligible patient who is a </w:t>
      </w:r>
      <w:r w:rsidRPr="007712D4">
        <w:t xml:space="preserve">CTG registered patient by a CTG supplier, no amount may be charged under </w:t>
      </w:r>
      <w:r w:rsidR="0028668B" w:rsidRPr="007712D4">
        <w:t>subsections 1</w:t>
      </w:r>
      <w:r w:rsidRPr="007712D4">
        <w:t>1(1) to (3) of the CTG Special Arrangement for a repeated supply.</w:t>
      </w:r>
    </w:p>
    <w:p w14:paraId="0FD2A758" w14:textId="77777777" w:rsidR="005214DF" w:rsidRPr="007712D4" w:rsidRDefault="005214DF" w:rsidP="005214DF">
      <w:pPr>
        <w:pStyle w:val="notetext"/>
      </w:pPr>
      <w:r w:rsidRPr="007712D4">
        <w:t>Note:</w:t>
      </w:r>
      <w:r w:rsidRPr="007712D4">
        <w:tab/>
        <w:t xml:space="preserve">See </w:t>
      </w:r>
      <w:r w:rsidR="0028668B" w:rsidRPr="007712D4">
        <w:t>section 4</w:t>
      </w:r>
      <w:r w:rsidRPr="007712D4">
        <w:t>0 of this instrument in relation to the application of the CTG Special Arrangement.</w:t>
      </w:r>
    </w:p>
    <w:p w14:paraId="1F6A8DB3" w14:textId="77777777" w:rsidR="00CC25EE" w:rsidRPr="007712D4" w:rsidRDefault="00903B54" w:rsidP="00CC25EE">
      <w:pPr>
        <w:pStyle w:val="ItemHead"/>
      </w:pPr>
      <w:r w:rsidRPr="007712D4">
        <w:t>26</w:t>
      </w:r>
      <w:r w:rsidR="00CC25EE" w:rsidRPr="007712D4">
        <w:t xml:space="preserve">  </w:t>
      </w:r>
      <w:r w:rsidR="00401A8C" w:rsidRPr="007712D4">
        <w:t>Subsection 3</w:t>
      </w:r>
      <w:r w:rsidR="00CC25EE" w:rsidRPr="007712D4">
        <w:t>9(2) (before the note)</w:t>
      </w:r>
    </w:p>
    <w:p w14:paraId="55CABE61" w14:textId="77777777" w:rsidR="00CC25EE" w:rsidRPr="007712D4" w:rsidRDefault="00CC25EE" w:rsidP="00CC25EE">
      <w:pPr>
        <w:pStyle w:val="Item"/>
      </w:pPr>
      <w:r w:rsidRPr="007712D4">
        <w:t>Insert:</w:t>
      </w:r>
    </w:p>
    <w:p w14:paraId="5DF66B79" w14:textId="77777777" w:rsidR="00CC25EE" w:rsidRPr="007712D4" w:rsidRDefault="00CC25EE" w:rsidP="00CC25EE">
      <w:pPr>
        <w:pStyle w:val="notetext"/>
      </w:pPr>
      <w:r w:rsidRPr="007712D4">
        <w:t>Note 1:</w:t>
      </w:r>
      <w:r w:rsidRPr="007712D4">
        <w:tab/>
        <w:t xml:space="preserve">However, see </w:t>
      </w:r>
      <w:r w:rsidR="0028668B" w:rsidRPr="007712D4">
        <w:t>section 4</w:t>
      </w:r>
      <w:r w:rsidRPr="007712D4">
        <w:t>0 of this instrument for an original special arrangement supply of a dose of a chemotherapy drug if the supply is made to a CTG registered patient by a CTG supplier.</w:t>
      </w:r>
    </w:p>
    <w:p w14:paraId="5185F1CC" w14:textId="77777777" w:rsidR="00587042" w:rsidRPr="007712D4" w:rsidRDefault="00903B54" w:rsidP="00587042">
      <w:pPr>
        <w:pStyle w:val="ItemHead"/>
      </w:pPr>
      <w:r w:rsidRPr="007712D4">
        <w:t>27</w:t>
      </w:r>
      <w:r w:rsidR="00587042" w:rsidRPr="007712D4">
        <w:t xml:space="preserve">  </w:t>
      </w:r>
      <w:r w:rsidR="00401A8C" w:rsidRPr="007712D4">
        <w:t>Subsection 3</w:t>
      </w:r>
      <w:r w:rsidR="00587042" w:rsidRPr="007712D4">
        <w:t>9(2) (note)</w:t>
      </w:r>
    </w:p>
    <w:p w14:paraId="1A9A0E15" w14:textId="77777777" w:rsidR="00587042" w:rsidRPr="007712D4" w:rsidRDefault="00587042" w:rsidP="00587042">
      <w:pPr>
        <w:pStyle w:val="Item"/>
      </w:pPr>
      <w:r w:rsidRPr="007712D4">
        <w:t>Omit “Note”, substitute “Note 2”.</w:t>
      </w:r>
    </w:p>
    <w:p w14:paraId="231AEF7B" w14:textId="77777777" w:rsidR="004E5E0A" w:rsidRPr="007712D4" w:rsidRDefault="00903B54" w:rsidP="004E5E0A">
      <w:pPr>
        <w:pStyle w:val="ItemHead"/>
      </w:pPr>
      <w:r w:rsidRPr="007712D4">
        <w:t>28</w:t>
      </w:r>
      <w:r w:rsidR="00A911F2" w:rsidRPr="007712D4">
        <w:t xml:space="preserve">  After </w:t>
      </w:r>
      <w:r w:rsidR="00401A8C" w:rsidRPr="007712D4">
        <w:t>Part 4</w:t>
      </w:r>
    </w:p>
    <w:p w14:paraId="5B620FD5" w14:textId="77777777" w:rsidR="00A911F2" w:rsidRPr="007712D4" w:rsidRDefault="00A911F2" w:rsidP="00A911F2">
      <w:pPr>
        <w:pStyle w:val="Item"/>
      </w:pPr>
      <w:r w:rsidRPr="007712D4">
        <w:t>Insert:</w:t>
      </w:r>
    </w:p>
    <w:p w14:paraId="5C064986" w14:textId="77777777" w:rsidR="00A911F2" w:rsidRPr="007712D4" w:rsidRDefault="00401A8C" w:rsidP="00A911F2">
      <w:pPr>
        <w:pStyle w:val="ActHead2"/>
      </w:pPr>
      <w:bookmarkStart w:id="14" w:name="_Toc168584384"/>
      <w:r w:rsidRPr="00182579">
        <w:rPr>
          <w:rStyle w:val="CharPartNo"/>
        </w:rPr>
        <w:t>Part 5</w:t>
      </w:r>
      <w:r w:rsidR="00A911F2" w:rsidRPr="007712D4">
        <w:t>—</w:t>
      </w:r>
      <w:r w:rsidR="00A911F2" w:rsidRPr="00182579">
        <w:rPr>
          <w:rStyle w:val="CharPartText"/>
        </w:rPr>
        <w:t>Supply to CTG registered patients by CTG suppliers</w:t>
      </w:r>
      <w:bookmarkEnd w:id="14"/>
    </w:p>
    <w:p w14:paraId="783F9023" w14:textId="77777777" w:rsidR="005C690D" w:rsidRPr="007712D4" w:rsidRDefault="00CC7DF6" w:rsidP="005C690D">
      <w:pPr>
        <w:pStyle w:val="ActHead5"/>
      </w:pPr>
      <w:bookmarkStart w:id="15" w:name="_Toc168584385"/>
      <w:r w:rsidRPr="00182579">
        <w:rPr>
          <w:rStyle w:val="CharSectno"/>
        </w:rPr>
        <w:t>4</w:t>
      </w:r>
      <w:r w:rsidR="001124F6" w:rsidRPr="00182579">
        <w:rPr>
          <w:rStyle w:val="CharSectno"/>
        </w:rPr>
        <w:t>0</w:t>
      </w:r>
      <w:r w:rsidR="005C690D" w:rsidRPr="007712D4">
        <w:t xml:space="preserve">  Application of the CTG Special Arrangement</w:t>
      </w:r>
      <w:r w:rsidR="00810B0A" w:rsidRPr="007712D4">
        <w:t>—</w:t>
      </w:r>
      <w:r w:rsidR="00AC5E13" w:rsidRPr="007712D4">
        <w:t>original special arrangement supply of a dose of a chemotherapy drug</w:t>
      </w:r>
      <w:bookmarkEnd w:id="15"/>
    </w:p>
    <w:p w14:paraId="39899596" w14:textId="77777777" w:rsidR="001124F6" w:rsidRPr="007712D4" w:rsidRDefault="001124F6" w:rsidP="001124F6">
      <w:pPr>
        <w:pStyle w:val="subsection"/>
      </w:pPr>
      <w:r w:rsidRPr="007712D4">
        <w:tab/>
        <w:t>(1)</w:t>
      </w:r>
      <w:r w:rsidRPr="007712D4">
        <w:tab/>
        <w:t>This section applies to an original special arrangement supply</w:t>
      </w:r>
      <w:r w:rsidR="00E4425A" w:rsidRPr="007712D4">
        <w:t xml:space="preserve"> (the </w:t>
      </w:r>
      <w:r w:rsidR="00E4425A" w:rsidRPr="007712D4">
        <w:rPr>
          <w:b/>
          <w:i/>
        </w:rPr>
        <w:t>relevant supply</w:t>
      </w:r>
      <w:r w:rsidR="00E4425A" w:rsidRPr="007712D4">
        <w:t>)</w:t>
      </w:r>
      <w:r w:rsidRPr="007712D4">
        <w:t xml:space="preserve"> of a dose of a chemotherapy drug under this</w:t>
      </w:r>
      <w:r w:rsidR="00B77CEB" w:rsidRPr="007712D4">
        <w:t xml:space="preserve"> </w:t>
      </w:r>
      <w:r w:rsidR="001464B9" w:rsidRPr="007712D4">
        <w:t>instrument</w:t>
      </w:r>
      <w:r w:rsidRPr="007712D4">
        <w:t xml:space="preserve"> if the relevant supply is made:</w:t>
      </w:r>
    </w:p>
    <w:p w14:paraId="6E3C7388" w14:textId="77777777" w:rsidR="001124F6" w:rsidRPr="007712D4" w:rsidRDefault="001124F6" w:rsidP="001124F6">
      <w:pPr>
        <w:pStyle w:val="paragraph"/>
      </w:pPr>
      <w:r w:rsidRPr="007712D4">
        <w:tab/>
        <w:t>(a)</w:t>
      </w:r>
      <w:r w:rsidRPr="007712D4">
        <w:tab/>
        <w:t>to an eligible patient who is a CTG registered patient; and</w:t>
      </w:r>
    </w:p>
    <w:p w14:paraId="202912A8" w14:textId="77777777" w:rsidR="00AC5E13" w:rsidRPr="007712D4" w:rsidRDefault="001124F6" w:rsidP="001124F6">
      <w:pPr>
        <w:pStyle w:val="paragraph"/>
      </w:pPr>
      <w:r w:rsidRPr="007712D4">
        <w:tab/>
        <w:t>(b)</w:t>
      </w:r>
      <w:r w:rsidRPr="007712D4">
        <w:tab/>
        <w:t>by an approved pharmacist, an approved medical practitioner or an approved hospital authority who is a CTG supplier.</w:t>
      </w:r>
    </w:p>
    <w:p w14:paraId="62BD8062" w14:textId="77777777" w:rsidR="008608FD" w:rsidRPr="007712D4" w:rsidRDefault="005C690D" w:rsidP="005C690D">
      <w:pPr>
        <w:pStyle w:val="subsection"/>
      </w:pPr>
      <w:r w:rsidRPr="007712D4">
        <w:tab/>
        <w:t>(</w:t>
      </w:r>
      <w:r w:rsidR="00732A86" w:rsidRPr="007712D4">
        <w:t>2</w:t>
      </w:r>
      <w:r w:rsidRPr="007712D4">
        <w:t>)</w:t>
      </w:r>
      <w:r w:rsidRPr="007712D4">
        <w:tab/>
        <w:t xml:space="preserve">Despite </w:t>
      </w:r>
      <w:r w:rsidR="00B66542" w:rsidRPr="007712D4">
        <w:t>paragraphs</w:t>
      </w:r>
      <w:r w:rsidR="00CF6C96" w:rsidRPr="007712D4">
        <w:t xml:space="preserve"> 27(1)(a) and 28(3)(a) and </w:t>
      </w:r>
      <w:r w:rsidR="00401A8C" w:rsidRPr="007712D4">
        <w:t>subsections 3</w:t>
      </w:r>
      <w:r w:rsidR="009454D9" w:rsidRPr="007712D4">
        <w:t>6(2</w:t>
      </w:r>
      <w:r w:rsidR="006C39A9" w:rsidRPr="007712D4">
        <w:t>),</w:t>
      </w:r>
      <w:r w:rsidR="005D43E5" w:rsidRPr="007712D4">
        <w:t xml:space="preserve"> </w:t>
      </w:r>
      <w:r w:rsidR="00A8129B" w:rsidRPr="007712D4">
        <w:t>37(2)</w:t>
      </w:r>
      <w:r w:rsidR="006C39A9" w:rsidRPr="007712D4">
        <w:t xml:space="preserve"> and </w:t>
      </w:r>
      <w:r w:rsidR="005842C2" w:rsidRPr="007712D4">
        <w:t>39</w:t>
      </w:r>
      <w:r w:rsidR="006C39A9" w:rsidRPr="007712D4">
        <w:t>(2)</w:t>
      </w:r>
      <w:r w:rsidR="00881B14" w:rsidRPr="007712D4">
        <w:t xml:space="preserve"> </w:t>
      </w:r>
      <w:r w:rsidRPr="007712D4">
        <w:t xml:space="preserve">of this </w:t>
      </w:r>
      <w:r w:rsidR="00B77CEB" w:rsidRPr="007712D4">
        <w:t>instrument</w:t>
      </w:r>
      <w:r w:rsidRPr="007712D4">
        <w:t xml:space="preserve">, </w:t>
      </w:r>
      <w:r w:rsidR="0028668B" w:rsidRPr="007712D4">
        <w:t>subsections 1</w:t>
      </w:r>
      <w:r w:rsidRPr="007712D4">
        <w:t>1(1), (2), (3)</w:t>
      </w:r>
      <w:r w:rsidR="0060301C" w:rsidRPr="007712D4">
        <w:t xml:space="preserve"> </w:t>
      </w:r>
      <w:r w:rsidR="00BC0BBC" w:rsidRPr="007712D4">
        <w:t>and (4)</w:t>
      </w:r>
      <w:r w:rsidRPr="007712D4">
        <w:t xml:space="preserve"> (co</w:t>
      </w:r>
      <w:r w:rsidR="007712D4">
        <w:noBreakHyphen/>
      </w:r>
      <w:r w:rsidRPr="007712D4">
        <w:t>payment reduction etc.</w:t>
      </w:r>
      <w:r w:rsidR="005D43E5" w:rsidRPr="007712D4">
        <w:t xml:space="preserve">) </w:t>
      </w:r>
      <w:r w:rsidR="00431311" w:rsidRPr="007712D4">
        <w:t xml:space="preserve">and </w:t>
      </w:r>
      <w:r w:rsidR="00401A8C" w:rsidRPr="007712D4">
        <w:t>section 1</w:t>
      </w:r>
      <w:r w:rsidR="00431311" w:rsidRPr="007712D4">
        <w:t xml:space="preserve">3 (payment by Commonwealth) </w:t>
      </w:r>
      <w:r w:rsidR="005D43E5" w:rsidRPr="007712D4">
        <w:t>of</w:t>
      </w:r>
      <w:r w:rsidRPr="007712D4">
        <w:t xml:space="preserve"> the CTG Special Arrangement apply in relation to the relevant supply under this </w:t>
      </w:r>
      <w:r w:rsidR="001464B9" w:rsidRPr="007712D4">
        <w:t xml:space="preserve">instrument </w:t>
      </w:r>
      <w:r w:rsidRPr="007712D4">
        <w:t xml:space="preserve">with the modification set out in </w:t>
      </w:r>
      <w:r w:rsidR="00401A8C" w:rsidRPr="007712D4">
        <w:t>subsection (</w:t>
      </w:r>
      <w:r w:rsidR="003B29C9" w:rsidRPr="007712D4">
        <w:t>3</w:t>
      </w:r>
      <w:r w:rsidRPr="007712D4">
        <w:t>)</w:t>
      </w:r>
      <w:r w:rsidR="00C32417" w:rsidRPr="007712D4">
        <w:t xml:space="preserve"> of this section</w:t>
      </w:r>
      <w:r w:rsidRPr="007712D4">
        <w:t>.</w:t>
      </w:r>
    </w:p>
    <w:p w14:paraId="1AF32923" w14:textId="77777777" w:rsidR="005C690D" w:rsidRPr="007712D4" w:rsidRDefault="005C690D" w:rsidP="005C690D">
      <w:pPr>
        <w:pStyle w:val="subsection"/>
      </w:pPr>
      <w:r w:rsidRPr="007712D4">
        <w:tab/>
        <w:t>(</w:t>
      </w:r>
      <w:r w:rsidR="00732A86" w:rsidRPr="007712D4">
        <w:t>3</w:t>
      </w:r>
      <w:r w:rsidRPr="007712D4">
        <w:t>)</w:t>
      </w:r>
      <w:r w:rsidRPr="007712D4">
        <w:tab/>
        <w:t xml:space="preserve">A reference in the CTG Special Arrangement to a supply of a pharmaceutical benefit under the CTG Special Arrangement is taken to be a reference to the relevant supply under this </w:t>
      </w:r>
      <w:r w:rsidR="001464B9" w:rsidRPr="007712D4">
        <w:t>instrument</w:t>
      </w:r>
      <w:r w:rsidRPr="007712D4">
        <w:t>.</w:t>
      </w:r>
    </w:p>
    <w:p w14:paraId="7D7DEF04" w14:textId="77777777" w:rsidR="005C690D" w:rsidRPr="007712D4" w:rsidRDefault="005C690D" w:rsidP="005C690D">
      <w:pPr>
        <w:pStyle w:val="subsection"/>
      </w:pPr>
      <w:r w:rsidRPr="007712D4">
        <w:tab/>
        <w:t>(</w:t>
      </w:r>
      <w:r w:rsidR="00732A86" w:rsidRPr="007712D4">
        <w:t>4</w:t>
      </w:r>
      <w:r w:rsidRPr="007712D4">
        <w:t>)</w:t>
      </w:r>
      <w:r w:rsidRPr="007712D4">
        <w:tab/>
        <w:t xml:space="preserve">However, the notes to </w:t>
      </w:r>
      <w:r w:rsidR="0028668B" w:rsidRPr="007712D4">
        <w:t>subsections 1</w:t>
      </w:r>
      <w:r w:rsidRPr="007712D4">
        <w:t>1(2) and (3) of the CTG Special Arrangement do not apply in relation to the relevant supply under this</w:t>
      </w:r>
      <w:r w:rsidR="001464B9" w:rsidRPr="007712D4">
        <w:t xml:space="preserve"> instrument</w:t>
      </w:r>
      <w:r w:rsidRPr="007712D4">
        <w:t>.</w:t>
      </w:r>
    </w:p>
    <w:p w14:paraId="63475B58" w14:textId="77777777" w:rsidR="003D5CA7" w:rsidRPr="007712D4" w:rsidRDefault="005C690D" w:rsidP="003C3DB0">
      <w:pPr>
        <w:pStyle w:val="notetext"/>
      </w:pPr>
      <w:r w:rsidRPr="007712D4">
        <w:t>Note:</w:t>
      </w:r>
      <w:r w:rsidRPr="007712D4">
        <w:tab/>
        <w:t xml:space="preserve">The notes to </w:t>
      </w:r>
      <w:r w:rsidR="0028668B" w:rsidRPr="007712D4">
        <w:t>subsections 1</w:t>
      </w:r>
      <w:r w:rsidRPr="007712D4">
        <w:t xml:space="preserve">1(2) and (3) of the CTG Special Arrangement relate to CTG suppliers making claims for payment under the CTG Special Arrangement. Claims for payment in relation to the relevant supply under this </w:t>
      </w:r>
      <w:r w:rsidR="00485857" w:rsidRPr="007712D4">
        <w:t>instrument</w:t>
      </w:r>
      <w:r w:rsidRPr="007712D4">
        <w:t xml:space="preserve"> are instead dealt with under </w:t>
      </w:r>
      <w:r w:rsidR="00401A8C" w:rsidRPr="007712D4">
        <w:t>section 2</w:t>
      </w:r>
      <w:r w:rsidR="00F419E3" w:rsidRPr="007712D4">
        <w:t>6</w:t>
      </w:r>
      <w:r w:rsidRPr="007712D4">
        <w:t xml:space="preserve"> of this </w:t>
      </w:r>
      <w:r w:rsidR="00B77CEB" w:rsidRPr="007712D4">
        <w:t>instrument</w:t>
      </w:r>
      <w:r w:rsidR="003C3DB0" w:rsidRPr="007712D4">
        <w:t>.</w:t>
      </w:r>
    </w:p>
    <w:p w14:paraId="43883894" w14:textId="77777777" w:rsidR="00F96341" w:rsidRPr="007712D4" w:rsidRDefault="000A463B" w:rsidP="000A463B">
      <w:pPr>
        <w:pStyle w:val="ActHead5"/>
      </w:pPr>
      <w:bookmarkStart w:id="16" w:name="_Toc168584386"/>
      <w:r w:rsidRPr="00182579">
        <w:rPr>
          <w:rStyle w:val="CharSectno"/>
        </w:rPr>
        <w:lastRenderedPageBreak/>
        <w:t>41</w:t>
      </w:r>
      <w:r w:rsidRPr="007712D4">
        <w:t xml:space="preserve">  Application of the CTG Special Arrangement—</w:t>
      </w:r>
      <w:r w:rsidR="003B3361" w:rsidRPr="007712D4">
        <w:t xml:space="preserve">special arrangement supply of </w:t>
      </w:r>
      <w:r w:rsidR="004D3B07" w:rsidRPr="007712D4">
        <w:t xml:space="preserve">a </w:t>
      </w:r>
      <w:r w:rsidR="003B3361" w:rsidRPr="007712D4">
        <w:t>related pharmaceutical benefit</w:t>
      </w:r>
      <w:bookmarkEnd w:id="16"/>
    </w:p>
    <w:p w14:paraId="5BEF5809" w14:textId="77777777" w:rsidR="003B3361" w:rsidRPr="007712D4" w:rsidRDefault="003B3361" w:rsidP="003B3361">
      <w:pPr>
        <w:pStyle w:val="subsection"/>
      </w:pPr>
      <w:r w:rsidRPr="007712D4">
        <w:tab/>
        <w:t>(1)</w:t>
      </w:r>
      <w:r w:rsidRPr="007712D4">
        <w:tab/>
        <w:t xml:space="preserve">This section applies to a special arrangement supply </w:t>
      </w:r>
      <w:r w:rsidR="00D60EDA" w:rsidRPr="007712D4">
        <w:t xml:space="preserve">(the </w:t>
      </w:r>
      <w:r w:rsidR="00D60EDA" w:rsidRPr="007712D4">
        <w:rPr>
          <w:b/>
          <w:i/>
        </w:rPr>
        <w:t>relevant supply</w:t>
      </w:r>
      <w:r w:rsidR="00D60EDA" w:rsidRPr="007712D4">
        <w:t xml:space="preserve">) </w:t>
      </w:r>
      <w:r w:rsidRPr="007712D4">
        <w:t xml:space="preserve">of a related pharmaceutical benefit under this </w:t>
      </w:r>
      <w:r w:rsidR="00B77CEB" w:rsidRPr="007712D4">
        <w:t>instrument</w:t>
      </w:r>
      <w:r w:rsidRPr="007712D4">
        <w:t xml:space="preserve"> if the relevant supply is made:</w:t>
      </w:r>
    </w:p>
    <w:p w14:paraId="08113C0C" w14:textId="77777777" w:rsidR="003B3361" w:rsidRPr="007712D4" w:rsidRDefault="003B3361" w:rsidP="003B3361">
      <w:pPr>
        <w:pStyle w:val="paragraph"/>
      </w:pPr>
      <w:r w:rsidRPr="007712D4">
        <w:tab/>
        <w:t>(a)</w:t>
      </w:r>
      <w:r w:rsidRPr="007712D4">
        <w:tab/>
        <w:t>to an eligible patient who is a CTG registered patient; and</w:t>
      </w:r>
    </w:p>
    <w:p w14:paraId="1839459E" w14:textId="77777777" w:rsidR="003B3361" w:rsidRPr="007712D4" w:rsidRDefault="003B3361" w:rsidP="003B3361">
      <w:pPr>
        <w:pStyle w:val="paragraph"/>
      </w:pPr>
      <w:r w:rsidRPr="007712D4">
        <w:tab/>
        <w:t>(b)</w:t>
      </w:r>
      <w:r w:rsidRPr="007712D4">
        <w:tab/>
        <w:t>by</w:t>
      </w:r>
      <w:r w:rsidR="00492377" w:rsidRPr="007712D4">
        <w:t xml:space="preserve"> a</w:t>
      </w:r>
      <w:r w:rsidR="00602D45" w:rsidRPr="007712D4">
        <w:t xml:space="preserve"> participating hospital authorit</w:t>
      </w:r>
      <w:r w:rsidR="00E0027D" w:rsidRPr="007712D4">
        <w:t>y</w:t>
      </w:r>
      <w:r w:rsidRPr="007712D4">
        <w:t xml:space="preserve"> who is a CTG supplier.</w:t>
      </w:r>
    </w:p>
    <w:p w14:paraId="68308D25" w14:textId="77777777" w:rsidR="0000170B" w:rsidRPr="007712D4" w:rsidRDefault="00F874CD" w:rsidP="0000170B">
      <w:pPr>
        <w:pStyle w:val="subsection"/>
      </w:pPr>
      <w:r w:rsidRPr="007712D4">
        <w:tab/>
        <w:t>(2)</w:t>
      </w:r>
      <w:r w:rsidRPr="007712D4">
        <w:tab/>
      </w:r>
      <w:r w:rsidR="0000170B" w:rsidRPr="007712D4">
        <w:t>Subsections 11(1), (2), (3) and (4) (co</w:t>
      </w:r>
      <w:r w:rsidR="007712D4">
        <w:noBreakHyphen/>
      </w:r>
      <w:r w:rsidR="0000170B" w:rsidRPr="007712D4">
        <w:t xml:space="preserve">payment reduction etc.) of the CTG Special Arrangement apply in relation to the relevant supply under this </w:t>
      </w:r>
      <w:r w:rsidR="00485857" w:rsidRPr="007712D4">
        <w:t>instrument</w:t>
      </w:r>
      <w:r w:rsidR="0000170B" w:rsidRPr="007712D4">
        <w:t xml:space="preserve"> with the modification set out in </w:t>
      </w:r>
      <w:r w:rsidR="00401A8C" w:rsidRPr="007712D4">
        <w:t>subsection (</w:t>
      </w:r>
      <w:r w:rsidR="005F2378" w:rsidRPr="007712D4">
        <w:t>5</w:t>
      </w:r>
      <w:r w:rsidR="0000170B" w:rsidRPr="007712D4">
        <w:t>)</w:t>
      </w:r>
      <w:r w:rsidR="003264E5" w:rsidRPr="007712D4">
        <w:t xml:space="preserve"> of this section</w:t>
      </w:r>
      <w:r w:rsidR="0000170B" w:rsidRPr="007712D4">
        <w:t>.</w:t>
      </w:r>
    </w:p>
    <w:p w14:paraId="29A3C0F9" w14:textId="77777777" w:rsidR="0070386B" w:rsidRPr="007712D4" w:rsidRDefault="0070386B" w:rsidP="0000170B">
      <w:pPr>
        <w:pStyle w:val="subsection"/>
      </w:pPr>
      <w:r w:rsidRPr="007712D4">
        <w:tab/>
        <w:t>(3)</w:t>
      </w:r>
      <w:r w:rsidRPr="007712D4">
        <w:tab/>
      </w:r>
      <w:r w:rsidR="00401A8C" w:rsidRPr="007712D4">
        <w:t>Subsection (</w:t>
      </w:r>
      <w:r w:rsidR="004D3B07" w:rsidRPr="007712D4">
        <w:t xml:space="preserve">2) applies despite </w:t>
      </w:r>
      <w:r w:rsidR="00401A8C" w:rsidRPr="007712D4">
        <w:t>subsection 8</w:t>
      </w:r>
      <w:r w:rsidR="0076744C" w:rsidRPr="007712D4">
        <w:t>7(5) of the Act.</w:t>
      </w:r>
    </w:p>
    <w:p w14:paraId="0A2EE5F4" w14:textId="77777777" w:rsidR="00442D8C" w:rsidRPr="007712D4" w:rsidRDefault="0000170B" w:rsidP="00442D8C">
      <w:pPr>
        <w:pStyle w:val="subsection"/>
      </w:pPr>
      <w:r w:rsidRPr="007712D4">
        <w:tab/>
        <w:t>(</w:t>
      </w:r>
      <w:r w:rsidR="005F2378" w:rsidRPr="007712D4">
        <w:t>4</w:t>
      </w:r>
      <w:r w:rsidRPr="007712D4">
        <w:t>)</w:t>
      </w:r>
      <w:r w:rsidRPr="007712D4">
        <w:tab/>
        <w:t>In addition, d</w:t>
      </w:r>
      <w:r w:rsidR="003310E9" w:rsidRPr="007712D4">
        <w:t xml:space="preserve">espite </w:t>
      </w:r>
      <w:r w:rsidR="00401A8C" w:rsidRPr="007712D4">
        <w:t>subsection 2</w:t>
      </w:r>
      <w:r w:rsidR="003310E9" w:rsidRPr="007712D4">
        <w:t xml:space="preserve">8(4) of this </w:t>
      </w:r>
      <w:r w:rsidR="001464B9" w:rsidRPr="007712D4">
        <w:t>instrument</w:t>
      </w:r>
      <w:r w:rsidR="003310E9" w:rsidRPr="007712D4">
        <w:t>,</w:t>
      </w:r>
      <w:r w:rsidR="00442D8C" w:rsidRPr="007712D4">
        <w:t xml:space="preserve"> </w:t>
      </w:r>
      <w:r w:rsidR="00401A8C" w:rsidRPr="007712D4">
        <w:t>section 1</w:t>
      </w:r>
      <w:r w:rsidR="00442D8C" w:rsidRPr="007712D4">
        <w:t>3 (payment by Commonwealth) of the CTG Special Arrangement appl</w:t>
      </w:r>
      <w:r w:rsidR="005133FE" w:rsidRPr="007712D4">
        <w:t>ies</w:t>
      </w:r>
      <w:r w:rsidR="00442D8C" w:rsidRPr="007712D4">
        <w:t xml:space="preserve"> in relation to the relevant supply under this </w:t>
      </w:r>
      <w:r w:rsidR="00485857" w:rsidRPr="007712D4">
        <w:t xml:space="preserve">instrument </w:t>
      </w:r>
      <w:r w:rsidR="00442D8C" w:rsidRPr="007712D4">
        <w:t xml:space="preserve">with the modification set out in </w:t>
      </w:r>
      <w:r w:rsidR="00401A8C" w:rsidRPr="007712D4">
        <w:t>subsection (</w:t>
      </w:r>
      <w:r w:rsidR="005F2378" w:rsidRPr="007712D4">
        <w:t>5</w:t>
      </w:r>
      <w:r w:rsidR="005133FE" w:rsidRPr="007712D4">
        <w:t>)</w:t>
      </w:r>
      <w:r w:rsidR="003264E5" w:rsidRPr="007712D4">
        <w:t xml:space="preserve"> of this section</w:t>
      </w:r>
      <w:r w:rsidR="005133FE" w:rsidRPr="007712D4">
        <w:t>.</w:t>
      </w:r>
    </w:p>
    <w:p w14:paraId="44387EC8" w14:textId="77777777" w:rsidR="00442D8C" w:rsidRPr="007712D4" w:rsidRDefault="00442D8C" w:rsidP="00442D8C">
      <w:pPr>
        <w:pStyle w:val="subsection"/>
      </w:pPr>
      <w:r w:rsidRPr="007712D4">
        <w:tab/>
        <w:t>(</w:t>
      </w:r>
      <w:r w:rsidR="005F2378" w:rsidRPr="007712D4">
        <w:t>5</w:t>
      </w:r>
      <w:r w:rsidRPr="007712D4">
        <w:t>)</w:t>
      </w:r>
      <w:r w:rsidRPr="007712D4">
        <w:tab/>
        <w:t xml:space="preserve">A reference in the CTG Special Arrangement to a supply of a pharmaceutical benefit under the CTG Special Arrangement is taken to be a reference to the relevant supply under this </w:t>
      </w:r>
      <w:r w:rsidR="00485857" w:rsidRPr="007712D4">
        <w:t>instrument</w:t>
      </w:r>
      <w:r w:rsidRPr="007712D4">
        <w:t>.</w:t>
      </w:r>
    </w:p>
    <w:p w14:paraId="4664A0E3" w14:textId="77777777" w:rsidR="00442D8C" w:rsidRPr="007712D4" w:rsidRDefault="00442D8C" w:rsidP="00442D8C">
      <w:pPr>
        <w:pStyle w:val="subsection"/>
      </w:pPr>
      <w:r w:rsidRPr="007712D4">
        <w:tab/>
        <w:t>(</w:t>
      </w:r>
      <w:r w:rsidR="005F2378" w:rsidRPr="007712D4">
        <w:t>6</w:t>
      </w:r>
      <w:r w:rsidRPr="007712D4">
        <w:t>)</w:t>
      </w:r>
      <w:r w:rsidRPr="007712D4">
        <w:tab/>
        <w:t xml:space="preserve">However, the notes to </w:t>
      </w:r>
      <w:r w:rsidR="0028668B" w:rsidRPr="007712D4">
        <w:t>subsections 1</w:t>
      </w:r>
      <w:r w:rsidRPr="007712D4">
        <w:t>1(2) and (3) of the CTG Special Arrangement do not apply in relation to the relevant supply under this</w:t>
      </w:r>
      <w:r w:rsidR="00485857" w:rsidRPr="007712D4">
        <w:t xml:space="preserve"> instrument</w:t>
      </w:r>
      <w:r w:rsidRPr="007712D4">
        <w:t>.</w:t>
      </w:r>
    </w:p>
    <w:p w14:paraId="1D7D0354" w14:textId="77777777" w:rsidR="003B3361" w:rsidRPr="007712D4" w:rsidRDefault="00442D8C" w:rsidP="00A006ED">
      <w:pPr>
        <w:pStyle w:val="notetext"/>
      </w:pPr>
      <w:r w:rsidRPr="007712D4">
        <w:t>Note:</w:t>
      </w:r>
      <w:r w:rsidRPr="007712D4">
        <w:tab/>
        <w:t xml:space="preserve">The notes to </w:t>
      </w:r>
      <w:r w:rsidR="0028668B" w:rsidRPr="007712D4">
        <w:t>subsections 1</w:t>
      </w:r>
      <w:r w:rsidRPr="007712D4">
        <w:t xml:space="preserve">1(2) and (3) of the CTG Special Arrangement relate to CTG suppliers making claims for payment under the CTG Special Arrangement. Claims for payment in relation to the relevant supply under this </w:t>
      </w:r>
      <w:r w:rsidR="001464B9" w:rsidRPr="007712D4">
        <w:t xml:space="preserve">instrument </w:t>
      </w:r>
      <w:r w:rsidRPr="007712D4">
        <w:t xml:space="preserve">are instead dealt with under </w:t>
      </w:r>
      <w:r w:rsidR="00401A8C" w:rsidRPr="007712D4">
        <w:t>section 2</w:t>
      </w:r>
      <w:r w:rsidRPr="007712D4">
        <w:t xml:space="preserve">6 of this </w:t>
      </w:r>
      <w:r w:rsidR="00485857" w:rsidRPr="007712D4">
        <w:t>instrument</w:t>
      </w:r>
      <w:r w:rsidRPr="007712D4">
        <w:t>.</w:t>
      </w:r>
    </w:p>
    <w:p w14:paraId="5FF55F57" w14:textId="77777777" w:rsidR="0050456C" w:rsidRPr="007712D4" w:rsidRDefault="0050456C" w:rsidP="0050456C">
      <w:pPr>
        <w:pStyle w:val="ActHead9"/>
      </w:pPr>
      <w:bookmarkStart w:id="17" w:name="_Toc168584387"/>
      <w:r w:rsidRPr="007712D4">
        <w:t xml:space="preserve">National Health </w:t>
      </w:r>
      <w:r w:rsidR="00C759D6" w:rsidRPr="007712D4">
        <w:t>(</w:t>
      </w:r>
      <w:r w:rsidRPr="007712D4">
        <w:t>Growth Hormone Program) Special Arrangement 2015</w:t>
      </w:r>
      <w:bookmarkEnd w:id="17"/>
    </w:p>
    <w:p w14:paraId="635784CA" w14:textId="77777777" w:rsidR="0017638D" w:rsidRPr="007712D4" w:rsidRDefault="00903B54" w:rsidP="0017638D">
      <w:pPr>
        <w:pStyle w:val="ItemHead"/>
      </w:pPr>
      <w:r w:rsidRPr="007712D4">
        <w:t>29</w:t>
      </w:r>
      <w:r w:rsidR="0017638D" w:rsidRPr="007712D4">
        <w:t xml:space="preserve">  </w:t>
      </w:r>
      <w:r w:rsidR="00C835B1" w:rsidRPr="007712D4">
        <w:t>Sub</w:t>
      </w:r>
      <w:r w:rsidR="0028668B" w:rsidRPr="007712D4">
        <w:t>section 4</w:t>
      </w:r>
      <w:r w:rsidR="00C835B1" w:rsidRPr="007712D4">
        <w:t>(1)</w:t>
      </w:r>
    </w:p>
    <w:p w14:paraId="2F8E20B6" w14:textId="77777777" w:rsidR="0017638D" w:rsidRPr="007712D4" w:rsidRDefault="0017638D" w:rsidP="0017638D">
      <w:pPr>
        <w:pStyle w:val="Item"/>
      </w:pPr>
      <w:r w:rsidRPr="007712D4">
        <w:t>Insert:</w:t>
      </w:r>
    </w:p>
    <w:p w14:paraId="7A89AC19" w14:textId="77777777" w:rsidR="0017638D" w:rsidRPr="007712D4" w:rsidRDefault="0017638D" w:rsidP="0017638D">
      <w:pPr>
        <w:pStyle w:val="Definition"/>
        <w:rPr>
          <w:i/>
        </w:rPr>
      </w:pPr>
      <w:r w:rsidRPr="007712D4">
        <w:rPr>
          <w:b/>
          <w:i/>
        </w:rPr>
        <w:t>CTG registered patient</w:t>
      </w:r>
      <w:r w:rsidRPr="007712D4">
        <w:t xml:space="preserve"> means a patient registered under </w:t>
      </w:r>
      <w:r w:rsidR="00401A8C" w:rsidRPr="007712D4">
        <w:t>subsection 1</w:t>
      </w:r>
      <w:r w:rsidRPr="007712D4">
        <w:t>0(2) of the CTG Special Arrangement.</w:t>
      </w:r>
    </w:p>
    <w:p w14:paraId="0E9C2DF3" w14:textId="77777777" w:rsidR="0017638D" w:rsidRPr="007712D4" w:rsidRDefault="0017638D" w:rsidP="0017638D">
      <w:pPr>
        <w:pStyle w:val="Definition"/>
      </w:pPr>
      <w:r w:rsidRPr="007712D4">
        <w:rPr>
          <w:b/>
          <w:i/>
        </w:rPr>
        <w:t>CTG Special Arrangement</w:t>
      </w:r>
      <w:r w:rsidRPr="007712D4">
        <w:t xml:space="preserve"> means the </w:t>
      </w:r>
      <w:r w:rsidRPr="007712D4">
        <w:rPr>
          <w:i/>
        </w:rPr>
        <w:t>National Health (Closing the Gap – PBS Co</w:t>
      </w:r>
      <w:r w:rsidR="007712D4">
        <w:rPr>
          <w:i/>
        </w:rPr>
        <w:noBreakHyphen/>
      </w:r>
      <w:r w:rsidRPr="007712D4">
        <w:rPr>
          <w:i/>
        </w:rPr>
        <w:t>payment Program) Special Arrangement 2016</w:t>
      </w:r>
      <w:r w:rsidRPr="00681495">
        <w:t>.</w:t>
      </w:r>
    </w:p>
    <w:p w14:paraId="189B884A" w14:textId="77777777" w:rsidR="0017638D" w:rsidRPr="007712D4" w:rsidRDefault="0017638D" w:rsidP="0017638D">
      <w:pPr>
        <w:pStyle w:val="Definition"/>
      </w:pPr>
      <w:r w:rsidRPr="007712D4">
        <w:rPr>
          <w:b/>
          <w:i/>
        </w:rPr>
        <w:t>CTG supplier</w:t>
      </w:r>
      <w:r w:rsidRPr="007712D4">
        <w:t xml:space="preserve"> has the same meaning as </w:t>
      </w:r>
      <w:r w:rsidR="00C835B1" w:rsidRPr="007712D4">
        <w:t xml:space="preserve">in </w:t>
      </w:r>
      <w:r w:rsidRPr="007712D4">
        <w:t>the CTG Special Arrangement.</w:t>
      </w:r>
    </w:p>
    <w:p w14:paraId="21C83D86" w14:textId="77777777" w:rsidR="0017638D" w:rsidRPr="007712D4" w:rsidRDefault="00903B54" w:rsidP="0017638D">
      <w:pPr>
        <w:pStyle w:val="ItemHead"/>
      </w:pPr>
      <w:r w:rsidRPr="007712D4">
        <w:t>30</w:t>
      </w:r>
      <w:r w:rsidR="0017638D" w:rsidRPr="007712D4">
        <w:t xml:space="preserve">  At the end of </w:t>
      </w:r>
      <w:r w:rsidR="00401A8C" w:rsidRPr="007712D4">
        <w:t>subsection 1</w:t>
      </w:r>
      <w:r w:rsidR="00C835B1" w:rsidRPr="007712D4">
        <w:t>4</w:t>
      </w:r>
      <w:r w:rsidR="0017638D" w:rsidRPr="007712D4">
        <w:t>(1)</w:t>
      </w:r>
    </w:p>
    <w:p w14:paraId="19ED11D4" w14:textId="77777777" w:rsidR="0017638D" w:rsidRPr="007712D4" w:rsidRDefault="0017638D" w:rsidP="0017638D">
      <w:pPr>
        <w:pStyle w:val="Item"/>
      </w:pPr>
      <w:r w:rsidRPr="007712D4">
        <w:t>Add:</w:t>
      </w:r>
    </w:p>
    <w:p w14:paraId="36D1A4D1" w14:textId="77777777" w:rsidR="0017638D" w:rsidRPr="007712D4" w:rsidRDefault="0017638D" w:rsidP="0017638D">
      <w:pPr>
        <w:pStyle w:val="notetext"/>
      </w:pPr>
      <w:r w:rsidRPr="007712D4">
        <w:t>Note:</w:t>
      </w:r>
      <w:r w:rsidRPr="007712D4">
        <w:tab/>
        <w:t xml:space="preserve">However, see </w:t>
      </w:r>
      <w:r w:rsidR="00401A8C" w:rsidRPr="007712D4">
        <w:t>Part 6</w:t>
      </w:r>
      <w:r w:rsidR="00C835B1" w:rsidRPr="007712D4">
        <w:t>A</w:t>
      </w:r>
      <w:r w:rsidRPr="007712D4">
        <w:t xml:space="preserve"> in relation to the supply of a pharmaceutical benefit to a CTG registered patient by a CTG supplier.</w:t>
      </w:r>
    </w:p>
    <w:p w14:paraId="23ACC59C" w14:textId="77777777" w:rsidR="0017638D" w:rsidRPr="007712D4" w:rsidRDefault="00903B54" w:rsidP="0017638D">
      <w:pPr>
        <w:pStyle w:val="ItemHead"/>
      </w:pPr>
      <w:r w:rsidRPr="007712D4">
        <w:t>31</w:t>
      </w:r>
      <w:r w:rsidR="0017638D" w:rsidRPr="007712D4">
        <w:t xml:space="preserve">  At the end of </w:t>
      </w:r>
      <w:r w:rsidR="00401A8C" w:rsidRPr="007712D4">
        <w:t>subsection 1</w:t>
      </w:r>
      <w:r w:rsidR="0018646A" w:rsidRPr="007712D4">
        <w:t>5</w:t>
      </w:r>
      <w:r w:rsidR="0017638D" w:rsidRPr="007712D4">
        <w:t>(1)</w:t>
      </w:r>
    </w:p>
    <w:p w14:paraId="3625C9CA" w14:textId="77777777" w:rsidR="0017638D" w:rsidRPr="007712D4" w:rsidRDefault="0017638D" w:rsidP="0017638D">
      <w:pPr>
        <w:pStyle w:val="Item"/>
      </w:pPr>
      <w:r w:rsidRPr="007712D4">
        <w:t>Add:</w:t>
      </w:r>
    </w:p>
    <w:p w14:paraId="62BB153C" w14:textId="77777777" w:rsidR="0017638D" w:rsidRPr="007712D4" w:rsidRDefault="0017638D" w:rsidP="0017638D">
      <w:pPr>
        <w:pStyle w:val="notetext"/>
      </w:pPr>
      <w:r w:rsidRPr="007712D4">
        <w:lastRenderedPageBreak/>
        <w:t>Note:</w:t>
      </w:r>
      <w:r w:rsidRPr="007712D4">
        <w:tab/>
        <w:t xml:space="preserve">However, see </w:t>
      </w:r>
      <w:r w:rsidR="00401A8C" w:rsidRPr="007712D4">
        <w:t>Part 6</w:t>
      </w:r>
      <w:r w:rsidR="001626C5" w:rsidRPr="007712D4">
        <w:t>A</w:t>
      </w:r>
      <w:r w:rsidRPr="007712D4">
        <w:t xml:space="preserve"> in relation to the supply of a pharmaceutical benefit to a CTG registered patient by a CTG supplier.</w:t>
      </w:r>
    </w:p>
    <w:p w14:paraId="3E2A8A3F" w14:textId="77777777" w:rsidR="003D1775" w:rsidRPr="007712D4" w:rsidRDefault="00903B54" w:rsidP="003D1775">
      <w:pPr>
        <w:pStyle w:val="ItemHead"/>
      </w:pPr>
      <w:r w:rsidRPr="007712D4">
        <w:t>32</w:t>
      </w:r>
      <w:r w:rsidR="003D1775" w:rsidRPr="007712D4">
        <w:t xml:space="preserve">  At the end of </w:t>
      </w:r>
      <w:r w:rsidR="00401A8C" w:rsidRPr="007712D4">
        <w:t>subsection 2</w:t>
      </w:r>
      <w:r w:rsidR="003D1775" w:rsidRPr="007712D4">
        <w:t>3(1)</w:t>
      </w:r>
    </w:p>
    <w:p w14:paraId="01065880" w14:textId="77777777" w:rsidR="003D1775" w:rsidRPr="007712D4" w:rsidRDefault="003D1775" w:rsidP="003D1775">
      <w:pPr>
        <w:pStyle w:val="Item"/>
      </w:pPr>
      <w:r w:rsidRPr="007712D4">
        <w:t>Add:</w:t>
      </w:r>
    </w:p>
    <w:p w14:paraId="6B7DD028" w14:textId="77777777" w:rsidR="003D1775" w:rsidRPr="007712D4" w:rsidRDefault="003D1775" w:rsidP="0027374C">
      <w:pPr>
        <w:pStyle w:val="notetext"/>
      </w:pPr>
      <w:r w:rsidRPr="007712D4">
        <w:t>Note:</w:t>
      </w:r>
      <w:r w:rsidRPr="007712D4">
        <w:tab/>
        <w:t xml:space="preserve">However, see </w:t>
      </w:r>
      <w:r w:rsidR="00401A8C" w:rsidRPr="007712D4">
        <w:t>Part 6</w:t>
      </w:r>
      <w:r w:rsidRPr="007712D4">
        <w:t>A in relation to the supply of a pharmaceutical benefit to a CTG registered patient by a CTG supplier.</w:t>
      </w:r>
    </w:p>
    <w:p w14:paraId="54A78E6F" w14:textId="77777777" w:rsidR="0017638D" w:rsidRPr="007712D4" w:rsidRDefault="00903B54" w:rsidP="0017638D">
      <w:pPr>
        <w:pStyle w:val="ItemHead"/>
      </w:pPr>
      <w:r w:rsidRPr="007712D4">
        <w:t>33</w:t>
      </w:r>
      <w:r w:rsidR="0017638D" w:rsidRPr="007712D4">
        <w:t xml:space="preserve">  After </w:t>
      </w:r>
      <w:r w:rsidR="00401A8C" w:rsidRPr="007712D4">
        <w:t>Part 6</w:t>
      </w:r>
    </w:p>
    <w:p w14:paraId="3B10201A" w14:textId="77777777" w:rsidR="0017638D" w:rsidRPr="007712D4" w:rsidRDefault="0017638D" w:rsidP="0017638D">
      <w:pPr>
        <w:pStyle w:val="Item"/>
      </w:pPr>
      <w:r w:rsidRPr="007712D4">
        <w:t>Insert:</w:t>
      </w:r>
    </w:p>
    <w:p w14:paraId="74AC4EDF" w14:textId="77777777" w:rsidR="00E70DB8" w:rsidRPr="007712D4" w:rsidRDefault="00401A8C" w:rsidP="00E70DB8">
      <w:pPr>
        <w:pStyle w:val="ActHead2"/>
      </w:pPr>
      <w:bookmarkStart w:id="18" w:name="_Toc168584388"/>
      <w:r w:rsidRPr="00182579">
        <w:rPr>
          <w:rStyle w:val="CharPartNo"/>
        </w:rPr>
        <w:t>Part 6</w:t>
      </w:r>
      <w:r w:rsidR="0017638D" w:rsidRPr="00182579">
        <w:rPr>
          <w:rStyle w:val="CharPartNo"/>
        </w:rPr>
        <w:t>A</w:t>
      </w:r>
      <w:r w:rsidR="00E70DB8" w:rsidRPr="007712D4">
        <w:t>—</w:t>
      </w:r>
      <w:r w:rsidR="00E70DB8" w:rsidRPr="00182579">
        <w:rPr>
          <w:rStyle w:val="CharPartText"/>
        </w:rPr>
        <w:t>Supply to CTG registered patients by CTG suppliers</w:t>
      </w:r>
      <w:bookmarkEnd w:id="18"/>
    </w:p>
    <w:p w14:paraId="115AC184" w14:textId="77777777" w:rsidR="00E70DB8" w:rsidRPr="007712D4" w:rsidRDefault="00E70DB8" w:rsidP="00E70DB8">
      <w:pPr>
        <w:pStyle w:val="ActHead5"/>
      </w:pPr>
      <w:bookmarkStart w:id="19" w:name="_Toc168584389"/>
      <w:r w:rsidRPr="00182579">
        <w:rPr>
          <w:rStyle w:val="CharSectno"/>
        </w:rPr>
        <w:t>23</w:t>
      </w:r>
      <w:r w:rsidR="003C502C" w:rsidRPr="00182579">
        <w:rPr>
          <w:rStyle w:val="CharSectno"/>
        </w:rPr>
        <w:t>A</w:t>
      </w:r>
      <w:r w:rsidRPr="007712D4">
        <w:t xml:space="preserve">  Application of this Part</w:t>
      </w:r>
      <w:bookmarkEnd w:id="19"/>
    </w:p>
    <w:p w14:paraId="61BEAC35" w14:textId="77777777" w:rsidR="00E70DB8" w:rsidRPr="007712D4" w:rsidRDefault="00E70DB8" w:rsidP="00E70DB8">
      <w:pPr>
        <w:pStyle w:val="subsection"/>
      </w:pPr>
      <w:r w:rsidRPr="007712D4">
        <w:tab/>
      </w:r>
      <w:r w:rsidRPr="007712D4">
        <w:tab/>
        <w:t xml:space="preserve">This Part applies to a supply </w:t>
      </w:r>
      <w:r w:rsidR="00D60EDA" w:rsidRPr="007712D4">
        <w:t xml:space="preserve">(the </w:t>
      </w:r>
      <w:r w:rsidR="00D60EDA" w:rsidRPr="007712D4">
        <w:rPr>
          <w:b/>
          <w:i/>
        </w:rPr>
        <w:t>relevant supply</w:t>
      </w:r>
      <w:r w:rsidR="00D60EDA" w:rsidRPr="007712D4">
        <w:t xml:space="preserve">) </w:t>
      </w:r>
      <w:r w:rsidRPr="007712D4">
        <w:t>of a pharmaceutical benefit</w:t>
      </w:r>
      <w:r w:rsidR="00D60EDA" w:rsidRPr="007712D4">
        <w:t xml:space="preserve"> </w:t>
      </w:r>
      <w:r w:rsidRPr="007712D4">
        <w:t>under this Special Arrangement if the relevant supply is made:</w:t>
      </w:r>
    </w:p>
    <w:p w14:paraId="6AE1637D" w14:textId="77777777" w:rsidR="00E70DB8" w:rsidRPr="007712D4" w:rsidRDefault="00E70DB8" w:rsidP="00E70DB8">
      <w:pPr>
        <w:pStyle w:val="paragraph"/>
      </w:pPr>
      <w:r w:rsidRPr="007712D4">
        <w:tab/>
        <w:t>(a)</w:t>
      </w:r>
      <w:r w:rsidRPr="007712D4">
        <w:tab/>
        <w:t>to a</w:t>
      </w:r>
      <w:r w:rsidR="00644382" w:rsidRPr="007712D4">
        <w:t xml:space="preserve"> patient</w:t>
      </w:r>
      <w:r w:rsidRPr="007712D4">
        <w:t xml:space="preserve"> who is a CTG registered patient; and</w:t>
      </w:r>
    </w:p>
    <w:p w14:paraId="63B2A460" w14:textId="77777777" w:rsidR="00E70DB8" w:rsidRPr="007712D4" w:rsidRDefault="00E70DB8" w:rsidP="00E70DB8">
      <w:pPr>
        <w:pStyle w:val="paragraph"/>
      </w:pPr>
      <w:r w:rsidRPr="007712D4">
        <w:tab/>
        <w:t>(b)</w:t>
      </w:r>
      <w:r w:rsidRPr="007712D4">
        <w:tab/>
        <w:t>by</w:t>
      </w:r>
      <w:r w:rsidR="002A0FDF" w:rsidRPr="007712D4">
        <w:t xml:space="preserve"> an approved p</w:t>
      </w:r>
      <w:r w:rsidR="008A7D4C" w:rsidRPr="007712D4">
        <w:t>harmacist</w:t>
      </w:r>
      <w:r w:rsidR="002A0FDF" w:rsidRPr="007712D4">
        <w:t>, an approved medical practitioner</w:t>
      </w:r>
      <w:r w:rsidR="001436A4" w:rsidRPr="007712D4">
        <w:t xml:space="preserve"> or</w:t>
      </w:r>
      <w:r w:rsidR="002A0FDF" w:rsidRPr="007712D4">
        <w:t xml:space="preserve"> an approved </w:t>
      </w:r>
      <w:r w:rsidR="001436A4" w:rsidRPr="007712D4">
        <w:t>hospital</w:t>
      </w:r>
      <w:r w:rsidR="002A0FDF" w:rsidRPr="007712D4">
        <w:t xml:space="preserve"> </w:t>
      </w:r>
      <w:r w:rsidR="008A7D4C" w:rsidRPr="007712D4">
        <w:t>authorit</w:t>
      </w:r>
      <w:r w:rsidR="00097996" w:rsidRPr="007712D4">
        <w:t>y</w:t>
      </w:r>
      <w:r w:rsidR="001436A4" w:rsidRPr="007712D4">
        <w:t xml:space="preserve"> </w:t>
      </w:r>
      <w:r w:rsidRPr="007712D4">
        <w:t>who is a CTG supplier.</w:t>
      </w:r>
    </w:p>
    <w:p w14:paraId="5758DB5A" w14:textId="77777777" w:rsidR="00E70DB8" w:rsidRPr="007712D4" w:rsidRDefault="00E70DB8" w:rsidP="0095077C">
      <w:pPr>
        <w:pStyle w:val="ActHead5"/>
      </w:pPr>
      <w:bookmarkStart w:id="20" w:name="_Toc168584390"/>
      <w:r w:rsidRPr="00182579">
        <w:rPr>
          <w:rStyle w:val="CharSectno"/>
        </w:rPr>
        <w:t>2</w:t>
      </w:r>
      <w:r w:rsidR="003C502C" w:rsidRPr="00182579">
        <w:rPr>
          <w:rStyle w:val="CharSectno"/>
        </w:rPr>
        <w:t>3B</w:t>
      </w:r>
      <w:r w:rsidRPr="007712D4">
        <w:t xml:space="preserve">  Application of the CTG Special Arrangement</w:t>
      </w:r>
      <w:r w:rsidR="0095077C" w:rsidRPr="007712D4">
        <w:t>—co</w:t>
      </w:r>
      <w:r w:rsidR="007712D4">
        <w:noBreakHyphen/>
      </w:r>
      <w:r w:rsidR="0095077C" w:rsidRPr="007712D4">
        <w:t>payment and payment etc.</w:t>
      </w:r>
      <w:bookmarkEnd w:id="20"/>
    </w:p>
    <w:p w14:paraId="06E3FBCB" w14:textId="77777777" w:rsidR="00E70DB8" w:rsidRPr="007712D4" w:rsidRDefault="00E70DB8" w:rsidP="00E70DB8">
      <w:pPr>
        <w:pStyle w:val="subsection"/>
      </w:pPr>
      <w:r w:rsidRPr="007712D4">
        <w:tab/>
        <w:t>(1)</w:t>
      </w:r>
      <w:r w:rsidRPr="007712D4">
        <w:tab/>
        <w:t>Despite sections 1</w:t>
      </w:r>
      <w:r w:rsidR="001436A4" w:rsidRPr="007712D4">
        <w:t>4</w:t>
      </w:r>
      <w:r w:rsidRPr="007712D4">
        <w:t>, 1</w:t>
      </w:r>
      <w:r w:rsidR="001436A4" w:rsidRPr="007712D4">
        <w:t>5, and 23</w:t>
      </w:r>
      <w:r w:rsidRPr="007712D4">
        <w:t xml:space="preserve"> of this Special Arrangement, </w:t>
      </w:r>
      <w:r w:rsidR="0028668B" w:rsidRPr="007712D4">
        <w:t>subsections 1</w:t>
      </w:r>
      <w:r w:rsidRPr="007712D4">
        <w:t>1</w:t>
      </w:r>
      <w:r w:rsidR="00E01C86" w:rsidRPr="007712D4">
        <w:t>(</w:t>
      </w:r>
      <w:r w:rsidR="00236CEB" w:rsidRPr="007712D4">
        <w:t>1), (2), (3)</w:t>
      </w:r>
      <w:r w:rsidR="0039710C" w:rsidRPr="007712D4">
        <w:t xml:space="preserve">, </w:t>
      </w:r>
      <w:r w:rsidR="00236CEB" w:rsidRPr="007712D4">
        <w:t>(3E)</w:t>
      </w:r>
      <w:r w:rsidRPr="007712D4">
        <w:t xml:space="preserve"> </w:t>
      </w:r>
      <w:r w:rsidR="0039710C" w:rsidRPr="007712D4">
        <w:t xml:space="preserve">and (4) </w:t>
      </w:r>
      <w:r w:rsidRPr="007712D4">
        <w:t>(co</w:t>
      </w:r>
      <w:r w:rsidR="007712D4">
        <w:noBreakHyphen/>
      </w:r>
      <w:r w:rsidRPr="007712D4">
        <w:t xml:space="preserve">payment reduction etc.) and </w:t>
      </w:r>
      <w:r w:rsidR="00401A8C" w:rsidRPr="007712D4">
        <w:t>section 1</w:t>
      </w:r>
      <w:r w:rsidRPr="007712D4">
        <w:t xml:space="preserve">3 (payment by Commonwealth) of the CTG Special Arrangement apply in relation to the relevant supply under this Special Arrangement with the modification set out in </w:t>
      </w:r>
      <w:r w:rsidR="00401A8C" w:rsidRPr="007712D4">
        <w:t>subsection (</w:t>
      </w:r>
      <w:r w:rsidRPr="007712D4">
        <w:t>2)</w:t>
      </w:r>
      <w:r w:rsidR="003264E5" w:rsidRPr="007712D4">
        <w:t xml:space="preserve"> of this section</w:t>
      </w:r>
      <w:r w:rsidRPr="007712D4">
        <w:t>.</w:t>
      </w:r>
    </w:p>
    <w:p w14:paraId="733F4407" w14:textId="77777777" w:rsidR="00E70DB8" w:rsidRPr="007712D4" w:rsidRDefault="00E70DB8" w:rsidP="00E70DB8">
      <w:pPr>
        <w:pStyle w:val="subsection"/>
      </w:pPr>
      <w:r w:rsidRPr="007712D4">
        <w:tab/>
        <w:t>(2)</w:t>
      </w:r>
      <w:r w:rsidRPr="007712D4">
        <w:tab/>
        <w:t>A reference in the CTG Special Arrangement to a supply of a pharmaceutical benefit under the CTG Special Arrangement is taken to be a reference to the relevant supply under this Special Arrangement.</w:t>
      </w:r>
    </w:p>
    <w:p w14:paraId="5D21C3F7" w14:textId="77777777" w:rsidR="00E70DB8" w:rsidRPr="007712D4" w:rsidRDefault="00E70DB8" w:rsidP="00E70DB8">
      <w:pPr>
        <w:pStyle w:val="subsection"/>
      </w:pPr>
      <w:r w:rsidRPr="007712D4">
        <w:tab/>
        <w:t>(3)</w:t>
      </w:r>
      <w:r w:rsidRPr="007712D4">
        <w:tab/>
        <w:t xml:space="preserve">However, the notes to </w:t>
      </w:r>
      <w:r w:rsidR="0028668B" w:rsidRPr="007712D4">
        <w:t>subsections 1</w:t>
      </w:r>
      <w:r w:rsidRPr="007712D4">
        <w:t xml:space="preserve">1(2) and (3) of the CTG Special Arrangement </w:t>
      </w:r>
      <w:r w:rsidR="00CF0BA0" w:rsidRPr="007712D4">
        <w:t>d</w:t>
      </w:r>
      <w:r w:rsidRPr="007712D4">
        <w:t>o not apply in relation to the relevant supply under this Special Arrangement.</w:t>
      </w:r>
    </w:p>
    <w:p w14:paraId="7367CBA5" w14:textId="77777777" w:rsidR="00E70DB8" w:rsidRPr="007712D4" w:rsidRDefault="00E70DB8" w:rsidP="00E70DB8">
      <w:pPr>
        <w:pStyle w:val="notetext"/>
        <w:rPr>
          <w:i/>
        </w:rPr>
      </w:pPr>
      <w:r w:rsidRPr="007712D4">
        <w:t>Note:</w:t>
      </w:r>
      <w:r w:rsidRPr="007712D4">
        <w:tab/>
        <w:t xml:space="preserve">The notes to </w:t>
      </w:r>
      <w:r w:rsidR="0028668B" w:rsidRPr="007712D4">
        <w:t>subsections 1</w:t>
      </w:r>
      <w:r w:rsidRPr="007712D4">
        <w:t xml:space="preserve">1(2) and (3) of the CTG Special Arrangement relate to CTG suppliers making claims for payment under the CTG Special Arrangement. Claims for payment in relation to the relevant supply under this Special Arrangement are instead dealt with under </w:t>
      </w:r>
      <w:r w:rsidR="00401A8C" w:rsidRPr="007712D4">
        <w:t>section 2</w:t>
      </w:r>
      <w:r w:rsidR="003C502C" w:rsidRPr="007712D4">
        <w:t>3C</w:t>
      </w:r>
      <w:r w:rsidRPr="007712D4">
        <w:t xml:space="preserve"> of this Special Arrangement.</w:t>
      </w:r>
    </w:p>
    <w:p w14:paraId="6FFC6EE0" w14:textId="77777777" w:rsidR="00E70DB8" w:rsidRPr="007712D4" w:rsidRDefault="00E70DB8" w:rsidP="00E70DB8">
      <w:pPr>
        <w:pStyle w:val="ActHead5"/>
      </w:pPr>
      <w:bookmarkStart w:id="21" w:name="_Toc168584391"/>
      <w:r w:rsidRPr="00182579">
        <w:rPr>
          <w:rStyle w:val="CharSectno"/>
        </w:rPr>
        <w:t>2</w:t>
      </w:r>
      <w:r w:rsidR="003C502C" w:rsidRPr="00182579">
        <w:rPr>
          <w:rStyle w:val="CharSectno"/>
        </w:rPr>
        <w:t>3C</w:t>
      </w:r>
      <w:r w:rsidRPr="007712D4">
        <w:t xml:space="preserve">  Claim for payment</w:t>
      </w:r>
      <w:bookmarkEnd w:id="21"/>
    </w:p>
    <w:p w14:paraId="423683FB" w14:textId="77777777" w:rsidR="00E70DB8" w:rsidRPr="007712D4" w:rsidRDefault="00E70DB8" w:rsidP="00E70DB8">
      <w:pPr>
        <w:pStyle w:val="subsection"/>
      </w:pPr>
      <w:r w:rsidRPr="007712D4">
        <w:tab/>
        <w:t>(1)</w:t>
      </w:r>
      <w:r w:rsidRPr="007712D4">
        <w:tab/>
      </w:r>
      <w:r w:rsidR="00934D59" w:rsidRPr="007712D4">
        <w:t>I</w:t>
      </w:r>
      <w:r w:rsidRPr="007712D4">
        <w:t xml:space="preserve">f </w:t>
      </w:r>
      <w:r w:rsidR="00C77FF0" w:rsidRPr="007712D4">
        <w:t>an approved pharmacist, an approved medical practitioner or an approved hospital authority</w:t>
      </w:r>
      <w:r w:rsidR="00E03D21" w:rsidRPr="007712D4">
        <w:t xml:space="preserve"> </w:t>
      </w:r>
      <w:r w:rsidRPr="007712D4">
        <w:t>who is a CTG supplier</w:t>
      </w:r>
      <w:r w:rsidR="00E03D21" w:rsidRPr="007712D4">
        <w:t>,</w:t>
      </w:r>
      <w:r w:rsidRPr="007712D4">
        <w:t xml:space="preserve"> wants to receive payment from the Commonwealth in relation to the relevant supply under this Special Arrangement, the </w:t>
      </w:r>
      <w:r w:rsidR="00E03D21" w:rsidRPr="007712D4">
        <w:t>pharmacist, medical practitioner or hospital authority</w:t>
      </w:r>
      <w:r w:rsidRPr="007712D4">
        <w:t xml:space="preserve"> must make a claim for payment to the Chief Executive Medicare on behalf of the Secretary.</w:t>
      </w:r>
    </w:p>
    <w:p w14:paraId="407210B8" w14:textId="77777777" w:rsidR="00E70DB8" w:rsidRPr="007712D4" w:rsidRDefault="00E70DB8" w:rsidP="00E70DB8">
      <w:pPr>
        <w:pStyle w:val="subsection"/>
      </w:pPr>
      <w:r w:rsidRPr="007712D4">
        <w:lastRenderedPageBreak/>
        <w:tab/>
        <w:t>(2)</w:t>
      </w:r>
      <w:r w:rsidRPr="007712D4">
        <w:tab/>
        <w:t xml:space="preserve">The claim must be made in accordance with the rules made under </w:t>
      </w:r>
      <w:r w:rsidR="00401A8C" w:rsidRPr="007712D4">
        <w:t>subsections 9</w:t>
      </w:r>
      <w:r w:rsidRPr="007712D4">
        <w:t xml:space="preserve">8AC(4) and 99AAA(8) of the Act with the modification </w:t>
      </w:r>
      <w:r w:rsidR="009075D0" w:rsidRPr="007712D4">
        <w:t xml:space="preserve">set out </w:t>
      </w:r>
      <w:r w:rsidRPr="007712D4">
        <w:t xml:space="preserve">in </w:t>
      </w:r>
      <w:r w:rsidR="00401A8C" w:rsidRPr="007712D4">
        <w:t>subsection (</w:t>
      </w:r>
      <w:r w:rsidRPr="007712D4">
        <w:t>3)</w:t>
      </w:r>
      <w:r w:rsidR="009075D0" w:rsidRPr="007712D4">
        <w:t xml:space="preserve"> of this section</w:t>
      </w:r>
      <w:r w:rsidRPr="007712D4">
        <w:t>.</w:t>
      </w:r>
    </w:p>
    <w:p w14:paraId="72F84931" w14:textId="77777777" w:rsidR="00AC1296" w:rsidRPr="007712D4" w:rsidRDefault="00E70DB8" w:rsidP="00A932F0">
      <w:pPr>
        <w:pStyle w:val="subsection"/>
      </w:pPr>
      <w:r w:rsidRPr="007712D4">
        <w:tab/>
        <w:t>(3)</w:t>
      </w:r>
      <w:r w:rsidRPr="007712D4">
        <w:tab/>
        <w:t xml:space="preserve">A claim for payment made using the manual system </w:t>
      </w:r>
      <w:r w:rsidR="00A905CF" w:rsidRPr="007712D4">
        <w:t>referred to in section 99AAA of the Act</w:t>
      </w:r>
      <w:r w:rsidR="004A481B" w:rsidRPr="007712D4">
        <w:t xml:space="preserve"> </w:t>
      </w:r>
      <w:r w:rsidRPr="007712D4">
        <w:t>must include an indicator that the patient is a CTG registered patient.</w:t>
      </w:r>
    </w:p>
    <w:p w14:paraId="3A1CE1A6" w14:textId="77777777" w:rsidR="0050456C" w:rsidRPr="007712D4" w:rsidRDefault="0050456C" w:rsidP="0050456C">
      <w:pPr>
        <w:pStyle w:val="ActHead9"/>
      </w:pPr>
      <w:bookmarkStart w:id="22" w:name="_Toc168584392"/>
      <w:r w:rsidRPr="007712D4">
        <w:t xml:space="preserve">National </w:t>
      </w:r>
      <w:r w:rsidR="00FD6844" w:rsidRPr="007712D4">
        <w:t>Health (Highly Specialised Drugs Program) Special Arrangement 2021</w:t>
      </w:r>
      <w:bookmarkEnd w:id="22"/>
    </w:p>
    <w:p w14:paraId="01097919" w14:textId="77777777" w:rsidR="003409BC" w:rsidRPr="007712D4" w:rsidRDefault="00903B54" w:rsidP="003409BC">
      <w:pPr>
        <w:pStyle w:val="ItemHead"/>
      </w:pPr>
      <w:r w:rsidRPr="007712D4">
        <w:t>34</w:t>
      </w:r>
      <w:r w:rsidR="003409BC" w:rsidRPr="007712D4">
        <w:t xml:space="preserve">  </w:t>
      </w:r>
      <w:r w:rsidR="00401A8C" w:rsidRPr="007712D4">
        <w:t>Section </w:t>
      </w:r>
      <w:r w:rsidR="00AF2734" w:rsidRPr="007712D4">
        <w:t>6</w:t>
      </w:r>
    </w:p>
    <w:p w14:paraId="637754C0" w14:textId="77777777" w:rsidR="003409BC" w:rsidRPr="007712D4" w:rsidRDefault="003409BC" w:rsidP="003409BC">
      <w:pPr>
        <w:pStyle w:val="Item"/>
      </w:pPr>
      <w:r w:rsidRPr="007712D4">
        <w:t>Insert:</w:t>
      </w:r>
    </w:p>
    <w:p w14:paraId="73FB2B15" w14:textId="77777777" w:rsidR="003409BC" w:rsidRPr="007712D4" w:rsidRDefault="003409BC" w:rsidP="003409BC">
      <w:pPr>
        <w:pStyle w:val="Definition"/>
        <w:rPr>
          <w:i/>
        </w:rPr>
      </w:pPr>
      <w:r w:rsidRPr="007712D4">
        <w:rPr>
          <w:b/>
          <w:i/>
        </w:rPr>
        <w:t>CTG registered patient</w:t>
      </w:r>
      <w:r w:rsidRPr="007712D4">
        <w:t xml:space="preserve"> means a patient registered under </w:t>
      </w:r>
      <w:r w:rsidR="00401A8C" w:rsidRPr="007712D4">
        <w:t>subsection 1</w:t>
      </w:r>
      <w:r w:rsidRPr="007712D4">
        <w:t>0(2) of the CTG Special Arrangement.</w:t>
      </w:r>
    </w:p>
    <w:p w14:paraId="05B0A810" w14:textId="77777777" w:rsidR="003409BC" w:rsidRPr="007712D4" w:rsidRDefault="003409BC" w:rsidP="003409BC">
      <w:pPr>
        <w:pStyle w:val="Definition"/>
      </w:pPr>
      <w:r w:rsidRPr="007712D4">
        <w:rPr>
          <w:b/>
          <w:i/>
        </w:rPr>
        <w:t>CTG Special Arrangement</w:t>
      </w:r>
      <w:r w:rsidRPr="007712D4">
        <w:t xml:space="preserve"> means the </w:t>
      </w:r>
      <w:r w:rsidRPr="007712D4">
        <w:rPr>
          <w:i/>
        </w:rPr>
        <w:t>National Health (Closing the Gap – PBS Co</w:t>
      </w:r>
      <w:r w:rsidR="007712D4">
        <w:rPr>
          <w:i/>
        </w:rPr>
        <w:noBreakHyphen/>
      </w:r>
      <w:r w:rsidRPr="007712D4">
        <w:rPr>
          <w:i/>
        </w:rPr>
        <w:t>payment Program) Special Arrangement 2016</w:t>
      </w:r>
      <w:r w:rsidRPr="00681495">
        <w:t>.</w:t>
      </w:r>
    </w:p>
    <w:p w14:paraId="652C22C9" w14:textId="77777777" w:rsidR="00F352CB" w:rsidRPr="007712D4" w:rsidRDefault="003409BC" w:rsidP="00A932F0">
      <w:pPr>
        <w:pStyle w:val="Definition"/>
      </w:pPr>
      <w:r w:rsidRPr="007712D4">
        <w:rPr>
          <w:b/>
          <w:i/>
        </w:rPr>
        <w:t>CTG supplier</w:t>
      </w:r>
      <w:r w:rsidRPr="007712D4">
        <w:t xml:space="preserve"> has the same meaning as in the CTG Special Arrangement.</w:t>
      </w:r>
    </w:p>
    <w:p w14:paraId="693F62F7" w14:textId="77777777" w:rsidR="00B15054" w:rsidRPr="007712D4" w:rsidRDefault="00903B54" w:rsidP="00B15054">
      <w:pPr>
        <w:pStyle w:val="ItemHead"/>
      </w:pPr>
      <w:r w:rsidRPr="007712D4">
        <w:t>35</w:t>
      </w:r>
      <w:r w:rsidR="00B15054" w:rsidRPr="007712D4">
        <w:t xml:space="preserve">  </w:t>
      </w:r>
      <w:r w:rsidR="00401A8C" w:rsidRPr="007712D4">
        <w:t>Subsection 2</w:t>
      </w:r>
      <w:r w:rsidR="00B15054" w:rsidRPr="007712D4">
        <w:t>8(1) (note)</w:t>
      </w:r>
    </w:p>
    <w:p w14:paraId="3FC497CA" w14:textId="77777777" w:rsidR="00B15054" w:rsidRPr="007712D4" w:rsidRDefault="00B15054" w:rsidP="00B15054">
      <w:pPr>
        <w:pStyle w:val="Item"/>
      </w:pPr>
      <w:r w:rsidRPr="007712D4">
        <w:t>Omit “Note”, substitute “Note 1”.</w:t>
      </w:r>
    </w:p>
    <w:p w14:paraId="73FFF619" w14:textId="77777777" w:rsidR="00B15054" w:rsidRPr="007712D4" w:rsidRDefault="00903B54" w:rsidP="00B15054">
      <w:pPr>
        <w:pStyle w:val="ItemHead"/>
      </w:pPr>
      <w:r w:rsidRPr="007712D4">
        <w:t>36</w:t>
      </w:r>
      <w:r w:rsidR="002E5A27" w:rsidRPr="007712D4">
        <w:t xml:space="preserve">  At the end of </w:t>
      </w:r>
      <w:r w:rsidR="00401A8C" w:rsidRPr="007712D4">
        <w:t>subsection 2</w:t>
      </w:r>
      <w:r w:rsidR="002E5A27" w:rsidRPr="007712D4">
        <w:t>8(1)</w:t>
      </w:r>
    </w:p>
    <w:p w14:paraId="3D91157E" w14:textId="77777777" w:rsidR="002E5A27" w:rsidRPr="007712D4" w:rsidRDefault="002E5A27" w:rsidP="002E5A27">
      <w:pPr>
        <w:pStyle w:val="Item"/>
      </w:pPr>
      <w:r w:rsidRPr="007712D4">
        <w:t>Add:</w:t>
      </w:r>
    </w:p>
    <w:p w14:paraId="01F258B8" w14:textId="77777777" w:rsidR="002E5A27" w:rsidRPr="007712D4" w:rsidRDefault="002E5A27" w:rsidP="002E5A27">
      <w:pPr>
        <w:pStyle w:val="notetext"/>
      </w:pPr>
      <w:r w:rsidRPr="007712D4">
        <w:t>Note 2:</w:t>
      </w:r>
      <w:r w:rsidRPr="007712D4">
        <w:tab/>
        <w:t xml:space="preserve">However, see </w:t>
      </w:r>
      <w:r w:rsidR="00401A8C" w:rsidRPr="007712D4">
        <w:t>Part 3</w:t>
      </w:r>
      <w:r w:rsidR="00B45712" w:rsidRPr="007712D4">
        <w:t xml:space="preserve">A </w:t>
      </w:r>
      <w:r w:rsidRPr="007712D4">
        <w:t>in relation t</w:t>
      </w:r>
      <w:r w:rsidR="00B45712" w:rsidRPr="007712D4">
        <w:t xml:space="preserve">o a special arrangement supply of an HSD </w:t>
      </w:r>
      <w:r w:rsidR="00684311" w:rsidRPr="007712D4">
        <w:t>pharmaceutical</w:t>
      </w:r>
      <w:r w:rsidR="00B45712" w:rsidRPr="007712D4">
        <w:t xml:space="preserve"> benefit</w:t>
      </w:r>
      <w:r w:rsidRPr="007712D4">
        <w:t xml:space="preserve"> to a CTG registered patient by a CTG supplier.</w:t>
      </w:r>
    </w:p>
    <w:p w14:paraId="49424B6F" w14:textId="77777777" w:rsidR="00A94A7B" w:rsidRPr="007712D4" w:rsidRDefault="00903B54" w:rsidP="00A94A7B">
      <w:pPr>
        <w:pStyle w:val="ItemHead"/>
      </w:pPr>
      <w:r w:rsidRPr="007712D4">
        <w:t>37</w:t>
      </w:r>
      <w:r w:rsidR="00A94A7B" w:rsidRPr="007712D4">
        <w:t xml:space="preserve">  At the end of </w:t>
      </w:r>
      <w:r w:rsidR="0028668B" w:rsidRPr="007712D4">
        <w:t>subsection 3</w:t>
      </w:r>
      <w:r w:rsidR="00A94A7B" w:rsidRPr="007712D4">
        <w:t>0(1)</w:t>
      </w:r>
    </w:p>
    <w:p w14:paraId="0F54AAD6" w14:textId="77777777" w:rsidR="00A94A7B" w:rsidRPr="007712D4" w:rsidRDefault="00A94A7B" w:rsidP="00A94A7B">
      <w:pPr>
        <w:pStyle w:val="Item"/>
      </w:pPr>
      <w:r w:rsidRPr="007712D4">
        <w:t>Add:</w:t>
      </w:r>
    </w:p>
    <w:p w14:paraId="3E2A7F20" w14:textId="77777777" w:rsidR="002850E9" w:rsidRPr="007712D4" w:rsidRDefault="00A94A7B" w:rsidP="002E5A27">
      <w:pPr>
        <w:pStyle w:val="notetext"/>
      </w:pPr>
      <w:r w:rsidRPr="007712D4">
        <w:t>Note:</w:t>
      </w:r>
      <w:r w:rsidRPr="007712D4">
        <w:tab/>
        <w:t xml:space="preserve">However, see </w:t>
      </w:r>
      <w:r w:rsidR="00401A8C" w:rsidRPr="007712D4">
        <w:t>Part 3</w:t>
      </w:r>
      <w:r w:rsidRPr="007712D4">
        <w:t>A in relation to a special arrangement supply of an HSD</w:t>
      </w:r>
      <w:r w:rsidR="00DF0971" w:rsidRPr="007712D4">
        <w:t xml:space="preserve"> </w:t>
      </w:r>
      <w:r w:rsidRPr="007712D4">
        <w:t>pharmaceutical benefit to a CTG registered patient by a CTG supplier.</w:t>
      </w:r>
    </w:p>
    <w:p w14:paraId="7F5BCEFB" w14:textId="77777777" w:rsidR="00DF0971" w:rsidRPr="007712D4" w:rsidRDefault="00903B54" w:rsidP="00DF0971">
      <w:pPr>
        <w:pStyle w:val="ItemHead"/>
      </w:pPr>
      <w:r w:rsidRPr="007712D4">
        <w:t>38</w:t>
      </w:r>
      <w:r w:rsidR="00DF0971" w:rsidRPr="007712D4">
        <w:t xml:space="preserve">  </w:t>
      </w:r>
      <w:r w:rsidR="00401A8C" w:rsidRPr="007712D4">
        <w:t>Subsection 3</w:t>
      </w:r>
      <w:r w:rsidR="00336E52" w:rsidRPr="007712D4">
        <w:t>1</w:t>
      </w:r>
      <w:r w:rsidR="00DF0971" w:rsidRPr="007712D4">
        <w:t>(1) (note)</w:t>
      </w:r>
    </w:p>
    <w:p w14:paraId="002063A8" w14:textId="77777777" w:rsidR="00DF0971" w:rsidRPr="007712D4" w:rsidRDefault="00DF0971" w:rsidP="00DF0971">
      <w:pPr>
        <w:pStyle w:val="Item"/>
      </w:pPr>
      <w:r w:rsidRPr="007712D4">
        <w:t>Omit “Note”, substitute “Note 1”.</w:t>
      </w:r>
    </w:p>
    <w:p w14:paraId="759BC9DE" w14:textId="77777777" w:rsidR="00DF0971" w:rsidRPr="007712D4" w:rsidRDefault="00903B54" w:rsidP="00DF0971">
      <w:pPr>
        <w:pStyle w:val="ItemHead"/>
      </w:pPr>
      <w:r w:rsidRPr="007712D4">
        <w:t>39</w:t>
      </w:r>
      <w:r w:rsidR="00DF0971" w:rsidRPr="007712D4">
        <w:t xml:space="preserve">  At the end of </w:t>
      </w:r>
      <w:r w:rsidR="0028668B" w:rsidRPr="007712D4">
        <w:t>subsection 3</w:t>
      </w:r>
      <w:r w:rsidR="00336E52" w:rsidRPr="007712D4">
        <w:t>1</w:t>
      </w:r>
      <w:r w:rsidR="00DF0971" w:rsidRPr="007712D4">
        <w:t>(1)</w:t>
      </w:r>
    </w:p>
    <w:p w14:paraId="749C3F6F" w14:textId="77777777" w:rsidR="00DF0971" w:rsidRPr="007712D4" w:rsidRDefault="00DF0971" w:rsidP="00DF0971">
      <w:pPr>
        <w:pStyle w:val="Item"/>
      </w:pPr>
      <w:r w:rsidRPr="007712D4">
        <w:t>Add:</w:t>
      </w:r>
    </w:p>
    <w:p w14:paraId="293A823B" w14:textId="77777777" w:rsidR="00DF0971" w:rsidRPr="007712D4" w:rsidRDefault="00DF0971" w:rsidP="00DF0971">
      <w:pPr>
        <w:pStyle w:val="notetext"/>
      </w:pPr>
      <w:r w:rsidRPr="007712D4">
        <w:t>Note 2:</w:t>
      </w:r>
      <w:r w:rsidRPr="007712D4">
        <w:tab/>
        <w:t xml:space="preserve">However, see </w:t>
      </w:r>
      <w:r w:rsidR="00401A8C" w:rsidRPr="007712D4">
        <w:t>Part 3</w:t>
      </w:r>
      <w:r w:rsidRPr="007712D4">
        <w:t>A in relation to a special arrangement supply of an HSD pharmaceutical benefit to a CTG registered patient by a CTG supplier.</w:t>
      </w:r>
    </w:p>
    <w:p w14:paraId="44A2E37B" w14:textId="77777777" w:rsidR="00DF0971" w:rsidRPr="007712D4" w:rsidRDefault="00903B54" w:rsidP="009659F6">
      <w:pPr>
        <w:pStyle w:val="ItemHead"/>
      </w:pPr>
      <w:r w:rsidRPr="007712D4">
        <w:t>40</w:t>
      </w:r>
      <w:r w:rsidR="009659F6" w:rsidRPr="007712D4">
        <w:t xml:space="preserve">  </w:t>
      </w:r>
      <w:r w:rsidR="00663B29" w:rsidRPr="007712D4">
        <w:t xml:space="preserve">After </w:t>
      </w:r>
      <w:r w:rsidR="00401A8C" w:rsidRPr="007712D4">
        <w:t>Part 3</w:t>
      </w:r>
    </w:p>
    <w:p w14:paraId="37FDBB8D" w14:textId="77777777" w:rsidR="00663B29" w:rsidRPr="007712D4" w:rsidRDefault="00663B29" w:rsidP="00663B29">
      <w:pPr>
        <w:pStyle w:val="Item"/>
      </w:pPr>
      <w:r w:rsidRPr="007712D4">
        <w:t>Insert</w:t>
      </w:r>
      <w:r w:rsidR="00C000E1" w:rsidRPr="007712D4">
        <w:t>:</w:t>
      </w:r>
    </w:p>
    <w:p w14:paraId="1C10F035" w14:textId="77777777" w:rsidR="00663B29" w:rsidRPr="007712D4" w:rsidRDefault="00401A8C" w:rsidP="00663B29">
      <w:pPr>
        <w:pStyle w:val="ActHead2"/>
      </w:pPr>
      <w:bookmarkStart w:id="23" w:name="_Toc168584393"/>
      <w:r w:rsidRPr="00182579">
        <w:rPr>
          <w:rStyle w:val="CharPartNo"/>
        </w:rPr>
        <w:lastRenderedPageBreak/>
        <w:t>Part 3</w:t>
      </w:r>
      <w:r w:rsidR="00663B29" w:rsidRPr="00182579">
        <w:rPr>
          <w:rStyle w:val="CharPartNo"/>
        </w:rPr>
        <w:t>A</w:t>
      </w:r>
      <w:r w:rsidR="00663B29" w:rsidRPr="007712D4">
        <w:t>—</w:t>
      </w:r>
      <w:r w:rsidR="00663B29" w:rsidRPr="00182579">
        <w:rPr>
          <w:rStyle w:val="CharPartText"/>
        </w:rPr>
        <w:t>Supply to CTG registered patients by CTG suppliers</w:t>
      </w:r>
      <w:bookmarkEnd w:id="23"/>
    </w:p>
    <w:p w14:paraId="50DBEEE1" w14:textId="77777777" w:rsidR="00663B29" w:rsidRPr="007712D4" w:rsidRDefault="00663B29" w:rsidP="00663B29">
      <w:pPr>
        <w:pStyle w:val="ActHead5"/>
      </w:pPr>
      <w:bookmarkStart w:id="24" w:name="_Toc168584394"/>
      <w:r w:rsidRPr="00182579">
        <w:rPr>
          <w:rStyle w:val="CharSectno"/>
        </w:rPr>
        <w:t>34A</w:t>
      </w:r>
      <w:r w:rsidRPr="007712D4">
        <w:t xml:space="preserve">  Application of this Part</w:t>
      </w:r>
      <w:bookmarkEnd w:id="24"/>
    </w:p>
    <w:p w14:paraId="20680E79" w14:textId="77777777" w:rsidR="00663B29" w:rsidRPr="007712D4" w:rsidRDefault="00663B29" w:rsidP="00663B29">
      <w:pPr>
        <w:pStyle w:val="subsection"/>
      </w:pPr>
      <w:r w:rsidRPr="007712D4">
        <w:tab/>
      </w:r>
      <w:r w:rsidRPr="007712D4">
        <w:tab/>
        <w:t xml:space="preserve">This Part applies to a special arrangement supply </w:t>
      </w:r>
      <w:r w:rsidR="00AA0147" w:rsidRPr="007712D4">
        <w:t xml:space="preserve">(the </w:t>
      </w:r>
      <w:r w:rsidR="00AA0147" w:rsidRPr="007712D4">
        <w:rPr>
          <w:b/>
          <w:i/>
        </w:rPr>
        <w:t>relevant supply</w:t>
      </w:r>
      <w:r w:rsidR="00AA0147" w:rsidRPr="007712D4">
        <w:t xml:space="preserve">) </w:t>
      </w:r>
      <w:r w:rsidRPr="007712D4">
        <w:t>of an HSD pharmaceutical benefit under this Special Arrangement if the relevant supply is made:</w:t>
      </w:r>
    </w:p>
    <w:p w14:paraId="52FFFE8A" w14:textId="77777777" w:rsidR="00663B29" w:rsidRPr="007712D4" w:rsidRDefault="00663B29" w:rsidP="00663B29">
      <w:pPr>
        <w:pStyle w:val="paragraph"/>
      </w:pPr>
      <w:r w:rsidRPr="007712D4">
        <w:tab/>
        <w:t>(a)</w:t>
      </w:r>
      <w:r w:rsidRPr="007712D4">
        <w:tab/>
        <w:t>to a</w:t>
      </w:r>
      <w:r w:rsidR="00987A52" w:rsidRPr="007712D4">
        <w:t>n eligible patient</w:t>
      </w:r>
      <w:r w:rsidRPr="007712D4">
        <w:t xml:space="preserve"> who is a CTG registered patient; and</w:t>
      </w:r>
    </w:p>
    <w:p w14:paraId="41D4D205" w14:textId="77777777" w:rsidR="00663B29" w:rsidRPr="007712D4" w:rsidRDefault="00663B29" w:rsidP="00663B29">
      <w:pPr>
        <w:pStyle w:val="paragraph"/>
      </w:pPr>
      <w:r w:rsidRPr="007712D4">
        <w:tab/>
        <w:t>(b)</w:t>
      </w:r>
      <w:r w:rsidRPr="007712D4">
        <w:tab/>
        <w:t xml:space="preserve">by an approved </w:t>
      </w:r>
      <w:r w:rsidR="000B7439" w:rsidRPr="007712D4">
        <w:t>supplier</w:t>
      </w:r>
      <w:r w:rsidRPr="007712D4">
        <w:t xml:space="preserve"> who is a CTG supplier.</w:t>
      </w:r>
    </w:p>
    <w:p w14:paraId="1C89D426" w14:textId="77777777" w:rsidR="00663B29" w:rsidRPr="007712D4" w:rsidRDefault="00663B29" w:rsidP="007B7B7C">
      <w:pPr>
        <w:pStyle w:val="ActHead5"/>
      </w:pPr>
      <w:bookmarkStart w:id="25" w:name="_Toc168584395"/>
      <w:r w:rsidRPr="00182579">
        <w:rPr>
          <w:rStyle w:val="CharSectno"/>
        </w:rPr>
        <w:t>34B</w:t>
      </w:r>
      <w:r w:rsidRPr="007712D4">
        <w:t xml:space="preserve">  Application of the CTG Special Arrangement</w:t>
      </w:r>
      <w:r w:rsidR="0095077C" w:rsidRPr="007712D4">
        <w:t>—co</w:t>
      </w:r>
      <w:r w:rsidR="007712D4">
        <w:noBreakHyphen/>
      </w:r>
      <w:r w:rsidR="0095077C" w:rsidRPr="007712D4">
        <w:t>payment and payment etc.</w:t>
      </w:r>
      <w:bookmarkEnd w:id="25"/>
    </w:p>
    <w:p w14:paraId="6E9C7079" w14:textId="77777777" w:rsidR="00663B29" w:rsidRPr="007712D4" w:rsidRDefault="00663B29" w:rsidP="00663B29">
      <w:pPr>
        <w:pStyle w:val="subsection"/>
      </w:pPr>
      <w:r w:rsidRPr="007712D4">
        <w:tab/>
        <w:t>(1)</w:t>
      </w:r>
      <w:r w:rsidRPr="007712D4">
        <w:tab/>
        <w:t>Despite sections </w:t>
      </w:r>
      <w:r w:rsidR="002454B3" w:rsidRPr="007712D4">
        <w:t>28</w:t>
      </w:r>
      <w:r w:rsidRPr="007712D4">
        <w:t xml:space="preserve">, </w:t>
      </w:r>
      <w:r w:rsidR="002454B3" w:rsidRPr="007712D4">
        <w:t>30</w:t>
      </w:r>
      <w:r w:rsidR="006B738B" w:rsidRPr="007712D4">
        <w:t>, 3</w:t>
      </w:r>
      <w:r w:rsidR="002454B3" w:rsidRPr="007712D4">
        <w:t>1</w:t>
      </w:r>
      <w:r w:rsidR="006B738B" w:rsidRPr="007712D4">
        <w:t xml:space="preserve"> and 37</w:t>
      </w:r>
      <w:r w:rsidRPr="007712D4">
        <w:t xml:space="preserve"> of this Special Arrangement, </w:t>
      </w:r>
      <w:r w:rsidR="0028668B" w:rsidRPr="007712D4">
        <w:t>subsections 1</w:t>
      </w:r>
      <w:r w:rsidRPr="007712D4">
        <w:t>1</w:t>
      </w:r>
      <w:r w:rsidR="00B12573" w:rsidRPr="007712D4">
        <w:t>(1), (2), (3)</w:t>
      </w:r>
      <w:r w:rsidR="00BC0BBC" w:rsidRPr="007712D4">
        <w:t xml:space="preserve">, </w:t>
      </w:r>
      <w:r w:rsidR="00B12573" w:rsidRPr="007712D4">
        <w:t xml:space="preserve">(3E) </w:t>
      </w:r>
      <w:r w:rsidR="00BC0BBC" w:rsidRPr="007712D4">
        <w:t xml:space="preserve">and (4) </w:t>
      </w:r>
      <w:r w:rsidRPr="007712D4">
        <w:t>(co</w:t>
      </w:r>
      <w:r w:rsidR="007712D4">
        <w:noBreakHyphen/>
      </w:r>
      <w:r w:rsidRPr="007712D4">
        <w:t xml:space="preserve">payment reduction etc.) and </w:t>
      </w:r>
      <w:r w:rsidR="00401A8C" w:rsidRPr="007712D4">
        <w:t>section 1</w:t>
      </w:r>
      <w:r w:rsidRPr="007712D4">
        <w:t xml:space="preserve">3 (payment by Commonwealth) of the CTG Special Arrangement apply in relation to the relevant supply under this Special Arrangement with the modification set out in </w:t>
      </w:r>
      <w:r w:rsidR="00401A8C" w:rsidRPr="007712D4">
        <w:t>subsection (</w:t>
      </w:r>
      <w:r w:rsidRPr="007712D4">
        <w:t>2)</w:t>
      </w:r>
      <w:r w:rsidR="003264E5" w:rsidRPr="007712D4">
        <w:t xml:space="preserve"> of this section</w:t>
      </w:r>
      <w:r w:rsidRPr="007712D4">
        <w:t>.</w:t>
      </w:r>
    </w:p>
    <w:p w14:paraId="0293B46B" w14:textId="77777777" w:rsidR="00663B29" w:rsidRPr="007712D4" w:rsidRDefault="00663B29" w:rsidP="00663B29">
      <w:pPr>
        <w:pStyle w:val="subsection"/>
      </w:pPr>
      <w:r w:rsidRPr="007712D4">
        <w:tab/>
        <w:t>(2)</w:t>
      </w:r>
      <w:r w:rsidRPr="007712D4">
        <w:tab/>
        <w:t>A reference in the CTG Special Arrangement to a supply of a pharmaceutical benefit under the CTG Special Arrangement is taken to be a reference to the relevant supply under this Special Arrangement.</w:t>
      </w:r>
    </w:p>
    <w:p w14:paraId="777D140E" w14:textId="77777777" w:rsidR="00663B29" w:rsidRPr="007712D4" w:rsidRDefault="00663B29" w:rsidP="00663B29">
      <w:pPr>
        <w:pStyle w:val="subsection"/>
      </w:pPr>
      <w:r w:rsidRPr="007712D4">
        <w:tab/>
        <w:t>(3)</w:t>
      </w:r>
      <w:r w:rsidRPr="007712D4">
        <w:tab/>
        <w:t xml:space="preserve">However, the notes to </w:t>
      </w:r>
      <w:r w:rsidR="0028668B" w:rsidRPr="007712D4">
        <w:t>subsections 1</w:t>
      </w:r>
      <w:r w:rsidRPr="007712D4">
        <w:t>1(2) and (3) of the CTG Special Arrangement to not apply in relation to the relevant supply under this Special Arrangement.</w:t>
      </w:r>
    </w:p>
    <w:p w14:paraId="14775D38" w14:textId="77777777" w:rsidR="00663B29" w:rsidRPr="007712D4" w:rsidRDefault="00663B29" w:rsidP="00663B29">
      <w:pPr>
        <w:pStyle w:val="notetext"/>
      </w:pPr>
      <w:r w:rsidRPr="007712D4">
        <w:t>Note:</w:t>
      </w:r>
      <w:r w:rsidRPr="007712D4">
        <w:tab/>
        <w:t xml:space="preserve">The notes to </w:t>
      </w:r>
      <w:r w:rsidR="0028668B" w:rsidRPr="007712D4">
        <w:t>subsections 1</w:t>
      </w:r>
      <w:r w:rsidRPr="007712D4">
        <w:t xml:space="preserve">1(2) and (3) of the CTG Special Arrangement relate to CTG suppliers making claims for payment under the CTG Special Arrangement. Claims for payment in relation to the relevant supply under this Special Arrangement are instead dealt with under </w:t>
      </w:r>
      <w:r w:rsidR="00401A8C" w:rsidRPr="007712D4">
        <w:t>Part 4</w:t>
      </w:r>
      <w:r w:rsidRPr="007712D4">
        <w:t xml:space="preserve"> of this Special Arrangement.</w:t>
      </w:r>
    </w:p>
    <w:p w14:paraId="423FE8C3" w14:textId="77777777" w:rsidR="00056068" w:rsidRPr="007712D4" w:rsidRDefault="00903B54" w:rsidP="00056068">
      <w:pPr>
        <w:pStyle w:val="ItemHead"/>
      </w:pPr>
      <w:r w:rsidRPr="007712D4">
        <w:t>41</w:t>
      </w:r>
      <w:r w:rsidR="00B537E9" w:rsidRPr="007712D4">
        <w:t xml:space="preserve">  At the end of </w:t>
      </w:r>
      <w:r w:rsidR="00401A8C" w:rsidRPr="007712D4">
        <w:t>Part 4</w:t>
      </w:r>
    </w:p>
    <w:p w14:paraId="28D15C41" w14:textId="77777777" w:rsidR="00B537E9" w:rsidRPr="007712D4" w:rsidRDefault="00B537E9" w:rsidP="000433D2">
      <w:pPr>
        <w:pStyle w:val="Item"/>
      </w:pPr>
      <w:r w:rsidRPr="007712D4">
        <w:t>Add:</w:t>
      </w:r>
    </w:p>
    <w:p w14:paraId="02CCF42C" w14:textId="77777777" w:rsidR="00EB3B99" w:rsidRPr="007712D4" w:rsidRDefault="00EB3B99" w:rsidP="00EB3B99">
      <w:pPr>
        <w:pStyle w:val="ActHead5"/>
      </w:pPr>
      <w:bookmarkStart w:id="26" w:name="_Toc168584396"/>
      <w:r w:rsidRPr="00182579">
        <w:rPr>
          <w:rStyle w:val="CharSectno"/>
        </w:rPr>
        <w:t>35A</w:t>
      </w:r>
      <w:r w:rsidRPr="007712D4">
        <w:t xml:space="preserve">  </w:t>
      </w:r>
      <w:r w:rsidR="00705939" w:rsidRPr="007712D4">
        <w:t>Claim for payment</w:t>
      </w:r>
      <w:r w:rsidR="007A4FA8" w:rsidRPr="007712D4">
        <w:t xml:space="preserve"> if </w:t>
      </w:r>
      <w:r w:rsidR="00E637BB" w:rsidRPr="007712D4">
        <w:t xml:space="preserve">an </w:t>
      </w:r>
      <w:r w:rsidR="007A4FA8" w:rsidRPr="007712D4">
        <w:t xml:space="preserve">eligible patient is </w:t>
      </w:r>
      <w:r w:rsidR="00E637BB" w:rsidRPr="007712D4">
        <w:t xml:space="preserve">a </w:t>
      </w:r>
      <w:r w:rsidR="007A4FA8" w:rsidRPr="007712D4">
        <w:t>CTG registered pa</w:t>
      </w:r>
      <w:r w:rsidR="002638C9" w:rsidRPr="007712D4">
        <w:t>tient</w:t>
      </w:r>
      <w:bookmarkEnd w:id="26"/>
    </w:p>
    <w:p w14:paraId="0BBFE533" w14:textId="77777777" w:rsidR="0002153F" w:rsidRPr="007712D4" w:rsidRDefault="006003E2" w:rsidP="006003E2">
      <w:pPr>
        <w:pStyle w:val="subsection"/>
      </w:pPr>
      <w:r w:rsidRPr="007712D4">
        <w:tab/>
      </w:r>
      <w:r w:rsidR="00EB3B99" w:rsidRPr="007712D4">
        <w:tab/>
      </w:r>
      <w:r w:rsidR="00101138" w:rsidRPr="007712D4">
        <w:t>If</w:t>
      </w:r>
      <w:r w:rsidR="0002153F" w:rsidRPr="007712D4">
        <w:t>:</w:t>
      </w:r>
    </w:p>
    <w:p w14:paraId="5BC88542" w14:textId="77777777" w:rsidR="0002153F" w:rsidRPr="007712D4" w:rsidRDefault="0002153F" w:rsidP="0002153F">
      <w:pPr>
        <w:pStyle w:val="paragraph"/>
      </w:pPr>
      <w:r w:rsidRPr="007712D4">
        <w:tab/>
        <w:t>(a)</w:t>
      </w:r>
      <w:r w:rsidRPr="007712D4">
        <w:tab/>
      </w:r>
      <w:r w:rsidR="00101138" w:rsidRPr="007712D4">
        <w:t xml:space="preserve">a claim for payment </w:t>
      </w:r>
      <w:r w:rsidR="002F5B19" w:rsidRPr="007712D4">
        <w:t xml:space="preserve">for </w:t>
      </w:r>
      <w:r w:rsidR="00052EC8" w:rsidRPr="007712D4">
        <w:t>a special arrangement supply of an H</w:t>
      </w:r>
      <w:r w:rsidR="00A31CFF" w:rsidRPr="007712D4">
        <w:t>SD</w:t>
      </w:r>
      <w:r w:rsidR="00052EC8" w:rsidRPr="007712D4">
        <w:t xml:space="preserve"> pharmaceutical benefit </w:t>
      </w:r>
      <w:r w:rsidR="00101138" w:rsidRPr="007712D4">
        <w:t xml:space="preserve">made under </w:t>
      </w:r>
      <w:r w:rsidR="00663B4D" w:rsidRPr="007712D4">
        <w:t xml:space="preserve">the </w:t>
      </w:r>
      <w:r w:rsidR="00663B4D" w:rsidRPr="007712D4">
        <w:rPr>
          <w:i/>
        </w:rPr>
        <w:t>National Health (Supply of Pharmaceutical Benefits—Under Co</w:t>
      </w:r>
      <w:r w:rsidR="007712D4">
        <w:rPr>
          <w:i/>
        </w:rPr>
        <w:noBreakHyphen/>
      </w:r>
      <w:r w:rsidR="00663B4D" w:rsidRPr="007712D4">
        <w:rPr>
          <w:i/>
        </w:rPr>
        <w:t xml:space="preserve">payment Data and Claims for Payment) </w:t>
      </w:r>
      <w:r w:rsidR="00401A8C" w:rsidRPr="007712D4">
        <w:rPr>
          <w:i/>
        </w:rPr>
        <w:t>Rules 2</w:t>
      </w:r>
      <w:r w:rsidR="00663B4D" w:rsidRPr="007712D4">
        <w:rPr>
          <w:i/>
        </w:rPr>
        <w:t>022</w:t>
      </w:r>
      <w:r w:rsidR="00101138" w:rsidRPr="007712D4">
        <w:t xml:space="preserve"> is </w:t>
      </w:r>
      <w:r w:rsidR="006003E2" w:rsidRPr="007712D4">
        <w:t>made using the manual system</w:t>
      </w:r>
      <w:r w:rsidR="00A905CF" w:rsidRPr="007712D4">
        <w:t xml:space="preserve"> referred to in section 99AAA of the Act</w:t>
      </w:r>
      <w:r w:rsidRPr="007712D4">
        <w:t>; and</w:t>
      </w:r>
    </w:p>
    <w:p w14:paraId="36AD1A7F" w14:textId="77777777" w:rsidR="00EA0EF9" w:rsidRPr="007712D4" w:rsidRDefault="00593848" w:rsidP="0002153F">
      <w:pPr>
        <w:pStyle w:val="paragraph"/>
      </w:pPr>
      <w:r w:rsidRPr="007712D4">
        <w:tab/>
        <w:t>(b)</w:t>
      </w:r>
      <w:r w:rsidRPr="007712D4">
        <w:tab/>
        <w:t>the claim</w:t>
      </w:r>
      <w:r w:rsidR="00DA139D" w:rsidRPr="007712D4">
        <w:t xml:space="preserve"> is made:</w:t>
      </w:r>
    </w:p>
    <w:p w14:paraId="29DE496A" w14:textId="77777777" w:rsidR="00EA0EF9" w:rsidRPr="007712D4" w:rsidRDefault="00EA0EF9" w:rsidP="00EA0EF9">
      <w:pPr>
        <w:pStyle w:val="paragraphsub"/>
      </w:pPr>
      <w:r w:rsidRPr="007712D4">
        <w:tab/>
        <w:t>(i)</w:t>
      </w:r>
      <w:r w:rsidR="006D282F" w:rsidRPr="007712D4">
        <w:tab/>
      </w:r>
      <w:r w:rsidR="00593848" w:rsidRPr="007712D4">
        <w:t>by a</w:t>
      </w:r>
      <w:r w:rsidR="007A6FD1" w:rsidRPr="007712D4">
        <w:t xml:space="preserve">n approved supplier who is a </w:t>
      </w:r>
      <w:r w:rsidR="00593848" w:rsidRPr="007712D4">
        <w:t>CTG supplier</w:t>
      </w:r>
      <w:r w:rsidRPr="007712D4">
        <w:t>;</w:t>
      </w:r>
      <w:r w:rsidR="00AD00B1" w:rsidRPr="007712D4">
        <w:t xml:space="preserve"> and</w:t>
      </w:r>
    </w:p>
    <w:p w14:paraId="4FB321BA" w14:textId="77777777" w:rsidR="00D777F0" w:rsidRPr="007712D4" w:rsidRDefault="00EA0EF9" w:rsidP="00EA0EF9">
      <w:pPr>
        <w:pStyle w:val="paragraphsub"/>
      </w:pPr>
      <w:r w:rsidRPr="007712D4">
        <w:tab/>
        <w:t>(ii)</w:t>
      </w:r>
      <w:r w:rsidRPr="007712D4">
        <w:tab/>
      </w:r>
      <w:r w:rsidR="00F8704C" w:rsidRPr="007712D4">
        <w:t xml:space="preserve">in relation </w:t>
      </w:r>
      <w:r w:rsidR="00B475EE" w:rsidRPr="007712D4">
        <w:t xml:space="preserve">to </w:t>
      </w:r>
      <w:r w:rsidR="004D377E" w:rsidRPr="007712D4">
        <w:t xml:space="preserve">a special arrangement supply of an HSD pharmaceutical benefit to an </w:t>
      </w:r>
      <w:r w:rsidR="005524CB" w:rsidRPr="007712D4">
        <w:t xml:space="preserve">eligible </w:t>
      </w:r>
      <w:r w:rsidR="00593848" w:rsidRPr="007712D4">
        <w:t>patient who is</w:t>
      </w:r>
      <w:r w:rsidR="0002153F" w:rsidRPr="007712D4">
        <w:t xml:space="preserve"> a CTG registered </w:t>
      </w:r>
      <w:r w:rsidR="000433D2" w:rsidRPr="007712D4">
        <w:t>patient</w:t>
      </w:r>
      <w:r w:rsidR="00D777F0" w:rsidRPr="007712D4">
        <w:t>;</w:t>
      </w:r>
    </w:p>
    <w:p w14:paraId="2621BB95" w14:textId="77777777" w:rsidR="000433D2" w:rsidRPr="007712D4" w:rsidRDefault="000433D2" w:rsidP="00EB3B99">
      <w:pPr>
        <w:pStyle w:val="subsection2"/>
      </w:pPr>
      <w:r w:rsidRPr="007712D4">
        <w:t xml:space="preserve">the claim must </w:t>
      </w:r>
      <w:r w:rsidR="006003E2" w:rsidRPr="007712D4">
        <w:t xml:space="preserve">include an indicator that the </w:t>
      </w:r>
      <w:r w:rsidR="009A6F18" w:rsidRPr="007712D4">
        <w:t xml:space="preserve">eligible </w:t>
      </w:r>
      <w:r w:rsidR="006003E2" w:rsidRPr="007712D4">
        <w:t>patient is a CTG registered patient.</w:t>
      </w:r>
    </w:p>
    <w:p w14:paraId="772602E4" w14:textId="77777777" w:rsidR="008B7115" w:rsidRPr="007712D4" w:rsidRDefault="00903B54" w:rsidP="008B7115">
      <w:pPr>
        <w:pStyle w:val="ItemHead"/>
      </w:pPr>
      <w:r w:rsidRPr="007712D4">
        <w:lastRenderedPageBreak/>
        <w:t>42</w:t>
      </w:r>
      <w:r w:rsidR="008B7115" w:rsidRPr="007712D4">
        <w:t xml:space="preserve">  At the end of </w:t>
      </w:r>
      <w:r w:rsidR="00401A8C" w:rsidRPr="007712D4">
        <w:t>subsections 3</w:t>
      </w:r>
      <w:r w:rsidR="008B7115" w:rsidRPr="007712D4">
        <w:t>7(1) and (2)</w:t>
      </w:r>
    </w:p>
    <w:p w14:paraId="0849D4C6" w14:textId="77777777" w:rsidR="008B7115" w:rsidRPr="007712D4" w:rsidRDefault="008B7115" w:rsidP="008B7115">
      <w:pPr>
        <w:pStyle w:val="Item"/>
      </w:pPr>
      <w:r w:rsidRPr="007712D4">
        <w:t>Add:</w:t>
      </w:r>
    </w:p>
    <w:p w14:paraId="137471CB" w14:textId="77777777" w:rsidR="008B7115" w:rsidRPr="007712D4" w:rsidRDefault="00D079C3" w:rsidP="00D079C3">
      <w:pPr>
        <w:pStyle w:val="notetext"/>
      </w:pPr>
      <w:r w:rsidRPr="007712D4">
        <w:t>Note:</w:t>
      </w:r>
      <w:r w:rsidRPr="007712D4">
        <w:tab/>
        <w:t xml:space="preserve">However, see </w:t>
      </w:r>
      <w:r w:rsidR="00401A8C" w:rsidRPr="007712D4">
        <w:t>Part 3</w:t>
      </w:r>
      <w:r w:rsidRPr="007712D4">
        <w:t>A in relation to a special arrangement supply of an HSD pharmaceutical benefit to a CTG registered patient by a CTG supplier.</w:t>
      </w:r>
    </w:p>
    <w:p w14:paraId="753E459F" w14:textId="77777777" w:rsidR="00FD6844" w:rsidRPr="007712D4" w:rsidRDefault="00FD6844" w:rsidP="00FD6844">
      <w:pPr>
        <w:pStyle w:val="ActHead9"/>
      </w:pPr>
      <w:bookmarkStart w:id="27" w:name="_Toc168584397"/>
      <w:r w:rsidRPr="007712D4">
        <w:t>National Health (IVF Program) Special Arrangement 2015</w:t>
      </w:r>
      <w:bookmarkEnd w:id="27"/>
    </w:p>
    <w:p w14:paraId="7101CC89" w14:textId="77777777" w:rsidR="00DF13E5" w:rsidRPr="007712D4" w:rsidRDefault="00903B54" w:rsidP="00DF13E5">
      <w:pPr>
        <w:pStyle w:val="ItemHead"/>
      </w:pPr>
      <w:r w:rsidRPr="007712D4">
        <w:t>43</w:t>
      </w:r>
      <w:r w:rsidR="00DF13E5" w:rsidRPr="007712D4">
        <w:t xml:space="preserve">  </w:t>
      </w:r>
      <w:r w:rsidR="0028668B" w:rsidRPr="007712D4">
        <w:t>Section 4</w:t>
      </w:r>
    </w:p>
    <w:p w14:paraId="6D1093A3" w14:textId="77777777" w:rsidR="00DF13E5" w:rsidRPr="007712D4" w:rsidRDefault="00DF13E5" w:rsidP="00DF13E5">
      <w:pPr>
        <w:pStyle w:val="Item"/>
      </w:pPr>
      <w:r w:rsidRPr="007712D4">
        <w:t>Insert:</w:t>
      </w:r>
    </w:p>
    <w:p w14:paraId="2FFCB566" w14:textId="77777777" w:rsidR="00DF13E5" w:rsidRPr="007712D4" w:rsidRDefault="00DF13E5" w:rsidP="00DF13E5">
      <w:pPr>
        <w:pStyle w:val="Definition"/>
        <w:rPr>
          <w:i/>
        </w:rPr>
      </w:pPr>
      <w:r w:rsidRPr="007712D4">
        <w:rPr>
          <w:b/>
          <w:i/>
        </w:rPr>
        <w:t>CTG registered patient</w:t>
      </w:r>
      <w:r w:rsidRPr="007712D4">
        <w:t xml:space="preserve"> means a patient registered under </w:t>
      </w:r>
      <w:r w:rsidR="00401A8C" w:rsidRPr="007712D4">
        <w:t>subsection 1</w:t>
      </w:r>
      <w:r w:rsidRPr="007712D4">
        <w:t>0(2) of the CTG Special Arrangement.</w:t>
      </w:r>
    </w:p>
    <w:p w14:paraId="0CC7D42A" w14:textId="77777777" w:rsidR="00DF13E5" w:rsidRPr="007712D4" w:rsidRDefault="00DF13E5" w:rsidP="00DF13E5">
      <w:pPr>
        <w:pStyle w:val="Definition"/>
      </w:pPr>
      <w:r w:rsidRPr="007712D4">
        <w:rPr>
          <w:b/>
          <w:i/>
        </w:rPr>
        <w:t>CTG Special Arrangement</w:t>
      </w:r>
      <w:r w:rsidRPr="007712D4">
        <w:t xml:space="preserve"> means the </w:t>
      </w:r>
      <w:r w:rsidRPr="007712D4">
        <w:rPr>
          <w:i/>
        </w:rPr>
        <w:t>National Health (Closing the Gap – PBS Co</w:t>
      </w:r>
      <w:r w:rsidR="007712D4">
        <w:rPr>
          <w:i/>
        </w:rPr>
        <w:noBreakHyphen/>
      </w:r>
      <w:r w:rsidRPr="007712D4">
        <w:rPr>
          <w:i/>
        </w:rPr>
        <w:t>payment Program) Special Arrangement 2016</w:t>
      </w:r>
      <w:r w:rsidRPr="00681495">
        <w:t>.</w:t>
      </w:r>
    </w:p>
    <w:p w14:paraId="6922F505" w14:textId="77777777" w:rsidR="00DF13E5" w:rsidRPr="007712D4" w:rsidRDefault="00DF13E5" w:rsidP="00DF13E5">
      <w:pPr>
        <w:pStyle w:val="Definition"/>
      </w:pPr>
      <w:r w:rsidRPr="007712D4">
        <w:rPr>
          <w:b/>
          <w:i/>
        </w:rPr>
        <w:t>CTG supplier</w:t>
      </w:r>
      <w:r w:rsidRPr="007712D4">
        <w:t xml:space="preserve"> has the same meaning as in the CTG Special Arrangement.</w:t>
      </w:r>
    </w:p>
    <w:p w14:paraId="7D1EAFA2" w14:textId="77777777" w:rsidR="00DF13E5" w:rsidRPr="007712D4" w:rsidRDefault="00903B54" w:rsidP="00DF13E5">
      <w:pPr>
        <w:pStyle w:val="ItemHead"/>
      </w:pPr>
      <w:r w:rsidRPr="007712D4">
        <w:t>44</w:t>
      </w:r>
      <w:r w:rsidR="00DF13E5" w:rsidRPr="007712D4">
        <w:t xml:space="preserve">  At the end of </w:t>
      </w:r>
      <w:r w:rsidR="00401A8C" w:rsidRPr="007712D4">
        <w:t>subsection 8</w:t>
      </w:r>
      <w:r w:rsidR="00DF13E5" w:rsidRPr="007712D4">
        <w:t>(1)</w:t>
      </w:r>
    </w:p>
    <w:p w14:paraId="1D44CC7F" w14:textId="77777777" w:rsidR="00DF13E5" w:rsidRPr="007712D4" w:rsidRDefault="00DF13E5" w:rsidP="00DF13E5">
      <w:pPr>
        <w:pStyle w:val="Item"/>
      </w:pPr>
      <w:r w:rsidRPr="007712D4">
        <w:t>Add:</w:t>
      </w:r>
    </w:p>
    <w:p w14:paraId="7365D450" w14:textId="77777777" w:rsidR="00DF13E5" w:rsidRPr="007712D4" w:rsidRDefault="00DF13E5" w:rsidP="00DF13E5">
      <w:pPr>
        <w:pStyle w:val="notetext"/>
      </w:pPr>
      <w:r w:rsidRPr="007712D4">
        <w:t>Note:</w:t>
      </w:r>
      <w:r w:rsidRPr="007712D4">
        <w:tab/>
        <w:t xml:space="preserve">However, see </w:t>
      </w:r>
      <w:r w:rsidR="00401A8C" w:rsidRPr="007712D4">
        <w:t>Part 5</w:t>
      </w:r>
      <w:r w:rsidR="006E4FEA" w:rsidRPr="007712D4">
        <w:t>A</w:t>
      </w:r>
      <w:r w:rsidRPr="007712D4">
        <w:t xml:space="preserve"> in relation to the supply of a pharmaceutical benefit to a CTG registered patient by a CTG supplier.</w:t>
      </w:r>
    </w:p>
    <w:p w14:paraId="248EF966" w14:textId="77777777" w:rsidR="00DF13E5" w:rsidRPr="007712D4" w:rsidRDefault="00903B54" w:rsidP="00DF13E5">
      <w:pPr>
        <w:pStyle w:val="ItemHead"/>
      </w:pPr>
      <w:r w:rsidRPr="007712D4">
        <w:t>45</w:t>
      </w:r>
      <w:r w:rsidR="00DF13E5" w:rsidRPr="007712D4">
        <w:t xml:space="preserve">  At the end of subsection </w:t>
      </w:r>
      <w:r w:rsidR="006E4FEA" w:rsidRPr="007712D4">
        <w:t>9</w:t>
      </w:r>
      <w:r w:rsidR="00DF13E5" w:rsidRPr="007712D4">
        <w:t>(1)</w:t>
      </w:r>
    </w:p>
    <w:p w14:paraId="1C028D1B" w14:textId="77777777" w:rsidR="00DF13E5" w:rsidRPr="007712D4" w:rsidRDefault="00DF13E5" w:rsidP="00DF13E5">
      <w:pPr>
        <w:pStyle w:val="Item"/>
      </w:pPr>
      <w:r w:rsidRPr="007712D4">
        <w:t>Add:</w:t>
      </w:r>
    </w:p>
    <w:p w14:paraId="28EC107D" w14:textId="77777777" w:rsidR="00994956" w:rsidRPr="007712D4" w:rsidRDefault="00DF13E5" w:rsidP="00994956">
      <w:pPr>
        <w:pStyle w:val="notetext"/>
      </w:pPr>
      <w:r w:rsidRPr="007712D4">
        <w:t>Note:</w:t>
      </w:r>
      <w:r w:rsidRPr="007712D4">
        <w:tab/>
        <w:t xml:space="preserve">However, see </w:t>
      </w:r>
      <w:r w:rsidR="00401A8C" w:rsidRPr="007712D4">
        <w:t>Part 5</w:t>
      </w:r>
      <w:r w:rsidR="00923364" w:rsidRPr="007712D4">
        <w:t>A</w:t>
      </w:r>
      <w:r w:rsidRPr="007712D4">
        <w:t xml:space="preserve"> in relation to the supply of a pharmaceutical benefit to a CTG registered patient by a CTG supplier.</w:t>
      </w:r>
    </w:p>
    <w:p w14:paraId="0341506C" w14:textId="77777777" w:rsidR="00734FA0" w:rsidRPr="007712D4" w:rsidRDefault="00E06F8D" w:rsidP="00DF13E5">
      <w:pPr>
        <w:pStyle w:val="ItemHead"/>
      </w:pPr>
      <w:r w:rsidRPr="007712D4">
        <w:t xml:space="preserve">46  </w:t>
      </w:r>
      <w:r w:rsidR="007712D4" w:rsidRPr="007712D4">
        <w:t>Subsection 1</w:t>
      </w:r>
      <w:r w:rsidRPr="007712D4">
        <w:t>7(1)</w:t>
      </w:r>
    </w:p>
    <w:p w14:paraId="7BB6FDDF" w14:textId="77777777" w:rsidR="00E06F8D" w:rsidRPr="007712D4" w:rsidRDefault="00E06F8D" w:rsidP="00E06F8D">
      <w:pPr>
        <w:pStyle w:val="Item"/>
      </w:pPr>
      <w:r w:rsidRPr="007712D4">
        <w:t>Omit “for a public or a private hospital”.</w:t>
      </w:r>
    </w:p>
    <w:p w14:paraId="36364E86" w14:textId="77777777" w:rsidR="009F4CB1" w:rsidRPr="007712D4" w:rsidRDefault="00903B54" w:rsidP="00DF13E5">
      <w:pPr>
        <w:pStyle w:val="ItemHead"/>
      </w:pPr>
      <w:r w:rsidRPr="007712D4">
        <w:t>4</w:t>
      </w:r>
      <w:r w:rsidR="00E06F8D" w:rsidRPr="007712D4">
        <w:t>7</w:t>
      </w:r>
      <w:r w:rsidR="00A65394" w:rsidRPr="007712D4">
        <w:t xml:space="preserve">  </w:t>
      </w:r>
      <w:r w:rsidR="007712D4" w:rsidRPr="007712D4">
        <w:t>Subsection 1</w:t>
      </w:r>
      <w:r w:rsidR="00A65394" w:rsidRPr="007712D4">
        <w:t>7(1)</w:t>
      </w:r>
    </w:p>
    <w:p w14:paraId="5C6F347C" w14:textId="77777777" w:rsidR="00A65394" w:rsidRPr="007712D4" w:rsidRDefault="00A65394" w:rsidP="003E5435">
      <w:pPr>
        <w:pStyle w:val="Item"/>
      </w:pPr>
      <w:r w:rsidRPr="007712D4">
        <w:t>Omit “</w:t>
      </w:r>
      <w:r w:rsidR="00E26FCB" w:rsidRPr="007712D4">
        <w:t xml:space="preserve">an </w:t>
      </w:r>
      <w:r w:rsidRPr="007712D4">
        <w:t>eligible</w:t>
      </w:r>
      <w:r w:rsidR="00E26FCB" w:rsidRPr="007712D4">
        <w:t xml:space="preserve"> patient</w:t>
      </w:r>
      <w:r w:rsidRPr="007712D4">
        <w:t>”</w:t>
      </w:r>
      <w:r w:rsidR="00E26FCB" w:rsidRPr="007712D4">
        <w:t>, substitute “a patient”.</w:t>
      </w:r>
    </w:p>
    <w:p w14:paraId="313D4FAA" w14:textId="77777777" w:rsidR="00DF13E5" w:rsidRPr="007712D4" w:rsidRDefault="00903B54" w:rsidP="00DF13E5">
      <w:pPr>
        <w:pStyle w:val="ItemHead"/>
      </w:pPr>
      <w:r w:rsidRPr="007712D4">
        <w:t>4</w:t>
      </w:r>
      <w:r w:rsidR="00E06F8D" w:rsidRPr="007712D4">
        <w:t>8</w:t>
      </w:r>
      <w:r w:rsidR="00DF13E5" w:rsidRPr="007712D4">
        <w:t xml:space="preserve">  At the end of </w:t>
      </w:r>
      <w:r w:rsidR="00401A8C" w:rsidRPr="007712D4">
        <w:t>subsection 1</w:t>
      </w:r>
      <w:r w:rsidR="000B7886" w:rsidRPr="007712D4">
        <w:t>7</w:t>
      </w:r>
      <w:r w:rsidR="00DF13E5" w:rsidRPr="007712D4">
        <w:t>(1)</w:t>
      </w:r>
    </w:p>
    <w:p w14:paraId="182605B3" w14:textId="77777777" w:rsidR="00DF13E5" w:rsidRPr="007712D4" w:rsidRDefault="00DF13E5" w:rsidP="00DF13E5">
      <w:pPr>
        <w:pStyle w:val="Item"/>
      </w:pPr>
      <w:r w:rsidRPr="007712D4">
        <w:t>Add:</w:t>
      </w:r>
    </w:p>
    <w:p w14:paraId="05B56ECF" w14:textId="77777777" w:rsidR="00DF13E5" w:rsidRPr="007712D4" w:rsidRDefault="00DF13E5" w:rsidP="00DF13E5">
      <w:pPr>
        <w:pStyle w:val="notetext"/>
      </w:pPr>
      <w:r w:rsidRPr="007712D4">
        <w:t>Note:</w:t>
      </w:r>
      <w:r w:rsidRPr="007712D4">
        <w:tab/>
        <w:t xml:space="preserve">However, see </w:t>
      </w:r>
      <w:r w:rsidR="00401A8C" w:rsidRPr="007712D4">
        <w:t>Part 5</w:t>
      </w:r>
      <w:r w:rsidR="000B7886" w:rsidRPr="007712D4">
        <w:t>A</w:t>
      </w:r>
      <w:r w:rsidRPr="007712D4">
        <w:t xml:space="preserve"> in relation to the supply of a pharmaceutical benefit to a CTG registered patient by a CTG supplier.</w:t>
      </w:r>
    </w:p>
    <w:p w14:paraId="1C68B951" w14:textId="77777777" w:rsidR="00994956" w:rsidRPr="007712D4" w:rsidRDefault="00E06F8D" w:rsidP="00994956">
      <w:pPr>
        <w:pStyle w:val="ItemHead"/>
      </w:pPr>
      <w:r w:rsidRPr="007712D4">
        <w:t>49</w:t>
      </w:r>
      <w:r w:rsidR="00994956" w:rsidRPr="007712D4">
        <w:t xml:space="preserve">  </w:t>
      </w:r>
      <w:r w:rsidR="007712D4" w:rsidRPr="007712D4">
        <w:t>Subsection 1</w:t>
      </w:r>
      <w:r w:rsidR="00684904" w:rsidRPr="007712D4">
        <w:t>7(2)</w:t>
      </w:r>
    </w:p>
    <w:p w14:paraId="789A2227" w14:textId="77777777" w:rsidR="00684904" w:rsidRPr="007712D4" w:rsidRDefault="008F66FA" w:rsidP="00684904">
      <w:pPr>
        <w:pStyle w:val="Item"/>
      </w:pPr>
      <w:r w:rsidRPr="007712D4">
        <w:t>Omit</w:t>
      </w:r>
      <w:r w:rsidR="00684904" w:rsidRPr="007712D4">
        <w:t xml:space="preserve"> “The approved hospital authority”,</w:t>
      </w:r>
      <w:r w:rsidR="00193949" w:rsidRPr="007712D4">
        <w:t xml:space="preserve"> substitute “The approved pharmacist, approved medical practitioner</w:t>
      </w:r>
      <w:r w:rsidR="00B34D78" w:rsidRPr="007712D4">
        <w:t xml:space="preserve"> or</w:t>
      </w:r>
      <w:r w:rsidR="00193949" w:rsidRPr="007712D4">
        <w:t xml:space="preserve"> approved hospital authority</w:t>
      </w:r>
      <w:r w:rsidR="0039312B" w:rsidRPr="007712D4">
        <w:t>”.</w:t>
      </w:r>
    </w:p>
    <w:p w14:paraId="4C1D282E" w14:textId="77777777" w:rsidR="00DF13E5" w:rsidRPr="007712D4" w:rsidRDefault="00E06F8D" w:rsidP="00DF13E5">
      <w:pPr>
        <w:pStyle w:val="ItemHead"/>
      </w:pPr>
      <w:r w:rsidRPr="007712D4">
        <w:t>50</w:t>
      </w:r>
      <w:r w:rsidR="00DF13E5" w:rsidRPr="007712D4">
        <w:t xml:space="preserve">  After </w:t>
      </w:r>
      <w:r w:rsidR="00401A8C" w:rsidRPr="007712D4">
        <w:t>Part 5</w:t>
      </w:r>
    </w:p>
    <w:p w14:paraId="159B49DA" w14:textId="77777777" w:rsidR="00DF13E5" w:rsidRPr="007712D4" w:rsidRDefault="00DF13E5" w:rsidP="00DF13E5">
      <w:pPr>
        <w:pStyle w:val="Item"/>
      </w:pPr>
      <w:r w:rsidRPr="007712D4">
        <w:t>Insert:</w:t>
      </w:r>
    </w:p>
    <w:p w14:paraId="016CDB35" w14:textId="77777777" w:rsidR="00DF13E5" w:rsidRPr="007712D4" w:rsidRDefault="00401A8C" w:rsidP="00DF13E5">
      <w:pPr>
        <w:pStyle w:val="ActHead2"/>
      </w:pPr>
      <w:bookmarkStart w:id="28" w:name="_Toc168584398"/>
      <w:r w:rsidRPr="00182579">
        <w:rPr>
          <w:rStyle w:val="CharPartNo"/>
        </w:rPr>
        <w:lastRenderedPageBreak/>
        <w:t>Part 5</w:t>
      </w:r>
      <w:r w:rsidR="00AC1296" w:rsidRPr="00182579">
        <w:rPr>
          <w:rStyle w:val="CharPartNo"/>
        </w:rPr>
        <w:t>A</w:t>
      </w:r>
      <w:r w:rsidR="00DF13E5" w:rsidRPr="007712D4">
        <w:t>—</w:t>
      </w:r>
      <w:r w:rsidR="00DF13E5" w:rsidRPr="00182579">
        <w:rPr>
          <w:rStyle w:val="CharPartText"/>
        </w:rPr>
        <w:t>Supply to CTG registered patients by CTG suppliers</w:t>
      </w:r>
      <w:bookmarkEnd w:id="28"/>
    </w:p>
    <w:p w14:paraId="48223DC5" w14:textId="77777777" w:rsidR="00DF13E5" w:rsidRPr="007712D4" w:rsidRDefault="003F2AD8" w:rsidP="00DF13E5">
      <w:pPr>
        <w:pStyle w:val="ActHead5"/>
      </w:pPr>
      <w:bookmarkStart w:id="29" w:name="_Toc168584399"/>
      <w:r w:rsidRPr="00182579">
        <w:rPr>
          <w:rStyle w:val="CharSectno"/>
        </w:rPr>
        <w:t>17</w:t>
      </w:r>
      <w:r w:rsidR="00AC1296" w:rsidRPr="00182579">
        <w:rPr>
          <w:rStyle w:val="CharSectno"/>
        </w:rPr>
        <w:t>A</w:t>
      </w:r>
      <w:r w:rsidR="00DF13E5" w:rsidRPr="007712D4">
        <w:t xml:space="preserve">  Application of this Part</w:t>
      </w:r>
      <w:bookmarkEnd w:id="29"/>
    </w:p>
    <w:p w14:paraId="64A88D46" w14:textId="77777777" w:rsidR="00E91730" w:rsidRPr="007712D4" w:rsidRDefault="00E91730" w:rsidP="00E91730">
      <w:pPr>
        <w:pStyle w:val="subsection"/>
      </w:pPr>
      <w:r w:rsidRPr="007712D4">
        <w:tab/>
      </w:r>
      <w:r w:rsidRPr="007712D4">
        <w:tab/>
        <w:t xml:space="preserve">This Part applies to a supply </w:t>
      </w:r>
      <w:r w:rsidR="00F75B45" w:rsidRPr="007712D4">
        <w:t xml:space="preserve">(the </w:t>
      </w:r>
      <w:r w:rsidR="00F75B45" w:rsidRPr="007712D4">
        <w:rPr>
          <w:b/>
          <w:i/>
        </w:rPr>
        <w:t>relevant supply</w:t>
      </w:r>
      <w:r w:rsidR="00F75B45" w:rsidRPr="007712D4">
        <w:t xml:space="preserve">) </w:t>
      </w:r>
      <w:r w:rsidRPr="007712D4">
        <w:t>of a pharmaceutical benefit under this Special Arrangement if the relevant supply is made:</w:t>
      </w:r>
    </w:p>
    <w:p w14:paraId="3140B283" w14:textId="77777777" w:rsidR="00E91730" w:rsidRPr="007712D4" w:rsidRDefault="00E91730" w:rsidP="00E91730">
      <w:pPr>
        <w:pStyle w:val="paragraph"/>
      </w:pPr>
      <w:r w:rsidRPr="007712D4">
        <w:tab/>
        <w:t>(a)</w:t>
      </w:r>
      <w:r w:rsidRPr="007712D4">
        <w:tab/>
        <w:t>to a patient who is a CTG registered patient; and</w:t>
      </w:r>
    </w:p>
    <w:p w14:paraId="1A0D1DA4" w14:textId="77777777" w:rsidR="00A62E45" w:rsidRPr="007712D4" w:rsidRDefault="00E91730" w:rsidP="00DF13E5">
      <w:pPr>
        <w:pStyle w:val="paragraph"/>
      </w:pPr>
      <w:r w:rsidRPr="007712D4">
        <w:tab/>
        <w:t>(b)</w:t>
      </w:r>
      <w:r w:rsidRPr="007712D4">
        <w:tab/>
        <w:t>by an approved pharmacist, an approved medical practitioner or an approved hospital authority</w:t>
      </w:r>
      <w:r w:rsidR="00BF69D0" w:rsidRPr="007712D4">
        <w:t xml:space="preserve"> </w:t>
      </w:r>
      <w:r w:rsidRPr="007712D4">
        <w:t>who is a CTG supplier.</w:t>
      </w:r>
    </w:p>
    <w:p w14:paraId="0436CC16" w14:textId="77777777" w:rsidR="00DF13E5" w:rsidRPr="007712D4" w:rsidRDefault="003F2AD8" w:rsidP="007B7B7C">
      <w:pPr>
        <w:pStyle w:val="ActHead5"/>
      </w:pPr>
      <w:bookmarkStart w:id="30" w:name="_Toc168584400"/>
      <w:r w:rsidRPr="00182579">
        <w:rPr>
          <w:rStyle w:val="CharSectno"/>
        </w:rPr>
        <w:t>17</w:t>
      </w:r>
      <w:r w:rsidR="00AC1296" w:rsidRPr="00182579">
        <w:rPr>
          <w:rStyle w:val="CharSectno"/>
        </w:rPr>
        <w:t>B</w:t>
      </w:r>
      <w:r w:rsidR="00DF13E5" w:rsidRPr="007712D4">
        <w:t xml:space="preserve">  Application of the CTG Special Arrangement</w:t>
      </w:r>
      <w:r w:rsidR="007B7B7C" w:rsidRPr="007712D4">
        <w:t>—co</w:t>
      </w:r>
      <w:r w:rsidR="007712D4">
        <w:noBreakHyphen/>
      </w:r>
      <w:r w:rsidR="007B7B7C" w:rsidRPr="007712D4">
        <w:t>payment and payment etc.</w:t>
      </w:r>
      <w:bookmarkEnd w:id="30"/>
    </w:p>
    <w:p w14:paraId="4540219D" w14:textId="77777777" w:rsidR="00DF13E5" w:rsidRPr="007712D4" w:rsidRDefault="00DF13E5" w:rsidP="00DF13E5">
      <w:pPr>
        <w:pStyle w:val="subsection"/>
      </w:pPr>
      <w:r w:rsidRPr="007712D4">
        <w:tab/>
        <w:t>(1)</w:t>
      </w:r>
      <w:r w:rsidRPr="007712D4">
        <w:tab/>
        <w:t>Despite sections </w:t>
      </w:r>
      <w:r w:rsidR="00562085" w:rsidRPr="007712D4">
        <w:t>8</w:t>
      </w:r>
      <w:r w:rsidRPr="007712D4">
        <w:t xml:space="preserve">, </w:t>
      </w:r>
      <w:r w:rsidR="00562085" w:rsidRPr="007712D4">
        <w:t>9</w:t>
      </w:r>
      <w:r w:rsidRPr="007712D4">
        <w:t xml:space="preserve"> and </w:t>
      </w:r>
      <w:r w:rsidR="00562085" w:rsidRPr="007712D4">
        <w:t>17</w:t>
      </w:r>
      <w:r w:rsidRPr="007712D4">
        <w:t xml:space="preserve"> of this Special Arrangement, </w:t>
      </w:r>
      <w:r w:rsidR="0028668B" w:rsidRPr="007712D4">
        <w:t>subsections 1</w:t>
      </w:r>
      <w:r w:rsidRPr="007712D4">
        <w:t>1</w:t>
      </w:r>
      <w:r w:rsidR="009F7DFC" w:rsidRPr="007712D4">
        <w:t>(1), (2), (3)</w:t>
      </w:r>
      <w:r w:rsidR="00BC0BBC" w:rsidRPr="007712D4">
        <w:t xml:space="preserve">, </w:t>
      </w:r>
      <w:r w:rsidR="009F7DFC" w:rsidRPr="007712D4">
        <w:t>(3E)</w:t>
      </w:r>
      <w:r w:rsidRPr="007712D4">
        <w:t xml:space="preserve"> </w:t>
      </w:r>
      <w:r w:rsidR="00BC0BBC" w:rsidRPr="007712D4">
        <w:t xml:space="preserve">and (4) </w:t>
      </w:r>
      <w:r w:rsidRPr="007712D4">
        <w:t>(co</w:t>
      </w:r>
      <w:r w:rsidR="007712D4">
        <w:noBreakHyphen/>
      </w:r>
      <w:r w:rsidRPr="007712D4">
        <w:t>payment reduction etc.) and</w:t>
      </w:r>
      <w:r w:rsidR="00B8125F" w:rsidRPr="007712D4">
        <w:t xml:space="preserve"> </w:t>
      </w:r>
      <w:r w:rsidR="00401A8C" w:rsidRPr="007712D4">
        <w:t>section 1</w:t>
      </w:r>
      <w:r w:rsidRPr="007712D4">
        <w:t xml:space="preserve">3 (payment by Commonwealth) of the CTG Special Arrangement apply in relation to the relevant supply under this Special Arrangement with the modification set out in </w:t>
      </w:r>
      <w:r w:rsidR="00401A8C" w:rsidRPr="007712D4">
        <w:t>subsection (</w:t>
      </w:r>
      <w:r w:rsidRPr="007712D4">
        <w:t>2)</w:t>
      </w:r>
      <w:r w:rsidR="00C32417" w:rsidRPr="007712D4">
        <w:t xml:space="preserve"> of this section</w:t>
      </w:r>
      <w:r w:rsidRPr="007712D4">
        <w:t>.</w:t>
      </w:r>
    </w:p>
    <w:p w14:paraId="485651A9" w14:textId="77777777" w:rsidR="00DF13E5" w:rsidRPr="007712D4" w:rsidRDefault="00DF13E5" w:rsidP="00DF13E5">
      <w:pPr>
        <w:pStyle w:val="subsection"/>
      </w:pPr>
      <w:r w:rsidRPr="007712D4">
        <w:tab/>
        <w:t>(2)</w:t>
      </w:r>
      <w:r w:rsidRPr="007712D4">
        <w:tab/>
        <w:t>A reference in the CTG Special Arrangement to a supply of a pharmaceutical benefit under the CTG Special Arrangement is taken to be a reference to the relevant supply under this Special Arrangement.</w:t>
      </w:r>
    </w:p>
    <w:p w14:paraId="3287A121" w14:textId="77777777" w:rsidR="00DF13E5" w:rsidRPr="007712D4" w:rsidRDefault="00DF13E5" w:rsidP="00DF13E5">
      <w:pPr>
        <w:pStyle w:val="subsection"/>
      </w:pPr>
      <w:r w:rsidRPr="007712D4">
        <w:tab/>
        <w:t>(3)</w:t>
      </w:r>
      <w:r w:rsidRPr="007712D4">
        <w:tab/>
        <w:t xml:space="preserve">However, the notes to </w:t>
      </w:r>
      <w:r w:rsidR="0028668B" w:rsidRPr="007712D4">
        <w:t>subsections 1</w:t>
      </w:r>
      <w:r w:rsidRPr="007712D4">
        <w:t xml:space="preserve">1(2) and (3) of the CTG Special Arrangement </w:t>
      </w:r>
      <w:r w:rsidR="002E3742" w:rsidRPr="007712D4">
        <w:t>d</w:t>
      </w:r>
      <w:r w:rsidRPr="007712D4">
        <w:t>o not apply in relation to the relevant supply under this Special Arrangement.</w:t>
      </w:r>
    </w:p>
    <w:p w14:paraId="183D3593" w14:textId="77777777" w:rsidR="00DF13E5" w:rsidRPr="007712D4" w:rsidRDefault="00DF13E5" w:rsidP="00DF13E5">
      <w:pPr>
        <w:pStyle w:val="notetext"/>
        <w:rPr>
          <w:i/>
        </w:rPr>
      </w:pPr>
      <w:r w:rsidRPr="007712D4">
        <w:t>Note:</w:t>
      </w:r>
      <w:r w:rsidRPr="007712D4">
        <w:tab/>
        <w:t xml:space="preserve">The notes to </w:t>
      </w:r>
      <w:r w:rsidR="0028668B" w:rsidRPr="007712D4">
        <w:t>subsections 1</w:t>
      </w:r>
      <w:r w:rsidRPr="007712D4">
        <w:t xml:space="preserve">1(2) and (3) of the CTG Special Arrangement relate to CTG suppliers making claims for payment under the CTG Special Arrangement. Claims for payment in relation to the relevant supply under this Special Arrangement are instead dealt with under </w:t>
      </w:r>
      <w:r w:rsidR="00401A8C" w:rsidRPr="007712D4">
        <w:t>section 1</w:t>
      </w:r>
      <w:r w:rsidR="00AC1296" w:rsidRPr="007712D4">
        <w:t>9</w:t>
      </w:r>
      <w:r w:rsidRPr="007712D4">
        <w:t xml:space="preserve"> of this Special Arrangement.</w:t>
      </w:r>
    </w:p>
    <w:p w14:paraId="7F3CFFEC" w14:textId="77777777" w:rsidR="006270C1" w:rsidRPr="007712D4" w:rsidRDefault="00903B54" w:rsidP="006270C1">
      <w:pPr>
        <w:pStyle w:val="ItemHead"/>
      </w:pPr>
      <w:r w:rsidRPr="007712D4">
        <w:t>5</w:t>
      </w:r>
      <w:r w:rsidR="00E06F8D" w:rsidRPr="007712D4">
        <w:t>1</w:t>
      </w:r>
      <w:r w:rsidR="0019301B" w:rsidRPr="007712D4">
        <w:t xml:space="preserve">  </w:t>
      </w:r>
      <w:r w:rsidR="006270C1" w:rsidRPr="007712D4">
        <w:t xml:space="preserve">At the end of </w:t>
      </w:r>
      <w:r w:rsidR="00401A8C" w:rsidRPr="007712D4">
        <w:t>subsection 1</w:t>
      </w:r>
      <w:r w:rsidR="006270C1" w:rsidRPr="007712D4">
        <w:t>9(2)</w:t>
      </w:r>
    </w:p>
    <w:p w14:paraId="6232F16D" w14:textId="77777777" w:rsidR="006270C1" w:rsidRPr="007712D4" w:rsidRDefault="006270C1" w:rsidP="006270C1">
      <w:pPr>
        <w:pStyle w:val="Item"/>
      </w:pPr>
      <w:r w:rsidRPr="007712D4">
        <w:t>Add:</w:t>
      </w:r>
    </w:p>
    <w:p w14:paraId="5764C3A1" w14:textId="77777777" w:rsidR="0060120B" w:rsidRPr="007712D4" w:rsidRDefault="00DF13E5" w:rsidP="00143555">
      <w:pPr>
        <w:pStyle w:val="paragraph"/>
      </w:pPr>
      <w:r w:rsidRPr="007712D4">
        <w:tab/>
      </w:r>
      <w:r w:rsidR="006270C1" w:rsidRPr="007712D4">
        <w:t xml:space="preserve">; </w:t>
      </w:r>
      <w:r w:rsidRPr="007712D4">
        <w:t>(</w:t>
      </w:r>
      <w:r w:rsidR="006270C1" w:rsidRPr="007712D4">
        <w:t>b</w:t>
      </w:r>
      <w:r w:rsidRPr="007712D4">
        <w:t>)</w:t>
      </w:r>
      <w:r w:rsidRPr="007712D4">
        <w:tab/>
      </w:r>
      <w:r w:rsidR="002B1E3E" w:rsidRPr="007712D4">
        <w:t>must include an indicator that the patient is a CTG registered patient</w:t>
      </w:r>
      <w:r w:rsidR="0060120B" w:rsidRPr="007712D4">
        <w:t xml:space="preserve"> </w:t>
      </w:r>
      <w:r w:rsidR="0081360C" w:rsidRPr="007712D4">
        <w:t>if</w:t>
      </w:r>
      <w:r w:rsidR="0060120B" w:rsidRPr="007712D4">
        <w:t>:</w:t>
      </w:r>
    </w:p>
    <w:p w14:paraId="4FB1D9F2" w14:textId="77777777" w:rsidR="00A771C6" w:rsidRPr="007712D4" w:rsidRDefault="0060120B" w:rsidP="0060120B">
      <w:pPr>
        <w:pStyle w:val="paragraphsub"/>
      </w:pPr>
      <w:r w:rsidRPr="007712D4">
        <w:tab/>
        <w:t>(i)</w:t>
      </w:r>
      <w:r w:rsidRPr="007712D4">
        <w:tab/>
      </w:r>
      <w:r w:rsidR="00EA2FDD" w:rsidRPr="007712D4">
        <w:t xml:space="preserve">the claim is </w:t>
      </w:r>
      <w:r w:rsidR="00143555" w:rsidRPr="007712D4">
        <w:t xml:space="preserve">made by </w:t>
      </w:r>
      <w:r w:rsidRPr="007712D4">
        <w:t>an approved pharmacist, an approved medical practitioner or an approved hospital authority who is a CTG supplier</w:t>
      </w:r>
      <w:r w:rsidR="00EA2FDD" w:rsidRPr="007712D4">
        <w:t xml:space="preserve"> </w:t>
      </w:r>
      <w:r w:rsidR="00143555" w:rsidRPr="007712D4">
        <w:t>in relation to a patient who is a CTG registered patien</w:t>
      </w:r>
      <w:r w:rsidR="00EA2FDD" w:rsidRPr="007712D4">
        <w:t>t; and</w:t>
      </w:r>
    </w:p>
    <w:p w14:paraId="7502E650" w14:textId="77777777" w:rsidR="00EA2FDD" w:rsidRPr="007712D4" w:rsidRDefault="00EA2FDD" w:rsidP="0060120B">
      <w:pPr>
        <w:pStyle w:val="paragraphsub"/>
      </w:pPr>
      <w:r w:rsidRPr="007712D4">
        <w:tab/>
        <w:t>(</w:t>
      </w:r>
      <w:r w:rsidR="00BE3ABA" w:rsidRPr="007712D4">
        <w:t>i</w:t>
      </w:r>
      <w:r w:rsidRPr="007712D4">
        <w:t>i)</w:t>
      </w:r>
      <w:r w:rsidRPr="007712D4">
        <w:tab/>
        <w:t>the claim is made using the manual system</w:t>
      </w:r>
      <w:r w:rsidR="00A905CF" w:rsidRPr="007712D4">
        <w:t xml:space="preserve"> referred to in section 99AAA of the Act</w:t>
      </w:r>
      <w:r w:rsidRPr="007712D4">
        <w:t>.</w:t>
      </w:r>
    </w:p>
    <w:p w14:paraId="0B4A7D42" w14:textId="77777777" w:rsidR="00401A8C" w:rsidRPr="007712D4" w:rsidRDefault="00DA4E9F" w:rsidP="00BE3ABA">
      <w:pPr>
        <w:pStyle w:val="ActHead6"/>
        <w:pageBreakBefore/>
      </w:pPr>
      <w:bookmarkStart w:id="31" w:name="_Toc168584401"/>
      <w:r w:rsidRPr="00182579">
        <w:rPr>
          <w:rStyle w:val="CharAmSchNo"/>
        </w:rPr>
        <w:lastRenderedPageBreak/>
        <w:t>Schedule 2</w:t>
      </w:r>
      <w:r w:rsidR="00C30646" w:rsidRPr="007712D4">
        <w:t>—</w:t>
      </w:r>
      <w:r w:rsidR="00C30646" w:rsidRPr="00182579">
        <w:rPr>
          <w:rStyle w:val="CharAmSchText"/>
        </w:rPr>
        <w:t>Approved hospital authorities</w:t>
      </w:r>
      <w:bookmarkEnd w:id="31"/>
    </w:p>
    <w:p w14:paraId="43B3F98F" w14:textId="77777777" w:rsidR="0028668B" w:rsidRPr="00182579" w:rsidRDefault="0028668B" w:rsidP="001E1C34">
      <w:pPr>
        <w:pStyle w:val="Header"/>
      </w:pPr>
      <w:r w:rsidRPr="00182579">
        <w:rPr>
          <w:rStyle w:val="CharAmPartNo"/>
        </w:rPr>
        <w:t xml:space="preserve"> </w:t>
      </w:r>
      <w:r w:rsidRPr="00182579">
        <w:rPr>
          <w:rStyle w:val="CharAmPartText"/>
        </w:rPr>
        <w:t xml:space="preserve"> </w:t>
      </w:r>
    </w:p>
    <w:p w14:paraId="6A79BFB5" w14:textId="77777777" w:rsidR="00C30646" w:rsidRPr="007712D4" w:rsidRDefault="00C30646" w:rsidP="00C30646">
      <w:pPr>
        <w:pStyle w:val="ActHead9"/>
      </w:pPr>
      <w:bookmarkStart w:id="32" w:name="_Toc168584402"/>
      <w:r w:rsidRPr="007712D4">
        <w:t>National Health (Closing the Gap – PBS Co</w:t>
      </w:r>
      <w:r w:rsidR="007712D4">
        <w:noBreakHyphen/>
      </w:r>
      <w:r w:rsidRPr="007712D4">
        <w:t>payment Program) Special Arrangement 2016</w:t>
      </w:r>
      <w:bookmarkEnd w:id="32"/>
    </w:p>
    <w:p w14:paraId="5BBC7E02" w14:textId="77777777" w:rsidR="00C30646" w:rsidRPr="007712D4" w:rsidRDefault="005B28E5" w:rsidP="00C30646">
      <w:pPr>
        <w:pStyle w:val="ItemHead"/>
      </w:pPr>
      <w:r w:rsidRPr="007712D4">
        <w:t>1</w:t>
      </w:r>
      <w:r w:rsidR="00C30646" w:rsidRPr="007712D4">
        <w:t xml:space="preserve">  </w:t>
      </w:r>
      <w:r w:rsidR="0028668B" w:rsidRPr="007712D4">
        <w:t>Section 4</w:t>
      </w:r>
      <w:r w:rsidR="00C30646" w:rsidRPr="007712D4">
        <w:t xml:space="preserve"> (definition of </w:t>
      </w:r>
      <w:r w:rsidR="00C30646" w:rsidRPr="007712D4">
        <w:rPr>
          <w:i/>
        </w:rPr>
        <w:t>CTG suppli</w:t>
      </w:r>
      <w:bookmarkEnd w:id="7"/>
      <w:r w:rsidR="00C30646" w:rsidRPr="007712D4">
        <w:rPr>
          <w:i/>
        </w:rPr>
        <w:t>er</w:t>
      </w:r>
      <w:r w:rsidR="00C30646" w:rsidRPr="007712D4">
        <w:t>)</w:t>
      </w:r>
    </w:p>
    <w:p w14:paraId="693B0B36" w14:textId="77777777" w:rsidR="00C30646" w:rsidRPr="007712D4" w:rsidRDefault="00C30646" w:rsidP="00C30646">
      <w:pPr>
        <w:pStyle w:val="Item"/>
      </w:pPr>
      <w:r w:rsidRPr="007712D4">
        <w:t>Omit “for a private hospital”.</w:t>
      </w:r>
    </w:p>
    <w:p w14:paraId="1929F375" w14:textId="77777777" w:rsidR="00A30E92" w:rsidRPr="007712D4" w:rsidRDefault="005B28E5" w:rsidP="0039312B">
      <w:pPr>
        <w:pStyle w:val="ItemHead"/>
      </w:pPr>
      <w:r w:rsidRPr="007712D4">
        <w:t>2</w:t>
      </w:r>
      <w:r w:rsidR="00A30E92" w:rsidRPr="007712D4">
        <w:t xml:space="preserve">  </w:t>
      </w:r>
      <w:r w:rsidR="0028668B" w:rsidRPr="007712D4">
        <w:t>Section 4</w:t>
      </w:r>
      <w:r w:rsidR="00A30E92" w:rsidRPr="007712D4">
        <w:t xml:space="preserve"> (note</w:t>
      </w:r>
      <w:r w:rsidR="00452CFC" w:rsidRPr="007712D4">
        <w:t xml:space="preserve"> at the end</w:t>
      </w:r>
      <w:r w:rsidR="00A30E92" w:rsidRPr="007712D4">
        <w:t>)</w:t>
      </w:r>
    </w:p>
    <w:p w14:paraId="796D8500" w14:textId="77777777" w:rsidR="00D626AA" w:rsidRPr="007712D4" w:rsidRDefault="00A53C78" w:rsidP="00D626AA">
      <w:pPr>
        <w:pStyle w:val="Item"/>
      </w:pPr>
      <w:r w:rsidRPr="007712D4">
        <w:t>Before</w:t>
      </w:r>
      <w:r w:rsidR="00D626AA" w:rsidRPr="007712D4">
        <w:t>:</w:t>
      </w:r>
    </w:p>
    <w:p w14:paraId="7994455C" w14:textId="77777777" w:rsidR="00A53C78" w:rsidRPr="007712D4" w:rsidRDefault="00A53C78" w:rsidP="00D626AA">
      <w:pPr>
        <w:pStyle w:val="notepara"/>
      </w:pPr>
      <w:r w:rsidRPr="007712D4">
        <w:rPr>
          <w:b/>
        </w:rPr>
        <w:t>·</w:t>
      </w:r>
      <w:r w:rsidRPr="007712D4">
        <w:t xml:space="preserve">  approved </w:t>
      </w:r>
      <w:r w:rsidR="00174968" w:rsidRPr="007712D4">
        <w:t>medical practitioner</w:t>
      </w:r>
    </w:p>
    <w:p w14:paraId="4835DE12" w14:textId="77777777" w:rsidR="00174968" w:rsidRPr="007712D4" w:rsidRDefault="00D626AA" w:rsidP="00A30E92">
      <w:pPr>
        <w:pStyle w:val="Item"/>
      </w:pPr>
      <w:r w:rsidRPr="007712D4">
        <w:t>i</w:t>
      </w:r>
      <w:r w:rsidR="00A30E92" w:rsidRPr="007712D4">
        <w:t>nsert</w:t>
      </w:r>
      <w:r w:rsidR="00174968" w:rsidRPr="007712D4">
        <w:t>:</w:t>
      </w:r>
    </w:p>
    <w:p w14:paraId="559537EC" w14:textId="77777777" w:rsidR="00A30E92" w:rsidRPr="007712D4" w:rsidRDefault="00A30E92" w:rsidP="00174968">
      <w:pPr>
        <w:pStyle w:val="notepara"/>
      </w:pPr>
      <w:r w:rsidRPr="007712D4">
        <w:rPr>
          <w:b/>
        </w:rPr>
        <w:t>·</w:t>
      </w:r>
      <w:r w:rsidRPr="007712D4">
        <w:t xml:space="preserve">  approved hospital authority</w:t>
      </w:r>
    </w:p>
    <w:p w14:paraId="588F3B57" w14:textId="77777777" w:rsidR="0039312B" w:rsidRPr="007712D4" w:rsidRDefault="005B28E5" w:rsidP="0039312B">
      <w:pPr>
        <w:pStyle w:val="ItemHead"/>
      </w:pPr>
      <w:r w:rsidRPr="007712D4">
        <w:t>3</w:t>
      </w:r>
      <w:r w:rsidR="0039312B" w:rsidRPr="007712D4">
        <w:t xml:space="preserve">  </w:t>
      </w:r>
      <w:r w:rsidR="0028668B" w:rsidRPr="007712D4">
        <w:t>Section 4</w:t>
      </w:r>
      <w:r w:rsidR="00AA5B64" w:rsidRPr="007712D4">
        <w:t xml:space="preserve"> (note</w:t>
      </w:r>
      <w:r w:rsidR="00452CFC" w:rsidRPr="007712D4">
        <w:t xml:space="preserve"> at the end</w:t>
      </w:r>
      <w:r w:rsidR="00AA5B64" w:rsidRPr="007712D4">
        <w:t>)</w:t>
      </w:r>
    </w:p>
    <w:p w14:paraId="09E453F2" w14:textId="77777777" w:rsidR="00D626AA" w:rsidRPr="007712D4" w:rsidRDefault="00AA5B64" w:rsidP="00AA5B64">
      <w:pPr>
        <w:pStyle w:val="Item"/>
      </w:pPr>
      <w:r w:rsidRPr="007712D4">
        <w:t>Omit</w:t>
      </w:r>
      <w:r w:rsidR="00D626AA" w:rsidRPr="007712D4">
        <w:t>:</w:t>
      </w:r>
    </w:p>
    <w:p w14:paraId="17752E81" w14:textId="77777777" w:rsidR="00AA5B64" w:rsidRPr="007712D4" w:rsidRDefault="00AA5B64" w:rsidP="00D626AA">
      <w:pPr>
        <w:pStyle w:val="notepara"/>
      </w:pPr>
      <w:r w:rsidRPr="007712D4">
        <w:rPr>
          <w:b/>
        </w:rPr>
        <w:t>·</w:t>
      </w:r>
      <w:r w:rsidRPr="007712D4">
        <w:t xml:space="preserve">  private hospita</w:t>
      </w:r>
      <w:r w:rsidR="00D626AA" w:rsidRPr="007712D4">
        <w:t>l</w:t>
      </w:r>
    </w:p>
    <w:p w14:paraId="0585B833" w14:textId="77777777" w:rsidR="00C30646" w:rsidRPr="007712D4" w:rsidRDefault="005B28E5" w:rsidP="00C30646">
      <w:pPr>
        <w:pStyle w:val="ItemHead"/>
      </w:pPr>
      <w:r w:rsidRPr="007712D4">
        <w:t>4</w:t>
      </w:r>
      <w:r w:rsidR="00C30646" w:rsidRPr="007712D4">
        <w:t xml:space="preserve">  </w:t>
      </w:r>
      <w:r w:rsidR="00DA4E9F" w:rsidRPr="007712D4">
        <w:t>Paragraph 1</w:t>
      </w:r>
      <w:r w:rsidR="00C30646" w:rsidRPr="007712D4">
        <w:t>0A(1)(c)</w:t>
      </w:r>
    </w:p>
    <w:p w14:paraId="75F82BE1" w14:textId="77777777" w:rsidR="00C30646" w:rsidRPr="007712D4" w:rsidRDefault="00C30646" w:rsidP="00C30646">
      <w:pPr>
        <w:pStyle w:val="Item"/>
      </w:pPr>
      <w:r w:rsidRPr="007712D4">
        <w:t>Omit “for a private hospital”.</w:t>
      </w:r>
    </w:p>
    <w:p w14:paraId="4CB84F26" w14:textId="77777777" w:rsidR="00C30646" w:rsidRPr="007712D4" w:rsidRDefault="005B28E5" w:rsidP="00C30646">
      <w:pPr>
        <w:pStyle w:val="ItemHead"/>
      </w:pPr>
      <w:r w:rsidRPr="007712D4">
        <w:t>5</w:t>
      </w:r>
      <w:r w:rsidR="00C30646" w:rsidRPr="007712D4">
        <w:t xml:space="preserve">  </w:t>
      </w:r>
      <w:r w:rsidR="00DA4E9F" w:rsidRPr="007712D4">
        <w:t>Paragraph 1</w:t>
      </w:r>
      <w:r w:rsidR="00C30646" w:rsidRPr="007712D4">
        <w:t>1(3C)(a)</w:t>
      </w:r>
    </w:p>
    <w:p w14:paraId="55C13ABF" w14:textId="77777777" w:rsidR="00C30646" w:rsidRPr="007712D4" w:rsidRDefault="00C30646" w:rsidP="00F448A0">
      <w:pPr>
        <w:pStyle w:val="Item"/>
      </w:pPr>
      <w:r w:rsidRPr="007712D4">
        <w:t>Omit “for a private hospital”.</w:t>
      </w:r>
    </w:p>
    <w:sectPr w:rsidR="00C30646" w:rsidRPr="007712D4" w:rsidSect="0046737F">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1D076" w14:textId="77777777" w:rsidR="007712D4" w:rsidRDefault="007712D4" w:rsidP="0048364F">
      <w:pPr>
        <w:spacing w:line="240" w:lineRule="auto"/>
      </w:pPr>
      <w:r>
        <w:separator/>
      </w:r>
    </w:p>
  </w:endnote>
  <w:endnote w:type="continuationSeparator" w:id="0">
    <w:p w14:paraId="2B66B0C8" w14:textId="77777777" w:rsidR="007712D4" w:rsidRDefault="007712D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EB92" w14:textId="77777777" w:rsidR="007712D4" w:rsidRPr="0046737F" w:rsidRDefault="0046737F" w:rsidP="0046737F">
    <w:pPr>
      <w:pStyle w:val="Footer"/>
      <w:tabs>
        <w:tab w:val="clear" w:pos="4153"/>
        <w:tab w:val="clear" w:pos="8306"/>
        <w:tab w:val="center" w:pos="4150"/>
        <w:tab w:val="right" w:pos="8307"/>
      </w:tabs>
      <w:spacing w:before="120"/>
      <w:rPr>
        <w:i/>
        <w:sz w:val="18"/>
      </w:rPr>
    </w:pPr>
    <w:r w:rsidRPr="0046737F">
      <w:rPr>
        <w:i/>
        <w:sz w:val="18"/>
      </w:rPr>
      <w:t>OPC66884 -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B549" w14:textId="77777777" w:rsidR="007712D4" w:rsidRDefault="007712D4" w:rsidP="00E97334"/>
  <w:p w14:paraId="62C284C3" w14:textId="77777777" w:rsidR="007712D4" w:rsidRPr="0046737F" w:rsidRDefault="0046737F" w:rsidP="0046737F">
    <w:pPr>
      <w:rPr>
        <w:rFonts w:cs="Times New Roman"/>
        <w:i/>
        <w:sz w:val="18"/>
      </w:rPr>
    </w:pPr>
    <w:r w:rsidRPr="0046737F">
      <w:rPr>
        <w:rFonts w:cs="Times New Roman"/>
        <w:i/>
        <w:sz w:val="18"/>
      </w:rPr>
      <w:t>OPC66884 -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01055" w14:textId="77777777" w:rsidR="007712D4" w:rsidRPr="0046737F" w:rsidRDefault="0046737F" w:rsidP="0046737F">
    <w:pPr>
      <w:pStyle w:val="Footer"/>
      <w:tabs>
        <w:tab w:val="clear" w:pos="4153"/>
        <w:tab w:val="clear" w:pos="8306"/>
        <w:tab w:val="center" w:pos="4150"/>
        <w:tab w:val="right" w:pos="8307"/>
      </w:tabs>
      <w:spacing w:before="120"/>
      <w:rPr>
        <w:i/>
        <w:sz w:val="18"/>
      </w:rPr>
    </w:pPr>
    <w:r w:rsidRPr="0046737F">
      <w:rPr>
        <w:i/>
        <w:sz w:val="18"/>
      </w:rPr>
      <w:t>OPC66884 -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DDC5" w14:textId="77777777" w:rsidR="007712D4" w:rsidRPr="00E33C1C" w:rsidRDefault="007712D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712D4" w14:paraId="5069583B" w14:textId="77777777" w:rsidTr="00182579">
      <w:tc>
        <w:tcPr>
          <w:tcW w:w="709" w:type="dxa"/>
          <w:tcBorders>
            <w:top w:val="nil"/>
            <w:left w:val="nil"/>
            <w:bottom w:val="nil"/>
            <w:right w:val="nil"/>
          </w:tcBorders>
        </w:tcPr>
        <w:p w14:paraId="3FD59D8B" w14:textId="77777777" w:rsidR="007712D4" w:rsidRDefault="007712D4" w:rsidP="00EE0C0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109A236" w14:textId="4E11B36E" w:rsidR="007712D4" w:rsidRDefault="007712D4" w:rsidP="00EE0C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7BF8">
            <w:rPr>
              <w:i/>
              <w:sz w:val="18"/>
            </w:rPr>
            <w:t>National Health Legislation Amendment (Extension of Closing the Gap – PBS Co-payment Program) Instrument 2024</w:t>
          </w:r>
          <w:r w:rsidRPr="007A1328">
            <w:rPr>
              <w:i/>
              <w:sz w:val="18"/>
            </w:rPr>
            <w:fldChar w:fldCharType="end"/>
          </w:r>
        </w:p>
      </w:tc>
      <w:tc>
        <w:tcPr>
          <w:tcW w:w="1384" w:type="dxa"/>
          <w:tcBorders>
            <w:top w:val="nil"/>
            <w:left w:val="nil"/>
            <w:bottom w:val="nil"/>
            <w:right w:val="nil"/>
          </w:tcBorders>
        </w:tcPr>
        <w:p w14:paraId="69A09462" w14:textId="77777777" w:rsidR="007712D4" w:rsidRDefault="007712D4" w:rsidP="00EE0C03">
          <w:pPr>
            <w:spacing w:line="0" w:lineRule="atLeast"/>
            <w:jc w:val="right"/>
            <w:rPr>
              <w:sz w:val="18"/>
            </w:rPr>
          </w:pPr>
        </w:p>
      </w:tc>
    </w:tr>
  </w:tbl>
  <w:p w14:paraId="746AB290" w14:textId="77777777" w:rsidR="007712D4" w:rsidRPr="0046737F" w:rsidRDefault="0046737F" w:rsidP="0046737F">
    <w:pPr>
      <w:rPr>
        <w:rFonts w:cs="Times New Roman"/>
        <w:i/>
        <w:sz w:val="18"/>
      </w:rPr>
    </w:pPr>
    <w:r w:rsidRPr="0046737F">
      <w:rPr>
        <w:rFonts w:cs="Times New Roman"/>
        <w:i/>
        <w:sz w:val="18"/>
      </w:rPr>
      <w:t>OPC66884 -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16D6E" w14:textId="77777777" w:rsidR="007712D4" w:rsidRPr="00E33C1C" w:rsidRDefault="007712D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712D4" w14:paraId="187331FA" w14:textId="77777777" w:rsidTr="00182579">
      <w:tc>
        <w:tcPr>
          <w:tcW w:w="1383" w:type="dxa"/>
          <w:tcBorders>
            <w:top w:val="nil"/>
            <w:left w:val="nil"/>
            <w:bottom w:val="nil"/>
            <w:right w:val="nil"/>
          </w:tcBorders>
        </w:tcPr>
        <w:p w14:paraId="562FD2DA" w14:textId="77777777" w:rsidR="007712D4" w:rsidRDefault="007712D4" w:rsidP="00EE0C03">
          <w:pPr>
            <w:spacing w:line="0" w:lineRule="atLeast"/>
            <w:rPr>
              <w:sz w:val="18"/>
            </w:rPr>
          </w:pPr>
        </w:p>
      </w:tc>
      <w:tc>
        <w:tcPr>
          <w:tcW w:w="6379" w:type="dxa"/>
          <w:tcBorders>
            <w:top w:val="nil"/>
            <w:left w:val="nil"/>
            <w:bottom w:val="nil"/>
            <w:right w:val="nil"/>
          </w:tcBorders>
        </w:tcPr>
        <w:p w14:paraId="03B8D063" w14:textId="3C6F1443" w:rsidR="007712D4" w:rsidRDefault="007712D4" w:rsidP="00EE0C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7BF8">
            <w:rPr>
              <w:i/>
              <w:sz w:val="18"/>
            </w:rPr>
            <w:t>National Health Legislation Amendment (Extension of Closing the Gap – PBS Co-payment Program) Instrument 2024</w:t>
          </w:r>
          <w:r w:rsidRPr="007A1328">
            <w:rPr>
              <w:i/>
              <w:sz w:val="18"/>
            </w:rPr>
            <w:fldChar w:fldCharType="end"/>
          </w:r>
        </w:p>
      </w:tc>
      <w:tc>
        <w:tcPr>
          <w:tcW w:w="710" w:type="dxa"/>
          <w:tcBorders>
            <w:top w:val="nil"/>
            <w:left w:val="nil"/>
            <w:bottom w:val="nil"/>
            <w:right w:val="nil"/>
          </w:tcBorders>
        </w:tcPr>
        <w:p w14:paraId="641F1B9D" w14:textId="77777777" w:rsidR="007712D4" w:rsidRDefault="007712D4" w:rsidP="00EE0C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650F26E" w14:textId="77777777" w:rsidR="007712D4" w:rsidRPr="0046737F" w:rsidRDefault="0046737F" w:rsidP="0046737F">
    <w:pPr>
      <w:rPr>
        <w:rFonts w:cs="Times New Roman"/>
        <w:i/>
        <w:sz w:val="18"/>
      </w:rPr>
    </w:pPr>
    <w:r w:rsidRPr="0046737F">
      <w:rPr>
        <w:rFonts w:cs="Times New Roman"/>
        <w:i/>
        <w:sz w:val="18"/>
      </w:rPr>
      <w:t>OPC66884 -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64FE" w14:textId="77777777" w:rsidR="007712D4" w:rsidRPr="00E33C1C" w:rsidRDefault="007712D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712D4" w14:paraId="50AB3C0F" w14:textId="77777777" w:rsidTr="00182579">
      <w:tc>
        <w:tcPr>
          <w:tcW w:w="709" w:type="dxa"/>
          <w:tcBorders>
            <w:top w:val="nil"/>
            <w:left w:val="nil"/>
            <w:bottom w:val="nil"/>
            <w:right w:val="nil"/>
          </w:tcBorders>
        </w:tcPr>
        <w:p w14:paraId="0CEF3A08" w14:textId="77777777" w:rsidR="007712D4" w:rsidRDefault="007712D4" w:rsidP="00EE0C0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092074B" w14:textId="7B691DF2" w:rsidR="007712D4" w:rsidRDefault="007712D4" w:rsidP="00EE0C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7BF8">
            <w:rPr>
              <w:i/>
              <w:sz w:val="18"/>
            </w:rPr>
            <w:t>National Health Legislation Amendment (Extension of Closing the Gap – PBS Co-payment Program) Instrument 2024</w:t>
          </w:r>
          <w:r w:rsidRPr="007A1328">
            <w:rPr>
              <w:i/>
              <w:sz w:val="18"/>
            </w:rPr>
            <w:fldChar w:fldCharType="end"/>
          </w:r>
        </w:p>
      </w:tc>
      <w:tc>
        <w:tcPr>
          <w:tcW w:w="1384" w:type="dxa"/>
          <w:tcBorders>
            <w:top w:val="nil"/>
            <w:left w:val="nil"/>
            <w:bottom w:val="nil"/>
            <w:right w:val="nil"/>
          </w:tcBorders>
        </w:tcPr>
        <w:p w14:paraId="0D2E9F8A" w14:textId="77777777" w:rsidR="007712D4" w:rsidRDefault="007712D4" w:rsidP="00EE0C03">
          <w:pPr>
            <w:spacing w:line="0" w:lineRule="atLeast"/>
            <w:jc w:val="right"/>
            <w:rPr>
              <w:sz w:val="18"/>
            </w:rPr>
          </w:pPr>
        </w:p>
      </w:tc>
    </w:tr>
  </w:tbl>
  <w:p w14:paraId="542BFDDD" w14:textId="77777777" w:rsidR="007712D4" w:rsidRPr="0046737F" w:rsidRDefault="0046737F" w:rsidP="0046737F">
    <w:pPr>
      <w:rPr>
        <w:rFonts w:cs="Times New Roman"/>
        <w:i/>
        <w:sz w:val="18"/>
      </w:rPr>
    </w:pPr>
    <w:r w:rsidRPr="0046737F">
      <w:rPr>
        <w:rFonts w:cs="Times New Roman"/>
        <w:i/>
        <w:sz w:val="18"/>
      </w:rPr>
      <w:t>OPC66884 -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E21D" w14:textId="77777777" w:rsidR="007712D4" w:rsidRPr="00E33C1C" w:rsidRDefault="007712D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712D4" w14:paraId="58739F01" w14:textId="77777777" w:rsidTr="00EE0C03">
      <w:tc>
        <w:tcPr>
          <w:tcW w:w="1384" w:type="dxa"/>
          <w:tcBorders>
            <w:top w:val="nil"/>
            <w:left w:val="nil"/>
            <w:bottom w:val="nil"/>
            <w:right w:val="nil"/>
          </w:tcBorders>
        </w:tcPr>
        <w:p w14:paraId="73EF488D" w14:textId="77777777" w:rsidR="007712D4" w:rsidRDefault="007712D4" w:rsidP="00EE0C03">
          <w:pPr>
            <w:spacing w:line="0" w:lineRule="atLeast"/>
            <w:rPr>
              <w:sz w:val="18"/>
            </w:rPr>
          </w:pPr>
        </w:p>
      </w:tc>
      <w:tc>
        <w:tcPr>
          <w:tcW w:w="6379" w:type="dxa"/>
          <w:tcBorders>
            <w:top w:val="nil"/>
            <w:left w:val="nil"/>
            <w:bottom w:val="nil"/>
            <w:right w:val="nil"/>
          </w:tcBorders>
        </w:tcPr>
        <w:p w14:paraId="3DBF3725" w14:textId="6CF1C13C" w:rsidR="007712D4" w:rsidRDefault="007712D4" w:rsidP="00EE0C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7BF8">
            <w:rPr>
              <w:i/>
              <w:sz w:val="18"/>
            </w:rPr>
            <w:t>National Health Legislation Amendment (Extension of Closing the Gap – PBS Co-payment Program) Instrument 2024</w:t>
          </w:r>
          <w:r w:rsidRPr="007A1328">
            <w:rPr>
              <w:i/>
              <w:sz w:val="18"/>
            </w:rPr>
            <w:fldChar w:fldCharType="end"/>
          </w:r>
        </w:p>
      </w:tc>
      <w:tc>
        <w:tcPr>
          <w:tcW w:w="709" w:type="dxa"/>
          <w:tcBorders>
            <w:top w:val="nil"/>
            <w:left w:val="nil"/>
            <w:bottom w:val="nil"/>
            <w:right w:val="nil"/>
          </w:tcBorders>
        </w:tcPr>
        <w:p w14:paraId="6BB34BE6" w14:textId="77777777" w:rsidR="007712D4" w:rsidRDefault="007712D4" w:rsidP="00EE0C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6A7CB4B" w14:textId="77777777" w:rsidR="007712D4" w:rsidRPr="0046737F" w:rsidRDefault="0046737F" w:rsidP="0046737F">
    <w:pPr>
      <w:rPr>
        <w:rFonts w:cs="Times New Roman"/>
        <w:i/>
        <w:sz w:val="18"/>
      </w:rPr>
    </w:pPr>
    <w:r w:rsidRPr="0046737F">
      <w:rPr>
        <w:rFonts w:cs="Times New Roman"/>
        <w:i/>
        <w:sz w:val="18"/>
      </w:rPr>
      <w:t>OPC66884 -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7401" w14:textId="77777777" w:rsidR="007712D4" w:rsidRPr="00E33C1C" w:rsidRDefault="007712D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712D4" w14:paraId="7A855A4A" w14:textId="77777777" w:rsidTr="007A6863">
      <w:tc>
        <w:tcPr>
          <w:tcW w:w="1384" w:type="dxa"/>
          <w:tcBorders>
            <w:top w:val="nil"/>
            <w:left w:val="nil"/>
            <w:bottom w:val="nil"/>
            <w:right w:val="nil"/>
          </w:tcBorders>
        </w:tcPr>
        <w:p w14:paraId="0682160B" w14:textId="77777777" w:rsidR="007712D4" w:rsidRDefault="007712D4" w:rsidP="00EE0C03">
          <w:pPr>
            <w:spacing w:line="0" w:lineRule="atLeast"/>
            <w:rPr>
              <w:sz w:val="18"/>
            </w:rPr>
          </w:pPr>
        </w:p>
      </w:tc>
      <w:tc>
        <w:tcPr>
          <w:tcW w:w="6379" w:type="dxa"/>
          <w:tcBorders>
            <w:top w:val="nil"/>
            <w:left w:val="nil"/>
            <w:bottom w:val="nil"/>
            <w:right w:val="nil"/>
          </w:tcBorders>
        </w:tcPr>
        <w:p w14:paraId="47946901" w14:textId="3803583B" w:rsidR="007712D4" w:rsidRDefault="007712D4" w:rsidP="00EE0C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7BF8">
            <w:rPr>
              <w:i/>
              <w:sz w:val="18"/>
            </w:rPr>
            <w:t>National Health Legislation Amendment (Extension of Closing the Gap – PBS Co-payment Program) Instrument 2024</w:t>
          </w:r>
          <w:r w:rsidRPr="007A1328">
            <w:rPr>
              <w:i/>
              <w:sz w:val="18"/>
            </w:rPr>
            <w:fldChar w:fldCharType="end"/>
          </w:r>
        </w:p>
      </w:tc>
      <w:tc>
        <w:tcPr>
          <w:tcW w:w="709" w:type="dxa"/>
          <w:tcBorders>
            <w:top w:val="nil"/>
            <w:left w:val="nil"/>
            <w:bottom w:val="nil"/>
            <w:right w:val="nil"/>
          </w:tcBorders>
        </w:tcPr>
        <w:p w14:paraId="238D305E" w14:textId="77777777" w:rsidR="007712D4" w:rsidRDefault="007712D4" w:rsidP="00EE0C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8E5C869" w14:textId="77777777" w:rsidR="007712D4" w:rsidRPr="0046737F" w:rsidRDefault="0046737F" w:rsidP="0046737F">
    <w:pPr>
      <w:rPr>
        <w:rFonts w:cs="Times New Roman"/>
        <w:i/>
        <w:sz w:val="18"/>
      </w:rPr>
    </w:pPr>
    <w:r w:rsidRPr="0046737F">
      <w:rPr>
        <w:rFonts w:cs="Times New Roman"/>
        <w:i/>
        <w:sz w:val="18"/>
      </w:rPr>
      <w:t>OPC66884 -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9129F" w14:textId="77777777" w:rsidR="007712D4" w:rsidRDefault="007712D4" w:rsidP="0048364F">
      <w:pPr>
        <w:spacing w:line="240" w:lineRule="auto"/>
      </w:pPr>
      <w:r>
        <w:separator/>
      </w:r>
    </w:p>
  </w:footnote>
  <w:footnote w:type="continuationSeparator" w:id="0">
    <w:p w14:paraId="0399E8C9" w14:textId="77777777" w:rsidR="007712D4" w:rsidRDefault="007712D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57F3" w14:textId="77777777" w:rsidR="007712D4" w:rsidRPr="005F1388" w:rsidRDefault="007712D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3998" w14:textId="77777777" w:rsidR="007712D4" w:rsidRPr="005F1388" w:rsidRDefault="007712D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67DBA" w14:textId="77777777" w:rsidR="007712D4" w:rsidRPr="005F1388" w:rsidRDefault="007712D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56CA" w14:textId="77777777" w:rsidR="007712D4" w:rsidRPr="00ED79B6" w:rsidRDefault="007712D4"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EDB" w14:textId="77777777" w:rsidR="007712D4" w:rsidRPr="00ED79B6" w:rsidRDefault="007712D4"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F0A8" w14:textId="77777777" w:rsidR="007712D4" w:rsidRPr="00ED79B6" w:rsidRDefault="007712D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718C2" w14:textId="77101233" w:rsidR="007712D4" w:rsidRPr="00A961C4" w:rsidRDefault="007712D4" w:rsidP="0048364F">
    <w:pPr>
      <w:rPr>
        <w:b/>
        <w:sz w:val="20"/>
      </w:rPr>
    </w:pPr>
    <w:r>
      <w:rPr>
        <w:b/>
        <w:sz w:val="20"/>
      </w:rPr>
      <w:fldChar w:fldCharType="begin"/>
    </w:r>
    <w:r>
      <w:rPr>
        <w:b/>
        <w:sz w:val="20"/>
      </w:rPr>
      <w:instrText xml:space="preserve"> STYLEREF CharAmSchNo </w:instrText>
    </w:r>
    <w:r>
      <w:rPr>
        <w:b/>
        <w:sz w:val="20"/>
      </w:rPr>
      <w:fldChar w:fldCharType="separate"/>
    </w:r>
    <w:r w:rsidR="004924B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924B3">
      <w:rPr>
        <w:noProof/>
        <w:sz w:val="20"/>
      </w:rPr>
      <w:t>Main Amendments</w:t>
    </w:r>
    <w:r>
      <w:rPr>
        <w:sz w:val="20"/>
      </w:rPr>
      <w:fldChar w:fldCharType="end"/>
    </w:r>
  </w:p>
  <w:p w14:paraId="7B9DB971" w14:textId="203F9BC1" w:rsidR="007712D4" w:rsidRPr="00A961C4" w:rsidRDefault="007712D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CE024B3" w14:textId="77777777" w:rsidR="007712D4" w:rsidRPr="00A961C4" w:rsidRDefault="007712D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5C33" w14:textId="5396B140" w:rsidR="007712D4" w:rsidRPr="00A961C4" w:rsidRDefault="007712D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286E3ED" w14:textId="7CE5C66F" w:rsidR="007712D4" w:rsidRPr="00A961C4" w:rsidRDefault="007712D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BE2B4F2" w14:textId="77777777" w:rsidR="007712D4" w:rsidRPr="00A961C4" w:rsidRDefault="007712D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E0E4" w14:textId="77777777" w:rsidR="007712D4" w:rsidRPr="00A961C4" w:rsidRDefault="007712D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EC"/>
    <w:rsid w:val="00000263"/>
    <w:rsid w:val="0000170B"/>
    <w:rsid w:val="0000473C"/>
    <w:rsid w:val="000058F5"/>
    <w:rsid w:val="000061CA"/>
    <w:rsid w:val="00006C0F"/>
    <w:rsid w:val="000113BC"/>
    <w:rsid w:val="00012E4A"/>
    <w:rsid w:val="000136AF"/>
    <w:rsid w:val="0002153F"/>
    <w:rsid w:val="00023F07"/>
    <w:rsid w:val="00024225"/>
    <w:rsid w:val="00027BF8"/>
    <w:rsid w:val="0003146A"/>
    <w:rsid w:val="00031F2F"/>
    <w:rsid w:val="00031FFD"/>
    <w:rsid w:val="000320F9"/>
    <w:rsid w:val="00036E24"/>
    <w:rsid w:val="00037C6D"/>
    <w:rsid w:val="00040088"/>
    <w:rsid w:val="0004044E"/>
    <w:rsid w:val="00040CCB"/>
    <w:rsid w:val="000413AC"/>
    <w:rsid w:val="000421FD"/>
    <w:rsid w:val="000433D2"/>
    <w:rsid w:val="00044411"/>
    <w:rsid w:val="00046C36"/>
    <w:rsid w:val="00046F47"/>
    <w:rsid w:val="000502F6"/>
    <w:rsid w:val="0005120E"/>
    <w:rsid w:val="000516E0"/>
    <w:rsid w:val="00052459"/>
    <w:rsid w:val="00052EC8"/>
    <w:rsid w:val="00054577"/>
    <w:rsid w:val="0005549F"/>
    <w:rsid w:val="00056068"/>
    <w:rsid w:val="000576A8"/>
    <w:rsid w:val="00060E11"/>
    <w:rsid w:val="0006131C"/>
    <w:rsid w:val="000614BF"/>
    <w:rsid w:val="00066288"/>
    <w:rsid w:val="0007169C"/>
    <w:rsid w:val="000729B5"/>
    <w:rsid w:val="00077593"/>
    <w:rsid w:val="000835CF"/>
    <w:rsid w:val="00083F48"/>
    <w:rsid w:val="00086C11"/>
    <w:rsid w:val="0008770B"/>
    <w:rsid w:val="00091C65"/>
    <w:rsid w:val="0009288E"/>
    <w:rsid w:val="000928D8"/>
    <w:rsid w:val="00097996"/>
    <w:rsid w:val="00097DA3"/>
    <w:rsid w:val="000A3994"/>
    <w:rsid w:val="000A463B"/>
    <w:rsid w:val="000A63C8"/>
    <w:rsid w:val="000A7DF9"/>
    <w:rsid w:val="000B1C1D"/>
    <w:rsid w:val="000B2FB6"/>
    <w:rsid w:val="000B7439"/>
    <w:rsid w:val="000B7886"/>
    <w:rsid w:val="000C057A"/>
    <w:rsid w:val="000C162A"/>
    <w:rsid w:val="000C40A5"/>
    <w:rsid w:val="000D05EF"/>
    <w:rsid w:val="000D25A0"/>
    <w:rsid w:val="000D5485"/>
    <w:rsid w:val="000E5940"/>
    <w:rsid w:val="000F1605"/>
    <w:rsid w:val="000F21C1"/>
    <w:rsid w:val="000F38C0"/>
    <w:rsid w:val="000F40CB"/>
    <w:rsid w:val="000F428A"/>
    <w:rsid w:val="000F6F7A"/>
    <w:rsid w:val="00101138"/>
    <w:rsid w:val="00105D72"/>
    <w:rsid w:val="0010745C"/>
    <w:rsid w:val="00111CAC"/>
    <w:rsid w:val="001124F6"/>
    <w:rsid w:val="0011461A"/>
    <w:rsid w:val="00115330"/>
    <w:rsid w:val="001157E3"/>
    <w:rsid w:val="00117277"/>
    <w:rsid w:val="00117B59"/>
    <w:rsid w:val="00127079"/>
    <w:rsid w:val="00127470"/>
    <w:rsid w:val="001323E9"/>
    <w:rsid w:val="00141967"/>
    <w:rsid w:val="0014223E"/>
    <w:rsid w:val="00143555"/>
    <w:rsid w:val="001436A4"/>
    <w:rsid w:val="0014411A"/>
    <w:rsid w:val="00144DB3"/>
    <w:rsid w:val="001464B9"/>
    <w:rsid w:val="00147D19"/>
    <w:rsid w:val="00150846"/>
    <w:rsid w:val="00153CB6"/>
    <w:rsid w:val="00155873"/>
    <w:rsid w:val="00160BD7"/>
    <w:rsid w:val="001626C5"/>
    <w:rsid w:val="001641AC"/>
    <w:rsid w:val="001643C9"/>
    <w:rsid w:val="0016536F"/>
    <w:rsid w:val="00165568"/>
    <w:rsid w:val="00166082"/>
    <w:rsid w:val="00166C2F"/>
    <w:rsid w:val="001716C9"/>
    <w:rsid w:val="00172BDC"/>
    <w:rsid w:val="00174968"/>
    <w:rsid w:val="0017638D"/>
    <w:rsid w:val="00176ACC"/>
    <w:rsid w:val="00177EAB"/>
    <w:rsid w:val="00180BF2"/>
    <w:rsid w:val="00182579"/>
    <w:rsid w:val="00184261"/>
    <w:rsid w:val="00184F7F"/>
    <w:rsid w:val="0018646A"/>
    <w:rsid w:val="00190BA1"/>
    <w:rsid w:val="00190DF5"/>
    <w:rsid w:val="001912F4"/>
    <w:rsid w:val="0019301B"/>
    <w:rsid w:val="00193461"/>
    <w:rsid w:val="00193949"/>
    <w:rsid w:val="001939E1"/>
    <w:rsid w:val="001946F7"/>
    <w:rsid w:val="00195382"/>
    <w:rsid w:val="0019671A"/>
    <w:rsid w:val="001976F2"/>
    <w:rsid w:val="001A1B27"/>
    <w:rsid w:val="001A3B9F"/>
    <w:rsid w:val="001A4302"/>
    <w:rsid w:val="001A50D9"/>
    <w:rsid w:val="001A5D1C"/>
    <w:rsid w:val="001A65C0"/>
    <w:rsid w:val="001A6DCE"/>
    <w:rsid w:val="001A711A"/>
    <w:rsid w:val="001B35C6"/>
    <w:rsid w:val="001B6456"/>
    <w:rsid w:val="001B7A5D"/>
    <w:rsid w:val="001C69C4"/>
    <w:rsid w:val="001C70D9"/>
    <w:rsid w:val="001D175C"/>
    <w:rsid w:val="001D7B7E"/>
    <w:rsid w:val="001E0A8D"/>
    <w:rsid w:val="001E0D0E"/>
    <w:rsid w:val="001E1C34"/>
    <w:rsid w:val="001E2646"/>
    <w:rsid w:val="001E3590"/>
    <w:rsid w:val="001E52F4"/>
    <w:rsid w:val="001E7407"/>
    <w:rsid w:val="001E7625"/>
    <w:rsid w:val="001F369B"/>
    <w:rsid w:val="001F42E5"/>
    <w:rsid w:val="001F695F"/>
    <w:rsid w:val="00200403"/>
    <w:rsid w:val="00201D27"/>
    <w:rsid w:val="0020300C"/>
    <w:rsid w:val="0020409B"/>
    <w:rsid w:val="00204322"/>
    <w:rsid w:val="00205CC6"/>
    <w:rsid w:val="00210B49"/>
    <w:rsid w:val="00210E83"/>
    <w:rsid w:val="00211ACA"/>
    <w:rsid w:val="002143AB"/>
    <w:rsid w:val="00217610"/>
    <w:rsid w:val="00217DA8"/>
    <w:rsid w:val="00220A0C"/>
    <w:rsid w:val="00220A8E"/>
    <w:rsid w:val="00223E4A"/>
    <w:rsid w:val="00226552"/>
    <w:rsid w:val="00227A18"/>
    <w:rsid w:val="0023017A"/>
    <w:rsid w:val="002302EA"/>
    <w:rsid w:val="00234A36"/>
    <w:rsid w:val="0023683A"/>
    <w:rsid w:val="00236CEB"/>
    <w:rsid w:val="00237A5F"/>
    <w:rsid w:val="00240266"/>
    <w:rsid w:val="0024027E"/>
    <w:rsid w:val="00240749"/>
    <w:rsid w:val="002454B3"/>
    <w:rsid w:val="00245DF6"/>
    <w:rsid w:val="002462C3"/>
    <w:rsid w:val="002468D7"/>
    <w:rsid w:val="00247194"/>
    <w:rsid w:val="00250D31"/>
    <w:rsid w:val="00251803"/>
    <w:rsid w:val="00252237"/>
    <w:rsid w:val="0025355A"/>
    <w:rsid w:val="002612F0"/>
    <w:rsid w:val="002628EF"/>
    <w:rsid w:val="00263886"/>
    <w:rsid w:val="002638C9"/>
    <w:rsid w:val="0027374C"/>
    <w:rsid w:val="00274F15"/>
    <w:rsid w:val="0027599F"/>
    <w:rsid w:val="002800F4"/>
    <w:rsid w:val="00282C52"/>
    <w:rsid w:val="002850E9"/>
    <w:rsid w:val="00285CDD"/>
    <w:rsid w:val="0028668B"/>
    <w:rsid w:val="002878DA"/>
    <w:rsid w:val="00291167"/>
    <w:rsid w:val="0029125C"/>
    <w:rsid w:val="002965F7"/>
    <w:rsid w:val="002979AC"/>
    <w:rsid w:val="00297CC8"/>
    <w:rsid w:val="00297ECB"/>
    <w:rsid w:val="002A0FDF"/>
    <w:rsid w:val="002A1324"/>
    <w:rsid w:val="002A29C9"/>
    <w:rsid w:val="002A4A08"/>
    <w:rsid w:val="002A54A1"/>
    <w:rsid w:val="002A5EC1"/>
    <w:rsid w:val="002A72E0"/>
    <w:rsid w:val="002B0201"/>
    <w:rsid w:val="002B0E1B"/>
    <w:rsid w:val="002B1E3E"/>
    <w:rsid w:val="002B6A43"/>
    <w:rsid w:val="002B73D6"/>
    <w:rsid w:val="002B7763"/>
    <w:rsid w:val="002C152A"/>
    <w:rsid w:val="002C58FB"/>
    <w:rsid w:val="002C652D"/>
    <w:rsid w:val="002D043A"/>
    <w:rsid w:val="002D5FE3"/>
    <w:rsid w:val="002E059A"/>
    <w:rsid w:val="002E1210"/>
    <w:rsid w:val="002E3742"/>
    <w:rsid w:val="002E4646"/>
    <w:rsid w:val="002E5A27"/>
    <w:rsid w:val="002F5B19"/>
    <w:rsid w:val="002F6356"/>
    <w:rsid w:val="002F7D6B"/>
    <w:rsid w:val="00300E28"/>
    <w:rsid w:val="00304A71"/>
    <w:rsid w:val="003122EA"/>
    <w:rsid w:val="00314C02"/>
    <w:rsid w:val="00316824"/>
    <w:rsid w:val="0031713F"/>
    <w:rsid w:val="003173B2"/>
    <w:rsid w:val="003214C5"/>
    <w:rsid w:val="00321913"/>
    <w:rsid w:val="00321E9D"/>
    <w:rsid w:val="00324EE6"/>
    <w:rsid w:val="00325366"/>
    <w:rsid w:val="00325409"/>
    <w:rsid w:val="003264E5"/>
    <w:rsid w:val="003310E9"/>
    <w:rsid w:val="003316DC"/>
    <w:rsid w:val="00331C65"/>
    <w:rsid w:val="00332E0D"/>
    <w:rsid w:val="0033302A"/>
    <w:rsid w:val="003332C9"/>
    <w:rsid w:val="003336A5"/>
    <w:rsid w:val="003355DF"/>
    <w:rsid w:val="00336E52"/>
    <w:rsid w:val="00337287"/>
    <w:rsid w:val="003409BC"/>
    <w:rsid w:val="003415D3"/>
    <w:rsid w:val="00342CCB"/>
    <w:rsid w:val="00345C2A"/>
    <w:rsid w:val="00346335"/>
    <w:rsid w:val="00347C4A"/>
    <w:rsid w:val="00350413"/>
    <w:rsid w:val="003506AF"/>
    <w:rsid w:val="003506B1"/>
    <w:rsid w:val="003520BC"/>
    <w:rsid w:val="00352B0F"/>
    <w:rsid w:val="00352FE6"/>
    <w:rsid w:val="003561B0"/>
    <w:rsid w:val="003632E5"/>
    <w:rsid w:val="003650EC"/>
    <w:rsid w:val="003664D0"/>
    <w:rsid w:val="00367960"/>
    <w:rsid w:val="0037021F"/>
    <w:rsid w:val="00372596"/>
    <w:rsid w:val="0037275F"/>
    <w:rsid w:val="00374AEA"/>
    <w:rsid w:val="00374D22"/>
    <w:rsid w:val="00377D78"/>
    <w:rsid w:val="0038057D"/>
    <w:rsid w:val="003811B1"/>
    <w:rsid w:val="003837EB"/>
    <w:rsid w:val="00385092"/>
    <w:rsid w:val="003854BF"/>
    <w:rsid w:val="00385613"/>
    <w:rsid w:val="003868A3"/>
    <w:rsid w:val="00390E72"/>
    <w:rsid w:val="0039312B"/>
    <w:rsid w:val="0039395C"/>
    <w:rsid w:val="0039710C"/>
    <w:rsid w:val="003A15AC"/>
    <w:rsid w:val="003A2840"/>
    <w:rsid w:val="003A3A04"/>
    <w:rsid w:val="003A568C"/>
    <w:rsid w:val="003A56EB"/>
    <w:rsid w:val="003A7F7E"/>
    <w:rsid w:val="003B0627"/>
    <w:rsid w:val="003B2708"/>
    <w:rsid w:val="003B29C9"/>
    <w:rsid w:val="003B2DC2"/>
    <w:rsid w:val="003B3361"/>
    <w:rsid w:val="003B476E"/>
    <w:rsid w:val="003B6253"/>
    <w:rsid w:val="003C2993"/>
    <w:rsid w:val="003C3DB0"/>
    <w:rsid w:val="003C4176"/>
    <w:rsid w:val="003C502C"/>
    <w:rsid w:val="003C5F2B"/>
    <w:rsid w:val="003D0BFE"/>
    <w:rsid w:val="003D15CC"/>
    <w:rsid w:val="003D1775"/>
    <w:rsid w:val="003D23F7"/>
    <w:rsid w:val="003D2C70"/>
    <w:rsid w:val="003D2D90"/>
    <w:rsid w:val="003D5700"/>
    <w:rsid w:val="003D5CA7"/>
    <w:rsid w:val="003E1AC5"/>
    <w:rsid w:val="003E218B"/>
    <w:rsid w:val="003E5435"/>
    <w:rsid w:val="003F0F5A"/>
    <w:rsid w:val="003F2AD8"/>
    <w:rsid w:val="003F5A7E"/>
    <w:rsid w:val="003F75E8"/>
    <w:rsid w:val="003F79D0"/>
    <w:rsid w:val="00400A30"/>
    <w:rsid w:val="004018EF"/>
    <w:rsid w:val="00401A8C"/>
    <w:rsid w:val="004022CA"/>
    <w:rsid w:val="00404693"/>
    <w:rsid w:val="00407D98"/>
    <w:rsid w:val="0041125B"/>
    <w:rsid w:val="004116CD"/>
    <w:rsid w:val="00412A03"/>
    <w:rsid w:val="00412C29"/>
    <w:rsid w:val="00413560"/>
    <w:rsid w:val="00414ADE"/>
    <w:rsid w:val="00415CA6"/>
    <w:rsid w:val="00424CA9"/>
    <w:rsid w:val="004257BB"/>
    <w:rsid w:val="004261D9"/>
    <w:rsid w:val="0042633A"/>
    <w:rsid w:val="0042693D"/>
    <w:rsid w:val="00431311"/>
    <w:rsid w:val="004318AF"/>
    <w:rsid w:val="0044291A"/>
    <w:rsid w:val="00442D8C"/>
    <w:rsid w:val="00444313"/>
    <w:rsid w:val="00444E8F"/>
    <w:rsid w:val="00445194"/>
    <w:rsid w:val="00450F2D"/>
    <w:rsid w:val="0045241A"/>
    <w:rsid w:val="004528E7"/>
    <w:rsid w:val="00452CFC"/>
    <w:rsid w:val="00452DBA"/>
    <w:rsid w:val="00460499"/>
    <w:rsid w:val="0046264F"/>
    <w:rsid w:val="0046321C"/>
    <w:rsid w:val="00463726"/>
    <w:rsid w:val="004661FD"/>
    <w:rsid w:val="0046737F"/>
    <w:rsid w:val="004676BE"/>
    <w:rsid w:val="00474835"/>
    <w:rsid w:val="004808E1"/>
    <w:rsid w:val="004819C7"/>
    <w:rsid w:val="0048364F"/>
    <w:rsid w:val="00483F31"/>
    <w:rsid w:val="00485857"/>
    <w:rsid w:val="00486A49"/>
    <w:rsid w:val="00490F2E"/>
    <w:rsid w:val="00491F52"/>
    <w:rsid w:val="00492377"/>
    <w:rsid w:val="004924B3"/>
    <w:rsid w:val="004926A0"/>
    <w:rsid w:val="00493DC1"/>
    <w:rsid w:val="00495524"/>
    <w:rsid w:val="00496DB3"/>
    <w:rsid w:val="00496F97"/>
    <w:rsid w:val="004A2C0B"/>
    <w:rsid w:val="004A481B"/>
    <w:rsid w:val="004A4827"/>
    <w:rsid w:val="004A53EA"/>
    <w:rsid w:val="004A614C"/>
    <w:rsid w:val="004C02A9"/>
    <w:rsid w:val="004C0882"/>
    <w:rsid w:val="004C1840"/>
    <w:rsid w:val="004C2550"/>
    <w:rsid w:val="004C5AAB"/>
    <w:rsid w:val="004D17AC"/>
    <w:rsid w:val="004D1952"/>
    <w:rsid w:val="004D377E"/>
    <w:rsid w:val="004D3B07"/>
    <w:rsid w:val="004E2A2D"/>
    <w:rsid w:val="004E5E0A"/>
    <w:rsid w:val="004F1AAB"/>
    <w:rsid w:val="004F1FAC"/>
    <w:rsid w:val="004F28A3"/>
    <w:rsid w:val="004F4785"/>
    <w:rsid w:val="004F5589"/>
    <w:rsid w:val="004F676E"/>
    <w:rsid w:val="004F6825"/>
    <w:rsid w:val="00501AA5"/>
    <w:rsid w:val="0050456C"/>
    <w:rsid w:val="0050736A"/>
    <w:rsid w:val="00511CAF"/>
    <w:rsid w:val="00512E20"/>
    <w:rsid w:val="005133FE"/>
    <w:rsid w:val="00515BB6"/>
    <w:rsid w:val="00516B8D"/>
    <w:rsid w:val="005202C5"/>
    <w:rsid w:val="0052055B"/>
    <w:rsid w:val="005210B5"/>
    <w:rsid w:val="005214DF"/>
    <w:rsid w:val="00523D8D"/>
    <w:rsid w:val="00523F76"/>
    <w:rsid w:val="00525088"/>
    <w:rsid w:val="0052686F"/>
    <w:rsid w:val="00526DBD"/>
    <w:rsid w:val="0052756C"/>
    <w:rsid w:val="00530230"/>
    <w:rsid w:val="00530CC9"/>
    <w:rsid w:val="00531229"/>
    <w:rsid w:val="005345B7"/>
    <w:rsid w:val="00535B8D"/>
    <w:rsid w:val="0053625A"/>
    <w:rsid w:val="0053744C"/>
    <w:rsid w:val="00537FBC"/>
    <w:rsid w:val="00540641"/>
    <w:rsid w:val="00541D73"/>
    <w:rsid w:val="0054201D"/>
    <w:rsid w:val="00543469"/>
    <w:rsid w:val="005441A4"/>
    <w:rsid w:val="005452CC"/>
    <w:rsid w:val="00546EFB"/>
    <w:rsid w:val="00546FA3"/>
    <w:rsid w:val="005517BA"/>
    <w:rsid w:val="005524CB"/>
    <w:rsid w:val="005538EE"/>
    <w:rsid w:val="00554243"/>
    <w:rsid w:val="00557848"/>
    <w:rsid w:val="00557C7A"/>
    <w:rsid w:val="00560D17"/>
    <w:rsid w:val="00562085"/>
    <w:rsid w:val="00562A58"/>
    <w:rsid w:val="00566522"/>
    <w:rsid w:val="005736F0"/>
    <w:rsid w:val="00575ED0"/>
    <w:rsid w:val="00581211"/>
    <w:rsid w:val="00582C45"/>
    <w:rsid w:val="005837B4"/>
    <w:rsid w:val="00583B4B"/>
    <w:rsid w:val="005842C2"/>
    <w:rsid w:val="00584811"/>
    <w:rsid w:val="00587042"/>
    <w:rsid w:val="00593848"/>
    <w:rsid w:val="00593AA6"/>
    <w:rsid w:val="00594161"/>
    <w:rsid w:val="005944A2"/>
    <w:rsid w:val="00594512"/>
    <w:rsid w:val="00594749"/>
    <w:rsid w:val="00596F72"/>
    <w:rsid w:val="005A482B"/>
    <w:rsid w:val="005A51C7"/>
    <w:rsid w:val="005A6A49"/>
    <w:rsid w:val="005A746F"/>
    <w:rsid w:val="005B0D42"/>
    <w:rsid w:val="005B13D8"/>
    <w:rsid w:val="005B19F3"/>
    <w:rsid w:val="005B277E"/>
    <w:rsid w:val="005B28E5"/>
    <w:rsid w:val="005B29AB"/>
    <w:rsid w:val="005B2ED2"/>
    <w:rsid w:val="005B4067"/>
    <w:rsid w:val="005B57F4"/>
    <w:rsid w:val="005B7310"/>
    <w:rsid w:val="005B7C25"/>
    <w:rsid w:val="005C08D3"/>
    <w:rsid w:val="005C36E0"/>
    <w:rsid w:val="005C3F41"/>
    <w:rsid w:val="005C45B4"/>
    <w:rsid w:val="005C5EA5"/>
    <w:rsid w:val="005C61A2"/>
    <w:rsid w:val="005C690D"/>
    <w:rsid w:val="005D015C"/>
    <w:rsid w:val="005D168D"/>
    <w:rsid w:val="005D2A59"/>
    <w:rsid w:val="005D3A63"/>
    <w:rsid w:val="005D43E5"/>
    <w:rsid w:val="005D5EA1"/>
    <w:rsid w:val="005E005B"/>
    <w:rsid w:val="005E25F3"/>
    <w:rsid w:val="005E2DF4"/>
    <w:rsid w:val="005E404C"/>
    <w:rsid w:val="005E4964"/>
    <w:rsid w:val="005E5BE6"/>
    <w:rsid w:val="005E5D8B"/>
    <w:rsid w:val="005E61D3"/>
    <w:rsid w:val="005F2378"/>
    <w:rsid w:val="005F4840"/>
    <w:rsid w:val="005F62C5"/>
    <w:rsid w:val="005F7738"/>
    <w:rsid w:val="00600219"/>
    <w:rsid w:val="006003E2"/>
    <w:rsid w:val="0060120B"/>
    <w:rsid w:val="00602D45"/>
    <w:rsid w:val="0060301C"/>
    <w:rsid w:val="00604716"/>
    <w:rsid w:val="00605FFA"/>
    <w:rsid w:val="006102CC"/>
    <w:rsid w:val="006110B2"/>
    <w:rsid w:val="00613EAD"/>
    <w:rsid w:val="006158AC"/>
    <w:rsid w:val="00615BC9"/>
    <w:rsid w:val="00616D3F"/>
    <w:rsid w:val="00616E96"/>
    <w:rsid w:val="00621A87"/>
    <w:rsid w:val="00621CDE"/>
    <w:rsid w:val="00624AC5"/>
    <w:rsid w:val="0062702A"/>
    <w:rsid w:val="006270C1"/>
    <w:rsid w:val="00632341"/>
    <w:rsid w:val="00636401"/>
    <w:rsid w:val="00640402"/>
    <w:rsid w:val="00640F78"/>
    <w:rsid w:val="00644382"/>
    <w:rsid w:val="00644CEF"/>
    <w:rsid w:val="00646E7B"/>
    <w:rsid w:val="00654882"/>
    <w:rsid w:val="00655D6A"/>
    <w:rsid w:val="00656DE9"/>
    <w:rsid w:val="006637B7"/>
    <w:rsid w:val="00663B29"/>
    <w:rsid w:val="00663B4D"/>
    <w:rsid w:val="00663DDB"/>
    <w:rsid w:val="0066482C"/>
    <w:rsid w:val="00667F8A"/>
    <w:rsid w:val="00670341"/>
    <w:rsid w:val="00670FB4"/>
    <w:rsid w:val="00676ACB"/>
    <w:rsid w:val="00677CC2"/>
    <w:rsid w:val="00681495"/>
    <w:rsid w:val="00681704"/>
    <w:rsid w:val="00684311"/>
    <w:rsid w:val="00684904"/>
    <w:rsid w:val="00684ECF"/>
    <w:rsid w:val="00685F42"/>
    <w:rsid w:val="006866A1"/>
    <w:rsid w:val="0069207B"/>
    <w:rsid w:val="00692511"/>
    <w:rsid w:val="00694B0F"/>
    <w:rsid w:val="00696712"/>
    <w:rsid w:val="0069679B"/>
    <w:rsid w:val="006979D0"/>
    <w:rsid w:val="006A07C3"/>
    <w:rsid w:val="006A0BC3"/>
    <w:rsid w:val="006A201B"/>
    <w:rsid w:val="006A324A"/>
    <w:rsid w:val="006A4309"/>
    <w:rsid w:val="006A71B7"/>
    <w:rsid w:val="006A7628"/>
    <w:rsid w:val="006B0E55"/>
    <w:rsid w:val="006B7006"/>
    <w:rsid w:val="006B738B"/>
    <w:rsid w:val="006C0D73"/>
    <w:rsid w:val="006C39A9"/>
    <w:rsid w:val="006C50B3"/>
    <w:rsid w:val="006C6E34"/>
    <w:rsid w:val="006C7F8C"/>
    <w:rsid w:val="006D03A6"/>
    <w:rsid w:val="006D282F"/>
    <w:rsid w:val="006D6211"/>
    <w:rsid w:val="006D7AB9"/>
    <w:rsid w:val="006E148E"/>
    <w:rsid w:val="006E4FEA"/>
    <w:rsid w:val="006E58F3"/>
    <w:rsid w:val="006F2462"/>
    <w:rsid w:val="006F32DD"/>
    <w:rsid w:val="006F6673"/>
    <w:rsid w:val="00700B2C"/>
    <w:rsid w:val="00703138"/>
    <w:rsid w:val="0070386B"/>
    <w:rsid w:val="007055C3"/>
    <w:rsid w:val="00705939"/>
    <w:rsid w:val="00710D7B"/>
    <w:rsid w:val="00711214"/>
    <w:rsid w:val="007120BB"/>
    <w:rsid w:val="00713084"/>
    <w:rsid w:val="007133F5"/>
    <w:rsid w:val="00716035"/>
    <w:rsid w:val="007160ED"/>
    <w:rsid w:val="00716883"/>
    <w:rsid w:val="00717B24"/>
    <w:rsid w:val="00717CF0"/>
    <w:rsid w:val="00720FC2"/>
    <w:rsid w:val="00724AB3"/>
    <w:rsid w:val="00731DFF"/>
    <w:rsid w:val="00731E00"/>
    <w:rsid w:val="00732A86"/>
    <w:rsid w:val="00732D64"/>
    <w:rsid w:val="00732DA2"/>
    <w:rsid w:val="00732E9D"/>
    <w:rsid w:val="0073491A"/>
    <w:rsid w:val="00734FA0"/>
    <w:rsid w:val="00734FD3"/>
    <w:rsid w:val="00735A55"/>
    <w:rsid w:val="00735A92"/>
    <w:rsid w:val="00737877"/>
    <w:rsid w:val="0074227D"/>
    <w:rsid w:val="00743113"/>
    <w:rsid w:val="007440B7"/>
    <w:rsid w:val="00744D50"/>
    <w:rsid w:val="007473C5"/>
    <w:rsid w:val="00747993"/>
    <w:rsid w:val="00751C4C"/>
    <w:rsid w:val="00752774"/>
    <w:rsid w:val="00755500"/>
    <w:rsid w:val="007555E6"/>
    <w:rsid w:val="007575C7"/>
    <w:rsid w:val="007634AD"/>
    <w:rsid w:val="0076356F"/>
    <w:rsid w:val="00766D4A"/>
    <w:rsid w:val="0076744C"/>
    <w:rsid w:val="007712D4"/>
    <w:rsid w:val="007715C9"/>
    <w:rsid w:val="00772A1D"/>
    <w:rsid w:val="007746D8"/>
    <w:rsid w:val="00774EDD"/>
    <w:rsid w:val="007757EC"/>
    <w:rsid w:val="00777914"/>
    <w:rsid w:val="00780222"/>
    <w:rsid w:val="007832DA"/>
    <w:rsid w:val="00784F22"/>
    <w:rsid w:val="00792905"/>
    <w:rsid w:val="007938AD"/>
    <w:rsid w:val="00794F32"/>
    <w:rsid w:val="007951D9"/>
    <w:rsid w:val="007A105D"/>
    <w:rsid w:val="007A115D"/>
    <w:rsid w:val="007A35E6"/>
    <w:rsid w:val="007A4FA8"/>
    <w:rsid w:val="007A6863"/>
    <w:rsid w:val="007A6A01"/>
    <w:rsid w:val="007A6FD1"/>
    <w:rsid w:val="007B27FE"/>
    <w:rsid w:val="007B7B7C"/>
    <w:rsid w:val="007C317F"/>
    <w:rsid w:val="007D205C"/>
    <w:rsid w:val="007D3248"/>
    <w:rsid w:val="007D45C1"/>
    <w:rsid w:val="007D7364"/>
    <w:rsid w:val="007D79D1"/>
    <w:rsid w:val="007E0BF4"/>
    <w:rsid w:val="007E44E1"/>
    <w:rsid w:val="007E4823"/>
    <w:rsid w:val="007E53B9"/>
    <w:rsid w:val="007E7D4A"/>
    <w:rsid w:val="007F1321"/>
    <w:rsid w:val="007F334A"/>
    <w:rsid w:val="007F4888"/>
    <w:rsid w:val="007F48ED"/>
    <w:rsid w:val="007F7947"/>
    <w:rsid w:val="00800F22"/>
    <w:rsid w:val="0080139C"/>
    <w:rsid w:val="0080313E"/>
    <w:rsid w:val="00805190"/>
    <w:rsid w:val="008073F6"/>
    <w:rsid w:val="00807922"/>
    <w:rsid w:val="00810B0A"/>
    <w:rsid w:val="00811355"/>
    <w:rsid w:val="00811A09"/>
    <w:rsid w:val="00811A7F"/>
    <w:rsid w:val="00812DD1"/>
    <w:rsid w:val="00812F45"/>
    <w:rsid w:val="0081360C"/>
    <w:rsid w:val="008157EC"/>
    <w:rsid w:val="008211A2"/>
    <w:rsid w:val="00823B55"/>
    <w:rsid w:val="00823FF4"/>
    <w:rsid w:val="008262B2"/>
    <w:rsid w:val="0083163C"/>
    <w:rsid w:val="0083432C"/>
    <w:rsid w:val="00837468"/>
    <w:rsid w:val="00837BA8"/>
    <w:rsid w:val="008400D8"/>
    <w:rsid w:val="0084172C"/>
    <w:rsid w:val="008444EE"/>
    <w:rsid w:val="00846415"/>
    <w:rsid w:val="0085053F"/>
    <w:rsid w:val="008506A4"/>
    <w:rsid w:val="00851791"/>
    <w:rsid w:val="00852925"/>
    <w:rsid w:val="00854934"/>
    <w:rsid w:val="00855700"/>
    <w:rsid w:val="00856A31"/>
    <w:rsid w:val="00856DD3"/>
    <w:rsid w:val="008608FD"/>
    <w:rsid w:val="0086754A"/>
    <w:rsid w:val="00871DBF"/>
    <w:rsid w:val="008754D0"/>
    <w:rsid w:val="00875504"/>
    <w:rsid w:val="0087696D"/>
    <w:rsid w:val="0087773C"/>
    <w:rsid w:val="00877D48"/>
    <w:rsid w:val="008816F0"/>
    <w:rsid w:val="00881B14"/>
    <w:rsid w:val="00882407"/>
    <w:rsid w:val="00882A11"/>
    <w:rsid w:val="0088345B"/>
    <w:rsid w:val="00884ADD"/>
    <w:rsid w:val="00884B68"/>
    <w:rsid w:val="00885D99"/>
    <w:rsid w:val="008863EF"/>
    <w:rsid w:val="00891FB1"/>
    <w:rsid w:val="0089251D"/>
    <w:rsid w:val="00892CAE"/>
    <w:rsid w:val="00895C10"/>
    <w:rsid w:val="008A08F2"/>
    <w:rsid w:val="008A16A5"/>
    <w:rsid w:val="008A4C1E"/>
    <w:rsid w:val="008A6B0F"/>
    <w:rsid w:val="008A7D4C"/>
    <w:rsid w:val="008B173F"/>
    <w:rsid w:val="008B5536"/>
    <w:rsid w:val="008B5D42"/>
    <w:rsid w:val="008B6289"/>
    <w:rsid w:val="008B6A7A"/>
    <w:rsid w:val="008B7115"/>
    <w:rsid w:val="008B7626"/>
    <w:rsid w:val="008B770C"/>
    <w:rsid w:val="008C2B5D"/>
    <w:rsid w:val="008C3C0C"/>
    <w:rsid w:val="008C4E6D"/>
    <w:rsid w:val="008D0EE0"/>
    <w:rsid w:val="008D1BE7"/>
    <w:rsid w:val="008D569C"/>
    <w:rsid w:val="008D5B99"/>
    <w:rsid w:val="008D7A27"/>
    <w:rsid w:val="008E4702"/>
    <w:rsid w:val="008E4EF3"/>
    <w:rsid w:val="008E69AA"/>
    <w:rsid w:val="008F0DC8"/>
    <w:rsid w:val="008F2963"/>
    <w:rsid w:val="008F4F1C"/>
    <w:rsid w:val="008F66FA"/>
    <w:rsid w:val="008F70E7"/>
    <w:rsid w:val="008F79C4"/>
    <w:rsid w:val="00901025"/>
    <w:rsid w:val="00903B54"/>
    <w:rsid w:val="00904D41"/>
    <w:rsid w:val="009075D0"/>
    <w:rsid w:val="00910204"/>
    <w:rsid w:val="0091058E"/>
    <w:rsid w:val="00911310"/>
    <w:rsid w:val="00912960"/>
    <w:rsid w:val="00915B8A"/>
    <w:rsid w:val="00915EF8"/>
    <w:rsid w:val="00922764"/>
    <w:rsid w:val="00923364"/>
    <w:rsid w:val="009256F5"/>
    <w:rsid w:val="00931302"/>
    <w:rsid w:val="009314F7"/>
    <w:rsid w:val="00931CAA"/>
    <w:rsid w:val="00932377"/>
    <w:rsid w:val="0093243A"/>
    <w:rsid w:val="00932CAB"/>
    <w:rsid w:val="00934D59"/>
    <w:rsid w:val="00940176"/>
    <w:rsid w:val="009405BA"/>
    <w:rsid w:val="009408EA"/>
    <w:rsid w:val="00941CBC"/>
    <w:rsid w:val="00943102"/>
    <w:rsid w:val="0094523D"/>
    <w:rsid w:val="009454D9"/>
    <w:rsid w:val="00946DD0"/>
    <w:rsid w:val="0095077C"/>
    <w:rsid w:val="00954C20"/>
    <w:rsid w:val="009559E6"/>
    <w:rsid w:val="00964D39"/>
    <w:rsid w:val="009659F6"/>
    <w:rsid w:val="00967AEC"/>
    <w:rsid w:val="00971C78"/>
    <w:rsid w:val="0097302E"/>
    <w:rsid w:val="00976588"/>
    <w:rsid w:val="00976A63"/>
    <w:rsid w:val="009774C0"/>
    <w:rsid w:val="009807B1"/>
    <w:rsid w:val="0098165C"/>
    <w:rsid w:val="00983419"/>
    <w:rsid w:val="00987A52"/>
    <w:rsid w:val="009904AD"/>
    <w:rsid w:val="00990971"/>
    <w:rsid w:val="00994821"/>
    <w:rsid w:val="00994956"/>
    <w:rsid w:val="009A0736"/>
    <w:rsid w:val="009A118C"/>
    <w:rsid w:val="009A4EA2"/>
    <w:rsid w:val="009A6F18"/>
    <w:rsid w:val="009A745C"/>
    <w:rsid w:val="009B2C29"/>
    <w:rsid w:val="009B4590"/>
    <w:rsid w:val="009C3431"/>
    <w:rsid w:val="009C461E"/>
    <w:rsid w:val="009C4C35"/>
    <w:rsid w:val="009C5989"/>
    <w:rsid w:val="009C5E6D"/>
    <w:rsid w:val="009C6511"/>
    <w:rsid w:val="009D0406"/>
    <w:rsid w:val="009D08DA"/>
    <w:rsid w:val="009D4189"/>
    <w:rsid w:val="009D5966"/>
    <w:rsid w:val="009E036D"/>
    <w:rsid w:val="009E357F"/>
    <w:rsid w:val="009E6536"/>
    <w:rsid w:val="009E66F1"/>
    <w:rsid w:val="009F4CB1"/>
    <w:rsid w:val="009F6327"/>
    <w:rsid w:val="009F740E"/>
    <w:rsid w:val="009F7DFC"/>
    <w:rsid w:val="00A006ED"/>
    <w:rsid w:val="00A01A6F"/>
    <w:rsid w:val="00A031C5"/>
    <w:rsid w:val="00A05BB2"/>
    <w:rsid w:val="00A06860"/>
    <w:rsid w:val="00A106DD"/>
    <w:rsid w:val="00A11AD9"/>
    <w:rsid w:val="00A12EF1"/>
    <w:rsid w:val="00A136F5"/>
    <w:rsid w:val="00A1564F"/>
    <w:rsid w:val="00A1668B"/>
    <w:rsid w:val="00A21779"/>
    <w:rsid w:val="00A21C57"/>
    <w:rsid w:val="00A231E2"/>
    <w:rsid w:val="00A23D92"/>
    <w:rsid w:val="00A2550D"/>
    <w:rsid w:val="00A25D6D"/>
    <w:rsid w:val="00A26D8B"/>
    <w:rsid w:val="00A30857"/>
    <w:rsid w:val="00A30D3B"/>
    <w:rsid w:val="00A30E92"/>
    <w:rsid w:val="00A31CFF"/>
    <w:rsid w:val="00A32398"/>
    <w:rsid w:val="00A33AEC"/>
    <w:rsid w:val="00A34E6A"/>
    <w:rsid w:val="00A361E6"/>
    <w:rsid w:val="00A36481"/>
    <w:rsid w:val="00A3781D"/>
    <w:rsid w:val="00A379F5"/>
    <w:rsid w:val="00A40AA1"/>
    <w:rsid w:val="00A4169B"/>
    <w:rsid w:val="00A42721"/>
    <w:rsid w:val="00A43A2D"/>
    <w:rsid w:val="00A445F2"/>
    <w:rsid w:val="00A44602"/>
    <w:rsid w:val="00A50D55"/>
    <w:rsid w:val="00A5165B"/>
    <w:rsid w:val="00A524C6"/>
    <w:rsid w:val="00A52FDA"/>
    <w:rsid w:val="00A53C78"/>
    <w:rsid w:val="00A5472D"/>
    <w:rsid w:val="00A55068"/>
    <w:rsid w:val="00A55F4D"/>
    <w:rsid w:val="00A56EE5"/>
    <w:rsid w:val="00A60DE6"/>
    <w:rsid w:val="00A62E45"/>
    <w:rsid w:val="00A630F4"/>
    <w:rsid w:val="00A63E4D"/>
    <w:rsid w:val="00A64912"/>
    <w:rsid w:val="00A65394"/>
    <w:rsid w:val="00A665FA"/>
    <w:rsid w:val="00A67E8D"/>
    <w:rsid w:val="00A7023D"/>
    <w:rsid w:val="00A70A74"/>
    <w:rsid w:val="00A735A2"/>
    <w:rsid w:val="00A75672"/>
    <w:rsid w:val="00A771C6"/>
    <w:rsid w:val="00A80B3C"/>
    <w:rsid w:val="00A80E77"/>
    <w:rsid w:val="00A8129B"/>
    <w:rsid w:val="00A836AC"/>
    <w:rsid w:val="00A84AB7"/>
    <w:rsid w:val="00A905CF"/>
    <w:rsid w:val="00A90EA8"/>
    <w:rsid w:val="00A911F2"/>
    <w:rsid w:val="00A9251B"/>
    <w:rsid w:val="00A932F0"/>
    <w:rsid w:val="00A93501"/>
    <w:rsid w:val="00A9395B"/>
    <w:rsid w:val="00A93C6D"/>
    <w:rsid w:val="00A94A7B"/>
    <w:rsid w:val="00AA0147"/>
    <w:rsid w:val="00AA0343"/>
    <w:rsid w:val="00AA1C68"/>
    <w:rsid w:val="00AA1E00"/>
    <w:rsid w:val="00AA2A5C"/>
    <w:rsid w:val="00AA5B64"/>
    <w:rsid w:val="00AA5C67"/>
    <w:rsid w:val="00AA5FB1"/>
    <w:rsid w:val="00AA6B6D"/>
    <w:rsid w:val="00AB2B02"/>
    <w:rsid w:val="00AB6913"/>
    <w:rsid w:val="00AB78E9"/>
    <w:rsid w:val="00AC1296"/>
    <w:rsid w:val="00AC15DB"/>
    <w:rsid w:val="00AC32A1"/>
    <w:rsid w:val="00AC32F9"/>
    <w:rsid w:val="00AC39A5"/>
    <w:rsid w:val="00AC3D03"/>
    <w:rsid w:val="00AC5611"/>
    <w:rsid w:val="00AC5E13"/>
    <w:rsid w:val="00AC7013"/>
    <w:rsid w:val="00AC7422"/>
    <w:rsid w:val="00AD00B1"/>
    <w:rsid w:val="00AD3467"/>
    <w:rsid w:val="00AD477C"/>
    <w:rsid w:val="00AD5641"/>
    <w:rsid w:val="00AD5B64"/>
    <w:rsid w:val="00AD7252"/>
    <w:rsid w:val="00AE080E"/>
    <w:rsid w:val="00AE0F9B"/>
    <w:rsid w:val="00AF0B17"/>
    <w:rsid w:val="00AF2028"/>
    <w:rsid w:val="00AF2734"/>
    <w:rsid w:val="00AF55FF"/>
    <w:rsid w:val="00AF5A4F"/>
    <w:rsid w:val="00AF6E47"/>
    <w:rsid w:val="00B00D81"/>
    <w:rsid w:val="00B032D8"/>
    <w:rsid w:val="00B072C9"/>
    <w:rsid w:val="00B10546"/>
    <w:rsid w:val="00B12573"/>
    <w:rsid w:val="00B14FC6"/>
    <w:rsid w:val="00B15054"/>
    <w:rsid w:val="00B206F8"/>
    <w:rsid w:val="00B21598"/>
    <w:rsid w:val="00B22078"/>
    <w:rsid w:val="00B23F8F"/>
    <w:rsid w:val="00B259C3"/>
    <w:rsid w:val="00B2602B"/>
    <w:rsid w:val="00B30805"/>
    <w:rsid w:val="00B31CF1"/>
    <w:rsid w:val="00B33B3C"/>
    <w:rsid w:val="00B34D78"/>
    <w:rsid w:val="00B40640"/>
    <w:rsid w:val="00B40D74"/>
    <w:rsid w:val="00B42533"/>
    <w:rsid w:val="00B430A0"/>
    <w:rsid w:val="00B45712"/>
    <w:rsid w:val="00B475EE"/>
    <w:rsid w:val="00B50145"/>
    <w:rsid w:val="00B52663"/>
    <w:rsid w:val="00B52C02"/>
    <w:rsid w:val="00B537E9"/>
    <w:rsid w:val="00B543FB"/>
    <w:rsid w:val="00B56DCB"/>
    <w:rsid w:val="00B6068F"/>
    <w:rsid w:val="00B63321"/>
    <w:rsid w:val="00B63ABA"/>
    <w:rsid w:val="00B66542"/>
    <w:rsid w:val="00B72D2A"/>
    <w:rsid w:val="00B76CAE"/>
    <w:rsid w:val="00B770D2"/>
    <w:rsid w:val="00B77CEB"/>
    <w:rsid w:val="00B80EBD"/>
    <w:rsid w:val="00B8125F"/>
    <w:rsid w:val="00B81B05"/>
    <w:rsid w:val="00B82EF9"/>
    <w:rsid w:val="00B911FD"/>
    <w:rsid w:val="00B92201"/>
    <w:rsid w:val="00B93FB1"/>
    <w:rsid w:val="00B94F68"/>
    <w:rsid w:val="00B96141"/>
    <w:rsid w:val="00B9683E"/>
    <w:rsid w:val="00BA05AD"/>
    <w:rsid w:val="00BA3A0B"/>
    <w:rsid w:val="00BA43E6"/>
    <w:rsid w:val="00BA47A3"/>
    <w:rsid w:val="00BA5026"/>
    <w:rsid w:val="00BB1660"/>
    <w:rsid w:val="00BB2BC0"/>
    <w:rsid w:val="00BB332C"/>
    <w:rsid w:val="00BB339E"/>
    <w:rsid w:val="00BB4CCF"/>
    <w:rsid w:val="00BB5B39"/>
    <w:rsid w:val="00BB6339"/>
    <w:rsid w:val="00BB6CE4"/>
    <w:rsid w:val="00BB6E79"/>
    <w:rsid w:val="00BC0BBC"/>
    <w:rsid w:val="00BD2182"/>
    <w:rsid w:val="00BD3C25"/>
    <w:rsid w:val="00BD3F28"/>
    <w:rsid w:val="00BD4724"/>
    <w:rsid w:val="00BD56E6"/>
    <w:rsid w:val="00BE3ABA"/>
    <w:rsid w:val="00BE3B31"/>
    <w:rsid w:val="00BE4261"/>
    <w:rsid w:val="00BE528C"/>
    <w:rsid w:val="00BE6DB8"/>
    <w:rsid w:val="00BE719A"/>
    <w:rsid w:val="00BE720A"/>
    <w:rsid w:val="00BF328E"/>
    <w:rsid w:val="00BF465C"/>
    <w:rsid w:val="00BF64C1"/>
    <w:rsid w:val="00BF6650"/>
    <w:rsid w:val="00BF69D0"/>
    <w:rsid w:val="00BF6D27"/>
    <w:rsid w:val="00C000E1"/>
    <w:rsid w:val="00C05C54"/>
    <w:rsid w:val="00C0649A"/>
    <w:rsid w:val="00C067E5"/>
    <w:rsid w:val="00C1055A"/>
    <w:rsid w:val="00C11D6E"/>
    <w:rsid w:val="00C15735"/>
    <w:rsid w:val="00C15748"/>
    <w:rsid w:val="00C164CA"/>
    <w:rsid w:val="00C22A75"/>
    <w:rsid w:val="00C23AD9"/>
    <w:rsid w:val="00C242BA"/>
    <w:rsid w:val="00C25EC8"/>
    <w:rsid w:val="00C30646"/>
    <w:rsid w:val="00C30F54"/>
    <w:rsid w:val="00C321CE"/>
    <w:rsid w:val="00C32417"/>
    <w:rsid w:val="00C37062"/>
    <w:rsid w:val="00C400D6"/>
    <w:rsid w:val="00C40232"/>
    <w:rsid w:val="00C42BF8"/>
    <w:rsid w:val="00C44BAD"/>
    <w:rsid w:val="00C460AE"/>
    <w:rsid w:val="00C469AC"/>
    <w:rsid w:val="00C50043"/>
    <w:rsid w:val="00C50A0F"/>
    <w:rsid w:val="00C51E4E"/>
    <w:rsid w:val="00C548F3"/>
    <w:rsid w:val="00C61733"/>
    <w:rsid w:val="00C629A8"/>
    <w:rsid w:val="00C640F1"/>
    <w:rsid w:val="00C660D1"/>
    <w:rsid w:val="00C7030F"/>
    <w:rsid w:val="00C7573B"/>
    <w:rsid w:val="00C759D6"/>
    <w:rsid w:val="00C76CF3"/>
    <w:rsid w:val="00C776EE"/>
    <w:rsid w:val="00C77FF0"/>
    <w:rsid w:val="00C835B1"/>
    <w:rsid w:val="00C839AF"/>
    <w:rsid w:val="00C85F14"/>
    <w:rsid w:val="00C87C18"/>
    <w:rsid w:val="00C904C8"/>
    <w:rsid w:val="00C90EE8"/>
    <w:rsid w:val="00C90F3B"/>
    <w:rsid w:val="00C9210D"/>
    <w:rsid w:val="00C93E62"/>
    <w:rsid w:val="00C94409"/>
    <w:rsid w:val="00CA7844"/>
    <w:rsid w:val="00CB0123"/>
    <w:rsid w:val="00CB1AF8"/>
    <w:rsid w:val="00CB4F5E"/>
    <w:rsid w:val="00CB58EF"/>
    <w:rsid w:val="00CC0BEB"/>
    <w:rsid w:val="00CC1865"/>
    <w:rsid w:val="00CC25EE"/>
    <w:rsid w:val="00CC7DF6"/>
    <w:rsid w:val="00CD1455"/>
    <w:rsid w:val="00CD33C4"/>
    <w:rsid w:val="00CD48F5"/>
    <w:rsid w:val="00CD4DAE"/>
    <w:rsid w:val="00CD5ADE"/>
    <w:rsid w:val="00CD5E00"/>
    <w:rsid w:val="00CE17DF"/>
    <w:rsid w:val="00CE3A3A"/>
    <w:rsid w:val="00CE7D64"/>
    <w:rsid w:val="00CF0BA0"/>
    <w:rsid w:val="00CF0BB2"/>
    <w:rsid w:val="00CF2CEB"/>
    <w:rsid w:val="00CF38FC"/>
    <w:rsid w:val="00CF49A3"/>
    <w:rsid w:val="00CF5C90"/>
    <w:rsid w:val="00CF6C96"/>
    <w:rsid w:val="00D02B64"/>
    <w:rsid w:val="00D031A8"/>
    <w:rsid w:val="00D0353A"/>
    <w:rsid w:val="00D04100"/>
    <w:rsid w:val="00D079C3"/>
    <w:rsid w:val="00D103FA"/>
    <w:rsid w:val="00D10B02"/>
    <w:rsid w:val="00D1232C"/>
    <w:rsid w:val="00D13441"/>
    <w:rsid w:val="00D144C5"/>
    <w:rsid w:val="00D14BF3"/>
    <w:rsid w:val="00D16DCB"/>
    <w:rsid w:val="00D179D9"/>
    <w:rsid w:val="00D20665"/>
    <w:rsid w:val="00D2229A"/>
    <w:rsid w:val="00D22359"/>
    <w:rsid w:val="00D232BF"/>
    <w:rsid w:val="00D243A3"/>
    <w:rsid w:val="00D26146"/>
    <w:rsid w:val="00D278F9"/>
    <w:rsid w:val="00D27F8C"/>
    <w:rsid w:val="00D3200B"/>
    <w:rsid w:val="00D32730"/>
    <w:rsid w:val="00D33440"/>
    <w:rsid w:val="00D344E7"/>
    <w:rsid w:val="00D37DA0"/>
    <w:rsid w:val="00D41199"/>
    <w:rsid w:val="00D41A0F"/>
    <w:rsid w:val="00D41CC1"/>
    <w:rsid w:val="00D43291"/>
    <w:rsid w:val="00D47711"/>
    <w:rsid w:val="00D47765"/>
    <w:rsid w:val="00D51096"/>
    <w:rsid w:val="00D527B1"/>
    <w:rsid w:val="00D52EFE"/>
    <w:rsid w:val="00D53361"/>
    <w:rsid w:val="00D54A11"/>
    <w:rsid w:val="00D55252"/>
    <w:rsid w:val="00D56A0D"/>
    <w:rsid w:val="00D5767F"/>
    <w:rsid w:val="00D60EAE"/>
    <w:rsid w:val="00D60EDA"/>
    <w:rsid w:val="00D626AA"/>
    <w:rsid w:val="00D63EF6"/>
    <w:rsid w:val="00D66518"/>
    <w:rsid w:val="00D676D8"/>
    <w:rsid w:val="00D70DFB"/>
    <w:rsid w:val="00D714DC"/>
    <w:rsid w:val="00D71EEA"/>
    <w:rsid w:val="00D72214"/>
    <w:rsid w:val="00D735CD"/>
    <w:rsid w:val="00D73EB7"/>
    <w:rsid w:val="00D7431B"/>
    <w:rsid w:val="00D751C2"/>
    <w:rsid w:val="00D7633C"/>
    <w:rsid w:val="00D766DF"/>
    <w:rsid w:val="00D772C9"/>
    <w:rsid w:val="00D777F0"/>
    <w:rsid w:val="00D80949"/>
    <w:rsid w:val="00D82791"/>
    <w:rsid w:val="00D841D8"/>
    <w:rsid w:val="00D843AB"/>
    <w:rsid w:val="00D84EF1"/>
    <w:rsid w:val="00D92DA8"/>
    <w:rsid w:val="00D92EDC"/>
    <w:rsid w:val="00D95891"/>
    <w:rsid w:val="00DA139D"/>
    <w:rsid w:val="00DA3E6F"/>
    <w:rsid w:val="00DA4E9F"/>
    <w:rsid w:val="00DA588D"/>
    <w:rsid w:val="00DB022C"/>
    <w:rsid w:val="00DB37FF"/>
    <w:rsid w:val="00DB46C6"/>
    <w:rsid w:val="00DB5CB4"/>
    <w:rsid w:val="00DB5E3E"/>
    <w:rsid w:val="00DC1282"/>
    <w:rsid w:val="00DC3AD2"/>
    <w:rsid w:val="00DC4E8C"/>
    <w:rsid w:val="00DC645E"/>
    <w:rsid w:val="00DC661B"/>
    <w:rsid w:val="00DD0A16"/>
    <w:rsid w:val="00DD200C"/>
    <w:rsid w:val="00DD2D6D"/>
    <w:rsid w:val="00DD5620"/>
    <w:rsid w:val="00DD72D3"/>
    <w:rsid w:val="00DE02E1"/>
    <w:rsid w:val="00DE09CB"/>
    <w:rsid w:val="00DE0F05"/>
    <w:rsid w:val="00DE149E"/>
    <w:rsid w:val="00DE2C9A"/>
    <w:rsid w:val="00DE2D4B"/>
    <w:rsid w:val="00DE3A7F"/>
    <w:rsid w:val="00DE496A"/>
    <w:rsid w:val="00DE7F58"/>
    <w:rsid w:val="00DF0971"/>
    <w:rsid w:val="00DF13E5"/>
    <w:rsid w:val="00DF1B2E"/>
    <w:rsid w:val="00DF63F2"/>
    <w:rsid w:val="00DF66FB"/>
    <w:rsid w:val="00DF7B48"/>
    <w:rsid w:val="00E00106"/>
    <w:rsid w:val="00E0027D"/>
    <w:rsid w:val="00E01C86"/>
    <w:rsid w:val="00E035C9"/>
    <w:rsid w:val="00E03D21"/>
    <w:rsid w:val="00E04372"/>
    <w:rsid w:val="00E05704"/>
    <w:rsid w:val="00E05AE6"/>
    <w:rsid w:val="00E0687D"/>
    <w:rsid w:val="00E06F8D"/>
    <w:rsid w:val="00E07A1A"/>
    <w:rsid w:val="00E07E31"/>
    <w:rsid w:val="00E1259D"/>
    <w:rsid w:val="00E12F1A"/>
    <w:rsid w:val="00E13D3A"/>
    <w:rsid w:val="00E15561"/>
    <w:rsid w:val="00E21CFB"/>
    <w:rsid w:val="00E22935"/>
    <w:rsid w:val="00E26FCB"/>
    <w:rsid w:val="00E277D8"/>
    <w:rsid w:val="00E31D81"/>
    <w:rsid w:val="00E32319"/>
    <w:rsid w:val="00E339CF"/>
    <w:rsid w:val="00E41C3E"/>
    <w:rsid w:val="00E4228F"/>
    <w:rsid w:val="00E422CA"/>
    <w:rsid w:val="00E43EA9"/>
    <w:rsid w:val="00E4425A"/>
    <w:rsid w:val="00E44765"/>
    <w:rsid w:val="00E45B46"/>
    <w:rsid w:val="00E46F23"/>
    <w:rsid w:val="00E46F86"/>
    <w:rsid w:val="00E50CEF"/>
    <w:rsid w:val="00E517AC"/>
    <w:rsid w:val="00E53B43"/>
    <w:rsid w:val="00E53F85"/>
    <w:rsid w:val="00E54292"/>
    <w:rsid w:val="00E55AA2"/>
    <w:rsid w:val="00E56159"/>
    <w:rsid w:val="00E56CF0"/>
    <w:rsid w:val="00E60191"/>
    <w:rsid w:val="00E613F1"/>
    <w:rsid w:val="00E624CC"/>
    <w:rsid w:val="00E6366F"/>
    <w:rsid w:val="00E637BB"/>
    <w:rsid w:val="00E64957"/>
    <w:rsid w:val="00E662F6"/>
    <w:rsid w:val="00E6667E"/>
    <w:rsid w:val="00E66FAE"/>
    <w:rsid w:val="00E70DB8"/>
    <w:rsid w:val="00E732F8"/>
    <w:rsid w:val="00E74DC7"/>
    <w:rsid w:val="00E86195"/>
    <w:rsid w:val="00E87699"/>
    <w:rsid w:val="00E87B80"/>
    <w:rsid w:val="00E91730"/>
    <w:rsid w:val="00E92E27"/>
    <w:rsid w:val="00E94CC2"/>
    <w:rsid w:val="00E9586B"/>
    <w:rsid w:val="00E97334"/>
    <w:rsid w:val="00EA0D36"/>
    <w:rsid w:val="00EA0EF9"/>
    <w:rsid w:val="00EA1607"/>
    <w:rsid w:val="00EA1BDD"/>
    <w:rsid w:val="00EA27FE"/>
    <w:rsid w:val="00EA29FB"/>
    <w:rsid w:val="00EA2D0A"/>
    <w:rsid w:val="00EA2FDD"/>
    <w:rsid w:val="00EA5413"/>
    <w:rsid w:val="00EA7C3C"/>
    <w:rsid w:val="00EB0629"/>
    <w:rsid w:val="00EB10FB"/>
    <w:rsid w:val="00EB1328"/>
    <w:rsid w:val="00EB3B99"/>
    <w:rsid w:val="00EB6E19"/>
    <w:rsid w:val="00EC0A1A"/>
    <w:rsid w:val="00EC0C2B"/>
    <w:rsid w:val="00EC6632"/>
    <w:rsid w:val="00EC773D"/>
    <w:rsid w:val="00ED30BD"/>
    <w:rsid w:val="00ED4928"/>
    <w:rsid w:val="00ED4AAE"/>
    <w:rsid w:val="00ED588A"/>
    <w:rsid w:val="00EE0C03"/>
    <w:rsid w:val="00EE3749"/>
    <w:rsid w:val="00EE39CF"/>
    <w:rsid w:val="00EE465F"/>
    <w:rsid w:val="00EE55B1"/>
    <w:rsid w:val="00EE6190"/>
    <w:rsid w:val="00EF2E3A"/>
    <w:rsid w:val="00EF630C"/>
    <w:rsid w:val="00EF6402"/>
    <w:rsid w:val="00EF754A"/>
    <w:rsid w:val="00EF7866"/>
    <w:rsid w:val="00EF7F44"/>
    <w:rsid w:val="00F025DF"/>
    <w:rsid w:val="00F047E2"/>
    <w:rsid w:val="00F04D57"/>
    <w:rsid w:val="00F078DC"/>
    <w:rsid w:val="00F07AAB"/>
    <w:rsid w:val="00F12B0D"/>
    <w:rsid w:val="00F12B27"/>
    <w:rsid w:val="00F13E86"/>
    <w:rsid w:val="00F148D9"/>
    <w:rsid w:val="00F15DC5"/>
    <w:rsid w:val="00F238A5"/>
    <w:rsid w:val="00F24352"/>
    <w:rsid w:val="00F24A2C"/>
    <w:rsid w:val="00F30064"/>
    <w:rsid w:val="00F31B08"/>
    <w:rsid w:val="00F32FCB"/>
    <w:rsid w:val="00F352CB"/>
    <w:rsid w:val="00F40AD4"/>
    <w:rsid w:val="00F40D48"/>
    <w:rsid w:val="00F419E3"/>
    <w:rsid w:val="00F448A0"/>
    <w:rsid w:val="00F448F7"/>
    <w:rsid w:val="00F45A85"/>
    <w:rsid w:val="00F46078"/>
    <w:rsid w:val="00F5262B"/>
    <w:rsid w:val="00F62125"/>
    <w:rsid w:val="00F633F0"/>
    <w:rsid w:val="00F6709F"/>
    <w:rsid w:val="00F677A9"/>
    <w:rsid w:val="00F706F7"/>
    <w:rsid w:val="00F7177E"/>
    <w:rsid w:val="00F71C5C"/>
    <w:rsid w:val="00F723BD"/>
    <w:rsid w:val="00F732EA"/>
    <w:rsid w:val="00F7338F"/>
    <w:rsid w:val="00F734BE"/>
    <w:rsid w:val="00F759A6"/>
    <w:rsid w:val="00F75B45"/>
    <w:rsid w:val="00F84CF5"/>
    <w:rsid w:val="00F8612E"/>
    <w:rsid w:val="00F8704C"/>
    <w:rsid w:val="00F874CD"/>
    <w:rsid w:val="00F9062A"/>
    <w:rsid w:val="00F93C97"/>
    <w:rsid w:val="00F945DF"/>
    <w:rsid w:val="00F95BED"/>
    <w:rsid w:val="00F96341"/>
    <w:rsid w:val="00F974C3"/>
    <w:rsid w:val="00F977BF"/>
    <w:rsid w:val="00FA3044"/>
    <w:rsid w:val="00FA420B"/>
    <w:rsid w:val="00FA7330"/>
    <w:rsid w:val="00FB04CC"/>
    <w:rsid w:val="00FB3D84"/>
    <w:rsid w:val="00FB7977"/>
    <w:rsid w:val="00FC037E"/>
    <w:rsid w:val="00FC4160"/>
    <w:rsid w:val="00FC5A5E"/>
    <w:rsid w:val="00FC78F9"/>
    <w:rsid w:val="00FD5987"/>
    <w:rsid w:val="00FD6844"/>
    <w:rsid w:val="00FE0781"/>
    <w:rsid w:val="00FE17DE"/>
    <w:rsid w:val="00FE1F72"/>
    <w:rsid w:val="00FE3146"/>
    <w:rsid w:val="00FE6669"/>
    <w:rsid w:val="00FF221A"/>
    <w:rsid w:val="00FF28C2"/>
    <w:rsid w:val="00FF2FB5"/>
    <w:rsid w:val="00FF3787"/>
    <w:rsid w:val="00FF39DE"/>
    <w:rsid w:val="00FF4BED"/>
    <w:rsid w:val="00FF5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35A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712D4"/>
    <w:pPr>
      <w:spacing w:line="260" w:lineRule="atLeast"/>
    </w:pPr>
    <w:rPr>
      <w:sz w:val="22"/>
    </w:rPr>
  </w:style>
  <w:style w:type="paragraph" w:styleId="Heading1">
    <w:name w:val="heading 1"/>
    <w:basedOn w:val="Normal"/>
    <w:next w:val="Normal"/>
    <w:link w:val="Heading1Char"/>
    <w:uiPriority w:val="9"/>
    <w:qFormat/>
    <w:rsid w:val="007712D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2D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2D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712D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712D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712D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712D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712D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712D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12D4"/>
  </w:style>
  <w:style w:type="paragraph" w:customStyle="1" w:styleId="OPCParaBase">
    <w:name w:val="OPCParaBase"/>
    <w:qFormat/>
    <w:rsid w:val="007712D4"/>
    <w:pPr>
      <w:spacing w:line="260" w:lineRule="atLeast"/>
    </w:pPr>
    <w:rPr>
      <w:rFonts w:eastAsia="Times New Roman" w:cs="Times New Roman"/>
      <w:sz w:val="22"/>
      <w:lang w:eastAsia="en-AU"/>
    </w:rPr>
  </w:style>
  <w:style w:type="paragraph" w:customStyle="1" w:styleId="ShortT">
    <w:name w:val="ShortT"/>
    <w:basedOn w:val="OPCParaBase"/>
    <w:next w:val="Normal"/>
    <w:qFormat/>
    <w:rsid w:val="007712D4"/>
    <w:pPr>
      <w:spacing w:line="240" w:lineRule="auto"/>
    </w:pPr>
    <w:rPr>
      <w:b/>
      <w:sz w:val="40"/>
    </w:rPr>
  </w:style>
  <w:style w:type="paragraph" w:customStyle="1" w:styleId="ActHead1">
    <w:name w:val="ActHead 1"/>
    <w:aliases w:val="c"/>
    <w:basedOn w:val="OPCParaBase"/>
    <w:next w:val="Normal"/>
    <w:qFormat/>
    <w:rsid w:val="007712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12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12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12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712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12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12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12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12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712D4"/>
  </w:style>
  <w:style w:type="paragraph" w:customStyle="1" w:styleId="Blocks">
    <w:name w:val="Blocks"/>
    <w:aliases w:val="bb"/>
    <w:basedOn w:val="OPCParaBase"/>
    <w:qFormat/>
    <w:rsid w:val="007712D4"/>
    <w:pPr>
      <w:spacing w:line="240" w:lineRule="auto"/>
    </w:pPr>
    <w:rPr>
      <w:sz w:val="24"/>
    </w:rPr>
  </w:style>
  <w:style w:type="paragraph" w:customStyle="1" w:styleId="BoxText">
    <w:name w:val="BoxText"/>
    <w:aliases w:val="bt"/>
    <w:basedOn w:val="OPCParaBase"/>
    <w:qFormat/>
    <w:rsid w:val="007712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12D4"/>
    <w:rPr>
      <w:b/>
    </w:rPr>
  </w:style>
  <w:style w:type="paragraph" w:customStyle="1" w:styleId="BoxHeadItalic">
    <w:name w:val="BoxHeadItalic"/>
    <w:aliases w:val="bhi"/>
    <w:basedOn w:val="BoxText"/>
    <w:next w:val="BoxStep"/>
    <w:qFormat/>
    <w:rsid w:val="007712D4"/>
    <w:rPr>
      <w:i/>
    </w:rPr>
  </w:style>
  <w:style w:type="paragraph" w:customStyle="1" w:styleId="BoxList">
    <w:name w:val="BoxList"/>
    <w:aliases w:val="bl"/>
    <w:basedOn w:val="BoxText"/>
    <w:qFormat/>
    <w:rsid w:val="007712D4"/>
    <w:pPr>
      <w:ind w:left="1559" w:hanging="425"/>
    </w:pPr>
  </w:style>
  <w:style w:type="paragraph" w:customStyle="1" w:styleId="BoxNote">
    <w:name w:val="BoxNote"/>
    <w:aliases w:val="bn"/>
    <w:basedOn w:val="BoxText"/>
    <w:qFormat/>
    <w:rsid w:val="007712D4"/>
    <w:pPr>
      <w:tabs>
        <w:tab w:val="left" w:pos="1985"/>
      </w:tabs>
      <w:spacing w:before="122" w:line="198" w:lineRule="exact"/>
      <w:ind w:left="2948" w:hanging="1814"/>
    </w:pPr>
    <w:rPr>
      <w:sz w:val="18"/>
    </w:rPr>
  </w:style>
  <w:style w:type="paragraph" w:customStyle="1" w:styleId="BoxPara">
    <w:name w:val="BoxPara"/>
    <w:aliases w:val="bp"/>
    <w:basedOn w:val="BoxText"/>
    <w:qFormat/>
    <w:rsid w:val="007712D4"/>
    <w:pPr>
      <w:tabs>
        <w:tab w:val="right" w:pos="2268"/>
      </w:tabs>
      <w:ind w:left="2552" w:hanging="1418"/>
    </w:pPr>
  </w:style>
  <w:style w:type="paragraph" w:customStyle="1" w:styleId="BoxStep">
    <w:name w:val="BoxStep"/>
    <w:aliases w:val="bs"/>
    <w:basedOn w:val="BoxText"/>
    <w:qFormat/>
    <w:rsid w:val="007712D4"/>
    <w:pPr>
      <w:ind w:left="1985" w:hanging="851"/>
    </w:pPr>
  </w:style>
  <w:style w:type="character" w:customStyle="1" w:styleId="CharAmPartNo">
    <w:name w:val="CharAmPartNo"/>
    <w:basedOn w:val="OPCCharBase"/>
    <w:qFormat/>
    <w:rsid w:val="007712D4"/>
  </w:style>
  <w:style w:type="character" w:customStyle="1" w:styleId="CharAmPartText">
    <w:name w:val="CharAmPartText"/>
    <w:basedOn w:val="OPCCharBase"/>
    <w:qFormat/>
    <w:rsid w:val="007712D4"/>
  </w:style>
  <w:style w:type="character" w:customStyle="1" w:styleId="CharAmSchNo">
    <w:name w:val="CharAmSchNo"/>
    <w:basedOn w:val="OPCCharBase"/>
    <w:qFormat/>
    <w:rsid w:val="007712D4"/>
  </w:style>
  <w:style w:type="character" w:customStyle="1" w:styleId="CharAmSchText">
    <w:name w:val="CharAmSchText"/>
    <w:basedOn w:val="OPCCharBase"/>
    <w:qFormat/>
    <w:rsid w:val="007712D4"/>
  </w:style>
  <w:style w:type="character" w:customStyle="1" w:styleId="CharBoldItalic">
    <w:name w:val="CharBoldItalic"/>
    <w:basedOn w:val="OPCCharBase"/>
    <w:uiPriority w:val="1"/>
    <w:qFormat/>
    <w:rsid w:val="007712D4"/>
    <w:rPr>
      <w:b/>
      <w:i/>
    </w:rPr>
  </w:style>
  <w:style w:type="character" w:customStyle="1" w:styleId="CharChapNo">
    <w:name w:val="CharChapNo"/>
    <w:basedOn w:val="OPCCharBase"/>
    <w:uiPriority w:val="1"/>
    <w:qFormat/>
    <w:rsid w:val="007712D4"/>
  </w:style>
  <w:style w:type="character" w:customStyle="1" w:styleId="CharChapText">
    <w:name w:val="CharChapText"/>
    <w:basedOn w:val="OPCCharBase"/>
    <w:uiPriority w:val="1"/>
    <w:qFormat/>
    <w:rsid w:val="007712D4"/>
  </w:style>
  <w:style w:type="character" w:customStyle="1" w:styleId="CharDivNo">
    <w:name w:val="CharDivNo"/>
    <w:basedOn w:val="OPCCharBase"/>
    <w:uiPriority w:val="1"/>
    <w:qFormat/>
    <w:rsid w:val="007712D4"/>
  </w:style>
  <w:style w:type="character" w:customStyle="1" w:styleId="CharDivText">
    <w:name w:val="CharDivText"/>
    <w:basedOn w:val="OPCCharBase"/>
    <w:uiPriority w:val="1"/>
    <w:qFormat/>
    <w:rsid w:val="007712D4"/>
  </w:style>
  <w:style w:type="character" w:customStyle="1" w:styleId="CharItalic">
    <w:name w:val="CharItalic"/>
    <w:basedOn w:val="OPCCharBase"/>
    <w:uiPriority w:val="1"/>
    <w:qFormat/>
    <w:rsid w:val="007712D4"/>
    <w:rPr>
      <w:i/>
    </w:rPr>
  </w:style>
  <w:style w:type="character" w:customStyle="1" w:styleId="CharPartNo">
    <w:name w:val="CharPartNo"/>
    <w:basedOn w:val="OPCCharBase"/>
    <w:uiPriority w:val="1"/>
    <w:qFormat/>
    <w:rsid w:val="007712D4"/>
  </w:style>
  <w:style w:type="character" w:customStyle="1" w:styleId="CharPartText">
    <w:name w:val="CharPartText"/>
    <w:basedOn w:val="OPCCharBase"/>
    <w:uiPriority w:val="1"/>
    <w:qFormat/>
    <w:rsid w:val="007712D4"/>
  </w:style>
  <w:style w:type="character" w:customStyle="1" w:styleId="CharSectno">
    <w:name w:val="CharSectno"/>
    <w:basedOn w:val="OPCCharBase"/>
    <w:qFormat/>
    <w:rsid w:val="007712D4"/>
  </w:style>
  <w:style w:type="character" w:customStyle="1" w:styleId="CharSubdNo">
    <w:name w:val="CharSubdNo"/>
    <w:basedOn w:val="OPCCharBase"/>
    <w:uiPriority w:val="1"/>
    <w:qFormat/>
    <w:rsid w:val="007712D4"/>
  </w:style>
  <w:style w:type="character" w:customStyle="1" w:styleId="CharSubdText">
    <w:name w:val="CharSubdText"/>
    <w:basedOn w:val="OPCCharBase"/>
    <w:uiPriority w:val="1"/>
    <w:qFormat/>
    <w:rsid w:val="007712D4"/>
  </w:style>
  <w:style w:type="paragraph" w:customStyle="1" w:styleId="CTA--">
    <w:name w:val="CTA --"/>
    <w:basedOn w:val="OPCParaBase"/>
    <w:next w:val="Normal"/>
    <w:rsid w:val="007712D4"/>
    <w:pPr>
      <w:spacing w:before="60" w:line="240" w:lineRule="atLeast"/>
      <w:ind w:left="142" w:hanging="142"/>
    </w:pPr>
    <w:rPr>
      <w:sz w:val="20"/>
    </w:rPr>
  </w:style>
  <w:style w:type="paragraph" w:customStyle="1" w:styleId="CTA-">
    <w:name w:val="CTA -"/>
    <w:basedOn w:val="OPCParaBase"/>
    <w:rsid w:val="007712D4"/>
    <w:pPr>
      <w:spacing w:before="60" w:line="240" w:lineRule="atLeast"/>
      <w:ind w:left="85" w:hanging="85"/>
    </w:pPr>
    <w:rPr>
      <w:sz w:val="20"/>
    </w:rPr>
  </w:style>
  <w:style w:type="paragraph" w:customStyle="1" w:styleId="CTA---">
    <w:name w:val="CTA ---"/>
    <w:basedOn w:val="OPCParaBase"/>
    <w:next w:val="Normal"/>
    <w:rsid w:val="007712D4"/>
    <w:pPr>
      <w:spacing w:before="60" w:line="240" w:lineRule="atLeast"/>
      <w:ind w:left="198" w:hanging="198"/>
    </w:pPr>
    <w:rPr>
      <w:sz w:val="20"/>
    </w:rPr>
  </w:style>
  <w:style w:type="paragraph" w:customStyle="1" w:styleId="CTA----">
    <w:name w:val="CTA ----"/>
    <w:basedOn w:val="OPCParaBase"/>
    <w:next w:val="Normal"/>
    <w:rsid w:val="007712D4"/>
    <w:pPr>
      <w:spacing w:before="60" w:line="240" w:lineRule="atLeast"/>
      <w:ind w:left="255" w:hanging="255"/>
    </w:pPr>
    <w:rPr>
      <w:sz w:val="20"/>
    </w:rPr>
  </w:style>
  <w:style w:type="paragraph" w:customStyle="1" w:styleId="CTA1a">
    <w:name w:val="CTA 1(a)"/>
    <w:basedOn w:val="OPCParaBase"/>
    <w:rsid w:val="007712D4"/>
    <w:pPr>
      <w:tabs>
        <w:tab w:val="right" w:pos="414"/>
      </w:tabs>
      <w:spacing w:before="40" w:line="240" w:lineRule="atLeast"/>
      <w:ind w:left="675" w:hanging="675"/>
    </w:pPr>
    <w:rPr>
      <w:sz w:val="20"/>
    </w:rPr>
  </w:style>
  <w:style w:type="paragraph" w:customStyle="1" w:styleId="CTA1ai">
    <w:name w:val="CTA 1(a)(i)"/>
    <w:basedOn w:val="OPCParaBase"/>
    <w:rsid w:val="007712D4"/>
    <w:pPr>
      <w:tabs>
        <w:tab w:val="right" w:pos="1004"/>
      </w:tabs>
      <w:spacing w:before="40" w:line="240" w:lineRule="atLeast"/>
      <w:ind w:left="1253" w:hanging="1253"/>
    </w:pPr>
    <w:rPr>
      <w:sz w:val="20"/>
    </w:rPr>
  </w:style>
  <w:style w:type="paragraph" w:customStyle="1" w:styleId="CTA2a">
    <w:name w:val="CTA 2(a)"/>
    <w:basedOn w:val="OPCParaBase"/>
    <w:rsid w:val="007712D4"/>
    <w:pPr>
      <w:tabs>
        <w:tab w:val="right" w:pos="482"/>
      </w:tabs>
      <w:spacing w:before="40" w:line="240" w:lineRule="atLeast"/>
      <w:ind w:left="748" w:hanging="748"/>
    </w:pPr>
    <w:rPr>
      <w:sz w:val="20"/>
    </w:rPr>
  </w:style>
  <w:style w:type="paragraph" w:customStyle="1" w:styleId="CTA2ai">
    <w:name w:val="CTA 2(a)(i)"/>
    <w:basedOn w:val="OPCParaBase"/>
    <w:rsid w:val="007712D4"/>
    <w:pPr>
      <w:tabs>
        <w:tab w:val="right" w:pos="1089"/>
      </w:tabs>
      <w:spacing w:before="40" w:line="240" w:lineRule="atLeast"/>
      <w:ind w:left="1327" w:hanging="1327"/>
    </w:pPr>
    <w:rPr>
      <w:sz w:val="20"/>
    </w:rPr>
  </w:style>
  <w:style w:type="paragraph" w:customStyle="1" w:styleId="CTA3a">
    <w:name w:val="CTA 3(a)"/>
    <w:basedOn w:val="OPCParaBase"/>
    <w:rsid w:val="007712D4"/>
    <w:pPr>
      <w:tabs>
        <w:tab w:val="right" w:pos="556"/>
      </w:tabs>
      <w:spacing w:before="40" w:line="240" w:lineRule="atLeast"/>
      <w:ind w:left="805" w:hanging="805"/>
    </w:pPr>
    <w:rPr>
      <w:sz w:val="20"/>
    </w:rPr>
  </w:style>
  <w:style w:type="paragraph" w:customStyle="1" w:styleId="CTA3ai">
    <w:name w:val="CTA 3(a)(i)"/>
    <w:basedOn w:val="OPCParaBase"/>
    <w:rsid w:val="007712D4"/>
    <w:pPr>
      <w:tabs>
        <w:tab w:val="right" w:pos="1140"/>
      </w:tabs>
      <w:spacing w:before="40" w:line="240" w:lineRule="atLeast"/>
      <w:ind w:left="1361" w:hanging="1361"/>
    </w:pPr>
    <w:rPr>
      <w:sz w:val="20"/>
    </w:rPr>
  </w:style>
  <w:style w:type="paragraph" w:customStyle="1" w:styleId="CTA4a">
    <w:name w:val="CTA 4(a)"/>
    <w:basedOn w:val="OPCParaBase"/>
    <w:rsid w:val="007712D4"/>
    <w:pPr>
      <w:tabs>
        <w:tab w:val="right" w:pos="624"/>
      </w:tabs>
      <w:spacing w:before="40" w:line="240" w:lineRule="atLeast"/>
      <w:ind w:left="873" w:hanging="873"/>
    </w:pPr>
    <w:rPr>
      <w:sz w:val="20"/>
    </w:rPr>
  </w:style>
  <w:style w:type="paragraph" w:customStyle="1" w:styleId="CTA4ai">
    <w:name w:val="CTA 4(a)(i)"/>
    <w:basedOn w:val="OPCParaBase"/>
    <w:rsid w:val="007712D4"/>
    <w:pPr>
      <w:tabs>
        <w:tab w:val="right" w:pos="1213"/>
      </w:tabs>
      <w:spacing w:before="40" w:line="240" w:lineRule="atLeast"/>
      <w:ind w:left="1452" w:hanging="1452"/>
    </w:pPr>
    <w:rPr>
      <w:sz w:val="20"/>
    </w:rPr>
  </w:style>
  <w:style w:type="paragraph" w:customStyle="1" w:styleId="CTACAPS">
    <w:name w:val="CTA CAPS"/>
    <w:basedOn w:val="OPCParaBase"/>
    <w:rsid w:val="007712D4"/>
    <w:pPr>
      <w:spacing w:before="60" w:line="240" w:lineRule="atLeast"/>
    </w:pPr>
    <w:rPr>
      <w:sz w:val="20"/>
    </w:rPr>
  </w:style>
  <w:style w:type="paragraph" w:customStyle="1" w:styleId="CTAright">
    <w:name w:val="CTA right"/>
    <w:basedOn w:val="OPCParaBase"/>
    <w:rsid w:val="007712D4"/>
    <w:pPr>
      <w:spacing w:before="60" w:line="240" w:lineRule="auto"/>
      <w:jc w:val="right"/>
    </w:pPr>
    <w:rPr>
      <w:sz w:val="20"/>
    </w:rPr>
  </w:style>
  <w:style w:type="paragraph" w:customStyle="1" w:styleId="subsection">
    <w:name w:val="subsection"/>
    <w:aliases w:val="ss"/>
    <w:basedOn w:val="OPCParaBase"/>
    <w:link w:val="subsectionChar"/>
    <w:rsid w:val="007712D4"/>
    <w:pPr>
      <w:tabs>
        <w:tab w:val="right" w:pos="1021"/>
      </w:tabs>
      <w:spacing w:before="180" w:line="240" w:lineRule="auto"/>
      <w:ind w:left="1134" w:hanging="1134"/>
    </w:pPr>
  </w:style>
  <w:style w:type="paragraph" w:customStyle="1" w:styleId="Definition">
    <w:name w:val="Definition"/>
    <w:aliases w:val="dd"/>
    <w:basedOn w:val="OPCParaBase"/>
    <w:rsid w:val="007712D4"/>
    <w:pPr>
      <w:spacing w:before="180" w:line="240" w:lineRule="auto"/>
      <w:ind w:left="1134"/>
    </w:pPr>
  </w:style>
  <w:style w:type="paragraph" w:customStyle="1" w:styleId="ETAsubitem">
    <w:name w:val="ETA(subitem)"/>
    <w:basedOn w:val="OPCParaBase"/>
    <w:rsid w:val="007712D4"/>
    <w:pPr>
      <w:tabs>
        <w:tab w:val="right" w:pos="340"/>
      </w:tabs>
      <w:spacing w:before="60" w:line="240" w:lineRule="auto"/>
      <w:ind w:left="454" w:hanging="454"/>
    </w:pPr>
    <w:rPr>
      <w:sz w:val="20"/>
    </w:rPr>
  </w:style>
  <w:style w:type="paragraph" w:customStyle="1" w:styleId="ETApara">
    <w:name w:val="ETA(para)"/>
    <w:basedOn w:val="OPCParaBase"/>
    <w:rsid w:val="007712D4"/>
    <w:pPr>
      <w:tabs>
        <w:tab w:val="right" w:pos="754"/>
      </w:tabs>
      <w:spacing w:before="60" w:line="240" w:lineRule="auto"/>
      <w:ind w:left="828" w:hanging="828"/>
    </w:pPr>
    <w:rPr>
      <w:sz w:val="20"/>
    </w:rPr>
  </w:style>
  <w:style w:type="paragraph" w:customStyle="1" w:styleId="ETAsubpara">
    <w:name w:val="ETA(subpara)"/>
    <w:basedOn w:val="OPCParaBase"/>
    <w:rsid w:val="007712D4"/>
    <w:pPr>
      <w:tabs>
        <w:tab w:val="right" w:pos="1083"/>
      </w:tabs>
      <w:spacing w:before="60" w:line="240" w:lineRule="auto"/>
      <w:ind w:left="1191" w:hanging="1191"/>
    </w:pPr>
    <w:rPr>
      <w:sz w:val="20"/>
    </w:rPr>
  </w:style>
  <w:style w:type="paragraph" w:customStyle="1" w:styleId="ETAsub-subpara">
    <w:name w:val="ETA(sub-subpara)"/>
    <w:basedOn w:val="OPCParaBase"/>
    <w:rsid w:val="007712D4"/>
    <w:pPr>
      <w:tabs>
        <w:tab w:val="right" w:pos="1412"/>
      </w:tabs>
      <w:spacing w:before="60" w:line="240" w:lineRule="auto"/>
      <w:ind w:left="1525" w:hanging="1525"/>
    </w:pPr>
    <w:rPr>
      <w:sz w:val="20"/>
    </w:rPr>
  </w:style>
  <w:style w:type="paragraph" w:customStyle="1" w:styleId="Formula">
    <w:name w:val="Formula"/>
    <w:basedOn w:val="OPCParaBase"/>
    <w:rsid w:val="007712D4"/>
    <w:pPr>
      <w:spacing w:line="240" w:lineRule="auto"/>
      <w:ind w:left="1134"/>
    </w:pPr>
    <w:rPr>
      <w:sz w:val="20"/>
    </w:rPr>
  </w:style>
  <w:style w:type="paragraph" w:styleId="Header">
    <w:name w:val="header"/>
    <w:basedOn w:val="OPCParaBase"/>
    <w:link w:val="HeaderChar"/>
    <w:unhideWhenUsed/>
    <w:rsid w:val="007712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712D4"/>
    <w:rPr>
      <w:rFonts w:eastAsia="Times New Roman" w:cs="Times New Roman"/>
      <w:sz w:val="16"/>
      <w:lang w:eastAsia="en-AU"/>
    </w:rPr>
  </w:style>
  <w:style w:type="paragraph" w:customStyle="1" w:styleId="House">
    <w:name w:val="House"/>
    <w:basedOn w:val="OPCParaBase"/>
    <w:rsid w:val="007712D4"/>
    <w:pPr>
      <w:spacing w:line="240" w:lineRule="auto"/>
    </w:pPr>
    <w:rPr>
      <w:sz w:val="28"/>
    </w:rPr>
  </w:style>
  <w:style w:type="paragraph" w:customStyle="1" w:styleId="Item">
    <w:name w:val="Item"/>
    <w:aliases w:val="i"/>
    <w:basedOn w:val="OPCParaBase"/>
    <w:next w:val="ItemHead"/>
    <w:rsid w:val="007712D4"/>
    <w:pPr>
      <w:keepLines/>
      <w:spacing w:before="80" w:line="240" w:lineRule="auto"/>
      <w:ind w:left="709"/>
    </w:pPr>
  </w:style>
  <w:style w:type="paragraph" w:customStyle="1" w:styleId="ItemHead">
    <w:name w:val="ItemHead"/>
    <w:aliases w:val="ih"/>
    <w:basedOn w:val="OPCParaBase"/>
    <w:next w:val="Item"/>
    <w:rsid w:val="007712D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712D4"/>
    <w:pPr>
      <w:spacing w:line="240" w:lineRule="auto"/>
    </w:pPr>
    <w:rPr>
      <w:b/>
      <w:sz w:val="32"/>
    </w:rPr>
  </w:style>
  <w:style w:type="paragraph" w:customStyle="1" w:styleId="notedraft">
    <w:name w:val="note(draft)"/>
    <w:aliases w:val="nd"/>
    <w:basedOn w:val="OPCParaBase"/>
    <w:rsid w:val="007712D4"/>
    <w:pPr>
      <w:spacing w:before="240" w:line="240" w:lineRule="auto"/>
      <w:ind w:left="284" w:hanging="284"/>
    </w:pPr>
    <w:rPr>
      <w:i/>
      <w:sz w:val="24"/>
    </w:rPr>
  </w:style>
  <w:style w:type="paragraph" w:customStyle="1" w:styleId="notemargin">
    <w:name w:val="note(margin)"/>
    <w:aliases w:val="nm"/>
    <w:basedOn w:val="OPCParaBase"/>
    <w:rsid w:val="007712D4"/>
    <w:pPr>
      <w:tabs>
        <w:tab w:val="left" w:pos="709"/>
      </w:tabs>
      <w:spacing w:before="122" w:line="198" w:lineRule="exact"/>
      <w:ind w:left="709" w:hanging="709"/>
    </w:pPr>
    <w:rPr>
      <w:sz w:val="18"/>
    </w:rPr>
  </w:style>
  <w:style w:type="paragraph" w:customStyle="1" w:styleId="noteToPara">
    <w:name w:val="noteToPara"/>
    <w:aliases w:val="ntp"/>
    <w:basedOn w:val="OPCParaBase"/>
    <w:rsid w:val="007712D4"/>
    <w:pPr>
      <w:spacing w:before="122" w:line="198" w:lineRule="exact"/>
      <w:ind w:left="2353" w:hanging="709"/>
    </w:pPr>
    <w:rPr>
      <w:sz w:val="18"/>
    </w:rPr>
  </w:style>
  <w:style w:type="paragraph" w:customStyle="1" w:styleId="noteParlAmend">
    <w:name w:val="note(ParlAmend)"/>
    <w:aliases w:val="npp"/>
    <w:basedOn w:val="OPCParaBase"/>
    <w:next w:val="ParlAmend"/>
    <w:rsid w:val="007712D4"/>
    <w:pPr>
      <w:spacing w:line="240" w:lineRule="auto"/>
      <w:jc w:val="right"/>
    </w:pPr>
    <w:rPr>
      <w:rFonts w:ascii="Arial" w:hAnsi="Arial"/>
      <w:b/>
      <w:i/>
    </w:rPr>
  </w:style>
  <w:style w:type="paragraph" w:customStyle="1" w:styleId="Page1">
    <w:name w:val="Page1"/>
    <w:basedOn w:val="OPCParaBase"/>
    <w:rsid w:val="007712D4"/>
    <w:pPr>
      <w:spacing w:before="5600" w:line="240" w:lineRule="auto"/>
    </w:pPr>
    <w:rPr>
      <w:b/>
      <w:sz w:val="32"/>
    </w:rPr>
  </w:style>
  <w:style w:type="paragraph" w:customStyle="1" w:styleId="PageBreak">
    <w:name w:val="PageBreak"/>
    <w:aliases w:val="pb"/>
    <w:basedOn w:val="OPCParaBase"/>
    <w:rsid w:val="007712D4"/>
    <w:pPr>
      <w:spacing w:line="240" w:lineRule="auto"/>
    </w:pPr>
    <w:rPr>
      <w:sz w:val="20"/>
    </w:rPr>
  </w:style>
  <w:style w:type="paragraph" w:customStyle="1" w:styleId="paragraphsub">
    <w:name w:val="paragraph(sub)"/>
    <w:aliases w:val="aa"/>
    <w:basedOn w:val="OPCParaBase"/>
    <w:rsid w:val="007712D4"/>
    <w:pPr>
      <w:tabs>
        <w:tab w:val="right" w:pos="1985"/>
      </w:tabs>
      <w:spacing w:before="40" w:line="240" w:lineRule="auto"/>
      <w:ind w:left="2098" w:hanging="2098"/>
    </w:pPr>
  </w:style>
  <w:style w:type="paragraph" w:customStyle="1" w:styleId="paragraphsub-sub">
    <w:name w:val="paragraph(sub-sub)"/>
    <w:aliases w:val="aaa"/>
    <w:basedOn w:val="OPCParaBase"/>
    <w:rsid w:val="007712D4"/>
    <w:pPr>
      <w:tabs>
        <w:tab w:val="right" w:pos="2722"/>
      </w:tabs>
      <w:spacing w:before="40" w:line="240" w:lineRule="auto"/>
      <w:ind w:left="2835" w:hanging="2835"/>
    </w:pPr>
  </w:style>
  <w:style w:type="paragraph" w:customStyle="1" w:styleId="paragraph">
    <w:name w:val="paragraph"/>
    <w:aliases w:val="a"/>
    <w:basedOn w:val="OPCParaBase"/>
    <w:rsid w:val="007712D4"/>
    <w:pPr>
      <w:tabs>
        <w:tab w:val="right" w:pos="1531"/>
      </w:tabs>
      <w:spacing w:before="40" w:line="240" w:lineRule="auto"/>
      <w:ind w:left="1644" w:hanging="1644"/>
    </w:pPr>
  </w:style>
  <w:style w:type="paragraph" w:customStyle="1" w:styleId="ParlAmend">
    <w:name w:val="ParlAmend"/>
    <w:aliases w:val="pp"/>
    <w:basedOn w:val="OPCParaBase"/>
    <w:rsid w:val="007712D4"/>
    <w:pPr>
      <w:spacing w:before="240" w:line="240" w:lineRule="atLeast"/>
      <w:ind w:hanging="567"/>
    </w:pPr>
    <w:rPr>
      <w:sz w:val="24"/>
    </w:rPr>
  </w:style>
  <w:style w:type="paragraph" w:customStyle="1" w:styleId="Penalty">
    <w:name w:val="Penalty"/>
    <w:basedOn w:val="OPCParaBase"/>
    <w:rsid w:val="007712D4"/>
    <w:pPr>
      <w:tabs>
        <w:tab w:val="left" w:pos="2977"/>
      </w:tabs>
      <w:spacing w:before="180" w:line="240" w:lineRule="auto"/>
      <w:ind w:left="1985" w:hanging="851"/>
    </w:pPr>
  </w:style>
  <w:style w:type="paragraph" w:customStyle="1" w:styleId="Portfolio">
    <w:name w:val="Portfolio"/>
    <w:basedOn w:val="OPCParaBase"/>
    <w:rsid w:val="007712D4"/>
    <w:pPr>
      <w:spacing w:line="240" w:lineRule="auto"/>
    </w:pPr>
    <w:rPr>
      <w:i/>
      <w:sz w:val="20"/>
    </w:rPr>
  </w:style>
  <w:style w:type="paragraph" w:customStyle="1" w:styleId="Preamble">
    <w:name w:val="Preamble"/>
    <w:basedOn w:val="OPCParaBase"/>
    <w:next w:val="Normal"/>
    <w:rsid w:val="007712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12D4"/>
    <w:pPr>
      <w:spacing w:line="240" w:lineRule="auto"/>
    </w:pPr>
    <w:rPr>
      <w:i/>
      <w:sz w:val="20"/>
    </w:rPr>
  </w:style>
  <w:style w:type="paragraph" w:customStyle="1" w:styleId="Session">
    <w:name w:val="Session"/>
    <w:basedOn w:val="OPCParaBase"/>
    <w:rsid w:val="007712D4"/>
    <w:pPr>
      <w:spacing w:line="240" w:lineRule="auto"/>
    </w:pPr>
    <w:rPr>
      <w:sz w:val="28"/>
    </w:rPr>
  </w:style>
  <w:style w:type="paragraph" w:customStyle="1" w:styleId="Sponsor">
    <w:name w:val="Sponsor"/>
    <w:basedOn w:val="OPCParaBase"/>
    <w:rsid w:val="007712D4"/>
    <w:pPr>
      <w:spacing w:line="240" w:lineRule="auto"/>
    </w:pPr>
    <w:rPr>
      <w:i/>
    </w:rPr>
  </w:style>
  <w:style w:type="paragraph" w:customStyle="1" w:styleId="Subitem">
    <w:name w:val="Subitem"/>
    <w:aliases w:val="iss"/>
    <w:basedOn w:val="OPCParaBase"/>
    <w:rsid w:val="007712D4"/>
    <w:pPr>
      <w:spacing w:before="180" w:line="240" w:lineRule="auto"/>
      <w:ind w:left="709" w:hanging="709"/>
    </w:pPr>
  </w:style>
  <w:style w:type="paragraph" w:customStyle="1" w:styleId="SubitemHead">
    <w:name w:val="SubitemHead"/>
    <w:aliases w:val="issh"/>
    <w:basedOn w:val="OPCParaBase"/>
    <w:rsid w:val="007712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12D4"/>
    <w:pPr>
      <w:spacing w:before="40" w:line="240" w:lineRule="auto"/>
      <w:ind w:left="1134"/>
    </w:pPr>
  </w:style>
  <w:style w:type="paragraph" w:customStyle="1" w:styleId="SubsectionHead">
    <w:name w:val="SubsectionHead"/>
    <w:aliases w:val="ssh"/>
    <w:basedOn w:val="OPCParaBase"/>
    <w:next w:val="subsection"/>
    <w:rsid w:val="007712D4"/>
    <w:pPr>
      <w:keepNext/>
      <w:keepLines/>
      <w:spacing w:before="240" w:line="240" w:lineRule="auto"/>
      <w:ind w:left="1134"/>
    </w:pPr>
    <w:rPr>
      <w:i/>
    </w:rPr>
  </w:style>
  <w:style w:type="paragraph" w:customStyle="1" w:styleId="Tablea">
    <w:name w:val="Table(a)"/>
    <w:aliases w:val="ta"/>
    <w:basedOn w:val="OPCParaBase"/>
    <w:rsid w:val="007712D4"/>
    <w:pPr>
      <w:spacing w:before="60" w:line="240" w:lineRule="auto"/>
      <w:ind w:left="284" w:hanging="284"/>
    </w:pPr>
    <w:rPr>
      <w:sz w:val="20"/>
    </w:rPr>
  </w:style>
  <w:style w:type="paragraph" w:customStyle="1" w:styleId="TableAA">
    <w:name w:val="Table(AA)"/>
    <w:aliases w:val="taaa"/>
    <w:basedOn w:val="OPCParaBase"/>
    <w:rsid w:val="007712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12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12D4"/>
    <w:pPr>
      <w:spacing w:before="60" w:line="240" w:lineRule="atLeast"/>
    </w:pPr>
    <w:rPr>
      <w:sz w:val="20"/>
    </w:rPr>
  </w:style>
  <w:style w:type="paragraph" w:customStyle="1" w:styleId="TLPBoxTextnote">
    <w:name w:val="TLPBoxText(note"/>
    <w:aliases w:val="right)"/>
    <w:basedOn w:val="OPCParaBase"/>
    <w:rsid w:val="007712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12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12D4"/>
    <w:pPr>
      <w:spacing w:before="122" w:line="198" w:lineRule="exact"/>
      <w:ind w:left="1985" w:hanging="851"/>
      <w:jc w:val="right"/>
    </w:pPr>
    <w:rPr>
      <w:sz w:val="18"/>
    </w:rPr>
  </w:style>
  <w:style w:type="paragraph" w:customStyle="1" w:styleId="TLPTableBullet">
    <w:name w:val="TLPTableBullet"/>
    <w:aliases w:val="ttb"/>
    <w:basedOn w:val="OPCParaBase"/>
    <w:rsid w:val="007712D4"/>
    <w:pPr>
      <w:spacing w:line="240" w:lineRule="exact"/>
      <w:ind w:left="284" w:hanging="284"/>
    </w:pPr>
    <w:rPr>
      <w:sz w:val="20"/>
    </w:rPr>
  </w:style>
  <w:style w:type="paragraph" w:styleId="TOC1">
    <w:name w:val="toc 1"/>
    <w:basedOn w:val="Normal"/>
    <w:next w:val="Normal"/>
    <w:uiPriority w:val="39"/>
    <w:unhideWhenUsed/>
    <w:rsid w:val="007712D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712D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712D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712D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712D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712D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712D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712D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712D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712D4"/>
    <w:pPr>
      <w:keepLines/>
      <w:spacing w:before="240" w:after="120" w:line="240" w:lineRule="auto"/>
      <w:ind w:left="794"/>
    </w:pPr>
    <w:rPr>
      <w:b/>
      <w:kern w:val="28"/>
      <w:sz w:val="20"/>
    </w:rPr>
  </w:style>
  <w:style w:type="paragraph" w:customStyle="1" w:styleId="TofSectsHeading">
    <w:name w:val="TofSects(Heading)"/>
    <w:basedOn w:val="OPCParaBase"/>
    <w:rsid w:val="007712D4"/>
    <w:pPr>
      <w:spacing w:before="240" w:after="120" w:line="240" w:lineRule="auto"/>
    </w:pPr>
    <w:rPr>
      <w:b/>
      <w:sz w:val="24"/>
    </w:rPr>
  </w:style>
  <w:style w:type="paragraph" w:customStyle="1" w:styleId="TofSectsSection">
    <w:name w:val="TofSects(Section)"/>
    <w:basedOn w:val="OPCParaBase"/>
    <w:rsid w:val="007712D4"/>
    <w:pPr>
      <w:keepLines/>
      <w:spacing w:before="40" w:line="240" w:lineRule="auto"/>
      <w:ind w:left="1588" w:hanging="794"/>
    </w:pPr>
    <w:rPr>
      <w:kern w:val="28"/>
      <w:sz w:val="18"/>
    </w:rPr>
  </w:style>
  <w:style w:type="paragraph" w:customStyle="1" w:styleId="TofSectsSubdiv">
    <w:name w:val="TofSects(Subdiv)"/>
    <w:basedOn w:val="OPCParaBase"/>
    <w:rsid w:val="007712D4"/>
    <w:pPr>
      <w:keepLines/>
      <w:spacing w:before="80" w:line="240" w:lineRule="auto"/>
      <w:ind w:left="1588" w:hanging="794"/>
    </w:pPr>
    <w:rPr>
      <w:kern w:val="28"/>
    </w:rPr>
  </w:style>
  <w:style w:type="paragraph" w:customStyle="1" w:styleId="WRStyle">
    <w:name w:val="WR Style"/>
    <w:aliases w:val="WR"/>
    <w:basedOn w:val="OPCParaBase"/>
    <w:rsid w:val="007712D4"/>
    <w:pPr>
      <w:spacing w:before="240" w:line="240" w:lineRule="auto"/>
      <w:ind w:left="284" w:hanging="284"/>
    </w:pPr>
    <w:rPr>
      <w:b/>
      <w:i/>
      <w:kern w:val="28"/>
      <w:sz w:val="24"/>
    </w:rPr>
  </w:style>
  <w:style w:type="paragraph" w:customStyle="1" w:styleId="notepara">
    <w:name w:val="note(para)"/>
    <w:aliases w:val="na"/>
    <w:basedOn w:val="OPCParaBase"/>
    <w:rsid w:val="007712D4"/>
    <w:pPr>
      <w:spacing w:before="40" w:line="198" w:lineRule="exact"/>
      <w:ind w:left="2354" w:hanging="369"/>
    </w:pPr>
    <w:rPr>
      <w:sz w:val="18"/>
    </w:rPr>
  </w:style>
  <w:style w:type="paragraph" w:styleId="Footer">
    <w:name w:val="footer"/>
    <w:link w:val="FooterChar"/>
    <w:rsid w:val="007712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12D4"/>
    <w:rPr>
      <w:rFonts w:eastAsia="Times New Roman" w:cs="Times New Roman"/>
      <w:sz w:val="22"/>
      <w:szCs w:val="24"/>
      <w:lang w:eastAsia="en-AU"/>
    </w:rPr>
  </w:style>
  <w:style w:type="character" w:styleId="LineNumber">
    <w:name w:val="line number"/>
    <w:basedOn w:val="OPCCharBase"/>
    <w:uiPriority w:val="99"/>
    <w:unhideWhenUsed/>
    <w:rsid w:val="007712D4"/>
    <w:rPr>
      <w:sz w:val="16"/>
    </w:rPr>
  </w:style>
  <w:style w:type="table" w:customStyle="1" w:styleId="CFlag">
    <w:name w:val="CFlag"/>
    <w:basedOn w:val="TableNormal"/>
    <w:uiPriority w:val="99"/>
    <w:rsid w:val="007712D4"/>
    <w:rPr>
      <w:rFonts w:eastAsia="Times New Roman" w:cs="Times New Roman"/>
      <w:lang w:eastAsia="en-AU"/>
    </w:rPr>
    <w:tblPr/>
  </w:style>
  <w:style w:type="paragraph" w:styleId="BalloonText">
    <w:name w:val="Balloon Text"/>
    <w:basedOn w:val="Normal"/>
    <w:link w:val="BalloonTextChar"/>
    <w:uiPriority w:val="99"/>
    <w:unhideWhenUsed/>
    <w:rsid w:val="007712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712D4"/>
    <w:rPr>
      <w:rFonts w:ascii="Tahoma" w:hAnsi="Tahoma" w:cs="Tahoma"/>
      <w:sz w:val="16"/>
      <w:szCs w:val="16"/>
    </w:rPr>
  </w:style>
  <w:style w:type="table" w:styleId="TableGrid">
    <w:name w:val="Table Grid"/>
    <w:basedOn w:val="TableNormal"/>
    <w:uiPriority w:val="59"/>
    <w:rsid w:val="0077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712D4"/>
    <w:rPr>
      <w:b/>
      <w:sz w:val="28"/>
      <w:szCs w:val="32"/>
    </w:rPr>
  </w:style>
  <w:style w:type="paragraph" w:customStyle="1" w:styleId="LegislationMadeUnder">
    <w:name w:val="LegislationMadeUnder"/>
    <w:basedOn w:val="OPCParaBase"/>
    <w:next w:val="Normal"/>
    <w:rsid w:val="007712D4"/>
    <w:rPr>
      <w:i/>
      <w:sz w:val="32"/>
      <w:szCs w:val="32"/>
    </w:rPr>
  </w:style>
  <w:style w:type="paragraph" w:customStyle="1" w:styleId="SignCoverPageEnd">
    <w:name w:val="SignCoverPageEnd"/>
    <w:basedOn w:val="OPCParaBase"/>
    <w:next w:val="Normal"/>
    <w:rsid w:val="007712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712D4"/>
    <w:pPr>
      <w:pBdr>
        <w:top w:val="single" w:sz="4" w:space="1" w:color="auto"/>
      </w:pBdr>
      <w:spacing w:before="360"/>
      <w:ind w:right="397"/>
      <w:jc w:val="both"/>
    </w:pPr>
  </w:style>
  <w:style w:type="paragraph" w:customStyle="1" w:styleId="NotesHeading1">
    <w:name w:val="NotesHeading 1"/>
    <w:basedOn w:val="OPCParaBase"/>
    <w:next w:val="Normal"/>
    <w:rsid w:val="007712D4"/>
    <w:rPr>
      <w:b/>
      <w:sz w:val="28"/>
      <w:szCs w:val="28"/>
    </w:rPr>
  </w:style>
  <w:style w:type="paragraph" w:customStyle="1" w:styleId="NotesHeading2">
    <w:name w:val="NotesHeading 2"/>
    <w:basedOn w:val="OPCParaBase"/>
    <w:next w:val="Normal"/>
    <w:rsid w:val="007712D4"/>
    <w:rPr>
      <w:b/>
      <w:sz w:val="28"/>
      <w:szCs w:val="28"/>
    </w:rPr>
  </w:style>
  <w:style w:type="paragraph" w:customStyle="1" w:styleId="ENotesText">
    <w:name w:val="ENotesText"/>
    <w:aliases w:val="Ent"/>
    <w:basedOn w:val="OPCParaBase"/>
    <w:next w:val="Normal"/>
    <w:rsid w:val="007712D4"/>
    <w:pPr>
      <w:spacing w:before="120"/>
    </w:pPr>
  </w:style>
  <w:style w:type="paragraph" w:customStyle="1" w:styleId="CompiledActNo">
    <w:name w:val="CompiledActNo"/>
    <w:basedOn w:val="OPCParaBase"/>
    <w:next w:val="Normal"/>
    <w:rsid w:val="007712D4"/>
    <w:rPr>
      <w:b/>
      <w:sz w:val="24"/>
      <w:szCs w:val="24"/>
    </w:rPr>
  </w:style>
  <w:style w:type="paragraph" w:customStyle="1" w:styleId="CompiledMadeUnder">
    <w:name w:val="CompiledMadeUnder"/>
    <w:basedOn w:val="OPCParaBase"/>
    <w:next w:val="Normal"/>
    <w:rsid w:val="007712D4"/>
    <w:rPr>
      <w:i/>
      <w:sz w:val="24"/>
      <w:szCs w:val="24"/>
    </w:rPr>
  </w:style>
  <w:style w:type="paragraph" w:customStyle="1" w:styleId="Paragraphsub-sub-sub">
    <w:name w:val="Paragraph(sub-sub-sub)"/>
    <w:aliases w:val="aaaa"/>
    <w:basedOn w:val="OPCParaBase"/>
    <w:rsid w:val="007712D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712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12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12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12D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712D4"/>
    <w:pPr>
      <w:spacing w:before="60" w:line="240" w:lineRule="auto"/>
    </w:pPr>
    <w:rPr>
      <w:rFonts w:cs="Arial"/>
      <w:sz w:val="20"/>
      <w:szCs w:val="22"/>
    </w:rPr>
  </w:style>
  <w:style w:type="paragraph" w:customStyle="1" w:styleId="NoteToSubpara">
    <w:name w:val="NoteToSubpara"/>
    <w:aliases w:val="nts"/>
    <w:basedOn w:val="OPCParaBase"/>
    <w:rsid w:val="007712D4"/>
    <w:pPr>
      <w:spacing w:before="40" w:line="198" w:lineRule="exact"/>
      <w:ind w:left="2835" w:hanging="709"/>
    </w:pPr>
    <w:rPr>
      <w:sz w:val="18"/>
    </w:rPr>
  </w:style>
  <w:style w:type="paragraph" w:customStyle="1" w:styleId="ENoteTableHeading">
    <w:name w:val="ENoteTableHeading"/>
    <w:aliases w:val="enth"/>
    <w:basedOn w:val="OPCParaBase"/>
    <w:rsid w:val="007712D4"/>
    <w:pPr>
      <w:keepNext/>
      <w:spacing w:before="60" w:line="240" w:lineRule="atLeast"/>
    </w:pPr>
    <w:rPr>
      <w:rFonts w:ascii="Arial" w:hAnsi="Arial"/>
      <w:b/>
      <w:sz w:val="16"/>
    </w:rPr>
  </w:style>
  <w:style w:type="paragraph" w:customStyle="1" w:styleId="ENoteTTi">
    <w:name w:val="ENoteTTi"/>
    <w:aliases w:val="entti"/>
    <w:basedOn w:val="OPCParaBase"/>
    <w:rsid w:val="007712D4"/>
    <w:pPr>
      <w:keepNext/>
      <w:spacing w:before="60" w:line="240" w:lineRule="atLeast"/>
      <w:ind w:left="170"/>
    </w:pPr>
    <w:rPr>
      <w:sz w:val="16"/>
    </w:rPr>
  </w:style>
  <w:style w:type="paragraph" w:customStyle="1" w:styleId="ENotesHeading1">
    <w:name w:val="ENotesHeading 1"/>
    <w:aliases w:val="Enh1"/>
    <w:basedOn w:val="OPCParaBase"/>
    <w:next w:val="Normal"/>
    <w:rsid w:val="007712D4"/>
    <w:pPr>
      <w:spacing w:before="120"/>
      <w:outlineLvl w:val="1"/>
    </w:pPr>
    <w:rPr>
      <w:b/>
      <w:sz w:val="28"/>
      <w:szCs w:val="28"/>
    </w:rPr>
  </w:style>
  <w:style w:type="paragraph" w:customStyle="1" w:styleId="ENotesHeading2">
    <w:name w:val="ENotesHeading 2"/>
    <w:aliases w:val="Enh2"/>
    <w:basedOn w:val="OPCParaBase"/>
    <w:next w:val="Normal"/>
    <w:rsid w:val="007712D4"/>
    <w:pPr>
      <w:spacing w:before="120" w:after="120"/>
      <w:outlineLvl w:val="2"/>
    </w:pPr>
    <w:rPr>
      <w:b/>
      <w:sz w:val="24"/>
      <w:szCs w:val="28"/>
    </w:rPr>
  </w:style>
  <w:style w:type="paragraph" w:customStyle="1" w:styleId="ENoteTTIndentHeading">
    <w:name w:val="ENoteTTIndentHeading"/>
    <w:aliases w:val="enTTHi"/>
    <w:basedOn w:val="OPCParaBase"/>
    <w:rsid w:val="007712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712D4"/>
    <w:pPr>
      <w:spacing w:before="60" w:line="240" w:lineRule="atLeast"/>
    </w:pPr>
    <w:rPr>
      <w:sz w:val="16"/>
    </w:rPr>
  </w:style>
  <w:style w:type="paragraph" w:customStyle="1" w:styleId="MadeunderText">
    <w:name w:val="MadeunderText"/>
    <w:basedOn w:val="OPCParaBase"/>
    <w:next w:val="Normal"/>
    <w:rsid w:val="007712D4"/>
    <w:pPr>
      <w:spacing w:before="240"/>
    </w:pPr>
    <w:rPr>
      <w:sz w:val="24"/>
      <w:szCs w:val="24"/>
    </w:rPr>
  </w:style>
  <w:style w:type="paragraph" w:customStyle="1" w:styleId="ENotesHeading3">
    <w:name w:val="ENotesHeading 3"/>
    <w:aliases w:val="Enh3"/>
    <w:basedOn w:val="OPCParaBase"/>
    <w:next w:val="Normal"/>
    <w:rsid w:val="007712D4"/>
    <w:pPr>
      <w:keepNext/>
      <w:spacing w:before="120" w:line="240" w:lineRule="auto"/>
      <w:outlineLvl w:val="4"/>
    </w:pPr>
    <w:rPr>
      <w:b/>
      <w:szCs w:val="24"/>
    </w:rPr>
  </w:style>
  <w:style w:type="character" w:customStyle="1" w:styleId="CharSubPartTextCASA">
    <w:name w:val="CharSubPartText(CASA)"/>
    <w:basedOn w:val="OPCCharBase"/>
    <w:uiPriority w:val="1"/>
    <w:rsid w:val="007712D4"/>
  </w:style>
  <w:style w:type="character" w:customStyle="1" w:styleId="CharSubPartNoCASA">
    <w:name w:val="CharSubPartNo(CASA)"/>
    <w:basedOn w:val="OPCCharBase"/>
    <w:uiPriority w:val="1"/>
    <w:rsid w:val="007712D4"/>
  </w:style>
  <w:style w:type="paragraph" w:customStyle="1" w:styleId="ENoteTTIndentHeadingSub">
    <w:name w:val="ENoteTTIndentHeadingSub"/>
    <w:aliases w:val="enTTHis"/>
    <w:basedOn w:val="OPCParaBase"/>
    <w:rsid w:val="007712D4"/>
    <w:pPr>
      <w:keepNext/>
      <w:spacing w:before="60" w:line="240" w:lineRule="atLeast"/>
      <w:ind w:left="340"/>
    </w:pPr>
    <w:rPr>
      <w:b/>
      <w:sz w:val="16"/>
    </w:rPr>
  </w:style>
  <w:style w:type="paragraph" w:customStyle="1" w:styleId="ENoteTTiSub">
    <w:name w:val="ENoteTTiSub"/>
    <w:aliases w:val="enttis"/>
    <w:basedOn w:val="OPCParaBase"/>
    <w:rsid w:val="007712D4"/>
    <w:pPr>
      <w:keepNext/>
      <w:spacing w:before="60" w:line="240" w:lineRule="atLeast"/>
      <w:ind w:left="340"/>
    </w:pPr>
    <w:rPr>
      <w:sz w:val="16"/>
    </w:rPr>
  </w:style>
  <w:style w:type="paragraph" w:customStyle="1" w:styleId="SubDivisionMigration">
    <w:name w:val="SubDivisionMigration"/>
    <w:aliases w:val="sdm"/>
    <w:basedOn w:val="OPCParaBase"/>
    <w:rsid w:val="007712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712D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712D4"/>
    <w:pPr>
      <w:spacing w:before="122" w:line="240" w:lineRule="auto"/>
      <w:ind w:left="1985" w:hanging="851"/>
    </w:pPr>
    <w:rPr>
      <w:sz w:val="18"/>
    </w:rPr>
  </w:style>
  <w:style w:type="paragraph" w:customStyle="1" w:styleId="FreeForm">
    <w:name w:val="FreeForm"/>
    <w:rsid w:val="007712D4"/>
    <w:rPr>
      <w:rFonts w:ascii="Arial" w:hAnsi="Arial"/>
      <w:sz w:val="22"/>
    </w:rPr>
  </w:style>
  <w:style w:type="paragraph" w:customStyle="1" w:styleId="SOText">
    <w:name w:val="SO Text"/>
    <w:aliases w:val="sot"/>
    <w:link w:val="SOTextChar"/>
    <w:rsid w:val="007712D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712D4"/>
    <w:rPr>
      <w:sz w:val="22"/>
    </w:rPr>
  </w:style>
  <w:style w:type="paragraph" w:customStyle="1" w:styleId="SOTextNote">
    <w:name w:val="SO TextNote"/>
    <w:aliases w:val="sont"/>
    <w:basedOn w:val="SOText"/>
    <w:qFormat/>
    <w:rsid w:val="007712D4"/>
    <w:pPr>
      <w:spacing w:before="122" w:line="198" w:lineRule="exact"/>
      <w:ind w:left="1843" w:hanging="709"/>
    </w:pPr>
    <w:rPr>
      <w:sz w:val="18"/>
    </w:rPr>
  </w:style>
  <w:style w:type="paragraph" w:customStyle="1" w:styleId="SOPara">
    <w:name w:val="SO Para"/>
    <w:aliases w:val="soa"/>
    <w:basedOn w:val="SOText"/>
    <w:link w:val="SOParaChar"/>
    <w:qFormat/>
    <w:rsid w:val="007712D4"/>
    <w:pPr>
      <w:tabs>
        <w:tab w:val="right" w:pos="1786"/>
      </w:tabs>
      <w:spacing w:before="40"/>
      <w:ind w:left="2070" w:hanging="936"/>
    </w:pPr>
  </w:style>
  <w:style w:type="character" w:customStyle="1" w:styleId="SOParaChar">
    <w:name w:val="SO Para Char"/>
    <w:aliases w:val="soa Char"/>
    <w:basedOn w:val="DefaultParagraphFont"/>
    <w:link w:val="SOPara"/>
    <w:rsid w:val="007712D4"/>
    <w:rPr>
      <w:sz w:val="22"/>
    </w:rPr>
  </w:style>
  <w:style w:type="paragraph" w:customStyle="1" w:styleId="FileName">
    <w:name w:val="FileName"/>
    <w:basedOn w:val="Normal"/>
    <w:rsid w:val="007712D4"/>
  </w:style>
  <w:style w:type="paragraph" w:customStyle="1" w:styleId="TableHeading">
    <w:name w:val="TableHeading"/>
    <w:aliases w:val="th"/>
    <w:basedOn w:val="OPCParaBase"/>
    <w:next w:val="Tabletext"/>
    <w:rsid w:val="007712D4"/>
    <w:pPr>
      <w:keepNext/>
      <w:spacing w:before="60" w:line="240" w:lineRule="atLeast"/>
    </w:pPr>
    <w:rPr>
      <w:b/>
      <w:sz w:val="20"/>
    </w:rPr>
  </w:style>
  <w:style w:type="paragraph" w:customStyle="1" w:styleId="SOHeadBold">
    <w:name w:val="SO HeadBold"/>
    <w:aliases w:val="sohb"/>
    <w:basedOn w:val="SOText"/>
    <w:next w:val="SOText"/>
    <w:link w:val="SOHeadBoldChar"/>
    <w:qFormat/>
    <w:rsid w:val="007712D4"/>
    <w:rPr>
      <w:b/>
    </w:rPr>
  </w:style>
  <w:style w:type="character" w:customStyle="1" w:styleId="SOHeadBoldChar">
    <w:name w:val="SO HeadBold Char"/>
    <w:aliases w:val="sohb Char"/>
    <w:basedOn w:val="DefaultParagraphFont"/>
    <w:link w:val="SOHeadBold"/>
    <w:rsid w:val="007712D4"/>
    <w:rPr>
      <w:b/>
      <w:sz w:val="22"/>
    </w:rPr>
  </w:style>
  <w:style w:type="paragraph" w:customStyle="1" w:styleId="SOHeadItalic">
    <w:name w:val="SO HeadItalic"/>
    <w:aliases w:val="sohi"/>
    <w:basedOn w:val="SOText"/>
    <w:next w:val="SOText"/>
    <w:link w:val="SOHeadItalicChar"/>
    <w:qFormat/>
    <w:rsid w:val="007712D4"/>
    <w:rPr>
      <w:i/>
    </w:rPr>
  </w:style>
  <w:style w:type="character" w:customStyle="1" w:styleId="SOHeadItalicChar">
    <w:name w:val="SO HeadItalic Char"/>
    <w:aliases w:val="sohi Char"/>
    <w:basedOn w:val="DefaultParagraphFont"/>
    <w:link w:val="SOHeadItalic"/>
    <w:rsid w:val="007712D4"/>
    <w:rPr>
      <w:i/>
      <w:sz w:val="22"/>
    </w:rPr>
  </w:style>
  <w:style w:type="paragraph" w:customStyle="1" w:styleId="SOBullet">
    <w:name w:val="SO Bullet"/>
    <w:aliases w:val="sotb"/>
    <w:basedOn w:val="SOText"/>
    <w:link w:val="SOBulletChar"/>
    <w:qFormat/>
    <w:rsid w:val="007712D4"/>
    <w:pPr>
      <w:ind w:left="1559" w:hanging="425"/>
    </w:pPr>
  </w:style>
  <w:style w:type="character" w:customStyle="1" w:styleId="SOBulletChar">
    <w:name w:val="SO Bullet Char"/>
    <w:aliases w:val="sotb Char"/>
    <w:basedOn w:val="DefaultParagraphFont"/>
    <w:link w:val="SOBullet"/>
    <w:rsid w:val="007712D4"/>
    <w:rPr>
      <w:sz w:val="22"/>
    </w:rPr>
  </w:style>
  <w:style w:type="paragraph" w:customStyle="1" w:styleId="SOBulletNote">
    <w:name w:val="SO BulletNote"/>
    <w:aliases w:val="sonb"/>
    <w:basedOn w:val="SOTextNote"/>
    <w:link w:val="SOBulletNoteChar"/>
    <w:qFormat/>
    <w:rsid w:val="007712D4"/>
    <w:pPr>
      <w:tabs>
        <w:tab w:val="left" w:pos="1560"/>
      </w:tabs>
      <w:ind w:left="2268" w:hanging="1134"/>
    </w:pPr>
  </w:style>
  <w:style w:type="character" w:customStyle="1" w:styleId="SOBulletNoteChar">
    <w:name w:val="SO BulletNote Char"/>
    <w:aliases w:val="sonb Char"/>
    <w:basedOn w:val="DefaultParagraphFont"/>
    <w:link w:val="SOBulletNote"/>
    <w:rsid w:val="007712D4"/>
    <w:rPr>
      <w:sz w:val="18"/>
    </w:rPr>
  </w:style>
  <w:style w:type="paragraph" w:customStyle="1" w:styleId="SOText2">
    <w:name w:val="SO Text2"/>
    <w:aliases w:val="sot2"/>
    <w:basedOn w:val="Normal"/>
    <w:next w:val="SOText"/>
    <w:link w:val="SOText2Char"/>
    <w:rsid w:val="007712D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712D4"/>
    <w:rPr>
      <w:sz w:val="22"/>
    </w:rPr>
  </w:style>
  <w:style w:type="paragraph" w:customStyle="1" w:styleId="SubPartCASA">
    <w:name w:val="SubPart(CASA)"/>
    <w:aliases w:val="csp"/>
    <w:basedOn w:val="OPCParaBase"/>
    <w:next w:val="ActHead3"/>
    <w:rsid w:val="007712D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712D4"/>
    <w:rPr>
      <w:rFonts w:eastAsia="Times New Roman" w:cs="Times New Roman"/>
      <w:sz w:val="22"/>
      <w:lang w:eastAsia="en-AU"/>
    </w:rPr>
  </w:style>
  <w:style w:type="character" w:customStyle="1" w:styleId="notetextChar">
    <w:name w:val="note(text) Char"/>
    <w:aliases w:val="n Char"/>
    <w:basedOn w:val="DefaultParagraphFont"/>
    <w:link w:val="notetext"/>
    <w:rsid w:val="007712D4"/>
    <w:rPr>
      <w:rFonts w:eastAsia="Times New Roman" w:cs="Times New Roman"/>
      <w:sz w:val="18"/>
      <w:lang w:eastAsia="en-AU"/>
    </w:rPr>
  </w:style>
  <w:style w:type="character" w:customStyle="1" w:styleId="Heading1Char">
    <w:name w:val="Heading 1 Char"/>
    <w:basedOn w:val="DefaultParagraphFont"/>
    <w:link w:val="Heading1"/>
    <w:uiPriority w:val="9"/>
    <w:rsid w:val="007712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12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12D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712D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712D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712D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712D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712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712D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712D4"/>
  </w:style>
  <w:style w:type="character" w:customStyle="1" w:styleId="charlegsubtitle1">
    <w:name w:val="charlegsubtitle1"/>
    <w:basedOn w:val="DefaultParagraphFont"/>
    <w:rsid w:val="007712D4"/>
    <w:rPr>
      <w:rFonts w:ascii="Arial" w:hAnsi="Arial" w:cs="Arial" w:hint="default"/>
      <w:b/>
      <w:bCs/>
      <w:sz w:val="28"/>
      <w:szCs w:val="28"/>
    </w:rPr>
  </w:style>
  <w:style w:type="paragraph" w:styleId="Index1">
    <w:name w:val="index 1"/>
    <w:basedOn w:val="Normal"/>
    <w:next w:val="Normal"/>
    <w:autoRedefine/>
    <w:rsid w:val="007712D4"/>
    <w:pPr>
      <w:ind w:left="240" w:hanging="240"/>
    </w:pPr>
  </w:style>
  <w:style w:type="paragraph" w:styleId="Index2">
    <w:name w:val="index 2"/>
    <w:basedOn w:val="Normal"/>
    <w:next w:val="Normal"/>
    <w:autoRedefine/>
    <w:rsid w:val="007712D4"/>
    <w:pPr>
      <w:ind w:left="480" w:hanging="240"/>
    </w:pPr>
  </w:style>
  <w:style w:type="paragraph" w:styleId="Index3">
    <w:name w:val="index 3"/>
    <w:basedOn w:val="Normal"/>
    <w:next w:val="Normal"/>
    <w:autoRedefine/>
    <w:rsid w:val="007712D4"/>
    <w:pPr>
      <w:ind w:left="720" w:hanging="240"/>
    </w:pPr>
  </w:style>
  <w:style w:type="paragraph" w:styleId="Index4">
    <w:name w:val="index 4"/>
    <w:basedOn w:val="Normal"/>
    <w:next w:val="Normal"/>
    <w:autoRedefine/>
    <w:rsid w:val="007712D4"/>
    <w:pPr>
      <w:ind w:left="960" w:hanging="240"/>
    </w:pPr>
  </w:style>
  <w:style w:type="paragraph" w:styleId="Index5">
    <w:name w:val="index 5"/>
    <w:basedOn w:val="Normal"/>
    <w:next w:val="Normal"/>
    <w:autoRedefine/>
    <w:rsid w:val="007712D4"/>
    <w:pPr>
      <w:ind w:left="1200" w:hanging="240"/>
    </w:pPr>
  </w:style>
  <w:style w:type="paragraph" w:styleId="Index6">
    <w:name w:val="index 6"/>
    <w:basedOn w:val="Normal"/>
    <w:next w:val="Normal"/>
    <w:autoRedefine/>
    <w:rsid w:val="007712D4"/>
    <w:pPr>
      <w:ind w:left="1440" w:hanging="240"/>
    </w:pPr>
  </w:style>
  <w:style w:type="paragraph" w:styleId="Index7">
    <w:name w:val="index 7"/>
    <w:basedOn w:val="Normal"/>
    <w:next w:val="Normal"/>
    <w:autoRedefine/>
    <w:rsid w:val="007712D4"/>
    <w:pPr>
      <w:ind w:left="1680" w:hanging="240"/>
    </w:pPr>
  </w:style>
  <w:style w:type="paragraph" w:styleId="Index8">
    <w:name w:val="index 8"/>
    <w:basedOn w:val="Normal"/>
    <w:next w:val="Normal"/>
    <w:autoRedefine/>
    <w:rsid w:val="007712D4"/>
    <w:pPr>
      <w:ind w:left="1920" w:hanging="240"/>
    </w:pPr>
  </w:style>
  <w:style w:type="paragraph" w:styleId="Index9">
    <w:name w:val="index 9"/>
    <w:basedOn w:val="Normal"/>
    <w:next w:val="Normal"/>
    <w:autoRedefine/>
    <w:rsid w:val="007712D4"/>
    <w:pPr>
      <w:ind w:left="2160" w:hanging="240"/>
    </w:pPr>
  </w:style>
  <w:style w:type="paragraph" w:styleId="NormalIndent">
    <w:name w:val="Normal Indent"/>
    <w:basedOn w:val="Normal"/>
    <w:rsid w:val="007712D4"/>
    <w:pPr>
      <w:ind w:left="720"/>
    </w:pPr>
  </w:style>
  <w:style w:type="paragraph" w:styleId="FootnoteText">
    <w:name w:val="footnote text"/>
    <w:basedOn w:val="Normal"/>
    <w:link w:val="FootnoteTextChar"/>
    <w:rsid w:val="007712D4"/>
    <w:rPr>
      <w:sz w:val="20"/>
    </w:rPr>
  </w:style>
  <w:style w:type="character" w:customStyle="1" w:styleId="FootnoteTextChar">
    <w:name w:val="Footnote Text Char"/>
    <w:basedOn w:val="DefaultParagraphFont"/>
    <w:link w:val="FootnoteText"/>
    <w:rsid w:val="007712D4"/>
  </w:style>
  <w:style w:type="paragraph" w:styleId="CommentText">
    <w:name w:val="annotation text"/>
    <w:basedOn w:val="Normal"/>
    <w:link w:val="CommentTextChar"/>
    <w:rsid w:val="007712D4"/>
    <w:rPr>
      <w:sz w:val="20"/>
    </w:rPr>
  </w:style>
  <w:style w:type="character" w:customStyle="1" w:styleId="CommentTextChar">
    <w:name w:val="Comment Text Char"/>
    <w:basedOn w:val="DefaultParagraphFont"/>
    <w:link w:val="CommentText"/>
    <w:rsid w:val="007712D4"/>
  </w:style>
  <w:style w:type="paragraph" w:styleId="IndexHeading">
    <w:name w:val="index heading"/>
    <w:basedOn w:val="Normal"/>
    <w:next w:val="Index1"/>
    <w:rsid w:val="007712D4"/>
    <w:rPr>
      <w:rFonts w:ascii="Arial" w:hAnsi="Arial" w:cs="Arial"/>
      <w:b/>
      <w:bCs/>
    </w:rPr>
  </w:style>
  <w:style w:type="paragraph" w:styleId="Caption">
    <w:name w:val="caption"/>
    <w:basedOn w:val="Normal"/>
    <w:next w:val="Normal"/>
    <w:qFormat/>
    <w:rsid w:val="007712D4"/>
    <w:pPr>
      <w:spacing w:before="120" w:after="120"/>
    </w:pPr>
    <w:rPr>
      <w:b/>
      <w:bCs/>
      <w:sz w:val="20"/>
    </w:rPr>
  </w:style>
  <w:style w:type="paragraph" w:styleId="TableofFigures">
    <w:name w:val="table of figures"/>
    <w:basedOn w:val="Normal"/>
    <w:next w:val="Normal"/>
    <w:rsid w:val="007712D4"/>
    <w:pPr>
      <w:ind w:left="480" w:hanging="480"/>
    </w:pPr>
  </w:style>
  <w:style w:type="paragraph" w:styleId="EnvelopeAddress">
    <w:name w:val="envelope address"/>
    <w:basedOn w:val="Normal"/>
    <w:rsid w:val="007712D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12D4"/>
    <w:rPr>
      <w:rFonts w:ascii="Arial" w:hAnsi="Arial" w:cs="Arial"/>
      <w:sz w:val="20"/>
    </w:rPr>
  </w:style>
  <w:style w:type="character" w:styleId="FootnoteReference">
    <w:name w:val="footnote reference"/>
    <w:basedOn w:val="DefaultParagraphFont"/>
    <w:rsid w:val="007712D4"/>
    <w:rPr>
      <w:rFonts w:ascii="Times New Roman" w:hAnsi="Times New Roman"/>
      <w:sz w:val="20"/>
      <w:vertAlign w:val="superscript"/>
    </w:rPr>
  </w:style>
  <w:style w:type="character" w:styleId="CommentReference">
    <w:name w:val="annotation reference"/>
    <w:basedOn w:val="DefaultParagraphFont"/>
    <w:rsid w:val="007712D4"/>
    <w:rPr>
      <w:sz w:val="16"/>
      <w:szCs w:val="16"/>
    </w:rPr>
  </w:style>
  <w:style w:type="character" w:styleId="PageNumber">
    <w:name w:val="page number"/>
    <w:basedOn w:val="DefaultParagraphFont"/>
    <w:rsid w:val="007712D4"/>
  </w:style>
  <w:style w:type="character" w:styleId="EndnoteReference">
    <w:name w:val="endnote reference"/>
    <w:basedOn w:val="DefaultParagraphFont"/>
    <w:rsid w:val="007712D4"/>
    <w:rPr>
      <w:vertAlign w:val="superscript"/>
    </w:rPr>
  </w:style>
  <w:style w:type="paragraph" w:styleId="EndnoteText">
    <w:name w:val="endnote text"/>
    <w:basedOn w:val="Normal"/>
    <w:link w:val="EndnoteTextChar"/>
    <w:rsid w:val="007712D4"/>
    <w:rPr>
      <w:sz w:val="20"/>
    </w:rPr>
  </w:style>
  <w:style w:type="character" w:customStyle="1" w:styleId="EndnoteTextChar">
    <w:name w:val="Endnote Text Char"/>
    <w:basedOn w:val="DefaultParagraphFont"/>
    <w:link w:val="EndnoteText"/>
    <w:rsid w:val="007712D4"/>
  </w:style>
  <w:style w:type="paragraph" w:styleId="TableofAuthorities">
    <w:name w:val="table of authorities"/>
    <w:basedOn w:val="Normal"/>
    <w:next w:val="Normal"/>
    <w:rsid w:val="007712D4"/>
    <w:pPr>
      <w:ind w:left="240" w:hanging="240"/>
    </w:pPr>
  </w:style>
  <w:style w:type="paragraph" w:styleId="MacroText">
    <w:name w:val="macro"/>
    <w:link w:val="MacroTextChar"/>
    <w:rsid w:val="007712D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712D4"/>
    <w:rPr>
      <w:rFonts w:ascii="Courier New" w:eastAsia="Times New Roman" w:hAnsi="Courier New" w:cs="Courier New"/>
      <w:lang w:eastAsia="en-AU"/>
    </w:rPr>
  </w:style>
  <w:style w:type="paragraph" w:styleId="TOAHeading">
    <w:name w:val="toa heading"/>
    <w:basedOn w:val="Normal"/>
    <w:next w:val="Normal"/>
    <w:rsid w:val="007712D4"/>
    <w:pPr>
      <w:spacing w:before="120"/>
    </w:pPr>
    <w:rPr>
      <w:rFonts w:ascii="Arial" w:hAnsi="Arial" w:cs="Arial"/>
      <w:b/>
      <w:bCs/>
    </w:rPr>
  </w:style>
  <w:style w:type="paragraph" w:styleId="List">
    <w:name w:val="List"/>
    <w:basedOn w:val="Normal"/>
    <w:rsid w:val="007712D4"/>
    <w:pPr>
      <w:ind w:left="283" w:hanging="283"/>
    </w:pPr>
  </w:style>
  <w:style w:type="paragraph" w:styleId="ListBullet">
    <w:name w:val="List Bullet"/>
    <w:basedOn w:val="Normal"/>
    <w:autoRedefine/>
    <w:rsid w:val="007712D4"/>
    <w:pPr>
      <w:tabs>
        <w:tab w:val="num" w:pos="360"/>
      </w:tabs>
      <w:ind w:left="360" w:hanging="360"/>
    </w:pPr>
  </w:style>
  <w:style w:type="paragraph" w:styleId="ListNumber">
    <w:name w:val="List Number"/>
    <w:basedOn w:val="Normal"/>
    <w:rsid w:val="007712D4"/>
    <w:pPr>
      <w:tabs>
        <w:tab w:val="num" w:pos="360"/>
      </w:tabs>
      <w:ind w:left="360" w:hanging="360"/>
    </w:pPr>
  </w:style>
  <w:style w:type="paragraph" w:styleId="List2">
    <w:name w:val="List 2"/>
    <w:basedOn w:val="Normal"/>
    <w:rsid w:val="007712D4"/>
    <w:pPr>
      <w:ind w:left="566" w:hanging="283"/>
    </w:pPr>
  </w:style>
  <w:style w:type="paragraph" w:styleId="List3">
    <w:name w:val="List 3"/>
    <w:basedOn w:val="Normal"/>
    <w:rsid w:val="007712D4"/>
    <w:pPr>
      <w:ind w:left="849" w:hanging="283"/>
    </w:pPr>
  </w:style>
  <w:style w:type="paragraph" w:styleId="List4">
    <w:name w:val="List 4"/>
    <w:basedOn w:val="Normal"/>
    <w:rsid w:val="007712D4"/>
    <w:pPr>
      <w:ind w:left="1132" w:hanging="283"/>
    </w:pPr>
  </w:style>
  <w:style w:type="paragraph" w:styleId="List5">
    <w:name w:val="List 5"/>
    <w:basedOn w:val="Normal"/>
    <w:rsid w:val="007712D4"/>
    <w:pPr>
      <w:ind w:left="1415" w:hanging="283"/>
    </w:pPr>
  </w:style>
  <w:style w:type="paragraph" w:styleId="ListBullet2">
    <w:name w:val="List Bullet 2"/>
    <w:basedOn w:val="Normal"/>
    <w:autoRedefine/>
    <w:rsid w:val="007712D4"/>
    <w:pPr>
      <w:tabs>
        <w:tab w:val="num" w:pos="360"/>
      </w:tabs>
    </w:pPr>
  </w:style>
  <w:style w:type="paragraph" w:styleId="ListBullet3">
    <w:name w:val="List Bullet 3"/>
    <w:basedOn w:val="Normal"/>
    <w:autoRedefine/>
    <w:rsid w:val="007712D4"/>
    <w:pPr>
      <w:tabs>
        <w:tab w:val="num" w:pos="926"/>
      </w:tabs>
      <w:ind w:left="926" w:hanging="360"/>
    </w:pPr>
  </w:style>
  <w:style w:type="paragraph" w:styleId="ListBullet4">
    <w:name w:val="List Bullet 4"/>
    <w:basedOn w:val="Normal"/>
    <w:autoRedefine/>
    <w:rsid w:val="007712D4"/>
    <w:pPr>
      <w:tabs>
        <w:tab w:val="num" w:pos="1209"/>
      </w:tabs>
      <w:ind w:left="1209" w:hanging="360"/>
    </w:pPr>
  </w:style>
  <w:style w:type="paragraph" w:styleId="ListBullet5">
    <w:name w:val="List Bullet 5"/>
    <w:basedOn w:val="Normal"/>
    <w:autoRedefine/>
    <w:rsid w:val="007712D4"/>
    <w:pPr>
      <w:tabs>
        <w:tab w:val="num" w:pos="1492"/>
      </w:tabs>
      <w:ind w:left="1492" w:hanging="360"/>
    </w:pPr>
  </w:style>
  <w:style w:type="paragraph" w:styleId="ListNumber2">
    <w:name w:val="List Number 2"/>
    <w:basedOn w:val="Normal"/>
    <w:rsid w:val="007712D4"/>
    <w:pPr>
      <w:tabs>
        <w:tab w:val="num" w:pos="643"/>
      </w:tabs>
      <w:ind w:left="643" w:hanging="360"/>
    </w:pPr>
  </w:style>
  <w:style w:type="paragraph" w:styleId="ListNumber3">
    <w:name w:val="List Number 3"/>
    <w:basedOn w:val="Normal"/>
    <w:rsid w:val="007712D4"/>
    <w:pPr>
      <w:tabs>
        <w:tab w:val="num" w:pos="926"/>
      </w:tabs>
      <w:ind w:left="926" w:hanging="360"/>
    </w:pPr>
  </w:style>
  <w:style w:type="paragraph" w:styleId="ListNumber4">
    <w:name w:val="List Number 4"/>
    <w:basedOn w:val="Normal"/>
    <w:rsid w:val="007712D4"/>
    <w:pPr>
      <w:tabs>
        <w:tab w:val="num" w:pos="1209"/>
      </w:tabs>
      <w:ind w:left="1209" w:hanging="360"/>
    </w:pPr>
  </w:style>
  <w:style w:type="paragraph" w:styleId="ListNumber5">
    <w:name w:val="List Number 5"/>
    <w:basedOn w:val="Normal"/>
    <w:rsid w:val="007712D4"/>
    <w:pPr>
      <w:tabs>
        <w:tab w:val="num" w:pos="1492"/>
      </w:tabs>
      <w:ind w:left="1492" w:hanging="360"/>
    </w:pPr>
  </w:style>
  <w:style w:type="paragraph" w:styleId="Title">
    <w:name w:val="Title"/>
    <w:basedOn w:val="Normal"/>
    <w:link w:val="TitleChar"/>
    <w:qFormat/>
    <w:rsid w:val="007712D4"/>
    <w:pPr>
      <w:spacing w:before="240" w:after="60"/>
    </w:pPr>
    <w:rPr>
      <w:rFonts w:ascii="Arial" w:hAnsi="Arial" w:cs="Arial"/>
      <w:b/>
      <w:bCs/>
      <w:sz w:val="40"/>
      <w:szCs w:val="40"/>
    </w:rPr>
  </w:style>
  <w:style w:type="character" w:customStyle="1" w:styleId="TitleChar">
    <w:name w:val="Title Char"/>
    <w:basedOn w:val="DefaultParagraphFont"/>
    <w:link w:val="Title"/>
    <w:rsid w:val="007712D4"/>
    <w:rPr>
      <w:rFonts w:ascii="Arial" w:hAnsi="Arial" w:cs="Arial"/>
      <w:b/>
      <w:bCs/>
      <w:sz w:val="40"/>
      <w:szCs w:val="40"/>
    </w:rPr>
  </w:style>
  <w:style w:type="paragraph" w:styleId="Closing">
    <w:name w:val="Closing"/>
    <w:basedOn w:val="Normal"/>
    <w:link w:val="ClosingChar"/>
    <w:rsid w:val="007712D4"/>
    <w:pPr>
      <w:ind w:left="4252"/>
    </w:pPr>
  </w:style>
  <w:style w:type="character" w:customStyle="1" w:styleId="ClosingChar">
    <w:name w:val="Closing Char"/>
    <w:basedOn w:val="DefaultParagraphFont"/>
    <w:link w:val="Closing"/>
    <w:rsid w:val="007712D4"/>
    <w:rPr>
      <w:sz w:val="22"/>
    </w:rPr>
  </w:style>
  <w:style w:type="paragraph" w:styleId="Signature">
    <w:name w:val="Signature"/>
    <w:basedOn w:val="Normal"/>
    <w:link w:val="SignatureChar"/>
    <w:rsid w:val="007712D4"/>
    <w:pPr>
      <w:ind w:left="4252"/>
    </w:pPr>
  </w:style>
  <w:style w:type="character" w:customStyle="1" w:styleId="SignatureChar">
    <w:name w:val="Signature Char"/>
    <w:basedOn w:val="DefaultParagraphFont"/>
    <w:link w:val="Signature"/>
    <w:rsid w:val="007712D4"/>
    <w:rPr>
      <w:sz w:val="22"/>
    </w:rPr>
  </w:style>
  <w:style w:type="paragraph" w:styleId="BodyText">
    <w:name w:val="Body Text"/>
    <w:basedOn w:val="Normal"/>
    <w:link w:val="BodyTextChar"/>
    <w:rsid w:val="007712D4"/>
    <w:pPr>
      <w:spacing w:after="120"/>
    </w:pPr>
  </w:style>
  <w:style w:type="character" w:customStyle="1" w:styleId="BodyTextChar">
    <w:name w:val="Body Text Char"/>
    <w:basedOn w:val="DefaultParagraphFont"/>
    <w:link w:val="BodyText"/>
    <w:rsid w:val="007712D4"/>
    <w:rPr>
      <w:sz w:val="22"/>
    </w:rPr>
  </w:style>
  <w:style w:type="paragraph" w:styleId="BodyTextIndent">
    <w:name w:val="Body Text Indent"/>
    <w:basedOn w:val="Normal"/>
    <w:link w:val="BodyTextIndentChar"/>
    <w:rsid w:val="007712D4"/>
    <w:pPr>
      <w:spacing w:after="120"/>
      <w:ind w:left="283"/>
    </w:pPr>
  </w:style>
  <w:style w:type="character" w:customStyle="1" w:styleId="BodyTextIndentChar">
    <w:name w:val="Body Text Indent Char"/>
    <w:basedOn w:val="DefaultParagraphFont"/>
    <w:link w:val="BodyTextIndent"/>
    <w:rsid w:val="007712D4"/>
    <w:rPr>
      <w:sz w:val="22"/>
    </w:rPr>
  </w:style>
  <w:style w:type="paragraph" w:styleId="ListContinue">
    <w:name w:val="List Continue"/>
    <w:basedOn w:val="Normal"/>
    <w:rsid w:val="007712D4"/>
    <w:pPr>
      <w:spacing w:after="120"/>
      <w:ind w:left="283"/>
    </w:pPr>
  </w:style>
  <w:style w:type="paragraph" w:styleId="ListContinue2">
    <w:name w:val="List Continue 2"/>
    <w:basedOn w:val="Normal"/>
    <w:rsid w:val="007712D4"/>
    <w:pPr>
      <w:spacing w:after="120"/>
      <w:ind w:left="566"/>
    </w:pPr>
  </w:style>
  <w:style w:type="paragraph" w:styleId="ListContinue3">
    <w:name w:val="List Continue 3"/>
    <w:basedOn w:val="Normal"/>
    <w:rsid w:val="007712D4"/>
    <w:pPr>
      <w:spacing w:after="120"/>
      <w:ind w:left="849"/>
    </w:pPr>
  </w:style>
  <w:style w:type="paragraph" w:styleId="ListContinue4">
    <w:name w:val="List Continue 4"/>
    <w:basedOn w:val="Normal"/>
    <w:rsid w:val="007712D4"/>
    <w:pPr>
      <w:spacing w:after="120"/>
      <w:ind w:left="1132"/>
    </w:pPr>
  </w:style>
  <w:style w:type="paragraph" w:styleId="ListContinue5">
    <w:name w:val="List Continue 5"/>
    <w:basedOn w:val="Normal"/>
    <w:rsid w:val="007712D4"/>
    <w:pPr>
      <w:spacing w:after="120"/>
      <w:ind w:left="1415"/>
    </w:pPr>
  </w:style>
  <w:style w:type="paragraph" w:styleId="MessageHeader">
    <w:name w:val="Message Header"/>
    <w:basedOn w:val="Normal"/>
    <w:link w:val="MessageHeaderChar"/>
    <w:rsid w:val="007712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712D4"/>
    <w:rPr>
      <w:rFonts w:ascii="Arial" w:hAnsi="Arial" w:cs="Arial"/>
      <w:sz w:val="22"/>
      <w:shd w:val="pct20" w:color="auto" w:fill="auto"/>
    </w:rPr>
  </w:style>
  <w:style w:type="paragraph" w:styleId="Subtitle">
    <w:name w:val="Subtitle"/>
    <w:basedOn w:val="Normal"/>
    <w:link w:val="SubtitleChar"/>
    <w:qFormat/>
    <w:rsid w:val="007712D4"/>
    <w:pPr>
      <w:spacing w:after="60"/>
      <w:jc w:val="center"/>
      <w:outlineLvl w:val="1"/>
    </w:pPr>
    <w:rPr>
      <w:rFonts w:ascii="Arial" w:hAnsi="Arial" w:cs="Arial"/>
    </w:rPr>
  </w:style>
  <w:style w:type="character" w:customStyle="1" w:styleId="SubtitleChar">
    <w:name w:val="Subtitle Char"/>
    <w:basedOn w:val="DefaultParagraphFont"/>
    <w:link w:val="Subtitle"/>
    <w:rsid w:val="007712D4"/>
    <w:rPr>
      <w:rFonts w:ascii="Arial" w:hAnsi="Arial" w:cs="Arial"/>
      <w:sz w:val="22"/>
    </w:rPr>
  </w:style>
  <w:style w:type="paragraph" w:styleId="Salutation">
    <w:name w:val="Salutation"/>
    <w:basedOn w:val="Normal"/>
    <w:next w:val="Normal"/>
    <w:link w:val="SalutationChar"/>
    <w:rsid w:val="007712D4"/>
  </w:style>
  <w:style w:type="character" w:customStyle="1" w:styleId="SalutationChar">
    <w:name w:val="Salutation Char"/>
    <w:basedOn w:val="DefaultParagraphFont"/>
    <w:link w:val="Salutation"/>
    <w:rsid w:val="007712D4"/>
    <w:rPr>
      <w:sz w:val="22"/>
    </w:rPr>
  </w:style>
  <w:style w:type="paragraph" w:styleId="Date">
    <w:name w:val="Date"/>
    <w:basedOn w:val="Normal"/>
    <w:next w:val="Normal"/>
    <w:link w:val="DateChar"/>
    <w:rsid w:val="007712D4"/>
  </w:style>
  <w:style w:type="character" w:customStyle="1" w:styleId="DateChar">
    <w:name w:val="Date Char"/>
    <w:basedOn w:val="DefaultParagraphFont"/>
    <w:link w:val="Date"/>
    <w:rsid w:val="007712D4"/>
    <w:rPr>
      <w:sz w:val="22"/>
    </w:rPr>
  </w:style>
  <w:style w:type="paragraph" w:styleId="BodyTextFirstIndent">
    <w:name w:val="Body Text First Indent"/>
    <w:basedOn w:val="BodyText"/>
    <w:link w:val="BodyTextFirstIndentChar"/>
    <w:rsid w:val="007712D4"/>
    <w:pPr>
      <w:ind w:firstLine="210"/>
    </w:pPr>
  </w:style>
  <w:style w:type="character" w:customStyle="1" w:styleId="BodyTextFirstIndentChar">
    <w:name w:val="Body Text First Indent Char"/>
    <w:basedOn w:val="BodyTextChar"/>
    <w:link w:val="BodyTextFirstIndent"/>
    <w:rsid w:val="007712D4"/>
    <w:rPr>
      <w:sz w:val="22"/>
    </w:rPr>
  </w:style>
  <w:style w:type="paragraph" w:styleId="BodyTextFirstIndent2">
    <w:name w:val="Body Text First Indent 2"/>
    <w:basedOn w:val="BodyTextIndent"/>
    <w:link w:val="BodyTextFirstIndent2Char"/>
    <w:rsid w:val="007712D4"/>
    <w:pPr>
      <w:ind w:firstLine="210"/>
    </w:pPr>
  </w:style>
  <w:style w:type="character" w:customStyle="1" w:styleId="BodyTextFirstIndent2Char">
    <w:name w:val="Body Text First Indent 2 Char"/>
    <w:basedOn w:val="BodyTextIndentChar"/>
    <w:link w:val="BodyTextFirstIndent2"/>
    <w:rsid w:val="007712D4"/>
    <w:rPr>
      <w:sz w:val="22"/>
    </w:rPr>
  </w:style>
  <w:style w:type="paragraph" w:styleId="BodyText2">
    <w:name w:val="Body Text 2"/>
    <w:basedOn w:val="Normal"/>
    <w:link w:val="BodyText2Char"/>
    <w:rsid w:val="007712D4"/>
    <w:pPr>
      <w:spacing w:after="120" w:line="480" w:lineRule="auto"/>
    </w:pPr>
  </w:style>
  <w:style w:type="character" w:customStyle="1" w:styleId="BodyText2Char">
    <w:name w:val="Body Text 2 Char"/>
    <w:basedOn w:val="DefaultParagraphFont"/>
    <w:link w:val="BodyText2"/>
    <w:rsid w:val="007712D4"/>
    <w:rPr>
      <w:sz w:val="22"/>
    </w:rPr>
  </w:style>
  <w:style w:type="paragraph" w:styleId="BodyText3">
    <w:name w:val="Body Text 3"/>
    <w:basedOn w:val="Normal"/>
    <w:link w:val="BodyText3Char"/>
    <w:rsid w:val="007712D4"/>
    <w:pPr>
      <w:spacing w:after="120"/>
    </w:pPr>
    <w:rPr>
      <w:sz w:val="16"/>
      <w:szCs w:val="16"/>
    </w:rPr>
  </w:style>
  <w:style w:type="character" w:customStyle="1" w:styleId="BodyText3Char">
    <w:name w:val="Body Text 3 Char"/>
    <w:basedOn w:val="DefaultParagraphFont"/>
    <w:link w:val="BodyText3"/>
    <w:rsid w:val="007712D4"/>
    <w:rPr>
      <w:sz w:val="16"/>
      <w:szCs w:val="16"/>
    </w:rPr>
  </w:style>
  <w:style w:type="paragraph" w:styleId="BodyTextIndent2">
    <w:name w:val="Body Text Indent 2"/>
    <w:basedOn w:val="Normal"/>
    <w:link w:val="BodyTextIndent2Char"/>
    <w:rsid w:val="007712D4"/>
    <w:pPr>
      <w:spacing w:after="120" w:line="480" w:lineRule="auto"/>
      <w:ind w:left="283"/>
    </w:pPr>
  </w:style>
  <w:style w:type="character" w:customStyle="1" w:styleId="BodyTextIndent2Char">
    <w:name w:val="Body Text Indent 2 Char"/>
    <w:basedOn w:val="DefaultParagraphFont"/>
    <w:link w:val="BodyTextIndent2"/>
    <w:rsid w:val="007712D4"/>
    <w:rPr>
      <w:sz w:val="22"/>
    </w:rPr>
  </w:style>
  <w:style w:type="paragraph" w:styleId="BodyTextIndent3">
    <w:name w:val="Body Text Indent 3"/>
    <w:basedOn w:val="Normal"/>
    <w:link w:val="BodyTextIndent3Char"/>
    <w:rsid w:val="007712D4"/>
    <w:pPr>
      <w:spacing w:after="120"/>
      <w:ind w:left="283"/>
    </w:pPr>
    <w:rPr>
      <w:sz w:val="16"/>
      <w:szCs w:val="16"/>
    </w:rPr>
  </w:style>
  <w:style w:type="character" w:customStyle="1" w:styleId="BodyTextIndent3Char">
    <w:name w:val="Body Text Indent 3 Char"/>
    <w:basedOn w:val="DefaultParagraphFont"/>
    <w:link w:val="BodyTextIndent3"/>
    <w:rsid w:val="007712D4"/>
    <w:rPr>
      <w:sz w:val="16"/>
      <w:szCs w:val="16"/>
    </w:rPr>
  </w:style>
  <w:style w:type="paragraph" w:styleId="BlockText">
    <w:name w:val="Block Text"/>
    <w:basedOn w:val="Normal"/>
    <w:rsid w:val="007712D4"/>
    <w:pPr>
      <w:spacing w:after="120"/>
      <w:ind w:left="1440" w:right="1440"/>
    </w:pPr>
  </w:style>
  <w:style w:type="character" w:styleId="Hyperlink">
    <w:name w:val="Hyperlink"/>
    <w:basedOn w:val="DefaultParagraphFont"/>
    <w:rsid w:val="007712D4"/>
    <w:rPr>
      <w:color w:val="0000FF"/>
      <w:u w:val="single"/>
    </w:rPr>
  </w:style>
  <w:style w:type="character" w:styleId="FollowedHyperlink">
    <w:name w:val="FollowedHyperlink"/>
    <w:basedOn w:val="DefaultParagraphFont"/>
    <w:rsid w:val="007712D4"/>
    <w:rPr>
      <w:color w:val="800080"/>
      <w:u w:val="single"/>
    </w:rPr>
  </w:style>
  <w:style w:type="character" w:styleId="Strong">
    <w:name w:val="Strong"/>
    <w:basedOn w:val="DefaultParagraphFont"/>
    <w:qFormat/>
    <w:rsid w:val="007712D4"/>
    <w:rPr>
      <w:b/>
      <w:bCs/>
    </w:rPr>
  </w:style>
  <w:style w:type="character" w:styleId="Emphasis">
    <w:name w:val="Emphasis"/>
    <w:basedOn w:val="DefaultParagraphFont"/>
    <w:qFormat/>
    <w:rsid w:val="007712D4"/>
    <w:rPr>
      <w:i/>
      <w:iCs/>
    </w:rPr>
  </w:style>
  <w:style w:type="paragraph" w:styleId="DocumentMap">
    <w:name w:val="Document Map"/>
    <w:basedOn w:val="Normal"/>
    <w:link w:val="DocumentMapChar"/>
    <w:rsid w:val="007712D4"/>
    <w:pPr>
      <w:shd w:val="clear" w:color="auto" w:fill="000080"/>
    </w:pPr>
    <w:rPr>
      <w:rFonts w:ascii="Tahoma" w:hAnsi="Tahoma" w:cs="Tahoma"/>
    </w:rPr>
  </w:style>
  <w:style w:type="character" w:customStyle="1" w:styleId="DocumentMapChar">
    <w:name w:val="Document Map Char"/>
    <w:basedOn w:val="DefaultParagraphFont"/>
    <w:link w:val="DocumentMap"/>
    <w:rsid w:val="007712D4"/>
    <w:rPr>
      <w:rFonts w:ascii="Tahoma" w:hAnsi="Tahoma" w:cs="Tahoma"/>
      <w:sz w:val="22"/>
      <w:shd w:val="clear" w:color="auto" w:fill="000080"/>
    </w:rPr>
  </w:style>
  <w:style w:type="paragraph" w:styleId="PlainText">
    <w:name w:val="Plain Text"/>
    <w:basedOn w:val="Normal"/>
    <w:link w:val="PlainTextChar"/>
    <w:rsid w:val="007712D4"/>
    <w:rPr>
      <w:rFonts w:ascii="Courier New" w:hAnsi="Courier New" w:cs="Courier New"/>
      <w:sz w:val="20"/>
    </w:rPr>
  </w:style>
  <w:style w:type="character" w:customStyle="1" w:styleId="PlainTextChar">
    <w:name w:val="Plain Text Char"/>
    <w:basedOn w:val="DefaultParagraphFont"/>
    <w:link w:val="PlainText"/>
    <w:rsid w:val="007712D4"/>
    <w:rPr>
      <w:rFonts w:ascii="Courier New" w:hAnsi="Courier New" w:cs="Courier New"/>
    </w:rPr>
  </w:style>
  <w:style w:type="paragraph" w:styleId="E-mailSignature">
    <w:name w:val="E-mail Signature"/>
    <w:basedOn w:val="Normal"/>
    <w:link w:val="E-mailSignatureChar"/>
    <w:rsid w:val="007712D4"/>
  </w:style>
  <w:style w:type="character" w:customStyle="1" w:styleId="E-mailSignatureChar">
    <w:name w:val="E-mail Signature Char"/>
    <w:basedOn w:val="DefaultParagraphFont"/>
    <w:link w:val="E-mailSignature"/>
    <w:rsid w:val="007712D4"/>
    <w:rPr>
      <w:sz w:val="22"/>
    </w:rPr>
  </w:style>
  <w:style w:type="paragraph" w:styleId="NormalWeb">
    <w:name w:val="Normal (Web)"/>
    <w:basedOn w:val="Normal"/>
    <w:rsid w:val="007712D4"/>
  </w:style>
  <w:style w:type="character" w:styleId="HTMLAcronym">
    <w:name w:val="HTML Acronym"/>
    <w:basedOn w:val="DefaultParagraphFont"/>
    <w:rsid w:val="007712D4"/>
  </w:style>
  <w:style w:type="paragraph" w:styleId="HTMLAddress">
    <w:name w:val="HTML Address"/>
    <w:basedOn w:val="Normal"/>
    <w:link w:val="HTMLAddressChar"/>
    <w:rsid w:val="007712D4"/>
    <w:rPr>
      <w:i/>
      <w:iCs/>
    </w:rPr>
  </w:style>
  <w:style w:type="character" w:customStyle="1" w:styleId="HTMLAddressChar">
    <w:name w:val="HTML Address Char"/>
    <w:basedOn w:val="DefaultParagraphFont"/>
    <w:link w:val="HTMLAddress"/>
    <w:rsid w:val="007712D4"/>
    <w:rPr>
      <w:i/>
      <w:iCs/>
      <w:sz w:val="22"/>
    </w:rPr>
  </w:style>
  <w:style w:type="character" w:styleId="HTMLCite">
    <w:name w:val="HTML Cite"/>
    <w:basedOn w:val="DefaultParagraphFont"/>
    <w:rsid w:val="007712D4"/>
    <w:rPr>
      <w:i/>
      <w:iCs/>
    </w:rPr>
  </w:style>
  <w:style w:type="character" w:styleId="HTMLCode">
    <w:name w:val="HTML Code"/>
    <w:basedOn w:val="DefaultParagraphFont"/>
    <w:rsid w:val="007712D4"/>
    <w:rPr>
      <w:rFonts w:ascii="Courier New" w:hAnsi="Courier New" w:cs="Courier New"/>
      <w:sz w:val="20"/>
      <w:szCs w:val="20"/>
    </w:rPr>
  </w:style>
  <w:style w:type="character" w:styleId="HTMLDefinition">
    <w:name w:val="HTML Definition"/>
    <w:basedOn w:val="DefaultParagraphFont"/>
    <w:rsid w:val="007712D4"/>
    <w:rPr>
      <w:i/>
      <w:iCs/>
    </w:rPr>
  </w:style>
  <w:style w:type="character" w:styleId="HTMLKeyboard">
    <w:name w:val="HTML Keyboard"/>
    <w:basedOn w:val="DefaultParagraphFont"/>
    <w:rsid w:val="007712D4"/>
    <w:rPr>
      <w:rFonts w:ascii="Courier New" w:hAnsi="Courier New" w:cs="Courier New"/>
      <w:sz w:val="20"/>
      <w:szCs w:val="20"/>
    </w:rPr>
  </w:style>
  <w:style w:type="paragraph" w:styleId="HTMLPreformatted">
    <w:name w:val="HTML Preformatted"/>
    <w:basedOn w:val="Normal"/>
    <w:link w:val="HTMLPreformattedChar"/>
    <w:rsid w:val="007712D4"/>
    <w:rPr>
      <w:rFonts w:ascii="Courier New" w:hAnsi="Courier New" w:cs="Courier New"/>
      <w:sz w:val="20"/>
    </w:rPr>
  </w:style>
  <w:style w:type="character" w:customStyle="1" w:styleId="HTMLPreformattedChar">
    <w:name w:val="HTML Preformatted Char"/>
    <w:basedOn w:val="DefaultParagraphFont"/>
    <w:link w:val="HTMLPreformatted"/>
    <w:rsid w:val="007712D4"/>
    <w:rPr>
      <w:rFonts w:ascii="Courier New" w:hAnsi="Courier New" w:cs="Courier New"/>
    </w:rPr>
  </w:style>
  <w:style w:type="character" w:styleId="HTMLSample">
    <w:name w:val="HTML Sample"/>
    <w:basedOn w:val="DefaultParagraphFont"/>
    <w:rsid w:val="007712D4"/>
    <w:rPr>
      <w:rFonts w:ascii="Courier New" w:hAnsi="Courier New" w:cs="Courier New"/>
    </w:rPr>
  </w:style>
  <w:style w:type="character" w:styleId="HTMLTypewriter">
    <w:name w:val="HTML Typewriter"/>
    <w:basedOn w:val="DefaultParagraphFont"/>
    <w:rsid w:val="007712D4"/>
    <w:rPr>
      <w:rFonts w:ascii="Courier New" w:hAnsi="Courier New" w:cs="Courier New"/>
      <w:sz w:val="20"/>
      <w:szCs w:val="20"/>
    </w:rPr>
  </w:style>
  <w:style w:type="character" w:styleId="HTMLVariable">
    <w:name w:val="HTML Variable"/>
    <w:basedOn w:val="DefaultParagraphFont"/>
    <w:rsid w:val="007712D4"/>
    <w:rPr>
      <w:i/>
      <w:iCs/>
    </w:rPr>
  </w:style>
  <w:style w:type="paragraph" w:styleId="CommentSubject">
    <w:name w:val="annotation subject"/>
    <w:basedOn w:val="CommentText"/>
    <w:next w:val="CommentText"/>
    <w:link w:val="CommentSubjectChar"/>
    <w:rsid w:val="007712D4"/>
    <w:rPr>
      <w:b/>
      <w:bCs/>
    </w:rPr>
  </w:style>
  <w:style w:type="character" w:customStyle="1" w:styleId="CommentSubjectChar">
    <w:name w:val="Comment Subject Char"/>
    <w:basedOn w:val="CommentTextChar"/>
    <w:link w:val="CommentSubject"/>
    <w:rsid w:val="007712D4"/>
    <w:rPr>
      <w:b/>
      <w:bCs/>
    </w:rPr>
  </w:style>
  <w:style w:type="numbering" w:styleId="1ai">
    <w:name w:val="Outline List 1"/>
    <w:basedOn w:val="NoList"/>
    <w:rsid w:val="007712D4"/>
    <w:pPr>
      <w:numPr>
        <w:numId w:val="14"/>
      </w:numPr>
    </w:pPr>
  </w:style>
  <w:style w:type="numbering" w:styleId="111111">
    <w:name w:val="Outline List 2"/>
    <w:basedOn w:val="NoList"/>
    <w:rsid w:val="007712D4"/>
    <w:pPr>
      <w:numPr>
        <w:numId w:val="15"/>
      </w:numPr>
    </w:pPr>
  </w:style>
  <w:style w:type="numbering" w:styleId="ArticleSection">
    <w:name w:val="Outline List 3"/>
    <w:basedOn w:val="NoList"/>
    <w:rsid w:val="007712D4"/>
    <w:pPr>
      <w:numPr>
        <w:numId w:val="17"/>
      </w:numPr>
    </w:pPr>
  </w:style>
  <w:style w:type="table" w:styleId="TableSimple1">
    <w:name w:val="Table Simple 1"/>
    <w:basedOn w:val="TableNormal"/>
    <w:rsid w:val="007712D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12D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12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712D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12D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12D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12D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12D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12D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12D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12D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12D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12D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12D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12D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712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12D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12D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12D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12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12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12D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12D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12D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12D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12D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12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12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12D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12D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12D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712D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12D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12D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712D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12D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712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12D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12D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712D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12D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12D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712D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712D4"/>
    <w:rPr>
      <w:rFonts w:eastAsia="Times New Roman" w:cs="Times New Roman"/>
      <w:b/>
      <w:kern w:val="28"/>
      <w:sz w:val="24"/>
      <w:lang w:eastAsia="en-AU"/>
    </w:rPr>
  </w:style>
  <w:style w:type="paragraph" w:styleId="Bibliography">
    <w:name w:val="Bibliography"/>
    <w:basedOn w:val="Normal"/>
    <w:next w:val="Normal"/>
    <w:uiPriority w:val="37"/>
    <w:semiHidden/>
    <w:unhideWhenUsed/>
    <w:rsid w:val="007712D4"/>
  </w:style>
  <w:style w:type="character" w:styleId="BookTitle">
    <w:name w:val="Book Title"/>
    <w:basedOn w:val="DefaultParagraphFont"/>
    <w:uiPriority w:val="33"/>
    <w:qFormat/>
    <w:rsid w:val="007712D4"/>
    <w:rPr>
      <w:b/>
      <w:bCs/>
      <w:i/>
      <w:iCs/>
      <w:spacing w:val="5"/>
    </w:rPr>
  </w:style>
  <w:style w:type="table" w:styleId="ColorfulGrid">
    <w:name w:val="Colorful Grid"/>
    <w:basedOn w:val="TableNormal"/>
    <w:uiPriority w:val="73"/>
    <w:semiHidden/>
    <w:unhideWhenUsed/>
    <w:rsid w:val="007712D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712D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712D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712D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712D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712D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712D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712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712D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712D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712D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712D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712D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712D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712D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712D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712D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712D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712D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712D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712D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712D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712D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712D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712D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712D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712D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712D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712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712D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712D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712D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712D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712D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712D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712D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712D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712D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712D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712D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712D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712D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712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712D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712D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712D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712D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712D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712D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712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712D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712D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712D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712D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712D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712D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712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712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712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712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712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712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712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712D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712D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712D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712D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712D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712D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712D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712D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712D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712D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712D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712D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712D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712D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712D4"/>
    <w:rPr>
      <w:color w:val="2B579A"/>
      <w:shd w:val="clear" w:color="auto" w:fill="E1DFDD"/>
    </w:rPr>
  </w:style>
  <w:style w:type="character" w:styleId="IntenseEmphasis">
    <w:name w:val="Intense Emphasis"/>
    <w:basedOn w:val="DefaultParagraphFont"/>
    <w:uiPriority w:val="21"/>
    <w:qFormat/>
    <w:rsid w:val="007712D4"/>
    <w:rPr>
      <w:i/>
      <w:iCs/>
      <w:color w:val="4F81BD" w:themeColor="accent1"/>
    </w:rPr>
  </w:style>
  <w:style w:type="paragraph" w:styleId="IntenseQuote">
    <w:name w:val="Intense Quote"/>
    <w:basedOn w:val="Normal"/>
    <w:next w:val="Normal"/>
    <w:link w:val="IntenseQuoteChar"/>
    <w:uiPriority w:val="30"/>
    <w:qFormat/>
    <w:rsid w:val="007712D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12D4"/>
    <w:rPr>
      <w:i/>
      <w:iCs/>
      <w:color w:val="4F81BD" w:themeColor="accent1"/>
      <w:sz w:val="22"/>
    </w:rPr>
  </w:style>
  <w:style w:type="character" w:styleId="IntenseReference">
    <w:name w:val="Intense Reference"/>
    <w:basedOn w:val="DefaultParagraphFont"/>
    <w:uiPriority w:val="32"/>
    <w:qFormat/>
    <w:rsid w:val="007712D4"/>
    <w:rPr>
      <w:b/>
      <w:bCs/>
      <w:smallCaps/>
      <w:color w:val="4F81BD" w:themeColor="accent1"/>
      <w:spacing w:val="5"/>
    </w:rPr>
  </w:style>
  <w:style w:type="table" w:styleId="LightGrid">
    <w:name w:val="Light Grid"/>
    <w:basedOn w:val="TableNormal"/>
    <w:uiPriority w:val="62"/>
    <w:semiHidden/>
    <w:unhideWhenUsed/>
    <w:rsid w:val="007712D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712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712D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712D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712D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712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712D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712D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712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712D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712D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712D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712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712D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712D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712D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712D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712D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712D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712D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712D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712D4"/>
    <w:pPr>
      <w:ind w:left="720"/>
      <w:contextualSpacing/>
    </w:pPr>
  </w:style>
  <w:style w:type="table" w:styleId="ListTable1Light">
    <w:name w:val="List Table 1 Light"/>
    <w:basedOn w:val="TableNormal"/>
    <w:uiPriority w:val="46"/>
    <w:rsid w:val="007712D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712D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712D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712D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712D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712D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712D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712D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712D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712D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712D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712D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712D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712D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712D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712D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712D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712D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712D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712D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712D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712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712D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12D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712D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712D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712D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712D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712D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712D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712D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712D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712D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712D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712D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712D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712D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712D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712D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712D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712D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712D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712D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712D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712D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712D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712D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712D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712D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712D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712D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712D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712D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712D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712D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712D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712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712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712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712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712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712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712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712D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712D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712D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712D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712D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712D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712D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712D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712D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712D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712D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712D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712D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712D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712D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712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712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712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712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712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712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712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712D4"/>
    <w:rPr>
      <w:color w:val="2B579A"/>
      <w:shd w:val="clear" w:color="auto" w:fill="E1DFDD"/>
    </w:rPr>
  </w:style>
  <w:style w:type="paragraph" w:styleId="NoSpacing">
    <w:name w:val="No Spacing"/>
    <w:uiPriority w:val="1"/>
    <w:qFormat/>
    <w:rsid w:val="007712D4"/>
    <w:rPr>
      <w:sz w:val="22"/>
    </w:rPr>
  </w:style>
  <w:style w:type="paragraph" w:styleId="NoteHeading">
    <w:name w:val="Note Heading"/>
    <w:basedOn w:val="Normal"/>
    <w:next w:val="Normal"/>
    <w:link w:val="NoteHeadingChar"/>
    <w:uiPriority w:val="99"/>
    <w:semiHidden/>
    <w:unhideWhenUsed/>
    <w:rsid w:val="007712D4"/>
    <w:pPr>
      <w:spacing w:line="240" w:lineRule="auto"/>
    </w:pPr>
  </w:style>
  <w:style w:type="character" w:customStyle="1" w:styleId="NoteHeadingChar">
    <w:name w:val="Note Heading Char"/>
    <w:basedOn w:val="DefaultParagraphFont"/>
    <w:link w:val="NoteHeading"/>
    <w:uiPriority w:val="99"/>
    <w:semiHidden/>
    <w:rsid w:val="007712D4"/>
    <w:rPr>
      <w:sz w:val="22"/>
    </w:rPr>
  </w:style>
  <w:style w:type="character" w:styleId="PlaceholderText">
    <w:name w:val="Placeholder Text"/>
    <w:basedOn w:val="DefaultParagraphFont"/>
    <w:uiPriority w:val="99"/>
    <w:semiHidden/>
    <w:rsid w:val="007712D4"/>
    <w:rPr>
      <w:color w:val="808080"/>
    </w:rPr>
  </w:style>
  <w:style w:type="table" w:styleId="PlainTable1">
    <w:name w:val="Plain Table 1"/>
    <w:basedOn w:val="TableNormal"/>
    <w:uiPriority w:val="41"/>
    <w:rsid w:val="007712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12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12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712D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712D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712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12D4"/>
    <w:rPr>
      <w:i/>
      <w:iCs/>
      <w:color w:val="404040" w:themeColor="text1" w:themeTint="BF"/>
      <w:sz w:val="22"/>
    </w:rPr>
  </w:style>
  <w:style w:type="character" w:styleId="SmartHyperlink">
    <w:name w:val="Smart Hyperlink"/>
    <w:basedOn w:val="DefaultParagraphFont"/>
    <w:uiPriority w:val="99"/>
    <w:semiHidden/>
    <w:unhideWhenUsed/>
    <w:rsid w:val="007712D4"/>
    <w:rPr>
      <w:u w:val="dotted"/>
    </w:rPr>
  </w:style>
  <w:style w:type="character" w:styleId="SubtleEmphasis">
    <w:name w:val="Subtle Emphasis"/>
    <w:basedOn w:val="DefaultParagraphFont"/>
    <w:uiPriority w:val="19"/>
    <w:qFormat/>
    <w:rsid w:val="007712D4"/>
    <w:rPr>
      <w:i/>
      <w:iCs/>
      <w:color w:val="404040" w:themeColor="text1" w:themeTint="BF"/>
    </w:rPr>
  </w:style>
  <w:style w:type="character" w:styleId="SubtleReference">
    <w:name w:val="Subtle Reference"/>
    <w:basedOn w:val="DefaultParagraphFont"/>
    <w:uiPriority w:val="31"/>
    <w:qFormat/>
    <w:rsid w:val="007712D4"/>
    <w:rPr>
      <w:smallCaps/>
      <w:color w:val="5A5A5A" w:themeColor="text1" w:themeTint="A5"/>
    </w:rPr>
  </w:style>
  <w:style w:type="table" w:styleId="TableGridLight">
    <w:name w:val="Grid Table Light"/>
    <w:basedOn w:val="TableNormal"/>
    <w:uiPriority w:val="40"/>
    <w:rsid w:val="007712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712D4"/>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71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E92D-6819-468F-86D0-373CE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17</Pages>
  <Words>3682</Words>
  <Characters>21065</Characters>
  <Application>Microsoft Office Word</Application>
  <DocSecurity>0</DocSecurity>
  <PresentationFormat/>
  <Lines>726</Lines>
  <Paragraphs>485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2024-05-14T02:10:00Z</cp:lastPrinted>
  <dcterms:created xsi:type="dcterms:W3CDTF">2024-06-27T03:47:00Z</dcterms:created>
  <dcterms:modified xsi:type="dcterms:W3CDTF">2024-06-27T03:51:00Z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Legislation Amendment (Extension of Closing the Gap – PBS Co-payment Program) Instrument 2024</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OPC66884</vt:lpwstr>
  </property>
  <property fmtid="{D5CDD505-2E9C-101B-9397-08002B2CF9AE}" pid="11" name="DLM">
    <vt:lpwstr> </vt:lpwstr>
  </property>
  <property fmtid="{D5CDD505-2E9C-101B-9397-08002B2CF9AE}" pid="12" name="Classification">
    <vt:lpwstr> </vt:lpwstr>
  </property>
  <property fmtid="{D5CDD505-2E9C-101B-9397-08002B2CF9AE}" pid="13" name="Number">
    <vt:lpwstr>A</vt:lpwstr>
  </property>
  <property fmtid="{D5CDD505-2E9C-101B-9397-08002B2CF9AE}" pid="14" name="CounterSign">
    <vt:lpwstr/>
  </property>
</Properties>
</file>