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E86FF" w14:textId="08DCC8EF" w:rsidR="005B395C" w:rsidRPr="00550F79" w:rsidRDefault="005B395C" w:rsidP="005B395C">
      <w:pPr>
        <w:jc w:val="center"/>
        <w:rPr>
          <w:rFonts w:ascii="Times New Roman Bold" w:hAnsi="Times New Roman Bold" w:cs="Times New Roman Bold"/>
          <w:caps/>
        </w:rPr>
      </w:pPr>
      <w:r w:rsidRPr="00550F79">
        <w:rPr>
          <w:rFonts w:ascii="Times New Roman Bold" w:hAnsi="Times New Roman Bold" w:cs="Times New Roman Bold"/>
          <w:b/>
          <w:bCs/>
          <w:caps/>
        </w:rPr>
        <w:t>Explanatory Statement</w:t>
      </w:r>
    </w:p>
    <w:p w14:paraId="11DDBC28" w14:textId="77777777" w:rsidR="005B395C" w:rsidRPr="00550F79" w:rsidRDefault="005B395C" w:rsidP="005B395C">
      <w:pPr>
        <w:rPr>
          <w:sz w:val="22"/>
          <w:szCs w:val="22"/>
        </w:rPr>
      </w:pPr>
    </w:p>
    <w:p w14:paraId="076EB075" w14:textId="77777777" w:rsidR="000F3CBF" w:rsidRPr="00550F79" w:rsidRDefault="000F3CBF" w:rsidP="000F3CBF">
      <w:pPr>
        <w:spacing w:after="120"/>
        <w:jc w:val="center"/>
      </w:pPr>
      <w:r w:rsidRPr="00550F79">
        <w:rPr>
          <w:i/>
        </w:rPr>
        <w:t>National Health Act 1953</w:t>
      </w:r>
    </w:p>
    <w:p w14:paraId="22421494" w14:textId="6550E739" w:rsidR="00A619AD" w:rsidRDefault="000F3CBF" w:rsidP="00950A09">
      <w:pPr>
        <w:spacing w:after="120"/>
        <w:jc w:val="center"/>
        <w:rPr>
          <w:b/>
          <w:bCs/>
          <w:i/>
        </w:rPr>
      </w:pPr>
      <w:r w:rsidRPr="00550F79">
        <w:rPr>
          <w:b/>
          <w:bCs/>
          <w:i/>
        </w:rPr>
        <w:t>Commonwealth price (Pharmaceutical benefits supplied by approved pharmacists) Amendment Determination 202</w:t>
      </w:r>
      <w:r w:rsidR="00281BD5">
        <w:rPr>
          <w:b/>
          <w:bCs/>
          <w:i/>
        </w:rPr>
        <w:t>4</w:t>
      </w:r>
      <w:r w:rsidR="00FC197F">
        <w:rPr>
          <w:b/>
          <w:bCs/>
          <w:i/>
        </w:rPr>
        <w:t xml:space="preserve"> </w:t>
      </w:r>
    </w:p>
    <w:p w14:paraId="6F834225" w14:textId="56BEC9E3" w:rsidR="005B395C" w:rsidRPr="00550F79" w:rsidRDefault="000F3CBF" w:rsidP="00950A09">
      <w:pPr>
        <w:spacing w:after="120"/>
        <w:jc w:val="center"/>
      </w:pPr>
      <w:r w:rsidRPr="00550F79">
        <w:rPr>
          <w:b/>
          <w:bCs/>
        </w:rPr>
        <w:t xml:space="preserve">PB </w:t>
      </w:r>
      <w:r w:rsidR="003077E3">
        <w:rPr>
          <w:b/>
          <w:bCs/>
        </w:rPr>
        <w:t xml:space="preserve">62 </w:t>
      </w:r>
      <w:r w:rsidRPr="00550F79">
        <w:rPr>
          <w:b/>
          <w:bCs/>
        </w:rPr>
        <w:t>of 202</w:t>
      </w:r>
      <w:r w:rsidR="006515D8">
        <w:rPr>
          <w:b/>
          <w:bCs/>
        </w:rPr>
        <w:t>4</w:t>
      </w:r>
    </w:p>
    <w:p w14:paraId="198D79CF" w14:textId="77777777" w:rsidR="00180650" w:rsidRPr="00550F79" w:rsidRDefault="00765D46" w:rsidP="001E7CB8">
      <w:pPr>
        <w:spacing w:after="240"/>
        <w:jc w:val="both"/>
        <w:rPr>
          <w:b/>
        </w:rPr>
      </w:pPr>
      <w:r w:rsidRPr="00550F79">
        <w:rPr>
          <w:b/>
        </w:rPr>
        <w:t xml:space="preserve">Authority </w:t>
      </w:r>
    </w:p>
    <w:p w14:paraId="2B3788F1" w14:textId="77777777" w:rsidR="000F3CBF" w:rsidRPr="00550F79" w:rsidRDefault="000F3CBF" w:rsidP="000F3CBF">
      <w:pPr>
        <w:shd w:val="clear" w:color="auto" w:fill="FFFFFF"/>
        <w:spacing w:before="120" w:after="120"/>
      </w:pPr>
      <w:r w:rsidRPr="00550F79">
        <w:t xml:space="preserve">Paragraph 98B(1)(a) of the </w:t>
      </w:r>
      <w:r w:rsidRPr="00550F79">
        <w:rPr>
          <w:i/>
        </w:rPr>
        <w:t>National Health Act 1953</w:t>
      </w:r>
      <w:r w:rsidRPr="00550F79">
        <w:t xml:space="preserve"> (the Act) provides that a function of the Pharmaceutical Benefits Remuneration Tribunal (the Tribunal) is to determine the </w:t>
      </w:r>
      <w:proofErr w:type="gramStart"/>
      <w:r w:rsidRPr="00550F79">
        <w:t>manner in which</w:t>
      </w:r>
      <w:proofErr w:type="gramEnd"/>
      <w:r w:rsidRPr="00550F79">
        <w:t xml:space="preserve"> the Commonwealth price for all or any pharmaceutical benefits is to be worked out for the purpose of payments to approved pharmacists for the supply of pharmaceutical benefits.</w:t>
      </w:r>
    </w:p>
    <w:p w14:paraId="0C8D4551" w14:textId="0CF6143C" w:rsidR="000F3CBF" w:rsidRPr="00550F79" w:rsidRDefault="000F3CBF" w:rsidP="000F3CBF">
      <w:pPr>
        <w:shd w:val="clear" w:color="auto" w:fill="FFFFFF"/>
        <w:spacing w:before="120" w:after="120"/>
      </w:pPr>
      <w:r w:rsidRPr="00550F79">
        <w:t>Subsection 98BAA(1) of the Act requires that, where the Commonwealth and the Pharmacy Guild of Australia</w:t>
      </w:r>
      <w:r w:rsidR="00B66440">
        <w:t xml:space="preserve"> (the Guild)</w:t>
      </w:r>
      <w:r w:rsidRPr="00550F79">
        <w:t xml:space="preserve"> or another pharmacists’ organisation that represents a majority of approved pharmacists have entered into an agreement relating to the manner in which the Commonwealth price for pharmaceutical benefits is to be calculated, the Tribunal, when making a determination pursuant to paragraph 98B(1)(a) of the Act, is to give effect to the terms of that agreement.</w:t>
      </w:r>
    </w:p>
    <w:p w14:paraId="638BCFDC" w14:textId="017FC4A3" w:rsidR="00002490" w:rsidRPr="00550F79" w:rsidRDefault="000F3CBF" w:rsidP="000F3CBF">
      <w:pPr>
        <w:jc w:val="both"/>
      </w:pPr>
      <w:r w:rsidRPr="00550F79">
        <w:t>Under subsection 33(3) of the </w:t>
      </w:r>
      <w:r w:rsidRPr="00550F79">
        <w:rPr>
          <w:i/>
          <w:iCs/>
        </w:rPr>
        <w:t>Acts Interpretation Act 1901</w:t>
      </w:r>
      <w:r w:rsidRPr="00550F79">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D11BB4">
        <w:t>.</w:t>
      </w:r>
    </w:p>
    <w:p w14:paraId="1BE5E210" w14:textId="77777777" w:rsidR="00880D41" w:rsidRPr="00550F79" w:rsidRDefault="00880D41" w:rsidP="001E7CB8">
      <w:pPr>
        <w:jc w:val="both"/>
      </w:pPr>
    </w:p>
    <w:p w14:paraId="5D1E40EC" w14:textId="77777777" w:rsidR="00880D41" w:rsidRPr="00550F79" w:rsidRDefault="00880D41" w:rsidP="001E7CB8">
      <w:pPr>
        <w:spacing w:after="240"/>
        <w:jc w:val="both"/>
        <w:rPr>
          <w:b/>
        </w:rPr>
      </w:pPr>
      <w:r w:rsidRPr="00550F79">
        <w:rPr>
          <w:b/>
        </w:rPr>
        <w:t>Purpose</w:t>
      </w:r>
    </w:p>
    <w:p w14:paraId="258D2793" w14:textId="61253C6E" w:rsidR="004C2BD9" w:rsidRDefault="000F3CBF" w:rsidP="000F3CBF">
      <w:pPr>
        <w:shd w:val="clear" w:color="auto" w:fill="FFFFFF"/>
        <w:spacing w:before="120" w:after="120"/>
        <w:rPr>
          <w:sz w:val="22"/>
          <w:szCs w:val="22"/>
        </w:rPr>
      </w:pPr>
      <w:r w:rsidRPr="00550F79">
        <w:t xml:space="preserve">The </w:t>
      </w:r>
      <w:r w:rsidRPr="00550F79">
        <w:rPr>
          <w:bCs/>
          <w:i/>
        </w:rPr>
        <w:t>Commonwealth price (Pharmaceutical benefits supplied by approved pharmacists) Amendment Determination 202</w:t>
      </w:r>
      <w:r w:rsidR="006515D8">
        <w:rPr>
          <w:bCs/>
          <w:i/>
        </w:rPr>
        <w:t>4</w:t>
      </w:r>
      <w:r w:rsidRPr="00550F79">
        <w:rPr>
          <w:bCs/>
          <w:i/>
        </w:rPr>
        <w:t xml:space="preserve"> </w:t>
      </w:r>
      <w:r w:rsidRPr="00550F79">
        <w:rPr>
          <w:bCs/>
        </w:rPr>
        <w:t>(Amendment</w:t>
      </w:r>
      <w:r w:rsidRPr="00550F79">
        <w:t xml:space="preserve"> Determination) amends the </w:t>
      </w:r>
      <w:r w:rsidRPr="00550F79">
        <w:rPr>
          <w:i/>
        </w:rPr>
        <w:t xml:space="preserve">Commonwealth price (Pharmaceutical benefits supplied by approved pharmacists) Determination 2020 </w:t>
      </w:r>
      <w:r w:rsidRPr="00550F79">
        <w:t xml:space="preserve">(the Principal Determination), to increase the Tier 1 Administration, Handling, and Infrastructure fee (Tier 1 AHI fee), the </w:t>
      </w:r>
      <w:r w:rsidR="00F81E4A">
        <w:t>d</w:t>
      </w:r>
      <w:r w:rsidRPr="00550F79">
        <w:t xml:space="preserve">ispensing fee for </w:t>
      </w:r>
      <w:r w:rsidR="00F81E4A">
        <w:t>r</w:t>
      </w:r>
      <w:r w:rsidRPr="00550F79">
        <w:t>eady</w:t>
      </w:r>
      <w:r w:rsidR="00C00C92">
        <w:t>-</w:t>
      </w:r>
      <w:r w:rsidR="00F81E4A">
        <w:t>p</w:t>
      </w:r>
      <w:r w:rsidRPr="00550F79">
        <w:t xml:space="preserve">repared </w:t>
      </w:r>
      <w:r w:rsidR="00664938">
        <w:t>p</w:t>
      </w:r>
      <w:r w:rsidRPr="00550F79">
        <w:t xml:space="preserve">harmaceutical </w:t>
      </w:r>
      <w:r w:rsidR="00664938">
        <w:t>b</w:t>
      </w:r>
      <w:r w:rsidRPr="00550F79">
        <w:t xml:space="preserve">enefits, the </w:t>
      </w:r>
      <w:r w:rsidR="00664938">
        <w:t>d</w:t>
      </w:r>
      <w:r w:rsidRPr="00550F79">
        <w:t xml:space="preserve">ispensing fee for </w:t>
      </w:r>
      <w:r w:rsidR="00664938">
        <w:t>e</w:t>
      </w:r>
      <w:r w:rsidRPr="00550F79">
        <w:t>xtemporaneously</w:t>
      </w:r>
      <w:r w:rsidR="00C00C92">
        <w:t>-</w:t>
      </w:r>
      <w:r w:rsidR="00664938">
        <w:t>p</w:t>
      </w:r>
      <w:r w:rsidRPr="00550F79">
        <w:t xml:space="preserve">repared </w:t>
      </w:r>
      <w:r w:rsidR="00664938">
        <w:t>p</w:t>
      </w:r>
      <w:r w:rsidRPr="00550F79">
        <w:t xml:space="preserve">harmaceutical </w:t>
      </w:r>
      <w:r w:rsidR="00664938">
        <w:t>b</w:t>
      </w:r>
      <w:r w:rsidRPr="00550F79">
        <w:t xml:space="preserve">enefits, and the </w:t>
      </w:r>
      <w:r w:rsidR="00664938">
        <w:t>d</w:t>
      </w:r>
      <w:r w:rsidRPr="00550F79">
        <w:t xml:space="preserve">angerous </w:t>
      </w:r>
      <w:r w:rsidR="00664938">
        <w:t>d</w:t>
      </w:r>
      <w:r w:rsidRPr="00550F79">
        <w:t xml:space="preserve">rug fee, as specified in the </w:t>
      </w:r>
      <w:r w:rsidR="00F302A9">
        <w:t>Eig</w:t>
      </w:r>
      <w:r w:rsidR="003620C7">
        <w:t>h</w:t>
      </w:r>
      <w:r w:rsidRPr="00550F79">
        <w:t>t</w:t>
      </w:r>
      <w:r w:rsidR="003620C7">
        <w:t>h</w:t>
      </w:r>
      <w:r w:rsidRPr="00550F79">
        <w:t xml:space="preserve"> Community Pharmacy Agreement (</w:t>
      </w:r>
      <w:r w:rsidR="00C00366">
        <w:t>Eigh</w:t>
      </w:r>
      <w:r w:rsidRPr="00550F79">
        <w:t xml:space="preserve">th Agreement), </w:t>
      </w:r>
      <w:r w:rsidR="00295FF6" w:rsidRPr="00550F79">
        <w:t xml:space="preserve">on </w:t>
      </w:r>
      <w:r w:rsidRPr="00550F79">
        <w:t>1 July 202</w:t>
      </w:r>
      <w:r w:rsidR="007925E6">
        <w:t>4</w:t>
      </w:r>
      <w:r w:rsidRPr="00550F79">
        <w:t>.</w:t>
      </w:r>
      <w:r w:rsidR="0053724E" w:rsidRPr="00C00C92">
        <w:t xml:space="preserve"> </w:t>
      </w:r>
      <w:r w:rsidR="0053724E" w:rsidRPr="005C4BA1">
        <w:t xml:space="preserve">A copy of the </w:t>
      </w:r>
      <w:r w:rsidR="00C00366" w:rsidRPr="005C4BA1">
        <w:t>Eigh</w:t>
      </w:r>
      <w:r w:rsidR="0053724E" w:rsidRPr="005C4BA1">
        <w:t xml:space="preserve">th Agreement can be found </w:t>
      </w:r>
      <w:r w:rsidR="005C4BA1">
        <w:t>on</w:t>
      </w:r>
      <w:r w:rsidR="0053724E" w:rsidRPr="005C4BA1">
        <w:t xml:space="preserve"> the Department of Health</w:t>
      </w:r>
      <w:r w:rsidR="005C4BA1">
        <w:t xml:space="preserve"> and Aged Care</w:t>
      </w:r>
      <w:r w:rsidR="0053724E" w:rsidRPr="005C4BA1">
        <w:t>’s website</w:t>
      </w:r>
      <w:r w:rsidR="00776027" w:rsidRPr="005C4BA1">
        <w:t>.</w:t>
      </w:r>
    </w:p>
    <w:p w14:paraId="576E9E41" w14:textId="2E633874" w:rsidR="000F3CBF" w:rsidRPr="00550F79" w:rsidRDefault="000F3CBF" w:rsidP="000F3CBF">
      <w:pPr>
        <w:shd w:val="clear" w:color="auto" w:fill="FFFFFF"/>
        <w:spacing w:before="120" w:after="120"/>
      </w:pPr>
      <w:r w:rsidRPr="00550F79">
        <w:t xml:space="preserve">The </w:t>
      </w:r>
      <w:r w:rsidR="004E6263">
        <w:t>Eigh</w:t>
      </w:r>
      <w:r w:rsidRPr="00550F79">
        <w:t>th Agreement between the Commonwealth</w:t>
      </w:r>
      <w:r w:rsidR="00F702F5">
        <w:t xml:space="preserve"> and</w:t>
      </w:r>
      <w:r w:rsidRPr="00550F79">
        <w:t xml:space="preserve"> the Guild, which commenced on 1 July 202</w:t>
      </w:r>
      <w:r w:rsidR="00174AC8">
        <w:t>4</w:t>
      </w:r>
      <w:r w:rsidRPr="00550F79">
        <w:t xml:space="preserve"> and expires on </w:t>
      </w:r>
      <w:r w:rsidRPr="003077E3">
        <w:t>30 June 202</w:t>
      </w:r>
      <w:r w:rsidR="00174AC8" w:rsidRPr="003077E3">
        <w:t>9</w:t>
      </w:r>
      <w:r w:rsidRPr="00550F79">
        <w:t>, includes an agreement between the Commonwealth and the Guild for the purposes of subsection 98</w:t>
      </w:r>
      <w:proofErr w:type="gramStart"/>
      <w:r w:rsidRPr="00550F79">
        <w:t>BAA(</w:t>
      </w:r>
      <w:proofErr w:type="gramEnd"/>
      <w:r w:rsidRPr="00550F79">
        <w:t>1) of the Act, setting out the manner in which the Commonwealth price for pharmaceutical benefits is to be calculated.</w:t>
      </w:r>
    </w:p>
    <w:p w14:paraId="5C9960CE" w14:textId="76784782" w:rsidR="006A16CC" w:rsidRDefault="000F3CBF" w:rsidP="00FC3AFB">
      <w:pPr>
        <w:shd w:val="clear" w:color="auto" w:fill="FFFFFF"/>
        <w:spacing w:before="120" w:after="120"/>
      </w:pPr>
      <w:r w:rsidRPr="00550F79">
        <w:t xml:space="preserve">The Tier 1 AHI fee, the </w:t>
      </w:r>
      <w:r w:rsidR="00F702F5">
        <w:t>d</w:t>
      </w:r>
      <w:r w:rsidRPr="00550F79">
        <w:t xml:space="preserve">ispensing fee for </w:t>
      </w:r>
      <w:r w:rsidR="00F702F5">
        <w:t>r</w:t>
      </w:r>
      <w:r w:rsidRPr="00550F79">
        <w:t>eady</w:t>
      </w:r>
      <w:r w:rsidR="00F702F5">
        <w:t>-p</w:t>
      </w:r>
      <w:r w:rsidRPr="00550F79">
        <w:t xml:space="preserve">repared </w:t>
      </w:r>
      <w:r w:rsidR="00F702F5">
        <w:t>p</w:t>
      </w:r>
      <w:r w:rsidRPr="00550F79">
        <w:t xml:space="preserve">harmaceutical </w:t>
      </w:r>
      <w:r w:rsidR="00F702F5">
        <w:t>b</w:t>
      </w:r>
      <w:r w:rsidRPr="00550F79">
        <w:t xml:space="preserve">enefits, </w:t>
      </w:r>
      <w:r w:rsidR="002E0F3B">
        <w:t xml:space="preserve">the </w:t>
      </w:r>
      <w:r w:rsidR="00F702F5">
        <w:t>d</w:t>
      </w:r>
      <w:r w:rsidR="002E0F3B">
        <w:t xml:space="preserve">ispensing fee for </w:t>
      </w:r>
      <w:proofErr w:type="gramStart"/>
      <w:r w:rsidR="00F702F5">
        <w:t>e</w:t>
      </w:r>
      <w:r w:rsidR="002E0F3B">
        <w:t>xtemporaneously-</w:t>
      </w:r>
      <w:r w:rsidR="00F702F5">
        <w:t>p</w:t>
      </w:r>
      <w:r w:rsidR="002E0F3B">
        <w:t>repared</w:t>
      </w:r>
      <w:proofErr w:type="gramEnd"/>
      <w:r w:rsidR="002E0F3B">
        <w:t xml:space="preserve"> </w:t>
      </w:r>
      <w:r w:rsidR="00F702F5">
        <w:t>p</w:t>
      </w:r>
      <w:r w:rsidR="002E0F3B">
        <w:t xml:space="preserve">harmaceutical </w:t>
      </w:r>
      <w:r w:rsidR="00F702F5">
        <w:t>b</w:t>
      </w:r>
      <w:r w:rsidR="002E0F3B">
        <w:t xml:space="preserve">enefits, </w:t>
      </w:r>
      <w:r w:rsidRPr="00550F79">
        <w:t xml:space="preserve">and the </w:t>
      </w:r>
      <w:r w:rsidR="00D826AA">
        <w:t>d</w:t>
      </w:r>
      <w:r w:rsidRPr="00550F79">
        <w:t xml:space="preserve">angerous </w:t>
      </w:r>
      <w:r w:rsidR="00D826AA">
        <w:t>d</w:t>
      </w:r>
      <w:r w:rsidRPr="00550F79">
        <w:t xml:space="preserve">rug fee </w:t>
      </w:r>
      <w:r w:rsidR="007E1CA1">
        <w:t xml:space="preserve">were all increased on </w:t>
      </w:r>
      <w:r w:rsidR="00AE2B41">
        <w:t xml:space="preserve">commencement of the Eighth Agreement and </w:t>
      </w:r>
      <w:r w:rsidR="003077E3">
        <w:t xml:space="preserve">will </w:t>
      </w:r>
      <w:r w:rsidR="00AE2B41">
        <w:t xml:space="preserve">then </w:t>
      </w:r>
      <w:r w:rsidR="003077E3">
        <w:t xml:space="preserve">be </w:t>
      </w:r>
      <w:r w:rsidR="00AE2B41">
        <w:t>indexed</w:t>
      </w:r>
      <w:r w:rsidRPr="00550F79">
        <w:t xml:space="preserve"> annually on 1 July in each year of the </w:t>
      </w:r>
      <w:r w:rsidR="00AE2B41">
        <w:t>Eight</w:t>
      </w:r>
      <w:r w:rsidR="00FC3AFB">
        <w:t>h</w:t>
      </w:r>
      <w:r w:rsidRPr="00550F79">
        <w:t xml:space="preserve"> Agreement. </w:t>
      </w:r>
    </w:p>
    <w:p w14:paraId="7B782BAD" w14:textId="77777777" w:rsidR="006A16CC" w:rsidRDefault="006A16CC" w:rsidP="000F3CBF">
      <w:pPr>
        <w:shd w:val="clear" w:color="auto" w:fill="FFFFFF"/>
        <w:spacing w:before="120" w:after="120"/>
      </w:pPr>
    </w:p>
    <w:p w14:paraId="182E893B" w14:textId="602034F8" w:rsidR="000F3CBF" w:rsidRPr="00550F79" w:rsidRDefault="00232665" w:rsidP="000F3CBF">
      <w:pPr>
        <w:shd w:val="clear" w:color="auto" w:fill="FFFFFF"/>
        <w:spacing w:before="120" w:after="120"/>
      </w:pPr>
      <w:r>
        <w:lastRenderedPageBreak/>
        <w:t xml:space="preserve">Consistent with the values stipulated </w:t>
      </w:r>
      <w:r w:rsidRPr="003077E3">
        <w:t xml:space="preserve">in the Eighth Agreement </w:t>
      </w:r>
      <w:r w:rsidR="003C6548" w:rsidRPr="003077E3">
        <w:t>for commencement on 1 July 2024</w:t>
      </w:r>
      <w:r w:rsidR="0019636F">
        <w:t>,</w:t>
      </w:r>
      <w:r w:rsidR="003C6548" w:rsidRPr="003077E3">
        <w:t xml:space="preserve"> </w:t>
      </w:r>
      <w:r w:rsidRPr="003077E3">
        <w:t>the</w:t>
      </w:r>
      <w:r w:rsidR="009D0B20">
        <w:t xml:space="preserve"> Amendment Determination increases the</w:t>
      </w:r>
      <w:r w:rsidRPr="003077E3">
        <w:t xml:space="preserve"> </w:t>
      </w:r>
      <w:r w:rsidR="000F3CBF" w:rsidRPr="003077E3">
        <w:t>Tier 1 AHI fee</w:t>
      </w:r>
      <w:r w:rsidR="00146C11" w:rsidRPr="003077E3">
        <w:t xml:space="preserve"> </w:t>
      </w:r>
      <w:r w:rsidR="000F3CBF" w:rsidRPr="003077E3">
        <w:t>from $4.</w:t>
      </w:r>
      <w:r w:rsidR="00FC7125" w:rsidRPr="003077E3">
        <w:t>6</w:t>
      </w:r>
      <w:r w:rsidR="006A16CC" w:rsidRPr="003077E3">
        <w:t>2</w:t>
      </w:r>
      <w:r w:rsidR="000F3CBF" w:rsidRPr="003077E3">
        <w:t xml:space="preserve"> to </w:t>
      </w:r>
      <w:r w:rsidR="000F3CBF" w:rsidRPr="003077E3">
        <w:rPr>
          <w:b/>
          <w:bCs/>
        </w:rPr>
        <w:t>$</w:t>
      </w:r>
      <w:r w:rsidR="003077E3" w:rsidRPr="003077E3">
        <w:rPr>
          <w:b/>
          <w:bCs/>
        </w:rPr>
        <w:t>4.79</w:t>
      </w:r>
      <w:r w:rsidR="000F3CBF" w:rsidRPr="003077E3">
        <w:t xml:space="preserve">, the </w:t>
      </w:r>
      <w:r w:rsidR="00D826AA">
        <w:t>d</w:t>
      </w:r>
      <w:r w:rsidR="000F3CBF" w:rsidRPr="003077E3">
        <w:t xml:space="preserve">ispensing fee for </w:t>
      </w:r>
      <w:r w:rsidR="00D826AA">
        <w:t>r</w:t>
      </w:r>
      <w:r w:rsidR="000F3CBF" w:rsidRPr="003077E3">
        <w:t>eady</w:t>
      </w:r>
      <w:r w:rsidR="002E0F3B">
        <w:t>-</w:t>
      </w:r>
      <w:r w:rsidR="00D826AA">
        <w:t>p</w:t>
      </w:r>
      <w:r w:rsidR="000F3CBF" w:rsidRPr="003077E3">
        <w:t xml:space="preserve">repared </w:t>
      </w:r>
      <w:r w:rsidR="00D826AA">
        <w:t>p</w:t>
      </w:r>
      <w:r w:rsidR="000F3CBF" w:rsidRPr="003077E3">
        <w:t xml:space="preserve">harmaceutical </w:t>
      </w:r>
      <w:r w:rsidR="00D826AA">
        <w:t>b</w:t>
      </w:r>
      <w:r w:rsidR="000F3CBF" w:rsidRPr="003077E3">
        <w:t>enefits from $</w:t>
      </w:r>
      <w:r w:rsidR="00051A85" w:rsidRPr="003077E3">
        <w:t>8</w:t>
      </w:r>
      <w:r w:rsidR="000F3CBF" w:rsidRPr="003077E3">
        <w:t>.</w:t>
      </w:r>
      <w:r w:rsidR="00051A85" w:rsidRPr="003077E3">
        <w:t>37</w:t>
      </w:r>
      <w:r w:rsidR="000F3CBF" w:rsidRPr="003077E3">
        <w:t xml:space="preserve"> to </w:t>
      </w:r>
      <w:r w:rsidR="000F3CBF" w:rsidRPr="003077E3">
        <w:rPr>
          <w:b/>
          <w:bCs/>
        </w:rPr>
        <w:t>$</w:t>
      </w:r>
      <w:r w:rsidR="003077E3" w:rsidRPr="003077E3">
        <w:rPr>
          <w:b/>
          <w:bCs/>
        </w:rPr>
        <w:t>8.67</w:t>
      </w:r>
      <w:r w:rsidR="000F3CBF" w:rsidRPr="003077E3">
        <w:t xml:space="preserve">, the </w:t>
      </w:r>
      <w:r w:rsidR="00D826AA">
        <w:t>d</w:t>
      </w:r>
      <w:r w:rsidR="000F3CBF" w:rsidRPr="003077E3">
        <w:t xml:space="preserve">ispensing fee for </w:t>
      </w:r>
      <w:proofErr w:type="gramStart"/>
      <w:r w:rsidR="00D826AA">
        <w:t>e</w:t>
      </w:r>
      <w:r w:rsidR="000F3CBF" w:rsidRPr="003077E3">
        <w:t>xtemporaneously</w:t>
      </w:r>
      <w:r w:rsidR="002E0F3B">
        <w:t>-</w:t>
      </w:r>
      <w:r w:rsidR="00D826AA">
        <w:t>p</w:t>
      </w:r>
      <w:r w:rsidR="000F3CBF" w:rsidRPr="003077E3">
        <w:t>repared</w:t>
      </w:r>
      <w:proofErr w:type="gramEnd"/>
      <w:r w:rsidR="000F3CBF" w:rsidRPr="003077E3">
        <w:t xml:space="preserve"> </w:t>
      </w:r>
      <w:r w:rsidR="00D826AA">
        <w:t>p</w:t>
      </w:r>
      <w:r w:rsidR="000F3CBF" w:rsidRPr="003077E3">
        <w:t xml:space="preserve">harmaceutical </w:t>
      </w:r>
      <w:r w:rsidR="00D826AA">
        <w:t>b</w:t>
      </w:r>
      <w:r w:rsidR="000F3CBF" w:rsidRPr="003077E3">
        <w:t>enefits</w:t>
      </w:r>
      <w:r w:rsidR="000F3CBF" w:rsidRPr="003077E3" w:rsidDel="00114E65">
        <w:t xml:space="preserve"> </w:t>
      </w:r>
      <w:r w:rsidR="00D826AA">
        <w:t>f</w:t>
      </w:r>
      <w:r w:rsidR="000F3CBF" w:rsidRPr="003077E3">
        <w:t>ee from $</w:t>
      </w:r>
      <w:r w:rsidR="00EB61B1" w:rsidRPr="003077E3">
        <w:t>10</w:t>
      </w:r>
      <w:r w:rsidR="000F3CBF" w:rsidRPr="003077E3">
        <w:t>.</w:t>
      </w:r>
      <w:r w:rsidR="00EB61B1" w:rsidRPr="003077E3">
        <w:t>41</w:t>
      </w:r>
      <w:r w:rsidR="000F3CBF" w:rsidRPr="003077E3">
        <w:t xml:space="preserve"> to </w:t>
      </w:r>
      <w:r w:rsidR="000F3CBF" w:rsidRPr="003077E3">
        <w:rPr>
          <w:b/>
          <w:bCs/>
        </w:rPr>
        <w:t>$</w:t>
      </w:r>
      <w:r w:rsidR="003077E3" w:rsidRPr="003077E3">
        <w:rPr>
          <w:b/>
          <w:bCs/>
        </w:rPr>
        <w:t>10.71</w:t>
      </w:r>
      <w:r w:rsidR="000F3CBF" w:rsidRPr="003077E3">
        <w:rPr>
          <w:bCs/>
        </w:rPr>
        <w:t>,</w:t>
      </w:r>
      <w:r w:rsidR="000F3CBF" w:rsidRPr="003077E3">
        <w:t xml:space="preserve"> and the </w:t>
      </w:r>
      <w:r w:rsidR="00D826AA">
        <w:t>d</w:t>
      </w:r>
      <w:r w:rsidR="000F3CBF" w:rsidRPr="003077E3">
        <w:t xml:space="preserve">angerous </w:t>
      </w:r>
      <w:r w:rsidR="00D826AA">
        <w:t>d</w:t>
      </w:r>
      <w:r w:rsidR="000F3CBF" w:rsidRPr="003077E3">
        <w:t>rug fee from $</w:t>
      </w:r>
      <w:r w:rsidR="00EB61B1" w:rsidRPr="003077E3">
        <w:t>5.18</w:t>
      </w:r>
      <w:r w:rsidR="000F3CBF" w:rsidRPr="003077E3">
        <w:t xml:space="preserve"> to </w:t>
      </w:r>
      <w:r w:rsidR="000F3CBF" w:rsidRPr="003077E3">
        <w:rPr>
          <w:b/>
          <w:bCs/>
        </w:rPr>
        <w:t>$</w:t>
      </w:r>
      <w:r w:rsidR="003077E3" w:rsidRPr="003077E3">
        <w:rPr>
          <w:b/>
          <w:bCs/>
        </w:rPr>
        <w:t>5.37</w:t>
      </w:r>
      <w:r w:rsidR="000F3CBF" w:rsidRPr="003077E3">
        <w:t>.</w:t>
      </w:r>
    </w:p>
    <w:p w14:paraId="6032E449" w14:textId="77777777" w:rsidR="005B395C" w:rsidRPr="00550F79" w:rsidRDefault="005B395C" w:rsidP="007F0BC3">
      <w:pPr>
        <w:jc w:val="both"/>
        <w:rPr>
          <w:b/>
          <w:bCs/>
        </w:rPr>
      </w:pPr>
      <w:r w:rsidRPr="00550F79">
        <w:rPr>
          <w:b/>
          <w:bCs/>
        </w:rPr>
        <w:t>Consultation</w:t>
      </w:r>
    </w:p>
    <w:p w14:paraId="0E7A3ACC" w14:textId="22847E29" w:rsidR="00A731C4" w:rsidRDefault="00A731C4" w:rsidP="00A731C4">
      <w:pPr>
        <w:shd w:val="clear" w:color="auto" w:fill="FFFFFF"/>
        <w:spacing w:before="120" w:after="120"/>
      </w:pPr>
      <w:r w:rsidRPr="00550F79">
        <w:t xml:space="preserve">The </w:t>
      </w:r>
      <w:r w:rsidR="00862502">
        <w:t>Eigh</w:t>
      </w:r>
      <w:r w:rsidRPr="00550F79">
        <w:t xml:space="preserve">th Agreement includes an agreement between the Commonwealth and the Guild </w:t>
      </w:r>
      <w:r w:rsidR="00862502">
        <w:t>f</w:t>
      </w:r>
      <w:r w:rsidRPr="00550F79">
        <w:t>or the purposes of subsection 98</w:t>
      </w:r>
      <w:proofErr w:type="gramStart"/>
      <w:r w:rsidRPr="00550F79">
        <w:t>BAA(</w:t>
      </w:r>
      <w:proofErr w:type="gramEnd"/>
      <w:r w:rsidRPr="00550F79">
        <w:t xml:space="preserve">1) of the Act. The </w:t>
      </w:r>
      <w:r w:rsidR="00862502">
        <w:t>Guild</w:t>
      </w:r>
      <w:r w:rsidRPr="00550F79">
        <w:t xml:space="preserve"> has been consulted in relation to the changes made by this Amendment Determination as they relate to that agreement. Services Australia has also been consulted in relation to implementation of the Pharmaceutical Benefits Scheme payment systems changes managed by Services Australia, to support the changes made by this Amendment Determination.</w:t>
      </w:r>
    </w:p>
    <w:p w14:paraId="7DC92716" w14:textId="55992231" w:rsidR="0019636F" w:rsidRDefault="0019636F" w:rsidP="00A731C4">
      <w:pPr>
        <w:shd w:val="clear" w:color="auto" w:fill="FFFFFF"/>
        <w:spacing w:before="120" w:after="120"/>
      </w:pPr>
      <w:r>
        <w:rPr>
          <w:b/>
          <w:bCs/>
        </w:rPr>
        <w:t>Commencement</w:t>
      </w:r>
    </w:p>
    <w:p w14:paraId="77E8B308" w14:textId="22D57007" w:rsidR="00782811" w:rsidRPr="00550F79" w:rsidRDefault="00782811" w:rsidP="00A731C4">
      <w:pPr>
        <w:shd w:val="clear" w:color="auto" w:fill="FFFFFF"/>
        <w:spacing w:before="120" w:after="120"/>
      </w:pPr>
      <w:r w:rsidRPr="00550F79">
        <w:t xml:space="preserve">This </w:t>
      </w:r>
      <w:r w:rsidR="00F91926">
        <w:t xml:space="preserve">Amendment Determination </w:t>
      </w:r>
      <w:r w:rsidRPr="00550F79">
        <w:t>commences on 1 July 202</w:t>
      </w:r>
      <w:r w:rsidR="005E2F1A">
        <w:t>4</w:t>
      </w:r>
      <w:r w:rsidRPr="00550F79">
        <w:t>.</w:t>
      </w:r>
    </w:p>
    <w:p w14:paraId="780A598E" w14:textId="71378153" w:rsidR="00F91926" w:rsidRDefault="00F91926" w:rsidP="00A731C4">
      <w:pPr>
        <w:pStyle w:val="Heading6"/>
        <w:keepNext w:val="0"/>
        <w:keepLines w:val="0"/>
        <w:spacing w:before="180" w:after="180"/>
        <w:ind w:right="-516"/>
        <w:jc w:val="left"/>
        <w:rPr>
          <w:b w:val="0"/>
          <w:sz w:val="24"/>
          <w:szCs w:val="24"/>
        </w:rPr>
      </w:pPr>
      <w:r>
        <w:rPr>
          <w:bCs/>
          <w:sz w:val="24"/>
          <w:szCs w:val="24"/>
        </w:rPr>
        <w:t>General</w:t>
      </w:r>
    </w:p>
    <w:p w14:paraId="022E58DD" w14:textId="7F4E406C" w:rsidR="00A731C4" w:rsidRDefault="00A731C4" w:rsidP="00A731C4">
      <w:pPr>
        <w:pStyle w:val="Heading6"/>
        <w:keepNext w:val="0"/>
        <w:keepLines w:val="0"/>
        <w:spacing w:before="180" w:after="180"/>
        <w:ind w:right="-516"/>
        <w:jc w:val="left"/>
        <w:rPr>
          <w:b w:val="0"/>
          <w:sz w:val="24"/>
          <w:szCs w:val="24"/>
        </w:rPr>
      </w:pPr>
      <w:r w:rsidRPr="00550F79">
        <w:rPr>
          <w:b w:val="0"/>
          <w:sz w:val="24"/>
          <w:szCs w:val="24"/>
        </w:rPr>
        <w:t xml:space="preserve">This Amendment Determination is a legislative instrument for the purposes of the </w:t>
      </w:r>
      <w:r w:rsidRPr="00550F79">
        <w:rPr>
          <w:b w:val="0"/>
          <w:i/>
          <w:sz w:val="24"/>
          <w:szCs w:val="24"/>
        </w:rPr>
        <w:t>Legislation Act 2003</w:t>
      </w:r>
      <w:r w:rsidRPr="00550F79">
        <w:rPr>
          <w:b w:val="0"/>
          <w:sz w:val="24"/>
          <w:szCs w:val="24"/>
        </w:rPr>
        <w:t>.</w:t>
      </w:r>
    </w:p>
    <w:p w14:paraId="53BAB4C7" w14:textId="571B9C67" w:rsidR="0019636F" w:rsidRDefault="0019636F" w:rsidP="00A731C4">
      <w:pPr>
        <w:pStyle w:val="Heading6"/>
        <w:keepNext w:val="0"/>
        <w:keepLines w:val="0"/>
        <w:spacing w:before="180" w:after="180"/>
        <w:ind w:right="-516"/>
        <w:jc w:val="left"/>
        <w:rPr>
          <w:b w:val="0"/>
          <w:sz w:val="24"/>
          <w:szCs w:val="24"/>
        </w:rPr>
      </w:pPr>
      <w:r>
        <w:rPr>
          <w:b w:val="0"/>
          <w:sz w:val="24"/>
          <w:szCs w:val="24"/>
        </w:rPr>
        <w:t xml:space="preserve">Details of this Amendment Determination are set out in </w:t>
      </w:r>
      <w:r>
        <w:rPr>
          <w:bCs/>
          <w:sz w:val="24"/>
          <w:szCs w:val="24"/>
        </w:rPr>
        <w:t>Attachment A</w:t>
      </w:r>
      <w:r>
        <w:rPr>
          <w:b w:val="0"/>
          <w:sz w:val="24"/>
          <w:szCs w:val="24"/>
        </w:rPr>
        <w:t>.</w:t>
      </w:r>
    </w:p>
    <w:p w14:paraId="4FA39AC1" w14:textId="39A30B6F" w:rsidR="0019636F" w:rsidRPr="005C4BA1" w:rsidRDefault="0019636F" w:rsidP="00A731C4">
      <w:pPr>
        <w:pStyle w:val="Heading6"/>
        <w:keepNext w:val="0"/>
        <w:keepLines w:val="0"/>
        <w:spacing w:before="180" w:after="180"/>
        <w:ind w:right="-516"/>
        <w:jc w:val="left"/>
        <w:rPr>
          <w:b w:val="0"/>
          <w:sz w:val="24"/>
          <w:szCs w:val="24"/>
        </w:rPr>
      </w:pPr>
      <w:r>
        <w:rPr>
          <w:b w:val="0"/>
          <w:sz w:val="24"/>
          <w:szCs w:val="24"/>
        </w:rPr>
        <w:t xml:space="preserve">This Amendment Determination is compatible with the human rights and freedoms recognised or declared under section 3 of the </w:t>
      </w:r>
      <w:r>
        <w:rPr>
          <w:b w:val="0"/>
          <w:i/>
          <w:iCs/>
          <w:sz w:val="24"/>
          <w:szCs w:val="24"/>
        </w:rPr>
        <w:t xml:space="preserve">Human Rights (Parliamentary Scrutiny) Act 2011. </w:t>
      </w:r>
      <w:r>
        <w:rPr>
          <w:b w:val="0"/>
          <w:sz w:val="24"/>
          <w:szCs w:val="24"/>
        </w:rPr>
        <w:t xml:space="preserve">A full statement of compatibility is set out in </w:t>
      </w:r>
      <w:r>
        <w:rPr>
          <w:bCs/>
          <w:sz w:val="24"/>
          <w:szCs w:val="24"/>
        </w:rPr>
        <w:t>Attachment B</w:t>
      </w:r>
      <w:r>
        <w:rPr>
          <w:b w:val="0"/>
          <w:sz w:val="24"/>
          <w:szCs w:val="24"/>
        </w:rPr>
        <w:t>.</w:t>
      </w:r>
    </w:p>
    <w:p w14:paraId="4B065FAA" w14:textId="0CF9A4E7" w:rsidR="005B395C" w:rsidRPr="00550F79" w:rsidRDefault="00DE7867" w:rsidP="005B395C">
      <w:pPr>
        <w:jc w:val="right"/>
        <w:rPr>
          <w:b/>
          <w:bCs/>
          <w:caps/>
        </w:rPr>
      </w:pPr>
      <w:r w:rsidRPr="00550F79">
        <w:rPr>
          <w:u w:val="single"/>
        </w:rPr>
        <w:br w:type="page"/>
      </w:r>
      <w:r w:rsidR="005B395C" w:rsidRPr="00550F79">
        <w:rPr>
          <w:b/>
          <w:bCs/>
          <w:caps/>
        </w:rPr>
        <w:lastRenderedPageBreak/>
        <w:t>Attachment</w:t>
      </w:r>
      <w:r w:rsidR="00662D25" w:rsidRPr="00550F79">
        <w:rPr>
          <w:b/>
          <w:bCs/>
          <w:caps/>
        </w:rPr>
        <w:t xml:space="preserve"> A</w:t>
      </w:r>
    </w:p>
    <w:p w14:paraId="6E32DCAA" w14:textId="612D814B" w:rsidR="00662D25" w:rsidRPr="00550F79" w:rsidRDefault="00642E2B" w:rsidP="00662D25">
      <w:pPr>
        <w:shd w:val="clear" w:color="auto" w:fill="FFFFFF"/>
        <w:spacing w:before="100" w:beforeAutospacing="1" w:after="100" w:afterAutospacing="1"/>
        <w:rPr>
          <w:lang w:val="en-US"/>
        </w:rPr>
      </w:pPr>
      <w:r w:rsidRPr="00550F79">
        <w:rPr>
          <w:b/>
          <w:bCs/>
        </w:rPr>
        <w:t>Details of the</w:t>
      </w:r>
      <w:r w:rsidR="00662D25" w:rsidRPr="00550F79">
        <w:rPr>
          <w:b/>
          <w:bCs/>
        </w:rPr>
        <w:t xml:space="preserve"> </w:t>
      </w:r>
      <w:r w:rsidR="00662D25" w:rsidRPr="00550F79">
        <w:rPr>
          <w:b/>
          <w:bCs/>
          <w:i/>
          <w:iCs/>
        </w:rPr>
        <w:t>Commonwealth price (Pharmaceutical benefits supplied by approved pharmacists) Amendment Determination 202</w:t>
      </w:r>
      <w:r w:rsidR="005E2F1A">
        <w:rPr>
          <w:b/>
          <w:bCs/>
          <w:i/>
          <w:iCs/>
        </w:rPr>
        <w:t>4</w:t>
      </w:r>
    </w:p>
    <w:p w14:paraId="7AECF576" w14:textId="3048504F" w:rsidR="00C73B6F" w:rsidRPr="00550F79" w:rsidRDefault="00C73B6F" w:rsidP="00C73B6F">
      <w:pPr>
        <w:rPr>
          <w:b/>
          <w:bCs/>
        </w:rPr>
      </w:pPr>
    </w:p>
    <w:p w14:paraId="6F91B982" w14:textId="77777777" w:rsidR="00C73B6F" w:rsidRPr="00550F79" w:rsidRDefault="00642E2B" w:rsidP="001E7CB8">
      <w:pPr>
        <w:spacing w:after="240"/>
        <w:rPr>
          <w:b/>
        </w:rPr>
      </w:pPr>
      <w:r w:rsidRPr="00550F79">
        <w:rPr>
          <w:b/>
        </w:rPr>
        <w:t>Section 1</w:t>
      </w:r>
      <w:r w:rsidRPr="00550F79">
        <w:rPr>
          <w:b/>
        </w:rPr>
        <w:tab/>
        <w:t>Name</w:t>
      </w:r>
    </w:p>
    <w:p w14:paraId="4486A3FE" w14:textId="279DF01A" w:rsidR="00C73B6F" w:rsidRPr="00550F79" w:rsidRDefault="00662D25" w:rsidP="001E7CB8">
      <w:r w:rsidRPr="00550F79">
        <w:t xml:space="preserve">This section provides that the title of the instrument is the </w:t>
      </w:r>
      <w:r w:rsidRPr="00550F79">
        <w:rPr>
          <w:i/>
          <w:iCs/>
        </w:rPr>
        <w:t>Commonwealth price (Pharmaceutical benefits supplied by approved pharmacists) Amendment Determination 202</w:t>
      </w:r>
      <w:r w:rsidR="005E2F1A">
        <w:rPr>
          <w:i/>
          <w:iCs/>
        </w:rPr>
        <w:t>4</w:t>
      </w:r>
      <w:r w:rsidRPr="00550F79">
        <w:rPr>
          <w:i/>
          <w:iCs/>
        </w:rPr>
        <w:t xml:space="preserve"> </w:t>
      </w:r>
      <w:r w:rsidR="0019636F">
        <w:t>and</w:t>
      </w:r>
      <w:r w:rsidRPr="00550F79">
        <w:t xml:space="preserve"> may also be cited as PB </w:t>
      </w:r>
      <w:r w:rsidR="004D041F">
        <w:t>62</w:t>
      </w:r>
      <w:r w:rsidRPr="00550F79">
        <w:t> of 202</w:t>
      </w:r>
      <w:r w:rsidR="00F12519">
        <w:t>4</w:t>
      </w:r>
      <w:r w:rsidR="00D12786" w:rsidRPr="00550F79">
        <w:rPr>
          <w:i/>
        </w:rPr>
        <w:t>.</w:t>
      </w:r>
    </w:p>
    <w:p w14:paraId="7C4E132C" w14:textId="77777777" w:rsidR="00C73B6F" w:rsidRPr="00550F79" w:rsidRDefault="00C73B6F" w:rsidP="00C73B6F"/>
    <w:p w14:paraId="5A427F43" w14:textId="77777777" w:rsidR="00C73B6F" w:rsidRPr="00550F79" w:rsidRDefault="00642E2B" w:rsidP="001E7CB8">
      <w:pPr>
        <w:spacing w:after="240"/>
        <w:rPr>
          <w:b/>
        </w:rPr>
      </w:pPr>
      <w:r w:rsidRPr="00550F79">
        <w:rPr>
          <w:b/>
        </w:rPr>
        <w:t xml:space="preserve">Section </w:t>
      </w:r>
      <w:r w:rsidR="00C73B6F" w:rsidRPr="00550F79">
        <w:rPr>
          <w:b/>
        </w:rPr>
        <w:t>2</w:t>
      </w:r>
      <w:r w:rsidR="00C73B6F" w:rsidRPr="00550F79">
        <w:rPr>
          <w:b/>
        </w:rPr>
        <w:tab/>
        <w:t>Commencement</w:t>
      </w:r>
    </w:p>
    <w:p w14:paraId="441905FB" w14:textId="401F5B65" w:rsidR="00C73B6F" w:rsidRPr="00550F79" w:rsidRDefault="00A7003C" w:rsidP="001E7CB8">
      <w:r w:rsidRPr="00550F79">
        <w:t>S</w:t>
      </w:r>
      <w:r w:rsidR="00F10A14" w:rsidRPr="00550F79">
        <w:t xml:space="preserve">ection </w:t>
      </w:r>
      <w:r w:rsidRPr="00550F79">
        <w:t xml:space="preserve">2 </w:t>
      </w:r>
      <w:r w:rsidR="00F10A14" w:rsidRPr="00550F79">
        <w:t>provides that the instrument commences on</w:t>
      </w:r>
      <w:r w:rsidR="00C73B6F" w:rsidRPr="00550F79">
        <w:t xml:space="preserve"> </w:t>
      </w:r>
      <w:r w:rsidRPr="00550F79">
        <w:t>1 July 202</w:t>
      </w:r>
      <w:r w:rsidR="00F12519">
        <w:t>4</w:t>
      </w:r>
      <w:r w:rsidRPr="00550F79">
        <w:t>.</w:t>
      </w:r>
    </w:p>
    <w:p w14:paraId="0F074375" w14:textId="77777777" w:rsidR="00C73B6F" w:rsidRPr="00550F79" w:rsidRDefault="00C73B6F" w:rsidP="00C73B6F"/>
    <w:p w14:paraId="24B387BE" w14:textId="77777777" w:rsidR="00C73B6F" w:rsidRPr="00550F79" w:rsidRDefault="00F10A14" w:rsidP="001E7CB8">
      <w:pPr>
        <w:spacing w:after="240"/>
        <w:rPr>
          <w:b/>
        </w:rPr>
      </w:pPr>
      <w:r w:rsidRPr="00550F79">
        <w:rPr>
          <w:b/>
        </w:rPr>
        <w:t xml:space="preserve">Section </w:t>
      </w:r>
      <w:r w:rsidR="00C73B6F" w:rsidRPr="00550F79">
        <w:rPr>
          <w:b/>
        </w:rPr>
        <w:t>3</w:t>
      </w:r>
      <w:r w:rsidR="00C73B6F" w:rsidRPr="00550F79">
        <w:rPr>
          <w:b/>
        </w:rPr>
        <w:tab/>
        <w:t>Authority</w:t>
      </w:r>
    </w:p>
    <w:p w14:paraId="6C11692D" w14:textId="7110EBD6" w:rsidR="00A7003C" w:rsidRPr="00550F79" w:rsidRDefault="00A7003C" w:rsidP="00A7003C">
      <w:pPr>
        <w:shd w:val="clear" w:color="auto" w:fill="FFFFFF"/>
        <w:spacing w:before="100" w:beforeAutospacing="1" w:after="100" w:afterAutospacing="1"/>
        <w:rPr>
          <w:lang w:val="en-US"/>
        </w:rPr>
      </w:pPr>
      <w:r w:rsidRPr="00550F79">
        <w:t>Section 3 provides that the</w:t>
      </w:r>
      <w:r w:rsidR="002A4A26" w:rsidRPr="00550F79">
        <w:t xml:space="preserve"> </w:t>
      </w:r>
      <w:r w:rsidR="0019636F">
        <w:t>instrument</w:t>
      </w:r>
      <w:r w:rsidR="002A4A26" w:rsidRPr="00550F79">
        <w:t xml:space="preserve"> </w:t>
      </w:r>
      <w:r w:rsidRPr="00550F79">
        <w:t xml:space="preserve">is made under paragraph 98B(1)(a) of the </w:t>
      </w:r>
      <w:r w:rsidRPr="00550F79">
        <w:rPr>
          <w:i/>
          <w:iCs/>
        </w:rPr>
        <w:t>National Health Act 1953</w:t>
      </w:r>
      <w:r w:rsidRPr="00550F79">
        <w:t>.</w:t>
      </w:r>
    </w:p>
    <w:p w14:paraId="1E97BF03" w14:textId="77777777" w:rsidR="004B5A3F" w:rsidRPr="00550F79" w:rsidRDefault="004B5A3F" w:rsidP="004B5A3F">
      <w:pPr>
        <w:shd w:val="clear" w:color="auto" w:fill="FFFFFF"/>
        <w:spacing w:before="100" w:beforeAutospacing="1" w:after="100" w:afterAutospacing="1"/>
        <w:rPr>
          <w:lang w:val="en-US"/>
        </w:rPr>
      </w:pPr>
      <w:r w:rsidRPr="00550F79">
        <w:rPr>
          <w:b/>
          <w:bCs/>
        </w:rPr>
        <w:t>Section 4         Schedules</w:t>
      </w:r>
    </w:p>
    <w:p w14:paraId="3E879FAB" w14:textId="31345B24" w:rsidR="004B5A3F" w:rsidRPr="00550F79" w:rsidRDefault="004B5A3F" w:rsidP="004B5A3F">
      <w:pPr>
        <w:shd w:val="clear" w:color="auto" w:fill="FFFFFF"/>
        <w:spacing w:before="100" w:beforeAutospacing="1" w:after="100" w:afterAutospacing="1"/>
        <w:rPr>
          <w:lang w:val="en-US"/>
        </w:rPr>
      </w:pPr>
      <w:r w:rsidRPr="00550F79">
        <w:t xml:space="preserve">Section 4 provides that each instrument that is specified in a Schedule to the </w:t>
      </w:r>
      <w:r w:rsidR="0019636F">
        <w:t>instrument</w:t>
      </w:r>
      <w:r w:rsidRPr="00550F79">
        <w:t xml:space="preserve"> is amended or repealed as set out in the applicable items in the Schedule concerned, and any other item has effect according to its terms.  </w:t>
      </w:r>
    </w:p>
    <w:p w14:paraId="74054B32" w14:textId="77777777" w:rsidR="004B5A3F" w:rsidRPr="00550F79" w:rsidRDefault="004B5A3F" w:rsidP="004B5A3F">
      <w:pPr>
        <w:shd w:val="clear" w:color="auto" w:fill="FFFFFF"/>
        <w:spacing w:before="100" w:beforeAutospacing="1" w:after="100" w:afterAutospacing="1"/>
        <w:rPr>
          <w:lang w:val="en-US"/>
        </w:rPr>
      </w:pPr>
      <w:r w:rsidRPr="00550F79">
        <w:rPr>
          <w:b/>
          <w:bCs/>
        </w:rPr>
        <w:t>Schedule 1       Amendments</w:t>
      </w:r>
    </w:p>
    <w:p w14:paraId="0A22A279" w14:textId="4BC72E65" w:rsidR="004B5A3F" w:rsidRPr="00550F79" w:rsidRDefault="004B5A3F" w:rsidP="004B5A3F">
      <w:pPr>
        <w:shd w:val="clear" w:color="auto" w:fill="FFFFFF"/>
        <w:spacing w:before="100" w:beforeAutospacing="1" w:after="100" w:afterAutospacing="1"/>
        <w:rPr>
          <w:lang w:val="en-US"/>
        </w:rPr>
      </w:pPr>
      <w:r w:rsidRPr="00550F79">
        <w:rPr>
          <w:b/>
          <w:bCs/>
          <w:i/>
          <w:iCs/>
        </w:rPr>
        <w:t xml:space="preserve">Commonwealth </w:t>
      </w:r>
      <w:r w:rsidR="00DB6DD3" w:rsidRPr="00550F79">
        <w:rPr>
          <w:b/>
          <w:bCs/>
          <w:i/>
          <w:iCs/>
        </w:rPr>
        <w:t>p</w:t>
      </w:r>
      <w:r w:rsidRPr="00550F79">
        <w:rPr>
          <w:b/>
          <w:bCs/>
          <w:i/>
          <w:iCs/>
        </w:rPr>
        <w:t>rice (Pharmaceutical benefits supplied by approved pharmacists) Determination 2020</w:t>
      </w:r>
    </w:p>
    <w:p w14:paraId="6DBF9F3F" w14:textId="1F7F8D78" w:rsidR="004B5A3F" w:rsidRPr="00550F79" w:rsidRDefault="004B5A3F" w:rsidP="004B5A3F">
      <w:pPr>
        <w:shd w:val="clear" w:color="auto" w:fill="FFFFFF"/>
        <w:spacing w:before="100" w:beforeAutospacing="1" w:after="100" w:afterAutospacing="1"/>
        <w:rPr>
          <w:lang w:val="en-US"/>
        </w:rPr>
      </w:pPr>
      <w:r w:rsidRPr="00550F79">
        <w:rPr>
          <w:b/>
          <w:bCs/>
        </w:rPr>
        <w:t>Item</w:t>
      </w:r>
      <w:r w:rsidR="0019636F">
        <w:rPr>
          <w:b/>
          <w:bCs/>
        </w:rPr>
        <w:t>s</w:t>
      </w:r>
      <w:r w:rsidRPr="00550F79">
        <w:rPr>
          <w:b/>
          <w:bCs/>
        </w:rPr>
        <w:t xml:space="preserve"> 1 </w:t>
      </w:r>
      <w:r w:rsidR="0019636F">
        <w:rPr>
          <w:b/>
          <w:bCs/>
        </w:rPr>
        <w:t xml:space="preserve">to 3 – Section 6 (Definitions of </w:t>
      </w:r>
      <w:r w:rsidR="0019636F" w:rsidRPr="005C4BA1">
        <w:rPr>
          <w:b/>
          <w:bCs/>
          <w:i/>
          <w:iCs/>
        </w:rPr>
        <w:t>dangerous drug fee</w:t>
      </w:r>
      <w:r w:rsidR="0019636F">
        <w:rPr>
          <w:b/>
          <w:bCs/>
        </w:rPr>
        <w:t xml:space="preserve">, </w:t>
      </w:r>
      <w:r w:rsidR="0019636F" w:rsidRPr="005C4BA1">
        <w:rPr>
          <w:b/>
          <w:bCs/>
          <w:i/>
          <w:iCs/>
        </w:rPr>
        <w:t>extemporaneously-prepared dispensing fee</w:t>
      </w:r>
      <w:r w:rsidR="0019636F">
        <w:rPr>
          <w:b/>
          <w:bCs/>
        </w:rPr>
        <w:t xml:space="preserve">, </w:t>
      </w:r>
      <w:r w:rsidR="0019636F" w:rsidRPr="005C4BA1">
        <w:rPr>
          <w:b/>
          <w:bCs/>
          <w:i/>
          <w:iCs/>
        </w:rPr>
        <w:t>ready-prepared dispensing fee</w:t>
      </w:r>
      <w:r w:rsidR="0019636F">
        <w:rPr>
          <w:b/>
          <w:bCs/>
        </w:rPr>
        <w:t>)</w:t>
      </w:r>
      <w:r w:rsidRPr="00550F79">
        <w:rPr>
          <w:b/>
          <w:bCs/>
        </w:rPr>
        <w:t xml:space="preserve"> </w:t>
      </w:r>
    </w:p>
    <w:p w14:paraId="6B4D22EE" w14:textId="74275552" w:rsidR="004B5A3F" w:rsidRPr="00550F79" w:rsidRDefault="0019636F" w:rsidP="004B5A3F">
      <w:pPr>
        <w:shd w:val="clear" w:color="auto" w:fill="FFFFFF"/>
        <w:spacing w:before="100" w:beforeAutospacing="1" w:after="100" w:afterAutospacing="1"/>
        <w:rPr>
          <w:lang w:val="en-US"/>
        </w:rPr>
      </w:pPr>
      <w:r>
        <w:t>Items 1 to 3</w:t>
      </w:r>
      <w:r w:rsidR="004B5A3F" w:rsidRPr="00550F79">
        <w:t xml:space="preserve"> amend the definitions of ‘dangerous drug fee’, ‘extemporaneously-prepared dispensing fee’ and ‘ready-prepared dispensing fee’ in </w:t>
      </w:r>
      <w:r w:rsidR="00B93E0B">
        <w:t>s</w:t>
      </w:r>
      <w:r w:rsidR="004B5A3F" w:rsidRPr="00550F79">
        <w:t xml:space="preserve">ection 6 of the </w:t>
      </w:r>
      <w:r w:rsidR="00B93E0B">
        <w:rPr>
          <w:i/>
          <w:iCs/>
        </w:rPr>
        <w:t xml:space="preserve">Commonwealth price (Pharmaceutical benefits supplied by approved pharmacists) Amendment Determination 2020 </w:t>
      </w:r>
      <w:r w:rsidR="00EC401E">
        <w:t>(</w:t>
      </w:r>
      <w:r w:rsidR="004B5A3F" w:rsidRPr="00550F79">
        <w:t>Principal Determination</w:t>
      </w:r>
      <w:r w:rsidR="00EC401E">
        <w:t>)</w:t>
      </w:r>
      <w:r w:rsidR="004B5A3F" w:rsidRPr="00550F79">
        <w:t xml:space="preserve"> to increase the amount of the dangerous drug fee</w:t>
      </w:r>
      <w:r w:rsidR="00B93E0B">
        <w:t xml:space="preserve"> from $5.18 to </w:t>
      </w:r>
      <w:r w:rsidR="00B93E0B" w:rsidRPr="005C4BA1">
        <w:rPr>
          <w:b/>
          <w:bCs/>
        </w:rPr>
        <w:t>$5.37</w:t>
      </w:r>
      <w:r w:rsidR="004B5A3F" w:rsidRPr="00550F79">
        <w:t xml:space="preserve">, extemporaneously-prepared dispensing fee </w:t>
      </w:r>
      <w:r w:rsidR="00B93E0B">
        <w:t xml:space="preserve">from $10.41 to </w:t>
      </w:r>
      <w:r w:rsidR="00B93E0B" w:rsidRPr="005C4BA1">
        <w:rPr>
          <w:b/>
          <w:bCs/>
        </w:rPr>
        <w:t>$10.71</w:t>
      </w:r>
      <w:r w:rsidR="00B93E0B">
        <w:t xml:space="preserve"> </w:t>
      </w:r>
      <w:r w:rsidR="004B5A3F" w:rsidRPr="00550F79">
        <w:t xml:space="preserve">and ready-prepared dispensing fee </w:t>
      </w:r>
      <w:r w:rsidR="00B93E0B">
        <w:t xml:space="preserve">from $8.37 to </w:t>
      </w:r>
      <w:r w:rsidR="00B93E0B" w:rsidRPr="005C4BA1">
        <w:rPr>
          <w:b/>
          <w:bCs/>
        </w:rPr>
        <w:t>$8.67</w:t>
      </w:r>
      <w:r w:rsidR="00B93E0B">
        <w:t xml:space="preserve"> </w:t>
      </w:r>
      <w:r w:rsidR="004B5A3F" w:rsidRPr="00550F79">
        <w:t xml:space="preserve">in order to give effect to the </w:t>
      </w:r>
      <w:r w:rsidR="007D3B30">
        <w:t xml:space="preserve">initial </w:t>
      </w:r>
      <w:r w:rsidR="004C3904">
        <w:t>price stipulated</w:t>
      </w:r>
      <w:r w:rsidR="004B5A3F" w:rsidRPr="00550F79">
        <w:t xml:space="preserve"> in the </w:t>
      </w:r>
      <w:r w:rsidR="004C3904">
        <w:t>Eigh</w:t>
      </w:r>
      <w:r w:rsidR="004B5A3F" w:rsidRPr="00550F79">
        <w:t>th Agreement.</w:t>
      </w:r>
    </w:p>
    <w:p w14:paraId="4ACF262D" w14:textId="58182F45" w:rsidR="001F3542" w:rsidRPr="004E29CE" w:rsidRDefault="001F3542" w:rsidP="004B5A3F">
      <w:pPr>
        <w:shd w:val="clear" w:color="auto" w:fill="FFFFFF"/>
        <w:spacing w:before="100" w:beforeAutospacing="1" w:after="100" w:afterAutospacing="1"/>
        <w:rPr>
          <w:b/>
          <w:bCs/>
        </w:rPr>
      </w:pPr>
      <w:r w:rsidRPr="004E29CE">
        <w:rPr>
          <w:b/>
          <w:bCs/>
        </w:rPr>
        <w:t xml:space="preserve">Item </w:t>
      </w:r>
      <w:r w:rsidR="00B93E0B">
        <w:rPr>
          <w:b/>
          <w:bCs/>
        </w:rPr>
        <w:t>4</w:t>
      </w:r>
      <w:r w:rsidR="00992B9E">
        <w:rPr>
          <w:b/>
          <w:bCs/>
        </w:rPr>
        <w:t xml:space="preserve"> – Paragraph 12(1)(a) (table)</w:t>
      </w:r>
    </w:p>
    <w:p w14:paraId="401974CA" w14:textId="50AD2762" w:rsidR="004B5A3F" w:rsidRPr="00550F79" w:rsidRDefault="004B5A3F" w:rsidP="004B5A3F">
      <w:pPr>
        <w:shd w:val="clear" w:color="auto" w:fill="FFFFFF"/>
        <w:spacing w:before="100" w:beforeAutospacing="1" w:after="100" w:afterAutospacing="1"/>
        <w:rPr>
          <w:lang w:val="en-US"/>
        </w:rPr>
      </w:pPr>
      <w:r w:rsidRPr="00550F79">
        <w:t xml:space="preserve">This item replaces the table in </w:t>
      </w:r>
      <w:r w:rsidR="0079391A">
        <w:t>paragraph</w:t>
      </w:r>
      <w:r w:rsidR="0079391A" w:rsidRPr="00550F79">
        <w:t xml:space="preserve"> </w:t>
      </w:r>
      <w:r w:rsidRPr="00550F79">
        <w:t>12(1)(a) of the Principal Determination to increase the amount of the Tier 1 AHI fee for ready</w:t>
      </w:r>
      <w:r w:rsidR="008E1E0F">
        <w:t>-</w:t>
      </w:r>
      <w:r w:rsidRPr="00550F79">
        <w:t>prepared pharmaceutical benefits from</w:t>
      </w:r>
      <w:r w:rsidR="0062063D">
        <w:t xml:space="preserve"> </w:t>
      </w:r>
      <w:r w:rsidR="00B93E0B">
        <w:t xml:space="preserve">$4.62 to </w:t>
      </w:r>
      <w:r w:rsidR="00B93E0B" w:rsidRPr="005C4BA1">
        <w:rPr>
          <w:b/>
          <w:bCs/>
        </w:rPr>
        <w:t>$4.79</w:t>
      </w:r>
      <w:r w:rsidRPr="00550F79">
        <w:t>.</w:t>
      </w:r>
    </w:p>
    <w:p w14:paraId="2BA22D45" w14:textId="102C6555" w:rsidR="004B5A3F" w:rsidRPr="00550F79" w:rsidRDefault="004B5A3F" w:rsidP="00D11BB4">
      <w:pPr>
        <w:keepNext/>
        <w:shd w:val="clear" w:color="auto" w:fill="FFFFFF"/>
        <w:spacing w:before="100" w:beforeAutospacing="1" w:after="100" w:afterAutospacing="1"/>
        <w:rPr>
          <w:lang w:val="en-US"/>
        </w:rPr>
      </w:pPr>
      <w:r w:rsidRPr="00550F79">
        <w:rPr>
          <w:b/>
          <w:bCs/>
        </w:rPr>
        <w:lastRenderedPageBreak/>
        <w:t>Item</w:t>
      </w:r>
      <w:r w:rsidR="00B7226C">
        <w:rPr>
          <w:b/>
          <w:bCs/>
        </w:rPr>
        <w:t xml:space="preserve"> 5</w:t>
      </w:r>
      <w:r w:rsidR="00992B9E">
        <w:rPr>
          <w:b/>
          <w:bCs/>
        </w:rPr>
        <w:t xml:space="preserve"> – Section 20 (table)</w:t>
      </w:r>
    </w:p>
    <w:p w14:paraId="07AF7946" w14:textId="0D55E5A4" w:rsidR="004B5A3F" w:rsidRPr="00550F79" w:rsidRDefault="004B5A3F" w:rsidP="004B5A3F">
      <w:pPr>
        <w:shd w:val="clear" w:color="auto" w:fill="FFFFFF"/>
        <w:spacing w:before="100" w:beforeAutospacing="1" w:after="100" w:afterAutospacing="1"/>
      </w:pPr>
      <w:r w:rsidRPr="00550F79">
        <w:t xml:space="preserve">This item replaces the table in </w:t>
      </w:r>
      <w:r w:rsidR="0079391A">
        <w:t>s</w:t>
      </w:r>
      <w:r w:rsidRPr="00550F79">
        <w:t xml:space="preserve">ection 20 of the Principal Determination to increase the amount of the Tier 1 AHI fee for </w:t>
      </w:r>
      <w:proofErr w:type="gramStart"/>
      <w:r w:rsidRPr="00550F79">
        <w:t>extemporaneously</w:t>
      </w:r>
      <w:r w:rsidR="008E1E0F">
        <w:t>-</w:t>
      </w:r>
      <w:r w:rsidRPr="00550F79">
        <w:t>prepared</w:t>
      </w:r>
      <w:proofErr w:type="gramEnd"/>
      <w:r w:rsidRPr="00550F79">
        <w:t xml:space="preserve"> pharmaceutical benefits from</w:t>
      </w:r>
      <w:r w:rsidR="00C00A7E">
        <w:t xml:space="preserve"> </w:t>
      </w:r>
      <w:r w:rsidR="00B93E0B">
        <w:t xml:space="preserve">$4.62 to </w:t>
      </w:r>
      <w:r w:rsidR="00B93E0B" w:rsidRPr="005C4BA1">
        <w:rPr>
          <w:b/>
          <w:bCs/>
        </w:rPr>
        <w:t>$4.79</w:t>
      </w:r>
      <w:r w:rsidRPr="00550F79">
        <w:t>.</w:t>
      </w:r>
    </w:p>
    <w:p w14:paraId="6B06BB96" w14:textId="60B8A3F4" w:rsidR="00F111F0" w:rsidRPr="00550F79" w:rsidRDefault="00C73B6F" w:rsidP="00B132D0">
      <w:pPr>
        <w:spacing w:after="120"/>
      </w:pPr>
      <w:r w:rsidRPr="00550F79">
        <w:rPr>
          <w:bCs/>
        </w:rPr>
        <w:br w:type="page"/>
      </w:r>
    </w:p>
    <w:p w14:paraId="2C6D9B9B" w14:textId="0A4E36F6" w:rsidR="00B93E0B" w:rsidRDefault="00B93E0B" w:rsidP="005C4BA1">
      <w:pPr>
        <w:spacing w:after="120"/>
        <w:jc w:val="right"/>
        <w:rPr>
          <w:b/>
          <w:bCs/>
          <w:iCs/>
          <w:sz w:val="28"/>
          <w:szCs w:val="28"/>
        </w:rPr>
      </w:pPr>
      <w:r>
        <w:rPr>
          <w:b/>
          <w:bCs/>
          <w:iCs/>
          <w:sz w:val="28"/>
          <w:szCs w:val="28"/>
        </w:rPr>
        <w:lastRenderedPageBreak/>
        <w:t>ATTACHMENT B</w:t>
      </w:r>
    </w:p>
    <w:p w14:paraId="7C575E9A" w14:textId="6E6ED1A5" w:rsidR="00F111F0" w:rsidRPr="00550F79" w:rsidRDefault="00F111F0" w:rsidP="00601F2D">
      <w:pPr>
        <w:spacing w:after="120"/>
        <w:jc w:val="center"/>
        <w:rPr>
          <w:b/>
          <w:bCs/>
          <w:iCs/>
          <w:sz w:val="28"/>
          <w:szCs w:val="28"/>
        </w:rPr>
      </w:pPr>
      <w:r w:rsidRPr="00550F79">
        <w:rPr>
          <w:b/>
          <w:bCs/>
          <w:iCs/>
          <w:sz w:val="28"/>
          <w:szCs w:val="28"/>
        </w:rPr>
        <w:t>Statement of Compatibility with Human Rights</w:t>
      </w:r>
    </w:p>
    <w:p w14:paraId="3ED5368D" w14:textId="77777777" w:rsidR="00F111F0" w:rsidRPr="00550F79" w:rsidRDefault="00F111F0" w:rsidP="00F111F0">
      <w:pPr>
        <w:spacing w:before="120" w:after="120"/>
        <w:jc w:val="center"/>
        <w:rPr>
          <w:sz w:val="22"/>
          <w:szCs w:val="22"/>
        </w:rPr>
      </w:pPr>
      <w:r w:rsidRPr="00550F79">
        <w:rPr>
          <w:i/>
          <w:sz w:val="22"/>
          <w:szCs w:val="22"/>
        </w:rPr>
        <w:t>Prepared in accordance with Part 3 of the Human Rights (Parliamentary Scrutiny) Act 2011</w:t>
      </w:r>
    </w:p>
    <w:p w14:paraId="0E3F0057" w14:textId="7E7947BB" w:rsidR="00B132D0" w:rsidRPr="00550F79" w:rsidRDefault="00B132D0" w:rsidP="00B132D0">
      <w:pPr>
        <w:spacing w:after="120"/>
        <w:jc w:val="center"/>
        <w:rPr>
          <w:b/>
          <w:bCs/>
          <w:caps/>
          <w:sz w:val="22"/>
          <w:szCs w:val="22"/>
        </w:rPr>
      </w:pPr>
      <w:r w:rsidRPr="00550F79">
        <w:rPr>
          <w:b/>
          <w:bCs/>
          <w:iCs/>
          <w:sz w:val="22"/>
          <w:szCs w:val="22"/>
        </w:rPr>
        <w:t>Commonwealth price (Pharmaceutical benefits supplied by approved pharmacists) Amendment Determination 202</w:t>
      </w:r>
      <w:r w:rsidR="006B6C20">
        <w:rPr>
          <w:b/>
          <w:bCs/>
          <w:iCs/>
          <w:sz w:val="22"/>
          <w:szCs w:val="22"/>
        </w:rPr>
        <w:t>4</w:t>
      </w:r>
    </w:p>
    <w:p w14:paraId="239305AB" w14:textId="07336C4A" w:rsidR="00707022" w:rsidRDefault="00B132D0" w:rsidP="00707022">
      <w:pPr>
        <w:spacing w:after="120"/>
        <w:jc w:val="center"/>
        <w:rPr>
          <w:b/>
          <w:bCs/>
          <w:sz w:val="22"/>
          <w:szCs w:val="22"/>
        </w:rPr>
      </w:pPr>
      <w:r w:rsidRPr="00550F79">
        <w:rPr>
          <w:b/>
          <w:bCs/>
          <w:sz w:val="22"/>
          <w:szCs w:val="22"/>
        </w:rPr>
        <w:t xml:space="preserve">PB </w:t>
      </w:r>
      <w:r w:rsidR="004D041F">
        <w:rPr>
          <w:b/>
          <w:bCs/>
          <w:sz w:val="22"/>
          <w:szCs w:val="22"/>
        </w:rPr>
        <w:t>62</w:t>
      </w:r>
      <w:r w:rsidRPr="00550F79">
        <w:rPr>
          <w:b/>
          <w:bCs/>
          <w:sz w:val="22"/>
          <w:szCs w:val="22"/>
        </w:rPr>
        <w:t xml:space="preserve"> of 202</w:t>
      </w:r>
      <w:r w:rsidR="006B6C20">
        <w:rPr>
          <w:b/>
          <w:bCs/>
          <w:sz w:val="22"/>
          <w:szCs w:val="22"/>
        </w:rPr>
        <w:t>4</w:t>
      </w:r>
    </w:p>
    <w:p w14:paraId="7A448566" w14:textId="02D0E94E" w:rsidR="00B132D0" w:rsidRPr="00550F79" w:rsidRDefault="00B132D0" w:rsidP="004D041F">
      <w:pPr>
        <w:spacing w:after="10"/>
        <w:rPr>
          <w:sz w:val="22"/>
          <w:szCs w:val="22"/>
        </w:rPr>
      </w:pPr>
      <w:r w:rsidRPr="00550F79">
        <w:rPr>
          <w:sz w:val="22"/>
          <w:szCs w:val="22"/>
        </w:rPr>
        <w:t xml:space="preserve">This Disallowable Legislative Instrument is compatible with the human rights and freedoms recognised or declared in the international instruments listed in section 3 of the </w:t>
      </w:r>
      <w:r w:rsidRPr="00550F79">
        <w:rPr>
          <w:i/>
          <w:sz w:val="22"/>
          <w:szCs w:val="22"/>
        </w:rPr>
        <w:t>Human Rights (Parliamentary Scrutiny) Act 2011</w:t>
      </w:r>
      <w:r w:rsidRPr="00550F79">
        <w:rPr>
          <w:sz w:val="22"/>
          <w:szCs w:val="22"/>
        </w:rPr>
        <w:t>.</w:t>
      </w:r>
    </w:p>
    <w:p w14:paraId="31BE8C9F" w14:textId="77777777" w:rsidR="00B132D0" w:rsidRPr="00550F79" w:rsidRDefault="00B132D0" w:rsidP="004D041F">
      <w:pPr>
        <w:spacing w:after="10"/>
        <w:jc w:val="both"/>
        <w:rPr>
          <w:b/>
          <w:sz w:val="22"/>
          <w:szCs w:val="22"/>
        </w:rPr>
      </w:pPr>
      <w:r w:rsidRPr="00550F79">
        <w:rPr>
          <w:b/>
          <w:sz w:val="22"/>
          <w:szCs w:val="22"/>
        </w:rPr>
        <w:t>Overview of the legislative instrument</w:t>
      </w:r>
    </w:p>
    <w:p w14:paraId="76257F42" w14:textId="778650DB" w:rsidR="00B132D0" w:rsidRPr="00550F79" w:rsidRDefault="00B132D0" w:rsidP="004D041F">
      <w:pPr>
        <w:spacing w:before="120" w:after="10"/>
        <w:rPr>
          <w:sz w:val="22"/>
          <w:szCs w:val="22"/>
        </w:rPr>
      </w:pPr>
      <w:r w:rsidRPr="00550F79">
        <w:rPr>
          <w:sz w:val="22"/>
          <w:szCs w:val="22"/>
        </w:rPr>
        <w:t xml:space="preserve">The purpose of this Disallowable Legislative Instrument, made under paragraph 98B(1)(a) of the </w:t>
      </w:r>
      <w:r w:rsidRPr="00550F79">
        <w:rPr>
          <w:i/>
          <w:sz w:val="22"/>
          <w:szCs w:val="22"/>
        </w:rPr>
        <w:t>National Health Act 1953</w:t>
      </w:r>
      <w:r w:rsidRPr="00550F79">
        <w:rPr>
          <w:sz w:val="22"/>
          <w:szCs w:val="22"/>
        </w:rPr>
        <w:t xml:space="preserve"> (the Act), is to amend the</w:t>
      </w:r>
      <w:r w:rsidRPr="00550F79">
        <w:rPr>
          <w:i/>
          <w:sz w:val="22"/>
          <w:szCs w:val="22"/>
        </w:rPr>
        <w:t xml:space="preserve"> </w:t>
      </w:r>
      <w:r w:rsidRPr="00550F79">
        <w:rPr>
          <w:bCs/>
          <w:i/>
          <w:iCs/>
          <w:sz w:val="22"/>
          <w:szCs w:val="22"/>
        </w:rPr>
        <w:t>Commonwealth price (Pharmaceutical benefits supplied by approved pharmacists) Determination 2020</w:t>
      </w:r>
      <w:r w:rsidRPr="00550F79">
        <w:rPr>
          <w:sz w:val="22"/>
          <w:szCs w:val="22"/>
        </w:rPr>
        <w:t xml:space="preserve">. This </w:t>
      </w:r>
      <w:r w:rsidR="00B93E0B">
        <w:rPr>
          <w:sz w:val="22"/>
          <w:szCs w:val="22"/>
        </w:rPr>
        <w:t>Disallowable L</w:t>
      </w:r>
      <w:r w:rsidRPr="00550F79">
        <w:rPr>
          <w:sz w:val="22"/>
          <w:szCs w:val="22"/>
        </w:rPr>
        <w:t xml:space="preserve">egislative instrument gives effect to increases </w:t>
      </w:r>
      <w:r w:rsidR="00CF5A75" w:rsidRPr="00550F79">
        <w:rPr>
          <w:sz w:val="22"/>
          <w:szCs w:val="22"/>
        </w:rPr>
        <w:t xml:space="preserve">on </w:t>
      </w:r>
      <w:r w:rsidRPr="00550F79">
        <w:rPr>
          <w:sz w:val="22"/>
          <w:szCs w:val="22"/>
        </w:rPr>
        <w:t>1 July 202</w:t>
      </w:r>
      <w:r w:rsidR="00FC7AE2">
        <w:rPr>
          <w:sz w:val="22"/>
          <w:szCs w:val="22"/>
        </w:rPr>
        <w:t>4</w:t>
      </w:r>
      <w:r w:rsidRPr="00550F79">
        <w:rPr>
          <w:sz w:val="22"/>
          <w:szCs w:val="22"/>
        </w:rPr>
        <w:t xml:space="preserve"> to the</w:t>
      </w:r>
      <w:r w:rsidR="00772AFA">
        <w:rPr>
          <w:sz w:val="22"/>
          <w:szCs w:val="22"/>
        </w:rPr>
        <w:t xml:space="preserve"> </w:t>
      </w:r>
      <w:r w:rsidRPr="00550F79">
        <w:rPr>
          <w:sz w:val="22"/>
          <w:szCs w:val="22"/>
        </w:rPr>
        <w:t xml:space="preserve">Tier 1 Administration, </w:t>
      </w:r>
      <w:proofErr w:type="gramStart"/>
      <w:r w:rsidRPr="00550F79">
        <w:rPr>
          <w:sz w:val="22"/>
          <w:szCs w:val="22"/>
        </w:rPr>
        <w:t>Handling</w:t>
      </w:r>
      <w:proofErr w:type="gramEnd"/>
      <w:r w:rsidRPr="00550F79">
        <w:rPr>
          <w:sz w:val="22"/>
          <w:szCs w:val="22"/>
        </w:rPr>
        <w:t xml:space="preserve"> and Infrastructure fee (Tier 1 AHI fee), the Dispensing fee for Ready Prepared Pharmaceutical Benefits, the Dispensing fee for Extemporaneously Prepared Pharmaceutical Benefits, and the Dangerous Drug fee as components of the Commonwealth price paid to approved pharmacists for the supply of pharmaceutical benefits.</w:t>
      </w:r>
    </w:p>
    <w:p w14:paraId="178FFC78" w14:textId="001590E3" w:rsidR="00B132D0" w:rsidRPr="00550F79" w:rsidRDefault="00B132D0" w:rsidP="004D041F">
      <w:pPr>
        <w:spacing w:before="120" w:after="10"/>
        <w:rPr>
          <w:sz w:val="22"/>
          <w:szCs w:val="22"/>
        </w:rPr>
      </w:pPr>
      <w:r w:rsidRPr="00550F79">
        <w:rPr>
          <w:sz w:val="22"/>
          <w:szCs w:val="22"/>
          <w:lang w:val="en-GB"/>
        </w:rPr>
        <w:t xml:space="preserve">The Pharmaceutical Benefits Remuneration Tribunal (the Tribunal) is an independent statutory body established under section 98A of the Act. The main functions of the Tribunal are to make a determination to give effect to the terms of an </w:t>
      </w:r>
      <w:r w:rsidRPr="00550F79">
        <w:rPr>
          <w:sz w:val="22"/>
          <w:szCs w:val="22"/>
        </w:rPr>
        <w:t>agreement between the Commonwealth and the Pharmacy Guild of Australia for the purposes of subsection 98</w:t>
      </w:r>
      <w:proofErr w:type="gramStart"/>
      <w:r w:rsidRPr="00550F79">
        <w:rPr>
          <w:sz w:val="22"/>
          <w:szCs w:val="22"/>
        </w:rPr>
        <w:t>BAA(</w:t>
      </w:r>
      <w:proofErr w:type="gramEnd"/>
      <w:r w:rsidRPr="00550F79">
        <w:rPr>
          <w:sz w:val="22"/>
          <w:szCs w:val="22"/>
        </w:rPr>
        <w:t xml:space="preserve">1) of the Act, as currently applies under the </w:t>
      </w:r>
      <w:r w:rsidR="00320897">
        <w:rPr>
          <w:sz w:val="22"/>
          <w:szCs w:val="22"/>
        </w:rPr>
        <w:t>Eigh</w:t>
      </w:r>
      <w:r w:rsidRPr="00550F79">
        <w:rPr>
          <w:sz w:val="22"/>
          <w:szCs w:val="22"/>
        </w:rPr>
        <w:t>th Community Pharmacy Agreement.</w:t>
      </w:r>
    </w:p>
    <w:p w14:paraId="09D533E1" w14:textId="5199BE5E" w:rsidR="00B132D0" w:rsidRPr="00550F79" w:rsidRDefault="00B132D0" w:rsidP="004D041F">
      <w:pPr>
        <w:shd w:val="clear" w:color="auto" w:fill="FFFFFF"/>
        <w:spacing w:before="120" w:after="10"/>
        <w:rPr>
          <w:sz w:val="22"/>
          <w:szCs w:val="22"/>
        </w:rPr>
      </w:pPr>
      <w:r w:rsidRPr="004D041F">
        <w:rPr>
          <w:sz w:val="22"/>
          <w:szCs w:val="22"/>
        </w:rPr>
        <w:t xml:space="preserve">This Disallowable Legislative Instrument amends, with effect </w:t>
      </w:r>
      <w:r w:rsidR="00CF5A75" w:rsidRPr="004D041F">
        <w:rPr>
          <w:sz w:val="22"/>
          <w:szCs w:val="22"/>
        </w:rPr>
        <w:t xml:space="preserve">on </w:t>
      </w:r>
      <w:r w:rsidRPr="004D041F">
        <w:rPr>
          <w:sz w:val="22"/>
          <w:szCs w:val="22"/>
        </w:rPr>
        <w:t xml:space="preserve">1 July </w:t>
      </w:r>
      <w:r w:rsidR="004D041F" w:rsidRPr="004D041F">
        <w:rPr>
          <w:sz w:val="22"/>
          <w:szCs w:val="22"/>
        </w:rPr>
        <w:t>2024,</w:t>
      </w:r>
      <w:r w:rsidR="00AD0141" w:rsidRPr="004D041F">
        <w:rPr>
          <w:sz w:val="22"/>
          <w:szCs w:val="22"/>
        </w:rPr>
        <w:t xml:space="preserve"> </w:t>
      </w:r>
      <w:r w:rsidRPr="004D041F">
        <w:rPr>
          <w:sz w:val="22"/>
          <w:szCs w:val="22"/>
        </w:rPr>
        <w:t>the Tier 1 AHI fee from $4.</w:t>
      </w:r>
      <w:r w:rsidR="00FD7D06" w:rsidRPr="004D041F">
        <w:rPr>
          <w:sz w:val="22"/>
          <w:szCs w:val="22"/>
        </w:rPr>
        <w:t>6</w:t>
      </w:r>
      <w:r w:rsidR="003F781E" w:rsidRPr="004D041F">
        <w:rPr>
          <w:sz w:val="22"/>
          <w:szCs w:val="22"/>
        </w:rPr>
        <w:t>2</w:t>
      </w:r>
      <w:r w:rsidRPr="004D041F">
        <w:rPr>
          <w:sz w:val="22"/>
          <w:szCs w:val="22"/>
        </w:rPr>
        <w:t xml:space="preserve"> to </w:t>
      </w:r>
      <w:r w:rsidRPr="004D041F">
        <w:rPr>
          <w:b/>
          <w:bCs/>
          <w:sz w:val="22"/>
          <w:szCs w:val="22"/>
        </w:rPr>
        <w:t>$</w:t>
      </w:r>
      <w:r w:rsidR="004D041F" w:rsidRPr="004D041F">
        <w:rPr>
          <w:b/>
          <w:bCs/>
          <w:sz w:val="22"/>
          <w:szCs w:val="22"/>
        </w:rPr>
        <w:t>4.79</w:t>
      </w:r>
      <w:r w:rsidRPr="004D041F">
        <w:rPr>
          <w:sz w:val="22"/>
          <w:szCs w:val="22"/>
        </w:rPr>
        <w:t>, the Dispensing fee for Ready Prepared Pharmaceutical Benefits</w:t>
      </w:r>
      <w:r w:rsidRPr="004D041F" w:rsidDel="007B6CE6">
        <w:rPr>
          <w:sz w:val="22"/>
          <w:szCs w:val="22"/>
        </w:rPr>
        <w:t xml:space="preserve"> </w:t>
      </w:r>
      <w:r w:rsidRPr="004D041F">
        <w:rPr>
          <w:sz w:val="22"/>
          <w:szCs w:val="22"/>
        </w:rPr>
        <w:t>from $</w:t>
      </w:r>
      <w:r w:rsidR="003F781E" w:rsidRPr="004D041F">
        <w:rPr>
          <w:sz w:val="22"/>
          <w:szCs w:val="22"/>
        </w:rPr>
        <w:t>8</w:t>
      </w:r>
      <w:r w:rsidR="004D041F" w:rsidRPr="004D041F">
        <w:rPr>
          <w:sz w:val="22"/>
          <w:szCs w:val="22"/>
        </w:rPr>
        <w:t>.</w:t>
      </w:r>
      <w:r w:rsidR="005B258A" w:rsidRPr="004D041F">
        <w:rPr>
          <w:sz w:val="22"/>
          <w:szCs w:val="22"/>
        </w:rPr>
        <w:t>37</w:t>
      </w:r>
      <w:r w:rsidRPr="004D041F">
        <w:rPr>
          <w:sz w:val="22"/>
          <w:szCs w:val="22"/>
        </w:rPr>
        <w:t xml:space="preserve"> to </w:t>
      </w:r>
      <w:r w:rsidRPr="004D041F">
        <w:rPr>
          <w:b/>
          <w:bCs/>
          <w:sz w:val="22"/>
          <w:szCs w:val="22"/>
        </w:rPr>
        <w:t>$</w:t>
      </w:r>
      <w:r w:rsidR="004D041F" w:rsidRPr="004D041F">
        <w:rPr>
          <w:b/>
          <w:bCs/>
          <w:sz w:val="22"/>
          <w:szCs w:val="22"/>
        </w:rPr>
        <w:t>8.67</w:t>
      </w:r>
      <w:r w:rsidRPr="004D041F">
        <w:rPr>
          <w:bCs/>
          <w:sz w:val="22"/>
          <w:szCs w:val="22"/>
        </w:rPr>
        <w:t xml:space="preserve">, </w:t>
      </w:r>
      <w:r w:rsidRPr="004D041F">
        <w:rPr>
          <w:sz w:val="22"/>
          <w:szCs w:val="22"/>
        </w:rPr>
        <w:t>the Dispensing fee for Extemporaneously Prepared Pharmaceutical Benefits from $</w:t>
      </w:r>
      <w:r w:rsidR="00630C6D" w:rsidRPr="004D041F">
        <w:rPr>
          <w:sz w:val="22"/>
          <w:szCs w:val="22"/>
        </w:rPr>
        <w:t>10</w:t>
      </w:r>
      <w:r w:rsidRPr="004D041F">
        <w:rPr>
          <w:sz w:val="22"/>
          <w:szCs w:val="22"/>
        </w:rPr>
        <w:t>.</w:t>
      </w:r>
      <w:r w:rsidR="00BC1869" w:rsidRPr="004D041F">
        <w:rPr>
          <w:sz w:val="22"/>
          <w:szCs w:val="22"/>
        </w:rPr>
        <w:t>41</w:t>
      </w:r>
      <w:r w:rsidRPr="004D041F">
        <w:rPr>
          <w:sz w:val="22"/>
          <w:szCs w:val="22"/>
        </w:rPr>
        <w:t xml:space="preserve"> to </w:t>
      </w:r>
      <w:r w:rsidRPr="004D041F">
        <w:rPr>
          <w:b/>
          <w:bCs/>
          <w:sz w:val="22"/>
          <w:szCs w:val="22"/>
        </w:rPr>
        <w:t>$</w:t>
      </w:r>
      <w:r w:rsidR="004D041F" w:rsidRPr="004D041F">
        <w:rPr>
          <w:b/>
          <w:bCs/>
          <w:sz w:val="22"/>
          <w:szCs w:val="22"/>
        </w:rPr>
        <w:t>10.71</w:t>
      </w:r>
      <w:r w:rsidRPr="004D041F">
        <w:rPr>
          <w:sz w:val="22"/>
          <w:szCs w:val="22"/>
        </w:rPr>
        <w:t xml:space="preserve"> and the Dangerous Drug fee from $</w:t>
      </w:r>
      <w:r w:rsidR="00BC1869" w:rsidRPr="004D041F">
        <w:rPr>
          <w:sz w:val="22"/>
          <w:szCs w:val="22"/>
        </w:rPr>
        <w:t>5</w:t>
      </w:r>
      <w:r w:rsidRPr="004D041F">
        <w:rPr>
          <w:sz w:val="22"/>
          <w:szCs w:val="22"/>
        </w:rPr>
        <w:t>.</w:t>
      </w:r>
      <w:r w:rsidR="00BC1869" w:rsidRPr="004D041F">
        <w:rPr>
          <w:sz w:val="22"/>
          <w:szCs w:val="22"/>
        </w:rPr>
        <w:t>1</w:t>
      </w:r>
      <w:r w:rsidRPr="004D041F">
        <w:rPr>
          <w:sz w:val="22"/>
          <w:szCs w:val="22"/>
        </w:rPr>
        <w:t xml:space="preserve">8 to </w:t>
      </w:r>
      <w:r w:rsidRPr="004D041F">
        <w:rPr>
          <w:b/>
          <w:bCs/>
          <w:sz w:val="22"/>
          <w:szCs w:val="22"/>
        </w:rPr>
        <w:t>$</w:t>
      </w:r>
      <w:r w:rsidR="004D041F" w:rsidRPr="004D041F">
        <w:rPr>
          <w:b/>
          <w:bCs/>
          <w:sz w:val="22"/>
          <w:szCs w:val="22"/>
        </w:rPr>
        <w:t>5.37</w:t>
      </w:r>
      <w:r w:rsidRPr="004D041F">
        <w:rPr>
          <w:sz w:val="22"/>
          <w:szCs w:val="22"/>
        </w:rPr>
        <w:t>.</w:t>
      </w:r>
    </w:p>
    <w:p w14:paraId="5333FFA0" w14:textId="77777777" w:rsidR="00B132D0" w:rsidRPr="00550F79" w:rsidRDefault="00B132D0" w:rsidP="005C4BA1">
      <w:pPr>
        <w:shd w:val="clear" w:color="auto" w:fill="FFFFFF"/>
        <w:spacing w:before="60"/>
        <w:rPr>
          <w:sz w:val="22"/>
          <w:szCs w:val="22"/>
          <w:lang w:val="en-US"/>
        </w:rPr>
      </w:pPr>
      <w:r w:rsidRPr="00550F79">
        <w:rPr>
          <w:b/>
          <w:bCs/>
          <w:sz w:val="22"/>
          <w:szCs w:val="22"/>
        </w:rPr>
        <w:t>Human rights implications</w:t>
      </w:r>
    </w:p>
    <w:p w14:paraId="0CE28282" w14:textId="6783C9BB" w:rsidR="00B132D0" w:rsidRPr="00550F79" w:rsidRDefault="00B132D0" w:rsidP="004D041F">
      <w:pPr>
        <w:spacing w:before="180" w:after="10"/>
        <w:rPr>
          <w:sz w:val="22"/>
          <w:szCs w:val="22"/>
        </w:rPr>
      </w:pPr>
      <w:r w:rsidRPr="00550F79">
        <w:rPr>
          <w:sz w:val="22"/>
          <w:szCs w:val="22"/>
        </w:rPr>
        <w:t>This Disallowable Legislative Instrument engages Articles 2, 7</w:t>
      </w:r>
      <w:r w:rsidR="002C13D4">
        <w:rPr>
          <w:sz w:val="22"/>
          <w:szCs w:val="22"/>
        </w:rPr>
        <w:t>, 9</w:t>
      </w:r>
      <w:r w:rsidRPr="00550F79">
        <w:rPr>
          <w:sz w:val="22"/>
          <w:szCs w:val="22"/>
        </w:rPr>
        <w:t xml:space="preserve"> and 12 of the International Covenant on Economic, Social and Cultural Rights (ICESCR). The legislative instrument assists with the provision </w:t>
      </w:r>
      <w:r w:rsidR="00DC0A3E">
        <w:rPr>
          <w:sz w:val="22"/>
          <w:szCs w:val="22"/>
        </w:rPr>
        <w:t xml:space="preserve">of </w:t>
      </w:r>
      <w:r w:rsidRPr="00550F79">
        <w:rPr>
          <w:sz w:val="22"/>
          <w:szCs w:val="22"/>
        </w:rPr>
        <w:t xml:space="preserve">favourable conditions of work to ensure remuneration for workers with fair wages. In </w:t>
      </w:r>
      <w:proofErr w:type="gramStart"/>
      <w:r w:rsidRPr="00550F79">
        <w:rPr>
          <w:sz w:val="22"/>
          <w:szCs w:val="22"/>
        </w:rPr>
        <w:t>addition</w:t>
      </w:r>
      <w:proofErr w:type="gramEnd"/>
      <w:r w:rsidRPr="00550F79">
        <w:rPr>
          <w:sz w:val="22"/>
          <w:szCs w:val="22"/>
        </w:rPr>
        <w:t xml:space="preserve"> it also assists in the progressive realisation by all appropriate means of the right of everyone to </w:t>
      </w:r>
      <w:r w:rsidR="0079391A">
        <w:rPr>
          <w:sz w:val="22"/>
          <w:szCs w:val="22"/>
        </w:rPr>
        <w:t xml:space="preserve">social security, and </w:t>
      </w:r>
      <w:r w:rsidRPr="00550F79">
        <w:rPr>
          <w:sz w:val="22"/>
          <w:szCs w:val="22"/>
        </w:rPr>
        <w:t>the enjoyment of the highest attainable standard of physical and mental health.</w:t>
      </w:r>
    </w:p>
    <w:p w14:paraId="68B55F7C" w14:textId="71C04E7D" w:rsidR="00B132D0" w:rsidRDefault="00B132D0" w:rsidP="004D041F">
      <w:pPr>
        <w:spacing w:before="180" w:after="10"/>
        <w:rPr>
          <w:sz w:val="22"/>
          <w:szCs w:val="22"/>
        </w:rPr>
      </w:pPr>
      <w:r w:rsidRPr="00550F79">
        <w:rPr>
          <w:sz w:val="22"/>
          <w:szCs w:val="22"/>
        </w:rPr>
        <w:t>The Pharmaceutical Benefits Scheme (PBS) is a benefit scheme which assists with providing subsidised access for people to medicines. This is a positive step towards attaining the highest standard of health for all Australians. Efficient operational arrangements for the PBS support effective administration of the scheme.</w:t>
      </w:r>
    </w:p>
    <w:p w14:paraId="7706BE39" w14:textId="777DD199" w:rsidR="00B66440" w:rsidRPr="00E417D0" w:rsidRDefault="0079391A" w:rsidP="004D041F">
      <w:pPr>
        <w:spacing w:before="180" w:after="10"/>
        <w:rPr>
          <w:sz w:val="22"/>
          <w:szCs w:val="22"/>
          <w:lang w:val="en-GB"/>
        </w:rPr>
      </w:pPr>
      <w:r w:rsidRPr="00BC519A">
        <w:rPr>
          <w:sz w:val="22"/>
          <w:szCs w:val="22"/>
          <w:lang w:val="en-GB"/>
        </w:rPr>
        <w:t>The amendment</w:t>
      </w:r>
      <w:r w:rsidR="00B93E0B">
        <w:rPr>
          <w:sz w:val="22"/>
          <w:szCs w:val="22"/>
          <w:lang w:val="en-GB"/>
        </w:rPr>
        <w:t>s are</w:t>
      </w:r>
      <w:r w:rsidRPr="00BC519A">
        <w:rPr>
          <w:sz w:val="22"/>
          <w:szCs w:val="22"/>
          <w:lang w:val="en-GB"/>
        </w:rPr>
        <w:t xml:space="preserve"> only in relation to the additional amounts described above. It does not change the protection of human rights to health</w:t>
      </w:r>
      <w:r>
        <w:rPr>
          <w:sz w:val="22"/>
          <w:szCs w:val="22"/>
          <w:lang w:val="en-GB"/>
        </w:rPr>
        <w:t xml:space="preserve"> and social security</w:t>
      </w:r>
      <w:r w:rsidRPr="00BC519A">
        <w:rPr>
          <w:sz w:val="22"/>
          <w:szCs w:val="22"/>
          <w:lang w:val="en-GB"/>
        </w:rPr>
        <w:t xml:space="preserve"> by all Australians under the PBS implemented under the </w:t>
      </w:r>
      <w:r>
        <w:rPr>
          <w:sz w:val="22"/>
          <w:szCs w:val="22"/>
          <w:lang w:val="en-GB"/>
        </w:rPr>
        <w:t>Principal</w:t>
      </w:r>
      <w:r w:rsidRPr="00BC519A">
        <w:rPr>
          <w:sz w:val="22"/>
          <w:szCs w:val="22"/>
          <w:lang w:val="en-GB"/>
        </w:rPr>
        <w:t xml:space="preserve"> Determination.</w:t>
      </w:r>
    </w:p>
    <w:p w14:paraId="111D02F9" w14:textId="77777777" w:rsidR="00B132D0" w:rsidRPr="00550F79" w:rsidRDefault="00B132D0" w:rsidP="004D041F">
      <w:pPr>
        <w:keepNext/>
        <w:spacing w:before="120" w:after="10"/>
        <w:rPr>
          <w:b/>
          <w:sz w:val="22"/>
          <w:szCs w:val="22"/>
        </w:rPr>
      </w:pPr>
      <w:r w:rsidRPr="00550F79">
        <w:rPr>
          <w:b/>
          <w:sz w:val="22"/>
          <w:szCs w:val="22"/>
        </w:rPr>
        <w:t xml:space="preserve">Conclusion </w:t>
      </w:r>
    </w:p>
    <w:p w14:paraId="6A249C9B" w14:textId="5D252DF9" w:rsidR="00350B71" w:rsidRPr="00550F79" w:rsidRDefault="00350B71" w:rsidP="004D041F">
      <w:pPr>
        <w:keepNext/>
        <w:spacing w:before="120" w:after="10"/>
        <w:rPr>
          <w:sz w:val="22"/>
          <w:szCs w:val="22"/>
        </w:rPr>
      </w:pPr>
      <w:r w:rsidRPr="00550F79">
        <w:rPr>
          <w:sz w:val="22"/>
          <w:szCs w:val="22"/>
        </w:rPr>
        <w:t>This Disallowable Legislative Instrument is compatible with human rights because it promotes the protection of human rights to health</w:t>
      </w:r>
      <w:r w:rsidR="00B93E0B">
        <w:rPr>
          <w:sz w:val="22"/>
          <w:szCs w:val="22"/>
        </w:rPr>
        <w:t xml:space="preserve"> and social security</w:t>
      </w:r>
      <w:r w:rsidRPr="00550F79">
        <w:rPr>
          <w:sz w:val="22"/>
          <w:szCs w:val="22"/>
        </w:rPr>
        <w:t>.</w:t>
      </w:r>
    </w:p>
    <w:p w14:paraId="3AC7BB44" w14:textId="0EB895E5" w:rsidR="00B132D0" w:rsidRPr="00550F79" w:rsidRDefault="00141454" w:rsidP="004D041F">
      <w:pPr>
        <w:spacing w:before="120" w:after="10"/>
        <w:jc w:val="center"/>
      </w:pPr>
      <w:r>
        <w:rPr>
          <w:b/>
          <w:bCs/>
        </w:rPr>
        <w:t>Judith Wright</w:t>
      </w:r>
    </w:p>
    <w:p w14:paraId="1B67EE28" w14:textId="77777777" w:rsidR="00B132D0" w:rsidRPr="00550F79" w:rsidRDefault="00B132D0" w:rsidP="004D041F">
      <w:pPr>
        <w:shd w:val="clear" w:color="auto" w:fill="FFFFFF"/>
        <w:jc w:val="center"/>
        <w:rPr>
          <w:b/>
          <w:bCs/>
        </w:rPr>
      </w:pPr>
      <w:r w:rsidRPr="00550F79">
        <w:rPr>
          <w:b/>
          <w:bCs/>
        </w:rPr>
        <w:t>Chairperson</w:t>
      </w:r>
    </w:p>
    <w:p w14:paraId="171EAAFF" w14:textId="43F9D407" w:rsidR="00350B71" w:rsidRPr="00C50FAC" w:rsidRDefault="00B132D0" w:rsidP="004D041F">
      <w:pPr>
        <w:jc w:val="center"/>
        <w:rPr>
          <w:b/>
        </w:rPr>
      </w:pPr>
      <w:r w:rsidRPr="00550F79">
        <w:rPr>
          <w:b/>
          <w:bCs/>
        </w:rPr>
        <w:t>Pharmaceutical Benefits Remuneration Tribunal</w:t>
      </w:r>
    </w:p>
    <w:sectPr w:rsidR="00350B71" w:rsidRPr="00C50FAC" w:rsidSect="002269A6">
      <w:headerReference w:type="default" r:id="rId8"/>
      <w:pgSz w:w="12240" w:h="15840"/>
      <w:pgMar w:top="993" w:right="1467"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BF55" w14:textId="77777777" w:rsidR="003354E6" w:rsidRDefault="003354E6" w:rsidP="00437BC0">
      <w:r>
        <w:separator/>
      </w:r>
    </w:p>
  </w:endnote>
  <w:endnote w:type="continuationSeparator" w:id="0">
    <w:p w14:paraId="64EF4F84" w14:textId="77777777" w:rsidR="003354E6" w:rsidRDefault="003354E6" w:rsidP="0043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B4E4" w14:textId="77777777" w:rsidR="003354E6" w:rsidRDefault="003354E6" w:rsidP="00437BC0">
      <w:r>
        <w:separator/>
      </w:r>
    </w:p>
  </w:footnote>
  <w:footnote w:type="continuationSeparator" w:id="0">
    <w:p w14:paraId="622BE3C0" w14:textId="77777777" w:rsidR="003354E6" w:rsidRDefault="003354E6" w:rsidP="0043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60E4" w14:textId="77777777" w:rsidR="009831B1" w:rsidRDefault="00983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9A2790"/>
    <w:lvl w:ilvl="0">
      <w:numFmt w:val="bullet"/>
      <w:lvlText w:val="*"/>
      <w:lvlJc w:val="left"/>
    </w:lvl>
  </w:abstractNum>
  <w:abstractNum w:abstractNumId="1" w15:restartNumberingAfterBreak="0">
    <w:nsid w:val="10BB0C5E"/>
    <w:multiLevelType w:val="hybridMultilevel"/>
    <w:tmpl w:val="8E805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start w:val="1"/>
      <w:numFmt w:val="bullet"/>
      <w:lvlText w:val=""/>
      <w:lvlJc w:val="left"/>
      <w:pPr>
        <w:ind w:left="1446" w:hanging="360"/>
      </w:pPr>
      <w:rPr>
        <w:rFonts w:ascii="Wingdings" w:hAnsi="Wingdings" w:hint="default"/>
      </w:rPr>
    </w:lvl>
    <w:lvl w:ilvl="3" w:tplc="0C090001">
      <w:start w:val="1"/>
      <w:numFmt w:val="bullet"/>
      <w:lvlText w:val=""/>
      <w:lvlJc w:val="left"/>
      <w:pPr>
        <w:ind w:left="2166" w:hanging="360"/>
      </w:pPr>
      <w:rPr>
        <w:rFonts w:ascii="Symbol" w:hAnsi="Symbol" w:hint="default"/>
      </w:rPr>
    </w:lvl>
    <w:lvl w:ilvl="4" w:tplc="0C090003">
      <w:start w:val="1"/>
      <w:numFmt w:val="bullet"/>
      <w:lvlText w:val="o"/>
      <w:lvlJc w:val="left"/>
      <w:pPr>
        <w:ind w:left="2886" w:hanging="360"/>
      </w:pPr>
      <w:rPr>
        <w:rFonts w:ascii="Courier New" w:hAnsi="Courier New" w:cs="Courier New" w:hint="default"/>
      </w:rPr>
    </w:lvl>
    <w:lvl w:ilvl="5" w:tplc="0C090005">
      <w:start w:val="1"/>
      <w:numFmt w:val="bullet"/>
      <w:lvlText w:val=""/>
      <w:lvlJc w:val="left"/>
      <w:pPr>
        <w:ind w:left="3606" w:hanging="360"/>
      </w:pPr>
      <w:rPr>
        <w:rFonts w:ascii="Wingdings" w:hAnsi="Wingdings" w:hint="default"/>
      </w:rPr>
    </w:lvl>
    <w:lvl w:ilvl="6" w:tplc="0C090001">
      <w:start w:val="1"/>
      <w:numFmt w:val="bullet"/>
      <w:lvlText w:val=""/>
      <w:lvlJc w:val="left"/>
      <w:pPr>
        <w:ind w:left="4326" w:hanging="360"/>
      </w:pPr>
      <w:rPr>
        <w:rFonts w:ascii="Symbol" w:hAnsi="Symbol" w:hint="default"/>
      </w:rPr>
    </w:lvl>
    <w:lvl w:ilvl="7" w:tplc="0C090003">
      <w:start w:val="1"/>
      <w:numFmt w:val="bullet"/>
      <w:lvlText w:val="o"/>
      <w:lvlJc w:val="left"/>
      <w:pPr>
        <w:ind w:left="5046" w:hanging="360"/>
      </w:pPr>
      <w:rPr>
        <w:rFonts w:ascii="Courier New" w:hAnsi="Courier New" w:cs="Courier New" w:hint="default"/>
      </w:rPr>
    </w:lvl>
    <w:lvl w:ilvl="8" w:tplc="0C090005">
      <w:start w:val="1"/>
      <w:numFmt w:val="bullet"/>
      <w:lvlText w:val=""/>
      <w:lvlJc w:val="left"/>
      <w:pPr>
        <w:ind w:left="5766" w:hanging="360"/>
      </w:pPr>
      <w:rPr>
        <w:rFonts w:ascii="Wingdings" w:hAnsi="Wingdings" w:hint="default"/>
      </w:rPr>
    </w:lvl>
  </w:abstractNum>
  <w:abstractNum w:abstractNumId="3" w15:restartNumberingAfterBreak="0">
    <w:nsid w:val="19BC012B"/>
    <w:multiLevelType w:val="hybridMultilevel"/>
    <w:tmpl w:val="DB085E4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B61965"/>
    <w:multiLevelType w:val="hybridMultilevel"/>
    <w:tmpl w:val="BA5A7D2E"/>
    <w:lvl w:ilvl="0" w:tplc="C7EAD166">
      <w:start w:val="1"/>
      <w:numFmt w:val="bullet"/>
      <w:lvlText w:val=""/>
      <w:lvlJc w:val="left"/>
      <w:pPr>
        <w:tabs>
          <w:tab w:val="num" w:pos="360"/>
        </w:tabs>
        <w:ind w:left="360" w:hanging="360"/>
      </w:pPr>
      <w:rPr>
        <w:rFonts w:ascii="Symbol" w:hAnsi="Symbol" w:cs="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C71D24"/>
    <w:multiLevelType w:val="hybridMultilevel"/>
    <w:tmpl w:val="5AE6AD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DD6B44"/>
    <w:multiLevelType w:val="hybridMultilevel"/>
    <w:tmpl w:val="97481122"/>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2C0FC9"/>
    <w:multiLevelType w:val="hybridMultilevel"/>
    <w:tmpl w:val="96DCE8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3121B"/>
    <w:multiLevelType w:val="hybridMultilevel"/>
    <w:tmpl w:val="B2864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91437A"/>
    <w:multiLevelType w:val="hybridMultilevel"/>
    <w:tmpl w:val="B31835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79017DB"/>
    <w:multiLevelType w:val="multilevel"/>
    <w:tmpl w:val="D12AE0A2"/>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C65A7D"/>
    <w:multiLevelType w:val="hybridMultilevel"/>
    <w:tmpl w:val="866C7C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05EBA"/>
    <w:multiLevelType w:val="multilevel"/>
    <w:tmpl w:val="9B10403C"/>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60658"/>
    <w:multiLevelType w:val="hybridMultilevel"/>
    <w:tmpl w:val="E4AC2D4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57C743AE"/>
    <w:multiLevelType w:val="hybridMultilevel"/>
    <w:tmpl w:val="4EAA68A4"/>
    <w:lvl w:ilvl="0" w:tplc="0C090001">
      <w:start w:val="1"/>
      <w:numFmt w:val="bullet"/>
      <w:lvlText w:val=""/>
      <w:lvlJc w:val="left"/>
      <w:pPr>
        <w:tabs>
          <w:tab w:val="num" w:pos="360"/>
        </w:tabs>
        <w:ind w:left="360" w:hanging="360"/>
      </w:pPr>
      <w:rPr>
        <w:rFonts w:ascii="Symbol" w:hAnsi="Symbol" w:cs="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cs="Wingdings" w:hint="default"/>
      </w:rPr>
    </w:lvl>
    <w:lvl w:ilvl="3" w:tplc="0C090001">
      <w:start w:val="1"/>
      <w:numFmt w:val="bullet"/>
      <w:lvlText w:val=""/>
      <w:lvlJc w:val="left"/>
      <w:pPr>
        <w:tabs>
          <w:tab w:val="num" w:pos="2520"/>
        </w:tabs>
        <w:ind w:left="2520" w:hanging="360"/>
      </w:pPr>
      <w:rPr>
        <w:rFonts w:ascii="Symbol" w:hAnsi="Symbol" w:cs="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cs="Wingdings" w:hint="default"/>
      </w:rPr>
    </w:lvl>
    <w:lvl w:ilvl="6" w:tplc="0C090001">
      <w:start w:val="1"/>
      <w:numFmt w:val="bullet"/>
      <w:lvlText w:val=""/>
      <w:lvlJc w:val="left"/>
      <w:pPr>
        <w:tabs>
          <w:tab w:val="num" w:pos="4680"/>
        </w:tabs>
        <w:ind w:left="4680" w:hanging="360"/>
      </w:pPr>
      <w:rPr>
        <w:rFonts w:ascii="Symbol" w:hAnsi="Symbol" w:cs="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BD96363"/>
    <w:multiLevelType w:val="hybridMultilevel"/>
    <w:tmpl w:val="784C65A4"/>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F47F79"/>
    <w:multiLevelType w:val="hybridMultilevel"/>
    <w:tmpl w:val="157A2AF2"/>
    <w:lvl w:ilvl="0" w:tplc="DE62E6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9" w15:restartNumberingAfterBreak="0">
    <w:nsid w:val="73C87EB4"/>
    <w:multiLevelType w:val="hybridMultilevel"/>
    <w:tmpl w:val="050A9F5A"/>
    <w:lvl w:ilvl="0" w:tplc="09F2DD78">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15:restartNumberingAfterBreak="0">
    <w:nsid w:val="777751FC"/>
    <w:multiLevelType w:val="hybridMultilevel"/>
    <w:tmpl w:val="AF16599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A8A6460"/>
    <w:multiLevelType w:val="hybridMultilevel"/>
    <w:tmpl w:val="C39CA9E2"/>
    <w:lvl w:ilvl="0" w:tplc="7E784DA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A431BB"/>
    <w:multiLevelType w:val="hybridMultilevel"/>
    <w:tmpl w:val="FEFA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B253D1"/>
    <w:multiLevelType w:val="hybridMultilevel"/>
    <w:tmpl w:val="4A369284"/>
    <w:lvl w:ilvl="0" w:tplc="45C273F8">
      <w:start w:val="1"/>
      <w:numFmt w:val="lowerLetter"/>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num w:numId="1" w16cid:durableId="922035790">
    <w:abstractNumId w:val="5"/>
  </w:num>
  <w:num w:numId="2" w16cid:durableId="1224876090">
    <w:abstractNumId w:val="23"/>
  </w:num>
  <w:num w:numId="3" w16cid:durableId="1646088296">
    <w:abstractNumId w:val="15"/>
  </w:num>
  <w:num w:numId="4" w16cid:durableId="1603689193">
    <w:abstractNumId w:val="8"/>
  </w:num>
  <w:num w:numId="5" w16cid:durableId="686055053">
    <w:abstractNumId w:val="0"/>
    <w:lvlOverride w:ilvl="0">
      <w:lvl w:ilvl="0">
        <w:numFmt w:val="bullet"/>
        <w:lvlText w:val="•"/>
        <w:legacy w:legacy="1" w:legacySpace="0" w:legacyIndent="0"/>
        <w:lvlJc w:val="left"/>
        <w:rPr>
          <w:rFonts w:ascii="Helv" w:hAnsi="Helv" w:hint="default"/>
        </w:rPr>
      </w:lvl>
    </w:lvlOverride>
  </w:num>
  <w:num w:numId="6" w16cid:durableId="1009992365">
    <w:abstractNumId w:val="3"/>
  </w:num>
  <w:num w:numId="7" w16cid:durableId="1286275580">
    <w:abstractNumId w:val="19"/>
  </w:num>
  <w:num w:numId="8" w16cid:durableId="1938173545">
    <w:abstractNumId w:val="12"/>
  </w:num>
  <w:num w:numId="9" w16cid:durableId="255598708">
    <w:abstractNumId w:val="7"/>
  </w:num>
  <w:num w:numId="10" w16cid:durableId="1692873636">
    <w:abstractNumId w:val="22"/>
  </w:num>
  <w:num w:numId="11" w16cid:durableId="134035468">
    <w:abstractNumId w:val="9"/>
  </w:num>
  <w:num w:numId="12" w16cid:durableId="1887252026">
    <w:abstractNumId w:val="10"/>
  </w:num>
  <w:num w:numId="13" w16cid:durableId="799881312">
    <w:abstractNumId w:val="2"/>
  </w:num>
  <w:num w:numId="14" w16cid:durableId="4522139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96748">
    <w:abstractNumId w:val="1"/>
  </w:num>
  <w:num w:numId="16" w16cid:durableId="1840148608">
    <w:abstractNumId w:val="4"/>
  </w:num>
  <w:num w:numId="17" w16cid:durableId="30804724">
    <w:abstractNumId w:val="11"/>
  </w:num>
  <w:num w:numId="18" w16cid:durableId="83189693">
    <w:abstractNumId w:val="13"/>
  </w:num>
  <w:num w:numId="19" w16cid:durableId="2008048638">
    <w:abstractNumId w:val="16"/>
  </w:num>
  <w:num w:numId="20" w16cid:durableId="1522359629">
    <w:abstractNumId w:val="20"/>
  </w:num>
  <w:num w:numId="21" w16cid:durableId="1763794882">
    <w:abstractNumId w:val="14"/>
  </w:num>
  <w:num w:numId="22" w16cid:durableId="1815441640">
    <w:abstractNumId w:val="6"/>
  </w:num>
  <w:num w:numId="23" w16cid:durableId="913315861">
    <w:abstractNumId w:val="17"/>
  </w:num>
  <w:num w:numId="24" w16cid:durableId="17636418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5C"/>
    <w:rsid w:val="00002490"/>
    <w:rsid w:val="00007531"/>
    <w:rsid w:val="00007E3C"/>
    <w:rsid w:val="00014624"/>
    <w:rsid w:val="0001502D"/>
    <w:rsid w:val="00015348"/>
    <w:rsid w:val="00021320"/>
    <w:rsid w:val="00023850"/>
    <w:rsid w:val="00051A85"/>
    <w:rsid w:val="00060C1D"/>
    <w:rsid w:val="00065813"/>
    <w:rsid w:val="00070870"/>
    <w:rsid w:val="000849B2"/>
    <w:rsid w:val="00091D3C"/>
    <w:rsid w:val="000957D8"/>
    <w:rsid w:val="000975DD"/>
    <w:rsid w:val="000A159D"/>
    <w:rsid w:val="000A3509"/>
    <w:rsid w:val="000A5C70"/>
    <w:rsid w:val="000B007A"/>
    <w:rsid w:val="000B4892"/>
    <w:rsid w:val="000B6404"/>
    <w:rsid w:val="000B7B1B"/>
    <w:rsid w:val="000C0E46"/>
    <w:rsid w:val="000D1142"/>
    <w:rsid w:val="000E0767"/>
    <w:rsid w:val="000F3CBF"/>
    <w:rsid w:val="000F7FAE"/>
    <w:rsid w:val="00103E85"/>
    <w:rsid w:val="00105092"/>
    <w:rsid w:val="00112665"/>
    <w:rsid w:val="0011517A"/>
    <w:rsid w:val="0011759D"/>
    <w:rsid w:val="00121AE5"/>
    <w:rsid w:val="00130A9A"/>
    <w:rsid w:val="00132F8E"/>
    <w:rsid w:val="00136991"/>
    <w:rsid w:val="00141454"/>
    <w:rsid w:val="001433C2"/>
    <w:rsid w:val="001468C4"/>
    <w:rsid w:val="00146C11"/>
    <w:rsid w:val="00156F53"/>
    <w:rsid w:val="00171833"/>
    <w:rsid w:val="00174AC8"/>
    <w:rsid w:val="00180650"/>
    <w:rsid w:val="00180E39"/>
    <w:rsid w:val="001815C9"/>
    <w:rsid w:val="00184D47"/>
    <w:rsid w:val="0018769E"/>
    <w:rsid w:val="00193178"/>
    <w:rsid w:val="0019636F"/>
    <w:rsid w:val="001A451D"/>
    <w:rsid w:val="001A72CF"/>
    <w:rsid w:val="001C06C1"/>
    <w:rsid w:val="001C3F3E"/>
    <w:rsid w:val="001C4583"/>
    <w:rsid w:val="001C4CE2"/>
    <w:rsid w:val="001C4DDE"/>
    <w:rsid w:val="001D7943"/>
    <w:rsid w:val="001E7CB8"/>
    <w:rsid w:val="001F10B9"/>
    <w:rsid w:val="001F31AA"/>
    <w:rsid w:val="001F3542"/>
    <w:rsid w:val="00203631"/>
    <w:rsid w:val="00206BD8"/>
    <w:rsid w:val="00207829"/>
    <w:rsid w:val="00211D5D"/>
    <w:rsid w:val="002249E2"/>
    <w:rsid w:val="002269A6"/>
    <w:rsid w:val="00230EBC"/>
    <w:rsid w:val="00232545"/>
    <w:rsid w:val="00232665"/>
    <w:rsid w:val="002409A0"/>
    <w:rsid w:val="00243DE7"/>
    <w:rsid w:val="002606FF"/>
    <w:rsid w:val="00261D15"/>
    <w:rsid w:val="00262A75"/>
    <w:rsid w:val="002651E2"/>
    <w:rsid w:val="0027587A"/>
    <w:rsid w:val="00275FED"/>
    <w:rsid w:val="00281BD5"/>
    <w:rsid w:val="00284CB2"/>
    <w:rsid w:val="00290231"/>
    <w:rsid w:val="00294280"/>
    <w:rsid w:val="00295FF6"/>
    <w:rsid w:val="002A13D3"/>
    <w:rsid w:val="002A4A26"/>
    <w:rsid w:val="002B0B4C"/>
    <w:rsid w:val="002C0482"/>
    <w:rsid w:val="002C13D4"/>
    <w:rsid w:val="002D05BB"/>
    <w:rsid w:val="002E0F3B"/>
    <w:rsid w:val="002E607E"/>
    <w:rsid w:val="002F74E7"/>
    <w:rsid w:val="002F7FD6"/>
    <w:rsid w:val="003033A7"/>
    <w:rsid w:val="003077E3"/>
    <w:rsid w:val="00316AE9"/>
    <w:rsid w:val="003171BC"/>
    <w:rsid w:val="00320897"/>
    <w:rsid w:val="00330FF0"/>
    <w:rsid w:val="00333230"/>
    <w:rsid w:val="003354E6"/>
    <w:rsid w:val="00337BC1"/>
    <w:rsid w:val="003458A0"/>
    <w:rsid w:val="00350B71"/>
    <w:rsid w:val="003557D3"/>
    <w:rsid w:val="003574A7"/>
    <w:rsid w:val="0036089C"/>
    <w:rsid w:val="003620C7"/>
    <w:rsid w:val="00362D14"/>
    <w:rsid w:val="00372B60"/>
    <w:rsid w:val="00387C04"/>
    <w:rsid w:val="00396608"/>
    <w:rsid w:val="003A7243"/>
    <w:rsid w:val="003C2244"/>
    <w:rsid w:val="003C6548"/>
    <w:rsid w:val="003D2531"/>
    <w:rsid w:val="003D4A0A"/>
    <w:rsid w:val="003D7206"/>
    <w:rsid w:val="003E63E8"/>
    <w:rsid w:val="003E7471"/>
    <w:rsid w:val="003F6824"/>
    <w:rsid w:val="003F781E"/>
    <w:rsid w:val="00400E5F"/>
    <w:rsid w:val="00402E4F"/>
    <w:rsid w:val="00407951"/>
    <w:rsid w:val="004154ED"/>
    <w:rsid w:val="00432C75"/>
    <w:rsid w:val="00437BC0"/>
    <w:rsid w:val="00442EC2"/>
    <w:rsid w:val="00443151"/>
    <w:rsid w:val="00445F28"/>
    <w:rsid w:val="00447628"/>
    <w:rsid w:val="004514D6"/>
    <w:rsid w:val="00455DD8"/>
    <w:rsid w:val="004565E6"/>
    <w:rsid w:val="00460B60"/>
    <w:rsid w:val="00464975"/>
    <w:rsid w:val="00465214"/>
    <w:rsid w:val="00467E86"/>
    <w:rsid w:val="00482366"/>
    <w:rsid w:val="004835C6"/>
    <w:rsid w:val="00494038"/>
    <w:rsid w:val="00496593"/>
    <w:rsid w:val="004A1D69"/>
    <w:rsid w:val="004A39B4"/>
    <w:rsid w:val="004B3314"/>
    <w:rsid w:val="004B4C71"/>
    <w:rsid w:val="004B4EB8"/>
    <w:rsid w:val="004B5A3F"/>
    <w:rsid w:val="004C2BD9"/>
    <w:rsid w:val="004C343C"/>
    <w:rsid w:val="004C3904"/>
    <w:rsid w:val="004C7EE3"/>
    <w:rsid w:val="004D041F"/>
    <w:rsid w:val="004E29CE"/>
    <w:rsid w:val="004E6263"/>
    <w:rsid w:val="004F4936"/>
    <w:rsid w:val="005020BA"/>
    <w:rsid w:val="00504865"/>
    <w:rsid w:val="005161B5"/>
    <w:rsid w:val="00524080"/>
    <w:rsid w:val="00524A41"/>
    <w:rsid w:val="005276F3"/>
    <w:rsid w:val="0053724E"/>
    <w:rsid w:val="0054201E"/>
    <w:rsid w:val="00542EA8"/>
    <w:rsid w:val="00550F79"/>
    <w:rsid w:val="00556C71"/>
    <w:rsid w:val="005871A3"/>
    <w:rsid w:val="005965BA"/>
    <w:rsid w:val="005A2FBA"/>
    <w:rsid w:val="005A3211"/>
    <w:rsid w:val="005A4712"/>
    <w:rsid w:val="005A7C75"/>
    <w:rsid w:val="005B258A"/>
    <w:rsid w:val="005B395C"/>
    <w:rsid w:val="005C4788"/>
    <w:rsid w:val="005C4BA1"/>
    <w:rsid w:val="005C658B"/>
    <w:rsid w:val="005C7BC9"/>
    <w:rsid w:val="005D3BE2"/>
    <w:rsid w:val="005E2F1A"/>
    <w:rsid w:val="005E4359"/>
    <w:rsid w:val="005E5BCF"/>
    <w:rsid w:val="00601F2D"/>
    <w:rsid w:val="00612444"/>
    <w:rsid w:val="00612975"/>
    <w:rsid w:val="0062063D"/>
    <w:rsid w:val="00625097"/>
    <w:rsid w:val="00626A18"/>
    <w:rsid w:val="00630C6D"/>
    <w:rsid w:val="00640B86"/>
    <w:rsid w:val="00642C0B"/>
    <w:rsid w:val="00642E2B"/>
    <w:rsid w:val="006515D8"/>
    <w:rsid w:val="00652E9C"/>
    <w:rsid w:val="00653201"/>
    <w:rsid w:val="00655303"/>
    <w:rsid w:val="00662D25"/>
    <w:rsid w:val="00663BCC"/>
    <w:rsid w:val="00664938"/>
    <w:rsid w:val="0067071E"/>
    <w:rsid w:val="006730A6"/>
    <w:rsid w:val="00692E10"/>
    <w:rsid w:val="006A10E7"/>
    <w:rsid w:val="006A16CC"/>
    <w:rsid w:val="006A6B90"/>
    <w:rsid w:val="006A7A15"/>
    <w:rsid w:val="006B2255"/>
    <w:rsid w:val="006B6578"/>
    <w:rsid w:val="006B6C20"/>
    <w:rsid w:val="006B7A41"/>
    <w:rsid w:val="006C1161"/>
    <w:rsid w:val="006C2B3C"/>
    <w:rsid w:val="006D0F26"/>
    <w:rsid w:val="006E0BE9"/>
    <w:rsid w:val="006E2553"/>
    <w:rsid w:val="006F11B3"/>
    <w:rsid w:val="006F6114"/>
    <w:rsid w:val="006F7888"/>
    <w:rsid w:val="00707022"/>
    <w:rsid w:val="00714B53"/>
    <w:rsid w:val="00731180"/>
    <w:rsid w:val="007421C6"/>
    <w:rsid w:val="00742259"/>
    <w:rsid w:val="0074402F"/>
    <w:rsid w:val="00747B28"/>
    <w:rsid w:val="00765D46"/>
    <w:rsid w:val="00767AB7"/>
    <w:rsid w:val="007710B7"/>
    <w:rsid w:val="00771905"/>
    <w:rsid w:val="00772AFA"/>
    <w:rsid w:val="00776027"/>
    <w:rsid w:val="00780C27"/>
    <w:rsid w:val="007817A5"/>
    <w:rsid w:val="00782811"/>
    <w:rsid w:val="00783DEE"/>
    <w:rsid w:val="0078485E"/>
    <w:rsid w:val="00785334"/>
    <w:rsid w:val="0078632B"/>
    <w:rsid w:val="007876F4"/>
    <w:rsid w:val="007925E6"/>
    <w:rsid w:val="00792C34"/>
    <w:rsid w:val="0079391A"/>
    <w:rsid w:val="00795845"/>
    <w:rsid w:val="00795972"/>
    <w:rsid w:val="00796DB8"/>
    <w:rsid w:val="007B0651"/>
    <w:rsid w:val="007B2FF7"/>
    <w:rsid w:val="007B3AC5"/>
    <w:rsid w:val="007C31D9"/>
    <w:rsid w:val="007D3B30"/>
    <w:rsid w:val="007E00A9"/>
    <w:rsid w:val="007E1CA1"/>
    <w:rsid w:val="007F0BC3"/>
    <w:rsid w:val="007F1138"/>
    <w:rsid w:val="008046A9"/>
    <w:rsid w:val="008059A1"/>
    <w:rsid w:val="00805FD7"/>
    <w:rsid w:val="0081785A"/>
    <w:rsid w:val="0082008F"/>
    <w:rsid w:val="0082519F"/>
    <w:rsid w:val="0082540D"/>
    <w:rsid w:val="0082682C"/>
    <w:rsid w:val="008411BE"/>
    <w:rsid w:val="0084550A"/>
    <w:rsid w:val="0085233A"/>
    <w:rsid w:val="0085292C"/>
    <w:rsid w:val="0085759B"/>
    <w:rsid w:val="00862502"/>
    <w:rsid w:val="00880D41"/>
    <w:rsid w:val="00880E1D"/>
    <w:rsid w:val="00887684"/>
    <w:rsid w:val="008A560B"/>
    <w:rsid w:val="008A76FC"/>
    <w:rsid w:val="008B4C44"/>
    <w:rsid w:val="008C02AA"/>
    <w:rsid w:val="008C0EC4"/>
    <w:rsid w:val="008C3365"/>
    <w:rsid w:val="008C403C"/>
    <w:rsid w:val="008C4F56"/>
    <w:rsid w:val="008D0E79"/>
    <w:rsid w:val="008D2D2A"/>
    <w:rsid w:val="008E0B2B"/>
    <w:rsid w:val="008E1E0F"/>
    <w:rsid w:val="008F0543"/>
    <w:rsid w:val="00905B78"/>
    <w:rsid w:val="00915CC0"/>
    <w:rsid w:val="00920B05"/>
    <w:rsid w:val="009233FE"/>
    <w:rsid w:val="00923F70"/>
    <w:rsid w:val="00925437"/>
    <w:rsid w:val="0092718D"/>
    <w:rsid w:val="00932554"/>
    <w:rsid w:val="00941A43"/>
    <w:rsid w:val="00941E03"/>
    <w:rsid w:val="0094508F"/>
    <w:rsid w:val="00950A09"/>
    <w:rsid w:val="009600BB"/>
    <w:rsid w:val="00961FCE"/>
    <w:rsid w:val="00963899"/>
    <w:rsid w:val="00966DBF"/>
    <w:rsid w:val="00977708"/>
    <w:rsid w:val="009831B1"/>
    <w:rsid w:val="00987C25"/>
    <w:rsid w:val="00991EA8"/>
    <w:rsid w:val="00992B9E"/>
    <w:rsid w:val="009D0B20"/>
    <w:rsid w:val="009D1967"/>
    <w:rsid w:val="009D4E4C"/>
    <w:rsid w:val="009E0146"/>
    <w:rsid w:val="00A00B57"/>
    <w:rsid w:val="00A02A9F"/>
    <w:rsid w:val="00A03B81"/>
    <w:rsid w:val="00A06971"/>
    <w:rsid w:val="00A10F74"/>
    <w:rsid w:val="00A14BA3"/>
    <w:rsid w:val="00A20D32"/>
    <w:rsid w:val="00A2171B"/>
    <w:rsid w:val="00A22279"/>
    <w:rsid w:val="00A22B69"/>
    <w:rsid w:val="00A41FA9"/>
    <w:rsid w:val="00A45407"/>
    <w:rsid w:val="00A45681"/>
    <w:rsid w:val="00A53840"/>
    <w:rsid w:val="00A619AD"/>
    <w:rsid w:val="00A61BA0"/>
    <w:rsid w:val="00A627C2"/>
    <w:rsid w:val="00A6453C"/>
    <w:rsid w:val="00A673B5"/>
    <w:rsid w:val="00A67D49"/>
    <w:rsid w:val="00A7003C"/>
    <w:rsid w:val="00A731C4"/>
    <w:rsid w:val="00AA173F"/>
    <w:rsid w:val="00AA5A3D"/>
    <w:rsid w:val="00AB042C"/>
    <w:rsid w:val="00AB2C17"/>
    <w:rsid w:val="00AB6C23"/>
    <w:rsid w:val="00AC6245"/>
    <w:rsid w:val="00AC68E9"/>
    <w:rsid w:val="00AD0141"/>
    <w:rsid w:val="00AD2962"/>
    <w:rsid w:val="00AD51BE"/>
    <w:rsid w:val="00AE2B41"/>
    <w:rsid w:val="00AE54FA"/>
    <w:rsid w:val="00AE6152"/>
    <w:rsid w:val="00AF79F2"/>
    <w:rsid w:val="00B06424"/>
    <w:rsid w:val="00B132D0"/>
    <w:rsid w:val="00B22861"/>
    <w:rsid w:val="00B36120"/>
    <w:rsid w:val="00B45989"/>
    <w:rsid w:val="00B513BD"/>
    <w:rsid w:val="00B51880"/>
    <w:rsid w:val="00B562A4"/>
    <w:rsid w:val="00B62B4C"/>
    <w:rsid w:val="00B66440"/>
    <w:rsid w:val="00B70CB7"/>
    <w:rsid w:val="00B7226C"/>
    <w:rsid w:val="00B7485D"/>
    <w:rsid w:val="00B819F4"/>
    <w:rsid w:val="00B86193"/>
    <w:rsid w:val="00B91DCB"/>
    <w:rsid w:val="00B93E0B"/>
    <w:rsid w:val="00B978F3"/>
    <w:rsid w:val="00BC1869"/>
    <w:rsid w:val="00BD0EB9"/>
    <w:rsid w:val="00BD4072"/>
    <w:rsid w:val="00BE29B0"/>
    <w:rsid w:val="00BE42A8"/>
    <w:rsid w:val="00BF1134"/>
    <w:rsid w:val="00BF4FF8"/>
    <w:rsid w:val="00BF510F"/>
    <w:rsid w:val="00BF5153"/>
    <w:rsid w:val="00BF64B3"/>
    <w:rsid w:val="00BF788F"/>
    <w:rsid w:val="00C00366"/>
    <w:rsid w:val="00C00A7E"/>
    <w:rsid w:val="00C00C92"/>
    <w:rsid w:val="00C018B3"/>
    <w:rsid w:val="00C1533C"/>
    <w:rsid w:val="00C229D5"/>
    <w:rsid w:val="00C37B9D"/>
    <w:rsid w:val="00C416AB"/>
    <w:rsid w:val="00C50FAC"/>
    <w:rsid w:val="00C633C5"/>
    <w:rsid w:val="00C64FCA"/>
    <w:rsid w:val="00C73B6F"/>
    <w:rsid w:val="00C77153"/>
    <w:rsid w:val="00C776D7"/>
    <w:rsid w:val="00C80A3B"/>
    <w:rsid w:val="00C92DF9"/>
    <w:rsid w:val="00CA05B2"/>
    <w:rsid w:val="00CB086B"/>
    <w:rsid w:val="00CB1C0B"/>
    <w:rsid w:val="00CB30E7"/>
    <w:rsid w:val="00CB32A8"/>
    <w:rsid w:val="00CC04F6"/>
    <w:rsid w:val="00CD466E"/>
    <w:rsid w:val="00CD7DD0"/>
    <w:rsid w:val="00CE05BF"/>
    <w:rsid w:val="00CE1488"/>
    <w:rsid w:val="00CE6D99"/>
    <w:rsid w:val="00CF4B2E"/>
    <w:rsid w:val="00CF5A75"/>
    <w:rsid w:val="00D0511C"/>
    <w:rsid w:val="00D07C17"/>
    <w:rsid w:val="00D109B3"/>
    <w:rsid w:val="00D11BB4"/>
    <w:rsid w:val="00D12786"/>
    <w:rsid w:val="00D1292E"/>
    <w:rsid w:val="00D139E0"/>
    <w:rsid w:val="00D15AD2"/>
    <w:rsid w:val="00D267A2"/>
    <w:rsid w:val="00D526C0"/>
    <w:rsid w:val="00D63493"/>
    <w:rsid w:val="00D639A9"/>
    <w:rsid w:val="00D65BD4"/>
    <w:rsid w:val="00D67623"/>
    <w:rsid w:val="00D7746E"/>
    <w:rsid w:val="00D826AA"/>
    <w:rsid w:val="00D82817"/>
    <w:rsid w:val="00D85B0D"/>
    <w:rsid w:val="00D918C2"/>
    <w:rsid w:val="00D967D1"/>
    <w:rsid w:val="00D97C42"/>
    <w:rsid w:val="00DB0581"/>
    <w:rsid w:val="00DB6DD3"/>
    <w:rsid w:val="00DC0A3E"/>
    <w:rsid w:val="00DD06D9"/>
    <w:rsid w:val="00DD2BD2"/>
    <w:rsid w:val="00DD4B37"/>
    <w:rsid w:val="00DD4B41"/>
    <w:rsid w:val="00DE0758"/>
    <w:rsid w:val="00DE599E"/>
    <w:rsid w:val="00DE7867"/>
    <w:rsid w:val="00DF391B"/>
    <w:rsid w:val="00DF7736"/>
    <w:rsid w:val="00E031C0"/>
    <w:rsid w:val="00E16517"/>
    <w:rsid w:val="00E2088C"/>
    <w:rsid w:val="00E30ADB"/>
    <w:rsid w:val="00E32D21"/>
    <w:rsid w:val="00E40BB1"/>
    <w:rsid w:val="00E417D0"/>
    <w:rsid w:val="00E41822"/>
    <w:rsid w:val="00E45C76"/>
    <w:rsid w:val="00E4637C"/>
    <w:rsid w:val="00E572D3"/>
    <w:rsid w:val="00E64419"/>
    <w:rsid w:val="00E76C74"/>
    <w:rsid w:val="00E85D1A"/>
    <w:rsid w:val="00E87187"/>
    <w:rsid w:val="00E87563"/>
    <w:rsid w:val="00E934BD"/>
    <w:rsid w:val="00E9735C"/>
    <w:rsid w:val="00EA3AC8"/>
    <w:rsid w:val="00EB0131"/>
    <w:rsid w:val="00EB3F67"/>
    <w:rsid w:val="00EB5AA7"/>
    <w:rsid w:val="00EB617B"/>
    <w:rsid w:val="00EB61B1"/>
    <w:rsid w:val="00EC401E"/>
    <w:rsid w:val="00EC4B25"/>
    <w:rsid w:val="00ED0166"/>
    <w:rsid w:val="00ED0884"/>
    <w:rsid w:val="00ED5633"/>
    <w:rsid w:val="00EE1567"/>
    <w:rsid w:val="00EE28A2"/>
    <w:rsid w:val="00EF7BB5"/>
    <w:rsid w:val="00F00DE0"/>
    <w:rsid w:val="00F026DD"/>
    <w:rsid w:val="00F10A14"/>
    <w:rsid w:val="00F111F0"/>
    <w:rsid w:val="00F12519"/>
    <w:rsid w:val="00F158D2"/>
    <w:rsid w:val="00F168A1"/>
    <w:rsid w:val="00F2151F"/>
    <w:rsid w:val="00F26BF3"/>
    <w:rsid w:val="00F302A9"/>
    <w:rsid w:val="00F30975"/>
    <w:rsid w:val="00F46134"/>
    <w:rsid w:val="00F53AE6"/>
    <w:rsid w:val="00F64037"/>
    <w:rsid w:val="00F702F5"/>
    <w:rsid w:val="00F703DE"/>
    <w:rsid w:val="00F74432"/>
    <w:rsid w:val="00F775BA"/>
    <w:rsid w:val="00F77627"/>
    <w:rsid w:val="00F81E4A"/>
    <w:rsid w:val="00F85177"/>
    <w:rsid w:val="00F86B2A"/>
    <w:rsid w:val="00F873D0"/>
    <w:rsid w:val="00F87429"/>
    <w:rsid w:val="00F91926"/>
    <w:rsid w:val="00F93149"/>
    <w:rsid w:val="00F93887"/>
    <w:rsid w:val="00F96041"/>
    <w:rsid w:val="00FB3105"/>
    <w:rsid w:val="00FB48EB"/>
    <w:rsid w:val="00FC197F"/>
    <w:rsid w:val="00FC3AFB"/>
    <w:rsid w:val="00FC7125"/>
    <w:rsid w:val="00FC7AE2"/>
    <w:rsid w:val="00FD1308"/>
    <w:rsid w:val="00FD39F6"/>
    <w:rsid w:val="00FD49BA"/>
    <w:rsid w:val="00FD7D06"/>
    <w:rsid w:val="00FF59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C4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111F0"/>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F111F0"/>
    <w:pPr>
      <w:spacing w:before="360" w:after="120"/>
      <w:jc w:val="center"/>
      <w:outlineLvl w:val="1"/>
    </w:pPr>
    <w:rPr>
      <w:rFonts w:eastAsia="Calibri"/>
      <w:b/>
      <w:sz w:val="28"/>
      <w:szCs w:val="28"/>
      <w:lang w:eastAsia="en-US"/>
    </w:rPr>
  </w:style>
  <w:style w:type="paragraph" w:styleId="Heading3">
    <w:name w:val="heading 3"/>
    <w:basedOn w:val="Normal"/>
    <w:next w:val="Normal"/>
    <w:link w:val="Heading3Char"/>
    <w:uiPriority w:val="9"/>
    <w:unhideWhenUsed/>
    <w:qFormat/>
    <w:rsid w:val="00F111F0"/>
    <w:pPr>
      <w:spacing w:before="120" w:after="120"/>
      <w:jc w:val="both"/>
      <w:outlineLvl w:val="2"/>
    </w:pPr>
    <w:rPr>
      <w:rFonts w:eastAsia="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5B395C"/>
    <w:rPr>
      <w:rFonts w:ascii="Arial" w:hAnsi="Arial" w:cs="Arial"/>
      <w:sz w:val="22"/>
      <w:szCs w:val="22"/>
      <w:lang w:eastAsia="en-US"/>
    </w:rPr>
  </w:style>
  <w:style w:type="paragraph" w:styleId="BalloonText">
    <w:name w:val="Balloon Text"/>
    <w:basedOn w:val="Normal"/>
    <w:semiHidden/>
    <w:rsid w:val="00612975"/>
    <w:rPr>
      <w:rFonts w:ascii="Tahoma" w:hAnsi="Tahoma" w:cs="Tahoma"/>
      <w:sz w:val="16"/>
      <w:szCs w:val="16"/>
    </w:rPr>
  </w:style>
  <w:style w:type="character" w:styleId="CommentReference">
    <w:name w:val="annotation reference"/>
    <w:uiPriority w:val="99"/>
    <w:semiHidden/>
    <w:rsid w:val="00DB0581"/>
    <w:rPr>
      <w:sz w:val="16"/>
      <w:szCs w:val="16"/>
    </w:rPr>
  </w:style>
  <w:style w:type="paragraph" w:styleId="CommentText">
    <w:name w:val="annotation text"/>
    <w:basedOn w:val="Normal"/>
    <w:link w:val="CommentTextChar"/>
    <w:uiPriority w:val="99"/>
    <w:rsid w:val="00DB0581"/>
    <w:rPr>
      <w:sz w:val="20"/>
      <w:szCs w:val="20"/>
    </w:rPr>
  </w:style>
  <w:style w:type="paragraph" w:styleId="CommentSubject">
    <w:name w:val="annotation subject"/>
    <w:basedOn w:val="CommentText"/>
    <w:next w:val="CommentText"/>
    <w:semiHidden/>
    <w:rsid w:val="00DB0581"/>
    <w:rPr>
      <w:b/>
      <w:bCs/>
    </w:rPr>
  </w:style>
  <w:style w:type="character" w:customStyle="1" w:styleId="normalchar">
    <w:name w:val="normal_char"/>
    <w:rsid w:val="00372B60"/>
    <w:rPr>
      <w:color w:val="auto"/>
    </w:rPr>
  </w:style>
  <w:style w:type="paragraph" w:styleId="Header">
    <w:name w:val="header"/>
    <w:basedOn w:val="Normal"/>
    <w:link w:val="HeaderChar"/>
    <w:uiPriority w:val="99"/>
    <w:rsid w:val="007B3AC5"/>
    <w:pPr>
      <w:tabs>
        <w:tab w:val="center" w:pos="3969"/>
        <w:tab w:val="right" w:pos="8505"/>
      </w:tabs>
      <w:jc w:val="both"/>
    </w:pPr>
    <w:rPr>
      <w:rFonts w:ascii="Arial" w:hAnsi="Arial"/>
      <w:sz w:val="16"/>
    </w:rPr>
  </w:style>
  <w:style w:type="character" w:customStyle="1" w:styleId="HeaderChar">
    <w:name w:val="Header Char"/>
    <w:link w:val="Header"/>
    <w:uiPriority w:val="99"/>
    <w:rsid w:val="007B3AC5"/>
    <w:rPr>
      <w:rFonts w:ascii="Arial" w:hAnsi="Arial"/>
      <w:sz w:val="16"/>
      <w:szCs w:val="24"/>
    </w:rPr>
  </w:style>
  <w:style w:type="character" w:customStyle="1" w:styleId="CharSchPTNo">
    <w:name w:val="CharSchPTNo"/>
    <w:rsid w:val="007B3AC5"/>
  </w:style>
  <w:style w:type="character" w:customStyle="1" w:styleId="CharSchPTText">
    <w:name w:val="CharSchPTText"/>
    <w:rsid w:val="007B3AC5"/>
  </w:style>
  <w:style w:type="character" w:customStyle="1" w:styleId="CharSectno">
    <w:name w:val="CharSectno"/>
    <w:qFormat/>
    <w:rsid w:val="007B3AC5"/>
  </w:style>
  <w:style w:type="paragraph" w:customStyle="1" w:styleId="Schedulereference">
    <w:name w:val="Schedule reference"/>
    <w:basedOn w:val="Normal"/>
    <w:next w:val="Normal"/>
    <w:rsid w:val="007B3AC5"/>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7B3AC5"/>
    <w:pPr>
      <w:keepNext/>
      <w:keepLines/>
      <w:spacing w:before="480"/>
      <w:ind w:left="2410" w:hanging="2410"/>
    </w:pPr>
    <w:rPr>
      <w:rFonts w:ascii="Arial" w:hAnsi="Arial"/>
      <w:b/>
      <w:sz w:val="32"/>
    </w:rPr>
  </w:style>
  <w:style w:type="paragraph" w:customStyle="1" w:styleId="TableColHead">
    <w:name w:val="TableColHead"/>
    <w:basedOn w:val="Normal"/>
    <w:rsid w:val="007B3AC5"/>
    <w:pPr>
      <w:keepNext/>
      <w:spacing w:before="120" w:after="60" w:line="200" w:lineRule="exact"/>
    </w:pPr>
    <w:rPr>
      <w:rFonts w:ascii="Arial" w:hAnsi="Arial"/>
      <w:b/>
      <w:sz w:val="18"/>
    </w:rPr>
  </w:style>
  <w:style w:type="paragraph" w:customStyle="1" w:styleId="TableText">
    <w:name w:val="TableText"/>
    <w:basedOn w:val="Normal"/>
    <w:rsid w:val="007B3AC5"/>
    <w:pPr>
      <w:spacing w:before="60" w:after="60" w:line="240" w:lineRule="exact"/>
    </w:pPr>
    <w:rPr>
      <w:sz w:val="22"/>
    </w:rPr>
  </w:style>
  <w:style w:type="paragraph" w:customStyle="1" w:styleId="ColHead2">
    <w:name w:val="ColHead (2)"/>
    <w:basedOn w:val="TableColHead"/>
    <w:rsid w:val="007B3AC5"/>
  </w:style>
  <w:style w:type="character" w:customStyle="1" w:styleId="CharAmSchNo">
    <w:name w:val="CharAmSchNo"/>
    <w:qFormat/>
    <w:rsid w:val="007B3AC5"/>
  </w:style>
  <w:style w:type="paragraph" w:customStyle="1" w:styleId="NoteEnd">
    <w:name w:val="Note End"/>
    <w:basedOn w:val="Normal"/>
    <w:rsid w:val="007B3AC5"/>
    <w:pPr>
      <w:keepLines/>
      <w:spacing w:before="120" w:line="240" w:lineRule="exact"/>
      <w:ind w:left="567" w:hanging="567"/>
      <w:jc w:val="both"/>
    </w:pPr>
    <w:rPr>
      <w:sz w:val="22"/>
    </w:rPr>
  </w:style>
  <w:style w:type="paragraph" w:styleId="Footer">
    <w:name w:val="footer"/>
    <w:basedOn w:val="Normal"/>
    <w:link w:val="FooterChar"/>
    <w:uiPriority w:val="99"/>
    <w:rsid w:val="00437BC0"/>
    <w:pPr>
      <w:tabs>
        <w:tab w:val="center" w:pos="4513"/>
        <w:tab w:val="right" w:pos="9026"/>
      </w:tabs>
    </w:pPr>
  </w:style>
  <w:style w:type="character" w:customStyle="1" w:styleId="FooterChar">
    <w:name w:val="Footer Char"/>
    <w:link w:val="Footer"/>
    <w:uiPriority w:val="99"/>
    <w:rsid w:val="00437BC0"/>
    <w:rPr>
      <w:sz w:val="24"/>
      <w:szCs w:val="24"/>
    </w:rPr>
  </w:style>
  <w:style w:type="character" w:styleId="Emphasis">
    <w:name w:val="Emphasis"/>
    <w:uiPriority w:val="20"/>
    <w:qFormat/>
    <w:rsid w:val="00B62B4C"/>
    <w:rPr>
      <w:i/>
      <w:iCs/>
    </w:rPr>
  </w:style>
  <w:style w:type="paragraph" w:customStyle="1" w:styleId="summary">
    <w:name w:val="summary"/>
    <w:basedOn w:val="Normal"/>
    <w:rsid w:val="00B62B4C"/>
    <w:pPr>
      <w:spacing w:before="100" w:beforeAutospacing="1" w:after="100" w:afterAutospacing="1"/>
    </w:pPr>
  </w:style>
  <w:style w:type="paragraph" w:styleId="ListParagraph">
    <w:name w:val="List Paragraph"/>
    <w:basedOn w:val="Normal"/>
    <w:uiPriority w:val="34"/>
    <w:qFormat/>
    <w:rsid w:val="00C73B6F"/>
    <w:pPr>
      <w:ind w:left="720"/>
      <w:contextualSpacing/>
    </w:pPr>
    <w:rPr>
      <w:lang w:eastAsia="en-US"/>
    </w:rPr>
  </w:style>
  <w:style w:type="character" w:styleId="Hyperlink">
    <w:name w:val="Hyperlink"/>
    <w:uiPriority w:val="99"/>
    <w:rsid w:val="00655303"/>
    <w:rPr>
      <w:color w:val="0563C1"/>
      <w:u w:val="single"/>
    </w:rPr>
  </w:style>
  <w:style w:type="character" w:styleId="FollowedHyperlink">
    <w:name w:val="FollowedHyperlink"/>
    <w:rsid w:val="00785334"/>
    <w:rPr>
      <w:color w:val="954F72"/>
      <w:u w:val="single"/>
    </w:rPr>
  </w:style>
  <w:style w:type="paragraph" w:customStyle="1" w:styleId="BodyNum">
    <w:name w:val="BodyNum"/>
    <w:aliases w:val="b1"/>
    <w:basedOn w:val="Normal"/>
    <w:rsid w:val="000B7B1B"/>
    <w:pPr>
      <w:numPr>
        <w:numId w:val="16"/>
      </w:numPr>
      <w:spacing w:before="240"/>
    </w:pPr>
    <w:rPr>
      <w:szCs w:val="20"/>
    </w:rPr>
  </w:style>
  <w:style w:type="paragraph" w:customStyle="1" w:styleId="BodyPara">
    <w:name w:val="BodyPara"/>
    <w:aliases w:val="ba"/>
    <w:basedOn w:val="Normal"/>
    <w:rsid w:val="000B7B1B"/>
    <w:pPr>
      <w:numPr>
        <w:ilvl w:val="1"/>
        <w:numId w:val="16"/>
      </w:numPr>
      <w:spacing w:before="240"/>
    </w:pPr>
    <w:rPr>
      <w:szCs w:val="20"/>
    </w:rPr>
  </w:style>
  <w:style w:type="numbering" w:customStyle="1" w:styleId="OPCBodyList">
    <w:name w:val="OPCBodyList"/>
    <w:uiPriority w:val="99"/>
    <w:rsid w:val="000B7B1B"/>
    <w:pPr>
      <w:numPr>
        <w:numId w:val="16"/>
      </w:numPr>
    </w:pPr>
  </w:style>
  <w:style w:type="paragraph" w:customStyle="1" w:styleId="Head2">
    <w:name w:val="Head 2"/>
    <w:aliases w:val="2"/>
    <w:basedOn w:val="Normal"/>
    <w:next w:val="BodyNum"/>
    <w:rsid w:val="000B7B1B"/>
    <w:pPr>
      <w:keepNext/>
      <w:spacing w:before="240" w:after="60"/>
      <w:outlineLvl w:val="1"/>
    </w:pPr>
    <w:rPr>
      <w:rFonts w:ascii="Arial" w:hAnsi="Arial"/>
      <w:b/>
      <w:kern w:val="28"/>
      <w:sz w:val="28"/>
      <w:szCs w:val="20"/>
    </w:rPr>
  </w:style>
  <w:style w:type="character" w:customStyle="1" w:styleId="Heading1Char">
    <w:name w:val="Heading 1 Char"/>
    <w:link w:val="Heading1"/>
    <w:uiPriority w:val="9"/>
    <w:rsid w:val="00F111F0"/>
    <w:rPr>
      <w:rFonts w:ascii="Cambria" w:hAnsi="Cambria"/>
      <w:b/>
      <w:bCs/>
      <w:kern w:val="32"/>
      <w:sz w:val="32"/>
      <w:szCs w:val="32"/>
      <w:lang w:eastAsia="en-US"/>
    </w:rPr>
  </w:style>
  <w:style w:type="character" w:customStyle="1" w:styleId="Heading2Char">
    <w:name w:val="Heading 2 Char"/>
    <w:link w:val="Heading2"/>
    <w:uiPriority w:val="9"/>
    <w:rsid w:val="00F111F0"/>
    <w:rPr>
      <w:rFonts w:eastAsia="Calibri"/>
      <w:b/>
      <w:sz w:val="28"/>
      <w:szCs w:val="28"/>
      <w:lang w:eastAsia="en-US"/>
    </w:rPr>
  </w:style>
  <w:style w:type="character" w:customStyle="1" w:styleId="Heading3Char">
    <w:name w:val="Heading 3 Char"/>
    <w:link w:val="Heading3"/>
    <w:uiPriority w:val="9"/>
    <w:rsid w:val="00F111F0"/>
    <w:rPr>
      <w:rFonts w:eastAsia="Calibri"/>
      <w:b/>
      <w:sz w:val="24"/>
      <w:szCs w:val="24"/>
      <w:lang w:eastAsia="en-US"/>
    </w:rPr>
  </w:style>
  <w:style w:type="paragraph" w:customStyle="1" w:styleId="Heading6">
    <w:name w:val="Heading6"/>
    <w:basedOn w:val="Normal"/>
    <w:link w:val="Heading6Char"/>
    <w:rsid w:val="000F3CBF"/>
    <w:pPr>
      <w:keepNext/>
      <w:keepLines/>
      <w:suppressAutoHyphens/>
      <w:spacing w:after="120"/>
      <w:jc w:val="both"/>
    </w:pPr>
    <w:rPr>
      <w:b/>
      <w:sz w:val="20"/>
      <w:szCs w:val="20"/>
    </w:rPr>
  </w:style>
  <w:style w:type="character" w:customStyle="1" w:styleId="Heading6Char">
    <w:name w:val="Heading6 Char"/>
    <w:link w:val="Heading6"/>
    <w:locked/>
    <w:rsid w:val="000F3CBF"/>
    <w:rPr>
      <w:b/>
    </w:rPr>
  </w:style>
  <w:style w:type="character" w:customStyle="1" w:styleId="CommentTextChar">
    <w:name w:val="Comment Text Char"/>
    <w:basedOn w:val="DefaultParagraphFont"/>
    <w:link w:val="CommentText"/>
    <w:uiPriority w:val="99"/>
    <w:rsid w:val="00A67D49"/>
  </w:style>
  <w:style w:type="character" w:styleId="UnresolvedMention">
    <w:name w:val="Unresolved Mention"/>
    <w:basedOn w:val="DefaultParagraphFont"/>
    <w:uiPriority w:val="99"/>
    <w:semiHidden/>
    <w:unhideWhenUsed/>
    <w:rsid w:val="00B978F3"/>
    <w:rPr>
      <w:color w:val="605E5C"/>
      <w:shd w:val="clear" w:color="auto" w:fill="E1DFDD"/>
    </w:rPr>
  </w:style>
  <w:style w:type="character" w:styleId="PlaceholderText">
    <w:name w:val="Placeholder Text"/>
    <w:basedOn w:val="DefaultParagraphFont"/>
    <w:uiPriority w:val="99"/>
    <w:semiHidden/>
    <w:rsid w:val="00211D5D"/>
    <w:rPr>
      <w:color w:val="808080"/>
    </w:rPr>
  </w:style>
  <w:style w:type="paragraph" w:styleId="Revision">
    <w:name w:val="Revision"/>
    <w:hidden/>
    <w:uiPriority w:val="99"/>
    <w:semiHidden/>
    <w:rsid w:val="008268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66504">
      <w:bodyDiv w:val="1"/>
      <w:marLeft w:val="0"/>
      <w:marRight w:val="0"/>
      <w:marTop w:val="0"/>
      <w:marBottom w:val="0"/>
      <w:divBdr>
        <w:top w:val="none" w:sz="0" w:space="0" w:color="auto"/>
        <w:left w:val="none" w:sz="0" w:space="0" w:color="auto"/>
        <w:bottom w:val="none" w:sz="0" w:space="0" w:color="auto"/>
        <w:right w:val="none" w:sz="0" w:space="0" w:color="auto"/>
      </w:divBdr>
      <w:divsChild>
        <w:div w:id="1835098029">
          <w:marLeft w:val="0"/>
          <w:marRight w:val="0"/>
          <w:marTop w:val="0"/>
          <w:marBottom w:val="0"/>
          <w:divBdr>
            <w:top w:val="none" w:sz="0" w:space="0" w:color="auto"/>
            <w:left w:val="none" w:sz="0" w:space="0" w:color="auto"/>
            <w:bottom w:val="none" w:sz="0" w:space="0" w:color="auto"/>
            <w:right w:val="none" w:sz="0" w:space="0" w:color="auto"/>
          </w:divBdr>
          <w:divsChild>
            <w:div w:id="11611382">
              <w:marLeft w:val="0"/>
              <w:marRight w:val="0"/>
              <w:marTop w:val="0"/>
              <w:marBottom w:val="0"/>
              <w:divBdr>
                <w:top w:val="none" w:sz="0" w:space="0" w:color="auto"/>
                <w:left w:val="none" w:sz="0" w:space="0" w:color="auto"/>
                <w:bottom w:val="none" w:sz="0" w:space="0" w:color="auto"/>
                <w:right w:val="none" w:sz="0" w:space="0" w:color="auto"/>
              </w:divBdr>
              <w:divsChild>
                <w:div w:id="1913346381">
                  <w:marLeft w:val="0"/>
                  <w:marRight w:val="0"/>
                  <w:marTop w:val="0"/>
                  <w:marBottom w:val="0"/>
                  <w:divBdr>
                    <w:top w:val="none" w:sz="0" w:space="0" w:color="auto"/>
                    <w:left w:val="none" w:sz="0" w:space="0" w:color="auto"/>
                    <w:bottom w:val="none" w:sz="0" w:space="0" w:color="auto"/>
                    <w:right w:val="none" w:sz="0" w:space="0" w:color="auto"/>
                  </w:divBdr>
                  <w:divsChild>
                    <w:div w:id="1205170607">
                      <w:marLeft w:val="0"/>
                      <w:marRight w:val="0"/>
                      <w:marTop w:val="0"/>
                      <w:marBottom w:val="0"/>
                      <w:divBdr>
                        <w:top w:val="none" w:sz="0" w:space="0" w:color="auto"/>
                        <w:left w:val="none" w:sz="0" w:space="0" w:color="auto"/>
                        <w:bottom w:val="none" w:sz="0" w:space="0" w:color="auto"/>
                        <w:right w:val="none" w:sz="0" w:space="0" w:color="auto"/>
                      </w:divBdr>
                      <w:divsChild>
                        <w:div w:id="1055667349">
                          <w:marLeft w:val="0"/>
                          <w:marRight w:val="0"/>
                          <w:marTop w:val="0"/>
                          <w:marBottom w:val="0"/>
                          <w:divBdr>
                            <w:top w:val="none" w:sz="0" w:space="0" w:color="auto"/>
                            <w:left w:val="none" w:sz="0" w:space="0" w:color="auto"/>
                            <w:bottom w:val="none" w:sz="0" w:space="0" w:color="auto"/>
                            <w:right w:val="none" w:sz="0" w:space="0" w:color="auto"/>
                          </w:divBdr>
                          <w:divsChild>
                            <w:div w:id="456527264">
                              <w:marLeft w:val="0"/>
                              <w:marRight w:val="0"/>
                              <w:marTop w:val="0"/>
                              <w:marBottom w:val="0"/>
                              <w:divBdr>
                                <w:top w:val="none" w:sz="0" w:space="0" w:color="auto"/>
                                <w:left w:val="none" w:sz="0" w:space="0" w:color="auto"/>
                                <w:bottom w:val="none" w:sz="0" w:space="0" w:color="auto"/>
                                <w:right w:val="none" w:sz="0" w:space="0" w:color="auto"/>
                              </w:divBdr>
                              <w:divsChild>
                                <w:div w:id="913392525">
                                  <w:marLeft w:val="0"/>
                                  <w:marRight w:val="0"/>
                                  <w:marTop w:val="0"/>
                                  <w:marBottom w:val="0"/>
                                  <w:divBdr>
                                    <w:top w:val="none" w:sz="0" w:space="0" w:color="auto"/>
                                    <w:left w:val="none" w:sz="0" w:space="0" w:color="auto"/>
                                    <w:bottom w:val="none" w:sz="0" w:space="0" w:color="auto"/>
                                    <w:right w:val="none" w:sz="0" w:space="0" w:color="auto"/>
                                  </w:divBdr>
                                  <w:divsChild>
                                    <w:div w:id="1874927856">
                                      <w:marLeft w:val="0"/>
                                      <w:marRight w:val="0"/>
                                      <w:marTop w:val="0"/>
                                      <w:marBottom w:val="0"/>
                                      <w:divBdr>
                                        <w:top w:val="none" w:sz="0" w:space="0" w:color="auto"/>
                                        <w:left w:val="none" w:sz="0" w:space="0" w:color="auto"/>
                                        <w:bottom w:val="none" w:sz="0" w:space="0" w:color="auto"/>
                                        <w:right w:val="none" w:sz="0" w:space="0" w:color="auto"/>
                                      </w:divBdr>
                                      <w:divsChild>
                                        <w:div w:id="1281298219">
                                          <w:marLeft w:val="0"/>
                                          <w:marRight w:val="0"/>
                                          <w:marTop w:val="0"/>
                                          <w:marBottom w:val="0"/>
                                          <w:divBdr>
                                            <w:top w:val="none" w:sz="0" w:space="0" w:color="auto"/>
                                            <w:left w:val="none" w:sz="0" w:space="0" w:color="auto"/>
                                            <w:bottom w:val="none" w:sz="0" w:space="0" w:color="auto"/>
                                            <w:right w:val="none" w:sz="0" w:space="0" w:color="auto"/>
                                          </w:divBdr>
                                          <w:divsChild>
                                            <w:div w:id="1853379008">
                                              <w:marLeft w:val="0"/>
                                              <w:marRight w:val="0"/>
                                              <w:marTop w:val="0"/>
                                              <w:marBottom w:val="0"/>
                                              <w:divBdr>
                                                <w:top w:val="none" w:sz="0" w:space="0" w:color="auto"/>
                                                <w:left w:val="none" w:sz="0" w:space="0" w:color="auto"/>
                                                <w:bottom w:val="none" w:sz="0" w:space="0" w:color="auto"/>
                                                <w:right w:val="none" w:sz="0" w:space="0" w:color="auto"/>
                                              </w:divBdr>
                                              <w:divsChild>
                                                <w:div w:id="826170788">
                                                  <w:marLeft w:val="0"/>
                                                  <w:marRight w:val="0"/>
                                                  <w:marTop w:val="0"/>
                                                  <w:marBottom w:val="0"/>
                                                  <w:divBdr>
                                                    <w:top w:val="none" w:sz="0" w:space="0" w:color="auto"/>
                                                    <w:left w:val="none" w:sz="0" w:space="0" w:color="auto"/>
                                                    <w:bottom w:val="none" w:sz="0" w:space="0" w:color="auto"/>
                                                    <w:right w:val="none" w:sz="0" w:space="0" w:color="auto"/>
                                                  </w:divBdr>
                                                  <w:divsChild>
                                                    <w:div w:id="1801149277">
                                                      <w:marLeft w:val="0"/>
                                                      <w:marRight w:val="0"/>
                                                      <w:marTop w:val="0"/>
                                                      <w:marBottom w:val="0"/>
                                                      <w:divBdr>
                                                        <w:top w:val="none" w:sz="0" w:space="0" w:color="auto"/>
                                                        <w:left w:val="none" w:sz="0" w:space="0" w:color="auto"/>
                                                        <w:bottom w:val="none" w:sz="0" w:space="0" w:color="auto"/>
                                                        <w:right w:val="none" w:sz="0" w:space="0" w:color="auto"/>
                                                      </w:divBdr>
                                                      <w:divsChild>
                                                        <w:div w:id="305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50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E799-DA05-4827-9BB9-EA1AEF3C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1407</Words>
  <Characters>8224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EXPLANATORY STATEMENT</vt:lpstr>
    </vt:vector>
  </TitlesOfParts>
  <Manager/>
  <Company/>
  <LinksUpToDate>false</LinksUpToDate>
  <CharactersWithSpaces>9612</CharactersWithSpaces>
  <SharedDoc>false</SharedDoc>
  <HLinks>
    <vt:vector size="42" baseType="variant">
      <vt:variant>
        <vt:i4>524373</vt:i4>
      </vt:variant>
      <vt:variant>
        <vt:i4>18</vt:i4>
      </vt:variant>
      <vt:variant>
        <vt:i4>0</vt:i4>
      </vt:variant>
      <vt:variant>
        <vt:i4>5</vt:i4>
      </vt:variant>
      <vt:variant>
        <vt:lpwstr>http://www.ag.gov.au/RightsAndProtections/HumanRights/PublicSector/Pages/Toolforassessinghumanrightscompatibility.aspx</vt:lpwstr>
      </vt:variant>
      <vt:variant>
        <vt:lpwstr>3flowchart</vt:lpwstr>
      </vt:variant>
      <vt:variant>
        <vt:i4>6684771</vt:i4>
      </vt:variant>
      <vt:variant>
        <vt:i4>15</vt:i4>
      </vt:variant>
      <vt:variant>
        <vt:i4>0</vt:i4>
      </vt:variant>
      <vt:variant>
        <vt:i4>5</vt:i4>
      </vt:variant>
      <vt:variant>
        <vt:lpwstr>http://www.ag.gov.au/RightsAndProtections/HumanRights/PublicSectorGuidanceSheets/Pages/Permissiblelimitations.aspx</vt:lpwstr>
      </vt:variant>
      <vt:variant>
        <vt:lpwstr/>
      </vt:variant>
      <vt:variant>
        <vt:i4>6881396</vt:i4>
      </vt:variant>
      <vt:variant>
        <vt:i4>12</vt:i4>
      </vt:variant>
      <vt:variant>
        <vt:i4>0</vt:i4>
      </vt:variant>
      <vt:variant>
        <vt:i4>5</vt:i4>
      </vt:variant>
      <vt:variant>
        <vt:lpwstr>http://www.aph.gov.au/Parliamentary_Business/Committees/Joint/Human_Rights</vt:lpwstr>
      </vt:variant>
      <vt:variant>
        <vt:lpwstr/>
      </vt:variant>
      <vt:variant>
        <vt:i4>5308456</vt:i4>
      </vt:variant>
      <vt:variant>
        <vt:i4>9</vt:i4>
      </vt:variant>
      <vt:variant>
        <vt:i4>0</vt:i4>
      </vt:variant>
      <vt:variant>
        <vt:i4>5</vt:i4>
      </vt:variant>
      <vt:variant>
        <vt:lpwstr>https://www.aph.gov.au/Parliamentary_Business/Committees/Joint/Human_Rights/Guidance_Notes_and_Resources</vt:lpwstr>
      </vt:variant>
      <vt:variant>
        <vt:lpwstr/>
      </vt:variant>
      <vt:variant>
        <vt:i4>2490404</vt:i4>
      </vt:variant>
      <vt:variant>
        <vt:i4>6</vt:i4>
      </vt:variant>
      <vt:variant>
        <vt:i4>0</vt:i4>
      </vt:variant>
      <vt:variant>
        <vt:i4>5</vt:i4>
      </vt:variant>
      <vt:variant>
        <vt:lpwstr>https://www.ag.gov.au/rights-and-protections/human-rights-and-anti-discrimination/human-rights-scrutiny/statements-compatibility-templates</vt:lpwstr>
      </vt:variant>
      <vt:variant>
        <vt:lpwstr/>
      </vt:variant>
      <vt:variant>
        <vt:i4>917584</vt:i4>
      </vt:variant>
      <vt:variant>
        <vt:i4>3</vt:i4>
      </vt:variant>
      <vt:variant>
        <vt:i4>0</vt:i4>
      </vt:variant>
      <vt:variant>
        <vt:i4>5</vt:i4>
      </vt:variant>
      <vt:variant>
        <vt:lpwstr>https://www.aph.gov.au/Parliamentary_Business/Committees/Senate/Scrutiny_of_Delegated_Legislation/Guidelines</vt:lpwstr>
      </vt:variant>
      <vt:variant>
        <vt:lpwstr/>
      </vt:variant>
      <vt:variant>
        <vt:i4>721007</vt:i4>
      </vt:variant>
      <vt:variant>
        <vt:i4>0</vt:i4>
      </vt:variant>
      <vt:variant>
        <vt:i4>0</vt:i4>
      </vt:variant>
      <vt:variant>
        <vt:i4>5</vt:i4>
      </vt:variant>
      <vt:variant>
        <vt:lpwstr>mailto:healthlawadvice@health.gov.au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
  <cp:keywords/>
  <dc:description/>
  <cp:lastModifiedBy/>
  <cp:revision>1</cp:revision>
  <cp:lastPrinted>2011-11-04T01:54:00Z</cp:lastPrinted>
  <dcterms:created xsi:type="dcterms:W3CDTF">2024-06-26T01:33:00Z</dcterms:created>
  <dcterms:modified xsi:type="dcterms:W3CDTF">2024-06-26T01:33:00Z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