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D61634" w14:textId="77777777" w:rsidR="001E51F5" w:rsidRPr="00D11572" w:rsidRDefault="001E51F5" w:rsidP="001E51F5">
      <w:pPr>
        <w:spacing w:after="0" w:line="240" w:lineRule="auto"/>
        <w:jc w:val="center"/>
        <w:rPr>
          <w:rFonts w:eastAsia="Times New Roman"/>
          <w:b/>
          <w:u w:val="single"/>
          <w:lang w:eastAsia="en-AU"/>
        </w:rPr>
      </w:pPr>
      <w:r w:rsidRPr="00D11572">
        <w:rPr>
          <w:rFonts w:eastAsia="Times New Roman"/>
          <w:b/>
          <w:u w:val="single"/>
          <w:lang w:eastAsia="en-AU"/>
        </w:rPr>
        <w:t>EXPLANATORY STATEMENT</w:t>
      </w:r>
    </w:p>
    <w:p w14:paraId="211EA175" w14:textId="77777777" w:rsidR="001E51F5" w:rsidRPr="009E6639" w:rsidRDefault="001E51F5" w:rsidP="001E51F5">
      <w:pPr>
        <w:spacing w:after="0" w:line="240" w:lineRule="auto"/>
        <w:jc w:val="center"/>
        <w:rPr>
          <w:rFonts w:eastAsia="Times New Roman"/>
          <w:bCs/>
          <w:lang w:eastAsia="en-AU"/>
        </w:rPr>
      </w:pPr>
    </w:p>
    <w:p w14:paraId="2F24D3CE" w14:textId="77777777" w:rsidR="001E51F5" w:rsidRPr="00D11572" w:rsidRDefault="001E51F5" w:rsidP="001E51F5">
      <w:pPr>
        <w:spacing w:after="0" w:line="240" w:lineRule="auto"/>
        <w:jc w:val="center"/>
        <w:rPr>
          <w:rFonts w:eastAsia="Times New Roman"/>
          <w:u w:val="single"/>
          <w:lang w:eastAsia="en-AU"/>
        </w:rPr>
      </w:pPr>
      <w:r w:rsidRPr="00D11572">
        <w:rPr>
          <w:rFonts w:eastAsia="Times New Roman"/>
          <w:i/>
          <w:lang w:eastAsia="en-AU"/>
        </w:rPr>
        <w:t>Therapeutic Goods Act 1989</w:t>
      </w:r>
    </w:p>
    <w:p w14:paraId="32DE588F" w14:textId="77777777" w:rsidR="001E51F5" w:rsidRPr="009E6639" w:rsidRDefault="001E51F5" w:rsidP="001E51F5">
      <w:pPr>
        <w:spacing w:after="0" w:line="240" w:lineRule="auto"/>
        <w:jc w:val="center"/>
        <w:rPr>
          <w:rFonts w:eastAsia="Times New Roman"/>
          <w:lang w:eastAsia="en-AU"/>
        </w:rPr>
      </w:pPr>
    </w:p>
    <w:p w14:paraId="16F82DCF" w14:textId="6D269667" w:rsidR="001E51F5" w:rsidRPr="00D11572" w:rsidRDefault="007F2274" w:rsidP="001E51F5">
      <w:pPr>
        <w:spacing w:after="0" w:line="240" w:lineRule="auto"/>
        <w:jc w:val="center"/>
        <w:rPr>
          <w:rFonts w:eastAsia="Times New Roman"/>
          <w:i/>
          <w:lang w:eastAsia="en-AU"/>
        </w:rPr>
      </w:pPr>
      <w:r w:rsidRPr="00D11572">
        <w:rPr>
          <w:rFonts w:eastAsia="Times New Roman"/>
          <w:i/>
          <w:lang w:eastAsia="en-AU"/>
        </w:rPr>
        <w:t>Therapeutic Goods (Medical Devices—Information that Must Accompany Application for Inclusion) Amendment</w:t>
      </w:r>
      <w:r w:rsidR="00C06DFE" w:rsidRPr="00D11572">
        <w:rPr>
          <w:rFonts w:eastAsia="Times New Roman"/>
          <w:i/>
          <w:lang w:eastAsia="en-AU"/>
        </w:rPr>
        <w:t xml:space="preserve"> </w:t>
      </w:r>
      <w:r w:rsidR="001A65B1" w:rsidRPr="00D11572">
        <w:rPr>
          <w:rFonts w:eastAsia="Times New Roman"/>
          <w:bCs/>
          <w:i/>
          <w:lang w:eastAsia="en-AU"/>
        </w:rPr>
        <w:t>Determination</w:t>
      </w:r>
      <w:r w:rsidR="001A65B1" w:rsidRPr="009E6639">
        <w:rPr>
          <w:rFonts w:eastAsia="Times New Roman"/>
          <w:i/>
          <w:lang w:eastAsia="en-AU"/>
        </w:rPr>
        <w:t xml:space="preserve"> </w:t>
      </w:r>
      <w:r w:rsidR="00CA2BF2" w:rsidRPr="00D11572">
        <w:rPr>
          <w:rFonts w:eastAsia="Times New Roman"/>
          <w:i/>
          <w:lang w:eastAsia="en-AU"/>
        </w:rPr>
        <w:t>202</w:t>
      </w:r>
      <w:r w:rsidR="00EF46F8" w:rsidRPr="00D11572">
        <w:rPr>
          <w:rFonts w:eastAsia="Times New Roman"/>
          <w:i/>
          <w:lang w:eastAsia="en-AU"/>
        </w:rPr>
        <w:t>4</w:t>
      </w:r>
    </w:p>
    <w:p w14:paraId="4A021918" w14:textId="77777777" w:rsidR="001E51F5" w:rsidRPr="00D11572" w:rsidRDefault="001E51F5" w:rsidP="001E51F5">
      <w:pPr>
        <w:autoSpaceDE w:val="0"/>
        <w:autoSpaceDN w:val="0"/>
        <w:adjustRightInd w:val="0"/>
        <w:spacing w:after="0" w:line="240" w:lineRule="auto"/>
        <w:jc w:val="center"/>
        <w:rPr>
          <w:rFonts w:eastAsia="Times New Roman"/>
          <w:lang w:eastAsia="en-AU"/>
        </w:rPr>
      </w:pPr>
    </w:p>
    <w:p w14:paraId="4D897EB7" w14:textId="2DD2BA56" w:rsidR="001E51F5" w:rsidRPr="00D11572" w:rsidRDefault="001E51F5" w:rsidP="001E51F5">
      <w:pPr>
        <w:autoSpaceDE w:val="0"/>
        <w:autoSpaceDN w:val="0"/>
        <w:adjustRightInd w:val="0"/>
        <w:spacing w:after="0" w:line="240" w:lineRule="auto"/>
        <w:rPr>
          <w:rFonts w:eastAsia="Times New Roman"/>
          <w:lang w:eastAsia="en-AU"/>
        </w:rPr>
      </w:pPr>
      <w:r w:rsidRPr="00D11572">
        <w:rPr>
          <w:rFonts w:eastAsia="Times New Roman"/>
          <w:lang w:eastAsia="en-AU"/>
        </w:rPr>
        <w:t xml:space="preserve">The </w:t>
      </w:r>
      <w:r w:rsidRPr="00D11572">
        <w:rPr>
          <w:rFonts w:eastAsia="Times New Roman"/>
          <w:i/>
          <w:lang w:eastAsia="en-AU"/>
        </w:rPr>
        <w:t>Therapeutic Goods Act 1989</w:t>
      </w:r>
      <w:r w:rsidRPr="00D11572">
        <w:rPr>
          <w:rFonts w:eastAsia="Times New Roman"/>
          <w:lang w:eastAsia="en-AU"/>
        </w:rPr>
        <w:t xml:space="preserve"> (“the Act”) provides for the establishment and maintenance of a national system of controls for the quality, safety, efficacy </w:t>
      </w:r>
      <w:r w:rsidR="0010031D" w:rsidRPr="00D11572">
        <w:rPr>
          <w:rFonts w:eastAsia="Times New Roman"/>
          <w:lang w:eastAsia="en-AU"/>
        </w:rPr>
        <w:t xml:space="preserve">or performance, </w:t>
      </w:r>
      <w:r w:rsidRPr="00D11572">
        <w:rPr>
          <w:rFonts w:eastAsia="Times New Roman"/>
          <w:lang w:eastAsia="en-AU"/>
        </w:rPr>
        <w:t>and timely availability of therapeutic goods that are used in, or exported from, Australia. The Act is administered by the Therapeutic Goods Administration (“the TGA”) within the Australian Government Department of Health</w:t>
      </w:r>
      <w:r w:rsidR="004E54A9" w:rsidRPr="00D11572">
        <w:rPr>
          <w:rFonts w:eastAsia="Times New Roman"/>
          <w:lang w:eastAsia="en-AU"/>
        </w:rPr>
        <w:t xml:space="preserve"> and Aged Care</w:t>
      </w:r>
      <w:r w:rsidR="0010031D" w:rsidRPr="00D11572">
        <w:rPr>
          <w:rFonts w:eastAsia="Times New Roman"/>
          <w:lang w:eastAsia="en-AU"/>
        </w:rPr>
        <w:t>.</w:t>
      </w:r>
    </w:p>
    <w:p w14:paraId="2ECF19E2" w14:textId="77777777" w:rsidR="001E51F5" w:rsidRPr="00D11572" w:rsidRDefault="001E51F5" w:rsidP="001E51F5">
      <w:pPr>
        <w:autoSpaceDE w:val="0"/>
        <w:autoSpaceDN w:val="0"/>
        <w:adjustRightInd w:val="0"/>
        <w:spacing w:after="0" w:line="240" w:lineRule="auto"/>
        <w:rPr>
          <w:rFonts w:eastAsia="Times New Roman"/>
          <w:lang w:eastAsia="en-AU"/>
        </w:rPr>
      </w:pPr>
    </w:p>
    <w:p w14:paraId="5A20C00D" w14:textId="5EDF2D8C" w:rsidR="000F38EB" w:rsidRPr="00D11572" w:rsidRDefault="000F38EB" w:rsidP="001E51F5">
      <w:pPr>
        <w:autoSpaceDE w:val="0"/>
        <w:autoSpaceDN w:val="0"/>
        <w:adjustRightInd w:val="0"/>
        <w:spacing w:after="0" w:line="240" w:lineRule="auto"/>
        <w:rPr>
          <w:rFonts w:eastAsia="Times New Roman"/>
          <w:lang w:eastAsia="en-AU"/>
        </w:rPr>
      </w:pPr>
      <w:r w:rsidRPr="00D11572">
        <w:rPr>
          <w:rFonts w:eastAsia="Times New Roman"/>
          <w:lang w:eastAsia="en-AU"/>
        </w:rPr>
        <w:t xml:space="preserve">Section 41FDB of the Act sets out preliminary assessment requirements in relation to an application to the Secretary for a kind of medical device to be included in the </w:t>
      </w:r>
      <w:r w:rsidR="001760F0" w:rsidRPr="00D11572">
        <w:rPr>
          <w:rFonts w:eastAsia="Times New Roman"/>
          <w:lang w:eastAsia="en-AU"/>
        </w:rPr>
        <w:t xml:space="preserve">Australian </w:t>
      </w:r>
      <w:r w:rsidRPr="00D11572">
        <w:rPr>
          <w:rFonts w:eastAsia="Times New Roman"/>
          <w:lang w:eastAsia="en-AU"/>
        </w:rPr>
        <w:t>Register</w:t>
      </w:r>
      <w:r w:rsidR="001760F0" w:rsidRPr="00D11572">
        <w:rPr>
          <w:rFonts w:eastAsia="Times New Roman"/>
          <w:lang w:eastAsia="en-AU"/>
        </w:rPr>
        <w:t xml:space="preserve"> of Therapeutic Goods (“the Register”)</w:t>
      </w:r>
      <w:r w:rsidRPr="00D11572">
        <w:rPr>
          <w:rFonts w:eastAsia="Times New Roman"/>
          <w:lang w:eastAsia="en-AU"/>
        </w:rPr>
        <w:t xml:space="preserve">.  These include </w:t>
      </w:r>
      <w:r w:rsidR="00573284" w:rsidRPr="00D11572">
        <w:rPr>
          <w:rFonts w:eastAsia="Times New Roman"/>
          <w:lang w:eastAsia="en-AU"/>
        </w:rPr>
        <w:t xml:space="preserve">the </w:t>
      </w:r>
      <w:r w:rsidRPr="00D11572">
        <w:rPr>
          <w:rFonts w:eastAsia="Times New Roman"/>
          <w:lang w:eastAsia="en-AU"/>
        </w:rPr>
        <w:t>requirements that an application be accompanied by information that is of a kind determined under subsection 41</w:t>
      </w:r>
      <w:proofErr w:type="gramStart"/>
      <w:r w:rsidRPr="00D11572">
        <w:rPr>
          <w:rFonts w:eastAsia="Times New Roman"/>
          <w:lang w:eastAsia="en-AU"/>
        </w:rPr>
        <w:t>FDB(</w:t>
      </w:r>
      <w:proofErr w:type="gramEnd"/>
      <w:r w:rsidRPr="00D11572">
        <w:rPr>
          <w:rFonts w:eastAsia="Times New Roman"/>
          <w:lang w:eastAsia="en-AU"/>
        </w:rPr>
        <w:t>7)</w:t>
      </w:r>
      <w:r w:rsidR="00573284" w:rsidRPr="00D11572">
        <w:rPr>
          <w:rFonts w:eastAsia="Times New Roman"/>
          <w:lang w:eastAsia="en-AU"/>
        </w:rPr>
        <w:t>,</w:t>
      </w:r>
      <w:r w:rsidRPr="00D11572">
        <w:rPr>
          <w:rFonts w:eastAsia="Times New Roman"/>
          <w:lang w:eastAsia="en-AU"/>
        </w:rPr>
        <w:t xml:space="preserve"> in a form determined under subsection 41FDB(8), for the relevant classification of medical device</w:t>
      </w:r>
      <w:r w:rsidR="0091430D" w:rsidRPr="00D11572">
        <w:rPr>
          <w:rFonts w:eastAsia="Times New Roman"/>
          <w:lang w:eastAsia="en-AU"/>
        </w:rPr>
        <w:t xml:space="preserve"> (subparagraphs 41FDB(2)(d)(i) and (ii) </w:t>
      </w:r>
      <w:r w:rsidR="0010031D" w:rsidRPr="00D11572">
        <w:rPr>
          <w:rFonts w:eastAsia="Times New Roman"/>
          <w:lang w:eastAsia="en-AU"/>
        </w:rPr>
        <w:t xml:space="preserve">of the Act </w:t>
      </w:r>
      <w:r w:rsidR="0091430D" w:rsidRPr="00D11572">
        <w:rPr>
          <w:rFonts w:eastAsia="Times New Roman"/>
          <w:lang w:eastAsia="en-AU"/>
        </w:rPr>
        <w:t>refer)</w:t>
      </w:r>
      <w:r w:rsidRPr="00D11572">
        <w:rPr>
          <w:rFonts w:eastAsia="Times New Roman"/>
          <w:lang w:eastAsia="en-AU"/>
        </w:rPr>
        <w:t>.</w:t>
      </w:r>
    </w:p>
    <w:p w14:paraId="3574A178" w14:textId="77777777" w:rsidR="000F38EB" w:rsidRPr="00D11572" w:rsidRDefault="000F38EB" w:rsidP="001E51F5">
      <w:pPr>
        <w:autoSpaceDE w:val="0"/>
        <w:autoSpaceDN w:val="0"/>
        <w:adjustRightInd w:val="0"/>
        <w:spacing w:after="0" w:line="240" w:lineRule="auto"/>
        <w:rPr>
          <w:rFonts w:eastAsia="Times New Roman"/>
          <w:lang w:eastAsia="en-AU"/>
        </w:rPr>
      </w:pPr>
    </w:p>
    <w:p w14:paraId="56633DE7" w14:textId="50889424" w:rsidR="000F38EB" w:rsidRPr="00D11572" w:rsidRDefault="000F38EB" w:rsidP="001E51F5">
      <w:pPr>
        <w:autoSpaceDE w:val="0"/>
        <w:autoSpaceDN w:val="0"/>
        <w:adjustRightInd w:val="0"/>
        <w:spacing w:after="0" w:line="240" w:lineRule="auto"/>
        <w:rPr>
          <w:rFonts w:eastAsia="Times New Roman"/>
          <w:lang w:eastAsia="en-AU"/>
        </w:rPr>
      </w:pPr>
      <w:r w:rsidRPr="00D11572">
        <w:rPr>
          <w:rFonts w:eastAsia="Times New Roman"/>
          <w:lang w:eastAsia="en-AU"/>
        </w:rPr>
        <w:t>Relevantly, subsections 41</w:t>
      </w:r>
      <w:proofErr w:type="gramStart"/>
      <w:r w:rsidRPr="00D11572">
        <w:rPr>
          <w:rFonts w:eastAsia="Times New Roman"/>
          <w:lang w:eastAsia="en-AU"/>
        </w:rPr>
        <w:t>FDB(</w:t>
      </w:r>
      <w:proofErr w:type="gramEnd"/>
      <w:r w:rsidRPr="00D11572">
        <w:rPr>
          <w:rFonts w:eastAsia="Times New Roman"/>
          <w:lang w:eastAsia="en-AU"/>
        </w:rPr>
        <w:t>7) and (8)</w:t>
      </w:r>
      <w:r w:rsidR="0091430D" w:rsidRPr="00D11572">
        <w:rPr>
          <w:rFonts w:eastAsia="Times New Roman"/>
          <w:lang w:eastAsia="en-AU"/>
        </w:rPr>
        <w:t xml:space="preserve"> of the Act</w:t>
      </w:r>
      <w:r w:rsidRPr="00D11572">
        <w:rPr>
          <w:rFonts w:eastAsia="Times New Roman"/>
          <w:lang w:eastAsia="en-AU"/>
        </w:rPr>
        <w:t xml:space="preserve"> provide that the Secretary may, by legislative instrument, determine a kind and form of information </w:t>
      </w:r>
      <w:r w:rsidR="0010031D" w:rsidRPr="00D11572">
        <w:rPr>
          <w:rFonts w:eastAsia="Times New Roman"/>
          <w:lang w:eastAsia="en-AU"/>
        </w:rPr>
        <w:t>(</w:t>
      </w:r>
      <w:r w:rsidRPr="00D11572">
        <w:rPr>
          <w:rFonts w:eastAsia="Times New Roman"/>
          <w:lang w:eastAsia="en-AU"/>
        </w:rPr>
        <w:t>respectively</w:t>
      </w:r>
      <w:r w:rsidR="0010031D" w:rsidRPr="00D11572">
        <w:rPr>
          <w:rFonts w:eastAsia="Times New Roman"/>
          <w:lang w:eastAsia="en-AU"/>
        </w:rPr>
        <w:t>)</w:t>
      </w:r>
      <w:r w:rsidRPr="00D11572">
        <w:rPr>
          <w:rFonts w:eastAsia="Times New Roman"/>
          <w:lang w:eastAsia="en-AU"/>
        </w:rPr>
        <w:t xml:space="preserve"> for the purposes of an application mentioned </w:t>
      </w:r>
      <w:r w:rsidR="0091430D" w:rsidRPr="00D11572">
        <w:rPr>
          <w:rFonts w:eastAsia="Times New Roman"/>
          <w:lang w:eastAsia="en-AU"/>
        </w:rPr>
        <w:t>in subparagraphs 41FDB(2)(d)(i) and</w:t>
      </w:r>
      <w:r w:rsidR="00F7394F" w:rsidRPr="00D11572">
        <w:rPr>
          <w:rFonts w:eastAsia="Times New Roman"/>
          <w:lang w:eastAsia="en-AU"/>
        </w:rPr>
        <w:t xml:space="preserve"> </w:t>
      </w:r>
      <w:r w:rsidR="0091430D" w:rsidRPr="00D11572">
        <w:rPr>
          <w:rFonts w:eastAsia="Times New Roman"/>
          <w:lang w:eastAsia="en-AU"/>
        </w:rPr>
        <w:t xml:space="preserve">(ii) of the Act </w:t>
      </w:r>
      <w:r w:rsidR="0010031D" w:rsidRPr="00D11572">
        <w:rPr>
          <w:rFonts w:eastAsia="Times New Roman"/>
          <w:lang w:eastAsia="en-AU"/>
        </w:rPr>
        <w:t>for inclusion of a</w:t>
      </w:r>
      <w:r w:rsidR="0091430D" w:rsidRPr="00D11572">
        <w:rPr>
          <w:rFonts w:eastAsia="Times New Roman"/>
          <w:lang w:eastAsia="en-AU"/>
        </w:rPr>
        <w:t xml:space="preserve"> medical devices of a particular classification</w:t>
      </w:r>
      <w:r w:rsidR="0010031D" w:rsidRPr="00D11572">
        <w:rPr>
          <w:rFonts w:eastAsia="Times New Roman"/>
          <w:lang w:eastAsia="en-AU"/>
        </w:rPr>
        <w:t xml:space="preserve"> in the Register</w:t>
      </w:r>
      <w:r w:rsidR="0091430D" w:rsidRPr="00D11572">
        <w:rPr>
          <w:rFonts w:eastAsia="Times New Roman"/>
          <w:lang w:eastAsia="en-AU"/>
        </w:rPr>
        <w:t>.</w:t>
      </w:r>
    </w:p>
    <w:p w14:paraId="384AA16F" w14:textId="77777777" w:rsidR="0091430D" w:rsidRPr="00D11572" w:rsidRDefault="0091430D" w:rsidP="00E47491">
      <w:pPr>
        <w:autoSpaceDE w:val="0"/>
        <w:autoSpaceDN w:val="0"/>
        <w:adjustRightInd w:val="0"/>
        <w:spacing w:after="0" w:line="240" w:lineRule="auto"/>
        <w:rPr>
          <w:rFonts w:eastAsia="Times New Roman"/>
          <w:lang w:eastAsia="en-AU"/>
        </w:rPr>
      </w:pPr>
    </w:p>
    <w:p w14:paraId="221FE2FD" w14:textId="1B11328D" w:rsidR="0091430D" w:rsidRPr="00D11572" w:rsidRDefault="0091430D" w:rsidP="00E47491">
      <w:pPr>
        <w:autoSpaceDE w:val="0"/>
        <w:autoSpaceDN w:val="0"/>
        <w:adjustRightInd w:val="0"/>
        <w:spacing w:after="0" w:line="240" w:lineRule="auto"/>
        <w:rPr>
          <w:rFonts w:eastAsia="Times New Roman"/>
          <w:lang w:eastAsia="en-AU"/>
        </w:rPr>
      </w:pPr>
      <w:r w:rsidRPr="00D11572">
        <w:rPr>
          <w:rFonts w:eastAsia="Times New Roman"/>
          <w:lang w:eastAsia="en-AU"/>
        </w:rPr>
        <w:t xml:space="preserve">The </w:t>
      </w:r>
      <w:r w:rsidRPr="00D11572">
        <w:rPr>
          <w:rFonts w:eastAsia="Times New Roman"/>
          <w:i/>
          <w:iCs/>
          <w:lang w:eastAsia="en-AU"/>
        </w:rPr>
        <w:t>Therapeutic Goods (Medical Devices—Information that Must Accompany Application for Inclusion) Determination 2018</w:t>
      </w:r>
      <w:r w:rsidRPr="00D11572">
        <w:rPr>
          <w:rFonts w:eastAsia="Times New Roman"/>
          <w:lang w:eastAsia="en-AU"/>
        </w:rPr>
        <w:t xml:space="preserve"> (“</w:t>
      </w:r>
      <w:r w:rsidR="001760F0" w:rsidRPr="00D11572">
        <w:rPr>
          <w:rFonts w:eastAsia="Times New Roman"/>
          <w:lang w:eastAsia="en-AU"/>
        </w:rPr>
        <w:t xml:space="preserve">the </w:t>
      </w:r>
      <w:r w:rsidRPr="00D11572">
        <w:rPr>
          <w:rFonts w:eastAsia="Times New Roman"/>
          <w:lang w:eastAsia="en-AU"/>
        </w:rPr>
        <w:t xml:space="preserve">Principal Determination”) </w:t>
      </w:r>
      <w:r w:rsidR="001760F0" w:rsidRPr="00D11572">
        <w:rPr>
          <w:rFonts w:eastAsia="Times New Roman"/>
          <w:lang w:eastAsia="en-AU"/>
        </w:rPr>
        <w:t xml:space="preserve">is </w:t>
      </w:r>
      <w:r w:rsidRPr="00D11572">
        <w:rPr>
          <w:rFonts w:eastAsia="Times New Roman"/>
          <w:lang w:eastAsia="en-AU"/>
        </w:rPr>
        <w:t>made under</w:t>
      </w:r>
      <w:r w:rsidR="00F7394F" w:rsidRPr="00D11572">
        <w:rPr>
          <w:rFonts w:eastAsia="Times New Roman"/>
          <w:lang w:eastAsia="en-AU"/>
        </w:rPr>
        <w:t xml:space="preserve"> subsections 41</w:t>
      </w:r>
      <w:proofErr w:type="gramStart"/>
      <w:r w:rsidR="00F7394F" w:rsidRPr="00D11572">
        <w:rPr>
          <w:rFonts w:eastAsia="Times New Roman"/>
          <w:lang w:eastAsia="en-AU"/>
        </w:rPr>
        <w:t>FDB(</w:t>
      </w:r>
      <w:proofErr w:type="gramEnd"/>
      <w:r w:rsidR="00F7394F" w:rsidRPr="00D11572">
        <w:rPr>
          <w:rFonts w:eastAsia="Times New Roman"/>
          <w:lang w:eastAsia="en-AU"/>
        </w:rPr>
        <w:t xml:space="preserve">7) and </w:t>
      </w:r>
      <w:r w:rsidRPr="00D11572">
        <w:rPr>
          <w:rFonts w:eastAsia="Times New Roman"/>
          <w:lang w:eastAsia="en-AU"/>
        </w:rPr>
        <w:t>(8) of the Act. The Principal Determination determines the kind and form of information that must accompany an application for kinds of medical devices of a particular classification to be included in the Register.</w:t>
      </w:r>
    </w:p>
    <w:p w14:paraId="3C53B836" w14:textId="77777777" w:rsidR="0091430D" w:rsidRPr="00D11572" w:rsidRDefault="0091430D" w:rsidP="00E47491">
      <w:pPr>
        <w:autoSpaceDE w:val="0"/>
        <w:autoSpaceDN w:val="0"/>
        <w:adjustRightInd w:val="0"/>
        <w:spacing w:after="0" w:line="240" w:lineRule="auto"/>
        <w:rPr>
          <w:rFonts w:eastAsia="Times New Roman"/>
          <w:lang w:eastAsia="en-AU"/>
        </w:rPr>
      </w:pPr>
    </w:p>
    <w:p w14:paraId="72CEC136" w14:textId="78DC55CB" w:rsidR="0091430D" w:rsidRPr="00D11572" w:rsidRDefault="001760F0" w:rsidP="00E47491">
      <w:pPr>
        <w:autoSpaceDE w:val="0"/>
        <w:autoSpaceDN w:val="0"/>
        <w:adjustRightInd w:val="0"/>
        <w:spacing w:after="0" w:line="240" w:lineRule="auto"/>
        <w:rPr>
          <w:rFonts w:eastAsia="Times New Roman"/>
          <w:lang w:eastAsia="en-AU"/>
        </w:rPr>
      </w:pPr>
      <w:r w:rsidRPr="00D11572">
        <w:rPr>
          <w:rFonts w:eastAsia="Times New Roman"/>
          <w:lang w:eastAsia="en-AU"/>
        </w:rPr>
        <w:t xml:space="preserve">The kinds of information specified in the Principal Determination relate to the conformity assessment documents that are required to demonstrate that appropriate conformity assessment procedures have been applied by the manufacturer to its quality management system and the kind of medical device. The conformity assessment documents include certificates and other documents </w:t>
      </w:r>
      <w:r w:rsidR="00593743" w:rsidRPr="00D11572">
        <w:rPr>
          <w:rFonts w:eastAsia="Times New Roman"/>
          <w:lang w:eastAsia="en-AU"/>
        </w:rPr>
        <w:t xml:space="preserve">that </w:t>
      </w:r>
      <w:r w:rsidRPr="00D11572">
        <w:rPr>
          <w:rFonts w:eastAsia="Times New Roman"/>
          <w:lang w:eastAsia="en-AU"/>
        </w:rPr>
        <w:t>have been issued or recognised by the Secretary</w:t>
      </w:r>
      <w:r w:rsidR="00991C21" w:rsidRPr="00D11572">
        <w:rPr>
          <w:rFonts w:eastAsia="Times New Roman"/>
          <w:lang w:eastAsia="en-AU"/>
        </w:rPr>
        <w:t xml:space="preserve"> and, in the alternative, by a</w:t>
      </w:r>
      <w:r w:rsidR="00683BE0" w:rsidRPr="00D11572">
        <w:rPr>
          <w:rFonts w:eastAsia="Times New Roman"/>
          <w:lang w:eastAsia="en-AU"/>
        </w:rPr>
        <w:t xml:space="preserve"> </w:t>
      </w:r>
      <w:r w:rsidRPr="00D11572">
        <w:rPr>
          <w:rFonts w:eastAsia="Times New Roman"/>
          <w:lang w:eastAsia="en-AU"/>
        </w:rPr>
        <w:t xml:space="preserve">comparable overseas regulator </w:t>
      </w:r>
      <w:r w:rsidR="00991C21" w:rsidRPr="00D11572">
        <w:rPr>
          <w:rFonts w:eastAsia="Times New Roman"/>
          <w:lang w:eastAsia="en-AU"/>
        </w:rPr>
        <w:t>as defined in</w:t>
      </w:r>
      <w:r w:rsidR="00683BE0" w:rsidRPr="00D11572">
        <w:rPr>
          <w:rFonts w:eastAsia="Times New Roman"/>
          <w:lang w:eastAsia="en-AU"/>
        </w:rPr>
        <w:t xml:space="preserve"> </w:t>
      </w:r>
      <w:r w:rsidRPr="00D11572">
        <w:rPr>
          <w:rFonts w:eastAsia="Times New Roman"/>
          <w:lang w:eastAsia="en-AU"/>
        </w:rPr>
        <w:t>section 41BIB of the Act.</w:t>
      </w:r>
    </w:p>
    <w:p w14:paraId="00D72D68" w14:textId="77777777" w:rsidR="001760F0" w:rsidRPr="00D11572" w:rsidRDefault="001760F0" w:rsidP="00E47491">
      <w:pPr>
        <w:autoSpaceDE w:val="0"/>
        <w:autoSpaceDN w:val="0"/>
        <w:adjustRightInd w:val="0"/>
        <w:spacing w:after="0" w:line="240" w:lineRule="auto"/>
        <w:rPr>
          <w:rFonts w:eastAsia="Times New Roman"/>
          <w:lang w:eastAsia="en-AU"/>
        </w:rPr>
      </w:pPr>
    </w:p>
    <w:p w14:paraId="454AFF5D" w14:textId="403841AB" w:rsidR="007E513E" w:rsidRPr="00D11572" w:rsidRDefault="001760F0" w:rsidP="002E7F12">
      <w:pPr>
        <w:spacing w:after="0" w:line="240" w:lineRule="auto"/>
        <w:rPr>
          <w:rFonts w:eastAsia="Times New Roman"/>
          <w:lang w:eastAsia="en-AU"/>
        </w:rPr>
      </w:pPr>
      <w:r w:rsidRPr="00D11572">
        <w:rPr>
          <w:rFonts w:eastAsia="Times New Roman"/>
          <w:lang w:eastAsia="en-AU"/>
        </w:rPr>
        <w:t xml:space="preserve">The </w:t>
      </w:r>
      <w:r w:rsidR="002E7F12" w:rsidRPr="00D11572">
        <w:rPr>
          <w:rFonts w:eastAsia="Times New Roman"/>
          <w:i/>
          <w:lang w:eastAsia="en-AU"/>
        </w:rPr>
        <w:t xml:space="preserve">Therapeutic Goods (Medical Devices—Information that Must Accompany Application for Inclusion) Amendment </w:t>
      </w:r>
      <w:r w:rsidR="002E7F12" w:rsidRPr="00D11572">
        <w:rPr>
          <w:rFonts w:eastAsia="Times New Roman"/>
          <w:bCs/>
          <w:i/>
          <w:lang w:eastAsia="en-AU"/>
        </w:rPr>
        <w:t>Determination</w:t>
      </w:r>
      <w:r w:rsidR="002E7F12" w:rsidRPr="0027534D">
        <w:rPr>
          <w:rFonts w:eastAsia="Times New Roman"/>
          <w:i/>
          <w:lang w:eastAsia="en-AU"/>
        </w:rPr>
        <w:t xml:space="preserve"> </w:t>
      </w:r>
      <w:r w:rsidR="002E7F12" w:rsidRPr="00D11572">
        <w:rPr>
          <w:rFonts w:eastAsia="Times New Roman"/>
          <w:i/>
          <w:lang w:eastAsia="en-AU"/>
        </w:rPr>
        <w:t>202</w:t>
      </w:r>
      <w:r w:rsidR="00EF46F8" w:rsidRPr="00D11572">
        <w:rPr>
          <w:rFonts w:eastAsia="Times New Roman"/>
          <w:i/>
          <w:lang w:eastAsia="en-AU"/>
        </w:rPr>
        <w:t>4</w:t>
      </w:r>
      <w:r w:rsidR="002E7F12" w:rsidRPr="00D11572">
        <w:rPr>
          <w:rFonts w:eastAsia="Times New Roman"/>
          <w:i/>
          <w:lang w:eastAsia="en-AU"/>
        </w:rPr>
        <w:t xml:space="preserve"> </w:t>
      </w:r>
      <w:r w:rsidRPr="00D11572">
        <w:rPr>
          <w:rFonts w:eastAsia="Times New Roman"/>
          <w:lang w:eastAsia="en-AU"/>
        </w:rPr>
        <w:t>(“the Amendment Determination”) is made under subsection 41</w:t>
      </w:r>
      <w:proofErr w:type="gramStart"/>
      <w:r w:rsidRPr="00D11572">
        <w:rPr>
          <w:rFonts w:eastAsia="Times New Roman"/>
          <w:lang w:eastAsia="en-AU"/>
        </w:rPr>
        <w:t>FDB(</w:t>
      </w:r>
      <w:proofErr w:type="gramEnd"/>
      <w:r w:rsidRPr="00D11572">
        <w:rPr>
          <w:rFonts w:eastAsia="Times New Roman"/>
          <w:lang w:eastAsia="en-AU"/>
        </w:rPr>
        <w:t xml:space="preserve">7) of the Act, </w:t>
      </w:r>
      <w:r w:rsidR="00991C21" w:rsidRPr="00D11572">
        <w:rPr>
          <w:rFonts w:eastAsia="Times New Roman"/>
          <w:lang w:eastAsia="en-AU"/>
        </w:rPr>
        <w:t>and makes a number of amendments to the Principal Determination.</w:t>
      </w:r>
    </w:p>
    <w:p w14:paraId="4276E611" w14:textId="77777777" w:rsidR="00991C21" w:rsidRPr="00D11572" w:rsidRDefault="00991C21" w:rsidP="002E7F12">
      <w:pPr>
        <w:spacing w:after="0" w:line="240" w:lineRule="auto"/>
        <w:rPr>
          <w:rFonts w:eastAsia="Times New Roman"/>
          <w:lang w:eastAsia="en-AU"/>
        </w:rPr>
      </w:pPr>
    </w:p>
    <w:p w14:paraId="4CCF3CCD" w14:textId="150CCE37" w:rsidR="00991C21" w:rsidRPr="00D11572" w:rsidRDefault="00991C21" w:rsidP="002E7F12">
      <w:pPr>
        <w:spacing w:after="0" w:line="240" w:lineRule="auto"/>
        <w:rPr>
          <w:rFonts w:eastAsia="Times New Roman"/>
          <w:lang w:eastAsia="en-AU"/>
        </w:rPr>
      </w:pPr>
      <w:r w:rsidRPr="00D11572">
        <w:rPr>
          <w:rFonts w:eastAsia="Times New Roman"/>
          <w:lang w:eastAsia="en-AU"/>
        </w:rPr>
        <w:t>The Amendment Determination amends the Principal Determination principally to:</w:t>
      </w:r>
    </w:p>
    <w:p w14:paraId="396A5346" w14:textId="08433CCD" w:rsidR="00991C21" w:rsidRPr="00D11572" w:rsidRDefault="0065185E" w:rsidP="00991C21">
      <w:pPr>
        <w:pStyle w:val="ListParagraph"/>
        <w:numPr>
          <w:ilvl w:val="0"/>
          <w:numId w:val="10"/>
        </w:numPr>
        <w:spacing w:after="0" w:line="240" w:lineRule="auto"/>
        <w:rPr>
          <w:rFonts w:eastAsia="Times New Roman"/>
          <w:lang w:eastAsia="en-AU"/>
        </w:rPr>
      </w:pPr>
      <w:r>
        <w:rPr>
          <w:rFonts w:eastAsia="Times New Roman"/>
          <w:lang w:eastAsia="en-AU"/>
        </w:rPr>
        <w:t>r</w:t>
      </w:r>
      <w:r w:rsidR="00991C21" w:rsidRPr="00D11572">
        <w:rPr>
          <w:rFonts w:eastAsia="Times New Roman"/>
          <w:lang w:eastAsia="en-AU"/>
        </w:rPr>
        <w:t>emove references, and requirements relating, to ‘specified medical devices’;</w:t>
      </w:r>
    </w:p>
    <w:p w14:paraId="57763C45" w14:textId="2F1D0C98" w:rsidR="00991C21" w:rsidRPr="00D11572" w:rsidRDefault="0065185E" w:rsidP="00991C21">
      <w:pPr>
        <w:pStyle w:val="ListParagraph"/>
        <w:numPr>
          <w:ilvl w:val="0"/>
          <w:numId w:val="10"/>
        </w:numPr>
        <w:spacing w:after="0" w:line="240" w:lineRule="auto"/>
        <w:rPr>
          <w:rFonts w:eastAsia="Times New Roman"/>
          <w:lang w:eastAsia="en-AU"/>
        </w:rPr>
      </w:pPr>
      <w:r>
        <w:rPr>
          <w:rFonts w:eastAsia="Times New Roman"/>
          <w:lang w:eastAsia="en-AU"/>
        </w:rPr>
        <w:t>r</w:t>
      </w:r>
      <w:r w:rsidR="00991C21" w:rsidRPr="00D11572">
        <w:rPr>
          <w:rFonts w:eastAsia="Times New Roman"/>
          <w:lang w:eastAsia="en-AU"/>
        </w:rPr>
        <w:t xml:space="preserve">equire that </w:t>
      </w:r>
      <w:r w:rsidR="0027534D">
        <w:rPr>
          <w:rFonts w:eastAsia="Times New Roman"/>
          <w:lang w:eastAsia="en-AU"/>
        </w:rPr>
        <w:t xml:space="preserve">applications for inclusion of a </w:t>
      </w:r>
      <w:r w:rsidR="00991C21" w:rsidRPr="00D11572">
        <w:rPr>
          <w:rFonts w:eastAsia="Times New Roman"/>
          <w:lang w:eastAsia="en-AU"/>
        </w:rPr>
        <w:t xml:space="preserve">Class III medical devices be accompanied by a clinical </w:t>
      </w:r>
      <w:r w:rsidR="00194FCA">
        <w:rPr>
          <w:rFonts w:eastAsia="Times New Roman"/>
          <w:lang w:eastAsia="en-AU"/>
        </w:rPr>
        <w:t>evaluation</w:t>
      </w:r>
      <w:r w:rsidR="00991C21" w:rsidRPr="00D11572">
        <w:rPr>
          <w:rFonts w:eastAsia="Times New Roman"/>
          <w:lang w:eastAsia="en-AU"/>
        </w:rPr>
        <w:t xml:space="preserve"> report</w:t>
      </w:r>
      <w:r w:rsidR="0027534D">
        <w:rPr>
          <w:rFonts w:eastAsia="Times New Roman"/>
          <w:lang w:eastAsia="en-AU"/>
        </w:rPr>
        <w:t>,</w:t>
      </w:r>
      <w:r w:rsidR="00991C21" w:rsidRPr="00D11572">
        <w:rPr>
          <w:rFonts w:eastAsia="Times New Roman"/>
          <w:lang w:eastAsia="en-AU"/>
        </w:rPr>
        <w:t xml:space="preserve"> </w:t>
      </w:r>
      <w:r w:rsidR="000147F8">
        <w:rPr>
          <w:rFonts w:eastAsia="Times New Roman"/>
          <w:lang w:eastAsia="en-AU"/>
        </w:rPr>
        <w:t>and instructions for use</w:t>
      </w:r>
      <w:r w:rsidR="00991C21" w:rsidRPr="00D11572">
        <w:rPr>
          <w:rFonts w:eastAsia="Times New Roman"/>
          <w:lang w:eastAsia="en-AU"/>
        </w:rPr>
        <w:t>, where the application is not accompanied by a conformity assessment certificate issued by the TGA;</w:t>
      </w:r>
    </w:p>
    <w:p w14:paraId="3747F3BE" w14:textId="3BDB31F6" w:rsidR="00032E46" w:rsidRPr="00D11572" w:rsidRDefault="0065185E" w:rsidP="00991C21">
      <w:pPr>
        <w:pStyle w:val="ListParagraph"/>
        <w:numPr>
          <w:ilvl w:val="0"/>
          <w:numId w:val="10"/>
        </w:numPr>
        <w:spacing w:after="0" w:line="240" w:lineRule="auto"/>
        <w:rPr>
          <w:rFonts w:eastAsia="Times New Roman"/>
          <w:lang w:eastAsia="en-AU"/>
        </w:rPr>
      </w:pPr>
      <w:r>
        <w:rPr>
          <w:rFonts w:eastAsia="Times New Roman"/>
          <w:lang w:eastAsia="en-AU"/>
        </w:rPr>
        <w:lastRenderedPageBreak/>
        <w:t>r</w:t>
      </w:r>
      <w:r w:rsidR="00953CA8" w:rsidRPr="00D11572">
        <w:rPr>
          <w:rFonts w:eastAsia="Times New Roman"/>
          <w:lang w:eastAsia="en-AU"/>
        </w:rPr>
        <w:t xml:space="preserve">equire additional conformity assessment documents to be provided with an application for inclusion of certain IVD medical devices in the Register as these devices will no longer be subject to a mandatory application audit; </w:t>
      </w:r>
    </w:p>
    <w:p w14:paraId="50E31200" w14:textId="631885EE" w:rsidR="0027534D" w:rsidRDefault="0065185E" w:rsidP="00991C21">
      <w:pPr>
        <w:pStyle w:val="ListParagraph"/>
        <w:numPr>
          <w:ilvl w:val="0"/>
          <w:numId w:val="10"/>
        </w:numPr>
        <w:spacing w:after="0" w:line="240" w:lineRule="auto"/>
        <w:rPr>
          <w:rFonts w:eastAsia="Times New Roman"/>
          <w:lang w:eastAsia="en-AU"/>
        </w:rPr>
      </w:pPr>
      <w:r>
        <w:rPr>
          <w:rFonts w:eastAsia="Times New Roman"/>
          <w:lang w:eastAsia="en-AU"/>
        </w:rPr>
        <w:t>e</w:t>
      </w:r>
      <w:r w:rsidR="00032E46" w:rsidRPr="00D11572">
        <w:rPr>
          <w:rFonts w:eastAsia="Times New Roman"/>
          <w:lang w:eastAsia="en-AU"/>
        </w:rPr>
        <w:t xml:space="preserve">nable the provision of information supporting an application for inclusion of an IVD medical device in the Register that </w:t>
      </w:r>
      <w:r w:rsidR="005561A1">
        <w:rPr>
          <w:rFonts w:eastAsia="Times New Roman"/>
          <w:lang w:eastAsia="en-AU"/>
        </w:rPr>
        <w:t>provides evidence of</w:t>
      </w:r>
      <w:r w:rsidR="005561A1" w:rsidRPr="00D11572">
        <w:rPr>
          <w:rFonts w:eastAsia="Times New Roman"/>
          <w:lang w:eastAsia="en-AU"/>
        </w:rPr>
        <w:t xml:space="preserve"> </w:t>
      </w:r>
      <w:r w:rsidR="00032E46" w:rsidRPr="00D11572">
        <w:rPr>
          <w:rFonts w:eastAsia="Times New Roman"/>
          <w:lang w:eastAsia="en-AU"/>
        </w:rPr>
        <w:t xml:space="preserve">assessment of the medical device by Japan’s Ministry of Health, Labour and Welfare or the Japanese Pharmaceuticals and Medical Devices Agency, the US Food and Drug Administration (FDA), Health Canada </w:t>
      </w:r>
      <w:r w:rsidR="0027534D">
        <w:rPr>
          <w:rFonts w:eastAsia="Times New Roman"/>
          <w:lang w:eastAsia="en-AU"/>
        </w:rPr>
        <w:t>or</w:t>
      </w:r>
      <w:r w:rsidR="0027534D" w:rsidRPr="00D11572">
        <w:rPr>
          <w:rFonts w:eastAsia="Times New Roman"/>
          <w:lang w:eastAsia="en-AU"/>
        </w:rPr>
        <w:t xml:space="preserve"> </w:t>
      </w:r>
      <w:r w:rsidR="00032E46" w:rsidRPr="00D11572">
        <w:rPr>
          <w:rFonts w:eastAsia="Times New Roman"/>
          <w:lang w:eastAsia="en-AU"/>
        </w:rPr>
        <w:t>the Health Science Authority of Singapore</w:t>
      </w:r>
      <w:r w:rsidR="0027534D">
        <w:rPr>
          <w:rFonts w:eastAsia="Times New Roman"/>
          <w:lang w:eastAsia="en-AU"/>
        </w:rPr>
        <w:t xml:space="preserve">; </w:t>
      </w:r>
    </w:p>
    <w:p w14:paraId="4472AB8E" w14:textId="4B55A388" w:rsidR="0027534D" w:rsidRPr="00D11572" w:rsidRDefault="0027534D" w:rsidP="0027534D">
      <w:pPr>
        <w:pStyle w:val="ListParagraph"/>
        <w:numPr>
          <w:ilvl w:val="0"/>
          <w:numId w:val="10"/>
        </w:numPr>
        <w:spacing w:after="0" w:line="240" w:lineRule="auto"/>
        <w:rPr>
          <w:rFonts w:eastAsia="Times New Roman"/>
          <w:lang w:eastAsia="en-AU"/>
        </w:rPr>
      </w:pPr>
      <w:r>
        <w:rPr>
          <w:rFonts w:eastAsia="Times New Roman"/>
          <w:lang w:eastAsia="en-AU"/>
        </w:rPr>
        <w:t>r</w:t>
      </w:r>
      <w:r w:rsidRPr="00D11572">
        <w:rPr>
          <w:rFonts w:eastAsia="Times New Roman"/>
          <w:lang w:eastAsia="en-AU"/>
        </w:rPr>
        <w:t>emove references to applications made before 2019;</w:t>
      </w:r>
      <w:r>
        <w:rPr>
          <w:rFonts w:eastAsia="Times New Roman"/>
          <w:lang w:eastAsia="en-AU"/>
        </w:rPr>
        <w:t xml:space="preserve"> and</w:t>
      </w:r>
    </w:p>
    <w:p w14:paraId="40A93168" w14:textId="0BEB0068" w:rsidR="00032E46" w:rsidRPr="009E6639" w:rsidRDefault="00032E46" w:rsidP="0027534D">
      <w:pPr>
        <w:pStyle w:val="ListParagraph"/>
        <w:numPr>
          <w:ilvl w:val="0"/>
          <w:numId w:val="10"/>
        </w:numPr>
        <w:spacing w:after="0" w:line="240" w:lineRule="auto"/>
        <w:rPr>
          <w:rFonts w:eastAsia="Times New Roman"/>
          <w:lang w:eastAsia="en-AU"/>
        </w:rPr>
      </w:pPr>
      <w:r w:rsidRPr="00D11572">
        <w:rPr>
          <w:rFonts w:eastAsia="Times New Roman"/>
          <w:lang w:eastAsia="en-AU"/>
        </w:rPr>
        <w:t>.</w:t>
      </w:r>
      <w:r w:rsidR="0027534D" w:rsidRPr="0027534D">
        <w:rPr>
          <w:rFonts w:eastAsia="Times New Roman"/>
          <w:lang w:eastAsia="en-AU"/>
        </w:rPr>
        <w:t xml:space="preserve"> </w:t>
      </w:r>
      <w:r w:rsidR="0027534D">
        <w:rPr>
          <w:rFonts w:eastAsia="Times New Roman"/>
          <w:lang w:eastAsia="en-AU"/>
        </w:rPr>
        <w:t>r</w:t>
      </w:r>
      <w:r w:rsidR="0027534D" w:rsidRPr="00D11572">
        <w:rPr>
          <w:rFonts w:eastAsia="Times New Roman"/>
          <w:lang w:eastAsia="en-AU"/>
        </w:rPr>
        <w:t>emove requirements relating to AIMD classified medical devices</w:t>
      </w:r>
      <w:r w:rsidR="0027534D">
        <w:rPr>
          <w:rFonts w:eastAsia="Times New Roman"/>
          <w:lang w:eastAsia="en-AU"/>
        </w:rPr>
        <w:t>.</w:t>
      </w:r>
    </w:p>
    <w:p w14:paraId="0B0A2FBE" w14:textId="77777777" w:rsidR="00032E46" w:rsidRPr="00D11572" w:rsidRDefault="00032E46" w:rsidP="002E7F12">
      <w:pPr>
        <w:spacing w:after="0" w:line="240" w:lineRule="auto"/>
        <w:rPr>
          <w:rFonts w:eastAsia="Times New Roman"/>
          <w:lang w:eastAsia="en-AU"/>
        </w:rPr>
      </w:pPr>
    </w:p>
    <w:p w14:paraId="06C7C106" w14:textId="0AB8E66F" w:rsidR="00953CA8" w:rsidRPr="00D11572" w:rsidRDefault="00953CA8" w:rsidP="002E7F12">
      <w:pPr>
        <w:spacing w:after="0" w:line="240" w:lineRule="auto"/>
        <w:rPr>
          <w:rFonts w:eastAsia="Times New Roman"/>
          <w:i/>
          <w:iCs/>
          <w:lang w:eastAsia="en-AU"/>
        </w:rPr>
      </w:pPr>
      <w:r w:rsidRPr="00D11572">
        <w:rPr>
          <w:rFonts w:eastAsia="Times New Roman"/>
          <w:i/>
          <w:iCs/>
          <w:lang w:eastAsia="en-AU"/>
        </w:rPr>
        <w:t xml:space="preserve">Specified medical </w:t>
      </w:r>
      <w:proofErr w:type="gramStart"/>
      <w:r w:rsidRPr="00D11572">
        <w:rPr>
          <w:rFonts w:eastAsia="Times New Roman"/>
          <w:i/>
          <w:iCs/>
          <w:lang w:eastAsia="en-AU"/>
        </w:rPr>
        <w:t>devices</w:t>
      </w:r>
      <w:proofErr w:type="gramEnd"/>
    </w:p>
    <w:p w14:paraId="2237EBC3" w14:textId="77777777" w:rsidR="00953CA8" w:rsidRPr="00D11572" w:rsidRDefault="00953CA8" w:rsidP="002E7F12">
      <w:pPr>
        <w:spacing w:after="0" w:line="240" w:lineRule="auto"/>
        <w:rPr>
          <w:rFonts w:eastAsia="Times New Roman"/>
          <w:lang w:eastAsia="en-AU"/>
        </w:rPr>
      </w:pPr>
    </w:p>
    <w:p w14:paraId="5828716E" w14:textId="16ED0AED" w:rsidR="00953CA8" w:rsidRPr="00D11572" w:rsidRDefault="00953CA8" w:rsidP="00953CA8">
      <w:pPr>
        <w:spacing w:after="0" w:line="240" w:lineRule="auto"/>
        <w:rPr>
          <w:rFonts w:eastAsia="Times New Roman"/>
          <w:lang w:eastAsia="en-AU"/>
        </w:rPr>
      </w:pPr>
      <w:r w:rsidRPr="00D11572">
        <w:rPr>
          <w:rFonts w:eastAsia="Times New Roman"/>
          <w:lang w:eastAsia="en-AU"/>
        </w:rPr>
        <w:t xml:space="preserve">The Amendment Determination amends the Principal Determination, to remove provisions relating to ‘specified medical devices’, that is medical devices that contain medicines or materials of animal, microbial, </w:t>
      </w:r>
      <w:proofErr w:type="gramStart"/>
      <w:r w:rsidRPr="00D11572">
        <w:rPr>
          <w:rFonts w:eastAsia="Times New Roman"/>
          <w:lang w:eastAsia="en-AU"/>
        </w:rPr>
        <w:t>recombinant</w:t>
      </w:r>
      <w:proofErr w:type="gramEnd"/>
      <w:r w:rsidRPr="00D11572">
        <w:rPr>
          <w:rFonts w:eastAsia="Times New Roman"/>
          <w:lang w:eastAsia="en-AU"/>
        </w:rPr>
        <w:t xml:space="preserve"> or human origin, as defined in the Principal Determination. This has the effect that the documentation required in support of an application for inclusion in the Register for such devices will no longer be differentiated </w:t>
      </w:r>
      <w:proofErr w:type="gramStart"/>
      <w:r w:rsidRPr="00D11572">
        <w:rPr>
          <w:rFonts w:eastAsia="Times New Roman"/>
          <w:lang w:eastAsia="en-AU"/>
        </w:rPr>
        <w:t>on the basis of</w:t>
      </w:r>
      <w:proofErr w:type="gramEnd"/>
      <w:r w:rsidRPr="00D11572">
        <w:rPr>
          <w:rFonts w:eastAsia="Times New Roman"/>
          <w:lang w:eastAsia="en-AU"/>
        </w:rPr>
        <w:t xml:space="preserve"> the device containing any of those substances. The kinds of documentation required will be based upon the classification of the medical device as provided for in the </w:t>
      </w:r>
      <w:r w:rsidRPr="00D11572">
        <w:rPr>
          <w:rFonts w:eastAsia="Times New Roman"/>
          <w:i/>
          <w:iCs/>
          <w:lang w:eastAsia="en-AU"/>
        </w:rPr>
        <w:t>Therapeutic Goods (Medical Devices) Regulations 2002.</w:t>
      </w:r>
    </w:p>
    <w:p w14:paraId="22946905" w14:textId="77777777" w:rsidR="00953CA8" w:rsidRPr="00D11572" w:rsidRDefault="00953CA8" w:rsidP="00953CA8">
      <w:pPr>
        <w:spacing w:after="0" w:line="240" w:lineRule="auto"/>
        <w:rPr>
          <w:rFonts w:eastAsia="Times New Roman"/>
          <w:lang w:eastAsia="en-AU"/>
        </w:rPr>
      </w:pPr>
    </w:p>
    <w:p w14:paraId="23895710" w14:textId="0A4955D8" w:rsidR="00207407" w:rsidRPr="00D11572" w:rsidRDefault="00953CA8" w:rsidP="00207407">
      <w:pPr>
        <w:spacing w:after="0" w:line="240" w:lineRule="auto"/>
        <w:rPr>
          <w:rFonts w:eastAsia="Times New Roman"/>
          <w:lang w:eastAsia="en-AU"/>
        </w:rPr>
      </w:pPr>
      <w:r w:rsidRPr="00D11572">
        <w:rPr>
          <w:rFonts w:eastAsia="Times New Roman"/>
          <w:lang w:eastAsia="en-AU"/>
        </w:rPr>
        <w:t xml:space="preserve">This amendment in the Amendment Determination is a consequence of an amendment to the </w:t>
      </w:r>
      <w:r w:rsidRPr="00D11572">
        <w:rPr>
          <w:rFonts w:eastAsia="Times New Roman"/>
          <w:i/>
          <w:iCs/>
          <w:lang w:eastAsia="en-AU"/>
        </w:rPr>
        <w:t xml:space="preserve">Therapeutic Goods (Medical Devices) Regulations 2002 </w:t>
      </w:r>
      <w:r w:rsidRPr="00D11572">
        <w:rPr>
          <w:rFonts w:eastAsia="Times New Roman"/>
          <w:lang w:eastAsia="en-AU"/>
        </w:rPr>
        <w:t xml:space="preserve">by the </w:t>
      </w:r>
      <w:r w:rsidRPr="00D11572">
        <w:rPr>
          <w:rFonts w:eastAsia="Times New Roman"/>
          <w:i/>
          <w:iCs/>
          <w:lang w:eastAsia="en-AU"/>
        </w:rPr>
        <w:t>Therapeutic Goods Legislation Amendment (2024 Measures No. 2) Regulations 2024</w:t>
      </w:r>
      <w:r w:rsidRPr="00D11572">
        <w:rPr>
          <w:rFonts w:eastAsia="Times New Roman"/>
          <w:lang w:eastAsia="en-AU"/>
        </w:rPr>
        <w:t xml:space="preserve">, </w:t>
      </w:r>
      <w:r w:rsidRPr="00D11572">
        <w:t>to reclassify (and in most cases down-classify) kinds of medical devices that only contain</w:t>
      </w:r>
      <w:r w:rsidR="00207407" w:rsidRPr="00D11572">
        <w:t xml:space="preserve"> </w:t>
      </w:r>
      <w:r w:rsidRPr="00D11572">
        <w:t>tissues, cells, or substances of microbial or recombinant origin; and</w:t>
      </w:r>
      <w:r w:rsidR="00207407" w:rsidRPr="00D11572">
        <w:t xml:space="preserve"> </w:t>
      </w:r>
      <w:r w:rsidRPr="00D11572">
        <w:t>certain tissues or cells of animal origin that have been rendered non-viable, or their derivatives.</w:t>
      </w:r>
      <w:r w:rsidR="00207407" w:rsidRPr="00D11572">
        <w:t xml:space="preserve"> </w:t>
      </w:r>
      <w:r w:rsidRPr="00D11572">
        <w:rPr>
          <w:rFonts w:eastAsia="Times New Roman"/>
          <w:lang w:eastAsia="en-AU"/>
        </w:rPr>
        <w:t>This amen</w:t>
      </w:r>
      <w:r w:rsidR="00207407" w:rsidRPr="00D11572">
        <w:rPr>
          <w:rFonts w:eastAsia="Times New Roman"/>
          <w:lang w:eastAsia="en-AU"/>
        </w:rPr>
        <w:t>d</w:t>
      </w:r>
      <w:r w:rsidRPr="00D11572">
        <w:rPr>
          <w:rFonts w:eastAsia="Times New Roman"/>
          <w:lang w:eastAsia="en-AU"/>
        </w:rPr>
        <w:t>ment was made to</w:t>
      </w:r>
      <w:r w:rsidRPr="00D11572">
        <w:t xml:space="preserve"> align Australia’s risk classification rules for medical devices that contain the materials identified above, with those implemented by comparable overseas </w:t>
      </w:r>
      <w:r w:rsidRPr="00D11572">
        <w:rPr>
          <w:rFonts w:eastAsia="Times New Roman"/>
          <w:lang w:eastAsia="en-AU"/>
        </w:rPr>
        <w:t>jurisdictions.</w:t>
      </w:r>
    </w:p>
    <w:p w14:paraId="0D27427C" w14:textId="77777777" w:rsidR="00207407" w:rsidRPr="00D11572" w:rsidRDefault="00207407" w:rsidP="00207407">
      <w:pPr>
        <w:spacing w:after="0" w:line="240" w:lineRule="auto"/>
        <w:rPr>
          <w:rFonts w:eastAsia="Times New Roman"/>
          <w:lang w:eastAsia="en-AU"/>
        </w:rPr>
      </w:pPr>
    </w:p>
    <w:p w14:paraId="07B3A780" w14:textId="61A7E9FC" w:rsidR="00207407" w:rsidRPr="00D11572" w:rsidRDefault="00207407" w:rsidP="002E7F12">
      <w:pPr>
        <w:spacing w:after="0" w:line="240" w:lineRule="auto"/>
        <w:rPr>
          <w:rFonts w:eastAsia="Times New Roman"/>
          <w:lang w:eastAsia="en-AU"/>
        </w:rPr>
      </w:pPr>
      <w:r w:rsidRPr="00D11572">
        <w:rPr>
          <w:rFonts w:eastAsia="Times New Roman"/>
          <w:lang w:eastAsia="en-AU"/>
        </w:rPr>
        <w:t>Accordingly, the conformity assessment documents that must support an application for inclusion of such devices is those that apply according to the classification of those devices and provision for such devices will no longer separately be provided in the Principal Determination.</w:t>
      </w:r>
    </w:p>
    <w:p w14:paraId="65512523" w14:textId="77777777" w:rsidR="00953CA8" w:rsidRPr="00D11572" w:rsidRDefault="00953CA8" w:rsidP="002E7F12">
      <w:pPr>
        <w:spacing w:after="0" w:line="240" w:lineRule="auto"/>
        <w:rPr>
          <w:rFonts w:eastAsia="Times New Roman"/>
          <w:lang w:eastAsia="en-AU"/>
        </w:rPr>
      </w:pPr>
    </w:p>
    <w:p w14:paraId="7BD12784" w14:textId="61A087F7" w:rsidR="00032E46" w:rsidRPr="00D11572" w:rsidRDefault="00032E46" w:rsidP="00D11572">
      <w:pPr>
        <w:keepNext/>
        <w:spacing w:after="0" w:line="240" w:lineRule="auto"/>
        <w:rPr>
          <w:rFonts w:eastAsia="Times New Roman"/>
          <w:i/>
          <w:iCs/>
          <w:lang w:eastAsia="en-AU"/>
        </w:rPr>
      </w:pPr>
      <w:r w:rsidRPr="00D11572">
        <w:rPr>
          <w:rFonts w:eastAsia="Times New Roman"/>
          <w:i/>
          <w:iCs/>
          <w:lang w:eastAsia="en-AU"/>
        </w:rPr>
        <w:t>IVD medical devices</w:t>
      </w:r>
    </w:p>
    <w:p w14:paraId="4AB6CD30" w14:textId="7DE41DD2" w:rsidR="00032E46" w:rsidRPr="00D11572" w:rsidRDefault="00032E46" w:rsidP="00D11572">
      <w:pPr>
        <w:keepNext/>
        <w:spacing w:after="0" w:line="240" w:lineRule="auto"/>
        <w:rPr>
          <w:rFonts w:eastAsia="Times New Roman"/>
          <w:lang w:eastAsia="en-AU"/>
        </w:rPr>
      </w:pPr>
    </w:p>
    <w:p w14:paraId="5FD22E37" w14:textId="24D3ACCF" w:rsidR="00BA31E2" w:rsidRPr="00D11572" w:rsidRDefault="00032E46" w:rsidP="00BA31E2">
      <w:pPr>
        <w:keepNext/>
      </w:pPr>
      <w:r w:rsidRPr="00D11572">
        <w:rPr>
          <w:rFonts w:eastAsia="Times New Roman"/>
          <w:lang w:eastAsia="en-AU"/>
        </w:rPr>
        <w:t xml:space="preserve">The </w:t>
      </w:r>
      <w:r w:rsidRPr="00D11572">
        <w:rPr>
          <w:rFonts w:eastAsia="Times New Roman"/>
          <w:i/>
          <w:iCs/>
          <w:lang w:eastAsia="en-AU"/>
        </w:rPr>
        <w:t>Therapeutic Goods Legislation Amendment (2024 Measures No. 2) Regulations 2024</w:t>
      </w:r>
      <w:r w:rsidRPr="00D11572">
        <w:rPr>
          <w:rFonts w:eastAsia="Times New Roman"/>
          <w:lang w:eastAsia="en-AU"/>
        </w:rPr>
        <w:t xml:space="preserve"> </w:t>
      </w:r>
      <w:r w:rsidR="00BA31E2" w:rsidRPr="00D11572">
        <w:rPr>
          <w:rFonts w:eastAsia="Times New Roman"/>
          <w:lang w:eastAsia="en-AU"/>
        </w:rPr>
        <w:t xml:space="preserve">amends regulation 5.3 of the </w:t>
      </w:r>
      <w:r w:rsidR="00BA31E2" w:rsidRPr="00D11572">
        <w:rPr>
          <w:rFonts w:eastAsia="Times New Roman"/>
          <w:i/>
          <w:iCs/>
          <w:lang w:eastAsia="en-AU"/>
        </w:rPr>
        <w:t>Therapeutic Goods (Medical Devices) Regulations 2002</w:t>
      </w:r>
      <w:r w:rsidR="00BA31E2" w:rsidRPr="00D11572">
        <w:rPr>
          <w:rFonts w:eastAsia="Times New Roman"/>
          <w:lang w:eastAsia="en-AU"/>
        </w:rPr>
        <w:t xml:space="preserve"> (commencing 1 July 2024) to limit the kinds of medical devices that will be subjected to a mandatory audit for the purposes of paragraph 41FH(2)(a) of the Act. </w:t>
      </w:r>
      <w:r w:rsidR="00BA31E2" w:rsidRPr="00D11572">
        <w:t xml:space="preserve">The effect of the amendment is to limit mandatory application audits to only applications for inclusion of those kinds of medical devices that pose the greatest risk of harm to </w:t>
      </w:r>
      <w:proofErr w:type="gramStart"/>
      <w:r w:rsidR="00BA31E2" w:rsidRPr="00D11572">
        <w:t>users, and</w:t>
      </w:r>
      <w:proofErr w:type="gramEnd"/>
      <w:r w:rsidR="00BA31E2" w:rsidRPr="00D11572">
        <w:t xml:space="preserve"> provide greater flexibility for the Secretary to select (at the Secretary’s discretion) any other applications for audit.</w:t>
      </w:r>
    </w:p>
    <w:p w14:paraId="7A727B4F" w14:textId="41CA4094" w:rsidR="00032E46" w:rsidRPr="00D11572" w:rsidRDefault="00BA31E2" w:rsidP="002E7F12">
      <w:pPr>
        <w:spacing w:after="0" w:line="240" w:lineRule="auto"/>
        <w:rPr>
          <w:rFonts w:eastAsia="Times New Roman"/>
          <w:lang w:eastAsia="en-AU"/>
        </w:rPr>
      </w:pPr>
      <w:r w:rsidRPr="00D11572">
        <w:rPr>
          <w:rFonts w:eastAsia="Times New Roman"/>
          <w:lang w:eastAsia="en-AU"/>
        </w:rPr>
        <w:t xml:space="preserve">The </w:t>
      </w:r>
      <w:r w:rsidRPr="00D11572">
        <w:rPr>
          <w:rFonts w:eastAsia="Times New Roman"/>
          <w:i/>
          <w:iCs/>
          <w:lang w:eastAsia="en-AU"/>
        </w:rPr>
        <w:t>Therapeutic Goods Legislation Amendment (2024 Measures No. 2) Regulations 2024</w:t>
      </w:r>
      <w:r w:rsidRPr="00D11572">
        <w:rPr>
          <w:rFonts w:eastAsia="Times New Roman"/>
          <w:lang w:eastAsia="en-AU"/>
        </w:rPr>
        <w:t xml:space="preserve"> also </w:t>
      </w:r>
      <w:r w:rsidR="005561A1">
        <w:rPr>
          <w:rFonts w:eastAsia="Times New Roman"/>
          <w:lang w:eastAsia="en-AU"/>
        </w:rPr>
        <w:t xml:space="preserve">made an amendment to </w:t>
      </w:r>
      <w:r w:rsidRPr="00D11572">
        <w:rPr>
          <w:rFonts w:eastAsia="Times New Roman"/>
          <w:lang w:eastAsia="en-AU"/>
        </w:rPr>
        <w:t>set out additional circumstances in which an application does not need to be selected for a mandatory application audit, including where the kind of device:</w:t>
      </w:r>
    </w:p>
    <w:p w14:paraId="21AA22B5" w14:textId="77777777" w:rsidR="00BA31E2" w:rsidRPr="00D11572" w:rsidRDefault="00BA31E2" w:rsidP="00BA31E2">
      <w:pPr>
        <w:pStyle w:val="ListParagraph"/>
        <w:numPr>
          <w:ilvl w:val="0"/>
          <w:numId w:val="11"/>
        </w:numPr>
        <w:spacing w:before="20" w:after="0" w:line="240" w:lineRule="auto"/>
        <w:ind w:left="714" w:hanging="357"/>
        <w:contextualSpacing w:val="0"/>
      </w:pPr>
      <w:r w:rsidRPr="00D11572">
        <w:lastRenderedPageBreak/>
        <w:t xml:space="preserve">is the subject of a medical device licence issued by Health Canada under the </w:t>
      </w:r>
      <w:r w:rsidRPr="00D11572">
        <w:rPr>
          <w:i/>
          <w:iCs/>
        </w:rPr>
        <w:t xml:space="preserve">Medical Devices Regulations </w:t>
      </w:r>
      <w:r w:rsidRPr="00D11572">
        <w:t>(Canada);</w:t>
      </w:r>
    </w:p>
    <w:p w14:paraId="170247FB" w14:textId="77777777" w:rsidR="00BA31E2" w:rsidRPr="00D11572" w:rsidRDefault="00BA31E2" w:rsidP="00BA31E2">
      <w:pPr>
        <w:pStyle w:val="ListParagraph"/>
        <w:numPr>
          <w:ilvl w:val="0"/>
          <w:numId w:val="11"/>
        </w:numPr>
        <w:spacing w:before="20" w:after="0" w:line="240" w:lineRule="auto"/>
        <w:ind w:left="714" w:hanging="357"/>
        <w:contextualSpacing w:val="0"/>
      </w:pPr>
      <w:r w:rsidRPr="00D11572">
        <w:t xml:space="preserve">is the subject of an order approving an application for premarket approval from the US Food and Drug Administration under the </w:t>
      </w:r>
      <w:r w:rsidRPr="00D11572">
        <w:rPr>
          <w:i/>
          <w:iCs/>
        </w:rPr>
        <w:t xml:space="preserve">Federal Food, Drug, and Cosmetic Act </w:t>
      </w:r>
      <w:r w:rsidRPr="00D11572">
        <w:t>(United States of America);</w:t>
      </w:r>
    </w:p>
    <w:p w14:paraId="4D9033F0" w14:textId="77777777" w:rsidR="00BA31E2" w:rsidRPr="00D11572" w:rsidRDefault="00BA31E2" w:rsidP="00BA31E2">
      <w:pPr>
        <w:pStyle w:val="ListParagraph"/>
        <w:numPr>
          <w:ilvl w:val="0"/>
          <w:numId w:val="11"/>
        </w:numPr>
        <w:spacing w:before="20" w:after="0" w:line="240" w:lineRule="auto"/>
        <w:ind w:left="714" w:hanging="357"/>
        <w:contextualSpacing w:val="0"/>
      </w:pPr>
      <w:r w:rsidRPr="00D11572">
        <w:t xml:space="preserve">is the subject of a pre-market certification or approval issued by the Japanese Ministry of Health, Labour and Welfare, or the Japanese Pharmaceuticals and Medical Devices Agency, under </w:t>
      </w:r>
      <w:r w:rsidRPr="00D11572">
        <w:rPr>
          <w:i/>
          <w:iCs/>
        </w:rPr>
        <w:t xml:space="preserve">The Law on Securing Quality, Efficacy and Safety of Products Including Pharmaceuticals and Medical Devices </w:t>
      </w:r>
      <w:r w:rsidRPr="00D11572">
        <w:t>(Japan);</w:t>
      </w:r>
    </w:p>
    <w:p w14:paraId="30254A2B" w14:textId="77777777" w:rsidR="00BA31E2" w:rsidRPr="00D11572" w:rsidRDefault="00BA31E2" w:rsidP="00BA31E2">
      <w:pPr>
        <w:pStyle w:val="ListParagraph"/>
        <w:numPr>
          <w:ilvl w:val="0"/>
          <w:numId w:val="11"/>
        </w:numPr>
        <w:spacing w:before="20" w:after="0" w:line="240" w:lineRule="auto"/>
        <w:ind w:left="714" w:hanging="357"/>
        <w:contextualSpacing w:val="0"/>
      </w:pPr>
      <w:r w:rsidRPr="00D11572">
        <w:t xml:space="preserve">is the subject of an entry in the Register of Health Products kept and maintained by the Health Sciences Authority of Singapore under the </w:t>
      </w:r>
      <w:r w:rsidRPr="00D11572">
        <w:rPr>
          <w:i/>
          <w:iCs/>
        </w:rPr>
        <w:t xml:space="preserve">Health Products Act 2007 </w:t>
      </w:r>
      <w:r w:rsidRPr="00D11572">
        <w:t>(Singapore); or</w:t>
      </w:r>
    </w:p>
    <w:p w14:paraId="219B0E24" w14:textId="77777777" w:rsidR="00BA31E2" w:rsidRPr="00D11572" w:rsidRDefault="00BA31E2" w:rsidP="00BA31E2">
      <w:pPr>
        <w:pStyle w:val="ListParagraph"/>
        <w:numPr>
          <w:ilvl w:val="0"/>
          <w:numId w:val="11"/>
        </w:numPr>
        <w:spacing w:before="20" w:after="0" w:line="240" w:lineRule="auto"/>
        <w:ind w:left="714" w:hanging="357"/>
        <w:contextualSpacing w:val="0"/>
      </w:pPr>
      <w:r w:rsidRPr="00D11572">
        <w:t>has been certified in accordance with the Australia-UK Mutual Recognition Agreement, the EC Mutual Recognition Agreement, or the EFTA Mutual Recognition Agreement.</w:t>
      </w:r>
    </w:p>
    <w:p w14:paraId="56322477" w14:textId="77777777" w:rsidR="00032E46" w:rsidRPr="00D11572" w:rsidRDefault="00032E46" w:rsidP="002E7F12">
      <w:pPr>
        <w:spacing w:after="0" w:line="240" w:lineRule="auto"/>
        <w:rPr>
          <w:rFonts w:eastAsia="Times New Roman"/>
          <w:lang w:eastAsia="en-AU"/>
        </w:rPr>
      </w:pPr>
    </w:p>
    <w:p w14:paraId="3633503B" w14:textId="2E7F245A" w:rsidR="00947A26" w:rsidRPr="00D11572" w:rsidRDefault="00BA31E2" w:rsidP="002E7F12">
      <w:pPr>
        <w:spacing w:after="0" w:line="240" w:lineRule="auto"/>
        <w:rPr>
          <w:rFonts w:eastAsia="Times New Roman"/>
          <w:lang w:eastAsia="en-AU"/>
        </w:rPr>
      </w:pPr>
      <w:r w:rsidRPr="00D11572">
        <w:rPr>
          <w:rFonts w:eastAsia="Times New Roman"/>
          <w:lang w:eastAsia="en-AU"/>
        </w:rPr>
        <w:t>As a result of these amendments</w:t>
      </w:r>
      <w:r w:rsidR="00C2755F" w:rsidRPr="00D11572">
        <w:rPr>
          <w:rFonts w:eastAsia="Times New Roman"/>
          <w:lang w:eastAsia="en-AU"/>
        </w:rPr>
        <w:t xml:space="preserve"> to the </w:t>
      </w:r>
      <w:r w:rsidR="00C2755F" w:rsidRPr="00D11572">
        <w:rPr>
          <w:rFonts w:eastAsia="Times New Roman"/>
          <w:i/>
          <w:iCs/>
          <w:lang w:eastAsia="en-AU"/>
        </w:rPr>
        <w:t>Therapeutic Goods (Medical Devices) Regulations 2002</w:t>
      </w:r>
      <w:r w:rsidRPr="00D11572">
        <w:rPr>
          <w:rFonts w:eastAsia="Times New Roman"/>
          <w:lang w:eastAsia="en-AU"/>
        </w:rPr>
        <w:t xml:space="preserve">, the Amendment Determination amends the Principal Determination to enable evidence </w:t>
      </w:r>
      <w:r w:rsidR="00C2755F" w:rsidRPr="00D11572">
        <w:rPr>
          <w:rFonts w:eastAsia="Times New Roman"/>
          <w:lang w:eastAsia="en-AU"/>
        </w:rPr>
        <w:t xml:space="preserve">from a comparable overseas regulator to </w:t>
      </w:r>
      <w:r w:rsidRPr="00D11572">
        <w:rPr>
          <w:rFonts w:eastAsia="Times New Roman"/>
          <w:lang w:eastAsia="en-AU"/>
        </w:rPr>
        <w:t>support an application for inclusion of a medical device in the Register</w:t>
      </w:r>
      <w:r w:rsidR="00C2755F" w:rsidRPr="00D11572">
        <w:rPr>
          <w:rFonts w:eastAsia="Times New Roman"/>
          <w:lang w:eastAsia="en-AU"/>
        </w:rPr>
        <w:t xml:space="preserve"> for a Class 2, 3 or 4 IVD medical device. </w:t>
      </w:r>
      <w:r w:rsidR="00947A26" w:rsidRPr="00D11572">
        <w:rPr>
          <w:rFonts w:eastAsia="Times New Roman"/>
          <w:lang w:eastAsia="en-AU"/>
        </w:rPr>
        <w:t>Conformity assessment documents</w:t>
      </w:r>
      <w:r w:rsidR="00C2755F" w:rsidRPr="00D11572">
        <w:rPr>
          <w:rFonts w:eastAsia="Times New Roman"/>
          <w:lang w:eastAsia="en-AU"/>
        </w:rPr>
        <w:t xml:space="preserve"> from Japan’s Ministry of Health, Labour and Welfare or the Japanese Pharmaceuticals and Medical Devices Agency can be provided with an application for inclusion of a Class 2</w:t>
      </w:r>
      <w:r w:rsidR="00947A26" w:rsidRPr="00D11572">
        <w:rPr>
          <w:rFonts w:eastAsia="Times New Roman"/>
          <w:lang w:eastAsia="en-AU"/>
        </w:rPr>
        <w:t xml:space="preserve">, 3 and 4 </w:t>
      </w:r>
      <w:r w:rsidR="00C2755F" w:rsidRPr="00D11572">
        <w:rPr>
          <w:rFonts w:eastAsia="Times New Roman"/>
          <w:lang w:eastAsia="en-AU"/>
        </w:rPr>
        <w:t>IVD medical device</w:t>
      </w:r>
      <w:r w:rsidR="00947A26" w:rsidRPr="00D11572">
        <w:rPr>
          <w:rFonts w:eastAsia="Times New Roman"/>
          <w:lang w:eastAsia="en-AU"/>
        </w:rPr>
        <w:t>. Further, conformity assessment documents</w:t>
      </w:r>
      <w:r w:rsidR="00C2755F" w:rsidRPr="00D11572">
        <w:rPr>
          <w:rFonts w:eastAsia="Times New Roman"/>
          <w:lang w:eastAsia="en-AU"/>
        </w:rPr>
        <w:t xml:space="preserve"> from </w:t>
      </w:r>
      <w:r w:rsidR="00947A26" w:rsidRPr="00D11572">
        <w:rPr>
          <w:rFonts w:eastAsia="Times New Roman"/>
          <w:lang w:eastAsia="en-AU"/>
        </w:rPr>
        <w:t>Health Canada, the US FDA, and Health Science Authority of Singapore may be provided with an application for inclusion of a Class 4 IVD medical device in the Register. For a Class 3 IVD medical device, additional conformity assessment documents from a notified body are required, as well as from a notified body and Health Canada for a Class 2 IVD medical device.</w:t>
      </w:r>
    </w:p>
    <w:p w14:paraId="47F20A9F" w14:textId="77777777" w:rsidR="00947A26" w:rsidRPr="00D11572" w:rsidRDefault="00947A26" w:rsidP="002E7F12">
      <w:pPr>
        <w:spacing w:after="0" w:line="240" w:lineRule="auto"/>
        <w:rPr>
          <w:rFonts w:eastAsia="Times New Roman"/>
          <w:lang w:eastAsia="en-AU"/>
        </w:rPr>
      </w:pPr>
    </w:p>
    <w:p w14:paraId="1479AB1B" w14:textId="57E8A372" w:rsidR="00C2755F" w:rsidRPr="00D11572" w:rsidRDefault="00947A26" w:rsidP="00953CA8">
      <w:pPr>
        <w:spacing w:after="0" w:line="240" w:lineRule="auto"/>
        <w:rPr>
          <w:rFonts w:eastAsia="Times New Roman"/>
          <w:lang w:eastAsia="en-AU"/>
        </w:rPr>
      </w:pPr>
      <w:r w:rsidRPr="00D11572">
        <w:rPr>
          <w:rFonts w:eastAsia="Times New Roman"/>
          <w:lang w:eastAsia="en-AU"/>
        </w:rPr>
        <w:t xml:space="preserve">The amendments enable an application for inclusion to be supported by conformity assessment documents from additional overseas regulators, </w:t>
      </w:r>
      <w:proofErr w:type="gramStart"/>
      <w:r w:rsidRPr="00D11572">
        <w:rPr>
          <w:rFonts w:eastAsia="Times New Roman"/>
          <w:lang w:eastAsia="en-AU"/>
        </w:rPr>
        <w:t>and also</w:t>
      </w:r>
      <w:proofErr w:type="gramEnd"/>
      <w:r w:rsidRPr="00D11572">
        <w:rPr>
          <w:rFonts w:eastAsia="Times New Roman"/>
          <w:lang w:eastAsia="en-AU"/>
        </w:rPr>
        <w:t xml:space="preserve"> requires additional information from certain overseas regulators to support an application for inclusion in the Register. This is because those medical devices will no longer be subject to a mandatory application audit where these overseas regulators have assessed the medical device. As the devices are not subject to a mandatory application audit, </w:t>
      </w:r>
      <w:r w:rsidR="00953CA8" w:rsidRPr="00D11572">
        <w:rPr>
          <w:rFonts w:eastAsia="Times New Roman"/>
          <w:lang w:eastAsia="en-AU"/>
        </w:rPr>
        <w:t>additional</w:t>
      </w:r>
      <w:r w:rsidRPr="00D11572">
        <w:rPr>
          <w:rFonts w:eastAsia="Times New Roman"/>
          <w:lang w:eastAsia="en-AU"/>
        </w:rPr>
        <w:t xml:space="preserve"> evidence from the overseas regulatory must be provided with the application </w:t>
      </w:r>
      <w:r w:rsidR="00953CA8" w:rsidRPr="00D11572">
        <w:rPr>
          <w:rFonts w:eastAsia="Times New Roman"/>
          <w:lang w:eastAsia="en-AU"/>
        </w:rPr>
        <w:t>for inclusion in the Register.</w:t>
      </w:r>
    </w:p>
    <w:p w14:paraId="6C89ED7D" w14:textId="77777777" w:rsidR="007C4935" w:rsidRDefault="007C4935" w:rsidP="002E7F12">
      <w:pPr>
        <w:spacing w:after="0" w:line="240" w:lineRule="auto"/>
        <w:rPr>
          <w:rFonts w:eastAsia="Times New Roman"/>
          <w:lang w:eastAsia="en-AU"/>
        </w:rPr>
      </w:pPr>
    </w:p>
    <w:p w14:paraId="75D79CC8" w14:textId="77777777" w:rsidR="009E6639" w:rsidRPr="00D11572" w:rsidRDefault="009E6639" w:rsidP="009E6639">
      <w:pPr>
        <w:spacing w:after="0" w:line="240" w:lineRule="auto"/>
        <w:rPr>
          <w:rFonts w:eastAsia="Times New Roman"/>
          <w:i/>
          <w:iCs/>
          <w:lang w:eastAsia="en-AU"/>
        </w:rPr>
      </w:pPr>
      <w:r w:rsidRPr="00D11572">
        <w:rPr>
          <w:rFonts w:eastAsia="Times New Roman"/>
          <w:i/>
          <w:iCs/>
          <w:lang w:eastAsia="en-AU"/>
        </w:rPr>
        <w:t xml:space="preserve">Clinical </w:t>
      </w:r>
      <w:r>
        <w:rPr>
          <w:rFonts w:eastAsia="Times New Roman"/>
          <w:i/>
          <w:iCs/>
          <w:lang w:eastAsia="en-AU"/>
        </w:rPr>
        <w:t>evaluation</w:t>
      </w:r>
      <w:r w:rsidRPr="00D11572">
        <w:rPr>
          <w:rFonts w:eastAsia="Times New Roman"/>
          <w:i/>
          <w:iCs/>
          <w:lang w:eastAsia="en-AU"/>
        </w:rPr>
        <w:t xml:space="preserve"> report and instructions for use</w:t>
      </w:r>
    </w:p>
    <w:p w14:paraId="6BA69353" w14:textId="77777777" w:rsidR="009E6639" w:rsidRPr="00D11572" w:rsidRDefault="009E6639" w:rsidP="009E6639">
      <w:pPr>
        <w:spacing w:after="0" w:line="240" w:lineRule="auto"/>
        <w:rPr>
          <w:rFonts w:eastAsia="Times New Roman"/>
          <w:lang w:eastAsia="en-AU"/>
        </w:rPr>
      </w:pPr>
    </w:p>
    <w:p w14:paraId="706EBBEE" w14:textId="77777777" w:rsidR="009E6639" w:rsidRDefault="009E6639" w:rsidP="009E6639">
      <w:pPr>
        <w:spacing w:after="0" w:line="240" w:lineRule="auto"/>
        <w:rPr>
          <w:rFonts w:eastAsia="Times New Roman"/>
          <w:lang w:eastAsia="en-AU"/>
        </w:rPr>
      </w:pPr>
      <w:r w:rsidRPr="00D11572">
        <w:rPr>
          <w:rFonts w:eastAsia="Times New Roman"/>
          <w:lang w:eastAsia="en-AU"/>
        </w:rPr>
        <w:t xml:space="preserve">The clinical </w:t>
      </w:r>
      <w:r>
        <w:rPr>
          <w:rFonts w:eastAsia="Times New Roman"/>
          <w:lang w:eastAsia="en-AU"/>
        </w:rPr>
        <w:t>evaluation</w:t>
      </w:r>
      <w:r w:rsidRPr="00D11572">
        <w:rPr>
          <w:rFonts w:eastAsia="Times New Roman"/>
          <w:lang w:eastAsia="en-AU"/>
        </w:rPr>
        <w:t xml:space="preserve"> report and instructions for use have been routinely requested by the TGA from applicants, </w:t>
      </w:r>
      <w:proofErr w:type="gramStart"/>
      <w:r w:rsidRPr="00D11572">
        <w:rPr>
          <w:rFonts w:eastAsia="Times New Roman"/>
          <w:lang w:eastAsia="en-AU"/>
        </w:rPr>
        <w:t>in order to</w:t>
      </w:r>
      <w:proofErr w:type="gramEnd"/>
      <w:r w:rsidRPr="00D11572">
        <w:rPr>
          <w:rFonts w:eastAsia="Times New Roman"/>
          <w:lang w:eastAsia="en-AU"/>
        </w:rPr>
        <w:t xml:space="preserve"> properly assess whether an application for inclusion of the device in the Register should undergo an application audit. To remove the administrative burden of having to request these documents, and to avoid delays from having to request these documents from applicants, the Amendment Determination amends the Principal Determination to require these documents be provided with the application for a Class III medical devices. This will enable the TGA to process applications without delays from waiting for these documents to be provided on request.</w:t>
      </w:r>
    </w:p>
    <w:p w14:paraId="632C7F23" w14:textId="77777777" w:rsidR="009E6639" w:rsidRDefault="009E6639" w:rsidP="009E6639">
      <w:pPr>
        <w:spacing w:after="0" w:line="240" w:lineRule="auto"/>
        <w:rPr>
          <w:rFonts w:eastAsia="Times New Roman"/>
          <w:lang w:eastAsia="en-AU"/>
        </w:rPr>
      </w:pPr>
    </w:p>
    <w:p w14:paraId="3D164E49" w14:textId="77777777" w:rsidR="009E6639" w:rsidRPr="00D11572" w:rsidRDefault="009E6639" w:rsidP="009E6639">
      <w:pPr>
        <w:spacing w:after="0" w:line="240" w:lineRule="auto"/>
        <w:rPr>
          <w:rFonts w:eastAsia="Times New Roman"/>
          <w:lang w:eastAsia="en-AU"/>
        </w:rPr>
      </w:pPr>
      <w:r>
        <w:rPr>
          <w:rFonts w:eastAsia="Times New Roman"/>
          <w:lang w:eastAsia="en-AU"/>
        </w:rPr>
        <w:lastRenderedPageBreak/>
        <w:t xml:space="preserve">A </w:t>
      </w:r>
      <w:r w:rsidRPr="00D11572">
        <w:rPr>
          <w:rFonts w:eastAsia="Times New Roman"/>
          <w:lang w:eastAsia="en-AU"/>
        </w:rPr>
        <w:t xml:space="preserve">clinical </w:t>
      </w:r>
      <w:r>
        <w:rPr>
          <w:rFonts w:eastAsia="Times New Roman"/>
          <w:lang w:eastAsia="en-AU"/>
        </w:rPr>
        <w:t>evaluation</w:t>
      </w:r>
      <w:r w:rsidRPr="00D11572">
        <w:rPr>
          <w:rFonts w:eastAsia="Times New Roman"/>
          <w:lang w:eastAsia="en-AU"/>
        </w:rPr>
        <w:t xml:space="preserve"> report </w:t>
      </w:r>
      <w:r>
        <w:rPr>
          <w:rFonts w:eastAsia="Times New Roman"/>
          <w:lang w:eastAsia="en-AU"/>
        </w:rPr>
        <w:t>and instructions for use will only be required if the application is not accompanied by a conformity assessment certificate issued by the TGA, as these documents would have already been reviewed as part of the assessment of an application for a conformity assessment certificate.</w:t>
      </w:r>
    </w:p>
    <w:p w14:paraId="12951DEF" w14:textId="77777777" w:rsidR="009E6639" w:rsidRDefault="009E6639" w:rsidP="002E7F12">
      <w:pPr>
        <w:spacing w:after="0" w:line="240" w:lineRule="auto"/>
        <w:rPr>
          <w:rFonts w:eastAsia="Times New Roman"/>
          <w:lang w:eastAsia="en-AU"/>
        </w:rPr>
      </w:pPr>
    </w:p>
    <w:p w14:paraId="685CA97A" w14:textId="01F72698" w:rsidR="009E6639" w:rsidRPr="00D11572" w:rsidRDefault="009E6639" w:rsidP="009E6639">
      <w:pPr>
        <w:spacing w:after="0" w:line="240" w:lineRule="auto"/>
        <w:rPr>
          <w:rFonts w:eastAsia="Times New Roman"/>
          <w:i/>
          <w:iCs/>
          <w:lang w:eastAsia="en-AU"/>
        </w:rPr>
      </w:pPr>
      <w:r w:rsidRPr="00D11572">
        <w:rPr>
          <w:rFonts w:eastAsia="Times New Roman"/>
          <w:i/>
          <w:iCs/>
          <w:lang w:eastAsia="en-AU"/>
        </w:rPr>
        <w:t>AIMD medical devices</w:t>
      </w:r>
      <w:r>
        <w:rPr>
          <w:rFonts w:eastAsia="Times New Roman"/>
          <w:i/>
          <w:iCs/>
          <w:lang w:eastAsia="en-AU"/>
        </w:rPr>
        <w:t xml:space="preserve"> and applications prior to 2019</w:t>
      </w:r>
    </w:p>
    <w:p w14:paraId="45DEA32F" w14:textId="77777777" w:rsidR="009E6639" w:rsidRPr="00D11572" w:rsidRDefault="009E6639" w:rsidP="009E6639">
      <w:pPr>
        <w:spacing w:after="0" w:line="240" w:lineRule="auto"/>
        <w:rPr>
          <w:rFonts w:eastAsia="Times New Roman"/>
          <w:lang w:eastAsia="en-AU"/>
        </w:rPr>
      </w:pPr>
    </w:p>
    <w:p w14:paraId="09271134" w14:textId="77777777" w:rsidR="009E6639" w:rsidRPr="00D11572" w:rsidRDefault="009E6639" w:rsidP="009E6639">
      <w:pPr>
        <w:spacing w:after="0" w:line="240" w:lineRule="auto"/>
        <w:rPr>
          <w:rFonts w:eastAsia="Times New Roman"/>
          <w:lang w:eastAsia="en-AU"/>
        </w:rPr>
      </w:pPr>
      <w:r w:rsidRPr="00D11572">
        <w:rPr>
          <w:rFonts w:eastAsia="Times New Roman"/>
          <w:lang w:eastAsia="en-AU"/>
        </w:rPr>
        <w:t>The Amendment Determination removes references to AIMD medical devices as there is no longer an AIMD classification for medical devices. The AIMD classification was abolished in 2019 with an associated transitional period where AIMD medical devices were reclassified to Class III medical devices. The TGA no longer receives applications for inclusion of AIMD medical devices in the Register (as they are now applications for inclusion of Class III medical devices in the Register). The Amendment Determination therefore repeals redundant provisions that refer to the AIMD classification.</w:t>
      </w:r>
    </w:p>
    <w:p w14:paraId="3ACBA42D" w14:textId="77777777" w:rsidR="009E6639" w:rsidRPr="00D11572" w:rsidRDefault="009E6639" w:rsidP="009E6639">
      <w:pPr>
        <w:spacing w:after="0" w:line="240" w:lineRule="auto"/>
        <w:rPr>
          <w:rFonts w:eastAsia="Times New Roman"/>
          <w:lang w:eastAsia="en-AU"/>
        </w:rPr>
      </w:pPr>
    </w:p>
    <w:p w14:paraId="3166133D" w14:textId="77777777" w:rsidR="009E6639" w:rsidRPr="00D11572" w:rsidRDefault="009E6639" w:rsidP="009E6639">
      <w:pPr>
        <w:spacing w:after="0" w:line="240" w:lineRule="auto"/>
        <w:rPr>
          <w:rFonts w:eastAsia="Times New Roman"/>
          <w:lang w:eastAsia="en-AU"/>
        </w:rPr>
      </w:pPr>
      <w:r w:rsidRPr="00D11572">
        <w:rPr>
          <w:rFonts w:eastAsia="Times New Roman"/>
          <w:lang w:eastAsia="en-AU"/>
        </w:rPr>
        <w:t>Similarly, the Amendment Determination removes references to conformity assessment documents that were needed to support an application made prior to 2019 as these provisions are no longer relevant.</w:t>
      </w:r>
    </w:p>
    <w:p w14:paraId="3913B8C7" w14:textId="77777777" w:rsidR="009E6639" w:rsidRDefault="009E6639" w:rsidP="002E7F12">
      <w:pPr>
        <w:spacing w:after="0" w:line="240" w:lineRule="auto"/>
        <w:rPr>
          <w:rFonts w:eastAsia="Times New Roman"/>
          <w:lang w:eastAsia="en-AU"/>
        </w:rPr>
      </w:pPr>
    </w:p>
    <w:p w14:paraId="6088C56A" w14:textId="7BADD853" w:rsidR="008E7425" w:rsidRPr="008E7425" w:rsidRDefault="008E7425" w:rsidP="002E7F12">
      <w:pPr>
        <w:spacing w:after="0" w:line="240" w:lineRule="auto"/>
        <w:rPr>
          <w:rFonts w:eastAsia="Times New Roman"/>
          <w:b/>
          <w:bCs/>
          <w:lang w:eastAsia="en-AU"/>
        </w:rPr>
      </w:pPr>
      <w:r>
        <w:rPr>
          <w:rFonts w:eastAsia="Times New Roman"/>
          <w:b/>
          <w:bCs/>
          <w:lang w:eastAsia="en-AU"/>
        </w:rPr>
        <w:t>Incorporation by reference</w:t>
      </w:r>
    </w:p>
    <w:p w14:paraId="0B02C791" w14:textId="77777777" w:rsidR="00BA31E2" w:rsidRPr="00D11572" w:rsidRDefault="00BA31E2" w:rsidP="00817568">
      <w:pPr>
        <w:autoSpaceDE w:val="0"/>
        <w:autoSpaceDN w:val="0"/>
        <w:adjustRightInd w:val="0"/>
        <w:spacing w:after="0" w:line="240" w:lineRule="auto"/>
        <w:rPr>
          <w:rFonts w:eastAsia="Times New Roman"/>
          <w:lang w:eastAsia="en-AU"/>
        </w:rPr>
      </w:pPr>
      <w:bookmarkStart w:id="0" w:name="_Hlk79495887"/>
    </w:p>
    <w:p w14:paraId="7621A9E2" w14:textId="34987F52" w:rsidR="00221BA4" w:rsidRPr="00221BA4" w:rsidRDefault="008E7425" w:rsidP="00221BA4">
      <w:pPr>
        <w:spacing w:after="0" w:line="240" w:lineRule="auto"/>
        <w:rPr>
          <w:rFonts w:eastAsia="Times New Roman"/>
          <w:lang w:eastAsia="en-AU"/>
        </w:rPr>
      </w:pPr>
      <w:r>
        <w:t xml:space="preserve">The Amendment Determination does not incorporate any documents by reference into the Principal Determination. Rather the Amendment Determination </w:t>
      </w:r>
      <w:proofErr w:type="gramStart"/>
      <w:r>
        <w:t>makes reference</w:t>
      </w:r>
      <w:proofErr w:type="gramEnd"/>
      <w:r>
        <w:t xml:space="preserve"> to certain overseas legislation to identify the documentation that must accompany an application for </w:t>
      </w:r>
      <w:r w:rsidRPr="00221BA4">
        <w:t>inclusion of a medical device in the register.</w:t>
      </w:r>
      <w:r w:rsidR="00221BA4" w:rsidRPr="00221BA4">
        <w:t xml:space="preserve"> R</w:t>
      </w:r>
      <w:r w:rsidR="00BA31E2" w:rsidRPr="00221BA4">
        <w:t xml:space="preserve">eferences to the relevant legislation are simply </w:t>
      </w:r>
      <w:r w:rsidR="00BA31E2" w:rsidRPr="00221BA4">
        <w:rPr>
          <w:rFonts w:eastAsia="Times New Roman"/>
          <w:lang w:eastAsia="en-AU"/>
        </w:rPr>
        <w:t xml:space="preserve">to the fact of </w:t>
      </w:r>
      <w:r w:rsidR="00221BA4" w:rsidRPr="00221BA4">
        <w:rPr>
          <w:rFonts w:eastAsia="Times New Roman"/>
          <w:lang w:eastAsia="en-AU"/>
        </w:rPr>
        <w:t>specifying the documents that have been procedure by t</w:t>
      </w:r>
      <w:r w:rsidR="00BA31E2" w:rsidRPr="00221BA4">
        <w:rPr>
          <w:rFonts w:eastAsia="Times New Roman"/>
          <w:lang w:eastAsia="en-AU"/>
        </w:rPr>
        <w:t>he relevant overseas regulator in accordance with that legislation.</w:t>
      </w:r>
      <w:bookmarkEnd w:id="0"/>
    </w:p>
    <w:p w14:paraId="25576345" w14:textId="77777777" w:rsidR="00221BA4" w:rsidRPr="00221BA4" w:rsidRDefault="00221BA4" w:rsidP="00221BA4">
      <w:pPr>
        <w:spacing w:after="0" w:line="240" w:lineRule="auto"/>
        <w:rPr>
          <w:rFonts w:eastAsia="Times New Roman"/>
          <w:b/>
          <w:bCs/>
          <w:lang w:eastAsia="en-AU"/>
        </w:rPr>
      </w:pPr>
    </w:p>
    <w:p w14:paraId="1F2283C3" w14:textId="21B349C4" w:rsidR="00B83BD5" w:rsidRPr="00221BA4" w:rsidRDefault="001E51F5" w:rsidP="00221BA4">
      <w:pPr>
        <w:spacing w:after="0" w:line="240" w:lineRule="auto"/>
        <w:rPr>
          <w:rFonts w:eastAsia="Times New Roman"/>
          <w:b/>
          <w:bCs/>
          <w:lang w:eastAsia="en-AU"/>
        </w:rPr>
      </w:pPr>
      <w:r w:rsidRPr="00221BA4">
        <w:rPr>
          <w:rFonts w:eastAsia="Times New Roman"/>
          <w:b/>
          <w:bCs/>
          <w:lang w:eastAsia="en-AU"/>
        </w:rPr>
        <w:t>Consultatio</w:t>
      </w:r>
      <w:r w:rsidR="00221BA4" w:rsidRPr="00221BA4">
        <w:rPr>
          <w:rFonts w:eastAsia="Times New Roman"/>
          <w:b/>
          <w:bCs/>
          <w:lang w:eastAsia="en-AU"/>
        </w:rPr>
        <w:t>n</w:t>
      </w:r>
    </w:p>
    <w:p w14:paraId="0A259035" w14:textId="7544B5A1" w:rsidR="002A2472" w:rsidRPr="00221BA4" w:rsidRDefault="002A2472" w:rsidP="00B83BD5">
      <w:pPr>
        <w:spacing w:after="0" w:line="240" w:lineRule="auto"/>
        <w:rPr>
          <w:rFonts w:eastAsia="Times New Roman"/>
          <w:b/>
          <w:bCs/>
          <w:lang w:eastAsia="en-AU"/>
        </w:rPr>
      </w:pPr>
    </w:p>
    <w:p w14:paraId="36230449" w14:textId="31B27BD7" w:rsidR="00953CA8" w:rsidRPr="00D11572" w:rsidRDefault="00D23AF2" w:rsidP="00221BA4">
      <w:pPr>
        <w:spacing w:after="0" w:line="240" w:lineRule="auto"/>
      </w:pPr>
      <w:r w:rsidRPr="00D11572">
        <w:rPr>
          <w:rFonts w:eastAsia="Times New Roman"/>
          <w:bCs/>
          <w:lang w:eastAsia="en-AU"/>
        </w:rPr>
        <w:t xml:space="preserve">In </w:t>
      </w:r>
      <w:r w:rsidR="00103649" w:rsidRPr="00D11572">
        <w:rPr>
          <w:rFonts w:eastAsia="Times New Roman"/>
          <w:bCs/>
          <w:lang w:eastAsia="en-AU"/>
        </w:rPr>
        <w:t xml:space="preserve">October </w:t>
      </w:r>
      <w:r w:rsidRPr="00D11572">
        <w:rPr>
          <w:rFonts w:eastAsia="Times New Roman"/>
          <w:bCs/>
          <w:lang w:eastAsia="en-AU"/>
        </w:rPr>
        <w:t>2023</w:t>
      </w:r>
      <w:r w:rsidR="00221BA4">
        <w:rPr>
          <w:rFonts w:eastAsia="Times New Roman"/>
          <w:bCs/>
          <w:lang w:eastAsia="en-AU"/>
        </w:rPr>
        <w:t>, p</w:t>
      </w:r>
      <w:r w:rsidR="00953CA8" w:rsidRPr="00D11572">
        <w:t xml:space="preserve">ublic consultation was undertaken on changes to the application audit framework to limit the mandatory audits to </w:t>
      </w:r>
      <w:proofErr w:type="gramStart"/>
      <w:r w:rsidR="00953CA8" w:rsidRPr="00D11572">
        <w:t>high risk</w:t>
      </w:r>
      <w:proofErr w:type="gramEnd"/>
      <w:r w:rsidR="00953CA8" w:rsidRPr="00D11572">
        <w:t xml:space="preserve"> medical devices. 26 submissions were </w:t>
      </w:r>
      <w:proofErr w:type="gramStart"/>
      <w:r w:rsidR="00953CA8" w:rsidRPr="00D11572">
        <w:t>received</w:t>
      </w:r>
      <w:proofErr w:type="gramEnd"/>
      <w:r w:rsidR="00953CA8" w:rsidRPr="00D11572">
        <w:t xml:space="preserve"> and the proposal was supported by </w:t>
      </w:r>
      <w:r w:rsidR="0027534D">
        <w:t>medical device</w:t>
      </w:r>
      <w:r w:rsidR="00953CA8" w:rsidRPr="00D11572">
        <w:t xml:space="preserve"> industry stakeholders. Additionally, targeted consultation with </w:t>
      </w:r>
      <w:r w:rsidR="00221BA4">
        <w:t>the Regulatory and Technical Consultative Forum for medical devices (</w:t>
      </w:r>
      <w:proofErr w:type="spellStart"/>
      <w:r w:rsidR="00221BA4">
        <w:t>RegTech</w:t>
      </w:r>
      <w:proofErr w:type="spellEnd"/>
      <w:r w:rsidR="00221BA4">
        <w:t xml:space="preserve"> Forum) was undertaken</w:t>
      </w:r>
      <w:r w:rsidR="00953CA8" w:rsidRPr="00D11572">
        <w:t xml:space="preserve"> on </w:t>
      </w:r>
      <w:r w:rsidR="005561A1">
        <w:t xml:space="preserve">further regulatory </w:t>
      </w:r>
      <w:r w:rsidR="00953CA8" w:rsidRPr="00D11572">
        <w:t>changes to</w:t>
      </w:r>
      <w:r w:rsidR="0027534D">
        <w:t xml:space="preserve"> the Regulations to</w:t>
      </w:r>
      <w:r w:rsidR="00953CA8" w:rsidRPr="00D11572">
        <w:t xml:space="preserve"> </w:t>
      </w:r>
      <w:r w:rsidR="005561A1">
        <w:t xml:space="preserve">limit mandatory audits through improved reliance and acceptance of comparable overseas </w:t>
      </w:r>
      <w:proofErr w:type="spellStart"/>
      <w:r w:rsidR="005561A1">
        <w:t>regulator</w:t>
      </w:r>
      <w:proofErr w:type="spellEnd"/>
      <w:r w:rsidR="005561A1">
        <w:t xml:space="preserve"> approvals, which was endorsed by </w:t>
      </w:r>
      <w:proofErr w:type="spellStart"/>
      <w:r w:rsidR="005561A1">
        <w:t>RegTech</w:t>
      </w:r>
      <w:proofErr w:type="spellEnd"/>
      <w:r w:rsidR="005561A1">
        <w:t xml:space="preserve">. </w:t>
      </w:r>
      <w:r w:rsidR="0027534D">
        <w:t>In addition, f</w:t>
      </w:r>
      <w:r w:rsidR="005561A1">
        <w:t>eedback on the changes to the</w:t>
      </w:r>
      <w:r w:rsidR="005561A1" w:rsidRPr="00D11572" w:rsidDel="005561A1">
        <w:t xml:space="preserve"> </w:t>
      </w:r>
      <w:r w:rsidR="00221BA4">
        <w:t>Principal Determination</w:t>
      </w:r>
      <w:r w:rsidR="00953CA8" w:rsidRPr="00D11572">
        <w:t xml:space="preserve"> </w:t>
      </w:r>
      <w:r w:rsidR="005561A1">
        <w:t>was sought through targeted consultation with peak IVD representative bodies which was also endorsed</w:t>
      </w:r>
      <w:r w:rsidR="00221BA4">
        <w:t>.</w:t>
      </w:r>
    </w:p>
    <w:p w14:paraId="34D96550" w14:textId="4F8EAC43" w:rsidR="007C4935" w:rsidRPr="00D11572" w:rsidRDefault="007C4935" w:rsidP="001E51F5">
      <w:pPr>
        <w:spacing w:after="0" w:line="240" w:lineRule="auto"/>
        <w:rPr>
          <w:rFonts w:eastAsia="Times New Roman"/>
          <w:bCs/>
          <w:lang w:eastAsia="en-AU"/>
        </w:rPr>
      </w:pPr>
    </w:p>
    <w:p w14:paraId="4C8D8241" w14:textId="36E8B98A" w:rsidR="00221BA4" w:rsidRPr="00D11572" w:rsidRDefault="00103649" w:rsidP="00221BA4">
      <w:pPr>
        <w:spacing w:after="0" w:line="240" w:lineRule="auto"/>
        <w:rPr>
          <w:rFonts w:eastAsia="Times New Roman"/>
          <w:bCs/>
          <w:lang w:eastAsia="en-AU"/>
        </w:rPr>
      </w:pPr>
      <w:r w:rsidRPr="00D11572">
        <w:rPr>
          <w:rFonts w:eastAsia="Times New Roman"/>
          <w:bCs/>
          <w:lang w:eastAsia="en-AU"/>
        </w:rPr>
        <w:t xml:space="preserve">Responses to this </w:t>
      </w:r>
      <w:r w:rsidR="00221BA4">
        <w:rPr>
          <w:rFonts w:eastAsia="Times New Roman"/>
          <w:bCs/>
          <w:lang w:eastAsia="en-AU"/>
        </w:rPr>
        <w:t xml:space="preserve">public </w:t>
      </w:r>
      <w:r w:rsidRPr="00D11572">
        <w:rPr>
          <w:rFonts w:eastAsia="Times New Roman"/>
          <w:bCs/>
          <w:lang w:eastAsia="en-AU"/>
        </w:rPr>
        <w:t xml:space="preserve">consultation </w:t>
      </w:r>
      <w:r w:rsidR="00221BA4">
        <w:rPr>
          <w:rFonts w:eastAsia="Times New Roman"/>
          <w:bCs/>
          <w:lang w:eastAsia="en-AU"/>
        </w:rPr>
        <w:t xml:space="preserve">on changes to the application audit framework </w:t>
      </w:r>
      <w:r w:rsidR="007C4935" w:rsidRPr="00D11572">
        <w:rPr>
          <w:rFonts w:eastAsia="Times New Roman"/>
          <w:bCs/>
          <w:lang w:eastAsia="en-AU"/>
        </w:rPr>
        <w:t xml:space="preserve">also </w:t>
      </w:r>
      <w:r w:rsidRPr="00D11572">
        <w:rPr>
          <w:rFonts w:eastAsia="Times New Roman"/>
          <w:bCs/>
          <w:lang w:eastAsia="en-AU"/>
        </w:rPr>
        <w:t xml:space="preserve">identified that ‘specified medical devices’ should be accepted for approval based on approvals from other comparable overseas regulators </w:t>
      </w:r>
      <w:r w:rsidR="00400F31" w:rsidRPr="00D11572">
        <w:rPr>
          <w:rFonts w:eastAsia="Times New Roman"/>
          <w:bCs/>
          <w:lang w:eastAsia="en-AU"/>
        </w:rPr>
        <w:t>without limiting these approvals to those from the EU.</w:t>
      </w:r>
      <w:r w:rsidR="00221BA4">
        <w:rPr>
          <w:rFonts w:eastAsia="Times New Roman"/>
          <w:bCs/>
          <w:lang w:eastAsia="en-AU"/>
        </w:rPr>
        <w:t xml:space="preserve"> This change is incorporated into the Amendment Determination.</w:t>
      </w:r>
    </w:p>
    <w:p w14:paraId="2457F65E" w14:textId="72F44A61" w:rsidR="00170E0D" w:rsidRDefault="00170E0D" w:rsidP="001E51F5">
      <w:pPr>
        <w:spacing w:after="0" w:line="240" w:lineRule="auto"/>
        <w:rPr>
          <w:rFonts w:eastAsia="Times New Roman"/>
          <w:bCs/>
          <w:lang w:eastAsia="en-AU"/>
        </w:rPr>
      </w:pPr>
    </w:p>
    <w:p w14:paraId="7AB94087" w14:textId="6CDEF7DD" w:rsidR="00911889" w:rsidRPr="00D11572" w:rsidRDefault="00E60F74" w:rsidP="00911889">
      <w:pPr>
        <w:spacing w:after="0" w:line="240" w:lineRule="auto"/>
        <w:rPr>
          <w:rFonts w:eastAsia="Times New Roman"/>
          <w:lang w:eastAsia="en-AU"/>
        </w:rPr>
      </w:pPr>
      <w:r w:rsidRPr="00D11572">
        <w:rPr>
          <w:rFonts w:eastAsia="Times New Roman"/>
          <w:lang w:eastAsia="en-AU"/>
        </w:rPr>
        <w:t xml:space="preserve">The Office of </w:t>
      </w:r>
      <w:r w:rsidR="00D23AF2" w:rsidRPr="00D11572">
        <w:rPr>
          <w:rFonts w:eastAsia="Times New Roman"/>
          <w:lang w:eastAsia="en-AU"/>
        </w:rPr>
        <w:t>Impact Assessment</w:t>
      </w:r>
      <w:r w:rsidRPr="00D11572">
        <w:rPr>
          <w:rFonts w:eastAsia="Times New Roman"/>
          <w:lang w:eastAsia="en-AU"/>
        </w:rPr>
        <w:t xml:space="preserve"> </w:t>
      </w:r>
      <w:r w:rsidR="00093F8B">
        <w:rPr>
          <w:rFonts w:eastAsia="Times New Roman"/>
          <w:lang w:eastAsia="en-AU"/>
        </w:rPr>
        <w:t xml:space="preserve">(OIA) </w:t>
      </w:r>
      <w:r w:rsidRPr="00D11572">
        <w:rPr>
          <w:rFonts w:eastAsia="Times New Roman"/>
          <w:lang w:eastAsia="en-AU"/>
        </w:rPr>
        <w:t xml:space="preserve">advised </w:t>
      </w:r>
      <w:r w:rsidRPr="009B27E4">
        <w:rPr>
          <w:rFonts w:eastAsia="Times New Roman"/>
          <w:lang w:eastAsia="en-AU"/>
        </w:rPr>
        <w:t>that the propos</w:t>
      </w:r>
      <w:r w:rsidR="00D23AF2" w:rsidRPr="009B27E4">
        <w:rPr>
          <w:rFonts w:eastAsia="Times New Roman"/>
          <w:lang w:eastAsia="en-AU"/>
        </w:rPr>
        <w:t xml:space="preserve">ed changes to the </w:t>
      </w:r>
      <w:r w:rsidR="00093F8B">
        <w:rPr>
          <w:rFonts w:eastAsia="Times New Roman"/>
          <w:lang w:eastAsia="en-AU"/>
        </w:rPr>
        <w:t xml:space="preserve">reclassification of medical devices containing microbial, recombinant, or animal origin substances </w:t>
      </w:r>
      <w:r w:rsidR="00D23AF2" w:rsidRPr="009B27E4">
        <w:rPr>
          <w:rFonts w:eastAsia="Times New Roman"/>
          <w:lang w:eastAsia="en-AU"/>
        </w:rPr>
        <w:t>do not require an impact assessment</w:t>
      </w:r>
      <w:r w:rsidR="00093F8B">
        <w:rPr>
          <w:rFonts w:eastAsia="Times New Roman"/>
          <w:lang w:eastAsia="en-AU"/>
        </w:rPr>
        <w:t xml:space="preserve"> (IA)</w:t>
      </w:r>
      <w:r w:rsidR="00D23AF2" w:rsidRPr="009B27E4">
        <w:rPr>
          <w:rFonts w:eastAsia="Times New Roman"/>
          <w:lang w:eastAsia="en-AU"/>
        </w:rPr>
        <w:t xml:space="preserve"> </w:t>
      </w:r>
      <w:r w:rsidR="00221BA4" w:rsidRPr="009B27E4">
        <w:rPr>
          <w:rFonts w:eastAsia="Times New Roman"/>
          <w:lang w:eastAsia="en-AU"/>
        </w:rPr>
        <w:t>(</w:t>
      </w:r>
      <w:r w:rsidR="00D23AF2" w:rsidRPr="009B27E4">
        <w:rPr>
          <w:rFonts w:eastAsia="Times New Roman"/>
          <w:lang w:eastAsia="en-AU"/>
        </w:rPr>
        <w:t>OIA23-05988</w:t>
      </w:r>
      <w:r w:rsidR="00221BA4" w:rsidRPr="009B27E4">
        <w:rPr>
          <w:rFonts w:eastAsia="Times New Roman"/>
          <w:lang w:eastAsia="en-AU"/>
        </w:rPr>
        <w:t>)</w:t>
      </w:r>
      <w:r w:rsidR="00D23AF2" w:rsidRPr="009B27E4">
        <w:rPr>
          <w:rFonts w:eastAsia="Times New Roman"/>
          <w:lang w:eastAsia="en-AU"/>
        </w:rPr>
        <w:t xml:space="preserve">. </w:t>
      </w:r>
      <w:r w:rsidR="00093F8B">
        <w:rPr>
          <w:rFonts w:eastAsia="Times New Roman"/>
          <w:lang w:eastAsia="en-AU"/>
        </w:rPr>
        <w:t xml:space="preserve">The OIA also advised that </w:t>
      </w:r>
      <w:proofErr w:type="gramStart"/>
      <w:r w:rsidR="00093F8B">
        <w:rPr>
          <w:rFonts w:eastAsia="Times New Roman"/>
          <w:lang w:eastAsia="en-AU"/>
        </w:rPr>
        <w:t>a</w:t>
      </w:r>
      <w:proofErr w:type="gramEnd"/>
      <w:r w:rsidR="00093F8B">
        <w:rPr>
          <w:rFonts w:eastAsia="Times New Roman"/>
          <w:lang w:eastAsia="en-AU"/>
        </w:rPr>
        <w:t xml:space="preserve"> IA is not required for establishing a</w:t>
      </w:r>
      <w:r w:rsidR="0027534D">
        <w:rPr>
          <w:rFonts w:eastAsia="Times New Roman"/>
          <w:lang w:eastAsia="en-AU"/>
        </w:rPr>
        <w:t xml:space="preserve"> </w:t>
      </w:r>
      <w:r w:rsidR="00093F8B">
        <w:rPr>
          <w:rFonts w:eastAsia="Times New Roman"/>
          <w:lang w:eastAsia="en-AU"/>
        </w:rPr>
        <w:t xml:space="preserve">new application audit framework for medical </w:t>
      </w:r>
      <w:r w:rsidR="00093F8B">
        <w:rPr>
          <w:rFonts w:eastAsia="Times New Roman"/>
          <w:lang w:eastAsia="en-AU"/>
        </w:rPr>
        <w:lastRenderedPageBreak/>
        <w:t xml:space="preserve">devices (OIA23-04966). </w:t>
      </w:r>
      <w:r w:rsidR="00D23AF2" w:rsidRPr="009B27E4">
        <w:rPr>
          <w:rFonts w:eastAsia="Times New Roman"/>
          <w:lang w:eastAsia="en-AU"/>
        </w:rPr>
        <w:t xml:space="preserve">As the </w:t>
      </w:r>
      <w:r w:rsidR="0036782C">
        <w:rPr>
          <w:rFonts w:eastAsia="Times New Roman"/>
          <w:lang w:eastAsia="en-AU"/>
        </w:rPr>
        <w:t xml:space="preserve">other </w:t>
      </w:r>
      <w:r w:rsidR="00D23AF2" w:rsidRPr="009B27E4">
        <w:rPr>
          <w:rFonts w:eastAsia="Times New Roman"/>
          <w:lang w:eastAsia="en-AU"/>
        </w:rPr>
        <w:t xml:space="preserve">changes in the </w:t>
      </w:r>
      <w:r w:rsidR="0065185E">
        <w:rPr>
          <w:rFonts w:eastAsia="Times New Roman"/>
          <w:lang w:eastAsia="en-AU"/>
        </w:rPr>
        <w:t>A</w:t>
      </w:r>
      <w:r w:rsidR="00D23AF2" w:rsidRPr="009B27E4">
        <w:rPr>
          <w:rFonts w:eastAsia="Times New Roman"/>
          <w:lang w:eastAsia="en-AU"/>
        </w:rPr>
        <w:t xml:space="preserve">mendment </w:t>
      </w:r>
      <w:r w:rsidR="0065185E">
        <w:rPr>
          <w:rFonts w:eastAsia="Times New Roman"/>
          <w:lang w:eastAsia="en-AU"/>
        </w:rPr>
        <w:t>D</w:t>
      </w:r>
      <w:r w:rsidR="00D23AF2" w:rsidRPr="009B27E4">
        <w:rPr>
          <w:rFonts w:eastAsia="Times New Roman"/>
          <w:lang w:eastAsia="en-AU"/>
        </w:rPr>
        <w:t>etermination are consequential and machinery only</w:t>
      </w:r>
      <w:r w:rsidR="00221BA4" w:rsidRPr="009B27E4">
        <w:rPr>
          <w:rFonts w:eastAsia="Times New Roman"/>
          <w:lang w:eastAsia="en-AU"/>
        </w:rPr>
        <w:t>, an IA has not been prepared.</w:t>
      </w:r>
    </w:p>
    <w:p w14:paraId="4BE05E8E" w14:textId="77777777" w:rsidR="0086160E" w:rsidRPr="00D11572" w:rsidRDefault="0086160E" w:rsidP="00911889">
      <w:pPr>
        <w:spacing w:after="0" w:line="240" w:lineRule="auto"/>
        <w:rPr>
          <w:rFonts w:eastAsia="Times New Roman"/>
          <w:lang w:eastAsia="en-AU"/>
        </w:rPr>
      </w:pPr>
    </w:p>
    <w:p w14:paraId="2FED7328" w14:textId="41469574" w:rsidR="00911889" w:rsidRPr="00D11572" w:rsidRDefault="00911889" w:rsidP="00911889">
      <w:pPr>
        <w:spacing w:after="0" w:line="240" w:lineRule="auto"/>
        <w:rPr>
          <w:rFonts w:eastAsia="Times New Roman"/>
          <w:lang w:eastAsia="en-AU"/>
        </w:rPr>
      </w:pPr>
      <w:r w:rsidRPr="00D11572">
        <w:rPr>
          <w:rFonts w:eastAsia="Times New Roman"/>
          <w:lang w:eastAsia="en-AU"/>
        </w:rPr>
        <w:t xml:space="preserve">Details of the Amendment Determination are set out in </w:t>
      </w:r>
      <w:r w:rsidRPr="00D11572">
        <w:rPr>
          <w:rFonts w:eastAsia="Times New Roman"/>
          <w:b/>
          <w:lang w:eastAsia="en-AU"/>
        </w:rPr>
        <w:t>Attachment A</w:t>
      </w:r>
      <w:r w:rsidRPr="00D11572">
        <w:rPr>
          <w:rFonts w:eastAsia="Times New Roman"/>
          <w:lang w:eastAsia="en-AU"/>
        </w:rPr>
        <w:t>.</w:t>
      </w:r>
    </w:p>
    <w:p w14:paraId="5E8B9E96" w14:textId="77777777" w:rsidR="00E60F74" w:rsidRPr="00D11572" w:rsidRDefault="00E60F74" w:rsidP="001E51F5">
      <w:pPr>
        <w:spacing w:after="0" w:line="240" w:lineRule="auto"/>
        <w:rPr>
          <w:rFonts w:eastAsia="Times New Roman"/>
          <w:lang w:eastAsia="en-AU"/>
        </w:rPr>
      </w:pPr>
    </w:p>
    <w:p w14:paraId="529220D3" w14:textId="40D7CE79" w:rsidR="001E51F5" w:rsidRPr="00D11572" w:rsidRDefault="001E51F5" w:rsidP="001E51F5">
      <w:pPr>
        <w:spacing w:after="0" w:line="240" w:lineRule="auto"/>
        <w:rPr>
          <w:rFonts w:eastAsia="Times New Roman"/>
          <w:lang w:eastAsia="en-AU"/>
        </w:rPr>
      </w:pPr>
      <w:r w:rsidRPr="00D11572">
        <w:rPr>
          <w:rFonts w:eastAsia="Times New Roman"/>
          <w:lang w:eastAsia="en-AU"/>
        </w:rPr>
        <w:t xml:space="preserve">The Amendment </w:t>
      </w:r>
      <w:r w:rsidR="00D12E65" w:rsidRPr="00D11572">
        <w:rPr>
          <w:rFonts w:eastAsia="Times New Roman"/>
          <w:lang w:eastAsia="en-AU"/>
        </w:rPr>
        <w:t>Determination</w:t>
      </w:r>
      <w:r w:rsidRPr="00D11572">
        <w:rPr>
          <w:rFonts w:eastAsia="Times New Roman"/>
          <w:lang w:eastAsia="en-AU"/>
        </w:rPr>
        <w:t xml:space="preserve"> is compatible with </w:t>
      </w:r>
      <w:r w:rsidR="004B33DC" w:rsidRPr="00D11572">
        <w:rPr>
          <w:rFonts w:eastAsia="Times New Roman"/>
          <w:lang w:eastAsia="en-AU"/>
        </w:rPr>
        <w:t xml:space="preserve">the </w:t>
      </w:r>
      <w:r w:rsidRPr="00D11572">
        <w:rPr>
          <w:rFonts w:eastAsia="Times New Roman"/>
          <w:lang w:eastAsia="en-AU"/>
        </w:rPr>
        <w:t xml:space="preserve">human rights and freedoms recognised or declared under section 3 of the </w:t>
      </w:r>
      <w:r w:rsidRPr="00D11572">
        <w:rPr>
          <w:rFonts w:eastAsia="Times New Roman"/>
          <w:i/>
          <w:lang w:eastAsia="en-AU"/>
        </w:rPr>
        <w:t>Human Rights (Parliamentary Scrutiny) Act 2011</w:t>
      </w:r>
      <w:r w:rsidRPr="00D11572">
        <w:rPr>
          <w:rFonts w:eastAsia="Times New Roman"/>
          <w:lang w:eastAsia="en-AU"/>
        </w:rPr>
        <w:t xml:space="preserve">. A full statement of compatibility is set out in </w:t>
      </w:r>
      <w:r w:rsidRPr="00D11572">
        <w:rPr>
          <w:rFonts w:eastAsia="Times New Roman"/>
          <w:b/>
          <w:lang w:eastAsia="en-AU"/>
        </w:rPr>
        <w:t>Attachment B</w:t>
      </w:r>
      <w:r w:rsidRPr="00D11572">
        <w:rPr>
          <w:rFonts w:eastAsia="Times New Roman"/>
          <w:lang w:eastAsia="en-AU"/>
        </w:rPr>
        <w:t>.</w:t>
      </w:r>
    </w:p>
    <w:p w14:paraId="4B021798" w14:textId="77777777" w:rsidR="001E51F5" w:rsidRPr="00D11572" w:rsidRDefault="001E51F5" w:rsidP="001E51F5">
      <w:pPr>
        <w:spacing w:after="0" w:line="240" w:lineRule="auto"/>
        <w:rPr>
          <w:rFonts w:eastAsia="Times New Roman"/>
          <w:lang w:eastAsia="en-AU"/>
        </w:rPr>
      </w:pPr>
    </w:p>
    <w:p w14:paraId="1C2C3404" w14:textId="121B8298" w:rsidR="00C8733B" w:rsidRPr="00D11572" w:rsidRDefault="001E51F5" w:rsidP="0090094B">
      <w:pPr>
        <w:rPr>
          <w:rFonts w:eastAsia="Times New Roman"/>
          <w:lang w:eastAsia="en-AU"/>
        </w:rPr>
      </w:pPr>
      <w:r w:rsidRPr="00D11572">
        <w:rPr>
          <w:rFonts w:eastAsia="Times New Roman"/>
          <w:lang w:eastAsia="en-AU"/>
        </w:rPr>
        <w:t xml:space="preserve">The Amendment </w:t>
      </w:r>
      <w:r w:rsidR="00103A0E" w:rsidRPr="00D11572">
        <w:rPr>
          <w:rFonts w:eastAsia="Times New Roman"/>
          <w:lang w:eastAsia="en-AU"/>
        </w:rPr>
        <w:t>Determination</w:t>
      </w:r>
      <w:r w:rsidRPr="00D11572">
        <w:rPr>
          <w:rFonts w:eastAsia="Times New Roman"/>
          <w:lang w:eastAsia="en-AU"/>
        </w:rPr>
        <w:t xml:space="preserve"> is a disallowable legislative instrument for the purposes of the </w:t>
      </w:r>
      <w:r w:rsidRPr="00D11572">
        <w:rPr>
          <w:rFonts w:eastAsia="Times New Roman"/>
          <w:i/>
          <w:lang w:eastAsia="en-AU"/>
        </w:rPr>
        <w:t>Legislation Act</w:t>
      </w:r>
      <w:r w:rsidR="00E81D7C" w:rsidRPr="00D11572">
        <w:rPr>
          <w:rFonts w:eastAsia="Times New Roman"/>
          <w:i/>
          <w:lang w:eastAsia="en-AU"/>
        </w:rPr>
        <w:t xml:space="preserve"> 2003</w:t>
      </w:r>
      <w:r w:rsidRPr="00D11572">
        <w:rPr>
          <w:rFonts w:eastAsia="Times New Roman"/>
          <w:i/>
          <w:lang w:eastAsia="en-AU"/>
        </w:rPr>
        <w:t xml:space="preserve"> </w:t>
      </w:r>
      <w:r w:rsidRPr="00D11572">
        <w:rPr>
          <w:rFonts w:eastAsia="Times New Roman"/>
          <w:lang w:eastAsia="en-AU"/>
        </w:rPr>
        <w:t xml:space="preserve">and commences </w:t>
      </w:r>
      <w:r w:rsidR="009B27E4">
        <w:rPr>
          <w:rFonts w:eastAsia="Times New Roman"/>
          <w:lang w:eastAsia="en-AU"/>
        </w:rPr>
        <w:t>on 1 July 2024</w:t>
      </w:r>
      <w:r w:rsidR="00C71A57" w:rsidRPr="00D11572">
        <w:rPr>
          <w:rFonts w:eastAsia="Times New Roman"/>
          <w:lang w:eastAsia="en-AU"/>
        </w:rPr>
        <w:t>.</w:t>
      </w:r>
    </w:p>
    <w:p w14:paraId="5743D71D" w14:textId="37B454F6" w:rsidR="001E51F5" w:rsidRPr="00D11572" w:rsidRDefault="001E51F5" w:rsidP="0090094B">
      <w:pPr>
        <w:rPr>
          <w:rFonts w:eastAsia="Times New Roman"/>
          <w:lang w:eastAsia="en-AU"/>
        </w:rPr>
      </w:pPr>
      <w:r w:rsidRPr="00D11572">
        <w:rPr>
          <w:rFonts w:eastAsia="Times New Roman"/>
          <w:b/>
          <w:bCs/>
          <w:lang w:eastAsia="en-AU"/>
        </w:rPr>
        <w:br w:type="page"/>
      </w:r>
    </w:p>
    <w:p w14:paraId="60A063A0" w14:textId="77777777" w:rsidR="001E51F5" w:rsidRPr="00D11572" w:rsidRDefault="001E51F5" w:rsidP="001E51F5">
      <w:pPr>
        <w:spacing w:after="0" w:line="240" w:lineRule="auto"/>
        <w:jc w:val="right"/>
        <w:rPr>
          <w:rFonts w:eastAsia="Times New Roman"/>
          <w:b/>
          <w:bCs/>
          <w:lang w:eastAsia="en-AU"/>
        </w:rPr>
      </w:pPr>
      <w:r w:rsidRPr="00D11572">
        <w:rPr>
          <w:rFonts w:eastAsia="Times New Roman"/>
          <w:b/>
          <w:bCs/>
          <w:lang w:eastAsia="en-AU"/>
        </w:rPr>
        <w:lastRenderedPageBreak/>
        <w:t>Attachment A</w:t>
      </w:r>
    </w:p>
    <w:p w14:paraId="041AE724" w14:textId="77777777" w:rsidR="001E51F5" w:rsidRPr="009E6639" w:rsidRDefault="001E51F5" w:rsidP="001E51F5">
      <w:pPr>
        <w:spacing w:after="0" w:line="240" w:lineRule="auto"/>
        <w:rPr>
          <w:rFonts w:eastAsia="Times New Roman"/>
          <w:lang w:eastAsia="en-AU"/>
        </w:rPr>
      </w:pPr>
    </w:p>
    <w:p w14:paraId="172206C7" w14:textId="1ABED732" w:rsidR="001E51F5" w:rsidRPr="00D11572" w:rsidRDefault="001E51F5" w:rsidP="001E51F5">
      <w:pPr>
        <w:spacing w:after="0" w:line="240" w:lineRule="auto"/>
        <w:rPr>
          <w:rFonts w:eastAsia="Times New Roman"/>
          <w:b/>
          <w:bCs/>
          <w:i/>
          <w:lang w:eastAsia="en-AU"/>
        </w:rPr>
      </w:pPr>
      <w:r w:rsidRPr="00D11572">
        <w:rPr>
          <w:rFonts w:eastAsia="Times New Roman"/>
          <w:b/>
          <w:bCs/>
          <w:lang w:eastAsia="en-AU"/>
        </w:rPr>
        <w:t xml:space="preserve">Details of the </w:t>
      </w:r>
      <w:r w:rsidR="00D475CB" w:rsidRPr="00D11572">
        <w:rPr>
          <w:rFonts w:eastAsia="Times New Roman"/>
          <w:b/>
          <w:bCs/>
          <w:i/>
          <w:lang w:eastAsia="en-AU"/>
        </w:rPr>
        <w:t>Therapeutic Goods (Medical Devices—Information that Must Accompany Application for Inclusion) Amendment</w:t>
      </w:r>
      <w:r w:rsidR="006D3704" w:rsidRPr="00D11572">
        <w:rPr>
          <w:rFonts w:eastAsia="Times New Roman"/>
          <w:b/>
          <w:bCs/>
          <w:i/>
          <w:lang w:eastAsia="en-AU"/>
        </w:rPr>
        <w:t xml:space="preserve"> </w:t>
      </w:r>
      <w:r w:rsidR="001A65B1" w:rsidRPr="00D11572">
        <w:rPr>
          <w:rFonts w:eastAsia="Times New Roman"/>
          <w:b/>
          <w:bCs/>
          <w:i/>
          <w:lang w:eastAsia="en-AU"/>
        </w:rPr>
        <w:t xml:space="preserve">Determination </w:t>
      </w:r>
      <w:r w:rsidR="00CF0D1D" w:rsidRPr="00D11572">
        <w:rPr>
          <w:rFonts w:eastAsia="Times New Roman"/>
          <w:b/>
          <w:bCs/>
          <w:i/>
          <w:lang w:eastAsia="en-AU"/>
        </w:rPr>
        <w:t>202</w:t>
      </w:r>
      <w:r w:rsidR="00705153">
        <w:rPr>
          <w:rFonts w:eastAsia="Times New Roman"/>
          <w:b/>
          <w:bCs/>
          <w:i/>
          <w:lang w:eastAsia="en-AU"/>
        </w:rPr>
        <w:t>4</w:t>
      </w:r>
    </w:p>
    <w:p w14:paraId="0F6ACAB3" w14:textId="77777777" w:rsidR="001E51F5" w:rsidRPr="009E6639" w:rsidRDefault="001E51F5" w:rsidP="001E51F5">
      <w:pPr>
        <w:spacing w:after="0" w:line="240" w:lineRule="auto"/>
        <w:rPr>
          <w:rFonts w:eastAsia="Times New Roman"/>
          <w:iCs/>
          <w:lang w:eastAsia="en-AU"/>
        </w:rPr>
      </w:pPr>
    </w:p>
    <w:p w14:paraId="0EEEF6AB" w14:textId="77777777" w:rsidR="001E51F5" w:rsidRPr="00D11572" w:rsidRDefault="001E51F5" w:rsidP="001E51F5">
      <w:pPr>
        <w:spacing w:after="0" w:line="240" w:lineRule="auto"/>
        <w:rPr>
          <w:rFonts w:eastAsia="Times New Roman"/>
          <w:b/>
          <w:bCs/>
          <w:lang w:eastAsia="en-AU"/>
        </w:rPr>
      </w:pPr>
      <w:r w:rsidRPr="00D11572">
        <w:rPr>
          <w:rFonts w:eastAsia="Times New Roman"/>
          <w:b/>
          <w:bCs/>
          <w:lang w:eastAsia="en-AU"/>
        </w:rPr>
        <w:t>Section 1 – Name</w:t>
      </w:r>
    </w:p>
    <w:p w14:paraId="0079B619" w14:textId="77777777" w:rsidR="001E51F5" w:rsidRPr="009E6639" w:rsidRDefault="001E51F5" w:rsidP="001E51F5">
      <w:pPr>
        <w:spacing w:after="0" w:line="240" w:lineRule="auto"/>
        <w:rPr>
          <w:rFonts w:eastAsia="Times New Roman"/>
          <w:lang w:eastAsia="en-AU"/>
        </w:rPr>
      </w:pPr>
    </w:p>
    <w:p w14:paraId="584B847E" w14:textId="31AF7A61" w:rsidR="001E51F5" w:rsidRPr="00D11572" w:rsidRDefault="001E51F5" w:rsidP="001E51F5">
      <w:pPr>
        <w:spacing w:after="0" w:line="240" w:lineRule="auto"/>
        <w:rPr>
          <w:rFonts w:eastAsia="Times New Roman"/>
          <w:lang w:eastAsia="en-AU"/>
        </w:rPr>
      </w:pPr>
      <w:r w:rsidRPr="00D11572">
        <w:rPr>
          <w:rFonts w:eastAsia="Times New Roman"/>
          <w:lang w:eastAsia="en-AU"/>
        </w:rPr>
        <w:t xml:space="preserve">This section provides that the name of the instrument is the </w:t>
      </w:r>
      <w:bookmarkStart w:id="1" w:name="_Hlk86311533"/>
      <w:r w:rsidR="00D475CB" w:rsidRPr="00D11572">
        <w:rPr>
          <w:rFonts w:eastAsia="Times New Roman"/>
          <w:bCs/>
          <w:i/>
          <w:lang w:eastAsia="en-AU"/>
        </w:rPr>
        <w:t>Therapeutic Goods (Medical Devices—Information that Must Accompany Application for Inclusion) Amendment</w:t>
      </w:r>
      <w:r w:rsidR="006D3704" w:rsidRPr="00D11572">
        <w:rPr>
          <w:rFonts w:eastAsia="Times New Roman"/>
          <w:bCs/>
          <w:i/>
          <w:lang w:eastAsia="en-AU"/>
        </w:rPr>
        <w:t xml:space="preserve"> </w:t>
      </w:r>
      <w:r w:rsidR="001A65B1" w:rsidRPr="00D11572">
        <w:rPr>
          <w:rFonts w:eastAsia="Times New Roman"/>
          <w:bCs/>
          <w:i/>
          <w:lang w:eastAsia="en-AU"/>
        </w:rPr>
        <w:t xml:space="preserve">Determination </w:t>
      </w:r>
      <w:r w:rsidR="00D475CB" w:rsidRPr="00D11572">
        <w:rPr>
          <w:rFonts w:eastAsia="Times New Roman"/>
          <w:bCs/>
          <w:i/>
          <w:lang w:eastAsia="en-AU"/>
        </w:rPr>
        <w:t>202</w:t>
      </w:r>
      <w:r w:rsidR="00705153">
        <w:rPr>
          <w:rFonts w:eastAsia="Times New Roman"/>
          <w:bCs/>
          <w:i/>
          <w:lang w:eastAsia="en-AU"/>
        </w:rPr>
        <w:t>4</w:t>
      </w:r>
      <w:r w:rsidR="00D475CB" w:rsidRPr="00D11572">
        <w:rPr>
          <w:rFonts w:eastAsia="Times New Roman"/>
          <w:bCs/>
          <w:i/>
          <w:lang w:eastAsia="en-AU"/>
        </w:rPr>
        <w:t xml:space="preserve"> </w:t>
      </w:r>
      <w:bookmarkEnd w:id="1"/>
      <w:r w:rsidRPr="00D11572">
        <w:rPr>
          <w:rFonts w:eastAsia="Times New Roman"/>
          <w:lang w:eastAsia="en-AU"/>
        </w:rPr>
        <w:t xml:space="preserve">(“the Amendment </w:t>
      </w:r>
      <w:r w:rsidR="00E81D7C" w:rsidRPr="00D11572">
        <w:rPr>
          <w:rFonts w:eastAsia="Times New Roman"/>
          <w:lang w:eastAsia="en-AU"/>
        </w:rPr>
        <w:t>Determination</w:t>
      </w:r>
      <w:r w:rsidRPr="00D11572">
        <w:rPr>
          <w:rFonts w:eastAsia="Times New Roman"/>
          <w:lang w:eastAsia="en-AU"/>
        </w:rPr>
        <w:t>”).</w:t>
      </w:r>
    </w:p>
    <w:p w14:paraId="6426C471" w14:textId="77777777" w:rsidR="001E51F5" w:rsidRPr="00D11572" w:rsidRDefault="001E51F5" w:rsidP="001E51F5">
      <w:pPr>
        <w:spacing w:after="0" w:line="240" w:lineRule="auto"/>
        <w:rPr>
          <w:rFonts w:eastAsia="Times New Roman"/>
          <w:bCs/>
          <w:lang w:eastAsia="en-AU"/>
        </w:rPr>
      </w:pPr>
    </w:p>
    <w:p w14:paraId="3E4B1338" w14:textId="77777777" w:rsidR="001E51F5" w:rsidRPr="00D11572" w:rsidRDefault="001E51F5" w:rsidP="001E51F5">
      <w:pPr>
        <w:spacing w:after="0" w:line="240" w:lineRule="auto"/>
        <w:rPr>
          <w:rFonts w:eastAsia="Times New Roman"/>
          <w:b/>
          <w:bCs/>
          <w:lang w:eastAsia="en-AU"/>
        </w:rPr>
      </w:pPr>
      <w:r w:rsidRPr="00D11572">
        <w:rPr>
          <w:rFonts w:eastAsia="Times New Roman"/>
          <w:b/>
          <w:bCs/>
          <w:lang w:eastAsia="en-AU"/>
        </w:rPr>
        <w:t>Section 2 – Commencement</w:t>
      </w:r>
    </w:p>
    <w:p w14:paraId="612D21F6" w14:textId="77777777" w:rsidR="001E51F5" w:rsidRPr="00D11572" w:rsidRDefault="001E51F5" w:rsidP="001E51F5">
      <w:pPr>
        <w:spacing w:after="0" w:line="240" w:lineRule="auto"/>
        <w:rPr>
          <w:rFonts w:eastAsia="Times New Roman"/>
          <w:bCs/>
          <w:lang w:eastAsia="en-AU"/>
        </w:rPr>
      </w:pPr>
    </w:p>
    <w:p w14:paraId="1B7CB34F" w14:textId="0DE3D4FA" w:rsidR="001E51F5" w:rsidRPr="00D11572" w:rsidRDefault="001E51F5" w:rsidP="0027501E">
      <w:pPr>
        <w:spacing w:after="0" w:line="240" w:lineRule="auto"/>
        <w:rPr>
          <w:rFonts w:eastAsia="Times New Roman"/>
          <w:bCs/>
          <w:lang w:eastAsia="en-AU"/>
        </w:rPr>
      </w:pPr>
      <w:r w:rsidRPr="00D11572">
        <w:rPr>
          <w:rFonts w:eastAsia="Times New Roman"/>
          <w:bCs/>
          <w:lang w:eastAsia="en-AU"/>
        </w:rPr>
        <w:t xml:space="preserve">This section provides that the Amendment </w:t>
      </w:r>
      <w:r w:rsidR="00E81D7C" w:rsidRPr="00D11572">
        <w:rPr>
          <w:rFonts w:eastAsia="Times New Roman"/>
          <w:bCs/>
          <w:lang w:eastAsia="en-AU"/>
        </w:rPr>
        <w:t>Determination</w:t>
      </w:r>
      <w:r w:rsidRPr="00D11572">
        <w:rPr>
          <w:rFonts w:eastAsia="Times New Roman"/>
          <w:bCs/>
          <w:lang w:eastAsia="en-AU"/>
        </w:rPr>
        <w:t xml:space="preserve"> commences </w:t>
      </w:r>
      <w:r w:rsidR="00705153">
        <w:rPr>
          <w:rFonts w:eastAsia="Times New Roman"/>
          <w:lang w:eastAsia="en-AU"/>
        </w:rPr>
        <w:t>on 1 July 2024</w:t>
      </w:r>
      <w:r w:rsidR="00AB3017" w:rsidRPr="00D11572">
        <w:rPr>
          <w:rFonts w:eastAsia="Times New Roman"/>
          <w:bCs/>
          <w:lang w:eastAsia="en-AU"/>
        </w:rPr>
        <w:t>.</w:t>
      </w:r>
    </w:p>
    <w:p w14:paraId="19F7A87B" w14:textId="77777777" w:rsidR="001E51F5" w:rsidRPr="00D11572" w:rsidRDefault="001E51F5" w:rsidP="001E51F5">
      <w:pPr>
        <w:spacing w:after="0" w:line="240" w:lineRule="auto"/>
        <w:rPr>
          <w:rFonts w:eastAsia="Times New Roman"/>
          <w:bCs/>
          <w:lang w:eastAsia="en-AU"/>
        </w:rPr>
      </w:pPr>
    </w:p>
    <w:p w14:paraId="4D0734CC" w14:textId="77777777" w:rsidR="001E51F5" w:rsidRPr="00D11572" w:rsidRDefault="001E51F5" w:rsidP="001E51F5">
      <w:pPr>
        <w:spacing w:after="0" w:line="240" w:lineRule="auto"/>
        <w:rPr>
          <w:rFonts w:eastAsia="Times New Roman"/>
          <w:b/>
          <w:bCs/>
          <w:lang w:eastAsia="en-AU"/>
        </w:rPr>
      </w:pPr>
      <w:r w:rsidRPr="00D11572">
        <w:rPr>
          <w:rFonts w:eastAsia="Times New Roman"/>
          <w:b/>
          <w:bCs/>
          <w:lang w:eastAsia="en-AU"/>
        </w:rPr>
        <w:t>Section 3 – Authority</w:t>
      </w:r>
    </w:p>
    <w:p w14:paraId="28816634" w14:textId="77777777" w:rsidR="001E51F5" w:rsidRPr="009E6639" w:rsidRDefault="001E51F5" w:rsidP="001E51F5">
      <w:pPr>
        <w:spacing w:after="0" w:line="240" w:lineRule="auto"/>
        <w:rPr>
          <w:rFonts w:eastAsia="Times New Roman"/>
          <w:lang w:eastAsia="en-AU"/>
        </w:rPr>
      </w:pPr>
    </w:p>
    <w:p w14:paraId="073AA88B" w14:textId="77777777" w:rsidR="001E51F5" w:rsidRPr="00D11572" w:rsidRDefault="001E51F5" w:rsidP="001E51F5">
      <w:pPr>
        <w:spacing w:after="0" w:line="240" w:lineRule="auto"/>
        <w:rPr>
          <w:rFonts w:eastAsia="Times New Roman"/>
          <w:bCs/>
          <w:lang w:eastAsia="en-AU"/>
        </w:rPr>
      </w:pPr>
      <w:r w:rsidRPr="00D11572">
        <w:rPr>
          <w:rFonts w:eastAsia="Times New Roman"/>
          <w:bCs/>
          <w:lang w:eastAsia="en-AU"/>
        </w:rPr>
        <w:t xml:space="preserve">This section provides that the legislative authority for making the Amendment </w:t>
      </w:r>
      <w:r w:rsidR="00E81D7C" w:rsidRPr="00D11572">
        <w:rPr>
          <w:rFonts w:eastAsia="Times New Roman"/>
          <w:bCs/>
          <w:lang w:eastAsia="en-AU"/>
        </w:rPr>
        <w:t>Determination</w:t>
      </w:r>
      <w:r w:rsidRPr="00D11572">
        <w:rPr>
          <w:rFonts w:eastAsia="Times New Roman"/>
          <w:bCs/>
          <w:lang w:eastAsia="en-AU"/>
        </w:rPr>
        <w:t xml:space="preserve"> is </w:t>
      </w:r>
      <w:r w:rsidR="00AB3017" w:rsidRPr="00D11572">
        <w:rPr>
          <w:rFonts w:eastAsia="Times New Roman"/>
          <w:bCs/>
          <w:lang w:eastAsia="en-AU"/>
        </w:rPr>
        <w:t>sub</w:t>
      </w:r>
      <w:r w:rsidRPr="00D11572">
        <w:rPr>
          <w:rFonts w:eastAsia="Times New Roman"/>
          <w:bCs/>
          <w:lang w:eastAsia="en-AU"/>
        </w:rPr>
        <w:t xml:space="preserve">section </w:t>
      </w:r>
      <w:r w:rsidR="00AB3017" w:rsidRPr="00D11572">
        <w:rPr>
          <w:rFonts w:eastAsia="Times New Roman"/>
          <w:bCs/>
          <w:lang w:eastAsia="en-AU"/>
        </w:rPr>
        <w:t>41</w:t>
      </w:r>
      <w:proofErr w:type="gramStart"/>
      <w:r w:rsidR="00AB3017" w:rsidRPr="00D11572">
        <w:rPr>
          <w:rFonts w:eastAsia="Times New Roman"/>
          <w:bCs/>
          <w:lang w:eastAsia="en-AU"/>
        </w:rPr>
        <w:t>FDB(</w:t>
      </w:r>
      <w:proofErr w:type="gramEnd"/>
      <w:r w:rsidR="00AB3017" w:rsidRPr="00D11572">
        <w:rPr>
          <w:rFonts w:eastAsia="Times New Roman"/>
          <w:bCs/>
          <w:lang w:eastAsia="en-AU"/>
        </w:rPr>
        <w:t>7)</w:t>
      </w:r>
      <w:r w:rsidRPr="00D11572">
        <w:rPr>
          <w:rFonts w:eastAsia="Times New Roman"/>
          <w:bCs/>
          <w:lang w:eastAsia="en-AU"/>
        </w:rPr>
        <w:t xml:space="preserve"> of the </w:t>
      </w:r>
      <w:r w:rsidRPr="00D11572">
        <w:rPr>
          <w:rFonts w:eastAsia="Times New Roman"/>
          <w:bCs/>
          <w:i/>
          <w:lang w:eastAsia="en-AU"/>
        </w:rPr>
        <w:t xml:space="preserve">Therapeutic Goods Act 1989 </w:t>
      </w:r>
      <w:r w:rsidRPr="00D11572">
        <w:rPr>
          <w:rFonts w:eastAsia="Times New Roman"/>
          <w:bCs/>
          <w:lang w:eastAsia="en-AU"/>
        </w:rPr>
        <w:t>(“the Act”)</w:t>
      </w:r>
      <w:r w:rsidRPr="00D11572">
        <w:rPr>
          <w:rFonts w:eastAsia="Times New Roman"/>
          <w:bCs/>
          <w:i/>
          <w:lang w:eastAsia="en-AU"/>
        </w:rPr>
        <w:t>.</w:t>
      </w:r>
    </w:p>
    <w:p w14:paraId="70609331" w14:textId="77777777" w:rsidR="001E51F5" w:rsidRPr="00D11572" w:rsidRDefault="001E51F5" w:rsidP="001E51F5">
      <w:pPr>
        <w:spacing w:after="0" w:line="240" w:lineRule="auto"/>
        <w:rPr>
          <w:rFonts w:eastAsia="Times New Roman"/>
          <w:bCs/>
          <w:i/>
          <w:lang w:eastAsia="en-AU"/>
        </w:rPr>
      </w:pPr>
    </w:p>
    <w:p w14:paraId="43FBAF91" w14:textId="3218D518" w:rsidR="001E51F5" w:rsidRPr="00D11572" w:rsidRDefault="001E51F5" w:rsidP="001E51F5">
      <w:pPr>
        <w:spacing w:after="0" w:line="240" w:lineRule="auto"/>
        <w:rPr>
          <w:rFonts w:eastAsia="Times New Roman"/>
          <w:bCs/>
          <w:lang w:eastAsia="en-AU"/>
        </w:rPr>
      </w:pPr>
      <w:r w:rsidRPr="00D11572">
        <w:rPr>
          <w:rFonts w:eastAsia="Times New Roman"/>
          <w:bCs/>
          <w:lang w:eastAsia="en-AU"/>
        </w:rPr>
        <w:t xml:space="preserve">Subsection 33(3) of the </w:t>
      </w:r>
      <w:r w:rsidRPr="00D11572">
        <w:rPr>
          <w:rFonts w:eastAsia="Times New Roman"/>
          <w:bCs/>
          <w:i/>
          <w:lang w:eastAsia="en-AU"/>
        </w:rPr>
        <w:t>Acts Interpretation Act 1901</w:t>
      </w:r>
      <w:r w:rsidRPr="00D11572">
        <w:rPr>
          <w:rFonts w:eastAsia="Times New Roman"/>
          <w:bCs/>
          <w:lang w:eastAsia="en-AU"/>
        </w:rPr>
        <w:t xml:space="preserve"> relevantly provides that, where an Act confers a power to make, grant or issue any instrument of a legislative or administrative character, the power shall be construed as including a power exercisable in the like manner and subject to the like conditions (if any) to repeal, rescind, revoke, amend, or vary any such instrument. This instrument is made in accordance with that provision.</w:t>
      </w:r>
    </w:p>
    <w:p w14:paraId="298B35C1" w14:textId="77777777" w:rsidR="001E51F5" w:rsidRPr="00D11572" w:rsidRDefault="001E51F5" w:rsidP="001E51F5">
      <w:pPr>
        <w:spacing w:after="0" w:line="240" w:lineRule="auto"/>
        <w:rPr>
          <w:rFonts w:eastAsia="Times New Roman"/>
          <w:bCs/>
          <w:lang w:eastAsia="en-AU"/>
        </w:rPr>
      </w:pPr>
    </w:p>
    <w:p w14:paraId="5C99EC0D" w14:textId="77777777" w:rsidR="001E51F5" w:rsidRPr="00D11572" w:rsidRDefault="001E51F5" w:rsidP="001E51F5">
      <w:pPr>
        <w:spacing w:after="0" w:line="240" w:lineRule="auto"/>
        <w:rPr>
          <w:rFonts w:eastAsia="Times New Roman"/>
          <w:b/>
          <w:bCs/>
          <w:lang w:eastAsia="en-AU"/>
        </w:rPr>
      </w:pPr>
      <w:r w:rsidRPr="00D11572">
        <w:rPr>
          <w:rFonts w:eastAsia="Times New Roman"/>
          <w:b/>
          <w:bCs/>
          <w:lang w:eastAsia="en-AU"/>
        </w:rPr>
        <w:t>Section 4 – Schedules</w:t>
      </w:r>
    </w:p>
    <w:p w14:paraId="18019EBE" w14:textId="77777777" w:rsidR="001E51F5" w:rsidRPr="00D11572" w:rsidRDefault="001E51F5" w:rsidP="001E51F5">
      <w:pPr>
        <w:spacing w:after="0" w:line="240" w:lineRule="auto"/>
        <w:rPr>
          <w:rFonts w:eastAsia="Times New Roman"/>
          <w:bCs/>
          <w:lang w:eastAsia="en-AU"/>
        </w:rPr>
      </w:pPr>
    </w:p>
    <w:p w14:paraId="1133A7B5" w14:textId="77777777" w:rsidR="001E51F5" w:rsidRPr="00D11572" w:rsidRDefault="001E51F5" w:rsidP="001E51F5">
      <w:pPr>
        <w:spacing w:after="0" w:line="240" w:lineRule="auto"/>
        <w:rPr>
          <w:rFonts w:eastAsia="Times New Roman"/>
          <w:bCs/>
          <w:lang w:eastAsia="en-AU"/>
        </w:rPr>
      </w:pPr>
      <w:r w:rsidRPr="00D11572">
        <w:rPr>
          <w:rFonts w:eastAsia="Times New Roman"/>
          <w:bCs/>
          <w:lang w:eastAsia="en-AU"/>
        </w:rPr>
        <w:t xml:space="preserve">This section provides that each instrument that is specified in a Schedule to the Amendment </w:t>
      </w:r>
      <w:r w:rsidR="00E81D7C" w:rsidRPr="00D11572">
        <w:rPr>
          <w:rFonts w:eastAsia="Times New Roman"/>
          <w:bCs/>
          <w:lang w:eastAsia="en-AU"/>
        </w:rPr>
        <w:t>Determination</w:t>
      </w:r>
      <w:r w:rsidRPr="00D11572">
        <w:rPr>
          <w:rFonts w:eastAsia="Times New Roman"/>
          <w:bCs/>
          <w:lang w:eastAsia="en-AU"/>
        </w:rPr>
        <w:t xml:space="preserve"> is amended or repealed as set out in the applicable items in the Schedule concerned, and any other item in a Schedule to the Amendment </w:t>
      </w:r>
      <w:r w:rsidR="00E81D7C" w:rsidRPr="00D11572">
        <w:rPr>
          <w:rFonts w:eastAsia="Times New Roman"/>
          <w:bCs/>
          <w:lang w:eastAsia="en-AU"/>
        </w:rPr>
        <w:t>Determination</w:t>
      </w:r>
      <w:r w:rsidRPr="00D11572">
        <w:rPr>
          <w:rFonts w:eastAsia="Times New Roman"/>
          <w:bCs/>
          <w:lang w:eastAsia="en-AU"/>
        </w:rPr>
        <w:t xml:space="preserve"> has effect according to its terms.</w:t>
      </w:r>
    </w:p>
    <w:p w14:paraId="05B58594" w14:textId="77777777" w:rsidR="001E51F5" w:rsidRPr="00D11572" w:rsidRDefault="001E51F5" w:rsidP="001E51F5">
      <w:pPr>
        <w:spacing w:after="0" w:line="240" w:lineRule="auto"/>
        <w:rPr>
          <w:rFonts w:eastAsia="Times New Roman"/>
          <w:bCs/>
          <w:lang w:eastAsia="en-AU"/>
        </w:rPr>
      </w:pPr>
    </w:p>
    <w:p w14:paraId="1FD2226F" w14:textId="77777777" w:rsidR="001E51F5" w:rsidRPr="00D11572" w:rsidRDefault="001E51F5" w:rsidP="001E51F5">
      <w:pPr>
        <w:spacing w:after="0" w:line="240" w:lineRule="auto"/>
        <w:rPr>
          <w:rFonts w:eastAsia="Times New Roman"/>
          <w:b/>
          <w:bCs/>
          <w:lang w:eastAsia="en-AU"/>
        </w:rPr>
      </w:pPr>
      <w:r w:rsidRPr="00D11572">
        <w:rPr>
          <w:rFonts w:eastAsia="Times New Roman"/>
          <w:b/>
          <w:bCs/>
          <w:lang w:eastAsia="en-AU"/>
        </w:rPr>
        <w:t>Schedule 1 – Amendments</w:t>
      </w:r>
    </w:p>
    <w:p w14:paraId="5B7FC17B" w14:textId="77777777" w:rsidR="001E51F5" w:rsidRPr="00D11572" w:rsidRDefault="001E51F5" w:rsidP="001E51F5">
      <w:pPr>
        <w:spacing w:after="0" w:line="240" w:lineRule="auto"/>
        <w:rPr>
          <w:rFonts w:eastAsia="Times New Roman"/>
          <w:bCs/>
          <w:lang w:eastAsia="en-AU"/>
        </w:rPr>
      </w:pPr>
    </w:p>
    <w:p w14:paraId="4F2E7E9F" w14:textId="77777777" w:rsidR="00F964B7" w:rsidRPr="00D11572" w:rsidRDefault="00F964B7" w:rsidP="00F964B7">
      <w:pPr>
        <w:spacing w:after="0" w:line="240" w:lineRule="auto"/>
        <w:rPr>
          <w:rFonts w:eastAsia="Times New Roman"/>
          <w:bCs/>
          <w:lang w:val="en-US" w:eastAsia="en-AU"/>
        </w:rPr>
      </w:pPr>
      <w:r w:rsidRPr="00D11572">
        <w:rPr>
          <w:rFonts w:eastAsia="Times New Roman"/>
          <w:bCs/>
          <w:lang w:eastAsia="en-AU"/>
        </w:rPr>
        <w:t>This Schedule amends the</w:t>
      </w:r>
      <w:r w:rsidRPr="00D11572">
        <w:rPr>
          <w:rFonts w:eastAsia="Times New Roman"/>
          <w:i/>
          <w:iCs/>
          <w:lang w:eastAsia="en-AU"/>
        </w:rPr>
        <w:t xml:space="preserve"> </w:t>
      </w:r>
      <w:r w:rsidRPr="00D11572">
        <w:rPr>
          <w:rFonts w:eastAsia="Times New Roman"/>
          <w:bCs/>
          <w:i/>
          <w:iCs/>
          <w:lang w:eastAsia="en-AU"/>
        </w:rPr>
        <w:t>Therapeutic Goods (Medical Devices—Information that Must Accompany Application for Inclusion) Determination 2018</w:t>
      </w:r>
      <w:r w:rsidRPr="00D11572">
        <w:rPr>
          <w:rFonts w:eastAsia="Times New Roman"/>
          <w:bCs/>
          <w:lang w:eastAsia="en-AU"/>
        </w:rPr>
        <w:t xml:space="preserve"> (“the Principal Determination”).</w:t>
      </w:r>
    </w:p>
    <w:p w14:paraId="45BC8C07" w14:textId="37125E59" w:rsidR="00F964B7" w:rsidRDefault="00F964B7" w:rsidP="00F964B7">
      <w:pPr>
        <w:spacing w:after="0" w:line="240" w:lineRule="auto"/>
        <w:rPr>
          <w:rFonts w:eastAsia="Times New Roman"/>
          <w:bCs/>
          <w:lang w:eastAsia="en-AU"/>
        </w:rPr>
      </w:pPr>
    </w:p>
    <w:p w14:paraId="3E2111E0" w14:textId="402F9037" w:rsidR="002A4566" w:rsidRDefault="002A4566" w:rsidP="00F964B7">
      <w:pPr>
        <w:spacing w:after="0" w:line="240" w:lineRule="auto"/>
        <w:rPr>
          <w:rFonts w:eastAsia="Times New Roman"/>
          <w:b/>
          <w:lang w:eastAsia="en-AU"/>
        </w:rPr>
      </w:pPr>
      <w:r>
        <w:rPr>
          <w:rFonts w:eastAsia="Times New Roman"/>
          <w:b/>
          <w:lang w:eastAsia="en-AU"/>
        </w:rPr>
        <w:t xml:space="preserve">Item 1 – Section 4 (definitions of </w:t>
      </w:r>
      <w:r w:rsidRPr="002A4566">
        <w:rPr>
          <w:rFonts w:eastAsia="Times New Roman"/>
          <w:b/>
          <w:i/>
          <w:iCs/>
          <w:lang w:eastAsia="en-AU"/>
        </w:rPr>
        <w:t>active implantable medical device</w:t>
      </w:r>
      <w:r>
        <w:rPr>
          <w:rFonts w:eastAsia="Times New Roman"/>
          <w:b/>
          <w:lang w:eastAsia="en-AU"/>
        </w:rPr>
        <w:t xml:space="preserve"> and </w:t>
      </w:r>
      <w:r w:rsidRPr="002A4566">
        <w:rPr>
          <w:rFonts w:eastAsia="Times New Roman"/>
          <w:b/>
          <w:i/>
          <w:iCs/>
          <w:lang w:eastAsia="en-AU"/>
        </w:rPr>
        <w:t>Class AIMD medical device</w:t>
      </w:r>
      <w:r>
        <w:rPr>
          <w:rFonts w:eastAsia="Times New Roman"/>
          <w:b/>
          <w:lang w:eastAsia="en-AU"/>
        </w:rPr>
        <w:t>)</w:t>
      </w:r>
    </w:p>
    <w:p w14:paraId="7E1E26A1" w14:textId="77777777" w:rsidR="0065185E" w:rsidRDefault="0065185E" w:rsidP="00F964B7">
      <w:pPr>
        <w:spacing w:after="0" w:line="240" w:lineRule="auto"/>
        <w:rPr>
          <w:rFonts w:eastAsia="Times New Roman"/>
          <w:bCs/>
          <w:lang w:eastAsia="en-AU"/>
        </w:rPr>
      </w:pPr>
    </w:p>
    <w:p w14:paraId="02DCB803" w14:textId="7DB3CB16" w:rsidR="002A4566" w:rsidRPr="002A4566" w:rsidRDefault="002A4566" w:rsidP="00F964B7">
      <w:pPr>
        <w:spacing w:after="0" w:line="240" w:lineRule="auto"/>
        <w:rPr>
          <w:rFonts w:eastAsia="Times New Roman"/>
          <w:bCs/>
          <w:lang w:eastAsia="en-AU"/>
        </w:rPr>
      </w:pPr>
      <w:r>
        <w:rPr>
          <w:rFonts w:eastAsia="Times New Roman"/>
          <w:bCs/>
          <w:lang w:eastAsia="en-AU"/>
        </w:rPr>
        <w:t xml:space="preserve">This item amends section </w:t>
      </w:r>
      <w:r w:rsidRPr="00D11572">
        <w:rPr>
          <w:rFonts w:eastAsia="Times New Roman"/>
          <w:bCs/>
          <w:lang w:eastAsia="en-AU"/>
        </w:rPr>
        <w:t>4 of the Principal Determination to repeal the definition</w:t>
      </w:r>
      <w:r>
        <w:rPr>
          <w:rFonts w:eastAsia="Times New Roman"/>
          <w:bCs/>
          <w:lang w:eastAsia="en-AU"/>
        </w:rPr>
        <w:t>s</w:t>
      </w:r>
      <w:r w:rsidRPr="00D11572">
        <w:rPr>
          <w:rFonts w:eastAsia="Times New Roman"/>
          <w:bCs/>
          <w:lang w:eastAsia="en-AU"/>
        </w:rPr>
        <w:t xml:space="preserve"> of “</w:t>
      </w:r>
      <w:r>
        <w:rPr>
          <w:rFonts w:eastAsia="Times New Roman"/>
          <w:bCs/>
          <w:lang w:eastAsia="en-AU"/>
        </w:rPr>
        <w:t>active implantable medical device</w:t>
      </w:r>
      <w:r w:rsidRPr="00D11572">
        <w:rPr>
          <w:rFonts w:eastAsia="Times New Roman"/>
          <w:bCs/>
          <w:lang w:eastAsia="en-AU"/>
        </w:rPr>
        <w:t>”</w:t>
      </w:r>
      <w:r>
        <w:rPr>
          <w:rFonts w:eastAsia="Times New Roman"/>
          <w:bCs/>
          <w:lang w:eastAsia="en-AU"/>
        </w:rPr>
        <w:t xml:space="preserve"> and “Class AIM</w:t>
      </w:r>
      <w:r w:rsidR="009E6639">
        <w:rPr>
          <w:rFonts w:eastAsia="Times New Roman"/>
          <w:bCs/>
          <w:lang w:eastAsia="en-AU"/>
        </w:rPr>
        <w:t>D</w:t>
      </w:r>
      <w:r>
        <w:rPr>
          <w:rFonts w:eastAsia="Times New Roman"/>
          <w:bCs/>
          <w:lang w:eastAsia="en-AU"/>
        </w:rPr>
        <w:t xml:space="preserve"> medical device”</w:t>
      </w:r>
      <w:r w:rsidRPr="00D11572">
        <w:rPr>
          <w:rFonts w:eastAsia="Times New Roman"/>
          <w:bCs/>
          <w:lang w:eastAsia="en-AU"/>
        </w:rPr>
        <w:t>.</w:t>
      </w:r>
    </w:p>
    <w:p w14:paraId="3DF2D7B0" w14:textId="77777777" w:rsidR="002A4566" w:rsidRDefault="002A4566" w:rsidP="00F964B7">
      <w:pPr>
        <w:spacing w:after="0" w:line="240" w:lineRule="auto"/>
        <w:rPr>
          <w:rFonts w:eastAsia="Times New Roman"/>
          <w:b/>
          <w:lang w:eastAsia="en-AU"/>
        </w:rPr>
      </w:pPr>
    </w:p>
    <w:p w14:paraId="46F8971A" w14:textId="2746E9F9" w:rsidR="00705153" w:rsidRPr="00705153" w:rsidRDefault="00705153" w:rsidP="00F964B7">
      <w:pPr>
        <w:spacing w:after="0" w:line="240" w:lineRule="auto"/>
        <w:rPr>
          <w:rFonts w:eastAsia="Times New Roman"/>
          <w:b/>
          <w:lang w:eastAsia="en-AU"/>
        </w:rPr>
      </w:pPr>
      <w:r w:rsidRPr="00705153">
        <w:rPr>
          <w:rFonts w:eastAsia="Times New Roman"/>
          <w:b/>
          <w:lang w:eastAsia="en-AU"/>
        </w:rPr>
        <w:t xml:space="preserve">Item </w:t>
      </w:r>
      <w:r w:rsidR="002A4566">
        <w:rPr>
          <w:rFonts w:eastAsia="Times New Roman"/>
          <w:b/>
          <w:lang w:eastAsia="en-AU"/>
        </w:rPr>
        <w:t>2</w:t>
      </w:r>
      <w:r w:rsidRPr="00705153">
        <w:rPr>
          <w:rFonts w:eastAsia="Times New Roman"/>
          <w:b/>
          <w:lang w:eastAsia="en-AU"/>
        </w:rPr>
        <w:t xml:space="preserve"> – Section 4</w:t>
      </w:r>
    </w:p>
    <w:p w14:paraId="11C13BA2" w14:textId="77777777" w:rsidR="0065185E" w:rsidRDefault="0065185E" w:rsidP="00F964B7">
      <w:pPr>
        <w:spacing w:after="0" w:line="240" w:lineRule="auto"/>
        <w:rPr>
          <w:rFonts w:eastAsia="Times New Roman"/>
          <w:bCs/>
          <w:lang w:eastAsia="en-AU"/>
        </w:rPr>
      </w:pPr>
    </w:p>
    <w:p w14:paraId="652F40E1" w14:textId="25D905D3" w:rsidR="00705153" w:rsidRDefault="00705153" w:rsidP="00F964B7">
      <w:pPr>
        <w:spacing w:after="0" w:line="240" w:lineRule="auto"/>
        <w:rPr>
          <w:rFonts w:eastAsia="Times New Roman"/>
          <w:bCs/>
          <w:lang w:eastAsia="en-AU"/>
        </w:rPr>
      </w:pPr>
      <w:r>
        <w:rPr>
          <w:rFonts w:eastAsia="Times New Roman"/>
          <w:bCs/>
          <w:lang w:eastAsia="en-AU"/>
        </w:rPr>
        <w:t xml:space="preserve">This item introduces definitions for ‘clinical evaluation report’, generic device group, and other terms that are defined in the </w:t>
      </w:r>
      <w:r>
        <w:rPr>
          <w:rFonts w:eastAsia="Times New Roman"/>
          <w:bCs/>
          <w:i/>
          <w:iCs/>
          <w:lang w:eastAsia="en-AU"/>
        </w:rPr>
        <w:t>Therapeutic Goods (Medical Devices) Regulations 2002</w:t>
      </w:r>
      <w:r>
        <w:rPr>
          <w:rFonts w:eastAsia="Times New Roman"/>
          <w:bCs/>
          <w:lang w:eastAsia="en-AU"/>
        </w:rPr>
        <w:t xml:space="preserve"> such as instructions for use and point of care testing.</w:t>
      </w:r>
    </w:p>
    <w:p w14:paraId="7D64F8F6" w14:textId="77777777" w:rsidR="00705153" w:rsidRDefault="00705153" w:rsidP="00F964B7">
      <w:pPr>
        <w:spacing w:after="0" w:line="240" w:lineRule="auto"/>
        <w:rPr>
          <w:rFonts w:eastAsia="Times New Roman"/>
          <w:bCs/>
          <w:lang w:eastAsia="en-AU"/>
        </w:rPr>
      </w:pPr>
    </w:p>
    <w:p w14:paraId="08536E19" w14:textId="72AD5167" w:rsidR="00705153" w:rsidRPr="00705153" w:rsidRDefault="00705153" w:rsidP="00F964B7">
      <w:pPr>
        <w:spacing w:after="0" w:line="240" w:lineRule="auto"/>
        <w:rPr>
          <w:rFonts w:eastAsia="Times New Roman"/>
          <w:b/>
          <w:lang w:eastAsia="en-AU"/>
        </w:rPr>
      </w:pPr>
      <w:r w:rsidRPr="00705153">
        <w:rPr>
          <w:rFonts w:eastAsia="Times New Roman"/>
          <w:b/>
          <w:lang w:eastAsia="en-AU"/>
        </w:rPr>
        <w:lastRenderedPageBreak/>
        <w:t xml:space="preserve">Item </w:t>
      </w:r>
      <w:r w:rsidR="002A4566">
        <w:rPr>
          <w:rFonts w:eastAsia="Times New Roman"/>
          <w:b/>
          <w:lang w:eastAsia="en-AU"/>
        </w:rPr>
        <w:t>3</w:t>
      </w:r>
      <w:r w:rsidRPr="00705153">
        <w:rPr>
          <w:rFonts w:eastAsia="Times New Roman"/>
          <w:b/>
          <w:lang w:eastAsia="en-AU"/>
        </w:rPr>
        <w:t xml:space="preserve"> – Section 4 (definition of </w:t>
      </w:r>
      <w:r w:rsidRPr="00705153">
        <w:rPr>
          <w:rFonts w:eastAsia="Times New Roman"/>
          <w:b/>
          <w:i/>
          <w:iCs/>
          <w:lang w:eastAsia="en-AU"/>
        </w:rPr>
        <w:t>specified medical device</w:t>
      </w:r>
      <w:r w:rsidRPr="00705153">
        <w:rPr>
          <w:rFonts w:eastAsia="Times New Roman"/>
          <w:b/>
          <w:lang w:eastAsia="en-AU"/>
        </w:rPr>
        <w:t xml:space="preserve">) </w:t>
      </w:r>
    </w:p>
    <w:p w14:paraId="09B58EA4" w14:textId="77777777" w:rsidR="0065185E" w:rsidRDefault="0065185E" w:rsidP="00F964B7">
      <w:pPr>
        <w:spacing w:after="0" w:line="240" w:lineRule="auto"/>
        <w:rPr>
          <w:rFonts w:eastAsia="Times New Roman"/>
          <w:bCs/>
          <w:lang w:eastAsia="en-AU"/>
        </w:rPr>
      </w:pPr>
    </w:p>
    <w:p w14:paraId="6D54C274" w14:textId="62664D6F" w:rsidR="00F855EA" w:rsidRPr="00D11572" w:rsidRDefault="00705153" w:rsidP="00F964B7">
      <w:pPr>
        <w:spacing w:after="0" w:line="240" w:lineRule="auto"/>
        <w:rPr>
          <w:rFonts w:eastAsia="Times New Roman"/>
          <w:bCs/>
          <w:lang w:eastAsia="en-AU"/>
        </w:rPr>
      </w:pPr>
      <w:r>
        <w:rPr>
          <w:rFonts w:eastAsia="Times New Roman"/>
          <w:bCs/>
          <w:lang w:eastAsia="en-AU"/>
        </w:rPr>
        <w:t xml:space="preserve">This item amends </w:t>
      </w:r>
      <w:r w:rsidR="00F71744" w:rsidRPr="00D11572">
        <w:rPr>
          <w:rFonts w:eastAsia="Times New Roman"/>
          <w:bCs/>
          <w:lang w:eastAsia="en-AU"/>
        </w:rPr>
        <w:t xml:space="preserve">section 4 of the Principal Determination to </w:t>
      </w:r>
      <w:r w:rsidR="00B3004F" w:rsidRPr="00D11572">
        <w:rPr>
          <w:rFonts w:eastAsia="Times New Roman"/>
          <w:bCs/>
          <w:lang w:eastAsia="en-AU"/>
        </w:rPr>
        <w:t>repeal the definition of “specified medical device”.</w:t>
      </w:r>
    </w:p>
    <w:p w14:paraId="67B4DB24" w14:textId="77777777" w:rsidR="00DB135A" w:rsidRDefault="00DB135A" w:rsidP="00F964B7">
      <w:pPr>
        <w:spacing w:after="0" w:line="240" w:lineRule="auto"/>
        <w:rPr>
          <w:rFonts w:eastAsia="Times New Roman"/>
          <w:bCs/>
          <w:lang w:eastAsia="en-AU"/>
        </w:rPr>
      </w:pPr>
    </w:p>
    <w:p w14:paraId="035F9160" w14:textId="37BFFCBE" w:rsidR="00705153" w:rsidRPr="00705153" w:rsidRDefault="00705153" w:rsidP="00F964B7">
      <w:pPr>
        <w:spacing w:after="0" w:line="240" w:lineRule="auto"/>
        <w:rPr>
          <w:rFonts w:eastAsia="Times New Roman"/>
          <w:b/>
          <w:lang w:eastAsia="en-AU"/>
        </w:rPr>
      </w:pPr>
      <w:r w:rsidRPr="00705153">
        <w:rPr>
          <w:rFonts w:eastAsia="Times New Roman"/>
          <w:b/>
          <w:lang w:eastAsia="en-AU"/>
        </w:rPr>
        <w:t xml:space="preserve">Item </w:t>
      </w:r>
      <w:r w:rsidR="002A4566">
        <w:rPr>
          <w:rFonts w:eastAsia="Times New Roman"/>
          <w:b/>
          <w:lang w:eastAsia="en-AU"/>
        </w:rPr>
        <w:t>4</w:t>
      </w:r>
      <w:r w:rsidRPr="00705153">
        <w:rPr>
          <w:rFonts w:eastAsia="Times New Roman"/>
          <w:b/>
          <w:lang w:eastAsia="en-AU"/>
        </w:rPr>
        <w:t xml:space="preserve"> – subsection 5(7)</w:t>
      </w:r>
    </w:p>
    <w:p w14:paraId="741D6486" w14:textId="77777777" w:rsidR="0065185E" w:rsidRDefault="0065185E" w:rsidP="00F964B7">
      <w:pPr>
        <w:spacing w:after="0" w:line="240" w:lineRule="auto"/>
        <w:rPr>
          <w:rFonts w:eastAsia="Times New Roman"/>
          <w:bCs/>
          <w:lang w:eastAsia="en-AU"/>
        </w:rPr>
      </w:pPr>
    </w:p>
    <w:p w14:paraId="3773FDDC" w14:textId="7583153B" w:rsidR="00643F01" w:rsidRDefault="00705153" w:rsidP="00F964B7">
      <w:pPr>
        <w:spacing w:after="0" w:line="240" w:lineRule="auto"/>
        <w:rPr>
          <w:rFonts w:eastAsia="Times New Roman"/>
          <w:bCs/>
          <w:lang w:eastAsia="en-AU"/>
        </w:rPr>
      </w:pPr>
      <w:r>
        <w:rPr>
          <w:rFonts w:eastAsia="Times New Roman"/>
          <w:bCs/>
          <w:lang w:eastAsia="en-AU"/>
        </w:rPr>
        <w:t>This item replaces subsection 5(7) of the Principal Determination to provide that this subsection also applies to medical devices that were formerly defined as a ‘specified medical device’</w:t>
      </w:r>
      <w:r w:rsidR="00643F01">
        <w:rPr>
          <w:rFonts w:eastAsia="Times New Roman"/>
          <w:bCs/>
          <w:lang w:eastAsia="en-AU"/>
        </w:rPr>
        <w:t xml:space="preserve">, and to require the submission of a </w:t>
      </w:r>
      <w:r w:rsidR="00194FCA" w:rsidRPr="00D11572">
        <w:rPr>
          <w:rFonts w:eastAsia="Times New Roman"/>
          <w:lang w:eastAsia="en-AU"/>
        </w:rPr>
        <w:t xml:space="preserve">clinical </w:t>
      </w:r>
      <w:r w:rsidR="00194FCA">
        <w:rPr>
          <w:rFonts w:eastAsia="Times New Roman"/>
          <w:lang w:eastAsia="en-AU"/>
        </w:rPr>
        <w:t>evaluation</w:t>
      </w:r>
      <w:r w:rsidR="00194FCA" w:rsidRPr="00D11572">
        <w:rPr>
          <w:rFonts w:eastAsia="Times New Roman"/>
          <w:lang w:eastAsia="en-AU"/>
        </w:rPr>
        <w:t xml:space="preserve"> report </w:t>
      </w:r>
      <w:r w:rsidR="00643F01">
        <w:rPr>
          <w:rFonts w:eastAsia="Times New Roman"/>
          <w:bCs/>
          <w:lang w:eastAsia="en-AU"/>
        </w:rPr>
        <w:t>and instructions for use for an application for inclusion of a Class III medical device in the Register</w:t>
      </w:r>
      <w:r w:rsidR="00EE2A41">
        <w:rPr>
          <w:rFonts w:eastAsia="Times New Roman"/>
          <w:bCs/>
          <w:lang w:eastAsia="en-AU"/>
        </w:rPr>
        <w:t>, unless there is a TGA conformity assessment certificate for the medical device</w:t>
      </w:r>
      <w:r w:rsidR="00643F01">
        <w:rPr>
          <w:rFonts w:eastAsia="Times New Roman"/>
          <w:bCs/>
          <w:lang w:eastAsia="en-AU"/>
        </w:rPr>
        <w:t>.</w:t>
      </w:r>
    </w:p>
    <w:p w14:paraId="037C703C" w14:textId="77777777" w:rsidR="00643F01" w:rsidRDefault="00643F01" w:rsidP="00F964B7">
      <w:pPr>
        <w:spacing w:after="0" w:line="240" w:lineRule="auto"/>
        <w:rPr>
          <w:rFonts w:eastAsia="Times New Roman"/>
          <w:bCs/>
          <w:lang w:eastAsia="en-AU"/>
        </w:rPr>
      </w:pPr>
    </w:p>
    <w:p w14:paraId="53720552" w14:textId="1EF81A8F" w:rsidR="00643F01" w:rsidRDefault="00643F01" w:rsidP="00F964B7">
      <w:pPr>
        <w:spacing w:after="0" w:line="240" w:lineRule="auto"/>
        <w:rPr>
          <w:rFonts w:eastAsia="Times New Roman"/>
          <w:bCs/>
          <w:lang w:eastAsia="en-AU"/>
        </w:rPr>
      </w:pPr>
      <w:r w:rsidRPr="00643F01">
        <w:rPr>
          <w:rFonts w:eastAsia="Times New Roman"/>
          <w:b/>
          <w:lang w:eastAsia="en-AU"/>
        </w:rPr>
        <w:t xml:space="preserve">Item </w:t>
      </w:r>
      <w:r w:rsidR="002A4566">
        <w:rPr>
          <w:rFonts w:eastAsia="Times New Roman"/>
          <w:b/>
          <w:lang w:eastAsia="en-AU"/>
        </w:rPr>
        <w:t>5</w:t>
      </w:r>
      <w:r w:rsidRPr="00643F01">
        <w:rPr>
          <w:rFonts w:eastAsia="Times New Roman"/>
          <w:b/>
          <w:lang w:eastAsia="en-AU"/>
        </w:rPr>
        <w:t xml:space="preserve"> – Subsections 5(8A) to (10B)</w:t>
      </w:r>
    </w:p>
    <w:p w14:paraId="4EDA6FCF" w14:textId="77777777" w:rsidR="0065185E" w:rsidRDefault="0065185E" w:rsidP="00643F01">
      <w:pPr>
        <w:spacing w:after="0" w:line="240" w:lineRule="auto"/>
        <w:rPr>
          <w:rFonts w:eastAsia="Times New Roman"/>
          <w:bCs/>
          <w:lang w:eastAsia="en-AU"/>
        </w:rPr>
      </w:pPr>
    </w:p>
    <w:p w14:paraId="7403BE86" w14:textId="40D27D95" w:rsidR="00643F01" w:rsidRDefault="00643F01" w:rsidP="00643F01">
      <w:pPr>
        <w:spacing w:after="0" w:line="240" w:lineRule="auto"/>
        <w:rPr>
          <w:rFonts w:eastAsia="Times New Roman"/>
          <w:bCs/>
          <w:lang w:eastAsia="en-AU"/>
        </w:rPr>
      </w:pPr>
      <w:r>
        <w:rPr>
          <w:rFonts w:eastAsia="Times New Roman"/>
          <w:bCs/>
          <w:lang w:eastAsia="en-AU"/>
        </w:rPr>
        <w:t xml:space="preserve">This item repeals subsections 5(8A to (10B) as those provisions are no longer needed since they relate to AIMD medical device (which have been reclassified as Class III medical devices) and ‘specified medical devices’ which will no longer have </w:t>
      </w:r>
      <w:proofErr w:type="gramStart"/>
      <w:r>
        <w:rPr>
          <w:rFonts w:eastAsia="Times New Roman"/>
          <w:bCs/>
          <w:lang w:eastAsia="en-AU"/>
        </w:rPr>
        <w:t>particular requirements</w:t>
      </w:r>
      <w:proofErr w:type="gramEnd"/>
      <w:r>
        <w:rPr>
          <w:rFonts w:eastAsia="Times New Roman"/>
          <w:bCs/>
          <w:lang w:eastAsia="en-AU"/>
        </w:rPr>
        <w:t xml:space="preserve"> in the Principal Determination.</w:t>
      </w:r>
    </w:p>
    <w:p w14:paraId="5830B7D9" w14:textId="77777777" w:rsidR="00643F01" w:rsidRDefault="00643F01" w:rsidP="00643F01">
      <w:pPr>
        <w:spacing w:after="0" w:line="240" w:lineRule="auto"/>
        <w:rPr>
          <w:rFonts w:eastAsia="Times New Roman"/>
          <w:bCs/>
          <w:lang w:eastAsia="en-AU"/>
        </w:rPr>
      </w:pPr>
    </w:p>
    <w:p w14:paraId="7331E45E" w14:textId="56725F2B" w:rsidR="00643F01" w:rsidRPr="00643F01" w:rsidRDefault="00643F01" w:rsidP="00643F01">
      <w:pPr>
        <w:spacing w:after="0" w:line="240" w:lineRule="auto"/>
        <w:rPr>
          <w:b/>
        </w:rPr>
      </w:pPr>
      <w:r w:rsidRPr="00643F01">
        <w:rPr>
          <w:rFonts w:eastAsia="Times New Roman"/>
          <w:b/>
          <w:lang w:eastAsia="en-AU"/>
        </w:rPr>
        <w:t xml:space="preserve">Items </w:t>
      </w:r>
      <w:r w:rsidR="002A4566">
        <w:rPr>
          <w:rFonts w:eastAsia="Times New Roman"/>
          <w:b/>
          <w:lang w:eastAsia="en-AU"/>
        </w:rPr>
        <w:t>6</w:t>
      </w:r>
      <w:r w:rsidRPr="00643F01">
        <w:rPr>
          <w:rFonts w:eastAsia="Times New Roman"/>
          <w:b/>
          <w:lang w:eastAsia="en-AU"/>
        </w:rPr>
        <w:t xml:space="preserve">, </w:t>
      </w:r>
      <w:r w:rsidR="002A4566">
        <w:rPr>
          <w:rFonts w:eastAsia="Times New Roman"/>
          <w:b/>
          <w:lang w:eastAsia="en-AU"/>
        </w:rPr>
        <w:t>7</w:t>
      </w:r>
      <w:r w:rsidRPr="00643F01">
        <w:rPr>
          <w:rFonts w:eastAsia="Times New Roman"/>
          <w:b/>
          <w:lang w:eastAsia="en-AU"/>
        </w:rPr>
        <w:t xml:space="preserve"> and </w:t>
      </w:r>
      <w:r w:rsidR="002A4566">
        <w:rPr>
          <w:rFonts w:eastAsia="Times New Roman"/>
          <w:b/>
          <w:lang w:eastAsia="en-AU"/>
        </w:rPr>
        <w:t>9</w:t>
      </w:r>
      <w:r w:rsidRPr="00643F01">
        <w:rPr>
          <w:rFonts w:eastAsia="Times New Roman"/>
          <w:b/>
          <w:lang w:eastAsia="en-AU"/>
        </w:rPr>
        <w:t xml:space="preserve"> - </w:t>
      </w:r>
      <w:r w:rsidRPr="00643F01">
        <w:rPr>
          <w:b/>
        </w:rPr>
        <w:t>Part 2 of Schedule 1 (cell at item 7, column 3), Part 3 of Schedule 1 (cell at item 9, column 3) and Division 1 of Part 4 of Schedule 1 (cell at item 10, column</w:t>
      </w:r>
      <w:r>
        <w:rPr>
          <w:b/>
        </w:rPr>
        <w:t> </w:t>
      </w:r>
      <w:r w:rsidRPr="00643F01">
        <w:rPr>
          <w:b/>
        </w:rPr>
        <w:t>3)</w:t>
      </w:r>
    </w:p>
    <w:p w14:paraId="6F8E85AC" w14:textId="77777777" w:rsidR="0065185E" w:rsidRDefault="0065185E" w:rsidP="00643F01">
      <w:pPr>
        <w:spacing w:after="0" w:line="240" w:lineRule="auto"/>
      </w:pPr>
    </w:p>
    <w:p w14:paraId="1C6F570D" w14:textId="66288E6D" w:rsidR="00643F01" w:rsidRDefault="00643F01" w:rsidP="00643F01">
      <w:pPr>
        <w:spacing w:after="0" w:line="240" w:lineRule="auto"/>
      </w:pPr>
      <w:r>
        <w:t>These items replace the text in the relevant cell to simply refer to a MDSAP certificate, with the effect of remove requirements that relate to applications made prior to 2019. This amendment does not otherwise change the effect of the items.</w:t>
      </w:r>
    </w:p>
    <w:p w14:paraId="2FAED576" w14:textId="77777777" w:rsidR="00643F01" w:rsidRDefault="00643F01" w:rsidP="00643F01">
      <w:pPr>
        <w:spacing w:after="0" w:line="240" w:lineRule="auto"/>
      </w:pPr>
    </w:p>
    <w:p w14:paraId="67582B94" w14:textId="7E01A43E" w:rsidR="00643F01" w:rsidRPr="00643F01" w:rsidRDefault="00643F01" w:rsidP="00643F01">
      <w:pPr>
        <w:spacing w:after="0" w:line="240" w:lineRule="auto"/>
        <w:rPr>
          <w:b/>
          <w:bCs/>
        </w:rPr>
      </w:pPr>
      <w:r w:rsidRPr="00643F01">
        <w:rPr>
          <w:b/>
          <w:bCs/>
        </w:rPr>
        <w:t xml:space="preserve">Item </w:t>
      </w:r>
      <w:r w:rsidR="002A4566">
        <w:rPr>
          <w:b/>
          <w:bCs/>
        </w:rPr>
        <w:t>8</w:t>
      </w:r>
      <w:r w:rsidRPr="00643F01">
        <w:rPr>
          <w:b/>
          <w:bCs/>
        </w:rPr>
        <w:t xml:space="preserve"> - Division 1 of Part 4 of Schedule 1 (heading)</w:t>
      </w:r>
    </w:p>
    <w:p w14:paraId="6077AF8F" w14:textId="77777777" w:rsidR="0065185E" w:rsidRDefault="0065185E" w:rsidP="00643F01">
      <w:pPr>
        <w:spacing w:after="0" w:line="240" w:lineRule="auto"/>
      </w:pPr>
    </w:p>
    <w:p w14:paraId="47C885BF" w14:textId="0EC96D6D" w:rsidR="00643F01" w:rsidRDefault="00643F01" w:rsidP="00643F01">
      <w:pPr>
        <w:spacing w:after="0" w:line="240" w:lineRule="auto"/>
      </w:pPr>
      <w:r>
        <w:t>This item repeals the heading of Division 1 of Part 4 of Schedule 1 to the Principal Determination as that Division will no longer apply only to medical devices that are not a ‘specified medical device’.</w:t>
      </w:r>
    </w:p>
    <w:p w14:paraId="3299AC86" w14:textId="77777777" w:rsidR="00643F01" w:rsidRDefault="00643F01" w:rsidP="00643F01">
      <w:pPr>
        <w:spacing w:after="0" w:line="240" w:lineRule="auto"/>
      </w:pPr>
    </w:p>
    <w:p w14:paraId="5996DE70" w14:textId="114109CB" w:rsidR="00643F01" w:rsidRPr="00643F01" w:rsidRDefault="00643F01" w:rsidP="00643F01">
      <w:pPr>
        <w:spacing w:after="0" w:line="240" w:lineRule="auto"/>
        <w:rPr>
          <w:b/>
          <w:bCs/>
        </w:rPr>
      </w:pPr>
      <w:r w:rsidRPr="00643F01">
        <w:rPr>
          <w:b/>
          <w:bCs/>
        </w:rPr>
        <w:t xml:space="preserve">Item </w:t>
      </w:r>
      <w:r w:rsidR="002A4566">
        <w:rPr>
          <w:b/>
          <w:bCs/>
        </w:rPr>
        <w:t>10</w:t>
      </w:r>
      <w:r w:rsidRPr="00643F01">
        <w:rPr>
          <w:b/>
          <w:bCs/>
        </w:rPr>
        <w:t xml:space="preserve"> - Division 2 of Part 4 of Schedule 1</w:t>
      </w:r>
    </w:p>
    <w:p w14:paraId="38A80885" w14:textId="77777777" w:rsidR="0065185E" w:rsidRDefault="0065185E" w:rsidP="00643F01">
      <w:pPr>
        <w:spacing w:after="0" w:line="240" w:lineRule="auto"/>
      </w:pPr>
    </w:p>
    <w:p w14:paraId="3E49AC49" w14:textId="3CECC882" w:rsidR="00643F01" w:rsidRDefault="00643F01" w:rsidP="00643F01">
      <w:pPr>
        <w:spacing w:after="0" w:line="240" w:lineRule="auto"/>
      </w:pPr>
      <w:r>
        <w:t xml:space="preserve">This item repeals Division 2 of Part 4 of Schedule 1 to the Principal Determination to remove the requirements for ‘specified medical </w:t>
      </w:r>
      <w:proofErr w:type="gramStart"/>
      <w:r>
        <w:t>devices’</w:t>
      </w:r>
      <w:proofErr w:type="gramEnd"/>
      <w:r>
        <w:t>. That category of devices is being removed from the Principal Determination, and other provisions will apply to those devices as relevant.</w:t>
      </w:r>
    </w:p>
    <w:p w14:paraId="4F4BF353" w14:textId="77777777" w:rsidR="00643F01" w:rsidRDefault="00643F01" w:rsidP="00643F01">
      <w:pPr>
        <w:spacing w:after="0" w:line="240" w:lineRule="auto"/>
      </w:pPr>
    </w:p>
    <w:p w14:paraId="59DEC84D" w14:textId="63B58D3F" w:rsidR="00643F01" w:rsidRPr="00643F01" w:rsidRDefault="00643F01" w:rsidP="00643F01">
      <w:pPr>
        <w:spacing w:after="0" w:line="240" w:lineRule="auto"/>
        <w:rPr>
          <w:rFonts w:eastAsia="Times New Roman"/>
          <w:b/>
          <w:lang w:eastAsia="en-AU"/>
        </w:rPr>
      </w:pPr>
      <w:r w:rsidRPr="00643F01">
        <w:rPr>
          <w:rFonts w:eastAsia="Times New Roman"/>
          <w:b/>
          <w:lang w:eastAsia="en-AU"/>
        </w:rPr>
        <w:t>Item 1</w:t>
      </w:r>
      <w:r w:rsidR="002A4566">
        <w:rPr>
          <w:rFonts w:eastAsia="Times New Roman"/>
          <w:b/>
          <w:lang w:eastAsia="en-AU"/>
        </w:rPr>
        <w:t>1</w:t>
      </w:r>
      <w:r w:rsidRPr="00643F01">
        <w:rPr>
          <w:rFonts w:eastAsia="Times New Roman"/>
          <w:b/>
          <w:lang w:eastAsia="en-AU"/>
        </w:rPr>
        <w:t xml:space="preserve"> – Part 5 of Schedule 1</w:t>
      </w:r>
    </w:p>
    <w:p w14:paraId="5E7A4E14" w14:textId="77777777" w:rsidR="0065185E" w:rsidRDefault="0065185E" w:rsidP="00643F01">
      <w:pPr>
        <w:spacing w:after="0" w:line="240" w:lineRule="auto"/>
        <w:rPr>
          <w:rFonts w:eastAsia="Times New Roman"/>
          <w:bCs/>
          <w:lang w:eastAsia="en-AU"/>
        </w:rPr>
      </w:pPr>
    </w:p>
    <w:p w14:paraId="75F56FD8" w14:textId="62D5060E" w:rsidR="00643F01" w:rsidRPr="00D11572" w:rsidRDefault="00643F01" w:rsidP="00643F01">
      <w:pPr>
        <w:spacing w:after="0" w:line="240" w:lineRule="auto"/>
        <w:rPr>
          <w:rFonts w:eastAsia="Times New Roman"/>
          <w:bCs/>
          <w:lang w:eastAsia="en-AU"/>
        </w:rPr>
      </w:pPr>
      <w:r>
        <w:rPr>
          <w:rFonts w:eastAsia="Times New Roman"/>
          <w:bCs/>
          <w:lang w:eastAsia="en-AU"/>
        </w:rPr>
        <w:t>This item repeals Part 5 of Schedule 1 to the Principal Determination as that Part relates to AIMD medical devices which have been reclassified as Class III medical devices, and the AIMD classification no longer exists.</w:t>
      </w:r>
    </w:p>
    <w:p w14:paraId="5A959C7F" w14:textId="4956B6C7" w:rsidR="00705153" w:rsidRDefault="00705153" w:rsidP="00F964B7">
      <w:pPr>
        <w:spacing w:after="0" w:line="240" w:lineRule="auto"/>
        <w:rPr>
          <w:rFonts w:eastAsia="Times New Roman"/>
          <w:bCs/>
          <w:lang w:eastAsia="en-AU"/>
        </w:rPr>
      </w:pPr>
    </w:p>
    <w:p w14:paraId="773B5B8E" w14:textId="4A46612F" w:rsidR="00643F01" w:rsidRPr="00C5331B" w:rsidRDefault="00643F01" w:rsidP="009E6639">
      <w:pPr>
        <w:keepNext/>
        <w:widowControl w:val="0"/>
        <w:spacing w:after="0" w:line="240" w:lineRule="auto"/>
        <w:rPr>
          <w:b/>
        </w:rPr>
      </w:pPr>
      <w:r w:rsidRPr="00C5331B">
        <w:rPr>
          <w:rFonts w:eastAsia="Times New Roman"/>
          <w:b/>
          <w:lang w:eastAsia="en-AU"/>
        </w:rPr>
        <w:lastRenderedPageBreak/>
        <w:t>Item 1</w:t>
      </w:r>
      <w:r w:rsidR="002A4566">
        <w:rPr>
          <w:rFonts w:eastAsia="Times New Roman"/>
          <w:b/>
          <w:lang w:eastAsia="en-AU"/>
        </w:rPr>
        <w:t>2</w:t>
      </w:r>
      <w:r w:rsidRPr="00C5331B">
        <w:rPr>
          <w:rFonts w:eastAsia="Times New Roman"/>
          <w:b/>
          <w:lang w:eastAsia="en-AU"/>
        </w:rPr>
        <w:t xml:space="preserve"> - </w:t>
      </w:r>
      <w:r w:rsidRPr="00C5331B">
        <w:rPr>
          <w:b/>
        </w:rPr>
        <w:t>Part 1 of Schedule 2 (cell at item 3, column 4)</w:t>
      </w:r>
    </w:p>
    <w:p w14:paraId="5D9486D1" w14:textId="77777777" w:rsidR="0065185E" w:rsidRDefault="0065185E" w:rsidP="009E6639">
      <w:pPr>
        <w:keepNext/>
        <w:widowControl w:val="0"/>
        <w:spacing w:after="0" w:line="240" w:lineRule="auto"/>
      </w:pPr>
    </w:p>
    <w:p w14:paraId="58DF79E4" w14:textId="429EB50D" w:rsidR="00643F01" w:rsidRDefault="00643F01" w:rsidP="00F964B7">
      <w:pPr>
        <w:spacing w:after="0" w:line="240" w:lineRule="auto"/>
      </w:pPr>
      <w:r>
        <w:t xml:space="preserve">This item introduces requirements for Class 2 IVD medical devices where an application for inclusion of the device in the Register is supported by conformity assessment documents from a notified body. </w:t>
      </w:r>
      <w:r w:rsidR="00C5331B">
        <w:t>The new requirement applies to an IVD medical device for self</w:t>
      </w:r>
      <w:r w:rsidR="00C5331B">
        <w:noBreakHyphen/>
        <w:t xml:space="preserve">testing or an IVD medical device for point of care </w:t>
      </w:r>
      <w:proofErr w:type="gramStart"/>
      <w:r w:rsidR="00C5331B">
        <w:t>testing, and</w:t>
      </w:r>
      <w:proofErr w:type="gramEnd"/>
      <w:r w:rsidR="00C5331B">
        <w:t xml:space="preserve"> requires an application to be accompanied by an assessment of technical documentation referred to in section 5.1 of Annex</w:t>
      </w:r>
      <w:r w:rsidR="0094362D">
        <w:t> </w:t>
      </w:r>
      <w:r w:rsidR="00C5331B">
        <w:t>IX of the EU IVD regulation.</w:t>
      </w:r>
    </w:p>
    <w:p w14:paraId="70C6BB11" w14:textId="77777777" w:rsidR="00C5331B" w:rsidRDefault="00C5331B" w:rsidP="00F964B7">
      <w:pPr>
        <w:spacing w:after="0" w:line="240" w:lineRule="auto"/>
      </w:pPr>
    </w:p>
    <w:p w14:paraId="05EC1DA5" w14:textId="0E45BB79" w:rsidR="00C5331B" w:rsidRPr="007D5BD6" w:rsidRDefault="00C5331B" w:rsidP="00F964B7">
      <w:pPr>
        <w:spacing w:after="0" w:line="240" w:lineRule="auto"/>
        <w:rPr>
          <w:b/>
          <w:bCs/>
        </w:rPr>
      </w:pPr>
      <w:r w:rsidRPr="007D5BD6">
        <w:rPr>
          <w:b/>
          <w:bCs/>
        </w:rPr>
        <w:t>Item 1</w:t>
      </w:r>
      <w:r w:rsidR="002A4566">
        <w:rPr>
          <w:b/>
          <w:bCs/>
        </w:rPr>
        <w:t>3</w:t>
      </w:r>
      <w:r w:rsidRPr="007D5BD6">
        <w:rPr>
          <w:b/>
          <w:bCs/>
        </w:rPr>
        <w:t xml:space="preserve"> - </w:t>
      </w:r>
      <w:r w:rsidR="0094362D" w:rsidRPr="007D5BD6">
        <w:rPr>
          <w:b/>
          <w:bCs/>
        </w:rPr>
        <w:t>Part 1 of Schedule 2 (cell at item 4, column 3)</w:t>
      </w:r>
    </w:p>
    <w:p w14:paraId="57B67D9B" w14:textId="77777777" w:rsidR="0065185E" w:rsidRDefault="0065185E" w:rsidP="00F964B7">
      <w:pPr>
        <w:spacing w:after="0" w:line="240" w:lineRule="auto"/>
      </w:pPr>
    </w:p>
    <w:p w14:paraId="5FFE01F2" w14:textId="21563755" w:rsidR="0094362D" w:rsidRDefault="0094362D" w:rsidP="00F964B7">
      <w:pPr>
        <w:spacing w:after="0" w:line="240" w:lineRule="auto"/>
      </w:pPr>
      <w:r>
        <w:t xml:space="preserve">This item replaces the text in column 3 of item 4 in Part 1 of Schedule 2 to the Principal Determination </w:t>
      </w:r>
      <w:r w:rsidR="007D5BD6">
        <w:t>to refer only to a MDSAP certificate. The effect of this amendment is that where overseas regulator evidence is being relied upon to support an application for inclusion in the Register specifically from Health Canada, a MDSAP certificate must accompany the application.</w:t>
      </w:r>
    </w:p>
    <w:p w14:paraId="4601D8C5" w14:textId="77777777" w:rsidR="00EF1984" w:rsidRDefault="00EF1984" w:rsidP="00F964B7">
      <w:pPr>
        <w:spacing w:after="0" w:line="240" w:lineRule="auto"/>
      </w:pPr>
    </w:p>
    <w:p w14:paraId="3FEA1DED" w14:textId="3D396DF2" w:rsidR="00EF1984" w:rsidRPr="006C3BC0" w:rsidRDefault="00EF1984" w:rsidP="00F964B7">
      <w:pPr>
        <w:spacing w:after="0" w:line="240" w:lineRule="auto"/>
        <w:rPr>
          <w:b/>
          <w:bCs/>
        </w:rPr>
      </w:pPr>
      <w:r w:rsidRPr="006C3BC0">
        <w:rPr>
          <w:b/>
          <w:bCs/>
        </w:rPr>
        <w:t xml:space="preserve">Item </w:t>
      </w:r>
      <w:r w:rsidR="006C3BC0" w:rsidRPr="006C3BC0">
        <w:rPr>
          <w:b/>
          <w:bCs/>
        </w:rPr>
        <w:t>1</w:t>
      </w:r>
      <w:r w:rsidR="002A4566">
        <w:rPr>
          <w:b/>
          <w:bCs/>
        </w:rPr>
        <w:t>4</w:t>
      </w:r>
      <w:r w:rsidRPr="006C3BC0">
        <w:rPr>
          <w:b/>
          <w:bCs/>
        </w:rPr>
        <w:t xml:space="preserve"> – Part 1 of Schedule 2 (cell at item 4, column 4)</w:t>
      </w:r>
    </w:p>
    <w:p w14:paraId="305EBA43" w14:textId="77777777" w:rsidR="0065185E" w:rsidRDefault="0065185E" w:rsidP="00F964B7">
      <w:pPr>
        <w:spacing w:after="0" w:line="240" w:lineRule="auto"/>
      </w:pPr>
    </w:p>
    <w:p w14:paraId="0421922B" w14:textId="03956F1B" w:rsidR="00EF1984" w:rsidRDefault="00EF1984" w:rsidP="00F964B7">
      <w:pPr>
        <w:spacing w:after="0" w:line="240" w:lineRule="auto"/>
      </w:pPr>
      <w:r>
        <w:t>This item introduces a requirement in column 4 of item 4</w:t>
      </w:r>
      <w:r w:rsidR="006C3BC0">
        <w:t xml:space="preserve"> in Part 1 of Schedule 2 to the Principal Determination that an application for inclusion of a Class 2 IVD medical device in the Register must be accompanied by </w:t>
      </w:r>
      <w:r w:rsidR="006C3BC0" w:rsidRPr="00404989">
        <w:t xml:space="preserve">a Class </w:t>
      </w:r>
      <w:r w:rsidR="006C3BC0" w:rsidRPr="000924F6">
        <w:t>I</w:t>
      </w:r>
      <w:r w:rsidR="006C3BC0">
        <w:t>I</w:t>
      </w:r>
      <w:r w:rsidR="006C3BC0" w:rsidRPr="00404989">
        <w:t xml:space="preserve"> medical device licence issued under the Canadian medical </w:t>
      </w:r>
      <w:proofErr w:type="gramStart"/>
      <w:r w:rsidR="006C3BC0" w:rsidRPr="00404989">
        <w:t>devices</w:t>
      </w:r>
      <w:proofErr w:type="gramEnd"/>
      <w:r w:rsidR="006C3BC0" w:rsidRPr="00404989">
        <w:t xml:space="preserve"> regulations</w:t>
      </w:r>
      <w:r w:rsidR="006C3BC0">
        <w:t xml:space="preserve">, where overseas regulator evidence </w:t>
      </w:r>
      <w:r w:rsidR="005308CD">
        <w:t xml:space="preserve">from Health Canada </w:t>
      </w:r>
      <w:r w:rsidR="006C3BC0">
        <w:t>is being relied up on to support the application. This additional information will need to be provided as these devices will no longer be subject to a mandatory audit.</w:t>
      </w:r>
    </w:p>
    <w:p w14:paraId="33480617" w14:textId="77777777" w:rsidR="006C3BC0" w:rsidRDefault="006C3BC0" w:rsidP="00F964B7">
      <w:pPr>
        <w:spacing w:after="0" w:line="240" w:lineRule="auto"/>
      </w:pPr>
    </w:p>
    <w:p w14:paraId="2D5B79AE" w14:textId="10776072" w:rsidR="00C5331B" w:rsidRPr="006C3BC0" w:rsidRDefault="006C3BC0" w:rsidP="00F964B7">
      <w:pPr>
        <w:spacing w:after="0" w:line="240" w:lineRule="auto"/>
        <w:rPr>
          <w:rFonts w:eastAsia="Times New Roman"/>
          <w:b/>
          <w:lang w:eastAsia="en-AU"/>
        </w:rPr>
      </w:pPr>
      <w:r w:rsidRPr="006C3BC0">
        <w:rPr>
          <w:rFonts w:eastAsia="Times New Roman"/>
          <w:b/>
          <w:lang w:eastAsia="en-AU"/>
        </w:rPr>
        <w:t>Item 1</w:t>
      </w:r>
      <w:r w:rsidR="002A4566">
        <w:rPr>
          <w:rFonts w:eastAsia="Times New Roman"/>
          <w:b/>
          <w:lang w:eastAsia="en-AU"/>
        </w:rPr>
        <w:t>5</w:t>
      </w:r>
      <w:r w:rsidRPr="006C3BC0">
        <w:rPr>
          <w:rFonts w:eastAsia="Times New Roman"/>
          <w:b/>
          <w:lang w:eastAsia="en-AU"/>
        </w:rPr>
        <w:t xml:space="preserve"> – </w:t>
      </w:r>
      <w:r w:rsidRPr="006C3BC0">
        <w:rPr>
          <w:b/>
        </w:rPr>
        <w:t xml:space="preserve">Part </w:t>
      </w:r>
      <w:r w:rsidR="00580194">
        <w:rPr>
          <w:b/>
        </w:rPr>
        <w:t>1</w:t>
      </w:r>
      <w:r w:rsidRPr="006C3BC0">
        <w:rPr>
          <w:b/>
        </w:rPr>
        <w:t xml:space="preserve"> of Schedule 2 (at the end of the table)</w:t>
      </w:r>
    </w:p>
    <w:p w14:paraId="04DCB711" w14:textId="77777777" w:rsidR="0065185E" w:rsidRDefault="0065185E" w:rsidP="00F964B7">
      <w:pPr>
        <w:spacing w:after="0" w:line="240" w:lineRule="auto"/>
        <w:rPr>
          <w:rFonts w:eastAsia="Times New Roman"/>
          <w:bCs/>
          <w:lang w:eastAsia="en-AU"/>
        </w:rPr>
      </w:pPr>
      <w:bookmarkStart w:id="2" w:name="_Hlk162967050"/>
    </w:p>
    <w:p w14:paraId="59777E4E" w14:textId="77777777" w:rsidR="0065185E" w:rsidRDefault="006C3BC0" w:rsidP="00F964B7">
      <w:pPr>
        <w:spacing w:after="0" w:line="240" w:lineRule="auto"/>
        <w:rPr>
          <w:rFonts w:eastAsia="Times New Roman"/>
          <w:bCs/>
          <w:lang w:eastAsia="en-AU"/>
        </w:rPr>
      </w:pPr>
      <w:r>
        <w:rPr>
          <w:rFonts w:eastAsia="Times New Roman"/>
          <w:bCs/>
          <w:lang w:eastAsia="en-AU"/>
        </w:rPr>
        <w:t xml:space="preserve">This item introduces new item 10 to the table in Part </w:t>
      </w:r>
      <w:r w:rsidR="00580194">
        <w:rPr>
          <w:rFonts w:eastAsia="Times New Roman"/>
          <w:bCs/>
          <w:lang w:eastAsia="en-AU"/>
        </w:rPr>
        <w:t>1</w:t>
      </w:r>
      <w:r>
        <w:rPr>
          <w:rFonts w:eastAsia="Times New Roman"/>
          <w:bCs/>
          <w:lang w:eastAsia="en-AU"/>
        </w:rPr>
        <w:t xml:space="preserve"> of Schedule 2 to permit an application </w:t>
      </w:r>
      <w:r w:rsidRPr="006C3BC0">
        <w:rPr>
          <w:rFonts w:eastAsia="Times New Roman"/>
          <w:bCs/>
          <w:lang w:eastAsia="en-AU"/>
        </w:rPr>
        <w:t xml:space="preserve">for inclusion of a Class 2 IVD medical device in the Register to be supported by overseas regulator evidence from </w:t>
      </w:r>
      <w:r w:rsidRPr="006C3BC0">
        <w:t>Japan’s Ministry of Health, Labour and Welfare or the Japanese Pharmaceuticals and Medical Devices Agency</w:t>
      </w:r>
      <w:r w:rsidRPr="006C3BC0">
        <w:rPr>
          <w:rFonts w:eastAsia="Times New Roman"/>
          <w:bCs/>
          <w:lang w:eastAsia="en-AU"/>
        </w:rPr>
        <w:t>.</w:t>
      </w:r>
    </w:p>
    <w:p w14:paraId="25037714" w14:textId="77777777" w:rsidR="0065185E" w:rsidRDefault="0065185E" w:rsidP="00F964B7">
      <w:pPr>
        <w:spacing w:after="0" w:line="240" w:lineRule="auto"/>
        <w:rPr>
          <w:rFonts w:eastAsia="Times New Roman"/>
          <w:bCs/>
          <w:lang w:eastAsia="en-AU"/>
        </w:rPr>
      </w:pPr>
    </w:p>
    <w:p w14:paraId="69DE6843" w14:textId="600DB4DB" w:rsidR="006C3BC0" w:rsidRDefault="006C3BC0" w:rsidP="00F964B7">
      <w:pPr>
        <w:spacing w:after="0" w:line="240" w:lineRule="auto"/>
        <w:rPr>
          <w:rFonts w:eastAsia="Times New Roman"/>
          <w:bCs/>
          <w:lang w:eastAsia="en-AU"/>
        </w:rPr>
      </w:pPr>
      <w:r w:rsidRPr="006C3BC0">
        <w:rPr>
          <w:rFonts w:eastAsia="Times New Roman"/>
          <w:bCs/>
          <w:lang w:eastAsia="en-AU"/>
        </w:rPr>
        <w:t xml:space="preserve">The conformity assessment document relating to the manufacturer’s quality management system that must be provided is either a MDSAP certificate, or </w:t>
      </w:r>
      <w:r w:rsidRPr="006C3BC0">
        <w:t>a quality management system certificate for the purposes of the Japanese PMD Act. The conformity assessment document relating to product assessment that must be provided for an IVD medical device for self</w:t>
      </w:r>
      <w:r w:rsidRPr="006C3BC0">
        <w:noBreakHyphen/>
        <w:t xml:space="preserve">testing or an IVD medical device for point of care testing is either a pre-market certification issued under the Japanese PMD </w:t>
      </w:r>
      <w:proofErr w:type="gramStart"/>
      <w:r w:rsidRPr="006C3BC0">
        <w:t>Act</w:t>
      </w:r>
      <w:proofErr w:type="gramEnd"/>
      <w:r w:rsidRPr="006C3BC0">
        <w:t xml:space="preserve"> or a pre-market approval issued under the Japanese PMD Act.</w:t>
      </w:r>
    </w:p>
    <w:p w14:paraId="45EB8C9F" w14:textId="77777777" w:rsidR="006C3BC0" w:rsidRDefault="006C3BC0" w:rsidP="00F964B7">
      <w:pPr>
        <w:spacing w:after="0" w:line="240" w:lineRule="auto"/>
        <w:rPr>
          <w:rFonts w:eastAsia="Times New Roman"/>
          <w:bCs/>
          <w:lang w:eastAsia="en-AU"/>
        </w:rPr>
      </w:pPr>
    </w:p>
    <w:p w14:paraId="274403B5" w14:textId="0F764E13" w:rsidR="006C3BC0" w:rsidRPr="006C3BC0" w:rsidRDefault="006C3BC0" w:rsidP="00F964B7">
      <w:pPr>
        <w:spacing w:after="0" w:line="240" w:lineRule="auto"/>
        <w:rPr>
          <w:rFonts w:eastAsia="Times New Roman"/>
          <w:b/>
          <w:lang w:eastAsia="en-AU"/>
        </w:rPr>
      </w:pPr>
      <w:r w:rsidRPr="006C3BC0">
        <w:rPr>
          <w:rFonts w:eastAsia="Times New Roman"/>
          <w:b/>
          <w:lang w:eastAsia="en-AU"/>
        </w:rPr>
        <w:t>Item 1</w:t>
      </w:r>
      <w:r w:rsidR="002A4566">
        <w:rPr>
          <w:rFonts w:eastAsia="Times New Roman"/>
          <w:b/>
          <w:lang w:eastAsia="en-AU"/>
        </w:rPr>
        <w:t>6</w:t>
      </w:r>
      <w:r w:rsidRPr="006C3BC0">
        <w:rPr>
          <w:rFonts w:eastAsia="Times New Roman"/>
          <w:b/>
          <w:lang w:eastAsia="en-AU"/>
        </w:rPr>
        <w:t xml:space="preserve"> - </w:t>
      </w:r>
      <w:r w:rsidRPr="006C3BC0">
        <w:rPr>
          <w:b/>
        </w:rPr>
        <w:t>Part 2 of Schedule 2 (cell at item 5, column 4)</w:t>
      </w:r>
    </w:p>
    <w:p w14:paraId="40AEEA42" w14:textId="77777777" w:rsidR="0065185E" w:rsidRDefault="0065185E" w:rsidP="005308CD">
      <w:pPr>
        <w:spacing w:after="0" w:line="240" w:lineRule="auto"/>
        <w:rPr>
          <w:rFonts w:eastAsia="Times New Roman"/>
          <w:bCs/>
          <w:lang w:eastAsia="en-AU"/>
        </w:rPr>
      </w:pPr>
    </w:p>
    <w:p w14:paraId="7D63B661" w14:textId="77777777" w:rsidR="0065185E" w:rsidRDefault="006C3BC0" w:rsidP="005308CD">
      <w:pPr>
        <w:spacing w:after="0" w:line="240" w:lineRule="auto"/>
      </w:pPr>
      <w:r>
        <w:rPr>
          <w:rFonts w:eastAsia="Times New Roman"/>
          <w:bCs/>
          <w:lang w:eastAsia="en-AU"/>
        </w:rPr>
        <w:t xml:space="preserve">This item introduces a requirement in column 4 of item 5 of Part 2 of Schedule 2 to the Principal Determination </w:t>
      </w:r>
      <w:r>
        <w:t xml:space="preserve">that an application for inclusion of a Class 3 IVD medical device in the Register must be accompanied by </w:t>
      </w:r>
      <w:r w:rsidRPr="00404989">
        <w:t xml:space="preserve">a </w:t>
      </w:r>
      <w:r w:rsidR="005308CD">
        <w:t>conformity assessment document relating to product assessment where evidence from a notified body within the meaning of the EU IVD regulation is being relied upon.</w:t>
      </w:r>
    </w:p>
    <w:p w14:paraId="7FBF4E35" w14:textId="77777777" w:rsidR="0065185E" w:rsidRDefault="0065185E" w:rsidP="005308CD">
      <w:pPr>
        <w:spacing w:after="0" w:line="240" w:lineRule="auto"/>
      </w:pPr>
    </w:p>
    <w:p w14:paraId="756AB401" w14:textId="205A3D93" w:rsidR="005308CD" w:rsidRDefault="005308CD" w:rsidP="005308CD">
      <w:pPr>
        <w:spacing w:after="0" w:line="240" w:lineRule="auto"/>
        <w:rPr>
          <w:rFonts w:eastAsia="Times New Roman"/>
          <w:bCs/>
          <w:lang w:eastAsia="en-AU"/>
        </w:rPr>
      </w:pPr>
      <w:r w:rsidRPr="006C3BC0">
        <w:lastRenderedPageBreak/>
        <w:t>The conformity assessment document relating to product assessment that must be provided for an IVD medical device for self</w:t>
      </w:r>
      <w:r w:rsidRPr="006C3BC0">
        <w:noBreakHyphen/>
        <w:t xml:space="preserve">testing or an IVD medical device for point of care testing is </w:t>
      </w:r>
      <w:r>
        <w:t>an assessment of technical documentation set out in section 5.1 of Annex IX of the EU</w:t>
      </w:r>
      <w:r w:rsidR="0065185E">
        <w:t> </w:t>
      </w:r>
      <w:r>
        <w:t>IVD regulation</w:t>
      </w:r>
      <w:r w:rsidRPr="006C3BC0">
        <w:t>.</w:t>
      </w:r>
      <w:r>
        <w:t xml:space="preserve"> </w:t>
      </w:r>
      <w:r w:rsidRPr="006C3BC0">
        <w:t xml:space="preserve">The conformity assessment document relating to product assessment that must be provided for an IVD </w:t>
      </w:r>
      <w:r>
        <w:t>companion diagnostic</w:t>
      </w:r>
      <w:r w:rsidRPr="006C3BC0">
        <w:t xml:space="preserve"> is </w:t>
      </w:r>
      <w:r>
        <w:t>an assessment of technical documentation set out in section 5.2 of Annex IX of the EU IVD regulation</w:t>
      </w:r>
      <w:r w:rsidRPr="006C3BC0">
        <w:t>.</w:t>
      </w:r>
      <w:r>
        <w:t xml:space="preserve"> </w:t>
      </w:r>
      <w:r w:rsidRPr="006C3BC0">
        <w:t xml:space="preserve">The conformity assessment document relating to product assessment that must be provided for </w:t>
      </w:r>
      <w:r>
        <w:t>all other Class 3 IVD medical devices is the assessment of technical documentation as set out in section 4 of Annex IX of the EU IVD regulation for at least one representative device in a generic device group</w:t>
      </w:r>
      <w:r w:rsidRPr="006C3BC0">
        <w:t>.</w:t>
      </w:r>
    </w:p>
    <w:p w14:paraId="7796D03A" w14:textId="19889223" w:rsidR="005308CD" w:rsidRDefault="005308CD" w:rsidP="005308CD">
      <w:pPr>
        <w:spacing w:after="0" w:line="240" w:lineRule="auto"/>
        <w:rPr>
          <w:rFonts w:eastAsia="Times New Roman"/>
          <w:bCs/>
          <w:lang w:eastAsia="en-AU"/>
        </w:rPr>
      </w:pPr>
    </w:p>
    <w:p w14:paraId="4D58F104" w14:textId="6BA6790C" w:rsidR="005308CD" w:rsidRPr="005308CD" w:rsidRDefault="005308CD" w:rsidP="005308CD">
      <w:pPr>
        <w:spacing w:after="0" w:line="240" w:lineRule="auto"/>
        <w:rPr>
          <w:rFonts w:eastAsia="Times New Roman"/>
          <w:b/>
          <w:lang w:eastAsia="en-AU"/>
        </w:rPr>
      </w:pPr>
      <w:r w:rsidRPr="005308CD">
        <w:rPr>
          <w:rFonts w:eastAsia="Times New Roman"/>
          <w:b/>
          <w:lang w:eastAsia="en-AU"/>
        </w:rPr>
        <w:t>Item 1</w:t>
      </w:r>
      <w:r w:rsidR="002A4566">
        <w:rPr>
          <w:rFonts w:eastAsia="Times New Roman"/>
          <w:b/>
          <w:lang w:eastAsia="en-AU"/>
        </w:rPr>
        <w:t>7</w:t>
      </w:r>
      <w:r w:rsidRPr="005308CD">
        <w:rPr>
          <w:rFonts w:eastAsia="Times New Roman"/>
          <w:b/>
          <w:lang w:eastAsia="en-AU"/>
        </w:rPr>
        <w:t xml:space="preserve"> - </w:t>
      </w:r>
      <w:r w:rsidRPr="005308CD">
        <w:rPr>
          <w:b/>
        </w:rPr>
        <w:t>Part 2 of Schedule 2 (cell at item 7, column 3)</w:t>
      </w:r>
    </w:p>
    <w:p w14:paraId="6AAEB023" w14:textId="77777777" w:rsidR="0065185E" w:rsidRDefault="0065185E" w:rsidP="005308CD">
      <w:pPr>
        <w:spacing w:after="0" w:line="240" w:lineRule="auto"/>
      </w:pPr>
    </w:p>
    <w:p w14:paraId="5F23AEE0" w14:textId="40F8FBDB" w:rsidR="005308CD" w:rsidRDefault="005308CD" w:rsidP="005308CD">
      <w:pPr>
        <w:spacing w:after="0" w:line="240" w:lineRule="auto"/>
      </w:pPr>
      <w:r>
        <w:t>This item replaces the text in column 3 of item 4 in Part 1 of Schedule 2 to the Principal Determination to refer only to a MDSAP certificate. The effect of this amendment is that where overseas regulator evidence is being relied upon to support an application for inclusion in the Register specifically from Health Canada, a MDSAP certificate must accompany the application.</w:t>
      </w:r>
    </w:p>
    <w:p w14:paraId="2E3F7446" w14:textId="682304B6" w:rsidR="006C3BC0" w:rsidRDefault="006C3BC0" w:rsidP="00F964B7">
      <w:pPr>
        <w:spacing w:after="0" w:line="240" w:lineRule="auto"/>
        <w:rPr>
          <w:rFonts w:eastAsia="Times New Roman"/>
          <w:bCs/>
          <w:lang w:eastAsia="en-AU"/>
        </w:rPr>
      </w:pPr>
    </w:p>
    <w:p w14:paraId="58347B06" w14:textId="52876915" w:rsidR="005308CD" w:rsidRPr="005308CD" w:rsidRDefault="005308CD" w:rsidP="00F964B7">
      <w:pPr>
        <w:spacing w:after="0" w:line="240" w:lineRule="auto"/>
        <w:rPr>
          <w:b/>
        </w:rPr>
      </w:pPr>
      <w:r w:rsidRPr="005308CD">
        <w:rPr>
          <w:rFonts w:eastAsia="Times New Roman"/>
          <w:b/>
          <w:lang w:eastAsia="en-AU"/>
        </w:rPr>
        <w:t>Item 1</w:t>
      </w:r>
      <w:r w:rsidR="002A4566">
        <w:rPr>
          <w:rFonts w:eastAsia="Times New Roman"/>
          <w:b/>
          <w:lang w:eastAsia="en-AU"/>
        </w:rPr>
        <w:t>8</w:t>
      </w:r>
      <w:r w:rsidRPr="005308CD">
        <w:rPr>
          <w:rFonts w:eastAsia="Times New Roman"/>
          <w:b/>
          <w:lang w:eastAsia="en-AU"/>
        </w:rPr>
        <w:t xml:space="preserve"> – </w:t>
      </w:r>
      <w:r w:rsidRPr="005308CD">
        <w:rPr>
          <w:b/>
        </w:rPr>
        <w:t>Part 2 of Schedule 2 (cell at item 7, column 4)</w:t>
      </w:r>
    </w:p>
    <w:p w14:paraId="26C8BA6B" w14:textId="77777777" w:rsidR="0065185E" w:rsidRDefault="0065185E" w:rsidP="005308CD">
      <w:pPr>
        <w:spacing w:after="0" w:line="240" w:lineRule="auto"/>
      </w:pPr>
    </w:p>
    <w:p w14:paraId="009BA46A" w14:textId="67698198" w:rsidR="005308CD" w:rsidRDefault="005308CD" w:rsidP="005308CD">
      <w:pPr>
        <w:spacing w:after="0" w:line="240" w:lineRule="auto"/>
      </w:pPr>
      <w:r>
        <w:t xml:space="preserve">This item introduces a requirement in column 4 of item 7 in Part 2 of Schedule 2 to the Principal Determination that an application for inclusion of a Class 3 IVD medical device in the Register must be accompanied by </w:t>
      </w:r>
      <w:r w:rsidRPr="00404989">
        <w:t xml:space="preserve">a Class </w:t>
      </w:r>
      <w:r w:rsidRPr="000924F6">
        <w:t>I</w:t>
      </w:r>
      <w:r w:rsidR="005561A1">
        <w:t>I</w:t>
      </w:r>
      <w:r>
        <w:t>I</w:t>
      </w:r>
      <w:r w:rsidRPr="00404989">
        <w:t xml:space="preserve"> medical device licence issued under the Canadian medical </w:t>
      </w:r>
      <w:proofErr w:type="gramStart"/>
      <w:r w:rsidRPr="00404989">
        <w:t>devices</w:t>
      </w:r>
      <w:proofErr w:type="gramEnd"/>
      <w:r w:rsidRPr="00404989">
        <w:t xml:space="preserve"> regulations</w:t>
      </w:r>
      <w:r>
        <w:t xml:space="preserve">, where overseas regulator evidence from Health Canada is being relied up on to support the application. This additional information will need to be provided as these devices will no longer be subject to a mandatory audit. </w:t>
      </w:r>
    </w:p>
    <w:p w14:paraId="1AC17C78" w14:textId="77777777" w:rsidR="006C3BC0" w:rsidRDefault="006C3BC0" w:rsidP="00F964B7">
      <w:pPr>
        <w:spacing w:after="0" w:line="240" w:lineRule="auto"/>
        <w:rPr>
          <w:rFonts w:eastAsia="Times New Roman"/>
          <w:bCs/>
          <w:lang w:eastAsia="en-AU"/>
        </w:rPr>
      </w:pPr>
    </w:p>
    <w:p w14:paraId="61882C2D" w14:textId="6A34B18F" w:rsidR="005308CD" w:rsidRPr="005308CD" w:rsidRDefault="005308CD" w:rsidP="00F964B7">
      <w:pPr>
        <w:spacing w:after="0" w:line="240" w:lineRule="auto"/>
        <w:rPr>
          <w:b/>
        </w:rPr>
      </w:pPr>
      <w:r w:rsidRPr="005308CD">
        <w:rPr>
          <w:rFonts w:eastAsia="Times New Roman"/>
          <w:b/>
          <w:lang w:eastAsia="en-AU"/>
        </w:rPr>
        <w:t>Item 1</w:t>
      </w:r>
      <w:r w:rsidR="002A4566">
        <w:rPr>
          <w:rFonts w:eastAsia="Times New Roman"/>
          <w:b/>
          <w:lang w:eastAsia="en-AU"/>
        </w:rPr>
        <w:t>9</w:t>
      </w:r>
      <w:r w:rsidRPr="005308CD">
        <w:rPr>
          <w:rFonts w:eastAsia="Times New Roman"/>
          <w:b/>
          <w:lang w:eastAsia="en-AU"/>
        </w:rPr>
        <w:t xml:space="preserve"> - </w:t>
      </w:r>
      <w:r w:rsidRPr="005308CD">
        <w:rPr>
          <w:b/>
        </w:rPr>
        <w:t>Part 2 of Schedule 2 (cell at item 9, column 4)</w:t>
      </w:r>
    </w:p>
    <w:p w14:paraId="2A4122F7" w14:textId="77777777" w:rsidR="0065185E" w:rsidRDefault="0065185E" w:rsidP="005308CD">
      <w:pPr>
        <w:spacing w:after="0" w:line="240" w:lineRule="auto"/>
      </w:pPr>
    </w:p>
    <w:p w14:paraId="48B91661" w14:textId="77A19FDE" w:rsidR="00821B98" w:rsidRDefault="005308CD" w:rsidP="005308CD">
      <w:pPr>
        <w:spacing w:after="0" w:line="240" w:lineRule="auto"/>
      </w:pPr>
      <w:r>
        <w:t xml:space="preserve">This item introduces a requirement in column 4 of item 9 in Part 2 of Schedule 2 to the Principal Determination that an application for inclusion of a Class 3 IVD medical device in the Register must be accompanied by </w:t>
      </w:r>
      <w:r w:rsidRPr="00404989">
        <w:t>an order approving an application for premarket approval under section 515 of the US FD</w:t>
      </w:r>
      <w:r w:rsidR="009E6639">
        <w:t>C</w:t>
      </w:r>
      <w:r w:rsidRPr="00404989">
        <w:t xml:space="preserve"> Act</w:t>
      </w:r>
      <w:r>
        <w:t xml:space="preserve">, where overseas regulator evidence from the US FDA is being relied up on to support the application. This amendment is to clarify that such an order is also </w:t>
      </w:r>
      <w:r w:rsidR="005561A1">
        <w:t>considered</w:t>
      </w:r>
      <w:r>
        <w:t xml:space="preserve"> a conformity assessment document relating to product assessment.</w:t>
      </w:r>
    </w:p>
    <w:p w14:paraId="3456DC9C" w14:textId="77777777" w:rsidR="005308CD" w:rsidRDefault="005308CD" w:rsidP="005308CD">
      <w:pPr>
        <w:spacing w:after="0" w:line="240" w:lineRule="auto"/>
      </w:pPr>
    </w:p>
    <w:p w14:paraId="34A99F95" w14:textId="458C00E4" w:rsidR="005308CD" w:rsidRPr="005308CD" w:rsidRDefault="005308CD" w:rsidP="005308CD">
      <w:pPr>
        <w:spacing w:after="0" w:line="240" w:lineRule="auto"/>
        <w:rPr>
          <w:b/>
          <w:bCs/>
        </w:rPr>
      </w:pPr>
      <w:r w:rsidRPr="005308CD">
        <w:rPr>
          <w:b/>
          <w:bCs/>
        </w:rPr>
        <w:t xml:space="preserve">Item </w:t>
      </w:r>
      <w:r w:rsidR="002A4566">
        <w:rPr>
          <w:b/>
          <w:bCs/>
        </w:rPr>
        <w:t>20</w:t>
      </w:r>
      <w:r w:rsidRPr="005308CD">
        <w:rPr>
          <w:b/>
          <w:bCs/>
        </w:rPr>
        <w:t xml:space="preserve"> - Part 2 of Schedule 2 (at the end of the table)</w:t>
      </w:r>
    </w:p>
    <w:p w14:paraId="1700F15C" w14:textId="77777777" w:rsidR="0065185E" w:rsidRDefault="0065185E" w:rsidP="005308CD">
      <w:pPr>
        <w:spacing w:after="0" w:line="240" w:lineRule="auto"/>
        <w:rPr>
          <w:rFonts w:eastAsia="Times New Roman"/>
          <w:bCs/>
          <w:lang w:eastAsia="en-AU"/>
        </w:rPr>
      </w:pPr>
    </w:p>
    <w:p w14:paraId="43350AE9" w14:textId="0AE8B7E2" w:rsidR="0065185E" w:rsidRDefault="005308CD" w:rsidP="005308CD">
      <w:pPr>
        <w:spacing w:after="0" w:line="240" w:lineRule="auto"/>
        <w:rPr>
          <w:rFonts w:eastAsia="Times New Roman"/>
          <w:bCs/>
          <w:lang w:eastAsia="en-AU"/>
        </w:rPr>
      </w:pPr>
      <w:r>
        <w:rPr>
          <w:rFonts w:eastAsia="Times New Roman"/>
          <w:bCs/>
          <w:lang w:eastAsia="en-AU"/>
        </w:rPr>
        <w:t xml:space="preserve">This item introduces new item 14 to the table in Part 2 of Schedule 2 to permit an application </w:t>
      </w:r>
      <w:r w:rsidRPr="006C3BC0">
        <w:rPr>
          <w:rFonts w:eastAsia="Times New Roman"/>
          <w:bCs/>
          <w:lang w:eastAsia="en-AU"/>
        </w:rPr>
        <w:t xml:space="preserve">for inclusion of a Class </w:t>
      </w:r>
      <w:r w:rsidR="00580194">
        <w:rPr>
          <w:rFonts w:eastAsia="Times New Roman"/>
          <w:bCs/>
          <w:lang w:eastAsia="en-AU"/>
        </w:rPr>
        <w:t>3</w:t>
      </w:r>
      <w:r w:rsidRPr="006C3BC0">
        <w:rPr>
          <w:rFonts w:eastAsia="Times New Roman"/>
          <w:bCs/>
          <w:lang w:eastAsia="en-AU"/>
        </w:rPr>
        <w:t xml:space="preserve"> IVD medical device in the Register to be supported by overseas regulator evidence from </w:t>
      </w:r>
      <w:r w:rsidRPr="006C3BC0">
        <w:t>Japan’s Ministry of Health, Labour and Welfare or the Japanese Pharmaceuticals and Medical Devices Agency</w:t>
      </w:r>
      <w:r w:rsidRPr="006C3BC0">
        <w:rPr>
          <w:rFonts w:eastAsia="Times New Roman"/>
          <w:bCs/>
          <w:lang w:eastAsia="en-AU"/>
        </w:rPr>
        <w:t>.</w:t>
      </w:r>
    </w:p>
    <w:p w14:paraId="158FC85C" w14:textId="77777777" w:rsidR="0065185E" w:rsidRDefault="0065185E" w:rsidP="005308CD">
      <w:pPr>
        <w:spacing w:after="0" w:line="240" w:lineRule="auto"/>
        <w:rPr>
          <w:rFonts w:eastAsia="Times New Roman"/>
          <w:bCs/>
          <w:lang w:eastAsia="en-AU"/>
        </w:rPr>
      </w:pPr>
    </w:p>
    <w:p w14:paraId="4480BBA7" w14:textId="1CE31678" w:rsidR="005308CD" w:rsidRDefault="005308CD" w:rsidP="005308CD">
      <w:pPr>
        <w:spacing w:after="0" w:line="240" w:lineRule="auto"/>
        <w:rPr>
          <w:rFonts w:eastAsia="Times New Roman"/>
          <w:bCs/>
          <w:lang w:eastAsia="en-AU"/>
        </w:rPr>
      </w:pPr>
      <w:r w:rsidRPr="006C3BC0">
        <w:rPr>
          <w:rFonts w:eastAsia="Times New Roman"/>
          <w:bCs/>
          <w:lang w:eastAsia="en-AU"/>
        </w:rPr>
        <w:t xml:space="preserve">The conformity assessment document relating to the manufacturer’s quality management system that must be provided is either a MDSAP certificate, or </w:t>
      </w:r>
      <w:r w:rsidRPr="006C3BC0">
        <w:t>a quality management system certificate for the purposes of the Japanese PMD Act. The conformity assessment document relating to product assessment that must be provided for an IVD medical device for self</w:t>
      </w:r>
      <w:r w:rsidRPr="006C3BC0">
        <w:noBreakHyphen/>
        <w:t xml:space="preserve">testing or an IVD medical device for point of care testing is either a pre-market </w:t>
      </w:r>
      <w:r w:rsidRPr="006C3BC0">
        <w:lastRenderedPageBreak/>
        <w:t xml:space="preserve">certification issued under the Japanese PMD </w:t>
      </w:r>
      <w:proofErr w:type="gramStart"/>
      <w:r w:rsidRPr="006C3BC0">
        <w:t>Act</w:t>
      </w:r>
      <w:proofErr w:type="gramEnd"/>
      <w:r w:rsidRPr="006C3BC0">
        <w:t xml:space="preserve"> or a pre-market approval issued under the Japanese PMD Act.</w:t>
      </w:r>
    </w:p>
    <w:p w14:paraId="0976E926" w14:textId="77777777" w:rsidR="005308CD" w:rsidRDefault="005308CD" w:rsidP="005308CD">
      <w:pPr>
        <w:spacing w:after="0" w:line="240" w:lineRule="auto"/>
      </w:pPr>
    </w:p>
    <w:p w14:paraId="140FABC4" w14:textId="37AE05A6" w:rsidR="005308CD" w:rsidRPr="00580194" w:rsidRDefault="00580194" w:rsidP="009E6639">
      <w:pPr>
        <w:keepNext/>
        <w:spacing w:after="0" w:line="240" w:lineRule="auto"/>
        <w:rPr>
          <w:b/>
          <w:bCs/>
        </w:rPr>
      </w:pPr>
      <w:r w:rsidRPr="00580194">
        <w:rPr>
          <w:b/>
          <w:bCs/>
        </w:rPr>
        <w:t>Item 2</w:t>
      </w:r>
      <w:r w:rsidR="002A4566">
        <w:rPr>
          <w:b/>
          <w:bCs/>
        </w:rPr>
        <w:t>1</w:t>
      </w:r>
      <w:r w:rsidRPr="00580194">
        <w:rPr>
          <w:b/>
          <w:bCs/>
        </w:rPr>
        <w:t xml:space="preserve"> – Part 3 of Schedule 2 (at the end of the table)</w:t>
      </w:r>
    </w:p>
    <w:p w14:paraId="42FAD88B" w14:textId="77777777" w:rsidR="0065185E" w:rsidRDefault="0065185E" w:rsidP="0065185E">
      <w:pPr>
        <w:keepNext/>
        <w:spacing w:after="0" w:line="240" w:lineRule="auto"/>
        <w:rPr>
          <w:rFonts w:eastAsia="Times New Roman"/>
          <w:bCs/>
          <w:lang w:eastAsia="en-AU"/>
        </w:rPr>
      </w:pPr>
    </w:p>
    <w:p w14:paraId="54D91165" w14:textId="4EE1CA5E" w:rsidR="00580194" w:rsidRDefault="00580194" w:rsidP="009E6639">
      <w:pPr>
        <w:keepNext/>
        <w:spacing w:after="0" w:line="240" w:lineRule="auto"/>
        <w:rPr>
          <w:rFonts w:eastAsia="Times New Roman"/>
          <w:bCs/>
          <w:lang w:eastAsia="en-AU"/>
        </w:rPr>
      </w:pPr>
      <w:r>
        <w:rPr>
          <w:rFonts w:eastAsia="Times New Roman"/>
          <w:bCs/>
          <w:lang w:eastAsia="en-AU"/>
        </w:rPr>
        <w:t xml:space="preserve">This item introduces new items 7 to </w:t>
      </w:r>
      <w:r w:rsidR="0047635C">
        <w:rPr>
          <w:rFonts w:eastAsia="Times New Roman"/>
          <w:bCs/>
          <w:lang w:eastAsia="en-AU"/>
        </w:rPr>
        <w:t>1</w:t>
      </w:r>
      <w:r>
        <w:rPr>
          <w:rFonts w:eastAsia="Times New Roman"/>
          <w:bCs/>
          <w:lang w:eastAsia="en-AU"/>
        </w:rPr>
        <w:t xml:space="preserve">0 to the table in Part 3 of Schedule 2 to permit an application </w:t>
      </w:r>
      <w:r w:rsidRPr="006C3BC0">
        <w:rPr>
          <w:rFonts w:eastAsia="Times New Roman"/>
          <w:bCs/>
          <w:lang w:eastAsia="en-AU"/>
        </w:rPr>
        <w:t xml:space="preserve">for inclusion of a Class </w:t>
      </w:r>
      <w:r>
        <w:rPr>
          <w:rFonts w:eastAsia="Times New Roman"/>
          <w:bCs/>
          <w:lang w:eastAsia="en-AU"/>
        </w:rPr>
        <w:t>4</w:t>
      </w:r>
      <w:r w:rsidRPr="006C3BC0">
        <w:rPr>
          <w:rFonts w:eastAsia="Times New Roman"/>
          <w:bCs/>
          <w:lang w:eastAsia="en-AU"/>
        </w:rPr>
        <w:t xml:space="preserve"> IVD medical device in the Register to be supported by overseas regulator evidence from </w:t>
      </w:r>
      <w:r>
        <w:rPr>
          <w:rFonts w:eastAsia="Times New Roman"/>
          <w:bCs/>
          <w:lang w:eastAsia="en-AU"/>
        </w:rPr>
        <w:t>4 other comparable overseas regulators.</w:t>
      </w:r>
    </w:p>
    <w:p w14:paraId="2A029FD7" w14:textId="77777777" w:rsidR="00580194" w:rsidRDefault="00580194" w:rsidP="00580194">
      <w:pPr>
        <w:spacing w:after="0" w:line="240" w:lineRule="auto"/>
        <w:rPr>
          <w:rFonts w:eastAsia="Times New Roman"/>
          <w:bCs/>
          <w:lang w:eastAsia="en-AU"/>
        </w:rPr>
      </w:pPr>
    </w:p>
    <w:p w14:paraId="151F0739" w14:textId="471D4AA5" w:rsidR="00580194" w:rsidRDefault="00580194" w:rsidP="00580194">
      <w:pPr>
        <w:spacing w:after="0" w:line="240" w:lineRule="auto"/>
        <w:rPr>
          <w:rFonts w:eastAsia="Times New Roman"/>
          <w:bCs/>
          <w:lang w:eastAsia="en-AU"/>
        </w:rPr>
      </w:pPr>
      <w:r>
        <w:rPr>
          <w:rFonts w:eastAsia="Times New Roman"/>
          <w:bCs/>
          <w:lang w:eastAsia="en-AU"/>
        </w:rPr>
        <w:t xml:space="preserve">Item 7 permits </w:t>
      </w:r>
      <w:r w:rsidR="0047635C">
        <w:rPr>
          <w:rFonts w:eastAsia="Times New Roman"/>
          <w:bCs/>
          <w:lang w:eastAsia="en-AU"/>
        </w:rPr>
        <w:t xml:space="preserve">such </w:t>
      </w:r>
      <w:r>
        <w:rPr>
          <w:rFonts w:eastAsia="Times New Roman"/>
          <w:bCs/>
          <w:lang w:eastAsia="en-AU"/>
        </w:rPr>
        <w:t xml:space="preserve">an application to be supported by evidence from </w:t>
      </w:r>
      <w:r w:rsidRPr="006C3BC0">
        <w:t>Japan’s Ministry of Health, Labour and Welfare or the Japanese Pharmaceuticals and Medical Devices Agency</w:t>
      </w:r>
      <w:r w:rsidRPr="006C3BC0">
        <w:rPr>
          <w:rFonts w:eastAsia="Times New Roman"/>
          <w:bCs/>
          <w:lang w:eastAsia="en-AU"/>
        </w:rPr>
        <w:t xml:space="preserve">. The conformity assessment document relating to the manufacturer’s quality management system that must be provided is either a MDSAP certificate, or </w:t>
      </w:r>
      <w:r w:rsidRPr="006C3BC0">
        <w:t xml:space="preserve">a quality management system certificate for the purposes of the Japanese PMD Act. The conformity assessment document relating to product assessment that must be provided </w:t>
      </w:r>
      <w:r>
        <w:t xml:space="preserve">is a </w:t>
      </w:r>
      <w:r w:rsidRPr="006C3BC0">
        <w:t>pre-market approval issued under the Japanese PMD Act.</w:t>
      </w:r>
    </w:p>
    <w:p w14:paraId="04196E8C" w14:textId="77777777" w:rsidR="005308CD" w:rsidRDefault="005308CD" w:rsidP="005308CD">
      <w:pPr>
        <w:spacing w:after="0" w:line="240" w:lineRule="auto"/>
      </w:pPr>
    </w:p>
    <w:p w14:paraId="6368B110" w14:textId="49C57541" w:rsidR="0047635C" w:rsidRDefault="0047635C" w:rsidP="0047635C">
      <w:pPr>
        <w:spacing w:after="0" w:line="240" w:lineRule="auto"/>
        <w:rPr>
          <w:rFonts w:eastAsia="Times New Roman"/>
          <w:bCs/>
          <w:lang w:eastAsia="en-AU"/>
        </w:rPr>
      </w:pPr>
      <w:r>
        <w:rPr>
          <w:rFonts w:eastAsia="Times New Roman"/>
          <w:bCs/>
          <w:lang w:eastAsia="en-AU"/>
        </w:rPr>
        <w:t xml:space="preserve">Item 8 permits such an application to be supported by evidence from </w:t>
      </w:r>
      <w:r>
        <w:t>the US FDA</w:t>
      </w:r>
      <w:r w:rsidRPr="006C3BC0">
        <w:rPr>
          <w:rFonts w:eastAsia="Times New Roman"/>
          <w:bCs/>
          <w:lang w:eastAsia="en-AU"/>
        </w:rPr>
        <w:t>. The conformity assessment document relating to the manufacturer’s quality management system</w:t>
      </w:r>
      <w:r>
        <w:rPr>
          <w:rFonts w:eastAsia="Times New Roman"/>
          <w:bCs/>
          <w:lang w:eastAsia="en-AU"/>
        </w:rPr>
        <w:t>,</w:t>
      </w:r>
      <w:r w:rsidRPr="006C3BC0">
        <w:rPr>
          <w:rFonts w:eastAsia="Times New Roman"/>
          <w:bCs/>
          <w:lang w:eastAsia="en-AU"/>
        </w:rPr>
        <w:t xml:space="preserve"> </w:t>
      </w:r>
      <w:r>
        <w:rPr>
          <w:rFonts w:eastAsia="Times New Roman"/>
          <w:bCs/>
          <w:lang w:eastAsia="en-AU"/>
        </w:rPr>
        <w:t>and</w:t>
      </w:r>
      <w:r w:rsidRPr="006C3BC0">
        <w:t xml:space="preserve"> conformity assessment document relating to product assessment</w:t>
      </w:r>
      <w:r>
        <w:t>,</w:t>
      </w:r>
      <w:r w:rsidRPr="006C3BC0">
        <w:t xml:space="preserve"> that must be provided </w:t>
      </w:r>
      <w:r>
        <w:t xml:space="preserve">is </w:t>
      </w:r>
      <w:r w:rsidRPr="00107058">
        <w:t>an order approving an application for premarket approval under section 515 of the US FDC Act</w:t>
      </w:r>
      <w:r w:rsidRPr="006C3BC0">
        <w:t>.</w:t>
      </w:r>
    </w:p>
    <w:p w14:paraId="18EE30F9" w14:textId="77777777" w:rsidR="00580194" w:rsidRDefault="00580194" w:rsidP="005308CD">
      <w:pPr>
        <w:spacing w:after="0" w:line="240" w:lineRule="auto"/>
      </w:pPr>
    </w:p>
    <w:p w14:paraId="425D98A4" w14:textId="37302C3C" w:rsidR="0047635C" w:rsidRDefault="0047635C" w:rsidP="0047635C">
      <w:pPr>
        <w:spacing w:after="0" w:line="240" w:lineRule="auto"/>
        <w:rPr>
          <w:rFonts w:eastAsia="Times New Roman"/>
          <w:bCs/>
          <w:lang w:eastAsia="en-AU"/>
        </w:rPr>
      </w:pPr>
      <w:r>
        <w:rPr>
          <w:rFonts w:eastAsia="Times New Roman"/>
          <w:bCs/>
          <w:lang w:eastAsia="en-AU"/>
        </w:rPr>
        <w:t xml:space="preserve">Item 9 permits such an application to be supported by evidence from </w:t>
      </w:r>
      <w:r>
        <w:t>Health Canada</w:t>
      </w:r>
      <w:r w:rsidRPr="006C3BC0">
        <w:rPr>
          <w:rFonts w:eastAsia="Times New Roman"/>
          <w:bCs/>
          <w:lang w:eastAsia="en-AU"/>
        </w:rPr>
        <w:t xml:space="preserve">. The conformity assessment document relating to the manufacturer’s quality management system that must be provided is </w:t>
      </w:r>
      <w:r w:rsidRPr="0047635C">
        <w:rPr>
          <w:rFonts w:eastAsia="Times New Roman"/>
          <w:bCs/>
          <w:lang w:eastAsia="en-AU"/>
        </w:rPr>
        <w:t>a MDSAP certificate. The conformity assessment document relating to product assessment that must be provided is a Class IV medical device licence issued under Canadian medical device regulations.</w:t>
      </w:r>
    </w:p>
    <w:p w14:paraId="4D7912AE" w14:textId="77777777" w:rsidR="005308CD" w:rsidRPr="0047635C" w:rsidRDefault="005308CD" w:rsidP="005308CD">
      <w:pPr>
        <w:spacing w:after="0" w:line="240" w:lineRule="auto"/>
        <w:rPr>
          <w:rFonts w:eastAsia="Times New Roman"/>
          <w:bCs/>
          <w:lang w:eastAsia="en-AU"/>
        </w:rPr>
      </w:pPr>
    </w:p>
    <w:p w14:paraId="093A934F" w14:textId="4E1DC9AB" w:rsidR="0047635C" w:rsidRDefault="0047635C" w:rsidP="0047635C">
      <w:pPr>
        <w:spacing w:after="0" w:line="240" w:lineRule="auto"/>
        <w:rPr>
          <w:rFonts w:eastAsia="Times New Roman"/>
          <w:bCs/>
          <w:lang w:eastAsia="en-AU"/>
        </w:rPr>
      </w:pPr>
      <w:r>
        <w:rPr>
          <w:rFonts w:eastAsia="Times New Roman"/>
          <w:bCs/>
          <w:lang w:eastAsia="en-AU"/>
        </w:rPr>
        <w:t xml:space="preserve">Item 10 permits such an application to be supported by evidence from </w:t>
      </w:r>
      <w:r>
        <w:t>the Health Science Authority of Singapore</w:t>
      </w:r>
      <w:r w:rsidRPr="006C3BC0">
        <w:rPr>
          <w:rFonts w:eastAsia="Times New Roman"/>
          <w:bCs/>
          <w:lang w:eastAsia="en-AU"/>
        </w:rPr>
        <w:t xml:space="preserve">. The conformity assessment document relating to the manufacturer’s quality management system that must be provided is </w:t>
      </w:r>
      <w:r w:rsidRPr="00107058">
        <w:t>an extract from, or copy of, the entry in the Singapore Register of Health Products as a Class D IVD</w:t>
      </w:r>
      <w:r w:rsidRPr="006C3BC0">
        <w:t>.</w:t>
      </w:r>
    </w:p>
    <w:bookmarkEnd w:id="2"/>
    <w:p w14:paraId="270B3D61" w14:textId="5AC706EA" w:rsidR="008C6090" w:rsidRPr="00D11572" w:rsidRDefault="006656EF" w:rsidP="006656EF">
      <w:pPr>
        <w:rPr>
          <w:rFonts w:eastAsia="Times New Roman"/>
          <w:bCs/>
          <w:lang w:eastAsia="en-AU"/>
        </w:rPr>
      </w:pPr>
      <w:r w:rsidRPr="00D11572">
        <w:rPr>
          <w:rFonts w:eastAsia="Times New Roman"/>
          <w:bCs/>
          <w:lang w:eastAsia="en-AU"/>
        </w:rPr>
        <w:br w:type="page"/>
      </w:r>
    </w:p>
    <w:p w14:paraId="37F9969A" w14:textId="77777777" w:rsidR="001E51F5" w:rsidRPr="00D11572" w:rsidRDefault="001E51F5" w:rsidP="001E51F5">
      <w:pPr>
        <w:spacing w:after="0" w:line="240" w:lineRule="auto"/>
        <w:jc w:val="right"/>
        <w:rPr>
          <w:rFonts w:eastAsia="Times New Roman"/>
          <w:b/>
          <w:bCs/>
          <w:lang w:eastAsia="en-AU"/>
        </w:rPr>
      </w:pPr>
      <w:r w:rsidRPr="00D11572">
        <w:rPr>
          <w:rFonts w:eastAsia="Times New Roman"/>
          <w:b/>
          <w:bCs/>
          <w:lang w:eastAsia="en-AU"/>
        </w:rPr>
        <w:lastRenderedPageBreak/>
        <w:t>Attachment B</w:t>
      </w:r>
    </w:p>
    <w:p w14:paraId="7D1371A0" w14:textId="77777777" w:rsidR="001E51F5" w:rsidRPr="00D11572" w:rsidRDefault="001E51F5" w:rsidP="001E51F5">
      <w:pPr>
        <w:spacing w:after="0" w:line="240" w:lineRule="auto"/>
        <w:rPr>
          <w:rFonts w:eastAsia="Times New Roman"/>
          <w:lang w:eastAsia="en-AU"/>
        </w:rPr>
      </w:pPr>
    </w:p>
    <w:p w14:paraId="6DFB059A" w14:textId="77777777" w:rsidR="001E51F5" w:rsidRPr="00D11572" w:rsidRDefault="001E51F5" w:rsidP="001E51F5">
      <w:pPr>
        <w:spacing w:after="0" w:line="240" w:lineRule="auto"/>
        <w:jc w:val="center"/>
        <w:rPr>
          <w:rFonts w:eastAsia="Times New Roman"/>
          <w:b/>
          <w:lang w:val="en-US" w:eastAsia="en-AU"/>
        </w:rPr>
      </w:pPr>
      <w:r w:rsidRPr="00D11572">
        <w:rPr>
          <w:rFonts w:eastAsia="Times New Roman"/>
          <w:b/>
          <w:lang w:eastAsia="en-AU"/>
        </w:rPr>
        <w:t>Statement of Compatibility with Human Rights</w:t>
      </w:r>
    </w:p>
    <w:p w14:paraId="5212D629" w14:textId="77777777" w:rsidR="001E51F5" w:rsidRPr="00D11572" w:rsidRDefault="001E51F5" w:rsidP="001E51F5">
      <w:pPr>
        <w:spacing w:after="0" w:line="240" w:lineRule="auto"/>
        <w:rPr>
          <w:rFonts w:eastAsia="Times New Roman"/>
          <w:lang w:eastAsia="en-AU"/>
        </w:rPr>
      </w:pPr>
    </w:p>
    <w:p w14:paraId="37AECE6B" w14:textId="77777777" w:rsidR="001E51F5" w:rsidRPr="00D11572" w:rsidRDefault="001E51F5" w:rsidP="001E51F5">
      <w:pPr>
        <w:spacing w:after="0" w:line="240" w:lineRule="auto"/>
        <w:ind w:right="-142"/>
        <w:jc w:val="center"/>
        <w:rPr>
          <w:rFonts w:eastAsia="Times New Roman"/>
          <w:i/>
          <w:lang w:eastAsia="en-AU"/>
        </w:rPr>
      </w:pPr>
      <w:r w:rsidRPr="00D11572">
        <w:rPr>
          <w:rFonts w:eastAsia="Times New Roman"/>
          <w:iCs/>
          <w:lang w:eastAsia="en-AU"/>
        </w:rPr>
        <w:t xml:space="preserve">Prepared in accordance with Part 3 of the </w:t>
      </w:r>
      <w:r w:rsidRPr="00D11572">
        <w:rPr>
          <w:rFonts w:eastAsia="Times New Roman"/>
          <w:i/>
          <w:iCs/>
          <w:lang w:eastAsia="en-AU"/>
        </w:rPr>
        <w:t>Human Rights (Parliamentary Scrutiny) Act 2011</w:t>
      </w:r>
    </w:p>
    <w:p w14:paraId="4831AB73" w14:textId="77777777" w:rsidR="001E51F5" w:rsidRPr="00D11572" w:rsidRDefault="001E51F5" w:rsidP="001E51F5">
      <w:pPr>
        <w:spacing w:after="0" w:line="240" w:lineRule="auto"/>
        <w:rPr>
          <w:rFonts w:eastAsia="Times New Roman"/>
          <w:lang w:val="en-US" w:eastAsia="en-AU"/>
        </w:rPr>
      </w:pPr>
    </w:p>
    <w:p w14:paraId="5957BB20" w14:textId="5AA86D7A" w:rsidR="001E51F5" w:rsidRPr="00D11572" w:rsidRDefault="00D42E3C" w:rsidP="00D42E3C">
      <w:pPr>
        <w:spacing w:after="0" w:line="240" w:lineRule="auto"/>
        <w:jc w:val="center"/>
        <w:rPr>
          <w:rFonts w:eastAsia="Times New Roman"/>
          <w:lang w:eastAsia="en-AU"/>
        </w:rPr>
      </w:pPr>
      <w:r w:rsidRPr="00D11572">
        <w:rPr>
          <w:rFonts w:eastAsia="Times New Roman"/>
          <w:b/>
          <w:bCs/>
          <w:i/>
          <w:lang w:eastAsia="en-AU"/>
        </w:rPr>
        <w:t>Therapeutic Goods (Medical Devices—Information that Must Accompany Application for Inclusion) Amendment Determination 202</w:t>
      </w:r>
      <w:r w:rsidR="0033062F">
        <w:rPr>
          <w:rFonts w:eastAsia="Times New Roman"/>
          <w:b/>
          <w:bCs/>
          <w:i/>
          <w:lang w:eastAsia="en-AU"/>
        </w:rPr>
        <w:t>4</w:t>
      </w:r>
    </w:p>
    <w:p w14:paraId="0A16E374" w14:textId="77777777" w:rsidR="00D42E3C" w:rsidRPr="00D11572" w:rsidRDefault="00D42E3C" w:rsidP="001E51F5">
      <w:pPr>
        <w:spacing w:after="0" w:line="240" w:lineRule="auto"/>
        <w:rPr>
          <w:rFonts w:eastAsia="Times New Roman"/>
          <w:lang w:eastAsia="en-AU"/>
        </w:rPr>
      </w:pPr>
    </w:p>
    <w:p w14:paraId="15B29345" w14:textId="506692B4" w:rsidR="001E51F5" w:rsidRPr="00D11572" w:rsidRDefault="001E51F5" w:rsidP="001E51F5">
      <w:pPr>
        <w:spacing w:after="0" w:line="240" w:lineRule="auto"/>
        <w:rPr>
          <w:rFonts w:eastAsia="Times New Roman"/>
          <w:lang w:eastAsia="en-AU"/>
        </w:rPr>
      </w:pPr>
      <w:r w:rsidRPr="00D11572">
        <w:rPr>
          <w:rFonts w:eastAsia="Times New Roman"/>
          <w:lang w:eastAsia="en-AU"/>
        </w:rPr>
        <w:t xml:space="preserve">This disallowable legislative instrument is compatible with the human rights and freedoms recognised or declared in the international instruments listed in section 3 of the </w:t>
      </w:r>
      <w:r w:rsidRPr="00D11572">
        <w:rPr>
          <w:rFonts w:eastAsia="Times New Roman"/>
          <w:i/>
          <w:lang w:eastAsia="en-AU"/>
        </w:rPr>
        <w:t>Human Rights (Parliamentary Scrutiny) Act 2011</w:t>
      </w:r>
      <w:r w:rsidRPr="00D11572">
        <w:rPr>
          <w:rFonts w:eastAsia="Times New Roman"/>
          <w:lang w:eastAsia="en-AU"/>
        </w:rPr>
        <w:t>.</w:t>
      </w:r>
    </w:p>
    <w:p w14:paraId="7EC86CF8" w14:textId="77777777" w:rsidR="001E51F5" w:rsidRPr="00D11572" w:rsidRDefault="001E51F5" w:rsidP="001E51F5">
      <w:pPr>
        <w:spacing w:after="0" w:line="240" w:lineRule="auto"/>
        <w:rPr>
          <w:rFonts w:eastAsia="Times New Roman"/>
          <w:lang w:eastAsia="en-AU"/>
        </w:rPr>
      </w:pPr>
    </w:p>
    <w:p w14:paraId="6A095B0E" w14:textId="77777777" w:rsidR="001E51F5" w:rsidRPr="00D11572" w:rsidRDefault="001E51F5" w:rsidP="001E51F5">
      <w:pPr>
        <w:spacing w:after="0" w:line="240" w:lineRule="auto"/>
        <w:rPr>
          <w:rFonts w:eastAsia="Times New Roman"/>
          <w:b/>
          <w:lang w:eastAsia="en-AU"/>
        </w:rPr>
      </w:pPr>
      <w:r w:rsidRPr="00D11572">
        <w:rPr>
          <w:rFonts w:eastAsia="Times New Roman"/>
          <w:b/>
          <w:lang w:eastAsia="en-AU"/>
        </w:rPr>
        <w:t>Overview of legislative instrument</w:t>
      </w:r>
    </w:p>
    <w:p w14:paraId="03F716C2" w14:textId="77777777" w:rsidR="00D7396A" w:rsidRPr="00D11572" w:rsidRDefault="00D7396A" w:rsidP="00D7396A">
      <w:pPr>
        <w:autoSpaceDE w:val="0"/>
        <w:autoSpaceDN w:val="0"/>
        <w:adjustRightInd w:val="0"/>
        <w:spacing w:after="0" w:line="240" w:lineRule="auto"/>
        <w:rPr>
          <w:rFonts w:eastAsia="Times New Roman"/>
          <w:lang w:eastAsia="en-AU"/>
        </w:rPr>
      </w:pPr>
    </w:p>
    <w:p w14:paraId="154CC092" w14:textId="77777777" w:rsidR="009E6639" w:rsidRPr="00D11572" w:rsidRDefault="009E6639" w:rsidP="009E6639">
      <w:pPr>
        <w:autoSpaceDE w:val="0"/>
        <w:autoSpaceDN w:val="0"/>
        <w:adjustRightInd w:val="0"/>
        <w:spacing w:after="0" w:line="240" w:lineRule="auto"/>
        <w:rPr>
          <w:rFonts w:eastAsia="Times New Roman"/>
          <w:lang w:eastAsia="en-AU"/>
        </w:rPr>
      </w:pPr>
      <w:r w:rsidRPr="00D11572">
        <w:rPr>
          <w:rFonts w:eastAsia="Times New Roman"/>
          <w:lang w:eastAsia="en-AU"/>
        </w:rPr>
        <w:t>Section 41FDB of the Act sets out preliminary assessment requirements in relation to an application to the Secretary for a kind of medical device to be included in the Australian Register of Therapeutic Goods (“the Register”).  These include the requirements that an application be accompanied by information that is of a kind determined under subsection 41</w:t>
      </w:r>
      <w:proofErr w:type="gramStart"/>
      <w:r w:rsidRPr="00D11572">
        <w:rPr>
          <w:rFonts w:eastAsia="Times New Roman"/>
          <w:lang w:eastAsia="en-AU"/>
        </w:rPr>
        <w:t>FDB(</w:t>
      </w:r>
      <w:proofErr w:type="gramEnd"/>
      <w:r w:rsidRPr="00D11572">
        <w:rPr>
          <w:rFonts w:eastAsia="Times New Roman"/>
          <w:lang w:eastAsia="en-AU"/>
        </w:rPr>
        <w:t>7), in a form determined under subsection 41FDB(8), for the relevant classification of medical device (subparagraphs 41FDB(2)(d)(i) and (ii) of the Act refer).</w:t>
      </w:r>
    </w:p>
    <w:p w14:paraId="3C84544A" w14:textId="77777777" w:rsidR="009E6639" w:rsidRPr="00D11572" w:rsidRDefault="009E6639" w:rsidP="009E6639">
      <w:pPr>
        <w:autoSpaceDE w:val="0"/>
        <w:autoSpaceDN w:val="0"/>
        <w:adjustRightInd w:val="0"/>
        <w:spacing w:after="0" w:line="240" w:lineRule="auto"/>
        <w:rPr>
          <w:rFonts w:eastAsia="Times New Roman"/>
          <w:lang w:eastAsia="en-AU"/>
        </w:rPr>
      </w:pPr>
    </w:p>
    <w:p w14:paraId="3BA27E03" w14:textId="77777777" w:rsidR="009E6639" w:rsidRPr="00D11572" w:rsidRDefault="009E6639" w:rsidP="009E6639">
      <w:pPr>
        <w:autoSpaceDE w:val="0"/>
        <w:autoSpaceDN w:val="0"/>
        <w:adjustRightInd w:val="0"/>
        <w:spacing w:after="0" w:line="240" w:lineRule="auto"/>
        <w:rPr>
          <w:rFonts w:eastAsia="Times New Roman"/>
          <w:lang w:eastAsia="en-AU"/>
        </w:rPr>
      </w:pPr>
      <w:r w:rsidRPr="00D11572">
        <w:rPr>
          <w:rFonts w:eastAsia="Times New Roman"/>
          <w:lang w:eastAsia="en-AU"/>
        </w:rPr>
        <w:t>Relevantly, subsections 41</w:t>
      </w:r>
      <w:proofErr w:type="gramStart"/>
      <w:r w:rsidRPr="00D11572">
        <w:rPr>
          <w:rFonts w:eastAsia="Times New Roman"/>
          <w:lang w:eastAsia="en-AU"/>
        </w:rPr>
        <w:t>FDB(</w:t>
      </w:r>
      <w:proofErr w:type="gramEnd"/>
      <w:r w:rsidRPr="00D11572">
        <w:rPr>
          <w:rFonts w:eastAsia="Times New Roman"/>
          <w:lang w:eastAsia="en-AU"/>
        </w:rPr>
        <w:t>7) and (8) of the Act provide that the Secretary may, by legislative instrument, determine a kind and form of information (respectively) for the purposes of an application mentioned in subparagraphs 41FDB(2)(d)(i) and (ii) of the Act for inclusion of a medical devices of a particular classification in the Register.</w:t>
      </w:r>
    </w:p>
    <w:p w14:paraId="63C91ED7" w14:textId="77777777" w:rsidR="009E6639" w:rsidRPr="00D11572" w:rsidRDefault="009E6639" w:rsidP="009E6639">
      <w:pPr>
        <w:autoSpaceDE w:val="0"/>
        <w:autoSpaceDN w:val="0"/>
        <w:adjustRightInd w:val="0"/>
        <w:spacing w:after="0" w:line="240" w:lineRule="auto"/>
        <w:rPr>
          <w:rFonts w:eastAsia="Times New Roman"/>
          <w:lang w:eastAsia="en-AU"/>
        </w:rPr>
      </w:pPr>
    </w:p>
    <w:p w14:paraId="35B11192" w14:textId="77777777" w:rsidR="009E6639" w:rsidRPr="00D11572" w:rsidRDefault="009E6639" w:rsidP="009E6639">
      <w:pPr>
        <w:autoSpaceDE w:val="0"/>
        <w:autoSpaceDN w:val="0"/>
        <w:adjustRightInd w:val="0"/>
        <w:spacing w:after="0" w:line="240" w:lineRule="auto"/>
        <w:rPr>
          <w:rFonts w:eastAsia="Times New Roman"/>
          <w:lang w:eastAsia="en-AU"/>
        </w:rPr>
      </w:pPr>
      <w:r w:rsidRPr="00D11572">
        <w:rPr>
          <w:rFonts w:eastAsia="Times New Roman"/>
          <w:lang w:eastAsia="en-AU"/>
        </w:rPr>
        <w:t xml:space="preserve">The </w:t>
      </w:r>
      <w:r w:rsidRPr="00D11572">
        <w:rPr>
          <w:rFonts w:eastAsia="Times New Roman"/>
          <w:i/>
          <w:iCs/>
          <w:lang w:eastAsia="en-AU"/>
        </w:rPr>
        <w:t>Therapeutic Goods (Medical Devices—Information that Must Accompany Application for Inclusion) Determination 2018</w:t>
      </w:r>
      <w:r w:rsidRPr="00D11572">
        <w:rPr>
          <w:rFonts w:eastAsia="Times New Roman"/>
          <w:lang w:eastAsia="en-AU"/>
        </w:rPr>
        <w:t xml:space="preserve"> (“the Principal Determination”) is made under subsections 41</w:t>
      </w:r>
      <w:proofErr w:type="gramStart"/>
      <w:r w:rsidRPr="00D11572">
        <w:rPr>
          <w:rFonts w:eastAsia="Times New Roman"/>
          <w:lang w:eastAsia="en-AU"/>
        </w:rPr>
        <w:t>FDB(</w:t>
      </w:r>
      <w:proofErr w:type="gramEnd"/>
      <w:r w:rsidRPr="00D11572">
        <w:rPr>
          <w:rFonts w:eastAsia="Times New Roman"/>
          <w:lang w:eastAsia="en-AU"/>
        </w:rPr>
        <w:t>7) and (8) of the Act. The Principal Determination determines the kind and form of information that must accompany an application for kinds of medical devices of a particular classification to be included in the Register.</w:t>
      </w:r>
    </w:p>
    <w:p w14:paraId="64FBE45B" w14:textId="77777777" w:rsidR="009E6639" w:rsidRPr="00D11572" w:rsidRDefault="009E6639" w:rsidP="009E6639">
      <w:pPr>
        <w:autoSpaceDE w:val="0"/>
        <w:autoSpaceDN w:val="0"/>
        <w:adjustRightInd w:val="0"/>
        <w:spacing w:after="0" w:line="240" w:lineRule="auto"/>
        <w:rPr>
          <w:rFonts w:eastAsia="Times New Roman"/>
          <w:lang w:eastAsia="en-AU"/>
        </w:rPr>
      </w:pPr>
    </w:p>
    <w:p w14:paraId="2E745A7D" w14:textId="77777777" w:rsidR="009E6639" w:rsidRPr="00D11572" w:rsidRDefault="009E6639" w:rsidP="009E6639">
      <w:pPr>
        <w:autoSpaceDE w:val="0"/>
        <w:autoSpaceDN w:val="0"/>
        <w:adjustRightInd w:val="0"/>
        <w:spacing w:after="0" w:line="240" w:lineRule="auto"/>
        <w:rPr>
          <w:rFonts w:eastAsia="Times New Roman"/>
          <w:lang w:eastAsia="en-AU"/>
        </w:rPr>
      </w:pPr>
      <w:r w:rsidRPr="00D11572">
        <w:rPr>
          <w:rFonts w:eastAsia="Times New Roman"/>
          <w:lang w:eastAsia="en-AU"/>
        </w:rPr>
        <w:t>The kinds of information specified in the Principal Determination relate to the conformity assessment documents that are required to demonstrate that appropriate conformity assessment procedures have been applied by the manufacturer to its quality management system and the kind of medical device. The conformity assessment documents include certificates and other documents that have been issued or recognised by the Secretary and, in the alternative, by a comparable overseas regulator as defined in section 41BIB of the Act.</w:t>
      </w:r>
    </w:p>
    <w:p w14:paraId="40C048AC" w14:textId="77777777" w:rsidR="009E6639" w:rsidRPr="00D11572" w:rsidRDefault="009E6639" w:rsidP="009E6639">
      <w:pPr>
        <w:autoSpaceDE w:val="0"/>
        <w:autoSpaceDN w:val="0"/>
        <w:adjustRightInd w:val="0"/>
        <w:spacing w:after="0" w:line="240" w:lineRule="auto"/>
        <w:rPr>
          <w:rFonts w:eastAsia="Times New Roman"/>
          <w:lang w:eastAsia="en-AU"/>
        </w:rPr>
      </w:pPr>
    </w:p>
    <w:p w14:paraId="2BB0D177" w14:textId="77777777" w:rsidR="009E6639" w:rsidRPr="00D11572" w:rsidRDefault="009E6639" w:rsidP="009E6639">
      <w:pPr>
        <w:spacing w:after="0" w:line="240" w:lineRule="auto"/>
        <w:rPr>
          <w:rFonts w:eastAsia="Times New Roman"/>
          <w:lang w:eastAsia="en-AU"/>
        </w:rPr>
      </w:pPr>
      <w:r w:rsidRPr="00D11572">
        <w:rPr>
          <w:rFonts w:eastAsia="Times New Roman"/>
          <w:lang w:eastAsia="en-AU"/>
        </w:rPr>
        <w:t xml:space="preserve">The </w:t>
      </w:r>
      <w:r w:rsidRPr="00D11572">
        <w:rPr>
          <w:rFonts w:eastAsia="Times New Roman"/>
          <w:i/>
          <w:lang w:eastAsia="en-AU"/>
        </w:rPr>
        <w:t xml:space="preserve">Therapeutic Goods (Medical Devices—Information that Must Accompany Application for Inclusion) Amendment </w:t>
      </w:r>
      <w:r w:rsidRPr="00D11572">
        <w:rPr>
          <w:rFonts w:eastAsia="Times New Roman"/>
          <w:bCs/>
          <w:i/>
          <w:lang w:eastAsia="en-AU"/>
        </w:rPr>
        <w:t>Determination</w:t>
      </w:r>
      <w:r w:rsidRPr="0027534D">
        <w:rPr>
          <w:rFonts w:eastAsia="Times New Roman"/>
          <w:i/>
          <w:lang w:eastAsia="en-AU"/>
        </w:rPr>
        <w:t xml:space="preserve"> </w:t>
      </w:r>
      <w:r w:rsidRPr="00D11572">
        <w:rPr>
          <w:rFonts w:eastAsia="Times New Roman"/>
          <w:i/>
          <w:lang w:eastAsia="en-AU"/>
        </w:rPr>
        <w:t xml:space="preserve">2024 </w:t>
      </w:r>
      <w:r w:rsidRPr="00D11572">
        <w:rPr>
          <w:rFonts w:eastAsia="Times New Roman"/>
          <w:lang w:eastAsia="en-AU"/>
        </w:rPr>
        <w:t>(“the Amendment Determination”) is made under subsection 41</w:t>
      </w:r>
      <w:proofErr w:type="gramStart"/>
      <w:r w:rsidRPr="00D11572">
        <w:rPr>
          <w:rFonts w:eastAsia="Times New Roman"/>
          <w:lang w:eastAsia="en-AU"/>
        </w:rPr>
        <w:t>FDB(</w:t>
      </w:r>
      <w:proofErr w:type="gramEnd"/>
      <w:r w:rsidRPr="00D11572">
        <w:rPr>
          <w:rFonts w:eastAsia="Times New Roman"/>
          <w:lang w:eastAsia="en-AU"/>
        </w:rPr>
        <w:t>7) of the Act, and makes a number of amendments to the Principal Determination.</w:t>
      </w:r>
    </w:p>
    <w:p w14:paraId="39609A0C" w14:textId="77777777" w:rsidR="009E6639" w:rsidRPr="00D11572" w:rsidRDefault="009E6639" w:rsidP="009E6639">
      <w:pPr>
        <w:spacing w:after="0" w:line="240" w:lineRule="auto"/>
        <w:rPr>
          <w:rFonts w:eastAsia="Times New Roman"/>
          <w:lang w:eastAsia="en-AU"/>
        </w:rPr>
      </w:pPr>
    </w:p>
    <w:p w14:paraId="4A0293B4" w14:textId="77777777" w:rsidR="009E6639" w:rsidRPr="00D11572" w:rsidRDefault="009E6639" w:rsidP="009E6639">
      <w:pPr>
        <w:spacing w:after="0" w:line="240" w:lineRule="auto"/>
        <w:rPr>
          <w:rFonts w:eastAsia="Times New Roman"/>
          <w:lang w:eastAsia="en-AU"/>
        </w:rPr>
      </w:pPr>
      <w:r w:rsidRPr="00D11572">
        <w:rPr>
          <w:rFonts w:eastAsia="Times New Roman"/>
          <w:lang w:eastAsia="en-AU"/>
        </w:rPr>
        <w:t>The Amendment Determination amends the Principal Determination principally to:</w:t>
      </w:r>
    </w:p>
    <w:p w14:paraId="5FE935F5" w14:textId="77777777" w:rsidR="009E6639" w:rsidRPr="00D11572" w:rsidRDefault="009E6639" w:rsidP="009E6639">
      <w:pPr>
        <w:pStyle w:val="ListParagraph"/>
        <w:numPr>
          <w:ilvl w:val="0"/>
          <w:numId w:val="10"/>
        </w:numPr>
        <w:spacing w:after="0" w:line="240" w:lineRule="auto"/>
        <w:rPr>
          <w:rFonts w:eastAsia="Times New Roman"/>
          <w:lang w:eastAsia="en-AU"/>
        </w:rPr>
      </w:pPr>
      <w:r>
        <w:rPr>
          <w:rFonts w:eastAsia="Times New Roman"/>
          <w:lang w:eastAsia="en-AU"/>
        </w:rPr>
        <w:t>r</w:t>
      </w:r>
      <w:r w:rsidRPr="00D11572">
        <w:rPr>
          <w:rFonts w:eastAsia="Times New Roman"/>
          <w:lang w:eastAsia="en-AU"/>
        </w:rPr>
        <w:t>emove references, and requirements relating, to ‘specified medical devices’;</w:t>
      </w:r>
    </w:p>
    <w:p w14:paraId="10C7E27B" w14:textId="77777777" w:rsidR="009E6639" w:rsidRPr="00D11572" w:rsidRDefault="009E6639" w:rsidP="009E6639">
      <w:pPr>
        <w:pStyle w:val="ListParagraph"/>
        <w:numPr>
          <w:ilvl w:val="0"/>
          <w:numId w:val="10"/>
        </w:numPr>
        <w:spacing w:after="0" w:line="240" w:lineRule="auto"/>
        <w:rPr>
          <w:rFonts w:eastAsia="Times New Roman"/>
          <w:lang w:eastAsia="en-AU"/>
        </w:rPr>
      </w:pPr>
      <w:r>
        <w:rPr>
          <w:rFonts w:eastAsia="Times New Roman"/>
          <w:lang w:eastAsia="en-AU"/>
        </w:rPr>
        <w:t>r</w:t>
      </w:r>
      <w:r w:rsidRPr="00D11572">
        <w:rPr>
          <w:rFonts w:eastAsia="Times New Roman"/>
          <w:lang w:eastAsia="en-AU"/>
        </w:rPr>
        <w:t xml:space="preserve">equire that </w:t>
      </w:r>
      <w:r>
        <w:rPr>
          <w:rFonts w:eastAsia="Times New Roman"/>
          <w:lang w:eastAsia="en-AU"/>
        </w:rPr>
        <w:t xml:space="preserve">applications for inclusion of a </w:t>
      </w:r>
      <w:r w:rsidRPr="00D11572">
        <w:rPr>
          <w:rFonts w:eastAsia="Times New Roman"/>
          <w:lang w:eastAsia="en-AU"/>
        </w:rPr>
        <w:t xml:space="preserve">Class III medical devices be accompanied by a clinical </w:t>
      </w:r>
      <w:r>
        <w:rPr>
          <w:rFonts w:eastAsia="Times New Roman"/>
          <w:lang w:eastAsia="en-AU"/>
        </w:rPr>
        <w:t>evaluation</w:t>
      </w:r>
      <w:r w:rsidRPr="00D11572">
        <w:rPr>
          <w:rFonts w:eastAsia="Times New Roman"/>
          <w:lang w:eastAsia="en-AU"/>
        </w:rPr>
        <w:t xml:space="preserve"> report</w:t>
      </w:r>
      <w:r>
        <w:rPr>
          <w:rFonts w:eastAsia="Times New Roman"/>
          <w:lang w:eastAsia="en-AU"/>
        </w:rPr>
        <w:t>,</w:t>
      </w:r>
      <w:r w:rsidRPr="00D11572">
        <w:rPr>
          <w:rFonts w:eastAsia="Times New Roman"/>
          <w:lang w:eastAsia="en-AU"/>
        </w:rPr>
        <w:t xml:space="preserve"> </w:t>
      </w:r>
      <w:r>
        <w:rPr>
          <w:rFonts w:eastAsia="Times New Roman"/>
          <w:lang w:eastAsia="en-AU"/>
        </w:rPr>
        <w:t>and instructions for use</w:t>
      </w:r>
      <w:r w:rsidRPr="00D11572">
        <w:rPr>
          <w:rFonts w:eastAsia="Times New Roman"/>
          <w:lang w:eastAsia="en-AU"/>
        </w:rPr>
        <w:t>, where the application is not accompanied by a conformity assessment certificate issued by the TGA;</w:t>
      </w:r>
    </w:p>
    <w:p w14:paraId="5F48406E" w14:textId="77777777" w:rsidR="009E6639" w:rsidRPr="00D11572" w:rsidRDefault="009E6639" w:rsidP="009E6639">
      <w:pPr>
        <w:pStyle w:val="ListParagraph"/>
        <w:numPr>
          <w:ilvl w:val="0"/>
          <w:numId w:val="10"/>
        </w:numPr>
        <w:spacing w:after="0" w:line="240" w:lineRule="auto"/>
        <w:rPr>
          <w:rFonts w:eastAsia="Times New Roman"/>
          <w:lang w:eastAsia="en-AU"/>
        </w:rPr>
      </w:pPr>
      <w:r>
        <w:rPr>
          <w:rFonts w:eastAsia="Times New Roman"/>
          <w:lang w:eastAsia="en-AU"/>
        </w:rPr>
        <w:lastRenderedPageBreak/>
        <w:t>r</w:t>
      </w:r>
      <w:r w:rsidRPr="00D11572">
        <w:rPr>
          <w:rFonts w:eastAsia="Times New Roman"/>
          <w:lang w:eastAsia="en-AU"/>
        </w:rPr>
        <w:t xml:space="preserve">equire additional conformity assessment documents to be provided with an application for inclusion of certain IVD medical devices in the Register as these devices will no longer be subject to a mandatory application audit; </w:t>
      </w:r>
    </w:p>
    <w:p w14:paraId="71DC9B31" w14:textId="77777777" w:rsidR="009E6639" w:rsidRDefault="009E6639" w:rsidP="009E6639">
      <w:pPr>
        <w:pStyle w:val="ListParagraph"/>
        <w:numPr>
          <w:ilvl w:val="0"/>
          <w:numId w:val="10"/>
        </w:numPr>
        <w:spacing w:after="0" w:line="240" w:lineRule="auto"/>
        <w:rPr>
          <w:rFonts w:eastAsia="Times New Roman"/>
          <w:lang w:eastAsia="en-AU"/>
        </w:rPr>
      </w:pPr>
      <w:r>
        <w:rPr>
          <w:rFonts w:eastAsia="Times New Roman"/>
          <w:lang w:eastAsia="en-AU"/>
        </w:rPr>
        <w:t>e</w:t>
      </w:r>
      <w:r w:rsidRPr="00D11572">
        <w:rPr>
          <w:rFonts w:eastAsia="Times New Roman"/>
          <w:lang w:eastAsia="en-AU"/>
        </w:rPr>
        <w:t xml:space="preserve">nable the provision of information supporting an application for inclusion of an IVD medical device in the Register that </w:t>
      </w:r>
      <w:r>
        <w:rPr>
          <w:rFonts w:eastAsia="Times New Roman"/>
          <w:lang w:eastAsia="en-AU"/>
        </w:rPr>
        <w:t>provides evidence of</w:t>
      </w:r>
      <w:r w:rsidRPr="00D11572">
        <w:rPr>
          <w:rFonts w:eastAsia="Times New Roman"/>
          <w:lang w:eastAsia="en-AU"/>
        </w:rPr>
        <w:t xml:space="preserve"> assessment of the medical device by Japan’s Ministry of Health, Labour and Welfare or the Japanese Pharmaceuticals and Medical Devices Agency, the US Food and Drug Administration (FDA), Health Canada </w:t>
      </w:r>
      <w:r>
        <w:rPr>
          <w:rFonts w:eastAsia="Times New Roman"/>
          <w:lang w:eastAsia="en-AU"/>
        </w:rPr>
        <w:t>or</w:t>
      </w:r>
      <w:r w:rsidRPr="00D11572">
        <w:rPr>
          <w:rFonts w:eastAsia="Times New Roman"/>
          <w:lang w:eastAsia="en-AU"/>
        </w:rPr>
        <w:t xml:space="preserve"> the Health Science Authority of Singapore</w:t>
      </w:r>
      <w:r>
        <w:rPr>
          <w:rFonts w:eastAsia="Times New Roman"/>
          <w:lang w:eastAsia="en-AU"/>
        </w:rPr>
        <w:t xml:space="preserve">; </w:t>
      </w:r>
    </w:p>
    <w:p w14:paraId="373AA1D5" w14:textId="77777777" w:rsidR="009E6639" w:rsidRPr="00D11572" w:rsidRDefault="009E6639" w:rsidP="009E6639">
      <w:pPr>
        <w:pStyle w:val="ListParagraph"/>
        <w:numPr>
          <w:ilvl w:val="0"/>
          <w:numId w:val="10"/>
        </w:numPr>
        <w:spacing w:after="0" w:line="240" w:lineRule="auto"/>
        <w:rPr>
          <w:rFonts w:eastAsia="Times New Roman"/>
          <w:lang w:eastAsia="en-AU"/>
        </w:rPr>
      </w:pPr>
      <w:r>
        <w:rPr>
          <w:rFonts w:eastAsia="Times New Roman"/>
          <w:lang w:eastAsia="en-AU"/>
        </w:rPr>
        <w:t>r</w:t>
      </w:r>
      <w:r w:rsidRPr="00D11572">
        <w:rPr>
          <w:rFonts w:eastAsia="Times New Roman"/>
          <w:lang w:eastAsia="en-AU"/>
        </w:rPr>
        <w:t>emove references to applications made before 2019;</w:t>
      </w:r>
      <w:r>
        <w:rPr>
          <w:rFonts w:eastAsia="Times New Roman"/>
          <w:lang w:eastAsia="en-AU"/>
        </w:rPr>
        <w:t xml:space="preserve"> and</w:t>
      </w:r>
    </w:p>
    <w:p w14:paraId="5F5F4C1B" w14:textId="77777777" w:rsidR="009E6639" w:rsidRPr="009E6639" w:rsidRDefault="009E6639" w:rsidP="009E6639">
      <w:pPr>
        <w:pStyle w:val="ListParagraph"/>
        <w:numPr>
          <w:ilvl w:val="0"/>
          <w:numId w:val="10"/>
        </w:numPr>
        <w:spacing w:after="0" w:line="240" w:lineRule="auto"/>
        <w:rPr>
          <w:rFonts w:eastAsia="Times New Roman"/>
          <w:lang w:eastAsia="en-AU"/>
        </w:rPr>
      </w:pPr>
      <w:r w:rsidRPr="00D11572">
        <w:rPr>
          <w:rFonts w:eastAsia="Times New Roman"/>
          <w:lang w:eastAsia="en-AU"/>
        </w:rPr>
        <w:t>.</w:t>
      </w:r>
      <w:r w:rsidRPr="0027534D">
        <w:rPr>
          <w:rFonts w:eastAsia="Times New Roman"/>
          <w:lang w:eastAsia="en-AU"/>
        </w:rPr>
        <w:t xml:space="preserve"> </w:t>
      </w:r>
      <w:r>
        <w:rPr>
          <w:rFonts w:eastAsia="Times New Roman"/>
          <w:lang w:eastAsia="en-AU"/>
        </w:rPr>
        <w:t>r</w:t>
      </w:r>
      <w:r w:rsidRPr="00D11572">
        <w:rPr>
          <w:rFonts w:eastAsia="Times New Roman"/>
          <w:lang w:eastAsia="en-AU"/>
        </w:rPr>
        <w:t>emove requirements relating to AIMD classified medical devices</w:t>
      </w:r>
      <w:r>
        <w:rPr>
          <w:rFonts w:eastAsia="Times New Roman"/>
          <w:lang w:eastAsia="en-AU"/>
        </w:rPr>
        <w:t>.</w:t>
      </w:r>
    </w:p>
    <w:p w14:paraId="65F79EF1" w14:textId="77777777" w:rsidR="009E6639" w:rsidRPr="00D11572" w:rsidRDefault="009E6639" w:rsidP="009E6639">
      <w:pPr>
        <w:spacing w:after="0" w:line="240" w:lineRule="auto"/>
        <w:rPr>
          <w:rFonts w:eastAsia="Times New Roman"/>
          <w:lang w:eastAsia="en-AU"/>
        </w:rPr>
      </w:pPr>
    </w:p>
    <w:p w14:paraId="67997C68" w14:textId="77777777" w:rsidR="009E6639" w:rsidRPr="00D11572" w:rsidRDefault="009E6639" w:rsidP="009E6639">
      <w:pPr>
        <w:spacing w:after="0" w:line="240" w:lineRule="auto"/>
        <w:rPr>
          <w:rFonts w:eastAsia="Times New Roman"/>
          <w:i/>
          <w:iCs/>
          <w:lang w:eastAsia="en-AU"/>
        </w:rPr>
      </w:pPr>
      <w:r w:rsidRPr="00D11572">
        <w:rPr>
          <w:rFonts w:eastAsia="Times New Roman"/>
          <w:i/>
          <w:iCs/>
          <w:lang w:eastAsia="en-AU"/>
        </w:rPr>
        <w:t xml:space="preserve">Specified medical </w:t>
      </w:r>
      <w:proofErr w:type="gramStart"/>
      <w:r w:rsidRPr="00D11572">
        <w:rPr>
          <w:rFonts w:eastAsia="Times New Roman"/>
          <w:i/>
          <w:iCs/>
          <w:lang w:eastAsia="en-AU"/>
        </w:rPr>
        <w:t>devices</w:t>
      </w:r>
      <w:proofErr w:type="gramEnd"/>
    </w:p>
    <w:p w14:paraId="0646A177" w14:textId="77777777" w:rsidR="009E6639" w:rsidRPr="00D11572" w:rsidRDefault="009E6639" w:rsidP="009E6639">
      <w:pPr>
        <w:spacing w:after="0" w:line="240" w:lineRule="auto"/>
        <w:rPr>
          <w:rFonts w:eastAsia="Times New Roman"/>
          <w:lang w:eastAsia="en-AU"/>
        </w:rPr>
      </w:pPr>
    </w:p>
    <w:p w14:paraId="5EACF31F" w14:textId="77777777" w:rsidR="009E6639" w:rsidRPr="00D11572" w:rsidRDefault="009E6639" w:rsidP="009E6639">
      <w:pPr>
        <w:spacing w:after="0" w:line="240" w:lineRule="auto"/>
        <w:rPr>
          <w:rFonts w:eastAsia="Times New Roman"/>
          <w:lang w:eastAsia="en-AU"/>
        </w:rPr>
      </w:pPr>
      <w:r w:rsidRPr="00D11572">
        <w:rPr>
          <w:rFonts w:eastAsia="Times New Roman"/>
          <w:lang w:eastAsia="en-AU"/>
        </w:rPr>
        <w:t xml:space="preserve">The Amendment Determination amends the Principal Determination, to remove provisions relating to ‘specified medical devices’, that is medical devices that contain medicines or materials of animal, microbial, </w:t>
      </w:r>
      <w:proofErr w:type="gramStart"/>
      <w:r w:rsidRPr="00D11572">
        <w:rPr>
          <w:rFonts w:eastAsia="Times New Roman"/>
          <w:lang w:eastAsia="en-AU"/>
        </w:rPr>
        <w:t>recombinant</w:t>
      </w:r>
      <w:proofErr w:type="gramEnd"/>
      <w:r w:rsidRPr="00D11572">
        <w:rPr>
          <w:rFonts w:eastAsia="Times New Roman"/>
          <w:lang w:eastAsia="en-AU"/>
        </w:rPr>
        <w:t xml:space="preserve"> or human origin, as defined in the Principal Determination. This has the effect that the documentation required in support of an application for inclusion in the Register for such devices will no longer be differentiated </w:t>
      </w:r>
      <w:proofErr w:type="gramStart"/>
      <w:r w:rsidRPr="00D11572">
        <w:rPr>
          <w:rFonts w:eastAsia="Times New Roman"/>
          <w:lang w:eastAsia="en-AU"/>
        </w:rPr>
        <w:t>on the basis of</w:t>
      </w:r>
      <w:proofErr w:type="gramEnd"/>
      <w:r w:rsidRPr="00D11572">
        <w:rPr>
          <w:rFonts w:eastAsia="Times New Roman"/>
          <w:lang w:eastAsia="en-AU"/>
        </w:rPr>
        <w:t xml:space="preserve"> the device containing any of those substances. The kinds of documentation required will be based upon the classification of the medical device as provided for in the </w:t>
      </w:r>
      <w:r w:rsidRPr="00D11572">
        <w:rPr>
          <w:rFonts w:eastAsia="Times New Roman"/>
          <w:i/>
          <w:iCs/>
          <w:lang w:eastAsia="en-AU"/>
        </w:rPr>
        <w:t>Therapeutic Goods (Medical Devices) Regulations 2002.</w:t>
      </w:r>
    </w:p>
    <w:p w14:paraId="2BF7E280" w14:textId="77777777" w:rsidR="009E6639" w:rsidRPr="00D11572" w:rsidRDefault="009E6639" w:rsidP="009E6639">
      <w:pPr>
        <w:spacing w:after="0" w:line="240" w:lineRule="auto"/>
        <w:rPr>
          <w:rFonts w:eastAsia="Times New Roman"/>
          <w:lang w:eastAsia="en-AU"/>
        </w:rPr>
      </w:pPr>
    </w:p>
    <w:p w14:paraId="5FB9141A" w14:textId="77777777" w:rsidR="009E6639" w:rsidRPr="00D11572" w:rsidRDefault="009E6639" w:rsidP="009E6639">
      <w:pPr>
        <w:spacing w:after="0" w:line="240" w:lineRule="auto"/>
        <w:rPr>
          <w:rFonts w:eastAsia="Times New Roman"/>
          <w:lang w:eastAsia="en-AU"/>
        </w:rPr>
      </w:pPr>
      <w:r w:rsidRPr="00D11572">
        <w:rPr>
          <w:rFonts w:eastAsia="Times New Roman"/>
          <w:lang w:eastAsia="en-AU"/>
        </w:rPr>
        <w:t xml:space="preserve">This amendment in the Amendment Determination is a consequence of an amendment to the </w:t>
      </w:r>
      <w:r w:rsidRPr="00D11572">
        <w:rPr>
          <w:rFonts w:eastAsia="Times New Roman"/>
          <w:i/>
          <w:iCs/>
          <w:lang w:eastAsia="en-AU"/>
        </w:rPr>
        <w:t xml:space="preserve">Therapeutic Goods (Medical Devices) Regulations 2002 </w:t>
      </w:r>
      <w:r w:rsidRPr="00D11572">
        <w:rPr>
          <w:rFonts w:eastAsia="Times New Roman"/>
          <w:lang w:eastAsia="en-AU"/>
        </w:rPr>
        <w:t xml:space="preserve">by the </w:t>
      </w:r>
      <w:r w:rsidRPr="00D11572">
        <w:rPr>
          <w:rFonts w:eastAsia="Times New Roman"/>
          <w:i/>
          <w:iCs/>
          <w:lang w:eastAsia="en-AU"/>
        </w:rPr>
        <w:t>Therapeutic Goods Legislation Amendment (2024 Measures No. 2) Regulations 2024</w:t>
      </w:r>
      <w:r w:rsidRPr="00D11572">
        <w:rPr>
          <w:rFonts w:eastAsia="Times New Roman"/>
          <w:lang w:eastAsia="en-AU"/>
        </w:rPr>
        <w:t xml:space="preserve">, </w:t>
      </w:r>
      <w:r w:rsidRPr="00D11572">
        <w:t xml:space="preserve">to reclassify (and in most cases down-classify) kinds of medical devices that only contain tissues, cells, or substances of microbial or recombinant origin; and certain tissues or cells of animal origin that have been rendered non-viable, or their derivatives. </w:t>
      </w:r>
      <w:r w:rsidRPr="00D11572">
        <w:rPr>
          <w:rFonts w:eastAsia="Times New Roman"/>
          <w:lang w:eastAsia="en-AU"/>
        </w:rPr>
        <w:t>This amendment was made to</w:t>
      </w:r>
      <w:r w:rsidRPr="00D11572">
        <w:t xml:space="preserve"> align Australia’s risk classification rules for medical devices that contain the materials identified above, with those implemented by comparable overseas </w:t>
      </w:r>
      <w:r w:rsidRPr="00D11572">
        <w:rPr>
          <w:rFonts w:eastAsia="Times New Roman"/>
          <w:lang w:eastAsia="en-AU"/>
        </w:rPr>
        <w:t>jurisdictions.</w:t>
      </w:r>
    </w:p>
    <w:p w14:paraId="5A450DD9" w14:textId="77777777" w:rsidR="009E6639" w:rsidRPr="00D11572" w:rsidRDefault="009E6639" w:rsidP="009E6639">
      <w:pPr>
        <w:spacing w:after="0" w:line="240" w:lineRule="auto"/>
        <w:rPr>
          <w:rFonts w:eastAsia="Times New Roman"/>
          <w:lang w:eastAsia="en-AU"/>
        </w:rPr>
      </w:pPr>
    </w:p>
    <w:p w14:paraId="263126F5" w14:textId="77777777" w:rsidR="009E6639" w:rsidRPr="00D11572" w:rsidRDefault="009E6639" w:rsidP="009E6639">
      <w:pPr>
        <w:spacing w:after="0" w:line="240" w:lineRule="auto"/>
        <w:rPr>
          <w:rFonts w:eastAsia="Times New Roman"/>
          <w:lang w:eastAsia="en-AU"/>
        </w:rPr>
      </w:pPr>
      <w:r w:rsidRPr="00D11572">
        <w:rPr>
          <w:rFonts w:eastAsia="Times New Roman"/>
          <w:lang w:eastAsia="en-AU"/>
        </w:rPr>
        <w:t>Accordingly, the conformity assessment documents that must support an application for inclusion of such devices is those that apply according to the classification of those devices and provision for such devices will no longer separately be provided in the Principal Determination.</w:t>
      </w:r>
    </w:p>
    <w:p w14:paraId="46B058C6" w14:textId="77777777" w:rsidR="009E6639" w:rsidRPr="00D11572" w:rsidRDefault="009E6639" w:rsidP="009E6639">
      <w:pPr>
        <w:spacing w:after="0" w:line="240" w:lineRule="auto"/>
        <w:rPr>
          <w:rFonts w:eastAsia="Times New Roman"/>
          <w:lang w:eastAsia="en-AU"/>
        </w:rPr>
      </w:pPr>
    </w:p>
    <w:p w14:paraId="764A809D" w14:textId="77777777" w:rsidR="009E6639" w:rsidRPr="00D11572" w:rsidRDefault="009E6639" w:rsidP="009E6639">
      <w:pPr>
        <w:keepNext/>
        <w:spacing w:after="0" w:line="240" w:lineRule="auto"/>
        <w:rPr>
          <w:rFonts w:eastAsia="Times New Roman"/>
          <w:i/>
          <w:iCs/>
          <w:lang w:eastAsia="en-AU"/>
        </w:rPr>
      </w:pPr>
      <w:r w:rsidRPr="00D11572">
        <w:rPr>
          <w:rFonts w:eastAsia="Times New Roman"/>
          <w:i/>
          <w:iCs/>
          <w:lang w:eastAsia="en-AU"/>
        </w:rPr>
        <w:t>IVD medical devices</w:t>
      </w:r>
    </w:p>
    <w:p w14:paraId="2334FB53" w14:textId="77777777" w:rsidR="009E6639" w:rsidRPr="00D11572" w:rsidRDefault="009E6639" w:rsidP="009E6639">
      <w:pPr>
        <w:keepNext/>
        <w:spacing w:after="0" w:line="240" w:lineRule="auto"/>
        <w:rPr>
          <w:rFonts w:eastAsia="Times New Roman"/>
          <w:lang w:eastAsia="en-AU"/>
        </w:rPr>
      </w:pPr>
    </w:p>
    <w:p w14:paraId="429A7565" w14:textId="77777777" w:rsidR="009E6639" w:rsidRPr="00D11572" w:rsidRDefault="009E6639" w:rsidP="009E6639">
      <w:pPr>
        <w:keepNext/>
      </w:pPr>
      <w:r w:rsidRPr="00D11572">
        <w:rPr>
          <w:rFonts w:eastAsia="Times New Roman"/>
          <w:lang w:eastAsia="en-AU"/>
        </w:rPr>
        <w:t xml:space="preserve">The </w:t>
      </w:r>
      <w:r w:rsidRPr="00D11572">
        <w:rPr>
          <w:rFonts w:eastAsia="Times New Roman"/>
          <w:i/>
          <w:iCs/>
          <w:lang w:eastAsia="en-AU"/>
        </w:rPr>
        <w:t>Therapeutic Goods Legislation Amendment (2024 Measures No. 2) Regulations 2024</w:t>
      </w:r>
      <w:r w:rsidRPr="00D11572">
        <w:rPr>
          <w:rFonts w:eastAsia="Times New Roman"/>
          <w:lang w:eastAsia="en-AU"/>
        </w:rPr>
        <w:t xml:space="preserve"> amends regulation 5.3 of the </w:t>
      </w:r>
      <w:r w:rsidRPr="00D11572">
        <w:rPr>
          <w:rFonts w:eastAsia="Times New Roman"/>
          <w:i/>
          <w:iCs/>
          <w:lang w:eastAsia="en-AU"/>
        </w:rPr>
        <w:t>Therapeutic Goods (Medical Devices) Regulations 2002</w:t>
      </w:r>
      <w:r w:rsidRPr="00D11572">
        <w:rPr>
          <w:rFonts w:eastAsia="Times New Roman"/>
          <w:lang w:eastAsia="en-AU"/>
        </w:rPr>
        <w:t xml:space="preserve"> (commencing 1 July 2024) to limit the kinds of medical devices that will be subjected to a mandatory audit for the purposes of paragraph 41FH(2)(a) of the Act. </w:t>
      </w:r>
      <w:r w:rsidRPr="00D11572">
        <w:t xml:space="preserve">The effect of the amendment is to limit mandatory application audits to only applications for inclusion of those kinds of medical devices that pose the greatest risk of harm to </w:t>
      </w:r>
      <w:proofErr w:type="gramStart"/>
      <w:r w:rsidRPr="00D11572">
        <w:t>users, and</w:t>
      </w:r>
      <w:proofErr w:type="gramEnd"/>
      <w:r w:rsidRPr="00D11572">
        <w:t xml:space="preserve"> provide greater flexibility for the Secretary to select (at the Secretary’s discretion) any other applications for audit.</w:t>
      </w:r>
    </w:p>
    <w:p w14:paraId="3A968027" w14:textId="77777777" w:rsidR="009E6639" w:rsidRPr="00D11572" w:rsidRDefault="009E6639" w:rsidP="009E6639">
      <w:pPr>
        <w:spacing w:after="0" w:line="240" w:lineRule="auto"/>
        <w:rPr>
          <w:rFonts w:eastAsia="Times New Roman"/>
          <w:lang w:eastAsia="en-AU"/>
        </w:rPr>
      </w:pPr>
      <w:r w:rsidRPr="00D11572">
        <w:rPr>
          <w:rFonts w:eastAsia="Times New Roman"/>
          <w:lang w:eastAsia="en-AU"/>
        </w:rPr>
        <w:t xml:space="preserve">The </w:t>
      </w:r>
      <w:r w:rsidRPr="00D11572">
        <w:rPr>
          <w:rFonts w:eastAsia="Times New Roman"/>
          <w:i/>
          <w:iCs/>
          <w:lang w:eastAsia="en-AU"/>
        </w:rPr>
        <w:t>Therapeutic Goods Legislation Amendment (2024 Measures No. 2) Regulations 2024</w:t>
      </w:r>
      <w:r w:rsidRPr="00D11572">
        <w:rPr>
          <w:rFonts w:eastAsia="Times New Roman"/>
          <w:lang w:eastAsia="en-AU"/>
        </w:rPr>
        <w:t xml:space="preserve"> also </w:t>
      </w:r>
      <w:r>
        <w:rPr>
          <w:rFonts w:eastAsia="Times New Roman"/>
          <w:lang w:eastAsia="en-AU"/>
        </w:rPr>
        <w:t xml:space="preserve">made an amendment to </w:t>
      </w:r>
      <w:r w:rsidRPr="00D11572">
        <w:rPr>
          <w:rFonts w:eastAsia="Times New Roman"/>
          <w:lang w:eastAsia="en-AU"/>
        </w:rPr>
        <w:t>set out additional circumstances in which an application does not need to be selected for a mandatory application audit, including where the kind of device:</w:t>
      </w:r>
    </w:p>
    <w:p w14:paraId="3ABF378D" w14:textId="77777777" w:rsidR="009E6639" w:rsidRPr="00D11572" w:rsidRDefault="009E6639" w:rsidP="009E6639">
      <w:pPr>
        <w:pStyle w:val="ListParagraph"/>
        <w:numPr>
          <w:ilvl w:val="0"/>
          <w:numId w:val="11"/>
        </w:numPr>
        <w:spacing w:before="20" w:after="0" w:line="240" w:lineRule="auto"/>
        <w:ind w:left="714" w:hanging="357"/>
        <w:contextualSpacing w:val="0"/>
      </w:pPr>
      <w:r w:rsidRPr="00D11572">
        <w:lastRenderedPageBreak/>
        <w:t xml:space="preserve">is the subject of a medical device licence issued by Health Canada under the </w:t>
      </w:r>
      <w:r w:rsidRPr="00D11572">
        <w:rPr>
          <w:i/>
          <w:iCs/>
        </w:rPr>
        <w:t xml:space="preserve">Medical Devices Regulations </w:t>
      </w:r>
      <w:r w:rsidRPr="00D11572">
        <w:t>(Canada);</w:t>
      </w:r>
    </w:p>
    <w:p w14:paraId="54C2FED4" w14:textId="77777777" w:rsidR="009E6639" w:rsidRPr="00D11572" w:rsidRDefault="009E6639" w:rsidP="009E6639">
      <w:pPr>
        <w:pStyle w:val="ListParagraph"/>
        <w:numPr>
          <w:ilvl w:val="0"/>
          <w:numId w:val="11"/>
        </w:numPr>
        <w:spacing w:before="20" w:after="0" w:line="240" w:lineRule="auto"/>
        <w:ind w:left="714" w:hanging="357"/>
        <w:contextualSpacing w:val="0"/>
      </w:pPr>
      <w:r w:rsidRPr="00D11572">
        <w:t xml:space="preserve">is the subject of an order approving an application for premarket approval from the US Food and Drug Administration under the </w:t>
      </w:r>
      <w:r w:rsidRPr="00D11572">
        <w:rPr>
          <w:i/>
          <w:iCs/>
        </w:rPr>
        <w:t xml:space="preserve">Federal Food, Drug, and Cosmetic Act </w:t>
      </w:r>
      <w:r w:rsidRPr="00D11572">
        <w:t>(United States of America);</w:t>
      </w:r>
    </w:p>
    <w:p w14:paraId="57B6E65A" w14:textId="77777777" w:rsidR="009E6639" w:rsidRPr="00D11572" w:rsidRDefault="009E6639" w:rsidP="009E6639">
      <w:pPr>
        <w:pStyle w:val="ListParagraph"/>
        <w:numPr>
          <w:ilvl w:val="0"/>
          <w:numId w:val="11"/>
        </w:numPr>
        <w:spacing w:before="20" w:after="0" w:line="240" w:lineRule="auto"/>
        <w:ind w:left="714" w:hanging="357"/>
        <w:contextualSpacing w:val="0"/>
      </w:pPr>
      <w:r w:rsidRPr="00D11572">
        <w:t xml:space="preserve">is the subject of a pre-market certification or approval issued by the Japanese Ministry of Health, Labour and Welfare, or the Japanese Pharmaceuticals and Medical Devices Agency, under </w:t>
      </w:r>
      <w:r w:rsidRPr="00D11572">
        <w:rPr>
          <w:i/>
          <w:iCs/>
        </w:rPr>
        <w:t xml:space="preserve">The Law on Securing Quality, Efficacy and Safety of Products Including Pharmaceuticals and Medical Devices </w:t>
      </w:r>
      <w:r w:rsidRPr="00D11572">
        <w:t>(Japan);</w:t>
      </w:r>
    </w:p>
    <w:p w14:paraId="1EAFF4A5" w14:textId="77777777" w:rsidR="009E6639" w:rsidRPr="00D11572" w:rsidRDefault="009E6639" w:rsidP="009E6639">
      <w:pPr>
        <w:pStyle w:val="ListParagraph"/>
        <w:numPr>
          <w:ilvl w:val="0"/>
          <w:numId w:val="11"/>
        </w:numPr>
        <w:spacing w:before="20" w:after="0" w:line="240" w:lineRule="auto"/>
        <w:ind w:left="714" w:hanging="357"/>
        <w:contextualSpacing w:val="0"/>
      </w:pPr>
      <w:r w:rsidRPr="00D11572">
        <w:t xml:space="preserve">is the subject of an entry in the Register of Health Products kept and maintained by the Health Sciences Authority of Singapore under the </w:t>
      </w:r>
      <w:r w:rsidRPr="00D11572">
        <w:rPr>
          <w:i/>
          <w:iCs/>
        </w:rPr>
        <w:t xml:space="preserve">Health Products Act 2007 </w:t>
      </w:r>
      <w:r w:rsidRPr="00D11572">
        <w:t>(Singapore); or</w:t>
      </w:r>
    </w:p>
    <w:p w14:paraId="5F4931A2" w14:textId="77777777" w:rsidR="009E6639" w:rsidRPr="00D11572" w:rsidRDefault="009E6639" w:rsidP="009E6639">
      <w:pPr>
        <w:pStyle w:val="ListParagraph"/>
        <w:numPr>
          <w:ilvl w:val="0"/>
          <w:numId w:val="11"/>
        </w:numPr>
        <w:spacing w:before="20" w:after="0" w:line="240" w:lineRule="auto"/>
        <w:ind w:left="714" w:hanging="357"/>
        <w:contextualSpacing w:val="0"/>
      </w:pPr>
      <w:r w:rsidRPr="00D11572">
        <w:t>has been certified in accordance with the Australia-UK Mutual Recognition Agreement, the EC Mutual Recognition Agreement, or the EFTA Mutual Recognition Agreement.</w:t>
      </w:r>
    </w:p>
    <w:p w14:paraId="16020FF0" w14:textId="77777777" w:rsidR="009E6639" w:rsidRPr="00D11572" w:rsidRDefault="009E6639" w:rsidP="009E6639">
      <w:pPr>
        <w:spacing w:after="0" w:line="240" w:lineRule="auto"/>
        <w:rPr>
          <w:rFonts w:eastAsia="Times New Roman"/>
          <w:lang w:eastAsia="en-AU"/>
        </w:rPr>
      </w:pPr>
    </w:p>
    <w:p w14:paraId="682A15DE" w14:textId="77777777" w:rsidR="009E6639" w:rsidRPr="00D11572" w:rsidRDefault="009E6639" w:rsidP="009E6639">
      <w:pPr>
        <w:spacing w:after="0" w:line="240" w:lineRule="auto"/>
        <w:rPr>
          <w:rFonts w:eastAsia="Times New Roman"/>
          <w:lang w:eastAsia="en-AU"/>
        </w:rPr>
      </w:pPr>
      <w:r w:rsidRPr="00D11572">
        <w:rPr>
          <w:rFonts w:eastAsia="Times New Roman"/>
          <w:lang w:eastAsia="en-AU"/>
        </w:rPr>
        <w:t xml:space="preserve">As a result of these amendments to the </w:t>
      </w:r>
      <w:r w:rsidRPr="00D11572">
        <w:rPr>
          <w:rFonts w:eastAsia="Times New Roman"/>
          <w:i/>
          <w:iCs/>
          <w:lang w:eastAsia="en-AU"/>
        </w:rPr>
        <w:t>Therapeutic Goods (Medical Devices) Regulations 2002</w:t>
      </w:r>
      <w:r w:rsidRPr="00D11572">
        <w:rPr>
          <w:rFonts w:eastAsia="Times New Roman"/>
          <w:lang w:eastAsia="en-AU"/>
        </w:rPr>
        <w:t>, the Amendment Determination amends the Principal Determination to enable evidence from a comparable overseas regulator to support an application for inclusion of a medical device in the Register for a Class 2, 3 or 4 IVD medical device. Conformity assessment documents from Japan’s Ministry of Health, Labour and Welfare or the Japanese Pharmaceuticals and Medical Devices Agency can be provided with an application for inclusion of a Class 2, 3 and 4 IVD medical device. Further, conformity assessment documents from Health Canada, the US FDA, and Health Science Authority of Singapore may be provided with an application for inclusion of a Class 4 IVD medical device in the Register. For a Class 3 IVD medical device, additional conformity assessment documents from a notified body are required, as well as from a notified body and Health Canada for a Class 2 IVD medical device.</w:t>
      </w:r>
    </w:p>
    <w:p w14:paraId="3195E1E1" w14:textId="77777777" w:rsidR="009E6639" w:rsidRPr="00D11572" w:rsidRDefault="009E6639" w:rsidP="009E6639">
      <w:pPr>
        <w:spacing w:after="0" w:line="240" w:lineRule="auto"/>
        <w:rPr>
          <w:rFonts w:eastAsia="Times New Roman"/>
          <w:lang w:eastAsia="en-AU"/>
        </w:rPr>
      </w:pPr>
    </w:p>
    <w:p w14:paraId="5E0754B8" w14:textId="77777777" w:rsidR="009E6639" w:rsidRPr="00D11572" w:rsidRDefault="009E6639" w:rsidP="009E6639">
      <w:pPr>
        <w:spacing w:after="0" w:line="240" w:lineRule="auto"/>
        <w:rPr>
          <w:rFonts w:eastAsia="Times New Roman"/>
          <w:lang w:eastAsia="en-AU"/>
        </w:rPr>
      </w:pPr>
      <w:r w:rsidRPr="00D11572">
        <w:rPr>
          <w:rFonts w:eastAsia="Times New Roman"/>
          <w:lang w:eastAsia="en-AU"/>
        </w:rPr>
        <w:t xml:space="preserve">The amendments enable an application for inclusion to be supported by conformity assessment documents from additional overseas regulators, </w:t>
      </w:r>
      <w:proofErr w:type="gramStart"/>
      <w:r w:rsidRPr="00D11572">
        <w:rPr>
          <w:rFonts w:eastAsia="Times New Roman"/>
          <w:lang w:eastAsia="en-AU"/>
        </w:rPr>
        <w:t>and also</w:t>
      </w:r>
      <w:proofErr w:type="gramEnd"/>
      <w:r w:rsidRPr="00D11572">
        <w:rPr>
          <w:rFonts w:eastAsia="Times New Roman"/>
          <w:lang w:eastAsia="en-AU"/>
        </w:rPr>
        <w:t xml:space="preserve"> requires additional information from certain overseas regulators to support an application for inclusion in the Register. This is because those medical devices will no longer be subject to a mandatory application audit where these overseas regulators have assessed the medical device. As the devices are not subject to a mandatory application audit, additional evidence from the overseas regulatory must be provided with the application for inclusion in the Register.</w:t>
      </w:r>
    </w:p>
    <w:p w14:paraId="5A4A0AD5" w14:textId="77777777" w:rsidR="009E6639" w:rsidRDefault="009E6639" w:rsidP="009E6639">
      <w:pPr>
        <w:spacing w:after="0" w:line="240" w:lineRule="auto"/>
        <w:rPr>
          <w:rFonts w:eastAsia="Times New Roman"/>
          <w:lang w:eastAsia="en-AU"/>
        </w:rPr>
      </w:pPr>
    </w:p>
    <w:p w14:paraId="658E6E1C" w14:textId="77777777" w:rsidR="009E6639" w:rsidRPr="00D11572" w:rsidRDefault="009E6639" w:rsidP="009E6639">
      <w:pPr>
        <w:spacing w:after="0" w:line="240" w:lineRule="auto"/>
        <w:rPr>
          <w:rFonts w:eastAsia="Times New Roman"/>
          <w:i/>
          <w:iCs/>
          <w:lang w:eastAsia="en-AU"/>
        </w:rPr>
      </w:pPr>
      <w:r w:rsidRPr="00D11572">
        <w:rPr>
          <w:rFonts w:eastAsia="Times New Roman"/>
          <w:i/>
          <w:iCs/>
          <w:lang w:eastAsia="en-AU"/>
        </w:rPr>
        <w:t xml:space="preserve">Clinical </w:t>
      </w:r>
      <w:r>
        <w:rPr>
          <w:rFonts w:eastAsia="Times New Roman"/>
          <w:i/>
          <w:iCs/>
          <w:lang w:eastAsia="en-AU"/>
        </w:rPr>
        <w:t>evaluation</w:t>
      </w:r>
      <w:r w:rsidRPr="00D11572">
        <w:rPr>
          <w:rFonts w:eastAsia="Times New Roman"/>
          <w:i/>
          <w:iCs/>
          <w:lang w:eastAsia="en-AU"/>
        </w:rPr>
        <w:t xml:space="preserve"> report and instructions for use</w:t>
      </w:r>
    </w:p>
    <w:p w14:paraId="2423151F" w14:textId="77777777" w:rsidR="009E6639" w:rsidRPr="00D11572" w:rsidRDefault="009E6639" w:rsidP="009E6639">
      <w:pPr>
        <w:spacing w:after="0" w:line="240" w:lineRule="auto"/>
        <w:rPr>
          <w:rFonts w:eastAsia="Times New Roman"/>
          <w:lang w:eastAsia="en-AU"/>
        </w:rPr>
      </w:pPr>
    </w:p>
    <w:p w14:paraId="70EDFDC8" w14:textId="77777777" w:rsidR="009E6639" w:rsidRDefault="009E6639" w:rsidP="009E6639">
      <w:pPr>
        <w:spacing w:after="0" w:line="240" w:lineRule="auto"/>
        <w:rPr>
          <w:rFonts w:eastAsia="Times New Roman"/>
          <w:lang w:eastAsia="en-AU"/>
        </w:rPr>
      </w:pPr>
      <w:r w:rsidRPr="00D11572">
        <w:rPr>
          <w:rFonts w:eastAsia="Times New Roman"/>
          <w:lang w:eastAsia="en-AU"/>
        </w:rPr>
        <w:t xml:space="preserve">The clinical </w:t>
      </w:r>
      <w:r>
        <w:rPr>
          <w:rFonts w:eastAsia="Times New Roman"/>
          <w:lang w:eastAsia="en-AU"/>
        </w:rPr>
        <w:t>evaluation</w:t>
      </w:r>
      <w:r w:rsidRPr="00D11572">
        <w:rPr>
          <w:rFonts w:eastAsia="Times New Roman"/>
          <w:lang w:eastAsia="en-AU"/>
        </w:rPr>
        <w:t xml:space="preserve"> report and instructions for use have been routinely requested by the TGA from applicants, </w:t>
      </w:r>
      <w:proofErr w:type="gramStart"/>
      <w:r w:rsidRPr="00D11572">
        <w:rPr>
          <w:rFonts w:eastAsia="Times New Roman"/>
          <w:lang w:eastAsia="en-AU"/>
        </w:rPr>
        <w:t>in order to</w:t>
      </w:r>
      <w:proofErr w:type="gramEnd"/>
      <w:r w:rsidRPr="00D11572">
        <w:rPr>
          <w:rFonts w:eastAsia="Times New Roman"/>
          <w:lang w:eastAsia="en-AU"/>
        </w:rPr>
        <w:t xml:space="preserve"> properly assess whether an application for inclusion of the device in the Register should undergo an application audit. To remove the administrative burden of having to request these documents, and to avoid delays from having to request these documents from applicants, the Amendment Determination amends the Principal Determination to require these documents be provided with the application for a Class III medical devices. This will enable the TGA to process applications without delays from waiting for these documents to be provided on request.</w:t>
      </w:r>
    </w:p>
    <w:p w14:paraId="752DD258" w14:textId="77777777" w:rsidR="009E6639" w:rsidRDefault="009E6639" w:rsidP="009E6639">
      <w:pPr>
        <w:spacing w:after="0" w:line="240" w:lineRule="auto"/>
        <w:rPr>
          <w:rFonts w:eastAsia="Times New Roman"/>
          <w:lang w:eastAsia="en-AU"/>
        </w:rPr>
      </w:pPr>
    </w:p>
    <w:p w14:paraId="79EB815C" w14:textId="77777777" w:rsidR="009E6639" w:rsidRPr="00D11572" w:rsidRDefault="009E6639" w:rsidP="009E6639">
      <w:pPr>
        <w:spacing w:after="0" w:line="240" w:lineRule="auto"/>
        <w:rPr>
          <w:rFonts w:eastAsia="Times New Roman"/>
          <w:lang w:eastAsia="en-AU"/>
        </w:rPr>
      </w:pPr>
      <w:r>
        <w:rPr>
          <w:rFonts w:eastAsia="Times New Roman"/>
          <w:lang w:eastAsia="en-AU"/>
        </w:rPr>
        <w:lastRenderedPageBreak/>
        <w:t xml:space="preserve">A </w:t>
      </w:r>
      <w:r w:rsidRPr="00D11572">
        <w:rPr>
          <w:rFonts w:eastAsia="Times New Roman"/>
          <w:lang w:eastAsia="en-AU"/>
        </w:rPr>
        <w:t xml:space="preserve">clinical </w:t>
      </w:r>
      <w:r>
        <w:rPr>
          <w:rFonts w:eastAsia="Times New Roman"/>
          <w:lang w:eastAsia="en-AU"/>
        </w:rPr>
        <w:t>evaluation</w:t>
      </w:r>
      <w:r w:rsidRPr="00D11572">
        <w:rPr>
          <w:rFonts w:eastAsia="Times New Roman"/>
          <w:lang w:eastAsia="en-AU"/>
        </w:rPr>
        <w:t xml:space="preserve"> report </w:t>
      </w:r>
      <w:r>
        <w:rPr>
          <w:rFonts w:eastAsia="Times New Roman"/>
          <w:lang w:eastAsia="en-AU"/>
        </w:rPr>
        <w:t>and instructions for use will only be required if the application is not accompanied by a conformity assessment certificate issued by the TGA, as these documents would have already been reviewed as part of the assessment of an application for a conformity assessment certificate.</w:t>
      </w:r>
    </w:p>
    <w:p w14:paraId="5ACEAF51" w14:textId="77777777" w:rsidR="009E6639" w:rsidRDefault="009E6639" w:rsidP="009E6639">
      <w:pPr>
        <w:spacing w:after="0" w:line="240" w:lineRule="auto"/>
        <w:rPr>
          <w:rFonts w:eastAsia="Times New Roman"/>
          <w:lang w:eastAsia="en-AU"/>
        </w:rPr>
      </w:pPr>
    </w:p>
    <w:p w14:paraId="46288ADF" w14:textId="77777777" w:rsidR="009E6639" w:rsidRPr="00D11572" w:rsidRDefault="009E6639" w:rsidP="009E6639">
      <w:pPr>
        <w:spacing w:after="0" w:line="240" w:lineRule="auto"/>
        <w:rPr>
          <w:rFonts w:eastAsia="Times New Roman"/>
          <w:i/>
          <w:iCs/>
          <w:lang w:eastAsia="en-AU"/>
        </w:rPr>
      </w:pPr>
      <w:r w:rsidRPr="00D11572">
        <w:rPr>
          <w:rFonts w:eastAsia="Times New Roman"/>
          <w:i/>
          <w:iCs/>
          <w:lang w:eastAsia="en-AU"/>
        </w:rPr>
        <w:t>AIMD medical devices</w:t>
      </w:r>
      <w:r>
        <w:rPr>
          <w:rFonts w:eastAsia="Times New Roman"/>
          <w:i/>
          <w:iCs/>
          <w:lang w:eastAsia="en-AU"/>
        </w:rPr>
        <w:t xml:space="preserve"> and applications prior to 2019</w:t>
      </w:r>
    </w:p>
    <w:p w14:paraId="1C645BB0" w14:textId="77777777" w:rsidR="009E6639" w:rsidRPr="00D11572" w:rsidRDefault="009E6639" w:rsidP="009E6639">
      <w:pPr>
        <w:spacing w:after="0" w:line="240" w:lineRule="auto"/>
        <w:rPr>
          <w:rFonts w:eastAsia="Times New Roman"/>
          <w:lang w:eastAsia="en-AU"/>
        </w:rPr>
      </w:pPr>
    </w:p>
    <w:p w14:paraId="511E3E23" w14:textId="77777777" w:rsidR="009E6639" w:rsidRPr="00D11572" w:rsidRDefault="009E6639" w:rsidP="009E6639">
      <w:pPr>
        <w:spacing w:after="0" w:line="240" w:lineRule="auto"/>
        <w:rPr>
          <w:rFonts w:eastAsia="Times New Roman"/>
          <w:lang w:eastAsia="en-AU"/>
        </w:rPr>
      </w:pPr>
      <w:r w:rsidRPr="00D11572">
        <w:rPr>
          <w:rFonts w:eastAsia="Times New Roman"/>
          <w:lang w:eastAsia="en-AU"/>
        </w:rPr>
        <w:t>The Amendment Determination removes references to AIMD medical devices as there is no longer an AIMD classification for medical devices. The AIMD classification was abolished in 2019 with an associated transitional period where AIMD medical devices were reclassified to Class III medical devices. The TGA no longer receives applications for inclusion of AIMD medical devices in the Register (as they are now applications for inclusion of Class III medical devices in the Register). The Amendment Determination therefore repeals redundant provisions that refer to the AIMD classification.</w:t>
      </w:r>
    </w:p>
    <w:p w14:paraId="10429E55" w14:textId="77777777" w:rsidR="009E6639" w:rsidRPr="00D11572" w:rsidRDefault="009E6639" w:rsidP="009E6639">
      <w:pPr>
        <w:spacing w:after="0" w:line="240" w:lineRule="auto"/>
        <w:rPr>
          <w:rFonts w:eastAsia="Times New Roman"/>
          <w:lang w:eastAsia="en-AU"/>
        </w:rPr>
      </w:pPr>
    </w:p>
    <w:p w14:paraId="66C0DFA5" w14:textId="77777777" w:rsidR="009E6639" w:rsidRPr="00D11572" w:rsidRDefault="009E6639" w:rsidP="009E6639">
      <w:pPr>
        <w:spacing w:after="0" w:line="240" w:lineRule="auto"/>
        <w:rPr>
          <w:rFonts w:eastAsia="Times New Roman"/>
          <w:lang w:eastAsia="en-AU"/>
        </w:rPr>
      </w:pPr>
      <w:r w:rsidRPr="00D11572">
        <w:rPr>
          <w:rFonts w:eastAsia="Times New Roman"/>
          <w:lang w:eastAsia="en-AU"/>
        </w:rPr>
        <w:t>Similarly, the Amendment Determination removes references to conformity assessment documents that were needed to support an application made prior to 2019 as these provisions are no longer relevant.</w:t>
      </w:r>
    </w:p>
    <w:p w14:paraId="7D762480" w14:textId="77777777" w:rsidR="00B952F9" w:rsidRPr="00D11572" w:rsidRDefault="00B952F9" w:rsidP="00B952F9">
      <w:pPr>
        <w:autoSpaceDE w:val="0"/>
        <w:autoSpaceDN w:val="0"/>
        <w:adjustRightInd w:val="0"/>
        <w:spacing w:after="0" w:line="240" w:lineRule="auto"/>
        <w:rPr>
          <w:rFonts w:eastAsia="Times New Roman"/>
          <w:lang w:eastAsia="en-AU"/>
        </w:rPr>
      </w:pPr>
    </w:p>
    <w:p w14:paraId="40A631ED" w14:textId="77777777" w:rsidR="001E51F5" w:rsidRPr="00D11572" w:rsidRDefault="001E51F5" w:rsidP="00E20AE9">
      <w:pPr>
        <w:keepNext/>
        <w:spacing w:after="0" w:line="240" w:lineRule="auto"/>
        <w:rPr>
          <w:rFonts w:eastAsia="Times New Roman"/>
          <w:b/>
          <w:lang w:eastAsia="en-AU"/>
        </w:rPr>
      </w:pPr>
      <w:r w:rsidRPr="00D11572">
        <w:rPr>
          <w:rFonts w:eastAsia="Times New Roman"/>
          <w:b/>
          <w:lang w:eastAsia="en-AU"/>
        </w:rPr>
        <w:t>Human rights implications</w:t>
      </w:r>
    </w:p>
    <w:p w14:paraId="42D62B76" w14:textId="77777777" w:rsidR="001E51F5" w:rsidRPr="00D11572" w:rsidRDefault="001E51F5" w:rsidP="00E20AE9">
      <w:pPr>
        <w:keepNext/>
        <w:spacing w:after="0" w:line="240" w:lineRule="auto"/>
        <w:rPr>
          <w:rFonts w:eastAsia="Times New Roman"/>
          <w:lang w:eastAsia="en-AU"/>
        </w:rPr>
      </w:pPr>
    </w:p>
    <w:p w14:paraId="3B1C32C7" w14:textId="02D5A8B2" w:rsidR="00DF0F43" w:rsidRDefault="001E51F5" w:rsidP="001E51F5">
      <w:pPr>
        <w:spacing w:after="0" w:line="240" w:lineRule="auto"/>
        <w:rPr>
          <w:rFonts w:eastAsia="Times New Roman"/>
          <w:lang w:eastAsia="en-AU"/>
        </w:rPr>
      </w:pPr>
      <w:r w:rsidRPr="00D11572">
        <w:rPr>
          <w:rFonts w:eastAsia="Times New Roman"/>
          <w:lang w:eastAsia="en-AU"/>
        </w:rPr>
        <w:t xml:space="preserve">The instrument engages the right to health in Article 12 of the International Covenant on Economic, Social and Cultural </w:t>
      </w:r>
      <w:r w:rsidR="007A15B4" w:rsidRPr="00D11572">
        <w:rPr>
          <w:rFonts w:eastAsia="Times New Roman"/>
          <w:lang w:eastAsia="en-AU"/>
        </w:rPr>
        <w:t>R</w:t>
      </w:r>
      <w:r w:rsidRPr="00D11572">
        <w:rPr>
          <w:rFonts w:eastAsia="Times New Roman"/>
          <w:lang w:eastAsia="en-AU"/>
        </w:rPr>
        <w:t>ights (“</w:t>
      </w:r>
      <w:r w:rsidR="007A15B4" w:rsidRPr="00D11572">
        <w:rPr>
          <w:rFonts w:eastAsia="Times New Roman"/>
          <w:lang w:eastAsia="en-AU"/>
        </w:rPr>
        <w:t xml:space="preserve">the </w:t>
      </w:r>
      <w:r w:rsidRPr="00D11572">
        <w:rPr>
          <w:rFonts w:eastAsia="Times New Roman"/>
          <w:lang w:eastAsia="en-AU"/>
        </w:rPr>
        <w:t>ICESCR”).</w:t>
      </w:r>
      <w:r w:rsidR="009F7505" w:rsidRPr="009E6639">
        <w:rPr>
          <w:rFonts w:eastAsia="Times New Roman"/>
          <w:iCs/>
          <w:lang w:eastAsia="en-AU"/>
        </w:rPr>
        <w:t xml:space="preserve"> </w:t>
      </w:r>
      <w:r w:rsidRPr="00D11572">
        <w:rPr>
          <w:rFonts w:eastAsia="Times New Roman"/>
          <w:lang w:eastAsia="en-AU"/>
        </w:rPr>
        <w:t>Article 12 of the ICESCR promotes the right of all individuals to enjoy the highest attainable standards of physical and mental health.</w:t>
      </w:r>
    </w:p>
    <w:p w14:paraId="58723926" w14:textId="77777777" w:rsidR="00DF0F43" w:rsidRDefault="00DF0F43" w:rsidP="001E51F5">
      <w:pPr>
        <w:spacing w:after="0" w:line="240" w:lineRule="auto"/>
        <w:rPr>
          <w:rFonts w:eastAsia="Times New Roman"/>
          <w:lang w:eastAsia="en-AU"/>
        </w:rPr>
      </w:pPr>
    </w:p>
    <w:p w14:paraId="2D4E29F5" w14:textId="43D4DEC0" w:rsidR="001E51F5" w:rsidRPr="00D11572" w:rsidRDefault="001E51F5" w:rsidP="001E51F5">
      <w:pPr>
        <w:spacing w:after="0" w:line="240" w:lineRule="auto"/>
        <w:rPr>
          <w:rFonts w:eastAsia="Times New Roman"/>
          <w:i/>
          <w:lang w:eastAsia="en-AU"/>
        </w:rPr>
      </w:pPr>
      <w:r w:rsidRPr="00D11572">
        <w:rPr>
          <w:rFonts w:eastAsia="Times New Roman"/>
          <w:lang w:eastAsia="en-AU"/>
        </w:rPr>
        <w:t xml:space="preserve">In </w:t>
      </w:r>
      <w:r w:rsidRPr="00D11572">
        <w:rPr>
          <w:rFonts w:eastAsia="Times New Roman"/>
          <w:i/>
          <w:lang w:eastAsia="en-AU"/>
        </w:rPr>
        <w:t>General Comment No. 14: The Right to the Highest Attainable Standard of Health (Art. 12)</w:t>
      </w:r>
      <w:r w:rsidRPr="00D11572">
        <w:rPr>
          <w:rFonts w:eastAsia="Times New Roman"/>
          <w:lang w:eastAsia="en-AU"/>
        </w:rPr>
        <w:t xml:space="preserve"> (2000), the United Nations Committee on Economic, Social and Cultural Rights states that health is a ‘fundamental human right indispensable for the exercise of other human rights’, and that the right to health is not to be understood as the right to be healthy, but includes the right to a system of health protection which provides equal opportunity for people to enjoy the highest attainable level of health.</w:t>
      </w:r>
    </w:p>
    <w:p w14:paraId="2AAC588C" w14:textId="77777777" w:rsidR="001E51F5" w:rsidRPr="00D11572" w:rsidRDefault="001E51F5" w:rsidP="001E51F5">
      <w:pPr>
        <w:spacing w:after="0" w:line="240" w:lineRule="auto"/>
        <w:rPr>
          <w:rFonts w:eastAsia="Times New Roman"/>
          <w:lang w:eastAsia="en-AU"/>
        </w:rPr>
      </w:pPr>
    </w:p>
    <w:p w14:paraId="30CDC3B5" w14:textId="46CF21D8" w:rsidR="00441219" w:rsidRDefault="00895EB3" w:rsidP="00895EB3">
      <w:pPr>
        <w:spacing w:after="0" w:line="240" w:lineRule="auto"/>
        <w:rPr>
          <w:rFonts w:eastAsia="Times New Roman"/>
          <w:lang w:eastAsia="en-AU"/>
        </w:rPr>
      </w:pPr>
      <w:r w:rsidRPr="00D11572">
        <w:rPr>
          <w:rFonts w:eastAsia="Times New Roman"/>
          <w:lang w:eastAsia="en-AU"/>
        </w:rPr>
        <w:t>The instrument takes positive steps to promote the right to health by en</w:t>
      </w:r>
      <w:r w:rsidR="00D40307" w:rsidRPr="00D11572">
        <w:rPr>
          <w:rFonts w:eastAsia="Times New Roman"/>
          <w:lang w:eastAsia="en-AU"/>
        </w:rPr>
        <w:t>hancing flexibility in relation to the kinds of</w:t>
      </w:r>
      <w:r w:rsidRPr="00D11572">
        <w:rPr>
          <w:rFonts w:eastAsia="Times New Roman"/>
          <w:lang w:eastAsia="en-AU"/>
        </w:rPr>
        <w:t xml:space="preserve"> documentary evidence </w:t>
      </w:r>
      <w:r w:rsidR="00D40307" w:rsidRPr="00D11572">
        <w:rPr>
          <w:rFonts w:eastAsia="Times New Roman"/>
          <w:lang w:eastAsia="en-AU"/>
        </w:rPr>
        <w:t xml:space="preserve">that may </w:t>
      </w:r>
      <w:r w:rsidRPr="00D11572">
        <w:rPr>
          <w:rFonts w:eastAsia="Times New Roman"/>
          <w:lang w:eastAsia="en-AU"/>
        </w:rPr>
        <w:t>accompany an application for inclusion of the</w:t>
      </w:r>
      <w:r w:rsidR="00441219" w:rsidRPr="00D11572">
        <w:rPr>
          <w:rFonts w:eastAsia="Times New Roman"/>
          <w:lang w:eastAsia="en-AU"/>
        </w:rPr>
        <w:t xml:space="preserve"> </w:t>
      </w:r>
      <w:r w:rsidR="00F65658" w:rsidRPr="00D11572">
        <w:rPr>
          <w:rFonts w:eastAsia="Times New Roman"/>
          <w:lang w:eastAsia="en-AU"/>
        </w:rPr>
        <w:t xml:space="preserve">relevant </w:t>
      </w:r>
      <w:r w:rsidR="00441219" w:rsidRPr="00D11572">
        <w:rPr>
          <w:rFonts w:eastAsia="Times New Roman"/>
          <w:lang w:eastAsia="en-AU"/>
        </w:rPr>
        <w:t>kinds of</w:t>
      </w:r>
      <w:r w:rsidRPr="00D11572">
        <w:rPr>
          <w:rFonts w:eastAsia="Times New Roman"/>
          <w:lang w:eastAsia="en-AU"/>
        </w:rPr>
        <w:t xml:space="preserve"> medical devices in the Register</w:t>
      </w:r>
      <w:r w:rsidR="00441219" w:rsidRPr="00D11572">
        <w:rPr>
          <w:rFonts w:eastAsia="Times New Roman"/>
          <w:lang w:eastAsia="en-AU"/>
        </w:rPr>
        <w:t>, to demonstrate the safety and quality of the manufacturing processes used to manufacture such products</w:t>
      </w:r>
      <w:r w:rsidRPr="00D11572">
        <w:rPr>
          <w:rFonts w:eastAsia="Times New Roman"/>
          <w:lang w:eastAsia="en-AU"/>
        </w:rPr>
        <w:t>.</w:t>
      </w:r>
      <w:r w:rsidR="00DF0F43">
        <w:rPr>
          <w:rFonts w:eastAsia="Times New Roman"/>
          <w:lang w:eastAsia="en-AU"/>
        </w:rPr>
        <w:t xml:space="preserve"> Expanding the kinds of conformity assessment documents that may accompany applications for medical devices will enable the TGA to process such applications in a more efficient and timely </w:t>
      </w:r>
      <w:proofErr w:type="gramStart"/>
      <w:r w:rsidR="00DF0F43">
        <w:rPr>
          <w:rFonts w:eastAsia="Times New Roman"/>
          <w:lang w:eastAsia="en-AU"/>
        </w:rPr>
        <w:t>manner, and</w:t>
      </w:r>
      <w:proofErr w:type="gramEnd"/>
      <w:r w:rsidR="00DF0F43">
        <w:rPr>
          <w:rFonts w:eastAsia="Times New Roman"/>
          <w:lang w:eastAsia="en-AU"/>
        </w:rPr>
        <w:t xml:space="preserve"> reduces regulatory burden for medical device sponsors and manufacturers by supporting enhanced international cooperation.</w:t>
      </w:r>
    </w:p>
    <w:p w14:paraId="35538752" w14:textId="77777777" w:rsidR="00DF0F43" w:rsidRDefault="00DF0F43" w:rsidP="00895EB3">
      <w:pPr>
        <w:spacing w:after="0" w:line="240" w:lineRule="auto"/>
        <w:rPr>
          <w:rFonts w:eastAsia="Times New Roman"/>
          <w:lang w:eastAsia="en-AU"/>
        </w:rPr>
      </w:pPr>
    </w:p>
    <w:p w14:paraId="6FF530F4" w14:textId="59B5625E" w:rsidR="00DF0F43" w:rsidRPr="00D11572" w:rsidRDefault="00DF0F43" w:rsidP="00895EB3">
      <w:pPr>
        <w:spacing w:after="0" w:line="240" w:lineRule="auto"/>
        <w:rPr>
          <w:rFonts w:eastAsia="Times New Roman"/>
          <w:lang w:eastAsia="en-AU"/>
        </w:rPr>
      </w:pPr>
      <w:r>
        <w:rPr>
          <w:rFonts w:eastAsia="Times New Roman"/>
          <w:lang w:eastAsia="en-AU"/>
        </w:rPr>
        <w:t>The information will also assist in ensuring the safety and satisfactory performance of these medical devices, as well as their timely availability in Australia. By providing more options for the type of conformity assessment document that may be submitted with an application for inclusion, the amendments will reduce delays in access to medical devices for Australian patients and health practitioners.</w:t>
      </w:r>
    </w:p>
    <w:p w14:paraId="21E17AC4" w14:textId="77777777" w:rsidR="00E47491" w:rsidRPr="00D11572" w:rsidRDefault="00E47491" w:rsidP="001E51F5">
      <w:pPr>
        <w:spacing w:after="0" w:line="240" w:lineRule="auto"/>
        <w:rPr>
          <w:rFonts w:eastAsia="Times New Roman"/>
          <w:lang w:eastAsia="en-AU"/>
        </w:rPr>
      </w:pPr>
    </w:p>
    <w:p w14:paraId="622F7D8E" w14:textId="77777777" w:rsidR="001E51F5" w:rsidRPr="00D11572" w:rsidRDefault="001E51F5" w:rsidP="009E6639">
      <w:pPr>
        <w:keepNext/>
        <w:spacing w:after="0" w:line="240" w:lineRule="auto"/>
        <w:rPr>
          <w:rFonts w:eastAsia="Times New Roman"/>
          <w:b/>
          <w:lang w:eastAsia="en-AU"/>
        </w:rPr>
      </w:pPr>
      <w:r w:rsidRPr="00D11572">
        <w:rPr>
          <w:rFonts w:eastAsia="Times New Roman"/>
          <w:b/>
          <w:lang w:eastAsia="en-AU"/>
        </w:rPr>
        <w:lastRenderedPageBreak/>
        <w:t>Conclusion</w:t>
      </w:r>
    </w:p>
    <w:p w14:paraId="52F08DF2" w14:textId="77777777" w:rsidR="001E51F5" w:rsidRPr="00D11572" w:rsidRDefault="001E51F5" w:rsidP="009E6639">
      <w:pPr>
        <w:keepNext/>
        <w:spacing w:after="0" w:line="240" w:lineRule="auto"/>
        <w:rPr>
          <w:rFonts w:eastAsia="Times New Roman"/>
          <w:lang w:eastAsia="en-AU"/>
        </w:rPr>
      </w:pPr>
    </w:p>
    <w:p w14:paraId="71826330" w14:textId="77777777" w:rsidR="0048520F" w:rsidRPr="00D11572" w:rsidRDefault="001E51F5" w:rsidP="00D7396A">
      <w:pPr>
        <w:spacing w:after="0" w:line="240" w:lineRule="auto"/>
        <w:rPr>
          <w:rFonts w:eastAsia="Times New Roman"/>
          <w:lang w:eastAsia="en-AU"/>
        </w:rPr>
      </w:pPr>
      <w:r w:rsidRPr="00D11572">
        <w:rPr>
          <w:rFonts w:eastAsia="Times New Roman"/>
          <w:lang w:eastAsia="en-AU"/>
        </w:rPr>
        <w:t>This legislative instrument is compatible with human rights because it promotes the right to health in Article 12 of the ICESCR and otherwise does not raise any other human rights issues.</w:t>
      </w:r>
    </w:p>
    <w:sectPr w:rsidR="0048520F" w:rsidRPr="00D11572" w:rsidSect="00464FC6">
      <w:headerReference w:type="even" r:id="rId8"/>
      <w:headerReference w:type="default" r:id="rId9"/>
      <w:footerReference w:type="default" r:id="rId10"/>
      <w:footerReference w:type="first" r:id="rId11"/>
      <w:pgSz w:w="11907" w:h="16840" w:code="9"/>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73BB6" w14:textId="77777777" w:rsidR="003700A3" w:rsidRDefault="003700A3">
      <w:pPr>
        <w:spacing w:after="0" w:line="240" w:lineRule="auto"/>
      </w:pPr>
      <w:r>
        <w:separator/>
      </w:r>
    </w:p>
  </w:endnote>
  <w:endnote w:type="continuationSeparator" w:id="0">
    <w:p w14:paraId="0002B4FB" w14:textId="77777777" w:rsidR="003700A3" w:rsidRDefault="003700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5972775"/>
      <w:docPartObj>
        <w:docPartGallery w:val="Page Numbers (Bottom of Page)"/>
        <w:docPartUnique/>
      </w:docPartObj>
    </w:sdtPr>
    <w:sdtEndPr>
      <w:rPr>
        <w:noProof/>
        <w:sz w:val="22"/>
        <w:szCs w:val="22"/>
      </w:rPr>
    </w:sdtEndPr>
    <w:sdtContent>
      <w:p w14:paraId="24A69885" w14:textId="76B190C6" w:rsidR="002F252C" w:rsidRPr="00BF658A" w:rsidRDefault="002F252C">
        <w:pPr>
          <w:pStyle w:val="Footer"/>
          <w:jc w:val="right"/>
          <w:rPr>
            <w:sz w:val="22"/>
            <w:szCs w:val="22"/>
          </w:rPr>
        </w:pPr>
        <w:r w:rsidRPr="00BF658A">
          <w:rPr>
            <w:sz w:val="22"/>
            <w:szCs w:val="22"/>
          </w:rPr>
          <w:fldChar w:fldCharType="begin"/>
        </w:r>
        <w:r w:rsidRPr="00BF658A">
          <w:rPr>
            <w:sz w:val="22"/>
            <w:szCs w:val="22"/>
          </w:rPr>
          <w:instrText xml:space="preserve"> PAGE   \* MERGEFORMAT </w:instrText>
        </w:r>
        <w:r w:rsidRPr="00BF658A">
          <w:rPr>
            <w:sz w:val="22"/>
            <w:szCs w:val="22"/>
          </w:rPr>
          <w:fldChar w:fldCharType="separate"/>
        </w:r>
        <w:r w:rsidR="00627599">
          <w:rPr>
            <w:noProof/>
            <w:sz w:val="22"/>
            <w:szCs w:val="22"/>
          </w:rPr>
          <w:t>10</w:t>
        </w:r>
        <w:r w:rsidRPr="00BF658A">
          <w:rPr>
            <w:noProof/>
            <w:sz w:val="22"/>
            <w:szCs w:val="22"/>
          </w:rPr>
          <w:fldChar w:fldCharType="end"/>
        </w:r>
      </w:p>
    </w:sdtContent>
  </w:sdt>
  <w:p w14:paraId="2635F345" w14:textId="77777777" w:rsidR="002F252C" w:rsidRPr="00877529" w:rsidRDefault="002F252C" w:rsidP="00464F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10F17" w14:textId="77777777" w:rsidR="002F252C" w:rsidRDefault="002F252C" w:rsidP="00464FC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65CF3E" w14:textId="77777777" w:rsidR="003700A3" w:rsidRDefault="003700A3">
      <w:pPr>
        <w:spacing w:after="0" w:line="240" w:lineRule="auto"/>
      </w:pPr>
      <w:r>
        <w:separator/>
      </w:r>
    </w:p>
  </w:footnote>
  <w:footnote w:type="continuationSeparator" w:id="0">
    <w:p w14:paraId="0BDF0361" w14:textId="77777777" w:rsidR="003700A3" w:rsidRDefault="003700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6DFD6" w14:textId="77777777" w:rsidR="002F252C" w:rsidRDefault="002F252C" w:rsidP="00464FC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855CA05" w14:textId="77777777" w:rsidR="002F252C" w:rsidRDefault="002F25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21D37" w14:textId="77777777" w:rsidR="002F252C" w:rsidRDefault="002F252C" w:rsidP="00464FC6">
    <w:pPr>
      <w:pStyle w:val="Header"/>
      <w:tabs>
        <w:tab w:val="left" w:pos="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63AF8"/>
    <w:multiLevelType w:val="hybridMultilevel"/>
    <w:tmpl w:val="AEB838B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B925C88"/>
    <w:multiLevelType w:val="hybridMultilevel"/>
    <w:tmpl w:val="5432659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6A708F1"/>
    <w:multiLevelType w:val="hybridMultilevel"/>
    <w:tmpl w:val="E48C5F2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8603704"/>
    <w:multiLevelType w:val="hybridMultilevel"/>
    <w:tmpl w:val="B6CEAA32"/>
    <w:lvl w:ilvl="0" w:tplc="BA7A6A50">
      <w:start w:val="1"/>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37D014C"/>
    <w:multiLevelType w:val="hybridMultilevel"/>
    <w:tmpl w:val="DE40EC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BBC49EB"/>
    <w:multiLevelType w:val="hybridMultilevel"/>
    <w:tmpl w:val="1F8CB4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C886020"/>
    <w:multiLevelType w:val="hybridMultilevel"/>
    <w:tmpl w:val="086A338A"/>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7AA0424"/>
    <w:multiLevelType w:val="hybridMultilevel"/>
    <w:tmpl w:val="0F0239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E316261"/>
    <w:multiLevelType w:val="hybridMultilevel"/>
    <w:tmpl w:val="E48C5F2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590A1985"/>
    <w:multiLevelType w:val="hybridMultilevel"/>
    <w:tmpl w:val="AEB838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710208C"/>
    <w:multiLevelType w:val="hybridMultilevel"/>
    <w:tmpl w:val="AB36EC12"/>
    <w:lvl w:ilvl="0" w:tplc="F0F4622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6CD15C1E"/>
    <w:multiLevelType w:val="hybridMultilevel"/>
    <w:tmpl w:val="12F6E666"/>
    <w:lvl w:ilvl="0" w:tplc="BA7A6A50">
      <w:start w:val="1"/>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85F2914"/>
    <w:multiLevelType w:val="hybridMultilevel"/>
    <w:tmpl w:val="49C0B048"/>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859419218">
    <w:abstractNumId w:val="11"/>
  </w:num>
  <w:num w:numId="2" w16cid:durableId="734742435">
    <w:abstractNumId w:val="3"/>
  </w:num>
  <w:num w:numId="3" w16cid:durableId="722757329">
    <w:abstractNumId w:val="10"/>
  </w:num>
  <w:num w:numId="4" w16cid:durableId="1008946201">
    <w:abstractNumId w:val="4"/>
  </w:num>
  <w:num w:numId="5" w16cid:durableId="1276256192">
    <w:abstractNumId w:val="2"/>
  </w:num>
  <w:num w:numId="6" w16cid:durableId="881985568">
    <w:abstractNumId w:val="8"/>
  </w:num>
  <w:num w:numId="7" w16cid:durableId="1897400032">
    <w:abstractNumId w:val="1"/>
  </w:num>
  <w:num w:numId="8" w16cid:durableId="849370715">
    <w:abstractNumId w:val="6"/>
  </w:num>
  <w:num w:numId="9" w16cid:durableId="1450660498">
    <w:abstractNumId w:val="12"/>
  </w:num>
  <w:num w:numId="10" w16cid:durableId="1494685936">
    <w:abstractNumId w:val="0"/>
  </w:num>
  <w:num w:numId="11" w16cid:durableId="1030108519">
    <w:abstractNumId w:val="7"/>
  </w:num>
  <w:num w:numId="12" w16cid:durableId="1948731093">
    <w:abstractNumId w:val="5"/>
  </w:num>
  <w:num w:numId="13" w16cid:durableId="80177446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1F5"/>
    <w:rsid w:val="00000853"/>
    <w:rsid w:val="000071E9"/>
    <w:rsid w:val="000147F8"/>
    <w:rsid w:val="00015646"/>
    <w:rsid w:val="0001622B"/>
    <w:rsid w:val="00016D5E"/>
    <w:rsid w:val="00017A98"/>
    <w:rsid w:val="000211F5"/>
    <w:rsid w:val="000244AC"/>
    <w:rsid w:val="00024D38"/>
    <w:rsid w:val="00027463"/>
    <w:rsid w:val="00030B36"/>
    <w:rsid w:val="00032E46"/>
    <w:rsid w:val="0004561D"/>
    <w:rsid w:val="00050390"/>
    <w:rsid w:val="00052D17"/>
    <w:rsid w:val="00056AC7"/>
    <w:rsid w:val="0006049D"/>
    <w:rsid w:val="000722DC"/>
    <w:rsid w:val="00075858"/>
    <w:rsid w:val="0007764C"/>
    <w:rsid w:val="0008582F"/>
    <w:rsid w:val="00093F8B"/>
    <w:rsid w:val="00095954"/>
    <w:rsid w:val="000A497F"/>
    <w:rsid w:val="000A6A48"/>
    <w:rsid w:val="000B3E20"/>
    <w:rsid w:val="000C7B46"/>
    <w:rsid w:val="000E0361"/>
    <w:rsid w:val="000E28D3"/>
    <w:rsid w:val="000E533B"/>
    <w:rsid w:val="000E73BD"/>
    <w:rsid w:val="000F2A63"/>
    <w:rsid w:val="000F38EB"/>
    <w:rsid w:val="000F51B5"/>
    <w:rsid w:val="0010031D"/>
    <w:rsid w:val="00103649"/>
    <w:rsid w:val="00103A0E"/>
    <w:rsid w:val="00106D30"/>
    <w:rsid w:val="00110AD9"/>
    <w:rsid w:val="00112A71"/>
    <w:rsid w:val="00125CB9"/>
    <w:rsid w:val="00133D92"/>
    <w:rsid w:val="00141061"/>
    <w:rsid w:val="00143DA1"/>
    <w:rsid w:val="001445DE"/>
    <w:rsid w:val="001475CE"/>
    <w:rsid w:val="001535EC"/>
    <w:rsid w:val="0015368D"/>
    <w:rsid w:val="00170E0D"/>
    <w:rsid w:val="001760F0"/>
    <w:rsid w:val="00182073"/>
    <w:rsid w:val="00185258"/>
    <w:rsid w:val="001932BB"/>
    <w:rsid w:val="00194FCA"/>
    <w:rsid w:val="001A1272"/>
    <w:rsid w:val="001A65B1"/>
    <w:rsid w:val="001B02FC"/>
    <w:rsid w:val="001B0EB8"/>
    <w:rsid w:val="001B1E13"/>
    <w:rsid w:val="001C2BEE"/>
    <w:rsid w:val="001C5975"/>
    <w:rsid w:val="001C6721"/>
    <w:rsid w:val="001D280F"/>
    <w:rsid w:val="001D7D3D"/>
    <w:rsid w:val="001E2F1D"/>
    <w:rsid w:val="001E3F16"/>
    <w:rsid w:val="001E51F5"/>
    <w:rsid w:val="001E5D6E"/>
    <w:rsid w:val="001F24AA"/>
    <w:rsid w:val="001F35EA"/>
    <w:rsid w:val="00207407"/>
    <w:rsid w:val="002151C1"/>
    <w:rsid w:val="00220824"/>
    <w:rsid w:val="00221BA4"/>
    <w:rsid w:val="00223AB0"/>
    <w:rsid w:val="00225970"/>
    <w:rsid w:val="00235D13"/>
    <w:rsid w:val="00243199"/>
    <w:rsid w:val="002442FB"/>
    <w:rsid w:val="00247480"/>
    <w:rsid w:val="0024775A"/>
    <w:rsid w:val="00247761"/>
    <w:rsid w:val="0025038A"/>
    <w:rsid w:val="00254E72"/>
    <w:rsid w:val="00255A72"/>
    <w:rsid w:val="00274E3F"/>
    <w:rsid w:val="0027501E"/>
    <w:rsid w:val="0027534D"/>
    <w:rsid w:val="00280050"/>
    <w:rsid w:val="00287448"/>
    <w:rsid w:val="0029364D"/>
    <w:rsid w:val="002A2472"/>
    <w:rsid w:val="002A4566"/>
    <w:rsid w:val="002B60E0"/>
    <w:rsid w:val="002B650B"/>
    <w:rsid w:val="002C2133"/>
    <w:rsid w:val="002D168C"/>
    <w:rsid w:val="002E3F85"/>
    <w:rsid w:val="002E7F12"/>
    <w:rsid w:val="002F252C"/>
    <w:rsid w:val="00304DE4"/>
    <w:rsid w:val="00307BAF"/>
    <w:rsid w:val="00310965"/>
    <w:rsid w:val="0031629D"/>
    <w:rsid w:val="003304A4"/>
    <w:rsid w:val="0033062F"/>
    <w:rsid w:val="00335670"/>
    <w:rsid w:val="00342B6B"/>
    <w:rsid w:val="003460A8"/>
    <w:rsid w:val="00346D3D"/>
    <w:rsid w:val="0035032F"/>
    <w:rsid w:val="003524E9"/>
    <w:rsid w:val="00360865"/>
    <w:rsid w:val="003620C4"/>
    <w:rsid w:val="0036272B"/>
    <w:rsid w:val="00364C69"/>
    <w:rsid w:val="003674D0"/>
    <w:rsid w:val="0036782C"/>
    <w:rsid w:val="003700A3"/>
    <w:rsid w:val="0037120F"/>
    <w:rsid w:val="00372EAF"/>
    <w:rsid w:val="00374344"/>
    <w:rsid w:val="00374496"/>
    <w:rsid w:val="00375F1F"/>
    <w:rsid w:val="00392271"/>
    <w:rsid w:val="003931AA"/>
    <w:rsid w:val="0039340E"/>
    <w:rsid w:val="0039368C"/>
    <w:rsid w:val="003973AB"/>
    <w:rsid w:val="003B04D6"/>
    <w:rsid w:val="003B6BD6"/>
    <w:rsid w:val="003C0D65"/>
    <w:rsid w:val="003C36B4"/>
    <w:rsid w:val="003C56F8"/>
    <w:rsid w:val="003C68A3"/>
    <w:rsid w:val="003C6F22"/>
    <w:rsid w:val="003D07BD"/>
    <w:rsid w:val="003D10AA"/>
    <w:rsid w:val="003D3C6C"/>
    <w:rsid w:val="003E6382"/>
    <w:rsid w:val="003F40CF"/>
    <w:rsid w:val="003F459E"/>
    <w:rsid w:val="003F623D"/>
    <w:rsid w:val="00400CA1"/>
    <w:rsid w:val="00400F31"/>
    <w:rsid w:val="00406113"/>
    <w:rsid w:val="004078A3"/>
    <w:rsid w:val="00423D5D"/>
    <w:rsid w:val="00425B51"/>
    <w:rsid w:val="00425BCD"/>
    <w:rsid w:val="00427E57"/>
    <w:rsid w:val="00437D6F"/>
    <w:rsid w:val="00440E27"/>
    <w:rsid w:val="00441219"/>
    <w:rsid w:val="004417BE"/>
    <w:rsid w:val="00441EBB"/>
    <w:rsid w:val="00443BD5"/>
    <w:rsid w:val="00447245"/>
    <w:rsid w:val="00451047"/>
    <w:rsid w:val="004521BA"/>
    <w:rsid w:val="00452C85"/>
    <w:rsid w:val="0045720B"/>
    <w:rsid w:val="00461CBD"/>
    <w:rsid w:val="00462626"/>
    <w:rsid w:val="00463ACD"/>
    <w:rsid w:val="00464FC6"/>
    <w:rsid w:val="0047635C"/>
    <w:rsid w:val="004836C5"/>
    <w:rsid w:val="00483B17"/>
    <w:rsid w:val="00484C58"/>
    <w:rsid w:val="0048520F"/>
    <w:rsid w:val="00486B98"/>
    <w:rsid w:val="004875B7"/>
    <w:rsid w:val="0049782D"/>
    <w:rsid w:val="004A00C1"/>
    <w:rsid w:val="004A1224"/>
    <w:rsid w:val="004A3196"/>
    <w:rsid w:val="004A67CB"/>
    <w:rsid w:val="004B29A6"/>
    <w:rsid w:val="004B33DC"/>
    <w:rsid w:val="004B5595"/>
    <w:rsid w:val="004C7BCE"/>
    <w:rsid w:val="004D63BD"/>
    <w:rsid w:val="004E54A9"/>
    <w:rsid w:val="00505E4C"/>
    <w:rsid w:val="0051143F"/>
    <w:rsid w:val="00520250"/>
    <w:rsid w:val="00530393"/>
    <w:rsid w:val="005308CD"/>
    <w:rsid w:val="0053519F"/>
    <w:rsid w:val="0054399A"/>
    <w:rsid w:val="00543FD7"/>
    <w:rsid w:val="00550BB2"/>
    <w:rsid w:val="00552232"/>
    <w:rsid w:val="00554215"/>
    <w:rsid w:val="005561A1"/>
    <w:rsid w:val="00567F04"/>
    <w:rsid w:val="00570321"/>
    <w:rsid w:val="00573284"/>
    <w:rsid w:val="00580194"/>
    <w:rsid w:val="00591627"/>
    <w:rsid w:val="00593743"/>
    <w:rsid w:val="00597A8E"/>
    <w:rsid w:val="005A4E18"/>
    <w:rsid w:val="005A6C94"/>
    <w:rsid w:val="005B4179"/>
    <w:rsid w:val="005B5FF4"/>
    <w:rsid w:val="005C1AAB"/>
    <w:rsid w:val="005C6E1B"/>
    <w:rsid w:val="005D6C50"/>
    <w:rsid w:val="005E1C23"/>
    <w:rsid w:val="005E2299"/>
    <w:rsid w:val="005F26C2"/>
    <w:rsid w:val="00600A78"/>
    <w:rsid w:val="00604E90"/>
    <w:rsid w:val="0061712B"/>
    <w:rsid w:val="00620F0E"/>
    <w:rsid w:val="00627599"/>
    <w:rsid w:val="006361E9"/>
    <w:rsid w:val="00643F01"/>
    <w:rsid w:val="0065185E"/>
    <w:rsid w:val="006569DD"/>
    <w:rsid w:val="00663CFA"/>
    <w:rsid w:val="00664C87"/>
    <w:rsid w:val="006656EF"/>
    <w:rsid w:val="00667B4D"/>
    <w:rsid w:val="0067122D"/>
    <w:rsid w:val="00683911"/>
    <w:rsid w:val="00683BE0"/>
    <w:rsid w:val="00685056"/>
    <w:rsid w:val="00685658"/>
    <w:rsid w:val="006910A9"/>
    <w:rsid w:val="00694DCC"/>
    <w:rsid w:val="00696E3E"/>
    <w:rsid w:val="006A4AD7"/>
    <w:rsid w:val="006A69D0"/>
    <w:rsid w:val="006B236D"/>
    <w:rsid w:val="006B2884"/>
    <w:rsid w:val="006B3BFD"/>
    <w:rsid w:val="006C2D2C"/>
    <w:rsid w:val="006C3BC0"/>
    <w:rsid w:val="006D3704"/>
    <w:rsid w:val="006D5901"/>
    <w:rsid w:val="006E108D"/>
    <w:rsid w:val="006E31AB"/>
    <w:rsid w:val="006E40E2"/>
    <w:rsid w:val="006E5EEE"/>
    <w:rsid w:val="006F455F"/>
    <w:rsid w:val="006F7543"/>
    <w:rsid w:val="00705153"/>
    <w:rsid w:val="007059E2"/>
    <w:rsid w:val="0071317E"/>
    <w:rsid w:val="00720B09"/>
    <w:rsid w:val="00722EE0"/>
    <w:rsid w:val="00743324"/>
    <w:rsid w:val="007436F9"/>
    <w:rsid w:val="007440EC"/>
    <w:rsid w:val="007505F0"/>
    <w:rsid w:val="00751077"/>
    <w:rsid w:val="00766566"/>
    <w:rsid w:val="00767E61"/>
    <w:rsid w:val="00782756"/>
    <w:rsid w:val="007839DC"/>
    <w:rsid w:val="00786218"/>
    <w:rsid w:val="0079655B"/>
    <w:rsid w:val="00796818"/>
    <w:rsid w:val="007A15B4"/>
    <w:rsid w:val="007A508D"/>
    <w:rsid w:val="007A587B"/>
    <w:rsid w:val="007A5BFA"/>
    <w:rsid w:val="007B0399"/>
    <w:rsid w:val="007B1C63"/>
    <w:rsid w:val="007B30C7"/>
    <w:rsid w:val="007B758D"/>
    <w:rsid w:val="007C1A12"/>
    <w:rsid w:val="007C231E"/>
    <w:rsid w:val="007C4935"/>
    <w:rsid w:val="007C65B6"/>
    <w:rsid w:val="007D2F1E"/>
    <w:rsid w:val="007D5BD6"/>
    <w:rsid w:val="007E513E"/>
    <w:rsid w:val="007F2274"/>
    <w:rsid w:val="008056CA"/>
    <w:rsid w:val="0081149F"/>
    <w:rsid w:val="008121EF"/>
    <w:rsid w:val="0081565D"/>
    <w:rsid w:val="00816345"/>
    <w:rsid w:val="00817568"/>
    <w:rsid w:val="00821A6E"/>
    <w:rsid w:val="00821B98"/>
    <w:rsid w:val="00833006"/>
    <w:rsid w:val="00836203"/>
    <w:rsid w:val="00843E69"/>
    <w:rsid w:val="008471F1"/>
    <w:rsid w:val="00850D88"/>
    <w:rsid w:val="00850DFF"/>
    <w:rsid w:val="00851842"/>
    <w:rsid w:val="008600C6"/>
    <w:rsid w:val="0086160E"/>
    <w:rsid w:val="00862B17"/>
    <w:rsid w:val="00876C93"/>
    <w:rsid w:val="00890E7D"/>
    <w:rsid w:val="008925C6"/>
    <w:rsid w:val="0089471D"/>
    <w:rsid w:val="00894B88"/>
    <w:rsid w:val="00895EB3"/>
    <w:rsid w:val="00897D90"/>
    <w:rsid w:val="008A08A2"/>
    <w:rsid w:val="008A122F"/>
    <w:rsid w:val="008A648E"/>
    <w:rsid w:val="008A76D9"/>
    <w:rsid w:val="008C6090"/>
    <w:rsid w:val="008D1B3B"/>
    <w:rsid w:val="008D28FD"/>
    <w:rsid w:val="008D600A"/>
    <w:rsid w:val="008E00FF"/>
    <w:rsid w:val="008E3639"/>
    <w:rsid w:val="008E47B2"/>
    <w:rsid w:val="008E7425"/>
    <w:rsid w:val="008E7DC2"/>
    <w:rsid w:val="008F5647"/>
    <w:rsid w:val="008F591F"/>
    <w:rsid w:val="0090094B"/>
    <w:rsid w:val="009021F4"/>
    <w:rsid w:val="00905226"/>
    <w:rsid w:val="00911889"/>
    <w:rsid w:val="009119EA"/>
    <w:rsid w:val="0091430D"/>
    <w:rsid w:val="0091649D"/>
    <w:rsid w:val="00925699"/>
    <w:rsid w:val="00931474"/>
    <w:rsid w:val="009374C4"/>
    <w:rsid w:val="009376BB"/>
    <w:rsid w:val="0094362D"/>
    <w:rsid w:val="00947A26"/>
    <w:rsid w:val="00953CA8"/>
    <w:rsid w:val="00955D48"/>
    <w:rsid w:val="00955DF1"/>
    <w:rsid w:val="00957610"/>
    <w:rsid w:val="0095795E"/>
    <w:rsid w:val="00970B8B"/>
    <w:rsid w:val="00972275"/>
    <w:rsid w:val="00974BA7"/>
    <w:rsid w:val="00991C21"/>
    <w:rsid w:val="0099312A"/>
    <w:rsid w:val="00996764"/>
    <w:rsid w:val="009A37D7"/>
    <w:rsid w:val="009B27E4"/>
    <w:rsid w:val="009B3821"/>
    <w:rsid w:val="009B5B00"/>
    <w:rsid w:val="009C70F9"/>
    <w:rsid w:val="009D336F"/>
    <w:rsid w:val="009D440B"/>
    <w:rsid w:val="009E4732"/>
    <w:rsid w:val="009E6639"/>
    <w:rsid w:val="009F7505"/>
    <w:rsid w:val="00A01391"/>
    <w:rsid w:val="00A118AE"/>
    <w:rsid w:val="00A1477C"/>
    <w:rsid w:val="00A20C06"/>
    <w:rsid w:val="00A2504F"/>
    <w:rsid w:val="00A32C45"/>
    <w:rsid w:val="00A3471C"/>
    <w:rsid w:val="00A45F9E"/>
    <w:rsid w:val="00A50C70"/>
    <w:rsid w:val="00A6046E"/>
    <w:rsid w:val="00A61E15"/>
    <w:rsid w:val="00A64F70"/>
    <w:rsid w:val="00A73968"/>
    <w:rsid w:val="00A81460"/>
    <w:rsid w:val="00AA0C9E"/>
    <w:rsid w:val="00AA4A37"/>
    <w:rsid w:val="00AA70D7"/>
    <w:rsid w:val="00AA7C67"/>
    <w:rsid w:val="00AB0218"/>
    <w:rsid w:val="00AB3017"/>
    <w:rsid w:val="00AB4485"/>
    <w:rsid w:val="00AC41AA"/>
    <w:rsid w:val="00AC4F1C"/>
    <w:rsid w:val="00AD0307"/>
    <w:rsid w:val="00AD40BA"/>
    <w:rsid w:val="00AD41A2"/>
    <w:rsid w:val="00B031A8"/>
    <w:rsid w:val="00B06715"/>
    <w:rsid w:val="00B12C23"/>
    <w:rsid w:val="00B211DA"/>
    <w:rsid w:val="00B22A73"/>
    <w:rsid w:val="00B2663D"/>
    <w:rsid w:val="00B3004F"/>
    <w:rsid w:val="00B33330"/>
    <w:rsid w:val="00B42CAE"/>
    <w:rsid w:val="00B44D27"/>
    <w:rsid w:val="00B47E1A"/>
    <w:rsid w:val="00B50E03"/>
    <w:rsid w:val="00B527C1"/>
    <w:rsid w:val="00B5330F"/>
    <w:rsid w:val="00B5474B"/>
    <w:rsid w:val="00B60802"/>
    <w:rsid w:val="00B6399A"/>
    <w:rsid w:val="00B70609"/>
    <w:rsid w:val="00B70BA8"/>
    <w:rsid w:val="00B715DF"/>
    <w:rsid w:val="00B7352E"/>
    <w:rsid w:val="00B76B99"/>
    <w:rsid w:val="00B771B9"/>
    <w:rsid w:val="00B83BD5"/>
    <w:rsid w:val="00B93DFD"/>
    <w:rsid w:val="00B9414F"/>
    <w:rsid w:val="00B952F9"/>
    <w:rsid w:val="00BA0D4F"/>
    <w:rsid w:val="00BA31E2"/>
    <w:rsid w:val="00BB3C81"/>
    <w:rsid w:val="00BB4D14"/>
    <w:rsid w:val="00BC7A3D"/>
    <w:rsid w:val="00BD33A7"/>
    <w:rsid w:val="00BE3861"/>
    <w:rsid w:val="00BF03D4"/>
    <w:rsid w:val="00C06DFE"/>
    <w:rsid w:val="00C070E7"/>
    <w:rsid w:val="00C07751"/>
    <w:rsid w:val="00C07B31"/>
    <w:rsid w:val="00C15214"/>
    <w:rsid w:val="00C24838"/>
    <w:rsid w:val="00C26A74"/>
    <w:rsid w:val="00C2755F"/>
    <w:rsid w:val="00C30AA2"/>
    <w:rsid w:val="00C3233D"/>
    <w:rsid w:val="00C33A0C"/>
    <w:rsid w:val="00C36221"/>
    <w:rsid w:val="00C43CDC"/>
    <w:rsid w:val="00C45394"/>
    <w:rsid w:val="00C460DD"/>
    <w:rsid w:val="00C51EA0"/>
    <w:rsid w:val="00C5331B"/>
    <w:rsid w:val="00C542E4"/>
    <w:rsid w:val="00C55E2D"/>
    <w:rsid w:val="00C62256"/>
    <w:rsid w:val="00C626A1"/>
    <w:rsid w:val="00C629A9"/>
    <w:rsid w:val="00C630D5"/>
    <w:rsid w:val="00C636AF"/>
    <w:rsid w:val="00C713D7"/>
    <w:rsid w:val="00C71A57"/>
    <w:rsid w:val="00C72299"/>
    <w:rsid w:val="00C75AB3"/>
    <w:rsid w:val="00C75C51"/>
    <w:rsid w:val="00C80DB1"/>
    <w:rsid w:val="00C82D29"/>
    <w:rsid w:val="00C853A9"/>
    <w:rsid w:val="00C8665E"/>
    <w:rsid w:val="00C8733B"/>
    <w:rsid w:val="00C91615"/>
    <w:rsid w:val="00C92B1B"/>
    <w:rsid w:val="00C9410C"/>
    <w:rsid w:val="00C94EED"/>
    <w:rsid w:val="00CA2BF2"/>
    <w:rsid w:val="00CA3768"/>
    <w:rsid w:val="00CA58A1"/>
    <w:rsid w:val="00CB5021"/>
    <w:rsid w:val="00CB51A2"/>
    <w:rsid w:val="00CC2EF0"/>
    <w:rsid w:val="00CD1B43"/>
    <w:rsid w:val="00CD37CF"/>
    <w:rsid w:val="00CE105B"/>
    <w:rsid w:val="00CF0D1D"/>
    <w:rsid w:val="00CF3BB4"/>
    <w:rsid w:val="00D00192"/>
    <w:rsid w:val="00D011ED"/>
    <w:rsid w:val="00D04A94"/>
    <w:rsid w:val="00D10FC1"/>
    <w:rsid w:val="00D11572"/>
    <w:rsid w:val="00D11770"/>
    <w:rsid w:val="00D12E65"/>
    <w:rsid w:val="00D13852"/>
    <w:rsid w:val="00D15892"/>
    <w:rsid w:val="00D15BE6"/>
    <w:rsid w:val="00D20D47"/>
    <w:rsid w:val="00D23AF2"/>
    <w:rsid w:val="00D23E9C"/>
    <w:rsid w:val="00D305E4"/>
    <w:rsid w:val="00D30B54"/>
    <w:rsid w:val="00D36D53"/>
    <w:rsid w:val="00D37032"/>
    <w:rsid w:val="00D40307"/>
    <w:rsid w:val="00D4096A"/>
    <w:rsid w:val="00D409EC"/>
    <w:rsid w:val="00D40D96"/>
    <w:rsid w:val="00D418D6"/>
    <w:rsid w:val="00D41D41"/>
    <w:rsid w:val="00D42E3C"/>
    <w:rsid w:val="00D438C2"/>
    <w:rsid w:val="00D475CB"/>
    <w:rsid w:val="00D55AFD"/>
    <w:rsid w:val="00D60855"/>
    <w:rsid w:val="00D7396A"/>
    <w:rsid w:val="00DA5497"/>
    <w:rsid w:val="00DA68FE"/>
    <w:rsid w:val="00DB135A"/>
    <w:rsid w:val="00DB2F71"/>
    <w:rsid w:val="00DB4162"/>
    <w:rsid w:val="00DC577F"/>
    <w:rsid w:val="00DC5E2E"/>
    <w:rsid w:val="00DC6BAF"/>
    <w:rsid w:val="00DC7918"/>
    <w:rsid w:val="00DD6BCC"/>
    <w:rsid w:val="00DD71DA"/>
    <w:rsid w:val="00DE768D"/>
    <w:rsid w:val="00DF0F43"/>
    <w:rsid w:val="00DF3CD4"/>
    <w:rsid w:val="00E002AF"/>
    <w:rsid w:val="00E20AE9"/>
    <w:rsid w:val="00E32DC6"/>
    <w:rsid w:val="00E47491"/>
    <w:rsid w:val="00E517B4"/>
    <w:rsid w:val="00E527E6"/>
    <w:rsid w:val="00E52BC5"/>
    <w:rsid w:val="00E60F74"/>
    <w:rsid w:val="00E7444B"/>
    <w:rsid w:val="00E81D7C"/>
    <w:rsid w:val="00E82A77"/>
    <w:rsid w:val="00E95480"/>
    <w:rsid w:val="00EA155C"/>
    <w:rsid w:val="00EC047D"/>
    <w:rsid w:val="00EC579D"/>
    <w:rsid w:val="00EE2A41"/>
    <w:rsid w:val="00EE51C0"/>
    <w:rsid w:val="00EF1984"/>
    <w:rsid w:val="00EF2F1E"/>
    <w:rsid w:val="00EF46F8"/>
    <w:rsid w:val="00F039B9"/>
    <w:rsid w:val="00F135AD"/>
    <w:rsid w:val="00F14D6C"/>
    <w:rsid w:val="00F204CA"/>
    <w:rsid w:val="00F312E1"/>
    <w:rsid w:val="00F31611"/>
    <w:rsid w:val="00F429D8"/>
    <w:rsid w:val="00F42F77"/>
    <w:rsid w:val="00F4469E"/>
    <w:rsid w:val="00F46F0B"/>
    <w:rsid w:val="00F51B3E"/>
    <w:rsid w:val="00F5575B"/>
    <w:rsid w:val="00F61EF1"/>
    <w:rsid w:val="00F65658"/>
    <w:rsid w:val="00F71744"/>
    <w:rsid w:val="00F7394F"/>
    <w:rsid w:val="00F759C1"/>
    <w:rsid w:val="00F76041"/>
    <w:rsid w:val="00F8317B"/>
    <w:rsid w:val="00F84265"/>
    <w:rsid w:val="00F855EA"/>
    <w:rsid w:val="00F85ABF"/>
    <w:rsid w:val="00F91DCB"/>
    <w:rsid w:val="00F95299"/>
    <w:rsid w:val="00F964B7"/>
    <w:rsid w:val="00F96B4F"/>
    <w:rsid w:val="00F97094"/>
    <w:rsid w:val="00FA1A49"/>
    <w:rsid w:val="00FB0542"/>
    <w:rsid w:val="00FB3D54"/>
    <w:rsid w:val="00FC28EC"/>
    <w:rsid w:val="00FC4BB1"/>
    <w:rsid w:val="00FC6778"/>
    <w:rsid w:val="00FC6A0B"/>
    <w:rsid w:val="00FC6DE0"/>
    <w:rsid w:val="00FE3AE6"/>
    <w:rsid w:val="00FE4BFB"/>
    <w:rsid w:val="00FE515A"/>
    <w:rsid w:val="00FE5BFF"/>
    <w:rsid w:val="00FF0C46"/>
    <w:rsid w:val="00FF2AA5"/>
    <w:rsid w:val="00FF62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F3A3D"/>
  <w15:chartTrackingRefBased/>
  <w15:docId w15:val="{4FD83964-422B-435F-AFAF-F023554E2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5B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1E51F5"/>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1E51F5"/>
  </w:style>
  <w:style w:type="paragraph" w:styleId="Header">
    <w:name w:val="header"/>
    <w:basedOn w:val="Normal"/>
    <w:link w:val="HeaderChar"/>
    <w:uiPriority w:val="99"/>
    <w:semiHidden/>
    <w:unhideWhenUsed/>
    <w:rsid w:val="001E51F5"/>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E51F5"/>
  </w:style>
  <w:style w:type="character" w:styleId="PageNumber">
    <w:name w:val="page number"/>
    <w:basedOn w:val="DefaultParagraphFont"/>
    <w:rsid w:val="001E51F5"/>
  </w:style>
  <w:style w:type="character" w:styleId="CommentReference">
    <w:name w:val="annotation reference"/>
    <w:basedOn w:val="DefaultParagraphFont"/>
    <w:uiPriority w:val="99"/>
    <w:semiHidden/>
    <w:unhideWhenUsed/>
    <w:rsid w:val="004A67CB"/>
    <w:rPr>
      <w:sz w:val="16"/>
      <w:szCs w:val="16"/>
    </w:rPr>
  </w:style>
  <w:style w:type="paragraph" w:styleId="CommentText">
    <w:name w:val="annotation text"/>
    <w:basedOn w:val="Normal"/>
    <w:link w:val="CommentTextChar"/>
    <w:uiPriority w:val="99"/>
    <w:unhideWhenUsed/>
    <w:rsid w:val="004A67CB"/>
    <w:pPr>
      <w:spacing w:line="240" w:lineRule="auto"/>
    </w:pPr>
    <w:rPr>
      <w:sz w:val="20"/>
      <w:szCs w:val="20"/>
    </w:rPr>
  </w:style>
  <w:style w:type="character" w:customStyle="1" w:styleId="CommentTextChar">
    <w:name w:val="Comment Text Char"/>
    <w:basedOn w:val="DefaultParagraphFont"/>
    <w:link w:val="CommentText"/>
    <w:uiPriority w:val="99"/>
    <w:rsid w:val="004A67CB"/>
    <w:rPr>
      <w:sz w:val="20"/>
      <w:szCs w:val="20"/>
    </w:rPr>
  </w:style>
  <w:style w:type="paragraph" w:styleId="CommentSubject">
    <w:name w:val="annotation subject"/>
    <w:basedOn w:val="CommentText"/>
    <w:next w:val="CommentText"/>
    <w:link w:val="CommentSubjectChar"/>
    <w:uiPriority w:val="99"/>
    <w:semiHidden/>
    <w:unhideWhenUsed/>
    <w:rsid w:val="004A67CB"/>
    <w:rPr>
      <w:b/>
      <w:bCs/>
    </w:rPr>
  </w:style>
  <w:style w:type="character" w:customStyle="1" w:styleId="CommentSubjectChar">
    <w:name w:val="Comment Subject Char"/>
    <w:basedOn w:val="CommentTextChar"/>
    <w:link w:val="CommentSubject"/>
    <w:uiPriority w:val="99"/>
    <w:semiHidden/>
    <w:rsid w:val="004A67CB"/>
    <w:rPr>
      <w:b/>
      <w:bCs/>
      <w:sz w:val="20"/>
      <w:szCs w:val="20"/>
    </w:rPr>
  </w:style>
  <w:style w:type="paragraph" w:styleId="BalloonText">
    <w:name w:val="Balloon Text"/>
    <w:basedOn w:val="Normal"/>
    <w:link w:val="BalloonTextChar"/>
    <w:uiPriority w:val="99"/>
    <w:semiHidden/>
    <w:unhideWhenUsed/>
    <w:rsid w:val="004A67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67CB"/>
    <w:rPr>
      <w:rFonts w:ascii="Segoe UI" w:hAnsi="Segoe UI" w:cs="Segoe UI"/>
      <w:sz w:val="18"/>
      <w:szCs w:val="18"/>
    </w:rPr>
  </w:style>
  <w:style w:type="paragraph" w:styleId="Revision">
    <w:name w:val="Revision"/>
    <w:hidden/>
    <w:uiPriority w:val="99"/>
    <w:semiHidden/>
    <w:rsid w:val="00374344"/>
    <w:pPr>
      <w:spacing w:after="0" w:line="240" w:lineRule="auto"/>
    </w:pPr>
  </w:style>
  <w:style w:type="character" w:styleId="Hyperlink">
    <w:name w:val="Hyperlink"/>
    <w:basedOn w:val="DefaultParagraphFont"/>
    <w:uiPriority w:val="99"/>
    <w:unhideWhenUsed/>
    <w:rsid w:val="00E47491"/>
    <w:rPr>
      <w:color w:val="0563C1" w:themeColor="hyperlink"/>
      <w:u w:val="single"/>
    </w:rPr>
  </w:style>
  <w:style w:type="paragraph" w:styleId="ListParagraph">
    <w:name w:val="List Paragraph"/>
    <w:aliases w:val="Bullet point,List Paragraph1,List Paragraph11,Recommendation,Bullet 1,CV text,Dot pt,F5 List Paragraph,Indicator Text,L,List Paragraph Char Char Char,List Paragraph111,List Paragraph2,MAIN CONTENT,Normal numbered,Numbered Para 1,Body text"/>
    <w:basedOn w:val="Normal"/>
    <w:link w:val="ListParagraphChar"/>
    <w:uiPriority w:val="34"/>
    <w:qFormat/>
    <w:rsid w:val="00D23E9C"/>
    <w:pPr>
      <w:ind w:left="720"/>
      <w:contextualSpacing/>
    </w:pPr>
  </w:style>
  <w:style w:type="paragraph" w:customStyle="1" w:styleId="paragraph">
    <w:name w:val="paragraph"/>
    <w:basedOn w:val="Normal"/>
    <w:rsid w:val="00DB4162"/>
    <w:pPr>
      <w:spacing w:before="100" w:beforeAutospacing="1" w:after="100" w:afterAutospacing="1" w:line="240" w:lineRule="auto"/>
    </w:pPr>
    <w:rPr>
      <w:rFonts w:eastAsia="Times New Roman"/>
      <w:lang w:eastAsia="en-AU"/>
    </w:rPr>
  </w:style>
  <w:style w:type="character" w:styleId="UnresolvedMention">
    <w:name w:val="Unresolved Mention"/>
    <w:basedOn w:val="DefaultParagraphFont"/>
    <w:uiPriority w:val="99"/>
    <w:semiHidden/>
    <w:unhideWhenUsed/>
    <w:rsid w:val="003D10AA"/>
    <w:rPr>
      <w:color w:val="605E5C"/>
      <w:shd w:val="clear" w:color="auto" w:fill="E1DFDD"/>
    </w:rPr>
  </w:style>
  <w:style w:type="character" w:customStyle="1" w:styleId="ListParagraphChar">
    <w:name w:val="List Paragraph Char"/>
    <w:aliases w:val="Bullet point Char,List Paragraph1 Char,List Paragraph11 Char,Recommendation Char,Bullet 1 Char,CV text Char,Dot pt Char,F5 List Paragraph Char,Indicator Text Char,L Char,List Paragraph Char Char Char Char,List Paragraph111 Char"/>
    <w:link w:val="ListParagraph"/>
    <w:uiPriority w:val="34"/>
    <w:qFormat/>
    <w:locked/>
    <w:rsid w:val="00BA31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823897">
      <w:bodyDiv w:val="1"/>
      <w:marLeft w:val="0"/>
      <w:marRight w:val="0"/>
      <w:marTop w:val="0"/>
      <w:marBottom w:val="0"/>
      <w:divBdr>
        <w:top w:val="none" w:sz="0" w:space="0" w:color="auto"/>
        <w:left w:val="none" w:sz="0" w:space="0" w:color="auto"/>
        <w:bottom w:val="none" w:sz="0" w:space="0" w:color="auto"/>
        <w:right w:val="none" w:sz="0" w:space="0" w:color="auto"/>
      </w:divBdr>
      <w:divsChild>
        <w:div w:id="966395892">
          <w:marLeft w:val="0"/>
          <w:marRight w:val="0"/>
          <w:marTop w:val="0"/>
          <w:marBottom w:val="0"/>
          <w:divBdr>
            <w:top w:val="none" w:sz="0" w:space="0" w:color="auto"/>
            <w:left w:val="none" w:sz="0" w:space="0" w:color="auto"/>
            <w:bottom w:val="none" w:sz="0" w:space="0" w:color="auto"/>
            <w:right w:val="none" w:sz="0" w:space="0" w:color="auto"/>
          </w:divBdr>
          <w:divsChild>
            <w:div w:id="17825870">
              <w:marLeft w:val="0"/>
              <w:marRight w:val="0"/>
              <w:marTop w:val="0"/>
              <w:marBottom w:val="0"/>
              <w:divBdr>
                <w:top w:val="none" w:sz="0" w:space="0" w:color="auto"/>
                <w:left w:val="none" w:sz="0" w:space="0" w:color="auto"/>
                <w:bottom w:val="none" w:sz="0" w:space="0" w:color="auto"/>
                <w:right w:val="none" w:sz="0" w:space="0" w:color="auto"/>
              </w:divBdr>
              <w:divsChild>
                <w:div w:id="1688561735">
                  <w:marLeft w:val="0"/>
                  <w:marRight w:val="0"/>
                  <w:marTop w:val="0"/>
                  <w:marBottom w:val="0"/>
                  <w:divBdr>
                    <w:top w:val="none" w:sz="0" w:space="0" w:color="auto"/>
                    <w:left w:val="none" w:sz="0" w:space="0" w:color="auto"/>
                    <w:bottom w:val="none" w:sz="0" w:space="0" w:color="auto"/>
                    <w:right w:val="none" w:sz="0" w:space="0" w:color="auto"/>
                  </w:divBdr>
                  <w:divsChild>
                    <w:div w:id="718163439">
                      <w:marLeft w:val="0"/>
                      <w:marRight w:val="0"/>
                      <w:marTop w:val="0"/>
                      <w:marBottom w:val="0"/>
                      <w:divBdr>
                        <w:top w:val="none" w:sz="0" w:space="0" w:color="auto"/>
                        <w:left w:val="none" w:sz="0" w:space="0" w:color="auto"/>
                        <w:bottom w:val="none" w:sz="0" w:space="0" w:color="auto"/>
                        <w:right w:val="none" w:sz="0" w:space="0" w:color="auto"/>
                      </w:divBdr>
                      <w:divsChild>
                        <w:div w:id="1622223953">
                          <w:marLeft w:val="0"/>
                          <w:marRight w:val="0"/>
                          <w:marTop w:val="0"/>
                          <w:marBottom w:val="0"/>
                          <w:divBdr>
                            <w:top w:val="none" w:sz="0" w:space="0" w:color="auto"/>
                            <w:left w:val="none" w:sz="0" w:space="0" w:color="auto"/>
                            <w:bottom w:val="none" w:sz="0" w:space="0" w:color="auto"/>
                            <w:right w:val="none" w:sz="0" w:space="0" w:color="auto"/>
                          </w:divBdr>
                          <w:divsChild>
                            <w:div w:id="1301612243">
                              <w:marLeft w:val="0"/>
                              <w:marRight w:val="0"/>
                              <w:marTop w:val="0"/>
                              <w:marBottom w:val="0"/>
                              <w:divBdr>
                                <w:top w:val="none" w:sz="0" w:space="0" w:color="auto"/>
                                <w:left w:val="none" w:sz="0" w:space="0" w:color="auto"/>
                                <w:bottom w:val="none" w:sz="0" w:space="0" w:color="auto"/>
                                <w:right w:val="none" w:sz="0" w:space="0" w:color="auto"/>
                              </w:divBdr>
                              <w:divsChild>
                                <w:div w:id="1844202560">
                                  <w:marLeft w:val="0"/>
                                  <w:marRight w:val="0"/>
                                  <w:marTop w:val="0"/>
                                  <w:marBottom w:val="0"/>
                                  <w:divBdr>
                                    <w:top w:val="none" w:sz="0" w:space="0" w:color="auto"/>
                                    <w:left w:val="none" w:sz="0" w:space="0" w:color="auto"/>
                                    <w:bottom w:val="none" w:sz="0" w:space="0" w:color="auto"/>
                                    <w:right w:val="none" w:sz="0" w:space="0" w:color="auto"/>
                                  </w:divBdr>
                                  <w:divsChild>
                                    <w:div w:id="218980758">
                                      <w:marLeft w:val="0"/>
                                      <w:marRight w:val="0"/>
                                      <w:marTop w:val="0"/>
                                      <w:marBottom w:val="0"/>
                                      <w:divBdr>
                                        <w:top w:val="none" w:sz="0" w:space="0" w:color="auto"/>
                                        <w:left w:val="none" w:sz="0" w:space="0" w:color="auto"/>
                                        <w:bottom w:val="none" w:sz="0" w:space="0" w:color="auto"/>
                                        <w:right w:val="none" w:sz="0" w:space="0" w:color="auto"/>
                                      </w:divBdr>
                                      <w:divsChild>
                                        <w:div w:id="1223635618">
                                          <w:marLeft w:val="0"/>
                                          <w:marRight w:val="0"/>
                                          <w:marTop w:val="0"/>
                                          <w:marBottom w:val="0"/>
                                          <w:divBdr>
                                            <w:top w:val="none" w:sz="0" w:space="0" w:color="auto"/>
                                            <w:left w:val="none" w:sz="0" w:space="0" w:color="auto"/>
                                            <w:bottom w:val="none" w:sz="0" w:space="0" w:color="auto"/>
                                            <w:right w:val="none" w:sz="0" w:space="0" w:color="auto"/>
                                          </w:divBdr>
                                          <w:divsChild>
                                            <w:div w:id="383454000">
                                              <w:marLeft w:val="0"/>
                                              <w:marRight w:val="0"/>
                                              <w:marTop w:val="0"/>
                                              <w:marBottom w:val="0"/>
                                              <w:divBdr>
                                                <w:top w:val="none" w:sz="0" w:space="0" w:color="auto"/>
                                                <w:left w:val="none" w:sz="0" w:space="0" w:color="auto"/>
                                                <w:bottom w:val="none" w:sz="0" w:space="0" w:color="auto"/>
                                                <w:right w:val="none" w:sz="0" w:space="0" w:color="auto"/>
                                              </w:divBdr>
                                              <w:divsChild>
                                                <w:div w:id="1419332037">
                                                  <w:marLeft w:val="0"/>
                                                  <w:marRight w:val="0"/>
                                                  <w:marTop w:val="0"/>
                                                  <w:marBottom w:val="0"/>
                                                  <w:divBdr>
                                                    <w:top w:val="none" w:sz="0" w:space="0" w:color="auto"/>
                                                    <w:left w:val="none" w:sz="0" w:space="0" w:color="auto"/>
                                                    <w:bottom w:val="none" w:sz="0" w:space="0" w:color="auto"/>
                                                    <w:right w:val="none" w:sz="0" w:space="0" w:color="auto"/>
                                                  </w:divBdr>
                                                  <w:divsChild>
                                                    <w:div w:id="1594707615">
                                                      <w:marLeft w:val="0"/>
                                                      <w:marRight w:val="0"/>
                                                      <w:marTop w:val="0"/>
                                                      <w:marBottom w:val="0"/>
                                                      <w:divBdr>
                                                        <w:top w:val="none" w:sz="0" w:space="0" w:color="auto"/>
                                                        <w:left w:val="none" w:sz="0" w:space="0" w:color="auto"/>
                                                        <w:bottom w:val="none" w:sz="0" w:space="0" w:color="auto"/>
                                                        <w:right w:val="none" w:sz="0" w:space="0" w:color="auto"/>
                                                      </w:divBdr>
                                                      <w:divsChild>
                                                        <w:div w:id="117573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83086815">
      <w:bodyDiv w:val="1"/>
      <w:marLeft w:val="0"/>
      <w:marRight w:val="0"/>
      <w:marTop w:val="0"/>
      <w:marBottom w:val="0"/>
      <w:divBdr>
        <w:top w:val="none" w:sz="0" w:space="0" w:color="auto"/>
        <w:left w:val="none" w:sz="0" w:space="0" w:color="auto"/>
        <w:bottom w:val="none" w:sz="0" w:space="0" w:color="auto"/>
        <w:right w:val="none" w:sz="0" w:space="0" w:color="auto"/>
      </w:divBdr>
      <w:divsChild>
        <w:div w:id="1231650202">
          <w:marLeft w:val="0"/>
          <w:marRight w:val="0"/>
          <w:marTop w:val="0"/>
          <w:marBottom w:val="0"/>
          <w:divBdr>
            <w:top w:val="none" w:sz="0" w:space="0" w:color="auto"/>
            <w:left w:val="none" w:sz="0" w:space="0" w:color="auto"/>
            <w:bottom w:val="none" w:sz="0" w:space="0" w:color="auto"/>
            <w:right w:val="none" w:sz="0" w:space="0" w:color="auto"/>
          </w:divBdr>
          <w:divsChild>
            <w:div w:id="1901019659">
              <w:marLeft w:val="0"/>
              <w:marRight w:val="0"/>
              <w:marTop w:val="0"/>
              <w:marBottom w:val="0"/>
              <w:divBdr>
                <w:top w:val="none" w:sz="0" w:space="0" w:color="auto"/>
                <w:left w:val="none" w:sz="0" w:space="0" w:color="auto"/>
                <w:bottom w:val="none" w:sz="0" w:space="0" w:color="auto"/>
                <w:right w:val="none" w:sz="0" w:space="0" w:color="auto"/>
              </w:divBdr>
              <w:divsChild>
                <w:div w:id="2007974553">
                  <w:marLeft w:val="0"/>
                  <w:marRight w:val="0"/>
                  <w:marTop w:val="0"/>
                  <w:marBottom w:val="0"/>
                  <w:divBdr>
                    <w:top w:val="none" w:sz="0" w:space="0" w:color="auto"/>
                    <w:left w:val="none" w:sz="0" w:space="0" w:color="auto"/>
                    <w:bottom w:val="none" w:sz="0" w:space="0" w:color="auto"/>
                    <w:right w:val="none" w:sz="0" w:space="0" w:color="auto"/>
                  </w:divBdr>
                  <w:divsChild>
                    <w:div w:id="923490934">
                      <w:marLeft w:val="0"/>
                      <w:marRight w:val="0"/>
                      <w:marTop w:val="0"/>
                      <w:marBottom w:val="0"/>
                      <w:divBdr>
                        <w:top w:val="none" w:sz="0" w:space="0" w:color="auto"/>
                        <w:left w:val="none" w:sz="0" w:space="0" w:color="auto"/>
                        <w:bottom w:val="none" w:sz="0" w:space="0" w:color="auto"/>
                        <w:right w:val="none" w:sz="0" w:space="0" w:color="auto"/>
                      </w:divBdr>
                      <w:divsChild>
                        <w:div w:id="2019189615">
                          <w:marLeft w:val="0"/>
                          <w:marRight w:val="0"/>
                          <w:marTop w:val="0"/>
                          <w:marBottom w:val="0"/>
                          <w:divBdr>
                            <w:top w:val="none" w:sz="0" w:space="0" w:color="auto"/>
                            <w:left w:val="none" w:sz="0" w:space="0" w:color="auto"/>
                            <w:bottom w:val="none" w:sz="0" w:space="0" w:color="auto"/>
                            <w:right w:val="none" w:sz="0" w:space="0" w:color="auto"/>
                          </w:divBdr>
                          <w:divsChild>
                            <w:div w:id="351076635">
                              <w:marLeft w:val="0"/>
                              <w:marRight w:val="0"/>
                              <w:marTop w:val="0"/>
                              <w:marBottom w:val="0"/>
                              <w:divBdr>
                                <w:top w:val="none" w:sz="0" w:space="0" w:color="auto"/>
                                <w:left w:val="none" w:sz="0" w:space="0" w:color="auto"/>
                                <w:bottom w:val="none" w:sz="0" w:space="0" w:color="auto"/>
                                <w:right w:val="none" w:sz="0" w:space="0" w:color="auto"/>
                              </w:divBdr>
                              <w:divsChild>
                                <w:div w:id="282347465">
                                  <w:marLeft w:val="0"/>
                                  <w:marRight w:val="0"/>
                                  <w:marTop w:val="0"/>
                                  <w:marBottom w:val="0"/>
                                  <w:divBdr>
                                    <w:top w:val="none" w:sz="0" w:space="0" w:color="auto"/>
                                    <w:left w:val="none" w:sz="0" w:space="0" w:color="auto"/>
                                    <w:bottom w:val="none" w:sz="0" w:space="0" w:color="auto"/>
                                    <w:right w:val="none" w:sz="0" w:space="0" w:color="auto"/>
                                  </w:divBdr>
                                  <w:divsChild>
                                    <w:div w:id="759832188">
                                      <w:marLeft w:val="0"/>
                                      <w:marRight w:val="0"/>
                                      <w:marTop w:val="0"/>
                                      <w:marBottom w:val="0"/>
                                      <w:divBdr>
                                        <w:top w:val="none" w:sz="0" w:space="0" w:color="auto"/>
                                        <w:left w:val="none" w:sz="0" w:space="0" w:color="auto"/>
                                        <w:bottom w:val="none" w:sz="0" w:space="0" w:color="auto"/>
                                        <w:right w:val="none" w:sz="0" w:space="0" w:color="auto"/>
                                      </w:divBdr>
                                      <w:divsChild>
                                        <w:div w:id="610359643">
                                          <w:marLeft w:val="0"/>
                                          <w:marRight w:val="0"/>
                                          <w:marTop w:val="0"/>
                                          <w:marBottom w:val="0"/>
                                          <w:divBdr>
                                            <w:top w:val="none" w:sz="0" w:space="0" w:color="auto"/>
                                            <w:left w:val="none" w:sz="0" w:space="0" w:color="auto"/>
                                            <w:bottom w:val="none" w:sz="0" w:space="0" w:color="auto"/>
                                            <w:right w:val="none" w:sz="0" w:space="0" w:color="auto"/>
                                          </w:divBdr>
                                          <w:divsChild>
                                            <w:div w:id="1890411281">
                                              <w:marLeft w:val="0"/>
                                              <w:marRight w:val="0"/>
                                              <w:marTop w:val="0"/>
                                              <w:marBottom w:val="0"/>
                                              <w:divBdr>
                                                <w:top w:val="none" w:sz="0" w:space="0" w:color="auto"/>
                                                <w:left w:val="none" w:sz="0" w:space="0" w:color="auto"/>
                                                <w:bottom w:val="none" w:sz="0" w:space="0" w:color="auto"/>
                                                <w:right w:val="none" w:sz="0" w:space="0" w:color="auto"/>
                                              </w:divBdr>
                                              <w:divsChild>
                                                <w:div w:id="684094842">
                                                  <w:marLeft w:val="0"/>
                                                  <w:marRight w:val="0"/>
                                                  <w:marTop w:val="0"/>
                                                  <w:marBottom w:val="0"/>
                                                  <w:divBdr>
                                                    <w:top w:val="none" w:sz="0" w:space="0" w:color="auto"/>
                                                    <w:left w:val="none" w:sz="0" w:space="0" w:color="auto"/>
                                                    <w:bottom w:val="none" w:sz="0" w:space="0" w:color="auto"/>
                                                    <w:right w:val="none" w:sz="0" w:space="0" w:color="auto"/>
                                                  </w:divBdr>
                                                  <w:divsChild>
                                                    <w:div w:id="1649631373">
                                                      <w:marLeft w:val="0"/>
                                                      <w:marRight w:val="0"/>
                                                      <w:marTop w:val="0"/>
                                                      <w:marBottom w:val="0"/>
                                                      <w:divBdr>
                                                        <w:top w:val="none" w:sz="0" w:space="0" w:color="auto"/>
                                                        <w:left w:val="none" w:sz="0" w:space="0" w:color="auto"/>
                                                        <w:bottom w:val="none" w:sz="0" w:space="0" w:color="auto"/>
                                                        <w:right w:val="none" w:sz="0" w:space="0" w:color="auto"/>
                                                      </w:divBdr>
                                                      <w:divsChild>
                                                        <w:div w:id="147332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48755271">
      <w:bodyDiv w:val="1"/>
      <w:marLeft w:val="0"/>
      <w:marRight w:val="0"/>
      <w:marTop w:val="0"/>
      <w:marBottom w:val="0"/>
      <w:divBdr>
        <w:top w:val="none" w:sz="0" w:space="0" w:color="auto"/>
        <w:left w:val="none" w:sz="0" w:space="0" w:color="auto"/>
        <w:bottom w:val="none" w:sz="0" w:space="0" w:color="auto"/>
        <w:right w:val="none" w:sz="0" w:space="0" w:color="auto"/>
      </w:divBdr>
    </w:div>
    <w:div w:id="910888794">
      <w:bodyDiv w:val="1"/>
      <w:marLeft w:val="0"/>
      <w:marRight w:val="0"/>
      <w:marTop w:val="0"/>
      <w:marBottom w:val="0"/>
      <w:divBdr>
        <w:top w:val="none" w:sz="0" w:space="0" w:color="auto"/>
        <w:left w:val="none" w:sz="0" w:space="0" w:color="auto"/>
        <w:bottom w:val="none" w:sz="0" w:space="0" w:color="auto"/>
        <w:right w:val="none" w:sz="0" w:space="0" w:color="auto"/>
      </w:divBdr>
    </w:div>
    <w:div w:id="1049187850">
      <w:bodyDiv w:val="1"/>
      <w:marLeft w:val="0"/>
      <w:marRight w:val="0"/>
      <w:marTop w:val="0"/>
      <w:marBottom w:val="0"/>
      <w:divBdr>
        <w:top w:val="none" w:sz="0" w:space="0" w:color="auto"/>
        <w:left w:val="none" w:sz="0" w:space="0" w:color="auto"/>
        <w:bottom w:val="none" w:sz="0" w:space="0" w:color="auto"/>
        <w:right w:val="none" w:sz="0" w:space="0" w:color="auto"/>
      </w:divBdr>
      <w:divsChild>
        <w:div w:id="1738555648">
          <w:marLeft w:val="0"/>
          <w:marRight w:val="0"/>
          <w:marTop w:val="0"/>
          <w:marBottom w:val="0"/>
          <w:divBdr>
            <w:top w:val="none" w:sz="0" w:space="0" w:color="auto"/>
            <w:left w:val="none" w:sz="0" w:space="0" w:color="auto"/>
            <w:bottom w:val="none" w:sz="0" w:space="0" w:color="auto"/>
            <w:right w:val="none" w:sz="0" w:space="0" w:color="auto"/>
          </w:divBdr>
          <w:divsChild>
            <w:div w:id="331418327">
              <w:marLeft w:val="0"/>
              <w:marRight w:val="0"/>
              <w:marTop w:val="0"/>
              <w:marBottom w:val="0"/>
              <w:divBdr>
                <w:top w:val="none" w:sz="0" w:space="0" w:color="auto"/>
                <w:left w:val="none" w:sz="0" w:space="0" w:color="auto"/>
                <w:bottom w:val="none" w:sz="0" w:space="0" w:color="auto"/>
                <w:right w:val="none" w:sz="0" w:space="0" w:color="auto"/>
              </w:divBdr>
              <w:divsChild>
                <w:div w:id="61216256">
                  <w:marLeft w:val="0"/>
                  <w:marRight w:val="0"/>
                  <w:marTop w:val="0"/>
                  <w:marBottom w:val="0"/>
                  <w:divBdr>
                    <w:top w:val="none" w:sz="0" w:space="0" w:color="auto"/>
                    <w:left w:val="none" w:sz="0" w:space="0" w:color="auto"/>
                    <w:bottom w:val="none" w:sz="0" w:space="0" w:color="auto"/>
                    <w:right w:val="none" w:sz="0" w:space="0" w:color="auto"/>
                  </w:divBdr>
                  <w:divsChild>
                    <w:div w:id="2052420272">
                      <w:marLeft w:val="0"/>
                      <w:marRight w:val="0"/>
                      <w:marTop w:val="0"/>
                      <w:marBottom w:val="0"/>
                      <w:divBdr>
                        <w:top w:val="none" w:sz="0" w:space="0" w:color="auto"/>
                        <w:left w:val="none" w:sz="0" w:space="0" w:color="auto"/>
                        <w:bottom w:val="none" w:sz="0" w:space="0" w:color="auto"/>
                        <w:right w:val="none" w:sz="0" w:space="0" w:color="auto"/>
                      </w:divBdr>
                      <w:divsChild>
                        <w:div w:id="1288004882">
                          <w:marLeft w:val="0"/>
                          <w:marRight w:val="0"/>
                          <w:marTop w:val="0"/>
                          <w:marBottom w:val="0"/>
                          <w:divBdr>
                            <w:top w:val="none" w:sz="0" w:space="0" w:color="auto"/>
                            <w:left w:val="none" w:sz="0" w:space="0" w:color="auto"/>
                            <w:bottom w:val="none" w:sz="0" w:space="0" w:color="auto"/>
                            <w:right w:val="none" w:sz="0" w:space="0" w:color="auto"/>
                          </w:divBdr>
                          <w:divsChild>
                            <w:div w:id="471866879">
                              <w:marLeft w:val="0"/>
                              <w:marRight w:val="0"/>
                              <w:marTop w:val="0"/>
                              <w:marBottom w:val="0"/>
                              <w:divBdr>
                                <w:top w:val="none" w:sz="0" w:space="0" w:color="auto"/>
                                <w:left w:val="none" w:sz="0" w:space="0" w:color="auto"/>
                                <w:bottom w:val="none" w:sz="0" w:space="0" w:color="auto"/>
                                <w:right w:val="none" w:sz="0" w:space="0" w:color="auto"/>
                              </w:divBdr>
                              <w:divsChild>
                                <w:div w:id="1262033058">
                                  <w:marLeft w:val="0"/>
                                  <w:marRight w:val="0"/>
                                  <w:marTop w:val="0"/>
                                  <w:marBottom w:val="0"/>
                                  <w:divBdr>
                                    <w:top w:val="none" w:sz="0" w:space="0" w:color="auto"/>
                                    <w:left w:val="none" w:sz="0" w:space="0" w:color="auto"/>
                                    <w:bottom w:val="none" w:sz="0" w:space="0" w:color="auto"/>
                                    <w:right w:val="none" w:sz="0" w:space="0" w:color="auto"/>
                                  </w:divBdr>
                                  <w:divsChild>
                                    <w:div w:id="716470706">
                                      <w:marLeft w:val="0"/>
                                      <w:marRight w:val="0"/>
                                      <w:marTop w:val="0"/>
                                      <w:marBottom w:val="0"/>
                                      <w:divBdr>
                                        <w:top w:val="none" w:sz="0" w:space="0" w:color="auto"/>
                                        <w:left w:val="none" w:sz="0" w:space="0" w:color="auto"/>
                                        <w:bottom w:val="none" w:sz="0" w:space="0" w:color="auto"/>
                                        <w:right w:val="none" w:sz="0" w:space="0" w:color="auto"/>
                                      </w:divBdr>
                                      <w:divsChild>
                                        <w:div w:id="1302036023">
                                          <w:marLeft w:val="0"/>
                                          <w:marRight w:val="0"/>
                                          <w:marTop w:val="0"/>
                                          <w:marBottom w:val="0"/>
                                          <w:divBdr>
                                            <w:top w:val="none" w:sz="0" w:space="0" w:color="auto"/>
                                            <w:left w:val="none" w:sz="0" w:space="0" w:color="auto"/>
                                            <w:bottom w:val="none" w:sz="0" w:space="0" w:color="auto"/>
                                            <w:right w:val="none" w:sz="0" w:space="0" w:color="auto"/>
                                          </w:divBdr>
                                          <w:divsChild>
                                            <w:div w:id="1515992173">
                                              <w:marLeft w:val="0"/>
                                              <w:marRight w:val="0"/>
                                              <w:marTop w:val="0"/>
                                              <w:marBottom w:val="0"/>
                                              <w:divBdr>
                                                <w:top w:val="none" w:sz="0" w:space="0" w:color="auto"/>
                                                <w:left w:val="none" w:sz="0" w:space="0" w:color="auto"/>
                                                <w:bottom w:val="none" w:sz="0" w:space="0" w:color="auto"/>
                                                <w:right w:val="none" w:sz="0" w:space="0" w:color="auto"/>
                                              </w:divBdr>
                                              <w:divsChild>
                                                <w:div w:id="407264872">
                                                  <w:marLeft w:val="0"/>
                                                  <w:marRight w:val="0"/>
                                                  <w:marTop w:val="0"/>
                                                  <w:marBottom w:val="0"/>
                                                  <w:divBdr>
                                                    <w:top w:val="none" w:sz="0" w:space="0" w:color="auto"/>
                                                    <w:left w:val="none" w:sz="0" w:space="0" w:color="auto"/>
                                                    <w:bottom w:val="none" w:sz="0" w:space="0" w:color="auto"/>
                                                    <w:right w:val="none" w:sz="0" w:space="0" w:color="auto"/>
                                                  </w:divBdr>
                                                  <w:divsChild>
                                                    <w:div w:id="1856797175">
                                                      <w:marLeft w:val="0"/>
                                                      <w:marRight w:val="0"/>
                                                      <w:marTop w:val="0"/>
                                                      <w:marBottom w:val="0"/>
                                                      <w:divBdr>
                                                        <w:top w:val="none" w:sz="0" w:space="0" w:color="auto"/>
                                                        <w:left w:val="none" w:sz="0" w:space="0" w:color="auto"/>
                                                        <w:bottom w:val="none" w:sz="0" w:space="0" w:color="auto"/>
                                                        <w:right w:val="none" w:sz="0" w:space="0" w:color="auto"/>
                                                      </w:divBdr>
                                                      <w:divsChild>
                                                        <w:div w:id="8258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57329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88152F-97AC-42D4-A7FB-6A6C43291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5806</Words>
  <Characters>33099</Characters>
  <Application>Microsoft Office Word</Application>
  <DocSecurity>4</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Department of Health</Company>
  <LinksUpToDate>false</LinksUpToDate>
  <CharactersWithSpaces>38828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Edlington, Mandy</dc:creator>
  <cp:keywords/>
  <dc:description/>
  <cp:lastModifiedBy>NEWMAN, Trent</cp:lastModifiedBy>
  <cp:revision>2</cp:revision>
  <cp:lastPrinted>2021-07-29T04:32:00Z</cp:lastPrinted>
  <dcterms:created xsi:type="dcterms:W3CDTF">2024-06-21T03:14:00Z</dcterms:created>
  <dcterms:modified xsi:type="dcterms:W3CDTF">2024-06-21T03:14:00Z</dcterms:modified>
</cp:coreProperties>
</file>