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6FBB4" w14:textId="77777777" w:rsidR="0048364F" w:rsidRPr="00905305" w:rsidRDefault="00193461" w:rsidP="0020300C">
      <w:pPr>
        <w:rPr>
          <w:sz w:val="28"/>
        </w:rPr>
      </w:pPr>
      <w:r w:rsidRPr="00905305">
        <w:rPr>
          <w:noProof/>
          <w:lang w:eastAsia="en-AU"/>
        </w:rPr>
        <w:drawing>
          <wp:inline distT="0" distB="0" distL="0" distR="0" wp14:anchorId="1C833C45" wp14:editId="1EA0EC4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CB2D593" w14:textId="77777777" w:rsidR="0048364F" w:rsidRPr="00905305" w:rsidRDefault="0048364F" w:rsidP="0048364F">
      <w:pPr>
        <w:rPr>
          <w:sz w:val="19"/>
        </w:rPr>
      </w:pPr>
    </w:p>
    <w:p w14:paraId="33B8302F" w14:textId="77777777" w:rsidR="0048364F" w:rsidRPr="00905305" w:rsidRDefault="00052A9D" w:rsidP="00052A9D">
      <w:pPr>
        <w:pStyle w:val="ShortT"/>
      </w:pPr>
      <w:r w:rsidRPr="00905305">
        <w:t xml:space="preserve">Therapeutic Goods Legislation Amendment (2024 Measures No. </w:t>
      </w:r>
      <w:r w:rsidR="00CB5237" w:rsidRPr="00905305">
        <w:t>2</w:t>
      </w:r>
      <w:r w:rsidRPr="00905305">
        <w:t xml:space="preserve">) </w:t>
      </w:r>
      <w:r w:rsidR="007E6F68" w:rsidRPr="00905305">
        <w:t>Regulations 2</w:t>
      </w:r>
      <w:r w:rsidRPr="00905305">
        <w:t>024</w:t>
      </w:r>
    </w:p>
    <w:p w14:paraId="3C1D555D" w14:textId="77777777" w:rsidR="00052A9D" w:rsidRPr="00905305" w:rsidRDefault="00052A9D" w:rsidP="00052A9D">
      <w:pPr>
        <w:pStyle w:val="SignCoverPageStart"/>
        <w:spacing w:before="240"/>
        <w:rPr>
          <w:szCs w:val="22"/>
        </w:rPr>
      </w:pPr>
      <w:r w:rsidRPr="00905305">
        <w:rPr>
          <w:szCs w:val="22"/>
        </w:rPr>
        <w:t>I, General the Honourable David Hurley AC DSC (Retd), Governor</w:t>
      </w:r>
      <w:r w:rsidR="007641D7" w:rsidRPr="00905305">
        <w:rPr>
          <w:szCs w:val="22"/>
        </w:rPr>
        <w:noBreakHyphen/>
      </w:r>
      <w:r w:rsidRPr="00905305">
        <w:rPr>
          <w:szCs w:val="22"/>
        </w:rPr>
        <w:t>General of the Commonwealth of Australia, acting with the advice of the Federal Executive Council, make the following regulations.</w:t>
      </w:r>
    </w:p>
    <w:p w14:paraId="4C60A5E7" w14:textId="00D4E1A8" w:rsidR="00052A9D" w:rsidRPr="00905305" w:rsidRDefault="00052A9D" w:rsidP="00052A9D">
      <w:pPr>
        <w:keepNext/>
        <w:spacing w:before="720" w:line="240" w:lineRule="atLeast"/>
        <w:ind w:right="397"/>
        <w:jc w:val="both"/>
        <w:rPr>
          <w:szCs w:val="22"/>
        </w:rPr>
      </w:pPr>
      <w:r w:rsidRPr="00905305">
        <w:rPr>
          <w:szCs w:val="22"/>
        </w:rPr>
        <w:t xml:space="preserve">Dated </w:t>
      </w:r>
      <w:r w:rsidR="00EC3E0A" w:rsidRPr="00905305">
        <w:rPr>
          <w:szCs w:val="22"/>
        </w:rPr>
        <w:t xml:space="preserve">12 June </w:t>
      </w:r>
      <w:r w:rsidRPr="00905305">
        <w:rPr>
          <w:szCs w:val="22"/>
        </w:rPr>
        <w:fldChar w:fldCharType="begin"/>
      </w:r>
      <w:r w:rsidRPr="00905305">
        <w:rPr>
          <w:szCs w:val="22"/>
        </w:rPr>
        <w:instrText xml:space="preserve"> DOCPROPERTY  DateMade </w:instrText>
      </w:r>
      <w:r w:rsidRPr="00905305">
        <w:rPr>
          <w:szCs w:val="22"/>
        </w:rPr>
        <w:fldChar w:fldCharType="separate"/>
      </w:r>
      <w:r w:rsidR="004D6550" w:rsidRPr="00905305">
        <w:rPr>
          <w:szCs w:val="22"/>
        </w:rPr>
        <w:t>2024</w:t>
      </w:r>
      <w:r w:rsidRPr="00905305">
        <w:rPr>
          <w:szCs w:val="22"/>
        </w:rPr>
        <w:fldChar w:fldCharType="end"/>
      </w:r>
    </w:p>
    <w:p w14:paraId="32C975F2" w14:textId="77777777" w:rsidR="00052A9D" w:rsidRPr="00905305" w:rsidRDefault="00052A9D" w:rsidP="00052A9D">
      <w:pPr>
        <w:keepNext/>
        <w:tabs>
          <w:tab w:val="left" w:pos="3402"/>
        </w:tabs>
        <w:spacing w:before="1080" w:line="300" w:lineRule="atLeast"/>
        <w:ind w:left="397" w:right="397"/>
        <w:jc w:val="right"/>
        <w:rPr>
          <w:szCs w:val="22"/>
        </w:rPr>
      </w:pPr>
      <w:r w:rsidRPr="00905305">
        <w:rPr>
          <w:szCs w:val="22"/>
        </w:rPr>
        <w:t>David Hurley</w:t>
      </w:r>
    </w:p>
    <w:p w14:paraId="75BE9562" w14:textId="77777777" w:rsidR="00052A9D" w:rsidRPr="00905305" w:rsidRDefault="00052A9D" w:rsidP="00052A9D">
      <w:pPr>
        <w:keepNext/>
        <w:tabs>
          <w:tab w:val="left" w:pos="3402"/>
        </w:tabs>
        <w:spacing w:line="300" w:lineRule="atLeast"/>
        <w:ind w:left="397" w:right="397"/>
        <w:jc w:val="right"/>
        <w:rPr>
          <w:szCs w:val="22"/>
        </w:rPr>
      </w:pPr>
      <w:r w:rsidRPr="00905305">
        <w:rPr>
          <w:szCs w:val="22"/>
        </w:rPr>
        <w:t>Governor</w:t>
      </w:r>
      <w:r w:rsidR="007641D7" w:rsidRPr="00905305">
        <w:rPr>
          <w:szCs w:val="22"/>
        </w:rPr>
        <w:noBreakHyphen/>
      </w:r>
      <w:r w:rsidRPr="00905305">
        <w:rPr>
          <w:szCs w:val="22"/>
        </w:rPr>
        <w:t>General</w:t>
      </w:r>
    </w:p>
    <w:p w14:paraId="2B75D3F4" w14:textId="77777777" w:rsidR="00052A9D" w:rsidRPr="00905305" w:rsidRDefault="00052A9D" w:rsidP="00052A9D">
      <w:pPr>
        <w:keepNext/>
        <w:tabs>
          <w:tab w:val="left" w:pos="3402"/>
        </w:tabs>
        <w:spacing w:before="840" w:after="1080" w:line="300" w:lineRule="atLeast"/>
        <w:ind w:right="397"/>
        <w:rPr>
          <w:szCs w:val="22"/>
        </w:rPr>
      </w:pPr>
      <w:r w:rsidRPr="00905305">
        <w:rPr>
          <w:szCs w:val="22"/>
        </w:rPr>
        <w:t>By His Excellency’s Command</w:t>
      </w:r>
    </w:p>
    <w:p w14:paraId="6250FB26" w14:textId="77777777" w:rsidR="00052A9D" w:rsidRPr="00905305" w:rsidRDefault="00052A9D" w:rsidP="00052A9D">
      <w:pPr>
        <w:keepNext/>
        <w:tabs>
          <w:tab w:val="left" w:pos="3402"/>
        </w:tabs>
        <w:spacing w:before="480" w:line="300" w:lineRule="atLeast"/>
        <w:ind w:right="397"/>
        <w:rPr>
          <w:szCs w:val="22"/>
        </w:rPr>
      </w:pPr>
      <w:r w:rsidRPr="00905305">
        <w:rPr>
          <w:szCs w:val="22"/>
        </w:rPr>
        <w:t>Mark Butler</w:t>
      </w:r>
    </w:p>
    <w:p w14:paraId="57BFD3E5" w14:textId="77777777" w:rsidR="00052A9D" w:rsidRPr="00905305" w:rsidRDefault="00052A9D" w:rsidP="00052A9D">
      <w:pPr>
        <w:pStyle w:val="SignCoverPageEnd"/>
        <w:rPr>
          <w:szCs w:val="22"/>
        </w:rPr>
      </w:pPr>
      <w:r w:rsidRPr="00905305">
        <w:rPr>
          <w:szCs w:val="22"/>
        </w:rPr>
        <w:t>Minister for Health and Aged Care</w:t>
      </w:r>
    </w:p>
    <w:p w14:paraId="7530D207" w14:textId="77777777" w:rsidR="00052A9D" w:rsidRPr="00905305" w:rsidRDefault="00052A9D" w:rsidP="00052A9D"/>
    <w:p w14:paraId="6CF64E93" w14:textId="77777777" w:rsidR="00052A9D" w:rsidRPr="00905305" w:rsidRDefault="00052A9D" w:rsidP="00052A9D"/>
    <w:p w14:paraId="40315D4E" w14:textId="77777777" w:rsidR="00052A9D" w:rsidRPr="00905305" w:rsidRDefault="00052A9D" w:rsidP="00052A9D"/>
    <w:p w14:paraId="40D55593" w14:textId="77777777" w:rsidR="0048364F" w:rsidRPr="00905305" w:rsidRDefault="0048364F" w:rsidP="0048364F">
      <w:pPr>
        <w:pStyle w:val="Header"/>
        <w:tabs>
          <w:tab w:val="clear" w:pos="4150"/>
          <w:tab w:val="clear" w:pos="8307"/>
        </w:tabs>
      </w:pPr>
      <w:r w:rsidRPr="00905305">
        <w:rPr>
          <w:rStyle w:val="CharAmSchNo"/>
        </w:rPr>
        <w:t xml:space="preserve"> </w:t>
      </w:r>
      <w:r w:rsidRPr="00905305">
        <w:rPr>
          <w:rStyle w:val="CharAmSchText"/>
        </w:rPr>
        <w:t xml:space="preserve"> </w:t>
      </w:r>
    </w:p>
    <w:p w14:paraId="5340B2E1" w14:textId="77777777" w:rsidR="0048364F" w:rsidRPr="00905305" w:rsidRDefault="0048364F" w:rsidP="0048364F">
      <w:pPr>
        <w:pStyle w:val="Header"/>
        <w:tabs>
          <w:tab w:val="clear" w:pos="4150"/>
          <w:tab w:val="clear" w:pos="8307"/>
        </w:tabs>
      </w:pPr>
      <w:r w:rsidRPr="00905305">
        <w:rPr>
          <w:rStyle w:val="CharAmPartNo"/>
        </w:rPr>
        <w:t xml:space="preserve"> </w:t>
      </w:r>
      <w:r w:rsidRPr="00905305">
        <w:rPr>
          <w:rStyle w:val="CharAmPartText"/>
        </w:rPr>
        <w:t xml:space="preserve"> </w:t>
      </w:r>
    </w:p>
    <w:p w14:paraId="741B50B4" w14:textId="77777777" w:rsidR="0048364F" w:rsidRPr="00905305" w:rsidRDefault="0048364F" w:rsidP="0048364F">
      <w:pPr>
        <w:sectPr w:rsidR="0048364F" w:rsidRPr="00905305" w:rsidSect="00AF514B">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56F409F7" w14:textId="77777777" w:rsidR="00220A0C" w:rsidRPr="00905305" w:rsidRDefault="0048364F" w:rsidP="0048364F">
      <w:pPr>
        <w:outlineLvl w:val="0"/>
        <w:rPr>
          <w:sz w:val="36"/>
        </w:rPr>
      </w:pPr>
      <w:r w:rsidRPr="00905305">
        <w:rPr>
          <w:sz w:val="36"/>
        </w:rPr>
        <w:lastRenderedPageBreak/>
        <w:t>Contents</w:t>
      </w:r>
    </w:p>
    <w:p w14:paraId="6B2F3D3E" w14:textId="419C618D" w:rsidR="00D82E26" w:rsidRPr="00905305" w:rsidRDefault="00D82E26">
      <w:pPr>
        <w:pStyle w:val="TOC5"/>
        <w:rPr>
          <w:rFonts w:asciiTheme="minorHAnsi" w:eastAsiaTheme="minorEastAsia" w:hAnsiTheme="minorHAnsi" w:cstheme="minorBidi"/>
          <w:noProof/>
          <w:kern w:val="0"/>
          <w:sz w:val="22"/>
          <w:szCs w:val="22"/>
        </w:rPr>
      </w:pPr>
      <w:r w:rsidRPr="00905305">
        <w:fldChar w:fldCharType="begin"/>
      </w:r>
      <w:r w:rsidRPr="00905305">
        <w:instrText xml:space="preserve"> TOC \o "1-9" </w:instrText>
      </w:r>
      <w:r w:rsidRPr="00905305">
        <w:fldChar w:fldCharType="separate"/>
      </w:r>
      <w:r w:rsidRPr="00905305">
        <w:rPr>
          <w:noProof/>
        </w:rPr>
        <w:t>1</w:t>
      </w:r>
      <w:r w:rsidRPr="00905305">
        <w:rPr>
          <w:noProof/>
        </w:rPr>
        <w:tab/>
        <w:t>Name</w:t>
      </w:r>
      <w:r w:rsidRPr="00905305">
        <w:rPr>
          <w:noProof/>
        </w:rPr>
        <w:tab/>
      </w:r>
      <w:r w:rsidRPr="00905305">
        <w:rPr>
          <w:noProof/>
        </w:rPr>
        <w:fldChar w:fldCharType="begin"/>
      </w:r>
      <w:r w:rsidRPr="00905305">
        <w:rPr>
          <w:noProof/>
        </w:rPr>
        <w:instrText xml:space="preserve"> PAGEREF _Toc165985450 \h </w:instrText>
      </w:r>
      <w:r w:rsidRPr="00905305">
        <w:rPr>
          <w:noProof/>
        </w:rPr>
      </w:r>
      <w:r w:rsidRPr="00905305">
        <w:rPr>
          <w:noProof/>
        </w:rPr>
        <w:fldChar w:fldCharType="separate"/>
      </w:r>
      <w:r w:rsidR="004D6550" w:rsidRPr="00905305">
        <w:rPr>
          <w:noProof/>
        </w:rPr>
        <w:t>1</w:t>
      </w:r>
      <w:r w:rsidRPr="00905305">
        <w:rPr>
          <w:noProof/>
        </w:rPr>
        <w:fldChar w:fldCharType="end"/>
      </w:r>
    </w:p>
    <w:p w14:paraId="0E4D5EAD" w14:textId="55B5CA83" w:rsidR="00D82E26" w:rsidRPr="00905305" w:rsidRDefault="00D82E26">
      <w:pPr>
        <w:pStyle w:val="TOC5"/>
        <w:rPr>
          <w:rFonts w:asciiTheme="minorHAnsi" w:eastAsiaTheme="minorEastAsia" w:hAnsiTheme="minorHAnsi" w:cstheme="minorBidi"/>
          <w:noProof/>
          <w:kern w:val="0"/>
          <w:sz w:val="22"/>
          <w:szCs w:val="22"/>
        </w:rPr>
      </w:pPr>
      <w:r w:rsidRPr="00905305">
        <w:rPr>
          <w:noProof/>
        </w:rPr>
        <w:t>2</w:t>
      </w:r>
      <w:r w:rsidRPr="00905305">
        <w:rPr>
          <w:noProof/>
        </w:rPr>
        <w:tab/>
        <w:t>Commencement</w:t>
      </w:r>
      <w:r w:rsidRPr="00905305">
        <w:rPr>
          <w:noProof/>
        </w:rPr>
        <w:tab/>
      </w:r>
      <w:r w:rsidRPr="00905305">
        <w:rPr>
          <w:noProof/>
        </w:rPr>
        <w:fldChar w:fldCharType="begin"/>
      </w:r>
      <w:r w:rsidRPr="00905305">
        <w:rPr>
          <w:noProof/>
        </w:rPr>
        <w:instrText xml:space="preserve"> PAGEREF _Toc165985451 \h </w:instrText>
      </w:r>
      <w:r w:rsidRPr="00905305">
        <w:rPr>
          <w:noProof/>
        </w:rPr>
      </w:r>
      <w:r w:rsidRPr="00905305">
        <w:rPr>
          <w:noProof/>
        </w:rPr>
        <w:fldChar w:fldCharType="separate"/>
      </w:r>
      <w:r w:rsidR="004D6550" w:rsidRPr="00905305">
        <w:rPr>
          <w:noProof/>
        </w:rPr>
        <w:t>1</w:t>
      </w:r>
      <w:r w:rsidRPr="00905305">
        <w:rPr>
          <w:noProof/>
        </w:rPr>
        <w:fldChar w:fldCharType="end"/>
      </w:r>
    </w:p>
    <w:p w14:paraId="4935BCBB" w14:textId="0290598A" w:rsidR="00D82E26" w:rsidRPr="00905305" w:rsidRDefault="00D82E26">
      <w:pPr>
        <w:pStyle w:val="TOC5"/>
        <w:rPr>
          <w:rFonts w:asciiTheme="minorHAnsi" w:eastAsiaTheme="minorEastAsia" w:hAnsiTheme="minorHAnsi" w:cstheme="minorBidi"/>
          <w:noProof/>
          <w:kern w:val="0"/>
          <w:sz w:val="22"/>
          <w:szCs w:val="22"/>
        </w:rPr>
      </w:pPr>
      <w:r w:rsidRPr="00905305">
        <w:rPr>
          <w:noProof/>
        </w:rPr>
        <w:t>3</w:t>
      </w:r>
      <w:r w:rsidRPr="00905305">
        <w:rPr>
          <w:noProof/>
        </w:rPr>
        <w:tab/>
        <w:t>Authority</w:t>
      </w:r>
      <w:r w:rsidRPr="00905305">
        <w:rPr>
          <w:noProof/>
        </w:rPr>
        <w:tab/>
      </w:r>
      <w:r w:rsidRPr="00905305">
        <w:rPr>
          <w:noProof/>
        </w:rPr>
        <w:fldChar w:fldCharType="begin"/>
      </w:r>
      <w:r w:rsidRPr="00905305">
        <w:rPr>
          <w:noProof/>
        </w:rPr>
        <w:instrText xml:space="preserve"> PAGEREF _Toc165985452 \h </w:instrText>
      </w:r>
      <w:r w:rsidRPr="00905305">
        <w:rPr>
          <w:noProof/>
        </w:rPr>
      </w:r>
      <w:r w:rsidRPr="00905305">
        <w:rPr>
          <w:noProof/>
        </w:rPr>
        <w:fldChar w:fldCharType="separate"/>
      </w:r>
      <w:r w:rsidR="004D6550" w:rsidRPr="00905305">
        <w:rPr>
          <w:noProof/>
        </w:rPr>
        <w:t>1</w:t>
      </w:r>
      <w:r w:rsidRPr="00905305">
        <w:rPr>
          <w:noProof/>
        </w:rPr>
        <w:fldChar w:fldCharType="end"/>
      </w:r>
    </w:p>
    <w:p w14:paraId="2D964061" w14:textId="65A9FC5F" w:rsidR="00D82E26" w:rsidRPr="00905305" w:rsidRDefault="00D82E26">
      <w:pPr>
        <w:pStyle w:val="TOC5"/>
        <w:rPr>
          <w:rFonts w:asciiTheme="minorHAnsi" w:eastAsiaTheme="minorEastAsia" w:hAnsiTheme="minorHAnsi" w:cstheme="minorBidi"/>
          <w:noProof/>
          <w:kern w:val="0"/>
          <w:sz w:val="22"/>
          <w:szCs w:val="22"/>
        </w:rPr>
      </w:pPr>
      <w:r w:rsidRPr="00905305">
        <w:rPr>
          <w:noProof/>
        </w:rPr>
        <w:t>4</w:t>
      </w:r>
      <w:r w:rsidRPr="00905305">
        <w:rPr>
          <w:noProof/>
        </w:rPr>
        <w:tab/>
        <w:t>Schedules</w:t>
      </w:r>
      <w:r w:rsidRPr="00905305">
        <w:rPr>
          <w:noProof/>
        </w:rPr>
        <w:tab/>
      </w:r>
      <w:r w:rsidRPr="00905305">
        <w:rPr>
          <w:noProof/>
        </w:rPr>
        <w:fldChar w:fldCharType="begin"/>
      </w:r>
      <w:r w:rsidRPr="00905305">
        <w:rPr>
          <w:noProof/>
        </w:rPr>
        <w:instrText xml:space="preserve"> PAGEREF _Toc165985453 \h </w:instrText>
      </w:r>
      <w:r w:rsidRPr="00905305">
        <w:rPr>
          <w:noProof/>
        </w:rPr>
      </w:r>
      <w:r w:rsidRPr="00905305">
        <w:rPr>
          <w:noProof/>
        </w:rPr>
        <w:fldChar w:fldCharType="separate"/>
      </w:r>
      <w:r w:rsidR="004D6550" w:rsidRPr="00905305">
        <w:rPr>
          <w:noProof/>
        </w:rPr>
        <w:t>1</w:t>
      </w:r>
      <w:r w:rsidRPr="00905305">
        <w:rPr>
          <w:noProof/>
        </w:rPr>
        <w:fldChar w:fldCharType="end"/>
      </w:r>
    </w:p>
    <w:p w14:paraId="78309909" w14:textId="520B0216" w:rsidR="00D82E26" w:rsidRPr="00905305" w:rsidRDefault="00D82E26">
      <w:pPr>
        <w:pStyle w:val="TOC6"/>
        <w:rPr>
          <w:rFonts w:asciiTheme="minorHAnsi" w:eastAsiaTheme="minorEastAsia" w:hAnsiTheme="minorHAnsi" w:cstheme="minorBidi"/>
          <w:b w:val="0"/>
          <w:noProof/>
          <w:kern w:val="0"/>
          <w:sz w:val="22"/>
          <w:szCs w:val="22"/>
        </w:rPr>
      </w:pPr>
      <w:r w:rsidRPr="00905305">
        <w:rPr>
          <w:noProof/>
        </w:rPr>
        <w:t>Schedule 1—Amendments commencing day after registration</w:t>
      </w:r>
      <w:r w:rsidRPr="00905305">
        <w:rPr>
          <w:b w:val="0"/>
          <w:noProof/>
          <w:sz w:val="18"/>
        </w:rPr>
        <w:tab/>
      </w:r>
      <w:r w:rsidRPr="00905305">
        <w:rPr>
          <w:b w:val="0"/>
          <w:noProof/>
          <w:sz w:val="18"/>
        </w:rPr>
        <w:fldChar w:fldCharType="begin"/>
      </w:r>
      <w:r w:rsidRPr="00905305">
        <w:rPr>
          <w:b w:val="0"/>
          <w:noProof/>
          <w:sz w:val="18"/>
        </w:rPr>
        <w:instrText xml:space="preserve"> PAGEREF _Toc165985454 \h </w:instrText>
      </w:r>
      <w:r w:rsidRPr="00905305">
        <w:rPr>
          <w:b w:val="0"/>
          <w:noProof/>
          <w:sz w:val="18"/>
        </w:rPr>
      </w:r>
      <w:r w:rsidRPr="00905305">
        <w:rPr>
          <w:b w:val="0"/>
          <w:noProof/>
          <w:sz w:val="18"/>
        </w:rPr>
        <w:fldChar w:fldCharType="separate"/>
      </w:r>
      <w:r w:rsidR="004D6550" w:rsidRPr="00905305">
        <w:rPr>
          <w:b w:val="0"/>
          <w:noProof/>
          <w:sz w:val="18"/>
        </w:rPr>
        <w:t>2</w:t>
      </w:r>
      <w:r w:rsidRPr="00905305">
        <w:rPr>
          <w:b w:val="0"/>
          <w:noProof/>
          <w:sz w:val="18"/>
        </w:rPr>
        <w:fldChar w:fldCharType="end"/>
      </w:r>
    </w:p>
    <w:p w14:paraId="7B6BD944" w14:textId="5FC07360"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1—Medicines Repurposing Program</w:t>
      </w:r>
      <w:r w:rsidRPr="00905305">
        <w:rPr>
          <w:noProof/>
          <w:sz w:val="18"/>
        </w:rPr>
        <w:tab/>
      </w:r>
      <w:r w:rsidRPr="00905305">
        <w:rPr>
          <w:noProof/>
          <w:sz w:val="18"/>
        </w:rPr>
        <w:fldChar w:fldCharType="begin"/>
      </w:r>
      <w:r w:rsidRPr="00905305">
        <w:rPr>
          <w:noProof/>
          <w:sz w:val="18"/>
        </w:rPr>
        <w:instrText xml:space="preserve"> PAGEREF _Toc165985455 \h </w:instrText>
      </w:r>
      <w:r w:rsidRPr="00905305">
        <w:rPr>
          <w:noProof/>
          <w:sz w:val="18"/>
        </w:rPr>
      </w:r>
      <w:r w:rsidRPr="00905305">
        <w:rPr>
          <w:noProof/>
          <w:sz w:val="18"/>
        </w:rPr>
        <w:fldChar w:fldCharType="separate"/>
      </w:r>
      <w:r w:rsidR="004D6550" w:rsidRPr="00905305">
        <w:rPr>
          <w:noProof/>
          <w:sz w:val="18"/>
        </w:rPr>
        <w:t>2</w:t>
      </w:r>
      <w:r w:rsidRPr="00905305">
        <w:rPr>
          <w:noProof/>
          <w:sz w:val="18"/>
        </w:rPr>
        <w:fldChar w:fldCharType="end"/>
      </w:r>
    </w:p>
    <w:p w14:paraId="737AEE3A" w14:textId="119CB6A2"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Therapeutic Goods Regulations 1990</w:t>
      </w:r>
      <w:r w:rsidRPr="00905305">
        <w:rPr>
          <w:i w:val="0"/>
          <w:noProof/>
          <w:sz w:val="18"/>
        </w:rPr>
        <w:tab/>
      </w:r>
      <w:r w:rsidRPr="00905305">
        <w:rPr>
          <w:i w:val="0"/>
          <w:noProof/>
          <w:sz w:val="18"/>
        </w:rPr>
        <w:fldChar w:fldCharType="begin"/>
      </w:r>
      <w:r w:rsidRPr="00905305">
        <w:rPr>
          <w:i w:val="0"/>
          <w:noProof/>
          <w:sz w:val="18"/>
        </w:rPr>
        <w:instrText xml:space="preserve"> PAGEREF _Toc165985456 \h </w:instrText>
      </w:r>
      <w:r w:rsidRPr="00905305">
        <w:rPr>
          <w:i w:val="0"/>
          <w:noProof/>
          <w:sz w:val="18"/>
        </w:rPr>
      </w:r>
      <w:r w:rsidRPr="00905305">
        <w:rPr>
          <w:i w:val="0"/>
          <w:noProof/>
          <w:sz w:val="18"/>
        </w:rPr>
        <w:fldChar w:fldCharType="separate"/>
      </w:r>
      <w:r w:rsidR="004D6550" w:rsidRPr="00905305">
        <w:rPr>
          <w:i w:val="0"/>
          <w:noProof/>
          <w:sz w:val="18"/>
        </w:rPr>
        <w:t>2</w:t>
      </w:r>
      <w:r w:rsidRPr="00905305">
        <w:rPr>
          <w:i w:val="0"/>
          <w:noProof/>
          <w:sz w:val="18"/>
        </w:rPr>
        <w:fldChar w:fldCharType="end"/>
      </w:r>
    </w:p>
    <w:p w14:paraId="4E120FE5" w14:textId="48BBF5C5"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2—Exemption for certain prescription spectacle lenses</w:t>
      </w:r>
      <w:r w:rsidRPr="00905305">
        <w:rPr>
          <w:noProof/>
          <w:sz w:val="18"/>
        </w:rPr>
        <w:tab/>
      </w:r>
      <w:r w:rsidRPr="00905305">
        <w:rPr>
          <w:noProof/>
          <w:sz w:val="18"/>
        </w:rPr>
        <w:fldChar w:fldCharType="begin"/>
      </w:r>
      <w:r w:rsidRPr="00905305">
        <w:rPr>
          <w:noProof/>
          <w:sz w:val="18"/>
        </w:rPr>
        <w:instrText xml:space="preserve"> PAGEREF _Toc165985457 \h </w:instrText>
      </w:r>
      <w:r w:rsidRPr="00905305">
        <w:rPr>
          <w:noProof/>
          <w:sz w:val="18"/>
        </w:rPr>
      </w:r>
      <w:r w:rsidRPr="00905305">
        <w:rPr>
          <w:noProof/>
          <w:sz w:val="18"/>
        </w:rPr>
        <w:fldChar w:fldCharType="separate"/>
      </w:r>
      <w:r w:rsidR="004D6550" w:rsidRPr="00905305">
        <w:rPr>
          <w:noProof/>
          <w:sz w:val="18"/>
        </w:rPr>
        <w:t>3</w:t>
      </w:r>
      <w:r w:rsidRPr="00905305">
        <w:rPr>
          <w:noProof/>
          <w:sz w:val="18"/>
        </w:rPr>
        <w:fldChar w:fldCharType="end"/>
      </w:r>
    </w:p>
    <w:p w14:paraId="25F8A287" w14:textId="6CA517BF"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 xml:space="preserve">Therapeutic Goods (Medical Devices) </w:t>
      </w:r>
      <w:r w:rsidR="007E6F68" w:rsidRPr="00905305">
        <w:rPr>
          <w:noProof/>
        </w:rPr>
        <w:t>Regulations 2</w:t>
      </w:r>
      <w:r w:rsidRPr="00905305">
        <w:rPr>
          <w:noProof/>
        </w:rPr>
        <w:t>002</w:t>
      </w:r>
      <w:r w:rsidRPr="00905305">
        <w:rPr>
          <w:i w:val="0"/>
          <w:noProof/>
          <w:sz w:val="18"/>
        </w:rPr>
        <w:tab/>
      </w:r>
      <w:r w:rsidRPr="00905305">
        <w:rPr>
          <w:i w:val="0"/>
          <w:noProof/>
          <w:sz w:val="18"/>
        </w:rPr>
        <w:fldChar w:fldCharType="begin"/>
      </w:r>
      <w:r w:rsidRPr="00905305">
        <w:rPr>
          <w:i w:val="0"/>
          <w:noProof/>
          <w:sz w:val="18"/>
        </w:rPr>
        <w:instrText xml:space="preserve"> PAGEREF _Toc165985458 \h </w:instrText>
      </w:r>
      <w:r w:rsidRPr="00905305">
        <w:rPr>
          <w:i w:val="0"/>
          <w:noProof/>
          <w:sz w:val="18"/>
        </w:rPr>
      </w:r>
      <w:r w:rsidRPr="00905305">
        <w:rPr>
          <w:i w:val="0"/>
          <w:noProof/>
          <w:sz w:val="18"/>
        </w:rPr>
        <w:fldChar w:fldCharType="separate"/>
      </w:r>
      <w:r w:rsidR="004D6550" w:rsidRPr="00905305">
        <w:rPr>
          <w:i w:val="0"/>
          <w:noProof/>
          <w:sz w:val="18"/>
        </w:rPr>
        <w:t>3</w:t>
      </w:r>
      <w:r w:rsidRPr="00905305">
        <w:rPr>
          <w:i w:val="0"/>
          <w:noProof/>
          <w:sz w:val="18"/>
        </w:rPr>
        <w:fldChar w:fldCharType="end"/>
      </w:r>
    </w:p>
    <w:p w14:paraId="4E7FE2D1" w14:textId="7CB8E428"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3—Classification rules for programmed or programmable medical device or software that is a medical device</w:t>
      </w:r>
      <w:r w:rsidRPr="00905305">
        <w:rPr>
          <w:noProof/>
          <w:sz w:val="18"/>
        </w:rPr>
        <w:tab/>
      </w:r>
      <w:r w:rsidRPr="00905305">
        <w:rPr>
          <w:noProof/>
          <w:sz w:val="18"/>
        </w:rPr>
        <w:fldChar w:fldCharType="begin"/>
      </w:r>
      <w:r w:rsidRPr="00905305">
        <w:rPr>
          <w:noProof/>
          <w:sz w:val="18"/>
        </w:rPr>
        <w:instrText xml:space="preserve"> PAGEREF _Toc165985459 \h </w:instrText>
      </w:r>
      <w:r w:rsidRPr="00905305">
        <w:rPr>
          <w:noProof/>
          <w:sz w:val="18"/>
        </w:rPr>
      </w:r>
      <w:r w:rsidRPr="00905305">
        <w:rPr>
          <w:noProof/>
          <w:sz w:val="18"/>
        </w:rPr>
        <w:fldChar w:fldCharType="separate"/>
      </w:r>
      <w:r w:rsidR="004D6550" w:rsidRPr="00905305">
        <w:rPr>
          <w:noProof/>
          <w:sz w:val="18"/>
        </w:rPr>
        <w:t>4</w:t>
      </w:r>
      <w:r w:rsidRPr="00905305">
        <w:rPr>
          <w:noProof/>
          <w:sz w:val="18"/>
        </w:rPr>
        <w:fldChar w:fldCharType="end"/>
      </w:r>
    </w:p>
    <w:p w14:paraId="1B2D5A99" w14:textId="48B3111D"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 xml:space="preserve">Therapeutic Goods (Medical Devices) </w:t>
      </w:r>
      <w:r w:rsidR="007E6F68" w:rsidRPr="00905305">
        <w:rPr>
          <w:noProof/>
        </w:rPr>
        <w:t>Regulations 2</w:t>
      </w:r>
      <w:r w:rsidRPr="00905305">
        <w:rPr>
          <w:noProof/>
        </w:rPr>
        <w:t>002</w:t>
      </w:r>
      <w:r w:rsidRPr="00905305">
        <w:rPr>
          <w:i w:val="0"/>
          <w:noProof/>
          <w:sz w:val="18"/>
        </w:rPr>
        <w:tab/>
      </w:r>
      <w:r w:rsidRPr="00905305">
        <w:rPr>
          <w:i w:val="0"/>
          <w:noProof/>
          <w:sz w:val="18"/>
        </w:rPr>
        <w:fldChar w:fldCharType="begin"/>
      </w:r>
      <w:r w:rsidRPr="00905305">
        <w:rPr>
          <w:i w:val="0"/>
          <w:noProof/>
          <w:sz w:val="18"/>
        </w:rPr>
        <w:instrText xml:space="preserve"> PAGEREF _Toc165985460 \h </w:instrText>
      </w:r>
      <w:r w:rsidRPr="00905305">
        <w:rPr>
          <w:i w:val="0"/>
          <w:noProof/>
          <w:sz w:val="18"/>
        </w:rPr>
      </w:r>
      <w:r w:rsidRPr="00905305">
        <w:rPr>
          <w:i w:val="0"/>
          <w:noProof/>
          <w:sz w:val="18"/>
        </w:rPr>
        <w:fldChar w:fldCharType="separate"/>
      </w:r>
      <w:r w:rsidR="004D6550" w:rsidRPr="00905305">
        <w:rPr>
          <w:i w:val="0"/>
          <w:noProof/>
          <w:sz w:val="18"/>
        </w:rPr>
        <w:t>4</w:t>
      </w:r>
      <w:r w:rsidRPr="00905305">
        <w:rPr>
          <w:i w:val="0"/>
          <w:noProof/>
          <w:sz w:val="18"/>
        </w:rPr>
        <w:fldChar w:fldCharType="end"/>
      </w:r>
    </w:p>
    <w:p w14:paraId="35F95DEC" w14:textId="773EBCC6"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4—Minor and technical amendments</w:t>
      </w:r>
      <w:r w:rsidRPr="00905305">
        <w:rPr>
          <w:noProof/>
          <w:sz w:val="18"/>
        </w:rPr>
        <w:tab/>
      </w:r>
      <w:r w:rsidRPr="00905305">
        <w:rPr>
          <w:noProof/>
          <w:sz w:val="18"/>
        </w:rPr>
        <w:fldChar w:fldCharType="begin"/>
      </w:r>
      <w:r w:rsidRPr="00905305">
        <w:rPr>
          <w:noProof/>
          <w:sz w:val="18"/>
        </w:rPr>
        <w:instrText xml:space="preserve"> PAGEREF _Toc165985461 \h </w:instrText>
      </w:r>
      <w:r w:rsidRPr="00905305">
        <w:rPr>
          <w:noProof/>
          <w:sz w:val="18"/>
        </w:rPr>
      </w:r>
      <w:r w:rsidRPr="00905305">
        <w:rPr>
          <w:noProof/>
          <w:sz w:val="18"/>
        </w:rPr>
        <w:fldChar w:fldCharType="separate"/>
      </w:r>
      <w:r w:rsidR="004D6550" w:rsidRPr="00905305">
        <w:rPr>
          <w:noProof/>
          <w:sz w:val="18"/>
        </w:rPr>
        <w:t>6</w:t>
      </w:r>
      <w:r w:rsidRPr="00905305">
        <w:rPr>
          <w:noProof/>
          <w:sz w:val="18"/>
        </w:rPr>
        <w:fldChar w:fldCharType="end"/>
      </w:r>
    </w:p>
    <w:p w14:paraId="3A95055F" w14:textId="02BAF274"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Therapeutic Goods Regulations 1990</w:t>
      </w:r>
      <w:r w:rsidRPr="00905305">
        <w:rPr>
          <w:i w:val="0"/>
          <w:noProof/>
          <w:sz w:val="18"/>
        </w:rPr>
        <w:tab/>
      </w:r>
      <w:r w:rsidRPr="00905305">
        <w:rPr>
          <w:i w:val="0"/>
          <w:noProof/>
          <w:sz w:val="18"/>
        </w:rPr>
        <w:fldChar w:fldCharType="begin"/>
      </w:r>
      <w:r w:rsidRPr="00905305">
        <w:rPr>
          <w:i w:val="0"/>
          <w:noProof/>
          <w:sz w:val="18"/>
        </w:rPr>
        <w:instrText xml:space="preserve"> PAGEREF _Toc165985462 \h </w:instrText>
      </w:r>
      <w:r w:rsidRPr="00905305">
        <w:rPr>
          <w:i w:val="0"/>
          <w:noProof/>
          <w:sz w:val="18"/>
        </w:rPr>
      </w:r>
      <w:r w:rsidRPr="00905305">
        <w:rPr>
          <w:i w:val="0"/>
          <w:noProof/>
          <w:sz w:val="18"/>
        </w:rPr>
        <w:fldChar w:fldCharType="separate"/>
      </w:r>
      <w:r w:rsidR="004D6550" w:rsidRPr="00905305">
        <w:rPr>
          <w:i w:val="0"/>
          <w:noProof/>
          <w:sz w:val="18"/>
        </w:rPr>
        <w:t>6</w:t>
      </w:r>
      <w:r w:rsidRPr="00905305">
        <w:rPr>
          <w:i w:val="0"/>
          <w:noProof/>
          <w:sz w:val="18"/>
        </w:rPr>
        <w:fldChar w:fldCharType="end"/>
      </w:r>
    </w:p>
    <w:p w14:paraId="01FBD0CD" w14:textId="2182DA84"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5—Transitional provisions</w:t>
      </w:r>
      <w:r w:rsidRPr="00905305">
        <w:rPr>
          <w:noProof/>
          <w:sz w:val="18"/>
        </w:rPr>
        <w:tab/>
      </w:r>
      <w:r w:rsidRPr="00905305">
        <w:rPr>
          <w:noProof/>
          <w:sz w:val="18"/>
        </w:rPr>
        <w:fldChar w:fldCharType="begin"/>
      </w:r>
      <w:r w:rsidRPr="00905305">
        <w:rPr>
          <w:noProof/>
          <w:sz w:val="18"/>
        </w:rPr>
        <w:instrText xml:space="preserve"> PAGEREF _Toc165985465 \h </w:instrText>
      </w:r>
      <w:r w:rsidRPr="00905305">
        <w:rPr>
          <w:noProof/>
          <w:sz w:val="18"/>
        </w:rPr>
      </w:r>
      <w:r w:rsidRPr="00905305">
        <w:rPr>
          <w:noProof/>
          <w:sz w:val="18"/>
        </w:rPr>
        <w:fldChar w:fldCharType="separate"/>
      </w:r>
      <w:r w:rsidR="004D6550" w:rsidRPr="00905305">
        <w:rPr>
          <w:noProof/>
          <w:sz w:val="18"/>
        </w:rPr>
        <w:t>8</w:t>
      </w:r>
      <w:r w:rsidRPr="00905305">
        <w:rPr>
          <w:noProof/>
          <w:sz w:val="18"/>
        </w:rPr>
        <w:fldChar w:fldCharType="end"/>
      </w:r>
    </w:p>
    <w:p w14:paraId="3486004C" w14:textId="5DF9EBA9"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 xml:space="preserve">Therapeutic Goods (Medical Devices) </w:t>
      </w:r>
      <w:r w:rsidR="007E6F68" w:rsidRPr="00905305">
        <w:rPr>
          <w:noProof/>
        </w:rPr>
        <w:t>Regulations 2</w:t>
      </w:r>
      <w:r w:rsidRPr="00905305">
        <w:rPr>
          <w:noProof/>
        </w:rPr>
        <w:t>002</w:t>
      </w:r>
      <w:r w:rsidRPr="00905305">
        <w:rPr>
          <w:i w:val="0"/>
          <w:noProof/>
          <w:sz w:val="18"/>
        </w:rPr>
        <w:tab/>
      </w:r>
      <w:r w:rsidRPr="00905305">
        <w:rPr>
          <w:i w:val="0"/>
          <w:noProof/>
          <w:sz w:val="18"/>
        </w:rPr>
        <w:fldChar w:fldCharType="begin"/>
      </w:r>
      <w:r w:rsidRPr="00905305">
        <w:rPr>
          <w:i w:val="0"/>
          <w:noProof/>
          <w:sz w:val="18"/>
        </w:rPr>
        <w:instrText xml:space="preserve"> PAGEREF _Toc165985466 \h </w:instrText>
      </w:r>
      <w:r w:rsidRPr="00905305">
        <w:rPr>
          <w:i w:val="0"/>
          <w:noProof/>
          <w:sz w:val="18"/>
        </w:rPr>
      </w:r>
      <w:r w:rsidRPr="00905305">
        <w:rPr>
          <w:i w:val="0"/>
          <w:noProof/>
          <w:sz w:val="18"/>
        </w:rPr>
        <w:fldChar w:fldCharType="separate"/>
      </w:r>
      <w:r w:rsidR="004D6550" w:rsidRPr="00905305">
        <w:rPr>
          <w:i w:val="0"/>
          <w:noProof/>
          <w:sz w:val="18"/>
        </w:rPr>
        <w:t>8</w:t>
      </w:r>
      <w:r w:rsidRPr="00905305">
        <w:rPr>
          <w:i w:val="0"/>
          <w:noProof/>
          <w:sz w:val="18"/>
        </w:rPr>
        <w:fldChar w:fldCharType="end"/>
      </w:r>
    </w:p>
    <w:p w14:paraId="13C62374" w14:textId="43606B36"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Therapeutic Goods Regulations 1990</w:t>
      </w:r>
      <w:r w:rsidRPr="00905305">
        <w:rPr>
          <w:i w:val="0"/>
          <w:noProof/>
          <w:sz w:val="18"/>
        </w:rPr>
        <w:tab/>
      </w:r>
      <w:r w:rsidRPr="00905305">
        <w:rPr>
          <w:i w:val="0"/>
          <w:noProof/>
          <w:sz w:val="18"/>
        </w:rPr>
        <w:fldChar w:fldCharType="begin"/>
      </w:r>
      <w:r w:rsidRPr="00905305">
        <w:rPr>
          <w:i w:val="0"/>
          <w:noProof/>
          <w:sz w:val="18"/>
        </w:rPr>
        <w:instrText xml:space="preserve"> PAGEREF _Toc165985470 \h </w:instrText>
      </w:r>
      <w:r w:rsidRPr="00905305">
        <w:rPr>
          <w:i w:val="0"/>
          <w:noProof/>
          <w:sz w:val="18"/>
        </w:rPr>
      </w:r>
      <w:r w:rsidRPr="00905305">
        <w:rPr>
          <w:i w:val="0"/>
          <w:noProof/>
          <w:sz w:val="18"/>
        </w:rPr>
        <w:fldChar w:fldCharType="separate"/>
      </w:r>
      <w:r w:rsidR="004D6550" w:rsidRPr="00905305">
        <w:rPr>
          <w:i w:val="0"/>
          <w:noProof/>
          <w:sz w:val="18"/>
        </w:rPr>
        <w:t>8</w:t>
      </w:r>
      <w:r w:rsidRPr="00905305">
        <w:rPr>
          <w:i w:val="0"/>
          <w:noProof/>
          <w:sz w:val="18"/>
        </w:rPr>
        <w:fldChar w:fldCharType="end"/>
      </w:r>
    </w:p>
    <w:p w14:paraId="334ADA54" w14:textId="76E5792D" w:rsidR="00D82E26" w:rsidRPr="00905305" w:rsidRDefault="00D82E26">
      <w:pPr>
        <w:pStyle w:val="TOC6"/>
        <w:rPr>
          <w:rFonts w:asciiTheme="minorHAnsi" w:eastAsiaTheme="minorEastAsia" w:hAnsiTheme="minorHAnsi" w:cstheme="minorBidi"/>
          <w:b w:val="0"/>
          <w:noProof/>
          <w:kern w:val="0"/>
          <w:sz w:val="22"/>
          <w:szCs w:val="22"/>
        </w:rPr>
      </w:pPr>
      <w:r w:rsidRPr="00905305">
        <w:rPr>
          <w:noProof/>
        </w:rPr>
        <w:t>Schedule 2—Amendments commencing 1 July 2024</w:t>
      </w:r>
      <w:r w:rsidRPr="00905305">
        <w:rPr>
          <w:b w:val="0"/>
          <w:noProof/>
          <w:sz w:val="18"/>
        </w:rPr>
        <w:tab/>
      </w:r>
      <w:r w:rsidRPr="00905305">
        <w:rPr>
          <w:b w:val="0"/>
          <w:noProof/>
          <w:sz w:val="18"/>
        </w:rPr>
        <w:fldChar w:fldCharType="begin"/>
      </w:r>
      <w:r w:rsidRPr="00905305">
        <w:rPr>
          <w:b w:val="0"/>
          <w:noProof/>
          <w:sz w:val="18"/>
        </w:rPr>
        <w:instrText xml:space="preserve"> PAGEREF _Toc165985476 \h </w:instrText>
      </w:r>
      <w:r w:rsidRPr="00905305">
        <w:rPr>
          <w:b w:val="0"/>
          <w:noProof/>
          <w:sz w:val="18"/>
        </w:rPr>
      </w:r>
      <w:r w:rsidRPr="00905305">
        <w:rPr>
          <w:b w:val="0"/>
          <w:noProof/>
          <w:sz w:val="18"/>
        </w:rPr>
        <w:fldChar w:fldCharType="separate"/>
      </w:r>
      <w:r w:rsidR="004D6550" w:rsidRPr="00905305">
        <w:rPr>
          <w:b w:val="0"/>
          <w:noProof/>
          <w:sz w:val="18"/>
        </w:rPr>
        <w:t>10</w:t>
      </w:r>
      <w:r w:rsidRPr="00905305">
        <w:rPr>
          <w:b w:val="0"/>
          <w:noProof/>
          <w:sz w:val="18"/>
        </w:rPr>
        <w:fldChar w:fldCharType="end"/>
      </w:r>
    </w:p>
    <w:p w14:paraId="59A6A367" w14:textId="67D85E70"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1—Standard for sunscreen preparations</w:t>
      </w:r>
      <w:r w:rsidRPr="00905305">
        <w:rPr>
          <w:noProof/>
          <w:sz w:val="18"/>
        </w:rPr>
        <w:tab/>
      </w:r>
      <w:r w:rsidRPr="00905305">
        <w:rPr>
          <w:noProof/>
          <w:sz w:val="18"/>
        </w:rPr>
        <w:fldChar w:fldCharType="begin"/>
      </w:r>
      <w:r w:rsidRPr="00905305">
        <w:rPr>
          <w:noProof/>
          <w:sz w:val="18"/>
        </w:rPr>
        <w:instrText xml:space="preserve"> PAGEREF _Toc165985477 \h </w:instrText>
      </w:r>
      <w:r w:rsidRPr="00905305">
        <w:rPr>
          <w:noProof/>
          <w:sz w:val="18"/>
        </w:rPr>
      </w:r>
      <w:r w:rsidRPr="00905305">
        <w:rPr>
          <w:noProof/>
          <w:sz w:val="18"/>
        </w:rPr>
        <w:fldChar w:fldCharType="separate"/>
      </w:r>
      <w:r w:rsidR="004D6550" w:rsidRPr="00905305">
        <w:rPr>
          <w:noProof/>
          <w:sz w:val="18"/>
        </w:rPr>
        <w:t>10</w:t>
      </w:r>
      <w:r w:rsidRPr="00905305">
        <w:rPr>
          <w:noProof/>
          <w:sz w:val="18"/>
        </w:rPr>
        <w:fldChar w:fldCharType="end"/>
      </w:r>
    </w:p>
    <w:p w14:paraId="68D78CEB" w14:textId="45E1F611"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Therapeutic Goods Regulations 1990</w:t>
      </w:r>
      <w:r w:rsidRPr="00905305">
        <w:rPr>
          <w:i w:val="0"/>
          <w:noProof/>
          <w:sz w:val="18"/>
        </w:rPr>
        <w:tab/>
      </w:r>
      <w:r w:rsidRPr="00905305">
        <w:rPr>
          <w:i w:val="0"/>
          <w:noProof/>
          <w:sz w:val="18"/>
        </w:rPr>
        <w:fldChar w:fldCharType="begin"/>
      </w:r>
      <w:r w:rsidRPr="00905305">
        <w:rPr>
          <w:i w:val="0"/>
          <w:noProof/>
          <w:sz w:val="18"/>
        </w:rPr>
        <w:instrText xml:space="preserve"> PAGEREF _Toc165985478 \h </w:instrText>
      </w:r>
      <w:r w:rsidRPr="00905305">
        <w:rPr>
          <w:i w:val="0"/>
          <w:noProof/>
          <w:sz w:val="18"/>
        </w:rPr>
      </w:r>
      <w:r w:rsidRPr="00905305">
        <w:rPr>
          <w:i w:val="0"/>
          <w:noProof/>
          <w:sz w:val="18"/>
        </w:rPr>
        <w:fldChar w:fldCharType="separate"/>
      </w:r>
      <w:r w:rsidR="004D6550" w:rsidRPr="00905305">
        <w:rPr>
          <w:i w:val="0"/>
          <w:noProof/>
          <w:sz w:val="18"/>
        </w:rPr>
        <w:t>10</w:t>
      </w:r>
      <w:r w:rsidRPr="00905305">
        <w:rPr>
          <w:i w:val="0"/>
          <w:noProof/>
          <w:sz w:val="18"/>
        </w:rPr>
        <w:fldChar w:fldCharType="end"/>
      </w:r>
    </w:p>
    <w:p w14:paraId="3045FFCB" w14:textId="711FBE29"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2—Auditing applications for inclusion of medical devices in the Register</w:t>
      </w:r>
      <w:r w:rsidRPr="00905305">
        <w:rPr>
          <w:noProof/>
          <w:sz w:val="18"/>
        </w:rPr>
        <w:tab/>
      </w:r>
      <w:r w:rsidRPr="00905305">
        <w:rPr>
          <w:noProof/>
          <w:sz w:val="18"/>
        </w:rPr>
        <w:fldChar w:fldCharType="begin"/>
      </w:r>
      <w:r w:rsidRPr="00905305">
        <w:rPr>
          <w:noProof/>
          <w:sz w:val="18"/>
        </w:rPr>
        <w:instrText xml:space="preserve"> PAGEREF _Toc165985479 \h </w:instrText>
      </w:r>
      <w:r w:rsidRPr="00905305">
        <w:rPr>
          <w:noProof/>
          <w:sz w:val="18"/>
        </w:rPr>
      </w:r>
      <w:r w:rsidRPr="00905305">
        <w:rPr>
          <w:noProof/>
          <w:sz w:val="18"/>
        </w:rPr>
        <w:fldChar w:fldCharType="separate"/>
      </w:r>
      <w:r w:rsidR="004D6550" w:rsidRPr="00905305">
        <w:rPr>
          <w:noProof/>
          <w:sz w:val="18"/>
        </w:rPr>
        <w:t>11</w:t>
      </w:r>
      <w:r w:rsidRPr="00905305">
        <w:rPr>
          <w:noProof/>
          <w:sz w:val="18"/>
        </w:rPr>
        <w:fldChar w:fldCharType="end"/>
      </w:r>
    </w:p>
    <w:p w14:paraId="0872E238" w14:textId="4A61FF17"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 xml:space="preserve">Therapeutic Goods (Medical Devices) </w:t>
      </w:r>
      <w:r w:rsidR="007E6F68" w:rsidRPr="00905305">
        <w:rPr>
          <w:noProof/>
        </w:rPr>
        <w:t>Regulations 2</w:t>
      </w:r>
      <w:r w:rsidRPr="00905305">
        <w:rPr>
          <w:noProof/>
        </w:rPr>
        <w:t>002</w:t>
      </w:r>
      <w:r w:rsidRPr="00905305">
        <w:rPr>
          <w:i w:val="0"/>
          <w:noProof/>
          <w:sz w:val="18"/>
        </w:rPr>
        <w:tab/>
      </w:r>
      <w:r w:rsidRPr="00905305">
        <w:rPr>
          <w:i w:val="0"/>
          <w:noProof/>
          <w:sz w:val="18"/>
        </w:rPr>
        <w:fldChar w:fldCharType="begin"/>
      </w:r>
      <w:r w:rsidRPr="00905305">
        <w:rPr>
          <w:i w:val="0"/>
          <w:noProof/>
          <w:sz w:val="18"/>
        </w:rPr>
        <w:instrText xml:space="preserve"> PAGEREF _Toc165985480 \h </w:instrText>
      </w:r>
      <w:r w:rsidRPr="00905305">
        <w:rPr>
          <w:i w:val="0"/>
          <w:noProof/>
          <w:sz w:val="18"/>
        </w:rPr>
      </w:r>
      <w:r w:rsidRPr="00905305">
        <w:rPr>
          <w:i w:val="0"/>
          <w:noProof/>
          <w:sz w:val="18"/>
        </w:rPr>
        <w:fldChar w:fldCharType="separate"/>
      </w:r>
      <w:r w:rsidR="004D6550" w:rsidRPr="00905305">
        <w:rPr>
          <w:i w:val="0"/>
          <w:noProof/>
          <w:sz w:val="18"/>
        </w:rPr>
        <w:t>11</w:t>
      </w:r>
      <w:r w:rsidRPr="00905305">
        <w:rPr>
          <w:i w:val="0"/>
          <w:noProof/>
          <w:sz w:val="18"/>
        </w:rPr>
        <w:fldChar w:fldCharType="end"/>
      </w:r>
    </w:p>
    <w:p w14:paraId="3A5D3F28" w14:textId="5B990D0D"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3—Classification rules for medical devices containing substances of animal or microbial origin</w:t>
      </w:r>
      <w:r w:rsidRPr="00905305">
        <w:rPr>
          <w:noProof/>
          <w:sz w:val="18"/>
        </w:rPr>
        <w:tab/>
      </w:r>
      <w:r w:rsidRPr="00905305">
        <w:rPr>
          <w:noProof/>
          <w:sz w:val="18"/>
        </w:rPr>
        <w:fldChar w:fldCharType="begin"/>
      </w:r>
      <w:r w:rsidRPr="00905305">
        <w:rPr>
          <w:noProof/>
          <w:sz w:val="18"/>
        </w:rPr>
        <w:instrText xml:space="preserve"> PAGEREF _Toc165985481 \h </w:instrText>
      </w:r>
      <w:r w:rsidRPr="00905305">
        <w:rPr>
          <w:noProof/>
          <w:sz w:val="18"/>
        </w:rPr>
      </w:r>
      <w:r w:rsidRPr="00905305">
        <w:rPr>
          <w:noProof/>
          <w:sz w:val="18"/>
        </w:rPr>
        <w:fldChar w:fldCharType="separate"/>
      </w:r>
      <w:r w:rsidR="004D6550" w:rsidRPr="00905305">
        <w:rPr>
          <w:noProof/>
          <w:sz w:val="18"/>
        </w:rPr>
        <w:t>13</w:t>
      </w:r>
      <w:r w:rsidRPr="00905305">
        <w:rPr>
          <w:noProof/>
          <w:sz w:val="18"/>
        </w:rPr>
        <w:fldChar w:fldCharType="end"/>
      </w:r>
    </w:p>
    <w:p w14:paraId="264CBFF1" w14:textId="4149378F"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 xml:space="preserve">Therapeutic Goods (Medical Devices) </w:t>
      </w:r>
      <w:r w:rsidR="007E6F68" w:rsidRPr="00905305">
        <w:rPr>
          <w:noProof/>
        </w:rPr>
        <w:t>Regulations 2</w:t>
      </w:r>
      <w:r w:rsidRPr="00905305">
        <w:rPr>
          <w:noProof/>
        </w:rPr>
        <w:t>002</w:t>
      </w:r>
      <w:r w:rsidRPr="00905305">
        <w:rPr>
          <w:i w:val="0"/>
          <w:noProof/>
          <w:sz w:val="18"/>
        </w:rPr>
        <w:tab/>
      </w:r>
      <w:r w:rsidRPr="00905305">
        <w:rPr>
          <w:i w:val="0"/>
          <w:noProof/>
          <w:sz w:val="18"/>
        </w:rPr>
        <w:fldChar w:fldCharType="begin"/>
      </w:r>
      <w:r w:rsidRPr="00905305">
        <w:rPr>
          <w:i w:val="0"/>
          <w:noProof/>
          <w:sz w:val="18"/>
        </w:rPr>
        <w:instrText xml:space="preserve"> PAGEREF _Toc165985482 \h </w:instrText>
      </w:r>
      <w:r w:rsidRPr="00905305">
        <w:rPr>
          <w:i w:val="0"/>
          <w:noProof/>
          <w:sz w:val="18"/>
        </w:rPr>
      </w:r>
      <w:r w:rsidRPr="00905305">
        <w:rPr>
          <w:i w:val="0"/>
          <w:noProof/>
          <w:sz w:val="18"/>
        </w:rPr>
        <w:fldChar w:fldCharType="separate"/>
      </w:r>
      <w:r w:rsidR="004D6550" w:rsidRPr="00905305">
        <w:rPr>
          <w:i w:val="0"/>
          <w:noProof/>
          <w:sz w:val="18"/>
        </w:rPr>
        <w:t>13</w:t>
      </w:r>
      <w:r w:rsidRPr="00905305">
        <w:rPr>
          <w:i w:val="0"/>
          <w:noProof/>
          <w:sz w:val="18"/>
        </w:rPr>
        <w:fldChar w:fldCharType="end"/>
      </w:r>
    </w:p>
    <w:p w14:paraId="696C554B" w14:textId="659678AF" w:rsidR="00D82E26" w:rsidRPr="00905305" w:rsidRDefault="00D82E26">
      <w:pPr>
        <w:pStyle w:val="TOC7"/>
        <w:rPr>
          <w:rFonts w:asciiTheme="minorHAnsi" w:eastAsiaTheme="minorEastAsia" w:hAnsiTheme="minorHAnsi" w:cstheme="minorBidi"/>
          <w:noProof/>
          <w:kern w:val="0"/>
          <w:sz w:val="22"/>
          <w:szCs w:val="22"/>
        </w:rPr>
      </w:pPr>
      <w:r w:rsidRPr="00905305">
        <w:rPr>
          <w:noProof/>
        </w:rPr>
        <w:t>Part 4—Transitional provisions</w:t>
      </w:r>
      <w:r w:rsidRPr="00905305">
        <w:rPr>
          <w:noProof/>
          <w:sz w:val="18"/>
        </w:rPr>
        <w:tab/>
      </w:r>
      <w:r w:rsidRPr="00905305">
        <w:rPr>
          <w:noProof/>
          <w:sz w:val="18"/>
        </w:rPr>
        <w:fldChar w:fldCharType="begin"/>
      </w:r>
      <w:r w:rsidRPr="00905305">
        <w:rPr>
          <w:noProof/>
          <w:sz w:val="18"/>
        </w:rPr>
        <w:instrText xml:space="preserve"> PAGEREF _Toc165985484 \h </w:instrText>
      </w:r>
      <w:r w:rsidRPr="00905305">
        <w:rPr>
          <w:noProof/>
          <w:sz w:val="18"/>
        </w:rPr>
      </w:r>
      <w:r w:rsidRPr="00905305">
        <w:rPr>
          <w:noProof/>
          <w:sz w:val="18"/>
        </w:rPr>
        <w:fldChar w:fldCharType="separate"/>
      </w:r>
      <w:r w:rsidR="004D6550" w:rsidRPr="00905305">
        <w:rPr>
          <w:noProof/>
          <w:sz w:val="18"/>
        </w:rPr>
        <w:t>14</w:t>
      </w:r>
      <w:r w:rsidRPr="00905305">
        <w:rPr>
          <w:noProof/>
          <w:sz w:val="18"/>
        </w:rPr>
        <w:fldChar w:fldCharType="end"/>
      </w:r>
    </w:p>
    <w:p w14:paraId="7C1108CA" w14:textId="28BCDD95"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 xml:space="preserve">Therapeutic Goods (Medical Devices) </w:t>
      </w:r>
      <w:r w:rsidR="007E6F68" w:rsidRPr="00905305">
        <w:rPr>
          <w:noProof/>
        </w:rPr>
        <w:t>Regulations 2</w:t>
      </w:r>
      <w:r w:rsidRPr="00905305">
        <w:rPr>
          <w:noProof/>
        </w:rPr>
        <w:t>002</w:t>
      </w:r>
      <w:r w:rsidRPr="00905305">
        <w:rPr>
          <w:i w:val="0"/>
          <w:noProof/>
          <w:sz w:val="18"/>
        </w:rPr>
        <w:tab/>
      </w:r>
      <w:r w:rsidRPr="00905305">
        <w:rPr>
          <w:i w:val="0"/>
          <w:noProof/>
          <w:sz w:val="18"/>
        </w:rPr>
        <w:fldChar w:fldCharType="begin"/>
      </w:r>
      <w:r w:rsidRPr="00905305">
        <w:rPr>
          <w:i w:val="0"/>
          <w:noProof/>
          <w:sz w:val="18"/>
        </w:rPr>
        <w:instrText xml:space="preserve"> PAGEREF _Toc165985485 \h </w:instrText>
      </w:r>
      <w:r w:rsidRPr="00905305">
        <w:rPr>
          <w:i w:val="0"/>
          <w:noProof/>
          <w:sz w:val="18"/>
        </w:rPr>
      </w:r>
      <w:r w:rsidRPr="00905305">
        <w:rPr>
          <w:i w:val="0"/>
          <w:noProof/>
          <w:sz w:val="18"/>
        </w:rPr>
        <w:fldChar w:fldCharType="separate"/>
      </w:r>
      <w:r w:rsidR="004D6550" w:rsidRPr="00905305">
        <w:rPr>
          <w:i w:val="0"/>
          <w:noProof/>
          <w:sz w:val="18"/>
        </w:rPr>
        <w:t>14</w:t>
      </w:r>
      <w:r w:rsidRPr="00905305">
        <w:rPr>
          <w:i w:val="0"/>
          <w:noProof/>
          <w:sz w:val="18"/>
        </w:rPr>
        <w:fldChar w:fldCharType="end"/>
      </w:r>
    </w:p>
    <w:p w14:paraId="348B38D3" w14:textId="7E61B687"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Therapeutic Goods Regulations 1990</w:t>
      </w:r>
      <w:r w:rsidRPr="00905305">
        <w:rPr>
          <w:i w:val="0"/>
          <w:noProof/>
          <w:sz w:val="18"/>
        </w:rPr>
        <w:tab/>
      </w:r>
      <w:r w:rsidRPr="00905305">
        <w:rPr>
          <w:i w:val="0"/>
          <w:noProof/>
          <w:sz w:val="18"/>
        </w:rPr>
        <w:fldChar w:fldCharType="begin"/>
      </w:r>
      <w:r w:rsidRPr="00905305">
        <w:rPr>
          <w:i w:val="0"/>
          <w:noProof/>
          <w:sz w:val="18"/>
        </w:rPr>
        <w:instrText xml:space="preserve"> PAGEREF _Toc165985488 \h </w:instrText>
      </w:r>
      <w:r w:rsidRPr="00905305">
        <w:rPr>
          <w:i w:val="0"/>
          <w:noProof/>
          <w:sz w:val="18"/>
        </w:rPr>
      </w:r>
      <w:r w:rsidRPr="00905305">
        <w:rPr>
          <w:i w:val="0"/>
          <w:noProof/>
          <w:sz w:val="18"/>
        </w:rPr>
        <w:fldChar w:fldCharType="separate"/>
      </w:r>
      <w:r w:rsidR="004D6550" w:rsidRPr="00905305">
        <w:rPr>
          <w:i w:val="0"/>
          <w:noProof/>
          <w:sz w:val="18"/>
        </w:rPr>
        <w:t>15</w:t>
      </w:r>
      <w:r w:rsidRPr="00905305">
        <w:rPr>
          <w:i w:val="0"/>
          <w:noProof/>
          <w:sz w:val="18"/>
        </w:rPr>
        <w:fldChar w:fldCharType="end"/>
      </w:r>
    </w:p>
    <w:p w14:paraId="5C0FD1D7" w14:textId="0EC10376" w:rsidR="00D82E26" w:rsidRPr="00905305" w:rsidRDefault="00D82E26">
      <w:pPr>
        <w:pStyle w:val="TOC6"/>
        <w:rPr>
          <w:rFonts w:asciiTheme="minorHAnsi" w:eastAsiaTheme="minorEastAsia" w:hAnsiTheme="minorHAnsi" w:cstheme="minorBidi"/>
          <w:b w:val="0"/>
          <w:noProof/>
          <w:kern w:val="0"/>
          <w:sz w:val="22"/>
          <w:szCs w:val="22"/>
        </w:rPr>
      </w:pPr>
      <w:r w:rsidRPr="00905305">
        <w:rPr>
          <w:noProof/>
        </w:rPr>
        <w:t>Schedule 3—Amendments commencing 1 October 2024</w:t>
      </w:r>
      <w:r w:rsidRPr="00905305">
        <w:rPr>
          <w:b w:val="0"/>
          <w:noProof/>
          <w:sz w:val="18"/>
        </w:rPr>
        <w:tab/>
      </w:r>
      <w:r w:rsidRPr="00905305">
        <w:rPr>
          <w:b w:val="0"/>
          <w:noProof/>
          <w:sz w:val="18"/>
        </w:rPr>
        <w:fldChar w:fldCharType="begin"/>
      </w:r>
      <w:r w:rsidRPr="00905305">
        <w:rPr>
          <w:b w:val="0"/>
          <w:noProof/>
          <w:sz w:val="18"/>
        </w:rPr>
        <w:instrText xml:space="preserve"> PAGEREF _Toc165985490 \h </w:instrText>
      </w:r>
      <w:r w:rsidRPr="00905305">
        <w:rPr>
          <w:b w:val="0"/>
          <w:noProof/>
          <w:sz w:val="18"/>
        </w:rPr>
      </w:r>
      <w:r w:rsidRPr="00905305">
        <w:rPr>
          <w:b w:val="0"/>
          <w:noProof/>
          <w:sz w:val="18"/>
        </w:rPr>
        <w:fldChar w:fldCharType="separate"/>
      </w:r>
      <w:r w:rsidR="004D6550" w:rsidRPr="00905305">
        <w:rPr>
          <w:b w:val="0"/>
          <w:noProof/>
          <w:sz w:val="18"/>
        </w:rPr>
        <w:t>17</w:t>
      </w:r>
      <w:r w:rsidRPr="00905305">
        <w:rPr>
          <w:b w:val="0"/>
          <w:noProof/>
          <w:sz w:val="18"/>
        </w:rPr>
        <w:fldChar w:fldCharType="end"/>
      </w:r>
    </w:p>
    <w:p w14:paraId="65F2011E" w14:textId="4BD07B5A" w:rsidR="00D82E26" w:rsidRPr="00905305" w:rsidRDefault="00D82E26">
      <w:pPr>
        <w:pStyle w:val="TOC9"/>
        <w:rPr>
          <w:rFonts w:asciiTheme="minorHAnsi" w:eastAsiaTheme="minorEastAsia" w:hAnsiTheme="minorHAnsi" w:cstheme="minorBidi"/>
          <w:i w:val="0"/>
          <w:noProof/>
          <w:kern w:val="0"/>
          <w:sz w:val="22"/>
          <w:szCs w:val="22"/>
        </w:rPr>
      </w:pPr>
      <w:r w:rsidRPr="00905305">
        <w:rPr>
          <w:noProof/>
        </w:rPr>
        <w:t>Therapeutic Goods Regulations 1990</w:t>
      </w:r>
      <w:r w:rsidRPr="00905305">
        <w:rPr>
          <w:i w:val="0"/>
          <w:noProof/>
          <w:sz w:val="18"/>
        </w:rPr>
        <w:tab/>
      </w:r>
      <w:r w:rsidRPr="00905305">
        <w:rPr>
          <w:i w:val="0"/>
          <w:noProof/>
          <w:sz w:val="18"/>
        </w:rPr>
        <w:fldChar w:fldCharType="begin"/>
      </w:r>
      <w:r w:rsidRPr="00905305">
        <w:rPr>
          <w:i w:val="0"/>
          <w:noProof/>
          <w:sz w:val="18"/>
        </w:rPr>
        <w:instrText xml:space="preserve"> PAGEREF _Toc165985491 \h </w:instrText>
      </w:r>
      <w:r w:rsidRPr="00905305">
        <w:rPr>
          <w:i w:val="0"/>
          <w:noProof/>
          <w:sz w:val="18"/>
        </w:rPr>
      </w:r>
      <w:r w:rsidRPr="00905305">
        <w:rPr>
          <w:i w:val="0"/>
          <w:noProof/>
          <w:sz w:val="18"/>
        </w:rPr>
        <w:fldChar w:fldCharType="separate"/>
      </w:r>
      <w:r w:rsidR="004D6550" w:rsidRPr="00905305">
        <w:rPr>
          <w:i w:val="0"/>
          <w:noProof/>
          <w:sz w:val="18"/>
        </w:rPr>
        <w:t>17</w:t>
      </w:r>
      <w:r w:rsidRPr="00905305">
        <w:rPr>
          <w:i w:val="0"/>
          <w:noProof/>
          <w:sz w:val="18"/>
        </w:rPr>
        <w:fldChar w:fldCharType="end"/>
      </w:r>
    </w:p>
    <w:p w14:paraId="1021B7D7" w14:textId="77777777" w:rsidR="0048364F" w:rsidRPr="00905305" w:rsidRDefault="00D82E26" w:rsidP="0048364F">
      <w:r w:rsidRPr="00905305">
        <w:fldChar w:fldCharType="end"/>
      </w:r>
    </w:p>
    <w:p w14:paraId="789661B5" w14:textId="77777777" w:rsidR="0048364F" w:rsidRPr="00905305" w:rsidRDefault="0048364F" w:rsidP="0048364F">
      <w:pPr>
        <w:sectPr w:rsidR="0048364F" w:rsidRPr="00905305" w:rsidSect="00AF514B">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C2F5C35" w14:textId="77777777" w:rsidR="0048364F" w:rsidRPr="00905305" w:rsidRDefault="0048364F" w:rsidP="0048364F">
      <w:pPr>
        <w:pStyle w:val="ActHead5"/>
      </w:pPr>
      <w:bookmarkStart w:id="0" w:name="_Toc165985450"/>
      <w:r w:rsidRPr="00905305">
        <w:rPr>
          <w:rStyle w:val="CharSectno"/>
        </w:rPr>
        <w:lastRenderedPageBreak/>
        <w:t>1</w:t>
      </w:r>
      <w:r w:rsidRPr="00905305">
        <w:t xml:space="preserve">  </w:t>
      </w:r>
      <w:r w:rsidR="004F676E" w:rsidRPr="00905305">
        <w:t>Name</w:t>
      </w:r>
      <w:bookmarkEnd w:id="0"/>
    </w:p>
    <w:p w14:paraId="7FF1360A" w14:textId="77777777" w:rsidR="0048364F" w:rsidRPr="00905305" w:rsidRDefault="0048364F" w:rsidP="0048364F">
      <w:pPr>
        <w:pStyle w:val="subsection"/>
      </w:pPr>
      <w:r w:rsidRPr="00905305">
        <w:tab/>
      </w:r>
      <w:r w:rsidRPr="00905305">
        <w:tab/>
      </w:r>
      <w:r w:rsidR="00435320" w:rsidRPr="00905305">
        <w:t>This instrument is</w:t>
      </w:r>
      <w:r w:rsidRPr="00905305">
        <w:t xml:space="preserve"> the </w:t>
      </w:r>
      <w:r w:rsidR="007E6F68" w:rsidRPr="00905305">
        <w:rPr>
          <w:i/>
          <w:noProof/>
        </w:rPr>
        <w:t>Therapeutic Goods Legislation Amendment (2024 Measures No. 2) Regulations 2024</w:t>
      </w:r>
      <w:r w:rsidRPr="00905305">
        <w:t>.</w:t>
      </w:r>
    </w:p>
    <w:p w14:paraId="63B32733" w14:textId="77777777" w:rsidR="004F676E" w:rsidRPr="00905305" w:rsidRDefault="0048364F" w:rsidP="005452CC">
      <w:pPr>
        <w:pStyle w:val="ActHead5"/>
      </w:pPr>
      <w:bookmarkStart w:id="1" w:name="_Toc165985451"/>
      <w:r w:rsidRPr="00905305">
        <w:rPr>
          <w:rStyle w:val="CharSectno"/>
        </w:rPr>
        <w:t>2</w:t>
      </w:r>
      <w:r w:rsidRPr="00905305">
        <w:t xml:space="preserve">  Commencement</w:t>
      </w:r>
      <w:bookmarkEnd w:id="1"/>
    </w:p>
    <w:p w14:paraId="6AF3BC3F" w14:textId="77777777" w:rsidR="005452CC" w:rsidRPr="00905305" w:rsidRDefault="005452CC" w:rsidP="00052A9D">
      <w:pPr>
        <w:pStyle w:val="subsection"/>
      </w:pPr>
      <w:r w:rsidRPr="00905305">
        <w:tab/>
        <w:t>(1)</w:t>
      </w:r>
      <w:r w:rsidRPr="00905305">
        <w:tab/>
        <w:t xml:space="preserve">Each provision of </w:t>
      </w:r>
      <w:r w:rsidR="00435320" w:rsidRPr="00905305">
        <w:t>this instrument</w:t>
      </w:r>
      <w:r w:rsidRPr="00905305">
        <w:t xml:space="preserve"> specified in column 1 of the table commences, or is taken to have commenced, in accordance with column 2 of the table. Any other statement in column 2 has effect according to its terms.</w:t>
      </w:r>
    </w:p>
    <w:p w14:paraId="2389AC3B" w14:textId="77777777" w:rsidR="005452CC" w:rsidRPr="00905305" w:rsidRDefault="005452CC" w:rsidP="00052A9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05305" w14:paraId="08DFAD47" w14:textId="77777777" w:rsidTr="00540110">
        <w:trPr>
          <w:tblHeader/>
        </w:trPr>
        <w:tc>
          <w:tcPr>
            <w:tcW w:w="8364" w:type="dxa"/>
            <w:gridSpan w:val="3"/>
            <w:tcBorders>
              <w:top w:val="single" w:sz="12" w:space="0" w:color="auto"/>
              <w:bottom w:val="single" w:sz="6" w:space="0" w:color="auto"/>
            </w:tcBorders>
            <w:shd w:val="clear" w:color="auto" w:fill="auto"/>
            <w:hideMark/>
          </w:tcPr>
          <w:p w14:paraId="73A12A46" w14:textId="77777777" w:rsidR="005452CC" w:rsidRPr="00905305" w:rsidRDefault="005452CC" w:rsidP="00052A9D">
            <w:pPr>
              <w:pStyle w:val="TableHeading"/>
            </w:pPr>
            <w:r w:rsidRPr="00905305">
              <w:t>Commencement information</w:t>
            </w:r>
          </w:p>
        </w:tc>
      </w:tr>
      <w:tr w:rsidR="005452CC" w:rsidRPr="00905305" w14:paraId="090472F6" w14:textId="77777777" w:rsidTr="00540110">
        <w:trPr>
          <w:tblHeader/>
        </w:trPr>
        <w:tc>
          <w:tcPr>
            <w:tcW w:w="2127" w:type="dxa"/>
            <w:tcBorders>
              <w:top w:val="single" w:sz="6" w:space="0" w:color="auto"/>
              <w:bottom w:val="single" w:sz="6" w:space="0" w:color="auto"/>
            </w:tcBorders>
            <w:shd w:val="clear" w:color="auto" w:fill="auto"/>
            <w:hideMark/>
          </w:tcPr>
          <w:p w14:paraId="08073B5D" w14:textId="77777777" w:rsidR="005452CC" w:rsidRPr="00905305" w:rsidRDefault="005452CC" w:rsidP="00052A9D">
            <w:pPr>
              <w:pStyle w:val="TableHeading"/>
            </w:pPr>
            <w:r w:rsidRPr="00905305">
              <w:t>Column 1</w:t>
            </w:r>
          </w:p>
        </w:tc>
        <w:tc>
          <w:tcPr>
            <w:tcW w:w="4394" w:type="dxa"/>
            <w:tcBorders>
              <w:top w:val="single" w:sz="6" w:space="0" w:color="auto"/>
              <w:bottom w:val="single" w:sz="6" w:space="0" w:color="auto"/>
            </w:tcBorders>
            <w:shd w:val="clear" w:color="auto" w:fill="auto"/>
            <w:hideMark/>
          </w:tcPr>
          <w:p w14:paraId="187D059A" w14:textId="77777777" w:rsidR="005452CC" w:rsidRPr="00905305" w:rsidRDefault="005452CC" w:rsidP="00052A9D">
            <w:pPr>
              <w:pStyle w:val="TableHeading"/>
            </w:pPr>
            <w:r w:rsidRPr="00905305">
              <w:t>Column 2</w:t>
            </w:r>
          </w:p>
        </w:tc>
        <w:tc>
          <w:tcPr>
            <w:tcW w:w="1843" w:type="dxa"/>
            <w:tcBorders>
              <w:top w:val="single" w:sz="6" w:space="0" w:color="auto"/>
              <w:bottom w:val="single" w:sz="6" w:space="0" w:color="auto"/>
            </w:tcBorders>
            <w:shd w:val="clear" w:color="auto" w:fill="auto"/>
            <w:hideMark/>
          </w:tcPr>
          <w:p w14:paraId="0F4C9BDF" w14:textId="77777777" w:rsidR="005452CC" w:rsidRPr="00905305" w:rsidRDefault="005452CC" w:rsidP="00052A9D">
            <w:pPr>
              <w:pStyle w:val="TableHeading"/>
            </w:pPr>
            <w:r w:rsidRPr="00905305">
              <w:t>Column 3</w:t>
            </w:r>
          </w:p>
        </w:tc>
      </w:tr>
      <w:tr w:rsidR="005452CC" w:rsidRPr="00905305" w14:paraId="4EFC66AF" w14:textId="77777777" w:rsidTr="00540110">
        <w:trPr>
          <w:tblHeader/>
        </w:trPr>
        <w:tc>
          <w:tcPr>
            <w:tcW w:w="2127" w:type="dxa"/>
            <w:tcBorders>
              <w:top w:val="single" w:sz="6" w:space="0" w:color="auto"/>
              <w:bottom w:val="single" w:sz="12" w:space="0" w:color="auto"/>
            </w:tcBorders>
            <w:shd w:val="clear" w:color="auto" w:fill="auto"/>
            <w:hideMark/>
          </w:tcPr>
          <w:p w14:paraId="0ABAFCA5" w14:textId="77777777" w:rsidR="005452CC" w:rsidRPr="00905305" w:rsidRDefault="005452CC" w:rsidP="00052A9D">
            <w:pPr>
              <w:pStyle w:val="TableHeading"/>
            </w:pPr>
            <w:r w:rsidRPr="00905305">
              <w:t>Provisions</w:t>
            </w:r>
          </w:p>
        </w:tc>
        <w:tc>
          <w:tcPr>
            <w:tcW w:w="4394" w:type="dxa"/>
            <w:tcBorders>
              <w:top w:val="single" w:sz="6" w:space="0" w:color="auto"/>
              <w:bottom w:val="single" w:sz="12" w:space="0" w:color="auto"/>
            </w:tcBorders>
            <w:shd w:val="clear" w:color="auto" w:fill="auto"/>
            <w:hideMark/>
          </w:tcPr>
          <w:p w14:paraId="427AFF09" w14:textId="77777777" w:rsidR="005452CC" w:rsidRPr="00905305" w:rsidRDefault="005452CC" w:rsidP="00052A9D">
            <w:pPr>
              <w:pStyle w:val="TableHeading"/>
            </w:pPr>
            <w:r w:rsidRPr="00905305">
              <w:t>Commencement</w:t>
            </w:r>
          </w:p>
        </w:tc>
        <w:tc>
          <w:tcPr>
            <w:tcW w:w="1843" w:type="dxa"/>
            <w:tcBorders>
              <w:top w:val="single" w:sz="6" w:space="0" w:color="auto"/>
              <w:bottom w:val="single" w:sz="12" w:space="0" w:color="auto"/>
            </w:tcBorders>
            <w:shd w:val="clear" w:color="auto" w:fill="auto"/>
            <w:hideMark/>
          </w:tcPr>
          <w:p w14:paraId="0396E5D9" w14:textId="77777777" w:rsidR="005452CC" w:rsidRPr="00905305" w:rsidRDefault="005452CC" w:rsidP="00052A9D">
            <w:pPr>
              <w:pStyle w:val="TableHeading"/>
            </w:pPr>
            <w:r w:rsidRPr="00905305">
              <w:t>Date/Details</w:t>
            </w:r>
          </w:p>
        </w:tc>
      </w:tr>
      <w:tr w:rsidR="004359A5" w:rsidRPr="00905305" w14:paraId="7C279F47" w14:textId="77777777" w:rsidTr="00540110">
        <w:tc>
          <w:tcPr>
            <w:tcW w:w="2127" w:type="dxa"/>
            <w:tcBorders>
              <w:top w:val="single" w:sz="12" w:space="0" w:color="auto"/>
            </w:tcBorders>
            <w:shd w:val="clear" w:color="auto" w:fill="auto"/>
          </w:tcPr>
          <w:p w14:paraId="43FC31E6" w14:textId="77777777" w:rsidR="004359A5" w:rsidRPr="00905305" w:rsidRDefault="004359A5" w:rsidP="004359A5">
            <w:pPr>
              <w:pStyle w:val="Tabletext"/>
            </w:pPr>
            <w:r w:rsidRPr="00905305">
              <w:t xml:space="preserve">1.  </w:t>
            </w:r>
            <w:r w:rsidR="000E79B2" w:rsidRPr="00905305">
              <w:t>Sections 1</w:t>
            </w:r>
            <w:r w:rsidR="008C2260" w:rsidRPr="00905305">
              <w:t xml:space="preserve"> to 4 and anything in this instrument not elsewhere covered by this table</w:t>
            </w:r>
          </w:p>
        </w:tc>
        <w:tc>
          <w:tcPr>
            <w:tcW w:w="4394" w:type="dxa"/>
            <w:tcBorders>
              <w:top w:val="single" w:sz="12" w:space="0" w:color="auto"/>
            </w:tcBorders>
            <w:shd w:val="clear" w:color="auto" w:fill="auto"/>
          </w:tcPr>
          <w:p w14:paraId="3D1314BA" w14:textId="77777777" w:rsidR="004359A5" w:rsidRPr="00905305" w:rsidRDefault="004359A5" w:rsidP="004359A5">
            <w:pPr>
              <w:pStyle w:val="Tabletext"/>
            </w:pPr>
            <w:r w:rsidRPr="00905305">
              <w:t>The day after this instrument is registered.</w:t>
            </w:r>
          </w:p>
        </w:tc>
        <w:tc>
          <w:tcPr>
            <w:tcW w:w="1843" w:type="dxa"/>
            <w:tcBorders>
              <w:top w:val="single" w:sz="12" w:space="0" w:color="auto"/>
            </w:tcBorders>
            <w:shd w:val="clear" w:color="auto" w:fill="auto"/>
          </w:tcPr>
          <w:p w14:paraId="200F0B0C" w14:textId="2B93F976" w:rsidR="004359A5" w:rsidRPr="00905305" w:rsidRDefault="0073143D" w:rsidP="004359A5">
            <w:pPr>
              <w:pStyle w:val="Tabletext"/>
            </w:pPr>
            <w:r>
              <w:t>15 June 2024</w:t>
            </w:r>
          </w:p>
        </w:tc>
      </w:tr>
      <w:tr w:rsidR="004359A5" w:rsidRPr="00905305" w14:paraId="5AADA613" w14:textId="77777777" w:rsidTr="00540110">
        <w:tc>
          <w:tcPr>
            <w:tcW w:w="2127" w:type="dxa"/>
            <w:tcBorders>
              <w:bottom w:val="single" w:sz="2" w:space="0" w:color="auto"/>
            </w:tcBorders>
            <w:shd w:val="clear" w:color="auto" w:fill="auto"/>
          </w:tcPr>
          <w:p w14:paraId="1716516B" w14:textId="77777777" w:rsidR="004359A5" w:rsidRPr="00905305" w:rsidRDefault="00D06948" w:rsidP="004359A5">
            <w:pPr>
              <w:pStyle w:val="Tabletext"/>
            </w:pPr>
            <w:r w:rsidRPr="00905305">
              <w:t xml:space="preserve">2.  </w:t>
            </w:r>
            <w:r w:rsidR="00E017ED" w:rsidRPr="00905305">
              <w:t>Schedule 1</w:t>
            </w:r>
          </w:p>
        </w:tc>
        <w:tc>
          <w:tcPr>
            <w:tcW w:w="4394" w:type="dxa"/>
            <w:tcBorders>
              <w:bottom w:val="single" w:sz="2" w:space="0" w:color="auto"/>
            </w:tcBorders>
            <w:shd w:val="clear" w:color="auto" w:fill="auto"/>
          </w:tcPr>
          <w:p w14:paraId="4E3E3BA1" w14:textId="77777777" w:rsidR="004359A5" w:rsidRPr="00905305" w:rsidRDefault="00372630" w:rsidP="004359A5">
            <w:pPr>
              <w:pStyle w:val="Tabletext"/>
            </w:pPr>
            <w:r w:rsidRPr="00905305">
              <w:t>The day after this instrument is registered.</w:t>
            </w:r>
          </w:p>
        </w:tc>
        <w:tc>
          <w:tcPr>
            <w:tcW w:w="1843" w:type="dxa"/>
            <w:tcBorders>
              <w:bottom w:val="single" w:sz="2" w:space="0" w:color="auto"/>
            </w:tcBorders>
            <w:shd w:val="clear" w:color="auto" w:fill="auto"/>
          </w:tcPr>
          <w:p w14:paraId="44826D73" w14:textId="1E5439A4" w:rsidR="004359A5" w:rsidRPr="00905305" w:rsidRDefault="0073143D" w:rsidP="004359A5">
            <w:pPr>
              <w:pStyle w:val="Tabletext"/>
            </w:pPr>
            <w:r>
              <w:t>15 June 2024</w:t>
            </w:r>
            <w:bookmarkStart w:id="2" w:name="_GoBack"/>
            <w:bookmarkEnd w:id="2"/>
          </w:p>
        </w:tc>
      </w:tr>
      <w:tr w:rsidR="004359A5" w:rsidRPr="00905305" w14:paraId="088187A1" w14:textId="77777777" w:rsidTr="00D82E26">
        <w:tc>
          <w:tcPr>
            <w:tcW w:w="2127" w:type="dxa"/>
            <w:tcBorders>
              <w:top w:val="single" w:sz="2" w:space="0" w:color="auto"/>
              <w:bottom w:val="single" w:sz="2" w:space="0" w:color="auto"/>
            </w:tcBorders>
            <w:shd w:val="clear" w:color="auto" w:fill="auto"/>
          </w:tcPr>
          <w:p w14:paraId="52C903D0" w14:textId="77777777" w:rsidR="004359A5" w:rsidRPr="00905305" w:rsidRDefault="005329B9" w:rsidP="004359A5">
            <w:pPr>
              <w:pStyle w:val="Tabletext"/>
            </w:pPr>
            <w:r w:rsidRPr="00905305">
              <w:t xml:space="preserve">3.  </w:t>
            </w:r>
            <w:r w:rsidR="00661EDB" w:rsidRPr="00905305">
              <w:t>Schedule 2</w:t>
            </w:r>
          </w:p>
        </w:tc>
        <w:tc>
          <w:tcPr>
            <w:tcW w:w="4394" w:type="dxa"/>
            <w:tcBorders>
              <w:top w:val="single" w:sz="2" w:space="0" w:color="auto"/>
              <w:bottom w:val="single" w:sz="2" w:space="0" w:color="auto"/>
            </w:tcBorders>
            <w:shd w:val="clear" w:color="auto" w:fill="auto"/>
          </w:tcPr>
          <w:p w14:paraId="04A42566" w14:textId="77777777" w:rsidR="004359A5" w:rsidRPr="00905305" w:rsidRDefault="00661EDB" w:rsidP="004359A5">
            <w:pPr>
              <w:pStyle w:val="Tabletext"/>
            </w:pPr>
            <w:r w:rsidRPr="00905305">
              <w:t>1 July</w:t>
            </w:r>
            <w:r w:rsidR="00F7621C" w:rsidRPr="00905305">
              <w:t xml:space="preserve"> 2024.</w:t>
            </w:r>
          </w:p>
        </w:tc>
        <w:tc>
          <w:tcPr>
            <w:tcW w:w="1843" w:type="dxa"/>
            <w:tcBorders>
              <w:top w:val="single" w:sz="2" w:space="0" w:color="auto"/>
              <w:bottom w:val="single" w:sz="2" w:space="0" w:color="auto"/>
            </w:tcBorders>
            <w:shd w:val="clear" w:color="auto" w:fill="auto"/>
          </w:tcPr>
          <w:p w14:paraId="283B5D93" w14:textId="77777777" w:rsidR="004359A5" w:rsidRPr="00905305" w:rsidRDefault="00661EDB" w:rsidP="004359A5">
            <w:pPr>
              <w:pStyle w:val="Tabletext"/>
            </w:pPr>
            <w:r w:rsidRPr="00905305">
              <w:t>1 July</w:t>
            </w:r>
            <w:r w:rsidR="00F7621C" w:rsidRPr="00905305">
              <w:t xml:space="preserve"> 2024</w:t>
            </w:r>
          </w:p>
        </w:tc>
      </w:tr>
      <w:tr w:rsidR="00D82E26" w:rsidRPr="00905305" w14:paraId="7E2D70C8" w14:textId="77777777" w:rsidTr="00540110">
        <w:tc>
          <w:tcPr>
            <w:tcW w:w="2127" w:type="dxa"/>
            <w:tcBorders>
              <w:top w:val="single" w:sz="2" w:space="0" w:color="auto"/>
              <w:bottom w:val="single" w:sz="12" w:space="0" w:color="auto"/>
            </w:tcBorders>
            <w:shd w:val="clear" w:color="auto" w:fill="auto"/>
          </w:tcPr>
          <w:p w14:paraId="6C3CD9F1" w14:textId="77777777" w:rsidR="00D82E26" w:rsidRPr="00905305" w:rsidRDefault="00D82E26" w:rsidP="00D82E26">
            <w:pPr>
              <w:pStyle w:val="Tabletext"/>
            </w:pPr>
            <w:r w:rsidRPr="00905305">
              <w:t>4.  Schedule 3</w:t>
            </w:r>
          </w:p>
        </w:tc>
        <w:tc>
          <w:tcPr>
            <w:tcW w:w="4394" w:type="dxa"/>
            <w:tcBorders>
              <w:top w:val="single" w:sz="2" w:space="0" w:color="auto"/>
              <w:bottom w:val="single" w:sz="12" w:space="0" w:color="auto"/>
            </w:tcBorders>
            <w:shd w:val="clear" w:color="auto" w:fill="auto"/>
          </w:tcPr>
          <w:p w14:paraId="7581E410" w14:textId="77777777" w:rsidR="00D82E26" w:rsidRPr="00905305" w:rsidRDefault="00D82E26" w:rsidP="00D82E26">
            <w:pPr>
              <w:pStyle w:val="Tabletext"/>
            </w:pPr>
            <w:r w:rsidRPr="00905305">
              <w:t>1 October 2024.</w:t>
            </w:r>
          </w:p>
        </w:tc>
        <w:tc>
          <w:tcPr>
            <w:tcW w:w="1843" w:type="dxa"/>
            <w:tcBorders>
              <w:top w:val="single" w:sz="2" w:space="0" w:color="auto"/>
              <w:bottom w:val="single" w:sz="12" w:space="0" w:color="auto"/>
            </w:tcBorders>
            <w:shd w:val="clear" w:color="auto" w:fill="auto"/>
          </w:tcPr>
          <w:p w14:paraId="13174136" w14:textId="77777777" w:rsidR="00D82E26" w:rsidRPr="00905305" w:rsidRDefault="00D82E26" w:rsidP="00D82E26">
            <w:pPr>
              <w:pStyle w:val="Tabletext"/>
            </w:pPr>
            <w:r w:rsidRPr="00905305">
              <w:t>1 October 2024</w:t>
            </w:r>
          </w:p>
        </w:tc>
      </w:tr>
    </w:tbl>
    <w:p w14:paraId="304CA364" w14:textId="77777777" w:rsidR="005452CC" w:rsidRPr="00905305" w:rsidRDefault="005452CC" w:rsidP="00052A9D">
      <w:pPr>
        <w:pStyle w:val="notetext"/>
      </w:pPr>
      <w:r w:rsidRPr="00905305">
        <w:rPr>
          <w:snapToGrid w:val="0"/>
          <w:lang w:eastAsia="en-US"/>
        </w:rPr>
        <w:t>Note:</w:t>
      </w:r>
      <w:r w:rsidRPr="00905305">
        <w:rPr>
          <w:snapToGrid w:val="0"/>
          <w:lang w:eastAsia="en-US"/>
        </w:rPr>
        <w:tab/>
        <w:t xml:space="preserve">This table relates only to the provisions of </w:t>
      </w:r>
      <w:r w:rsidR="00435320" w:rsidRPr="00905305">
        <w:rPr>
          <w:snapToGrid w:val="0"/>
          <w:lang w:eastAsia="en-US"/>
        </w:rPr>
        <w:t>this instrument</w:t>
      </w:r>
      <w:r w:rsidRPr="00905305">
        <w:t xml:space="preserve"> </w:t>
      </w:r>
      <w:r w:rsidRPr="00905305">
        <w:rPr>
          <w:snapToGrid w:val="0"/>
          <w:lang w:eastAsia="en-US"/>
        </w:rPr>
        <w:t xml:space="preserve">as originally made. It will not be amended to deal with any later amendments of </w:t>
      </w:r>
      <w:r w:rsidR="00435320" w:rsidRPr="00905305">
        <w:rPr>
          <w:snapToGrid w:val="0"/>
          <w:lang w:eastAsia="en-US"/>
        </w:rPr>
        <w:t>this instrument</w:t>
      </w:r>
      <w:r w:rsidRPr="00905305">
        <w:rPr>
          <w:snapToGrid w:val="0"/>
          <w:lang w:eastAsia="en-US"/>
        </w:rPr>
        <w:t>.</w:t>
      </w:r>
    </w:p>
    <w:p w14:paraId="0724FB30" w14:textId="77777777" w:rsidR="005452CC" w:rsidRPr="00905305" w:rsidRDefault="005452CC" w:rsidP="004F676E">
      <w:pPr>
        <w:pStyle w:val="subsection"/>
      </w:pPr>
      <w:r w:rsidRPr="00905305">
        <w:tab/>
        <w:t>(2)</w:t>
      </w:r>
      <w:r w:rsidRPr="00905305">
        <w:tab/>
        <w:t xml:space="preserve">Any information in column 3 of the table is not part of </w:t>
      </w:r>
      <w:r w:rsidR="00435320" w:rsidRPr="00905305">
        <w:t>this instrument</w:t>
      </w:r>
      <w:r w:rsidRPr="00905305">
        <w:t xml:space="preserve">. Information may be inserted in this column, or information in it may be edited, in any published version of </w:t>
      </w:r>
      <w:r w:rsidR="00435320" w:rsidRPr="00905305">
        <w:t>this instrument</w:t>
      </w:r>
      <w:r w:rsidRPr="00905305">
        <w:t>.</w:t>
      </w:r>
    </w:p>
    <w:p w14:paraId="30C51B55" w14:textId="77777777" w:rsidR="00BF6650" w:rsidRPr="00905305" w:rsidRDefault="00BF6650" w:rsidP="00BF6650">
      <w:pPr>
        <w:pStyle w:val="ActHead5"/>
      </w:pPr>
      <w:bookmarkStart w:id="3" w:name="_Toc165985452"/>
      <w:r w:rsidRPr="00905305">
        <w:rPr>
          <w:rStyle w:val="CharSectno"/>
        </w:rPr>
        <w:t>3</w:t>
      </w:r>
      <w:r w:rsidRPr="00905305">
        <w:t xml:space="preserve">  Authority</w:t>
      </w:r>
      <w:bookmarkEnd w:id="3"/>
    </w:p>
    <w:p w14:paraId="14B65CE1" w14:textId="77777777" w:rsidR="00BF6650" w:rsidRPr="00905305" w:rsidRDefault="00BF6650" w:rsidP="00BF6650">
      <w:pPr>
        <w:pStyle w:val="subsection"/>
      </w:pPr>
      <w:r w:rsidRPr="00905305">
        <w:tab/>
      </w:r>
      <w:r w:rsidRPr="00905305">
        <w:tab/>
      </w:r>
      <w:r w:rsidR="00435320" w:rsidRPr="00905305">
        <w:t>This instrument is</w:t>
      </w:r>
      <w:r w:rsidRPr="00905305">
        <w:t xml:space="preserve"> made under the </w:t>
      </w:r>
      <w:r w:rsidR="00FB6832" w:rsidRPr="00905305">
        <w:rPr>
          <w:i/>
        </w:rPr>
        <w:t>Therapeutic Goods Act 1989</w:t>
      </w:r>
      <w:r w:rsidR="00546FA3" w:rsidRPr="00905305">
        <w:t>.</w:t>
      </w:r>
    </w:p>
    <w:p w14:paraId="3315E4C7" w14:textId="77777777" w:rsidR="00557C7A" w:rsidRPr="00905305" w:rsidRDefault="00BF6650" w:rsidP="00557C7A">
      <w:pPr>
        <w:pStyle w:val="ActHead5"/>
      </w:pPr>
      <w:bookmarkStart w:id="4" w:name="_Toc165985453"/>
      <w:r w:rsidRPr="00905305">
        <w:rPr>
          <w:rStyle w:val="CharSectno"/>
        </w:rPr>
        <w:t>4</w:t>
      </w:r>
      <w:r w:rsidR="00557C7A" w:rsidRPr="00905305">
        <w:t xml:space="preserve">  </w:t>
      </w:r>
      <w:r w:rsidR="00083F48" w:rsidRPr="00905305">
        <w:t>Schedules</w:t>
      </w:r>
      <w:bookmarkEnd w:id="4"/>
    </w:p>
    <w:p w14:paraId="69F6733E" w14:textId="77777777" w:rsidR="00557C7A" w:rsidRPr="00905305" w:rsidRDefault="00557C7A" w:rsidP="00557C7A">
      <w:pPr>
        <w:pStyle w:val="subsection"/>
      </w:pPr>
      <w:r w:rsidRPr="00905305">
        <w:tab/>
      </w:r>
      <w:r w:rsidRPr="00905305">
        <w:tab/>
      </w:r>
      <w:r w:rsidR="00083F48" w:rsidRPr="00905305">
        <w:t xml:space="preserve">Each </w:t>
      </w:r>
      <w:r w:rsidR="00160BD7" w:rsidRPr="00905305">
        <w:t>instrument</w:t>
      </w:r>
      <w:r w:rsidR="00083F48" w:rsidRPr="00905305">
        <w:t xml:space="preserve"> that is specified in a Schedule to </w:t>
      </w:r>
      <w:r w:rsidR="00435320" w:rsidRPr="00905305">
        <w:t>this instrument</w:t>
      </w:r>
      <w:r w:rsidR="00083F48" w:rsidRPr="00905305">
        <w:t xml:space="preserve"> is amended or repealed as set out in the applicable items in the Schedule concerned, and any other item in a Schedule to </w:t>
      </w:r>
      <w:r w:rsidR="00435320" w:rsidRPr="00905305">
        <w:t>this instrument</w:t>
      </w:r>
      <w:r w:rsidR="00083F48" w:rsidRPr="00905305">
        <w:t xml:space="preserve"> has effect according to its terms.</w:t>
      </w:r>
    </w:p>
    <w:p w14:paraId="2EB00045" w14:textId="77777777" w:rsidR="00DC10BC" w:rsidRPr="00905305" w:rsidRDefault="00E017ED" w:rsidP="00DC10BC">
      <w:pPr>
        <w:pStyle w:val="ActHead6"/>
        <w:pageBreakBefore/>
      </w:pPr>
      <w:bookmarkStart w:id="5" w:name="_Toc165985454"/>
      <w:r w:rsidRPr="00905305">
        <w:rPr>
          <w:rStyle w:val="CharAmSchNo"/>
        </w:rPr>
        <w:lastRenderedPageBreak/>
        <w:t>Schedule 1</w:t>
      </w:r>
      <w:r w:rsidR="00DC10BC" w:rsidRPr="00905305">
        <w:t>—</w:t>
      </w:r>
      <w:r w:rsidR="00DC10BC" w:rsidRPr="00905305">
        <w:rPr>
          <w:rStyle w:val="CharAmSchText"/>
        </w:rPr>
        <w:t>Amendments commencing day after registration</w:t>
      </w:r>
      <w:bookmarkEnd w:id="5"/>
    </w:p>
    <w:p w14:paraId="31071C60" w14:textId="77777777" w:rsidR="00DC10BC" w:rsidRPr="00905305" w:rsidRDefault="00E017ED" w:rsidP="00DC10BC">
      <w:pPr>
        <w:pStyle w:val="ActHead7"/>
      </w:pPr>
      <w:bookmarkStart w:id="6" w:name="_Toc165985455"/>
      <w:r w:rsidRPr="00905305">
        <w:rPr>
          <w:rStyle w:val="CharAmPartNo"/>
        </w:rPr>
        <w:t>Part 1</w:t>
      </w:r>
      <w:r w:rsidR="00DC10BC" w:rsidRPr="00905305">
        <w:t>—</w:t>
      </w:r>
      <w:r w:rsidR="00DC10BC" w:rsidRPr="00905305">
        <w:rPr>
          <w:rStyle w:val="CharAmPartText"/>
        </w:rPr>
        <w:t>Medicines Repurposing Program</w:t>
      </w:r>
      <w:bookmarkEnd w:id="6"/>
    </w:p>
    <w:p w14:paraId="78D86963" w14:textId="77777777" w:rsidR="00DC10BC" w:rsidRPr="00905305" w:rsidRDefault="00DC10BC" w:rsidP="00DC10BC">
      <w:pPr>
        <w:pStyle w:val="ActHead9"/>
      </w:pPr>
      <w:bookmarkStart w:id="7" w:name="_Toc165985456"/>
      <w:bookmarkStart w:id="8" w:name="_Hlk159327229"/>
      <w:r w:rsidRPr="00905305">
        <w:t>Therapeutic Goods Regulations 1990</w:t>
      </w:r>
      <w:bookmarkEnd w:id="7"/>
    </w:p>
    <w:p w14:paraId="214FE4FE" w14:textId="77777777" w:rsidR="00DC10BC" w:rsidRPr="00905305" w:rsidRDefault="00147E55" w:rsidP="00DC10BC">
      <w:pPr>
        <w:pStyle w:val="ItemHead"/>
      </w:pPr>
      <w:r w:rsidRPr="00905305">
        <w:t>1</w:t>
      </w:r>
      <w:r w:rsidR="00DC10BC" w:rsidRPr="00905305">
        <w:t xml:space="preserve">  After paragraph 35A(1)(e)</w:t>
      </w:r>
    </w:p>
    <w:p w14:paraId="111098A7" w14:textId="77777777" w:rsidR="00DC10BC" w:rsidRPr="00905305" w:rsidRDefault="00DC10BC" w:rsidP="00DC10BC">
      <w:pPr>
        <w:pStyle w:val="Item"/>
      </w:pPr>
      <w:r w:rsidRPr="00905305">
        <w:t>Insert:</w:t>
      </w:r>
    </w:p>
    <w:p w14:paraId="44BCF0DF" w14:textId="77777777" w:rsidR="00DC10BC" w:rsidRPr="00905305" w:rsidRDefault="00DC10BC" w:rsidP="00DC10BC">
      <w:pPr>
        <w:pStyle w:val="paragraph"/>
      </w:pPr>
      <w:r w:rsidRPr="00905305">
        <w:tab/>
        <w:t>(</w:t>
      </w:r>
      <w:proofErr w:type="spellStart"/>
      <w:r w:rsidRPr="00905305">
        <w:t>ea</w:t>
      </w:r>
      <w:proofErr w:type="spellEnd"/>
      <w:r w:rsidRPr="00905305">
        <w:t>)</w:t>
      </w:r>
      <w:r w:rsidRPr="00905305">
        <w:tab/>
        <w:t>the repurposing of medicines under the program known as the Medicines Repurposing Program;</w:t>
      </w:r>
    </w:p>
    <w:p w14:paraId="1F716950" w14:textId="77777777" w:rsidR="00DC10BC" w:rsidRPr="00905305" w:rsidRDefault="00147E55" w:rsidP="00DC10BC">
      <w:pPr>
        <w:pStyle w:val="ItemHead"/>
      </w:pPr>
      <w:r w:rsidRPr="00905305">
        <w:t>2</w:t>
      </w:r>
      <w:r w:rsidR="00DC10BC" w:rsidRPr="00905305">
        <w:t xml:space="preserve">  After </w:t>
      </w:r>
      <w:r w:rsidR="00F90F31" w:rsidRPr="00905305">
        <w:t>subregulation 4</w:t>
      </w:r>
      <w:r w:rsidR="00DC10BC" w:rsidRPr="00905305">
        <w:t>5(4AA)</w:t>
      </w:r>
    </w:p>
    <w:p w14:paraId="5CE1F4C8" w14:textId="77777777" w:rsidR="00DC10BC" w:rsidRPr="00905305" w:rsidRDefault="00DC10BC" w:rsidP="00DC10BC">
      <w:pPr>
        <w:pStyle w:val="Item"/>
      </w:pPr>
      <w:r w:rsidRPr="00905305">
        <w:t>Insert:</w:t>
      </w:r>
    </w:p>
    <w:p w14:paraId="63788AE0" w14:textId="77777777" w:rsidR="00DC10BC" w:rsidRPr="00905305" w:rsidRDefault="00DC10BC" w:rsidP="00DC10BC">
      <w:pPr>
        <w:pStyle w:val="SubsectionHead"/>
      </w:pPr>
      <w:r w:rsidRPr="00905305">
        <w:t>Waiver of application and evaluation fees—Medicines Repurposing Program</w:t>
      </w:r>
    </w:p>
    <w:p w14:paraId="227494A2" w14:textId="77777777" w:rsidR="00DC10BC" w:rsidRPr="00905305" w:rsidRDefault="00DC10BC" w:rsidP="00DC10BC">
      <w:pPr>
        <w:pStyle w:val="subsection"/>
      </w:pPr>
      <w:r w:rsidRPr="00905305">
        <w:tab/>
        <w:t>(4AB)</w:t>
      </w:r>
      <w:r w:rsidRPr="00905305">
        <w:tab/>
        <w:t xml:space="preserve">The Secretary may waive an application fee or evaluation fee prescribed in Schedule 9 to these </w:t>
      </w:r>
      <w:r w:rsidR="007878FF" w:rsidRPr="00905305">
        <w:t>Regulations</w:t>
      </w:r>
      <w:r w:rsidRPr="00905305">
        <w:t xml:space="preserve"> in relation to an application under section 23 of the Act if:</w:t>
      </w:r>
    </w:p>
    <w:p w14:paraId="6D76DBD9" w14:textId="77777777" w:rsidR="00DC10BC" w:rsidRPr="00905305" w:rsidRDefault="00DC10BC" w:rsidP="00DC10BC">
      <w:pPr>
        <w:pStyle w:val="paragraph"/>
      </w:pPr>
      <w:r w:rsidRPr="00905305">
        <w:tab/>
        <w:t>(a)</w:t>
      </w:r>
      <w:r w:rsidRPr="00905305">
        <w:tab/>
        <w:t>the application is for an extension of indications of a registered medicine; and</w:t>
      </w:r>
    </w:p>
    <w:p w14:paraId="03DCFB3D" w14:textId="77777777" w:rsidR="00DC10BC" w:rsidRPr="00905305" w:rsidRDefault="00DC10BC" w:rsidP="00DC10BC">
      <w:pPr>
        <w:pStyle w:val="paragraph"/>
      </w:pPr>
      <w:r w:rsidRPr="00905305">
        <w:tab/>
        <w:t>(b)</w:t>
      </w:r>
      <w:r w:rsidRPr="00905305">
        <w:tab/>
        <w:t>the Secretary is satisfied that the medicine is suitable for repurposing under the program known as the Medicines Repurposing Program.</w:t>
      </w:r>
    </w:p>
    <w:p w14:paraId="4F9EF9BF" w14:textId="77777777" w:rsidR="00DC10BC" w:rsidRPr="00905305" w:rsidRDefault="00DC10BC" w:rsidP="00DC10BC">
      <w:pPr>
        <w:pStyle w:val="subsection"/>
      </w:pPr>
      <w:r w:rsidRPr="00905305">
        <w:tab/>
        <w:t>(4AC)</w:t>
      </w:r>
      <w:r w:rsidRPr="00905305">
        <w:tab/>
        <w:t>The Secretary may waive a fee under subregulation (4AB) on the Secretary’s own initiative or on application.</w:t>
      </w:r>
    </w:p>
    <w:bookmarkEnd w:id="8"/>
    <w:p w14:paraId="20E00322" w14:textId="77777777" w:rsidR="00DC10BC" w:rsidRPr="00905305" w:rsidRDefault="00147E55" w:rsidP="00DC10BC">
      <w:pPr>
        <w:pStyle w:val="ItemHead"/>
      </w:pPr>
      <w:r w:rsidRPr="00905305">
        <w:t>3</w:t>
      </w:r>
      <w:r w:rsidR="00DC10BC" w:rsidRPr="00905305">
        <w:t xml:space="preserve">  </w:t>
      </w:r>
      <w:r w:rsidR="00F90F31" w:rsidRPr="00905305">
        <w:t>Subregulation 4</w:t>
      </w:r>
      <w:r w:rsidR="00DC10BC" w:rsidRPr="00905305">
        <w:t xml:space="preserve">8(1) (after table </w:t>
      </w:r>
      <w:r w:rsidR="00F90F31" w:rsidRPr="00905305">
        <w:t>item 5</w:t>
      </w:r>
      <w:r w:rsidR="00DC10BC" w:rsidRPr="00905305">
        <w:t xml:space="preserve"> in the definition of </w:t>
      </w:r>
      <w:r w:rsidR="00DC10BC" w:rsidRPr="00905305">
        <w:rPr>
          <w:i/>
        </w:rPr>
        <w:t>eligible person</w:t>
      </w:r>
      <w:r w:rsidR="00DC10BC" w:rsidRPr="00905305">
        <w:t>)</w:t>
      </w:r>
    </w:p>
    <w:p w14:paraId="4CE4F4A9" w14:textId="77777777" w:rsidR="00DC10BC" w:rsidRPr="00905305" w:rsidRDefault="00DC10BC" w:rsidP="00DC10BC">
      <w:pPr>
        <w:pStyle w:val="Item"/>
      </w:pPr>
      <w:r w:rsidRPr="00905305">
        <w:t>Insert:</w:t>
      </w:r>
    </w:p>
    <w:tbl>
      <w:tblPr>
        <w:tblW w:w="7088" w:type="dxa"/>
        <w:tblInd w:w="721" w:type="dxa"/>
        <w:tblLayout w:type="fixed"/>
        <w:tblLook w:val="0000" w:firstRow="0" w:lastRow="0" w:firstColumn="0" w:lastColumn="0" w:noHBand="0" w:noVBand="0"/>
      </w:tblPr>
      <w:tblGrid>
        <w:gridCol w:w="714"/>
        <w:gridCol w:w="3255"/>
        <w:gridCol w:w="3119"/>
      </w:tblGrid>
      <w:tr w:rsidR="00DC10BC" w:rsidRPr="00905305" w14:paraId="4C7D0399" w14:textId="77777777" w:rsidTr="00F90F31">
        <w:tc>
          <w:tcPr>
            <w:tcW w:w="714" w:type="dxa"/>
            <w:shd w:val="clear" w:color="auto" w:fill="auto"/>
          </w:tcPr>
          <w:p w14:paraId="068AD1E9" w14:textId="77777777" w:rsidR="00DC10BC" w:rsidRPr="00905305" w:rsidRDefault="00DC10BC" w:rsidP="00F90F31">
            <w:pPr>
              <w:pStyle w:val="Tabletext"/>
            </w:pPr>
            <w:r w:rsidRPr="00905305">
              <w:t>5A</w:t>
            </w:r>
          </w:p>
        </w:tc>
        <w:tc>
          <w:tcPr>
            <w:tcW w:w="3255" w:type="dxa"/>
            <w:shd w:val="clear" w:color="auto" w:fill="auto"/>
          </w:tcPr>
          <w:p w14:paraId="16A39B4F" w14:textId="77777777" w:rsidR="00DC10BC" w:rsidRPr="00905305" w:rsidRDefault="00DC10BC" w:rsidP="00F90F31">
            <w:pPr>
              <w:pStyle w:val="Tabletext"/>
            </w:pPr>
            <w:r w:rsidRPr="00905305">
              <w:t xml:space="preserve">decision to refuse to waive a fee under </w:t>
            </w:r>
            <w:r w:rsidR="00F90F31" w:rsidRPr="00905305">
              <w:t>subregulation 4</w:t>
            </w:r>
            <w:r w:rsidRPr="00905305">
              <w:t xml:space="preserve">5(4AB) following an application referred to in </w:t>
            </w:r>
            <w:r w:rsidR="00F90F31" w:rsidRPr="00905305">
              <w:t>subregulation 4</w:t>
            </w:r>
            <w:r w:rsidRPr="00905305">
              <w:t>5(4AC)</w:t>
            </w:r>
          </w:p>
        </w:tc>
        <w:tc>
          <w:tcPr>
            <w:tcW w:w="3119" w:type="dxa"/>
            <w:shd w:val="clear" w:color="auto" w:fill="auto"/>
          </w:tcPr>
          <w:p w14:paraId="1D89DA00" w14:textId="77777777" w:rsidR="00DC10BC" w:rsidRPr="00905305" w:rsidRDefault="00DC10BC" w:rsidP="00F90F31">
            <w:pPr>
              <w:pStyle w:val="Tabletext"/>
            </w:pPr>
            <w:r w:rsidRPr="00905305">
              <w:t xml:space="preserve">the person who made the application referred to in </w:t>
            </w:r>
            <w:r w:rsidR="00F90F31" w:rsidRPr="00905305">
              <w:t>subregulation 4</w:t>
            </w:r>
            <w:r w:rsidRPr="00905305">
              <w:t>5(4AC)</w:t>
            </w:r>
          </w:p>
        </w:tc>
      </w:tr>
    </w:tbl>
    <w:p w14:paraId="72FFD700" w14:textId="77777777" w:rsidR="00DC10BC" w:rsidRPr="00905305" w:rsidRDefault="00147E55" w:rsidP="00DC10BC">
      <w:pPr>
        <w:pStyle w:val="ItemHead"/>
      </w:pPr>
      <w:r w:rsidRPr="00905305">
        <w:t>4</w:t>
      </w:r>
      <w:r w:rsidR="00DC10BC" w:rsidRPr="00905305">
        <w:t xml:space="preserve">  </w:t>
      </w:r>
      <w:r w:rsidR="00F90F31" w:rsidRPr="00905305">
        <w:t>Subregulation 4</w:t>
      </w:r>
      <w:r w:rsidR="00DC10BC" w:rsidRPr="00905305">
        <w:t xml:space="preserve">8(1) (at the end of </w:t>
      </w:r>
      <w:r w:rsidR="00753B79" w:rsidRPr="00905305">
        <w:t>paragraph (</w:t>
      </w:r>
      <w:r w:rsidR="00DC10BC" w:rsidRPr="00905305">
        <w:t xml:space="preserve">g) of the definition of </w:t>
      </w:r>
      <w:r w:rsidR="00DC10BC" w:rsidRPr="00905305">
        <w:rPr>
          <w:i/>
        </w:rPr>
        <w:t>initial decision</w:t>
      </w:r>
      <w:r w:rsidR="00DC10BC" w:rsidRPr="00905305">
        <w:t>)</w:t>
      </w:r>
    </w:p>
    <w:p w14:paraId="5BE813B5" w14:textId="77777777" w:rsidR="00DC10BC" w:rsidRPr="00905305" w:rsidRDefault="00DC10BC" w:rsidP="00DC10BC">
      <w:pPr>
        <w:pStyle w:val="Item"/>
      </w:pPr>
      <w:r w:rsidRPr="00905305">
        <w:t xml:space="preserve">Add “(other than a decision to waive a fee under </w:t>
      </w:r>
      <w:r w:rsidR="00F90F31" w:rsidRPr="00905305">
        <w:t>subregulation 4</w:t>
      </w:r>
      <w:r w:rsidRPr="00905305">
        <w:t>5(4AB))”.</w:t>
      </w:r>
    </w:p>
    <w:p w14:paraId="7148F891" w14:textId="77777777" w:rsidR="00DC10BC" w:rsidRPr="00905305" w:rsidRDefault="00E017ED" w:rsidP="00DC10BC">
      <w:pPr>
        <w:pStyle w:val="ActHead7"/>
        <w:pageBreakBefore/>
      </w:pPr>
      <w:bookmarkStart w:id="9" w:name="_Toc165985457"/>
      <w:r w:rsidRPr="00905305">
        <w:rPr>
          <w:rStyle w:val="CharAmPartNo"/>
        </w:rPr>
        <w:lastRenderedPageBreak/>
        <w:t>Part 2</w:t>
      </w:r>
      <w:r w:rsidR="00DC10BC" w:rsidRPr="00905305">
        <w:t>—</w:t>
      </w:r>
      <w:r w:rsidR="00DC10BC" w:rsidRPr="00905305">
        <w:rPr>
          <w:rStyle w:val="CharAmPartText"/>
        </w:rPr>
        <w:t xml:space="preserve">Exemption for </w:t>
      </w:r>
      <w:r w:rsidR="00EA2B16" w:rsidRPr="00905305">
        <w:rPr>
          <w:rStyle w:val="CharAmPartText"/>
        </w:rPr>
        <w:t xml:space="preserve">certain </w:t>
      </w:r>
      <w:r w:rsidR="00DC10BC" w:rsidRPr="00905305">
        <w:rPr>
          <w:rStyle w:val="CharAmPartText"/>
        </w:rPr>
        <w:t>prescription spectacle lenses</w:t>
      </w:r>
      <w:bookmarkEnd w:id="9"/>
    </w:p>
    <w:p w14:paraId="1774CF82" w14:textId="77777777" w:rsidR="00DC10BC" w:rsidRPr="00905305" w:rsidRDefault="00DC10BC" w:rsidP="00DC10BC">
      <w:pPr>
        <w:pStyle w:val="ActHead9"/>
      </w:pPr>
      <w:bookmarkStart w:id="10" w:name="_Toc165985458"/>
      <w:r w:rsidRPr="00905305">
        <w:t xml:space="preserve">Therapeutic Goods (Medical Devices) </w:t>
      </w:r>
      <w:r w:rsidR="007E6F68" w:rsidRPr="00905305">
        <w:t>Regulations 2</w:t>
      </w:r>
      <w:r w:rsidRPr="00905305">
        <w:t>002</w:t>
      </w:r>
      <w:bookmarkEnd w:id="10"/>
    </w:p>
    <w:p w14:paraId="77497960" w14:textId="77777777" w:rsidR="00DC10BC" w:rsidRPr="00905305" w:rsidRDefault="00147E55" w:rsidP="00DC10BC">
      <w:pPr>
        <w:pStyle w:val="ItemHead"/>
      </w:pPr>
      <w:r w:rsidRPr="00905305">
        <w:t>5</w:t>
      </w:r>
      <w:r w:rsidR="00DC10BC" w:rsidRPr="00905305">
        <w:t xml:space="preserve">  </w:t>
      </w:r>
      <w:r w:rsidR="00E017ED" w:rsidRPr="00905305">
        <w:t>Part 1</w:t>
      </w:r>
      <w:r w:rsidR="00DC10BC" w:rsidRPr="00905305">
        <w:t xml:space="preserve"> of </w:t>
      </w:r>
      <w:r w:rsidR="00E017ED" w:rsidRPr="00905305">
        <w:t>Schedule 4</w:t>
      </w:r>
      <w:r w:rsidR="00DC10BC" w:rsidRPr="00905305">
        <w:t xml:space="preserve"> (after table item 1.4)</w:t>
      </w:r>
    </w:p>
    <w:p w14:paraId="58C25F32" w14:textId="77777777" w:rsidR="00DC10BC" w:rsidRPr="00905305" w:rsidRDefault="00DC10BC" w:rsidP="00DC10BC">
      <w:pPr>
        <w:pStyle w:val="Item"/>
      </w:pPr>
      <w:r w:rsidRPr="00905305">
        <w:t>Insert:</w:t>
      </w:r>
    </w:p>
    <w:p w14:paraId="33CADCCD" w14:textId="77777777" w:rsidR="00DC10BC" w:rsidRPr="00905305" w:rsidRDefault="00DC10BC" w:rsidP="00DC10BC">
      <w:pPr>
        <w:pStyle w:val="Tabletext"/>
      </w:pPr>
    </w:p>
    <w:tbl>
      <w:tblPr>
        <w:tblW w:w="5000" w:type="pct"/>
        <w:tblLook w:val="0000" w:firstRow="0" w:lastRow="0" w:firstColumn="0" w:lastColumn="0" w:noHBand="0" w:noVBand="0"/>
      </w:tblPr>
      <w:tblGrid>
        <w:gridCol w:w="778"/>
        <w:gridCol w:w="7751"/>
      </w:tblGrid>
      <w:tr w:rsidR="00DC10BC" w:rsidRPr="00905305" w14:paraId="3136CF7D" w14:textId="77777777" w:rsidTr="00F90F31">
        <w:tc>
          <w:tcPr>
            <w:tcW w:w="456" w:type="pct"/>
            <w:shd w:val="clear" w:color="auto" w:fill="auto"/>
          </w:tcPr>
          <w:p w14:paraId="088583EF" w14:textId="77777777" w:rsidR="00DC10BC" w:rsidRPr="00905305" w:rsidRDefault="00DC10BC" w:rsidP="00F90F31">
            <w:pPr>
              <w:pStyle w:val="Tabletext"/>
            </w:pPr>
            <w:r w:rsidRPr="00905305">
              <w:t>1.</w:t>
            </w:r>
            <w:r w:rsidR="003F0469" w:rsidRPr="00905305">
              <w:t>4A</w:t>
            </w:r>
          </w:p>
        </w:tc>
        <w:tc>
          <w:tcPr>
            <w:tcW w:w="4544" w:type="pct"/>
            <w:shd w:val="clear" w:color="auto" w:fill="auto"/>
          </w:tcPr>
          <w:p w14:paraId="05232B0A" w14:textId="77777777" w:rsidR="00DC10BC" w:rsidRPr="00905305" w:rsidRDefault="00DC10BC" w:rsidP="00991F42">
            <w:pPr>
              <w:pStyle w:val="Tabletext"/>
            </w:pPr>
            <w:r w:rsidRPr="00905305">
              <w:t xml:space="preserve">Medical device </w:t>
            </w:r>
            <w:r w:rsidR="00991F42" w:rsidRPr="00905305">
              <w:t xml:space="preserve">that is </w:t>
            </w:r>
            <w:r w:rsidR="00960B72" w:rsidRPr="00905305">
              <w:t>prescription spectacle lenses (whether or not supplied with a mounting) i</w:t>
            </w:r>
            <w:r w:rsidR="004D3D82" w:rsidRPr="00905305">
              <w:t xml:space="preserve">f the lenses (disregarding any </w:t>
            </w:r>
            <w:r w:rsidR="00EA2B16" w:rsidRPr="00905305">
              <w:t>lens treatments</w:t>
            </w:r>
            <w:r w:rsidR="004D3D82" w:rsidRPr="00905305">
              <w:t>) are i</w:t>
            </w:r>
            <w:r w:rsidR="00960B72" w:rsidRPr="00905305">
              <w:t>ntended</w:t>
            </w:r>
            <w:r w:rsidR="002277F3" w:rsidRPr="00905305">
              <w:t>, by the person under whose name the device is or is to be supplied,</w:t>
            </w:r>
            <w:r w:rsidR="00960B72" w:rsidRPr="00905305">
              <w:t xml:space="preserve"> to </w:t>
            </w:r>
            <w:r w:rsidR="000C6400" w:rsidRPr="00905305">
              <w:t>be used</w:t>
            </w:r>
            <w:r w:rsidR="00960B72" w:rsidRPr="00905305">
              <w:t xml:space="preserve"> only to provide refractive corrections</w:t>
            </w:r>
          </w:p>
        </w:tc>
      </w:tr>
    </w:tbl>
    <w:p w14:paraId="1EC2B25F" w14:textId="77777777" w:rsidR="00F32F82" w:rsidRPr="00905305" w:rsidRDefault="007B0658" w:rsidP="00DC10BC">
      <w:pPr>
        <w:pStyle w:val="ActHead7"/>
        <w:pageBreakBefore/>
      </w:pPr>
      <w:bookmarkStart w:id="11" w:name="_Toc165985459"/>
      <w:r w:rsidRPr="00905305">
        <w:rPr>
          <w:rStyle w:val="CharAmPartNo"/>
        </w:rPr>
        <w:lastRenderedPageBreak/>
        <w:t>Part 3</w:t>
      </w:r>
      <w:r w:rsidR="00F32F82" w:rsidRPr="00905305">
        <w:t>—</w:t>
      </w:r>
      <w:r w:rsidR="009A4A53" w:rsidRPr="00905305">
        <w:rPr>
          <w:rStyle w:val="CharAmPartText"/>
        </w:rPr>
        <w:t>Classification rules for p</w:t>
      </w:r>
      <w:r w:rsidR="00325788" w:rsidRPr="00905305">
        <w:rPr>
          <w:rStyle w:val="CharAmPartText"/>
        </w:rPr>
        <w:t>rogrammed or programmable medical device or software that is a medical device</w:t>
      </w:r>
      <w:bookmarkEnd w:id="11"/>
    </w:p>
    <w:p w14:paraId="2E41B6B0" w14:textId="77777777" w:rsidR="00E5083F" w:rsidRPr="00905305" w:rsidRDefault="00E5083F" w:rsidP="00E5083F">
      <w:pPr>
        <w:pStyle w:val="ActHead9"/>
      </w:pPr>
      <w:bookmarkStart w:id="12" w:name="_Toc165985460"/>
      <w:r w:rsidRPr="00905305">
        <w:t xml:space="preserve">Therapeutic Goods (Medical Devices) </w:t>
      </w:r>
      <w:r w:rsidR="007E6F68" w:rsidRPr="00905305">
        <w:t>Regulations 2</w:t>
      </w:r>
      <w:r w:rsidRPr="00905305">
        <w:t>002</w:t>
      </w:r>
      <w:bookmarkEnd w:id="12"/>
    </w:p>
    <w:p w14:paraId="2A0A3F0D" w14:textId="77777777" w:rsidR="00773C8A" w:rsidRPr="00905305" w:rsidRDefault="00E5083F" w:rsidP="00E5083F">
      <w:pPr>
        <w:pStyle w:val="ItemHead"/>
      </w:pPr>
      <w:r w:rsidRPr="00905305">
        <w:t xml:space="preserve">6  </w:t>
      </w:r>
      <w:r w:rsidR="007B0658" w:rsidRPr="00905305">
        <w:t>Subregulation 1</w:t>
      </w:r>
      <w:r w:rsidR="001C0BEB" w:rsidRPr="00905305">
        <w:t>1.45(2)</w:t>
      </w:r>
    </w:p>
    <w:p w14:paraId="6621A9A4" w14:textId="77777777" w:rsidR="00773C8A" w:rsidRPr="00905305" w:rsidRDefault="00E41951" w:rsidP="001C0BEB">
      <w:pPr>
        <w:pStyle w:val="Item"/>
      </w:pPr>
      <w:r w:rsidRPr="00905305">
        <w:t>After</w:t>
      </w:r>
      <w:r w:rsidR="001C0BEB" w:rsidRPr="00905305">
        <w:t xml:space="preserve"> “(3)”, </w:t>
      </w:r>
      <w:r w:rsidRPr="00905305">
        <w:t>insert</w:t>
      </w:r>
      <w:r w:rsidR="001C0BEB" w:rsidRPr="00905305">
        <w:t xml:space="preserve"> “</w:t>
      </w:r>
      <w:r w:rsidRPr="00905305">
        <w:t>, (4A)</w:t>
      </w:r>
      <w:r w:rsidR="001C0BEB" w:rsidRPr="00905305">
        <w:t>”.</w:t>
      </w:r>
    </w:p>
    <w:p w14:paraId="3475E334" w14:textId="77777777" w:rsidR="00E5083F" w:rsidRPr="00905305" w:rsidRDefault="00E41951" w:rsidP="00E5083F">
      <w:pPr>
        <w:pStyle w:val="ItemHead"/>
      </w:pPr>
      <w:r w:rsidRPr="00905305">
        <w:t>7</w:t>
      </w:r>
      <w:r w:rsidR="00773C8A" w:rsidRPr="00905305">
        <w:t xml:space="preserve">  </w:t>
      </w:r>
      <w:r w:rsidR="00554516" w:rsidRPr="00905305">
        <w:t xml:space="preserve">After </w:t>
      </w:r>
      <w:r w:rsidR="007B0658" w:rsidRPr="00905305">
        <w:t>subregulation 1</w:t>
      </w:r>
      <w:r w:rsidR="00773C8A" w:rsidRPr="00905305">
        <w:t>1.45</w:t>
      </w:r>
      <w:r w:rsidR="00554516" w:rsidRPr="00905305">
        <w:t>(4)</w:t>
      </w:r>
    </w:p>
    <w:p w14:paraId="299A0793" w14:textId="77777777" w:rsidR="00773C8A" w:rsidRPr="00905305" w:rsidRDefault="00554516" w:rsidP="00773C8A">
      <w:pPr>
        <w:pStyle w:val="Item"/>
      </w:pPr>
      <w:r w:rsidRPr="00905305">
        <w:t>Insert</w:t>
      </w:r>
      <w:r w:rsidR="00773C8A" w:rsidRPr="00905305">
        <w:t>:</w:t>
      </w:r>
    </w:p>
    <w:p w14:paraId="15216966" w14:textId="77777777" w:rsidR="00773C8A" w:rsidRPr="00905305" w:rsidRDefault="00773C8A" w:rsidP="00773C8A">
      <w:pPr>
        <w:pStyle w:val="subsection"/>
      </w:pPr>
      <w:r w:rsidRPr="00905305">
        <w:tab/>
        <w:t>(</w:t>
      </w:r>
      <w:r w:rsidR="00554516" w:rsidRPr="00905305">
        <w:t>4A</w:t>
      </w:r>
      <w:r w:rsidRPr="00905305">
        <w:t>)</w:t>
      </w:r>
      <w:r w:rsidRPr="00905305">
        <w:tab/>
      </w:r>
      <w:r w:rsidR="001C0BEB" w:rsidRPr="00905305">
        <w:t>Clauses 4.5 to 4.8 of Schedule 2, as added by Schedule 2 to the amending regulations, do not apply in relation to a transitional kind of medical device before the day applicable under subregulation (</w:t>
      </w:r>
      <w:r w:rsidR="00554516" w:rsidRPr="00905305">
        <w:t>4B</w:t>
      </w:r>
      <w:r w:rsidR="001C0BEB" w:rsidRPr="00905305">
        <w:t>) if:</w:t>
      </w:r>
    </w:p>
    <w:p w14:paraId="3DD51D1C" w14:textId="77777777" w:rsidR="00BD55BB" w:rsidRPr="00905305" w:rsidRDefault="00BD55BB" w:rsidP="00BD55BB">
      <w:pPr>
        <w:pStyle w:val="paragraph"/>
      </w:pPr>
      <w:r w:rsidRPr="00905305">
        <w:tab/>
        <w:t>(</w:t>
      </w:r>
      <w:r w:rsidR="00B77EDB" w:rsidRPr="00905305">
        <w:t>a</w:t>
      </w:r>
      <w:r w:rsidRPr="00905305">
        <w:t>)</w:t>
      </w:r>
      <w:r w:rsidRPr="00905305">
        <w:tab/>
        <w:t xml:space="preserve">on or after </w:t>
      </w:r>
      <w:r w:rsidR="007B0658" w:rsidRPr="00905305">
        <w:t>25 </w:t>
      </w:r>
      <w:r w:rsidR="00D244B0" w:rsidRPr="00905305">
        <w:t>February</w:t>
      </w:r>
      <w:r w:rsidRPr="00905305">
        <w:t xml:space="preserve"> </w:t>
      </w:r>
      <w:r w:rsidR="00D244B0" w:rsidRPr="00905305">
        <w:t>2021</w:t>
      </w:r>
      <w:r w:rsidR="00C8014A" w:rsidRPr="00905305">
        <w:t>,</w:t>
      </w:r>
      <w:r w:rsidRPr="00905305">
        <w:t xml:space="preserve"> and before </w:t>
      </w:r>
      <w:r w:rsidR="007B0658" w:rsidRPr="00905305">
        <w:t>1 November</w:t>
      </w:r>
      <w:r w:rsidRPr="00905305">
        <w:t xml:space="preserve"> 2024, the person </w:t>
      </w:r>
      <w:r w:rsidR="00C8014A" w:rsidRPr="00905305">
        <w:t>makes</w:t>
      </w:r>
      <w:r w:rsidRPr="00905305">
        <w:t xml:space="preserve"> an application under section 41EB of the Act for a conformity assessment certificate in respect of </w:t>
      </w:r>
      <w:r w:rsidR="00B227D6" w:rsidRPr="00905305">
        <w:t xml:space="preserve">a kind (the </w:t>
      </w:r>
      <w:r w:rsidR="00B227D6" w:rsidRPr="00905305">
        <w:rPr>
          <w:b/>
          <w:i/>
        </w:rPr>
        <w:t>new kind</w:t>
      </w:r>
      <w:r w:rsidR="00B227D6" w:rsidRPr="00905305">
        <w:t>) of</w:t>
      </w:r>
      <w:r w:rsidRPr="00905305">
        <w:t xml:space="preserve"> medical device; and</w:t>
      </w:r>
    </w:p>
    <w:p w14:paraId="33CA97B6" w14:textId="77777777" w:rsidR="00BB4A06" w:rsidRPr="00905305" w:rsidRDefault="00BB4A06" w:rsidP="00BB4A06">
      <w:pPr>
        <w:pStyle w:val="paragraph"/>
      </w:pPr>
      <w:r w:rsidRPr="00905305">
        <w:tab/>
        <w:t>(</w:t>
      </w:r>
      <w:r w:rsidR="00B77EDB" w:rsidRPr="00905305">
        <w:t>b</w:t>
      </w:r>
      <w:r w:rsidRPr="00905305">
        <w:t>)</w:t>
      </w:r>
      <w:r w:rsidRPr="00905305">
        <w:tab/>
        <w:t>the person has not</w:t>
      </w:r>
      <w:r w:rsidR="005F4D93" w:rsidRPr="00905305">
        <w:t>,</w:t>
      </w:r>
      <w:r w:rsidRPr="00905305">
        <w:t xml:space="preserve"> </w:t>
      </w:r>
      <w:r w:rsidR="005F4D93" w:rsidRPr="00905305">
        <w:t xml:space="preserve">before </w:t>
      </w:r>
      <w:r w:rsidR="007B0658" w:rsidRPr="00905305">
        <w:t>1 November</w:t>
      </w:r>
      <w:r w:rsidR="005F4D93" w:rsidRPr="00905305">
        <w:t xml:space="preserve"> 2024, </w:t>
      </w:r>
      <w:r w:rsidRPr="00905305">
        <w:t xml:space="preserve">made an application </w:t>
      </w:r>
      <w:r w:rsidR="008A4661" w:rsidRPr="00905305">
        <w:t>under the Act to have</w:t>
      </w:r>
      <w:r w:rsidR="00B227D6" w:rsidRPr="00905305">
        <w:t xml:space="preserve"> the new kind of medical device</w:t>
      </w:r>
      <w:r w:rsidR="008A4661" w:rsidRPr="00905305">
        <w:t xml:space="preserve"> included in the Register</w:t>
      </w:r>
      <w:r w:rsidRPr="00905305">
        <w:t>; and</w:t>
      </w:r>
    </w:p>
    <w:p w14:paraId="7E2AE11A" w14:textId="77777777" w:rsidR="00BD55BB" w:rsidRPr="00905305" w:rsidRDefault="00BD55BB" w:rsidP="00BD55BB">
      <w:pPr>
        <w:pStyle w:val="paragraph"/>
      </w:pPr>
      <w:r w:rsidRPr="00905305">
        <w:tab/>
        <w:t>(</w:t>
      </w:r>
      <w:r w:rsidR="00B77EDB" w:rsidRPr="00905305">
        <w:t>c</w:t>
      </w:r>
      <w:r w:rsidRPr="00905305">
        <w:t>)</w:t>
      </w:r>
      <w:r w:rsidRPr="00905305">
        <w:tab/>
        <w:t xml:space="preserve">the person has not withdrawn </w:t>
      </w:r>
      <w:r w:rsidR="005F4D93" w:rsidRPr="00905305">
        <w:t>the conformity assessment certificate</w:t>
      </w:r>
      <w:r w:rsidRPr="00905305">
        <w:t xml:space="preserve"> application before </w:t>
      </w:r>
      <w:r w:rsidR="007B0658" w:rsidRPr="00905305">
        <w:t>1 November</w:t>
      </w:r>
      <w:r w:rsidRPr="00905305">
        <w:t xml:space="preserve"> 2024; and</w:t>
      </w:r>
    </w:p>
    <w:p w14:paraId="4E0AA74B" w14:textId="77777777" w:rsidR="00BD55BB" w:rsidRPr="00905305" w:rsidRDefault="00BD55BB" w:rsidP="00BD55BB">
      <w:pPr>
        <w:pStyle w:val="paragraph"/>
      </w:pPr>
      <w:r w:rsidRPr="00905305">
        <w:tab/>
        <w:t>(</w:t>
      </w:r>
      <w:r w:rsidR="00B77EDB" w:rsidRPr="00905305">
        <w:t>d</w:t>
      </w:r>
      <w:r w:rsidRPr="00905305">
        <w:t>)</w:t>
      </w:r>
      <w:r w:rsidRPr="00905305">
        <w:tab/>
      </w:r>
      <w:r w:rsidR="005F4D93" w:rsidRPr="00905305">
        <w:t>the conformity assessment certificate</w:t>
      </w:r>
      <w:r w:rsidRPr="00905305">
        <w:t xml:space="preserve"> application has not lapsed under section 41EG of the Act before </w:t>
      </w:r>
      <w:r w:rsidR="007B0658" w:rsidRPr="00905305">
        <w:t>1 November</w:t>
      </w:r>
      <w:r w:rsidRPr="00905305">
        <w:t xml:space="preserve"> 2024; and</w:t>
      </w:r>
    </w:p>
    <w:p w14:paraId="09C0C409" w14:textId="77777777" w:rsidR="00BD55BB" w:rsidRPr="00905305" w:rsidRDefault="00BD55BB" w:rsidP="00BD55BB">
      <w:pPr>
        <w:pStyle w:val="paragraph"/>
      </w:pPr>
      <w:r w:rsidRPr="00905305">
        <w:tab/>
        <w:t>(</w:t>
      </w:r>
      <w:r w:rsidR="00B77EDB" w:rsidRPr="00905305">
        <w:t>e</w:t>
      </w:r>
      <w:r w:rsidRPr="00905305">
        <w:t>)</w:t>
      </w:r>
      <w:r w:rsidRPr="00905305">
        <w:tab/>
        <w:t xml:space="preserve">the person gives the Secretary a notice under </w:t>
      </w:r>
      <w:r w:rsidR="007B0658" w:rsidRPr="00905305">
        <w:t>regulation 1</w:t>
      </w:r>
      <w:r w:rsidRPr="00905305">
        <w:t>1.46 in relation to the transitional kind of medical device; and</w:t>
      </w:r>
    </w:p>
    <w:p w14:paraId="432D544D" w14:textId="77777777" w:rsidR="00BD55BB" w:rsidRPr="00905305" w:rsidRDefault="00BD55BB" w:rsidP="00BD55BB">
      <w:pPr>
        <w:pStyle w:val="paragraph"/>
      </w:pPr>
      <w:r w:rsidRPr="00905305">
        <w:tab/>
        <w:t>(</w:t>
      </w:r>
      <w:r w:rsidR="00B77EDB" w:rsidRPr="00905305">
        <w:t>f</w:t>
      </w:r>
      <w:r w:rsidRPr="00905305">
        <w:t>)</w:t>
      </w:r>
      <w:r w:rsidRPr="00905305">
        <w:tab/>
        <w:t xml:space="preserve">the unique product identifier of </w:t>
      </w:r>
      <w:r w:rsidR="00D503CC" w:rsidRPr="00905305">
        <w:t xml:space="preserve">the </w:t>
      </w:r>
      <w:r w:rsidRPr="00905305">
        <w:t xml:space="preserve">new kind </w:t>
      </w:r>
      <w:r w:rsidR="00D503CC" w:rsidRPr="00905305">
        <w:t xml:space="preserve">of medical device </w:t>
      </w:r>
      <w:r w:rsidR="00227688" w:rsidRPr="00905305">
        <w:t xml:space="preserve">contained in the conformity assessment certificate application </w:t>
      </w:r>
      <w:r w:rsidRPr="00905305">
        <w:t>is the unique product identifier, or one of the unique product identifiers, stated in the notice.</w:t>
      </w:r>
    </w:p>
    <w:p w14:paraId="3D07EF4E" w14:textId="77777777" w:rsidR="00176E3D" w:rsidRPr="00905305" w:rsidRDefault="00365B56" w:rsidP="00176E3D">
      <w:pPr>
        <w:pStyle w:val="subsection"/>
      </w:pPr>
      <w:r w:rsidRPr="00905305">
        <w:tab/>
        <w:t>(</w:t>
      </w:r>
      <w:r w:rsidR="008A4661" w:rsidRPr="00905305">
        <w:t>4B</w:t>
      </w:r>
      <w:r w:rsidRPr="00905305">
        <w:t>)</w:t>
      </w:r>
      <w:r w:rsidRPr="00905305">
        <w:tab/>
      </w:r>
      <w:r w:rsidR="00176E3D" w:rsidRPr="00905305">
        <w:t>For the purposes of subregulation (</w:t>
      </w:r>
      <w:r w:rsidR="008A4661" w:rsidRPr="00905305">
        <w:t>4A</w:t>
      </w:r>
      <w:r w:rsidR="00176E3D" w:rsidRPr="00905305">
        <w:t>), the</w:t>
      </w:r>
      <w:r w:rsidR="00992C23" w:rsidRPr="00905305">
        <w:t xml:space="preserve"> applicable</w:t>
      </w:r>
      <w:r w:rsidR="00176E3D" w:rsidRPr="00905305">
        <w:t xml:space="preserve"> day is the later of </w:t>
      </w:r>
      <w:r w:rsidR="007B0658" w:rsidRPr="00905305">
        <w:t>1 November</w:t>
      </w:r>
      <w:r w:rsidR="00DA0F53" w:rsidRPr="00905305">
        <w:t xml:space="preserve"> 2024 </w:t>
      </w:r>
      <w:r w:rsidR="00176E3D" w:rsidRPr="00905305">
        <w:t>and the day after the earliest of the following days:</w:t>
      </w:r>
    </w:p>
    <w:p w14:paraId="74745B4D" w14:textId="77777777" w:rsidR="00176E3D" w:rsidRPr="00905305" w:rsidRDefault="00176E3D" w:rsidP="00F20B43">
      <w:pPr>
        <w:pStyle w:val="paragraph"/>
      </w:pPr>
      <w:r w:rsidRPr="00905305">
        <w:tab/>
        <w:t>(a)</w:t>
      </w:r>
      <w:r w:rsidRPr="00905305">
        <w:tab/>
        <w:t xml:space="preserve">the day the person withdraws the </w:t>
      </w:r>
      <w:r w:rsidR="00E3577C" w:rsidRPr="00905305">
        <w:t>conformity assessment certificate application</w:t>
      </w:r>
      <w:r w:rsidRPr="00905305">
        <w:t>;</w:t>
      </w:r>
    </w:p>
    <w:p w14:paraId="2EDF7C41" w14:textId="77777777" w:rsidR="00176E3D" w:rsidRPr="00905305" w:rsidRDefault="00176E3D" w:rsidP="00F20B43">
      <w:pPr>
        <w:pStyle w:val="paragraph"/>
      </w:pPr>
      <w:r w:rsidRPr="00905305">
        <w:tab/>
        <w:t>(b)</w:t>
      </w:r>
      <w:r w:rsidRPr="00905305">
        <w:tab/>
        <w:t>the day that application lapses under section 41EG of the Act;</w:t>
      </w:r>
    </w:p>
    <w:p w14:paraId="4EAE9703" w14:textId="77777777" w:rsidR="00176E3D" w:rsidRPr="00905305" w:rsidRDefault="00176E3D" w:rsidP="00F20B43">
      <w:pPr>
        <w:pStyle w:val="paragraph"/>
      </w:pPr>
      <w:r w:rsidRPr="00905305">
        <w:tab/>
        <w:t>(c)</w:t>
      </w:r>
      <w:r w:rsidRPr="00905305">
        <w:tab/>
        <w:t xml:space="preserve">in the case of a decision to </w:t>
      </w:r>
      <w:r w:rsidR="000425FB" w:rsidRPr="00905305">
        <w:t xml:space="preserve">not </w:t>
      </w:r>
      <w:r w:rsidRPr="00905305">
        <w:t>issue the conformity assessment certificate and where there is no longer any possibility of a change in the outcome of that decision—the first day on which there is no longer that possibility;</w:t>
      </w:r>
    </w:p>
    <w:p w14:paraId="1AE44048" w14:textId="77777777" w:rsidR="00176E3D" w:rsidRPr="00905305" w:rsidRDefault="00176E3D" w:rsidP="00F20B43">
      <w:pPr>
        <w:pStyle w:val="paragraph"/>
      </w:pPr>
      <w:r w:rsidRPr="00905305">
        <w:tab/>
        <w:t>(d)</w:t>
      </w:r>
      <w:r w:rsidRPr="00905305">
        <w:tab/>
      </w:r>
      <w:r w:rsidR="00C434B8" w:rsidRPr="00905305">
        <w:t xml:space="preserve">in </w:t>
      </w:r>
      <w:r w:rsidR="00EC30F3" w:rsidRPr="00905305">
        <w:t>the case of a decision to issue the conformity assessment certificate:</w:t>
      </w:r>
    </w:p>
    <w:p w14:paraId="4182DD1A" w14:textId="77777777" w:rsidR="00176E3D" w:rsidRPr="00905305" w:rsidRDefault="00176E3D" w:rsidP="00F20B43">
      <w:pPr>
        <w:pStyle w:val="paragraphsub"/>
      </w:pPr>
      <w:r w:rsidRPr="00905305">
        <w:tab/>
        <w:t>(i)</w:t>
      </w:r>
      <w:r w:rsidRPr="00905305">
        <w:tab/>
        <w:t xml:space="preserve">if, at the end of the period of 6 months beginning on the day of the issue of the certificate, the person has not made an application under the Act to have the </w:t>
      </w:r>
      <w:r w:rsidR="00EC30F3" w:rsidRPr="00905305">
        <w:t xml:space="preserve">new </w:t>
      </w:r>
      <w:r w:rsidRPr="00905305">
        <w:t>kind of medical device</w:t>
      </w:r>
      <w:r w:rsidR="00EC30F3" w:rsidRPr="00905305">
        <w:t xml:space="preserve"> </w:t>
      </w:r>
      <w:r w:rsidRPr="00905305">
        <w:t>included in the Register—the last day of that 6</w:t>
      </w:r>
      <w:r w:rsidR="007641D7" w:rsidRPr="00905305">
        <w:noBreakHyphen/>
      </w:r>
      <w:r w:rsidRPr="00905305">
        <w:t>month period; or</w:t>
      </w:r>
    </w:p>
    <w:p w14:paraId="54690B35" w14:textId="77777777" w:rsidR="00176E3D" w:rsidRPr="00905305" w:rsidRDefault="00176E3D" w:rsidP="00F20B43">
      <w:pPr>
        <w:pStyle w:val="paragraphsub"/>
      </w:pPr>
      <w:r w:rsidRPr="00905305">
        <w:tab/>
        <w:t>(ii)</w:t>
      </w:r>
      <w:r w:rsidRPr="00905305">
        <w:tab/>
      </w:r>
      <w:r w:rsidR="00C93E47" w:rsidRPr="00905305">
        <w:t>if, before the end of the period of 6 months beginning on the day of the issue of the certificate, the person has made an application under the Act to have the</w:t>
      </w:r>
      <w:r w:rsidR="00EB02A7" w:rsidRPr="00905305">
        <w:t xml:space="preserve"> new</w:t>
      </w:r>
      <w:r w:rsidR="00C93E47" w:rsidRPr="00905305">
        <w:t xml:space="preserve"> kind of medical device included in the Register</w:t>
      </w:r>
      <w:r w:rsidRPr="00905305">
        <w:t xml:space="preserve">—the day </w:t>
      </w:r>
      <w:r w:rsidR="00992C23" w:rsidRPr="00905305">
        <w:t xml:space="preserve">applicable </w:t>
      </w:r>
      <w:r w:rsidRPr="00905305">
        <w:t>under subregulation (</w:t>
      </w:r>
      <w:r w:rsidR="00F77E40" w:rsidRPr="00905305">
        <w:t>4C</w:t>
      </w:r>
      <w:r w:rsidRPr="00905305">
        <w:t>).</w:t>
      </w:r>
    </w:p>
    <w:p w14:paraId="5CDFC525" w14:textId="77777777" w:rsidR="00176E3D" w:rsidRPr="00905305" w:rsidRDefault="00176E3D" w:rsidP="00176E3D">
      <w:pPr>
        <w:pStyle w:val="subsection"/>
      </w:pPr>
      <w:r w:rsidRPr="00905305">
        <w:lastRenderedPageBreak/>
        <w:tab/>
        <w:t>(</w:t>
      </w:r>
      <w:r w:rsidR="00AF7ED3" w:rsidRPr="00905305">
        <w:t>4C</w:t>
      </w:r>
      <w:r w:rsidRPr="00905305">
        <w:t>)</w:t>
      </w:r>
      <w:r w:rsidRPr="00905305">
        <w:tab/>
        <w:t xml:space="preserve">For the purposes of subparagraph (4B)(d)(ii), the </w:t>
      </w:r>
      <w:r w:rsidR="00992C23" w:rsidRPr="00905305">
        <w:t xml:space="preserve">applicable </w:t>
      </w:r>
      <w:r w:rsidRPr="00905305">
        <w:t>day is</w:t>
      </w:r>
      <w:r w:rsidR="00992C23" w:rsidRPr="00905305">
        <w:t xml:space="preserve"> </w:t>
      </w:r>
      <w:r w:rsidR="00C93E47" w:rsidRPr="00905305">
        <w:t>the day after</w:t>
      </w:r>
      <w:r w:rsidR="00EB02A7" w:rsidRPr="00905305">
        <w:t xml:space="preserve"> the day on whichever of the following events occurs first:</w:t>
      </w:r>
    </w:p>
    <w:p w14:paraId="0F9B14EE" w14:textId="77777777" w:rsidR="00176E3D" w:rsidRPr="00905305" w:rsidRDefault="00176E3D" w:rsidP="00AC2CD2">
      <w:pPr>
        <w:pStyle w:val="paragraph"/>
      </w:pPr>
      <w:r w:rsidRPr="00905305">
        <w:tab/>
        <w:t>(a)</w:t>
      </w:r>
      <w:r w:rsidRPr="00905305">
        <w:tab/>
        <w:t>the person withdraws the application mentioned in that subparagraph;</w:t>
      </w:r>
    </w:p>
    <w:p w14:paraId="4B7EA4EF" w14:textId="77777777" w:rsidR="00176E3D" w:rsidRPr="00905305" w:rsidRDefault="00176E3D" w:rsidP="00AC2CD2">
      <w:pPr>
        <w:pStyle w:val="paragraph"/>
      </w:pPr>
      <w:r w:rsidRPr="00905305">
        <w:tab/>
        <w:t>(b)</w:t>
      </w:r>
      <w:r w:rsidRPr="00905305">
        <w:tab/>
        <w:t>that application lapses under section 41FK of the Act;</w:t>
      </w:r>
    </w:p>
    <w:p w14:paraId="548A40AF" w14:textId="77777777" w:rsidR="00365B56" w:rsidRPr="00905305" w:rsidRDefault="00176E3D" w:rsidP="00AC2CD2">
      <w:pPr>
        <w:pStyle w:val="paragraph"/>
      </w:pPr>
      <w:r w:rsidRPr="00905305">
        <w:tab/>
        <w:t>(c)</w:t>
      </w:r>
      <w:r w:rsidRPr="00905305">
        <w:tab/>
        <w:t>that application is finally determined</w:t>
      </w:r>
      <w:r w:rsidR="00EB02A7" w:rsidRPr="00905305">
        <w:t>.</w:t>
      </w:r>
    </w:p>
    <w:p w14:paraId="56E06DF0" w14:textId="77777777" w:rsidR="00DC10BC" w:rsidRPr="00905305" w:rsidRDefault="00F90F31" w:rsidP="00DC10BC">
      <w:pPr>
        <w:pStyle w:val="ActHead7"/>
        <w:pageBreakBefore/>
      </w:pPr>
      <w:bookmarkStart w:id="13" w:name="_Toc165985461"/>
      <w:r w:rsidRPr="00905305">
        <w:rPr>
          <w:rStyle w:val="CharAmPartNo"/>
        </w:rPr>
        <w:lastRenderedPageBreak/>
        <w:t>Part </w:t>
      </w:r>
      <w:r w:rsidR="000E4BD9" w:rsidRPr="00905305">
        <w:rPr>
          <w:rStyle w:val="CharAmPartNo"/>
        </w:rPr>
        <w:t>4</w:t>
      </w:r>
      <w:r w:rsidR="00DC10BC" w:rsidRPr="00905305">
        <w:t>—</w:t>
      </w:r>
      <w:r w:rsidR="00DC10BC" w:rsidRPr="00905305">
        <w:rPr>
          <w:rStyle w:val="CharAmPartText"/>
        </w:rPr>
        <w:t>Minor and technical amendments</w:t>
      </w:r>
      <w:bookmarkEnd w:id="13"/>
    </w:p>
    <w:p w14:paraId="7AE66D65" w14:textId="77777777" w:rsidR="00DC10BC" w:rsidRPr="00905305" w:rsidRDefault="00DC10BC" w:rsidP="00DC10BC">
      <w:pPr>
        <w:pStyle w:val="ActHead9"/>
      </w:pPr>
      <w:bookmarkStart w:id="14" w:name="_Toc165985462"/>
      <w:r w:rsidRPr="00905305">
        <w:t>Therapeutic Goods Regulations 1990</w:t>
      </w:r>
      <w:bookmarkEnd w:id="14"/>
    </w:p>
    <w:p w14:paraId="74FFBA64" w14:textId="77777777" w:rsidR="00DC10BC" w:rsidRPr="00905305" w:rsidRDefault="000E4BD9" w:rsidP="00DC10BC">
      <w:pPr>
        <w:pStyle w:val="ItemHead"/>
      </w:pPr>
      <w:r w:rsidRPr="00905305">
        <w:t>8</w:t>
      </w:r>
      <w:r w:rsidR="00DC10BC" w:rsidRPr="00905305">
        <w:t xml:space="preserve">  </w:t>
      </w:r>
      <w:r w:rsidR="007B0658" w:rsidRPr="00905305">
        <w:t>Subregulation 1</w:t>
      </w:r>
      <w:r w:rsidR="00DC10BC" w:rsidRPr="00905305">
        <w:t>2AC(2) (note)</w:t>
      </w:r>
    </w:p>
    <w:p w14:paraId="119E9487" w14:textId="77777777" w:rsidR="00DC10BC" w:rsidRPr="00905305" w:rsidRDefault="00DC10BC" w:rsidP="00DC10BC">
      <w:pPr>
        <w:pStyle w:val="Item"/>
      </w:pPr>
      <w:r w:rsidRPr="00905305">
        <w:t>Omit “section 52 of the Act”, substitute “regulation 46AA”.</w:t>
      </w:r>
    </w:p>
    <w:p w14:paraId="0BB4BECF" w14:textId="77777777" w:rsidR="00DC10BC" w:rsidRPr="00905305" w:rsidRDefault="000E4BD9" w:rsidP="00DC10BC">
      <w:pPr>
        <w:pStyle w:val="ItemHead"/>
      </w:pPr>
      <w:r w:rsidRPr="00905305">
        <w:t>9</w:t>
      </w:r>
      <w:r w:rsidR="00DC10BC" w:rsidRPr="00905305">
        <w:t xml:space="preserve">  Subregulation 23(1)</w:t>
      </w:r>
    </w:p>
    <w:p w14:paraId="3008D4C8" w14:textId="77777777" w:rsidR="00DC10BC" w:rsidRPr="00905305" w:rsidRDefault="00DC10BC" w:rsidP="00DC10BC">
      <w:pPr>
        <w:pStyle w:val="Item"/>
      </w:pPr>
      <w:r w:rsidRPr="00905305">
        <w:t>Omit “(1)”.</w:t>
      </w:r>
    </w:p>
    <w:p w14:paraId="5DD7BE5E" w14:textId="77777777" w:rsidR="00DC10BC" w:rsidRPr="00905305" w:rsidRDefault="000E4BD9" w:rsidP="00DC10BC">
      <w:pPr>
        <w:pStyle w:val="ItemHead"/>
      </w:pPr>
      <w:r w:rsidRPr="00905305">
        <w:t>10</w:t>
      </w:r>
      <w:r w:rsidR="00DC10BC" w:rsidRPr="00905305">
        <w:t xml:space="preserve">  Subregulation 23(1) (definition of </w:t>
      </w:r>
      <w:r w:rsidR="00DC10BC" w:rsidRPr="00905305">
        <w:rPr>
          <w:i/>
        </w:rPr>
        <w:t>appropriately fastened and sealed</w:t>
      </w:r>
      <w:r w:rsidR="00DC10BC" w:rsidRPr="00905305">
        <w:t>)</w:t>
      </w:r>
    </w:p>
    <w:p w14:paraId="38AF0174" w14:textId="77777777" w:rsidR="00DC10BC" w:rsidRPr="00905305" w:rsidRDefault="00DC10BC" w:rsidP="00DC10BC">
      <w:pPr>
        <w:pStyle w:val="Item"/>
      </w:pPr>
      <w:r w:rsidRPr="00905305">
        <w:t>Repeal the definition.</w:t>
      </w:r>
    </w:p>
    <w:p w14:paraId="2CD788CC" w14:textId="77777777" w:rsidR="00DC10BC" w:rsidRPr="00905305" w:rsidRDefault="000E4BD9" w:rsidP="00DC10BC">
      <w:pPr>
        <w:pStyle w:val="ItemHead"/>
      </w:pPr>
      <w:r w:rsidRPr="00905305">
        <w:t>11</w:t>
      </w:r>
      <w:r w:rsidR="00DC10BC" w:rsidRPr="00905305">
        <w:t xml:space="preserve">  Subregulation 23(2)</w:t>
      </w:r>
    </w:p>
    <w:p w14:paraId="63A7C2CA" w14:textId="77777777" w:rsidR="00DC10BC" w:rsidRPr="00905305" w:rsidRDefault="00DC10BC" w:rsidP="00DC10BC">
      <w:pPr>
        <w:pStyle w:val="Item"/>
      </w:pPr>
      <w:r w:rsidRPr="00905305">
        <w:t>Repeal the subregulation.</w:t>
      </w:r>
    </w:p>
    <w:p w14:paraId="35E8A091" w14:textId="77777777" w:rsidR="00DC10BC" w:rsidRPr="00905305" w:rsidRDefault="000E4BD9" w:rsidP="00DC10BC">
      <w:pPr>
        <w:pStyle w:val="ItemHead"/>
      </w:pPr>
      <w:r w:rsidRPr="00905305">
        <w:t>12</w:t>
      </w:r>
      <w:r w:rsidR="00DC10BC" w:rsidRPr="00905305">
        <w:t xml:space="preserve">  Regulation 33</w:t>
      </w:r>
    </w:p>
    <w:p w14:paraId="3864A4B5" w14:textId="77777777" w:rsidR="00DC10BC" w:rsidRPr="00905305" w:rsidRDefault="00DC10BC" w:rsidP="00DC10BC">
      <w:pPr>
        <w:pStyle w:val="Item"/>
      </w:pPr>
      <w:r w:rsidRPr="00905305">
        <w:t>Repeal the regulation, substitute:</w:t>
      </w:r>
    </w:p>
    <w:p w14:paraId="080F78EB" w14:textId="77777777" w:rsidR="00DC10BC" w:rsidRPr="00905305" w:rsidRDefault="00DC10BC" w:rsidP="00DC10BC">
      <w:pPr>
        <w:pStyle w:val="ActHead5"/>
      </w:pPr>
      <w:bookmarkStart w:id="15" w:name="_Toc165985463"/>
      <w:r w:rsidRPr="00905305">
        <w:rPr>
          <w:rStyle w:val="CharSectno"/>
        </w:rPr>
        <w:t>33</w:t>
      </w:r>
      <w:r w:rsidRPr="00905305">
        <w:t xml:space="preserve">  Production of identity card</w:t>
      </w:r>
      <w:bookmarkEnd w:id="15"/>
    </w:p>
    <w:p w14:paraId="549E7595" w14:textId="77777777" w:rsidR="00DC10BC" w:rsidRPr="00905305" w:rsidRDefault="00DC10BC" w:rsidP="00DC10BC">
      <w:pPr>
        <w:pStyle w:val="subsection"/>
      </w:pPr>
      <w:r w:rsidRPr="00905305">
        <w:tab/>
        <w:t>(1)</w:t>
      </w:r>
      <w:r w:rsidRPr="00905305">
        <w:tab/>
        <w:t>An authorised officer is not entitled to exercise any powers under this Part in relation to premises if:</w:t>
      </w:r>
    </w:p>
    <w:p w14:paraId="5E11C765" w14:textId="77777777" w:rsidR="00DC10BC" w:rsidRPr="00905305" w:rsidRDefault="00DC10BC" w:rsidP="00DC10BC">
      <w:pPr>
        <w:pStyle w:val="paragraph"/>
      </w:pPr>
      <w:r w:rsidRPr="00905305">
        <w:tab/>
        <w:t>(a)</w:t>
      </w:r>
      <w:r w:rsidRPr="00905305">
        <w:tab/>
        <w:t>the occupier of the premises has required the authorised officer to produce the authorised officer’s identity card issued under regulation 46AA for inspection by the occupier; and</w:t>
      </w:r>
    </w:p>
    <w:p w14:paraId="6B1B479A" w14:textId="77777777" w:rsidR="00DC10BC" w:rsidRPr="00905305" w:rsidRDefault="00DC10BC" w:rsidP="00DC10BC">
      <w:pPr>
        <w:pStyle w:val="paragraph"/>
      </w:pPr>
      <w:r w:rsidRPr="00905305">
        <w:tab/>
        <w:t>(b)</w:t>
      </w:r>
      <w:r w:rsidRPr="00905305">
        <w:tab/>
        <w:t>the authorised officer fails to comply with the requirement.</w:t>
      </w:r>
    </w:p>
    <w:p w14:paraId="1096DDF4" w14:textId="77777777" w:rsidR="00DC10BC" w:rsidRPr="00905305" w:rsidRDefault="00DC10BC" w:rsidP="00DC10BC">
      <w:pPr>
        <w:pStyle w:val="subsection"/>
      </w:pPr>
      <w:r w:rsidRPr="00905305">
        <w:tab/>
        <w:t>(2)</w:t>
      </w:r>
      <w:r w:rsidRPr="00905305">
        <w:tab/>
        <w:t xml:space="preserve">For the purposes of subregulation (1), </w:t>
      </w:r>
      <w:r w:rsidRPr="00905305">
        <w:rPr>
          <w:b/>
          <w:i/>
        </w:rPr>
        <w:t>occupier</w:t>
      </w:r>
      <w:r w:rsidRPr="00905305">
        <w:t>, in relation to premises, includes a person present at the premises who is in apparent control of the premises.</w:t>
      </w:r>
    </w:p>
    <w:p w14:paraId="06CD88A0" w14:textId="77777777" w:rsidR="00DC10BC" w:rsidRPr="00905305" w:rsidRDefault="000E4BD9" w:rsidP="00DC10BC">
      <w:pPr>
        <w:pStyle w:val="ItemHead"/>
      </w:pPr>
      <w:r w:rsidRPr="00905305">
        <w:t>13</w:t>
      </w:r>
      <w:r w:rsidR="00DC10BC" w:rsidRPr="00905305">
        <w:t xml:space="preserve">  Before regulation 46A</w:t>
      </w:r>
    </w:p>
    <w:p w14:paraId="15FF1155" w14:textId="77777777" w:rsidR="00DC10BC" w:rsidRPr="00905305" w:rsidRDefault="00DC10BC" w:rsidP="00DC10BC">
      <w:pPr>
        <w:pStyle w:val="Item"/>
      </w:pPr>
      <w:r w:rsidRPr="00905305">
        <w:t>Insert:</w:t>
      </w:r>
    </w:p>
    <w:p w14:paraId="7548ADFC" w14:textId="77777777" w:rsidR="00DC10BC" w:rsidRPr="00905305" w:rsidRDefault="00DC10BC" w:rsidP="00DC10BC">
      <w:pPr>
        <w:pStyle w:val="ActHead5"/>
      </w:pPr>
      <w:bookmarkStart w:id="16" w:name="_Toc165985464"/>
      <w:r w:rsidRPr="00905305">
        <w:rPr>
          <w:rStyle w:val="CharSectno"/>
        </w:rPr>
        <w:t>46AA</w:t>
      </w:r>
      <w:r w:rsidRPr="00905305">
        <w:t xml:space="preserve">  Identity cards for authorised officers</w:t>
      </w:r>
      <w:bookmarkEnd w:id="16"/>
    </w:p>
    <w:p w14:paraId="0047A106" w14:textId="77777777" w:rsidR="00DC10BC" w:rsidRPr="00905305" w:rsidRDefault="00DC10BC" w:rsidP="00DC10BC">
      <w:pPr>
        <w:pStyle w:val="subsection"/>
      </w:pPr>
      <w:r w:rsidRPr="00905305">
        <w:tab/>
        <w:t>(1)</w:t>
      </w:r>
      <w:r w:rsidRPr="00905305">
        <w:tab/>
        <w:t>The Secretary is to ensure that each authorised officer is issued with an identity card that incorporates a recent photograph of the person.</w:t>
      </w:r>
    </w:p>
    <w:p w14:paraId="56F91C0D" w14:textId="77777777" w:rsidR="00DC10BC" w:rsidRPr="00905305" w:rsidRDefault="00DC10BC" w:rsidP="00DC10BC">
      <w:pPr>
        <w:pStyle w:val="subsection"/>
      </w:pPr>
      <w:r w:rsidRPr="00905305">
        <w:tab/>
        <w:t>(2)</w:t>
      </w:r>
      <w:r w:rsidRPr="00905305">
        <w:tab/>
        <w:t>When a person ceases to be an authorised officer, the person must, as soon as practicable after so ceasing, return the person’s identity card to the Secretary.</w:t>
      </w:r>
    </w:p>
    <w:p w14:paraId="2DB5F365" w14:textId="77777777" w:rsidR="00DC10BC" w:rsidRPr="00905305" w:rsidRDefault="00DC10BC" w:rsidP="00DC10BC">
      <w:pPr>
        <w:pStyle w:val="Penalty"/>
      </w:pPr>
      <w:r w:rsidRPr="00905305">
        <w:t>Penalty:</w:t>
      </w:r>
      <w:r w:rsidRPr="00905305">
        <w:tab/>
        <w:t>1 penalty unit.</w:t>
      </w:r>
    </w:p>
    <w:p w14:paraId="3847354B" w14:textId="77777777" w:rsidR="00DC10BC" w:rsidRPr="00905305" w:rsidRDefault="00DC10BC" w:rsidP="00DC10BC">
      <w:pPr>
        <w:pStyle w:val="subsection"/>
      </w:pPr>
      <w:r w:rsidRPr="00905305">
        <w:tab/>
        <w:t>(3)</w:t>
      </w:r>
      <w:r w:rsidRPr="00905305">
        <w:tab/>
        <w:t>An offence under subregulation (2) is an offence of strict liability.</w:t>
      </w:r>
    </w:p>
    <w:p w14:paraId="1ED462A7" w14:textId="77777777" w:rsidR="00DC10BC" w:rsidRPr="00905305" w:rsidRDefault="000E4BD9" w:rsidP="00DC10BC">
      <w:pPr>
        <w:pStyle w:val="ItemHead"/>
      </w:pPr>
      <w:r w:rsidRPr="00905305">
        <w:t>14</w:t>
      </w:r>
      <w:r w:rsidR="00DC10BC" w:rsidRPr="00905305">
        <w:t xml:space="preserve">  Schedule 5 (table item 1, column 2, </w:t>
      </w:r>
      <w:r w:rsidR="00753B79" w:rsidRPr="00905305">
        <w:t>paragraph (</w:t>
      </w:r>
      <w:r w:rsidR="00DC10BC" w:rsidRPr="00905305">
        <w:t>c))</w:t>
      </w:r>
    </w:p>
    <w:p w14:paraId="54D9636E" w14:textId="77777777" w:rsidR="00DC10BC" w:rsidRPr="00905305" w:rsidRDefault="00DC10BC" w:rsidP="00DC10BC">
      <w:pPr>
        <w:pStyle w:val="Item"/>
      </w:pPr>
      <w:r w:rsidRPr="00905305">
        <w:t>Omit “Customs (Prohibited Imports) Regulations”, substitute “</w:t>
      </w:r>
      <w:r w:rsidRPr="00905305">
        <w:rPr>
          <w:i/>
        </w:rPr>
        <w:t>Customs (Prohibited Imports) Regulations 1956</w:t>
      </w:r>
      <w:r w:rsidRPr="00905305">
        <w:t>”.</w:t>
      </w:r>
    </w:p>
    <w:p w14:paraId="32C846BB" w14:textId="77777777" w:rsidR="00DC10BC" w:rsidRPr="00905305" w:rsidRDefault="000E4BD9" w:rsidP="00DC10BC">
      <w:pPr>
        <w:pStyle w:val="ItemHead"/>
      </w:pPr>
      <w:r w:rsidRPr="00905305">
        <w:lastRenderedPageBreak/>
        <w:t>15</w:t>
      </w:r>
      <w:r w:rsidR="00DC10BC" w:rsidRPr="00905305">
        <w:t xml:space="preserve">  Schedule 5 (table item 11, column 2, </w:t>
      </w:r>
      <w:r w:rsidR="00753B79" w:rsidRPr="00905305">
        <w:t>paragraph (</w:t>
      </w:r>
      <w:r w:rsidR="00DC10BC" w:rsidRPr="00905305">
        <w:t>a))</w:t>
      </w:r>
    </w:p>
    <w:p w14:paraId="484E509F" w14:textId="77777777" w:rsidR="00DC10BC" w:rsidRPr="00905305" w:rsidRDefault="00DC10BC" w:rsidP="00DC10BC">
      <w:pPr>
        <w:pStyle w:val="Item"/>
      </w:pPr>
      <w:r w:rsidRPr="00905305">
        <w:t>Omit “Customs (Prohibited Imports) Regulations”, substitute “</w:t>
      </w:r>
      <w:r w:rsidRPr="00905305">
        <w:rPr>
          <w:i/>
        </w:rPr>
        <w:t>Customs (Prohibited Imports) Regulations 1956</w:t>
      </w:r>
      <w:r w:rsidRPr="00905305">
        <w:t>”.</w:t>
      </w:r>
    </w:p>
    <w:p w14:paraId="7F77B1AF" w14:textId="77777777" w:rsidR="00DC10BC" w:rsidRPr="00905305" w:rsidRDefault="000E4BD9" w:rsidP="00DC10BC">
      <w:pPr>
        <w:pStyle w:val="ItemHead"/>
      </w:pPr>
      <w:r w:rsidRPr="00905305">
        <w:t>16</w:t>
      </w:r>
      <w:r w:rsidR="00DC10BC" w:rsidRPr="00905305">
        <w:t xml:space="preserve">  Schedule 5A (table item 4, column 3, </w:t>
      </w:r>
      <w:r w:rsidR="00753B79" w:rsidRPr="00905305">
        <w:t>paragraph (</w:t>
      </w:r>
      <w:r w:rsidR="00DC10BC" w:rsidRPr="00905305">
        <w:t>c)</w:t>
      </w:r>
      <w:r w:rsidR="007459B2" w:rsidRPr="00905305">
        <w:t>)</w:t>
      </w:r>
    </w:p>
    <w:p w14:paraId="2DE8832E" w14:textId="77777777" w:rsidR="00DC10BC" w:rsidRPr="00905305" w:rsidRDefault="00DC10BC" w:rsidP="00DC10BC">
      <w:pPr>
        <w:pStyle w:val="Item"/>
      </w:pPr>
      <w:r w:rsidRPr="00905305">
        <w:t>Omit “Customs (Prohibited Imports) Regulations”, substitute “</w:t>
      </w:r>
      <w:r w:rsidRPr="00905305">
        <w:rPr>
          <w:i/>
        </w:rPr>
        <w:t>Customs (Prohibited Imports) Regulations 1956</w:t>
      </w:r>
      <w:r w:rsidRPr="00905305">
        <w:t>”.</w:t>
      </w:r>
    </w:p>
    <w:p w14:paraId="4BFD583F" w14:textId="77777777" w:rsidR="00DC10BC" w:rsidRPr="00905305" w:rsidRDefault="00F90F31" w:rsidP="00DC10BC">
      <w:pPr>
        <w:pStyle w:val="ActHead7"/>
        <w:pageBreakBefore/>
      </w:pPr>
      <w:bookmarkStart w:id="17" w:name="_Toc165985465"/>
      <w:r w:rsidRPr="00905305">
        <w:rPr>
          <w:rStyle w:val="CharAmPartNo"/>
        </w:rPr>
        <w:lastRenderedPageBreak/>
        <w:t>Part </w:t>
      </w:r>
      <w:r w:rsidR="007B0658" w:rsidRPr="00905305">
        <w:rPr>
          <w:rStyle w:val="CharAmPartNo"/>
        </w:rPr>
        <w:t>5</w:t>
      </w:r>
      <w:r w:rsidR="00DC10BC" w:rsidRPr="00905305">
        <w:t>—</w:t>
      </w:r>
      <w:r w:rsidR="00DC10BC" w:rsidRPr="00905305">
        <w:rPr>
          <w:rStyle w:val="CharAmPartText"/>
        </w:rPr>
        <w:t>Transitional provisions</w:t>
      </w:r>
      <w:bookmarkEnd w:id="17"/>
    </w:p>
    <w:p w14:paraId="512F4F3D" w14:textId="77777777" w:rsidR="00724AF6" w:rsidRPr="00905305" w:rsidRDefault="00724AF6" w:rsidP="00724AF6">
      <w:pPr>
        <w:pStyle w:val="ActHead9"/>
      </w:pPr>
      <w:bookmarkStart w:id="18" w:name="_Toc165985466"/>
      <w:r w:rsidRPr="00905305">
        <w:t xml:space="preserve">Therapeutic Goods (Medical Devices) </w:t>
      </w:r>
      <w:r w:rsidR="007E6F68" w:rsidRPr="00905305">
        <w:t>Regulations 2</w:t>
      </w:r>
      <w:r w:rsidRPr="00905305">
        <w:t>002</w:t>
      </w:r>
      <w:bookmarkEnd w:id="18"/>
    </w:p>
    <w:p w14:paraId="1EFFB5A6" w14:textId="77777777" w:rsidR="00724AF6" w:rsidRPr="00905305" w:rsidRDefault="00C54AF2" w:rsidP="00724AF6">
      <w:pPr>
        <w:pStyle w:val="ItemHead"/>
      </w:pPr>
      <w:r w:rsidRPr="00905305">
        <w:t>17</w:t>
      </w:r>
      <w:r w:rsidR="00724AF6" w:rsidRPr="00905305">
        <w:t xml:space="preserve">  In the appropriate position in </w:t>
      </w:r>
      <w:r w:rsidR="00E017ED" w:rsidRPr="00905305">
        <w:t>Part 1</w:t>
      </w:r>
      <w:r w:rsidR="00724AF6" w:rsidRPr="00905305">
        <w:t>1</w:t>
      </w:r>
    </w:p>
    <w:p w14:paraId="52E856A7" w14:textId="77777777" w:rsidR="00724AF6" w:rsidRPr="00905305" w:rsidRDefault="00724AF6" w:rsidP="00724AF6">
      <w:pPr>
        <w:pStyle w:val="Item"/>
      </w:pPr>
      <w:r w:rsidRPr="00905305">
        <w:t>Insert:</w:t>
      </w:r>
    </w:p>
    <w:p w14:paraId="36512B19" w14:textId="77777777" w:rsidR="00724AF6" w:rsidRPr="00905305" w:rsidRDefault="00E017ED" w:rsidP="00724AF6">
      <w:pPr>
        <w:pStyle w:val="ActHead3"/>
      </w:pPr>
      <w:bookmarkStart w:id="19" w:name="_Toc165985467"/>
      <w:r w:rsidRPr="00905305">
        <w:rPr>
          <w:rStyle w:val="CharDivNo"/>
        </w:rPr>
        <w:t>Division 1</w:t>
      </w:r>
      <w:r w:rsidR="00724AF6" w:rsidRPr="00905305">
        <w:rPr>
          <w:rStyle w:val="CharDivNo"/>
        </w:rPr>
        <w:t>1.20</w:t>
      </w:r>
      <w:r w:rsidR="00724AF6" w:rsidRPr="00905305">
        <w:t>—</w:t>
      </w:r>
      <w:r w:rsidR="00724AF6" w:rsidRPr="00905305">
        <w:rPr>
          <w:rStyle w:val="CharDivText"/>
        </w:rPr>
        <w:t xml:space="preserve">Transitional provisions relating to the Therapeutic Goods Legislation Amendment (2024 Measures No. 2) </w:t>
      </w:r>
      <w:r w:rsidR="007E6F68" w:rsidRPr="00905305">
        <w:rPr>
          <w:rStyle w:val="CharDivText"/>
        </w:rPr>
        <w:t>Regulations 2</w:t>
      </w:r>
      <w:r w:rsidR="00724AF6" w:rsidRPr="00905305">
        <w:rPr>
          <w:rStyle w:val="CharDivText"/>
        </w:rPr>
        <w:t>024</w:t>
      </w:r>
      <w:bookmarkEnd w:id="19"/>
    </w:p>
    <w:p w14:paraId="62EF1D2B" w14:textId="77777777" w:rsidR="00724AF6" w:rsidRPr="00905305" w:rsidRDefault="00724AF6" w:rsidP="00724AF6">
      <w:pPr>
        <w:pStyle w:val="ActHead5"/>
      </w:pPr>
      <w:bookmarkStart w:id="20" w:name="_Toc165985468"/>
      <w:r w:rsidRPr="00905305">
        <w:rPr>
          <w:rStyle w:val="CharSectno"/>
        </w:rPr>
        <w:t>11.74</w:t>
      </w:r>
      <w:r w:rsidRPr="00905305">
        <w:t xml:space="preserve">  Definitions</w:t>
      </w:r>
      <w:bookmarkEnd w:id="20"/>
    </w:p>
    <w:p w14:paraId="0A3EF894" w14:textId="77777777" w:rsidR="00724AF6" w:rsidRPr="00905305" w:rsidRDefault="00724AF6" w:rsidP="00724AF6">
      <w:pPr>
        <w:pStyle w:val="subsection"/>
      </w:pPr>
      <w:r w:rsidRPr="00905305">
        <w:tab/>
      </w:r>
      <w:r w:rsidRPr="00905305">
        <w:tab/>
        <w:t>In this Division:</w:t>
      </w:r>
    </w:p>
    <w:p w14:paraId="2CD30635" w14:textId="77777777" w:rsidR="00724AF6" w:rsidRPr="00905305" w:rsidRDefault="00724AF6" w:rsidP="00724AF6">
      <w:pPr>
        <w:pStyle w:val="Definition"/>
      </w:pPr>
      <w:r w:rsidRPr="00905305">
        <w:rPr>
          <w:b/>
          <w:i/>
        </w:rPr>
        <w:t>amending regulations</w:t>
      </w:r>
      <w:r w:rsidRPr="00905305">
        <w:t xml:space="preserve"> means the </w:t>
      </w:r>
      <w:r w:rsidRPr="00905305">
        <w:rPr>
          <w:i/>
        </w:rPr>
        <w:t xml:space="preserve">Therapeutic Goods Legislation Amendment (2024 Measures No. 2) </w:t>
      </w:r>
      <w:r w:rsidR="007E6F68" w:rsidRPr="00905305">
        <w:rPr>
          <w:i/>
        </w:rPr>
        <w:t>Regulations 2</w:t>
      </w:r>
      <w:r w:rsidRPr="00905305">
        <w:rPr>
          <w:i/>
        </w:rPr>
        <w:t>024</w:t>
      </w:r>
      <w:r w:rsidRPr="00905305">
        <w:t>.</w:t>
      </w:r>
    </w:p>
    <w:p w14:paraId="36A1DAD3" w14:textId="77777777" w:rsidR="00724AF6" w:rsidRPr="00905305" w:rsidRDefault="00724AF6" w:rsidP="00724AF6">
      <w:pPr>
        <w:pStyle w:val="ActHead5"/>
      </w:pPr>
      <w:bookmarkStart w:id="21" w:name="_Toc165985469"/>
      <w:r w:rsidRPr="00905305">
        <w:rPr>
          <w:rStyle w:val="CharSectno"/>
        </w:rPr>
        <w:t>11.75</w:t>
      </w:r>
      <w:r w:rsidRPr="00905305">
        <w:t xml:space="preserve">  Exemption for </w:t>
      </w:r>
      <w:r w:rsidR="00EA2B16" w:rsidRPr="00905305">
        <w:t xml:space="preserve">certain </w:t>
      </w:r>
      <w:r w:rsidRPr="00905305">
        <w:t>prescription spectacle lenses</w:t>
      </w:r>
      <w:bookmarkEnd w:id="21"/>
    </w:p>
    <w:p w14:paraId="7A5493A3" w14:textId="77777777" w:rsidR="004868F9" w:rsidRPr="00905305" w:rsidRDefault="004868F9" w:rsidP="004868F9">
      <w:pPr>
        <w:pStyle w:val="subsection"/>
      </w:pPr>
      <w:r w:rsidRPr="00905305">
        <w:tab/>
      </w:r>
      <w:r w:rsidRPr="00905305">
        <w:tab/>
      </w:r>
      <w:r w:rsidR="00E017ED" w:rsidRPr="00905305">
        <w:t>Item 1</w:t>
      </w:r>
      <w:r w:rsidRPr="00905305">
        <w:t xml:space="preserve">.4A of </w:t>
      </w:r>
      <w:r w:rsidR="00E017ED" w:rsidRPr="00905305">
        <w:t>Part 1</w:t>
      </w:r>
      <w:r w:rsidRPr="00905305">
        <w:t xml:space="preserve"> of </w:t>
      </w:r>
      <w:r w:rsidR="00E017ED" w:rsidRPr="00905305">
        <w:t>Schedule 4</w:t>
      </w:r>
      <w:r w:rsidRPr="00905305">
        <w:t xml:space="preserve">, as inserted by </w:t>
      </w:r>
      <w:r w:rsidR="00E017ED" w:rsidRPr="00905305">
        <w:t>Part 2</w:t>
      </w:r>
      <w:r w:rsidRPr="00905305">
        <w:t xml:space="preserve"> of </w:t>
      </w:r>
      <w:r w:rsidR="00E017ED" w:rsidRPr="00905305">
        <w:t>Schedule 1</w:t>
      </w:r>
      <w:r w:rsidRPr="00905305">
        <w:t xml:space="preserve"> to the amending regulations, applies in relation to medical devices imported into Australia, exported from Australia, or manufactured or supplied in Australia,</w:t>
      </w:r>
      <w:r w:rsidR="00C54AF2" w:rsidRPr="00905305">
        <w:t xml:space="preserve"> on or after the commencement of that item.</w:t>
      </w:r>
    </w:p>
    <w:p w14:paraId="19B0BCE4" w14:textId="77777777" w:rsidR="00DC10BC" w:rsidRPr="00905305" w:rsidRDefault="00DC10BC" w:rsidP="00DC10BC">
      <w:pPr>
        <w:pStyle w:val="ActHead9"/>
      </w:pPr>
      <w:bookmarkStart w:id="22" w:name="_Toc165985470"/>
      <w:r w:rsidRPr="00905305">
        <w:t>Therapeutic Goods Regulations 1990</w:t>
      </w:r>
      <w:bookmarkEnd w:id="22"/>
    </w:p>
    <w:p w14:paraId="2C4B473A" w14:textId="77777777" w:rsidR="00DC10BC" w:rsidRPr="00905305" w:rsidRDefault="00C54AF2" w:rsidP="00DC10BC">
      <w:pPr>
        <w:pStyle w:val="ItemHead"/>
      </w:pPr>
      <w:r w:rsidRPr="00905305">
        <w:t>18</w:t>
      </w:r>
      <w:r w:rsidR="00DC10BC" w:rsidRPr="00905305">
        <w:t xml:space="preserve">  In the appropriate position in Part 9</w:t>
      </w:r>
    </w:p>
    <w:p w14:paraId="5EF85216" w14:textId="77777777" w:rsidR="00DC10BC" w:rsidRPr="00905305" w:rsidRDefault="00DC10BC" w:rsidP="00DC10BC">
      <w:pPr>
        <w:pStyle w:val="Item"/>
      </w:pPr>
      <w:r w:rsidRPr="00905305">
        <w:t>Insert:</w:t>
      </w:r>
    </w:p>
    <w:p w14:paraId="777203E9" w14:textId="77777777" w:rsidR="00DC10BC" w:rsidRPr="00905305" w:rsidRDefault="00C67DC8" w:rsidP="00DC10BC">
      <w:pPr>
        <w:pStyle w:val="ActHead3"/>
      </w:pPr>
      <w:bookmarkStart w:id="23" w:name="_Toc165985471"/>
      <w:r w:rsidRPr="00905305">
        <w:rPr>
          <w:rStyle w:val="CharDivNo"/>
        </w:rPr>
        <w:t>Division 2</w:t>
      </w:r>
      <w:r w:rsidR="00DC10BC" w:rsidRPr="00905305">
        <w:rPr>
          <w:rStyle w:val="CharDivNo"/>
        </w:rPr>
        <w:t>5</w:t>
      </w:r>
      <w:r w:rsidR="00DC10BC" w:rsidRPr="00905305">
        <w:t>—</w:t>
      </w:r>
      <w:r w:rsidR="00DC10BC" w:rsidRPr="00905305">
        <w:rPr>
          <w:rStyle w:val="CharDivText"/>
        </w:rPr>
        <w:t xml:space="preserve">Transitional provisions relating to the Therapeutic Goods Legislation Amendment (2024 Measures No. 2) </w:t>
      </w:r>
      <w:r w:rsidR="007E6F68" w:rsidRPr="00905305">
        <w:rPr>
          <w:rStyle w:val="CharDivText"/>
        </w:rPr>
        <w:t>Regulations 2</w:t>
      </w:r>
      <w:r w:rsidR="00DC10BC" w:rsidRPr="00905305">
        <w:rPr>
          <w:rStyle w:val="CharDivText"/>
        </w:rPr>
        <w:t>024</w:t>
      </w:r>
      <w:bookmarkEnd w:id="23"/>
    </w:p>
    <w:p w14:paraId="6C0CED64" w14:textId="77777777" w:rsidR="00DC10BC" w:rsidRPr="00905305" w:rsidRDefault="00DC10BC" w:rsidP="00DC10BC">
      <w:pPr>
        <w:pStyle w:val="ActHead5"/>
      </w:pPr>
      <w:bookmarkStart w:id="24" w:name="_Toc165985472"/>
      <w:r w:rsidRPr="00905305">
        <w:rPr>
          <w:rStyle w:val="CharSectno"/>
        </w:rPr>
        <w:t>99</w:t>
      </w:r>
      <w:r w:rsidRPr="00905305">
        <w:t xml:space="preserve">  Definitions</w:t>
      </w:r>
      <w:bookmarkEnd w:id="24"/>
    </w:p>
    <w:p w14:paraId="46FBF6F6" w14:textId="77777777" w:rsidR="00DC10BC" w:rsidRPr="00905305" w:rsidRDefault="00DC10BC" w:rsidP="00DC10BC">
      <w:pPr>
        <w:pStyle w:val="subsection"/>
      </w:pPr>
      <w:r w:rsidRPr="00905305">
        <w:tab/>
      </w:r>
      <w:r w:rsidRPr="00905305">
        <w:tab/>
        <w:t>In this Division:</w:t>
      </w:r>
    </w:p>
    <w:p w14:paraId="4B3E08EB" w14:textId="77777777" w:rsidR="00DC10BC" w:rsidRPr="00905305" w:rsidRDefault="00DC10BC" w:rsidP="00DC10BC">
      <w:pPr>
        <w:pStyle w:val="Definition"/>
      </w:pPr>
      <w:r w:rsidRPr="00905305">
        <w:rPr>
          <w:b/>
          <w:i/>
        </w:rPr>
        <w:t>amending regulations</w:t>
      </w:r>
      <w:r w:rsidRPr="00905305">
        <w:t xml:space="preserve"> means the </w:t>
      </w:r>
      <w:r w:rsidRPr="00905305">
        <w:rPr>
          <w:i/>
        </w:rPr>
        <w:t xml:space="preserve">Therapeutic Goods Legislation Amendment (2024 Measures No. 2) </w:t>
      </w:r>
      <w:r w:rsidR="007E6F68" w:rsidRPr="00905305">
        <w:rPr>
          <w:i/>
        </w:rPr>
        <w:t>Regulations 2</w:t>
      </w:r>
      <w:r w:rsidRPr="00905305">
        <w:rPr>
          <w:i/>
        </w:rPr>
        <w:t>024</w:t>
      </w:r>
      <w:r w:rsidRPr="00905305">
        <w:t>.</w:t>
      </w:r>
    </w:p>
    <w:p w14:paraId="25E8F923" w14:textId="77777777" w:rsidR="00DC10BC" w:rsidRPr="00905305" w:rsidRDefault="00DC10BC" w:rsidP="00DC10BC">
      <w:pPr>
        <w:pStyle w:val="ActHead5"/>
      </w:pPr>
      <w:bookmarkStart w:id="25" w:name="_Toc165985473"/>
      <w:r w:rsidRPr="00905305">
        <w:rPr>
          <w:rStyle w:val="CharSectno"/>
        </w:rPr>
        <w:t>100</w:t>
      </w:r>
      <w:r w:rsidRPr="00905305">
        <w:t xml:space="preserve">  Fee waivers in relation to the Medicines Repurposing Program</w:t>
      </w:r>
      <w:bookmarkEnd w:id="25"/>
    </w:p>
    <w:p w14:paraId="75AA7E6A" w14:textId="77777777" w:rsidR="00DC10BC" w:rsidRPr="00905305" w:rsidRDefault="00DC10BC" w:rsidP="00DC10BC">
      <w:pPr>
        <w:pStyle w:val="subsection"/>
      </w:pPr>
      <w:r w:rsidRPr="00905305">
        <w:tab/>
      </w:r>
      <w:r w:rsidRPr="00905305">
        <w:tab/>
      </w:r>
      <w:r w:rsidR="00F90F31" w:rsidRPr="00905305">
        <w:t>Subregulation 4</w:t>
      </w:r>
      <w:r w:rsidRPr="00905305">
        <w:t xml:space="preserve">5(4AB) of these </w:t>
      </w:r>
      <w:r w:rsidR="007878FF" w:rsidRPr="00905305">
        <w:t>R</w:t>
      </w:r>
      <w:r w:rsidRPr="00905305">
        <w:t xml:space="preserve">egulations, as inserted by </w:t>
      </w:r>
      <w:r w:rsidR="00E017ED" w:rsidRPr="00905305">
        <w:t>Part 1</w:t>
      </w:r>
      <w:r w:rsidRPr="00905305">
        <w:t xml:space="preserve"> of </w:t>
      </w:r>
      <w:r w:rsidR="00E017ED" w:rsidRPr="00905305">
        <w:t>Schedule 1</w:t>
      </w:r>
      <w:r w:rsidRPr="00905305">
        <w:t xml:space="preserve"> to the amending regulations, applies in relation to an application made on or after the commencement of that Schedule.</w:t>
      </w:r>
    </w:p>
    <w:p w14:paraId="28C0AC62" w14:textId="77777777" w:rsidR="00DC10BC" w:rsidRPr="00905305" w:rsidRDefault="00DC10BC" w:rsidP="00DC10BC">
      <w:pPr>
        <w:pStyle w:val="ActHead5"/>
      </w:pPr>
      <w:bookmarkStart w:id="26" w:name="_Toc165985474"/>
      <w:r w:rsidRPr="00905305">
        <w:rPr>
          <w:rStyle w:val="CharSectno"/>
        </w:rPr>
        <w:lastRenderedPageBreak/>
        <w:t>101</w:t>
      </w:r>
      <w:r w:rsidRPr="00905305">
        <w:t xml:space="preserve">  Examination, testing and analysis of goods</w:t>
      </w:r>
      <w:bookmarkEnd w:id="26"/>
    </w:p>
    <w:p w14:paraId="02A1F975" w14:textId="77777777" w:rsidR="00DC10BC" w:rsidRPr="00905305" w:rsidRDefault="00DC10BC" w:rsidP="00DC10BC">
      <w:pPr>
        <w:pStyle w:val="subsection"/>
      </w:pPr>
      <w:r w:rsidRPr="00905305">
        <w:tab/>
      </w:r>
      <w:r w:rsidRPr="00905305">
        <w:tab/>
        <w:t xml:space="preserve">The amendments of regulation 23 of these </w:t>
      </w:r>
      <w:r w:rsidR="007878FF" w:rsidRPr="00905305">
        <w:t>R</w:t>
      </w:r>
      <w:r w:rsidRPr="00905305">
        <w:t xml:space="preserve">egulations made by </w:t>
      </w:r>
      <w:r w:rsidR="00F90F31" w:rsidRPr="00905305">
        <w:t>Part </w:t>
      </w:r>
      <w:r w:rsidR="002651BE" w:rsidRPr="00905305">
        <w:t>4</w:t>
      </w:r>
      <w:r w:rsidRPr="00905305">
        <w:t xml:space="preserve"> of </w:t>
      </w:r>
      <w:r w:rsidR="00E017ED" w:rsidRPr="00905305">
        <w:t>Schedule 1</w:t>
      </w:r>
      <w:r w:rsidRPr="00905305">
        <w:t xml:space="preserve"> to the amending regulations apply in relation to samples taken or delivered on or after the commencement of that Schedule.</w:t>
      </w:r>
    </w:p>
    <w:p w14:paraId="1AEBA66B" w14:textId="77777777" w:rsidR="00DC10BC" w:rsidRPr="00905305" w:rsidRDefault="00DC10BC" w:rsidP="00DC10BC">
      <w:pPr>
        <w:pStyle w:val="ActHead5"/>
      </w:pPr>
      <w:bookmarkStart w:id="27" w:name="_Toc165985475"/>
      <w:r w:rsidRPr="00905305">
        <w:rPr>
          <w:rStyle w:val="CharSectno"/>
        </w:rPr>
        <w:t>102</w:t>
      </w:r>
      <w:r w:rsidRPr="00905305">
        <w:t xml:space="preserve">  Identity cards</w:t>
      </w:r>
      <w:bookmarkEnd w:id="27"/>
    </w:p>
    <w:p w14:paraId="5D5C1117" w14:textId="77777777" w:rsidR="00DC10BC" w:rsidRPr="00905305" w:rsidRDefault="00DC10BC" w:rsidP="00DC10BC">
      <w:pPr>
        <w:pStyle w:val="subsection"/>
      </w:pPr>
      <w:r w:rsidRPr="00905305">
        <w:tab/>
      </w:r>
      <w:r w:rsidRPr="00905305">
        <w:tab/>
        <w:t xml:space="preserve">An identity card that had been issued to an authorised officer under regulation 33 of these </w:t>
      </w:r>
      <w:r w:rsidR="007878FF" w:rsidRPr="00905305">
        <w:t>R</w:t>
      </w:r>
      <w:r w:rsidRPr="00905305">
        <w:t xml:space="preserve">egulations before the commencement of </w:t>
      </w:r>
      <w:r w:rsidR="00E017ED" w:rsidRPr="00905305">
        <w:t>Schedule 1</w:t>
      </w:r>
      <w:r w:rsidRPr="00905305">
        <w:t xml:space="preserve"> to the amending regulations</w:t>
      </w:r>
      <w:r w:rsidR="00B06CEF" w:rsidRPr="00905305">
        <w:t>,</w:t>
      </w:r>
      <w:r w:rsidRPr="00905305">
        <w:t xml:space="preserve"> and </w:t>
      </w:r>
      <w:r w:rsidR="00B06CEF" w:rsidRPr="00905305">
        <w:t xml:space="preserve">that </w:t>
      </w:r>
      <w:r w:rsidRPr="00905305">
        <w:t>was in the possession of the authorised officer immediately before that commencement</w:t>
      </w:r>
      <w:r w:rsidR="00B06CEF" w:rsidRPr="00905305">
        <w:t>,</w:t>
      </w:r>
      <w:r w:rsidRPr="00905305">
        <w:t xml:space="preserve"> is taken after that commencement to have been issued to the authorised officer under regulation 46AA of these </w:t>
      </w:r>
      <w:r w:rsidR="007878FF" w:rsidRPr="00905305">
        <w:t>R</w:t>
      </w:r>
      <w:r w:rsidRPr="00905305">
        <w:t>egulations.</w:t>
      </w:r>
    </w:p>
    <w:p w14:paraId="3008955E" w14:textId="77777777" w:rsidR="00DC10BC" w:rsidRPr="00905305" w:rsidRDefault="00661EDB" w:rsidP="00DC10BC">
      <w:pPr>
        <w:pStyle w:val="ActHead6"/>
        <w:pageBreakBefore/>
      </w:pPr>
      <w:bookmarkStart w:id="28" w:name="_Toc165985476"/>
      <w:r w:rsidRPr="00905305">
        <w:rPr>
          <w:rStyle w:val="CharAmSchNo"/>
        </w:rPr>
        <w:lastRenderedPageBreak/>
        <w:t>Schedule 2</w:t>
      </w:r>
      <w:r w:rsidR="00DC10BC" w:rsidRPr="00905305">
        <w:t>—</w:t>
      </w:r>
      <w:r w:rsidR="00DC10BC" w:rsidRPr="00905305">
        <w:rPr>
          <w:rStyle w:val="CharAmSchText"/>
        </w:rPr>
        <w:t xml:space="preserve">Amendments commencing </w:t>
      </w:r>
      <w:r w:rsidRPr="00905305">
        <w:rPr>
          <w:rStyle w:val="CharAmSchText"/>
        </w:rPr>
        <w:t>1 July</w:t>
      </w:r>
      <w:r w:rsidR="00DC10BC" w:rsidRPr="00905305">
        <w:rPr>
          <w:rStyle w:val="CharAmSchText"/>
        </w:rPr>
        <w:t xml:space="preserve"> 2024</w:t>
      </w:r>
      <w:bookmarkEnd w:id="28"/>
    </w:p>
    <w:p w14:paraId="54571435" w14:textId="77777777" w:rsidR="00DC10BC" w:rsidRPr="00905305" w:rsidRDefault="00E017ED" w:rsidP="00DC10BC">
      <w:pPr>
        <w:pStyle w:val="ActHead7"/>
      </w:pPr>
      <w:bookmarkStart w:id="29" w:name="_Toc165985477"/>
      <w:r w:rsidRPr="00905305">
        <w:rPr>
          <w:rStyle w:val="CharAmPartNo"/>
        </w:rPr>
        <w:t>Part 1</w:t>
      </w:r>
      <w:r w:rsidR="00DC10BC" w:rsidRPr="00905305">
        <w:t>—</w:t>
      </w:r>
      <w:r w:rsidR="00DC10BC" w:rsidRPr="00905305">
        <w:rPr>
          <w:rStyle w:val="CharAmPartText"/>
        </w:rPr>
        <w:t>Standard for sunscreen preparations</w:t>
      </w:r>
      <w:bookmarkEnd w:id="29"/>
    </w:p>
    <w:p w14:paraId="2BAF2606" w14:textId="77777777" w:rsidR="00DC10BC" w:rsidRPr="00905305" w:rsidRDefault="00DC10BC" w:rsidP="00DC10BC">
      <w:pPr>
        <w:pStyle w:val="ActHead9"/>
      </w:pPr>
      <w:bookmarkStart w:id="30" w:name="_Toc165985478"/>
      <w:r w:rsidRPr="00905305">
        <w:t>Therapeutic Goods Regulations 1990</w:t>
      </w:r>
      <w:bookmarkEnd w:id="30"/>
    </w:p>
    <w:p w14:paraId="795275D0" w14:textId="77777777" w:rsidR="00DC10BC" w:rsidRPr="00905305" w:rsidRDefault="00147E55" w:rsidP="00DC10BC">
      <w:pPr>
        <w:pStyle w:val="ItemHead"/>
      </w:pPr>
      <w:r w:rsidRPr="00905305">
        <w:t>1</w:t>
      </w:r>
      <w:r w:rsidR="00DC10BC" w:rsidRPr="00905305">
        <w:t xml:space="preserve">  Regulation 2 (definition of </w:t>
      </w:r>
      <w:r w:rsidR="00DC10BC" w:rsidRPr="00905305">
        <w:rPr>
          <w:i/>
        </w:rPr>
        <w:t>Standard AS/NZS</w:t>
      </w:r>
      <w:r w:rsidR="00DC10BC" w:rsidRPr="00905305">
        <w:t>)</w:t>
      </w:r>
    </w:p>
    <w:p w14:paraId="6B7EB142" w14:textId="77777777" w:rsidR="00DC10BC" w:rsidRPr="00905305" w:rsidRDefault="00DC10BC" w:rsidP="00DC10BC">
      <w:pPr>
        <w:pStyle w:val="Item"/>
      </w:pPr>
      <w:r w:rsidRPr="00905305">
        <w:t>Repeal the definition.</w:t>
      </w:r>
    </w:p>
    <w:p w14:paraId="76632530" w14:textId="77777777" w:rsidR="00DC10BC" w:rsidRPr="00905305" w:rsidRDefault="00147E55" w:rsidP="00DC10BC">
      <w:pPr>
        <w:pStyle w:val="ItemHead"/>
      </w:pPr>
      <w:r w:rsidRPr="00905305">
        <w:t>2</w:t>
      </w:r>
      <w:r w:rsidR="00DC10BC" w:rsidRPr="00905305">
        <w:t xml:space="preserve">  </w:t>
      </w:r>
      <w:r w:rsidR="00E017ED" w:rsidRPr="00905305">
        <w:t>Schedule 4</w:t>
      </w:r>
      <w:r w:rsidR="00DC10BC" w:rsidRPr="00905305">
        <w:t xml:space="preserve"> (table item 7, column headed “Therapeutic goods”, </w:t>
      </w:r>
      <w:r w:rsidR="00753B79" w:rsidRPr="00905305">
        <w:t>paragraph (</w:t>
      </w:r>
      <w:r w:rsidR="00DC10BC" w:rsidRPr="00905305">
        <w:t>a))</w:t>
      </w:r>
    </w:p>
    <w:p w14:paraId="54969826" w14:textId="77777777" w:rsidR="00DC10BC" w:rsidRPr="00905305" w:rsidRDefault="00DC10BC" w:rsidP="00DC10BC">
      <w:pPr>
        <w:pStyle w:val="Item"/>
      </w:pPr>
      <w:r w:rsidRPr="00905305">
        <w:t xml:space="preserve">Omit “Standard AS/NZS 2604:2012, as in force from time to time”, substitute “Australian/New Zealand Standard AS/NZS 2604:2021, </w:t>
      </w:r>
      <w:r w:rsidRPr="00905305">
        <w:rPr>
          <w:i/>
        </w:rPr>
        <w:t xml:space="preserve">Sunscreen products </w:t>
      </w:r>
      <w:r w:rsidR="007641D7" w:rsidRPr="00905305">
        <w:rPr>
          <w:i/>
        </w:rPr>
        <w:noBreakHyphen/>
      </w:r>
      <w:r w:rsidRPr="00905305">
        <w:rPr>
          <w:i/>
        </w:rPr>
        <w:t xml:space="preserve"> Evaluation and classification</w:t>
      </w:r>
      <w:r w:rsidRPr="00905305">
        <w:t>, published jointly by, or on behalf of, Standards Australia and Standards New Zealand, as in force from time to time”.</w:t>
      </w:r>
    </w:p>
    <w:p w14:paraId="3057D16F" w14:textId="77777777" w:rsidR="00DC10BC" w:rsidRPr="00905305" w:rsidRDefault="00E017ED" w:rsidP="00DC10BC">
      <w:pPr>
        <w:pStyle w:val="ActHead7"/>
        <w:pageBreakBefore/>
      </w:pPr>
      <w:bookmarkStart w:id="31" w:name="_Toc165985479"/>
      <w:r w:rsidRPr="00905305">
        <w:rPr>
          <w:rStyle w:val="CharAmPartNo"/>
        </w:rPr>
        <w:lastRenderedPageBreak/>
        <w:t>Part 2</w:t>
      </w:r>
      <w:r w:rsidR="00DC10BC" w:rsidRPr="00905305">
        <w:t>—</w:t>
      </w:r>
      <w:bookmarkStart w:id="32" w:name="_Hlk159935278"/>
      <w:r w:rsidR="00DC10BC" w:rsidRPr="00905305">
        <w:rPr>
          <w:rStyle w:val="CharAmPartText"/>
        </w:rPr>
        <w:t>Auditing applications for inclusion of medical devices in the Register</w:t>
      </w:r>
      <w:bookmarkEnd w:id="31"/>
      <w:bookmarkEnd w:id="32"/>
    </w:p>
    <w:p w14:paraId="340A4AD1" w14:textId="77777777" w:rsidR="00DC10BC" w:rsidRPr="00905305" w:rsidRDefault="00DC10BC" w:rsidP="00DC10BC">
      <w:pPr>
        <w:pStyle w:val="ActHead9"/>
      </w:pPr>
      <w:bookmarkStart w:id="33" w:name="_Toc165985480"/>
      <w:r w:rsidRPr="00905305">
        <w:t xml:space="preserve">Therapeutic Goods (Medical Devices) </w:t>
      </w:r>
      <w:r w:rsidR="007E6F68" w:rsidRPr="00905305">
        <w:t>Regulations 2</w:t>
      </w:r>
      <w:r w:rsidRPr="00905305">
        <w:t>002</w:t>
      </w:r>
      <w:bookmarkEnd w:id="33"/>
    </w:p>
    <w:p w14:paraId="09E5164F" w14:textId="77777777" w:rsidR="00DC10BC" w:rsidRPr="00905305" w:rsidRDefault="00147E55" w:rsidP="00DC10BC">
      <w:pPr>
        <w:pStyle w:val="ItemHead"/>
      </w:pPr>
      <w:r w:rsidRPr="00905305">
        <w:t>3</w:t>
      </w:r>
      <w:r w:rsidR="00DC10BC" w:rsidRPr="00905305">
        <w:t xml:space="preserve">  </w:t>
      </w:r>
      <w:r w:rsidR="00F90F31" w:rsidRPr="00905305">
        <w:t>Sub</w:t>
      </w:r>
      <w:r w:rsidR="00661EDB" w:rsidRPr="00905305">
        <w:t>regulation 5</w:t>
      </w:r>
      <w:r w:rsidR="00DC10BC" w:rsidRPr="00905305">
        <w:t>.3(1)</w:t>
      </w:r>
    </w:p>
    <w:p w14:paraId="34959B22" w14:textId="77777777" w:rsidR="00DC10BC" w:rsidRPr="00905305" w:rsidRDefault="00DC10BC" w:rsidP="00DC10BC">
      <w:pPr>
        <w:pStyle w:val="Item"/>
      </w:pPr>
      <w:r w:rsidRPr="00905305">
        <w:t>Repeal the subregulation, substitute:</w:t>
      </w:r>
    </w:p>
    <w:p w14:paraId="6A6D374C" w14:textId="77777777" w:rsidR="00DC10BC" w:rsidRPr="00905305" w:rsidRDefault="00DC10BC" w:rsidP="00DC10BC">
      <w:pPr>
        <w:pStyle w:val="subsection"/>
      </w:pPr>
      <w:r w:rsidRPr="00905305">
        <w:tab/>
        <w:t>(1)</w:t>
      </w:r>
      <w:r w:rsidRPr="00905305">
        <w:tab/>
        <w:t>For the purposes of paragraph 41FH(1)(a) of the Act, and subject to this regulation, an application for any of the following kinds of medical devices to be included in the Register is prescribed:</w:t>
      </w:r>
    </w:p>
    <w:p w14:paraId="7AEF578A" w14:textId="77777777" w:rsidR="00DC10BC" w:rsidRPr="00905305" w:rsidRDefault="00DC10BC" w:rsidP="00DC10BC">
      <w:pPr>
        <w:pStyle w:val="paragraph"/>
      </w:pPr>
      <w:r w:rsidRPr="00905305">
        <w:tab/>
        <w:t>(a)</w:t>
      </w:r>
      <w:r w:rsidRPr="00905305">
        <w:tab/>
        <w:t>a Class III medical device;</w:t>
      </w:r>
    </w:p>
    <w:p w14:paraId="4AFE4FC7" w14:textId="77777777" w:rsidR="00DC10BC" w:rsidRPr="00905305" w:rsidRDefault="00DC10BC" w:rsidP="00DC10BC">
      <w:pPr>
        <w:pStyle w:val="paragraph"/>
      </w:pPr>
      <w:r w:rsidRPr="00905305">
        <w:tab/>
        <w:t>(b)</w:t>
      </w:r>
      <w:r w:rsidRPr="00905305">
        <w:tab/>
        <w:t>any of the following IVD medical devices:</w:t>
      </w:r>
    </w:p>
    <w:p w14:paraId="19476EDF" w14:textId="77777777" w:rsidR="00DC10BC" w:rsidRPr="00905305" w:rsidRDefault="00DC10BC" w:rsidP="00DC10BC">
      <w:pPr>
        <w:pStyle w:val="paragraphsub"/>
      </w:pPr>
      <w:r w:rsidRPr="00905305">
        <w:tab/>
        <w:t>(i)</w:t>
      </w:r>
      <w:r w:rsidRPr="00905305">
        <w:tab/>
        <w:t>a Class 3 IVD medical device;</w:t>
      </w:r>
    </w:p>
    <w:p w14:paraId="647511DD" w14:textId="77777777" w:rsidR="00DC10BC" w:rsidRPr="00905305" w:rsidRDefault="00DC10BC" w:rsidP="00DC10BC">
      <w:pPr>
        <w:pStyle w:val="paragraphsub"/>
      </w:pPr>
      <w:r w:rsidRPr="00905305">
        <w:tab/>
        <w:t>(ii)</w:t>
      </w:r>
      <w:r w:rsidRPr="00905305">
        <w:tab/>
        <w:t>a Class 4 IVD medical device;</w:t>
      </w:r>
    </w:p>
    <w:p w14:paraId="7A3B359B" w14:textId="77777777" w:rsidR="00DC10BC" w:rsidRPr="00905305" w:rsidRDefault="00DC10BC" w:rsidP="00DC10BC">
      <w:pPr>
        <w:pStyle w:val="paragraphsub"/>
      </w:pPr>
      <w:r w:rsidRPr="00905305">
        <w:tab/>
        <w:t>(iii)</w:t>
      </w:r>
      <w:r w:rsidRPr="00905305">
        <w:tab/>
        <w:t>a Class 4 in</w:t>
      </w:r>
      <w:r w:rsidR="007641D7" w:rsidRPr="00905305">
        <w:noBreakHyphen/>
      </w:r>
      <w:r w:rsidRPr="00905305">
        <w:t>house IVD medical device;</w:t>
      </w:r>
    </w:p>
    <w:p w14:paraId="4C8471D8" w14:textId="77777777" w:rsidR="00DC10BC" w:rsidRPr="00905305" w:rsidRDefault="00DC10BC" w:rsidP="00DC10BC">
      <w:pPr>
        <w:pStyle w:val="paragraphsub"/>
      </w:pPr>
      <w:r w:rsidRPr="00905305">
        <w:tab/>
        <w:t>(iv)</w:t>
      </w:r>
      <w:r w:rsidRPr="00905305">
        <w:tab/>
        <w:t>an IVD medical device that is intended for self</w:t>
      </w:r>
      <w:r w:rsidR="007641D7" w:rsidRPr="00905305">
        <w:noBreakHyphen/>
      </w:r>
      <w:r w:rsidRPr="00905305">
        <w:t>testing;</w:t>
      </w:r>
    </w:p>
    <w:p w14:paraId="10105319" w14:textId="77777777" w:rsidR="00DC10BC" w:rsidRPr="00905305" w:rsidRDefault="00DC10BC" w:rsidP="00DC10BC">
      <w:pPr>
        <w:pStyle w:val="paragraphsub"/>
      </w:pPr>
      <w:r w:rsidRPr="00905305">
        <w:tab/>
        <w:t>(v)</w:t>
      </w:r>
      <w:r w:rsidRPr="00905305">
        <w:tab/>
        <w:t>an IVD medical device that is intended for point of care testing.</w:t>
      </w:r>
    </w:p>
    <w:p w14:paraId="5D50A193" w14:textId="77777777" w:rsidR="00DC10BC" w:rsidRPr="00905305" w:rsidRDefault="00147E55" w:rsidP="00DC10BC">
      <w:pPr>
        <w:pStyle w:val="ItemHead"/>
      </w:pPr>
      <w:r w:rsidRPr="00905305">
        <w:t>4</w:t>
      </w:r>
      <w:r w:rsidR="00DC10BC" w:rsidRPr="00905305">
        <w:t xml:space="preserve">  After sub</w:t>
      </w:r>
      <w:r w:rsidR="00661EDB" w:rsidRPr="00905305">
        <w:t>regulation 5</w:t>
      </w:r>
      <w:r w:rsidR="00DC10BC" w:rsidRPr="00905305">
        <w:t>.3(2AA)</w:t>
      </w:r>
    </w:p>
    <w:p w14:paraId="795366C8" w14:textId="77777777" w:rsidR="00DC10BC" w:rsidRPr="00905305" w:rsidRDefault="00DC10BC" w:rsidP="00DC10BC">
      <w:pPr>
        <w:pStyle w:val="Item"/>
      </w:pPr>
      <w:r w:rsidRPr="00905305">
        <w:t>Insert:</w:t>
      </w:r>
    </w:p>
    <w:p w14:paraId="0F9AF375" w14:textId="77777777" w:rsidR="00DC10BC" w:rsidRPr="00905305" w:rsidRDefault="00DC10BC" w:rsidP="00DC10BC">
      <w:pPr>
        <w:pStyle w:val="subsection"/>
      </w:pPr>
      <w:r w:rsidRPr="00905305">
        <w:tab/>
        <w:t>(2AB)</w:t>
      </w:r>
      <w:r w:rsidRPr="00905305">
        <w:tab/>
        <w:t>Subregulation (1) does not apply to an application for a kind of medical device to be included in the Register if:</w:t>
      </w:r>
    </w:p>
    <w:p w14:paraId="467A7917" w14:textId="77777777" w:rsidR="00DC10BC" w:rsidRPr="00905305" w:rsidRDefault="00DC10BC" w:rsidP="00DC10BC">
      <w:pPr>
        <w:pStyle w:val="paragraph"/>
      </w:pPr>
      <w:r w:rsidRPr="00905305">
        <w:tab/>
        <w:t>(a)</w:t>
      </w:r>
      <w:r w:rsidRPr="00905305">
        <w:tab/>
        <w:t>the kind of medical device:</w:t>
      </w:r>
    </w:p>
    <w:p w14:paraId="638439ED" w14:textId="77777777" w:rsidR="00DC10BC" w:rsidRPr="00905305" w:rsidRDefault="00DC10BC" w:rsidP="00DC10BC">
      <w:pPr>
        <w:pStyle w:val="paragraphsub"/>
        <w:rPr>
          <w:lang w:eastAsia="en-US"/>
        </w:rPr>
      </w:pPr>
      <w:r w:rsidRPr="00905305">
        <w:tab/>
        <w:t>(i)</w:t>
      </w:r>
      <w:r w:rsidRPr="00905305">
        <w:tab/>
        <w:t>is the subject of a medical device licence issued by Health Canada unde</w:t>
      </w:r>
      <w:r w:rsidRPr="00905305">
        <w:rPr>
          <w:lang w:eastAsia="en-US"/>
        </w:rPr>
        <w:t xml:space="preserve">r the </w:t>
      </w:r>
      <w:r w:rsidRPr="00905305">
        <w:rPr>
          <w:i/>
          <w:lang w:eastAsia="en-US"/>
        </w:rPr>
        <w:t>Medical Devices Regulations</w:t>
      </w:r>
      <w:r w:rsidRPr="00905305">
        <w:rPr>
          <w:lang w:eastAsia="en-US"/>
        </w:rPr>
        <w:t xml:space="preserve"> (Canada); or</w:t>
      </w:r>
    </w:p>
    <w:p w14:paraId="62AF1961" w14:textId="77777777" w:rsidR="00DC10BC" w:rsidRPr="00905305" w:rsidRDefault="00DC10BC" w:rsidP="00DC10BC">
      <w:pPr>
        <w:pStyle w:val="paragraphsub"/>
      </w:pPr>
      <w:r w:rsidRPr="00905305">
        <w:tab/>
        <w:t>(ii)</w:t>
      </w:r>
      <w:r w:rsidRPr="00905305">
        <w:tab/>
        <w:t xml:space="preserve">is the subject of an order approving an application for premarket approval from the US Food and Drug Administration under the </w:t>
      </w:r>
      <w:r w:rsidRPr="00905305">
        <w:rPr>
          <w:i/>
        </w:rPr>
        <w:t>Federal Food, Drug, and Cosmetic Act</w:t>
      </w:r>
      <w:r w:rsidRPr="00905305">
        <w:t xml:space="preserve"> (United States of America); or</w:t>
      </w:r>
    </w:p>
    <w:p w14:paraId="726D87BC" w14:textId="77777777" w:rsidR="00DC10BC" w:rsidRPr="00905305" w:rsidRDefault="00DC10BC" w:rsidP="00DC10BC">
      <w:pPr>
        <w:pStyle w:val="paragraphsub"/>
      </w:pPr>
      <w:r w:rsidRPr="00905305">
        <w:tab/>
        <w:t>(iii)</w:t>
      </w:r>
      <w:r w:rsidRPr="00905305">
        <w:tab/>
        <w:t>is the subject of a pre</w:t>
      </w:r>
      <w:r w:rsidR="007641D7" w:rsidRPr="00905305">
        <w:noBreakHyphen/>
      </w:r>
      <w:r w:rsidRPr="00905305">
        <w:t xml:space="preserve">market certification or approval issued by the Japanese Ministry of Health, Labour and Welfare, or the Japanese Pharmaceuticals and Medical Devices Agency, under </w:t>
      </w:r>
      <w:r w:rsidRPr="00905305">
        <w:rPr>
          <w:i/>
        </w:rPr>
        <w:t>The Law on Securing Quality, Efficacy and Safety of Products Including Pharmaceuticals and Medical Devices</w:t>
      </w:r>
      <w:r w:rsidRPr="00905305">
        <w:t xml:space="preserve"> (Japan); or</w:t>
      </w:r>
    </w:p>
    <w:p w14:paraId="6EFD2DE8" w14:textId="77777777" w:rsidR="00DC10BC" w:rsidRPr="00905305" w:rsidRDefault="00DC10BC" w:rsidP="00DC10BC">
      <w:pPr>
        <w:pStyle w:val="paragraphsub"/>
      </w:pPr>
      <w:r w:rsidRPr="00905305">
        <w:tab/>
        <w:t>(iv)</w:t>
      </w:r>
      <w:r w:rsidRPr="00905305">
        <w:tab/>
        <w:t xml:space="preserve">is the subject of an entry in the Register of Health Products kept and maintained by the Health Sciences Authority of Singapore under the </w:t>
      </w:r>
      <w:r w:rsidRPr="00905305">
        <w:rPr>
          <w:i/>
        </w:rPr>
        <w:t>Health Products Act 2007</w:t>
      </w:r>
      <w:r w:rsidRPr="00905305">
        <w:t xml:space="preserve"> (Singapore); or</w:t>
      </w:r>
    </w:p>
    <w:p w14:paraId="01D70BCE" w14:textId="77777777" w:rsidR="00DC10BC" w:rsidRPr="00905305" w:rsidRDefault="00DC10BC" w:rsidP="00DC10BC">
      <w:pPr>
        <w:pStyle w:val="paragraphsub"/>
      </w:pPr>
      <w:r w:rsidRPr="00905305">
        <w:tab/>
        <w:t>(v)</w:t>
      </w:r>
      <w:r w:rsidRPr="00905305">
        <w:tab/>
        <w:t>has been certified in accordance with the Australia</w:t>
      </w:r>
      <w:r w:rsidR="007641D7" w:rsidRPr="00905305">
        <w:noBreakHyphen/>
      </w:r>
      <w:r w:rsidRPr="00905305">
        <w:t>UK Mutual Recognition Agreement, the EC Mutual Recognition Agreement or the EFTA Mutual Recognition Agreement; and</w:t>
      </w:r>
    </w:p>
    <w:p w14:paraId="31EC8E51" w14:textId="77777777" w:rsidR="00DC10BC" w:rsidRPr="00905305" w:rsidRDefault="00DC10BC" w:rsidP="00DC10BC">
      <w:pPr>
        <w:pStyle w:val="paragraph"/>
      </w:pPr>
      <w:r w:rsidRPr="00905305">
        <w:tab/>
        <w:t>(b)</w:t>
      </w:r>
      <w:r w:rsidRPr="00905305">
        <w:tab/>
        <w:t xml:space="preserve">the licence, </w:t>
      </w:r>
      <w:r w:rsidR="00AF7972" w:rsidRPr="00905305">
        <w:t xml:space="preserve">order, </w:t>
      </w:r>
      <w:r w:rsidRPr="00905305">
        <w:t>approval, certification or entry has not:</w:t>
      </w:r>
    </w:p>
    <w:p w14:paraId="5B1C80E9" w14:textId="77777777" w:rsidR="00DC10BC" w:rsidRPr="00905305" w:rsidRDefault="00DC10BC" w:rsidP="00DC10BC">
      <w:pPr>
        <w:pStyle w:val="paragraphsub"/>
      </w:pPr>
      <w:r w:rsidRPr="00905305">
        <w:tab/>
        <w:t>(i)</w:t>
      </w:r>
      <w:r w:rsidRPr="00905305">
        <w:tab/>
        <w:t>been suspended, revoked or restricted (however described); or</w:t>
      </w:r>
    </w:p>
    <w:p w14:paraId="6F8A400F" w14:textId="77777777" w:rsidR="00DC10BC" w:rsidRPr="00905305" w:rsidRDefault="00DC10BC" w:rsidP="00DC10BC">
      <w:pPr>
        <w:pStyle w:val="paragraphsub"/>
      </w:pPr>
      <w:r w:rsidRPr="00905305">
        <w:tab/>
        <w:t>(ii)</w:t>
      </w:r>
      <w:r w:rsidRPr="00905305">
        <w:tab/>
        <w:t>otherwise ceased to be in effect.</w:t>
      </w:r>
    </w:p>
    <w:p w14:paraId="25C8825A" w14:textId="77777777" w:rsidR="00DC10BC" w:rsidRPr="00905305" w:rsidRDefault="00147E55" w:rsidP="00DC10BC">
      <w:pPr>
        <w:pStyle w:val="ItemHead"/>
      </w:pPr>
      <w:r w:rsidRPr="00905305">
        <w:t>5</w:t>
      </w:r>
      <w:r w:rsidR="00DC10BC" w:rsidRPr="00905305">
        <w:t xml:space="preserve">  </w:t>
      </w:r>
      <w:r w:rsidR="00F90F31" w:rsidRPr="00905305">
        <w:t>Sub</w:t>
      </w:r>
      <w:r w:rsidR="00661EDB" w:rsidRPr="00905305">
        <w:t>regulation 5</w:t>
      </w:r>
      <w:r w:rsidR="00DC10BC" w:rsidRPr="00905305">
        <w:t>.12(1)</w:t>
      </w:r>
    </w:p>
    <w:p w14:paraId="183D76C3" w14:textId="77777777" w:rsidR="00DC10BC" w:rsidRPr="00905305" w:rsidRDefault="00DC10BC" w:rsidP="00DC10BC">
      <w:pPr>
        <w:pStyle w:val="Item"/>
      </w:pPr>
      <w:r w:rsidRPr="00905305">
        <w:t>Repeal the subregulation, substitute:</w:t>
      </w:r>
    </w:p>
    <w:p w14:paraId="0901D5EF" w14:textId="77777777" w:rsidR="00DC10BC" w:rsidRPr="00905305" w:rsidRDefault="00DC10BC" w:rsidP="00DC10BC">
      <w:pPr>
        <w:pStyle w:val="subsection"/>
      </w:pPr>
      <w:r w:rsidRPr="00905305">
        <w:tab/>
        <w:t>(1)</w:t>
      </w:r>
      <w:r w:rsidRPr="00905305">
        <w:tab/>
        <w:t>This regulation applies in relation to the following kinds of medical devices:</w:t>
      </w:r>
    </w:p>
    <w:p w14:paraId="2678E30E" w14:textId="77777777" w:rsidR="00DC10BC" w:rsidRPr="00905305" w:rsidRDefault="00DC10BC" w:rsidP="00DC10BC">
      <w:pPr>
        <w:pStyle w:val="paragraph"/>
      </w:pPr>
      <w:r w:rsidRPr="00905305">
        <w:lastRenderedPageBreak/>
        <w:tab/>
        <w:t>(a)</w:t>
      </w:r>
      <w:r w:rsidRPr="00905305">
        <w:tab/>
        <w:t>a Class 3 IVD medical device;</w:t>
      </w:r>
    </w:p>
    <w:p w14:paraId="06AB5087" w14:textId="77777777" w:rsidR="00DC10BC" w:rsidRPr="00905305" w:rsidRDefault="00DC10BC" w:rsidP="00DC10BC">
      <w:pPr>
        <w:pStyle w:val="paragraph"/>
      </w:pPr>
      <w:r w:rsidRPr="00905305">
        <w:tab/>
        <w:t>(b)</w:t>
      </w:r>
      <w:r w:rsidRPr="00905305">
        <w:tab/>
        <w:t>a Class 4 IVD medical device;</w:t>
      </w:r>
    </w:p>
    <w:p w14:paraId="753D069C" w14:textId="77777777" w:rsidR="00DC10BC" w:rsidRPr="00905305" w:rsidRDefault="00DC10BC" w:rsidP="00DC10BC">
      <w:pPr>
        <w:pStyle w:val="paragraph"/>
      </w:pPr>
      <w:r w:rsidRPr="00905305">
        <w:tab/>
        <w:t>(c)</w:t>
      </w:r>
      <w:r w:rsidRPr="00905305">
        <w:tab/>
        <w:t>a Class 4 in</w:t>
      </w:r>
      <w:r w:rsidR="007641D7" w:rsidRPr="00905305">
        <w:noBreakHyphen/>
      </w:r>
      <w:r w:rsidRPr="00905305">
        <w:t>house IVD medical device;</w:t>
      </w:r>
    </w:p>
    <w:p w14:paraId="41337805" w14:textId="77777777" w:rsidR="00DC10BC" w:rsidRPr="00905305" w:rsidRDefault="00DC10BC" w:rsidP="00DC10BC">
      <w:pPr>
        <w:pStyle w:val="paragraph"/>
      </w:pPr>
      <w:r w:rsidRPr="00905305">
        <w:tab/>
        <w:t>(d)</w:t>
      </w:r>
      <w:r w:rsidRPr="00905305">
        <w:tab/>
        <w:t>an IVD medical device that is intended for self</w:t>
      </w:r>
      <w:r w:rsidR="007641D7" w:rsidRPr="00905305">
        <w:noBreakHyphen/>
      </w:r>
      <w:r w:rsidRPr="00905305">
        <w:t>testing;</w:t>
      </w:r>
    </w:p>
    <w:p w14:paraId="6E9040A3" w14:textId="77777777" w:rsidR="00DC10BC" w:rsidRPr="00905305" w:rsidRDefault="00DC10BC" w:rsidP="00DC10BC">
      <w:pPr>
        <w:pStyle w:val="paragraph"/>
      </w:pPr>
      <w:r w:rsidRPr="00905305">
        <w:tab/>
        <w:t>(e)</w:t>
      </w:r>
      <w:r w:rsidRPr="00905305">
        <w:tab/>
        <w:t>an IVD medical device that is intended for point of care testing</w:t>
      </w:r>
      <w:r w:rsidR="00684656" w:rsidRPr="00905305">
        <w:t>;</w:t>
      </w:r>
    </w:p>
    <w:p w14:paraId="2F0CB1D7" w14:textId="77777777" w:rsidR="00DC10BC" w:rsidRPr="00905305" w:rsidRDefault="00DC10BC" w:rsidP="00DC10BC">
      <w:pPr>
        <w:pStyle w:val="paragraph"/>
      </w:pPr>
      <w:r w:rsidRPr="00905305">
        <w:tab/>
        <w:t>(f)</w:t>
      </w:r>
      <w:r w:rsidRPr="00905305">
        <w:tab/>
        <w:t>a spinal fusion implantable device.</w:t>
      </w:r>
    </w:p>
    <w:p w14:paraId="150F4C11" w14:textId="77777777" w:rsidR="00DC10BC" w:rsidRPr="00905305" w:rsidRDefault="00DC10BC" w:rsidP="00DC10BC">
      <w:pPr>
        <w:pStyle w:val="notetext"/>
      </w:pPr>
      <w:r w:rsidRPr="00905305">
        <w:t>Note:</w:t>
      </w:r>
      <w:r w:rsidRPr="00905305">
        <w:tab/>
        <w:t xml:space="preserve">For the purposes of </w:t>
      </w:r>
      <w:r w:rsidR="00753B79" w:rsidRPr="00905305">
        <w:t>paragraph (</w:t>
      </w:r>
      <w:r w:rsidRPr="00905305">
        <w:t>f), examples of spinal fusion implantable devices include screws, cages, plates, hooks or rods that are intended to be used during spinal fusion surgical procedures.</w:t>
      </w:r>
    </w:p>
    <w:p w14:paraId="06E5DC2E" w14:textId="77777777" w:rsidR="00DC10BC" w:rsidRPr="00905305" w:rsidRDefault="00147E55" w:rsidP="00DC10BC">
      <w:pPr>
        <w:pStyle w:val="ItemHead"/>
      </w:pPr>
      <w:r w:rsidRPr="00905305">
        <w:t>6</w:t>
      </w:r>
      <w:r w:rsidR="00DC10BC" w:rsidRPr="00905305">
        <w:t xml:space="preserve">  </w:t>
      </w:r>
      <w:r w:rsidR="00E017ED" w:rsidRPr="00905305">
        <w:t>Regulation 1</w:t>
      </w:r>
      <w:r w:rsidR="00DC10BC" w:rsidRPr="00905305">
        <w:t>1.22</w:t>
      </w:r>
    </w:p>
    <w:p w14:paraId="3B3C866F" w14:textId="77777777" w:rsidR="00DC10BC" w:rsidRPr="00905305" w:rsidRDefault="00DC10BC" w:rsidP="00DC10BC">
      <w:pPr>
        <w:pStyle w:val="Item"/>
      </w:pPr>
      <w:r w:rsidRPr="00905305">
        <w:t>Repeal the regulation.</w:t>
      </w:r>
    </w:p>
    <w:p w14:paraId="1BFE333B" w14:textId="77777777" w:rsidR="00DC10BC" w:rsidRPr="00905305" w:rsidRDefault="007B0658" w:rsidP="00DC10BC">
      <w:pPr>
        <w:pStyle w:val="ActHead7"/>
        <w:pageBreakBefore/>
      </w:pPr>
      <w:bookmarkStart w:id="34" w:name="_Toc165985481"/>
      <w:r w:rsidRPr="00905305">
        <w:rPr>
          <w:rStyle w:val="CharAmPartNo"/>
        </w:rPr>
        <w:lastRenderedPageBreak/>
        <w:t>Part 3</w:t>
      </w:r>
      <w:r w:rsidR="00DC10BC" w:rsidRPr="00905305">
        <w:t>—</w:t>
      </w:r>
      <w:bookmarkStart w:id="35" w:name="_Hlk159935309"/>
      <w:r w:rsidR="00DC10BC" w:rsidRPr="00905305">
        <w:rPr>
          <w:rStyle w:val="CharAmPartText"/>
        </w:rPr>
        <w:t>Classification rules for medical devices containing substances of animal or microbial origin</w:t>
      </w:r>
      <w:bookmarkEnd w:id="34"/>
      <w:bookmarkEnd w:id="35"/>
    </w:p>
    <w:p w14:paraId="02002F49" w14:textId="77777777" w:rsidR="00DC10BC" w:rsidRPr="00905305" w:rsidRDefault="00DC10BC" w:rsidP="00DC10BC">
      <w:pPr>
        <w:pStyle w:val="ActHead9"/>
      </w:pPr>
      <w:bookmarkStart w:id="36" w:name="_Toc165985482"/>
      <w:r w:rsidRPr="00905305">
        <w:t xml:space="preserve">Therapeutic Goods (Medical Devices) </w:t>
      </w:r>
      <w:r w:rsidR="007E6F68" w:rsidRPr="00905305">
        <w:t>Regulations 2</w:t>
      </w:r>
      <w:r w:rsidRPr="00905305">
        <w:t>002</w:t>
      </w:r>
      <w:bookmarkEnd w:id="36"/>
    </w:p>
    <w:p w14:paraId="5C22B69F" w14:textId="77777777" w:rsidR="00DC10BC" w:rsidRPr="00905305" w:rsidRDefault="00147E55" w:rsidP="00DC10BC">
      <w:pPr>
        <w:pStyle w:val="ItemHead"/>
      </w:pPr>
      <w:r w:rsidRPr="00905305">
        <w:t>7</w:t>
      </w:r>
      <w:r w:rsidR="00DC10BC" w:rsidRPr="00905305">
        <w:t xml:space="preserve">  Subclause 13.4(3) of </w:t>
      </w:r>
      <w:r w:rsidR="00E017ED" w:rsidRPr="00905305">
        <w:t>Schedule 1</w:t>
      </w:r>
      <w:r w:rsidR="00DC10BC" w:rsidRPr="00905305">
        <w:t xml:space="preserve"> (table </w:t>
      </w:r>
      <w:r w:rsidR="00661EDB" w:rsidRPr="00905305">
        <w:t>item 2</w:t>
      </w:r>
      <w:r w:rsidR="00DC10BC" w:rsidRPr="00905305">
        <w:t>5A)</w:t>
      </w:r>
    </w:p>
    <w:p w14:paraId="3AC4C6F5" w14:textId="77777777" w:rsidR="00DC10BC" w:rsidRPr="00905305" w:rsidRDefault="00DC10BC" w:rsidP="00DC10BC">
      <w:pPr>
        <w:pStyle w:val="Item"/>
      </w:pPr>
      <w:r w:rsidRPr="00905305">
        <w:t>Repeal the item, substitute:</w:t>
      </w:r>
    </w:p>
    <w:tbl>
      <w:tblPr>
        <w:tblW w:w="5000" w:type="pct"/>
        <w:tblCellMar>
          <w:left w:w="0" w:type="dxa"/>
          <w:right w:w="0" w:type="dxa"/>
        </w:tblCellMar>
        <w:tblLook w:val="0000" w:firstRow="0" w:lastRow="0" w:firstColumn="0" w:lastColumn="0" w:noHBand="0" w:noVBand="0"/>
      </w:tblPr>
      <w:tblGrid>
        <w:gridCol w:w="986"/>
        <w:gridCol w:w="7543"/>
      </w:tblGrid>
      <w:tr w:rsidR="00DC10BC" w:rsidRPr="00905305" w14:paraId="31DE7C87" w14:textId="77777777" w:rsidTr="00F90F31">
        <w:trPr>
          <w:cantSplit/>
        </w:trPr>
        <w:tc>
          <w:tcPr>
            <w:tcW w:w="578" w:type="pct"/>
            <w:shd w:val="clear" w:color="auto" w:fill="auto"/>
            <w:tcMar>
              <w:top w:w="0" w:type="dxa"/>
              <w:left w:w="108" w:type="dxa"/>
              <w:bottom w:w="0" w:type="dxa"/>
              <w:right w:w="108" w:type="dxa"/>
            </w:tcMar>
          </w:tcPr>
          <w:p w14:paraId="2A1183A4" w14:textId="77777777" w:rsidR="00DC10BC" w:rsidRPr="00905305" w:rsidRDefault="00DC10BC" w:rsidP="00F90F31">
            <w:pPr>
              <w:pStyle w:val="Tabletext"/>
            </w:pPr>
            <w:r w:rsidRPr="00905305">
              <w:t>25A</w:t>
            </w:r>
          </w:p>
        </w:tc>
        <w:tc>
          <w:tcPr>
            <w:tcW w:w="4422" w:type="pct"/>
            <w:shd w:val="clear" w:color="auto" w:fill="auto"/>
            <w:tcMar>
              <w:top w:w="0" w:type="dxa"/>
              <w:left w:w="108" w:type="dxa"/>
              <w:bottom w:w="0" w:type="dxa"/>
              <w:right w:w="108" w:type="dxa"/>
            </w:tcMar>
          </w:tcPr>
          <w:p w14:paraId="7CF3EDDC" w14:textId="77777777" w:rsidR="00DC10BC" w:rsidRPr="00905305" w:rsidRDefault="00DC10BC" w:rsidP="00F90F31">
            <w:pPr>
              <w:pStyle w:val="Tabletext"/>
            </w:pPr>
            <w:r w:rsidRPr="00905305">
              <w:t>For a medical device</w:t>
            </w:r>
            <w:r w:rsidR="007A3977" w:rsidRPr="00905305">
              <w:t xml:space="preserve"> to which </w:t>
            </w:r>
            <w:r w:rsidR="00661EDB" w:rsidRPr="00905305">
              <w:t>clause 5</w:t>
            </w:r>
            <w:r w:rsidR="007A3977" w:rsidRPr="00905305">
              <w:t xml:space="preserve">.5 of </w:t>
            </w:r>
            <w:r w:rsidR="00661EDB" w:rsidRPr="00905305">
              <w:t>Schedule 2</w:t>
            </w:r>
            <w:r w:rsidR="007A3977" w:rsidRPr="00905305">
              <w:t xml:space="preserve"> applies (</w:t>
            </w:r>
            <w:r w:rsidRPr="00905305">
              <w:t>other than an IVD medical device</w:t>
            </w:r>
            <w:r w:rsidR="007A3977" w:rsidRPr="00905305">
              <w:t xml:space="preserve">), </w:t>
            </w:r>
            <w:r w:rsidRPr="00905305">
              <w:t>information to the effect that the device contains or incorporates any of the following:</w:t>
            </w:r>
          </w:p>
          <w:p w14:paraId="34F91579" w14:textId="77777777" w:rsidR="00DC10BC" w:rsidRPr="00905305" w:rsidRDefault="00DC10BC" w:rsidP="00F90F31">
            <w:pPr>
              <w:pStyle w:val="Tablea"/>
            </w:pPr>
            <w:r w:rsidRPr="00905305">
              <w:t>(a) non</w:t>
            </w:r>
            <w:r w:rsidR="007641D7" w:rsidRPr="00905305">
              <w:noBreakHyphen/>
            </w:r>
            <w:r w:rsidRPr="00905305">
              <w:t>viable tissues, or cells, of animal origin;</w:t>
            </w:r>
          </w:p>
          <w:p w14:paraId="52B982DF" w14:textId="77777777" w:rsidR="00DC10BC" w:rsidRPr="00905305" w:rsidRDefault="00DC10BC" w:rsidP="00F90F31">
            <w:pPr>
              <w:pStyle w:val="Tablea"/>
            </w:pPr>
            <w:r w:rsidRPr="00905305">
              <w:t xml:space="preserve">(b) derivatives of tissues or cells </w:t>
            </w:r>
            <w:r w:rsidR="00656621" w:rsidRPr="00905305">
              <w:t>referred to</w:t>
            </w:r>
            <w:r w:rsidRPr="00905305">
              <w:t xml:space="preserve"> in </w:t>
            </w:r>
            <w:r w:rsidR="00753B79" w:rsidRPr="00905305">
              <w:t>paragraph (</w:t>
            </w:r>
            <w:r w:rsidRPr="00905305">
              <w:t>a).</w:t>
            </w:r>
          </w:p>
        </w:tc>
      </w:tr>
    </w:tbl>
    <w:p w14:paraId="3F5C26E0" w14:textId="77777777" w:rsidR="00DC10BC" w:rsidRPr="00905305" w:rsidRDefault="00147E55" w:rsidP="00DC10BC">
      <w:pPr>
        <w:pStyle w:val="ItemHead"/>
      </w:pPr>
      <w:bookmarkStart w:id="37" w:name="_Hlk163830976"/>
      <w:r w:rsidRPr="00905305">
        <w:t>8</w:t>
      </w:r>
      <w:r w:rsidR="00DC10BC" w:rsidRPr="00905305">
        <w:t xml:space="preserve">  Clause 5.5 of </w:t>
      </w:r>
      <w:r w:rsidR="00661EDB" w:rsidRPr="00905305">
        <w:t>Schedule 2</w:t>
      </w:r>
    </w:p>
    <w:p w14:paraId="4D4C456D" w14:textId="77777777" w:rsidR="00DC10BC" w:rsidRPr="00905305" w:rsidRDefault="00DC10BC" w:rsidP="00DC10BC">
      <w:pPr>
        <w:pStyle w:val="Item"/>
      </w:pPr>
      <w:r w:rsidRPr="00905305">
        <w:t>Repeal the clause, substitute:</w:t>
      </w:r>
    </w:p>
    <w:p w14:paraId="02104F94" w14:textId="77777777" w:rsidR="00DC10BC" w:rsidRPr="00905305" w:rsidRDefault="00DC10BC" w:rsidP="00DC10BC">
      <w:pPr>
        <w:pStyle w:val="ActHead5"/>
      </w:pPr>
      <w:bookmarkStart w:id="38" w:name="_Toc165985483"/>
      <w:r w:rsidRPr="00905305">
        <w:rPr>
          <w:rStyle w:val="CharSectno"/>
        </w:rPr>
        <w:t>5.5</w:t>
      </w:r>
      <w:r w:rsidRPr="00905305">
        <w:t xml:space="preserve">  Medical devices containing non</w:t>
      </w:r>
      <w:r w:rsidR="007641D7" w:rsidRPr="00905305">
        <w:noBreakHyphen/>
      </w:r>
      <w:r w:rsidRPr="00905305">
        <w:t>viable animal tissues, cells or their derivatives</w:t>
      </w:r>
      <w:bookmarkEnd w:id="38"/>
    </w:p>
    <w:p w14:paraId="46C9803C" w14:textId="77777777" w:rsidR="00DC10BC" w:rsidRPr="00905305" w:rsidRDefault="00DC10BC" w:rsidP="00456354">
      <w:pPr>
        <w:pStyle w:val="subsection"/>
      </w:pPr>
      <w:r w:rsidRPr="00905305">
        <w:tab/>
        <w:t>(1)</w:t>
      </w:r>
      <w:r w:rsidRPr="00905305">
        <w:tab/>
      </w:r>
      <w:r w:rsidR="00A53AE9" w:rsidRPr="00905305">
        <w:t xml:space="preserve">Subject to </w:t>
      </w:r>
      <w:r w:rsidR="00345B04" w:rsidRPr="00905305">
        <w:t>subclause (</w:t>
      </w:r>
      <w:r w:rsidR="00A53AE9" w:rsidRPr="00905305">
        <w:t>2), this</w:t>
      </w:r>
      <w:r w:rsidR="00456354" w:rsidRPr="00905305">
        <w:t xml:space="preserve"> clause</w:t>
      </w:r>
      <w:r w:rsidRPr="00905305">
        <w:t xml:space="preserve"> applies to a medical device if</w:t>
      </w:r>
      <w:r w:rsidR="00456354" w:rsidRPr="00905305">
        <w:t xml:space="preserve"> </w:t>
      </w:r>
      <w:r w:rsidRPr="00905305">
        <w:t>the device contains any of the following:</w:t>
      </w:r>
    </w:p>
    <w:p w14:paraId="3B4962BA" w14:textId="77777777" w:rsidR="00DC10BC" w:rsidRPr="00905305" w:rsidRDefault="00DC10BC" w:rsidP="00456354">
      <w:pPr>
        <w:pStyle w:val="paragraph"/>
      </w:pPr>
      <w:r w:rsidRPr="00905305">
        <w:tab/>
        <w:t>(</w:t>
      </w:r>
      <w:r w:rsidR="00456354" w:rsidRPr="00905305">
        <w:t>a</w:t>
      </w:r>
      <w:r w:rsidRPr="00905305">
        <w:t>)</w:t>
      </w:r>
      <w:r w:rsidRPr="00905305">
        <w:tab/>
        <w:t>non</w:t>
      </w:r>
      <w:r w:rsidR="007641D7" w:rsidRPr="00905305">
        <w:noBreakHyphen/>
      </w:r>
      <w:r w:rsidRPr="00905305">
        <w:t>viable tissues, or cells, of animal origin</w:t>
      </w:r>
      <w:r w:rsidR="00476DF0" w:rsidRPr="00905305">
        <w:t xml:space="preserve"> (other than tissues or cells from hair or wool)</w:t>
      </w:r>
      <w:r w:rsidRPr="00905305">
        <w:t>;</w:t>
      </w:r>
    </w:p>
    <w:p w14:paraId="095D5DC1" w14:textId="77777777" w:rsidR="00DC10BC" w:rsidRPr="00905305" w:rsidRDefault="00DC10BC" w:rsidP="00456354">
      <w:pPr>
        <w:pStyle w:val="paragraph"/>
      </w:pPr>
      <w:r w:rsidRPr="00905305">
        <w:tab/>
        <w:t>(</w:t>
      </w:r>
      <w:r w:rsidR="00456354" w:rsidRPr="00905305">
        <w:t>b</w:t>
      </w:r>
      <w:r w:rsidRPr="00905305">
        <w:t>)</w:t>
      </w:r>
      <w:r w:rsidRPr="00905305">
        <w:tab/>
        <w:t xml:space="preserve">derivatives of tissues or cells </w:t>
      </w:r>
      <w:r w:rsidR="00B323B0" w:rsidRPr="00905305">
        <w:t>covered by</w:t>
      </w:r>
      <w:r w:rsidRPr="00905305">
        <w:t xml:space="preserve"> </w:t>
      </w:r>
      <w:r w:rsidR="00753B79" w:rsidRPr="00905305">
        <w:t>paragraph (</w:t>
      </w:r>
      <w:r w:rsidR="001F4A55" w:rsidRPr="00905305">
        <w:t>a</w:t>
      </w:r>
      <w:r w:rsidRPr="00905305">
        <w:t>)</w:t>
      </w:r>
      <w:r w:rsidR="00C30637" w:rsidRPr="00905305">
        <w:t xml:space="preserve"> (other than sintered hydroxyapatite or tallow </w:t>
      </w:r>
      <w:r w:rsidR="00D52BED" w:rsidRPr="00905305">
        <w:t>derivatives)</w:t>
      </w:r>
      <w:r w:rsidR="003D7133" w:rsidRPr="00905305">
        <w:t>.</w:t>
      </w:r>
    </w:p>
    <w:p w14:paraId="5DE262F8" w14:textId="77777777" w:rsidR="00DC10BC" w:rsidRPr="00905305" w:rsidRDefault="00A53AE9" w:rsidP="009C2FFE">
      <w:pPr>
        <w:pStyle w:val="subsection"/>
      </w:pPr>
      <w:r w:rsidRPr="00905305">
        <w:tab/>
        <w:t>(</w:t>
      </w:r>
      <w:r w:rsidR="00815156" w:rsidRPr="00905305">
        <w:t>2</w:t>
      </w:r>
      <w:r w:rsidRPr="00905305">
        <w:t>)</w:t>
      </w:r>
      <w:r w:rsidRPr="00905305">
        <w:tab/>
        <w:t>T</w:t>
      </w:r>
      <w:r w:rsidR="00FF169C" w:rsidRPr="00905305">
        <w:t>his clause does not apply to a medical device if</w:t>
      </w:r>
      <w:r w:rsidR="009C2FFE" w:rsidRPr="00905305">
        <w:t xml:space="preserve"> </w:t>
      </w:r>
      <w:r w:rsidR="00DC10BC" w:rsidRPr="00905305">
        <w:t>the device is intended by the manufacturer to come into contact with intact skin only.</w:t>
      </w:r>
    </w:p>
    <w:p w14:paraId="50FBA43A" w14:textId="77777777" w:rsidR="00DC10BC" w:rsidRPr="00905305" w:rsidRDefault="00DC10BC" w:rsidP="00DC10BC">
      <w:pPr>
        <w:pStyle w:val="subsection"/>
      </w:pPr>
      <w:r w:rsidRPr="00905305">
        <w:tab/>
        <w:t>(</w:t>
      </w:r>
      <w:r w:rsidR="00815156" w:rsidRPr="00905305">
        <w:t>3</w:t>
      </w:r>
      <w:r w:rsidRPr="00905305">
        <w:t>)</w:t>
      </w:r>
      <w:r w:rsidRPr="00905305">
        <w:tab/>
      </w:r>
      <w:r w:rsidR="00C47E97" w:rsidRPr="00905305">
        <w:t>A device to which this clause applies</w:t>
      </w:r>
      <w:r w:rsidRPr="00905305">
        <w:t xml:space="preserve"> is classified as Class III.</w:t>
      </w:r>
    </w:p>
    <w:p w14:paraId="60D820A2" w14:textId="77777777" w:rsidR="00DC10BC" w:rsidRPr="00905305" w:rsidRDefault="00F90F31" w:rsidP="00DC10BC">
      <w:pPr>
        <w:pStyle w:val="ActHead7"/>
        <w:pageBreakBefore/>
      </w:pPr>
      <w:bookmarkStart w:id="39" w:name="_Toc165985484"/>
      <w:bookmarkEnd w:id="37"/>
      <w:r w:rsidRPr="00905305">
        <w:rPr>
          <w:rStyle w:val="CharAmPartNo"/>
        </w:rPr>
        <w:lastRenderedPageBreak/>
        <w:t>Part </w:t>
      </w:r>
      <w:r w:rsidR="005120C5" w:rsidRPr="00905305">
        <w:rPr>
          <w:rStyle w:val="CharAmPartNo"/>
        </w:rPr>
        <w:t>4</w:t>
      </w:r>
      <w:r w:rsidR="00DC10BC" w:rsidRPr="00905305">
        <w:t>—</w:t>
      </w:r>
      <w:r w:rsidR="00DC10BC" w:rsidRPr="00905305">
        <w:rPr>
          <w:rStyle w:val="CharAmPartText"/>
        </w:rPr>
        <w:t>Transitional provisions</w:t>
      </w:r>
      <w:bookmarkEnd w:id="39"/>
    </w:p>
    <w:p w14:paraId="5E68BF57" w14:textId="77777777" w:rsidR="00DC10BC" w:rsidRPr="00905305" w:rsidRDefault="00DC10BC" w:rsidP="00DC10BC">
      <w:pPr>
        <w:pStyle w:val="ActHead9"/>
      </w:pPr>
      <w:bookmarkStart w:id="40" w:name="_Toc165985485"/>
      <w:r w:rsidRPr="00905305">
        <w:t xml:space="preserve">Therapeutic Goods (Medical Devices) </w:t>
      </w:r>
      <w:r w:rsidR="007E6F68" w:rsidRPr="00905305">
        <w:t>Regulations 2</w:t>
      </w:r>
      <w:r w:rsidRPr="00905305">
        <w:t>002</w:t>
      </w:r>
      <w:bookmarkEnd w:id="40"/>
    </w:p>
    <w:p w14:paraId="73815A4C" w14:textId="77777777" w:rsidR="00DC10BC" w:rsidRPr="00905305" w:rsidRDefault="00351320" w:rsidP="00DC10BC">
      <w:pPr>
        <w:pStyle w:val="ItemHead"/>
      </w:pPr>
      <w:r w:rsidRPr="00905305">
        <w:t>9</w:t>
      </w:r>
      <w:r w:rsidR="00DC10BC" w:rsidRPr="00905305">
        <w:t xml:space="preserve">  </w:t>
      </w:r>
      <w:r w:rsidR="00E017ED" w:rsidRPr="00905305">
        <w:t>Regulation 1</w:t>
      </w:r>
      <w:r w:rsidR="00C54AF2" w:rsidRPr="00905305">
        <w:t>1.74</w:t>
      </w:r>
    </w:p>
    <w:p w14:paraId="447212D1" w14:textId="77777777" w:rsidR="00DC10BC" w:rsidRPr="00905305" w:rsidRDefault="00DC10BC" w:rsidP="00DC10BC">
      <w:pPr>
        <w:pStyle w:val="Item"/>
      </w:pPr>
      <w:r w:rsidRPr="00905305">
        <w:t>Insert:</w:t>
      </w:r>
    </w:p>
    <w:p w14:paraId="6748A37B" w14:textId="77777777" w:rsidR="00DC10BC" w:rsidRPr="00905305" w:rsidRDefault="00DC10BC" w:rsidP="00DC10BC">
      <w:pPr>
        <w:pStyle w:val="Definition"/>
      </w:pPr>
      <w:bookmarkStart w:id="41" w:name="_Hlk162961901"/>
      <w:r w:rsidRPr="00905305">
        <w:rPr>
          <w:b/>
          <w:i/>
        </w:rPr>
        <w:t>finally determined</w:t>
      </w:r>
      <w:r w:rsidRPr="00905305">
        <w:t>: an application is finally determined at the first time both the following conditions are met:</w:t>
      </w:r>
    </w:p>
    <w:p w14:paraId="68B4916E" w14:textId="77777777" w:rsidR="00DC10BC" w:rsidRPr="00905305" w:rsidRDefault="00DC10BC" w:rsidP="00DC10BC">
      <w:pPr>
        <w:pStyle w:val="paragraph"/>
      </w:pPr>
      <w:r w:rsidRPr="00905305">
        <w:tab/>
        <w:t>(a)</w:t>
      </w:r>
      <w:r w:rsidRPr="00905305">
        <w:tab/>
        <w:t>a decision has been made whether or not to grant the application;</w:t>
      </w:r>
    </w:p>
    <w:p w14:paraId="723C0A71" w14:textId="77777777" w:rsidR="00DC10BC" w:rsidRPr="00905305" w:rsidRDefault="00DC10BC" w:rsidP="00DC10BC">
      <w:pPr>
        <w:pStyle w:val="paragraph"/>
      </w:pPr>
      <w:r w:rsidRPr="00905305">
        <w:tab/>
        <w:t>(b)</w:t>
      </w:r>
      <w:r w:rsidRPr="00905305">
        <w:tab/>
        <w:t>there is no longer any possibility of a change in the outcome of the decision.</w:t>
      </w:r>
    </w:p>
    <w:p w14:paraId="046976F5" w14:textId="77777777" w:rsidR="00DC10BC" w:rsidRPr="00905305" w:rsidRDefault="00DC10BC" w:rsidP="00DC10BC">
      <w:pPr>
        <w:pStyle w:val="Definition"/>
      </w:pPr>
      <w:r w:rsidRPr="00905305">
        <w:rPr>
          <w:b/>
          <w:i/>
        </w:rPr>
        <w:t>inclusion day</w:t>
      </w:r>
      <w:r w:rsidRPr="00905305">
        <w:t xml:space="preserve"> for an entry of </w:t>
      </w:r>
      <w:r w:rsidR="00312877" w:rsidRPr="00905305">
        <w:t xml:space="preserve">a </w:t>
      </w:r>
      <w:r w:rsidR="000C69AD" w:rsidRPr="00905305">
        <w:t>kind of</w:t>
      </w:r>
      <w:r w:rsidR="009B7894" w:rsidRPr="00905305">
        <w:t xml:space="preserve"> </w:t>
      </w:r>
      <w:r w:rsidR="00312877" w:rsidRPr="00905305">
        <w:t>medical</w:t>
      </w:r>
      <w:r w:rsidRPr="00905305">
        <w:t xml:space="preserve"> device in the Register means the day on which the inclusion of that kind of device in the Register commences.</w:t>
      </w:r>
    </w:p>
    <w:p w14:paraId="5D0549AD" w14:textId="77777777" w:rsidR="00DC10BC" w:rsidRPr="00905305" w:rsidRDefault="00DC10BC" w:rsidP="00DC10BC">
      <w:pPr>
        <w:pStyle w:val="Definition"/>
      </w:pPr>
      <w:r w:rsidRPr="00905305">
        <w:rPr>
          <w:b/>
          <w:i/>
        </w:rPr>
        <w:t>transitional medical device</w:t>
      </w:r>
      <w:r w:rsidRPr="00905305">
        <w:t xml:space="preserve"> means a medical device of a kind:</w:t>
      </w:r>
    </w:p>
    <w:p w14:paraId="2EE8664A" w14:textId="77777777" w:rsidR="00DC10BC" w:rsidRPr="00905305" w:rsidRDefault="00DC10BC" w:rsidP="00DC10BC">
      <w:pPr>
        <w:pStyle w:val="paragraph"/>
      </w:pPr>
      <w:r w:rsidRPr="00905305">
        <w:tab/>
        <w:t>(a)</w:t>
      </w:r>
      <w:r w:rsidRPr="00905305">
        <w:tab/>
        <w:t xml:space="preserve">that was, immediately before </w:t>
      </w:r>
      <w:r w:rsidR="00661EDB" w:rsidRPr="00905305">
        <w:t>1 July</w:t>
      </w:r>
      <w:r w:rsidRPr="00905305">
        <w:t xml:space="preserve"> 2024:</w:t>
      </w:r>
    </w:p>
    <w:p w14:paraId="24A8E2B3" w14:textId="77777777" w:rsidR="00DC10BC" w:rsidRPr="00905305" w:rsidRDefault="00DC10BC" w:rsidP="00DC10BC">
      <w:pPr>
        <w:pStyle w:val="paragraphsub"/>
      </w:pPr>
      <w:r w:rsidRPr="00905305">
        <w:tab/>
        <w:t>(i)</w:t>
      </w:r>
      <w:r w:rsidRPr="00905305">
        <w:tab/>
        <w:t>included in the Register; and</w:t>
      </w:r>
    </w:p>
    <w:p w14:paraId="7E0DC13E" w14:textId="77777777" w:rsidR="00DC10BC" w:rsidRPr="00905305" w:rsidRDefault="00DC10BC" w:rsidP="00DC10BC">
      <w:pPr>
        <w:pStyle w:val="paragraphsub"/>
      </w:pPr>
      <w:r w:rsidRPr="00905305">
        <w:tab/>
        <w:t>(ii)</w:t>
      </w:r>
      <w:r w:rsidRPr="00905305">
        <w:tab/>
        <w:t xml:space="preserve">a kind of medical device to which </w:t>
      </w:r>
      <w:r w:rsidR="00661EDB" w:rsidRPr="00905305">
        <w:t>clause 5</w:t>
      </w:r>
      <w:r w:rsidRPr="00905305">
        <w:t xml:space="preserve">.5 of </w:t>
      </w:r>
      <w:r w:rsidR="00661EDB" w:rsidRPr="00905305">
        <w:t>Schedule 2</w:t>
      </w:r>
      <w:r w:rsidRPr="00905305">
        <w:t xml:space="preserve"> </w:t>
      </w:r>
      <w:r w:rsidR="00855293" w:rsidRPr="00905305">
        <w:t xml:space="preserve">to these Regulations </w:t>
      </w:r>
      <w:r w:rsidRPr="00905305">
        <w:t>applied; and</w:t>
      </w:r>
    </w:p>
    <w:p w14:paraId="70BB6E04" w14:textId="77777777" w:rsidR="00DC10BC" w:rsidRPr="00905305" w:rsidRDefault="00DC10BC" w:rsidP="00DC10BC">
      <w:pPr>
        <w:pStyle w:val="paragraph"/>
      </w:pPr>
      <w:r w:rsidRPr="00905305">
        <w:tab/>
        <w:t>(b)</w:t>
      </w:r>
      <w:r w:rsidRPr="00905305">
        <w:tab/>
        <w:t xml:space="preserve">that is, on </w:t>
      </w:r>
      <w:r w:rsidR="00661EDB" w:rsidRPr="00905305">
        <w:t>1 July</w:t>
      </w:r>
      <w:r w:rsidRPr="00905305">
        <w:t xml:space="preserve"> 2024, a kind of a medical device to which </w:t>
      </w:r>
      <w:r w:rsidR="00661EDB" w:rsidRPr="00905305">
        <w:t>clause 5</w:t>
      </w:r>
      <w:r w:rsidRPr="00905305">
        <w:t xml:space="preserve">.5 of </w:t>
      </w:r>
      <w:r w:rsidR="00661EDB" w:rsidRPr="00905305">
        <w:t>Schedule 2</w:t>
      </w:r>
      <w:r w:rsidRPr="00905305">
        <w:t xml:space="preserve"> </w:t>
      </w:r>
      <w:r w:rsidR="004A415A" w:rsidRPr="00905305">
        <w:t xml:space="preserve">to these Regulations </w:t>
      </w:r>
      <w:r w:rsidRPr="00905305">
        <w:t>no longer applies.</w:t>
      </w:r>
    </w:p>
    <w:p w14:paraId="61789174" w14:textId="77777777" w:rsidR="00FD7B96" w:rsidRPr="00905305" w:rsidRDefault="00FD7B96" w:rsidP="00FD7B96">
      <w:pPr>
        <w:pStyle w:val="ItemHead"/>
      </w:pPr>
      <w:r w:rsidRPr="00905305">
        <w:t xml:space="preserve">10  In the appropriate position in </w:t>
      </w:r>
      <w:r w:rsidR="00E017ED" w:rsidRPr="00905305">
        <w:t>Division 1</w:t>
      </w:r>
      <w:r w:rsidRPr="00905305">
        <w:t>1.20</w:t>
      </w:r>
    </w:p>
    <w:p w14:paraId="6970EEAC" w14:textId="77777777" w:rsidR="00FD7B96" w:rsidRPr="00905305" w:rsidRDefault="00132DCD" w:rsidP="00FD7B96">
      <w:pPr>
        <w:pStyle w:val="Item"/>
      </w:pPr>
      <w:r w:rsidRPr="00905305">
        <w:t>Insert</w:t>
      </w:r>
      <w:r w:rsidR="00FD7B96" w:rsidRPr="00905305">
        <w:t>:</w:t>
      </w:r>
    </w:p>
    <w:p w14:paraId="2C812D07" w14:textId="77777777" w:rsidR="00DC10BC" w:rsidRPr="00905305" w:rsidRDefault="00DC10BC" w:rsidP="00DC10BC">
      <w:pPr>
        <w:pStyle w:val="ActHead5"/>
      </w:pPr>
      <w:bookmarkStart w:id="42" w:name="_Toc165985486"/>
      <w:r w:rsidRPr="00905305">
        <w:rPr>
          <w:rStyle w:val="CharSectno"/>
        </w:rPr>
        <w:t>11.</w:t>
      </w:r>
      <w:r w:rsidR="00FD7B96" w:rsidRPr="00905305">
        <w:rPr>
          <w:rStyle w:val="CharSectno"/>
        </w:rPr>
        <w:t>76</w:t>
      </w:r>
      <w:r w:rsidRPr="00905305">
        <w:t xml:space="preserve">  Auditing of applications</w:t>
      </w:r>
      <w:bookmarkEnd w:id="42"/>
    </w:p>
    <w:p w14:paraId="72A938A3" w14:textId="77777777" w:rsidR="00DC10BC" w:rsidRPr="00905305" w:rsidRDefault="00DC10BC" w:rsidP="00DC10BC">
      <w:pPr>
        <w:pStyle w:val="subsection"/>
      </w:pPr>
      <w:r w:rsidRPr="00905305">
        <w:tab/>
        <w:t>(1)</w:t>
      </w:r>
      <w:r w:rsidRPr="00905305">
        <w:tab/>
        <w:t xml:space="preserve">The amendments of </w:t>
      </w:r>
      <w:r w:rsidR="00661EDB" w:rsidRPr="00905305">
        <w:t>regulation 5</w:t>
      </w:r>
      <w:r w:rsidRPr="00905305">
        <w:t xml:space="preserve">.3 of these </w:t>
      </w:r>
      <w:r w:rsidR="007878FF" w:rsidRPr="00905305">
        <w:t>R</w:t>
      </w:r>
      <w:r w:rsidRPr="00905305">
        <w:t xml:space="preserve">egulations made by </w:t>
      </w:r>
      <w:r w:rsidR="00E017ED" w:rsidRPr="00905305">
        <w:t>Part 2</w:t>
      </w:r>
      <w:r w:rsidRPr="00905305">
        <w:t xml:space="preserve"> of </w:t>
      </w:r>
      <w:r w:rsidR="00661EDB" w:rsidRPr="00905305">
        <w:t>Schedule 2</w:t>
      </w:r>
      <w:r w:rsidRPr="00905305">
        <w:t xml:space="preserve"> to the amending regulations</w:t>
      </w:r>
      <w:r w:rsidRPr="00905305">
        <w:rPr>
          <w:i/>
        </w:rPr>
        <w:t xml:space="preserve"> </w:t>
      </w:r>
      <w:r w:rsidRPr="00905305">
        <w:t xml:space="preserve">apply in relation to applications made on or after </w:t>
      </w:r>
      <w:r w:rsidR="00661EDB" w:rsidRPr="00905305">
        <w:t>1 July</w:t>
      </w:r>
      <w:r w:rsidRPr="00905305">
        <w:t xml:space="preserve"> 2024.</w:t>
      </w:r>
    </w:p>
    <w:p w14:paraId="60EEAFE9" w14:textId="77777777" w:rsidR="00DC10BC" w:rsidRPr="00905305" w:rsidRDefault="00DC10BC" w:rsidP="00DC10BC">
      <w:pPr>
        <w:pStyle w:val="subsection"/>
      </w:pPr>
      <w:r w:rsidRPr="00905305">
        <w:tab/>
        <w:t>(2)</w:t>
      </w:r>
      <w:r w:rsidRPr="00905305">
        <w:tab/>
        <w:t xml:space="preserve">The amendment of </w:t>
      </w:r>
      <w:r w:rsidR="00661EDB" w:rsidRPr="00905305">
        <w:t>regulation 5</w:t>
      </w:r>
      <w:r w:rsidRPr="00905305">
        <w:t xml:space="preserve">.12 of these </w:t>
      </w:r>
      <w:r w:rsidR="007878FF" w:rsidRPr="00905305">
        <w:t>R</w:t>
      </w:r>
      <w:r w:rsidRPr="00905305">
        <w:t xml:space="preserve">egulations made by </w:t>
      </w:r>
      <w:r w:rsidR="00E017ED" w:rsidRPr="00905305">
        <w:t>Part 2</w:t>
      </w:r>
      <w:r w:rsidRPr="00905305">
        <w:t xml:space="preserve"> of </w:t>
      </w:r>
      <w:r w:rsidR="00661EDB" w:rsidRPr="00905305">
        <w:t>Schedule 2</w:t>
      </w:r>
      <w:r w:rsidRPr="00905305">
        <w:t xml:space="preserve"> to the amend</w:t>
      </w:r>
      <w:r w:rsidR="00E320B1" w:rsidRPr="00905305">
        <w:t>ing</w:t>
      </w:r>
      <w:r w:rsidRPr="00905305">
        <w:t xml:space="preserve"> regulations applies in relation to a kind of medical device included in the Register on or after </w:t>
      </w:r>
      <w:r w:rsidR="00661EDB" w:rsidRPr="00905305">
        <w:t>1 July</w:t>
      </w:r>
      <w:r w:rsidRPr="00905305">
        <w:t xml:space="preserve"> 2024</w:t>
      </w:r>
      <w:r w:rsidR="001A4BE4" w:rsidRPr="00905305">
        <w:t xml:space="preserve"> (whether the inclusion day for the entry of that kind of medical device occurred </w:t>
      </w:r>
      <w:r w:rsidR="00312877" w:rsidRPr="00905305">
        <w:t>before, on or after that day).</w:t>
      </w:r>
    </w:p>
    <w:p w14:paraId="3FDF70A9" w14:textId="77777777" w:rsidR="00DC10BC" w:rsidRPr="00905305" w:rsidRDefault="00DC10BC" w:rsidP="00DC10BC">
      <w:pPr>
        <w:pStyle w:val="ActHead5"/>
      </w:pPr>
      <w:bookmarkStart w:id="43" w:name="_Toc165985487"/>
      <w:r w:rsidRPr="00905305">
        <w:rPr>
          <w:rStyle w:val="CharSectno"/>
        </w:rPr>
        <w:t>11.</w:t>
      </w:r>
      <w:r w:rsidR="00FD7B96" w:rsidRPr="00905305">
        <w:rPr>
          <w:rStyle w:val="CharSectno"/>
        </w:rPr>
        <w:t>77</w:t>
      </w:r>
      <w:r w:rsidRPr="00905305">
        <w:t xml:space="preserve">  Reclassification of medical devices</w:t>
      </w:r>
      <w:bookmarkEnd w:id="43"/>
    </w:p>
    <w:p w14:paraId="79F1D643" w14:textId="77777777" w:rsidR="00DC10BC" w:rsidRPr="00905305" w:rsidRDefault="00DC10BC" w:rsidP="00DC10BC">
      <w:pPr>
        <w:pStyle w:val="SubsectionHead"/>
      </w:pPr>
      <w:r w:rsidRPr="00905305">
        <w:t>Applications and entries other than for transitional medical devices</w:t>
      </w:r>
    </w:p>
    <w:p w14:paraId="4DB5C47F" w14:textId="77777777" w:rsidR="00DC10BC" w:rsidRPr="00905305" w:rsidRDefault="00DC10BC" w:rsidP="00DC10BC">
      <w:pPr>
        <w:pStyle w:val="subsection"/>
      </w:pPr>
      <w:r w:rsidRPr="00905305">
        <w:tab/>
        <w:t>(1)</w:t>
      </w:r>
      <w:r w:rsidRPr="00905305">
        <w:tab/>
        <w:t xml:space="preserve">The amendment of </w:t>
      </w:r>
      <w:r w:rsidR="00661EDB" w:rsidRPr="00905305">
        <w:t>clause 5</w:t>
      </w:r>
      <w:r w:rsidRPr="00905305">
        <w:t xml:space="preserve">.5 of </w:t>
      </w:r>
      <w:r w:rsidR="00661EDB" w:rsidRPr="00905305">
        <w:t>Schedule 2</w:t>
      </w:r>
      <w:r w:rsidRPr="00905305">
        <w:t xml:space="preserve"> to these </w:t>
      </w:r>
      <w:r w:rsidR="007878FF" w:rsidRPr="00905305">
        <w:t>R</w:t>
      </w:r>
      <w:r w:rsidRPr="00905305">
        <w:t xml:space="preserve">egulations made by </w:t>
      </w:r>
      <w:r w:rsidR="007B0658" w:rsidRPr="00905305">
        <w:t>Part 3</w:t>
      </w:r>
      <w:r w:rsidRPr="00905305">
        <w:t xml:space="preserve"> of </w:t>
      </w:r>
      <w:r w:rsidR="00661EDB" w:rsidRPr="00905305">
        <w:t>Schedule 2</w:t>
      </w:r>
      <w:r w:rsidRPr="00905305">
        <w:t xml:space="preserve"> to the amending regulations applies in relation to the following:</w:t>
      </w:r>
    </w:p>
    <w:p w14:paraId="5140153A" w14:textId="77777777" w:rsidR="00DC10BC" w:rsidRPr="00905305" w:rsidRDefault="00DC10BC" w:rsidP="00DC10BC">
      <w:pPr>
        <w:pStyle w:val="paragraph"/>
      </w:pPr>
      <w:r w:rsidRPr="00905305">
        <w:tab/>
        <w:t>(a)</w:t>
      </w:r>
      <w:r w:rsidRPr="00905305">
        <w:tab/>
        <w:t xml:space="preserve">an application for a kind of medical device to be included in the Register that is made on or after </w:t>
      </w:r>
      <w:r w:rsidR="00661EDB" w:rsidRPr="00905305">
        <w:t>1 July</w:t>
      </w:r>
      <w:r w:rsidRPr="00905305">
        <w:t xml:space="preserve"> 2024;</w:t>
      </w:r>
    </w:p>
    <w:p w14:paraId="227B2ACA" w14:textId="77777777" w:rsidR="00DC10BC" w:rsidRPr="00905305" w:rsidRDefault="00DC10BC" w:rsidP="00DC10BC">
      <w:pPr>
        <w:pStyle w:val="paragraph"/>
      </w:pPr>
      <w:r w:rsidRPr="00905305">
        <w:tab/>
        <w:t>(b)</w:t>
      </w:r>
      <w:r w:rsidRPr="00905305">
        <w:tab/>
        <w:t>a kind of medical device that is included in the Register as a result of such an application.</w:t>
      </w:r>
    </w:p>
    <w:p w14:paraId="6A253D41" w14:textId="77777777" w:rsidR="00DC10BC" w:rsidRPr="00905305" w:rsidRDefault="00DC10BC" w:rsidP="00DC10BC">
      <w:pPr>
        <w:pStyle w:val="SubsectionHead"/>
      </w:pPr>
      <w:r w:rsidRPr="00905305">
        <w:lastRenderedPageBreak/>
        <w:t>Applications and entries for transitional medical devices</w:t>
      </w:r>
    </w:p>
    <w:p w14:paraId="31ABD775" w14:textId="77777777" w:rsidR="00DC10BC" w:rsidRPr="00905305" w:rsidRDefault="00DC10BC" w:rsidP="00DC10BC">
      <w:pPr>
        <w:pStyle w:val="subsection"/>
      </w:pPr>
      <w:r w:rsidRPr="00905305">
        <w:tab/>
        <w:t>(2)</w:t>
      </w:r>
      <w:r w:rsidRPr="00905305">
        <w:tab/>
        <w:t xml:space="preserve">Subject to subregulations (3) and (4) of this regulation, the amendment of </w:t>
      </w:r>
      <w:r w:rsidR="00661EDB" w:rsidRPr="00905305">
        <w:t>clause 5</w:t>
      </w:r>
      <w:r w:rsidRPr="00905305">
        <w:t xml:space="preserve">.5 of </w:t>
      </w:r>
      <w:r w:rsidR="00661EDB" w:rsidRPr="00905305">
        <w:t>Schedule 2</w:t>
      </w:r>
      <w:r w:rsidRPr="00905305">
        <w:t xml:space="preserve"> to these </w:t>
      </w:r>
      <w:r w:rsidR="007878FF" w:rsidRPr="00905305">
        <w:t>Re</w:t>
      </w:r>
      <w:r w:rsidRPr="00905305">
        <w:t xml:space="preserve">gulations made by </w:t>
      </w:r>
      <w:r w:rsidR="007B0658" w:rsidRPr="00905305">
        <w:t>Part 3</w:t>
      </w:r>
      <w:r w:rsidRPr="00905305">
        <w:t xml:space="preserve"> of </w:t>
      </w:r>
      <w:r w:rsidR="00661EDB" w:rsidRPr="00905305">
        <w:t>Schedule 2</w:t>
      </w:r>
      <w:r w:rsidRPr="00905305">
        <w:t xml:space="preserve"> to the amending regulations applies in relation to a transitional medical device on and after </w:t>
      </w:r>
      <w:r w:rsidR="00661EDB" w:rsidRPr="00905305">
        <w:t>1 July</w:t>
      </w:r>
      <w:r w:rsidRPr="00905305">
        <w:t xml:space="preserve"> 2026.</w:t>
      </w:r>
    </w:p>
    <w:p w14:paraId="28756C1C" w14:textId="77777777" w:rsidR="00DC10BC" w:rsidRPr="00905305" w:rsidRDefault="00DC10BC" w:rsidP="00DC10BC">
      <w:pPr>
        <w:pStyle w:val="subsection"/>
      </w:pPr>
      <w:r w:rsidRPr="00905305">
        <w:tab/>
        <w:t>(3)</w:t>
      </w:r>
      <w:r w:rsidRPr="00905305">
        <w:tab/>
        <w:t xml:space="preserve">The amendment of </w:t>
      </w:r>
      <w:r w:rsidR="00661EDB" w:rsidRPr="00905305">
        <w:t>clause 5</w:t>
      </w:r>
      <w:r w:rsidRPr="00905305">
        <w:t xml:space="preserve">.5 of </w:t>
      </w:r>
      <w:r w:rsidR="00661EDB" w:rsidRPr="00905305">
        <w:t>Schedule 2</w:t>
      </w:r>
      <w:r w:rsidRPr="00905305">
        <w:t xml:space="preserve"> to these </w:t>
      </w:r>
      <w:r w:rsidR="007878FF" w:rsidRPr="00905305">
        <w:t>R</w:t>
      </w:r>
      <w:r w:rsidRPr="00905305">
        <w:t xml:space="preserve">egulations made by </w:t>
      </w:r>
      <w:r w:rsidR="007B0658" w:rsidRPr="00905305">
        <w:t>Part 3</w:t>
      </w:r>
      <w:r w:rsidRPr="00905305">
        <w:t xml:space="preserve"> of </w:t>
      </w:r>
      <w:r w:rsidR="00661EDB" w:rsidRPr="00905305">
        <w:t>Schedule 2</w:t>
      </w:r>
      <w:r w:rsidRPr="00905305">
        <w:t xml:space="preserve"> to the amending regulations does not apply in relation to a transitional medical device before the day applicable under subregulation (4) of this regulation, if:</w:t>
      </w:r>
    </w:p>
    <w:p w14:paraId="3BC14863" w14:textId="77777777" w:rsidR="00DC10BC" w:rsidRPr="00905305" w:rsidRDefault="00DC10BC" w:rsidP="00DC10BC">
      <w:pPr>
        <w:pStyle w:val="paragraph"/>
      </w:pPr>
      <w:r w:rsidRPr="00905305">
        <w:tab/>
        <w:t>(a)</w:t>
      </w:r>
      <w:r w:rsidRPr="00905305">
        <w:tab/>
        <w:t>a person applies under the Act:</w:t>
      </w:r>
    </w:p>
    <w:p w14:paraId="0102CC1F" w14:textId="77777777" w:rsidR="00DC10BC" w:rsidRPr="00905305" w:rsidRDefault="00DC10BC" w:rsidP="00DC10BC">
      <w:pPr>
        <w:pStyle w:val="paragraphsub"/>
      </w:pPr>
      <w:r w:rsidRPr="00905305">
        <w:tab/>
        <w:t>(i)</w:t>
      </w:r>
      <w:r w:rsidRPr="00905305">
        <w:tab/>
        <w:t>on or after the inclusion day for the entry of the transitional medical device; and</w:t>
      </w:r>
    </w:p>
    <w:p w14:paraId="635D5FAE" w14:textId="77777777" w:rsidR="00DC10BC" w:rsidRPr="00905305" w:rsidRDefault="00DC10BC" w:rsidP="00DC10BC">
      <w:pPr>
        <w:pStyle w:val="paragraphsub"/>
      </w:pPr>
      <w:r w:rsidRPr="00905305">
        <w:tab/>
        <w:t>(ii)</w:t>
      </w:r>
      <w:r w:rsidRPr="00905305">
        <w:tab/>
        <w:t xml:space="preserve">on or after </w:t>
      </w:r>
      <w:r w:rsidR="00661EDB" w:rsidRPr="00905305">
        <w:t>1 July</w:t>
      </w:r>
      <w:r w:rsidRPr="00905305">
        <w:t xml:space="preserve"> 2024; and</w:t>
      </w:r>
    </w:p>
    <w:p w14:paraId="102C8CAD" w14:textId="77777777" w:rsidR="00DC10BC" w:rsidRPr="00905305" w:rsidRDefault="00DC10BC" w:rsidP="00DC10BC">
      <w:pPr>
        <w:pStyle w:val="paragraphsub"/>
      </w:pPr>
      <w:r w:rsidRPr="00905305">
        <w:tab/>
        <w:t>(iii)</w:t>
      </w:r>
      <w:r w:rsidRPr="00905305">
        <w:tab/>
        <w:t xml:space="preserve">before </w:t>
      </w:r>
      <w:r w:rsidR="00661EDB" w:rsidRPr="00905305">
        <w:t>1 July</w:t>
      </w:r>
      <w:r w:rsidRPr="00905305">
        <w:t xml:space="preserve"> 2026;</w:t>
      </w:r>
    </w:p>
    <w:p w14:paraId="181D8E75" w14:textId="77777777" w:rsidR="00DC10BC" w:rsidRPr="00905305" w:rsidRDefault="00DC10BC" w:rsidP="00DC10BC">
      <w:pPr>
        <w:pStyle w:val="paragraph"/>
      </w:pPr>
      <w:r w:rsidRPr="00905305">
        <w:tab/>
      </w:r>
      <w:r w:rsidRPr="00905305">
        <w:tab/>
        <w:t xml:space="preserve">to have a kind (the </w:t>
      </w:r>
      <w:r w:rsidRPr="00905305">
        <w:rPr>
          <w:b/>
          <w:i/>
        </w:rPr>
        <w:t>new kind</w:t>
      </w:r>
      <w:r w:rsidRPr="00905305">
        <w:t>) of medical device included in the Register; and</w:t>
      </w:r>
    </w:p>
    <w:p w14:paraId="40EEEE87" w14:textId="77777777" w:rsidR="00DC10BC" w:rsidRPr="00905305" w:rsidRDefault="00DC10BC" w:rsidP="00DC10BC">
      <w:pPr>
        <w:pStyle w:val="paragraph"/>
      </w:pPr>
      <w:r w:rsidRPr="00905305">
        <w:tab/>
        <w:t>(b)</w:t>
      </w:r>
      <w:r w:rsidRPr="00905305">
        <w:tab/>
        <w:t>the new kind of device would, but for the amendment, be the same kind of medical device as the transitional medical device.</w:t>
      </w:r>
    </w:p>
    <w:p w14:paraId="29418A96" w14:textId="77777777" w:rsidR="00DC10BC" w:rsidRPr="00905305" w:rsidRDefault="00DC10BC" w:rsidP="00DC10BC">
      <w:pPr>
        <w:pStyle w:val="subsection"/>
      </w:pPr>
      <w:r w:rsidRPr="00905305">
        <w:tab/>
        <w:t>(4)</w:t>
      </w:r>
      <w:r w:rsidRPr="00905305">
        <w:tab/>
        <w:t xml:space="preserve">For the purposes of subregulation (3), the day is the day after the day on which the application mentioned in </w:t>
      </w:r>
      <w:r w:rsidR="00753B79" w:rsidRPr="00905305">
        <w:t>paragraph (</w:t>
      </w:r>
      <w:r w:rsidR="00A045AC" w:rsidRPr="00905305">
        <w:t>3</w:t>
      </w:r>
      <w:r w:rsidRPr="00905305">
        <w:t>)(a):</w:t>
      </w:r>
    </w:p>
    <w:p w14:paraId="526E524A" w14:textId="77777777" w:rsidR="00DC10BC" w:rsidRPr="00905305" w:rsidRDefault="00DC10BC" w:rsidP="00DC10BC">
      <w:pPr>
        <w:pStyle w:val="paragraph"/>
      </w:pPr>
      <w:r w:rsidRPr="00905305">
        <w:tab/>
        <w:t>(a)</w:t>
      </w:r>
      <w:r w:rsidRPr="00905305">
        <w:tab/>
        <w:t>is withdrawn; or</w:t>
      </w:r>
    </w:p>
    <w:p w14:paraId="6D57CAC1" w14:textId="77777777" w:rsidR="00DC10BC" w:rsidRPr="00905305" w:rsidRDefault="00DC10BC" w:rsidP="00DC10BC">
      <w:pPr>
        <w:pStyle w:val="paragraph"/>
      </w:pPr>
      <w:r w:rsidRPr="00905305">
        <w:tab/>
        <w:t>(b)</w:t>
      </w:r>
      <w:r w:rsidRPr="00905305">
        <w:tab/>
        <w:t>lapses under section 41FK of the Act; or</w:t>
      </w:r>
    </w:p>
    <w:p w14:paraId="5C0A4134" w14:textId="77777777" w:rsidR="00DC10BC" w:rsidRPr="00905305" w:rsidRDefault="00DC10BC" w:rsidP="00DC10BC">
      <w:pPr>
        <w:pStyle w:val="paragraph"/>
      </w:pPr>
      <w:r w:rsidRPr="00905305">
        <w:tab/>
        <w:t>(c)</w:t>
      </w:r>
      <w:r w:rsidRPr="00905305">
        <w:tab/>
        <w:t>is finally determined.</w:t>
      </w:r>
    </w:p>
    <w:p w14:paraId="107441BC" w14:textId="77777777" w:rsidR="00DC10BC" w:rsidRPr="00905305" w:rsidRDefault="00DC10BC" w:rsidP="00DC10BC">
      <w:pPr>
        <w:pStyle w:val="subsection"/>
      </w:pPr>
      <w:r w:rsidRPr="00905305">
        <w:tab/>
        <w:t>(5)</w:t>
      </w:r>
      <w:r w:rsidRPr="00905305">
        <w:tab/>
      </w:r>
      <w:r w:rsidR="00F90F31" w:rsidRPr="00905305">
        <w:t>Sub</w:t>
      </w:r>
      <w:r w:rsidR="00661EDB" w:rsidRPr="00905305">
        <w:t>regulation 5</w:t>
      </w:r>
      <w:r w:rsidRPr="00905305">
        <w:t>.3(1) does not apply to an application for inclusion of the new kind of device in the Register.</w:t>
      </w:r>
    </w:p>
    <w:p w14:paraId="570A749B" w14:textId="77777777" w:rsidR="00DC10BC" w:rsidRPr="00905305" w:rsidRDefault="00DC10BC" w:rsidP="00DC10BC">
      <w:pPr>
        <w:pStyle w:val="ActHead9"/>
      </w:pPr>
      <w:bookmarkStart w:id="44" w:name="_Toc165985488"/>
      <w:bookmarkEnd w:id="41"/>
      <w:r w:rsidRPr="00905305">
        <w:t>Therapeutic Goods Regulations 1990</w:t>
      </w:r>
      <w:bookmarkEnd w:id="44"/>
    </w:p>
    <w:p w14:paraId="472837B3" w14:textId="77777777" w:rsidR="00DC10BC" w:rsidRPr="00905305" w:rsidRDefault="00FD7B96" w:rsidP="00DC10BC">
      <w:pPr>
        <w:pStyle w:val="ItemHead"/>
      </w:pPr>
      <w:r w:rsidRPr="00905305">
        <w:t>11</w:t>
      </w:r>
      <w:r w:rsidR="00DC10BC" w:rsidRPr="00905305">
        <w:t xml:space="preserve">  In the appropriate position in </w:t>
      </w:r>
      <w:r w:rsidR="00C67DC8" w:rsidRPr="00905305">
        <w:t>Division 2</w:t>
      </w:r>
      <w:r w:rsidR="00DC10BC" w:rsidRPr="00905305">
        <w:t>5 of Part 9</w:t>
      </w:r>
    </w:p>
    <w:p w14:paraId="6CED9C40" w14:textId="77777777" w:rsidR="00DC10BC" w:rsidRPr="00905305" w:rsidRDefault="00DC10BC" w:rsidP="00DC10BC">
      <w:pPr>
        <w:pStyle w:val="Item"/>
      </w:pPr>
      <w:r w:rsidRPr="00905305">
        <w:t>Insert:</w:t>
      </w:r>
    </w:p>
    <w:p w14:paraId="7290355D" w14:textId="77777777" w:rsidR="00DC10BC" w:rsidRPr="00905305" w:rsidRDefault="00DC10BC" w:rsidP="00DC10BC">
      <w:pPr>
        <w:pStyle w:val="ActHead5"/>
      </w:pPr>
      <w:bookmarkStart w:id="45" w:name="_Toc165985489"/>
      <w:r w:rsidRPr="00905305">
        <w:rPr>
          <w:rStyle w:val="CharSectno"/>
        </w:rPr>
        <w:t>103</w:t>
      </w:r>
      <w:r w:rsidRPr="00905305">
        <w:t xml:space="preserve">  Sunscreen preparations</w:t>
      </w:r>
      <w:bookmarkEnd w:id="45"/>
    </w:p>
    <w:p w14:paraId="215C2334" w14:textId="77777777" w:rsidR="00DC10BC" w:rsidRPr="00905305" w:rsidRDefault="00DC10BC" w:rsidP="000E5E5C">
      <w:pPr>
        <w:pStyle w:val="subsection"/>
      </w:pPr>
      <w:r w:rsidRPr="00905305">
        <w:tab/>
        <w:t>(1)</w:t>
      </w:r>
      <w:r w:rsidRPr="00905305">
        <w:tab/>
        <w:t xml:space="preserve">Subject to subregulations (2) and (3) of this regulation, the amendments of these </w:t>
      </w:r>
      <w:r w:rsidR="007878FF" w:rsidRPr="00905305">
        <w:t>Re</w:t>
      </w:r>
      <w:r w:rsidRPr="00905305">
        <w:t xml:space="preserve">gulations made by </w:t>
      </w:r>
      <w:r w:rsidR="00E017ED" w:rsidRPr="00905305">
        <w:t>Part 1</w:t>
      </w:r>
      <w:r w:rsidRPr="00905305">
        <w:t xml:space="preserve"> of </w:t>
      </w:r>
      <w:r w:rsidR="00661EDB" w:rsidRPr="00905305">
        <w:t>Schedule 2</w:t>
      </w:r>
      <w:r w:rsidRPr="00905305">
        <w:t xml:space="preserve"> to the </w:t>
      </w:r>
      <w:r w:rsidR="000E5E5C" w:rsidRPr="00905305">
        <w:rPr>
          <w:lang w:eastAsia="en-US"/>
        </w:rPr>
        <w:t>amending regulations</w:t>
      </w:r>
      <w:r w:rsidR="000E5E5C" w:rsidRPr="00905305">
        <w:rPr>
          <w:i/>
        </w:rPr>
        <w:t xml:space="preserve"> </w:t>
      </w:r>
      <w:r w:rsidRPr="00905305">
        <w:t xml:space="preserve">apply to sunscreen preparations from </w:t>
      </w:r>
      <w:r w:rsidR="00661EDB" w:rsidRPr="00905305">
        <w:t>1 July</w:t>
      </w:r>
      <w:r w:rsidRPr="00905305">
        <w:t xml:space="preserve"> 2024.</w:t>
      </w:r>
    </w:p>
    <w:p w14:paraId="66BF4373" w14:textId="77777777" w:rsidR="00DC10BC" w:rsidRPr="00905305" w:rsidRDefault="00DC10BC" w:rsidP="00DC10BC">
      <w:pPr>
        <w:pStyle w:val="SubsectionHead"/>
      </w:pPr>
      <w:r w:rsidRPr="00905305">
        <w:t xml:space="preserve">Transitional testing requirements for preparations listed before </w:t>
      </w:r>
      <w:r w:rsidR="00661EDB" w:rsidRPr="00905305">
        <w:t>1 July</w:t>
      </w:r>
      <w:r w:rsidRPr="00905305">
        <w:t xml:space="preserve"> 2024</w:t>
      </w:r>
    </w:p>
    <w:p w14:paraId="528B9082" w14:textId="77777777" w:rsidR="00DC10BC" w:rsidRPr="00905305" w:rsidRDefault="00DC10BC" w:rsidP="00DC10BC">
      <w:pPr>
        <w:pStyle w:val="subsection"/>
      </w:pPr>
      <w:r w:rsidRPr="00905305">
        <w:tab/>
        <w:t>(2)</w:t>
      </w:r>
      <w:r w:rsidRPr="00905305">
        <w:tab/>
        <w:t xml:space="preserve">If a sunscreen preparation was listed goods immediately before </w:t>
      </w:r>
      <w:r w:rsidR="00661EDB" w:rsidRPr="00905305">
        <w:t>1 July</w:t>
      </w:r>
      <w:r w:rsidRPr="00905305">
        <w:t xml:space="preserve"> 2024, </w:t>
      </w:r>
      <w:r w:rsidR="00753B79" w:rsidRPr="00905305">
        <w:t>paragraph (</w:t>
      </w:r>
      <w:r w:rsidRPr="00905305">
        <w:t xml:space="preserve">a) of the column headed “Therapeutic goods” in item 7 of the table in </w:t>
      </w:r>
      <w:r w:rsidR="00E017ED" w:rsidRPr="00905305">
        <w:t>Schedule 4</w:t>
      </w:r>
      <w:r w:rsidRPr="00905305">
        <w:t xml:space="preserve"> to these Regulations applies in relation to the sunscreen preparation during the period beginning on </w:t>
      </w:r>
      <w:r w:rsidR="00661EDB" w:rsidRPr="00905305">
        <w:t>1 July</w:t>
      </w:r>
      <w:r w:rsidRPr="00905305">
        <w:t xml:space="preserve"> 2024 and ending on 30 June </w:t>
      </w:r>
      <w:r w:rsidR="00214720" w:rsidRPr="00905305">
        <w:t>2029</w:t>
      </w:r>
      <w:r w:rsidRPr="00905305">
        <w:t xml:space="preserve"> as if the amendments had not been made.</w:t>
      </w:r>
    </w:p>
    <w:p w14:paraId="4F339D1F" w14:textId="77777777" w:rsidR="00DC10BC" w:rsidRPr="00905305" w:rsidRDefault="00DC10BC" w:rsidP="00DC10BC">
      <w:pPr>
        <w:pStyle w:val="SubsectionHead"/>
      </w:pPr>
      <w:r w:rsidRPr="00905305">
        <w:t xml:space="preserve">Transitional labelling requirements for preparations listed before </w:t>
      </w:r>
      <w:r w:rsidR="00661EDB" w:rsidRPr="00905305">
        <w:t>1 July</w:t>
      </w:r>
      <w:r w:rsidRPr="00905305">
        <w:t xml:space="preserve"> 2024</w:t>
      </w:r>
    </w:p>
    <w:p w14:paraId="0A1F9C8F" w14:textId="77777777" w:rsidR="00DC10BC" w:rsidRPr="00905305" w:rsidRDefault="00DC10BC" w:rsidP="00DC10BC">
      <w:pPr>
        <w:pStyle w:val="subsection"/>
      </w:pPr>
      <w:r w:rsidRPr="00905305">
        <w:tab/>
        <w:t>(3)</w:t>
      </w:r>
      <w:r w:rsidRPr="00905305">
        <w:tab/>
        <w:t xml:space="preserve">If a sunscreen preparation that is supplied as an aerosol or in a spray pump </w:t>
      </w:r>
      <w:r w:rsidR="006A1AF6" w:rsidRPr="00905305">
        <w:t xml:space="preserve">pack </w:t>
      </w:r>
      <w:r w:rsidRPr="00905305">
        <w:t xml:space="preserve">was listed goods immediately before </w:t>
      </w:r>
      <w:r w:rsidR="00661EDB" w:rsidRPr="00905305">
        <w:t>1 July</w:t>
      </w:r>
      <w:r w:rsidRPr="00905305">
        <w:t xml:space="preserve"> 2024, </w:t>
      </w:r>
      <w:r w:rsidR="00753B79" w:rsidRPr="00905305">
        <w:t>paragraph (</w:t>
      </w:r>
      <w:r w:rsidRPr="00905305">
        <w:t xml:space="preserve">b) of the column </w:t>
      </w:r>
      <w:r w:rsidRPr="00905305">
        <w:lastRenderedPageBreak/>
        <w:t xml:space="preserve">headed “Therapeutic goods” in item 7 of the table in </w:t>
      </w:r>
      <w:r w:rsidR="00E017ED" w:rsidRPr="00905305">
        <w:t>Schedule 4</w:t>
      </w:r>
      <w:r w:rsidRPr="00905305">
        <w:t xml:space="preserve"> to these Regulations applies in relation to the sunscreen preparation during the period beginning on </w:t>
      </w:r>
      <w:r w:rsidR="00661EDB" w:rsidRPr="00905305">
        <w:t>1 July</w:t>
      </w:r>
      <w:r w:rsidRPr="00905305">
        <w:t xml:space="preserve"> 2024 and ending on 30 June 2025 as if the amendments had not been made.</w:t>
      </w:r>
    </w:p>
    <w:p w14:paraId="79C5DBCF" w14:textId="77777777" w:rsidR="00D82E26" w:rsidRPr="00905305" w:rsidRDefault="00D82E26" w:rsidP="00D82E26">
      <w:pPr>
        <w:pStyle w:val="ActHead6"/>
        <w:pageBreakBefore/>
      </w:pPr>
      <w:bookmarkStart w:id="46" w:name="_Toc165985490"/>
      <w:r w:rsidRPr="00905305">
        <w:rPr>
          <w:rStyle w:val="CharAmSchNo"/>
        </w:rPr>
        <w:lastRenderedPageBreak/>
        <w:t>Schedule 3</w:t>
      </w:r>
      <w:r w:rsidRPr="00905305">
        <w:t>—</w:t>
      </w:r>
      <w:r w:rsidRPr="00905305">
        <w:rPr>
          <w:rStyle w:val="CharAmSchText"/>
        </w:rPr>
        <w:t>Amendments commencing 1 October 2024</w:t>
      </w:r>
      <w:bookmarkEnd w:id="46"/>
    </w:p>
    <w:p w14:paraId="368E8771" w14:textId="77777777" w:rsidR="00D82E26" w:rsidRPr="00905305" w:rsidRDefault="00D82E26" w:rsidP="00D82E26">
      <w:pPr>
        <w:pStyle w:val="Header"/>
      </w:pPr>
      <w:r w:rsidRPr="00905305">
        <w:rPr>
          <w:rStyle w:val="CharAmPartNo"/>
        </w:rPr>
        <w:t xml:space="preserve"> </w:t>
      </w:r>
      <w:r w:rsidRPr="00905305">
        <w:rPr>
          <w:rStyle w:val="CharAmPartText"/>
        </w:rPr>
        <w:t xml:space="preserve"> </w:t>
      </w:r>
    </w:p>
    <w:p w14:paraId="14EEBB9E" w14:textId="77777777" w:rsidR="00D82E26" w:rsidRPr="00905305" w:rsidRDefault="00D82E26" w:rsidP="00D82E26">
      <w:pPr>
        <w:pStyle w:val="ActHead9"/>
      </w:pPr>
      <w:bookmarkStart w:id="47" w:name="_Toc165985491"/>
      <w:r w:rsidRPr="00905305">
        <w:t>Therapeutic Goods Regulations 1990</w:t>
      </w:r>
      <w:bookmarkEnd w:id="47"/>
    </w:p>
    <w:p w14:paraId="25A04D67" w14:textId="77777777" w:rsidR="00D82E26" w:rsidRPr="00905305" w:rsidRDefault="00D82E26" w:rsidP="00D82E26">
      <w:pPr>
        <w:pStyle w:val="ItemHead"/>
      </w:pPr>
      <w:r w:rsidRPr="00905305">
        <w:t>1  Schedule 5 (table item 6)</w:t>
      </w:r>
    </w:p>
    <w:p w14:paraId="11C63A51" w14:textId="77777777" w:rsidR="00D82E26" w:rsidRPr="00905305" w:rsidRDefault="00D82E26" w:rsidP="00D82E26">
      <w:pPr>
        <w:pStyle w:val="Item"/>
      </w:pPr>
      <w:r w:rsidRPr="00905305">
        <w:t>Repeal the item, substitute:</w:t>
      </w:r>
    </w:p>
    <w:tbl>
      <w:tblPr>
        <w:tblW w:w="5000" w:type="pct"/>
        <w:tblLook w:val="0000" w:firstRow="0" w:lastRow="0" w:firstColumn="0" w:lastColumn="0" w:noHBand="0" w:noVBand="0"/>
      </w:tblPr>
      <w:tblGrid>
        <w:gridCol w:w="1146"/>
        <w:gridCol w:w="7383"/>
      </w:tblGrid>
      <w:tr w:rsidR="00D82E26" w:rsidRPr="007641D7" w:rsidDel="00BD3E81" w14:paraId="0F03E086" w14:textId="77777777" w:rsidTr="00D82E26">
        <w:trPr>
          <w:cantSplit/>
        </w:trPr>
        <w:tc>
          <w:tcPr>
            <w:tcW w:w="672" w:type="pct"/>
            <w:shd w:val="clear" w:color="auto" w:fill="auto"/>
          </w:tcPr>
          <w:p w14:paraId="7CB7FD5B" w14:textId="77777777" w:rsidR="00D82E26" w:rsidRPr="00905305" w:rsidDel="00BD3E81" w:rsidRDefault="00D82E26" w:rsidP="00D82E26">
            <w:pPr>
              <w:pStyle w:val="Tabletext"/>
            </w:pPr>
            <w:r w:rsidRPr="00905305">
              <w:rPr>
                <w:lang w:eastAsia="en-US"/>
              </w:rPr>
              <w:t>6</w:t>
            </w:r>
          </w:p>
        </w:tc>
        <w:tc>
          <w:tcPr>
            <w:tcW w:w="4328" w:type="pct"/>
            <w:shd w:val="clear" w:color="auto" w:fill="auto"/>
          </w:tcPr>
          <w:p w14:paraId="397F7449" w14:textId="77777777" w:rsidR="00D82E26" w:rsidRPr="00905305" w:rsidRDefault="00D82E26" w:rsidP="00D82E26">
            <w:pPr>
              <w:pStyle w:val="Tabletext"/>
              <w:rPr>
                <w:lang w:eastAsia="en-US"/>
              </w:rPr>
            </w:pPr>
            <w:r w:rsidRPr="00905305">
              <w:rPr>
                <w:lang w:eastAsia="en-US"/>
              </w:rPr>
              <w:t>medicines that are dispensed, or extemporaneously compounded, for a particular person for therapeutic application to that person, other than the following:</w:t>
            </w:r>
          </w:p>
          <w:p w14:paraId="699CE178" w14:textId="77777777" w:rsidR="00D82E26" w:rsidRPr="00905305" w:rsidRDefault="00D82E26" w:rsidP="00D82E26">
            <w:pPr>
              <w:pStyle w:val="Tablea"/>
            </w:pPr>
            <w:r w:rsidRPr="00905305">
              <w:t>(a) medicines that are used for gene therapy;</w:t>
            </w:r>
          </w:p>
          <w:p w14:paraId="4282A757" w14:textId="77777777" w:rsidR="00D82E26" w:rsidRPr="00905305" w:rsidRDefault="00D82E26" w:rsidP="00D82E26">
            <w:pPr>
              <w:pStyle w:val="Tablea"/>
            </w:pPr>
            <w:r w:rsidRPr="00905305">
              <w:t>(b) medicines that are medicinal cannabis products;</w:t>
            </w:r>
          </w:p>
          <w:p w14:paraId="295A79EA" w14:textId="77777777" w:rsidR="00D82E26" w:rsidRPr="007641D7" w:rsidDel="00BD3E81" w:rsidRDefault="00D82E26" w:rsidP="00D82E26">
            <w:pPr>
              <w:pStyle w:val="Tablea"/>
            </w:pPr>
            <w:r w:rsidRPr="00905305">
              <w:t>(c) medicines that contain glucagon</w:t>
            </w:r>
            <w:r w:rsidR="007641D7" w:rsidRPr="00905305">
              <w:noBreakHyphen/>
            </w:r>
            <w:r w:rsidRPr="00905305">
              <w:t>like peptide</w:t>
            </w:r>
            <w:r w:rsidR="007641D7" w:rsidRPr="00905305">
              <w:noBreakHyphen/>
            </w:r>
            <w:r w:rsidRPr="00905305">
              <w:t>1 (GLP</w:t>
            </w:r>
            <w:r w:rsidR="007641D7" w:rsidRPr="00905305">
              <w:noBreakHyphen/>
            </w:r>
            <w:r w:rsidRPr="00905305">
              <w:t>1) receptor agonist analogues</w:t>
            </w:r>
          </w:p>
        </w:tc>
      </w:tr>
    </w:tbl>
    <w:p w14:paraId="22C93858" w14:textId="77777777" w:rsidR="00D82E26" w:rsidRPr="007641D7" w:rsidRDefault="00D82E26" w:rsidP="00620C22">
      <w:pPr>
        <w:pStyle w:val="Tabletext"/>
      </w:pPr>
    </w:p>
    <w:sectPr w:rsidR="00D82E26" w:rsidRPr="007641D7" w:rsidSect="00AF514B">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7BE0" w14:textId="77777777" w:rsidR="007A13F8" w:rsidRDefault="007A13F8" w:rsidP="0048364F">
      <w:pPr>
        <w:spacing w:line="240" w:lineRule="auto"/>
      </w:pPr>
      <w:r>
        <w:separator/>
      </w:r>
    </w:p>
  </w:endnote>
  <w:endnote w:type="continuationSeparator" w:id="0">
    <w:p w14:paraId="15CCEF9B" w14:textId="77777777" w:rsidR="007A13F8" w:rsidRDefault="007A13F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190D" w14:textId="77777777" w:rsidR="007E6F68" w:rsidRPr="00AF514B" w:rsidRDefault="00AF514B" w:rsidP="00AF514B">
    <w:pPr>
      <w:pStyle w:val="Footer"/>
      <w:tabs>
        <w:tab w:val="clear" w:pos="4153"/>
        <w:tab w:val="clear" w:pos="8306"/>
        <w:tab w:val="center" w:pos="4150"/>
        <w:tab w:val="right" w:pos="8307"/>
      </w:tabs>
      <w:spacing w:before="120"/>
      <w:rPr>
        <w:i/>
        <w:sz w:val="18"/>
      </w:rPr>
    </w:pPr>
    <w:r w:rsidRPr="00AF514B">
      <w:rPr>
        <w:i/>
        <w:sz w:val="18"/>
      </w:rPr>
      <w:t>OPC66834 -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6E91" w14:textId="77777777" w:rsidR="007E6F68" w:rsidRDefault="007E6F68" w:rsidP="00E97334"/>
  <w:p w14:paraId="454191C8" w14:textId="77777777" w:rsidR="007E6F68" w:rsidRPr="00AF514B" w:rsidRDefault="00AF514B" w:rsidP="00AF514B">
    <w:pPr>
      <w:rPr>
        <w:rFonts w:cs="Times New Roman"/>
        <w:i/>
        <w:sz w:val="18"/>
      </w:rPr>
    </w:pPr>
    <w:r w:rsidRPr="00AF514B">
      <w:rPr>
        <w:rFonts w:cs="Times New Roman"/>
        <w:i/>
        <w:sz w:val="18"/>
      </w:rPr>
      <w:t>OPC66834 -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DAFE" w14:textId="77777777" w:rsidR="007E6F68" w:rsidRPr="00AF514B" w:rsidRDefault="00AF514B" w:rsidP="00AF514B">
    <w:pPr>
      <w:pStyle w:val="Footer"/>
      <w:tabs>
        <w:tab w:val="clear" w:pos="4153"/>
        <w:tab w:val="clear" w:pos="8306"/>
        <w:tab w:val="center" w:pos="4150"/>
        <w:tab w:val="right" w:pos="8307"/>
      </w:tabs>
      <w:spacing w:before="120"/>
      <w:rPr>
        <w:i/>
        <w:sz w:val="18"/>
      </w:rPr>
    </w:pPr>
    <w:r w:rsidRPr="00AF514B">
      <w:rPr>
        <w:i/>
        <w:sz w:val="18"/>
      </w:rPr>
      <w:t>OPC66834 -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C262" w14:textId="77777777" w:rsidR="007E6F68" w:rsidRPr="00E33C1C" w:rsidRDefault="007E6F6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E6F68" w14:paraId="6C108064" w14:textId="77777777" w:rsidTr="00C23B89">
      <w:tc>
        <w:tcPr>
          <w:tcW w:w="709" w:type="dxa"/>
          <w:tcBorders>
            <w:top w:val="nil"/>
            <w:left w:val="nil"/>
            <w:bottom w:val="nil"/>
            <w:right w:val="nil"/>
          </w:tcBorders>
        </w:tcPr>
        <w:p w14:paraId="57A41BB7" w14:textId="77777777" w:rsidR="007E6F68" w:rsidRDefault="007E6F68" w:rsidP="00052A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DC82DE5" w14:textId="21D26A0B" w:rsidR="007E6F68" w:rsidRDefault="007E6F68" w:rsidP="00052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550">
            <w:rPr>
              <w:i/>
              <w:sz w:val="18"/>
            </w:rPr>
            <w:t>Therapeutic Goods Legislation Amendment (2024 Measures No. 2) Regulations 2024</w:t>
          </w:r>
          <w:r w:rsidRPr="007A1328">
            <w:rPr>
              <w:i/>
              <w:sz w:val="18"/>
            </w:rPr>
            <w:fldChar w:fldCharType="end"/>
          </w:r>
        </w:p>
      </w:tc>
      <w:tc>
        <w:tcPr>
          <w:tcW w:w="1384" w:type="dxa"/>
          <w:tcBorders>
            <w:top w:val="nil"/>
            <w:left w:val="nil"/>
            <w:bottom w:val="nil"/>
            <w:right w:val="nil"/>
          </w:tcBorders>
        </w:tcPr>
        <w:p w14:paraId="1395920C" w14:textId="77777777" w:rsidR="007E6F68" w:rsidRDefault="007E6F68" w:rsidP="00052A9D">
          <w:pPr>
            <w:spacing w:line="0" w:lineRule="atLeast"/>
            <w:jc w:val="right"/>
            <w:rPr>
              <w:sz w:val="18"/>
            </w:rPr>
          </w:pPr>
        </w:p>
      </w:tc>
    </w:tr>
  </w:tbl>
  <w:p w14:paraId="501A78B5" w14:textId="77777777" w:rsidR="007E6F68" w:rsidRPr="00AF514B" w:rsidRDefault="00AF514B" w:rsidP="00AF514B">
    <w:pPr>
      <w:rPr>
        <w:rFonts w:cs="Times New Roman"/>
        <w:i/>
        <w:sz w:val="18"/>
      </w:rPr>
    </w:pPr>
    <w:r w:rsidRPr="00AF514B">
      <w:rPr>
        <w:rFonts w:cs="Times New Roman"/>
        <w:i/>
        <w:sz w:val="18"/>
      </w:rPr>
      <w:t>OPC66834 -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A33B" w14:textId="77777777" w:rsidR="007E6F68" w:rsidRPr="00E33C1C" w:rsidRDefault="007E6F6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E6F68" w14:paraId="111D69BA" w14:textId="77777777" w:rsidTr="00C23B89">
      <w:tc>
        <w:tcPr>
          <w:tcW w:w="1383" w:type="dxa"/>
          <w:tcBorders>
            <w:top w:val="nil"/>
            <w:left w:val="nil"/>
            <w:bottom w:val="nil"/>
            <w:right w:val="nil"/>
          </w:tcBorders>
        </w:tcPr>
        <w:p w14:paraId="73DFEFEA" w14:textId="77777777" w:rsidR="007E6F68" w:rsidRDefault="007E6F68" w:rsidP="00052A9D">
          <w:pPr>
            <w:spacing w:line="0" w:lineRule="atLeast"/>
            <w:rPr>
              <w:sz w:val="18"/>
            </w:rPr>
          </w:pPr>
        </w:p>
      </w:tc>
      <w:tc>
        <w:tcPr>
          <w:tcW w:w="6379" w:type="dxa"/>
          <w:tcBorders>
            <w:top w:val="nil"/>
            <w:left w:val="nil"/>
            <w:bottom w:val="nil"/>
            <w:right w:val="nil"/>
          </w:tcBorders>
        </w:tcPr>
        <w:p w14:paraId="7103C9E8" w14:textId="0DA09B85" w:rsidR="007E6F68" w:rsidRDefault="007E6F68" w:rsidP="00052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550">
            <w:rPr>
              <w:i/>
              <w:sz w:val="18"/>
            </w:rPr>
            <w:t>Therapeutic Goods Legislation Amendment (2024 Measures No. 2) Regulations 2024</w:t>
          </w:r>
          <w:r w:rsidRPr="007A1328">
            <w:rPr>
              <w:i/>
              <w:sz w:val="18"/>
            </w:rPr>
            <w:fldChar w:fldCharType="end"/>
          </w:r>
        </w:p>
      </w:tc>
      <w:tc>
        <w:tcPr>
          <w:tcW w:w="710" w:type="dxa"/>
          <w:tcBorders>
            <w:top w:val="nil"/>
            <w:left w:val="nil"/>
            <w:bottom w:val="nil"/>
            <w:right w:val="nil"/>
          </w:tcBorders>
        </w:tcPr>
        <w:p w14:paraId="3965CAAF" w14:textId="77777777" w:rsidR="007E6F68" w:rsidRDefault="007E6F68" w:rsidP="00052A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06DC95B" w14:textId="77777777" w:rsidR="007E6F68" w:rsidRPr="00AF514B" w:rsidRDefault="00AF514B" w:rsidP="00AF514B">
    <w:pPr>
      <w:rPr>
        <w:rFonts w:cs="Times New Roman"/>
        <w:i/>
        <w:sz w:val="18"/>
      </w:rPr>
    </w:pPr>
    <w:r w:rsidRPr="00AF514B">
      <w:rPr>
        <w:rFonts w:cs="Times New Roman"/>
        <w:i/>
        <w:sz w:val="18"/>
      </w:rPr>
      <w:t>OPC66834 -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E675" w14:textId="77777777" w:rsidR="007E6F68" w:rsidRPr="00E33C1C" w:rsidRDefault="007E6F6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E6F68" w14:paraId="3D5FBFE2" w14:textId="77777777" w:rsidTr="00C23B89">
      <w:tc>
        <w:tcPr>
          <w:tcW w:w="709" w:type="dxa"/>
          <w:tcBorders>
            <w:top w:val="nil"/>
            <w:left w:val="nil"/>
            <w:bottom w:val="nil"/>
            <w:right w:val="nil"/>
          </w:tcBorders>
        </w:tcPr>
        <w:p w14:paraId="0BA4D9A5" w14:textId="77777777" w:rsidR="007E6F68" w:rsidRDefault="007E6F68" w:rsidP="00052A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E3E38D3" w14:textId="49B447B3" w:rsidR="007E6F68" w:rsidRDefault="007E6F68" w:rsidP="00052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550">
            <w:rPr>
              <w:i/>
              <w:sz w:val="18"/>
            </w:rPr>
            <w:t>Therapeutic Goods Legislation Amendment (2024 Measures No. 2) Regulations 2024</w:t>
          </w:r>
          <w:r w:rsidRPr="007A1328">
            <w:rPr>
              <w:i/>
              <w:sz w:val="18"/>
            </w:rPr>
            <w:fldChar w:fldCharType="end"/>
          </w:r>
        </w:p>
      </w:tc>
      <w:tc>
        <w:tcPr>
          <w:tcW w:w="1384" w:type="dxa"/>
          <w:tcBorders>
            <w:top w:val="nil"/>
            <w:left w:val="nil"/>
            <w:bottom w:val="nil"/>
            <w:right w:val="nil"/>
          </w:tcBorders>
        </w:tcPr>
        <w:p w14:paraId="4416E519" w14:textId="77777777" w:rsidR="007E6F68" w:rsidRDefault="007E6F68" w:rsidP="00052A9D">
          <w:pPr>
            <w:spacing w:line="0" w:lineRule="atLeast"/>
            <w:jc w:val="right"/>
            <w:rPr>
              <w:sz w:val="18"/>
            </w:rPr>
          </w:pPr>
        </w:p>
      </w:tc>
    </w:tr>
  </w:tbl>
  <w:p w14:paraId="1D5105BD" w14:textId="77777777" w:rsidR="007E6F68" w:rsidRPr="00AF514B" w:rsidRDefault="00AF514B" w:rsidP="00AF514B">
    <w:pPr>
      <w:rPr>
        <w:rFonts w:cs="Times New Roman"/>
        <w:i/>
        <w:sz w:val="18"/>
      </w:rPr>
    </w:pPr>
    <w:r w:rsidRPr="00AF514B">
      <w:rPr>
        <w:rFonts w:cs="Times New Roman"/>
        <w:i/>
        <w:sz w:val="18"/>
      </w:rPr>
      <w:t>OPC66834 -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920A" w14:textId="77777777" w:rsidR="007E6F68" w:rsidRPr="00E33C1C" w:rsidRDefault="007E6F6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E6F68" w14:paraId="69E70E11" w14:textId="77777777" w:rsidTr="00052A9D">
      <w:tc>
        <w:tcPr>
          <w:tcW w:w="1384" w:type="dxa"/>
          <w:tcBorders>
            <w:top w:val="nil"/>
            <w:left w:val="nil"/>
            <w:bottom w:val="nil"/>
            <w:right w:val="nil"/>
          </w:tcBorders>
        </w:tcPr>
        <w:p w14:paraId="211560ED" w14:textId="77777777" w:rsidR="007E6F68" w:rsidRDefault="007E6F68" w:rsidP="00052A9D">
          <w:pPr>
            <w:spacing w:line="0" w:lineRule="atLeast"/>
            <w:rPr>
              <w:sz w:val="18"/>
            </w:rPr>
          </w:pPr>
        </w:p>
      </w:tc>
      <w:tc>
        <w:tcPr>
          <w:tcW w:w="6379" w:type="dxa"/>
          <w:tcBorders>
            <w:top w:val="nil"/>
            <w:left w:val="nil"/>
            <w:bottom w:val="nil"/>
            <w:right w:val="nil"/>
          </w:tcBorders>
        </w:tcPr>
        <w:p w14:paraId="4C342F07" w14:textId="4B10BD17" w:rsidR="007E6F68" w:rsidRDefault="007E6F68" w:rsidP="00052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550">
            <w:rPr>
              <w:i/>
              <w:sz w:val="18"/>
            </w:rPr>
            <w:t>Therapeutic Goods Legislation Amendment (2024 Measures No. 2) Regulations 2024</w:t>
          </w:r>
          <w:r w:rsidRPr="007A1328">
            <w:rPr>
              <w:i/>
              <w:sz w:val="18"/>
            </w:rPr>
            <w:fldChar w:fldCharType="end"/>
          </w:r>
        </w:p>
      </w:tc>
      <w:tc>
        <w:tcPr>
          <w:tcW w:w="709" w:type="dxa"/>
          <w:tcBorders>
            <w:top w:val="nil"/>
            <w:left w:val="nil"/>
            <w:bottom w:val="nil"/>
            <w:right w:val="nil"/>
          </w:tcBorders>
        </w:tcPr>
        <w:p w14:paraId="08FCEB99" w14:textId="77777777" w:rsidR="007E6F68" w:rsidRDefault="007E6F68" w:rsidP="00052A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01398EF" w14:textId="77777777" w:rsidR="007E6F68" w:rsidRPr="00AF514B" w:rsidRDefault="00AF514B" w:rsidP="00AF514B">
    <w:pPr>
      <w:rPr>
        <w:rFonts w:cs="Times New Roman"/>
        <w:i/>
        <w:sz w:val="18"/>
      </w:rPr>
    </w:pPr>
    <w:r w:rsidRPr="00AF514B">
      <w:rPr>
        <w:rFonts w:cs="Times New Roman"/>
        <w:i/>
        <w:sz w:val="18"/>
      </w:rPr>
      <w:t>OPC66834 -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9C644" w14:textId="77777777" w:rsidR="007E6F68" w:rsidRPr="00E33C1C" w:rsidRDefault="007E6F6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E6F68" w14:paraId="68CBE3CE" w14:textId="77777777" w:rsidTr="007A6863">
      <w:tc>
        <w:tcPr>
          <w:tcW w:w="1384" w:type="dxa"/>
          <w:tcBorders>
            <w:top w:val="nil"/>
            <w:left w:val="nil"/>
            <w:bottom w:val="nil"/>
            <w:right w:val="nil"/>
          </w:tcBorders>
        </w:tcPr>
        <w:p w14:paraId="05A8007D" w14:textId="77777777" w:rsidR="007E6F68" w:rsidRDefault="007E6F68" w:rsidP="00052A9D">
          <w:pPr>
            <w:spacing w:line="0" w:lineRule="atLeast"/>
            <w:rPr>
              <w:sz w:val="18"/>
            </w:rPr>
          </w:pPr>
        </w:p>
      </w:tc>
      <w:tc>
        <w:tcPr>
          <w:tcW w:w="6379" w:type="dxa"/>
          <w:tcBorders>
            <w:top w:val="nil"/>
            <w:left w:val="nil"/>
            <w:bottom w:val="nil"/>
            <w:right w:val="nil"/>
          </w:tcBorders>
        </w:tcPr>
        <w:p w14:paraId="19277076" w14:textId="2899807C" w:rsidR="007E6F68" w:rsidRDefault="007E6F68" w:rsidP="00052A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D6550">
            <w:rPr>
              <w:i/>
              <w:sz w:val="18"/>
            </w:rPr>
            <w:t>Therapeutic Goods Legislation Amendment (2024 Measures No. 2) Regulations 2024</w:t>
          </w:r>
          <w:r w:rsidRPr="007A1328">
            <w:rPr>
              <w:i/>
              <w:sz w:val="18"/>
            </w:rPr>
            <w:fldChar w:fldCharType="end"/>
          </w:r>
        </w:p>
      </w:tc>
      <w:tc>
        <w:tcPr>
          <w:tcW w:w="709" w:type="dxa"/>
          <w:tcBorders>
            <w:top w:val="nil"/>
            <w:left w:val="nil"/>
            <w:bottom w:val="nil"/>
            <w:right w:val="nil"/>
          </w:tcBorders>
        </w:tcPr>
        <w:p w14:paraId="1912296C" w14:textId="77777777" w:rsidR="007E6F68" w:rsidRDefault="007E6F68" w:rsidP="00052A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0EF524A" w14:textId="77777777" w:rsidR="007E6F68" w:rsidRPr="00AF514B" w:rsidRDefault="00AF514B" w:rsidP="00AF514B">
    <w:pPr>
      <w:rPr>
        <w:rFonts w:cs="Times New Roman"/>
        <w:i/>
        <w:sz w:val="18"/>
      </w:rPr>
    </w:pPr>
    <w:r w:rsidRPr="00AF514B">
      <w:rPr>
        <w:rFonts w:cs="Times New Roman"/>
        <w:i/>
        <w:sz w:val="18"/>
      </w:rPr>
      <w:t>OPC66834 -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6EE7" w14:textId="77777777" w:rsidR="007A13F8" w:rsidRDefault="007A13F8" w:rsidP="0048364F">
      <w:pPr>
        <w:spacing w:line="240" w:lineRule="auto"/>
      </w:pPr>
      <w:r>
        <w:separator/>
      </w:r>
    </w:p>
  </w:footnote>
  <w:footnote w:type="continuationSeparator" w:id="0">
    <w:p w14:paraId="7D548664" w14:textId="77777777" w:rsidR="007A13F8" w:rsidRDefault="007A13F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3920" w14:textId="77777777" w:rsidR="007E6F68" w:rsidRPr="005F1388" w:rsidRDefault="007E6F68"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2B35" w14:textId="77777777" w:rsidR="007E6F68" w:rsidRPr="005F1388" w:rsidRDefault="007E6F68"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E1E9" w14:textId="77777777" w:rsidR="007E6F68" w:rsidRPr="005F1388" w:rsidRDefault="007E6F6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FE56" w14:textId="77777777" w:rsidR="007E6F68" w:rsidRPr="00ED79B6" w:rsidRDefault="007E6F68"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4E417" w14:textId="77777777" w:rsidR="007E6F68" w:rsidRPr="00ED79B6" w:rsidRDefault="007E6F68"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7709" w14:textId="77777777" w:rsidR="007E6F68" w:rsidRPr="00ED79B6" w:rsidRDefault="007E6F6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BACE" w14:textId="7429AEDB" w:rsidR="007E6F68" w:rsidRPr="00A961C4" w:rsidRDefault="007E6F68" w:rsidP="0048364F">
    <w:pPr>
      <w:rPr>
        <w:b/>
        <w:sz w:val="20"/>
      </w:rPr>
    </w:pPr>
    <w:r>
      <w:rPr>
        <w:b/>
        <w:sz w:val="20"/>
      </w:rPr>
      <w:fldChar w:fldCharType="begin"/>
    </w:r>
    <w:r>
      <w:rPr>
        <w:b/>
        <w:sz w:val="20"/>
      </w:rPr>
      <w:instrText xml:space="preserve"> STYLEREF CharAmSchNo </w:instrText>
    </w:r>
    <w:r>
      <w:rPr>
        <w:b/>
        <w:sz w:val="20"/>
      </w:rPr>
      <w:fldChar w:fldCharType="separate"/>
    </w:r>
    <w:r w:rsidR="0073143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3143D">
      <w:rPr>
        <w:noProof/>
        <w:sz w:val="20"/>
      </w:rPr>
      <w:t>Amendments commencing day after registration</w:t>
    </w:r>
    <w:r>
      <w:rPr>
        <w:sz w:val="20"/>
      </w:rPr>
      <w:fldChar w:fldCharType="end"/>
    </w:r>
  </w:p>
  <w:p w14:paraId="3E89675F" w14:textId="44F8911C" w:rsidR="007E6F68" w:rsidRPr="00A961C4" w:rsidRDefault="007E6F68" w:rsidP="0048364F">
    <w:pPr>
      <w:rPr>
        <w:b/>
        <w:sz w:val="20"/>
      </w:rPr>
    </w:pPr>
    <w:r>
      <w:rPr>
        <w:b/>
        <w:sz w:val="20"/>
      </w:rPr>
      <w:fldChar w:fldCharType="begin"/>
    </w:r>
    <w:r>
      <w:rPr>
        <w:b/>
        <w:sz w:val="20"/>
      </w:rPr>
      <w:instrText xml:space="preserve"> STYLEREF CharAmPartNo </w:instrText>
    </w:r>
    <w:r>
      <w:rPr>
        <w:b/>
        <w:sz w:val="20"/>
      </w:rPr>
      <w:fldChar w:fldCharType="separate"/>
    </w:r>
    <w:r w:rsidR="0073143D">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73143D">
      <w:rPr>
        <w:noProof/>
        <w:sz w:val="20"/>
      </w:rPr>
      <w:t>Medicines Repurposing Program</w:t>
    </w:r>
    <w:r>
      <w:rPr>
        <w:sz w:val="20"/>
      </w:rPr>
      <w:fldChar w:fldCharType="end"/>
    </w:r>
  </w:p>
  <w:p w14:paraId="384F8F23" w14:textId="77777777" w:rsidR="007E6F68" w:rsidRPr="00A961C4" w:rsidRDefault="007E6F6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AA6B" w14:textId="23B921DD" w:rsidR="007E6F68" w:rsidRPr="00A961C4" w:rsidRDefault="007E6F68"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0D0B7AB" w14:textId="3A56A80C" w:rsidR="007E6F68" w:rsidRPr="00A961C4" w:rsidRDefault="007E6F6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222EB12" w14:textId="77777777" w:rsidR="007E6F68" w:rsidRPr="00A961C4" w:rsidRDefault="007E6F6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789D0" w14:textId="77777777" w:rsidR="007E6F68" w:rsidRPr="00A961C4" w:rsidRDefault="007E6F6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51722"/>
    <w:multiLevelType w:val="hybridMultilevel"/>
    <w:tmpl w:val="6452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53574F"/>
    <w:multiLevelType w:val="hybridMultilevel"/>
    <w:tmpl w:val="F79015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990538"/>
    <w:multiLevelType w:val="hybridMultilevel"/>
    <w:tmpl w:val="BB80C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F349DB"/>
    <w:multiLevelType w:val="hybridMultilevel"/>
    <w:tmpl w:val="18DCF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585C99"/>
    <w:multiLevelType w:val="hybridMultilevel"/>
    <w:tmpl w:val="24A2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F4E526F"/>
    <w:multiLevelType w:val="hybridMultilevel"/>
    <w:tmpl w:val="6E842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48BC13FA"/>
    <w:multiLevelType w:val="hybridMultilevel"/>
    <w:tmpl w:val="2B8CF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1CFAEF"/>
    <w:multiLevelType w:val="hybridMultilevel"/>
    <w:tmpl w:val="5E7548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95402B7"/>
    <w:multiLevelType w:val="hybridMultilevel"/>
    <w:tmpl w:val="C0667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341561"/>
    <w:multiLevelType w:val="hybridMultilevel"/>
    <w:tmpl w:val="D7184D6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3"/>
  </w:num>
  <w:num w:numId="14">
    <w:abstractNumId w:val="16"/>
  </w:num>
  <w:num w:numId="15">
    <w:abstractNumId w:val="15"/>
  </w:num>
  <w:num w:numId="16">
    <w:abstractNumId w:val="10"/>
  </w:num>
  <w:num w:numId="17">
    <w:abstractNumId w:val="23"/>
  </w:num>
  <w:num w:numId="18">
    <w:abstractNumId w:val="21"/>
  </w:num>
  <w:num w:numId="19">
    <w:abstractNumId w:val="24"/>
  </w:num>
  <w:num w:numId="20">
    <w:abstractNumId w:val="17"/>
  </w:num>
  <w:num w:numId="21">
    <w:abstractNumId w:val="19"/>
  </w:num>
  <w:num w:numId="22">
    <w:abstractNumId w:val="14"/>
  </w:num>
  <w:num w:numId="23">
    <w:abstractNumId w:val="12"/>
  </w:num>
  <w:num w:numId="24">
    <w:abstractNumId w:val="25"/>
  </w:num>
  <w:num w:numId="25">
    <w:abstractNumId w:val="26"/>
  </w:num>
  <w:num w:numId="26">
    <w:abstractNumId w:val="27"/>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20"/>
    <w:rsid w:val="00000263"/>
    <w:rsid w:val="00002AA9"/>
    <w:rsid w:val="00003E54"/>
    <w:rsid w:val="0000460D"/>
    <w:rsid w:val="0000487E"/>
    <w:rsid w:val="00006C21"/>
    <w:rsid w:val="00006E24"/>
    <w:rsid w:val="00007E3A"/>
    <w:rsid w:val="000113BC"/>
    <w:rsid w:val="000136AF"/>
    <w:rsid w:val="0001685D"/>
    <w:rsid w:val="000172E3"/>
    <w:rsid w:val="000238F3"/>
    <w:rsid w:val="00025A20"/>
    <w:rsid w:val="00036E24"/>
    <w:rsid w:val="00037AA0"/>
    <w:rsid w:val="00037CF5"/>
    <w:rsid w:val="0004044E"/>
    <w:rsid w:val="000413AC"/>
    <w:rsid w:val="000425FB"/>
    <w:rsid w:val="000425FD"/>
    <w:rsid w:val="00043461"/>
    <w:rsid w:val="00044411"/>
    <w:rsid w:val="000444B4"/>
    <w:rsid w:val="00046F47"/>
    <w:rsid w:val="0005120E"/>
    <w:rsid w:val="00052543"/>
    <w:rsid w:val="00052A9D"/>
    <w:rsid w:val="00052B6D"/>
    <w:rsid w:val="00054577"/>
    <w:rsid w:val="00060C11"/>
    <w:rsid w:val="000614BF"/>
    <w:rsid w:val="00061C41"/>
    <w:rsid w:val="000659AF"/>
    <w:rsid w:val="0007169C"/>
    <w:rsid w:val="00077411"/>
    <w:rsid w:val="00077593"/>
    <w:rsid w:val="00080D58"/>
    <w:rsid w:val="00081D75"/>
    <w:rsid w:val="00083F48"/>
    <w:rsid w:val="000901DA"/>
    <w:rsid w:val="0009622B"/>
    <w:rsid w:val="000A65EA"/>
    <w:rsid w:val="000A7DF9"/>
    <w:rsid w:val="000B052D"/>
    <w:rsid w:val="000B3686"/>
    <w:rsid w:val="000B4446"/>
    <w:rsid w:val="000B6EE0"/>
    <w:rsid w:val="000C10C2"/>
    <w:rsid w:val="000C1BF8"/>
    <w:rsid w:val="000C6400"/>
    <w:rsid w:val="000C69AD"/>
    <w:rsid w:val="000D05EF"/>
    <w:rsid w:val="000D0793"/>
    <w:rsid w:val="000D3E81"/>
    <w:rsid w:val="000D5485"/>
    <w:rsid w:val="000E0A4F"/>
    <w:rsid w:val="000E15EE"/>
    <w:rsid w:val="000E4BD9"/>
    <w:rsid w:val="000E5E5C"/>
    <w:rsid w:val="000E5F98"/>
    <w:rsid w:val="000E6AE7"/>
    <w:rsid w:val="000E7794"/>
    <w:rsid w:val="000E79B2"/>
    <w:rsid w:val="000F21C1"/>
    <w:rsid w:val="000F4557"/>
    <w:rsid w:val="000F4624"/>
    <w:rsid w:val="000F7A70"/>
    <w:rsid w:val="001002F6"/>
    <w:rsid w:val="00102A8E"/>
    <w:rsid w:val="001046FF"/>
    <w:rsid w:val="00105C8C"/>
    <w:rsid w:val="00105D72"/>
    <w:rsid w:val="00105FF8"/>
    <w:rsid w:val="001064FD"/>
    <w:rsid w:val="0010745C"/>
    <w:rsid w:val="001116C4"/>
    <w:rsid w:val="00111C39"/>
    <w:rsid w:val="0011313D"/>
    <w:rsid w:val="00114F60"/>
    <w:rsid w:val="00117277"/>
    <w:rsid w:val="00120586"/>
    <w:rsid w:val="00120598"/>
    <w:rsid w:val="00124688"/>
    <w:rsid w:val="00124AB0"/>
    <w:rsid w:val="001258A7"/>
    <w:rsid w:val="00125A84"/>
    <w:rsid w:val="00126B67"/>
    <w:rsid w:val="00132DCD"/>
    <w:rsid w:val="001438B4"/>
    <w:rsid w:val="00147E55"/>
    <w:rsid w:val="00151202"/>
    <w:rsid w:val="00155873"/>
    <w:rsid w:val="00155EFA"/>
    <w:rsid w:val="00160BD7"/>
    <w:rsid w:val="001643BA"/>
    <w:rsid w:val="001643C9"/>
    <w:rsid w:val="00165568"/>
    <w:rsid w:val="00166082"/>
    <w:rsid w:val="00166C2F"/>
    <w:rsid w:val="00166E00"/>
    <w:rsid w:val="001678C6"/>
    <w:rsid w:val="00171369"/>
    <w:rsid w:val="001716C9"/>
    <w:rsid w:val="00172C59"/>
    <w:rsid w:val="00172F7F"/>
    <w:rsid w:val="00173677"/>
    <w:rsid w:val="00176E3D"/>
    <w:rsid w:val="00181E5A"/>
    <w:rsid w:val="0018362E"/>
    <w:rsid w:val="00184261"/>
    <w:rsid w:val="001848ED"/>
    <w:rsid w:val="0019033C"/>
    <w:rsid w:val="00190BA1"/>
    <w:rsid w:val="00190DF5"/>
    <w:rsid w:val="00190FAB"/>
    <w:rsid w:val="00191DDE"/>
    <w:rsid w:val="00193461"/>
    <w:rsid w:val="001939E1"/>
    <w:rsid w:val="001948C8"/>
    <w:rsid w:val="00195382"/>
    <w:rsid w:val="00196243"/>
    <w:rsid w:val="0019671A"/>
    <w:rsid w:val="001A0DF0"/>
    <w:rsid w:val="001A2975"/>
    <w:rsid w:val="001A3B9F"/>
    <w:rsid w:val="001A3EF6"/>
    <w:rsid w:val="001A4302"/>
    <w:rsid w:val="001A4348"/>
    <w:rsid w:val="001A4BE4"/>
    <w:rsid w:val="001A55C9"/>
    <w:rsid w:val="001A58B0"/>
    <w:rsid w:val="001A5C88"/>
    <w:rsid w:val="001A65C0"/>
    <w:rsid w:val="001B0585"/>
    <w:rsid w:val="001B08E1"/>
    <w:rsid w:val="001B6456"/>
    <w:rsid w:val="001B7A5D"/>
    <w:rsid w:val="001B7F3D"/>
    <w:rsid w:val="001C0BEB"/>
    <w:rsid w:val="001C479D"/>
    <w:rsid w:val="001C5183"/>
    <w:rsid w:val="001C64EF"/>
    <w:rsid w:val="001C69C4"/>
    <w:rsid w:val="001C70D9"/>
    <w:rsid w:val="001D5D41"/>
    <w:rsid w:val="001D670C"/>
    <w:rsid w:val="001E0A8D"/>
    <w:rsid w:val="001E1621"/>
    <w:rsid w:val="001E1E2D"/>
    <w:rsid w:val="001E2071"/>
    <w:rsid w:val="001E345A"/>
    <w:rsid w:val="001E3590"/>
    <w:rsid w:val="001E4209"/>
    <w:rsid w:val="001E4B88"/>
    <w:rsid w:val="001E597B"/>
    <w:rsid w:val="001E621D"/>
    <w:rsid w:val="001E7407"/>
    <w:rsid w:val="001F369B"/>
    <w:rsid w:val="001F4A55"/>
    <w:rsid w:val="00200D99"/>
    <w:rsid w:val="00201D27"/>
    <w:rsid w:val="00202069"/>
    <w:rsid w:val="00202C8B"/>
    <w:rsid w:val="0020300C"/>
    <w:rsid w:val="00204322"/>
    <w:rsid w:val="00204825"/>
    <w:rsid w:val="00207784"/>
    <w:rsid w:val="00207F4C"/>
    <w:rsid w:val="002108C3"/>
    <w:rsid w:val="00214720"/>
    <w:rsid w:val="00214CBF"/>
    <w:rsid w:val="00215B3E"/>
    <w:rsid w:val="00217E0E"/>
    <w:rsid w:val="00220A0C"/>
    <w:rsid w:val="00221E16"/>
    <w:rsid w:val="0022345D"/>
    <w:rsid w:val="00223E4A"/>
    <w:rsid w:val="002253AF"/>
    <w:rsid w:val="0022605B"/>
    <w:rsid w:val="00227688"/>
    <w:rsid w:val="002277F3"/>
    <w:rsid w:val="002302EA"/>
    <w:rsid w:val="0023255A"/>
    <w:rsid w:val="00235E26"/>
    <w:rsid w:val="002364A5"/>
    <w:rsid w:val="0023787D"/>
    <w:rsid w:val="00240749"/>
    <w:rsid w:val="00241B4A"/>
    <w:rsid w:val="00244A79"/>
    <w:rsid w:val="00244F64"/>
    <w:rsid w:val="002456B6"/>
    <w:rsid w:val="002468D7"/>
    <w:rsid w:val="00247148"/>
    <w:rsid w:val="00252EDC"/>
    <w:rsid w:val="00254172"/>
    <w:rsid w:val="00256374"/>
    <w:rsid w:val="00260C44"/>
    <w:rsid w:val="002612FB"/>
    <w:rsid w:val="00263886"/>
    <w:rsid w:val="00264C8A"/>
    <w:rsid w:val="00264E5E"/>
    <w:rsid w:val="002651BE"/>
    <w:rsid w:val="00267AF5"/>
    <w:rsid w:val="00270BC0"/>
    <w:rsid w:val="00270FBB"/>
    <w:rsid w:val="002744BE"/>
    <w:rsid w:val="00274F15"/>
    <w:rsid w:val="00276BD4"/>
    <w:rsid w:val="00277E2C"/>
    <w:rsid w:val="00282347"/>
    <w:rsid w:val="002834A1"/>
    <w:rsid w:val="0028526A"/>
    <w:rsid w:val="00285A26"/>
    <w:rsid w:val="00285CDD"/>
    <w:rsid w:val="00286A3B"/>
    <w:rsid w:val="00286DF6"/>
    <w:rsid w:val="002871CD"/>
    <w:rsid w:val="00287699"/>
    <w:rsid w:val="002907FC"/>
    <w:rsid w:val="00291167"/>
    <w:rsid w:val="0029124C"/>
    <w:rsid w:val="0029253C"/>
    <w:rsid w:val="0029291B"/>
    <w:rsid w:val="00294F2D"/>
    <w:rsid w:val="00296343"/>
    <w:rsid w:val="00297E8F"/>
    <w:rsid w:val="00297ECB"/>
    <w:rsid w:val="002A0293"/>
    <w:rsid w:val="002A06E2"/>
    <w:rsid w:val="002A0921"/>
    <w:rsid w:val="002A0B1B"/>
    <w:rsid w:val="002A0DF6"/>
    <w:rsid w:val="002A3535"/>
    <w:rsid w:val="002A5496"/>
    <w:rsid w:val="002A56C6"/>
    <w:rsid w:val="002A657E"/>
    <w:rsid w:val="002A7FE2"/>
    <w:rsid w:val="002B3407"/>
    <w:rsid w:val="002B5CDC"/>
    <w:rsid w:val="002B68D3"/>
    <w:rsid w:val="002C07C0"/>
    <w:rsid w:val="002C152A"/>
    <w:rsid w:val="002C19EE"/>
    <w:rsid w:val="002C20C9"/>
    <w:rsid w:val="002C2276"/>
    <w:rsid w:val="002C4AA4"/>
    <w:rsid w:val="002C522C"/>
    <w:rsid w:val="002C6123"/>
    <w:rsid w:val="002C79FA"/>
    <w:rsid w:val="002D043A"/>
    <w:rsid w:val="002D237E"/>
    <w:rsid w:val="002D3F02"/>
    <w:rsid w:val="002D425A"/>
    <w:rsid w:val="002D47AD"/>
    <w:rsid w:val="002E55AB"/>
    <w:rsid w:val="002E6A41"/>
    <w:rsid w:val="002F00EF"/>
    <w:rsid w:val="002F0CD2"/>
    <w:rsid w:val="002F1A62"/>
    <w:rsid w:val="002F431E"/>
    <w:rsid w:val="002F5593"/>
    <w:rsid w:val="002F7A99"/>
    <w:rsid w:val="00300765"/>
    <w:rsid w:val="00301521"/>
    <w:rsid w:val="003042FA"/>
    <w:rsid w:val="00307E30"/>
    <w:rsid w:val="003127CE"/>
    <w:rsid w:val="00312877"/>
    <w:rsid w:val="003131E7"/>
    <w:rsid w:val="00314F65"/>
    <w:rsid w:val="003165EC"/>
    <w:rsid w:val="003169C0"/>
    <w:rsid w:val="0031713F"/>
    <w:rsid w:val="003171D4"/>
    <w:rsid w:val="00317365"/>
    <w:rsid w:val="003173B2"/>
    <w:rsid w:val="00321913"/>
    <w:rsid w:val="00324433"/>
    <w:rsid w:val="0032450E"/>
    <w:rsid w:val="00324EE6"/>
    <w:rsid w:val="00325788"/>
    <w:rsid w:val="00325D09"/>
    <w:rsid w:val="003260E8"/>
    <w:rsid w:val="003316DC"/>
    <w:rsid w:val="0033282C"/>
    <w:rsid w:val="00332E0D"/>
    <w:rsid w:val="00333505"/>
    <w:rsid w:val="0033476B"/>
    <w:rsid w:val="00335A9E"/>
    <w:rsid w:val="00336499"/>
    <w:rsid w:val="00340D72"/>
    <w:rsid w:val="00341020"/>
    <w:rsid w:val="003411F9"/>
    <w:rsid w:val="0034129F"/>
    <w:rsid w:val="003415D3"/>
    <w:rsid w:val="00342D5C"/>
    <w:rsid w:val="003449FC"/>
    <w:rsid w:val="00345B04"/>
    <w:rsid w:val="00346335"/>
    <w:rsid w:val="003470FF"/>
    <w:rsid w:val="00351320"/>
    <w:rsid w:val="00352B0F"/>
    <w:rsid w:val="003561B0"/>
    <w:rsid w:val="0036037B"/>
    <w:rsid w:val="003644C6"/>
    <w:rsid w:val="00364B8A"/>
    <w:rsid w:val="00365B56"/>
    <w:rsid w:val="00367960"/>
    <w:rsid w:val="00370B81"/>
    <w:rsid w:val="00370D02"/>
    <w:rsid w:val="00372630"/>
    <w:rsid w:val="003755B0"/>
    <w:rsid w:val="003776CC"/>
    <w:rsid w:val="00377FB9"/>
    <w:rsid w:val="00385288"/>
    <w:rsid w:val="003855EF"/>
    <w:rsid w:val="00386CFE"/>
    <w:rsid w:val="00392717"/>
    <w:rsid w:val="00396DA8"/>
    <w:rsid w:val="00397443"/>
    <w:rsid w:val="003A1024"/>
    <w:rsid w:val="003A15AC"/>
    <w:rsid w:val="003A42D5"/>
    <w:rsid w:val="003A56EB"/>
    <w:rsid w:val="003A5C3A"/>
    <w:rsid w:val="003A6015"/>
    <w:rsid w:val="003A74D2"/>
    <w:rsid w:val="003A7CCF"/>
    <w:rsid w:val="003B04CF"/>
    <w:rsid w:val="003B0627"/>
    <w:rsid w:val="003B3A16"/>
    <w:rsid w:val="003B7FE4"/>
    <w:rsid w:val="003C0449"/>
    <w:rsid w:val="003C04F7"/>
    <w:rsid w:val="003C2993"/>
    <w:rsid w:val="003C2FE1"/>
    <w:rsid w:val="003C5F2B"/>
    <w:rsid w:val="003C6EE3"/>
    <w:rsid w:val="003C6F80"/>
    <w:rsid w:val="003D0BFE"/>
    <w:rsid w:val="003D1154"/>
    <w:rsid w:val="003D2926"/>
    <w:rsid w:val="003D3FD6"/>
    <w:rsid w:val="003D5101"/>
    <w:rsid w:val="003D5700"/>
    <w:rsid w:val="003D58CB"/>
    <w:rsid w:val="003D7133"/>
    <w:rsid w:val="003E08E1"/>
    <w:rsid w:val="003E3237"/>
    <w:rsid w:val="003E63E4"/>
    <w:rsid w:val="003E6F51"/>
    <w:rsid w:val="003E763A"/>
    <w:rsid w:val="003E7CA1"/>
    <w:rsid w:val="003F0469"/>
    <w:rsid w:val="003F0F5A"/>
    <w:rsid w:val="003F1CF3"/>
    <w:rsid w:val="003F382B"/>
    <w:rsid w:val="003F4109"/>
    <w:rsid w:val="003F5F54"/>
    <w:rsid w:val="00400A30"/>
    <w:rsid w:val="00401B20"/>
    <w:rsid w:val="00401F46"/>
    <w:rsid w:val="004022CA"/>
    <w:rsid w:val="0041007E"/>
    <w:rsid w:val="004102F8"/>
    <w:rsid w:val="004116CD"/>
    <w:rsid w:val="00414ADE"/>
    <w:rsid w:val="00415CA9"/>
    <w:rsid w:val="004208D0"/>
    <w:rsid w:val="00420EE9"/>
    <w:rsid w:val="0042353F"/>
    <w:rsid w:val="004235A7"/>
    <w:rsid w:val="00424CA9"/>
    <w:rsid w:val="004257BB"/>
    <w:rsid w:val="004261D9"/>
    <w:rsid w:val="00427D54"/>
    <w:rsid w:val="004308FC"/>
    <w:rsid w:val="004334A9"/>
    <w:rsid w:val="00433A1D"/>
    <w:rsid w:val="0043413B"/>
    <w:rsid w:val="00435320"/>
    <w:rsid w:val="004359A5"/>
    <w:rsid w:val="00435AF3"/>
    <w:rsid w:val="00435B3A"/>
    <w:rsid w:val="0044291A"/>
    <w:rsid w:val="00452EBA"/>
    <w:rsid w:val="00455C6A"/>
    <w:rsid w:val="00455E3E"/>
    <w:rsid w:val="00456354"/>
    <w:rsid w:val="00456B84"/>
    <w:rsid w:val="00460499"/>
    <w:rsid w:val="00462F41"/>
    <w:rsid w:val="0046580F"/>
    <w:rsid w:val="00474835"/>
    <w:rsid w:val="00476DF0"/>
    <w:rsid w:val="004774BD"/>
    <w:rsid w:val="00481979"/>
    <w:rsid w:val="004819C7"/>
    <w:rsid w:val="00481FCF"/>
    <w:rsid w:val="004831C5"/>
    <w:rsid w:val="004835AA"/>
    <w:rsid w:val="0048364F"/>
    <w:rsid w:val="004837FC"/>
    <w:rsid w:val="00483821"/>
    <w:rsid w:val="004845B8"/>
    <w:rsid w:val="004868F9"/>
    <w:rsid w:val="00487103"/>
    <w:rsid w:val="00487381"/>
    <w:rsid w:val="00490601"/>
    <w:rsid w:val="00490F2E"/>
    <w:rsid w:val="00492C30"/>
    <w:rsid w:val="00496DB3"/>
    <w:rsid w:val="00496F97"/>
    <w:rsid w:val="004A0675"/>
    <w:rsid w:val="004A26BF"/>
    <w:rsid w:val="004A3886"/>
    <w:rsid w:val="004A415A"/>
    <w:rsid w:val="004A53EA"/>
    <w:rsid w:val="004B0143"/>
    <w:rsid w:val="004B168A"/>
    <w:rsid w:val="004B35A2"/>
    <w:rsid w:val="004B3821"/>
    <w:rsid w:val="004B571A"/>
    <w:rsid w:val="004B595E"/>
    <w:rsid w:val="004B7B58"/>
    <w:rsid w:val="004C06E2"/>
    <w:rsid w:val="004C20C4"/>
    <w:rsid w:val="004C2131"/>
    <w:rsid w:val="004C2590"/>
    <w:rsid w:val="004C3CD8"/>
    <w:rsid w:val="004C47BE"/>
    <w:rsid w:val="004C75A9"/>
    <w:rsid w:val="004D1476"/>
    <w:rsid w:val="004D3336"/>
    <w:rsid w:val="004D3D82"/>
    <w:rsid w:val="004D4BCF"/>
    <w:rsid w:val="004D6550"/>
    <w:rsid w:val="004D6852"/>
    <w:rsid w:val="004D6A3A"/>
    <w:rsid w:val="004E786F"/>
    <w:rsid w:val="004F006F"/>
    <w:rsid w:val="004F0258"/>
    <w:rsid w:val="004F1FAC"/>
    <w:rsid w:val="004F34BB"/>
    <w:rsid w:val="004F676E"/>
    <w:rsid w:val="004F6E6F"/>
    <w:rsid w:val="005002A2"/>
    <w:rsid w:val="00500C16"/>
    <w:rsid w:val="00500D5F"/>
    <w:rsid w:val="00501DE7"/>
    <w:rsid w:val="00502407"/>
    <w:rsid w:val="005068C1"/>
    <w:rsid w:val="00507C11"/>
    <w:rsid w:val="005116BF"/>
    <w:rsid w:val="00511C33"/>
    <w:rsid w:val="005120C5"/>
    <w:rsid w:val="00513497"/>
    <w:rsid w:val="00513B3B"/>
    <w:rsid w:val="00516B8D"/>
    <w:rsid w:val="00516EA0"/>
    <w:rsid w:val="005172BC"/>
    <w:rsid w:val="005176B0"/>
    <w:rsid w:val="00522296"/>
    <w:rsid w:val="00522FBF"/>
    <w:rsid w:val="00523D8D"/>
    <w:rsid w:val="0052686F"/>
    <w:rsid w:val="0052756C"/>
    <w:rsid w:val="00530230"/>
    <w:rsid w:val="00530CC9"/>
    <w:rsid w:val="005329B9"/>
    <w:rsid w:val="005341EF"/>
    <w:rsid w:val="00534DC3"/>
    <w:rsid w:val="00537AC0"/>
    <w:rsid w:val="00537FBC"/>
    <w:rsid w:val="00540110"/>
    <w:rsid w:val="00541D73"/>
    <w:rsid w:val="005423C1"/>
    <w:rsid w:val="00543469"/>
    <w:rsid w:val="005452CC"/>
    <w:rsid w:val="00546FA3"/>
    <w:rsid w:val="005478A0"/>
    <w:rsid w:val="00553420"/>
    <w:rsid w:val="005535F4"/>
    <w:rsid w:val="0055369F"/>
    <w:rsid w:val="005536D2"/>
    <w:rsid w:val="00554243"/>
    <w:rsid w:val="00554516"/>
    <w:rsid w:val="00555C4E"/>
    <w:rsid w:val="00555FF9"/>
    <w:rsid w:val="00557C7A"/>
    <w:rsid w:val="00562483"/>
    <w:rsid w:val="00562A58"/>
    <w:rsid w:val="00565A6D"/>
    <w:rsid w:val="00574851"/>
    <w:rsid w:val="0057597F"/>
    <w:rsid w:val="005765F1"/>
    <w:rsid w:val="00580F13"/>
    <w:rsid w:val="00581211"/>
    <w:rsid w:val="00581A15"/>
    <w:rsid w:val="00584811"/>
    <w:rsid w:val="00585064"/>
    <w:rsid w:val="005928D6"/>
    <w:rsid w:val="00592FFB"/>
    <w:rsid w:val="00593AA6"/>
    <w:rsid w:val="00594161"/>
    <w:rsid w:val="00594512"/>
    <w:rsid w:val="00594749"/>
    <w:rsid w:val="005956CE"/>
    <w:rsid w:val="00596FDC"/>
    <w:rsid w:val="00597689"/>
    <w:rsid w:val="005977AE"/>
    <w:rsid w:val="005A07BB"/>
    <w:rsid w:val="005A482B"/>
    <w:rsid w:val="005A7214"/>
    <w:rsid w:val="005B4067"/>
    <w:rsid w:val="005B5BEE"/>
    <w:rsid w:val="005C0C8D"/>
    <w:rsid w:val="005C1BEC"/>
    <w:rsid w:val="005C36E0"/>
    <w:rsid w:val="005C3F41"/>
    <w:rsid w:val="005C5161"/>
    <w:rsid w:val="005C6A05"/>
    <w:rsid w:val="005D168D"/>
    <w:rsid w:val="005D203B"/>
    <w:rsid w:val="005D24F2"/>
    <w:rsid w:val="005D2EA9"/>
    <w:rsid w:val="005D46EA"/>
    <w:rsid w:val="005D5EA1"/>
    <w:rsid w:val="005E61D3"/>
    <w:rsid w:val="005F2008"/>
    <w:rsid w:val="005F251C"/>
    <w:rsid w:val="005F283D"/>
    <w:rsid w:val="005F2C46"/>
    <w:rsid w:val="005F30E8"/>
    <w:rsid w:val="005F4840"/>
    <w:rsid w:val="005F4D93"/>
    <w:rsid w:val="005F5121"/>
    <w:rsid w:val="005F7738"/>
    <w:rsid w:val="00600219"/>
    <w:rsid w:val="00610D24"/>
    <w:rsid w:val="006139F7"/>
    <w:rsid w:val="00613EAD"/>
    <w:rsid w:val="006158AC"/>
    <w:rsid w:val="00620C22"/>
    <w:rsid w:val="00622182"/>
    <w:rsid w:val="0062796C"/>
    <w:rsid w:val="00633E08"/>
    <w:rsid w:val="0063465C"/>
    <w:rsid w:val="0063706E"/>
    <w:rsid w:val="00640402"/>
    <w:rsid w:val="00640F78"/>
    <w:rsid w:val="0064119A"/>
    <w:rsid w:val="00642C92"/>
    <w:rsid w:val="00644768"/>
    <w:rsid w:val="006462B8"/>
    <w:rsid w:val="00646E7B"/>
    <w:rsid w:val="00655D6A"/>
    <w:rsid w:val="00656621"/>
    <w:rsid w:val="00656B7F"/>
    <w:rsid w:val="00656DE9"/>
    <w:rsid w:val="00660AE8"/>
    <w:rsid w:val="00661EDB"/>
    <w:rsid w:val="00663015"/>
    <w:rsid w:val="00663740"/>
    <w:rsid w:val="00664C1F"/>
    <w:rsid w:val="006654C2"/>
    <w:rsid w:val="00665F15"/>
    <w:rsid w:val="00670738"/>
    <w:rsid w:val="006742A4"/>
    <w:rsid w:val="00677CC2"/>
    <w:rsid w:val="00681514"/>
    <w:rsid w:val="00684656"/>
    <w:rsid w:val="00685983"/>
    <w:rsid w:val="00685F42"/>
    <w:rsid w:val="006866A1"/>
    <w:rsid w:val="0069195E"/>
    <w:rsid w:val="0069207B"/>
    <w:rsid w:val="006942B2"/>
    <w:rsid w:val="0069594A"/>
    <w:rsid w:val="006A1AF6"/>
    <w:rsid w:val="006A39FF"/>
    <w:rsid w:val="006A3A92"/>
    <w:rsid w:val="006A4147"/>
    <w:rsid w:val="006A4309"/>
    <w:rsid w:val="006A694A"/>
    <w:rsid w:val="006A69E5"/>
    <w:rsid w:val="006B0E55"/>
    <w:rsid w:val="006B2A29"/>
    <w:rsid w:val="006B5169"/>
    <w:rsid w:val="006B6EA5"/>
    <w:rsid w:val="006B7006"/>
    <w:rsid w:val="006C0E14"/>
    <w:rsid w:val="006C2011"/>
    <w:rsid w:val="006C2DA9"/>
    <w:rsid w:val="006C55CC"/>
    <w:rsid w:val="006C75CF"/>
    <w:rsid w:val="006C7683"/>
    <w:rsid w:val="006C7F8C"/>
    <w:rsid w:val="006D10F3"/>
    <w:rsid w:val="006D4636"/>
    <w:rsid w:val="006D47D7"/>
    <w:rsid w:val="006D6A49"/>
    <w:rsid w:val="006D7AB9"/>
    <w:rsid w:val="006E0128"/>
    <w:rsid w:val="006E041E"/>
    <w:rsid w:val="006E1434"/>
    <w:rsid w:val="006E26E1"/>
    <w:rsid w:val="006E2DD4"/>
    <w:rsid w:val="006F3392"/>
    <w:rsid w:val="006F48B5"/>
    <w:rsid w:val="00700B2C"/>
    <w:rsid w:val="0070536F"/>
    <w:rsid w:val="00710321"/>
    <w:rsid w:val="007114CA"/>
    <w:rsid w:val="007118A2"/>
    <w:rsid w:val="00711FEE"/>
    <w:rsid w:val="0071254D"/>
    <w:rsid w:val="00713084"/>
    <w:rsid w:val="007150BF"/>
    <w:rsid w:val="00715D7A"/>
    <w:rsid w:val="007202CD"/>
    <w:rsid w:val="00720FC2"/>
    <w:rsid w:val="00724149"/>
    <w:rsid w:val="00724AF6"/>
    <w:rsid w:val="007270DE"/>
    <w:rsid w:val="00727858"/>
    <w:rsid w:val="0073143D"/>
    <w:rsid w:val="00731945"/>
    <w:rsid w:val="00731E00"/>
    <w:rsid w:val="00732E9D"/>
    <w:rsid w:val="0073491A"/>
    <w:rsid w:val="00736B14"/>
    <w:rsid w:val="00737ACE"/>
    <w:rsid w:val="0074025C"/>
    <w:rsid w:val="007419FD"/>
    <w:rsid w:val="007440B7"/>
    <w:rsid w:val="007459B2"/>
    <w:rsid w:val="00746886"/>
    <w:rsid w:val="007473C5"/>
    <w:rsid w:val="00747993"/>
    <w:rsid w:val="007507A8"/>
    <w:rsid w:val="00753B79"/>
    <w:rsid w:val="00756A10"/>
    <w:rsid w:val="007571D5"/>
    <w:rsid w:val="00760039"/>
    <w:rsid w:val="00760427"/>
    <w:rsid w:val="00761735"/>
    <w:rsid w:val="007624F0"/>
    <w:rsid w:val="00762D7B"/>
    <w:rsid w:val="007634AD"/>
    <w:rsid w:val="007635BF"/>
    <w:rsid w:val="007641D7"/>
    <w:rsid w:val="00765E4A"/>
    <w:rsid w:val="00771364"/>
    <w:rsid w:val="007715C9"/>
    <w:rsid w:val="00773C8A"/>
    <w:rsid w:val="00774EDD"/>
    <w:rsid w:val="007757EC"/>
    <w:rsid w:val="0078136C"/>
    <w:rsid w:val="00782641"/>
    <w:rsid w:val="00785629"/>
    <w:rsid w:val="0078657F"/>
    <w:rsid w:val="007878FF"/>
    <w:rsid w:val="00787FA2"/>
    <w:rsid w:val="00791572"/>
    <w:rsid w:val="007915E4"/>
    <w:rsid w:val="00793CD3"/>
    <w:rsid w:val="00794EA7"/>
    <w:rsid w:val="00797637"/>
    <w:rsid w:val="00797A43"/>
    <w:rsid w:val="007A0C4A"/>
    <w:rsid w:val="007A115D"/>
    <w:rsid w:val="007A13F8"/>
    <w:rsid w:val="007A358D"/>
    <w:rsid w:val="007A35E6"/>
    <w:rsid w:val="007A388D"/>
    <w:rsid w:val="007A3977"/>
    <w:rsid w:val="007A6024"/>
    <w:rsid w:val="007A6863"/>
    <w:rsid w:val="007A778F"/>
    <w:rsid w:val="007B0495"/>
    <w:rsid w:val="007B0658"/>
    <w:rsid w:val="007B08DE"/>
    <w:rsid w:val="007B5985"/>
    <w:rsid w:val="007C1CFA"/>
    <w:rsid w:val="007C6460"/>
    <w:rsid w:val="007C65A4"/>
    <w:rsid w:val="007D09A3"/>
    <w:rsid w:val="007D37CB"/>
    <w:rsid w:val="007D45C1"/>
    <w:rsid w:val="007D4BF2"/>
    <w:rsid w:val="007D569F"/>
    <w:rsid w:val="007E184E"/>
    <w:rsid w:val="007E1CA8"/>
    <w:rsid w:val="007E2C09"/>
    <w:rsid w:val="007E4F88"/>
    <w:rsid w:val="007E6F68"/>
    <w:rsid w:val="007E7D4A"/>
    <w:rsid w:val="007F28BF"/>
    <w:rsid w:val="007F48ED"/>
    <w:rsid w:val="007F7947"/>
    <w:rsid w:val="00801B54"/>
    <w:rsid w:val="0080563D"/>
    <w:rsid w:val="00806638"/>
    <w:rsid w:val="008073F6"/>
    <w:rsid w:val="00807A42"/>
    <w:rsid w:val="00811F49"/>
    <w:rsid w:val="00812F45"/>
    <w:rsid w:val="00813127"/>
    <w:rsid w:val="008147E9"/>
    <w:rsid w:val="00815156"/>
    <w:rsid w:val="00820F07"/>
    <w:rsid w:val="00823AE6"/>
    <w:rsid w:val="00823B55"/>
    <w:rsid w:val="0082628A"/>
    <w:rsid w:val="00834CD4"/>
    <w:rsid w:val="00840698"/>
    <w:rsid w:val="00840A9F"/>
    <w:rsid w:val="0084172C"/>
    <w:rsid w:val="00843D4F"/>
    <w:rsid w:val="00844EF7"/>
    <w:rsid w:val="00845A5D"/>
    <w:rsid w:val="008476A9"/>
    <w:rsid w:val="00852084"/>
    <w:rsid w:val="008545A2"/>
    <w:rsid w:val="0085500E"/>
    <w:rsid w:val="00855293"/>
    <w:rsid w:val="00855F57"/>
    <w:rsid w:val="00856A31"/>
    <w:rsid w:val="008628BA"/>
    <w:rsid w:val="00862F60"/>
    <w:rsid w:val="008642FE"/>
    <w:rsid w:val="0086751B"/>
    <w:rsid w:val="0087192F"/>
    <w:rsid w:val="008754D0"/>
    <w:rsid w:val="008759A3"/>
    <w:rsid w:val="00877591"/>
    <w:rsid w:val="00877D48"/>
    <w:rsid w:val="008816F0"/>
    <w:rsid w:val="008818D4"/>
    <w:rsid w:val="00881E37"/>
    <w:rsid w:val="0088345B"/>
    <w:rsid w:val="00885F9C"/>
    <w:rsid w:val="0088777E"/>
    <w:rsid w:val="00887EE0"/>
    <w:rsid w:val="00891817"/>
    <w:rsid w:val="00894F7D"/>
    <w:rsid w:val="0089523F"/>
    <w:rsid w:val="008960F9"/>
    <w:rsid w:val="008975B7"/>
    <w:rsid w:val="008A16A5"/>
    <w:rsid w:val="008A2675"/>
    <w:rsid w:val="008A2D4C"/>
    <w:rsid w:val="008A4661"/>
    <w:rsid w:val="008A5EF8"/>
    <w:rsid w:val="008B5A43"/>
    <w:rsid w:val="008B5D42"/>
    <w:rsid w:val="008B5DE6"/>
    <w:rsid w:val="008B7626"/>
    <w:rsid w:val="008C1990"/>
    <w:rsid w:val="008C2260"/>
    <w:rsid w:val="008C2B5D"/>
    <w:rsid w:val="008C45B3"/>
    <w:rsid w:val="008D0813"/>
    <w:rsid w:val="008D0EE0"/>
    <w:rsid w:val="008D1CEE"/>
    <w:rsid w:val="008D5B99"/>
    <w:rsid w:val="008D5CA8"/>
    <w:rsid w:val="008D5E49"/>
    <w:rsid w:val="008D6617"/>
    <w:rsid w:val="008D7A27"/>
    <w:rsid w:val="008E18CA"/>
    <w:rsid w:val="008E2202"/>
    <w:rsid w:val="008E4702"/>
    <w:rsid w:val="008E5452"/>
    <w:rsid w:val="008E69AA"/>
    <w:rsid w:val="008E7BB5"/>
    <w:rsid w:val="008F0C6E"/>
    <w:rsid w:val="008F170B"/>
    <w:rsid w:val="008F2EAD"/>
    <w:rsid w:val="008F4F1C"/>
    <w:rsid w:val="0090099D"/>
    <w:rsid w:val="00900EDC"/>
    <w:rsid w:val="00901608"/>
    <w:rsid w:val="00901B31"/>
    <w:rsid w:val="00902DEB"/>
    <w:rsid w:val="00905305"/>
    <w:rsid w:val="00911310"/>
    <w:rsid w:val="00912B41"/>
    <w:rsid w:val="0091422E"/>
    <w:rsid w:val="00922764"/>
    <w:rsid w:val="009305A8"/>
    <w:rsid w:val="00932377"/>
    <w:rsid w:val="00933470"/>
    <w:rsid w:val="00935ADD"/>
    <w:rsid w:val="009408EA"/>
    <w:rsid w:val="00941AC5"/>
    <w:rsid w:val="00941E5C"/>
    <w:rsid w:val="00943102"/>
    <w:rsid w:val="00943F25"/>
    <w:rsid w:val="0094523D"/>
    <w:rsid w:val="00951669"/>
    <w:rsid w:val="00952F50"/>
    <w:rsid w:val="0095370D"/>
    <w:rsid w:val="009538BB"/>
    <w:rsid w:val="009559E6"/>
    <w:rsid w:val="00960A1A"/>
    <w:rsid w:val="00960B72"/>
    <w:rsid w:val="009647D4"/>
    <w:rsid w:val="00964935"/>
    <w:rsid w:val="00967C80"/>
    <w:rsid w:val="00973930"/>
    <w:rsid w:val="00976A63"/>
    <w:rsid w:val="00977D16"/>
    <w:rsid w:val="00983419"/>
    <w:rsid w:val="00983AF9"/>
    <w:rsid w:val="0099126C"/>
    <w:rsid w:val="00991F42"/>
    <w:rsid w:val="00992C23"/>
    <w:rsid w:val="00994821"/>
    <w:rsid w:val="00997FAF"/>
    <w:rsid w:val="009A03D8"/>
    <w:rsid w:val="009A4A53"/>
    <w:rsid w:val="009A7FA2"/>
    <w:rsid w:val="009B088E"/>
    <w:rsid w:val="009B1DA4"/>
    <w:rsid w:val="009B2578"/>
    <w:rsid w:val="009B6169"/>
    <w:rsid w:val="009B7894"/>
    <w:rsid w:val="009B79AF"/>
    <w:rsid w:val="009C1C25"/>
    <w:rsid w:val="009C2B76"/>
    <w:rsid w:val="009C2FFE"/>
    <w:rsid w:val="009C3431"/>
    <w:rsid w:val="009C4C35"/>
    <w:rsid w:val="009C4ED7"/>
    <w:rsid w:val="009C5989"/>
    <w:rsid w:val="009D08DA"/>
    <w:rsid w:val="009D37A2"/>
    <w:rsid w:val="009E063E"/>
    <w:rsid w:val="009E0C8E"/>
    <w:rsid w:val="009E2DE3"/>
    <w:rsid w:val="009E48F1"/>
    <w:rsid w:val="009E4A0C"/>
    <w:rsid w:val="009F4586"/>
    <w:rsid w:val="009F6ACC"/>
    <w:rsid w:val="00A001C5"/>
    <w:rsid w:val="00A015A3"/>
    <w:rsid w:val="00A038AC"/>
    <w:rsid w:val="00A045AC"/>
    <w:rsid w:val="00A06860"/>
    <w:rsid w:val="00A106ED"/>
    <w:rsid w:val="00A11FF2"/>
    <w:rsid w:val="00A121F3"/>
    <w:rsid w:val="00A125FB"/>
    <w:rsid w:val="00A136F5"/>
    <w:rsid w:val="00A147A5"/>
    <w:rsid w:val="00A17002"/>
    <w:rsid w:val="00A231E2"/>
    <w:rsid w:val="00A2550D"/>
    <w:rsid w:val="00A32F49"/>
    <w:rsid w:val="00A33AEC"/>
    <w:rsid w:val="00A36158"/>
    <w:rsid w:val="00A37A89"/>
    <w:rsid w:val="00A4032B"/>
    <w:rsid w:val="00A4169B"/>
    <w:rsid w:val="00A43688"/>
    <w:rsid w:val="00A445F2"/>
    <w:rsid w:val="00A50D55"/>
    <w:rsid w:val="00A50ECA"/>
    <w:rsid w:val="00A512F4"/>
    <w:rsid w:val="00A5165B"/>
    <w:rsid w:val="00A52BD4"/>
    <w:rsid w:val="00A52FDA"/>
    <w:rsid w:val="00A53AE9"/>
    <w:rsid w:val="00A55DE4"/>
    <w:rsid w:val="00A56F43"/>
    <w:rsid w:val="00A61109"/>
    <w:rsid w:val="00A631F2"/>
    <w:rsid w:val="00A63CE4"/>
    <w:rsid w:val="00A64912"/>
    <w:rsid w:val="00A67955"/>
    <w:rsid w:val="00A70930"/>
    <w:rsid w:val="00A70A74"/>
    <w:rsid w:val="00A732A9"/>
    <w:rsid w:val="00A74525"/>
    <w:rsid w:val="00A757D3"/>
    <w:rsid w:val="00A758D2"/>
    <w:rsid w:val="00A77F5B"/>
    <w:rsid w:val="00A844E3"/>
    <w:rsid w:val="00A8551B"/>
    <w:rsid w:val="00A90962"/>
    <w:rsid w:val="00A90EA8"/>
    <w:rsid w:val="00A91E54"/>
    <w:rsid w:val="00A92EF1"/>
    <w:rsid w:val="00A945C3"/>
    <w:rsid w:val="00A9514F"/>
    <w:rsid w:val="00A96ABB"/>
    <w:rsid w:val="00A977E9"/>
    <w:rsid w:val="00A97E95"/>
    <w:rsid w:val="00AA0343"/>
    <w:rsid w:val="00AA19E8"/>
    <w:rsid w:val="00AA2A5C"/>
    <w:rsid w:val="00AA3ECC"/>
    <w:rsid w:val="00AB0174"/>
    <w:rsid w:val="00AB1BC9"/>
    <w:rsid w:val="00AB2F03"/>
    <w:rsid w:val="00AB5384"/>
    <w:rsid w:val="00AB53B1"/>
    <w:rsid w:val="00AB5CDB"/>
    <w:rsid w:val="00AB78E9"/>
    <w:rsid w:val="00AC002E"/>
    <w:rsid w:val="00AC0B47"/>
    <w:rsid w:val="00AC2CD2"/>
    <w:rsid w:val="00AC5F47"/>
    <w:rsid w:val="00AC6584"/>
    <w:rsid w:val="00AD0D13"/>
    <w:rsid w:val="00AD17AA"/>
    <w:rsid w:val="00AD3467"/>
    <w:rsid w:val="00AD4AD8"/>
    <w:rsid w:val="00AD5641"/>
    <w:rsid w:val="00AD7252"/>
    <w:rsid w:val="00AD7918"/>
    <w:rsid w:val="00AE0F9B"/>
    <w:rsid w:val="00AE185B"/>
    <w:rsid w:val="00AE376E"/>
    <w:rsid w:val="00AE51B3"/>
    <w:rsid w:val="00AE550C"/>
    <w:rsid w:val="00AE60B1"/>
    <w:rsid w:val="00AE6BA6"/>
    <w:rsid w:val="00AF32A4"/>
    <w:rsid w:val="00AF514B"/>
    <w:rsid w:val="00AF55FF"/>
    <w:rsid w:val="00AF5923"/>
    <w:rsid w:val="00AF7350"/>
    <w:rsid w:val="00AF7972"/>
    <w:rsid w:val="00AF7ED3"/>
    <w:rsid w:val="00B0040C"/>
    <w:rsid w:val="00B00EF4"/>
    <w:rsid w:val="00B01C73"/>
    <w:rsid w:val="00B032D8"/>
    <w:rsid w:val="00B04326"/>
    <w:rsid w:val="00B043FB"/>
    <w:rsid w:val="00B04933"/>
    <w:rsid w:val="00B04CFB"/>
    <w:rsid w:val="00B05229"/>
    <w:rsid w:val="00B05A91"/>
    <w:rsid w:val="00B06CEF"/>
    <w:rsid w:val="00B10546"/>
    <w:rsid w:val="00B1235B"/>
    <w:rsid w:val="00B132DA"/>
    <w:rsid w:val="00B139F1"/>
    <w:rsid w:val="00B16E86"/>
    <w:rsid w:val="00B227D6"/>
    <w:rsid w:val="00B22D5B"/>
    <w:rsid w:val="00B2322D"/>
    <w:rsid w:val="00B24DC8"/>
    <w:rsid w:val="00B323B0"/>
    <w:rsid w:val="00B32DBE"/>
    <w:rsid w:val="00B33B3C"/>
    <w:rsid w:val="00B40D74"/>
    <w:rsid w:val="00B41966"/>
    <w:rsid w:val="00B436A5"/>
    <w:rsid w:val="00B44878"/>
    <w:rsid w:val="00B4498B"/>
    <w:rsid w:val="00B46242"/>
    <w:rsid w:val="00B46816"/>
    <w:rsid w:val="00B4707C"/>
    <w:rsid w:val="00B4794C"/>
    <w:rsid w:val="00B50178"/>
    <w:rsid w:val="00B50513"/>
    <w:rsid w:val="00B52663"/>
    <w:rsid w:val="00B52B0E"/>
    <w:rsid w:val="00B56DCB"/>
    <w:rsid w:val="00B606DF"/>
    <w:rsid w:val="00B6312B"/>
    <w:rsid w:val="00B639C7"/>
    <w:rsid w:val="00B65429"/>
    <w:rsid w:val="00B659F7"/>
    <w:rsid w:val="00B729A4"/>
    <w:rsid w:val="00B739AD"/>
    <w:rsid w:val="00B770D2"/>
    <w:rsid w:val="00B77EDB"/>
    <w:rsid w:val="00B81BF5"/>
    <w:rsid w:val="00B857C3"/>
    <w:rsid w:val="00B8766B"/>
    <w:rsid w:val="00B94F68"/>
    <w:rsid w:val="00BA330A"/>
    <w:rsid w:val="00BA35F4"/>
    <w:rsid w:val="00BA47A3"/>
    <w:rsid w:val="00BA5026"/>
    <w:rsid w:val="00BA54F6"/>
    <w:rsid w:val="00BA5AC2"/>
    <w:rsid w:val="00BB4A06"/>
    <w:rsid w:val="00BB6E79"/>
    <w:rsid w:val="00BC3804"/>
    <w:rsid w:val="00BC417D"/>
    <w:rsid w:val="00BC5466"/>
    <w:rsid w:val="00BC5C54"/>
    <w:rsid w:val="00BC688C"/>
    <w:rsid w:val="00BD55BB"/>
    <w:rsid w:val="00BE02D2"/>
    <w:rsid w:val="00BE3064"/>
    <w:rsid w:val="00BE3B31"/>
    <w:rsid w:val="00BE4878"/>
    <w:rsid w:val="00BE5153"/>
    <w:rsid w:val="00BE719A"/>
    <w:rsid w:val="00BE720A"/>
    <w:rsid w:val="00BF2496"/>
    <w:rsid w:val="00BF3F4C"/>
    <w:rsid w:val="00BF5544"/>
    <w:rsid w:val="00BF56F8"/>
    <w:rsid w:val="00BF6650"/>
    <w:rsid w:val="00C0272A"/>
    <w:rsid w:val="00C0606D"/>
    <w:rsid w:val="00C067E5"/>
    <w:rsid w:val="00C10262"/>
    <w:rsid w:val="00C11B04"/>
    <w:rsid w:val="00C153B7"/>
    <w:rsid w:val="00C164CA"/>
    <w:rsid w:val="00C165F2"/>
    <w:rsid w:val="00C16F7A"/>
    <w:rsid w:val="00C23B89"/>
    <w:rsid w:val="00C27D85"/>
    <w:rsid w:val="00C30637"/>
    <w:rsid w:val="00C30900"/>
    <w:rsid w:val="00C33F44"/>
    <w:rsid w:val="00C3438F"/>
    <w:rsid w:val="00C36DA2"/>
    <w:rsid w:val="00C42BF8"/>
    <w:rsid w:val="00C434B8"/>
    <w:rsid w:val="00C43EA0"/>
    <w:rsid w:val="00C460AE"/>
    <w:rsid w:val="00C468F1"/>
    <w:rsid w:val="00C47A19"/>
    <w:rsid w:val="00C47BA5"/>
    <w:rsid w:val="00C47E97"/>
    <w:rsid w:val="00C50043"/>
    <w:rsid w:val="00C50A0F"/>
    <w:rsid w:val="00C524F0"/>
    <w:rsid w:val="00C528D0"/>
    <w:rsid w:val="00C52A60"/>
    <w:rsid w:val="00C53AD7"/>
    <w:rsid w:val="00C53CDA"/>
    <w:rsid w:val="00C54AF2"/>
    <w:rsid w:val="00C61280"/>
    <w:rsid w:val="00C65160"/>
    <w:rsid w:val="00C67DC8"/>
    <w:rsid w:val="00C71D49"/>
    <w:rsid w:val="00C7573B"/>
    <w:rsid w:val="00C76CF3"/>
    <w:rsid w:val="00C76EE1"/>
    <w:rsid w:val="00C77583"/>
    <w:rsid w:val="00C779C8"/>
    <w:rsid w:val="00C8014A"/>
    <w:rsid w:val="00C82C69"/>
    <w:rsid w:val="00C908F8"/>
    <w:rsid w:val="00C90F08"/>
    <w:rsid w:val="00C90F60"/>
    <w:rsid w:val="00C9191F"/>
    <w:rsid w:val="00C9296D"/>
    <w:rsid w:val="00C93E47"/>
    <w:rsid w:val="00C951AB"/>
    <w:rsid w:val="00CA7844"/>
    <w:rsid w:val="00CB073F"/>
    <w:rsid w:val="00CB0775"/>
    <w:rsid w:val="00CB0CE3"/>
    <w:rsid w:val="00CB39FB"/>
    <w:rsid w:val="00CB5215"/>
    <w:rsid w:val="00CB5237"/>
    <w:rsid w:val="00CB58EF"/>
    <w:rsid w:val="00CC23F0"/>
    <w:rsid w:val="00CC355E"/>
    <w:rsid w:val="00CC429B"/>
    <w:rsid w:val="00CC4B37"/>
    <w:rsid w:val="00CC7DB7"/>
    <w:rsid w:val="00CD1AE9"/>
    <w:rsid w:val="00CD218F"/>
    <w:rsid w:val="00CD246B"/>
    <w:rsid w:val="00CD7474"/>
    <w:rsid w:val="00CE0D5A"/>
    <w:rsid w:val="00CE14DC"/>
    <w:rsid w:val="00CE3C42"/>
    <w:rsid w:val="00CE7066"/>
    <w:rsid w:val="00CE7D64"/>
    <w:rsid w:val="00CF012D"/>
    <w:rsid w:val="00CF03D3"/>
    <w:rsid w:val="00CF0BB2"/>
    <w:rsid w:val="00CF1A0F"/>
    <w:rsid w:val="00CF39E1"/>
    <w:rsid w:val="00CF47AD"/>
    <w:rsid w:val="00D017E9"/>
    <w:rsid w:val="00D0572C"/>
    <w:rsid w:val="00D05A93"/>
    <w:rsid w:val="00D06948"/>
    <w:rsid w:val="00D06FEE"/>
    <w:rsid w:val="00D10944"/>
    <w:rsid w:val="00D10B02"/>
    <w:rsid w:val="00D13441"/>
    <w:rsid w:val="00D14621"/>
    <w:rsid w:val="00D161A7"/>
    <w:rsid w:val="00D20665"/>
    <w:rsid w:val="00D2294F"/>
    <w:rsid w:val="00D23234"/>
    <w:rsid w:val="00D23489"/>
    <w:rsid w:val="00D23919"/>
    <w:rsid w:val="00D243A3"/>
    <w:rsid w:val="00D244B0"/>
    <w:rsid w:val="00D25A66"/>
    <w:rsid w:val="00D26EF7"/>
    <w:rsid w:val="00D3200B"/>
    <w:rsid w:val="00D33440"/>
    <w:rsid w:val="00D3723F"/>
    <w:rsid w:val="00D37746"/>
    <w:rsid w:val="00D4423E"/>
    <w:rsid w:val="00D44921"/>
    <w:rsid w:val="00D503CC"/>
    <w:rsid w:val="00D50AA8"/>
    <w:rsid w:val="00D52BED"/>
    <w:rsid w:val="00D52EFE"/>
    <w:rsid w:val="00D52F6E"/>
    <w:rsid w:val="00D54252"/>
    <w:rsid w:val="00D553A9"/>
    <w:rsid w:val="00D56A0D"/>
    <w:rsid w:val="00D5767F"/>
    <w:rsid w:val="00D6360F"/>
    <w:rsid w:val="00D63EF6"/>
    <w:rsid w:val="00D658E5"/>
    <w:rsid w:val="00D65EF3"/>
    <w:rsid w:val="00D66518"/>
    <w:rsid w:val="00D6667D"/>
    <w:rsid w:val="00D67434"/>
    <w:rsid w:val="00D70DFB"/>
    <w:rsid w:val="00D71BC0"/>
    <w:rsid w:val="00D71EEA"/>
    <w:rsid w:val="00D727FE"/>
    <w:rsid w:val="00D735CD"/>
    <w:rsid w:val="00D73720"/>
    <w:rsid w:val="00D73EB7"/>
    <w:rsid w:val="00D74C3A"/>
    <w:rsid w:val="00D75A02"/>
    <w:rsid w:val="00D75BA1"/>
    <w:rsid w:val="00D766DF"/>
    <w:rsid w:val="00D769C2"/>
    <w:rsid w:val="00D80C51"/>
    <w:rsid w:val="00D81BB1"/>
    <w:rsid w:val="00D821BD"/>
    <w:rsid w:val="00D82E26"/>
    <w:rsid w:val="00D837DF"/>
    <w:rsid w:val="00D83E5F"/>
    <w:rsid w:val="00D85D13"/>
    <w:rsid w:val="00D95891"/>
    <w:rsid w:val="00D95E4B"/>
    <w:rsid w:val="00DA0F53"/>
    <w:rsid w:val="00DA2487"/>
    <w:rsid w:val="00DB3630"/>
    <w:rsid w:val="00DB5CB4"/>
    <w:rsid w:val="00DB71D8"/>
    <w:rsid w:val="00DC04AC"/>
    <w:rsid w:val="00DC10BC"/>
    <w:rsid w:val="00DC22DE"/>
    <w:rsid w:val="00DC4E8C"/>
    <w:rsid w:val="00DC7BC5"/>
    <w:rsid w:val="00DD1A41"/>
    <w:rsid w:val="00DD4153"/>
    <w:rsid w:val="00DE149E"/>
    <w:rsid w:val="00DE1B58"/>
    <w:rsid w:val="00DE1BF4"/>
    <w:rsid w:val="00DE215B"/>
    <w:rsid w:val="00DE4489"/>
    <w:rsid w:val="00DE72C8"/>
    <w:rsid w:val="00DE78E6"/>
    <w:rsid w:val="00DF04A9"/>
    <w:rsid w:val="00DF393E"/>
    <w:rsid w:val="00DF4CA9"/>
    <w:rsid w:val="00DF5924"/>
    <w:rsid w:val="00DF60FB"/>
    <w:rsid w:val="00E0167C"/>
    <w:rsid w:val="00E017ED"/>
    <w:rsid w:val="00E04459"/>
    <w:rsid w:val="00E0541C"/>
    <w:rsid w:val="00E05704"/>
    <w:rsid w:val="00E07565"/>
    <w:rsid w:val="00E12F1A"/>
    <w:rsid w:val="00E14351"/>
    <w:rsid w:val="00E15561"/>
    <w:rsid w:val="00E16067"/>
    <w:rsid w:val="00E16D3A"/>
    <w:rsid w:val="00E178F0"/>
    <w:rsid w:val="00E21CFB"/>
    <w:rsid w:val="00E2215A"/>
    <w:rsid w:val="00E22935"/>
    <w:rsid w:val="00E22EF2"/>
    <w:rsid w:val="00E26284"/>
    <w:rsid w:val="00E320B1"/>
    <w:rsid w:val="00E3498C"/>
    <w:rsid w:val="00E3577C"/>
    <w:rsid w:val="00E362A0"/>
    <w:rsid w:val="00E41021"/>
    <w:rsid w:val="00E41951"/>
    <w:rsid w:val="00E427DB"/>
    <w:rsid w:val="00E50700"/>
    <w:rsid w:val="00E5083F"/>
    <w:rsid w:val="00E54292"/>
    <w:rsid w:val="00E559DF"/>
    <w:rsid w:val="00E57C7E"/>
    <w:rsid w:val="00E60191"/>
    <w:rsid w:val="00E703A4"/>
    <w:rsid w:val="00E74DC7"/>
    <w:rsid w:val="00E75912"/>
    <w:rsid w:val="00E77918"/>
    <w:rsid w:val="00E87699"/>
    <w:rsid w:val="00E90000"/>
    <w:rsid w:val="00E92E27"/>
    <w:rsid w:val="00E93A4F"/>
    <w:rsid w:val="00E9586B"/>
    <w:rsid w:val="00E97334"/>
    <w:rsid w:val="00E97A1F"/>
    <w:rsid w:val="00EA05E3"/>
    <w:rsid w:val="00EA0D36"/>
    <w:rsid w:val="00EA2B16"/>
    <w:rsid w:val="00EA2EC6"/>
    <w:rsid w:val="00EA612A"/>
    <w:rsid w:val="00EB02A7"/>
    <w:rsid w:val="00EB5D12"/>
    <w:rsid w:val="00EC30F3"/>
    <w:rsid w:val="00EC3A12"/>
    <w:rsid w:val="00EC3E0A"/>
    <w:rsid w:val="00ED0117"/>
    <w:rsid w:val="00ED4928"/>
    <w:rsid w:val="00ED6B6B"/>
    <w:rsid w:val="00ED7754"/>
    <w:rsid w:val="00ED77C1"/>
    <w:rsid w:val="00ED7AAF"/>
    <w:rsid w:val="00EE154B"/>
    <w:rsid w:val="00EE3749"/>
    <w:rsid w:val="00EE60D4"/>
    <w:rsid w:val="00EE6190"/>
    <w:rsid w:val="00EF131F"/>
    <w:rsid w:val="00EF2E3A"/>
    <w:rsid w:val="00EF5914"/>
    <w:rsid w:val="00EF6402"/>
    <w:rsid w:val="00F00354"/>
    <w:rsid w:val="00F00AFC"/>
    <w:rsid w:val="00F025DF"/>
    <w:rsid w:val="00F035B7"/>
    <w:rsid w:val="00F047E2"/>
    <w:rsid w:val="00F04829"/>
    <w:rsid w:val="00F04D57"/>
    <w:rsid w:val="00F06E64"/>
    <w:rsid w:val="00F078DC"/>
    <w:rsid w:val="00F13E86"/>
    <w:rsid w:val="00F20B43"/>
    <w:rsid w:val="00F228CA"/>
    <w:rsid w:val="00F279D5"/>
    <w:rsid w:val="00F27E22"/>
    <w:rsid w:val="00F309A2"/>
    <w:rsid w:val="00F30F9C"/>
    <w:rsid w:val="00F31395"/>
    <w:rsid w:val="00F323A0"/>
    <w:rsid w:val="00F32F82"/>
    <w:rsid w:val="00F32FCB"/>
    <w:rsid w:val="00F33106"/>
    <w:rsid w:val="00F34BCE"/>
    <w:rsid w:val="00F35E3A"/>
    <w:rsid w:val="00F4119E"/>
    <w:rsid w:val="00F515EF"/>
    <w:rsid w:val="00F5494A"/>
    <w:rsid w:val="00F553EE"/>
    <w:rsid w:val="00F55B96"/>
    <w:rsid w:val="00F57A71"/>
    <w:rsid w:val="00F617DC"/>
    <w:rsid w:val="00F62F75"/>
    <w:rsid w:val="00F659A7"/>
    <w:rsid w:val="00F6709F"/>
    <w:rsid w:val="00F676E0"/>
    <w:rsid w:val="00F677A9"/>
    <w:rsid w:val="00F723BD"/>
    <w:rsid w:val="00F732EA"/>
    <w:rsid w:val="00F74E73"/>
    <w:rsid w:val="00F7621C"/>
    <w:rsid w:val="00F76CAD"/>
    <w:rsid w:val="00F77E40"/>
    <w:rsid w:val="00F817C1"/>
    <w:rsid w:val="00F8226B"/>
    <w:rsid w:val="00F84CF5"/>
    <w:rsid w:val="00F8612E"/>
    <w:rsid w:val="00F86B00"/>
    <w:rsid w:val="00F87314"/>
    <w:rsid w:val="00F879F5"/>
    <w:rsid w:val="00F87D90"/>
    <w:rsid w:val="00F90F31"/>
    <w:rsid w:val="00F913CD"/>
    <w:rsid w:val="00F91D6A"/>
    <w:rsid w:val="00FA2EF1"/>
    <w:rsid w:val="00FA420B"/>
    <w:rsid w:val="00FA6BF2"/>
    <w:rsid w:val="00FB16F7"/>
    <w:rsid w:val="00FB2047"/>
    <w:rsid w:val="00FB345C"/>
    <w:rsid w:val="00FB53AA"/>
    <w:rsid w:val="00FB6832"/>
    <w:rsid w:val="00FB68EE"/>
    <w:rsid w:val="00FB6D63"/>
    <w:rsid w:val="00FC3717"/>
    <w:rsid w:val="00FC3A5D"/>
    <w:rsid w:val="00FD0C66"/>
    <w:rsid w:val="00FD380D"/>
    <w:rsid w:val="00FD3CB4"/>
    <w:rsid w:val="00FD4233"/>
    <w:rsid w:val="00FD51F3"/>
    <w:rsid w:val="00FD7B96"/>
    <w:rsid w:val="00FE0781"/>
    <w:rsid w:val="00FE32A9"/>
    <w:rsid w:val="00FE5A60"/>
    <w:rsid w:val="00FE60A1"/>
    <w:rsid w:val="00FE75A6"/>
    <w:rsid w:val="00FF169C"/>
    <w:rsid w:val="00FF23A8"/>
    <w:rsid w:val="00FF3199"/>
    <w:rsid w:val="00FF39DE"/>
    <w:rsid w:val="00FF6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E6F68"/>
    <w:pPr>
      <w:spacing w:line="260" w:lineRule="atLeast"/>
    </w:pPr>
    <w:rPr>
      <w:sz w:val="22"/>
    </w:rPr>
  </w:style>
  <w:style w:type="paragraph" w:styleId="Heading1">
    <w:name w:val="heading 1"/>
    <w:basedOn w:val="Normal"/>
    <w:next w:val="Normal"/>
    <w:link w:val="Heading1Char"/>
    <w:uiPriority w:val="9"/>
    <w:qFormat/>
    <w:rsid w:val="007E6F6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6F6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6F6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6F6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E6F6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E6F6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E6F6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6F6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E6F6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E6F68"/>
  </w:style>
  <w:style w:type="paragraph" w:customStyle="1" w:styleId="OPCParaBase">
    <w:name w:val="OPCParaBase"/>
    <w:qFormat/>
    <w:rsid w:val="007E6F68"/>
    <w:pPr>
      <w:spacing w:line="260" w:lineRule="atLeast"/>
    </w:pPr>
    <w:rPr>
      <w:rFonts w:eastAsia="Times New Roman" w:cs="Times New Roman"/>
      <w:sz w:val="22"/>
      <w:lang w:eastAsia="en-AU"/>
    </w:rPr>
  </w:style>
  <w:style w:type="paragraph" w:customStyle="1" w:styleId="ShortT">
    <w:name w:val="ShortT"/>
    <w:basedOn w:val="OPCParaBase"/>
    <w:next w:val="Normal"/>
    <w:qFormat/>
    <w:rsid w:val="007E6F68"/>
    <w:pPr>
      <w:spacing w:line="240" w:lineRule="auto"/>
    </w:pPr>
    <w:rPr>
      <w:b/>
      <w:sz w:val="40"/>
    </w:rPr>
  </w:style>
  <w:style w:type="paragraph" w:customStyle="1" w:styleId="ActHead1">
    <w:name w:val="ActHead 1"/>
    <w:aliases w:val="c"/>
    <w:basedOn w:val="OPCParaBase"/>
    <w:next w:val="Normal"/>
    <w:qFormat/>
    <w:rsid w:val="007E6F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E6F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E6F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E6F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E6F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E6F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E6F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E6F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E6F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E6F68"/>
  </w:style>
  <w:style w:type="paragraph" w:customStyle="1" w:styleId="Blocks">
    <w:name w:val="Blocks"/>
    <w:aliases w:val="bb"/>
    <w:basedOn w:val="OPCParaBase"/>
    <w:qFormat/>
    <w:rsid w:val="007E6F68"/>
    <w:pPr>
      <w:spacing w:line="240" w:lineRule="auto"/>
    </w:pPr>
    <w:rPr>
      <w:sz w:val="24"/>
    </w:rPr>
  </w:style>
  <w:style w:type="paragraph" w:customStyle="1" w:styleId="BoxText">
    <w:name w:val="BoxText"/>
    <w:aliases w:val="bt"/>
    <w:basedOn w:val="OPCParaBase"/>
    <w:qFormat/>
    <w:rsid w:val="007E6F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E6F68"/>
    <w:rPr>
      <w:b/>
    </w:rPr>
  </w:style>
  <w:style w:type="paragraph" w:customStyle="1" w:styleId="BoxHeadItalic">
    <w:name w:val="BoxHeadItalic"/>
    <w:aliases w:val="bhi"/>
    <w:basedOn w:val="BoxText"/>
    <w:next w:val="BoxStep"/>
    <w:qFormat/>
    <w:rsid w:val="007E6F68"/>
    <w:rPr>
      <w:i/>
    </w:rPr>
  </w:style>
  <w:style w:type="paragraph" w:customStyle="1" w:styleId="BoxList">
    <w:name w:val="BoxList"/>
    <w:aliases w:val="bl"/>
    <w:basedOn w:val="BoxText"/>
    <w:qFormat/>
    <w:rsid w:val="007E6F68"/>
    <w:pPr>
      <w:ind w:left="1559" w:hanging="425"/>
    </w:pPr>
  </w:style>
  <w:style w:type="paragraph" w:customStyle="1" w:styleId="BoxNote">
    <w:name w:val="BoxNote"/>
    <w:aliases w:val="bn"/>
    <w:basedOn w:val="BoxText"/>
    <w:qFormat/>
    <w:rsid w:val="007E6F68"/>
    <w:pPr>
      <w:tabs>
        <w:tab w:val="left" w:pos="1985"/>
      </w:tabs>
      <w:spacing w:before="122" w:line="198" w:lineRule="exact"/>
      <w:ind w:left="2948" w:hanging="1814"/>
    </w:pPr>
    <w:rPr>
      <w:sz w:val="18"/>
    </w:rPr>
  </w:style>
  <w:style w:type="paragraph" w:customStyle="1" w:styleId="BoxPara">
    <w:name w:val="BoxPara"/>
    <w:aliases w:val="bp"/>
    <w:basedOn w:val="BoxText"/>
    <w:qFormat/>
    <w:rsid w:val="007E6F68"/>
    <w:pPr>
      <w:tabs>
        <w:tab w:val="right" w:pos="2268"/>
      </w:tabs>
      <w:ind w:left="2552" w:hanging="1418"/>
    </w:pPr>
  </w:style>
  <w:style w:type="paragraph" w:customStyle="1" w:styleId="BoxStep">
    <w:name w:val="BoxStep"/>
    <w:aliases w:val="bs"/>
    <w:basedOn w:val="BoxText"/>
    <w:qFormat/>
    <w:rsid w:val="007E6F68"/>
    <w:pPr>
      <w:ind w:left="1985" w:hanging="851"/>
    </w:pPr>
  </w:style>
  <w:style w:type="character" w:customStyle="1" w:styleId="CharAmPartNo">
    <w:name w:val="CharAmPartNo"/>
    <w:basedOn w:val="OPCCharBase"/>
    <w:qFormat/>
    <w:rsid w:val="007E6F68"/>
  </w:style>
  <w:style w:type="character" w:customStyle="1" w:styleId="CharAmPartText">
    <w:name w:val="CharAmPartText"/>
    <w:basedOn w:val="OPCCharBase"/>
    <w:qFormat/>
    <w:rsid w:val="007E6F68"/>
  </w:style>
  <w:style w:type="character" w:customStyle="1" w:styleId="CharAmSchNo">
    <w:name w:val="CharAmSchNo"/>
    <w:basedOn w:val="OPCCharBase"/>
    <w:qFormat/>
    <w:rsid w:val="007E6F68"/>
  </w:style>
  <w:style w:type="character" w:customStyle="1" w:styleId="CharAmSchText">
    <w:name w:val="CharAmSchText"/>
    <w:basedOn w:val="OPCCharBase"/>
    <w:qFormat/>
    <w:rsid w:val="007E6F68"/>
  </w:style>
  <w:style w:type="character" w:customStyle="1" w:styleId="CharBoldItalic">
    <w:name w:val="CharBoldItalic"/>
    <w:basedOn w:val="OPCCharBase"/>
    <w:uiPriority w:val="1"/>
    <w:qFormat/>
    <w:rsid w:val="007E6F68"/>
    <w:rPr>
      <w:b/>
      <w:i/>
    </w:rPr>
  </w:style>
  <w:style w:type="character" w:customStyle="1" w:styleId="CharChapNo">
    <w:name w:val="CharChapNo"/>
    <w:basedOn w:val="OPCCharBase"/>
    <w:uiPriority w:val="1"/>
    <w:qFormat/>
    <w:rsid w:val="007E6F68"/>
  </w:style>
  <w:style w:type="character" w:customStyle="1" w:styleId="CharChapText">
    <w:name w:val="CharChapText"/>
    <w:basedOn w:val="OPCCharBase"/>
    <w:uiPriority w:val="1"/>
    <w:qFormat/>
    <w:rsid w:val="007E6F68"/>
  </w:style>
  <w:style w:type="character" w:customStyle="1" w:styleId="CharDivNo">
    <w:name w:val="CharDivNo"/>
    <w:basedOn w:val="OPCCharBase"/>
    <w:uiPriority w:val="1"/>
    <w:qFormat/>
    <w:rsid w:val="007E6F68"/>
  </w:style>
  <w:style w:type="character" w:customStyle="1" w:styleId="CharDivText">
    <w:name w:val="CharDivText"/>
    <w:basedOn w:val="OPCCharBase"/>
    <w:uiPriority w:val="1"/>
    <w:qFormat/>
    <w:rsid w:val="007E6F68"/>
  </w:style>
  <w:style w:type="character" w:customStyle="1" w:styleId="CharItalic">
    <w:name w:val="CharItalic"/>
    <w:basedOn w:val="OPCCharBase"/>
    <w:uiPriority w:val="1"/>
    <w:qFormat/>
    <w:rsid w:val="007E6F68"/>
    <w:rPr>
      <w:i/>
    </w:rPr>
  </w:style>
  <w:style w:type="character" w:customStyle="1" w:styleId="CharPartNo">
    <w:name w:val="CharPartNo"/>
    <w:basedOn w:val="OPCCharBase"/>
    <w:uiPriority w:val="1"/>
    <w:qFormat/>
    <w:rsid w:val="007E6F68"/>
  </w:style>
  <w:style w:type="character" w:customStyle="1" w:styleId="CharPartText">
    <w:name w:val="CharPartText"/>
    <w:basedOn w:val="OPCCharBase"/>
    <w:uiPriority w:val="1"/>
    <w:qFormat/>
    <w:rsid w:val="007E6F68"/>
  </w:style>
  <w:style w:type="character" w:customStyle="1" w:styleId="CharSectno">
    <w:name w:val="CharSectno"/>
    <w:basedOn w:val="OPCCharBase"/>
    <w:qFormat/>
    <w:rsid w:val="007E6F68"/>
  </w:style>
  <w:style w:type="character" w:customStyle="1" w:styleId="CharSubdNo">
    <w:name w:val="CharSubdNo"/>
    <w:basedOn w:val="OPCCharBase"/>
    <w:uiPriority w:val="1"/>
    <w:qFormat/>
    <w:rsid w:val="007E6F68"/>
  </w:style>
  <w:style w:type="character" w:customStyle="1" w:styleId="CharSubdText">
    <w:name w:val="CharSubdText"/>
    <w:basedOn w:val="OPCCharBase"/>
    <w:uiPriority w:val="1"/>
    <w:qFormat/>
    <w:rsid w:val="007E6F68"/>
  </w:style>
  <w:style w:type="paragraph" w:customStyle="1" w:styleId="CTA--">
    <w:name w:val="CTA --"/>
    <w:basedOn w:val="OPCParaBase"/>
    <w:next w:val="Normal"/>
    <w:rsid w:val="007E6F68"/>
    <w:pPr>
      <w:spacing w:before="60" w:line="240" w:lineRule="atLeast"/>
      <w:ind w:left="142" w:hanging="142"/>
    </w:pPr>
    <w:rPr>
      <w:sz w:val="20"/>
    </w:rPr>
  </w:style>
  <w:style w:type="paragraph" w:customStyle="1" w:styleId="CTA-">
    <w:name w:val="CTA -"/>
    <w:basedOn w:val="OPCParaBase"/>
    <w:rsid w:val="007E6F68"/>
    <w:pPr>
      <w:spacing w:before="60" w:line="240" w:lineRule="atLeast"/>
      <w:ind w:left="85" w:hanging="85"/>
    </w:pPr>
    <w:rPr>
      <w:sz w:val="20"/>
    </w:rPr>
  </w:style>
  <w:style w:type="paragraph" w:customStyle="1" w:styleId="CTA---">
    <w:name w:val="CTA ---"/>
    <w:basedOn w:val="OPCParaBase"/>
    <w:next w:val="Normal"/>
    <w:rsid w:val="007E6F68"/>
    <w:pPr>
      <w:spacing w:before="60" w:line="240" w:lineRule="atLeast"/>
      <w:ind w:left="198" w:hanging="198"/>
    </w:pPr>
    <w:rPr>
      <w:sz w:val="20"/>
    </w:rPr>
  </w:style>
  <w:style w:type="paragraph" w:customStyle="1" w:styleId="CTA----">
    <w:name w:val="CTA ----"/>
    <w:basedOn w:val="OPCParaBase"/>
    <w:next w:val="Normal"/>
    <w:rsid w:val="007E6F68"/>
    <w:pPr>
      <w:spacing w:before="60" w:line="240" w:lineRule="atLeast"/>
      <w:ind w:left="255" w:hanging="255"/>
    </w:pPr>
    <w:rPr>
      <w:sz w:val="20"/>
    </w:rPr>
  </w:style>
  <w:style w:type="paragraph" w:customStyle="1" w:styleId="CTA1a">
    <w:name w:val="CTA 1(a)"/>
    <w:basedOn w:val="OPCParaBase"/>
    <w:rsid w:val="007E6F68"/>
    <w:pPr>
      <w:tabs>
        <w:tab w:val="right" w:pos="414"/>
      </w:tabs>
      <w:spacing w:before="40" w:line="240" w:lineRule="atLeast"/>
      <w:ind w:left="675" w:hanging="675"/>
    </w:pPr>
    <w:rPr>
      <w:sz w:val="20"/>
    </w:rPr>
  </w:style>
  <w:style w:type="paragraph" w:customStyle="1" w:styleId="CTA1ai">
    <w:name w:val="CTA 1(a)(i)"/>
    <w:basedOn w:val="OPCParaBase"/>
    <w:rsid w:val="007E6F68"/>
    <w:pPr>
      <w:tabs>
        <w:tab w:val="right" w:pos="1004"/>
      </w:tabs>
      <w:spacing w:before="40" w:line="240" w:lineRule="atLeast"/>
      <w:ind w:left="1253" w:hanging="1253"/>
    </w:pPr>
    <w:rPr>
      <w:sz w:val="20"/>
    </w:rPr>
  </w:style>
  <w:style w:type="paragraph" w:customStyle="1" w:styleId="CTA2a">
    <w:name w:val="CTA 2(a)"/>
    <w:basedOn w:val="OPCParaBase"/>
    <w:rsid w:val="007E6F68"/>
    <w:pPr>
      <w:tabs>
        <w:tab w:val="right" w:pos="482"/>
      </w:tabs>
      <w:spacing w:before="40" w:line="240" w:lineRule="atLeast"/>
      <w:ind w:left="748" w:hanging="748"/>
    </w:pPr>
    <w:rPr>
      <w:sz w:val="20"/>
    </w:rPr>
  </w:style>
  <w:style w:type="paragraph" w:customStyle="1" w:styleId="CTA2ai">
    <w:name w:val="CTA 2(a)(i)"/>
    <w:basedOn w:val="OPCParaBase"/>
    <w:rsid w:val="007E6F68"/>
    <w:pPr>
      <w:tabs>
        <w:tab w:val="right" w:pos="1089"/>
      </w:tabs>
      <w:spacing w:before="40" w:line="240" w:lineRule="atLeast"/>
      <w:ind w:left="1327" w:hanging="1327"/>
    </w:pPr>
    <w:rPr>
      <w:sz w:val="20"/>
    </w:rPr>
  </w:style>
  <w:style w:type="paragraph" w:customStyle="1" w:styleId="CTA3a">
    <w:name w:val="CTA 3(a)"/>
    <w:basedOn w:val="OPCParaBase"/>
    <w:rsid w:val="007E6F68"/>
    <w:pPr>
      <w:tabs>
        <w:tab w:val="right" w:pos="556"/>
      </w:tabs>
      <w:spacing w:before="40" w:line="240" w:lineRule="atLeast"/>
      <w:ind w:left="805" w:hanging="805"/>
    </w:pPr>
    <w:rPr>
      <w:sz w:val="20"/>
    </w:rPr>
  </w:style>
  <w:style w:type="paragraph" w:customStyle="1" w:styleId="CTA3ai">
    <w:name w:val="CTA 3(a)(i)"/>
    <w:basedOn w:val="OPCParaBase"/>
    <w:rsid w:val="007E6F68"/>
    <w:pPr>
      <w:tabs>
        <w:tab w:val="right" w:pos="1140"/>
      </w:tabs>
      <w:spacing w:before="40" w:line="240" w:lineRule="atLeast"/>
      <w:ind w:left="1361" w:hanging="1361"/>
    </w:pPr>
    <w:rPr>
      <w:sz w:val="20"/>
    </w:rPr>
  </w:style>
  <w:style w:type="paragraph" w:customStyle="1" w:styleId="CTA4a">
    <w:name w:val="CTA 4(a)"/>
    <w:basedOn w:val="OPCParaBase"/>
    <w:rsid w:val="007E6F68"/>
    <w:pPr>
      <w:tabs>
        <w:tab w:val="right" w:pos="624"/>
      </w:tabs>
      <w:spacing w:before="40" w:line="240" w:lineRule="atLeast"/>
      <w:ind w:left="873" w:hanging="873"/>
    </w:pPr>
    <w:rPr>
      <w:sz w:val="20"/>
    </w:rPr>
  </w:style>
  <w:style w:type="paragraph" w:customStyle="1" w:styleId="CTA4ai">
    <w:name w:val="CTA 4(a)(i)"/>
    <w:basedOn w:val="OPCParaBase"/>
    <w:rsid w:val="007E6F68"/>
    <w:pPr>
      <w:tabs>
        <w:tab w:val="right" w:pos="1213"/>
      </w:tabs>
      <w:spacing w:before="40" w:line="240" w:lineRule="atLeast"/>
      <w:ind w:left="1452" w:hanging="1452"/>
    </w:pPr>
    <w:rPr>
      <w:sz w:val="20"/>
    </w:rPr>
  </w:style>
  <w:style w:type="paragraph" w:customStyle="1" w:styleId="CTACAPS">
    <w:name w:val="CTA CAPS"/>
    <w:basedOn w:val="OPCParaBase"/>
    <w:rsid w:val="007E6F68"/>
    <w:pPr>
      <w:spacing w:before="60" w:line="240" w:lineRule="atLeast"/>
    </w:pPr>
    <w:rPr>
      <w:sz w:val="20"/>
    </w:rPr>
  </w:style>
  <w:style w:type="paragraph" w:customStyle="1" w:styleId="CTAright">
    <w:name w:val="CTA right"/>
    <w:basedOn w:val="OPCParaBase"/>
    <w:rsid w:val="007E6F68"/>
    <w:pPr>
      <w:spacing w:before="60" w:line="240" w:lineRule="auto"/>
      <w:jc w:val="right"/>
    </w:pPr>
    <w:rPr>
      <w:sz w:val="20"/>
    </w:rPr>
  </w:style>
  <w:style w:type="paragraph" w:customStyle="1" w:styleId="subsection">
    <w:name w:val="subsection"/>
    <w:aliases w:val="ss"/>
    <w:basedOn w:val="OPCParaBase"/>
    <w:link w:val="subsectionChar"/>
    <w:rsid w:val="007E6F68"/>
    <w:pPr>
      <w:tabs>
        <w:tab w:val="right" w:pos="1021"/>
      </w:tabs>
      <w:spacing w:before="180" w:line="240" w:lineRule="auto"/>
      <w:ind w:left="1134" w:hanging="1134"/>
    </w:pPr>
  </w:style>
  <w:style w:type="paragraph" w:customStyle="1" w:styleId="Definition">
    <w:name w:val="Definition"/>
    <w:aliases w:val="dd"/>
    <w:basedOn w:val="OPCParaBase"/>
    <w:rsid w:val="007E6F68"/>
    <w:pPr>
      <w:spacing w:before="180" w:line="240" w:lineRule="auto"/>
      <w:ind w:left="1134"/>
    </w:pPr>
  </w:style>
  <w:style w:type="paragraph" w:customStyle="1" w:styleId="ETAsubitem">
    <w:name w:val="ETA(subitem)"/>
    <w:basedOn w:val="OPCParaBase"/>
    <w:rsid w:val="007E6F68"/>
    <w:pPr>
      <w:tabs>
        <w:tab w:val="right" w:pos="340"/>
      </w:tabs>
      <w:spacing w:before="60" w:line="240" w:lineRule="auto"/>
      <w:ind w:left="454" w:hanging="454"/>
    </w:pPr>
    <w:rPr>
      <w:sz w:val="20"/>
    </w:rPr>
  </w:style>
  <w:style w:type="paragraph" w:customStyle="1" w:styleId="ETApara">
    <w:name w:val="ETA(para)"/>
    <w:basedOn w:val="OPCParaBase"/>
    <w:rsid w:val="007E6F68"/>
    <w:pPr>
      <w:tabs>
        <w:tab w:val="right" w:pos="754"/>
      </w:tabs>
      <w:spacing w:before="60" w:line="240" w:lineRule="auto"/>
      <w:ind w:left="828" w:hanging="828"/>
    </w:pPr>
    <w:rPr>
      <w:sz w:val="20"/>
    </w:rPr>
  </w:style>
  <w:style w:type="paragraph" w:customStyle="1" w:styleId="ETAsubpara">
    <w:name w:val="ETA(subpara)"/>
    <w:basedOn w:val="OPCParaBase"/>
    <w:rsid w:val="007E6F68"/>
    <w:pPr>
      <w:tabs>
        <w:tab w:val="right" w:pos="1083"/>
      </w:tabs>
      <w:spacing w:before="60" w:line="240" w:lineRule="auto"/>
      <w:ind w:left="1191" w:hanging="1191"/>
    </w:pPr>
    <w:rPr>
      <w:sz w:val="20"/>
    </w:rPr>
  </w:style>
  <w:style w:type="paragraph" w:customStyle="1" w:styleId="ETAsub-subpara">
    <w:name w:val="ETA(sub-subpara)"/>
    <w:basedOn w:val="OPCParaBase"/>
    <w:rsid w:val="007E6F68"/>
    <w:pPr>
      <w:tabs>
        <w:tab w:val="right" w:pos="1412"/>
      </w:tabs>
      <w:spacing w:before="60" w:line="240" w:lineRule="auto"/>
      <w:ind w:left="1525" w:hanging="1525"/>
    </w:pPr>
    <w:rPr>
      <w:sz w:val="20"/>
    </w:rPr>
  </w:style>
  <w:style w:type="paragraph" w:customStyle="1" w:styleId="Formula">
    <w:name w:val="Formula"/>
    <w:basedOn w:val="OPCParaBase"/>
    <w:rsid w:val="007E6F68"/>
    <w:pPr>
      <w:spacing w:line="240" w:lineRule="auto"/>
      <w:ind w:left="1134"/>
    </w:pPr>
    <w:rPr>
      <w:sz w:val="20"/>
    </w:rPr>
  </w:style>
  <w:style w:type="paragraph" w:styleId="Header">
    <w:name w:val="header"/>
    <w:basedOn w:val="OPCParaBase"/>
    <w:link w:val="HeaderChar"/>
    <w:unhideWhenUsed/>
    <w:rsid w:val="007E6F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E6F68"/>
    <w:rPr>
      <w:rFonts w:eastAsia="Times New Roman" w:cs="Times New Roman"/>
      <w:sz w:val="16"/>
      <w:lang w:eastAsia="en-AU"/>
    </w:rPr>
  </w:style>
  <w:style w:type="paragraph" w:customStyle="1" w:styleId="House">
    <w:name w:val="House"/>
    <w:basedOn w:val="OPCParaBase"/>
    <w:rsid w:val="007E6F68"/>
    <w:pPr>
      <w:spacing w:line="240" w:lineRule="auto"/>
    </w:pPr>
    <w:rPr>
      <w:sz w:val="28"/>
    </w:rPr>
  </w:style>
  <w:style w:type="paragraph" w:customStyle="1" w:styleId="Item">
    <w:name w:val="Item"/>
    <w:aliases w:val="i"/>
    <w:basedOn w:val="OPCParaBase"/>
    <w:next w:val="ItemHead"/>
    <w:rsid w:val="007E6F68"/>
    <w:pPr>
      <w:keepLines/>
      <w:spacing w:before="80" w:line="240" w:lineRule="auto"/>
      <w:ind w:left="709"/>
    </w:pPr>
  </w:style>
  <w:style w:type="paragraph" w:customStyle="1" w:styleId="ItemHead">
    <w:name w:val="ItemHead"/>
    <w:aliases w:val="ih"/>
    <w:basedOn w:val="OPCParaBase"/>
    <w:next w:val="Item"/>
    <w:rsid w:val="007E6F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E6F68"/>
    <w:pPr>
      <w:spacing w:line="240" w:lineRule="auto"/>
    </w:pPr>
    <w:rPr>
      <w:b/>
      <w:sz w:val="32"/>
    </w:rPr>
  </w:style>
  <w:style w:type="paragraph" w:customStyle="1" w:styleId="notedraft">
    <w:name w:val="note(draft)"/>
    <w:aliases w:val="nd"/>
    <w:basedOn w:val="OPCParaBase"/>
    <w:rsid w:val="007E6F68"/>
    <w:pPr>
      <w:spacing w:before="240" w:line="240" w:lineRule="auto"/>
      <w:ind w:left="284" w:hanging="284"/>
    </w:pPr>
    <w:rPr>
      <w:i/>
      <w:sz w:val="24"/>
    </w:rPr>
  </w:style>
  <w:style w:type="paragraph" w:customStyle="1" w:styleId="notemargin">
    <w:name w:val="note(margin)"/>
    <w:aliases w:val="nm"/>
    <w:basedOn w:val="OPCParaBase"/>
    <w:rsid w:val="007E6F68"/>
    <w:pPr>
      <w:tabs>
        <w:tab w:val="left" w:pos="709"/>
      </w:tabs>
      <w:spacing w:before="122" w:line="198" w:lineRule="exact"/>
      <w:ind w:left="709" w:hanging="709"/>
    </w:pPr>
    <w:rPr>
      <w:sz w:val="18"/>
    </w:rPr>
  </w:style>
  <w:style w:type="paragraph" w:customStyle="1" w:styleId="noteToPara">
    <w:name w:val="noteToPara"/>
    <w:aliases w:val="ntp"/>
    <w:basedOn w:val="OPCParaBase"/>
    <w:rsid w:val="007E6F68"/>
    <w:pPr>
      <w:spacing w:before="122" w:line="198" w:lineRule="exact"/>
      <w:ind w:left="2353" w:hanging="709"/>
    </w:pPr>
    <w:rPr>
      <w:sz w:val="18"/>
    </w:rPr>
  </w:style>
  <w:style w:type="paragraph" w:customStyle="1" w:styleId="noteParlAmend">
    <w:name w:val="note(ParlAmend)"/>
    <w:aliases w:val="npp"/>
    <w:basedOn w:val="OPCParaBase"/>
    <w:next w:val="ParlAmend"/>
    <w:rsid w:val="007E6F68"/>
    <w:pPr>
      <w:spacing w:line="240" w:lineRule="auto"/>
      <w:jc w:val="right"/>
    </w:pPr>
    <w:rPr>
      <w:rFonts w:ascii="Arial" w:hAnsi="Arial"/>
      <w:b/>
      <w:i/>
    </w:rPr>
  </w:style>
  <w:style w:type="paragraph" w:customStyle="1" w:styleId="Page1">
    <w:name w:val="Page1"/>
    <w:basedOn w:val="OPCParaBase"/>
    <w:rsid w:val="007E6F68"/>
    <w:pPr>
      <w:spacing w:before="5600" w:line="240" w:lineRule="auto"/>
    </w:pPr>
    <w:rPr>
      <w:b/>
      <w:sz w:val="32"/>
    </w:rPr>
  </w:style>
  <w:style w:type="paragraph" w:customStyle="1" w:styleId="PageBreak">
    <w:name w:val="PageBreak"/>
    <w:aliases w:val="pb"/>
    <w:basedOn w:val="OPCParaBase"/>
    <w:rsid w:val="007E6F68"/>
    <w:pPr>
      <w:spacing w:line="240" w:lineRule="auto"/>
    </w:pPr>
    <w:rPr>
      <w:sz w:val="20"/>
    </w:rPr>
  </w:style>
  <w:style w:type="paragraph" w:customStyle="1" w:styleId="paragraphsub">
    <w:name w:val="paragraph(sub)"/>
    <w:aliases w:val="aa"/>
    <w:basedOn w:val="OPCParaBase"/>
    <w:rsid w:val="007E6F68"/>
    <w:pPr>
      <w:tabs>
        <w:tab w:val="right" w:pos="1985"/>
      </w:tabs>
      <w:spacing w:before="40" w:line="240" w:lineRule="auto"/>
      <w:ind w:left="2098" w:hanging="2098"/>
    </w:pPr>
  </w:style>
  <w:style w:type="paragraph" w:customStyle="1" w:styleId="paragraphsub-sub">
    <w:name w:val="paragraph(sub-sub)"/>
    <w:aliases w:val="aaa"/>
    <w:basedOn w:val="OPCParaBase"/>
    <w:rsid w:val="007E6F68"/>
    <w:pPr>
      <w:tabs>
        <w:tab w:val="right" w:pos="2722"/>
      </w:tabs>
      <w:spacing w:before="40" w:line="240" w:lineRule="auto"/>
      <w:ind w:left="2835" w:hanging="2835"/>
    </w:pPr>
  </w:style>
  <w:style w:type="paragraph" w:customStyle="1" w:styleId="paragraph">
    <w:name w:val="paragraph"/>
    <w:aliases w:val="a"/>
    <w:basedOn w:val="OPCParaBase"/>
    <w:rsid w:val="007E6F68"/>
    <w:pPr>
      <w:tabs>
        <w:tab w:val="right" w:pos="1531"/>
      </w:tabs>
      <w:spacing w:before="40" w:line="240" w:lineRule="auto"/>
      <w:ind w:left="1644" w:hanging="1644"/>
    </w:pPr>
  </w:style>
  <w:style w:type="paragraph" w:customStyle="1" w:styleId="ParlAmend">
    <w:name w:val="ParlAmend"/>
    <w:aliases w:val="pp"/>
    <w:basedOn w:val="OPCParaBase"/>
    <w:rsid w:val="007E6F68"/>
    <w:pPr>
      <w:spacing w:before="240" w:line="240" w:lineRule="atLeast"/>
      <w:ind w:hanging="567"/>
    </w:pPr>
    <w:rPr>
      <w:sz w:val="24"/>
    </w:rPr>
  </w:style>
  <w:style w:type="paragraph" w:customStyle="1" w:styleId="Penalty">
    <w:name w:val="Penalty"/>
    <w:basedOn w:val="OPCParaBase"/>
    <w:rsid w:val="007E6F68"/>
    <w:pPr>
      <w:tabs>
        <w:tab w:val="left" w:pos="2977"/>
      </w:tabs>
      <w:spacing w:before="180" w:line="240" w:lineRule="auto"/>
      <w:ind w:left="1985" w:hanging="851"/>
    </w:pPr>
  </w:style>
  <w:style w:type="paragraph" w:customStyle="1" w:styleId="Portfolio">
    <w:name w:val="Portfolio"/>
    <w:basedOn w:val="OPCParaBase"/>
    <w:rsid w:val="007E6F68"/>
    <w:pPr>
      <w:spacing w:line="240" w:lineRule="auto"/>
    </w:pPr>
    <w:rPr>
      <w:i/>
      <w:sz w:val="20"/>
    </w:rPr>
  </w:style>
  <w:style w:type="paragraph" w:customStyle="1" w:styleId="Preamble">
    <w:name w:val="Preamble"/>
    <w:basedOn w:val="OPCParaBase"/>
    <w:next w:val="Normal"/>
    <w:rsid w:val="007E6F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E6F68"/>
    <w:pPr>
      <w:spacing w:line="240" w:lineRule="auto"/>
    </w:pPr>
    <w:rPr>
      <w:i/>
      <w:sz w:val="20"/>
    </w:rPr>
  </w:style>
  <w:style w:type="paragraph" w:customStyle="1" w:styleId="Session">
    <w:name w:val="Session"/>
    <w:basedOn w:val="OPCParaBase"/>
    <w:rsid w:val="007E6F68"/>
    <w:pPr>
      <w:spacing w:line="240" w:lineRule="auto"/>
    </w:pPr>
    <w:rPr>
      <w:sz w:val="28"/>
    </w:rPr>
  </w:style>
  <w:style w:type="paragraph" w:customStyle="1" w:styleId="Sponsor">
    <w:name w:val="Sponsor"/>
    <w:basedOn w:val="OPCParaBase"/>
    <w:rsid w:val="007E6F68"/>
    <w:pPr>
      <w:spacing w:line="240" w:lineRule="auto"/>
    </w:pPr>
    <w:rPr>
      <w:i/>
    </w:rPr>
  </w:style>
  <w:style w:type="paragraph" w:customStyle="1" w:styleId="Subitem">
    <w:name w:val="Subitem"/>
    <w:aliases w:val="iss"/>
    <w:basedOn w:val="OPCParaBase"/>
    <w:rsid w:val="007E6F68"/>
    <w:pPr>
      <w:spacing w:before="180" w:line="240" w:lineRule="auto"/>
      <w:ind w:left="709" w:hanging="709"/>
    </w:pPr>
  </w:style>
  <w:style w:type="paragraph" w:customStyle="1" w:styleId="SubitemHead">
    <w:name w:val="SubitemHead"/>
    <w:aliases w:val="issh"/>
    <w:basedOn w:val="OPCParaBase"/>
    <w:rsid w:val="007E6F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E6F68"/>
    <w:pPr>
      <w:spacing w:before="40" w:line="240" w:lineRule="auto"/>
      <w:ind w:left="1134"/>
    </w:pPr>
  </w:style>
  <w:style w:type="paragraph" w:customStyle="1" w:styleId="SubsectionHead">
    <w:name w:val="SubsectionHead"/>
    <w:aliases w:val="ssh"/>
    <w:basedOn w:val="OPCParaBase"/>
    <w:next w:val="subsection"/>
    <w:rsid w:val="007E6F68"/>
    <w:pPr>
      <w:keepNext/>
      <w:keepLines/>
      <w:spacing w:before="240" w:line="240" w:lineRule="auto"/>
      <w:ind w:left="1134"/>
    </w:pPr>
    <w:rPr>
      <w:i/>
    </w:rPr>
  </w:style>
  <w:style w:type="paragraph" w:customStyle="1" w:styleId="Tablea">
    <w:name w:val="Table(a)"/>
    <w:aliases w:val="ta"/>
    <w:basedOn w:val="OPCParaBase"/>
    <w:rsid w:val="007E6F68"/>
    <w:pPr>
      <w:spacing w:before="60" w:line="240" w:lineRule="auto"/>
      <w:ind w:left="284" w:hanging="284"/>
    </w:pPr>
    <w:rPr>
      <w:sz w:val="20"/>
    </w:rPr>
  </w:style>
  <w:style w:type="paragraph" w:customStyle="1" w:styleId="TableAA">
    <w:name w:val="Table(AA)"/>
    <w:aliases w:val="taaa"/>
    <w:basedOn w:val="OPCParaBase"/>
    <w:rsid w:val="007E6F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E6F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E6F68"/>
    <w:pPr>
      <w:spacing w:before="60" w:line="240" w:lineRule="atLeast"/>
    </w:pPr>
    <w:rPr>
      <w:sz w:val="20"/>
    </w:rPr>
  </w:style>
  <w:style w:type="paragraph" w:customStyle="1" w:styleId="TLPBoxTextnote">
    <w:name w:val="TLPBoxText(note"/>
    <w:aliases w:val="right)"/>
    <w:basedOn w:val="OPCParaBase"/>
    <w:rsid w:val="007E6F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E6F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E6F68"/>
    <w:pPr>
      <w:spacing w:before="122" w:line="198" w:lineRule="exact"/>
      <w:ind w:left="1985" w:hanging="851"/>
      <w:jc w:val="right"/>
    </w:pPr>
    <w:rPr>
      <w:sz w:val="18"/>
    </w:rPr>
  </w:style>
  <w:style w:type="paragraph" w:customStyle="1" w:styleId="TLPTableBullet">
    <w:name w:val="TLPTableBullet"/>
    <w:aliases w:val="ttb"/>
    <w:basedOn w:val="OPCParaBase"/>
    <w:rsid w:val="007E6F68"/>
    <w:pPr>
      <w:spacing w:line="240" w:lineRule="exact"/>
      <w:ind w:left="284" w:hanging="284"/>
    </w:pPr>
    <w:rPr>
      <w:sz w:val="20"/>
    </w:rPr>
  </w:style>
  <w:style w:type="paragraph" w:styleId="TOC1">
    <w:name w:val="toc 1"/>
    <w:basedOn w:val="Normal"/>
    <w:next w:val="Normal"/>
    <w:uiPriority w:val="39"/>
    <w:unhideWhenUsed/>
    <w:rsid w:val="007E6F6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E6F6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E6F6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E6F6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E6F6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E6F6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E6F6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E6F6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E6F6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E6F68"/>
    <w:pPr>
      <w:keepLines/>
      <w:spacing w:before="240" w:after="120" w:line="240" w:lineRule="auto"/>
      <w:ind w:left="794"/>
    </w:pPr>
    <w:rPr>
      <w:b/>
      <w:kern w:val="28"/>
      <w:sz w:val="20"/>
    </w:rPr>
  </w:style>
  <w:style w:type="paragraph" w:customStyle="1" w:styleId="TofSectsHeading">
    <w:name w:val="TofSects(Heading)"/>
    <w:basedOn w:val="OPCParaBase"/>
    <w:rsid w:val="007E6F68"/>
    <w:pPr>
      <w:spacing w:before="240" w:after="120" w:line="240" w:lineRule="auto"/>
    </w:pPr>
    <w:rPr>
      <w:b/>
      <w:sz w:val="24"/>
    </w:rPr>
  </w:style>
  <w:style w:type="paragraph" w:customStyle="1" w:styleId="TofSectsSection">
    <w:name w:val="TofSects(Section)"/>
    <w:basedOn w:val="OPCParaBase"/>
    <w:rsid w:val="007E6F68"/>
    <w:pPr>
      <w:keepLines/>
      <w:spacing w:before="40" w:line="240" w:lineRule="auto"/>
      <w:ind w:left="1588" w:hanging="794"/>
    </w:pPr>
    <w:rPr>
      <w:kern w:val="28"/>
      <w:sz w:val="18"/>
    </w:rPr>
  </w:style>
  <w:style w:type="paragraph" w:customStyle="1" w:styleId="TofSectsSubdiv">
    <w:name w:val="TofSects(Subdiv)"/>
    <w:basedOn w:val="OPCParaBase"/>
    <w:rsid w:val="007E6F68"/>
    <w:pPr>
      <w:keepLines/>
      <w:spacing w:before="80" w:line="240" w:lineRule="auto"/>
      <w:ind w:left="1588" w:hanging="794"/>
    </w:pPr>
    <w:rPr>
      <w:kern w:val="28"/>
    </w:rPr>
  </w:style>
  <w:style w:type="paragraph" w:customStyle="1" w:styleId="WRStyle">
    <w:name w:val="WR Style"/>
    <w:aliases w:val="WR"/>
    <w:basedOn w:val="OPCParaBase"/>
    <w:rsid w:val="007E6F68"/>
    <w:pPr>
      <w:spacing w:before="240" w:line="240" w:lineRule="auto"/>
      <w:ind w:left="284" w:hanging="284"/>
    </w:pPr>
    <w:rPr>
      <w:b/>
      <w:i/>
      <w:kern w:val="28"/>
      <w:sz w:val="24"/>
    </w:rPr>
  </w:style>
  <w:style w:type="paragraph" w:customStyle="1" w:styleId="notepara">
    <w:name w:val="note(para)"/>
    <w:aliases w:val="na"/>
    <w:basedOn w:val="OPCParaBase"/>
    <w:rsid w:val="007E6F68"/>
    <w:pPr>
      <w:spacing w:before="40" w:line="198" w:lineRule="exact"/>
      <w:ind w:left="2354" w:hanging="369"/>
    </w:pPr>
    <w:rPr>
      <w:sz w:val="18"/>
    </w:rPr>
  </w:style>
  <w:style w:type="paragraph" w:styleId="Footer">
    <w:name w:val="footer"/>
    <w:link w:val="FooterChar"/>
    <w:rsid w:val="007E6F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E6F68"/>
    <w:rPr>
      <w:rFonts w:eastAsia="Times New Roman" w:cs="Times New Roman"/>
      <w:sz w:val="22"/>
      <w:szCs w:val="24"/>
      <w:lang w:eastAsia="en-AU"/>
    </w:rPr>
  </w:style>
  <w:style w:type="character" w:styleId="LineNumber">
    <w:name w:val="line number"/>
    <w:basedOn w:val="OPCCharBase"/>
    <w:uiPriority w:val="99"/>
    <w:unhideWhenUsed/>
    <w:rsid w:val="007E6F68"/>
    <w:rPr>
      <w:sz w:val="16"/>
    </w:rPr>
  </w:style>
  <w:style w:type="table" w:customStyle="1" w:styleId="CFlag">
    <w:name w:val="CFlag"/>
    <w:basedOn w:val="TableNormal"/>
    <w:uiPriority w:val="99"/>
    <w:rsid w:val="007E6F68"/>
    <w:rPr>
      <w:rFonts w:eastAsia="Times New Roman" w:cs="Times New Roman"/>
      <w:lang w:eastAsia="en-AU"/>
    </w:rPr>
    <w:tblPr/>
  </w:style>
  <w:style w:type="paragraph" w:styleId="BalloonText">
    <w:name w:val="Balloon Text"/>
    <w:basedOn w:val="Normal"/>
    <w:link w:val="BalloonTextChar"/>
    <w:uiPriority w:val="99"/>
    <w:unhideWhenUsed/>
    <w:rsid w:val="007E6F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E6F68"/>
    <w:rPr>
      <w:rFonts w:ascii="Tahoma" w:hAnsi="Tahoma" w:cs="Tahoma"/>
      <w:sz w:val="16"/>
      <w:szCs w:val="16"/>
    </w:rPr>
  </w:style>
  <w:style w:type="table" w:styleId="TableGrid">
    <w:name w:val="Table Grid"/>
    <w:basedOn w:val="TableNormal"/>
    <w:uiPriority w:val="59"/>
    <w:rsid w:val="007E6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E6F68"/>
    <w:rPr>
      <w:b/>
      <w:sz w:val="28"/>
      <w:szCs w:val="32"/>
    </w:rPr>
  </w:style>
  <w:style w:type="paragraph" w:customStyle="1" w:styleId="LegislationMadeUnder">
    <w:name w:val="LegislationMadeUnder"/>
    <w:basedOn w:val="OPCParaBase"/>
    <w:next w:val="Normal"/>
    <w:rsid w:val="007E6F68"/>
    <w:rPr>
      <w:i/>
      <w:sz w:val="32"/>
      <w:szCs w:val="32"/>
    </w:rPr>
  </w:style>
  <w:style w:type="paragraph" w:customStyle="1" w:styleId="SignCoverPageEnd">
    <w:name w:val="SignCoverPageEnd"/>
    <w:basedOn w:val="OPCParaBase"/>
    <w:next w:val="Normal"/>
    <w:rsid w:val="007E6F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E6F68"/>
    <w:pPr>
      <w:pBdr>
        <w:top w:val="single" w:sz="4" w:space="1" w:color="auto"/>
      </w:pBdr>
      <w:spacing w:before="360"/>
      <w:ind w:right="397"/>
      <w:jc w:val="both"/>
    </w:pPr>
  </w:style>
  <w:style w:type="paragraph" w:customStyle="1" w:styleId="NotesHeading1">
    <w:name w:val="NotesHeading 1"/>
    <w:basedOn w:val="OPCParaBase"/>
    <w:next w:val="Normal"/>
    <w:rsid w:val="007E6F68"/>
    <w:rPr>
      <w:b/>
      <w:sz w:val="28"/>
      <w:szCs w:val="28"/>
    </w:rPr>
  </w:style>
  <w:style w:type="paragraph" w:customStyle="1" w:styleId="NotesHeading2">
    <w:name w:val="NotesHeading 2"/>
    <w:basedOn w:val="OPCParaBase"/>
    <w:next w:val="Normal"/>
    <w:rsid w:val="007E6F68"/>
    <w:rPr>
      <w:b/>
      <w:sz w:val="28"/>
      <w:szCs w:val="28"/>
    </w:rPr>
  </w:style>
  <w:style w:type="paragraph" w:customStyle="1" w:styleId="ENotesText">
    <w:name w:val="ENotesText"/>
    <w:aliases w:val="Ent"/>
    <w:basedOn w:val="OPCParaBase"/>
    <w:next w:val="Normal"/>
    <w:rsid w:val="007E6F68"/>
    <w:pPr>
      <w:spacing w:before="120"/>
    </w:pPr>
  </w:style>
  <w:style w:type="paragraph" w:customStyle="1" w:styleId="CompiledActNo">
    <w:name w:val="CompiledActNo"/>
    <w:basedOn w:val="OPCParaBase"/>
    <w:next w:val="Normal"/>
    <w:rsid w:val="007E6F68"/>
    <w:rPr>
      <w:b/>
      <w:sz w:val="24"/>
      <w:szCs w:val="24"/>
    </w:rPr>
  </w:style>
  <w:style w:type="paragraph" w:customStyle="1" w:styleId="CompiledMadeUnder">
    <w:name w:val="CompiledMadeUnder"/>
    <w:basedOn w:val="OPCParaBase"/>
    <w:next w:val="Normal"/>
    <w:rsid w:val="007E6F68"/>
    <w:rPr>
      <w:i/>
      <w:sz w:val="24"/>
      <w:szCs w:val="24"/>
    </w:rPr>
  </w:style>
  <w:style w:type="paragraph" w:customStyle="1" w:styleId="Paragraphsub-sub-sub">
    <w:name w:val="Paragraph(sub-sub-sub)"/>
    <w:aliases w:val="aaaa"/>
    <w:basedOn w:val="OPCParaBase"/>
    <w:rsid w:val="007E6F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E6F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E6F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E6F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E6F6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E6F68"/>
    <w:pPr>
      <w:spacing w:before="60" w:line="240" w:lineRule="auto"/>
    </w:pPr>
    <w:rPr>
      <w:rFonts w:cs="Arial"/>
      <w:sz w:val="20"/>
      <w:szCs w:val="22"/>
    </w:rPr>
  </w:style>
  <w:style w:type="paragraph" w:customStyle="1" w:styleId="NoteToSubpara">
    <w:name w:val="NoteToSubpara"/>
    <w:aliases w:val="nts"/>
    <w:basedOn w:val="OPCParaBase"/>
    <w:rsid w:val="007E6F68"/>
    <w:pPr>
      <w:spacing w:before="40" w:line="198" w:lineRule="exact"/>
      <w:ind w:left="2835" w:hanging="709"/>
    </w:pPr>
    <w:rPr>
      <w:sz w:val="18"/>
    </w:rPr>
  </w:style>
  <w:style w:type="paragraph" w:customStyle="1" w:styleId="ENoteTableHeading">
    <w:name w:val="ENoteTableHeading"/>
    <w:aliases w:val="enth"/>
    <w:basedOn w:val="OPCParaBase"/>
    <w:rsid w:val="007E6F68"/>
    <w:pPr>
      <w:keepNext/>
      <w:spacing w:before="60" w:line="240" w:lineRule="atLeast"/>
    </w:pPr>
    <w:rPr>
      <w:rFonts w:ascii="Arial" w:hAnsi="Arial"/>
      <w:b/>
      <w:sz w:val="16"/>
    </w:rPr>
  </w:style>
  <w:style w:type="paragraph" w:customStyle="1" w:styleId="ENoteTTi">
    <w:name w:val="ENoteTTi"/>
    <w:aliases w:val="entti"/>
    <w:basedOn w:val="OPCParaBase"/>
    <w:rsid w:val="007E6F68"/>
    <w:pPr>
      <w:keepNext/>
      <w:spacing w:before="60" w:line="240" w:lineRule="atLeast"/>
      <w:ind w:left="170"/>
    </w:pPr>
    <w:rPr>
      <w:sz w:val="16"/>
    </w:rPr>
  </w:style>
  <w:style w:type="paragraph" w:customStyle="1" w:styleId="ENotesHeading1">
    <w:name w:val="ENotesHeading 1"/>
    <w:aliases w:val="Enh1"/>
    <w:basedOn w:val="OPCParaBase"/>
    <w:next w:val="Normal"/>
    <w:rsid w:val="007E6F68"/>
    <w:pPr>
      <w:spacing w:before="120"/>
      <w:outlineLvl w:val="1"/>
    </w:pPr>
    <w:rPr>
      <w:b/>
      <w:sz w:val="28"/>
      <w:szCs w:val="28"/>
    </w:rPr>
  </w:style>
  <w:style w:type="paragraph" w:customStyle="1" w:styleId="ENotesHeading2">
    <w:name w:val="ENotesHeading 2"/>
    <w:aliases w:val="Enh2"/>
    <w:basedOn w:val="OPCParaBase"/>
    <w:next w:val="Normal"/>
    <w:rsid w:val="007E6F68"/>
    <w:pPr>
      <w:spacing w:before="120" w:after="120"/>
      <w:outlineLvl w:val="2"/>
    </w:pPr>
    <w:rPr>
      <w:b/>
      <w:sz w:val="24"/>
      <w:szCs w:val="28"/>
    </w:rPr>
  </w:style>
  <w:style w:type="paragraph" w:customStyle="1" w:styleId="ENoteTTIndentHeading">
    <w:name w:val="ENoteTTIndentHeading"/>
    <w:aliases w:val="enTTHi"/>
    <w:basedOn w:val="OPCParaBase"/>
    <w:rsid w:val="007E6F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E6F68"/>
    <w:pPr>
      <w:spacing w:before="60" w:line="240" w:lineRule="atLeast"/>
    </w:pPr>
    <w:rPr>
      <w:sz w:val="16"/>
    </w:rPr>
  </w:style>
  <w:style w:type="paragraph" w:customStyle="1" w:styleId="MadeunderText">
    <w:name w:val="MadeunderText"/>
    <w:basedOn w:val="OPCParaBase"/>
    <w:next w:val="Normal"/>
    <w:rsid w:val="007E6F68"/>
    <w:pPr>
      <w:spacing w:before="240"/>
    </w:pPr>
    <w:rPr>
      <w:sz w:val="24"/>
      <w:szCs w:val="24"/>
    </w:rPr>
  </w:style>
  <w:style w:type="paragraph" w:customStyle="1" w:styleId="ENotesHeading3">
    <w:name w:val="ENotesHeading 3"/>
    <w:aliases w:val="Enh3"/>
    <w:basedOn w:val="OPCParaBase"/>
    <w:next w:val="Normal"/>
    <w:rsid w:val="007E6F68"/>
    <w:pPr>
      <w:keepNext/>
      <w:spacing w:before="120" w:line="240" w:lineRule="auto"/>
      <w:outlineLvl w:val="4"/>
    </w:pPr>
    <w:rPr>
      <w:b/>
      <w:szCs w:val="24"/>
    </w:rPr>
  </w:style>
  <w:style w:type="character" w:customStyle="1" w:styleId="CharSubPartTextCASA">
    <w:name w:val="CharSubPartText(CASA)"/>
    <w:basedOn w:val="OPCCharBase"/>
    <w:uiPriority w:val="1"/>
    <w:rsid w:val="007E6F68"/>
  </w:style>
  <w:style w:type="character" w:customStyle="1" w:styleId="CharSubPartNoCASA">
    <w:name w:val="CharSubPartNo(CASA)"/>
    <w:basedOn w:val="OPCCharBase"/>
    <w:uiPriority w:val="1"/>
    <w:rsid w:val="007E6F68"/>
  </w:style>
  <w:style w:type="paragraph" w:customStyle="1" w:styleId="ENoteTTIndentHeadingSub">
    <w:name w:val="ENoteTTIndentHeadingSub"/>
    <w:aliases w:val="enTTHis"/>
    <w:basedOn w:val="OPCParaBase"/>
    <w:rsid w:val="007E6F68"/>
    <w:pPr>
      <w:keepNext/>
      <w:spacing w:before="60" w:line="240" w:lineRule="atLeast"/>
      <w:ind w:left="340"/>
    </w:pPr>
    <w:rPr>
      <w:b/>
      <w:sz w:val="16"/>
    </w:rPr>
  </w:style>
  <w:style w:type="paragraph" w:customStyle="1" w:styleId="ENoteTTiSub">
    <w:name w:val="ENoteTTiSub"/>
    <w:aliases w:val="enttis"/>
    <w:basedOn w:val="OPCParaBase"/>
    <w:rsid w:val="007E6F68"/>
    <w:pPr>
      <w:keepNext/>
      <w:spacing w:before="60" w:line="240" w:lineRule="atLeast"/>
      <w:ind w:left="340"/>
    </w:pPr>
    <w:rPr>
      <w:sz w:val="16"/>
    </w:rPr>
  </w:style>
  <w:style w:type="paragraph" w:customStyle="1" w:styleId="SubDivisionMigration">
    <w:name w:val="SubDivisionMigration"/>
    <w:aliases w:val="sdm"/>
    <w:basedOn w:val="OPCParaBase"/>
    <w:rsid w:val="007E6F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E6F6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E6F68"/>
    <w:pPr>
      <w:spacing w:before="122" w:line="240" w:lineRule="auto"/>
      <w:ind w:left="1985" w:hanging="851"/>
    </w:pPr>
    <w:rPr>
      <w:sz w:val="18"/>
    </w:rPr>
  </w:style>
  <w:style w:type="paragraph" w:customStyle="1" w:styleId="FreeForm">
    <w:name w:val="FreeForm"/>
    <w:rsid w:val="007E6F68"/>
    <w:rPr>
      <w:rFonts w:ascii="Arial" w:hAnsi="Arial"/>
      <w:sz w:val="22"/>
    </w:rPr>
  </w:style>
  <w:style w:type="paragraph" w:customStyle="1" w:styleId="SOText">
    <w:name w:val="SO Text"/>
    <w:aliases w:val="sot"/>
    <w:link w:val="SOTextChar"/>
    <w:rsid w:val="007E6F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E6F68"/>
    <w:rPr>
      <w:sz w:val="22"/>
    </w:rPr>
  </w:style>
  <w:style w:type="paragraph" w:customStyle="1" w:styleId="SOTextNote">
    <w:name w:val="SO TextNote"/>
    <w:aliases w:val="sont"/>
    <w:basedOn w:val="SOText"/>
    <w:qFormat/>
    <w:rsid w:val="007E6F68"/>
    <w:pPr>
      <w:spacing w:before="122" w:line="198" w:lineRule="exact"/>
      <w:ind w:left="1843" w:hanging="709"/>
    </w:pPr>
    <w:rPr>
      <w:sz w:val="18"/>
    </w:rPr>
  </w:style>
  <w:style w:type="paragraph" w:customStyle="1" w:styleId="SOPara">
    <w:name w:val="SO Para"/>
    <w:aliases w:val="soa"/>
    <w:basedOn w:val="SOText"/>
    <w:link w:val="SOParaChar"/>
    <w:qFormat/>
    <w:rsid w:val="007E6F68"/>
    <w:pPr>
      <w:tabs>
        <w:tab w:val="right" w:pos="1786"/>
      </w:tabs>
      <w:spacing w:before="40"/>
      <w:ind w:left="2070" w:hanging="936"/>
    </w:pPr>
  </w:style>
  <w:style w:type="character" w:customStyle="1" w:styleId="SOParaChar">
    <w:name w:val="SO Para Char"/>
    <w:aliases w:val="soa Char"/>
    <w:basedOn w:val="DefaultParagraphFont"/>
    <w:link w:val="SOPara"/>
    <w:rsid w:val="007E6F68"/>
    <w:rPr>
      <w:sz w:val="22"/>
    </w:rPr>
  </w:style>
  <w:style w:type="paragraph" w:customStyle="1" w:styleId="FileName">
    <w:name w:val="FileName"/>
    <w:basedOn w:val="Normal"/>
    <w:rsid w:val="007E6F68"/>
  </w:style>
  <w:style w:type="paragraph" w:customStyle="1" w:styleId="TableHeading">
    <w:name w:val="TableHeading"/>
    <w:aliases w:val="th"/>
    <w:basedOn w:val="OPCParaBase"/>
    <w:next w:val="Tabletext"/>
    <w:rsid w:val="007E6F68"/>
    <w:pPr>
      <w:keepNext/>
      <w:spacing w:before="60" w:line="240" w:lineRule="atLeast"/>
    </w:pPr>
    <w:rPr>
      <w:b/>
      <w:sz w:val="20"/>
    </w:rPr>
  </w:style>
  <w:style w:type="paragraph" w:customStyle="1" w:styleId="SOHeadBold">
    <w:name w:val="SO HeadBold"/>
    <w:aliases w:val="sohb"/>
    <w:basedOn w:val="SOText"/>
    <w:next w:val="SOText"/>
    <w:link w:val="SOHeadBoldChar"/>
    <w:qFormat/>
    <w:rsid w:val="007E6F68"/>
    <w:rPr>
      <w:b/>
    </w:rPr>
  </w:style>
  <w:style w:type="character" w:customStyle="1" w:styleId="SOHeadBoldChar">
    <w:name w:val="SO HeadBold Char"/>
    <w:aliases w:val="sohb Char"/>
    <w:basedOn w:val="DefaultParagraphFont"/>
    <w:link w:val="SOHeadBold"/>
    <w:rsid w:val="007E6F68"/>
    <w:rPr>
      <w:b/>
      <w:sz w:val="22"/>
    </w:rPr>
  </w:style>
  <w:style w:type="paragraph" w:customStyle="1" w:styleId="SOHeadItalic">
    <w:name w:val="SO HeadItalic"/>
    <w:aliases w:val="sohi"/>
    <w:basedOn w:val="SOText"/>
    <w:next w:val="SOText"/>
    <w:link w:val="SOHeadItalicChar"/>
    <w:qFormat/>
    <w:rsid w:val="007E6F68"/>
    <w:rPr>
      <w:i/>
    </w:rPr>
  </w:style>
  <w:style w:type="character" w:customStyle="1" w:styleId="SOHeadItalicChar">
    <w:name w:val="SO HeadItalic Char"/>
    <w:aliases w:val="sohi Char"/>
    <w:basedOn w:val="DefaultParagraphFont"/>
    <w:link w:val="SOHeadItalic"/>
    <w:rsid w:val="007E6F68"/>
    <w:rPr>
      <w:i/>
      <w:sz w:val="22"/>
    </w:rPr>
  </w:style>
  <w:style w:type="paragraph" w:customStyle="1" w:styleId="SOBullet">
    <w:name w:val="SO Bullet"/>
    <w:aliases w:val="sotb"/>
    <w:basedOn w:val="SOText"/>
    <w:link w:val="SOBulletChar"/>
    <w:qFormat/>
    <w:rsid w:val="007E6F68"/>
    <w:pPr>
      <w:ind w:left="1559" w:hanging="425"/>
    </w:pPr>
  </w:style>
  <w:style w:type="character" w:customStyle="1" w:styleId="SOBulletChar">
    <w:name w:val="SO Bullet Char"/>
    <w:aliases w:val="sotb Char"/>
    <w:basedOn w:val="DefaultParagraphFont"/>
    <w:link w:val="SOBullet"/>
    <w:rsid w:val="007E6F68"/>
    <w:rPr>
      <w:sz w:val="22"/>
    </w:rPr>
  </w:style>
  <w:style w:type="paragraph" w:customStyle="1" w:styleId="SOBulletNote">
    <w:name w:val="SO BulletNote"/>
    <w:aliases w:val="sonb"/>
    <w:basedOn w:val="SOTextNote"/>
    <w:link w:val="SOBulletNoteChar"/>
    <w:qFormat/>
    <w:rsid w:val="007E6F68"/>
    <w:pPr>
      <w:tabs>
        <w:tab w:val="left" w:pos="1560"/>
      </w:tabs>
      <w:ind w:left="2268" w:hanging="1134"/>
    </w:pPr>
  </w:style>
  <w:style w:type="character" w:customStyle="1" w:styleId="SOBulletNoteChar">
    <w:name w:val="SO BulletNote Char"/>
    <w:aliases w:val="sonb Char"/>
    <w:basedOn w:val="DefaultParagraphFont"/>
    <w:link w:val="SOBulletNote"/>
    <w:rsid w:val="007E6F68"/>
    <w:rPr>
      <w:sz w:val="18"/>
    </w:rPr>
  </w:style>
  <w:style w:type="paragraph" w:customStyle="1" w:styleId="SOText2">
    <w:name w:val="SO Text2"/>
    <w:aliases w:val="sot2"/>
    <w:basedOn w:val="Normal"/>
    <w:next w:val="SOText"/>
    <w:link w:val="SOText2Char"/>
    <w:rsid w:val="007E6F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E6F68"/>
    <w:rPr>
      <w:sz w:val="22"/>
    </w:rPr>
  </w:style>
  <w:style w:type="paragraph" w:customStyle="1" w:styleId="SubPartCASA">
    <w:name w:val="SubPart(CASA)"/>
    <w:aliases w:val="csp"/>
    <w:basedOn w:val="OPCParaBase"/>
    <w:next w:val="ActHead3"/>
    <w:rsid w:val="007E6F6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E6F68"/>
    <w:rPr>
      <w:rFonts w:eastAsia="Times New Roman" w:cs="Times New Roman"/>
      <w:sz w:val="22"/>
      <w:lang w:eastAsia="en-AU"/>
    </w:rPr>
  </w:style>
  <w:style w:type="character" w:customStyle="1" w:styleId="notetextChar">
    <w:name w:val="note(text) Char"/>
    <w:aliases w:val="n Char"/>
    <w:basedOn w:val="DefaultParagraphFont"/>
    <w:link w:val="notetext"/>
    <w:rsid w:val="007E6F68"/>
    <w:rPr>
      <w:rFonts w:eastAsia="Times New Roman" w:cs="Times New Roman"/>
      <w:sz w:val="18"/>
      <w:lang w:eastAsia="en-AU"/>
    </w:rPr>
  </w:style>
  <w:style w:type="character" w:customStyle="1" w:styleId="Heading1Char">
    <w:name w:val="Heading 1 Char"/>
    <w:basedOn w:val="DefaultParagraphFont"/>
    <w:link w:val="Heading1"/>
    <w:uiPriority w:val="9"/>
    <w:rsid w:val="007E6F6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6F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6F6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E6F6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E6F6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E6F6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E6F6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E6F6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E6F6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E6F68"/>
  </w:style>
  <w:style w:type="character" w:customStyle="1" w:styleId="charlegsubtitle1">
    <w:name w:val="charlegsubtitle1"/>
    <w:basedOn w:val="DefaultParagraphFont"/>
    <w:rsid w:val="007E6F68"/>
    <w:rPr>
      <w:rFonts w:ascii="Arial" w:hAnsi="Arial" w:cs="Arial" w:hint="default"/>
      <w:b/>
      <w:bCs/>
      <w:sz w:val="28"/>
      <w:szCs w:val="28"/>
    </w:rPr>
  </w:style>
  <w:style w:type="paragraph" w:styleId="Index1">
    <w:name w:val="index 1"/>
    <w:basedOn w:val="Normal"/>
    <w:next w:val="Normal"/>
    <w:autoRedefine/>
    <w:rsid w:val="007E6F68"/>
    <w:pPr>
      <w:ind w:left="240" w:hanging="240"/>
    </w:pPr>
  </w:style>
  <w:style w:type="paragraph" w:styleId="Index2">
    <w:name w:val="index 2"/>
    <w:basedOn w:val="Normal"/>
    <w:next w:val="Normal"/>
    <w:autoRedefine/>
    <w:rsid w:val="007E6F68"/>
    <w:pPr>
      <w:ind w:left="480" w:hanging="240"/>
    </w:pPr>
  </w:style>
  <w:style w:type="paragraph" w:styleId="Index3">
    <w:name w:val="index 3"/>
    <w:basedOn w:val="Normal"/>
    <w:next w:val="Normal"/>
    <w:autoRedefine/>
    <w:rsid w:val="007E6F68"/>
    <w:pPr>
      <w:ind w:left="720" w:hanging="240"/>
    </w:pPr>
  </w:style>
  <w:style w:type="paragraph" w:styleId="Index4">
    <w:name w:val="index 4"/>
    <w:basedOn w:val="Normal"/>
    <w:next w:val="Normal"/>
    <w:autoRedefine/>
    <w:rsid w:val="007E6F68"/>
    <w:pPr>
      <w:ind w:left="960" w:hanging="240"/>
    </w:pPr>
  </w:style>
  <w:style w:type="paragraph" w:styleId="Index5">
    <w:name w:val="index 5"/>
    <w:basedOn w:val="Normal"/>
    <w:next w:val="Normal"/>
    <w:autoRedefine/>
    <w:rsid w:val="007E6F68"/>
    <w:pPr>
      <w:ind w:left="1200" w:hanging="240"/>
    </w:pPr>
  </w:style>
  <w:style w:type="paragraph" w:styleId="Index6">
    <w:name w:val="index 6"/>
    <w:basedOn w:val="Normal"/>
    <w:next w:val="Normal"/>
    <w:autoRedefine/>
    <w:rsid w:val="007E6F68"/>
    <w:pPr>
      <w:ind w:left="1440" w:hanging="240"/>
    </w:pPr>
  </w:style>
  <w:style w:type="paragraph" w:styleId="Index7">
    <w:name w:val="index 7"/>
    <w:basedOn w:val="Normal"/>
    <w:next w:val="Normal"/>
    <w:autoRedefine/>
    <w:rsid w:val="007E6F68"/>
    <w:pPr>
      <w:ind w:left="1680" w:hanging="240"/>
    </w:pPr>
  </w:style>
  <w:style w:type="paragraph" w:styleId="Index8">
    <w:name w:val="index 8"/>
    <w:basedOn w:val="Normal"/>
    <w:next w:val="Normal"/>
    <w:autoRedefine/>
    <w:rsid w:val="007E6F68"/>
    <w:pPr>
      <w:ind w:left="1920" w:hanging="240"/>
    </w:pPr>
  </w:style>
  <w:style w:type="paragraph" w:styleId="Index9">
    <w:name w:val="index 9"/>
    <w:basedOn w:val="Normal"/>
    <w:next w:val="Normal"/>
    <w:autoRedefine/>
    <w:rsid w:val="007E6F68"/>
    <w:pPr>
      <w:ind w:left="2160" w:hanging="240"/>
    </w:pPr>
  </w:style>
  <w:style w:type="paragraph" w:styleId="NormalIndent">
    <w:name w:val="Normal Indent"/>
    <w:basedOn w:val="Normal"/>
    <w:rsid w:val="007E6F68"/>
    <w:pPr>
      <w:ind w:left="720"/>
    </w:pPr>
  </w:style>
  <w:style w:type="paragraph" w:styleId="FootnoteText">
    <w:name w:val="footnote text"/>
    <w:basedOn w:val="Normal"/>
    <w:link w:val="FootnoteTextChar"/>
    <w:rsid w:val="007E6F68"/>
    <w:rPr>
      <w:sz w:val="20"/>
    </w:rPr>
  </w:style>
  <w:style w:type="character" w:customStyle="1" w:styleId="FootnoteTextChar">
    <w:name w:val="Footnote Text Char"/>
    <w:basedOn w:val="DefaultParagraphFont"/>
    <w:link w:val="FootnoteText"/>
    <w:rsid w:val="007E6F68"/>
  </w:style>
  <w:style w:type="paragraph" w:styleId="CommentText">
    <w:name w:val="annotation text"/>
    <w:basedOn w:val="Normal"/>
    <w:link w:val="CommentTextChar"/>
    <w:rsid w:val="007E6F68"/>
    <w:rPr>
      <w:sz w:val="20"/>
    </w:rPr>
  </w:style>
  <w:style w:type="character" w:customStyle="1" w:styleId="CommentTextChar">
    <w:name w:val="Comment Text Char"/>
    <w:basedOn w:val="DefaultParagraphFont"/>
    <w:link w:val="CommentText"/>
    <w:rsid w:val="007E6F68"/>
  </w:style>
  <w:style w:type="paragraph" w:styleId="IndexHeading">
    <w:name w:val="index heading"/>
    <w:basedOn w:val="Normal"/>
    <w:next w:val="Index1"/>
    <w:rsid w:val="007E6F68"/>
    <w:rPr>
      <w:rFonts w:ascii="Arial" w:hAnsi="Arial" w:cs="Arial"/>
      <w:b/>
      <w:bCs/>
    </w:rPr>
  </w:style>
  <w:style w:type="paragraph" w:styleId="Caption">
    <w:name w:val="caption"/>
    <w:basedOn w:val="Normal"/>
    <w:next w:val="Normal"/>
    <w:qFormat/>
    <w:rsid w:val="007E6F68"/>
    <w:pPr>
      <w:spacing w:before="120" w:after="120"/>
    </w:pPr>
    <w:rPr>
      <w:b/>
      <w:bCs/>
      <w:sz w:val="20"/>
    </w:rPr>
  </w:style>
  <w:style w:type="paragraph" w:styleId="TableofFigures">
    <w:name w:val="table of figures"/>
    <w:basedOn w:val="Normal"/>
    <w:next w:val="Normal"/>
    <w:rsid w:val="007E6F68"/>
    <w:pPr>
      <w:ind w:left="480" w:hanging="480"/>
    </w:pPr>
  </w:style>
  <w:style w:type="paragraph" w:styleId="EnvelopeAddress">
    <w:name w:val="envelope address"/>
    <w:basedOn w:val="Normal"/>
    <w:rsid w:val="007E6F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E6F68"/>
    <w:rPr>
      <w:rFonts w:ascii="Arial" w:hAnsi="Arial" w:cs="Arial"/>
      <w:sz w:val="20"/>
    </w:rPr>
  </w:style>
  <w:style w:type="character" w:styleId="FootnoteReference">
    <w:name w:val="footnote reference"/>
    <w:basedOn w:val="DefaultParagraphFont"/>
    <w:rsid w:val="007E6F68"/>
    <w:rPr>
      <w:rFonts w:ascii="Times New Roman" w:hAnsi="Times New Roman"/>
      <w:sz w:val="20"/>
      <w:vertAlign w:val="superscript"/>
    </w:rPr>
  </w:style>
  <w:style w:type="character" w:styleId="CommentReference">
    <w:name w:val="annotation reference"/>
    <w:basedOn w:val="DefaultParagraphFont"/>
    <w:rsid w:val="007E6F68"/>
    <w:rPr>
      <w:sz w:val="16"/>
      <w:szCs w:val="16"/>
    </w:rPr>
  </w:style>
  <w:style w:type="character" w:styleId="PageNumber">
    <w:name w:val="page number"/>
    <w:basedOn w:val="DefaultParagraphFont"/>
    <w:rsid w:val="007E6F68"/>
  </w:style>
  <w:style w:type="character" w:styleId="EndnoteReference">
    <w:name w:val="endnote reference"/>
    <w:basedOn w:val="DefaultParagraphFont"/>
    <w:rsid w:val="007E6F68"/>
    <w:rPr>
      <w:vertAlign w:val="superscript"/>
    </w:rPr>
  </w:style>
  <w:style w:type="paragraph" w:styleId="EndnoteText">
    <w:name w:val="endnote text"/>
    <w:basedOn w:val="Normal"/>
    <w:link w:val="EndnoteTextChar"/>
    <w:rsid w:val="007E6F68"/>
    <w:rPr>
      <w:sz w:val="20"/>
    </w:rPr>
  </w:style>
  <w:style w:type="character" w:customStyle="1" w:styleId="EndnoteTextChar">
    <w:name w:val="Endnote Text Char"/>
    <w:basedOn w:val="DefaultParagraphFont"/>
    <w:link w:val="EndnoteText"/>
    <w:rsid w:val="007E6F68"/>
  </w:style>
  <w:style w:type="paragraph" w:styleId="TableofAuthorities">
    <w:name w:val="table of authorities"/>
    <w:basedOn w:val="Normal"/>
    <w:next w:val="Normal"/>
    <w:rsid w:val="007E6F68"/>
    <w:pPr>
      <w:ind w:left="240" w:hanging="240"/>
    </w:pPr>
  </w:style>
  <w:style w:type="paragraph" w:styleId="MacroText">
    <w:name w:val="macro"/>
    <w:link w:val="MacroTextChar"/>
    <w:rsid w:val="007E6F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E6F68"/>
    <w:rPr>
      <w:rFonts w:ascii="Courier New" w:eastAsia="Times New Roman" w:hAnsi="Courier New" w:cs="Courier New"/>
      <w:lang w:eastAsia="en-AU"/>
    </w:rPr>
  </w:style>
  <w:style w:type="paragraph" w:styleId="TOAHeading">
    <w:name w:val="toa heading"/>
    <w:basedOn w:val="Normal"/>
    <w:next w:val="Normal"/>
    <w:rsid w:val="007E6F68"/>
    <w:pPr>
      <w:spacing w:before="120"/>
    </w:pPr>
    <w:rPr>
      <w:rFonts w:ascii="Arial" w:hAnsi="Arial" w:cs="Arial"/>
      <w:b/>
      <w:bCs/>
    </w:rPr>
  </w:style>
  <w:style w:type="paragraph" w:styleId="List">
    <w:name w:val="List"/>
    <w:basedOn w:val="Normal"/>
    <w:rsid w:val="007E6F68"/>
    <w:pPr>
      <w:ind w:left="283" w:hanging="283"/>
    </w:pPr>
  </w:style>
  <w:style w:type="paragraph" w:styleId="ListBullet">
    <w:name w:val="List Bullet"/>
    <w:basedOn w:val="Normal"/>
    <w:autoRedefine/>
    <w:rsid w:val="007E6F68"/>
    <w:pPr>
      <w:tabs>
        <w:tab w:val="num" w:pos="360"/>
      </w:tabs>
      <w:ind w:left="360" w:hanging="360"/>
    </w:pPr>
  </w:style>
  <w:style w:type="paragraph" w:styleId="ListNumber">
    <w:name w:val="List Number"/>
    <w:basedOn w:val="Normal"/>
    <w:rsid w:val="007E6F68"/>
    <w:pPr>
      <w:tabs>
        <w:tab w:val="num" w:pos="360"/>
      </w:tabs>
      <w:ind w:left="360" w:hanging="360"/>
    </w:pPr>
  </w:style>
  <w:style w:type="paragraph" w:styleId="List2">
    <w:name w:val="List 2"/>
    <w:basedOn w:val="Normal"/>
    <w:rsid w:val="007E6F68"/>
    <w:pPr>
      <w:ind w:left="566" w:hanging="283"/>
    </w:pPr>
  </w:style>
  <w:style w:type="paragraph" w:styleId="List3">
    <w:name w:val="List 3"/>
    <w:basedOn w:val="Normal"/>
    <w:rsid w:val="007E6F68"/>
    <w:pPr>
      <w:ind w:left="849" w:hanging="283"/>
    </w:pPr>
  </w:style>
  <w:style w:type="paragraph" w:styleId="List4">
    <w:name w:val="List 4"/>
    <w:basedOn w:val="Normal"/>
    <w:rsid w:val="007E6F68"/>
    <w:pPr>
      <w:ind w:left="1132" w:hanging="283"/>
    </w:pPr>
  </w:style>
  <w:style w:type="paragraph" w:styleId="List5">
    <w:name w:val="List 5"/>
    <w:basedOn w:val="Normal"/>
    <w:rsid w:val="007E6F68"/>
    <w:pPr>
      <w:ind w:left="1415" w:hanging="283"/>
    </w:pPr>
  </w:style>
  <w:style w:type="paragraph" w:styleId="ListBullet2">
    <w:name w:val="List Bullet 2"/>
    <w:basedOn w:val="Normal"/>
    <w:autoRedefine/>
    <w:rsid w:val="007E6F68"/>
    <w:pPr>
      <w:tabs>
        <w:tab w:val="num" w:pos="360"/>
      </w:tabs>
    </w:pPr>
  </w:style>
  <w:style w:type="paragraph" w:styleId="ListBullet3">
    <w:name w:val="List Bullet 3"/>
    <w:basedOn w:val="Normal"/>
    <w:autoRedefine/>
    <w:rsid w:val="007E6F68"/>
    <w:pPr>
      <w:tabs>
        <w:tab w:val="num" w:pos="926"/>
      </w:tabs>
      <w:ind w:left="926" w:hanging="360"/>
    </w:pPr>
  </w:style>
  <w:style w:type="paragraph" w:styleId="ListBullet4">
    <w:name w:val="List Bullet 4"/>
    <w:basedOn w:val="Normal"/>
    <w:autoRedefine/>
    <w:rsid w:val="007E6F68"/>
    <w:pPr>
      <w:tabs>
        <w:tab w:val="num" w:pos="1209"/>
      </w:tabs>
      <w:ind w:left="1209" w:hanging="360"/>
    </w:pPr>
  </w:style>
  <w:style w:type="paragraph" w:styleId="ListBullet5">
    <w:name w:val="List Bullet 5"/>
    <w:basedOn w:val="Normal"/>
    <w:autoRedefine/>
    <w:rsid w:val="007E6F68"/>
    <w:pPr>
      <w:tabs>
        <w:tab w:val="num" w:pos="1492"/>
      </w:tabs>
      <w:ind w:left="1492" w:hanging="360"/>
    </w:pPr>
  </w:style>
  <w:style w:type="paragraph" w:styleId="ListNumber2">
    <w:name w:val="List Number 2"/>
    <w:basedOn w:val="Normal"/>
    <w:rsid w:val="007E6F68"/>
    <w:pPr>
      <w:tabs>
        <w:tab w:val="num" w:pos="643"/>
      </w:tabs>
      <w:ind w:left="643" w:hanging="360"/>
    </w:pPr>
  </w:style>
  <w:style w:type="paragraph" w:styleId="ListNumber3">
    <w:name w:val="List Number 3"/>
    <w:basedOn w:val="Normal"/>
    <w:rsid w:val="007E6F68"/>
    <w:pPr>
      <w:tabs>
        <w:tab w:val="num" w:pos="926"/>
      </w:tabs>
      <w:ind w:left="926" w:hanging="360"/>
    </w:pPr>
  </w:style>
  <w:style w:type="paragraph" w:styleId="ListNumber4">
    <w:name w:val="List Number 4"/>
    <w:basedOn w:val="Normal"/>
    <w:rsid w:val="007E6F68"/>
    <w:pPr>
      <w:tabs>
        <w:tab w:val="num" w:pos="1209"/>
      </w:tabs>
      <w:ind w:left="1209" w:hanging="360"/>
    </w:pPr>
  </w:style>
  <w:style w:type="paragraph" w:styleId="ListNumber5">
    <w:name w:val="List Number 5"/>
    <w:basedOn w:val="Normal"/>
    <w:rsid w:val="007E6F68"/>
    <w:pPr>
      <w:tabs>
        <w:tab w:val="num" w:pos="1492"/>
      </w:tabs>
      <w:ind w:left="1492" w:hanging="360"/>
    </w:pPr>
  </w:style>
  <w:style w:type="paragraph" w:styleId="Title">
    <w:name w:val="Title"/>
    <w:basedOn w:val="Normal"/>
    <w:link w:val="TitleChar"/>
    <w:qFormat/>
    <w:rsid w:val="007E6F68"/>
    <w:pPr>
      <w:spacing w:before="240" w:after="60"/>
    </w:pPr>
    <w:rPr>
      <w:rFonts w:ascii="Arial" w:hAnsi="Arial" w:cs="Arial"/>
      <w:b/>
      <w:bCs/>
      <w:sz w:val="40"/>
      <w:szCs w:val="40"/>
    </w:rPr>
  </w:style>
  <w:style w:type="character" w:customStyle="1" w:styleId="TitleChar">
    <w:name w:val="Title Char"/>
    <w:basedOn w:val="DefaultParagraphFont"/>
    <w:link w:val="Title"/>
    <w:rsid w:val="007E6F68"/>
    <w:rPr>
      <w:rFonts w:ascii="Arial" w:hAnsi="Arial" w:cs="Arial"/>
      <w:b/>
      <w:bCs/>
      <w:sz w:val="40"/>
      <w:szCs w:val="40"/>
    </w:rPr>
  </w:style>
  <w:style w:type="paragraph" w:styleId="Closing">
    <w:name w:val="Closing"/>
    <w:basedOn w:val="Normal"/>
    <w:link w:val="ClosingChar"/>
    <w:rsid w:val="007E6F68"/>
    <w:pPr>
      <w:ind w:left="4252"/>
    </w:pPr>
  </w:style>
  <w:style w:type="character" w:customStyle="1" w:styleId="ClosingChar">
    <w:name w:val="Closing Char"/>
    <w:basedOn w:val="DefaultParagraphFont"/>
    <w:link w:val="Closing"/>
    <w:rsid w:val="007E6F68"/>
    <w:rPr>
      <w:sz w:val="22"/>
    </w:rPr>
  </w:style>
  <w:style w:type="paragraph" w:styleId="Signature">
    <w:name w:val="Signature"/>
    <w:basedOn w:val="Normal"/>
    <w:link w:val="SignatureChar"/>
    <w:rsid w:val="007E6F68"/>
    <w:pPr>
      <w:ind w:left="4252"/>
    </w:pPr>
  </w:style>
  <w:style w:type="character" w:customStyle="1" w:styleId="SignatureChar">
    <w:name w:val="Signature Char"/>
    <w:basedOn w:val="DefaultParagraphFont"/>
    <w:link w:val="Signature"/>
    <w:rsid w:val="007E6F68"/>
    <w:rPr>
      <w:sz w:val="22"/>
    </w:rPr>
  </w:style>
  <w:style w:type="paragraph" w:styleId="BodyText">
    <w:name w:val="Body Text"/>
    <w:basedOn w:val="Normal"/>
    <w:link w:val="BodyTextChar"/>
    <w:rsid w:val="007E6F68"/>
    <w:pPr>
      <w:spacing w:after="120"/>
    </w:pPr>
  </w:style>
  <w:style w:type="character" w:customStyle="1" w:styleId="BodyTextChar">
    <w:name w:val="Body Text Char"/>
    <w:basedOn w:val="DefaultParagraphFont"/>
    <w:link w:val="BodyText"/>
    <w:rsid w:val="007E6F68"/>
    <w:rPr>
      <w:sz w:val="22"/>
    </w:rPr>
  </w:style>
  <w:style w:type="paragraph" w:styleId="BodyTextIndent">
    <w:name w:val="Body Text Indent"/>
    <w:basedOn w:val="Normal"/>
    <w:link w:val="BodyTextIndentChar"/>
    <w:rsid w:val="007E6F68"/>
    <w:pPr>
      <w:spacing w:after="120"/>
      <w:ind w:left="283"/>
    </w:pPr>
  </w:style>
  <w:style w:type="character" w:customStyle="1" w:styleId="BodyTextIndentChar">
    <w:name w:val="Body Text Indent Char"/>
    <w:basedOn w:val="DefaultParagraphFont"/>
    <w:link w:val="BodyTextIndent"/>
    <w:rsid w:val="007E6F68"/>
    <w:rPr>
      <w:sz w:val="22"/>
    </w:rPr>
  </w:style>
  <w:style w:type="paragraph" w:styleId="ListContinue">
    <w:name w:val="List Continue"/>
    <w:basedOn w:val="Normal"/>
    <w:rsid w:val="007E6F68"/>
    <w:pPr>
      <w:spacing w:after="120"/>
      <w:ind w:left="283"/>
    </w:pPr>
  </w:style>
  <w:style w:type="paragraph" w:styleId="ListContinue2">
    <w:name w:val="List Continue 2"/>
    <w:basedOn w:val="Normal"/>
    <w:rsid w:val="007E6F68"/>
    <w:pPr>
      <w:spacing w:after="120"/>
      <w:ind w:left="566"/>
    </w:pPr>
  </w:style>
  <w:style w:type="paragraph" w:styleId="ListContinue3">
    <w:name w:val="List Continue 3"/>
    <w:basedOn w:val="Normal"/>
    <w:rsid w:val="007E6F68"/>
    <w:pPr>
      <w:spacing w:after="120"/>
      <w:ind w:left="849"/>
    </w:pPr>
  </w:style>
  <w:style w:type="paragraph" w:styleId="ListContinue4">
    <w:name w:val="List Continue 4"/>
    <w:basedOn w:val="Normal"/>
    <w:rsid w:val="007E6F68"/>
    <w:pPr>
      <w:spacing w:after="120"/>
      <w:ind w:left="1132"/>
    </w:pPr>
  </w:style>
  <w:style w:type="paragraph" w:styleId="ListContinue5">
    <w:name w:val="List Continue 5"/>
    <w:basedOn w:val="Normal"/>
    <w:rsid w:val="007E6F68"/>
    <w:pPr>
      <w:spacing w:after="120"/>
      <w:ind w:left="1415"/>
    </w:pPr>
  </w:style>
  <w:style w:type="paragraph" w:styleId="MessageHeader">
    <w:name w:val="Message Header"/>
    <w:basedOn w:val="Normal"/>
    <w:link w:val="MessageHeaderChar"/>
    <w:rsid w:val="007E6F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E6F68"/>
    <w:rPr>
      <w:rFonts w:ascii="Arial" w:hAnsi="Arial" w:cs="Arial"/>
      <w:sz w:val="22"/>
      <w:shd w:val="pct20" w:color="auto" w:fill="auto"/>
    </w:rPr>
  </w:style>
  <w:style w:type="paragraph" w:styleId="Subtitle">
    <w:name w:val="Subtitle"/>
    <w:basedOn w:val="Normal"/>
    <w:link w:val="SubtitleChar"/>
    <w:qFormat/>
    <w:rsid w:val="007E6F68"/>
    <w:pPr>
      <w:spacing w:after="60"/>
      <w:jc w:val="center"/>
      <w:outlineLvl w:val="1"/>
    </w:pPr>
    <w:rPr>
      <w:rFonts w:ascii="Arial" w:hAnsi="Arial" w:cs="Arial"/>
    </w:rPr>
  </w:style>
  <w:style w:type="character" w:customStyle="1" w:styleId="SubtitleChar">
    <w:name w:val="Subtitle Char"/>
    <w:basedOn w:val="DefaultParagraphFont"/>
    <w:link w:val="Subtitle"/>
    <w:rsid w:val="007E6F68"/>
    <w:rPr>
      <w:rFonts w:ascii="Arial" w:hAnsi="Arial" w:cs="Arial"/>
      <w:sz w:val="22"/>
    </w:rPr>
  </w:style>
  <w:style w:type="paragraph" w:styleId="Salutation">
    <w:name w:val="Salutation"/>
    <w:basedOn w:val="Normal"/>
    <w:next w:val="Normal"/>
    <w:link w:val="SalutationChar"/>
    <w:rsid w:val="007E6F68"/>
  </w:style>
  <w:style w:type="character" w:customStyle="1" w:styleId="SalutationChar">
    <w:name w:val="Salutation Char"/>
    <w:basedOn w:val="DefaultParagraphFont"/>
    <w:link w:val="Salutation"/>
    <w:rsid w:val="007E6F68"/>
    <w:rPr>
      <w:sz w:val="22"/>
    </w:rPr>
  </w:style>
  <w:style w:type="paragraph" w:styleId="Date">
    <w:name w:val="Date"/>
    <w:basedOn w:val="Normal"/>
    <w:next w:val="Normal"/>
    <w:link w:val="DateChar"/>
    <w:rsid w:val="007E6F68"/>
  </w:style>
  <w:style w:type="character" w:customStyle="1" w:styleId="DateChar">
    <w:name w:val="Date Char"/>
    <w:basedOn w:val="DefaultParagraphFont"/>
    <w:link w:val="Date"/>
    <w:rsid w:val="007E6F68"/>
    <w:rPr>
      <w:sz w:val="22"/>
    </w:rPr>
  </w:style>
  <w:style w:type="paragraph" w:styleId="BodyTextFirstIndent">
    <w:name w:val="Body Text First Indent"/>
    <w:basedOn w:val="BodyText"/>
    <w:link w:val="BodyTextFirstIndentChar"/>
    <w:rsid w:val="007E6F68"/>
    <w:pPr>
      <w:ind w:firstLine="210"/>
    </w:pPr>
  </w:style>
  <w:style w:type="character" w:customStyle="1" w:styleId="BodyTextFirstIndentChar">
    <w:name w:val="Body Text First Indent Char"/>
    <w:basedOn w:val="BodyTextChar"/>
    <w:link w:val="BodyTextFirstIndent"/>
    <w:rsid w:val="007E6F68"/>
    <w:rPr>
      <w:sz w:val="22"/>
    </w:rPr>
  </w:style>
  <w:style w:type="paragraph" w:styleId="BodyTextFirstIndent2">
    <w:name w:val="Body Text First Indent 2"/>
    <w:basedOn w:val="BodyTextIndent"/>
    <w:link w:val="BodyTextFirstIndent2Char"/>
    <w:rsid w:val="007E6F68"/>
    <w:pPr>
      <w:ind w:firstLine="210"/>
    </w:pPr>
  </w:style>
  <w:style w:type="character" w:customStyle="1" w:styleId="BodyTextFirstIndent2Char">
    <w:name w:val="Body Text First Indent 2 Char"/>
    <w:basedOn w:val="BodyTextIndentChar"/>
    <w:link w:val="BodyTextFirstIndent2"/>
    <w:rsid w:val="007E6F68"/>
    <w:rPr>
      <w:sz w:val="22"/>
    </w:rPr>
  </w:style>
  <w:style w:type="paragraph" w:styleId="BodyText2">
    <w:name w:val="Body Text 2"/>
    <w:basedOn w:val="Normal"/>
    <w:link w:val="BodyText2Char"/>
    <w:rsid w:val="007E6F68"/>
    <w:pPr>
      <w:spacing w:after="120" w:line="480" w:lineRule="auto"/>
    </w:pPr>
  </w:style>
  <w:style w:type="character" w:customStyle="1" w:styleId="BodyText2Char">
    <w:name w:val="Body Text 2 Char"/>
    <w:basedOn w:val="DefaultParagraphFont"/>
    <w:link w:val="BodyText2"/>
    <w:rsid w:val="007E6F68"/>
    <w:rPr>
      <w:sz w:val="22"/>
    </w:rPr>
  </w:style>
  <w:style w:type="paragraph" w:styleId="BodyText3">
    <w:name w:val="Body Text 3"/>
    <w:basedOn w:val="Normal"/>
    <w:link w:val="BodyText3Char"/>
    <w:rsid w:val="007E6F68"/>
    <w:pPr>
      <w:spacing w:after="120"/>
    </w:pPr>
    <w:rPr>
      <w:sz w:val="16"/>
      <w:szCs w:val="16"/>
    </w:rPr>
  </w:style>
  <w:style w:type="character" w:customStyle="1" w:styleId="BodyText3Char">
    <w:name w:val="Body Text 3 Char"/>
    <w:basedOn w:val="DefaultParagraphFont"/>
    <w:link w:val="BodyText3"/>
    <w:rsid w:val="007E6F68"/>
    <w:rPr>
      <w:sz w:val="16"/>
      <w:szCs w:val="16"/>
    </w:rPr>
  </w:style>
  <w:style w:type="paragraph" w:styleId="BodyTextIndent2">
    <w:name w:val="Body Text Indent 2"/>
    <w:basedOn w:val="Normal"/>
    <w:link w:val="BodyTextIndent2Char"/>
    <w:rsid w:val="007E6F68"/>
    <w:pPr>
      <w:spacing w:after="120" w:line="480" w:lineRule="auto"/>
      <w:ind w:left="283"/>
    </w:pPr>
  </w:style>
  <w:style w:type="character" w:customStyle="1" w:styleId="BodyTextIndent2Char">
    <w:name w:val="Body Text Indent 2 Char"/>
    <w:basedOn w:val="DefaultParagraphFont"/>
    <w:link w:val="BodyTextIndent2"/>
    <w:rsid w:val="007E6F68"/>
    <w:rPr>
      <w:sz w:val="22"/>
    </w:rPr>
  </w:style>
  <w:style w:type="paragraph" w:styleId="BodyTextIndent3">
    <w:name w:val="Body Text Indent 3"/>
    <w:basedOn w:val="Normal"/>
    <w:link w:val="BodyTextIndent3Char"/>
    <w:rsid w:val="007E6F68"/>
    <w:pPr>
      <w:spacing w:after="120"/>
      <w:ind w:left="283"/>
    </w:pPr>
    <w:rPr>
      <w:sz w:val="16"/>
      <w:szCs w:val="16"/>
    </w:rPr>
  </w:style>
  <w:style w:type="character" w:customStyle="1" w:styleId="BodyTextIndent3Char">
    <w:name w:val="Body Text Indent 3 Char"/>
    <w:basedOn w:val="DefaultParagraphFont"/>
    <w:link w:val="BodyTextIndent3"/>
    <w:rsid w:val="007E6F68"/>
    <w:rPr>
      <w:sz w:val="16"/>
      <w:szCs w:val="16"/>
    </w:rPr>
  </w:style>
  <w:style w:type="paragraph" w:styleId="BlockText">
    <w:name w:val="Block Text"/>
    <w:basedOn w:val="Normal"/>
    <w:rsid w:val="007E6F68"/>
    <w:pPr>
      <w:spacing w:after="120"/>
      <w:ind w:left="1440" w:right="1440"/>
    </w:pPr>
  </w:style>
  <w:style w:type="character" w:styleId="Hyperlink">
    <w:name w:val="Hyperlink"/>
    <w:basedOn w:val="DefaultParagraphFont"/>
    <w:rsid w:val="007E6F68"/>
    <w:rPr>
      <w:color w:val="0000FF"/>
      <w:u w:val="single"/>
    </w:rPr>
  </w:style>
  <w:style w:type="character" w:styleId="FollowedHyperlink">
    <w:name w:val="FollowedHyperlink"/>
    <w:basedOn w:val="DefaultParagraphFont"/>
    <w:rsid w:val="007E6F68"/>
    <w:rPr>
      <w:color w:val="800080"/>
      <w:u w:val="single"/>
    </w:rPr>
  </w:style>
  <w:style w:type="character" w:styleId="Strong">
    <w:name w:val="Strong"/>
    <w:basedOn w:val="DefaultParagraphFont"/>
    <w:qFormat/>
    <w:rsid w:val="007E6F68"/>
    <w:rPr>
      <w:b/>
      <w:bCs/>
    </w:rPr>
  </w:style>
  <w:style w:type="character" w:styleId="Emphasis">
    <w:name w:val="Emphasis"/>
    <w:basedOn w:val="DefaultParagraphFont"/>
    <w:qFormat/>
    <w:rsid w:val="007E6F68"/>
    <w:rPr>
      <w:i/>
      <w:iCs/>
    </w:rPr>
  </w:style>
  <w:style w:type="paragraph" w:styleId="DocumentMap">
    <w:name w:val="Document Map"/>
    <w:basedOn w:val="Normal"/>
    <w:link w:val="DocumentMapChar"/>
    <w:rsid w:val="007E6F68"/>
    <w:pPr>
      <w:shd w:val="clear" w:color="auto" w:fill="000080"/>
    </w:pPr>
    <w:rPr>
      <w:rFonts w:ascii="Tahoma" w:hAnsi="Tahoma" w:cs="Tahoma"/>
    </w:rPr>
  </w:style>
  <w:style w:type="character" w:customStyle="1" w:styleId="DocumentMapChar">
    <w:name w:val="Document Map Char"/>
    <w:basedOn w:val="DefaultParagraphFont"/>
    <w:link w:val="DocumentMap"/>
    <w:rsid w:val="007E6F68"/>
    <w:rPr>
      <w:rFonts w:ascii="Tahoma" w:hAnsi="Tahoma" w:cs="Tahoma"/>
      <w:sz w:val="22"/>
      <w:shd w:val="clear" w:color="auto" w:fill="000080"/>
    </w:rPr>
  </w:style>
  <w:style w:type="paragraph" w:styleId="PlainText">
    <w:name w:val="Plain Text"/>
    <w:basedOn w:val="Normal"/>
    <w:link w:val="PlainTextChar"/>
    <w:rsid w:val="007E6F68"/>
    <w:rPr>
      <w:rFonts w:ascii="Courier New" w:hAnsi="Courier New" w:cs="Courier New"/>
      <w:sz w:val="20"/>
    </w:rPr>
  </w:style>
  <w:style w:type="character" w:customStyle="1" w:styleId="PlainTextChar">
    <w:name w:val="Plain Text Char"/>
    <w:basedOn w:val="DefaultParagraphFont"/>
    <w:link w:val="PlainText"/>
    <w:rsid w:val="007E6F68"/>
    <w:rPr>
      <w:rFonts w:ascii="Courier New" w:hAnsi="Courier New" w:cs="Courier New"/>
    </w:rPr>
  </w:style>
  <w:style w:type="paragraph" w:styleId="E-mailSignature">
    <w:name w:val="E-mail Signature"/>
    <w:basedOn w:val="Normal"/>
    <w:link w:val="E-mailSignatureChar"/>
    <w:rsid w:val="007E6F68"/>
  </w:style>
  <w:style w:type="character" w:customStyle="1" w:styleId="E-mailSignatureChar">
    <w:name w:val="E-mail Signature Char"/>
    <w:basedOn w:val="DefaultParagraphFont"/>
    <w:link w:val="E-mailSignature"/>
    <w:rsid w:val="007E6F68"/>
    <w:rPr>
      <w:sz w:val="22"/>
    </w:rPr>
  </w:style>
  <w:style w:type="paragraph" w:styleId="NormalWeb">
    <w:name w:val="Normal (Web)"/>
    <w:basedOn w:val="Normal"/>
    <w:rsid w:val="007E6F68"/>
  </w:style>
  <w:style w:type="character" w:styleId="HTMLAcronym">
    <w:name w:val="HTML Acronym"/>
    <w:basedOn w:val="DefaultParagraphFont"/>
    <w:rsid w:val="007E6F68"/>
  </w:style>
  <w:style w:type="paragraph" w:styleId="HTMLAddress">
    <w:name w:val="HTML Address"/>
    <w:basedOn w:val="Normal"/>
    <w:link w:val="HTMLAddressChar"/>
    <w:rsid w:val="007E6F68"/>
    <w:rPr>
      <w:i/>
      <w:iCs/>
    </w:rPr>
  </w:style>
  <w:style w:type="character" w:customStyle="1" w:styleId="HTMLAddressChar">
    <w:name w:val="HTML Address Char"/>
    <w:basedOn w:val="DefaultParagraphFont"/>
    <w:link w:val="HTMLAddress"/>
    <w:rsid w:val="007E6F68"/>
    <w:rPr>
      <w:i/>
      <w:iCs/>
      <w:sz w:val="22"/>
    </w:rPr>
  </w:style>
  <w:style w:type="character" w:styleId="HTMLCite">
    <w:name w:val="HTML Cite"/>
    <w:basedOn w:val="DefaultParagraphFont"/>
    <w:rsid w:val="007E6F68"/>
    <w:rPr>
      <w:i/>
      <w:iCs/>
    </w:rPr>
  </w:style>
  <w:style w:type="character" w:styleId="HTMLCode">
    <w:name w:val="HTML Code"/>
    <w:basedOn w:val="DefaultParagraphFont"/>
    <w:rsid w:val="007E6F68"/>
    <w:rPr>
      <w:rFonts w:ascii="Courier New" w:hAnsi="Courier New" w:cs="Courier New"/>
      <w:sz w:val="20"/>
      <w:szCs w:val="20"/>
    </w:rPr>
  </w:style>
  <w:style w:type="character" w:styleId="HTMLDefinition">
    <w:name w:val="HTML Definition"/>
    <w:basedOn w:val="DefaultParagraphFont"/>
    <w:rsid w:val="007E6F68"/>
    <w:rPr>
      <w:i/>
      <w:iCs/>
    </w:rPr>
  </w:style>
  <w:style w:type="character" w:styleId="HTMLKeyboard">
    <w:name w:val="HTML Keyboard"/>
    <w:basedOn w:val="DefaultParagraphFont"/>
    <w:rsid w:val="007E6F68"/>
    <w:rPr>
      <w:rFonts w:ascii="Courier New" w:hAnsi="Courier New" w:cs="Courier New"/>
      <w:sz w:val="20"/>
      <w:szCs w:val="20"/>
    </w:rPr>
  </w:style>
  <w:style w:type="paragraph" w:styleId="HTMLPreformatted">
    <w:name w:val="HTML Preformatted"/>
    <w:basedOn w:val="Normal"/>
    <w:link w:val="HTMLPreformattedChar"/>
    <w:rsid w:val="007E6F68"/>
    <w:rPr>
      <w:rFonts w:ascii="Courier New" w:hAnsi="Courier New" w:cs="Courier New"/>
      <w:sz w:val="20"/>
    </w:rPr>
  </w:style>
  <w:style w:type="character" w:customStyle="1" w:styleId="HTMLPreformattedChar">
    <w:name w:val="HTML Preformatted Char"/>
    <w:basedOn w:val="DefaultParagraphFont"/>
    <w:link w:val="HTMLPreformatted"/>
    <w:rsid w:val="007E6F68"/>
    <w:rPr>
      <w:rFonts w:ascii="Courier New" w:hAnsi="Courier New" w:cs="Courier New"/>
    </w:rPr>
  </w:style>
  <w:style w:type="character" w:styleId="HTMLSample">
    <w:name w:val="HTML Sample"/>
    <w:basedOn w:val="DefaultParagraphFont"/>
    <w:rsid w:val="007E6F68"/>
    <w:rPr>
      <w:rFonts w:ascii="Courier New" w:hAnsi="Courier New" w:cs="Courier New"/>
    </w:rPr>
  </w:style>
  <w:style w:type="character" w:styleId="HTMLTypewriter">
    <w:name w:val="HTML Typewriter"/>
    <w:basedOn w:val="DefaultParagraphFont"/>
    <w:rsid w:val="007E6F68"/>
    <w:rPr>
      <w:rFonts w:ascii="Courier New" w:hAnsi="Courier New" w:cs="Courier New"/>
      <w:sz w:val="20"/>
      <w:szCs w:val="20"/>
    </w:rPr>
  </w:style>
  <w:style w:type="character" w:styleId="HTMLVariable">
    <w:name w:val="HTML Variable"/>
    <w:basedOn w:val="DefaultParagraphFont"/>
    <w:rsid w:val="007E6F68"/>
    <w:rPr>
      <w:i/>
      <w:iCs/>
    </w:rPr>
  </w:style>
  <w:style w:type="paragraph" w:styleId="CommentSubject">
    <w:name w:val="annotation subject"/>
    <w:basedOn w:val="CommentText"/>
    <w:next w:val="CommentText"/>
    <w:link w:val="CommentSubjectChar"/>
    <w:rsid w:val="007E6F68"/>
    <w:rPr>
      <w:b/>
      <w:bCs/>
    </w:rPr>
  </w:style>
  <w:style w:type="character" w:customStyle="1" w:styleId="CommentSubjectChar">
    <w:name w:val="Comment Subject Char"/>
    <w:basedOn w:val="CommentTextChar"/>
    <w:link w:val="CommentSubject"/>
    <w:rsid w:val="007E6F68"/>
    <w:rPr>
      <w:b/>
      <w:bCs/>
    </w:rPr>
  </w:style>
  <w:style w:type="numbering" w:styleId="1ai">
    <w:name w:val="Outline List 1"/>
    <w:basedOn w:val="NoList"/>
    <w:rsid w:val="007E6F68"/>
    <w:pPr>
      <w:numPr>
        <w:numId w:val="14"/>
      </w:numPr>
    </w:pPr>
  </w:style>
  <w:style w:type="numbering" w:styleId="111111">
    <w:name w:val="Outline List 2"/>
    <w:basedOn w:val="NoList"/>
    <w:rsid w:val="007E6F68"/>
    <w:pPr>
      <w:numPr>
        <w:numId w:val="15"/>
      </w:numPr>
    </w:pPr>
  </w:style>
  <w:style w:type="numbering" w:styleId="ArticleSection">
    <w:name w:val="Outline List 3"/>
    <w:basedOn w:val="NoList"/>
    <w:rsid w:val="007E6F68"/>
    <w:pPr>
      <w:numPr>
        <w:numId w:val="17"/>
      </w:numPr>
    </w:pPr>
  </w:style>
  <w:style w:type="table" w:styleId="TableSimple1">
    <w:name w:val="Table Simple 1"/>
    <w:basedOn w:val="TableNormal"/>
    <w:rsid w:val="007E6F6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E6F6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E6F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E6F6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E6F6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6F6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E6F6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E6F6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E6F6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E6F6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E6F6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E6F6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E6F6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E6F6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E6F6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E6F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E6F6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E6F6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E6F6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E6F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E6F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E6F6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E6F6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E6F6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E6F6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E6F6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E6F6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E6F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6F6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E6F6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E6F6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E6F6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E6F6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E6F6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E6F6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E6F6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E6F6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E6F6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E6F6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E6F6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E6F6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6F6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E6F6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E6F68"/>
    <w:rPr>
      <w:rFonts w:eastAsia="Times New Roman" w:cs="Times New Roman"/>
      <w:b/>
      <w:kern w:val="28"/>
      <w:sz w:val="24"/>
      <w:lang w:eastAsia="en-AU"/>
    </w:rPr>
  </w:style>
  <w:style w:type="paragraph" w:styleId="Bibliography">
    <w:name w:val="Bibliography"/>
    <w:basedOn w:val="Normal"/>
    <w:next w:val="Normal"/>
    <w:uiPriority w:val="37"/>
    <w:semiHidden/>
    <w:unhideWhenUsed/>
    <w:rsid w:val="007E6F68"/>
  </w:style>
  <w:style w:type="character" w:styleId="BookTitle">
    <w:name w:val="Book Title"/>
    <w:basedOn w:val="DefaultParagraphFont"/>
    <w:uiPriority w:val="33"/>
    <w:qFormat/>
    <w:rsid w:val="007E6F68"/>
    <w:rPr>
      <w:b/>
      <w:bCs/>
      <w:i/>
      <w:iCs/>
      <w:spacing w:val="5"/>
    </w:rPr>
  </w:style>
  <w:style w:type="table" w:styleId="ColorfulGrid">
    <w:name w:val="Colorful Grid"/>
    <w:basedOn w:val="TableNormal"/>
    <w:uiPriority w:val="73"/>
    <w:semiHidden/>
    <w:unhideWhenUsed/>
    <w:rsid w:val="007E6F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E6F6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E6F6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E6F6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E6F6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E6F6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E6F6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E6F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E6F6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E6F6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E6F6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E6F6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E6F6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E6F6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E6F6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E6F6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E6F6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E6F6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E6F6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E6F6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E6F6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E6F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6F6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E6F6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E6F6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E6F6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E6F6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E6F6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E6F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6F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6F6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6F6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6F6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6F6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6F6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E6F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6F6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E6F6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E6F6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E6F6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E6F6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E6F6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E6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E6F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E6F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E6F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E6F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E6F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E6F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E6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6F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E6F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E6F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E6F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E6F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E6F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E6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6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E6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E6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E6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E6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E6F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E6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E6F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E6F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E6F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E6F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E6F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E6F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E6F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E6F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E6F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E6F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E6F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E6F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E6F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E6F68"/>
    <w:rPr>
      <w:color w:val="2B579A"/>
      <w:shd w:val="clear" w:color="auto" w:fill="E1DFDD"/>
    </w:rPr>
  </w:style>
  <w:style w:type="character" w:styleId="IntenseEmphasis">
    <w:name w:val="Intense Emphasis"/>
    <w:basedOn w:val="DefaultParagraphFont"/>
    <w:uiPriority w:val="21"/>
    <w:qFormat/>
    <w:rsid w:val="007E6F68"/>
    <w:rPr>
      <w:i/>
      <w:iCs/>
      <w:color w:val="4F81BD" w:themeColor="accent1"/>
    </w:rPr>
  </w:style>
  <w:style w:type="paragraph" w:styleId="IntenseQuote">
    <w:name w:val="Intense Quote"/>
    <w:basedOn w:val="Normal"/>
    <w:next w:val="Normal"/>
    <w:link w:val="IntenseQuoteChar"/>
    <w:uiPriority w:val="30"/>
    <w:qFormat/>
    <w:rsid w:val="007E6F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E6F68"/>
    <w:rPr>
      <w:i/>
      <w:iCs/>
      <w:color w:val="4F81BD" w:themeColor="accent1"/>
      <w:sz w:val="22"/>
    </w:rPr>
  </w:style>
  <w:style w:type="character" w:styleId="IntenseReference">
    <w:name w:val="Intense Reference"/>
    <w:basedOn w:val="DefaultParagraphFont"/>
    <w:uiPriority w:val="32"/>
    <w:qFormat/>
    <w:rsid w:val="007E6F68"/>
    <w:rPr>
      <w:b/>
      <w:bCs/>
      <w:smallCaps/>
      <w:color w:val="4F81BD" w:themeColor="accent1"/>
      <w:spacing w:val="5"/>
    </w:rPr>
  </w:style>
  <w:style w:type="table" w:styleId="LightGrid">
    <w:name w:val="Light Grid"/>
    <w:basedOn w:val="TableNormal"/>
    <w:uiPriority w:val="62"/>
    <w:semiHidden/>
    <w:unhideWhenUsed/>
    <w:rsid w:val="007E6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E6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E6F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E6F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E6F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E6F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E6F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E6F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E6F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E6F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E6F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E6F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E6F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E6F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E6F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6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E6F6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E6F6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E6F6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E6F6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E6F6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E6F68"/>
    <w:pPr>
      <w:ind w:left="720"/>
      <w:contextualSpacing/>
    </w:pPr>
  </w:style>
  <w:style w:type="table" w:styleId="ListTable1Light">
    <w:name w:val="List Table 1 Light"/>
    <w:basedOn w:val="TableNormal"/>
    <w:uiPriority w:val="46"/>
    <w:rsid w:val="007E6F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6F6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E6F6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E6F6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E6F6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E6F6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E6F6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E6F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6F6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E6F6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E6F6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E6F6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E6F6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E6F6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E6F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E6F6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E6F6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E6F6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E6F6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E6F6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E6F6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E6F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6F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E6F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E6F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E6F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E6F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E6F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E6F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6F6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6F6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6F6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6F6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6F6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6F6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E6F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E6F6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E6F6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E6F6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E6F6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E6F6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E6F6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E6F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E6F6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E6F6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E6F6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E6F6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E6F6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E6F6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E6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6F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E6F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E6F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E6F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E6F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E6F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6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E6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E6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E6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E6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E6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E6F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E6F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6F6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E6F6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E6F6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E6F6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E6F6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E6F6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6F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6F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6F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6F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6F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6F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6F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6F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6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E6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E6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E6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E6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E6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E6F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E6F68"/>
    <w:rPr>
      <w:color w:val="2B579A"/>
      <w:shd w:val="clear" w:color="auto" w:fill="E1DFDD"/>
    </w:rPr>
  </w:style>
  <w:style w:type="paragraph" w:styleId="NoSpacing">
    <w:name w:val="No Spacing"/>
    <w:uiPriority w:val="1"/>
    <w:qFormat/>
    <w:rsid w:val="007E6F68"/>
    <w:rPr>
      <w:sz w:val="22"/>
    </w:rPr>
  </w:style>
  <w:style w:type="paragraph" w:styleId="NoteHeading">
    <w:name w:val="Note Heading"/>
    <w:basedOn w:val="Normal"/>
    <w:next w:val="Normal"/>
    <w:link w:val="NoteHeadingChar"/>
    <w:uiPriority w:val="99"/>
    <w:semiHidden/>
    <w:unhideWhenUsed/>
    <w:rsid w:val="007E6F68"/>
    <w:pPr>
      <w:spacing w:line="240" w:lineRule="auto"/>
    </w:pPr>
  </w:style>
  <w:style w:type="character" w:customStyle="1" w:styleId="NoteHeadingChar">
    <w:name w:val="Note Heading Char"/>
    <w:basedOn w:val="DefaultParagraphFont"/>
    <w:link w:val="NoteHeading"/>
    <w:uiPriority w:val="99"/>
    <w:semiHidden/>
    <w:rsid w:val="007E6F68"/>
    <w:rPr>
      <w:sz w:val="22"/>
    </w:rPr>
  </w:style>
  <w:style w:type="character" w:styleId="PlaceholderText">
    <w:name w:val="Placeholder Text"/>
    <w:basedOn w:val="DefaultParagraphFont"/>
    <w:uiPriority w:val="99"/>
    <w:semiHidden/>
    <w:rsid w:val="007E6F68"/>
    <w:rPr>
      <w:color w:val="808080"/>
    </w:rPr>
  </w:style>
  <w:style w:type="table" w:styleId="PlainTable1">
    <w:name w:val="Plain Table 1"/>
    <w:basedOn w:val="TableNormal"/>
    <w:uiPriority w:val="41"/>
    <w:rsid w:val="007E6F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6F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6F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6F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6F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E6F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6F68"/>
    <w:rPr>
      <w:i/>
      <w:iCs/>
      <w:color w:val="404040" w:themeColor="text1" w:themeTint="BF"/>
      <w:sz w:val="22"/>
    </w:rPr>
  </w:style>
  <w:style w:type="character" w:styleId="SmartHyperlink">
    <w:name w:val="Smart Hyperlink"/>
    <w:basedOn w:val="DefaultParagraphFont"/>
    <w:uiPriority w:val="99"/>
    <w:semiHidden/>
    <w:unhideWhenUsed/>
    <w:rsid w:val="007E6F68"/>
    <w:rPr>
      <w:u w:val="dotted"/>
    </w:rPr>
  </w:style>
  <w:style w:type="character" w:styleId="SubtleEmphasis">
    <w:name w:val="Subtle Emphasis"/>
    <w:basedOn w:val="DefaultParagraphFont"/>
    <w:uiPriority w:val="19"/>
    <w:qFormat/>
    <w:rsid w:val="007E6F68"/>
    <w:rPr>
      <w:i/>
      <w:iCs/>
      <w:color w:val="404040" w:themeColor="text1" w:themeTint="BF"/>
    </w:rPr>
  </w:style>
  <w:style w:type="character" w:styleId="SubtleReference">
    <w:name w:val="Subtle Reference"/>
    <w:basedOn w:val="DefaultParagraphFont"/>
    <w:uiPriority w:val="31"/>
    <w:qFormat/>
    <w:rsid w:val="007E6F68"/>
    <w:rPr>
      <w:smallCaps/>
      <w:color w:val="5A5A5A" w:themeColor="text1" w:themeTint="A5"/>
    </w:rPr>
  </w:style>
  <w:style w:type="table" w:styleId="TableGridLight">
    <w:name w:val="Grid Table Light"/>
    <w:basedOn w:val="TableNormal"/>
    <w:uiPriority w:val="40"/>
    <w:rsid w:val="007E6F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E6F68"/>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E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7412">
      <w:bodyDiv w:val="1"/>
      <w:marLeft w:val="0"/>
      <w:marRight w:val="0"/>
      <w:marTop w:val="0"/>
      <w:marBottom w:val="0"/>
      <w:divBdr>
        <w:top w:val="none" w:sz="0" w:space="0" w:color="auto"/>
        <w:left w:val="none" w:sz="0" w:space="0" w:color="auto"/>
        <w:bottom w:val="none" w:sz="0" w:space="0" w:color="auto"/>
        <w:right w:val="none" w:sz="0" w:space="0" w:color="auto"/>
      </w:divBdr>
    </w:div>
    <w:div w:id="1626737797">
      <w:bodyDiv w:val="1"/>
      <w:marLeft w:val="0"/>
      <w:marRight w:val="0"/>
      <w:marTop w:val="0"/>
      <w:marBottom w:val="0"/>
      <w:divBdr>
        <w:top w:val="none" w:sz="0" w:space="0" w:color="auto"/>
        <w:left w:val="none" w:sz="0" w:space="0" w:color="auto"/>
        <w:bottom w:val="none" w:sz="0" w:space="0" w:color="auto"/>
        <w:right w:val="none" w:sz="0" w:space="0" w:color="auto"/>
      </w:divBdr>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21</Pages>
  <Words>3591</Words>
  <Characters>18818</Characters>
  <Application>Microsoft Office Word</Application>
  <DocSecurity>0</DocSecurity>
  <PresentationFormat/>
  <Lines>342</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2024-06-14T04:34:00Z</dcterms:created>
  <dcterms:modified xsi:type="dcterms:W3CDTF">2024-06-14T04:34:00Z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Legislation Amendment (2024 Measures No. 2)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OPC66834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ies>
</file>