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640DB" w14:textId="77777777" w:rsidR="00FB640B" w:rsidRPr="008B24C8" w:rsidRDefault="0057002B" w:rsidP="00BB0CF2">
      <w:pPr>
        <w:pStyle w:val="ESTitleHeader"/>
      </w:pPr>
      <w:r w:rsidRPr="008B24C8">
        <w:t>EXPLANATORY STATEMENT</w:t>
      </w:r>
    </w:p>
    <w:p w14:paraId="4A02EB53" w14:textId="77777777" w:rsidR="0057002B" w:rsidRPr="008B24C8" w:rsidRDefault="0057002B" w:rsidP="00BB0CF2">
      <w:pPr>
        <w:pStyle w:val="ESTitleDecisionMaker"/>
      </w:pPr>
      <w:r w:rsidRPr="008B24C8">
        <w:t xml:space="preserve">Issued by authority of the </w:t>
      </w:r>
      <w:r w:rsidR="009F1CF7">
        <w:t>Minister for Immigration, Citizenship and Multicultural Affairs</w:t>
      </w:r>
    </w:p>
    <w:p w14:paraId="6D0A99DA" w14:textId="77777777" w:rsidR="0057002B" w:rsidRPr="008B24C8" w:rsidRDefault="009F1CF7" w:rsidP="00BB0CF2">
      <w:pPr>
        <w:pStyle w:val="ESTitleEnablingLegislation"/>
      </w:pPr>
      <w:r>
        <w:t>Migration Regulations 1994</w:t>
      </w:r>
    </w:p>
    <w:p w14:paraId="4ABD4412" w14:textId="376C553D" w:rsidR="0057002B" w:rsidRPr="008B24C8" w:rsidRDefault="009F1CF7" w:rsidP="00BB0CF2">
      <w:pPr>
        <w:pStyle w:val="ESTitleInstrumentName"/>
      </w:pPr>
      <w:r w:rsidRPr="009F1CF7">
        <w:t>Migration (Specified Subclass</w:t>
      </w:r>
      <w:r w:rsidR="009D0A75">
        <w:t> </w:t>
      </w:r>
      <w:r w:rsidRPr="009F1CF7">
        <w:t>417 Work Exemption) Instrument (LIN</w:t>
      </w:r>
      <w:r w:rsidR="009D0A75">
        <w:t> </w:t>
      </w:r>
      <w:r w:rsidRPr="009F1CF7">
        <w:t>24/039) 2024</w:t>
      </w:r>
    </w:p>
    <w:p w14:paraId="59E93463" w14:textId="20120EBA" w:rsidR="00F60243" w:rsidRDefault="009F1CF7" w:rsidP="002D167E">
      <w:pPr>
        <w:pStyle w:val="ESPara"/>
      </w:pPr>
      <w:r>
        <w:t>The instrument, departmental reference LIN</w:t>
      </w:r>
      <w:r w:rsidR="009D0A75">
        <w:t> </w:t>
      </w:r>
      <w:r>
        <w:t>24/039</w:t>
      </w:r>
      <w:r w:rsidR="0057002B" w:rsidRPr="008B24C8">
        <w:t xml:space="preserve">, is made under </w:t>
      </w:r>
      <w:r>
        <w:t>subitem 1225(3BA)</w:t>
      </w:r>
      <w:r w:rsidR="0057002B" w:rsidRPr="008B24C8">
        <w:t xml:space="preserve"> </w:t>
      </w:r>
      <w:r w:rsidR="009D0A75">
        <w:t>of Schedule</w:t>
      </w:r>
      <w:r w:rsidR="002C5499">
        <w:t> </w:t>
      </w:r>
      <w:r w:rsidR="009D0A75">
        <w:t xml:space="preserve">1 to </w:t>
      </w:r>
      <w:r w:rsidR="0057002B" w:rsidRPr="008B24C8">
        <w:t xml:space="preserve">the </w:t>
      </w:r>
      <w:r w:rsidR="0057002B" w:rsidRPr="008B24C8">
        <w:rPr>
          <w:i/>
        </w:rPr>
        <w:t>Migration Regulations 1994</w:t>
      </w:r>
      <w:r>
        <w:t xml:space="preserve"> (the Migration Regulations).</w:t>
      </w:r>
    </w:p>
    <w:p w14:paraId="23DC8788" w14:textId="19C10A01" w:rsidR="00BD598E" w:rsidRPr="008B24C8" w:rsidRDefault="00AA4557" w:rsidP="002D167E">
      <w:pPr>
        <w:pStyle w:val="ESPara"/>
      </w:pPr>
      <w:r>
        <w:t>The instrument commences</w:t>
      </w:r>
      <w:permStart w:id="1473056063" w:edGrp="everyone"/>
      <w:permEnd w:id="1473056063"/>
      <w:r w:rsidR="00F60243">
        <w:t xml:space="preserve"> on</w:t>
      </w:r>
      <w:r>
        <w:t xml:space="preserve"> </w:t>
      </w:r>
      <w:r w:rsidR="009F1CF7">
        <w:t>1</w:t>
      </w:r>
      <w:r w:rsidR="00F60243">
        <w:t> </w:t>
      </w:r>
      <w:r w:rsidR="009F1CF7">
        <w:t>July</w:t>
      </w:r>
      <w:r w:rsidR="00F60243">
        <w:t> </w:t>
      </w:r>
      <w:r w:rsidR="009F1CF7">
        <w:t>2024</w:t>
      </w:r>
      <w:r w:rsidR="00423907">
        <w:t>.</w:t>
      </w:r>
      <w:r w:rsidR="00FF0FC0">
        <w:t xml:space="preserve"> </w:t>
      </w:r>
      <w:r w:rsidR="00423907">
        <w:t xml:space="preserve">It </w:t>
      </w:r>
      <w:r>
        <w:t>i</w:t>
      </w:r>
      <w:r w:rsidR="00BD598E" w:rsidRPr="008B24C8">
        <w:t xml:space="preserve">s a </w:t>
      </w:r>
      <w:r>
        <w:t>legislative</w:t>
      </w:r>
      <w:r w:rsidR="00BD598E" w:rsidRPr="008B24C8">
        <w:t xml:space="preserve"> instrument for </w:t>
      </w:r>
      <w:r w:rsidR="00B75478">
        <w:t xml:space="preserve">the </w:t>
      </w:r>
      <w:r w:rsidR="00100DFC">
        <w:rPr>
          <w:i/>
        </w:rPr>
        <w:t>Legislation Act 2003</w:t>
      </w:r>
      <w:r w:rsidR="00100DFC">
        <w:t xml:space="preserve"> (the Legislation Act)</w:t>
      </w:r>
      <w:r w:rsidR="00BD598E" w:rsidRPr="008B24C8">
        <w:t>.</w:t>
      </w:r>
    </w:p>
    <w:p w14:paraId="5E48250D" w14:textId="77777777" w:rsidR="00EA12C9" w:rsidRPr="00477B81" w:rsidRDefault="00BD598E" w:rsidP="00100DFC">
      <w:pPr>
        <w:pStyle w:val="ESHeading"/>
      </w:pPr>
      <w:r w:rsidRPr="008B24C8">
        <w:t>Purpose</w:t>
      </w:r>
      <w:r w:rsidR="00BB0CF2">
        <w:t xml:space="preserve"> </w:t>
      </w:r>
      <w:bookmarkStart w:id="0" w:name="_GoBack"/>
      <w:bookmarkEnd w:id="0"/>
    </w:p>
    <w:p w14:paraId="6FBA9C0A" w14:textId="1D543F2D" w:rsidR="008B274A" w:rsidRDefault="008B274A" w:rsidP="0034140A">
      <w:pPr>
        <w:pStyle w:val="ESPara"/>
        <w:rPr>
          <w:color w:val="000000" w:themeColor="text1"/>
        </w:rPr>
      </w:pPr>
      <w:r>
        <w:rPr>
          <w:color w:val="000000" w:themeColor="text1"/>
        </w:rPr>
        <w:t>Item 1225 of Schedule 1 to the Migration Regulations sets out the requirements for making a valid application for a Working Holiday (Temporary) (Class TZ) visa,</w:t>
      </w:r>
      <w:r w:rsidR="000A58F5">
        <w:rPr>
          <w:color w:val="000000" w:themeColor="text1"/>
        </w:rPr>
        <w:t xml:space="preserve"> for which</w:t>
      </w:r>
      <w:r>
        <w:rPr>
          <w:color w:val="000000" w:themeColor="text1"/>
        </w:rPr>
        <w:t xml:space="preserve"> the only subclass is the Subclass </w:t>
      </w:r>
      <w:r w:rsidR="005F1575">
        <w:rPr>
          <w:color w:val="000000" w:themeColor="text1"/>
        </w:rPr>
        <w:t>417 (Working Holiday) visa.</w:t>
      </w:r>
    </w:p>
    <w:p w14:paraId="36CFFE01" w14:textId="5CFAFC5F" w:rsidR="005463B5" w:rsidRDefault="005A4C0A" w:rsidP="005463B5">
      <w:pPr>
        <w:pStyle w:val="ESPara"/>
        <w:rPr>
          <w:color w:val="000000" w:themeColor="text1"/>
        </w:rPr>
      </w:pPr>
      <w:r>
        <w:rPr>
          <w:color w:val="000000" w:themeColor="text1"/>
        </w:rPr>
        <w:t>If a Subclass 417 (Working Holiday) visa applicant is, or has previously been, in Australia as the holder of a Subclass 417 (Working Holiday) visa, the application</w:t>
      </w:r>
      <w:r w:rsidR="008C706B">
        <w:rPr>
          <w:color w:val="000000" w:themeColor="text1"/>
        </w:rPr>
        <w:t xml:space="preserve"> </w:t>
      </w:r>
      <w:r>
        <w:rPr>
          <w:color w:val="000000" w:themeColor="text1"/>
        </w:rPr>
        <w:t>must be accompanied by a declaration by that applicant</w:t>
      </w:r>
      <w:r w:rsidR="008C706B">
        <w:rPr>
          <w:color w:val="000000" w:themeColor="text1"/>
        </w:rPr>
        <w:t xml:space="preserve"> that the </w:t>
      </w:r>
      <w:r>
        <w:rPr>
          <w:color w:val="000000" w:themeColor="text1"/>
        </w:rPr>
        <w:t xml:space="preserve">individual has carried out ‘specified </w:t>
      </w:r>
      <w:r w:rsidR="000A58F5">
        <w:rPr>
          <w:color w:val="000000" w:themeColor="text1"/>
        </w:rPr>
        <w:t>S</w:t>
      </w:r>
      <w:r>
        <w:rPr>
          <w:color w:val="000000" w:themeColor="text1"/>
        </w:rPr>
        <w:t>ubclass 417 work’ (</w:t>
      </w:r>
      <w:r w:rsidR="005F1575">
        <w:rPr>
          <w:color w:val="000000" w:themeColor="text1"/>
        </w:rPr>
        <w:t>as defined in</w:t>
      </w:r>
      <w:r>
        <w:rPr>
          <w:color w:val="000000" w:themeColor="text1"/>
        </w:rPr>
        <w:t xml:space="preserve"> regulation 1.03 of the Migration Regulations) for a to</w:t>
      </w:r>
      <w:r w:rsidR="004C3CCF">
        <w:rPr>
          <w:color w:val="000000" w:themeColor="text1"/>
        </w:rPr>
        <w:t>tal period of at least three</w:t>
      </w:r>
      <w:r>
        <w:rPr>
          <w:color w:val="000000" w:themeColor="text1"/>
        </w:rPr>
        <w:t xml:space="preserve"> months as the holder of the first Subclass 417 (Working Holiday) visa</w:t>
      </w:r>
      <w:r w:rsidR="008C706B">
        <w:rPr>
          <w:color w:val="000000" w:themeColor="text1"/>
        </w:rPr>
        <w:t xml:space="preserve"> (</w:t>
      </w:r>
      <w:r w:rsidR="000A58F5">
        <w:rPr>
          <w:color w:val="000000" w:themeColor="text1"/>
        </w:rPr>
        <w:t>s</w:t>
      </w:r>
      <w:r w:rsidR="008C706B">
        <w:rPr>
          <w:color w:val="000000" w:themeColor="text1"/>
        </w:rPr>
        <w:t>ee paragraph 1225(3B)(c) of Schedule 1 to the Migration Regulations).</w:t>
      </w:r>
    </w:p>
    <w:p w14:paraId="25F0BC25" w14:textId="08A8DA68" w:rsidR="008C706B" w:rsidRPr="00477B81" w:rsidRDefault="004C3CCF" w:rsidP="0034140A">
      <w:pPr>
        <w:pStyle w:val="ESPara"/>
        <w:rPr>
          <w:color w:val="000000" w:themeColor="text1"/>
        </w:rPr>
      </w:pPr>
      <w:r>
        <w:rPr>
          <w:color w:val="000000" w:themeColor="text1"/>
        </w:rPr>
        <w:t>Paragraph 1225(3B)(ca) of Schedule 1 to the Migration Regulations will apply to a Subclass 417 (Working Holiday) visa applicant, if</w:t>
      </w:r>
      <w:r w:rsidR="008C706B">
        <w:rPr>
          <w:color w:val="000000" w:themeColor="text1"/>
        </w:rPr>
        <w:t>, disregard</w:t>
      </w:r>
      <w:r w:rsidR="00084763">
        <w:rPr>
          <w:color w:val="000000" w:themeColor="text1"/>
        </w:rPr>
        <w:t>ing any COVID-19 affected visa</w:t>
      </w:r>
      <w:r w:rsidR="00AB3018">
        <w:rPr>
          <w:color w:val="000000" w:themeColor="text1"/>
        </w:rPr>
        <w:t>,</w:t>
      </w:r>
      <w:r w:rsidR="00084763">
        <w:rPr>
          <w:color w:val="000000" w:themeColor="text1"/>
        </w:rPr>
        <w:t xml:space="preserve"> </w:t>
      </w:r>
      <w:r>
        <w:rPr>
          <w:color w:val="000000" w:themeColor="text1"/>
        </w:rPr>
        <w:t>that</w:t>
      </w:r>
      <w:r>
        <w:t xml:space="preserve"> applicant held two</w:t>
      </w:r>
      <w:r w:rsidR="008C706B">
        <w:t xml:space="preserve"> Subclass 417 (Working Holiday) visas in Australia</w:t>
      </w:r>
      <w:r w:rsidR="000A58F5">
        <w:t>. In these circumstances, the</w:t>
      </w:r>
      <w:r w:rsidR="008C706B">
        <w:t xml:space="preserve"> application must be acc</w:t>
      </w:r>
      <w:r>
        <w:t>ompanied by a declaration by that</w:t>
      </w:r>
      <w:r w:rsidR="008C706B">
        <w:t xml:space="preserve"> applicant that:</w:t>
      </w:r>
    </w:p>
    <w:p w14:paraId="76E759D6" w14:textId="2DDD8914" w:rsidR="008C706B" w:rsidRDefault="008C706B" w:rsidP="00477B81">
      <w:pPr>
        <w:pStyle w:val="ESPara"/>
        <w:numPr>
          <w:ilvl w:val="0"/>
          <w:numId w:val="7"/>
        </w:numPr>
        <w:spacing w:line="240" w:lineRule="auto"/>
        <w:ind w:left="924" w:hanging="357"/>
      </w:pPr>
      <w:r>
        <w:t xml:space="preserve">the applicant carried out ‘specified Subclass 417 work’ for a </w:t>
      </w:r>
      <w:r w:rsidR="004C3CCF">
        <w:t>total period of at least six</w:t>
      </w:r>
      <w:r>
        <w:t xml:space="preserve"> months; and</w:t>
      </w:r>
    </w:p>
    <w:p w14:paraId="0C84F4FC" w14:textId="0F91918E" w:rsidR="008C706B" w:rsidRDefault="008C706B" w:rsidP="00477B81">
      <w:pPr>
        <w:pStyle w:val="ESPara"/>
        <w:numPr>
          <w:ilvl w:val="0"/>
          <w:numId w:val="7"/>
        </w:numPr>
        <w:spacing w:line="240" w:lineRule="auto"/>
        <w:ind w:left="924" w:hanging="357"/>
      </w:pPr>
      <w:r>
        <w:t xml:space="preserve">all of that work was carried out while the applicant held a second </w:t>
      </w:r>
      <w:r w:rsidR="004C3CCF">
        <w:t>Subclass</w:t>
      </w:r>
      <w:r>
        <w:t xml:space="preserve"> 417 (Working Holiday) visa or while the applicant held a </w:t>
      </w:r>
      <w:r w:rsidR="004C3CCF">
        <w:t>bridging</w:t>
      </w:r>
      <w:r>
        <w:t xml:space="preserve"> visa that was in effect and </w:t>
      </w:r>
      <w:r w:rsidR="004C3CCF">
        <w:t>was</w:t>
      </w:r>
      <w:r>
        <w:t xml:space="preserve"> granted on the basis of t</w:t>
      </w:r>
      <w:r w:rsidR="004C3CCF">
        <w:t>he application for the second</w:t>
      </w:r>
      <w:r>
        <w:t xml:space="preserve"> Subclass 417 (Working Holiday) visa (made at a time when the applicant </w:t>
      </w:r>
      <w:r w:rsidR="004C3CCF">
        <w:t>held the first</w:t>
      </w:r>
      <w:r>
        <w:t xml:space="preserve"> </w:t>
      </w:r>
      <w:r w:rsidR="004C3CCF">
        <w:t>Subclass</w:t>
      </w:r>
      <w:r>
        <w:t> 417 (</w:t>
      </w:r>
      <w:r w:rsidR="004C3CCF">
        <w:t>Working</w:t>
      </w:r>
      <w:r>
        <w:t xml:space="preserve"> Holiday) visa); and</w:t>
      </w:r>
    </w:p>
    <w:p w14:paraId="5E89B6F9" w14:textId="1027AA3F" w:rsidR="004C3CCF" w:rsidRDefault="004C3CCF" w:rsidP="00477B81">
      <w:pPr>
        <w:pStyle w:val="ESPara"/>
        <w:numPr>
          <w:ilvl w:val="0"/>
          <w:numId w:val="7"/>
        </w:numPr>
        <w:spacing w:line="240" w:lineRule="auto"/>
        <w:ind w:left="924" w:hanging="357"/>
      </w:pPr>
      <w:r>
        <w:t>all of that work was carried out on or after 1 July 2019.</w:t>
      </w:r>
    </w:p>
    <w:p w14:paraId="1ACFFC74" w14:textId="450E49C0" w:rsidR="008B274A" w:rsidRDefault="008B274A" w:rsidP="0034140A">
      <w:pPr>
        <w:pStyle w:val="ESPara"/>
        <w:rPr>
          <w:color w:val="000000" w:themeColor="text1"/>
        </w:rPr>
      </w:pPr>
      <w:r>
        <w:rPr>
          <w:color w:val="000000" w:themeColor="text1"/>
        </w:rPr>
        <w:t>Subitem 1225(3BA) of Schedule 1 to the Migration Regulations provides that paragraphs 1225(3B)(c) and 1225(3B)(ca) of Schedule 1 to the Migration Regulations do</w:t>
      </w:r>
      <w:r w:rsidR="004C3CCF">
        <w:rPr>
          <w:color w:val="000000" w:themeColor="text1"/>
        </w:rPr>
        <w:t xml:space="preserve"> not apply if a Subclass 417 (Working Holiday) visa applicant holds a passport of a kind specified by the Minister in a legislative instrument made for the purposes of that subitem.</w:t>
      </w:r>
    </w:p>
    <w:p w14:paraId="65FF26D1" w14:textId="6DB71F13" w:rsidR="00E03D87" w:rsidRPr="00EB0BB8" w:rsidRDefault="009F1CF7" w:rsidP="00477B81">
      <w:pPr>
        <w:pStyle w:val="ESPara"/>
      </w:pPr>
      <w:r w:rsidRPr="00916440">
        <w:t xml:space="preserve">The purpose of the instrument is to specify </w:t>
      </w:r>
      <w:r w:rsidR="00493010">
        <w:t xml:space="preserve">the </w:t>
      </w:r>
      <w:r w:rsidRPr="00916440">
        <w:t>kinds of passports</w:t>
      </w:r>
      <w:r w:rsidR="00477B81">
        <w:t>, held by applicants for second or third Subclass 417 (Working Holiday) visas for the purposes of subitem 1225(3BA) of Schedule 1 to the Migration Regulations. This cohort will be exempt from</w:t>
      </w:r>
      <w:r w:rsidR="00477B81" w:rsidRPr="00477B81">
        <w:t xml:space="preserve"> </w:t>
      </w:r>
      <w:r w:rsidR="00477B81" w:rsidRPr="00477B81">
        <w:rPr>
          <w:color w:val="000000" w:themeColor="text1"/>
        </w:rPr>
        <w:t>the requirements for making a valid application</w:t>
      </w:r>
      <w:r w:rsidR="00E03D87">
        <w:rPr>
          <w:color w:val="000000" w:themeColor="text1"/>
        </w:rPr>
        <w:t xml:space="preserve"> for a second or third Subclass 417 (Working Holiday) visa as detailed in paragraphs 4 and 5.</w:t>
      </w:r>
    </w:p>
    <w:p w14:paraId="2C380F92" w14:textId="07F76241" w:rsidR="00C42161" w:rsidRDefault="00E03D87" w:rsidP="00E03D87">
      <w:pPr>
        <w:pStyle w:val="ESPara"/>
      </w:pPr>
      <w:r>
        <w:lastRenderedPageBreak/>
        <w:t>That cohort will also be exempt</w:t>
      </w:r>
      <w:r w:rsidR="000A58F5">
        <w:t xml:space="preserve"> (under paragraph 417.211(1A)(b) of Schedule 2 to the Migration Regulations)</w:t>
      </w:r>
      <w:r>
        <w:t xml:space="preserve"> from needing to satisfy the criteria for a successful grant of a second or third Subclass 417 (Working Holiday) visa </w:t>
      </w:r>
      <w:r w:rsidR="000A58F5">
        <w:t xml:space="preserve">set out in </w:t>
      </w:r>
      <w:r w:rsidR="008A3190">
        <w:t xml:space="preserve">subclauses </w:t>
      </w:r>
      <w:r w:rsidRPr="00E03D87">
        <w:rPr>
          <w:color w:val="000000" w:themeColor="text1"/>
        </w:rPr>
        <w:t>417.211(</w:t>
      </w:r>
      <w:r w:rsidR="008A3190">
        <w:rPr>
          <w:color w:val="000000" w:themeColor="text1"/>
        </w:rPr>
        <w:t>5</w:t>
      </w:r>
      <w:r w:rsidRPr="00E03D87">
        <w:rPr>
          <w:color w:val="000000" w:themeColor="text1"/>
        </w:rPr>
        <w:t>)</w:t>
      </w:r>
      <w:r w:rsidR="008A3190">
        <w:rPr>
          <w:color w:val="000000" w:themeColor="text1"/>
        </w:rPr>
        <w:t xml:space="preserve"> and (6)</w:t>
      </w:r>
      <w:r w:rsidRPr="00E03D87">
        <w:rPr>
          <w:color w:val="000000" w:themeColor="text1"/>
        </w:rPr>
        <w:t xml:space="preserve"> of Schedule 2 to the Migration Regulations</w:t>
      </w:r>
      <w:r>
        <w:t>.</w:t>
      </w:r>
      <w:r w:rsidR="008A3190">
        <w:t xml:space="preserve"> These criteria require most applicants for a second or third Subclass 417 (Working Holiday) visa to have carried out </w:t>
      </w:r>
      <w:r w:rsidR="00217891">
        <w:t>‘</w:t>
      </w:r>
      <w:r w:rsidR="008A3190">
        <w:t>specified Subclass</w:t>
      </w:r>
      <w:r w:rsidR="00217891">
        <w:t> </w:t>
      </w:r>
      <w:r w:rsidR="008A3190">
        <w:t>417 work</w:t>
      </w:r>
      <w:r w:rsidR="00217891">
        <w:t>’</w:t>
      </w:r>
      <w:r w:rsidR="008A3190">
        <w:t>.</w:t>
      </w:r>
    </w:p>
    <w:p w14:paraId="10C249DA" w14:textId="284A5AE3" w:rsidR="00B75478" w:rsidRDefault="001765B7" w:rsidP="003D40A7">
      <w:pPr>
        <w:pStyle w:val="ESPara"/>
      </w:pPr>
      <w:r>
        <w:t>The</w:t>
      </w:r>
      <w:r w:rsidR="00C42161">
        <w:t xml:space="preserve"> instrument specifies this cohort to be United Kingdom passport holders</w:t>
      </w:r>
      <w:r w:rsidR="003D40A7">
        <w:t xml:space="preserve"> and </w:t>
      </w:r>
      <w:r w:rsidR="003D40A7" w:rsidRPr="003D40A7">
        <w:t>that passport must indicate that the applicant’s nationality is a British citizen or a British national (overseas).</w:t>
      </w:r>
    </w:p>
    <w:p w14:paraId="6D538EE6" w14:textId="1ABDEAD7" w:rsidR="00602507" w:rsidRDefault="009F1CF7" w:rsidP="007357F0">
      <w:pPr>
        <w:pStyle w:val="ESPara"/>
      </w:pPr>
      <w:r w:rsidRPr="00370FB4">
        <w:t xml:space="preserve">The instrument </w:t>
      </w:r>
      <w:r w:rsidR="00860AF4" w:rsidRPr="00370FB4">
        <w:t xml:space="preserve">is </w:t>
      </w:r>
      <w:r w:rsidR="008F67AA" w:rsidRPr="00370FB4">
        <w:t>made</w:t>
      </w:r>
      <w:r w:rsidR="00602507">
        <w:t xml:space="preserve"> </w:t>
      </w:r>
      <w:r w:rsidR="00EB0BB8">
        <w:t>following</w:t>
      </w:r>
      <w:r w:rsidR="00EC127B">
        <w:t xml:space="preserve"> </w:t>
      </w:r>
      <w:r w:rsidR="00602507">
        <w:t>Australia</w:t>
      </w:r>
      <w:r w:rsidR="00EC127B">
        <w:t xml:space="preserve"> becoming a signatory to the</w:t>
      </w:r>
      <w:r w:rsidR="008F67AA" w:rsidRPr="00370FB4">
        <w:t xml:space="preserve"> Australia-U</w:t>
      </w:r>
      <w:r w:rsidR="00AF5D4F">
        <w:t xml:space="preserve">nited </w:t>
      </w:r>
      <w:r w:rsidR="008F67AA" w:rsidRPr="00370FB4">
        <w:t>K</w:t>
      </w:r>
      <w:r w:rsidR="00AF5D4F">
        <w:t>ingdom</w:t>
      </w:r>
      <w:r w:rsidR="008F67AA" w:rsidRPr="00370FB4">
        <w:t xml:space="preserve"> Free Trade Agreement</w:t>
      </w:r>
      <w:r w:rsidR="00EC127B">
        <w:t xml:space="preserve"> (the A</w:t>
      </w:r>
      <w:r w:rsidR="00AF5D4F">
        <w:t>-</w:t>
      </w:r>
      <w:r w:rsidR="00EC127B">
        <w:t xml:space="preserve">UKFTA), which was </w:t>
      </w:r>
      <w:r w:rsidR="008F67AA" w:rsidRPr="00370FB4">
        <w:t>signed on 17 December 2021</w:t>
      </w:r>
      <w:r w:rsidR="00EC127B">
        <w:t xml:space="preserve"> and came into force on 31 May 2023</w:t>
      </w:r>
      <w:r w:rsidR="008F67AA" w:rsidRPr="00370FB4">
        <w:t xml:space="preserve">. Under the terms of </w:t>
      </w:r>
      <w:r w:rsidR="00EC127B">
        <w:t>the A</w:t>
      </w:r>
      <w:r w:rsidR="00AF5D4F">
        <w:t>-</w:t>
      </w:r>
      <w:r w:rsidR="00EC127B">
        <w:t>UKFTA</w:t>
      </w:r>
      <w:r w:rsidR="00602507">
        <w:t xml:space="preserve"> </w:t>
      </w:r>
      <w:r w:rsidR="00EC127B">
        <w:t>‘</w:t>
      </w:r>
      <w:r w:rsidR="008F67AA" w:rsidRPr="00370FB4">
        <w:t>Side Letters on Mutual Understanding</w:t>
      </w:r>
      <w:r w:rsidR="00EC127B">
        <w:t>s</w:t>
      </w:r>
      <w:r w:rsidR="008F67AA" w:rsidRPr="00370FB4">
        <w:t xml:space="preserve"> on Mobility</w:t>
      </w:r>
      <w:r w:rsidR="000B6BE0">
        <w:t>’</w:t>
      </w:r>
      <w:r w:rsidR="00EC127B">
        <w:t>,</w:t>
      </w:r>
      <w:r w:rsidR="008F67AA" w:rsidRPr="00370FB4">
        <w:t xml:space="preserve"> </w:t>
      </w:r>
      <w:r w:rsidR="00EC127B">
        <w:t xml:space="preserve">the Australian </w:t>
      </w:r>
      <w:r w:rsidR="000A520A">
        <w:t xml:space="preserve">and United Kingdom Governments </w:t>
      </w:r>
      <w:r w:rsidR="00EC127B">
        <w:t>agreed</w:t>
      </w:r>
      <w:r w:rsidR="008F67AA" w:rsidRPr="00370FB4">
        <w:t xml:space="preserve"> to exempt</w:t>
      </w:r>
      <w:r w:rsidR="000A520A">
        <w:t xml:space="preserve"> eligible</w:t>
      </w:r>
      <w:r w:rsidR="008F67AA" w:rsidRPr="00370FB4">
        <w:t xml:space="preserve"> </w:t>
      </w:r>
      <w:r w:rsidR="000A520A">
        <w:t xml:space="preserve">citizens, who participate in </w:t>
      </w:r>
      <w:r w:rsidR="00602507">
        <w:t xml:space="preserve">the Working Holiday Maker </w:t>
      </w:r>
      <w:r w:rsidR="00E669DD">
        <w:t>program</w:t>
      </w:r>
      <w:r w:rsidR="00602507">
        <w:t xml:space="preserve"> from work</w:t>
      </w:r>
      <w:r w:rsidR="00A967A4">
        <w:t>ing</w:t>
      </w:r>
      <w:r w:rsidR="00602507">
        <w:t xml:space="preserve"> during their stay in Australia or the United Kingdom</w:t>
      </w:r>
      <w:r w:rsidR="008F67AA" w:rsidRPr="00370FB4">
        <w:rPr>
          <w:lang w:val="en-US"/>
        </w:rPr>
        <w:t>.</w:t>
      </w:r>
    </w:p>
    <w:p w14:paraId="391BD83B" w14:textId="027F9474" w:rsidR="007357F0" w:rsidRPr="00370FB4" w:rsidRDefault="00585634" w:rsidP="007357F0">
      <w:pPr>
        <w:pStyle w:val="ESPara"/>
      </w:pPr>
      <w:r>
        <w:t xml:space="preserve">Through </w:t>
      </w:r>
      <w:r w:rsidR="000B6BE0">
        <w:t xml:space="preserve">this </w:t>
      </w:r>
      <w:r>
        <w:t xml:space="preserve">instrument, the Australian Government </w:t>
      </w:r>
      <w:r w:rsidR="000B6BE0">
        <w:t>is complying with</w:t>
      </w:r>
      <w:r>
        <w:t xml:space="preserve"> its </w:t>
      </w:r>
      <w:r w:rsidR="00550225">
        <w:t>Working Holiday Maker commitments</w:t>
      </w:r>
      <w:r>
        <w:t xml:space="preserve"> under the A</w:t>
      </w:r>
      <w:r w:rsidR="00AF5D4F">
        <w:t>-</w:t>
      </w:r>
      <w:r>
        <w:t xml:space="preserve">UKFTA and it enables eligible second and third Subclass 417 (Working Holiday) visa applicants, who are citizens of the United Kingdom, to continue to participate in the Working Holiday Maker program without needing to undertake and </w:t>
      </w:r>
      <w:r w:rsidR="00D56169">
        <w:t>satisfy</w:t>
      </w:r>
      <w:r>
        <w:t xml:space="preserve"> the ‘specified Subclass 417 work’</w:t>
      </w:r>
      <w:r w:rsidR="00D56169">
        <w:t xml:space="preserve"> requirement provisions within the Migration Regulations</w:t>
      </w:r>
      <w:r>
        <w:t>.</w:t>
      </w:r>
    </w:p>
    <w:p w14:paraId="04A450AC" w14:textId="77777777" w:rsidR="008B24C8" w:rsidRDefault="008B24C8" w:rsidP="00100DFC">
      <w:pPr>
        <w:pStyle w:val="ESHeading"/>
      </w:pPr>
      <w:r w:rsidRPr="008B24C8">
        <w:t>Consultation</w:t>
      </w:r>
    </w:p>
    <w:p w14:paraId="2EB779C7" w14:textId="09058CCB" w:rsidR="008B24C8" w:rsidRDefault="00D56169" w:rsidP="00AF5D4F">
      <w:pPr>
        <w:pStyle w:val="ESPara"/>
      </w:pPr>
      <w:r>
        <w:t xml:space="preserve">Significant consultation in relation to the exemption for eligible United Kingdom </w:t>
      </w:r>
      <w:r w:rsidR="00AF5D4F">
        <w:t>citizens</w:t>
      </w:r>
      <w:r>
        <w:t>, who apply for second and third Subclass 417 (Working Holiday) visas, from having to undertake and satisfy the ‘specified Subclass 417 work’ requirement provisions within the Migration Regulations occurred with, and was ag</w:t>
      </w:r>
      <w:r w:rsidR="00AF5D4F">
        <w:t>reed to, by the Government of the U</w:t>
      </w:r>
      <w:r>
        <w:t xml:space="preserve">nited Kingdom. The Department of Home Affairs undertook significant bilateral </w:t>
      </w:r>
      <w:r w:rsidR="00AF5D4F">
        <w:t>negotiations</w:t>
      </w:r>
      <w:r>
        <w:t xml:space="preserve"> with the Government of the United Kingdom, in line with Australia’s Working Holiday Maker commitments under the </w:t>
      </w:r>
      <w:r w:rsidR="00AF5D4F" w:rsidRPr="00AF5D4F">
        <w:t>A-UKFTA</w:t>
      </w:r>
      <w:r w:rsidR="00AF5D4F">
        <w:t xml:space="preserve">. These negotiations were supported by the Department of Foreign Affairs and Trade. No concerns were raised with the </w:t>
      </w:r>
      <w:r w:rsidR="00FA44CA">
        <w:t xml:space="preserve">specified work </w:t>
      </w:r>
      <w:r w:rsidR="00AF5D4F">
        <w:t>exemption for eligible United Kingdom citizens</w:t>
      </w:r>
      <w:r w:rsidR="00FD09BF">
        <w:t>.</w:t>
      </w:r>
    </w:p>
    <w:p w14:paraId="4FC78FF9" w14:textId="0C2A06FA" w:rsidR="00430254" w:rsidRDefault="00430254" w:rsidP="00AF5D4F">
      <w:pPr>
        <w:pStyle w:val="ESPara"/>
      </w:pPr>
      <w:r w:rsidRPr="00430254">
        <w:t xml:space="preserve">The Office of Impact Analysis (OIA) was </w:t>
      </w:r>
      <w:r w:rsidR="00AF5D4F">
        <w:t xml:space="preserve">also </w:t>
      </w:r>
      <w:r w:rsidR="00AF5D4F" w:rsidRPr="00AF5D4F">
        <w:t>consulted and considered that the measures in the instrument are unlikely to have more than a minor regulatory impact and therefore an Impact Analysis is not required</w:t>
      </w:r>
      <w:r w:rsidRPr="00430254">
        <w:t>. The OIA reference number is </w:t>
      </w:r>
      <w:r w:rsidRPr="00FD4490">
        <w:rPr>
          <w:lang w:val="en-US"/>
        </w:rPr>
        <w:t>OIA24-</w:t>
      </w:r>
      <w:r w:rsidR="00FD4490" w:rsidRPr="00666233">
        <w:rPr>
          <w:lang w:val="en-US"/>
        </w:rPr>
        <w:t>07524</w:t>
      </w:r>
      <w:r w:rsidRPr="00FD4490">
        <w:rPr>
          <w:lang w:val="en-US"/>
        </w:rPr>
        <w:t>.</w:t>
      </w:r>
    </w:p>
    <w:p w14:paraId="35EB24A4" w14:textId="77777777" w:rsidR="00AA4557" w:rsidRDefault="00464080" w:rsidP="00100DFC">
      <w:pPr>
        <w:pStyle w:val="ESHeading"/>
      </w:pPr>
      <w:r>
        <w:t>Details</w:t>
      </w:r>
      <w:r w:rsidR="00AA4557">
        <w:t xml:space="preserve"> of the instrument</w:t>
      </w:r>
    </w:p>
    <w:p w14:paraId="18E9719C" w14:textId="4698A3DB" w:rsidR="00AA4557" w:rsidRDefault="00AA4557" w:rsidP="002D167E">
      <w:pPr>
        <w:pStyle w:val="ESPara"/>
      </w:pPr>
      <w:r>
        <w:t xml:space="preserve">Section 1 </w:t>
      </w:r>
      <w:r w:rsidR="00B20DC7">
        <w:t>provides</w:t>
      </w:r>
      <w:r w:rsidR="00E03DCC">
        <w:t xml:space="preserve"> the name of the instrument.</w:t>
      </w:r>
    </w:p>
    <w:p w14:paraId="4EB832D5" w14:textId="3D04F448" w:rsidR="00AA4557" w:rsidRDefault="00AA4557" w:rsidP="002D167E">
      <w:pPr>
        <w:pStyle w:val="ESPara"/>
      </w:pPr>
      <w:r>
        <w:t xml:space="preserve">Section 2 provides </w:t>
      </w:r>
      <w:r w:rsidR="00B20DC7">
        <w:t>that</w:t>
      </w:r>
      <w:r>
        <w:t xml:space="preserve"> the </w:t>
      </w:r>
      <w:r w:rsidR="00B20DC7">
        <w:t xml:space="preserve">instrument </w:t>
      </w:r>
      <w:r>
        <w:t>commenc</w:t>
      </w:r>
      <w:r w:rsidR="00B20DC7">
        <w:t>es</w:t>
      </w:r>
      <w:r>
        <w:t xml:space="preserve"> on </w:t>
      </w:r>
      <w:r w:rsidR="00860AF4">
        <w:t>1 July 2024.</w:t>
      </w:r>
    </w:p>
    <w:p w14:paraId="0B82E1F6" w14:textId="7BD95403" w:rsidR="0034140A" w:rsidRDefault="00AA4F77" w:rsidP="0034140A">
      <w:pPr>
        <w:pStyle w:val="ESPara"/>
      </w:pPr>
      <w:r>
        <w:t>Section 3</w:t>
      </w:r>
      <w:r w:rsidR="0034140A">
        <w:t xml:space="preserve"> provides </w:t>
      </w:r>
      <w:r w:rsidR="00471F25">
        <w:t xml:space="preserve">that </w:t>
      </w:r>
      <w:r w:rsidR="0034140A">
        <w:t xml:space="preserve">the instrument </w:t>
      </w:r>
      <w:r w:rsidR="00471F25">
        <w:t xml:space="preserve">is </w:t>
      </w:r>
      <w:r w:rsidR="0034140A">
        <w:t xml:space="preserve">made under </w:t>
      </w:r>
      <w:r w:rsidR="0034140A" w:rsidRPr="0034140A">
        <w:t xml:space="preserve">subitem 1225(3BA) of Schedule 1 to the </w:t>
      </w:r>
      <w:r w:rsidR="00FC558F">
        <w:t xml:space="preserve">Migration </w:t>
      </w:r>
      <w:r w:rsidR="0034140A" w:rsidRPr="0034140A">
        <w:t>Regulations</w:t>
      </w:r>
      <w:r w:rsidR="0034140A">
        <w:t>.</w:t>
      </w:r>
    </w:p>
    <w:p w14:paraId="0B93EB66" w14:textId="20FF42F0" w:rsidR="00B20DC7" w:rsidRDefault="0034140A" w:rsidP="00AA4F77">
      <w:pPr>
        <w:pStyle w:val="ESPara"/>
      </w:pPr>
      <w:r w:rsidRPr="00EE25FC">
        <w:t>Section 4</w:t>
      </w:r>
      <w:r w:rsidR="00AA4F77" w:rsidRPr="00EE25FC">
        <w:t xml:space="preserve"> </w:t>
      </w:r>
      <w:r w:rsidR="00B20DC7" w:rsidRPr="00EE25FC">
        <w:t>provides</w:t>
      </w:r>
      <w:r w:rsidR="00B20DC7">
        <w:t xml:space="preserve"> for definitions used in the instrument</w:t>
      </w:r>
      <w:r w:rsidR="00AA4F77">
        <w:t>.</w:t>
      </w:r>
    </w:p>
    <w:p w14:paraId="59FF5C4D" w14:textId="47D04FEB" w:rsidR="008002D5" w:rsidRDefault="00B20DC7" w:rsidP="00471F25">
      <w:pPr>
        <w:pStyle w:val="ESPara"/>
      </w:pPr>
      <w:r>
        <w:lastRenderedPageBreak/>
        <w:t>Section 5 provides that</w:t>
      </w:r>
      <w:r w:rsidR="008002D5">
        <w:t xml:space="preserve"> a valid passport issued by a country or region mentioned in an item of Schedule 1 to the instrument </w:t>
      </w:r>
      <w:r w:rsidR="00471F25">
        <w:t>which</w:t>
      </w:r>
      <w:r w:rsidR="008002D5">
        <w:t xml:space="preserve"> satisfies the conditions mentioned in that item of Schedule 1 to the instrument </w:t>
      </w:r>
      <w:r w:rsidR="00471F25">
        <w:t xml:space="preserve">is specified </w:t>
      </w:r>
      <w:r w:rsidR="008002D5">
        <w:t>for the purposes of subitem 1225(3BA) of Schedule 1 to the Migration Regulations.</w:t>
      </w:r>
    </w:p>
    <w:p w14:paraId="5E0433CD" w14:textId="78D97325" w:rsidR="00AA4F77" w:rsidRDefault="00B20DC7" w:rsidP="00AA4F77">
      <w:pPr>
        <w:pStyle w:val="ESPara"/>
      </w:pPr>
      <w:r>
        <w:t xml:space="preserve">Item 1 of Schedule 1 of the instrument provides for </w:t>
      </w:r>
      <w:r w:rsidR="00524F68">
        <w:t>United Kingdom passport holders. That passport must indicate that the applicant’s nationality is a British citizen or a British national (overseas).</w:t>
      </w:r>
    </w:p>
    <w:p w14:paraId="62443B1A" w14:textId="49235724" w:rsidR="00AA4557" w:rsidRPr="00AA4557" w:rsidRDefault="00AA4557" w:rsidP="00100DFC">
      <w:pPr>
        <w:pStyle w:val="ESHeading"/>
      </w:pPr>
      <w:r>
        <w:t>Parliamentary scrutiny etc.</w:t>
      </w:r>
    </w:p>
    <w:p w14:paraId="6E9C4968" w14:textId="1132F2BD" w:rsidR="00E03DCC" w:rsidRDefault="00E03DCC" w:rsidP="002D167E">
      <w:pPr>
        <w:pStyle w:val="ESPara"/>
      </w:pPr>
      <w:r>
        <w:t xml:space="preserve">The instrument is exempt from disallowance under section 42 of the Legislation Act. This is because </w:t>
      </w:r>
      <w:r w:rsidR="00367EFD">
        <w:t xml:space="preserve">it is an instrument made under subitem 1225(3BA) of Schedule 1 to the </w:t>
      </w:r>
      <w:r w:rsidR="00FC558F">
        <w:t>Migration R</w:t>
      </w:r>
      <w:r w:rsidR="00367EFD">
        <w:t xml:space="preserve">egulations, and is exempt from disallowance under subitem 20(b) of the table in section 10 of the </w:t>
      </w:r>
      <w:r w:rsidR="00367EFD">
        <w:rPr>
          <w:i/>
          <w:iCs/>
        </w:rPr>
        <w:t>Legislation (Exemptions and Other Matters) Regulation 2015</w:t>
      </w:r>
      <w:r w:rsidR="00367EFD">
        <w:t>.</w:t>
      </w:r>
    </w:p>
    <w:p w14:paraId="7CB9095F" w14:textId="77777777" w:rsidR="0034140A" w:rsidRDefault="0034140A" w:rsidP="002D167E">
      <w:pPr>
        <w:pStyle w:val="ESPara"/>
      </w:pPr>
      <w:r>
        <w:t>As the instrument is exempt from disallowance, a Statement of Compatibility with Human Rights is not required.</w:t>
      </w:r>
    </w:p>
    <w:p w14:paraId="61A9859C" w14:textId="700BFD4B" w:rsidR="0034140A" w:rsidRDefault="00B75478" w:rsidP="00A43FDD">
      <w:pPr>
        <w:pStyle w:val="ESPara"/>
      </w:pPr>
      <w:r w:rsidRPr="00B75478">
        <w:t xml:space="preserve">The </w:t>
      </w:r>
      <w:r>
        <w:t xml:space="preserve">instrument was made by </w:t>
      </w:r>
      <w:r w:rsidR="00B20DC7">
        <w:t xml:space="preserve">the </w:t>
      </w:r>
      <w:r w:rsidR="00524F68">
        <w:t>Minister for Immigration, Citizenship and Multicultural Affairs</w:t>
      </w:r>
      <w:r>
        <w:t xml:space="preserve"> in accordance with</w:t>
      </w:r>
      <w:r w:rsidR="0034140A">
        <w:t xml:space="preserve"> </w:t>
      </w:r>
      <w:r w:rsidR="0034140A" w:rsidRPr="004B0F97">
        <w:t>subitem 1225(3BA) of Schedule 1</w:t>
      </w:r>
      <w:r w:rsidR="0034140A">
        <w:t xml:space="preserve"> to the </w:t>
      </w:r>
      <w:r w:rsidR="00FC558F">
        <w:t xml:space="preserve">Migration </w:t>
      </w:r>
      <w:r w:rsidR="0034140A">
        <w:t>Regulations</w:t>
      </w:r>
      <w:r>
        <w:t>.</w:t>
      </w:r>
    </w:p>
    <w:p w14:paraId="1F53DDEE" w14:textId="77777777" w:rsidR="00915032" w:rsidRPr="00915032" w:rsidRDefault="00915032" w:rsidP="00524F68">
      <w:pPr>
        <w:pStyle w:val="ESPara"/>
        <w:numPr>
          <w:ilvl w:val="0"/>
          <w:numId w:val="0"/>
        </w:numPr>
        <w:ind w:left="567" w:hanging="567"/>
        <w:rPr>
          <w:b/>
        </w:rPr>
      </w:pPr>
    </w:p>
    <w:sectPr w:rsidR="00915032" w:rsidRPr="00915032" w:rsidSect="004F5C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89A4E" w14:textId="77777777" w:rsidR="0029319F" w:rsidRDefault="0029319F" w:rsidP="0029319F">
      <w:pPr>
        <w:spacing w:after="0" w:line="240" w:lineRule="auto"/>
      </w:pPr>
      <w:r>
        <w:separator/>
      </w:r>
    </w:p>
  </w:endnote>
  <w:endnote w:type="continuationSeparator" w:id="0">
    <w:p w14:paraId="2394F42B" w14:textId="77777777" w:rsidR="0029319F" w:rsidRDefault="0029319F" w:rsidP="0029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54252" w14:textId="77777777" w:rsidR="0029319F" w:rsidRDefault="00293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F46F" w14:textId="77777777" w:rsidR="0029319F" w:rsidRDefault="00293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7FF4" w14:textId="77777777" w:rsidR="0029319F" w:rsidRDefault="00293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FD986" w14:textId="77777777" w:rsidR="0029319F" w:rsidRDefault="0029319F" w:rsidP="0029319F">
      <w:pPr>
        <w:spacing w:after="0" w:line="240" w:lineRule="auto"/>
      </w:pPr>
      <w:r>
        <w:separator/>
      </w:r>
    </w:p>
  </w:footnote>
  <w:footnote w:type="continuationSeparator" w:id="0">
    <w:p w14:paraId="6365D8C1" w14:textId="77777777" w:rsidR="0029319F" w:rsidRDefault="0029319F" w:rsidP="00293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F633" w14:textId="77777777" w:rsidR="0029319F" w:rsidRDefault="00293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72291" w14:textId="77777777" w:rsidR="0029319F" w:rsidRDefault="00293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E25D" w14:textId="77777777" w:rsidR="0029319F" w:rsidRDefault="00293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0FA"/>
    <w:multiLevelType w:val="hybridMultilevel"/>
    <w:tmpl w:val="7FBCE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A0F16"/>
    <w:multiLevelType w:val="hybridMultilevel"/>
    <w:tmpl w:val="F8068C0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115D5504"/>
    <w:multiLevelType w:val="hybridMultilevel"/>
    <w:tmpl w:val="8B8C1340"/>
    <w:lvl w:ilvl="0" w:tplc="146011C2">
      <w:start w:val="1"/>
      <w:numFmt w:val="bullet"/>
      <w:lvlText w:val=""/>
      <w:lvlJc w:val="left"/>
      <w:pPr>
        <w:ind w:left="1210" w:hanging="360"/>
      </w:pPr>
      <w:rPr>
        <w:rFonts w:ascii="Symbol" w:hAnsi="Symbol" w:hint="default"/>
        <w:sz w:val="16"/>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 w15:restartNumberingAfterBreak="0">
    <w:nsid w:val="2FF22002"/>
    <w:multiLevelType w:val="hybridMultilevel"/>
    <w:tmpl w:val="31F03FE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3D0102"/>
    <w:multiLevelType w:val="hybridMultilevel"/>
    <w:tmpl w:val="D5DC0D40"/>
    <w:lvl w:ilvl="0" w:tplc="0C090003">
      <w:start w:val="1"/>
      <w:numFmt w:val="bullet"/>
      <w:lvlText w:val="o"/>
      <w:lvlJc w:val="left"/>
      <w:pPr>
        <w:ind w:left="1074" w:hanging="360"/>
      </w:pPr>
      <w:rPr>
        <w:rFonts w:ascii="Courier New" w:hAnsi="Courier New" w:cs="Courier New"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6" w15:restartNumberingAfterBreak="0">
    <w:nsid w:val="4AC400C0"/>
    <w:multiLevelType w:val="hybridMultilevel"/>
    <w:tmpl w:val="B5A64500"/>
    <w:lvl w:ilvl="0" w:tplc="49302398">
      <w:start w:val="1"/>
      <w:numFmt w:val="decimal"/>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7" w15:restartNumberingAfterBreak="0">
    <w:nsid w:val="4B280A99"/>
    <w:multiLevelType w:val="hybridMultilevel"/>
    <w:tmpl w:val="A31629B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8460FE"/>
    <w:multiLevelType w:val="hybridMultilevel"/>
    <w:tmpl w:val="8F8C6D0A"/>
    <w:lvl w:ilvl="0" w:tplc="0C090003">
      <w:start w:val="1"/>
      <w:numFmt w:val="bullet"/>
      <w:lvlText w:val="o"/>
      <w:lvlJc w:val="left"/>
      <w:pPr>
        <w:ind w:left="1074" w:hanging="360"/>
      </w:pPr>
      <w:rPr>
        <w:rFonts w:ascii="Courier New" w:hAnsi="Courier New" w:cs="Courier New"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num w:numId="1">
    <w:abstractNumId w:val="4"/>
  </w:num>
  <w:num w:numId="2">
    <w:abstractNumId w:val="8"/>
  </w:num>
  <w:num w:numId="3">
    <w:abstractNumId w:val="8"/>
  </w:num>
  <w:num w:numId="4">
    <w:abstractNumId w:val="8"/>
  </w:num>
  <w:num w:numId="5">
    <w:abstractNumId w:val="6"/>
  </w:num>
  <w:num w:numId="6">
    <w:abstractNumId w:val="2"/>
  </w:num>
  <w:num w:numId="7">
    <w:abstractNumId w:val="3"/>
  </w:num>
  <w:num w:numId="8">
    <w:abstractNumId w:val="1"/>
  </w:num>
  <w:num w:numId="9">
    <w:abstractNumId w:val="0"/>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F7"/>
    <w:rsid w:val="00084763"/>
    <w:rsid w:val="000936D1"/>
    <w:rsid w:val="000A4779"/>
    <w:rsid w:val="000A520A"/>
    <w:rsid w:val="000A58F5"/>
    <w:rsid w:val="000B6BE0"/>
    <w:rsid w:val="000D014F"/>
    <w:rsid w:val="00100DFC"/>
    <w:rsid w:val="001427B5"/>
    <w:rsid w:val="001765B7"/>
    <w:rsid w:val="0019164E"/>
    <w:rsid w:val="001A64D6"/>
    <w:rsid w:val="001D2ED7"/>
    <w:rsid w:val="00217891"/>
    <w:rsid w:val="002319E9"/>
    <w:rsid w:val="002402E0"/>
    <w:rsid w:val="0029319F"/>
    <w:rsid w:val="002A50A0"/>
    <w:rsid w:val="002C14D8"/>
    <w:rsid w:val="002C28C1"/>
    <w:rsid w:val="002C5499"/>
    <w:rsid w:val="002D167E"/>
    <w:rsid w:val="002F731A"/>
    <w:rsid w:val="0034140A"/>
    <w:rsid w:val="00367EFD"/>
    <w:rsid w:val="00370FB4"/>
    <w:rsid w:val="00392C25"/>
    <w:rsid w:val="003B304D"/>
    <w:rsid w:val="003B3C95"/>
    <w:rsid w:val="003D40A7"/>
    <w:rsid w:val="00423907"/>
    <w:rsid w:val="00430254"/>
    <w:rsid w:val="00437983"/>
    <w:rsid w:val="00457D4A"/>
    <w:rsid w:val="00464080"/>
    <w:rsid w:val="00471F25"/>
    <w:rsid w:val="00477B81"/>
    <w:rsid w:val="00493010"/>
    <w:rsid w:val="004C3CCF"/>
    <w:rsid w:val="004F0519"/>
    <w:rsid w:val="004F5CE4"/>
    <w:rsid w:val="00524F68"/>
    <w:rsid w:val="005463B5"/>
    <w:rsid w:val="0054720A"/>
    <w:rsid w:val="00550225"/>
    <w:rsid w:val="00560B24"/>
    <w:rsid w:val="0057002B"/>
    <w:rsid w:val="00585634"/>
    <w:rsid w:val="00586D8D"/>
    <w:rsid w:val="005A3733"/>
    <w:rsid w:val="005A4C0A"/>
    <w:rsid w:val="005A6AED"/>
    <w:rsid w:val="005E742D"/>
    <w:rsid w:val="005F1575"/>
    <w:rsid w:val="005F2D16"/>
    <w:rsid w:val="00602507"/>
    <w:rsid w:val="00604E06"/>
    <w:rsid w:val="00666233"/>
    <w:rsid w:val="00673D3C"/>
    <w:rsid w:val="006A3AF7"/>
    <w:rsid w:val="006A448C"/>
    <w:rsid w:val="006A7BB8"/>
    <w:rsid w:val="007357F0"/>
    <w:rsid w:val="00784514"/>
    <w:rsid w:val="007B5ECC"/>
    <w:rsid w:val="007E4691"/>
    <w:rsid w:val="007F6613"/>
    <w:rsid w:val="008002D5"/>
    <w:rsid w:val="00860AF4"/>
    <w:rsid w:val="0088407D"/>
    <w:rsid w:val="008A3190"/>
    <w:rsid w:val="008A6D03"/>
    <w:rsid w:val="008B24C8"/>
    <w:rsid w:val="008B274A"/>
    <w:rsid w:val="008C706B"/>
    <w:rsid w:val="008F67AA"/>
    <w:rsid w:val="008F7F38"/>
    <w:rsid w:val="00915032"/>
    <w:rsid w:val="00916440"/>
    <w:rsid w:val="009406F1"/>
    <w:rsid w:val="009522D2"/>
    <w:rsid w:val="009A398B"/>
    <w:rsid w:val="009D0A75"/>
    <w:rsid w:val="009F1CF7"/>
    <w:rsid w:val="00A026AF"/>
    <w:rsid w:val="00A72227"/>
    <w:rsid w:val="00A967A4"/>
    <w:rsid w:val="00AA4557"/>
    <w:rsid w:val="00AA4F77"/>
    <w:rsid w:val="00AB3018"/>
    <w:rsid w:val="00AE41E9"/>
    <w:rsid w:val="00AF5D4F"/>
    <w:rsid w:val="00B10B04"/>
    <w:rsid w:val="00B20DC7"/>
    <w:rsid w:val="00B445D9"/>
    <w:rsid w:val="00B53E7B"/>
    <w:rsid w:val="00B65A06"/>
    <w:rsid w:val="00B668D7"/>
    <w:rsid w:val="00B75478"/>
    <w:rsid w:val="00BA15F7"/>
    <w:rsid w:val="00BA1F2E"/>
    <w:rsid w:val="00BB0CF2"/>
    <w:rsid w:val="00BD598E"/>
    <w:rsid w:val="00BE3E7F"/>
    <w:rsid w:val="00C31CCE"/>
    <w:rsid w:val="00C42161"/>
    <w:rsid w:val="00C533B2"/>
    <w:rsid w:val="00C67271"/>
    <w:rsid w:val="00C75F46"/>
    <w:rsid w:val="00C76D4F"/>
    <w:rsid w:val="00C81A5E"/>
    <w:rsid w:val="00C86F0D"/>
    <w:rsid w:val="00C930F2"/>
    <w:rsid w:val="00CB7DB2"/>
    <w:rsid w:val="00CF2464"/>
    <w:rsid w:val="00D23091"/>
    <w:rsid w:val="00D26B2B"/>
    <w:rsid w:val="00D40E1E"/>
    <w:rsid w:val="00D56169"/>
    <w:rsid w:val="00DA4ED9"/>
    <w:rsid w:val="00E03D87"/>
    <w:rsid w:val="00E03DCC"/>
    <w:rsid w:val="00E34EF1"/>
    <w:rsid w:val="00E45FE2"/>
    <w:rsid w:val="00E669DD"/>
    <w:rsid w:val="00E872D8"/>
    <w:rsid w:val="00EA12C9"/>
    <w:rsid w:val="00EB0BB8"/>
    <w:rsid w:val="00EC127B"/>
    <w:rsid w:val="00EE25FC"/>
    <w:rsid w:val="00F07908"/>
    <w:rsid w:val="00F60243"/>
    <w:rsid w:val="00FA44CA"/>
    <w:rsid w:val="00FC558F"/>
    <w:rsid w:val="00FD09BF"/>
    <w:rsid w:val="00FD4490"/>
    <w:rsid w:val="00FE0FEE"/>
    <w:rsid w:val="00FF0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40BD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Definition">
    <w:name w:val="Definition"/>
    <w:aliases w:val="dd"/>
    <w:basedOn w:val="Normal"/>
    <w:rsid w:val="00860AF4"/>
    <w:pPr>
      <w:spacing w:before="180" w:after="0" w:line="240" w:lineRule="auto"/>
      <w:ind w:left="1134"/>
    </w:pPr>
    <w:rPr>
      <w:rFonts w:ascii="Times New Roman" w:eastAsia="Times New Roman" w:hAnsi="Times New Roman" w:cs="Times New Roman"/>
      <w:szCs w:val="20"/>
      <w:lang w:eastAsia="en-AU"/>
    </w:rPr>
  </w:style>
  <w:style w:type="paragraph" w:customStyle="1" w:styleId="essubparalist0">
    <w:name w:val="essubparalist"/>
    <w:basedOn w:val="Normal"/>
    <w:rsid w:val="003414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D0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A75"/>
    <w:rPr>
      <w:rFonts w:ascii="Segoe UI" w:hAnsi="Segoe UI" w:cs="Segoe UI"/>
      <w:sz w:val="18"/>
      <w:szCs w:val="18"/>
    </w:rPr>
  </w:style>
  <w:style w:type="character" w:styleId="CommentReference">
    <w:name w:val="annotation reference"/>
    <w:basedOn w:val="DefaultParagraphFont"/>
    <w:uiPriority w:val="99"/>
    <w:semiHidden/>
    <w:unhideWhenUsed/>
    <w:rsid w:val="00FF0FC0"/>
    <w:rPr>
      <w:sz w:val="16"/>
      <w:szCs w:val="16"/>
    </w:rPr>
  </w:style>
  <w:style w:type="paragraph" w:styleId="CommentText">
    <w:name w:val="annotation text"/>
    <w:basedOn w:val="Normal"/>
    <w:link w:val="CommentTextChar"/>
    <w:uiPriority w:val="99"/>
    <w:unhideWhenUsed/>
    <w:rsid w:val="00FF0FC0"/>
    <w:pPr>
      <w:spacing w:line="240" w:lineRule="auto"/>
    </w:pPr>
    <w:rPr>
      <w:sz w:val="20"/>
      <w:szCs w:val="20"/>
    </w:rPr>
  </w:style>
  <w:style w:type="character" w:customStyle="1" w:styleId="CommentTextChar">
    <w:name w:val="Comment Text Char"/>
    <w:basedOn w:val="DefaultParagraphFont"/>
    <w:link w:val="CommentText"/>
    <w:uiPriority w:val="99"/>
    <w:rsid w:val="00FF0FC0"/>
    <w:rPr>
      <w:sz w:val="20"/>
      <w:szCs w:val="20"/>
    </w:rPr>
  </w:style>
  <w:style w:type="paragraph" w:styleId="CommentSubject">
    <w:name w:val="annotation subject"/>
    <w:basedOn w:val="CommentText"/>
    <w:next w:val="CommentText"/>
    <w:link w:val="CommentSubjectChar"/>
    <w:uiPriority w:val="99"/>
    <w:semiHidden/>
    <w:unhideWhenUsed/>
    <w:rsid w:val="00FF0FC0"/>
    <w:rPr>
      <w:b/>
      <w:bCs/>
    </w:rPr>
  </w:style>
  <w:style w:type="character" w:customStyle="1" w:styleId="CommentSubjectChar">
    <w:name w:val="Comment Subject Char"/>
    <w:basedOn w:val="CommentTextChar"/>
    <w:link w:val="CommentSubject"/>
    <w:uiPriority w:val="99"/>
    <w:semiHidden/>
    <w:rsid w:val="00FF0FC0"/>
    <w:rPr>
      <w:b/>
      <w:bCs/>
      <w:sz w:val="20"/>
      <w:szCs w:val="20"/>
    </w:rPr>
  </w:style>
  <w:style w:type="character" w:styleId="Hyperlink">
    <w:name w:val="Hyperlink"/>
    <w:basedOn w:val="DefaultParagraphFont"/>
    <w:uiPriority w:val="99"/>
    <w:semiHidden/>
    <w:unhideWhenUsed/>
    <w:rsid w:val="00602507"/>
    <w:rPr>
      <w:color w:val="0000FF"/>
      <w:u w:val="single"/>
    </w:rPr>
  </w:style>
  <w:style w:type="paragraph" w:styleId="Header">
    <w:name w:val="header"/>
    <w:basedOn w:val="Normal"/>
    <w:link w:val="HeaderChar"/>
    <w:uiPriority w:val="99"/>
    <w:unhideWhenUsed/>
    <w:rsid w:val="00293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19F"/>
  </w:style>
  <w:style w:type="paragraph" w:styleId="Footer">
    <w:name w:val="footer"/>
    <w:basedOn w:val="Normal"/>
    <w:link w:val="FooterChar"/>
    <w:uiPriority w:val="99"/>
    <w:unhideWhenUsed/>
    <w:rsid w:val="00293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81893">
      <w:bodyDiv w:val="1"/>
      <w:marLeft w:val="0"/>
      <w:marRight w:val="0"/>
      <w:marTop w:val="0"/>
      <w:marBottom w:val="0"/>
      <w:divBdr>
        <w:top w:val="none" w:sz="0" w:space="0" w:color="auto"/>
        <w:left w:val="none" w:sz="0" w:space="0" w:color="auto"/>
        <w:bottom w:val="none" w:sz="0" w:space="0" w:color="auto"/>
        <w:right w:val="none" w:sz="0" w:space="0" w:color="auto"/>
      </w:divBdr>
    </w:div>
    <w:div w:id="1321230425">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5857</Characters>
  <Application>Microsoft Office Word</Application>
  <DocSecurity>0</DocSecurity>
  <Lines>86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2024-06-07T01:42:00Z</dcterms:created>
  <dcterms:modified xsi:type="dcterms:W3CDTF">2024-06-07T01:42:00Z</dcterms:modified>
</cp:coreProperties>
</file>