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1F64" w14:textId="0F7B2795" w:rsidR="002436BD" w:rsidRPr="0063635D" w:rsidRDefault="007B5912" w:rsidP="75515248">
      <w:pPr>
        <w:pStyle w:val="Heading"/>
        <w:spacing w:after="240"/>
        <w:jc w:val="center"/>
        <w:rPr>
          <w:rFonts w:ascii="Times New Roman" w:hAnsi="Times New Roman"/>
          <w:i/>
          <w:sz w:val="24"/>
          <w:szCs w:val="24"/>
        </w:rPr>
      </w:pPr>
      <w:r w:rsidRPr="0063635D">
        <w:rPr>
          <w:rFonts w:ascii="Times New Roman" w:hAnsi="Times New Roman"/>
          <w:i/>
          <w:sz w:val="24"/>
          <w:szCs w:val="24"/>
        </w:rPr>
        <w:t>Superannuation (</w:t>
      </w:r>
      <w:r w:rsidR="00EA09EA" w:rsidRPr="0063635D">
        <w:rPr>
          <w:rFonts w:ascii="Times New Roman" w:hAnsi="Times New Roman"/>
          <w:i/>
          <w:sz w:val="24"/>
          <w:szCs w:val="24"/>
        </w:rPr>
        <w:t xml:space="preserve">prudential standard) </w:t>
      </w:r>
      <w:r w:rsidR="002436BD" w:rsidRPr="0063635D">
        <w:rPr>
          <w:rFonts w:ascii="Times New Roman" w:hAnsi="Times New Roman"/>
          <w:i/>
          <w:sz w:val="24"/>
          <w:szCs w:val="24"/>
        </w:rPr>
        <w:t>determination No.</w:t>
      </w:r>
      <w:r w:rsidR="0034479C" w:rsidRPr="0063635D">
        <w:rPr>
          <w:rFonts w:ascii="Times New Roman" w:hAnsi="Times New Roman"/>
          <w:i/>
          <w:sz w:val="24"/>
          <w:szCs w:val="24"/>
        </w:rPr>
        <w:t xml:space="preserve"> </w:t>
      </w:r>
      <w:r w:rsidR="003B19EF" w:rsidRPr="0063635D">
        <w:rPr>
          <w:rFonts w:ascii="Times New Roman" w:hAnsi="Times New Roman"/>
          <w:i/>
          <w:sz w:val="24"/>
          <w:szCs w:val="24"/>
        </w:rPr>
        <w:t>3</w:t>
      </w:r>
      <w:r w:rsidR="0034479C" w:rsidRPr="0063635D">
        <w:rPr>
          <w:rFonts w:ascii="Times New Roman" w:hAnsi="Times New Roman"/>
          <w:i/>
          <w:sz w:val="24"/>
          <w:szCs w:val="24"/>
        </w:rPr>
        <w:t xml:space="preserve"> </w:t>
      </w:r>
      <w:r w:rsidR="002436BD" w:rsidRPr="0063635D">
        <w:rPr>
          <w:rFonts w:ascii="Times New Roman" w:hAnsi="Times New Roman"/>
          <w:i/>
          <w:sz w:val="24"/>
          <w:szCs w:val="24"/>
        </w:rPr>
        <w:t>of 20</w:t>
      </w:r>
      <w:r w:rsidR="001D0A56" w:rsidRPr="0063635D">
        <w:rPr>
          <w:rFonts w:ascii="Times New Roman" w:hAnsi="Times New Roman"/>
          <w:i/>
          <w:sz w:val="24"/>
          <w:szCs w:val="24"/>
        </w:rPr>
        <w:t>2</w:t>
      </w:r>
      <w:r w:rsidR="2E405026" w:rsidRPr="0063635D">
        <w:rPr>
          <w:rFonts w:ascii="Times New Roman" w:hAnsi="Times New Roman"/>
          <w:i/>
          <w:sz w:val="24"/>
          <w:szCs w:val="24"/>
        </w:rPr>
        <w:t>4</w:t>
      </w:r>
    </w:p>
    <w:p w14:paraId="31A3EA7D" w14:textId="77777777" w:rsidR="002436BD" w:rsidRPr="00564008" w:rsidRDefault="002436BD" w:rsidP="008E5D4C">
      <w:pPr>
        <w:pStyle w:val="Heading"/>
        <w:tabs>
          <w:tab w:val="left" w:pos="360"/>
        </w:tabs>
        <w:spacing w:after="240"/>
        <w:jc w:val="center"/>
        <w:rPr>
          <w:rFonts w:ascii="Times New Roman" w:hAnsi="Times New Roman"/>
          <w:sz w:val="24"/>
          <w:szCs w:val="24"/>
          <w:u w:val="single"/>
        </w:rPr>
      </w:pPr>
      <w:bookmarkStart w:id="0" w:name="bkInstrumentSubTitle"/>
      <w:bookmarkEnd w:id="0"/>
      <w:r w:rsidRPr="00564008">
        <w:rPr>
          <w:rFonts w:ascii="Times New Roman" w:hAnsi="Times New Roman"/>
          <w:sz w:val="24"/>
          <w:szCs w:val="24"/>
          <w:u w:val="single"/>
        </w:rPr>
        <w:t>EXPLANATORY STATEMENT</w:t>
      </w:r>
    </w:p>
    <w:p w14:paraId="786788DC" w14:textId="77777777" w:rsidR="002436BD" w:rsidRPr="00564008" w:rsidRDefault="002436BD" w:rsidP="008E5D4C">
      <w:pPr>
        <w:pStyle w:val="Heading"/>
        <w:spacing w:after="240"/>
        <w:jc w:val="center"/>
        <w:rPr>
          <w:rFonts w:ascii="Times New Roman" w:hAnsi="Times New Roman"/>
          <w:sz w:val="24"/>
          <w:szCs w:val="24"/>
        </w:rPr>
      </w:pPr>
      <w:r w:rsidRPr="00564008">
        <w:rPr>
          <w:rFonts w:ascii="Times New Roman" w:hAnsi="Times New Roman"/>
          <w:sz w:val="24"/>
          <w:szCs w:val="24"/>
        </w:rPr>
        <w:t>Prepared by the Australian Prudential Regulation Authority (APRA)</w:t>
      </w:r>
    </w:p>
    <w:p w14:paraId="36FA5CC1" w14:textId="5EFD999D" w:rsidR="002436BD" w:rsidRPr="00564008" w:rsidRDefault="005B66C7" w:rsidP="008E5D4C">
      <w:pPr>
        <w:pStyle w:val="Heading"/>
        <w:tabs>
          <w:tab w:val="left" w:pos="360"/>
        </w:tabs>
        <w:spacing w:after="240"/>
        <w:jc w:val="center"/>
        <w:rPr>
          <w:rFonts w:ascii="Times New Roman" w:hAnsi="Times New Roman"/>
          <w:b w:val="0"/>
          <w:color w:val="000000"/>
          <w:sz w:val="24"/>
          <w:szCs w:val="24"/>
        </w:rPr>
      </w:pPr>
      <w:r w:rsidRPr="00564008">
        <w:rPr>
          <w:rFonts w:ascii="Times New Roman" w:hAnsi="Times New Roman"/>
          <w:b w:val="0"/>
          <w:i/>
          <w:sz w:val="24"/>
          <w:szCs w:val="24"/>
        </w:rPr>
        <w:t>Superannuation Industry (Supervision) Act 1993</w:t>
      </w:r>
      <w:r w:rsidR="009A2443">
        <w:rPr>
          <w:rFonts w:ascii="Times New Roman" w:hAnsi="Times New Roman"/>
          <w:b w:val="0"/>
          <w:sz w:val="24"/>
          <w:szCs w:val="24"/>
        </w:rPr>
        <w:t>,</w:t>
      </w:r>
      <w:r w:rsidRPr="00564008">
        <w:rPr>
          <w:rFonts w:ascii="Times New Roman" w:hAnsi="Times New Roman"/>
          <w:b w:val="0"/>
          <w:sz w:val="24"/>
          <w:szCs w:val="24"/>
        </w:rPr>
        <w:t xml:space="preserve"> </w:t>
      </w:r>
      <w:r w:rsidR="002436BD" w:rsidRPr="00564008">
        <w:rPr>
          <w:rFonts w:ascii="Times New Roman" w:hAnsi="Times New Roman"/>
          <w:b w:val="0"/>
          <w:color w:val="000000"/>
          <w:sz w:val="24"/>
          <w:szCs w:val="24"/>
        </w:rPr>
        <w:t xml:space="preserve">section </w:t>
      </w:r>
      <w:r w:rsidRPr="00564008">
        <w:rPr>
          <w:rFonts w:ascii="Times New Roman" w:hAnsi="Times New Roman"/>
          <w:b w:val="0"/>
          <w:color w:val="000000"/>
          <w:sz w:val="24"/>
          <w:szCs w:val="24"/>
        </w:rPr>
        <w:t>34</w:t>
      </w:r>
      <w:proofErr w:type="gramStart"/>
      <w:r w:rsidRPr="00564008">
        <w:rPr>
          <w:rFonts w:ascii="Times New Roman" w:hAnsi="Times New Roman"/>
          <w:b w:val="0"/>
          <w:color w:val="000000"/>
          <w:sz w:val="24"/>
          <w:szCs w:val="24"/>
        </w:rPr>
        <w:t>C</w:t>
      </w:r>
      <w:r w:rsidR="001C1FD2">
        <w:rPr>
          <w:rFonts w:ascii="Times New Roman" w:hAnsi="Times New Roman"/>
          <w:b w:val="0"/>
          <w:color w:val="000000"/>
          <w:sz w:val="24"/>
          <w:szCs w:val="24"/>
        </w:rPr>
        <w:t>(</w:t>
      </w:r>
      <w:proofErr w:type="gramEnd"/>
      <w:r w:rsidR="001C1FD2">
        <w:rPr>
          <w:rFonts w:ascii="Times New Roman" w:hAnsi="Times New Roman"/>
          <w:b w:val="0"/>
          <w:color w:val="000000"/>
          <w:sz w:val="24"/>
          <w:szCs w:val="24"/>
        </w:rPr>
        <w:t xml:space="preserve">1) and </w:t>
      </w:r>
      <w:r w:rsidRPr="00564008">
        <w:rPr>
          <w:rFonts w:ascii="Times New Roman" w:hAnsi="Times New Roman"/>
          <w:b w:val="0"/>
          <w:color w:val="000000"/>
          <w:sz w:val="24"/>
          <w:szCs w:val="24"/>
        </w:rPr>
        <w:t>(6)</w:t>
      </w:r>
    </w:p>
    <w:p w14:paraId="57272A3B" w14:textId="51D7B08B" w:rsidR="005B0CCE" w:rsidRPr="00564008" w:rsidRDefault="0091715F" w:rsidP="005B66C7">
      <w:pPr>
        <w:widowControl w:val="0"/>
        <w:spacing w:after="240"/>
        <w:jc w:val="both"/>
        <w:rPr>
          <w:rFonts w:ascii="Times New Roman" w:hAnsi="Times New Roman"/>
          <w:sz w:val="24"/>
          <w:szCs w:val="24"/>
        </w:rPr>
      </w:pPr>
      <w:bookmarkStart w:id="1" w:name="bkAct"/>
      <w:bookmarkStart w:id="2" w:name="bkExplanatory"/>
      <w:bookmarkEnd w:id="1"/>
      <w:bookmarkEnd w:id="2"/>
      <w:r w:rsidRPr="00564008">
        <w:rPr>
          <w:rFonts w:ascii="Times New Roman" w:hAnsi="Times New Roman"/>
          <w:sz w:val="24"/>
          <w:szCs w:val="24"/>
        </w:rPr>
        <w:t>Under subsection 34</w:t>
      </w:r>
      <w:proofErr w:type="gramStart"/>
      <w:r w:rsidRPr="00564008">
        <w:rPr>
          <w:rFonts w:ascii="Times New Roman" w:hAnsi="Times New Roman"/>
          <w:sz w:val="24"/>
          <w:szCs w:val="24"/>
        </w:rPr>
        <w:t>C(</w:t>
      </w:r>
      <w:proofErr w:type="gramEnd"/>
      <w:r w:rsidRPr="00564008">
        <w:rPr>
          <w:rFonts w:ascii="Times New Roman" w:hAnsi="Times New Roman"/>
          <w:sz w:val="24"/>
          <w:szCs w:val="24"/>
        </w:rPr>
        <w:t xml:space="preserve">1) of the </w:t>
      </w:r>
      <w:r w:rsidRPr="00564008">
        <w:rPr>
          <w:rFonts w:ascii="Times New Roman" w:hAnsi="Times New Roman"/>
          <w:i/>
          <w:sz w:val="24"/>
          <w:szCs w:val="24"/>
        </w:rPr>
        <w:t>Superannuation Industry (Supervision) Act 1993</w:t>
      </w:r>
      <w:r w:rsidRPr="00564008">
        <w:rPr>
          <w:rFonts w:ascii="Times New Roman" w:hAnsi="Times New Roman"/>
          <w:sz w:val="24"/>
          <w:szCs w:val="24"/>
        </w:rPr>
        <w:t xml:space="preserve"> (the Act), APRA has the power to determine standards (prudential standards), in writing, in relation to prudential matters to be complied with by all RSE licensees of registrable superannuation entities (RSEs). Under subsection 34</w:t>
      </w:r>
      <w:proofErr w:type="gramStart"/>
      <w:r w:rsidRPr="00564008">
        <w:rPr>
          <w:rFonts w:ascii="Times New Roman" w:hAnsi="Times New Roman"/>
          <w:sz w:val="24"/>
          <w:szCs w:val="24"/>
        </w:rPr>
        <w:t>C(</w:t>
      </w:r>
      <w:proofErr w:type="gramEnd"/>
      <w:r w:rsidRPr="00564008">
        <w:rPr>
          <w:rFonts w:ascii="Times New Roman" w:hAnsi="Times New Roman"/>
          <w:sz w:val="24"/>
          <w:szCs w:val="24"/>
        </w:rPr>
        <w:t xml:space="preserve">6) of the Act, APRA may, in writing, vary or revoke a prudential standard. </w:t>
      </w:r>
    </w:p>
    <w:p w14:paraId="220FDD3E" w14:textId="6984B82F" w:rsidR="00FF2BDC" w:rsidRDefault="00FF2BDC" w:rsidP="00FF2BDC">
      <w:pPr>
        <w:pStyle w:val="NormalWeb"/>
        <w:rPr>
          <w:rFonts w:ascii="Times New Roman" w:hAnsi="Times New Roman"/>
          <w:sz w:val="24"/>
          <w:szCs w:val="24"/>
        </w:rPr>
      </w:pPr>
      <w:r w:rsidRPr="0001028A">
        <w:rPr>
          <w:rFonts w:ascii="Times New Roman" w:hAnsi="Times New Roman"/>
          <w:sz w:val="24"/>
          <w:szCs w:val="24"/>
        </w:rPr>
        <w:t xml:space="preserve">On </w:t>
      </w:r>
      <w:r w:rsidR="003E0E4D">
        <w:rPr>
          <w:rFonts w:ascii="Times New Roman" w:hAnsi="Times New Roman"/>
          <w:sz w:val="24"/>
          <w:szCs w:val="24"/>
        </w:rPr>
        <w:t>3</w:t>
      </w:r>
      <w:r w:rsidRPr="0001028A">
        <w:rPr>
          <w:rFonts w:ascii="Times New Roman" w:hAnsi="Times New Roman"/>
          <w:sz w:val="24"/>
          <w:szCs w:val="24"/>
        </w:rPr>
        <w:t xml:space="preserve"> June 2024, APRA made </w:t>
      </w:r>
      <w:r w:rsidRPr="00C90242">
        <w:rPr>
          <w:rFonts w:ascii="Times New Roman" w:hAnsi="Times New Roman"/>
          <w:i/>
          <w:sz w:val="24"/>
          <w:szCs w:val="24"/>
        </w:rPr>
        <w:t xml:space="preserve">Superannuation (prudential standard) determination No. </w:t>
      </w:r>
      <w:r w:rsidR="003B19EF" w:rsidRPr="00C90242">
        <w:rPr>
          <w:rFonts w:ascii="Times New Roman" w:hAnsi="Times New Roman"/>
          <w:i/>
          <w:sz w:val="24"/>
          <w:szCs w:val="24"/>
        </w:rPr>
        <w:t>3</w:t>
      </w:r>
      <w:r w:rsidRPr="00C90242">
        <w:rPr>
          <w:rFonts w:ascii="Times New Roman" w:hAnsi="Times New Roman"/>
          <w:i/>
          <w:sz w:val="24"/>
          <w:szCs w:val="24"/>
        </w:rPr>
        <w:t xml:space="preserve"> of 2024</w:t>
      </w:r>
      <w:r w:rsidRPr="0001028A">
        <w:rPr>
          <w:rFonts w:ascii="Times New Roman" w:hAnsi="Times New Roman"/>
          <w:sz w:val="24"/>
          <w:szCs w:val="24"/>
        </w:rPr>
        <w:t xml:space="preserve"> (the </w:t>
      </w:r>
      <w:r>
        <w:rPr>
          <w:rFonts w:ascii="Times New Roman" w:hAnsi="Times New Roman"/>
          <w:sz w:val="24"/>
          <w:szCs w:val="24"/>
        </w:rPr>
        <w:t>i</w:t>
      </w:r>
      <w:r w:rsidRPr="0001028A">
        <w:rPr>
          <w:rFonts w:ascii="Times New Roman" w:hAnsi="Times New Roman"/>
          <w:sz w:val="24"/>
          <w:szCs w:val="24"/>
        </w:rPr>
        <w:t xml:space="preserve">nstrument), which revokes </w:t>
      </w:r>
      <w:r w:rsidRPr="0001028A">
        <w:rPr>
          <w:rFonts w:ascii="Times New Roman" w:hAnsi="Times New Roman"/>
          <w:i/>
          <w:sz w:val="24"/>
          <w:szCs w:val="24"/>
        </w:rPr>
        <w:t xml:space="preserve">Prudential Standard SPS </w:t>
      </w:r>
      <w:r w:rsidR="003B19EF">
        <w:rPr>
          <w:rFonts w:ascii="Times New Roman" w:hAnsi="Times New Roman"/>
          <w:i/>
          <w:sz w:val="24"/>
          <w:szCs w:val="24"/>
        </w:rPr>
        <w:t>5</w:t>
      </w:r>
      <w:r>
        <w:rPr>
          <w:rFonts w:ascii="Times New Roman" w:hAnsi="Times New Roman"/>
          <w:i/>
          <w:sz w:val="24"/>
          <w:szCs w:val="24"/>
        </w:rPr>
        <w:t xml:space="preserve">10 </w:t>
      </w:r>
      <w:r w:rsidR="003B19EF">
        <w:rPr>
          <w:rFonts w:ascii="Times New Roman" w:hAnsi="Times New Roman"/>
          <w:i/>
          <w:sz w:val="24"/>
          <w:szCs w:val="24"/>
        </w:rPr>
        <w:t>Governance</w:t>
      </w:r>
      <w:r w:rsidRPr="0001028A">
        <w:rPr>
          <w:rFonts w:ascii="Times New Roman" w:hAnsi="Times New Roman"/>
          <w:sz w:val="24"/>
          <w:szCs w:val="24"/>
        </w:rPr>
        <w:t xml:space="preserve"> (</w:t>
      </w:r>
      <w:r w:rsidR="004043F4">
        <w:rPr>
          <w:rFonts w:ascii="Times New Roman" w:hAnsi="Times New Roman"/>
          <w:sz w:val="24"/>
          <w:szCs w:val="24"/>
        </w:rPr>
        <w:t>previous</w:t>
      </w:r>
      <w:r w:rsidR="004043F4" w:rsidRPr="0001028A">
        <w:rPr>
          <w:rFonts w:ascii="Times New Roman" w:hAnsi="Times New Roman"/>
          <w:sz w:val="24"/>
          <w:szCs w:val="24"/>
        </w:rPr>
        <w:t xml:space="preserve"> </w:t>
      </w:r>
      <w:r w:rsidRPr="0001028A">
        <w:rPr>
          <w:rFonts w:ascii="Times New Roman" w:hAnsi="Times New Roman"/>
          <w:sz w:val="24"/>
          <w:szCs w:val="24"/>
        </w:rPr>
        <w:t xml:space="preserve">SPS </w:t>
      </w:r>
      <w:r w:rsidR="003B19EF">
        <w:rPr>
          <w:rFonts w:ascii="Times New Roman" w:hAnsi="Times New Roman"/>
          <w:sz w:val="24"/>
          <w:szCs w:val="24"/>
        </w:rPr>
        <w:t>5</w:t>
      </w:r>
      <w:r>
        <w:rPr>
          <w:rFonts w:ascii="Times New Roman" w:hAnsi="Times New Roman"/>
          <w:sz w:val="24"/>
          <w:szCs w:val="24"/>
        </w:rPr>
        <w:t>10</w:t>
      </w:r>
      <w:r w:rsidRPr="0001028A">
        <w:rPr>
          <w:rFonts w:ascii="Times New Roman" w:hAnsi="Times New Roman"/>
          <w:sz w:val="24"/>
          <w:szCs w:val="24"/>
        </w:rPr>
        <w:t xml:space="preserve">) made under </w:t>
      </w:r>
      <w:r w:rsidRPr="00C90242">
        <w:rPr>
          <w:rFonts w:ascii="Times New Roman" w:hAnsi="Times New Roman"/>
          <w:i/>
          <w:sz w:val="24"/>
          <w:szCs w:val="24"/>
        </w:rPr>
        <w:t xml:space="preserve">Superannuation (prudential standard) determination No. </w:t>
      </w:r>
      <w:r w:rsidR="003B19EF" w:rsidRPr="00C90242">
        <w:rPr>
          <w:rFonts w:ascii="Times New Roman" w:hAnsi="Times New Roman"/>
          <w:i/>
          <w:sz w:val="24"/>
          <w:szCs w:val="24"/>
        </w:rPr>
        <w:t>2</w:t>
      </w:r>
      <w:r w:rsidRPr="00C90242">
        <w:rPr>
          <w:rFonts w:ascii="Times New Roman" w:hAnsi="Times New Roman"/>
          <w:i/>
          <w:sz w:val="24"/>
          <w:szCs w:val="24"/>
        </w:rPr>
        <w:t xml:space="preserve"> of 202</w:t>
      </w:r>
      <w:r w:rsidR="003B19EF" w:rsidRPr="00C90242">
        <w:rPr>
          <w:rFonts w:ascii="Times New Roman" w:hAnsi="Times New Roman"/>
          <w:i/>
          <w:sz w:val="24"/>
          <w:szCs w:val="24"/>
        </w:rPr>
        <w:t>3</w:t>
      </w:r>
      <w:r w:rsidRPr="0001028A">
        <w:rPr>
          <w:rFonts w:ascii="Times New Roman" w:hAnsi="Times New Roman"/>
          <w:sz w:val="24"/>
          <w:szCs w:val="24"/>
        </w:rPr>
        <w:t xml:space="preserve"> and determines a new </w:t>
      </w:r>
      <w:r w:rsidRPr="0001028A">
        <w:rPr>
          <w:rFonts w:ascii="Times New Roman" w:hAnsi="Times New Roman"/>
          <w:i/>
          <w:sz w:val="24"/>
          <w:szCs w:val="24"/>
        </w:rPr>
        <w:t xml:space="preserve">Prudential Standard SPS </w:t>
      </w:r>
      <w:r w:rsidR="003B19EF">
        <w:rPr>
          <w:rFonts w:ascii="Times New Roman" w:hAnsi="Times New Roman"/>
          <w:i/>
          <w:sz w:val="24"/>
          <w:szCs w:val="24"/>
        </w:rPr>
        <w:t>5</w:t>
      </w:r>
      <w:r>
        <w:rPr>
          <w:rFonts w:ascii="Times New Roman" w:hAnsi="Times New Roman"/>
          <w:i/>
          <w:sz w:val="24"/>
          <w:szCs w:val="24"/>
        </w:rPr>
        <w:t xml:space="preserve">10 </w:t>
      </w:r>
      <w:r w:rsidR="003B19EF">
        <w:rPr>
          <w:rFonts w:ascii="Times New Roman" w:hAnsi="Times New Roman"/>
          <w:i/>
          <w:sz w:val="24"/>
          <w:szCs w:val="24"/>
        </w:rPr>
        <w:t>Governance</w:t>
      </w:r>
      <w:r w:rsidRPr="0001028A">
        <w:rPr>
          <w:rFonts w:ascii="Times New Roman" w:hAnsi="Times New Roman"/>
          <w:sz w:val="24"/>
          <w:szCs w:val="24"/>
        </w:rPr>
        <w:t xml:space="preserve"> (SPS </w:t>
      </w:r>
      <w:r w:rsidR="003B19EF">
        <w:rPr>
          <w:rFonts w:ascii="Times New Roman" w:hAnsi="Times New Roman"/>
          <w:sz w:val="24"/>
          <w:szCs w:val="24"/>
        </w:rPr>
        <w:t>5</w:t>
      </w:r>
      <w:r>
        <w:rPr>
          <w:rFonts w:ascii="Times New Roman" w:hAnsi="Times New Roman"/>
          <w:sz w:val="24"/>
          <w:szCs w:val="24"/>
        </w:rPr>
        <w:t>10</w:t>
      </w:r>
      <w:r w:rsidRPr="0001028A">
        <w:rPr>
          <w:rFonts w:ascii="Times New Roman" w:hAnsi="Times New Roman"/>
          <w:sz w:val="24"/>
          <w:szCs w:val="24"/>
        </w:rPr>
        <w:t>)</w:t>
      </w:r>
      <w:r>
        <w:rPr>
          <w:rFonts w:ascii="Times New Roman" w:hAnsi="Times New Roman"/>
          <w:sz w:val="24"/>
          <w:szCs w:val="24"/>
        </w:rPr>
        <w:t>.</w:t>
      </w:r>
    </w:p>
    <w:p w14:paraId="10B4F9F3" w14:textId="29D14D9F" w:rsidR="00064557" w:rsidRPr="00564008" w:rsidRDefault="00064557" w:rsidP="00064557">
      <w:pPr>
        <w:shd w:val="clear" w:color="auto" w:fill="FFFFFF" w:themeFill="background1"/>
        <w:spacing w:before="100" w:beforeAutospacing="1" w:after="100" w:afterAutospacing="1"/>
        <w:rPr>
          <w:rFonts w:ascii="Times New Roman" w:hAnsi="Times New Roman"/>
          <w:sz w:val="24"/>
          <w:szCs w:val="24"/>
        </w:rPr>
      </w:pPr>
      <w:r>
        <w:rPr>
          <w:rFonts w:ascii="Times New Roman" w:hAnsi="Times New Roman"/>
          <w:sz w:val="24"/>
          <w:szCs w:val="24"/>
        </w:rPr>
        <w:t>The instrument commences on 30 June 2024.</w:t>
      </w:r>
    </w:p>
    <w:p w14:paraId="2820799D" w14:textId="77777777" w:rsidR="002436BD" w:rsidRPr="00564008" w:rsidRDefault="002436BD" w:rsidP="00796A67">
      <w:pPr>
        <w:pStyle w:val="Heading"/>
        <w:keepNext/>
        <w:numPr>
          <w:ilvl w:val="0"/>
          <w:numId w:val="2"/>
        </w:numPr>
        <w:spacing w:after="240"/>
        <w:ind w:left="0" w:firstLine="0"/>
        <w:outlineLvl w:val="0"/>
        <w:rPr>
          <w:rFonts w:ascii="Times New Roman" w:hAnsi="Times New Roman"/>
          <w:sz w:val="24"/>
          <w:szCs w:val="24"/>
        </w:rPr>
      </w:pPr>
      <w:r w:rsidRPr="00564008">
        <w:rPr>
          <w:rFonts w:ascii="Times New Roman" w:hAnsi="Times New Roman"/>
          <w:sz w:val="24"/>
          <w:szCs w:val="24"/>
        </w:rPr>
        <w:t>Background</w:t>
      </w:r>
    </w:p>
    <w:p w14:paraId="553DF88F" w14:textId="77777777" w:rsidR="00F4772F" w:rsidRDefault="00F4772F" w:rsidP="006A5E97">
      <w:pPr>
        <w:shd w:val="clear" w:color="auto" w:fill="FFFFFF"/>
        <w:spacing w:before="100" w:beforeAutospacing="1" w:after="100" w:afterAutospacing="1"/>
        <w:jc w:val="both"/>
        <w:rPr>
          <w:rFonts w:ascii="Times New Roman" w:hAnsi="Times New Roman"/>
          <w:sz w:val="24"/>
          <w:szCs w:val="24"/>
        </w:rPr>
      </w:pPr>
      <w:bookmarkStart w:id="3" w:name="bkBackground"/>
      <w:bookmarkEnd w:id="3"/>
      <w:r>
        <w:rPr>
          <w:rFonts w:ascii="Times New Roman" w:hAnsi="Times New Roman"/>
          <w:sz w:val="24"/>
          <w:szCs w:val="24"/>
        </w:rPr>
        <w:t>A</w:t>
      </w:r>
      <w:r w:rsidRPr="00F3769C">
        <w:rPr>
          <w:rFonts w:ascii="Times New Roman" w:hAnsi="Times New Roman"/>
          <w:sz w:val="24"/>
          <w:szCs w:val="24"/>
        </w:rPr>
        <w:t xml:space="preserve">PRA’s mandate is to ensure the safety and soundness of prudentially regulated financial institutions so that they can meet their financial promises to depositors, </w:t>
      </w:r>
      <w:proofErr w:type="gramStart"/>
      <w:r w:rsidRPr="00F3769C">
        <w:rPr>
          <w:rFonts w:ascii="Times New Roman" w:hAnsi="Times New Roman"/>
          <w:sz w:val="24"/>
          <w:szCs w:val="24"/>
        </w:rPr>
        <w:t>policyholders</w:t>
      </w:r>
      <w:proofErr w:type="gramEnd"/>
      <w:r w:rsidRPr="00F3769C">
        <w:rPr>
          <w:rFonts w:ascii="Times New Roman" w:hAnsi="Times New Roman"/>
          <w:sz w:val="24"/>
          <w:szCs w:val="24"/>
        </w:rPr>
        <w:t xml:space="preserve"> and fund members within a stable, efficient and competitive financial system. </w:t>
      </w:r>
    </w:p>
    <w:p w14:paraId="457570CC" w14:textId="6EFBB71D" w:rsidR="00F4772F" w:rsidRDefault="00F4772F" w:rsidP="006A5E97">
      <w:pPr>
        <w:jc w:val="both"/>
        <w:rPr>
          <w:rFonts w:ascii="Times New Roman" w:hAnsi="Times New Roman"/>
          <w:sz w:val="24"/>
          <w:szCs w:val="24"/>
        </w:rPr>
      </w:pPr>
      <w:r w:rsidRPr="00F3769C">
        <w:rPr>
          <w:rFonts w:ascii="Times New Roman" w:hAnsi="Times New Roman"/>
          <w:sz w:val="24"/>
          <w:szCs w:val="24"/>
        </w:rPr>
        <w:t xml:space="preserve">APRA carries out this mandate through a multi-layered prudential framework that encompasses licensing and supervision of institutions. APRA is empowered under the </w:t>
      </w:r>
      <w:r>
        <w:rPr>
          <w:rFonts w:ascii="Times New Roman" w:hAnsi="Times New Roman"/>
          <w:sz w:val="24"/>
          <w:szCs w:val="24"/>
        </w:rPr>
        <w:t>Act</w:t>
      </w:r>
      <w:r w:rsidRPr="00F3769C">
        <w:rPr>
          <w:rFonts w:ascii="Times New Roman" w:hAnsi="Times New Roman"/>
          <w:sz w:val="24"/>
          <w:szCs w:val="24"/>
        </w:rPr>
        <w:t xml:space="preserve"> to issue legally binding prudential standards that set out specific prudential requirements with which APRA-regulated institutions in </w:t>
      </w:r>
      <w:r>
        <w:rPr>
          <w:rFonts w:ascii="Times New Roman" w:hAnsi="Times New Roman"/>
          <w:sz w:val="24"/>
          <w:szCs w:val="24"/>
        </w:rPr>
        <w:t>the superannuation</w:t>
      </w:r>
      <w:r w:rsidRPr="00F3769C">
        <w:rPr>
          <w:rFonts w:ascii="Times New Roman" w:hAnsi="Times New Roman"/>
          <w:sz w:val="24"/>
          <w:szCs w:val="24"/>
        </w:rPr>
        <w:t xml:space="preserve"> industry must comply. These standards are supported by prudential practice guides which clarify APRA’s expectations </w:t>
      </w:r>
      <w:r>
        <w:rPr>
          <w:rFonts w:ascii="Times New Roman" w:hAnsi="Times New Roman"/>
          <w:sz w:val="24"/>
          <w:szCs w:val="24"/>
        </w:rPr>
        <w:t xml:space="preserve">in respect of the </w:t>
      </w:r>
      <w:r w:rsidRPr="00F3769C">
        <w:rPr>
          <w:rFonts w:ascii="Times New Roman" w:hAnsi="Times New Roman"/>
          <w:sz w:val="24"/>
          <w:szCs w:val="24"/>
        </w:rPr>
        <w:t>prudential requirements.</w:t>
      </w:r>
    </w:p>
    <w:p w14:paraId="41842B93" w14:textId="77777777" w:rsidR="00F4772F" w:rsidRDefault="00F4772F" w:rsidP="006A5E97">
      <w:pPr>
        <w:jc w:val="both"/>
        <w:rPr>
          <w:rFonts w:ascii="Times New Roman" w:hAnsi="Times New Roman"/>
          <w:sz w:val="24"/>
          <w:szCs w:val="24"/>
        </w:rPr>
      </w:pPr>
    </w:p>
    <w:p w14:paraId="33A6BEA8" w14:textId="09356AB4" w:rsidR="00E324B3" w:rsidRDefault="00E324B3" w:rsidP="006A5E97">
      <w:pPr>
        <w:jc w:val="both"/>
        <w:rPr>
          <w:rFonts w:ascii="Times New Roman" w:hAnsi="Times New Roman"/>
          <w:sz w:val="24"/>
          <w:szCs w:val="24"/>
        </w:rPr>
      </w:pPr>
      <w:r>
        <w:rPr>
          <w:rFonts w:ascii="Times New Roman" w:hAnsi="Times New Roman"/>
          <w:sz w:val="24"/>
          <w:szCs w:val="24"/>
        </w:rPr>
        <w:t xml:space="preserve">One of the key components of APRA’s </w:t>
      </w:r>
      <w:r w:rsidR="00DC37E3">
        <w:rPr>
          <w:rFonts w:ascii="Times New Roman" w:hAnsi="Times New Roman"/>
          <w:sz w:val="24"/>
          <w:szCs w:val="24"/>
        </w:rPr>
        <w:t xml:space="preserve">superannuation </w:t>
      </w:r>
      <w:r>
        <w:rPr>
          <w:rFonts w:ascii="Times New Roman" w:hAnsi="Times New Roman"/>
          <w:sz w:val="24"/>
          <w:szCs w:val="24"/>
        </w:rPr>
        <w:t>prudential framework is the prudential standards which set out requirements relating to governance of RSE licensees and SPS 510 is part of this set of standards.</w:t>
      </w:r>
    </w:p>
    <w:p w14:paraId="517333C8" w14:textId="77777777" w:rsidR="00E324B3" w:rsidRDefault="00E324B3" w:rsidP="006A5E97">
      <w:pPr>
        <w:jc w:val="both"/>
        <w:rPr>
          <w:rFonts w:ascii="Times New Roman" w:hAnsi="Times New Roman"/>
          <w:sz w:val="24"/>
          <w:szCs w:val="24"/>
        </w:rPr>
      </w:pPr>
    </w:p>
    <w:p w14:paraId="5FC3A305" w14:textId="0CB0F5FA" w:rsidR="00E54269" w:rsidRDefault="00F4772F" w:rsidP="006A5E97">
      <w:pPr>
        <w:jc w:val="both"/>
        <w:rPr>
          <w:rFonts w:ascii="Times New Roman" w:hAnsi="Times New Roman"/>
          <w:sz w:val="24"/>
          <w:szCs w:val="24"/>
        </w:rPr>
      </w:pPr>
      <w:bookmarkStart w:id="4" w:name="_Hlk167732514"/>
      <w:r w:rsidRPr="0058468C">
        <w:rPr>
          <w:rFonts w:ascii="Times New Roman" w:hAnsi="Times New Roman"/>
          <w:sz w:val="24"/>
          <w:szCs w:val="24"/>
        </w:rPr>
        <w:t>SPS</w:t>
      </w:r>
      <w:r w:rsidR="003B19EF">
        <w:rPr>
          <w:rFonts w:ascii="Times New Roman" w:hAnsi="Times New Roman"/>
          <w:sz w:val="24"/>
          <w:szCs w:val="24"/>
        </w:rPr>
        <w:t xml:space="preserve"> 5</w:t>
      </w:r>
      <w:r w:rsidRPr="0058468C">
        <w:rPr>
          <w:rFonts w:ascii="Times New Roman" w:hAnsi="Times New Roman"/>
          <w:sz w:val="24"/>
          <w:szCs w:val="24"/>
        </w:rPr>
        <w:t xml:space="preserve">10 </w:t>
      </w:r>
      <w:r>
        <w:rPr>
          <w:rFonts w:ascii="Times New Roman" w:hAnsi="Times New Roman"/>
          <w:sz w:val="24"/>
          <w:szCs w:val="24"/>
        </w:rPr>
        <w:t>sets out requirements</w:t>
      </w:r>
      <w:r w:rsidR="000E7762">
        <w:rPr>
          <w:rFonts w:ascii="Times New Roman" w:hAnsi="Times New Roman"/>
          <w:sz w:val="24"/>
          <w:szCs w:val="24"/>
        </w:rPr>
        <w:t xml:space="preserve"> </w:t>
      </w:r>
      <w:r w:rsidR="00CA39FA">
        <w:rPr>
          <w:rFonts w:ascii="Times New Roman" w:hAnsi="Times New Roman"/>
          <w:sz w:val="24"/>
          <w:szCs w:val="24"/>
        </w:rPr>
        <w:t xml:space="preserve">for </w:t>
      </w:r>
      <w:r w:rsidR="00E54269" w:rsidRPr="00E54269">
        <w:rPr>
          <w:rFonts w:ascii="Times New Roman" w:hAnsi="Times New Roman"/>
          <w:sz w:val="24"/>
          <w:szCs w:val="24"/>
        </w:rPr>
        <w:t xml:space="preserve">foundations </w:t>
      </w:r>
      <w:r w:rsidR="00CA39FA">
        <w:rPr>
          <w:rFonts w:ascii="Times New Roman" w:hAnsi="Times New Roman"/>
          <w:sz w:val="24"/>
          <w:szCs w:val="24"/>
        </w:rPr>
        <w:t>of</w:t>
      </w:r>
      <w:r w:rsidR="00E54269" w:rsidRPr="00E54269">
        <w:rPr>
          <w:rFonts w:ascii="Times New Roman" w:hAnsi="Times New Roman"/>
          <w:sz w:val="24"/>
          <w:szCs w:val="24"/>
        </w:rPr>
        <w:t xml:space="preserve"> good governance of an RSE licensee. </w:t>
      </w:r>
      <w:r w:rsidR="002C51C4">
        <w:rPr>
          <w:rFonts w:ascii="Times New Roman" w:hAnsi="Times New Roman"/>
          <w:sz w:val="24"/>
          <w:szCs w:val="24"/>
        </w:rPr>
        <w:t>S</w:t>
      </w:r>
      <w:r w:rsidR="000E7762">
        <w:rPr>
          <w:rFonts w:ascii="Times New Roman" w:hAnsi="Times New Roman"/>
          <w:sz w:val="24"/>
          <w:szCs w:val="24"/>
        </w:rPr>
        <w:t xml:space="preserve">PS 510 is designed to </w:t>
      </w:r>
      <w:r w:rsidR="00E54269" w:rsidRPr="00E54269">
        <w:rPr>
          <w:rFonts w:ascii="Times New Roman" w:hAnsi="Times New Roman"/>
          <w:sz w:val="24"/>
          <w:szCs w:val="24"/>
        </w:rPr>
        <w:t xml:space="preserve">ensure that an RSE licensee’s business operations are managed soundly and prudently by a competent Board, which can make reasonable and impartial business judgements in the best </w:t>
      </w:r>
      <w:r w:rsidR="000E7762">
        <w:rPr>
          <w:rFonts w:ascii="Times New Roman" w:hAnsi="Times New Roman"/>
          <w:sz w:val="24"/>
          <w:szCs w:val="24"/>
        </w:rPr>
        <w:t xml:space="preserve">financial </w:t>
      </w:r>
      <w:r w:rsidR="00E54269" w:rsidRPr="00E54269">
        <w:rPr>
          <w:rFonts w:ascii="Times New Roman" w:hAnsi="Times New Roman"/>
          <w:sz w:val="24"/>
          <w:szCs w:val="24"/>
        </w:rPr>
        <w:t xml:space="preserve">interests of </w:t>
      </w:r>
      <w:proofErr w:type="gramStart"/>
      <w:r w:rsidR="00E54269" w:rsidRPr="00E54269">
        <w:rPr>
          <w:rFonts w:ascii="Times New Roman" w:hAnsi="Times New Roman"/>
          <w:sz w:val="24"/>
          <w:szCs w:val="24"/>
        </w:rPr>
        <w:t>beneficiaries</w:t>
      </w:r>
      <w:proofErr w:type="gramEnd"/>
      <w:r w:rsidR="00E54269" w:rsidRPr="00E54269">
        <w:rPr>
          <w:rFonts w:ascii="Times New Roman" w:hAnsi="Times New Roman"/>
          <w:sz w:val="24"/>
          <w:szCs w:val="24"/>
        </w:rPr>
        <w:t xml:space="preserve"> and which duly considers the impact of its decisions on beneficiaries.</w:t>
      </w:r>
    </w:p>
    <w:p w14:paraId="5DF4DD71" w14:textId="77777777" w:rsidR="004839EB" w:rsidRDefault="004839EB" w:rsidP="006A5E97">
      <w:pPr>
        <w:jc w:val="both"/>
        <w:rPr>
          <w:rFonts w:ascii="Times New Roman" w:hAnsi="Times New Roman"/>
          <w:sz w:val="24"/>
          <w:szCs w:val="24"/>
        </w:rPr>
      </w:pPr>
    </w:p>
    <w:p w14:paraId="47DE20E2" w14:textId="1C0A4A60" w:rsidR="004839EB" w:rsidRPr="00E54269" w:rsidRDefault="004839EB" w:rsidP="006A5E97">
      <w:pPr>
        <w:jc w:val="both"/>
        <w:rPr>
          <w:rFonts w:ascii="Times New Roman" w:hAnsi="Times New Roman"/>
          <w:sz w:val="24"/>
          <w:szCs w:val="24"/>
        </w:rPr>
      </w:pPr>
      <w:r w:rsidRPr="006B400A">
        <w:rPr>
          <w:rFonts w:ascii="Times New Roman" w:hAnsi="Times New Roman"/>
          <w:sz w:val="24"/>
          <w:szCs w:val="24"/>
        </w:rPr>
        <w:t>In June 2023, legislative reforms</w:t>
      </w:r>
      <w:r>
        <w:rPr>
          <w:rStyle w:val="FootnoteReference"/>
          <w:rFonts w:ascii="Times New Roman" w:hAnsi="Times New Roman"/>
          <w:sz w:val="24"/>
          <w:szCs w:val="24"/>
        </w:rPr>
        <w:footnoteReference w:id="2"/>
      </w:r>
      <w:r w:rsidRPr="006B400A">
        <w:rPr>
          <w:rFonts w:ascii="Times New Roman" w:hAnsi="Times New Roman"/>
          <w:sz w:val="24"/>
          <w:szCs w:val="24"/>
        </w:rPr>
        <w:t xml:space="preserve"> were passed to extend the financial reporting and auditing requirements in the </w:t>
      </w:r>
      <w:r w:rsidRPr="006B400A">
        <w:rPr>
          <w:rFonts w:ascii="Times New Roman" w:hAnsi="Times New Roman"/>
          <w:i/>
          <w:sz w:val="24"/>
          <w:szCs w:val="24"/>
        </w:rPr>
        <w:t>Corporations Act 2001</w:t>
      </w:r>
      <w:r w:rsidRPr="006B400A">
        <w:rPr>
          <w:rFonts w:ascii="Times New Roman" w:hAnsi="Times New Roman"/>
          <w:sz w:val="24"/>
          <w:szCs w:val="24"/>
        </w:rPr>
        <w:t xml:space="preserve"> </w:t>
      </w:r>
      <w:r>
        <w:rPr>
          <w:rFonts w:ascii="Times New Roman" w:hAnsi="Times New Roman"/>
          <w:sz w:val="24"/>
          <w:szCs w:val="24"/>
        </w:rPr>
        <w:t xml:space="preserve">(Corporations Act) </w:t>
      </w:r>
      <w:r w:rsidRPr="006B400A">
        <w:rPr>
          <w:rFonts w:ascii="Times New Roman" w:hAnsi="Times New Roman"/>
          <w:sz w:val="24"/>
          <w:szCs w:val="24"/>
        </w:rPr>
        <w:t xml:space="preserve">to apply to </w:t>
      </w:r>
      <w:r w:rsidRPr="006B400A">
        <w:rPr>
          <w:rFonts w:ascii="Times New Roman" w:hAnsi="Times New Roman"/>
          <w:sz w:val="24"/>
          <w:szCs w:val="24"/>
        </w:rPr>
        <w:lastRenderedPageBreak/>
        <w:t>RSEs.</w:t>
      </w:r>
      <w:r>
        <w:rPr>
          <w:rStyle w:val="FootnoteReference"/>
          <w:rFonts w:ascii="Times New Roman" w:hAnsi="Times New Roman"/>
          <w:sz w:val="24"/>
          <w:szCs w:val="24"/>
        </w:rPr>
        <w:footnoteReference w:id="3"/>
      </w:r>
      <w:r>
        <w:rPr>
          <w:rFonts w:ascii="Times New Roman" w:hAnsi="Times New Roman"/>
          <w:sz w:val="24"/>
          <w:szCs w:val="24"/>
        </w:rPr>
        <w:t xml:space="preserve"> </w:t>
      </w:r>
      <w:r w:rsidRPr="006B400A">
        <w:rPr>
          <w:rFonts w:ascii="Times New Roman" w:hAnsi="Times New Roman"/>
          <w:sz w:val="24"/>
          <w:szCs w:val="24"/>
        </w:rPr>
        <w:t>The legislative amendments align RSE financial reporting obligations with those that apply to public companies, registered schemes and other APRA regulated entities.</w:t>
      </w:r>
    </w:p>
    <w:p w14:paraId="10523679" w14:textId="77777777" w:rsidR="003B19EF" w:rsidRDefault="003B19EF" w:rsidP="006A5E97">
      <w:pPr>
        <w:jc w:val="both"/>
        <w:rPr>
          <w:rFonts w:ascii="Times New Roman" w:hAnsi="Times New Roman"/>
          <w:sz w:val="24"/>
          <w:szCs w:val="24"/>
        </w:rPr>
      </w:pPr>
      <w:bookmarkStart w:id="5" w:name="_Hlk168051556"/>
      <w:bookmarkEnd w:id="4"/>
    </w:p>
    <w:p w14:paraId="65E65747" w14:textId="0E6F7DC4" w:rsidR="002C51C4" w:rsidRDefault="002C51C4" w:rsidP="006A5E97">
      <w:pPr>
        <w:spacing w:after="240"/>
        <w:contextualSpacing/>
        <w:jc w:val="both"/>
        <w:rPr>
          <w:rFonts w:ascii="Times New Roman" w:hAnsi="Times New Roman"/>
          <w:color w:val="000000"/>
          <w:sz w:val="24"/>
          <w:szCs w:val="24"/>
        </w:rPr>
      </w:pPr>
      <w:r>
        <w:rPr>
          <w:rFonts w:ascii="Times New Roman" w:hAnsi="Times New Roman"/>
          <w:color w:val="000000"/>
          <w:sz w:val="24"/>
          <w:szCs w:val="24"/>
        </w:rPr>
        <w:t>SPS 510</w:t>
      </w:r>
      <w:r w:rsidR="005E73A1">
        <w:rPr>
          <w:rFonts w:ascii="Times New Roman" w:hAnsi="Times New Roman"/>
          <w:color w:val="000000"/>
          <w:sz w:val="24"/>
          <w:szCs w:val="24"/>
        </w:rPr>
        <w:t xml:space="preserve"> replicates the substantive obligations in the previous SPS 510 </w:t>
      </w:r>
      <w:r>
        <w:rPr>
          <w:rFonts w:ascii="Times New Roman" w:hAnsi="Times New Roman"/>
          <w:color w:val="000000"/>
          <w:sz w:val="24"/>
          <w:szCs w:val="24"/>
        </w:rPr>
        <w:t xml:space="preserve">with minor, consequential </w:t>
      </w:r>
      <w:r w:rsidR="00C44569">
        <w:rPr>
          <w:rFonts w:ascii="Times New Roman" w:hAnsi="Times New Roman"/>
          <w:color w:val="000000"/>
          <w:sz w:val="24"/>
          <w:szCs w:val="24"/>
        </w:rPr>
        <w:t>changes</w:t>
      </w:r>
      <w:r>
        <w:rPr>
          <w:rFonts w:ascii="Times New Roman" w:hAnsi="Times New Roman"/>
          <w:color w:val="000000"/>
          <w:sz w:val="24"/>
          <w:szCs w:val="24"/>
        </w:rPr>
        <w:t xml:space="preserve"> to reflect </w:t>
      </w:r>
      <w:r w:rsidR="00F05037">
        <w:rPr>
          <w:rFonts w:ascii="Times New Roman" w:hAnsi="Times New Roman"/>
          <w:color w:val="000000"/>
          <w:sz w:val="24"/>
          <w:szCs w:val="24"/>
        </w:rPr>
        <w:t>amendments</w:t>
      </w:r>
      <w:r>
        <w:rPr>
          <w:rFonts w:ascii="Times New Roman" w:hAnsi="Times New Roman"/>
          <w:color w:val="000000"/>
          <w:sz w:val="24"/>
          <w:szCs w:val="24"/>
        </w:rPr>
        <w:t xml:space="preserve"> to the financial reporting and auditing requirements in the </w:t>
      </w:r>
      <w:r w:rsidR="00045298">
        <w:rPr>
          <w:rFonts w:ascii="Times New Roman" w:hAnsi="Times New Roman"/>
          <w:color w:val="000000"/>
          <w:sz w:val="24"/>
          <w:szCs w:val="24"/>
        </w:rPr>
        <w:t>Act</w:t>
      </w:r>
      <w:r w:rsidR="00DF76EE">
        <w:rPr>
          <w:rFonts w:ascii="Times New Roman" w:hAnsi="Times New Roman"/>
          <w:color w:val="000000"/>
          <w:sz w:val="24"/>
          <w:szCs w:val="24"/>
        </w:rPr>
        <w:t xml:space="preserve"> and the </w:t>
      </w:r>
      <w:r w:rsidRPr="00823A30">
        <w:rPr>
          <w:rFonts w:ascii="Times New Roman" w:hAnsi="Times New Roman"/>
          <w:color w:val="000000"/>
          <w:sz w:val="24"/>
          <w:szCs w:val="24"/>
        </w:rPr>
        <w:t>Corporations Act</w:t>
      </w:r>
      <w:r w:rsidR="002B0FAA">
        <w:rPr>
          <w:rFonts w:ascii="Times New Roman" w:hAnsi="Times New Roman"/>
          <w:color w:val="000000"/>
          <w:sz w:val="24"/>
          <w:szCs w:val="24"/>
        </w:rPr>
        <w:t xml:space="preserve">. The </w:t>
      </w:r>
      <w:r w:rsidR="000F1A09">
        <w:rPr>
          <w:rFonts w:ascii="Times New Roman" w:hAnsi="Times New Roman"/>
          <w:color w:val="000000"/>
          <w:sz w:val="24"/>
          <w:szCs w:val="24"/>
        </w:rPr>
        <w:t>minor</w:t>
      </w:r>
      <w:r w:rsidR="002B0FAA">
        <w:rPr>
          <w:rFonts w:ascii="Times New Roman" w:hAnsi="Times New Roman"/>
          <w:color w:val="000000"/>
          <w:sz w:val="24"/>
          <w:szCs w:val="24"/>
        </w:rPr>
        <w:t xml:space="preserve"> </w:t>
      </w:r>
      <w:r w:rsidR="000F1A09">
        <w:rPr>
          <w:rFonts w:ascii="Times New Roman" w:hAnsi="Times New Roman"/>
          <w:color w:val="000000"/>
          <w:sz w:val="24"/>
          <w:szCs w:val="24"/>
        </w:rPr>
        <w:t xml:space="preserve">and consequential </w:t>
      </w:r>
      <w:r w:rsidR="002B0FAA">
        <w:rPr>
          <w:rFonts w:ascii="Times New Roman" w:hAnsi="Times New Roman"/>
          <w:color w:val="000000"/>
          <w:sz w:val="24"/>
          <w:szCs w:val="24"/>
        </w:rPr>
        <w:t xml:space="preserve">changes </w:t>
      </w:r>
      <w:r w:rsidR="000F1A09">
        <w:rPr>
          <w:rFonts w:ascii="Times New Roman" w:hAnsi="Times New Roman"/>
          <w:color w:val="000000"/>
          <w:sz w:val="24"/>
          <w:szCs w:val="24"/>
        </w:rPr>
        <w:t xml:space="preserve">consist of </w:t>
      </w:r>
      <w:r w:rsidR="00C86F61">
        <w:rPr>
          <w:rFonts w:ascii="Times New Roman" w:hAnsi="Times New Roman"/>
          <w:sz w:val="24"/>
          <w:szCs w:val="24"/>
        </w:rPr>
        <w:t>references to</w:t>
      </w:r>
      <w:r w:rsidR="00C44569">
        <w:rPr>
          <w:rFonts w:ascii="Times New Roman" w:hAnsi="Times New Roman"/>
          <w:sz w:val="24"/>
          <w:szCs w:val="24"/>
        </w:rPr>
        <w:t xml:space="preserve"> </w:t>
      </w:r>
      <w:r w:rsidR="0021310D">
        <w:rPr>
          <w:rFonts w:ascii="Times New Roman" w:hAnsi="Times New Roman"/>
          <w:sz w:val="24"/>
          <w:szCs w:val="24"/>
        </w:rPr>
        <w:t>new or amended provisions in the Act and the</w:t>
      </w:r>
      <w:r w:rsidR="00C44569">
        <w:rPr>
          <w:rFonts w:ascii="Times New Roman" w:hAnsi="Times New Roman"/>
          <w:sz w:val="24"/>
          <w:szCs w:val="24"/>
        </w:rPr>
        <w:t xml:space="preserve"> Corporations Act and update</w:t>
      </w:r>
      <w:r w:rsidR="00C86F61">
        <w:rPr>
          <w:rFonts w:ascii="Times New Roman" w:hAnsi="Times New Roman"/>
          <w:sz w:val="24"/>
          <w:szCs w:val="24"/>
        </w:rPr>
        <w:t>s to</w:t>
      </w:r>
      <w:r w:rsidR="00C44569">
        <w:rPr>
          <w:rFonts w:ascii="Times New Roman" w:hAnsi="Times New Roman"/>
          <w:sz w:val="24"/>
          <w:szCs w:val="24"/>
        </w:rPr>
        <w:t xml:space="preserve"> terminology in relation to the RSE auditor.</w:t>
      </w:r>
    </w:p>
    <w:bookmarkEnd w:id="5"/>
    <w:p w14:paraId="2EA59F57" w14:textId="77777777" w:rsidR="003B19EF" w:rsidRDefault="003B19EF" w:rsidP="00F4772F">
      <w:pPr>
        <w:rPr>
          <w:rFonts w:ascii="Times New Roman" w:hAnsi="Times New Roman"/>
          <w:sz w:val="24"/>
          <w:szCs w:val="24"/>
        </w:rPr>
      </w:pPr>
    </w:p>
    <w:p w14:paraId="2DB5EAF5" w14:textId="4D0413F1" w:rsidR="00373992" w:rsidRPr="00564008" w:rsidRDefault="002436BD" w:rsidP="00373992">
      <w:pPr>
        <w:pStyle w:val="Heading"/>
        <w:keepNext/>
        <w:numPr>
          <w:ilvl w:val="0"/>
          <w:numId w:val="2"/>
        </w:numPr>
        <w:spacing w:after="240"/>
        <w:ind w:left="0" w:firstLine="0"/>
        <w:outlineLvl w:val="0"/>
        <w:rPr>
          <w:rFonts w:ascii="Times New Roman" w:hAnsi="Times New Roman"/>
          <w:sz w:val="24"/>
          <w:szCs w:val="24"/>
        </w:rPr>
      </w:pPr>
      <w:r w:rsidRPr="00564008">
        <w:rPr>
          <w:rFonts w:ascii="Times New Roman" w:hAnsi="Times New Roman"/>
          <w:sz w:val="24"/>
          <w:szCs w:val="24"/>
        </w:rPr>
        <w:t xml:space="preserve">Purpose </w:t>
      </w:r>
      <w:r w:rsidR="00DF524E" w:rsidRPr="00564008">
        <w:rPr>
          <w:rFonts w:ascii="Times New Roman" w:hAnsi="Times New Roman"/>
          <w:sz w:val="24"/>
          <w:szCs w:val="24"/>
        </w:rPr>
        <w:t xml:space="preserve">and operation </w:t>
      </w:r>
      <w:r w:rsidRPr="00564008">
        <w:rPr>
          <w:rFonts w:ascii="Times New Roman" w:hAnsi="Times New Roman"/>
          <w:sz w:val="24"/>
          <w:szCs w:val="24"/>
        </w:rPr>
        <w:t>of the instrument</w:t>
      </w:r>
      <w:bookmarkStart w:id="6" w:name="bkPurpose"/>
      <w:bookmarkEnd w:id="6"/>
    </w:p>
    <w:p w14:paraId="2D874C5E" w14:textId="584A591D" w:rsidR="00EC6F57" w:rsidRDefault="00EC6F57" w:rsidP="006A5E97">
      <w:pPr>
        <w:jc w:val="both"/>
        <w:rPr>
          <w:rFonts w:ascii="Times New Roman" w:hAnsi="Times New Roman"/>
          <w:sz w:val="24"/>
          <w:szCs w:val="24"/>
        </w:rPr>
      </w:pPr>
      <w:r w:rsidRPr="00BC1E70">
        <w:rPr>
          <w:rFonts w:ascii="Times New Roman" w:hAnsi="Times New Roman"/>
          <w:sz w:val="24"/>
          <w:szCs w:val="24"/>
        </w:rPr>
        <w:t>The purpose of</w:t>
      </w:r>
      <w:r>
        <w:rPr>
          <w:rFonts w:ascii="Times New Roman" w:hAnsi="Times New Roman"/>
          <w:sz w:val="24"/>
          <w:szCs w:val="24"/>
        </w:rPr>
        <w:t xml:space="preserve"> this instrument </w:t>
      </w:r>
      <w:r w:rsidRPr="00BC1E70">
        <w:rPr>
          <w:rFonts w:ascii="Times New Roman" w:hAnsi="Times New Roman"/>
          <w:sz w:val="24"/>
          <w:szCs w:val="24"/>
        </w:rPr>
        <w:t xml:space="preserve">is to revoke </w:t>
      </w:r>
      <w:r>
        <w:rPr>
          <w:rFonts w:ascii="Times New Roman" w:hAnsi="Times New Roman"/>
          <w:sz w:val="24"/>
          <w:szCs w:val="24"/>
        </w:rPr>
        <w:t xml:space="preserve">the previous SPS </w:t>
      </w:r>
      <w:r w:rsidR="003B19EF">
        <w:rPr>
          <w:rFonts w:ascii="Times New Roman" w:hAnsi="Times New Roman"/>
          <w:sz w:val="24"/>
          <w:szCs w:val="24"/>
        </w:rPr>
        <w:t>5</w:t>
      </w:r>
      <w:r>
        <w:rPr>
          <w:rFonts w:ascii="Times New Roman" w:hAnsi="Times New Roman"/>
          <w:sz w:val="24"/>
          <w:szCs w:val="24"/>
        </w:rPr>
        <w:t xml:space="preserve">10 and to replace it with a new version. </w:t>
      </w:r>
    </w:p>
    <w:p w14:paraId="1E2F5AB9" w14:textId="77777777" w:rsidR="00C77DD0" w:rsidRDefault="00C77DD0" w:rsidP="006A5E97">
      <w:pPr>
        <w:jc w:val="both"/>
        <w:rPr>
          <w:rFonts w:ascii="Times New Roman" w:hAnsi="Times New Roman"/>
          <w:sz w:val="24"/>
          <w:szCs w:val="24"/>
        </w:rPr>
      </w:pPr>
    </w:p>
    <w:p w14:paraId="1DE1FD5A" w14:textId="74FA847F" w:rsidR="0086121B" w:rsidRDefault="003E061E" w:rsidP="006A5E97">
      <w:pPr>
        <w:spacing w:after="240"/>
        <w:jc w:val="both"/>
        <w:rPr>
          <w:rFonts w:ascii="Times New Roman" w:hAnsi="Times New Roman"/>
          <w:sz w:val="24"/>
          <w:szCs w:val="24"/>
        </w:rPr>
      </w:pPr>
      <w:r>
        <w:rPr>
          <w:rFonts w:ascii="Times New Roman" w:hAnsi="Times New Roman"/>
          <w:sz w:val="24"/>
          <w:szCs w:val="24"/>
        </w:rPr>
        <w:t xml:space="preserve">The key requirements of SPS 510 are set out below, including the amendments required to align the obligations </w:t>
      </w:r>
      <w:r w:rsidR="00436FA1">
        <w:rPr>
          <w:rFonts w:ascii="Times New Roman" w:hAnsi="Times New Roman"/>
          <w:sz w:val="24"/>
          <w:szCs w:val="24"/>
        </w:rPr>
        <w:t xml:space="preserve">in SPS 510 </w:t>
      </w:r>
      <w:r>
        <w:rPr>
          <w:rFonts w:ascii="Times New Roman" w:hAnsi="Times New Roman"/>
          <w:sz w:val="24"/>
          <w:szCs w:val="24"/>
        </w:rPr>
        <w:t>with the legislative changes set out above</w:t>
      </w:r>
      <w:r w:rsidR="0086121B">
        <w:rPr>
          <w:rFonts w:ascii="Times New Roman" w:hAnsi="Times New Roman"/>
          <w:sz w:val="24"/>
          <w:szCs w:val="24"/>
        </w:rPr>
        <w:t>:</w:t>
      </w:r>
    </w:p>
    <w:p w14:paraId="23870243" w14:textId="5E9E32C3" w:rsidR="00B666F3" w:rsidRPr="00783556" w:rsidRDefault="006C529A" w:rsidP="006A5E97">
      <w:pPr>
        <w:pStyle w:val="ListParagraph"/>
        <w:numPr>
          <w:ilvl w:val="0"/>
          <w:numId w:val="11"/>
        </w:numPr>
        <w:spacing w:after="240"/>
        <w:ind w:left="357" w:hanging="357"/>
        <w:jc w:val="both"/>
        <w:rPr>
          <w:rFonts w:ascii="Times New Roman" w:hAnsi="Times New Roman"/>
          <w:i/>
          <w:sz w:val="24"/>
          <w:szCs w:val="24"/>
        </w:rPr>
      </w:pPr>
      <w:r w:rsidRPr="00783556">
        <w:rPr>
          <w:rFonts w:ascii="Times New Roman" w:hAnsi="Times New Roman"/>
          <w:i/>
          <w:sz w:val="24"/>
          <w:szCs w:val="24"/>
        </w:rPr>
        <w:t>The role of the Board and senior management</w:t>
      </w:r>
    </w:p>
    <w:p w14:paraId="3A3ECE4B" w14:textId="4B02D6FA" w:rsidR="006C529A" w:rsidRDefault="002D5753" w:rsidP="006A5E97">
      <w:pPr>
        <w:spacing w:after="240"/>
        <w:ind w:left="357"/>
        <w:jc w:val="both"/>
        <w:rPr>
          <w:rFonts w:ascii="Times New Roman" w:hAnsi="Times New Roman"/>
          <w:sz w:val="24"/>
          <w:szCs w:val="24"/>
        </w:rPr>
      </w:pPr>
      <w:r>
        <w:rPr>
          <w:rFonts w:ascii="Times New Roman" w:hAnsi="Times New Roman"/>
          <w:sz w:val="24"/>
          <w:szCs w:val="24"/>
        </w:rPr>
        <w:t xml:space="preserve">Paragraphs </w:t>
      </w:r>
      <w:r w:rsidR="00CB3713">
        <w:rPr>
          <w:rFonts w:ascii="Times New Roman" w:hAnsi="Times New Roman"/>
          <w:sz w:val="24"/>
          <w:szCs w:val="24"/>
        </w:rPr>
        <w:t>8-14</w:t>
      </w:r>
      <w:r w:rsidR="00305826">
        <w:rPr>
          <w:rFonts w:ascii="Times New Roman" w:hAnsi="Times New Roman"/>
          <w:sz w:val="24"/>
          <w:szCs w:val="24"/>
        </w:rPr>
        <w:t xml:space="preserve"> set out </w:t>
      </w:r>
      <w:r w:rsidR="000A2D77">
        <w:rPr>
          <w:rFonts w:ascii="Times New Roman" w:hAnsi="Times New Roman"/>
          <w:sz w:val="24"/>
          <w:szCs w:val="24"/>
        </w:rPr>
        <w:t xml:space="preserve">requirements </w:t>
      </w:r>
      <w:r w:rsidR="005F76B8">
        <w:rPr>
          <w:rFonts w:ascii="Times New Roman" w:hAnsi="Times New Roman"/>
          <w:sz w:val="24"/>
          <w:szCs w:val="24"/>
        </w:rPr>
        <w:t xml:space="preserve">relating to </w:t>
      </w:r>
      <w:r w:rsidR="003C3B0E">
        <w:rPr>
          <w:rFonts w:ascii="Times New Roman" w:hAnsi="Times New Roman"/>
          <w:sz w:val="24"/>
          <w:szCs w:val="24"/>
        </w:rPr>
        <w:t xml:space="preserve">responsibility </w:t>
      </w:r>
      <w:r w:rsidR="005F76B8">
        <w:rPr>
          <w:rFonts w:ascii="Times New Roman" w:hAnsi="Times New Roman"/>
          <w:sz w:val="24"/>
          <w:szCs w:val="24"/>
        </w:rPr>
        <w:t xml:space="preserve">of the </w:t>
      </w:r>
      <w:r w:rsidR="003C3B0E">
        <w:rPr>
          <w:rFonts w:ascii="Times New Roman" w:hAnsi="Times New Roman"/>
          <w:sz w:val="24"/>
          <w:szCs w:val="24"/>
        </w:rPr>
        <w:t xml:space="preserve">Board of an RSE licensee and </w:t>
      </w:r>
      <w:r w:rsidR="005F76B8">
        <w:rPr>
          <w:rFonts w:ascii="Times New Roman" w:hAnsi="Times New Roman"/>
          <w:sz w:val="24"/>
          <w:szCs w:val="24"/>
        </w:rPr>
        <w:t xml:space="preserve">any </w:t>
      </w:r>
      <w:r w:rsidR="003C3B0E">
        <w:rPr>
          <w:rFonts w:ascii="Times New Roman" w:hAnsi="Times New Roman"/>
          <w:sz w:val="24"/>
          <w:szCs w:val="24"/>
        </w:rPr>
        <w:t xml:space="preserve">delegations of </w:t>
      </w:r>
      <w:r w:rsidR="009D23FA">
        <w:rPr>
          <w:rFonts w:ascii="Times New Roman" w:hAnsi="Times New Roman"/>
          <w:sz w:val="24"/>
          <w:szCs w:val="24"/>
        </w:rPr>
        <w:t xml:space="preserve">their </w:t>
      </w:r>
      <w:r w:rsidR="003C3B0E">
        <w:rPr>
          <w:rFonts w:ascii="Times New Roman" w:hAnsi="Times New Roman"/>
          <w:sz w:val="24"/>
          <w:szCs w:val="24"/>
        </w:rPr>
        <w:t>functions</w:t>
      </w:r>
      <w:r w:rsidR="009D23FA">
        <w:rPr>
          <w:rFonts w:ascii="Times New Roman" w:hAnsi="Times New Roman"/>
          <w:sz w:val="24"/>
          <w:szCs w:val="24"/>
        </w:rPr>
        <w:t xml:space="preserve"> as well as requirements relating to the collective and individual skills and experiences of </w:t>
      </w:r>
      <w:r w:rsidR="009E2510">
        <w:rPr>
          <w:rFonts w:ascii="Times New Roman" w:hAnsi="Times New Roman"/>
          <w:sz w:val="24"/>
          <w:szCs w:val="24"/>
        </w:rPr>
        <w:t>directors and senior manager</w:t>
      </w:r>
      <w:r w:rsidR="009D23FA">
        <w:rPr>
          <w:rFonts w:ascii="Times New Roman" w:hAnsi="Times New Roman"/>
          <w:sz w:val="24"/>
          <w:szCs w:val="24"/>
        </w:rPr>
        <w:t xml:space="preserve">s </w:t>
      </w:r>
      <w:r w:rsidR="00BB6699">
        <w:rPr>
          <w:rFonts w:ascii="Times New Roman" w:hAnsi="Times New Roman"/>
          <w:sz w:val="24"/>
          <w:szCs w:val="24"/>
        </w:rPr>
        <w:t xml:space="preserve">of </w:t>
      </w:r>
      <w:r w:rsidR="009D23FA">
        <w:rPr>
          <w:rFonts w:ascii="Times New Roman" w:hAnsi="Times New Roman"/>
          <w:sz w:val="24"/>
          <w:szCs w:val="24"/>
        </w:rPr>
        <w:t xml:space="preserve">an </w:t>
      </w:r>
      <w:r w:rsidR="00BB6699">
        <w:rPr>
          <w:rFonts w:ascii="Times New Roman" w:hAnsi="Times New Roman"/>
          <w:sz w:val="24"/>
          <w:szCs w:val="24"/>
        </w:rPr>
        <w:t>RSE licensee</w:t>
      </w:r>
      <w:r w:rsidR="000A2D77">
        <w:rPr>
          <w:rFonts w:ascii="Times New Roman" w:hAnsi="Times New Roman"/>
          <w:sz w:val="24"/>
          <w:szCs w:val="24"/>
        </w:rPr>
        <w:t xml:space="preserve">. </w:t>
      </w:r>
      <w:r w:rsidR="00A2231D">
        <w:rPr>
          <w:rFonts w:ascii="Times New Roman" w:hAnsi="Times New Roman"/>
          <w:sz w:val="24"/>
          <w:szCs w:val="24"/>
        </w:rPr>
        <w:t xml:space="preserve">These requirements also include provisions about who </w:t>
      </w:r>
      <w:r w:rsidR="00B40C5F">
        <w:rPr>
          <w:rFonts w:ascii="Times New Roman" w:hAnsi="Times New Roman"/>
          <w:sz w:val="24"/>
          <w:szCs w:val="24"/>
        </w:rPr>
        <w:t xml:space="preserve">can chair material board committees, </w:t>
      </w:r>
      <w:r w:rsidR="00616986">
        <w:rPr>
          <w:rFonts w:ascii="Times New Roman" w:hAnsi="Times New Roman"/>
          <w:sz w:val="24"/>
          <w:szCs w:val="24"/>
        </w:rPr>
        <w:t xml:space="preserve">Australian </w:t>
      </w:r>
      <w:r w:rsidR="00B40C5F">
        <w:rPr>
          <w:rFonts w:ascii="Times New Roman" w:hAnsi="Times New Roman"/>
          <w:sz w:val="24"/>
          <w:szCs w:val="24"/>
        </w:rPr>
        <w:t>resident status of senior managers</w:t>
      </w:r>
      <w:r w:rsidR="00616986">
        <w:rPr>
          <w:rFonts w:ascii="Times New Roman" w:hAnsi="Times New Roman"/>
          <w:sz w:val="24"/>
          <w:szCs w:val="24"/>
        </w:rPr>
        <w:t xml:space="preserve"> and availability to meet with APRA when requested.</w:t>
      </w:r>
    </w:p>
    <w:p w14:paraId="1C48E4BB" w14:textId="09163BAD" w:rsidR="006C529A" w:rsidRPr="00A03FB7" w:rsidRDefault="0099775D" w:rsidP="006A5E97">
      <w:pPr>
        <w:pStyle w:val="ListParagraph"/>
        <w:numPr>
          <w:ilvl w:val="0"/>
          <w:numId w:val="11"/>
        </w:numPr>
        <w:spacing w:after="240"/>
        <w:ind w:left="357" w:hanging="357"/>
        <w:jc w:val="both"/>
        <w:rPr>
          <w:rFonts w:ascii="Times New Roman" w:hAnsi="Times New Roman"/>
          <w:i/>
          <w:sz w:val="24"/>
          <w:szCs w:val="24"/>
        </w:rPr>
      </w:pPr>
      <w:r w:rsidRPr="00A03FB7">
        <w:rPr>
          <w:rFonts w:ascii="Times New Roman" w:hAnsi="Times New Roman"/>
          <w:i/>
          <w:sz w:val="24"/>
          <w:szCs w:val="24"/>
        </w:rPr>
        <w:t>Governance framework</w:t>
      </w:r>
    </w:p>
    <w:p w14:paraId="5812FD5B" w14:textId="72C8E1E2" w:rsidR="00B5134D" w:rsidRDefault="00B5134D" w:rsidP="006A5E97">
      <w:pPr>
        <w:pStyle w:val="ListParagraph"/>
        <w:spacing w:after="240"/>
        <w:ind w:left="357"/>
        <w:jc w:val="both"/>
        <w:rPr>
          <w:rFonts w:ascii="Times New Roman" w:hAnsi="Times New Roman"/>
          <w:sz w:val="24"/>
          <w:szCs w:val="24"/>
        </w:rPr>
      </w:pPr>
      <w:r>
        <w:rPr>
          <w:rFonts w:ascii="Times New Roman" w:hAnsi="Times New Roman"/>
          <w:sz w:val="24"/>
          <w:szCs w:val="24"/>
        </w:rPr>
        <w:t xml:space="preserve">Paragraphs </w:t>
      </w:r>
      <w:r w:rsidR="00193AAA">
        <w:rPr>
          <w:rFonts w:ascii="Times New Roman" w:hAnsi="Times New Roman"/>
          <w:sz w:val="24"/>
          <w:szCs w:val="24"/>
        </w:rPr>
        <w:t>16-18</w:t>
      </w:r>
      <w:r w:rsidR="00616986">
        <w:rPr>
          <w:rFonts w:ascii="Times New Roman" w:hAnsi="Times New Roman"/>
          <w:sz w:val="24"/>
          <w:szCs w:val="24"/>
        </w:rPr>
        <w:t xml:space="preserve"> require RSE licensees to have a governance framework which </w:t>
      </w:r>
      <w:r w:rsidR="0046658E">
        <w:rPr>
          <w:rFonts w:ascii="Times New Roman" w:hAnsi="Times New Roman"/>
          <w:sz w:val="24"/>
          <w:szCs w:val="24"/>
        </w:rPr>
        <w:t>sets out how a Board oversees and exercises its authority. Th</w:t>
      </w:r>
      <w:r w:rsidR="00363EDA">
        <w:rPr>
          <w:rFonts w:ascii="Times New Roman" w:hAnsi="Times New Roman"/>
          <w:sz w:val="24"/>
          <w:szCs w:val="24"/>
        </w:rPr>
        <w:t>e</w:t>
      </w:r>
      <w:r w:rsidR="0046658E">
        <w:rPr>
          <w:rFonts w:ascii="Times New Roman" w:hAnsi="Times New Roman"/>
          <w:sz w:val="24"/>
          <w:szCs w:val="24"/>
        </w:rPr>
        <w:t xml:space="preserve"> minimum elements of </w:t>
      </w:r>
      <w:r w:rsidR="00EA0020">
        <w:rPr>
          <w:rFonts w:ascii="Times New Roman" w:hAnsi="Times New Roman"/>
          <w:sz w:val="24"/>
          <w:szCs w:val="24"/>
        </w:rPr>
        <w:t xml:space="preserve">the </w:t>
      </w:r>
      <w:r w:rsidR="00014256">
        <w:rPr>
          <w:rFonts w:ascii="Times New Roman" w:hAnsi="Times New Roman"/>
          <w:sz w:val="24"/>
          <w:szCs w:val="24"/>
        </w:rPr>
        <w:t>governance framework includ</w:t>
      </w:r>
      <w:r w:rsidR="00EA0020">
        <w:rPr>
          <w:rFonts w:ascii="Times New Roman" w:hAnsi="Times New Roman"/>
          <w:sz w:val="24"/>
          <w:szCs w:val="24"/>
        </w:rPr>
        <w:t>e</w:t>
      </w:r>
      <w:r w:rsidR="00014256">
        <w:rPr>
          <w:rFonts w:ascii="Times New Roman" w:hAnsi="Times New Roman"/>
          <w:sz w:val="24"/>
          <w:szCs w:val="24"/>
        </w:rPr>
        <w:t xml:space="preserve"> a charter and policies on voting rights, </w:t>
      </w:r>
      <w:r w:rsidR="000241A5">
        <w:rPr>
          <w:rFonts w:ascii="Times New Roman" w:hAnsi="Times New Roman"/>
          <w:sz w:val="24"/>
          <w:szCs w:val="24"/>
        </w:rPr>
        <w:t xml:space="preserve">Board and Board committee composition and </w:t>
      </w:r>
      <w:r w:rsidR="00801CE6">
        <w:rPr>
          <w:rFonts w:ascii="Times New Roman" w:hAnsi="Times New Roman"/>
          <w:sz w:val="24"/>
          <w:szCs w:val="24"/>
        </w:rPr>
        <w:t>Board renewal and tenure.</w:t>
      </w:r>
    </w:p>
    <w:p w14:paraId="457A2E19" w14:textId="03FD966C" w:rsidR="0099775D" w:rsidRPr="00A03FB7" w:rsidRDefault="005F7ACC" w:rsidP="006A5E97">
      <w:pPr>
        <w:pStyle w:val="ListParagraph"/>
        <w:numPr>
          <w:ilvl w:val="0"/>
          <w:numId w:val="11"/>
        </w:numPr>
        <w:spacing w:after="240"/>
        <w:ind w:left="357" w:hanging="357"/>
        <w:jc w:val="both"/>
        <w:rPr>
          <w:rFonts w:ascii="Times New Roman" w:hAnsi="Times New Roman"/>
          <w:i/>
          <w:sz w:val="24"/>
          <w:szCs w:val="24"/>
        </w:rPr>
      </w:pPr>
      <w:r w:rsidRPr="00A03FB7">
        <w:rPr>
          <w:rFonts w:ascii="Times New Roman" w:hAnsi="Times New Roman"/>
          <w:i/>
          <w:sz w:val="24"/>
          <w:szCs w:val="24"/>
        </w:rPr>
        <w:t xml:space="preserve">Board </w:t>
      </w:r>
      <w:proofErr w:type="gramStart"/>
      <w:r w:rsidRPr="00A03FB7">
        <w:rPr>
          <w:rFonts w:ascii="Times New Roman" w:hAnsi="Times New Roman"/>
          <w:i/>
          <w:sz w:val="24"/>
          <w:szCs w:val="24"/>
        </w:rPr>
        <w:t>composition</w:t>
      </w:r>
      <w:proofErr w:type="gramEnd"/>
    </w:p>
    <w:p w14:paraId="7BD727F1" w14:textId="5681E102" w:rsidR="00B5134D" w:rsidRDefault="00B5134D" w:rsidP="006A5E97">
      <w:pPr>
        <w:pStyle w:val="ListParagraph"/>
        <w:spacing w:after="240"/>
        <w:ind w:left="357"/>
        <w:jc w:val="both"/>
        <w:rPr>
          <w:rFonts w:ascii="Times New Roman" w:hAnsi="Times New Roman"/>
          <w:sz w:val="24"/>
          <w:szCs w:val="24"/>
        </w:rPr>
      </w:pPr>
      <w:r>
        <w:rPr>
          <w:rFonts w:ascii="Times New Roman" w:hAnsi="Times New Roman"/>
          <w:sz w:val="24"/>
          <w:szCs w:val="24"/>
        </w:rPr>
        <w:t xml:space="preserve">Paragraphs </w:t>
      </w:r>
      <w:r w:rsidR="004A1CB6">
        <w:rPr>
          <w:rFonts w:ascii="Times New Roman" w:hAnsi="Times New Roman"/>
          <w:sz w:val="24"/>
          <w:szCs w:val="24"/>
        </w:rPr>
        <w:t>19-20</w:t>
      </w:r>
      <w:r w:rsidR="00801CE6">
        <w:rPr>
          <w:rFonts w:ascii="Times New Roman" w:hAnsi="Times New Roman"/>
          <w:sz w:val="24"/>
          <w:szCs w:val="24"/>
        </w:rPr>
        <w:t xml:space="preserve"> require that the chair of the Board must be a director of the RSE licensee and </w:t>
      </w:r>
      <w:proofErr w:type="gramStart"/>
      <w:r w:rsidR="00801CE6">
        <w:rPr>
          <w:rFonts w:ascii="Times New Roman" w:hAnsi="Times New Roman"/>
          <w:sz w:val="24"/>
          <w:szCs w:val="24"/>
        </w:rPr>
        <w:t>the majority of</w:t>
      </w:r>
      <w:proofErr w:type="gramEnd"/>
      <w:r w:rsidR="00801CE6">
        <w:rPr>
          <w:rFonts w:ascii="Times New Roman" w:hAnsi="Times New Roman"/>
          <w:sz w:val="24"/>
          <w:szCs w:val="24"/>
        </w:rPr>
        <w:t xml:space="preserve"> directors of an RSE licensee must be resident in Australia.</w:t>
      </w:r>
    </w:p>
    <w:p w14:paraId="031C1701" w14:textId="1D6862C4" w:rsidR="005F7ACC" w:rsidRPr="00A03FB7" w:rsidRDefault="008833ED" w:rsidP="006A5E97">
      <w:pPr>
        <w:pStyle w:val="ListParagraph"/>
        <w:numPr>
          <w:ilvl w:val="0"/>
          <w:numId w:val="11"/>
        </w:numPr>
        <w:spacing w:after="240"/>
        <w:ind w:left="357" w:hanging="357"/>
        <w:jc w:val="both"/>
        <w:rPr>
          <w:rFonts w:ascii="Times New Roman" w:hAnsi="Times New Roman"/>
          <w:i/>
          <w:sz w:val="24"/>
          <w:szCs w:val="24"/>
        </w:rPr>
      </w:pPr>
      <w:r w:rsidRPr="00A03FB7">
        <w:rPr>
          <w:rFonts w:ascii="Times New Roman" w:hAnsi="Times New Roman"/>
          <w:i/>
          <w:sz w:val="24"/>
          <w:szCs w:val="24"/>
        </w:rPr>
        <w:t xml:space="preserve">Board performance </w:t>
      </w:r>
      <w:proofErr w:type="gramStart"/>
      <w:r w:rsidRPr="00A03FB7">
        <w:rPr>
          <w:rFonts w:ascii="Times New Roman" w:hAnsi="Times New Roman"/>
          <w:i/>
          <w:sz w:val="24"/>
          <w:szCs w:val="24"/>
        </w:rPr>
        <w:t>assessment</w:t>
      </w:r>
      <w:proofErr w:type="gramEnd"/>
    </w:p>
    <w:p w14:paraId="026F3EE9" w14:textId="6865D73A" w:rsidR="00B5134D" w:rsidRDefault="00B5134D" w:rsidP="006A5E97">
      <w:pPr>
        <w:pStyle w:val="ListParagraph"/>
        <w:spacing w:after="240"/>
        <w:ind w:left="357"/>
        <w:jc w:val="both"/>
        <w:rPr>
          <w:rFonts w:ascii="Times New Roman" w:hAnsi="Times New Roman"/>
          <w:sz w:val="24"/>
          <w:szCs w:val="24"/>
        </w:rPr>
      </w:pPr>
      <w:r>
        <w:rPr>
          <w:rFonts w:ascii="Times New Roman" w:hAnsi="Times New Roman"/>
          <w:sz w:val="24"/>
          <w:szCs w:val="24"/>
        </w:rPr>
        <w:t xml:space="preserve">Paragraph </w:t>
      </w:r>
      <w:r w:rsidR="004A1CB6">
        <w:rPr>
          <w:rFonts w:ascii="Times New Roman" w:hAnsi="Times New Roman"/>
          <w:sz w:val="24"/>
          <w:szCs w:val="24"/>
        </w:rPr>
        <w:t>21</w:t>
      </w:r>
      <w:r w:rsidR="0036129B">
        <w:rPr>
          <w:rFonts w:ascii="Times New Roman" w:hAnsi="Times New Roman"/>
          <w:sz w:val="24"/>
          <w:szCs w:val="24"/>
        </w:rPr>
        <w:t xml:space="preserve"> requires that Boards must annually assess the performance of the Board against its objectives.</w:t>
      </w:r>
    </w:p>
    <w:p w14:paraId="5843358A" w14:textId="00C44626" w:rsidR="00E010FA" w:rsidRPr="00A03FB7" w:rsidRDefault="00214BA7" w:rsidP="006A5E97">
      <w:pPr>
        <w:pStyle w:val="ListParagraph"/>
        <w:numPr>
          <w:ilvl w:val="0"/>
          <w:numId w:val="11"/>
        </w:numPr>
        <w:spacing w:after="240"/>
        <w:ind w:left="357" w:hanging="357"/>
        <w:jc w:val="both"/>
        <w:rPr>
          <w:rFonts w:ascii="Times New Roman" w:hAnsi="Times New Roman"/>
          <w:i/>
          <w:sz w:val="24"/>
          <w:szCs w:val="24"/>
        </w:rPr>
      </w:pPr>
      <w:r w:rsidRPr="00A03FB7">
        <w:rPr>
          <w:rFonts w:ascii="Times New Roman" w:hAnsi="Times New Roman"/>
          <w:i/>
          <w:sz w:val="24"/>
          <w:szCs w:val="24"/>
        </w:rPr>
        <w:t xml:space="preserve">Board </w:t>
      </w:r>
      <w:r w:rsidR="000726D4">
        <w:rPr>
          <w:rFonts w:ascii="Times New Roman" w:hAnsi="Times New Roman"/>
          <w:i/>
          <w:sz w:val="24"/>
          <w:szCs w:val="24"/>
        </w:rPr>
        <w:t xml:space="preserve">renewal, </w:t>
      </w:r>
      <w:r w:rsidRPr="00A03FB7">
        <w:rPr>
          <w:rFonts w:ascii="Times New Roman" w:hAnsi="Times New Roman"/>
          <w:i/>
          <w:sz w:val="24"/>
          <w:szCs w:val="24"/>
        </w:rPr>
        <w:t>nomination</w:t>
      </w:r>
      <w:r w:rsidR="000726D4">
        <w:rPr>
          <w:rFonts w:ascii="Times New Roman" w:hAnsi="Times New Roman"/>
          <w:i/>
          <w:sz w:val="24"/>
          <w:szCs w:val="24"/>
        </w:rPr>
        <w:t>,</w:t>
      </w:r>
      <w:r w:rsidRPr="00A03FB7">
        <w:rPr>
          <w:rFonts w:ascii="Times New Roman" w:hAnsi="Times New Roman"/>
          <w:i/>
          <w:sz w:val="24"/>
          <w:szCs w:val="24"/>
        </w:rPr>
        <w:t xml:space="preserve"> appointment and </w:t>
      </w:r>
      <w:proofErr w:type="gramStart"/>
      <w:r w:rsidR="00092D13" w:rsidRPr="00A03FB7">
        <w:rPr>
          <w:rFonts w:ascii="Times New Roman" w:hAnsi="Times New Roman"/>
          <w:i/>
          <w:sz w:val="24"/>
          <w:szCs w:val="24"/>
        </w:rPr>
        <w:t>removal</w:t>
      </w:r>
      <w:proofErr w:type="gramEnd"/>
    </w:p>
    <w:p w14:paraId="006D4259" w14:textId="36A26EFC" w:rsidR="00B5134D" w:rsidRDefault="00B5134D" w:rsidP="006A5E97">
      <w:pPr>
        <w:pStyle w:val="ListParagraph"/>
        <w:spacing w:after="240"/>
        <w:ind w:left="357"/>
        <w:jc w:val="both"/>
        <w:rPr>
          <w:rFonts w:ascii="Times New Roman" w:hAnsi="Times New Roman"/>
          <w:sz w:val="24"/>
          <w:szCs w:val="24"/>
        </w:rPr>
      </w:pPr>
      <w:r>
        <w:rPr>
          <w:rFonts w:ascii="Times New Roman" w:hAnsi="Times New Roman"/>
          <w:sz w:val="24"/>
          <w:szCs w:val="24"/>
        </w:rPr>
        <w:t>Paragraph</w:t>
      </w:r>
      <w:r w:rsidR="00335AC7">
        <w:rPr>
          <w:rFonts w:ascii="Times New Roman" w:hAnsi="Times New Roman"/>
          <w:sz w:val="24"/>
          <w:szCs w:val="24"/>
        </w:rPr>
        <w:t>s</w:t>
      </w:r>
      <w:r w:rsidR="00F64430">
        <w:rPr>
          <w:rFonts w:ascii="Times New Roman" w:hAnsi="Times New Roman"/>
          <w:sz w:val="24"/>
          <w:szCs w:val="24"/>
        </w:rPr>
        <w:t xml:space="preserve"> </w:t>
      </w:r>
      <w:r w:rsidR="000726D4">
        <w:rPr>
          <w:rFonts w:ascii="Times New Roman" w:hAnsi="Times New Roman"/>
          <w:sz w:val="24"/>
          <w:szCs w:val="24"/>
        </w:rPr>
        <w:t>22-</w:t>
      </w:r>
      <w:r w:rsidR="00F64430">
        <w:rPr>
          <w:rFonts w:ascii="Times New Roman" w:hAnsi="Times New Roman"/>
          <w:sz w:val="24"/>
          <w:szCs w:val="24"/>
        </w:rPr>
        <w:t>23</w:t>
      </w:r>
      <w:r w:rsidR="009A4217">
        <w:rPr>
          <w:rFonts w:ascii="Times New Roman" w:hAnsi="Times New Roman"/>
          <w:sz w:val="24"/>
          <w:szCs w:val="24"/>
        </w:rPr>
        <w:t xml:space="preserve"> </w:t>
      </w:r>
      <w:r w:rsidR="000726D4">
        <w:rPr>
          <w:rFonts w:ascii="Times New Roman" w:hAnsi="Times New Roman"/>
          <w:sz w:val="24"/>
          <w:szCs w:val="24"/>
        </w:rPr>
        <w:t xml:space="preserve">set out further detail on minimum </w:t>
      </w:r>
      <w:r w:rsidR="00E4381C">
        <w:rPr>
          <w:rFonts w:ascii="Times New Roman" w:hAnsi="Times New Roman"/>
          <w:sz w:val="24"/>
          <w:szCs w:val="24"/>
        </w:rPr>
        <w:t>inclusions within Board policies on Board renewal and Board nomination</w:t>
      </w:r>
      <w:r w:rsidR="004E1DDD">
        <w:rPr>
          <w:rFonts w:ascii="Times New Roman" w:hAnsi="Times New Roman"/>
          <w:sz w:val="24"/>
          <w:szCs w:val="24"/>
        </w:rPr>
        <w:t xml:space="preserve">, </w:t>
      </w:r>
      <w:proofErr w:type="gramStart"/>
      <w:r w:rsidR="004E1DDD">
        <w:rPr>
          <w:rFonts w:ascii="Times New Roman" w:hAnsi="Times New Roman"/>
          <w:sz w:val="24"/>
          <w:szCs w:val="24"/>
        </w:rPr>
        <w:t>appointment</w:t>
      </w:r>
      <w:proofErr w:type="gramEnd"/>
      <w:r w:rsidR="004E1DDD">
        <w:rPr>
          <w:rFonts w:ascii="Times New Roman" w:hAnsi="Times New Roman"/>
          <w:sz w:val="24"/>
          <w:szCs w:val="24"/>
        </w:rPr>
        <w:t xml:space="preserve"> and removal.</w:t>
      </w:r>
    </w:p>
    <w:p w14:paraId="61A4A942" w14:textId="3F005EB6" w:rsidR="00092D13" w:rsidRPr="00A03FB7" w:rsidRDefault="005D4B5E" w:rsidP="006A5E97">
      <w:pPr>
        <w:pStyle w:val="ListParagraph"/>
        <w:numPr>
          <w:ilvl w:val="0"/>
          <w:numId w:val="11"/>
        </w:numPr>
        <w:spacing w:after="240"/>
        <w:ind w:left="357" w:hanging="357"/>
        <w:jc w:val="both"/>
        <w:rPr>
          <w:rFonts w:ascii="Times New Roman" w:hAnsi="Times New Roman"/>
          <w:i/>
          <w:sz w:val="24"/>
          <w:szCs w:val="24"/>
        </w:rPr>
      </w:pPr>
      <w:r w:rsidRPr="00A03FB7">
        <w:rPr>
          <w:rFonts w:ascii="Times New Roman" w:hAnsi="Times New Roman"/>
          <w:i/>
          <w:sz w:val="24"/>
          <w:szCs w:val="24"/>
        </w:rPr>
        <w:lastRenderedPageBreak/>
        <w:t>Board Audit Committee</w:t>
      </w:r>
    </w:p>
    <w:p w14:paraId="0A2FECB8" w14:textId="074B95C3" w:rsidR="00B5134D" w:rsidRDefault="00B5134D" w:rsidP="006A5E97">
      <w:pPr>
        <w:pStyle w:val="ListParagraph"/>
        <w:spacing w:after="240"/>
        <w:ind w:left="357"/>
        <w:jc w:val="both"/>
        <w:rPr>
          <w:rFonts w:ascii="Times New Roman" w:hAnsi="Times New Roman"/>
          <w:sz w:val="24"/>
          <w:szCs w:val="24"/>
        </w:rPr>
      </w:pPr>
      <w:r>
        <w:rPr>
          <w:rFonts w:ascii="Times New Roman" w:hAnsi="Times New Roman"/>
          <w:sz w:val="24"/>
          <w:szCs w:val="24"/>
        </w:rPr>
        <w:t>Paragraphs</w:t>
      </w:r>
      <w:r w:rsidR="005A0E92">
        <w:rPr>
          <w:rFonts w:ascii="Times New Roman" w:hAnsi="Times New Roman"/>
          <w:sz w:val="24"/>
          <w:szCs w:val="24"/>
        </w:rPr>
        <w:t xml:space="preserve"> 24-36</w:t>
      </w:r>
      <w:r>
        <w:rPr>
          <w:rFonts w:ascii="Times New Roman" w:hAnsi="Times New Roman"/>
          <w:sz w:val="24"/>
          <w:szCs w:val="24"/>
        </w:rPr>
        <w:t xml:space="preserve"> </w:t>
      </w:r>
      <w:r w:rsidR="004E1DDD">
        <w:rPr>
          <w:rFonts w:ascii="Times New Roman" w:hAnsi="Times New Roman"/>
          <w:sz w:val="24"/>
          <w:szCs w:val="24"/>
        </w:rPr>
        <w:t>set out that Boards must establish a Board Audit Committee</w:t>
      </w:r>
      <w:r w:rsidR="007E26CD">
        <w:rPr>
          <w:rFonts w:ascii="Times New Roman" w:hAnsi="Times New Roman"/>
          <w:sz w:val="24"/>
          <w:szCs w:val="24"/>
        </w:rPr>
        <w:t xml:space="preserve"> and the minimum requirement</w:t>
      </w:r>
      <w:r w:rsidR="00DC37E3">
        <w:rPr>
          <w:rFonts w:ascii="Times New Roman" w:hAnsi="Times New Roman"/>
          <w:sz w:val="24"/>
          <w:szCs w:val="24"/>
        </w:rPr>
        <w:t>s</w:t>
      </w:r>
      <w:r w:rsidR="007E26CD">
        <w:rPr>
          <w:rFonts w:ascii="Times New Roman" w:hAnsi="Times New Roman"/>
          <w:sz w:val="24"/>
          <w:szCs w:val="24"/>
        </w:rPr>
        <w:t xml:space="preserve"> of th</w:t>
      </w:r>
      <w:r w:rsidR="00DC37E3">
        <w:rPr>
          <w:rFonts w:ascii="Times New Roman" w:hAnsi="Times New Roman"/>
          <w:sz w:val="24"/>
          <w:szCs w:val="24"/>
        </w:rPr>
        <w:t>is</w:t>
      </w:r>
      <w:r w:rsidR="007E26CD">
        <w:rPr>
          <w:rFonts w:ascii="Times New Roman" w:hAnsi="Times New Roman"/>
          <w:sz w:val="24"/>
          <w:szCs w:val="24"/>
        </w:rPr>
        <w:t xml:space="preserve"> committee in terms of its powers, composition, </w:t>
      </w:r>
      <w:r w:rsidR="006A5341">
        <w:rPr>
          <w:rFonts w:ascii="Times New Roman" w:hAnsi="Times New Roman"/>
          <w:sz w:val="24"/>
          <w:szCs w:val="24"/>
        </w:rPr>
        <w:t xml:space="preserve">chair, charter inclusions, </w:t>
      </w:r>
      <w:r w:rsidR="004B7C9D">
        <w:rPr>
          <w:rFonts w:ascii="Times New Roman" w:hAnsi="Times New Roman"/>
          <w:sz w:val="24"/>
          <w:szCs w:val="24"/>
        </w:rPr>
        <w:t>role in reviewing the engagement of the RSE auditor and audit plans</w:t>
      </w:r>
      <w:r w:rsidR="00D064DE">
        <w:rPr>
          <w:rFonts w:ascii="Times New Roman" w:hAnsi="Times New Roman"/>
          <w:sz w:val="24"/>
          <w:szCs w:val="24"/>
        </w:rPr>
        <w:t xml:space="preserve">. These provisions also establish </w:t>
      </w:r>
      <w:r w:rsidR="00402444">
        <w:rPr>
          <w:rFonts w:ascii="Times New Roman" w:hAnsi="Times New Roman"/>
          <w:sz w:val="24"/>
          <w:szCs w:val="24"/>
        </w:rPr>
        <w:t xml:space="preserve">the requirements for </w:t>
      </w:r>
      <w:r w:rsidR="007F2183">
        <w:rPr>
          <w:rFonts w:ascii="Times New Roman" w:hAnsi="Times New Roman"/>
          <w:sz w:val="24"/>
          <w:szCs w:val="24"/>
        </w:rPr>
        <w:t xml:space="preserve">the Board Audit Committee to </w:t>
      </w:r>
      <w:r w:rsidR="00402444">
        <w:rPr>
          <w:rFonts w:ascii="Times New Roman" w:hAnsi="Times New Roman"/>
          <w:sz w:val="24"/>
          <w:szCs w:val="24"/>
        </w:rPr>
        <w:t xml:space="preserve">have </w:t>
      </w:r>
      <w:r w:rsidR="00123B0B">
        <w:rPr>
          <w:rFonts w:ascii="Times New Roman" w:hAnsi="Times New Roman"/>
          <w:sz w:val="24"/>
          <w:szCs w:val="24"/>
        </w:rPr>
        <w:t xml:space="preserve">access </w:t>
      </w:r>
      <w:r w:rsidR="00763A0B">
        <w:rPr>
          <w:rFonts w:ascii="Times New Roman" w:hAnsi="Times New Roman"/>
          <w:sz w:val="24"/>
          <w:szCs w:val="24"/>
        </w:rPr>
        <w:t>to</w:t>
      </w:r>
      <w:r w:rsidR="007F2183">
        <w:rPr>
          <w:rFonts w:ascii="Times New Roman" w:hAnsi="Times New Roman"/>
          <w:sz w:val="24"/>
          <w:szCs w:val="24"/>
        </w:rPr>
        <w:t xml:space="preserve"> </w:t>
      </w:r>
      <w:r w:rsidR="000A5621">
        <w:rPr>
          <w:rFonts w:ascii="Times New Roman" w:hAnsi="Times New Roman"/>
          <w:sz w:val="24"/>
          <w:szCs w:val="24"/>
        </w:rPr>
        <w:t>individuals with critical roles in relation to risk and audit</w:t>
      </w:r>
      <w:r w:rsidR="00123B0B">
        <w:rPr>
          <w:rFonts w:ascii="Times New Roman" w:hAnsi="Times New Roman"/>
          <w:sz w:val="24"/>
          <w:szCs w:val="24"/>
        </w:rPr>
        <w:t xml:space="preserve"> and the flow of important information to the Board Audit Committee.</w:t>
      </w:r>
    </w:p>
    <w:p w14:paraId="0E5A93B8" w14:textId="72313712" w:rsidR="0006287A" w:rsidRDefault="00643003" w:rsidP="006A5E97">
      <w:pPr>
        <w:pStyle w:val="ListParagraph"/>
        <w:spacing w:after="240"/>
        <w:ind w:left="357"/>
        <w:jc w:val="both"/>
        <w:rPr>
          <w:rFonts w:ascii="Times New Roman" w:hAnsi="Times New Roman"/>
          <w:sz w:val="24"/>
          <w:szCs w:val="24"/>
        </w:rPr>
      </w:pPr>
      <w:r>
        <w:rPr>
          <w:rFonts w:ascii="Times New Roman" w:hAnsi="Times New Roman"/>
          <w:sz w:val="24"/>
          <w:szCs w:val="24"/>
        </w:rPr>
        <w:t>P</w:t>
      </w:r>
      <w:r w:rsidR="0047638E">
        <w:rPr>
          <w:rFonts w:ascii="Times New Roman" w:hAnsi="Times New Roman"/>
          <w:sz w:val="24"/>
          <w:szCs w:val="24"/>
        </w:rPr>
        <w:t>aragraph 35 requires</w:t>
      </w:r>
      <w:r w:rsidR="0006287A">
        <w:rPr>
          <w:rFonts w:ascii="Times New Roman" w:hAnsi="Times New Roman"/>
          <w:sz w:val="24"/>
          <w:szCs w:val="24"/>
        </w:rPr>
        <w:t xml:space="preserve"> the Board Audit Committee to </w:t>
      </w:r>
      <w:r w:rsidR="005F42D4">
        <w:rPr>
          <w:rFonts w:ascii="Times New Roman" w:hAnsi="Times New Roman"/>
          <w:sz w:val="24"/>
          <w:szCs w:val="24"/>
        </w:rPr>
        <w:t xml:space="preserve">invite </w:t>
      </w:r>
      <w:r w:rsidR="0006287A">
        <w:rPr>
          <w:rFonts w:ascii="Times New Roman" w:hAnsi="Times New Roman"/>
          <w:sz w:val="24"/>
          <w:szCs w:val="24"/>
        </w:rPr>
        <w:t>the ‘individual RSE auditor’ or ‘lead auditor’</w:t>
      </w:r>
      <w:r w:rsidR="00F7068E">
        <w:rPr>
          <w:rFonts w:ascii="Times New Roman" w:hAnsi="Times New Roman"/>
          <w:sz w:val="24"/>
          <w:szCs w:val="24"/>
        </w:rPr>
        <w:t xml:space="preserve"> to </w:t>
      </w:r>
      <w:r>
        <w:rPr>
          <w:rFonts w:ascii="Times New Roman" w:hAnsi="Times New Roman"/>
          <w:sz w:val="24"/>
          <w:szCs w:val="24"/>
        </w:rPr>
        <w:t xml:space="preserve">Board Audit Committee meetings. This change </w:t>
      </w:r>
      <w:r w:rsidR="00FD5161">
        <w:rPr>
          <w:rFonts w:ascii="Times New Roman" w:hAnsi="Times New Roman"/>
          <w:sz w:val="24"/>
          <w:szCs w:val="24"/>
        </w:rPr>
        <w:t>clarif</w:t>
      </w:r>
      <w:r>
        <w:rPr>
          <w:rFonts w:ascii="Times New Roman" w:hAnsi="Times New Roman"/>
          <w:sz w:val="24"/>
          <w:szCs w:val="24"/>
        </w:rPr>
        <w:t>ies</w:t>
      </w:r>
      <w:r w:rsidR="00FD5161">
        <w:rPr>
          <w:rFonts w:ascii="Times New Roman" w:hAnsi="Times New Roman"/>
          <w:sz w:val="24"/>
          <w:szCs w:val="24"/>
        </w:rPr>
        <w:t xml:space="preserve"> that this requirement applies to a natural person.</w:t>
      </w:r>
    </w:p>
    <w:p w14:paraId="21D1F856" w14:textId="0C0B4785" w:rsidR="00214BA7" w:rsidRPr="00A03FB7" w:rsidRDefault="00C76355" w:rsidP="006A5E97">
      <w:pPr>
        <w:pStyle w:val="ListParagraph"/>
        <w:numPr>
          <w:ilvl w:val="0"/>
          <w:numId w:val="11"/>
        </w:numPr>
        <w:spacing w:after="240"/>
        <w:ind w:left="357" w:hanging="357"/>
        <w:jc w:val="both"/>
        <w:rPr>
          <w:rFonts w:ascii="Times New Roman" w:hAnsi="Times New Roman"/>
          <w:i/>
          <w:sz w:val="24"/>
          <w:szCs w:val="24"/>
        </w:rPr>
      </w:pPr>
      <w:r w:rsidRPr="00A03FB7">
        <w:rPr>
          <w:rFonts w:ascii="Times New Roman" w:hAnsi="Times New Roman"/>
          <w:i/>
          <w:sz w:val="24"/>
          <w:szCs w:val="24"/>
        </w:rPr>
        <w:t>Internal audit</w:t>
      </w:r>
    </w:p>
    <w:p w14:paraId="6772419B" w14:textId="786B5579" w:rsidR="005100EB" w:rsidRDefault="005100EB" w:rsidP="006A5E97">
      <w:pPr>
        <w:pStyle w:val="ListParagraph"/>
        <w:spacing w:after="240"/>
        <w:ind w:left="357"/>
        <w:jc w:val="both"/>
        <w:rPr>
          <w:rFonts w:ascii="Times New Roman" w:hAnsi="Times New Roman"/>
          <w:sz w:val="24"/>
          <w:szCs w:val="24"/>
        </w:rPr>
      </w:pPr>
      <w:r>
        <w:rPr>
          <w:rFonts w:ascii="Times New Roman" w:hAnsi="Times New Roman"/>
          <w:sz w:val="24"/>
          <w:szCs w:val="24"/>
        </w:rPr>
        <w:t xml:space="preserve">Paragraphs </w:t>
      </w:r>
      <w:r w:rsidR="00ED65FB">
        <w:rPr>
          <w:rFonts w:ascii="Times New Roman" w:hAnsi="Times New Roman"/>
          <w:sz w:val="24"/>
          <w:szCs w:val="24"/>
        </w:rPr>
        <w:t>37-38</w:t>
      </w:r>
      <w:r w:rsidR="00123B0B">
        <w:rPr>
          <w:rFonts w:ascii="Times New Roman" w:hAnsi="Times New Roman"/>
          <w:sz w:val="24"/>
          <w:szCs w:val="24"/>
        </w:rPr>
        <w:t xml:space="preserve"> require that </w:t>
      </w:r>
      <w:r w:rsidR="00B743AD">
        <w:rPr>
          <w:rFonts w:ascii="Times New Roman" w:hAnsi="Times New Roman"/>
          <w:sz w:val="24"/>
          <w:szCs w:val="24"/>
        </w:rPr>
        <w:t xml:space="preserve">an RSE licensee must have an internal audit function </w:t>
      </w:r>
      <w:r w:rsidR="00C25E27">
        <w:rPr>
          <w:rFonts w:ascii="Times New Roman" w:hAnsi="Times New Roman"/>
          <w:sz w:val="24"/>
          <w:szCs w:val="24"/>
        </w:rPr>
        <w:t>or a proposed alternative arrangement that must be approved by APRA.</w:t>
      </w:r>
    </w:p>
    <w:p w14:paraId="126D542D" w14:textId="32B5456C" w:rsidR="00C76355" w:rsidRPr="00A03FB7" w:rsidRDefault="00C76355" w:rsidP="006A5E97">
      <w:pPr>
        <w:pStyle w:val="ListParagraph"/>
        <w:numPr>
          <w:ilvl w:val="0"/>
          <w:numId w:val="11"/>
        </w:numPr>
        <w:spacing w:after="240"/>
        <w:ind w:left="357" w:hanging="357"/>
        <w:jc w:val="both"/>
        <w:rPr>
          <w:rFonts w:ascii="Times New Roman" w:hAnsi="Times New Roman"/>
          <w:i/>
          <w:sz w:val="24"/>
          <w:szCs w:val="24"/>
        </w:rPr>
      </w:pPr>
      <w:r w:rsidRPr="00A03FB7">
        <w:rPr>
          <w:rFonts w:ascii="Times New Roman" w:hAnsi="Times New Roman"/>
          <w:i/>
          <w:sz w:val="24"/>
          <w:szCs w:val="24"/>
        </w:rPr>
        <w:t>Audit</w:t>
      </w:r>
      <w:r w:rsidR="000F728E">
        <w:rPr>
          <w:rFonts w:ascii="Times New Roman" w:hAnsi="Times New Roman"/>
          <w:i/>
          <w:sz w:val="24"/>
          <w:szCs w:val="24"/>
        </w:rPr>
        <w:t>or</w:t>
      </w:r>
      <w:r w:rsidRPr="00A03FB7">
        <w:rPr>
          <w:rFonts w:ascii="Times New Roman" w:hAnsi="Times New Roman"/>
          <w:i/>
          <w:sz w:val="24"/>
          <w:szCs w:val="24"/>
        </w:rPr>
        <w:t xml:space="preserve"> independence</w:t>
      </w:r>
    </w:p>
    <w:p w14:paraId="1331D005" w14:textId="7CFA4A3D" w:rsidR="005100EB" w:rsidRDefault="005100EB" w:rsidP="006A5E97">
      <w:pPr>
        <w:pStyle w:val="ListParagraph"/>
        <w:spacing w:after="240"/>
        <w:ind w:left="357"/>
        <w:jc w:val="both"/>
        <w:rPr>
          <w:rFonts w:ascii="Times New Roman" w:hAnsi="Times New Roman"/>
          <w:sz w:val="24"/>
          <w:szCs w:val="24"/>
        </w:rPr>
      </w:pPr>
      <w:r>
        <w:rPr>
          <w:rFonts w:ascii="Times New Roman" w:hAnsi="Times New Roman"/>
          <w:sz w:val="24"/>
          <w:szCs w:val="24"/>
        </w:rPr>
        <w:t xml:space="preserve">Paragraphs </w:t>
      </w:r>
      <w:r w:rsidR="00823AE3">
        <w:rPr>
          <w:rFonts w:ascii="Times New Roman" w:hAnsi="Times New Roman"/>
          <w:sz w:val="24"/>
          <w:szCs w:val="24"/>
        </w:rPr>
        <w:t>39-47</w:t>
      </w:r>
      <w:r w:rsidR="005F366B">
        <w:rPr>
          <w:rFonts w:ascii="Times New Roman" w:hAnsi="Times New Roman"/>
          <w:sz w:val="24"/>
          <w:szCs w:val="24"/>
        </w:rPr>
        <w:t xml:space="preserve"> set out </w:t>
      </w:r>
      <w:r w:rsidR="00D64B9B">
        <w:rPr>
          <w:rFonts w:ascii="Times New Roman" w:hAnsi="Times New Roman"/>
          <w:sz w:val="24"/>
          <w:szCs w:val="24"/>
        </w:rPr>
        <w:t xml:space="preserve">minimum </w:t>
      </w:r>
      <w:r w:rsidR="005F366B">
        <w:rPr>
          <w:rFonts w:ascii="Times New Roman" w:hAnsi="Times New Roman"/>
          <w:sz w:val="24"/>
          <w:szCs w:val="24"/>
        </w:rPr>
        <w:t xml:space="preserve">requirements relating to </w:t>
      </w:r>
      <w:r w:rsidR="002C1619">
        <w:rPr>
          <w:rFonts w:ascii="Times New Roman" w:hAnsi="Times New Roman"/>
          <w:sz w:val="24"/>
          <w:szCs w:val="24"/>
        </w:rPr>
        <w:t>the independence of the audit function and the RSE licensee</w:t>
      </w:r>
      <w:r w:rsidR="00E72848">
        <w:rPr>
          <w:rFonts w:ascii="Times New Roman" w:hAnsi="Times New Roman"/>
          <w:sz w:val="24"/>
          <w:szCs w:val="24"/>
        </w:rPr>
        <w:t>’</w:t>
      </w:r>
      <w:r w:rsidR="002C1619">
        <w:rPr>
          <w:rFonts w:ascii="Times New Roman" w:hAnsi="Times New Roman"/>
          <w:sz w:val="24"/>
          <w:szCs w:val="24"/>
        </w:rPr>
        <w:t xml:space="preserve">s role in ensuring that this is the case </w:t>
      </w:r>
      <w:r w:rsidR="00B12FB3">
        <w:rPr>
          <w:rFonts w:ascii="Times New Roman" w:hAnsi="Times New Roman"/>
          <w:sz w:val="24"/>
          <w:szCs w:val="24"/>
        </w:rPr>
        <w:t xml:space="preserve">and the expectations around managing conflicts </w:t>
      </w:r>
      <w:r w:rsidR="00D64B9B">
        <w:rPr>
          <w:rFonts w:ascii="Times New Roman" w:hAnsi="Times New Roman"/>
          <w:sz w:val="24"/>
          <w:szCs w:val="24"/>
        </w:rPr>
        <w:t>of interest scenarios should they arise.</w:t>
      </w:r>
    </w:p>
    <w:p w14:paraId="4918E215" w14:textId="1F5AF600" w:rsidR="00862C11" w:rsidRDefault="005F42D4" w:rsidP="006A5E97">
      <w:pPr>
        <w:pStyle w:val="ListParagraph"/>
        <w:spacing w:after="240"/>
        <w:ind w:left="357"/>
        <w:jc w:val="both"/>
        <w:rPr>
          <w:rFonts w:ascii="Times New Roman" w:hAnsi="Times New Roman"/>
          <w:sz w:val="24"/>
          <w:szCs w:val="24"/>
        </w:rPr>
      </w:pPr>
      <w:r>
        <w:rPr>
          <w:rFonts w:ascii="Times New Roman" w:hAnsi="Times New Roman"/>
          <w:sz w:val="24"/>
          <w:szCs w:val="24"/>
        </w:rPr>
        <w:t>T</w:t>
      </w:r>
      <w:r w:rsidR="00307C97">
        <w:rPr>
          <w:rFonts w:ascii="Times New Roman" w:hAnsi="Times New Roman"/>
          <w:sz w:val="24"/>
          <w:szCs w:val="24"/>
        </w:rPr>
        <w:t xml:space="preserve">o </w:t>
      </w:r>
      <w:r w:rsidR="00B70091">
        <w:rPr>
          <w:rFonts w:ascii="Times New Roman" w:hAnsi="Times New Roman"/>
          <w:sz w:val="24"/>
          <w:szCs w:val="24"/>
        </w:rPr>
        <w:t>align with</w:t>
      </w:r>
      <w:r w:rsidR="00307C97">
        <w:rPr>
          <w:rFonts w:ascii="Times New Roman" w:hAnsi="Times New Roman"/>
          <w:sz w:val="24"/>
          <w:szCs w:val="24"/>
        </w:rPr>
        <w:t xml:space="preserve"> </w:t>
      </w:r>
      <w:r w:rsidR="000E3A3E">
        <w:rPr>
          <w:rFonts w:ascii="Times New Roman" w:hAnsi="Times New Roman"/>
          <w:sz w:val="24"/>
          <w:szCs w:val="24"/>
        </w:rPr>
        <w:t>amendments</w:t>
      </w:r>
      <w:r w:rsidR="000B0B4E">
        <w:rPr>
          <w:rFonts w:ascii="Times New Roman" w:hAnsi="Times New Roman"/>
          <w:sz w:val="24"/>
          <w:szCs w:val="24"/>
        </w:rPr>
        <w:t xml:space="preserve"> to the Act and the Corporations Act</w:t>
      </w:r>
      <w:r w:rsidR="00643003">
        <w:rPr>
          <w:rFonts w:ascii="Times New Roman" w:hAnsi="Times New Roman"/>
          <w:sz w:val="24"/>
          <w:szCs w:val="24"/>
        </w:rPr>
        <w:t xml:space="preserve">, </w:t>
      </w:r>
      <w:r w:rsidR="00FD5161" w:rsidRPr="00FD5161">
        <w:rPr>
          <w:rFonts w:ascii="Times New Roman" w:hAnsi="Times New Roman"/>
          <w:sz w:val="24"/>
          <w:szCs w:val="24"/>
        </w:rPr>
        <w:t xml:space="preserve">the RSE auditor independence declaration must be obtained from the individual RSE auditor or the lead auditor. </w:t>
      </w:r>
    </w:p>
    <w:p w14:paraId="24B36EAC" w14:textId="1E861691" w:rsidR="00FD5161" w:rsidRDefault="00862C11" w:rsidP="006A5E97">
      <w:pPr>
        <w:pStyle w:val="ListParagraph"/>
        <w:spacing w:after="240"/>
        <w:ind w:left="357"/>
        <w:jc w:val="both"/>
        <w:rPr>
          <w:rFonts w:ascii="Times New Roman" w:hAnsi="Times New Roman"/>
          <w:sz w:val="24"/>
          <w:szCs w:val="24"/>
        </w:rPr>
      </w:pPr>
      <w:r>
        <w:rPr>
          <w:rFonts w:ascii="Times New Roman" w:hAnsi="Times New Roman"/>
          <w:sz w:val="24"/>
          <w:szCs w:val="24"/>
        </w:rPr>
        <w:t xml:space="preserve">Paragraph 42 </w:t>
      </w:r>
      <w:r w:rsidR="00AA46A2">
        <w:rPr>
          <w:rFonts w:ascii="Times New Roman" w:hAnsi="Times New Roman"/>
          <w:sz w:val="24"/>
          <w:szCs w:val="24"/>
        </w:rPr>
        <w:t xml:space="preserve">was introduced to align with </w:t>
      </w:r>
      <w:r w:rsidR="009D6DF9" w:rsidRPr="00A145B7">
        <w:rPr>
          <w:rFonts w:ascii="Times New Roman" w:hAnsi="Times New Roman"/>
          <w:i/>
          <w:sz w:val="24"/>
          <w:szCs w:val="24"/>
        </w:rPr>
        <w:t>Prudential Standard CPS 510 Govern</w:t>
      </w:r>
      <w:r w:rsidR="00273A82" w:rsidRPr="00A145B7">
        <w:rPr>
          <w:rFonts w:ascii="Times New Roman" w:hAnsi="Times New Roman"/>
          <w:i/>
          <w:sz w:val="24"/>
          <w:szCs w:val="24"/>
        </w:rPr>
        <w:t>a</w:t>
      </w:r>
      <w:r w:rsidR="009D6DF9" w:rsidRPr="00A145B7">
        <w:rPr>
          <w:rFonts w:ascii="Times New Roman" w:hAnsi="Times New Roman"/>
          <w:i/>
          <w:sz w:val="24"/>
          <w:szCs w:val="24"/>
        </w:rPr>
        <w:t>nce</w:t>
      </w:r>
      <w:r w:rsidR="009D6DF9">
        <w:rPr>
          <w:rFonts w:ascii="Times New Roman" w:hAnsi="Times New Roman"/>
          <w:sz w:val="24"/>
          <w:szCs w:val="24"/>
        </w:rPr>
        <w:t xml:space="preserve"> and </w:t>
      </w:r>
      <w:r w:rsidR="00657383">
        <w:rPr>
          <w:rFonts w:ascii="Times New Roman" w:hAnsi="Times New Roman"/>
          <w:sz w:val="24"/>
          <w:szCs w:val="24"/>
        </w:rPr>
        <w:t>sets out</w:t>
      </w:r>
      <w:r w:rsidR="00FD5161">
        <w:rPr>
          <w:rFonts w:ascii="Times New Roman" w:hAnsi="Times New Roman"/>
          <w:sz w:val="24"/>
          <w:szCs w:val="24"/>
        </w:rPr>
        <w:t xml:space="preserve"> </w:t>
      </w:r>
      <w:r w:rsidR="00FD5161" w:rsidRPr="00FD5161">
        <w:rPr>
          <w:rFonts w:ascii="Times New Roman" w:hAnsi="Times New Roman"/>
          <w:sz w:val="24"/>
          <w:szCs w:val="24"/>
        </w:rPr>
        <w:t xml:space="preserve">the circumstances in which a </w:t>
      </w:r>
      <w:proofErr w:type="gramStart"/>
      <w:r w:rsidR="00FD5161" w:rsidRPr="00FD5161">
        <w:rPr>
          <w:rFonts w:ascii="Times New Roman" w:hAnsi="Times New Roman"/>
          <w:sz w:val="24"/>
          <w:szCs w:val="24"/>
        </w:rPr>
        <w:t>conflict of interest</w:t>
      </w:r>
      <w:proofErr w:type="gramEnd"/>
      <w:r w:rsidR="00FD5161" w:rsidRPr="00FD5161">
        <w:rPr>
          <w:rFonts w:ascii="Times New Roman" w:hAnsi="Times New Roman"/>
          <w:sz w:val="24"/>
          <w:szCs w:val="24"/>
        </w:rPr>
        <w:t xml:space="preserve"> situation arises</w:t>
      </w:r>
      <w:r w:rsidR="00657383">
        <w:rPr>
          <w:rFonts w:ascii="Times New Roman" w:hAnsi="Times New Roman"/>
          <w:sz w:val="24"/>
          <w:szCs w:val="24"/>
        </w:rPr>
        <w:t xml:space="preserve"> for an individual RSE auditor or </w:t>
      </w:r>
      <w:r w:rsidR="00C2279E">
        <w:rPr>
          <w:rFonts w:ascii="Times New Roman" w:hAnsi="Times New Roman"/>
          <w:sz w:val="24"/>
          <w:szCs w:val="24"/>
        </w:rPr>
        <w:t xml:space="preserve">a </w:t>
      </w:r>
      <w:r w:rsidR="00657383">
        <w:rPr>
          <w:rFonts w:ascii="Times New Roman" w:hAnsi="Times New Roman"/>
          <w:sz w:val="24"/>
          <w:szCs w:val="24"/>
        </w:rPr>
        <w:t xml:space="preserve">lead auditor. </w:t>
      </w:r>
    </w:p>
    <w:p w14:paraId="53051049" w14:textId="631FF468" w:rsidR="005F42D4" w:rsidRDefault="005F42D4" w:rsidP="00307C97">
      <w:pPr>
        <w:pStyle w:val="ListParagraph"/>
        <w:spacing w:after="240"/>
        <w:ind w:left="357"/>
        <w:jc w:val="both"/>
        <w:rPr>
          <w:rFonts w:ascii="Times New Roman" w:hAnsi="Times New Roman"/>
          <w:sz w:val="24"/>
          <w:szCs w:val="24"/>
        </w:rPr>
      </w:pPr>
      <w:r w:rsidRPr="007C0708">
        <w:rPr>
          <w:rFonts w:ascii="Times New Roman" w:hAnsi="Times New Roman"/>
          <w:sz w:val="24"/>
          <w:szCs w:val="24"/>
        </w:rPr>
        <w:t xml:space="preserve">Paragraph 46 provides that </w:t>
      </w:r>
      <w:r w:rsidR="00307C97" w:rsidRPr="007C0708">
        <w:rPr>
          <w:rFonts w:ascii="Times New Roman" w:hAnsi="Times New Roman"/>
          <w:sz w:val="24"/>
          <w:szCs w:val="24"/>
        </w:rPr>
        <w:t>exemptions from</w:t>
      </w:r>
      <w:r w:rsidRPr="007C0708">
        <w:rPr>
          <w:rFonts w:ascii="Times New Roman" w:hAnsi="Times New Roman"/>
          <w:sz w:val="24"/>
          <w:szCs w:val="24"/>
        </w:rPr>
        <w:t xml:space="preserve"> the </w:t>
      </w:r>
      <w:r w:rsidR="00307C97" w:rsidRPr="007C0708">
        <w:rPr>
          <w:rFonts w:ascii="Times New Roman" w:hAnsi="Times New Roman"/>
          <w:sz w:val="24"/>
          <w:szCs w:val="24"/>
        </w:rPr>
        <w:t>time limits</w:t>
      </w:r>
      <w:r w:rsidRPr="007C0708">
        <w:rPr>
          <w:rFonts w:ascii="Times New Roman" w:hAnsi="Times New Roman"/>
          <w:sz w:val="24"/>
          <w:szCs w:val="24"/>
        </w:rPr>
        <w:t xml:space="preserve"> for eligibility for an individual to play a significant role in the audit of an RSE will no longer be a matter for APRA from 1 July 2028. From </w:t>
      </w:r>
      <w:r w:rsidR="00862C11" w:rsidRPr="007C0708">
        <w:rPr>
          <w:rFonts w:ascii="Times New Roman" w:hAnsi="Times New Roman"/>
          <w:sz w:val="24"/>
          <w:szCs w:val="24"/>
        </w:rPr>
        <w:t xml:space="preserve">1 July </w:t>
      </w:r>
      <w:r w:rsidR="00C86F61" w:rsidRPr="007C0708">
        <w:rPr>
          <w:rFonts w:ascii="Times New Roman" w:hAnsi="Times New Roman"/>
          <w:sz w:val="24"/>
          <w:szCs w:val="24"/>
        </w:rPr>
        <w:t>2</w:t>
      </w:r>
      <w:r w:rsidR="00862C11" w:rsidRPr="007C0708">
        <w:rPr>
          <w:rFonts w:ascii="Times New Roman" w:hAnsi="Times New Roman"/>
          <w:sz w:val="24"/>
          <w:szCs w:val="24"/>
        </w:rPr>
        <w:t>028</w:t>
      </w:r>
      <w:r w:rsidRPr="007C0708">
        <w:rPr>
          <w:rFonts w:ascii="Times New Roman" w:hAnsi="Times New Roman"/>
          <w:sz w:val="24"/>
          <w:szCs w:val="24"/>
        </w:rPr>
        <w:t xml:space="preserve">, </w:t>
      </w:r>
      <w:r w:rsidR="000D4578">
        <w:rPr>
          <w:rFonts w:ascii="Times New Roman" w:hAnsi="Times New Roman"/>
          <w:sz w:val="24"/>
          <w:szCs w:val="24"/>
        </w:rPr>
        <w:t xml:space="preserve">and such approvals will be granted in accordance with the </w:t>
      </w:r>
      <w:r w:rsidRPr="007C0708">
        <w:rPr>
          <w:rFonts w:ascii="Times New Roman" w:hAnsi="Times New Roman"/>
          <w:sz w:val="24"/>
          <w:szCs w:val="24"/>
        </w:rPr>
        <w:t>Corporations Act.</w:t>
      </w:r>
    </w:p>
    <w:p w14:paraId="0EA66530" w14:textId="5E8F86AC" w:rsidR="00D64B9B" w:rsidRPr="004957BC" w:rsidRDefault="005E320B" w:rsidP="006A5E97">
      <w:pPr>
        <w:pStyle w:val="ListParagraph"/>
        <w:numPr>
          <w:ilvl w:val="0"/>
          <w:numId w:val="11"/>
        </w:numPr>
        <w:spacing w:after="240"/>
        <w:ind w:left="357" w:hanging="357"/>
        <w:jc w:val="both"/>
        <w:rPr>
          <w:rFonts w:ascii="Times New Roman" w:hAnsi="Times New Roman"/>
          <w:i/>
          <w:sz w:val="24"/>
          <w:szCs w:val="24"/>
        </w:rPr>
      </w:pPr>
      <w:r w:rsidRPr="004957BC">
        <w:rPr>
          <w:rFonts w:ascii="Times New Roman" w:hAnsi="Times New Roman"/>
          <w:i/>
          <w:sz w:val="24"/>
          <w:szCs w:val="24"/>
        </w:rPr>
        <w:t xml:space="preserve">Persons not to be constrained from providing information to </w:t>
      </w:r>
      <w:proofErr w:type="gramStart"/>
      <w:r w:rsidRPr="004957BC">
        <w:rPr>
          <w:rFonts w:ascii="Times New Roman" w:hAnsi="Times New Roman"/>
          <w:i/>
          <w:sz w:val="24"/>
          <w:szCs w:val="24"/>
        </w:rPr>
        <w:t>APRA</w:t>
      </w:r>
      <w:proofErr w:type="gramEnd"/>
    </w:p>
    <w:p w14:paraId="64B8BE37" w14:textId="3E0C740D" w:rsidR="005E320B" w:rsidRPr="005E320B" w:rsidRDefault="005E320B" w:rsidP="006A5E97">
      <w:pPr>
        <w:spacing w:after="240"/>
        <w:ind w:left="357"/>
        <w:jc w:val="both"/>
        <w:rPr>
          <w:rFonts w:ascii="Times New Roman" w:hAnsi="Times New Roman"/>
          <w:sz w:val="24"/>
          <w:szCs w:val="24"/>
        </w:rPr>
      </w:pPr>
      <w:r>
        <w:rPr>
          <w:rFonts w:ascii="Times New Roman" w:hAnsi="Times New Roman"/>
          <w:sz w:val="24"/>
          <w:szCs w:val="24"/>
        </w:rPr>
        <w:t xml:space="preserve">Paragraphs 48-49 </w:t>
      </w:r>
      <w:r w:rsidR="00307C97">
        <w:rPr>
          <w:rFonts w:ascii="Times New Roman" w:hAnsi="Times New Roman"/>
          <w:sz w:val="24"/>
          <w:szCs w:val="24"/>
        </w:rPr>
        <w:t>provide</w:t>
      </w:r>
      <w:r w:rsidR="004B5DCA">
        <w:rPr>
          <w:rFonts w:ascii="Times New Roman" w:hAnsi="Times New Roman"/>
          <w:sz w:val="24"/>
          <w:szCs w:val="24"/>
        </w:rPr>
        <w:t xml:space="preserve"> that persons cannot be constrained from providing information to APRA including </w:t>
      </w:r>
      <w:r w:rsidR="00A4795C">
        <w:rPr>
          <w:rFonts w:ascii="Times New Roman" w:hAnsi="Times New Roman"/>
          <w:sz w:val="24"/>
          <w:szCs w:val="24"/>
        </w:rPr>
        <w:t>within internal policies or contractual arrangements.</w:t>
      </w:r>
    </w:p>
    <w:p w14:paraId="17F6B7A2" w14:textId="77777777" w:rsidR="00983F01" w:rsidRPr="003D5B23" w:rsidRDefault="00983F01" w:rsidP="00983F01">
      <w:pPr>
        <w:numPr>
          <w:ilvl w:val="0"/>
          <w:numId w:val="12"/>
        </w:numPr>
        <w:spacing w:after="240"/>
        <w:jc w:val="both"/>
        <w:rPr>
          <w:rFonts w:ascii="Times New Roman" w:hAnsi="Times New Roman"/>
          <w:b/>
          <w:i/>
          <w:sz w:val="24"/>
          <w:szCs w:val="24"/>
          <w:highlight w:val="yellow"/>
        </w:rPr>
      </w:pPr>
      <w:r w:rsidRPr="009E00D1">
        <w:rPr>
          <w:rFonts w:ascii="Times New Roman" w:hAnsi="Times New Roman"/>
          <w:b/>
          <w:i/>
          <w:sz w:val="24"/>
          <w:szCs w:val="24"/>
        </w:rPr>
        <w:t>Exercise of discretion by APRA</w:t>
      </w:r>
    </w:p>
    <w:p w14:paraId="6EEF8A3B" w14:textId="73EC962A" w:rsidR="00983F01" w:rsidRPr="00602C94" w:rsidRDefault="00983F01" w:rsidP="00983F01">
      <w:pPr>
        <w:spacing w:before="100" w:beforeAutospacing="1" w:after="100" w:afterAutospacing="1"/>
        <w:jc w:val="both"/>
        <w:rPr>
          <w:rFonts w:ascii="Times New Roman" w:hAnsi="Times New Roman"/>
          <w:sz w:val="24"/>
          <w:szCs w:val="24"/>
        </w:rPr>
      </w:pPr>
      <w:r w:rsidRPr="00AF30A7">
        <w:rPr>
          <w:rFonts w:ascii="Times New Roman" w:hAnsi="Times New Roman"/>
          <w:sz w:val="24"/>
          <w:szCs w:val="24"/>
        </w:rPr>
        <w:t xml:space="preserve">The prudential standards provide for APRA to exercise various discretions. Decisions made by APRA </w:t>
      </w:r>
      <w:r w:rsidR="00AC1FF2">
        <w:rPr>
          <w:rFonts w:ascii="Times New Roman" w:hAnsi="Times New Roman"/>
          <w:sz w:val="24"/>
          <w:szCs w:val="24"/>
        </w:rPr>
        <w:t xml:space="preserve">in </w:t>
      </w:r>
      <w:r w:rsidRPr="00AF30A7">
        <w:rPr>
          <w:rFonts w:ascii="Times New Roman" w:hAnsi="Times New Roman"/>
          <w:sz w:val="24"/>
          <w:szCs w:val="24"/>
        </w:rPr>
        <w:t>exercising those discretions are not subject to merits review. This is because these decisions are preliminary decisions that may facilitate or lead to substantive decisions which are subject to merits review.</w:t>
      </w:r>
      <w:r w:rsidRPr="00602C94">
        <w:rPr>
          <w:rFonts w:ascii="Times New Roman" w:hAnsi="Times New Roman"/>
          <w:sz w:val="24"/>
          <w:szCs w:val="24"/>
        </w:rPr>
        <w:t xml:space="preserve"> </w:t>
      </w:r>
    </w:p>
    <w:p w14:paraId="7696E51A" w14:textId="77777777" w:rsidR="00983F01" w:rsidRPr="00602C94" w:rsidRDefault="00983F01" w:rsidP="00983F01">
      <w:pPr>
        <w:spacing w:before="100" w:beforeAutospacing="1" w:after="100" w:afterAutospacing="1"/>
        <w:jc w:val="both"/>
        <w:rPr>
          <w:rFonts w:ascii="Times New Roman" w:hAnsi="Times New Roman"/>
          <w:sz w:val="24"/>
          <w:szCs w:val="24"/>
        </w:rPr>
      </w:pPr>
      <w:r w:rsidRPr="00602C94">
        <w:rPr>
          <w:rFonts w:ascii="Times New Roman" w:hAnsi="Times New Roman"/>
          <w:sz w:val="24"/>
          <w:szCs w:val="24"/>
        </w:rPr>
        <w:t>Under the Act, it is a condition on all RSE licences that the RSE licensee must comply with the RSE licensee law, which includes prudential standards. However</w:t>
      </w:r>
      <w:r>
        <w:rPr>
          <w:rFonts w:ascii="Times New Roman" w:hAnsi="Times New Roman"/>
          <w:sz w:val="24"/>
          <w:szCs w:val="24"/>
        </w:rPr>
        <w:t>,</w:t>
      </w:r>
      <w:r w:rsidRPr="00602C94">
        <w:rPr>
          <w:rFonts w:ascii="Times New Roman" w:hAnsi="Times New Roman"/>
          <w:sz w:val="24"/>
          <w:szCs w:val="24"/>
        </w:rPr>
        <w:t xml:space="preserve"> there are no </w:t>
      </w:r>
      <w:r w:rsidRPr="00602C94">
        <w:rPr>
          <w:rFonts w:ascii="Times New Roman" w:hAnsi="Times New Roman"/>
          <w:sz w:val="24"/>
          <w:szCs w:val="24"/>
        </w:rPr>
        <w:lastRenderedPageBreak/>
        <w:t xml:space="preserve">penalties prescribed for breach of </w:t>
      </w:r>
      <w:r>
        <w:rPr>
          <w:rFonts w:ascii="Times New Roman" w:hAnsi="Times New Roman"/>
          <w:sz w:val="24"/>
          <w:szCs w:val="24"/>
        </w:rPr>
        <w:t xml:space="preserve">the prudential standards under </w:t>
      </w:r>
      <w:r w:rsidRPr="00602C94">
        <w:rPr>
          <w:rFonts w:ascii="Times New Roman" w:hAnsi="Times New Roman"/>
          <w:sz w:val="24"/>
          <w:szCs w:val="24"/>
        </w:rPr>
        <w:t>the</w:t>
      </w:r>
      <w:r>
        <w:rPr>
          <w:rFonts w:ascii="Times New Roman" w:hAnsi="Times New Roman"/>
          <w:sz w:val="24"/>
          <w:szCs w:val="24"/>
        </w:rPr>
        <w:t xml:space="preserve"> Act. Instead, an RSE licensee’s</w:t>
      </w:r>
      <w:r w:rsidRPr="00602C94">
        <w:rPr>
          <w:rFonts w:ascii="Times New Roman" w:hAnsi="Times New Roman"/>
          <w:sz w:val="24"/>
          <w:szCs w:val="24"/>
        </w:rPr>
        <w:t xml:space="preserve"> breach of </w:t>
      </w:r>
      <w:r>
        <w:rPr>
          <w:rFonts w:ascii="Times New Roman" w:hAnsi="Times New Roman"/>
          <w:sz w:val="24"/>
          <w:szCs w:val="24"/>
        </w:rPr>
        <w:t>an</w:t>
      </w:r>
      <w:r w:rsidRPr="00602C94">
        <w:rPr>
          <w:rFonts w:ascii="Times New Roman" w:hAnsi="Times New Roman"/>
          <w:sz w:val="24"/>
          <w:szCs w:val="24"/>
        </w:rPr>
        <w:t xml:space="preserve"> RSE lice</w:t>
      </w:r>
      <w:r>
        <w:rPr>
          <w:rFonts w:ascii="Times New Roman" w:hAnsi="Times New Roman"/>
          <w:sz w:val="24"/>
          <w:szCs w:val="24"/>
        </w:rPr>
        <w:t>nce condition is grounds for</w:t>
      </w:r>
      <w:r w:rsidRPr="00602C94">
        <w:rPr>
          <w:rFonts w:ascii="Times New Roman" w:hAnsi="Times New Roman"/>
          <w:sz w:val="24"/>
          <w:szCs w:val="24"/>
        </w:rPr>
        <w:t xml:space="preserve"> APRA to make further, subst</w:t>
      </w:r>
      <w:r>
        <w:rPr>
          <w:rFonts w:ascii="Times New Roman" w:hAnsi="Times New Roman"/>
          <w:sz w:val="24"/>
          <w:szCs w:val="24"/>
        </w:rPr>
        <w:t>antive decisions under the Act in relation to the RSE licensee</w:t>
      </w:r>
      <w:r w:rsidRPr="00602C94">
        <w:rPr>
          <w:rFonts w:ascii="Times New Roman" w:hAnsi="Times New Roman"/>
          <w:sz w:val="24"/>
          <w:szCs w:val="24"/>
        </w:rPr>
        <w:t xml:space="preserve">. Those decisions </w:t>
      </w:r>
      <w:proofErr w:type="gramStart"/>
      <w:r w:rsidRPr="00602C94">
        <w:rPr>
          <w:rFonts w:ascii="Times New Roman" w:hAnsi="Times New Roman"/>
          <w:sz w:val="24"/>
          <w:szCs w:val="24"/>
        </w:rPr>
        <w:t>are, as the case may be</w:t>
      </w:r>
      <w:proofErr w:type="gramEnd"/>
      <w:r w:rsidRPr="00602C94">
        <w:rPr>
          <w:rFonts w:ascii="Times New Roman" w:hAnsi="Times New Roman"/>
          <w:sz w:val="24"/>
          <w:szCs w:val="24"/>
        </w:rPr>
        <w:t>:</w:t>
      </w:r>
    </w:p>
    <w:p w14:paraId="15E01766" w14:textId="77777777" w:rsidR="00983F01" w:rsidRPr="00602C94" w:rsidRDefault="00983F01" w:rsidP="00983F01">
      <w:pPr>
        <w:spacing w:before="100" w:beforeAutospacing="1" w:after="100" w:afterAutospacing="1"/>
        <w:ind w:left="993" w:hanging="993"/>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to cancel</w:t>
      </w:r>
      <w:r w:rsidRPr="00602C94">
        <w:rPr>
          <w:rFonts w:ascii="Times New Roman" w:hAnsi="Times New Roman"/>
          <w:sz w:val="24"/>
          <w:szCs w:val="24"/>
        </w:rPr>
        <w:t xml:space="preserve"> a licenc</w:t>
      </w:r>
      <w:r>
        <w:rPr>
          <w:rFonts w:ascii="Times New Roman" w:hAnsi="Times New Roman"/>
          <w:sz w:val="24"/>
          <w:szCs w:val="24"/>
        </w:rPr>
        <w:t xml:space="preserve">e to </w:t>
      </w:r>
      <w:r w:rsidRPr="00602C94">
        <w:rPr>
          <w:rFonts w:ascii="Times New Roman" w:hAnsi="Times New Roman"/>
          <w:sz w:val="24"/>
          <w:szCs w:val="24"/>
        </w:rPr>
        <w:t>operate an APRA-regulated superannuation fund (s</w:t>
      </w:r>
      <w:r>
        <w:rPr>
          <w:rFonts w:ascii="Times New Roman" w:hAnsi="Times New Roman"/>
          <w:sz w:val="24"/>
          <w:szCs w:val="24"/>
        </w:rPr>
        <w:t xml:space="preserve">ection </w:t>
      </w:r>
      <w:r w:rsidRPr="00602C94">
        <w:rPr>
          <w:rFonts w:ascii="Times New Roman" w:hAnsi="Times New Roman"/>
          <w:sz w:val="24"/>
          <w:szCs w:val="24"/>
        </w:rPr>
        <w:t xml:space="preserve">29G </w:t>
      </w:r>
      <w:r>
        <w:rPr>
          <w:rFonts w:ascii="Times New Roman" w:hAnsi="Times New Roman"/>
          <w:sz w:val="24"/>
          <w:szCs w:val="24"/>
        </w:rPr>
        <w:t>of the</w:t>
      </w:r>
      <w:r w:rsidRPr="00602C94">
        <w:rPr>
          <w:rFonts w:ascii="Times New Roman" w:hAnsi="Times New Roman"/>
          <w:sz w:val="24"/>
          <w:szCs w:val="24"/>
        </w:rPr>
        <w:t xml:space="preserve"> Act); and</w:t>
      </w:r>
    </w:p>
    <w:p w14:paraId="50EE6EC2" w14:textId="77777777" w:rsidR="00983F01" w:rsidRPr="00602C94" w:rsidRDefault="00983F01" w:rsidP="00983F01">
      <w:pPr>
        <w:spacing w:before="100" w:beforeAutospacing="1" w:after="100" w:afterAutospacing="1"/>
        <w:ind w:left="993" w:hanging="993"/>
        <w:jc w:val="both"/>
        <w:rPr>
          <w:rFonts w:ascii="Times New Roman" w:hAnsi="Times New Roman"/>
          <w:sz w:val="24"/>
          <w:szCs w:val="24"/>
        </w:rPr>
      </w:pPr>
      <w:r w:rsidRPr="00602C94">
        <w:rPr>
          <w:rFonts w:ascii="Times New Roman" w:hAnsi="Times New Roman"/>
          <w:sz w:val="24"/>
          <w:szCs w:val="24"/>
        </w:rPr>
        <w:t>(b)</w:t>
      </w:r>
      <w:r>
        <w:rPr>
          <w:rFonts w:ascii="Times New Roman" w:hAnsi="Times New Roman"/>
          <w:sz w:val="24"/>
          <w:szCs w:val="24"/>
        </w:rPr>
        <w:tab/>
        <w:t>to issue a direction to the RSE licensee</w:t>
      </w:r>
      <w:r w:rsidRPr="00602C94">
        <w:rPr>
          <w:rFonts w:ascii="Times New Roman" w:hAnsi="Times New Roman"/>
          <w:sz w:val="24"/>
          <w:szCs w:val="24"/>
        </w:rPr>
        <w:t>, including a direction to comply with the whole or part of a prudent</w:t>
      </w:r>
      <w:r>
        <w:rPr>
          <w:rFonts w:ascii="Times New Roman" w:hAnsi="Times New Roman"/>
          <w:sz w:val="24"/>
          <w:szCs w:val="24"/>
        </w:rPr>
        <w:t>ial standard (</w:t>
      </w:r>
      <w:r w:rsidRPr="00602C94">
        <w:rPr>
          <w:rFonts w:ascii="Times New Roman" w:hAnsi="Times New Roman"/>
          <w:sz w:val="24"/>
          <w:szCs w:val="24"/>
        </w:rPr>
        <w:t>s</w:t>
      </w:r>
      <w:r>
        <w:rPr>
          <w:rFonts w:ascii="Times New Roman" w:hAnsi="Times New Roman"/>
          <w:sz w:val="24"/>
          <w:szCs w:val="24"/>
        </w:rPr>
        <w:t>ection 131D of the</w:t>
      </w:r>
      <w:r w:rsidRPr="00602C94">
        <w:rPr>
          <w:rFonts w:ascii="Times New Roman" w:hAnsi="Times New Roman"/>
          <w:sz w:val="24"/>
          <w:szCs w:val="24"/>
        </w:rPr>
        <w:t xml:space="preserve"> Act). </w:t>
      </w:r>
    </w:p>
    <w:p w14:paraId="661BE5FC" w14:textId="28D20874" w:rsidR="00983F01" w:rsidRDefault="00983F01" w:rsidP="00983F01">
      <w:pPr>
        <w:pStyle w:val="List"/>
        <w:tabs>
          <w:tab w:val="clear" w:pos="425"/>
        </w:tabs>
        <w:ind w:left="0" w:firstLine="0"/>
        <w:rPr>
          <w:rFonts w:ascii="Times New Roman" w:hAnsi="Times New Roman" w:cs="Times New Roman"/>
          <w:sz w:val="24"/>
          <w:szCs w:val="24"/>
        </w:rPr>
      </w:pPr>
      <w:r w:rsidRPr="00602C94">
        <w:rPr>
          <w:rFonts w:ascii="Times New Roman" w:hAnsi="Times New Roman"/>
          <w:sz w:val="24"/>
          <w:szCs w:val="24"/>
        </w:rPr>
        <w:t>It is o</w:t>
      </w:r>
      <w:r>
        <w:rPr>
          <w:rFonts w:ascii="Times New Roman" w:hAnsi="Times New Roman"/>
          <w:sz w:val="24"/>
          <w:szCs w:val="24"/>
        </w:rPr>
        <w:t>nly at this stage that an RSE licensee</w:t>
      </w:r>
      <w:r w:rsidRPr="00602C94">
        <w:rPr>
          <w:rFonts w:ascii="Times New Roman" w:hAnsi="Times New Roman"/>
          <w:sz w:val="24"/>
          <w:szCs w:val="24"/>
        </w:rPr>
        <w:t xml:space="preserve"> is exposed to a pe</w:t>
      </w:r>
      <w:r>
        <w:rPr>
          <w:rFonts w:ascii="Times New Roman" w:hAnsi="Times New Roman"/>
          <w:sz w:val="24"/>
          <w:szCs w:val="24"/>
        </w:rPr>
        <w:t>nalty</w:t>
      </w:r>
      <w:r w:rsidRPr="0059540C">
        <w:rPr>
          <w:rFonts w:ascii="Times New Roman" w:hAnsi="Times New Roman"/>
          <w:sz w:val="24"/>
          <w:szCs w:val="24"/>
        </w:rPr>
        <w:t>: loss of licence or</w:t>
      </w:r>
      <w:r>
        <w:rPr>
          <w:rFonts w:ascii="Times New Roman" w:hAnsi="Times New Roman"/>
          <w:sz w:val="24"/>
          <w:szCs w:val="24"/>
        </w:rPr>
        <w:t xml:space="preserve"> 10</w:t>
      </w:r>
      <w:r w:rsidRPr="00602C94">
        <w:rPr>
          <w:rFonts w:ascii="Times New Roman" w:hAnsi="Times New Roman"/>
          <w:sz w:val="24"/>
          <w:szCs w:val="24"/>
        </w:rPr>
        <w:t>0 penalty units each day i</w:t>
      </w:r>
      <w:r>
        <w:rPr>
          <w:rFonts w:ascii="Times New Roman" w:hAnsi="Times New Roman"/>
          <w:sz w:val="24"/>
          <w:szCs w:val="24"/>
        </w:rPr>
        <w:t>f it breaches the direction (</w:t>
      </w:r>
      <w:r w:rsidRPr="00602C94">
        <w:rPr>
          <w:rFonts w:ascii="Times New Roman" w:hAnsi="Times New Roman"/>
          <w:sz w:val="24"/>
          <w:szCs w:val="24"/>
        </w:rPr>
        <w:t>s</w:t>
      </w:r>
      <w:r>
        <w:rPr>
          <w:rFonts w:ascii="Times New Roman" w:hAnsi="Times New Roman"/>
          <w:sz w:val="24"/>
          <w:szCs w:val="24"/>
        </w:rPr>
        <w:t>ection 131DD of the</w:t>
      </w:r>
      <w:r w:rsidRPr="00602C94">
        <w:rPr>
          <w:rFonts w:ascii="Times New Roman" w:hAnsi="Times New Roman"/>
          <w:sz w:val="24"/>
          <w:szCs w:val="24"/>
        </w:rPr>
        <w:t xml:space="preserve"> Act)</w:t>
      </w:r>
      <w:r w:rsidR="00936AD8">
        <w:rPr>
          <w:rFonts w:ascii="Times New Roman" w:hAnsi="Times New Roman"/>
          <w:sz w:val="24"/>
          <w:szCs w:val="24"/>
        </w:rPr>
        <w:t>.</w:t>
      </w:r>
      <w:r w:rsidR="00254584">
        <w:rPr>
          <w:rStyle w:val="FootnoteReference"/>
          <w:rFonts w:ascii="Times New Roman" w:hAnsi="Times New Roman"/>
          <w:sz w:val="24"/>
          <w:szCs w:val="24"/>
        </w:rPr>
        <w:footnoteReference w:id="4"/>
      </w:r>
      <w:r w:rsidR="00936AD8">
        <w:rPr>
          <w:rFonts w:ascii="Times New Roman" w:hAnsi="Times New Roman"/>
          <w:sz w:val="24"/>
          <w:szCs w:val="24"/>
        </w:rPr>
        <w:t xml:space="preserve"> </w:t>
      </w:r>
      <w:r w:rsidRPr="00602C94">
        <w:rPr>
          <w:rFonts w:ascii="Times New Roman" w:hAnsi="Times New Roman"/>
          <w:sz w:val="24"/>
          <w:szCs w:val="24"/>
        </w:rPr>
        <w:t>The subsequent substantive decisions of APRA to impose a direction are subject to merits review.</w:t>
      </w:r>
    </w:p>
    <w:p w14:paraId="0C2B7A01" w14:textId="77777777" w:rsidR="00606B8B" w:rsidRPr="00CE5227" w:rsidRDefault="00606B8B" w:rsidP="00606B8B">
      <w:pPr>
        <w:keepNext/>
        <w:numPr>
          <w:ilvl w:val="0"/>
          <w:numId w:val="12"/>
        </w:numPr>
        <w:spacing w:after="240"/>
        <w:jc w:val="both"/>
        <w:rPr>
          <w:rFonts w:ascii="Times New Roman" w:hAnsi="Times New Roman"/>
          <w:b/>
          <w:i/>
          <w:sz w:val="24"/>
          <w:szCs w:val="24"/>
        </w:rPr>
      </w:pPr>
      <w:r w:rsidRPr="00CE5227">
        <w:rPr>
          <w:rFonts w:ascii="Times New Roman" w:hAnsi="Times New Roman"/>
          <w:b/>
          <w:i/>
          <w:sz w:val="24"/>
          <w:szCs w:val="24"/>
        </w:rPr>
        <w:t xml:space="preserve">Adjust and exclude </w:t>
      </w:r>
      <w:proofErr w:type="gramStart"/>
      <w:r w:rsidRPr="00CE5227">
        <w:rPr>
          <w:rFonts w:ascii="Times New Roman" w:hAnsi="Times New Roman"/>
          <w:b/>
          <w:i/>
          <w:sz w:val="24"/>
          <w:szCs w:val="24"/>
        </w:rPr>
        <w:t>discretion</w:t>
      </w:r>
      <w:proofErr w:type="gramEnd"/>
    </w:p>
    <w:p w14:paraId="7AF436ED" w14:textId="41D6CE01" w:rsidR="00606B8B" w:rsidRDefault="00606B8B" w:rsidP="00606B8B">
      <w:pPr>
        <w:jc w:val="both"/>
        <w:rPr>
          <w:rFonts w:ascii="Times New Roman" w:hAnsi="Times New Roman"/>
          <w:sz w:val="24"/>
          <w:szCs w:val="24"/>
        </w:rPr>
      </w:pPr>
      <w:r>
        <w:rPr>
          <w:rFonts w:ascii="Times New Roman" w:hAnsi="Times New Roman"/>
          <w:sz w:val="24"/>
          <w:szCs w:val="24"/>
        </w:rPr>
        <w:t>SPS 510</w:t>
      </w:r>
      <w:r w:rsidRPr="00B65FAD">
        <w:rPr>
          <w:rFonts w:ascii="Times New Roman" w:hAnsi="Times New Roman"/>
          <w:sz w:val="24"/>
          <w:szCs w:val="24"/>
        </w:rPr>
        <w:t xml:space="preserve"> gives APRA the discretion to adjust or exclude a provision of the prudential standard (paragraph </w:t>
      </w:r>
      <w:r w:rsidR="00367103">
        <w:rPr>
          <w:rFonts w:ascii="Times New Roman" w:hAnsi="Times New Roman"/>
          <w:sz w:val="24"/>
          <w:szCs w:val="24"/>
        </w:rPr>
        <w:t>50</w:t>
      </w:r>
      <w:r w:rsidRPr="00B65FAD">
        <w:rPr>
          <w:rFonts w:ascii="Times New Roman" w:hAnsi="Times New Roman"/>
          <w:sz w:val="24"/>
          <w:szCs w:val="24"/>
        </w:rPr>
        <w:t xml:space="preserve">). The power to create such a </w:t>
      </w:r>
      <w:r w:rsidRPr="00B65FAD" w:rsidDel="0046007D">
        <w:rPr>
          <w:rFonts w:ascii="Times New Roman" w:hAnsi="Times New Roman"/>
          <w:sz w:val="24"/>
          <w:szCs w:val="24"/>
        </w:rPr>
        <w:t>discretion</w:t>
      </w:r>
      <w:r w:rsidRPr="00B65FAD">
        <w:rPr>
          <w:rFonts w:ascii="Times New Roman" w:hAnsi="Times New Roman"/>
          <w:sz w:val="24"/>
          <w:szCs w:val="24"/>
        </w:rPr>
        <w:t xml:space="preserve"> is provided for under subsection </w:t>
      </w:r>
      <w:r>
        <w:rPr>
          <w:rFonts w:ascii="Times New Roman" w:hAnsi="Times New Roman"/>
          <w:sz w:val="24"/>
          <w:szCs w:val="24"/>
        </w:rPr>
        <w:t>34</w:t>
      </w:r>
      <w:proofErr w:type="gramStart"/>
      <w:r>
        <w:rPr>
          <w:rFonts w:ascii="Times New Roman" w:hAnsi="Times New Roman"/>
          <w:sz w:val="24"/>
          <w:szCs w:val="24"/>
        </w:rPr>
        <w:t>C(</w:t>
      </w:r>
      <w:proofErr w:type="gramEnd"/>
      <w:r>
        <w:rPr>
          <w:rFonts w:ascii="Times New Roman" w:hAnsi="Times New Roman"/>
          <w:sz w:val="24"/>
          <w:szCs w:val="24"/>
        </w:rPr>
        <w:t>5)</w:t>
      </w:r>
      <w:r w:rsidRPr="00B65FAD">
        <w:rPr>
          <w:rFonts w:ascii="Times New Roman" w:hAnsi="Times New Roman"/>
          <w:sz w:val="24"/>
          <w:szCs w:val="24"/>
        </w:rPr>
        <w:t xml:space="preserve"> of the Act. </w:t>
      </w:r>
    </w:p>
    <w:p w14:paraId="05EC15A4" w14:textId="77777777" w:rsidR="00606B8B" w:rsidRPr="00DD3423" w:rsidRDefault="00606B8B" w:rsidP="00606B8B">
      <w:pPr>
        <w:jc w:val="both"/>
        <w:rPr>
          <w:rFonts w:ascii="Times New Roman" w:hAnsi="Times New Roman"/>
          <w:i/>
          <w:sz w:val="24"/>
          <w:szCs w:val="24"/>
          <w:highlight w:val="yellow"/>
        </w:rPr>
      </w:pPr>
    </w:p>
    <w:p w14:paraId="4D06EBA6" w14:textId="77777777" w:rsidR="00606B8B" w:rsidRDefault="00606B8B" w:rsidP="00606B8B">
      <w:pPr>
        <w:jc w:val="both"/>
        <w:rPr>
          <w:rFonts w:ascii="Times New Roman" w:hAnsi="Times New Roman"/>
          <w:sz w:val="24"/>
          <w:szCs w:val="24"/>
        </w:rPr>
      </w:pPr>
      <w:r w:rsidRPr="0018608E">
        <w:rPr>
          <w:rFonts w:ascii="Times New Roman" w:hAnsi="Times New Roman"/>
          <w:sz w:val="24"/>
          <w:szCs w:val="24"/>
        </w:rPr>
        <w:t xml:space="preserve">APRA may exercise this power when it is satisfied that the adjustment or exclusion of a specific requirement for one or more specified </w:t>
      </w:r>
      <w:r>
        <w:rPr>
          <w:rFonts w:ascii="Times New Roman" w:hAnsi="Times New Roman"/>
          <w:sz w:val="24"/>
          <w:szCs w:val="24"/>
        </w:rPr>
        <w:t>RSE licensees</w:t>
      </w:r>
      <w:r w:rsidRPr="0018608E">
        <w:rPr>
          <w:rFonts w:ascii="Times New Roman" w:hAnsi="Times New Roman"/>
          <w:sz w:val="24"/>
          <w:szCs w:val="24"/>
        </w:rPr>
        <w:t xml:space="preserve"> will better support APRA in meeting its objectives. For example, the adjustment or exclusion may be necessary to obtain a better prudential outcome than would be the case if the prudential requirement were applied unaltered to a particular </w:t>
      </w:r>
      <w:r>
        <w:rPr>
          <w:rFonts w:ascii="Times New Roman" w:hAnsi="Times New Roman"/>
          <w:sz w:val="24"/>
          <w:szCs w:val="24"/>
        </w:rPr>
        <w:t>RSE licensee</w:t>
      </w:r>
      <w:r w:rsidRPr="0018608E">
        <w:rPr>
          <w:rFonts w:ascii="Times New Roman" w:hAnsi="Times New Roman"/>
          <w:sz w:val="24"/>
          <w:szCs w:val="24"/>
        </w:rPr>
        <w:t xml:space="preserve">. A tailored approach would give APRA comfort that the prudential requirements apply appropriately to protect the interests of </w:t>
      </w:r>
      <w:r>
        <w:rPr>
          <w:rFonts w:ascii="Times New Roman" w:hAnsi="Times New Roman"/>
          <w:sz w:val="24"/>
          <w:szCs w:val="24"/>
        </w:rPr>
        <w:t>superannuation fund members</w:t>
      </w:r>
      <w:r w:rsidRPr="0018608E">
        <w:rPr>
          <w:rFonts w:ascii="Times New Roman" w:hAnsi="Times New Roman"/>
          <w:sz w:val="24"/>
          <w:szCs w:val="24"/>
        </w:rPr>
        <w:t xml:space="preserve">. APRA will also </w:t>
      </w:r>
      <w:proofErr w:type="gramStart"/>
      <w:r w:rsidRPr="0018608E">
        <w:rPr>
          <w:rFonts w:ascii="Times New Roman" w:hAnsi="Times New Roman"/>
          <w:sz w:val="24"/>
          <w:szCs w:val="24"/>
        </w:rPr>
        <w:t>take into account</w:t>
      </w:r>
      <w:proofErr w:type="gramEnd"/>
      <w:r w:rsidRPr="0018608E">
        <w:rPr>
          <w:rFonts w:ascii="Times New Roman" w:hAnsi="Times New Roman"/>
          <w:sz w:val="24"/>
          <w:szCs w:val="24"/>
        </w:rPr>
        <w:t xml:space="preserve"> other considerations, such as efficiency, competition, contestability, competitive neutrality and regulatory burden, including comparisons with the entity’s peer group.</w:t>
      </w:r>
    </w:p>
    <w:p w14:paraId="1D8B2C8D" w14:textId="77777777" w:rsidR="00606B8B" w:rsidRPr="0018608E" w:rsidRDefault="00606B8B" w:rsidP="00606B8B">
      <w:pPr>
        <w:jc w:val="both"/>
        <w:rPr>
          <w:rFonts w:ascii="Times New Roman" w:hAnsi="Times New Roman"/>
          <w:sz w:val="24"/>
          <w:szCs w:val="24"/>
        </w:rPr>
      </w:pPr>
    </w:p>
    <w:p w14:paraId="7F38F09D" w14:textId="77777777" w:rsidR="00606B8B" w:rsidRDefault="00606B8B" w:rsidP="00606B8B">
      <w:pPr>
        <w:jc w:val="both"/>
        <w:rPr>
          <w:rFonts w:ascii="Times New Roman" w:hAnsi="Times New Roman"/>
          <w:sz w:val="24"/>
          <w:szCs w:val="24"/>
        </w:rPr>
      </w:pPr>
      <w:r w:rsidRPr="0018608E">
        <w:rPr>
          <w:rFonts w:ascii="Times New Roman" w:hAnsi="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1025B429" w14:textId="77777777" w:rsidR="00A4795C" w:rsidRDefault="00A4795C" w:rsidP="00E36E4E">
      <w:pPr>
        <w:jc w:val="both"/>
        <w:rPr>
          <w:rFonts w:ascii="Times New Roman" w:hAnsi="Times New Roman"/>
          <w:b/>
          <w:i/>
          <w:sz w:val="24"/>
          <w:szCs w:val="24"/>
        </w:rPr>
      </w:pPr>
    </w:p>
    <w:p w14:paraId="73A82B77" w14:textId="0EAFFA65" w:rsidR="00E36E4E" w:rsidRPr="00B87FEF" w:rsidRDefault="00E36E4E" w:rsidP="00E36E4E">
      <w:pPr>
        <w:jc w:val="both"/>
        <w:rPr>
          <w:rFonts w:ascii="Times New Roman" w:hAnsi="Times New Roman"/>
          <w:b/>
          <w:i/>
          <w:sz w:val="24"/>
          <w:szCs w:val="24"/>
        </w:rPr>
      </w:pPr>
      <w:r>
        <w:rPr>
          <w:rFonts w:ascii="Times New Roman" w:hAnsi="Times New Roman"/>
          <w:b/>
          <w:i/>
          <w:sz w:val="24"/>
          <w:szCs w:val="24"/>
        </w:rPr>
        <w:t>Exemption from sunsetting and disallowance</w:t>
      </w:r>
    </w:p>
    <w:p w14:paraId="15985F4E" w14:textId="79F28EC8" w:rsidR="00E36E4E" w:rsidRDefault="00E36E4E" w:rsidP="00E36E4E">
      <w:pPr>
        <w:spacing w:before="100" w:beforeAutospacing="1" w:after="100" w:afterAutospacing="1"/>
        <w:jc w:val="both"/>
        <w:rPr>
          <w:rFonts w:ascii="Times New Roman" w:hAnsi="Times New Roman"/>
          <w:sz w:val="24"/>
          <w:szCs w:val="24"/>
        </w:rPr>
      </w:pPr>
      <w:r w:rsidRPr="001C7EFB">
        <w:rPr>
          <w:rFonts w:ascii="Times New Roman" w:hAnsi="Times New Roman"/>
          <w:sz w:val="24"/>
          <w:szCs w:val="24"/>
        </w:rPr>
        <w:t xml:space="preserve">SPS </w:t>
      </w:r>
      <w:r>
        <w:rPr>
          <w:rFonts w:ascii="Times New Roman" w:hAnsi="Times New Roman"/>
          <w:sz w:val="24"/>
          <w:szCs w:val="24"/>
        </w:rPr>
        <w:t>510</w:t>
      </w:r>
      <w:r w:rsidRPr="001C7EFB">
        <w:rPr>
          <w:rFonts w:ascii="Times New Roman" w:hAnsi="Times New Roman"/>
          <w:sz w:val="24"/>
          <w:szCs w:val="24"/>
        </w:rPr>
        <w:t xml:space="preserve"> </w:t>
      </w:r>
      <w:r w:rsidRPr="000D6705">
        <w:rPr>
          <w:rFonts w:ascii="Times New Roman" w:hAnsi="Times New Roman"/>
          <w:sz w:val="24"/>
          <w:szCs w:val="24"/>
        </w:rPr>
        <w:t xml:space="preserve">is exempt from disallowance in accordance with section 44(2)(b) of the </w:t>
      </w:r>
      <w:r w:rsidRPr="007573D2">
        <w:rPr>
          <w:rFonts w:ascii="Times New Roman" w:hAnsi="Times New Roman"/>
          <w:i/>
          <w:sz w:val="24"/>
          <w:szCs w:val="24"/>
        </w:rPr>
        <w:t>Legislation Act 2003</w:t>
      </w:r>
      <w:r w:rsidRPr="000D6705">
        <w:rPr>
          <w:rFonts w:ascii="Times New Roman" w:hAnsi="Times New Roman"/>
          <w:sz w:val="24"/>
          <w:szCs w:val="24"/>
        </w:rPr>
        <w:t xml:space="preserve"> (Legislation Act) and regulation 9 of the </w:t>
      </w:r>
      <w:r w:rsidRPr="007573D2">
        <w:rPr>
          <w:rFonts w:ascii="Times New Roman" w:hAnsi="Times New Roman"/>
          <w:i/>
          <w:sz w:val="24"/>
          <w:szCs w:val="24"/>
        </w:rPr>
        <w:t>Legislation (Exemptions and Other Matters) Regulations 2015</w:t>
      </w:r>
      <w:r w:rsidRPr="000D6705">
        <w:rPr>
          <w:rFonts w:ascii="Times New Roman" w:hAnsi="Times New Roman"/>
          <w:sz w:val="24"/>
          <w:szCs w:val="24"/>
        </w:rPr>
        <w:t xml:space="preserve"> (Legislation Regulations) as SPS </w:t>
      </w:r>
      <w:r>
        <w:rPr>
          <w:rFonts w:ascii="Times New Roman" w:hAnsi="Times New Roman"/>
          <w:sz w:val="24"/>
          <w:szCs w:val="24"/>
        </w:rPr>
        <w:t xml:space="preserve">510 </w:t>
      </w:r>
      <w:r w:rsidRPr="000D6705">
        <w:rPr>
          <w:rFonts w:ascii="Times New Roman" w:hAnsi="Times New Roman"/>
          <w:sz w:val="24"/>
          <w:szCs w:val="24"/>
        </w:rPr>
        <w:t>is an ‘instrument (other than a regulation) relating to superannuation</w:t>
      </w:r>
      <w:r>
        <w:rPr>
          <w:rFonts w:ascii="Times New Roman" w:hAnsi="Times New Roman"/>
          <w:sz w:val="24"/>
          <w:szCs w:val="24"/>
        </w:rPr>
        <w:t>’.</w:t>
      </w:r>
      <w:r>
        <w:rPr>
          <w:rStyle w:val="FootnoteReference"/>
          <w:rFonts w:ascii="Times New Roman" w:hAnsi="Times New Roman"/>
          <w:sz w:val="24"/>
          <w:szCs w:val="24"/>
        </w:rPr>
        <w:footnoteReference w:id="5"/>
      </w:r>
    </w:p>
    <w:p w14:paraId="118CFC8B" w14:textId="1E4BE665" w:rsidR="00E36E4E" w:rsidRDefault="00E36E4E" w:rsidP="00E36E4E">
      <w:pPr>
        <w:spacing w:before="100" w:beforeAutospacing="1" w:after="100" w:afterAutospacing="1"/>
        <w:jc w:val="both"/>
        <w:rPr>
          <w:rFonts w:ascii="Times New Roman" w:hAnsi="Times New Roman"/>
          <w:sz w:val="24"/>
          <w:szCs w:val="24"/>
        </w:rPr>
      </w:pPr>
      <w:r w:rsidRPr="007573D2">
        <w:rPr>
          <w:rFonts w:ascii="Times New Roman" w:hAnsi="Times New Roman"/>
          <w:sz w:val="24"/>
          <w:szCs w:val="24"/>
        </w:rPr>
        <w:lastRenderedPageBreak/>
        <w:t xml:space="preserve">SPS </w:t>
      </w:r>
      <w:r>
        <w:rPr>
          <w:rFonts w:ascii="Times New Roman" w:hAnsi="Times New Roman"/>
          <w:sz w:val="24"/>
          <w:szCs w:val="24"/>
        </w:rPr>
        <w:t>510</w:t>
      </w:r>
      <w:r w:rsidRPr="007573D2">
        <w:rPr>
          <w:rFonts w:ascii="Times New Roman" w:hAnsi="Times New Roman"/>
          <w:sz w:val="24"/>
          <w:szCs w:val="24"/>
        </w:rPr>
        <w:t xml:space="preserve"> is exempt from sunsetting in accordance with section 54(2)(b) of the Legislation Act and regulation 11 of the Legislation Regulations as this Legislative Instrument is ‘an instrument (other than a regulation) relating to superannuation</w:t>
      </w:r>
      <w:r>
        <w:rPr>
          <w:rFonts w:ascii="Times New Roman" w:hAnsi="Times New Roman"/>
          <w:sz w:val="24"/>
          <w:szCs w:val="24"/>
        </w:rPr>
        <w:t>’.</w:t>
      </w:r>
      <w:r>
        <w:rPr>
          <w:rStyle w:val="FootnoteReference"/>
          <w:rFonts w:ascii="Times New Roman" w:hAnsi="Times New Roman"/>
          <w:sz w:val="24"/>
          <w:szCs w:val="24"/>
        </w:rPr>
        <w:footnoteReference w:id="6"/>
      </w:r>
    </w:p>
    <w:p w14:paraId="68C125BA" w14:textId="779ACDED" w:rsidR="00E36E4E" w:rsidRDefault="00E36E4E" w:rsidP="00E36E4E">
      <w:pPr>
        <w:spacing w:before="100" w:beforeAutospacing="1" w:after="100" w:afterAutospacing="1"/>
        <w:jc w:val="both"/>
        <w:rPr>
          <w:rFonts w:ascii="Times New Roman" w:hAnsi="Times New Roman"/>
          <w:sz w:val="24"/>
          <w:szCs w:val="24"/>
        </w:rPr>
      </w:pPr>
      <w:r w:rsidRPr="00925E7C">
        <w:rPr>
          <w:rFonts w:ascii="Times New Roman" w:hAnsi="Times New Roman"/>
          <w:sz w:val="24"/>
          <w:szCs w:val="24"/>
        </w:rPr>
        <w:t xml:space="preserve">As SPS </w:t>
      </w:r>
      <w:r>
        <w:rPr>
          <w:rFonts w:ascii="Times New Roman" w:hAnsi="Times New Roman"/>
          <w:sz w:val="24"/>
          <w:szCs w:val="24"/>
        </w:rPr>
        <w:t xml:space="preserve">510 </w:t>
      </w:r>
      <w:r w:rsidRPr="00925E7C">
        <w:rPr>
          <w:rFonts w:ascii="Times New Roman" w:hAnsi="Times New Roman"/>
          <w:sz w:val="24"/>
          <w:szCs w:val="24"/>
        </w:rPr>
        <w:t xml:space="preserve">falls within the above-mentioned exemptions to disallowance and sunsetting, APRA does not have discretion to subject SPS </w:t>
      </w:r>
      <w:r>
        <w:rPr>
          <w:rFonts w:ascii="Times New Roman" w:hAnsi="Times New Roman"/>
          <w:sz w:val="24"/>
          <w:szCs w:val="24"/>
        </w:rPr>
        <w:t xml:space="preserve">510 </w:t>
      </w:r>
      <w:r w:rsidRPr="00925E7C">
        <w:rPr>
          <w:rFonts w:ascii="Times New Roman" w:hAnsi="Times New Roman"/>
          <w:sz w:val="24"/>
          <w:szCs w:val="24"/>
        </w:rPr>
        <w:t xml:space="preserve">to disallowance and sunsetting. To mitigate against any adverse impact arising from the above-mentioned exemptions from disallowance and sunsetting, APRA undertook consultation on SPS </w:t>
      </w:r>
      <w:r>
        <w:rPr>
          <w:rFonts w:ascii="Times New Roman" w:hAnsi="Times New Roman"/>
          <w:sz w:val="24"/>
          <w:szCs w:val="24"/>
        </w:rPr>
        <w:t xml:space="preserve">510 </w:t>
      </w:r>
      <w:r w:rsidRPr="00925E7C">
        <w:rPr>
          <w:rFonts w:ascii="Times New Roman" w:hAnsi="Times New Roman"/>
          <w:sz w:val="24"/>
          <w:szCs w:val="24"/>
        </w:rPr>
        <w:t xml:space="preserve">(refer to </w:t>
      </w:r>
      <w:r>
        <w:rPr>
          <w:rFonts w:ascii="Times New Roman" w:hAnsi="Times New Roman"/>
          <w:sz w:val="24"/>
          <w:szCs w:val="24"/>
        </w:rPr>
        <w:t>section</w:t>
      </w:r>
      <w:r w:rsidRPr="00925E7C">
        <w:rPr>
          <w:rFonts w:ascii="Times New Roman" w:hAnsi="Times New Roman"/>
          <w:sz w:val="24"/>
          <w:szCs w:val="24"/>
        </w:rPr>
        <w:t xml:space="preserve"> 3 </w:t>
      </w:r>
      <w:r>
        <w:rPr>
          <w:rFonts w:ascii="Times New Roman" w:hAnsi="Times New Roman"/>
          <w:sz w:val="24"/>
          <w:szCs w:val="24"/>
        </w:rPr>
        <w:t>below</w:t>
      </w:r>
      <w:r w:rsidRPr="00925E7C">
        <w:rPr>
          <w:rFonts w:ascii="Times New Roman" w:hAnsi="Times New Roman"/>
          <w:sz w:val="24"/>
          <w:szCs w:val="24"/>
        </w:rPr>
        <w:t xml:space="preserve"> for further details) and will continue to conduct regular reviews of SPS </w:t>
      </w:r>
      <w:r>
        <w:rPr>
          <w:rFonts w:ascii="Times New Roman" w:hAnsi="Times New Roman"/>
          <w:sz w:val="24"/>
          <w:szCs w:val="24"/>
        </w:rPr>
        <w:t>5</w:t>
      </w:r>
      <w:r w:rsidR="004530BF">
        <w:rPr>
          <w:rFonts w:ascii="Times New Roman" w:hAnsi="Times New Roman"/>
          <w:sz w:val="24"/>
          <w:szCs w:val="24"/>
        </w:rPr>
        <w:t>1</w:t>
      </w:r>
      <w:r>
        <w:rPr>
          <w:rFonts w:ascii="Times New Roman" w:hAnsi="Times New Roman"/>
          <w:sz w:val="24"/>
          <w:szCs w:val="24"/>
        </w:rPr>
        <w:t>0.</w:t>
      </w:r>
    </w:p>
    <w:p w14:paraId="246B3959" w14:textId="77777777" w:rsidR="00643F6E" w:rsidRPr="00B87FEF" w:rsidRDefault="00643F6E" w:rsidP="00643F6E">
      <w:pPr>
        <w:keepNext/>
        <w:jc w:val="both"/>
        <w:rPr>
          <w:rFonts w:ascii="Times New Roman" w:hAnsi="Times New Roman"/>
          <w:b/>
          <w:i/>
          <w:sz w:val="24"/>
          <w:szCs w:val="24"/>
        </w:rPr>
      </w:pPr>
      <w:r>
        <w:rPr>
          <w:rFonts w:ascii="Times New Roman" w:hAnsi="Times New Roman"/>
          <w:b/>
          <w:i/>
          <w:sz w:val="24"/>
          <w:szCs w:val="24"/>
        </w:rPr>
        <w:t>Incorporation by reference</w:t>
      </w:r>
    </w:p>
    <w:p w14:paraId="03D9C628" w14:textId="548C8A90" w:rsidR="00FD7234" w:rsidRDefault="00FD7234" w:rsidP="00FD7234">
      <w:pPr>
        <w:spacing w:before="100" w:beforeAutospacing="1" w:after="100" w:afterAutospacing="1"/>
        <w:jc w:val="both"/>
        <w:rPr>
          <w:rFonts w:ascii="Times New Roman" w:hAnsi="Times New Roman"/>
          <w:sz w:val="24"/>
          <w:szCs w:val="24"/>
        </w:rPr>
      </w:pPr>
      <w:r w:rsidRPr="00F25471">
        <w:rPr>
          <w:rFonts w:ascii="Times New Roman" w:hAnsi="Times New Roman"/>
          <w:sz w:val="24"/>
          <w:szCs w:val="24"/>
        </w:rPr>
        <w:t xml:space="preserve">Under paragraph 14(1)(a) of the Legislation Act, </w:t>
      </w:r>
      <w:r>
        <w:rPr>
          <w:rFonts w:ascii="Times New Roman" w:hAnsi="Times New Roman"/>
          <w:sz w:val="24"/>
          <w:szCs w:val="24"/>
        </w:rPr>
        <w:t>w</w:t>
      </w:r>
      <w:r w:rsidRPr="00C20087">
        <w:rPr>
          <w:rFonts w:ascii="Times New Roman" w:hAnsi="Times New Roman"/>
          <w:sz w:val="24"/>
          <w:szCs w:val="24"/>
        </w:rPr>
        <w:t xml:space="preserve">here SPS </w:t>
      </w:r>
      <w:r>
        <w:rPr>
          <w:rFonts w:ascii="Times New Roman" w:hAnsi="Times New Roman"/>
          <w:sz w:val="24"/>
          <w:szCs w:val="24"/>
        </w:rPr>
        <w:t>510</w:t>
      </w:r>
      <w:r w:rsidRPr="00C20087">
        <w:rPr>
          <w:rFonts w:ascii="Times New Roman" w:hAnsi="Times New Roman"/>
          <w:sz w:val="24"/>
          <w:szCs w:val="24"/>
        </w:rPr>
        <w:t xml:space="preserve"> refers to provisions in </w:t>
      </w:r>
      <w:r>
        <w:rPr>
          <w:rFonts w:ascii="Times New Roman" w:hAnsi="Times New Roman"/>
          <w:sz w:val="24"/>
          <w:szCs w:val="24"/>
        </w:rPr>
        <w:t>primary legislation or a disallowable legislative instrument</w:t>
      </w:r>
      <w:r w:rsidR="00EF268B">
        <w:rPr>
          <w:rFonts w:ascii="Times New Roman" w:hAnsi="Times New Roman"/>
          <w:sz w:val="24"/>
          <w:szCs w:val="24"/>
        </w:rPr>
        <w:t xml:space="preserve"> (e.g. the </w:t>
      </w:r>
      <w:r w:rsidR="00EF268B" w:rsidRPr="004C0237">
        <w:rPr>
          <w:rFonts w:ascii="Times New Roman" w:hAnsi="Times New Roman"/>
          <w:i/>
          <w:iCs/>
          <w:sz w:val="24"/>
          <w:szCs w:val="24"/>
        </w:rPr>
        <w:t>Superannuation Industry (Supervision) Regulations 1994</w:t>
      </w:r>
      <w:r w:rsidR="00EF268B">
        <w:rPr>
          <w:rFonts w:ascii="Times New Roman" w:hAnsi="Times New Roman"/>
          <w:sz w:val="24"/>
          <w:szCs w:val="24"/>
        </w:rPr>
        <w:t>)</w:t>
      </w:r>
      <w:r w:rsidRPr="00C20087">
        <w:rPr>
          <w:rFonts w:ascii="Times New Roman" w:hAnsi="Times New Roman"/>
          <w:sz w:val="24"/>
          <w:szCs w:val="24"/>
        </w:rPr>
        <w:t>, this is a reference to</w:t>
      </w:r>
      <w:r>
        <w:rPr>
          <w:rFonts w:ascii="Times New Roman" w:hAnsi="Times New Roman"/>
          <w:sz w:val="24"/>
          <w:szCs w:val="24"/>
        </w:rPr>
        <w:t xml:space="preserve"> the primary legislation or disallowable legislative instrument as </w:t>
      </w:r>
      <w:r w:rsidRPr="00C20087">
        <w:rPr>
          <w:rFonts w:ascii="Times New Roman" w:hAnsi="Times New Roman"/>
          <w:sz w:val="24"/>
          <w:szCs w:val="24"/>
        </w:rPr>
        <w:t xml:space="preserve">it exists </w:t>
      </w:r>
      <w:r w:rsidRPr="00C20087">
        <w:rPr>
          <w:rFonts w:ascii="Times New Roman" w:hAnsi="Times New Roman"/>
          <w:i/>
          <w:sz w:val="24"/>
          <w:szCs w:val="24"/>
        </w:rPr>
        <w:t>from time to time</w:t>
      </w:r>
      <w:r w:rsidRPr="00C20087">
        <w:rPr>
          <w:rFonts w:ascii="Times New Roman" w:hAnsi="Times New Roman"/>
          <w:sz w:val="24"/>
          <w:szCs w:val="24"/>
        </w:rPr>
        <w:t xml:space="preserve">. </w:t>
      </w:r>
    </w:p>
    <w:p w14:paraId="5493B1D7" w14:textId="7C3B7763" w:rsidR="00FD7234" w:rsidRPr="00C20087" w:rsidRDefault="00FD7234" w:rsidP="00FD7234">
      <w:pPr>
        <w:spacing w:before="100" w:beforeAutospacing="1" w:after="100" w:afterAutospacing="1"/>
        <w:jc w:val="both"/>
        <w:rPr>
          <w:rFonts w:ascii="Times New Roman" w:hAnsi="Times New Roman"/>
          <w:sz w:val="24"/>
          <w:szCs w:val="24"/>
        </w:rPr>
      </w:pPr>
      <w:r w:rsidRPr="00E83EC3">
        <w:rPr>
          <w:rFonts w:ascii="Times New Roman" w:hAnsi="Times New Roman"/>
          <w:sz w:val="24"/>
          <w:szCs w:val="24"/>
        </w:rPr>
        <w:t>Under paragraph 14(1)(b) of the Legislation Act,</w:t>
      </w:r>
      <w:r>
        <w:rPr>
          <w:rFonts w:ascii="Times New Roman" w:hAnsi="Times New Roman"/>
          <w:sz w:val="24"/>
          <w:szCs w:val="24"/>
        </w:rPr>
        <w:t xml:space="preserve"> w</w:t>
      </w:r>
      <w:r w:rsidRPr="00C20087">
        <w:rPr>
          <w:rFonts w:ascii="Times New Roman" w:hAnsi="Times New Roman"/>
          <w:sz w:val="24"/>
          <w:szCs w:val="24"/>
        </w:rPr>
        <w:t xml:space="preserve">here SPS </w:t>
      </w:r>
      <w:r>
        <w:rPr>
          <w:rFonts w:ascii="Times New Roman" w:hAnsi="Times New Roman"/>
          <w:sz w:val="24"/>
          <w:szCs w:val="24"/>
        </w:rPr>
        <w:t>510</w:t>
      </w:r>
      <w:r w:rsidRPr="00C20087">
        <w:rPr>
          <w:rFonts w:ascii="Times New Roman" w:hAnsi="Times New Roman"/>
          <w:sz w:val="24"/>
          <w:szCs w:val="24"/>
        </w:rPr>
        <w:t xml:space="preserve"> </w:t>
      </w:r>
      <w:r w:rsidRPr="00E83EC3">
        <w:rPr>
          <w:rFonts w:ascii="Times New Roman" w:hAnsi="Times New Roman"/>
          <w:sz w:val="24"/>
          <w:szCs w:val="24"/>
        </w:rPr>
        <w:t xml:space="preserve">incorporates by reference another </w:t>
      </w:r>
      <w:r>
        <w:rPr>
          <w:rFonts w:ascii="Times New Roman" w:hAnsi="Times New Roman"/>
          <w:sz w:val="24"/>
          <w:szCs w:val="24"/>
        </w:rPr>
        <w:t>s</w:t>
      </w:r>
      <w:r w:rsidRPr="00E83EC3">
        <w:rPr>
          <w:rFonts w:ascii="Times New Roman" w:hAnsi="Times New Roman"/>
          <w:sz w:val="24"/>
          <w:szCs w:val="24"/>
        </w:rPr>
        <w:t xml:space="preserve">uperannuation </w:t>
      </w:r>
      <w:r>
        <w:rPr>
          <w:rFonts w:ascii="Times New Roman" w:hAnsi="Times New Roman"/>
          <w:sz w:val="24"/>
          <w:szCs w:val="24"/>
        </w:rPr>
        <w:t>p</w:t>
      </w:r>
      <w:r w:rsidRPr="00E83EC3">
        <w:rPr>
          <w:rFonts w:ascii="Times New Roman" w:hAnsi="Times New Roman"/>
          <w:sz w:val="24"/>
          <w:szCs w:val="24"/>
        </w:rPr>
        <w:t xml:space="preserve">rudential </w:t>
      </w:r>
      <w:r>
        <w:rPr>
          <w:rFonts w:ascii="Times New Roman" w:hAnsi="Times New Roman"/>
          <w:sz w:val="24"/>
          <w:szCs w:val="24"/>
        </w:rPr>
        <w:t>s</w:t>
      </w:r>
      <w:r w:rsidRPr="00E83EC3">
        <w:rPr>
          <w:rFonts w:ascii="Times New Roman" w:hAnsi="Times New Roman"/>
          <w:sz w:val="24"/>
          <w:szCs w:val="24"/>
        </w:rPr>
        <w:t>tandard determined by APRA under section 34C of the Act</w:t>
      </w:r>
      <w:r w:rsidR="00D12FD0">
        <w:rPr>
          <w:rFonts w:ascii="Times New Roman" w:hAnsi="Times New Roman"/>
          <w:sz w:val="24"/>
          <w:szCs w:val="24"/>
        </w:rPr>
        <w:t xml:space="preserve"> or other document</w:t>
      </w:r>
      <w:r>
        <w:rPr>
          <w:rFonts w:ascii="Times New Roman" w:hAnsi="Times New Roman"/>
          <w:sz w:val="24"/>
          <w:szCs w:val="24"/>
        </w:rPr>
        <w:t xml:space="preserve">, </w:t>
      </w:r>
      <w:r w:rsidRPr="00E83EC3">
        <w:rPr>
          <w:rFonts w:ascii="Times New Roman" w:hAnsi="Times New Roman"/>
          <w:sz w:val="24"/>
          <w:szCs w:val="24"/>
        </w:rPr>
        <w:t xml:space="preserve">the </w:t>
      </w:r>
      <w:r>
        <w:rPr>
          <w:rFonts w:ascii="Times New Roman" w:hAnsi="Times New Roman"/>
          <w:sz w:val="24"/>
          <w:szCs w:val="24"/>
        </w:rPr>
        <w:t>s</w:t>
      </w:r>
      <w:r w:rsidRPr="00E83EC3">
        <w:rPr>
          <w:rFonts w:ascii="Times New Roman" w:hAnsi="Times New Roman"/>
          <w:sz w:val="24"/>
          <w:szCs w:val="24"/>
        </w:rPr>
        <w:t xml:space="preserve">uperannuation </w:t>
      </w:r>
      <w:r>
        <w:rPr>
          <w:rFonts w:ascii="Times New Roman" w:hAnsi="Times New Roman"/>
          <w:sz w:val="24"/>
          <w:szCs w:val="24"/>
        </w:rPr>
        <w:t>p</w:t>
      </w:r>
      <w:r w:rsidRPr="00E83EC3">
        <w:rPr>
          <w:rFonts w:ascii="Times New Roman" w:hAnsi="Times New Roman"/>
          <w:sz w:val="24"/>
          <w:szCs w:val="24"/>
        </w:rPr>
        <w:t xml:space="preserve">rudential </w:t>
      </w:r>
      <w:r>
        <w:rPr>
          <w:rFonts w:ascii="Times New Roman" w:hAnsi="Times New Roman"/>
          <w:sz w:val="24"/>
          <w:szCs w:val="24"/>
        </w:rPr>
        <w:t>s</w:t>
      </w:r>
      <w:r w:rsidRPr="00E83EC3">
        <w:rPr>
          <w:rFonts w:ascii="Times New Roman" w:hAnsi="Times New Roman"/>
          <w:sz w:val="24"/>
          <w:szCs w:val="24"/>
        </w:rPr>
        <w:t xml:space="preserve">tandard </w:t>
      </w:r>
      <w:r w:rsidR="00D12FD0">
        <w:rPr>
          <w:rFonts w:ascii="Times New Roman" w:hAnsi="Times New Roman"/>
          <w:sz w:val="24"/>
          <w:szCs w:val="24"/>
        </w:rPr>
        <w:t xml:space="preserve">or other document </w:t>
      </w:r>
      <w:r w:rsidRPr="00E83EC3">
        <w:rPr>
          <w:rFonts w:ascii="Times New Roman" w:hAnsi="Times New Roman"/>
          <w:sz w:val="24"/>
          <w:szCs w:val="24"/>
        </w:rPr>
        <w:t xml:space="preserve">referred to is the version that exists </w:t>
      </w:r>
      <w:r w:rsidRPr="000560B1">
        <w:rPr>
          <w:rFonts w:ascii="Times New Roman" w:hAnsi="Times New Roman"/>
          <w:i/>
          <w:sz w:val="24"/>
          <w:szCs w:val="24"/>
        </w:rPr>
        <w:t>at the time</w:t>
      </w:r>
      <w:r w:rsidRPr="00E83EC3">
        <w:rPr>
          <w:rFonts w:ascii="Times New Roman" w:hAnsi="Times New Roman"/>
          <w:sz w:val="24"/>
          <w:szCs w:val="24"/>
        </w:rPr>
        <w:t xml:space="preserve"> </w:t>
      </w:r>
      <w:r>
        <w:rPr>
          <w:rFonts w:ascii="Times New Roman" w:hAnsi="Times New Roman"/>
          <w:sz w:val="24"/>
          <w:szCs w:val="24"/>
        </w:rPr>
        <w:t>SPS 510</w:t>
      </w:r>
      <w:r w:rsidRPr="00E83EC3">
        <w:rPr>
          <w:rFonts w:ascii="Times New Roman" w:hAnsi="Times New Roman"/>
          <w:sz w:val="24"/>
          <w:szCs w:val="24"/>
        </w:rPr>
        <w:t xml:space="preserve"> was determined.</w:t>
      </w:r>
    </w:p>
    <w:p w14:paraId="4083D237" w14:textId="7037D865" w:rsidR="00643F6E" w:rsidRPr="00C20087" w:rsidRDefault="00FD7234" w:rsidP="00643F6E">
      <w:pPr>
        <w:spacing w:before="100" w:beforeAutospacing="1" w:after="100" w:afterAutospacing="1"/>
        <w:jc w:val="both"/>
        <w:rPr>
          <w:rFonts w:ascii="Times New Roman" w:hAnsi="Times New Roman"/>
          <w:sz w:val="24"/>
          <w:szCs w:val="24"/>
        </w:rPr>
      </w:pPr>
      <w:r w:rsidRPr="002406ED">
        <w:rPr>
          <w:rFonts w:ascii="Times New Roman" w:hAnsi="Times New Roman"/>
          <w:sz w:val="24"/>
          <w:szCs w:val="24"/>
        </w:rPr>
        <w:t xml:space="preserve">All documents incorporated by reference in this standard are available on the Federal Register of Legislation at </w:t>
      </w:r>
      <w:hyperlink r:id="rId11" w:history="1">
        <w:r w:rsidR="00D12FD0" w:rsidRPr="005E4CCA">
          <w:rPr>
            <w:rStyle w:val="Hyperlink"/>
            <w:rFonts w:ascii="Times New Roman" w:hAnsi="Times New Roman"/>
            <w:sz w:val="24"/>
            <w:szCs w:val="24"/>
          </w:rPr>
          <w:t>www.legislation.gov.au</w:t>
        </w:r>
      </w:hyperlink>
      <w:r w:rsidR="00D12FD0">
        <w:rPr>
          <w:rFonts w:ascii="Times New Roman" w:hAnsi="Times New Roman"/>
          <w:sz w:val="24"/>
          <w:szCs w:val="24"/>
        </w:rPr>
        <w:t xml:space="preserve"> with the exception of </w:t>
      </w:r>
      <w:r w:rsidR="00D12FD0" w:rsidRPr="00EA1710">
        <w:rPr>
          <w:rFonts w:ascii="Times New Roman" w:eastAsia="Calibri" w:hAnsi="Times New Roman"/>
          <w:i/>
          <w:iCs/>
          <w:sz w:val="24"/>
          <w:szCs w:val="24"/>
        </w:rPr>
        <w:t>APES 110 Code of Ethics for Professional Accountants</w:t>
      </w:r>
      <w:r w:rsidR="00D12FD0">
        <w:rPr>
          <w:rFonts w:ascii="Times New Roman" w:eastAsia="Calibri" w:hAnsi="Times New Roman"/>
          <w:sz w:val="24"/>
          <w:szCs w:val="24"/>
        </w:rPr>
        <w:t>, which</w:t>
      </w:r>
      <w:r w:rsidR="00D12FD0" w:rsidRPr="00EA1710">
        <w:rPr>
          <w:rFonts w:ascii="Times New Roman" w:eastAsia="Calibri" w:hAnsi="Times New Roman"/>
          <w:i/>
          <w:iCs/>
          <w:sz w:val="24"/>
          <w:szCs w:val="24"/>
        </w:rPr>
        <w:t xml:space="preserve"> </w:t>
      </w:r>
      <w:r w:rsidR="00D12FD0" w:rsidRPr="00EA1710">
        <w:rPr>
          <w:rFonts w:ascii="Times New Roman" w:eastAsia="Calibri" w:hAnsi="Times New Roman"/>
          <w:sz w:val="24"/>
          <w:szCs w:val="24"/>
        </w:rPr>
        <w:t>was issued by the Accounting Professional and Ethical Standards Board in November 2018</w:t>
      </w:r>
      <w:r w:rsidR="00D12FD0">
        <w:rPr>
          <w:rFonts w:ascii="Times New Roman" w:eastAsia="Calibri" w:hAnsi="Times New Roman"/>
          <w:sz w:val="24"/>
          <w:szCs w:val="24"/>
        </w:rPr>
        <w:t xml:space="preserve"> and can be accessed at </w:t>
      </w:r>
      <w:hyperlink r:id="rId12" w:history="1">
        <w:r w:rsidR="00D12FD0" w:rsidRPr="00C63175">
          <w:rPr>
            <w:rStyle w:val="Hyperlink"/>
            <w:rFonts w:ascii="Times New Roman" w:eastAsia="Calibri" w:hAnsi="Times New Roman"/>
            <w:sz w:val="24"/>
            <w:szCs w:val="24"/>
          </w:rPr>
          <w:t>Standards &amp; Guidance – Home (apesb.org.au)</w:t>
        </w:r>
      </w:hyperlink>
      <w:r w:rsidR="00D12FD0" w:rsidRPr="00EA1710">
        <w:rPr>
          <w:rFonts w:ascii="Times New Roman" w:eastAsia="Calibri" w:hAnsi="Times New Roman"/>
          <w:sz w:val="24"/>
          <w:szCs w:val="24"/>
        </w:rPr>
        <w:t>.</w:t>
      </w:r>
    </w:p>
    <w:p w14:paraId="6AD0B9B9" w14:textId="77777777" w:rsidR="002436BD" w:rsidRPr="00564008" w:rsidRDefault="002436BD" w:rsidP="00796A67">
      <w:pPr>
        <w:pStyle w:val="Heading"/>
        <w:numPr>
          <w:ilvl w:val="0"/>
          <w:numId w:val="2"/>
        </w:numPr>
        <w:spacing w:after="240"/>
        <w:rPr>
          <w:rFonts w:ascii="Times New Roman" w:hAnsi="Times New Roman"/>
          <w:sz w:val="24"/>
          <w:szCs w:val="24"/>
        </w:rPr>
      </w:pPr>
      <w:r w:rsidRPr="00564008">
        <w:rPr>
          <w:rFonts w:ascii="Times New Roman" w:hAnsi="Times New Roman"/>
          <w:sz w:val="24"/>
          <w:szCs w:val="24"/>
        </w:rPr>
        <w:t>Consultation</w:t>
      </w:r>
    </w:p>
    <w:p w14:paraId="2EA09E89" w14:textId="157D042A" w:rsidR="00CD2A42" w:rsidRDefault="00CD2A42" w:rsidP="00CD2A42">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On 17 </w:t>
      </w:r>
      <w:r w:rsidRPr="009A19CF">
        <w:rPr>
          <w:rFonts w:ascii="Times New Roman" w:hAnsi="Times New Roman"/>
          <w:b w:val="0"/>
          <w:sz w:val="24"/>
          <w:szCs w:val="24"/>
        </w:rPr>
        <w:t xml:space="preserve">January 2024, APRA undertook a public consultation on its proposal to make </w:t>
      </w:r>
      <w:r>
        <w:rPr>
          <w:rFonts w:ascii="Times New Roman" w:hAnsi="Times New Roman"/>
          <w:b w:val="0"/>
          <w:sz w:val="24"/>
          <w:szCs w:val="24"/>
        </w:rPr>
        <w:t xml:space="preserve">minor and consequential amendments to the prudential framework to align with legislative changes in relation to the </w:t>
      </w:r>
      <w:r w:rsidRPr="009A19CF">
        <w:rPr>
          <w:rFonts w:ascii="Times New Roman" w:hAnsi="Times New Roman"/>
          <w:b w:val="0"/>
          <w:sz w:val="24"/>
          <w:szCs w:val="24"/>
        </w:rPr>
        <w:t xml:space="preserve">financial reporting and auditing </w:t>
      </w:r>
      <w:r>
        <w:rPr>
          <w:rFonts w:ascii="Times New Roman" w:hAnsi="Times New Roman"/>
          <w:b w:val="0"/>
          <w:sz w:val="24"/>
          <w:szCs w:val="24"/>
        </w:rPr>
        <w:t>reforms.</w:t>
      </w:r>
      <w:r>
        <w:rPr>
          <w:rStyle w:val="FootnoteReference"/>
          <w:rFonts w:ascii="Times New Roman" w:hAnsi="Times New Roman"/>
          <w:b w:val="0"/>
          <w:sz w:val="24"/>
          <w:szCs w:val="24"/>
        </w:rPr>
        <w:footnoteReference w:id="7"/>
      </w:r>
      <w:r>
        <w:rPr>
          <w:rFonts w:ascii="Times New Roman" w:hAnsi="Times New Roman"/>
          <w:b w:val="0"/>
          <w:sz w:val="24"/>
          <w:szCs w:val="24"/>
        </w:rPr>
        <w:t xml:space="preserve"> The consultation proposed amendments to SPS 510 as part of a package of amendments to three prudential standards (SPS 310, SPS 510 and SPS 520) and to </w:t>
      </w:r>
      <w:r w:rsidRPr="00747B2E">
        <w:rPr>
          <w:rFonts w:ascii="Times New Roman" w:hAnsi="Times New Roman"/>
          <w:b w:val="0"/>
          <w:i/>
          <w:sz w:val="24"/>
          <w:szCs w:val="24"/>
        </w:rPr>
        <w:t>Prudential Practice Guide SPG 520 Fit and Proper</w:t>
      </w:r>
      <w:r>
        <w:rPr>
          <w:rFonts w:ascii="Times New Roman" w:hAnsi="Times New Roman"/>
          <w:b w:val="0"/>
          <w:sz w:val="24"/>
          <w:szCs w:val="24"/>
        </w:rPr>
        <w:t xml:space="preserve"> (SPG 520). </w:t>
      </w:r>
    </w:p>
    <w:p w14:paraId="62EEC2E3" w14:textId="2912D13B" w:rsidR="00CD2A42" w:rsidRDefault="00CD2A42" w:rsidP="00CD2A42">
      <w:pPr>
        <w:pStyle w:val="Heading"/>
        <w:tabs>
          <w:tab w:val="left" w:pos="360"/>
        </w:tabs>
        <w:spacing w:after="240"/>
        <w:rPr>
          <w:rFonts w:ascii="Times New Roman" w:hAnsi="Times New Roman"/>
          <w:b w:val="0"/>
          <w:sz w:val="24"/>
          <w:szCs w:val="24"/>
        </w:rPr>
      </w:pPr>
      <w:r w:rsidRPr="002214A0">
        <w:rPr>
          <w:rFonts w:ascii="Times New Roman" w:hAnsi="Times New Roman"/>
          <w:b w:val="0"/>
          <w:sz w:val="24"/>
          <w:szCs w:val="24"/>
        </w:rPr>
        <w:lastRenderedPageBreak/>
        <w:t>Four submissions were received during the consultation, with respondents</w:t>
      </w:r>
      <w:r>
        <w:rPr>
          <w:rFonts w:ascii="Times New Roman" w:hAnsi="Times New Roman"/>
          <w:b w:val="0"/>
          <w:sz w:val="24"/>
          <w:szCs w:val="24"/>
        </w:rPr>
        <w:t xml:space="preserve"> generally supportive of the proposed changes, subject to two key areas of feedback concerning SPS 310. No feedback was received on the proposed changes to SPS 5</w:t>
      </w:r>
      <w:r w:rsidR="007F4E3E">
        <w:rPr>
          <w:rFonts w:ascii="Times New Roman" w:hAnsi="Times New Roman"/>
          <w:b w:val="0"/>
          <w:sz w:val="24"/>
          <w:szCs w:val="24"/>
        </w:rPr>
        <w:t>1</w:t>
      </w:r>
      <w:r>
        <w:rPr>
          <w:rFonts w:ascii="Times New Roman" w:hAnsi="Times New Roman"/>
          <w:b w:val="0"/>
          <w:sz w:val="24"/>
          <w:szCs w:val="24"/>
        </w:rPr>
        <w:t>0.</w:t>
      </w:r>
    </w:p>
    <w:p w14:paraId="0320D482" w14:textId="71BFED2A" w:rsidR="002436BD" w:rsidRDefault="00DF524E" w:rsidP="00BC60CF">
      <w:pPr>
        <w:pStyle w:val="Heading"/>
        <w:keepNext/>
        <w:tabs>
          <w:tab w:val="left" w:pos="360"/>
        </w:tabs>
        <w:spacing w:after="240"/>
        <w:rPr>
          <w:rFonts w:ascii="Times New Roman" w:hAnsi="Times New Roman"/>
          <w:sz w:val="24"/>
          <w:szCs w:val="24"/>
        </w:rPr>
      </w:pPr>
      <w:bookmarkStart w:id="7" w:name="bkConsultation"/>
      <w:bookmarkStart w:id="8" w:name="bkRISNO"/>
      <w:bookmarkStart w:id="9" w:name="bkRIS"/>
      <w:bookmarkEnd w:id="7"/>
      <w:bookmarkEnd w:id="8"/>
      <w:r w:rsidRPr="00564008">
        <w:rPr>
          <w:rFonts w:ascii="Times New Roman" w:hAnsi="Times New Roman"/>
          <w:sz w:val="24"/>
          <w:szCs w:val="24"/>
        </w:rPr>
        <w:t>4</w:t>
      </w:r>
      <w:r w:rsidR="002436BD" w:rsidRPr="00564008">
        <w:rPr>
          <w:rFonts w:ascii="Times New Roman" w:hAnsi="Times New Roman"/>
          <w:sz w:val="24"/>
          <w:szCs w:val="24"/>
        </w:rPr>
        <w:t xml:space="preserve">. </w:t>
      </w:r>
      <w:r w:rsidR="002436BD" w:rsidRPr="00564008">
        <w:rPr>
          <w:rFonts w:ascii="Times New Roman" w:hAnsi="Times New Roman"/>
          <w:sz w:val="24"/>
          <w:szCs w:val="24"/>
        </w:rPr>
        <w:tab/>
        <w:t xml:space="preserve">Impact </w:t>
      </w:r>
      <w:r w:rsidR="007F4E3E">
        <w:rPr>
          <w:rFonts w:ascii="Times New Roman" w:hAnsi="Times New Roman"/>
          <w:sz w:val="24"/>
          <w:szCs w:val="24"/>
        </w:rPr>
        <w:t>Analysis</w:t>
      </w:r>
    </w:p>
    <w:bookmarkEnd w:id="9"/>
    <w:p w14:paraId="68A0F354" w14:textId="29984075" w:rsidR="00BC60CF" w:rsidRPr="00564008" w:rsidRDefault="00BC60CF" w:rsidP="00BC60CF">
      <w:pPr>
        <w:pStyle w:val="Heading"/>
        <w:spacing w:after="240"/>
        <w:rPr>
          <w:rFonts w:ascii="Times New Roman" w:hAnsi="Times New Roman"/>
          <w:b w:val="0"/>
          <w:sz w:val="24"/>
          <w:szCs w:val="24"/>
        </w:rPr>
      </w:pPr>
      <w:r w:rsidRPr="00564008">
        <w:rPr>
          <w:rFonts w:ascii="Times New Roman" w:hAnsi="Times New Roman"/>
          <w:b w:val="0"/>
          <w:sz w:val="24"/>
          <w:szCs w:val="24"/>
        </w:rPr>
        <w:t>The Office of Impact Analysis</w:t>
      </w:r>
      <w:r>
        <w:rPr>
          <w:rFonts w:ascii="Times New Roman" w:hAnsi="Times New Roman"/>
          <w:b w:val="0"/>
          <w:sz w:val="24"/>
          <w:szCs w:val="24"/>
        </w:rPr>
        <w:t xml:space="preserve"> has confirmed that it </w:t>
      </w:r>
      <w:r w:rsidRPr="00EB283A">
        <w:rPr>
          <w:rFonts w:ascii="Times New Roman" w:hAnsi="Times New Roman"/>
          <w:b w:val="0"/>
          <w:sz w:val="24"/>
          <w:szCs w:val="24"/>
        </w:rPr>
        <w:t>considers the proposal is unlikely to have a more than minor impact, as the proposed changes seek to ensure alignment with the Corporations Act and remove regulatory burden</w:t>
      </w:r>
      <w:r>
        <w:rPr>
          <w:rFonts w:ascii="Times New Roman" w:hAnsi="Times New Roman"/>
          <w:b w:val="0"/>
          <w:sz w:val="24"/>
          <w:szCs w:val="24"/>
        </w:rPr>
        <w:t xml:space="preserve"> and, a</w:t>
      </w:r>
      <w:r w:rsidRPr="00EB283A">
        <w:rPr>
          <w:rFonts w:ascii="Times New Roman" w:hAnsi="Times New Roman"/>
          <w:b w:val="0"/>
          <w:sz w:val="24"/>
          <w:szCs w:val="24"/>
        </w:rPr>
        <w:t xml:space="preserve">s such, </w:t>
      </w:r>
      <w:r>
        <w:rPr>
          <w:rFonts w:ascii="Times New Roman" w:hAnsi="Times New Roman"/>
          <w:b w:val="0"/>
          <w:sz w:val="24"/>
          <w:szCs w:val="24"/>
        </w:rPr>
        <w:t xml:space="preserve">that </w:t>
      </w:r>
      <w:r w:rsidRPr="00EB283A">
        <w:rPr>
          <w:rFonts w:ascii="Times New Roman" w:hAnsi="Times New Roman"/>
          <w:b w:val="0"/>
          <w:sz w:val="24"/>
          <w:szCs w:val="24"/>
        </w:rPr>
        <w:t>the preparation of an Impact Analysis is not required</w:t>
      </w:r>
      <w:r>
        <w:rPr>
          <w:rFonts w:ascii="Times New Roman" w:hAnsi="Times New Roman"/>
          <w:b w:val="0"/>
          <w:sz w:val="24"/>
          <w:szCs w:val="24"/>
        </w:rPr>
        <w:t>.</w:t>
      </w:r>
    </w:p>
    <w:p w14:paraId="5C19FB8D" w14:textId="77777777" w:rsidR="002436BD" w:rsidRPr="00564008" w:rsidRDefault="00DF524E" w:rsidP="008E5D4C">
      <w:pPr>
        <w:pStyle w:val="Heading"/>
        <w:tabs>
          <w:tab w:val="left" w:pos="360"/>
        </w:tabs>
        <w:spacing w:after="240"/>
        <w:rPr>
          <w:rFonts w:ascii="Times New Roman" w:hAnsi="Times New Roman"/>
          <w:sz w:val="24"/>
          <w:szCs w:val="24"/>
        </w:rPr>
      </w:pPr>
      <w:r w:rsidRPr="00564008">
        <w:rPr>
          <w:rFonts w:ascii="Times New Roman" w:hAnsi="Times New Roman"/>
          <w:sz w:val="24"/>
          <w:szCs w:val="24"/>
        </w:rPr>
        <w:t>5</w:t>
      </w:r>
      <w:r w:rsidR="002436BD" w:rsidRPr="00564008">
        <w:rPr>
          <w:rFonts w:ascii="Times New Roman" w:hAnsi="Times New Roman"/>
          <w:sz w:val="24"/>
          <w:szCs w:val="24"/>
        </w:rPr>
        <w:t>.</w:t>
      </w:r>
      <w:r w:rsidR="002436BD" w:rsidRPr="00564008">
        <w:rPr>
          <w:rFonts w:ascii="Times New Roman" w:hAnsi="Times New Roman"/>
          <w:sz w:val="24"/>
          <w:szCs w:val="24"/>
        </w:rPr>
        <w:tab/>
        <w:t>Statement of compatibility prepared in accordance with Part 3 of the Human Rights (Parliamentary Scrutiny) Act 2011</w:t>
      </w:r>
    </w:p>
    <w:p w14:paraId="048E14C9" w14:textId="641CDE15" w:rsidR="000231FC" w:rsidRPr="00564008" w:rsidRDefault="000231FC" w:rsidP="000231FC">
      <w:pPr>
        <w:pStyle w:val="Heading"/>
        <w:spacing w:after="240"/>
        <w:rPr>
          <w:rFonts w:ascii="Times New Roman" w:hAnsi="Times New Roman"/>
          <w:b w:val="0"/>
          <w:sz w:val="24"/>
          <w:szCs w:val="24"/>
        </w:rPr>
      </w:pPr>
      <w:r w:rsidRPr="00564008">
        <w:rPr>
          <w:rFonts w:ascii="Times New Roman" w:hAnsi="Times New Roman"/>
          <w:b w:val="0"/>
          <w:sz w:val="24"/>
          <w:szCs w:val="24"/>
        </w:rPr>
        <w:t xml:space="preserve">A Statement of compatibility prepared in accordance with Part 3 of the </w:t>
      </w:r>
      <w:r w:rsidRPr="00564008">
        <w:rPr>
          <w:rFonts w:ascii="Times New Roman" w:hAnsi="Times New Roman"/>
          <w:b w:val="0"/>
          <w:i/>
          <w:sz w:val="24"/>
          <w:szCs w:val="24"/>
        </w:rPr>
        <w:t>Human Rights (Parliamentary Scrutiny) Act 2011</w:t>
      </w:r>
      <w:r w:rsidRPr="00564008">
        <w:rPr>
          <w:rFonts w:ascii="Times New Roman" w:hAnsi="Times New Roman"/>
          <w:b w:val="0"/>
          <w:sz w:val="24"/>
          <w:szCs w:val="24"/>
        </w:rPr>
        <w:t xml:space="preserve"> is provided at Attachment A to this Explanatory Statement</w:t>
      </w:r>
      <w:r w:rsidR="005E10E8" w:rsidRPr="00564008">
        <w:rPr>
          <w:rFonts w:ascii="Times New Roman" w:hAnsi="Times New Roman"/>
          <w:b w:val="0"/>
          <w:sz w:val="24"/>
          <w:szCs w:val="24"/>
        </w:rPr>
        <w:t>.</w:t>
      </w:r>
    </w:p>
    <w:p w14:paraId="59C01D3D" w14:textId="77777777" w:rsidR="000231FC" w:rsidRPr="00564008" w:rsidRDefault="000231FC" w:rsidP="000231FC">
      <w:pPr>
        <w:pStyle w:val="Heading"/>
        <w:spacing w:after="240"/>
        <w:rPr>
          <w:rFonts w:ascii="Times New Roman" w:hAnsi="Times New Roman"/>
          <w:b w:val="0"/>
          <w:sz w:val="24"/>
          <w:szCs w:val="24"/>
        </w:rPr>
      </w:pPr>
    </w:p>
    <w:p w14:paraId="3A2E8C2B" w14:textId="77777777" w:rsidR="000231FC" w:rsidRPr="00564008" w:rsidRDefault="000231FC" w:rsidP="000231FC">
      <w:pPr>
        <w:rPr>
          <w:rFonts w:ascii="Times New Roman" w:eastAsia="Calibri" w:hAnsi="Times New Roman"/>
          <w:b/>
          <w:bCs/>
          <w:sz w:val="24"/>
          <w:szCs w:val="24"/>
          <w:u w:val="single"/>
        </w:rPr>
      </w:pPr>
      <w:r w:rsidRPr="00564008">
        <w:rPr>
          <w:rFonts w:ascii="Times New Roman" w:eastAsia="Calibri" w:hAnsi="Times New Roman"/>
          <w:b/>
          <w:bCs/>
          <w:sz w:val="24"/>
          <w:szCs w:val="24"/>
          <w:u w:val="single"/>
        </w:rPr>
        <w:br w:type="page"/>
      </w:r>
    </w:p>
    <w:p w14:paraId="26C433C0" w14:textId="77777777" w:rsidR="000231FC" w:rsidRPr="00564008" w:rsidRDefault="000231FC" w:rsidP="005C5902">
      <w:pPr>
        <w:autoSpaceDE w:val="0"/>
        <w:autoSpaceDN w:val="0"/>
        <w:adjustRightInd w:val="0"/>
        <w:jc w:val="center"/>
        <w:rPr>
          <w:rFonts w:ascii="Times New Roman" w:eastAsia="Calibri" w:hAnsi="Times New Roman"/>
          <w:b/>
          <w:bCs/>
          <w:sz w:val="24"/>
          <w:szCs w:val="24"/>
          <w:u w:val="single"/>
        </w:rPr>
      </w:pPr>
      <w:r w:rsidRPr="00564008">
        <w:rPr>
          <w:rFonts w:ascii="Times New Roman" w:eastAsia="Calibri" w:hAnsi="Times New Roman"/>
          <w:b/>
          <w:bCs/>
          <w:sz w:val="24"/>
          <w:szCs w:val="24"/>
          <w:u w:val="single"/>
        </w:rPr>
        <w:lastRenderedPageBreak/>
        <w:t>ATTACHMENT A</w:t>
      </w:r>
    </w:p>
    <w:p w14:paraId="50021654" w14:textId="77777777" w:rsidR="000231FC" w:rsidRPr="00564008" w:rsidRDefault="000231FC" w:rsidP="000231FC">
      <w:pPr>
        <w:autoSpaceDE w:val="0"/>
        <w:autoSpaceDN w:val="0"/>
        <w:adjustRightInd w:val="0"/>
        <w:rPr>
          <w:rFonts w:ascii="Times New Roman" w:eastAsia="Calibri" w:hAnsi="Times New Roman"/>
          <w:b/>
          <w:bCs/>
          <w:sz w:val="24"/>
          <w:szCs w:val="24"/>
        </w:rPr>
      </w:pPr>
    </w:p>
    <w:p w14:paraId="7B1F7C96" w14:textId="77777777" w:rsidR="000231FC" w:rsidRPr="00564008" w:rsidRDefault="000231FC" w:rsidP="000231FC">
      <w:pPr>
        <w:autoSpaceDE w:val="0"/>
        <w:autoSpaceDN w:val="0"/>
        <w:adjustRightInd w:val="0"/>
        <w:jc w:val="center"/>
        <w:rPr>
          <w:rFonts w:ascii="Times New Roman" w:eastAsia="Calibri" w:hAnsi="Times New Roman"/>
          <w:b/>
          <w:bCs/>
          <w:sz w:val="24"/>
          <w:szCs w:val="24"/>
        </w:rPr>
      </w:pPr>
      <w:r w:rsidRPr="00564008">
        <w:rPr>
          <w:rFonts w:ascii="Times New Roman" w:eastAsia="Calibri" w:hAnsi="Times New Roman"/>
          <w:b/>
          <w:bCs/>
          <w:sz w:val="24"/>
          <w:szCs w:val="24"/>
        </w:rPr>
        <w:t>Statement of Compatibility with Human Rights</w:t>
      </w:r>
    </w:p>
    <w:p w14:paraId="01FB922A" w14:textId="77777777" w:rsidR="000231FC" w:rsidRPr="00564008" w:rsidRDefault="000231FC" w:rsidP="000231FC">
      <w:pPr>
        <w:autoSpaceDE w:val="0"/>
        <w:autoSpaceDN w:val="0"/>
        <w:adjustRightInd w:val="0"/>
        <w:rPr>
          <w:rFonts w:ascii="Times New Roman" w:eastAsia="Calibri" w:hAnsi="Times New Roman"/>
          <w:bCs/>
          <w:sz w:val="24"/>
          <w:szCs w:val="24"/>
        </w:rPr>
      </w:pPr>
    </w:p>
    <w:p w14:paraId="2B22F88D" w14:textId="77777777" w:rsidR="000231FC" w:rsidRPr="00564008" w:rsidRDefault="000231FC" w:rsidP="000231FC">
      <w:pPr>
        <w:autoSpaceDE w:val="0"/>
        <w:autoSpaceDN w:val="0"/>
        <w:adjustRightInd w:val="0"/>
        <w:jc w:val="center"/>
        <w:rPr>
          <w:rFonts w:ascii="Times New Roman" w:eastAsia="Calibri" w:hAnsi="Times New Roman"/>
          <w:i/>
          <w:sz w:val="24"/>
          <w:szCs w:val="24"/>
        </w:rPr>
      </w:pPr>
      <w:r w:rsidRPr="00564008">
        <w:rPr>
          <w:rFonts w:ascii="Times New Roman" w:eastAsia="Calibri" w:hAnsi="Times New Roman"/>
          <w:sz w:val="24"/>
          <w:szCs w:val="24"/>
        </w:rPr>
        <w:t xml:space="preserve">Prepared in accordance with Part 3 of the </w:t>
      </w:r>
      <w:r w:rsidRPr="00564008">
        <w:rPr>
          <w:rFonts w:ascii="Times New Roman" w:eastAsia="Calibri" w:hAnsi="Times New Roman"/>
          <w:i/>
          <w:sz w:val="24"/>
          <w:szCs w:val="24"/>
        </w:rPr>
        <w:t>Human Rights (Parliamentary Scrutiny) Act</w:t>
      </w:r>
    </w:p>
    <w:p w14:paraId="77A601E7" w14:textId="77777777" w:rsidR="000231FC" w:rsidRPr="00564008" w:rsidRDefault="000231FC" w:rsidP="000231FC">
      <w:pPr>
        <w:autoSpaceDE w:val="0"/>
        <w:autoSpaceDN w:val="0"/>
        <w:adjustRightInd w:val="0"/>
        <w:jc w:val="center"/>
        <w:rPr>
          <w:rFonts w:ascii="Times New Roman" w:eastAsia="Calibri" w:hAnsi="Times New Roman"/>
          <w:i/>
          <w:sz w:val="24"/>
          <w:szCs w:val="24"/>
        </w:rPr>
      </w:pPr>
      <w:r w:rsidRPr="00564008">
        <w:rPr>
          <w:rFonts w:ascii="Times New Roman" w:eastAsia="Calibri" w:hAnsi="Times New Roman"/>
          <w:i/>
          <w:sz w:val="24"/>
          <w:szCs w:val="24"/>
        </w:rPr>
        <w:t>2011</w:t>
      </w:r>
    </w:p>
    <w:p w14:paraId="36A3F31B" w14:textId="77777777" w:rsidR="000231FC" w:rsidRPr="00564008" w:rsidRDefault="000231FC" w:rsidP="000231FC">
      <w:pPr>
        <w:autoSpaceDE w:val="0"/>
        <w:autoSpaceDN w:val="0"/>
        <w:adjustRightInd w:val="0"/>
        <w:jc w:val="center"/>
        <w:rPr>
          <w:rFonts w:ascii="Times New Roman" w:eastAsia="Calibri" w:hAnsi="Times New Roman"/>
          <w:sz w:val="24"/>
          <w:szCs w:val="24"/>
        </w:rPr>
      </w:pPr>
    </w:p>
    <w:p w14:paraId="4AB213C5" w14:textId="61A59EBC" w:rsidR="000231FC" w:rsidRPr="00C441EA" w:rsidRDefault="000231FC" w:rsidP="75515248">
      <w:pPr>
        <w:autoSpaceDE w:val="0"/>
        <w:autoSpaceDN w:val="0"/>
        <w:adjustRightInd w:val="0"/>
        <w:jc w:val="center"/>
        <w:rPr>
          <w:rFonts w:ascii="Times New Roman" w:eastAsia="Calibri" w:hAnsi="Times New Roman"/>
          <w:b/>
          <w:i/>
          <w:sz w:val="24"/>
          <w:szCs w:val="24"/>
        </w:rPr>
      </w:pPr>
      <w:r w:rsidRPr="00C441EA">
        <w:rPr>
          <w:rFonts w:ascii="Times New Roman" w:eastAsia="Calibri" w:hAnsi="Times New Roman"/>
          <w:b/>
          <w:i/>
          <w:sz w:val="24"/>
          <w:szCs w:val="24"/>
        </w:rPr>
        <w:t xml:space="preserve">Superannuation (prudential standard) determination No. </w:t>
      </w:r>
      <w:r w:rsidR="00BC60CF" w:rsidRPr="00C441EA">
        <w:rPr>
          <w:rFonts w:ascii="Times New Roman" w:eastAsia="Calibri" w:hAnsi="Times New Roman"/>
          <w:b/>
          <w:i/>
          <w:sz w:val="24"/>
          <w:szCs w:val="24"/>
        </w:rPr>
        <w:t>3</w:t>
      </w:r>
      <w:r w:rsidRPr="00C441EA">
        <w:rPr>
          <w:rFonts w:ascii="Times New Roman" w:eastAsia="Calibri" w:hAnsi="Times New Roman"/>
          <w:b/>
          <w:i/>
          <w:sz w:val="24"/>
          <w:szCs w:val="24"/>
        </w:rPr>
        <w:t xml:space="preserve"> of 20</w:t>
      </w:r>
      <w:r w:rsidR="00664C90" w:rsidRPr="00C441EA">
        <w:rPr>
          <w:rFonts w:ascii="Times New Roman" w:eastAsia="Calibri" w:hAnsi="Times New Roman"/>
          <w:b/>
          <w:i/>
          <w:sz w:val="24"/>
          <w:szCs w:val="24"/>
        </w:rPr>
        <w:t>2</w:t>
      </w:r>
      <w:r w:rsidR="7D985E8B" w:rsidRPr="00C441EA">
        <w:rPr>
          <w:rFonts w:ascii="Times New Roman" w:eastAsia="Calibri" w:hAnsi="Times New Roman"/>
          <w:b/>
          <w:i/>
          <w:sz w:val="24"/>
          <w:szCs w:val="24"/>
        </w:rPr>
        <w:t>4</w:t>
      </w:r>
    </w:p>
    <w:p w14:paraId="2CAD58EA" w14:textId="77777777" w:rsidR="000231FC" w:rsidRPr="00564008" w:rsidRDefault="000231FC" w:rsidP="000231FC">
      <w:pPr>
        <w:autoSpaceDE w:val="0"/>
        <w:autoSpaceDN w:val="0"/>
        <w:adjustRightInd w:val="0"/>
        <w:rPr>
          <w:rFonts w:ascii="Times New Roman" w:eastAsia="Calibri" w:hAnsi="Times New Roman"/>
          <w:b/>
          <w:bCs/>
          <w:sz w:val="24"/>
          <w:szCs w:val="24"/>
        </w:rPr>
      </w:pPr>
    </w:p>
    <w:p w14:paraId="1138D583" w14:textId="77777777" w:rsidR="000231FC" w:rsidRPr="00564008" w:rsidRDefault="000231FC" w:rsidP="00A50A27">
      <w:pPr>
        <w:autoSpaceDE w:val="0"/>
        <w:autoSpaceDN w:val="0"/>
        <w:adjustRightInd w:val="0"/>
        <w:jc w:val="both"/>
        <w:rPr>
          <w:rFonts w:ascii="Times New Roman" w:eastAsia="Calibri" w:hAnsi="Times New Roman"/>
          <w:i/>
          <w:iCs/>
          <w:sz w:val="24"/>
          <w:szCs w:val="24"/>
        </w:rPr>
      </w:pPr>
      <w:r w:rsidRPr="00564008">
        <w:rPr>
          <w:rFonts w:ascii="Times New Roman" w:eastAsia="Calibri" w:hAnsi="Times New Roman"/>
          <w:sz w:val="24"/>
          <w:szCs w:val="24"/>
        </w:rPr>
        <w:t xml:space="preserve">This Legislative Instrument is compatible with the human rights and freedoms recognised or declared in the international instrument listed in section 3 of the </w:t>
      </w:r>
      <w:proofErr w:type="gramStart"/>
      <w:r w:rsidRPr="00564008">
        <w:rPr>
          <w:rFonts w:ascii="Times New Roman" w:eastAsia="Calibri" w:hAnsi="Times New Roman"/>
          <w:i/>
          <w:iCs/>
          <w:sz w:val="24"/>
          <w:szCs w:val="24"/>
        </w:rPr>
        <w:t>Human</w:t>
      </w:r>
      <w:proofErr w:type="gramEnd"/>
    </w:p>
    <w:p w14:paraId="4C63C786" w14:textId="77777777" w:rsidR="000231FC" w:rsidRPr="00564008" w:rsidRDefault="000231FC" w:rsidP="00A50A27">
      <w:pPr>
        <w:autoSpaceDE w:val="0"/>
        <w:autoSpaceDN w:val="0"/>
        <w:adjustRightInd w:val="0"/>
        <w:jc w:val="both"/>
        <w:rPr>
          <w:rFonts w:ascii="Times New Roman" w:eastAsia="Calibri" w:hAnsi="Times New Roman"/>
          <w:sz w:val="24"/>
          <w:szCs w:val="24"/>
        </w:rPr>
      </w:pPr>
      <w:r w:rsidRPr="00564008">
        <w:rPr>
          <w:rFonts w:ascii="Times New Roman" w:eastAsia="Calibri" w:hAnsi="Times New Roman"/>
          <w:i/>
          <w:iCs/>
          <w:sz w:val="24"/>
          <w:szCs w:val="24"/>
        </w:rPr>
        <w:t xml:space="preserve">Rights (Parliamentary Scrutiny) Act 2011 </w:t>
      </w:r>
      <w:r w:rsidRPr="00564008">
        <w:rPr>
          <w:rFonts w:ascii="Times New Roman" w:eastAsia="Calibri" w:hAnsi="Times New Roman"/>
          <w:sz w:val="24"/>
          <w:szCs w:val="24"/>
        </w:rPr>
        <w:t>(HRPS Act).</w:t>
      </w:r>
    </w:p>
    <w:p w14:paraId="2AEA3DB7" w14:textId="77777777" w:rsidR="000231FC" w:rsidRPr="00564008" w:rsidRDefault="000231FC" w:rsidP="00A50A27">
      <w:pPr>
        <w:autoSpaceDE w:val="0"/>
        <w:autoSpaceDN w:val="0"/>
        <w:adjustRightInd w:val="0"/>
        <w:jc w:val="both"/>
        <w:rPr>
          <w:rFonts w:ascii="Times New Roman" w:eastAsia="Calibri" w:hAnsi="Times New Roman"/>
          <w:sz w:val="24"/>
          <w:szCs w:val="24"/>
        </w:rPr>
      </w:pPr>
    </w:p>
    <w:p w14:paraId="774E6DBE" w14:textId="77777777" w:rsidR="000231FC" w:rsidRPr="00564008" w:rsidRDefault="000231FC" w:rsidP="00A50A27">
      <w:pPr>
        <w:autoSpaceDE w:val="0"/>
        <w:autoSpaceDN w:val="0"/>
        <w:adjustRightInd w:val="0"/>
        <w:jc w:val="both"/>
        <w:rPr>
          <w:rFonts w:ascii="Times New Roman" w:eastAsia="Calibri" w:hAnsi="Times New Roman"/>
          <w:b/>
          <w:bCs/>
          <w:sz w:val="24"/>
          <w:szCs w:val="24"/>
        </w:rPr>
      </w:pPr>
      <w:r w:rsidRPr="00564008">
        <w:rPr>
          <w:rFonts w:ascii="Times New Roman" w:eastAsia="Calibri" w:hAnsi="Times New Roman"/>
          <w:b/>
          <w:bCs/>
          <w:sz w:val="24"/>
          <w:szCs w:val="24"/>
        </w:rPr>
        <w:t>Overview of the Legislative Instrument</w:t>
      </w:r>
    </w:p>
    <w:p w14:paraId="16D5112E" w14:textId="77777777" w:rsidR="000231FC" w:rsidRPr="00564008" w:rsidRDefault="000231FC" w:rsidP="00A50A27">
      <w:pPr>
        <w:autoSpaceDE w:val="0"/>
        <w:autoSpaceDN w:val="0"/>
        <w:adjustRightInd w:val="0"/>
        <w:jc w:val="both"/>
        <w:rPr>
          <w:rFonts w:ascii="Times New Roman" w:eastAsia="Calibri" w:hAnsi="Times New Roman"/>
          <w:b/>
          <w:bCs/>
          <w:sz w:val="24"/>
          <w:szCs w:val="24"/>
        </w:rPr>
      </w:pPr>
    </w:p>
    <w:p w14:paraId="0609036E" w14:textId="21EAA385" w:rsidR="00CC6FA8" w:rsidRDefault="00CC6FA8" w:rsidP="00A50A27">
      <w:pPr>
        <w:widowControl w:val="0"/>
        <w:spacing w:after="240"/>
        <w:jc w:val="both"/>
        <w:rPr>
          <w:rFonts w:ascii="Times New Roman" w:eastAsia="Calibri" w:hAnsi="Times New Roman"/>
          <w:sz w:val="24"/>
          <w:szCs w:val="24"/>
        </w:rPr>
      </w:pPr>
      <w:r w:rsidRPr="00564008">
        <w:rPr>
          <w:rFonts w:ascii="Times New Roman" w:eastAsia="Calibri" w:hAnsi="Times New Roman"/>
          <w:sz w:val="24"/>
          <w:szCs w:val="24"/>
        </w:rPr>
        <w:t xml:space="preserve">The purpose of </w:t>
      </w:r>
      <w:r w:rsidR="0048554E" w:rsidRPr="00FC3478">
        <w:rPr>
          <w:rFonts w:ascii="Times New Roman" w:eastAsia="Calibri" w:hAnsi="Times New Roman"/>
          <w:i/>
          <w:sz w:val="24"/>
          <w:szCs w:val="24"/>
        </w:rPr>
        <w:t xml:space="preserve">Superannuation (prudential standard) determination No. </w:t>
      </w:r>
      <w:r w:rsidR="00CC2A91">
        <w:rPr>
          <w:rFonts w:ascii="Times New Roman" w:eastAsia="Calibri" w:hAnsi="Times New Roman"/>
          <w:i/>
          <w:sz w:val="24"/>
          <w:szCs w:val="24"/>
        </w:rPr>
        <w:t>3</w:t>
      </w:r>
      <w:r w:rsidR="0048554E" w:rsidRPr="00FC3478">
        <w:rPr>
          <w:rFonts w:ascii="Times New Roman" w:eastAsia="Calibri" w:hAnsi="Times New Roman"/>
          <w:i/>
          <w:sz w:val="24"/>
          <w:szCs w:val="24"/>
        </w:rPr>
        <w:t xml:space="preserve"> of 20</w:t>
      </w:r>
      <w:r w:rsidR="0048554E">
        <w:rPr>
          <w:rFonts w:ascii="Times New Roman" w:eastAsia="Calibri" w:hAnsi="Times New Roman"/>
          <w:i/>
          <w:sz w:val="24"/>
          <w:szCs w:val="24"/>
        </w:rPr>
        <w:t>24</w:t>
      </w:r>
      <w:r w:rsidRPr="00564008">
        <w:rPr>
          <w:rFonts w:ascii="Times New Roman" w:eastAsia="Calibri" w:hAnsi="Times New Roman"/>
          <w:sz w:val="24"/>
          <w:szCs w:val="24"/>
        </w:rPr>
        <w:t xml:space="preserve"> is to </w:t>
      </w:r>
      <w:r>
        <w:rPr>
          <w:rFonts w:ascii="Times New Roman" w:eastAsia="Calibri" w:hAnsi="Times New Roman"/>
          <w:sz w:val="24"/>
          <w:szCs w:val="24"/>
        </w:rPr>
        <w:t xml:space="preserve">revoke </w:t>
      </w:r>
      <w:r>
        <w:rPr>
          <w:rFonts w:ascii="Times New Roman" w:eastAsia="Calibri" w:hAnsi="Times New Roman"/>
          <w:i/>
          <w:sz w:val="24"/>
          <w:szCs w:val="24"/>
        </w:rPr>
        <w:t xml:space="preserve">Prudential Standard SPS 510 Governance </w:t>
      </w:r>
      <w:r>
        <w:rPr>
          <w:rFonts w:ascii="Times New Roman" w:eastAsia="Calibri" w:hAnsi="Times New Roman"/>
          <w:sz w:val="24"/>
          <w:szCs w:val="24"/>
        </w:rPr>
        <w:t>made under Superannuation (prudential standard) determination No.</w:t>
      </w:r>
      <w:r w:rsidR="00695A97">
        <w:rPr>
          <w:rFonts w:ascii="Times New Roman" w:eastAsia="Calibri" w:hAnsi="Times New Roman"/>
          <w:sz w:val="24"/>
          <w:szCs w:val="24"/>
        </w:rPr>
        <w:t xml:space="preserve"> 2</w:t>
      </w:r>
      <w:r>
        <w:rPr>
          <w:rFonts w:ascii="Times New Roman" w:eastAsia="Calibri" w:hAnsi="Times New Roman"/>
          <w:sz w:val="24"/>
          <w:szCs w:val="24"/>
        </w:rPr>
        <w:t xml:space="preserve"> of 2023 and replace it with another version.</w:t>
      </w:r>
    </w:p>
    <w:p w14:paraId="4AA1E24A" w14:textId="328AD572" w:rsidR="00695A97" w:rsidRPr="00695A97" w:rsidRDefault="00695A97" w:rsidP="00A50A27">
      <w:pPr>
        <w:jc w:val="both"/>
        <w:rPr>
          <w:rFonts w:ascii="Times New Roman" w:hAnsi="Times New Roman"/>
          <w:sz w:val="24"/>
          <w:szCs w:val="24"/>
        </w:rPr>
      </w:pPr>
      <w:r w:rsidRPr="00695A97">
        <w:rPr>
          <w:rFonts w:ascii="Times New Roman" w:hAnsi="Times New Roman"/>
          <w:sz w:val="24"/>
          <w:szCs w:val="24"/>
        </w:rPr>
        <w:t xml:space="preserve">SPS 510 sets out requirements </w:t>
      </w:r>
      <w:r w:rsidR="009A4631">
        <w:rPr>
          <w:rFonts w:ascii="Times New Roman" w:hAnsi="Times New Roman"/>
          <w:sz w:val="24"/>
          <w:szCs w:val="24"/>
        </w:rPr>
        <w:t xml:space="preserve">for </w:t>
      </w:r>
      <w:r w:rsidRPr="00695A97">
        <w:rPr>
          <w:rFonts w:ascii="Times New Roman" w:hAnsi="Times New Roman"/>
          <w:sz w:val="24"/>
          <w:szCs w:val="24"/>
        </w:rPr>
        <w:t xml:space="preserve">foundations </w:t>
      </w:r>
      <w:r w:rsidR="009A4631">
        <w:rPr>
          <w:rFonts w:ascii="Times New Roman" w:hAnsi="Times New Roman"/>
          <w:sz w:val="24"/>
          <w:szCs w:val="24"/>
        </w:rPr>
        <w:t>of</w:t>
      </w:r>
      <w:r w:rsidRPr="00695A97">
        <w:rPr>
          <w:rFonts w:ascii="Times New Roman" w:hAnsi="Times New Roman"/>
          <w:sz w:val="24"/>
          <w:szCs w:val="24"/>
        </w:rPr>
        <w:t xml:space="preserve"> good governance of an RSE licensee. SPS 510 is designed to ensure that an RSE licensee’s business operations are managed soundly and prudently by a competent Board, which can make reasonable and impartial business judgements in the best financial interests of </w:t>
      </w:r>
      <w:proofErr w:type="gramStart"/>
      <w:r w:rsidRPr="00695A97">
        <w:rPr>
          <w:rFonts w:ascii="Times New Roman" w:hAnsi="Times New Roman"/>
          <w:sz w:val="24"/>
          <w:szCs w:val="24"/>
        </w:rPr>
        <w:t>beneficiaries</w:t>
      </w:r>
      <w:proofErr w:type="gramEnd"/>
      <w:r w:rsidRPr="00695A97">
        <w:rPr>
          <w:rFonts w:ascii="Times New Roman" w:hAnsi="Times New Roman"/>
          <w:sz w:val="24"/>
          <w:szCs w:val="24"/>
        </w:rPr>
        <w:t xml:space="preserve"> and which duly considers the impact of its decisions on beneficiaries.</w:t>
      </w:r>
    </w:p>
    <w:p w14:paraId="5D784434" w14:textId="77777777" w:rsidR="00026B0B" w:rsidRPr="00564008" w:rsidRDefault="00026B0B" w:rsidP="00A50A27">
      <w:pPr>
        <w:jc w:val="both"/>
        <w:rPr>
          <w:rFonts w:ascii="Times New Roman" w:hAnsi="Times New Roman"/>
          <w:sz w:val="24"/>
          <w:szCs w:val="24"/>
        </w:rPr>
      </w:pPr>
    </w:p>
    <w:p w14:paraId="4503C3D0" w14:textId="77777777" w:rsidR="000231FC" w:rsidRPr="00564008" w:rsidRDefault="000231FC" w:rsidP="00A50A27">
      <w:pPr>
        <w:spacing w:after="240"/>
        <w:jc w:val="both"/>
        <w:rPr>
          <w:rFonts w:ascii="Times New Roman" w:eastAsia="Calibri" w:hAnsi="Times New Roman"/>
          <w:b/>
          <w:sz w:val="24"/>
          <w:szCs w:val="24"/>
        </w:rPr>
      </w:pPr>
      <w:r w:rsidRPr="00564008">
        <w:rPr>
          <w:rFonts w:ascii="Times New Roman" w:eastAsia="Calibri" w:hAnsi="Times New Roman"/>
          <w:b/>
          <w:sz w:val="24"/>
          <w:szCs w:val="24"/>
        </w:rPr>
        <w:t>Human rights implications</w:t>
      </w:r>
    </w:p>
    <w:p w14:paraId="3C7BEDC9" w14:textId="34F34945" w:rsidR="000231FC" w:rsidRDefault="006848B9" w:rsidP="00A50A27">
      <w:pPr>
        <w:spacing w:after="240"/>
        <w:jc w:val="both"/>
        <w:rPr>
          <w:rFonts w:ascii="Times New Roman" w:eastAsia="Calibri" w:hAnsi="Times New Roman"/>
          <w:sz w:val="24"/>
          <w:szCs w:val="24"/>
        </w:rPr>
      </w:pPr>
      <w:r w:rsidRPr="006848B9">
        <w:rPr>
          <w:rFonts w:ascii="Times New Roman" w:eastAsia="Calibri" w:hAnsi="Times New Roman"/>
          <w:sz w:val="24"/>
          <w:szCs w:val="24"/>
        </w:rPr>
        <w:t>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795E0F15" w14:textId="77777777" w:rsidR="000231FC" w:rsidRDefault="000231FC" w:rsidP="00A50A27">
      <w:pPr>
        <w:spacing w:after="240"/>
        <w:jc w:val="both"/>
        <w:rPr>
          <w:rFonts w:ascii="Times New Roman" w:eastAsia="Calibri" w:hAnsi="Times New Roman"/>
          <w:b/>
          <w:sz w:val="24"/>
          <w:szCs w:val="24"/>
        </w:rPr>
      </w:pPr>
      <w:r>
        <w:rPr>
          <w:rFonts w:ascii="Times New Roman" w:eastAsia="Calibri" w:hAnsi="Times New Roman"/>
          <w:b/>
          <w:sz w:val="24"/>
          <w:szCs w:val="24"/>
        </w:rPr>
        <w:t xml:space="preserve">Conclusion </w:t>
      </w:r>
    </w:p>
    <w:p w14:paraId="28759B61" w14:textId="77777777" w:rsidR="000231FC" w:rsidRDefault="000231FC" w:rsidP="00A50A27">
      <w:pPr>
        <w:spacing w:after="240"/>
        <w:jc w:val="both"/>
        <w:rPr>
          <w:rFonts w:ascii="Times New Roman" w:eastAsia="Calibri" w:hAnsi="Times New Roman"/>
          <w:sz w:val="24"/>
          <w:szCs w:val="24"/>
        </w:rPr>
      </w:pPr>
      <w:r>
        <w:rPr>
          <w:rFonts w:ascii="Times New Roman" w:eastAsia="Calibri" w:hAnsi="Times New Roman"/>
          <w:sz w:val="24"/>
          <w:szCs w:val="24"/>
        </w:rPr>
        <w:t>This Legislative Instrument is compatible with human rights as it does not raise any human rights issues.</w:t>
      </w:r>
    </w:p>
    <w:p w14:paraId="45BD5537" w14:textId="77777777" w:rsidR="00B04B20" w:rsidRPr="00FA5345" w:rsidRDefault="00B04B20" w:rsidP="008E5D4C">
      <w:pPr>
        <w:spacing w:after="240"/>
      </w:pPr>
    </w:p>
    <w:sectPr w:rsidR="00B04B20" w:rsidRPr="00FA5345" w:rsidSect="003D5032">
      <w:footerReference w:type="default" r:id="rId13"/>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E940" w14:textId="77777777" w:rsidR="0088328A" w:rsidRDefault="0088328A" w:rsidP="00226412">
      <w:r>
        <w:separator/>
      </w:r>
    </w:p>
  </w:endnote>
  <w:endnote w:type="continuationSeparator" w:id="0">
    <w:p w14:paraId="46483468" w14:textId="77777777" w:rsidR="0088328A" w:rsidRDefault="0088328A" w:rsidP="00226412">
      <w:r>
        <w:continuationSeparator/>
      </w:r>
    </w:p>
  </w:endnote>
  <w:endnote w:type="continuationNotice" w:id="1">
    <w:p w14:paraId="786EF0C1" w14:textId="77777777" w:rsidR="0088328A" w:rsidRDefault="00883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498712"/>
      <w:docPartObj>
        <w:docPartGallery w:val="Page Numbers (Bottom of Page)"/>
        <w:docPartUnique/>
      </w:docPartObj>
    </w:sdtPr>
    <w:sdtEndPr>
      <w:rPr>
        <w:szCs w:val="22"/>
      </w:rPr>
    </w:sdtEndPr>
    <w:sdtContent>
      <w:sdt>
        <w:sdtPr>
          <w:id w:val="860082579"/>
          <w:docPartObj>
            <w:docPartGallery w:val="Page Numbers (Top of Page)"/>
            <w:docPartUnique/>
          </w:docPartObj>
        </w:sdtPr>
        <w:sdtEndPr>
          <w:rPr>
            <w:szCs w:val="22"/>
          </w:rPr>
        </w:sdtEndPr>
        <w:sdtContent>
          <w:p w14:paraId="15FCE807" w14:textId="77777777" w:rsidR="0091715F" w:rsidRPr="00226412" w:rsidRDefault="0091715F" w:rsidP="00226412">
            <w:pPr>
              <w:pStyle w:val="Footer"/>
              <w:jc w:val="center"/>
              <w:rPr>
                <w:szCs w:val="22"/>
              </w:rPr>
            </w:pPr>
            <w:r w:rsidRPr="00073573">
              <w:rPr>
                <w:rFonts w:ascii="Times New Roman" w:hAnsi="Times New Roman"/>
                <w:bCs/>
                <w:sz w:val="24"/>
                <w:szCs w:val="24"/>
              </w:rPr>
              <w:fldChar w:fldCharType="begin"/>
            </w:r>
            <w:r w:rsidRPr="00073573">
              <w:rPr>
                <w:rFonts w:ascii="Times New Roman" w:hAnsi="Times New Roman"/>
                <w:bCs/>
                <w:sz w:val="24"/>
                <w:szCs w:val="24"/>
              </w:rPr>
              <w:instrText xml:space="preserve"> PAGE </w:instrText>
            </w:r>
            <w:r w:rsidRPr="00073573">
              <w:rPr>
                <w:rFonts w:ascii="Times New Roman" w:hAnsi="Times New Roman"/>
                <w:bCs/>
                <w:sz w:val="24"/>
                <w:szCs w:val="24"/>
              </w:rPr>
              <w:fldChar w:fldCharType="separate"/>
            </w:r>
            <w:r w:rsidR="00F178D6">
              <w:rPr>
                <w:rFonts w:ascii="Times New Roman" w:hAnsi="Times New Roman"/>
                <w:bCs/>
                <w:noProof/>
                <w:sz w:val="24"/>
                <w:szCs w:val="24"/>
              </w:rPr>
              <w:t>1</w:t>
            </w:r>
            <w:r w:rsidRPr="00073573">
              <w:rPr>
                <w:rFonts w:ascii="Times New Roman" w:hAnsi="Times New Roman"/>
                <w:bCs/>
                <w:sz w:val="24"/>
                <w:szCs w:val="24"/>
              </w:rPr>
              <w:fldChar w:fldCharType="end"/>
            </w:r>
          </w:p>
        </w:sdtContent>
      </w:sdt>
    </w:sdtContent>
  </w:sdt>
  <w:p w14:paraId="225E0D1E" w14:textId="77777777" w:rsidR="0091715F" w:rsidRDefault="00917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6E38" w14:textId="77777777" w:rsidR="0088328A" w:rsidRDefault="0088328A" w:rsidP="00226412">
      <w:r>
        <w:separator/>
      </w:r>
    </w:p>
  </w:footnote>
  <w:footnote w:type="continuationSeparator" w:id="0">
    <w:p w14:paraId="2DD84450" w14:textId="77777777" w:rsidR="0088328A" w:rsidRDefault="0088328A" w:rsidP="00226412">
      <w:r>
        <w:continuationSeparator/>
      </w:r>
    </w:p>
  </w:footnote>
  <w:footnote w:type="continuationNotice" w:id="1">
    <w:p w14:paraId="0545D0C3" w14:textId="77777777" w:rsidR="0088328A" w:rsidRDefault="0088328A"/>
  </w:footnote>
  <w:footnote w:id="2">
    <w:p w14:paraId="51D3F44E" w14:textId="77777777" w:rsidR="004839EB" w:rsidRDefault="004839EB" w:rsidP="004839EB">
      <w:pPr>
        <w:pStyle w:val="FootnoteText"/>
      </w:pPr>
      <w:r>
        <w:rPr>
          <w:rStyle w:val="FootnoteReference"/>
        </w:rPr>
        <w:footnoteRef/>
      </w:r>
      <w:r>
        <w:t xml:space="preserve"> </w:t>
      </w:r>
      <w:hyperlink r:id="rId1" w:history="1">
        <w:r w:rsidRPr="006B400A">
          <w:rPr>
            <w:rStyle w:val="Hyperlink"/>
            <w:rFonts w:ascii="Times New Roman" w:hAnsi="Times New Roman"/>
          </w:rPr>
          <w:t>Federal Register of Legislation - Treasury Laws Amendment (2022 Measures No. 4) Act 2023</w:t>
        </w:r>
      </w:hyperlink>
    </w:p>
  </w:footnote>
  <w:footnote w:id="3">
    <w:p w14:paraId="4B502D5A" w14:textId="77777777" w:rsidR="004839EB" w:rsidRPr="006B400A" w:rsidRDefault="004839EB" w:rsidP="004839EB">
      <w:pPr>
        <w:pStyle w:val="FootnoteText"/>
        <w:rPr>
          <w:rFonts w:ascii="Times New Roman" w:hAnsi="Times New Roman"/>
        </w:rPr>
      </w:pPr>
      <w:r>
        <w:rPr>
          <w:rStyle w:val="FootnoteReference"/>
        </w:rPr>
        <w:footnoteRef/>
      </w:r>
      <w:r>
        <w:t xml:space="preserve"> </w:t>
      </w:r>
      <w:r w:rsidRPr="00D85F19">
        <w:rPr>
          <w:rFonts w:ascii="Times New Roman" w:hAnsi="Times New Roman"/>
        </w:rPr>
        <w:t>Small APRA funds (SAFs) were excluded from these reforms.</w:t>
      </w:r>
    </w:p>
  </w:footnote>
  <w:footnote w:id="4">
    <w:p w14:paraId="1C9B032A" w14:textId="27BE2E45" w:rsidR="00254584" w:rsidRDefault="00254584">
      <w:pPr>
        <w:pStyle w:val="FootnoteText"/>
      </w:pPr>
      <w:r>
        <w:rPr>
          <w:rStyle w:val="FootnoteReference"/>
        </w:rPr>
        <w:footnoteRef/>
      </w:r>
      <w:r>
        <w:t xml:space="preserve"> </w:t>
      </w:r>
      <w:r w:rsidRPr="00081F83">
        <w:rPr>
          <w:rFonts w:ascii="Times New Roman" w:hAnsi="Times New Roman"/>
        </w:rPr>
        <w:t>The exception is s</w:t>
      </w:r>
      <w:r>
        <w:rPr>
          <w:rFonts w:ascii="Times New Roman" w:hAnsi="Times New Roman"/>
        </w:rPr>
        <w:t>ection 54B of the Act, which provides that breach of a covenant under sections 52 or 52A is a civil penalty provision.</w:t>
      </w:r>
    </w:p>
  </w:footnote>
  <w:footnote w:id="5">
    <w:p w14:paraId="75B31F38" w14:textId="77777777" w:rsidR="00E36E4E" w:rsidRDefault="00E36E4E" w:rsidP="00E36E4E">
      <w:pPr>
        <w:pStyle w:val="FootnoteText"/>
      </w:pPr>
      <w:r>
        <w:rPr>
          <w:rStyle w:val="FootnoteReference"/>
        </w:rPr>
        <w:footnoteRef/>
      </w:r>
      <w:r>
        <w:t xml:space="preserve"> </w:t>
      </w:r>
      <w:r w:rsidRPr="007573D2">
        <w:rPr>
          <w:rFonts w:ascii="Times New Roman" w:hAnsi="Times New Roman"/>
        </w:rPr>
        <w:t>For paragraph 44(2)(b) of the Legislation Act, section 42 of the Legislation Act (disallowance of legislative instruments) does not apply to a legislative instrument in a class of legislative instrument referred to in an item of the table contained in regulation 9 of the Legislation Regulations. Item 3 of the table contained in regulation 9 of the Legislation Regulations provides that ‘an instrument (other than a regulation) relating to superannuation’ is a class of legislative instrument not subject to disallowance.</w:t>
      </w:r>
    </w:p>
  </w:footnote>
  <w:footnote w:id="6">
    <w:p w14:paraId="73C19A0E" w14:textId="77777777" w:rsidR="00E36E4E" w:rsidRDefault="00E36E4E" w:rsidP="00E36E4E">
      <w:pPr>
        <w:pStyle w:val="FootnoteText"/>
      </w:pPr>
      <w:r>
        <w:rPr>
          <w:rStyle w:val="FootnoteReference"/>
        </w:rPr>
        <w:footnoteRef/>
      </w:r>
      <w:r>
        <w:t xml:space="preserve"> </w:t>
      </w:r>
      <w:r w:rsidRPr="007573D2">
        <w:rPr>
          <w:rFonts w:ascii="Times New Roman" w:hAnsi="Times New Roman"/>
        </w:rPr>
        <w:t>For paragraph 54(2)(b) of the Legislation Act, Part 4 of Chapter 3 of the Legislation Act (sunsetting of legislative instruments) does not apply to a legislative instrument in a class of legislative instruments referred to in an item of the table contained in regulation 11 of the Legislation Regulations. Item 6 of the table contained in regulation 11 of the Legislation Regulations provides that ‘an instrument (other than a regulation) relating to superannuation’ is a class of legislative instrument not subject to sunsetting.</w:t>
      </w:r>
    </w:p>
  </w:footnote>
  <w:footnote w:id="7">
    <w:p w14:paraId="22BD6340" w14:textId="77777777" w:rsidR="00CD2A42" w:rsidRPr="00877512" w:rsidRDefault="00CD2A42" w:rsidP="00CD2A42">
      <w:pPr>
        <w:pStyle w:val="FootnoteText"/>
        <w:rPr>
          <w:rFonts w:ascii="Times New Roman" w:hAnsi="Times New Roman"/>
        </w:rPr>
      </w:pPr>
      <w:r>
        <w:rPr>
          <w:rStyle w:val="FootnoteReference"/>
        </w:rPr>
        <w:footnoteRef/>
      </w:r>
      <w:r>
        <w:t xml:space="preserve"> </w:t>
      </w:r>
      <w:hyperlink r:id="rId2" w:history="1">
        <w:r w:rsidRPr="00877512">
          <w:rPr>
            <w:rStyle w:val="Hyperlink"/>
            <w:rFonts w:ascii="Times New Roman" w:hAnsi="Times New Roman"/>
          </w:rPr>
          <w:t>Audit consequential amendments – superannuation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047D"/>
    <w:multiLevelType w:val="hybridMultilevel"/>
    <w:tmpl w:val="864227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4E674A5"/>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202DAC"/>
    <w:multiLevelType w:val="hybridMultilevel"/>
    <w:tmpl w:val="A94C6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663F22"/>
    <w:multiLevelType w:val="hybridMultilevel"/>
    <w:tmpl w:val="4D228B90"/>
    <w:lvl w:ilvl="0" w:tplc="0C09000F">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B36BA0"/>
    <w:multiLevelType w:val="hybridMultilevel"/>
    <w:tmpl w:val="3558F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DA3D61"/>
    <w:multiLevelType w:val="hybridMultilevel"/>
    <w:tmpl w:val="DD7685AA"/>
    <w:lvl w:ilvl="0" w:tplc="5FF0F4E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DF6494"/>
    <w:multiLevelType w:val="multilevel"/>
    <w:tmpl w:val="A316FE50"/>
    <w:numStyleLink w:val="ChapterList"/>
  </w:abstractNum>
  <w:abstractNum w:abstractNumId="11"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7E2941FC"/>
    <w:multiLevelType w:val="hybridMultilevel"/>
    <w:tmpl w:val="D834D8FE"/>
    <w:lvl w:ilvl="0" w:tplc="65A609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6944367">
    <w:abstractNumId w:val="6"/>
  </w:num>
  <w:num w:numId="2" w16cid:durableId="1816683611">
    <w:abstractNumId w:val="1"/>
  </w:num>
  <w:num w:numId="3" w16cid:durableId="1302270365">
    <w:abstractNumId w:val="9"/>
  </w:num>
  <w:num w:numId="4" w16cid:durableId="266273101">
    <w:abstractNumId w:val="4"/>
  </w:num>
  <w:num w:numId="5" w16cid:durableId="1976370700">
    <w:abstractNumId w:val="3"/>
  </w:num>
  <w:num w:numId="6" w16cid:durableId="491726947">
    <w:abstractNumId w:val="12"/>
  </w:num>
  <w:num w:numId="7" w16cid:durableId="1369447352">
    <w:abstractNumId w:val="2"/>
  </w:num>
  <w:num w:numId="8" w16cid:durableId="1189638883">
    <w:abstractNumId w:val="8"/>
  </w:num>
  <w:num w:numId="9" w16cid:durableId="1426538941">
    <w:abstractNumId w:val="5"/>
  </w:num>
  <w:num w:numId="10" w16cid:durableId="1865286768">
    <w:abstractNumId w:val="10"/>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294875508">
    <w:abstractNumId w:val="0"/>
  </w:num>
  <w:num w:numId="12" w16cid:durableId="1761372901">
    <w:abstractNumId w:val="11"/>
  </w:num>
  <w:num w:numId="13" w16cid:durableId="10950574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DA"/>
    <w:rsid w:val="00001A45"/>
    <w:rsid w:val="00003730"/>
    <w:rsid w:val="00006E6F"/>
    <w:rsid w:val="00014256"/>
    <w:rsid w:val="00020878"/>
    <w:rsid w:val="000231FC"/>
    <w:rsid w:val="000241A5"/>
    <w:rsid w:val="00026B0B"/>
    <w:rsid w:val="00032353"/>
    <w:rsid w:val="000401FC"/>
    <w:rsid w:val="00041C06"/>
    <w:rsid w:val="00042AA2"/>
    <w:rsid w:val="000437E2"/>
    <w:rsid w:val="00044746"/>
    <w:rsid w:val="00045298"/>
    <w:rsid w:val="00053138"/>
    <w:rsid w:val="00055E65"/>
    <w:rsid w:val="00056483"/>
    <w:rsid w:val="00061A00"/>
    <w:rsid w:val="0006287A"/>
    <w:rsid w:val="00063555"/>
    <w:rsid w:val="00064557"/>
    <w:rsid w:val="000726C8"/>
    <w:rsid w:val="000726D4"/>
    <w:rsid w:val="00073573"/>
    <w:rsid w:val="000778EF"/>
    <w:rsid w:val="00083221"/>
    <w:rsid w:val="00090F53"/>
    <w:rsid w:val="00092D13"/>
    <w:rsid w:val="000A2D77"/>
    <w:rsid w:val="000A5621"/>
    <w:rsid w:val="000B0A35"/>
    <w:rsid w:val="000B0B4E"/>
    <w:rsid w:val="000B346D"/>
    <w:rsid w:val="000B4183"/>
    <w:rsid w:val="000B621C"/>
    <w:rsid w:val="000B78DD"/>
    <w:rsid w:val="000D0A60"/>
    <w:rsid w:val="000D4578"/>
    <w:rsid w:val="000D7090"/>
    <w:rsid w:val="000E26C1"/>
    <w:rsid w:val="000E369C"/>
    <w:rsid w:val="000E3A3E"/>
    <w:rsid w:val="000E7762"/>
    <w:rsid w:val="000F1A09"/>
    <w:rsid w:val="000F4319"/>
    <w:rsid w:val="000F728E"/>
    <w:rsid w:val="0010085B"/>
    <w:rsid w:val="00100C62"/>
    <w:rsid w:val="00114AA7"/>
    <w:rsid w:val="001179F9"/>
    <w:rsid w:val="00123B0B"/>
    <w:rsid w:val="00127F3C"/>
    <w:rsid w:val="001308E5"/>
    <w:rsid w:val="00133E2F"/>
    <w:rsid w:val="00135B49"/>
    <w:rsid w:val="001434C3"/>
    <w:rsid w:val="00144415"/>
    <w:rsid w:val="001463DE"/>
    <w:rsid w:val="00150E30"/>
    <w:rsid w:val="001516F6"/>
    <w:rsid w:val="00171820"/>
    <w:rsid w:val="00175726"/>
    <w:rsid w:val="00182FA1"/>
    <w:rsid w:val="00193AAA"/>
    <w:rsid w:val="00195A8E"/>
    <w:rsid w:val="00196477"/>
    <w:rsid w:val="001A01D0"/>
    <w:rsid w:val="001A0E44"/>
    <w:rsid w:val="001A1FF0"/>
    <w:rsid w:val="001A4D8D"/>
    <w:rsid w:val="001A5405"/>
    <w:rsid w:val="001A57FA"/>
    <w:rsid w:val="001B49EB"/>
    <w:rsid w:val="001C163F"/>
    <w:rsid w:val="001C1D36"/>
    <w:rsid w:val="001C1FD2"/>
    <w:rsid w:val="001C36F6"/>
    <w:rsid w:val="001C3B02"/>
    <w:rsid w:val="001C4D78"/>
    <w:rsid w:val="001C561D"/>
    <w:rsid w:val="001C5F71"/>
    <w:rsid w:val="001D0A56"/>
    <w:rsid w:val="001D29FA"/>
    <w:rsid w:val="001E0DC7"/>
    <w:rsid w:val="001E641A"/>
    <w:rsid w:val="001F1C8E"/>
    <w:rsid w:val="001F41A0"/>
    <w:rsid w:val="001F4A91"/>
    <w:rsid w:val="001F6812"/>
    <w:rsid w:val="00203823"/>
    <w:rsid w:val="0021310D"/>
    <w:rsid w:val="00214BA7"/>
    <w:rsid w:val="00214BC2"/>
    <w:rsid w:val="00215693"/>
    <w:rsid w:val="002208CA"/>
    <w:rsid w:val="00222F21"/>
    <w:rsid w:val="00226412"/>
    <w:rsid w:val="002273F3"/>
    <w:rsid w:val="00227B71"/>
    <w:rsid w:val="00235C94"/>
    <w:rsid w:val="002436BD"/>
    <w:rsid w:val="00246723"/>
    <w:rsid w:val="00254584"/>
    <w:rsid w:val="00260CC6"/>
    <w:rsid w:val="00267116"/>
    <w:rsid w:val="002673C1"/>
    <w:rsid w:val="002710C1"/>
    <w:rsid w:val="00273A82"/>
    <w:rsid w:val="00280EE2"/>
    <w:rsid w:val="0028409D"/>
    <w:rsid w:val="002869B8"/>
    <w:rsid w:val="00286EAB"/>
    <w:rsid w:val="0029735F"/>
    <w:rsid w:val="002A5D54"/>
    <w:rsid w:val="002A73BD"/>
    <w:rsid w:val="002B0FAA"/>
    <w:rsid w:val="002B6E0E"/>
    <w:rsid w:val="002B7ADE"/>
    <w:rsid w:val="002C1619"/>
    <w:rsid w:val="002C2CC7"/>
    <w:rsid w:val="002C4976"/>
    <w:rsid w:val="002C51C4"/>
    <w:rsid w:val="002C718D"/>
    <w:rsid w:val="002D155D"/>
    <w:rsid w:val="002D5753"/>
    <w:rsid w:val="002E1D5A"/>
    <w:rsid w:val="002E55D5"/>
    <w:rsid w:val="002F4D8A"/>
    <w:rsid w:val="0030506B"/>
    <w:rsid w:val="00305826"/>
    <w:rsid w:val="00307C97"/>
    <w:rsid w:val="00310CF8"/>
    <w:rsid w:val="00310E5D"/>
    <w:rsid w:val="003133F9"/>
    <w:rsid w:val="00315796"/>
    <w:rsid w:val="00320C8D"/>
    <w:rsid w:val="00322C01"/>
    <w:rsid w:val="00330926"/>
    <w:rsid w:val="00331AEC"/>
    <w:rsid w:val="0033573E"/>
    <w:rsid w:val="00335AC7"/>
    <w:rsid w:val="00343B27"/>
    <w:rsid w:val="003446C9"/>
    <w:rsid w:val="0034479C"/>
    <w:rsid w:val="0035049F"/>
    <w:rsid w:val="00354CB8"/>
    <w:rsid w:val="0036129B"/>
    <w:rsid w:val="00363EDA"/>
    <w:rsid w:val="00364E2C"/>
    <w:rsid w:val="00367103"/>
    <w:rsid w:val="00373992"/>
    <w:rsid w:val="003866AD"/>
    <w:rsid w:val="003876D3"/>
    <w:rsid w:val="00387E6D"/>
    <w:rsid w:val="00392D25"/>
    <w:rsid w:val="003A1EEE"/>
    <w:rsid w:val="003A48B6"/>
    <w:rsid w:val="003A52A5"/>
    <w:rsid w:val="003A59E4"/>
    <w:rsid w:val="003B19EF"/>
    <w:rsid w:val="003B403F"/>
    <w:rsid w:val="003B7862"/>
    <w:rsid w:val="003C3B0E"/>
    <w:rsid w:val="003C54EA"/>
    <w:rsid w:val="003D0216"/>
    <w:rsid w:val="003D056D"/>
    <w:rsid w:val="003D5032"/>
    <w:rsid w:val="003D6DF3"/>
    <w:rsid w:val="003E061E"/>
    <w:rsid w:val="003E0E4D"/>
    <w:rsid w:val="003E365C"/>
    <w:rsid w:val="003E5334"/>
    <w:rsid w:val="003E5693"/>
    <w:rsid w:val="003F0F3A"/>
    <w:rsid w:val="003F6283"/>
    <w:rsid w:val="0040175E"/>
    <w:rsid w:val="00402444"/>
    <w:rsid w:val="004043F4"/>
    <w:rsid w:val="00404F16"/>
    <w:rsid w:val="00422164"/>
    <w:rsid w:val="00425230"/>
    <w:rsid w:val="00432B9C"/>
    <w:rsid w:val="00432CC8"/>
    <w:rsid w:val="00436FA1"/>
    <w:rsid w:val="0043715C"/>
    <w:rsid w:val="00443493"/>
    <w:rsid w:val="00443A02"/>
    <w:rsid w:val="00443B39"/>
    <w:rsid w:val="00450984"/>
    <w:rsid w:val="004530BF"/>
    <w:rsid w:val="004530C4"/>
    <w:rsid w:val="00453C52"/>
    <w:rsid w:val="004545A0"/>
    <w:rsid w:val="004650F6"/>
    <w:rsid w:val="0046658E"/>
    <w:rsid w:val="00472CAA"/>
    <w:rsid w:val="0047638E"/>
    <w:rsid w:val="004772EE"/>
    <w:rsid w:val="0048137E"/>
    <w:rsid w:val="0048197A"/>
    <w:rsid w:val="004839EB"/>
    <w:rsid w:val="0048554E"/>
    <w:rsid w:val="00493C61"/>
    <w:rsid w:val="0049467A"/>
    <w:rsid w:val="00495240"/>
    <w:rsid w:val="004957BC"/>
    <w:rsid w:val="0049617A"/>
    <w:rsid w:val="004961EE"/>
    <w:rsid w:val="00496465"/>
    <w:rsid w:val="004A1CB6"/>
    <w:rsid w:val="004A3089"/>
    <w:rsid w:val="004A3208"/>
    <w:rsid w:val="004A4B0A"/>
    <w:rsid w:val="004A755E"/>
    <w:rsid w:val="004B1CFD"/>
    <w:rsid w:val="004B4A01"/>
    <w:rsid w:val="004B5DCA"/>
    <w:rsid w:val="004B76B9"/>
    <w:rsid w:val="004B7C9D"/>
    <w:rsid w:val="004C0350"/>
    <w:rsid w:val="004C3D07"/>
    <w:rsid w:val="004C605D"/>
    <w:rsid w:val="004C6D64"/>
    <w:rsid w:val="004D1A37"/>
    <w:rsid w:val="004D20A1"/>
    <w:rsid w:val="004E11ED"/>
    <w:rsid w:val="004E1DDD"/>
    <w:rsid w:val="004E2008"/>
    <w:rsid w:val="004E3BE9"/>
    <w:rsid w:val="004F05FE"/>
    <w:rsid w:val="004F5F3E"/>
    <w:rsid w:val="004F7845"/>
    <w:rsid w:val="004F7CCC"/>
    <w:rsid w:val="00505EF4"/>
    <w:rsid w:val="005100EB"/>
    <w:rsid w:val="00514938"/>
    <w:rsid w:val="00516A0A"/>
    <w:rsid w:val="00521AF7"/>
    <w:rsid w:val="00541A1C"/>
    <w:rsid w:val="0054331B"/>
    <w:rsid w:val="005436A8"/>
    <w:rsid w:val="00547AA2"/>
    <w:rsid w:val="0056141D"/>
    <w:rsid w:val="00562030"/>
    <w:rsid w:val="00564008"/>
    <w:rsid w:val="00575DE2"/>
    <w:rsid w:val="0057665F"/>
    <w:rsid w:val="005844DE"/>
    <w:rsid w:val="00590977"/>
    <w:rsid w:val="00591E92"/>
    <w:rsid w:val="00593E21"/>
    <w:rsid w:val="005A0E92"/>
    <w:rsid w:val="005A1093"/>
    <w:rsid w:val="005A40D6"/>
    <w:rsid w:val="005B0CCE"/>
    <w:rsid w:val="005B66C7"/>
    <w:rsid w:val="005C5902"/>
    <w:rsid w:val="005C6E15"/>
    <w:rsid w:val="005D17A3"/>
    <w:rsid w:val="005D4B5E"/>
    <w:rsid w:val="005E10E8"/>
    <w:rsid w:val="005E1F9C"/>
    <w:rsid w:val="005E320B"/>
    <w:rsid w:val="005E40F9"/>
    <w:rsid w:val="005E55C7"/>
    <w:rsid w:val="005E5910"/>
    <w:rsid w:val="005E617F"/>
    <w:rsid w:val="005E73A1"/>
    <w:rsid w:val="005F2AF5"/>
    <w:rsid w:val="005F366B"/>
    <w:rsid w:val="005F42D4"/>
    <w:rsid w:val="005F5828"/>
    <w:rsid w:val="005F76B8"/>
    <w:rsid w:val="005F7ACC"/>
    <w:rsid w:val="00600AC3"/>
    <w:rsid w:val="006021D8"/>
    <w:rsid w:val="00606B8B"/>
    <w:rsid w:val="0060749F"/>
    <w:rsid w:val="006140ED"/>
    <w:rsid w:val="00616986"/>
    <w:rsid w:val="00622480"/>
    <w:rsid w:val="00623F6C"/>
    <w:rsid w:val="006325B5"/>
    <w:rsid w:val="0063634B"/>
    <w:rsid w:val="0063635D"/>
    <w:rsid w:val="00643003"/>
    <w:rsid w:val="006435AE"/>
    <w:rsid w:val="00643F6E"/>
    <w:rsid w:val="00644040"/>
    <w:rsid w:val="00646F1B"/>
    <w:rsid w:val="00647D58"/>
    <w:rsid w:val="00651F04"/>
    <w:rsid w:val="006525A9"/>
    <w:rsid w:val="00657383"/>
    <w:rsid w:val="00657678"/>
    <w:rsid w:val="0066069E"/>
    <w:rsid w:val="00664C90"/>
    <w:rsid w:val="00671D7D"/>
    <w:rsid w:val="00673DC0"/>
    <w:rsid w:val="00681F4E"/>
    <w:rsid w:val="00682865"/>
    <w:rsid w:val="006848B9"/>
    <w:rsid w:val="00684F73"/>
    <w:rsid w:val="00695A97"/>
    <w:rsid w:val="006A0032"/>
    <w:rsid w:val="006A1EC2"/>
    <w:rsid w:val="006A46F0"/>
    <w:rsid w:val="006A5341"/>
    <w:rsid w:val="006A5E97"/>
    <w:rsid w:val="006A652C"/>
    <w:rsid w:val="006B093F"/>
    <w:rsid w:val="006C529A"/>
    <w:rsid w:val="006C7A51"/>
    <w:rsid w:val="006D16C0"/>
    <w:rsid w:val="006D7256"/>
    <w:rsid w:val="006D7A55"/>
    <w:rsid w:val="006F069E"/>
    <w:rsid w:val="006F1ED2"/>
    <w:rsid w:val="006F312D"/>
    <w:rsid w:val="006F4815"/>
    <w:rsid w:val="007031F4"/>
    <w:rsid w:val="007049CF"/>
    <w:rsid w:val="00712E1A"/>
    <w:rsid w:val="0071451F"/>
    <w:rsid w:val="00715F2F"/>
    <w:rsid w:val="007162C6"/>
    <w:rsid w:val="007212DB"/>
    <w:rsid w:val="00731F44"/>
    <w:rsid w:val="007368AD"/>
    <w:rsid w:val="007428D4"/>
    <w:rsid w:val="007471D1"/>
    <w:rsid w:val="007475A7"/>
    <w:rsid w:val="00747AFF"/>
    <w:rsid w:val="007515B2"/>
    <w:rsid w:val="00760E61"/>
    <w:rsid w:val="00761B22"/>
    <w:rsid w:val="00763A0B"/>
    <w:rsid w:val="0076674A"/>
    <w:rsid w:val="007678C9"/>
    <w:rsid w:val="00772227"/>
    <w:rsid w:val="007722A9"/>
    <w:rsid w:val="00783556"/>
    <w:rsid w:val="00785CDC"/>
    <w:rsid w:val="007868F2"/>
    <w:rsid w:val="00786B55"/>
    <w:rsid w:val="007878C4"/>
    <w:rsid w:val="00796A67"/>
    <w:rsid w:val="007B2E2C"/>
    <w:rsid w:val="007B4F64"/>
    <w:rsid w:val="007B5912"/>
    <w:rsid w:val="007B60CE"/>
    <w:rsid w:val="007C0641"/>
    <w:rsid w:val="007C0708"/>
    <w:rsid w:val="007C2298"/>
    <w:rsid w:val="007C376E"/>
    <w:rsid w:val="007D29A7"/>
    <w:rsid w:val="007D2ACC"/>
    <w:rsid w:val="007E26CD"/>
    <w:rsid w:val="007E3FFE"/>
    <w:rsid w:val="007E4B2A"/>
    <w:rsid w:val="007E5117"/>
    <w:rsid w:val="007F2183"/>
    <w:rsid w:val="007F3F4A"/>
    <w:rsid w:val="007F4E3E"/>
    <w:rsid w:val="007F68E8"/>
    <w:rsid w:val="00800F2C"/>
    <w:rsid w:val="00801CE6"/>
    <w:rsid w:val="00804790"/>
    <w:rsid w:val="00806FAA"/>
    <w:rsid w:val="008152C6"/>
    <w:rsid w:val="00816E28"/>
    <w:rsid w:val="00822548"/>
    <w:rsid w:val="00823A30"/>
    <w:rsid w:val="00823AE3"/>
    <w:rsid w:val="00830876"/>
    <w:rsid w:val="00830AE0"/>
    <w:rsid w:val="00830F66"/>
    <w:rsid w:val="0083685F"/>
    <w:rsid w:val="00841CAA"/>
    <w:rsid w:val="00853D94"/>
    <w:rsid w:val="00854BC1"/>
    <w:rsid w:val="00855ACF"/>
    <w:rsid w:val="0086121B"/>
    <w:rsid w:val="008621F2"/>
    <w:rsid w:val="00862C11"/>
    <w:rsid w:val="00866965"/>
    <w:rsid w:val="00870B6D"/>
    <w:rsid w:val="00871C18"/>
    <w:rsid w:val="0088328A"/>
    <w:rsid w:val="008833ED"/>
    <w:rsid w:val="008908CC"/>
    <w:rsid w:val="00893531"/>
    <w:rsid w:val="0089666A"/>
    <w:rsid w:val="00896E5D"/>
    <w:rsid w:val="008A317B"/>
    <w:rsid w:val="008A382B"/>
    <w:rsid w:val="008C0876"/>
    <w:rsid w:val="008C14FB"/>
    <w:rsid w:val="008C3186"/>
    <w:rsid w:val="008D61FC"/>
    <w:rsid w:val="008E341A"/>
    <w:rsid w:val="008E50A2"/>
    <w:rsid w:val="008E5D4C"/>
    <w:rsid w:val="008F19F5"/>
    <w:rsid w:val="008F79E1"/>
    <w:rsid w:val="00903A5D"/>
    <w:rsid w:val="009123DA"/>
    <w:rsid w:val="0091667E"/>
    <w:rsid w:val="009167E8"/>
    <w:rsid w:val="0091715F"/>
    <w:rsid w:val="009213D9"/>
    <w:rsid w:val="0092488D"/>
    <w:rsid w:val="0093047E"/>
    <w:rsid w:val="00932EFA"/>
    <w:rsid w:val="009363DA"/>
    <w:rsid w:val="00936AD8"/>
    <w:rsid w:val="00961A85"/>
    <w:rsid w:val="00961CF7"/>
    <w:rsid w:val="00967D16"/>
    <w:rsid w:val="00975168"/>
    <w:rsid w:val="009764F7"/>
    <w:rsid w:val="00981A00"/>
    <w:rsid w:val="00983F01"/>
    <w:rsid w:val="00984D9C"/>
    <w:rsid w:val="0098607F"/>
    <w:rsid w:val="009917F3"/>
    <w:rsid w:val="00992B4E"/>
    <w:rsid w:val="0099775D"/>
    <w:rsid w:val="009A2443"/>
    <w:rsid w:val="009A35D8"/>
    <w:rsid w:val="009A4217"/>
    <w:rsid w:val="009A4631"/>
    <w:rsid w:val="009A5D43"/>
    <w:rsid w:val="009B5D97"/>
    <w:rsid w:val="009C5368"/>
    <w:rsid w:val="009C6365"/>
    <w:rsid w:val="009D0EC9"/>
    <w:rsid w:val="009D23FA"/>
    <w:rsid w:val="009D6DF9"/>
    <w:rsid w:val="009E2510"/>
    <w:rsid w:val="009E316E"/>
    <w:rsid w:val="009E39C4"/>
    <w:rsid w:val="009F39A5"/>
    <w:rsid w:val="009F7ED8"/>
    <w:rsid w:val="00A00E17"/>
    <w:rsid w:val="00A0215D"/>
    <w:rsid w:val="00A03997"/>
    <w:rsid w:val="00A03FB7"/>
    <w:rsid w:val="00A0629C"/>
    <w:rsid w:val="00A10A66"/>
    <w:rsid w:val="00A13C32"/>
    <w:rsid w:val="00A145B7"/>
    <w:rsid w:val="00A15471"/>
    <w:rsid w:val="00A2231D"/>
    <w:rsid w:val="00A279AF"/>
    <w:rsid w:val="00A30699"/>
    <w:rsid w:val="00A4133B"/>
    <w:rsid w:val="00A42D92"/>
    <w:rsid w:val="00A4638A"/>
    <w:rsid w:val="00A47273"/>
    <w:rsid w:val="00A4795C"/>
    <w:rsid w:val="00A50A27"/>
    <w:rsid w:val="00A51A4C"/>
    <w:rsid w:val="00A55E49"/>
    <w:rsid w:val="00A63A2B"/>
    <w:rsid w:val="00A63F91"/>
    <w:rsid w:val="00A80381"/>
    <w:rsid w:val="00A8491A"/>
    <w:rsid w:val="00A9161A"/>
    <w:rsid w:val="00A92CC2"/>
    <w:rsid w:val="00A92CE1"/>
    <w:rsid w:val="00A936B7"/>
    <w:rsid w:val="00A97254"/>
    <w:rsid w:val="00AA3384"/>
    <w:rsid w:val="00AA46A2"/>
    <w:rsid w:val="00AA4D80"/>
    <w:rsid w:val="00AC0C89"/>
    <w:rsid w:val="00AC1FF2"/>
    <w:rsid w:val="00AC2517"/>
    <w:rsid w:val="00AC7A56"/>
    <w:rsid w:val="00AD2CB9"/>
    <w:rsid w:val="00AD418F"/>
    <w:rsid w:val="00AD5DC5"/>
    <w:rsid w:val="00AE0B0C"/>
    <w:rsid w:val="00AE55B4"/>
    <w:rsid w:val="00AE5A6D"/>
    <w:rsid w:val="00AE6942"/>
    <w:rsid w:val="00AF0334"/>
    <w:rsid w:val="00AF30A7"/>
    <w:rsid w:val="00AF6C07"/>
    <w:rsid w:val="00B01B80"/>
    <w:rsid w:val="00B0359A"/>
    <w:rsid w:val="00B04B1A"/>
    <w:rsid w:val="00B04B20"/>
    <w:rsid w:val="00B10FDD"/>
    <w:rsid w:val="00B12E24"/>
    <w:rsid w:val="00B12FB3"/>
    <w:rsid w:val="00B1712A"/>
    <w:rsid w:val="00B20C41"/>
    <w:rsid w:val="00B20F01"/>
    <w:rsid w:val="00B4063B"/>
    <w:rsid w:val="00B40C5F"/>
    <w:rsid w:val="00B43486"/>
    <w:rsid w:val="00B44B19"/>
    <w:rsid w:val="00B5052B"/>
    <w:rsid w:val="00B50E31"/>
    <w:rsid w:val="00B5134D"/>
    <w:rsid w:val="00B525D4"/>
    <w:rsid w:val="00B61FCE"/>
    <w:rsid w:val="00B635F6"/>
    <w:rsid w:val="00B64B2E"/>
    <w:rsid w:val="00B666F3"/>
    <w:rsid w:val="00B70091"/>
    <w:rsid w:val="00B743AD"/>
    <w:rsid w:val="00B74855"/>
    <w:rsid w:val="00B85B6E"/>
    <w:rsid w:val="00B905C0"/>
    <w:rsid w:val="00B922DD"/>
    <w:rsid w:val="00BA250D"/>
    <w:rsid w:val="00BB1678"/>
    <w:rsid w:val="00BB2188"/>
    <w:rsid w:val="00BB6699"/>
    <w:rsid w:val="00BC1F86"/>
    <w:rsid w:val="00BC3430"/>
    <w:rsid w:val="00BC433A"/>
    <w:rsid w:val="00BC60CF"/>
    <w:rsid w:val="00BD3D37"/>
    <w:rsid w:val="00BE36B6"/>
    <w:rsid w:val="00BE3D52"/>
    <w:rsid w:val="00BE4A27"/>
    <w:rsid w:val="00BF2953"/>
    <w:rsid w:val="00BF47DE"/>
    <w:rsid w:val="00C02A86"/>
    <w:rsid w:val="00C03FF5"/>
    <w:rsid w:val="00C106FA"/>
    <w:rsid w:val="00C2279E"/>
    <w:rsid w:val="00C25E27"/>
    <w:rsid w:val="00C26C48"/>
    <w:rsid w:val="00C302FA"/>
    <w:rsid w:val="00C3033C"/>
    <w:rsid w:val="00C305E2"/>
    <w:rsid w:val="00C32D7B"/>
    <w:rsid w:val="00C337E2"/>
    <w:rsid w:val="00C37037"/>
    <w:rsid w:val="00C4275C"/>
    <w:rsid w:val="00C441EA"/>
    <w:rsid w:val="00C44569"/>
    <w:rsid w:val="00C50547"/>
    <w:rsid w:val="00C624F5"/>
    <w:rsid w:val="00C63175"/>
    <w:rsid w:val="00C653CC"/>
    <w:rsid w:val="00C66E22"/>
    <w:rsid w:val="00C726AE"/>
    <w:rsid w:val="00C76355"/>
    <w:rsid w:val="00C7699A"/>
    <w:rsid w:val="00C77DD0"/>
    <w:rsid w:val="00C815C8"/>
    <w:rsid w:val="00C82BBC"/>
    <w:rsid w:val="00C86F61"/>
    <w:rsid w:val="00C90242"/>
    <w:rsid w:val="00C948AA"/>
    <w:rsid w:val="00C9775D"/>
    <w:rsid w:val="00CA39FA"/>
    <w:rsid w:val="00CA6CB3"/>
    <w:rsid w:val="00CB13F8"/>
    <w:rsid w:val="00CB3713"/>
    <w:rsid w:val="00CB384A"/>
    <w:rsid w:val="00CC045B"/>
    <w:rsid w:val="00CC2A91"/>
    <w:rsid w:val="00CC6FA8"/>
    <w:rsid w:val="00CD1947"/>
    <w:rsid w:val="00CD2A42"/>
    <w:rsid w:val="00CD393D"/>
    <w:rsid w:val="00CD417F"/>
    <w:rsid w:val="00CE301F"/>
    <w:rsid w:val="00CE3EF2"/>
    <w:rsid w:val="00CF79C8"/>
    <w:rsid w:val="00D03183"/>
    <w:rsid w:val="00D040CC"/>
    <w:rsid w:val="00D04371"/>
    <w:rsid w:val="00D064DE"/>
    <w:rsid w:val="00D119F5"/>
    <w:rsid w:val="00D12FD0"/>
    <w:rsid w:val="00D20F4E"/>
    <w:rsid w:val="00D214A1"/>
    <w:rsid w:val="00D2408A"/>
    <w:rsid w:val="00D268BF"/>
    <w:rsid w:val="00D34442"/>
    <w:rsid w:val="00D3484E"/>
    <w:rsid w:val="00D36B67"/>
    <w:rsid w:val="00D3776F"/>
    <w:rsid w:val="00D37C21"/>
    <w:rsid w:val="00D41CA8"/>
    <w:rsid w:val="00D42734"/>
    <w:rsid w:val="00D42FD4"/>
    <w:rsid w:val="00D4726D"/>
    <w:rsid w:val="00D51618"/>
    <w:rsid w:val="00D51B65"/>
    <w:rsid w:val="00D53B59"/>
    <w:rsid w:val="00D53F4F"/>
    <w:rsid w:val="00D64906"/>
    <w:rsid w:val="00D64B9B"/>
    <w:rsid w:val="00D659B2"/>
    <w:rsid w:val="00D66C0C"/>
    <w:rsid w:val="00D70498"/>
    <w:rsid w:val="00D73D07"/>
    <w:rsid w:val="00D74372"/>
    <w:rsid w:val="00D817DA"/>
    <w:rsid w:val="00D83531"/>
    <w:rsid w:val="00D8771E"/>
    <w:rsid w:val="00D87E36"/>
    <w:rsid w:val="00D91AED"/>
    <w:rsid w:val="00D93F85"/>
    <w:rsid w:val="00DA3194"/>
    <w:rsid w:val="00DA6E7A"/>
    <w:rsid w:val="00DA722E"/>
    <w:rsid w:val="00DB1AB6"/>
    <w:rsid w:val="00DB1B60"/>
    <w:rsid w:val="00DB3182"/>
    <w:rsid w:val="00DC37E3"/>
    <w:rsid w:val="00DD4583"/>
    <w:rsid w:val="00DE0B41"/>
    <w:rsid w:val="00DE25B8"/>
    <w:rsid w:val="00DE5F8C"/>
    <w:rsid w:val="00DE6310"/>
    <w:rsid w:val="00DE64C2"/>
    <w:rsid w:val="00DF131A"/>
    <w:rsid w:val="00DF524E"/>
    <w:rsid w:val="00DF5A39"/>
    <w:rsid w:val="00DF76EE"/>
    <w:rsid w:val="00E006E2"/>
    <w:rsid w:val="00E00D94"/>
    <w:rsid w:val="00E010FA"/>
    <w:rsid w:val="00E019B6"/>
    <w:rsid w:val="00E11ACB"/>
    <w:rsid w:val="00E14FE4"/>
    <w:rsid w:val="00E15497"/>
    <w:rsid w:val="00E154A3"/>
    <w:rsid w:val="00E16789"/>
    <w:rsid w:val="00E16F34"/>
    <w:rsid w:val="00E201A8"/>
    <w:rsid w:val="00E2127E"/>
    <w:rsid w:val="00E22F1D"/>
    <w:rsid w:val="00E30DB9"/>
    <w:rsid w:val="00E324B3"/>
    <w:rsid w:val="00E36E4E"/>
    <w:rsid w:val="00E4381C"/>
    <w:rsid w:val="00E45AC0"/>
    <w:rsid w:val="00E52DFE"/>
    <w:rsid w:val="00E54269"/>
    <w:rsid w:val="00E57F61"/>
    <w:rsid w:val="00E61B19"/>
    <w:rsid w:val="00E62153"/>
    <w:rsid w:val="00E70280"/>
    <w:rsid w:val="00E720C8"/>
    <w:rsid w:val="00E72848"/>
    <w:rsid w:val="00E7725A"/>
    <w:rsid w:val="00E82BE6"/>
    <w:rsid w:val="00E90C89"/>
    <w:rsid w:val="00E936D5"/>
    <w:rsid w:val="00E97313"/>
    <w:rsid w:val="00EA0020"/>
    <w:rsid w:val="00EA09EA"/>
    <w:rsid w:val="00EA0B50"/>
    <w:rsid w:val="00EA1710"/>
    <w:rsid w:val="00EA1B6C"/>
    <w:rsid w:val="00EA30D4"/>
    <w:rsid w:val="00EA36A5"/>
    <w:rsid w:val="00EB0DB3"/>
    <w:rsid w:val="00EB22CC"/>
    <w:rsid w:val="00EC5653"/>
    <w:rsid w:val="00EC6CA3"/>
    <w:rsid w:val="00EC6F57"/>
    <w:rsid w:val="00EC77F0"/>
    <w:rsid w:val="00ED14A7"/>
    <w:rsid w:val="00ED65FB"/>
    <w:rsid w:val="00EF268B"/>
    <w:rsid w:val="00EF2A8B"/>
    <w:rsid w:val="00EF73A1"/>
    <w:rsid w:val="00F03F6C"/>
    <w:rsid w:val="00F05037"/>
    <w:rsid w:val="00F12C27"/>
    <w:rsid w:val="00F178D6"/>
    <w:rsid w:val="00F24E01"/>
    <w:rsid w:val="00F26939"/>
    <w:rsid w:val="00F31C42"/>
    <w:rsid w:val="00F35C3E"/>
    <w:rsid w:val="00F436BC"/>
    <w:rsid w:val="00F4772F"/>
    <w:rsid w:val="00F50759"/>
    <w:rsid w:val="00F64430"/>
    <w:rsid w:val="00F7068E"/>
    <w:rsid w:val="00F742B7"/>
    <w:rsid w:val="00F7706D"/>
    <w:rsid w:val="00F84B65"/>
    <w:rsid w:val="00F86A36"/>
    <w:rsid w:val="00F86ECA"/>
    <w:rsid w:val="00F9777C"/>
    <w:rsid w:val="00FA3091"/>
    <w:rsid w:val="00FA4A6E"/>
    <w:rsid w:val="00FA5345"/>
    <w:rsid w:val="00FC556C"/>
    <w:rsid w:val="00FD5161"/>
    <w:rsid w:val="00FD71EA"/>
    <w:rsid w:val="00FD7234"/>
    <w:rsid w:val="00FE36AE"/>
    <w:rsid w:val="00FE4F73"/>
    <w:rsid w:val="00FE5773"/>
    <w:rsid w:val="00FF2BDC"/>
    <w:rsid w:val="0FDA3808"/>
    <w:rsid w:val="1B15BB05"/>
    <w:rsid w:val="1BCF6DE5"/>
    <w:rsid w:val="1C930AC5"/>
    <w:rsid w:val="21EC2B4A"/>
    <w:rsid w:val="2E405026"/>
    <w:rsid w:val="35E4E79A"/>
    <w:rsid w:val="38B0DB6D"/>
    <w:rsid w:val="3D4159AD"/>
    <w:rsid w:val="3E13E070"/>
    <w:rsid w:val="3EB1393D"/>
    <w:rsid w:val="47149C11"/>
    <w:rsid w:val="4D8D0F8E"/>
    <w:rsid w:val="4E723307"/>
    <w:rsid w:val="596737EB"/>
    <w:rsid w:val="5A4F3873"/>
    <w:rsid w:val="611A5438"/>
    <w:rsid w:val="6ADF639D"/>
    <w:rsid w:val="75515248"/>
    <w:rsid w:val="7D985E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A4F96"/>
  <w15:docId w15:val="{08D9B440-CE0C-4FF5-A3E7-C6370873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0"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5B0CCE"/>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226412"/>
    <w:pPr>
      <w:tabs>
        <w:tab w:val="center" w:pos="4513"/>
        <w:tab w:val="right" w:pos="9026"/>
      </w:tabs>
    </w:pPr>
  </w:style>
  <w:style w:type="character" w:customStyle="1" w:styleId="HeaderChar">
    <w:name w:val="Header Char"/>
    <w:basedOn w:val="DefaultParagraphFont"/>
    <w:link w:val="Header"/>
    <w:uiPriority w:val="99"/>
    <w:rsid w:val="00226412"/>
    <w:rPr>
      <w:rFonts w:ascii="Trebuchet MS" w:eastAsia="Times New Roman" w:hAnsi="Trebuchet MS"/>
      <w:sz w:val="22"/>
    </w:rPr>
  </w:style>
  <w:style w:type="paragraph" w:styleId="Footer">
    <w:name w:val="footer"/>
    <w:basedOn w:val="Normal"/>
    <w:link w:val="FooterChar"/>
    <w:uiPriority w:val="99"/>
    <w:unhideWhenUsed/>
    <w:rsid w:val="00226412"/>
    <w:pPr>
      <w:tabs>
        <w:tab w:val="center" w:pos="4513"/>
        <w:tab w:val="right" w:pos="9026"/>
      </w:tabs>
    </w:pPr>
  </w:style>
  <w:style w:type="character" w:customStyle="1" w:styleId="FooterChar">
    <w:name w:val="Footer Char"/>
    <w:basedOn w:val="DefaultParagraphFont"/>
    <w:link w:val="Footer"/>
    <w:uiPriority w:val="99"/>
    <w:rsid w:val="00226412"/>
    <w:rPr>
      <w:rFonts w:ascii="Trebuchet MS" w:eastAsia="Times New Roman" w:hAnsi="Trebuchet MS"/>
      <w:sz w:val="22"/>
    </w:rPr>
  </w:style>
  <w:style w:type="paragraph" w:styleId="FootnoteText">
    <w:name w:val="footnote text"/>
    <w:aliases w:val=" Char,Char"/>
    <w:basedOn w:val="Normal"/>
    <w:link w:val="FootnoteTextChar"/>
    <w:uiPriority w:val="99"/>
    <w:unhideWhenUsed/>
    <w:rsid w:val="00681F4E"/>
    <w:rPr>
      <w:sz w:val="20"/>
    </w:rPr>
  </w:style>
  <w:style w:type="character" w:customStyle="1" w:styleId="FootnoteTextChar">
    <w:name w:val="Footnote Text Char"/>
    <w:aliases w:val=" Char Char,Char Char"/>
    <w:basedOn w:val="DefaultParagraphFont"/>
    <w:link w:val="FootnoteText"/>
    <w:uiPriority w:val="99"/>
    <w:rsid w:val="00681F4E"/>
    <w:rPr>
      <w:rFonts w:ascii="Trebuchet MS" w:eastAsia="Times New Roman" w:hAnsi="Trebuchet MS"/>
    </w:rPr>
  </w:style>
  <w:style w:type="character" w:styleId="FootnoteReference">
    <w:name w:val="footnote reference"/>
    <w:basedOn w:val="DefaultParagraphFont"/>
    <w:uiPriority w:val="99"/>
    <w:unhideWhenUsed/>
    <w:qFormat/>
    <w:rsid w:val="00681F4E"/>
    <w:rPr>
      <w:vertAlign w:val="superscript"/>
    </w:rPr>
  </w:style>
  <w:style w:type="paragraph" w:styleId="Revision">
    <w:name w:val="Revision"/>
    <w:hidden/>
    <w:uiPriority w:val="99"/>
    <w:semiHidden/>
    <w:rsid w:val="00AC0C89"/>
    <w:rPr>
      <w:rFonts w:ascii="Trebuchet MS" w:eastAsia="Times New Roman" w:hAnsi="Trebuchet MS"/>
      <w:sz w:val="22"/>
    </w:rPr>
  </w:style>
  <w:style w:type="paragraph" w:customStyle="1" w:styleId="base-text-paragraph">
    <w:name w:val="base-text-paragraph"/>
    <w:basedOn w:val="Normal"/>
    <w:link w:val="base-text-paragraphChar"/>
    <w:qFormat/>
    <w:rsid w:val="00A4638A"/>
    <w:pPr>
      <w:tabs>
        <w:tab w:val="num" w:pos="1985"/>
      </w:tabs>
      <w:spacing w:before="120" w:after="120"/>
      <w:ind w:left="1134"/>
    </w:pPr>
    <w:rPr>
      <w:rFonts w:ascii="Times New Roman" w:hAnsi="Times New Roman"/>
    </w:rPr>
  </w:style>
  <w:style w:type="character" w:customStyle="1" w:styleId="base-text-paragraphChar">
    <w:name w:val="base-text-paragraph Char"/>
    <w:basedOn w:val="DefaultParagraphFont"/>
    <w:link w:val="base-text-paragraph"/>
    <w:rsid w:val="00A4638A"/>
    <w:rPr>
      <w:rFonts w:ascii="Times New Roman" w:eastAsia="Times New Roman" w:hAnsi="Times New Roman"/>
      <w:sz w:val="22"/>
    </w:rPr>
  </w:style>
  <w:style w:type="numbering" w:customStyle="1" w:styleId="ChapterList">
    <w:name w:val="ChapterList"/>
    <w:uiPriority w:val="99"/>
    <w:rsid w:val="00A4638A"/>
    <w:pPr>
      <w:numPr>
        <w:numId w:val="9"/>
      </w:numPr>
    </w:pPr>
  </w:style>
  <w:style w:type="paragraph" w:customStyle="1" w:styleId="Diagram">
    <w:name w:val="Diagram"/>
    <w:basedOn w:val="Normal"/>
    <w:next w:val="Normal"/>
    <w:rsid w:val="00A4638A"/>
    <w:pPr>
      <w:keepNext/>
      <w:ind w:left="1134"/>
    </w:pPr>
    <w:rPr>
      <w:rFonts w:ascii="Times New Roman" w:hAnsi="Times New Roman"/>
      <w:b/>
    </w:rPr>
  </w:style>
  <w:style w:type="paragraph" w:customStyle="1" w:styleId="ExampleHeading">
    <w:name w:val="Example Heading"/>
    <w:basedOn w:val="Normal"/>
    <w:next w:val="Normal"/>
    <w:rsid w:val="00A4638A"/>
    <w:pPr>
      <w:keepNext/>
      <w:spacing w:before="120" w:after="120"/>
      <w:ind w:left="1134"/>
    </w:pPr>
    <w:rPr>
      <w:rFonts w:ascii="Times New Roman" w:hAnsi="Times New Roman"/>
      <w:b/>
    </w:rPr>
  </w:style>
  <w:style w:type="paragraph" w:customStyle="1" w:styleId="TableHeadingoutsidetable">
    <w:name w:val="Table Heading (outside table)"/>
    <w:basedOn w:val="Heading4"/>
    <w:rsid w:val="00A4638A"/>
    <w:pPr>
      <w:keepNext/>
      <w:tabs>
        <w:tab w:val="num" w:pos="360"/>
      </w:tabs>
      <w:spacing w:before="120" w:after="200"/>
      <w:ind w:left="1134"/>
    </w:pPr>
    <w:rPr>
      <w:rFonts w:ascii="Times New Roman" w:hAnsi="Times New Roman"/>
      <w:b/>
      <w:color w:val="auto"/>
      <w:sz w:val="22"/>
    </w:rPr>
  </w:style>
  <w:style w:type="character" w:styleId="Mention">
    <w:name w:val="Mention"/>
    <w:basedOn w:val="DefaultParagraphFont"/>
    <w:uiPriority w:val="99"/>
    <w:unhideWhenUsed/>
    <w:rsid w:val="00260CC6"/>
    <w:rPr>
      <w:color w:val="2B579A"/>
      <w:shd w:val="clear" w:color="auto" w:fill="E1DFDD"/>
    </w:rPr>
  </w:style>
  <w:style w:type="paragraph" w:styleId="NormalWeb">
    <w:name w:val="Normal (Web)"/>
    <w:basedOn w:val="Normal"/>
    <w:uiPriority w:val="99"/>
    <w:rsid w:val="00FF2BDC"/>
    <w:pPr>
      <w:spacing w:after="240"/>
      <w:jc w:val="both"/>
    </w:pPr>
    <w:rPr>
      <w:rFonts w:asciiTheme="minorHAnsi" w:eastAsiaTheme="minorHAnsi" w:hAnsiTheme="minorHAnsi"/>
      <w:color w:val="000000"/>
      <w:szCs w:val="22"/>
      <w:lang w:eastAsia="en-US"/>
    </w:rPr>
  </w:style>
  <w:style w:type="paragraph" w:styleId="List">
    <w:name w:val="List"/>
    <w:basedOn w:val="Normal"/>
    <w:uiPriority w:val="17"/>
    <w:qFormat/>
    <w:rsid w:val="00983F01"/>
    <w:pPr>
      <w:tabs>
        <w:tab w:val="num" w:pos="425"/>
      </w:tabs>
      <w:spacing w:after="240"/>
      <w:ind w:left="425" w:hanging="425"/>
      <w:jc w:val="both"/>
    </w:pPr>
    <w:rPr>
      <w:rFonts w:ascii="Arial" w:eastAsiaTheme="minorHAnsi" w:hAnsi="Arial" w:cstheme="minorBidi"/>
      <w:color w:val="000000"/>
      <w:szCs w:val="22"/>
      <w:lang w:eastAsia="en-US"/>
    </w:rPr>
  </w:style>
  <w:style w:type="numbering" w:styleId="1ai">
    <w:name w:val="Outline List 1"/>
    <w:basedOn w:val="NoList"/>
    <w:uiPriority w:val="99"/>
    <w:semiHidden/>
    <w:unhideWhenUsed/>
    <w:rsid w:val="00983F01"/>
    <w:pPr>
      <w:numPr>
        <w:numId w:val="12"/>
      </w:numPr>
    </w:pPr>
  </w:style>
  <w:style w:type="character" w:styleId="UnresolvedMention">
    <w:name w:val="Unresolved Mention"/>
    <w:basedOn w:val="DefaultParagraphFont"/>
    <w:uiPriority w:val="99"/>
    <w:semiHidden/>
    <w:unhideWhenUsed/>
    <w:rsid w:val="00C63175"/>
    <w:rPr>
      <w:color w:val="605E5C"/>
      <w:shd w:val="clear" w:color="auto" w:fill="E1DFDD"/>
    </w:rPr>
  </w:style>
  <w:style w:type="character" w:styleId="FollowedHyperlink">
    <w:name w:val="FollowedHyperlink"/>
    <w:basedOn w:val="DefaultParagraphFont"/>
    <w:uiPriority w:val="99"/>
    <w:semiHidden/>
    <w:unhideWhenUsed/>
    <w:rsid w:val="003D6D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6741">
      <w:bodyDiv w:val="1"/>
      <w:marLeft w:val="0"/>
      <w:marRight w:val="0"/>
      <w:marTop w:val="0"/>
      <w:marBottom w:val="0"/>
      <w:divBdr>
        <w:top w:val="none" w:sz="0" w:space="0" w:color="auto"/>
        <w:left w:val="none" w:sz="0" w:space="0" w:color="auto"/>
        <w:bottom w:val="none" w:sz="0" w:space="0" w:color="auto"/>
        <w:right w:val="none" w:sz="0" w:space="0" w:color="auto"/>
      </w:divBdr>
    </w:div>
    <w:div w:id="408961076">
      <w:bodyDiv w:val="1"/>
      <w:marLeft w:val="0"/>
      <w:marRight w:val="0"/>
      <w:marTop w:val="0"/>
      <w:marBottom w:val="0"/>
      <w:divBdr>
        <w:top w:val="none" w:sz="0" w:space="0" w:color="auto"/>
        <w:left w:val="none" w:sz="0" w:space="0" w:color="auto"/>
        <w:bottom w:val="none" w:sz="0" w:space="0" w:color="auto"/>
        <w:right w:val="none" w:sz="0" w:space="0" w:color="auto"/>
      </w:divBdr>
    </w:div>
    <w:div w:id="1436711836">
      <w:bodyDiv w:val="1"/>
      <w:marLeft w:val="0"/>
      <w:marRight w:val="0"/>
      <w:marTop w:val="0"/>
      <w:marBottom w:val="0"/>
      <w:divBdr>
        <w:top w:val="none" w:sz="0" w:space="0" w:color="auto"/>
        <w:left w:val="none" w:sz="0" w:space="0" w:color="auto"/>
        <w:bottom w:val="none" w:sz="0" w:space="0" w:color="auto"/>
        <w:right w:val="none" w:sz="0" w:space="0" w:color="auto"/>
      </w:divBdr>
      <w:divsChild>
        <w:div w:id="810055827">
          <w:marLeft w:val="0"/>
          <w:marRight w:val="0"/>
          <w:marTop w:val="0"/>
          <w:marBottom w:val="0"/>
          <w:divBdr>
            <w:top w:val="none" w:sz="0" w:space="0" w:color="auto"/>
            <w:left w:val="none" w:sz="0" w:space="0" w:color="auto"/>
            <w:bottom w:val="none" w:sz="0" w:space="0" w:color="auto"/>
            <w:right w:val="none" w:sz="0" w:space="0" w:color="auto"/>
          </w:divBdr>
          <w:divsChild>
            <w:div w:id="1649898415">
              <w:marLeft w:val="0"/>
              <w:marRight w:val="0"/>
              <w:marTop w:val="0"/>
              <w:marBottom w:val="0"/>
              <w:divBdr>
                <w:top w:val="none" w:sz="0" w:space="0" w:color="auto"/>
                <w:left w:val="none" w:sz="0" w:space="0" w:color="auto"/>
                <w:bottom w:val="none" w:sz="0" w:space="0" w:color="auto"/>
                <w:right w:val="none" w:sz="0" w:space="0" w:color="auto"/>
              </w:divBdr>
              <w:divsChild>
                <w:div w:id="1131627043">
                  <w:marLeft w:val="0"/>
                  <w:marRight w:val="0"/>
                  <w:marTop w:val="0"/>
                  <w:marBottom w:val="0"/>
                  <w:divBdr>
                    <w:top w:val="none" w:sz="0" w:space="0" w:color="auto"/>
                    <w:left w:val="none" w:sz="0" w:space="0" w:color="auto"/>
                    <w:bottom w:val="none" w:sz="0" w:space="0" w:color="auto"/>
                    <w:right w:val="none" w:sz="0" w:space="0" w:color="auto"/>
                  </w:divBdr>
                  <w:divsChild>
                    <w:div w:id="351299783">
                      <w:marLeft w:val="0"/>
                      <w:marRight w:val="0"/>
                      <w:marTop w:val="0"/>
                      <w:marBottom w:val="0"/>
                      <w:divBdr>
                        <w:top w:val="none" w:sz="0" w:space="0" w:color="auto"/>
                        <w:left w:val="none" w:sz="0" w:space="0" w:color="auto"/>
                        <w:bottom w:val="none" w:sz="0" w:space="0" w:color="auto"/>
                        <w:right w:val="none" w:sz="0" w:space="0" w:color="auto"/>
                      </w:divBdr>
                      <w:divsChild>
                        <w:div w:id="59257480">
                          <w:marLeft w:val="0"/>
                          <w:marRight w:val="0"/>
                          <w:marTop w:val="0"/>
                          <w:marBottom w:val="0"/>
                          <w:divBdr>
                            <w:top w:val="single" w:sz="6" w:space="0" w:color="828282"/>
                            <w:left w:val="single" w:sz="6" w:space="0" w:color="828282"/>
                            <w:bottom w:val="single" w:sz="6" w:space="0" w:color="828282"/>
                            <w:right w:val="single" w:sz="6" w:space="0" w:color="828282"/>
                          </w:divBdr>
                          <w:divsChild>
                            <w:div w:id="575675908">
                              <w:marLeft w:val="0"/>
                              <w:marRight w:val="0"/>
                              <w:marTop w:val="0"/>
                              <w:marBottom w:val="0"/>
                              <w:divBdr>
                                <w:top w:val="none" w:sz="0" w:space="0" w:color="auto"/>
                                <w:left w:val="none" w:sz="0" w:space="0" w:color="auto"/>
                                <w:bottom w:val="none" w:sz="0" w:space="0" w:color="auto"/>
                                <w:right w:val="none" w:sz="0" w:space="0" w:color="auto"/>
                              </w:divBdr>
                              <w:divsChild>
                                <w:div w:id="303973021">
                                  <w:marLeft w:val="0"/>
                                  <w:marRight w:val="0"/>
                                  <w:marTop w:val="0"/>
                                  <w:marBottom w:val="0"/>
                                  <w:divBdr>
                                    <w:top w:val="none" w:sz="0" w:space="0" w:color="auto"/>
                                    <w:left w:val="none" w:sz="0" w:space="0" w:color="auto"/>
                                    <w:bottom w:val="none" w:sz="0" w:space="0" w:color="auto"/>
                                    <w:right w:val="none" w:sz="0" w:space="0" w:color="auto"/>
                                  </w:divBdr>
                                  <w:divsChild>
                                    <w:div w:id="825242288">
                                      <w:marLeft w:val="0"/>
                                      <w:marRight w:val="0"/>
                                      <w:marTop w:val="0"/>
                                      <w:marBottom w:val="0"/>
                                      <w:divBdr>
                                        <w:top w:val="none" w:sz="0" w:space="0" w:color="auto"/>
                                        <w:left w:val="none" w:sz="0" w:space="0" w:color="auto"/>
                                        <w:bottom w:val="none" w:sz="0" w:space="0" w:color="auto"/>
                                        <w:right w:val="none" w:sz="0" w:space="0" w:color="auto"/>
                                      </w:divBdr>
                                      <w:divsChild>
                                        <w:div w:id="1784878917">
                                          <w:marLeft w:val="0"/>
                                          <w:marRight w:val="0"/>
                                          <w:marTop w:val="0"/>
                                          <w:marBottom w:val="0"/>
                                          <w:divBdr>
                                            <w:top w:val="none" w:sz="0" w:space="0" w:color="auto"/>
                                            <w:left w:val="none" w:sz="0" w:space="0" w:color="auto"/>
                                            <w:bottom w:val="none" w:sz="0" w:space="0" w:color="auto"/>
                                            <w:right w:val="none" w:sz="0" w:space="0" w:color="auto"/>
                                          </w:divBdr>
                                          <w:divsChild>
                                            <w:div w:id="1638490348">
                                              <w:marLeft w:val="0"/>
                                              <w:marRight w:val="0"/>
                                              <w:marTop w:val="0"/>
                                              <w:marBottom w:val="0"/>
                                              <w:divBdr>
                                                <w:top w:val="none" w:sz="0" w:space="0" w:color="auto"/>
                                                <w:left w:val="none" w:sz="0" w:space="0" w:color="auto"/>
                                                <w:bottom w:val="none" w:sz="0" w:space="0" w:color="auto"/>
                                                <w:right w:val="none" w:sz="0" w:space="0" w:color="auto"/>
                                              </w:divBdr>
                                              <w:divsChild>
                                                <w:div w:id="8190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982173">
      <w:bodyDiv w:val="1"/>
      <w:marLeft w:val="0"/>
      <w:marRight w:val="0"/>
      <w:marTop w:val="0"/>
      <w:marBottom w:val="0"/>
      <w:divBdr>
        <w:top w:val="none" w:sz="0" w:space="0" w:color="auto"/>
        <w:left w:val="none" w:sz="0" w:space="0" w:color="auto"/>
        <w:bottom w:val="none" w:sz="0" w:space="0" w:color="auto"/>
        <w:right w:val="none" w:sz="0" w:space="0" w:color="auto"/>
      </w:divBdr>
    </w:div>
    <w:div w:id="18226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esb.org.au/standards-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audit-consequential-amendments-%E2%80%93-superannuation" TargetMode="External"/><Relationship Id="rId1" Type="http://schemas.openxmlformats.org/officeDocument/2006/relationships/hyperlink" Target="https://www.legislation.gov.au/C2023A00029/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180</Value>
      <Value>32</Value>
      <Value>31</Value>
      <Value>163</Value>
      <Value>37</Value>
    </TaxCatchAll>
    <SharedWithUsers xmlns="92a8a7e8-49a1-4017-acf0-0edc7cce208b">
      <UserInfo>
        <DisplayName>Katherine Eyre</DisplayName>
        <AccountId>73</AccountId>
        <AccountType/>
      </UserInfo>
      <UserInfo>
        <DisplayName>Toni Michalis</DisplayName>
        <AccountId>32</AccountId>
        <AccountType/>
      </UserInfo>
      <UserInfo>
        <DisplayName>Claire Mitchell</DisplayName>
        <AccountId>29</AccountId>
        <AccountType/>
      </UserInfo>
      <UserInfo>
        <DisplayName>Ruth Tobin</DisplayName>
        <AccountId>30</AccountId>
        <AccountType/>
      </UserInfo>
      <UserInfo>
        <DisplayName>Warren Staley</DisplayName>
        <AccountId>26</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Legal advice</TermName>
          <TermId xmlns="http://schemas.microsoft.com/office/infopath/2007/PartnerControls">47dcad67-54ec-4c15-a2f1-eec9cf2f5637</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Legal advice - internal</TermName>
          <TermId xmlns="http://schemas.microsoft.com/office/infopath/2007/PartnerControls">1797320c-67a9-4876-a680-15db0859683b</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33E37-3A15-4238-914A-B93CE3B76690}">
  <ds:schemaRefs>
    <ds:schemaRef ds:uri="http://schemas.microsoft.com/sharepoint/v3/contenttype/forms"/>
  </ds:schemaRefs>
</ds:datastoreItem>
</file>

<file path=customXml/itemProps2.xml><?xml version="1.0" encoding="utf-8"?>
<ds:datastoreItem xmlns:ds="http://schemas.openxmlformats.org/officeDocument/2006/customXml" ds:itemID="{A41451B0-2E89-4641-B70F-9CD07A414E84}">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79530295-9eea-494d-b82a-9ff74409eafc"/>
    <ds:schemaRef ds:uri="5664482d-1961-4d38-bfc2-b109b3418834"/>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C5829EE-2ACF-450B-BED0-FD186E501026}">
  <ds:schemaRefs>
    <ds:schemaRef ds:uri="http://schemas.openxmlformats.org/officeDocument/2006/bibliography"/>
  </ds:schemaRefs>
</ds:datastoreItem>
</file>

<file path=customXml/itemProps4.xml><?xml version="1.0" encoding="utf-8"?>
<ds:datastoreItem xmlns:ds="http://schemas.openxmlformats.org/officeDocument/2006/customXml" ds:itemID="{6BF66197-7166-4984-B2ED-25D7321D305A}"/>
</file>

<file path=docProps/app.xml><?xml version="1.0" encoding="utf-8"?>
<Properties xmlns="http://schemas.openxmlformats.org/officeDocument/2006/extended-properties" xmlns:vt="http://schemas.openxmlformats.org/officeDocument/2006/docPropsVTypes">
  <Template>Normal.dotm</Template>
  <TotalTime>1</TotalTime>
  <Pages>7</Pages>
  <Words>2210</Words>
  <Characters>12299</Characters>
  <Application>Microsoft Office Word</Application>
  <DocSecurity>4</DocSecurity>
  <Lines>230</Lines>
  <Paragraphs>78</Paragraphs>
  <ScaleCrop>false</ScaleCrop>
  <HeadingPairs>
    <vt:vector size="2" baseType="variant">
      <vt:variant>
        <vt:lpstr>Title</vt:lpstr>
      </vt:variant>
      <vt:variant>
        <vt:i4>1</vt:i4>
      </vt:variant>
    </vt:vector>
  </HeadingPairs>
  <TitlesOfParts>
    <vt:vector size="1" baseType="lpstr">
      <vt:lpstr>Explanatory Statement new consolidated prudential standard</vt:lpstr>
    </vt:vector>
  </TitlesOfParts>
  <Company>APRA</Company>
  <LinksUpToDate>false</LinksUpToDate>
  <CharactersWithSpaces>14444</CharactersWithSpaces>
  <SharedDoc>false</SharedDoc>
  <HLinks>
    <vt:vector size="18" baseType="variant">
      <vt:variant>
        <vt:i4>4259912</vt:i4>
      </vt:variant>
      <vt:variant>
        <vt:i4>3</vt:i4>
      </vt:variant>
      <vt:variant>
        <vt:i4>0</vt:i4>
      </vt:variant>
      <vt:variant>
        <vt:i4>5</vt:i4>
      </vt:variant>
      <vt:variant>
        <vt:lpwstr>https://apesb.org.au/standards-guidance/</vt:lpwstr>
      </vt:variant>
      <vt:variant>
        <vt:lpwstr/>
      </vt:variant>
      <vt:variant>
        <vt:i4>3932257</vt:i4>
      </vt:variant>
      <vt:variant>
        <vt:i4>3</vt:i4>
      </vt:variant>
      <vt:variant>
        <vt:i4>0</vt:i4>
      </vt:variant>
      <vt:variant>
        <vt:i4>5</vt:i4>
      </vt:variant>
      <vt:variant>
        <vt:lpwstr>https://www.apra.gov.au/audit-consequential-amendments-%E2%80%93-superannuation</vt:lpwstr>
      </vt:variant>
      <vt:variant>
        <vt:lpwstr/>
      </vt:variant>
      <vt:variant>
        <vt:i4>2424881</vt:i4>
      </vt:variant>
      <vt:variant>
        <vt:i4>0</vt:i4>
      </vt:variant>
      <vt:variant>
        <vt:i4>0</vt:i4>
      </vt:variant>
      <vt:variant>
        <vt:i4>5</vt:i4>
      </vt:variant>
      <vt:variant>
        <vt:lpwstr>https://www.legislation.gov.au/C2023A00029/latest/text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new consolidated prudential standard</dc:title>
  <dc:subject/>
  <dc:creator>Sullivan, David</dc:creator>
  <cp:keywords>[SEC=OFFICIAL]</cp:keywords>
  <cp:lastModifiedBy>Toni Michalis</cp:lastModifiedBy>
  <cp:revision>2</cp:revision>
  <cp:lastPrinted>2018-11-01T03:09:00Z</cp:lastPrinted>
  <dcterms:created xsi:type="dcterms:W3CDTF">2024-06-04T03:45:00Z</dcterms:created>
  <dcterms:modified xsi:type="dcterms:W3CDTF">2024-06-04T03:45:00Z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2018.4</vt:lpwstr>
  </property>
  <property fmtid="{D5CDD505-2E9C-101B-9397-08002B2CF9AE}" pid="13" name="PM_Originating_FileId">
    <vt:lpwstr>3B3BFAAD444A4BB9975EB3FD5CCF2729</vt:lpwstr>
  </property>
  <property fmtid="{D5CDD505-2E9C-101B-9397-08002B2CF9AE}" pid="14" name="PM_OriginationTimeStamp">
    <vt:lpwstr>2023-07-04T03:34:46Z</vt:lpwstr>
  </property>
  <property fmtid="{D5CDD505-2E9C-101B-9397-08002B2CF9AE}" pid="15" name="PM_Hash_Version">
    <vt:lpwstr>2022.1</vt:lpwstr>
  </property>
  <property fmtid="{D5CDD505-2E9C-101B-9397-08002B2CF9AE}" pid="16" name="ContentTypeId">
    <vt:lpwstr>0x01010080D163DB4DEE504FAB457909715FEC45</vt:lpwstr>
  </property>
  <property fmtid="{D5CDD505-2E9C-101B-9397-08002B2CF9AE}" pid="17" name="APRAPeriod">
    <vt:lpwstr/>
  </property>
  <property fmtid="{D5CDD505-2E9C-101B-9397-08002B2CF9AE}" pid="18" name="APRACostCentre">
    <vt:lpwstr>158;#PAD300|98bbdbe4-d019-48eb-87c4-aa31a7f2f98f</vt:lpwstr>
  </property>
  <property fmtid="{D5CDD505-2E9C-101B-9397-08002B2CF9AE}" pid="19" name="APRAYear">
    <vt:lpwstr/>
  </property>
  <property fmtid="{D5CDD505-2E9C-101B-9397-08002B2CF9AE}" pid="20" name="APRAIndustry">
    <vt:lpwstr/>
  </property>
  <property fmtid="{D5CDD505-2E9C-101B-9397-08002B2CF9AE}" pid="21" name="APRAPRSG">
    <vt:lpwstr/>
  </property>
  <property fmtid="{D5CDD505-2E9C-101B-9397-08002B2CF9AE}" pid="22" name="_dlc_DocIdItemGuid">
    <vt:lpwstr>4e5e34eb-7f5c-4b8b-b93b-68638eee6636</vt:lpwstr>
  </property>
  <property fmtid="{D5CDD505-2E9C-101B-9397-08002B2CF9AE}" pid="23" name="IsLocked">
    <vt:lpwstr>Yes</vt:lpwstr>
  </property>
  <property fmtid="{D5CDD505-2E9C-101B-9397-08002B2CF9AE}" pid="24" name="IT system type">
    <vt:lpwstr/>
  </property>
  <property fmtid="{D5CDD505-2E9C-101B-9397-08002B2CF9AE}" pid="25" name="APRACategory">
    <vt:lpwstr/>
  </property>
  <property fmtid="{D5CDD505-2E9C-101B-9397-08002B2CF9AE}" pid="26" name="APRADocumentType">
    <vt:lpwstr>180;#Precedent|197f51c4-dc37-4f46-99ec-cabda449ee10;#31;#Legal advice - internal|1797320c-67a9-4876-a680-15db0859683b</vt:lpwstr>
  </property>
  <property fmtid="{D5CDD505-2E9C-101B-9397-08002B2CF9AE}" pid="27" name="APRAStatus">
    <vt:lpwstr>37;#Final|84d6b2d0-8498-4d62-bf46-bab38babbe9e</vt:lpwstr>
  </property>
  <property fmtid="{D5CDD505-2E9C-101B-9397-08002B2CF9AE}" pid="28" name="APRAActivity">
    <vt:lpwstr>163;#Statutory instrument|fe68928c-5a9c-4caf-bc8c-6c18cedcb17f;#32;#Legal advice|47dcad67-54ec-4c15-a2f1-eec9cf2f5637</vt:lpwstr>
  </property>
  <property fmtid="{D5CDD505-2E9C-101B-9397-08002B2CF9AE}" pid="29" name="APRAEntityAdviceSupport">
    <vt:lpwstr/>
  </property>
  <property fmtid="{D5CDD505-2E9C-101B-9397-08002B2CF9AE}" pid="30" name="APRALegislation">
    <vt:lpwstr/>
  </property>
  <property fmtid="{D5CDD505-2E9C-101B-9397-08002B2CF9AE}" pid="31" name="APRAExternalOrganisation">
    <vt:lpwstr/>
  </property>
  <property fmtid="{D5CDD505-2E9C-101B-9397-08002B2CF9AE}" pid="32" name="APRAIRTR">
    <vt:lpwstr/>
  </property>
  <property fmtid="{D5CDD505-2E9C-101B-9397-08002B2CF9AE}" pid="33" name="RecordPoint_WorkflowType">
    <vt:lpwstr>ActiveSubmitStub</vt:lpwstr>
  </property>
  <property fmtid="{D5CDD505-2E9C-101B-9397-08002B2CF9AE}" pid="34" name="RecordPoint_ActiveItemWebId">
    <vt:lpwstr>{75a71c27-8d66-4282-ae60-1bfc22a83be1}</vt:lpwstr>
  </property>
  <property fmtid="{D5CDD505-2E9C-101B-9397-08002B2CF9AE}" pid="35" name="RecordPoint_ActiveItemSiteId">
    <vt:lpwstr>{88691c01-5bbb-4215-adc0-66cb7065b0af}</vt:lpwstr>
  </property>
  <property fmtid="{D5CDD505-2E9C-101B-9397-08002B2CF9AE}" pid="36" name="RecordPoint_ActiveItemListId">
    <vt:lpwstr>{8f988914-4376-4d4a-9e02-85c79f5d5824}</vt:lpwstr>
  </property>
  <property fmtid="{D5CDD505-2E9C-101B-9397-08002B2CF9AE}" pid="37" name="RecordPoint_ActiveItemUniqueId">
    <vt:lpwstr>{4e5e34eb-7f5c-4b8b-b93b-68638eee6636}</vt:lpwstr>
  </property>
  <property fmtid="{D5CDD505-2E9C-101B-9397-08002B2CF9AE}" pid="38" name="RecordPoint_RecordNumberSubmitted">
    <vt:lpwstr>R0000511881</vt:lpwstr>
  </property>
  <property fmtid="{D5CDD505-2E9C-101B-9397-08002B2CF9AE}" pid="39" name="RecordPoint_SubmissionCompleted">
    <vt:lpwstr>2018-11-07T12:35:27.4508800+11:00</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y fmtid="{D5CDD505-2E9C-101B-9397-08002B2CF9AE}" pid="43" name="MSIP_Label_c0129afb-6481-4f92-bc9f-5a4a6346364d_Method">
    <vt:lpwstr>Privileged</vt:lpwstr>
  </property>
  <property fmtid="{D5CDD505-2E9C-101B-9397-08002B2CF9AE}" pid="44" name="MSIP_Label_c0129afb-6481-4f92-bc9f-5a4a6346364d_SetDate">
    <vt:lpwstr>2023-07-04T03:34:46Z</vt:lpwstr>
  </property>
  <property fmtid="{D5CDD505-2E9C-101B-9397-08002B2CF9AE}" pid="45" name="PM_Note">
    <vt:lpwstr/>
  </property>
  <property fmtid="{D5CDD505-2E9C-101B-9397-08002B2CF9AE}" pid="46" name="PM_Markers">
    <vt:lpwstr/>
  </property>
  <property fmtid="{D5CDD505-2E9C-101B-9397-08002B2CF9AE}" pid="47" name="MSIP_Label_c0129afb-6481-4f92-bc9f-5a4a6346364d_Name">
    <vt:lpwstr>OFFICIAL</vt:lpwstr>
  </property>
  <property fmtid="{D5CDD505-2E9C-101B-9397-08002B2CF9AE}" pid="48" name="MSIP_Label_c0129afb-6481-4f92-bc9f-5a4a6346364d_SiteId">
    <vt:lpwstr>c05e3ffd-b491-4431-9809-e61d4dc78816</vt:lpwstr>
  </property>
  <property fmtid="{D5CDD505-2E9C-101B-9397-08002B2CF9AE}" pid="49" name="MSIP_Label_c0129afb-6481-4f92-bc9f-5a4a6346364d_ContentBits">
    <vt:lpwstr>0</vt:lpwstr>
  </property>
  <property fmtid="{D5CDD505-2E9C-101B-9397-08002B2CF9AE}" pid="50" name="MSIP_Label_c0129afb-6481-4f92-bc9f-5a4a6346364d_Enabled">
    <vt:lpwstr>true</vt:lpwstr>
  </property>
  <property fmtid="{D5CDD505-2E9C-101B-9397-08002B2CF9AE}" pid="51" name="PM_SecurityClassification_Prev">
    <vt:lpwstr>OFFICIAL</vt:lpwstr>
  </property>
  <property fmtid="{D5CDD505-2E9C-101B-9397-08002B2CF9AE}" pid="52" name="PM_Qualifier_Prev">
    <vt:lpwstr/>
  </property>
  <property fmtid="{D5CDD505-2E9C-101B-9397-08002B2CF9AE}" pid="53" name="PM_Display">
    <vt:lpwstr>OFFICIAL</vt:lpwstr>
  </property>
  <property fmtid="{D5CDD505-2E9C-101B-9397-08002B2CF9AE}" pid="54" name="PM_OriginatorDomainName_SHA256">
    <vt:lpwstr>ECBDE2B44A971754412B3FB70606937A119CC0D4B6C1B658A40FBD41C30BE3EC</vt:lpwstr>
  </property>
  <property fmtid="{D5CDD505-2E9C-101B-9397-08002B2CF9AE}" pid="55" name="PMUuid">
    <vt:lpwstr>v=2022.2;d=gov.au;g=46DD6D7C-8107-577B-BC6E-F348953B2E44</vt:lpwstr>
  </property>
  <property fmtid="{D5CDD505-2E9C-101B-9397-08002B2CF9AE}" pid="56" name="MediaServiceImageTags">
    <vt:lpwstr/>
  </property>
  <property fmtid="{D5CDD505-2E9C-101B-9397-08002B2CF9AE}" pid="57" name="PM_Originator_Hash_SHA1">
    <vt:lpwstr>C3AD57350F36D8E1BD75F8F67CB06D435C9C43CA</vt:lpwstr>
  </property>
  <property fmtid="{D5CDD505-2E9C-101B-9397-08002B2CF9AE}" pid="58" name="PM_OriginatorUserAccountName_SHA256">
    <vt:lpwstr>6E3018F28A186D2E5FF5207C041E7A82E907C3008E071057026A53705873B72E</vt:lpwstr>
  </property>
  <property fmtid="{D5CDD505-2E9C-101B-9397-08002B2CF9AE}" pid="59" name="PM_Hash_Salt_Prev">
    <vt:lpwstr>D62355C76410CA1E022FF7BF33A3F486</vt:lpwstr>
  </property>
  <property fmtid="{D5CDD505-2E9C-101B-9397-08002B2CF9AE}" pid="60" name="PM_Hash_SHA1">
    <vt:lpwstr>C969AE1FE26F9ED876B42DC14BA3658B457D9E0D</vt:lpwstr>
  </property>
  <property fmtid="{D5CDD505-2E9C-101B-9397-08002B2CF9AE}" pid="61" name="PM_Hash_Salt">
    <vt:lpwstr>9EBB1E605B6FE0132BF937CAD9E3C845</vt:lpwstr>
  </property>
  <property fmtid="{D5CDD505-2E9C-101B-9397-08002B2CF9AE}" pid="62" name="PMHMAC">
    <vt:lpwstr>v=2022.1;a=SHA256;h=35B1C09A0A4E949AC282724BE836D572280C1694F0513B22D4FDD39C71E71D19</vt:lpwstr>
  </property>
  <property fmtid="{D5CDD505-2E9C-101B-9397-08002B2CF9AE}" pid="63" name="MSIP_Label_c0129afb-6481-4f92-bc9f-5a4a6346364d_ActionId">
    <vt:lpwstr>fd114052abf1400f9a2a2403d6a8cbcd</vt:lpwstr>
  </property>
</Properties>
</file>