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1F64" w14:textId="06C5BEBC" w:rsidR="002436BD" w:rsidRPr="003321C5" w:rsidRDefault="007B5912" w:rsidP="75515248">
      <w:pPr>
        <w:pStyle w:val="Heading"/>
        <w:spacing w:after="240"/>
        <w:jc w:val="center"/>
        <w:rPr>
          <w:rFonts w:ascii="Times New Roman" w:hAnsi="Times New Roman"/>
          <w:i/>
          <w:sz w:val="24"/>
          <w:szCs w:val="24"/>
        </w:rPr>
      </w:pPr>
      <w:r w:rsidRPr="003321C5">
        <w:rPr>
          <w:rFonts w:ascii="Times New Roman" w:hAnsi="Times New Roman"/>
          <w:i/>
          <w:sz w:val="24"/>
          <w:szCs w:val="24"/>
        </w:rPr>
        <w:t>Superannuation (</w:t>
      </w:r>
      <w:r w:rsidR="00EA09EA" w:rsidRPr="003321C5">
        <w:rPr>
          <w:rFonts w:ascii="Times New Roman" w:hAnsi="Times New Roman"/>
          <w:i/>
          <w:sz w:val="24"/>
          <w:szCs w:val="24"/>
        </w:rPr>
        <w:t xml:space="preserve">prudential standard) </w:t>
      </w:r>
      <w:r w:rsidR="002436BD" w:rsidRPr="003321C5">
        <w:rPr>
          <w:rFonts w:ascii="Times New Roman" w:hAnsi="Times New Roman"/>
          <w:i/>
          <w:sz w:val="24"/>
          <w:szCs w:val="24"/>
        </w:rPr>
        <w:t>determination No.</w:t>
      </w:r>
      <w:r w:rsidR="0034479C" w:rsidRPr="003321C5">
        <w:rPr>
          <w:rFonts w:ascii="Times New Roman" w:hAnsi="Times New Roman"/>
          <w:i/>
          <w:sz w:val="24"/>
          <w:szCs w:val="24"/>
        </w:rPr>
        <w:t xml:space="preserve"> 2 </w:t>
      </w:r>
      <w:r w:rsidR="002436BD" w:rsidRPr="003321C5">
        <w:rPr>
          <w:rFonts w:ascii="Times New Roman" w:hAnsi="Times New Roman"/>
          <w:i/>
          <w:sz w:val="24"/>
          <w:szCs w:val="24"/>
        </w:rPr>
        <w:t>of 20</w:t>
      </w:r>
      <w:r w:rsidR="001D0A56" w:rsidRPr="003321C5">
        <w:rPr>
          <w:rFonts w:ascii="Times New Roman" w:hAnsi="Times New Roman"/>
          <w:i/>
          <w:sz w:val="24"/>
          <w:szCs w:val="24"/>
        </w:rPr>
        <w:t>2</w:t>
      </w:r>
      <w:r w:rsidR="2E405026" w:rsidRPr="003321C5">
        <w:rPr>
          <w:rFonts w:ascii="Times New Roman" w:hAnsi="Times New Roman"/>
          <w:i/>
          <w:sz w:val="24"/>
          <w:szCs w:val="24"/>
        </w:rPr>
        <w:t>4</w:t>
      </w:r>
    </w:p>
    <w:p w14:paraId="31A3EA7D" w14:textId="77777777" w:rsidR="002436BD" w:rsidRPr="00564008" w:rsidRDefault="002436BD" w:rsidP="008E5D4C">
      <w:pPr>
        <w:pStyle w:val="Heading"/>
        <w:tabs>
          <w:tab w:val="left" w:pos="360"/>
        </w:tabs>
        <w:spacing w:after="240"/>
        <w:jc w:val="center"/>
        <w:rPr>
          <w:rFonts w:ascii="Times New Roman" w:hAnsi="Times New Roman"/>
          <w:sz w:val="24"/>
          <w:szCs w:val="24"/>
          <w:u w:val="single"/>
        </w:rPr>
      </w:pPr>
      <w:bookmarkStart w:id="0" w:name="bkInstrumentSubTitle"/>
      <w:bookmarkEnd w:id="0"/>
      <w:r w:rsidRPr="00564008">
        <w:rPr>
          <w:rFonts w:ascii="Times New Roman" w:hAnsi="Times New Roman"/>
          <w:sz w:val="24"/>
          <w:szCs w:val="24"/>
          <w:u w:val="single"/>
        </w:rPr>
        <w:t xml:space="preserve">EXPLANATORY </w:t>
      </w:r>
      <w:r w:rsidRPr="00B71194">
        <w:rPr>
          <w:rFonts w:ascii="Times New Roman" w:hAnsi="Times New Roman"/>
          <w:sz w:val="24"/>
          <w:szCs w:val="24"/>
          <w:u w:val="single"/>
        </w:rPr>
        <w:t>STATEMENT</w:t>
      </w:r>
    </w:p>
    <w:p w14:paraId="786788DC" w14:textId="77777777" w:rsidR="002436BD" w:rsidRPr="00564008" w:rsidRDefault="002436BD" w:rsidP="008E5D4C">
      <w:pPr>
        <w:pStyle w:val="Heading"/>
        <w:spacing w:after="240"/>
        <w:jc w:val="center"/>
        <w:rPr>
          <w:rFonts w:ascii="Times New Roman" w:hAnsi="Times New Roman"/>
          <w:sz w:val="24"/>
          <w:szCs w:val="24"/>
        </w:rPr>
      </w:pPr>
      <w:r w:rsidRPr="00564008">
        <w:rPr>
          <w:rFonts w:ascii="Times New Roman" w:hAnsi="Times New Roman"/>
          <w:sz w:val="24"/>
          <w:szCs w:val="24"/>
        </w:rPr>
        <w:t>Prepared by the Australian Prudential Regulation Authority (APRA)</w:t>
      </w:r>
    </w:p>
    <w:p w14:paraId="36FA5CC1" w14:textId="132C0718" w:rsidR="002436BD" w:rsidRPr="00564008" w:rsidRDefault="005B66C7" w:rsidP="008E5D4C">
      <w:pPr>
        <w:pStyle w:val="Heading"/>
        <w:tabs>
          <w:tab w:val="left" w:pos="360"/>
        </w:tabs>
        <w:spacing w:after="240"/>
        <w:jc w:val="center"/>
        <w:rPr>
          <w:rFonts w:ascii="Times New Roman" w:hAnsi="Times New Roman"/>
          <w:b w:val="0"/>
          <w:color w:val="000000"/>
          <w:sz w:val="24"/>
          <w:szCs w:val="24"/>
        </w:rPr>
      </w:pPr>
      <w:r w:rsidRPr="00564008">
        <w:rPr>
          <w:rFonts w:ascii="Times New Roman" w:hAnsi="Times New Roman"/>
          <w:b w:val="0"/>
          <w:i/>
          <w:sz w:val="24"/>
          <w:szCs w:val="24"/>
        </w:rPr>
        <w:t>Superannuation Industry (Supervision) Act 1993</w:t>
      </w:r>
      <w:r w:rsidR="009D1A16">
        <w:rPr>
          <w:rFonts w:ascii="Times New Roman" w:hAnsi="Times New Roman"/>
          <w:b w:val="0"/>
          <w:sz w:val="24"/>
          <w:szCs w:val="24"/>
        </w:rPr>
        <w:t>,</w:t>
      </w:r>
      <w:r w:rsidRPr="00564008">
        <w:rPr>
          <w:rFonts w:ascii="Times New Roman" w:hAnsi="Times New Roman"/>
          <w:b w:val="0"/>
          <w:sz w:val="24"/>
          <w:szCs w:val="24"/>
        </w:rPr>
        <w:t xml:space="preserve"> </w:t>
      </w:r>
      <w:r w:rsidR="002436BD" w:rsidRPr="00564008">
        <w:rPr>
          <w:rFonts w:ascii="Times New Roman" w:hAnsi="Times New Roman"/>
          <w:b w:val="0"/>
          <w:color w:val="000000"/>
          <w:sz w:val="24"/>
          <w:szCs w:val="24"/>
        </w:rPr>
        <w:t xml:space="preserve">section </w:t>
      </w:r>
      <w:r w:rsidRPr="00564008">
        <w:rPr>
          <w:rFonts w:ascii="Times New Roman" w:hAnsi="Times New Roman"/>
          <w:b w:val="0"/>
          <w:color w:val="000000"/>
          <w:sz w:val="24"/>
          <w:szCs w:val="24"/>
        </w:rPr>
        <w:t>34</w:t>
      </w:r>
      <w:proofErr w:type="gramStart"/>
      <w:r w:rsidRPr="00564008">
        <w:rPr>
          <w:rFonts w:ascii="Times New Roman" w:hAnsi="Times New Roman"/>
          <w:b w:val="0"/>
          <w:color w:val="000000"/>
          <w:sz w:val="24"/>
          <w:szCs w:val="24"/>
        </w:rPr>
        <w:t>C</w:t>
      </w:r>
      <w:r w:rsidR="001C1FD2">
        <w:rPr>
          <w:rFonts w:ascii="Times New Roman" w:hAnsi="Times New Roman"/>
          <w:b w:val="0"/>
          <w:color w:val="000000"/>
          <w:sz w:val="24"/>
          <w:szCs w:val="24"/>
        </w:rPr>
        <w:t>(</w:t>
      </w:r>
      <w:proofErr w:type="gramEnd"/>
      <w:r w:rsidR="001C1FD2">
        <w:rPr>
          <w:rFonts w:ascii="Times New Roman" w:hAnsi="Times New Roman"/>
          <w:b w:val="0"/>
          <w:color w:val="000000"/>
          <w:sz w:val="24"/>
          <w:szCs w:val="24"/>
        </w:rPr>
        <w:t xml:space="preserve">1) and </w:t>
      </w:r>
      <w:r w:rsidRPr="00564008">
        <w:rPr>
          <w:rFonts w:ascii="Times New Roman" w:hAnsi="Times New Roman"/>
          <w:b w:val="0"/>
          <w:color w:val="000000"/>
          <w:sz w:val="24"/>
          <w:szCs w:val="24"/>
        </w:rPr>
        <w:t>(6)</w:t>
      </w:r>
    </w:p>
    <w:p w14:paraId="16CB3414" w14:textId="77777777" w:rsidR="00336521" w:rsidRPr="00564008" w:rsidRDefault="00336521" w:rsidP="00336521">
      <w:pPr>
        <w:widowControl w:val="0"/>
        <w:spacing w:after="240"/>
        <w:jc w:val="both"/>
        <w:rPr>
          <w:rFonts w:ascii="Times New Roman" w:hAnsi="Times New Roman"/>
          <w:sz w:val="24"/>
          <w:szCs w:val="24"/>
        </w:rPr>
      </w:pPr>
      <w:bookmarkStart w:id="1" w:name="bkAct"/>
      <w:bookmarkStart w:id="2" w:name="bkExplanatory"/>
      <w:bookmarkEnd w:id="1"/>
      <w:bookmarkEnd w:id="2"/>
      <w:r w:rsidRPr="00564008">
        <w:rPr>
          <w:rFonts w:ascii="Times New Roman" w:hAnsi="Times New Roman"/>
          <w:sz w:val="24"/>
          <w:szCs w:val="24"/>
        </w:rPr>
        <w:t>Under subsection 34</w:t>
      </w:r>
      <w:proofErr w:type="gramStart"/>
      <w:r w:rsidRPr="00564008">
        <w:rPr>
          <w:rFonts w:ascii="Times New Roman" w:hAnsi="Times New Roman"/>
          <w:sz w:val="24"/>
          <w:szCs w:val="24"/>
        </w:rPr>
        <w:t>C(</w:t>
      </w:r>
      <w:proofErr w:type="gramEnd"/>
      <w:r w:rsidRPr="00564008">
        <w:rPr>
          <w:rFonts w:ascii="Times New Roman" w:hAnsi="Times New Roman"/>
          <w:sz w:val="24"/>
          <w:szCs w:val="24"/>
        </w:rPr>
        <w:t xml:space="preserve">1) of the </w:t>
      </w:r>
      <w:r w:rsidRPr="00564008">
        <w:rPr>
          <w:rFonts w:ascii="Times New Roman" w:hAnsi="Times New Roman"/>
          <w:i/>
          <w:sz w:val="24"/>
          <w:szCs w:val="24"/>
        </w:rPr>
        <w:t>Superannuation Industry (Supervision) Act 1993</w:t>
      </w:r>
      <w:r w:rsidRPr="00564008">
        <w:rPr>
          <w:rFonts w:ascii="Times New Roman" w:hAnsi="Times New Roman"/>
          <w:sz w:val="24"/>
          <w:szCs w:val="24"/>
        </w:rPr>
        <w:t xml:space="preserve"> (the Act), APRA has the power to determine standards (prudential standards), in writing, in relation to prudential matters to be complied with by all RSE licensees of registrable superannuation entities (RSEs). Under subsection 34</w:t>
      </w:r>
      <w:proofErr w:type="gramStart"/>
      <w:r w:rsidRPr="00564008">
        <w:rPr>
          <w:rFonts w:ascii="Times New Roman" w:hAnsi="Times New Roman"/>
          <w:sz w:val="24"/>
          <w:szCs w:val="24"/>
        </w:rPr>
        <w:t>C(</w:t>
      </w:r>
      <w:proofErr w:type="gramEnd"/>
      <w:r w:rsidRPr="00564008">
        <w:rPr>
          <w:rFonts w:ascii="Times New Roman" w:hAnsi="Times New Roman"/>
          <w:sz w:val="24"/>
          <w:szCs w:val="24"/>
        </w:rPr>
        <w:t xml:space="preserve">6) of the Act, APRA may, in writing, vary or revoke a prudential standard. </w:t>
      </w:r>
    </w:p>
    <w:p w14:paraId="0C99AC66" w14:textId="09F35C57" w:rsidR="00336521" w:rsidRDefault="00336521" w:rsidP="00336521">
      <w:pPr>
        <w:pStyle w:val="NormalWeb"/>
        <w:rPr>
          <w:rFonts w:ascii="Times New Roman" w:hAnsi="Times New Roman"/>
          <w:sz w:val="24"/>
          <w:szCs w:val="24"/>
        </w:rPr>
      </w:pPr>
      <w:r w:rsidRPr="0001028A">
        <w:rPr>
          <w:rFonts w:ascii="Times New Roman" w:hAnsi="Times New Roman"/>
          <w:sz w:val="24"/>
          <w:szCs w:val="24"/>
        </w:rPr>
        <w:t xml:space="preserve">On </w:t>
      </w:r>
      <w:r w:rsidR="00A079E9">
        <w:rPr>
          <w:rFonts w:ascii="Times New Roman" w:hAnsi="Times New Roman"/>
          <w:sz w:val="24"/>
          <w:szCs w:val="24"/>
        </w:rPr>
        <w:t>3</w:t>
      </w:r>
      <w:r w:rsidRPr="0001028A">
        <w:rPr>
          <w:rFonts w:ascii="Times New Roman" w:hAnsi="Times New Roman"/>
          <w:sz w:val="24"/>
          <w:szCs w:val="24"/>
        </w:rPr>
        <w:t xml:space="preserve"> June 2024, APRA made </w:t>
      </w:r>
      <w:r w:rsidRPr="0062596B">
        <w:rPr>
          <w:rFonts w:ascii="Times New Roman" w:hAnsi="Times New Roman"/>
          <w:i/>
          <w:sz w:val="24"/>
          <w:szCs w:val="24"/>
        </w:rPr>
        <w:t xml:space="preserve">Superannuation (prudential standard) determination No. 2 of 2024 </w:t>
      </w:r>
      <w:r w:rsidRPr="0001028A">
        <w:rPr>
          <w:rFonts w:ascii="Times New Roman" w:hAnsi="Times New Roman"/>
          <w:sz w:val="24"/>
          <w:szCs w:val="24"/>
        </w:rPr>
        <w:t xml:space="preserve">(the </w:t>
      </w:r>
      <w:r>
        <w:rPr>
          <w:rFonts w:ascii="Times New Roman" w:hAnsi="Times New Roman"/>
          <w:sz w:val="24"/>
          <w:szCs w:val="24"/>
        </w:rPr>
        <w:t>i</w:t>
      </w:r>
      <w:r w:rsidRPr="0001028A">
        <w:rPr>
          <w:rFonts w:ascii="Times New Roman" w:hAnsi="Times New Roman"/>
          <w:sz w:val="24"/>
          <w:szCs w:val="24"/>
        </w:rPr>
        <w:t xml:space="preserve">nstrument), which revokes </w:t>
      </w:r>
      <w:r w:rsidRPr="0001028A">
        <w:rPr>
          <w:rFonts w:ascii="Times New Roman" w:hAnsi="Times New Roman"/>
          <w:i/>
          <w:sz w:val="24"/>
          <w:szCs w:val="24"/>
        </w:rPr>
        <w:t xml:space="preserve">Prudential Standard SPS </w:t>
      </w:r>
      <w:r>
        <w:rPr>
          <w:rFonts w:ascii="Times New Roman" w:hAnsi="Times New Roman"/>
          <w:i/>
          <w:sz w:val="24"/>
          <w:szCs w:val="24"/>
        </w:rPr>
        <w:t>310 Audit and Related Matters</w:t>
      </w:r>
      <w:r w:rsidRPr="0001028A">
        <w:rPr>
          <w:rFonts w:ascii="Times New Roman" w:hAnsi="Times New Roman"/>
          <w:sz w:val="24"/>
          <w:szCs w:val="24"/>
        </w:rPr>
        <w:t xml:space="preserve"> (</w:t>
      </w:r>
      <w:r w:rsidR="004A3585">
        <w:rPr>
          <w:rFonts w:ascii="Times New Roman" w:hAnsi="Times New Roman"/>
          <w:sz w:val="24"/>
          <w:szCs w:val="24"/>
        </w:rPr>
        <w:t>previous</w:t>
      </w:r>
      <w:r w:rsidR="004A3585" w:rsidRPr="0001028A">
        <w:rPr>
          <w:rFonts w:ascii="Times New Roman" w:hAnsi="Times New Roman"/>
          <w:sz w:val="24"/>
          <w:szCs w:val="24"/>
        </w:rPr>
        <w:t xml:space="preserve"> </w:t>
      </w:r>
      <w:r w:rsidRPr="0001028A">
        <w:rPr>
          <w:rFonts w:ascii="Times New Roman" w:hAnsi="Times New Roman"/>
          <w:sz w:val="24"/>
          <w:szCs w:val="24"/>
        </w:rPr>
        <w:t xml:space="preserve">SPS </w:t>
      </w:r>
      <w:r>
        <w:rPr>
          <w:rFonts w:ascii="Times New Roman" w:hAnsi="Times New Roman"/>
          <w:sz w:val="24"/>
          <w:szCs w:val="24"/>
        </w:rPr>
        <w:t>310</w:t>
      </w:r>
      <w:r w:rsidRPr="0001028A">
        <w:rPr>
          <w:rFonts w:ascii="Times New Roman" w:hAnsi="Times New Roman"/>
          <w:sz w:val="24"/>
          <w:szCs w:val="24"/>
        </w:rPr>
        <w:t xml:space="preserve">) made under </w:t>
      </w:r>
      <w:r w:rsidRPr="0062596B">
        <w:rPr>
          <w:rFonts w:ascii="Times New Roman" w:hAnsi="Times New Roman"/>
          <w:i/>
          <w:sz w:val="24"/>
          <w:szCs w:val="24"/>
        </w:rPr>
        <w:t>Superannuation (prudential standard) determination No. 4 of 2022</w:t>
      </w:r>
      <w:r w:rsidRPr="0001028A">
        <w:rPr>
          <w:rFonts w:ascii="Times New Roman" w:hAnsi="Times New Roman"/>
          <w:sz w:val="24"/>
          <w:szCs w:val="24"/>
        </w:rPr>
        <w:t xml:space="preserve"> and determines a new </w:t>
      </w:r>
      <w:r w:rsidRPr="0001028A">
        <w:rPr>
          <w:rFonts w:ascii="Times New Roman" w:hAnsi="Times New Roman"/>
          <w:i/>
          <w:sz w:val="24"/>
          <w:szCs w:val="24"/>
        </w:rPr>
        <w:t xml:space="preserve">Prudential Standard SPS </w:t>
      </w:r>
      <w:r>
        <w:rPr>
          <w:rFonts w:ascii="Times New Roman" w:hAnsi="Times New Roman"/>
          <w:i/>
          <w:sz w:val="24"/>
          <w:szCs w:val="24"/>
        </w:rPr>
        <w:t>310 Audit and Related Matters</w:t>
      </w:r>
      <w:r w:rsidRPr="0001028A">
        <w:rPr>
          <w:rFonts w:ascii="Times New Roman" w:hAnsi="Times New Roman"/>
          <w:sz w:val="24"/>
          <w:szCs w:val="24"/>
        </w:rPr>
        <w:t xml:space="preserve"> (SPS </w:t>
      </w:r>
      <w:r>
        <w:rPr>
          <w:rFonts w:ascii="Times New Roman" w:hAnsi="Times New Roman"/>
          <w:sz w:val="24"/>
          <w:szCs w:val="24"/>
        </w:rPr>
        <w:t>310</w:t>
      </w:r>
      <w:r w:rsidRPr="0001028A">
        <w:rPr>
          <w:rFonts w:ascii="Times New Roman" w:hAnsi="Times New Roman"/>
          <w:sz w:val="24"/>
          <w:szCs w:val="24"/>
        </w:rPr>
        <w:t>)</w:t>
      </w:r>
      <w:r>
        <w:rPr>
          <w:rFonts w:ascii="Times New Roman" w:hAnsi="Times New Roman"/>
          <w:sz w:val="24"/>
          <w:szCs w:val="24"/>
        </w:rPr>
        <w:t>.</w:t>
      </w:r>
    </w:p>
    <w:p w14:paraId="2F02BAF6" w14:textId="565C16D0" w:rsidR="00336521" w:rsidRPr="00564008" w:rsidRDefault="00336521" w:rsidP="00336521">
      <w:pPr>
        <w:shd w:val="clear" w:color="auto" w:fill="FFFFFF" w:themeFill="background1"/>
        <w:spacing w:before="100" w:beforeAutospacing="1" w:after="100" w:afterAutospacing="1"/>
        <w:jc w:val="both"/>
        <w:rPr>
          <w:rFonts w:ascii="Times New Roman" w:hAnsi="Times New Roman"/>
          <w:sz w:val="24"/>
          <w:szCs w:val="24"/>
        </w:rPr>
      </w:pPr>
      <w:r>
        <w:rPr>
          <w:rFonts w:ascii="Times New Roman" w:hAnsi="Times New Roman"/>
          <w:sz w:val="24"/>
          <w:szCs w:val="24"/>
        </w:rPr>
        <w:t>The instrument commences on 30 June 2024.</w:t>
      </w:r>
    </w:p>
    <w:p w14:paraId="2820799D" w14:textId="77777777" w:rsidR="002436BD" w:rsidRPr="00564008" w:rsidRDefault="002436BD" w:rsidP="00796A67">
      <w:pPr>
        <w:pStyle w:val="Heading"/>
        <w:keepNext/>
        <w:numPr>
          <w:ilvl w:val="0"/>
          <w:numId w:val="2"/>
        </w:numPr>
        <w:spacing w:after="240"/>
        <w:ind w:left="0" w:firstLine="0"/>
        <w:outlineLvl w:val="0"/>
        <w:rPr>
          <w:rFonts w:ascii="Times New Roman" w:hAnsi="Times New Roman"/>
          <w:sz w:val="24"/>
          <w:szCs w:val="24"/>
        </w:rPr>
      </w:pPr>
      <w:r w:rsidRPr="00564008">
        <w:rPr>
          <w:rFonts w:ascii="Times New Roman" w:hAnsi="Times New Roman"/>
          <w:sz w:val="24"/>
          <w:szCs w:val="24"/>
        </w:rPr>
        <w:t>Background</w:t>
      </w:r>
    </w:p>
    <w:p w14:paraId="31A58FEF" w14:textId="77777777" w:rsidR="00F05CDD" w:rsidRDefault="00F05CDD" w:rsidP="00F05CDD">
      <w:pPr>
        <w:shd w:val="clear" w:color="auto" w:fill="FFFFFF"/>
        <w:spacing w:before="100" w:beforeAutospacing="1" w:after="100" w:afterAutospacing="1"/>
        <w:jc w:val="both"/>
        <w:rPr>
          <w:rFonts w:ascii="Times New Roman" w:hAnsi="Times New Roman"/>
          <w:sz w:val="24"/>
          <w:szCs w:val="24"/>
        </w:rPr>
      </w:pPr>
      <w:bookmarkStart w:id="3" w:name="bkBackground"/>
      <w:bookmarkEnd w:id="3"/>
      <w:r>
        <w:rPr>
          <w:rFonts w:ascii="Times New Roman" w:hAnsi="Times New Roman"/>
          <w:sz w:val="24"/>
          <w:szCs w:val="24"/>
        </w:rPr>
        <w:t>A</w:t>
      </w:r>
      <w:r w:rsidRPr="00F3769C">
        <w:rPr>
          <w:rFonts w:ascii="Times New Roman" w:hAnsi="Times New Roman"/>
          <w:sz w:val="24"/>
          <w:szCs w:val="24"/>
        </w:rPr>
        <w:t xml:space="preserve">PRA’s mandate is to ensure the safety and soundness of prudentially regulated financial institutions so that they can meet their financial promises to depositors, </w:t>
      </w:r>
      <w:proofErr w:type="gramStart"/>
      <w:r w:rsidRPr="00F3769C">
        <w:rPr>
          <w:rFonts w:ascii="Times New Roman" w:hAnsi="Times New Roman"/>
          <w:sz w:val="24"/>
          <w:szCs w:val="24"/>
        </w:rPr>
        <w:t>policyholders</w:t>
      </w:r>
      <w:proofErr w:type="gramEnd"/>
      <w:r w:rsidRPr="00F3769C">
        <w:rPr>
          <w:rFonts w:ascii="Times New Roman" w:hAnsi="Times New Roman"/>
          <w:sz w:val="24"/>
          <w:szCs w:val="24"/>
        </w:rPr>
        <w:t xml:space="preserve"> and fund members within a stable, efficient and competitive financial system. </w:t>
      </w:r>
    </w:p>
    <w:p w14:paraId="378F7F51" w14:textId="77777777" w:rsidR="00F05CDD" w:rsidRDefault="00F05CDD" w:rsidP="00F05CDD">
      <w:pPr>
        <w:jc w:val="both"/>
        <w:rPr>
          <w:rFonts w:ascii="Times New Roman" w:hAnsi="Times New Roman"/>
          <w:sz w:val="24"/>
          <w:szCs w:val="24"/>
        </w:rPr>
      </w:pPr>
      <w:r w:rsidRPr="00F3769C">
        <w:rPr>
          <w:rFonts w:ascii="Times New Roman" w:hAnsi="Times New Roman"/>
          <w:sz w:val="24"/>
          <w:szCs w:val="24"/>
        </w:rPr>
        <w:t xml:space="preserve">APRA carries out this mandate through a multi-layered prudential framework that encompasses licensing and supervision of institutions. APRA is empowered under the </w:t>
      </w:r>
      <w:r>
        <w:rPr>
          <w:rFonts w:ascii="Times New Roman" w:hAnsi="Times New Roman"/>
          <w:sz w:val="24"/>
          <w:szCs w:val="24"/>
        </w:rPr>
        <w:t>Act</w:t>
      </w:r>
      <w:r w:rsidRPr="00F3769C">
        <w:rPr>
          <w:rFonts w:ascii="Times New Roman" w:hAnsi="Times New Roman"/>
          <w:sz w:val="24"/>
          <w:szCs w:val="24"/>
        </w:rPr>
        <w:t xml:space="preserve"> to issue legally binding prudential standards that set out specific prudential requirements with which APRA-regulated institutions in </w:t>
      </w:r>
      <w:r>
        <w:rPr>
          <w:rFonts w:ascii="Times New Roman" w:hAnsi="Times New Roman"/>
          <w:sz w:val="24"/>
          <w:szCs w:val="24"/>
        </w:rPr>
        <w:t>the superannuation</w:t>
      </w:r>
      <w:r w:rsidRPr="00F3769C">
        <w:rPr>
          <w:rFonts w:ascii="Times New Roman" w:hAnsi="Times New Roman"/>
          <w:sz w:val="24"/>
          <w:szCs w:val="24"/>
        </w:rPr>
        <w:t xml:space="preserve"> industry must comply. These standards are supported by prudential practice guides which clarify APRA’s expectations </w:t>
      </w:r>
      <w:r>
        <w:rPr>
          <w:rFonts w:ascii="Times New Roman" w:hAnsi="Times New Roman"/>
          <w:sz w:val="24"/>
          <w:szCs w:val="24"/>
        </w:rPr>
        <w:t xml:space="preserve">in respect of the </w:t>
      </w:r>
      <w:r w:rsidRPr="00F3769C">
        <w:rPr>
          <w:rFonts w:ascii="Times New Roman" w:hAnsi="Times New Roman"/>
          <w:sz w:val="24"/>
          <w:szCs w:val="24"/>
        </w:rPr>
        <w:t>prudential requirements.</w:t>
      </w:r>
    </w:p>
    <w:p w14:paraId="171428CF" w14:textId="77777777" w:rsidR="00F05CDD" w:rsidRDefault="00F05CDD" w:rsidP="00F05CDD">
      <w:pPr>
        <w:jc w:val="both"/>
        <w:rPr>
          <w:rFonts w:ascii="Times New Roman" w:hAnsi="Times New Roman"/>
          <w:sz w:val="24"/>
          <w:szCs w:val="24"/>
        </w:rPr>
      </w:pPr>
    </w:p>
    <w:p w14:paraId="1B7C4B69" w14:textId="27061C6B" w:rsidR="00B84419" w:rsidRPr="006B400A" w:rsidRDefault="00F05CDD" w:rsidP="00967A15">
      <w:pPr>
        <w:jc w:val="both"/>
        <w:rPr>
          <w:rFonts w:ascii="Times New Roman" w:hAnsi="Times New Roman"/>
          <w:sz w:val="24"/>
          <w:szCs w:val="24"/>
        </w:rPr>
      </w:pPr>
      <w:r w:rsidRPr="0058468C">
        <w:rPr>
          <w:rFonts w:ascii="Times New Roman" w:hAnsi="Times New Roman"/>
          <w:sz w:val="24"/>
          <w:szCs w:val="24"/>
        </w:rPr>
        <w:t xml:space="preserve">SPS 310 </w:t>
      </w:r>
      <w:r>
        <w:rPr>
          <w:rFonts w:ascii="Times New Roman" w:hAnsi="Times New Roman"/>
          <w:sz w:val="24"/>
          <w:szCs w:val="24"/>
        </w:rPr>
        <w:t xml:space="preserve">sets out requirements for an RSE licensee to ensure that independent </w:t>
      </w:r>
      <w:r w:rsidR="005023B4">
        <w:rPr>
          <w:rFonts w:ascii="Times New Roman" w:hAnsi="Times New Roman"/>
          <w:sz w:val="24"/>
          <w:szCs w:val="24"/>
        </w:rPr>
        <w:t>advice</w:t>
      </w:r>
      <w:r>
        <w:rPr>
          <w:rFonts w:ascii="Times New Roman" w:hAnsi="Times New Roman"/>
          <w:sz w:val="24"/>
          <w:szCs w:val="24"/>
        </w:rPr>
        <w:t xml:space="preserve"> is provided to the RSE licensee on the operations, financial </w:t>
      </w:r>
      <w:proofErr w:type="gramStart"/>
      <w:r>
        <w:rPr>
          <w:rFonts w:ascii="Times New Roman" w:hAnsi="Times New Roman"/>
          <w:sz w:val="24"/>
          <w:szCs w:val="24"/>
        </w:rPr>
        <w:t>position</w:t>
      </w:r>
      <w:proofErr w:type="gramEnd"/>
      <w:r>
        <w:rPr>
          <w:rFonts w:ascii="Times New Roman" w:hAnsi="Times New Roman"/>
          <w:sz w:val="24"/>
          <w:szCs w:val="24"/>
        </w:rPr>
        <w:t xml:space="preserve"> and risk controls of the business operations of the RSE licensee. It </w:t>
      </w:r>
      <w:r w:rsidRPr="00536E6D">
        <w:rPr>
          <w:rFonts w:ascii="Times New Roman" w:hAnsi="Times New Roman"/>
          <w:sz w:val="24"/>
          <w:szCs w:val="24"/>
        </w:rPr>
        <w:t xml:space="preserve">outlines the roles and responsibilities of the RSE auditor and the obligations of an RSE licensee to </w:t>
      </w:r>
      <w:proofErr w:type="gramStart"/>
      <w:r w:rsidRPr="00536E6D">
        <w:rPr>
          <w:rFonts w:ascii="Times New Roman" w:hAnsi="Times New Roman"/>
          <w:sz w:val="24"/>
          <w:szCs w:val="24"/>
        </w:rPr>
        <w:t>make arrangements</w:t>
      </w:r>
      <w:proofErr w:type="gramEnd"/>
      <w:r w:rsidRPr="00536E6D">
        <w:rPr>
          <w:rFonts w:ascii="Times New Roman" w:hAnsi="Times New Roman"/>
          <w:sz w:val="24"/>
          <w:szCs w:val="24"/>
        </w:rPr>
        <w:t xml:space="preserve"> to enable an RSE auditor to fulfil their responsibilities</w:t>
      </w:r>
      <w:r>
        <w:rPr>
          <w:rFonts w:ascii="Times New Roman" w:hAnsi="Times New Roman"/>
          <w:sz w:val="24"/>
          <w:szCs w:val="24"/>
        </w:rPr>
        <w:t xml:space="preserve">. The key responsibility of the RSE auditor is the preparation of the auditor’s report of the RSE. </w:t>
      </w:r>
    </w:p>
    <w:p w14:paraId="0A65B19F" w14:textId="77777777" w:rsidR="00B84419" w:rsidRPr="006B400A" w:rsidRDefault="00B84419" w:rsidP="00B84419">
      <w:pPr>
        <w:jc w:val="both"/>
        <w:rPr>
          <w:rFonts w:ascii="Times New Roman" w:hAnsi="Times New Roman"/>
          <w:sz w:val="24"/>
          <w:szCs w:val="24"/>
        </w:rPr>
      </w:pPr>
    </w:p>
    <w:p w14:paraId="7A5BD642" w14:textId="77777777" w:rsidR="00B84419" w:rsidRDefault="00B84419" w:rsidP="00B84419">
      <w:pPr>
        <w:jc w:val="both"/>
        <w:rPr>
          <w:rFonts w:ascii="Times New Roman" w:hAnsi="Times New Roman"/>
          <w:sz w:val="24"/>
          <w:szCs w:val="24"/>
        </w:rPr>
      </w:pPr>
      <w:r w:rsidRPr="006B400A">
        <w:rPr>
          <w:rFonts w:ascii="Times New Roman" w:hAnsi="Times New Roman"/>
          <w:sz w:val="24"/>
          <w:szCs w:val="24"/>
        </w:rPr>
        <w:t>In June 2023, legislative reforms</w:t>
      </w:r>
      <w:r>
        <w:rPr>
          <w:rStyle w:val="FootnoteReference"/>
          <w:rFonts w:ascii="Times New Roman" w:hAnsi="Times New Roman"/>
          <w:sz w:val="24"/>
          <w:szCs w:val="24"/>
        </w:rPr>
        <w:footnoteReference w:id="2"/>
      </w:r>
      <w:r w:rsidRPr="006B400A">
        <w:rPr>
          <w:rFonts w:ascii="Times New Roman" w:hAnsi="Times New Roman"/>
          <w:sz w:val="24"/>
          <w:szCs w:val="24"/>
        </w:rPr>
        <w:t xml:space="preserve"> were passed to extend the financial reporting and auditing requirements in the </w:t>
      </w:r>
      <w:r w:rsidRPr="006B400A">
        <w:rPr>
          <w:rFonts w:ascii="Times New Roman" w:hAnsi="Times New Roman"/>
          <w:i/>
          <w:sz w:val="24"/>
          <w:szCs w:val="24"/>
        </w:rPr>
        <w:t>Corporations Act 2001</w:t>
      </w:r>
      <w:r w:rsidRPr="006B400A">
        <w:rPr>
          <w:rFonts w:ascii="Times New Roman" w:hAnsi="Times New Roman"/>
          <w:sz w:val="24"/>
          <w:szCs w:val="24"/>
        </w:rPr>
        <w:t xml:space="preserve"> </w:t>
      </w:r>
      <w:r>
        <w:rPr>
          <w:rFonts w:ascii="Times New Roman" w:hAnsi="Times New Roman"/>
          <w:sz w:val="24"/>
          <w:szCs w:val="24"/>
        </w:rPr>
        <w:t xml:space="preserve">(Corporations Act) </w:t>
      </w:r>
      <w:r w:rsidRPr="006B400A">
        <w:rPr>
          <w:rFonts w:ascii="Times New Roman" w:hAnsi="Times New Roman"/>
          <w:sz w:val="24"/>
          <w:szCs w:val="24"/>
        </w:rPr>
        <w:t>to apply to RSEs.</w:t>
      </w:r>
      <w:r>
        <w:rPr>
          <w:rStyle w:val="FootnoteReference"/>
          <w:rFonts w:ascii="Times New Roman" w:hAnsi="Times New Roman"/>
          <w:sz w:val="24"/>
          <w:szCs w:val="24"/>
        </w:rPr>
        <w:footnoteReference w:id="3"/>
      </w:r>
      <w:r>
        <w:rPr>
          <w:rFonts w:ascii="Times New Roman" w:hAnsi="Times New Roman"/>
          <w:sz w:val="24"/>
          <w:szCs w:val="24"/>
        </w:rPr>
        <w:t xml:space="preserve"> </w:t>
      </w:r>
      <w:r w:rsidRPr="006B400A">
        <w:rPr>
          <w:rFonts w:ascii="Times New Roman" w:hAnsi="Times New Roman"/>
          <w:sz w:val="24"/>
          <w:szCs w:val="24"/>
        </w:rPr>
        <w:t>The legislative amendments align RSE financial reporting obligations with those that apply to public companies, registered schemes and other APRA regulated entities.</w:t>
      </w:r>
      <w:r>
        <w:rPr>
          <w:rFonts w:ascii="Times New Roman" w:hAnsi="Times New Roman"/>
          <w:sz w:val="24"/>
          <w:szCs w:val="24"/>
        </w:rPr>
        <w:t xml:space="preserve"> </w:t>
      </w:r>
      <w:r w:rsidRPr="006B400A">
        <w:rPr>
          <w:rFonts w:ascii="Times New Roman" w:hAnsi="Times New Roman"/>
          <w:sz w:val="24"/>
          <w:szCs w:val="24"/>
        </w:rPr>
        <w:t>The changes</w:t>
      </w:r>
      <w:r>
        <w:rPr>
          <w:rFonts w:ascii="Times New Roman" w:hAnsi="Times New Roman"/>
          <w:sz w:val="24"/>
          <w:szCs w:val="24"/>
        </w:rPr>
        <w:t xml:space="preserve"> </w:t>
      </w:r>
      <w:r w:rsidRPr="006B400A">
        <w:rPr>
          <w:rFonts w:ascii="Times New Roman" w:hAnsi="Times New Roman"/>
          <w:sz w:val="24"/>
          <w:szCs w:val="24"/>
        </w:rPr>
        <w:t>apply from 1 July 2023 (for year ends from 30 June 2024)</w:t>
      </w:r>
      <w:r>
        <w:rPr>
          <w:rFonts w:ascii="Times New Roman" w:hAnsi="Times New Roman"/>
          <w:sz w:val="24"/>
          <w:szCs w:val="24"/>
        </w:rPr>
        <w:t xml:space="preserve"> and </w:t>
      </w:r>
      <w:r w:rsidRPr="006B400A">
        <w:rPr>
          <w:rFonts w:ascii="Times New Roman" w:hAnsi="Times New Roman"/>
          <w:sz w:val="24"/>
          <w:szCs w:val="24"/>
        </w:rPr>
        <w:lastRenderedPageBreak/>
        <w:t xml:space="preserve">require lodgement of RSE financial statements and audit reports with </w:t>
      </w:r>
      <w:r>
        <w:rPr>
          <w:rFonts w:ascii="Times New Roman" w:hAnsi="Times New Roman"/>
          <w:sz w:val="24"/>
          <w:szCs w:val="24"/>
        </w:rPr>
        <w:t>the Australian Securities and Investments Commission (</w:t>
      </w:r>
      <w:r w:rsidRPr="006B400A">
        <w:rPr>
          <w:rFonts w:ascii="Times New Roman" w:hAnsi="Times New Roman"/>
          <w:sz w:val="24"/>
          <w:szCs w:val="24"/>
        </w:rPr>
        <w:t>ASIC</w:t>
      </w:r>
      <w:r>
        <w:rPr>
          <w:rFonts w:ascii="Times New Roman" w:hAnsi="Times New Roman"/>
          <w:sz w:val="24"/>
          <w:szCs w:val="24"/>
        </w:rPr>
        <w:t>)</w:t>
      </w:r>
      <w:r w:rsidRPr="006B400A">
        <w:rPr>
          <w:rFonts w:ascii="Times New Roman" w:hAnsi="Times New Roman"/>
          <w:sz w:val="24"/>
          <w:szCs w:val="24"/>
        </w:rPr>
        <w:t xml:space="preserve"> rather than APRA. </w:t>
      </w:r>
    </w:p>
    <w:p w14:paraId="30379657" w14:textId="77777777" w:rsidR="00B84419" w:rsidRDefault="00B84419" w:rsidP="00B84419">
      <w:pPr>
        <w:jc w:val="both"/>
        <w:rPr>
          <w:rFonts w:ascii="Times New Roman" w:hAnsi="Times New Roman"/>
          <w:sz w:val="24"/>
          <w:szCs w:val="24"/>
        </w:rPr>
      </w:pPr>
    </w:p>
    <w:p w14:paraId="08FD9D40" w14:textId="3F88FCA8" w:rsidR="00336521" w:rsidRDefault="00B84419" w:rsidP="009443B7">
      <w:pPr>
        <w:jc w:val="both"/>
        <w:rPr>
          <w:rFonts w:ascii="Times New Roman" w:hAnsi="Times New Roman"/>
          <w:sz w:val="24"/>
          <w:szCs w:val="24"/>
        </w:rPr>
      </w:pPr>
      <w:r w:rsidRPr="00226B52">
        <w:rPr>
          <w:rFonts w:ascii="Times New Roman" w:hAnsi="Times New Roman"/>
          <w:sz w:val="24"/>
          <w:szCs w:val="24"/>
        </w:rPr>
        <w:t xml:space="preserve">Amendments to </w:t>
      </w:r>
      <w:r>
        <w:rPr>
          <w:rFonts w:ascii="Times New Roman" w:hAnsi="Times New Roman"/>
          <w:sz w:val="24"/>
          <w:szCs w:val="24"/>
        </w:rPr>
        <w:t xml:space="preserve">the </w:t>
      </w:r>
      <w:r w:rsidRPr="00226B52">
        <w:rPr>
          <w:rFonts w:ascii="Times New Roman" w:hAnsi="Times New Roman"/>
          <w:sz w:val="24"/>
          <w:szCs w:val="24"/>
        </w:rPr>
        <w:t>prudential requirements for super</w:t>
      </w:r>
      <w:r>
        <w:rPr>
          <w:rFonts w:ascii="Times New Roman" w:hAnsi="Times New Roman"/>
          <w:sz w:val="24"/>
          <w:szCs w:val="24"/>
        </w:rPr>
        <w:t xml:space="preserve">annuation, including SPS 310, </w:t>
      </w:r>
      <w:r w:rsidRPr="00226B52">
        <w:rPr>
          <w:rFonts w:ascii="Times New Roman" w:hAnsi="Times New Roman"/>
          <w:sz w:val="24"/>
          <w:szCs w:val="24"/>
        </w:rPr>
        <w:t>are necessary to align with the new legislative obligations</w:t>
      </w:r>
      <w:r>
        <w:rPr>
          <w:rFonts w:ascii="Times New Roman" w:hAnsi="Times New Roman"/>
          <w:sz w:val="24"/>
          <w:szCs w:val="24"/>
        </w:rPr>
        <w:t>.</w:t>
      </w:r>
    </w:p>
    <w:p w14:paraId="249930E7" w14:textId="77777777" w:rsidR="009443B7" w:rsidRDefault="009443B7" w:rsidP="009443B7">
      <w:pPr>
        <w:jc w:val="both"/>
        <w:rPr>
          <w:rFonts w:ascii="Times New Roman" w:hAnsi="Times New Roman"/>
          <w:sz w:val="24"/>
          <w:szCs w:val="24"/>
        </w:rPr>
      </w:pPr>
    </w:p>
    <w:p w14:paraId="2DB5EAF5" w14:textId="4D0413F1" w:rsidR="00373992" w:rsidRPr="00564008" w:rsidRDefault="002436BD" w:rsidP="00373992">
      <w:pPr>
        <w:pStyle w:val="Heading"/>
        <w:keepNext/>
        <w:numPr>
          <w:ilvl w:val="0"/>
          <w:numId w:val="2"/>
        </w:numPr>
        <w:spacing w:after="240"/>
        <w:ind w:left="0" w:firstLine="0"/>
        <w:outlineLvl w:val="0"/>
        <w:rPr>
          <w:rFonts w:ascii="Times New Roman" w:hAnsi="Times New Roman"/>
          <w:sz w:val="24"/>
          <w:szCs w:val="24"/>
        </w:rPr>
      </w:pPr>
      <w:r w:rsidRPr="00564008">
        <w:rPr>
          <w:rFonts w:ascii="Times New Roman" w:hAnsi="Times New Roman"/>
          <w:sz w:val="24"/>
          <w:szCs w:val="24"/>
        </w:rPr>
        <w:t xml:space="preserve">Purpose </w:t>
      </w:r>
      <w:r w:rsidR="00DF524E" w:rsidRPr="00564008">
        <w:rPr>
          <w:rFonts w:ascii="Times New Roman" w:hAnsi="Times New Roman"/>
          <w:sz w:val="24"/>
          <w:szCs w:val="24"/>
        </w:rPr>
        <w:t xml:space="preserve">and operation </w:t>
      </w:r>
      <w:r w:rsidRPr="00564008">
        <w:rPr>
          <w:rFonts w:ascii="Times New Roman" w:hAnsi="Times New Roman"/>
          <w:sz w:val="24"/>
          <w:szCs w:val="24"/>
        </w:rPr>
        <w:t>of the instrument</w:t>
      </w:r>
      <w:bookmarkStart w:id="4" w:name="bkPurpose"/>
      <w:bookmarkEnd w:id="4"/>
    </w:p>
    <w:p w14:paraId="4B0DF31A" w14:textId="6B0D5429" w:rsidR="008D4E04" w:rsidRDefault="008D4E04" w:rsidP="007926A5">
      <w:pPr>
        <w:jc w:val="both"/>
        <w:rPr>
          <w:rFonts w:ascii="Times New Roman" w:hAnsi="Times New Roman"/>
          <w:sz w:val="24"/>
          <w:szCs w:val="24"/>
        </w:rPr>
      </w:pPr>
      <w:r w:rsidRPr="00BC1E70">
        <w:rPr>
          <w:rFonts w:ascii="Times New Roman" w:hAnsi="Times New Roman"/>
          <w:sz w:val="24"/>
          <w:szCs w:val="24"/>
        </w:rPr>
        <w:t>The purpose of</w:t>
      </w:r>
      <w:r>
        <w:rPr>
          <w:rFonts w:ascii="Times New Roman" w:hAnsi="Times New Roman"/>
          <w:sz w:val="24"/>
          <w:szCs w:val="24"/>
        </w:rPr>
        <w:t xml:space="preserve"> this instrument </w:t>
      </w:r>
      <w:r w:rsidRPr="00BC1E70">
        <w:rPr>
          <w:rFonts w:ascii="Times New Roman" w:hAnsi="Times New Roman"/>
          <w:sz w:val="24"/>
          <w:szCs w:val="24"/>
        </w:rPr>
        <w:t xml:space="preserve">is to revoke </w:t>
      </w:r>
      <w:r>
        <w:rPr>
          <w:rFonts w:ascii="Times New Roman" w:hAnsi="Times New Roman"/>
          <w:sz w:val="24"/>
          <w:szCs w:val="24"/>
        </w:rPr>
        <w:t xml:space="preserve">the previous SPS 310 and to replace it with a new version. </w:t>
      </w:r>
    </w:p>
    <w:p w14:paraId="71340981" w14:textId="77777777" w:rsidR="008D4E04" w:rsidRDefault="008D4E04" w:rsidP="008D4E04">
      <w:pPr>
        <w:jc w:val="both"/>
        <w:rPr>
          <w:rFonts w:ascii="Times New Roman" w:hAnsi="Times New Roman"/>
          <w:sz w:val="24"/>
          <w:szCs w:val="24"/>
        </w:rPr>
      </w:pPr>
    </w:p>
    <w:p w14:paraId="7D3FD170" w14:textId="4D3BF605" w:rsidR="006803B7" w:rsidRDefault="006803B7" w:rsidP="006803B7">
      <w:pPr>
        <w:jc w:val="both"/>
        <w:rPr>
          <w:rFonts w:ascii="Times New Roman" w:hAnsi="Times New Roman"/>
          <w:sz w:val="24"/>
          <w:szCs w:val="24"/>
        </w:rPr>
      </w:pPr>
      <w:r>
        <w:rPr>
          <w:rFonts w:ascii="Times New Roman" w:hAnsi="Times New Roman"/>
          <w:sz w:val="24"/>
          <w:szCs w:val="24"/>
        </w:rPr>
        <w:t xml:space="preserve">The key requirements of SPS 310 are set out below, including the amendments required to align the obligations </w:t>
      </w:r>
      <w:r w:rsidR="00166156">
        <w:rPr>
          <w:rFonts w:ascii="Times New Roman" w:hAnsi="Times New Roman"/>
          <w:sz w:val="24"/>
          <w:szCs w:val="24"/>
        </w:rPr>
        <w:t xml:space="preserve">in SPS 310 </w:t>
      </w:r>
      <w:r>
        <w:rPr>
          <w:rFonts w:ascii="Times New Roman" w:hAnsi="Times New Roman"/>
          <w:sz w:val="24"/>
          <w:szCs w:val="24"/>
        </w:rPr>
        <w:t xml:space="preserve">with the legislative changes set out above: </w:t>
      </w:r>
    </w:p>
    <w:p w14:paraId="1452C1E2" w14:textId="77777777" w:rsidR="006803B7" w:rsidRDefault="006803B7" w:rsidP="006803B7">
      <w:pPr>
        <w:jc w:val="both"/>
        <w:rPr>
          <w:rFonts w:ascii="Times New Roman" w:hAnsi="Times New Roman"/>
          <w:sz w:val="24"/>
          <w:szCs w:val="24"/>
        </w:rPr>
      </w:pPr>
    </w:p>
    <w:p w14:paraId="45E4A8E2" w14:textId="77777777" w:rsidR="006803B7" w:rsidRPr="006B52CC"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 xml:space="preserve">Obligations of RSE licensees – RSE auditor appointment </w:t>
      </w:r>
    </w:p>
    <w:p w14:paraId="702FBF43" w14:textId="25B22FC8" w:rsidR="006803B7" w:rsidRDefault="006803B7" w:rsidP="006803B7">
      <w:pPr>
        <w:pStyle w:val="List"/>
        <w:numPr>
          <w:ilvl w:val="1"/>
          <w:numId w:val="0"/>
        </w:numPr>
        <w:ind w:left="425"/>
        <w:rPr>
          <w:rFonts w:ascii="Times New Roman" w:hAnsi="Times New Roman" w:cs="Times New Roman"/>
          <w:sz w:val="24"/>
          <w:szCs w:val="24"/>
        </w:rPr>
      </w:pPr>
      <w:r>
        <w:rPr>
          <w:rFonts w:ascii="Times New Roman" w:hAnsi="Times New Roman" w:cs="Times New Roman"/>
          <w:sz w:val="24"/>
          <w:szCs w:val="24"/>
        </w:rPr>
        <w:t>P</w:t>
      </w:r>
      <w:r w:rsidRPr="006B52CC">
        <w:rPr>
          <w:rFonts w:ascii="Times New Roman" w:hAnsi="Times New Roman" w:cs="Times New Roman"/>
          <w:sz w:val="24"/>
          <w:szCs w:val="24"/>
        </w:rPr>
        <w:t xml:space="preserve">aragraphs </w:t>
      </w:r>
      <w:r>
        <w:rPr>
          <w:rFonts w:ascii="Times New Roman" w:hAnsi="Times New Roman" w:cs="Times New Roman"/>
          <w:sz w:val="24"/>
          <w:szCs w:val="24"/>
        </w:rPr>
        <w:t xml:space="preserve">8-12 outline requirements for the appointment of an RSE auditor, </w:t>
      </w:r>
      <w:r w:rsidR="009C6FCA">
        <w:rPr>
          <w:rFonts w:ascii="Times New Roman" w:hAnsi="Times New Roman" w:cs="Times New Roman"/>
          <w:sz w:val="24"/>
          <w:szCs w:val="24"/>
        </w:rPr>
        <w:t xml:space="preserve">and </w:t>
      </w:r>
      <w:r>
        <w:rPr>
          <w:rFonts w:ascii="Times New Roman" w:hAnsi="Times New Roman" w:cs="Times New Roman"/>
          <w:sz w:val="24"/>
          <w:szCs w:val="24"/>
        </w:rPr>
        <w:t xml:space="preserve">the terms of engagement of an RSE auditor including compliance with auditing standards </w:t>
      </w:r>
      <w:r w:rsidR="00F60E46">
        <w:rPr>
          <w:rFonts w:ascii="Times New Roman" w:hAnsi="Times New Roman" w:cs="Times New Roman"/>
          <w:sz w:val="24"/>
          <w:szCs w:val="24"/>
        </w:rPr>
        <w:t xml:space="preserve">issued by the Auditing and Assurance Standards Board </w:t>
      </w:r>
      <w:r>
        <w:rPr>
          <w:rFonts w:ascii="Times New Roman" w:hAnsi="Times New Roman" w:cs="Times New Roman"/>
          <w:sz w:val="24"/>
          <w:szCs w:val="24"/>
        </w:rPr>
        <w:t xml:space="preserve">and </w:t>
      </w:r>
      <w:r w:rsidR="00181949">
        <w:rPr>
          <w:rFonts w:ascii="Times New Roman" w:hAnsi="Times New Roman" w:cs="Times New Roman"/>
          <w:sz w:val="24"/>
          <w:szCs w:val="24"/>
        </w:rPr>
        <w:t xml:space="preserve">with </w:t>
      </w:r>
      <w:r>
        <w:rPr>
          <w:rFonts w:ascii="Times New Roman" w:hAnsi="Times New Roman" w:cs="Times New Roman"/>
          <w:sz w:val="24"/>
          <w:szCs w:val="24"/>
        </w:rPr>
        <w:t>relevant prudential and legislative requirements</w:t>
      </w:r>
      <w:r w:rsidR="00181949">
        <w:rPr>
          <w:rFonts w:ascii="Times New Roman" w:hAnsi="Times New Roman" w:cs="Times New Roman"/>
          <w:sz w:val="24"/>
          <w:szCs w:val="24"/>
        </w:rPr>
        <w:t>.</w:t>
      </w:r>
      <w:r w:rsidR="009D069B">
        <w:rPr>
          <w:rStyle w:val="FootnoteReference"/>
          <w:rFonts w:ascii="Times New Roman" w:hAnsi="Times New Roman" w:cs="Times New Roman"/>
          <w:sz w:val="24"/>
          <w:szCs w:val="24"/>
        </w:rPr>
        <w:footnoteReference w:id="4"/>
      </w:r>
      <w:r w:rsidR="00181949">
        <w:rPr>
          <w:rFonts w:ascii="Times New Roman" w:hAnsi="Times New Roman" w:cs="Times New Roman"/>
          <w:sz w:val="24"/>
          <w:szCs w:val="24"/>
        </w:rPr>
        <w:t xml:space="preserve"> In addition, </w:t>
      </w:r>
      <w:r w:rsidR="009C6FCA">
        <w:rPr>
          <w:rFonts w:ascii="Times New Roman" w:hAnsi="Times New Roman" w:cs="Times New Roman"/>
          <w:sz w:val="24"/>
          <w:szCs w:val="24"/>
        </w:rPr>
        <w:t>this</w:t>
      </w:r>
      <w:r w:rsidR="00181949">
        <w:rPr>
          <w:rFonts w:ascii="Times New Roman" w:hAnsi="Times New Roman" w:cs="Times New Roman"/>
          <w:sz w:val="24"/>
          <w:szCs w:val="24"/>
        </w:rPr>
        <w:t xml:space="preserve"> includes </w:t>
      </w:r>
      <w:r>
        <w:rPr>
          <w:rFonts w:ascii="Times New Roman" w:hAnsi="Times New Roman" w:cs="Times New Roman"/>
          <w:sz w:val="24"/>
          <w:szCs w:val="24"/>
        </w:rPr>
        <w:t xml:space="preserve">obligations on the RSE licensee to ensure the RSE auditor has access to all matters necessary to ensure they can carry out their role and responsibilities as an RSE auditor.  </w:t>
      </w:r>
    </w:p>
    <w:p w14:paraId="72C97362" w14:textId="4220CD07" w:rsidR="006803B7" w:rsidRDefault="006803B7" w:rsidP="006803B7">
      <w:pPr>
        <w:pStyle w:val="List"/>
        <w:numPr>
          <w:ilvl w:val="1"/>
          <w:numId w:val="0"/>
        </w:numPr>
        <w:ind w:left="425"/>
        <w:rPr>
          <w:rFonts w:ascii="Times New Roman" w:hAnsi="Times New Roman" w:cs="Times New Roman"/>
          <w:sz w:val="24"/>
          <w:szCs w:val="24"/>
        </w:rPr>
      </w:pPr>
      <w:r>
        <w:rPr>
          <w:rFonts w:ascii="Times New Roman" w:hAnsi="Times New Roman" w:cs="Times New Roman"/>
          <w:sz w:val="24"/>
          <w:szCs w:val="24"/>
        </w:rPr>
        <w:t xml:space="preserve">Changes made include the requirement for an RSE auditor to be </w:t>
      </w:r>
      <w:proofErr w:type="gramStart"/>
      <w:r>
        <w:rPr>
          <w:rFonts w:ascii="Times New Roman" w:hAnsi="Times New Roman" w:cs="Times New Roman"/>
          <w:sz w:val="24"/>
          <w:szCs w:val="24"/>
        </w:rPr>
        <w:t>appointed at all times</w:t>
      </w:r>
      <w:proofErr w:type="gramEnd"/>
      <w:r>
        <w:rPr>
          <w:rFonts w:ascii="Times New Roman" w:hAnsi="Times New Roman" w:cs="Times New Roman"/>
          <w:sz w:val="24"/>
          <w:szCs w:val="24"/>
        </w:rPr>
        <w:t xml:space="preserve"> (rather than annually), to ensure compliance with the Corporations Act and minor updates to an RSE auditor’s terms of engagement to ensure compliance with the relevant </w:t>
      </w:r>
      <w:r w:rsidR="004B581F">
        <w:rPr>
          <w:rFonts w:ascii="Times New Roman" w:hAnsi="Times New Roman" w:cs="Times New Roman"/>
          <w:sz w:val="24"/>
          <w:szCs w:val="24"/>
        </w:rPr>
        <w:t xml:space="preserve">legislative </w:t>
      </w:r>
      <w:r>
        <w:rPr>
          <w:rFonts w:ascii="Times New Roman" w:hAnsi="Times New Roman" w:cs="Times New Roman"/>
          <w:sz w:val="24"/>
          <w:szCs w:val="24"/>
        </w:rPr>
        <w:t>changes.</w:t>
      </w:r>
    </w:p>
    <w:p w14:paraId="355C7528" w14:textId="77777777" w:rsidR="006803B7"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 xml:space="preserve">Obligations of RSE licensees – fitness and propriety of RSE auditors </w:t>
      </w:r>
    </w:p>
    <w:p w14:paraId="3707516E" w14:textId="31A5C453" w:rsidR="006803B7" w:rsidRDefault="006803B7" w:rsidP="006803B7">
      <w:pPr>
        <w:pStyle w:val="List"/>
        <w:tabs>
          <w:tab w:val="clear" w:pos="425"/>
        </w:tabs>
        <w:ind w:firstLine="0"/>
        <w:rPr>
          <w:rFonts w:ascii="Times New Roman" w:hAnsi="Times New Roman"/>
          <w:sz w:val="24"/>
          <w:szCs w:val="24"/>
        </w:rPr>
      </w:pPr>
      <w:r w:rsidRPr="00A23802">
        <w:rPr>
          <w:rFonts w:ascii="Times New Roman" w:hAnsi="Times New Roman"/>
          <w:sz w:val="24"/>
          <w:szCs w:val="24"/>
        </w:rPr>
        <w:t>Paragraphs 1</w:t>
      </w:r>
      <w:r>
        <w:rPr>
          <w:rFonts w:ascii="Times New Roman" w:hAnsi="Times New Roman"/>
          <w:sz w:val="24"/>
          <w:szCs w:val="24"/>
        </w:rPr>
        <w:t>3</w:t>
      </w:r>
      <w:r w:rsidRPr="00A23802">
        <w:rPr>
          <w:rFonts w:ascii="Times New Roman" w:hAnsi="Times New Roman"/>
          <w:sz w:val="24"/>
          <w:szCs w:val="24"/>
        </w:rPr>
        <w:t xml:space="preserve">-14 </w:t>
      </w:r>
      <w:r>
        <w:rPr>
          <w:rFonts w:ascii="Times New Roman" w:hAnsi="Times New Roman"/>
          <w:sz w:val="24"/>
          <w:szCs w:val="24"/>
        </w:rPr>
        <w:t xml:space="preserve">outline requirements for an RSE licensee to ensure that an RSE auditor is not disqualified under the </w:t>
      </w:r>
      <w:r w:rsidRPr="006B4AF1">
        <w:rPr>
          <w:rFonts w:ascii="Times New Roman" w:hAnsi="Times New Roman"/>
          <w:i/>
          <w:sz w:val="24"/>
          <w:szCs w:val="24"/>
        </w:rPr>
        <w:t>Superannuation Industry (Supervision) Act 1993</w:t>
      </w:r>
      <w:r>
        <w:rPr>
          <w:rFonts w:ascii="Times New Roman" w:hAnsi="Times New Roman"/>
          <w:sz w:val="24"/>
          <w:szCs w:val="24"/>
        </w:rPr>
        <w:t xml:space="preserve"> (SIS Act), satisfies the eligibility criteria in </w:t>
      </w:r>
      <w:r w:rsidRPr="006E64C8">
        <w:rPr>
          <w:rFonts w:ascii="Times New Roman" w:hAnsi="Times New Roman"/>
          <w:i/>
          <w:sz w:val="24"/>
          <w:szCs w:val="24"/>
        </w:rPr>
        <w:t>Prudential Standard SPS 520 Fit and Proper</w:t>
      </w:r>
      <w:r w:rsidR="0033429A">
        <w:rPr>
          <w:rFonts w:ascii="Times New Roman" w:hAnsi="Times New Roman"/>
          <w:i/>
          <w:sz w:val="24"/>
          <w:szCs w:val="24"/>
        </w:rPr>
        <w:t xml:space="preserve"> </w:t>
      </w:r>
      <w:r w:rsidR="0033429A" w:rsidRPr="0033429A">
        <w:rPr>
          <w:rFonts w:ascii="Times New Roman" w:hAnsi="Times New Roman"/>
          <w:sz w:val="24"/>
          <w:szCs w:val="24"/>
        </w:rPr>
        <w:t>(SPS 520)</w:t>
      </w:r>
      <w:r>
        <w:rPr>
          <w:rFonts w:ascii="Times New Roman" w:hAnsi="Times New Roman"/>
          <w:sz w:val="24"/>
          <w:szCs w:val="24"/>
        </w:rPr>
        <w:t xml:space="preserve">, is a fit and proper person under the RSE licensee’s fit and proper policy, and satisfies the auditor independence requirements in </w:t>
      </w:r>
      <w:r w:rsidRPr="008031B2">
        <w:rPr>
          <w:rFonts w:ascii="Times New Roman" w:hAnsi="Times New Roman"/>
          <w:i/>
          <w:sz w:val="24"/>
          <w:szCs w:val="24"/>
        </w:rPr>
        <w:t>Prudential Standard SPS 510 Governance</w:t>
      </w:r>
      <w:r>
        <w:rPr>
          <w:rFonts w:ascii="Times New Roman" w:hAnsi="Times New Roman"/>
          <w:sz w:val="24"/>
          <w:szCs w:val="24"/>
        </w:rPr>
        <w:t xml:space="preserve"> (SPS 510). </w:t>
      </w:r>
    </w:p>
    <w:p w14:paraId="2ECBB0E5" w14:textId="77777777" w:rsidR="006803B7" w:rsidRDefault="006803B7" w:rsidP="006803B7">
      <w:pPr>
        <w:pStyle w:val="List"/>
        <w:tabs>
          <w:tab w:val="clear" w:pos="425"/>
        </w:tabs>
        <w:ind w:firstLine="0"/>
        <w:rPr>
          <w:rFonts w:ascii="Times New Roman" w:hAnsi="Times New Roman"/>
          <w:sz w:val="24"/>
          <w:szCs w:val="24"/>
        </w:rPr>
      </w:pPr>
      <w:r>
        <w:rPr>
          <w:rFonts w:ascii="Times New Roman" w:hAnsi="Times New Roman"/>
          <w:sz w:val="24"/>
          <w:szCs w:val="24"/>
        </w:rPr>
        <w:t xml:space="preserve">Changes made include the application of these requirements to an individual RSE auditor and a lead auditor of an RSE audit firm or RSE audit company (to align with legislative changes to the definition of an RSE auditor to include an individual RSE auditor, an RSE audit firm or an RSE audit company), and new requirements to ensure that an RSE audit firm or an RSE audit company is not disqualified under the SIS Act and satisfies the auditor independence requirements in SPS 510. </w:t>
      </w:r>
    </w:p>
    <w:p w14:paraId="574E030D" w14:textId="77777777" w:rsidR="006803B7" w:rsidRPr="003C5E86"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 xml:space="preserve">Obligations of RSE licensees – RSE auditor’s report </w:t>
      </w:r>
    </w:p>
    <w:p w14:paraId="66D7FCF6" w14:textId="58F78DE0"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 xml:space="preserve">Paragraphs 15-21 set out requirements for an RSE licensee to ensure the RSE auditor provides an auditor’s report </w:t>
      </w:r>
      <w:r w:rsidR="0033429A">
        <w:rPr>
          <w:rFonts w:ascii="Times New Roman" w:hAnsi="Times New Roman" w:cs="Times New Roman"/>
          <w:sz w:val="24"/>
          <w:szCs w:val="24"/>
        </w:rPr>
        <w:t xml:space="preserve">for an RSE </w:t>
      </w:r>
      <w:r>
        <w:rPr>
          <w:rFonts w:ascii="Times New Roman" w:hAnsi="Times New Roman" w:cs="Times New Roman"/>
          <w:sz w:val="24"/>
          <w:szCs w:val="24"/>
        </w:rPr>
        <w:t xml:space="preserve">to the Board, for the report to be submitted to APRA within three months of the end of the year of income, and a </w:t>
      </w:r>
      <w:r>
        <w:rPr>
          <w:rFonts w:ascii="Times New Roman" w:hAnsi="Times New Roman" w:cs="Times New Roman"/>
          <w:sz w:val="24"/>
          <w:szCs w:val="24"/>
        </w:rPr>
        <w:lastRenderedPageBreak/>
        <w:t>number of other provisions clarifying audit report requirements, for example, where an RSE has wound up, auditor reports for small APRA funds (SAFs) and group arrangements.</w:t>
      </w:r>
    </w:p>
    <w:p w14:paraId="07105126" w14:textId="77777777"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Changes made include providing an RSE licensee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an RSE licensee of a SAF) with the option of submitting the auditor’s report to ASIC, </w:t>
      </w:r>
      <w:r w:rsidRPr="00646582">
        <w:rPr>
          <w:rFonts w:ascii="Times New Roman" w:hAnsi="Times New Roman" w:cs="Times New Roman"/>
          <w:sz w:val="24"/>
          <w:szCs w:val="24"/>
        </w:rPr>
        <w:t>together with the report lodged with ASIC in accordance with section 319 of the Corporations Act</w:t>
      </w:r>
      <w:r>
        <w:rPr>
          <w:rFonts w:ascii="Times New Roman" w:hAnsi="Times New Roman" w:cs="Times New Roman"/>
          <w:sz w:val="24"/>
          <w:szCs w:val="24"/>
        </w:rPr>
        <w:t>, or alternatively for the RSE licensee to lodge the auditor’s report with APRA. An RSE licensee of a SAF must continue to submit the auditor’s report to APRA.</w:t>
      </w:r>
    </w:p>
    <w:p w14:paraId="1805C1E0" w14:textId="77777777" w:rsidR="006803B7"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 xml:space="preserve">Responsibilities of the RSE auditor – reporting </w:t>
      </w:r>
    </w:p>
    <w:p w14:paraId="2FEB6227" w14:textId="31CAC90D"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 xml:space="preserve">Paragraphs 22-25 set out requirements for the auditor’s report to provide reasonable and limited assurance over the information related to each RSE required under reporting standards, compliance with legislative provisions, systems, </w:t>
      </w:r>
      <w:proofErr w:type="gramStart"/>
      <w:r>
        <w:rPr>
          <w:rFonts w:ascii="Times New Roman" w:hAnsi="Times New Roman" w:cs="Times New Roman"/>
          <w:sz w:val="24"/>
          <w:szCs w:val="24"/>
        </w:rPr>
        <w:t>procedures</w:t>
      </w:r>
      <w:proofErr w:type="gramEnd"/>
      <w:r>
        <w:rPr>
          <w:rFonts w:ascii="Times New Roman" w:hAnsi="Times New Roman" w:cs="Times New Roman"/>
          <w:sz w:val="24"/>
          <w:szCs w:val="24"/>
        </w:rPr>
        <w:t xml:space="preserve"> and controls to ensure compliance, and compliance with the risk management framework.</w:t>
      </w:r>
    </w:p>
    <w:p w14:paraId="74213959" w14:textId="434D4A16" w:rsidR="006803B7" w:rsidRPr="00497A2C"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 xml:space="preserve">Changes to the requirements for the auditor’s report include removal of assurance over the annual financial statements for RSEs (other than SAFs which will continue to be included) and incorporation of the legislative provisions for compliance into a new Attachment B of SPS 310, following removal of </w:t>
      </w:r>
      <w:r w:rsidR="0033429A">
        <w:rPr>
          <w:rFonts w:ascii="Times New Roman" w:hAnsi="Times New Roman" w:cs="Times New Roman"/>
          <w:sz w:val="24"/>
          <w:szCs w:val="24"/>
        </w:rPr>
        <w:t>an</w:t>
      </w:r>
      <w:r>
        <w:rPr>
          <w:rFonts w:ascii="Times New Roman" w:hAnsi="Times New Roman" w:cs="Times New Roman"/>
          <w:sz w:val="24"/>
          <w:szCs w:val="24"/>
        </w:rPr>
        <w:t xml:space="preserve"> </w:t>
      </w:r>
      <w:r w:rsidR="0033429A">
        <w:rPr>
          <w:rFonts w:ascii="Times New Roman" w:hAnsi="Times New Roman" w:cs="Times New Roman"/>
          <w:sz w:val="24"/>
          <w:szCs w:val="24"/>
        </w:rPr>
        <w:t>‘</w:t>
      </w:r>
      <w:r>
        <w:rPr>
          <w:rFonts w:ascii="Times New Roman" w:hAnsi="Times New Roman" w:cs="Times New Roman"/>
          <w:sz w:val="24"/>
          <w:szCs w:val="24"/>
        </w:rPr>
        <w:t>approved form</w:t>
      </w:r>
      <w:r w:rsidR="0033429A">
        <w:rPr>
          <w:rFonts w:ascii="Times New Roman" w:hAnsi="Times New Roman" w:cs="Times New Roman"/>
          <w:sz w:val="24"/>
          <w:szCs w:val="24"/>
        </w:rPr>
        <w:t>’ for the audit</w:t>
      </w:r>
      <w:r>
        <w:rPr>
          <w:rFonts w:ascii="Times New Roman" w:hAnsi="Times New Roman" w:cs="Times New Roman"/>
          <w:sz w:val="24"/>
          <w:szCs w:val="24"/>
        </w:rPr>
        <w:t xml:space="preserve">. In addition, a change was made to extend the requirement for retention of working papers to seven years </w:t>
      </w:r>
      <w:r w:rsidR="00D6136C">
        <w:rPr>
          <w:rFonts w:ascii="Times New Roman" w:hAnsi="Times New Roman" w:cs="Times New Roman"/>
          <w:sz w:val="24"/>
          <w:szCs w:val="24"/>
        </w:rPr>
        <w:t>(from five years</w:t>
      </w:r>
      <w:r w:rsidR="005C53B9">
        <w:rPr>
          <w:rFonts w:ascii="Times New Roman" w:hAnsi="Times New Roman" w:cs="Times New Roman"/>
          <w:sz w:val="24"/>
          <w:szCs w:val="24"/>
        </w:rPr>
        <w:t xml:space="preserve">) </w:t>
      </w:r>
      <w:r>
        <w:rPr>
          <w:rFonts w:ascii="Times New Roman" w:hAnsi="Times New Roman" w:cs="Times New Roman"/>
          <w:sz w:val="24"/>
          <w:szCs w:val="24"/>
        </w:rPr>
        <w:t>to align with Corporations Act requirements.</w:t>
      </w:r>
    </w:p>
    <w:p w14:paraId="39A1FA9A" w14:textId="77777777" w:rsidR="006803B7"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Other responsibilities of the RSE licensee</w:t>
      </w:r>
    </w:p>
    <w:p w14:paraId="1617B5BF" w14:textId="77777777"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Paragraphs 26-27 set out requirements for an RSE licensee to bear the costs of preparing and submitting reports and other material required by SPS 310, and to facilitate meeting arrangements requested by APRA, including ensuring attendance by the RSE auditor.</w:t>
      </w:r>
    </w:p>
    <w:p w14:paraId="26A42506" w14:textId="77777777"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Changes made include a minor update to clarify that the requirements apply to an individual RSE auditor and to extend the requirement to a lead auditor where the RSE auditor is an RSE audit firm or company.</w:t>
      </w:r>
    </w:p>
    <w:p w14:paraId="022D1958" w14:textId="77777777" w:rsidR="006803B7"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Special purpose engagements</w:t>
      </w:r>
    </w:p>
    <w:p w14:paraId="1732075C" w14:textId="18F9D52A"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 xml:space="preserve">Paragraphs 28-31 set out requirements for an RSE licensee to engage an auditor to provide a report on a particular aspect of the RSE licensee’s business operations. An RSE auditor engaged under a special purpose engagement must comply with the reporting requirements as required by APRA and submit the report to APRA and the Board within the required time. </w:t>
      </w:r>
    </w:p>
    <w:p w14:paraId="75510559" w14:textId="77777777"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Minor wording changes only have been made to this section.</w:t>
      </w:r>
    </w:p>
    <w:p w14:paraId="40472FA0" w14:textId="77777777" w:rsidR="006803B7"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 xml:space="preserve">Attachment A - Content of auditor’s report: information required under reporting standards made by </w:t>
      </w:r>
      <w:proofErr w:type="gramStart"/>
      <w:r>
        <w:rPr>
          <w:rFonts w:ascii="Times New Roman" w:hAnsi="Times New Roman" w:cs="Times New Roman"/>
          <w:i/>
          <w:sz w:val="24"/>
          <w:szCs w:val="24"/>
        </w:rPr>
        <w:t>APRA</w:t>
      </w:r>
      <w:proofErr w:type="gramEnd"/>
    </w:p>
    <w:p w14:paraId="05FAF68E" w14:textId="77777777"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lastRenderedPageBreak/>
        <w:t>Attachment A relates to paragraph 22 of SPS 310 that sets out requirements for the auditor’s report to provide reasonable and limited assurance addressing the information related to each RSE required under reporting standards identified in the attachment. It includes a list of reporting standards that must be considered in the audit, including the level of assurance – reasonable or limited assurance.</w:t>
      </w:r>
    </w:p>
    <w:p w14:paraId="07D14882" w14:textId="665DFF53" w:rsidR="006803B7" w:rsidRDefault="008D466F"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 xml:space="preserve">Minor changes have been made to </w:t>
      </w:r>
      <w:r w:rsidR="006803B7">
        <w:rPr>
          <w:rFonts w:ascii="Times New Roman" w:hAnsi="Times New Roman" w:cs="Times New Roman"/>
          <w:sz w:val="24"/>
          <w:szCs w:val="24"/>
        </w:rPr>
        <w:t>the list of reporting standards for audit and the addition of a paragraph to clarify requirements for an RSE that has wound up.</w:t>
      </w:r>
    </w:p>
    <w:p w14:paraId="02D74912" w14:textId="77777777" w:rsidR="006803B7" w:rsidRDefault="006803B7" w:rsidP="006803B7">
      <w:pPr>
        <w:pStyle w:val="List"/>
        <w:numPr>
          <w:ilvl w:val="1"/>
          <w:numId w:val="11"/>
        </w:numPr>
        <w:rPr>
          <w:rFonts w:ascii="Times New Roman" w:hAnsi="Times New Roman" w:cs="Times New Roman"/>
          <w:i/>
          <w:sz w:val="24"/>
          <w:szCs w:val="24"/>
        </w:rPr>
      </w:pPr>
      <w:r>
        <w:rPr>
          <w:rFonts w:ascii="Times New Roman" w:hAnsi="Times New Roman" w:cs="Times New Roman"/>
          <w:i/>
          <w:sz w:val="24"/>
          <w:szCs w:val="24"/>
        </w:rPr>
        <w:t>Attachment B – Content of auditor’s report: compliance with legislative provisions</w:t>
      </w:r>
    </w:p>
    <w:p w14:paraId="181AE09A" w14:textId="08F1684D"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 xml:space="preserve">Attachment B is a new addition to SPS 310. It relates to paragraph 22 of the standard and sets out requirements for the auditor’s report to provide reasonable assurance addressing the legislative provisions identified in the attachment. These legislative provisions were previously included in the ‘approved form’ and were therefore required to be included in the audit. No changes have been made to the list of provisions for audit in relation to provisions in the SIS Act and the </w:t>
      </w:r>
      <w:r w:rsidRPr="00E839A2">
        <w:rPr>
          <w:rFonts w:ascii="Times New Roman" w:hAnsi="Times New Roman" w:cs="Times New Roman"/>
          <w:i/>
          <w:sz w:val="24"/>
          <w:szCs w:val="24"/>
        </w:rPr>
        <w:t>Superannuation Industry (Supervision) Regulations 1994</w:t>
      </w:r>
      <w:r>
        <w:rPr>
          <w:rFonts w:ascii="Times New Roman" w:hAnsi="Times New Roman" w:cs="Times New Roman"/>
          <w:sz w:val="24"/>
          <w:szCs w:val="24"/>
        </w:rPr>
        <w:t xml:space="preserve">. A limited number of provisions have been removed from </w:t>
      </w:r>
      <w:r w:rsidR="009E6CFE">
        <w:rPr>
          <w:rFonts w:ascii="Times New Roman" w:hAnsi="Times New Roman" w:cs="Times New Roman"/>
          <w:sz w:val="24"/>
          <w:szCs w:val="24"/>
        </w:rPr>
        <w:t xml:space="preserve">the </w:t>
      </w:r>
      <w:r>
        <w:rPr>
          <w:rFonts w:ascii="Times New Roman" w:hAnsi="Times New Roman" w:cs="Times New Roman"/>
          <w:sz w:val="24"/>
          <w:szCs w:val="24"/>
        </w:rPr>
        <w:t xml:space="preserve">list of provisions for audit in relation to the Corporations Act and the </w:t>
      </w:r>
      <w:r w:rsidRPr="00E839A2">
        <w:rPr>
          <w:rFonts w:ascii="Times New Roman" w:hAnsi="Times New Roman" w:cs="Times New Roman"/>
          <w:i/>
          <w:sz w:val="24"/>
          <w:szCs w:val="24"/>
        </w:rPr>
        <w:t>Corporations Regulations 2001</w:t>
      </w:r>
      <w:r>
        <w:rPr>
          <w:rFonts w:ascii="Times New Roman" w:hAnsi="Times New Roman" w:cs="Times New Roman"/>
          <w:sz w:val="24"/>
          <w:szCs w:val="24"/>
        </w:rPr>
        <w:t xml:space="preserve">. </w:t>
      </w:r>
    </w:p>
    <w:p w14:paraId="5A273C1A" w14:textId="77777777" w:rsidR="006803B7" w:rsidRDefault="006803B7" w:rsidP="006803B7">
      <w:pPr>
        <w:pStyle w:val="List"/>
        <w:tabs>
          <w:tab w:val="clear" w:pos="425"/>
        </w:tabs>
        <w:ind w:firstLine="0"/>
        <w:rPr>
          <w:rFonts w:ascii="Times New Roman" w:hAnsi="Times New Roman" w:cs="Times New Roman"/>
          <w:sz w:val="24"/>
          <w:szCs w:val="24"/>
        </w:rPr>
      </w:pPr>
      <w:r>
        <w:rPr>
          <w:rFonts w:ascii="Times New Roman" w:hAnsi="Times New Roman" w:cs="Times New Roman"/>
          <w:sz w:val="24"/>
          <w:szCs w:val="24"/>
        </w:rPr>
        <w:t xml:space="preserve">The above change moves the list of provisions for audit from the ‘approved form’ (which is being retired) to a new Attachment B in SPS </w:t>
      </w:r>
      <w:proofErr w:type="gramStart"/>
      <w:r>
        <w:rPr>
          <w:rFonts w:ascii="Times New Roman" w:hAnsi="Times New Roman" w:cs="Times New Roman"/>
          <w:sz w:val="24"/>
          <w:szCs w:val="24"/>
        </w:rPr>
        <w:t>310, and</w:t>
      </w:r>
      <w:proofErr w:type="gramEnd"/>
      <w:r>
        <w:rPr>
          <w:rFonts w:ascii="Times New Roman" w:hAnsi="Times New Roman" w:cs="Times New Roman"/>
          <w:sz w:val="24"/>
          <w:szCs w:val="24"/>
        </w:rPr>
        <w:t xml:space="preserve"> removes a limited number of provisions for audit.</w:t>
      </w:r>
    </w:p>
    <w:p w14:paraId="0086F92E" w14:textId="4A9B8BE1" w:rsidR="001C2878" w:rsidRPr="003D5B23" w:rsidRDefault="001C2878" w:rsidP="001C2878">
      <w:pPr>
        <w:numPr>
          <w:ilvl w:val="0"/>
          <w:numId w:val="11"/>
        </w:numPr>
        <w:spacing w:after="240"/>
        <w:jc w:val="both"/>
        <w:rPr>
          <w:rFonts w:ascii="Times New Roman" w:hAnsi="Times New Roman"/>
          <w:b/>
          <w:i/>
          <w:sz w:val="24"/>
          <w:szCs w:val="24"/>
          <w:highlight w:val="yellow"/>
        </w:rPr>
      </w:pPr>
      <w:r w:rsidRPr="009E00D1">
        <w:rPr>
          <w:rFonts w:ascii="Times New Roman" w:hAnsi="Times New Roman"/>
          <w:b/>
          <w:i/>
          <w:sz w:val="24"/>
          <w:szCs w:val="24"/>
        </w:rPr>
        <w:t>Exercise of discretion by APRA</w:t>
      </w:r>
    </w:p>
    <w:p w14:paraId="5F44BA23" w14:textId="45EC5914" w:rsidR="00B87FEF" w:rsidRPr="00602C94" w:rsidRDefault="00B87FEF" w:rsidP="00B87FEF">
      <w:pPr>
        <w:spacing w:before="100" w:beforeAutospacing="1" w:after="100" w:afterAutospacing="1"/>
        <w:jc w:val="both"/>
        <w:rPr>
          <w:rFonts w:ascii="Times New Roman" w:hAnsi="Times New Roman"/>
          <w:sz w:val="24"/>
          <w:szCs w:val="24"/>
        </w:rPr>
      </w:pPr>
      <w:r w:rsidRPr="00C3285C">
        <w:rPr>
          <w:rFonts w:ascii="Times New Roman" w:hAnsi="Times New Roman"/>
          <w:sz w:val="24"/>
          <w:szCs w:val="24"/>
        </w:rPr>
        <w:t xml:space="preserve">The prudential standards provide for APRA to exercise various discretions. Decisions made by APRA </w:t>
      </w:r>
      <w:r w:rsidR="002B1434" w:rsidRPr="00B3528A">
        <w:rPr>
          <w:rFonts w:ascii="Times New Roman" w:hAnsi="Times New Roman"/>
          <w:sz w:val="24"/>
          <w:szCs w:val="24"/>
        </w:rPr>
        <w:t xml:space="preserve">in </w:t>
      </w:r>
      <w:r w:rsidRPr="00C3285C">
        <w:rPr>
          <w:rFonts w:ascii="Times New Roman" w:hAnsi="Times New Roman"/>
          <w:sz w:val="24"/>
          <w:szCs w:val="24"/>
        </w:rPr>
        <w:t>exercising those discretions are not subject to merits review. This is because these decisions are preliminary decisions that may facilitate or lead to substantive decisions which are subject to merits review.</w:t>
      </w:r>
      <w:r w:rsidRPr="00602C94">
        <w:rPr>
          <w:rFonts w:ascii="Times New Roman" w:hAnsi="Times New Roman"/>
          <w:sz w:val="24"/>
          <w:szCs w:val="24"/>
        </w:rPr>
        <w:t xml:space="preserve"> </w:t>
      </w:r>
    </w:p>
    <w:p w14:paraId="6AA5C8BF" w14:textId="717245D6" w:rsidR="00B87FEF" w:rsidRPr="00602C94" w:rsidRDefault="00B87FEF" w:rsidP="00B87FEF">
      <w:pPr>
        <w:spacing w:before="100" w:beforeAutospacing="1" w:after="100" w:afterAutospacing="1"/>
        <w:jc w:val="both"/>
        <w:rPr>
          <w:rFonts w:ascii="Times New Roman" w:hAnsi="Times New Roman"/>
          <w:sz w:val="24"/>
          <w:szCs w:val="24"/>
        </w:rPr>
      </w:pPr>
      <w:r w:rsidRPr="00602C94">
        <w:rPr>
          <w:rFonts w:ascii="Times New Roman" w:hAnsi="Times New Roman"/>
          <w:sz w:val="24"/>
          <w:szCs w:val="24"/>
        </w:rPr>
        <w:t>Under the Act, it is a condition on all RSE licences that the RSE licensee must comply with the RSE licensee law, which includes prudential standards. However</w:t>
      </w:r>
      <w:r>
        <w:rPr>
          <w:rFonts w:ascii="Times New Roman" w:hAnsi="Times New Roman"/>
          <w:sz w:val="24"/>
          <w:szCs w:val="24"/>
        </w:rPr>
        <w:t>,</w:t>
      </w:r>
      <w:r w:rsidRPr="00602C94">
        <w:rPr>
          <w:rFonts w:ascii="Times New Roman" w:hAnsi="Times New Roman"/>
          <w:sz w:val="24"/>
          <w:szCs w:val="24"/>
        </w:rPr>
        <w:t xml:space="preserve"> there are no penalties prescribed for breach of </w:t>
      </w:r>
      <w:r>
        <w:rPr>
          <w:rFonts w:ascii="Times New Roman" w:hAnsi="Times New Roman"/>
          <w:sz w:val="24"/>
          <w:szCs w:val="24"/>
        </w:rPr>
        <w:t xml:space="preserve">the prudential standards under </w:t>
      </w:r>
      <w:r w:rsidRPr="00602C94">
        <w:rPr>
          <w:rFonts w:ascii="Times New Roman" w:hAnsi="Times New Roman"/>
          <w:sz w:val="24"/>
          <w:szCs w:val="24"/>
        </w:rPr>
        <w:t>the</w:t>
      </w:r>
      <w:r>
        <w:rPr>
          <w:rFonts w:ascii="Times New Roman" w:hAnsi="Times New Roman"/>
          <w:sz w:val="24"/>
          <w:szCs w:val="24"/>
        </w:rPr>
        <w:t xml:space="preserve"> Act. Instead, an RSE licensee’s</w:t>
      </w:r>
      <w:r w:rsidRPr="00602C94">
        <w:rPr>
          <w:rFonts w:ascii="Times New Roman" w:hAnsi="Times New Roman"/>
          <w:sz w:val="24"/>
          <w:szCs w:val="24"/>
        </w:rPr>
        <w:t xml:space="preserve"> breach of </w:t>
      </w:r>
      <w:r>
        <w:rPr>
          <w:rFonts w:ascii="Times New Roman" w:hAnsi="Times New Roman"/>
          <w:sz w:val="24"/>
          <w:szCs w:val="24"/>
        </w:rPr>
        <w:t>an</w:t>
      </w:r>
      <w:r w:rsidRPr="00602C94">
        <w:rPr>
          <w:rFonts w:ascii="Times New Roman" w:hAnsi="Times New Roman"/>
          <w:sz w:val="24"/>
          <w:szCs w:val="24"/>
        </w:rPr>
        <w:t xml:space="preserve"> RSE lice</w:t>
      </w:r>
      <w:r>
        <w:rPr>
          <w:rFonts w:ascii="Times New Roman" w:hAnsi="Times New Roman"/>
          <w:sz w:val="24"/>
          <w:szCs w:val="24"/>
        </w:rPr>
        <w:t>nce condition is grounds for</w:t>
      </w:r>
      <w:r w:rsidRPr="00602C94">
        <w:rPr>
          <w:rFonts w:ascii="Times New Roman" w:hAnsi="Times New Roman"/>
          <w:sz w:val="24"/>
          <w:szCs w:val="24"/>
        </w:rPr>
        <w:t xml:space="preserve"> APRA to make further, subst</w:t>
      </w:r>
      <w:r>
        <w:rPr>
          <w:rFonts w:ascii="Times New Roman" w:hAnsi="Times New Roman"/>
          <w:sz w:val="24"/>
          <w:szCs w:val="24"/>
        </w:rPr>
        <w:t>antive decisions under the Act in relation to the RSE licensee</w:t>
      </w:r>
      <w:r w:rsidRPr="00602C94">
        <w:rPr>
          <w:rFonts w:ascii="Times New Roman" w:hAnsi="Times New Roman"/>
          <w:sz w:val="24"/>
          <w:szCs w:val="24"/>
        </w:rPr>
        <w:t xml:space="preserve">. Those decisions </w:t>
      </w:r>
      <w:proofErr w:type="gramStart"/>
      <w:r w:rsidRPr="00602C94">
        <w:rPr>
          <w:rFonts w:ascii="Times New Roman" w:hAnsi="Times New Roman"/>
          <w:sz w:val="24"/>
          <w:szCs w:val="24"/>
        </w:rPr>
        <w:t>are, as the case may be</w:t>
      </w:r>
      <w:proofErr w:type="gramEnd"/>
      <w:r w:rsidRPr="00602C94">
        <w:rPr>
          <w:rFonts w:ascii="Times New Roman" w:hAnsi="Times New Roman"/>
          <w:sz w:val="24"/>
          <w:szCs w:val="24"/>
        </w:rPr>
        <w:t>:</w:t>
      </w:r>
    </w:p>
    <w:p w14:paraId="75134723" w14:textId="77777777" w:rsidR="00B87FEF" w:rsidRPr="00602C94" w:rsidRDefault="00B87FEF" w:rsidP="00B87FEF">
      <w:pPr>
        <w:spacing w:before="100" w:beforeAutospacing="1" w:after="100" w:afterAutospacing="1"/>
        <w:ind w:left="993" w:hanging="993"/>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to cancel</w:t>
      </w:r>
      <w:r w:rsidRPr="00602C94">
        <w:rPr>
          <w:rFonts w:ascii="Times New Roman" w:hAnsi="Times New Roman"/>
          <w:sz w:val="24"/>
          <w:szCs w:val="24"/>
        </w:rPr>
        <w:t xml:space="preserve"> a licenc</w:t>
      </w:r>
      <w:r>
        <w:rPr>
          <w:rFonts w:ascii="Times New Roman" w:hAnsi="Times New Roman"/>
          <w:sz w:val="24"/>
          <w:szCs w:val="24"/>
        </w:rPr>
        <w:t xml:space="preserve">e to </w:t>
      </w:r>
      <w:r w:rsidRPr="00602C94">
        <w:rPr>
          <w:rFonts w:ascii="Times New Roman" w:hAnsi="Times New Roman"/>
          <w:sz w:val="24"/>
          <w:szCs w:val="24"/>
        </w:rPr>
        <w:t>operate an APRA-regulated superannuation fund (s</w:t>
      </w:r>
      <w:r>
        <w:rPr>
          <w:rFonts w:ascii="Times New Roman" w:hAnsi="Times New Roman"/>
          <w:sz w:val="24"/>
          <w:szCs w:val="24"/>
        </w:rPr>
        <w:t xml:space="preserve">ection </w:t>
      </w:r>
      <w:r w:rsidRPr="00602C94">
        <w:rPr>
          <w:rFonts w:ascii="Times New Roman" w:hAnsi="Times New Roman"/>
          <w:sz w:val="24"/>
          <w:szCs w:val="24"/>
        </w:rPr>
        <w:t xml:space="preserve">29G </w:t>
      </w:r>
      <w:r>
        <w:rPr>
          <w:rFonts w:ascii="Times New Roman" w:hAnsi="Times New Roman"/>
          <w:sz w:val="24"/>
          <w:szCs w:val="24"/>
        </w:rPr>
        <w:t>of the</w:t>
      </w:r>
      <w:r w:rsidRPr="00602C94">
        <w:rPr>
          <w:rFonts w:ascii="Times New Roman" w:hAnsi="Times New Roman"/>
          <w:sz w:val="24"/>
          <w:szCs w:val="24"/>
        </w:rPr>
        <w:t xml:space="preserve"> Act); and</w:t>
      </w:r>
    </w:p>
    <w:p w14:paraId="7F9CFE4D" w14:textId="77777777" w:rsidR="00B87FEF" w:rsidRPr="00602C94" w:rsidRDefault="00B87FEF" w:rsidP="00B87FEF">
      <w:pPr>
        <w:spacing w:before="100" w:beforeAutospacing="1" w:after="100" w:afterAutospacing="1"/>
        <w:ind w:left="993" w:hanging="993"/>
        <w:jc w:val="both"/>
        <w:rPr>
          <w:rFonts w:ascii="Times New Roman" w:hAnsi="Times New Roman"/>
          <w:sz w:val="24"/>
          <w:szCs w:val="24"/>
        </w:rPr>
      </w:pPr>
      <w:r w:rsidRPr="00602C94">
        <w:rPr>
          <w:rFonts w:ascii="Times New Roman" w:hAnsi="Times New Roman"/>
          <w:sz w:val="24"/>
          <w:szCs w:val="24"/>
        </w:rPr>
        <w:t>(b)</w:t>
      </w:r>
      <w:r>
        <w:rPr>
          <w:rFonts w:ascii="Times New Roman" w:hAnsi="Times New Roman"/>
          <w:sz w:val="24"/>
          <w:szCs w:val="24"/>
        </w:rPr>
        <w:tab/>
        <w:t>to issue a direction to the RSE licensee</w:t>
      </w:r>
      <w:r w:rsidRPr="00602C94">
        <w:rPr>
          <w:rFonts w:ascii="Times New Roman" w:hAnsi="Times New Roman"/>
          <w:sz w:val="24"/>
          <w:szCs w:val="24"/>
        </w:rPr>
        <w:t>, including a direction to comply with the whole or part of a prudent</w:t>
      </w:r>
      <w:r>
        <w:rPr>
          <w:rFonts w:ascii="Times New Roman" w:hAnsi="Times New Roman"/>
          <w:sz w:val="24"/>
          <w:szCs w:val="24"/>
        </w:rPr>
        <w:t>ial standard (</w:t>
      </w:r>
      <w:r w:rsidRPr="00602C94">
        <w:rPr>
          <w:rFonts w:ascii="Times New Roman" w:hAnsi="Times New Roman"/>
          <w:sz w:val="24"/>
          <w:szCs w:val="24"/>
        </w:rPr>
        <w:t>s</w:t>
      </w:r>
      <w:r>
        <w:rPr>
          <w:rFonts w:ascii="Times New Roman" w:hAnsi="Times New Roman"/>
          <w:sz w:val="24"/>
          <w:szCs w:val="24"/>
        </w:rPr>
        <w:t>ection 131D of the</w:t>
      </w:r>
      <w:r w:rsidRPr="00602C94">
        <w:rPr>
          <w:rFonts w:ascii="Times New Roman" w:hAnsi="Times New Roman"/>
          <w:sz w:val="24"/>
          <w:szCs w:val="24"/>
        </w:rPr>
        <w:t xml:space="preserve"> Act). </w:t>
      </w:r>
    </w:p>
    <w:p w14:paraId="0D0AF4F0" w14:textId="17A925EC" w:rsidR="00B87FEF" w:rsidRDefault="00B87FEF" w:rsidP="00B87FEF">
      <w:pPr>
        <w:pStyle w:val="List"/>
        <w:tabs>
          <w:tab w:val="clear" w:pos="425"/>
        </w:tabs>
        <w:ind w:left="0" w:firstLine="0"/>
        <w:rPr>
          <w:rFonts w:ascii="Times New Roman" w:hAnsi="Times New Roman" w:cs="Times New Roman"/>
          <w:sz w:val="24"/>
          <w:szCs w:val="24"/>
        </w:rPr>
      </w:pPr>
      <w:r w:rsidRPr="00602C94">
        <w:rPr>
          <w:rFonts w:ascii="Times New Roman" w:hAnsi="Times New Roman"/>
          <w:sz w:val="24"/>
          <w:szCs w:val="24"/>
        </w:rPr>
        <w:t>It is o</w:t>
      </w:r>
      <w:r>
        <w:rPr>
          <w:rFonts w:ascii="Times New Roman" w:hAnsi="Times New Roman"/>
          <w:sz w:val="24"/>
          <w:szCs w:val="24"/>
        </w:rPr>
        <w:t>nly at this stage that an RSE licensee</w:t>
      </w:r>
      <w:r w:rsidRPr="00602C94">
        <w:rPr>
          <w:rFonts w:ascii="Times New Roman" w:hAnsi="Times New Roman"/>
          <w:sz w:val="24"/>
          <w:szCs w:val="24"/>
        </w:rPr>
        <w:t xml:space="preserve"> is exposed to a pe</w:t>
      </w:r>
      <w:r>
        <w:rPr>
          <w:rFonts w:ascii="Times New Roman" w:hAnsi="Times New Roman"/>
          <w:sz w:val="24"/>
          <w:szCs w:val="24"/>
        </w:rPr>
        <w:t>nalty</w:t>
      </w:r>
      <w:r w:rsidRPr="0059540C">
        <w:rPr>
          <w:rFonts w:ascii="Times New Roman" w:hAnsi="Times New Roman"/>
          <w:sz w:val="24"/>
          <w:szCs w:val="24"/>
        </w:rPr>
        <w:t>: loss of licence or</w:t>
      </w:r>
      <w:r>
        <w:rPr>
          <w:rFonts w:ascii="Times New Roman" w:hAnsi="Times New Roman"/>
          <w:sz w:val="24"/>
          <w:szCs w:val="24"/>
        </w:rPr>
        <w:t xml:space="preserve"> 10</w:t>
      </w:r>
      <w:r w:rsidRPr="00602C94">
        <w:rPr>
          <w:rFonts w:ascii="Times New Roman" w:hAnsi="Times New Roman"/>
          <w:sz w:val="24"/>
          <w:szCs w:val="24"/>
        </w:rPr>
        <w:t>0 penalty units each day i</w:t>
      </w:r>
      <w:r>
        <w:rPr>
          <w:rFonts w:ascii="Times New Roman" w:hAnsi="Times New Roman"/>
          <w:sz w:val="24"/>
          <w:szCs w:val="24"/>
        </w:rPr>
        <w:t>f it breaches the direction (</w:t>
      </w:r>
      <w:r w:rsidRPr="00602C94">
        <w:rPr>
          <w:rFonts w:ascii="Times New Roman" w:hAnsi="Times New Roman"/>
          <w:sz w:val="24"/>
          <w:szCs w:val="24"/>
        </w:rPr>
        <w:t>s</w:t>
      </w:r>
      <w:r>
        <w:rPr>
          <w:rFonts w:ascii="Times New Roman" w:hAnsi="Times New Roman"/>
          <w:sz w:val="24"/>
          <w:szCs w:val="24"/>
        </w:rPr>
        <w:t>ection 131DD of the</w:t>
      </w:r>
      <w:r w:rsidRPr="00602C94">
        <w:rPr>
          <w:rFonts w:ascii="Times New Roman" w:hAnsi="Times New Roman"/>
          <w:sz w:val="24"/>
          <w:szCs w:val="24"/>
        </w:rPr>
        <w:t xml:space="preserve"> Act).</w:t>
      </w:r>
      <w:r>
        <w:rPr>
          <w:rStyle w:val="FootnoteReference"/>
          <w:rFonts w:ascii="Times New Roman" w:hAnsi="Times New Roman"/>
          <w:sz w:val="24"/>
          <w:szCs w:val="24"/>
        </w:rPr>
        <w:footnoteReference w:id="5"/>
      </w:r>
      <w:r w:rsidRPr="00602C94">
        <w:rPr>
          <w:rFonts w:ascii="Times New Roman" w:hAnsi="Times New Roman"/>
          <w:sz w:val="24"/>
          <w:szCs w:val="24"/>
        </w:rPr>
        <w:t xml:space="preserve"> The </w:t>
      </w:r>
      <w:r w:rsidRPr="00602C94">
        <w:rPr>
          <w:rFonts w:ascii="Times New Roman" w:hAnsi="Times New Roman"/>
          <w:sz w:val="24"/>
          <w:szCs w:val="24"/>
        </w:rPr>
        <w:lastRenderedPageBreak/>
        <w:t>subsequent substantive decisions of APRA to impose a direction are subject to merits review.</w:t>
      </w:r>
    </w:p>
    <w:p w14:paraId="2EC7B0AD" w14:textId="25B7AFEE" w:rsidR="001C2878" w:rsidRPr="00CE5227" w:rsidRDefault="001C2878" w:rsidP="001C2878">
      <w:pPr>
        <w:numPr>
          <w:ilvl w:val="0"/>
          <w:numId w:val="11"/>
        </w:numPr>
        <w:spacing w:after="240"/>
        <w:jc w:val="both"/>
        <w:rPr>
          <w:rFonts w:ascii="Times New Roman" w:hAnsi="Times New Roman"/>
          <w:b/>
          <w:i/>
          <w:sz w:val="24"/>
          <w:szCs w:val="24"/>
        </w:rPr>
      </w:pPr>
      <w:r w:rsidRPr="00CE5227">
        <w:rPr>
          <w:rFonts w:ascii="Times New Roman" w:hAnsi="Times New Roman"/>
          <w:b/>
          <w:i/>
          <w:sz w:val="24"/>
          <w:szCs w:val="24"/>
        </w:rPr>
        <w:t xml:space="preserve">Adjust and exclude </w:t>
      </w:r>
      <w:proofErr w:type="gramStart"/>
      <w:r w:rsidRPr="00CE5227">
        <w:rPr>
          <w:rFonts w:ascii="Times New Roman" w:hAnsi="Times New Roman"/>
          <w:b/>
          <w:i/>
          <w:sz w:val="24"/>
          <w:szCs w:val="24"/>
        </w:rPr>
        <w:t>discretion</w:t>
      </w:r>
      <w:proofErr w:type="gramEnd"/>
    </w:p>
    <w:p w14:paraId="6B116E54" w14:textId="6BC3A2EE" w:rsidR="00C51230" w:rsidRDefault="00C51230" w:rsidP="00784D16">
      <w:pPr>
        <w:jc w:val="both"/>
        <w:rPr>
          <w:rFonts w:ascii="Times New Roman" w:hAnsi="Times New Roman"/>
          <w:sz w:val="24"/>
          <w:szCs w:val="24"/>
        </w:rPr>
      </w:pPr>
      <w:r>
        <w:rPr>
          <w:rFonts w:ascii="Times New Roman" w:hAnsi="Times New Roman"/>
          <w:sz w:val="24"/>
          <w:szCs w:val="24"/>
        </w:rPr>
        <w:t>SPS 310</w:t>
      </w:r>
      <w:r w:rsidRPr="00B65FAD">
        <w:rPr>
          <w:rFonts w:ascii="Times New Roman" w:hAnsi="Times New Roman"/>
          <w:sz w:val="24"/>
          <w:szCs w:val="24"/>
        </w:rPr>
        <w:t xml:space="preserve"> gives APRA the discretion to adjust or exclude a provision of the prudential standard (paragraph </w:t>
      </w:r>
      <w:r>
        <w:rPr>
          <w:rFonts w:ascii="Times New Roman" w:hAnsi="Times New Roman"/>
          <w:sz w:val="24"/>
          <w:szCs w:val="24"/>
        </w:rPr>
        <w:t>6</w:t>
      </w:r>
      <w:r w:rsidRPr="00B65FAD">
        <w:rPr>
          <w:rFonts w:ascii="Times New Roman" w:hAnsi="Times New Roman"/>
          <w:sz w:val="24"/>
          <w:szCs w:val="24"/>
        </w:rPr>
        <w:t xml:space="preserve">). The power to create such a </w:t>
      </w:r>
      <w:r w:rsidRPr="00B65FAD" w:rsidDel="0046007D">
        <w:rPr>
          <w:rFonts w:ascii="Times New Roman" w:hAnsi="Times New Roman"/>
          <w:sz w:val="24"/>
          <w:szCs w:val="24"/>
        </w:rPr>
        <w:t>discretion</w:t>
      </w:r>
      <w:r w:rsidRPr="00B65FAD">
        <w:rPr>
          <w:rFonts w:ascii="Times New Roman" w:hAnsi="Times New Roman"/>
          <w:sz w:val="24"/>
          <w:szCs w:val="24"/>
        </w:rPr>
        <w:t xml:space="preserve"> is provided for under subsection </w:t>
      </w:r>
      <w:r>
        <w:rPr>
          <w:rFonts w:ascii="Times New Roman" w:hAnsi="Times New Roman"/>
          <w:sz w:val="24"/>
          <w:szCs w:val="24"/>
        </w:rPr>
        <w:t>34</w:t>
      </w:r>
      <w:proofErr w:type="gramStart"/>
      <w:r>
        <w:rPr>
          <w:rFonts w:ascii="Times New Roman" w:hAnsi="Times New Roman"/>
          <w:sz w:val="24"/>
          <w:szCs w:val="24"/>
        </w:rPr>
        <w:t>C(</w:t>
      </w:r>
      <w:proofErr w:type="gramEnd"/>
      <w:r>
        <w:rPr>
          <w:rFonts w:ascii="Times New Roman" w:hAnsi="Times New Roman"/>
          <w:sz w:val="24"/>
          <w:szCs w:val="24"/>
        </w:rPr>
        <w:t>5)</w:t>
      </w:r>
      <w:r w:rsidRPr="00B65FAD">
        <w:rPr>
          <w:rFonts w:ascii="Times New Roman" w:hAnsi="Times New Roman"/>
          <w:sz w:val="24"/>
          <w:szCs w:val="24"/>
        </w:rPr>
        <w:t xml:space="preserve"> of the Act. </w:t>
      </w:r>
    </w:p>
    <w:p w14:paraId="2B9B38FF" w14:textId="77777777" w:rsidR="00C51230" w:rsidRPr="00DD3423" w:rsidRDefault="00C51230" w:rsidP="00784D16">
      <w:pPr>
        <w:jc w:val="both"/>
        <w:rPr>
          <w:rFonts w:ascii="Times New Roman" w:hAnsi="Times New Roman"/>
          <w:i/>
          <w:sz w:val="24"/>
          <w:szCs w:val="24"/>
          <w:highlight w:val="yellow"/>
        </w:rPr>
      </w:pPr>
    </w:p>
    <w:p w14:paraId="16C276EB" w14:textId="7733D37D" w:rsidR="00C51230" w:rsidRDefault="00C51230" w:rsidP="00784D16">
      <w:pPr>
        <w:jc w:val="both"/>
        <w:rPr>
          <w:rFonts w:ascii="Times New Roman" w:hAnsi="Times New Roman"/>
          <w:sz w:val="24"/>
          <w:szCs w:val="24"/>
        </w:rPr>
      </w:pPr>
      <w:r w:rsidRPr="0018608E">
        <w:rPr>
          <w:rFonts w:ascii="Times New Roman" w:hAnsi="Times New Roman"/>
          <w:sz w:val="24"/>
          <w:szCs w:val="24"/>
        </w:rPr>
        <w:t xml:space="preserve">APRA may exercise this power when it is satisfied that the adjustment or exclusion of a specific requirement for one or more specified </w:t>
      </w:r>
      <w:r>
        <w:rPr>
          <w:rFonts w:ascii="Times New Roman" w:hAnsi="Times New Roman"/>
          <w:sz w:val="24"/>
          <w:szCs w:val="24"/>
        </w:rPr>
        <w:t>RSE licensees</w:t>
      </w:r>
      <w:r w:rsidRPr="0018608E">
        <w:rPr>
          <w:rFonts w:ascii="Times New Roman" w:hAnsi="Times New Roman"/>
          <w:sz w:val="24"/>
          <w:szCs w:val="24"/>
        </w:rPr>
        <w:t xml:space="preserve"> will better support APRA in meeting its objectives. For example, the adjustment or exclusion may be necessary to obtain a better prudential outcome than would be the case if the prudential requirement were applied unaltered to a particular </w:t>
      </w:r>
      <w:r>
        <w:rPr>
          <w:rFonts w:ascii="Times New Roman" w:hAnsi="Times New Roman"/>
          <w:sz w:val="24"/>
          <w:szCs w:val="24"/>
        </w:rPr>
        <w:t>RSE licensee</w:t>
      </w:r>
      <w:r w:rsidRPr="0018608E">
        <w:rPr>
          <w:rFonts w:ascii="Times New Roman" w:hAnsi="Times New Roman"/>
          <w:sz w:val="24"/>
          <w:szCs w:val="24"/>
        </w:rPr>
        <w:t xml:space="preserve">. A tailored approach would give APRA comfort that the prudential requirements apply appropriately to protect the interests of </w:t>
      </w:r>
      <w:r>
        <w:rPr>
          <w:rFonts w:ascii="Times New Roman" w:hAnsi="Times New Roman"/>
          <w:sz w:val="24"/>
          <w:szCs w:val="24"/>
        </w:rPr>
        <w:t>superannuation fund members</w:t>
      </w:r>
      <w:r w:rsidRPr="0018608E">
        <w:rPr>
          <w:rFonts w:ascii="Times New Roman" w:hAnsi="Times New Roman"/>
          <w:sz w:val="24"/>
          <w:szCs w:val="24"/>
        </w:rPr>
        <w:t xml:space="preserve">. APRA will also </w:t>
      </w:r>
      <w:proofErr w:type="gramStart"/>
      <w:r w:rsidRPr="0018608E">
        <w:rPr>
          <w:rFonts w:ascii="Times New Roman" w:hAnsi="Times New Roman"/>
          <w:sz w:val="24"/>
          <w:szCs w:val="24"/>
        </w:rPr>
        <w:t>take into account</w:t>
      </w:r>
      <w:proofErr w:type="gramEnd"/>
      <w:r w:rsidRPr="0018608E">
        <w:rPr>
          <w:rFonts w:ascii="Times New Roman" w:hAnsi="Times New Roman"/>
          <w:sz w:val="24"/>
          <w:szCs w:val="24"/>
        </w:rPr>
        <w:t xml:space="preserve"> other considerations, such as efficiency, competition, contestability, competitive neutrality and regulatory burden, including comparisons with the entity’s peer group.</w:t>
      </w:r>
    </w:p>
    <w:p w14:paraId="7121A729" w14:textId="77777777" w:rsidR="00C51230" w:rsidRPr="0018608E" w:rsidRDefault="00C51230" w:rsidP="00784D16">
      <w:pPr>
        <w:jc w:val="both"/>
        <w:rPr>
          <w:rFonts w:ascii="Times New Roman" w:hAnsi="Times New Roman"/>
          <w:sz w:val="24"/>
          <w:szCs w:val="24"/>
        </w:rPr>
      </w:pPr>
    </w:p>
    <w:p w14:paraId="3D58C626" w14:textId="77777777" w:rsidR="00C51230" w:rsidRDefault="00C51230" w:rsidP="00784D16">
      <w:pPr>
        <w:jc w:val="both"/>
        <w:rPr>
          <w:rFonts w:ascii="Times New Roman" w:hAnsi="Times New Roman"/>
          <w:sz w:val="24"/>
          <w:szCs w:val="24"/>
        </w:rPr>
      </w:pPr>
      <w:r w:rsidRPr="0018608E">
        <w:rPr>
          <w:rFonts w:ascii="Times New Roman" w:hAnsi="Times New Roman"/>
          <w:sz w:val="24"/>
          <w:szCs w:val="24"/>
        </w:rP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01A919E7" w14:textId="77777777" w:rsidR="00AF576B" w:rsidRPr="0018608E" w:rsidRDefault="00AF576B" w:rsidP="00784D16">
      <w:pPr>
        <w:jc w:val="both"/>
        <w:rPr>
          <w:rFonts w:ascii="Times New Roman" w:hAnsi="Times New Roman"/>
          <w:sz w:val="24"/>
          <w:szCs w:val="24"/>
        </w:rPr>
      </w:pPr>
    </w:p>
    <w:p w14:paraId="0879CB58" w14:textId="4B12BBC7" w:rsidR="001C2878" w:rsidRPr="00B87FEF" w:rsidRDefault="000D6705" w:rsidP="00B87FEF">
      <w:pPr>
        <w:jc w:val="both"/>
        <w:rPr>
          <w:rFonts w:ascii="Times New Roman" w:hAnsi="Times New Roman"/>
          <w:b/>
          <w:i/>
          <w:sz w:val="24"/>
          <w:szCs w:val="24"/>
        </w:rPr>
      </w:pPr>
      <w:r>
        <w:rPr>
          <w:rFonts w:ascii="Times New Roman" w:hAnsi="Times New Roman"/>
          <w:b/>
          <w:i/>
          <w:sz w:val="24"/>
          <w:szCs w:val="24"/>
        </w:rPr>
        <w:t>Exemption from sunsetting and disallowanc</w:t>
      </w:r>
      <w:r w:rsidR="001C2878">
        <w:rPr>
          <w:rFonts w:ascii="Times New Roman" w:hAnsi="Times New Roman"/>
          <w:b/>
          <w:i/>
          <w:sz w:val="24"/>
          <w:szCs w:val="24"/>
        </w:rPr>
        <w:t>e</w:t>
      </w:r>
    </w:p>
    <w:p w14:paraId="200DE14D" w14:textId="78501C3F" w:rsidR="001D29FA" w:rsidRDefault="00B87FEF" w:rsidP="000D6705">
      <w:pPr>
        <w:spacing w:before="100" w:beforeAutospacing="1" w:after="100" w:afterAutospacing="1"/>
        <w:jc w:val="both"/>
        <w:rPr>
          <w:rFonts w:ascii="Times New Roman" w:hAnsi="Times New Roman"/>
          <w:sz w:val="24"/>
          <w:szCs w:val="24"/>
        </w:rPr>
      </w:pPr>
      <w:r w:rsidRPr="001C7EFB">
        <w:rPr>
          <w:rFonts w:ascii="Times New Roman" w:hAnsi="Times New Roman"/>
          <w:sz w:val="24"/>
          <w:szCs w:val="24"/>
        </w:rPr>
        <w:t xml:space="preserve">SPS </w:t>
      </w:r>
      <w:r>
        <w:rPr>
          <w:rFonts w:ascii="Times New Roman" w:hAnsi="Times New Roman"/>
          <w:sz w:val="24"/>
          <w:szCs w:val="24"/>
        </w:rPr>
        <w:t>310</w:t>
      </w:r>
      <w:r w:rsidRPr="001C7EFB">
        <w:rPr>
          <w:rFonts w:ascii="Times New Roman" w:hAnsi="Times New Roman"/>
          <w:sz w:val="24"/>
          <w:szCs w:val="24"/>
        </w:rPr>
        <w:t xml:space="preserve"> </w:t>
      </w:r>
      <w:r w:rsidR="000D6705" w:rsidRPr="000D6705">
        <w:rPr>
          <w:rFonts w:ascii="Times New Roman" w:hAnsi="Times New Roman"/>
          <w:sz w:val="24"/>
          <w:szCs w:val="24"/>
        </w:rPr>
        <w:t xml:space="preserve">is exempt from disallowance in accordance with section 44(2)(b) of the </w:t>
      </w:r>
      <w:r w:rsidR="000D6705" w:rsidRPr="007573D2">
        <w:rPr>
          <w:rFonts w:ascii="Times New Roman" w:hAnsi="Times New Roman"/>
          <w:i/>
          <w:sz w:val="24"/>
          <w:szCs w:val="24"/>
        </w:rPr>
        <w:t>Legislation Act 2003</w:t>
      </w:r>
      <w:r w:rsidR="000D6705" w:rsidRPr="000D6705">
        <w:rPr>
          <w:rFonts w:ascii="Times New Roman" w:hAnsi="Times New Roman"/>
          <w:sz w:val="24"/>
          <w:szCs w:val="24"/>
        </w:rPr>
        <w:t xml:space="preserve"> (Legislation Act) and regulation 9 of the </w:t>
      </w:r>
      <w:r w:rsidR="000D6705" w:rsidRPr="007573D2">
        <w:rPr>
          <w:rFonts w:ascii="Times New Roman" w:hAnsi="Times New Roman"/>
          <w:i/>
          <w:sz w:val="24"/>
          <w:szCs w:val="24"/>
        </w:rPr>
        <w:t>Legislation (Exemptions and Other Matters) Regulations 2015</w:t>
      </w:r>
      <w:r w:rsidR="000D6705" w:rsidRPr="000D6705">
        <w:rPr>
          <w:rFonts w:ascii="Times New Roman" w:hAnsi="Times New Roman"/>
          <w:sz w:val="24"/>
          <w:szCs w:val="24"/>
        </w:rPr>
        <w:t xml:space="preserve"> (Legislation Regulations) as SPS </w:t>
      </w:r>
      <w:r w:rsidR="000D6705">
        <w:rPr>
          <w:rFonts w:ascii="Times New Roman" w:hAnsi="Times New Roman"/>
          <w:sz w:val="24"/>
          <w:szCs w:val="24"/>
        </w:rPr>
        <w:t>310</w:t>
      </w:r>
      <w:r w:rsidR="000D6705" w:rsidRPr="000D6705">
        <w:rPr>
          <w:rFonts w:ascii="Times New Roman" w:hAnsi="Times New Roman"/>
          <w:sz w:val="24"/>
          <w:szCs w:val="24"/>
        </w:rPr>
        <w:t xml:space="preserve"> is an ‘instrument (other than a regulation) relating to superannuation</w:t>
      </w:r>
      <w:r w:rsidR="007573D2">
        <w:rPr>
          <w:rFonts w:ascii="Times New Roman" w:hAnsi="Times New Roman"/>
          <w:sz w:val="24"/>
          <w:szCs w:val="24"/>
        </w:rPr>
        <w:t>’.</w:t>
      </w:r>
      <w:r w:rsidR="007573D2">
        <w:rPr>
          <w:rStyle w:val="FootnoteReference"/>
          <w:rFonts w:ascii="Times New Roman" w:hAnsi="Times New Roman"/>
          <w:sz w:val="24"/>
          <w:szCs w:val="24"/>
        </w:rPr>
        <w:footnoteReference w:id="6"/>
      </w:r>
    </w:p>
    <w:p w14:paraId="67D79FBE" w14:textId="0721EB9E" w:rsidR="008C0570" w:rsidRDefault="007573D2" w:rsidP="007573D2">
      <w:pPr>
        <w:spacing w:before="100" w:beforeAutospacing="1" w:after="100" w:afterAutospacing="1"/>
        <w:jc w:val="both"/>
        <w:rPr>
          <w:rFonts w:ascii="Times New Roman" w:hAnsi="Times New Roman"/>
          <w:sz w:val="24"/>
          <w:szCs w:val="24"/>
        </w:rPr>
      </w:pPr>
      <w:r w:rsidRPr="007573D2">
        <w:rPr>
          <w:rFonts w:ascii="Times New Roman" w:hAnsi="Times New Roman"/>
          <w:sz w:val="24"/>
          <w:szCs w:val="24"/>
        </w:rPr>
        <w:t xml:space="preserve">SPS </w:t>
      </w:r>
      <w:r>
        <w:rPr>
          <w:rFonts w:ascii="Times New Roman" w:hAnsi="Times New Roman"/>
          <w:sz w:val="24"/>
          <w:szCs w:val="24"/>
        </w:rPr>
        <w:t>310</w:t>
      </w:r>
      <w:r w:rsidRPr="007573D2">
        <w:rPr>
          <w:rFonts w:ascii="Times New Roman" w:hAnsi="Times New Roman"/>
          <w:sz w:val="24"/>
          <w:szCs w:val="24"/>
        </w:rPr>
        <w:t xml:space="preserve"> is exempt from sunsetting in accordance with section 54(2)(b) of the Legislation Act and regulation 11 of the Legislation Regulations as this Legislative Instrument is ‘an instrument (other than a regulation) relating to superannuation</w:t>
      </w:r>
      <w:r>
        <w:rPr>
          <w:rFonts w:ascii="Times New Roman" w:hAnsi="Times New Roman"/>
          <w:sz w:val="24"/>
          <w:szCs w:val="24"/>
        </w:rPr>
        <w:t>’.</w:t>
      </w:r>
      <w:r>
        <w:rPr>
          <w:rStyle w:val="FootnoteReference"/>
          <w:rFonts w:ascii="Times New Roman" w:hAnsi="Times New Roman"/>
          <w:sz w:val="24"/>
          <w:szCs w:val="24"/>
        </w:rPr>
        <w:footnoteReference w:id="7"/>
      </w:r>
    </w:p>
    <w:p w14:paraId="7AEDCD30" w14:textId="188AC529" w:rsidR="008C0570" w:rsidRDefault="00925E7C" w:rsidP="00925E7C">
      <w:pPr>
        <w:spacing w:before="100" w:beforeAutospacing="1" w:after="100" w:afterAutospacing="1"/>
        <w:jc w:val="both"/>
        <w:rPr>
          <w:rFonts w:ascii="Times New Roman" w:hAnsi="Times New Roman"/>
          <w:sz w:val="24"/>
          <w:szCs w:val="24"/>
        </w:rPr>
      </w:pPr>
      <w:r w:rsidRPr="00925E7C">
        <w:rPr>
          <w:rFonts w:ascii="Times New Roman" w:hAnsi="Times New Roman"/>
          <w:sz w:val="24"/>
          <w:szCs w:val="24"/>
        </w:rPr>
        <w:t xml:space="preserve">As SPS </w:t>
      </w:r>
      <w:r>
        <w:rPr>
          <w:rFonts w:ascii="Times New Roman" w:hAnsi="Times New Roman"/>
          <w:sz w:val="24"/>
          <w:szCs w:val="24"/>
        </w:rPr>
        <w:t>310</w:t>
      </w:r>
      <w:r w:rsidRPr="00925E7C">
        <w:rPr>
          <w:rFonts w:ascii="Times New Roman" w:hAnsi="Times New Roman"/>
          <w:sz w:val="24"/>
          <w:szCs w:val="24"/>
        </w:rPr>
        <w:t xml:space="preserve"> falls within the above-mentioned exemptions to disallowance and sunsetting, APRA does not have discretion to subject SPS </w:t>
      </w:r>
      <w:r>
        <w:rPr>
          <w:rFonts w:ascii="Times New Roman" w:hAnsi="Times New Roman"/>
          <w:sz w:val="24"/>
          <w:szCs w:val="24"/>
        </w:rPr>
        <w:t>310</w:t>
      </w:r>
      <w:r w:rsidRPr="00925E7C">
        <w:rPr>
          <w:rFonts w:ascii="Times New Roman" w:hAnsi="Times New Roman"/>
          <w:sz w:val="24"/>
          <w:szCs w:val="24"/>
        </w:rPr>
        <w:t xml:space="preserve"> to disallowance and sunsetting. To mitigate against any adverse impact arising from the above-mentioned exemptions from disallowance and sunsetting, APRA undertook consultation on SPS </w:t>
      </w:r>
      <w:r>
        <w:rPr>
          <w:rFonts w:ascii="Times New Roman" w:hAnsi="Times New Roman"/>
          <w:sz w:val="24"/>
          <w:szCs w:val="24"/>
        </w:rPr>
        <w:lastRenderedPageBreak/>
        <w:t>310</w:t>
      </w:r>
      <w:r w:rsidRPr="00925E7C">
        <w:rPr>
          <w:rFonts w:ascii="Times New Roman" w:hAnsi="Times New Roman"/>
          <w:sz w:val="24"/>
          <w:szCs w:val="24"/>
        </w:rPr>
        <w:t xml:space="preserve"> (refer to </w:t>
      </w:r>
      <w:r w:rsidR="0033429A">
        <w:rPr>
          <w:rFonts w:ascii="Times New Roman" w:hAnsi="Times New Roman"/>
          <w:sz w:val="24"/>
          <w:szCs w:val="24"/>
        </w:rPr>
        <w:t>section</w:t>
      </w:r>
      <w:r w:rsidRPr="00925E7C">
        <w:rPr>
          <w:rFonts w:ascii="Times New Roman" w:hAnsi="Times New Roman"/>
          <w:sz w:val="24"/>
          <w:szCs w:val="24"/>
        </w:rPr>
        <w:t xml:space="preserve"> 3 </w:t>
      </w:r>
      <w:r w:rsidR="0033429A">
        <w:rPr>
          <w:rFonts w:ascii="Times New Roman" w:hAnsi="Times New Roman"/>
          <w:sz w:val="24"/>
          <w:szCs w:val="24"/>
        </w:rPr>
        <w:t xml:space="preserve">below </w:t>
      </w:r>
      <w:r w:rsidRPr="00925E7C">
        <w:rPr>
          <w:rFonts w:ascii="Times New Roman" w:hAnsi="Times New Roman"/>
          <w:sz w:val="24"/>
          <w:szCs w:val="24"/>
        </w:rPr>
        <w:t xml:space="preserve">for further details) and will continue to conduct regular reviews of SPS </w:t>
      </w:r>
      <w:r>
        <w:rPr>
          <w:rFonts w:ascii="Times New Roman" w:hAnsi="Times New Roman"/>
          <w:sz w:val="24"/>
          <w:szCs w:val="24"/>
        </w:rPr>
        <w:t>310.</w:t>
      </w:r>
    </w:p>
    <w:p w14:paraId="6F0FE777" w14:textId="12E4F2AA" w:rsidR="000D6705" w:rsidRPr="00B87FEF" w:rsidRDefault="000D6705" w:rsidP="000D6705">
      <w:pPr>
        <w:jc w:val="both"/>
        <w:rPr>
          <w:rFonts w:ascii="Times New Roman" w:hAnsi="Times New Roman"/>
          <w:b/>
          <w:i/>
          <w:sz w:val="24"/>
          <w:szCs w:val="24"/>
        </w:rPr>
      </w:pPr>
      <w:r>
        <w:rPr>
          <w:rFonts w:ascii="Times New Roman" w:hAnsi="Times New Roman"/>
          <w:b/>
          <w:i/>
          <w:sz w:val="24"/>
          <w:szCs w:val="24"/>
        </w:rPr>
        <w:t>Incorporation by reference</w:t>
      </w:r>
    </w:p>
    <w:p w14:paraId="220F7B4B" w14:textId="4E5FB8AD" w:rsidR="002406ED" w:rsidRDefault="00F25471" w:rsidP="00B87FEF">
      <w:pPr>
        <w:spacing w:before="100" w:beforeAutospacing="1" w:after="100" w:afterAutospacing="1"/>
        <w:jc w:val="both"/>
        <w:rPr>
          <w:rFonts w:ascii="Times New Roman" w:hAnsi="Times New Roman"/>
          <w:sz w:val="24"/>
          <w:szCs w:val="24"/>
        </w:rPr>
      </w:pPr>
      <w:r w:rsidRPr="00F25471">
        <w:rPr>
          <w:rFonts w:ascii="Times New Roman" w:hAnsi="Times New Roman"/>
          <w:sz w:val="24"/>
          <w:szCs w:val="24"/>
        </w:rPr>
        <w:t xml:space="preserve">Under paragraph 14(1)(a) of the Legislation Act, </w:t>
      </w:r>
      <w:r>
        <w:rPr>
          <w:rFonts w:ascii="Times New Roman" w:hAnsi="Times New Roman"/>
          <w:sz w:val="24"/>
          <w:szCs w:val="24"/>
        </w:rPr>
        <w:t>w</w:t>
      </w:r>
      <w:r w:rsidR="00C20087" w:rsidRPr="00C20087">
        <w:rPr>
          <w:rFonts w:ascii="Times New Roman" w:hAnsi="Times New Roman"/>
          <w:sz w:val="24"/>
          <w:szCs w:val="24"/>
        </w:rPr>
        <w:t xml:space="preserve">here SPS 310 refers to provisions in </w:t>
      </w:r>
      <w:r w:rsidR="007E60F0">
        <w:rPr>
          <w:rFonts w:ascii="Times New Roman" w:hAnsi="Times New Roman"/>
          <w:sz w:val="24"/>
          <w:szCs w:val="24"/>
        </w:rPr>
        <w:t xml:space="preserve">primary legislation or </w:t>
      </w:r>
      <w:r w:rsidR="00A17097">
        <w:rPr>
          <w:rFonts w:ascii="Times New Roman" w:hAnsi="Times New Roman"/>
          <w:sz w:val="24"/>
          <w:szCs w:val="24"/>
        </w:rPr>
        <w:t xml:space="preserve">a </w:t>
      </w:r>
      <w:r w:rsidR="00D82327">
        <w:rPr>
          <w:rFonts w:ascii="Times New Roman" w:hAnsi="Times New Roman"/>
          <w:sz w:val="24"/>
          <w:szCs w:val="24"/>
        </w:rPr>
        <w:t xml:space="preserve">disallowable legislative </w:t>
      </w:r>
      <w:r w:rsidR="00A17097">
        <w:rPr>
          <w:rFonts w:ascii="Times New Roman" w:hAnsi="Times New Roman"/>
          <w:sz w:val="24"/>
          <w:szCs w:val="24"/>
        </w:rPr>
        <w:t>instrument</w:t>
      </w:r>
      <w:r w:rsidR="00D82327">
        <w:rPr>
          <w:rFonts w:ascii="Times New Roman" w:hAnsi="Times New Roman"/>
          <w:sz w:val="24"/>
          <w:szCs w:val="24"/>
        </w:rPr>
        <w:t xml:space="preserve"> (e.g. the </w:t>
      </w:r>
      <w:r w:rsidR="00D82327" w:rsidRPr="004C0237">
        <w:rPr>
          <w:rFonts w:ascii="Times New Roman" w:hAnsi="Times New Roman"/>
          <w:i/>
          <w:iCs/>
          <w:sz w:val="24"/>
          <w:szCs w:val="24"/>
        </w:rPr>
        <w:t>Superannuation Industry (Supervision) Regulations 1994</w:t>
      </w:r>
      <w:r w:rsidR="00D82327">
        <w:rPr>
          <w:rFonts w:ascii="Times New Roman" w:hAnsi="Times New Roman"/>
          <w:sz w:val="24"/>
          <w:szCs w:val="24"/>
        </w:rPr>
        <w:t>)</w:t>
      </w:r>
      <w:r w:rsidR="00C20087" w:rsidRPr="00C20087">
        <w:rPr>
          <w:rFonts w:ascii="Times New Roman" w:hAnsi="Times New Roman"/>
          <w:sz w:val="24"/>
          <w:szCs w:val="24"/>
        </w:rPr>
        <w:t>, this is a reference to</w:t>
      </w:r>
      <w:r w:rsidR="007E60F0">
        <w:rPr>
          <w:rFonts w:ascii="Times New Roman" w:hAnsi="Times New Roman"/>
          <w:sz w:val="24"/>
          <w:szCs w:val="24"/>
        </w:rPr>
        <w:t xml:space="preserve"> the primary legislation</w:t>
      </w:r>
      <w:r w:rsidR="00A17097">
        <w:rPr>
          <w:rFonts w:ascii="Times New Roman" w:hAnsi="Times New Roman"/>
          <w:sz w:val="24"/>
          <w:szCs w:val="24"/>
        </w:rPr>
        <w:t xml:space="preserve"> or disallowable legislative instrument as</w:t>
      </w:r>
      <w:r w:rsidR="007E60F0">
        <w:rPr>
          <w:rFonts w:ascii="Times New Roman" w:hAnsi="Times New Roman"/>
          <w:sz w:val="24"/>
          <w:szCs w:val="24"/>
        </w:rPr>
        <w:t xml:space="preserve"> </w:t>
      </w:r>
      <w:r w:rsidR="00C20087" w:rsidRPr="00C20087">
        <w:rPr>
          <w:rFonts w:ascii="Times New Roman" w:hAnsi="Times New Roman"/>
          <w:sz w:val="24"/>
          <w:szCs w:val="24"/>
        </w:rPr>
        <w:t xml:space="preserve">it exists </w:t>
      </w:r>
      <w:r w:rsidR="00C20087" w:rsidRPr="00C20087">
        <w:rPr>
          <w:rFonts w:ascii="Times New Roman" w:hAnsi="Times New Roman"/>
          <w:i/>
          <w:sz w:val="24"/>
          <w:szCs w:val="24"/>
        </w:rPr>
        <w:t>from time to time</w:t>
      </w:r>
      <w:r w:rsidR="00C20087" w:rsidRPr="00C20087">
        <w:rPr>
          <w:rFonts w:ascii="Times New Roman" w:hAnsi="Times New Roman"/>
          <w:sz w:val="24"/>
          <w:szCs w:val="24"/>
        </w:rPr>
        <w:t xml:space="preserve">. </w:t>
      </w:r>
    </w:p>
    <w:p w14:paraId="05060E79" w14:textId="415B807C" w:rsidR="00C20087" w:rsidRPr="00C20087" w:rsidRDefault="00E83EC3" w:rsidP="00B87FEF">
      <w:pPr>
        <w:spacing w:before="100" w:beforeAutospacing="1" w:after="100" w:afterAutospacing="1"/>
        <w:jc w:val="both"/>
        <w:rPr>
          <w:rFonts w:ascii="Times New Roman" w:hAnsi="Times New Roman"/>
          <w:sz w:val="24"/>
          <w:szCs w:val="24"/>
        </w:rPr>
      </w:pPr>
      <w:r w:rsidRPr="00E83EC3">
        <w:rPr>
          <w:rFonts w:ascii="Times New Roman" w:hAnsi="Times New Roman"/>
          <w:sz w:val="24"/>
          <w:szCs w:val="24"/>
        </w:rPr>
        <w:t>Under paragraph 14(1)(b) of the Legislation Act,</w:t>
      </w:r>
      <w:r>
        <w:rPr>
          <w:rFonts w:ascii="Times New Roman" w:hAnsi="Times New Roman"/>
          <w:sz w:val="24"/>
          <w:szCs w:val="24"/>
        </w:rPr>
        <w:t xml:space="preserve"> w</w:t>
      </w:r>
      <w:r w:rsidR="00C20087" w:rsidRPr="00C20087">
        <w:rPr>
          <w:rFonts w:ascii="Times New Roman" w:hAnsi="Times New Roman"/>
          <w:sz w:val="24"/>
          <w:szCs w:val="24"/>
        </w:rPr>
        <w:t xml:space="preserve">here SPS </w:t>
      </w:r>
      <w:r w:rsidR="00C20087">
        <w:rPr>
          <w:rFonts w:ascii="Times New Roman" w:hAnsi="Times New Roman"/>
          <w:sz w:val="24"/>
          <w:szCs w:val="24"/>
        </w:rPr>
        <w:t>310</w:t>
      </w:r>
      <w:r w:rsidR="00C20087" w:rsidRPr="00C20087">
        <w:rPr>
          <w:rFonts w:ascii="Times New Roman" w:hAnsi="Times New Roman"/>
          <w:sz w:val="24"/>
          <w:szCs w:val="24"/>
        </w:rPr>
        <w:t xml:space="preserve"> </w:t>
      </w:r>
      <w:r w:rsidRPr="00E83EC3">
        <w:rPr>
          <w:rFonts w:ascii="Times New Roman" w:hAnsi="Times New Roman"/>
          <w:sz w:val="24"/>
          <w:szCs w:val="24"/>
        </w:rPr>
        <w:t xml:space="preserve">incorporates by reference another </w:t>
      </w:r>
      <w:r w:rsidR="009B1953">
        <w:rPr>
          <w:rFonts w:ascii="Times New Roman" w:hAnsi="Times New Roman"/>
          <w:sz w:val="24"/>
          <w:szCs w:val="24"/>
        </w:rPr>
        <w:t>s</w:t>
      </w:r>
      <w:r w:rsidRPr="00E83EC3">
        <w:rPr>
          <w:rFonts w:ascii="Times New Roman" w:hAnsi="Times New Roman"/>
          <w:sz w:val="24"/>
          <w:szCs w:val="24"/>
        </w:rPr>
        <w:t xml:space="preserve">uperannuation </w:t>
      </w:r>
      <w:r w:rsidR="009B1953">
        <w:rPr>
          <w:rFonts w:ascii="Times New Roman" w:hAnsi="Times New Roman"/>
          <w:sz w:val="24"/>
          <w:szCs w:val="24"/>
        </w:rPr>
        <w:t>p</w:t>
      </w:r>
      <w:r w:rsidRPr="00E83EC3">
        <w:rPr>
          <w:rFonts w:ascii="Times New Roman" w:hAnsi="Times New Roman"/>
          <w:sz w:val="24"/>
          <w:szCs w:val="24"/>
        </w:rPr>
        <w:t xml:space="preserve">rudential </w:t>
      </w:r>
      <w:r w:rsidR="009B1953">
        <w:rPr>
          <w:rFonts w:ascii="Times New Roman" w:hAnsi="Times New Roman"/>
          <w:sz w:val="24"/>
          <w:szCs w:val="24"/>
        </w:rPr>
        <w:t>s</w:t>
      </w:r>
      <w:r w:rsidRPr="00E83EC3">
        <w:rPr>
          <w:rFonts w:ascii="Times New Roman" w:hAnsi="Times New Roman"/>
          <w:sz w:val="24"/>
          <w:szCs w:val="24"/>
        </w:rPr>
        <w:t>tandard determined by APRA under section 34C of the Act,</w:t>
      </w:r>
      <w:r w:rsidR="00BD0157">
        <w:rPr>
          <w:rFonts w:ascii="Times New Roman" w:hAnsi="Times New Roman"/>
          <w:sz w:val="24"/>
          <w:szCs w:val="24"/>
        </w:rPr>
        <w:t xml:space="preserve"> or </w:t>
      </w:r>
      <w:r w:rsidR="00304484">
        <w:rPr>
          <w:rFonts w:ascii="Times New Roman" w:hAnsi="Times New Roman"/>
          <w:sz w:val="24"/>
          <w:szCs w:val="24"/>
        </w:rPr>
        <w:t>r</w:t>
      </w:r>
      <w:r w:rsidR="00BD0157">
        <w:rPr>
          <w:rFonts w:ascii="Times New Roman" w:hAnsi="Times New Roman"/>
          <w:sz w:val="24"/>
          <w:szCs w:val="24"/>
        </w:rPr>
        <w:t xml:space="preserve">eporting </w:t>
      </w:r>
      <w:r w:rsidR="00304484">
        <w:rPr>
          <w:rFonts w:ascii="Times New Roman" w:hAnsi="Times New Roman"/>
          <w:sz w:val="24"/>
          <w:szCs w:val="24"/>
        </w:rPr>
        <w:t>s</w:t>
      </w:r>
      <w:r w:rsidR="00BD0157">
        <w:rPr>
          <w:rFonts w:ascii="Times New Roman" w:hAnsi="Times New Roman"/>
          <w:sz w:val="24"/>
          <w:szCs w:val="24"/>
        </w:rPr>
        <w:t xml:space="preserve">tandard </w:t>
      </w:r>
      <w:r w:rsidR="00A36412" w:rsidRPr="00A36412">
        <w:rPr>
          <w:rFonts w:ascii="Times New Roman" w:hAnsi="Times New Roman"/>
          <w:sz w:val="24"/>
          <w:szCs w:val="24"/>
        </w:rPr>
        <w:t xml:space="preserve">determined by APRA under </w:t>
      </w:r>
      <w:r w:rsidR="00BD0157">
        <w:rPr>
          <w:rFonts w:ascii="Times New Roman" w:hAnsi="Times New Roman"/>
          <w:sz w:val="24"/>
          <w:szCs w:val="24"/>
        </w:rPr>
        <w:t xml:space="preserve">paragraph 13(1)(a) </w:t>
      </w:r>
      <w:r w:rsidR="00EB5246" w:rsidRPr="004C0237">
        <w:rPr>
          <w:rFonts w:ascii="Times New Roman" w:hAnsi="Times New Roman"/>
          <w:i/>
          <w:sz w:val="24"/>
          <w:szCs w:val="24"/>
        </w:rPr>
        <w:t>Financial Sector (Collection of Data) Act 2001</w:t>
      </w:r>
      <w:r w:rsidR="00EB5246">
        <w:rPr>
          <w:rFonts w:ascii="Times New Roman" w:hAnsi="Times New Roman"/>
          <w:sz w:val="24"/>
          <w:szCs w:val="24"/>
        </w:rPr>
        <w:t xml:space="preserve">, </w:t>
      </w:r>
      <w:r w:rsidRPr="00E83EC3">
        <w:rPr>
          <w:rFonts w:ascii="Times New Roman" w:hAnsi="Times New Roman"/>
          <w:sz w:val="24"/>
          <w:szCs w:val="24"/>
        </w:rPr>
        <w:t xml:space="preserve">the </w:t>
      </w:r>
      <w:r w:rsidR="00304484">
        <w:rPr>
          <w:rFonts w:ascii="Times New Roman" w:hAnsi="Times New Roman"/>
          <w:sz w:val="24"/>
          <w:szCs w:val="24"/>
        </w:rPr>
        <w:t>s</w:t>
      </w:r>
      <w:r w:rsidRPr="00E83EC3">
        <w:rPr>
          <w:rFonts w:ascii="Times New Roman" w:hAnsi="Times New Roman"/>
          <w:sz w:val="24"/>
          <w:szCs w:val="24"/>
        </w:rPr>
        <w:t xml:space="preserve">uperannuation </w:t>
      </w:r>
      <w:r w:rsidR="00304484">
        <w:rPr>
          <w:rFonts w:ascii="Times New Roman" w:hAnsi="Times New Roman"/>
          <w:sz w:val="24"/>
          <w:szCs w:val="24"/>
        </w:rPr>
        <w:t>p</w:t>
      </w:r>
      <w:r w:rsidRPr="00E83EC3">
        <w:rPr>
          <w:rFonts w:ascii="Times New Roman" w:hAnsi="Times New Roman"/>
          <w:sz w:val="24"/>
          <w:szCs w:val="24"/>
        </w:rPr>
        <w:t xml:space="preserve">rudential </w:t>
      </w:r>
      <w:r w:rsidR="00304484">
        <w:rPr>
          <w:rFonts w:ascii="Times New Roman" w:hAnsi="Times New Roman"/>
          <w:sz w:val="24"/>
          <w:szCs w:val="24"/>
        </w:rPr>
        <w:t>s</w:t>
      </w:r>
      <w:r w:rsidRPr="00E83EC3">
        <w:rPr>
          <w:rFonts w:ascii="Times New Roman" w:hAnsi="Times New Roman"/>
          <w:sz w:val="24"/>
          <w:szCs w:val="24"/>
        </w:rPr>
        <w:t xml:space="preserve">tandard </w:t>
      </w:r>
      <w:r w:rsidR="00A36412">
        <w:rPr>
          <w:rFonts w:ascii="Times New Roman" w:hAnsi="Times New Roman"/>
          <w:sz w:val="24"/>
          <w:szCs w:val="24"/>
        </w:rPr>
        <w:t xml:space="preserve">and </w:t>
      </w:r>
      <w:r w:rsidR="00304484">
        <w:rPr>
          <w:rFonts w:ascii="Times New Roman" w:hAnsi="Times New Roman"/>
          <w:sz w:val="24"/>
          <w:szCs w:val="24"/>
        </w:rPr>
        <w:t>r</w:t>
      </w:r>
      <w:r w:rsidR="00A36412">
        <w:rPr>
          <w:rFonts w:ascii="Times New Roman" w:hAnsi="Times New Roman"/>
          <w:sz w:val="24"/>
          <w:szCs w:val="24"/>
        </w:rPr>
        <w:t xml:space="preserve">eporting </w:t>
      </w:r>
      <w:r w:rsidR="00304484">
        <w:rPr>
          <w:rFonts w:ascii="Times New Roman" w:hAnsi="Times New Roman"/>
          <w:sz w:val="24"/>
          <w:szCs w:val="24"/>
        </w:rPr>
        <w:t>s</w:t>
      </w:r>
      <w:r w:rsidR="00A36412">
        <w:rPr>
          <w:rFonts w:ascii="Times New Roman" w:hAnsi="Times New Roman"/>
          <w:sz w:val="24"/>
          <w:szCs w:val="24"/>
        </w:rPr>
        <w:t xml:space="preserve">tandard </w:t>
      </w:r>
      <w:r w:rsidRPr="00E83EC3">
        <w:rPr>
          <w:rFonts w:ascii="Times New Roman" w:hAnsi="Times New Roman"/>
          <w:sz w:val="24"/>
          <w:szCs w:val="24"/>
        </w:rPr>
        <w:t xml:space="preserve">referred to is the version that exists </w:t>
      </w:r>
      <w:r w:rsidRPr="004C0237">
        <w:rPr>
          <w:rFonts w:ascii="Times New Roman" w:hAnsi="Times New Roman"/>
          <w:i/>
          <w:sz w:val="24"/>
          <w:szCs w:val="24"/>
        </w:rPr>
        <w:t>at the time</w:t>
      </w:r>
      <w:r w:rsidRPr="00E83EC3">
        <w:rPr>
          <w:rFonts w:ascii="Times New Roman" w:hAnsi="Times New Roman"/>
          <w:sz w:val="24"/>
          <w:szCs w:val="24"/>
        </w:rPr>
        <w:t xml:space="preserve"> </w:t>
      </w:r>
      <w:r w:rsidR="00304484">
        <w:rPr>
          <w:rFonts w:ascii="Times New Roman" w:hAnsi="Times New Roman"/>
          <w:sz w:val="24"/>
          <w:szCs w:val="24"/>
        </w:rPr>
        <w:t>SPS 310</w:t>
      </w:r>
      <w:r w:rsidRPr="00E83EC3">
        <w:rPr>
          <w:rFonts w:ascii="Times New Roman" w:hAnsi="Times New Roman"/>
          <w:sz w:val="24"/>
          <w:szCs w:val="24"/>
        </w:rPr>
        <w:t xml:space="preserve"> was determined.</w:t>
      </w:r>
    </w:p>
    <w:p w14:paraId="7A5B255A" w14:textId="382803D6" w:rsidR="002406ED" w:rsidRDefault="002406ED" w:rsidP="00196627">
      <w:pPr>
        <w:rPr>
          <w:rFonts w:ascii="Times New Roman" w:hAnsi="Times New Roman"/>
          <w:sz w:val="24"/>
          <w:szCs w:val="24"/>
        </w:rPr>
      </w:pPr>
      <w:bookmarkStart w:id="6" w:name="bkoperation"/>
      <w:bookmarkStart w:id="7" w:name="bkConsultationNo"/>
      <w:bookmarkEnd w:id="6"/>
      <w:bookmarkEnd w:id="7"/>
      <w:r w:rsidRPr="002406ED">
        <w:rPr>
          <w:rFonts w:ascii="Times New Roman" w:hAnsi="Times New Roman"/>
          <w:sz w:val="24"/>
          <w:szCs w:val="24"/>
        </w:rPr>
        <w:t xml:space="preserve">All documents incorporated by reference in this standard are available on the Federal Register of Legislation at </w:t>
      </w:r>
      <w:hyperlink r:id="rId11" w:history="1">
        <w:r w:rsidR="00C40E2E" w:rsidRPr="001510D6">
          <w:rPr>
            <w:rStyle w:val="Hyperlink"/>
            <w:rFonts w:ascii="Times New Roman" w:hAnsi="Times New Roman"/>
            <w:sz w:val="24"/>
            <w:szCs w:val="24"/>
          </w:rPr>
          <w:t>www.legislation.gov.au</w:t>
        </w:r>
      </w:hyperlink>
      <w:r w:rsidRPr="002406ED">
        <w:rPr>
          <w:rFonts w:ascii="Times New Roman" w:hAnsi="Times New Roman"/>
          <w:sz w:val="24"/>
          <w:szCs w:val="24"/>
        </w:rPr>
        <w:t>.</w:t>
      </w:r>
    </w:p>
    <w:p w14:paraId="6A91DE75" w14:textId="77777777" w:rsidR="00196627" w:rsidRPr="00C20087" w:rsidRDefault="00196627" w:rsidP="00196627">
      <w:pPr>
        <w:rPr>
          <w:rFonts w:ascii="Times New Roman" w:hAnsi="Times New Roman"/>
          <w:sz w:val="24"/>
          <w:szCs w:val="24"/>
        </w:rPr>
      </w:pPr>
    </w:p>
    <w:p w14:paraId="6AD0B9B9" w14:textId="77777777" w:rsidR="002436BD" w:rsidRPr="00564008" w:rsidRDefault="002436BD" w:rsidP="00796A67">
      <w:pPr>
        <w:pStyle w:val="Heading"/>
        <w:numPr>
          <w:ilvl w:val="0"/>
          <w:numId w:val="2"/>
        </w:numPr>
        <w:spacing w:after="240"/>
        <w:rPr>
          <w:rFonts w:ascii="Times New Roman" w:hAnsi="Times New Roman"/>
          <w:sz w:val="24"/>
          <w:szCs w:val="24"/>
        </w:rPr>
      </w:pPr>
      <w:r w:rsidRPr="00564008">
        <w:rPr>
          <w:rFonts w:ascii="Times New Roman" w:hAnsi="Times New Roman"/>
          <w:sz w:val="24"/>
          <w:szCs w:val="24"/>
        </w:rPr>
        <w:t>Consultation</w:t>
      </w:r>
    </w:p>
    <w:p w14:paraId="1E569978" w14:textId="77A7210C" w:rsidR="00ED4D45" w:rsidRDefault="00ED4D45" w:rsidP="00ED4D45">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On 17 </w:t>
      </w:r>
      <w:r w:rsidRPr="009A19CF">
        <w:rPr>
          <w:rFonts w:ascii="Times New Roman" w:hAnsi="Times New Roman"/>
          <w:b w:val="0"/>
          <w:sz w:val="24"/>
          <w:szCs w:val="24"/>
        </w:rPr>
        <w:t xml:space="preserve">January 2024, APRA undertook a public consultation on its proposal to make </w:t>
      </w:r>
      <w:r>
        <w:rPr>
          <w:rFonts w:ascii="Times New Roman" w:hAnsi="Times New Roman"/>
          <w:b w:val="0"/>
          <w:sz w:val="24"/>
          <w:szCs w:val="24"/>
        </w:rPr>
        <w:t xml:space="preserve">minor and consequential amendments to the prudential framework to align with legislative changes in relation to the </w:t>
      </w:r>
      <w:r w:rsidRPr="009A19CF">
        <w:rPr>
          <w:rFonts w:ascii="Times New Roman" w:hAnsi="Times New Roman"/>
          <w:b w:val="0"/>
          <w:sz w:val="24"/>
          <w:szCs w:val="24"/>
        </w:rPr>
        <w:t xml:space="preserve">financial reporting and auditing </w:t>
      </w:r>
      <w:r>
        <w:rPr>
          <w:rFonts w:ascii="Times New Roman" w:hAnsi="Times New Roman"/>
          <w:b w:val="0"/>
          <w:sz w:val="24"/>
          <w:szCs w:val="24"/>
        </w:rPr>
        <w:t>reforms.</w:t>
      </w:r>
      <w:r>
        <w:rPr>
          <w:rStyle w:val="FootnoteReference"/>
          <w:rFonts w:ascii="Times New Roman" w:hAnsi="Times New Roman"/>
          <w:b w:val="0"/>
          <w:sz w:val="24"/>
          <w:szCs w:val="24"/>
        </w:rPr>
        <w:footnoteReference w:id="8"/>
      </w:r>
      <w:r>
        <w:rPr>
          <w:rFonts w:ascii="Times New Roman" w:hAnsi="Times New Roman"/>
          <w:b w:val="0"/>
          <w:sz w:val="24"/>
          <w:szCs w:val="24"/>
        </w:rPr>
        <w:t xml:space="preserve"> </w:t>
      </w:r>
    </w:p>
    <w:p w14:paraId="7B4A4065" w14:textId="5BA7B089" w:rsidR="00ED4D45" w:rsidRDefault="00ED4D45" w:rsidP="00ED4D45">
      <w:pPr>
        <w:pStyle w:val="Heading"/>
        <w:tabs>
          <w:tab w:val="left" w:pos="360"/>
        </w:tabs>
        <w:spacing w:after="240"/>
        <w:rPr>
          <w:rFonts w:ascii="Times New Roman" w:hAnsi="Times New Roman"/>
          <w:b w:val="0"/>
          <w:sz w:val="24"/>
          <w:szCs w:val="24"/>
        </w:rPr>
      </w:pPr>
      <w:r>
        <w:rPr>
          <w:rFonts w:ascii="Times New Roman" w:hAnsi="Times New Roman"/>
          <w:b w:val="0"/>
          <w:sz w:val="24"/>
          <w:szCs w:val="24"/>
        </w:rPr>
        <w:t>The consultation proposed amendments to three prudential standards,</w:t>
      </w:r>
      <w:r w:rsidR="0033429A">
        <w:rPr>
          <w:rFonts w:ascii="Times New Roman" w:hAnsi="Times New Roman"/>
          <w:b w:val="0"/>
          <w:sz w:val="24"/>
          <w:szCs w:val="24"/>
        </w:rPr>
        <w:t xml:space="preserve"> SPS 310, SPS 510 and SPS 520</w:t>
      </w:r>
      <w:r>
        <w:rPr>
          <w:rFonts w:ascii="Times New Roman" w:hAnsi="Times New Roman"/>
          <w:b w:val="0"/>
          <w:sz w:val="24"/>
          <w:szCs w:val="24"/>
        </w:rPr>
        <w:t xml:space="preserve">, and to </w:t>
      </w:r>
      <w:r w:rsidRPr="00747B2E">
        <w:rPr>
          <w:rFonts w:ascii="Times New Roman" w:hAnsi="Times New Roman"/>
          <w:b w:val="0"/>
          <w:i/>
          <w:sz w:val="24"/>
          <w:szCs w:val="24"/>
        </w:rPr>
        <w:t>Prudential Practice Guide SPG 520 Fit and Proper</w:t>
      </w:r>
      <w:r>
        <w:rPr>
          <w:rFonts w:ascii="Times New Roman" w:hAnsi="Times New Roman"/>
          <w:b w:val="0"/>
          <w:sz w:val="24"/>
          <w:szCs w:val="24"/>
        </w:rPr>
        <w:t xml:space="preserve"> (SPG 520). </w:t>
      </w:r>
    </w:p>
    <w:p w14:paraId="6A955E8C" w14:textId="53DCFDA2" w:rsidR="00ED4D45" w:rsidRDefault="00B71194" w:rsidP="00ED4D45">
      <w:pPr>
        <w:pStyle w:val="Heading"/>
        <w:tabs>
          <w:tab w:val="left" w:pos="360"/>
        </w:tabs>
        <w:spacing w:after="240"/>
        <w:rPr>
          <w:rFonts w:ascii="Times New Roman" w:hAnsi="Times New Roman"/>
          <w:b w:val="0"/>
          <w:sz w:val="24"/>
          <w:szCs w:val="24"/>
        </w:rPr>
      </w:pPr>
      <w:r>
        <w:rPr>
          <w:rFonts w:ascii="Times New Roman" w:hAnsi="Times New Roman"/>
          <w:b w:val="0"/>
          <w:sz w:val="24"/>
          <w:szCs w:val="24"/>
        </w:rPr>
        <w:t>T</w:t>
      </w:r>
      <w:r w:rsidR="00ED4D45" w:rsidRPr="009A19CF">
        <w:rPr>
          <w:rFonts w:ascii="Times New Roman" w:hAnsi="Times New Roman"/>
          <w:b w:val="0"/>
          <w:sz w:val="24"/>
          <w:szCs w:val="24"/>
        </w:rPr>
        <w:t>he key amendments include</w:t>
      </w:r>
      <w:r w:rsidR="00ED4D45">
        <w:rPr>
          <w:rFonts w:ascii="Times New Roman" w:hAnsi="Times New Roman"/>
          <w:b w:val="0"/>
          <w:sz w:val="24"/>
          <w:szCs w:val="24"/>
        </w:rPr>
        <w:t>d</w:t>
      </w:r>
      <w:r w:rsidR="00ED4D45" w:rsidRPr="009A19CF">
        <w:rPr>
          <w:rFonts w:ascii="Times New Roman" w:hAnsi="Times New Roman"/>
          <w:b w:val="0"/>
          <w:sz w:val="24"/>
          <w:szCs w:val="24"/>
        </w:rPr>
        <w:t xml:space="preserve"> the removal of financial reporting obligations from SPS 310, </w:t>
      </w:r>
      <w:r w:rsidR="00ED4D45">
        <w:rPr>
          <w:rFonts w:ascii="Times New Roman" w:hAnsi="Times New Roman"/>
          <w:b w:val="0"/>
          <w:sz w:val="24"/>
          <w:szCs w:val="24"/>
        </w:rPr>
        <w:t xml:space="preserve">given these responsibilities have moved to ASIC; </w:t>
      </w:r>
      <w:r w:rsidR="00ED4D45" w:rsidRPr="009A19CF">
        <w:rPr>
          <w:rFonts w:ascii="Times New Roman" w:hAnsi="Times New Roman"/>
          <w:b w:val="0"/>
          <w:sz w:val="24"/>
          <w:szCs w:val="24"/>
        </w:rPr>
        <w:t xml:space="preserve">updating independence requirements </w:t>
      </w:r>
      <w:r w:rsidR="00ED4D45">
        <w:rPr>
          <w:rFonts w:ascii="Times New Roman" w:hAnsi="Times New Roman"/>
          <w:b w:val="0"/>
          <w:sz w:val="24"/>
          <w:szCs w:val="24"/>
        </w:rPr>
        <w:t xml:space="preserve">including in SPS 510 </w:t>
      </w:r>
      <w:r w:rsidR="00ED4D45" w:rsidRPr="009A19CF">
        <w:rPr>
          <w:rFonts w:ascii="Times New Roman" w:hAnsi="Times New Roman"/>
          <w:b w:val="0"/>
          <w:sz w:val="24"/>
          <w:szCs w:val="24"/>
        </w:rPr>
        <w:t>to align with the Corporations Act</w:t>
      </w:r>
      <w:r w:rsidR="00ED4D45">
        <w:rPr>
          <w:rFonts w:ascii="Times New Roman" w:hAnsi="Times New Roman"/>
          <w:b w:val="0"/>
          <w:sz w:val="24"/>
          <w:szCs w:val="24"/>
        </w:rPr>
        <w:t xml:space="preserve">; and </w:t>
      </w:r>
      <w:r w:rsidR="00ED4D45" w:rsidRPr="009A19CF">
        <w:rPr>
          <w:rFonts w:ascii="Times New Roman" w:hAnsi="Times New Roman"/>
          <w:b w:val="0"/>
          <w:sz w:val="24"/>
          <w:szCs w:val="24"/>
        </w:rPr>
        <w:t xml:space="preserve">amending the </w:t>
      </w:r>
      <w:r w:rsidR="00ED4D45">
        <w:rPr>
          <w:rFonts w:ascii="Times New Roman" w:hAnsi="Times New Roman"/>
          <w:b w:val="0"/>
          <w:sz w:val="24"/>
          <w:szCs w:val="24"/>
        </w:rPr>
        <w:t xml:space="preserve">definition of </w:t>
      </w:r>
      <w:r w:rsidR="00ED4D45" w:rsidRPr="009A19CF">
        <w:rPr>
          <w:rFonts w:ascii="Times New Roman" w:hAnsi="Times New Roman"/>
          <w:b w:val="0"/>
          <w:sz w:val="24"/>
          <w:szCs w:val="24"/>
        </w:rPr>
        <w:t>responsible persons</w:t>
      </w:r>
      <w:r w:rsidR="00ED4D45">
        <w:rPr>
          <w:rFonts w:ascii="Times New Roman" w:hAnsi="Times New Roman"/>
          <w:b w:val="0"/>
          <w:sz w:val="24"/>
          <w:szCs w:val="24"/>
        </w:rPr>
        <w:t xml:space="preserve"> in relation to f</w:t>
      </w:r>
      <w:r w:rsidR="00ED4D45" w:rsidRPr="009A19CF">
        <w:rPr>
          <w:rFonts w:ascii="Times New Roman" w:hAnsi="Times New Roman"/>
          <w:b w:val="0"/>
          <w:sz w:val="24"/>
          <w:szCs w:val="24"/>
        </w:rPr>
        <w:t xml:space="preserve">it and proper requirements in SPS 520 so that they apply to an individual RSE auditor and a lead auditor of an RSE audit firm or </w:t>
      </w:r>
      <w:r w:rsidR="00ED4D45">
        <w:rPr>
          <w:rFonts w:ascii="Times New Roman" w:hAnsi="Times New Roman"/>
          <w:b w:val="0"/>
          <w:sz w:val="24"/>
          <w:szCs w:val="24"/>
        </w:rPr>
        <w:t xml:space="preserve">an RSE </w:t>
      </w:r>
      <w:r w:rsidR="00ED4D45" w:rsidRPr="009A19CF">
        <w:rPr>
          <w:rFonts w:ascii="Times New Roman" w:hAnsi="Times New Roman"/>
          <w:b w:val="0"/>
          <w:sz w:val="24"/>
          <w:szCs w:val="24"/>
        </w:rPr>
        <w:t>audit company</w:t>
      </w:r>
      <w:r w:rsidR="00ED4D45">
        <w:rPr>
          <w:rFonts w:ascii="Times New Roman" w:hAnsi="Times New Roman"/>
          <w:b w:val="0"/>
          <w:sz w:val="24"/>
          <w:szCs w:val="24"/>
        </w:rPr>
        <w:t>.</w:t>
      </w:r>
      <w:r>
        <w:rPr>
          <w:rFonts w:ascii="Times New Roman" w:hAnsi="Times New Roman"/>
          <w:b w:val="0"/>
          <w:sz w:val="24"/>
          <w:szCs w:val="24"/>
        </w:rPr>
        <w:t xml:space="preserve"> Additional minor amendments were proposed to SPS 310 including the removal of t</w:t>
      </w:r>
      <w:r w:rsidRPr="00877512">
        <w:rPr>
          <w:rFonts w:ascii="Times New Roman" w:hAnsi="Times New Roman"/>
          <w:b w:val="0"/>
          <w:sz w:val="24"/>
          <w:szCs w:val="24"/>
        </w:rPr>
        <w:t>he prudential requirement for RSE auditors to use an APRA approved form for audit reports</w:t>
      </w:r>
      <w:r>
        <w:rPr>
          <w:rFonts w:ascii="Times New Roman" w:hAnsi="Times New Roman"/>
          <w:b w:val="0"/>
          <w:sz w:val="24"/>
          <w:szCs w:val="24"/>
        </w:rPr>
        <w:t xml:space="preserve"> and the </w:t>
      </w:r>
      <w:r w:rsidRPr="00877512">
        <w:rPr>
          <w:rFonts w:ascii="Times New Roman" w:hAnsi="Times New Roman"/>
          <w:b w:val="0"/>
          <w:sz w:val="24"/>
          <w:szCs w:val="24"/>
        </w:rPr>
        <w:t>retire</w:t>
      </w:r>
      <w:r>
        <w:rPr>
          <w:rFonts w:ascii="Times New Roman" w:hAnsi="Times New Roman"/>
          <w:b w:val="0"/>
          <w:sz w:val="24"/>
          <w:szCs w:val="24"/>
        </w:rPr>
        <w:t xml:space="preserve">ment of </w:t>
      </w:r>
      <w:r w:rsidRPr="002214A0">
        <w:rPr>
          <w:rFonts w:ascii="Times New Roman" w:hAnsi="Times New Roman"/>
          <w:b w:val="0"/>
          <w:i/>
          <w:sz w:val="24"/>
          <w:szCs w:val="24"/>
        </w:rPr>
        <w:t>Prudential Practice Guide SPG 310 Audit and Related Matters</w:t>
      </w:r>
      <w:r w:rsidRPr="00877512">
        <w:rPr>
          <w:rFonts w:ascii="Times New Roman" w:hAnsi="Times New Roman"/>
          <w:b w:val="0"/>
          <w:sz w:val="24"/>
          <w:szCs w:val="24"/>
        </w:rPr>
        <w:t xml:space="preserve"> (SPG 310).</w:t>
      </w:r>
    </w:p>
    <w:p w14:paraId="7F59046F" w14:textId="206ACF6E" w:rsidR="00ED4D45" w:rsidRDefault="00ED4D45" w:rsidP="00ED4D45">
      <w:pPr>
        <w:pStyle w:val="Heading"/>
        <w:tabs>
          <w:tab w:val="left" w:pos="360"/>
        </w:tabs>
        <w:spacing w:after="240"/>
        <w:rPr>
          <w:rFonts w:ascii="Times New Roman" w:hAnsi="Times New Roman"/>
          <w:b w:val="0"/>
          <w:sz w:val="24"/>
          <w:szCs w:val="24"/>
        </w:rPr>
      </w:pPr>
      <w:r w:rsidRPr="002214A0">
        <w:rPr>
          <w:rFonts w:ascii="Times New Roman" w:hAnsi="Times New Roman"/>
          <w:b w:val="0"/>
          <w:sz w:val="24"/>
          <w:szCs w:val="24"/>
        </w:rPr>
        <w:t>Four submissions were received during the consultation, with respondents</w:t>
      </w:r>
      <w:r>
        <w:rPr>
          <w:rFonts w:ascii="Times New Roman" w:hAnsi="Times New Roman"/>
          <w:b w:val="0"/>
          <w:sz w:val="24"/>
          <w:szCs w:val="24"/>
        </w:rPr>
        <w:t xml:space="preserve"> generally supportive of the proposed changes, subject to two key areas of feedback</w:t>
      </w:r>
      <w:r w:rsidR="00DF25E8">
        <w:rPr>
          <w:rFonts w:ascii="Times New Roman" w:hAnsi="Times New Roman"/>
          <w:b w:val="0"/>
          <w:sz w:val="24"/>
          <w:szCs w:val="24"/>
        </w:rPr>
        <w:t xml:space="preserve"> concerning SPS 310</w:t>
      </w:r>
      <w:r>
        <w:rPr>
          <w:rFonts w:ascii="Times New Roman" w:hAnsi="Times New Roman"/>
          <w:b w:val="0"/>
          <w:sz w:val="24"/>
          <w:szCs w:val="24"/>
        </w:rPr>
        <w:t xml:space="preserve">. </w:t>
      </w:r>
    </w:p>
    <w:p w14:paraId="150C25E4" w14:textId="77777777" w:rsidR="00ED4D45" w:rsidRDefault="00ED4D45" w:rsidP="00ED4D45">
      <w:pPr>
        <w:pStyle w:val="Heading"/>
        <w:tabs>
          <w:tab w:val="left" w:pos="360"/>
        </w:tabs>
        <w:spacing w:after="240"/>
        <w:rPr>
          <w:rFonts w:ascii="Times New Roman" w:hAnsi="Times New Roman"/>
          <w:b w:val="0"/>
          <w:sz w:val="24"/>
          <w:szCs w:val="24"/>
        </w:rPr>
      </w:pPr>
      <w:r w:rsidRPr="00825A87">
        <w:rPr>
          <w:rFonts w:ascii="Times New Roman" w:hAnsi="Times New Roman"/>
          <w:b w:val="0"/>
          <w:sz w:val="24"/>
          <w:szCs w:val="24"/>
        </w:rPr>
        <w:t>APRA</w:t>
      </w:r>
      <w:r>
        <w:rPr>
          <w:rFonts w:ascii="Times New Roman" w:hAnsi="Times New Roman"/>
          <w:b w:val="0"/>
          <w:sz w:val="24"/>
          <w:szCs w:val="24"/>
        </w:rPr>
        <w:t xml:space="preserve">’s consultation </w:t>
      </w:r>
      <w:r w:rsidRPr="00825A87">
        <w:rPr>
          <w:rFonts w:ascii="Times New Roman" w:hAnsi="Times New Roman"/>
          <w:b w:val="0"/>
          <w:sz w:val="24"/>
          <w:szCs w:val="24"/>
        </w:rPr>
        <w:t xml:space="preserve">proposed to broaden the scope of reasonable assurance audit requirements. Feedback from submissions raised concerns that the expanded scope would be too broad, could be implemented inconsistently and may expose members to additional cost for limited benefit. </w:t>
      </w:r>
      <w:r w:rsidRPr="00632D67">
        <w:rPr>
          <w:rFonts w:ascii="Times New Roman" w:hAnsi="Times New Roman"/>
          <w:b w:val="0"/>
          <w:sz w:val="24"/>
          <w:szCs w:val="24"/>
        </w:rPr>
        <w:t>APRA</w:t>
      </w:r>
      <w:r>
        <w:rPr>
          <w:rFonts w:ascii="Times New Roman" w:hAnsi="Times New Roman"/>
          <w:b w:val="0"/>
          <w:sz w:val="24"/>
          <w:szCs w:val="24"/>
        </w:rPr>
        <w:t xml:space="preserve">’s consultation also </w:t>
      </w:r>
      <w:r w:rsidRPr="00632D67">
        <w:rPr>
          <w:rFonts w:ascii="Times New Roman" w:hAnsi="Times New Roman"/>
          <w:b w:val="0"/>
          <w:sz w:val="24"/>
          <w:szCs w:val="24"/>
        </w:rPr>
        <w:t xml:space="preserve">proposed to retire SPG 310, on the basis it was no longer required given discontinuance of the approved form </w:t>
      </w:r>
      <w:r w:rsidRPr="00632D67">
        <w:rPr>
          <w:rFonts w:ascii="Times New Roman" w:hAnsi="Times New Roman"/>
          <w:b w:val="0"/>
          <w:sz w:val="24"/>
          <w:szCs w:val="24"/>
        </w:rPr>
        <w:lastRenderedPageBreak/>
        <w:t>and the legislative changes.</w:t>
      </w:r>
      <w:r>
        <w:rPr>
          <w:rFonts w:ascii="Times New Roman" w:hAnsi="Times New Roman"/>
          <w:b w:val="0"/>
          <w:sz w:val="24"/>
          <w:szCs w:val="24"/>
        </w:rPr>
        <w:t xml:space="preserve"> Feedback from submissions raised two areas of guidance which are still relied upon, including guidance related to entities winding up and for RSE auditors where a different auditor audits the RSE licensee.</w:t>
      </w:r>
    </w:p>
    <w:p w14:paraId="6471E963" w14:textId="764F156E" w:rsidR="002436BD" w:rsidRPr="00564008" w:rsidRDefault="00ED4D45" w:rsidP="00796A67">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has taken account of both these areas of feedback and has made appropriate adjustments where required. </w:t>
      </w:r>
      <w:r w:rsidRPr="00031A1A">
        <w:rPr>
          <w:rFonts w:ascii="Times New Roman" w:hAnsi="Times New Roman"/>
          <w:b w:val="0"/>
          <w:sz w:val="24"/>
          <w:szCs w:val="24"/>
        </w:rPr>
        <w:t>APRA has</w:t>
      </w:r>
      <w:r>
        <w:rPr>
          <w:rFonts w:ascii="Times New Roman" w:hAnsi="Times New Roman"/>
          <w:b w:val="0"/>
          <w:sz w:val="24"/>
          <w:szCs w:val="24"/>
        </w:rPr>
        <w:t xml:space="preserve"> </w:t>
      </w:r>
      <w:r w:rsidRPr="00031A1A">
        <w:rPr>
          <w:rFonts w:ascii="Times New Roman" w:hAnsi="Times New Roman"/>
          <w:b w:val="0"/>
          <w:sz w:val="24"/>
          <w:szCs w:val="24"/>
        </w:rPr>
        <w:t>determined to not expand the scope of reasonable assurance audit requirements</w:t>
      </w:r>
      <w:r>
        <w:rPr>
          <w:rFonts w:ascii="Times New Roman" w:hAnsi="Times New Roman"/>
          <w:b w:val="0"/>
          <w:sz w:val="24"/>
          <w:szCs w:val="24"/>
        </w:rPr>
        <w:t xml:space="preserve"> and has instead </w:t>
      </w:r>
      <w:r w:rsidRPr="00031A1A">
        <w:rPr>
          <w:rFonts w:ascii="Times New Roman" w:hAnsi="Times New Roman"/>
          <w:b w:val="0"/>
          <w:sz w:val="24"/>
          <w:szCs w:val="24"/>
        </w:rPr>
        <w:t>introduced a new Attachment B within SPS 310, which specifies the scope of reasonable assurance audit requirements, in line with Part 2(B) of the discontinued approved form</w:t>
      </w:r>
      <w:r>
        <w:rPr>
          <w:rFonts w:ascii="Times New Roman" w:hAnsi="Times New Roman"/>
          <w:b w:val="0"/>
          <w:sz w:val="24"/>
          <w:szCs w:val="24"/>
        </w:rPr>
        <w:t>, with a limited reduction in the legislative provisions for audit. APRA has made an adjustment to Attachment A of SPS 310 to clarify requirements for entities winding up. Where RSE auditors have a different auditor for the RSE licensee, APRA has confirmed that the existing requirements in SPS 310 apply and will proceed with retiring the guidance in SPG 310.</w:t>
      </w:r>
    </w:p>
    <w:p w14:paraId="0320D482" w14:textId="1E0B56A9" w:rsidR="002436BD" w:rsidRPr="00564008" w:rsidRDefault="00DF524E" w:rsidP="008E5D4C">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sidRPr="00564008">
        <w:rPr>
          <w:rFonts w:ascii="Times New Roman" w:hAnsi="Times New Roman"/>
          <w:sz w:val="24"/>
          <w:szCs w:val="24"/>
        </w:rPr>
        <w:t>4</w:t>
      </w:r>
      <w:r w:rsidR="002436BD" w:rsidRPr="00564008">
        <w:rPr>
          <w:rFonts w:ascii="Times New Roman" w:hAnsi="Times New Roman"/>
          <w:sz w:val="24"/>
          <w:szCs w:val="24"/>
        </w:rPr>
        <w:t xml:space="preserve">. </w:t>
      </w:r>
      <w:r w:rsidR="002436BD" w:rsidRPr="00564008">
        <w:rPr>
          <w:rFonts w:ascii="Times New Roman" w:hAnsi="Times New Roman"/>
          <w:sz w:val="24"/>
          <w:szCs w:val="24"/>
        </w:rPr>
        <w:tab/>
      </w:r>
      <w:r w:rsidR="00C25AE3">
        <w:rPr>
          <w:rFonts w:ascii="Times New Roman" w:hAnsi="Times New Roman"/>
          <w:sz w:val="24"/>
          <w:szCs w:val="24"/>
        </w:rPr>
        <w:t xml:space="preserve">Impact Analysis </w:t>
      </w:r>
    </w:p>
    <w:bookmarkEnd w:id="10"/>
    <w:p w14:paraId="34AFEA30" w14:textId="571D8DC8" w:rsidR="00C25AE3" w:rsidRPr="00564008" w:rsidRDefault="00C25AE3" w:rsidP="008E5D4C">
      <w:pPr>
        <w:pStyle w:val="Heading"/>
        <w:spacing w:after="240"/>
        <w:rPr>
          <w:rFonts w:ascii="Times New Roman" w:hAnsi="Times New Roman"/>
          <w:b w:val="0"/>
          <w:sz w:val="24"/>
          <w:szCs w:val="24"/>
        </w:rPr>
      </w:pPr>
      <w:r w:rsidRPr="00564008">
        <w:rPr>
          <w:rFonts w:ascii="Times New Roman" w:hAnsi="Times New Roman"/>
          <w:b w:val="0"/>
          <w:sz w:val="24"/>
          <w:szCs w:val="24"/>
        </w:rPr>
        <w:t>The Office of Impact Analysis</w:t>
      </w:r>
      <w:r>
        <w:rPr>
          <w:rFonts w:ascii="Times New Roman" w:hAnsi="Times New Roman"/>
          <w:b w:val="0"/>
          <w:sz w:val="24"/>
          <w:szCs w:val="24"/>
        </w:rPr>
        <w:t xml:space="preserve"> </w:t>
      </w:r>
      <w:r w:rsidR="00816284">
        <w:rPr>
          <w:rFonts w:ascii="Times New Roman" w:hAnsi="Times New Roman"/>
          <w:b w:val="0"/>
          <w:sz w:val="24"/>
          <w:szCs w:val="24"/>
        </w:rPr>
        <w:t xml:space="preserve">has </w:t>
      </w:r>
      <w:r>
        <w:rPr>
          <w:rFonts w:ascii="Times New Roman" w:hAnsi="Times New Roman"/>
          <w:b w:val="0"/>
          <w:sz w:val="24"/>
          <w:szCs w:val="24"/>
        </w:rPr>
        <w:t xml:space="preserve">confirmed that it </w:t>
      </w:r>
      <w:r w:rsidRPr="00EB283A">
        <w:rPr>
          <w:rFonts w:ascii="Times New Roman" w:hAnsi="Times New Roman"/>
          <w:b w:val="0"/>
          <w:sz w:val="24"/>
          <w:szCs w:val="24"/>
        </w:rPr>
        <w:t>considers the proposal is unlikely to have a more than minor impact, as the proposed changes seek to ensure alignment with the Corporations Act and remove regulatory burden</w:t>
      </w:r>
      <w:r>
        <w:rPr>
          <w:rFonts w:ascii="Times New Roman" w:hAnsi="Times New Roman"/>
          <w:b w:val="0"/>
          <w:sz w:val="24"/>
          <w:szCs w:val="24"/>
        </w:rPr>
        <w:t xml:space="preserve"> and, a</w:t>
      </w:r>
      <w:r w:rsidRPr="00EB283A">
        <w:rPr>
          <w:rFonts w:ascii="Times New Roman" w:hAnsi="Times New Roman"/>
          <w:b w:val="0"/>
          <w:sz w:val="24"/>
          <w:szCs w:val="24"/>
        </w:rPr>
        <w:t xml:space="preserve">s such, </w:t>
      </w:r>
      <w:r>
        <w:rPr>
          <w:rFonts w:ascii="Times New Roman" w:hAnsi="Times New Roman"/>
          <w:b w:val="0"/>
          <w:sz w:val="24"/>
          <w:szCs w:val="24"/>
        </w:rPr>
        <w:t xml:space="preserve">that </w:t>
      </w:r>
      <w:r w:rsidRPr="00EB283A">
        <w:rPr>
          <w:rFonts w:ascii="Times New Roman" w:hAnsi="Times New Roman"/>
          <w:b w:val="0"/>
          <w:sz w:val="24"/>
          <w:szCs w:val="24"/>
        </w:rPr>
        <w:t>the preparation of an Impact Analysis is not required.</w:t>
      </w:r>
    </w:p>
    <w:p w14:paraId="5C19FB8D" w14:textId="77777777" w:rsidR="002436BD" w:rsidRPr="00564008" w:rsidRDefault="00DF524E" w:rsidP="008E5D4C">
      <w:pPr>
        <w:pStyle w:val="Heading"/>
        <w:tabs>
          <w:tab w:val="left" w:pos="360"/>
        </w:tabs>
        <w:spacing w:after="240"/>
        <w:rPr>
          <w:rFonts w:ascii="Times New Roman" w:hAnsi="Times New Roman"/>
          <w:sz w:val="24"/>
          <w:szCs w:val="24"/>
        </w:rPr>
      </w:pPr>
      <w:r w:rsidRPr="00564008">
        <w:rPr>
          <w:rFonts w:ascii="Times New Roman" w:hAnsi="Times New Roman"/>
          <w:sz w:val="24"/>
          <w:szCs w:val="24"/>
        </w:rPr>
        <w:t>5</w:t>
      </w:r>
      <w:r w:rsidR="002436BD" w:rsidRPr="00564008">
        <w:rPr>
          <w:rFonts w:ascii="Times New Roman" w:hAnsi="Times New Roman"/>
          <w:sz w:val="24"/>
          <w:szCs w:val="24"/>
        </w:rPr>
        <w:t>.</w:t>
      </w:r>
      <w:r w:rsidR="002436BD" w:rsidRPr="00564008">
        <w:rPr>
          <w:rFonts w:ascii="Times New Roman" w:hAnsi="Times New Roman"/>
          <w:sz w:val="24"/>
          <w:szCs w:val="24"/>
        </w:rPr>
        <w:tab/>
        <w:t>Statement of compatibility prepared in accordance with Part 3 of the Human Rights (Parliamentary Scrutiny) Act 2011</w:t>
      </w:r>
    </w:p>
    <w:p w14:paraId="048E14C9" w14:textId="641CDE15" w:rsidR="000231FC" w:rsidRPr="00564008" w:rsidRDefault="000231FC" w:rsidP="000231FC">
      <w:pPr>
        <w:pStyle w:val="Heading"/>
        <w:spacing w:after="240"/>
        <w:rPr>
          <w:rFonts w:ascii="Times New Roman" w:hAnsi="Times New Roman"/>
          <w:b w:val="0"/>
          <w:sz w:val="24"/>
          <w:szCs w:val="24"/>
        </w:rPr>
      </w:pPr>
      <w:r w:rsidRPr="00564008">
        <w:rPr>
          <w:rFonts w:ascii="Times New Roman" w:hAnsi="Times New Roman"/>
          <w:b w:val="0"/>
          <w:sz w:val="24"/>
          <w:szCs w:val="24"/>
        </w:rPr>
        <w:t xml:space="preserve">A Statement of compatibility prepared in accordance with Part 3 of the </w:t>
      </w:r>
      <w:r w:rsidRPr="00564008">
        <w:rPr>
          <w:rFonts w:ascii="Times New Roman" w:hAnsi="Times New Roman"/>
          <w:b w:val="0"/>
          <w:i/>
          <w:sz w:val="24"/>
          <w:szCs w:val="24"/>
        </w:rPr>
        <w:t>Human Rights (Parliamentary Scrutiny) Act 2011</w:t>
      </w:r>
      <w:r w:rsidRPr="00564008">
        <w:rPr>
          <w:rFonts w:ascii="Times New Roman" w:hAnsi="Times New Roman"/>
          <w:b w:val="0"/>
          <w:sz w:val="24"/>
          <w:szCs w:val="24"/>
        </w:rPr>
        <w:t xml:space="preserve"> is provided at Attachment A to this Explanatory Statement</w:t>
      </w:r>
      <w:r w:rsidR="005E10E8" w:rsidRPr="00564008">
        <w:rPr>
          <w:rFonts w:ascii="Times New Roman" w:hAnsi="Times New Roman"/>
          <w:b w:val="0"/>
          <w:sz w:val="24"/>
          <w:szCs w:val="24"/>
        </w:rPr>
        <w:t>.</w:t>
      </w:r>
    </w:p>
    <w:p w14:paraId="59C01D3D" w14:textId="77777777" w:rsidR="000231FC" w:rsidRPr="00564008" w:rsidRDefault="000231FC" w:rsidP="000231FC">
      <w:pPr>
        <w:pStyle w:val="Heading"/>
        <w:spacing w:after="240"/>
        <w:rPr>
          <w:rFonts w:ascii="Times New Roman" w:hAnsi="Times New Roman"/>
          <w:b w:val="0"/>
          <w:sz w:val="24"/>
          <w:szCs w:val="24"/>
        </w:rPr>
      </w:pPr>
    </w:p>
    <w:p w14:paraId="26C433C0" w14:textId="0F233238" w:rsidR="000231FC" w:rsidRPr="005023B4" w:rsidRDefault="000231FC" w:rsidP="005023B4">
      <w:pPr>
        <w:jc w:val="center"/>
        <w:rPr>
          <w:rFonts w:ascii="Times New Roman" w:eastAsia="Calibri" w:hAnsi="Times New Roman"/>
          <w:b/>
          <w:bCs/>
          <w:sz w:val="24"/>
          <w:szCs w:val="24"/>
        </w:rPr>
      </w:pPr>
      <w:r w:rsidRPr="00564008">
        <w:rPr>
          <w:rFonts w:ascii="Times New Roman" w:eastAsia="Calibri" w:hAnsi="Times New Roman"/>
          <w:b/>
          <w:bCs/>
          <w:sz w:val="24"/>
          <w:szCs w:val="24"/>
          <w:u w:val="single"/>
        </w:rPr>
        <w:br w:type="page"/>
      </w:r>
      <w:r w:rsidRPr="005023B4">
        <w:rPr>
          <w:rFonts w:ascii="Times New Roman" w:eastAsia="Calibri" w:hAnsi="Times New Roman"/>
          <w:b/>
          <w:bCs/>
          <w:sz w:val="24"/>
          <w:szCs w:val="24"/>
        </w:rPr>
        <w:lastRenderedPageBreak/>
        <w:t>ATTACHMENT A</w:t>
      </w:r>
    </w:p>
    <w:p w14:paraId="50021654" w14:textId="77777777" w:rsidR="000231FC" w:rsidRPr="00564008" w:rsidRDefault="000231FC" w:rsidP="000231FC">
      <w:pPr>
        <w:autoSpaceDE w:val="0"/>
        <w:autoSpaceDN w:val="0"/>
        <w:adjustRightInd w:val="0"/>
        <w:rPr>
          <w:rFonts w:ascii="Times New Roman" w:eastAsia="Calibri" w:hAnsi="Times New Roman"/>
          <w:b/>
          <w:bCs/>
          <w:sz w:val="24"/>
          <w:szCs w:val="24"/>
        </w:rPr>
      </w:pPr>
    </w:p>
    <w:p w14:paraId="7B1F7C96" w14:textId="77777777" w:rsidR="000231FC" w:rsidRPr="00564008" w:rsidRDefault="000231FC" w:rsidP="000231FC">
      <w:pPr>
        <w:autoSpaceDE w:val="0"/>
        <w:autoSpaceDN w:val="0"/>
        <w:adjustRightInd w:val="0"/>
        <w:jc w:val="center"/>
        <w:rPr>
          <w:rFonts w:ascii="Times New Roman" w:eastAsia="Calibri" w:hAnsi="Times New Roman"/>
          <w:b/>
          <w:bCs/>
          <w:sz w:val="24"/>
          <w:szCs w:val="24"/>
        </w:rPr>
      </w:pPr>
      <w:r w:rsidRPr="00564008">
        <w:rPr>
          <w:rFonts w:ascii="Times New Roman" w:eastAsia="Calibri" w:hAnsi="Times New Roman"/>
          <w:b/>
          <w:bCs/>
          <w:sz w:val="24"/>
          <w:szCs w:val="24"/>
        </w:rPr>
        <w:t>Statement of Compatibility with Human Rights</w:t>
      </w:r>
    </w:p>
    <w:p w14:paraId="01FB922A" w14:textId="77777777" w:rsidR="000231FC" w:rsidRPr="00564008" w:rsidRDefault="000231FC" w:rsidP="000231FC">
      <w:pPr>
        <w:autoSpaceDE w:val="0"/>
        <w:autoSpaceDN w:val="0"/>
        <w:adjustRightInd w:val="0"/>
        <w:rPr>
          <w:rFonts w:ascii="Times New Roman" w:eastAsia="Calibri" w:hAnsi="Times New Roman"/>
          <w:bCs/>
          <w:sz w:val="24"/>
          <w:szCs w:val="24"/>
        </w:rPr>
      </w:pPr>
    </w:p>
    <w:p w14:paraId="2B22F88D" w14:textId="77777777" w:rsidR="000231FC" w:rsidRPr="00564008" w:rsidRDefault="000231FC" w:rsidP="000231FC">
      <w:pPr>
        <w:autoSpaceDE w:val="0"/>
        <w:autoSpaceDN w:val="0"/>
        <w:adjustRightInd w:val="0"/>
        <w:jc w:val="center"/>
        <w:rPr>
          <w:rFonts w:ascii="Times New Roman" w:eastAsia="Calibri" w:hAnsi="Times New Roman"/>
          <w:i/>
          <w:sz w:val="24"/>
          <w:szCs w:val="24"/>
        </w:rPr>
      </w:pPr>
      <w:r w:rsidRPr="00564008">
        <w:rPr>
          <w:rFonts w:ascii="Times New Roman" w:eastAsia="Calibri" w:hAnsi="Times New Roman"/>
          <w:sz w:val="24"/>
          <w:szCs w:val="24"/>
        </w:rPr>
        <w:t xml:space="preserve">Prepared in accordance with Part 3 of the </w:t>
      </w:r>
      <w:r w:rsidRPr="00564008">
        <w:rPr>
          <w:rFonts w:ascii="Times New Roman" w:eastAsia="Calibri" w:hAnsi="Times New Roman"/>
          <w:i/>
          <w:sz w:val="24"/>
          <w:szCs w:val="24"/>
        </w:rPr>
        <w:t>Human Rights (Parliamentary Scrutiny) Act</w:t>
      </w:r>
    </w:p>
    <w:p w14:paraId="77A601E7" w14:textId="77777777" w:rsidR="000231FC" w:rsidRPr="00564008" w:rsidRDefault="000231FC" w:rsidP="000231FC">
      <w:pPr>
        <w:autoSpaceDE w:val="0"/>
        <w:autoSpaceDN w:val="0"/>
        <w:adjustRightInd w:val="0"/>
        <w:jc w:val="center"/>
        <w:rPr>
          <w:rFonts w:ascii="Times New Roman" w:eastAsia="Calibri" w:hAnsi="Times New Roman"/>
          <w:i/>
          <w:sz w:val="24"/>
          <w:szCs w:val="24"/>
        </w:rPr>
      </w:pPr>
      <w:r w:rsidRPr="00564008">
        <w:rPr>
          <w:rFonts w:ascii="Times New Roman" w:eastAsia="Calibri" w:hAnsi="Times New Roman"/>
          <w:i/>
          <w:sz w:val="24"/>
          <w:szCs w:val="24"/>
        </w:rPr>
        <w:t>2011</w:t>
      </w:r>
    </w:p>
    <w:p w14:paraId="36A3F31B" w14:textId="77777777" w:rsidR="000231FC" w:rsidRPr="00564008" w:rsidRDefault="000231FC" w:rsidP="000231FC">
      <w:pPr>
        <w:autoSpaceDE w:val="0"/>
        <w:autoSpaceDN w:val="0"/>
        <w:adjustRightInd w:val="0"/>
        <w:jc w:val="center"/>
        <w:rPr>
          <w:rFonts w:ascii="Times New Roman" w:eastAsia="Calibri" w:hAnsi="Times New Roman"/>
          <w:sz w:val="24"/>
          <w:szCs w:val="24"/>
        </w:rPr>
      </w:pPr>
    </w:p>
    <w:p w14:paraId="476BCA1F" w14:textId="77777777" w:rsidR="00017A21" w:rsidRPr="00380B40" w:rsidRDefault="00017A21" w:rsidP="00017A21">
      <w:pPr>
        <w:autoSpaceDE w:val="0"/>
        <w:autoSpaceDN w:val="0"/>
        <w:adjustRightInd w:val="0"/>
        <w:jc w:val="center"/>
        <w:rPr>
          <w:rFonts w:ascii="Times New Roman" w:eastAsia="Calibri" w:hAnsi="Times New Roman"/>
          <w:b/>
          <w:i/>
          <w:sz w:val="24"/>
          <w:szCs w:val="24"/>
        </w:rPr>
      </w:pPr>
      <w:bookmarkStart w:id="11" w:name="_Hlk167975987"/>
      <w:r w:rsidRPr="00380B40">
        <w:rPr>
          <w:rFonts w:ascii="Times New Roman" w:eastAsia="Calibri" w:hAnsi="Times New Roman"/>
          <w:b/>
          <w:i/>
          <w:sz w:val="24"/>
          <w:szCs w:val="24"/>
        </w:rPr>
        <w:t>Superannuation (prudential standard) determination No. 2 of 2024</w:t>
      </w:r>
    </w:p>
    <w:bookmarkEnd w:id="11"/>
    <w:p w14:paraId="0D35E00E" w14:textId="77777777" w:rsidR="00017A21" w:rsidRPr="00564008" w:rsidRDefault="00017A21" w:rsidP="00017A21">
      <w:pPr>
        <w:autoSpaceDE w:val="0"/>
        <w:autoSpaceDN w:val="0"/>
        <w:adjustRightInd w:val="0"/>
        <w:rPr>
          <w:rFonts w:ascii="Times New Roman" w:eastAsia="Calibri" w:hAnsi="Times New Roman"/>
          <w:b/>
          <w:bCs/>
          <w:sz w:val="24"/>
          <w:szCs w:val="24"/>
        </w:rPr>
      </w:pPr>
    </w:p>
    <w:p w14:paraId="66E14450" w14:textId="77777777" w:rsidR="00017A21" w:rsidRPr="00564008" w:rsidRDefault="00017A21" w:rsidP="00017A21">
      <w:pPr>
        <w:autoSpaceDE w:val="0"/>
        <w:autoSpaceDN w:val="0"/>
        <w:adjustRightInd w:val="0"/>
        <w:jc w:val="both"/>
        <w:rPr>
          <w:rFonts w:ascii="Times New Roman" w:eastAsia="Calibri" w:hAnsi="Times New Roman"/>
          <w:i/>
          <w:iCs/>
          <w:sz w:val="24"/>
          <w:szCs w:val="24"/>
        </w:rPr>
      </w:pPr>
      <w:r w:rsidRPr="00564008">
        <w:rPr>
          <w:rFonts w:ascii="Times New Roman" w:eastAsia="Calibri" w:hAnsi="Times New Roman"/>
          <w:sz w:val="24"/>
          <w:szCs w:val="24"/>
        </w:rPr>
        <w:t xml:space="preserve">This Legislative Instrument is compatible with the human rights and freedoms recognised or declared in the international instrument listed in section 3 of the </w:t>
      </w:r>
      <w:proofErr w:type="gramStart"/>
      <w:r w:rsidRPr="00564008">
        <w:rPr>
          <w:rFonts w:ascii="Times New Roman" w:eastAsia="Calibri" w:hAnsi="Times New Roman"/>
          <w:i/>
          <w:iCs/>
          <w:sz w:val="24"/>
          <w:szCs w:val="24"/>
        </w:rPr>
        <w:t>Human</w:t>
      </w:r>
      <w:proofErr w:type="gramEnd"/>
    </w:p>
    <w:p w14:paraId="6B0698FC" w14:textId="77777777" w:rsidR="00017A21" w:rsidRPr="00564008" w:rsidRDefault="00017A21" w:rsidP="00017A21">
      <w:pPr>
        <w:autoSpaceDE w:val="0"/>
        <w:autoSpaceDN w:val="0"/>
        <w:adjustRightInd w:val="0"/>
        <w:jc w:val="both"/>
        <w:rPr>
          <w:rFonts w:ascii="Times New Roman" w:eastAsia="Calibri" w:hAnsi="Times New Roman"/>
          <w:sz w:val="24"/>
          <w:szCs w:val="24"/>
        </w:rPr>
      </w:pPr>
      <w:r w:rsidRPr="00564008">
        <w:rPr>
          <w:rFonts w:ascii="Times New Roman" w:eastAsia="Calibri" w:hAnsi="Times New Roman"/>
          <w:i/>
          <w:iCs/>
          <w:sz w:val="24"/>
          <w:szCs w:val="24"/>
        </w:rPr>
        <w:t xml:space="preserve">Rights (Parliamentary Scrutiny) Act 2011 </w:t>
      </w:r>
      <w:r w:rsidRPr="00564008">
        <w:rPr>
          <w:rFonts w:ascii="Times New Roman" w:eastAsia="Calibri" w:hAnsi="Times New Roman"/>
          <w:sz w:val="24"/>
          <w:szCs w:val="24"/>
        </w:rPr>
        <w:t>(HRPS Act).</w:t>
      </w:r>
    </w:p>
    <w:p w14:paraId="7727F946" w14:textId="77777777" w:rsidR="00017A21" w:rsidRPr="00564008" w:rsidRDefault="00017A21" w:rsidP="00017A21">
      <w:pPr>
        <w:autoSpaceDE w:val="0"/>
        <w:autoSpaceDN w:val="0"/>
        <w:adjustRightInd w:val="0"/>
        <w:jc w:val="both"/>
        <w:rPr>
          <w:rFonts w:ascii="Times New Roman" w:eastAsia="Calibri" w:hAnsi="Times New Roman"/>
          <w:sz w:val="24"/>
          <w:szCs w:val="24"/>
        </w:rPr>
      </w:pPr>
    </w:p>
    <w:p w14:paraId="5392EAD7" w14:textId="77777777" w:rsidR="00017A21" w:rsidRDefault="00017A21" w:rsidP="00017A21">
      <w:pPr>
        <w:autoSpaceDE w:val="0"/>
        <w:autoSpaceDN w:val="0"/>
        <w:adjustRightInd w:val="0"/>
        <w:jc w:val="both"/>
        <w:rPr>
          <w:rFonts w:ascii="Times New Roman" w:eastAsia="Calibri" w:hAnsi="Times New Roman"/>
          <w:b/>
          <w:bCs/>
          <w:sz w:val="24"/>
          <w:szCs w:val="24"/>
        </w:rPr>
      </w:pPr>
      <w:r w:rsidRPr="00564008">
        <w:rPr>
          <w:rFonts w:ascii="Times New Roman" w:eastAsia="Calibri" w:hAnsi="Times New Roman"/>
          <w:b/>
          <w:bCs/>
          <w:sz w:val="24"/>
          <w:szCs w:val="24"/>
        </w:rPr>
        <w:t>Overview of the Legislative Instrument</w:t>
      </w:r>
    </w:p>
    <w:p w14:paraId="4648100C" w14:textId="77777777" w:rsidR="00017A21" w:rsidRPr="00CD5E94" w:rsidRDefault="00017A21" w:rsidP="00017A21">
      <w:pPr>
        <w:autoSpaceDE w:val="0"/>
        <w:autoSpaceDN w:val="0"/>
        <w:adjustRightInd w:val="0"/>
        <w:jc w:val="both"/>
        <w:rPr>
          <w:rFonts w:ascii="Times New Roman" w:eastAsia="Calibri" w:hAnsi="Times New Roman"/>
          <w:b/>
          <w:bCs/>
          <w:sz w:val="24"/>
          <w:szCs w:val="24"/>
        </w:rPr>
      </w:pPr>
    </w:p>
    <w:p w14:paraId="1EEE3DB7" w14:textId="1A8B1D05" w:rsidR="00D1483A" w:rsidRPr="00D1483A" w:rsidRDefault="00D1483A" w:rsidP="00D1483A">
      <w:pPr>
        <w:rPr>
          <w:rFonts w:ascii="Times New Roman" w:hAnsi="Times New Roman"/>
          <w:sz w:val="24"/>
          <w:szCs w:val="24"/>
        </w:rPr>
      </w:pPr>
      <w:r w:rsidRPr="00D1483A">
        <w:rPr>
          <w:rFonts w:ascii="Times New Roman" w:hAnsi="Times New Roman"/>
          <w:sz w:val="24"/>
          <w:szCs w:val="24"/>
        </w:rPr>
        <w:t xml:space="preserve">The purpose of </w:t>
      </w:r>
      <w:r>
        <w:rPr>
          <w:rFonts w:ascii="Times New Roman" w:hAnsi="Times New Roman"/>
          <w:sz w:val="24"/>
          <w:szCs w:val="24"/>
        </w:rPr>
        <w:t>this</w:t>
      </w:r>
      <w:r w:rsidRPr="00D1483A">
        <w:rPr>
          <w:rFonts w:ascii="Times New Roman" w:hAnsi="Times New Roman"/>
          <w:sz w:val="24"/>
          <w:szCs w:val="24"/>
        </w:rPr>
        <w:t xml:space="preserve"> </w:t>
      </w:r>
      <w:r>
        <w:rPr>
          <w:rFonts w:ascii="Times New Roman" w:hAnsi="Times New Roman"/>
          <w:sz w:val="24"/>
          <w:szCs w:val="24"/>
        </w:rPr>
        <w:t>L</w:t>
      </w:r>
      <w:r w:rsidRPr="00D1483A">
        <w:rPr>
          <w:rFonts w:ascii="Times New Roman" w:hAnsi="Times New Roman"/>
          <w:sz w:val="24"/>
          <w:szCs w:val="24"/>
        </w:rPr>
        <w:t xml:space="preserve">egislative </w:t>
      </w:r>
      <w:r>
        <w:rPr>
          <w:rFonts w:ascii="Times New Roman" w:hAnsi="Times New Roman"/>
          <w:sz w:val="24"/>
          <w:szCs w:val="24"/>
        </w:rPr>
        <w:t>I</w:t>
      </w:r>
      <w:r w:rsidRPr="00D1483A">
        <w:rPr>
          <w:rFonts w:ascii="Times New Roman" w:hAnsi="Times New Roman"/>
          <w:sz w:val="24"/>
          <w:szCs w:val="24"/>
        </w:rPr>
        <w:t xml:space="preserve">nstrument is to revoke </w:t>
      </w:r>
      <w:r w:rsidRPr="00BC1E70">
        <w:rPr>
          <w:rFonts w:ascii="Times New Roman" w:hAnsi="Times New Roman"/>
          <w:i/>
          <w:iCs/>
          <w:sz w:val="24"/>
          <w:szCs w:val="24"/>
        </w:rPr>
        <w:t>Prudential Standard</w:t>
      </w:r>
      <w:r>
        <w:rPr>
          <w:rFonts w:ascii="Times New Roman" w:hAnsi="Times New Roman"/>
          <w:i/>
          <w:iCs/>
          <w:sz w:val="24"/>
          <w:szCs w:val="24"/>
        </w:rPr>
        <w:t xml:space="preserve"> SPS 310 Audit and Related Matters </w:t>
      </w:r>
      <w:r w:rsidRPr="00D1483A">
        <w:rPr>
          <w:rFonts w:ascii="Times New Roman" w:hAnsi="Times New Roman"/>
          <w:sz w:val="24"/>
          <w:szCs w:val="24"/>
        </w:rPr>
        <w:t>(</w:t>
      </w:r>
      <w:r>
        <w:rPr>
          <w:rFonts w:ascii="Times New Roman" w:hAnsi="Times New Roman"/>
          <w:sz w:val="24"/>
          <w:szCs w:val="24"/>
        </w:rPr>
        <w:t>SPS</w:t>
      </w:r>
      <w:r w:rsidRPr="00D1483A">
        <w:rPr>
          <w:rFonts w:ascii="Times New Roman" w:hAnsi="Times New Roman"/>
          <w:sz w:val="24"/>
          <w:szCs w:val="24"/>
        </w:rPr>
        <w:t xml:space="preserve"> </w:t>
      </w:r>
      <w:r>
        <w:rPr>
          <w:rFonts w:ascii="Times New Roman" w:hAnsi="Times New Roman"/>
          <w:sz w:val="24"/>
          <w:szCs w:val="24"/>
        </w:rPr>
        <w:t>310</w:t>
      </w:r>
      <w:r w:rsidRPr="00D1483A">
        <w:rPr>
          <w:rFonts w:ascii="Times New Roman" w:hAnsi="Times New Roman"/>
          <w:sz w:val="24"/>
          <w:szCs w:val="24"/>
        </w:rPr>
        <w:t>) and replace it with a new version of the prudential standard.</w:t>
      </w:r>
    </w:p>
    <w:p w14:paraId="70665D91" w14:textId="77777777" w:rsidR="00017A21" w:rsidRDefault="00017A21" w:rsidP="00017A21">
      <w:pPr>
        <w:jc w:val="both"/>
        <w:rPr>
          <w:rFonts w:ascii="Times New Roman" w:hAnsi="Times New Roman"/>
          <w:sz w:val="24"/>
          <w:szCs w:val="24"/>
        </w:rPr>
      </w:pPr>
    </w:p>
    <w:p w14:paraId="222064C9" w14:textId="5FAA2EB4" w:rsidR="00017A21" w:rsidRPr="00564008" w:rsidRDefault="00017A21" w:rsidP="00017A21">
      <w:pPr>
        <w:jc w:val="both"/>
        <w:rPr>
          <w:rFonts w:ascii="Times New Roman" w:hAnsi="Times New Roman"/>
          <w:sz w:val="24"/>
          <w:szCs w:val="24"/>
        </w:rPr>
      </w:pPr>
      <w:r w:rsidRPr="0058468C">
        <w:rPr>
          <w:rFonts w:ascii="Times New Roman" w:hAnsi="Times New Roman"/>
          <w:sz w:val="24"/>
          <w:szCs w:val="24"/>
        </w:rPr>
        <w:t xml:space="preserve">SPS 310 </w:t>
      </w:r>
      <w:r>
        <w:rPr>
          <w:rFonts w:ascii="Times New Roman" w:hAnsi="Times New Roman"/>
          <w:sz w:val="24"/>
          <w:szCs w:val="24"/>
        </w:rPr>
        <w:t xml:space="preserve">sets out requirements for an RSE licensee to ensure that independent </w:t>
      </w:r>
      <w:r w:rsidR="005023B4">
        <w:rPr>
          <w:rFonts w:ascii="Times New Roman" w:hAnsi="Times New Roman"/>
          <w:sz w:val="24"/>
          <w:szCs w:val="24"/>
        </w:rPr>
        <w:t>advice</w:t>
      </w:r>
      <w:r>
        <w:rPr>
          <w:rFonts w:ascii="Times New Roman" w:hAnsi="Times New Roman"/>
          <w:sz w:val="24"/>
          <w:szCs w:val="24"/>
        </w:rPr>
        <w:t xml:space="preserve"> is provided to the RSE licensee on the operations, financial </w:t>
      </w:r>
      <w:proofErr w:type="gramStart"/>
      <w:r>
        <w:rPr>
          <w:rFonts w:ascii="Times New Roman" w:hAnsi="Times New Roman"/>
          <w:sz w:val="24"/>
          <w:szCs w:val="24"/>
        </w:rPr>
        <w:t>position</w:t>
      </w:r>
      <w:proofErr w:type="gramEnd"/>
      <w:r>
        <w:rPr>
          <w:rFonts w:ascii="Times New Roman" w:hAnsi="Times New Roman"/>
          <w:sz w:val="24"/>
          <w:szCs w:val="24"/>
        </w:rPr>
        <w:t xml:space="preserve"> and risk controls of the business operations of the RSE licensee. It </w:t>
      </w:r>
      <w:r w:rsidRPr="00536E6D">
        <w:rPr>
          <w:rFonts w:ascii="Times New Roman" w:hAnsi="Times New Roman"/>
          <w:sz w:val="24"/>
          <w:szCs w:val="24"/>
        </w:rPr>
        <w:t xml:space="preserve">outlines the roles and responsibilities of the RSE auditor and the obligations of an RSE licensee to </w:t>
      </w:r>
      <w:proofErr w:type="gramStart"/>
      <w:r w:rsidRPr="00536E6D">
        <w:rPr>
          <w:rFonts w:ascii="Times New Roman" w:hAnsi="Times New Roman"/>
          <w:sz w:val="24"/>
          <w:szCs w:val="24"/>
        </w:rPr>
        <w:t>make arrangements</w:t>
      </w:r>
      <w:proofErr w:type="gramEnd"/>
      <w:r w:rsidRPr="00536E6D">
        <w:rPr>
          <w:rFonts w:ascii="Times New Roman" w:hAnsi="Times New Roman"/>
          <w:sz w:val="24"/>
          <w:szCs w:val="24"/>
        </w:rPr>
        <w:t xml:space="preserve"> to enable an RSE auditor to fulfil their responsibilities</w:t>
      </w:r>
      <w:r>
        <w:rPr>
          <w:rFonts w:ascii="Times New Roman" w:hAnsi="Times New Roman"/>
          <w:sz w:val="24"/>
          <w:szCs w:val="24"/>
        </w:rPr>
        <w:t>.</w:t>
      </w:r>
    </w:p>
    <w:p w14:paraId="4FC73614" w14:textId="77777777" w:rsidR="00017A21" w:rsidRPr="00564008" w:rsidRDefault="00017A21" w:rsidP="00017A21">
      <w:pPr>
        <w:jc w:val="both"/>
        <w:rPr>
          <w:rFonts w:ascii="Times New Roman" w:hAnsi="Times New Roman"/>
          <w:sz w:val="24"/>
          <w:szCs w:val="24"/>
        </w:rPr>
      </w:pPr>
    </w:p>
    <w:p w14:paraId="28728CE9" w14:textId="77777777" w:rsidR="00017A21" w:rsidRPr="00564008" w:rsidRDefault="00017A21" w:rsidP="00017A21">
      <w:pPr>
        <w:spacing w:after="240"/>
        <w:jc w:val="both"/>
        <w:rPr>
          <w:rFonts w:ascii="Times New Roman" w:eastAsia="Calibri" w:hAnsi="Times New Roman"/>
          <w:b/>
          <w:sz w:val="24"/>
          <w:szCs w:val="24"/>
        </w:rPr>
      </w:pPr>
      <w:r w:rsidRPr="00564008">
        <w:rPr>
          <w:rFonts w:ascii="Times New Roman" w:eastAsia="Calibri" w:hAnsi="Times New Roman"/>
          <w:b/>
          <w:sz w:val="24"/>
          <w:szCs w:val="24"/>
        </w:rPr>
        <w:t>Human rights implications</w:t>
      </w:r>
    </w:p>
    <w:p w14:paraId="4D9492D9" w14:textId="77777777" w:rsidR="00017A21" w:rsidRDefault="00017A21" w:rsidP="00017A21">
      <w:pPr>
        <w:jc w:val="both"/>
        <w:rPr>
          <w:rFonts w:ascii="Times New Roman" w:hAnsi="Times New Roman"/>
          <w:iCs/>
          <w:sz w:val="24"/>
          <w:szCs w:val="24"/>
        </w:rPr>
      </w:pPr>
      <w:bookmarkStart w:id="12" w:name="_Hlk167976000"/>
      <w:r w:rsidRPr="000A1A15">
        <w:rPr>
          <w:rFonts w:ascii="Times New Roman" w:hAnsi="Times New Roman"/>
          <w:iCs/>
          <w:sz w:val="24"/>
          <w:szCs w:val="24"/>
        </w:rPr>
        <w:t xml:space="preserve">APRA has assessed the </w:t>
      </w:r>
      <w:r w:rsidRPr="00BC1E70">
        <w:rPr>
          <w:rFonts w:ascii="Times New Roman" w:hAnsi="Times New Roman"/>
          <w:iCs/>
          <w:sz w:val="24"/>
          <w:szCs w:val="24"/>
        </w:rPr>
        <w:t xml:space="preserve">Legislative </w:t>
      </w:r>
      <w:r w:rsidRPr="000A1A15">
        <w:rPr>
          <w:rFonts w:ascii="Times New Roman" w:hAnsi="Times New Roman"/>
          <w:iCs/>
          <w:sz w:val="24"/>
          <w:szCs w:val="24"/>
        </w:rPr>
        <w:t xml:space="preserve">Instrument and is of the view that </w:t>
      </w:r>
      <w:r>
        <w:rPr>
          <w:rFonts w:ascii="Times New Roman" w:hAnsi="Times New Roman"/>
          <w:iCs/>
          <w:sz w:val="24"/>
          <w:szCs w:val="24"/>
        </w:rPr>
        <w:t>it</w:t>
      </w:r>
      <w:r w:rsidRPr="000A1A15">
        <w:rPr>
          <w:rFonts w:ascii="Times New Roman" w:hAnsi="Times New Roman"/>
          <w:iCs/>
          <w:sz w:val="24"/>
          <w:szCs w:val="24"/>
        </w:rPr>
        <w:t xml:space="preserve"> do</w:t>
      </w:r>
      <w:r>
        <w:rPr>
          <w:rFonts w:ascii="Times New Roman" w:hAnsi="Times New Roman"/>
          <w:iCs/>
          <w:sz w:val="24"/>
          <w:szCs w:val="24"/>
        </w:rPr>
        <w:t>es</w:t>
      </w:r>
      <w:r w:rsidRPr="000A1A15">
        <w:rPr>
          <w:rFonts w:ascii="Times New Roman" w:hAnsi="Times New Roman"/>
          <w:iCs/>
          <w:sz w:val="24"/>
          <w:szCs w:val="24"/>
        </w:rPr>
        <w:t xml:space="preserve"> not engage any of the applicable rights or freedoms recognised or declared in the international instruments listed in section 3 of the HRPS Act. Accordingly, in APRA's assessment, the Instrument </w:t>
      </w:r>
      <w:r>
        <w:rPr>
          <w:rFonts w:ascii="Times New Roman" w:hAnsi="Times New Roman"/>
          <w:iCs/>
          <w:sz w:val="24"/>
          <w:szCs w:val="24"/>
        </w:rPr>
        <w:t>is</w:t>
      </w:r>
      <w:r w:rsidRPr="000A1A15">
        <w:rPr>
          <w:rFonts w:ascii="Times New Roman" w:hAnsi="Times New Roman"/>
          <w:iCs/>
          <w:sz w:val="24"/>
          <w:szCs w:val="24"/>
        </w:rPr>
        <w:t xml:space="preserve"> compatible with human rights. </w:t>
      </w:r>
    </w:p>
    <w:bookmarkEnd w:id="12"/>
    <w:p w14:paraId="57D25E41" w14:textId="77777777" w:rsidR="00017A21" w:rsidRPr="00EA4126" w:rsidRDefault="00017A21" w:rsidP="00017A21">
      <w:pPr>
        <w:jc w:val="both"/>
        <w:rPr>
          <w:rFonts w:ascii="Times New Roman" w:hAnsi="Times New Roman"/>
          <w:iCs/>
          <w:sz w:val="24"/>
          <w:szCs w:val="24"/>
        </w:rPr>
      </w:pPr>
    </w:p>
    <w:p w14:paraId="3C76D222" w14:textId="77777777" w:rsidR="00017A21" w:rsidRDefault="00017A21" w:rsidP="00017A21">
      <w:pPr>
        <w:spacing w:after="240"/>
        <w:jc w:val="both"/>
        <w:rPr>
          <w:rFonts w:ascii="Times New Roman" w:eastAsia="Calibri" w:hAnsi="Times New Roman"/>
          <w:b/>
          <w:sz w:val="24"/>
          <w:szCs w:val="24"/>
        </w:rPr>
      </w:pPr>
      <w:r>
        <w:rPr>
          <w:rFonts w:ascii="Times New Roman" w:eastAsia="Calibri" w:hAnsi="Times New Roman"/>
          <w:b/>
          <w:sz w:val="24"/>
          <w:szCs w:val="24"/>
        </w:rPr>
        <w:t xml:space="preserve">Conclusion </w:t>
      </w:r>
    </w:p>
    <w:p w14:paraId="3568391F" w14:textId="77777777" w:rsidR="00017A21" w:rsidRDefault="00017A21" w:rsidP="00017A21">
      <w:pPr>
        <w:spacing w:after="240"/>
        <w:jc w:val="both"/>
        <w:rPr>
          <w:rFonts w:ascii="Times New Roman" w:eastAsia="Calibri" w:hAnsi="Times New Roman"/>
          <w:sz w:val="24"/>
          <w:szCs w:val="24"/>
        </w:rPr>
      </w:pPr>
      <w:r>
        <w:rPr>
          <w:rFonts w:ascii="Times New Roman" w:eastAsia="Calibri" w:hAnsi="Times New Roman"/>
          <w:sz w:val="24"/>
          <w:szCs w:val="24"/>
        </w:rPr>
        <w:t>This Legislative Instrument is compatible with human rights as it does not raise any human rights issues.</w:t>
      </w:r>
    </w:p>
    <w:p w14:paraId="20D5B5A6" w14:textId="77777777" w:rsidR="00017A21" w:rsidRDefault="00017A21" w:rsidP="75515248">
      <w:pPr>
        <w:autoSpaceDE w:val="0"/>
        <w:autoSpaceDN w:val="0"/>
        <w:adjustRightInd w:val="0"/>
        <w:jc w:val="center"/>
        <w:rPr>
          <w:rFonts w:ascii="Times New Roman" w:eastAsia="Calibri" w:hAnsi="Times New Roman"/>
          <w:b/>
          <w:bCs/>
          <w:sz w:val="24"/>
          <w:szCs w:val="24"/>
        </w:rPr>
      </w:pPr>
    </w:p>
    <w:p w14:paraId="00228598" w14:textId="77777777" w:rsidR="00017A21" w:rsidRDefault="00017A21" w:rsidP="00017A21">
      <w:pPr>
        <w:autoSpaceDE w:val="0"/>
        <w:autoSpaceDN w:val="0"/>
        <w:adjustRightInd w:val="0"/>
        <w:rPr>
          <w:rFonts w:ascii="Times New Roman" w:eastAsia="Calibri" w:hAnsi="Times New Roman"/>
          <w:b/>
          <w:bCs/>
          <w:sz w:val="24"/>
          <w:szCs w:val="24"/>
        </w:rPr>
      </w:pPr>
    </w:p>
    <w:sectPr w:rsidR="00017A21" w:rsidSect="003D5032">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DD42" w14:textId="77777777" w:rsidR="009B0E68" w:rsidRDefault="009B0E68" w:rsidP="00226412">
      <w:r>
        <w:separator/>
      </w:r>
    </w:p>
  </w:endnote>
  <w:endnote w:type="continuationSeparator" w:id="0">
    <w:p w14:paraId="470A5082" w14:textId="77777777" w:rsidR="009B0E68" w:rsidRDefault="009B0E68" w:rsidP="00226412">
      <w:r>
        <w:continuationSeparator/>
      </w:r>
    </w:p>
  </w:endnote>
  <w:endnote w:type="continuationNotice" w:id="1">
    <w:p w14:paraId="54A3C538" w14:textId="77777777" w:rsidR="009B0E68" w:rsidRDefault="009B0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D2EA" w14:textId="7380883C" w:rsidR="009E6C1A" w:rsidRDefault="009E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807" w14:textId="555BE33B" w:rsidR="0091715F" w:rsidRPr="00226412" w:rsidRDefault="000D0DC4" w:rsidP="00226412">
    <w:pPr>
      <w:pStyle w:val="Footer"/>
      <w:jc w:val="center"/>
      <w:rPr>
        <w:szCs w:val="22"/>
      </w:rPr>
    </w:pPr>
    <w:sdt>
      <w:sdtPr>
        <w:id w:val="1800498712"/>
        <w:docPartObj>
          <w:docPartGallery w:val="Page Numbers (Bottom of Page)"/>
          <w:docPartUnique/>
        </w:docPartObj>
      </w:sdtPr>
      <w:sdtEndPr>
        <w:rPr>
          <w:szCs w:val="22"/>
        </w:rPr>
      </w:sdtEndPr>
      <w:sdtContent>
        <w:sdt>
          <w:sdtPr>
            <w:id w:val="860082579"/>
            <w:docPartObj>
              <w:docPartGallery w:val="Page Numbers (Top of Page)"/>
              <w:docPartUnique/>
            </w:docPartObj>
          </w:sdtPr>
          <w:sdtEndPr>
            <w:rPr>
              <w:szCs w:val="22"/>
            </w:rPr>
          </w:sdtEndPr>
          <w:sdtContent>
            <w:r w:rsidR="0091715F" w:rsidRPr="00073573">
              <w:rPr>
                <w:rFonts w:ascii="Times New Roman" w:hAnsi="Times New Roman"/>
                <w:bCs/>
                <w:sz w:val="24"/>
                <w:szCs w:val="24"/>
              </w:rPr>
              <w:fldChar w:fldCharType="begin"/>
            </w:r>
            <w:r w:rsidR="0091715F" w:rsidRPr="00073573">
              <w:rPr>
                <w:rFonts w:ascii="Times New Roman" w:hAnsi="Times New Roman"/>
                <w:bCs/>
                <w:sz w:val="24"/>
                <w:szCs w:val="24"/>
              </w:rPr>
              <w:instrText xml:space="preserve"> PAGE </w:instrText>
            </w:r>
            <w:r w:rsidR="0091715F" w:rsidRPr="00073573">
              <w:rPr>
                <w:rFonts w:ascii="Times New Roman" w:hAnsi="Times New Roman"/>
                <w:bCs/>
                <w:sz w:val="24"/>
                <w:szCs w:val="24"/>
              </w:rPr>
              <w:fldChar w:fldCharType="separate"/>
            </w:r>
            <w:r w:rsidR="00F178D6">
              <w:rPr>
                <w:rFonts w:ascii="Times New Roman" w:hAnsi="Times New Roman"/>
                <w:bCs/>
                <w:noProof/>
                <w:sz w:val="24"/>
                <w:szCs w:val="24"/>
              </w:rPr>
              <w:t>1</w:t>
            </w:r>
            <w:r w:rsidR="0091715F" w:rsidRPr="00073573">
              <w:rPr>
                <w:rFonts w:ascii="Times New Roman" w:hAnsi="Times New Roman"/>
                <w:bCs/>
                <w:sz w:val="24"/>
                <w:szCs w:val="24"/>
              </w:rPr>
              <w:fldChar w:fldCharType="end"/>
            </w:r>
          </w:sdtContent>
        </w:sdt>
      </w:sdtContent>
    </w:sdt>
  </w:p>
  <w:p w14:paraId="225E0D1E" w14:textId="77777777" w:rsidR="0091715F" w:rsidRDefault="00917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63A8" w14:textId="41DDB6E0" w:rsidR="009E6C1A" w:rsidRDefault="009E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C37E" w14:textId="77777777" w:rsidR="009B0E68" w:rsidRDefault="009B0E68" w:rsidP="00226412">
      <w:r>
        <w:separator/>
      </w:r>
    </w:p>
  </w:footnote>
  <w:footnote w:type="continuationSeparator" w:id="0">
    <w:p w14:paraId="090A2ED0" w14:textId="77777777" w:rsidR="009B0E68" w:rsidRDefault="009B0E68" w:rsidP="00226412">
      <w:r>
        <w:continuationSeparator/>
      </w:r>
    </w:p>
  </w:footnote>
  <w:footnote w:type="continuationNotice" w:id="1">
    <w:p w14:paraId="69DBEB85" w14:textId="77777777" w:rsidR="009B0E68" w:rsidRDefault="009B0E68"/>
  </w:footnote>
  <w:footnote w:id="2">
    <w:p w14:paraId="770E4059" w14:textId="77777777" w:rsidR="00B84419" w:rsidRDefault="00B84419" w:rsidP="00B84419">
      <w:pPr>
        <w:pStyle w:val="FootnoteText"/>
      </w:pPr>
      <w:r>
        <w:rPr>
          <w:rStyle w:val="FootnoteReference"/>
        </w:rPr>
        <w:footnoteRef/>
      </w:r>
      <w:r>
        <w:t xml:space="preserve"> </w:t>
      </w:r>
      <w:hyperlink r:id="rId1" w:history="1">
        <w:r w:rsidRPr="006B400A">
          <w:rPr>
            <w:rStyle w:val="Hyperlink"/>
            <w:rFonts w:ascii="Times New Roman" w:hAnsi="Times New Roman"/>
          </w:rPr>
          <w:t>Federal Register of Legislation - Treasury Laws Amendment (2022 Measures No. 4) Act 2023</w:t>
        </w:r>
      </w:hyperlink>
    </w:p>
  </w:footnote>
  <w:footnote w:id="3">
    <w:p w14:paraId="78C79C27" w14:textId="77777777" w:rsidR="00B84419" w:rsidRPr="006B400A" w:rsidRDefault="00B84419" w:rsidP="00B84419">
      <w:pPr>
        <w:pStyle w:val="FootnoteText"/>
        <w:rPr>
          <w:rFonts w:ascii="Times New Roman" w:hAnsi="Times New Roman"/>
        </w:rPr>
      </w:pPr>
      <w:r>
        <w:rPr>
          <w:rStyle w:val="FootnoteReference"/>
        </w:rPr>
        <w:footnoteRef/>
      </w:r>
      <w:r>
        <w:t xml:space="preserve"> </w:t>
      </w:r>
      <w:r w:rsidRPr="00D85F19">
        <w:rPr>
          <w:rFonts w:ascii="Times New Roman" w:hAnsi="Times New Roman"/>
        </w:rPr>
        <w:t>Small APRA funds (SAFs) were excluded from these reforms.</w:t>
      </w:r>
    </w:p>
  </w:footnote>
  <w:footnote w:id="4">
    <w:p w14:paraId="3FDFCABF" w14:textId="2E85DF56" w:rsidR="009D069B" w:rsidRPr="0071309C" w:rsidRDefault="009D069B">
      <w:pPr>
        <w:pStyle w:val="FootnoteText"/>
        <w:rPr>
          <w:rFonts w:ascii="Times New Roman" w:hAnsi="Times New Roman"/>
        </w:rPr>
      </w:pPr>
      <w:r>
        <w:rPr>
          <w:rStyle w:val="FootnoteReference"/>
        </w:rPr>
        <w:footnoteRef/>
      </w:r>
      <w:r>
        <w:t xml:space="preserve"> </w:t>
      </w:r>
      <w:hyperlink r:id="rId2" w:history="1">
        <w:r w:rsidR="0071309C" w:rsidRPr="0071309C">
          <w:rPr>
            <w:rStyle w:val="Hyperlink"/>
            <w:rFonts w:ascii="Times New Roman" w:hAnsi="Times New Roman"/>
          </w:rPr>
          <w:t>Auditing Standards (auasb.gov.au)</w:t>
        </w:r>
      </w:hyperlink>
      <w:r w:rsidR="0071309C" w:rsidRPr="0071309C">
        <w:rPr>
          <w:rFonts w:ascii="Times New Roman" w:hAnsi="Times New Roman"/>
        </w:rPr>
        <w:t xml:space="preserve"> </w:t>
      </w:r>
    </w:p>
  </w:footnote>
  <w:footnote w:id="5">
    <w:p w14:paraId="4B7C2FA7" w14:textId="0419FF43" w:rsidR="00B87FEF" w:rsidRDefault="00B87FEF">
      <w:pPr>
        <w:pStyle w:val="FootnoteText"/>
      </w:pPr>
      <w:r>
        <w:rPr>
          <w:rStyle w:val="FootnoteReference"/>
        </w:rPr>
        <w:footnoteRef/>
      </w:r>
      <w:r>
        <w:t xml:space="preserve"> </w:t>
      </w:r>
      <w:bookmarkStart w:id="5" w:name="_Hlk167809829"/>
      <w:r w:rsidRPr="00081F83">
        <w:rPr>
          <w:rFonts w:ascii="Times New Roman" w:hAnsi="Times New Roman"/>
        </w:rPr>
        <w:t>The exception is s</w:t>
      </w:r>
      <w:r>
        <w:rPr>
          <w:rFonts w:ascii="Times New Roman" w:hAnsi="Times New Roman"/>
        </w:rPr>
        <w:t>ection 54B of the Act, which provides that breach of a covenant under sections 52 or 52A is a civil penalty provision</w:t>
      </w:r>
      <w:bookmarkEnd w:id="5"/>
      <w:r>
        <w:rPr>
          <w:rFonts w:ascii="Times New Roman" w:hAnsi="Times New Roman"/>
        </w:rPr>
        <w:t xml:space="preserve">. </w:t>
      </w:r>
    </w:p>
  </w:footnote>
  <w:footnote w:id="6">
    <w:p w14:paraId="3458A748" w14:textId="40826205" w:rsidR="007573D2" w:rsidRDefault="007573D2" w:rsidP="007573D2">
      <w:pPr>
        <w:pStyle w:val="FootnoteText"/>
      </w:pPr>
      <w:r>
        <w:rPr>
          <w:rStyle w:val="FootnoteReference"/>
        </w:rPr>
        <w:footnoteRef/>
      </w:r>
      <w:r>
        <w:t xml:space="preserve"> </w:t>
      </w:r>
      <w:r w:rsidRPr="007573D2">
        <w:rPr>
          <w:rFonts w:ascii="Times New Roman" w:hAnsi="Times New Roman"/>
        </w:rPr>
        <w:t>For paragraph 44(2)(b) of the Legislation Act, section 42 of the Legislation Act (disallowance of legislative instruments) does not apply to a legislative instrument in a class of legislative instrument referred to in an item of the table contained in regulation 9 of the Legislation Regulations. Item 3 of the table contained in regulation 9 of the Legislation Regulations provides that ‘an instrument (other than a regulation) relating to superannuation’ is a class of legislative instrument not subject to disallowance.</w:t>
      </w:r>
    </w:p>
  </w:footnote>
  <w:footnote w:id="7">
    <w:p w14:paraId="3B58C711" w14:textId="08FF5F99" w:rsidR="007573D2" w:rsidRDefault="007573D2" w:rsidP="007573D2">
      <w:pPr>
        <w:pStyle w:val="FootnoteText"/>
      </w:pPr>
      <w:r>
        <w:rPr>
          <w:rStyle w:val="FootnoteReference"/>
        </w:rPr>
        <w:footnoteRef/>
      </w:r>
      <w:r>
        <w:t xml:space="preserve"> </w:t>
      </w:r>
      <w:r w:rsidRPr="007573D2">
        <w:rPr>
          <w:rFonts w:ascii="Times New Roman" w:hAnsi="Times New Roman"/>
        </w:rPr>
        <w:t>For paragraph 54(2)(b) of the Legislation Act, Part 4 of Chapter 3 of the Legislation Act (sunsetting of legislative instruments) does not apply to a legislative instrument in a class of legislative instruments referred to in an item of the table contained in regulation 11 of the Legislation Regulations. Item 6 of the table contained in regulation 11 of the Legislation Regulations provides that ‘an instrument (other than a regulation) relating to superannuation’ is a class of legislative instrument not subject to sunsetting.</w:t>
      </w:r>
    </w:p>
  </w:footnote>
  <w:footnote w:id="8">
    <w:p w14:paraId="3A645DCE" w14:textId="77777777" w:rsidR="00ED4D45" w:rsidRPr="00877512" w:rsidRDefault="00ED4D45" w:rsidP="00ED4D45">
      <w:pPr>
        <w:pStyle w:val="FootnoteText"/>
        <w:rPr>
          <w:rFonts w:ascii="Times New Roman" w:hAnsi="Times New Roman"/>
        </w:rPr>
      </w:pPr>
      <w:r>
        <w:rPr>
          <w:rStyle w:val="FootnoteReference"/>
        </w:rPr>
        <w:footnoteRef/>
      </w:r>
      <w:r>
        <w:t xml:space="preserve"> </w:t>
      </w:r>
      <w:hyperlink r:id="rId3" w:history="1">
        <w:r w:rsidRPr="00877512">
          <w:rPr>
            <w:rStyle w:val="Hyperlink"/>
            <w:rFonts w:ascii="Times New Roman" w:hAnsi="Times New Roman"/>
          </w:rPr>
          <w:t>Audit consequential amendments – superannuation | APRA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2F1B" w14:textId="7E77BE09" w:rsidR="009E6C1A" w:rsidRDefault="009E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D54D" w14:textId="30FB9074" w:rsidR="009E6C1A" w:rsidRDefault="009E6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108" w14:textId="4BD30081" w:rsidR="009E6C1A" w:rsidRDefault="009E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4E674A5"/>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202DAC"/>
    <w:multiLevelType w:val="hybridMultilevel"/>
    <w:tmpl w:val="A94C6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B36BA0"/>
    <w:multiLevelType w:val="hybridMultilevel"/>
    <w:tmpl w:val="3558F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DA3D61"/>
    <w:multiLevelType w:val="hybridMultilevel"/>
    <w:tmpl w:val="DD7685AA"/>
    <w:lvl w:ilvl="0" w:tplc="5FF0F4E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DF6494"/>
    <w:multiLevelType w:val="multilevel"/>
    <w:tmpl w:val="A316FE50"/>
    <w:numStyleLink w:val="ChapterList"/>
  </w:abstractNum>
  <w:abstractNum w:abstractNumId="9"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E2941FC"/>
    <w:multiLevelType w:val="hybridMultilevel"/>
    <w:tmpl w:val="D834D8FE"/>
    <w:lvl w:ilvl="0" w:tplc="65A609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6944367">
    <w:abstractNumId w:val="5"/>
  </w:num>
  <w:num w:numId="2" w16cid:durableId="1816683611">
    <w:abstractNumId w:val="0"/>
  </w:num>
  <w:num w:numId="3" w16cid:durableId="1302270365">
    <w:abstractNumId w:val="7"/>
  </w:num>
  <w:num w:numId="4" w16cid:durableId="266273101">
    <w:abstractNumId w:val="3"/>
  </w:num>
  <w:num w:numId="5" w16cid:durableId="1976370700">
    <w:abstractNumId w:val="2"/>
  </w:num>
  <w:num w:numId="6" w16cid:durableId="491726947">
    <w:abstractNumId w:val="10"/>
  </w:num>
  <w:num w:numId="7" w16cid:durableId="1369447352">
    <w:abstractNumId w:val="1"/>
  </w:num>
  <w:num w:numId="8" w16cid:durableId="1189638883">
    <w:abstractNumId w:val="6"/>
  </w:num>
  <w:num w:numId="9" w16cid:durableId="1426538941">
    <w:abstractNumId w:val="4"/>
  </w:num>
  <w:num w:numId="10" w16cid:durableId="1865286768">
    <w:abstractNumId w:val="8"/>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761372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DA"/>
    <w:rsid w:val="00003730"/>
    <w:rsid w:val="00006E6F"/>
    <w:rsid w:val="00007350"/>
    <w:rsid w:val="0001137E"/>
    <w:rsid w:val="00017A21"/>
    <w:rsid w:val="000212B8"/>
    <w:rsid w:val="000231FC"/>
    <w:rsid w:val="00025F78"/>
    <w:rsid w:val="00026B0B"/>
    <w:rsid w:val="000401FC"/>
    <w:rsid w:val="00041C06"/>
    <w:rsid w:val="00044746"/>
    <w:rsid w:val="00051932"/>
    <w:rsid w:val="00055E65"/>
    <w:rsid w:val="00056483"/>
    <w:rsid w:val="00064557"/>
    <w:rsid w:val="0006685D"/>
    <w:rsid w:val="000730AC"/>
    <w:rsid w:val="00073573"/>
    <w:rsid w:val="00074014"/>
    <w:rsid w:val="00083221"/>
    <w:rsid w:val="00087602"/>
    <w:rsid w:val="000927F0"/>
    <w:rsid w:val="000A21BA"/>
    <w:rsid w:val="000A3C91"/>
    <w:rsid w:val="000A4793"/>
    <w:rsid w:val="000A4FB7"/>
    <w:rsid w:val="000B0A35"/>
    <w:rsid w:val="000B621C"/>
    <w:rsid w:val="000C0703"/>
    <w:rsid w:val="000C0F55"/>
    <w:rsid w:val="000C489D"/>
    <w:rsid w:val="000D31B2"/>
    <w:rsid w:val="000D6705"/>
    <w:rsid w:val="000E26C1"/>
    <w:rsid w:val="000E369C"/>
    <w:rsid w:val="000E5731"/>
    <w:rsid w:val="000F4319"/>
    <w:rsid w:val="000F7D6E"/>
    <w:rsid w:val="0010085B"/>
    <w:rsid w:val="0010321C"/>
    <w:rsid w:val="00114AA7"/>
    <w:rsid w:val="00124271"/>
    <w:rsid w:val="00126834"/>
    <w:rsid w:val="0013031E"/>
    <w:rsid w:val="00130648"/>
    <w:rsid w:val="00131782"/>
    <w:rsid w:val="00135B49"/>
    <w:rsid w:val="00140688"/>
    <w:rsid w:val="001463DE"/>
    <w:rsid w:val="0016076B"/>
    <w:rsid w:val="00164E02"/>
    <w:rsid w:val="00166156"/>
    <w:rsid w:val="0017632D"/>
    <w:rsid w:val="00180B16"/>
    <w:rsid w:val="00181949"/>
    <w:rsid w:val="00182FA1"/>
    <w:rsid w:val="00184F74"/>
    <w:rsid w:val="00195669"/>
    <w:rsid w:val="00195A8E"/>
    <w:rsid w:val="00196477"/>
    <w:rsid w:val="00196627"/>
    <w:rsid w:val="001A01D0"/>
    <w:rsid w:val="001A0E44"/>
    <w:rsid w:val="001A2896"/>
    <w:rsid w:val="001A57FA"/>
    <w:rsid w:val="001A5FDC"/>
    <w:rsid w:val="001B49EB"/>
    <w:rsid w:val="001B7A71"/>
    <w:rsid w:val="001C1FD2"/>
    <w:rsid w:val="001C2878"/>
    <w:rsid w:val="001C36F6"/>
    <w:rsid w:val="001C3B02"/>
    <w:rsid w:val="001C4D78"/>
    <w:rsid w:val="001C561D"/>
    <w:rsid w:val="001D0229"/>
    <w:rsid w:val="001D0A56"/>
    <w:rsid w:val="001D29FA"/>
    <w:rsid w:val="001D5789"/>
    <w:rsid w:val="001E0DC7"/>
    <w:rsid w:val="001E5EB7"/>
    <w:rsid w:val="001F5286"/>
    <w:rsid w:val="001F6812"/>
    <w:rsid w:val="00203823"/>
    <w:rsid w:val="00214BC2"/>
    <w:rsid w:val="00215693"/>
    <w:rsid w:val="00226412"/>
    <w:rsid w:val="002273F3"/>
    <w:rsid w:val="00231829"/>
    <w:rsid w:val="00232879"/>
    <w:rsid w:val="002406ED"/>
    <w:rsid w:val="002436BD"/>
    <w:rsid w:val="00244C0B"/>
    <w:rsid w:val="00246723"/>
    <w:rsid w:val="00256B21"/>
    <w:rsid w:val="00260CC6"/>
    <w:rsid w:val="002622B5"/>
    <w:rsid w:val="00263070"/>
    <w:rsid w:val="002673C1"/>
    <w:rsid w:val="00267445"/>
    <w:rsid w:val="00281FC9"/>
    <w:rsid w:val="002A73BD"/>
    <w:rsid w:val="002B040B"/>
    <w:rsid w:val="002B1434"/>
    <w:rsid w:val="002B3BB0"/>
    <w:rsid w:val="002B6E0E"/>
    <w:rsid w:val="002B7ADE"/>
    <w:rsid w:val="002C2CC7"/>
    <w:rsid w:val="002C4976"/>
    <w:rsid w:val="002D155D"/>
    <w:rsid w:val="002D58C8"/>
    <w:rsid w:val="002E0016"/>
    <w:rsid w:val="002E0FF8"/>
    <w:rsid w:val="002E1629"/>
    <w:rsid w:val="002E1D5A"/>
    <w:rsid w:val="002E5019"/>
    <w:rsid w:val="002F1DB5"/>
    <w:rsid w:val="003011EE"/>
    <w:rsid w:val="00304484"/>
    <w:rsid w:val="0030506B"/>
    <w:rsid w:val="00310CF8"/>
    <w:rsid w:val="003120C7"/>
    <w:rsid w:val="00315622"/>
    <w:rsid w:val="00315796"/>
    <w:rsid w:val="00322E9B"/>
    <w:rsid w:val="00323919"/>
    <w:rsid w:val="00326A95"/>
    <w:rsid w:val="00330732"/>
    <w:rsid w:val="003321C5"/>
    <w:rsid w:val="0033429A"/>
    <w:rsid w:val="00336521"/>
    <w:rsid w:val="003402E6"/>
    <w:rsid w:val="00343B27"/>
    <w:rsid w:val="003446C9"/>
    <w:rsid w:val="0034479C"/>
    <w:rsid w:val="00345E97"/>
    <w:rsid w:val="0034714B"/>
    <w:rsid w:val="00354CB8"/>
    <w:rsid w:val="00364E2C"/>
    <w:rsid w:val="00365C10"/>
    <w:rsid w:val="00371D61"/>
    <w:rsid w:val="003733DE"/>
    <w:rsid w:val="00373992"/>
    <w:rsid w:val="003757AC"/>
    <w:rsid w:val="00380B40"/>
    <w:rsid w:val="003866AD"/>
    <w:rsid w:val="00394A84"/>
    <w:rsid w:val="003965FE"/>
    <w:rsid w:val="00397F01"/>
    <w:rsid w:val="003A52A5"/>
    <w:rsid w:val="003B01F8"/>
    <w:rsid w:val="003B26D1"/>
    <w:rsid w:val="003B4C6E"/>
    <w:rsid w:val="003B51C9"/>
    <w:rsid w:val="003B6448"/>
    <w:rsid w:val="003B7862"/>
    <w:rsid w:val="003C589C"/>
    <w:rsid w:val="003C751F"/>
    <w:rsid w:val="003D157D"/>
    <w:rsid w:val="003D5032"/>
    <w:rsid w:val="003E191B"/>
    <w:rsid w:val="003E365C"/>
    <w:rsid w:val="003E37FA"/>
    <w:rsid w:val="003E5334"/>
    <w:rsid w:val="003F6283"/>
    <w:rsid w:val="00400ECD"/>
    <w:rsid w:val="0040175E"/>
    <w:rsid w:val="00401BCB"/>
    <w:rsid w:val="00404F16"/>
    <w:rsid w:val="00413197"/>
    <w:rsid w:val="0041536E"/>
    <w:rsid w:val="00422164"/>
    <w:rsid w:val="00425230"/>
    <w:rsid w:val="0043425D"/>
    <w:rsid w:val="00436BBA"/>
    <w:rsid w:val="00440936"/>
    <w:rsid w:val="00443A02"/>
    <w:rsid w:val="00443B39"/>
    <w:rsid w:val="00450984"/>
    <w:rsid w:val="004530C4"/>
    <w:rsid w:val="004600B7"/>
    <w:rsid w:val="004639AA"/>
    <w:rsid w:val="00464BD5"/>
    <w:rsid w:val="004650F6"/>
    <w:rsid w:val="0048137E"/>
    <w:rsid w:val="00487CF5"/>
    <w:rsid w:val="0049567D"/>
    <w:rsid w:val="0049617A"/>
    <w:rsid w:val="00496465"/>
    <w:rsid w:val="004965F6"/>
    <w:rsid w:val="00497E6E"/>
    <w:rsid w:val="004A3208"/>
    <w:rsid w:val="004A3585"/>
    <w:rsid w:val="004A755E"/>
    <w:rsid w:val="004B44FA"/>
    <w:rsid w:val="004B581F"/>
    <w:rsid w:val="004B6B9E"/>
    <w:rsid w:val="004B76B9"/>
    <w:rsid w:val="004C0237"/>
    <w:rsid w:val="004C3526"/>
    <w:rsid w:val="004C3D07"/>
    <w:rsid w:val="004C605D"/>
    <w:rsid w:val="004D1A37"/>
    <w:rsid w:val="004D1C56"/>
    <w:rsid w:val="004D20A1"/>
    <w:rsid w:val="004D62F5"/>
    <w:rsid w:val="004E2008"/>
    <w:rsid w:val="004F26D7"/>
    <w:rsid w:val="004F34BA"/>
    <w:rsid w:val="004F5F3E"/>
    <w:rsid w:val="005023B4"/>
    <w:rsid w:val="00504F82"/>
    <w:rsid w:val="00506888"/>
    <w:rsid w:val="00513169"/>
    <w:rsid w:val="00514DE4"/>
    <w:rsid w:val="00520D62"/>
    <w:rsid w:val="00525A42"/>
    <w:rsid w:val="00534617"/>
    <w:rsid w:val="005368A5"/>
    <w:rsid w:val="00540407"/>
    <w:rsid w:val="00542C98"/>
    <w:rsid w:val="0054331B"/>
    <w:rsid w:val="00547AA2"/>
    <w:rsid w:val="0055750E"/>
    <w:rsid w:val="0056141D"/>
    <w:rsid w:val="00562030"/>
    <w:rsid w:val="00564008"/>
    <w:rsid w:val="0056623A"/>
    <w:rsid w:val="00566493"/>
    <w:rsid w:val="005670BF"/>
    <w:rsid w:val="00567F0E"/>
    <w:rsid w:val="00572012"/>
    <w:rsid w:val="00580314"/>
    <w:rsid w:val="005804C9"/>
    <w:rsid w:val="00582055"/>
    <w:rsid w:val="00591CF7"/>
    <w:rsid w:val="005A40D6"/>
    <w:rsid w:val="005A4CEC"/>
    <w:rsid w:val="005B0CCE"/>
    <w:rsid w:val="005B66C7"/>
    <w:rsid w:val="005B74BA"/>
    <w:rsid w:val="005C22CF"/>
    <w:rsid w:val="005C43D6"/>
    <w:rsid w:val="005C53B9"/>
    <w:rsid w:val="005D60AF"/>
    <w:rsid w:val="005E10E8"/>
    <w:rsid w:val="005E1F9C"/>
    <w:rsid w:val="005E40F9"/>
    <w:rsid w:val="005E44FD"/>
    <w:rsid w:val="005E55C7"/>
    <w:rsid w:val="005E5910"/>
    <w:rsid w:val="005F119B"/>
    <w:rsid w:val="005F24B4"/>
    <w:rsid w:val="005F6051"/>
    <w:rsid w:val="005F7F83"/>
    <w:rsid w:val="00600467"/>
    <w:rsid w:val="00601974"/>
    <w:rsid w:val="0060310B"/>
    <w:rsid w:val="0060749F"/>
    <w:rsid w:val="00611731"/>
    <w:rsid w:val="00613713"/>
    <w:rsid w:val="00616361"/>
    <w:rsid w:val="00620DBF"/>
    <w:rsid w:val="00622480"/>
    <w:rsid w:val="0062596B"/>
    <w:rsid w:val="00631472"/>
    <w:rsid w:val="006325B5"/>
    <w:rsid w:val="0063634B"/>
    <w:rsid w:val="006379BA"/>
    <w:rsid w:val="00637BB1"/>
    <w:rsid w:val="00644040"/>
    <w:rsid w:val="00645DD9"/>
    <w:rsid w:val="00646F1B"/>
    <w:rsid w:val="00647D58"/>
    <w:rsid w:val="00651F04"/>
    <w:rsid w:val="006525A9"/>
    <w:rsid w:val="0065431F"/>
    <w:rsid w:val="00657678"/>
    <w:rsid w:val="006576E3"/>
    <w:rsid w:val="00664C90"/>
    <w:rsid w:val="00671D7D"/>
    <w:rsid w:val="00672640"/>
    <w:rsid w:val="006747DF"/>
    <w:rsid w:val="006803B7"/>
    <w:rsid w:val="00681F4E"/>
    <w:rsid w:val="00682865"/>
    <w:rsid w:val="00684F73"/>
    <w:rsid w:val="00694918"/>
    <w:rsid w:val="006A0032"/>
    <w:rsid w:val="006A1EC2"/>
    <w:rsid w:val="006A4589"/>
    <w:rsid w:val="006A652C"/>
    <w:rsid w:val="006B093F"/>
    <w:rsid w:val="006B2B6F"/>
    <w:rsid w:val="006C4AB6"/>
    <w:rsid w:val="006C65A2"/>
    <w:rsid w:val="006D1486"/>
    <w:rsid w:val="006D4212"/>
    <w:rsid w:val="006D4F4B"/>
    <w:rsid w:val="006D7256"/>
    <w:rsid w:val="006E0A91"/>
    <w:rsid w:val="006E482C"/>
    <w:rsid w:val="006F1ED2"/>
    <w:rsid w:val="006F312D"/>
    <w:rsid w:val="006F5B28"/>
    <w:rsid w:val="007031F4"/>
    <w:rsid w:val="007049CF"/>
    <w:rsid w:val="0070792D"/>
    <w:rsid w:val="00710690"/>
    <w:rsid w:val="00711BF0"/>
    <w:rsid w:val="00711F95"/>
    <w:rsid w:val="00712E1A"/>
    <w:rsid w:val="0071309C"/>
    <w:rsid w:val="00713ED9"/>
    <w:rsid w:val="007162C6"/>
    <w:rsid w:val="007212DB"/>
    <w:rsid w:val="00721752"/>
    <w:rsid w:val="00725B70"/>
    <w:rsid w:val="00725E38"/>
    <w:rsid w:val="007368AD"/>
    <w:rsid w:val="00736DEC"/>
    <w:rsid w:val="007428D4"/>
    <w:rsid w:val="007471D1"/>
    <w:rsid w:val="007475A7"/>
    <w:rsid w:val="00747AFF"/>
    <w:rsid w:val="007515B2"/>
    <w:rsid w:val="007573D2"/>
    <w:rsid w:val="00761B22"/>
    <w:rsid w:val="00763518"/>
    <w:rsid w:val="007645FC"/>
    <w:rsid w:val="0076674A"/>
    <w:rsid w:val="007712A3"/>
    <w:rsid w:val="007722A9"/>
    <w:rsid w:val="00773669"/>
    <w:rsid w:val="00784D16"/>
    <w:rsid w:val="00785CDC"/>
    <w:rsid w:val="0078657E"/>
    <w:rsid w:val="007909D5"/>
    <w:rsid w:val="007926A5"/>
    <w:rsid w:val="00796A67"/>
    <w:rsid w:val="007B0629"/>
    <w:rsid w:val="007B2E2C"/>
    <w:rsid w:val="007B5912"/>
    <w:rsid w:val="007B60CE"/>
    <w:rsid w:val="007C0641"/>
    <w:rsid w:val="007C2298"/>
    <w:rsid w:val="007E3BA0"/>
    <w:rsid w:val="007E4B2A"/>
    <w:rsid w:val="007E5117"/>
    <w:rsid w:val="007E60F0"/>
    <w:rsid w:val="007E6A9E"/>
    <w:rsid w:val="007E73D4"/>
    <w:rsid w:val="007F3F4A"/>
    <w:rsid w:val="007F68E8"/>
    <w:rsid w:val="00804266"/>
    <w:rsid w:val="00806FAA"/>
    <w:rsid w:val="008114FD"/>
    <w:rsid w:val="00816284"/>
    <w:rsid w:val="0082075B"/>
    <w:rsid w:val="0082471F"/>
    <w:rsid w:val="00825816"/>
    <w:rsid w:val="00830AE0"/>
    <w:rsid w:val="00830F66"/>
    <w:rsid w:val="0083498E"/>
    <w:rsid w:val="00841CAA"/>
    <w:rsid w:val="008518B7"/>
    <w:rsid w:val="00870B6D"/>
    <w:rsid w:val="008761D2"/>
    <w:rsid w:val="00881DB0"/>
    <w:rsid w:val="00887D22"/>
    <w:rsid w:val="00892033"/>
    <w:rsid w:val="00893531"/>
    <w:rsid w:val="00894F36"/>
    <w:rsid w:val="008A1A07"/>
    <w:rsid w:val="008A317B"/>
    <w:rsid w:val="008B5976"/>
    <w:rsid w:val="008C0570"/>
    <w:rsid w:val="008C24BA"/>
    <w:rsid w:val="008C4FB1"/>
    <w:rsid w:val="008D0F17"/>
    <w:rsid w:val="008D466F"/>
    <w:rsid w:val="008D4E04"/>
    <w:rsid w:val="008D61FC"/>
    <w:rsid w:val="008E341A"/>
    <w:rsid w:val="008E50A2"/>
    <w:rsid w:val="008E5D4C"/>
    <w:rsid w:val="008F79E1"/>
    <w:rsid w:val="00903A5D"/>
    <w:rsid w:val="00912303"/>
    <w:rsid w:val="009167E8"/>
    <w:rsid w:val="0091715F"/>
    <w:rsid w:val="009213D9"/>
    <w:rsid w:val="0092488D"/>
    <w:rsid w:val="00925A23"/>
    <w:rsid w:val="00925E7C"/>
    <w:rsid w:val="0093047E"/>
    <w:rsid w:val="00931462"/>
    <w:rsid w:val="00932EFA"/>
    <w:rsid w:val="009361A0"/>
    <w:rsid w:val="009363DA"/>
    <w:rsid w:val="009443B7"/>
    <w:rsid w:val="00954170"/>
    <w:rsid w:val="00962B28"/>
    <w:rsid w:val="00967A15"/>
    <w:rsid w:val="00967D16"/>
    <w:rsid w:val="00975168"/>
    <w:rsid w:val="00981A00"/>
    <w:rsid w:val="00982BC8"/>
    <w:rsid w:val="009A5AA9"/>
    <w:rsid w:val="009A5D43"/>
    <w:rsid w:val="009B0E68"/>
    <w:rsid w:val="009B1953"/>
    <w:rsid w:val="009C5368"/>
    <w:rsid w:val="009C6B81"/>
    <w:rsid w:val="009C6FCA"/>
    <w:rsid w:val="009D069B"/>
    <w:rsid w:val="009D0EC9"/>
    <w:rsid w:val="009D1A16"/>
    <w:rsid w:val="009D2834"/>
    <w:rsid w:val="009E316E"/>
    <w:rsid w:val="009E4671"/>
    <w:rsid w:val="009E4E32"/>
    <w:rsid w:val="009E6C1A"/>
    <w:rsid w:val="009E6CFE"/>
    <w:rsid w:val="009F1078"/>
    <w:rsid w:val="009F1186"/>
    <w:rsid w:val="009F12EB"/>
    <w:rsid w:val="009F7ED8"/>
    <w:rsid w:val="00A03997"/>
    <w:rsid w:val="00A072AB"/>
    <w:rsid w:val="00A079E9"/>
    <w:rsid w:val="00A13C32"/>
    <w:rsid w:val="00A17097"/>
    <w:rsid w:val="00A17A1A"/>
    <w:rsid w:val="00A26E72"/>
    <w:rsid w:val="00A279AF"/>
    <w:rsid w:val="00A36412"/>
    <w:rsid w:val="00A4133B"/>
    <w:rsid w:val="00A42D92"/>
    <w:rsid w:val="00A4638A"/>
    <w:rsid w:val="00A47273"/>
    <w:rsid w:val="00A479F1"/>
    <w:rsid w:val="00A51A4C"/>
    <w:rsid w:val="00A533BB"/>
    <w:rsid w:val="00A5583C"/>
    <w:rsid w:val="00A63A2B"/>
    <w:rsid w:val="00A63F91"/>
    <w:rsid w:val="00A70240"/>
    <w:rsid w:val="00A7352E"/>
    <w:rsid w:val="00A740F1"/>
    <w:rsid w:val="00A7598E"/>
    <w:rsid w:val="00A82C07"/>
    <w:rsid w:val="00A9078B"/>
    <w:rsid w:val="00A9161A"/>
    <w:rsid w:val="00A936B7"/>
    <w:rsid w:val="00A96E2E"/>
    <w:rsid w:val="00A97254"/>
    <w:rsid w:val="00AA0FC6"/>
    <w:rsid w:val="00AB2ED2"/>
    <w:rsid w:val="00AC0C89"/>
    <w:rsid w:val="00AC2517"/>
    <w:rsid w:val="00AC55F9"/>
    <w:rsid w:val="00AC5796"/>
    <w:rsid w:val="00AC7A56"/>
    <w:rsid w:val="00AD2CB9"/>
    <w:rsid w:val="00AD418F"/>
    <w:rsid w:val="00AD55A8"/>
    <w:rsid w:val="00AD5DC2"/>
    <w:rsid w:val="00AE10D4"/>
    <w:rsid w:val="00AE1BF1"/>
    <w:rsid w:val="00AE5A6D"/>
    <w:rsid w:val="00AE6942"/>
    <w:rsid w:val="00AF0818"/>
    <w:rsid w:val="00AF576B"/>
    <w:rsid w:val="00AF6C07"/>
    <w:rsid w:val="00B02F67"/>
    <w:rsid w:val="00B04B1A"/>
    <w:rsid w:val="00B04B20"/>
    <w:rsid w:val="00B051B9"/>
    <w:rsid w:val="00B07342"/>
    <w:rsid w:val="00B107FD"/>
    <w:rsid w:val="00B10FDD"/>
    <w:rsid w:val="00B20C41"/>
    <w:rsid w:val="00B277E8"/>
    <w:rsid w:val="00B27EB9"/>
    <w:rsid w:val="00B3528A"/>
    <w:rsid w:val="00B43486"/>
    <w:rsid w:val="00B43F30"/>
    <w:rsid w:val="00B44B8D"/>
    <w:rsid w:val="00B5052B"/>
    <w:rsid w:val="00B50E31"/>
    <w:rsid w:val="00B525D4"/>
    <w:rsid w:val="00B61FCE"/>
    <w:rsid w:val="00B635F6"/>
    <w:rsid w:val="00B64B2E"/>
    <w:rsid w:val="00B71194"/>
    <w:rsid w:val="00B84419"/>
    <w:rsid w:val="00B85B6E"/>
    <w:rsid w:val="00B87FEF"/>
    <w:rsid w:val="00B9416D"/>
    <w:rsid w:val="00BA1155"/>
    <w:rsid w:val="00BA6401"/>
    <w:rsid w:val="00BB1678"/>
    <w:rsid w:val="00BC3430"/>
    <w:rsid w:val="00BD0157"/>
    <w:rsid w:val="00BE36B6"/>
    <w:rsid w:val="00BE3D52"/>
    <w:rsid w:val="00BE4A27"/>
    <w:rsid w:val="00BF2953"/>
    <w:rsid w:val="00BF47DE"/>
    <w:rsid w:val="00BF50D3"/>
    <w:rsid w:val="00C01995"/>
    <w:rsid w:val="00C02A86"/>
    <w:rsid w:val="00C033A4"/>
    <w:rsid w:val="00C06634"/>
    <w:rsid w:val="00C0708C"/>
    <w:rsid w:val="00C13968"/>
    <w:rsid w:val="00C20087"/>
    <w:rsid w:val="00C25AE3"/>
    <w:rsid w:val="00C26C48"/>
    <w:rsid w:val="00C302FA"/>
    <w:rsid w:val="00C3285C"/>
    <w:rsid w:val="00C337E2"/>
    <w:rsid w:val="00C36041"/>
    <w:rsid w:val="00C37037"/>
    <w:rsid w:val="00C40E2E"/>
    <w:rsid w:val="00C4275C"/>
    <w:rsid w:val="00C51230"/>
    <w:rsid w:val="00C54FC2"/>
    <w:rsid w:val="00C57281"/>
    <w:rsid w:val="00C573A9"/>
    <w:rsid w:val="00C63AB7"/>
    <w:rsid w:val="00C85C58"/>
    <w:rsid w:val="00C90E30"/>
    <w:rsid w:val="00C9147B"/>
    <w:rsid w:val="00C948AA"/>
    <w:rsid w:val="00C9775D"/>
    <w:rsid w:val="00CA456D"/>
    <w:rsid w:val="00CA6CB3"/>
    <w:rsid w:val="00CB13F8"/>
    <w:rsid w:val="00CB2918"/>
    <w:rsid w:val="00CB384A"/>
    <w:rsid w:val="00CC0077"/>
    <w:rsid w:val="00CC045B"/>
    <w:rsid w:val="00CD1947"/>
    <w:rsid w:val="00CD393D"/>
    <w:rsid w:val="00CE0B15"/>
    <w:rsid w:val="00CE301F"/>
    <w:rsid w:val="00CE3EF2"/>
    <w:rsid w:val="00CE5EDA"/>
    <w:rsid w:val="00CF79C8"/>
    <w:rsid w:val="00D01B18"/>
    <w:rsid w:val="00D02120"/>
    <w:rsid w:val="00D119F5"/>
    <w:rsid w:val="00D1483A"/>
    <w:rsid w:val="00D151B3"/>
    <w:rsid w:val="00D214A1"/>
    <w:rsid w:val="00D2408A"/>
    <w:rsid w:val="00D2452E"/>
    <w:rsid w:val="00D24965"/>
    <w:rsid w:val="00D268BF"/>
    <w:rsid w:val="00D34442"/>
    <w:rsid w:val="00D3484E"/>
    <w:rsid w:val="00D3776F"/>
    <w:rsid w:val="00D42734"/>
    <w:rsid w:val="00D42FD4"/>
    <w:rsid w:val="00D53B59"/>
    <w:rsid w:val="00D53F4F"/>
    <w:rsid w:val="00D6136C"/>
    <w:rsid w:val="00D618B7"/>
    <w:rsid w:val="00D6321B"/>
    <w:rsid w:val="00D64906"/>
    <w:rsid w:val="00D65089"/>
    <w:rsid w:val="00D659B2"/>
    <w:rsid w:val="00D66C0C"/>
    <w:rsid w:val="00D70498"/>
    <w:rsid w:val="00D720EE"/>
    <w:rsid w:val="00D73D07"/>
    <w:rsid w:val="00D74372"/>
    <w:rsid w:val="00D76209"/>
    <w:rsid w:val="00D817DA"/>
    <w:rsid w:val="00D82196"/>
    <w:rsid w:val="00D82327"/>
    <w:rsid w:val="00D83531"/>
    <w:rsid w:val="00D87E36"/>
    <w:rsid w:val="00D90D96"/>
    <w:rsid w:val="00D93F85"/>
    <w:rsid w:val="00D95380"/>
    <w:rsid w:val="00DA3194"/>
    <w:rsid w:val="00DA6E7A"/>
    <w:rsid w:val="00DB1AB6"/>
    <w:rsid w:val="00DB20F4"/>
    <w:rsid w:val="00DB3182"/>
    <w:rsid w:val="00DE6310"/>
    <w:rsid w:val="00DE64C2"/>
    <w:rsid w:val="00DF25E8"/>
    <w:rsid w:val="00DF524E"/>
    <w:rsid w:val="00DF5A39"/>
    <w:rsid w:val="00E006E2"/>
    <w:rsid w:val="00E00D94"/>
    <w:rsid w:val="00E019B6"/>
    <w:rsid w:val="00E060EA"/>
    <w:rsid w:val="00E14FE4"/>
    <w:rsid w:val="00E15497"/>
    <w:rsid w:val="00E154A3"/>
    <w:rsid w:val="00E16789"/>
    <w:rsid w:val="00E201A8"/>
    <w:rsid w:val="00E2127E"/>
    <w:rsid w:val="00E22807"/>
    <w:rsid w:val="00E22F1D"/>
    <w:rsid w:val="00E25182"/>
    <w:rsid w:val="00E3122A"/>
    <w:rsid w:val="00E43438"/>
    <w:rsid w:val="00E45AC0"/>
    <w:rsid w:val="00E5186A"/>
    <w:rsid w:val="00E52DFE"/>
    <w:rsid w:val="00E61B19"/>
    <w:rsid w:val="00E65E2F"/>
    <w:rsid w:val="00E70280"/>
    <w:rsid w:val="00E720C8"/>
    <w:rsid w:val="00E821C9"/>
    <w:rsid w:val="00E83EC3"/>
    <w:rsid w:val="00E8439E"/>
    <w:rsid w:val="00E90C89"/>
    <w:rsid w:val="00EA09EA"/>
    <w:rsid w:val="00EA1B6C"/>
    <w:rsid w:val="00EA36A5"/>
    <w:rsid w:val="00EB22CC"/>
    <w:rsid w:val="00EB5246"/>
    <w:rsid w:val="00EB5EC0"/>
    <w:rsid w:val="00EC5653"/>
    <w:rsid w:val="00EC6F57"/>
    <w:rsid w:val="00EC77F0"/>
    <w:rsid w:val="00ED14A7"/>
    <w:rsid w:val="00ED29D7"/>
    <w:rsid w:val="00ED4D45"/>
    <w:rsid w:val="00EF2A8B"/>
    <w:rsid w:val="00EF2AF4"/>
    <w:rsid w:val="00EF73A1"/>
    <w:rsid w:val="00F03F6C"/>
    <w:rsid w:val="00F0523D"/>
    <w:rsid w:val="00F05CDD"/>
    <w:rsid w:val="00F11186"/>
    <w:rsid w:val="00F11284"/>
    <w:rsid w:val="00F152D0"/>
    <w:rsid w:val="00F1544C"/>
    <w:rsid w:val="00F164E8"/>
    <w:rsid w:val="00F178D6"/>
    <w:rsid w:val="00F17F54"/>
    <w:rsid w:val="00F20C6E"/>
    <w:rsid w:val="00F25471"/>
    <w:rsid w:val="00F31C42"/>
    <w:rsid w:val="00F356A2"/>
    <w:rsid w:val="00F35C3E"/>
    <w:rsid w:val="00F36322"/>
    <w:rsid w:val="00F436BC"/>
    <w:rsid w:val="00F4772F"/>
    <w:rsid w:val="00F50CFE"/>
    <w:rsid w:val="00F60E46"/>
    <w:rsid w:val="00F64779"/>
    <w:rsid w:val="00F7706D"/>
    <w:rsid w:val="00F774A9"/>
    <w:rsid w:val="00F822F7"/>
    <w:rsid w:val="00F83D62"/>
    <w:rsid w:val="00F86ECA"/>
    <w:rsid w:val="00F870C1"/>
    <w:rsid w:val="00F941B0"/>
    <w:rsid w:val="00FA1C37"/>
    <w:rsid w:val="00FA4A6E"/>
    <w:rsid w:val="00FA5345"/>
    <w:rsid w:val="00FB201B"/>
    <w:rsid w:val="00FB29BD"/>
    <w:rsid w:val="00FB76E7"/>
    <w:rsid w:val="00FC2952"/>
    <w:rsid w:val="00FC556C"/>
    <w:rsid w:val="00FD37B4"/>
    <w:rsid w:val="00FD756F"/>
    <w:rsid w:val="00FE36AE"/>
    <w:rsid w:val="00FE5773"/>
    <w:rsid w:val="00FF2BDC"/>
    <w:rsid w:val="00FF3237"/>
    <w:rsid w:val="0FDA3808"/>
    <w:rsid w:val="1B15BB05"/>
    <w:rsid w:val="1BCF6DE5"/>
    <w:rsid w:val="1C930AC5"/>
    <w:rsid w:val="21EC2B4A"/>
    <w:rsid w:val="2E405026"/>
    <w:rsid w:val="35E4E79A"/>
    <w:rsid w:val="38B0DB6D"/>
    <w:rsid w:val="3D4159AD"/>
    <w:rsid w:val="3E13E070"/>
    <w:rsid w:val="3EB1393D"/>
    <w:rsid w:val="47149C11"/>
    <w:rsid w:val="4D8D0F8E"/>
    <w:rsid w:val="4E723307"/>
    <w:rsid w:val="596737EB"/>
    <w:rsid w:val="5A4F3873"/>
    <w:rsid w:val="611A5438"/>
    <w:rsid w:val="6ADF639D"/>
    <w:rsid w:val="75515248"/>
    <w:rsid w:val="7D985E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A4F96"/>
  <w15:docId w15:val="{B2304394-A6DB-4D5F-8AA2-2BA5B73B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0"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5B0CCE"/>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226412"/>
    <w:pPr>
      <w:tabs>
        <w:tab w:val="center" w:pos="4513"/>
        <w:tab w:val="right" w:pos="9026"/>
      </w:tabs>
    </w:pPr>
  </w:style>
  <w:style w:type="character" w:customStyle="1" w:styleId="HeaderChar">
    <w:name w:val="Header Char"/>
    <w:basedOn w:val="DefaultParagraphFont"/>
    <w:link w:val="Header"/>
    <w:uiPriority w:val="99"/>
    <w:rsid w:val="00226412"/>
    <w:rPr>
      <w:rFonts w:ascii="Trebuchet MS" w:eastAsia="Times New Roman" w:hAnsi="Trebuchet MS"/>
      <w:sz w:val="22"/>
    </w:rPr>
  </w:style>
  <w:style w:type="paragraph" w:styleId="Footer">
    <w:name w:val="footer"/>
    <w:basedOn w:val="Normal"/>
    <w:link w:val="FooterChar"/>
    <w:uiPriority w:val="99"/>
    <w:unhideWhenUsed/>
    <w:rsid w:val="00226412"/>
    <w:pPr>
      <w:tabs>
        <w:tab w:val="center" w:pos="4513"/>
        <w:tab w:val="right" w:pos="9026"/>
      </w:tabs>
    </w:pPr>
  </w:style>
  <w:style w:type="character" w:customStyle="1" w:styleId="FooterChar">
    <w:name w:val="Footer Char"/>
    <w:basedOn w:val="DefaultParagraphFont"/>
    <w:link w:val="Footer"/>
    <w:uiPriority w:val="99"/>
    <w:rsid w:val="00226412"/>
    <w:rPr>
      <w:rFonts w:ascii="Trebuchet MS" w:eastAsia="Times New Roman" w:hAnsi="Trebuchet MS"/>
      <w:sz w:val="22"/>
    </w:rPr>
  </w:style>
  <w:style w:type="paragraph" w:styleId="FootnoteText">
    <w:name w:val="footnote text"/>
    <w:aliases w:val=" Char,Char"/>
    <w:basedOn w:val="Normal"/>
    <w:link w:val="FootnoteTextChar"/>
    <w:uiPriority w:val="99"/>
    <w:unhideWhenUsed/>
    <w:rsid w:val="00681F4E"/>
    <w:rPr>
      <w:sz w:val="20"/>
    </w:rPr>
  </w:style>
  <w:style w:type="character" w:customStyle="1" w:styleId="FootnoteTextChar">
    <w:name w:val="Footnote Text Char"/>
    <w:aliases w:val=" Char Char,Char Char"/>
    <w:basedOn w:val="DefaultParagraphFont"/>
    <w:link w:val="FootnoteText"/>
    <w:uiPriority w:val="99"/>
    <w:rsid w:val="00681F4E"/>
    <w:rPr>
      <w:rFonts w:ascii="Trebuchet MS" w:eastAsia="Times New Roman" w:hAnsi="Trebuchet MS"/>
    </w:rPr>
  </w:style>
  <w:style w:type="character" w:styleId="FootnoteReference">
    <w:name w:val="footnote reference"/>
    <w:basedOn w:val="DefaultParagraphFont"/>
    <w:uiPriority w:val="99"/>
    <w:unhideWhenUsed/>
    <w:qFormat/>
    <w:rsid w:val="00681F4E"/>
    <w:rPr>
      <w:vertAlign w:val="superscript"/>
    </w:rPr>
  </w:style>
  <w:style w:type="paragraph" w:styleId="Revision">
    <w:name w:val="Revision"/>
    <w:hidden/>
    <w:uiPriority w:val="99"/>
    <w:semiHidden/>
    <w:rsid w:val="00AC0C89"/>
    <w:rPr>
      <w:rFonts w:ascii="Trebuchet MS" w:eastAsia="Times New Roman" w:hAnsi="Trebuchet MS"/>
      <w:sz w:val="22"/>
    </w:rPr>
  </w:style>
  <w:style w:type="paragraph" w:customStyle="1" w:styleId="base-text-paragraph">
    <w:name w:val="base-text-paragraph"/>
    <w:basedOn w:val="Normal"/>
    <w:link w:val="base-text-paragraphChar"/>
    <w:qFormat/>
    <w:rsid w:val="00A4638A"/>
    <w:pPr>
      <w:tabs>
        <w:tab w:val="num" w:pos="1985"/>
      </w:tabs>
      <w:spacing w:before="120" w:after="120"/>
      <w:ind w:left="1134"/>
    </w:pPr>
    <w:rPr>
      <w:rFonts w:ascii="Times New Roman" w:hAnsi="Times New Roman"/>
    </w:rPr>
  </w:style>
  <w:style w:type="character" w:customStyle="1" w:styleId="base-text-paragraphChar">
    <w:name w:val="base-text-paragraph Char"/>
    <w:basedOn w:val="DefaultParagraphFont"/>
    <w:link w:val="base-text-paragraph"/>
    <w:rsid w:val="00A4638A"/>
    <w:rPr>
      <w:rFonts w:ascii="Times New Roman" w:eastAsia="Times New Roman" w:hAnsi="Times New Roman"/>
      <w:sz w:val="22"/>
    </w:rPr>
  </w:style>
  <w:style w:type="numbering" w:customStyle="1" w:styleId="ChapterList">
    <w:name w:val="ChapterList"/>
    <w:uiPriority w:val="99"/>
    <w:rsid w:val="00A4638A"/>
    <w:pPr>
      <w:numPr>
        <w:numId w:val="9"/>
      </w:numPr>
    </w:pPr>
  </w:style>
  <w:style w:type="paragraph" w:customStyle="1" w:styleId="Diagram">
    <w:name w:val="Diagram"/>
    <w:basedOn w:val="Normal"/>
    <w:next w:val="Normal"/>
    <w:rsid w:val="00A4638A"/>
    <w:pPr>
      <w:keepNext/>
      <w:ind w:left="1134"/>
    </w:pPr>
    <w:rPr>
      <w:rFonts w:ascii="Times New Roman" w:hAnsi="Times New Roman"/>
      <w:b/>
    </w:rPr>
  </w:style>
  <w:style w:type="paragraph" w:customStyle="1" w:styleId="ExampleHeading">
    <w:name w:val="Example Heading"/>
    <w:basedOn w:val="Normal"/>
    <w:next w:val="Normal"/>
    <w:rsid w:val="00A4638A"/>
    <w:pPr>
      <w:keepNext/>
      <w:spacing w:before="120" w:after="120"/>
      <w:ind w:left="1134"/>
    </w:pPr>
    <w:rPr>
      <w:rFonts w:ascii="Times New Roman" w:hAnsi="Times New Roman"/>
      <w:b/>
    </w:rPr>
  </w:style>
  <w:style w:type="paragraph" w:customStyle="1" w:styleId="TableHeadingoutsidetable">
    <w:name w:val="Table Heading (outside table)"/>
    <w:basedOn w:val="Heading4"/>
    <w:rsid w:val="00A4638A"/>
    <w:pPr>
      <w:keepNext/>
      <w:tabs>
        <w:tab w:val="num" w:pos="360"/>
      </w:tabs>
      <w:spacing w:before="120" w:after="200"/>
      <w:ind w:left="1134"/>
    </w:pPr>
    <w:rPr>
      <w:rFonts w:ascii="Times New Roman" w:hAnsi="Times New Roman"/>
      <w:b/>
      <w:color w:val="auto"/>
      <w:sz w:val="22"/>
    </w:rPr>
  </w:style>
  <w:style w:type="character" w:styleId="Mention">
    <w:name w:val="Mention"/>
    <w:basedOn w:val="DefaultParagraphFont"/>
    <w:uiPriority w:val="99"/>
    <w:unhideWhenUsed/>
    <w:rsid w:val="00260CC6"/>
    <w:rPr>
      <w:color w:val="2B579A"/>
      <w:shd w:val="clear" w:color="auto" w:fill="E1DFDD"/>
    </w:rPr>
  </w:style>
  <w:style w:type="paragraph" w:styleId="NormalWeb">
    <w:name w:val="Normal (Web)"/>
    <w:basedOn w:val="Normal"/>
    <w:uiPriority w:val="99"/>
    <w:rsid w:val="00FF2BDC"/>
    <w:pPr>
      <w:spacing w:after="240"/>
      <w:jc w:val="both"/>
    </w:pPr>
    <w:rPr>
      <w:rFonts w:asciiTheme="minorHAnsi" w:eastAsiaTheme="minorHAnsi" w:hAnsiTheme="minorHAnsi"/>
      <w:color w:val="000000"/>
      <w:szCs w:val="22"/>
      <w:lang w:eastAsia="en-US"/>
    </w:rPr>
  </w:style>
  <w:style w:type="paragraph" w:styleId="List">
    <w:name w:val="List"/>
    <w:basedOn w:val="Normal"/>
    <w:uiPriority w:val="17"/>
    <w:qFormat/>
    <w:rsid w:val="008D4E04"/>
    <w:pPr>
      <w:tabs>
        <w:tab w:val="num" w:pos="425"/>
      </w:tabs>
      <w:spacing w:after="240"/>
      <w:ind w:left="425" w:hanging="425"/>
      <w:jc w:val="both"/>
    </w:pPr>
    <w:rPr>
      <w:rFonts w:ascii="Arial" w:eastAsiaTheme="minorHAnsi" w:hAnsi="Arial" w:cstheme="minorBidi"/>
      <w:color w:val="000000"/>
      <w:szCs w:val="22"/>
      <w:lang w:eastAsia="en-US"/>
    </w:rPr>
  </w:style>
  <w:style w:type="numbering" w:styleId="1ai">
    <w:name w:val="Outline List 1"/>
    <w:basedOn w:val="NoList"/>
    <w:uiPriority w:val="99"/>
    <w:semiHidden/>
    <w:unhideWhenUsed/>
    <w:rsid w:val="008D4E04"/>
    <w:pPr>
      <w:numPr>
        <w:numId w:val="11"/>
      </w:numPr>
    </w:pPr>
  </w:style>
  <w:style w:type="character" w:styleId="UnresolvedMention">
    <w:name w:val="Unresolved Mention"/>
    <w:basedOn w:val="DefaultParagraphFont"/>
    <w:uiPriority w:val="99"/>
    <w:semiHidden/>
    <w:unhideWhenUsed/>
    <w:rsid w:val="00C20087"/>
    <w:rPr>
      <w:color w:val="605E5C"/>
      <w:shd w:val="clear" w:color="auto" w:fill="E1DFDD"/>
    </w:rPr>
  </w:style>
  <w:style w:type="character" w:styleId="FollowedHyperlink">
    <w:name w:val="FollowedHyperlink"/>
    <w:basedOn w:val="DefaultParagraphFont"/>
    <w:uiPriority w:val="99"/>
    <w:semiHidden/>
    <w:unhideWhenUsed/>
    <w:rsid w:val="00C57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741">
      <w:bodyDiv w:val="1"/>
      <w:marLeft w:val="0"/>
      <w:marRight w:val="0"/>
      <w:marTop w:val="0"/>
      <w:marBottom w:val="0"/>
      <w:divBdr>
        <w:top w:val="none" w:sz="0" w:space="0" w:color="auto"/>
        <w:left w:val="none" w:sz="0" w:space="0" w:color="auto"/>
        <w:bottom w:val="none" w:sz="0" w:space="0" w:color="auto"/>
        <w:right w:val="none" w:sz="0" w:space="0" w:color="auto"/>
      </w:divBdr>
    </w:div>
    <w:div w:id="1436711836">
      <w:bodyDiv w:val="1"/>
      <w:marLeft w:val="0"/>
      <w:marRight w:val="0"/>
      <w:marTop w:val="0"/>
      <w:marBottom w:val="0"/>
      <w:divBdr>
        <w:top w:val="none" w:sz="0" w:space="0" w:color="auto"/>
        <w:left w:val="none" w:sz="0" w:space="0" w:color="auto"/>
        <w:bottom w:val="none" w:sz="0" w:space="0" w:color="auto"/>
        <w:right w:val="none" w:sz="0" w:space="0" w:color="auto"/>
      </w:divBdr>
      <w:divsChild>
        <w:div w:id="810055827">
          <w:marLeft w:val="0"/>
          <w:marRight w:val="0"/>
          <w:marTop w:val="0"/>
          <w:marBottom w:val="0"/>
          <w:divBdr>
            <w:top w:val="none" w:sz="0" w:space="0" w:color="auto"/>
            <w:left w:val="none" w:sz="0" w:space="0" w:color="auto"/>
            <w:bottom w:val="none" w:sz="0" w:space="0" w:color="auto"/>
            <w:right w:val="none" w:sz="0" w:space="0" w:color="auto"/>
          </w:divBdr>
          <w:divsChild>
            <w:div w:id="1649898415">
              <w:marLeft w:val="0"/>
              <w:marRight w:val="0"/>
              <w:marTop w:val="0"/>
              <w:marBottom w:val="0"/>
              <w:divBdr>
                <w:top w:val="none" w:sz="0" w:space="0" w:color="auto"/>
                <w:left w:val="none" w:sz="0" w:space="0" w:color="auto"/>
                <w:bottom w:val="none" w:sz="0" w:space="0" w:color="auto"/>
                <w:right w:val="none" w:sz="0" w:space="0" w:color="auto"/>
              </w:divBdr>
              <w:divsChild>
                <w:div w:id="1131627043">
                  <w:marLeft w:val="0"/>
                  <w:marRight w:val="0"/>
                  <w:marTop w:val="0"/>
                  <w:marBottom w:val="0"/>
                  <w:divBdr>
                    <w:top w:val="none" w:sz="0" w:space="0" w:color="auto"/>
                    <w:left w:val="none" w:sz="0" w:space="0" w:color="auto"/>
                    <w:bottom w:val="none" w:sz="0" w:space="0" w:color="auto"/>
                    <w:right w:val="none" w:sz="0" w:space="0" w:color="auto"/>
                  </w:divBdr>
                  <w:divsChild>
                    <w:div w:id="351299783">
                      <w:marLeft w:val="0"/>
                      <w:marRight w:val="0"/>
                      <w:marTop w:val="0"/>
                      <w:marBottom w:val="0"/>
                      <w:divBdr>
                        <w:top w:val="none" w:sz="0" w:space="0" w:color="auto"/>
                        <w:left w:val="none" w:sz="0" w:space="0" w:color="auto"/>
                        <w:bottom w:val="none" w:sz="0" w:space="0" w:color="auto"/>
                        <w:right w:val="none" w:sz="0" w:space="0" w:color="auto"/>
                      </w:divBdr>
                      <w:divsChild>
                        <w:div w:id="59257480">
                          <w:marLeft w:val="0"/>
                          <w:marRight w:val="0"/>
                          <w:marTop w:val="0"/>
                          <w:marBottom w:val="0"/>
                          <w:divBdr>
                            <w:top w:val="single" w:sz="6" w:space="0" w:color="828282"/>
                            <w:left w:val="single" w:sz="6" w:space="0" w:color="828282"/>
                            <w:bottom w:val="single" w:sz="6" w:space="0" w:color="828282"/>
                            <w:right w:val="single" w:sz="6" w:space="0" w:color="828282"/>
                          </w:divBdr>
                          <w:divsChild>
                            <w:div w:id="575675908">
                              <w:marLeft w:val="0"/>
                              <w:marRight w:val="0"/>
                              <w:marTop w:val="0"/>
                              <w:marBottom w:val="0"/>
                              <w:divBdr>
                                <w:top w:val="none" w:sz="0" w:space="0" w:color="auto"/>
                                <w:left w:val="none" w:sz="0" w:space="0" w:color="auto"/>
                                <w:bottom w:val="none" w:sz="0" w:space="0" w:color="auto"/>
                                <w:right w:val="none" w:sz="0" w:space="0" w:color="auto"/>
                              </w:divBdr>
                              <w:divsChild>
                                <w:div w:id="303973021">
                                  <w:marLeft w:val="0"/>
                                  <w:marRight w:val="0"/>
                                  <w:marTop w:val="0"/>
                                  <w:marBottom w:val="0"/>
                                  <w:divBdr>
                                    <w:top w:val="none" w:sz="0" w:space="0" w:color="auto"/>
                                    <w:left w:val="none" w:sz="0" w:space="0" w:color="auto"/>
                                    <w:bottom w:val="none" w:sz="0" w:space="0" w:color="auto"/>
                                    <w:right w:val="none" w:sz="0" w:space="0" w:color="auto"/>
                                  </w:divBdr>
                                  <w:divsChild>
                                    <w:div w:id="825242288">
                                      <w:marLeft w:val="0"/>
                                      <w:marRight w:val="0"/>
                                      <w:marTop w:val="0"/>
                                      <w:marBottom w:val="0"/>
                                      <w:divBdr>
                                        <w:top w:val="none" w:sz="0" w:space="0" w:color="auto"/>
                                        <w:left w:val="none" w:sz="0" w:space="0" w:color="auto"/>
                                        <w:bottom w:val="none" w:sz="0" w:space="0" w:color="auto"/>
                                        <w:right w:val="none" w:sz="0" w:space="0" w:color="auto"/>
                                      </w:divBdr>
                                      <w:divsChild>
                                        <w:div w:id="1784878917">
                                          <w:marLeft w:val="0"/>
                                          <w:marRight w:val="0"/>
                                          <w:marTop w:val="0"/>
                                          <w:marBottom w:val="0"/>
                                          <w:divBdr>
                                            <w:top w:val="none" w:sz="0" w:space="0" w:color="auto"/>
                                            <w:left w:val="none" w:sz="0" w:space="0" w:color="auto"/>
                                            <w:bottom w:val="none" w:sz="0" w:space="0" w:color="auto"/>
                                            <w:right w:val="none" w:sz="0" w:space="0" w:color="auto"/>
                                          </w:divBdr>
                                          <w:divsChild>
                                            <w:div w:id="1638490348">
                                              <w:marLeft w:val="0"/>
                                              <w:marRight w:val="0"/>
                                              <w:marTop w:val="0"/>
                                              <w:marBottom w:val="0"/>
                                              <w:divBdr>
                                                <w:top w:val="none" w:sz="0" w:space="0" w:color="auto"/>
                                                <w:left w:val="none" w:sz="0" w:space="0" w:color="auto"/>
                                                <w:bottom w:val="none" w:sz="0" w:space="0" w:color="auto"/>
                                                <w:right w:val="none" w:sz="0" w:space="0" w:color="auto"/>
                                              </w:divBdr>
                                              <w:divsChild>
                                                <w:div w:id="8190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6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audit-consequential-amendments-%E2%80%93-superannuation" TargetMode="External"/><Relationship Id="rId2" Type="http://schemas.openxmlformats.org/officeDocument/2006/relationships/hyperlink" Target="https://auasb.gov.au/standards-guidance/auasb-standards/auditing-standards/" TargetMode="External"/><Relationship Id="rId1" Type="http://schemas.openxmlformats.org/officeDocument/2006/relationships/hyperlink" Target="https://www.legislation.gov.au/C2023A00029/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104</Value>
      <Value>19</Value>
      <Value>109</Value>
      <Value>185</Value>
      <Value>2</Value>
    </TaxCatchAll>
    <SharedWithUsers xmlns="92a8a7e8-49a1-4017-acf0-0edc7cce208b">
      <UserInfo>
        <DisplayName>Katherine Eyre</DisplayName>
        <AccountId>73</AccountId>
        <AccountType/>
      </UserInfo>
      <UserInfo>
        <DisplayName>Toni Michalis</DisplayName>
        <AccountId>32</AccountId>
        <AccountType/>
      </UserInfo>
      <UserInfo>
        <DisplayName>Claire Mitchell</DisplayName>
        <AccountId>29</AccountId>
        <AccountType/>
      </UserInfo>
      <UserInfo>
        <DisplayName>Ruth Tobin</DisplayName>
        <AccountId>30</AccountId>
        <AccountType/>
      </UserInfo>
      <UserInfo>
        <DisplayName>Warren Staley</DisplayName>
        <AccountId>26</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Legal advice</TermName>
          <TermId xmlns="http://schemas.microsoft.com/office/infopath/2007/PartnerControls">47dcad67-54ec-4c15-a2f1-eec9cf2f5637</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Info xmlns="http://schemas.microsoft.com/office/infopath/2007/PartnerControls">
          <TermName xmlns="http://schemas.microsoft.com/office/infopath/2007/PartnerControls">Legal advice - internal</TermName>
          <TermId xmlns="http://schemas.microsoft.com/office/infopath/2007/PartnerControls">1797320c-67a9-4876-a680-15db0859683b</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3C5829EE-2ACF-450B-BED0-FD186E501026}">
  <ds:schemaRefs>
    <ds:schemaRef ds:uri="http://schemas.openxmlformats.org/officeDocument/2006/bibliography"/>
  </ds:schemaRefs>
</ds:datastoreItem>
</file>

<file path=customXml/itemProps2.xml><?xml version="1.0" encoding="utf-8"?>
<ds:datastoreItem xmlns:ds="http://schemas.openxmlformats.org/officeDocument/2006/customXml" ds:itemID="{7CAEA023-13F0-4CEF-925C-E8F005C633AF}"/>
</file>

<file path=customXml/itemProps3.xml><?xml version="1.0" encoding="utf-8"?>
<ds:datastoreItem xmlns:ds="http://schemas.openxmlformats.org/officeDocument/2006/customXml" ds:itemID="{0DA33E37-3A15-4238-914A-B93CE3B76690}">
  <ds:schemaRefs>
    <ds:schemaRef ds:uri="http://schemas.microsoft.com/sharepoint/v3/contenttype/forms"/>
  </ds:schemaRefs>
</ds:datastoreItem>
</file>

<file path=customXml/itemProps4.xml><?xml version="1.0" encoding="utf-8"?>
<ds:datastoreItem xmlns:ds="http://schemas.openxmlformats.org/officeDocument/2006/customXml" ds:itemID="{A41451B0-2E89-4641-B70F-9CD07A414E84}">
  <ds:schemaRefs>
    <ds:schemaRef ds:uri="http://purl.org/dc/dcmitype/"/>
    <ds:schemaRef ds:uri="http://purl.org/dc/elements/1.1/"/>
    <ds:schemaRef ds:uri="http://purl.org/dc/terms/"/>
    <ds:schemaRef ds:uri="http://www.w3.org/XML/1998/namespace"/>
    <ds:schemaRef ds:uri="79530295-9eea-494d-b82a-9ff74409eafc"/>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664482d-1961-4d38-bfc2-b109b34188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2935</Words>
  <Characters>16009</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Explanatory Statement new consolidated prudential standard</vt:lpstr>
    </vt:vector>
  </TitlesOfParts>
  <Company>APRA</Company>
  <LinksUpToDate>false</LinksUpToDate>
  <CharactersWithSpaces>18894</CharactersWithSpaces>
  <SharedDoc>false</SharedDoc>
  <HLinks>
    <vt:vector size="24" baseType="variant">
      <vt:variant>
        <vt:i4>6946865</vt:i4>
      </vt:variant>
      <vt:variant>
        <vt:i4>0</vt:i4>
      </vt:variant>
      <vt:variant>
        <vt:i4>0</vt:i4>
      </vt:variant>
      <vt:variant>
        <vt:i4>5</vt:i4>
      </vt:variant>
      <vt:variant>
        <vt:lpwstr>http://www.legislation.gov.au/</vt:lpwstr>
      </vt:variant>
      <vt:variant>
        <vt:lpwstr/>
      </vt:variant>
      <vt:variant>
        <vt:i4>3932257</vt:i4>
      </vt:variant>
      <vt:variant>
        <vt:i4>6</vt:i4>
      </vt:variant>
      <vt:variant>
        <vt:i4>0</vt:i4>
      </vt:variant>
      <vt:variant>
        <vt:i4>5</vt:i4>
      </vt:variant>
      <vt:variant>
        <vt:lpwstr>https://www.apra.gov.au/audit-consequential-amendments-%E2%80%93-superannuation</vt:lpwstr>
      </vt:variant>
      <vt:variant>
        <vt:lpwstr/>
      </vt:variant>
      <vt:variant>
        <vt:i4>2556013</vt:i4>
      </vt:variant>
      <vt:variant>
        <vt:i4>3</vt:i4>
      </vt:variant>
      <vt:variant>
        <vt:i4>0</vt:i4>
      </vt:variant>
      <vt:variant>
        <vt:i4>5</vt:i4>
      </vt:variant>
      <vt:variant>
        <vt:lpwstr>https://auasb.gov.au/standards-guidance/auasb-standards/auditing-standards/</vt:lpwstr>
      </vt:variant>
      <vt:variant>
        <vt:lpwstr/>
      </vt:variant>
      <vt:variant>
        <vt:i4>2424881</vt:i4>
      </vt:variant>
      <vt:variant>
        <vt:i4>0</vt:i4>
      </vt:variant>
      <vt:variant>
        <vt:i4>0</vt:i4>
      </vt:variant>
      <vt:variant>
        <vt:i4>5</vt:i4>
      </vt:variant>
      <vt:variant>
        <vt:lpwstr>https://www.legislation.gov.au/C2023A00029/latest/text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new consolidated prudential standard</dc:title>
  <dc:subject/>
  <dc:creator>Sullivan, David</dc:creator>
  <cp:keywords>[SEC=OFFICIAL]</cp:keywords>
  <cp:lastModifiedBy>Toni Michalis</cp:lastModifiedBy>
  <cp:revision>4</cp:revision>
  <cp:lastPrinted>2018-11-01T21:09:00Z</cp:lastPrinted>
  <dcterms:created xsi:type="dcterms:W3CDTF">2024-06-04T03:41:00Z</dcterms:created>
  <dcterms:modified xsi:type="dcterms:W3CDTF">2024-06-04T03:41:00Z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Qualifier">
    <vt:lpwstr/>
  </property>
  <property fmtid="{D5CDD505-2E9C-101B-9397-08002B2CF9AE}" pid="4" name="PM_ProtectiveMarkingImage_Header">
    <vt:lpwstr>C:\Program Files\Common Files\janusNET Shared\janusSEAL\Images\DocumentSlashBlue.png</vt:lpwstr>
  </property>
  <property fmtid="{D5CDD505-2E9C-101B-9397-08002B2CF9AE}" pid="5" name="PM_ProtectiveMarkingImage_Footer">
    <vt:lpwstr>C:\Program Files\Common Files\janusNET Shared\janusSEAL\Images\DocumentSlashBlue.png</vt:lpwstr>
  </property>
  <property fmtid="{D5CDD505-2E9C-101B-9397-08002B2CF9AE}" pid="6" name="PM_Namespace">
    <vt:lpwstr>gov.au</vt:lpwstr>
  </property>
  <property fmtid="{D5CDD505-2E9C-101B-9397-08002B2CF9AE}" pid="7" name="PM_Version">
    <vt:lpwstr>2018.4</vt:lpwstr>
  </property>
  <property fmtid="{D5CDD505-2E9C-101B-9397-08002B2CF9AE}" pid="8" name="PM_Originating_FileId">
    <vt:lpwstr>3B3BFAAD444A4BB9975EB3FD5CCF2729</vt:lpwstr>
  </property>
  <property fmtid="{D5CDD505-2E9C-101B-9397-08002B2CF9AE}" pid="9" name="PM_Hash_Version">
    <vt:lpwstr>2022.1</vt:lpwstr>
  </property>
  <property fmtid="{D5CDD505-2E9C-101B-9397-08002B2CF9AE}" pid="10" name="ContentTypeId">
    <vt:lpwstr>0x01010080D163DB4DEE504FAB457909715FEC45</vt:lpwstr>
  </property>
  <property fmtid="{D5CDD505-2E9C-101B-9397-08002B2CF9AE}" pid="11" name="APRAPeriod">
    <vt:lpwstr/>
  </property>
  <property fmtid="{D5CDD505-2E9C-101B-9397-08002B2CF9AE}" pid="12" name="APRACostCentre">
    <vt:lpwstr>158;#PAD300|98bbdbe4-d019-48eb-87c4-aa31a7f2f98f</vt:lpwstr>
  </property>
  <property fmtid="{D5CDD505-2E9C-101B-9397-08002B2CF9AE}" pid="13" name="APRAYear">
    <vt:lpwstr/>
  </property>
  <property fmtid="{D5CDD505-2E9C-101B-9397-08002B2CF9AE}" pid="14" name="APRAIndustry">
    <vt:lpwstr/>
  </property>
  <property fmtid="{D5CDD505-2E9C-101B-9397-08002B2CF9AE}" pid="15" name="APRAPRSG">
    <vt:lpwstr/>
  </property>
  <property fmtid="{D5CDD505-2E9C-101B-9397-08002B2CF9AE}" pid="16" name="_dlc_DocIdItemGuid">
    <vt:lpwstr>4e5e34eb-7f5c-4b8b-b93b-68638eee6636</vt:lpwstr>
  </property>
  <property fmtid="{D5CDD505-2E9C-101B-9397-08002B2CF9AE}" pid="17" name="IsLocked">
    <vt:lpwstr>Yes</vt:lpwstr>
  </property>
  <property fmtid="{D5CDD505-2E9C-101B-9397-08002B2CF9AE}" pid="18" name="IT system type">
    <vt:lpwstr/>
  </property>
  <property fmtid="{D5CDD505-2E9C-101B-9397-08002B2CF9AE}" pid="19" name="APRACategory">
    <vt:lpwstr/>
  </property>
  <property fmtid="{D5CDD505-2E9C-101B-9397-08002B2CF9AE}" pid="20" name="APRADocumentType">
    <vt:lpwstr>185;#Precedent|197f51c4-dc37-4f46-99ec-cabda449ee10;#104;#Legal advice - internal|1797320c-67a9-4876-a680-15db0859683b</vt:lpwstr>
  </property>
  <property fmtid="{D5CDD505-2E9C-101B-9397-08002B2CF9AE}" pid="21" name="APRAStatus">
    <vt:lpwstr>19;#Final|84d6b2d0-8498-4d62-bf46-bab38babbe9e</vt:lpwstr>
  </property>
  <property fmtid="{D5CDD505-2E9C-101B-9397-08002B2CF9AE}" pid="22" name="APRAActivity">
    <vt:lpwstr>109;#Statutory instrument|fe68928c-5a9c-4caf-bc8c-6c18cedcb17f;#2;#Legal advice|47dcad67-54ec-4c15-a2f1-eec9cf2f5637</vt:lpwstr>
  </property>
  <property fmtid="{D5CDD505-2E9C-101B-9397-08002B2CF9AE}" pid="23" name="APRAEntityAdviceSupport">
    <vt:lpwstr/>
  </property>
  <property fmtid="{D5CDD505-2E9C-101B-9397-08002B2CF9AE}" pid="24" name="APRALegislation">
    <vt:lpwstr/>
  </property>
  <property fmtid="{D5CDD505-2E9C-101B-9397-08002B2CF9AE}" pid="25" name="APRAExternalOrganisation">
    <vt:lpwstr/>
  </property>
  <property fmtid="{D5CDD505-2E9C-101B-9397-08002B2CF9AE}" pid="26" name="APRAIRTR">
    <vt:lpwstr/>
  </property>
  <property fmtid="{D5CDD505-2E9C-101B-9397-08002B2CF9AE}" pid="27" name="RecordPoint_WorkflowType">
    <vt:lpwstr>ActiveSubmitStub</vt:lpwstr>
  </property>
  <property fmtid="{D5CDD505-2E9C-101B-9397-08002B2CF9AE}" pid="28" name="RecordPoint_ActiveItemWebId">
    <vt:lpwstr>{75a71c27-8d66-4282-ae60-1bfc22a83be1}</vt:lpwstr>
  </property>
  <property fmtid="{D5CDD505-2E9C-101B-9397-08002B2CF9AE}" pid="29" name="RecordPoint_ActiveItemSiteId">
    <vt:lpwstr>{88691c01-5bbb-4215-adc0-66cb7065b0af}</vt:lpwstr>
  </property>
  <property fmtid="{D5CDD505-2E9C-101B-9397-08002B2CF9AE}" pid="30" name="RecordPoint_ActiveItemListId">
    <vt:lpwstr>{8f988914-4376-4d4a-9e02-85c79f5d5824}</vt:lpwstr>
  </property>
  <property fmtid="{D5CDD505-2E9C-101B-9397-08002B2CF9AE}" pid="31" name="RecordPoint_ActiveItemUniqueId">
    <vt:lpwstr>{4e5e34eb-7f5c-4b8b-b93b-68638eee6636}</vt:lpwstr>
  </property>
  <property fmtid="{D5CDD505-2E9C-101B-9397-08002B2CF9AE}" pid="32" name="RecordPoint_RecordNumberSubmitted">
    <vt:lpwstr>R0000511881</vt:lpwstr>
  </property>
  <property fmtid="{D5CDD505-2E9C-101B-9397-08002B2CF9AE}" pid="33" name="RecordPoint_SubmissionCompleted">
    <vt:lpwstr>2018-11-07T12:35:27.4508800+11:00</vt:lpwstr>
  </property>
  <property fmtid="{D5CDD505-2E9C-101B-9397-08002B2CF9AE}" pid="34" name="RecordPoint_SubmissionDate">
    <vt:lpwstr/>
  </property>
  <property fmtid="{D5CDD505-2E9C-101B-9397-08002B2CF9AE}" pid="35" name="RecordPoint_ActiveItemMoved">
    <vt:lpwstr/>
  </property>
  <property fmtid="{D5CDD505-2E9C-101B-9397-08002B2CF9AE}" pid="36" name="RecordPoint_RecordFormat">
    <vt:lpwstr/>
  </property>
  <property fmtid="{D5CDD505-2E9C-101B-9397-08002B2CF9AE}" pid="37" name="PM_Note">
    <vt:lpwstr/>
  </property>
  <property fmtid="{D5CDD505-2E9C-101B-9397-08002B2CF9AE}" pid="38" name="PM_Markers">
    <vt:lpwstr/>
  </property>
  <property fmtid="{D5CDD505-2E9C-101B-9397-08002B2CF9AE}" pid="39" name="PM_Qualifier_Prev">
    <vt:lpwstr/>
  </property>
  <property fmtid="{D5CDD505-2E9C-101B-9397-08002B2CF9AE}" pid="40" name="PM_OriginatorDomainName_SHA256">
    <vt:lpwstr>ECBDE2B44A971754412B3FB70606937A119CC0D4B6C1B658A40FBD41C30BE3EC</vt:lpwstr>
  </property>
  <property fmtid="{D5CDD505-2E9C-101B-9397-08002B2CF9AE}" pid="41" name="MediaServiceImageTags">
    <vt:lpwstr/>
  </property>
  <property fmtid="{D5CDD505-2E9C-101B-9397-08002B2CF9AE}" pid="42" name="PM_ProtectiveMarkingValue_Footer">
    <vt:lpwstr>OFFICIAL</vt:lpwstr>
  </property>
  <property fmtid="{D5CDD505-2E9C-101B-9397-08002B2CF9AE}" pid="43" name="PM_SecurityClassification">
    <vt:lpwstr>OFFICIAL</vt:lpwstr>
  </property>
  <property fmtid="{D5CDD505-2E9C-101B-9397-08002B2CF9AE}" pid="44" name="PM_DisplayValueSecClassificationWithQualifier">
    <vt:lpwstr>OFFICIAL</vt:lpwstr>
  </property>
  <property fmtid="{D5CDD505-2E9C-101B-9397-08002B2CF9AE}" pid="45" name="PM_InsertionValue">
    <vt:lpwstr>OFFICIAL</vt:lpwstr>
  </property>
  <property fmtid="{D5CDD505-2E9C-101B-9397-08002B2CF9AE}" pid="46" name="PM_ProtectiveMarkingValue_Header">
    <vt:lpwstr>OFFICIAL</vt:lpwstr>
  </property>
  <property fmtid="{D5CDD505-2E9C-101B-9397-08002B2CF9AE}" pid="47" name="PM_OriginationTimeStamp">
    <vt:lpwstr>2024-06-04T03:41:39Z</vt:lpwstr>
  </property>
  <property fmtid="{D5CDD505-2E9C-101B-9397-08002B2CF9AE}" pid="48" name="PM_Display">
    <vt:lpwstr>OFFICIAL</vt:lpwstr>
  </property>
  <property fmtid="{D5CDD505-2E9C-101B-9397-08002B2CF9AE}" pid="49" name="PMUuid">
    <vt:lpwstr>v=2022.2;d=gov.au;g=46DD6D7C-8107-577B-BC6E-F348953B2E44</vt:lpwstr>
  </property>
  <property fmtid="{D5CDD505-2E9C-101B-9397-08002B2CF9AE}" pid="50" name="PM_Originator_Hash_SHA1">
    <vt:lpwstr>C3AD57350F36D8E1BD75F8F67CB06D435C9C43CA</vt:lpwstr>
  </property>
  <property fmtid="{D5CDD505-2E9C-101B-9397-08002B2CF9AE}" pid="51" name="PM_SecurityClassification_Prev">
    <vt:lpwstr>PROTECTED</vt:lpwstr>
  </property>
  <property fmtid="{D5CDD505-2E9C-101B-9397-08002B2CF9AE}" pid="52" name="PM_OriginatorUserAccountName_SHA256">
    <vt:lpwstr>6E3018F28A186D2E5FF5207C041E7A82E907C3008E071057026A53705873B72E</vt:lpwstr>
  </property>
  <property fmtid="{D5CDD505-2E9C-101B-9397-08002B2CF9AE}" pid="53" name="PM_Hash_SHA1">
    <vt:lpwstr>FC84B7991E2F9AC6556BD27B0FC4F4C086A447B8</vt:lpwstr>
  </property>
  <property fmtid="{D5CDD505-2E9C-101B-9397-08002B2CF9AE}" pid="54" name="PM_Hash_Salt_Prev">
    <vt:lpwstr>A9805DF03C225F7F1209FA973CBCDBB8</vt:lpwstr>
  </property>
  <property fmtid="{D5CDD505-2E9C-101B-9397-08002B2CF9AE}" pid="55" name="PM_Hash_Salt">
    <vt:lpwstr>003C7EC43E16B703D920F6929FB05FAE</vt:lpwstr>
  </property>
  <property fmtid="{D5CDD505-2E9C-101B-9397-08002B2CF9AE}" pid="56" name="PMHMAC">
    <vt:lpwstr>v=2022.1;a=SHA256;h=43B56E33DF8D4B352982526ED2E4E413CE34C79DFF95227B369CB64625D06493</vt:lpwstr>
  </property>
  <property fmtid="{D5CDD505-2E9C-101B-9397-08002B2CF9AE}" pid="57" name="MSIP_Label_c0129afb-6481-4f92-bc9f-5a4a6346364d_Method">
    <vt:lpwstr>Privileged</vt:lpwstr>
  </property>
  <property fmtid="{D5CDD505-2E9C-101B-9397-08002B2CF9AE}" pid="58" name="MSIP_Label_c0129afb-6481-4f92-bc9f-5a4a6346364d_SetDate">
    <vt:lpwstr>2024-06-04T03:41:39Z</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ContentBits">
    <vt:lpwstr>0</vt:lpwstr>
  </property>
  <property fmtid="{D5CDD505-2E9C-101B-9397-08002B2CF9AE}" pid="62" name="MSIP_Label_c0129afb-6481-4f92-bc9f-5a4a6346364d_Enabled">
    <vt:lpwstr>true</vt:lpwstr>
  </property>
  <property fmtid="{D5CDD505-2E9C-101B-9397-08002B2CF9AE}" pid="63" name="MSIP_Label_c0129afb-6481-4f92-bc9f-5a4a6346364d_ActionId">
    <vt:lpwstr>865c04b7d2414f9eadf1f05311941856</vt:lpwstr>
  </property>
  <property fmtid="{D5CDD505-2E9C-101B-9397-08002B2CF9AE}" pid="64" name="MSIP_Label_b0e525a4-fda6-4491-bc32-b73e8bbba0cc_Method">
    <vt:lpwstr>Privileged</vt:lpwstr>
  </property>
  <property fmtid="{D5CDD505-2E9C-101B-9397-08002B2CF9AE}" pid="65" name="MSIP_Label_b0e525a4-fda6-4491-bc32-b73e8bbba0cc_SiteId">
    <vt:lpwstr>c05e3ffd-b491-4431-9809-e61d4dc78816</vt:lpwstr>
  </property>
  <property fmtid="{D5CDD505-2E9C-101B-9397-08002B2CF9AE}" pid="66" name="MSIP_Label_b0e525a4-fda6-4491-bc32-b73e8bbba0cc_ActionId">
    <vt:lpwstr>b8e5773b2dfa4a168bfe08b43c4c2428</vt:lpwstr>
  </property>
  <property fmtid="{D5CDD505-2E9C-101B-9397-08002B2CF9AE}" pid="67" name="MSIP_Label_b0e525a4-fda6-4491-bc32-b73e8bbba0cc_Name">
    <vt:lpwstr>PROTECTED</vt:lpwstr>
  </property>
  <property fmtid="{D5CDD505-2E9C-101B-9397-08002B2CF9AE}" pid="68" name="MSIP_Label_b0e525a4-fda6-4491-bc32-b73e8bbba0cc_Enabled">
    <vt:lpwstr>true</vt:lpwstr>
  </property>
  <property fmtid="{D5CDD505-2E9C-101B-9397-08002B2CF9AE}" pid="69" name="MSIP_Label_b0e525a4-fda6-4491-bc32-b73e8bbba0cc_SetDate">
    <vt:lpwstr>2024-05-31T00:37:29Z</vt:lpwstr>
  </property>
  <property fmtid="{D5CDD505-2E9C-101B-9397-08002B2CF9AE}" pid="70" name="MSIP_Label_b0e525a4-fda6-4491-bc32-b73e8bbba0cc_ContentBits">
    <vt:lpwstr>0</vt:lpwstr>
  </property>
</Properties>
</file>