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67D1" w14:textId="77777777" w:rsidR="00635386" w:rsidRPr="00635386" w:rsidRDefault="00635386" w:rsidP="00635386">
      <w:pPr>
        <w:widowControl w:val="0"/>
        <w:rPr>
          <w:rFonts w:eastAsia="Times New Roman" w:cs="Times New Roman"/>
          <w:szCs w:val="24"/>
          <w:lang w:val="en-AU"/>
        </w:rPr>
      </w:pPr>
    </w:p>
    <w:p w14:paraId="45098F6C" w14:textId="77777777" w:rsidR="00635386" w:rsidRPr="00635386" w:rsidRDefault="00635386" w:rsidP="00635386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635386">
        <w:rPr>
          <w:rFonts w:eastAsia="Times New Roman" w:cs="Times New Roman"/>
          <w:noProof/>
          <w:sz w:val="20"/>
          <w:szCs w:val="24"/>
          <w:lang w:val="en-AU" w:eastAsia="en-AU" w:bidi="en-US"/>
        </w:rPr>
        <w:drawing>
          <wp:inline distT="0" distB="0" distL="0" distR="0" wp14:anchorId="0994BF42" wp14:editId="4F4E459C">
            <wp:extent cx="2657475" cy="438150"/>
            <wp:effectExtent l="0" t="0" r="9525" b="0"/>
            <wp:docPr id="4" name="Picture 4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FB8D" w14:textId="77777777" w:rsidR="00635386" w:rsidRPr="00635386" w:rsidRDefault="00635386" w:rsidP="00635386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val="en-AU" w:bidi="en-US"/>
        </w:rPr>
      </w:pPr>
    </w:p>
    <w:p w14:paraId="37F2177B" w14:textId="77777777" w:rsidR="00635386" w:rsidRPr="00635386" w:rsidRDefault="00635386" w:rsidP="00635386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 w:val="20"/>
          <w:szCs w:val="24"/>
          <w:lang w:val="en-AU" w:bidi="en-US"/>
        </w:rPr>
      </w:pPr>
      <w:r w:rsidRPr="00635386">
        <w:rPr>
          <w:rFonts w:eastAsia="Times New Roman" w:cs="Times New Roman"/>
          <w:b/>
          <w:bCs/>
          <w:sz w:val="20"/>
          <w:szCs w:val="24"/>
          <w:lang w:val="en-AU" w:bidi="en-US"/>
        </w:rPr>
        <w:t>Food Standards (</w:t>
      </w:r>
      <w:r w:rsidRPr="00635386">
        <w:rPr>
          <w:rFonts w:eastAsia="Times New Roman" w:cs="Arial"/>
          <w:b/>
          <w:bCs/>
          <w:color w:val="000000"/>
          <w:sz w:val="20"/>
          <w:szCs w:val="24"/>
          <w:lang w:val="en-AU" w:eastAsia="en-AU" w:bidi="en-US"/>
        </w:rPr>
        <w:t xml:space="preserve">Application A1277 – </w:t>
      </w:r>
      <w:r w:rsidRPr="00635386">
        <w:rPr>
          <w:rFonts w:eastAsia="Arial" w:cs="Arial"/>
          <w:b/>
          <w:bCs/>
          <w:color w:val="000000"/>
          <w:sz w:val="20"/>
          <w:szCs w:val="24"/>
          <w:lang w:val="en-AU" w:bidi="en-US"/>
        </w:rPr>
        <w:t>2</w:t>
      </w:r>
      <w:r w:rsidRPr="00635386">
        <w:rPr>
          <w:rFonts w:eastAsia="Times New Roman" w:cs="Arial"/>
          <w:b/>
          <w:bCs/>
          <w:color w:val="000000"/>
          <w:sz w:val="20"/>
          <w:szCs w:val="24"/>
          <w:shd w:val="clear" w:color="auto" w:fill="FFFFFF"/>
          <w:lang w:val="en-AU" w:bidi="en-US"/>
        </w:rPr>
        <w:t>′</w:t>
      </w:r>
      <w:r w:rsidRPr="00635386">
        <w:rPr>
          <w:rFonts w:eastAsia="Arial" w:cs="Arial"/>
          <w:b/>
          <w:bCs/>
          <w:color w:val="000000"/>
          <w:sz w:val="20"/>
          <w:szCs w:val="24"/>
          <w:lang w:val="en-AU" w:bidi="en-US"/>
        </w:rPr>
        <w:t>-FL</w:t>
      </w:r>
      <w:r w:rsidRPr="00635386">
        <w:rPr>
          <w:rFonts w:eastAsia="Times New Roman" w:cs="Arial"/>
          <w:b/>
          <w:bCs/>
          <w:color w:val="000000"/>
          <w:sz w:val="20"/>
          <w:szCs w:val="24"/>
          <w:lang w:val="en-AU" w:eastAsia="en-AU" w:bidi="en-US"/>
        </w:rPr>
        <w:t xml:space="preserve"> from GM </w:t>
      </w:r>
      <w:r w:rsidRPr="00635386">
        <w:rPr>
          <w:rFonts w:eastAsia="Times New Roman" w:cs="Arial"/>
          <w:b/>
          <w:bCs/>
          <w:i/>
          <w:iCs/>
          <w:color w:val="000000"/>
          <w:sz w:val="20"/>
          <w:szCs w:val="24"/>
          <w:lang w:val="en-AU" w:eastAsia="en-AU" w:bidi="en-US"/>
        </w:rPr>
        <w:t>Escherichia coli</w:t>
      </w:r>
      <w:r w:rsidRPr="00635386">
        <w:rPr>
          <w:rFonts w:eastAsia="Times New Roman" w:cs="Arial"/>
          <w:b/>
          <w:bCs/>
          <w:color w:val="000000"/>
          <w:sz w:val="20"/>
          <w:szCs w:val="24"/>
          <w:lang w:val="en-AU" w:eastAsia="en-AU" w:bidi="en-US"/>
        </w:rPr>
        <w:t xml:space="preserve"> K-12 (gene donor: </w:t>
      </w:r>
      <w:r w:rsidRPr="00635386">
        <w:rPr>
          <w:rFonts w:eastAsia="Times New Roman" w:cs="Arial"/>
          <w:b/>
          <w:bCs/>
          <w:i/>
          <w:iCs/>
          <w:color w:val="000000"/>
          <w:sz w:val="20"/>
          <w:szCs w:val="24"/>
          <w:lang w:val="en-AU" w:eastAsia="en-AU" w:bidi="en-US"/>
        </w:rPr>
        <w:t xml:space="preserve">Helicobacter </w:t>
      </w:r>
      <w:proofErr w:type="spellStart"/>
      <w:r w:rsidRPr="00635386">
        <w:rPr>
          <w:rFonts w:eastAsia="Times New Roman" w:cs="Arial"/>
          <w:b/>
          <w:bCs/>
          <w:i/>
          <w:iCs/>
          <w:color w:val="000000"/>
          <w:sz w:val="20"/>
          <w:szCs w:val="24"/>
          <w:lang w:val="en-AU" w:eastAsia="en-AU" w:bidi="en-US"/>
        </w:rPr>
        <w:t>enhydrae</w:t>
      </w:r>
      <w:proofErr w:type="spellEnd"/>
      <w:r w:rsidRPr="00635386">
        <w:rPr>
          <w:rFonts w:eastAsia="Times New Roman" w:cs="Arial"/>
          <w:b/>
          <w:bCs/>
          <w:color w:val="000000"/>
          <w:sz w:val="20"/>
          <w:szCs w:val="24"/>
          <w:lang w:val="en-AU" w:eastAsia="en-AU" w:bidi="en-US"/>
        </w:rPr>
        <w:t>) in infant formula products</w:t>
      </w:r>
      <w:r w:rsidRPr="00635386">
        <w:rPr>
          <w:rFonts w:eastAsia="Times New Roman" w:cs="Times New Roman"/>
          <w:b/>
          <w:bCs/>
          <w:sz w:val="20"/>
          <w:szCs w:val="24"/>
          <w:lang w:val="en-AU" w:bidi="en-US"/>
        </w:rPr>
        <w:t>) Variation</w:t>
      </w:r>
    </w:p>
    <w:p w14:paraId="5D7B998E" w14:textId="77777777" w:rsidR="00635386" w:rsidRPr="00635386" w:rsidRDefault="00635386" w:rsidP="00635386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</w:p>
    <w:p w14:paraId="69BECE8D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5806DBA0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  <w:r w:rsidRPr="00635386">
        <w:rPr>
          <w:rFonts w:eastAsia="Times New Roman" w:cs="Times New Roman"/>
          <w:sz w:val="20"/>
          <w:szCs w:val="24"/>
          <w:lang w:val="en-AU" w:bidi="en-US"/>
        </w:rPr>
        <w:t xml:space="preserve">The Board of Food Standards Australia New Zealand gives notice of the making of this variation under section 92 of the </w:t>
      </w:r>
      <w:r w:rsidRPr="00635386">
        <w:rPr>
          <w:rFonts w:eastAsia="Times New Roman" w:cs="Times New Roman"/>
          <w:i/>
          <w:sz w:val="20"/>
          <w:szCs w:val="24"/>
          <w:lang w:val="en-AU" w:bidi="en-US"/>
        </w:rPr>
        <w:t>Food Standards Australia New Zealand Act 1991</w:t>
      </w:r>
      <w:r w:rsidRPr="00635386">
        <w:rPr>
          <w:rFonts w:eastAsia="Times New Roman" w:cs="Times New Roman"/>
          <w:sz w:val="20"/>
          <w:szCs w:val="24"/>
          <w:lang w:val="en-AU" w:bidi="en-US"/>
        </w:rPr>
        <w:t>.  The variation commences on the date specified in clause 3 of this variation.</w:t>
      </w:r>
    </w:p>
    <w:p w14:paraId="1A247241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033FD506" w14:textId="1DE7CA95" w:rsidR="00635386" w:rsidRPr="00E436DF" w:rsidRDefault="009A6447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  <w:r>
        <w:rPr>
          <w:rFonts w:eastAsia="Times New Roman" w:cs="Times New Roman"/>
          <w:sz w:val="20"/>
          <w:szCs w:val="24"/>
          <w:lang w:val="en-AU" w:bidi="en-US"/>
        </w:rPr>
        <w:t>23 May 2024</w:t>
      </w:r>
    </w:p>
    <w:p w14:paraId="42DBFD81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0C990BCB" w14:textId="77777777" w:rsidR="00635386" w:rsidRPr="00635386" w:rsidRDefault="00635386" w:rsidP="00635386">
      <w:pPr>
        <w:widowControl w:val="0"/>
        <w:rPr>
          <w:rFonts w:ascii="Symbol" w:eastAsia="Symbol" w:hAnsi="Symbol" w:cs="Symbol"/>
          <w:sz w:val="20"/>
          <w:szCs w:val="24"/>
          <w:lang w:val="en-AU" w:bidi="en-US"/>
        </w:rPr>
      </w:pPr>
    </w:p>
    <w:p w14:paraId="666631A0" w14:textId="262A232C" w:rsidR="00635386" w:rsidRPr="00635386" w:rsidRDefault="009A6447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  <w:r>
        <w:rPr>
          <w:rFonts w:eastAsia="Times New Roman" w:cs="Times New Roman"/>
          <w:noProof/>
          <w:sz w:val="20"/>
          <w:szCs w:val="24"/>
          <w:lang w:val="en-AU" w:bidi="en-US"/>
        </w:rPr>
        <w:drawing>
          <wp:inline distT="0" distB="0" distL="0" distR="0" wp14:anchorId="7EAD66F2" wp14:editId="4F271944">
            <wp:extent cx="1238250" cy="381000"/>
            <wp:effectExtent l="0" t="0" r="0" b="0"/>
            <wp:docPr id="1" name="Picture 1" descr="Signature of the Delegate of the Board of Food Standards Australia New Zea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67E4F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08F87F3C" w14:textId="2B1BFEA2" w:rsidR="00635386" w:rsidRPr="009A6447" w:rsidRDefault="000C5E8C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  <w:r w:rsidRPr="009A6447">
        <w:rPr>
          <w:rFonts w:eastAsia="Times New Roman" w:cs="Times New Roman"/>
          <w:sz w:val="20"/>
          <w:szCs w:val="24"/>
          <w:lang w:val="en-AU" w:bidi="en-US"/>
        </w:rPr>
        <w:t xml:space="preserve">Matthew O’Mullane, General Manager, Risk Management and Intelligence </w:t>
      </w:r>
    </w:p>
    <w:p w14:paraId="4035CECE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  <w:r w:rsidRPr="009A6447">
        <w:rPr>
          <w:rFonts w:eastAsia="Times New Roman" w:cs="Times New Roman"/>
          <w:sz w:val="20"/>
          <w:szCs w:val="24"/>
          <w:lang w:val="en-AU" w:bidi="en-US"/>
        </w:rPr>
        <w:t>Delegate of the Board of Food Standards Australia New Zealand</w:t>
      </w:r>
    </w:p>
    <w:p w14:paraId="6B4B7C8A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49F5B3D1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7200322A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0C915BEA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3F7FCDCA" w14:textId="77777777" w:rsidR="00635386" w:rsidRPr="009A6447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2506978D" w14:textId="77777777" w:rsidR="00635386" w:rsidRPr="009A6447" w:rsidRDefault="00635386" w:rsidP="006353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9A6447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08F0B58C" w14:textId="77777777" w:rsidR="00635386" w:rsidRPr="009A6447" w:rsidRDefault="00635386" w:rsidP="006353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15716D9D" w14:textId="276DF309" w:rsidR="00635386" w:rsidRPr="009A6447" w:rsidRDefault="00635386" w:rsidP="006353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9A6447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0C5E8C" w:rsidRPr="009A6447">
        <w:rPr>
          <w:rFonts w:eastAsia="Times New Roman" w:cs="Times New Roman"/>
          <w:sz w:val="20"/>
          <w:szCs w:val="24"/>
          <w:lang w:val="en-AU" w:bidi="en-US"/>
        </w:rPr>
        <w:t>168</w:t>
      </w:r>
      <w:r w:rsidRPr="009A6447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0C5E8C" w:rsidRPr="009A6447">
        <w:rPr>
          <w:rFonts w:eastAsia="Times New Roman" w:cs="Times New Roman"/>
          <w:sz w:val="20"/>
          <w:szCs w:val="24"/>
          <w:lang w:val="en-AU" w:bidi="en-US"/>
        </w:rPr>
        <w:t>31 May</w:t>
      </w:r>
      <w:r w:rsidRPr="009A6447">
        <w:rPr>
          <w:rFonts w:eastAsia="Times New Roman" w:cs="Times New Roman"/>
          <w:sz w:val="20"/>
          <w:szCs w:val="24"/>
          <w:lang w:val="en-AU" w:bidi="en-US"/>
        </w:rPr>
        <w:t xml:space="preserve"> </w:t>
      </w:r>
      <w:r w:rsidR="000C5E8C" w:rsidRPr="009A6447">
        <w:rPr>
          <w:rFonts w:eastAsia="Times New Roman" w:cs="Times New Roman"/>
          <w:sz w:val="20"/>
          <w:szCs w:val="24"/>
          <w:lang w:val="en-AU" w:bidi="en-US"/>
        </w:rPr>
        <w:t>2024</w:t>
      </w:r>
      <w:r w:rsidRPr="009A6447">
        <w:rPr>
          <w:rFonts w:eastAsia="Times New Roman" w:cs="Times New Roman"/>
          <w:sz w:val="20"/>
          <w:szCs w:val="24"/>
          <w:lang w:val="en-AU" w:bidi="en-US"/>
        </w:rPr>
        <w:t xml:space="preserve"> This means that this date is the gazettal date for the purposes of clause 3 of the variation. </w:t>
      </w:r>
    </w:p>
    <w:p w14:paraId="3B86EAE4" w14:textId="77777777" w:rsidR="00635386" w:rsidRPr="00635386" w:rsidRDefault="00635386" w:rsidP="00635386">
      <w:pPr>
        <w:widowControl w:val="0"/>
        <w:rPr>
          <w:rFonts w:eastAsia="Times New Roman" w:cs="Times New Roman"/>
          <w:sz w:val="20"/>
          <w:szCs w:val="24"/>
          <w:lang w:val="en-AU" w:bidi="en-US"/>
        </w:rPr>
      </w:pPr>
    </w:p>
    <w:p w14:paraId="41EDF1EA" w14:textId="77777777" w:rsidR="00635386" w:rsidRPr="00635386" w:rsidRDefault="00635386" w:rsidP="00635386">
      <w:pPr>
        <w:rPr>
          <w:rFonts w:eastAsia="Times New Roman" w:cs="Times New Roman"/>
          <w:sz w:val="20"/>
          <w:szCs w:val="24"/>
          <w:lang w:val="en-AU" w:bidi="en-US"/>
        </w:rPr>
      </w:pPr>
      <w:r w:rsidRPr="00635386">
        <w:rPr>
          <w:rFonts w:eastAsia="Times New Roman" w:cs="Times New Roman"/>
          <w:sz w:val="20"/>
          <w:szCs w:val="24"/>
          <w:lang w:val="en-AU" w:bidi="en-US"/>
        </w:rPr>
        <w:br w:type="page"/>
      </w:r>
    </w:p>
    <w:p w14:paraId="6066639D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/>
        </w:rPr>
      </w:pPr>
      <w:r w:rsidRPr="00635386">
        <w:rPr>
          <w:rFonts w:eastAsia="Times New Roman" w:cs="Times New Roman"/>
          <w:b/>
          <w:sz w:val="20"/>
          <w:szCs w:val="20"/>
          <w:lang w:val="en-AU"/>
        </w:rPr>
        <w:lastRenderedPageBreak/>
        <w:t>1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  <w:t>Name</w:t>
      </w:r>
    </w:p>
    <w:p w14:paraId="5308746C" w14:textId="77777777" w:rsidR="00635386" w:rsidRPr="00635386" w:rsidRDefault="00635386" w:rsidP="00635386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  <w:lang w:val="en-AU"/>
        </w:rPr>
      </w:pPr>
      <w:r w:rsidRPr="00635386">
        <w:rPr>
          <w:rFonts w:eastAsia="Times New Roman" w:cs="Times New Roman"/>
          <w:sz w:val="20"/>
          <w:szCs w:val="20"/>
          <w:lang w:val="en-AU"/>
        </w:rPr>
        <w:t xml:space="preserve">This instrument is the 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>Food Standards (</w:t>
      </w:r>
      <w:r w:rsidRPr="00635386">
        <w:rPr>
          <w:rFonts w:eastAsia="Times New Roman" w:cs="Times New Roman"/>
          <w:i/>
          <w:sz w:val="20"/>
          <w:szCs w:val="20"/>
          <w:lang w:val="en-AU" w:eastAsia="en-AU"/>
        </w:rPr>
        <w:t xml:space="preserve">Application A1277 – </w:t>
      </w:r>
      <w:r w:rsidRPr="00635386">
        <w:rPr>
          <w:rFonts w:eastAsia="Arial" w:cs="Times New Roman"/>
          <w:i/>
          <w:sz w:val="20"/>
          <w:szCs w:val="20"/>
          <w:lang w:val="en-AU"/>
        </w:rPr>
        <w:t>2′-FL</w:t>
      </w:r>
      <w:r w:rsidRPr="00635386">
        <w:rPr>
          <w:rFonts w:eastAsia="Times New Roman" w:cs="Times New Roman"/>
          <w:i/>
          <w:sz w:val="20"/>
          <w:szCs w:val="20"/>
          <w:lang w:val="en-AU" w:eastAsia="en-AU"/>
        </w:rPr>
        <w:t xml:space="preserve"> from GM</w:t>
      </w:r>
      <w:r w:rsidRPr="00635386">
        <w:rPr>
          <w:rFonts w:eastAsia="Times New Roman" w:cs="Times New Roman"/>
          <w:sz w:val="20"/>
          <w:szCs w:val="20"/>
          <w:lang w:val="en-AU" w:eastAsia="en-AU"/>
        </w:rPr>
        <w:t xml:space="preserve"> Escherichia coli </w:t>
      </w:r>
      <w:r w:rsidRPr="00635386">
        <w:rPr>
          <w:rFonts w:eastAsia="Times New Roman" w:cs="Times New Roman"/>
          <w:i/>
          <w:sz w:val="20"/>
          <w:szCs w:val="20"/>
          <w:lang w:val="en-AU" w:eastAsia="en-AU"/>
        </w:rPr>
        <w:t>K-12 (gene donor:</w:t>
      </w:r>
      <w:r w:rsidRPr="00635386">
        <w:rPr>
          <w:rFonts w:eastAsia="Times New Roman" w:cs="Times New Roman"/>
          <w:sz w:val="20"/>
          <w:szCs w:val="20"/>
          <w:lang w:val="en-AU" w:eastAsia="en-AU"/>
        </w:rPr>
        <w:t xml:space="preserve"> Helicobacter </w:t>
      </w:r>
      <w:proofErr w:type="spellStart"/>
      <w:r w:rsidRPr="00635386">
        <w:rPr>
          <w:rFonts w:eastAsia="Times New Roman" w:cs="Times New Roman"/>
          <w:sz w:val="20"/>
          <w:szCs w:val="20"/>
          <w:lang w:val="en-AU" w:eastAsia="en-AU"/>
        </w:rPr>
        <w:t>enhydrae</w:t>
      </w:r>
      <w:proofErr w:type="spellEnd"/>
      <w:r w:rsidRPr="00635386">
        <w:rPr>
          <w:rFonts w:eastAsia="Times New Roman" w:cs="Times New Roman"/>
          <w:i/>
          <w:sz w:val="20"/>
          <w:szCs w:val="20"/>
          <w:lang w:val="en-AU" w:eastAsia="en-AU"/>
        </w:rPr>
        <w:t>) in infant formula products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>) Variation</w:t>
      </w:r>
      <w:r w:rsidRPr="00635386">
        <w:rPr>
          <w:rFonts w:eastAsia="Times New Roman" w:cs="Times New Roman"/>
          <w:sz w:val="20"/>
          <w:szCs w:val="20"/>
          <w:lang w:val="en-AU"/>
        </w:rPr>
        <w:t>.</w:t>
      </w:r>
    </w:p>
    <w:p w14:paraId="06672CC7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/>
        </w:rPr>
      </w:pPr>
      <w:r w:rsidRPr="00635386">
        <w:rPr>
          <w:rFonts w:eastAsia="Times New Roman" w:cs="Times New Roman"/>
          <w:b/>
          <w:sz w:val="20"/>
          <w:szCs w:val="20"/>
          <w:lang w:val="en-AU"/>
        </w:rPr>
        <w:t>2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  <w:t xml:space="preserve">Variation to Standards in the </w:t>
      </w:r>
      <w:r w:rsidRPr="00635386">
        <w:rPr>
          <w:rFonts w:eastAsia="Times New Roman" w:cs="Times New Roman"/>
          <w:b/>
          <w:i/>
          <w:iCs/>
          <w:sz w:val="20"/>
          <w:szCs w:val="20"/>
          <w:lang w:val="en-AU"/>
        </w:rPr>
        <w:t>Australia New Zealand Food Standards Code</w:t>
      </w:r>
    </w:p>
    <w:p w14:paraId="3F2D8418" w14:textId="77777777" w:rsidR="00635386" w:rsidRPr="00635386" w:rsidRDefault="00635386" w:rsidP="00635386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  <w:lang w:val="en-AU"/>
        </w:rPr>
      </w:pPr>
      <w:r w:rsidRPr="00635386">
        <w:rPr>
          <w:rFonts w:eastAsia="Times New Roman" w:cs="Times New Roman"/>
          <w:sz w:val="20"/>
          <w:szCs w:val="20"/>
          <w:lang w:val="en-AU"/>
        </w:rPr>
        <w:t xml:space="preserve">The Schedule varies Standards in the 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>Australia New Zealand Food Standards Code</w:t>
      </w:r>
      <w:r w:rsidRPr="00635386">
        <w:rPr>
          <w:rFonts w:eastAsia="Times New Roman" w:cs="Times New Roman"/>
          <w:sz w:val="20"/>
          <w:szCs w:val="20"/>
          <w:lang w:val="en-AU"/>
        </w:rPr>
        <w:t>.</w:t>
      </w:r>
    </w:p>
    <w:p w14:paraId="5031503A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/>
        </w:rPr>
      </w:pPr>
      <w:r w:rsidRPr="00635386">
        <w:rPr>
          <w:rFonts w:eastAsia="Times New Roman" w:cs="Times New Roman"/>
          <w:b/>
          <w:sz w:val="20"/>
          <w:szCs w:val="20"/>
          <w:lang w:val="en-AU"/>
        </w:rPr>
        <w:t>3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  <w:t>Commencement</w:t>
      </w:r>
    </w:p>
    <w:p w14:paraId="0EDFB42A" w14:textId="77777777" w:rsidR="00635386" w:rsidRPr="00635386" w:rsidRDefault="00635386" w:rsidP="00635386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  <w:lang w:val="en-AU"/>
        </w:rPr>
      </w:pPr>
      <w:r w:rsidRPr="00635386">
        <w:rPr>
          <w:rFonts w:eastAsia="Times New Roman" w:cs="Times New Roman"/>
          <w:sz w:val="20"/>
          <w:szCs w:val="20"/>
          <w:lang w:val="en-AU"/>
        </w:rPr>
        <w:t>The variation commences on the date of gazettal.</w:t>
      </w:r>
    </w:p>
    <w:p w14:paraId="370F62BC" w14:textId="77777777" w:rsidR="00635386" w:rsidRPr="00635386" w:rsidRDefault="00635386" w:rsidP="00635386">
      <w:pPr>
        <w:widowControl w:val="0"/>
        <w:jc w:val="center"/>
        <w:rPr>
          <w:rFonts w:eastAsia="Times New Roman" w:cs="Times New Roman"/>
          <w:b/>
          <w:sz w:val="20"/>
          <w:szCs w:val="24"/>
          <w:lang w:val="en-AU" w:bidi="en-US"/>
        </w:rPr>
      </w:pPr>
      <w:r w:rsidRPr="00635386">
        <w:rPr>
          <w:rFonts w:eastAsia="Times New Roman" w:cs="Times New Roman"/>
          <w:b/>
          <w:sz w:val="20"/>
          <w:szCs w:val="24"/>
          <w:lang w:val="en-AU" w:bidi="en-US"/>
        </w:rPr>
        <w:t>Schedule</w:t>
      </w:r>
    </w:p>
    <w:p w14:paraId="644B97F8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b/>
          <w:sz w:val="20"/>
          <w:szCs w:val="20"/>
          <w:lang w:val="en-AU" w:bidi="en-US"/>
        </w:rPr>
        <w:t>Schedule 3—Identity and purity</w:t>
      </w:r>
    </w:p>
    <w:p w14:paraId="4311DE7C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</w:pPr>
      <w:r w:rsidRPr="00635386">
        <w:rPr>
          <w:rFonts w:eastAsia="Times New Roman" w:cs="Times New Roman"/>
          <w:b/>
          <w:color w:val="000000"/>
          <w:sz w:val="20"/>
          <w:szCs w:val="20"/>
          <w:lang w:val="en-AU"/>
        </w:rPr>
        <w:t>[1]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  <w:t xml:space="preserve">Subsection S3—2(2) (table item dealing with </w:t>
      </w:r>
      <w:r w:rsidRPr="00635386">
        <w:rPr>
          <w:rFonts w:eastAsia="Times New Roman" w:cs="Arial"/>
          <w:b/>
          <w:color w:val="000000"/>
          <w:sz w:val="20"/>
          <w:szCs w:val="20"/>
          <w:shd w:val="clear" w:color="auto" w:fill="FFFFFF"/>
          <w:lang w:val="en-AU"/>
        </w:rPr>
        <w:t>2</w:t>
      </w:r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>′-</w:t>
      </w:r>
      <w:r w:rsidRPr="00635386">
        <w:rPr>
          <w:rFonts w:eastAsia="Times New Roman" w:cs="Arial"/>
          <w:b/>
          <w:color w:val="000000"/>
          <w:sz w:val="20"/>
          <w:szCs w:val="20"/>
          <w:shd w:val="clear" w:color="auto" w:fill="FFFFFF"/>
          <w:lang w:val="en-AU"/>
        </w:rPr>
        <w:t>fucosyllactose sourced from </w:t>
      </w:r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>Escherichia coli </w:t>
      </w:r>
      <w:r w:rsidRPr="00635386">
        <w:rPr>
          <w:rFonts w:eastAsia="Times New Roman" w:cs="Arial"/>
          <w:b/>
          <w:color w:val="000000"/>
          <w:sz w:val="20"/>
          <w:szCs w:val="20"/>
          <w:shd w:val="clear" w:color="auto" w:fill="FFFFFF"/>
          <w:lang w:val="en-AU"/>
        </w:rPr>
        <w:t>K-12 containing the gene for alpha-1,2-fucosyltransferase from either</w:t>
      </w:r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> Helicobacter pylori</w:t>
      </w:r>
      <w:r w:rsidRPr="00635386">
        <w:rPr>
          <w:rFonts w:eastAsia="Times New Roman" w:cs="Arial"/>
          <w:b/>
          <w:color w:val="000000"/>
          <w:sz w:val="20"/>
          <w:szCs w:val="20"/>
          <w:shd w:val="clear" w:color="auto" w:fill="FFFFFF"/>
          <w:lang w:val="en-AU"/>
        </w:rPr>
        <w:t> or </w:t>
      </w:r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 xml:space="preserve">Bacteroides </w:t>
      </w:r>
      <w:proofErr w:type="spellStart"/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>vulgatus</w:t>
      </w:r>
      <w:proofErr w:type="spellEnd"/>
      <w:r w:rsidRPr="00635386">
        <w:rPr>
          <w:rFonts w:eastAsia="Times New Roman" w:cs="Arial"/>
          <w:b/>
          <w:i/>
          <w:iCs/>
          <w:color w:val="000000"/>
          <w:sz w:val="20"/>
          <w:szCs w:val="20"/>
          <w:shd w:val="clear" w:color="auto" w:fill="FFFFFF"/>
          <w:lang w:val="en-AU"/>
        </w:rPr>
        <w:t>)</w:t>
      </w:r>
    </w:p>
    <w:p w14:paraId="1F910946" w14:textId="77777777" w:rsidR="00635386" w:rsidRPr="00635386" w:rsidRDefault="00635386" w:rsidP="00635386">
      <w:pPr>
        <w:tabs>
          <w:tab w:val="left" w:pos="851"/>
        </w:tabs>
        <w:spacing w:before="120" w:after="120"/>
        <w:ind w:left="851"/>
        <w:rPr>
          <w:rFonts w:eastAsia="Times New Roman" w:cs="Times New Roman"/>
          <w:sz w:val="20"/>
          <w:szCs w:val="20"/>
          <w:lang w:val="en-AU"/>
        </w:rPr>
      </w:pPr>
      <w:r w:rsidRPr="00635386">
        <w:rPr>
          <w:rFonts w:eastAsia="Times New Roman" w:cs="Times New Roman"/>
          <w:color w:val="000000"/>
          <w:sz w:val="20"/>
          <w:szCs w:val="20"/>
          <w:lang w:val="en-AU"/>
        </w:rPr>
        <w:t xml:space="preserve">Omit “either 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>Helicobacter pylori</w:t>
      </w:r>
      <w:r w:rsidRPr="00635386">
        <w:rPr>
          <w:rFonts w:eastAsia="Times New Roman" w:cs="Times New Roman"/>
          <w:sz w:val="20"/>
          <w:szCs w:val="20"/>
          <w:lang w:val="en-AU"/>
        </w:rPr>
        <w:t xml:space="preserve"> or”, substitute “either 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 xml:space="preserve">Helicobacter </w:t>
      </w:r>
      <w:proofErr w:type="spellStart"/>
      <w:r w:rsidRPr="00635386">
        <w:rPr>
          <w:rFonts w:eastAsia="Times New Roman" w:cs="Times New Roman"/>
          <w:i/>
          <w:sz w:val="20"/>
          <w:szCs w:val="20"/>
          <w:lang w:val="en-AU"/>
        </w:rPr>
        <w:t>enhydrae</w:t>
      </w:r>
      <w:proofErr w:type="spellEnd"/>
      <w:r w:rsidRPr="00635386">
        <w:rPr>
          <w:rFonts w:eastAsia="Times New Roman" w:cs="Times New Roman"/>
          <w:sz w:val="20"/>
          <w:szCs w:val="20"/>
          <w:lang w:val="en-AU"/>
        </w:rPr>
        <w:t xml:space="preserve">, </w:t>
      </w:r>
      <w:r w:rsidRPr="00635386">
        <w:rPr>
          <w:rFonts w:eastAsia="Times New Roman" w:cs="Times New Roman"/>
          <w:i/>
          <w:sz w:val="20"/>
          <w:szCs w:val="20"/>
          <w:lang w:val="en-AU"/>
        </w:rPr>
        <w:t>Helicobacter pylori</w:t>
      </w:r>
      <w:r w:rsidRPr="00635386">
        <w:rPr>
          <w:rFonts w:eastAsia="Times New Roman" w:cs="Times New Roman"/>
          <w:sz w:val="20"/>
          <w:szCs w:val="20"/>
          <w:lang w:val="en-AU"/>
        </w:rPr>
        <w:t>, or”</w:t>
      </w:r>
    </w:p>
    <w:p w14:paraId="1A1D8E2F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b/>
          <w:sz w:val="20"/>
          <w:szCs w:val="20"/>
          <w:lang w:val="en-AU"/>
        </w:rPr>
        <w:t>[2]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</w:r>
      <w:r w:rsidRPr="00635386">
        <w:rPr>
          <w:rFonts w:eastAsia="Times New Roman" w:cs="Times New Roman"/>
          <w:b/>
          <w:color w:val="000000"/>
          <w:sz w:val="20"/>
          <w:szCs w:val="20"/>
          <w:lang w:val="en-AU" w:bidi="en-US"/>
        </w:rPr>
        <w:t>Section S3—40</w:t>
      </w:r>
    </w:p>
    <w:p w14:paraId="7AE46D0C" w14:textId="77777777" w:rsidR="00635386" w:rsidRPr="00635386" w:rsidRDefault="00635386" w:rsidP="00635386">
      <w:pPr>
        <w:tabs>
          <w:tab w:val="left" w:pos="851"/>
        </w:tabs>
        <w:spacing w:before="120" w:after="120"/>
        <w:ind w:left="851"/>
        <w:rPr>
          <w:rFonts w:eastAsia="Times New Roman" w:cs="Times New Roman"/>
          <w:b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sz w:val="20"/>
          <w:szCs w:val="20"/>
          <w:lang w:val="en-AU" w:bidi="en-US"/>
        </w:rPr>
        <w:t xml:space="preserve">Omit “either </w:t>
      </w:r>
      <w:r w:rsidRPr="00635386">
        <w:rPr>
          <w:rFonts w:eastAsia="Times New Roman" w:cs="Times New Roman"/>
          <w:i/>
          <w:iCs/>
          <w:sz w:val="20"/>
          <w:szCs w:val="20"/>
          <w:lang w:val="en-AU" w:bidi="en-US"/>
        </w:rPr>
        <w:t>Helicobacter pylori</w:t>
      </w:r>
      <w:r w:rsidRPr="00635386">
        <w:rPr>
          <w:rFonts w:eastAsia="Times New Roman" w:cs="Times New Roman"/>
          <w:sz w:val="20"/>
          <w:szCs w:val="20"/>
          <w:lang w:val="en-AU" w:bidi="en-US"/>
        </w:rPr>
        <w:t xml:space="preserve"> or”, substitute “either </w:t>
      </w:r>
      <w:r w:rsidRPr="00635386">
        <w:rPr>
          <w:rFonts w:eastAsia="Times New Roman" w:cs="Times New Roman"/>
          <w:i/>
          <w:iCs/>
          <w:sz w:val="20"/>
          <w:szCs w:val="20"/>
          <w:lang w:val="en-AU" w:bidi="en-US"/>
        </w:rPr>
        <w:t xml:space="preserve">Helicobacter </w:t>
      </w:r>
      <w:proofErr w:type="spellStart"/>
      <w:r w:rsidRPr="00635386">
        <w:rPr>
          <w:rFonts w:eastAsia="Times New Roman" w:cs="Times New Roman"/>
          <w:i/>
          <w:iCs/>
          <w:sz w:val="20"/>
          <w:szCs w:val="20"/>
          <w:lang w:val="en-AU" w:bidi="en-US"/>
        </w:rPr>
        <w:t>enhydrae</w:t>
      </w:r>
      <w:proofErr w:type="spellEnd"/>
      <w:r w:rsidRPr="00635386">
        <w:rPr>
          <w:rFonts w:eastAsia="Times New Roman" w:cs="Times New Roman"/>
          <w:sz w:val="20"/>
          <w:szCs w:val="20"/>
          <w:lang w:val="en-AU" w:bidi="en-US"/>
        </w:rPr>
        <w:t xml:space="preserve">, </w:t>
      </w:r>
      <w:r w:rsidRPr="00635386">
        <w:rPr>
          <w:rFonts w:eastAsia="Times New Roman" w:cs="Times New Roman"/>
          <w:i/>
          <w:iCs/>
          <w:sz w:val="20"/>
          <w:szCs w:val="20"/>
          <w:lang w:val="en-AU" w:bidi="en-US"/>
        </w:rPr>
        <w:t>Helicobacter pylori</w:t>
      </w:r>
      <w:r w:rsidRPr="00635386">
        <w:rPr>
          <w:rFonts w:eastAsia="Times New Roman" w:cs="Times New Roman"/>
          <w:sz w:val="20"/>
          <w:szCs w:val="20"/>
          <w:lang w:val="en-AU" w:bidi="en-US"/>
        </w:rPr>
        <w:t xml:space="preserve">, or” </w:t>
      </w:r>
    </w:p>
    <w:p w14:paraId="28386C9B" w14:textId="77777777" w:rsidR="00635386" w:rsidRPr="00635386" w:rsidRDefault="00635386" w:rsidP="00635386">
      <w:pPr>
        <w:widowControl w:val="0"/>
        <w:tabs>
          <w:tab w:val="left" w:pos="1134"/>
          <w:tab w:val="left" w:pos="1701"/>
        </w:tabs>
        <w:spacing w:before="120" w:after="120"/>
        <w:rPr>
          <w:rFonts w:eastAsia="Times New Roman" w:cs="Arial"/>
          <w:b/>
          <w:iCs/>
          <w:sz w:val="20"/>
          <w:lang w:val="en-AU" w:eastAsia="en-AU" w:bidi="en-US"/>
        </w:rPr>
      </w:pPr>
    </w:p>
    <w:p w14:paraId="17AB4AE8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b/>
          <w:sz w:val="20"/>
          <w:szCs w:val="20"/>
          <w:lang w:val="en-AU" w:bidi="en-US"/>
        </w:rPr>
        <w:t>Schedule 26—Food produced using gene technology</w:t>
      </w:r>
    </w:p>
    <w:p w14:paraId="21655C88" w14:textId="77777777" w:rsidR="00635386" w:rsidRPr="00635386" w:rsidRDefault="00635386" w:rsidP="00635386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b/>
          <w:sz w:val="20"/>
          <w:szCs w:val="20"/>
          <w:lang w:val="en-AU" w:bidi="en-US"/>
        </w:rPr>
        <w:t xml:space="preserve">[3] </w:t>
      </w:r>
      <w:r w:rsidRPr="00635386">
        <w:rPr>
          <w:rFonts w:eastAsia="Times New Roman" w:cs="Times New Roman"/>
          <w:b/>
          <w:sz w:val="20"/>
          <w:szCs w:val="20"/>
          <w:lang w:val="en-AU"/>
        </w:rPr>
        <w:tab/>
      </w:r>
      <w:r w:rsidRPr="00635386">
        <w:rPr>
          <w:rFonts w:eastAsia="Times New Roman" w:cs="Times New Roman"/>
          <w:b/>
          <w:sz w:val="20"/>
          <w:szCs w:val="20"/>
          <w:lang w:val="en-AU" w:bidi="en-US"/>
        </w:rPr>
        <w:t>Subsection S26—3(7) (table item 1)</w:t>
      </w:r>
    </w:p>
    <w:p w14:paraId="489B945D" w14:textId="77777777" w:rsidR="00635386" w:rsidRPr="00635386" w:rsidRDefault="00635386" w:rsidP="00635386">
      <w:pPr>
        <w:tabs>
          <w:tab w:val="left" w:pos="851"/>
        </w:tabs>
        <w:spacing w:before="120" w:after="120"/>
        <w:rPr>
          <w:rFonts w:eastAsia="Times New Roman" w:cs="Times New Roman"/>
          <w:bCs/>
          <w:sz w:val="20"/>
          <w:szCs w:val="20"/>
          <w:lang w:val="en-AU" w:bidi="en-US"/>
        </w:rPr>
      </w:pPr>
      <w:r w:rsidRPr="00635386">
        <w:rPr>
          <w:rFonts w:eastAsia="Times New Roman" w:cs="Times New Roman"/>
          <w:bCs/>
          <w:sz w:val="20"/>
          <w:szCs w:val="20"/>
          <w:lang w:val="en-AU" w:bidi="en-US"/>
        </w:rPr>
        <w:tab/>
        <w:t>Insert:</w:t>
      </w:r>
    </w:p>
    <w:p w14:paraId="13978E27" w14:textId="77777777" w:rsidR="00635386" w:rsidRPr="00635386" w:rsidRDefault="00635386" w:rsidP="00635386">
      <w:pPr>
        <w:tabs>
          <w:tab w:val="left" w:pos="851"/>
        </w:tabs>
        <w:spacing w:before="120" w:after="120"/>
        <w:rPr>
          <w:rFonts w:eastAsia="Times New Roman" w:cs="Times New Roman"/>
          <w:bCs/>
          <w:sz w:val="20"/>
          <w:szCs w:val="20"/>
          <w:lang w:val="en-AU" w:bidi="en-US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008"/>
        <w:gridCol w:w="2743"/>
        <w:gridCol w:w="566"/>
        <w:gridCol w:w="2714"/>
      </w:tblGrid>
      <w:tr w:rsidR="00635386" w:rsidRPr="00635386" w14:paraId="3159C1DE" w14:textId="77777777" w:rsidTr="00635386">
        <w:trPr>
          <w:trHeight w:val="329"/>
        </w:trPr>
        <w:tc>
          <w:tcPr>
            <w:tcW w:w="329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23E4" w14:textId="77777777" w:rsidR="00635386" w:rsidRPr="00635386" w:rsidRDefault="00635386" w:rsidP="00635386">
            <w:pPr>
              <w:spacing w:before="60" w:after="60"/>
              <w:rPr>
                <w:rFonts w:eastAsia="Times New Roman" w:cs="Arial"/>
                <w:b/>
                <w:bCs/>
                <w:color w:val="000000"/>
                <w:sz w:val="20"/>
                <w:szCs w:val="24"/>
                <w:lang w:val="en-AU" w:eastAsia="en-AU" w:bidi="en-US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4BB" w14:textId="77777777" w:rsidR="00635386" w:rsidRPr="00635386" w:rsidRDefault="00635386" w:rsidP="00635386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b/>
                <w:bCs/>
                <w:sz w:val="20"/>
                <w:szCs w:val="20"/>
                <w:lang w:val="en-AU" w:eastAsia="en-AU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shd w:val="clear" w:color="auto" w:fill="FFFFFF"/>
            <w:hideMark/>
          </w:tcPr>
          <w:p w14:paraId="70BE3124" w14:textId="77777777" w:rsidR="00635386" w:rsidRPr="00635386" w:rsidRDefault="00635386" w:rsidP="00635386">
            <w:pPr>
              <w:keepLines/>
              <w:tabs>
                <w:tab w:val="right" w:pos="3969"/>
              </w:tabs>
              <w:spacing w:before="60" w:after="60"/>
              <w:ind w:left="340" w:hanging="340"/>
              <w:rPr>
                <w:rFonts w:eastAsia="Times New Roman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</w:pPr>
            <w:r w:rsidRPr="00635386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  <w:t>(d)</w:t>
            </w:r>
            <w:r w:rsidRPr="00635386">
              <w:rPr>
                <w:rFonts w:eastAsia="Times New Roman" w:cs="Arial"/>
                <w:color w:val="000000"/>
                <w:sz w:val="14"/>
                <w:szCs w:val="14"/>
                <w:shd w:val="clear" w:color="auto" w:fill="FFFFFF"/>
                <w:lang w:val="en-AU" w:eastAsia="en-AU"/>
              </w:rPr>
              <w:t>   </w:t>
            </w:r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  <w:t>Escherichia coli</w:t>
            </w:r>
            <w:r w:rsidRPr="00635386">
              <w:rPr>
                <w:rFonts w:eastAsia="Times New Roman" w:cs="Arial"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  <w:t> K-12 containing the gene for alpha-1,2-fucosyltransferase from </w:t>
            </w:r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  <w:t xml:space="preserve">Helicobacter </w:t>
            </w:r>
            <w:proofErr w:type="spellStart"/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AU" w:eastAsia="en-AU"/>
              </w:rPr>
              <w:t>enhydrae</w:t>
            </w:r>
            <w:proofErr w:type="spellEnd"/>
          </w:p>
          <w:p w14:paraId="4B7031E8" w14:textId="77777777" w:rsidR="00635386" w:rsidRPr="00635386" w:rsidRDefault="00635386" w:rsidP="00635386">
            <w:pPr>
              <w:keepLines/>
              <w:tabs>
                <w:tab w:val="right" w:pos="3969"/>
              </w:tabs>
              <w:spacing w:before="60" w:after="60"/>
              <w:ind w:left="113"/>
              <w:rPr>
                <w:rFonts w:eastAsia="Times New Roman" w:cs="Arial"/>
                <w:i/>
                <w:iCs/>
                <w:sz w:val="20"/>
                <w:szCs w:val="20"/>
                <w:lang w:val="en-AU" w:eastAsia="en-AU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66A0" w14:textId="77777777" w:rsidR="00635386" w:rsidRPr="00635386" w:rsidRDefault="00635386" w:rsidP="00635386">
            <w:pPr>
              <w:spacing w:before="60" w:after="60"/>
              <w:ind w:right="36"/>
              <w:rPr>
                <w:rFonts w:eastAsia="Times New Roman" w:cs="Arial"/>
                <w:color w:val="000000"/>
                <w:sz w:val="20"/>
                <w:szCs w:val="24"/>
                <w:lang w:val="en-AU" w:eastAsia="en-AU" w:bidi="en-US"/>
              </w:rPr>
            </w:pP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 </w:t>
            </w:r>
          </w:p>
        </w:tc>
        <w:tc>
          <w:tcPr>
            <w:tcW w:w="2714" w:type="dxa"/>
            <w:tcBorders>
              <w:left w:val="nil"/>
              <w:right w:val="nil"/>
            </w:tcBorders>
            <w:shd w:val="clear" w:color="auto" w:fill="FFFFFF"/>
            <w:hideMark/>
          </w:tcPr>
          <w:p w14:paraId="2A68DDB2" w14:textId="77777777" w:rsidR="00635386" w:rsidRPr="00635386" w:rsidRDefault="00635386" w:rsidP="00635386">
            <w:pPr>
              <w:widowControl w:val="0"/>
              <w:numPr>
                <w:ilvl w:val="0"/>
                <w:numId w:val="14"/>
              </w:numPr>
              <w:spacing w:after="60"/>
              <w:ind w:left="339" w:right="34" w:hanging="339"/>
              <w:contextualSpacing/>
              <w:rPr>
                <w:rFonts w:eastAsia="Calibri" w:cs="Arial"/>
                <w:sz w:val="18"/>
                <w:szCs w:val="18"/>
                <w:lang w:val="en-AU" w:eastAsia="en-GB" w:bidi="en-US"/>
              </w:rPr>
            </w:pPr>
            <w:r w:rsidRPr="00635386">
              <w:rPr>
                <w:rFonts w:eastAsia="Times New Roman" w:cs="Times New Roman"/>
                <w:sz w:val="18"/>
                <w:szCs w:val="18"/>
                <w:lang w:val="en-AU" w:bidi="en-US"/>
              </w:rPr>
              <w:t>May only be added to infant formula products.</w:t>
            </w:r>
          </w:p>
          <w:p w14:paraId="140DB9C7" w14:textId="77777777" w:rsidR="00635386" w:rsidRPr="00635386" w:rsidRDefault="00635386" w:rsidP="00635386">
            <w:pPr>
              <w:widowControl w:val="0"/>
              <w:numPr>
                <w:ilvl w:val="0"/>
                <w:numId w:val="14"/>
              </w:numPr>
              <w:spacing w:after="60"/>
              <w:ind w:left="339" w:right="34" w:hanging="339"/>
              <w:contextualSpacing/>
              <w:rPr>
                <w:rFonts w:eastAsia="Calibri" w:cs="Arial"/>
                <w:sz w:val="18"/>
                <w:szCs w:val="18"/>
                <w:lang w:val="en-AU" w:eastAsia="en-GB" w:bidi="en-US"/>
              </w:rPr>
            </w:pPr>
            <w:r w:rsidRPr="00635386">
              <w:rPr>
                <w:rFonts w:eastAsia="Calibri" w:cs="Arial"/>
                <w:sz w:val="18"/>
                <w:szCs w:val="18"/>
                <w:lang w:val="en-AU" w:bidi="en-US"/>
              </w:rPr>
              <w:t>During the exclusive use period, may only be sold under the brand</w:t>
            </w:r>
            <w:r w:rsidRPr="00635386">
              <w:rPr>
                <w:rFonts w:eastAsia="Calibri" w:cs="Arial"/>
                <w:i/>
                <w:iCs/>
                <w:sz w:val="18"/>
                <w:szCs w:val="18"/>
                <w:lang w:val="en-AU" w:bidi="en-US"/>
              </w:rPr>
              <w:t xml:space="preserve"> </w:t>
            </w:r>
            <w:r w:rsidRPr="00635386">
              <w:rPr>
                <w:rFonts w:eastAsia="Arial" w:cs="Arial"/>
                <w:color w:val="000000"/>
                <w:sz w:val="18"/>
                <w:szCs w:val="18"/>
                <w:lang w:val="en-AU" w:bidi="en-US"/>
              </w:rPr>
              <w:t>2′-FL-</w:t>
            </w:r>
            <w:r w:rsidRPr="00635386">
              <w:rPr>
                <w:rFonts w:eastAsia="Calibri" w:cs="Arial"/>
                <w:sz w:val="18"/>
                <w:szCs w:val="18"/>
                <w:lang w:val="en-AU" w:bidi="en-US"/>
              </w:rPr>
              <w:t>Inbiose.</w:t>
            </w:r>
          </w:p>
          <w:p w14:paraId="6D9CBF0A" w14:textId="77777777" w:rsidR="00635386" w:rsidRPr="00635386" w:rsidRDefault="00635386" w:rsidP="00635386">
            <w:pPr>
              <w:widowControl w:val="0"/>
              <w:numPr>
                <w:ilvl w:val="0"/>
                <w:numId w:val="14"/>
              </w:numPr>
              <w:spacing w:after="60"/>
              <w:ind w:left="339" w:right="34" w:hanging="339"/>
              <w:contextualSpacing/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</w:pP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For the purposes of condition 2 above, </w:t>
            </w:r>
            <w:r w:rsidRPr="0063538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AU" w:eastAsia="en-AU" w:bidi="en-US"/>
              </w:rPr>
              <w:t>exclusive use period</w:t>
            </w: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 means the period commencing on the date of gazettal of the </w:t>
            </w:r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AU" w:eastAsia="en-AU" w:bidi="en-US"/>
              </w:rPr>
              <w:t xml:space="preserve">Food Standards (Application A1277 – </w:t>
            </w:r>
            <w:r w:rsidRPr="00635386">
              <w:rPr>
                <w:rFonts w:eastAsia="Arial" w:cs="Arial"/>
                <w:i/>
                <w:iCs/>
                <w:color w:val="000000"/>
                <w:sz w:val="18"/>
                <w:szCs w:val="18"/>
                <w:lang w:val="en-AU" w:bidi="en-US"/>
              </w:rPr>
              <w:t>2′-FL</w:t>
            </w:r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AU" w:eastAsia="en-AU" w:bidi="en-US"/>
              </w:rPr>
              <w:t xml:space="preserve"> from GM </w:t>
            </w: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Escherichia coli</w:t>
            </w:r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AU" w:eastAsia="en-AU" w:bidi="en-US"/>
              </w:rPr>
              <w:t xml:space="preserve"> K-12 (gene donor: </w:t>
            </w: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 xml:space="preserve">Helicobacter </w:t>
            </w:r>
            <w:proofErr w:type="spellStart"/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enhydrae</w:t>
            </w:r>
            <w:proofErr w:type="spellEnd"/>
            <w:r w:rsidRPr="00635386"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AU" w:eastAsia="en-AU" w:bidi="en-US"/>
              </w:rPr>
              <w:t>) in infant formula products) Variation</w:t>
            </w:r>
            <w:r w:rsidRPr="00635386"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  <w:t> and ending 15 months after that date.</w:t>
            </w:r>
          </w:p>
        </w:tc>
      </w:tr>
    </w:tbl>
    <w:p w14:paraId="5B6F3664" w14:textId="77777777" w:rsidR="00635386" w:rsidRPr="00635386" w:rsidRDefault="00635386" w:rsidP="00635386">
      <w:pPr>
        <w:widowControl w:val="0"/>
        <w:rPr>
          <w:rFonts w:eastAsia="Times New Roman" w:cs="Times New Roman"/>
          <w:szCs w:val="24"/>
          <w:lang w:val="en-AU" w:bidi="en-US"/>
        </w:rPr>
      </w:pPr>
    </w:p>
    <w:p w14:paraId="548684E0" w14:textId="77777777" w:rsidR="00635386" w:rsidRPr="00635386" w:rsidRDefault="00635386" w:rsidP="00635386">
      <w:pPr>
        <w:widowControl w:val="0"/>
        <w:rPr>
          <w:rFonts w:eastAsia="Times New Roman" w:cs="Times New Roman"/>
          <w:szCs w:val="24"/>
          <w:lang w:val="en-AU" w:bidi="en-US"/>
        </w:rPr>
      </w:pPr>
    </w:p>
    <w:p w14:paraId="148EA6B8" w14:textId="0D2FB8E2" w:rsidR="00D5526B" w:rsidRPr="003A01FB" w:rsidRDefault="00D5526B" w:rsidP="00635386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F2A7" w14:textId="77777777" w:rsidR="00635386" w:rsidRDefault="00635386" w:rsidP="00635386">
      <w:r>
        <w:separator/>
      </w:r>
    </w:p>
  </w:endnote>
  <w:endnote w:type="continuationSeparator" w:id="0">
    <w:p w14:paraId="493C23A9" w14:textId="77777777" w:rsidR="00635386" w:rsidRDefault="00635386" w:rsidP="006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8BE1" w14:textId="77777777" w:rsidR="00FA7C25" w:rsidRDefault="00FA7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CA19" w14:textId="77777777" w:rsidR="00FA7C25" w:rsidRDefault="00FA7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18E2" w14:textId="77777777" w:rsidR="00FA7C25" w:rsidRDefault="00FA7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476" w14:textId="77777777" w:rsidR="00635386" w:rsidRDefault="00635386" w:rsidP="00635386">
      <w:r>
        <w:separator/>
      </w:r>
    </w:p>
  </w:footnote>
  <w:footnote w:type="continuationSeparator" w:id="0">
    <w:p w14:paraId="60745133" w14:textId="77777777" w:rsidR="00635386" w:rsidRDefault="00635386" w:rsidP="0063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EBFA" w14:textId="77777777" w:rsidR="00FA7C25" w:rsidRDefault="00FA7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BD4B" w14:textId="77777777" w:rsidR="00FA7C25" w:rsidRDefault="00FA7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7038" w14:textId="77777777" w:rsidR="00FA7C25" w:rsidRDefault="00FA7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0ACD"/>
    <w:multiLevelType w:val="hybridMultilevel"/>
    <w:tmpl w:val="E198004E"/>
    <w:lvl w:ilvl="0" w:tplc="E372214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463767089">
    <w:abstractNumId w:val="0"/>
  </w:num>
  <w:num w:numId="2" w16cid:durableId="511915576">
    <w:abstractNumId w:val="0"/>
  </w:num>
  <w:num w:numId="3" w16cid:durableId="1475873847">
    <w:abstractNumId w:val="0"/>
  </w:num>
  <w:num w:numId="4" w16cid:durableId="1550914561">
    <w:abstractNumId w:val="0"/>
  </w:num>
  <w:num w:numId="5" w16cid:durableId="1541741857">
    <w:abstractNumId w:val="0"/>
  </w:num>
  <w:num w:numId="6" w16cid:durableId="409617721">
    <w:abstractNumId w:val="0"/>
  </w:num>
  <w:num w:numId="7" w16cid:durableId="901451666">
    <w:abstractNumId w:val="0"/>
  </w:num>
  <w:num w:numId="8" w16cid:durableId="1713534792">
    <w:abstractNumId w:val="4"/>
  </w:num>
  <w:num w:numId="9" w16cid:durableId="1854030346">
    <w:abstractNumId w:val="1"/>
  </w:num>
  <w:num w:numId="10" w16cid:durableId="643588156">
    <w:abstractNumId w:val="2"/>
  </w:num>
  <w:num w:numId="11" w16cid:durableId="1760758712">
    <w:abstractNumId w:val="4"/>
  </w:num>
  <w:num w:numId="12" w16cid:durableId="988442006">
    <w:abstractNumId w:val="1"/>
  </w:num>
  <w:num w:numId="13" w16cid:durableId="1529413679">
    <w:abstractNumId w:val="2"/>
  </w:num>
  <w:num w:numId="14" w16cid:durableId="319191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86"/>
    <w:rsid w:val="0000542C"/>
    <w:rsid w:val="00041643"/>
    <w:rsid w:val="000622E7"/>
    <w:rsid w:val="00066854"/>
    <w:rsid w:val="00066D85"/>
    <w:rsid w:val="000A38F8"/>
    <w:rsid w:val="000C5E8C"/>
    <w:rsid w:val="000F2196"/>
    <w:rsid w:val="00166D1A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3538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C21B3"/>
    <w:rsid w:val="008E2339"/>
    <w:rsid w:val="00935023"/>
    <w:rsid w:val="009806A5"/>
    <w:rsid w:val="009A6447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436DF"/>
    <w:rsid w:val="00E53ACA"/>
    <w:rsid w:val="00E9409E"/>
    <w:rsid w:val="00EC65E9"/>
    <w:rsid w:val="00F4105E"/>
    <w:rsid w:val="00F616DA"/>
    <w:rsid w:val="00F76F95"/>
    <w:rsid w:val="00FA7C2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CEDB61"/>
  <w15:chartTrackingRefBased/>
  <w15:docId w15:val="{9ABDD073-8F9F-4D4B-A741-4FF963B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F9478-FDDB-4D8D-B3A7-315AAFFD7B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65CED-BB39-48F6-A446-12F295EA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FC8CB-F29F-4361-927C-A1B582C52151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7F59E3B7-8B99-4E3C-A84E-6EDA931DF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0</DocSecurity>
  <Lines>80</Lines>
  <Paragraphs>26</Paragraphs>
  <ScaleCrop>false</ScaleCrop>
  <Company>Food Standards Australia New Zealand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7</cp:revision>
  <dcterms:created xsi:type="dcterms:W3CDTF">2024-05-16T04:35:00Z</dcterms:created>
  <dcterms:modified xsi:type="dcterms:W3CDTF">2024-05-23T22:31:00Z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v=2022.1;a=SHA256;h=4BCAA9D7352FD002B2EB2591BD86EE31E339F175658B8072C1141702D12B8E59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2024-05-23T22:31:17Z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E5C6E644E00245C5B7A3CC41B5465F06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C300FE9086B4BDF356FFC573421370AE</vt:lpwstr>
  </property>
  <property fmtid="{D5CDD505-2E9C-101B-9397-08002B2CF9AE}" pid="25" name="PM_Hash_Salt">
    <vt:lpwstr>973136DAF8D6C01D02978D1E534E5BA8</vt:lpwstr>
  </property>
  <property fmtid="{D5CDD505-2E9C-101B-9397-08002B2CF9AE}" pid="26" name="PM_Hash_SHA1">
    <vt:lpwstr>BEAF1FC44C0685571876F1988627B6EE436D7799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Data_x0020_Privacy">
    <vt:lpwstr/>
  </property>
  <property fmtid="{D5CDD505-2E9C-101B-9397-08002B2CF9AE}" pid="31" name="Access">
    <vt:lpwstr/>
  </property>
  <property fmtid="{D5CDD505-2E9C-101B-9397-08002B2CF9AE}" pid="32" name="Classification">
    <vt:lpwstr>1;#OFFICIAL|3776503d-ed4e-4d70-8dfd-8e17b238523b</vt:lpwstr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