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56375" w14:textId="77777777" w:rsidR="00A64BB6" w:rsidRPr="00E969B7" w:rsidRDefault="00A64BB6" w:rsidP="00A64BB6">
      <w:pPr>
        <w:pStyle w:val="ESTitleHeader"/>
      </w:pPr>
      <w:r w:rsidRPr="00E969B7">
        <w:t>EXPLANATORY STATEMENT</w:t>
      </w:r>
    </w:p>
    <w:p w14:paraId="40757045" w14:textId="77777777" w:rsidR="00A64BB6" w:rsidRPr="00E969B7" w:rsidRDefault="00A64BB6" w:rsidP="00A64BB6">
      <w:pPr>
        <w:pStyle w:val="ESTitleDecisionMaker"/>
      </w:pPr>
      <w:r w:rsidRPr="00E969B7">
        <w:t>Issued by authority of the Minister for Immigration, Citizenship and Multicultural Affairs</w:t>
      </w:r>
    </w:p>
    <w:p w14:paraId="7460EF10" w14:textId="77777777" w:rsidR="00A64BB6" w:rsidRPr="00E969B7" w:rsidRDefault="00A64BB6" w:rsidP="00A64BB6">
      <w:pPr>
        <w:pStyle w:val="ESTitleEnablingLegislation"/>
      </w:pPr>
      <w:r w:rsidRPr="00E969B7">
        <w:t>Migration Regulations 1994</w:t>
      </w:r>
    </w:p>
    <w:p w14:paraId="45C03D83" w14:textId="77777777" w:rsidR="00777264" w:rsidRPr="00E969B7" w:rsidRDefault="00D84361" w:rsidP="00777264">
      <w:pPr>
        <w:pStyle w:val="ESHeading"/>
        <w:jc w:val="center"/>
      </w:pPr>
      <w:r w:rsidRPr="00E969B7">
        <w:t>Migration (LIN 19/198: Evidence of financial capacity—Subclass 500 Visa and Subclass 590 Visa) Amendment (LIN 24/042) Specification 2024</w:t>
      </w:r>
    </w:p>
    <w:p w14:paraId="7B049870" w14:textId="77777777" w:rsidR="00A64BB6" w:rsidRPr="00E969B7" w:rsidRDefault="00A64BB6" w:rsidP="00181BA6">
      <w:pPr>
        <w:pStyle w:val="ESSubparaHeader"/>
        <w:ind w:left="567" w:hanging="425"/>
      </w:pPr>
      <w:r w:rsidRPr="00E969B7">
        <w:t xml:space="preserve">The instrument, </w:t>
      </w:r>
      <w:r w:rsidR="00AA7620" w:rsidRPr="00E969B7">
        <w:t>d</w:t>
      </w:r>
      <w:r w:rsidRPr="00E969B7">
        <w:t>epartmental reference LIN 2</w:t>
      </w:r>
      <w:r w:rsidR="00A1082F" w:rsidRPr="00E969B7">
        <w:t>4</w:t>
      </w:r>
      <w:r w:rsidRPr="00E969B7">
        <w:t>/</w:t>
      </w:r>
      <w:r w:rsidR="00596138" w:rsidRPr="00E969B7">
        <w:t>042</w:t>
      </w:r>
      <w:r w:rsidRPr="00E969B7">
        <w:t xml:space="preserve">, is made under </w:t>
      </w:r>
      <w:r w:rsidR="00A1259E" w:rsidRPr="00E969B7">
        <w:t xml:space="preserve">subclauses 500.214(4), 500.313(4) and 590.216(4) of Schedule 2 to </w:t>
      </w:r>
      <w:r w:rsidRPr="00E969B7">
        <w:t xml:space="preserve">the </w:t>
      </w:r>
      <w:r w:rsidRPr="00E969B7">
        <w:rPr>
          <w:i/>
        </w:rPr>
        <w:t>Migration Regulations 1994</w:t>
      </w:r>
      <w:r w:rsidRPr="00E969B7">
        <w:t xml:space="preserve"> (the Migration Regulations).</w:t>
      </w:r>
    </w:p>
    <w:p w14:paraId="7A58F652" w14:textId="77777777" w:rsidR="00A64BB6" w:rsidRPr="00E969B7" w:rsidRDefault="00A64BB6" w:rsidP="00A64BB6">
      <w:pPr>
        <w:pStyle w:val="ESSubparaHeader"/>
        <w:ind w:left="567" w:hanging="425"/>
      </w:pPr>
      <w:r w:rsidRPr="00E969B7">
        <w:t xml:space="preserve">The instrument </w:t>
      </w:r>
      <w:r w:rsidR="00B17A6A" w:rsidRPr="00E969B7">
        <w:t>amends</w:t>
      </w:r>
      <w:r w:rsidRPr="00E969B7">
        <w:t xml:space="preserve"> </w:t>
      </w:r>
      <w:r w:rsidRPr="00E969B7">
        <w:rPr>
          <w:i/>
        </w:rPr>
        <w:t>Migration (LIN 19/198: Evidence of financial capacity—Subclass 500 Visa and Subclass 590 Visa) Instrument 2019</w:t>
      </w:r>
      <w:r w:rsidRPr="00E969B7">
        <w:t xml:space="preserve"> (LIN 19/198) (F2019L01366)</w:t>
      </w:r>
      <w:r w:rsidR="00976985" w:rsidRPr="00E969B7">
        <w:t>. S</w:t>
      </w:r>
      <w:r w:rsidRPr="00E969B7">
        <w:t xml:space="preserve">ubsection 33(3) of the </w:t>
      </w:r>
      <w:r w:rsidRPr="00E969B7">
        <w:rPr>
          <w:i/>
        </w:rPr>
        <w:t>Acts Interpretation Act 1901</w:t>
      </w:r>
      <w:r w:rsidR="00976985" w:rsidRPr="00E969B7">
        <w:t xml:space="preserve"> relevantly</w:t>
      </w:r>
      <w:r w:rsidRPr="00E969B7">
        <w:t xml:space="preserve"> provides that a power to make a legislative instrument </w:t>
      </w:r>
      <w:proofErr w:type="gramStart"/>
      <w:r w:rsidRPr="00E969B7">
        <w:t>includes</w:t>
      </w:r>
      <w:proofErr w:type="gramEnd"/>
      <w:r w:rsidRPr="00E969B7">
        <w:t xml:space="preserve"> a power to amend or repeal that instrument in the same manner, and subject to the same conditions, as the power to make the instrument</w:t>
      </w:r>
      <w:r w:rsidR="00976985" w:rsidRPr="00E969B7">
        <w:t>.</w:t>
      </w:r>
    </w:p>
    <w:p w14:paraId="41EEAEE3" w14:textId="77777777" w:rsidR="00BE133F" w:rsidRPr="00E969B7" w:rsidRDefault="00A64BB6" w:rsidP="00A64BE8">
      <w:pPr>
        <w:pStyle w:val="ESSubparaHeader"/>
        <w:ind w:left="567" w:hanging="425"/>
      </w:pPr>
      <w:r w:rsidRPr="00E969B7">
        <w:t>The instrument commences</w:t>
      </w:r>
      <w:r w:rsidR="00BD5A8D" w:rsidRPr="00E969B7">
        <w:t xml:space="preserve"> on</w:t>
      </w:r>
      <w:r w:rsidRPr="00E969B7">
        <w:t xml:space="preserve"> </w:t>
      </w:r>
      <w:r w:rsidR="00A1259E" w:rsidRPr="00E969B7">
        <w:t>the day after the instrument is registered. It</w:t>
      </w:r>
      <w:r w:rsidRPr="00E969B7">
        <w:t xml:space="preserve"> is a legislative instrument for the</w:t>
      </w:r>
      <w:r w:rsidR="005A40AD" w:rsidRPr="00E969B7">
        <w:t xml:space="preserve"> purposes of the</w:t>
      </w:r>
      <w:r w:rsidRPr="00E969B7">
        <w:t xml:space="preserve"> </w:t>
      </w:r>
      <w:r w:rsidRPr="00E969B7">
        <w:rPr>
          <w:i/>
        </w:rPr>
        <w:t>Legislation Act 2003</w:t>
      </w:r>
      <w:r w:rsidRPr="00E969B7">
        <w:t xml:space="preserve"> (the Legislation Act)</w:t>
      </w:r>
      <w:r w:rsidR="00976985" w:rsidRPr="00E969B7">
        <w:t>.</w:t>
      </w:r>
    </w:p>
    <w:p w14:paraId="7CB8011E" w14:textId="77777777" w:rsidR="00A64BE8" w:rsidRPr="00E969B7" w:rsidRDefault="00A64BE8" w:rsidP="00A64BE8">
      <w:pPr>
        <w:pStyle w:val="ESSubparaList"/>
        <w:numPr>
          <w:ilvl w:val="0"/>
          <w:numId w:val="0"/>
        </w:numPr>
        <w:rPr>
          <w:b/>
          <w:i/>
        </w:rPr>
      </w:pPr>
      <w:r w:rsidRPr="00E969B7">
        <w:rPr>
          <w:b/>
          <w:i/>
        </w:rPr>
        <w:t>Purpose</w:t>
      </w:r>
    </w:p>
    <w:p w14:paraId="3A0FE71E" w14:textId="77777777" w:rsidR="003311BD" w:rsidRPr="00E969B7" w:rsidRDefault="00A853EE" w:rsidP="00A4372A">
      <w:pPr>
        <w:pStyle w:val="ESSubparaHeader"/>
        <w:ind w:left="567" w:hanging="425"/>
        <w:rPr>
          <w:rStyle w:val="ui-provider"/>
        </w:rPr>
      </w:pPr>
      <w:r w:rsidRPr="00E969B7">
        <w:t>LIN 19/198</w:t>
      </w:r>
      <w:r w:rsidR="003311BD" w:rsidRPr="00E969B7">
        <w:t xml:space="preserve"> specifies</w:t>
      </w:r>
      <w:r w:rsidR="007D2916" w:rsidRPr="00E969B7">
        <w:t xml:space="preserve">, </w:t>
      </w:r>
      <w:r w:rsidR="001D3E8E" w:rsidRPr="00E969B7">
        <w:t>for</w:t>
      </w:r>
      <w:r w:rsidR="007D2916" w:rsidRPr="00E969B7">
        <w:t xml:space="preserve"> </w:t>
      </w:r>
      <w:r w:rsidR="004407AB" w:rsidRPr="00E969B7">
        <w:t xml:space="preserve">the purposes of </w:t>
      </w:r>
      <w:r w:rsidR="007D2916" w:rsidRPr="00E969B7">
        <w:t>subclauses 500.214(</w:t>
      </w:r>
      <w:r w:rsidR="004407AB" w:rsidRPr="00E969B7">
        <w:t>3</w:t>
      </w:r>
      <w:r w:rsidR="007D2916" w:rsidRPr="00E969B7">
        <w:t>), 500.313(</w:t>
      </w:r>
      <w:r w:rsidR="004407AB" w:rsidRPr="00E969B7">
        <w:t>3</w:t>
      </w:r>
      <w:r w:rsidR="007D2916" w:rsidRPr="00E969B7">
        <w:t>)</w:t>
      </w:r>
      <w:r w:rsidR="00976985" w:rsidRPr="00E969B7">
        <w:t xml:space="preserve"> and 590.216(</w:t>
      </w:r>
      <w:r w:rsidR="004407AB" w:rsidRPr="00E969B7">
        <w:t>3</w:t>
      </w:r>
      <w:r w:rsidR="00976985" w:rsidRPr="00E969B7">
        <w:t>) of Schedule 2 to</w:t>
      </w:r>
      <w:r w:rsidR="007D2916" w:rsidRPr="00E969B7">
        <w:t xml:space="preserve"> the Migration Regulations,</w:t>
      </w:r>
      <w:r w:rsidR="003311BD" w:rsidRPr="00E969B7">
        <w:t xml:space="preserve"> the requirements for</w:t>
      </w:r>
      <w:r w:rsidR="007D2916" w:rsidRPr="00E969B7">
        <w:t xml:space="preserve"> evidence of financial capacity t</w:t>
      </w:r>
      <w:r w:rsidR="007D2916" w:rsidRPr="00E969B7">
        <w:rPr>
          <w:rStyle w:val="ui-provider"/>
        </w:rPr>
        <w:t>hat must be given by an applicant for a Subclass 500 (Student) visa (Subclass 500 visa) or Subclass 590 (Student Guardian) visa (Subclass 590 visa), if required to do so.</w:t>
      </w:r>
    </w:p>
    <w:p w14:paraId="0F223042" w14:textId="2A75D6D3" w:rsidR="004407AB" w:rsidRPr="00E969B7" w:rsidRDefault="004407AB" w:rsidP="00A4372A">
      <w:pPr>
        <w:pStyle w:val="ESSubparaHeader"/>
        <w:ind w:left="567" w:hanging="425"/>
      </w:pPr>
      <w:proofErr w:type="gramStart"/>
      <w:r w:rsidRPr="00E969B7">
        <w:t>Subclauses 500.214(3), 500.313(</w:t>
      </w:r>
      <w:r w:rsidR="007909EE">
        <w:t>3) and 590.216</w:t>
      </w:r>
      <w:r w:rsidRPr="00E969B7">
        <w:t>(3) provide that, if required to do so by the Minister, in writing or by use of a computer program available online, an applicant seeking to satisfy the primary criteria for a Subclass 500 visa, the secondary criteria for a Subclass 500 visa or the primary criteria for a Subclass 590 visa, respectively, must give the Minister evidence of financial capacity that satisfies the requirements specified in an instrument made under subclause 500.214(4), 500.313(4) or 590.216(4), as appropriate.</w:t>
      </w:r>
      <w:proofErr w:type="gramEnd"/>
      <w:r w:rsidRPr="00E969B7">
        <w:t xml:space="preserve">   </w:t>
      </w:r>
    </w:p>
    <w:p w14:paraId="2DA21CF5" w14:textId="77777777" w:rsidR="009B48C9" w:rsidRPr="00E969B7" w:rsidRDefault="00A853EE" w:rsidP="00A4372A">
      <w:pPr>
        <w:pStyle w:val="ESSubparaHeader"/>
        <w:ind w:left="567" w:hanging="425"/>
      </w:pPr>
      <w:r w:rsidRPr="00E969B7">
        <w:t xml:space="preserve">The requirements </w:t>
      </w:r>
      <w:r w:rsidR="004407AB" w:rsidRPr="00E969B7">
        <w:t xml:space="preserve">specified in LIN 19/198 </w:t>
      </w:r>
      <w:r w:rsidRPr="00E969B7">
        <w:t>include</w:t>
      </w:r>
      <w:r w:rsidR="005A40AD" w:rsidRPr="00E969B7">
        <w:t>, in Australian dollars (AUD),</w:t>
      </w:r>
      <w:r w:rsidRPr="00E969B7">
        <w:t xml:space="preserve"> the amount of funds </w:t>
      </w:r>
      <w:proofErr w:type="gramStart"/>
      <w:r w:rsidRPr="00E969B7">
        <w:t>required to be evidenced</w:t>
      </w:r>
      <w:proofErr w:type="gramEnd"/>
      <w:r w:rsidRPr="00E969B7">
        <w:t xml:space="preserve"> by an applicant seeking to satisfy the primary criteria for the grant of a Subclass 500 visa, secondary criteria for the grant of a Subclass 500 visa, or primary criteria for the grant of a Subcla</w:t>
      </w:r>
      <w:r w:rsidR="007D2916" w:rsidRPr="00E969B7">
        <w:t xml:space="preserve">ss 590 visa. </w:t>
      </w:r>
      <w:r w:rsidR="0039097C" w:rsidRPr="00E969B7">
        <w:t xml:space="preserve">These figures </w:t>
      </w:r>
      <w:proofErr w:type="gramStart"/>
      <w:r w:rsidR="0039097C" w:rsidRPr="00E969B7">
        <w:t>were last updated</w:t>
      </w:r>
      <w:proofErr w:type="gramEnd"/>
      <w:r w:rsidR="0039097C" w:rsidRPr="00E969B7">
        <w:t xml:space="preserve"> </w:t>
      </w:r>
      <w:r w:rsidR="00F66E36" w:rsidRPr="00E969B7">
        <w:t xml:space="preserve">on 1 </w:t>
      </w:r>
      <w:r w:rsidR="0072152D" w:rsidRPr="00E969B7">
        <w:t xml:space="preserve">October </w:t>
      </w:r>
      <w:r w:rsidR="00A1082F" w:rsidRPr="00E969B7">
        <w:t>2023</w:t>
      </w:r>
      <w:r w:rsidR="0039097C" w:rsidRPr="00E969B7">
        <w:t>.</w:t>
      </w:r>
    </w:p>
    <w:p w14:paraId="3F3DB9B2" w14:textId="77777777" w:rsidR="009B48C9" w:rsidRPr="00E969B7" w:rsidRDefault="00A853EE" w:rsidP="00A4372A">
      <w:pPr>
        <w:pStyle w:val="ESSubparaHeader"/>
        <w:ind w:left="567" w:hanging="425"/>
      </w:pPr>
      <w:r w:rsidRPr="00E969B7">
        <w:t>The purpose of LIN 2</w:t>
      </w:r>
      <w:r w:rsidR="00A1082F" w:rsidRPr="00E969B7">
        <w:t>4</w:t>
      </w:r>
      <w:r w:rsidRPr="00E969B7">
        <w:t>/</w:t>
      </w:r>
      <w:r w:rsidR="00596138" w:rsidRPr="00E969B7">
        <w:t>042</w:t>
      </w:r>
      <w:r w:rsidR="00A1082F" w:rsidRPr="00E969B7">
        <w:t xml:space="preserve"> </w:t>
      </w:r>
      <w:r w:rsidRPr="00E969B7">
        <w:t xml:space="preserve">is to amend LIN 19/198 to </w:t>
      </w:r>
      <w:r w:rsidR="001D3E8E" w:rsidRPr="00E969B7">
        <w:t>revise and increase</w:t>
      </w:r>
      <w:r w:rsidRPr="00E969B7">
        <w:t xml:space="preserve"> the amount of funds </w:t>
      </w:r>
      <w:proofErr w:type="gramStart"/>
      <w:r w:rsidRPr="00E969B7">
        <w:t>required to be evidenced</w:t>
      </w:r>
      <w:proofErr w:type="gramEnd"/>
      <w:r w:rsidRPr="00E969B7">
        <w:t xml:space="preserve"> by a Subclass 500 visa applicant or Subclass 590 visa applicant, to reflect </w:t>
      </w:r>
      <w:r w:rsidR="003536B5" w:rsidRPr="00E969B7">
        <w:lastRenderedPageBreak/>
        <w:t xml:space="preserve">the current </w:t>
      </w:r>
      <w:r w:rsidRPr="00E969B7">
        <w:t xml:space="preserve">cost of living pressures </w:t>
      </w:r>
      <w:r w:rsidR="003A0DED" w:rsidRPr="00E969B7">
        <w:t>these</w:t>
      </w:r>
      <w:r w:rsidRPr="00E969B7">
        <w:t xml:space="preserve"> visa holders will be subject to once they arrive in Australia. </w:t>
      </w:r>
    </w:p>
    <w:p w14:paraId="3E09C193" w14:textId="77777777" w:rsidR="002319B4" w:rsidRPr="00E969B7" w:rsidRDefault="002319B4" w:rsidP="00A4372A">
      <w:pPr>
        <w:pStyle w:val="ESSubparaHeader"/>
        <w:ind w:left="567" w:hanging="425"/>
      </w:pPr>
      <w:r w:rsidRPr="00E969B7">
        <w:t xml:space="preserve">Previously, these figures </w:t>
      </w:r>
      <w:proofErr w:type="gramStart"/>
      <w:r w:rsidRPr="00E969B7">
        <w:t>were adjusted</w:t>
      </w:r>
      <w:proofErr w:type="gramEnd"/>
      <w:r w:rsidRPr="00E969B7">
        <w:t xml:space="preserve"> based on the Consumer Price Index (CPI). This has been the accepted methodology since the 2011 Strategic Review of the Student Visa Program (Knight Review).</w:t>
      </w:r>
    </w:p>
    <w:p w14:paraId="1753EB10" w14:textId="77777777" w:rsidR="00115E61" w:rsidRPr="00E969B7" w:rsidRDefault="006048EF" w:rsidP="00A4372A">
      <w:pPr>
        <w:pStyle w:val="ESSubparaHeader"/>
        <w:ind w:left="567" w:hanging="425"/>
      </w:pPr>
      <w:r w:rsidRPr="00E969B7">
        <w:t>Previous s</w:t>
      </w:r>
      <w:r w:rsidR="009B48C9" w:rsidRPr="00E969B7">
        <w:t xml:space="preserve">takeholder feedback through the Education Visa Consultative Committee (EVCC) indicated the </w:t>
      </w:r>
      <w:r w:rsidR="00031A3B" w:rsidRPr="00E969B7">
        <w:t>CPI</w:t>
      </w:r>
      <w:r w:rsidR="009B48C9" w:rsidRPr="00E969B7">
        <w:t xml:space="preserve"> methodology </w:t>
      </w:r>
      <w:r w:rsidR="001E130B" w:rsidRPr="00E969B7">
        <w:t>for calculating financial capacity requirement</w:t>
      </w:r>
      <w:r w:rsidR="00BC4EFD" w:rsidRPr="00E969B7">
        <w:t>s</w:t>
      </w:r>
      <w:r w:rsidR="001E130B" w:rsidRPr="00E969B7">
        <w:t xml:space="preserve"> was </w:t>
      </w:r>
      <w:r w:rsidR="009B48C9" w:rsidRPr="00E969B7">
        <w:t xml:space="preserve">no longer fit for purpose. </w:t>
      </w:r>
      <w:r w:rsidR="001E130B" w:rsidRPr="00E969B7">
        <w:t>C</w:t>
      </w:r>
      <w:r w:rsidR="00115E61" w:rsidRPr="00E969B7">
        <w:t xml:space="preserve">oncerns </w:t>
      </w:r>
      <w:proofErr w:type="gramStart"/>
      <w:r w:rsidR="001E130B" w:rsidRPr="00E969B7">
        <w:t>were also raised</w:t>
      </w:r>
      <w:proofErr w:type="gramEnd"/>
      <w:r w:rsidR="001E130B" w:rsidRPr="00E969B7">
        <w:t xml:space="preserve"> that </w:t>
      </w:r>
      <w:r w:rsidR="00115E61" w:rsidRPr="00E969B7">
        <w:t xml:space="preserve">the </w:t>
      </w:r>
      <w:r w:rsidR="001E130B" w:rsidRPr="00E969B7">
        <w:t xml:space="preserve">previous </w:t>
      </w:r>
      <w:r w:rsidR="00115E61" w:rsidRPr="00E969B7">
        <w:t>amount for school</w:t>
      </w:r>
      <w:r w:rsidR="003A0DED" w:rsidRPr="00E969B7">
        <w:t>-</w:t>
      </w:r>
      <w:r w:rsidR="00115E61" w:rsidRPr="00E969B7">
        <w:t>aged depend</w:t>
      </w:r>
      <w:r w:rsidR="003A0DED" w:rsidRPr="00E969B7">
        <w:t>a</w:t>
      </w:r>
      <w:r w:rsidR="00115E61" w:rsidRPr="00E969B7">
        <w:t xml:space="preserve">nts </w:t>
      </w:r>
      <w:r w:rsidR="001E130B" w:rsidRPr="00E969B7">
        <w:t>was</w:t>
      </w:r>
      <w:r w:rsidR="00115E61" w:rsidRPr="00E969B7">
        <w:t xml:space="preserve"> not an accurate representation of current average schooling costs in Australia.</w:t>
      </w:r>
    </w:p>
    <w:p w14:paraId="096D834E" w14:textId="77777777" w:rsidR="005D2DD8" w:rsidRPr="00E969B7" w:rsidRDefault="001E130B" w:rsidP="00A4372A">
      <w:pPr>
        <w:pStyle w:val="ESSubparaHeader"/>
        <w:ind w:left="567" w:hanging="425"/>
      </w:pPr>
      <w:r w:rsidRPr="00E969B7">
        <w:t xml:space="preserve">The amended figures </w:t>
      </w:r>
      <w:proofErr w:type="gramStart"/>
      <w:r w:rsidRPr="00E969B7">
        <w:t>are based</w:t>
      </w:r>
      <w:proofErr w:type="gramEnd"/>
      <w:r w:rsidRPr="00E969B7">
        <w:t xml:space="preserve"> on a new methodology, </w:t>
      </w:r>
      <w:r w:rsidR="00C15373" w:rsidRPr="00E969B7">
        <w:t xml:space="preserve">calculated as a proportion of the Australian National </w:t>
      </w:r>
      <w:r w:rsidRPr="00E969B7">
        <w:t>Minimum Wage</w:t>
      </w:r>
      <w:r w:rsidR="00C15373" w:rsidRPr="00E969B7">
        <w:t xml:space="preserve">. The National Minimum Wage </w:t>
      </w:r>
      <w:r w:rsidR="005D2DD8" w:rsidRPr="00E969B7">
        <w:t>is</w:t>
      </w:r>
      <w:r w:rsidRPr="00E969B7">
        <w:t xml:space="preserve"> the minimum amount an employer must pay an emp</w:t>
      </w:r>
      <w:r w:rsidR="00C15373" w:rsidRPr="00E969B7">
        <w:t>loyee</w:t>
      </w:r>
      <w:r w:rsidR="005D2DD8" w:rsidRPr="00E969B7">
        <w:t xml:space="preserve">. It </w:t>
      </w:r>
      <w:proofErr w:type="gramStart"/>
      <w:r w:rsidR="005D2DD8" w:rsidRPr="00E969B7">
        <w:t xml:space="preserve">is reviewed and set annually by the Australian Fair Work Commission </w:t>
      </w:r>
      <w:r w:rsidR="00181BA6" w:rsidRPr="00E969B7">
        <w:t>each</w:t>
      </w:r>
      <w:r w:rsidR="005D2DD8" w:rsidRPr="00E969B7">
        <w:t xml:space="preserve"> financial year</w:t>
      </w:r>
      <w:proofErr w:type="gramEnd"/>
      <w:r w:rsidR="005D2DD8" w:rsidRPr="00E969B7">
        <w:t>.</w:t>
      </w:r>
      <w:r w:rsidR="00C15373" w:rsidRPr="00E969B7">
        <w:t xml:space="preserve"> </w:t>
      </w:r>
    </w:p>
    <w:p w14:paraId="49530D8B" w14:textId="77777777" w:rsidR="001E130B" w:rsidRPr="00E969B7" w:rsidRDefault="00C15373" w:rsidP="00A4372A">
      <w:pPr>
        <w:pStyle w:val="ESSubparaHeader"/>
        <w:ind w:left="567" w:hanging="425"/>
      </w:pPr>
      <w:r w:rsidRPr="00E969B7">
        <w:t xml:space="preserve">The rationale </w:t>
      </w:r>
      <w:r w:rsidR="005D2DD8" w:rsidRPr="00E969B7">
        <w:t xml:space="preserve">for this new methodology </w:t>
      </w:r>
      <w:r w:rsidRPr="00E969B7">
        <w:t>is that a s</w:t>
      </w:r>
      <w:r w:rsidR="001E130B" w:rsidRPr="00E969B7">
        <w:t xml:space="preserve">tudent visa holder should be able to support </w:t>
      </w:r>
      <w:proofErr w:type="gramStart"/>
      <w:r w:rsidR="001E130B" w:rsidRPr="00E969B7">
        <w:t>themselves to at least the standard of the lowest paid Australian worker</w:t>
      </w:r>
      <w:proofErr w:type="gramEnd"/>
      <w:r w:rsidR="001E130B" w:rsidRPr="00E969B7">
        <w:t>. The new methodology more accurately accounts for the costs of modern living, especially in light of increasing cost of living pressures.</w:t>
      </w:r>
      <w:r w:rsidR="00CC18C3" w:rsidRPr="00E969B7">
        <w:t xml:space="preserve"> </w:t>
      </w:r>
    </w:p>
    <w:p w14:paraId="123B6EE8" w14:textId="77777777" w:rsidR="00A853EE" w:rsidRPr="00E969B7" w:rsidRDefault="00CC18C3" w:rsidP="00A4372A">
      <w:pPr>
        <w:pStyle w:val="ESSubparaHeader"/>
        <w:ind w:left="567" w:hanging="425"/>
      </w:pPr>
      <w:r w:rsidRPr="00E969B7">
        <w:t xml:space="preserve">The adjusted figures result in an increase of approximately 21 percent from the previous figures. </w:t>
      </w:r>
      <w:r w:rsidR="003536B5" w:rsidRPr="00E969B7">
        <w:t>Th</w:t>
      </w:r>
      <w:r w:rsidR="00045FDC" w:rsidRPr="00E969B7">
        <w:t>ese adjustments and the corresponding amendments of LIN 19/198</w:t>
      </w:r>
      <w:r w:rsidR="009B48C9" w:rsidRPr="00E969B7">
        <w:t xml:space="preserve"> </w:t>
      </w:r>
      <w:r w:rsidR="003536B5" w:rsidRPr="00E969B7">
        <w:t>will help to reduce the number of international students experiencing financial hardship while in Aus</w:t>
      </w:r>
      <w:r w:rsidR="007D2916" w:rsidRPr="00E969B7">
        <w:t>tralia, and ensure that they have</w:t>
      </w:r>
      <w:r w:rsidR="003536B5" w:rsidRPr="00E969B7">
        <w:t xml:space="preserve"> adequate financial support for the duration of their studies. </w:t>
      </w:r>
    </w:p>
    <w:p w14:paraId="0D1A72DB" w14:textId="77777777" w:rsidR="00115E61" w:rsidRPr="00E969B7" w:rsidRDefault="00C62652" w:rsidP="00A4372A">
      <w:pPr>
        <w:pStyle w:val="ESSubparaHeader"/>
        <w:ind w:left="567" w:hanging="425"/>
      </w:pPr>
      <w:r w:rsidRPr="00E969B7">
        <w:t>The increased financial capacity requirements o</w:t>
      </w:r>
      <w:r w:rsidR="00115E61" w:rsidRPr="00E969B7">
        <w:t xml:space="preserve">nly </w:t>
      </w:r>
      <w:r w:rsidRPr="00E969B7">
        <w:t xml:space="preserve">apply to </w:t>
      </w:r>
      <w:r w:rsidR="00115E61" w:rsidRPr="00E969B7">
        <w:t xml:space="preserve">new </w:t>
      </w:r>
      <w:r w:rsidRPr="00E969B7">
        <w:t xml:space="preserve">Subclass 500 and Subclass 590 </w:t>
      </w:r>
      <w:r w:rsidR="00115E61" w:rsidRPr="00E969B7">
        <w:t xml:space="preserve">visa </w:t>
      </w:r>
      <w:r w:rsidRPr="00E969B7">
        <w:t>applications</w:t>
      </w:r>
      <w:r w:rsidR="00115E61" w:rsidRPr="00E969B7">
        <w:t xml:space="preserve"> </w:t>
      </w:r>
      <w:r w:rsidRPr="00E969B7">
        <w:t>made</w:t>
      </w:r>
      <w:r w:rsidR="00115E61" w:rsidRPr="00E969B7">
        <w:t xml:space="preserve"> </w:t>
      </w:r>
      <w:r w:rsidRPr="00E969B7">
        <w:t xml:space="preserve">on and from the </w:t>
      </w:r>
      <w:proofErr w:type="gramStart"/>
      <w:r w:rsidRPr="00E969B7">
        <w:t>date</w:t>
      </w:r>
      <w:proofErr w:type="gramEnd"/>
      <w:r w:rsidRPr="00E969B7">
        <w:t xml:space="preserve"> </w:t>
      </w:r>
      <w:r w:rsidR="00045FDC" w:rsidRPr="00E969B7">
        <w:t xml:space="preserve">the amending instrument </w:t>
      </w:r>
      <w:r w:rsidRPr="00E969B7">
        <w:t>commence</w:t>
      </w:r>
      <w:r w:rsidR="00045FDC" w:rsidRPr="00E969B7">
        <w:t>s</w:t>
      </w:r>
      <w:r w:rsidR="00115E61" w:rsidRPr="00E969B7">
        <w:t>.</w:t>
      </w:r>
    </w:p>
    <w:p w14:paraId="4AB4F45B" w14:textId="77777777" w:rsidR="0039097C" w:rsidRPr="00E969B7" w:rsidRDefault="0039097C" w:rsidP="00A4372A">
      <w:pPr>
        <w:pStyle w:val="ESSubparaHeader"/>
        <w:ind w:left="567" w:hanging="425"/>
      </w:pPr>
      <w:proofErr w:type="gramStart"/>
      <w:r w:rsidRPr="00E969B7">
        <w:t>The following annual living costs and expenses from LIN 19/198 are updated by this instrument</w:t>
      </w:r>
      <w:proofErr w:type="gramEnd"/>
      <w:r w:rsidR="00E24BC5" w:rsidRPr="00E969B7">
        <w:t>.</w:t>
      </w:r>
    </w:p>
    <w:p w14:paraId="1B0F14C3" w14:textId="77777777" w:rsidR="0039097C" w:rsidRPr="00E969B7" w:rsidRDefault="00000557" w:rsidP="00A4372A">
      <w:pPr>
        <w:pStyle w:val="ESSubparaList"/>
        <w:ind w:left="993" w:hanging="425"/>
      </w:pPr>
      <w:r w:rsidRPr="00E969B7">
        <w:t xml:space="preserve">The amount of living costs and expenses required </w:t>
      </w:r>
      <w:r w:rsidR="0039097C" w:rsidRPr="00E969B7">
        <w:t xml:space="preserve">for an applicant </w:t>
      </w:r>
      <w:r w:rsidRPr="00E969B7">
        <w:t xml:space="preserve">seeking to meet the primary criteria for a Subclass 500 visa or Subclass 590 visa </w:t>
      </w:r>
      <w:r w:rsidR="0039097C" w:rsidRPr="00E969B7">
        <w:t>under clauses 500.214 or 590.216</w:t>
      </w:r>
      <w:r w:rsidRPr="00E969B7">
        <w:t>, respectively</w:t>
      </w:r>
      <w:r w:rsidR="0039097C" w:rsidRPr="00E969B7">
        <w:t>:</w:t>
      </w:r>
    </w:p>
    <w:p w14:paraId="2C9C3E2E" w14:textId="77777777" w:rsidR="0039097C" w:rsidRPr="00E969B7" w:rsidRDefault="0039097C" w:rsidP="00E24BC5">
      <w:pPr>
        <w:pStyle w:val="ESSubparaList"/>
        <w:numPr>
          <w:ilvl w:val="1"/>
          <w:numId w:val="7"/>
        </w:numPr>
      </w:pPr>
      <w:r w:rsidRPr="00E969B7">
        <w:t>an increase from AUD2</w:t>
      </w:r>
      <w:r w:rsidR="00A1082F" w:rsidRPr="00E969B7">
        <w:t>4</w:t>
      </w:r>
      <w:r w:rsidRPr="00E969B7">
        <w:t>,</w:t>
      </w:r>
      <w:r w:rsidR="00A1082F" w:rsidRPr="00E969B7">
        <w:t>505</w:t>
      </w:r>
      <w:r w:rsidRPr="00E969B7">
        <w:t xml:space="preserve"> to AUD2</w:t>
      </w:r>
      <w:r w:rsidR="0022169F" w:rsidRPr="00E969B7">
        <w:t>9,710</w:t>
      </w:r>
      <w:r w:rsidRPr="00E969B7">
        <w:t>;</w:t>
      </w:r>
    </w:p>
    <w:p w14:paraId="010A2D2D" w14:textId="77777777" w:rsidR="0039097C" w:rsidRPr="00E969B7" w:rsidRDefault="00000557" w:rsidP="00A4372A">
      <w:pPr>
        <w:pStyle w:val="ESSubparaList"/>
        <w:ind w:left="993" w:hanging="425"/>
      </w:pPr>
      <w:r w:rsidRPr="00E969B7">
        <w:t xml:space="preserve">The living costs </w:t>
      </w:r>
      <w:r w:rsidR="0039097C" w:rsidRPr="00E969B7">
        <w:t>for a spouse or de facto partn</w:t>
      </w:r>
      <w:r w:rsidR="003671F5" w:rsidRPr="00E969B7">
        <w:t>er of an applicant under clause</w:t>
      </w:r>
      <w:r w:rsidR="0039097C" w:rsidRPr="00E969B7">
        <w:t xml:space="preserve"> 500.214: </w:t>
      </w:r>
    </w:p>
    <w:p w14:paraId="7E73CF3E" w14:textId="77777777" w:rsidR="0039097C" w:rsidRPr="00E969B7" w:rsidRDefault="0039097C" w:rsidP="00E24BC5">
      <w:pPr>
        <w:pStyle w:val="ESSubparaList"/>
        <w:numPr>
          <w:ilvl w:val="1"/>
          <w:numId w:val="7"/>
        </w:numPr>
      </w:pPr>
      <w:r w:rsidRPr="00E969B7">
        <w:t>an increase from AUD</w:t>
      </w:r>
      <w:r w:rsidR="00A1082F" w:rsidRPr="00E969B7">
        <w:t>8</w:t>
      </w:r>
      <w:r w:rsidRPr="00E969B7">
        <w:t>,</w:t>
      </w:r>
      <w:r w:rsidR="00A1082F" w:rsidRPr="00E969B7">
        <w:t>574</w:t>
      </w:r>
      <w:r w:rsidRPr="00E969B7">
        <w:t xml:space="preserve"> to AUD</w:t>
      </w:r>
      <w:r w:rsidR="0022169F" w:rsidRPr="00E969B7">
        <w:t>10,394</w:t>
      </w:r>
      <w:r w:rsidRPr="00E969B7">
        <w:t>;</w:t>
      </w:r>
    </w:p>
    <w:p w14:paraId="3BE26AB2" w14:textId="77777777" w:rsidR="0039097C" w:rsidRPr="00E969B7" w:rsidRDefault="00000557" w:rsidP="00A4372A">
      <w:pPr>
        <w:pStyle w:val="ESSubparaList"/>
        <w:ind w:left="993" w:hanging="425"/>
      </w:pPr>
      <w:r w:rsidRPr="00E969B7">
        <w:t xml:space="preserve">The living costs for each </w:t>
      </w:r>
      <w:r w:rsidR="0039097C" w:rsidRPr="00E969B7">
        <w:t>dependent child:</w:t>
      </w:r>
    </w:p>
    <w:p w14:paraId="782406B4" w14:textId="77777777" w:rsidR="0039097C" w:rsidRPr="00E969B7" w:rsidRDefault="0039097C" w:rsidP="00E24BC5">
      <w:pPr>
        <w:pStyle w:val="ESSubparaList"/>
        <w:numPr>
          <w:ilvl w:val="1"/>
          <w:numId w:val="7"/>
        </w:numPr>
      </w:pPr>
      <w:r w:rsidRPr="00E969B7">
        <w:t>an increase from AUD3,</w:t>
      </w:r>
      <w:r w:rsidR="00A1082F" w:rsidRPr="00E969B7">
        <w:t>670</w:t>
      </w:r>
      <w:r w:rsidRPr="00E969B7">
        <w:t xml:space="preserve"> to AUD</w:t>
      </w:r>
      <w:r w:rsidR="0022169F" w:rsidRPr="00E969B7">
        <w:t>4,449</w:t>
      </w:r>
      <w:r w:rsidRPr="00E969B7">
        <w:t>;</w:t>
      </w:r>
    </w:p>
    <w:p w14:paraId="192211A4" w14:textId="77777777" w:rsidR="0039097C" w:rsidRPr="00E969B7" w:rsidRDefault="00000557" w:rsidP="00D17F3B">
      <w:pPr>
        <w:pStyle w:val="ESSubparaList"/>
        <w:keepNext/>
        <w:ind w:left="992" w:hanging="425"/>
      </w:pPr>
      <w:r w:rsidRPr="00E969B7">
        <w:lastRenderedPageBreak/>
        <w:t xml:space="preserve">The </w:t>
      </w:r>
      <w:r w:rsidR="0039097C" w:rsidRPr="00E969B7">
        <w:t>annual school costs</w:t>
      </w:r>
      <w:r w:rsidRPr="00E969B7">
        <w:t xml:space="preserve"> for each school-aged dependent child</w:t>
      </w:r>
      <w:r w:rsidR="0039097C" w:rsidRPr="00E969B7">
        <w:t>:</w:t>
      </w:r>
    </w:p>
    <w:p w14:paraId="4B0B89EF" w14:textId="77777777" w:rsidR="0039097C" w:rsidRPr="00E969B7" w:rsidRDefault="0039097C" w:rsidP="00E24BC5">
      <w:pPr>
        <w:pStyle w:val="ESSubparaList"/>
        <w:numPr>
          <w:ilvl w:val="1"/>
          <w:numId w:val="7"/>
        </w:numPr>
      </w:pPr>
      <w:r w:rsidRPr="00E969B7">
        <w:t>an increase from AUD</w:t>
      </w:r>
      <w:r w:rsidR="00A1082F" w:rsidRPr="00E969B7">
        <w:t>9</w:t>
      </w:r>
      <w:r w:rsidRPr="00E969B7">
        <w:t>,</w:t>
      </w:r>
      <w:r w:rsidR="00A1082F" w:rsidRPr="00E969B7">
        <w:t>661</w:t>
      </w:r>
      <w:r w:rsidRPr="00E969B7">
        <w:t xml:space="preserve"> to AUD</w:t>
      </w:r>
      <w:r w:rsidR="0022169F" w:rsidRPr="00E969B7">
        <w:t>13,502</w:t>
      </w:r>
      <w:r w:rsidRPr="00E969B7">
        <w:t>;</w:t>
      </w:r>
    </w:p>
    <w:p w14:paraId="14B768FF" w14:textId="77777777" w:rsidR="0039097C" w:rsidRPr="00E969B7" w:rsidRDefault="00000557" w:rsidP="00A4372A">
      <w:pPr>
        <w:pStyle w:val="ESSubparaList"/>
        <w:ind w:left="993" w:hanging="425"/>
      </w:pPr>
      <w:r w:rsidRPr="00E969B7">
        <w:t xml:space="preserve">The </w:t>
      </w:r>
      <w:r w:rsidR="0039097C" w:rsidRPr="00E969B7">
        <w:t>personal annual income</w:t>
      </w:r>
      <w:r w:rsidRPr="00E969B7">
        <w:t xml:space="preserve"> for a primary applicant</w:t>
      </w:r>
      <w:r w:rsidR="0039097C" w:rsidRPr="00E969B7">
        <w:t xml:space="preserve"> if there is no </w:t>
      </w:r>
      <w:r w:rsidR="00AC6165" w:rsidRPr="00E969B7">
        <w:t>secondary</w:t>
      </w:r>
      <w:r w:rsidR="0039097C" w:rsidRPr="00E969B7">
        <w:t xml:space="preserve"> applicant: </w:t>
      </w:r>
    </w:p>
    <w:p w14:paraId="5B43C9F0" w14:textId="77777777" w:rsidR="0039097C" w:rsidRPr="00E969B7" w:rsidRDefault="0039097C" w:rsidP="00E24BC5">
      <w:pPr>
        <w:pStyle w:val="ESSubparaList"/>
        <w:numPr>
          <w:ilvl w:val="1"/>
          <w:numId w:val="7"/>
        </w:numPr>
      </w:pPr>
      <w:r w:rsidRPr="00E969B7">
        <w:t>an increase from AUD</w:t>
      </w:r>
      <w:r w:rsidR="00A1082F" w:rsidRPr="00E969B7">
        <w:t>7</w:t>
      </w:r>
      <w:r w:rsidRPr="00E969B7">
        <w:t>2,</w:t>
      </w:r>
      <w:r w:rsidR="00A1082F" w:rsidRPr="00E969B7">
        <w:t>465</w:t>
      </w:r>
      <w:r w:rsidRPr="00E969B7">
        <w:t xml:space="preserve"> to AUD</w:t>
      </w:r>
      <w:r w:rsidR="0022169F" w:rsidRPr="00E969B7">
        <w:t>87,856</w:t>
      </w:r>
      <w:r w:rsidRPr="00E969B7">
        <w:t>;</w:t>
      </w:r>
    </w:p>
    <w:p w14:paraId="52A6EB15" w14:textId="77777777" w:rsidR="0039097C" w:rsidRPr="00E969B7" w:rsidRDefault="00000557" w:rsidP="00A4372A">
      <w:pPr>
        <w:pStyle w:val="ESSubparaList"/>
        <w:ind w:left="993" w:hanging="425"/>
      </w:pPr>
      <w:r w:rsidRPr="00E969B7">
        <w:t xml:space="preserve">The </w:t>
      </w:r>
      <w:r w:rsidR="0039097C" w:rsidRPr="00E969B7">
        <w:t xml:space="preserve">personal annual income </w:t>
      </w:r>
      <w:r w:rsidRPr="00E969B7">
        <w:t xml:space="preserve">for a primary applicant </w:t>
      </w:r>
      <w:r w:rsidR="0039097C" w:rsidRPr="00E969B7">
        <w:t xml:space="preserve">where there is a </w:t>
      </w:r>
      <w:r w:rsidR="00AC6165" w:rsidRPr="00E969B7">
        <w:t>secondary applicant</w:t>
      </w:r>
      <w:r w:rsidR="0039097C" w:rsidRPr="00E969B7">
        <w:t xml:space="preserve">: </w:t>
      </w:r>
    </w:p>
    <w:p w14:paraId="689557DF" w14:textId="77777777" w:rsidR="00000557" w:rsidRPr="00E969B7" w:rsidRDefault="0039097C" w:rsidP="00181BA6">
      <w:pPr>
        <w:pStyle w:val="ESSubparaList"/>
        <w:numPr>
          <w:ilvl w:val="1"/>
          <w:numId w:val="7"/>
        </w:numPr>
      </w:pPr>
      <w:proofErr w:type="gramStart"/>
      <w:r w:rsidRPr="00E969B7">
        <w:t>an</w:t>
      </w:r>
      <w:proofErr w:type="gramEnd"/>
      <w:r w:rsidRPr="00E969B7">
        <w:t xml:space="preserve"> increase from AUD</w:t>
      </w:r>
      <w:r w:rsidR="00A1082F" w:rsidRPr="00E969B7">
        <w:t>84</w:t>
      </w:r>
      <w:r w:rsidRPr="00E969B7">
        <w:t>,</w:t>
      </w:r>
      <w:r w:rsidR="00A1082F" w:rsidRPr="00E969B7">
        <w:t>543</w:t>
      </w:r>
      <w:r w:rsidRPr="00E969B7">
        <w:t xml:space="preserve"> to AUD</w:t>
      </w:r>
      <w:r w:rsidR="0022169F" w:rsidRPr="00E969B7">
        <w:t>102,500.</w:t>
      </w:r>
    </w:p>
    <w:p w14:paraId="4458FEA5" w14:textId="77777777" w:rsidR="00C532F6" w:rsidRPr="00E969B7" w:rsidRDefault="00C532F6" w:rsidP="00C532F6">
      <w:pPr>
        <w:pStyle w:val="ESHeading"/>
      </w:pPr>
      <w:r w:rsidRPr="00E969B7">
        <w:t>Consultation</w:t>
      </w:r>
    </w:p>
    <w:p w14:paraId="11AD318E" w14:textId="77777777" w:rsidR="001E09ED" w:rsidRPr="00E969B7" w:rsidRDefault="000D49A9" w:rsidP="006B40C1">
      <w:pPr>
        <w:pStyle w:val="ESSubparaHeader"/>
        <w:ind w:left="567" w:hanging="425"/>
      </w:pPr>
      <w:r w:rsidRPr="00E969B7">
        <w:t>The Department c</w:t>
      </w:r>
      <w:r w:rsidR="0064519C" w:rsidRPr="00E969B7">
        <w:t>onsult</w:t>
      </w:r>
      <w:r w:rsidRPr="00E969B7">
        <w:t>ed</w:t>
      </w:r>
      <w:r w:rsidR="0064519C" w:rsidRPr="00E969B7">
        <w:t xml:space="preserve"> the Department of </w:t>
      </w:r>
      <w:r w:rsidR="00C238C2" w:rsidRPr="00E969B7">
        <w:t xml:space="preserve">the </w:t>
      </w:r>
      <w:r w:rsidR="0064519C" w:rsidRPr="00E969B7">
        <w:t xml:space="preserve">Treasury and </w:t>
      </w:r>
      <w:r w:rsidR="00C238C2" w:rsidRPr="00E969B7">
        <w:t xml:space="preserve">the </w:t>
      </w:r>
      <w:r w:rsidR="0064519C" w:rsidRPr="00E969B7">
        <w:t>Department of Education</w:t>
      </w:r>
      <w:r w:rsidR="00EB38BA" w:rsidRPr="00E969B7">
        <w:t xml:space="preserve"> in relation to the methodology for calculating financial capacity requirements, which underpins the amendments. B</w:t>
      </w:r>
      <w:r w:rsidR="006048EF" w:rsidRPr="00E969B7">
        <w:t xml:space="preserve">oth </w:t>
      </w:r>
      <w:r w:rsidR="00EB38BA" w:rsidRPr="00E969B7">
        <w:t xml:space="preserve">departments were </w:t>
      </w:r>
      <w:r w:rsidR="00C238C2" w:rsidRPr="00E969B7">
        <w:t>supportive of the new methodology.</w:t>
      </w:r>
      <w:r w:rsidRPr="00E969B7">
        <w:t xml:space="preserve"> This consultation </w:t>
      </w:r>
      <w:proofErr w:type="gramStart"/>
      <w:r w:rsidRPr="00E969B7">
        <w:t>was considered</w:t>
      </w:r>
      <w:proofErr w:type="gramEnd"/>
      <w:r w:rsidRPr="00E969B7">
        <w:t xml:space="preserve"> appropriate and reasonably practicable before making the instrument, for the purposes of section 17 of the Legislation Act.</w:t>
      </w:r>
      <w:r w:rsidR="00C238C2" w:rsidRPr="00E969B7">
        <w:t xml:space="preserve"> </w:t>
      </w:r>
    </w:p>
    <w:p w14:paraId="252DEAB7" w14:textId="1DFC3CC8" w:rsidR="00000557" w:rsidRPr="00E969B7" w:rsidRDefault="000C4020" w:rsidP="006B40C1">
      <w:pPr>
        <w:pStyle w:val="ESSubparaHeader"/>
        <w:ind w:left="567" w:hanging="425"/>
      </w:pPr>
      <w:r w:rsidRPr="00E969B7">
        <w:t xml:space="preserve">The updated financial requirement figures </w:t>
      </w:r>
      <w:proofErr w:type="gramStart"/>
      <w:r w:rsidR="00540DEF" w:rsidRPr="00E969B7">
        <w:t xml:space="preserve">have been </w:t>
      </w:r>
      <w:r w:rsidRPr="00E969B7">
        <w:t>communicated</w:t>
      </w:r>
      <w:proofErr w:type="gramEnd"/>
      <w:r w:rsidRPr="00E969B7">
        <w:t xml:space="preserve"> via the Department</w:t>
      </w:r>
      <w:r w:rsidR="000D49A9" w:rsidRPr="00E969B7">
        <w:t>’s</w:t>
      </w:r>
      <w:r w:rsidRPr="00E969B7">
        <w:t xml:space="preserve"> website as well as social media platforms, and through engagement with the education sector</w:t>
      </w:r>
      <w:r w:rsidR="000D49A9" w:rsidRPr="00E969B7">
        <w:t xml:space="preserve">. </w:t>
      </w:r>
      <w:r w:rsidR="00540DEF" w:rsidRPr="00E969B7">
        <w:t xml:space="preserve">In addition, </w:t>
      </w:r>
      <w:r w:rsidR="001E09ED" w:rsidRPr="00E969B7">
        <w:t xml:space="preserve">the Department has </w:t>
      </w:r>
      <w:r w:rsidR="000D49A9" w:rsidRPr="00E969B7">
        <w:t>engage</w:t>
      </w:r>
      <w:r w:rsidR="001E09ED" w:rsidRPr="00E969B7">
        <w:t>d with</w:t>
      </w:r>
      <w:r w:rsidR="000D49A9" w:rsidRPr="00E969B7">
        <w:t xml:space="preserve"> </w:t>
      </w:r>
      <w:r w:rsidRPr="00E969B7">
        <w:t xml:space="preserve">the Education Visa Consultative Committee (EVCC) as the main </w:t>
      </w:r>
      <w:r w:rsidR="000D49A9" w:rsidRPr="00E969B7">
        <w:t>d</w:t>
      </w:r>
      <w:r w:rsidRPr="00E969B7">
        <w:t>epartmental consultation forum for the international education sector.</w:t>
      </w:r>
      <w:r w:rsidR="00540DEF" w:rsidRPr="00E969B7">
        <w:t xml:space="preserve"> Stakeholders indicated acceptance of the change, noting the cumulative effect </w:t>
      </w:r>
      <w:r w:rsidR="001E09ED" w:rsidRPr="00E969B7">
        <w:t xml:space="preserve">these changes, in combination with the increases introduced on 1 October 2023, </w:t>
      </w:r>
      <w:r w:rsidR="00540DEF" w:rsidRPr="00E969B7">
        <w:t>are expected to have on the sector.</w:t>
      </w:r>
      <w:r w:rsidR="001E09ED" w:rsidRPr="00E969B7">
        <w:t xml:space="preserve"> Despite these increase</w:t>
      </w:r>
      <w:r w:rsidR="00222675" w:rsidRPr="00E969B7">
        <w:t>s</w:t>
      </w:r>
      <w:r w:rsidR="001E09ED" w:rsidRPr="00E969B7">
        <w:t xml:space="preserve">, stakeholders </w:t>
      </w:r>
      <w:r w:rsidR="006D0338" w:rsidRPr="00E969B7">
        <w:t xml:space="preserve">acknowledged </w:t>
      </w:r>
      <w:r w:rsidR="001E09ED" w:rsidRPr="00E969B7">
        <w:t xml:space="preserve">the changes </w:t>
      </w:r>
      <w:r w:rsidR="00E969B7">
        <w:t>would</w:t>
      </w:r>
      <w:r w:rsidR="001E09ED" w:rsidRPr="00E969B7">
        <w:t xml:space="preserve"> contribute to the policy intention of reducing exploitation in the international student visa sector.</w:t>
      </w:r>
    </w:p>
    <w:p w14:paraId="6D924219" w14:textId="01C4851D" w:rsidR="00080AFC" w:rsidRPr="00E969B7" w:rsidRDefault="00C532F6" w:rsidP="00A4372A">
      <w:pPr>
        <w:pStyle w:val="ESSubparaHeader"/>
        <w:ind w:left="567" w:hanging="425"/>
      </w:pPr>
      <w:r w:rsidRPr="00E969B7">
        <w:t xml:space="preserve">The Office of Impact Analysis (OIA) </w:t>
      </w:r>
      <w:proofErr w:type="gramStart"/>
      <w:r w:rsidRPr="00E969B7">
        <w:t>was consulted and considered that the instrument dealt with matters of a minor or machinery nature and no regulatory impact statement was required</w:t>
      </w:r>
      <w:proofErr w:type="gramEnd"/>
      <w:r w:rsidRPr="00E969B7">
        <w:t>.  The OIA reference number is OIA</w:t>
      </w:r>
      <w:r w:rsidR="0064519C" w:rsidRPr="00E969B7">
        <w:t>24-07445</w:t>
      </w:r>
      <w:r w:rsidRPr="00E969B7">
        <w:t>.</w:t>
      </w:r>
    </w:p>
    <w:p w14:paraId="1EFEAE33" w14:textId="77777777" w:rsidR="00C532F6" w:rsidRPr="00E969B7" w:rsidRDefault="00C532F6" w:rsidP="00C532F6">
      <w:pPr>
        <w:pStyle w:val="ESHeading"/>
      </w:pPr>
      <w:r w:rsidRPr="00E969B7">
        <w:t>Details of the instrument</w:t>
      </w:r>
    </w:p>
    <w:p w14:paraId="2B6D8A68" w14:textId="77777777" w:rsidR="00C532F6" w:rsidRPr="00E969B7" w:rsidRDefault="00C532F6" w:rsidP="00A4372A">
      <w:pPr>
        <w:pStyle w:val="ESSubparaHeader"/>
        <w:ind w:left="567" w:hanging="425"/>
      </w:pPr>
      <w:r w:rsidRPr="00E969B7">
        <w:t xml:space="preserve">Section 1 sets out the name of the instrument. </w:t>
      </w:r>
    </w:p>
    <w:p w14:paraId="2463943F" w14:textId="77777777" w:rsidR="00C532F6" w:rsidRPr="00E969B7" w:rsidRDefault="00C532F6" w:rsidP="00A4372A">
      <w:pPr>
        <w:pStyle w:val="ESSubparaHeader"/>
        <w:ind w:left="567" w:hanging="425"/>
      </w:pPr>
      <w:r w:rsidRPr="00E969B7">
        <w:t xml:space="preserve">Section 2 sets out that the instrument commences on </w:t>
      </w:r>
      <w:r w:rsidR="00C62652" w:rsidRPr="00E969B7">
        <w:t>the day after the instrument is registered</w:t>
      </w:r>
      <w:r w:rsidRPr="00E969B7">
        <w:t>.</w:t>
      </w:r>
    </w:p>
    <w:p w14:paraId="1B3AEDE9" w14:textId="77777777" w:rsidR="00C532F6" w:rsidRPr="00E969B7" w:rsidRDefault="00C532F6" w:rsidP="00A4372A">
      <w:pPr>
        <w:pStyle w:val="ESSubparaHeader"/>
        <w:ind w:left="567" w:hanging="425"/>
      </w:pPr>
      <w:r w:rsidRPr="00E969B7">
        <w:t xml:space="preserve">Section </w:t>
      </w:r>
      <w:proofErr w:type="gramStart"/>
      <w:r w:rsidRPr="00E969B7">
        <w:t>3</w:t>
      </w:r>
      <w:proofErr w:type="gramEnd"/>
      <w:r w:rsidRPr="00E969B7">
        <w:t xml:space="preserve"> sets out the </w:t>
      </w:r>
      <w:r w:rsidR="001C16ED" w:rsidRPr="00E969B7">
        <w:t xml:space="preserve">authority </w:t>
      </w:r>
      <w:r w:rsidR="00435A64" w:rsidRPr="00E969B7">
        <w:t>under which the</w:t>
      </w:r>
      <w:r w:rsidRPr="00E969B7">
        <w:t xml:space="preserve"> instrument</w:t>
      </w:r>
      <w:r w:rsidR="00435A64" w:rsidRPr="00E969B7">
        <w:t xml:space="preserve"> is made</w:t>
      </w:r>
      <w:r w:rsidRPr="00E969B7">
        <w:t>.</w:t>
      </w:r>
    </w:p>
    <w:p w14:paraId="3EC5BFE3" w14:textId="77777777" w:rsidR="00190DEB" w:rsidRPr="00E969B7" w:rsidRDefault="00C532F6" w:rsidP="00A4372A">
      <w:pPr>
        <w:pStyle w:val="ESSubparaHeader"/>
        <w:ind w:left="567" w:hanging="425"/>
      </w:pPr>
      <w:r w:rsidRPr="00E969B7">
        <w:t xml:space="preserve">Section 4 </w:t>
      </w:r>
      <w:r w:rsidR="001C16ED" w:rsidRPr="00E969B7">
        <w:t xml:space="preserve">provides that Schedule 1 to the instrument </w:t>
      </w:r>
      <w:proofErr w:type="gramStart"/>
      <w:r w:rsidR="001C16ED" w:rsidRPr="00E969B7">
        <w:t>amends</w:t>
      </w:r>
      <w:proofErr w:type="gramEnd"/>
      <w:r w:rsidR="001C16ED" w:rsidRPr="00E969B7">
        <w:t xml:space="preserve"> LIN 19/198. </w:t>
      </w:r>
    </w:p>
    <w:p w14:paraId="435F42CD" w14:textId="77777777" w:rsidR="00A57BB9" w:rsidRPr="00E969B7" w:rsidRDefault="003643FF" w:rsidP="00A4372A">
      <w:pPr>
        <w:pStyle w:val="ESSubparaHeader"/>
        <w:ind w:left="567" w:hanging="425"/>
      </w:pPr>
      <w:proofErr w:type="gramStart"/>
      <w:r w:rsidRPr="00E969B7">
        <w:t>Item</w:t>
      </w:r>
      <w:r w:rsidR="009D3AD3" w:rsidRPr="00E969B7">
        <w:t>s</w:t>
      </w:r>
      <w:r w:rsidRPr="00E969B7">
        <w:t xml:space="preserve"> </w:t>
      </w:r>
      <w:r w:rsidR="00A1082F" w:rsidRPr="00E969B7">
        <w:t>1</w:t>
      </w:r>
      <w:r w:rsidR="009D3AD3" w:rsidRPr="00E969B7">
        <w:t xml:space="preserve"> to </w:t>
      </w:r>
      <w:r w:rsidR="00A61360" w:rsidRPr="00E969B7">
        <w:t>6</w:t>
      </w:r>
      <w:r w:rsidRPr="00E969B7">
        <w:t xml:space="preserve"> of Schedule 1</w:t>
      </w:r>
      <w:r w:rsidR="00A57BB9" w:rsidRPr="00E969B7">
        <w:t xml:space="preserve"> to the instrument </w:t>
      </w:r>
      <w:r w:rsidR="003B31BA" w:rsidRPr="00E969B7">
        <w:t>omit the outdated figures and sub</w:t>
      </w:r>
      <w:r w:rsidR="009D3AD3" w:rsidRPr="00E969B7">
        <w:t>s</w:t>
      </w:r>
      <w:r w:rsidR="003B31BA" w:rsidRPr="00E969B7">
        <w:t xml:space="preserve">titute </w:t>
      </w:r>
      <w:r w:rsidR="00952220" w:rsidRPr="00E969B7">
        <w:t>new</w:t>
      </w:r>
      <w:r w:rsidR="003B31BA" w:rsidRPr="00E969B7">
        <w:t xml:space="preserve"> figures</w:t>
      </w:r>
      <w:r w:rsidR="00FC4017" w:rsidRPr="00E969B7">
        <w:t>,</w:t>
      </w:r>
      <w:r w:rsidR="003B31BA" w:rsidRPr="00E969B7">
        <w:t xml:space="preserve"> </w:t>
      </w:r>
      <w:r w:rsidR="00952220" w:rsidRPr="00E969B7">
        <w:t xml:space="preserve">calculated as a proportion of </w:t>
      </w:r>
      <w:r w:rsidR="000C3255" w:rsidRPr="00E969B7">
        <w:t xml:space="preserve">the </w:t>
      </w:r>
      <w:r w:rsidR="00952220" w:rsidRPr="00E969B7">
        <w:t>N</w:t>
      </w:r>
      <w:r w:rsidR="000C3255" w:rsidRPr="00E969B7">
        <w:t xml:space="preserve">ational </w:t>
      </w:r>
      <w:r w:rsidR="00952220" w:rsidRPr="00E969B7">
        <w:t>M</w:t>
      </w:r>
      <w:r w:rsidR="000C3255" w:rsidRPr="00E969B7">
        <w:t xml:space="preserve">inimum </w:t>
      </w:r>
      <w:r w:rsidR="00952220" w:rsidRPr="00E969B7">
        <w:t>W</w:t>
      </w:r>
      <w:r w:rsidR="000C3255" w:rsidRPr="00E969B7">
        <w:t>age</w:t>
      </w:r>
      <w:r w:rsidR="00FC4017" w:rsidRPr="00E969B7">
        <w:t xml:space="preserve">, as the amount of funds required to be </w:t>
      </w:r>
      <w:r w:rsidR="00FC4017" w:rsidRPr="00E969B7">
        <w:lastRenderedPageBreak/>
        <w:t xml:space="preserve">evidenced by a primary applicant for a Subclass 500 visa for </w:t>
      </w:r>
      <w:r w:rsidR="00C63894" w:rsidRPr="00E969B7">
        <w:t>the purposes of sub-subparagraph</w:t>
      </w:r>
      <w:r w:rsidR="00777264" w:rsidRPr="00E969B7">
        <w:t>s</w:t>
      </w:r>
      <w:r w:rsidR="00C63894" w:rsidRPr="00E969B7">
        <w:t xml:space="preserve"> 6(2)(b)(i</w:t>
      </w:r>
      <w:r w:rsidR="00FC4017" w:rsidRPr="00E969B7">
        <w:t>i</w:t>
      </w:r>
      <w:r w:rsidR="00C63894" w:rsidRPr="00E969B7">
        <w:t>)(A), 6(2)(c)(i</w:t>
      </w:r>
      <w:r w:rsidR="00777264" w:rsidRPr="00E969B7">
        <w:t>i</w:t>
      </w:r>
      <w:r w:rsidR="00C63894" w:rsidRPr="00E969B7">
        <w:t>)(A), 6(2)(c)(ii)(B)</w:t>
      </w:r>
      <w:r w:rsidR="00A61360" w:rsidRPr="00E969B7">
        <w:t xml:space="preserve">, </w:t>
      </w:r>
      <w:r w:rsidR="00777264" w:rsidRPr="00E969B7">
        <w:t>6(2)(c)(iv)(A)</w:t>
      </w:r>
      <w:r w:rsidR="00A61360" w:rsidRPr="00E969B7">
        <w:t>, subparagraphs 6(3)(b)(i) and 6(3)(b)(ii)</w:t>
      </w:r>
      <w:r w:rsidR="00777264" w:rsidRPr="00E969B7">
        <w:t>.</w:t>
      </w:r>
      <w:proofErr w:type="gramEnd"/>
    </w:p>
    <w:p w14:paraId="38929C6C" w14:textId="77777777" w:rsidR="00FC4017" w:rsidRPr="00E969B7" w:rsidRDefault="00A57BB9" w:rsidP="00A4372A">
      <w:pPr>
        <w:pStyle w:val="ESSubparaHeader"/>
        <w:ind w:left="567" w:hanging="425"/>
      </w:pPr>
      <w:r w:rsidRPr="00E969B7">
        <w:t>Item</w:t>
      </w:r>
      <w:r w:rsidR="00A61360" w:rsidRPr="00E969B7">
        <w:t>s</w:t>
      </w:r>
      <w:r w:rsidRPr="00E969B7">
        <w:t xml:space="preserve"> </w:t>
      </w:r>
      <w:r w:rsidR="00A61360" w:rsidRPr="00E969B7">
        <w:t>7</w:t>
      </w:r>
      <w:r w:rsidR="009D3AD3" w:rsidRPr="00E969B7">
        <w:t xml:space="preserve"> </w:t>
      </w:r>
      <w:r w:rsidR="00A61360" w:rsidRPr="00E969B7">
        <w:t xml:space="preserve">and 8 </w:t>
      </w:r>
      <w:r w:rsidR="00FC4017" w:rsidRPr="00E969B7">
        <w:t>of Schedule 1 to the instrument omit the outdated figure</w:t>
      </w:r>
      <w:r w:rsidR="00A61360" w:rsidRPr="00E969B7">
        <w:t>s</w:t>
      </w:r>
      <w:r w:rsidR="00FC4017" w:rsidRPr="00E969B7">
        <w:t xml:space="preserve"> and substitute new figure</w:t>
      </w:r>
      <w:r w:rsidR="00A61360" w:rsidRPr="00E969B7">
        <w:t>s</w:t>
      </w:r>
      <w:r w:rsidR="00FC4017" w:rsidRPr="00E969B7">
        <w:t>, calculated as a proportion of the National Minimum Wage, as the amount of funds required to be evidenced by a secondary applicant for a Subclass 500 visa, for the purposes of paragraph</w:t>
      </w:r>
      <w:r w:rsidR="00A61360" w:rsidRPr="00E969B7">
        <w:t>s</w:t>
      </w:r>
      <w:r w:rsidR="00FC4017" w:rsidRPr="00E969B7">
        <w:t xml:space="preserve"> 7(3)(b)</w:t>
      </w:r>
      <w:r w:rsidR="00A61360" w:rsidRPr="00E969B7">
        <w:t xml:space="preserve"> and 8(3)(b)</w:t>
      </w:r>
      <w:r w:rsidR="00FC4017" w:rsidRPr="00E969B7">
        <w:t>.</w:t>
      </w:r>
    </w:p>
    <w:p w14:paraId="6B87AEED" w14:textId="77777777" w:rsidR="00A61360" w:rsidRPr="00E969B7" w:rsidRDefault="00A61360" w:rsidP="00A4372A">
      <w:pPr>
        <w:pStyle w:val="ESSubparaHeader"/>
        <w:ind w:left="567" w:hanging="425"/>
      </w:pPr>
      <w:proofErr w:type="gramStart"/>
      <w:r w:rsidRPr="00E969B7">
        <w:t>Items 9</w:t>
      </w:r>
      <w:r w:rsidR="00294D12" w:rsidRPr="00E969B7">
        <w:t xml:space="preserve">, </w:t>
      </w:r>
      <w:r w:rsidR="00716423" w:rsidRPr="00E969B7">
        <w:t>10, 12</w:t>
      </w:r>
      <w:r w:rsidRPr="00E969B7">
        <w:t xml:space="preserve"> </w:t>
      </w:r>
      <w:r w:rsidR="00294D12" w:rsidRPr="00E969B7">
        <w:t>and 13</w:t>
      </w:r>
      <w:r w:rsidRPr="00E969B7">
        <w:t xml:space="preserve"> of Schedule 1 to the instrument omit the outdated figures and substitute new figures, calculated as a proportion of the National Minimum Wage, as the amount of funds required to be evidenced by a primary applicant for a Subclass 590 visa, for the purposes of sub-subparagraphs 9(2)(b)(ii)(A), 9(2)(c)(ii)(A), 9(2)(d)(iv)(A) and paragraph 9(3)(b).</w:t>
      </w:r>
      <w:proofErr w:type="gramEnd"/>
    </w:p>
    <w:p w14:paraId="4F4EB62E" w14:textId="77777777" w:rsidR="00716423" w:rsidRPr="00E969B7" w:rsidRDefault="00716423" w:rsidP="00D17F3B">
      <w:pPr>
        <w:pStyle w:val="ESSubparaHeader"/>
        <w:ind w:left="567" w:hanging="425"/>
      </w:pPr>
      <w:r w:rsidRPr="00E969B7">
        <w:t xml:space="preserve">Item 11 of Schedule 1 to the instrument </w:t>
      </w:r>
      <w:r w:rsidR="00EC108A" w:rsidRPr="00E969B7">
        <w:t xml:space="preserve">repeals subparagraph </w:t>
      </w:r>
      <w:r w:rsidR="00294D12" w:rsidRPr="00E969B7">
        <w:t>9(2</w:t>
      </w:r>
      <w:proofErr w:type="gramStart"/>
      <w:r w:rsidR="00294D12" w:rsidRPr="00E969B7">
        <w:t>)(</w:t>
      </w:r>
      <w:proofErr w:type="gramEnd"/>
      <w:r w:rsidR="00294D12" w:rsidRPr="00E969B7">
        <w:t>d)(ii)</w:t>
      </w:r>
      <w:r w:rsidR="00EC108A" w:rsidRPr="00E969B7">
        <w:t>,</w:t>
      </w:r>
      <w:r w:rsidR="00294D12" w:rsidRPr="00E969B7">
        <w:t xml:space="preserve"> and substitutes a new subparagraph. This amendment </w:t>
      </w:r>
      <w:r w:rsidRPr="00E969B7">
        <w:t xml:space="preserve">corrects an error </w:t>
      </w:r>
      <w:r w:rsidR="00F6366D" w:rsidRPr="00E969B7">
        <w:t>that was identified in subparagraph 9(2</w:t>
      </w:r>
      <w:proofErr w:type="gramStart"/>
      <w:r w:rsidR="00F6366D" w:rsidRPr="00E969B7">
        <w:t>)(</w:t>
      </w:r>
      <w:proofErr w:type="gramEnd"/>
      <w:r w:rsidR="00F6366D" w:rsidRPr="00E969B7">
        <w:t xml:space="preserve">d)(ii) in LIN 19/198 as made on 4 October 2019, which included reference to the primary applicant’s spouse or de facto partner in s 9(2)(d)(ii)(A) or dependent child in s 9(2)(d)(ii)(B). </w:t>
      </w:r>
      <w:proofErr w:type="gramStart"/>
      <w:r w:rsidR="00F6366D" w:rsidRPr="00E969B7">
        <w:t>C</w:t>
      </w:r>
      <w:r w:rsidRPr="00E969B7">
        <w:t xml:space="preserve">lause 590.312 of </w:t>
      </w:r>
      <w:r w:rsidR="000E12C2" w:rsidRPr="00E969B7">
        <w:t xml:space="preserve">Schedule 2 to the Migration Regulations </w:t>
      </w:r>
      <w:r w:rsidRPr="00E969B7">
        <w:t>specifies that a secondary applicant must not have turned 6</w:t>
      </w:r>
      <w:r w:rsidR="00EC108A" w:rsidRPr="00E969B7">
        <w:t xml:space="preserve"> years of age</w:t>
      </w:r>
      <w:r w:rsidR="00F6366D" w:rsidRPr="00E969B7">
        <w:t xml:space="preserve"> – and as such, </w:t>
      </w:r>
      <w:r w:rsidR="00294D12" w:rsidRPr="00E969B7">
        <w:t xml:space="preserve">new subparagraph </w:t>
      </w:r>
      <w:r w:rsidR="00F6366D" w:rsidRPr="00E969B7">
        <w:t xml:space="preserve">9(2)(d)(ii) </w:t>
      </w:r>
      <w:r w:rsidR="00294D12" w:rsidRPr="00E969B7">
        <w:t>provides a single figure, calculated as a proportion of the National Minimum Wage, as the amount of funds required to be evidenced by a primary applicant for a Subclass 590 visa, for each secondary applicant.</w:t>
      </w:r>
      <w:proofErr w:type="gramEnd"/>
      <w:r w:rsidR="00294D12" w:rsidRPr="00E969B7">
        <w:t xml:space="preserve"> The note to subparagraph 9(2</w:t>
      </w:r>
      <w:proofErr w:type="gramStart"/>
      <w:r w:rsidR="00294D12" w:rsidRPr="00E969B7">
        <w:t>)(</w:t>
      </w:r>
      <w:proofErr w:type="gramEnd"/>
      <w:r w:rsidR="00294D12" w:rsidRPr="00E969B7">
        <w:t>d)(ii) explains that secondary applicants for a Subclass 590 visa must not have turned 6 years of age.</w:t>
      </w:r>
    </w:p>
    <w:p w14:paraId="19AFD4C3" w14:textId="77777777" w:rsidR="00C63894" w:rsidRPr="00E969B7" w:rsidRDefault="00C63894" w:rsidP="00A4372A">
      <w:pPr>
        <w:pStyle w:val="ESSubparaHeader"/>
        <w:ind w:left="567" w:hanging="425"/>
      </w:pPr>
      <w:r w:rsidRPr="00E969B7">
        <w:t>Item</w:t>
      </w:r>
      <w:r w:rsidR="00B66C41" w:rsidRPr="00E969B7">
        <w:t>s</w:t>
      </w:r>
      <w:r w:rsidRPr="00E969B7">
        <w:t xml:space="preserve"> 1</w:t>
      </w:r>
      <w:r w:rsidR="00294D12" w:rsidRPr="00E969B7">
        <w:t>4</w:t>
      </w:r>
      <w:r w:rsidRPr="00E969B7">
        <w:t xml:space="preserve"> </w:t>
      </w:r>
      <w:r w:rsidR="00B66C41" w:rsidRPr="00E969B7">
        <w:t>and 1</w:t>
      </w:r>
      <w:r w:rsidR="00294D12" w:rsidRPr="00E969B7">
        <w:t>5</w:t>
      </w:r>
      <w:r w:rsidR="00B66C41" w:rsidRPr="00E969B7">
        <w:t xml:space="preserve"> </w:t>
      </w:r>
      <w:r w:rsidRPr="00E969B7">
        <w:t>of Sched</w:t>
      </w:r>
      <w:r w:rsidR="003B752D" w:rsidRPr="00E969B7">
        <w:t xml:space="preserve">ule 1 to the instrument </w:t>
      </w:r>
      <w:r w:rsidR="00A61360" w:rsidRPr="00E969B7">
        <w:t>inserts a new section number and heading to</w:t>
      </w:r>
      <w:r w:rsidR="003B752D" w:rsidRPr="00E969B7">
        <w:t xml:space="preserve"> </w:t>
      </w:r>
      <w:r w:rsidRPr="00E969B7">
        <w:t>Part 3</w:t>
      </w:r>
      <w:r w:rsidR="00A61360" w:rsidRPr="00E969B7">
        <w:t>—Application, Saving and Transitional Provisions</w:t>
      </w:r>
      <w:r w:rsidR="003B752D" w:rsidRPr="00E969B7">
        <w:t xml:space="preserve"> </w:t>
      </w:r>
      <w:r w:rsidR="00A61360" w:rsidRPr="00E969B7">
        <w:t xml:space="preserve">in </w:t>
      </w:r>
      <w:r w:rsidR="003B752D" w:rsidRPr="00E969B7">
        <w:t xml:space="preserve">LIN 19/198. New </w:t>
      </w:r>
      <w:r w:rsidR="00A61360" w:rsidRPr="00E969B7">
        <w:t>section 13 is added which</w:t>
      </w:r>
      <w:r w:rsidRPr="00E969B7">
        <w:t xml:space="preserve"> provides that the amendments in Schedule 1 </w:t>
      </w:r>
      <w:r w:rsidR="00777264" w:rsidRPr="00E969B7">
        <w:t>apply</w:t>
      </w:r>
      <w:r w:rsidRPr="00E969B7">
        <w:t xml:space="preserve"> in relation to a Student (Temporary) (Class TU) visa </w:t>
      </w:r>
      <w:r w:rsidR="00777264" w:rsidRPr="00E969B7">
        <w:t xml:space="preserve">application </w:t>
      </w:r>
      <w:r w:rsidRPr="00E969B7">
        <w:t xml:space="preserve">made on or after the day this </w:t>
      </w:r>
      <w:r w:rsidR="00A61360" w:rsidRPr="00E969B7">
        <w:t>i</w:t>
      </w:r>
      <w:r w:rsidRPr="00E969B7">
        <w:t>nstrument commences.</w:t>
      </w:r>
    </w:p>
    <w:p w14:paraId="0981EC59" w14:textId="77777777" w:rsidR="00C532F6" w:rsidRPr="00E969B7" w:rsidRDefault="00C532F6" w:rsidP="00C532F6">
      <w:pPr>
        <w:pStyle w:val="ESHeading"/>
      </w:pPr>
      <w:r w:rsidRPr="00E969B7">
        <w:t xml:space="preserve">Parliamentary scrutiny etc.  </w:t>
      </w:r>
    </w:p>
    <w:p w14:paraId="5854CBF3" w14:textId="77777777" w:rsidR="00C532F6" w:rsidRPr="00E969B7" w:rsidRDefault="00C532F6" w:rsidP="00A4372A">
      <w:pPr>
        <w:pStyle w:val="ESSubparaHeader"/>
        <w:ind w:left="567" w:hanging="425"/>
      </w:pPr>
      <w:r w:rsidRPr="00E969B7">
        <w:t xml:space="preserve">The instrument is exempt from disallowance under section 42 of the Legislation Act.  This is because an instrument made under Part 2 and Schedule 2 of the Migration Regulations </w:t>
      </w:r>
      <w:proofErr w:type="gramStart"/>
      <w:r w:rsidRPr="00E969B7">
        <w:t>is pr</w:t>
      </w:r>
      <w:r w:rsidR="00B1737D" w:rsidRPr="00E969B7">
        <w:t>escribed</w:t>
      </w:r>
      <w:proofErr w:type="gramEnd"/>
      <w:r w:rsidR="00B1737D" w:rsidRPr="00E969B7">
        <w:t xml:space="preserve"> as exempt under </w:t>
      </w:r>
      <w:r w:rsidRPr="00E969B7">
        <w:t xml:space="preserve">paragraph 20(b) </w:t>
      </w:r>
      <w:r w:rsidR="00B1737D" w:rsidRPr="00E969B7">
        <w:t>in</w:t>
      </w:r>
      <w:r w:rsidRPr="00E969B7">
        <w:t xml:space="preserve"> the table </w:t>
      </w:r>
      <w:r w:rsidR="00B1737D" w:rsidRPr="00E969B7">
        <w:t>under</w:t>
      </w:r>
      <w:r w:rsidRPr="00E969B7">
        <w:t xml:space="preserve"> section 10</w:t>
      </w:r>
      <w:r w:rsidR="00B1737D" w:rsidRPr="00E969B7">
        <w:t xml:space="preserve"> of the</w:t>
      </w:r>
      <w:r w:rsidRPr="00E969B7">
        <w:t xml:space="preserve"> </w:t>
      </w:r>
      <w:r w:rsidRPr="00E969B7">
        <w:rPr>
          <w:i/>
        </w:rPr>
        <w:t>Legislation (Exemptions and Other Matters) Regulation 2015</w:t>
      </w:r>
      <w:r w:rsidRPr="00E969B7">
        <w:t>.</w:t>
      </w:r>
    </w:p>
    <w:p w14:paraId="48211D44" w14:textId="77777777" w:rsidR="00C532F6" w:rsidRPr="00E969B7" w:rsidRDefault="00C532F6" w:rsidP="00A4372A">
      <w:pPr>
        <w:pStyle w:val="ESSubparaHeader"/>
        <w:ind w:left="567" w:hanging="425"/>
      </w:pPr>
      <w:r w:rsidRPr="00E969B7">
        <w:t xml:space="preserve">As the instrument is exempt from disallowance, a Statement of Compatibility with Human Rights is not required. </w:t>
      </w:r>
    </w:p>
    <w:p w14:paraId="396C9A70" w14:textId="0367C377" w:rsidR="00C532F6" w:rsidRPr="00E969B7" w:rsidRDefault="00C532F6" w:rsidP="00FD476B">
      <w:pPr>
        <w:pStyle w:val="ESSubparaHeader"/>
        <w:ind w:left="567" w:hanging="425"/>
      </w:pPr>
      <w:r w:rsidRPr="00E969B7">
        <w:t xml:space="preserve">The instrument </w:t>
      </w:r>
      <w:proofErr w:type="gramStart"/>
      <w:r w:rsidRPr="00E969B7">
        <w:t>was made</w:t>
      </w:r>
      <w:proofErr w:type="gramEnd"/>
      <w:r w:rsidRPr="00E969B7">
        <w:t xml:space="preserve"> by a delegate of the Minister, in accordance with </w:t>
      </w:r>
      <w:r w:rsidR="00045FDC" w:rsidRPr="00E969B7">
        <w:t>subclauses</w:t>
      </w:r>
      <w:r w:rsidR="00045FDC" w:rsidRPr="00FD476B">
        <w:t xml:space="preserve"> </w:t>
      </w:r>
      <w:bookmarkStart w:id="0" w:name="_GoBack"/>
      <w:r w:rsidR="00045FDC" w:rsidRPr="00E969B7">
        <w:t>50</w:t>
      </w:r>
      <w:r w:rsidR="007909EE">
        <w:t>0</w:t>
      </w:r>
      <w:bookmarkEnd w:id="0"/>
      <w:r w:rsidR="007909EE">
        <w:t>.214(3), 500.313(3) and 590.216</w:t>
      </w:r>
      <w:r w:rsidR="00045FDC" w:rsidRPr="00E969B7">
        <w:t xml:space="preserve">(3) </w:t>
      </w:r>
      <w:r w:rsidR="00A01EDE" w:rsidRPr="00E969B7">
        <w:t>o</w:t>
      </w:r>
      <w:r w:rsidR="00045FDC" w:rsidRPr="00E969B7">
        <w:t>f Schedule 2 to the Migration Regulations</w:t>
      </w:r>
      <w:r w:rsidRPr="00E969B7">
        <w:t xml:space="preserve">. </w:t>
      </w:r>
    </w:p>
    <w:p w14:paraId="166D8146" w14:textId="77777777" w:rsidR="00AE511F" w:rsidRPr="00AE511F" w:rsidRDefault="00AE511F" w:rsidP="00AE511F">
      <w:pPr>
        <w:pStyle w:val="ESSubparaList"/>
        <w:numPr>
          <w:ilvl w:val="0"/>
          <w:numId w:val="0"/>
        </w:numPr>
      </w:pPr>
    </w:p>
    <w:sectPr w:rsidR="00AE511F" w:rsidRPr="00AE5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F8C4" w14:textId="77777777" w:rsidR="00E20853" w:rsidRDefault="00E20853" w:rsidP="005112A2">
      <w:pPr>
        <w:spacing w:after="0" w:line="240" w:lineRule="auto"/>
      </w:pPr>
      <w:r>
        <w:separator/>
      </w:r>
    </w:p>
  </w:endnote>
  <w:endnote w:type="continuationSeparator" w:id="0">
    <w:p w14:paraId="4D93A67A" w14:textId="77777777" w:rsidR="00E20853" w:rsidRDefault="00E20853" w:rsidP="0051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7C364" w14:textId="77777777" w:rsidR="005112A2" w:rsidRDefault="00511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B7C8A" w14:textId="77777777" w:rsidR="005112A2" w:rsidRDefault="00511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E350" w14:textId="77777777" w:rsidR="005112A2" w:rsidRDefault="005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CE754" w14:textId="77777777" w:rsidR="00E20853" w:rsidRDefault="00E20853" w:rsidP="005112A2">
      <w:pPr>
        <w:spacing w:after="0" w:line="240" w:lineRule="auto"/>
      </w:pPr>
      <w:r>
        <w:separator/>
      </w:r>
    </w:p>
  </w:footnote>
  <w:footnote w:type="continuationSeparator" w:id="0">
    <w:p w14:paraId="7E0A9A7D" w14:textId="77777777" w:rsidR="00E20853" w:rsidRDefault="00E20853" w:rsidP="0051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E05FA" w14:textId="77777777" w:rsidR="005112A2" w:rsidRDefault="00511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76781" w14:textId="77777777" w:rsidR="005112A2" w:rsidRDefault="00511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CFAA" w14:textId="77777777" w:rsidR="005112A2" w:rsidRDefault="00511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1994"/>
    <w:multiLevelType w:val="hybridMultilevel"/>
    <w:tmpl w:val="A1A4B93A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AE532A9"/>
    <w:multiLevelType w:val="hybridMultilevel"/>
    <w:tmpl w:val="ABEE7182"/>
    <w:lvl w:ilvl="0" w:tplc="1846BE4A">
      <w:start w:val="1"/>
      <w:numFmt w:val="decimal"/>
      <w:pStyle w:val="ESSubparaHeader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9BBCE73A">
      <w:start w:val="1"/>
      <w:numFmt w:val="lowerLetter"/>
      <w:pStyle w:val="ESSubparaList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376A8"/>
    <w:multiLevelType w:val="hybridMultilevel"/>
    <w:tmpl w:val="F468D6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761ED"/>
    <w:multiLevelType w:val="hybridMultilevel"/>
    <w:tmpl w:val="DF6CACBE"/>
    <w:lvl w:ilvl="0" w:tplc="46803334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468033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C6645"/>
    <w:multiLevelType w:val="hybridMultilevel"/>
    <w:tmpl w:val="09BE40BA"/>
    <w:lvl w:ilvl="0" w:tplc="E5AE00C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B6"/>
    <w:rsid w:val="00000557"/>
    <w:rsid w:val="00016BAE"/>
    <w:rsid w:val="00031A3B"/>
    <w:rsid w:val="00045FDC"/>
    <w:rsid w:val="00080AFC"/>
    <w:rsid w:val="000C3255"/>
    <w:rsid w:val="000C3582"/>
    <w:rsid w:val="000C4020"/>
    <w:rsid w:val="000D427D"/>
    <w:rsid w:val="000D49A9"/>
    <w:rsid w:val="000E12C2"/>
    <w:rsid w:val="00115E61"/>
    <w:rsid w:val="00147CD6"/>
    <w:rsid w:val="00181BA6"/>
    <w:rsid w:val="00184641"/>
    <w:rsid w:val="00185CDB"/>
    <w:rsid w:val="00190DEB"/>
    <w:rsid w:val="001A1103"/>
    <w:rsid w:val="001B1460"/>
    <w:rsid w:val="001C16ED"/>
    <w:rsid w:val="001D3E8E"/>
    <w:rsid w:val="001D5D81"/>
    <w:rsid w:val="001E09ED"/>
    <w:rsid w:val="001E130B"/>
    <w:rsid w:val="0022169F"/>
    <w:rsid w:val="00222675"/>
    <w:rsid w:val="002319B4"/>
    <w:rsid w:val="002909C0"/>
    <w:rsid w:val="00294D12"/>
    <w:rsid w:val="002B03FC"/>
    <w:rsid w:val="003311BD"/>
    <w:rsid w:val="00347CE9"/>
    <w:rsid w:val="003536B5"/>
    <w:rsid w:val="00360D2A"/>
    <w:rsid w:val="003643FF"/>
    <w:rsid w:val="003671F5"/>
    <w:rsid w:val="00373D93"/>
    <w:rsid w:val="0039097C"/>
    <w:rsid w:val="00391627"/>
    <w:rsid w:val="003A0DED"/>
    <w:rsid w:val="003B31BA"/>
    <w:rsid w:val="003B752D"/>
    <w:rsid w:val="004323AD"/>
    <w:rsid w:val="00435A64"/>
    <w:rsid w:val="004407AB"/>
    <w:rsid w:val="004634C7"/>
    <w:rsid w:val="00473710"/>
    <w:rsid w:val="0050152E"/>
    <w:rsid w:val="005067AF"/>
    <w:rsid w:val="005112A2"/>
    <w:rsid w:val="00511892"/>
    <w:rsid w:val="00530FC0"/>
    <w:rsid w:val="00535D0D"/>
    <w:rsid w:val="00540DEF"/>
    <w:rsid w:val="00545D55"/>
    <w:rsid w:val="0054693F"/>
    <w:rsid w:val="00576C7C"/>
    <w:rsid w:val="00596138"/>
    <w:rsid w:val="005A40AD"/>
    <w:rsid w:val="005C3CBB"/>
    <w:rsid w:val="005D2DD8"/>
    <w:rsid w:val="005E564C"/>
    <w:rsid w:val="005F6138"/>
    <w:rsid w:val="006048EF"/>
    <w:rsid w:val="00605700"/>
    <w:rsid w:val="0064519C"/>
    <w:rsid w:val="00685AEA"/>
    <w:rsid w:val="00693DA9"/>
    <w:rsid w:val="006B40C1"/>
    <w:rsid w:val="006B510A"/>
    <w:rsid w:val="006D0338"/>
    <w:rsid w:val="00716423"/>
    <w:rsid w:val="0072152D"/>
    <w:rsid w:val="00777264"/>
    <w:rsid w:val="007909EE"/>
    <w:rsid w:val="007C0353"/>
    <w:rsid w:val="007C089D"/>
    <w:rsid w:val="007D2916"/>
    <w:rsid w:val="007F7A7B"/>
    <w:rsid w:val="0080061C"/>
    <w:rsid w:val="00854108"/>
    <w:rsid w:val="008B387B"/>
    <w:rsid w:val="008B3A74"/>
    <w:rsid w:val="00936D02"/>
    <w:rsid w:val="00952220"/>
    <w:rsid w:val="00955A48"/>
    <w:rsid w:val="0096266B"/>
    <w:rsid w:val="00963433"/>
    <w:rsid w:val="00976985"/>
    <w:rsid w:val="009A1818"/>
    <w:rsid w:val="009B48C9"/>
    <w:rsid w:val="009D3AD3"/>
    <w:rsid w:val="00A01EDE"/>
    <w:rsid w:val="00A1082F"/>
    <w:rsid w:val="00A1259E"/>
    <w:rsid w:val="00A4372A"/>
    <w:rsid w:val="00A55868"/>
    <w:rsid w:val="00A56011"/>
    <w:rsid w:val="00A57BB9"/>
    <w:rsid w:val="00A61360"/>
    <w:rsid w:val="00A61DC5"/>
    <w:rsid w:val="00A6328F"/>
    <w:rsid w:val="00A64BB6"/>
    <w:rsid w:val="00A64BE8"/>
    <w:rsid w:val="00A853EE"/>
    <w:rsid w:val="00AA12FD"/>
    <w:rsid w:val="00AA423B"/>
    <w:rsid w:val="00AA7620"/>
    <w:rsid w:val="00AC6165"/>
    <w:rsid w:val="00AD2BEA"/>
    <w:rsid w:val="00AE511F"/>
    <w:rsid w:val="00B1737D"/>
    <w:rsid w:val="00B17A6A"/>
    <w:rsid w:val="00B4736B"/>
    <w:rsid w:val="00B66C41"/>
    <w:rsid w:val="00BC4EFD"/>
    <w:rsid w:val="00BD5A8D"/>
    <w:rsid w:val="00C15373"/>
    <w:rsid w:val="00C238C2"/>
    <w:rsid w:val="00C532F6"/>
    <w:rsid w:val="00C62652"/>
    <w:rsid w:val="00C63894"/>
    <w:rsid w:val="00C64F8D"/>
    <w:rsid w:val="00C67EE9"/>
    <w:rsid w:val="00CC18C3"/>
    <w:rsid w:val="00D17F3B"/>
    <w:rsid w:val="00D5378A"/>
    <w:rsid w:val="00D600E5"/>
    <w:rsid w:val="00D64AE1"/>
    <w:rsid w:val="00D84361"/>
    <w:rsid w:val="00DB14E7"/>
    <w:rsid w:val="00DB7BF4"/>
    <w:rsid w:val="00DD03ED"/>
    <w:rsid w:val="00DD4950"/>
    <w:rsid w:val="00E20853"/>
    <w:rsid w:val="00E24BC5"/>
    <w:rsid w:val="00E40368"/>
    <w:rsid w:val="00E46052"/>
    <w:rsid w:val="00E5184A"/>
    <w:rsid w:val="00E96518"/>
    <w:rsid w:val="00E969B7"/>
    <w:rsid w:val="00EB38BA"/>
    <w:rsid w:val="00EC108A"/>
    <w:rsid w:val="00F6366D"/>
    <w:rsid w:val="00F66E36"/>
    <w:rsid w:val="00F75E10"/>
    <w:rsid w:val="00FC4017"/>
    <w:rsid w:val="00FD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F01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Paragraph">
    <w:name w:val="ES_Paragraph"/>
    <w:basedOn w:val="ListParagraph"/>
    <w:link w:val="ESParagraphChar"/>
    <w:rsid w:val="00A64BB6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  <w:lang w:val="en-AU"/>
    </w:rPr>
  </w:style>
  <w:style w:type="character" w:customStyle="1" w:styleId="ESParagraphChar">
    <w:name w:val="ES_Paragraph Char"/>
    <w:basedOn w:val="DefaultParagraphFont"/>
    <w:link w:val="ESParagraph"/>
    <w:rsid w:val="00A64BB6"/>
    <w:rPr>
      <w:rFonts w:ascii="Times New Roman" w:hAnsi="Times New Roman" w:cs="Times New Roman"/>
      <w:lang w:val="en-AU"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A64BB6"/>
    <w:pPr>
      <w:spacing w:line="276" w:lineRule="auto"/>
      <w:jc w:val="center"/>
    </w:pPr>
    <w:rPr>
      <w:rFonts w:ascii="Times New Roman" w:hAnsi="Times New Roman" w:cs="Times New Roman"/>
      <w:i/>
      <w:lang w:val="en-AU"/>
    </w:rPr>
  </w:style>
  <w:style w:type="paragraph" w:customStyle="1" w:styleId="ESTitleDecisionMaker">
    <w:name w:val="ESTitle_DecisionMaker"/>
    <w:basedOn w:val="Normal"/>
    <w:link w:val="ESTitleDecisionMakerChar"/>
    <w:qFormat/>
    <w:rsid w:val="00A64BB6"/>
    <w:pPr>
      <w:spacing w:line="276" w:lineRule="auto"/>
      <w:jc w:val="center"/>
    </w:pPr>
    <w:rPr>
      <w:rFonts w:ascii="Times New Roman" w:hAnsi="Times New Roman" w:cs="Times New Roman"/>
      <w:lang w:val="en-AU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A64BB6"/>
    <w:rPr>
      <w:rFonts w:ascii="Times New Roman" w:hAnsi="Times New Roman" w:cs="Times New Roman"/>
      <w:i/>
      <w:lang w:val="en-AU"/>
    </w:rPr>
  </w:style>
  <w:style w:type="paragraph" w:customStyle="1" w:styleId="ESTitleHeader">
    <w:name w:val="ESTitle_Header"/>
    <w:basedOn w:val="Normal"/>
    <w:link w:val="ESTitleHeaderChar"/>
    <w:qFormat/>
    <w:rsid w:val="00A64BB6"/>
    <w:pPr>
      <w:spacing w:line="276" w:lineRule="auto"/>
      <w:jc w:val="center"/>
    </w:pPr>
    <w:rPr>
      <w:rFonts w:ascii="Times New Roman" w:hAnsi="Times New Roman" w:cs="Times New Roman"/>
      <w:u w:val="single"/>
      <w:lang w:val="en-AU"/>
    </w:rPr>
  </w:style>
  <w:style w:type="character" w:customStyle="1" w:styleId="ESTitleDecisionMakerChar">
    <w:name w:val="ESTitle_DecisionMaker Char"/>
    <w:basedOn w:val="DefaultParagraphFont"/>
    <w:link w:val="ESTitleDecisionMaker"/>
    <w:rsid w:val="00A64BB6"/>
    <w:rPr>
      <w:rFonts w:ascii="Times New Roman" w:hAnsi="Times New Roman" w:cs="Times New Roman"/>
      <w:lang w:val="en-AU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A64BB6"/>
    <w:pPr>
      <w:keepNext/>
      <w:numPr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  <w:lang w:val="en-AU"/>
    </w:rPr>
  </w:style>
  <w:style w:type="character" w:customStyle="1" w:styleId="ESTitleHeaderChar">
    <w:name w:val="ESTitle_Header Char"/>
    <w:basedOn w:val="DefaultParagraphFont"/>
    <w:link w:val="ESTitleHeader"/>
    <w:rsid w:val="00A64BB6"/>
    <w:rPr>
      <w:rFonts w:ascii="Times New Roman" w:hAnsi="Times New Roman" w:cs="Times New Roman"/>
      <w:u w:val="single"/>
      <w:lang w:val="en-AU"/>
    </w:rPr>
  </w:style>
  <w:style w:type="paragraph" w:customStyle="1" w:styleId="ESSubparaList">
    <w:name w:val="ES_SubparaList"/>
    <w:basedOn w:val="ListParagraph"/>
    <w:link w:val="ESSubparaListChar"/>
    <w:qFormat/>
    <w:rsid w:val="00A64BB6"/>
    <w:pPr>
      <w:numPr>
        <w:ilvl w:val="1"/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  <w:lang w:val="en-AU"/>
    </w:rPr>
  </w:style>
  <w:style w:type="character" w:customStyle="1" w:styleId="ESSubparaHeaderChar">
    <w:name w:val="ES_SubparaHeader Char"/>
    <w:basedOn w:val="DefaultParagraphFont"/>
    <w:link w:val="ESSubparaHeader"/>
    <w:rsid w:val="00A64BB6"/>
    <w:rPr>
      <w:rFonts w:ascii="Times New Roman" w:hAnsi="Times New Roman" w:cs="Times New Roman"/>
      <w:lang w:val="en-AU"/>
    </w:rPr>
  </w:style>
  <w:style w:type="character" w:customStyle="1" w:styleId="ESSubparaListChar">
    <w:name w:val="ES_SubparaList Char"/>
    <w:basedOn w:val="DefaultParagraphFont"/>
    <w:link w:val="ESSubparaList"/>
    <w:rsid w:val="00A64BB6"/>
    <w:rPr>
      <w:rFonts w:ascii="Times New Roman" w:hAnsi="Times New Roman" w:cs="Times New Roman"/>
      <w:lang w:val="en-AU"/>
    </w:rPr>
  </w:style>
  <w:style w:type="paragraph" w:styleId="ListParagraph">
    <w:name w:val="List Paragraph"/>
    <w:basedOn w:val="Normal"/>
    <w:uiPriority w:val="34"/>
    <w:qFormat/>
    <w:rsid w:val="00A64BB6"/>
    <w:pPr>
      <w:ind w:left="720"/>
      <w:contextualSpacing/>
    </w:pPr>
  </w:style>
  <w:style w:type="paragraph" w:customStyle="1" w:styleId="ESAttHeading">
    <w:name w:val="ESAtt_Heading"/>
    <w:basedOn w:val="Normal"/>
    <w:link w:val="ESAttHeadingChar"/>
    <w:qFormat/>
    <w:rsid w:val="00535D0D"/>
    <w:pPr>
      <w:keepNext/>
      <w:spacing w:before="240" w:after="240" w:line="276" w:lineRule="auto"/>
    </w:pPr>
    <w:rPr>
      <w:rFonts w:ascii="Times New Roman" w:hAnsi="Times New Roman" w:cs="Times New Roman"/>
      <w:b/>
      <w:lang w:val="en-AU"/>
    </w:rPr>
  </w:style>
  <w:style w:type="character" w:customStyle="1" w:styleId="ESAttHeadingChar">
    <w:name w:val="ESAtt_Heading Char"/>
    <w:basedOn w:val="DefaultParagraphFont"/>
    <w:link w:val="ESAttHeading"/>
    <w:rsid w:val="00535D0D"/>
    <w:rPr>
      <w:rFonts w:ascii="Times New Roman" w:hAnsi="Times New Roman" w:cs="Times New Roman"/>
      <w:b/>
      <w:lang w:val="en-AU"/>
    </w:rPr>
  </w:style>
  <w:style w:type="paragraph" w:customStyle="1" w:styleId="ESHeading">
    <w:name w:val="ES_Heading"/>
    <w:basedOn w:val="ListParagraph"/>
    <w:link w:val="ESHeadingChar"/>
    <w:qFormat/>
    <w:rsid w:val="00C532F6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  <w:lang w:val="en-AU"/>
    </w:rPr>
  </w:style>
  <w:style w:type="character" w:customStyle="1" w:styleId="ESHeadingChar">
    <w:name w:val="ES_Heading Char"/>
    <w:basedOn w:val="DefaultParagraphFont"/>
    <w:link w:val="ESHeading"/>
    <w:rsid w:val="00C532F6"/>
    <w:rPr>
      <w:rFonts w:ascii="Times New Roman" w:hAnsi="Times New Roman" w:cs="Times New Roman"/>
      <w:b/>
      <w:i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53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2F6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2F6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F6"/>
    <w:rPr>
      <w:rFonts w:ascii="Segoe UI" w:hAnsi="Segoe UI" w:cs="Segoe UI"/>
      <w:sz w:val="18"/>
      <w:szCs w:val="18"/>
    </w:rPr>
  </w:style>
  <w:style w:type="paragraph" w:customStyle="1" w:styleId="ESAttNormal">
    <w:name w:val="ESAtt_Normal"/>
    <w:basedOn w:val="Normal"/>
    <w:link w:val="ESAttNormalChar"/>
    <w:qFormat/>
    <w:rsid w:val="00C532F6"/>
    <w:pPr>
      <w:spacing w:before="240" w:after="240" w:line="276" w:lineRule="auto"/>
    </w:pPr>
    <w:rPr>
      <w:rFonts w:ascii="Times New Roman" w:hAnsi="Times New Roman" w:cs="Times New Roman"/>
      <w:lang w:val="en-AU"/>
    </w:rPr>
  </w:style>
  <w:style w:type="character" w:customStyle="1" w:styleId="ESAttNormalChar">
    <w:name w:val="ESAtt_Normal Char"/>
    <w:basedOn w:val="DefaultParagraphFont"/>
    <w:link w:val="ESAttNormal"/>
    <w:rsid w:val="00C532F6"/>
    <w:rPr>
      <w:rFonts w:ascii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53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53"/>
    <w:rPr>
      <w:b/>
      <w:bCs/>
      <w:sz w:val="20"/>
      <w:szCs w:val="20"/>
      <w:lang w:val="en-AU"/>
    </w:rPr>
  </w:style>
  <w:style w:type="character" w:customStyle="1" w:styleId="ui-provider">
    <w:name w:val="ui-provider"/>
    <w:basedOn w:val="DefaultParagraphFont"/>
    <w:rsid w:val="007D2916"/>
  </w:style>
  <w:style w:type="paragraph" w:styleId="Header">
    <w:name w:val="header"/>
    <w:basedOn w:val="Normal"/>
    <w:link w:val="HeaderChar"/>
    <w:uiPriority w:val="99"/>
    <w:unhideWhenUsed/>
    <w:rsid w:val="0051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A2"/>
  </w:style>
  <w:style w:type="paragraph" w:styleId="Footer">
    <w:name w:val="footer"/>
    <w:basedOn w:val="Normal"/>
    <w:link w:val="FooterChar"/>
    <w:uiPriority w:val="99"/>
    <w:unhideWhenUsed/>
    <w:rsid w:val="0051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A2"/>
  </w:style>
  <w:style w:type="paragraph" w:styleId="Revision">
    <w:name w:val="Revision"/>
    <w:hidden/>
    <w:uiPriority w:val="99"/>
    <w:semiHidden/>
    <w:rsid w:val="003A0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2024-05-09T04:30:00Z</dcterms:created>
  <dcterms:modified xsi:type="dcterms:W3CDTF">2024-05-09T04:35:00Z</dcterms:modified>
</cp:coreProperties>
</file>